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851478" w14:textId="77777777" w:rsidR="00A54A8A" w:rsidRPr="00E67914" w:rsidRDefault="00A54A8A">
      <w:pPr>
        <w:pStyle w:val="211"/>
        <w:adjustRightInd w:val="0"/>
        <w:snapToGrid w:val="0"/>
        <w:rPr>
          <w:rFonts w:ascii="Times New Roman" w:hAnsi="Times New Roman"/>
          <w:lang w:eastAsia="zh-CN"/>
        </w:rPr>
      </w:pPr>
    </w:p>
    <w:p w14:paraId="566F33BB" w14:textId="77777777" w:rsidR="00A54A8A" w:rsidRPr="00E67914" w:rsidRDefault="00A54A8A">
      <w:pPr>
        <w:adjustRightInd w:val="0"/>
        <w:snapToGrid w:val="0"/>
        <w:spacing w:line="360" w:lineRule="auto"/>
        <w:ind w:firstLineChars="200" w:firstLine="400"/>
        <w:rPr>
          <w:rFonts w:ascii="Times New Roman" w:hAnsi="Times New Roman"/>
          <w:sz w:val="20"/>
          <w:szCs w:val="20"/>
          <w:lang w:eastAsia="zh-CN"/>
        </w:rPr>
      </w:pPr>
    </w:p>
    <w:p w14:paraId="03207B9B" w14:textId="77777777" w:rsidR="00A54A8A" w:rsidRPr="00E67914" w:rsidRDefault="00A54A8A">
      <w:pPr>
        <w:adjustRightInd w:val="0"/>
        <w:snapToGrid w:val="0"/>
        <w:spacing w:line="360" w:lineRule="auto"/>
        <w:ind w:firstLineChars="200" w:firstLine="400"/>
        <w:rPr>
          <w:rFonts w:ascii="Times New Roman" w:hAnsi="Times New Roman"/>
          <w:sz w:val="20"/>
          <w:szCs w:val="20"/>
          <w:lang w:eastAsia="zh-CN"/>
        </w:rPr>
      </w:pPr>
    </w:p>
    <w:p w14:paraId="1032A7A7" w14:textId="77777777" w:rsidR="00A54A8A" w:rsidRPr="00E67914" w:rsidRDefault="00A54A8A">
      <w:pPr>
        <w:adjustRightInd w:val="0"/>
        <w:snapToGrid w:val="0"/>
        <w:spacing w:line="360" w:lineRule="auto"/>
        <w:ind w:firstLineChars="200" w:firstLine="480"/>
        <w:rPr>
          <w:rFonts w:ascii="Times New Roman" w:eastAsia="Times New Roman" w:hAnsi="Times New Roman"/>
          <w:sz w:val="24"/>
          <w:szCs w:val="24"/>
        </w:rPr>
      </w:pPr>
    </w:p>
    <w:p w14:paraId="025669F2" w14:textId="41874D78" w:rsidR="00A54A8A" w:rsidRPr="00E67914" w:rsidRDefault="002662E3">
      <w:pPr>
        <w:adjustRightInd w:val="0"/>
        <w:snapToGrid w:val="0"/>
        <w:spacing w:line="360" w:lineRule="auto"/>
        <w:jc w:val="center"/>
        <w:rPr>
          <w:rFonts w:ascii="Times New Roman" w:eastAsia="黑体" w:hAnsi="Times New Roman"/>
          <w:spacing w:val="-37"/>
          <w:w w:val="95"/>
          <w:sz w:val="52"/>
          <w:szCs w:val="52"/>
          <w:lang w:eastAsia="zh-CN"/>
        </w:rPr>
      </w:pPr>
      <w:r w:rsidRPr="00E67914">
        <w:rPr>
          <w:rFonts w:ascii="Times New Roman" w:eastAsia="黑体" w:hAnsi="Times New Roman"/>
          <w:spacing w:val="-37"/>
          <w:w w:val="95"/>
          <w:sz w:val="52"/>
          <w:szCs w:val="52"/>
          <w:lang w:eastAsia="zh-CN"/>
        </w:rPr>
        <w:t>普陆页</w:t>
      </w:r>
      <w:r w:rsidRPr="00E67914">
        <w:rPr>
          <w:rFonts w:ascii="Times New Roman" w:eastAsia="黑体" w:hAnsi="Times New Roman"/>
          <w:spacing w:val="-37"/>
          <w:w w:val="95"/>
          <w:sz w:val="52"/>
          <w:szCs w:val="52"/>
          <w:lang w:eastAsia="zh-CN"/>
        </w:rPr>
        <w:t>2</w:t>
      </w:r>
      <w:r w:rsidRPr="00E67914">
        <w:rPr>
          <w:rFonts w:ascii="Times New Roman" w:eastAsia="黑体" w:hAnsi="Times New Roman"/>
          <w:spacing w:val="-37"/>
          <w:w w:val="95"/>
          <w:sz w:val="52"/>
          <w:szCs w:val="52"/>
          <w:lang w:eastAsia="zh-CN"/>
        </w:rPr>
        <w:t>井台钻井及试采工程</w:t>
      </w:r>
    </w:p>
    <w:p w14:paraId="482B1CD7" w14:textId="77777777" w:rsidR="00A54A8A" w:rsidRPr="00E67914" w:rsidRDefault="00000000">
      <w:pPr>
        <w:adjustRightInd w:val="0"/>
        <w:snapToGrid w:val="0"/>
        <w:spacing w:line="360" w:lineRule="auto"/>
        <w:jc w:val="center"/>
        <w:rPr>
          <w:rFonts w:ascii="Times New Roman" w:eastAsia="黑体" w:hAnsi="Times New Roman"/>
          <w:sz w:val="52"/>
          <w:szCs w:val="52"/>
          <w:lang w:eastAsia="zh-CN"/>
        </w:rPr>
      </w:pPr>
      <w:r w:rsidRPr="00E67914">
        <w:rPr>
          <w:rFonts w:ascii="Times New Roman" w:eastAsia="黑体" w:hAnsi="Times New Roman"/>
          <w:sz w:val="52"/>
          <w:szCs w:val="52"/>
          <w:lang w:eastAsia="zh-CN"/>
        </w:rPr>
        <w:t>环境影响报告书</w:t>
      </w:r>
    </w:p>
    <w:p w14:paraId="38FE393A" w14:textId="736E198A" w:rsidR="00A54A8A" w:rsidRPr="00E67914" w:rsidRDefault="00000000">
      <w:pPr>
        <w:adjustRightInd w:val="0"/>
        <w:snapToGrid w:val="0"/>
        <w:spacing w:line="360" w:lineRule="auto"/>
        <w:jc w:val="center"/>
        <w:rPr>
          <w:rFonts w:ascii="Times New Roman" w:eastAsia="楷体" w:hAnsi="Times New Roman"/>
          <w:sz w:val="44"/>
          <w:szCs w:val="44"/>
          <w:lang w:eastAsia="zh-CN"/>
        </w:rPr>
      </w:pPr>
      <w:r w:rsidRPr="00E67914">
        <w:rPr>
          <w:rFonts w:ascii="Times New Roman" w:eastAsia="楷体" w:hAnsi="Times New Roman"/>
          <w:sz w:val="44"/>
          <w:szCs w:val="44"/>
          <w:lang w:eastAsia="zh-CN"/>
        </w:rPr>
        <w:t>（</w:t>
      </w:r>
      <w:r w:rsidR="002662E3" w:rsidRPr="00E67914">
        <w:rPr>
          <w:rFonts w:ascii="Times New Roman" w:eastAsia="楷体" w:hAnsi="Times New Roman"/>
          <w:sz w:val="44"/>
          <w:szCs w:val="44"/>
          <w:lang w:eastAsia="zh-CN"/>
        </w:rPr>
        <w:t>送审</w:t>
      </w:r>
      <w:r w:rsidRPr="00E67914">
        <w:rPr>
          <w:rFonts w:ascii="Times New Roman" w:eastAsia="楷体" w:hAnsi="Times New Roman"/>
          <w:sz w:val="44"/>
          <w:szCs w:val="44"/>
          <w:lang w:eastAsia="zh-CN"/>
        </w:rPr>
        <w:t>本）</w:t>
      </w:r>
    </w:p>
    <w:p w14:paraId="0BE63DBD" w14:textId="77777777" w:rsidR="00A54A8A" w:rsidRPr="00E67914" w:rsidRDefault="00A54A8A">
      <w:pPr>
        <w:adjustRightInd w:val="0"/>
        <w:snapToGrid w:val="0"/>
        <w:spacing w:line="360" w:lineRule="auto"/>
        <w:rPr>
          <w:rFonts w:ascii="Times New Roman" w:eastAsia="隶书" w:hAnsi="Times New Roman"/>
          <w:sz w:val="20"/>
          <w:szCs w:val="20"/>
          <w:lang w:eastAsia="zh-CN"/>
        </w:rPr>
      </w:pPr>
    </w:p>
    <w:p w14:paraId="1ADB4312" w14:textId="77777777" w:rsidR="00A54A8A" w:rsidRPr="00E67914" w:rsidRDefault="00A54A8A">
      <w:pPr>
        <w:adjustRightInd w:val="0"/>
        <w:snapToGrid w:val="0"/>
        <w:spacing w:line="360" w:lineRule="auto"/>
        <w:rPr>
          <w:rFonts w:ascii="Times New Roman" w:eastAsia="隶书" w:hAnsi="Times New Roman"/>
          <w:sz w:val="20"/>
          <w:szCs w:val="20"/>
          <w:lang w:eastAsia="zh-CN"/>
        </w:rPr>
      </w:pPr>
    </w:p>
    <w:p w14:paraId="68A8C0FC"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2D006D46"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046CD539"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5E3CA76C"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57EFD185"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2645BBC0"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5C4085D2"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325AB7A9"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66F5DAA6" w14:textId="77777777" w:rsidR="008752B7" w:rsidRPr="00E67914" w:rsidRDefault="008752B7" w:rsidP="008752B7">
      <w:pPr>
        <w:adjustRightInd w:val="0"/>
        <w:snapToGrid w:val="0"/>
        <w:spacing w:line="360" w:lineRule="auto"/>
        <w:rPr>
          <w:rFonts w:ascii="Times New Roman" w:eastAsia="隶书" w:hAnsi="Times New Roman"/>
          <w:b/>
          <w:bCs/>
          <w:sz w:val="20"/>
          <w:szCs w:val="20"/>
          <w:lang w:eastAsia="zh-CN"/>
        </w:rPr>
      </w:pPr>
    </w:p>
    <w:p w14:paraId="13EC501F" w14:textId="77777777" w:rsidR="008752B7" w:rsidRPr="00E67914" w:rsidRDefault="008752B7" w:rsidP="008752B7">
      <w:pPr>
        <w:adjustRightInd w:val="0"/>
        <w:snapToGrid w:val="0"/>
        <w:spacing w:line="360" w:lineRule="auto"/>
        <w:rPr>
          <w:rFonts w:ascii="Times New Roman" w:eastAsia="隶书" w:hAnsi="Times New Roman"/>
          <w:b/>
          <w:bCs/>
          <w:sz w:val="20"/>
          <w:szCs w:val="20"/>
          <w:lang w:eastAsia="zh-CN"/>
        </w:rPr>
      </w:pPr>
    </w:p>
    <w:p w14:paraId="4EC21C1A" w14:textId="77777777" w:rsidR="008752B7" w:rsidRPr="00E67914" w:rsidRDefault="008752B7" w:rsidP="008752B7">
      <w:pPr>
        <w:adjustRightInd w:val="0"/>
        <w:snapToGrid w:val="0"/>
        <w:spacing w:line="360" w:lineRule="auto"/>
        <w:rPr>
          <w:rFonts w:ascii="Times New Roman" w:eastAsia="隶书" w:hAnsi="Times New Roman"/>
          <w:b/>
          <w:bCs/>
          <w:sz w:val="20"/>
          <w:szCs w:val="20"/>
          <w:lang w:eastAsia="zh-CN"/>
        </w:rPr>
      </w:pPr>
    </w:p>
    <w:p w14:paraId="7522669F" w14:textId="77777777" w:rsidR="008752B7" w:rsidRPr="00E67914" w:rsidRDefault="008752B7" w:rsidP="008752B7">
      <w:pPr>
        <w:adjustRightInd w:val="0"/>
        <w:snapToGrid w:val="0"/>
        <w:spacing w:line="360" w:lineRule="auto"/>
        <w:rPr>
          <w:rFonts w:ascii="Times New Roman" w:eastAsia="隶书" w:hAnsi="Times New Roman"/>
          <w:b/>
          <w:bCs/>
          <w:sz w:val="20"/>
          <w:szCs w:val="20"/>
          <w:lang w:eastAsia="zh-CN"/>
        </w:rPr>
      </w:pPr>
    </w:p>
    <w:p w14:paraId="6354B395" w14:textId="77777777" w:rsidR="008752B7" w:rsidRPr="00E67914" w:rsidRDefault="008752B7" w:rsidP="008752B7">
      <w:pPr>
        <w:adjustRightInd w:val="0"/>
        <w:snapToGrid w:val="0"/>
        <w:spacing w:line="360" w:lineRule="auto"/>
        <w:rPr>
          <w:rFonts w:ascii="Times New Roman" w:eastAsia="隶书" w:hAnsi="Times New Roman"/>
          <w:b/>
          <w:bCs/>
          <w:sz w:val="20"/>
          <w:szCs w:val="20"/>
          <w:lang w:eastAsia="zh-CN"/>
        </w:rPr>
      </w:pPr>
    </w:p>
    <w:p w14:paraId="4628D368" w14:textId="77777777" w:rsidR="008752B7" w:rsidRPr="00E67914" w:rsidRDefault="008752B7" w:rsidP="008752B7">
      <w:pPr>
        <w:adjustRightInd w:val="0"/>
        <w:snapToGrid w:val="0"/>
        <w:spacing w:line="360" w:lineRule="auto"/>
        <w:rPr>
          <w:rFonts w:ascii="Times New Roman" w:eastAsia="隶书" w:hAnsi="Times New Roman"/>
          <w:b/>
          <w:bCs/>
          <w:sz w:val="20"/>
          <w:szCs w:val="20"/>
          <w:lang w:eastAsia="zh-CN"/>
        </w:rPr>
      </w:pPr>
    </w:p>
    <w:p w14:paraId="549979FE" w14:textId="77777777" w:rsidR="008752B7" w:rsidRPr="00E67914" w:rsidRDefault="008752B7" w:rsidP="008752B7">
      <w:pPr>
        <w:adjustRightInd w:val="0"/>
        <w:snapToGrid w:val="0"/>
        <w:spacing w:line="360" w:lineRule="auto"/>
        <w:rPr>
          <w:rFonts w:ascii="Times New Roman" w:eastAsia="隶书" w:hAnsi="Times New Roman"/>
          <w:b/>
          <w:bCs/>
          <w:sz w:val="20"/>
          <w:szCs w:val="20"/>
          <w:lang w:eastAsia="zh-CN"/>
        </w:rPr>
      </w:pPr>
    </w:p>
    <w:p w14:paraId="5D449739"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2B6A54D4" w14:textId="77777777" w:rsidR="00A54A8A" w:rsidRPr="00E67914" w:rsidRDefault="00A54A8A">
      <w:pPr>
        <w:adjustRightInd w:val="0"/>
        <w:snapToGrid w:val="0"/>
        <w:spacing w:line="360" w:lineRule="auto"/>
        <w:rPr>
          <w:rFonts w:ascii="Times New Roman" w:eastAsia="隶书" w:hAnsi="Times New Roman"/>
          <w:b/>
          <w:bCs/>
          <w:sz w:val="20"/>
          <w:szCs w:val="20"/>
          <w:lang w:eastAsia="zh-CN"/>
        </w:rPr>
      </w:pPr>
    </w:p>
    <w:p w14:paraId="29450ACE" w14:textId="77777777" w:rsidR="00A54A8A" w:rsidRPr="00E67914" w:rsidRDefault="00A54A8A">
      <w:pPr>
        <w:adjustRightInd w:val="0"/>
        <w:snapToGrid w:val="0"/>
        <w:spacing w:line="360" w:lineRule="auto"/>
        <w:rPr>
          <w:rFonts w:ascii="Times New Roman" w:eastAsia="隶书" w:hAnsi="Times New Roman"/>
          <w:b/>
          <w:bCs/>
          <w:sz w:val="16"/>
          <w:szCs w:val="16"/>
          <w:lang w:eastAsia="zh-CN"/>
        </w:rPr>
      </w:pPr>
    </w:p>
    <w:p w14:paraId="58BC46BE" w14:textId="77777777" w:rsidR="00A54A8A" w:rsidRPr="00E67914" w:rsidRDefault="00000000">
      <w:pPr>
        <w:adjustRightInd w:val="0"/>
        <w:snapToGrid w:val="0"/>
        <w:spacing w:line="360" w:lineRule="auto"/>
        <w:ind w:left="1600" w:hangingChars="500" w:hanging="1600"/>
        <w:rPr>
          <w:rFonts w:ascii="Times New Roman" w:eastAsia="黑体" w:hAnsi="Times New Roman"/>
          <w:bCs/>
          <w:kern w:val="2"/>
          <w:sz w:val="32"/>
          <w:szCs w:val="32"/>
          <w:lang w:eastAsia="zh-CN"/>
        </w:rPr>
      </w:pPr>
      <w:r w:rsidRPr="00E67914">
        <w:rPr>
          <w:rFonts w:ascii="Times New Roman" w:eastAsia="黑体" w:hAnsi="Times New Roman"/>
          <w:bCs/>
          <w:kern w:val="2"/>
          <w:sz w:val="32"/>
          <w:szCs w:val="32"/>
          <w:lang w:eastAsia="zh-CN"/>
        </w:rPr>
        <w:t>建设单位：中国石油化工股份有限公司中原油田</w:t>
      </w:r>
      <w:bookmarkStart w:id="0" w:name="_Hlk107154433"/>
      <w:r w:rsidRPr="00E67914">
        <w:rPr>
          <w:rFonts w:ascii="Times New Roman" w:eastAsia="黑体" w:hAnsi="Times New Roman"/>
          <w:bCs/>
          <w:kern w:val="2"/>
          <w:sz w:val="32"/>
          <w:szCs w:val="32"/>
          <w:lang w:eastAsia="zh-CN"/>
        </w:rPr>
        <w:t>普光分公司</w:t>
      </w:r>
      <w:bookmarkEnd w:id="0"/>
    </w:p>
    <w:p w14:paraId="49F2D2EB" w14:textId="77777777" w:rsidR="00A54A8A" w:rsidRPr="00E67914" w:rsidRDefault="00000000">
      <w:pPr>
        <w:adjustRightInd w:val="0"/>
        <w:snapToGrid w:val="0"/>
        <w:spacing w:line="360" w:lineRule="auto"/>
        <w:ind w:left="960" w:hangingChars="300" w:hanging="960"/>
        <w:rPr>
          <w:rFonts w:ascii="Times New Roman" w:eastAsia="黑体" w:hAnsi="Times New Roman"/>
          <w:bCs/>
          <w:kern w:val="2"/>
          <w:sz w:val="32"/>
          <w:szCs w:val="32"/>
          <w:lang w:eastAsia="zh-CN"/>
        </w:rPr>
      </w:pPr>
      <w:r w:rsidRPr="00E67914">
        <w:rPr>
          <w:rFonts w:ascii="Times New Roman" w:eastAsia="黑体" w:hAnsi="Times New Roman"/>
          <w:bCs/>
          <w:kern w:val="2"/>
          <w:sz w:val="32"/>
          <w:szCs w:val="32"/>
          <w:lang w:eastAsia="zh-CN"/>
        </w:rPr>
        <w:t>环评单位：成都艺博环美环保科技有限公司</w:t>
      </w:r>
    </w:p>
    <w:p w14:paraId="039270CB" w14:textId="1B67F887" w:rsidR="00A54A8A" w:rsidRPr="00E67914" w:rsidRDefault="00000000">
      <w:pPr>
        <w:adjustRightInd w:val="0"/>
        <w:snapToGrid w:val="0"/>
        <w:spacing w:line="360" w:lineRule="auto"/>
        <w:jc w:val="center"/>
        <w:rPr>
          <w:rFonts w:ascii="Times New Roman" w:eastAsia="黑体" w:hAnsi="Times New Roman"/>
          <w:bCs/>
          <w:kern w:val="2"/>
          <w:sz w:val="32"/>
          <w:szCs w:val="32"/>
          <w:lang w:eastAsia="zh-CN"/>
        </w:rPr>
      </w:pPr>
      <w:r w:rsidRPr="00E67914">
        <w:rPr>
          <w:rFonts w:ascii="Times New Roman" w:eastAsia="黑体" w:hAnsi="Times New Roman"/>
          <w:bCs/>
          <w:kern w:val="2"/>
          <w:sz w:val="32"/>
          <w:szCs w:val="32"/>
          <w:lang w:eastAsia="zh-CN"/>
        </w:rPr>
        <w:t>二〇二三年</w:t>
      </w:r>
      <w:r w:rsidR="00EE054F" w:rsidRPr="00E67914">
        <w:rPr>
          <w:rFonts w:ascii="Times New Roman" w:eastAsia="黑体" w:hAnsi="Times New Roman"/>
          <w:bCs/>
          <w:kern w:val="2"/>
          <w:sz w:val="32"/>
          <w:szCs w:val="32"/>
          <w:lang w:eastAsia="zh-CN"/>
        </w:rPr>
        <w:t>十</w:t>
      </w:r>
      <w:r w:rsidRPr="00E67914">
        <w:rPr>
          <w:rFonts w:ascii="Times New Roman" w:eastAsia="黑体" w:hAnsi="Times New Roman"/>
          <w:bCs/>
          <w:kern w:val="2"/>
          <w:sz w:val="32"/>
          <w:szCs w:val="32"/>
          <w:lang w:eastAsia="zh-CN"/>
        </w:rPr>
        <w:t>月</w:t>
      </w:r>
    </w:p>
    <w:p w14:paraId="23FDD30C" w14:textId="77777777" w:rsidR="00A54A8A" w:rsidRPr="00E67914" w:rsidRDefault="00A54A8A">
      <w:pPr>
        <w:adjustRightInd w:val="0"/>
        <w:snapToGrid w:val="0"/>
        <w:spacing w:line="360" w:lineRule="auto"/>
        <w:ind w:firstLineChars="200" w:firstLine="480"/>
        <w:jc w:val="both"/>
        <w:rPr>
          <w:rFonts w:ascii="Times New Roman" w:hAnsi="Times New Roman"/>
          <w:sz w:val="24"/>
          <w:lang w:eastAsia="zh-CN"/>
        </w:rPr>
      </w:pPr>
    </w:p>
    <w:p w14:paraId="5B9628C8" w14:textId="77777777" w:rsidR="00A54A8A" w:rsidRPr="00E67914" w:rsidRDefault="00A54A8A">
      <w:pPr>
        <w:adjustRightInd w:val="0"/>
        <w:snapToGrid w:val="0"/>
        <w:spacing w:line="360" w:lineRule="auto"/>
        <w:ind w:firstLineChars="200" w:firstLine="480"/>
        <w:jc w:val="both"/>
        <w:rPr>
          <w:rFonts w:ascii="Times New Roman" w:hAnsi="Times New Roman"/>
          <w:sz w:val="24"/>
          <w:lang w:eastAsia="zh-CN"/>
        </w:rPr>
      </w:pPr>
    </w:p>
    <w:p w14:paraId="7445D447" w14:textId="77777777" w:rsidR="009F60E5" w:rsidRPr="00E67914" w:rsidRDefault="009F60E5">
      <w:pPr>
        <w:adjustRightInd w:val="0"/>
        <w:snapToGrid w:val="0"/>
        <w:spacing w:line="360" w:lineRule="auto"/>
        <w:ind w:firstLineChars="200" w:firstLine="480"/>
        <w:jc w:val="both"/>
        <w:rPr>
          <w:rFonts w:ascii="Times New Roman" w:hAnsi="Times New Roman"/>
          <w:sz w:val="24"/>
          <w:lang w:eastAsia="zh-CN"/>
        </w:rPr>
        <w:sectPr w:rsidR="009F60E5" w:rsidRPr="00E67914">
          <w:footerReference w:type="default" r:id="rId9"/>
          <w:type w:val="nextColumn"/>
          <w:pgSz w:w="11910" w:h="16840"/>
          <w:pgMar w:top="1440" w:right="1644" w:bottom="1440" w:left="1644" w:header="720" w:footer="720" w:gutter="0"/>
          <w:pgNumType w:fmt="upperRoman"/>
          <w:cols w:space="720"/>
        </w:sectPr>
      </w:pPr>
    </w:p>
    <w:p w14:paraId="2AA76E0E" w14:textId="77777777" w:rsidR="00A54A8A" w:rsidRPr="00E67914" w:rsidRDefault="00A54A8A">
      <w:pPr>
        <w:adjustRightInd w:val="0"/>
        <w:snapToGrid w:val="0"/>
        <w:spacing w:line="360" w:lineRule="auto"/>
        <w:ind w:firstLineChars="200" w:firstLine="480"/>
        <w:jc w:val="both"/>
        <w:rPr>
          <w:rFonts w:ascii="Times New Roman" w:hAnsi="Times New Roman"/>
          <w:sz w:val="24"/>
          <w:lang w:eastAsia="zh-CN"/>
        </w:rPr>
      </w:pPr>
    </w:p>
    <w:p w14:paraId="7435CA0D" w14:textId="77777777" w:rsidR="00A54A8A" w:rsidRPr="00E67914" w:rsidRDefault="00A54A8A">
      <w:pPr>
        <w:adjustRightInd w:val="0"/>
        <w:snapToGrid w:val="0"/>
        <w:spacing w:line="360" w:lineRule="auto"/>
        <w:ind w:firstLineChars="200" w:firstLine="480"/>
        <w:jc w:val="both"/>
        <w:rPr>
          <w:rFonts w:ascii="Times New Roman" w:hAnsi="Times New Roman"/>
          <w:sz w:val="24"/>
          <w:lang w:eastAsia="zh-CN"/>
        </w:rPr>
      </w:pPr>
    </w:p>
    <w:p w14:paraId="4E95530D" w14:textId="77777777" w:rsidR="00A54A8A" w:rsidRPr="00E67914" w:rsidRDefault="00A54A8A">
      <w:pPr>
        <w:adjustRightInd w:val="0"/>
        <w:snapToGrid w:val="0"/>
        <w:spacing w:line="360" w:lineRule="auto"/>
        <w:ind w:firstLineChars="200" w:firstLine="480"/>
        <w:jc w:val="both"/>
        <w:rPr>
          <w:rFonts w:ascii="Times New Roman" w:hAnsi="Times New Roman"/>
          <w:sz w:val="24"/>
          <w:lang w:eastAsia="zh-CN"/>
        </w:rPr>
      </w:pPr>
    </w:p>
    <w:p w14:paraId="519FFD27" w14:textId="77777777" w:rsidR="00A54A8A" w:rsidRPr="00E67914" w:rsidRDefault="00A54A8A">
      <w:pPr>
        <w:adjustRightInd w:val="0"/>
        <w:snapToGrid w:val="0"/>
        <w:spacing w:line="360" w:lineRule="auto"/>
        <w:ind w:firstLineChars="200" w:firstLine="480"/>
        <w:jc w:val="both"/>
        <w:rPr>
          <w:rFonts w:ascii="Times New Roman" w:hAnsi="Times New Roman"/>
          <w:sz w:val="24"/>
          <w:lang w:eastAsia="zh-CN"/>
        </w:rPr>
      </w:pPr>
    </w:p>
    <w:p w14:paraId="01BF9C6F" w14:textId="77777777" w:rsidR="00A54A8A" w:rsidRPr="00E67914" w:rsidRDefault="00A54A8A">
      <w:pPr>
        <w:adjustRightInd w:val="0"/>
        <w:snapToGrid w:val="0"/>
        <w:spacing w:line="360" w:lineRule="auto"/>
        <w:ind w:firstLineChars="200" w:firstLine="480"/>
        <w:jc w:val="both"/>
        <w:rPr>
          <w:rFonts w:ascii="Times New Roman" w:hAnsi="Times New Roman"/>
          <w:sz w:val="24"/>
          <w:lang w:eastAsia="zh-CN"/>
        </w:rPr>
      </w:pPr>
    </w:p>
    <w:p w14:paraId="2EE10AF1" w14:textId="77777777" w:rsidR="00A54A8A" w:rsidRPr="00E67914" w:rsidRDefault="00A54A8A">
      <w:pPr>
        <w:adjustRightInd w:val="0"/>
        <w:snapToGrid w:val="0"/>
        <w:spacing w:line="360" w:lineRule="auto"/>
        <w:ind w:firstLineChars="200" w:firstLine="480"/>
        <w:jc w:val="both"/>
        <w:rPr>
          <w:rFonts w:ascii="Times New Roman" w:hAnsi="Times New Roman"/>
          <w:sz w:val="24"/>
          <w:lang w:eastAsia="zh-CN"/>
        </w:rPr>
      </w:pPr>
    </w:p>
    <w:p w14:paraId="35ED9FC1" w14:textId="77777777" w:rsidR="009F60E5" w:rsidRPr="00E67914" w:rsidRDefault="009F60E5">
      <w:pPr>
        <w:adjustRightInd w:val="0"/>
        <w:snapToGrid w:val="0"/>
        <w:spacing w:line="360" w:lineRule="auto"/>
        <w:ind w:firstLineChars="200" w:firstLine="480"/>
        <w:jc w:val="both"/>
        <w:rPr>
          <w:rFonts w:ascii="Times New Roman" w:hAnsi="Times New Roman"/>
          <w:sz w:val="24"/>
          <w:lang w:eastAsia="zh-CN"/>
        </w:rPr>
        <w:sectPr w:rsidR="009F60E5" w:rsidRPr="00E67914" w:rsidSect="009F60E5">
          <w:pgSz w:w="11910" w:h="16840"/>
          <w:pgMar w:top="1440" w:right="1644" w:bottom="1440" w:left="1644" w:header="720" w:footer="720" w:gutter="0"/>
          <w:pgNumType w:fmt="upperRoman"/>
          <w:cols w:space="720"/>
        </w:sectPr>
      </w:pPr>
    </w:p>
    <w:p w14:paraId="2CF7E183" w14:textId="77777777" w:rsidR="00A54A8A" w:rsidRPr="00E67914" w:rsidRDefault="00000000">
      <w:pPr>
        <w:tabs>
          <w:tab w:val="left" w:pos="583"/>
        </w:tabs>
        <w:adjustRightInd w:val="0"/>
        <w:snapToGrid w:val="0"/>
        <w:spacing w:beforeLines="100" w:before="240" w:line="360" w:lineRule="auto"/>
        <w:jc w:val="center"/>
        <w:rPr>
          <w:rFonts w:ascii="Times New Roman" w:hAnsi="Times New Roman"/>
          <w:b/>
          <w:bCs/>
          <w:sz w:val="32"/>
          <w:szCs w:val="32"/>
          <w:lang w:eastAsia="zh-CN"/>
        </w:rPr>
      </w:pPr>
      <w:r w:rsidRPr="00E67914">
        <w:rPr>
          <w:rFonts w:ascii="Times New Roman" w:hAnsi="Times New Roman"/>
          <w:b/>
          <w:bCs/>
          <w:w w:val="95"/>
          <w:sz w:val="32"/>
          <w:szCs w:val="32"/>
          <w:lang w:eastAsia="zh-CN"/>
        </w:rPr>
        <w:lastRenderedPageBreak/>
        <w:t>目</w:t>
      </w:r>
      <w:r w:rsidRPr="00E67914">
        <w:rPr>
          <w:rFonts w:ascii="Times New Roman" w:hAnsi="Times New Roman"/>
          <w:b/>
          <w:bCs/>
          <w:sz w:val="32"/>
          <w:szCs w:val="32"/>
          <w:lang w:eastAsia="zh-CN"/>
        </w:rPr>
        <w:t>录</w:t>
      </w:r>
    </w:p>
    <w:p w14:paraId="24D487C1" w14:textId="6D1C2134" w:rsidR="00E67914" w:rsidRPr="00E67914" w:rsidRDefault="00C9297F">
      <w:pPr>
        <w:pStyle w:val="TOC1"/>
        <w:tabs>
          <w:tab w:val="right" w:leader="dot" w:pos="8300"/>
        </w:tabs>
        <w:rPr>
          <w:rFonts w:ascii="Times New Roman" w:eastAsiaTheme="minorEastAsia" w:hAnsi="Times New Roman"/>
          <w:noProof/>
          <w:kern w:val="2"/>
          <w:sz w:val="21"/>
          <w:lang w:eastAsia="zh-CN"/>
          <w14:ligatures w14:val="standardContextual"/>
        </w:rPr>
      </w:pPr>
      <w:r w:rsidRPr="00E67914">
        <w:rPr>
          <w:rFonts w:ascii="Times New Roman" w:hAnsi="Times New Roman"/>
          <w:sz w:val="24"/>
          <w:szCs w:val="24"/>
          <w:lang w:eastAsia="zh-CN"/>
        </w:rPr>
        <w:fldChar w:fldCharType="begin"/>
      </w:r>
      <w:r w:rsidRPr="00E67914">
        <w:rPr>
          <w:rFonts w:ascii="Times New Roman" w:hAnsi="Times New Roman"/>
          <w:sz w:val="24"/>
          <w:szCs w:val="24"/>
          <w:lang w:eastAsia="zh-CN"/>
        </w:rPr>
        <w:instrText xml:space="preserve"> TOC \o "1-2" \h \z \u </w:instrText>
      </w:r>
      <w:r w:rsidRPr="00E67914">
        <w:rPr>
          <w:rFonts w:ascii="Times New Roman" w:hAnsi="Times New Roman"/>
          <w:sz w:val="24"/>
          <w:szCs w:val="24"/>
          <w:lang w:eastAsia="zh-CN"/>
        </w:rPr>
        <w:fldChar w:fldCharType="separate"/>
      </w:r>
      <w:hyperlink w:anchor="_Toc148654201" w:history="1">
        <w:r w:rsidR="00E67914" w:rsidRPr="00E67914">
          <w:rPr>
            <w:rStyle w:val="afff0"/>
            <w:rFonts w:ascii="Times New Roman" w:eastAsia="黑体" w:hAnsi="Times New Roman"/>
            <w:noProof/>
            <w:color w:val="auto"/>
            <w:lang w:eastAsia="zh-CN"/>
          </w:rPr>
          <w:t>1</w:t>
        </w:r>
        <w:r w:rsidR="00E67914" w:rsidRPr="00E67914">
          <w:rPr>
            <w:rStyle w:val="afff0"/>
            <w:rFonts w:ascii="Times New Roman" w:eastAsia="黑体" w:hAnsi="Times New Roman"/>
            <w:noProof/>
            <w:color w:val="auto"/>
            <w:lang w:eastAsia="zh-CN"/>
          </w:rPr>
          <w:t>、概述</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_Toc148654201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w:t>
        </w:r>
        <w:r w:rsidR="00E67914" w:rsidRPr="00E67914">
          <w:rPr>
            <w:rFonts w:ascii="Times New Roman" w:hAnsi="Times New Roman"/>
            <w:noProof/>
            <w:webHidden/>
          </w:rPr>
          <w:fldChar w:fldCharType="end"/>
        </w:r>
      </w:hyperlink>
    </w:p>
    <w:p w14:paraId="0868BF63" w14:textId="5BF1A169"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02" w:history="1">
        <w:r w:rsidR="00E67914" w:rsidRPr="00E67914">
          <w:rPr>
            <w:rStyle w:val="afff0"/>
            <w:rFonts w:ascii="Times New Roman" w:hAnsi="Times New Roman"/>
            <w:noProof/>
            <w:color w:val="auto"/>
            <w:lang w:eastAsia="zh-CN"/>
          </w:rPr>
          <w:t>1.1</w:t>
        </w:r>
        <w:r w:rsidR="00E67914" w:rsidRPr="00E67914">
          <w:rPr>
            <w:rStyle w:val="afff0"/>
            <w:rFonts w:ascii="Times New Roman" w:hAnsi="Times New Roman"/>
            <w:noProof/>
            <w:color w:val="auto"/>
            <w:lang w:eastAsia="zh-CN"/>
          </w:rPr>
          <w:t>项目背景</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_Toc148654202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w:t>
        </w:r>
        <w:r w:rsidR="00E67914" w:rsidRPr="00E67914">
          <w:rPr>
            <w:rFonts w:ascii="Times New Roman" w:hAnsi="Times New Roman"/>
            <w:noProof/>
            <w:webHidden/>
          </w:rPr>
          <w:fldChar w:fldCharType="end"/>
        </w:r>
      </w:hyperlink>
    </w:p>
    <w:p w14:paraId="3582E0A4" w14:textId="0229CC4C"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03" w:history="1">
        <w:r w:rsidR="00E67914" w:rsidRPr="00E67914">
          <w:rPr>
            <w:rStyle w:val="afff0"/>
            <w:rFonts w:ascii="Times New Roman" w:hAnsi="Times New Roman"/>
            <w:noProof/>
            <w:color w:val="auto"/>
            <w:lang w:eastAsia="zh-CN"/>
          </w:rPr>
          <w:t>1.2</w:t>
        </w:r>
        <w:r w:rsidR="00E67914" w:rsidRPr="00E67914">
          <w:rPr>
            <w:rStyle w:val="afff0"/>
            <w:rFonts w:ascii="Times New Roman" w:hAnsi="Times New Roman"/>
            <w:noProof/>
            <w:color w:val="auto"/>
            <w:lang w:eastAsia="zh-CN"/>
          </w:rPr>
          <w:t>建设项目特点</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_Toc148654203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4</w:t>
        </w:r>
        <w:r w:rsidR="00E67914" w:rsidRPr="00E67914">
          <w:rPr>
            <w:rFonts w:ascii="Times New Roman" w:hAnsi="Times New Roman"/>
            <w:noProof/>
            <w:webHidden/>
          </w:rPr>
          <w:fldChar w:fldCharType="end"/>
        </w:r>
      </w:hyperlink>
    </w:p>
    <w:p w14:paraId="78F0C117" w14:textId="6A7D02D5"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04" w:history="1">
        <w:r w:rsidR="00E67914" w:rsidRPr="00E67914">
          <w:rPr>
            <w:rStyle w:val="afff0"/>
            <w:rFonts w:ascii="Times New Roman" w:hAnsi="Times New Roman"/>
            <w:noProof/>
            <w:color w:val="auto"/>
            <w:lang w:eastAsia="zh-CN"/>
          </w:rPr>
          <w:t>1.3</w:t>
        </w:r>
        <w:r w:rsidR="00E67914" w:rsidRPr="00E67914">
          <w:rPr>
            <w:rStyle w:val="afff0"/>
            <w:rFonts w:ascii="Times New Roman" w:hAnsi="Times New Roman"/>
            <w:noProof/>
            <w:color w:val="auto"/>
            <w:lang w:eastAsia="zh-CN"/>
          </w:rPr>
          <w:t>环境影响评价的工作过程</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_Toc148654204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5</w:t>
        </w:r>
        <w:r w:rsidR="00E67914" w:rsidRPr="00E67914">
          <w:rPr>
            <w:rFonts w:ascii="Times New Roman" w:hAnsi="Times New Roman"/>
            <w:noProof/>
            <w:webHidden/>
          </w:rPr>
          <w:fldChar w:fldCharType="end"/>
        </w:r>
      </w:hyperlink>
    </w:p>
    <w:p w14:paraId="472C78DB" w14:textId="3894457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05" w:history="1">
        <w:r w:rsidR="00E67914" w:rsidRPr="00E67914">
          <w:rPr>
            <w:rStyle w:val="afff0"/>
            <w:rFonts w:ascii="Times New Roman" w:hAnsi="Times New Roman"/>
            <w:noProof/>
            <w:color w:val="auto"/>
            <w:lang w:eastAsia="zh-CN"/>
          </w:rPr>
          <w:t>1.4</w:t>
        </w:r>
        <w:r w:rsidR="00E67914" w:rsidRPr="00E67914">
          <w:rPr>
            <w:rStyle w:val="afff0"/>
            <w:rFonts w:ascii="Times New Roman" w:hAnsi="Times New Roman"/>
            <w:noProof/>
            <w:color w:val="auto"/>
            <w:lang w:eastAsia="zh-CN"/>
          </w:rPr>
          <w:t>分析判定相关情况</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_Toc148654205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6</w:t>
        </w:r>
        <w:r w:rsidR="00E67914" w:rsidRPr="00E67914">
          <w:rPr>
            <w:rFonts w:ascii="Times New Roman" w:hAnsi="Times New Roman"/>
            <w:noProof/>
            <w:webHidden/>
          </w:rPr>
          <w:fldChar w:fldCharType="end"/>
        </w:r>
      </w:hyperlink>
    </w:p>
    <w:p w14:paraId="102539CF" w14:textId="2FA4C422"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06" w:history="1">
        <w:r w:rsidR="00E67914" w:rsidRPr="00E67914">
          <w:rPr>
            <w:rStyle w:val="afff0"/>
            <w:rFonts w:ascii="Times New Roman" w:hAnsi="Times New Roman"/>
            <w:noProof/>
            <w:color w:val="auto"/>
            <w:lang w:eastAsia="zh-CN"/>
          </w:rPr>
          <w:t>1.5</w:t>
        </w:r>
        <w:r w:rsidR="00E67914" w:rsidRPr="00E67914">
          <w:rPr>
            <w:rStyle w:val="afff0"/>
            <w:rFonts w:ascii="Times New Roman" w:hAnsi="Times New Roman"/>
            <w:noProof/>
            <w:color w:val="auto"/>
            <w:lang w:eastAsia="zh-CN"/>
          </w:rPr>
          <w:t>关注的主要环境问题</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_Toc148654206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6</w:t>
        </w:r>
        <w:r w:rsidR="00E67914" w:rsidRPr="00E67914">
          <w:rPr>
            <w:rFonts w:ascii="Times New Roman" w:hAnsi="Times New Roman"/>
            <w:noProof/>
            <w:webHidden/>
          </w:rPr>
          <w:fldChar w:fldCharType="end"/>
        </w:r>
      </w:hyperlink>
    </w:p>
    <w:p w14:paraId="7F278247" w14:textId="4BCFA876"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07" w:history="1">
        <w:r w:rsidR="00E67914" w:rsidRPr="00E67914">
          <w:rPr>
            <w:rStyle w:val="afff0"/>
            <w:rFonts w:ascii="Times New Roman" w:hAnsi="Times New Roman"/>
            <w:noProof/>
            <w:color w:val="auto"/>
            <w:lang w:eastAsia="zh-CN"/>
          </w:rPr>
          <w:t>1.6</w:t>
        </w:r>
        <w:r w:rsidR="00E67914" w:rsidRPr="00E67914">
          <w:rPr>
            <w:rStyle w:val="afff0"/>
            <w:rFonts w:ascii="Times New Roman" w:hAnsi="Times New Roman"/>
            <w:noProof/>
            <w:color w:val="auto"/>
            <w:lang w:eastAsia="zh-CN"/>
          </w:rPr>
          <w:t>环境影响评价的主要结论</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_Toc148654207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7</w:t>
        </w:r>
        <w:r w:rsidR="00E67914" w:rsidRPr="00E67914">
          <w:rPr>
            <w:rFonts w:ascii="Times New Roman" w:hAnsi="Times New Roman"/>
            <w:noProof/>
            <w:webHidden/>
          </w:rPr>
          <w:fldChar w:fldCharType="end"/>
        </w:r>
      </w:hyperlink>
    </w:p>
    <w:p w14:paraId="29BDD3F5" w14:textId="46D8C1A2"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08" w:history="1">
        <w:r w:rsidR="00E67914" w:rsidRPr="00E67914">
          <w:rPr>
            <w:rStyle w:val="afff0"/>
            <w:rFonts w:ascii="Times New Roman" w:eastAsia="黑体" w:hAnsi="Times New Roman"/>
            <w:noProof/>
            <w:color w:val="auto"/>
            <w:lang w:eastAsia="zh-CN"/>
          </w:rPr>
          <w:t>2</w:t>
        </w:r>
        <w:r w:rsidR="00E67914" w:rsidRPr="00E67914">
          <w:rPr>
            <w:rStyle w:val="afff0"/>
            <w:rFonts w:ascii="Times New Roman" w:eastAsia="黑体" w:hAnsi="Times New Roman"/>
            <w:noProof/>
            <w:color w:val="auto"/>
            <w:lang w:eastAsia="zh-CN"/>
          </w:rPr>
          <w:t>总则</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_Toc148654208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8</w:t>
        </w:r>
        <w:r w:rsidR="00E67914" w:rsidRPr="00E67914">
          <w:rPr>
            <w:rFonts w:ascii="Times New Roman" w:hAnsi="Times New Roman"/>
            <w:noProof/>
            <w:webHidden/>
          </w:rPr>
          <w:fldChar w:fldCharType="end"/>
        </w:r>
      </w:hyperlink>
    </w:p>
    <w:p w14:paraId="727922B6" w14:textId="109E6086"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09" w:history="1">
        <w:r w:rsidR="00E67914" w:rsidRPr="00E67914">
          <w:rPr>
            <w:rStyle w:val="afff0"/>
            <w:rFonts w:ascii="Times New Roman" w:hAnsi="Times New Roman"/>
            <w:noProof/>
            <w:color w:val="auto"/>
            <w:lang w:eastAsia="zh-CN"/>
          </w:rPr>
          <w:t>2.1</w:t>
        </w:r>
        <w:r w:rsidR="00E67914" w:rsidRPr="00E67914">
          <w:rPr>
            <w:rStyle w:val="afff0"/>
            <w:rFonts w:ascii="Times New Roman" w:hAnsi="Times New Roman"/>
            <w:noProof/>
            <w:color w:val="auto"/>
            <w:lang w:eastAsia="zh-CN"/>
          </w:rPr>
          <w:t>评价目的</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_Toc148654209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8</w:t>
        </w:r>
        <w:r w:rsidR="00E67914" w:rsidRPr="00E67914">
          <w:rPr>
            <w:rFonts w:ascii="Times New Roman" w:hAnsi="Times New Roman"/>
            <w:noProof/>
            <w:webHidden/>
          </w:rPr>
          <w:fldChar w:fldCharType="end"/>
        </w:r>
      </w:hyperlink>
    </w:p>
    <w:p w14:paraId="2C358F9D" w14:textId="2BC9909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0" w:history="1">
        <w:r w:rsidR="00E67914" w:rsidRPr="00E67914">
          <w:rPr>
            <w:rStyle w:val="afff0"/>
            <w:rFonts w:ascii="Times New Roman" w:hAnsi="Times New Roman"/>
            <w:noProof/>
            <w:color w:val="auto"/>
            <w:lang w:eastAsia="zh-CN"/>
          </w:rPr>
          <w:t>2.2</w:t>
        </w:r>
        <w:r w:rsidR="00E67914" w:rsidRPr="00E67914">
          <w:rPr>
            <w:rStyle w:val="afff0"/>
            <w:rFonts w:ascii="Times New Roman" w:hAnsi="Times New Roman"/>
            <w:noProof/>
            <w:color w:val="auto"/>
            <w:lang w:eastAsia="zh-CN"/>
          </w:rPr>
          <w:t>评价原则</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_Toc148654210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8</w:t>
        </w:r>
        <w:r w:rsidR="00E67914" w:rsidRPr="00E67914">
          <w:rPr>
            <w:rFonts w:ascii="Times New Roman" w:hAnsi="Times New Roman"/>
            <w:noProof/>
            <w:webHidden/>
          </w:rPr>
          <w:fldChar w:fldCharType="end"/>
        </w:r>
      </w:hyperlink>
    </w:p>
    <w:p w14:paraId="1DD3384E" w14:textId="44877716"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1" w:history="1">
        <w:r w:rsidR="00E67914" w:rsidRPr="00E67914">
          <w:rPr>
            <w:rStyle w:val="afff0"/>
            <w:rFonts w:ascii="Times New Roman" w:hAnsi="Times New Roman"/>
            <w:noProof/>
            <w:color w:val="auto"/>
            <w:lang w:eastAsia="zh-CN"/>
          </w:rPr>
          <w:t>2.3</w:t>
        </w:r>
        <w:r w:rsidR="00E67914" w:rsidRPr="00E67914">
          <w:rPr>
            <w:rStyle w:val="afff0"/>
            <w:rFonts w:ascii="Times New Roman" w:hAnsi="Times New Roman"/>
            <w:noProof/>
            <w:color w:val="auto"/>
            <w:lang w:eastAsia="zh-CN"/>
          </w:rPr>
          <w:t>编制依据</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_Toc148654211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8</w:t>
        </w:r>
        <w:r w:rsidR="00E67914" w:rsidRPr="00E67914">
          <w:rPr>
            <w:rFonts w:ascii="Times New Roman" w:hAnsi="Times New Roman"/>
            <w:noProof/>
            <w:webHidden/>
          </w:rPr>
          <w:fldChar w:fldCharType="end"/>
        </w:r>
      </w:hyperlink>
    </w:p>
    <w:p w14:paraId="4B23B9A3" w14:textId="447F1C19"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2" w:history="1">
        <w:r w:rsidR="00E67914" w:rsidRPr="00E67914">
          <w:rPr>
            <w:rStyle w:val="afff0"/>
            <w:rFonts w:ascii="Times New Roman" w:hAnsi="Times New Roman"/>
            <w:noProof/>
            <w:color w:val="auto"/>
            <w:lang w:eastAsia="zh-CN"/>
          </w:rPr>
          <w:t>2.4</w:t>
        </w:r>
        <w:r w:rsidR="00E67914" w:rsidRPr="00E67914">
          <w:rPr>
            <w:rStyle w:val="afff0"/>
            <w:rFonts w:ascii="Times New Roman" w:hAnsi="Times New Roman"/>
            <w:noProof/>
            <w:color w:val="auto"/>
            <w:lang w:eastAsia="zh-CN"/>
          </w:rPr>
          <w:t>环境影响识别与评价因子筛选</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_Toc148654212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14</w:t>
        </w:r>
        <w:r w:rsidR="00E67914" w:rsidRPr="00E67914">
          <w:rPr>
            <w:rFonts w:ascii="Times New Roman" w:hAnsi="Times New Roman"/>
            <w:noProof/>
            <w:webHidden/>
          </w:rPr>
          <w:fldChar w:fldCharType="end"/>
        </w:r>
      </w:hyperlink>
    </w:p>
    <w:p w14:paraId="34958FFC" w14:textId="1C2FAC0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3" w:history="1">
        <w:r w:rsidR="00E67914" w:rsidRPr="00E67914">
          <w:rPr>
            <w:rStyle w:val="afff0"/>
            <w:rFonts w:ascii="Times New Roman" w:hAnsi="Times New Roman"/>
            <w:noProof/>
            <w:color w:val="auto"/>
            <w:lang w:eastAsia="zh-CN"/>
          </w:rPr>
          <w:t>2.5</w:t>
        </w:r>
        <w:r w:rsidR="00E67914" w:rsidRPr="00E67914">
          <w:rPr>
            <w:rStyle w:val="afff0"/>
            <w:rFonts w:ascii="Times New Roman" w:hAnsi="Times New Roman"/>
            <w:noProof/>
            <w:color w:val="auto"/>
            <w:lang w:eastAsia="zh-CN"/>
          </w:rPr>
          <w:t>环境功能区划与评价标准</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_Toc148654213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18</w:t>
        </w:r>
        <w:r w:rsidR="00E67914" w:rsidRPr="00E67914">
          <w:rPr>
            <w:rFonts w:ascii="Times New Roman" w:hAnsi="Times New Roman"/>
            <w:noProof/>
            <w:webHidden/>
          </w:rPr>
          <w:fldChar w:fldCharType="end"/>
        </w:r>
      </w:hyperlink>
    </w:p>
    <w:p w14:paraId="68C1945B" w14:textId="6BB44E46"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4" w:history="1">
        <w:r w:rsidR="00E67914" w:rsidRPr="00E67914">
          <w:rPr>
            <w:rStyle w:val="afff0"/>
            <w:rFonts w:ascii="Times New Roman" w:hAnsi="Times New Roman"/>
            <w:noProof/>
            <w:color w:val="auto"/>
            <w:lang w:eastAsia="zh-CN"/>
          </w:rPr>
          <w:t>2.6</w:t>
        </w:r>
        <w:r w:rsidR="00E67914" w:rsidRPr="00E67914">
          <w:rPr>
            <w:rStyle w:val="afff0"/>
            <w:rFonts w:ascii="Times New Roman" w:hAnsi="Times New Roman"/>
            <w:noProof/>
            <w:color w:val="auto"/>
            <w:lang w:eastAsia="zh-CN"/>
          </w:rPr>
          <w:t>评价工作等级和评价范围</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_Toc148654214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23</w:t>
        </w:r>
        <w:r w:rsidR="00E67914" w:rsidRPr="00E67914">
          <w:rPr>
            <w:rFonts w:ascii="Times New Roman" w:hAnsi="Times New Roman"/>
            <w:noProof/>
            <w:webHidden/>
          </w:rPr>
          <w:fldChar w:fldCharType="end"/>
        </w:r>
      </w:hyperlink>
    </w:p>
    <w:p w14:paraId="656550C8" w14:textId="4BFD454D"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5" w:history="1">
        <w:r w:rsidR="00E67914" w:rsidRPr="00E67914">
          <w:rPr>
            <w:rStyle w:val="afff0"/>
            <w:rFonts w:ascii="Times New Roman" w:hAnsi="Times New Roman"/>
            <w:noProof/>
            <w:color w:val="auto"/>
            <w:lang w:eastAsia="zh-CN"/>
          </w:rPr>
          <w:t>2.7</w:t>
        </w:r>
        <w:r w:rsidR="00E67914" w:rsidRPr="00E67914">
          <w:rPr>
            <w:rStyle w:val="afff0"/>
            <w:rFonts w:ascii="Times New Roman" w:hAnsi="Times New Roman"/>
            <w:noProof/>
            <w:color w:val="auto"/>
            <w:lang w:eastAsia="zh-CN"/>
          </w:rPr>
          <w:t>相关政策、规范符合性分析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_Toc148654215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w:t>
        </w:r>
        <w:r w:rsidR="00E67914" w:rsidRPr="00E67914">
          <w:rPr>
            <w:rFonts w:ascii="Times New Roman" w:hAnsi="Times New Roman"/>
            <w:noProof/>
            <w:webHidden/>
          </w:rPr>
          <w:fldChar w:fldCharType="end"/>
        </w:r>
      </w:hyperlink>
    </w:p>
    <w:p w14:paraId="7AD8EDCE" w14:textId="5920451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6" w:history="1">
        <w:r w:rsidR="00E67914" w:rsidRPr="00E67914">
          <w:rPr>
            <w:rStyle w:val="afff0"/>
            <w:rFonts w:ascii="Times New Roman" w:hAnsi="Times New Roman"/>
            <w:noProof/>
            <w:color w:val="auto"/>
            <w:lang w:eastAsia="zh-CN"/>
          </w:rPr>
          <w:t>2.8</w:t>
        </w:r>
        <w:r w:rsidR="00E67914" w:rsidRPr="00E67914">
          <w:rPr>
            <w:rStyle w:val="afff0"/>
            <w:rFonts w:ascii="Times New Roman" w:hAnsi="Times New Roman"/>
            <w:noProof/>
            <w:color w:val="auto"/>
            <w:lang w:eastAsia="zh-CN"/>
          </w:rPr>
          <w:t>评价内容及时段</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_Toc148654216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61</w:t>
        </w:r>
        <w:r w:rsidR="00E67914" w:rsidRPr="00E67914">
          <w:rPr>
            <w:rFonts w:ascii="Times New Roman" w:hAnsi="Times New Roman"/>
            <w:noProof/>
            <w:webHidden/>
          </w:rPr>
          <w:fldChar w:fldCharType="end"/>
        </w:r>
      </w:hyperlink>
    </w:p>
    <w:p w14:paraId="6F280047" w14:textId="234DA2C1"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7" w:history="1">
        <w:r w:rsidR="00E67914" w:rsidRPr="00E67914">
          <w:rPr>
            <w:rStyle w:val="afff0"/>
            <w:rFonts w:ascii="Times New Roman" w:hAnsi="Times New Roman"/>
            <w:noProof/>
            <w:color w:val="auto"/>
            <w:lang w:eastAsia="zh-CN"/>
          </w:rPr>
          <w:t>2.9</w:t>
        </w:r>
        <w:r w:rsidR="00E67914" w:rsidRPr="00E67914">
          <w:rPr>
            <w:rStyle w:val="afff0"/>
            <w:rFonts w:ascii="Times New Roman" w:hAnsi="Times New Roman"/>
            <w:noProof/>
            <w:color w:val="auto"/>
            <w:lang w:eastAsia="zh-CN"/>
          </w:rPr>
          <w:t>环境保护目标</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_Toc148654217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62</w:t>
        </w:r>
        <w:r w:rsidR="00E67914" w:rsidRPr="00E67914">
          <w:rPr>
            <w:rFonts w:ascii="Times New Roman" w:hAnsi="Times New Roman"/>
            <w:noProof/>
            <w:webHidden/>
          </w:rPr>
          <w:fldChar w:fldCharType="end"/>
        </w:r>
      </w:hyperlink>
    </w:p>
    <w:p w14:paraId="6C9F9B27" w14:textId="2BC4704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18" w:history="1">
        <w:r w:rsidR="00E67914" w:rsidRPr="00E67914">
          <w:rPr>
            <w:rStyle w:val="afff0"/>
            <w:rFonts w:ascii="Times New Roman" w:hAnsi="Times New Roman"/>
            <w:noProof/>
            <w:color w:val="auto"/>
            <w:lang w:eastAsia="zh-CN"/>
          </w:rPr>
          <w:t>2.10</w:t>
        </w:r>
        <w:r w:rsidR="00E67914" w:rsidRPr="00E67914">
          <w:rPr>
            <w:rStyle w:val="afff0"/>
            <w:rFonts w:ascii="Times New Roman" w:hAnsi="Times New Roman"/>
            <w:noProof/>
            <w:color w:val="auto"/>
            <w:lang w:eastAsia="zh-CN"/>
          </w:rPr>
          <w:t>工程方案的合理性分析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_Toc148654218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71</w:t>
        </w:r>
        <w:r w:rsidR="00E67914" w:rsidRPr="00E67914">
          <w:rPr>
            <w:rFonts w:ascii="Times New Roman" w:hAnsi="Times New Roman"/>
            <w:noProof/>
            <w:webHidden/>
          </w:rPr>
          <w:fldChar w:fldCharType="end"/>
        </w:r>
      </w:hyperlink>
    </w:p>
    <w:p w14:paraId="42100EA5" w14:textId="35D341BB"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19" w:history="1">
        <w:r w:rsidR="00E67914" w:rsidRPr="00E67914">
          <w:rPr>
            <w:rStyle w:val="afff0"/>
            <w:rFonts w:ascii="Times New Roman" w:eastAsia="黑体" w:hAnsi="Times New Roman"/>
            <w:noProof/>
            <w:color w:val="auto"/>
            <w:lang w:eastAsia="zh-CN"/>
          </w:rPr>
          <w:t>3</w:t>
        </w:r>
        <w:r w:rsidR="00E67914" w:rsidRPr="00E67914">
          <w:rPr>
            <w:rStyle w:val="afff0"/>
            <w:rFonts w:ascii="Times New Roman" w:eastAsia="黑体" w:hAnsi="Times New Roman"/>
            <w:noProof/>
            <w:color w:val="auto"/>
            <w:lang w:eastAsia="zh-CN"/>
          </w:rPr>
          <w:t>工程分析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_Toc148654219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75</w:t>
        </w:r>
        <w:r w:rsidR="00E67914" w:rsidRPr="00E67914">
          <w:rPr>
            <w:rFonts w:ascii="Times New Roman" w:hAnsi="Times New Roman"/>
            <w:noProof/>
            <w:webHidden/>
          </w:rPr>
          <w:fldChar w:fldCharType="end"/>
        </w:r>
      </w:hyperlink>
    </w:p>
    <w:p w14:paraId="7D0EA3EF" w14:textId="0D59CE54"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20" w:history="1">
        <w:r w:rsidR="00E67914" w:rsidRPr="00E67914">
          <w:rPr>
            <w:rStyle w:val="afff0"/>
            <w:rFonts w:ascii="Times New Roman" w:hAnsi="Times New Roman"/>
            <w:noProof/>
            <w:color w:val="auto"/>
            <w:lang w:eastAsia="zh-CN"/>
          </w:rPr>
          <w:t>3.1</w:t>
        </w:r>
        <w:r w:rsidR="00E67914" w:rsidRPr="00E67914">
          <w:rPr>
            <w:rStyle w:val="afff0"/>
            <w:rFonts w:ascii="Times New Roman" w:hAnsi="Times New Roman"/>
            <w:noProof/>
            <w:color w:val="auto"/>
            <w:lang w:eastAsia="zh-CN"/>
          </w:rPr>
          <w:t>现有工程建设情况</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_Toc148654220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75</w:t>
        </w:r>
        <w:r w:rsidR="00E67914" w:rsidRPr="00E67914">
          <w:rPr>
            <w:rFonts w:ascii="Times New Roman" w:hAnsi="Times New Roman"/>
            <w:noProof/>
            <w:webHidden/>
          </w:rPr>
          <w:fldChar w:fldCharType="end"/>
        </w:r>
      </w:hyperlink>
    </w:p>
    <w:p w14:paraId="35B3F96B" w14:textId="2A4AF843"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21" w:history="1">
        <w:r w:rsidR="00E67914" w:rsidRPr="00E67914">
          <w:rPr>
            <w:rStyle w:val="afff0"/>
            <w:rFonts w:ascii="Times New Roman" w:hAnsi="Times New Roman"/>
            <w:noProof/>
            <w:color w:val="auto"/>
            <w:lang w:eastAsia="zh-CN"/>
          </w:rPr>
          <w:t>3.2</w:t>
        </w:r>
        <w:r w:rsidR="00E67914" w:rsidRPr="00E67914">
          <w:rPr>
            <w:rStyle w:val="afff0"/>
            <w:rFonts w:ascii="Times New Roman" w:hAnsi="Times New Roman"/>
            <w:noProof/>
            <w:color w:val="auto"/>
            <w:lang w:eastAsia="zh-CN"/>
          </w:rPr>
          <w:t>项目概况</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_Toc148654221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76</w:t>
        </w:r>
        <w:r w:rsidR="00E67914" w:rsidRPr="00E67914">
          <w:rPr>
            <w:rFonts w:ascii="Times New Roman" w:hAnsi="Times New Roman"/>
            <w:noProof/>
            <w:webHidden/>
          </w:rPr>
          <w:fldChar w:fldCharType="end"/>
        </w:r>
      </w:hyperlink>
    </w:p>
    <w:p w14:paraId="54743F6F" w14:textId="2A3D80B5"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22" w:history="1">
        <w:r w:rsidR="00E67914" w:rsidRPr="00E67914">
          <w:rPr>
            <w:rStyle w:val="afff0"/>
            <w:rFonts w:ascii="Times New Roman" w:hAnsi="Times New Roman"/>
            <w:noProof/>
            <w:color w:val="auto"/>
            <w:lang w:eastAsia="zh-CN"/>
          </w:rPr>
          <w:t>3.3</w:t>
        </w:r>
        <w:r w:rsidR="00E67914" w:rsidRPr="00E67914">
          <w:rPr>
            <w:rStyle w:val="afff0"/>
            <w:rFonts w:ascii="Times New Roman" w:hAnsi="Times New Roman"/>
            <w:noProof/>
            <w:color w:val="auto"/>
            <w:lang w:eastAsia="zh-CN"/>
          </w:rPr>
          <w:t>建设项目工程分析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_Toc148654222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99</w:t>
        </w:r>
        <w:r w:rsidR="00E67914" w:rsidRPr="00E67914">
          <w:rPr>
            <w:rFonts w:ascii="Times New Roman" w:hAnsi="Times New Roman"/>
            <w:noProof/>
            <w:webHidden/>
          </w:rPr>
          <w:fldChar w:fldCharType="end"/>
        </w:r>
      </w:hyperlink>
    </w:p>
    <w:p w14:paraId="0AB25CB2" w14:textId="06C546A4"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23" w:history="1">
        <w:r w:rsidR="00E67914" w:rsidRPr="00E67914">
          <w:rPr>
            <w:rStyle w:val="afff0"/>
            <w:rFonts w:ascii="Times New Roman" w:hAnsi="Times New Roman"/>
            <w:noProof/>
            <w:color w:val="auto"/>
            <w:lang w:eastAsia="zh-CN"/>
          </w:rPr>
          <w:t>3.4</w:t>
        </w:r>
        <w:r w:rsidR="00E67914" w:rsidRPr="00E67914">
          <w:rPr>
            <w:rStyle w:val="afff0"/>
            <w:rFonts w:ascii="Times New Roman" w:hAnsi="Times New Roman"/>
            <w:noProof/>
            <w:color w:val="auto"/>
            <w:lang w:eastAsia="zh-CN"/>
          </w:rPr>
          <w:t>污染源源强核算</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_Toc148654223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119</w:t>
        </w:r>
        <w:r w:rsidR="00E67914" w:rsidRPr="00E67914">
          <w:rPr>
            <w:rFonts w:ascii="Times New Roman" w:hAnsi="Times New Roman"/>
            <w:noProof/>
            <w:webHidden/>
          </w:rPr>
          <w:fldChar w:fldCharType="end"/>
        </w:r>
      </w:hyperlink>
    </w:p>
    <w:p w14:paraId="779AC432" w14:textId="4BB36EE7"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24" w:history="1">
        <w:r w:rsidR="00E67914" w:rsidRPr="00E67914">
          <w:rPr>
            <w:rStyle w:val="afff0"/>
            <w:rFonts w:ascii="Times New Roman" w:hAnsi="Times New Roman"/>
            <w:noProof/>
            <w:color w:val="auto"/>
            <w:lang w:eastAsia="zh-CN"/>
          </w:rPr>
          <w:t>少量</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_Toc148654224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140</w:t>
        </w:r>
        <w:r w:rsidR="00E67914" w:rsidRPr="00E67914">
          <w:rPr>
            <w:rFonts w:ascii="Times New Roman" w:hAnsi="Times New Roman"/>
            <w:noProof/>
            <w:webHidden/>
          </w:rPr>
          <w:fldChar w:fldCharType="end"/>
        </w:r>
      </w:hyperlink>
    </w:p>
    <w:p w14:paraId="0765A076" w14:textId="5307034E"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25" w:history="1">
        <w:r w:rsidR="00E67914" w:rsidRPr="00E67914">
          <w:rPr>
            <w:rStyle w:val="afff0"/>
            <w:rFonts w:ascii="Times New Roman" w:eastAsia="黑体" w:hAnsi="Times New Roman"/>
            <w:noProof/>
            <w:color w:val="auto"/>
            <w:lang w:eastAsia="zh-CN"/>
          </w:rPr>
          <w:t>4</w:t>
        </w:r>
        <w:r w:rsidR="00E67914" w:rsidRPr="00E67914">
          <w:rPr>
            <w:rStyle w:val="afff0"/>
            <w:rFonts w:ascii="Times New Roman" w:eastAsia="黑体" w:hAnsi="Times New Roman"/>
            <w:noProof/>
            <w:color w:val="auto"/>
            <w:lang w:eastAsia="zh-CN"/>
          </w:rPr>
          <w:t>环境现状调查与评价</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_Toc148654225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141</w:t>
        </w:r>
        <w:r w:rsidR="00E67914" w:rsidRPr="00E67914">
          <w:rPr>
            <w:rFonts w:ascii="Times New Roman" w:hAnsi="Times New Roman"/>
            <w:noProof/>
            <w:webHidden/>
          </w:rPr>
          <w:fldChar w:fldCharType="end"/>
        </w:r>
      </w:hyperlink>
    </w:p>
    <w:p w14:paraId="60C990BA" w14:textId="349EF903"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26" w:history="1">
        <w:r w:rsidR="00E67914" w:rsidRPr="00E67914">
          <w:rPr>
            <w:rStyle w:val="afff0"/>
            <w:rFonts w:ascii="Times New Roman" w:hAnsi="Times New Roman"/>
            <w:noProof/>
            <w:color w:val="auto"/>
            <w:lang w:eastAsia="zh-CN"/>
          </w:rPr>
          <w:t>4.1</w:t>
        </w:r>
        <w:r w:rsidR="00E67914" w:rsidRPr="00E67914">
          <w:rPr>
            <w:rStyle w:val="afff0"/>
            <w:rFonts w:ascii="Times New Roman" w:hAnsi="Times New Roman"/>
            <w:noProof/>
            <w:color w:val="auto"/>
            <w:lang w:eastAsia="zh-CN"/>
          </w:rPr>
          <w:t>自然环境现状</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_Toc148654226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141</w:t>
        </w:r>
        <w:r w:rsidR="00E67914" w:rsidRPr="00E67914">
          <w:rPr>
            <w:rFonts w:ascii="Times New Roman" w:hAnsi="Times New Roman"/>
            <w:noProof/>
            <w:webHidden/>
          </w:rPr>
          <w:fldChar w:fldCharType="end"/>
        </w:r>
      </w:hyperlink>
    </w:p>
    <w:p w14:paraId="2FC222D0" w14:textId="600E4EF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27" w:history="1">
        <w:r w:rsidR="00E67914" w:rsidRPr="00E67914">
          <w:rPr>
            <w:rStyle w:val="afff0"/>
            <w:rFonts w:ascii="Times New Roman" w:hAnsi="Times New Roman"/>
            <w:noProof/>
            <w:color w:val="auto"/>
            <w:lang w:eastAsia="zh-CN"/>
          </w:rPr>
          <w:t>4.2</w:t>
        </w:r>
        <w:r w:rsidR="00E67914" w:rsidRPr="00E67914">
          <w:rPr>
            <w:rStyle w:val="afff0"/>
            <w:rFonts w:ascii="Times New Roman" w:hAnsi="Times New Roman"/>
            <w:noProof/>
            <w:color w:val="auto"/>
            <w:lang w:eastAsia="zh-CN"/>
          </w:rPr>
          <w:t>环境质量现状评价</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_Toc148654227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145</w:t>
        </w:r>
        <w:r w:rsidR="00E67914" w:rsidRPr="00E67914">
          <w:rPr>
            <w:rFonts w:ascii="Times New Roman" w:hAnsi="Times New Roman"/>
            <w:noProof/>
            <w:webHidden/>
          </w:rPr>
          <w:fldChar w:fldCharType="end"/>
        </w:r>
      </w:hyperlink>
    </w:p>
    <w:p w14:paraId="45BE46FA" w14:textId="7CC518C4"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28" w:history="1">
        <w:r w:rsidR="00E67914" w:rsidRPr="00E67914">
          <w:rPr>
            <w:rStyle w:val="afff0"/>
            <w:rFonts w:ascii="Times New Roman" w:hAnsi="Times New Roman"/>
            <w:noProof/>
            <w:color w:val="auto"/>
            <w:lang w:eastAsia="zh-CN"/>
          </w:rPr>
          <w:t>4.3</w:t>
        </w:r>
        <w:r w:rsidR="00E67914" w:rsidRPr="00E67914">
          <w:rPr>
            <w:rStyle w:val="afff0"/>
            <w:rFonts w:ascii="Times New Roman" w:hAnsi="Times New Roman"/>
            <w:noProof/>
            <w:color w:val="auto"/>
            <w:lang w:eastAsia="zh-CN"/>
          </w:rPr>
          <w:t>生态环境调查与评价</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_Toc148654228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158</w:t>
        </w:r>
        <w:r w:rsidR="00E67914" w:rsidRPr="00E67914">
          <w:rPr>
            <w:rFonts w:ascii="Times New Roman" w:hAnsi="Times New Roman"/>
            <w:noProof/>
            <w:webHidden/>
          </w:rPr>
          <w:fldChar w:fldCharType="end"/>
        </w:r>
      </w:hyperlink>
    </w:p>
    <w:p w14:paraId="2FB5AE40" w14:textId="3DFF1560"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29" w:history="1">
        <w:r w:rsidR="00E67914" w:rsidRPr="00E67914">
          <w:rPr>
            <w:rStyle w:val="afff0"/>
            <w:rFonts w:ascii="Times New Roman" w:eastAsia="黑体" w:hAnsi="Times New Roman"/>
            <w:noProof/>
            <w:color w:val="auto"/>
            <w:lang w:eastAsia="zh-CN"/>
          </w:rPr>
          <w:t>5</w:t>
        </w:r>
        <w:r w:rsidR="00E67914" w:rsidRPr="00E67914">
          <w:rPr>
            <w:rStyle w:val="afff0"/>
            <w:rFonts w:ascii="Times New Roman" w:eastAsia="黑体" w:hAnsi="Times New Roman"/>
            <w:noProof/>
            <w:color w:val="auto"/>
            <w:lang w:eastAsia="zh-CN"/>
          </w:rPr>
          <w:t>环境影响预测与评价</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_Toc148654229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184</w:t>
        </w:r>
        <w:r w:rsidR="00E67914" w:rsidRPr="00E67914">
          <w:rPr>
            <w:rFonts w:ascii="Times New Roman" w:hAnsi="Times New Roman"/>
            <w:noProof/>
            <w:webHidden/>
          </w:rPr>
          <w:fldChar w:fldCharType="end"/>
        </w:r>
      </w:hyperlink>
    </w:p>
    <w:p w14:paraId="67EAA763" w14:textId="4FA79783"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0" w:history="1">
        <w:r w:rsidR="00E67914" w:rsidRPr="00E67914">
          <w:rPr>
            <w:rStyle w:val="afff0"/>
            <w:rFonts w:ascii="Times New Roman" w:hAnsi="Times New Roman"/>
            <w:noProof/>
            <w:color w:val="auto"/>
            <w:lang w:eastAsia="zh-CN"/>
          </w:rPr>
          <w:t>5.1</w:t>
        </w:r>
        <w:r w:rsidR="00E67914" w:rsidRPr="00E67914">
          <w:rPr>
            <w:rStyle w:val="afff0"/>
            <w:rFonts w:ascii="Times New Roman" w:hAnsi="Times New Roman"/>
            <w:noProof/>
            <w:color w:val="auto"/>
            <w:lang w:eastAsia="zh-CN"/>
          </w:rPr>
          <w:t>施工期环境影响分析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_Toc148654230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184</w:t>
        </w:r>
        <w:r w:rsidR="00E67914" w:rsidRPr="00E67914">
          <w:rPr>
            <w:rFonts w:ascii="Times New Roman" w:hAnsi="Times New Roman"/>
            <w:noProof/>
            <w:webHidden/>
          </w:rPr>
          <w:fldChar w:fldCharType="end"/>
        </w:r>
      </w:hyperlink>
    </w:p>
    <w:p w14:paraId="30246E83" w14:textId="4B6847FF"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1" w:history="1">
        <w:r w:rsidR="00E67914" w:rsidRPr="00E67914">
          <w:rPr>
            <w:rStyle w:val="afff0"/>
            <w:rFonts w:ascii="Times New Roman" w:hAnsi="Times New Roman"/>
            <w:noProof/>
            <w:color w:val="auto"/>
            <w:lang w:eastAsia="zh-CN"/>
          </w:rPr>
          <w:t>5.2</w:t>
        </w:r>
        <w:r w:rsidR="00E67914" w:rsidRPr="00E67914">
          <w:rPr>
            <w:rStyle w:val="afff0"/>
            <w:rFonts w:ascii="Times New Roman" w:hAnsi="Times New Roman"/>
            <w:noProof/>
            <w:color w:val="auto"/>
            <w:lang w:eastAsia="zh-CN"/>
          </w:rPr>
          <w:t>试采期环境影响分析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_Toc148654231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206</w:t>
        </w:r>
        <w:r w:rsidR="00E67914" w:rsidRPr="00E67914">
          <w:rPr>
            <w:rFonts w:ascii="Times New Roman" w:hAnsi="Times New Roman"/>
            <w:noProof/>
            <w:webHidden/>
          </w:rPr>
          <w:fldChar w:fldCharType="end"/>
        </w:r>
      </w:hyperlink>
    </w:p>
    <w:p w14:paraId="00B06080" w14:textId="361607E0"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2" w:history="1">
        <w:r w:rsidR="00E67914" w:rsidRPr="00E67914">
          <w:rPr>
            <w:rStyle w:val="afff0"/>
            <w:rFonts w:ascii="Times New Roman" w:hAnsi="Times New Roman"/>
            <w:noProof/>
            <w:color w:val="auto"/>
            <w:lang w:eastAsia="zh-CN"/>
          </w:rPr>
          <w:t>5.3</w:t>
        </w:r>
        <w:r w:rsidR="00E67914" w:rsidRPr="00E67914">
          <w:rPr>
            <w:rStyle w:val="afff0"/>
            <w:rFonts w:ascii="Times New Roman" w:hAnsi="Times New Roman"/>
            <w:noProof/>
            <w:color w:val="auto"/>
            <w:lang w:eastAsia="zh-CN"/>
          </w:rPr>
          <w:t>地下水环境影响分析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_Toc148654232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220</w:t>
        </w:r>
        <w:r w:rsidR="00E67914" w:rsidRPr="00E67914">
          <w:rPr>
            <w:rFonts w:ascii="Times New Roman" w:hAnsi="Times New Roman"/>
            <w:noProof/>
            <w:webHidden/>
          </w:rPr>
          <w:fldChar w:fldCharType="end"/>
        </w:r>
      </w:hyperlink>
    </w:p>
    <w:p w14:paraId="0972B7DD" w14:textId="517C0A89"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33" w:history="1">
        <w:r w:rsidR="00E67914" w:rsidRPr="00E67914">
          <w:rPr>
            <w:rStyle w:val="afff0"/>
            <w:rFonts w:ascii="Times New Roman" w:eastAsia="黑体" w:hAnsi="Times New Roman"/>
            <w:noProof/>
            <w:color w:val="auto"/>
            <w:lang w:eastAsia="zh-CN"/>
          </w:rPr>
          <w:t>6</w:t>
        </w:r>
        <w:r w:rsidR="00E67914" w:rsidRPr="00E67914">
          <w:rPr>
            <w:rStyle w:val="afff0"/>
            <w:rFonts w:ascii="Times New Roman" w:eastAsia="黑体" w:hAnsi="Times New Roman"/>
            <w:noProof/>
            <w:color w:val="auto"/>
            <w:lang w:eastAsia="zh-CN"/>
          </w:rPr>
          <w:t>环境风险分析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_Toc148654233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240</w:t>
        </w:r>
        <w:r w:rsidR="00E67914" w:rsidRPr="00E67914">
          <w:rPr>
            <w:rFonts w:ascii="Times New Roman" w:hAnsi="Times New Roman"/>
            <w:noProof/>
            <w:webHidden/>
          </w:rPr>
          <w:fldChar w:fldCharType="end"/>
        </w:r>
      </w:hyperlink>
    </w:p>
    <w:p w14:paraId="110456F5" w14:textId="1358D8C0"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4" w:history="1">
        <w:r w:rsidR="00E67914" w:rsidRPr="00E67914">
          <w:rPr>
            <w:rStyle w:val="afff0"/>
            <w:rFonts w:ascii="Times New Roman" w:hAnsi="Times New Roman"/>
            <w:noProof/>
            <w:color w:val="auto"/>
            <w:lang w:eastAsia="zh-CN"/>
          </w:rPr>
          <w:t>6.1</w:t>
        </w:r>
        <w:r w:rsidR="00E67914" w:rsidRPr="00E67914">
          <w:rPr>
            <w:rStyle w:val="afff0"/>
            <w:rFonts w:ascii="Times New Roman" w:hAnsi="Times New Roman"/>
            <w:noProof/>
            <w:color w:val="auto"/>
            <w:lang w:eastAsia="zh-CN"/>
          </w:rPr>
          <w:t>评价依据</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_Toc148654234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240</w:t>
        </w:r>
        <w:r w:rsidR="00E67914" w:rsidRPr="00E67914">
          <w:rPr>
            <w:rFonts w:ascii="Times New Roman" w:hAnsi="Times New Roman"/>
            <w:noProof/>
            <w:webHidden/>
          </w:rPr>
          <w:fldChar w:fldCharType="end"/>
        </w:r>
      </w:hyperlink>
    </w:p>
    <w:p w14:paraId="6E88A06C" w14:textId="19E72E23"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5" w:history="1">
        <w:r w:rsidR="00E67914" w:rsidRPr="00E67914">
          <w:rPr>
            <w:rStyle w:val="afff0"/>
            <w:rFonts w:ascii="Times New Roman" w:hAnsi="Times New Roman"/>
            <w:noProof/>
            <w:color w:val="auto"/>
            <w:lang w:eastAsia="zh-CN"/>
          </w:rPr>
          <w:t>6.2</w:t>
        </w:r>
        <w:r w:rsidR="00E67914" w:rsidRPr="00E67914">
          <w:rPr>
            <w:rStyle w:val="afff0"/>
            <w:rFonts w:ascii="Times New Roman" w:hAnsi="Times New Roman"/>
            <w:noProof/>
            <w:color w:val="auto"/>
            <w:lang w:eastAsia="zh-CN"/>
          </w:rPr>
          <w:t>环境敏感目标概况</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_Toc148654235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248</w:t>
        </w:r>
        <w:r w:rsidR="00E67914" w:rsidRPr="00E67914">
          <w:rPr>
            <w:rFonts w:ascii="Times New Roman" w:hAnsi="Times New Roman"/>
            <w:noProof/>
            <w:webHidden/>
          </w:rPr>
          <w:fldChar w:fldCharType="end"/>
        </w:r>
      </w:hyperlink>
    </w:p>
    <w:p w14:paraId="0A7F4643" w14:textId="5E5CB6E4"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6" w:history="1">
        <w:r w:rsidR="00E67914" w:rsidRPr="00E67914">
          <w:rPr>
            <w:rStyle w:val="afff0"/>
            <w:rFonts w:ascii="Times New Roman" w:hAnsi="Times New Roman"/>
            <w:noProof/>
            <w:color w:val="auto"/>
            <w:lang w:eastAsia="zh-CN"/>
          </w:rPr>
          <w:t>6.3</w:t>
        </w:r>
        <w:r w:rsidR="00E67914" w:rsidRPr="00E67914">
          <w:rPr>
            <w:rStyle w:val="afff0"/>
            <w:rFonts w:ascii="Times New Roman" w:hAnsi="Times New Roman"/>
            <w:noProof/>
            <w:color w:val="auto"/>
            <w:lang w:eastAsia="zh-CN"/>
          </w:rPr>
          <w:t>环境风险识别</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_Toc148654236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248</w:t>
        </w:r>
        <w:r w:rsidR="00E67914" w:rsidRPr="00E67914">
          <w:rPr>
            <w:rFonts w:ascii="Times New Roman" w:hAnsi="Times New Roman"/>
            <w:noProof/>
            <w:webHidden/>
          </w:rPr>
          <w:fldChar w:fldCharType="end"/>
        </w:r>
      </w:hyperlink>
    </w:p>
    <w:p w14:paraId="4FB72D50" w14:textId="021757D7"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7" w:history="1">
        <w:r w:rsidR="00E67914" w:rsidRPr="00E67914">
          <w:rPr>
            <w:rStyle w:val="afff0"/>
            <w:rFonts w:ascii="Times New Roman" w:hAnsi="Times New Roman"/>
            <w:noProof/>
            <w:color w:val="auto"/>
            <w:lang w:eastAsia="zh-CN"/>
          </w:rPr>
          <w:t>6.4</w:t>
        </w:r>
        <w:r w:rsidR="00E67914" w:rsidRPr="00E67914">
          <w:rPr>
            <w:rStyle w:val="afff0"/>
            <w:rFonts w:ascii="Times New Roman" w:hAnsi="Times New Roman"/>
            <w:noProof/>
            <w:color w:val="auto"/>
            <w:lang w:eastAsia="zh-CN"/>
          </w:rPr>
          <w:t>环境风险分析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_Toc148654237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251</w:t>
        </w:r>
        <w:r w:rsidR="00E67914" w:rsidRPr="00E67914">
          <w:rPr>
            <w:rFonts w:ascii="Times New Roman" w:hAnsi="Times New Roman"/>
            <w:noProof/>
            <w:webHidden/>
          </w:rPr>
          <w:fldChar w:fldCharType="end"/>
        </w:r>
      </w:hyperlink>
    </w:p>
    <w:p w14:paraId="41524003" w14:textId="24177D42"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8" w:history="1">
        <w:r w:rsidR="00E67914" w:rsidRPr="00E67914">
          <w:rPr>
            <w:rStyle w:val="afff0"/>
            <w:rFonts w:ascii="Times New Roman" w:hAnsi="Times New Roman"/>
            <w:noProof/>
            <w:color w:val="auto"/>
            <w:lang w:eastAsia="zh-CN"/>
          </w:rPr>
          <w:t>6.5</w:t>
        </w:r>
        <w:r w:rsidR="00E67914" w:rsidRPr="00E67914">
          <w:rPr>
            <w:rStyle w:val="afff0"/>
            <w:rFonts w:ascii="Times New Roman" w:hAnsi="Times New Roman"/>
            <w:noProof/>
            <w:color w:val="auto"/>
            <w:lang w:eastAsia="zh-CN"/>
          </w:rPr>
          <w:t>环境风险防范措施</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_Toc148654238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253</w:t>
        </w:r>
        <w:r w:rsidR="00E67914" w:rsidRPr="00E67914">
          <w:rPr>
            <w:rFonts w:ascii="Times New Roman" w:hAnsi="Times New Roman"/>
            <w:noProof/>
            <w:webHidden/>
          </w:rPr>
          <w:fldChar w:fldCharType="end"/>
        </w:r>
      </w:hyperlink>
    </w:p>
    <w:p w14:paraId="0B6E86CA" w14:textId="739976FC"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39" w:history="1">
        <w:r w:rsidR="00E67914" w:rsidRPr="00E67914">
          <w:rPr>
            <w:rStyle w:val="afff0"/>
            <w:rFonts w:ascii="Times New Roman" w:hAnsi="Times New Roman"/>
            <w:noProof/>
            <w:color w:val="auto"/>
            <w:lang w:eastAsia="zh-CN"/>
          </w:rPr>
          <w:t>6.6</w:t>
        </w:r>
        <w:r w:rsidR="00E67914" w:rsidRPr="00E67914">
          <w:rPr>
            <w:rStyle w:val="afff0"/>
            <w:rFonts w:ascii="Times New Roman" w:hAnsi="Times New Roman"/>
            <w:noProof/>
            <w:color w:val="auto"/>
            <w:lang w:eastAsia="zh-CN"/>
          </w:rPr>
          <w:t>应急措施</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_Toc148654239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261</w:t>
        </w:r>
        <w:r w:rsidR="00E67914" w:rsidRPr="00E67914">
          <w:rPr>
            <w:rFonts w:ascii="Times New Roman" w:hAnsi="Times New Roman"/>
            <w:noProof/>
            <w:webHidden/>
          </w:rPr>
          <w:fldChar w:fldCharType="end"/>
        </w:r>
      </w:hyperlink>
    </w:p>
    <w:p w14:paraId="2A35A2BD" w14:textId="2AF9BE77"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40" w:history="1">
        <w:r w:rsidR="00E67914" w:rsidRPr="00E67914">
          <w:rPr>
            <w:rStyle w:val="afff0"/>
            <w:rFonts w:ascii="Times New Roman" w:hAnsi="Times New Roman"/>
            <w:noProof/>
            <w:color w:val="auto"/>
            <w:lang w:eastAsia="zh-CN"/>
          </w:rPr>
          <w:t>6.7</w:t>
        </w:r>
        <w:r w:rsidR="00E67914" w:rsidRPr="00E67914">
          <w:rPr>
            <w:rStyle w:val="afff0"/>
            <w:rFonts w:ascii="Times New Roman" w:hAnsi="Times New Roman"/>
            <w:noProof/>
            <w:color w:val="auto"/>
            <w:lang w:eastAsia="zh-CN"/>
          </w:rPr>
          <w:t>分析结论</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_Toc148654240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274</w:t>
        </w:r>
        <w:r w:rsidR="00E67914" w:rsidRPr="00E67914">
          <w:rPr>
            <w:rFonts w:ascii="Times New Roman" w:hAnsi="Times New Roman"/>
            <w:noProof/>
            <w:webHidden/>
          </w:rPr>
          <w:fldChar w:fldCharType="end"/>
        </w:r>
      </w:hyperlink>
    </w:p>
    <w:p w14:paraId="66B0FEB4" w14:textId="4611378A"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41" w:history="1">
        <w:r w:rsidR="00E67914" w:rsidRPr="00E67914">
          <w:rPr>
            <w:rStyle w:val="afff0"/>
            <w:rFonts w:ascii="Times New Roman" w:eastAsia="黑体" w:hAnsi="Times New Roman"/>
            <w:noProof/>
            <w:color w:val="auto"/>
            <w:lang w:eastAsia="zh-CN"/>
          </w:rPr>
          <w:t>7</w:t>
        </w:r>
        <w:r w:rsidR="00E67914" w:rsidRPr="00E67914">
          <w:rPr>
            <w:rStyle w:val="afff0"/>
            <w:rFonts w:ascii="Times New Roman" w:eastAsia="黑体" w:hAnsi="Times New Roman"/>
            <w:noProof/>
            <w:color w:val="auto"/>
            <w:lang w:eastAsia="zh-CN"/>
          </w:rPr>
          <w:t>环境保护措施及其可行性论证</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_Toc148654241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276</w:t>
        </w:r>
        <w:r w:rsidR="00E67914" w:rsidRPr="00E67914">
          <w:rPr>
            <w:rFonts w:ascii="Times New Roman" w:hAnsi="Times New Roman"/>
            <w:noProof/>
            <w:webHidden/>
          </w:rPr>
          <w:fldChar w:fldCharType="end"/>
        </w:r>
      </w:hyperlink>
    </w:p>
    <w:p w14:paraId="2F283BA0" w14:textId="6EBD25F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42" w:history="1">
        <w:r w:rsidR="00E67914" w:rsidRPr="00E67914">
          <w:rPr>
            <w:rStyle w:val="afff0"/>
            <w:rFonts w:ascii="Times New Roman" w:hAnsi="Times New Roman"/>
            <w:noProof/>
            <w:color w:val="auto"/>
            <w:lang w:eastAsia="zh-CN"/>
          </w:rPr>
          <w:t>7.1</w:t>
        </w:r>
        <w:r w:rsidR="00E67914" w:rsidRPr="00E67914">
          <w:rPr>
            <w:rStyle w:val="afff0"/>
            <w:rFonts w:ascii="Times New Roman" w:hAnsi="Times New Roman"/>
            <w:noProof/>
            <w:color w:val="auto"/>
            <w:lang w:eastAsia="zh-CN"/>
          </w:rPr>
          <w:t>施工期环境保护措施及可行性分析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_Toc148654242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276</w:t>
        </w:r>
        <w:r w:rsidR="00E67914" w:rsidRPr="00E67914">
          <w:rPr>
            <w:rFonts w:ascii="Times New Roman" w:hAnsi="Times New Roman"/>
            <w:noProof/>
            <w:webHidden/>
          </w:rPr>
          <w:fldChar w:fldCharType="end"/>
        </w:r>
      </w:hyperlink>
    </w:p>
    <w:p w14:paraId="358422BF" w14:textId="05002373"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43" w:history="1">
        <w:r w:rsidR="00E67914" w:rsidRPr="00E67914">
          <w:rPr>
            <w:rStyle w:val="afff0"/>
            <w:rFonts w:ascii="Times New Roman" w:hAnsi="Times New Roman"/>
            <w:noProof/>
            <w:color w:val="auto"/>
            <w:lang w:eastAsia="zh-CN"/>
          </w:rPr>
          <w:t>7.2</w:t>
        </w:r>
        <w:r w:rsidR="00E67914" w:rsidRPr="00E67914">
          <w:rPr>
            <w:rStyle w:val="afff0"/>
            <w:rFonts w:ascii="Times New Roman" w:hAnsi="Times New Roman"/>
            <w:noProof/>
            <w:color w:val="auto"/>
            <w:lang w:eastAsia="zh-CN"/>
          </w:rPr>
          <w:t>试采期环境保护措施及可行性分析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_Toc148654243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300</w:t>
        </w:r>
        <w:r w:rsidR="00E67914" w:rsidRPr="00E67914">
          <w:rPr>
            <w:rFonts w:ascii="Times New Roman" w:hAnsi="Times New Roman"/>
            <w:noProof/>
            <w:webHidden/>
          </w:rPr>
          <w:fldChar w:fldCharType="end"/>
        </w:r>
      </w:hyperlink>
    </w:p>
    <w:p w14:paraId="2935C704" w14:textId="5E7719E1"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44" w:history="1">
        <w:r w:rsidR="00E67914" w:rsidRPr="00E67914">
          <w:rPr>
            <w:rStyle w:val="afff0"/>
            <w:rFonts w:ascii="Times New Roman" w:eastAsia="黑体" w:hAnsi="Times New Roman"/>
            <w:noProof/>
            <w:color w:val="auto"/>
            <w:lang w:eastAsia="zh-CN"/>
          </w:rPr>
          <w:t>8</w:t>
        </w:r>
        <w:r w:rsidR="00E67914" w:rsidRPr="00E67914">
          <w:rPr>
            <w:rStyle w:val="afff0"/>
            <w:rFonts w:ascii="Times New Roman" w:eastAsia="黑体" w:hAnsi="Times New Roman"/>
            <w:noProof/>
            <w:color w:val="auto"/>
            <w:lang w:eastAsia="zh-CN"/>
          </w:rPr>
          <w:t>环境影响经济损益分析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_Toc148654244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304</w:t>
        </w:r>
        <w:r w:rsidR="00E67914" w:rsidRPr="00E67914">
          <w:rPr>
            <w:rFonts w:ascii="Times New Roman" w:hAnsi="Times New Roman"/>
            <w:noProof/>
            <w:webHidden/>
          </w:rPr>
          <w:fldChar w:fldCharType="end"/>
        </w:r>
      </w:hyperlink>
    </w:p>
    <w:p w14:paraId="0F209ED3" w14:textId="5DC7A0E0"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45" w:history="1">
        <w:r w:rsidR="00E67914" w:rsidRPr="00E67914">
          <w:rPr>
            <w:rStyle w:val="afff0"/>
            <w:rFonts w:ascii="Times New Roman" w:hAnsi="Times New Roman"/>
            <w:noProof/>
            <w:color w:val="auto"/>
            <w:lang w:eastAsia="zh-CN"/>
          </w:rPr>
          <w:t>8.1</w:t>
        </w:r>
        <w:r w:rsidR="00E67914" w:rsidRPr="00E67914">
          <w:rPr>
            <w:rStyle w:val="afff0"/>
            <w:rFonts w:ascii="Times New Roman" w:hAnsi="Times New Roman"/>
            <w:noProof/>
            <w:color w:val="auto"/>
            <w:lang w:eastAsia="zh-CN"/>
          </w:rPr>
          <w:t>环保投资估算</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_Toc148654245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304</w:t>
        </w:r>
        <w:r w:rsidR="00E67914" w:rsidRPr="00E67914">
          <w:rPr>
            <w:rFonts w:ascii="Times New Roman" w:hAnsi="Times New Roman"/>
            <w:noProof/>
            <w:webHidden/>
          </w:rPr>
          <w:fldChar w:fldCharType="end"/>
        </w:r>
      </w:hyperlink>
    </w:p>
    <w:p w14:paraId="7179CB3B" w14:textId="71E07600"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46" w:history="1">
        <w:r w:rsidR="00E67914" w:rsidRPr="00E67914">
          <w:rPr>
            <w:rStyle w:val="afff0"/>
            <w:rFonts w:ascii="Times New Roman" w:hAnsi="Times New Roman"/>
            <w:noProof/>
            <w:color w:val="auto"/>
            <w:lang w:eastAsia="zh-CN"/>
          </w:rPr>
          <w:t>8.2“</w:t>
        </w:r>
        <w:r w:rsidR="00E67914" w:rsidRPr="00E67914">
          <w:rPr>
            <w:rStyle w:val="afff0"/>
            <w:rFonts w:ascii="Times New Roman" w:hAnsi="Times New Roman"/>
            <w:noProof/>
            <w:color w:val="auto"/>
            <w:lang w:eastAsia="zh-CN"/>
          </w:rPr>
          <w:t>三效益</w:t>
        </w:r>
        <w:r w:rsidR="00E67914" w:rsidRPr="00E67914">
          <w:rPr>
            <w:rStyle w:val="afff0"/>
            <w:rFonts w:ascii="Times New Roman" w:hAnsi="Times New Roman"/>
            <w:noProof/>
            <w:color w:val="auto"/>
            <w:lang w:eastAsia="zh-CN"/>
          </w:rPr>
          <w:t>”</w:t>
        </w:r>
        <w:r w:rsidR="00E67914" w:rsidRPr="00E67914">
          <w:rPr>
            <w:rStyle w:val="afff0"/>
            <w:rFonts w:ascii="Times New Roman" w:hAnsi="Times New Roman"/>
            <w:noProof/>
            <w:color w:val="auto"/>
            <w:lang w:eastAsia="zh-CN"/>
          </w:rPr>
          <w:t>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_Toc148654246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305</w:t>
        </w:r>
        <w:r w:rsidR="00E67914" w:rsidRPr="00E67914">
          <w:rPr>
            <w:rFonts w:ascii="Times New Roman" w:hAnsi="Times New Roman"/>
            <w:noProof/>
            <w:webHidden/>
          </w:rPr>
          <w:fldChar w:fldCharType="end"/>
        </w:r>
      </w:hyperlink>
    </w:p>
    <w:p w14:paraId="68769AAE" w14:textId="26D3BA57"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47" w:history="1">
        <w:r w:rsidR="00E67914" w:rsidRPr="00E67914">
          <w:rPr>
            <w:rStyle w:val="afff0"/>
            <w:rFonts w:ascii="Times New Roman" w:hAnsi="Times New Roman"/>
            <w:noProof/>
            <w:color w:val="auto"/>
            <w:lang w:eastAsia="zh-CN"/>
          </w:rPr>
          <w:t>8.3</w:t>
        </w:r>
        <w:r w:rsidR="00E67914" w:rsidRPr="00E67914">
          <w:rPr>
            <w:rStyle w:val="afff0"/>
            <w:rFonts w:ascii="Times New Roman" w:hAnsi="Times New Roman"/>
            <w:noProof/>
            <w:color w:val="auto"/>
            <w:lang w:eastAsia="zh-CN"/>
          </w:rPr>
          <w:t>环境经济损益分析结论</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_Toc148654247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306</w:t>
        </w:r>
        <w:r w:rsidR="00E67914" w:rsidRPr="00E67914">
          <w:rPr>
            <w:rFonts w:ascii="Times New Roman" w:hAnsi="Times New Roman"/>
            <w:noProof/>
            <w:webHidden/>
          </w:rPr>
          <w:fldChar w:fldCharType="end"/>
        </w:r>
      </w:hyperlink>
    </w:p>
    <w:p w14:paraId="2918F5FB" w14:textId="41203589"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48" w:history="1">
        <w:r w:rsidR="00E67914" w:rsidRPr="00E67914">
          <w:rPr>
            <w:rStyle w:val="afff0"/>
            <w:rFonts w:ascii="Times New Roman" w:eastAsia="黑体" w:hAnsi="Times New Roman"/>
            <w:noProof/>
            <w:color w:val="auto"/>
            <w:lang w:eastAsia="zh-CN"/>
          </w:rPr>
          <w:t>9</w:t>
        </w:r>
        <w:r w:rsidR="00E67914" w:rsidRPr="00E67914">
          <w:rPr>
            <w:rStyle w:val="afff0"/>
            <w:rFonts w:ascii="Times New Roman" w:eastAsia="黑体" w:hAnsi="Times New Roman"/>
            <w:noProof/>
            <w:color w:val="auto"/>
            <w:lang w:eastAsia="zh-CN"/>
          </w:rPr>
          <w:t>清洁生产与总量控制</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_Toc148654248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307</w:t>
        </w:r>
        <w:r w:rsidR="00E67914" w:rsidRPr="00E67914">
          <w:rPr>
            <w:rFonts w:ascii="Times New Roman" w:hAnsi="Times New Roman"/>
            <w:noProof/>
            <w:webHidden/>
          </w:rPr>
          <w:fldChar w:fldCharType="end"/>
        </w:r>
      </w:hyperlink>
    </w:p>
    <w:p w14:paraId="3DA15FD2" w14:textId="3576791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49" w:history="1">
        <w:r w:rsidR="00E67914" w:rsidRPr="00E67914">
          <w:rPr>
            <w:rStyle w:val="afff0"/>
            <w:rFonts w:ascii="Times New Roman" w:hAnsi="Times New Roman"/>
            <w:noProof/>
            <w:color w:val="auto"/>
            <w:lang w:eastAsia="zh-CN"/>
          </w:rPr>
          <w:t>9.1</w:t>
        </w:r>
        <w:r w:rsidR="00E67914" w:rsidRPr="00E67914">
          <w:rPr>
            <w:rStyle w:val="afff0"/>
            <w:rFonts w:ascii="Times New Roman" w:hAnsi="Times New Roman"/>
            <w:noProof/>
            <w:color w:val="auto"/>
            <w:lang w:eastAsia="zh-CN"/>
          </w:rPr>
          <w:t>清洁生产分析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_Toc148654249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307</w:t>
        </w:r>
        <w:r w:rsidR="00E67914" w:rsidRPr="00E67914">
          <w:rPr>
            <w:rFonts w:ascii="Times New Roman" w:hAnsi="Times New Roman"/>
            <w:noProof/>
            <w:webHidden/>
          </w:rPr>
          <w:fldChar w:fldCharType="end"/>
        </w:r>
      </w:hyperlink>
    </w:p>
    <w:p w14:paraId="72E5D99F" w14:textId="3DE4B4CD"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50" w:history="1">
        <w:r w:rsidR="00E67914" w:rsidRPr="00E67914">
          <w:rPr>
            <w:rStyle w:val="afff0"/>
            <w:rFonts w:ascii="Times New Roman" w:hAnsi="Times New Roman"/>
            <w:noProof/>
            <w:color w:val="auto"/>
            <w:lang w:eastAsia="zh-CN"/>
          </w:rPr>
          <w:t>9.2</w:t>
        </w:r>
        <w:r w:rsidR="00E67914" w:rsidRPr="00E67914">
          <w:rPr>
            <w:rStyle w:val="afff0"/>
            <w:rFonts w:ascii="Times New Roman" w:hAnsi="Times New Roman"/>
            <w:noProof/>
            <w:color w:val="auto"/>
            <w:lang w:eastAsia="zh-CN"/>
          </w:rPr>
          <w:t>总量控制</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_Toc148654250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308</w:t>
        </w:r>
        <w:r w:rsidR="00E67914" w:rsidRPr="00E67914">
          <w:rPr>
            <w:rFonts w:ascii="Times New Roman" w:hAnsi="Times New Roman"/>
            <w:noProof/>
            <w:webHidden/>
          </w:rPr>
          <w:fldChar w:fldCharType="end"/>
        </w:r>
      </w:hyperlink>
    </w:p>
    <w:p w14:paraId="76DA9CE6" w14:textId="536C90C5"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51" w:history="1">
        <w:r w:rsidR="00E67914" w:rsidRPr="00E67914">
          <w:rPr>
            <w:rStyle w:val="afff0"/>
            <w:rFonts w:ascii="Times New Roman" w:eastAsia="黑体" w:hAnsi="Times New Roman"/>
            <w:noProof/>
            <w:color w:val="auto"/>
            <w:lang w:eastAsia="zh-CN"/>
          </w:rPr>
          <w:t>10</w:t>
        </w:r>
        <w:r w:rsidR="00E67914" w:rsidRPr="00E67914">
          <w:rPr>
            <w:rStyle w:val="afff0"/>
            <w:rFonts w:ascii="Times New Roman" w:eastAsia="黑体" w:hAnsi="Times New Roman"/>
            <w:noProof/>
            <w:color w:val="auto"/>
            <w:lang w:eastAsia="zh-CN"/>
          </w:rPr>
          <w:t>环境管理与环境监测</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_Toc148654251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310</w:t>
        </w:r>
        <w:r w:rsidR="00E67914" w:rsidRPr="00E67914">
          <w:rPr>
            <w:rFonts w:ascii="Times New Roman" w:hAnsi="Times New Roman"/>
            <w:noProof/>
            <w:webHidden/>
          </w:rPr>
          <w:fldChar w:fldCharType="end"/>
        </w:r>
      </w:hyperlink>
    </w:p>
    <w:p w14:paraId="3BC21260" w14:textId="1535F3E2"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52" w:history="1">
        <w:r w:rsidR="00E67914" w:rsidRPr="00E67914">
          <w:rPr>
            <w:rStyle w:val="afff0"/>
            <w:rFonts w:ascii="Times New Roman" w:hAnsi="Times New Roman"/>
            <w:noProof/>
            <w:color w:val="auto"/>
            <w:lang w:eastAsia="zh-CN"/>
          </w:rPr>
          <w:t>10.1</w:t>
        </w:r>
        <w:r w:rsidR="00E67914" w:rsidRPr="00E67914">
          <w:rPr>
            <w:rStyle w:val="afff0"/>
            <w:rFonts w:ascii="Times New Roman" w:hAnsi="Times New Roman"/>
            <w:noProof/>
            <w:color w:val="auto"/>
            <w:lang w:eastAsia="zh-CN"/>
          </w:rPr>
          <w:t>环境管理</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_Toc148654252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310</w:t>
        </w:r>
        <w:r w:rsidR="00E67914" w:rsidRPr="00E67914">
          <w:rPr>
            <w:rFonts w:ascii="Times New Roman" w:hAnsi="Times New Roman"/>
            <w:noProof/>
            <w:webHidden/>
          </w:rPr>
          <w:fldChar w:fldCharType="end"/>
        </w:r>
      </w:hyperlink>
    </w:p>
    <w:p w14:paraId="1F47B93B" w14:textId="0C0877C4"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53" w:history="1">
        <w:r w:rsidR="00E67914" w:rsidRPr="00E67914">
          <w:rPr>
            <w:rStyle w:val="afff0"/>
            <w:rFonts w:ascii="Times New Roman" w:hAnsi="Times New Roman"/>
            <w:noProof/>
            <w:color w:val="auto"/>
            <w:lang w:eastAsia="zh-CN"/>
          </w:rPr>
          <w:t>10.2</w:t>
        </w:r>
        <w:r w:rsidR="00E67914" w:rsidRPr="00E67914">
          <w:rPr>
            <w:rStyle w:val="afff0"/>
            <w:rFonts w:ascii="Times New Roman" w:hAnsi="Times New Roman"/>
            <w:noProof/>
            <w:color w:val="auto"/>
            <w:lang w:eastAsia="zh-CN"/>
          </w:rPr>
          <w:t>污染物排放清单</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_Toc148654253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312</w:t>
        </w:r>
        <w:r w:rsidR="00E67914" w:rsidRPr="00E67914">
          <w:rPr>
            <w:rFonts w:ascii="Times New Roman" w:hAnsi="Times New Roman"/>
            <w:noProof/>
            <w:webHidden/>
          </w:rPr>
          <w:fldChar w:fldCharType="end"/>
        </w:r>
      </w:hyperlink>
    </w:p>
    <w:p w14:paraId="1D99C36F" w14:textId="40B490CD"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54" w:history="1">
        <w:r w:rsidR="00E67914" w:rsidRPr="00E67914">
          <w:rPr>
            <w:rStyle w:val="afff0"/>
            <w:rFonts w:ascii="Times New Roman" w:hAnsi="Times New Roman"/>
            <w:noProof/>
            <w:color w:val="auto"/>
            <w:lang w:eastAsia="zh-CN"/>
          </w:rPr>
          <w:t>10.3</w:t>
        </w:r>
        <w:r w:rsidR="00E67914" w:rsidRPr="00E67914">
          <w:rPr>
            <w:rStyle w:val="afff0"/>
            <w:rFonts w:ascii="Times New Roman" w:hAnsi="Times New Roman"/>
            <w:noProof/>
            <w:color w:val="auto"/>
            <w:lang w:eastAsia="zh-CN"/>
          </w:rPr>
          <w:t>环境监测</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_Toc148654254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316</w:t>
        </w:r>
        <w:r w:rsidR="00E67914" w:rsidRPr="00E67914">
          <w:rPr>
            <w:rFonts w:ascii="Times New Roman" w:hAnsi="Times New Roman"/>
            <w:noProof/>
            <w:webHidden/>
          </w:rPr>
          <w:fldChar w:fldCharType="end"/>
        </w:r>
      </w:hyperlink>
    </w:p>
    <w:p w14:paraId="2EEB393D" w14:textId="2B72CA34"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55" w:history="1">
        <w:r w:rsidR="00E67914" w:rsidRPr="00E67914">
          <w:rPr>
            <w:rStyle w:val="afff0"/>
            <w:rFonts w:ascii="Times New Roman" w:hAnsi="Times New Roman"/>
            <w:noProof/>
            <w:color w:val="auto"/>
            <w:lang w:eastAsia="zh-CN"/>
          </w:rPr>
          <w:t>10.4</w:t>
        </w:r>
        <w:r w:rsidR="00E67914" w:rsidRPr="00E67914">
          <w:rPr>
            <w:rStyle w:val="afff0"/>
            <w:rFonts w:ascii="Times New Roman" w:hAnsi="Times New Roman"/>
            <w:noProof/>
            <w:color w:val="auto"/>
            <w:lang w:eastAsia="zh-CN"/>
          </w:rPr>
          <w:t>排污许可申请</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_Toc148654255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320</w:t>
        </w:r>
        <w:r w:rsidR="00E67914" w:rsidRPr="00E67914">
          <w:rPr>
            <w:rFonts w:ascii="Times New Roman" w:hAnsi="Times New Roman"/>
            <w:noProof/>
            <w:webHidden/>
          </w:rPr>
          <w:fldChar w:fldCharType="end"/>
        </w:r>
      </w:hyperlink>
    </w:p>
    <w:p w14:paraId="10FFB0AE" w14:textId="78840A26"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56" w:history="1">
        <w:r w:rsidR="00E67914" w:rsidRPr="00E67914">
          <w:rPr>
            <w:rStyle w:val="afff0"/>
            <w:rFonts w:ascii="Times New Roman" w:hAnsi="Times New Roman"/>
            <w:noProof/>
            <w:color w:val="auto"/>
            <w:lang w:eastAsia="zh-CN"/>
          </w:rPr>
          <w:t>10.5</w:t>
        </w:r>
        <w:r w:rsidR="00E67914" w:rsidRPr="00E67914">
          <w:rPr>
            <w:rStyle w:val="afff0"/>
            <w:rFonts w:ascii="Times New Roman" w:hAnsi="Times New Roman"/>
            <w:noProof/>
            <w:color w:val="auto"/>
            <w:lang w:eastAsia="zh-CN"/>
          </w:rPr>
          <w:t>环保设施竣工验收</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_Toc148654256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320</w:t>
        </w:r>
        <w:r w:rsidR="00E67914" w:rsidRPr="00E67914">
          <w:rPr>
            <w:rFonts w:ascii="Times New Roman" w:hAnsi="Times New Roman"/>
            <w:noProof/>
            <w:webHidden/>
          </w:rPr>
          <w:fldChar w:fldCharType="end"/>
        </w:r>
      </w:hyperlink>
    </w:p>
    <w:p w14:paraId="3C29BCAE" w14:textId="3A71D96C" w:rsidR="00E67914" w:rsidRPr="00E67914" w:rsidRDefault="00000000">
      <w:pPr>
        <w:pStyle w:val="TOC1"/>
        <w:tabs>
          <w:tab w:val="right" w:leader="dot" w:pos="8300"/>
        </w:tabs>
        <w:rPr>
          <w:rFonts w:ascii="Times New Roman" w:eastAsiaTheme="minorEastAsia" w:hAnsi="Times New Roman"/>
          <w:noProof/>
          <w:kern w:val="2"/>
          <w:sz w:val="21"/>
          <w:lang w:eastAsia="zh-CN"/>
          <w14:ligatures w14:val="standardContextual"/>
        </w:rPr>
      </w:pPr>
      <w:hyperlink w:anchor="_Toc148654257" w:history="1">
        <w:r w:rsidR="00E67914" w:rsidRPr="00E67914">
          <w:rPr>
            <w:rStyle w:val="afff0"/>
            <w:rFonts w:ascii="Times New Roman" w:eastAsia="黑体" w:hAnsi="Times New Roman"/>
            <w:noProof/>
            <w:color w:val="auto"/>
            <w:lang w:eastAsia="zh-CN"/>
          </w:rPr>
          <w:t>11</w:t>
        </w:r>
        <w:r w:rsidR="00E67914" w:rsidRPr="00E67914">
          <w:rPr>
            <w:rStyle w:val="afff0"/>
            <w:rFonts w:ascii="Times New Roman" w:eastAsia="黑体" w:hAnsi="Times New Roman"/>
            <w:noProof/>
            <w:color w:val="auto"/>
            <w:lang w:eastAsia="zh-CN"/>
          </w:rPr>
          <w:t>结论与建议</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_Toc148654257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322</w:t>
        </w:r>
        <w:r w:rsidR="00E67914" w:rsidRPr="00E67914">
          <w:rPr>
            <w:rFonts w:ascii="Times New Roman" w:hAnsi="Times New Roman"/>
            <w:noProof/>
            <w:webHidden/>
          </w:rPr>
          <w:fldChar w:fldCharType="end"/>
        </w:r>
      </w:hyperlink>
    </w:p>
    <w:p w14:paraId="28384544" w14:textId="5D7AB576"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58" w:history="1">
        <w:r w:rsidR="00E67914" w:rsidRPr="00E67914">
          <w:rPr>
            <w:rStyle w:val="afff0"/>
            <w:rFonts w:ascii="Times New Roman" w:hAnsi="Times New Roman"/>
            <w:noProof/>
            <w:color w:val="auto"/>
            <w:lang w:eastAsia="zh-CN"/>
          </w:rPr>
          <w:t>11.1</w:t>
        </w:r>
        <w:r w:rsidR="00E67914" w:rsidRPr="00E67914">
          <w:rPr>
            <w:rStyle w:val="afff0"/>
            <w:rFonts w:ascii="Times New Roman" w:hAnsi="Times New Roman"/>
            <w:noProof/>
            <w:color w:val="auto"/>
            <w:lang w:eastAsia="zh-CN"/>
          </w:rPr>
          <w:t>项目概况</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_Toc148654258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322</w:t>
        </w:r>
        <w:r w:rsidR="00E67914" w:rsidRPr="00E67914">
          <w:rPr>
            <w:rFonts w:ascii="Times New Roman" w:hAnsi="Times New Roman"/>
            <w:noProof/>
            <w:webHidden/>
          </w:rPr>
          <w:fldChar w:fldCharType="end"/>
        </w:r>
      </w:hyperlink>
    </w:p>
    <w:p w14:paraId="11C60451" w14:textId="79E18F4C"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59" w:history="1">
        <w:r w:rsidR="00E67914" w:rsidRPr="00E67914">
          <w:rPr>
            <w:rStyle w:val="afff0"/>
            <w:rFonts w:ascii="Times New Roman" w:hAnsi="Times New Roman"/>
            <w:noProof/>
            <w:color w:val="auto"/>
            <w:lang w:eastAsia="zh-CN"/>
          </w:rPr>
          <w:t>11.2</w:t>
        </w:r>
        <w:r w:rsidR="00E67914" w:rsidRPr="00E67914">
          <w:rPr>
            <w:rStyle w:val="afff0"/>
            <w:rFonts w:ascii="Times New Roman" w:hAnsi="Times New Roman"/>
            <w:noProof/>
            <w:color w:val="auto"/>
            <w:lang w:eastAsia="zh-CN"/>
          </w:rPr>
          <w:t>环境质量现状</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_Toc148654259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322</w:t>
        </w:r>
        <w:r w:rsidR="00E67914" w:rsidRPr="00E67914">
          <w:rPr>
            <w:rFonts w:ascii="Times New Roman" w:hAnsi="Times New Roman"/>
            <w:noProof/>
            <w:webHidden/>
          </w:rPr>
          <w:fldChar w:fldCharType="end"/>
        </w:r>
      </w:hyperlink>
    </w:p>
    <w:p w14:paraId="74A05D42" w14:textId="56DCB4B4"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60" w:history="1">
        <w:r w:rsidR="00E67914" w:rsidRPr="00E67914">
          <w:rPr>
            <w:rStyle w:val="afff0"/>
            <w:rFonts w:ascii="Times New Roman" w:hAnsi="Times New Roman"/>
            <w:noProof/>
            <w:color w:val="auto"/>
            <w:lang w:eastAsia="zh-CN"/>
          </w:rPr>
          <w:t>11.3</w:t>
        </w:r>
        <w:r w:rsidR="00E67914" w:rsidRPr="00E67914">
          <w:rPr>
            <w:rStyle w:val="afff0"/>
            <w:rFonts w:ascii="Times New Roman" w:hAnsi="Times New Roman"/>
            <w:noProof/>
            <w:color w:val="auto"/>
            <w:lang w:eastAsia="zh-CN"/>
          </w:rPr>
          <w:t>项目产业政策符合性分析与选址合理性分析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_Toc148654260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322</w:t>
        </w:r>
        <w:r w:rsidR="00E67914" w:rsidRPr="00E67914">
          <w:rPr>
            <w:rFonts w:ascii="Times New Roman" w:hAnsi="Times New Roman"/>
            <w:noProof/>
            <w:webHidden/>
          </w:rPr>
          <w:fldChar w:fldCharType="end"/>
        </w:r>
      </w:hyperlink>
    </w:p>
    <w:p w14:paraId="472691E8" w14:textId="085258AE"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61" w:history="1">
        <w:r w:rsidR="00E67914" w:rsidRPr="00E67914">
          <w:rPr>
            <w:rStyle w:val="afff0"/>
            <w:rFonts w:ascii="Times New Roman" w:hAnsi="Times New Roman"/>
            <w:noProof/>
            <w:color w:val="auto"/>
            <w:lang w:eastAsia="zh-CN"/>
          </w:rPr>
          <w:t>11.4</w:t>
        </w:r>
        <w:r w:rsidR="00E67914" w:rsidRPr="00E67914">
          <w:rPr>
            <w:rStyle w:val="afff0"/>
            <w:rFonts w:ascii="Times New Roman" w:hAnsi="Times New Roman"/>
            <w:noProof/>
            <w:color w:val="auto"/>
            <w:lang w:eastAsia="zh-CN"/>
          </w:rPr>
          <w:t>环境影响评价结论</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_Toc148654261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323</w:t>
        </w:r>
        <w:r w:rsidR="00E67914" w:rsidRPr="00E67914">
          <w:rPr>
            <w:rFonts w:ascii="Times New Roman" w:hAnsi="Times New Roman"/>
            <w:noProof/>
            <w:webHidden/>
          </w:rPr>
          <w:fldChar w:fldCharType="end"/>
        </w:r>
      </w:hyperlink>
    </w:p>
    <w:p w14:paraId="2DB83E89" w14:textId="5A73443A"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62" w:history="1">
        <w:r w:rsidR="00E67914" w:rsidRPr="00E67914">
          <w:rPr>
            <w:rStyle w:val="afff0"/>
            <w:rFonts w:ascii="Times New Roman" w:hAnsi="Times New Roman"/>
            <w:noProof/>
            <w:color w:val="auto"/>
            <w:lang w:eastAsia="zh-CN"/>
          </w:rPr>
          <w:t>11.5</w:t>
        </w:r>
        <w:r w:rsidR="00E67914" w:rsidRPr="00E67914">
          <w:rPr>
            <w:rStyle w:val="afff0"/>
            <w:rFonts w:ascii="Times New Roman" w:hAnsi="Times New Roman"/>
            <w:noProof/>
            <w:color w:val="auto"/>
            <w:lang w:eastAsia="zh-CN"/>
          </w:rPr>
          <w:t>环境风险分析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_Toc148654262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324</w:t>
        </w:r>
        <w:r w:rsidR="00E67914" w:rsidRPr="00E67914">
          <w:rPr>
            <w:rFonts w:ascii="Times New Roman" w:hAnsi="Times New Roman"/>
            <w:noProof/>
            <w:webHidden/>
          </w:rPr>
          <w:fldChar w:fldCharType="end"/>
        </w:r>
      </w:hyperlink>
    </w:p>
    <w:p w14:paraId="1043CBAA" w14:textId="3E9EB5A2"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63" w:history="1">
        <w:r w:rsidR="00E67914" w:rsidRPr="00E67914">
          <w:rPr>
            <w:rStyle w:val="afff0"/>
            <w:rFonts w:ascii="Times New Roman" w:hAnsi="Times New Roman"/>
            <w:noProof/>
            <w:color w:val="auto"/>
            <w:lang w:eastAsia="zh-CN"/>
          </w:rPr>
          <w:t>11.6</w:t>
        </w:r>
        <w:r w:rsidR="00E67914" w:rsidRPr="00E67914">
          <w:rPr>
            <w:rStyle w:val="afff0"/>
            <w:rFonts w:ascii="Times New Roman" w:hAnsi="Times New Roman"/>
            <w:noProof/>
            <w:color w:val="auto"/>
            <w:lang w:eastAsia="zh-CN"/>
          </w:rPr>
          <w:t>清洁生产和总量控制</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_Toc148654263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324</w:t>
        </w:r>
        <w:r w:rsidR="00E67914" w:rsidRPr="00E67914">
          <w:rPr>
            <w:rFonts w:ascii="Times New Roman" w:hAnsi="Times New Roman"/>
            <w:noProof/>
            <w:webHidden/>
          </w:rPr>
          <w:fldChar w:fldCharType="end"/>
        </w:r>
      </w:hyperlink>
    </w:p>
    <w:p w14:paraId="13E8ED96" w14:textId="5604ACBE"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64" w:history="1">
        <w:r w:rsidR="00E67914" w:rsidRPr="00E67914">
          <w:rPr>
            <w:rStyle w:val="afff0"/>
            <w:rFonts w:ascii="Times New Roman" w:hAnsi="Times New Roman"/>
            <w:noProof/>
            <w:color w:val="auto"/>
            <w:lang w:eastAsia="zh-CN"/>
          </w:rPr>
          <w:t>11.7</w:t>
        </w:r>
        <w:r w:rsidR="00E67914" w:rsidRPr="00E67914">
          <w:rPr>
            <w:rStyle w:val="afff0"/>
            <w:rFonts w:ascii="Times New Roman" w:hAnsi="Times New Roman"/>
            <w:noProof/>
            <w:color w:val="auto"/>
            <w:lang w:eastAsia="zh-CN"/>
          </w:rPr>
          <w:t>环境经济损益分析</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_Toc148654264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325</w:t>
        </w:r>
        <w:r w:rsidR="00E67914" w:rsidRPr="00E67914">
          <w:rPr>
            <w:rFonts w:ascii="Times New Roman" w:hAnsi="Times New Roman"/>
            <w:noProof/>
            <w:webHidden/>
          </w:rPr>
          <w:fldChar w:fldCharType="end"/>
        </w:r>
      </w:hyperlink>
    </w:p>
    <w:p w14:paraId="69EF4923" w14:textId="735696E1"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65" w:history="1">
        <w:r w:rsidR="00E67914" w:rsidRPr="00E67914">
          <w:rPr>
            <w:rStyle w:val="afff0"/>
            <w:rFonts w:ascii="Times New Roman" w:hAnsi="Times New Roman"/>
            <w:noProof/>
            <w:color w:val="auto"/>
            <w:lang w:eastAsia="zh-CN"/>
          </w:rPr>
          <w:t>11.8</w:t>
        </w:r>
        <w:r w:rsidR="00E67914" w:rsidRPr="00E67914">
          <w:rPr>
            <w:rStyle w:val="afff0"/>
            <w:rFonts w:ascii="Times New Roman" w:hAnsi="Times New Roman"/>
            <w:noProof/>
            <w:color w:val="auto"/>
            <w:lang w:eastAsia="zh-CN"/>
          </w:rPr>
          <w:t>公众参与调查结论</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_Toc148654265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325</w:t>
        </w:r>
        <w:r w:rsidR="00E67914" w:rsidRPr="00E67914">
          <w:rPr>
            <w:rFonts w:ascii="Times New Roman" w:hAnsi="Times New Roman"/>
            <w:noProof/>
            <w:webHidden/>
          </w:rPr>
          <w:fldChar w:fldCharType="end"/>
        </w:r>
      </w:hyperlink>
    </w:p>
    <w:p w14:paraId="1BD5C605" w14:textId="0D371A59"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66" w:history="1">
        <w:r w:rsidR="00E67914" w:rsidRPr="00E67914">
          <w:rPr>
            <w:rStyle w:val="afff0"/>
            <w:rFonts w:ascii="Times New Roman" w:hAnsi="Times New Roman"/>
            <w:noProof/>
            <w:color w:val="auto"/>
            <w:lang w:eastAsia="zh-CN"/>
          </w:rPr>
          <w:t>11.9</w:t>
        </w:r>
        <w:r w:rsidR="00E67914" w:rsidRPr="00E67914">
          <w:rPr>
            <w:rStyle w:val="afff0"/>
            <w:rFonts w:ascii="Times New Roman" w:hAnsi="Times New Roman"/>
            <w:noProof/>
            <w:color w:val="auto"/>
            <w:lang w:eastAsia="zh-CN"/>
          </w:rPr>
          <w:t>评价总结论</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_Toc148654266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325</w:t>
        </w:r>
        <w:r w:rsidR="00E67914" w:rsidRPr="00E67914">
          <w:rPr>
            <w:rFonts w:ascii="Times New Roman" w:hAnsi="Times New Roman"/>
            <w:noProof/>
            <w:webHidden/>
          </w:rPr>
          <w:fldChar w:fldCharType="end"/>
        </w:r>
      </w:hyperlink>
    </w:p>
    <w:p w14:paraId="731A5C6B" w14:textId="029BB842" w:rsidR="00E67914" w:rsidRPr="00E67914" w:rsidRDefault="00000000">
      <w:pPr>
        <w:pStyle w:val="TOC2"/>
        <w:tabs>
          <w:tab w:val="right" w:leader="dot" w:pos="8300"/>
        </w:tabs>
        <w:ind w:left="440"/>
        <w:rPr>
          <w:rFonts w:ascii="Times New Roman" w:eastAsiaTheme="minorEastAsia" w:hAnsi="Times New Roman"/>
          <w:noProof/>
          <w:kern w:val="2"/>
          <w:sz w:val="21"/>
          <w:lang w:eastAsia="zh-CN"/>
          <w14:ligatures w14:val="standardContextual"/>
        </w:rPr>
      </w:pPr>
      <w:hyperlink w:anchor="_Toc148654267" w:history="1">
        <w:r w:rsidR="00E67914" w:rsidRPr="00E67914">
          <w:rPr>
            <w:rStyle w:val="afff0"/>
            <w:rFonts w:ascii="Times New Roman" w:hAnsi="Times New Roman"/>
            <w:noProof/>
            <w:color w:val="auto"/>
            <w:lang w:eastAsia="zh-CN"/>
          </w:rPr>
          <w:t>11.10</w:t>
        </w:r>
        <w:r w:rsidR="00E67914" w:rsidRPr="00E67914">
          <w:rPr>
            <w:rStyle w:val="afff0"/>
            <w:rFonts w:ascii="Times New Roman" w:hAnsi="Times New Roman"/>
            <w:noProof/>
            <w:color w:val="auto"/>
            <w:lang w:eastAsia="zh-CN"/>
          </w:rPr>
          <w:t>建议</w:t>
        </w:r>
        <w:r w:rsidR="00E67914" w:rsidRPr="00E67914">
          <w:rPr>
            <w:rFonts w:ascii="Times New Roman" w:hAnsi="Times New Roman"/>
            <w:noProof/>
            <w:webHidden/>
          </w:rPr>
          <w:tab/>
        </w:r>
        <w:r w:rsidR="00E67914" w:rsidRPr="00E67914">
          <w:rPr>
            <w:rFonts w:ascii="Times New Roman" w:hAnsi="Times New Roman"/>
            <w:noProof/>
            <w:webHidden/>
          </w:rPr>
          <w:fldChar w:fldCharType="begin"/>
        </w:r>
        <w:r w:rsidR="00E67914" w:rsidRPr="00E67914">
          <w:rPr>
            <w:rFonts w:ascii="Times New Roman" w:hAnsi="Times New Roman"/>
            <w:noProof/>
            <w:webHidden/>
          </w:rPr>
          <w:instrText xml:space="preserve"> PAGEREF _Toc148654267 \h </w:instrText>
        </w:r>
        <w:r w:rsidR="00E67914" w:rsidRPr="00E67914">
          <w:rPr>
            <w:rFonts w:ascii="Times New Roman" w:hAnsi="Times New Roman"/>
            <w:noProof/>
            <w:webHidden/>
          </w:rPr>
        </w:r>
        <w:r w:rsidR="00E67914" w:rsidRPr="00E67914">
          <w:rPr>
            <w:rFonts w:ascii="Times New Roman" w:hAnsi="Times New Roman"/>
            <w:noProof/>
            <w:webHidden/>
          </w:rPr>
          <w:fldChar w:fldCharType="separate"/>
        </w:r>
        <w:r w:rsidR="00E67914" w:rsidRPr="00E67914">
          <w:rPr>
            <w:rFonts w:ascii="Times New Roman" w:hAnsi="Times New Roman"/>
            <w:noProof/>
            <w:webHidden/>
          </w:rPr>
          <w:t>325</w:t>
        </w:r>
        <w:r w:rsidR="00E67914" w:rsidRPr="00E67914">
          <w:rPr>
            <w:rFonts w:ascii="Times New Roman" w:hAnsi="Times New Roman"/>
            <w:noProof/>
            <w:webHidden/>
          </w:rPr>
          <w:fldChar w:fldCharType="end"/>
        </w:r>
      </w:hyperlink>
    </w:p>
    <w:p w14:paraId="5DFF4AD8" w14:textId="55587453" w:rsidR="00A54A8A" w:rsidRPr="00E67914" w:rsidRDefault="00C9297F">
      <w:pPr>
        <w:tabs>
          <w:tab w:val="left" w:pos="583"/>
        </w:tabs>
        <w:adjustRightInd w:val="0"/>
        <w:snapToGrid w:val="0"/>
        <w:ind w:firstLineChars="200" w:firstLine="480"/>
        <w:jc w:val="center"/>
        <w:rPr>
          <w:rFonts w:ascii="Times New Roman" w:eastAsia="Times New Roman" w:hAnsi="Times New Roman"/>
          <w:lang w:eastAsia="zh-CN"/>
        </w:rPr>
        <w:sectPr w:rsidR="00A54A8A" w:rsidRPr="00E67914" w:rsidSect="008752B7">
          <w:headerReference w:type="default" r:id="rId10"/>
          <w:footerReference w:type="default" r:id="rId11"/>
          <w:pgSz w:w="11910" w:h="16840"/>
          <w:pgMar w:top="1440" w:right="1800" w:bottom="1440" w:left="1800" w:header="877" w:footer="1007" w:gutter="0"/>
          <w:pgNumType w:fmt="upperRoman" w:start="1"/>
          <w:cols w:space="720"/>
        </w:sectPr>
      </w:pPr>
      <w:r w:rsidRPr="00E67914">
        <w:rPr>
          <w:rFonts w:ascii="Times New Roman" w:hAnsi="Times New Roman"/>
          <w:sz w:val="24"/>
          <w:szCs w:val="24"/>
          <w:lang w:eastAsia="zh-CN"/>
        </w:rPr>
        <w:fldChar w:fldCharType="end"/>
      </w:r>
    </w:p>
    <w:p w14:paraId="25E71B35" w14:textId="77777777" w:rsidR="00A54A8A" w:rsidRPr="00E67914" w:rsidRDefault="00000000">
      <w:pPr>
        <w:pStyle w:val="af"/>
        <w:adjustRightInd w:val="0"/>
        <w:snapToGrid w:val="0"/>
        <w:spacing w:before="0" w:line="360" w:lineRule="auto"/>
        <w:ind w:left="0" w:firstLineChars="200" w:firstLine="480"/>
        <w:rPr>
          <w:rFonts w:ascii="Times New Roman" w:eastAsia="黑体" w:hAnsi="Times New Roman"/>
          <w:lang w:eastAsia="zh-CN"/>
        </w:rPr>
      </w:pPr>
      <w:bookmarkStart w:id="1" w:name="_Toc41290497"/>
      <w:bookmarkStart w:id="2" w:name="_Hlk51679438"/>
      <w:r w:rsidRPr="00E67914">
        <w:rPr>
          <w:rFonts w:ascii="Times New Roman" w:eastAsia="黑体" w:hAnsi="Times New Roman"/>
          <w:lang w:eastAsia="zh-CN"/>
        </w:rPr>
        <w:lastRenderedPageBreak/>
        <w:t>附表</w:t>
      </w:r>
      <w:bookmarkEnd w:id="1"/>
    </w:p>
    <w:p w14:paraId="2E0B98D2"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bookmarkStart w:id="3" w:name="_Toc41290498"/>
      <w:r w:rsidRPr="00E67914">
        <w:rPr>
          <w:rFonts w:ascii="Times New Roman" w:hAnsi="Times New Roman"/>
          <w:lang w:eastAsia="zh-CN"/>
        </w:rPr>
        <w:t>附表</w:t>
      </w:r>
      <w:r w:rsidRPr="00E67914">
        <w:rPr>
          <w:rFonts w:ascii="Times New Roman" w:hAnsi="Times New Roman"/>
          <w:lang w:eastAsia="zh-CN"/>
        </w:rPr>
        <w:t xml:space="preserve">1 </w:t>
      </w:r>
      <w:r w:rsidRPr="00E67914">
        <w:rPr>
          <w:rFonts w:ascii="Times New Roman" w:hAnsi="Times New Roman"/>
          <w:lang w:eastAsia="zh-CN"/>
        </w:rPr>
        <w:t>大气环境影响评价自查表</w:t>
      </w:r>
    </w:p>
    <w:p w14:paraId="0DF27E98"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附表</w:t>
      </w:r>
      <w:r w:rsidRPr="00E67914">
        <w:rPr>
          <w:rFonts w:ascii="Times New Roman" w:hAnsi="Times New Roman"/>
          <w:lang w:eastAsia="zh-CN"/>
        </w:rPr>
        <w:t xml:space="preserve">2 </w:t>
      </w:r>
      <w:r w:rsidRPr="00E67914">
        <w:rPr>
          <w:rFonts w:ascii="Times New Roman" w:hAnsi="Times New Roman"/>
          <w:lang w:eastAsia="zh-CN"/>
        </w:rPr>
        <w:t>地表水环境影响评价自查表</w:t>
      </w:r>
    </w:p>
    <w:p w14:paraId="2AEF3994"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附表</w:t>
      </w:r>
      <w:r w:rsidRPr="00E67914">
        <w:rPr>
          <w:rFonts w:ascii="Times New Roman" w:hAnsi="Times New Roman"/>
          <w:lang w:eastAsia="zh-CN"/>
        </w:rPr>
        <w:t xml:space="preserve">3 </w:t>
      </w:r>
      <w:r w:rsidRPr="00E67914">
        <w:rPr>
          <w:rFonts w:ascii="Times New Roman" w:hAnsi="Times New Roman"/>
          <w:lang w:eastAsia="zh-CN"/>
        </w:rPr>
        <w:t>土壤环境影响评价自查表</w:t>
      </w:r>
    </w:p>
    <w:p w14:paraId="3680AA9F"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附表</w:t>
      </w:r>
      <w:r w:rsidRPr="00E67914">
        <w:rPr>
          <w:rFonts w:ascii="Times New Roman" w:hAnsi="Times New Roman"/>
          <w:lang w:eastAsia="zh-CN"/>
        </w:rPr>
        <w:t xml:space="preserve">4 </w:t>
      </w:r>
      <w:r w:rsidRPr="00E67914">
        <w:rPr>
          <w:rFonts w:ascii="Times New Roman" w:hAnsi="Times New Roman"/>
          <w:lang w:eastAsia="zh-CN"/>
        </w:rPr>
        <w:t>环境风险评价自查表</w:t>
      </w:r>
    </w:p>
    <w:p w14:paraId="011E7706" w14:textId="2BC2C712" w:rsidR="00A54A8A" w:rsidRPr="00E67914" w:rsidRDefault="008752B7">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附表</w:t>
      </w:r>
      <w:r w:rsidRPr="00E67914">
        <w:rPr>
          <w:rFonts w:ascii="Times New Roman" w:hAnsi="Times New Roman"/>
          <w:lang w:eastAsia="zh-CN"/>
        </w:rPr>
        <w:t xml:space="preserve">5 </w:t>
      </w:r>
      <w:r w:rsidRPr="00E67914">
        <w:rPr>
          <w:rFonts w:ascii="Times New Roman" w:hAnsi="Times New Roman"/>
          <w:lang w:eastAsia="zh-CN"/>
        </w:rPr>
        <w:t>声环境影响评价自查表</w:t>
      </w:r>
    </w:p>
    <w:p w14:paraId="08C8CBD1" w14:textId="19BF173A" w:rsidR="00A54A8A" w:rsidRPr="00E67914" w:rsidRDefault="008752B7">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附表</w:t>
      </w:r>
      <w:r w:rsidRPr="00E67914">
        <w:rPr>
          <w:rFonts w:ascii="Times New Roman" w:hAnsi="Times New Roman"/>
          <w:lang w:eastAsia="zh-CN"/>
        </w:rPr>
        <w:t xml:space="preserve">6 </w:t>
      </w:r>
      <w:r w:rsidRPr="00E67914">
        <w:rPr>
          <w:rFonts w:ascii="Times New Roman" w:hAnsi="Times New Roman"/>
          <w:lang w:eastAsia="zh-CN"/>
        </w:rPr>
        <w:t>生态影响评价自查表</w:t>
      </w:r>
    </w:p>
    <w:p w14:paraId="126A138B" w14:textId="3DBD477B" w:rsidR="008752B7" w:rsidRPr="00E67914" w:rsidRDefault="008752B7">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附表</w:t>
      </w:r>
      <w:r w:rsidRPr="00E67914">
        <w:rPr>
          <w:rFonts w:ascii="Times New Roman" w:hAnsi="Times New Roman"/>
          <w:lang w:eastAsia="zh-CN"/>
        </w:rPr>
        <w:t xml:space="preserve">7 </w:t>
      </w:r>
      <w:r w:rsidRPr="00E67914">
        <w:rPr>
          <w:rFonts w:ascii="Times New Roman" w:hAnsi="Times New Roman"/>
          <w:lang w:eastAsia="zh-CN"/>
        </w:rPr>
        <w:t>项目评价范围植物名录</w:t>
      </w:r>
    </w:p>
    <w:p w14:paraId="648EA30C" w14:textId="016C3C7E" w:rsidR="008752B7" w:rsidRPr="00E67914" w:rsidRDefault="008752B7">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附表</w:t>
      </w:r>
      <w:r w:rsidRPr="00E67914">
        <w:rPr>
          <w:rFonts w:ascii="Times New Roman" w:hAnsi="Times New Roman"/>
          <w:lang w:eastAsia="zh-CN"/>
        </w:rPr>
        <w:t xml:space="preserve">8 </w:t>
      </w:r>
      <w:r w:rsidRPr="00E67914">
        <w:rPr>
          <w:rFonts w:ascii="Times New Roman" w:hAnsi="Times New Roman"/>
          <w:lang w:eastAsia="zh-CN"/>
        </w:rPr>
        <w:t>项目评价范围陆生野生动物名录</w:t>
      </w:r>
    </w:p>
    <w:p w14:paraId="7E1FFF83" w14:textId="69423527" w:rsidR="008752B7" w:rsidRPr="00E67914" w:rsidRDefault="008752B7" w:rsidP="008752B7">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附表</w:t>
      </w:r>
      <w:r w:rsidRPr="00E67914">
        <w:rPr>
          <w:rFonts w:ascii="Times New Roman" w:hAnsi="Times New Roman"/>
          <w:lang w:eastAsia="zh-CN"/>
        </w:rPr>
        <w:t xml:space="preserve">9 </w:t>
      </w:r>
      <w:r w:rsidRPr="00E67914">
        <w:rPr>
          <w:rFonts w:ascii="Times New Roman" w:hAnsi="Times New Roman"/>
          <w:lang w:eastAsia="zh-CN"/>
        </w:rPr>
        <w:t>建设项目环境影响报告书审批基础信息表</w:t>
      </w:r>
    </w:p>
    <w:p w14:paraId="0B40E71B" w14:textId="77777777" w:rsidR="00A54A8A" w:rsidRPr="00E67914" w:rsidRDefault="00000000">
      <w:pPr>
        <w:pStyle w:val="af"/>
        <w:adjustRightInd w:val="0"/>
        <w:snapToGrid w:val="0"/>
        <w:spacing w:before="0" w:line="360" w:lineRule="auto"/>
        <w:ind w:left="0" w:firstLineChars="200" w:firstLine="480"/>
        <w:rPr>
          <w:rFonts w:ascii="Times New Roman" w:eastAsia="黑体" w:hAnsi="Times New Roman"/>
          <w:lang w:eastAsia="zh-CN"/>
        </w:rPr>
      </w:pPr>
      <w:r w:rsidRPr="00E67914">
        <w:rPr>
          <w:rFonts w:ascii="Times New Roman" w:eastAsia="黑体" w:hAnsi="Times New Roman"/>
          <w:lang w:eastAsia="zh-CN"/>
        </w:rPr>
        <w:t>附图</w:t>
      </w:r>
    </w:p>
    <w:p w14:paraId="08C374B4"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1 </w:t>
      </w:r>
      <w:r w:rsidRPr="00E67914">
        <w:rPr>
          <w:rFonts w:ascii="Times New Roman" w:hAnsi="Times New Roman"/>
          <w:lang w:eastAsia="zh-CN"/>
        </w:rPr>
        <w:t>项目地理位置图</w:t>
      </w:r>
    </w:p>
    <w:p w14:paraId="2F58633D" w14:textId="356EE36F" w:rsidR="00373FFF"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2 </w:t>
      </w:r>
      <w:r w:rsidRPr="00E67914">
        <w:rPr>
          <w:rFonts w:ascii="Times New Roman" w:hAnsi="Times New Roman"/>
          <w:lang w:eastAsia="zh-CN"/>
        </w:rPr>
        <w:t>项目监测布点图</w:t>
      </w:r>
    </w:p>
    <w:p w14:paraId="092A58B4" w14:textId="2A0AB0F4"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3 </w:t>
      </w:r>
      <w:r w:rsidRPr="00E67914">
        <w:rPr>
          <w:rFonts w:ascii="Times New Roman" w:hAnsi="Times New Roman"/>
          <w:lang w:eastAsia="zh-CN"/>
        </w:rPr>
        <w:t>项目外环境关系图</w:t>
      </w:r>
    </w:p>
    <w:p w14:paraId="3899B234" w14:textId="59BEF3CC"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4 </w:t>
      </w:r>
      <w:r w:rsidRPr="00E67914">
        <w:rPr>
          <w:rFonts w:ascii="Times New Roman" w:hAnsi="Times New Roman"/>
          <w:lang w:eastAsia="zh-CN"/>
        </w:rPr>
        <w:t>项目钻井期平面布置及分区防渗图</w:t>
      </w:r>
    </w:p>
    <w:p w14:paraId="7B56534C" w14:textId="2BE8F204"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5 </w:t>
      </w:r>
      <w:r w:rsidRPr="00E67914">
        <w:rPr>
          <w:rFonts w:ascii="Times New Roman" w:hAnsi="Times New Roman"/>
          <w:lang w:eastAsia="zh-CN"/>
        </w:rPr>
        <w:t>项目试采期平面布置及分区防渗图</w:t>
      </w:r>
    </w:p>
    <w:p w14:paraId="39C685B8" w14:textId="004192AE"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6 </w:t>
      </w:r>
      <w:r w:rsidRPr="00E67914">
        <w:rPr>
          <w:rFonts w:ascii="Times New Roman" w:hAnsi="Times New Roman"/>
          <w:lang w:eastAsia="zh-CN"/>
        </w:rPr>
        <w:t>项目所在区域植被类型图</w:t>
      </w:r>
    </w:p>
    <w:p w14:paraId="1004A81B" w14:textId="13032FAF"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7 </w:t>
      </w:r>
      <w:r w:rsidRPr="00E67914">
        <w:rPr>
          <w:rFonts w:ascii="Times New Roman" w:hAnsi="Times New Roman"/>
          <w:lang w:eastAsia="zh-CN"/>
        </w:rPr>
        <w:t>项目所在区域土地利用现状图</w:t>
      </w:r>
    </w:p>
    <w:p w14:paraId="1DB1D97F" w14:textId="68EB727D"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8 </w:t>
      </w:r>
      <w:r w:rsidRPr="00E67914">
        <w:rPr>
          <w:rFonts w:ascii="Times New Roman" w:hAnsi="Times New Roman"/>
          <w:lang w:eastAsia="zh-CN"/>
        </w:rPr>
        <w:t>项目所在区域水文地质图</w:t>
      </w:r>
    </w:p>
    <w:p w14:paraId="1CF2494D" w14:textId="1E868DCA"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9 </w:t>
      </w:r>
      <w:r w:rsidRPr="00E67914">
        <w:rPr>
          <w:rFonts w:ascii="Times New Roman" w:hAnsi="Times New Roman"/>
          <w:lang w:eastAsia="zh-CN"/>
        </w:rPr>
        <w:t>项目与达州市环境管控单元分布位置关系图</w:t>
      </w:r>
    </w:p>
    <w:p w14:paraId="15F2CEF7" w14:textId="77228B33"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10 </w:t>
      </w:r>
      <w:r w:rsidRPr="00E67914">
        <w:rPr>
          <w:rFonts w:ascii="Times New Roman" w:hAnsi="Times New Roman"/>
          <w:lang w:eastAsia="zh-CN"/>
        </w:rPr>
        <w:t>项目所在区域水系图</w:t>
      </w:r>
    </w:p>
    <w:p w14:paraId="1EFA91DB" w14:textId="6EDBF6E3"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11 </w:t>
      </w:r>
      <w:r w:rsidRPr="00E67914">
        <w:rPr>
          <w:rFonts w:ascii="Times New Roman" w:hAnsi="Times New Roman"/>
          <w:lang w:eastAsia="zh-CN"/>
        </w:rPr>
        <w:t>项目所在区域生态系统类型分布图</w:t>
      </w:r>
    </w:p>
    <w:p w14:paraId="3B6631B5" w14:textId="3AA37D60"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12 </w:t>
      </w:r>
      <w:r w:rsidRPr="00E67914">
        <w:rPr>
          <w:rFonts w:ascii="Times New Roman" w:hAnsi="Times New Roman"/>
          <w:lang w:eastAsia="zh-CN"/>
        </w:rPr>
        <w:t>项目所在区域植被覆盖图空间分布图</w:t>
      </w:r>
    </w:p>
    <w:p w14:paraId="5A8DD235" w14:textId="229F123E"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13 </w:t>
      </w:r>
      <w:r w:rsidRPr="00E67914">
        <w:rPr>
          <w:rFonts w:ascii="Times New Roman" w:hAnsi="Times New Roman"/>
          <w:lang w:eastAsia="zh-CN"/>
        </w:rPr>
        <w:t>项目周边公益林分布图</w:t>
      </w:r>
    </w:p>
    <w:p w14:paraId="0DC612D9" w14:textId="0E431D2C"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14 </w:t>
      </w:r>
      <w:r w:rsidRPr="00E67914">
        <w:rPr>
          <w:rFonts w:ascii="Times New Roman" w:hAnsi="Times New Roman"/>
          <w:lang w:eastAsia="zh-CN"/>
        </w:rPr>
        <w:t>项目与基本农田相对位置关系图</w:t>
      </w:r>
    </w:p>
    <w:p w14:paraId="02CDCF46" w14:textId="3A341ED8"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15 </w:t>
      </w:r>
      <w:r w:rsidRPr="00E67914">
        <w:rPr>
          <w:rFonts w:ascii="Times New Roman" w:hAnsi="Times New Roman"/>
          <w:lang w:eastAsia="zh-CN"/>
        </w:rPr>
        <w:t>项目与城镇开发边界套合图</w:t>
      </w:r>
    </w:p>
    <w:p w14:paraId="0B01BD55" w14:textId="45BA8650"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附图</w:t>
      </w:r>
      <w:r w:rsidRPr="00E67914">
        <w:rPr>
          <w:rFonts w:ascii="Times New Roman" w:hAnsi="Times New Roman"/>
          <w:lang w:eastAsia="zh-CN"/>
        </w:rPr>
        <w:t xml:space="preserve">16 </w:t>
      </w:r>
      <w:r w:rsidRPr="00E67914">
        <w:rPr>
          <w:rFonts w:ascii="Times New Roman" w:hAnsi="Times New Roman"/>
          <w:lang w:eastAsia="zh-CN"/>
        </w:rPr>
        <w:t>现场照片</w:t>
      </w:r>
    </w:p>
    <w:p w14:paraId="28603AEF" w14:textId="77777777" w:rsidR="00A54A8A" w:rsidRPr="00E67914" w:rsidRDefault="00000000">
      <w:pPr>
        <w:pStyle w:val="af"/>
        <w:adjustRightInd w:val="0"/>
        <w:snapToGrid w:val="0"/>
        <w:spacing w:before="0" w:line="360" w:lineRule="auto"/>
        <w:ind w:left="0" w:firstLineChars="200" w:firstLine="480"/>
        <w:rPr>
          <w:rFonts w:ascii="Times New Roman" w:eastAsia="黑体" w:hAnsi="Times New Roman"/>
          <w:lang w:eastAsia="zh-CN"/>
        </w:rPr>
      </w:pPr>
      <w:r w:rsidRPr="00E67914">
        <w:rPr>
          <w:rFonts w:ascii="Times New Roman" w:eastAsia="黑体" w:hAnsi="Times New Roman"/>
          <w:lang w:eastAsia="zh-CN"/>
        </w:rPr>
        <w:t>附件</w:t>
      </w:r>
    </w:p>
    <w:p w14:paraId="0EC1A0DE"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1 </w:t>
      </w:r>
      <w:r w:rsidRPr="00E67914">
        <w:rPr>
          <w:rFonts w:ascii="Times New Roman" w:hAnsi="Times New Roman"/>
          <w:lang w:eastAsia="zh-CN"/>
        </w:rPr>
        <w:t>项目委托书</w:t>
      </w:r>
    </w:p>
    <w:p w14:paraId="3905BAEA" w14:textId="0817D6B7" w:rsidR="00A54A8A" w:rsidRPr="00E67914" w:rsidRDefault="0072674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2 </w:t>
      </w:r>
      <w:r w:rsidR="002662E3" w:rsidRPr="00E67914">
        <w:rPr>
          <w:rFonts w:ascii="Times New Roman" w:hAnsi="Times New Roman"/>
          <w:lang w:eastAsia="zh-CN"/>
        </w:rPr>
        <w:t>普陆页</w:t>
      </w:r>
      <w:r w:rsidR="002662E3" w:rsidRPr="00E67914">
        <w:rPr>
          <w:rFonts w:ascii="Times New Roman" w:hAnsi="Times New Roman"/>
          <w:lang w:eastAsia="zh-CN"/>
        </w:rPr>
        <w:t>2</w:t>
      </w:r>
      <w:r w:rsidR="002662E3" w:rsidRPr="00E67914">
        <w:rPr>
          <w:rFonts w:ascii="Times New Roman" w:hAnsi="Times New Roman"/>
          <w:lang w:eastAsia="zh-CN"/>
        </w:rPr>
        <w:t>井台钻井及试采工程</w:t>
      </w:r>
      <w:r w:rsidRPr="00E67914">
        <w:rPr>
          <w:rFonts w:ascii="Times New Roman" w:hAnsi="Times New Roman"/>
          <w:lang w:eastAsia="zh-CN"/>
        </w:rPr>
        <w:t>可研批复</w:t>
      </w:r>
    </w:p>
    <w:p w14:paraId="5E8F9D97" w14:textId="4DD6B585"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lastRenderedPageBreak/>
        <w:t>附件</w:t>
      </w:r>
      <w:r w:rsidRPr="00E67914">
        <w:rPr>
          <w:rFonts w:ascii="Times New Roman" w:hAnsi="Times New Roman"/>
          <w:lang w:eastAsia="zh-CN"/>
        </w:rPr>
        <w:t xml:space="preserve">3 </w:t>
      </w:r>
      <w:r w:rsidR="00C939C7" w:rsidRPr="00E67914">
        <w:rPr>
          <w:rFonts w:ascii="Times New Roman" w:hAnsi="Times New Roman"/>
          <w:lang w:eastAsia="zh-CN"/>
        </w:rPr>
        <w:t>中国石化普光气田开发及川气东送管道工程环境影响报告书批复</w:t>
      </w:r>
    </w:p>
    <w:p w14:paraId="3CD31836" w14:textId="1CC50DBF" w:rsidR="00726741" w:rsidRPr="00E67914" w:rsidRDefault="0072674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4 </w:t>
      </w:r>
      <w:r w:rsidR="00767CA8" w:rsidRPr="00E67914">
        <w:rPr>
          <w:rFonts w:ascii="Times New Roman" w:hAnsi="Times New Roman"/>
          <w:lang w:eastAsia="zh-CN"/>
        </w:rPr>
        <w:t>中国石化</w:t>
      </w:r>
      <w:r w:rsidR="00C939C7" w:rsidRPr="00E67914">
        <w:rPr>
          <w:rFonts w:ascii="Times New Roman" w:hAnsi="Times New Roman"/>
          <w:lang w:eastAsia="zh-CN"/>
        </w:rPr>
        <w:t>普光气田开发及川气东送管道工程环境影响</w:t>
      </w:r>
      <w:r w:rsidRPr="00E67914">
        <w:rPr>
          <w:rFonts w:ascii="Times New Roman" w:hAnsi="Times New Roman"/>
          <w:lang w:eastAsia="zh-CN"/>
        </w:rPr>
        <w:t>补充</w:t>
      </w:r>
      <w:r w:rsidR="00C939C7" w:rsidRPr="00E67914">
        <w:rPr>
          <w:rFonts w:ascii="Times New Roman" w:hAnsi="Times New Roman"/>
          <w:lang w:eastAsia="zh-CN"/>
        </w:rPr>
        <w:t>报告书的</w:t>
      </w:r>
      <w:r w:rsidRPr="00E67914">
        <w:rPr>
          <w:rFonts w:ascii="Times New Roman" w:hAnsi="Times New Roman"/>
          <w:lang w:eastAsia="zh-CN"/>
        </w:rPr>
        <w:t>批复</w:t>
      </w:r>
    </w:p>
    <w:p w14:paraId="469D8019" w14:textId="32D45F3F"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00726741" w:rsidRPr="00E67914">
        <w:rPr>
          <w:rFonts w:ascii="Times New Roman" w:hAnsi="Times New Roman"/>
          <w:lang w:eastAsia="zh-CN"/>
        </w:rPr>
        <w:t xml:space="preserve">5 </w:t>
      </w:r>
      <w:r w:rsidRPr="00E67914">
        <w:rPr>
          <w:rFonts w:ascii="Times New Roman" w:hAnsi="Times New Roman"/>
          <w:lang w:eastAsia="zh-CN"/>
        </w:rPr>
        <w:t>关于中国石化普光气田开发及川气东送管道工程竣工环境保护验收意见的函</w:t>
      </w:r>
    </w:p>
    <w:p w14:paraId="205582E2"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6 </w:t>
      </w:r>
      <w:r w:rsidRPr="00E67914">
        <w:rPr>
          <w:rFonts w:ascii="Times New Roman" w:hAnsi="Times New Roman"/>
          <w:lang w:eastAsia="zh-CN"/>
        </w:rPr>
        <w:t>普光分公司危险化学品与危险废物贮存改造工程环评批复</w:t>
      </w:r>
    </w:p>
    <w:p w14:paraId="0B8AD459"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7 </w:t>
      </w:r>
      <w:r w:rsidRPr="00E67914">
        <w:rPr>
          <w:rFonts w:ascii="Times New Roman" w:hAnsi="Times New Roman"/>
          <w:lang w:eastAsia="zh-CN"/>
        </w:rPr>
        <w:t>普光分公司危险化学品与危险废物贮存改造工程竣工环境保护验收公示</w:t>
      </w:r>
    </w:p>
    <w:p w14:paraId="68010F4E" w14:textId="77777777" w:rsidR="00A54A8A" w:rsidRPr="00E67914" w:rsidRDefault="00000000">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8 </w:t>
      </w:r>
      <w:r w:rsidRPr="00E67914">
        <w:rPr>
          <w:rFonts w:ascii="Times New Roman" w:hAnsi="Times New Roman"/>
          <w:lang w:eastAsia="zh-CN"/>
        </w:rPr>
        <w:t>普光分公司和合资公司应急预案备案表</w:t>
      </w:r>
    </w:p>
    <w:p w14:paraId="0BB50D4A" w14:textId="03E14BDE" w:rsidR="00A54A8A" w:rsidRPr="00E67914" w:rsidRDefault="0072674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9 1</w:t>
      </w:r>
      <w:r w:rsidRPr="00E67914">
        <w:rPr>
          <w:rFonts w:ascii="Times New Roman" w:hAnsi="Times New Roman"/>
          <w:lang w:eastAsia="zh-CN"/>
        </w:rPr>
        <w:t>号气田水处理站（赵家坝污水处理站）改造工程环评批复及验收意见</w:t>
      </w:r>
    </w:p>
    <w:p w14:paraId="3BCB7D37" w14:textId="728C458D" w:rsidR="00A54A8A" w:rsidRPr="00E67914" w:rsidRDefault="0072674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10 </w:t>
      </w:r>
      <w:r w:rsidRPr="00E67914">
        <w:rPr>
          <w:rFonts w:ascii="Times New Roman" w:hAnsi="Times New Roman"/>
          <w:lang w:eastAsia="zh-CN"/>
        </w:rPr>
        <w:t>普光</w:t>
      </w:r>
      <w:r w:rsidRPr="00E67914">
        <w:rPr>
          <w:rFonts w:ascii="Times New Roman" w:hAnsi="Times New Roman"/>
          <w:lang w:eastAsia="zh-CN"/>
        </w:rPr>
        <w:t>11</w:t>
      </w:r>
      <w:r w:rsidRPr="00E67914">
        <w:rPr>
          <w:rFonts w:ascii="Times New Roman" w:hAnsi="Times New Roman"/>
          <w:lang w:eastAsia="zh-CN"/>
        </w:rPr>
        <w:t>井污水回注站环评批复及验收意见</w:t>
      </w:r>
    </w:p>
    <w:p w14:paraId="19B247D6" w14:textId="2C388F8F" w:rsidR="00373FFF"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11 </w:t>
      </w:r>
      <w:r w:rsidRPr="00E67914">
        <w:rPr>
          <w:rFonts w:ascii="Times New Roman" w:hAnsi="Times New Roman"/>
          <w:lang w:eastAsia="zh-CN"/>
        </w:rPr>
        <w:t>普陆页</w:t>
      </w:r>
      <w:r w:rsidRPr="00E67914">
        <w:rPr>
          <w:rFonts w:ascii="Times New Roman" w:hAnsi="Times New Roman"/>
          <w:lang w:eastAsia="zh-CN"/>
        </w:rPr>
        <w:t>2HF</w:t>
      </w:r>
      <w:r w:rsidRPr="00E67914">
        <w:rPr>
          <w:rFonts w:ascii="Times New Roman" w:hAnsi="Times New Roman"/>
          <w:lang w:eastAsia="zh-CN"/>
        </w:rPr>
        <w:t>井预探井工程环评批复</w:t>
      </w:r>
    </w:p>
    <w:p w14:paraId="03AFB114" w14:textId="018C1AC4"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12 </w:t>
      </w:r>
      <w:r w:rsidRPr="00E67914">
        <w:rPr>
          <w:rFonts w:ascii="Times New Roman" w:hAnsi="Times New Roman"/>
          <w:lang w:eastAsia="zh-CN"/>
        </w:rPr>
        <w:t>普陆页</w:t>
      </w:r>
      <w:r w:rsidRPr="00E67914">
        <w:rPr>
          <w:rFonts w:ascii="Times New Roman" w:hAnsi="Times New Roman"/>
          <w:lang w:eastAsia="zh-CN"/>
        </w:rPr>
        <w:t>2HF</w:t>
      </w:r>
      <w:r w:rsidRPr="00E67914">
        <w:rPr>
          <w:rFonts w:ascii="Times New Roman" w:hAnsi="Times New Roman"/>
          <w:lang w:eastAsia="zh-CN"/>
        </w:rPr>
        <w:t>井预探井工程（重新报批）环评批复</w:t>
      </w:r>
    </w:p>
    <w:p w14:paraId="0628FBC6" w14:textId="43B6909D" w:rsidR="00A54A8A" w:rsidRPr="00E67914" w:rsidRDefault="00186001">
      <w:pPr>
        <w:pStyle w:val="af"/>
        <w:adjustRightInd w:val="0"/>
        <w:snapToGrid w:val="0"/>
        <w:spacing w:before="0" w:line="360" w:lineRule="auto"/>
        <w:ind w:left="0" w:firstLineChars="200" w:firstLine="480"/>
        <w:rPr>
          <w:rFonts w:ascii="Times New Roman" w:hAnsi="Times New Roman"/>
          <w:lang w:eastAsia="zh-CN"/>
        </w:rPr>
      </w:pPr>
      <w:r w:rsidRPr="00E67914">
        <w:rPr>
          <w:rFonts w:ascii="Times New Roman" w:hAnsi="Times New Roman"/>
          <w:lang w:eastAsia="zh-CN"/>
        </w:rPr>
        <w:t>附件</w:t>
      </w:r>
      <w:r w:rsidRPr="00E67914">
        <w:rPr>
          <w:rFonts w:ascii="Times New Roman" w:hAnsi="Times New Roman"/>
          <w:lang w:eastAsia="zh-CN"/>
        </w:rPr>
        <w:t xml:space="preserve">13 </w:t>
      </w:r>
      <w:r w:rsidRPr="00E67914">
        <w:rPr>
          <w:rFonts w:ascii="Times New Roman" w:hAnsi="Times New Roman"/>
          <w:lang w:eastAsia="zh-CN"/>
        </w:rPr>
        <w:t>普陆页</w:t>
      </w:r>
      <w:r w:rsidRPr="00E67914">
        <w:rPr>
          <w:rFonts w:ascii="Times New Roman" w:hAnsi="Times New Roman"/>
          <w:lang w:eastAsia="zh-CN"/>
        </w:rPr>
        <w:t>2</w:t>
      </w:r>
      <w:r w:rsidRPr="00E67914">
        <w:rPr>
          <w:rFonts w:ascii="Times New Roman" w:hAnsi="Times New Roman"/>
          <w:lang w:eastAsia="zh-CN"/>
        </w:rPr>
        <w:t>井台钻井及试采工程监测报告</w:t>
      </w:r>
    </w:p>
    <w:p w14:paraId="2102B2DA" w14:textId="77777777" w:rsidR="00A54A8A" w:rsidRPr="00E67914" w:rsidRDefault="00A54A8A">
      <w:pPr>
        <w:pStyle w:val="af"/>
        <w:adjustRightInd w:val="0"/>
        <w:snapToGrid w:val="0"/>
        <w:spacing w:before="0" w:line="360" w:lineRule="auto"/>
        <w:ind w:left="0" w:firstLineChars="200" w:firstLine="480"/>
        <w:rPr>
          <w:rFonts w:ascii="Times New Roman" w:hAnsi="Times New Roman"/>
          <w:lang w:eastAsia="zh-CN"/>
        </w:rPr>
      </w:pPr>
    </w:p>
    <w:bookmarkEnd w:id="2"/>
    <w:bookmarkEnd w:id="3"/>
    <w:p w14:paraId="41186603" w14:textId="77777777" w:rsidR="00A54A8A" w:rsidRPr="00E67914" w:rsidRDefault="00A54A8A">
      <w:pPr>
        <w:adjustRightInd w:val="0"/>
        <w:snapToGrid w:val="0"/>
        <w:spacing w:line="360" w:lineRule="auto"/>
        <w:ind w:firstLineChars="200" w:firstLine="440"/>
        <w:rPr>
          <w:rFonts w:ascii="Times New Roman" w:hAnsi="Times New Roman"/>
          <w:lang w:eastAsia="zh-CN"/>
        </w:rPr>
        <w:sectPr w:rsidR="00A54A8A" w:rsidRPr="00E67914" w:rsidSect="008752B7">
          <w:type w:val="nextColumn"/>
          <w:pgSz w:w="11910" w:h="16840"/>
          <w:pgMar w:top="1440" w:right="1800" w:bottom="1440" w:left="1800" w:header="877" w:footer="1007" w:gutter="0"/>
          <w:pgNumType w:fmt="upperRoman"/>
          <w:cols w:space="720"/>
        </w:sectPr>
      </w:pPr>
    </w:p>
    <w:p w14:paraId="600E596E" w14:textId="77777777" w:rsidR="00A54A8A" w:rsidRPr="00E67914" w:rsidRDefault="00A54A8A">
      <w:pPr>
        <w:adjustRightInd w:val="0"/>
        <w:snapToGrid w:val="0"/>
        <w:spacing w:line="360" w:lineRule="auto"/>
        <w:ind w:firstLineChars="200" w:firstLine="40"/>
        <w:rPr>
          <w:rFonts w:ascii="Times New Roman" w:hAnsi="Times New Roman"/>
          <w:sz w:val="2"/>
          <w:szCs w:val="2"/>
          <w:lang w:eastAsia="zh-CN"/>
        </w:rPr>
      </w:pPr>
    </w:p>
    <w:p w14:paraId="2189B0B9" w14:textId="77777777" w:rsidR="00A54A8A" w:rsidRPr="00E67914" w:rsidRDefault="00A54A8A">
      <w:pPr>
        <w:adjustRightInd w:val="0"/>
        <w:snapToGrid w:val="0"/>
        <w:spacing w:line="360" w:lineRule="auto"/>
        <w:ind w:firstLineChars="200" w:firstLine="40"/>
        <w:rPr>
          <w:rFonts w:ascii="Times New Roman" w:hAnsi="Times New Roman"/>
          <w:sz w:val="2"/>
          <w:szCs w:val="2"/>
          <w:lang w:eastAsia="zh-CN"/>
        </w:rPr>
      </w:pPr>
    </w:p>
    <w:p w14:paraId="3A4D61EE"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4" w:name="_Toc148654201"/>
      <w:r w:rsidRPr="00E67914">
        <w:rPr>
          <w:rFonts w:ascii="Times New Roman" w:eastAsia="黑体" w:hAnsi="Times New Roman"/>
          <w:b w:val="0"/>
          <w:sz w:val="28"/>
          <w:szCs w:val="28"/>
          <w:lang w:eastAsia="zh-CN"/>
        </w:rPr>
        <w:t>1</w:t>
      </w:r>
      <w:r w:rsidRPr="00E67914">
        <w:rPr>
          <w:rFonts w:ascii="Times New Roman" w:eastAsia="黑体" w:hAnsi="Times New Roman"/>
          <w:b w:val="0"/>
          <w:sz w:val="28"/>
          <w:szCs w:val="28"/>
          <w:lang w:eastAsia="zh-CN"/>
        </w:rPr>
        <w:t>、概述</w:t>
      </w:r>
      <w:bookmarkEnd w:id="4"/>
    </w:p>
    <w:p w14:paraId="72D1799F" w14:textId="77777777" w:rsidR="00A54A8A" w:rsidRPr="00E67914" w:rsidRDefault="00000000">
      <w:pPr>
        <w:pStyle w:val="2"/>
        <w:ind w:firstLine="480"/>
        <w:rPr>
          <w:lang w:eastAsia="zh-CN"/>
        </w:rPr>
      </w:pPr>
      <w:bookmarkStart w:id="5" w:name="_Toc148654202"/>
      <w:r w:rsidRPr="00E67914">
        <w:rPr>
          <w:lang w:eastAsia="zh-CN"/>
        </w:rPr>
        <w:t>1.1</w:t>
      </w:r>
      <w:r w:rsidRPr="00E67914">
        <w:rPr>
          <w:lang w:eastAsia="zh-CN"/>
        </w:rPr>
        <w:t>项目背景</w:t>
      </w:r>
      <w:bookmarkEnd w:id="5"/>
    </w:p>
    <w:p w14:paraId="2A88D6A4" w14:textId="3C395D10" w:rsidR="00B0169F" w:rsidRPr="00E67914" w:rsidRDefault="00B0169F" w:rsidP="00B0169F">
      <w:pPr>
        <w:adjustRightInd w:val="0"/>
        <w:snapToGrid w:val="0"/>
        <w:spacing w:line="360" w:lineRule="auto"/>
        <w:ind w:firstLineChars="200" w:firstLine="480"/>
        <w:jc w:val="both"/>
        <w:rPr>
          <w:rFonts w:ascii="Times New Roman" w:hAnsi="Times New Roman"/>
          <w:sz w:val="24"/>
          <w:lang w:eastAsia="zh-CN"/>
        </w:rPr>
      </w:pPr>
      <w:bookmarkStart w:id="6" w:name="_Hlk80477079"/>
      <w:bookmarkStart w:id="7" w:name="_Hlk89782517"/>
      <w:r w:rsidRPr="00E67914">
        <w:rPr>
          <w:rFonts w:ascii="Times New Roman" w:hAnsi="Times New Roman"/>
          <w:sz w:val="24"/>
          <w:lang w:eastAsia="zh-CN"/>
        </w:rPr>
        <w:t>普光气田区域上位于四川盆地川东北地区，隶属于四川省达州市宣汉县达县－宣汉区块。达县－宣汉区块地面油气地质调查工作始于二十世纪五十年代，历经半个多世纪的不断探索，于</w:t>
      </w:r>
      <w:r w:rsidRPr="00E67914">
        <w:rPr>
          <w:rFonts w:ascii="Times New Roman" w:hAnsi="Times New Roman"/>
          <w:sz w:val="24"/>
          <w:lang w:eastAsia="zh-CN"/>
        </w:rPr>
        <w:t>2003</w:t>
      </w:r>
      <w:r w:rsidRPr="00E67914">
        <w:rPr>
          <w:rFonts w:ascii="Times New Roman" w:hAnsi="Times New Roman"/>
          <w:sz w:val="24"/>
          <w:lang w:eastAsia="zh-CN"/>
        </w:rPr>
        <w:t>年油气勘探取得重大突破，发现了普光气田。截止目前，普光气田的勘探开发主要经历了预探、评价、开发三个阶段。普光陆相千佛崖组非常规天然气产能建设项目区域位于勘查登记名称为</w:t>
      </w:r>
      <w:r w:rsidRPr="00E67914">
        <w:rPr>
          <w:rFonts w:ascii="Times New Roman" w:hAnsi="Times New Roman"/>
          <w:sz w:val="24"/>
          <w:lang w:eastAsia="zh-CN"/>
        </w:rPr>
        <w:t>“</w:t>
      </w:r>
      <w:r w:rsidRPr="00E67914">
        <w:rPr>
          <w:rFonts w:ascii="Times New Roman" w:hAnsi="Times New Roman"/>
          <w:sz w:val="24"/>
          <w:lang w:eastAsia="zh-CN"/>
        </w:rPr>
        <w:t>四川省四川盆地普光气田</w:t>
      </w:r>
      <w:r w:rsidRPr="00E67914">
        <w:rPr>
          <w:rFonts w:ascii="Times New Roman" w:hAnsi="Times New Roman"/>
          <w:sz w:val="24"/>
          <w:lang w:eastAsia="zh-CN"/>
        </w:rPr>
        <w:t>”</w:t>
      </w:r>
      <w:r w:rsidRPr="00E67914">
        <w:rPr>
          <w:rFonts w:ascii="Times New Roman" w:hAnsi="Times New Roman"/>
          <w:sz w:val="24"/>
          <w:lang w:eastAsia="zh-CN"/>
        </w:rPr>
        <w:t>及</w:t>
      </w:r>
      <w:r w:rsidRPr="00E67914">
        <w:rPr>
          <w:rFonts w:ascii="Times New Roman" w:hAnsi="Times New Roman"/>
          <w:sz w:val="24"/>
          <w:lang w:eastAsia="zh-CN"/>
        </w:rPr>
        <w:t>“</w:t>
      </w:r>
      <w:r w:rsidRPr="00E67914">
        <w:rPr>
          <w:rFonts w:ascii="Times New Roman" w:hAnsi="Times New Roman"/>
          <w:sz w:val="24"/>
          <w:lang w:eastAsia="zh-CN"/>
        </w:rPr>
        <w:t>四川省四川盆地达县－宣汉地区油气勘查</w:t>
      </w:r>
      <w:r w:rsidRPr="00E67914">
        <w:rPr>
          <w:rFonts w:ascii="Times New Roman" w:hAnsi="Times New Roman"/>
          <w:sz w:val="24"/>
          <w:lang w:eastAsia="zh-CN"/>
        </w:rPr>
        <w:t>”</w:t>
      </w:r>
      <w:r w:rsidRPr="00E67914">
        <w:rPr>
          <w:rFonts w:ascii="Times New Roman" w:hAnsi="Times New Roman"/>
          <w:sz w:val="24"/>
          <w:lang w:eastAsia="zh-CN"/>
        </w:rPr>
        <w:t>的矿权区块内，探矿权面积分别为</w:t>
      </w:r>
      <w:r w:rsidRPr="00E67914">
        <w:rPr>
          <w:rFonts w:ascii="Times New Roman" w:hAnsi="Times New Roman"/>
          <w:sz w:val="24"/>
          <w:lang w:eastAsia="zh-CN"/>
        </w:rPr>
        <w:t>301.534km</w:t>
      </w:r>
      <w:r w:rsidRPr="00E67914">
        <w:rPr>
          <w:rFonts w:ascii="Times New Roman" w:hAnsi="Times New Roman"/>
          <w:sz w:val="24"/>
          <w:vertAlign w:val="superscript"/>
          <w:lang w:eastAsia="zh-CN"/>
        </w:rPr>
        <w:t>2</w:t>
      </w:r>
      <w:r w:rsidRPr="00E67914">
        <w:rPr>
          <w:rFonts w:ascii="Times New Roman" w:hAnsi="Times New Roman"/>
          <w:sz w:val="24"/>
          <w:lang w:eastAsia="zh-CN"/>
        </w:rPr>
        <w:t>及</w:t>
      </w:r>
      <w:r w:rsidRPr="00E67914">
        <w:rPr>
          <w:rFonts w:ascii="Times New Roman" w:hAnsi="Times New Roman"/>
          <w:sz w:val="24"/>
          <w:lang w:eastAsia="zh-CN"/>
        </w:rPr>
        <w:t>814.475km</w:t>
      </w:r>
      <w:r w:rsidRPr="00E67914">
        <w:rPr>
          <w:rFonts w:ascii="Times New Roman" w:hAnsi="Times New Roman"/>
          <w:sz w:val="24"/>
          <w:vertAlign w:val="superscript"/>
          <w:lang w:eastAsia="zh-CN"/>
        </w:rPr>
        <w:t>2</w:t>
      </w:r>
      <w:r w:rsidRPr="00E67914">
        <w:rPr>
          <w:rFonts w:ascii="Times New Roman" w:hAnsi="Times New Roman"/>
          <w:sz w:val="24"/>
          <w:lang w:eastAsia="zh-CN"/>
        </w:rPr>
        <w:t>。</w:t>
      </w:r>
      <w:r w:rsidRPr="00E67914">
        <w:rPr>
          <w:rFonts w:ascii="Times New Roman" w:hAnsi="Times New Roman"/>
          <w:sz w:val="24"/>
          <w:lang w:eastAsia="zh-CN"/>
        </w:rPr>
        <w:t>2021</w:t>
      </w:r>
      <w:r w:rsidRPr="00E67914">
        <w:rPr>
          <w:rFonts w:ascii="Times New Roman" w:hAnsi="Times New Roman"/>
          <w:sz w:val="24"/>
          <w:lang w:eastAsia="zh-CN"/>
        </w:rPr>
        <w:t>年</w:t>
      </w:r>
      <w:r w:rsidRPr="00E67914">
        <w:rPr>
          <w:rFonts w:ascii="Times New Roman" w:hAnsi="Times New Roman"/>
          <w:sz w:val="24"/>
          <w:lang w:eastAsia="zh-CN"/>
        </w:rPr>
        <w:t>3</w:t>
      </w:r>
      <w:r w:rsidRPr="00E67914">
        <w:rPr>
          <w:rFonts w:ascii="Times New Roman" w:hAnsi="Times New Roman"/>
          <w:sz w:val="24"/>
          <w:lang w:eastAsia="zh-CN"/>
        </w:rPr>
        <w:t>月上报普光气田陆相千佛崖组千一段探明含气面积</w:t>
      </w:r>
      <w:r w:rsidRPr="00E67914">
        <w:rPr>
          <w:rFonts w:ascii="Times New Roman" w:hAnsi="Times New Roman"/>
          <w:sz w:val="24"/>
          <w:lang w:eastAsia="zh-CN"/>
        </w:rPr>
        <w:t>8.47km</w:t>
      </w:r>
      <w:r w:rsidRPr="00E67914">
        <w:rPr>
          <w:rFonts w:ascii="Times New Roman" w:hAnsi="Times New Roman"/>
          <w:sz w:val="24"/>
          <w:vertAlign w:val="superscript"/>
          <w:lang w:eastAsia="zh-CN"/>
        </w:rPr>
        <w:t>2</w:t>
      </w:r>
      <w:r w:rsidRPr="00E67914">
        <w:rPr>
          <w:rFonts w:ascii="Times New Roman" w:hAnsi="Times New Roman"/>
          <w:sz w:val="24"/>
          <w:lang w:eastAsia="zh-CN"/>
        </w:rPr>
        <w:t>，天然气探明地质储量</w:t>
      </w:r>
      <w:r w:rsidRPr="00E67914">
        <w:rPr>
          <w:rFonts w:ascii="Times New Roman" w:hAnsi="Times New Roman"/>
          <w:sz w:val="24"/>
          <w:lang w:eastAsia="zh-CN"/>
        </w:rPr>
        <w:t>8.75×10</w:t>
      </w:r>
      <w:r w:rsidRPr="00E67914">
        <w:rPr>
          <w:rFonts w:ascii="Times New Roman" w:hAnsi="Times New Roman"/>
          <w:sz w:val="24"/>
          <w:vertAlign w:val="superscript"/>
          <w:lang w:eastAsia="zh-CN"/>
        </w:rPr>
        <w:t>8</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w:t>
      </w:r>
    </w:p>
    <w:p w14:paraId="6933B136" w14:textId="09375371" w:rsidR="00A54A8A" w:rsidRPr="00E67914" w:rsidRDefault="002662E3" w:rsidP="002662E3">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根据油田加快普光非常规气藏产能建设的要求，围绕普光东向斜普光</w:t>
      </w:r>
      <w:r w:rsidRPr="00E67914">
        <w:rPr>
          <w:rFonts w:ascii="Times New Roman" w:hAnsi="Times New Roman"/>
          <w:sz w:val="24"/>
          <w:lang w:eastAsia="zh-CN"/>
        </w:rPr>
        <w:t>12</w:t>
      </w:r>
      <w:r w:rsidRPr="00E67914">
        <w:rPr>
          <w:rFonts w:ascii="Times New Roman" w:hAnsi="Times New Roman"/>
          <w:sz w:val="24"/>
          <w:lang w:eastAsia="zh-CN"/>
        </w:rPr>
        <w:t>井区，采用</w:t>
      </w:r>
      <w:r w:rsidRPr="00E67914">
        <w:rPr>
          <w:rFonts w:ascii="Times New Roman" w:hAnsi="Times New Roman"/>
          <w:sz w:val="24"/>
          <w:lang w:eastAsia="zh-CN"/>
        </w:rPr>
        <w:t>“</w:t>
      </w:r>
      <w:r w:rsidRPr="00E67914">
        <w:rPr>
          <w:rFonts w:ascii="Times New Roman" w:hAnsi="Times New Roman"/>
          <w:sz w:val="24"/>
          <w:lang w:eastAsia="zh-CN"/>
        </w:rPr>
        <w:t>井工厂</w:t>
      </w:r>
      <w:r w:rsidRPr="00E67914">
        <w:rPr>
          <w:rFonts w:ascii="Times New Roman" w:hAnsi="Times New Roman"/>
          <w:sz w:val="24"/>
          <w:lang w:eastAsia="zh-CN"/>
        </w:rPr>
        <w:t>”</w:t>
      </w:r>
      <w:r w:rsidRPr="00E67914">
        <w:rPr>
          <w:rFonts w:ascii="Times New Roman" w:hAnsi="Times New Roman"/>
          <w:sz w:val="24"/>
          <w:lang w:eastAsia="zh-CN"/>
        </w:rPr>
        <w:t>开发模式部署先导试验井组，进一步落实气藏地质特征，明确产能主控因素、开发技术政策及</w:t>
      </w:r>
      <w:r w:rsidRPr="00E67914">
        <w:rPr>
          <w:rFonts w:ascii="Times New Roman" w:hAnsi="Times New Roman"/>
          <w:sz w:val="24"/>
          <w:lang w:eastAsia="zh-CN"/>
        </w:rPr>
        <w:t>“</w:t>
      </w:r>
      <w:r w:rsidRPr="00E67914">
        <w:rPr>
          <w:rFonts w:ascii="Times New Roman" w:hAnsi="Times New Roman"/>
          <w:sz w:val="24"/>
          <w:lang w:eastAsia="zh-CN"/>
        </w:rPr>
        <w:t>井工厂</w:t>
      </w:r>
      <w:r w:rsidRPr="00E67914">
        <w:rPr>
          <w:rFonts w:ascii="Times New Roman" w:hAnsi="Times New Roman"/>
          <w:sz w:val="24"/>
          <w:lang w:eastAsia="zh-CN"/>
        </w:rPr>
        <w:t>”</w:t>
      </w:r>
      <w:r w:rsidRPr="00E67914">
        <w:rPr>
          <w:rFonts w:ascii="Times New Roman" w:hAnsi="Times New Roman"/>
          <w:sz w:val="24"/>
          <w:lang w:eastAsia="zh-CN"/>
        </w:rPr>
        <w:t>模式效益开发可行性，为下一步整体开发效益建产奠定基础。</w:t>
      </w:r>
    </w:p>
    <w:p w14:paraId="60F9523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主要建设内容为：</w:t>
      </w:r>
    </w:p>
    <w:p w14:paraId="57D3A41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bookmarkStart w:id="8" w:name="_Hlk146013328"/>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）钻前工程</w:t>
      </w:r>
    </w:p>
    <w:p w14:paraId="6D4A7186" w14:textId="71326594" w:rsidR="00A54A8A" w:rsidRPr="00E67914" w:rsidRDefault="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新建新普陆页</w:t>
      </w:r>
      <w:r w:rsidRPr="00E67914">
        <w:rPr>
          <w:rFonts w:ascii="Times New Roman" w:hAnsi="Times New Roman"/>
          <w:sz w:val="24"/>
          <w:lang w:eastAsia="zh-CN"/>
        </w:rPr>
        <w:t>2</w:t>
      </w:r>
      <w:r w:rsidRPr="00E67914">
        <w:rPr>
          <w:rFonts w:ascii="Times New Roman" w:hAnsi="Times New Roman"/>
          <w:sz w:val="24"/>
          <w:lang w:eastAsia="zh-CN"/>
        </w:rPr>
        <w:t>井场</w:t>
      </w:r>
      <w:r w:rsidRPr="00E67914">
        <w:rPr>
          <w:rFonts w:ascii="Times New Roman" w:hAnsi="Times New Roman"/>
          <w:sz w:val="24"/>
          <w:lang w:eastAsia="zh-CN"/>
        </w:rPr>
        <w:t>1</w:t>
      </w:r>
      <w:r w:rsidRPr="00E67914">
        <w:rPr>
          <w:rFonts w:ascii="Times New Roman" w:hAnsi="Times New Roman"/>
          <w:sz w:val="24"/>
          <w:lang w:eastAsia="zh-CN"/>
        </w:rPr>
        <w:t>座，新建方井</w:t>
      </w:r>
      <w:r w:rsidRPr="00E67914">
        <w:rPr>
          <w:rFonts w:ascii="Times New Roman" w:hAnsi="Times New Roman"/>
          <w:sz w:val="24"/>
          <w:lang w:eastAsia="zh-CN"/>
        </w:rPr>
        <w:t>3</w:t>
      </w:r>
      <w:r w:rsidRPr="00E67914">
        <w:rPr>
          <w:rFonts w:ascii="Times New Roman" w:hAnsi="Times New Roman"/>
          <w:sz w:val="24"/>
          <w:lang w:eastAsia="zh-CN"/>
        </w:rPr>
        <w:t>座，新建加长型井架基础</w:t>
      </w:r>
      <w:r w:rsidRPr="00E67914">
        <w:rPr>
          <w:rFonts w:ascii="Times New Roman" w:hAnsi="Times New Roman"/>
          <w:sz w:val="24"/>
          <w:lang w:eastAsia="zh-CN"/>
        </w:rPr>
        <w:t>1</w:t>
      </w:r>
      <w:r w:rsidRPr="00E67914">
        <w:rPr>
          <w:rFonts w:ascii="Times New Roman" w:hAnsi="Times New Roman"/>
          <w:sz w:val="24"/>
          <w:lang w:eastAsia="zh-CN"/>
        </w:rPr>
        <w:t>座，新建循环罐、储备罐、泵机房等设备基础，利用原放喷池</w:t>
      </w:r>
      <w:r w:rsidRPr="00E67914">
        <w:rPr>
          <w:rFonts w:ascii="Times New Roman" w:hAnsi="Times New Roman"/>
          <w:sz w:val="24"/>
          <w:lang w:eastAsia="zh-CN"/>
        </w:rPr>
        <w:t>1</w:t>
      </w:r>
      <w:r w:rsidRPr="00E67914">
        <w:rPr>
          <w:rFonts w:ascii="Times New Roman" w:hAnsi="Times New Roman"/>
          <w:sz w:val="24"/>
          <w:lang w:eastAsia="zh-CN"/>
        </w:rPr>
        <w:t>座（原普陆页</w:t>
      </w:r>
      <w:r w:rsidRPr="00E67914">
        <w:rPr>
          <w:rFonts w:ascii="Times New Roman" w:hAnsi="Times New Roman"/>
          <w:sz w:val="24"/>
          <w:lang w:eastAsia="zh-CN"/>
        </w:rPr>
        <w:t>2</w:t>
      </w:r>
      <w:r w:rsidRPr="00E67914">
        <w:rPr>
          <w:rFonts w:ascii="Times New Roman" w:hAnsi="Times New Roman"/>
          <w:sz w:val="24"/>
          <w:lang w:eastAsia="zh-CN"/>
        </w:rPr>
        <w:t>井场），新建</w:t>
      </w:r>
      <w:r w:rsidRPr="00E67914">
        <w:rPr>
          <w:rFonts w:ascii="Times New Roman" w:hAnsi="Times New Roman"/>
          <w:sz w:val="24"/>
          <w:lang w:eastAsia="zh-CN"/>
        </w:rPr>
        <w:t>600m³</w:t>
      </w:r>
      <w:r w:rsidRPr="00E67914">
        <w:rPr>
          <w:rFonts w:ascii="Times New Roman" w:hAnsi="Times New Roman"/>
          <w:sz w:val="24"/>
          <w:lang w:eastAsia="zh-CN"/>
        </w:rPr>
        <w:t>清水池</w:t>
      </w:r>
      <w:r w:rsidRPr="00E67914">
        <w:rPr>
          <w:rFonts w:ascii="Times New Roman" w:hAnsi="Times New Roman"/>
          <w:sz w:val="24"/>
          <w:lang w:eastAsia="zh-CN"/>
        </w:rPr>
        <w:t>1</w:t>
      </w:r>
      <w:r w:rsidRPr="00E67914">
        <w:rPr>
          <w:rFonts w:ascii="Times New Roman" w:hAnsi="Times New Roman"/>
          <w:sz w:val="24"/>
          <w:lang w:eastAsia="zh-CN"/>
        </w:rPr>
        <w:t>座，新建</w:t>
      </w:r>
      <w:r w:rsidRPr="00E67914">
        <w:rPr>
          <w:rFonts w:ascii="Times New Roman" w:hAnsi="Times New Roman"/>
          <w:sz w:val="24"/>
          <w:lang w:eastAsia="zh-CN"/>
        </w:rPr>
        <w:t>110m</w:t>
      </w:r>
      <w:r w:rsidRPr="00E67914">
        <w:rPr>
          <w:rFonts w:ascii="Times New Roman" w:hAnsi="Times New Roman"/>
          <w:sz w:val="24"/>
          <w:lang w:eastAsia="zh-CN"/>
        </w:rPr>
        <w:t>长进场道路一条</w:t>
      </w:r>
      <w:r w:rsidR="002662E3" w:rsidRPr="00E67914">
        <w:rPr>
          <w:rFonts w:ascii="Times New Roman" w:hAnsi="Times New Roman"/>
          <w:sz w:val="24"/>
          <w:lang w:eastAsia="zh-CN"/>
        </w:rPr>
        <w:t>。</w:t>
      </w:r>
    </w:p>
    <w:p w14:paraId="2250975E" w14:textId="6690F19C" w:rsidR="00DE5055"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部署</w:t>
      </w:r>
      <w:r w:rsidRPr="00E67914">
        <w:rPr>
          <w:rFonts w:ascii="Times New Roman" w:hAnsi="Times New Roman"/>
          <w:sz w:val="24"/>
          <w:lang w:eastAsia="zh-CN"/>
        </w:rPr>
        <w:t>3</w:t>
      </w:r>
      <w:r w:rsidRPr="00E67914">
        <w:rPr>
          <w:rFonts w:ascii="Times New Roman" w:hAnsi="Times New Roman"/>
          <w:sz w:val="24"/>
          <w:lang w:eastAsia="zh-CN"/>
        </w:rPr>
        <w:t>口页岩气井（普陆页</w:t>
      </w:r>
      <w:r w:rsidRPr="00E67914">
        <w:rPr>
          <w:rFonts w:ascii="Times New Roman" w:hAnsi="Times New Roman"/>
          <w:sz w:val="24"/>
          <w:lang w:eastAsia="zh-CN"/>
        </w:rPr>
        <w:t>2-1</w:t>
      </w:r>
      <w:r w:rsidRPr="00E67914">
        <w:rPr>
          <w:rFonts w:ascii="Times New Roman" w:hAnsi="Times New Roman"/>
          <w:sz w:val="24"/>
          <w:lang w:eastAsia="zh-CN"/>
        </w:rPr>
        <w:t>井、普陆页</w:t>
      </w:r>
      <w:r w:rsidRPr="00E67914">
        <w:rPr>
          <w:rFonts w:ascii="Times New Roman" w:hAnsi="Times New Roman"/>
          <w:sz w:val="24"/>
          <w:lang w:eastAsia="zh-CN"/>
        </w:rPr>
        <w:t>2-2</w:t>
      </w:r>
      <w:r w:rsidRPr="00E67914">
        <w:rPr>
          <w:rFonts w:ascii="Times New Roman" w:hAnsi="Times New Roman"/>
          <w:sz w:val="24"/>
          <w:lang w:eastAsia="zh-CN"/>
        </w:rPr>
        <w:t>井、普陆页</w:t>
      </w:r>
      <w:r w:rsidRPr="00E67914">
        <w:rPr>
          <w:rFonts w:ascii="Times New Roman" w:hAnsi="Times New Roman"/>
          <w:sz w:val="24"/>
          <w:lang w:eastAsia="zh-CN"/>
        </w:rPr>
        <w:t>2-3</w:t>
      </w:r>
      <w:r w:rsidRPr="00E67914">
        <w:rPr>
          <w:rFonts w:ascii="Times New Roman" w:hAnsi="Times New Roman"/>
          <w:sz w:val="24"/>
          <w:lang w:eastAsia="zh-CN"/>
        </w:rPr>
        <w:t>井），设计井别为</w:t>
      </w:r>
      <w:r w:rsidR="0014745F" w:rsidRPr="00E67914">
        <w:rPr>
          <w:rFonts w:ascii="Times New Roman" w:hAnsi="Times New Roman"/>
          <w:sz w:val="24"/>
          <w:lang w:eastAsia="zh-CN"/>
        </w:rPr>
        <w:t>试验井</w:t>
      </w:r>
      <w:r w:rsidRPr="00E67914">
        <w:rPr>
          <w:rFonts w:ascii="Times New Roman" w:hAnsi="Times New Roman"/>
          <w:sz w:val="24"/>
          <w:lang w:eastAsia="zh-CN"/>
        </w:rPr>
        <w:t>，目的层为千佛崖组，井型为水平井，套管完井，平均井深</w:t>
      </w:r>
      <w:r w:rsidRPr="00E67914">
        <w:rPr>
          <w:rFonts w:ascii="Times New Roman" w:hAnsi="Times New Roman"/>
          <w:sz w:val="24"/>
          <w:lang w:eastAsia="zh-CN"/>
        </w:rPr>
        <w:t>5595.64m</w:t>
      </w:r>
      <w:r w:rsidRPr="00E67914">
        <w:rPr>
          <w:rFonts w:ascii="Times New Roman" w:hAnsi="Times New Roman"/>
          <w:sz w:val="24"/>
          <w:lang w:eastAsia="zh-CN"/>
        </w:rPr>
        <w:t>，平均水平位移</w:t>
      </w:r>
      <w:r w:rsidRPr="00E67914">
        <w:rPr>
          <w:rFonts w:ascii="Times New Roman" w:hAnsi="Times New Roman"/>
          <w:sz w:val="24"/>
          <w:lang w:eastAsia="zh-CN"/>
        </w:rPr>
        <w:t>2534.07m</w:t>
      </w:r>
      <w:r w:rsidRPr="00E67914">
        <w:rPr>
          <w:rFonts w:ascii="Times New Roman" w:hAnsi="Times New Roman"/>
          <w:sz w:val="24"/>
          <w:lang w:eastAsia="zh-CN"/>
        </w:rPr>
        <w:t>，平均垂深</w:t>
      </w:r>
      <w:r w:rsidRPr="00E67914">
        <w:rPr>
          <w:rFonts w:ascii="Times New Roman" w:hAnsi="Times New Roman"/>
          <w:sz w:val="24"/>
          <w:lang w:eastAsia="zh-CN"/>
        </w:rPr>
        <w:t>3356.34m</w:t>
      </w:r>
      <w:r w:rsidRPr="00E67914">
        <w:rPr>
          <w:rFonts w:ascii="Times New Roman" w:hAnsi="Times New Roman"/>
          <w:sz w:val="24"/>
          <w:lang w:eastAsia="zh-CN"/>
        </w:rPr>
        <w:t>，平均水平段长</w:t>
      </w:r>
      <w:r w:rsidRPr="00E67914">
        <w:rPr>
          <w:rFonts w:ascii="Times New Roman" w:hAnsi="Times New Roman"/>
          <w:sz w:val="24"/>
          <w:lang w:eastAsia="zh-CN"/>
        </w:rPr>
        <w:t>1959.88m</w:t>
      </w:r>
      <w:r w:rsidRPr="00E67914">
        <w:rPr>
          <w:rFonts w:ascii="Times New Roman" w:hAnsi="Times New Roman"/>
          <w:sz w:val="24"/>
          <w:lang w:eastAsia="zh-CN"/>
        </w:rPr>
        <w:t>，造斜率设计</w:t>
      </w:r>
      <w:r w:rsidRPr="00E67914">
        <w:rPr>
          <w:rFonts w:ascii="Times New Roman" w:hAnsi="Times New Roman"/>
          <w:sz w:val="24"/>
          <w:lang w:eastAsia="zh-CN"/>
        </w:rPr>
        <w:t>3.2-4.5°/30m</w:t>
      </w:r>
      <w:r w:rsidRPr="00E67914">
        <w:rPr>
          <w:rFonts w:ascii="Times New Roman" w:hAnsi="Times New Roman"/>
          <w:sz w:val="24"/>
          <w:lang w:eastAsia="zh-CN"/>
        </w:rPr>
        <w:t>，采用加强</w:t>
      </w:r>
      <w:r w:rsidRPr="00E67914">
        <w:rPr>
          <w:rFonts w:ascii="Times New Roman" w:hAnsi="Times New Roman"/>
          <w:sz w:val="24"/>
          <w:lang w:eastAsia="zh-CN"/>
        </w:rPr>
        <w:t>ZJ50</w:t>
      </w:r>
      <w:r w:rsidRPr="00E67914">
        <w:rPr>
          <w:rFonts w:ascii="Times New Roman" w:hAnsi="Times New Roman"/>
          <w:sz w:val="24"/>
          <w:lang w:eastAsia="zh-CN"/>
        </w:rPr>
        <w:t>型钻机，单排单钻机布井。采用</w:t>
      </w:r>
      <w:r w:rsidRPr="00E67914">
        <w:rPr>
          <w:rFonts w:ascii="Times New Roman" w:hAnsi="Times New Roman"/>
          <w:sz w:val="24"/>
          <w:lang w:eastAsia="zh-CN"/>
        </w:rPr>
        <w:t>“</w:t>
      </w:r>
      <w:r w:rsidRPr="00E67914">
        <w:rPr>
          <w:rFonts w:ascii="Times New Roman" w:hAnsi="Times New Roman"/>
          <w:sz w:val="24"/>
          <w:lang w:eastAsia="zh-CN"/>
        </w:rPr>
        <w:t>导管</w:t>
      </w:r>
      <w:r w:rsidRPr="00E67914">
        <w:rPr>
          <w:rFonts w:ascii="Times New Roman" w:hAnsi="Times New Roman"/>
          <w:sz w:val="24"/>
          <w:lang w:eastAsia="zh-CN"/>
        </w:rPr>
        <w:t>+</w:t>
      </w:r>
      <w:r w:rsidRPr="00E67914">
        <w:rPr>
          <w:rFonts w:ascii="Times New Roman" w:hAnsi="Times New Roman"/>
          <w:sz w:val="24"/>
          <w:lang w:eastAsia="zh-CN"/>
        </w:rPr>
        <w:t>三开</w:t>
      </w:r>
      <w:r w:rsidRPr="00E67914">
        <w:rPr>
          <w:rFonts w:ascii="Times New Roman" w:hAnsi="Times New Roman"/>
          <w:sz w:val="24"/>
          <w:lang w:eastAsia="zh-CN"/>
        </w:rPr>
        <w:t>”</w:t>
      </w:r>
      <w:r w:rsidRPr="00E67914">
        <w:rPr>
          <w:rFonts w:ascii="Times New Roman" w:hAnsi="Times New Roman"/>
          <w:sz w:val="24"/>
          <w:lang w:eastAsia="zh-CN"/>
        </w:rPr>
        <w:t>井身结构：</w:t>
      </w:r>
      <w:r w:rsidRPr="00E67914">
        <w:rPr>
          <w:rFonts w:ascii="Times New Roman" w:hAnsi="Times New Roman"/>
          <w:sz w:val="24"/>
          <w:lang w:eastAsia="zh-CN"/>
        </w:rPr>
        <w:t>Φ508mm</w:t>
      </w:r>
      <w:r w:rsidRPr="00E67914">
        <w:rPr>
          <w:rFonts w:ascii="Times New Roman" w:hAnsi="Times New Roman"/>
          <w:sz w:val="24"/>
          <w:lang w:eastAsia="zh-CN"/>
        </w:rPr>
        <w:t>导管钻前预埋</w:t>
      </w:r>
      <w:r w:rsidRPr="00E67914">
        <w:rPr>
          <w:rFonts w:ascii="Times New Roman" w:hAnsi="Times New Roman"/>
          <w:sz w:val="24"/>
          <w:lang w:eastAsia="zh-CN"/>
        </w:rPr>
        <w:t>30m</w:t>
      </w:r>
      <w:r w:rsidRPr="00E67914">
        <w:rPr>
          <w:rFonts w:ascii="Times New Roman" w:hAnsi="Times New Roman"/>
          <w:sz w:val="24"/>
          <w:lang w:eastAsia="zh-CN"/>
        </w:rPr>
        <w:t>；一开</w:t>
      </w:r>
      <w:r w:rsidRPr="00E67914">
        <w:rPr>
          <w:rFonts w:ascii="Times New Roman" w:hAnsi="Times New Roman"/>
          <w:sz w:val="24"/>
          <w:lang w:eastAsia="zh-CN"/>
        </w:rPr>
        <w:t>Φ339.7mm</w:t>
      </w:r>
      <w:r w:rsidRPr="00E67914">
        <w:rPr>
          <w:rFonts w:ascii="Times New Roman" w:hAnsi="Times New Roman"/>
          <w:sz w:val="24"/>
          <w:lang w:eastAsia="zh-CN"/>
        </w:rPr>
        <w:t>表层套管分别下深</w:t>
      </w:r>
      <w:r w:rsidRPr="00E67914">
        <w:rPr>
          <w:rFonts w:ascii="Times New Roman" w:hAnsi="Times New Roman"/>
          <w:sz w:val="24"/>
          <w:lang w:eastAsia="zh-CN"/>
        </w:rPr>
        <w:t>300m</w:t>
      </w:r>
      <w:r w:rsidRPr="00E67914">
        <w:rPr>
          <w:rFonts w:ascii="Times New Roman" w:hAnsi="Times New Roman"/>
          <w:sz w:val="24"/>
          <w:lang w:eastAsia="zh-CN"/>
        </w:rPr>
        <w:t>、</w:t>
      </w:r>
      <w:r w:rsidRPr="00E67914">
        <w:rPr>
          <w:rFonts w:ascii="Times New Roman" w:hAnsi="Times New Roman"/>
          <w:sz w:val="24"/>
          <w:lang w:eastAsia="zh-CN"/>
        </w:rPr>
        <w:t>310m</w:t>
      </w:r>
      <w:r w:rsidRPr="00E67914">
        <w:rPr>
          <w:rFonts w:ascii="Times New Roman" w:hAnsi="Times New Roman"/>
          <w:sz w:val="24"/>
          <w:lang w:eastAsia="zh-CN"/>
        </w:rPr>
        <w:t>、</w:t>
      </w:r>
      <w:r w:rsidRPr="00E67914">
        <w:rPr>
          <w:rFonts w:ascii="Times New Roman" w:hAnsi="Times New Roman"/>
          <w:sz w:val="24"/>
          <w:lang w:eastAsia="zh-CN"/>
        </w:rPr>
        <w:t>300m</w:t>
      </w:r>
      <w:r w:rsidRPr="00E67914">
        <w:rPr>
          <w:rFonts w:ascii="Times New Roman" w:hAnsi="Times New Roman"/>
          <w:sz w:val="24"/>
          <w:lang w:eastAsia="zh-CN"/>
        </w:rPr>
        <w:t>；二开</w:t>
      </w:r>
      <w:r w:rsidRPr="00E67914">
        <w:rPr>
          <w:rFonts w:ascii="Times New Roman" w:hAnsi="Times New Roman"/>
          <w:sz w:val="24"/>
          <w:lang w:eastAsia="zh-CN"/>
        </w:rPr>
        <w:t>Φ244.5mm</w:t>
      </w:r>
      <w:r w:rsidRPr="00E67914">
        <w:rPr>
          <w:rFonts w:ascii="Times New Roman" w:hAnsi="Times New Roman"/>
          <w:sz w:val="24"/>
          <w:lang w:eastAsia="zh-CN"/>
        </w:rPr>
        <w:t>技术套管封至沙溪庙组底部以下</w:t>
      </w:r>
      <w:r w:rsidRPr="00E67914">
        <w:rPr>
          <w:rFonts w:ascii="Times New Roman" w:hAnsi="Times New Roman"/>
          <w:sz w:val="24"/>
          <w:lang w:eastAsia="zh-CN"/>
        </w:rPr>
        <w:t>200m</w:t>
      </w:r>
      <w:r w:rsidRPr="00E67914">
        <w:rPr>
          <w:rFonts w:ascii="Times New Roman" w:hAnsi="Times New Roman"/>
          <w:sz w:val="24"/>
          <w:lang w:eastAsia="zh-CN"/>
        </w:rPr>
        <w:t>，封隔沙溪庙及以上易漏易塌地层，缩减三开裸眼长度，降低三开施工难度，三开中</w:t>
      </w:r>
      <w:r w:rsidRPr="00E67914">
        <w:rPr>
          <w:rFonts w:ascii="Times New Roman" w:hAnsi="Times New Roman"/>
          <w:sz w:val="24"/>
          <w:lang w:eastAsia="zh-CN"/>
        </w:rPr>
        <w:t>139.7mm</w:t>
      </w:r>
      <w:r w:rsidRPr="00E67914">
        <w:rPr>
          <w:rFonts w:ascii="Times New Roman" w:hAnsi="Times New Roman"/>
          <w:sz w:val="24"/>
          <w:lang w:eastAsia="zh-CN"/>
        </w:rPr>
        <w:t>产层套管下至井底，根据采气工程压裂改造要求，选用钢级</w:t>
      </w:r>
      <w:r w:rsidRPr="00E67914">
        <w:rPr>
          <w:rFonts w:ascii="Times New Roman" w:hAnsi="Times New Roman"/>
          <w:sz w:val="24"/>
          <w:lang w:eastAsia="zh-CN"/>
        </w:rPr>
        <w:t>125SG</w:t>
      </w:r>
      <w:r w:rsidRPr="00E67914">
        <w:rPr>
          <w:rFonts w:ascii="Times New Roman" w:hAnsi="Times New Roman"/>
          <w:sz w:val="24"/>
          <w:lang w:eastAsia="zh-CN"/>
        </w:rPr>
        <w:t>，壁厚</w:t>
      </w:r>
      <w:r w:rsidRPr="00E67914">
        <w:rPr>
          <w:rFonts w:ascii="Times New Roman" w:hAnsi="Times New Roman"/>
          <w:sz w:val="24"/>
          <w:lang w:eastAsia="zh-CN"/>
        </w:rPr>
        <w:t>12.7mm</w:t>
      </w:r>
      <w:r w:rsidRPr="00E67914">
        <w:rPr>
          <w:rFonts w:ascii="Times New Roman" w:hAnsi="Times New Roman"/>
          <w:sz w:val="24"/>
          <w:lang w:eastAsia="zh-CN"/>
        </w:rPr>
        <w:t>套管，水泥返至上层套管鞋以上</w:t>
      </w:r>
      <w:r w:rsidRPr="00E67914">
        <w:rPr>
          <w:rFonts w:ascii="Times New Roman" w:hAnsi="Times New Roman"/>
          <w:sz w:val="24"/>
          <w:lang w:eastAsia="zh-CN"/>
        </w:rPr>
        <w:t>500m</w:t>
      </w:r>
      <w:r w:rsidRPr="00E67914">
        <w:rPr>
          <w:rFonts w:ascii="Times New Roman" w:hAnsi="Times New Roman"/>
          <w:sz w:val="24"/>
          <w:lang w:eastAsia="zh-CN"/>
        </w:rPr>
        <w:t>。</w:t>
      </w:r>
    </w:p>
    <w:p w14:paraId="08CBC658" w14:textId="77777777" w:rsidR="00DE5055"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一开膨润土浆或聚合物钻井液，二开采用氯化钾聚合物润滑防塌钻井液，三开采用油基钻井液。</w:t>
      </w:r>
    </w:p>
    <w:p w14:paraId="3EED9F30" w14:textId="0C84E59B" w:rsidR="009D5852"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一开采用常规固井，二开采用变密度固井，领浆采用漂珠低密度水泥浆，尾浆采用增韧防漏水泥浆。三开领浆采用常规低密度水泥浆，尾浆采用增韧防窜水泥浆</w:t>
      </w:r>
      <w:r w:rsidR="000741D1" w:rsidRPr="00E67914">
        <w:rPr>
          <w:rFonts w:ascii="Times New Roman" w:hAnsi="Times New Roman"/>
          <w:sz w:val="24"/>
          <w:lang w:eastAsia="zh-CN"/>
        </w:rPr>
        <w:t>。</w:t>
      </w:r>
    </w:p>
    <w:p w14:paraId="682DC083" w14:textId="0024CB0B"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w:t>
      </w:r>
      <w:r w:rsidR="00DE5055" w:rsidRPr="00E67914">
        <w:rPr>
          <w:rFonts w:ascii="Times New Roman" w:hAnsi="Times New Roman"/>
          <w:sz w:val="24"/>
          <w:lang w:eastAsia="zh-CN"/>
        </w:rPr>
        <w:t>压裂</w:t>
      </w:r>
      <w:r w:rsidRPr="00E67914">
        <w:rPr>
          <w:rFonts w:ascii="Times New Roman" w:hAnsi="Times New Roman"/>
          <w:sz w:val="24"/>
          <w:lang w:eastAsia="zh-CN"/>
        </w:rPr>
        <w:t>工程</w:t>
      </w:r>
    </w:p>
    <w:p w14:paraId="4CCE5848" w14:textId="77777777" w:rsidR="00DE5055"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改造方式：采用</w:t>
      </w:r>
      <w:r w:rsidRPr="00E67914">
        <w:rPr>
          <w:rFonts w:ascii="Times New Roman" w:hAnsi="Times New Roman"/>
          <w:sz w:val="24"/>
          <w:lang w:eastAsia="zh-CN"/>
        </w:rPr>
        <w:t>“</w:t>
      </w:r>
      <w:r w:rsidRPr="00E67914">
        <w:rPr>
          <w:rFonts w:ascii="Times New Roman" w:hAnsi="Times New Roman"/>
          <w:sz w:val="24"/>
          <w:lang w:eastAsia="zh-CN"/>
        </w:rPr>
        <w:t>密切割</w:t>
      </w:r>
      <w:r w:rsidRPr="00E67914">
        <w:rPr>
          <w:rFonts w:ascii="Times New Roman" w:hAnsi="Times New Roman"/>
          <w:sz w:val="24"/>
          <w:lang w:eastAsia="zh-CN"/>
        </w:rPr>
        <w:t>+</w:t>
      </w:r>
      <w:r w:rsidRPr="00E67914">
        <w:rPr>
          <w:rFonts w:ascii="Times New Roman" w:hAnsi="Times New Roman"/>
          <w:sz w:val="24"/>
          <w:lang w:eastAsia="zh-CN"/>
        </w:rPr>
        <w:t>双暂堵</w:t>
      </w:r>
      <w:r w:rsidRPr="00E67914">
        <w:rPr>
          <w:rFonts w:ascii="Times New Roman" w:hAnsi="Times New Roman"/>
          <w:sz w:val="24"/>
          <w:lang w:eastAsia="zh-CN"/>
        </w:rPr>
        <w:t>+</w:t>
      </w:r>
      <w:r w:rsidRPr="00E67914">
        <w:rPr>
          <w:rFonts w:ascii="Times New Roman" w:hAnsi="Times New Roman"/>
          <w:sz w:val="24"/>
          <w:lang w:eastAsia="zh-CN"/>
        </w:rPr>
        <w:t>多尺度裂缝强加砂</w:t>
      </w:r>
      <w:r w:rsidRPr="00E67914">
        <w:rPr>
          <w:rFonts w:ascii="Times New Roman" w:hAnsi="Times New Roman"/>
          <w:sz w:val="24"/>
          <w:lang w:eastAsia="zh-CN"/>
        </w:rPr>
        <w:t>+</w:t>
      </w:r>
      <w:r w:rsidRPr="00E67914">
        <w:rPr>
          <w:rFonts w:ascii="Times New Roman" w:hAnsi="Times New Roman"/>
          <w:sz w:val="24"/>
          <w:lang w:eastAsia="zh-CN"/>
        </w:rPr>
        <w:t>穿层扩体</w:t>
      </w:r>
      <w:r w:rsidRPr="00E67914">
        <w:rPr>
          <w:rFonts w:ascii="Times New Roman" w:hAnsi="Times New Roman"/>
          <w:sz w:val="24"/>
          <w:lang w:eastAsia="zh-CN"/>
        </w:rPr>
        <w:t>”</w:t>
      </w:r>
      <w:r w:rsidRPr="00E67914">
        <w:rPr>
          <w:rFonts w:ascii="Times New Roman" w:hAnsi="Times New Roman"/>
          <w:sz w:val="24"/>
          <w:lang w:eastAsia="zh-CN"/>
        </w:rPr>
        <w:t>压裂工艺技术，尽可能形成复杂裂缝，增加压裂纵向改造范围，提升压裂裂缝支撑效果。设计单段液量</w:t>
      </w:r>
      <w:r w:rsidRPr="00E67914">
        <w:rPr>
          <w:rFonts w:ascii="Times New Roman" w:hAnsi="Times New Roman"/>
          <w:sz w:val="24"/>
          <w:lang w:eastAsia="zh-CN"/>
        </w:rPr>
        <w:t>1800m</w:t>
      </w:r>
      <w:r w:rsidRPr="00E67914">
        <w:rPr>
          <w:rFonts w:ascii="Times New Roman" w:hAnsi="Times New Roman"/>
          <w:sz w:val="24"/>
          <w:lang w:eastAsia="zh-CN"/>
        </w:rPr>
        <w:t>，单段砂量</w:t>
      </w:r>
      <w:r w:rsidRPr="00E67914">
        <w:rPr>
          <w:rFonts w:ascii="Times New Roman" w:hAnsi="Times New Roman"/>
          <w:sz w:val="24"/>
          <w:lang w:eastAsia="zh-CN"/>
        </w:rPr>
        <w:t>150m</w:t>
      </w:r>
      <w:r w:rsidRPr="00E67914">
        <w:rPr>
          <w:rFonts w:ascii="Times New Roman" w:hAnsi="Times New Roman"/>
          <w:sz w:val="24"/>
          <w:vertAlign w:val="superscript"/>
          <w:lang w:eastAsia="zh-CN"/>
        </w:rPr>
        <w:t>3</w:t>
      </w:r>
      <w:r w:rsidRPr="00E67914">
        <w:rPr>
          <w:rFonts w:ascii="Times New Roman" w:hAnsi="Times New Roman"/>
          <w:sz w:val="24"/>
          <w:lang w:eastAsia="zh-CN"/>
        </w:rPr>
        <w:t>。</w:t>
      </w:r>
    </w:p>
    <w:p w14:paraId="231D8ECF" w14:textId="77777777" w:rsidR="00DE5055"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射孔方案：首段采用连续油管输送射孔，后续压段采用泵送桥塞电缆射孔联作方式采用</w:t>
      </w:r>
      <w:r w:rsidRPr="00E67914">
        <w:rPr>
          <w:rFonts w:ascii="Times New Roman" w:hAnsi="Times New Roman"/>
          <w:sz w:val="24"/>
          <w:lang w:eastAsia="zh-CN"/>
        </w:rPr>
        <w:t>89</w:t>
      </w:r>
      <w:r w:rsidRPr="00E67914">
        <w:rPr>
          <w:rFonts w:ascii="Times New Roman" w:hAnsi="Times New Roman"/>
          <w:sz w:val="24"/>
          <w:lang w:eastAsia="zh-CN"/>
        </w:rPr>
        <w:t>枪，螺旋布孔方式。</w:t>
      </w:r>
    </w:p>
    <w:p w14:paraId="3FFC6E12" w14:textId="77777777" w:rsidR="00DE5055"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完井管柱：采用带压作业方式下入完井管柱，设计</w:t>
      </w:r>
      <w:r w:rsidRPr="00E67914">
        <w:rPr>
          <w:rFonts w:ascii="Times New Roman" w:hAnsi="Times New Roman"/>
          <w:sz w:val="24"/>
          <w:lang w:eastAsia="zh-CN"/>
        </w:rPr>
        <w:t>60.3×4.83mmN80</w:t>
      </w:r>
      <w:r w:rsidRPr="00E67914">
        <w:rPr>
          <w:rFonts w:ascii="Times New Roman" w:hAnsi="Times New Roman"/>
          <w:sz w:val="24"/>
          <w:lang w:eastAsia="zh-CN"/>
        </w:rPr>
        <w:t>油管。</w:t>
      </w:r>
    </w:p>
    <w:p w14:paraId="2E98D8BC" w14:textId="52177E55" w:rsidR="008D3543"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井口装置：采用</w:t>
      </w:r>
      <w:r w:rsidRPr="00E67914">
        <w:rPr>
          <w:rFonts w:ascii="Times New Roman" w:hAnsi="Times New Roman"/>
          <w:sz w:val="24"/>
          <w:lang w:eastAsia="zh-CN"/>
        </w:rPr>
        <w:t>140MPaDD</w:t>
      </w:r>
      <w:r w:rsidRPr="00E67914">
        <w:rPr>
          <w:rFonts w:ascii="Times New Roman" w:hAnsi="Times New Roman"/>
          <w:sz w:val="24"/>
          <w:lang w:eastAsia="zh-CN"/>
        </w:rPr>
        <w:t>级油管四通及大闸阀，</w:t>
      </w:r>
      <w:r w:rsidRPr="00E67914">
        <w:rPr>
          <w:rFonts w:ascii="Times New Roman" w:hAnsi="Times New Roman"/>
          <w:sz w:val="24"/>
          <w:lang w:eastAsia="zh-CN"/>
        </w:rPr>
        <w:t>70MPaDD</w:t>
      </w:r>
      <w:r w:rsidRPr="00E67914">
        <w:rPr>
          <w:rFonts w:ascii="Times New Roman" w:hAnsi="Times New Roman"/>
          <w:sz w:val="24"/>
          <w:lang w:eastAsia="zh-CN"/>
        </w:rPr>
        <w:t>级采气树</w:t>
      </w:r>
      <w:r w:rsidR="008D3543" w:rsidRPr="00E67914">
        <w:rPr>
          <w:rFonts w:ascii="Times New Roman" w:hAnsi="Times New Roman"/>
          <w:sz w:val="24"/>
          <w:lang w:eastAsia="zh-CN"/>
        </w:rPr>
        <w:t>。</w:t>
      </w:r>
    </w:p>
    <w:p w14:paraId="1E55B46A" w14:textId="21F3CC4C"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w:t>
      </w:r>
      <w:bookmarkStart w:id="9" w:name="_Hlk146144720"/>
      <w:r w:rsidR="00DE5055" w:rsidRPr="00E67914">
        <w:rPr>
          <w:rFonts w:ascii="Times New Roman" w:hAnsi="Times New Roman"/>
          <w:sz w:val="24"/>
          <w:lang w:eastAsia="zh-CN"/>
        </w:rPr>
        <w:t>地面集输及试采工程</w:t>
      </w:r>
    </w:p>
    <w:p w14:paraId="63793EC9" w14:textId="77777777" w:rsidR="00DE5055"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依托原普陆页</w:t>
      </w:r>
      <w:r w:rsidRPr="00E67914">
        <w:rPr>
          <w:rFonts w:ascii="Times New Roman" w:hAnsi="Times New Roman"/>
          <w:sz w:val="24"/>
          <w:lang w:eastAsia="zh-CN"/>
        </w:rPr>
        <w:t>2</w:t>
      </w:r>
      <w:r w:rsidRPr="00E67914">
        <w:rPr>
          <w:rFonts w:ascii="Times New Roman" w:hAnsi="Times New Roman"/>
          <w:sz w:val="24"/>
          <w:lang w:eastAsia="zh-CN"/>
        </w:rPr>
        <w:t>井场新建普陆页</w:t>
      </w:r>
      <w:r w:rsidRPr="00E67914">
        <w:rPr>
          <w:rFonts w:ascii="Times New Roman" w:hAnsi="Times New Roman"/>
          <w:sz w:val="24"/>
          <w:lang w:eastAsia="zh-CN"/>
        </w:rPr>
        <w:t>2</w:t>
      </w:r>
      <w:r w:rsidRPr="00E67914">
        <w:rPr>
          <w:rFonts w:ascii="Times New Roman" w:hAnsi="Times New Roman"/>
          <w:sz w:val="24"/>
          <w:lang w:eastAsia="zh-CN"/>
        </w:rPr>
        <w:t>试采站，该试采站本次建成后管辖总井数为</w:t>
      </w:r>
      <w:r w:rsidRPr="00E67914">
        <w:rPr>
          <w:rFonts w:ascii="Times New Roman" w:hAnsi="Times New Roman"/>
          <w:sz w:val="24"/>
          <w:lang w:eastAsia="zh-CN"/>
        </w:rPr>
        <w:t>4</w:t>
      </w:r>
      <w:r w:rsidRPr="00E67914">
        <w:rPr>
          <w:rFonts w:ascii="Times New Roman" w:hAnsi="Times New Roman"/>
          <w:sz w:val="24"/>
          <w:lang w:eastAsia="zh-CN"/>
        </w:rPr>
        <w:t>口井，其中</w:t>
      </w:r>
      <w:r w:rsidRPr="00E67914">
        <w:rPr>
          <w:rFonts w:ascii="Times New Roman" w:hAnsi="Times New Roman"/>
          <w:sz w:val="24"/>
          <w:lang w:eastAsia="zh-CN"/>
        </w:rPr>
        <w:t>3</w:t>
      </w:r>
      <w:r w:rsidRPr="00E67914">
        <w:rPr>
          <w:rFonts w:ascii="Times New Roman" w:hAnsi="Times New Roman"/>
          <w:sz w:val="24"/>
          <w:lang w:eastAsia="zh-CN"/>
        </w:rPr>
        <w:t>口井为本次普陆页</w:t>
      </w:r>
      <w:r w:rsidRPr="00E67914">
        <w:rPr>
          <w:rFonts w:ascii="Times New Roman" w:hAnsi="Times New Roman"/>
          <w:sz w:val="24"/>
          <w:lang w:eastAsia="zh-CN"/>
        </w:rPr>
        <w:t>2</w:t>
      </w:r>
      <w:r w:rsidRPr="00E67914">
        <w:rPr>
          <w:rFonts w:ascii="Times New Roman" w:hAnsi="Times New Roman"/>
          <w:sz w:val="24"/>
          <w:lang w:eastAsia="zh-CN"/>
        </w:rPr>
        <w:t>井新建的</w:t>
      </w:r>
      <w:r w:rsidRPr="00E67914">
        <w:rPr>
          <w:rFonts w:ascii="Times New Roman" w:hAnsi="Times New Roman"/>
          <w:sz w:val="24"/>
          <w:lang w:eastAsia="zh-CN"/>
        </w:rPr>
        <w:t>3</w:t>
      </w:r>
      <w:r w:rsidRPr="00E67914">
        <w:rPr>
          <w:rFonts w:ascii="Times New Roman" w:hAnsi="Times New Roman"/>
          <w:sz w:val="24"/>
          <w:lang w:eastAsia="zh-CN"/>
        </w:rPr>
        <w:t>口井（普陆页</w:t>
      </w:r>
      <w:r w:rsidRPr="00E67914">
        <w:rPr>
          <w:rFonts w:ascii="Times New Roman" w:hAnsi="Times New Roman"/>
          <w:sz w:val="24"/>
          <w:lang w:eastAsia="zh-CN"/>
        </w:rPr>
        <w:t>2-1</w:t>
      </w:r>
      <w:r w:rsidRPr="00E67914">
        <w:rPr>
          <w:rFonts w:ascii="Times New Roman" w:hAnsi="Times New Roman"/>
          <w:sz w:val="24"/>
          <w:lang w:eastAsia="zh-CN"/>
        </w:rPr>
        <w:t>井、普陆页</w:t>
      </w:r>
      <w:r w:rsidRPr="00E67914">
        <w:rPr>
          <w:rFonts w:ascii="Times New Roman" w:hAnsi="Times New Roman"/>
          <w:sz w:val="24"/>
          <w:lang w:eastAsia="zh-CN"/>
        </w:rPr>
        <w:t>2-2</w:t>
      </w:r>
      <w:r w:rsidRPr="00E67914">
        <w:rPr>
          <w:rFonts w:ascii="Times New Roman" w:hAnsi="Times New Roman"/>
          <w:sz w:val="24"/>
          <w:lang w:eastAsia="zh-CN"/>
        </w:rPr>
        <w:t>井、普陆页</w:t>
      </w:r>
      <w:r w:rsidRPr="00E67914">
        <w:rPr>
          <w:rFonts w:ascii="Times New Roman" w:hAnsi="Times New Roman"/>
          <w:sz w:val="24"/>
          <w:lang w:eastAsia="zh-CN"/>
        </w:rPr>
        <w:t>2-3</w:t>
      </w:r>
      <w:r w:rsidRPr="00E67914">
        <w:rPr>
          <w:rFonts w:ascii="Times New Roman" w:hAnsi="Times New Roman"/>
          <w:sz w:val="24"/>
          <w:lang w:eastAsia="zh-CN"/>
        </w:rPr>
        <w:t>井），剩余</w:t>
      </w:r>
      <w:r w:rsidRPr="00E67914">
        <w:rPr>
          <w:rFonts w:ascii="Times New Roman" w:hAnsi="Times New Roman"/>
          <w:sz w:val="24"/>
          <w:lang w:eastAsia="zh-CN"/>
        </w:rPr>
        <w:t>1</w:t>
      </w:r>
      <w:r w:rsidRPr="00E67914">
        <w:rPr>
          <w:rFonts w:ascii="Times New Roman" w:hAnsi="Times New Roman"/>
          <w:sz w:val="24"/>
          <w:lang w:eastAsia="zh-CN"/>
        </w:rPr>
        <w:t>口井为原普陆页</w:t>
      </w:r>
      <w:r w:rsidRPr="00E67914">
        <w:rPr>
          <w:rFonts w:ascii="Times New Roman" w:hAnsi="Times New Roman"/>
          <w:sz w:val="24"/>
          <w:lang w:eastAsia="zh-CN"/>
        </w:rPr>
        <w:t>2</w:t>
      </w:r>
      <w:r w:rsidRPr="00E67914">
        <w:rPr>
          <w:rFonts w:ascii="Times New Roman" w:hAnsi="Times New Roman"/>
          <w:sz w:val="24"/>
          <w:lang w:eastAsia="zh-CN"/>
        </w:rPr>
        <w:t>井场的</w:t>
      </w:r>
      <w:r w:rsidRPr="00E67914">
        <w:rPr>
          <w:rFonts w:ascii="Times New Roman" w:hAnsi="Times New Roman"/>
          <w:sz w:val="24"/>
          <w:lang w:eastAsia="zh-CN"/>
        </w:rPr>
        <w:t>1</w:t>
      </w:r>
      <w:r w:rsidRPr="00E67914">
        <w:rPr>
          <w:rFonts w:ascii="Times New Roman" w:hAnsi="Times New Roman"/>
          <w:sz w:val="24"/>
          <w:lang w:eastAsia="zh-CN"/>
        </w:rPr>
        <w:t>口井（普陆页</w:t>
      </w:r>
      <w:r w:rsidRPr="00E67914">
        <w:rPr>
          <w:rFonts w:ascii="Times New Roman" w:hAnsi="Times New Roman"/>
          <w:sz w:val="24"/>
          <w:lang w:eastAsia="zh-CN"/>
        </w:rPr>
        <w:t>2HF</w:t>
      </w:r>
      <w:r w:rsidRPr="00E67914">
        <w:rPr>
          <w:rFonts w:ascii="Times New Roman" w:hAnsi="Times New Roman"/>
          <w:sz w:val="24"/>
          <w:lang w:eastAsia="zh-CN"/>
        </w:rPr>
        <w:t>井）。</w:t>
      </w:r>
    </w:p>
    <w:p w14:paraId="3D6A9C28" w14:textId="77777777" w:rsidR="00DE5055"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新建新普陆页</w:t>
      </w:r>
      <w:r w:rsidRPr="00E67914">
        <w:rPr>
          <w:rFonts w:ascii="Times New Roman" w:hAnsi="Times New Roman"/>
          <w:sz w:val="24"/>
          <w:lang w:eastAsia="zh-CN"/>
        </w:rPr>
        <w:t>2</w:t>
      </w:r>
      <w:r w:rsidRPr="00E67914">
        <w:rPr>
          <w:rFonts w:ascii="Times New Roman" w:hAnsi="Times New Roman"/>
          <w:sz w:val="24"/>
          <w:lang w:eastAsia="zh-CN"/>
        </w:rPr>
        <w:t>井场到普陆页</w:t>
      </w:r>
      <w:r w:rsidRPr="00E67914">
        <w:rPr>
          <w:rFonts w:ascii="Times New Roman" w:hAnsi="Times New Roman"/>
          <w:sz w:val="24"/>
          <w:lang w:eastAsia="zh-CN"/>
        </w:rPr>
        <w:t>2</w:t>
      </w:r>
      <w:r w:rsidRPr="00E67914">
        <w:rPr>
          <w:rFonts w:ascii="Times New Roman" w:hAnsi="Times New Roman"/>
          <w:sz w:val="24"/>
          <w:lang w:eastAsia="zh-CN"/>
        </w:rPr>
        <w:t>试采站管线规格</w:t>
      </w:r>
      <w:r w:rsidRPr="00E67914">
        <w:rPr>
          <w:rFonts w:ascii="Times New Roman" w:hAnsi="Times New Roman"/>
          <w:sz w:val="24"/>
          <w:lang w:eastAsia="zh-CN"/>
        </w:rPr>
        <w:t>D76.1×11mm</w:t>
      </w:r>
      <w:r w:rsidRPr="00E67914">
        <w:rPr>
          <w:rFonts w:ascii="Times New Roman" w:hAnsi="Times New Roman"/>
          <w:sz w:val="24"/>
          <w:lang w:eastAsia="zh-CN"/>
        </w:rPr>
        <w:t>，材质为</w:t>
      </w:r>
      <w:r w:rsidRPr="00E67914">
        <w:rPr>
          <w:rFonts w:ascii="Times New Roman" w:hAnsi="Times New Roman"/>
          <w:sz w:val="24"/>
          <w:lang w:eastAsia="zh-CN"/>
        </w:rPr>
        <w:t>L245N</w:t>
      </w:r>
      <w:r w:rsidRPr="00E67914">
        <w:rPr>
          <w:rFonts w:ascii="Times New Roman" w:hAnsi="Times New Roman"/>
          <w:sz w:val="24"/>
          <w:lang w:eastAsia="zh-CN"/>
        </w:rPr>
        <w:t>无缝钢管</w:t>
      </w:r>
      <w:r w:rsidRPr="00E67914">
        <w:rPr>
          <w:rFonts w:ascii="Times New Roman" w:hAnsi="Times New Roman"/>
          <w:sz w:val="24"/>
          <w:lang w:eastAsia="zh-CN"/>
        </w:rPr>
        <w:t>PSL2</w:t>
      </w:r>
      <w:r w:rsidRPr="00E67914">
        <w:rPr>
          <w:rFonts w:ascii="Times New Roman" w:hAnsi="Times New Roman"/>
          <w:sz w:val="24"/>
          <w:lang w:eastAsia="zh-CN"/>
        </w:rPr>
        <w:t>，同沟敷设的管线长度有</w:t>
      </w:r>
      <w:r w:rsidRPr="00E67914">
        <w:rPr>
          <w:rFonts w:ascii="Times New Roman" w:hAnsi="Times New Roman"/>
          <w:sz w:val="24"/>
          <w:lang w:eastAsia="zh-CN"/>
        </w:rPr>
        <w:t>3</w:t>
      </w:r>
      <w:r w:rsidRPr="00E67914">
        <w:rPr>
          <w:rFonts w:ascii="Times New Roman" w:hAnsi="Times New Roman"/>
          <w:sz w:val="24"/>
          <w:lang w:eastAsia="zh-CN"/>
        </w:rPr>
        <w:t>根，单根长度约</w:t>
      </w:r>
      <w:r w:rsidRPr="00E67914">
        <w:rPr>
          <w:rFonts w:ascii="Times New Roman" w:hAnsi="Times New Roman"/>
          <w:sz w:val="24"/>
          <w:lang w:eastAsia="zh-CN"/>
        </w:rPr>
        <w:t>300m</w:t>
      </w:r>
      <w:r w:rsidRPr="00E67914">
        <w:rPr>
          <w:rFonts w:ascii="Times New Roman" w:hAnsi="Times New Roman"/>
          <w:sz w:val="24"/>
          <w:lang w:eastAsia="zh-CN"/>
        </w:rPr>
        <w:t>，设计压力</w:t>
      </w:r>
      <w:r w:rsidRPr="00E67914">
        <w:rPr>
          <w:rFonts w:ascii="Times New Roman" w:hAnsi="Times New Roman"/>
          <w:sz w:val="24"/>
          <w:lang w:eastAsia="zh-CN"/>
        </w:rPr>
        <w:t>35MPa</w:t>
      </w:r>
      <w:r w:rsidRPr="00E67914">
        <w:rPr>
          <w:rFonts w:ascii="Times New Roman" w:hAnsi="Times New Roman"/>
          <w:sz w:val="24"/>
          <w:lang w:eastAsia="zh-CN"/>
        </w:rPr>
        <w:t>，埋深</w:t>
      </w:r>
      <w:r w:rsidRPr="00E67914">
        <w:rPr>
          <w:rFonts w:ascii="Times New Roman" w:hAnsi="Times New Roman"/>
          <w:sz w:val="24"/>
          <w:lang w:eastAsia="zh-CN"/>
        </w:rPr>
        <w:t>1.2m</w:t>
      </w:r>
      <w:r w:rsidRPr="00E67914">
        <w:rPr>
          <w:rFonts w:ascii="Times New Roman" w:hAnsi="Times New Roman"/>
          <w:sz w:val="24"/>
          <w:lang w:eastAsia="zh-CN"/>
        </w:rPr>
        <w:t>。</w:t>
      </w:r>
    </w:p>
    <w:p w14:paraId="3DF57D07" w14:textId="77777777" w:rsidR="00DE5055"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新建普陆页</w:t>
      </w:r>
      <w:r w:rsidRPr="00E67914">
        <w:rPr>
          <w:rFonts w:ascii="Times New Roman" w:hAnsi="Times New Roman"/>
          <w:sz w:val="24"/>
          <w:lang w:eastAsia="zh-CN"/>
        </w:rPr>
        <w:t>2</w:t>
      </w:r>
      <w:r w:rsidRPr="00E67914">
        <w:rPr>
          <w:rFonts w:ascii="Times New Roman" w:hAnsi="Times New Roman"/>
          <w:sz w:val="24"/>
          <w:lang w:eastAsia="zh-CN"/>
        </w:rPr>
        <w:t>试采站至</w:t>
      </w:r>
      <w:r w:rsidRPr="00E67914">
        <w:rPr>
          <w:rFonts w:ascii="Times New Roman" w:hAnsi="Times New Roman"/>
          <w:sz w:val="24"/>
          <w:lang w:eastAsia="zh-CN"/>
        </w:rPr>
        <w:t>P302</w:t>
      </w:r>
      <w:r w:rsidRPr="00E67914">
        <w:rPr>
          <w:rFonts w:ascii="Times New Roman" w:hAnsi="Times New Roman"/>
          <w:sz w:val="24"/>
          <w:lang w:eastAsia="zh-CN"/>
        </w:rPr>
        <w:t>集气站的外输管线，普陆页</w:t>
      </w:r>
      <w:r w:rsidRPr="00E67914">
        <w:rPr>
          <w:rFonts w:ascii="Times New Roman" w:hAnsi="Times New Roman"/>
          <w:sz w:val="24"/>
          <w:lang w:eastAsia="zh-CN"/>
        </w:rPr>
        <w:t>2</w:t>
      </w:r>
      <w:r w:rsidRPr="00E67914">
        <w:rPr>
          <w:rFonts w:ascii="Times New Roman" w:hAnsi="Times New Roman"/>
          <w:sz w:val="24"/>
          <w:lang w:eastAsia="zh-CN"/>
        </w:rPr>
        <w:t>试采站的天然气经三相分离后，天然气通过新建管线接入附近</w:t>
      </w:r>
      <w:r w:rsidRPr="00E67914">
        <w:rPr>
          <w:rFonts w:ascii="Times New Roman" w:hAnsi="Times New Roman"/>
          <w:sz w:val="24"/>
          <w:lang w:eastAsia="zh-CN"/>
        </w:rPr>
        <w:t>P302</w:t>
      </w:r>
      <w:r w:rsidRPr="00E67914">
        <w:rPr>
          <w:rFonts w:ascii="Times New Roman" w:hAnsi="Times New Roman"/>
          <w:sz w:val="24"/>
          <w:lang w:eastAsia="zh-CN"/>
        </w:rPr>
        <w:t>集气站的酸气管网。管线规格为</w:t>
      </w:r>
      <w:r w:rsidRPr="00E67914">
        <w:rPr>
          <w:rFonts w:ascii="Times New Roman" w:hAnsi="Times New Roman"/>
          <w:sz w:val="24"/>
          <w:lang w:eastAsia="zh-CN"/>
        </w:rPr>
        <w:t>D89×6mm</w:t>
      </w:r>
      <w:r w:rsidRPr="00E67914">
        <w:rPr>
          <w:rFonts w:ascii="Times New Roman" w:hAnsi="Times New Roman"/>
          <w:sz w:val="24"/>
          <w:lang w:eastAsia="zh-CN"/>
        </w:rPr>
        <w:t>，</w:t>
      </w:r>
      <w:bookmarkStart w:id="10" w:name="_Hlk144221009"/>
      <w:r w:rsidRPr="00E67914">
        <w:rPr>
          <w:rFonts w:ascii="Times New Roman" w:hAnsi="Times New Roman"/>
          <w:sz w:val="24"/>
          <w:lang w:eastAsia="zh-CN"/>
        </w:rPr>
        <w:t>材质为</w:t>
      </w:r>
      <w:r w:rsidRPr="00E67914">
        <w:rPr>
          <w:rFonts w:ascii="Times New Roman" w:hAnsi="Times New Roman"/>
          <w:sz w:val="24"/>
          <w:lang w:eastAsia="zh-CN"/>
        </w:rPr>
        <w:t>L245N</w:t>
      </w:r>
      <w:r w:rsidRPr="00E67914">
        <w:rPr>
          <w:rFonts w:ascii="Times New Roman" w:hAnsi="Times New Roman"/>
          <w:sz w:val="24"/>
          <w:lang w:eastAsia="zh-CN"/>
        </w:rPr>
        <w:t>无缝钢管</w:t>
      </w:r>
      <w:r w:rsidRPr="00E67914">
        <w:rPr>
          <w:rFonts w:ascii="Times New Roman" w:hAnsi="Times New Roman"/>
          <w:sz w:val="24"/>
          <w:lang w:eastAsia="zh-CN"/>
        </w:rPr>
        <w:t>PSL2</w:t>
      </w:r>
      <w:bookmarkEnd w:id="10"/>
      <w:r w:rsidRPr="00E67914">
        <w:rPr>
          <w:rFonts w:ascii="Times New Roman" w:hAnsi="Times New Roman"/>
          <w:sz w:val="24"/>
          <w:lang w:eastAsia="zh-CN"/>
        </w:rPr>
        <w:t>，遵循技术标准为</w:t>
      </w:r>
      <w:r w:rsidRPr="00E67914">
        <w:rPr>
          <w:rFonts w:ascii="Times New Roman" w:hAnsi="Times New Roman"/>
          <w:sz w:val="24"/>
          <w:lang w:eastAsia="zh-CN"/>
        </w:rPr>
        <w:t>GB/T9711-2017</w:t>
      </w:r>
      <w:r w:rsidRPr="00E67914">
        <w:rPr>
          <w:rFonts w:ascii="Times New Roman" w:hAnsi="Times New Roman"/>
          <w:sz w:val="24"/>
          <w:lang w:eastAsia="zh-CN"/>
        </w:rPr>
        <w:t>，设计压力</w:t>
      </w:r>
      <w:r w:rsidRPr="00E67914">
        <w:rPr>
          <w:rFonts w:ascii="Times New Roman" w:hAnsi="Times New Roman"/>
          <w:sz w:val="24"/>
          <w:lang w:eastAsia="zh-CN"/>
        </w:rPr>
        <w:t>10MPa</w:t>
      </w:r>
      <w:r w:rsidRPr="00E67914">
        <w:rPr>
          <w:rFonts w:ascii="Times New Roman" w:hAnsi="Times New Roman"/>
          <w:sz w:val="24"/>
          <w:lang w:eastAsia="zh-CN"/>
        </w:rPr>
        <w:t>，长度为</w:t>
      </w:r>
      <w:r w:rsidRPr="00E67914">
        <w:rPr>
          <w:rFonts w:ascii="Times New Roman" w:hAnsi="Times New Roman"/>
          <w:sz w:val="24"/>
          <w:lang w:eastAsia="zh-CN"/>
        </w:rPr>
        <w:t>1.3km</w:t>
      </w:r>
      <w:r w:rsidRPr="00E67914">
        <w:rPr>
          <w:rFonts w:ascii="Times New Roman" w:hAnsi="Times New Roman"/>
          <w:sz w:val="24"/>
          <w:lang w:eastAsia="zh-CN"/>
        </w:rPr>
        <w:t>，埋深</w:t>
      </w:r>
      <w:r w:rsidRPr="00E67914">
        <w:rPr>
          <w:rFonts w:ascii="Times New Roman" w:hAnsi="Times New Roman"/>
          <w:sz w:val="24"/>
          <w:lang w:eastAsia="zh-CN"/>
        </w:rPr>
        <w:t>1.2m</w:t>
      </w:r>
      <w:r w:rsidRPr="00E67914">
        <w:rPr>
          <w:rFonts w:ascii="Times New Roman" w:hAnsi="Times New Roman"/>
          <w:sz w:val="24"/>
          <w:lang w:eastAsia="zh-CN"/>
        </w:rPr>
        <w:t>。同沟敷设长度为</w:t>
      </w:r>
      <w:r w:rsidRPr="00E67914">
        <w:rPr>
          <w:rFonts w:ascii="Times New Roman" w:hAnsi="Times New Roman"/>
          <w:sz w:val="24"/>
          <w:lang w:eastAsia="zh-CN"/>
        </w:rPr>
        <w:t>1.3km</w:t>
      </w:r>
      <w:r w:rsidRPr="00E67914">
        <w:rPr>
          <w:rFonts w:ascii="Times New Roman" w:hAnsi="Times New Roman"/>
          <w:sz w:val="24"/>
          <w:lang w:eastAsia="zh-CN"/>
        </w:rPr>
        <w:t>的燃料气返输管线与通信光缆，燃料气返输管线规格型号为</w:t>
      </w:r>
      <w:r w:rsidRPr="00E67914">
        <w:rPr>
          <w:rFonts w:ascii="Times New Roman" w:hAnsi="Times New Roman"/>
          <w:sz w:val="24"/>
          <w:lang w:eastAsia="zh-CN"/>
        </w:rPr>
        <w:t>Φ88.9×5.0 20 SMLS</w:t>
      </w:r>
      <w:r w:rsidRPr="00E67914">
        <w:rPr>
          <w:rFonts w:ascii="Times New Roman" w:hAnsi="Times New Roman"/>
          <w:sz w:val="24"/>
          <w:lang w:eastAsia="zh-CN"/>
        </w:rPr>
        <w:t>。</w:t>
      </w:r>
    </w:p>
    <w:p w14:paraId="0E615312" w14:textId="0DCA4EDC" w:rsidR="008D3543" w:rsidRPr="00E67914" w:rsidRDefault="00DE5055" w:rsidP="00DE505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新建普陆页</w:t>
      </w:r>
      <w:r w:rsidRPr="00E67914">
        <w:rPr>
          <w:rFonts w:ascii="Times New Roman" w:hAnsi="Times New Roman"/>
          <w:sz w:val="24"/>
          <w:lang w:eastAsia="zh-CN"/>
        </w:rPr>
        <w:t>2</w:t>
      </w:r>
      <w:r w:rsidRPr="00E67914">
        <w:rPr>
          <w:rFonts w:ascii="Times New Roman" w:hAnsi="Times New Roman"/>
          <w:sz w:val="24"/>
          <w:lang w:eastAsia="zh-CN"/>
        </w:rPr>
        <w:t>试采站采用井口除砂、加热节流、混相轮换计量、气液两相分离、油气水三相闪蒸分离、原料气保温输送、凝析油和采出水分开储存装车工艺，实现气井产物油气水分开计量及天然气外输和污水、凝析油等进行分类回收处置功能。配套设置</w:t>
      </w:r>
      <w:r w:rsidRPr="00E67914">
        <w:rPr>
          <w:rFonts w:ascii="Times New Roman" w:hAnsi="Times New Roman"/>
          <w:sz w:val="24"/>
          <w:lang w:eastAsia="zh-CN"/>
        </w:rPr>
        <w:t>400kW</w:t>
      </w:r>
      <w:r w:rsidRPr="00E67914">
        <w:rPr>
          <w:rFonts w:ascii="Times New Roman" w:hAnsi="Times New Roman"/>
          <w:sz w:val="24"/>
          <w:lang w:eastAsia="zh-CN"/>
        </w:rPr>
        <w:t>水套加热炉</w:t>
      </w:r>
      <w:r w:rsidRPr="00E67914">
        <w:rPr>
          <w:rFonts w:ascii="Times New Roman" w:hAnsi="Times New Roman"/>
          <w:sz w:val="24"/>
          <w:lang w:eastAsia="zh-CN"/>
        </w:rPr>
        <w:t>2</w:t>
      </w:r>
      <w:r w:rsidRPr="00E67914">
        <w:rPr>
          <w:rFonts w:ascii="Times New Roman" w:hAnsi="Times New Roman"/>
          <w:sz w:val="24"/>
          <w:lang w:eastAsia="zh-CN"/>
        </w:rPr>
        <w:t>台、</w:t>
      </w:r>
      <w:r w:rsidRPr="00E67914">
        <w:rPr>
          <w:rFonts w:ascii="Times New Roman" w:hAnsi="Times New Roman"/>
          <w:sz w:val="24"/>
          <w:lang w:eastAsia="zh-CN"/>
        </w:rPr>
        <w:t>φ1200×6000mm</w:t>
      </w:r>
      <w:r w:rsidRPr="00E67914">
        <w:rPr>
          <w:rFonts w:ascii="Times New Roman" w:hAnsi="Times New Roman"/>
          <w:sz w:val="24"/>
          <w:lang w:eastAsia="zh-CN"/>
        </w:rPr>
        <w:t>气液两相分</w:t>
      </w:r>
      <w:r w:rsidRPr="00E67914">
        <w:rPr>
          <w:rFonts w:ascii="Times New Roman" w:hAnsi="Times New Roman"/>
          <w:sz w:val="24"/>
          <w:lang w:eastAsia="zh-CN"/>
        </w:rPr>
        <w:lastRenderedPageBreak/>
        <w:t>离器</w:t>
      </w:r>
      <w:r w:rsidRPr="00E67914">
        <w:rPr>
          <w:rFonts w:ascii="Times New Roman" w:hAnsi="Times New Roman"/>
          <w:sz w:val="24"/>
          <w:lang w:eastAsia="zh-CN"/>
        </w:rPr>
        <w:t>1</w:t>
      </w:r>
      <w:r w:rsidRPr="00E67914">
        <w:rPr>
          <w:rFonts w:ascii="Times New Roman" w:hAnsi="Times New Roman"/>
          <w:sz w:val="24"/>
          <w:lang w:eastAsia="zh-CN"/>
        </w:rPr>
        <w:t>台、</w:t>
      </w:r>
      <w:r w:rsidRPr="00E67914">
        <w:rPr>
          <w:rFonts w:ascii="Times New Roman" w:hAnsi="Times New Roman"/>
          <w:sz w:val="24"/>
          <w:lang w:eastAsia="zh-CN"/>
        </w:rPr>
        <w:t>φ1200×3600mm</w:t>
      </w:r>
      <w:r w:rsidRPr="00E67914">
        <w:rPr>
          <w:rFonts w:ascii="Times New Roman" w:hAnsi="Times New Roman"/>
          <w:sz w:val="24"/>
          <w:lang w:eastAsia="zh-CN"/>
        </w:rPr>
        <w:t>油气水三相分离器</w:t>
      </w:r>
      <w:r w:rsidRPr="00E67914">
        <w:rPr>
          <w:rFonts w:ascii="Times New Roman" w:hAnsi="Times New Roman"/>
          <w:sz w:val="24"/>
          <w:lang w:eastAsia="zh-CN"/>
        </w:rPr>
        <w:t>1</w:t>
      </w:r>
      <w:r w:rsidRPr="00E67914">
        <w:rPr>
          <w:rFonts w:ascii="Times New Roman" w:hAnsi="Times New Roman"/>
          <w:sz w:val="24"/>
          <w:lang w:eastAsia="zh-CN"/>
        </w:rPr>
        <w:t>台、放空分离器撬</w:t>
      </w:r>
      <w:r w:rsidRPr="00E67914">
        <w:rPr>
          <w:rFonts w:ascii="Times New Roman" w:hAnsi="Times New Roman"/>
          <w:sz w:val="24"/>
          <w:lang w:eastAsia="zh-CN"/>
        </w:rPr>
        <w:t>1</w:t>
      </w:r>
      <w:r w:rsidRPr="00E67914">
        <w:rPr>
          <w:rFonts w:ascii="Times New Roman" w:hAnsi="Times New Roman"/>
          <w:sz w:val="24"/>
          <w:lang w:eastAsia="zh-CN"/>
        </w:rPr>
        <w:t>台、双筒高效除砂器撬</w:t>
      </w:r>
      <w:r w:rsidRPr="00E67914">
        <w:rPr>
          <w:rFonts w:ascii="Times New Roman" w:hAnsi="Times New Roman"/>
          <w:sz w:val="24"/>
          <w:lang w:eastAsia="zh-CN"/>
        </w:rPr>
        <w:t>2</w:t>
      </w:r>
      <w:r w:rsidRPr="00E67914">
        <w:rPr>
          <w:rFonts w:ascii="Times New Roman" w:hAnsi="Times New Roman"/>
          <w:sz w:val="24"/>
          <w:lang w:eastAsia="zh-CN"/>
        </w:rPr>
        <w:t>台（单筒处理量</w:t>
      </w:r>
      <w:r w:rsidRPr="00E67914">
        <w:rPr>
          <w:rFonts w:ascii="Times New Roman" w:hAnsi="Times New Roman"/>
          <w:sz w:val="24"/>
          <w:lang w:eastAsia="zh-CN"/>
        </w:rPr>
        <w:t>10×10</w:t>
      </w:r>
      <w:r w:rsidRPr="00E67914">
        <w:rPr>
          <w:rFonts w:ascii="Times New Roman" w:hAnsi="Times New Roman"/>
          <w:sz w:val="24"/>
          <w:vertAlign w:val="superscript"/>
          <w:lang w:eastAsia="zh-CN"/>
        </w:rPr>
        <w:t>4</w:t>
      </w:r>
      <w:r w:rsidRPr="00E67914">
        <w:rPr>
          <w:rFonts w:ascii="Times New Roman" w:hAnsi="Times New Roman"/>
          <w:sz w:val="24"/>
          <w:lang w:eastAsia="zh-CN"/>
        </w:rPr>
        <w:t>Nm³/d</w:t>
      </w:r>
      <w:r w:rsidRPr="00E67914">
        <w:rPr>
          <w:rFonts w:ascii="Times New Roman" w:hAnsi="Times New Roman"/>
          <w:sz w:val="24"/>
          <w:lang w:eastAsia="zh-CN"/>
        </w:rPr>
        <w:t>）、</w:t>
      </w:r>
      <w:r w:rsidRPr="00E67914">
        <w:rPr>
          <w:rFonts w:ascii="Times New Roman" w:hAnsi="Times New Roman"/>
          <w:sz w:val="24"/>
          <w:lang w:eastAsia="zh-CN"/>
        </w:rPr>
        <w:t>8000Nm</w:t>
      </w:r>
      <w:r w:rsidRPr="00E67914">
        <w:rPr>
          <w:rFonts w:ascii="Times New Roman" w:hAnsi="Times New Roman"/>
          <w:sz w:val="24"/>
          <w:vertAlign w:val="superscript"/>
          <w:lang w:eastAsia="zh-CN"/>
        </w:rPr>
        <w:t>3</w:t>
      </w:r>
      <w:r w:rsidRPr="00E67914">
        <w:rPr>
          <w:rFonts w:ascii="Times New Roman" w:hAnsi="Times New Roman"/>
          <w:sz w:val="24"/>
          <w:lang w:eastAsia="zh-CN"/>
        </w:rPr>
        <w:t>/d</w:t>
      </w:r>
      <w:r w:rsidRPr="00E67914">
        <w:rPr>
          <w:rFonts w:ascii="Times New Roman" w:hAnsi="Times New Roman"/>
          <w:sz w:val="24"/>
          <w:lang w:eastAsia="zh-CN"/>
        </w:rPr>
        <w:t>燃料气调压分离器撬</w:t>
      </w:r>
      <w:r w:rsidRPr="00E67914">
        <w:rPr>
          <w:rFonts w:ascii="Times New Roman" w:hAnsi="Times New Roman"/>
          <w:sz w:val="24"/>
          <w:lang w:eastAsia="zh-CN"/>
        </w:rPr>
        <w:t>1</w:t>
      </w:r>
      <w:r w:rsidRPr="00E67914">
        <w:rPr>
          <w:rFonts w:ascii="Times New Roman" w:hAnsi="Times New Roman"/>
          <w:sz w:val="24"/>
          <w:lang w:eastAsia="zh-CN"/>
        </w:rPr>
        <w:t>台，设置放空区，新建</w:t>
      </w:r>
      <w:r w:rsidRPr="00E67914">
        <w:rPr>
          <w:rFonts w:ascii="Times New Roman" w:hAnsi="Times New Roman"/>
          <w:sz w:val="24"/>
          <w:lang w:eastAsia="zh-CN"/>
        </w:rPr>
        <w:t>DN200</w:t>
      </w:r>
      <w:r w:rsidRPr="00E67914">
        <w:rPr>
          <w:rFonts w:ascii="Times New Roman" w:hAnsi="Times New Roman"/>
          <w:sz w:val="24"/>
          <w:lang w:eastAsia="zh-CN"/>
        </w:rPr>
        <w:t>的</w:t>
      </w:r>
      <w:r w:rsidRPr="00E67914">
        <w:rPr>
          <w:rFonts w:ascii="Times New Roman" w:hAnsi="Times New Roman"/>
          <w:sz w:val="24"/>
          <w:lang w:eastAsia="zh-CN"/>
        </w:rPr>
        <w:t>25m</w:t>
      </w:r>
      <w:r w:rsidRPr="00E67914">
        <w:rPr>
          <w:rFonts w:ascii="Times New Roman" w:hAnsi="Times New Roman"/>
          <w:sz w:val="24"/>
          <w:lang w:eastAsia="zh-CN"/>
        </w:rPr>
        <w:t>放空火炬</w:t>
      </w:r>
      <w:r w:rsidRPr="00E67914">
        <w:rPr>
          <w:rFonts w:ascii="Times New Roman" w:hAnsi="Times New Roman"/>
          <w:sz w:val="24"/>
          <w:lang w:eastAsia="zh-CN"/>
        </w:rPr>
        <w:t>1</w:t>
      </w:r>
      <w:r w:rsidRPr="00E67914">
        <w:rPr>
          <w:rFonts w:ascii="Times New Roman" w:hAnsi="Times New Roman"/>
          <w:sz w:val="24"/>
          <w:lang w:eastAsia="zh-CN"/>
        </w:rPr>
        <w:t>座、</w:t>
      </w:r>
      <w:r w:rsidRPr="00E67914">
        <w:rPr>
          <w:rFonts w:ascii="Times New Roman" w:hAnsi="Times New Roman"/>
          <w:sz w:val="24"/>
          <w:lang w:eastAsia="zh-CN"/>
        </w:rPr>
        <w:t>DN100</w:t>
      </w:r>
      <w:r w:rsidRPr="00E67914">
        <w:rPr>
          <w:rFonts w:ascii="Times New Roman" w:hAnsi="Times New Roman"/>
          <w:sz w:val="24"/>
          <w:lang w:eastAsia="zh-CN"/>
        </w:rPr>
        <w:t>的</w:t>
      </w:r>
      <w:r w:rsidRPr="00E67914">
        <w:rPr>
          <w:rFonts w:ascii="Times New Roman" w:hAnsi="Times New Roman"/>
          <w:sz w:val="24"/>
          <w:lang w:eastAsia="zh-CN"/>
        </w:rPr>
        <w:t>6m</w:t>
      </w:r>
      <w:r w:rsidRPr="00E67914">
        <w:rPr>
          <w:rFonts w:ascii="Times New Roman" w:hAnsi="Times New Roman"/>
          <w:sz w:val="24"/>
          <w:lang w:eastAsia="zh-CN"/>
        </w:rPr>
        <w:t>放散管</w:t>
      </w:r>
      <w:r w:rsidRPr="00E67914">
        <w:rPr>
          <w:rFonts w:ascii="Times New Roman" w:hAnsi="Times New Roman"/>
          <w:sz w:val="24"/>
          <w:lang w:eastAsia="zh-CN"/>
        </w:rPr>
        <w:t>1</w:t>
      </w:r>
      <w:r w:rsidRPr="00E67914">
        <w:rPr>
          <w:rFonts w:ascii="Times New Roman" w:hAnsi="Times New Roman"/>
          <w:sz w:val="24"/>
          <w:lang w:eastAsia="zh-CN"/>
        </w:rPr>
        <w:t>座，配套</w:t>
      </w:r>
      <w:r w:rsidRPr="00E67914">
        <w:rPr>
          <w:rFonts w:ascii="Times New Roman" w:hAnsi="Times New Roman"/>
          <w:sz w:val="24"/>
          <w:lang w:eastAsia="zh-CN"/>
        </w:rPr>
        <w:t>φ1200×3600</w:t>
      </w:r>
      <w:r w:rsidRPr="00E67914">
        <w:rPr>
          <w:rFonts w:ascii="Times New Roman" w:hAnsi="Times New Roman"/>
          <w:sz w:val="24"/>
          <w:lang w:eastAsia="zh-CN"/>
        </w:rPr>
        <w:t>放空分液罐</w:t>
      </w:r>
      <w:r w:rsidRPr="00E67914">
        <w:rPr>
          <w:rFonts w:ascii="Times New Roman" w:hAnsi="Times New Roman"/>
          <w:sz w:val="24"/>
          <w:lang w:eastAsia="zh-CN"/>
        </w:rPr>
        <w:t>1</w:t>
      </w:r>
      <w:r w:rsidRPr="00E67914">
        <w:rPr>
          <w:rFonts w:ascii="Times New Roman" w:hAnsi="Times New Roman"/>
          <w:sz w:val="24"/>
          <w:lang w:eastAsia="zh-CN"/>
        </w:rPr>
        <w:t>座；配套</w:t>
      </w:r>
      <w:r w:rsidRPr="00E67914">
        <w:rPr>
          <w:rFonts w:ascii="Times New Roman" w:hAnsi="Times New Roman"/>
          <w:sz w:val="24"/>
          <w:lang w:eastAsia="zh-CN"/>
        </w:rPr>
        <w:t>50m³</w:t>
      </w:r>
      <w:r w:rsidRPr="00E67914">
        <w:rPr>
          <w:rFonts w:ascii="Times New Roman" w:hAnsi="Times New Roman"/>
          <w:sz w:val="24"/>
          <w:lang w:eastAsia="zh-CN"/>
        </w:rPr>
        <w:t>采出水罐</w:t>
      </w:r>
      <w:r w:rsidRPr="00E67914">
        <w:rPr>
          <w:rFonts w:ascii="Times New Roman" w:hAnsi="Times New Roman"/>
          <w:sz w:val="24"/>
          <w:lang w:eastAsia="zh-CN"/>
        </w:rPr>
        <w:t>2</w:t>
      </w:r>
      <w:r w:rsidRPr="00E67914">
        <w:rPr>
          <w:rFonts w:ascii="Times New Roman" w:hAnsi="Times New Roman"/>
          <w:sz w:val="24"/>
          <w:lang w:eastAsia="zh-CN"/>
        </w:rPr>
        <w:t>座、</w:t>
      </w:r>
      <w:r w:rsidRPr="00E67914">
        <w:rPr>
          <w:rFonts w:ascii="Times New Roman" w:hAnsi="Times New Roman"/>
          <w:sz w:val="24"/>
          <w:lang w:eastAsia="zh-CN"/>
        </w:rPr>
        <w:t>50m³</w:t>
      </w:r>
      <w:r w:rsidRPr="00E67914">
        <w:rPr>
          <w:rFonts w:ascii="Times New Roman" w:hAnsi="Times New Roman"/>
          <w:sz w:val="24"/>
          <w:lang w:eastAsia="zh-CN"/>
        </w:rPr>
        <w:t>油罐</w:t>
      </w:r>
      <w:r w:rsidRPr="00E67914">
        <w:rPr>
          <w:rFonts w:ascii="Times New Roman" w:hAnsi="Times New Roman"/>
          <w:sz w:val="24"/>
          <w:lang w:eastAsia="zh-CN"/>
        </w:rPr>
        <w:t>2</w:t>
      </w:r>
      <w:r w:rsidRPr="00E67914">
        <w:rPr>
          <w:rFonts w:ascii="Times New Roman" w:hAnsi="Times New Roman"/>
          <w:sz w:val="24"/>
          <w:lang w:eastAsia="zh-CN"/>
        </w:rPr>
        <w:t>座。配套建设自控、电力、结构等设施</w:t>
      </w:r>
      <w:r w:rsidR="00A35E00" w:rsidRPr="00E67914">
        <w:rPr>
          <w:rFonts w:ascii="Times New Roman" w:hAnsi="Times New Roman"/>
          <w:sz w:val="24"/>
          <w:lang w:eastAsia="zh-CN"/>
        </w:rPr>
        <w:t>。</w:t>
      </w:r>
      <w:bookmarkEnd w:id="8"/>
      <w:bookmarkEnd w:id="9"/>
    </w:p>
    <w:p w14:paraId="62D46235" w14:textId="4F6B9281" w:rsidR="0070312E" w:rsidRPr="00E67914" w:rsidRDefault="0070312E" w:rsidP="0070312E">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后文按钻前工程、</w:t>
      </w:r>
      <w:r w:rsidR="00611A35" w:rsidRPr="00E67914">
        <w:rPr>
          <w:rFonts w:ascii="Times New Roman" w:hAnsi="Times New Roman"/>
          <w:sz w:val="24"/>
          <w:lang w:eastAsia="zh-CN"/>
        </w:rPr>
        <w:t>钻井工程</w:t>
      </w:r>
      <w:r w:rsidRPr="00E67914">
        <w:rPr>
          <w:rFonts w:ascii="Times New Roman" w:hAnsi="Times New Roman"/>
          <w:sz w:val="24"/>
          <w:lang w:eastAsia="zh-CN"/>
        </w:rPr>
        <w:t>、地面集输工程及运营期试采工程划分。</w:t>
      </w:r>
    </w:p>
    <w:p w14:paraId="1936C3D0" w14:textId="3ACA0145"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本项目试采（</w:t>
      </w:r>
      <w:r w:rsidRPr="00E67914">
        <w:rPr>
          <w:rFonts w:ascii="Times New Roman" w:hAnsi="Times New Roman"/>
          <w:sz w:val="24"/>
          <w:lang w:eastAsia="zh-CN"/>
        </w:rPr>
        <w:t>2</w:t>
      </w:r>
      <w:r w:rsidRPr="00E67914">
        <w:rPr>
          <w:rFonts w:ascii="Times New Roman" w:hAnsi="Times New Roman"/>
          <w:sz w:val="24"/>
          <w:lang w:eastAsia="zh-CN"/>
        </w:rPr>
        <w:t>年）结束后，若天然气井采气后期不具备商业开采价值时（若无进一步勘探开发计划）将按照行业规范采取闭井作业。首先，采用水泥对套管及套管壁进行固封，防止天然气串入地层；同时在射孔段上部注入水泥，形成水泥塞封隔天然气层。在井口套管头上安装丝扣法兰，其工作压力大于最上气层的地层压力，装放气阀，盖井口房，在丝扣法兰上标注井号、完井日期，并设置醒目的警示标志，加以保护，防止人为破坏和气体泄漏污染及环境风险事故。拆除地面集输流程和放喷池、清水池等，并编制闭井期土地复垦方案，对井场进行复垦（若有后续开采计划则纳入后续开采计划复垦）。通过拆除构筑物及对占地区域进行复垦，不存在遗留环境问题，不会造成持续环境影响。试采结束后，若具备开采价值，则将</w:t>
      </w:r>
      <w:r w:rsidR="0014745F" w:rsidRPr="00E67914">
        <w:rPr>
          <w:rFonts w:ascii="Times New Roman" w:hAnsi="Times New Roman"/>
          <w:sz w:val="24"/>
          <w:szCs w:val="24"/>
          <w:lang w:eastAsia="zh-CN"/>
        </w:rPr>
        <w:t>试验井</w:t>
      </w:r>
      <w:r w:rsidRPr="00E67914">
        <w:rPr>
          <w:rFonts w:ascii="Times New Roman" w:hAnsi="Times New Roman"/>
          <w:sz w:val="24"/>
          <w:lang w:eastAsia="zh-CN"/>
        </w:rPr>
        <w:t>转为生产井，另行完善环评手续。</w:t>
      </w:r>
    </w:p>
    <w:bookmarkEnd w:id="6"/>
    <w:p w14:paraId="2EA4A606" w14:textId="7B7982AA"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根据《中华人民共和国环境保护法》（</w:t>
      </w:r>
      <w:r w:rsidRPr="00E67914">
        <w:rPr>
          <w:rFonts w:ascii="Times New Roman" w:hAnsi="Times New Roman"/>
          <w:sz w:val="24"/>
          <w:lang w:eastAsia="zh-CN"/>
        </w:rPr>
        <w:t>2015</w:t>
      </w:r>
      <w:r w:rsidRPr="00E67914">
        <w:rPr>
          <w:rFonts w:ascii="Times New Roman" w:hAnsi="Times New Roman"/>
          <w:sz w:val="24"/>
          <w:lang w:eastAsia="zh-CN"/>
        </w:rPr>
        <w:t>年</w:t>
      </w:r>
      <w:r w:rsidRPr="00E67914">
        <w:rPr>
          <w:rFonts w:ascii="Times New Roman" w:hAnsi="Times New Roman"/>
          <w:sz w:val="24"/>
          <w:lang w:eastAsia="zh-CN"/>
        </w:rPr>
        <w:t>1</w:t>
      </w:r>
      <w:r w:rsidRPr="00E67914">
        <w:rPr>
          <w:rFonts w:ascii="Times New Roman" w:hAnsi="Times New Roman"/>
          <w:sz w:val="24"/>
          <w:lang w:eastAsia="zh-CN"/>
        </w:rPr>
        <w:t>月</w:t>
      </w:r>
      <w:r w:rsidRPr="00E67914">
        <w:rPr>
          <w:rFonts w:ascii="Times New Roman" w:hAnsi="Times New Roman"/>
          <w:sz w:val="24"/>
          <w:lang w:eastAsia="zh-CN"/>
        </w:rPr>
        <w:t>1</w:t>
      </w:r>
      <w:r w:rsidRPr="00E67914">
        <w:rPr>
          <w:rFonts w:ascii="Times New Roman" w:hAnsi="Times New Roman"/>
          <w:sz w:val="24"/>
          <w:lang w:eastAsia="zh-CN"/>
        </w:rPr>
        <w:t>日实施）、《中华人民共和国环境影响评价法》（</w:t>
      </w:r>
      <w:r w:rsidRPr="00E67914">
        <w:rPr>
          <w:rFonts w:ascii="Times New Roman" w:hAnsi="Times New Roman"/>
          <w:sz w:val="24"/>
          <w:lang w:eastAsia="zh-CN"/>
        </w:rPr>
        <w:t>2018</w:t>
      </w:r>
      <w:r w:rsidRPr="00E67914">
        <w:rPr>
          <w:rFonts w:ascii="Times New Roman" w:hAnsi="Times New Roman"/>
          <w:sz w:val="24"/>
          <w:lang w:eastAsia="zh-CN"/>
        </w:rPr>
        <w:t>年</w:t>
      </w:r>
      <w:r w:rsidRPr="00E67914">
        <w:rPr>
          <w:rFonts w:ascii="Times New Roman" w:hAnsi="Times New Roman"/>
          <w:sz w:val="24"/>
          <w:lang w:eastAsia="zh-CN"/>
        </w:rPr>
        <w:t>12</w:t>
      </w:r>
      <w:r w:rsidRPr="00E67914">
        <w:rPr>
          <w:rFonts w:ascii="Times New Roman" w:hAnsi="Times New Roman"/>
          <w:sz w:val="24"/>
          <w:lang w:eastAsia="zh-CN"/>
        </w:rPr>
        <w:t>月</w:t>
      </w:r>
      <w:r w:rsidRPr="00E67914">
        <w:rPr>
          <w:rFonts w:ascii="Times New Roman" w:hAnsi="Times New Roman"/>
          <w:sz w:val="24"/>
          <w:lang w:eastAsia="zh-CN"/>
        </w:rPr>
        <w:t>29</w:t>
      </w:r>
      <w:r w:rsidRPr="00E67914">
        <w:rPr>
          <w:rFonts w:ascii="Times New Roman" w:hAnsi="Times New Roman"/>
          <w:sz w:val="24"/>
          <w:lang w:eastAsia="zh-CN"/>
        </w:rPr>
        <w:t>日实施）、《建设项目环境影响评价分类管理名录》（</w:t>
      </w:r>
      <w:r w:rsidRPr="00E67914">
        <w:rPr>
          <w:rFonts w:ascii="Times New Roman" w:hAnsi="Times New Roman"/>
          <w:sz w:val="24"/>
          <w:lang w:eastAsia="zh-CN"/>
        </w:rPr>
        <w:t>2021</w:t>
      </w:r>
      <w:r w:rsidRPr="00E67914">
        <w:rPr>
          <w:rFonts w:ascii="Times New Roman" w:hAnsi="Times New Roman"/>
          <w:sz w:val="24"/>
          <w:lang w:eastAsia="zh-CN"/>
        </w:rPr>
        <w:t>年版）等的有关规定，建设过程中或者建成投产后可能对环境产生影响的新建、扩建、改建、迁建项目及区域开发建设项目，必须执行环境影响评价制度。根据国家生态环境部制定的《建设项目环境影响评价分类管理名录》（</w:t>
      </w:r>
      <w:r w:rsidRPr="00E67914">
        <w:rPr>
          <w:rFonts w:ascii="Times New Roman" w:hAnsi="Times New Roman"/>
          <w:sz w:val="24"/>
          <w:lang w:eastAsia="zh-CN"/>
        </w:rPr>
        <w:t>2021</w:t>
      </w:r>
      <w:r w:rsidRPr="00E67914">
        <w:rPr>
          <w:rFonts w:ascii="Times New Roman" w:hAnsi="Times New Roman"/>
          <w:sz w:val="24"/>
          <w:lang w:eastAsia="zh-CN"/>
        </w:rPr>
        <w:t>年版）中的相关要求，本项目属于</w:t>
      </w:r>
      <w:r w:rsidRPr="00E67914">
        <w:rPr>
          <w:rFonts w:ascii="Times New Roman" w:hAnsi="Times New Roman"/>
          <w:sz w:val="24"/>
          <w:lang w:eastAsia="zh-CN"/>
        </w:rPr>
        <w:t>“</w:t>
      </w:r>
      <w:r w:rsidRPr="00E67914">
        <w:rPr>
          <w:rFonts w:ascii="Times New Roman" w:hAnsi="Times New Roman"/>
          <w:sz w:val="24"/>
          <w:lang w:eastAsia="zh-CN"/>
        </w:rPr>
        <w:t>五、石油和天然气开采业</w:t>
      </w:r>
      <w:r w:rsidRPr="00E67914">
        <w:rPr>
          <w:rFonts w:ascii="Times New Roman" w:hAnsi="Times New Roman"/>
          <w:sz w:val="24"/>
          <w:lang w:eastAsia="zh-CN"/>
        </w:rPr>
        <w:t xml:space="preserve"> 07-8</w:t>
      </w:r>
      <w:r w:rsidRPr="00E67914">
        <w:rPr>
          <w:rFonts w:ascii="Times New Roman" w:hAnsi="Times New Roman"/>
          <w:sz w:val="24"/>
          <w:lang w:eastAsia="zh-CN"/>
        </w:rPr>
        <w:t>、陆地天然气开采</w:t>
      </w:r>
      <w:r w:rsidRPr="00E67914">
        <w:rPr>
          <w:rFonts w:ascii="Times New Roman" w:hAnsi="Times New Roman"/>
          <w:sz w:val="24"/>
          <w:lang w:eastAsia="zh-CN"/>
        </w:rPr>
        <w:t>0721-</w:t>
      </w:r>
      <w:r w:rsidRPr="00E67914">
        <w:rPr>
          <w:rFonts w:ascii="Times New Roman" w:hAnsi="Times New Roman"/>
          <w:sz w:val="24"/>
          <w:lang w:eastAsia="zh-CN"/>
        </w:rPr>
        <w:t>涉及环境敏感区的（含内部集输管线建设）（本项目</w:t>
      </w:r>
      <w:r w:rsidR="00DC6040" w:rsidRPr="00E67914">
        <w:rPr>
          <w:rFonts w:ascii="Times New Roman" w:hAnsi="Times New Roman"/>
          <w:sz w:val="24"/>
          <w:lang w:eastAsia="zh-CN"/>
        </w:rPr>
        <w:t>位于</w:t>
      </w:r>
      <w:r w:rsidR="00DD2AA7" w:rsidRPr="00E67914">
        <w:rPr>
          <w:rFonts w:ascii="Times New Roman" w:hAnsi="Times New Roman"/>
          <w:sz w:val="24"/>
          <w:lang w:eastAsia="zh-CN"/>
        </w:rPr>
        <w:t>普光镇</w:t>
      </w:r>
      <w:r w:rsidR="00DC6040" w:rsidRPr="00E67914">
        <w:rPr>
          <w:rFonts w:ascii="Times New Roman" w:hAnsi="Times New Roman"/>
          <w:sz w:val="24"/>
          <w:lang w:eastAsia="zh-CN"/>
        </w:rPr>
        <w:t>，</w:t>
      </w:r>
      <w:r w:rsidRPr="00E67914">
        <w:rPr>
          <w:rFonts w:ascii="Times New Roman" w:hAnsi="Times New Roman"/>
          <w:sz w:val="24"/>
          <w:lang w:eastAsia="zh-CN"/>
        </w:rPr>
        <w:t>涉及水土流失</w:t>
      </w:r>
      <w:r w:rsidRPr="00E67914">
        <w:rPr>
          <w:rFonts w:ascii="Times New Roman" w:hAnsi="Times New Roman"/>
          <w:bCs/>
          <w:kern w:val="2"/>
          <w:sz w:val="24"/>
          <w:szCs w:val="24"/>
          <w:lang w:eastAsia="zh-CN"/>
        </w:rPr>
        <w:t>重点预防区</w:t>
      </w:r>
      <w:r w:rsidR="00DC6040" w:rsidRPr="00E67914">
        <w:rPr>
          <w:rFonts w:ascii="Times New Roman" w:hAnsi="Times New Roman"/>
          <w:bCs/>
          <w:kern w:val="2"/>
          <w:sz w:val="24"/>
          <w:szCs w:val="24"/>
          <w:lang w:eastAsia="zh-CN"/>
        </w:rPr>
        <w:t>与重点治理区</w:t>
      </w:r>
      <w:r w:rsidRPr="00E67914">
        <w:rPr>
          <w:rFonts w:ascii="Times New Roman" w:hAnsi="Times New Roman"/>
          <w:sz w:val="24"/>
          <w:lang w:eastAsia="zh-CN"/>
        </w:rPr>
        <w:t>）</w:t>
      </w:r>
      <w:r w:rsidRPr="00E67914">
        <w:rPr>
          <w:rFonts w:ascii="Times New Roman" w:hAnsi="Times New Roman"/>
          <w:sz w:val="24"/>
          <w:lang w:eastAsia="zh-CN"/>
        </w:rPr>
        <w:t>”</w:t>
      </w:r>
      <w:r w:rsidRPr="00E67914">
        <w:rPr>
          <w:rFonts w:ascii="Times New Roman" w:hAnsi="Times New Roman"/>
          <w:sz w:val="24"/>
          <w:lang w:eastAsia="zh-CN"/>
        </w:rPr>
        <w:t>的建设项目，环评类别为编制环境影响报告书。</w:t>
      </w:r>
    </w:p>
    <w:p w14:paraId="020D1FBC" w14:textId="7E2DC233"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本项目位于</w:t>
      </w:r>
      <w:r w:rsidR="00DD2AA7" w:rsidRPr="00E67914">
        <w:rPr>
          <w:rFonts w:ascii="Times New Roman" w:hAnsi="Times New Roman"/>
          <w:sz w:val="24"/>
          <w:lang w:eastAsia="zh-CN"/>
        </w:rPr>
        <w:t>达州市宣汉县普光镇</w:t>
      </w:r>
      <w:r w:rsidR="00AE0282" w:rsidRPr="00E67914">
        <w:rPr>
          <w:rFonts w:ascii="Times New Roman" w:hAnsi="Times New Roman"/>
          <w:sz w:val="24"/>
          <w:lang w:eastAsia="zh-CN"/>
        </w:rPr>
        <w:t>陡梯村</w:t>
      </w:r>
      <w:r w:rsidRPr="00E67914">
        <w:rPr>
          <w:rFonts w:ascii="Times New Roman" w:hAnsi="Times New Roman"/>
          <w:sz w:val="24"/>
          <w:lang w:eastAsia="zh-CN"/>
        </w:rPr>
        <w:t>，根据水利部办公厅关于印发《全国水士保持规划国家级水土流失重点预防区和重点治理区复核划分成果》（办水保〔</w:t>
      </w:r>
      <w:r w:rsidRPr="00E67914">
        <w:rPr>
          <w:rFonts w:ascii="Times New Roman" w:hAnsi="Times New Roman"/>
          <w:sz w:val="24"/>
          <w:lang w:eastAsia="zh-CN"/>
        </w:rPr>
        <w:t>2013</w:t>
      </w:r>
      <w:r w:rsidRPr="00E67914">
        <w:rPr>
          <w:rFonts w:ascii="Times New Roman" w:hAnsi="Times New Roman"/>
          <w:sz w:val="24"/>
          <w:lang w:eastAsia="zh-CN"/>
        </w:rPr>
        <w:t>〕</w:t>
      </w:r>
      <w:r w:rsidRPr="00E67914">
        <w:rPr>
          <w:rFonts w:ascii="Times New Roman" w:hAnsi="Times New Roman"/>
          <w:sz w:val="24"/>
          <w:lang w:eastAsia="zh-CN"/>
        </w:rPr>
        <w:t>188</w:t>
      </w:r>
      <w:r w:rsidRPr="00E67914">
        <w:rPr>
          <w:rFonts w:ascii="Times New Roman" w:hAnsi="Times New Roman"/>
          <w:sz w:val="24"/>
          <w:lang w:eastAsia="zh-CN"/>
        </w:rPr>
        <w:t>号）的通知，本项目属于四川省国家级水土流失重点治理区名单中所列区县，详见下表。</w:t>
      </w:r>
    </w:p>
    <w:p w14:paraId="74B2F59B"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1.1-1  </w:t>
      </w:r>
      <w:r w:rsidRPr="00E67914">
        <w:rPr>
          <w:rFonts w:ascii="Times New Roman" w:eastAsia="黑体" w:hAnsi="Times New Roman"/>
          <w:sz w:val="21"/>
          <w:szCs w:val="21"/>
          <w:lang w:eastAsia="zh-CN"/>
        </w:rPr>
        <w:t>四川省国家级水土流失重点治理区名单</w:t>
      </w:r>
    </w:p>
    <w:tbl>
      <w:tblPr>
        <w:tblStyle w:val="affa"/>
        <w:tblW w:w="0" w:type="auto"/>
        <w:tblLook w:val="04A0" w:firstRow="1" w:lastRow="0" w:firstColumn="1" w:lastColumn="0" w:noHBand="0" w:noVBand="1"/>
      </w:tblPr>
      <w:tblGrid>
        <w:gridCol w:w="1553"/>
        <w:gridCol w:w="6747"/>
      </w:tblGrid>
      <w:tr w:rsidR="00E67914" w:rsidRPr="00E67914" w14:paraId="5F7762B9" w14:textId="77777777">
        <w:tc>
          <w:tcPr>
            <w:tcW w:w="8310" w:type="dxa"/>
            <w:gridSpan w:val="2"/>
            <w:vAlign w:val="center"/>
          </w:tcPr>
          <w:p w14:paraId="108528B5" w14:textId="77777777" w:rsidR="00A54A8A" w:rsidRPr="00E67914" w:rsidRDefault="00000000">
            <w:pPr>
              <w:pStyle w:val="afffffe"/>
              <w:spacing w:line="240" w:lineRule="auto"/>
              <w:ind w:firstLineChars="0" w:firstLine="0"/>
              <w:jc w:val="center"/>
              <w:rPr>
                <w:b/>
                <w:bCs/>
                <w:sz w:val="21"/>
                <w:szCs w:val="16"/>
              </w:rPr>
            </w:pPr>
            <w:r w:rsidRPr="00E67914">
              <w:rPr>
                <w:b/>
                <w:bCs/>
                <w:sz w:val="21"/>
                <w:szCs w:val="16"/>
              </w:rPr>
              <w:lastRenderedPageBreak/>
              <w:t>重点治理区</w:t>
            </w:r>
          </w:p>
        </w:tc>
      </w:tr>
      <w:tr w:rsidR="00E67914" w:rsidRPr="00E67914" w14:paraId="3A2EBEC5" w14:textId="77777777">
        <w:tc>
          <w:tcPr>
            <w:tcW w:w="1554" w:type="dxa"/>
            <w:vAlign w:val="center"/>
          </w:tcPr>
          <w:p w14:paraId="02132B2D" w14:textId="77777777" w:rsidR="00A54A8A" w:rsidRPr="00E67914" w:rsidRDefault="00000000">
            <w:pPr>
              <w:pStyle w:val="afffffe"/>
              <w:spacing w:line="240" w:lineRule="auto"/>
              <w:ind w:firstLineChars="0" w:firstLine="0"/>
              <w:jc w:val="center"/>
              <w:rPr>
                <w:sz w:val="21"/>
                <w:szCs w:val="16"/>
              </w:rPr>
            </w:pPr>
            <w:r w:rsidRPr="00E67914">
              <w:rPr>
                <w:sz w:val="21"/>
                <w:szCs w:val="16"/>
              </w:rPr>
              <w:t>嘉陵江及沱江中下游国家级水土流失重点治理区</w:t>
            </w:r>
          </w:p>
          <w:p w14:paraId="346C1A44" w14:textId="77777777" w:rsidR="00A54A8A" w:rsidRPr="00E67914" w:rsidRDefault="00000000">
            <w:pPr>
              <w:pStyle w:val="afffffe"/>
              <w:spacing w:line="240" w:lineRule="auto"/>
              <w:ind w:firstLineChars="0" w:firstLine="0"/>
              <w:jc w:val="center"/>
              <w:rPr>
                <w:sz w:val="21"/>
                <w:szCs w:val="16"/>
              </w:rPr>
            </w:pPr>
            <w:r w:rsidRPr="00E67914">
              <w:rPr>
                <w:sz w:val="21"/>
                <w:szCs w:val="16"/>
              </w:rPr>
              <w:t>GII2</w:t>
            </w:r>
          </w:p>
        </w:tc>
        <w:tc>
          <w:tcPr>
            <w:tcW w:w="6756" w:type="dxa"/>
            <w:vAlign w:val="center"/>
          </w:tcPr>
          <w:p w14:paraId="32387008" w14:textId="77777777" w:rsidR="00A54A8A" w:rsidRPr="00E67914" w:rsidRDefault="00000000">
            <w:pPr>
              <w:pStyle w:val="afffffe"/>
              <w:spacing w:line="240" w:lineRule="auto"/>
              <w:ind w:firstLineChars="0" w:firstLine="0"/>
              <w:jc w:val="center"/>
              <w:rPr>
                <w:sz w:val="21"/>
                <w:szCs w:val="16"/>
              </w:rPr>
            </w:pPr>
            <w:r w:rsidRPr="00E67914">
              <w:rPr>
                <w:sz w:val="21"/>
                <w:szCs w:val="16"/>
              </w:rPr>
              <w:t>巴中市：巴州区、恩阳区、平昌县；成都市：金堂县、简阳市；达州市：达川区、大竹县、开江县、渠县、通川区、</w:t>
            </w:r>
            <w:r w:rsidRPr="00E67914">
              <w:rPr>
                <w:b/>
                <w:bCs/>
                <w:sz w:val="21"/>
                <w:szCs w:val="16"/>
              </w:rPr>
              <w:t>宣汉县</w:t>
            </w:r>
            <w:r w:rsidRPr="00E67914">
              <w:rPr>
                <w:sz w:val="21"/>
                <w:szCs w:val="16"/>
              </w:rPr>
              <w:t>；德阳市：中江县；广元市：苍溪县、剑阁县；乐山市：犍为县、井研县；眉山市：仁寿县；绵阳市：三台县、盐亭县、梓潼县；内江市：威远县、资中县；南充市：阆中市、仪陇县、营山县；遂宁市：大英县；宜宾市：宜宾县；资阳市：安岳县、乐至县、雁江区；自贡市；柴县（</w:t>
            </w:r>
            <w:r w:rsidRPr="00E67914">
              <w:rPr>
                <w:sz w:val="21"/>
                <w:szCs w:val="16"/>
              </w:rPr>
              <w:t>31</w:t>
            </w:r>
            <w:r w:rsidRPr="00E67914">
              <w:rPr>
                <w:sz w:val="21"/>
                <w:szCs w:val="16"/>
              </w:rPr>
              <w:t>）</w:t>
            </w:r>
          </w:p>
        </w:tc>
      </w:tr>
    </w:tbl>
    <w:p w14:paraId="2E59599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同时，根据达州市水利局《关于水土保持</w:t>
      </w:r>
      <w:r w:rsidRPr="00E67914">
        <w:rPr>
          <w:rFonts w:ascii="Times New Roman" w:hAnsi="Times New Roman"/>
          <w:sz w:val="24"/>
          <w:lang w:eastAsia="zh-CN"/>
        </w:rPr>
        <w:t>“</w:t>
      </w:r>
      <w:r w:rsidRPr="00E67914">
        <w:rPr>
          <w:rFonts w:ascii="Times New Roman" w:hAnsi="Times New Roman"/>
          <w:sz w:val="24"/>
          <w:lang w:eastAsia="zh-CN"/>
        </w:rPr>
        <w:t>两区</w:t>
      </w:r>
      <w:r w:rsidRPr="00E67914">
        <w:rPr>
          <w:rFonts w:ascii="Times New Roman" w:hAnsi="Times New Roman"/>
          <w:sz w:val="24"/>
          <w:lang w:eastAsia="zh-CN"/>
        </w:rPr>
        <w:t>”</w:t>
      </w:r>
      <w:r w:rsidRPr="00E67914">
        <w:rPr>
          <w:rFonts w:ascii="Times New Roman" w:hAnsi="Times New Roman"/>
          <w:sz w:val="24"/>
          <w:lang w:eastAsia="zh-CN"/>
        </w:rPr>
        <w:t>划分的公告》</w:t>
      </w:r>
      <w:r w:rsidRPr="00E67914">
        <w:rPr>
          <w:rFonts w:ascii="Times New Roman" w:hAnsi="Times New Roman"/>
          <w:sz w:val="24"/>
          <w:lang w:eastAsia="zh-CN"/>
        </w:rPr>
        <w:t>“</w:t>
      </w:r>
      <w:r w:rsidRPr="00E67914">
        <w:rPr>
          <w:rFonts w:ascii="Times New Roman" w:hAnsi="Times New Roman"/>
          <w:sz w:val="24"/>
          <w:lang w:eastAsia="zh-CN"/>
        </w:rPr>
        <w:t>以下称《公告》</w:t>
      </w:r>
      <w:r w:rsidRPr="00E67914">
        <w:rPr>
          <w:rFonts w:ascii="Times New Roman" w:hAnsi="Times New Roman"/>
          <w:sz w:val="24"/>
          <w:lang w:eastAsia="zh-CN"/>
        </w:rPr>
        <w:t>”</w:t>
      </w:r>
      <w:r w:rsidRPr="00E67914">
        <w:rPr>
          <w:rFonts w:ascii="Times New Roman" w:hAnsi="Times New Roman"/>
          <w:sz w:val="24"/>
          <w:lang w:eastAsia="zh-CN"/>
        </w:rPr>
        <w:t>（详见附件</w:t>
      </w:r>
      <w:r w:rsidRPr="00E67914">
        <w:rPr>
          <w:rFonts w:ascii="Times New Roman" w:hAnsi="Times New Roman"/>
          <w:sz w:val="24"/>
          <w:lang w:eastAsia="zh-CN"/>
        </w:rPr>
        <w:t>10</w:t>
      </w:r>
      <w:r w:rsidRPr="00E67914">
        <w:rPr>
          <w:rFonts w:ascii="Times New Roman" w:hAnsi="Times New Roman"/>
          <w:sz w:val="24"/>
          <w:lang w:eastAsia="zh-CN"/>
        </w:rPr>
        <w:t>），涉及《公告》中</w:t>
      </w:r>
      <w:r w:rsidRPr="00E67914">
        <w:rPr>
          <w:rFonts w:ascii="Times New Roman" w:hAnsi="Times New Roman"/>
          <w:sz w:val="24"/>
          <w:lang w:eastAsia="zh-CN"/>
        </w:rPr>
        <w:t>“</w:t>
      </w:r>
      <w:r w:rsidRPr="00E67914">
        <w:rPr>
          <w:rFonts w:ascii="Times New Roman" w:hAnsi="Times New Roman"/>
          <w:sz w:val="24"/>
          <w:lang w:eastAsia="zh-CN"/>
        </w:rPr>
        <w:t>附件</w:t>
      </w:r>
      <w:r w:rsidRPr="00E67914">
        <w:rPr>
          <w:rFonts w:ascii="Times New Roman" w:hAnsi="Times New Roman"/>
          <w:sz w:val="24"/>
          <w:lang w:eastAsia="zh-CN"/>
        </w:rPr>
        <w:t>1</w:t>
      </w:r>
      <w:r w:rsidRPr="00E67914">
        <w:rPr>
          <w:rFonts w:ascii="Times New Roman" w:hAnsi="Times New Roman"/>
          <w:sz w:val="24"/>
          <w:lang w:eastAsia="zh-CN"/>
        </w:rPr>
        <w:t>达州市水土流失重点防治区划分表</w:t>
      </w:r>
      <w:r w:rsidRPr="00E67914">
        <w:rPr>
          <w:rFonts w:ascii="Times New Roman" w:hAnsi="Times New Roman"/>
          <w:sz w:val="24"/>
          <w:lang w:eastAsia="zh-CN"/>
        </w:rPr>
        <w:t>”</w:t>
      </w:r>
      <w:r w:rsidRPr="00E67914">
        <w:rPr>
          <w:rFonts w:ascii="Times New Roman" w:hAnsi="Times New Roman"/>
          <w:sz w:val="24"/>
          <w:lang w:eastAsia="zh-CN"/>
        </w:rPr>
        <w:t>中所列生态分区中</w:t>
      </w:r>
      <w:r w:rsidRPr="00E67914">
        <w:rPr>
          <w:rFonts w:ascii="Times New Roman" w:hAnsi="Times New Roman"/>
          <w:sz w:val="24"/>
          <w:lang w:eastAsia="zh-CN"/>
        </w:rPr>
        <w:t>“Ⅱ</w:t>
      </w:r>
      <w:r w:rsidRPr="00E67914">
        <w:rPr>
          <w:rFonts w:ascii="Times New Roman" w:hAnsi="Times New Roman"/>
          <w:sz w:val="24"/>
          <w:lang w:eastAsia="zh-CN"/>
        </w:rPr>
        <w:t>区</w:t>
      </w:r>
      <w:r w:rsidRPr="00E67914">
        <w:rPr>
          <w:rFonts w:ascii="Times New Roman" w:hAnsi="Times New Roman"/>
          <w:sz w:val="24"/>
          <w:lang w:eastAsia="zh-CN"/>
        </w:rPr>
        <w:t>-</w:t>
      </w:r>
      <w:r w:rsidRPr="00E67914">
        <w:rPr>
          <w:rFonts w:ascii="Times New Roman" w:hAnsi="Times New Roman"/>
          <w:sz w:val="24"/>
          <w:lang w:eastAsia="zh-CN"/>
        </w:rPr>
        <w:t>重点预防区、</w:t>
      </w:r>
      <w:r w:rsidRPr="00E67914">
        <w:rPr>
          <w:rFonts w:ascii="Times New Roman" w:hAnsi="Times New Roman"/>
          <w:sz w:val="24"/>
          <w:lang w:eastAsia="zh-CN"/>
        </w:rPr>
        <w:t>Ⅱ</w:t>
      </w:r>
      <w:r w:rsidRPr="00E67914">
        <w:rPr>
          <w:rFonts w:ascii="Times New Roman" w:hAnsi="Times New Roman"/>
          <w:sz w:val="24"/>
          <w:lang w:eastAsia="zh-CN"/>
        </w:rPr>
        <w:t>区</w:t>
      </w:r>
      <w:r w:rsidRPr="00E67914">
        <w:rPr>
          <w:rFonts w:ascii="Times New Roman" w:hAnsi="Times New Roman"/>
          <w:sz w:val="24"/>
          <w:lang w:eastAsia="zh-CN"/>
        </w:rPr>
        <w:t>-</w:t>
      </w:r>
      <w:r w:rsidRPr="00E67914">
        <w:rPr>
          <w:rFonts w:ascii="Times New Roman" w:hAnsi="Times New Roman"/>
          <w:sz w:val="24"/>
          <w:lang w:eastAsia="zh-CN"/>
        </w:rPr>
        <w:t>重点治理区</w:t>
      </w:r>
      <w:r w:rsidRPr="00E67914">
        <w:rPr>
          <w:rFonts w:ascii="Times New Roman" w:hAnsi="Times New Roman"/>
          <w:sz w:val="24"/>
          <w:lang w:eastAsia="zh-CN"/>
        </w:rPr>
        <w:t>”</w:t>
      </w:r>
      <w:r w:rsidRPr="00E67914">
        <w:rPr>
          <w:rFonts w:ascii="Times New Roman" w:hAnsi="Times New Roman"/>
          <w:sz w:val="24"/>
          <w:lang w:eastAsia="zh-CN"/>
        </w:rPr>
        <w:t>，具体详见下表。</w:t>
      </w:r>
    </w:p>
    <w:p w14:paraId="34CDECE3"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1.1-2  </w:t>
      </w:r>
      <w:r w:rsidRPr="00E67914">
        <w:rPr>
          <w:rFonts w:ascii="Times New Roman" w:eastAsia="黑体" w:hAnsi="Times New Roman"/>
          <w:sz w:val="21"/>
          <w:szCs w:val="21"/>
          <w:lang w:eastAsia="zh-CN"/>
        </w:rPr>
        <w:t>达州市水土流失重点防治区划分表</w:t>
      </w:r>
    </w:p>
    <w:tbl>
      <w:tblPr>
        <w:tblStyle w:val="affa"/>
        <w:tblW w:w="0" w:type="auto"/>
        <w:tblLook w:val="04A0" w:firstRow="1" w:lastRow="0" w:firstColumn="1" w:lastColumn="0" w:noHBand="0" w:noVBand="1"/>
      </w:tblPr>
      <w:tblGrid>
        <w:gridCol w:w="1132"/>
        <w:gridCol w:w="1417"/>
        <w:gridCol w:w="5751"/>
      </w:tblGrid>
      <w:tr w:rsidR="00E67914" w:rsidRPr="00E67914" w14:paraId="1229EB13" w14:textId="77777777">
        <w:tc>
          <w:tcPr>
            <w:tcW w:w="1134" w:type="dxa"/>
            <w:vAlign w:val="center"/>
          </w:tcPr>
          <w:p w14:paraId="5B0598CE" w14:textId="77777777" w:rsidR="00A54A8A" w:rsidRPr="00E67914" w:rsidRDefault="00000000">
            <w:pPr>
              <w:pStyle w:val="afffffe"/>
              <w:spacing w:line="240" w:lineRule="auto"/>
              <w:ind w:firstLineChars="0" w:firstLine="0"/>
              <w:jc w:val="center"/>
              <w:rPr>
                <w:b/>
                <w:bCs/>
                <w:sz w:val="21"/>
                <w:szCs w:val="16"/>
              </w:rPr>
            </w:pPr>
            <w:r w:rsidRPr="00E67914">
              <w:rPr>
                <w:b/>
                <w:bCs/>
                <w:sz w:val="21"/>
                <w:szCs w:val="16"/>
              </w:rPr>
              <w:t>生态分区</w:t>
            </w:r>
          </w:p>
        </w:tc>
        <w:tc>
          <w:tcPr>
            <w:tcW w:w="1418" w:type="dxa"/>
            <w:vAlign w:val="center"/>
          </w:tcPr>
          <w:p w14:paraId="00C3F699" w14:textId="77777777" w:rsidR="00A54A8A" w:rsidRPr="00E67914" w:rsidRDefault="00000000">
            <w:pPr>
              <w:pStyle w:val="afffffe"/>
              <w:spacing w:line="240" w:lineRule="auto"/>
              <w:ind w:firstLineChars="0" w:firstLine="0"/>
              <w:jc w:val="center"/>
              <w:rPr>
                <w:b/>
                <w:bCs/>
                <w:sz w:val="21"/>
                <w:szCs w:val="16"/>
              </w:rPr>
            </w:pPr>
            <w:r w:rsidRPr="00E67914">
              <w:rPr>
                <w:b/>
                <w:bCs/>
                <w:sz w:val="21"/>
                <w:szCs w:val="16"/>
              </w:rPr>
              <w:t>治理分区</w:t>
            </w:r>
          </w:p>
        </w:tc>
        <w:tc>
          <w:tcPr>
            <w:tcW w:w="5758" w:type="dxa"/>
            <w:vAlign w:val="center"/>
          </w:tcPr>
          <w:p w14:paraId="78D8044D" w14:textId="77777777" w:rsidR="00A54A8A" w:rsidRPr="00E67914" w:rsidRDefault="00000000">
            <w:pPr>
              <w:pStyle w:val="afffffe"/>
              <w:spacing w:line="240" w:lineRule="auto"/>
              <w:ind w:firstLineChars="0" w:firstLine="0"/>
              <w:jc w:val="center"/>
              <w:rPr>
                <w:b/>
                <w:bCs/>
                <w:sz w:val="21"/>
                <w:szCs w:val="16"/>
              </w:rPr>
            </w:pPr>
            <w:r w:rsidRPr="00E67914">
              <w:rPr>
                <w:b/>
                <w:bCs/>
                <w:sz w:val="21"/>
                <w:szCs w:val="16"/>
              </w:rPr>
              <w:t>乡镇</w:t>
            </w:r>
          </w:p>
        </w:tc>
      </w:tr>
      <w:tr w:rsidR="00E67914" w:rsidRPr="00E67914" w14:paraId="13603A5A" w14:textId="77777777">
        <w:tc>
          <w:tcPr>
            <w:tcW w:w="1134" w:type="dxa"/>
            <w:vMerge w:val="restart"/>
            <w:vAlign w:val="center"/>
          </w:tcPr>
          <w:p w14:paraId="6D2BE289" w14:textId="77777777" w:rsidR="00A54A8A" w:rsidRPr="00E67914" w:rsidRDefault="00000000">
            <w:pPr>
              <w:pStyle w:val="afffffe"/>
              <w:spacing w:line="240" w:lineRule="auto"/>
              <w:ind w:firstLineChars="0" w:firstLine="0"/>
              <w:jc w:val="center"/>
              <w:rPr>
                <w:sz w:val="21"/>
                <w:szCs w:val="16"/>
              </w:rPr>
            </w:pPr>
            <w:r w:rsidRPr="00E67914">
              <w:rPr>
                <w:sz w:val="21"/>
                <w:szCs w:val="16"/>
              </w:rPr>
              <w:t>II</w:t>
            </w:r>
            <w:r w:rsidRPr="00E67914">
              <w:rPr>
                <w:sz w:val="21"/>
                <w:szCs w:val="16"/>
              </w:rPr>
              <w:t>区</w:t>
            </w:r>
          </w:p>
        </w:tc>
        <w:tc>
          <w:tcPr>
            <w:tcW w:w="1418" w:type="dxa"/>
            <w:vAlign w:val="center"/>
          </w:tcPr>
          <w:p w14:paraId="479E892C" w14:textId="77777777" w:rsidR="00A54A8A" w:rsidRPr="00E67914" w:rsidRDefault="00000000">
            <w:pPr>
              <w:pStyle w:val="afffffe"/>
              <w:spacing w:line="240" w:lineRule="auto"/>
              <w:ind w:firstLineChars="0" w:firstLine="0"/>
              <w:jc w:val="center"/>
              <w:rPr>
                <w:sz w:val="21"/>
                <w:szCs w:val="16"/>
              </w:rPr>
            </w:pPr>
            <w:r w:rsidRPr="00E67914">
              <w:rPr>
                <w:sz w:val="21"/>
                <w:szCs w:val="16"/>
              </w:rPr>
              <w:t>重点预防区</w:t>
            </w:r>
          </w:p>
        </w:tc>
        <w:tc>
          <w:tcPr>
            <w:tcW w:w="5758" w:type="dxa"/>
            <w:vAlign w:val="center"/>
          </w:tcPr>
          <w:p w14:paraId="280129F0" w14:textId="77777777" w:rsidR="00A54A8A" w:rsidRPr="00E67914" w:rsidRDefault="00000000">
            <w:pPr>
              <w:pStyle w:val="afffffe"/>
              <w:spacing w:line="240" w:lineRule="auto"/>
              <w:ind w:firstLineChars="0" w:firstLine="0"/>
              <w:jc w:val="center"/>
              <w:rPr>
                <w:sz w:val="21"/>
                <w:szCs w:val="16"/>
              </w:rPr>
            </w:pPr>
            <w:r w:rsidRPr="00E67914">
              <w:rPr>
                <w:sz w:val="21"/>
                <w:szCs w:val="16"/>
              </w:rPr>
              <w:t>宣汉县：龙泉乡、渡口乡、三墩乡、白马乡、大成镇、东乡镇、柳池乡、清溪镇、</w:t>
            </w:r>
            <w:r w:rsidRPr="00E67914">
              <w:rPr>
                <w:b/>
                <w:bCs/>
                <w:sz w:val="21"/>
                <w:szCs w:val="16"/>
              </w:rPr>
              <w:t>普光镇</w:t>
            </w:r>
            <w:r w:rsidRPr="00E67914">
              <w:rPr>
                <w:sz w:val="21"/>
                <w:szCs w:val="16"/>
              </w:rPr>
              <w:t>、桃花乡、双河镇、七里乡、柏树镇、天生镇、石铁乡、新华镇、厂溪乡、风鸣乡、红峰乡（</w:t>
            </w:r>
            <w:r w:rsidRPr="00E67914">
              <w:rPr>
                <w:sz w:val="21"/>
                <w:szCs w:val="16"/>
              </w:rPr>
              <w:t>19</w:t>
            </w:r>
            <w:r w:rsidRPr="00E67914">
              <w:rPr>
                <w:sz w:val="21"/>
                <w:szCs w:val="16"/>
              </w:rPr>
              <w:t>）</w:t>
            </w:r>
          </w:p>
        </w:tc>
      </w:tr>
      <w:tr w:rsidR="00E67914" w:rsidRPr="00E67914" w14:paraId="363304FB" w14:textId="77777777" w:rsidTr="00260723">
        <w:trPr>
          <w:trHeight w:val="1465"/>
        </w:trPr>
        <w:tc>
          <w:tcPr>
            <w:tcW w:w="1134" w:type="dxa"/>
            <w:vMerge/>
            <w:vAlign w:val="center"/>
          </w:tcPr>
          <w:p w14:paraId="6DAB42D8" w14:textId="77777777" w:rsidR="00A54A8A" w:rsidRPr="00E67914" w:rsidRDefault="00A54A8A">
            <w:pPr>
              <w:pStyle w:val="afffffe"/>
              <w:spacing w:line="240" w:lineRule="auto"/>
              <w:ind w:firstLineChars="0" w:firstLine="0"/>
              <w:jc w:val="center"/>
              <w:rPr>
                <w:sz w:val="21"/>
                <w:szCs w:val="16"/>
              </w:rPr>
            </w:pPr>
          </w:p>
        </w:tc>
        <w:tc>
          <w:tcPr>
            <w:tcW w:w="1418" w:type="dxa"/>
            <w:vAlign w:val="center"/>
          </w:tcPr>
          <w:p w14:paraId="5E30427E" w14:textId="77777777" w:rsidR="00A54A8A" w:rsidRPr="00E67914" w:rsidRDefault="00000000">
            <w:pPr>
              <w:pStyle w:val="afffffe"/>
              <w:spacing w:line="240" w:lineRule="auto"/>
              <w:ind w:firstLineChars="0" w:firstLine="0"/>
              <w:jc w:val="center"/>
              <w:rPr>
                <w:sz w:val="21"/>
                <w:szCs w:val="16"/>
              </w:rPr>
            </w:pPr>
            <w:r w:rsidRPr="00E67914">
              <w:rPr>
                <w:sz w:val="21"/>
                <w:szCs w:val="16"/>
              </w:rPr>
              <w:t>重点治理区</w:t>
            </w:r>
          </w:p>
        </w:tc>
        <w:tc>
          <w:tcPr>
            <w:tcW w:w="5758" w:type="dxa"/>
            <w:vAlign w:val="center"/>
          </w:tcPr>
          <w:p w14:paraId="7C73B682" w14:textId="77777777" w:rsidR="00A54A8A" w:rsidRPr="00E67914" w:rsidRDefault="00000000">
            <w:pPr>
              <w:pStyle w:val="afffffe"/>
              <w:spacing w:line="240" w:lineRule="auto"/>
              <w:ind w:firstLineChars="0" w:firstLine="0"/>
              <w:jc w:val="center"/>
              <w:rPr>
                <w:sz w:val="21"/>
                <w:szCs w:val="16"/>
              </w:rPr>
            </w:pPr>
            <w:r w:rsidRPr="00E67914">
              <w:rPr>
                <w:sz w:val="21"/>
                <w:szCs w:val="16"/>
              </w:rPr>
              <w:t>宣汉县：三墩乡、土黄镇、樊哙镇、漆碑乡、华景镇、白马乡、庆云乡、马渡乡、隘口乡、清溪镇、老君乡、</w:t>
            </w:r>
            <w:r w:rsidRPr="00E67914">
              <w:rPr>
                <w:b/>
                <w:bCs/>
                <w:sz w:val="21"/>
                <w:szCs w:val="16"/>
              </w:rPr>
              <w:t>普光镇</w:t>
            </w:r>
            <w:r w:rsidRPr="00E67914">
              <w:rPr>
                <w:sz w:val="21"/>
                <w:szCs w:val="16"/>
              </w:rPr>
              <w:t>、峰城镇、凤林乡、五宝镇、天台乡、三河乡、君塘镇、明月乡、东乡镇、红岭乡、大成镇、柳池乡、东林乡、庙安乡、天宝乡、柏树镇、黄金镇、毛坝镇、胡家镇、花池乡、土主乡、南坪乡、观山乡（</w:t>
            </w:r>
            <w:r w:rsidRPr="00E67914">
              <w:rPr>
                <w:sz w:val="21"/>
                <w:szCs w:val="16"/>
              </w:rPr>
              <w:t>34</w:t>
            </w:r>
            <w:r w:rsidRPr="00E67914">
              <w:rPr>
                <w:sz w:val="21"/>
                <w:szCs w:val="16"/>
              </w:rPr>
              <w:t>）</w:t>
            </w:r>
          </w:p>
        </w:tc>
      </w:tr>
    </w:tbl>
    <w:p w14:paraId="5E52F1EA" w14:textId="04E23A3F" w:rsidR="00A54A8A" w:rsidRPr="00E67914" w:rsidRDefault="00000000">
      <w:pPr>
        <w:pStyle w:val="afffffe"/>
        <w:ind w:firstLine="480"/>
      </w:pPr>
      <w:r w:rsidRPr="00E67914">
        <w:t>本项目涉及水土流失</w:t>
      </w:r>
      <w:r w:rsidRPr="00E67914">
        <w:rPr>
          <w:bCs/>
          <w:kern w:val="2"/>
          <w:szCs w:val="24"/>
        </w:rPr>
        <w:t>重点预防区</w:t>
      </w:r>
      <w:r w:rsidR="008166A6" w:rsidRPr="00E67914">
        <w:rPr>
          <w:bCs/>
          <w:kern w:val="2"/>
          <w:szCs w:val="24"/>
        </w:rPr>
        <w:t>与重点治理区</w:t>
      </w:r>
      <w:r w:rsidRPr="00E67914">
        <w:t>，故应当编制环境影响报告书。</w:t>
      </w:r>
    </w:p>
    <w:p w14:paraId="353A9087" w14:textId="36E5D6C5"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中国石油化工股份有限公司中原油田普光分公司委托成都艺博环美环保科技有限公司承担本项目环境影响评价工作（见附件）。成都艺博环美环保科技有限公司接受委托后，成立项目组，并随即对该项目建设沿线及其周边的自然环境进行踏勘调查，并收集了与项目有关的建设及技术资料，根据建设项目环境影响评价导则、规范及要求，编制《</w:t>
      </w:r>
      <w:r w:rsidR="002662E3" w:rsidRPr="00E67914">
        <w:rPr>
          <w:rFonts w:ascii="Times New Roman" w:hAnsi="Times New Roman"/>
          <w:sz w:val="24"/>
          <w:lang w:eastAsia="zh-CN"/>
        </w:rPr>
        <w:t>普陆页</w:t>
      </w:r>
      <w:r w:rsidR="002662E3" w:rsidRPr="00E67914">
        <w:rPr>
          <w:rFonts w:ascii="Times New Roman" w:hAnsi="Times New Roman"/>
          <w:sz w:val="24"/>
          <w:lang w:eastAsia="zh-CN"/>
        </w:rPr>
        <w:t>2</w:t>
      </w:r>
      <w:r w:rsidR="002662E3" w:rsidRPr="00E67914">
        <w:rPr>
          <w:rFonts w:ascii="Times New Roman" w:hAnsi="Times New Roman"/>
          <w:sz w:val="24"/>
          <w:lang w:eastAsia="zh-CN"/>
        </w:rPr>
        <w:t>井台钻井及试采工程</w:t>
      </w:r>
      <w:r w:rsidRPr="00E67914">
        <w:rPr>
          <w:rFonts w:ascii="Times New Roman" w:hAnsi="Times New Roman"/>
          <w:sz w:val="24"/>
          <w:lang w:eastAsia="zh-CN"/>
        </w:rPr>
        <w:t>环境影响报告书》。</w:t>
      </w:r>
    </w:p>
    <w:p w14:paraId="22C75560" w14:textId="77777777" w:rsidR="00A54A8A" w:rsidRPr="00E67914" w:rsidRDefault="00000000">
      <w:pPr>
        <w:pStyle w:val="2"/>
        <w:ind w:firstLine="480"/>
        <w:rPr>
          <w:lang w:eastAsia="zh-CN"/>
        </w:rPr>
      </w:pPr>
      <w:bookmarkStart w:id="11" w:name="_Toc148654203"/>
      <w:bookmarkEnd w:id="7"/>
      <w:r w:rsidRPr="00E67914">
        <w:rPr>
          <w:lang w:eastAsia="zh-CN"/>
        </w:rPr>
        <w:t>1.2</w:t>
      </w:r>
      <w:r w:rsidRPr="00E67914">
        <w:rPr>
          <w:lang w:eastAsia="zh-CN"/>
        </w:rPr>
        <w:t>建设项目特点</w:t>
      </w:r>
      <w:bookmarkEnd w:id="11"/>
    </w:p>
    <w:p w14:paraId="5422FE8B"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本项目为天然气勘探井及天然气试采工程，具有如下特点：</w:t>
      </w:r>
    </w:p>
    <w:p w14:paraId="5A5CBF1A" w14:textId="67658EBD" w:rsidR="00724DA2" w:rsidRPr="00E67914" w:rsidRDefault="00724DA2">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）钻前工程主要为施工扬尘、施工噪声、建筑垃圾</w:t>
      </w:r>
      <w:r w:rsidR="0012657A" w:rsidRPr="00E67914">
        <w:rPr>
          <w:rFonts w:ascii="Times New Roman" w:hAnsi="Times New Roman"/>
          <w:bCs/>
          <w:kern w:val="2"/>
          <w:sz w:val="24"/>
          <w:szCs w:val="24"/>
          <w:lang w:eastAsia="zh-CN"/>
        </w:rPr>
        <w:t>、生态环境</w:t>
      </w:r>
      <w:r w:rsidRPr="00E67914">
        <w:rPr>
          <w:rFonts w:ascii="Times New Roman" w:hAnsi="Times New Roman"/>
          <w:bCs/>
          <w:kern w:val="2"/>
          <w:sz w:val="24"/>
          <w:szCs w:val="24"/>
          <w:lang w:eastAsia="zh-CN"/>
        </w:rPr>
        <w:t>等的环境影响。</w:t>
      </w:r>
    </w:p>
    <w:p w14:paraId="5E73EA0A" w14:textId="34514A95"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00724DA2"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）钻井期间主要为钻井废水</w:t>
      </w:r>
      <w:r w:rsidR="00724DA2" w:rsidRPr="00E67914">
        <w:rPr>
          <w:rFonts w:ascii="Times New Roman" w:hAnsi="Times New Roman"/>
          <w:bCs/>
          <w:kern w:val="2"/>
          <w:sz w:val="24"/>
          <w:szCs w:val="24"/>
          <w:lang w:eastAsia="zh-CN"/>
        </w:rPr>
        <w:t>、噪声</w:t>
      </w:r>
      <w:r w:rsidRPr="00E67914">
        <w:rPr>
          <w:rFonts w:ascii="Times New Roman" w:hAnsi="Times New Roman"/>
          <w:bCs/>
          <w:kern w:val="2"/>
          <w:sz w:val="24"/>
          <w:szCs w:val="24"/>
          <w:lang w:eastAsia="zh-CN"/>
        </w:rPr>
        <w:t>、固废的环境影响分析及</w:t>
      </w:r>
      <w:r w:rsidR="0012657A" w:rsidRPr="00E67914">
        <w:rPr>
          <w:rFonts w:ascii="Times New Roman" w:hAnsi="Times New Roman"/>
          <w:bCs/>
          <w:kern w:val="2"/>
          <w:sz w:val="24"/>
          <w:szCs w:val="24"/>
          <w:lang w:eastAsia="zh-CN"/>
        </w:rPr>
        <w:t>项目</w:t>
      </w:r>
      <w:r w:rsidRPr="00E67914">
        <w:rPr>
          <w:rFonts w:ascii="Times New Roman" w:hAnsi="Times New Roman"/>
          <w:bCs/>
          <w:kern w:val="2"/>
          <w:sz w:val="24"/>
          <w:szCs w:val="24"/>
          <w:lang w:eastAsia="zh-CN"/>
        </w:rPr>
        <w:t>占地生态影响。</w:t>
      </w:r>
    </w:p>
    <w:p w14:paraId="66F63899" w14:textId="79FD52B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00724DA2"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）天然气试采工程主要为</w:t>
      </w:r>
      <w:r w:rsidR="0012657A" w:rsidRPr="00E67914">
        <w:rPr>
          <w:rFonts w:ascii="Times New Roman" w:hAnsi="Times New Roman"/>
          <w:bCs/>
          <w:kern w:val="2"/>
          <w:sz w:val="24"/>
          <w:szCs w:val="24"/>
          <w:lang w:eastAsia="zh-CN"/>
        </w:rPr>
        <w:t>项目</w:t>
      </w:r>
      <w:r w:rsidRPr="00E67914">
        <w:rPr>
          <w:rFonts w:ascii="Times New Roman" w:hAnsi="Times New Roman"/>
          <w:bCs/>
          <w:kern w:val="2"/>
          <w:sz w:val="24"/>
          <w:szCs w:val="24"/>
          <w:lang w:eastAsia="zh-CN"/>
        </w:rPr>
        <w:t>占地生态影响。</w:t>
      </w:r>
    </w:p>
    <w:p w14:paraId="0EE62259" w14:textId="24BE7C79"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00724DA2"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）本项目输送介质为不含硫天然气，</w:t>
      </w:r>
      <w:r w:rsidR="00A53D29" w:rsidRPr="00E67914">
        <w:rPr>
          <w:rFonts w:ascii="Times New Roman" w:hAnsi="Times New Roman"/>
          <w:bCs/>
          <w:kern w:val="2"/>
          <w:sz w:val="24"/>
          <w:szCs w:val="24"/>
          <w:lang w:eastAsia="zh-CN"/>
        </w:rPr>
        <w:t>目的层气质组分中含凝析油，</w:t>
      </w:r>
      <w:r w:rsidR="0012657A" w:rsidRPr="00E67914">
        <w:rPr>
          <w:rFonts w:ascii="Times New Roman" w:hAnsi="Times New Roman"/>
          <w:bCs/>
          <w:kern w:val="2"/>
          <w:sz w:val="24"/>
          <w:szCs w:val="24"/>
          <w:lang w:eastAsia="zh-CN"/>
        </w:rPr>
        <w:t>施工</w:t>
      </w:r>
      <w:r w:rsidR="0012657A" w:rsidRPr="00E67914">
        <w:rPr>
          <w:rFonts w:ascii="Times New Roman" w:hAnsi="Times New Roman"/>
          <w:bCs/>
          <w:kern w:val="2"/>
          <w:sz w:val="24"/>
          <w:szCs w:val="24"/>
          <w:lang w:eastAsia="zh-CN"/>
        </w:rPr>
        <w:lastRenderedPageBreak/>
        <w:t>期与</w:t>
      </w:r>
      <w:r w:rsidR="00A53D29" w:rsidRPr="00E67914">
        <w:rPr>
          <w:rFonts w:ascii="Times New Roman" w:hAnsi="Times New Roman"/>
          <w:bCs/>
          <w:kern w:val="2"/>
          <w:sz w:val="24"/>
          <w:szCs w:val="24"/>
          <w:lang w:eastAsia="zh-CN"/>
        </w:rPr>
        <w:t>试采期需考虑环境风险影响。</w:t>
      </w:r>
    </w:p>
    <w:p w14:paraId="2DC05EDD" w14:textId="77777777" w:rsidR="00A54A8A" w:rsidRPr="00E67914" w:rsidRDefault="00000000">
      <w:pPr>
        <w:pStyle w:val="2"/>
        <w:ind w:firstLine="480"/>
        <w:rPr>
          <w:szCs w:val="24"/>
          <w:lang w:eastAsia="zh-CN"/>
        </w:rPr>
      </w:pPr>
      <w:bookmarkStart w:id="12" w:name="_Toc148654204"/>
      <w:r w:rsidRPr="00E67914">
        <w:rPr>
          <w:lang w:eastAsia="zh-CN"/>
        </w:rPr>
        <w:t>1.3</w:t>
      </w:r>
      <w:r w:rsidRPr="00E67914">
        <w:rPr>
          <w:lang w:eastAsia="zh-CN"/>
        </w:rPr>
        <w:t>环境影响评价的工作过程</w:t>
      </w:r>
      <w:bookmarkEnd w:id="12"/>
    </w:p>
    <w:p w14:paraId="4804166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主要评价工作过程如下：</w:t>
      </w:r>
    </w:p>
    <w:p w14:paraId="5FDC709E"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）研究国家和地方有关环境保护的法律法规、政策、标准及相关规划等，依据相关规定确定本项目环境影响评价文件类型；</w:t>
      </w:r>
    </w:p>
    <w:p w14:paraId="26D93943"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）收集和研究项目相关技术文件和其他相关文件，进行初步工程分析，明确本项目的工程组成，根据工程特点确定产排污环节和主要污染物；</w:t>
      </w:r>
    </w:p>
    <w:p w14:paraId="76768D56"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）结合初步工程分析结果和环境现状资料，识别建设项目的环境影响因素，筛选主要的环境影响评价因子，明确评价重点，确定评价工作等级、评价范围及评价标准；</w:t>
      </w:r>
    </w:p>
    <w:p w14:paraId="3D191FD1"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14:paraId="07E66D45"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）在对建设项目实施后可能造成的环境影响进行分析、预测的基础上，提出预防或者减轻不良环境影响的对策和措施，从环境保护的角度提出项目建设的可行性结论，完成环境影响报告书编制。</w:t>
      </w:r>
    </w:p>
    <w:p w14:paraId="2DFAA977"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本项目环境影响评价过程见下图：</w:t>
      </w:r>
    </w:p>
    <w:p w14:paraId="0443F2F5" w14:textId="77777777" w:rsidR="00A54A8A" w:rsidRPr="00E67914" w:rsidRDefault="00000000">
      <w:pPr>
        <w:widowControl w:val="0"/>
        <w:tabs>
          <w:tab w:val="left" w:pos="0"/>
        </w:tabs>
        <w:adjustRightInd w:val="0"/>
        <w:snapToGrid w:val="0"/>
        <w:spacing w:line="360" w:lineRule="auto"/>
        <w:jc w:val="center"/>
        <w:rPr>
          <w:rFonts w:ascii="Times New Roman" w:hAnsi="Times New Roman"/>
          <w:sz w:val="21"/>
          <w:szCs w:val="21"/>
          <w:lang w:eastAsia="zh-CN"/>
        </w:rPr>
      </w:pPr>
      <w:r w:rsidRPr="00E67914">
        <w:rPr>
          <w:rFonts w:ascii="Times New Roman" w:hAnsi="Times New Roman"/>
          <w:noProof/>
          <w:position w:val="-161"/>
          <w:sz w:val="21"/>
          <w:szCs w:val="21"/>
          <w:lang w:eastAsia="zh-CN"/>
        </w:rPr>
        <w:lastRenderedPageBreak/>
        <w:drawing>
          <wp:inline distT="0" distB="0" distL="0" distR="0" wp14:anchorId="5C34D65E" wp14:editId="7210C98F">
            <wp:extent cx="4978400" cy="4747260"/>
            <wp:effectExtent l="0" t="0" r="0" b="0"/>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987720" cy="4756349"/>
                    </a:xfrm>
                    <a:prstGeom prst="rect">
                      <a:avLst/>
                    </a:prstGeom>
                    <a:noFill/>
                    <a:ln>
                      <a:noFill/>
                    </a:ln>
                  </pic:spPr>
                </pic:pic>
              </a:graphicData>
            </a:graphic>
          </wp:inline>
        </w:drawing>
      </w:r>
    </w:p>
    <w:p w14:paraId="3DCC4160"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1.1-1    </w:t>
      </w:r>
      <w:r w:rsidRPr="00E67914">
        <w:rPr>
          <w:rFonts w:ascii="Times New Roman" w:eastAsia="黑体" w:hAnsi="Times New Roman"/>
          <w:sz w:val="21"/>
          <w:szCs w:val="21"/>
          <w:lang w:eastAsia="zh-CN"/>
        </w:rPr>
        <w:t>环境影响评价程序</w:t>
      </w:r>
    </w:p>
    <w:p w14:paraId="5FF4C555" w14:textId="77777777" w:rsidR="00A54A8A" w:rsidRPr="00E67914" w:rsidRDefault="00000000">
      <w:pPr>
        <w:pStyle w:val="2"/>
        <w:ind w:firstLine="480"/>
        <w:rPr>
          <w:szCs w:val="24"/>
          <w:lang w:eastAsia="zh-CN"/>
        </w:rPr>
      </w:pPr>
      <w:bookmarkStart w:id="13" w:name="_Toc148654205"/>
      <w:r w:rsidRPr="00E67914">
        <w:rPr>
          <w:szCs w:val="24"/>
          <w:lang w:eastAsia="zh-CN"/>
        </w:rPr>
        <w:t>1.4</w:t>
      </w:r>
      <w:r w:rsidRPr="00E67914">
        <w:rPr>
          <w:szCs w:val="24"/>
          <w:lang w:eastAsia="zh-CN"/>
        </w:rPr>
        <w:t>分析判定相关情况</w:t>
      </w:r>
      <w:bookmarkEnd w:id="13"/>
    </w:p>
    <w:p w14:paraId="4C433654" w14:textId="77777777" w:rsidR="00A54A8A" w:rsidRPr="00E67914" w:rsidRDefault="00000000">
      <w:pPr>
        <w:widowControl w:val="0"/>
        <w:tabs>
          <w:tab w:val="left" w:pos="0"/>
        </w:tabs>
        <w:kinsoku w:val="0"/>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本项目符合《产业结构调整指导目录（</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年本）》与《国家发展改革委关于修改</w:t>
      </w:r>
      <w:r w:rsidRPr="00E67914">
        <w:rPr>
          <w:rFonts w:ascii="Times New Roman" w:hAnsi="Times New Roman"/>
          <w:bCs/>
          <w:kern w:val="2"/>
          <w:sz w:val="24"/>
          <w:szCs w:val="24"/>
          <w:lang w:eastAsia="zh-CN"/>
        </w:rPr>
        <w:t>&lt;</w:t>
      </w:r>
      <w:r w:rsidRPr="00E67914">
        <w:rPr>
          <w:rFonts w:ascii="Times New Roman" w:hAnsi="Times New Roman"/>
          <w:bCs/>
          <w:kern w:val="2"/>
          <w:sz w:val="24"/>
          <w:szCs w:val="24"/>
          <w:lang w:eastAsia="zh-CN"/>
        </w:rPr>
        <w:t>产业结构调整指导目录（</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年本）</w:t>
      </w:r>
      <w:r w:rsidRPr="00E67914">
        <w:rPr>
          <w:rFonts w:ascii="Times New Roman" w:hAnsi="Times New Roman"/>
          <w:bCs/>
          <w:kern w:val="2"/>
          <w:sz w:val="24"/>
          <w:szCs w:val="24"/>
          <w:lang w:eastAsia="zh-CN"/>
        </w:rPr>
        <w:t>&gt;</w:t>
      </w:r>
      <w:r w:rsidRPr="00E67914">
        <w:rPr>
          <w:rFonts w:ascii="Times New Roman" w:hAnsi="Times New Roman"/>
          <w:bCs/>
          <w:kern w:val="2"/>
          <w:sz w:val="24"/>
          <w:szCs w:val="24"/>
          <w:lang w:eastAsia="zh-CN"/>
        </w:rPr>
        <w:t>的决定》（</w:t>
      </w:r>
      <w:r w:rsidRPr="00E67914">
        <w:rPr>
          <w:rFonts w:ascii="Times New Roman" w:hAnsi="Times New Roman"/>
          <w:bCs/>
          <w:kern w:val="2"/>
          <w:sz w:val="24"/>
          <w:szCs w:val="24"/>
          <w:lang w:eastAsia="zh-CN"/>
        </w:rPr>
        <w:t>2021</w:t>
      </w:r>
      <w:r w:rsidRPr="00E67914">
        <w:rPr>
          <w:rFonts w:ascii="Times New Roman" w:hAnsi="Times New Roman"/>
          <w:bCs/>
          <w:kern w:val="2"/>
          <w:sz w:val="24"/>
          <w:szCs w:val="24"/>
          <w:lang w:eastAsia="zh-CN"/>
        </w:rPr>
        <w:t>年修订）及相关环保政策要求。</w:t>
      </w:r>
    </w:p>
    <w:p w14:paraId="4988164C" w14:textId="0AD7EB96" w:rsidR="00A54A8A" w:rsidRPr="00E67914" w:rsidRDefault="00000000">
      <w:pPr>
        <w:widowControl w:val="0"/>
        <w:tabs>
          <w:tab w:val="left" w:pos="0"/>
        </w:tabs>
        <w:kinsoku w:val="0"/>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本项目未位于四川省达州市划定的生态保护红线区域内，与</w:t>
      </w:r>
      <w:r w:rsidR="0012657A" w:rsidRPr="00E67914">
        <w:rPr>
          <w:rFonts w:ascii="Times New Roman" w:hAnsi="Times New Roman"/>
          <w:bCs/>
          <w:kern w:val="2"/>
          <w:sz w:val="24"/>
          <w:szCs w:val="24"/>
          <w:lang w:eastAsia="zh-CN"/>
        </w:rPr>
        <w:t>达州市</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三线一单</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不冲突；</w:t>
      </w:r>
      <w:r w:rsidR="00724DA2" w:rsidRPr="00E67914">
        <w:rPr>
          <w:rFonts w:ascii="Times New Roman" w:hAnsi="Times New Roman"/>
          <w:bCs/>
          <w:kern w:val="2"/>
          <w:sz w:val="24"/>
          <w:szCs w:val="24"/>
          <w:lang w:eastAsia="zh-CN"/>
        </w:rPr>
        <w:t>项目占地及评价范围内不涉及</w:t>
      </w:r>
      <w:r w:rsidRPr="00E67914">
        <w:rPr>
          <w:rFonts w:ascii="Times New Roman" w:hAnsi="Times New Roman"/>
          <w:bCs/>
          <w:kern w:val="2"/>
          <w:sz w:val="24"/>
          <w:szCs w:val="24"/>
          <w:lang w:eastAsia="zh-CN"/>
        </w:rPr>
        <w:t>自然保护区、森林公园、风景名胜区等生态敏感区范围内，</w:t>
      </w:r>
      <w:r w:rsidR="003B724C" w:rsidRPr="00E67914">
        <w:rPr>
          <w:rFonts w:ascii="Times New Roman" w:hAnsi="Times New Roman"/>
          <w:bCs/>
          <w:kern w:val="2"/>
          <w:sz w:val="24"/>
          <w:szCs w:val="24"/>
          <w:lang w:eastAsia="zh-CN"/>
        </w:rPr>
        <w:t>本项目占地及评价范围内均不涉及</w:t>
      </w:r>
      <w:r w:rsidRPr="00E67914">
        <w:rPr>
          <w:rFonts w:ascii="Times New Roman" w:hAnsi="Times New Roman"/>
          <w:bCs/>
          <w:kern w:val="2"/>
          <w:sz w:val="24"/>
          <w:szCs w:val="24"/>
          <w:lang w:eastAsia="zh-CN"/>
        </w:rPr>
        <w:t>集中式饮用水源保护区。</w:t>
      </w:r>
    </w:p>
    <w:p w14:paraId="2A4DD9BC" w14:textId="77777777" w:rsidR="00A54A8A" w:rsidRPr="00E67914" w:rsidRDefault="00000000">
      <w:pPr>
        <w:pStyle w:val="2"/>
        <w:ind w:firstLine="480"/>
        <w:rPr>
          <w:szCs w:val="24"/>
          <w:lang w:eastAsia="zh-CN"/>
        </w:rPr>
      </w:pPr>
      <w:bookmarkStart w:id="14" w:name="_Toc148654206"/>
      <w:r w:rsidRPr="00E67914">
        <w:rPr>
          <w:szCs w:val="24"/>
          <w:lang w:eastAsia="zh-CN"/>
        </w:rPr>
        <w:t>1.5</w:t>
      </w:r>
      <w:r w:rsidRPr="00E67914">
        <w:rPr>
          <w:szCs w:val="24"/>
          <w:lang w:eastAsia="zh-CN"/>
        </w:rPr>
        <w:t>关注的主要环境问题</w:t>
      </w:r>
      <w:bookmarkEnd w:id="14"/>
    </w:p>
    <w:p w14:paraId="07A6D0E0" w14:textId="67B4D981" w:rsidR="00A54A8A" w:rsidRPr="00E67914" w:rsidRDefault="00000000">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）废气：施工期主要是扬尘、</w:t>
      </w:r>
      <w:r w:rsidR="003B724C" w:rsidRPr="00E67914">
        <w:rPr>
          <w:rFonts w:ascii="Times New Roman" w:hAnsi="Times New Roman"/>
          <w:bCs/>
          <w:kern w:val="2"/>
          <w:sz w:val="24"/>
          <w:szCs w:val="24"/>
          <w:lang w:eastAsia="zh-CN"/>
        </w:rPr>
        <w:t>车辆及</w:t>
      </w:r>
      <w:r w:rsidRPr="00E67914">
        <w:rPr>
          <w:rFonts w:ascii="Times New Roman" w:hAnsi="Times New Roman"/>
          <w:bCs/>
          <w:kern w:val="2"/>
          <w:sz w:val="24"/>
          <w:szCs w:val="24"/>
          <w:lang w:eastAsia="zh-CN"/>
        </w:rPr>
        <w:t>部分机械设备运行产生的废气（主要污染物</w:t>
      </w:r>
      <w:r w:rsidRPr="00E67914">
        <w:rPr>
          <w:rFonts w:ascii="Times New Roman" w:hAnsi="Times New Roman"/>
          <w:bCs/>
          <w:kern w:val="2"/>
          <w:sz w:val="24"/>
          <w:szCs w:val="24"/>
          <w:lang w:eastAsia="zh-CN"/>
        </w:rPr>
        <w:t>NO</w:t>
      </w:r>
      <w:r w:rsidRPr="00E67914">
        <w:rPr>
          <w:rFonts w:ascii="Times New Roman" w:hAnsi="Times New Roman"/>
          <w:bCs/>
          <w:kern w:val="2"/>
          <w:sz w:val="24"/>
          <w:szCs w:val="24"/>
          <w:vertAlign w:val="subscript"/>
          <w:lang w:eastAsia="zh-CN"/>
        </w:rPr>
        <w:t>x</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CO</w:t>
      </w:r>
      <w:r w:rsidRPr="00E67914">
        <w:rPr>
          <w:rFonts w:ascii="Times New Roman" w:hAnsi="Times New Roman"/>
          <w:bCs/>
          <w:kern w:val="2"/>
          <w:sz w:val="24"/>
          <w:szCs w:val="24"/>
          <w:lang w:eastAsia="zh-CN"/>
        </w:rPr>
        <w:t>）等；试采期主要为</w:t>
      </w:r>
      <w:r w:rsidR="00C24829" w:rsidRPr="00E67914">
        <w:rPr>
          <w:rFonts w:ascii="Times New Roman" w:hAnsi="Times New Roman"/>
          <w:bCs/>
          <w:kern w:val="2"/>
          <w:sz w:val="24"/>
          <w:szCs w:val="24"/>
          <w:lang w:eastAsia="zh-CN"/>
        </w:rPr>
        <w:t>水套加热炉燃烧废气</w:t>
      </w:r>
      <w:r w:rsidR="00DA04FC" w:rsidRPr="00E67914">
        <w:rPr>
          <w:rFonts w:ascii="Times New Roman" w:hAnsi="Times New Roman"/>
          <w:bCs/>
          <w:kern w:val="2"/>
          <w:sz w:val="24"/>
          <w:szCs w:val="24"/>
          <w:lang w:eastAsia="zh-CN"/>
        </w:rPr>
        <w:t>、</w:t>
      </w:r>
      <w:r w:rsidR="000435F3" w:rsidRPr="00E67914">
        <w:rPr>
          <w:rFonts w:ascii="Times New Roman" w:hAnsi="Times New Roman"/>
          <w:bCs/>
          <w:sz w:val="24"/>
          <w:lang w:eastAsia="zh-CN"/>
        </w:rPr>
        <w:t>油罐挥发气体、凝析油装车挥发气体</w:t>
      </w:r>
      <w:r w:rsidR="001729B7" w:rsidRPr="00E67914">
        <w:rPr>
          <w:rFonts w:ascii="Times New Roman" w:hAnsi="Times New Roman"/>
          <w:bCs/>
          <w:kern w:val="2"/>
          <w:sz w:val="24"/>
          <w:szCs w:val="24"/>
          <w:lang w:eastAsia="zh-CN"/>
        </w:rPr>
        <w:t>、</w:t>
      </w:r>
      <w:r w:rsidR="00A9536E" w:rsidRPr="00E67914">
        <w:rPr>
          <w:rFonts w:ascii="Times New Roman" w:hAnsi="Times New Roman"/>
          <w:sz w:val="24"/>
          <w:lang w:eastAsia="zh-CN"/>
        </w:rPr>
        <w:t>火炬长明灯废气</w:t>
      </w:r>
      <w:r w:rsidRPr="00E67914">
        <w:rPr>
          <w:rFonts w:ascii="Times New Roman" w:hAnsi="Times New Roman"/>
          <w:bCs/>
          <w:kern w:val="2"/>
          <w:sz w:val="24"/>
          <w:szCs w:val="24"/>
          <w:lang w:eastAsia="zh-CN"/>
        </w:rPr>
        <w:t>、</w:t>
      </w:r>
      <w:r w:rsidR="001729B7" w:rsidRPr="00E67914">
        <w:rPr>
          <w:rFonts w:ascii="Times New Roman" w:hAnsi="Times New Roman"/>
          <w:bCs/>
          <w:kern w:val="2"/>
          <w:sz w:val="24"/>
          <w:szCs w:val="24"/>
          <w:lang w:eastAsia="zh-CN"/>
        </w:rPr>
        <w:t>非正常工况放空废气</w:t>
      </w:r>
      <w:r w:rsidRPr="00E67914">
        <w:rPr>
          <w:rFonts w:ascii="Times New Roman" w:hAnsi="Times New Roman"/>
          <w:bCs/>
          <w:kern w:val="2"/>
          <w:sz w:val="24"/>
          <w:szCs w:val="24"/>
          <w:lang w:eastAsia="zh-CN"/>
        </w:rPr>
        <w:t>。环评中注重施工期废气的环境影响分析和试采期废气的达标排放及影响分析</w:t>
      </w:r>
      <w:r w:rsidR="00DF17A4" w:rsidRPr="00E67914">
        <w:rPr>
          <w:rFonts w:ascii="Times New Roman" w:hAnsi="Times New Roman"/>
          <w:bCs/>
          <w:kern w:val="2"/>
          <w:sz w:val="24"/>
          <w:szCs w:val="24"/>
          <w:lang w:eastAsia="zh-CN"/>
        </w:rPr>
        <w:t>。</w:t>
      </w:r>
    </w:p>
    <w:p w14:paraId="55A4EF81" w14:textId="54C3431F" w:rsidR="00A54A8A" w:rsidRPr="00E67914" w:rsidRDefault="00000000">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）废水：施工期主要是钻井废水、洗井废水、压裂返排液</w:t>
      </w:r>
      <w:r w:rsidR="00724DA2" w:rsidRPr="00E67914">
        <w:rPr>
          <w:rFonts w:ascii="Times New Roman" w:hAnsi="Times New Roman"/>
          <w:bCs/>
          <w:kern w:val="2"/>
          <w:sz w:val="24"/>
          <w:szCs w:val="24"/>
          <w:lang w:eastAsia="zh-CN"/>
        </w:rPr>
        <w:t>、场地雨水</w:t>
      </w:r>
      <w:r w:rsidRPr="00E67914">
        <w:rPr>
          <w:rFonts w:ascii="Times New Roman" w:hAnsi="Times New Roman"/>
          <w:bCs/>
          <w:kern w:val="2"/>
          <w:sz w:val="24"/>
          <w:szCs w:val="24"/>
          <w:lang w:eastAsia="zh-CN"/>
        </w:rPr>
        <w:t>以及施工人员生活污水；试采期主要为分离器产生的气田水。环评中注重施工期废水处理的可行性和可靠性论证，试采期气田水依托处置可行性分析。</w:t>
      </w:r>
    </w:p>
    <w:p w14:paraId="11D2BA3A" w14:textId="2FAE913F" w:rsidR="00A54A8A" w:rsidRPr="00E67914" w:rsidRDefault="00000000">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）噪声：施工期为</w:t>
      </w:r>
      <w:r w:rsidR="003B724C" w:rsidRPr="00E67914">
        <w:rPr>
          <w:rFonts w:ascii="Times New Roman" w:hAnsi="Times New Roman"/>
          <w:bCs/>
          <w:kern w:val="2"/>
          <w:sz w:val="24"/>
          <w:szCs w:val="24"/>
          <w:lang w:eastAsia="zh-CN"/>
        </w:rPr>
        <w:t>车辆及</w:t>
      </w:r>
      <w:r w:rsidRPr="00E67914">
        <w:rPr>
          <w:rFonts w:ascii="Times New Roman" w:hAnsi="Times New Roman"/>
          <w:bCs/>
          <w:kern w:val="2"/>
          <w:sz w:val="24"/>
          <w:szCs w:val="24"/>
          <w:lang w:eastAsia="zh-CN"/>
        </w:rPr>
        <w:t>各类机械设备产生的噪声；试采期主要为试采站节流阀、各生产设备等因节流或流速改变造成部件的机械振动而产生的一定噪声以及放空噪声。环评中注重施工期和试采期噪声控制措施的可行性论证。</w:t>
      </w:r>
    </w:p>
    <w:p w14:paraId="5C3F0980" w14:textId="42A8791C" w:rsidR="00A54A8A" w:rsidRPr="00E67914" w:rsidRDefault="00000000">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）固体废物：施工期主要是废弃土石方、生活垃圾、水基钻井固废</w:t>
      </w:r>
      <w:r w:rsidR="00067E4D"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油基钻井固废、废油等</w:t>
      </w:r>
      <w:r w:rsidR="00314DA1" w:rsidRPr="00E67914">
        <w:rPr>
          <w:rFonts w:ascii="Times New Roman" w:hAnsi="Times New Roman"/>
          <w:bCs/>
          <w:kern w:val="2"/>
          <w:sz w:val="24"/>
          <w:szCs w:val="24"/>
          <w:lang w:eastAsia="zh-CN"/>
        </w:rPr>
        <w:t>，试采</w:t>
      </w:r>
      <w:r w:rsidR="00314DA1" w:rsidRPr="00E67914">
        <w:rPr>
          <w:rFonts w:ascii="Times New Roman" w:hAnsi="Times New Roman"/>
          <w:bCs/>
          <w:sz w:val="24"/>
          <w:lang w:eastAsia="zh-CN"/>
        </w:rPr>
        <w:t>结束后对油罐进行清罐会产生清罐油泥</w:t>
      </w:r>
      <w:r w:rsidRPr="00E67914">
        <w:rPr>
          <w:rFonts w:ascii="Times New Roman" w:hAnsi="Times New Roman"/>
          <w:bCs/>
          <w:kern w:val="2"/>
          <w:sz w:val="24"/>
          <w:szCs w:val="24"/>
          <w:lang w:eastAsia="zh-CN"/>
        </w:rPr>
        <w:t>。环评中注重施工期</w:t>
      </w:r>
      <w:r w:rsidR="00314DA1" w:rsidRPr="00E67914">
        <w:rPr>
          <w:rFonts w:ascii="Times New Roman" w:hAnsi="Times New Roman"/>
          <w:bCs/>
          <w:kern w:val="2"/>
          <w:sz w:val="24"/>
          <w:szCs w:val="24"/>
          <w:lang w:eastAsia="zh-CN"/>
        </w:rPr>
        <w:t>和试采期</w:t>
      </w:r>
      <w:r w:rsidRPr="00E67914">
        <w:rPr>
          <w:rFonts w:ascii="Times New Roman" w:hAnsi="Times New Roman"/>
          <w:bCs/>
          <w:kern w:val="2"/>
          <w:sz w:val="24"/>
          <w:szCs w:val="24"/>
          <w:lang w:eastAsia="zh-CN"/>
        </w:rPr>
        <w:t>固体废物处理的可行性进行论证。</w:t>
      </w:r>
    </w:p>
    <w:p w14:paraId="795C69CF" w14:textId="77777777" w:rsidR="00A54A8A" w:rsidRPr="00E67914" w:rsidRDefault="00000000">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生态环境：施工期生态环境影响主要来自站场及外输管线施工过程中开挖管沟、施工机械和人员的践踏等活动，以及工程临时占地、施工产生的固体废物等对土壤、生态环境的影响；试采期主要为生态恢复。环评中注意对生态环境保护措施进行论证。</w:t>
      </w:r>
    </w:p>
    <w:p w14:paraId="69542322" w14:textId="5706F660" w:rsidR="00A54A8A" w:rsidRPr="00E67914" w:rsidRDefault="00000000">
      <w:pPr>
        <w:widowControl w:val="0"/>
        <w:tabs>
          <w:tab w:val="left" w:pos="0"/>
        </w:tabs>
        <w:overflowPunct w:val="0"/>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）环境风险：主要为站内</w:t>
      </w:r>
      <w:r w:rsidR="003B724C" w:rsidRPr="00E67914">
        <w:rPr>
          <w:rFonts w:ascii="Times New Roman" w:hAnsi="Times New Roman"/>
          <w:bCs/>
          <w:kern w:val="2"/>
          <w:sz w:val="24"/>
          <w:szCs w:val="24"/>
          <w:lang w:eastAsia="zh-CN"/>
        </w:rPr>
        <w:t>外</w:t>
      </w:r>
      <w:r w:rsidRPr="00E67914">
        <w:rPr>
          <w:rFonts w:ascii="Times New Roman" w:hAnsi="Times New Roman"/>
          <w:bCs/>
          <w:kern w:val="2"/>
          <w:sz w:val="24"/>
          <w:szCs w:val="24"/>
          <w:lang w:eastAsia="zh-CN"/>
        </w:rPr>
        <w:t>输气管道、设备等受影响而产生泄漏风险以及井喷事故的环境风险。</w:t>
      </w:r>
    </w:p>
    <w:p w14:paraId="5BD4AFC8" w14:textId="77777777" w:rsidR="00A54A8A" w:rsidRPr="00E67914" w:rsidRDefault="00000000">
      <w:pPr>
        <w:pStyle w:val="2"/>
        <w:ind w:firstLine="480"/>
        <w:rPr>
          <w:szCs w:val="24"/>
          <w:lang w:eastAsia="zh-CN"/>
        </w:rPr>
      </w:pPr>
      <w:bookmarkStart w:id="15" w:name="_Toc148654207"/>
      <w:r w:rsidRPr="00E67914">
        <w:rPr>
          <w:szCs w:val="24"/>
          <w:lang w:eastAsia="zh-CN"/>
        </w:rPr>
        <w:t>1.6</w:t>
      </w:r>
      <w:r w:rsidRPr="00E67914">
        <w:rPr>
          <w:szCs w:val="24"/>
          <w:lang w:eastAsia="zh-CN"/>
        </w:rPr>
        <w:t>环境影响评价的主要结论</w:t>
      </w:r>
      <w:bookmarkEnd w:id="15"/>
    </w:p>
    <w:p w14:paraId="09688318" w14:textId="382738F2"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本项目符合国家产业政策，与当地规划相容，符合石油天然气发展规划；所在区域环境空气质量现状较好；</w:t>
      </w:r>
      <w:r w:rsidR="00724DA2" w:rsidRPr="00E67914">
        <w:rPr>
          <w:rFonts w:ascii="Times New Roman" w:hAnsi="Times New Roman"/>
          <w:bCs/>
          <w:kern w:val="2"/>
          <w:sz w:val="24"/>
          <w:szCs w:val="24"/>
          <w:lang w:eastAsia="zh-CN"/>
        </w:rPr>
        <w:t>项目</w:t>
      </w:r>
      <w:r w:rsidRPr="00E67914">
        <w:rPr>
          <w:rFonts w:ascii="Times New Roman" w:hAnsi="Times New Roman"/>
          <w:bCs/>
          <w:kern w:val="2"/>
          <w:sz w:val="24"/>
          <w:szCs w:val="24"/>
          <w:lang w:eastAsia="zh-CN"/>
        </w:rPr>
        <w:t>建设期间对生态环境、地表水、地下水、大气、土壤、声环境影响小，不改变区域的环境功能；该项目达到清洁生产国内先进水平，采用的环保措施可行，社会、经济效益十分显著；建设项目环境可行，选址合理；该工程采取的环境风险措施可靠，在落实风险防范措施及应急预案后，环境风险达到可接受水平；所采取的废水、固体废物和噪声防治措施以及水土保持措施可行有效，在建设过程认真落实报告提出的各项污染防治措施后，对周围环境不会造成污染影响。从环境角度而言，无明显制约项目建设的环境因素，本项目</w:t>
      </w:r>
      <w:r w:rsidR="00267B16" w:rsidRPr="00E67914">
        <w:rPr>
          <w:rFonts w:ascii="Times New Roman" w:hAnsi="Times New Roman"/>
          <w:bCs/>
          <w:kern w:val="2"/>
          <w:sz w:val="24"/>
          <w:szCs w:val="24"/>
          <w:lang w:eastAsia="zh-CN"/>
        </w:rPr>
        <w:t>选址选线</w:t>
      </w:r>
      <w:r w:rsidRPr="00E67914">
        <w:rPr>
          <w:rFonts w:ascii="Times New Roman" w:hAnsi="Times New Roman"/>
          <w:bCs/>
          <w:kern w:val="2"/>
          <w:sz w:val="24"/>
          <w:szCs w:val="24"/>
          <w:lang w:eastAsia="zh-CN"/>
        </w:rPr>
        <w:t>是可行的。</w:t>
      </w:r>
    </w:p>
    <w:p w14:paraId="46EF2F2C" w14:textId="19D6DA43"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综上，项目建设无明显制约的环境因素，建设过程中认真落实报告提出的各项污染防治、生态保护措施和应急预案后，从环境保护角度而言，本项目</w:t>
      </w:r>
      <w:r w:rsidR="00267B16" w:rsidRPr="00E67914">
        <w:rPr>
          <w:rFonts w:ascii="Times New Roman" w:hAnsi="Times New Roman"/>
          <w:bCs/>
          <w:kern w:val="2"/>
          <w:sz w:val="24"/>
          <w:szCs w:val="24"/>
          <w:lang w:eastAsia="zh-CN"/>
        </w:rPr>
        <w:t>选址选线</w:t>
      </w:r>
      <w:r w:rsidRPr="00E67914">
        <w:rPr>
          <w:rFonts w:ascii="Times New Roman" w:hAnsi="Times New Roman"/>
          <w:bCs/>
          <w:kern w:val="2"/>
          <w:sz w:val="24"/>
          <w:szCs w:val="24"/>
          <w:lang w:eastAsia="zh-CN"/>
        </w:rPr>
        <w:t>是可行的。</w:t>
      </w:r>
    </w:p>
    <w:p w14:paraId="3E828273" w14:textId="77777777" w:rsidR="00A54A8A" w:rsidRPr="00E67914" w:rsidRDefault="00A54A8A">
      <w:pPr>
        <w:adjustRightInd w:val="0"/>
        <w:snapToGrid w:val="0"/>
        <w:spacing w:line="360" w:lineRule="auto"/>
        <w:ind w:firstLineChars="200" w:firstLine="440"/>
        <w:rPr>
          <w:rFonts w:ascii="Times New Roman" w:hAnsi="Times New Roman"/>
          <w:lang w:eastAsia="zh-CN"/>
        </w:rPr>
        <w:sectPr w:rsidR="00A54A8A" w:rsidRPr="00E67914" w:rsidSect="008752B7">
          <w:headerReference w:type="default" r:id="rId13"/>
          <w:footerReference w:type="default" r:id="rId14"/>
          <w:type w:val="nextColumn"/>
          <w:pgSz w:w="11910" w:h="16840"/>
          <w:pgMar w:top="1440" w:right="1800" w:bottom="1440" w:left="1800" w:header="877" w:footer="1007" w:gutter="0"/>
          <w:pgNumType w:start="1"/>
          <w:cols w:space="720"/>
        </w:sectPr>
      </w:pPr>
    </w:p>
    <w:p w14:paraId="2FD35370" w14:textId="77777777" w:rsidR="00A54A8A" w:rsidRPr="00E67914" w:rsidRDefault="00000000">
      <w:pPr>
        <w:pStyle w:val="1"/>
        <w:adjustRightInd w:val="0"/>
        <w:snapToGrid w:val="0"/>
        <w:spacing w:beforeLines="200" w:before="624" w:after="0" w:line="480" w:lineRule="auto"/>
        <w:jc w:val="center"/>
        <w:rPr>
          <w:rFonts w:ascii="Times New Roman" w:eastAsia="黑体" w:hAnsi="Times New Roman"/>
          <w:b w:val="0"/>
          <w:sz w:val="28"/>
          <w:szCs w:val="28"/>
          <w:lang w:eastAsia="zh-CN"/>
        </w:rPr>
      </w:pPr>
      <w:bookmarkStart w:id="16" w:name="_Toc148654208"/>
      <w:r w:rsidRPr="00E67914">
        <w:rPr>
          <w:rFonts w:ascii="Times New Roman" w:eastAsia="黑体" w:hAnsi="Times New Roman"/>
          <w:b w:val="0"/>
          <w:sz w:val="28"/>
          <w:szCs w:val="28"/>
          <w:lang w:eastAsia="zh-CN"/>
        </w:rPr>
        <w:lastRenderedPageBreak/>
        <w:t>2</w:t>
      </w:r>
      <w:r w:rsidRPr="00E67914">
        <w:rPr>
          <w:rFonts w:ascii="Times New Roman" w:eastAsia="黑体" w:hAnsi="Times New Roman"/>
          <w:b w:val="0"/>
          <w:sz w:val="28"/>
          <w:szCs w:val="28"/>
          <w:lang w:eastAsia="zh-CN"/>
        </w:rPr>
        <w:t>总则</w:t>
      </w:r>
      <w:bookmarkEnd w:id="16"/>
    </w:p>
    <w:p w14:paraId="596ECE5A" w14:textId="77777777" w:rsidR="00A54A8A" w:rsidRPr="00E67914" w:rsidRDefault="00000000">
      <w:pPr>
        <w:pStyle w:val="2"/>
        <w:ind w:firstLine="480"/>
        <w:rPr>
          <w:szCs w:val="24"/>
          <w:lang w:eastAsia="zh-CN"/>
        </w:rPr>
      </w:pPr>
      <w:bookmarkStart w:id="17" w:name="_Toc148654209"/>
      <w:r w:rsidRPr="00E67914">
        <w:rPr>
          <w:szCs w:val="24"/>
          <w:lang w:eastAsia="zh-CN"/>
        </w:rPr>
        <w:t>2.1</w:t>
      </w:r>
      <w:r w:rsidRPr="00E67914">
        <w:rPr>
          <w:szCs w:val="24"/>
          <w:lang w:eastAsia="zh-CN"/>
        </w:rPr>
        <w:t>评价目的</w:t>
      </w:r>
      <w:bookmarkEnd w:id="17"/>
    </w:p>
    <w:p w14:paraId="0AEF340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通过对区域现状环境质量、自然生态等的调查，在现状调查和工程分析的基础上，对项目及区域的主要环境影响因子进行分析、预测、评价，确定项目对区域生态、水、声等环境影响的程度及范围，分析可能存在的环境风险。同时，从环保角度提出工程拟采取的污染治理措施并论证环保措施的可行性；分析污染物总量控制要求；并就项目建设环境可行性和选址的合理性做出结论，为环境保护部门提供可靠的决策依据，为项目顺利建设和运行提供有效的污染防治措施，为建设单位环境管理提供科学依据，达到保护好区域环境的目的。</w:t>
      </w:r>
    </w:p>
    <w:p w14:paraId="15ABC883" w14:textId="77777777" w:rsidR="00A54A8A" w:rsidRPr="00E67914" w:rsidRDefault="00000000">
      <w:pPr>
        <w:pStyle w:val="2"/>
        <w:ind w:firstLine="480"/>
        <w:rPr>
          <w:szCs w:val="24"/>
          <w:lang w:eastAsia="zh-CN"/>
        </w:rPr>
      </w:pPr>
      <w:bookmarkStart w:id="18" w:name="_Toc148654210"/>
      <w:r w:rsidRPr="00E67914">
        <w:rPr>
          <w:szCs w:val="24"/>
          <w:lang w:eastAsia="zh-CN"/>
        </w:rPr>
        <w:t>2.2</w:t>
      </w:r>
      <w:r w:rsidRPr="00E67914">
        <w:rPr>
          <w:szCs w:val="24"/>
          <w:lang w:eastAsia="zh-CN"/>
        </w:rPr>
        <w:t>评价原则</w:t>
      </w:r>
      <w:bookmarkEnd w:id="18"/>
    </w:p>
    <w:p w14:paraId="7A380681"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突出环境影响评价的源头预防作用，坚持保护和改善环境质量。</w:t>
      </w:r>
    </w:p>
    <w:p w14:paraId="525E768D"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）依法评价</w:t>
      </w:r>
    </w:p>
    <w:p w14:paraId="0CF6EA73"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贯彻执行我国环境保护相关法律法规、标准、政策和规划等，优化项目建设，服务环境管理。</w:t>
      </w:r>
    </w:p>
    <w:p w14:paraId="778CEE7A"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）科学评价</w:t>
      </w:r>
    </w:p>
    <w:p w14:paraId="74A5C111"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规范环境影响评价方法，科学分析项目建设对环境质量的影响。</w:t>
      </w:r>
    </w:p>
    <w:p w14:paraId="15ECA80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）突出重点</w:t>
      </w:r>
    </w:p>
    <w:p w14:paraId="32F70250"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b/>
          <w:lang w:eastAsia="zh-CN"/>
        </w:rPr>
      </w:pPr>
      <w:r w:rsidRPr="00E67914">
        <w:rPr>
          <w:rFonts w:ascii="Times New Roman" w:hAnsi="Times New Roman"/>
          <w:bCs/>
          <w:kern w:val="2"/>
          <w:sz w:val="24"/>
          <w:szCs w:val="24"/>
          <w:lang w:eastAsia="zh-CN"/>
        </w:rPr>
        <w:t>根据建设项目的工程内容及其特点，明确与环境要素间的作用效应关系，充分利用符合时效的数据资料及成果，对建设项目主要环境影响予以重点分析和评价。</w:t>
      </w:r>
    </w:p>
    <w:p w14:paraId="492094DF" w14:textId="77777777" w:rsidR="00A54A8A" w:rsidRPr="00E67914" w:rsidRDefault="00000000">
      <w:pPr>
        <w:pStyle w:val="2"/>
        <w:ind w:firstLine="480"/>
        <w:rPr>
          <w:szCs w:val="24"/>
          <w:lang w:eastAsia="zh-CN"/>
        </w:rPr>
      </w:pPr>
      <w:bookmarkStart w:id="19" w:name="_Toc148654211"/>
      <w:r w:rsidRPr="00E67914">
        <w:rPr>
          <w:szCs w:val="24"/>
          <w:lang w:eastAsia="zh-CN"/>
        </w:rPr>
        <w:t>2.3</w:t>
      </w:r>
      <w:r w:rsidRPr="00E67914">
        <w:rPr>
          <w:szCs w:val="24"/>
          <w:lang w:eastAsia="zh-CN"/>
        </w:rPr>
        <w:t>编制依据</w:t>
      </w:r>
      <w:bookmarkEnd w:id="19"/>
    </w:p>
    <w:p w14:paraId="01FC18BD"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2.3.1</w:t>
      </w:r>
      <w:r w:rsidRPr="00E67914">
        <w:rPr>
          <w:rFonts w:ascii="Times New Roman" w:eastAsia="黑体" w:hAnsi="Times New Roman"/>
          <w:b w:val="0"/>
          <w:sz w:val="24"/>
          <w:szCs w:val="24"/>
          <w:lang w:eastAsia="zh-CN"/>
        </w:rPr>
        <w:t>法律、法规</w:t>
      </w:r>
    </w:p>
    <w:p w14:paraId="7EFE76CF"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1</w:t>
      </w:r>
      <w:r w:rsidRPr="00267B16">
        <w:rPr>
          <w:rFonts w:ascii="Times New Roman" w:hAnsi="Times New Roman"/>
          <w:spacing w:val="-6"/>
          <w:lang w:eastAsia="zh-CN"/>
        </w:rPr>
        <w:t>）《</w:t>
      </w:r>
      <w:r w:rsidRPr="00267B16">
        <w:rPr>
          <w:rFonts w:ascii="Times New Roman" w:hAnsi="Times New Roman"/>
          <w:spacing w:val="-6"/>
          <w:lang w:eastAsia="zh-CN"/>
        </w:rPr>
        <w:t>&lt;</w:t>
      </w:r>
      <w:r w:rsidRPr="00267B16">
        <w:rPr>
          <w:rFonts w:ascii="Times New Roman" w:hAnsi="Times New Roman"/>
          <w:spacing w:val="-6"/>
          <w:lang w:eastAsia="zh-CN"/>
        </w:rPr>
        <w:t>中华人民共和国环境保护法</w:t>
      </w:r>
      <w:r w:rsidRPr="00267B16">
        <w:rPr>
          <w:rFonts w:ascii="Times New Roman" w:hAnsi="Times New Roman"/>
          <w:spacing w:val="-6"/>
          <w:lang w:eastAsia="zh-CN"/>
        </w:rPr>
        <w:t>&gt;</w:t>
      </w:r>
      <w:r w:rsidRPr="00267B16">
        <w:rPr>
          <w:rFonts w:ascii="Times New Roman" w:hAnsi="Times New Roman"/>
          <w:spacing w:val="-6"/>
          <w:lang w:eastAsia="zh-CN"/>
        </w:rPr>
        <w:t>（</w:t>
      </w:r>
      <w:r w:rsidRPr="00267B16">
        <w:rPr>
          <w:rFonts w:ascii="Times New Roman" w:hAnsi="Times New Roman"/>
          <w:spacing w:val="-6"/>
          <w:lang w:eastAsia="zh-CN"/>
        </w:rPr>
        <w:t>2014</w:t>
      </w:r>
      <w:r w:rsidRPr="00267B16">
        <w:rPr>
          <w:rFonts w:ascii="Times New Roman" w:hAnsi="Times New Roman"/>
          <w:spacing w:val="-6"/>
          <w:lang w:eastAsia="zh-CN"/>
        </w:rPr>
        <w:t>修订）》，</w:t>
      </w:r>
      <w:r w:rsidRPr="00267B16">
        <w:rPr>
          <w:rFonts w:ascii="Times New Roman" w:hAnsi="Times New Roman"/>
          <w:spacing w:val="-6"/>
          <w:lang w:eastAsia="zh-CN"/>
        </w:rPr>
        <w:t>2015</w:t>
      </w:r>
      <w:r w:rsidRPr="00267B16">
        <w:rPr>
          <w:rFonts w:ascii="Times New Roman" w:hAnsi="Times New Roman"/>
          <w:spacing w:val="-6"/>
          <w:lang w:eastAsia="zh-CN"/>
        </w:rPr>
        <w:t>年</w:t>
      </w:r>
      <w:r w:rsidRPr="00267B16">
        <w:rPr>
          <w:rFonts w:ascii="Times New Roman" w:hAnsi="Times New Roman"/>
          <w:spacing w:val="-6"/>
          <w:lang w:eastAsia="zh-CN"/>
        </w:rPr>
        <w:t>1</w:t>
      </w:r>
      <w:r w:rsidRPr="00267B16">
        <w:rPr>
          <w:rFonts w:ascii="Times New Roman" w:hAnsi="Times New Roman"/>
          <w:spacing w:val="-6"/>
          <w:lang w:eastAsia="zh-CN"/>
        </w:rPr>
        <w:t>月</w:t>
      </w:r>
      <w:r w:rsidRPr="00267B16">
        <w:rPr>
          <w:rFonts w:ascii="Times New Roman" w:hAnsi="Times New Roman"/>
          <w:spacing w:val="-6"/>
          <w:lang w:eastAsia="zh-CN"/>
        </w:rPr>
        <w:t>1</w:t>
      </w:r>
      <w:r w:rsidRPr="00267B16">
        <w:rPr>
          <w:rFonts w:ascii="Times New Roman" w:hAnsi="Times New Roman"/>
          <w:spacing w:val="-6"/>
          <w:lang w:eastAsia="zh-CN"/>
        </w:rPr>
        <w:t>日起施行；</w:t>
      </w:r>
    </w:p>
    <w:p w14:paraId="0320DF6F"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2</w:t>
      </w:r>
      <w:r w:rsidRPr="00267B16">
        <w:rPr>
          <w:rFonts w:ascii="Times New Roman" w:hAnsi="Times New Roman"/>
          <w:spacing w:val="-6"/>
          <w:lang w:eastAsia="zh-CN"/>
        </w:rPr>
        <w:t>）《中华人民共和国环境影响评价法（</w:t>
      </w:r>
      <w:r w:rsidRPr="00267B16">
        <w:rPr>
          <w:rFonts w:ascii="Times New Roman" w:hAnsi="Times New Roman"/>
          <w:spacing w:val="-6"/>
          <w:lang w:eastAsia="zh-CN"/>
        </w:rPr>
        <w:t>2018</w:t>
      </w:r>
      <w:r w:rsidRPr="00267B16">
        <w:rPr>
          <w:rFonts w:ascii="Times New Roman" w:hAnsi="Times New Roman"/>
          <w:spacing w:val="-6"/>
          <w:lang w:eastAsia="zh-CN"/>
        </w:rPr>
        <w:t>修订）》，</w:t>
      </w:r>
      <w:r w:rsidRPr="00267B16">
        <w:rPr>
          <w:rFonts w:ascii="Times New Roman" w:hAnsi="Times New Roman"/>
          <w:spacing w:val="-6"/>
          <w:lang w:eastAsia="zh-CN"/>
        </w:rPr>
        <w:t>2018</w:t>
      </w:r>
      <w:r w:rsidRPr="00267B16">
        <w:rPr>
          <w:rFonts w:ascii="Times New Roman" w:hAnsi="Times New Roman"/>
          <w:spacing w:val="-6"/>
          <w:lang w:eastAsia="zh-CN"/>
        </w:rPr>
        <w:t>年</w:t>
      </w:r>
      <w:r w:rsidRPr="00267B16">
        <w:rPr>
          <w:rFonts w:ascii="Times New Roman" w:hAnsi="Times New Roman"/>
          <w:spacing w:val="-6"/>
          <w:lang w:eastAsia="zh-CN"/>
        </w:rPr>
        <w:t>12</w:t>
      </w:r>
      <w:r w:rsidRPr="00267B16">
        <w:rPr>
          <w:rFonts w:ascii="Times New Roman" w:hAnsi="Times New Roman"/>
          <w:spacing w:val="-6"/>
          <w:lang w:eastAsia="zh-CN"/>
        </w:rPr>
        <w:t>月</w:t>
      </w:r>
      <w:r w:rsidRPr="00267B16">
        <w:rPr>
          <w:rFonts w:ascii="Times New Roman" w:hAnsi="Times New Roman"/>
          <w:spacing w:val="-6"/>
          <w:lang w:eastAsia="zh-CN"/>
        </w:rPr>
        <w:t>29</w:t>
      </w:r>
      <w:r w:rsidRPr="00267B16">
        <w:rPr>
          <w:rFonts w:ascii="Times New Roman" w:hAnsi="Times New Roman"/>
          <w:spacing w:val="-6"/>
          <w:lang w:eastAsia="zh-CN"/>
        </w:rPr>
        <w:t>日施行；</w:t>
      </w:r>
    </w:p>
    <w:p w14:paraId="1F285F19"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3</w:t>
      </w:r>
      <w:r w:rsidRPr="00267B16">
        <w:rPr>
          <w:rFonts w:ascii="Times New Roman" w:hAnsi="Times New Roman"/>
          <w:spacing w:val="-6"/>
          <w:lang w:eastAsia="zh-CN"/>
        </w:rPr>
        <w:t>）《中华人民共和国水污染防治法》，</w:t>
      </w:r>
      <w:r w:rsidRPr="00267B16">
        <w:rPr>
          <w:rFonts w:ascii="Times New Roman" w:hAnsi="Times New Roman"/>
          <w:spacing w:val="-6"/>
          <w:lang w:eastAsia="zh-CN"/>
        </w:rPr>
        <w:t>2018</w:t>
      </w:r>
      <w:r w:rsidRPr="00267B16">
        <w:rPr>
          <w:rFonts w:ascii="Times New Roman" w:hAnsi="Times New Roman"/>
          <w:spacing w:val="-6"/>
          <w:lang w:eastAsia="zh-CN"/>
        </w:rPr>
        <w:t>年</w:t>
      </w:r>
      <w:r w:rsidRPr="00267B16">
        <w:rPr>
          <w:rFonts w:ascii="Times New Roman" w:hAnsi="Times New Roman"/>
          <w:spacing w:val="-6"/>
          <w:lang w:eastAsia="zh-CN"/>
        </w:rPr>
        <w:t>1</w:t>
      </w:r>
      <w:r w:rsidRPr="00267B16">
        <w:rPr>
          <w:rFonts w:ascii="Times New Roman" w:hAnsi="Times New Roman"/>
          <w:spacing w:val="-6"/>
          <w:lang w:eastAsia="zh-CN"/>
        </w:rPr>
        <w:t>月</w:t>
      </w:r>
      <w:r w:rsidRPr="00267B16">
        <w:rPr>
          <w:rFonts w:ascii="Times New Roman" w:hAnsi="Times New Roman"/>
          <w:spacing w:val="-6"/>
          <w:lang w:eastAsia="zh-CN"/>
        </w:rPr>
        <w:t>1</w:t>
      </w:r>
      <w:r w:rsidRPr="00267B16">
        <w:rPr>
          <w:rFonts w:ascii="Times New Roman" w:hAnsi="Times New Roman"/>
          <w:spacing w:val="-6"/>
          <w:lang w:eastAsia="zh-CN"/>
        </w:rPr>
        <w:t>日起施行；</w:t>
      </w:r>
    </w:p>
    <w:p w14:paraId="6AD4F748"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4</w:t>
      </w:r>
      <w:r w:rsidRPr="00267B16">
        <w:rPr>
          <w:rFonts w:ascii="Times New Roman" w:hAnsi="Times New Roman"/>
          <w:spacing w:val="-6"/>
          <w:lang w:eastAsia="zh-CN"/>
        </w:rPr>
        <w:t>）《中华人民共和国大气污染防治法》，</w:t>
      </w:r>
      <w:r w:rsidRPr="00267B16">
        <w:rPr>
          <w:rFonts w:ascii="Times New Roman" w:hAnsi="Times New Roman"/>
          <w:spacing w:val="-6"/>
          <w:lang w:eastAsia="zh-CN"/>
        </w:rPr>
        <w:t>2016</w:t>
      </w:r>
      <w:r w:rsidRPr="00267B16">
        <w:rPr>
          <w:rFonts w:ascii="Times New Roman" w:hAnsi="Times New Roman"/>
          <w:spacing w:val="-6"/>
          <w:lang w:eastAsia="zh-CN"/>
        </w:rPr>
        <w:t>年</w:t>
      </w:r>
      <w:r w:rsidRPr="00267B16">
        <w:rPr>
          <w:rFonts w:ascii="Times New Roman" w:hAnsi="Times New Roman"/>
          <w:spacing w:val="-6"/>
          <w:lang w:eastAsia="zh-CN"/>
        </w:rPr>
        <w:t>1</w:t>
      </w:r>
      <w:r w:rsidRPr="00267B16">
        <w:rPr>
          <w:rFonts w:ascii="Times New Roman" w:hAnsi="Times New Roman"/>
          <w:spacing w:val="-6"/>
          <w:lang w:eastAsia="zh-CN"/>
        </w:rPr>
        <w:t>月</w:t>
      </w:r>
      <w:r w:rsidRPr="00267B16">
        <w:rPr>
          <w:rFonts w:ascii="Times New Roman" w:hAnsi="Times New Roman"/>
          <w:spacing w:val="-6"/>
          <w:lang w:eastAsia="zh-CN"/>
        </w:rPr>
        <w:t>1</w:t>
      </w:r>
      <w:r w:rsidRPr="00267B16">
        <w:rPr>
          <w:rFonts w:ascii="Times New Roman" w:hAnsi="Times New Roman"/>
          <w:spacing w:val="-6"/>
          <w:lang w:eastAsia="zh-CN"/>
        </w:rPr>
        <w:t>日起施行；</w:t>
      </w:r>
    </w:p>
    <w:p w14:paraId="071F74A7"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lastRenderedPageBreak/>
        <w:t>（</w:t>
      </w:r>
      <w:r w:rsidRPr="00267B16">
        <w:rPr>
          <w:rFonts w:ascii="Times New Roman" w:hAnsi="Times New Roman"/>
          <w:spacing w:val="-6"/>
          <w:lang w:eastAsia="zh-CN"/>
        </w:rPr>
        <w:t>5</w:t>
      </w:r>
      <w:r w:rsidRPr="00267B16">
        <w:rPr>
          <w:rFonts w:ascii="Times New Roman" w:hAnsi="Times New Roman"/>
          <w:spacing w:val="-6"/>
          <w:lang w:eastAsia="zh-CN"/>
        </w:rPr>
        <w:t>）《中华人民共和国环境噪声污染防治法（</w:t>
      </w:r>
      <w:r w:rsidRPr="00267B16">
        <w:rPr>
          <w:rFonts w:ascii="Times New Roman" w:hAnsi="Times New Roman"/>
          <w:spacing w:val="-6"/>
          <w:lang w:eastAsia="zh-CN"/>
        </w:rPr>
        <w:t>2021</w:t>
      </w:r>
      <w:r w:rsidRPr="00267B16">
        <w:rPr>
          <w:rFonts w:ascii="Times New Roman" w:hAnsi="Times New Roman"/>
          <w:spacing w:val="-6"/>
          <w:lang w:eastAsia="zh-CN"/>
        </w:rPr>
        <w:t>修订）》，</w:t>
      </w:r>
      <w:r w:rsidRPr="00267B16">
        <w:rPr>
          <w:rFonts w:ascii="Times New Roman" w:hAnsi="Times New Roman"/>
          <w:spacing w:val="-6"/>
          <w:lang w:eastAsia="zh-CN"/>
        </w:rPr>
        <w:t>2022</w:t>
      </w:r>
      <w:r w:rsidRPr="00267B16">
        <w:rPr>
          <w:rFonts w:ascii="Times New Roman" w:hAnsi="Times New Roman"/>
          <w:spacing w:val="-6"/>
          <w:lang w:eastAsia="zh-CN"/>
        </w:rPr>
        <w:t>年</w:t>
      </w:r>
      <w:r w:rsidRPr="00267B16">
        <w:rPr>
          <w:rFonts w:ascii="Times New Roman" w:hAnsi="Times New Roman"/>
          <w:spacing w:val="-6"/>
          <w:lang w:eastAsia="zh-CN"/>
        </w:rPr>
        <w:t>6</w:t>
      </w:r>
      <w:r w:rsidRPr="00267B16">
        <w:rPr>
          <w:rFonts w:ascii="Times New Roman" w:hAnsi="Times New Roman"/>
          <w:spacing w:val="-6"/>
          <w:lang w:eastAsia="zh-CN"/>
        </w:rPr>
        <w:t>月</w:t>
      </w:r>
      <w:r w:rsidRPr="00267B16">
        <w:rPr>
          <w:rFonts w:ascii="Times New Roman" w:hAnsi="Times New Roman"/>
          <w:spacing w:val="-6"/>
          <w:lang w:eastAsia="zh-CN"/>
        </w:rPr>
        <w:t>5</w:t>
      </w:r>
      <w:r w:rsidRPr="00267B16">
        <w:rPr>
          <w:rFonts w:ascii="Times New Roman" w:hAnsi="Times New Roman"/>
          <w:spacing w:val="-6"/>
          <w:lang w:eastAsia="zh-CN"/>
        </w:rPr>
        <w:t>日施行；</w:t>
      </w:r>
    </w:p>
    <w:p w14:paraId="5CCAE8EF"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6</w:t>
      </w:r>
      <w:r w:rsidRPr="00267B16">
        <w:rPr>
          <w:rFonts w:ascii="Times New Roman" w:hAnsi="Times New Roman"/>
          <w:spacing w:val="-6"/>
          <w:lang w:eastAsia="zh-CN"/>
        </w:rPr>
        <w:t>）《中华人民共和国固体废物污染环境防治法》，</w:t>
      </w:r>
      <w:r w:rsidRPr="00267B16">
        <w:rPr>
          <w:rFonts w:ascii="Times New Roman" w:hAnsi="Times New Roman"/>
          <w:spacing w:val="-6"/>
          <w:lang w:eastAsia="zh-CN"/>
        </w:rPr>
        <w:t>2020</w:t>
      </w:r>
      <w:r w:rsidRPr="00267B16">
        <w:rPr>
          <w:rFonts w:ascii="Times New Roman" w:hAnsi="Times New Roman"/>
          <w:spacing w:val="-6"/>
          <w:lang w:eastAsia="zh-CN"/>
        </w:rPr>
        <w:t>年修订；</w:t>
      </w:r>
    </w:p>
    <w:p w14:paraId="6F56F07D"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7</w:t>
      </w:r>
      <w:r w:rsidRPr="00267B16">
        <w:rPr>
          <w:rFonts w:ascii="Times New Roman" w:hAnsi="Times New Roman"/>
          <w:spacing w:val="-6"/>
          <w:lang w:eastAsia="zh-CN"/>
        </w:rPr>
        <w:t>）《中华人民共和国土壤污染防治法》（</w:t>
      </w:r>
      <w:r w:rsidRPr="00267B16">
        <w:rPr>
          <w:rFonts w:ascii="Times New Roman" w:hAnsi="Times New Roman"/>
          <w:spacing w:val="-6"/>
          <w:lang w:eastAsia="zh-CN"/>
        </w:rPr>
        <w:t>2019</w:t>
      </w:r>
      <w:r w:rsidRPr="00267B16">
        <w:rPr>
          <w:rFonts w:ascii="Times New Roman" w:hAnsi="Times New Roman"/>
          <w:spacing w:val="-6"/>
          <w:lang w:eastAsia="zh-CN"/>
        </w:rPr>
        <w:t>年</w:t>
      </w:r>
      <w:r w:rsidRPr="00267B16">
        <w:rPr>
          <w:rFonts w:ascii="Times New Roman" w:hAnsi="Times New Roman"/>
          <w:spacing w:val="-6"/>
          <w:lang w:eastAsia="zh-CN"/>
        </w:rPr>
        <w:t>1</w:t>
      </w:r>
      <w:r w:rsidRPr="00267B16">
        <w:rPr>
          <w:rFonts w:ascii="Times New Roman" w:hAnsi="Times New Roman"/>
          <w:spacing w:val="-6"/>
          <w:lang w:eastAsia="zh-CN"/>
        </w:rPr>
        <w:t>月</w:t>
      </w:r>
      <w:r w:rsidRPr="00267B16">
        <w:rPr>
          <w:rFonts w:ascii="Times New Roman" w:hAnsi="Times New Roman"/>
          <w:spacing w:val="-6"/>
          <w:lang w:eastAsia="zh-CN"/>
        </w:rPr>
        <w:t>1</w:t>
      </w:r>
      <w:r w:rsidRPr="00267B16">
        <w:rPr>
          <w:rFonts w:ascii="Times New Roman" w:hAnsi="Times New Roman"/>
          <w:spacing w:val="-6"/>
          <w:lang w:eastAsia="zh-CN"/>
        </w:rPr>
        <w:t>日起实施）；</w:t>
      </w:r>
    </w:p>
    <w:p w14:paraId="7554D92D"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8</w:t>
      </w:r>
      <w:r w:rsidRPr="00267B16">
        <w:rPr>
          <w:rFonts w:ascii="Times New Roman" w:hAnsi="Times New Roman"/>
          <w:spacing w:val="-6"/>
          <w:lang w:eastAsia="zh-CN"/>
        </w:rPr>
        <w:t>）《中华人民共和国土地管理法》，</w:t>
      </w:r>
      <w:r w:rsidRPr="00267B16">
        <w:rPr>
          <w:rFonts w:ascii="Times New Roman" w:hAnsi="Times New Roman"/>
          <w:spacing w:val="-6"/>
          <w:lang w:eastAsia="zh-CN"/>
        </w:rPr>
        <w:t>2020</w:t>
      </w:r>
      <w:r w:rsidRPr="00267B16">
        <w:rPr>
          <w:rFonts w:ascii="Times New Roman" w:hAnsi="Times New Roman"/>
          <w:spacing w:val="-6"/>
          <w:lang w:eastAsia="zh-CN"/>
        </w:rPr>
        <w:t>年</w:t>
      </w:r>
      <w:r w:rsidRPr="00267B16">
        <w:rPr>
          <w:rFonts w:ascii="Times New Roman" w:hAnsi="Times New Roman"/>
          <w:spacing w:val="-6"/>
          <w:lang w:eastAsia="zh-CN"/>
        </w:rPr>
        <w:t>1</w:t>
      </w:r>
      <w:r w:rsidRPr="00267B16">
        <w:rPr>
          <w:rFonts w:ascii="Times New Roman" w:hAnsi="Times New Roman"/>
          <w:spacing w:val="-6"/>
          <w:lang w:eastAsia="zh-CN"/>
        </w:rPr>
        <w:t>月</w:t>
      </w:r>
      <w:r w:rsidRPr="00267B16">
        <w:rPr>
          <w:rFonts w:ascii="Times New Roman" w:hAnsi="Times New Roman"/>
          <w:spacing w:val="-6"/>
          <w:lang w:eastAsia="zh-CN"/>
        </w:rPr>
        <w:t>1</w:t>
      </w:r>
      <w:r w:rsidRPr="00267B16">
        <w:rPr>
          <w:rFonts w:ascii="Times New Roman" w:hAnsi="Times New Roman"/>
          <w:spacing w:val="-6"/>
          <w:lang w:eastAsia="zh-CN"/>
        </w:rPr>
        <w:t>日实施；</w:t>
      </w:r>
    </w:p>
    <w:p w14:paraId="531C9798"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9</w:t>
      </w:r>
      <w:r w:rsidRPr="00267B16">
        <w:rPr>
          <w:rFonts w:ascii="Times New Roman" w:hAnsi="Times New Roman"/>
          <w:spacing w:val="-6"/>
          <w:lang w:eastAsia="zh-CN"/>
        </w:rPr>
        <w:t>）《中华人民共和国城乡规划法》，</w:t>
      </w:r>
      <w:r w:rsidRPr="00267B16">
        <w:rPr>
          <w:rFonts w:ascii="Times New Roman" w:hAnsi="Times New Roman"/>
          <w:spacing w:val="-6"/>
          <w:lang w:eastAsia="zh-CN"/>
        </w:rPr>
        <w:t>2019</w:t>
      </w:r>
      <w:r w:rsidRPr="00267B16">
        <w:rPr>
          <w:rFonts w:ascii="Times New Roman" w:hAnsi="Times New Roman"/>
          <w:spacing w:val="-6"/>
          <w:lang w:eastAsia="zh-CN"/>
        </w:rPr>
        <w:t>年修订；</w:t>
      </w:r>
    </w:p>
    <w:p w14:paraId="0AF092FD"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10</w:t>
      </w:r>
      <w:r w:rsidRPr="00267B16">
        <w:rPr>
          <w:rFonts w:ascii="Times New Roman" w:hAnsi="Times New Roman"/>
          <w:spacing w:val="-6"/>
          <w:lang w:eastAsia="zh-CN"/>
        </w:rPr>
        <w:t>）《中华人民共和国水土保持法》，</w:t>
      </w:r>
      <w:r w:rsidRPr="00267B16">
        <w:rPr>
          <w:rFonts w:ascii="Times New Roman" w:hAnsi="Times New Roman"/>
          <w:spacing w:val="-6"/>
          <w:lang w:eastAsia="zh-CN"/>
        </w:rPr>
        <w:t>2011</w:t>
      </w:r>
      <w:r w:rsidRPr="00267B16">
        <w:rPr>
          <w:rFonts w:ascii="Times New Roman" w:hAnsi="Times New Roman"/>
          <w:spacing w:val="-6"/>
          <w:lang w:eastAsia="zh-CN"/>
        </w:rPr>
        <w:t>年</w:t>
      </w:r>
      <w:r w:rsidRPr="00267B16">
        <w:rPr>
          <w:rFonts w:ascii="Times New Roman" w:hAnsi="Times New Roman"/>
          <w:spacing w:val="-6"/>
          <w:lang w:eastAsia="zh-CN"/>
        </w:rPr>
        <w:t>3</w:t>
      </w:r>
      <w:r w:rsidRPr="00267B16">
        <w:rPr>
          <w:rFonts w:ascii="Times New Roman" w:hAnsi="Times New Roman"/>
          <w:spacing w:val="-6"/>
          <w:lang w:eastAsia="zh-CN"/>
        </w:rPr>
        <w:t>月</w:t>
      </w:r>
      <w:r w:rsidRPr="00267B16">
        <w:rPr>
          <w:rFonts w:ascii="Times New Roman" w:hAnsi="Times New Roman"/>
          <w:spacing w:val="-6"/>
          <w:lang w:eastAsia="zh-CN"/>
        </w:rPr>
        <w:t>1</w:t>
      </w:r>
      <w:r w:rsidRPr="00267B16">
        <w:rPr>
          <w:rFonts w:ascii="Times New Roman" w:hAnsi="Times New Roman"/>
          <w:spacing w:val="-6"/>
          <w:lang w:eastAsia="zh-CN"/>
        </w:rPr>
        <w:t>日起施行；</w:t>
      </w:r>
    </w:p>
    <w:p w14:paraId="4A43B58C"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11</w:t>
      </w:r>
      <w:r w:rsidRPr="00267B16">
        <w:rPr>
          <w:rFonts w:ascii="Times New Roman" w:hAnsi="Times New Roman"/>
          <w:spacing w:val="-6"/>
          <w:lang w:eastAsia="zh-CN"/>
        </w:rPr>
        <w:t>）《中华人民共和国水法》，</w:t>
      </w:r>
      <w:r w:rsidRPr="00267B16">
        <w:rPr>
          <w:rFonts w:ascii="Times New Roman" w:hAnsi="Times New Roman"/>
          <w:spacing w:val="-6"/>
          <w:lang w:eastAsia="zh-CN"/>
        </w:rPr>
        <w:t>2016</w:t>
      </w:r>
      <w:r w:rsidRPr="00267B16">
        <w:rPr>
          <w:rFonts w:ascii="Times New Roman" w:hAnsi="Times New Roman"/>
          <w:spacing w:val="-6"/>
          <w:lang w:eastAsia="zh-CN"/>
        </w:rPr>
        <w:t>年</w:t>
      </w:r>
      <w:r w:rsidRPr="00267B16">
        <w:rPr>
          <w:rFonts w:ascii="Times New Roman" w:hAnsi="Times New Roman"/>
          <w:spacing w:val="-6"/>
          <w:lang w:eastAsia="zh-CN"/>
        </w:rPr>
        <w:t>7</w:t>
      </w:r>
      <w:r w:rsidRPr="00267B16">
        <w:rPr>
          <w:rFonts w:ascii="Times New Roman" w:hAnsi="Times New Roman"/>
          <w:spacing w:val="-6"/>
          <w:lang w:eastAsia="zh-CN"/>
        </w:rPr>
        <w:t>月</w:t>
      </w:r>
      <w:r w:rsidRPr="00267B16">
        <w:rPr>
          <w:rFonts w:ascii="Times New Roman" w:hAnsi="Times New Roman"/>
          <w:spacing w:val="-6"/>
          <w:lang w:eastAsia="zh-CN"/>
        </w:rPr>
        <w:t>2</w:t>
      </w:r>
      <w:r w:rsidRPr="00267B16">
        <w:rPr>
          <w:rFonts w:ascii="Times New Roman" w:hAnsi="Times New Roman"/>
          <w:spacing w:val="-6"/>
          <w:lang w:eastAsia="zh-CN"/>
        </w:rPr>
        <w:t>日修订；</w:t>
      </w:r>
    </w:p>
    <w:p w14:paraId="22989A32"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12</w:t>
      </w:r>
      <w:r w:rsidRPr="00267B16">
        <w:rPr>
          <w:rFonts w:ascii="Times New Roman" w:hAnsi="Times New Roman"/>
          <w:spacing w:val="-6"/>
          <w:lang w:eastAsia="zh-CN"/>
        </w:rPr>
        <w:t>）《中华人民共和国突发事件应对法》（</w:t>
      </w:r>
      <w:r w:rsidRPr="00267B16">
        <w:rPr>
          <w:rFonts w:ascii="Times New Roman" w:hAnsi="Times New Roman"/>
          <w:spacing w:val="-6"/>
          <w:lang w:eastAsia="zh-CN"/>
        </w:rPr>
        <w:t>2007</w:t>
      </w:r>
      <w:r w:rsidRPr="00267B16">
        <w:rPr>
          <w:rFonts w:ascii="Times New Roman" w:hAnsi="Times New Roman"/>
          <w:spacing w:val="-6"/>
          <w:lang w:eastAsia="zh-CN"/>
        </w:rPr>
        <w:t>年</w:t>
      </w:r>
      <w:r w:rsidRPr="00267B16">
        <w:rPr>
          <w:rFonts w:ascii="Times New Roman" w:hAnsi="Times New Roman"/>
          <w:spacing w:val="-6"/>
          <w:lang w:eastAsia="zh-CN"/>
        </w:rPr>
        <w:t>11</w:t>
      </w:r>
      <w:r w:rsidRPr="00267B16">
        <w:rPr>
          <w:rFonts w:ascii="Times New Roman" w:hAnsi="Times New Roman"/>
          <w:spacing w:val="-6"/>
          <w:lang w:eastAsia="zh-CN"/>
        </w:rPr>
        <w:t>月</w:t>
      </w:r>
      <w:r w:rsidRPr="00267B16">
        <w:rPr>
          <w:rFonts w:ascii="Times New Roman" w:hAnsi="Times New Roman"/>
          <w:spacing w:val="-6"/>
          <w:lang w:eastAsia="zh-CN"/>
        </w:rPr>
        <w:t>1</w:t>
      </w:r>
      <w:r w:rsidRPr="00267B16">
        <w:rPr>
          <w:rFonts w:ascii="Times New Roman" w:hAnsi="Times New Roman"/>
          <w:spacing w:val="-6"/>
          <w:lang w:eastAsia="zh-CN"/>
        </w:rPr>
        <w:t>日起实施）</w:t>
      </w:r>
    </w:p>
    <w:p w14:paraId="53603DF0"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13</w:t>
      </w:r>
      <w:r w:rsidRPr="00267B16">
        <w:rPr>
          <w:rFonts w:ascii="Times New Roman" w:hAnsi="Times New Roman"/>
          <w:spacing w:val="-6"/>
          <w:lang w:eastAsia="zh-CN"/>
        </w:rPr>
        <w:t>）《中华人民共和国节约能源法》（</w:t>
      </w:r>
      <w:r w:rsidRPr="00267B16">
        <w:rPr>
          <w:rFonts w:ascii="Times New Roman" w:hAnsi="Times New Roman"/>
          <w:spacing w:val="-6"/>
          <w:lang w:eastAsia="zh-CN"/>
        </w:rPr>
        <w:t>2018</w:t>
      </w:r>
      <w:r w:rsidRPr="00267B16">
        <w:rPr>
          <w:rFonts w:ascii="Times New Roman" w:hAnsi="Times New Roman"/>
          <w:spacing w:val="-6"/>
          <w:lang w:eastAsia="zh-CN"/>
        </w:rPr>
        <w:t>年</w:t>
      </w:r>
      <w:r w:rsidRPr="00267B16">
        <w:rPr>
          <w:rFonts w:ascii="Times New Roman" w:hAnsi="Times New Roman"/>
          <w:spacing w:val="-6"/>
          <w:lang w:eastAsia="zh-CN"/>
        </w:rPr>
        <w:t>12</w:t>
      </w:r>
      <w:r w:rsidRPr="00267B16">
        <w:rPr>
          <w:rFonts w:ascii="Times New Roman" w:hAnsi="Times New Roman"/>
          <w:spacing w:val="-6"/>
          <w:lang w:eastAsia="zh-CN"/>
        </w:rPr>
        <w:t>月修订）；</w:t>
      </w:r>
    </w:p>
    <w:p w14:paraId="2E350EDC"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14</w:t>
      </w:r>
      <w:r w:rsidRPr="00267B16">
        <w:rPr>
          <w:rFonts w:ascii="Times New Roman" w:hAnsi="Times New Roman"/>
          <w:spacing w:val="-6"/>
          <w:lang w:eastAsia="zh-CN"/>
        </w:rPr>
        <w:t>）《中华人民共和国清洁生产促进法》，（</w:t>
      </w:r>
      <w:r w:rsidRPr="00267B16">
        <w:rPr>
          <w:rFonts w:ascii="Times New Roman" w:hAnsi="Times New Roman"/>
          <w:spacing w:val="-6"/>
          <w:lang w:eastAsia="zh-CN"/>
        </w:rPr>
        <w:t>2012</w:t>
      </w:r>
      <w:r w:rsidRPr="00267B16">
        <w:rPr>
          <w:rFonts w:ascii="Times New Roman" w:hAnsi="Times New Roman"/>
          <w:spacing w:val="-6"/>
          <w:lang w:eastAsia="zh-CN"/>
        </w:rPr>
        <w:t>年</w:t>
      </w:r>
      <w:r w:rsidRPr="00267B16">
        <w:rPr>
          <w:rFonts w:ascii="Times New Roman" w:hAnsi="Times New Roman"/>
          <w:spacing w:val="-6"/>
          <w:lang w:eastAsia="zh-CN"/>
        </w:rPr>
        <w:t>2</w:t>
      </w:r>
      <w:r w:rsidRPr="00267B16">
        <w:rPr>
          <w:rFonts w:ascii="Times New Roman" w:hAnsi="Times New Roman"/>
          <w:spacing w:val="-6"/>
          <w:lang w:eastAsia="zh-CN"/>
        </w:rPr>
        <w:t>月</w:t>
      </w:r>
      <w:r w:rsidRPr="00267B16">
        <w:rPr>
          <w:rFonts w:ascii="Times New Roman" w:hAnsi="Times New Roman"/>
          <w:spacing w:val="-6"/>
          <w:lang w:eastAsia="zh-CN"/>
        </w:rPr>
        <w:t>29</w:t>
      </w:r>
      <w:r w:rsidRPr="00267B16">
        <w:rPr>
          <w:rFonts w:ascii="Times New Roman" w:hAnsi="Times New Roman"/>
          <w:spacing w:val="-6"/>
          <w:lang w:eastAsia="zh-CN"/>
        </w:rPr>
        <w:t>日）；</w:t>
      </w:r>
    </w:p>
    <w:p w14:paraId="4487CC43" w14:textId="77777777" w:rsidR="00267B16" w:rsidRPr="00267B16"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267B16">
        <w:rPr>
          <w:rFonts w:ascii="Times New Roman" w:hAnsi="Times New Roman"/>
          <w:spacing w:val="-6"/>
          <w:lang w:eastAsia="zh-CN"/>
        </w:rPr>
        <w:t>（</w:t>
      </w:r>
      <w:r w:rsidRPr="00267B16">
        <w:rPr>
          <w:rFonts w:ascii="Times New Roman" w:hAnsi="Times New Roman"/>
          <w:spacing w:val="-6"/>
          <w:lang w:eastAsia="zh-CN"/>
        </w:rPr>
        <w:t>15</w:t>
      </w:r>
      <w:r w:rsidRPr="00267B16">
        <w:rPr>
          <w:rFonts w:ascii="Times New Roman" w:hAnsi="Times New Roman"/>
          <w:spacing w:val="-6"/>
          <w:lang w:eastAsia="zh-CN"/>
        </w:rPr>
        <w:t>）《中华人民共和国循环经济促进法》（</w:t>
      </w:r>
      <w:r w:rsidRPr="00267B16">
        <w:rPr>
          <w:rFonts w:ascii="Times New Roman" w:hAnsi="Times New Roman"/>
          <w:spacing w:val="-6"/>
          <w:lang w:eastAsia="zh-CN"/>
        </w:rPr>
        <w:t>2018</w:t>
      </w:r>
      <w:r w:rsidRPr="00267B16">
        <w:rPr>
          <w:rFonts w:ascii="Times New Roman" w:hAnsi="Times New Roman"/>
          <w:spacing w:val="-6"/>
          <w:lang w:eastAsia="zh-CN"/>
        </w:rPr>
        <w:t>年</w:t>
      </w:r>
      <w:r w:rsidRPr="00267B16">
        <w:rPr>
          <w:rFonts w:ascii="Times New Roman" w:hAnsi="Times New Roman"/>
          <w:spacing w:val="-6"/>
          <w:lang w:eastAsia="zh-CN"/>
        </w:rPr>
        <w:t>10</w:t>
      </w:r>
      <w:r w:rsidRPr="00267B16">
        <w:rPr>
          <w:rFonts w:ascii="Times New Roman" w:hAnsi="Times New Roman"/>
          <w:spacing w:val="-6"/>
          <w:lang w:eastAsia="zh-CN"/>
        </w:rPr>
        <w:t>月</w:t>
      </w:r>
      <w:r w:rsidRPr="00267B16">
        <w:rPr>
          <w:rFonts w:ascii="Times New Roman" w:hAnsi="Times New Roman"/>
          <w:spacing w:val="-6"/>
          <w:lang w:eastAsia="zh-CN"/>
        </w:rPr>
        <w:t>26</w:t>
      </w:r>
      <w:r w:rsidRPr="00267B16">
        <w:rPr>
          <w:rFonts w:ascii="Times New Roman" w:hAnsi="Times New Roman"/>
          <w:spacing w:val="-6"/>
          <w:lang w:eastAsia="zh-CN"/>
        </w:rPr>
        <w:t>日修订）；</w:t>
      </w:r>
    </w:p>
    <w:p w14:paraId="394D3175" w14:textId="6601EDCD" w:rsidR="00A54A8A" w:rsidRPr="00E67914"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16</w:t>
      </w:r>
      <w:r w:rsidRPr="00E67914">
        <w:rPr>
          <w:rFonts w:ascii="Times New Roman" w:hAnsi="Times New Roman"/>
          <w:spacing w:val="-6"/>
          <w:lang w:eastAsia="zh-CN"/>
        </w:rPr>
        <w:t>）《中华人民共和国石油天然气管道保护法》（</w:t>
      </w:r>
      <w:r w:rsidRPr="00E67914">
        <w:rPr>
          <w:rFonts w:ascii="Times New Roman" w:hAnsi="Times New Roman"/>
          <w:spacing w:val="-6"/>
          <w:lang w:eastAsia="zh-CN"/>
        </w:rPr>
        <w:t xml:space="preserve">2010.10.1 </w:t>
      </w:r>
      <w:r w:rsidRPr="00E67914">
        <w:rPr>
          <w:rFonts w:ascii="Times New Roman" w:hAnsi="Times New Roman"/>
          <w:spacing w:val="-6"/>
          <w:lang w:eastAsia="zh-CN"/>
        </w:rPr>
        <w:t>实施）</w:t>
      </w:r>
      <w:r w:rsidR="00DC390B" w:rsidRPr="00E67914">
        <w:rPr>
          <w:rFonts w:ascii="Times New Roman" w:hAnsi="Times New Roman"/>
          <w:spacing w:val="-6"/>
          <w:lang w:eastAsia="zh-CN"/>
        </w:rPr>
        <w:t>。</w:t>
      </w:r>
    </w:p>
    <w:p w14:paraId="00AEDDB3"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2.3.2</w:t>
      </w:r>
      <w:r w:rsidRPr="00E67914">
        <w:rPr>
          <w:rFonts w:ascii="Times New Roman" w:eastAsia="黑体" w:hAnsi="Times New Roman"/>
          <w:b w:val="0"/>
          <w:sz w:val="24"/>
          <w:szCs w:val="24"/>
          <w:lang w:eastAsia="zh-CN"/>
        </w:rPr>
        <w:t>行政法规</w:t>
      </w:r>
    </w:p>
    <w:p w14:paraId="6F0D6C08"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1</w:t>
      </w:r>
      <w:r w:rsidRPr="00E67914">
        <w:rPr>
          <w:rFonts w:ascii="Times New Roman" w:hAnsi="Times New Roman"/>
          <w:spacing w:val="-6"/>
          <w:lang w:eastAsia="zh-CN"/>
        </w:rPr>
        <w:t>）《国务院关于环境保护若干问题的决定》（国发〔</w:t>
      </w:r>
      <w:r w:rsidRPr="00E67914">
        <w:rPr>
          <w:rFonts w:ascii="Times New Roman" w:hAnsi="Times New Roman"/>
          <w:spacing w:val="-6"/>
          <w:lang w:eastAsia="zh-CN"/>
        </w:rPr>
        <w:t>1996</w:t>
      </w:r>
      <w:r w:rsidRPr="00E67914">
        <w:rPr>
          <w:rFonts w:ascii="Times New Roman" w:hAnsi="Times New Roman"/>
          <w:spacing w:val="-6"/>
          <w:lang w:eastAsia="zh-CN"/>
        </w:rPr>
        <w:t>〕</w:t>
      </w:r>
      <w:r w:rsidRPr="00E67914">
        <w:rPr>
          <w:rFonts w:ascii="Times New Roman" w:hAnsi="Times New Roman"/>
          <w:spacing w:val="-6"/>
          <w:lang w:eastAsia="zh-CN"/>
        </w:rPr>
        <w:t>31</w:t>
      </w:r>
      <w:r w:rsidRPr="00E67914">
        <w:rPr>
          <w:rFonts w:ascii="Times New Roman" w:hAnsi="Times New Roman"/>
          <w:spacing w:val="-6"/>
          <w:lang w:eastAsia="zh-CN"/>
        </w:rPr>
        <w:t>号，</w:t>
      </w:r>
      <w:r w:rsidRPr="00E67914">
        <w:rPr>
          <w:rFonts w:ascii="Times New Roman" w:hAnsi="Times New Roman"/>
          <w:spacing w:val="-6"/>
          <w:lang w:eastAsia="zh-CN"/>
        </w:rPr>
        <w:t>1996.83</w:t>
      </w:r>
      <w:r w:rsidRPr="00E67914">
        <w:rPr>
          <w:rFonts w:ascii="Times New Roman" w:hAnsi="Times New Roman"/>
          <w:spacing w:val="-6"/>
          <w:lang w:eastAsia="zh-CN"/>
        </w:rPr>
        <w:t>）；</w:t>
      </w:r>
    </w:p>
    <w:p w14:paraId="70F66630"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2</w:t>
      </w:r>
      <w:r w:rsidRPr="00E67914">
        <w:rPr>
          <w:rFonts w:ascii="Times New Roman" w:hAnsi="Times New Roman"/>
          <w:spacing w:val="-6"/>
          <w:lang w:eastAsia="zh-CN"/>
        </w:rPr>
        <w:t>）《建设项目环境保护管理条例》（国务院令</w:t>
      </w:r>
      <w:r w:rsidRPr="00E67914">
        <w:rPr>
          <w:rFonts w:ascii="Times New Roman" w:hAnsi="Times New Roman"/>
          <w:spacing w:val="-6"/>
          <w:lang w:eastAsia="zh-CN"/>
        </w:rPr>
        <w:t>682</w:t>
      </w:r>
      <w:r w:rsidRPr="00E67914">
        <w:rPr>
          <w:rFonts w:ascii="Times New Roman" w:hAnsi="Times New Roman"/>
          <w:spacing w:val="-6"/>
          <w:lang w:eastAsia="zh-CN"/>
        </w:rPr>
        <w:t>号，</w:t>
      </w:r>
      <w:r w:rsidRPr="00E67914">
        <w:rPr>
          <w:rFonts w:ascii="Times New Roman" w:hAnsi="Times New Roman"/>
          <w:spacing w:val="-6"/>
          <w:lang w:eastAsia="zh-CN"/>
        </w:rPr>
        <w:t>2017.7</w:t>
      </w:r>
      <w:r w:rsidRPr="00E67914">
        <w:rPr>
          <w:rFonts w:ascii="Times New Roman" w:hAnsi="Times New Roman"/>
          <w:spacing w:val="-6"/>
          <w:lang w:eastAsia="zh-CN"/>
        </w:rPr>
        <w:t>）；</w:t>
      </w:r>
    </w:p>
    <w:p w14:paraId="37BB463C"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3</w:t>
      </w:r>
      <w:r w:rsidRPr="00E67914">
        <w:rPr>
          <w:rFonts w:ascii="Times New Roman" w:hAnsi="Times New Roman"/>
          <w:spacing w:val="-6"/>
          <w:lang w:eastAsia="zh-CN"/>
        </w:rPr>
        <w:t>）《全国生态环境保护纲要》（国发〔</w:t>
      </w:r>
      <w:r w:rsidRPr="00E67914">
        <w:rPr>
          <w:rFonts w:ascii="Times New Roman" w:hAnsi="Times New Roman"/>
          <w:spacing w:val="-6"/>
          <w:lang w:eastAsia="zh-CN"/>
        </w:rPr>
        <w:t>2000</w:t>
      </w:r>
      <w:r w:rsidRPr="00E67914">
        <w:rPr>
          <w:rFonts w:ascii="Times New Roman" w:hAnsi="Times New Roman"/>
          <w:spacing w:val="-6"/>
          <w:lang w:eastAsia="zh-CN"/>
        </w:rPr>
        <w:t>〕</w:t>
      </w:r>
      <w:r w:rsidRPr="00E67914">
        <w:rPr>
          <w:rFonts w:ascii="Times New Roman" w:hAnsi="Times New Roman"/>
          <w:spacing w:val="-6"/>
          <w:lang w:eastAsia="zh-CN"/>
        </w:rPr>
        <w:t xml:space="preserve">38 </w:t>
      </w:r>
      <w:r w:rsidRPr="00E67914">
        <w:rPr>
          <w:rFonts w:ascii="Times New Roman" w:hAnsi="Times New Roman"/>
          <w:spacing w:val="-6"/>
          <w:lang w:eastAsia="zh-CN"/>
        </w:rPr>
        <w:t>号，</w:t>
      </w:r>
      <w:r w:rsidRPr="00E67914">
        <w:rPr>
          <w:rFonts w:ascii="Times New Roman" w:hAnsi="Times New Roman"/>
          <w:spacing w:val="-6"/>
          <w:lang w:eastAsia="zh-CN"/>
        </w:rPr>
        <w:t>2000.12.6</w:t>
      </w:r>
      <w:r w:rsidRPr="00E67914">
        <w:rPr>
          <w:rFonts w:ascii="Times New Roman" w:hAnsi="Times New Roman"/>
          <w:spacing w:val="-6"/>
          <w:lang w:eastAsia="zh-CN"/>
        </w:rPr>
        <w:t>）；</w:t>
      </w:r>
    </w:p>
    <w:p w14:paraId="26823CF2"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4</w:t>
      </w:r>
      <w:r w:rsidRPr="00E67914">
        <w:rPr>
          <w:rFonts w:ascii="Times New Roman" w:hAnsi="Times New Roman"/>
          <w:spacing w:val="-6"/>
          <w:lang w:eastAsia="zh-CN"/>
        </w:rPr>
        <w:t>）《国务院办公厅转发发展改革委等部门关于加快推进清洁生产意见的通知》（国发〔</w:t>
      </w:r>
      <w:r w:rsidRPr="00E67914">
        <w:rPr>
          <w:rFonts w:ascii="Times New Roman" w:hAnsi="Times New Roman"/>
          <w:spacing w:val="-6"/>
          <w:lang w:eastAsia="zh-CN"/>
        </w:rPr>
        <w:t>2003</w:t>
      </w:r>
      <w:r w:rsidRPr="00E67914">
        <w:rPr>
          <w:rFonts w:ascii="Times New Roman" w:hAnsi="Times New Roman"/>
          <w:spacing w:val="-6"/>
          <w:lang w:eastAsia="zh-CN"/>
        </w:rPr>
        <w:t>〕</w:t>
      </w:r>
      <w:r w:rsidRPr="00E67914">
        <w:rPr>
          <w:rFonts w:ascii="Times New Roman" w:hAnsi="Times New Roman"/>
          <w:spacing w:val="-6"/>
          <w:lang w:eastAsia="zh-CN"/>
        </w:rPr>
        <w:t>100</w:t>
      </w:r>
      <w:r w:rsidRPr="00E67914">
        <w:rPr>
          <w:rFonts w:ascii="Times New Roman" w:hAnsi="Times New Roman"/>
          <w:spacing w:val="-6"/>
          <w:lang w:eastAsia="zh-CN"/>
        </w:rPr>
        <w:t>号，</w:t>
      </w:r>
      <w:r w:rsidRPr="00E67914">
        <w:rPr>
          <w:rFonts w:ascii="Times New Roman" w:hAnsi="Times New Roman"/>
          <w:spacing w:val="-6"/>
          <w:lang w:eastAsia="zh-CN"/>
        </w:rPr>
        <w:t>2003.12.17</w:t>
      </w:r>
      <w:r w:rsidRPr="00E67914">
        <w:rPr>
          <w:rFonts w:ascii="Times New Roman" w:hAnsi="Times New Roman"/>
          <w:spacing w:val="-6"/>
          <w:lang w:eastAsia="zh-CN"/>
        </w:rPr>
        <w:t>）；</w:t>
      </w:r>
    </w:p>
    <w:p w14:paraId="6D68DEE3"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5</w:t>
      </w:r>
      <w:r w:rsidRPr="00E67914">
        <w:rPr>
          <w:rFonts w:ascii="Times New Roman" w:hAnsi="Times New Roman"/>
          <w:spacing w:val="-6"/>
          <w:lang w:eastAsia="zh-CN"/>
        </w:rPr>
        <w:t>）《国务院关于印发节能减排综合性工作方案的通知》（国发〔</w:t>
      </w:r>
      <w:r w:rsidRPr="00E67914">
        <w:rPr>
          <w:rFonts w:ascii="Times New Roman" w:hAnsi="Times New Roman"/>
          <w:spacing w:val="-6"/>
          <w:lang w:eastAsia="zh-CN"/>
        </w:rPr>
        <w:t>2007</w:t>
      </w:r>
      <w:r w:rsidRPr="00E67914">
        <w:rPr>
          <w:rFonts w:ascii="Times New Roman" w:hAnsi="Times New Roman"/>
          <w:spacing w:val="-6"/>
          <w:lang w:eastAsia="zh-CN"/>
        </w:rPr>
        <w:t>〕</w:t>
      </w:r>
      <w:r w:rsidRPr="00E67914">
        <w:rPr>
          <w:rFonts w:ascii="Times New Roman" w:hAnsi="Times New Roman"/>
          <w:spacing w:val="-6"/>
          <w:lang w:eastAsia="zh-CN"/>
        </w:rPr>
        <w:t>15</w:t>
      </w:r>
      <w:r w:rsidRPr="00E67914">
        <w:rPr>
          <w:rFonts w:ascii="Times New Roman" w:hAnsi="Times New Roman"/>
          <w:spacing w:val="-6"/>
          <w:lang w:eastAsia="zh-CN"/>
        </w:rPr>
        <w:t>号，</w:t>
      </w:r>
      <w:r w:rsidRPr="00E67914">
        <w:rPr>
          <w:rFonts w:ascii="Times New Roman" w:hAnsi="Times New Roman"/>
          <w:spacing w:val="-6"/>
          <w:lang w:eastAsia="zh-CN"/>
        </w:rPr>
        <w:t>2007.5.23</w:t>
      </w:r>
      <w:r w:rsidRPr="00E67914">
        <w:rPr>
          <w:rFonts w:ascii="Times New Roman" w:hAnsi="Times New Roman"/>
          <w:spacing w:val="-6"/>
          <w:lang w:eastAsia="zh-CN"/>
        </w:rPr>
        <w:t>）；</w:t>
      </w:r>
    </w:p>
    <w:p w14:paraId="6B3B9589"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6</w:t>
      </w:r>
      <w:r w:rsidRPr="00E67914">
        <w:rPr>
          <w:rFonts w:ascii="Times New Roman" w:hAnsi="Times New Roman"/>
          <w:spacing w:val="-6"/>
          <w:lang w:eastAsia="zh-CN"/>
        </w:rPr>
        <w:t>）《基本农田保护条例》（</w:t>
      </w:r>
      <w:r w:rsidRPr="00E67914">
        <w:rPr>
          <w:rFonts w:ascii="Times New Roman" w:hAnsi="Times New Roman"/>
          <w:spacing w:val="-6"/>
          <w:lang w:eastAsia="zh-CN"/>
        </w:rPr>
        <w:t>2011.1.8</w:t>
      </w:r>
      <w:r w:rsidRPr="00E67914">
        <w:rPr>
          <w:rFonts w:ascii="Times New Roman" w:hAnsi="Times New Roman"/>
          <w:spacing w:val="-6"/>
          <w:lang w:eastAsia="zh-CN"/>
        </w:rPr>
        <w:t>修订）；</w:t>
      </w:r>
    </w:p>
    <w:p w14:paraId="67E49856"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7</w:t>
      </w:r>
      <w:r w:rsidRPr="00E67914">
        <w:rPr>
          <w:rFonts w:ascii="Times New Roman" w:hAnsi="Times New Roman"/>
          <w:spacing w:val="-6"/>
          <w:lang w:eastAsia="zh-CN"/>
        </w:rPr>
        <w:t>）《土地复垦条例》（国务院令</w:t>
      </w:r>
      <w:r w:rsidRPr="00E67914">
        <w:rPr>
          <w:rFonts w:ascii="Times New Roman" w:hAnsi="Times New Roman"/>
          <w:spacing w:val="-6"/>
          <w:lang w:eastAsia="zh-CN"/>
        </w:rPr>
        <w:t>592</w:t>
      </w:r>
      <w:r w:rsidRPr="00E67914">
        <w:rPr>
          <w:rFonts w:ascii="Times New Roman" w:hAnsi="Times New Roman"/>
          <w:spacing w:val="-6"/>
          <w:lang w:eastAsia="zh-CN"/>
        </w:rPr>
        <w:t>号，</w:t>
      </w:r>
      <w:r w:rsidRPr="00E67914">
        <w:rPr>
          <w:rFonts w:ascii="Times New Roman" w:hAnsi="Times New Roman"/>
          <w:spacing w:val="-6"/>
          <w:lang w:eastAsia="zh-CN"/>
        </w:rPr>
        <w:t>2011.2.22</w:t>
      </w:r>
      <w:r w:rsidRPr="00E67914">
        <w:rPr>
          <w:rFonts w:ascii="Times New Roman" w:hAnsi="Times New Roman"/>
          <w:spacing w:val="-6"/>
          <w:lang w:eastAsia="zh-CN"/>
        </w:rPr>
        <w:t>）；</w:t>
      </w:r>
    </w:p>
    <w:p w14:paraId="47B506EA"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8</w:t>
      </w:r>
      <w:r w:rsidRPr="00E67914">
        <w:rPr>
          <w:rFonts w:ascii="Times New Roman" w:hAnsi="Times New Roman"/>
          <w:spacing w:val="-6"/>
          <w:lang w:eastAsia="zh-CN"/>
        </w:rPr>
        <w:t>）《大气污染防治行动计划》（国发〔</w:t>
      </w:r>
      <w:r w:rsidRPr="00E67914">
        <w:rPr>
          <w:rFonts w:ascii="Times New Roman" w:hAnsi="Times New Roman"/>
          <w:spacing w:val="-6"/>
          <w:lang w:eastAsia="zh-CN"/>
        </w:rPr>
        <w:t>2013</w:t>
      </w:r>
      <w:r w:rsidRPr="00E67914">
        <w:rPr>
          <w:rFonts w:ascii="Times New Roman" w:hAnsi="Times New Roman"/>
          <w:spacing w:val="-6"/>
          <w:lang w:eastAsia="zh-CN"/>
        </w:rPr>
        <w:t>〕</w:t>
      </w:r>
      <w:r w:rsidRPr="00E67914">
        <w:rPr>
          <w:rFonts w:ascii="Times New Roman" w:hAnsi="Times New Roman"/>
          <w:spacing w:val="-6"/>
          <w:lang w:eastAsia="zh-CN"/>
        </w:rPr>
        <w:t>37</w:t>
      </w:r>
      <w:r w:rsidRPr="00E67914">
        <w:rPr>
          <w:rFonts w:ascii="Times New Roman" w:hAnsi="Times New Roman"/>
          <w:spacing w:val="-6"/>
          <w:lang w:eastAsia="zh-CN"/>
        </w:rPr>
        <w:t>号），</w:t>
      </w:r>
      <w:r w:rsidRPr="00E67914">
        <w:rPr>
          <w:rFonts w:ascii="Times New Roman" w:hAnsi="Times New Roman"/>
          <w:spacing w:val="-6"/>
          <w:lang w:eastAsia="zh-CN"/>
        </w:rPr>
        <w:t>2013.9.10</w:t>
      </w:r>
      <w:r w:rsidRPr="00E67914">
        <w:rPr>
          <w:rFonts w:ascii="Times New Roman" w:hAnsi="Times New Roman"/>
          <w:spacing w:val="-6"/>
          <w:lang w:eastAsia="zh-CN"/>
        </w:rPr>
        <w:t>；</w:t>
      </w:r>
    </w:p>
    <w:p w14:paraId="06D71986"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9</w:t>
      </w:r>
      <w:r w:rsidRPr="00E67914">
        <w:rPr>
          <w:rFonts w:ascii="Times New Roman" w:hAnsi="Times New Roman"/>
          <w:spacing w:val="-6"/>
          <w:lang w:eastAsia="zh-CN"/>
        </w:rPr>
        <w:t>）《全国生态保护与建设规划》（</w:t>
      </w:r>
      <w:r w:rsidRPr="00E67914">
        <w:rPr>
          <w:rFonts w:ascii="Times New Roman" w:hAnsi="Times New Roman"/>
          <w:spacing w:val="-6"/>
          <w:lang w:eastAsia="zh-CN"/>
        </w:rPr>
        <w:t>2013~2020</w:t>
      </w:r>
      <w:r w:rsidRPr="00E67914">
        <w:rPr>
          <w:rFonts w:ascii="Times New Roman" w:hAnsi="Times New Roman"/>
          <w:spacing w:val="-6"/>
          <w:lang w:eastAsia="zh-CN"/>
        </w:rPr>
        <w:t>年），</w:t>
      </w:r>
      <w:r w:rsidRPr="00E67914">
        <w:rPr>
          <w:rFonts w:ascii="Times New Roman" w:hAnsi="Times New Roman"/>
          <w:spacing w:val="-6"/>
          <w:lang w:eastAsia="zh-CN"/>
        </w:rPr>
        <w:t>2013.10</w:t>
      </w:r>
      <w:r w:rsidRPr="00E67914">
        <w:rPr>
          <w:rFonts w:ascii="Times New Roman" w:hAnsi="Times New Roman"/>
          <w:spacing w:val="-6"/>
          <w:lang w:eastAsia="zh-CN"/>
        </w:rPr>
        <w:t>；</w:t>
      </w:r>
    </w:p>
    <w:p w14:paraId="04FAED58"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10</w:t>
      </w:r>
      <w:r w:rsidRPr="00E67914">
        <w:rPr>
          <w:rFonts w:ascii="Times New Roman" w:hAnsi="Times New Roman"/>
          <w:spacing w:val="-6"/>
          <w:lang w:eastAsia="zh-CN"/>
        </w:rPr>
        <w:t>）《水污染防治行动计划》（国发〔</w:t>
      </w:r>
      <w:r w:rsidRPr="00E67914">
        <w:rPr>
          <w:rFonts w:ascii="Times New Roman" w:hAnsi="Times New Roman"/>
          <w:spacing w:val="-6"/>
          <w:lang w:eastAsia="zh-CN"/>
        </w:rPr>
        <w:t>2015</w:t>
      </w:r>
      <w:r w:rsidRPr="00E67914">
        <w:rPr>
          <w:rFonts w:ascii="Times New Roman" w:hAnsi="Times New Roman"/>
          <w:spacing w:val="-6"/>
          <w:lang w:eastAsia="zh-CN"/>
        </w:rPr>
        <w:t>〕</w:t>
      </w:r>
      <w:r w:rsidRPr="00E67914">
        <w:rPr>
          <w:rFonts w:ascii="Times New Roman" w:hAnsi="Times New Roman"/>
          <w:spacing w:val="-6"/>
          <w:lang w:eastAsia="zh-CN"/>
        </w:rPr>
        <w:t>17</w:t>
      </w:r>
      <w:r w:rsidRPr="00E67914">
        <w:rPr>
          <w:rFonts w:ascii="Times New Roman" w:hAnsi="Times New Roman"/>
          <w:spacing w:val="-6"/>
          <w:lang w:eastAsia="zh-CN"/>
        </w:rPr>
        <w:t>号），</w:t>
      </w:r>
      <w:r w:rsidRPr="00E67914">
        <w:rPr>
          <w:rFonts w:ascii="Times New Roman" w:hAnsi="Times New Roman"/>
          <w:spacing w:val="-6"/>
          <w:lang w:eastAsia="zh-CN"/>
        </w:rPr>
        <w:t>2015.4.2</w:t>
      </w:r>
      <w:r w:rsidRPr="00E67914">
        <w:rPr>
          <w:rFonts w:ascii="Times New Roman" w:hAnsi="Times New Roman"/>
          <w:spacing w:val="-6"/>
          <w:lang w:eastAsia="zh-CN"/>
        </w:rPr>
        <w:t>；</w:t>
      </w:r>
    </w:p>
    <w:p w14:paraId="296FFD45" w14:textId="77777777" w:rsidR="00267B16" w:rsidRPr="00E67914" w:rsidRDefault="00267B16" w:rsidP="00267B16">
      <w:pPr>
        <w:pStyle w:val="af"/>
        <w:adjustRightInd w:val="0"/>
        <w:snapToGrid w:val="0"/>
        <w:spacing w:line="360" w:lineRule="auto"/>
        <w:ind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11</w:t>
      </w:r>
      <w:r w:rsidRPr="00E67914">
        <w:rPr>
          <w:rFonts w:ascii="Times New Roman" w:hAnsi="Times New Roman"/>
          <w:spacing w:val="-6"/>
          <w:lang w:eastAsia="zh-CN"/>
        </w:rPr>
        <w:t>）《土壤污染防治行动计划》（国发〔</w:t>
      </w:r>
      <w:r w:rsidRPr="00E67914">
        <w:rPr>
          <w:rFonts w:ascii="Times New Roman" w:hAnsi="Times New Roman"/>
          <w:spacing w:val="-6"/>
          <w:lang w:eastAsia="zh-CN"/>
        </w:rPr>
        <w:t>2016</w:t>
      </w:r>
      <w:r w:rsidRPr="00E67914">
        <w:rPr>
          <w:rFonts w:ascii="Times New Roman" w:hAnsi="Times New Roman"/>
          <w:spacing w:val="-6"/>
          <w:lang w:eastAsia="zh-CN"/>
        </w:rPr>
        <w:t>〕</w:t>
      </w:r>
      <w:r w:rsidRPr="00E67914">
        <w:rPr>
          <w:rFonts w:ascii="Times New Roman" w:hAnsi="Times New Roman"/>
          <w:spacing w:val="-6"/>
          <w:lang w:eastAsia="zh-CN"/>
        </w:rPr>
        <w:t>31</w:t>
      </w:r>
      <w:r w:rsidRPr="00E67914">
        <w:rPr>
          <w:rFonts w:ascii="Times New Roman" w:hAnsi="Times New Roman"/>
          <w:spacing w:val="-6"/>
          <w:lang w:eastAsia="zh-CN"/>
        </w:rPr>
        <w:t>号），</w:t>
      </w:r>
      <w:r w:rsidRPr="00E67914">
        <w:rPr>
          <w:rFonts w:ascii="Times New Roman" w:hAnsi="Times New Roman"/>
          <w:spacing w:val="-6"/>
          <w:lang w:eastAsia="zh-CN"/>
        </w:rPr>
        <w:t>2016.5.28</w:t>
      </w:r>
    </w:p>
    <w:p w14:paraId="52E628BA" w14:textId="485411AA" w:rsidR="00493D92" w:rsidRPr="00E67914" w:rsidRDefault="00267B16" w:rsidP="00267B16">
      <w:pPr>
        <w:pStyle w:val="af"/>
        <w:adjustRightInd w:val="0"/>
        <w:snapToGrid w:val="0"/>
        <w:spacing w:before="0" w:line="360" w:lineRule="auto"/>
        <w:ind w:left="0" w:firstLineChars="200" w:firstLine="468"/>
        <w:rPr>
          <w:rFonts w:ascii="Times New Roman" w:hAnsi="Times New Roman"/>
          <w:spacing w:val="-6"/>
          <w:lang w:eastAsia="zh-CN"/>
        </w:rPr>
      </w:pPr>
      <w:r w:rsidRPr="00E67914">
        <w:rPr>
          <w:rFonts w:ascii="Times New Roman" w:hAnsi="Times New Roman"/>
          <w:spacing w:val="-6"/>
          <w:lang w:eastAsia="zh-CN"/>
        </w:rPr>
        <w:t>（</w:t>
      </w:r>
      <w:r w:rsidRPr="00E67914">
        <w:rPr>
          <w:rFonts w:ascii="Times New Roman" w:hAnsi="Times New Roman"/>
          <w:spacing w:val="-6"/>
          <w:lang w:eastAsia="zh-CN"/>
        </w:rPr>
        <w:t>12</w:t>
      </w:r>
      <w:r w:rsidRPr="00E67914">
        <w:rPr>
          <w:rFonts w:ascii="Times New Roman" w:hAnsi="Times New Roman"/>
          <w:spacing w:val="-6"/>
          <w:lang w:eastAsia="zh-CN"/>
        </w:rPr>
        <w:t>）《中华人民共和国野生植物保护条例》（</w:t>
      </w:r>
      <w:r w:rsidRPr="00E67914">
        <w:rPr>
          <w:rFonts w:ascii="Times New Roman" w:hAnsi="Times New Roman"/>
          <w:spacing w:val="-6"/>
          <w:lang w:eastAsia="zh-CN"/>
        </w:rPr>
        <w:t>2017.10.7</w:t>
      </w:r>
      <w:r w:rsidRPr="00E67914">
        <w:rPr>
          <w:rFonts w:ascii="Times New Roman" w:hAnsi="Times New Roman"/>
          <w:spacing w:val="-6"/>
          <w:lang w:eastAsia="zh-CN"/>
        </w:rPr>
        <w:t>修订）。</w:t>
      </w:r>
    </w:p>
    <w:p w14:paraId="74CCD666"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2.3.3</w:t>
      </w:r>
      <w:r w:rsidRPr="00E67914">
        <w:rPr>
          <w:rFonts w:ascii="Times New Roman" w:eastAsia="黑体" w:hAnsi="Times New Roman"/>
          <w:b w:val="0"/>
          <w:sz w:val="24"/>
          <w:szCs w:val="24"/>
          <w:lang w:eastAsia="zh-CN"/>
        </w:rPr>
        <w:t>部门规章</w:t>
      </w:r>
    </w:p>
    <w:p w14:paraId="7289F68E"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）《自然资源部</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关于进一步做好用地用海要素保障的通知》（自然资发〔</w:t>
      </w:r>
      <w:r w:rsidRPr="00E67914">
        <w:rPr>
          <w:rFonts w:ascii="Times New Roman" w:hAnsi="Times New Roman"/>
          <w:bCs/>
          <w:kern w:val="2"/>
          <w:sz w:val="24"/>
          <w:szCs w:val="24"/>
          <w:lang w:eastAsia="zh-CN"/>
        </w:rPr>
        <w:t>2023</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89</w:t>
      </w:r>
      <w:r w:rsidRPr="00E67914">
        <w:rPr>
          <w:rFonts w:ascii="Times New Roman" w:hAnsi="Times New Roman"/>
          <w:bCs/>
          <w:kern w:val="2"/>
          <w:sz w:val="24"/>
          <w:szCs w:val="24"/>
          <w:lang w:eastAsia="zh-CN"/>
        </w:rPr>
        <w:t>号）</w:t>
      </w:r>
    </w:p>
    <w:p w14:paraId="31C4A018"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）《自然资源部</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农业农村部关于加强和改进永久基本农田保护工作的通知》（自然资规</w:t>
      </w:r>
      <w:r w:rsidRPr="00E67914">
        <w:rPr>
          <w:rFonts w:ascii="Times New Roman" w:hAnsi="Times New Roman"/>
          <w:bCs/>
          <w:kern w:val="2"/>
          <w:sz w:val="24"/>
          <w:szCs w:val="24"/>
          <w:lang w:eastAsia="zh-CN"/>
        </w:rPr>
        <w:t>[2019]1</w:t>
      </w:r>
      <w:r w:rsidRPr="00E67914">
        <w:rPr>
          <w:rFonts w:ascii="Times New Roman" w:hAnsi="Times New Roman"/>
          <w:bCs/>
          <w:kern w:val="2"/>
          <w:sz w:val="24"/>
          <w:szCs w:val="24"/>
          <w:lang w:eastAsia="zh-CN"/>
        </w:rPr>
        <w:t>号）；</w:t>
      </w:r>
    </w:p>
    <w:p w14:paraId="5F3E91F5"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）《自然资源部关于做好占用永久基本农田重大建设项目用地预审的通知》（自然资规〔</w:t>
      </w:r>
      <w:r w:rsidRPr="00E67914">
        <w:rPr>
          <w:rFonts w:ascii="Times New Roman" w:hAnsi="Times New Roman"/>
          <w:bCs/>
          <w:kern w:val="2"/>
          <w:sz w:val="24"/>
          <w:szCs w:val="24"/>
          <w:lang w:eastAsia="zh-CN"/>
        </w:rPr>
        <w:t>2018</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号）；</w:t>
      </w:r>
    </w:p>
    <w:p w14:paraId="7E724AA7"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）《自然资源部关于规范临时用地管理的通知》（自然资规〔</w:t>
      </w:r>
      <w:r w:rsidRPr="00E67914">
        <w:rPr>
          <w:rFonts w:ascii="Times New Roman" w:hAnsi="Times New Roman"/>
          <w:bCs/>
          <w:kern w:val="2"/>
          <w:sz w:val="24"/>
          <w:szCs w:val="24"/>
          <w:lang w:eastAsia="zh-CN"/>
        </w:rPr>
        <w:t>2021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号）；</w:t>
      </w:r>
    </w:p>
    <w:p w14:paraId="01A6E308"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）《自然资源部</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农业农村部</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国家林业和草原局关于严格耕地用途管制有关问题的通知》（自然资发〔</w:t>
      </w:r>
      <w:r w:rsidRPr="00E67914">
        <w:rPr>
          <w:rFonts w:ascii="Times New Roman" w:hAnsi="Times New Roman"/>
          <w:bCs/>
          <w:kern w:val="2"/>
          <w:sz w:val="24"/>
          <w:szCs w:val="24"/>
          <w:lang w:eastAsia="zh-CN"/>
        </w:rPr>
        <w:t>2021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166</w:t>
      </w:r>
      <w:r w:rsidRPr="00E67914">
        <w:rPr>
          <w:rFonts w:ascii="Times New Roman" w:hAnsi="Times New Roman"/>
          <w:bCs/>
          <w:kern w:val="2"/>
          <w:sz w:val="24"/>
          <w:szCs w:val="24"/>
          <w:lang w:eastAsia="zh-CN"/>
        </w:rPr>
        <w:t>号）；</w:t>
      </w:r>
    </w:p>
    <w:p w14:paraId="7A604ED8"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）《关于进一步加强建设项目环境保护管理工作的通知》（环发〔</w:t>
      </w:r>
      <w:r w:rsidRPr="00E67914">
        <w:rPr>
          <w:rFonts w:ascii="Times New Roman" w:hAnsi="Times New Roman"/>
          <w:bCs/>
          <w:kern w:val="2"/>
          <w:sz w:val="24"/>
          <w:szCs w:val="24"/>
          <w:lang w:eastAsia="zh-CN"/>
        </w:rPr>
        <w:t>2001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19</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t>2001.2.21</w:t>
      </w:r>
      <w:r w:rsidRPr="00E67914">
        <w:rPr>
          <w:rFonts w:ascii="Times New Roman" w:hAnsi="Times New Roman"/>
          <w:bCs/>
          <w:kern w:val="2"/>
          <w:sz w:val="24"/>
          <w:szCs w:val="24"/>
          <w:lang w:eastAsia="zh-CN"/>
        </w:rPr>
        <w:t>）；</w:t>
      </w:r>
    </w:p>
    <w:p w14:paraId="5BBDA35D"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7</w:t>
      </w:r>
      <w:r w:rsidRPr="00E67914">
        <w:rPr>
          <w:rFonts w:ascii="Times New Roman" w:hAnsi="Times New Roman"/>
          <w:bCs/>
          <w:kern w:val="2"/>
          <w:sz w:val="24"/>
          <w:szCs w:val="24"/>
          <w:lang w:eastAsia="zh-CN"/>
        </w:rPr>
        <w:t>）《关于进一步加强石油天然气行业环境影响评价管理的通知》（环办环评函〔</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910</w:t>
      </w:r>
      <w:r w:rsidRPr="00E67914">
        <w:rPr>
          <w:rFonts w:ascii="Times New Roman" w:hAnsi="Times New Roman"/>
          <w:bCs/>
          <w:kern w:val="2"/>
          <w:sz w:val="24"/>
          <w:szCs w:val="24"/>
          <w:lang w:eastAsia="zh-CN"/>
        </w:rPr>
        <w:t>号）；</w:t>
      </w:r>
    </w:p>
    <w:p w14:paraId="15310593"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）《环境影响评价公众参与办法》（</w:t>
      </w:r>
      <w:r w:rsidRPr="00E67914">
        <w:rPr>
          <w:rFonts w:ascii="Times New Roman" w:hAnsi="Times New Roman"/>
          <w:bCs/>
          <w:kern w:val="2"/>
          <w:sz w:val="24"/>
          <w:szCs w:val="24"/>
          <w:lang w:eastAsia="zh-CN"/>
        </w:rPr>
        <w:t>2018</w:t>
      </w:r>
      <w:r w:rsidRPr="00E67914">
        <w:rPr>
          <w:rFonts w:ascii="Times New Roman" w:hAnsi="Times New Roman"/>
          <w:bCs/>
          <w:kern w:val="2"/>
          <w:sz w:val="24"/>
          <w:szCs w:val="24"/>
          <w:lang w:eastAsia="zh-CN"/>
        </w:rPr>
        <w:t>年</w:t>
      </w:r>
      <w:r w:rsidRPr="00E67914">
        <w:rPr>
          <w:rFonts w:ascii="Times New Roman" w:hAnsi="Times New Roman"/>
          <w:bCs/>
          <w:kern w:val="2"/>
          <w:sz w:val="24"/>
          <w:szCs w:val="24"/>
          <w:lang w:eastAsia="zh-CN"/>
        </w:rPr>
        <w:t>7</w:t>
      </w:r>
      <w:r w:rsidRPr="00E67914">
        <w:rPr>
          <w:rFonts w:ascii="Times New Roman" w:hAnsi="Times New Roman"/>
          <w:bCs/>
          <w:kern w:val="2"/>
          <w:sz w:val="24"/>
          <w:szCs w:val="24"/>
          <w:lang w:eastAsia="zh-CN"/>
        </w:rPr>
        <w:t>月</w:t>
      </w:r>
      <w:r w:rsidRPr="00E67914">
        <w:rPr>
          <w:rFonts w:ascii="Times New Roman" w:hAnsi="Times New Roman"/>
          <w:bCs/>
          <w:kern w:val="2"/>
          <w:sz w:val="24"/>
          <w:szCs w:val="24"/>
          <w:lang w:eastAsia="zh-CN"/>
        </w:rPr>
        <w:t>16</w:t>
      </w:r>
      <w:r w:rsidRPr="00E67914">
        <w:rPr>
          <w:rFonts w:ascii="Times New Roman" w:hAnsi="Times New Roman"/>
          <w:bCs/>
          <w:kern w:val="2"/>
          <w:sz w:val="24"/>
          <w:szCs w:val="24"/>
          <w:lang w:eastAsia="zh-CN"/>
        </w:rPr>
        <w:t>日）；</w:t>
      </w:r>
    </w:p>
    <w:p w14:paraId="14AF8344"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w:t>
      </w:r>
      <w:r w:rsidRPr="00E67914">
        <w:rPr>
          <w:rFonts w:ascii="Times New Roman" w:hAnsi="Times New Roman"/>
          <w:bCs/>
          <w:kern w:val="2"/>
          <w:sz w:val="24"/>
          <w:szCs w:val="24"/>
          <w:lang w:eastAsia="zh-CN"/>
        </w:rPr>
        <w:t>）《突发环境事件应急管理办法》（部令第</w:t>
      </w:r>
      <w:r w:rsidRPr="00E67914">
        <w:rPr>
          <w:rFonts w:ascii="Times New Roman" w:hAnsi="Times New Roman"/>
          <w:bCs/>
          <w:kern w:val="2"/>
          <w:sz w:val="24"/>
          <w:szCs w:val="24"/>
          <w:lang w:eastAsia="zh-CN"/>
        </w:rPr>
        <w:t>34</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t>2015.6.5</w:t>
      </w:r>
      <w:r w:rsidRPr="00E67914">
        <w:rPr>
          <w:rFonts w:ascii="Times New Roman" w:hAnsi="Times New Roman"/>
          <w:bCs/>
          <w:kern w:val="2"/>
          <w:sz w:val="24"/>
          <w:szCs w:val="24"/>
          <w:lang w:eastAsia="zh-CN"/>
        </w:rPr>
        <w:t>）；</w:t>
      </w:r>
    </w:p>
    <w:p w14:paraId="2C4B7749"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）《关于进一步加强环境影响评价管理防范环境风险的通知》（环发〔</w:t>
      </w:r>
      <w:r w:rsidRPr="00E67914">
        <w:rPr>
          <w:rFonts w:ascii="Times New Roman" w:hAnsi="Times New Roman"/>
          <w:bCs/>
          <w:kern w:val="2"/>
          <w:sz w:val="24"/>
          <w:szCs w:val="24"/>
          <w:lang w:eastAsia="zh-CN"/>
        </w:rPr>
        <w:t>2012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77</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t>2012.7.3</w:t>
      </w:r>
      <w:r w:rsidRPr="00E67914">
        <w:rPr>
          <w:rFonts w:ascii="Times New Roman" w:hAnsi="Times New Roman"/>
          <w:bCs/>
          <w:kern w:val="2"/>
          <w:sz w:val="24"/>
          <w:szCs w:val="24"/>
          <w:lang w:eastAsia="zh-CN"/>
        </w:rPr>
        <w:t>）；</w:t>
      </w:r>
    </w:p>
    <w:p w14:paraId="662BEC1B"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11</w:t>
      </w:r>
      <w:r w:rsidRPr="00E67914">
        <w:rPr>
          <w:rFonts w:ascii="Times New Roman" w:hAnsi="Times New Roman"/>
          <w:bCs/>
          <w:kern w:val="2"/>
          <w:sz w:val="24"/>
          <w:szCs w:val="24"/>
          <w:lang w:eastAsia="zh-CN"/>
        </w:rPr>
        <w:t>）《关于切实加强风险防范严格环境影响评价管理的通知》（环发〔</w:t>
      </w:r>
      <w:r w:rsidRPr="00E67914">
        <w:rPr>
          <w:rFonts w:ascii="Times New Roman" w:hAnsi="Times New Roman"/>
          <w:bCs/>
          <w:kern w:val="2"/>
          <w:sz w:val="24"/>
          <w:szCs w:val="24"/>
          <w:lang w:eastAsia="zh-CN"/>
        </w:rPr>
        <w:t>2012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98</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t>2012.8.8</w:t>
      </w:r>
      <w:r w:rsidRPr="00E67914">
        <w:rPr>
          <w:rFonts w:ascii="Times New Roman" w:hAnsi="Times New Roman"/>
          <w:bCs/>
          <w:kern w:val="2"/>
          <w:sz w:val="24"/>
          <w:szCs w:val="24"/>
          <w:lang w:eastAsia="zh-CN"/>
        </w:rPr>
        <w:t>）；</w:t>
      </w:r>
    </w:p>
    <w:p w14:paraId="3E0DB7AD"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12</w:t>
      </w:r>
      <w:r w:rsidRPr="00E67914">
        <w:rPr>
          <w:rFonts w:ascii="Times New Roman" w:hAnsi="Times New Roman"/>
          <w:bCs/>
          <w:kern w:val="2"/>
          <w:sz w:val="24"/>
          <w:szCs w:val="24"/>
          <w:lang w:eastAsia="zh-CN"/>
        </w:rPr>
        <w:t>）《石油天然气开采业污染防治技术政策》（环保部公告</w:t>
      </w:r>
      <w:r w:rsidRPr="00E67914">
        <w:rPr>
          <w:rFonts w:ascii="Times New Roman" w:hAnsi="Times New Roman"/>
          <w:bCs/>
          <w:kern w:val="2"/>
          <w:sz w:val="24"/>
          <w:szCs w:val="24"/>
          <w:lang w:eastAsia="zh-CN"/>
        </w:rPr>
        <w:t>2012</w:t>
      </w:r>
      <w:r w:rsidRPr="00E67914">
        <w:rPr>
          <w:rFonts w:ascii="Times New Roman" w:hAnsi="Times New Roman"/>
          <w:bCs/>
          <w:kern w:val="2"/>
          <w:sz w:val="24"/>
          <w:szCs w:val="24"/>
          <w:lang w:eastAsia="zh-CN"/>
        </w:rPr>
        <w:t>年第</w:t>
      </w:r>
      <w:r w:rsidRPr="00E67914">
        <w:rPr>
          <w:rFonts w:ascii="Times New Roman" w:hAnsi="Times New Roman"/>
          <w:bCs/>
          <w:kern w:val="2"/>
          <w:sz w:val="24"/>
          <w:szCs w:val="24"/>
          <w:lang w:eastAsia="zh-CN"/>
        </w:rPr>
        <w:t>18</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t xml:space="preserve">2012.03.07 </w:t>
      </w:r>
      <w:r w:rsidRPr="00E67914">
        <w:rPr>
          <w:rFonts w:ascii="Times New Roman" w:hAnsi="Times New Roman"/>
          <w:bCs/>
          <w:kern w:val="2"/>
          <w:sz w:val="24"/>
          <w:szCs w:val="24"/>
          <w:lang w:eastAsia="zh-CN"/>
        </w:rPr>
        <w:t>实施；</w:t>
      </w:r>
    </w:p>
    <w:p w14:paraId="2F4C48F5"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13</w:t>
      </w:r>
      <w:r w:rsidRPr="00E67914">
        <w:rPr>
          <w:rFonts w:ascii="Times New Roman" w:hAnsi="Times New Roman"/>
          <w:bCs/>
          <w:kern w:val="2"/>
          <w:sz w:val="24"/>
          <w:szCs w:val="24"/>
          <w:lang w:eastAsia="zh-CN"/>
        </w:rPr>
        <w:t>）《产业结构调整指导目录》（</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年修订）（</w:t>
      </w:r>
      <w:r w:rsidRPr="00E67914">
        <w:rPr>
          <w:rFonts w:ascii="Times New Roman" w:hAnsi="Times New Roman"/>
          <w:bCs/>
          <w:kern w:val="2"/>
          <w:sz w:val="24"/>
          <w:szCs w:val="24"/>
          <w:lang w:eastAsia="zh-CN"/>
        </w:rPr>
        <w:t>2020.1.1</w:t>
      </w:r>
      <w:r w:rsidRPr="00E67914">
        <w:rPr>
          <w:rFonts w:ascii="Times New Roman" w:hAnsi="Times New Roman"/>
          <w:bCs/>
          <w:kern w:val="2"/>
          <w:sz w:val="24"/>
          <w:szCs w:val="24"/>
          <w:lang w:eastAsia="zh-CN"/>
        </w:rPr>
        <w:t>施行）；</w:t>
      </w:r>
    </w:p>
    <w:p w14:paraId="1C97A211"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14</w:t>
      </w:r>
      <w:r w:rsidRPr="00E67914">
        <w:rPr>
          <w:rFonts w:ascii="Times New Roman" w:hAnsi="Times New Roman"/>
          <w:bCs/>
          <w:kern w:val="2"/>
          <w:sz w:val="24"/>
          <w:szCs w:val="24"/>
          <w:lang w:eastAsia="zh-CN"/>
        </w:rPr>
        <w:t>）《国家发展改革委关于修改</w:t>
      </w:r>
      <w:r w:rsidRPr="00E67914">
        <w:rPr>
          <w:rFonts w:ascii="Times New Roman" w:hAnsi="Times New Roman"/>
          <w:bCs/>
          <w:kern w:val="2"/>
          <w:sz w:val="24"/>
          <w:szCs w:val="24"/>
          <w:lang w:eastAsia="zh-CN"/>
        </w:rPr>
        <w:t>&lt;</w:t>
      </w:r>
      <w:r w:rsidRPr="00E67914">
        <w:rPr>
          <w:rFonts w:ascii="Times New Roman" w:hAnsi="Times New Roman"/>
          <w:bCs/>
          <w:kern w:val="2"/>
          <w:sz w:val="24"/>
          <w:szCs w:val="24"/>
          <w:lang w:eastAsia="zh-CN"/>
        </w:rPr>
        <w:t>产业结构调整指导目录（</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年本）</w:t>
      </w:r>
      <w:r w:rsidRPr="00E67914">
        <w:rPr>
          <w:rFonts w:ascii="Times New Roman" w:hAnsi="Times New Roman"/>
          <w:bCs/>
          <w:kern w:val="2"/>
          <w:sz w:val="24"/>
          <w:szCs w:val="24"/>
          <w:lang w:eastAsia="zh-CN"/>
        </w:rPr>
        <w:t>&gt;</w:t>
      </w:r>
      <w:r w:rsidRPr="00E67914">
        <w:rPr>
          <w:rFonts w:ascii="Times New Roman" w:hAnsi="Times New Roman"/>
          <w:bCs/>
          <w:kern w:val="2"/>
          <w:sz w:val="24"/>
          <w:szCs w:val="24"/>
          <w:lang w:eastAsia="zh-CN"/>
        </w:rPr>
        <w:t>的决定》（中华人民共和国国家发展和改革委员会令第</w:t>
      </w:r>
      <w:r w:rsidRPr="00E67914">
        <w:rPr>
          <w:rFonts w:ascii="Times New Roman" w:hAnsi="Times New Roman"/>
          <w:bCs/>
          <w:kern w:val="2"/>
          <w:sz w:val="24"/>
          <w:szCs w:val="24"/>
          <w:lang w:eastAsia="zh-CN"/>
        </w:rPr>
        <w:t>49</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t>2021</w:t>
      </w:r>
      <w:r w:rsidRPr="00E67914">
        <w:rPr>
          <w:rFonts w:ascii="Times New Roman" w:hAnsi="Times New Roman"/>
          <w:bCs/>
          <w:kern w:val="2"/>
          <w:sz w:val="24"/>
          <w:szCs w:val="24"/>
          <w:lang w:eastAsia="zh-CN"/>
        </w:rPr>
        <w:t>年修订）；</w:t>
      </w:r>
    </w:p>
    <w:p w14:paraId="00312F76"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15</w:t>
      </w:r>
      <w:r w:rsidRPr="00E67914">
        <w:rPr>
          <w:rFonts w:ascii="Times New Roman" w:hAnsi="Times New Roman"/>
          <w:bCs/>
          <w:kern w:val="2"/>
          <w:sz w:val="24"/>
          <w:szCs w:val="24"/>
          <w:lang w:eastAsia="zh-CN"/>
        </w:rPr>
        <w:t>）《关于推进环境保护公众参与的指导意见》（环办〔</w:t>
      </w:r>
      <w:r w:rsidRPr="00E67914">
        <w:rPr>
          <w:rFonts w:ascii="Times New Roman" w:hAnsi="Times New Roman"/>
          <w:bCs/>
          <w:kern w:val="2"/>
          <w:sz w:val="24"/>
          <w:szCs w:val="24"/>
          <w:lang w:eastAsia="zh-CN"/>
        </w:rPr>
        <w:t>2014</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48</w:t>
      </w:r>
      <w:r w:rsidRPr="00E67914">
        <w:rPr>
          <w:rFonts w:ascii="Times New Roman" w:hAnsi="Times New Roman"/>
          <w:bCs/>
          <w:kern w:val="2"/>
          <w:sz w:val="24"/>
          <w:szCs w:val="24"/>
          <w:lang w:eastAsia="zh-CN"/>
        </w:rPr>
        <w:t>号）；</w:t>
      </w:r>
    </w:p>
    <w:p w14:paraId="79F667B4"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16</w:t>
      </w:r>
      <w:r w:rsidRPr="00E67914">
        <w:rPr>
          <w:rFonts w:ascii="Times New Roman" w:hAnsi="Times New Roman"/>
          <w:bCs/>
          <w:kern w:val="2"/>
          <w:sz w:val="24"/>
          <w:szCs w:val="24"/>
          <w:lang w:eastAsia="zh-CN"/>
        </w:rPr>
        <w:t>）《关于落实大气污染防治行动计划严格环境影响评价准入的通知》（环办〔</w:t>
      </w:r>
      <w:r w:rsidRPr="00E67914">
        <w:rPr>
          <w:rFonts w:ascii="Times New Roman" w:hAnsi="Times New Roman"/>
          <w:bCs/>
          <w:kern w:val="2"/>
          <w:sz w:val="24"/>
          <w:szCs w:val="24"/>
          <w:lang w:eastAsia="zh-CN"/>
        </w:rPr>
        <w:t>2014</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30</w:t>
      </w:r>
      <w:r w:rsidRPr="00E67914">
        <w:rPr>
          <w:rFonts w:ascii="Times New Roman" w:hAnsi="Times New Roman"/>
          <w:bCs/>
          <w:kern w:val="2"/>
          <w:sz w:val="24"/>
          <w:szCs w:val="24"/>
          <w:lang w:eastAsia="zh-CN"/>
        </w:rPr>
        <w:t>号）；</w:t>
      </w:r>
    </w:p>
    <w:p w14:paraId="7CF55A2D"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17</w:t>
      </w:r>
      <w:r w:rsidRPr="00E67914">
        <w:rPr>
          <w:rFonts w:ascii="Times New Roman" w:hAnsi="Times New Roman"/>
          <w:bCs/>
          <w:kern w:val="2"/>
          <w:sz w:val="24"/>
          <w:szCs w:val="24"/>
          <w:lang w:eastAsia="zh-CN"/>
        </w:rPr>
        <w:t>）《建设项目环境影响评价分类管理名录》，生态环境部令第</w:t>
      </w:r>
      <w:r w:rsidRPr="00E67914">
        <w:rPr>
          <w:rFonts w:ascii="Times New Roman" w:hAnsi="Times New Roman"/>
          <w:bCs/>
          <w:kern w:val="2"/>
          <w:sz w:val="24"/>
          <w:szCs w:val="24"/>
          <w:lang w:eastAsia="zh-CN"/>
        </w:rPr>
        <w:t>16</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lastRenderedPageBreak/>
        <w:t>2021.1.1</w:t>
      </w:r>
      <w:r w:rsidRPr="00E67914">
        <w:rPr>
          <w:rFonts w:ascii="Times New Roman" w:hAnsi="Times New Roman"/>
          <w:bCs/>
          <w:kern w:val="2"/>
          <w:sz w:val="24"/>
          <w:szCs w:val="24"/>
          <w:lang w:eastAsia="zh-CN"/>
        </w:rPr>
        <w:t>起施行；</w:t>
      </w:r>
    </w:p>
    <w:p w14:paraId="6B916D40"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18</w:t>
      </w:r>
      <w:r w:rsidRPr="00E67914">
        <w:rPr>
          <w:rFonts w:ascii="Times New Roman" w:hAnsi="Times New Roman"/>
          <w:bCs/>
          <w:kern w:val="2"/>
          <w:sz w:val="24"/>
          <w:szCs w:val="24"/>
          <w:lang w:eastAsia="zh-CN"/>
        </w:rPr>
        <w:t>）《国家危险废物名录》环境保护部令第</w:t>
      </w:r>
      <w:r w:rsidRPr="00E67914">
        <w:rPr>
          <w:rFonts w:ascii="Times New Roman" w:hAnsi="Times New Roman"/>
          <w:bCs/>
          <w:kern w:val="2"/>
          <w:sz w:val="24"/>
          <w:szCs w:val="24"/>
          <w:lang w:eastAsia="zh-CN"/>
        </w:rPr>
        <w:t>15</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t>2021.1.1</w:t>
      </w:r>
      <w:r w:rsidRPr="00E67914">
        <w:rPr>
          <w:rFonts w:ascii="Times New Roman" w:hAnsi="Times New Roman"/>
          <w:bCs/>
          <w:kern w:val="2"/>
          <w:sz w:val="24"/>
          <w:szCs w:val="24"/>
          <w:lang w:eastAsia="zh-CN"/>
        </w:rPr>
        <w:t>起施行；</w:t>
      </w:r>
    </w:p>
    <w:p w14:paraId="451928A9"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19</w:t>
      </w:r>
      <w:r w:rsidRPr="00E67914">
        <w:rPr>
          <w:rFonts w:ascii="Times New Roman" w:hAnsi="Times New Roman"/>
          <w:bCs/>
          <w:kern w:val="2"/>
          <w:sz w:val="24"/>
          <w:szCs w:val="24"/>
          <w:lang w:eastAsia="zh-CN"/>
        </w:rPr>
        <w:t>）《关于划定并严守生态保护红线的若干意见》（中共中央办公厅、国务院办公厅，</w:t>
      </w:r>
      <w:r w:rsidRPr="00E67914">
        <w:rPr>
          <w:rFonts w:ascii="Times New Roman" w:hAnsi="Times New Roman"/>
          <w:bCs/>
          <w:kern w:val="2"/>
          <w:sz w:val="24"/>
          <w:szCs w:val="24"/>
          <w:lang w:eastAsia="zh-CN"/>
        </w:rPr>
        <w:t>2017.2.7</w:t>
      </w:r>
      <w:r w:rsidRPr="00E67914">
        <w:rPr>
          <w:rFonts w:ascii="Times New Roman" w:hAnsi="Times New Roman"/>
          <w:bCs/>
          <w:kern w:val="2"/>
          <w:sz w:val="24"/>
          <w:szCs w:val="24"/>
          <w:lang w:eastAsia="zh-CN"/>
        </w:rPr>
        <w:t>）；</w:t>
      </w:r>
    </w:p>
    <w:p w14:paraId="7139B156"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20</w:t>
      </w:r>
      <w:r w:rsidRPr="00E67914">
        <w:rPr>
          <w:rFonts w:ascii="Times New Roman" w:hAnsi="Times New Roman"/>
          <w:bCs/>
          <w:kern w:val="2"/>
          <w:sz w:val="24"/>
          <w:szCs w:val="24"/>
          <w:lang w:eastAsia="zh-CN"/>
        </w:rPr>
        <w:t>）《全国生态环境保护纲要》（国发〔</w:t>
      </w:r>
      <w:r w:rsidRPr="00E67914">
        <w:rPr>
          <w:rFonts w:ascii="Times New Roman" w:hAnsi="Times New Roman"/>
          <w:bCs/>
          <w:kern w:val="2"/>
          <w:sz w:val="24"/>
          <w:szCs w:val="24"/>
          <w:lang w:eastAsia="zh-CN"/>
        </w:rPr>
        <w:t>2000</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38</w:t>
      </w:r>
      <w:r w:rsidRPr="00E67914">
        <w:rPr>
          <w:rFonts w:ascii="Times New Roman" w:hAnsi="Times New Roman"/>
          <w:bCs/>
          <w:kern w:val="2"/>
          <w:sz w:val="24"/>
          <w:szCs w:val="24"/>
          <w:lang w:eastAsia="zh-CN"/>
        </w:rPr>
        <w:t>号）；</w:t>
      </w:r>
    </w:p>
    <w:p w14:paraId="4D551731"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21</w:t>
      </w:r>
      <w:r w:rsidRPr="00E67914">
        <w:rPr>
          <w:rFonts w:ascii="Times New Roman" w:hAnsi="Times New Roman"/>
          <w:bCs/>
          <w:kern w:val="2"/>
          <w:sz w:val="24"/>
          <w:szCs w:val="24"/>
          <w:lang w:eastAsia="zh-CN"/>
        </w:rPr>
        <w:t>）《国家重点生态功能保护区规划纲要》（环发〔</w:t>
      </w:r>
      <w:r w:rsidRPr="00E67914">
        <w:rPr>
          <w:rFonts w:ascii="Times New Roman" w:hAnsi="Times New Roman"/>
          <w:bCs/>
          <w:kern w:val="2"/>
          <w:sz w:val="24"/>
          <w:szCs w:val="24"/>
          <w:lang w:eastAsia="zh-CN"/>
        </w:rPr>
        <w:t>2007</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165</w:t>
      </w:r>
      <w:r w:rsidRPr="00E67914">
        <w:rPr>
          <w:rFonts w:ascii="Times New Roman" w:hAnsi="Times New Roman"/>
          <w:bCs/>
          <w:kern w:val="2"/>
          <w:sz w:val="24"/>
          <w:szCs w:val="24"/>
          <w:lang w:eastAsia="zh-CN"/>
        </w:rPr>
        <w:t>号）；</w:t>
      </w:r>
    </w:p>
    <w:p w14:paraId="5467A2D1"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22</w:t>
      </w:r>
      <w:r w:rsidRPr="00E67914">
        <w:rPr>
          <w:rFonts w:ascii="Times New Roman" w:hAnsi="Times New Roman"/>
          <w:bCs/>
          <w:kern w:val="2"/>
          <w:sz w:val="24"/>
          <w:szCs w:val="24"/>
          <w:lang w:eastAsia="zh-CN"/>
        </w:rPr>
        <w:t>）《全国生态功能区划（修编版）》（环境保护部、中国科学院公告</w:t>
      </w:r>
      <w:r w:rsidRPr="00E67914">
        <w:rPr>
          <w:rFonts w:ascii="Times New Roman" w:hAnsi="Times New Roman"/>
          <w:bCs/>
          <w:kern w:val="2"/>
          <w:sz w:val="24"/>
          <w:szCs w:val="24"/>
          <w:lang w:eastAsia="zh-CN"/>
        </w:rPr>
        <w:t>2015</w:t>
      </w:r>
      <w:r w:rsidRPr="00E67914">
        <w:rPr>
          <w:rFonts w:ascii="Times New Roman" w:hAnsi="Times New Roman"/>
          <w:bCs/>
          <w:kern w:val="2"/>
          <w:sz w:val="24"/>
          <w:szCs w:val="24"/>
          <w:lang w:eastAsia="zh-CN"/>
        </w:rPr>
        <w:t>年第</w:t>
      </w:r>
      <w:r w:rsidRPr="00E67914">
        <w:rPr>
          <w:rFonts w:ascii="Times New Roman" w:hAnsi="Times New Roman"/>
          <w:bCs/>
          <w:kern w:val="2"/>
          <w:sz w:val="24"/>
          <w:szCs w:val="24"/>
          <w:lang w:eastAsia="zh-CN"/>
        </w:rPr>
        <w:t>61</w:t>
      </w:r>
      <w:r w:rsidRPr="00E67914">
        <w:rPr>
          <w:rFonts w:ascii="Times New Roman" w:hAnsi="Times New Roman"/>
          <w:bCs/>
          <w:kern w:val="2"/>
          <w:sz w:val="24"/>
          <w:szCs w:val="24"/>
          <w:lang w:eastAsia="zh-CN"/>
        </w:rPr>
        <w:t>号）；</w:t>
      </w:r>
    </w:p>
    <w:p w14:paraId="26DE1AF9"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23</w:t>
      </w:r>
      <w:r w:rsidRPr="00E67914">
        <w:rPr>
          <w:rFonts w:ascii="Times New Roman" w:hAnsi="Times New Roman"/>
          <w:bCs/>
          <w:kern w:val="2"/>
          <w:sz w:val="24"/>
          <w:szCs w:val="24"/>
          <w:lang w:eastAsia="zh-CN"/>
        </w:rPr>
        <w:t>）《关于加强国家重点生态功能区环境保护和管理的意见》（环发〔</w:t>
      </w:r>
      <w:r w:rsidRPr="00E67914">
        <w:rPr>
          <w:rFonts w:ascii="Times New Roman" w:hAnsi="Times New Roman"/>
          <w:bCs/>
          <w:kern w:val="2"/>
          <w:sz w:val="24"/>
          <w:szCs w:val="24"/>
          <w:lang w:eastAsia="zh-CN"/>
        </w:rPr>
        <w:t>2013</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16</w:t>
      </w:r>
      <w:r w:rsidRPr="00E67914">
        <w:rPr>
          <w:rFonts w:ascii="Times New Roman" w:hAnsi="Times New Roman"/>
          <w:bCs/>
          <w:kern w:val="2"/>
          <w:sz w:val="24"/>
          <w:szCs w:val="24"/>
          <w:lang w:eastAsia="zh-CN"/>
        </w:rPr>
        <w:t>号）；</w:t>
      </w:r>
    </w:p>
    <w:p w14:paraId="31BD7D47"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24</w:t>
      </w:r>
      <w:r w:rsidRPr="00E67914">
        <w:rPr>
          <w:rFonts w:ascii="Times New Roman" w:hAnsi="Times New Roman"/>
          <w:bCs/>
          <w:kern w:val="2"/>
          <w:sz w:val="24"/>
          <w:szCs w:val="24"/>
          <w:lang w:eastAsia="zh-CN"/>
        </w:rPr>
        <w:t>）《关于推进污水资源化利用的指导意见》（发改环资〔</w:t>
      </w:r>
      <w:r w:rsidRPr="00E67914">
        <w:rPr>
          <w:rFonts w:ascii="Times New Roman" w:hAnsi="Times New Roman"/>
          <w:bCs/>
          <w:kern w:val="2"/>
          <w:sz w:val="24"/>
          <w:szCs w:val="24"/>
          <w:lang w:eastAsia="zh-CN"/>
        </w:rPr>
        <w:t>2021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13</w:t>
      </w:r>
      <w:r w:rsidRPr="00E67914">
        <w:rPr>
          <w:rFonts w:ascii="Times New Roman" w:hAnsi="Times New Roman"/>
          <w:bCs/>
          <w:kern w:val="2"/>
          <w:sz w:val="24"/>
          <w:szCs w:val="24"/>
          <w:lang w:eastAsia="zh-CN"/>
        </w:rPr>
        <w:t>号）；</w:t>
      </w:r>
    </w:p>
    <w:p w14:paraId="4D7BD6D2"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25</w:t>
      </w:r>
      <w:r w:rsidRPr="00E67914">
        <w:rPr>
          <w:rFonts w:ascii="Times New Roman" w:hAnsi="Times New Roman"/>
          <w:bCs/>
          <w:kern w:val="2"/>
          <w:sz w:val="24"/>
          <w:szCs w:val="24"/>
          <w:lang w:eastAsia="zh-CN"/>
        </w:rPr>
        <w:t>）《危险废物环境管理指南</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陆上石油天然气开采》（生态环境部公告</w:t>
      </w:r>
      <w:r w:rsidRPr="00E67914">
        <w:rPr>
          <w:rFonts w:ascii="Times New Roman" w:hAnsi="Times New Roman"/>
          <w:bCs/>
          <w:kern w:val="2"/>
          <w:sz w:val="24"/>
          <w:szCs w:val="24"/>
          <w:lang w:eastAsia="zh-CN"/>
        </w:rPr>
        <w:t>2021</w:t>
      </w:r>
      <w:r w:rsidRPr="00E67914">
        <w:rPr>
          <w:rFonts w:ascii="Times New Roman" w:hAnsi="Times New Roman"/>
          <w:bCs/>
          <w:kern w:val="2"/>
          <w:sz w:val="24"/>
          <w:szCs w:val="24"/>
          <w:lang w:eastAsia="zh-CN"/>
        </w:rPr>
        <w:t>年第</w:t>
      </w:r>
      <w:r w:rsidRPr="00E67914">
        <w:rPr>
          <w:rFonts w:ascii="Times New Roman" w:hAnsi="Times New Roman"/>
          <w:bCs/>
          <w:kern w:val="2"/>
          <w:sz w:val="24"/>
          <w:szCs w:val="24"/>
          <w:lang w:eastAsia="zh-CN"/>
        </w:rPr>
        <w:t>74</w:t>
      </w:r>
      <w:r w:rsidRPr="00E67914">
        <w:rPr>
          <w:rFonts w:ascii="Times New Roman" w:hAnsi="Times New Roman"/>
          <w:bCs/>
          <w:kern w:val="2"/>
          <w:sz w:val="24"/>
          <w:szCs w:val="24"/>
          <w:lang w:eastAsia="zh-CN"/>
        </w:rPr>
        <w:t>号）；</w:t>
      </w:r>
    </w:p>
    <w:p w14:paraId="22ED21D0"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26</w:t>
      </w:r>
      <w:r w:rsidRPr="00E67914">
        <w:rPr>
          <w:rFonts w:ascii="Times New Roman" w:hAnsi="Times New Roman"/>
          <w:bCs/>
          <w:kern w:val="2"/>
          <w:sz w:val="24"/>
          <w:szCs w:val="24"/>
          <w:lang w:eastAsia="zh-CN"/>
        </w:rPr>
        <w:t>）《四川省自然资源厅关于进一步明确临时用地管理有关事项的通知》（川自然资规〔</w:t>
      </w:r>
      <w:r w:rsidRPr="00E67914">
        <w:rPr>
          <w:rFonts w:ascii="Times New Roman" w:hAnsi="Times New Roman"/>
          <w:bCs/>
          <w:kern w:val="2"/>
          <w:sz w:val="24"/>
          <w:szCs w:val="24"/>
          <w:lang w:eastAsia="zh-CN"/>
        </w:rPr>
        <w:t>2022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号）；</w:t>
      </w:r>
    </w:p>
    <w:p w14:paraId="4959F3BD" w14:textId="7E36F523" w:rsidR="00A54A8A"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27</w:t>
      </w:r>
      <w:r w:rsidRPr="00E67914">
        <w:rPr>
          <w:rFonts w:ascii="Times New Roman" w:hAnsi="Times New Roman"/>
          <w:bCs/>
          <w:kern w:val="2"/>
          <w:sz w:val="24"/>
          <w:szCs w:val="24"/>
          <w:lang w:eastAsia="zh-CN"/>
        </w:rPr>
        <w:t>）达州市人民政府《关于落实生态保护红线、环境质量底线、资源利用上线制定生态环境准入清单实施生态环境分区管控的通知》达市府发〔</w:t>
      </w:r>
      <w:r w:rsidRPr="00E67914">
        <w:rPr>
          <w:rFonts w:ascii="Times New Roman" w:hAnsi="Times New Roman"/>
          <w:bCs/>
          <w:kern w:val="2"/>
          <w:sz w:val="24"/>
          <w:szCs w:val="24"/>
          <w:lang w:eastAsia="zh-CN"/>
        </w:rPr>
        <w:t>2021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17</w:t>
      </w:r>
      <w:r w:rsidRPr="00E67914">
        <w:rPr>
          <w:rFonts w:ascii="Times New Roman" w:hAnsi="Times New Roman"/>
          <w:bCs/>
          <w:kern w:val="2"/>
          <w:sz w:val="24"/>
          <w:szCs w:val="24"/>
          <w:lang w:eastAsia="zh-CN"/>
        </w:rPr>
        <w:t>号。</w:t>
      </w:r>
    </w:p>
    <w:p w14:paraId="1AE8785F"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2.3.4</w:t>
      </w:r>
      <w:r w:rsidRPr="00E67914">
        <w:rPr>
          <w:rFonts w:ascii="Times New Roman" w:eastAsia="黑体" w:hAnsi="Times New Roman"/>
          <w:b w:val="0"/>
          <w:sz w:val="24"/>
          <w:szCs w:val="24"/>
          <w:lang w:eastAsia="zh-CN"/>
        </w:rPr>
        <w:t>地方性法规及规范性文件</w:t>
      </w:r>
    </w:p>
    <w:p w14:paraId="48ED8AFD"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）《四川省重点保护野生动物名录》（</w:t>
      </w:r>
      <w:r w:rsidRPr="00E67914">
        <w:rPr>
          <w:rFonts w:ascii="Times New Roman" w:hAnsi="Times New Roman"/>
          <w:bCs/>
          <w:kern w:val="2"/>
          <w:sz w:val="24"/>
          <w:szCs w:val="24"/>
          <w:lang w:eastAsia="zh-CN"/>
        </w:rPr>
        <w:t>1990.3.12</w:t>
      </w:r>
      <w:r w:rsidRPr="00E67914">
        <w:rPr>
          <w:rFonts w:ascii="Times New Roman" w:hAnsi="Times New Roman"/>
          <w:bCs/>
          <w:kern w:val="2"/>
          <w:sz w:val="24"/>
          <w:szCs w:val="24"/>
          <w:lang w:eastAsia="zh-CN"/>
        </w:rPr>
        <w:t>）；</w:t>
      </w:r>
    </w:p>
    <w:p w14:paraId="5BF9F615"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）《四川省新增重点保护野生动物名录》（</w:t>
      </w:r>
      <w:r w:rsidRPr="00E67914">
        <w:rPr>
          <w:rFonts w:ascii="Times New Roman" w:hAnsi="Times New Roman"/>
          <w:bCs/>
          <w:kern w:val="2"/>
          <w:sz w:val="24"/>
          <w:szCs w:val="24"/>
          <w:lang w:eastAsia="zh-CN"/>
        </w:rPr>
        <w:t>2000.9.13</w:t>
      </w:r>
      <w:r w:rsidRPr="00E67914">
        <w:rPr>
          <w:rFonts w:ascii="Times New Roman" w:hAnsi="Times New Roman"/>
          <w:bCs/>
          <w:kern w:val="2"/>
          <w:sz w:val="24"/>
          <w:szCs w:val="24"/>
          <w:lang w:eastAsia="zh-CN"/>
        </w:rPr>
        <w:t>）；</w:t>
      </w:r>
    </w:p>
    <w:p w14:paraId="1F626C3B"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）《四川省基本农田保护实施细则》（</w:t>
      </w:r>
      <w:r w:rsidRPr="00E67914">
        <w:rPr>
          <w:rFonts w:ascii="Times New Roman" w:hAnsi="Times New Roman"/>
          <w:bCs/>
          <w:kern w:val="2"/>
          <w:sz w:val="24"/>
          <w:szCs w:val="24"/>
          <w:lang w:eastAsia="zh-CN"/>
        </w:rPr>
        <w:t>1996.2.29</w:t>
      </w:r>
      <w:r w:rsidRPr="00E67914">
        <w:rPr>
          <w:rFonts w:ascii="Times New Roman" w:hAnsi="Times New Roman"/>
          <w:bCs/>
          <w:kern w:val="2"/>
          <w:sz w:val="24"/>
          <w:szCs w:val="24"/>
          <w:lang w:eastAsia="zh-CN"/>
        </w:rPr>
        <w:t>）；</w:t>
      </w:r>
    </w:p>
    <w:p w14:paraId="1DDEDCCA"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）《四川省环境保护条例》（</w:t>
      </w:r>
      <w:r w:rsidRPr="00E67914">
        <w:rPr>
          <w:rFonts w:ascii="Times New Roman" w:hAnsi="Times New Roman"/>
          <w:bCs/>
          <w:kern w:val="2"/>
          <w:sz w:val="24"/>
          <w:szCs w:val="24"/>
          <w:lang w:eastAsia="zh-CN"/>
        </w:rPr>
        <w:t>2017</w:t>
      </w:r>
      <w:r w:rsidRPr="00E67914">
        <w:rPr>
          <w:rFonts w:ascii="Times New Roman" w:hAnsi="Times New Roman"/>
          <w:bCs/>
          <w:kern w:val="2"/>
          <w:sz w:val="24"/>
          <w:szCs w:val="24"/>
          <w:lang w:eastAsia="zh-CN"/>
        </w:rPr>
        <w:t>年</w:t>
      </w:r>
      <w:r w:rsidRPr="00E67914">
        <w:rPr>
          <w:rFonts w:ascii="Times New Roman" w:hAnsi="Times New Roman"/>
          <w:bCs/>
          <w:kern w:val="2"/>
          <w:sz w:val="24"/>
          <w:szCs w:val="24"/>
          <w:lang w:eastAsia="zh-CN"/>
        </w:rPr>
        <w:t>9</w:t>
      </w:r>
      <w:r w:rsidRPr="00E67914">
        <w:rPr>
          <w:rFonts w:ascii="Times New Roman" w:hAnsi="Times New Roman"/>
          <w:bCs/>
          <w:kern w:val="2"/>
          <w:sz w:val="24"/>
          <w:szCs w:val="24"/>
          <w:lang w:eastAsia="zh-CN"/>
        </w:rPr>
        <w:t>月</w:t>
      </w:r>
      <w:r w:rsidRPr="00E67914">
        <w:rPr>
          <w:rFonts w:ascii="Times New Roman" w:hAnsi="Times New Roman"/>
          <w:bCs/>
          <w:kern w:val="2"/>
          <w:sz w:val="24"/>
          <w:szCs w:val="24"/>
          <w:lang w:eastAsia="zh-CN"/>
        </w:rPr>
        <w:t>22</w:t>
      </w:r>
      <w:r w:rsidRPr="00E67914">
        <w:rPr>
          <w:rFonts w:ascii="Times New Roman" w:hAnsi="Times New Roman"/>
          <w:bCs/>
          <w:kern w:val="2"/>
          <w:sz w:val="24"/>
          <w:szCs w:val="24"/>
          <w:lang w:eastAsia="zh-CN"/>
        </w:rPr>
        <w:t>日修订）；</w:t>
      </w:r>
    </w:p>
    <w:p w14:paraId="09C9048F"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）《四川省生态功能区划》（</w:t>
      </w:r>
      <w:r w:rsidRPr="00E67914">
        <w:rPr>
          <w:rFonts w:ascii="Times New Roman" w:hAnsi="Times New Roman"/>
          <w:bCs/>
          <w:kern w:val="2"/>
          <w:sz w:val="24"/>
          <w:szCs w:val="24"/>
          <w:lang w:eastAsia="zh-CN"/>
        </w:rPr>
        <w:t>2010</w:t>
      </w:r>
      <w:r w:rsidRPr="00E67914">
        <w:rPr>
          <w:rFonts w:ascii="Times New Roman" w:hAnsi="Times New Roman"/>
          <w:bCs/>
          <w:kern w:val="2"/>
          <w:sz w:val="24"/>
          <w:szCs w:val="24"/>
          <w:lang w:eastAsia="zh-CN"/>
        </w:rPr>
        <w:t>年）；</w:t>
      </w:r>
    </w:p>
    <w:p w14:paraId="7FC086E3"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）《关于进一步加强我省农村饮用水水源保护区环境保护工作的通知》（川环办发〔</w:t>
      </w:r>
      <w:r w:rsidRPr="00E67914">
        <w:rPr>
          <w:rFonts w:ascii="Times New Roman" w:hAnsi="Times New Roman"/>
          <w:bCs/>
          <w:kern w:val="2"/>
          <w:sz w:val="24"/>
          <w:szCs w:val="24"/>
          <w:lang w:eastAsia="zh-CN"/>
        </w:rPr>
        <w:t>2011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98</w:t>
      </w:r>
      <w:r w:rsidRPr="00E67914">
        <w:rPr>
          <w:rFonts w:ascii="Times New Roman" w:hAnsi="Times New Roman"/>
          <w:bCs/>
          <w:kern w:val="2"/>
          <w:sz w:val="24"/>
          <w:szCs w:val="24"/>
          <w:lang w:eastAsia="zh-CN"/>
        </w:rPr>
        <w:t>号）；</w:t>
      </w:r>
    </w:p>
    <w:p w14:paraId="1803A15D"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7</w:t>
      </w:r>
      <w:r w:rsidRPr="00E67914">
        <w:rPr>
          <w:rFonts w:ascii="Times New Roman" w:hAnsi="Times New Roman"/>
          <w:bCs/>
          <w:kern w:val="2"/>
          <w:sz w:val="24"/>
          <w:szCs w:val="24"/>
          <w:lang w:eastAsia="zh-CN"/>
        </w:rPr>
        <w:t>）《四川省〈中华人民共和国野生动物保护法〉实施办法》（</w:t>
      </w:r>
      <w:r w:rsidRPr="00E67914">
        <w:rPr>
          <w:rFonts w:ascii="Times New Roman" w:hAnsi="Times New Roman"/>
          <w:bCs/>
          <w:kern w:val="2"/>
          <w:sz w:val="24"/>
          <w:szCs w:val="24"/>
          <w:lang w:eastAsia="zh-CN"/>
        </w:rPr>
        <w:t>2012.7.27</w:t>
      </w:r>
      <w:r w:rsidRPr="00E67914">
        <w:rPr>
          <w:rFonts w:ascii="Times New Roman" w:hAnsi="Times New Roman"/>
          <w:bCs/>
          <w:kern w:val="2"/>
          <w:sz w:val="24"/>
          <w:szCs w:val="24"/>
          <w:lang w:eastAsia="zh-CN"/>
        </w:rPr>
        <w:t>）；</w:t>
      </w:r>
    </w:p>
    <w:p w14:paraId="5E5219AA"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）《四川省</w:t>
      </w:r>
      <w:r w:rsidRPr="00E67914">
        <w:rPr>
          <w:rFonts w:ascii="Times New Roman" w:hAnsi="Times New Roman"/>
          <w:bCs/>
          <w:kern w:val="2"/>
          <w:sz w:val="24"/>
          <w:szCs w:val="24"/>
          <w:lang w:eastAsia="zh-CN"/>
        </w:rPr>
        <w:t>&lt;</w:t>
      </w:r>
      <w:r w:rsidRPr="00E67914">
        <w:rPr>
          <w:rFonts w:ascii="Times New Roman" w:hAnsi="Times New Roman"/>
          <w:bCs/>
          <w:kern w:val="2"/>
          <w:sz w:val="24"/>
          <w:szCs w:val="24"/>
          <w:lang w:eastAsia="zh-CN"/>
        </w:rPr>
        <w:t>中华人民共和国水土保持法</w:t>
      </w:r>
      <w:r w:rsidRPr="00E67914">
        <w:rPr>
          <w:rFonts w:ascii="Times New Roman" w:hAnsi="Times New Roman"/>
          <w:bCs/>
          <w:kern w:val="2"/>
          <w:sz w:val="24"/>
          <w:szCs w:val="24"/>
          <w:lang w:eastAsia="zh-CN"/>
        </w:rPr>
        <w:t>&gt;</w:t>
      </w:r>
      <w:r w:rsidRPr="00E67914">
        <w:rPr>
          <w:rFonts w:ascii="Times New Roman" w:hAnsi="Times New Roman"/>
          <w:bCs/>
          <w:kern w:val="2"/>
          <w:sz w:val="24"/>
          <w:szCs w:val="24"/>
          <w:lang w:eastAsia="zh-CN"/>
        </w:rPr>
        <w:t>实施办法》（</w:t>
      </w:r>
      <w:r w:rsidRPr="00E67914">
        <w:rPr>
          <w:rFonts w:ascii="Times New Roman" w:hAnsi="Times New Roman"/>
          <w:bCs/>
          <w:kern w:val="2"/>
          <w:sz w:val="24"/>
          <w:szCs w:val="24"/>
          <w:lang w:eastAsia="zh-CN"/>
        </w:rPr>
        <w:t>2012.12.1</w:t>
      </w:r>
      <w:r w:rsidRPr="00E67914">
        <w:rPr>
          <w:rFonts w:ascii="Times New Roman" w:hAnsi="Times New Roman"/>
          <w:bCs/>
          <w:kern w:val="2"/>
          <w:sz w:val="24"/>
          <w:szCs w:val="24"/>
          <w:lang w:eastAsia="zh-CN"/>
        </w:rPr>
        <w:t>）；</w:t>
      </w:r>
    </w:p>
    <w:p w14:paraId="0EAF8765"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w:t>
      </w:r>
      <w:r w:rsidRPr="00E67914">
        <w:rPr>
          <w:rFonts w:ascii="Times New Roman" w:hAnsi="Times New Roman"/>
          <w:bCs/>
          <w:kern w:val="2"/>
          <w:sz w:val="24"/>
          <w:szCs w:val="24"/>
          <w:lang w:eastAsia="zh-CN"/>
        </w:rPr>
        <w:t>9</w:t>
      </w:r>
      <w:r w:rsidRPr="00E67914">
        <w:rPr>
          <w:rFonts w:ascii="Times New Roman" w:hAnsi="Times New Roman"/>
          <w:bCs/>
          <w:kern w:val="2"/>
          <w:sz w:val="24"/>
          <w:szCs w:val="24"/>
          <w:lang w:eastAsia="zh-CN"/>
        </w:rPr>
        <w:t>）《四川省固体废物污染环境防治条例》（</w:t>
      </w:r>
      <w:r w:rsidRPr="00E67914">
        <w:rPr>
          <w:rFonts w:ascii="Times New Roman" w:hAnsi="Times New Roman"/>
          <w:bCs/>
          <w:kern w:val="2"/>
          <w:sz w:val="24"/>
          <w:szCs w:val="24"/>
          <w:lang w:eastAsia="zh-CN"/>
        </w:rPr>
        <w:t>2022.6.9</w:t>
      </w:r>
      <w:r w:rsidRPr="00E67914">
        <w:rPr>
          <w:rFonts w:ascii="Times New Roman" w:hAnsi="Times New Roman"/>
          <w:bCs/>
          <w:kern w:val="2"/>
          <w:sz w:val="24"/>
          <w:szCs w:val="24"/>
          <w:lang w:eastAsia="zh-CN"/>
        </w:rPr>
        <w:t>修订）；</w:t>
      </w:r>
    </w:p>
    <w:p w14:paraId="7EE9F219"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）《四川省国民经济和社会发展第十四个五年规划和二〇三五年远景目标纲要》（</w:t>
      </w:r>
      <w:r w:rsidRPr="00E67914">
        <w:rPr>
          <w:rFonts w:ascii="Times New Roman" w:hAnsi="Times New Roman"/>
          <w:bCs/>
          <w:kern w:val="2"/>
          <w:sz w:val="24"/>
          <w:szCs w:val="24"/>
          <w:lang w:eastAsia="zh-CN"/>
        </w:rPr>
        <w:t>2021.2.2</w:t>
      </w:r>
      <w:r w:rsidRPr="00E67914">
        <w:rPr>
          <w:rFonts w:ascii="Times New Roman" w:hAnsi="Times New Roman"/>
          <w:bCs/>
          <w:kern w:val="2"/>
          <w:sz w:val="24"/>
          <w:szCs w:val="24"/>
          <w:lang w:eastAsia="zh-CN"/>
        </w:rPr>
        <w:t>）；</w:t>
      </w:r>
    </w:p>
    <w:p w14:paraId="6FF9A310"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11</w:t>
      </w:r>
      <w:r w:rsidRPr="00E67914">
        <w:rPr>
          <w:rFonts w:ascii="Times New Roman" w:hAnsi="Times New Roman"/>
          <w:bCs/>
          <w:kern w:val="2"/>
          <w:sz w:val="24"/>
          <w:szCs w:val="24"/>
          <w:lang w:eastAsia="zh-CN"/>
        </w:rPr>
        <w:t>）《四川省自然保护区管理条例》（</w:t>
      </w:r>
      <w:r w:rsidRPr="00E67914">
        <w:rPr>
          <w:rFonts w:ascii="Times New Roman" w:hAnsi="Times New Roman"/>
          <w:bCs/>
          <w:kern w:val="2"/>
          <w:sz w:val="24"/>
          <w:szCs w:val="24"/>
          <w:lang w:eastAsia="zh-CN"/>
        </w:rPr>
        <w:t xml:space="preserve">2018.9.30 </w:t>
      </w:r>
      <w:r w:rsidRPr="00E67914">
        <w:rPr>
          <w:rFonts w:ascii="Times New Roman" w:hAnsi="Times New Roman"/>
          <w:bCs/>
          <w:kern w:val="2"/>
          <w:sz w:val="24"/>
          <w:szCs w:val="24"/>
          <w:lang w:eastAsia="zh-CN"/>
        </w:rPr>
        <w:t>修订）；</w:t>
      </w:r>
    </w:p>
    <w:p w14:paraId="56F191ED"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12</w:t>
      </w:r>
      <w:r w:rsidRPr="00E67914">
        <w:rPr>
          <w:rFonts w:ascii="Times New Roman" w:hAnsi="Times New Roman"/>
          <w:bCs/>
          <w:kern w:val="2"/>
          <w:sz w:val="24"/>
          <w:szCs w:val="24"/>
          <w:lang w:eastAsia="zh-CN"/>
        </w:rPr>
        <w:t>）《四川省生态保护红线实施意见》（</w:t>
      </w:r>
      <w:r w:rsidRPr="00E67914">
        <w:rPr>
          <w:rFonts w:ascii="Times New Roman" w:hAnsi="Times New Roman"/>
          <w:bCs/>
          <w:kern w:val="2"/>
          <w:sz w:val="24"/>
          <w:szCs w:val="24"/>
          <w:lang w:eastAsia="zh-CN"/>
        </w:rPr>
        <w:t>2016.9.30</w:t>
      </w:r>
      <w:r w:rsidRPr="00E67914">
        <w:rPr>
          <w:rFonts w:ascii="Times New Roman" w:hAnsi="Times New Roman"/>
          <w:bCs/>
          <w:kern w:val="2"/>
          <w:sz w:val="24"/>
          <w:szCs w:val="24"/>
          <w:lang w:eastAsia="zh-CN"/>
        </w:rPr>
        <w:t>）；</w:t>
      </w:r>
    </w:p>
    <w:p w14:paraId="0C780758"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13</w:t>
      </w:r>
      <w:r w:rsidRPr="00E67914">
        <w:rPr>
          <w:rFonts w:ascii="Times New Roman" w:hAnsi="Times New Roman"/>
          <w:bCs/>
          <w:kern w:val="2"/>
          <w:sz w:val="24"/>
          <w:szCs w:val="24"/>
          <w:lang w:eastAsia="zh-CN"/>
        </w:rPr>
        <w:t>）《关于印发四川省生态保护红线方案的通知》（川府发〔</w:t>
      </w:r>
      <w:r w:rsidRPr="00E67914">
        <w:rPr>
          <w:rFonts w:ascii="Times New Roman" w:hAnsi="Times New Roman"/>
          <w:bCs/>
          <w:kern w:val="2"/>
          <w:sz w:val="24"/>
          <w:szCs w:val="24"/>
          <w:lang w:eastAsia="zh-CN"/>
        </w:rPr>
        <w:t>2018</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24</w:t>
      </w:r>
      <w:r w:rsidRPr="00E67914">
        <w:rPr>
          <w:rFonts w:ascii="Times New Roman" w:hAnsi="Times New Roman"/>
          <w:bCs/>
          <w:kern w:val="2"/>
          <w:sz w:val="24"/>
          <w:szCs w:val="24"/>
          <w:lang w:eastAsia="zh-CN"/>
        </w:rPr>
        <w:t>号）；</w:t>
      </w:r>
    </w:p>
    <w:p w14:paraId="73BE7110"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14</w:t>
      </w:r>
      <w:r w:rsidRPr="00E67914">
        <w:rPr>
          <w:rFonts w:ascii="Times New Roman" w:hAnsi="Times New Roman"/>
          <w:bCs/>
          <w:kern w:val="2"/>
          <w:sz w:val="24"/>
          <w:szCs w:val="24"/>
          <w:lang w:eastAsia="zh-CN"/>
        </w:rPr>
        <w:t>）《四川省人民政府关于落实生态保护红线、环境质量底线、资源利用上线制定生态环境准入清单实施生态环境分区管控的通知》（川府发〔</w:t>
      </w:r>
      <w:r w:rsidRPr="00E67914">
        <w:rPr>
          <w:rFonts w:ascii="Times New Roman" w:hAnsi="Times New Roman"/>
          <w:bCs/>
          <w:kern w:val="2"/>
          <w:sz w:val="24"/>
          <w:szCs w:val="24"/>
          <w:lang w:eastAsia="zh-CN"/>
        </w:rPr>
        <w:t>2020</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w:t>
      </w:r>
      <w:r w:rsidRPr="00E67914">
        <w:rPr>
          <w:rFonts w:ascii="Times New Roman" w:hAnsi="Times New Roman"/>
          <w:bCs/>
          <w:kern w:val="2"/>
          <w:sz w:val="24"/>
          <w:szCs w:val="24"/>
          <w:lang w:eastAsia="zh-CN"/>
        </w:rPr>
        <w:t>号）；</w:t>
      </w:r>
    </w:p>
    <w:p w14:paraId="6C04788F"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15</w:t>
      </w:r>
      <w:r w:rsidRPr="00E67914">
        <w:rPr>
          <w:rFonts w:ascii="Times New Roman" w:hAnsi="Times New Roman"/>
          <w:bCs/>
          <w:kern w:val="2"/>
          <w:sz w:val="24"/>
          <w:szCs w:val="24"/>
          <w:lang w:eastAsia="zh-CN"/>
        </w:rPr>
        <w:t>）《四川省饮用水水源保护管理条例》（</w:t>
      </w:r>
      <w:r w:rsidRPr="00E67914">
        <w:rPr>
          <w:rFonts w:ascii="Times New Roman" w:hAnsi="Times New Roman"/>
          <w:bCs/>
          <w:kern w:val="2"/>
          <w:sz w:val="24"/>
          <w:szCs w:val="24"/>
          <w:lang w:eastAsia="zh-CN"/>
        </w:rPr>
        <w:t>2012.1.1</w:t>
      </w:r>
      <w:r w:rsidRPr="00E67914">
        <w:rPr>
          <w:rFonts w:ascii="Times New Roman" w:hAnsi="Times New Roman"/>
          <w:bCs/>
          <w:kern w:val="2"/>
          <w:sz w:val="24"/>
          <w:szCs w:val="24"/>
          <w:lang w:eastAsia="zh-CN"/>
        </w:rPr>
        <w:t>施行）；</w:t>
      </w:r>
    </w:p>
    <w:p w14:paraId="0291E8A2"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16</w:t>
      </w:r>
      <w:r w:rsidRPr="00E67914">
        <w:rPr>
          <w:rFonts w:ascii="Times New Roman" w:hAnsi="Times New Roman"/>
          <w:bCs/>
          <w:kern w:val="2"/>
          <w:sz w:val="24"/>
          <w:szCs w:val="24"/>
          <w:lang w:eastAsia="zh-CN"/>
        </w:rPr>
        <w:t>）《四川省矿产资源总体规划（</w:t>
      </w:r>
      <w:r w:rsidRPr="00E67914">
        <w:rPr>
          <w:rFonts w:ascii="Times New Roman" w:hAnsi="Times New Roman"/>
          <w:bCs/>
          <w:kern w:val="2"/>
          <w:sz w:val="24"/>
          <w:szCs w:val="24"/>
          <w:lang w:eastAsia="zh-CN"/>
        </w:rPr>
        <w:t>2021-2025</w:t>
      </w:r>
      <w:r w:rsidRPr="00E67914">
        <w:rPr>
          <w:rFonts w:ascii="Times New Roman" w:hAnsi="Times New Roman"/>
          <w:bCs/>
          <w:kern w:val="2"/>
          <w:sz w:val="24"/>
          <w:szCs w:val="24"/>
          <w:lang w:eastAsia="zh-CN"/>
        </w:rPr>
        <w:t>年）》（</w:t>
      </w:r>
      <w:r w:rsidRPr="00E67914">
        <w:rPr>
          <w:rFonts w:ascii="Times New Roman" w:hAnsi="Times New Roman"/>
          <w:bCs/>
          <w:kern w:val="2"/>
          <w:sz w:val="24"/>
          <w:szCs w:val="24"/>
          <w:lang w:eastAsia="zh-CN"/>
        </w:rPr>
        <w:t>2023.2.8</w:t>
      </w:r>
      <w:r w:rsidRPr="00E67914">
        <w:rPr>
          <w:rFonts w:ascii="Times New Roman" w:hAnsi="Times New Roman"/>
          <w:bCs/>
          <w:kern w:val="2"/>
          <w:sz w:val="24"/>
          <w:szCs w:val="24"/>
          <w:lang w:eastAsia="zh-CN"/>
        </w:rPr>
        <w:t>公布）；</w:t>
      </w:r>
    </w:p>
    <w:p w14:paraId="32964ADF"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17</w:t>
      </w:r>
      <w:r w:rsidRPr="00E67914">
        <w:rPr>
          <w:rFonts w:ascii="Times New Roman" w:hAnsi="Times New Roman"/>
          <w:bCs/>
          <w:kern w:val="2"/>
          <w:sz w:val="24"/>
          <w:szCs w:val="24"/>
          <w:lang w:eastAsia="zh-CN"/>
        </w:rPr>
        <w:t>）《关于进一步加强固体废物污染防治工作的通知》（达市环办发</w:t>
      </w:r>
      <w:r w:rsidRPr="00E67914">
        <w:rPr>
          <w:rFonts w:ascii="Times New Roman" w:hAnsi="Times New Roman"/>
          <w:bCs/>
          <w:kern w:val="2"/>
          <w:sz w:val="24"/>
          <w:szCs w:val="24"/>
          <w:lang w:eastAsia="zh-CN"/>
        </w:rPr>
        <w:t>[2021]24</w:t>
      </w:r>
      <w:r w:rsidRPr="00E67914">
        <w:rPr>
          <w:rFonts w:ascii="Times New Roman" w:hAnsi="Times New Roman"/>
          <w:bCs/>
          <w:kern w:val="2"/>
          <w:sz w:val="24"/>
          <w:szCs w:val="24"/>
          <w:lang w:eastAsia="zh-CN"/>
        </w:rPr>
        <w:t>号）</w:t>
      </w:r>
    </w:p>
    <w:p w14:paraId="115164F0" w14:textId="4AC31372" w:rsidR="00C514C7"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18</w:t>
      </w:r>
      <w:r w:rsidRPr="00E67914">
        <w:rPr>
          <w:rFonts w:ascii="Times New Roman" w:hAnsi="Times New Roman"/>
          <w:bCs/>
          <w:kern w:val="2"/>
          <w:sz w:val="24"/>
          <w:szCs w:val="24"/>
          <w:lang w:eastAsia="zh-CN"/>
        </w:rPr>
        <w:t>）四川省推动长江经济带发展领导小组办公室重庆市推动长江发展领导小组办公室关于印发《四川省、重庆市场长江经济带发展负面清单实施细则（试行，</w:t>
      </w:r>
      <w:r w:rsidRPr="00E67914">
        <w:rPr>
          <w:rFonts w:ascii="Times New Roman" w:hAnsi="Times New Roman"/>
          <w:bCs/>
          <w:kern w:val="2"/>
          <w:sz w:val="24"/>
          <w:szCs w:val="24"/>
          <w:lang w:eastAsia="zh-CN"/>
        </w:rPr>
        <w:t>2022</w:t>
      </w:r>
      <w:r w:rsidRPr="00E67914">
        <w:rPr>
          <w:rFonts w:ascii="Times New Roman" w:hAnsi="Times New Roman"/>
          <w:bCs/>
          <w:kern w:val="2"/>
          <w:sz w:val="24"/>
          <w:szCs w:val="24"/>
          <w:lang w:eastAsia="zh-CN"/>
        </w:rPr>
        <w:t>版）的通知》。</w:t>
      </w:r>
    </w:p>
    <w:p w14:paraId="56924D01"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2.3.5</w:t>
      </w:r>
      <w:r w:rsidRPr="00E67914">
        <w:rPr>
          <w:rFonts w:ascii="Times New Roman" w:eastAsia="黑体" w:hAnsi="Times New Roman"/>
          <w:b w:val="0"/>
          <w:sz w:val="24"/>
          <w:szCs w:val="24"/>
          <w:lang w:eastAsia="zh-CN"/>
        </w:rPr>
        <w:t>评价技术导则及规范</w:t>
      </w:r>
    </w:p>
    <w:p w14:paraId="2B3EA6D8"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）《建设项目环境影响评价技术导则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总纲》（</w:t>
      </w:r>
      <w:r w:rsidRPr="00E67914">
        <w:rPr>
          <w:rFonts w:ascii="Times New Roman" w:hAnsi="Times New Roman"/>
          <w:bCs/>
          <w:kern w:val="2"/>
          <w:sz w:val="24"/>
          <w:szCs w:val="24"/>
          <w:lang w:eastAsia="zh-CN"/>
        </w:rPr>
        <w:t>HJ2.1-2016</w:t>
      </w:r>
      <w:r w:rsidRPr="00E67914">
        <w:rPr>
          <w:rFonts w:ascii="Times New Roman" w:hAnsi="Times New Roman"/>
          <w:bCs/>
          <w:kern w:val="2"/>
          <w:sz w:val="24"/>
          <w:szCs w:val="24"/>
          <w:lang w:eastAsia="zh-CN"/>
        </w:rPr>
        <w:t>）；</w:t>
      </w:r>
    </w:p>
    <w:p w14:paraId="1D9382F0"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地表水环境》（</w:t>
      </w:r>
      <w:r w:rsidRPr="00E67914">
        <w:rPr>
          <w:rFonts w:ascii="Times New Roman" w:hAnsi="Times New Roman"/>
          <w:bCs/>
          <w:kern w:val="2"/>
          <w:sz w:val="24"/>
          <w:szCs w:val="24"/>
          <w:lang w:eastAsia="zh-CN"/>
        </w:rPr>
        <w:t>HJ2.3-2018</w:t>
      </w:r>
      <w:r w:rsidRPr="00E67914">
        <w:rPr>
          <w:rFonts w:ascii="Times New Roman" w:hAnsi="Times New Roman"/>
          <w:bCs/>
          <w:kern w:val="2"/>
          <w:sz w:val="24"/>
          <w:szCs w:val="24"/>
          <w:lang w:eastAsia="zh-CN"/>
        </w:rPr>
        <w:t>）；</w:t>
      </w:r>
    </w:p>
    <w:p w14:paraId="3F12FC31"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声环境》（</w:t>
      </w:r>
      <w:r w:rsidRPr="00E67914">
        <w:rPr>
          <w:rFonts w:ascii="Times New Roman" w:hAnsi="Times New Roman"/>
          <w:bCs/>
          <w:kern w:val="2"/>
          <w:sz w:val="24"/>
          <w:szCs w:val="24"/>
          <w:lang w:eastAsia="zh-CN"/>
        </w:rPr>
        <w:t>HJ2.4-2021</w:t>
      </w:r>
      <w:r w:rsidRPr="00E67914">
        <w:rPr>
          <w:rFonts w:ascii="Times New Roman" w:hAnsi="Times New Roman"/>
          <w:bCs/>
          <w:kern w:val="2"/>
          <w:sz w:val="24"/>
          <w:szCs w:val="24"/>
          <w:lang w:eastAsia="zh-CN"/>
        </w:rPr>
        <w:t>）；</w:t>
      </w:r>
    </w:p>
    <w:p w14:paraId="5661B6D2"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地下水环境》（</w:t>
      </w:r>
      <w:r w:rsidRPr="00E67914">
        <w:rPr>
          <w:rFonts w:ascii="Times New Roman" w:hAnsi="Times New Roman"/>
          <w:bCs/>
          <w:kern w:val="2"/>
          <w:sz w:val="24"/>
          <w:szCs w:val="24"/>
          <w:lang w:eastAsia="zh-CN"/>
        </w:rPr>
        <w:t>HJ610-2016</w:t>
      </w:r>
      <w:r w:rsidRPr="00E67914">
        <w:rPr>
          <w:rFonts w:ascii="Times New Roman" w:hAnsi="Times New Roman"/>
          <w:bCs/>
          <w:kern w:val="2"/>
          <w:sz w:val="24"/>
          <w:szCs w:val="24"/>
          <w:lang w:eastAsia="zh-CN"/>
        </w:rPr>
        <w:t>）；</w:t>
      </w:r>
    </w:p>
    <w:p w14:paraId="7DAF7A04"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大气环境》（</w:t>
      </w:r>
      <w:r w:rsidRPr="00E67914">
        <w:rPr>
          <w:rFonts w:ascii="Times New Roman" w:hAnsi="Times New Roman"/>
          <w:bCs/>
          <w:kern w:val="2"/>
          <w:sz w:val="24"/>
          <w:szCs w:val="24"/>
          <w:lang w:eastAsia="zh-CN"/>
        </w:rPr>
        <w:t>HJ2.2-2018</w:t>
      </w:r>
      <w:r w:rsidRPr="00E67914">
        <w:rPr>
          <w:rFonts w:ascii="Times New Roman" w:hAnsi="Times New Roman"/>
          <w:bCs/>
          <w:kern w:val="2"/>
          <w:sz w:val="24"/>
          <w:szCs w:val="24"/>
          <w:lang w:eastAsia="zh-CN"/>
        </w:rPr>
        <w:t>）；</w:t>
      </w:r>
    </w:p>
    <w:p w14:paraId="4FE8E297"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生态影响》（</w:t>
      </w:r>
      <w:r w:rsidRPr="00E67914">
        <w:rPr>
          <w:rFonts w:ascii="Times New Roman" w:hAnsi="Times New Roman"/>
          <w:bCs/>
          <w:kern w:val="2"/>
          <w:sz w:val="24"/>
          <w:szCs w:val="24"/>
          <w:lang w:eastAsia="zh-CN"/>
        </w:rPr>
        <w:t>HJ19-2022</w:t>
      </w:r>
      <w:r w:rsidRPr="00E67914">
        <w:rPr>
          <w:rFonts w:ascii="Times New Roman" w:hAnsi="Times New Roman"/>
          <w:bCs/>
          <w:kern w:val="2"/>
          <w:sz w:val="24"/>
          <w:szCs w:val="24"/>
          <w:lang w:eastAsia="zh-CN"/>
        </w:rPr>
        <w:t>）；</w:t>
      </w:r>
    </w:p>
    <w:p w14:paraId="34498D81"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7</w:t>
      </w:r>
      <w:r w:rsidRPr="00E67914">
        <w:rPr>
          <w:rFonts w:ascii="Times New Roman" w:hAnsi="Times New Roman"/>
          <w:bCs/>
          <w:kern w:val="2"/>
          <w:sz w:val="24"/>
          <w:szCs w:val="24"/>
          <w:lang w:eastAsia="zh-CN"/>
        </w:rPr>
        <w:t>）《环境影响评价技术导则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土壤环境（试行）》（</w:t>
      </w:r>
      <w:r w:rsidRPr="00E67914">
        <w:rPr>
          <w:rFonts w:ascii="Times New Roman" w:hAnsi="Times New Roman"/>
          <w:bCs/>
          <w:kern w:val="2"/>
          <w:sz w:val="24"/>
          <w:szCs w:val="24"/>
          <w:lang w:eastAsia="zh-CN"/>
        </w:rPr>
        <w:t>HJ964-2018</w:t>
      </w:r>
      <w:r w:rsidRPr="00E67914">
        <w:rPr>
          <w:rFonts w:ascii="Times New Roman" w:hAnsi="Times New Roman"/>
          <w:bCs/>
          <w:kern w:val="2"/>
          <w:sz w:val="24"/>
          <w:szCs w:val="24"/>
          <w:lang w:eastAsia="zh-CN"/>
        </w:rPr>
        <w:t>）；</w:t>
      </w:r>
    </w:p>
    <w:p w14:paraId="04C64EC1"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）《建设项目环境风险评价技术导则》（</w:t>
      </w:r>
      <w:r w:rsidRPr="00E67914">
        <w:rPr>
          <w:rFonts w:ascii="Times New Roman" w:hAnsi="Times New Roman"/>
          <w:bCs/>
          <w:kern w:val="2"/>
          <w:sz w:val="24"/>
          <w:szCs w:val="24"/>
          <w:lang w:eastAsia="zh-CN"/>
        </w:rPr>
        <w:t>HJ169-2018</w:t>
      </w:r>
      <w:r w:rsidRPr="00E67914">
        <w:rPr>
          <w:rFonts w:ascii="Times New Roman" w:hAnsi="Times New Roman"/>
          <w:bCs/>
          <w:kern w:val="2"/>
          <w:sz w:val="24"/>
          <w:szCs w:val="24"/>
          <w:lang w:eastAsia="zh-CN"/>
        </w:rPr>
        <w:t>）；</w:t>
      </w:r>
    </w:p>
    <w:p w14:paraId="46C80121"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w:t>
      </w:r>
      <w:r w:rsidRPr="00E67914">
        <w:rPr>
          <w:rFonts w:ascii="Times New Roman" w:hAnsi="Times New Roman"/>
          <w:bCs/>
          <w:kern w:val="2"/>
          <w:sz w:val="24"/>
          <w:szCs w:val="24"/>
          <w:lang w:eastAsia="zh-CN"/>
        </w:rPr>
        <w:t>）《环境影响评价技术导则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陆地石油天然气开发建设项目》</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HJ/T349-2023</w:t>
      </w:r>
      <w:r w:rsidRPr="00E67914">
        <w:rPr>
          <w:rFonts w:ascii="Times New Roman" w:hAnsi="Times New Roman"/>
          <w:bCs/>
          <w:kern w:val="2"/>
          <w:sz w:val="24"/>
          <w:szCs w:val="24"/>
          <w:lang w:eastAsia="zh-CN"/>
        </w:rPr>
        <w:t>）；</w:t>
      </w:r>
    </w:p>
    <w:p w14:paraId="01E01F9E"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）《建设项目危险废物环境影响评价指南》（环境保护部公告〔</w:t>
      </w:r>
      <w:r w:rsidRPr="00E67914">
        <w:rPr>
          <w:rFonts w:ascii="Times New Roman" w:hAnsi="Times New Roman"/>
          <w:bCs/>
          <w:kern w:val="2"/>
          <w:sz w:val="24"/>
          <w:szCs w:val="24"/>
          <w:lang w:eastAsia="zh-CN"/>
        </w:rPr>
        <w:t>2017</w:t>
      </w:r>
      <w:r w:rsidRPr="00E67914">
        <w:rPr>
          <w:rFonts w:ascii="Times New Roman" w:hAnsi="Times New Roman"/>
          <w:bCs/>
          <w:kern w:val="2"/>
          <w:sz w:val="24"/>
          <w:szCs w:val="24"/>
          <w:lang w:eastAsia="zh-CN"/>
        </w:rPr>
        <w:t>〕年第</w:t>
      </w:r>
      <w:r w:rsidRPr="00E67914">
        <w:rPr>
          <w:rFonts w:ascii="Times New Roman" w:hAnsi="Times New Roman"/>
          <w:bCs/>
          <w:kern w:val="2"/>
          <w:sz w:val="24"/>
          <w:szCs w:val="24"/>
          <w:lang w:eastAsia="zh-CN"/>
        </w:rPr>
        <w:t>43</w:t>
      </w:r>
      <w:r w:rsidRPr="00E67914">
        <w:rPr>
          <w:rFonts w:ascii="Times New Roman" w:hAnsi="Times New Roman"/>
          <w:bCs/>
          <w:kern w:val="2"/>
          <w:sz w:val="24"/>
          <w:szCs w:val="24"/>
          <w:lang w:eastAsia="zh-CN"/>
        </w:rPr>
        <w:t>号）；</w:t>
      </w:r>
    </w:p>
    <w:p w14:paraId="0E298E99"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w:t>
      </w:r>
      <w:r w:rsidRPr="00E67914">
        <w:rPr>
          <w:rFonts w:ascii="Times New Roman" w:hAnsi="Times New Roman"/>
          <w:bCs/>
          <w:kern w:val="2"/>
          <w:sz w:val="24"/>
          <w:szCs w:val="24"/>
          <w:lang w:eastAsia="zh-CN"/>
        </w:rPr>
        <w:t>11</w:t>
      </w:r>
      <w:r w:rsidRPr="00E67914">
        <w:rPr>
          <w:rFonts w:ascii="Times New Roman" w:hAnsi="Times New Roman"/>
          <w:bCs/>
          <w:kern w:val="2"/>
          <w:sz w:val="24"/>
          <w:szCs w:val="24"/>
          <w:lang w:eastAsia="zh-CN"/>
        </w:rPr>
        <w:t>）《危险废物转移联单管理办法》（国家环境保护总局令第</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号，</w:t>
      </w:r>
      <w:r w:rsidRPr="00E67914">
        <w:rPr>
          <w:rFonts w:ascii="Times New Roman" w:hAnsi="Times New Roman"/>
          <w:bCs/>
          <w:kern w:val="2"/>
          <w:sz w:val="24"/>
          <w:szCs w:val="24"/>
          <w:lang w:eastAsia="zh-CN"/>
        </w:rPr>
        <w:t>1999</w:t>
      </w:r>
      <w:r w:rsidRPr="00E67914">
        <w:rPr>
          <w:rFonts w:ascii="Times New Roman" w:hAnsi="Times New Roman"/>
          <w:bCs/>
          <w:kern w:val="2"/>
          <w:sz w:val="24"/>
          <w:szCs w:val="24"/>
          <w:lang w:eastAsia="zh-CN"/>
        </w:rPr>
        <w:t>年</w:t>
      </w:r>
      <w:r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月</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日起施行）；</w:t>
      </w:r>
    </w:p>
    <w:p w14:paraId="6B503EC7"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12</w:t>
      </w:r>
      <w:r w:rsidRPr="00E67914">
        <w:rPr>
          <w:rFonts w:ascii="Times New Roman" w:hAnsi="Times New Roman"/>
          <w:bCs/>
          <w:kern w:val="2"/>
          <w:sz w:val="24"/>
          <w:szCs w:val="24"/>
          <w:lang w:eastAsia="zh-CN"/>
        </w:rPr>
        <w:t>）《危险废物贮存污染控制标准》（</w:t>
      </w:r>
      <w:r w:rsidRPr="00E67914">
        <w:rPr>
          <w:rFonts w:ascii="Times New Roman" w:hAnsi="Times New Roman"/>
          <w:bCs/>
          <w:kern w:val="2"/>
          <w:sz w:val="24"/>
          <w:szCs w:val="24"/>
          <w:lang w:eastAsia="zh-CN"/>
        </w:rPr>
        <w:t>GB18597-2023</w:t>
      </w:r>
      <w:r w:rsidRPr="00E67914">
        <w:rPr>
          <w:rFonts w:ascii="Times New Roman" w:hAnsi="Times New Roman"/>
          <w:bCs/>
          <w:kern w:val="2"/>
          <w:sz w:val="24"/>
          <w:szCs w:val="24"/>
          <w:lang w:eastAsia="zh-CN"/>
        </w:rPr>
        <w:t>）；</w:t>
      </w:r>
    </w:p>
    <w:p w14:paraId="008535CF"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13</w:t>
      </w:r>
      <w:r w:rsidRPr="00E67914">
        <w:rPr>
          <w:rFonts w:ascii="Times New Roman" w:hAnsi="Times New Roman"/>
          <w:bCs/>
          <w:kern w:val="2"/>
          <w:sz w:val="24"/>
          <w:szCs w:val="24"/>
          <w:lang w:eastAsia="zh-CN"/>
        </w:rPr>
        <w:t>）《危险废物收集贮存</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运输技术规范》（</w:t>
      </w:r>
      <w:r w:rsidRPr="00E67914">
        <w:rPr>
          <w:rFonts w:ascii="Times New Roman" w:hAnsi="Times New Roman"/>
          <w:bCs/>
          <w:kern w:val="2"/>
          <w:sz w:val="24"/>
          <w:szCs w:val="24"/>
          <w:lang w:eastAsia="zh-CN"/>
        </w:rPr>
        <w:t>HJ2025</w:t>
      </w:r>
      <w:r w:rsidRPr="00E67914">
        <w:rPr>
          <w:rFonts w:ascii="Times New Roman" w:hAnsi="Times New Roman"/>
          <w:bCs/>
          <w:kern w:val="2"/>
          <w:sz w:val="24"/>
          <w:szCs w:val="24"/>
          <w:lang w:eastAsia="zh-CN"/>
        </w:rPr>
        <w:t>）；</w:t>
      </w:r>
    </w:p>
    <w:p w14:paraId="116DEDB1" w14:textId="77777777" w:rsidR="00267B16"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14</w:t>
      </w:r>
      <w:r w:rsidRPr="00E67914">
        <w:rPr>
          <w:rFonts w:ascii="Times New Roman" w:hAnsi="Times New Roman"/>
          <w:bCs/>
          <w:kern w:val="2"/>
          <w:sz w:val="24"/>
          <w:szCs w:val="24"/>
          <w:lang w:eastAsia="zh-CN"/>
        </w:rPr>
        <w:t>）《危险废物识别标志设置技术规范》（</w:t>
      </w:r>
      <w:r w:rsidRPr="00E67914">
        <w:rPr>
          <w:rFonts w:ascii="Times New Roman" w:hAnsi="Times New Roman"/>
          <w:bCs/>
          <w:kern w:val="2"/>
          <w:sz w:val="24"/>
          <w:szCs w:val="24"/>
          <w:lang w:eastAsia="zh-CN"/>
        </w:rPr>
        <w:t>HJ 1276-2022</w:t>
      </w:r>
      <w:r w:rsidRPr="00E67914">
        <w:rPr>
          <w:rFonts w:ascii="Times New Roman" w:hAnsi="Times New Roman"/>
          <w:bCs/>
          <w:kern w:val="2"/>
          <w:sz w:val="24"/>
          <w:szCs w:val="24"/>
          <w:lang w:eastAsia="zh-CN"/>
        </w:rPr>
        <w:t>）；</w:t>
      </w:r>
    </w:p>
    <w:p w14:paraId="74A0455B" w14:textId="41444837" w:rsidR="00A54A8A" w:rsidRPr="00E67914" w:rsidRDefault="00267B16" w:rsidP="00267B16">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15</w:t>
      </w:r>
      <w:r w:rsidRPr="00E67914">
        <w:rPr>
          <w:rFonts w:ascii="Times New Roman" w:hAnsi="Times New Roman"/>
          <w:bCs/>
          <w:kern w:val="2"/>
          <w:sz w:val="24"/>
          <w:szCs w:val="24"/>
          <w:lang w:eastAsia="zh-CN"/>
        </w:rPr>
        <w:t>）《一般工业固体废物贮存和填埋污染控制标准》（</w:t>
      </w:r>
      <w:r w:rsidRPr="00E67914">
        <w:rPr>
          <w:rFonts w:ascii="Times New Roman" w:hAnsi="Times New Roman"/>
          <w:bCs/>
          <w:kern w:val="2"/>
          <w:sz w:val="24"/>
          <w:szCs w:val="24"/>
          <w:lang w:eastAsia="zh-CN"/>
        </w:rPr>
        <w:t>GB18599-2020</w:t>
      </w:r>
      <w:r w:rsidRPr="00E67914">
        <w:rPr>
          <w:rFonts w:ascii="Times New Roman" w:hAnsi="Times New Roman"/>
          <w:bCs/>
          <w:kern w:val="2"/>
          <w:sz w:val="24"/>
          <w:szCs w:val="24"/>
          <w:lang w:eastAsia="zh-CN"/>
        </w:rPr>
        <w:t>）。</w:t>
      </w:r>
    </w:p>
    <w:p w14:paraId="43919F22"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2.3.6</w:t>
      </w:r>
      <w:r w:rsidRPr="00E67914">
        <w:rPr>
          <w:rFonts w:ascii="Times New Roman" w:eastAsia="黑体" w:hAnsi="Times New Roman"/>
          <w:b w:val="0"/>
          <w:sz w:val="24"/>
          <w:szCs w:val="24"/>
          <w:lang w:eastAsia="zh-CN"/>
        </w:rPr>
        <w:t>石油天然气行业技术规范</w:t>
      </w:r>
    </w:p>
    <w:p w14:paraId="0BFC05F0"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）《石油天然气钻井健康、安全与环境管理体系指南》（</w:t>
      </w:r>
      <w:r w:rsidRPr="00E67914">
        <w:rPr>
          <w:rFonts w:ascii="Times New Roman" w:hAnsi="Times New Roman"/>
          <w:bCs/>
          <w:kern w:val="2"/>
          <w:sz w:val="24"/>
          <w:szCs w:val="24"/>
          <w:lang w:eastAsia="zh-CN"/>
        </w:rPr>
        <w:t>SY/T6283</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1997</w:t>
      </w:r>
      <w:r w:rsidRPr="00E67914">
        <w:rPr>
          <w:rFonts w:ascii="Times New Roman" w:hAnsi="Times New Roman"/>
          <w:bCs/>
          <w:kern w:val="2"/>
          <w:sz w:val="24"/>
          <w:szCs w:val="24"/>
          <w:lang w:eastAsia="zh-CN"/>
        </w:rPr>
        <w:t>）；</w:t>
      </w:r>
    </w:p>
    <w:p w14:paraId="5E7C78F7"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）《石油天然气设计防火规范》（</w:t>
      </w:r>
      <w:r w:rsidRPr="00E67914">
        <w:rPr>
          <w:rFonts w:ascii="Times New Roman" w:hAnsi="Times New Roman"/>
          <w:bCs/>
          <w:kern w:val="2"/>
          <w:sz w:val="24"/>
          <w:szCs w:val="24"/>
          <w:lang w:eastAsia="zh-CN"/>
        </w:rPr>
        <w:t>GB50183-2004</w:t>
      </w:r>
      <w:r w:rsidRPr="00E67914">
        <w:rPr>
          <w:rFonts w:ascii="Times New Roman" w:hAnsi="Times New Roman"/>
          <w:bCs/>
          <w:kern w:val="2"/>
          <w:sz w:val="24"/>
          <w:szCs w:val="24"/>
          <w:lang w:eastAsia="zh-CN"/>
        </w:rPr>
        <w:t>）；</w:t>
      </w:r>
    </w:p>
    <w:p w14:paraId="68397F15"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）《钻井井控技术规程》（</w:t>
      </w:r>
      <w:r w:rsidRPr="00E67914">
        <w:rPr>
          <w:rFonts w:ascii="Times New Roman" w:hAnsi="Times New Roman"/>
          <w:bCs/>
          <w:kern w:val="2"/>
          <w:sz w:val="24"/>
          <w:szCs w:val="24"/>
          <w:lang w:eastAsia="zh-CN"/>
        </w:rPr>
        <w:t>SY/T6426-2005</w:t>
      </w:r>
      <w:r w:rsidRPr="00E67914">
        <w:rPr>
          <w:rFonts w:ascii="Times New Roman" w:hAnsi="Times New Roman"/>
          <w:bCs/>
          <w:kern w:val="2"/>
          <w:sz w:val="24"/>
          <w:szCs w:val="24"/>
          <w:lang w:eastAsia="zh-CN"/>
        </w:rPr>
        <w:t>）；</w:t>
      </w:r>
    </w:p>
    <w:p w14:paraId="00CD434A"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）《石油天然气安全规程》（</w:t>
      </w:r>
      <w:r w:rsidRPr="00E67914">
        <w:rPr>
          <w:rFonts w:ascii="Times New Roman" w:hAnsi="Times New Roman"/>
          <w:bCs/>
          <w:kern w:val="2"/>
          <w:sz w:val="24"/>
          <w:szCs w:val="24"/>
          <w:lang w:eastAsia="zh-CN"/>
        </w:rPr>
        <w:t>AQ2012-2007</w:t>
      </w:r>
      <w:r w:rsidRPr="00E67914">
        <w:rPr>
          <w:rFonts w:ascii="Times New Roman" w:hAnsi="Times New Roman"/>
          <w:bCs/>
          <w:kern w:val="2"/>
          <w:sz w:val="24"/>
          <w:szCs w:val="24"/>
          <w:lang w:eastAsia="zh-CN"/>
        </w:rPr>
        <w:t>）；</w:t>
      </w:r>
    </w:p>
    <w:p w14:paraId="5D9B2E9F"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）《石油天然气井控技术规范》（</w:t>
      </w:r>
      <w:r w:rsidRPr="00E67914">
        <w:rPr>
          <w:rFonts w:ascii="Times New Roman" w:hAnsi="Times New Roman"/>
          <w:bCs/>
          <w:kern w:val="2"/>
          <w:sz w:val="24"/>
          <w:szCs w:val="24"/>
          <w:lang w:eastAsia="zh-CN"/>
        </w:rPr>
        <w:t>GB/T31033-2014</w:t>
      </w:r>
      <w:r w:rsidRPr="00E67914">
        <w:rPr>
          <w:rFonts w:ascii="Times New Roman" w:hAnsi="Times New Roman"/>
          <w:bCs/>
          <w:kern w:val="2"/>
          <w:sz w:val="24"/>
          <w:szCs w:val="24"/>
          <w:lang w:eastAsia="zh-CN"/>
        </w:rPr>
        <w:t>）；</w:t>
      </w:r>
    </w:p>
    <w:p w14:paraId="25586135"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7</w:t>
      </w:r>
      <w:r w:rsidRPr="00E67914">
        <w:rPr>
          <w:rFonts w:ascii="Times New Roman" w:hAnsi="Times New Roman"/>
          <w:bCs/>
          <w:kern w:val="2"/>
          <w:sz w:val="24"/>
          <w:szCs w:val="24"/>
          <w:lang w:eastAsia="zh-CN"/>
        </w:rPr>
        <w:t>）《井下作业安全规程》（</w:t>
      </w:r>
      <w:r w:rsidRPr="00E67914">
        <w:rPr>
          <w:rFonts w:ascii="Times New Roman" w:hAnsi="Times New Roman"/>
          <w:bCs/>
          <w:kern w:val="2"/>
          <w:sz w:val="24"/>
          <w:szCs w:val="24"/>
          <w:lang w:eastAsia="zh-CN"/>
        </w:rPr>
        <w:t>SY5727-2014</w:t>
      </w:r>
      <w:r w:rsidRPr="00E67914">
        <w:rPr>
          <w:rFonts w:ascii="Times New Roman" w:hAnsi="Times New Roman"/>
          <w:bCs/>
          <w:kern w:val="2"/>
          <w:sz w:val="24"/>
          <w:szCs w:val="24"/>
          <w:lang w:eastAsia="zh-CN"/>
        </w:rPr>
        <w:t>）；</w:t>
      </w:r>
    </w:p>
    <w:p w14:paraId="4A95EC38"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）《气井试气、采气及动态监测工艺规程》（</w:t>
      </w:r>
      <w:r w:rsidRPr="00E67914">
        <w:rPr>
          <w:rFonts w:ascii="Times New Roman" w:hAnsi="Times New Roman"/>
          <w:bCs/>
          <w:kern w:val="2"/>
          <w:sz w:val="24"/>
          <w:szCs w:val="24"/>
          <w:lang w:eastAsia="zh-CN"/>
        </w:rPr>
        <w:t>SYT6125-2013</w:t>
      </w:r>
      <w:r w:rsidRPr="00E67914">
        <w:rPr>
          <w:rFonts w:ascii="Times New Roman" w:hAnsi="Times New Roman"/>
          <w:bCs/>
          <w:kern w:val="2"/>
          <w:sz w:val="24"/>
          <w:szCs w:val="24"/>
          <w:lang w:eastAsia="zh-CN"/>
        </w:rPr>
        <w:t>）；</w:t>
      </w:r>
    </w:p>
    <w:p w14:paraId="7494027F"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w:t>
      </w:r>
      <w:r w:rsidRPr="00E67914">
        <w:rPr>
          <w:rFonts w:ascii="Times New Roman" w:hAnsi="Times New Roman"/>
          <w:bCs/>
          <w:kern w:val="2"/>
          <w:sz w:val="24"/>
          <w:szCs w:val="24"/>
          <w:lang w:eastAsia="zh-CN"/>
        </w:rPr>
        <w:t>）《油气井井喷着火抢险作法》（</w:t>
      </w:r>
      <w:r w:rsidRPr="00E67914">
        <w:rPr>
          <w:rFonts w:ascii="Times New Roman" w:hAnsi="Times New Roman"/>
          <w:bCs/>
          <w:kern w:val="2"/>
          <w:sz w:val="24"/>
          <w:szCs w:val="24"/>
          <w:lang w:eastAsia="zh-CN"/>
        </w:rPr>
        <w:t>SYT6203-2014</w:t>
      </w:r>
      <w:r w:rsidRPr="00E67914">
        <w:rPr>
          <w:rFonts w:ascii="Times New Roman" w:hAnsi="Times New Roman"/>
          <w:bCs/>
          <w:kern w:val="2"/>
          <w:sz w:val="24"/>
          <w:szCs w:val="24"/>
          <w:lang w:eastAsia="zh-CN"/>
        </w:rPr>
        <w:t>）；</w:t>
      </w:r>
    </w:p>
    <w:p w14:paraId="6D30C063"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）《碎屑岩油藏注水水质推荐指标及分析方法》（</w:t>
      </w:r>
      <w:r w:rsidRPr="00E67914">
        <w:rPr>
          <w:rFonts w:ascii="Times New Roman" w:hAnsi="Times New Roman"/>
          <w:bCs/>
          <w:kern w:val="2"/>
          <w:sz w:val="24"/>
          <w:szCs w:val="24"/>
          <w:lang w:eastAsia="zh-CN"/>
        </w:rPr>
        <w:t>SY/T5329</w:t>
      </w:r>
      <w:r w:rsidRPr="00E67914">
        <w:rPr>
          <w:rFonts w:ascii="Times New Roman" w:hAnsi="Times New Roman"/>
          <w:bCs/>
          <w:kern w:val="2"/>
          <w:sz w:val="24"/>
          <w:szCs w:val="24"/>
          <w:lang w:eastAsia="zh-CN"/>
        </w:rPr>
        <w:t>）；</w:t>
      </w:r>
    </w:p>
    <w:p w14:paraId="025198B8"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12</w:t>
      </w:r>
      <w:r w:rsidRPr="00E67914">
        <w:rPr>
          <w:rFonts w:ascii="Times New Roman" w:hAnsi="Times New Roman"/>
          <w:bCs/>
          <w:kern w:val="2"/>
          <w:sz w:val="24"/>
          <w:szCs w:val="24"/>
          <w:lang w:eastAsia="zh-CN"/>
        </w:rPr>
        <w:t>）《丛式井井平台布置及井眼防碰技术要求》（</w:t>
      </w:r>
      <w:r w:rsidRPr="00E67914">
        <w:rPr>
          <w:rFonts w:ascii="Times New Roman" w:hAnsi="Times New Roman"/>
          <w:bCs/>
          <w:kern w:val="2"/>
          <w:sz w:val="24"/>
          <w:szCs w:val="24"/>
          <w:lang w:eastAsia="zh-CN"/>
        </w:rPr>
        <w:t>SY/T6396-2014</w:t>
      </w:r>
      <w:r w:rsidRPr="00E67914">
        <w:rPr>
          <w:rFonts w:ascii="Times New Roman" w:hAnsi="Times New Roman"/>
          <w:bCs/>
          <w:kern w:val="2"/>
          <w:sz w:val="24"/>
          <w:szCs w:val="24"/>
          <w:lang w:eastAsia="zh-CN"/>
        </w:rPr>
        <w:t>）；</w:t>
      </w:r>
    </w:p>
    <w:p w14:paraId="0F5C7CF9"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13</w:t>
      </w:r>
      <w:r w:rsidRPr="00E67914">
        <w:rPr>
          <w:rFonts w:ascii="Times New Roman" w:hAnsi="Times New Roman"/>
          <w:bCs/>
          <w:kern w:val="2"/>
          <w:sz w:val="24"/>
          <w:szCs w:val="24"/>
          <w:lang w:eastAsia="zh-CN"/>
        </w:rPr>
        <w:t>）《油井井下作业防喷技术规程》（</w:t>
      </w:r>
      <w:r w:rsidRPr="00E67914">
        <w:rPr>
          <w:rFonts w:ascii="Times New Roman" w:hAnsi="Times New Roman"/>
          <w:bCs/>
          <w:kern w:val="2"/>
          <w:sz w:val="24"/>
          <w:szCs w:val="24"/>
          <w:lang w:eastAsia="zh-CN"/>
        </w:rPr>
        <w:t>SYT5974-2014</w:t>
      </w:r>
      <w:r w:rsidRPr="00E67914">
        <w:rPr>
          <w:rFonts w:ascii="Times New Roman" w:hAnsi="Times New Roman"/>
          <w:bCs/>
          <w:kern w:val="2"/>
          <w:sz w:val="24"/>
          <w:szCs w:val="24"/>
          <w:lang w:eastAsia="zh-CN"/>
        </w:rPr>
        <w:t>）；</w:t>
      </w:r>
    </w:p>
    <w:p w14:paraId="6A3323CA"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14</w:t>
      </w:r>
      <w:r w:rsidRPr="00E67914">
        <w:rPr>
          <w:rFonts w:ascii="Times New Roman" w:hAnsi="Times New Roman"/>
          <w:bCs/>
          <w:kern w:val="2"/>
          <w:sz w:val="24"/>
          <w:szCs w:val="24"/>
          <w:lang w:eastAsia="zh-CN"/>
        </w:rPr>
        <w:t>）《石油天然气钻井、开发、储运防火防爆安全生产技术规程》（</w:t>
      </w:r>
      <w:r w:rsidRPr="00E67914">
        <w:rPr>
          <w:rFonts w:ascii="Times New Roman" w:hAnsi="Times New Roman"/>
          <w:bCs/>
          <w:kern w:val="2"/>
          <w:sz w:val="24"/>
          <w:szCs w:val="24"/>
          <w:lang w:eastAsia="zh-CN"/>
        </w:rPr>
        <w:t>SY_T5225-2019</w:t>
      </w:r>
      <w:r w:rsidRPr="00E67914">
        <w:rPr>
          <w:rFonts w:ascii="Times New Roman" w:hAnsi="Times New Roman"/>
          <w:bCs/>
          <w:kern w:val="2"/>
          <w:sz w:val="24"/>
          <w:szCs w:val="24"/>
          <w:lang w:eastAsia="zh-CN"/>
        </w:rPr>
        <w:t>）；</w:t>
      </w:r>
    </w:p>
    <w:p w14:paraId="46F0EA3A"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15</w:t>
      </w:r>
      <w:r w:rsidRPr="00E67914">
        <w:rPr>
          <w:rFonts w:ascii="Times New Roman" w:hAnsi="Times New Roman"/>
          <w:bCs/>
          <w:kern w:val="2"/>
          <w:sz w:val="24"/>
          <w:szCs w:val="24"/>
          <w:lang w:eastAsia="zh-CN"/>
        </w:rPr>
        <w:t>）《钻井井场、设备、作业安全技术规程》（</w:t>
      </w:r>
      <w:r w:rsidRPr="00E67914">
        <w:rPr>
          <w:rFonts w:ascii="Times New Roman" w:hAnsi="Times New Roman"/>
          <w:bCs/>
          <w:kern w:val="2"/>
          <w:sz w:val="24"/>
          <w:szCs w:val="24"/>
          <w:lang w:eastAsia="zh-CN"/>
        </w:rPr>
        <w:t>SYT 5974-2014</w:t>
      </w:r>
      <w:r w:rsidRPr="00E67914">
        <w:rPr>
          <w:rFonts w:ascii="Times New Roman" w:hAnsi="Times New Roman"/>
          <w:bCs/>
          <w:kern w:val="2"/>
          <w:sz w:val="24"/>
          <w:szCs w:val="24"/>
          <w:lang w:eastAsia="zh-CN"/>
        </w:rPr>
        <w:t>）；</w:t>
      </w:r>
    </w:p>
    <w:p w14:paraId="235697DA"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16</w:t>
      </w:r>
      <w:r w:rsidRPr="00E67914">
        <w:rPr>
          <w:rFonts w:ascii="Times New Roman" w:hAnsi="Times New Roman"/>
          <w:bCs/>
          <w:kern w:val="2"/>
          <w:sz w:val="24"/>
          <w:szCs w:val="24"/>
          <w:lang w:eastAsia="zh-CN"/>
        </w:rPr>
        <w:t>）《输气管道工程设计规范》（</w:t>
      </w:r>
      <w:r w:rsidRPr="00E67914">
        <w:rPr>
          <w:rFonts w:ascii="Times New Roman" w:hAnsi="Times New Roman"/>
          <w:bCs/>
          <w:kern w:val="2"/>
          <w:sz w:val="24"/>
          <w:szCs w:val="24"/>
          <w:lang w:eastAsia="zh-CN"/>
        </w:rPr>
        <w:t>GB50251-2015</w:t>
      </w:r>
      <w:r w:rsidRPr="00E67914">
        <w:rPr>
          <w:rFonts w:ascii="Times New Roman" w:hAnsi="Times New Roman"/>
          <w:bCs/>
          <w:kern w:val="2"/>
          <w:sz w:val="24"/>
          <w:szCs w:val="24"/>
          <w:lang w:eastAsia="zh-CN"/>
        </w:rPr>
        <w:t>）；</w:t>
      </w:r>
    </w:p>
    <w:p w14:paraId="4C0C456F"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17</w:t>
      </w:r>
      <w:r w:rsidRPr="00E67914">
        <w:rPr>
          <w:rFonts w:ascii="Times New Roman" w:hAnsi="Times New Roman"/>
          <w:bCs/>
          <w:kern w:val="2"/>
          <w:sz w:val="24"/>
          <w:szCs w:val="24"/>
          <w:lang w:eastAsia="zh-CN"/>
        </w:rPr>
        <w:t>）《气田集输设计规范》（</w:t>
      </w:r>
      <w:r w:rsidRPr="00E67914">
        <w:rPr>
          <w:rFonts w:ascii="Times New Roman" w:hAnsi="Times New Roman"/>
          <w:bCs/>
          <w:kern w:val="2"/>
          <w:sz w:val="24"/>
          <w:szCs w:val="24"/>
          <w:lang w:eastAsia="zh-CN"/>
        </w:rPr>
        <w:t>GB50349-2015</w:t>
      </w:r>
      <w:r w:rsidRPr="00E67914">
        <w:rPr>
          <w:rFonts w:ascii="Times New Roman" w:hAnsi="Times New Roman"/>
          <w:bCs/>
          <w:kern w:val="2"/>
          <w:sz w:val="24"/>
          <w:szCs w:val="24"/>
          <w:lang w:eastAsia="zh-CN"/>
        </w:rPr>
        <w:t>）；</w:t>
      </w:r>
    </w:p>
    <w:p w14:paraId="0DD098DB"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18</w:t>
      </w:r>
      <w:r w:rsidRPr="00E67914">
        <w:rPr>
          <w:rFonts w:ascii="Times New Roman" w:hAnsi="Times New Roman"/>
          <w:bCs/>
          <w:kern w:val="2"/>
          <w:sz w:val="24"/>
          <w:szCs w:val="24"/>
          <w:lang w:eastAsia="zh-CN"/>
        </w:rPr>
        <w:t>）《气田水注入技术要求》（</w:t>
      </w:r>
      <w:r w:rsidRPr="00E67914">
        <w:rPr>
          <w:rFonts w:ascii="Times New Roman" w:hAnsi="Times New Roman"/>
          <w:bCs/>
          <w:kern w:val="2"/>
          <w:sz w:val="24"/>
          <w:szCs w:val="24"/>
          <w:lang w:eastAsia="zh-CN"/>
        </w:rPr>
        <w:t>SY/T 6596-2016</w:t>
      </w:r>
      <w:r w:rsidRPr="00E67914">
        <w:rPr>
          <w:rFonts w:ascii="Times New Roman" w:hAnsi="Times New Roman"/>
          <w:bCs/>
          <w:kern w:val="2"/>
          <w:sz w:val="24"/>
          <w:szCs w:val="24"/>
          <w:lang w:eastAsia="zh-CN"/>
        </w:rPr>
        <w:t>）；</w:t>
      </w:r>
    </w:p>
    <w:p w14:paraId="1684C1C2"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19</w:t>
      </w:r>
      <w:r w:rsidRPr="00E67914">
        <w:rPr>
          <w:rFonts w:ascii="Times New Roman" w:hAnsi="Times New Roman"/>
          <w:bCs/>
          <w:kern w:val="2"/>
          <w:sz w:val="24"/>
          <w:szCs w:val="24"/>
          <w:lang w:eastAsia="zh-CN"/>
        </w:rPr>
        <w:t>）《钻前工程及井场布置技术要求》（</w:t>
      </w:r>
      <w:r w:rsidRPr="00E67914">
        <w:rPr>
          <w:rFonts w:ascii="Times New Roman" w:hAnsi="Times New Roman"/>
          <w:bCs/>
          <w:kern w:val="2"/>
          <w:sz w:val="24"/>
          <w:szCs w:val="24"/>
          <w:lang w:eastAsia="zh-CN"/>
        </w:rPr>
        <w:t>SYT 5466-2013</w:t>
      </w:r>
      <w:r w:rsidRPr="00E67914">
        <w:rPr>
          <w:rFonts w:ascii="Times New Roman" w:hAnsi="Times New Roman"/>
          <w:bCs/>
          <w:kern w:val="2"/>
          <w:sz w:val="24"/>
          <w:szCs w:val="24"/>
          <w:lang w:eastAsia="zh-CN"/>
        </w:rPr>
        <w:t>）；</w:t>
      </w:r>
    </w:p>
    <w:p w14:paraId="7E09EBCA"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20</w:t>
      </w:r>
      <w:r w:rsidRPr="00E67914">
        <w:rPr>
          <w:rFonts w:ascii="Times New Roman" w:hAnsi="Times New Roman"/>
          <w:bCs/>
          <w:kern w:val="2"/>
          <w:sz w:val="24"/>
          <w:szCs w:val="24"/>
          <w:lang w:eastAsia="zh-CN"/>
        </w:rPr>
        <w:t>）《气田水注入技术要求》（</w:t>
      </w:r>
      <w:r w:rsidRPr="00E67914">
        <w:rPr>
          <w:rFonts w:ascii="Times New Roman" w:hAnsi="Times New Roman"/>
          <w:bCs/>
          <w:kern w:val="2"/>
          <w:sz w:val="24"/>
          <w:szCs w:val="24"/>
          <w:lang w:eastAsia="zh-CN"/>
        </w:rPr>
        <w:t>SY/T6596-2016</w:t>
      </w:r>
      <w:r w:rsidRPr="00E67914">
        <w:rPr>
          <w:rFonts w:ascii="Times New Roman" w:hAnsi="Times New Roman"/>
          <w:bCs/>
          <w:kern w:val="2"/>
          <w:sz w:val="24"/>
          <w:szCs w:val="24"/>
          <w:lang w:eastAsia="zh-CN"/>
        </w:rPr>
        <w:t>）；</w:t>
      </w:r>
    </w:p>
    <w:p w14:paraId="5DA7AD0D"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21</w:t>
      </w:r>
      <w:r w:rsidRPr="00E67914">
        <w:rPr>
          <w:rFonts w:ascii="Times New Roman" w:hAnsi="Times New Roman"/>
          <w:bCs/>
          <w:kern w:val="2"/>
          <w:sz w:val="24"/>
          <w:szCs w:val="24"/>
          <w:lang w:eastAsia="zh-CN"/>
        </w:rPr>
        <w:t>）《油气输送管道穿越工程设计规范》（</w:t>
      </w:r>
      <w:r w:rsidRPr="00E67914">
        <w:rPr>
          <w:rFonts w:ascii="Times New Roman" w:hAnsi="Times New Roman"/>
          <w:bCs/>
          <w:kern w:val="2"/>
          <w:sz w:val="24"/>
          <w:szCs w:val="24"/>
          <w:lang w:eastAsia="zh-CN"/>
        </w:rPr>
        <w:t>GB50423-2015</w:t>
      </w:r>
      <w:r w:rsidRPr="00E67914">
        <w:rPr>
          <w:rFonts w:ascii="Times New Roman" w:hAnsi="Times New Roman"/>
          <w:bCs/>
          <w:kern w:val="2"/>
          <w:sz w:val="24"/>
          <w:szCs w:val="24"/>
          <w:lang w:eastAsia="zh-CN"/>
        </w:rPr>
        <w:t>）；</w:t>
      </w:r>
    </w:p>
    <w:p w14:paraId="04A6B18E"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22</w:t>
      </w:r>
      <w:r w:rsidRPr="00E67914">
        <w:rPr>
          <w:rFonts w:ascii="Times New Roman" w:hAnsi="Times New Roman"/>
          <w:bCs/>
          <w:kern w:val="2"/>
          <w:sz w:val="24"/>
          <w:szCs w:val="24"/>
          <w:lang w:eastAsia="zh-CN"/>
        </w:rPr>
        <w:t>）《原油和天然气输送管道穿跨越工程设计规范穿越工程》（</w:t>
      </w:r>
      <w:r w:rsidRPr="00E67914">
        <w:rPr>
          <w:rFonts w:ascii="Times New Roman" w:hAnsi="Times New Roman"/>
          <w:bCs/>
          <w:kern w:val="2"/>
          <w:sz w:val="24"/>
          <w:szCs w:val="24"/>
          <w:lang w:eastAsia="zh-CN"/>
        </w:rPr>
        <w:t>SY/T0015.1-98</w:t>
      </w:r>
      <w:r w:rsidRPr="00E67914">
        <w:rPr>
          <w:rFonts w:ascii="Times New Roman" w:hAnsi="Times New Roman"/>
          <w:bCs/>
          <w:kern w:val="2"/>
          <w:sz w:val="24"/>
          <w:szCs w:val="24"/>
          <w:lang w:eastAsia="zh-CN"/>
        </w:rPr>
        <w:t>）；</w:t>
      </w:r>
    </w:p>
    <w:p w14:paraId="09F6424C"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w:t>
      </w:r>
      <w:r w:rsidRPr="00E67914">
        <w:rPr>
          <w:rFonts w:ascii="Times New Roman" w:hAnsi="Times New Roman"/>
          <w:bCs/>
          <w:kern w:val="2"/>
          <w:sz w:val="24"/>
          <w:szCs w:val="24"/>
          <w:lang w:eastAsia="zh-CN"/>
        </w:rPr>
        <w:t>23</w:t>
      </w:r>
      <w:r w:rsidRPr="00E67914">
        <w:rPr>
          <w:rFonts w:ascii="Times New Roman" w:hAnsi="Times New Roman"/>
          <w:bCs/>
          <w:kern w:val="2"/>
          <w:sz w:val="24"/>
          <w:szCs w:val="24"/>
          <w:lang w:eastAsia="zh-CN"/>
        </w:rPr>
        <w:t>）《埋地钢质管道阴极保护技术规范》（</w:t>
      </w:r>
      <w:r w:rsidRPr="00E67914">
        <w:rPr>
          <w:rFonts w:ascii="Times New Roman" w:hAnsi="Times New Roman"/>
          <w:bCs/>
          <w:kern w:val="2"/>
          <w:sz w:val="24"/>
          <w:szCs w:val="24"/>
          <w:lang w:eastAsia="zh-CN"/>
        </w:rPr>
        <w:t>GB/T21448-2017</w:t>
      </w:r>
      <w:r w:rsidRPr="00E67914">
        <w:rPr>
          <w:rFonts w:ascii="Times New Roman" w:hAnsi="Times New Roman"/>
          <w:bCs/>
          <w:kern w:val="2"/>
          <w:sz w:val="24"/>
          <w:szCs w:val="24"/>
          <w:lang w:eastAsia="zh-CN"/>
        </w:rPr>
        <w:t>）；</w:t>
      </w:r>
    </w:p>
    <w:p w14:paraId="475A0971"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24</w:t>
      </w:r>
      <w:r w:rsidRPr="00E67914">
        <w:rPr>
          <w:rFonts w:ascii="Times New Roman" w:hAnsi="Times New Roman"/>
          <w:bCs/>
          <w:kern w:val="2"/>
          <w:sz w:val="24"/>
          <w:szCs w:val="24"/>
          <w:lang w:eastAsia="zh-CN"/>
        </w:rPr>
        <w:t>）《天然气管道运行规范》（</w:t>
      </w:r>
      <w:r w:rsidRPr="00E67914">
        <w:rPr>
          <w:rFonts w:ascii="Times New Roman" w:hAnsi="Times New Roman"/>
          <w:bCs/>
          <w:kern w:val="2"/>
          <w:sz w:val="24"/>
          <w:szCs w:val="24"/>
          <w:lang w:eastAsia="zh-CN"/>
        </w:rPr>
        <w:t>SY/T5922-2003</w:t>
      </w:r>
      <w:r w:rsidRPr="00E67914">
        <w:rPr>
          <w:rFonts w:ascii="Times New Roman" w:hAnsi="Times New Roman"/>
          <w:bCs/>
          <w:kern w:val="2"/>
          <w:sz w:val="24"/>
          <w:szCs w:val="24"/>
          <w:lang w:eastAsia="zh-CN"/>
        </w:rPr>
        <w:t>）；</w:t>
      </w:r>
    </w:p>
    <w:p w14:paraId="642917DA"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25</w:t>
      </w:r>
      <w:r w:rsidRPr="00E67914">
        <w:rPr>
          <w:rFonts w:ascii="Times New Roman" w:hAnsi="Times New Roman"/>
          <w:bCs/>
          <w:kern w:val="2"/>
          <w:sz w:val="24"/>
          <w:szCs w:val="24"/>
          <w:lang w:eastAsia="zh-CN"/>
        </w:rPr>
        <w:t>）《建筑设计防火规范》（</w:t>
      </w:r>
      <w:r w:rsidRPr="00E67914">
        <w:rPr>
          <w:rFonts w:ascii="Times New Roman" w:hAnsi="Times New Roman"/>
          <w:bCs/>
          <w:kern w:val="2"/>
          <w:sz w:val="24"/>
          <w:szCs w:val="24"/>
          <w:lang w:eastAsia="zh-CN"/>
        </w:rPr>
        <w:t>GB50016-2014</w:t>
      </w:r>
      <w:r w:rsidRPr="00E67914">
        <w:rPr>
          <w:rFonts w:ascii="Times New Roman" w:hAnsi="Times New Roman"/>
          <w:bCs/>
          <w:kern w:val="2"/>
          <w:sz w:val="24"/>
          <w:szCs w:val="24"/>
          <w:lang w:eastAsia="zh-CN"/>
        </w:rPr>
        <w:t>）；</w:t>
      </w:r>
    </w:p>
    <w:p w14:paraId="1785044D" w14:textId="77777777" w:rsidR="00267B16"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26</w:t>
      </w:r>
      <w:r w:rsidRPr="00E67914">
        <w:rPr>
          <w:rFonts w:ascii="Times New Roman" w:hAnsi="Times New Roman"/>
          <w:bCs/>
          <w:kern w:val="2"/>
          <w:sz w:val="24"/>
          <w:szCs w:val="24"/>
          <w:lang w:eastAsia="zh-CN"/>
        </w:rPr>
        <w:t>）《陆上石油天然气集输环境保护推荐作法》（</w:t>
      </w:r>
      <w:r w:rsidRPr="00E67914">
        <w:rPr>
          <w:rFonts w:ascii="Times New Roman" w:hAnsi="Times New Roman"/>
          <w:bCs/>
          <w:kern w:val="2"/>
          <w:sz w:val="24"/>
          <w:szCs w:val="24"/>
          <w:lang w:eastAsia="zh-CN"/>
        </w:rPr>
        <w:t>SY/T7294-2016</w:t>
      </w:r>
      <w:r w:rsidRPr="00E67914">
        <w:rPr>
          <w:rFonts w:ascii="Times New Roman" w:hAnsi="Times New Roman"/>
          <w:bCs/>
          <w:kern w:val="2"/>
          <w:sz w:val="24"/>
          <w:szCs w:val="24"/>
          <w:lang w:eastAsia="zh-CN"/>
        </w:rPr>
        <w:t>）；</w:t>
      </w:r>
    </w:p>
    <w:p w14:paraId="2D807F2D" w14:textId="6502CC59" w:rsidR="00A54A8A" w:rsidRPr="00E67914" w:rsidRDefault="00267B16" w:rsidP="00267B16">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27</w:t>
      </w:r>
      <w:r w:rsidRPr="00E67914">
        <w:rPr>
          <w:rFonts w:ascii="Times New Roman" w:hAnsi="Times New Roman"/>
          <w:bCs/>
          <w:kern w:val="2"/>
          <w:sz w:val="24"/>
          <w:szCs w:val="24"/>
          <w:lang w:eastAsia="zh-CN"/>
        </w:rPr>
        <w:t>）《陆上石油天然气开采含油污泥处理处置及污染控制技术规范》（</w:t>
      </w:r>
      <w:r w:rsidRPr="00E67914">
        <w:rPr>
          <w:rFonts w:ascii="Times New Roman" w:hAnsi="Times New Roman"/>
          <w:bCs/>
          <w:kern w:val="2"/>
          <w:sz w:val="24"/>
          <w:szCs w:val="24"/>
          <w:lang w:eastAsia="zh-CN"/>
        </w:rPr>
        <w:t>SY/T 7300-2016</w:t>
      </w:r>
      <w:r w:rsidRPr="00E67914">
        <w:rPr>
          <w:rFonts w:ascii="Times New Roman" w:hAnsi="Times New Roman"/>
          <w:bCs/>
          <w:kern w:val="2"/>
          <w:sz w:val="24"/>
          <w:szCs w:val="24"/>
          <w:lang w:eastAsia="zh-CN"/>
        </w:rPr>
        <w:t>）。</w:t>
      </w:r>
    </w:p>
    <w:p w14:paraId="359BADC7"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2.3.7</w:t>
      </w:r>
      <w:r w:rsidRPr="00E67914">
        <w:rPr>
          <w:rFonts w:ascii="Times New Roman" w:eastAsia="黑体" w:hAnsi="Times New Roman"/>
          <w:b w:val="0"/>
          <w:sz w:val="24"/>
          <w:szCs w:val="24"/>
          <w:lang w:eastAsia="zh-CN"/>
        </w:rPr>
        <w:t>相关技术及工作文件</w:t>
      </w:r>
    </w:p>
    <w:p w14:paraId="30666943" w14:textId="77777777" w:rsidR="00A54A8A" w:rsidRPr="00E67914" w:rsidRDefault="00000000">
      <w:pPr>
        <w:pStyle w:val="afffffe"/>
        <w:ind w:firstLine="480"/>
      </w:pPr>
      <w:r w:rsidRPr="00E67914">
        <w:t>（</w:t>
      </w:r>
      <w:r w:rsidRPr="00E67914">
        <w:t>1</w:t>
      </w:r>
      <w:r w:rsidRPr="00E67914">
        <w:t>）环境影响评价委托书；</w:t>
      </w:r>
    </w:p>
    <w:p w14:paraId="63E0EB21" w14:textId="09F7C343" w:rsidR="00A54A8A" w:rsidRPr="00E67914" w:rsidRDefault="00000000">
      <w:pPr>
        <w:pStyle w:val="afffffe"/>
        <w:ind w:firstLine="480"/>
      </w:pPr>
      <w:bookmarkStart w:id="20" w:name="_Hlk56956483"/>
      <w:r w:rsidRPr="00E67914">
        <w:t>（</w:t>
      </w:r>
      <w:r w:rsidRPr="00E67914">
        <w:t>2</w:t>
      </w:r>
      <w:r w:rsidRPr="00E67914">
        <w:t>）《</w:t>
      </w:r>
      <w:r w:rsidR="002662E3" w:rsidRPr="00E67914">
        <w:t>普陆页</w:t>
      </w:r>
      <w:r w:rsidR="002662E3" w:rsidRPr="00E67914">
        <w:t>2</w:t>
      </w:r>
      <w:r w:rsidR="002662E3" w:rsidRPr="00E67914">
        <w:t>井台钻井及试采工程</w:t>
      </w:r>
      <w:r w:rsidRPr="00E67914">
        <w:t>可行性研究报告》；</w:t>
      </w:r>
    </w:p>
    <w:p w14:paraId="46A94F3E" w14:textId="77777777" w:rsidR="00A54A8A" w:rsidRPr="00E67914" w:rsidRDefault="00000000">
      <w:pPr>
        <w:pStyle w:val="afffffe"/>
        <w:ind w:firstLine="480"/>
      </w:pPr>
      <w:r w:rsidRPr="00E67914">
        <w:t>（</w:t>
      </w:r>
      <w:r w:rsidRPr="00E67914">
        <w:t>3</w:t>
      </w:r>
      <w:r w:rsidRPr="00E67914">
        <w:t>）《环境质量监测报告》；</w:t>
      </w:r>
    </w:p>
    <w:bookmarkEnd w:id="20"/>
    <w:p w14:paraId="6851D9D5" w14:textId="77777777" w:rsidR="00A54A8A" w:rsidRPr="00E67914" w:rsidRDefault="00000000">
      <w:pPr>
        <w:pStyle w:val="afffffe"/>
        <w:ind w:firstLine="480"/>
      </w:pPr>
      <w:r w:rsidRPr="00E67914">
        <w:t>（</w:t>
      </w:r>
      <w:r w:rsidRPr="00E67914">
        <w:t>4</w:t>
      </w:r>
      <w:r w:rsidRPr="00E67914">
        <w:t>）项目直接影响区、县及相关乡镇规划、土地利用规划、植被分布现状、水系分布情况、旅游区发展规划等相关文件、资料；</w:t>
      </w:r>
    </w:p>
    <w:p w14:paraId="271EB831" w14:textId="77777777" w:rsidR="00A54A8A" w:rsidRPr="00E67914" w:rsidRDefault="00000000">
      <w:pPr>
        <w:pStyle w:val="afffffe"/>
        <w:ind w:firstLine="480"/>
      </w:pPr>
      <w:r w:rsidRPr="00E67914">
        <w:t>（</w:t>
      </w:r>
      <w:r w:rsidRPr="00E67914">
        <w:t>5</w:t>
      </w:r>
      <w:r w:rsidRPr="00E67914">
        <w:t>）建设单位提供的项目其他有关资料。</w:t>
      </w:r>
    </w:p>
    <w:p w14:paraId="608CF449" w14:textId="77777777" w:rsidR="00A54A8A" w:rsidRPr="00E67914" w:rsidRDefault="00000000">
      <w:pPr>
        <w:pStyle w:val="2"/>
        <w:adjustRightInd/>
        <w:snapToGrid/>
        <w:ind w:firstLine="480"/>
        <w:rPr>
          <w:szCs w:val="24"/>
          <w:lang w:eastAsia="zh-CN"/>
        </w:rPr>
      </w:pPr>
      <w:bookmarkStart w:id="21" w:name="_Toc148654212"/>
      <w:r w:rsidRPr="00E67914">
        <w:rPr>
          <w:szCs w:val="24"/>
          <w:lang w:eastAsia="zh-CN"/>
        </w:rPr>
        <w:t>2.4</w:t>
      </w:r>
      <w:r w:rsidRPr="00E67914">
        <w:rPr>
          <w:szCs w:val="24"/>
          <w:lang w:eastAsia="zh-CN"/>
        </w:rPr>
        <w:t>环境影响识别与评价因子筛选</w:t>
      </w:r>
      <w:bookmarkEnd w:id="21"/>
    </w:p>
    <w:p w14:paraId="1A846F1C"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2.4.1</w:t>
      </w:r>
      <w:r w:rsidRPr="00E67914">
        <w:rPr>
          <w:rFonts w:ascii="Times New Roman" w:eastAsia="黑体" w:hAnsi="Times New Roman"/>
          <w:b w:val="0"/>
          <w:sz w:val="24"/>
          <w:szCs w:val="24"/>
          <w:lang w:eastAsia="zh-CN"/>
        </w:rPr>
        <w:t>环境影响识别</w:t>
      </w:r>
    </w:p>
    <w:p w14:paraId="65A74FCC" w14:textId="77777777" w:rsidR="00A54A8A" w:rsidRPr="00E67914" w:rsidRDefault="00000000">
      <w:pPr>
        <w:pStyle w:val="afffffe"/>
        <w:ind w:firstLine="480"/>
      </w:pPr>
      <w:r w:rsidRPr="00E67914">
        <w:t>本项目为生态影响型建设工程，主要就工程建设及运行对区域生态环境及其他环境要素所造成的影响进行识别。</w:t>
      </w:r>
    </w:p>
    <w:p w14:paraId="5EAD4203" w14:textId="77777777" w:rsidR="00A54A8A" w:rsidRPr="00E67914" w:rsidRDefault="00000000">
      <w:pPr>
        <w:pStyle w:val="afffffe"/>
        <w:ind w:firstLine="482"/>
        <w:rPr>
          <w:b/>
        </w:rPr>
      </w:pPr>
      <w:r w:rsidRPr="00E67914">
        <w:rPr>
          <w:b/>
        </w:rPr>
        <w:t>1</w:t>
      </w:r>
      <w:r w:rsidRPr="00E67914">
        <w:rPr>
          <w:b/>
        </w:rPr>
        <w:t>、生态环境影响</w:t>
      </w:r>
    </w:p>
    <w:p w14:paraId="3B913FF7" w14:textId="77777777" w:rsidR="00267B16" w:rsidRPr="00E67914" w:rsidRDefault="00267B16" w:rsidP="00267B16">
      <w:pPr>
        <w:pStyle w:val="afffffe"/>
        <w:ind w:firstLine="480"/>
        <w:rPr>
          <w:kern w:val="2"/>
          <w:szCs w:val="22"/>
        </w:rPr>
      </w:pPr>
      <w:r w:rsidRPr="00E67914">
        <w:rPr>
          <w:kern w:val="2"/>
          <w:szCs w:val="22"/>
        </w:rPr>
        <w:t>本项目生态环境影响主要体现在施工期。工程施工期间对生态环境的影响主要是工程占地及土石方工程开挖引起的自然地貌的改变和地表自然及人工植被的破坏，进而引起对土地利用的改变，生物量和生产力的变化，由此引发区域生态系统稳定性下降，致使生态环境的破坏及水土流失。</w:t>
      </w:r>
    </w:p>
    <w:p w14:paraId="6AA1D57F" w14:textId="4E4FC0DE" w:rsidR="00A54A8A" w:rsidRPr="00E67914" w:rsidRDefault="00267B16" w:rsidP="00267B16">
      <w:pPr>
        <w:pStyle w:val="afffffe"/>
        <w:ind w:firstLine="480"/>
        <w:rPr>
          <w:kern w:val="2"/>
          <w:szCs w:val="22"/>
        </w:rPr>
      </w:pPr>
      <w:r w:rsidRPr="00E67914">
        <w:rPr>
          <w:kern w:val="2"/>
          <w:szCs w:val="22"/>
        </w:rPr>
        <w:t>试采期不会带来新的生态影响，受施工期影响的生态环境按相应的环境保护措施，逐步恢复重建。</w:t>
      </w:r>
    </w:p>
    <w:p w14:paraId="5D884D3D" w14:textId="77777777" w:rsidR="00A54A8A" w:rsidRPr="00E67914" w:rsidRDefault="00000000">
      <w:pPr>
        <w:pStyle w:val="afffffe"/>
        <w:ind w:firstLine="482"/>
        <w:rPr>
          <w:b/>
        </w:rPr>
      </w:pPr>
      <w:r w:rsidRPr="00E67914">
        <w:rPr>
          <w:b/>
        </w:rPr>
        <w:t>2</w:t>
      </w:r>
      <w:r w:rsidRPr="00E67914">
        <w:rPr>
          <w:b/>
        </w:rPr>
        <w:t>、地表水环境影响</w:t>
      </w:r>
    </w:p>
    <w:p w14:paraId="510810C6" w14:textId="77777777" w:rsidR="00A54A8A" w:rsidRPr="00E67914" w:rsidRDefault="00000000">
      <w:pPr>
        <w:pStyle w:val="afffffe"/>
        <w:ind w:firstLine="480"/>
        <w:rPr>
          <w:kern w:val="2"/>
          <w:szCs w:val="22"/>
        </w:rPr>
      </w:pPr>
      <w:r w:rsidRPr="00E67914">
        <w:rPr>
          <w:kern w:val="2"/>
          <w:szCs w:val="22"/>
        </w:rPr>
        <w:t>（</w:t>
      </w:r>
      <w:r w:rsidRPr="00E67914">
        <w:rPr>
          <w:kern w:val="2"/>
          <w:szCs w:val="22"/>
        </w:rPr>
        <w:t>1</w:t>
      </w:r>
      <w:r w:rsidRPr="00E67914">
        <w:rPr>
          <w:kern w:val="2"/>
          <w:szCs w:val="22"/>
        </w:rPr>
        <w:t>）钻井期废水对地表水的影响；</w:t>
      </w:r>
    </w:p>
    <w:p w14:paraId="3D78602F" w14:textId="77777777" w:rsidR="00A54A8A" w:rsidRPr="00E67914" w:rsidRDefault="00000000">
      <w:pPr>
        <w:pStyle w:val="afffffe"/>
        <w:ind w:firstLine="480"/>
        <w:rPr>
          <w:kern w:val="2"/>
          <w:szCs w:val="22"/>
        </w:rPr>
      </w:pPr>
      <w:r w:rsidRPr="00E67914">
        <w:rPr>
          <w:kern w:val="2"/>
          <w:szCs w:val="22"/>
        </w:rPr>
        <w:t>（</w:t>
      </w:r>
      <w:r w:rsidRPr="00E67914">
        <w:rPr>
          <w:kern w:val="2"/>
          <w:szCs w:val="22"/>
        </w:rPr>
        <w:t>2</w:t>
      </w:r>
      <w:r w:rsidRPr="00E67914">
        <w:rPr>
          <w:kern w:val="2"/>
          <w:szCs w:val="22"/>
        </w:rPr>
        <w:t>）施工人员产生的生活污水对地表水环境的影响；</w:t>
      </w:r>
    </w:p>
    <w:p w14:paraId="4E0EC643" w14:textId="77777777" w:rsidR="00A54A8A" w:rsidRPr="00E67914" w:rsidRDefault="00000000">
      <w:pPr>
        <w:pStyle w:val="afffffe"/>
        <w:ind w:firstLine="480"/>
        <w:rPr>
          <w:kern w:val="2"/>
          <w:szCs w:val="22"/>
        </w:rPr>
      </w:pPr>
      <w:r w:rsidRPr="00E67914">
        <w:rPr>
          <w:kern w:val="2"/>
          <w:szCs w:val="22"/>
        </w:rPr>
        <w:t>（</w:t>
      </w:r>
      <w:r w:rsidRPr="00E67914">
        <w:rPr>
          <w:kern w:val="2"/>
          <w:szCs w:val="22"/>
        </w:rPr>
        <w:t>3</w:t>
      </w:r>
      <w:r w:rsidRPr="00E67914">
        <w:rPr>
          <w:kern w:val="2"/>
          <w:szCs w:val="22"/>
        </w:rPr>
        <w:t>）试采期气田水对地表水环境的影响。</w:t>
      </w:r>
    </w:p>
    <w:p w14:paraId="27D8D45B" w14:textId="77777777" w:rsidR="00A54A8A" w:rsidRPr="00E67914" w:rsidRDefault="00000000">
      <w:pPr>
        <w:pStyle w:val="afffffe"/>
        <w:ind w:firstLine="482"/>
        <w:rPr>
          <w:b/>
        </w:rPr>
      </w:pPr>
      <w:r w:rsidRPr="00E67914">
        <w:rPr>
          <w:b/>
        </w:rPr>
        <w:t>3</w:t>
      </w:r>
      <w:r w:rsidRPr="00E67914">
        <w:rPr>
          <w:b/>
        </w:rPr>
        <w:t>、地下水环境影响</w:t>
      </w:r>
    </w:p>
    <w:p w14:paraId="44575CA2" w14:textId="77777777" w:rsidR="00A54A8A" w:rsidRPr="00E67914" w:rsidRDefault="00000000">
      <w:pPr>
        <w:pStyle w:val="0"/>
      </w:pPr>
      <w:r w:rsidRPr="00E67914">
        <w:lastRenderedPageBreak/>
        <w:t>（</w:t>
      </w:r>
      <w:r w:rsidRPr="00E67914">
        <w:t>1</w:t>
      </w:r>
      <w:r w:rsidRPr="00E67914">
        <w:t>）本项目施工期对地下水的影响是钻井过程中井套密封不严泄漏对地下水的影响；</w:t>
      </w:r>
    </w:p>
    <w:p w14:paraId="668987D1" w14:textId="379D5C5E" w:rsidR="00A54A8A" w:rsidRPr="00E67914" w:rsidRDefault="00000000">
      <w:pPr>
        <w:pStyle w:val="0"/>
      </w:pPr>
      <w:r w:rsidRPr="00E67914">
        <w:t>（</w:t>
      </w:r>
      <w:r w:rsidRPr="00E67914">
        <w:t>2</w:t>
      </w:r>
      <w:r w:rsidRPr="00E67914">
        <w:t>）本项目普陆</w:t>
      </w:r>
      <w:r w:rsidR="00902A04" w:rsidRPr="00E67914">
        <w:t>页</w:t>
      </w:r>
      <w:r w:rsidR="00902A04" w:rsidRPr="00E67914">
        <w:t>2</w:t>
      </w:r>
      <w:r w:rsidR="00902A04" w:rsidRPr="00E67914">
        <w:t>试采站</w:t>
      </w:r>
      <w:r w:rsidRPr="00E67914">
        <w:t>不涉及污水处理构筑物，涉及污水储存设施（</w:t>
      </w:r>
      <w:r w:rsidR="00A9536E" w:rsidRPr="00E67914">
        <w:t>放空分液罐、采出水罐</w:t>
      </w:r>
      <w:r w:rsidRPr="00E67914">
        <w:t>）。本项目试采期对地下水的影响是</w:t>
      </w:r>
      <w:r w:rsidR="00A9536E" w:rsidRPr="00E67914">
        <w:t>放空分液罐、采出水罐</w:t>
      </w:r>
      <w:r w:rsidRPr="00E67914">
        <w:t>发生泄漏对地下水的影响。</w:t>
      </w:r>
    </w:p>
    <w:p w14:paraId="6E40771E" w14:textId="7FDCE888" w:rsidR="00267B16" w:rsidRPr="00E67914" w:rsidRDefault="00267B16">
      <w:pPr>
        <w:pStyle w:val="0"/>
      </w:pPr>
      <w:r w:rsidRPr="00E67914">
        <w:t>（</w:t>
      </w:r>
      <w:r w:rsidRPr="00E67914">
        <w:t>3</w:t>
      </w:r>
      <w:r w:rsidRPr="00E67914">
        <w:t>）集输管线破裂出现泄漏时，天然气将通过包气带土壤孔隙逸出进入大气，不会对地下水产生影响，天然气中所含少量的气田水为气态，如果发生上述泄漏，管道监测系统会立即切断并停止输气，所泄漏的气田水微乎其微，且同天然气一同扩散到大气中。因此，不会对地下水环境产生影响。</w:t>
      </w:r>
    </w:p>
    <w:p w14:paraId="452C5C61" w14:textId="77777777" w:rsidR="00A54A8A" w:rsidRPr="00E67914" w:rsidRDefault="00000000">
      <w:pPr>
        <w:pStyle w:val="afffffe"/>
        <w:ind w:firstLine="482"/>
        <w:rPr>
          <w:b/>
          <w:bCs/>
        </w:rPr>
      </w:pPr>
      <w:r w:rsidRPr="00E67914">
        <w:rPr>
          <w:b/>
          <w:bCs/>
        </w:rPr>
        <w:t>4</w:t>
      </w:r>
      <w:r w:rsidRPr="00E67914">
        <w:rPr>
          <w:b/>
          <w:bCs/>
        </w:rPr>
        <w:t>、大气环境影响</w:t>
      </w:r>
    </w:p>
    <w:p w14:paraId="51E0CDF4" w14:textId="48BFF638" w:rsidR="00A54A8A" w:rsidRPr="00E67914" w:rsidRDefault="00000000">
      <w:pPr>
        <w:pStyle w:val="afffffe"/>
        <w:ind w:firstLine="480"/>
      </w:pPr>
      <w:r w:rsidRPr="00E67914">
        <w:t>（</w:t>
      </w:r>
      <w:r w:rsidRPr="00E67914">
        <w:t>1</w:t>
      </w:r>
      <w:r w:rsidRPr="00E67914">
        <w:t>）</w:t>
      </w:r>
      <w:r w:rsidR="00DE693A" w:rsidRPr="00E67914">
        <w:t>运输车辆及</w:t>
      </w:r>
      <w:r w:rsidRPr="00E67914">
        <w:t>施工机械排放的废气；</w:t>
      </w:r>
    </w:p>
    <w:p w14:paraId="3849E5E1" w14:textId="77777777" w:rsidR="00A54A8A" w:rsidRPr="00E67914" w:rsidRDefault="00000000">
      <w:pPr>
        <w:pStyle w:val="afffffe"/>
        <w:ind w:firstLine="480"/>
      </w:pPr>
      <w:r w:rsidRPr="00E67914">
        <w:t>（</w:t>
      </w:r>
      <w:r w:rsidRPr="00E67914">
        <w:t>2</w:t>
      </w:r>
      <w:r w:rsidRPr="00E67914">
        <w:t>）施工产生的扬尘；</w:t>
      </w:r>
    </w:p>
    <w:p w14:paraId="0604B339" w14:textId="05A16786" w:rsidR="00A54A8A" w:rsidRPr="00E67914" w:rsidRDefault="00000000">
      <w:pPr>
        <w:pStyle w:val="afffffe"/>
        <w:ind w:firstLine="480"/>
      </w:pPr>
      <w:r w:rsidRPr="00E67914">
        <w:t>（</w:t>
      </w:r>
      <w:r w:rsidRPr="00E67914">
        <w:t>3</w:t>
      </w:r>
      <w:r w:rsidRPr="00E67914">
        <w:t>）本项目试采期</w:t>
      </w:r>
      <w:r w:rsidR="00C24829" w:rsidRPr="00E67914">
        <w:t>水套加热炉燃烧废气</w:t>
      </w:r>
      <w:r w:rsidRPr="00E67914">
        <w:t>、</w:t>
      </w:r>
      <w:r w:rsidR="00A9536E" w:rsidRPr="00E67914">
        <w:t>火炬长明灯废气</w:t>
      </w:r>
      <w:r w:rsidR="00314DA1" w:rsidRPr="00E67914">
        <w:t>、油罐挥发气体、凝析油装车挥发气体</w:t>
      </w:r>
      <w:r w:rsidR="00A9536E" w:rsidRPr="00E67914">
        <w:t>、</w:t>
      </w:r>
      <w:r w:rsidR="001729B7" w:rsidRPr="00E67914">
        <w:t>非正常工况放空废气</w:t>
      </w:r>
      <w:r w:rsidRPr="00E67914">
        <w:t>。</w:t>
      </w:r>
    </w:p>
    <w:p w14:paraId="5541CB7D" w14:textId="77777777" w:rsidR="00A54A8A" w:rsidRPr="00E67914" w:rsidRDefault="00000000">
      <w:pPr>
        <w:pStyle w:val="afffffe"/>
        <w:ind w:firstLine="482"/>
        <w:rPr>
          <w:b/>
          <w:bCs/>
        </w:rPr>
      </w:pPr>
      <w:r w:rsidRPr="00E67914">
        <w:rPr>
          <w:b/>
          <w:bCs/>
        </w:rPr>
        <w:t>5</w:t>
      </w:r>
      <w:r w:rsidRPr="00E67914">
        <w:rPr>
          <w:b/>
          <w:bCs/>
        </w:rPr>
        <w:t>、声环境影响</w:t>
      </w:r>
    </w:p>
    <w:p w14:paraId="58286EEC" w14:textId="5C849709" w:rsidR="00A54A8A" w:rsidRPr="00E67914" w:rsidRDefault="00000000">
      <w:pPr>
        <w:pStyle w:val="afffffe"/>
        <w:ind w:firstLine="480"/>
      </w:pPr>
      <w:r w:rsidRPr="00E67914">
        <w:t>（</w:t>
      </w:r>
      <w:r w:rsidRPr="00E67914">
        <w:t>1</w:t>
      </w:r>
      <w:r w:rsidRPr="00E67914">
        <w:t>）施工期施工机械产生的机械噪声</w:t>
      </w:r>
      <w:r w:rsidR="00E57FF1" w:rsidRPr="00E67914">
        <w:t>、钻井噪声、运输车辆噪声等</w:t>
      </w:r>
      <w:r w:rsidRPr="00E67914">
        <w:t>；</w:t>
      </w:r>
    </w:p>
    <w:p w14:paraId="495D3433" w14:textId="77777777" w:rsidR="00A54A8A" w:rsidRPr="00E67914" w:rsidRDefault="00000000">
      <w:pPr>
        <w:pStyle w:val="afffffe"/>
        <w:ind w:firstLine="480"/>
      </w:pPr>
      <w:bookmarkStart w:id="22" w:name="_Hlk80470452"/>
      <w:r w:rsidRPr="00E67914">
        <w:t>（</w:t>
      </w:r>
      <w:r w:rsidRPr="00E67914">
        <w:t>2</w:t>
      </w:r>
      <w:r w:rsidRPr="00E67914">
        <w:t>）试采期场站设备产生的机械噪声及场站输气产生的气流噪声。</w:t>
      </w:r>
    </w:p>
    <w:bookmarkEnd w:id="22"/>
    <w:p w14:paraId="17A8690A" w14:textId="77777777" w:rsidR="00A54A8A" w:rsidRPr="00E67914" w:rsidRDefault="00000000">
      <w:pPr>
        <w:pStyle w:val="afffffe"/>
        <w:ind w:firstLine="482"/>
        <w:rPr>
          <w:b/>
          <w:bCs/>
        </w:rPr>
      </w:pPr>
      <w:r w:rsidRPr="00E67914">
        <w:rPr>
          <w:b/>
          <w:bCs/>
        </w:rPr>
        <w:t>6</w:t>
      </w:r>
      <w:r w:rsidRPr="00E67914">
        <w:rPr>
          <w:b/>
          <w:bCs/>
        </w:rPr>
        <w:t>、固体废物环境影响</w:t>
      </w:r>
    </w:p>
    <w:p w14:paraId="32D25650" w14:textId="6E54F78C" w:rsidR="00A54A8A" w:rsidRPr="00E67914" w:rsidRDefault="00000000">
      <w:pPr>
        <w:pStyle w:val="afffffe"/>
        <w:ind w:firstLine="480"/>
      </w:pPr>
      <w:r w:rsidRPr="00E67914">
        <w:t>（</w:t>
      </w:r>
      <w:r w:rsidRPr="00E67914">
        <w:t>1</w:t>
      </w:r>
      <w:r w:rsidRPr="00E67914">
        <w:t>）施工期产生的固体废物主要为生活垃圾、土石方</w:t>
      </w:r>
      <w:r w:rsidR="00E57FF1" w:rsidRPr="00E67914">
        <w:t>、废包装材料</w:t>
      </w:r>
      <w:r w:rsidRPr="00E67914">
        <w:t>、</w:t>
      </w:r>
      <w:r w:rsidR="00E57FF1" w:rsidRPr="00E67914">
        <w:t>建筑垃圾、</w:t>
      </w:r>
      <w:r w:rsidRPr="00E67914">
        <w:t>钻井固废等；</w:t>
      </w:r>
    </w:p>
    <w:p w14:paraId="7A52797B" w14:textId="11ADA509" w:rsidR="00A54A8A" w:rsidRPr="00E67914" w:rsidRDefault="00000000">
      <w:pPr>
        <w:pStyle w:val="afffffe"/>
        <w:ind w:firstLine="480"/>
      </w:pPr>
      <w:r w:rsidRPr="00E67914">
        <w:t>（</w:t>
      </w:r>
      <w:r w:rsidRPr="00E67914">
        <w:t>2</w:t>
      </w:r>
      <w:r w:rsidRPr="00E67914">
        <w:t>）本项目</w:t>
      </w:r>
      <w:r w:rsidR="00193429" w:rsidRPr="00E67914">
        <w:rPr>
          <w:szCs w:val="24"/>
        </w:rPr>
        <w:t>普陆页</w:t>
      </w:r>
      <w:r w:rsidR="00193429" w:rsidRPr="00E67914">
        <w:rPr>
          <w:szCs w:val="24"/>
        </w:rPr>
        <w:t>2</w:t>
      </w:r>
      <w:r w:rsidR="00193429" w:rsidRPr="00E67914">
        <w:rPr>
          <w:szCs w:val="24"/>
        </w:rPr>
        <w:t>试采站</w:t>
      </w:r>
      <w:r w:rsidRPr="00E67914">
        <w:t>无人值守，无生活垃圾产生。</w:t>
      </w:r>
    </w:p>
    <w:p w14:paraId="490B4F48" w14:textId="77777777" w:rsidR="00A54A8A" w:rsidRPr="00E67914" w:rsidRDefault="00000000">
      <w:pPr>
        <w:pStyle w:val="afffffe"/>
        <w:ind w:firstLine="482"/>
        <w:rPr>
          <w:b/>
          <w:bCs/>
        </w:rPr>
      </w:pPr>
      <w:r w:rsidRPr="00E67914">
        <w:rPr>
          <w:b/>
          <w:bCs/>
        </w:rPr>
        <w:t>7</w:t>
      </w:r>
      <w:r w:rsidRPr="00E67914">
        <w:rPr>
          <w:b/>
          <w:bCs/>
        </w:rPr>
        <w:t>、土壤环境影响</w:t>
      </w:r>
    </w:p>
    <w:p w14:paraId="51ED50B3" w14:textId="77777777" w:rsidR="00A54A8A" w:rsidRPr="00E67914" w:rsidRDefault="00000000">
      <w:pPr>
        <w:pStyle w:val="afffffe"/>
        <w:ind w:firstLine="480"/>
      </w:pPr>
      <w:r w:rsidRPr="00E67914">
        <w:t>（</w:t>
      </w:r>
      <w:r w:rsidRPr="00E67914">
        <w:t>1</w:t>
      </w:r>
      <w:r w:rsidRPr="00E67914">
        <w:t>）施工期钻前工程等造成土壤扰动；</w:t>
      </w:r>
    </w:p>
    <w:p w14:paraId="183DD12D" w14:textId="77777777" w:rsidR="00A54A8A" w:rsidRPr="00E67914" w:rsidRDefault="00000000">
      <w:pPr>
        <w:pStyle w:val="afffffe"/>
        <w:ind w:firstLine="480"/>
      </w:pPr>
      <w:r w:rsidRPr="00E67914">
        <w:t>（</w:t>
      </w:r>
      <w:r w:rsidRPr="00E67914">
        <w:t>2</w:t>
      </w:r>
      <w:r w:rsidRPr="00E67914">
        <w:t>）施工期施工废水对土壤的影响；</w:t>
      </w:r>
    </w:p>
    <w:p w14:paraId="168E5F47" w14:textId="77777777" w:rsidR="00A54A8A" w:rsidRPr="00E67914" w:rsidRDefault="00000000">
      <w:pPr>
        <w:pStyle w:val="afffffe"/>
        <w:ind w:firstLine="480"/>
      </w:pPr>
      <w:r w:rsidRPr="00E67914">
        <w:t>（</w:t>
      </w:r>
      <w:r w:rsidRPr="00E67914">
        <w:t>3</w:t>
      </w:r>
      <w:r w:rsidRPr="00E67914">
        <w:t>）施工期施工机械废机油渗漏对土壤的影响；</w:t>
      </w:r>
    </w:p>
    <w:p w14:paraId="6EE9D58C" w14:textId="3ADF1073" w:rsidR="00A54A8A" w:rsidRPr="00E67914" w:rsidRDefault="00000000">
      <w:pPr>
        <w:pStyle w:val="afffffe"/>
        <w:ind w:firstLine="480"/>
        <w:rPr>
          <w:szCs w:val="24"/>
        </w:rPr>
      </w:pPr>
      <w:r w:rsidRPr="00E67914">
        <w:t>（</w:t>
      </w:r>
      <w:r w:rsidRPr="00E67914">
        <w:t>4</w:t>
      </w:r>
      <w:r w:rsidRPr="00E67914">
        <w:t>）试采期</w:t>
      </w:r>
      <w:r w:rsidR="00E57FF1" w:rsidRPr="00E67914">
        <w:t>建设</w:t>
      </w:r>
      <w:r w:rsidRPr="00E67914">
        <w:t>的</w:t>
      </w:r>
      <w:r w:rsidR="00A9536E" w:rsidRPr="00E67914">
        <w:t>放空分液罐、采出水罐</w:t>
      </w:r>
      <w:r w:rsidR="00E57FF1" w:rsidRPr="00E67914">
        <w:t>、试采初期的污水池</w:t>
      </w:r>
      <w:r w:rsidRPr="00E67914">
        <w:t>可能存在地面漫流及垂直入渗污染土壤环境。</w:t>
      </w:r>
    </w:p>
    <w:p w14:paraId="20BCCF04" w14:textId="77777777" w:rsidR="00A54A8A" w:rsidRPr="00E67914" w:rsidRDefault="00000000">
      <w:pPr>
        <w:pStyle w:val="afffffe"/>
        <w:ind w:firstLine="480"/>
      </w:pPr>
      <w:r w:rsidRPr="00E67914">
        <w:t>本项目环境影响具体内容见表</w:t>
      </w:r>
      <w:r w:rsidRPr="00E67914">
        <w:t>2.4-1</w:t>
      </w:r>
      <w:r w:rsidRPr="00E67914">
        <w:t>。</w:t>
      </w:r>
    </w:p>
    <w:p w14:paraId="065E8A0C"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2.4-1  </w:t>
      </w:r>
      <w:r w:rsidRPr="00E67914">
        <w:rPr>
          <w:rFonts w:ascii="Times New Roman" w:eastAsia="黑体" w:hAnsi="Times New Roman"/>
          <w:sz w:val="21"/>
          <w:szCs w:val="21"/>
          <w:lang w:eastAsia="zh-CN"/>
        </w:rPr>
        <w:t>本项目施工期和试采期环境影响分析表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
        <w:gridCol w:w="554"/>
        <w:gridCol w:w="1598"/>
        <w:gridCol w:w="5635"/>
      </w:tblGrid>
      <w:tr w:rsidR="00E67914" w:rsidRPr="00E67914" w14:paraId="1C8514D2" w14:textId="77777777">
        <w:trPr>
          <w:trHeight w:val="17"/>
          <w:jc w:val="center"/>
        </w:trPr>
        <w:tc>
          <w:tcPr>
            <w:tcW w:w="307" w:type="pct"/>
            <w:vAlign w:val="center"/>
          </w:tcPr>
          <w:p w14:paraId="73E2ADAC" w14:textId="77777777" w:rsidR="00A54A8A" w:rsidRPr="00E67914" w:rsidRDefault="00000000">
            <w:pPr>
              <w:jc w:val="center"/>
              <w:rPr>
                <w:rFonts w:ascii="Times New Roman" w:hAnsi="Times New Roman"/>
                <w:b/>
                <w:bCs/>
                <w:kern w:val="2"/>
                <w:sz w:val="21"/>
                <w:szCs w:val="21"/>
              </w:rPr>
            </w:pPr>
            <w:r w:rsidRPr="00E67914">
              <w:rPr>
                <w:rFonts w:ascii="Times New Roman" w:hAnsi="Times New Roman"/>
                <w:b/>
                <w:bCs/>
                <w:kern w:val="2"/>
                <w:sz w:val="21"/>
                <w:szCs w:val="21"/>
              </w:rPr>
              <w:t>时段</w:t>
            </w:r>
          </w:p>
        </w:tc>
        <w:tc>
          <w:tcPr>
            <w:tcW w:w="1297" w:type="pct"/>
            <w:gridSpan w:val="2"/>
            <w:vAlign w:val="center"/>
          </w:tcPr>
          <w:p w14:paraId="5A2D8BFB" w14:textId="77777777" w:rsidR="00A54A8A" w:rsidRPr="00E67914" w:rsidRDefault="00000000">
            <w:pPr>
              <w:jc w:val="center"/>
              <w:rPr>
                <w:rFonts w:ascii="Times New Roman" w:hAnsi="Times New Roman"/>
                <w:b/>
                <w:bCs/>
                <w:kern w:val="2"/>
                <w:sz w:val="21"/>
                <w:szCs w:val="21"/>
              </w:rPr>
            </w:pPr>
            <w:r w:rsidRPr="00E67914">
              <w:rPr>
                <w:rFonts w:ascii="Times New Roman" w:hAnsi="Times New Roman"/>
                <w:b/>
                <w:bCs/>
                <w:kern w:val="2"/>
                <w:sz w:val="21"/>
                <w:szCs w:val="21"/>
              </w:rPr>
              <w:t>项目建设活动</w:t>
            </w:r>
          </w:p>
        </w:tc>
        <w:tc>
          <w:tcPr>
            <w:tcW w:w="3396" w:type="pct"/>
            <w:vAlign w:val="center"/>
          </w:tcPr>
          <w:p w14:paraId="205FF6A0" w14:textId="77777777" w:rsidR="00A54A8A" w:rsidRPr="00E67914" w:rsidRDefault="00000000">
            <w:pPr>
              <w:jc w:val="center"/>
              <w:rPr>
                <w:rFonts w:ascii="Times New Roman" w:hAnsi="Times New Roman"/>
                <w:b/>
                <w:bCs/>
                <w:kern w:val="2"/>
                <w:sz w:val="21"/>
                <w:szCs w:val="21"/>
              </w:rPr>
            </w:pPr>
            <w:r w:rsidRPr="00E67914">
              <w:rPr>
                <w:rFonts w:ascii="Times New Roman" w:hAnsi="Times New Roman"/>
                <w:b/>
                <w:bCs/>
                <w:kern w:val="2"/>
                <w:sz w:val="21"/>
                <w:szCs w:val="21"/>
              </w:rPr>
              <w:t>环境影响内容</w:t>
            </w:r>
          </w:p>
        </w:tc>
      </w:tr>
      <w:tr w:rsidR="00E67914" w:rsidRPr="00E67914" w14:paraId="3EDAF011" w14:textId="77777777">
        <w:trPr>
          <w:trHeight w:val="17"/>
          <w:jc w:val="center"/>
        </w:trPr>
        <w:tc>
          <w:tcPr>
            <w:tcW w:w="307" w:type="pct"/>
            <w:vMerge w:val="restart"/>
            <w:vAlign w:val="center"/>
          </w:tcPr>
          <w:p w14:paraId="387C74B6"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lastRenderedPageBreak/>
              <w:t>施工期</w:t>
            </w:r>
          </w:p>
        </w:tc>
        <w:tc>
          <w:tcPr>
            <w:tcW w:w="334" w:type="pct"/>
            <w:vMerge w:val="restart"/>
            <w:vAlign w:val="center"/>
          </w:tcPr>
          <w:p w14:paraId="19963B58" w14:textId="06973DBE" w:rsidR="00A54A8A" w:rsidRPr="00E67914" w:rsidRDefault="00DE693A" w:rsidP="00DE693A">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钻前、钻井、采气及地面集输工程</w:t>
            </w:r>
          </w:p>
        </w:tc>
        <w:tc>
          <w:tcPr>
            <w:tcW w:w="963" w:type="pct"/>
            <w:vAlign w:val="center"/>
          </w:tcPr>
          <w:p w14:paraId="336F4E8D"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钻前工程</w:t>
            </w:r>
          </w:p>
        </w:tc>
        <w:tc>
          <w:tcPr>
            <w:tcW w:w="3396" w:type="pct"/>
            <w:vAlign w:val="center"/>
          </w:tcPr>
          <w:p w14:paraId="502537CF"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破坏植被，改变自然地形地貌，占用土地，改变土地利用现状，新增水土流失。建设过程中车辆运行噪声、扬尘，废水和生活垃圾等</w:t>
            </w:r>
          </w:p>
        </w:tc>
      </w:tr>
      <w:tr w:rsidR="00E67914" w:rsidRPr="00E67914" w14:paraId="3CAD87D7" w14:textId="77777777">
        <w:trPr>
          <w:trHeight w:val="17"/>
          <w:jc w:val="center"/>
        </w:trPr>
        <w:tc>
          <w:tcPr>
            <w:tcW w:w="307" w:type="pct"/>
            <w:vMerge/>
            <w:vAlign w:val="center"/>
          </w:tcPr>
          <w:p w14:paraId="70389D48" w14:textId="77777777" w:rsidR="00A54A8A" w:rsidRPr="00E67914" w:rsidRDefault="00A54A8A">
            <w:pPr>
              <w:jc w:val="center"/>
              <w:rPr>
                <w:rFonts w:ascii="Times New Roman" w:hAnsi="Times New Roman"/>
                <w:kern w:val="2"/>
                <w:sz w:val="21"/>
                <w:szCs w:val="21"/>
                <w:lang w:eastAsia="zh-CN"/>
              </w:rPr>
            </w:pPr>
          </w:p>
        </w:tc>
        <w:tc>
          <w:tcPr>
            <w:tcW w:w="334" w:type="pct"/>
            <w:vMerge/>
            <w:vAlign w:val="center"/>
          </w:tcPr>
          <w:p w14:paraId="46F6BC95" w14:textId="77777777" w:rsidR="00A54A8A" w:rsidRPr="00E67914" w:rsidRDefault="00A54A8A">
            <w:pPr>
              <w:jc w:val="center"/>
              <w:rPr>
                <w:rFonts w:ascii="Times New Roman" w:hAnsi="Times New Roman"/>
                <w:kern w:val="2"/>
                <w:sz w:val="21"/>
                <w:szCs w:val="21"/>
                <w:lang w:eastAsia="zh-CN"/>
              </w:rPr>
            </w:pPr>
          </w:p>
        </w:tc>
        <w:tc>
          <w:tcPr>
            <w:tcW w:w="963" w:type="pct"/>
            <w:vAlign w:val="center"/>
          </w:tcPr>
          <w:p w14:paraId="02AD697D" w14:textId="3E6D26B5" w:rsidR="00A54A8A" w:rsidRPr="00E67914" w:rsidRDefault="00611A35">
            <w:pPr>
              <w:jc w:val="center"/>
              <w:rPr>
                <w:rFonts w:ascii="Times New Roman" w:hAnsi="Times New Roman"/>
                <w:kern w:val="2"/>
                <w:sz w:val="21"/>
                <w:szCs w:val="21"/>
              </w:rPr>
            </w:pPr>
            <w:r w:rsidRPr="00E67914">
              <w:rPr>
                <w:rFonts w:ascii="Times New Roman" w:hAnsi="Times New Roman"/>
                <w:kern w:val="2"/>
                <w:sz w:val="21"/>
                <w:szCs w:val="21"/>
              </w:rPr>
              <w:t>钻井工程</w:t>
            </w:r>
          </w:p>
        </w:tc>
        <w:tc>
          <w:tcPr>
            <w:tcW w:w="3396" w:type="pct"/>
            <w:vAlign w:val="center"/>
          </w:tcPr>
          <w:p w14:paraId="51B48D37"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钻井废水、洗井废水、压裂返排液、初期雨水、生活污水；钻井岩屑、废泥浆及生活垃圾等；泥浆泵、钻机等设备噪声</w:t>
            </w:r>
          </w:p>
        </w:tc>
      </w:tr>
      <w:tr w:rsidR="00E67914" w:rsidRPr="00E67914" w14:paraId="35E4D999" w14:textId="77777777">
        <w:trPr>
          <w:trHeight w:val="17"/>
          <w:jc w:val="center"/>
        </w:trPr>
        <w:tc>
          <w:tcPr>
            <w:tcW w:w="307" w:type="pct"/>
            <w:vMerge/>
            <w:vAlign w:val="center"/>
          </w:tcPr>
          <w:p w14:paraId="68410D48" w14:textId="77777777" w:rsidR="00A54A8A" w:rsidRPr="00E67914" w:rsidRDefault="00A54A8A">
            <w:pPr>
              <w:jc w:val="center"/>
              <w:rPr>
                <w:rFonts w:ascii="Times New Roman" w:hAnsi="Times New Roman"/>
                <w:kern w:val="2"/>
                <w:sz w:val="21"/>
                <w:szCs w:val="21"/>
                <w:lang w:eastAsia="zh-CN"/>
              </w:rPr>
            </w:pPr>
          </w:p>
        </w:tc>
        <w:tc>
          <w:tcPr>
            <w:tcW w:w="334" w:type="pct"/>
            <w:vMerge/>
            <w:vAlign w:val="center"/>
          </w:tcPr>
          <w:p w14:paraId="22A77C9E" w14:textId="77777777" w:rsidR="00A54A8A" w:rsidRPr="00E67914" w:rsidRDefault="00A54A8A">
            <w:pPr>
              <w:jc w:val="center"/>
              <w:rPr>
                <w:rFonts w:ascii="Times New Roman" w:hAnsi="Times New Roman"/>
                <w:kern w:val="2"/>
                <w:sz w:val="21"/>
                <w:szCs w:val="21"/>
                <w:lang w:eastAsia="zh-CN"/>
              </w:rPr>
            </w:pPr>
          </w:p>
        </w:tc>
        <w:tc>
          <w:tcPr>
            <w:tcW w:w="963" w:type="pct"/>
            <w:vAlign w:val="center"/>
          </w:tcPr>
          <w:p w14:paraId="0E647DBD"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原材料运输</w:t>
            </w:r>
          </w:p>
        </w:tc>
        <w:tc>
          <w:tcPr>
            <w:tcW w:w="3396" w:type="pct"/>
            <w:vAlign w:val="center"/>
          </w:tcPr>
          <w:p w14:paraId="403861F3"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运输车辆产生尾气、噪声和扬尘；</w:t>
            </w:r>
          </w:p>
          <w:p w14:paraId="4E127A26"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临时料场占用土地，短期影响土地的使用功能或类型</w:t>
            </w:r>
          </w:p>
        </w:tc>
      </w:tr>
      <w:tr w:rsidR="00E67914" w:rsidRPr="00E67914" w14:paraId="1A9BF58E" w14:textId="77777777">
        <w:trPr>
          <w:trHeight w:val="17"/>
          <w:jc w:val="center"/>
        </w:trPr>
        <w:tc>
          <w:tcPr>
            <w:tcW w:w="307" w:type="pct"/>
            <w:vMerge/>
            <w:vAlign w:val="center"/>
          </w:tcPr>
          <w:p w14:paraId="277C9B99" w14:textId="77777777" w:rsidR="00A54A8A" w:rsidRPr="00E67914" w:rsidRDefault="00A54A8A">
            <w:pPr>
              <w:jc w:val="center"/>
              <w:rPr>
                <w:rFonts w:ascii="Times New Roman" w:hAnsi="Times New Roman"/>
                <w:kern w:val="2"/>
                <w:sz w:val="21"/>
                <w:szCs w:val="21"/>
                <w:lang w:eastAsia="zh-CN"/>
              </w:rPr>
            </w:pPr>
          </w:p>
        </w:tc>
        <w:tc>
          <w:tcPr>
            <w:tcW w:w="334" w:type="pct"/>
            <w:vMerge/>
            <w:vAlign w:val="center"/>
          </w:tcPr>
          <w:p w14:paraId="726A0E53" w14:textId="77777777" w:rsidR="00A54A8A" w:rsidRPr="00E67914" w:rsidRDefault="00A54A8A">
            <w:pPr>
              <w:jc w:val="center"/>
              <w:rPr>
                <w:rFonts w:ascii="Times New Roman" w:hAnsi="Times New Roman"/>
                <w:kern w:val="2"/>
                <w:sz w:val="21"/>
                <w:szCs w:val="21"/>
                <w:lang w:eastAsia="zh-CN"/>
              </w:rPr>
            </w:pPr>
          </w:p>
        </w:tc>
        <w:tc>
          <w:tcPr>
            <w:tcW w:w="963" w:type="pct"/>
            <w:vAlign w:val="center"/>
          </w:tcPr>
          <w:p w14:paraId="69B48CDF"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施工机械操作</w:t>
            </w:r>
          </w:p>
        </w:tc>
        <w:tc>
          <w:tcPr>
            <w:tcW w:w="3396" w:type="pct"/>
            <w:vAlign w:val="center"/>
          </w:tcPr>
          <w:p w14:paraId="4E8D37A1"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产生机械尾气和噪声</w:t>
            </w:r>
          </w:p>
        </w:tc>
      </w:tr>
      <w:tr w:rsidR="00E67914" w:rsidRPr="00E67914" w14:paraId="52447DE9" w14:textId="77777777">
        <w:trPr>
          <w:trHeight w:val="17"/>
          <w:jc w:val="center"/>
        </w:trPr>
        <w:tc>
          <w:tcPr>
            <w:tcW w:w="307" w:type="pct"/>
            <w:vMerge/>
            <w:vAlign w:val="center"/>
          </w:tcPr>
          <w:p w14:paraId="6C2808CC" w14:textId="77777777" w:rsidR="00A54A8A" w:rsidRPr="00E67914" w:rsidRDefault="00A54A8A">
            <w:pPr>
              <w:jc w:val="center"/>
              <w:rPr>
                <w:rFonts w:ascii="Times New Roman" w:hAnsi="Times New Roman"/>
                <w:kern w:val="2"/>
                <w:sz w:val="21"/>
                <w:szCs w:val="21"/>
                <w:lang w:eastAsia="zh-CN"/>
              </w:rPr>
            </w:pPr>
          </w:p>
        </w:tc>
        <w:tc>
          <w:tcPr>
            <w:tcW w:w="334" w:type="pct"/>
            <w:vMerge/>
            <w:vAlign w:val="center"/>
          </w:tcPr>
          <w:p w14:paraId="56E66D7F" w14:textId="77777777" w:rsidR="00A54A8A" w:rsidRPr="00E67914" w:rsidRDefault="00A54A8A">
            <w:pPr>
              <w:jc w:val="center"/>
              <w:rPr>
                <w:rFonts w:ascii="Times New Roman" w:hAnsi="Times New Roman"/>
                <w:kern w:val="2"/>
                <w:sz w:val="21"/>
                <w:szCs w:val="21"/>
                <w:lang w:eastAsia="zh-CN"/>
              </w:rPr>
            </w:pPr>
          </w:p>
        </w:tc>
        <w:tc>
          <w:tcPr>
            <w:tcW w:w="963" w:type="pct"/>
            <w:vAlign w:val="center"/>
          </w:tcPr>
          <w:p w14:paraId="610396D9"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施工便道建设及使用</w:t>
            </w:r>
          </w:p>
        </w:tc>
        <w:tc>
          <w:tcPr>
            <w:tcW w:w="3396" w:type="pct"/>
            <w:vAlign w:val="center"/>
          </w:tcPr>
          <w:p w14:paraId="61BEEA62"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临时占用部分土地，产生扬尘及噪声；</w:t>
            </w:r>
          </w:p>
          <w:p w14:paraId="74328C7D"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施工结束后恢复，不改变土地利用的原有功能</w:t>
            </w:r>
          </w:p>
        </w:tc>
      </w:tr>
      <w:tr w:rsidR="00E67914" w:rsidRPr="00E67914" w14:paraId="4EE606D4" w14:textId="77777777">
        <w:trPr>
          <w:trHeight w:val="17"/>
          <w:jc w:val="center"/>
        </w:trPr>
        <w:tc>
          <w:tcPr>
            <w:tcW w:w="307" w:type="pct"/>
            <w:vMerge/>
            <w:vAlign w:val="center"/>
          </w:tcPr>
          <w:p w14:paraId="289F4011" w14:textId="77777777" w:rsidR="00A54A8A" w:rsidRPr="00E67914" w:rsidRDefault="00A54A8A">
            <w:pPr>
              <w:jc w:val="center"/>
              <w:rPr>
                <w:rFonts w:ascii="Times New Roman" w:hAnsi="Times New Roman"/>
                <w:kern w:val="2"/>
                <w:sz w:val="21"/>
                <w:szCs w:val="21"/>
                <w:lang w:eastAsia="zh-CN"/>
              </w:rPr>
            </w:pPr>
          </w:p>
        </w:tc>
        <w:tc>
          <w:tcPr>
            <w:tcW w:w="334" w:type="pct"/>
            <w:vMerge/>
            <w:vAlign w:val="center"/>
          </w:tcPr>
          <w:p w14:paraId="00699FA6" w14:textId="77777777" w:rsidR="00A54A8A" w:rsidRPr="00E67914" w:rsidRDefault="00A54A8A">
            <w:pPr>
              <w:jc w:val="center"/>
              <w:rPr>
                <w:rFonts w:ascii="Times New Roman" w:hAnsi="Times New Roman"/>
                <w:kern w:val="2"/>
                <w:sz w:val="21"/>
                <w:szCs w:val="21"/>
                <w:lang w:eastAsia="zh-CN"/>
              </w:rPr>
            </w:pPr>
          </w:p>
        </w:tc>
        <w:tc>
          <w:tcPr>
            <w:tcW w:w="963" w:type="pct"/>
            <w:vAlign w:val="center"/>
          </w:tcPr>
          <w:p w14:paraId="6F1E641D"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施工人员日常生活</w:t>
            </w:r>
          </w:p>
        </w:tc>
        <w:tc>
          <w:tcPr>
            <w:tcW w:w="3396" w:type="pct"/>
            <w:vAlign w:val="center"/>
          </w:tcPr>
          <w:p w14:paraId="7BF3B14E"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施工人员生活污水、生活垃圾产排</w:t>
            </w:r>
          </w:p>
        </w:tc>
      </w:tr>
      <w:tr w:rsidR="00E67914" w:rsidRPr="00E67914" w14:paraId="446E4588" w14:textId="77777777">
        <w:trPr>
          <w:trHeight w:val="17"/>
          <w:jc w:val="center"/>
        </w:trPr>
        <w:tc>
          <w:tcPr>
            <w:tcW w:w="307" w:type="pct"/>
            <w:vMerge/>
            <w:vAlign w:val="center"/>
          </w:tcPr>
          <w:p w14:paraId="69A0D8D7" w14:textId="77777777" w:rsidR="00A54A8A" w:rsidRPr="00E67914" w:rsidRDefault="00A54A8A">
            <w:pPr>
              <w:jc w:val="center"/>
              <w:rPr>
                <w:rFonts w:ascii="Times New Roman" w:hAnsi="Times New Roman"/>
                <w:kern w:val="2"/>
                <w:sz w:val="21"/>
                <w:szCs w:val="21"/>
                <w:lang w:eastAsia="zh-CN"/>
              </w:rPr>
            </w:pPr>
          </w:p>
        </w:tc>
        <w:tc>
          <w:tcPr>
            <w:tcW w:w="334" w:type="pct"/>
            <w:vMerge/>
            <w:vAlign w:val="center"/>
          </w:tcPr>
          <w:p w14:paraId="5AABAA89" w14:textId="77777777" w:rsidR="00A54A8A" w:rsidRPr="00E67914" w:rsidRDefault="00A54A8A">
            <w:pPr>
              <w:jc w:val="center"/>
              <w:rPr>
                <w:rFonts w:ascii="Times New Roman" w:hAnsi="Times New Roman"/>
                <w:kern w:val="2"/>
                <w:sz w:val="21"/>
                <w:szCs w:val="21"/>
                <w:lang w:eastAsia="zh-CN"/>
              </w:rPr>
            </w:pPr>
          </w:p>
        </w:tc>
        <w:tc>
          <w:tcPr>
            <w:tcW w:w="963" w:type="pct"/>
            <w:vAlign w:val="center"/>
          </w:tcPr>
          <w:p w14:paraId="06BA4255"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施工作业场地</w:t>
            </w:r>
          </w:p>
        </w:tc>
        <w:tc>
          <w:tcPr>
            <w:tcW w:w="3396" w:type="pct"/>
            <w:vAlign w:val="center"/>
          </w:tcPr>
          <w:p w14:paraId="328F7452"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临时占用部分土地，短期影响土地的使用功能或类型，破坏生态环境</w:t>
            </w:r>
          </w:p>
        </w:tc>
      </w:tr>
      <w:tr w:rsidR="00E67914" w:rsidRPr="00E67914" w14:paraId="73D13A44" w14:textId="77777777">
        <w:trPr>
          <w:trHeight w:val="17"/>
          <w:jc w:val="center"/>
        </w:trPr>
        <w:tc>
          <w:tcPr>
            <w:tcW w:w="307" w:type="pct"/>
            <w:vAlign w:val="center"/>
          </w:tcPr>
          <w:p w14:paraId="556E40C8"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运营期</w:t>
            </w:r>
          </w:p>
        </w:tc>
        <w:tc>
          <w:tcPr>
            <w:tcW w:w="1297" w:type="pct"/>
            <w:gridSpan w:val="2"/>
            <w:vAlign w:val="center"/>
          </w:tcPr>
          <w:p w14:paraId="01B81259" w14:textId="07DAAD79" w:rsidR="00A54A8A" w:rsidRPr="00E67914" w:rsidRDefault="00902A04">
            <w:pPr>
              <w:jc w:val="center"/>
              <w:rPr>
                <w:rFonts w:ascii="Times New Roman" w:hAnsi="Times New Roman"/>
                <w:kern w:val="2"/>
                <w:sz w:val="21"/>
                <w:szCs w:val="21"/>
                <w:lang w:eastAsia="zh-CN"/>
              </w:rPr>
            </w:pPr>
            <w:r w:rsidRPr="00E67914">
              <w:rPr>
                <w:rFonts w:ascii="Times New Roman" w:hAnsi="Times New Roman"/>
                <w:lang w:eastAsia="zh-CN"/>
              </w:rPr>
              <w:t>普陆页</w:t>
            </w:r>
            <w:r w:rsidRPr="00E67914">
              <w:rPr>
                <w:rFonts w:ascii="Times New Roman" w:hAnsi="Times New Roman"/>
                <w:lang w:eastAsia="zh-CN"/>
              </w:rPr>
              <w:t>2</w:t>
            </w:r>
            <w:r w:rsidRPr="00E67914">
              <w:rPr>
                <w:rFonts w:ascii="Times New Roman" w:hAnsi="Times New Roman"/>
                <w:lang w:eastAsia="zh-CN"/>
              </w:rPr>
              <w:t>试采站</w:t>
            </w:r>
            <w:r w:rsidR="00DE693A" w:rsidRPr="00E67914">
              <w:rPr>
                <w:rFonts w:ascii="Times New Roman" w:hAnsi="Times New Roman"/>
                <w:kern w:val="2"/>
                <w:sz w:val="21"/>
                <w:szCs w:val="21"/>
                <w:lang w:eastAsia="zh-CN"/>
              </w:rPr>
              <w:t>及输气管线</w:t>
            </w:r>
          </w:p>
        </w:tc>
        <w:tc>
          <w:tcPr>
            <w:tcW w:w="3396" w:type="pct"/>
            <w:vAlign w:val="center"/>
          </w:tcPr>
          <w:p w14:paraId="0DA4A412" w14:textId="0D66A7FA"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废水：天然气试采产生气田水</w:t>
            </w:r>
            <w:r w:rsidR="00314DA1" w:rsidRPr="00E67914">
              <w:rPr>
                <w:rFonts w:ascii="Times New Roman" w:hAnsi="Times New Roman"/>
                <w:kern w:val="2"/>
                <w:sz w:val="21"/>
                <w:szCs w:val="21"/>
                <w:lang w:eastAsia="zh-CN"/>
              </w:rPr>
              <w:t>、井下作业废水</w:t>
            </w:r>
            <w:r w:rsidRPr="00E67914">
              <w:rPr>
                <w:rFonts w:ascii="Times New Roman" w:hAnsi="Times New Roman"/>
                <w:kern w:val="2"/>
                <w:sz w:val="21"/>
                <w:szCs w:val="21"/>
                <w:lang w:eastAsia="zh-CN"/>
              </w:rPr>
              <w:t>；</w:t>
            </w:r>
          </w:p>
          <w:p w14:paraId="003701D0" w14:textId="1A930041"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废气：</w:t>
            </w:r>
            <w:r w:rsidR="00C24829" w:rsidRPr="00E67914">
              <w:rPr>
                <w:rFonts w:ascii="Times New Roman" w:hAnsi="Times New Roman"/>
                <w:kern w:val="2"/>
                <w:sz w:val="21"/>
                <w:szCs w:val="21"/>
                <w:lang w:eastAsia="zh-CN"/>
              </w:rPr>
              <w:t>水套加热炉燃烧废气</w:t>
            </w:r>
            <w:r w:rsidR="00A9536E" w:rsidRPr="00E67914">
              <w:rPr>
                <w:rFonts w:ascii="Times New Roman" w:hAnsi="Times New Roman"/>
                <w:kern w:val="2"/>
                <w:sz w:val="21"/>
                <w:szCs w:val="21"/>
                <w:lang w:eastAsia="zh-CN"/>
              </w:rPr>
              <w:t>、</w:t>
            </w:r>
            <w:r w:rsidR="000435F3" w:rsidRPr="00E67914">
              <w:rPr>
                <w:rFonts w:ascii="Times New Roman" w:hAnsi="Times New Roman"/>
                <w:kern w:val="2"/>
                <w:sz w:val="21"/>
                <w:szCs w:val="21"/>
                <w:lang w:eastAsia="zh-CN"/>
              </w:rPr>
              <w:t>油罐挥发气体、凝析油装车挥发气体</w:t>
            </w:r>
            <w:r w:rsidR="001729B7" w:rsidRPr="00E67914">
              <w:rPr>
                <w:rFonts w:ascii="Times New Roman" w:hAnsi="Times New Roman"/>
                <w:kern w:val="2"/>
                <w:sz w:val="21"/>
                <w:szCs w:val="21"/>
                <w:lang w:eastAsia="zh-CN"/>
              </w:rPr>
              <w:t>、</w:t>
            </w:r>
            <w:r w:rsidR="00A9536E" w:rsidRPr="00E67914">
              <w:rPr>
                <w:rFonts w:ascii="Times New Roman" w:hAnsi="Times New Roman"/>
                <w:kern w:val="2"/>
                <w:sz w:val="21"/>
                <w:szCs w:val="21"/>
                <w:lang w:eastAsia="zh-CN"/>
              </w:rPr>
              <w:t>火炬长明灯废气、</w:t>
            </w:r>
            <w:r w:rsidR="001729B7" w:rsidRPr="00E67914">
              <w:rPr>
                <w:rFonts w:ascii="Times New Roman" w:hAnsi="Times New Roman"/>
                <w:kern w:val="2"/>
                <w:sz w:val="21"/>
                <w:szCs w:val="21"/>
                <w:lang w:eastAsia="zh-CN"/>
              </w:rPr>
              <w:t>非正常工况放空废气</w:t>
            </w:r>
            <w:r w:rsidRPr="00E67914">
              <w:rPr>
                <w:rFonts w:ascii="Times New Roman" w:hAnsi="Times New Roman"/>
                <w:kern w:val="2"/>
                <w:sz w:val="21"/>
                <w:szCs w:val="21"/>
                <w:lang w:eastAsia="zh-CN"/>
              </w:rPr>
              <w:t>；</w:t>
            </w:r>
          </w:p>
          <w:p w14:paraId="594D46AD" w14:textId="77777777"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噪声：水套加热炉、分离器、节流阀噪声等设施运行产生的噪声；</w:t>
            </w:r>
          </w:p>
          <w:p w14:paraId="049D4AF2" w14:textId="16C86100"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固废：</w:t>
            </w:r>
            <w:r w:rsidR="00C13512" w:rsidRPr="00E67914">
              <w:rPr>
                <w:rFonts w:ascii="Times New Roman" w:hAnsi="Times New Roman"/>
                <w:kern w:val="2"/>
                <w:sz w:val="21"/>
                <w:szCs w:val="21"/>
                <w:lang w:eastAsia="zh-CN"/>
              </w:rPr>
              <w:t>无</w:t>
            </w:r>
            <w:r w:rsidRPr="00E67914">
              <w:rPr>
                <w:rFonts w:ascii="Times New Roman" w:hAnsi="Times New Roman"/>
                <w:kern w:val="2"/>
                <w:sz w:val="21"/>
                <w:szCs w:val="21"/>
                <w:lang w:eastAsia="zh-CN"/>
              </w:rPr>
              <w:t>；</w:t>
            </w:r>
          </w:p>
          <w:p w14:paraId="36519BC2" w14:textId="5BAFB5AE" w:rsidR="00A54A8A" w:rsidRPr="00E67914" w:rsidRDefault="00000000">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环境风险事故：钻井阶段井喷风险事故等；站内管线、设备发生泄漏、火灾、爆炸事故对周围环境和人员的影响；非正常生产时，</w:t>
            </w:r>
            <w:r w:rsidR="001729B7" w:rsidRPr="00E67914">
              <w:rPr>
                <w:rFonts w:ascii="Times New Roman" w:hAnsi="Times New Roman"/>
                <w:kern w:val="2"/>
                <w:sz w:val="21"/>
                <w:szCs w:val="21"/>
                <w:lang w:eastAsia="zh-CN"/>
              </w:rPr>
              <w:t>井口高压放空至</w:t>
            </w:r>
            <w:r w:rsidR="001729B7" w:rsidRPr="00E67914">
              <w:rPr>
                <w:rFonts w:ascii="Times New Roman" w:hAnsi="Times New Roman"/>
                <w:kern w:val="2"/>
                <w:sz w:val="21"/>
                <w:szCs w:val="21"/>
                <w:lang w:eastAsia="zh-CN"/>
              </w:rPr>
              <w:t>25m</w:t>
            </w:r>
            <w:r w:rsidR="001729B7" w:rsidRPr="00E67914">
              <w:rPr>
                <w:rFonts w:ascii="Times New Roman" w:hAnsi="Times New Roman"/>
                <w:kern w:val="2"/>
                <w:sz w:val="21"/>
                <w:szCs w:val="21"/>
                <w:lang w:eastAsia="zh-CN"/>
              </w:rPr>
              <w:t>高</w:t>
            </w:r>
            <w:r w:rsidR="00FC2143" w:rsidRPr="00E67914">
              <w:rPr>
                <w:rFonts w:ascii="Times New Roman" w:hAnsi="Times New Roman"/>
                <w:kern w:val="2"/>
                <w:sz w:val="21"/>
                <w:szCs w:val="21"/>
                <w:lang w:eastAsia="zh-CN"/>
              </w:rPr>
              <w:t>火炬燃烧排放</w:t>
            </w:r>
            <w:r w:rsidR="001729B7" w:rsidRPr="00E67914">
              <w:rPr>
                <w:rFonts w:ascii="Times New Roman" w:hAnsi="Times New Roman"/>
                <w:kern w:val="2"/>
                <w:sz w:val="21"/>
                <w:szCs w:val="21"/>
                <w:lang w:eastAsia="zh-CN"/>
              </w:rPr>
              <w:t>，</w:t>
            </w:r>
            <w:r w:rsidR="00EE5D65" w:rsidRPr="00E67914">
              <w:rPr>
                <w:rFonts w:ascii="Times New Roman" w:hAnsi="Times New Roman"/>
                <w:kern w:val="2"/>
                <w:sz w:val="21"/>
                <w:szCs w:val="21"/>
                <w:lang w:eastAsia="zh-CN"/>
              </w:rPr>
              <w:t>工艺设备（含油罐）及站内外输管线气体通过</w:t>
            </w:r>
            <w:r w:rsidR="00EE5D65" w:rsidRPr="00E67914">
              <w:rPr>
                <w:rFonts w:ascii="Times New Roman" w:hAnsi="Times New Roman"/>
                <w:kern w:val="2"/>
                <w:sz w:val="21"/>
                <w:szCs w:val="21"/>
                <w:lang w:eastAsia="zh-CN"/>
              </w:rPr>
              <w:t>6m</w:t>
            </w:r>
            <w:r w:rsidR="00EE5D65" w:rsidRPr="00E67914">
              <w:rPr>
                <w:rFonts w:ascii="Times New Roman" w:hAnsi="Times New Roman"/>
                <w:kern w:val="2"/>
                <w:sz w:val="21"/>
                <w:szCs w:val="21"/>
                <w:lang w:eastAsia="zh-CN"/>
              </w:rPr>
              <w:t>放空立管放空</w:t>
            </w:r>
            <w:r w:rsidR="00DE693A" w:rsidRPr="00E67914">
              <w:rPr>
                <w:rFonts w:ascii="Times New Roman" w:hAnsi="Times New Roman"/>
                <w:kern w:val="2"/>
                <w:sz w:val="21"/>
                <w:szCs w:val="21"/>
                <w:lang w:eastAsia="zh-CN"/>
              </w:rPr>
              <w:t>；输气管线发生泄漏、火灾、爆炸事故对周围环境和人员的影响</w:t>
            </w:r>
          </w:p>
        </w:tc>
      </w:tr>
    </w:tbl>
    <w:p w14:paraId="3CB525E9" w14:textId="77777777" w:rsidR="00A54A8A" w:rsidRPr="00E67914" w:rsidRDefault="00000000">
      <w:pPr>
        <w:pStyle w:val="afffffe"/>
        <w:ind w:firstLine="480"/>
      </w:pPr>
      <w:r w:rsidRPr="00E67914">
        <w:t>根据环境影响矩阵表，分析环境影响因子的影响类型和影响程度，其结果见表</w:t>
      </w:r>
      <w:r w:rsidRPr="00E67914">
        <w:t>2.4-2</w:t>
      </w:r>
      <w:r w:rsidRPr="00E67914">
        <w:t>。</w:t>
      </w:r>
    </w:p>
    <w:p w14:paraId="0C7C2201"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2.4-2  </w:t>
      </w:r>
      <w:r w:rsidRPr="00E67914">
        <w:rPr>
          <w:rFonts w:ascii="Times New Roman" w:eastAsia="黑体" w:hAnsi="Times New Roman"/>
          <w:sz w:val="21"/>
          <w:szCs w:val="21"/>
          <w:lang w:eastAsia="zh-CN"/>
        </w:rPr>
        <w:t>环境影响要素矩阵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0"/>
        <w:gridCol w:w="1343"/>
        <w:gridCol w:w="556"/>
        <w:gridCol w:w="556"/>
        <w:gridCol w:w="556"/>
        <w:gridCol w:w="481"/>
        <w:gridCol w:w="534"/>
        <w:gridCol w:w="431"/>
        <w:gridCol w:w="559"/>
        <w:gridCol w:w="562"/>
        <w:gridCol w:w="562"/>
        <w:gridCol w:w="559"/>
        <w:gridCol w:w="559"/>
        <w:gridCol w:w="548"/>
      </w:tblGrid>
      <w:tr w:rsidR="00E67914" w:rsidRPr="00E67914" w14:paraId="67C1D932" w14:textId="77777777" w:rsidTr="00E57FF1">
        <w:trPr>
          <w:trHeight w:val="18"/>
          <w:jc w:val="center"/>
        </w:trPr>
        <w:tc>
          <w:tcPr>
            <w:tcW w:w="295" w:type="pct"/>
            <w:vMerge w:val="restart"/>
            <w:vAlign w:val="center"/>
          </w:tcPr>
          <w:p w14:paraId="11314959"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类别</w:t>
            </w:r>
          </w:p>
        </w:tc>
        <w:tc>
          <w:tcPr>
            <w:tcW w:w="809" w:type="pct"/>
            <w:vMerge w:val="restart"/>
            <w:vAlign w:val="center"/>
          </w:tcPr>
          <w:p w14:paraId="2AD78BAA"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环境因子</w:t>
            </w:r>
          </w:p>
        </w:tc>
        <w:tc>
          <w:tcPr>
            <w:tcW w:w="1295" w:type="pct"/>
            <w:gridSpan w:val="4"/>
            <w:vAlign w:val="center"/>
          </w:tcPr>
          <w:p w14:paraId="2A15B24E"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工程施工</w:t>
            </w:r>
          </w:p>
        </w:tc>
        <w:tc>
          <w:tcPr>
            <w:tcW w:w="1257" w:type="pct"/>
            <w:gridSpan w:val="4"/>
            <w:vAlign w:val="center"/>
          </w:tcPr>
          <w:p w14:paraId="1D6620FF"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正常运行</w:t>
            </w:r>
          </w:p>
        </w:tc>
        <w:tc>
          <w:tcPr>
            <w:tcW w:w="1343" w:type="pct"/>
            <w:gridSpan w:val="4"/>
            <w:vAlign w:val="center"/>
          </w:tcPr>
          <w:p w14:paraId="720C9520"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非正常工况</w:t>
            </w:r>
          </w:p>
        </w:tc>
      </w:tr>
      <w:tr w:rsidR="00E67914" w:rsidRPr="00E67914" w14:paraId="55305177" w14:textId="77777777" w:rsidTr="00E57FF1">
        <w:trPr>
          <w:trHeight w:val="18"/>
          <w:jc w:val="center"/>
        </w:trPr>
        <w:tc>
          <w:tcPr>
            <w:tcW w:w="295" w:type="pct"/>
            <w:vMerge/>
            <w:vAlign w:val="center"/>
          </w:tcPr>
          <w:p w14:paraId="12B634A6" w14:textId="77777777" w:rsidR="00A54A8A" w:rsidRPr="00E67914" w:rsidRDefault="00A54A8A">
            <w:pPr>
              <w:jc w:val="center"/>
              <w:rPr>
                <w:rFonts w:ascii="Times New Roman" w:hAnsi="Times New Roman"/>
                <w:b/>
                <w:bCs/>
                <w:kern w:val="2"/>
                <w:sz w:val="21"/>
              </w:rPr>
            </w:pPr>
          </w:p>
        </w:tc>
        <w:tc>
          <w:tcPr>
            <w:tcW w:w="809" w:type="pct"/>
            <w:vMerge/>
            <w:vAlign w:val="center"/>
          </w:tcPr>
          <w:p w14:paraId="730E83D7" w14:textId="77777777" w:rsidR="00A54A8A" w:rsidRPr="00E67914" w:rsidRDefault="00A54A8A">
            <w:pPr>
              <w:jc w:val="center"/>
              <w:rPr>
                <w:rFonts w:ascii="Times New Roman" w:hAnsi="Times New Roman"/>
                <w:b/>
                <w:bCs/>
                <w:kern w:val="2"/>
                <w:sz w:val="21"/>
              </w:rPr>
            </w:pPr>
          </w:p>
        </w:tc>
        <w:tc>
          <w:tcPr>
            <w:tcW w:w="335" w:type="pct"/>
            <w:vAlign w:val="center"/>
          </w:tcPr>
          <w:p w14:paraId="0EE4D083"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有利</w:t>
            </w:r>
          </w:p>
          <w:p w14:paraId="7B1FD960"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tc>
        <w:tc>
          <w:tcPr>
            <w:tcW w:w="335" w:type="pct"/>
            <w:vAlign w:val="center"/>
          </w:tcPr>
          <w:p w14:paraId="0FE32307"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不利</w:t>
            </w:r>
          </w:p>
          <w:p w14:paraId="17C36D6E"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tc>
        <w:tc>
          <w:tcPr>
            <w:tcW w:w="335" w:type="pct"/>
            <w:vAlign w:val="center"/>
          </w:tcPr>
          <w:p w14:paraId="3F49DD0B"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p w14:paraId="0FB1BECC"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较大</w:t>
            </w:r>
          </w:p>
        </w:tc>
        <w:tc>
          <w:tcPr>
            <w:tcW w:w="290" w:type="pct"/>
            <w:vAlign w:val="center"/>
          </w:tcPr>
          <w:p w14:paraId="30F15CBF"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p w14:paraId="367FCD8D"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较轻</w:t>
            </w:r>
          </w:p>
        </w:tc>
        <w:tc>
          <w:tcPr>
            <w:tcW w:w="322" w:type="pct"/>
            <w:vAlign w:val="center"/>
          </w:tcPr>
          <w:p w14:paraId="5FFD5C9C"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有利</w:t>
            </w:r>
          </w:p>
          <w:p w14:paraId="15D6A3F7"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tc>
        <w:tc>
          <w:tcPr>
            <w:tcW w:w="260" w:type="pct"/>
            <w:vAlign w:val="center"/>
          </w:tcPr>
          <w:p w14:paraId="665D05A8"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不利</w:t>
            </w:r>
          </w:p>
          <w:p w14:paraId="19AEF073"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tc>
        <w:tc>
          <w:tcPr>
            <w:tcW w:w="337" w:type="pct"/>
            <w:vAlign w:val="center"/>
          </w:tcPr>
          <w:p w14:paraId="674B2D43"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p w14:paraId="4A145A1A"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较大</w:t>
            </w:r>
          </w:p>
        </w:tc>
        <w:tc>
          <w:tcPr>
            <w:tcW w:w="339" w:type="pct"/>
            <w:vAlign w:val="center"/>
          </w:tcPr>
          <w:p w14:paraId="09D16D77"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p w14:paraId="426135CA"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较轻</w:t>
            </w:r>
          </w:p>
        </w:tc>
        <w:tc>
          <w:tcPr>
            <w:tcW w:w="339" w:type="pct"/>
            <w:vAlign w:val="center"/>
          </w:tcPr>
          <w:p w14:paraId="26594BC5"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有利</w:t>
            </w:r>
          </w:p>
          <w:p w14:paraId="4ABC7FAF"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tc>
        <w:tc>
          <w:tcPr>
            <w:tcW w:w="337" w:type="pct"/>
            <w:vAlign w:val="center"/>
          </w:tcPr>
          <w:p w14:paraId="3C7B427A"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不利</w:t>
            </w:r>
          </w:p>
          <w:p w14:paraId="5FB21D5B"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tc>
        <w:tc>
          <w:tcPr>
            <w:tcW w:w="337" w:type="pct"/>
            <w:vAlign w:val="center"/>
          </w:tcPr>
          <w:p w14:paraId="4F1D207F"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p w14:paraId="2B748C51"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较大</w:t>
            </w:r>
          </w:p>
        </w:tc>
        <w:tc>
          <w:tcPr>
            <w:tcW w:w="331" w:type="pct"/>
            <w:vAlign w:val="center"/>
          </w:tcPr>
          <w:p w14:paraId="3137D3A5"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影响</w:t>
            </w:r>
          </w:p>
          <w:p w14:paraId="45BF4113"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较轻</w:t>
            </w:r>
          </w:p>
        </w:tc>
      </w:tr>
      <w:tr w:rsidR="00E67914" w:rsidRPr="00E67914" w14:paraId="79CAD36F" w14:textId="77777777" w:rsidTr="00E57FF1">
        <w:trPr>
          <w:trHeight w:val="18"/>
          <w:jc w:val="center"/>
        </w:trPr>
        <w:tc>
          <w:tcPr>
            <w:tcW w:w="295" w:type="pct"/>
            <w:vMerge w:val="restart"/>
            <w:vAlign w:val="center"/>
          </w:tcPr>
          <w:p w14:paraId="39B21AB9"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环境质量</w:t>
            </w:r>
          </w:p>
        </w:tc>
        <w:tc>
          <w:tcPr>
            <w:tcW w:w="809" w:type="pct"/>
            <w:vAlign w:val="center"/>
          </w:tcPr>
          <w:p w14:paraId="00B7F28B"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地表水</w:t>
            </w:r>
          </w:p>
        </w:tc>
        <w:tc>
          <w:tcPr>
            <w:tcW w:w="335" w:type="pct"/>
            <w:vAlign w:val="center"/>
          </w:tcPr>
          <w:p w14:paraId="5C0E344D" w14:textId="77777777" w:rsidR="00A54A8A" w:rsidRPr="00E67914" w:rsidRDefault="00A54A8A">
            <w:pPr>
              <w:jc w:val="center"/>
              <w:rPr>
                <w:rFonts w:ascii="Times New Roman" w:hAnsi="Times New Roman"/>
                <w:kern w:val="2"/>
                <w:sz w:val="21"/>
              </w:rPr>
            </w:pPr>
          </w:p>
        </w:tc>
        <w:tc>
          <w:tcPr>
            <w:tcW w:w="335" w:type="pct"/>
            <w:vAlign w:val="center"/>
          </w:tcPr>
          <w:p w14:paraId="27F95E41"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24A1B18A" w14:textId="77777777" w:rsidR="00A54A8A" w:rsidRPr="00E67914" w:rsidRDefault="00A54A8A">
            <w:pPr>
              <w:jc w:val="center"/>
              <w:rPr>
                <w:rFonts w:ascii="Times New Roman" w:hAnsi="Times New Roman"/>
                <w:kern w:val="2"/>
                <w:sz w:val="21"/>
              </w:rPr>
            </w:pPr>
          </w:p>
        </w:tc>
        <w:tc>
          <w:tcPr>
            <w:tcW w:w="290" w:type="pct"/>
            <w:vAlign w:val="center"/>
          </w:tcPr>
          <w:p w14:paraId="6A24D15F"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21812C57" w14:textId="77777777" w:rsidR="00A54A8A" w:rsidRPr="00E67914" w:rsidRDefault="00A54A8A">
            <w:pPr>
              <w:jc w:val="center"/>
              <w:rPr>
                <w:rFonts w:ascii="Times New Roman" w:hAnsi="Times New Roman"/>
                <w:kern w:val="2"/>
                <w:sz w:val="21"/>
              </w:rPr>
            </w:pPr>
          </w:p>
        </w:tc>
        <w:tc>
          <w:tcPr>
            <w:tcW w:w="260" w:type="pct"/>
            <w:vAlign w:val="center"/>
          </w:tcPr>
          <w:p w14:paraId="738EBEA0"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4633E2BB" w14:textId="77777777" w:rsidR="00A54A8A" w:rsidRPr="00E67914" w:rsidRDefault="00A54A8A">
            <w:pPr>
              <w:jc w:val="center"/>
              <w:rPr>
                <w:rFonts w:ascii="Times New Roman" w:hAnsi="Times New Roman"/>
                <w:kern w:val="2"/>
                <w:sz w:val="21"/>
              </w:rPr>
            </w:pPr>
          </w:p>
        </w:tc>
        <w:tc>
          <w:tcPr>
            <w:tcW w:w="339" w:type="pct"/>
            <w:vAlign w:val="center"/>
          </w:tcPr>
          <w:p w14:paraId="4F8DFB45"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w:t>
            </w:r>
          </w:p>
        </w:tc>
        <w:tc>
          <w:tcPr>
            <w:tcW w:w="339" w:type="pct"/>
            <w:vAlign w:val="center"/>
          </w:tcPr>
          <w:p w14:paraId="14ED7005" w14:textId="77777777" w:rsidR="00A54A8A" w:rsidRPr="00E67914" w:rsidRDefault="00A54A8A">
            <w:pPr>
              <w:jc w:val="center"/>
              <w:rPr>
                <w:rFonts w:ascii="Times New Roman" w:hAnsi="Times New Roman"/>
                <w:kern w:val="2"/>
                <w:sz w:val="21"/>
              </w:rPr>
            </w:pPr>
          </w:p>
        </w:tc>
        <w:tc>
          <w:tcPr>
            <w:tcW w:w="337" w:type="pct"/>
            <w:vAlign w:val="center"/>
          </w:tcPr>
          <w:p w14:paraId="73EF1D25"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373E1086" w14:textId="77777777" w:rsidR="00A54A8A" w:rsidRPr="00E67914" w:rsidRDefault="00A54A8A">
            <w:pPr>
              <w:jc w:val="center"/>
              <w:rPr>
                <w:rFonts w:ascii="Times New Roman" w:hAnsi="Times New Roman"/>
                <w:kern w:val="2"/>
                <w:sz w:val="21"/>
              </w:rPr>
            </w:pPr>
          </w:p>
        </w:tc>
        <w:tc>
          <w:tcPr>
            <w:tcW w:w="331" w:type="pct"/>
            <w:vAlign w:val="center"/>
          </w:tcPr>
          <w:p w14:paraId="630CB6B9"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w:t>
            </w:r>
          </w:p>
        </w:tc>
      </w:tr>
      <w:tr w:rsidR="00E67914" w:rsidRPr="00E67914" w14:paraId="7FF0DDB7" w14:textId="77777777" w:rsidTr="00E57FF1">
        <w:trPr>
          <w:trHeight w:val="18"/>
          <w:jc w:val="center"/>
        </w:trPr>
        <w:tc>
          <w:tcPr>
            <w:tcW w:w="295" w:type="pct"/>
            <w:vMerge/>
            <w:vAlign w:val="center"/>
          </w:tcPr>
          <w:p w14:paraId="2E4F196F" w14:textId="77777777" w:rsidR="00E57FF1" w:rsidRPr="00E67914" w:rsidRDefault="00E57FF1" w:rsidP="00E57FF1">
            <w:pPr>
              <w:jc w:val="center"/>
              <w:rPr>
                <w:rFonts w:ascii="Times New Roman" w:hAnsi="Times New Roman"/>
                <w:kern w:val="2"/>
                <w:sz w:val="21"/>
              </w:rPr>
            </w:pPr>
          </w:p>
        </w:tc>
        <w:tc>
          <w:tcPr>
            <w:tcW w:w="809" w:type="pct"/>
            <w:vAlign w:val="center"/>
          </w:tcPr>
          <w:p w14:paraId="2B8F7956" w14:textId="36A10221"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lang w:eastAsia="zh-CN"/>
              </w:rPr>
              <w:t>地下水</w:t>
            </w:r>
          </w:p>
        </w:tc>
        <w:tc>
          <w:tcPr>
            <w:tcW w:w="335" w:type="pct"/>
            <w:vAlign w:val="center"/>
          </w:tcPr>
          <w:p w14:paraId="3A2EB30E" w14:textId="77777777" w:rsidR="00E57FF1" w:rsidRPr="00E67914" w:rsidRDefault="00E57FF1" w:rsidP="00E57FF1">
            <w:pPr>
              <w:jc w:val="center"/>
              <w:rPr>
                <w:rFonts w:ascii="Times New Roman" w:hAnsi="Times New Roman"/>
                <w:kern w:val="2"/>
                <w:sz w:val="21"/>
              </w:rPr>
            </w:pPr>
          </w:p>
        </w:tc>
        <w:tc>
          <w:tcPr>
            <w:tcW w:w="335" w:type="pct"/>
            <w:vAlign w:val="center"/>
          </w:tcPr>
          <w:p w14:paraId="2C97FF9F" w14:textId="3ED4596A"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5E3640F0" w14:textId="77777777" w:rsidR="00E57FF1" w:rsidRPr="00E67914" w:rsidRDefault="00E57FF1" w:rsidP="00E57FF1">
            <w:pPr>
              <w:jc w:val="center"/>
              <w:rPr>
                <w:rFonts w:ascii="Times New Roman" w:hAnsi="Times New Roman"/>
                <w:kern w:val="2"/>
                <w:sz w:val="21"/>
              </w:rPr>
            </w:pPr>
          </w:p>
        </w:tc>
        <w:tc>
          <w:tcPr>
            <w:tcW w:w="290" w:type="pct"/>
            <w:vAlign w:val="center"/>
          </w:tcPr>
          <w:p w14:paraId="626630A5" w14:textId="73771970"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056514A5" w14:textId="77777777" w:rsidR="00E57FF1" w:rsidRPr="00E67914" w:rsidRDefault="00E57FF1" w:rsidP="00E57FF1">
            <w:pPr>
              <w:jc w:val="center"/>
              <w:rPr>
                <w:rFonts w:ascii="Times New Roman" w:hAnsi="Times New Roman"/>
                <w:kern w:val="2"/>
                <w:sz w:val="21"/>
              </w:rPr>
            </w:pPr>
          </w:p>
        </w:tc>
        <w:tc>
          <w:tcPr>
            <w:tcW w:w="260" w:type="pct"/>
            <w:vAlign w:val="center"/>
          </w:tcPr>
          <w:p w14:paraId="11D5A43C" w14:textId="3B17C70A"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4C0A3E4E" w14:textId="77777777" w:rsidR="00E57FF1" w:rsidRPr="00E67914" w:rsidRDefault="00E57FF1" w:rsidP="00E57FF1">
            <w:pPr>
              <w:jc w:val="center"/>
              <w:rPr>
                <w:rFonts w:ascii="Times New Roman" w:hAnsi="Times New Roman"/>
                <w:kern w:val="2"/>
                <w:sz w:val="21"/>
              </w:rPr>
            </w:pPr>
          </w:p>
        </w:tc>
        <w:tc>
          <w:tcPr>
            <w:tcW w:w="339" w:type="pct"/>
            <w:vAlign w:val="center"/>
          </w:tcPr>
          <w:p w14:paraId="40050C21" w14:textId="1A3B8D19"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9" w:type="pct"/>
            <w:vAlign w:val="center"/>
          </w:tcPr>
          <w:p w14:paraId="1CAF2701" w14:textId="77777777" w:rsidR="00E57FF1" w:rsidRPr="00E67914" w:rsidRDefault="00E57FF1" w:rsidP="00E57FF1">
            <w:pPr>
              <w:jc w:val="center"/>
              <w:rPr>
                <w:rFonts w:ascii="Times New Roman" w:hAnsi="Times New Roman"/>
                <w:kern w:val="2"/>
                <w:sz w:val="21"/>
              </w:rPr>
            </w:pPr>
          </w:p>
        </w:tc>
        <w:tc>
          <w:tcPr>
            <w:tcW w:w="337" w:type="pct"/>
            <w:vAlign w:val="center"/>
          </w:tcPr>
          <w:p w14:paraId="0678231D" w14:textId="79A0AFFA"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49E7C988" w14:textId="789E5C2F"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1" w:type="pct"/>
            <w:vAlign w:val="center"/>
          </w:tcPr>
          <w:p w14:paraId="5C2B3082" w14:textId="33C4B327" w:rsidR="00E57FF1" w:rsidRPr="00E67914" w:rsidRDefault="00E57FF1" w:rsidP="00E57FF1">
            <w:pPr>
              <w:jc w:val="center"/>
              <w:rPr>
                <w:rFonts w:ascii="Times New Roman" w:hAnsi="Times New Roman"/>
                <w:kern w:val="2"/>
                <w:sz w:val="21"/>
              </w:rPr>
            </w:pPr>
          </w:p>
        </w:tc>
      </w:tr>
      <w:tr w:rsidR="00E67914" w:rsidRPr="00E67914" w14:paraId="1CF68814" w14:textId="77777777" w:rsidTr="00E57FF1">
        <w:trPr>
          <w:trHeight w:val="18"/>
          <w:jc w:val="center"/>
        </w:trPr>
        <w:tc>
          <w:tcPr>
            <w:tcW w:w="295" w:type="pct"/>
            <w:vMerge/>
            <w:vAlign w:val="center"/>
          </w:tcPr>
          <w:p w14:paraId="751E4FAB" w14:textId="77777777" w:rsidR="00E57FF1" w:rsidRPr="00E67914" w:rsidRDefault="00E57FF1" w:rsidP="00E57FF1">
            <w:pPr>
              <w:jc w:val="center"/>
              <w:rPr>
                <w:rFonts w:ascii="Times New Roman" w:hAnsi="Times New Roman"/>
                <w:kern w:val="2"/>
                <w:sz w:val="21"/>
              </w:rPr>
            </w:pPr>
          </w:p>
        </w:tc>
        <w:tc>
          <w:tcPr>
            <w:tcW w:w="809" w:type="pct"/>
            <w:vAlign w:val="center"/>
          </w:tcPr>
          <w:p w14:paraId="26E34730"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环境空气</w:t>
            </w:r>
          </w:p>
        </w:tc>
        <w:tc>
          <w:tcPr>
            <w:tcW w:w="335" w:type="pct"/>
            <w:vAlign w:val="center"/>
          </w:tcPr>
          <w:p w14:paraId="782EBDD9" w14:textId="77777777" w:rsidR="00E57FF1" w:rsidRPr="00E67914" w:rsidRDefault="00E57FF1" w:rsidP="00E57FF1">
            <w:pPr>
              <w:jc w:val="center"/>
              <w:rPr>
                <w:rFonts w:ascii="Times New Roman" w:hAnsi="Times New Roman"/>
                <w:kern w:val="2"/>
                <w:sz w:val="21"/>
              </w:rPr>
            </w:pPr>
          </w:p>
        </w:tc>
        <w:tc>
          <w:tcPr>
            <w:tcW w:w="335" w:type="pct"/>
            <w:vAlign w:val="center"/>
          </w:tcPr>
          <w:p w14:paraId="34361DA0"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1B1B5D44" w14:textId="77777777" w:rsidR="00E57FF1" w:rsidRPr="00E67914" w:rsidRDefault="00E57FF1" w:rsidP="00E57FF1">
            <w:pPr>
              <w:jc w:val="center"/>
              <w:rPr>
                <w:rFonts w:ascii="Times New Roman" w:hAnsi="Times New Roman"/>
                <w:kern w:val="2"/>
                <w:sz w:val="21"/>
              </w:rPr>
            </w:pPr>
          </w:p>
        </w:tc>
        <w:tc>
          <w:tcPr>
            <w:tcW w:w="290" w:type="pct"/>
            <w:vAlign w:val="center"/>
          </w:tcPr>
          <w:p w14:paraId="03D5C0E4"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3A558D5F" w14:textId="77777777" w:rsidR="00E57FF1" w:rsidRPr="00E67914" w:rsidRDefault="00E57FF1" w:rsidP="00E57FF1">
            <w:pPr>
              <w:jc w:val="center"/>
              <w:rPr>
                <w:rFonts w:ascii="Times New Roman" w:hAnsi="Times New Roman"/>
                <w:kern w:val="2"/>
                <w:sz w:val="21"/>
              </w:rPr>
            </w:pPr>
          </w:p>
        </w:tc>
        <w:tc>
          <w:tcPr>
            <w:tcW w:w="260" w:type="pct"/>
            <w:vAlign w:val="center"/>
          </w:tcPr>
          <w:p w14:paraId="7F1D453B"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20F5F2D4" w14:textId="77777777" w:rsidR="00E57FF1" w:rsidRPr="00E67914" w:rsidRDefault="00E57FF1" w:rsidP="00E57FF1">
            <w:pPr>
              <w:jc w:val="center"/>
              <w:rPr>
                <w:rFonts w:ascii="Times New Roman" w:hAnsi="Times New Roman"/>
                <w:kern w:val="2"/>
                <w:sz w:val="21"/>
              </w:rPr>
            </w:pPr>
          </w:p>
        </w:tc>
        <w:tc>
          <w:tcPr>
            <w:tcW w:w="339" w:type="pct"/>
            <w:vAlign w:val="center"/>
          </w:tcPr>
          <w:p w14:paraId="16717560"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9" w:type="pct"/>
            <w:vAlign w:val="center"/>
          </w:tcPr>
          <w:p w14:paraId="19B0ACDC" w14:textId="77777777" w:rsidR="00E57FF1" w:rsidRPr="00E67914" w:rsidRDefault="00E57FF1" w:rsidP="00E57FF1">
            <w:pPr>
              <w:jc w:val="center"/>
              <w:rPr>
                <w:rFonts w:ascii="Times New Roman" w:hAnsi="Times New Roman"/>
                <w:kern w:val="2"/>
                <w:sz w:val="21"/>
              </w:rPr>
            </w:pPr>
          </w:p>
        </w:tc>
        <w:tc>
          <w:tcPr>
            <w:tcW w:w="337" w:type="pct"/>
            <w:vAlign w:val="center"/>
          </w:tcPr>
          <w:p w14:paraId="29E42441"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304F8B29"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1" w:type="pct"/>
            <w:vAlign w:val="center"/>
          </w:tcPr>
          <w:p w14:paraId="769A6A8D" w14:textId="77777777" w:rsidR="00E57FF1" w:rsidRPr="00E67914" w:rsidRDefault="00E57FF1" w:rsidP="00E57FF1">
            <w:pPr>
              <w:jc w:val="center"/>
              <w:rPr>
                <w:rFonts w:ascii="Times New Roman" w:hAnsi="Times New Roman"/>
                <w:kern w:val="2"/>
                <w:sz w:val="21"/>
              </w:rPr>
            </w:pPr>
          </w:p>
        </w:tc>
      </w:tr>
      <w:tr w:rsidR="00E67914" w:rsidRPr="00E67914" w14:paraId="4D5666F7" w14:textId="77777777" w:rsidTr="00E57FF1">
        <w:trPr>
          <w:trHeight w:val="18"/>
          <w:jc w:val="center"/>
        </w:trPr>
        <w:tc>
          <w:tcPr>
            <w:tcW w:w="295" w:type="pct"/>
            <w:vMerge/>
            <w:vAlign w:val="center"/>
          </w:tcPr>
          <w:p w14:paraId="38CF2DA0" w14:textId="77777777" w:rsidR="00E57FF1" w:rsidRPr="00E67914" w:rsidRDefault="00E57FF1" w:rsidP="00E57FF1">
            <w:pPr>
              <w:jc w:val="center"/>
              <w:rPr>
                <w:rFonts w:ascii="Times New Roman" w:hAnsi="Times New Roman"/>
                <w:kern w:val="2"/>
                <w:sz w:val="21"/>
              </w:rPr>
            </w:pPr>
          </w:p>
        </w:tc>
        <w:tc>
          <w:tcPr>
            <w:tcW w:w="809" w:type="pct"/>
            <w:vAlign w:val="center"/>
          </w:tcPr>
          <w:p w14:paraId="7F161C1A"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声环境</w:t>
            </w:r>
          </w:p>
        </w:tc>
        <w:tc>
          <w:tcPr>
            <w:tcW w:w="335" w:type="pct"/>
            <w:vAlign w:val="center"/>
          </w:tcPr>
          <w:p w14:paraId="0E410E81" w14:textId="77777777" w:rsidR="00E57FF1" w:rsidRPr="00E67914" w:rsidRDefault="00E57FF1" w:rsidP="00E57FF1">
            <w:pPr>
              <w:jc w:val="center"/>
              <w:rPr>
                <w:rFonts w:ascii="Times New Roman" w:hAnsi="Times New Roman"/>
                <w:kern w:val="2"/>
                <w:sz w:val="21"/>
              </w:rPr>
            </w:pPr>
          </w:p>
        </w:tc>
        <w:tc>
          <w:tcPr>
            <w:tcW w:w="335" w:type="pct"/>
            <w:vAlign w:val="center"/>
          </w:tcPr>
          <w:p w14:paraId="70D6247B"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624276AC" w14:textId="77777777" w:rsidR="00E57FF1" w:rsidRPr="00E67914" w:rsidRDefault="00E57FF1" w:rsidP="00E57FF1">
            <w:pPr>
              <w:jc w:val="center"/>
              <w:rPr>
                <w:rFonts w:ascii="Times New Roman" w:hAnsi="Times New Roman"/>
                <w:kern w:val="2"/>
                <w:sz w:val="21"/>
              </w:rPr>
            </w:pPr>
          </w:p>
        </w:tc>
        <w:tc>
          <w:tcPr>
            <w:tcW w:w="290" w:type="pct"/>
            <w:vAlign w:val="center"/>
          </w:tcPr>
          <w:p w14:paraId="2ACF8538"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76367BEC" w14:textId="77777777" w:rsidR="00E57FF1" w:rsidRPr="00E67914" w:rsidRDefault="00E57FF1" w:rsidP="00E57FF1">
            <w:pPr>
              <w:jc w:val="center"/>
              <w:rPr>
                <w:rFonts w:ascii="Times New Roman" w:hAnsi="Times New Roman"/>
                <w:kern w:val="2"/>
                <w:sz w:val="21"/>
              </w:rPr>
            </w:pPr>
          </w:p>
        </w:tc>
        <w:tc>
          <w:tcPr>
            <w:tcW w:w="260" w:type="pct"/>
            <w:vAlign w:val="center"/>
          </w:tcPr>
          <w:p w14:paraId="233D10FC"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78C15DF3" w14:textId="77777777" w:rsidR="00E57FF1" w:rsidRPr="00E67914" w:rsidRDefault="00E57FF1" w:rsidP="00E57FF1">
            <w:pPr>
              <w:jc w:val="center"/>
              <w:rPr>
                <w:rFonts w:ascii="Times New Roman" w:hAnsi="Times New Roman"/>
                <w:kern w:val="2"/>
                <w:sz w:val="21"/>
              </w:rPr>
            </w:pPr>
          </w:p>
        </w:tc>
        <w:tc>
          <w:tcPr>
            <w:tcW w:w="339" w:type="pct"/>
            <w:vAlign w:val="center"/>
          </w:tcPr>
          <w:p w14:paraId="2D3E1B47"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9" w:type="pct"/>
            <w:vAlign w:val="center"/>
          </w:tcPr>
          <w:p w14:paraId="42A95121" w14:textId="77777777" w:rsidR="00E57FF1" w:rsidRPr="00E67914" w:rsidRDefault="00E57FF1" w:rsidP="00E57FF1">
            <w:pPr>
              <w:jc w:val="center"/>
              <w:rPr>
                <w:rFonts w:ascii="Times New Roman" w:hAnsi="Times New Roman"/>
                <w:kern w:val="2"/>
                <w:sz w:val="21"/>
              </w:rPr>
            </w:pPr>
          </w:p>
        </w:tc>
        <w:tc>
          <w:tcPr>
            <w:tcW w:w="337" w:type="pct"/>
            <w:vAlign w:val="center"/>
          </w:tcPr>
          <w:p w14:paraId="749A2CC3"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59B42382" w14:textId="77777777" w:rsidR="00E57FF1" w:rsidRPr="00E67914" w:rsidRDefault="00E57FF1" w:rsidP="00E57FF1">
            <w:pPr>
              <w:jc w:val="center"/>
              <w:rPr>
                <w:rFonts w:ascii="Times New Roman" w:hAnsi="Times New Roman"/>
                <w:kern w:val="2"/>
                <w:sz w:val="21"/>
              </w:rPr>
            </w:pPr>
          </w:p>
        </w:tc>
        <w:tc>
          <w:tcPr>
            <w:tcW w:w="331" w:type="pct"/>
            <w:vAlign w:val="center"/>
          </w:tcPr>
          <w:p w14:paraId="6EC31701"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r>
      <w:tr w:rsidR="00E67914" w:rsidRPr="00E67914" w14:paraId="5E944EB0" w14:textId="77777777" w:rsidTr="00E57FF1">
        <w:trPr>
          <w:trHeight w:val="18"/>
          <w:jc w:val="center"/>
        </w:trPr>
        <w:tc>
          <w:tcPr>
            <w:tcW w:w="295" w:type="pct"/>
            <w:vMerge w:val="restart"/>
            <w:vAlign w:val="center"/>
          </w:tcPr>
          <w:p w14:paraId="06B8F743"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自然生态环境</w:t>
            </w:r>
          </w:p>
        </w:tc>
        <w:tc>
          <w:tcPr>
            <w:tcW w:w="809" w:type="pct"/>
            <w:vAlign w:val="center"/>
          </w:tcPr>
          <w:p w14:paraId="00F27D8A"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地形地貌</w:t>
            </w:r>
          </w:p>
        </w:tc>
        <w:tc>
          <w:tcPr>
            <w:tcW w:w="335" w:type="pct"/>
            <w:vAlign w:val="center"/>
          </w:tcPr>
          <w:p w14:paraId="71C6D373" w14:textId="77777777" w:rsidR="00E57FF1" w:rsidRPr="00E67914" w:rsidRDefault="00E57FF1" w:rsidP="00E57FF1">
            <w:pPr>
              <w:jc w:val="center"/>
              <w:rPr>
                <w:rFonts w:ascii="Times New Roman" w:hAnsi="Times New Roman"/>
                <w:kern w:val="2"/>
                <w:sz w:val="21"/>
              </w:rPr>
            </w:pPr>
          </w:p>
        </w:tc>
        <w:tc>
          <w:tcPr>
            <w:tcW w:w="335" w:type="pct"/>
            <w:vAlign w:val="center"/>
          </w:tcPr>
          <w:p w14:paraId="73AAC515"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7957A7FE" w14:textId="77777777" w:rsidR="00E57FF1" w:rsidRPr="00E67914" w:rsidRDefault="00E57FF1" w:rsidP="00E57FF1">
            <w:pPr>
              <w:jc w:val="center"/>
              <w:rPr>
                <w:rFonts w:ascii="Times New Roman" w:hAnsi="Times New Roman"/>
                <w:kern w:val="2"/>
                <w:sz w:val="21"/>
              </w:rPr>
            </w:pPr>
          </w:p>
        </w:tc>
        <w:tc>
          <w:tcPr>
            <w:tcW w:w="290" w:type="pct"/>
            <w:vAlign w:val="center"/>
          </w:tcPr>
          <w:p w14:paraId="32D4B4BC"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252654B5" w14:textId="77777777" w:rsidR="00E57FF1" w:rsidRPr="00E67914" w:rsidRDefault="00E57FF1" w:rsidP="00E57FF1">
            <w:pPr>
              <w:jc w:val="center"/>
              <w:rPr>
                <w:rFonts w:ascii="Times New Roman" w:hAnsi="Times New Roman"/>
                <w:kern w:val="2"/>
                <w:sz w:val="21"/>
              </w:rPr>
            </w:pPr>
          </w:p>
        </w:tc>
        <w:tc>
          <w:tcPr>
            <w:tcW w:w="260" w:type="pct"/>
            <w:vAlign w:val="center"/>
          </w:tcPr>
          <w:p w14:paraId="4A8C7760" w14:textId="77777777" w:rsidR="00E57FF1" w:rsidRPr="00E67914" w:rsidRDefault="00E57FF1" w:rsidP="00E57FF1">
            <w:pPr>
              <w:jc w:val="center"/>
              <w:rPr>
                <w:rFonts w:ascii="Times New Roman" w:hAnsi="Times New Roman"/>
                <w:kern w:val="2"/>
                <w:sz w:val="21"/>
              </w:rPr>
            </w:pPr>
          </w:p>
        </w:tc>
        <w:tc>
          <w:tcPr>
            <w:tcW w:w="337" w:type="pct"/>
            <w:vAlign w:val="center"/>
          </w:tcPr>
          <w:p w14:paraId="09CC6CA1" w14:textId="77777777" w:rsidR="00E57FF1" w:rsidRPr="00E67914" w:rsidRDefault="00E57FF1" w:rsidP="00E57FF1">
            <w:pPr>
              <w:jc w:val="center"/>
              <w:rPr>
                <w:rFonts w:ascii="Times New Roman" w:hAnsi="Times New Roman"/>
                <w:kern w:val="2"/>
                <w:sz w:val="21"/>
              </w:rPr>
            </w:pPr>
          </w:p>
        </w:tc>
        <w:tc>
          <w:tcPr>
            <w:tcW w:w="339" w:type="pct"/>
            <w:vAlign w:val="center"/>
          </w:tcPr>
          <w:p w14:paraId="02700C4C" w14:textId="77777777" w:rsidR="00E57FF1" w:rsidRPr="00E67914" w:rsidRDefault="00E57FF1" w:rsidP="00E57FF1">
            <w:pPr>
              <w:jc w:val="center"/>
              <w:rPr>
                <w:rFonts w:ascii="Times New Roman" w:hAnsi="Times New Roman"/>
                <w:kern w:val="2"/>
                <w:sz w:val="21"/>
              </w:rPr>
            </w:pPr>
          </w:p>
        </w:tc>
        <w:tc>
          <w:tcPr>
            <w:tcW w:w="339" w:type="pct"/>
            <w:vAlign w:val="center"/>
          </w:tcPr>
          <w:p w14:paraId="1F946EBE" w14:textId="77777777" w:rsidR="00E57FF1" w:rsidRPr="00E67914" w:rsidRDefault="00E57FF1" w:rsidP="00E57FF1">
            <w:pPr>
              <w:jc w:val="center"/>
              <w:rPr>
                <w:rFonts w:ascii="Times New Roman" w:hAnsi="Times New Roman"/>
                <w:kern w:val="2"/>
                <w:sz w:val="21"/>
              </w:rPr>
            </w:pPr>
          </w:p>
        </w:tc>
        <w:tc>
          <w:tcPr>
            <w:tcW w:w="337" w:type="pct"/>
            <w:vAlign w:val="center"/>
          </w:tcPr>
          <w:p w14:paraId="1C692C2B" w14:textId="77777777" w:rsidR="00E57FF1" w:rsidRPr="00E67914" w:rsidRDefault="00E57FF1" w:rsidP="00E57FF1">
            <w:pPr>
              <w:jc w:val="center"/>
              <w:rPr>
                <w:rFonts w:ascii="Times New Roman" w:hAnsi="Times New Roman"/>
                <w:kern w:val="2"/>
                <w:sz w:val="21"/>
              </w:rPr>
            </w:pPr>
          </w:p>
        </w:tc>
        <w:tc>
          <w:tcPr>
            <w:tcW w:w="337" w:type="pct"/>
            <w:vAlign w:val="center"/>
          </w:tcPr>
          <w:p w14:paraId="09D0407F" w14:textId="77777777" w:rsidR="00E57FF1" w:rsidRPr="00E67914" w:rsidRDefault="00E57FF1" w:rsidP="00E57FF1">
            <w:pPr>
              <w:jc w:val="center"/>
              <w:rPr>
                <w:rFonts w:ascii="Times New Roman" w:hAnsi="Times New Roman"/>
                <w:kern w:val="2"/>
                <w:sz w:val="21"/>
              </w:rPr>
            </w:pPr>
          </w:p>
        </w:tc>
        <w:tc>
          <w:tcPr>
            <w:tcW w:w="331" w:type="pct"/>
            <w:vAlign w:val="center"/>
          </w:tcPr>
          <w:p w14:paraId="1546F792" w14:textId="77777777" w:rsidR="00E57FF1" w:rsidRPr="00E67914" w:rsidRDefault="00E57FF1" w:rsidP="00E57FF1">
            <w:pPr>
              <w:jc w:val="center"/>
              <w:rPr>
                <w:rFonts w:ascii="Times New Roman" w:hAnsi="Times New Roman"/>
                <w:kern w:val="2"/>
                <w:sz w:val="21"/>
              </w:rPr>
            </w:pPr>
          </w:p>
        </w:tc>
      </w:tr>
      <w:tr w:rsidR="00E67914" w:rsidRPr="00E67914" w14:paraId="01C1C033" w14:textId="77777777" w:rsidTr="00E57FF1">
        <w:trPr>
          <w:trHeight w:val="18"/>
          <w:jc w:val="center"/>
        </w:trPr>
        <w:tc>
          <w:tcPr>
            <w:tcW w:w="295" w:type="pct"/>
            <w:vMerge/>
            <w:vAlign w:val="center"/>
          </w:tcPr>
          <w:p w14:paraId="7A9BAE0B" w14:textId="77777777" w:rsidR="00E57FF1" w:rsidRPr="00E67914" w:rsidRDefault="00E57FF1" w:rsidP="00E57FF1">
            <w:pPr>
              <w:jc w:val="center"/>
              <w:rPr>
                <w:rFonts w:ascii="Times New Roman" w:hAnsi="Times New Roman"/>
                <w:kern w:val="2"/>
                <w:sz w:val="21"/>
              </w:rPr>
            </w:pPr>
          </w:p>
        </w:tc>
        <w:tc>
          <w:tcPr>
            <w:tcW w:w="809" w:type="pct"/>
            <w:vAlign w:val="center"/>
          </w:tcPr>
          <w:p w14:paraId="4170E2B8"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生态环境</w:t>
            </w:r>
          </w:p>
        </w:tc>
        <w:tc>
          <w:tcPr>
            <w:tcW w:w="335" w:type="pct"/>
            <w:vAlign w:val="center"/>
          </w:tcPr>
          <w:p w14:paraId="22B6771A" w14:textId="77777777" w:rsidR="00E57FF1" w:rsidRPr="00E67914" w:rsidRDefault="00E57FF1" w:rsidP="00E57FF1">
            <w:pPr>
              <w:jc w:val="center"/>
              <w:rPr>
                <w:rFonts w:ascii="Times New Roman" w:hAnsi="Times New Roman"/>
                <w:kern w:val="2"/>
                <w:sz w:val="21"/>
              </w:rPr>
            </w:pPr>
          </w:p>
        </w:tc>
        <w:tc>
          <w:tcPr>
            <w:tcW w:w="335" w:type="pct"/>
            <w:vAlign w:val="center"/>
          </w:tcPr>
          <w:p w14:paraId="4D03D425"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26EE7605" w14:textId="77777777" w:rsidR="00E57FF1" w:rsidRPr="00E67914" w:rsidRDefault="00E57FF1" w:rsidP="00E57FF1">
            <w:pPr>
              <w:jc w:val="center"/>
              <w:rPr>
                <w:rFonts w:ascii="Times New Roman" w:hAnsi="Times New Roman"/>
                <w:kern w:val="2"/>
                <w:sz w:val="21"/>
              </w:rPr>
            </w:pPr>
          </w:p>
        </w:tc>
        <w:tc>
          <w:tcPr>
            <w:tcW w:w="290" w:type="pct"/>
            <w:vAlign w:val="center"/>
          </w:tcPr>
          <w:p w14:paraId="25326AD8"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1A39AFD2" w14:textId="77777777" w:rsidR="00E57FF1" w:rsidRPr="00E67914" w:rsidRDefault="00E57FF1" w:rsidP="00E57FF1">
            <w:pPr>
              <w:jc w:val="center"/>
              <w:rPr>
                <w:rFonts w:ascii="Times New Roman" w:hAnsi="Times New Roman"/>
                <w:kern w:val="2"/>
                <w:sz w:val="21"/>
              </w:rPr>
            </w:pPr>
          </w:p>
        </w:tc>
        <w:tc>
          <w:tcPr>
            <w:tcW w:w="260" w:type="pct"/>
            <w:vAlign w:val="center"/>
          </w:tcPr>
          <w:p w14:paraId="321ACC7A" w14:textId="77777777" w:rsidR="00E57FF1" w:rsidRPr="00E67914" w:rsidRDefault="00E57FF1" w:rsidP="00E57FF1">
            <w:pPr>
              <w:jc w:val="center"/>
              <w:rPr>
                <w:rFonts w:ascii="Times New Roman" w:hAnsi="Times New Roman"/>
                <w:kern w:val="2"/>
                <w:sz w:val="21"/>
              </w:rPr>
            </w:pPr>
          </w:p>
        </w:tc>
        <w:tc>
          <w:tcPr>
            <w:tcW w:w="337" w:type="pct"/>
            <w:vAlign w:val="center"/>
          </w:tcPr>
          <w:p w14:paraId="49233F35" w14:textId="77777777" w:rsidR="00E57FF1" w:rsidRPr="00E67914" w:rsidRDefault="00E57FF1" w:rsidP="00E57FF1">
            <w:pPr>
              <w:jc w:val="center"/>
              <w:rPr>
                <w:rFonts w:ascii="Times New Roman" w:hAnsi="Times New Roman"/>
                <w:kern w:val="2"/>
                <w:sz w:val="21"/>
              </w:rPr>
            </w:pPr>
          </w:p>
        </w:tc>
        <w:tc>
          <w:tcPr>
            <w:tcW w:w="339" w:type="pct"/>
            <w:vAlign w:val="center"/>
          </w:tcPr>
          <w:p w14:paraId="683CBAC1"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9" w:type="pct"/>
            <w:vAlign w:val="center"/>
          </w:tcPr>
          <w:p w14:paraId="7CD56A88" w14:textId="77777777" w:rsidR="00E57FF1" w:rsidRPr="00E67914" w:rsidRDefault="00E57FF1" w:rsidP="00E57FF1">
            <w:pPr>
              <w:jc w:val="center"/>
              <w:rPr>
                <w:rFonts w:ascii="Times New Roman" w:hAnsi="Times New Roman"/>
                <w:kern w:val="2"/>
                <w:sz w:val="21"/>
              </w:rPr>
            </w:pPr>
          </w:p>
        </w:tc>
        <w:tc>
          <w:tcPr>
            <w:tcW w:w="337" w:type="pct"/>
            <w:vAlign w:val="center"/>
          </w:tcPr>
          <w:p w14:paraId="2264DD3E"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1288547D" w14:textId="77777777" w:rsidR="00E57FF1" w:rsidRPr="00E67914" w:rsidRDefault="00E57FF1" w:rsidP="00E57FF1">
            <w:pPr>
              <w:jc w:val="center"/>
              <w:rPr>
                <w:rFonts w:ascii="Times New Roman" w:hAnsi="Times New Roman"/>
                <w:kern w:val="2"/>
                <w:sz w:val="21"/>
              </w:rPr>
            </w:pPr>
          </w:p>
        </w:tc>
        <w:tc>
          <w:tcPr>
            <w:tcW w:w="331" w:type="pct"/>
            <w:vAlign w:val="center"/>
          </w:tcPr>
          <w:p w14:paraId="131E0565"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r>
      <w:tr w:rsidR="00E67914" w:rsidRPr="00E67914" w14:paraId="72218671" w14:textId="77777777" w:rsidTr="00E57FF1">
        <w:trPr>
          <w:trHeight w:val="18"/>
          <w:jc w:val="center"/>
        </w:trPr>
        <w:tc>
          <w:tcPr>
            <w:tcW w:w="295" w:type="pct"/>
            <w:vMerge/>
            <w:vAlign w:val="center"/>
          </w:tcPr>
          <w:p w14:paraId="00F7031A" w14:textId="77777777" w:rsidR="00E57FF1" w:rsidRPr="00E67914" w:rsidRDefault="00E57FF1" w:rsidP="00E57FF1">
            <w:pPr>
              <w:jc w:val="center"/>
              <w:rPr>
                <w:rFonts w:ascii="Times New Roman" w:hAnsi="Times New Roman"/>
                <w:kern w:val="2"/>
                <w:sz w:val="21"/>
              </w:rPr>
            </w:pPr>
          </w:p>
        </w:tc>
        <w:tc>
          <w:tcPr>
            <w:tcW w:w="809" w:type="pct"/>
            <w:vAlign w:val="center"/>
          </w:tcPr>
          <w:p w14:paraId="1F3EB41F"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土壤</w:t>
            </w:r>
          </w:p>
        </w:tc>
        <w:tc>
          <w:tcPr>
            <w:tcW w:w="335" w:type="pct"/>
            <w:vAlign w:val="center"/>
          </w:tcPr>
          <w:p w14:paraId="4390D229" w14:textId="77777777" w:rsidR="00E57FF1" w:rsidRPr="00E67914" w:rsidRDefault="00E57FF1" w:rsidP="00E57FF1">
            <w:pPr>
              <w:jc w:val="center"/>
              <w:rPr>
                <w:rFonts w:ascii="Times New Roman" w:hAnsi="Times New Roman"/>
                <w:kern w:val="2"/>
                <w:sz w:val="21"/>
              </w:rPr>
            </w:pPr>
          </w:p>
        </w:tc>
        <w:tc>
          <w:tcPr>
            <w:tcW w:w="335" w:type="pct"/>
            <w:vAlign w:val="center"/>
          </w:tcPr>
          <w:p w14:paraId="25DB51D7"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69DF664A" w14:textId="77777777" w:rsidR="00E57FF1" w:rsidRPr="00E67914" w:rsidRDefault="00E57FF1" w:rsidP="00E57FF1">
            <w:pPr>
              <w:jc w:val="center"/>
              <w:rPr>
                <w:rFonts w:ascii="Times New Roman" w:hAnsi="Times New Roman"/>
                <w:kern w:val="2"/>
                <w:sz w:val="21"/>
              </w:rPr>
            </w:pPr>
          </w:p>
        </w:tc>
        <w:tc>
          <w:tcPr>
            <w:tcW w:w="290" w:type="pct"/>
            <w:vAlign w:val="center"/>
          </w:tcPr>
          <w:p w14:paraId="3A642623"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2F17CCDB" w14:textId="77777777" w:rsidR="00E57FF1" w:rsidRPr="00E67914" w:rsidRDefault="00E57FF1" w:rsidP="00E57FF1">
            <w:pPr>
              <w:jc w:val="center"/>
              <w:rPr>
                <w:rFonts w:ascii="Times New Roman" w:hAnsi="Times New Roman"/>
                <w:kern w:val="2"/>
                <w:sz w:val="21"/>
              </w:rPr>
            </w:pPr>
          </w:p>
        </w:tc>
        <w:tc>
          <w:tcPr>
            <w:tcW w:w="260" w:type="pct"/>
            <w:vAlign w:val="center"/>
          </w:tcPr>
          <w:p w14:paraId="3F1AB39E" w14:textId="77777777" w:rsidR="00E57FF1" w:rsidRPr="00E67914" w:rsidRDefault="00E57FF1" w:rsidP="00E57FF1">
            <w:pPr>
              <w:jc w:val="center"/>
              <w:rPr>
                <w:rFonts w:ascii="Times New Roman" w:hAnsi="Times New Roman"/>
                <w:kern w:val="2"/>
                <w:sz w:val="21"/>
              </w:rPr>
            </w:pPr>
          </w:p>
        </w:tc>
        <w:tc>
          <w:tcPr>
            <w:tcW w:w="337" w:type="pct"/>
            <w:vAlign w:val="center"/>
          </w:tcPr>
          <w:p w14:paraId="7E6987DD" w14:textId="77777777" w:rsidR="00E57FF1" w:rsidRPr="00E67914" w:rsidRDefault="00E57FF1" w:rsidP="00E57FF1">
            <w:pPr>
              <w:jc w:val="center"/>
              <w:rPr>
                <w:rFonts w:ascii="Times New Roman" w:hAnsi="Times New Roman"/>
                <w:kern w:val="2"/>
                <w:sz w:val="21"/>
              </w:rPr>
            </w:pPr>
          </w:p>
        </w:tc>
        <w:tc>
          <w:tcPr>
            <w:tcW w:w="339" w:type="pct"/>
            <w:vAlign w:val="center"/>
          </w:tcPr>
          <w:p w14:paraId="318E36D3" w14:textId="77777777" w:rsidR="00E57FF1" w:rsidRPr="00E67914" w:rsidRDefault="00E57FF1" w:rsidP="00E57FF1">
            <w:pPr>
              <w:jc w:val="center"/>
              <w:rPr>
                <w:rFonts w:ascii="Times New Roman" w:hAnsi="Times New Roman"/>
                <w:kern w:val="2"/>
                <w:sz w:val="21"/>
              </w:rPr>
            </w:pPr>
          </w:p>
        </w:tc>
        <w:tc>
          <w:tcPr>
            <w:tcW w:w="339" w:type="pct"/>
            <w:vAlign w:val="center"/>
          </w:tcPr>
          <w:p w14:paraId="37DA1B23" w14:textId="77777777" w:rsidR="00E57FF1" w:rsidRPr="00E67914" w:rsidRDefault="00E57FF1" w:rsidP="00E57FF1">
            <w:pPr>
              <w:jc w:val="center"/>
              <w:rPr>
                <w:rFonts w:ascii="Times New Roman" w:hAnsi="Times New Roman"/>
                <w:kern w:val="2"/>
                <w:sz w:val="21"/>
              </w:rPr>
            </w:pPr>
          </w:p>
        </w:tc>
        <w:tc>
          <w:tcPr>
            <w:tcW w:w="337" w:type="pct"/>
            <w:vAlign w:val="center"/>
          </w:tcPr>
          <w:p w14:paraId="454FE96D"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25BAE107" w14:textId="77777777" w:rsidR="00E57FF1" w:rsidRPr="00E67914" w:rsidRDefault="00E57FF1" w:rsidP="00E57FF1">
            <w:pPr>
              <w:jc w:val="center"/>
              <w:rPr>
                <w:rFonts w:ascii="Times New Roman" w:hAnsi="Times New Roman"/>
                <w:kern w:val="2"/>
                <w:sz w:val="21"/>
              </w:rPr>
            </w:pPr>
          </w:p>
        </w:tc>
        <w:tc>
          <w:tcPr>
            <w:tcW w:w="331" w:type="pct"/>
            <w:vAlign w:val="center"/>
          </w:tcPr>
          <w:p w14:paraId="0D5788A3"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r>
      <w:tr w:rsidR="00E67914" w:rsidRPr="00E67914" w14:paraId="6A280859" w14:textId="77777777" w:rsidTr="00E57FF1">
        <w:trPr>
          <w:trHeight w:val="18"/>
          <w:jc w:val="center"/>
        </w:trPr>
        <w:tc>
          <w:tcPr>
            <w:tcW w:w="295" w:type="pct"/>
            <w:vMerge/>
            <w:vAlign w:val="center"/>
          </w:tcPr>
          <w:p w14:paraId="0B2F83DB" w14:textId="77777777" w:rsidR="00E57FF1" w:rsidRPr="00E67914" w:rsidRDefault="00E57FF1" w:rsidP="00E57FF1">
            <w:pPr>
              <w:jc w:val="center"/>
              <w:rPr>
                <w:rFonts w:ascii="Times New Roman" w:hAnsi="Times New Roman"/>
                <w:kern w:val="2"/>
                <w:sz w:val="21"/>
              </w:rPr>
            </w:pPr>
          </w:p>
        </w:tc>
        <w:tc>
          <w:tcPr>
            <w:tcW w:w="809" w:type="pct"/>
            <w:vAlign w:val="center"/>
          </w:tcPr>
          <w:p w14:paraId="38E22421"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植被</w:t>
            </w:r>
          </w:p>
        </w:tc>
        <w:tc>
          <w:tcPr>
            <w:tcW w:w="335" w:type="pct"/>
            <w:vAlign w:val="center"/>
          </w:tcPr>
          <w:p w14:paraId="5690C8F9" w14:textId="77777777" w:rsidR="00E57FF1" w:rsidRPr="00E67914" w:rsidRDefault="00E57FF1" w:rsidP="00E57FF1">
            <w:pPr>
              <w:jc w:val="center"/>
              <w:rPr>
                <w:rFonts w:ascii="Times New Roman" w:hAnsi="Times New Roman"/>
                <w:kern w:val="2"/>
                <w:sz w:val="21"/>
              </w:rPr>
            </w:pPr>
          </w:p>
        </w:tc>
        <w:tc>
          <w:tcPr>
            <w:tcW w:w="335" w:type="pct"/>
            <w:vAlign w:val="center"/>
          </w:tcPr>
          <w:p w14:paraId="0B7AE123"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041BA5AE" w14:textId="77777777" w:rsidR="00E57FF1" w:rsidRPr="00E67914" w:rsidRDefault="00E57FF1" w:rsidP="00E57FF1">
            <w:pPr>
              <w:jc w:val="center"/>
              <w:rPr>
                <w:rFonts w:ascii="Times New Roman" w:hAnsi="Times New Roman"/>
                <w:kern w:val="2"/>
                <w:sz w:val="21"/>
              </w:rPr>
            </w:pPr>
          </w:p>
        </w:tc>
        <w:tc>
          <w:tcPr>
            <w:tcW w:w="290" w:type="pct"/>
            <w:vAlign w:val="center"/>
          </w:tcPr>
          <w:p w14:paraId="33AFACE6"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7588BF3B" w14:textId="77777777" w:rsidR="00E57FF1" w:rsidRPr="00E67914" w:rsidRDefault="00E57FF1" w:rsidP="00E57FF1">
            <w:pPr>
              <w:jc w:val="center"/>
              <w:rPr>
                <w:rFonts w:ascii="Times New Roman" w:hAnsi="Times New Roman"/>
                <w:kern w:val="2"/>
                <w:sz w:val="21"/>
              </w:rPr>
            </w:pPr>
          </w:p>
        </w:tc>
        <w:tc>
          <w:tcPr>
            <w:tcW w:w="260" w:type="pct"/>
            <w:vAlign w:val="center"/>
          </w:tcPr>
          <w:p w14:paraId="1A1D25CF" w14:textId="77777777" w:rsidR="00E57FF1" w:rsidRPr="00E67914" w:rsidRDefault="00E57FF1" w:rsidP="00E57FF1">
            <w:pPr>
              <w:jc w:val="center"/>
              <w:rPr>
                <w:rFonts w:ascii="Times New Roman" w:hAnsi="Times New Roman"/>
                <w:kern w:val="2"/>
                <w:sz w:val="21"/>
              </w:rPr>
            </w:pPr>
          </w:p>
        </w:tc>
        <w:tc>
          <w:tcPr>
            <w:tcW w:w="337" w:type="pct"/>
            <w:vAlign w:val="center"/>
          </w:tcPr>
          <w:p w14:paraId="6B4034E9" w14:textId="77777777" w:rsidR="00E57FF1" w:rsidRPr="00E67914" w:rsidRDefault="00E57FF1" w:rsidP="00E57FF1">
            <w:pPr>
              <w:jc w:val="center"/>
              <w:rPr>
                <w:rFonts w:ascii="Times New Roman" w:hAnsi="Times New Roman"/>
                <w:kern w:val="2"/>
                <w:sz w:val="21"/>
              </w:rPr>
            </w:pPr>
          </w:p>
        </w:tc>
        <w:tc>
          <w:tcPr>
            <w:tcW w:w="339" w:type="pct"/>
            <w:vAlign w:val="center"/>
          </w:tcPr>
          <w:p w14:paraId="193AD020" w14:textId="77777777" w:rsidR="00E57FF1" w:rsidRPr="00E67914" w:rsidRDefault="00E57FF1" w:rsidP="00E57FF1">
            <w:pPr>
              <w:jc w:val="center"/>
              <w:rPr>
                <w:rFonts w:ascii="Times New Roman" w:hAnsi="Times New Roman"/>
                <w:kern w:val="2"/>
                <w:sz w:val="21"/>
              </w:rPr>
            </w:pPr>
          </w:p>
        </w:tc>
        <w:tc>
          <w:tcPr>
            <w:tcW w:w="339" w:type="pct"/>
            <w:vAlign w:val="center"/>
          </w:tcPr>
          <w:p w14:paraId="004F0A4F" w14:textId="77777777" w:rsidR="00E57FF1" w:rsidRPr="00E67914" w:rsidRDefault="00E57FF1" w:rsidP="00E57FF1">
            <w:pPr>
              <w:jc w:val="center"/>
              <w:rPr>
                <w:rFonts w:ascii="Times New Roman" w:hAnsi="Times New Roman"/>
                <w:kern w:val="2"/>
                <w:sz w:val="21"/>
              </w:rPr>
            </w:pPr>
          </w:p>
        </w:tc>
        <w:tc>
          <w:tcPr>
            <w:tcW w:w="337" w:type="pct"/>
            <w:vAlign w:val="center"/>
          </w:tcPr>
          <w:p w14:paraId="734B3264"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7" w:type="pct"/>
            <w:vAlign w:val="center"/>
          </w:tcPr>
          <w:p w14:paraId="26D9214A" w14:textId="77777777" w:rsidR="00E57FF1" w:rsidRPr="00E67914" w:rsidRDefault="00E57FF1" w:rsidP="00E57FF1">
            <w:pPr>
              <w:jc w:val="center"/>
              <w:rPr>
                <w:rFonts w:ascii="Times New Roman" w:hAnsi="Times New Roman"/>
                <w:kern w:val="2"/>
                <w:sz w:val="21"/>
              </w:rPr>
            </w:pPr>
          </w:p>
        </w:tc>
        <w:tc>
          <w:tcPr>
            <w:tcW w:w="331" w:type="pct"/>
            <w:vAlign w:val="center"/>
          </w:tcPr>
          <w:p w14:paraId="72DED897"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r>
      <w:tr w:rsidR="00E67914" w:rsidRPr="00E67914" w14:paraId="06E7E3CF" w14:textId="77777777" w:rsidTr="00E57FF1">
        <w:trPr>
          <w:trHeight w:val="18"/>
          <w:jc w:val="center"/>
        </w:trPr>
        <w:tc>
          <w:tcPr>
            <w:tcW w:w="295" w:type="pct"/>
            <w:vMerge/>
            <w:vAlign w:val="center"/>
          </w:tcPr>
          <w:p w14:paraId="1CD522F7" w14:textId="77777777" w:rsidR="00E57FF1" w:rsidRPr="00E67914" w:rsidRDefault="00E57FF1" w:rsidP="00E57FF1">
            <w:pPr>
              <w:jc w:val="center"/>
              <w:rPr>
                <w:rFonts w:ascii="Times New Roman" w:hAnsi="Times New Roman"/>
                <w:kern w:val="2"/>
                <w:sz w:val="21"/>
              </w:rPr>
            </w:pPr>
          </w:p>
        </w:tc>
        <w:tc>
          <w:tcPr>
            <w:tcW w:w="809" w:type="pct"/>
            <w:vAlign w:val="center"/>
          </w:tcPr>
          <w:p w14:paraId="37AB0F09"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水土流失</w:t>
            </w:r>
          </w:p>
        </w:tc>
        <w:tc>
          <w:tcPr>
            <w:tcW w:w="335" w:type="pct"/>
            <w:vAlign w:val="center"/>
          </w:tcPr>
          <w:p w14:paraId="386C93AD" w14:textId="77777777" w:rsidR="00E57FF1" w:rsidRPr="00E67914" w:rsidRDefault="00E57FF1" w:rsidP="00E57FF1">
            <w:pPr>
              <w:jc w:val="center"/>
              <w:rPr>
                <w:rFonts w:ascii="Times New Roman" w:hAnsi="Times New Roman"/>
                <w:kern w:val="2"/>
                <w:sz w:val="21"/>
              </w:rPr>
            </w:pPr>
          </w:p>
        </w:tc>
        <w:tc>
          <w:tcPr>
            <w:tcW w:w="335" w:type="pct"/>
            <w:vAlign w:val="center"/>
          </w:tcPr>
          <w:p w14:paraId="386A31A9"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5CFFE3C1" w14:textId="77777777" w:rsidR="00E57FF1" w:rsidRPr="00E67914" w:rsidRDefault="00E57FF1" w:rsidP="00E57FF1">
            <w:pPr>
              <w:jc w:val="center"/>
              <w:rPr>
                <w:rFonts w:ascii="Times New Roman" w:hAnsi="Times New Roman"/>
                <w:kern w:val="2"/>
                <w:sz w:val="21"/>
              </w:rPr>
            </w:pPr>
          </w:p>
        </w:tc>
        <w:tc>
          <w:tcPr>
            <w:tcW w:w="290" w:type="pct"/>
            <w:vAlign w:val="center"/>
          </w:tcPr>
          <w:p w14:paraId="5FD14844"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7ACE3AC8" w14:textId="77777777" w:rsidR="00E57FF1" w:rsidRPr="00E67914" w:rsidRDefault="00E57FF1" w:rsidP="00E57FF1">
            <w:pPr>
              <w:jc w:val="center"/>
              <w:rPr>
                <w:rFonts w:ascii="Times New Roman" w:hAnsi="Times New Roman"/>
                <w:kern w:val="2"/>
                <w:sz w:val="21"/>
              </w:rPr>
            </w:pPr>
          </w:p>
        </w:tc>
        <w:tc>
          <w:tcPr>
            <w:tcW w:w="260" w:type="pct"/>
            <w:vAlign w:val="center"/>
          </w:tcPr>
          <w:p w14:paraId="54B201F1" w14:textId="77777777" w:rsidR="00E57FF1" w:rsidRPr="00E67914" w:rsidRDefault="00E57FF1" w:rsidP="00E57FF1">
            <w:pPr>
              <w:jc w:val="center"/>
              <w:rPr>
                <w:rFonts w:ascii="Times New Roman" w:hAnsi="Times New Roman"/>
                <w:kern w:val="2"/>
                <w:sz w:val="21"/>
              </w:rPr>
            </w:pPr>
          </w:p>
        </w:tc>
        <w:tc>
          <w:tcPr>
            <w:tcW w:w="337" w:type="pct"/>
            <w:vAlign w:val="center"/>
          </w:tcPr>
          <w:p w14:paraId="4C015AFC" w14:textId="77777777" w:rsidR="00E57FF1" w:rsidRPr="00E67914" w:rsidRDefault="00E57FF1" w:rsidP="00E57FF1">
            <w:pPr>
              <w:jc w:val="center"/>
              <w:rPr>
                <w:rFonts w:ascii="Times New Roman" w:hAnsi="Times New Roman"/>
                <w:kern w:val="2"/>
                <w:sz w:val="21"/>
              </w:rPr>
            </w:pPr>
          </w:p>
        </w:tc>
        <w:tc>
          <w:tcPr>
            <w:tcW w:w="339" w:type="pct"/>
            <w:vAlign w:val="center"/>
          </w:tcPr>
          <w:p w14:paraId="6B0C469E" w14:textId="77777777" w:rsidR="00E57FF1" w:rsidRPr="00E67914" w:rsidRDefault="00E57FF1" w:rsidP="00E57FF1">
            <w:pPr>
              <w:jc w:val="center"/>
              <w:rPr>
                <w:rFonts w:ascii="Times New Roman" w:hAnsi="Times New Roman"/>
                <w:kern w:val="2"/>
                <w:sz w:val="21"/>
              </w:rPr>
            </w:pPr>
          </w:p>
        </w:tc>
        <w:tc>
          <w:tcPr>
            <w:tcW w:w="339" w:type="pct"/>
            <w:vAlign w:val="center"/>
          </w:tcPr>
          <w:p w14:paraId="50FE09C4" w14:textId="77777777" w:rsidR="00E57FF1" w:rsidRPr="00E67914" w:rsidRDefault="00E57FF1" w:rsidP="00E57FF1">
            <w:pPr>
              <w:jc w:val="center"/>
              <w:rPr>
                <w:rFonts w:ascii="Times New Roman" w:hAnsi="Times New Roman"/>
                <w:kern w:val="2"/>
                <w:sz w:val="21"/>
              </w:rPr>
            </w:pPr>
          </w:p>
        </w:tc>
        <w:tc>
          <w:tcPr>
            <w:tcW w:w="337" w:type="pct"/>
            <w:vAlign w:val="center"/>
          </w:tcPr>
          <w:p w14:paraId="3CC99379" w14:textId="77777777" w:rsidR="00E57FF1" w:rsidRPr="00E67914" w:rsidRDefault="00E57FF1" w:rsidP="00E57FF1">
            <w:pPr>
              <w:jc w:val="center"/>
              <w:rPr>
                <w:rFonts w:ascii="Times New Roman" w:hAnsi="Times New Roman"/>
                <w:kern w:val="2"/>
                <w:sz w:val="21"/>
              </w:rPr>
            </w:pPr>
          </w:p>
        </w:tc>
        <w:tc>
          <w:tcPr>
            <w:tcW w:w="337" w:type="pct"/>
            <w:vAlign w:val="center"/>
          </w:tcPr>
          <w:p w14:paraId="1C2B58AF" w14:textId="77777777" w:rsidR="00E57FF1" w:rsidRPr="00E67914" w:rsidRDefault="00E57FF1" w:rsidP="00E57FF1">
            <w:pPr>
              <w:jc w:val="center"/>
              <w:rPr>
                <w:rFonts w:ascii="Times New Roman" w:hAnsi="Times New Roman"/>
                <w:kern w:val="2"/>
                <w:sz w:val="21"/>
              </w:rPr>
            </w:pPr>
          </w:p>
        </w:tc>
        <w:tc>
          <w:tcPr>
            <w:tcW w:w="331" w:type="pct"/>
            <w:vAlign w:val="center"/>
          </w:tcPr>
          <w:p w14:paraId="45F5EF3D" w14:textId="77777777" w:rsidR="00E57FF1" w:rsidRPr="00E67914" w:rsidRDefault="00E57FF1" w:rsidP="00E57FF1">
            <w:pPr>
              <w:jc w:val="center"/>
              <w:rPr>
                <w:rFonts w:ascii="Times New Roman" w:hAnsi="Times New Roman"/>
                <w:kern w:val="2"/>
                <w:sz w:val="21"/>
              </w:rPr>
            </w:pPr>
          </w:p>
        </w:tc>
      </w:tr>
      <w:tr w:rsidR="00E67914" w:rsidRPr="00E67914" w14:paraId="2C76214E" w14:textId="77777777" w:rsidTr="00E57FF1">
        <w:trPr>
          <w:trHeight w:val="18"/>
          <w:jc w:val="center"/>
        </w:trPr>
        <w:tc>
          <w:tcPr>
            <w:tcW w:w="295" w:type="pct"/>
            <w:vMerge/>
            <w:vAlign w:val="center"/>
          </w:tcPr>
          <w:p w14:paraId="091B3E37" w14:textId="77777777" w:rsidR="00E57FF1" w:rsidRPr="00E67914" w:rsidRDefault="00E57FF1" w:rsidP="00E57FF1">
            <w:pPr>
              <w:jc w:val="center"/>
              <w:rPr>
                <w:rFonts w:ascii="Times New Roman" w:hAnsi="Times New Roman"/>
                <w:kern w:val="2"/>
                <w:sz w:val="21"/>
              </w:rPr>
            </w:pPr>
          </w:p>
        </w:tc>
        <w:tc>
          <w:tcPr>
            <w:tcW w:w="809" w:type="pct"/>
            <w:vAlign w:val="center"/>
          </w:tcPr>
          <w:p w14:paraId="752E786D"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土地利用</w:t>
            </w:r>
          </w:p>
        </w:tc>
        <w:tc>
          <w:tcPr>
            <w:tcW w:w="335" w:type="pct"/>
            <w:vAlign w:val="center"/>
          </w:tcPr>
          <w:p w14:paraId="12CEF37F" w14:textId="77777777" w:rsidR="00E57FF1" w:rsidRPr="00E67914" w:rsidRDefault="00E57FF1" w:rsidP="00E57FF1">
            <w:pPr>
              <w:jc w:val="center"/>
              <w:rPr>
                <w:rFonts w:ascii="Times New Roman" w:hAnsi="Times New Roman"/>
                <w:kern w:val="2"/>
                <w:sz w:val="21"/>
              </w:rPr>
            </w:pPr>
          </w:p>
        </w:tc>
        <w:tc>
          <w:tcPr>
            <w:tcW w:w="335" w:type="pct"/>
            <w:vAlign w:val="center"/>
          </w:tcPr>
          <w:p w14:paraId="28601964"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35" w:type="pct"/>
            <w:vAlign w:val="center"/>
          </w:tcPr>
          <w:p w14:paraId="09BAEB65" w14:textId="77777777" w:rsidR="00E57FF1" w:rsidRPr="00E67914" w:rsidRDefault="00E57FF1" w:rsidP="00E57FF1">
            <w:pPr>
              <w:jc w:val="center"/>
              <w:rPr>
                <w:rFonts w:ascii="Times New Roman" w:hAnsi="Times New Roman"/>
                <w:kern w:val="2"/>
                <w:sz w:val="21"/>
              </w:rPr>
            </w:pPr>
          </w:p>
        </w:tc>
        <w:tc>
          <w:tcPr>
            <w:tcW w:w="290" w:type="pct"/>
            <w:vAlign w:val="center"/>
          </w:tcPr>
          <w:p w14:paraId="62E541E7" w14:textId="77777777" w:rsidR="00E57FF1" w:rsidRPr="00E67914" w:rsidRDefault="00E57FF1" w:rsidP="00E57FF1">
            <w:pPr>
              <w:jc w:val="center"/>
              <w:rPr>
                <w:rFonts w:ascii="Times New Roman" w:hAnsi="Times New Roman"/>
                <w:kern w:val="2"/>
                <w:sz w:val="21"/>
              </w:rPr>
            </w:pPr>
            <w:r w:rsidRPr="00E67914">
              <w:rPr>
                <w:rFonts w:ascii="Times New Roman" w:hAnsi="Times New Roman"/>
                <w:kern w:val="2"/>
                <w:sz w:val="21"/>
              </w:rPr>
              <w:t>√</w:t>
            </w:r>
          </w:p>
        </w:tc>
        <w:tc>
          <w:tcPr>
            <w:tcW w:w="322" w:type="pct"/>
            <w:vAlign w:val="center"/>
          </w:tcPr>
          <w:p w14:paraId="101E2E50" w14:textId="77777777" w:rsidR="00E57FF1" w:rsidRPr="00E67914" w:rsidRDefault="00E57FF1" w:rsidP="00E57FF1">
            <w:pPr>
              <w:jc w:val="center"/>
              <w:rPr>
                <w:rFonts w:ascii="Times New Roman" w:hAnsi="Times New Roman"/>
                <w:kern w:val="2"/>
                <w:sz w:val="21"/>
              </w:rPr>
            </w:pPr>
          </w:p>
        </w:tc>
        <w:tc>
          <w:tcPr>
            <w:tcW w:w="260" w:type="pct"/>
            <w:vAlign w:val="center"/>
          </w:tcPr>
          <w:p w14:paraId="70E35C0C" w14:textId="77777777" w:rsidR="00E57FF1" w:rsidRPr="00E67914" w:rsidRDefault="00E57FF1" w:rsidP="00E57FF1">
            <w:pPr>
              <w:jc w:val="center"/>
              <w:rPr>
                <w:rFonts w:ascii="Times New Roman" w:hAnsi="Times New Roman"/>
                <w:kern w:val="2"/>
                <w:sz w:val="21"/>
              </w:rPr>
            </w:pPr>
          </w:p>
        </w:tc>
        <w:tc>
          <w:tcPr>
            <w:tcW w:w="337" w:type="pct"/>
            <w:vAlign w:val="center"/>
          </w:tcPr>
          <w:p w14:paraId="5D4F1FE9" w14:textId="77777777" w:rsidR="00E57FF1" w:rsidRPr="00E67914" w:rsidRDefault="00E57FF1" w:rsidP="00E57FF1">
            <w:pPr>
              <w:jc w:val="center"/>
              <w:rPr>
                <w:rFonts w:ascii="Times New Roman" w:hAnsi="Times New Roman"/>
                <w:kern w:val="2"/>
                <w:sz w:val="21"/>
              </w:rPr>
            </w:pPr>
          </w:p>
        </w:tc>
        <w:tc>
          <w:tcPr>
            <w:tcW w:w="339" w:type="pct"/>
            <w:vAlign w:val="center"/>
          </w:tcPr>
          <w:p w14:paraId="3F8808AF" w14:textId="77777777" w:rsidR="00E57FF1" w:rsidRPr="00E67914" w:rsidRDefault="00E57FF1" w:rsidP="00E57FF1">
            <w:pPr>
              <w:jc w:val="center"/>
              <w:rPr>
                <w:rFonts w:ascii="Times New Roman" w:hAnsi="Times New Roman"/>
                <w:kern w:val="2"/>
                <w:sz w:val="21"/>
              </w:rPr>
            </w:pPr>
          </w:p>
        </w:tc>
        <w:tc>
          <w:tcPr>
            <w:tcW w:w="339" w:type="pct"/>
            <w:vAlign w:val="center"/>
          </w:tcPr>
          <w:p w14:paraId="60C1EFA6" w14:textId="77777777" w:rsidR="00E57FF1" w:rsidRPr="00E67914" w:rsidRDefault="00E57FF1" w:rsidP="00E57FF1">
            <w:pPr>
              <w:jc w:val="center"/>
              <w:rPr>
                <w:rFonts w:ascii="Times New Roman" w:hAnsi="Times New Roman"/>
                <w:kern w:val="2"/>
                <w:sz w:val="21"/>
              </w:rPr>
            </w:pPr>
          </w:p>
        </w:tc>
        <w:tc>
          <w:tcPr>
            <w:tcW w:w="337" w:type="pct"/>
            <w:vAlign w:val="center"/>
          </w:tcPr>
          <w:p w14:paraId="0B13977D" w14:textId="77777777" w:rsidR="00E57FF1" w:rsidRPr="00E67914" w:rsidRDefault="00E57FF1" w:rsidP="00E57FF1">
            <w:pPr>
              <w:jc w:val="center"/>
              <w:rPr>
                <w:rFonts w:ascii="Times New Roman" w:hAnsi="Times New Roman"/>
                <w:kern w:val="2"/>
                <w:sz w:val="21"/>
              </w:rPr>
            </w:pPr>
          </w:p>
        </w:tc>
        <w:tc>
          <w:tcPr>
            <w:tcW w:w="337" w:type="pct"/>
            <w:vAlign w:val="center"/>
          </w:tcPr>
          <w:p w14:paraId="09A74445" w14:textId="77777777" w:rsidR="00E57FF1" w:rsidRPr="00E67914" w:rsidRDefault="00E57FF1" w:rsidP="00E57FF1">
            <w:pPr>
              <w:jc w:val="center"/>
              <w:rPr>
                <w:rFonts w:ascii="Times New Roman" w:hAnsi="Times New Roman"/>
                <w:kern w:val="2"/>
                <w:sz w:val="21"/>
              </w:rPr>
            </w:pPr>
          </w:p>
        </w:tc>
        <w:tc>
          <w:tcPr>
            <w:tcW w:w="331" w:type="pct"/>
            <w:vAlign w:val="center"/>
          </w:tcPr>
          <w:p w14:paraId="70F2C4D5" w14:textId="77777777" w:rsidR="00E57FF1" w:rsidRPr="00E67914" w:rsidRDefault="00E57FF1" w:rsidP="00E57FF1">
            <w:pPr>
              <w:jc w:val="center"/>
              <w:rPr>
                <w:rFonts w:ascii="Times New Roman" w:hAnsi="Times New Roman"/>
                <w:kern w:val="2"/>
                <w:sz w:val="21"/>
              </w:rPr>
            </w:pPr>
          </w:p>
        </w:tc>
      </w:tr>
    </w:tbl>
    <w:p w14:paraId="58A77E1A"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根据表</w:t>
      </w:r>
      <w:r w:rsidRPr="00E67914">
        <w:rPr>
          <w:rFonts w:ascii="Times New Roman" w:hAnsi="Times New Roman"/>
          <w:bCs/>
          <w:kern w:val="2"/>
          <w:sz w:val="24"/>
          <w:szCs w:val="24"/>
          <w:lang w:eastAsia="zh-CN"/>
        </w:rPr>
        <w:t>2.4-1</w:t>
      </w:r>
      <w:r w:rsidRPr="00E67914">
        <w:rPr>
          <w:rFonts w:ascii="Times New Roman" w:hAnsi="Times New Roman"/>
          <w:bCs/>
          <w:kern w:val="2"/>
          <w:sz w:val="24"/>
          <w:szCs w:val="24"/>
          <w:lang w:eastAsia="zh-CN"/>
        </w:rPr>
        <w:t>和表</w:t>
      </w:r>
      <w:r w:rsidRPr="00E67914">
        <w:rPr>
          <w:rFonts w:ascii="Times New Roman" w:hAnsi="Times New Roman"/>
          <w:bCs/>
          <w:kern w:val="2"/>
          <w:sz w:val="24"/>
          <w:szCs w:val="24"/>
          <w:lang w:eastAsia="zh-CN"/>
        </w:rPr>
        <w:t>2.4-2</w:t>
      </w:r>
      <w:r w:rsidRPr="00E67914">
        <w:rPr>
          <w:rFonts w:ascii="Times New Roman" w:hAnsi="Times New Roman"/>
          <w:bCs/>
          <w:kern w:val="2"/>
          <w:sz w:val="24"/>
          <w:szCs w:val="24"/>
          <w:lang w:eastAsia="zh-CN"/>
        </w:rPr>
        <w:t>的分析结果可知，就环境影响因子影响而言，拟建工程主要影响生态环境。</w:t>
      </w:r>
    </w:p>
    <w:p w14:paraId="2C9D96BE" w14:textId="77777777" w:rsidR="00A54A8A" w:rsidRPr="00E67914" w:rsidRDefault="00000000">
      <w:pPr>
        <w:pStyle w:val="3"/>
        <w:spacing w:beforeLines="50" w:before="156"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2.4.2</w:t>
      </w:r>
      <w:r w:rsidRPr="00E67914">
        <w:rPr>
          <w:rFonts w:ascii="Times New Roman" w:eastAsia="黑体" w:hAnsi="Times New Roman"/>
          <w:b w:val="0"/>
          <w:sz w:val="24"/>
          <w:szCs w:val="24"/>
          <w:lang w:eastAsia="zh-CN"/>
        </w:rPr>
        <w:t>评价因子筛选</w:t>
      </w:r>
    </w:p>
    <w:p w14:paraId="34ACD50F"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根据工程环境影响要素识别结果，确定环境质量现状、影响评价的主要评价分析因子如下：</w:t>
      </w:r>
    </w:p>
    <w:p w14:paraId="657678B6"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2.4-3  </w:t>
      </w:r>
      <w:r w:rsidRPr="00E67914">
        <w:rPr>
          <w:rFonts w:ascii="Times New Roman" w:eastAsia="黑体" w:hAnsi="Times New Roman"/>
          <w:sz w:val="21"/>
          <w:szCs w:val="21"/>
          <w:lang w:eastAsia="zh-CN"/>
        </w:rPr>
        <w:t>评价因子筛选表</w:t>
      </w:r>
    </w:p>
    <w:tbl>
      <w:tblPr>
        <w:tblStyle w:val="affa"/>
        <w:tblW w:w="8222" w:type="dxa"/>
        <w:jc w:val="center"/>
        <w:tblLayout w:type="fixed"/>
        <w:tblLook w:val="04A0" w:firstRow="1" w:lastRow="0" w:firstColumn="1" w:lastColumn="0" w:noHBand="0" w:noVBand="1"/>
      </w:tblPr>
      <w:tblGrid>
        <w:gridCol w:w="1090"/>
        <w:gridCol w:w="5001"/>
        <w:gridCol w:w="2131"/>
      </w:tblGrid>
      <w:tr w:rsidR="00E67914" w:rsidRPr="00E67914" w14:paraId="7450405C" w14:textId="77777777" w:rsidTr="00314DA1">
        <w:trPr>
          <w:jc w:val="center"/>
        </w:trPr>
        <w:tc>
          <w:tcPr>
            <w:tcW w:w="1090" w:type="dxa"/>
            <w:vAlign w:val="center"/>
          </w:tcPr>
          <w:p w14:paraId="0D01DD46"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环境要素</w:t>
            </w:r>
          </w:p>
        </w:tc>
        <w:tc>
          <w:tcPr>
            <w:tcW w:w="5001" w:type="dxa"/>
            <w:vAlign w:val="center"/>
          </w:tcPr>
          <w:p w14:paraId="1B928346"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现状评价因子</w:t>
            </w:r>
          </w:p>
        </w:tc>
        <w:tc>
          <w:tcPr>
            <w:tcW w:w="2131" w:type="dxa"/>
            <w:vAlign w:val="center"/>
          </w:tcPr>
          <w:p w14:paraId="5EC2DAC9"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影响评价因子</w:t>
            </w:r>
          </w:p>
        </w:tc>
      </w:tr>
      <w:tr w:rsidR="00E67914" w:rsidRPr="00E67914" w14:paraId="1D1DAD1A" w14:textId="77777777" w:rsidTr="00314DA1">
        <w:trPr>
          <w:jc w:val="center"/>
        </w:trPr>
        <w:tc>
          <w:tcPr>
            <w:tcW w:w="1090" w:type="dxa"/>
            <w:vAlign w:val="center"/>
          </w:tcPr>
          <w:p w14:paraId="45C2067A"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环境空气</w:t>
            </w:r>
          </w:p>
        </w:tc>
        <w:tc>
          <w:tcPr>
            <w:tcW w:w="5001" w:type="dxa"/>
            <w:vAlign w:val="center"/>
          </w:tcPr>
          <w:p w14:paraId="3F7F564E"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PM</w:t>
            </w:r>
            <w:r w:rsidRPr="00E67914">
              <w:rPr>
                <w:rFonts w:ascii="Times New Roman" w:hAnsi="Times New Roman"/>
                <w:sz w:val="21"/>
                <w:szCs w:val="21"/>
                <w:vertAlign w:val="subscript"/>
                <w:lang w:eastAsia="zh-CN"/>
              </w:rPr>
              <w:t>10</w:t>
            </w:r>
            <w:r w:rsidRPr="00E67914">
              <w:rPr>
                <w:rFonts w:ascii="Times New Roman" w:hAnsi="Times New Roman"/>
                <w:sz w:val="21"/>
                <w:szCs w:val="21"/>
                <w:lang w:eastAsia="zh-CN"/>
              </w:rPr>
              <w:t>、</w:t>
            </w:r>
            <w:r w:rsidRPr="00E67914">
              <w:rPr>
                <w:rFonts w:ascii="Times New Roman" w:hAnsi="Times New Roman"/>
                <w:sz w:val="21"/>
                <w:szCs w:val="21"/>
                <w:lang w:eastAsia="zh-CN"/>
              </w:rPr>
              <w:t>PM</w:t>
            </w:r>
            <w:r w:rsidRPr="00E67914">
              <w:rPr>
                <w:rFonts w:ascii="Times New Roman" w:hAnsi="Times New Roman"/>
                <w:sz w:val="21"/>
                <w:szCs w:val="21"/>
                <w:vertAlign w:val="subscript"/>
                <w:lang w:eastAsia="zh-CN"/>
              </w:rPr>
              <w:t>2.5</w:t>
            </w:r>
            <w:r w:rsidRPr="00E67914">
              <w:rPr>
                <w:rFonts w:ascii="Times New Roman" w:hAnsi="Times New Roman"/>
                <w:sz w:val="21"/>
                <w:szCs w:val="21"/>
                <w:lang w:eastAsia="zh-CN"/>
              </w:rPr>
              <w:t>、</w:t>
            </w:r>
            <w:r w:rsidRPr="00E67914">
              <w:rPr>
                <w:rFonts w:ascii="Times New Roman" w:hAnsi="Times New Roman"/>
                <w:sz w:val="21"/>
                <w:szCs w:val="21"/>
                <w:lang w:eastAsia="zh-CN"/>
              </w:rPr>
              <w:t>SO</w:t>
            </w:r>
            <w:r w:rsidRPr="00E67914">
              <w:rPr>
                <w:rFonts w:ascii="Times New Roman" w:hAnsi="Times New Roman"/>
                <w:sz w:val="21"/>
                <w:szCs w:val="21"/>
                <w:vertAlign w:val="subscript"/>
                <w:lang w:eastAsia="zh-CN"/>
              </w:rPr>
              <w:t>2</w:t>
            </w:r>
            <w:r w:rsidRPr="00E67914">
              <w:rPr>
                <w:rFonts w:ascii="Times New Roman" w:hAnsi="Times New Roman"/>
                <w:sz w:val="21"/>
                <w:szCs w:val="21"/>
                <w:lang w:eastAsia="zh-CN"/>
              </w:rPr>
              <w:t>、</w:t>
            </w:r>
            <w:r w:rsidRPr="00E67914">
              <w:rPr>
                <w:rFonts w:ascii="Times New Roman" w:hAnsi="Times New Roman"/>
                <w:sz w:val="21"/>
                <w:szCs w:val="21"/>
                <w:lang w:eastAsia="zh-CN"/>
              </w:rPr>
              <w:t>NO</w:t>
            </w:r>
            <w:r w:rsidRPr="00E67914">
              <w:rPr>
                <w:rFonts w:ascii="Times New Roman" w:hAnsi="Times New Roman"/>
                <w:sz w:val="21"/>
                <w:szCs w:val="21"/>
                <w:vertAlign w:val="subscript"/>
                <w:lang w:eastAsia="zh-CN"/>
              </w:rPr>
              <w:t>X</w:t>
            </w:r>
            <w:r w:rsidRPr="00E67914">
              <w:rPr>
                <w:rFonts w:ascii="Times New Roman" w:hAnsi="Times New Roman"/>
                <w:sz w:val="21"/>
                <w:szCs w:val="21"/>
                <w:lang w:eastAsia="zh-CN"/>
              </w:rPr>
              <w:t>、</w:t>
            </w:r>
            <w:r w:rsidRPr="00E67914">
              <w:rPr>
                <w:rFonts w:ascii="Times New Roman" w:hAnsi="Times New Roman"/>
                <w:sz w:val="21"/>
                <w:szCs w:val="21"/>
                <w:lang w:eastAsia="zh-CN"/>
              </w:rPr>
              <w:t>CO</w:t>
            </w:r>
            <w:r w:rsidRPr="00E67914">
              <w:rPr>
                <w:rFonts w:ascii="Times New Roman" w:hAnsi="Times New Roman"/>
                <w:sz w:val="21"/>
                <w:szCs w:val="21"/>
                <w:lang w:eastAsia="zh-CN"/>
              </w:rPr>
              <w:t>、</w:t>
            </w:r>
            <w:r w:rsidRPr="00E67914">
              <w:rPr>
                <w:rFonts w:ascii="Times New Roman" w:hAnsi="Times New Roman"/>
                <w:sz w:val="21"/>
                <w:szCs w:val="21"/>
                <w:lang w:eastAsia="zh-CN"/>
              </w:rPr>
              <w:t>O</w:t>
            </w:r>
            <w:r w:rsidRPr="00E67914">
              <w:rPr>
                <w:rFonts w:ascii="Times New Roman" w:hAnsi="Times New Roman"/>
                <w:sz w:val="21"/>
                <w:szCs w:val="21"/>
                <w:vertAlign w:val="subscript"/>
                <w:lang w:eastAsia="zh-CN"/>
              </w:rPr>
              <w:t>3</w:t>
            </w:r>
            <w:r w:rsidRPr="00E67914">
              <w:rPr>
                <w:rFonts w:ascii="Times New Roman" w:hAnsi="Times New Roman"/>
                <w:kern w:val="2"/>
                <w:sz w:val="21"/>
                <w:szCs w:val="21"/>
                <w:lang w:eastAsia="zh-CN"/>
              </w:rPr>
              <w:t>、</w:t>
            </w:r>
            <w:r w:rsidRPr="00E67914">
              <w:rPr>
                <w:rFonts w:ascii="Times New Roman" w:hAnsi="Times New Roman"/>
                <w:kern w:val="2"/>
                <w:sz w:val="21"/>
                <w:szCs w:val="21"/>
              </w:rPr>
              <w:t>H</w:t>
            </w:r>
            <w:r w:rsidRPr="00E67914">
              <w:rPr>
                <w:rFonts w:ascii="Times New Roman" w:hAnsi="Times New Roman"/>
                <w:kern w:val="2"/>
                <w:sz w:val="21"/>
                <w:szCs w:val="21"/>
                <w:vertAlign w:val="subscript"/>
              </w:rPr>
              <w:t>2</w:t>
            </w:r>
            <w:r w:rsidRPr="00E67914">
              <w:rPr>
                <w:rFonts w:ascii="Times New Roman" w:hAnsi="Times New Roman"/>
                <w:kern w:val="2"/>
                <w:sz w:val="21"/>
                <w:szCs w:val="21"/>
              </w:rPr>
              <w:t>S</w:t>
            </w:r>
            <w:r w:rsidRPr="00E67914">
              <w:rPr>
                <w:rFonts w:ascii="Times New Roman" w:hAnsi="Times New Roman"/>
                <w:kern w:val="2"/>
                <w:sz w:val="21"/>
                <w:szCs w:val="21"/>
              </w:rPr>
              <w:t>、非甲烷总烃</w:t>
            </w:r>
          </w:p>
        </w:tc>
        <w:tc>
          <w:tcPr>
            <w:tcW w:w="2131" w:type="dxa"/>
            <w:vAlign w:val="center"/>
          </w:tcPr>
          <w:p w14:paraId="131EBBF7" w14:textId="0ACB9C20"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颗粒物</w:t>
            </w:r>
            <w:r w:rsidR="00A9536E" w:rsidRPr="00E67914">
              <w:rPr>
                <w:rFonts w:ascii="Times New Roman" w:hAnsi="Times New Roman"/>
                <w:sz w:val="21"/>
                <w:szCs w:val="21"/>
                <w:lang w:eastAsia="zh-CN"/>
              </w:rPr>
              <w:t>、</w:t>
            </w:r>
            <w:r w:rsidR="00A9536E" w:rsidRPr="00E67914">
              <w:rPr>
                <w:rFonts w:ascii="Times New Roman" w:hAnsi="Times New Roman"/>
                <w:sz w:val="21"/>
                <w:szCs w:val="21"/>
                <w:lang w:eastAsia="zh-CN"/>
              </w:rPr>
              <w:t>SO</w:t>
            </w:r>
            <w:r w:rsidR="00A9536E" w:rsidRPr="00E67914">
              <w:rPr>
                <w:rFonts w:ascii="Times New Roman" w:hAnsi="Times New Roman"/>
                <w:sz w:val="21"/>
                <w:szCs w:val="21"/>
                <w:vertAlign w:val="subscript"/>
                <w:lang w:eastAsia="zh-CN"/>
              </w:rPr>
              <w:t>2</w:t>
            </w:r>
            <w:r w:rsidRPr="00E67914">
              <w:rPr>
                <w:rFonts w:ascii="Times New Roman" w:hAnsi="Times New Roman"/>
                <w:sz w:val="21"/>
                <w:szCs w:val="21"/>
                <w:lang w:eastAsia="zh-CN"/>
              </w:rPr>
              <w:t>、</w:t>
            </w:r>
            <w:r w:rsidRPr="00E67914">
              <w:rPr>
                <w:rFonts w:ascii="Times New Roman" w:hAnsi="Times New Roman"/>
                <w:sz w:val="21"/>
                <w:szCs w:val="21"/>
                <w:lang w:eastAsia="zh-CN"/>
              </w:rPr>
              <w:t>NO</w:t>
            </w:r>
            <w:r w:rsidRPr="00E67914">
              <w:rPr>
                <w:rFonts w:ascii="Times New Roman" w:hAnsi="Times New Roman"/>
                <w:sz w:val="21"/>
                <w:szCs w:val="21"/>
                <w:vertAlign w:val="subscript"/>
                <w:lang w:eastAsia="zh-CN"/>
              </w:rPr>
              <w:t>X</w:t>
            </w:r>
            <w:r w:rsidRPr="00E67914">
              <w:rPr>
                <w:rFonts w:ascii="Times New Roman" w:hAnsi="Times New Roman"/>
                <w:sz w:val="21"/>
                <w:szCs w:val="21"/>
                <w:lang w:eastAsia="zh-CN"/>
              </w:rPr>
              <w:t>、</w:t>
            </w:r>
            <w:r w:rsidRPr="00E67914">
              <w:rPr>
                <w:rFonts w:ascii="Times New Roman" w:hAnsi="Times New Roman"/>
                <w:kern w:val="2"/>
                <w:sz w:val="21"/>
                <w:szCs w:val="21"/>
                <w:lang w:eastAsia="zh-CN"/>
              </w:rPr>
              <w:t>非甲烷总烃</w:t>
            </w:r>
          </w:p>
        </w:tc>
      </w:tr>
      <w:tr w:rsidR="00E67914" w:rsidRPr="00E67914" w14:paraId="0E55B8EB" w14:textId="77777777" w:rsidTr="00314DA1">
        <w:trPr>
          <w:jc w:val="center"/>
        </w:trPr>
        <w:tc>
          <w:tcPr>
            <w:tcW w:w="1090" w:type="dxa"/>
            <w:vAlign w:val="center"/>
          </w:tcPr>
          <w:p w14:paraId="16868508"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地表水</w:t>
            </w:r>
          </w:p>
        </w:tc>
        <w:tc>
          <w:tcPr>
            <w:tcW w:w="5001" w:type="dxa"/>
            <w:vAlign w:val="center"/>
          </w:tcPr>
          <w:p w14:paraId="41AA3B6E"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pH</w:t>
            </w:r>
            <w:r w:rsidRPr="00E67914">
              <w:rPr>
                <w:rFonts w:ascii="Times New Roman" w:hAnsi="Times New Roman"/>
                <w:sz w:val="21"/>
                <w:szCs w:val="21"/>
                <w:lang w:eastAsia="zh-CN"/>
              </w:rPr>
              <w:t>、氯化物、</w:t>
            </w:r>
            <w:r w:rsidRPr="00E67914">
              <w:rPr>
                <w:rFonts w:ascii="Times New Roman" w:hAnsi="Times New Roman"/>
                <w:sz w:val="21"/>
                <w:szCs w:val="21"/>
                <w:lang w:eastAsia="zh-CN"/>
              </w:rPr>
              <w:t>CODCr</w:t>
            </w:r>
            <w:r w:rsidRPr="00E67914">
              <w:rPr>
                <w:rFonts w:ascii="Times New Roman" w:hAnsi="Times New Roman"/>
                <w:sz w:val="21"/>
                <w:szCs w:val="21"/>
                <w:lang w:eastAsia="zh-CN"/>
              </w:rPr>
              <w:t>、</w:t>
            </w:r>
            <w:r w:rsidRPr="00E67914">
              <w:rPr>
                <w:rFonts w:ascii="Times New Roman" w:hAnsi="Times New Roman"/>
                <w:sz w:val="21"/>
                <w:szCs w:val="21"/>
                <w:lang w:eastAsia="zh-CN"/>
              </w:rPr>
              <w:t>BOD</w:t>
            </w:r>
            <w:r w:rsidRPr="00E67914">
              <w:rPr>
                <w:rFonts w:ascii="Times New Roman" w:hAnsi="Times New Roman"/>
                <w:sz w:val="21"/>
                <w:szCs w:val="21"/>
                <w:vertAlign w:val="subscript"/>
                <w:lang w:eastAsia="zh-CN"/>
              </w:rPr>
              <w:t>5</w:t>
            </w:r>
            <w:r w:rsidRPr="00E67914">
              <w:rPr>
                <w:rFonts w:ascii="Times New Roman" w:hAnsi="Times New Roman"/>
                <w:sz w:val="21"/>
                <w:szCs w:val="21"/>
                <w:lang w:eastAsia="zh-CN"/>
              </w:rPr>
              <w:t>、</w:t>
            </w:r>
            <w:r w:rsidRPr="00E67914">
              <w:rPr>
                <w:rFonts w:ascii="Times New Roman" w:hAnsi="Times New Roman"/>
                <w:sz w:val="21"/>
                <w:szCs w:val="21"/>
                <w:lang w:eastAsia="zh-CN"/>
              </w:rPr>
              <w:t>NH</w:t>
            </w:r>
            <w:r w:rsidRPr="00E67914">
              <w:rPr>
                <w:rFonts w:ascii="Times New Roman" w:hAnsi="Times New Roman"/>
                <w:sz w:val="21"/>
                <w:szCs w:val="21"/>
                <w:vertAlign w:val="subscript"/>
                <w:lang w:eastAsia="zh-CN"/>
              </w:rPr>
              <w:t>3</w:t>
            </w:r>
            <w:r w:rsidRPr="00E67914">
              <w:rPr>
                <w:rFonts w:ascii="Times New Roman" w:hAnsi="Times New Roman"/>
                <w:sz w:val="21"/>
                <w:szCs w:val="21"/>
                <w:lang w:eastAsia="zh-CN"/>
              </w:rPr>
              <w:t>-N</w:t>
            </w:r>
            <w:r w:rsidRPr="00E67914">
              <w:rPr>
                <w:rFonts w:ascii="Times New Roman" w:hAnsi="Times New Roman"/>
                <w:sz w:val="21"/>
                <w:szCs w:val="21"/>
                <w:lang w:eastAsia="zh-CN"/>
              </w:rPr>
              <w:t>、挥发酚、石油类、六价铬、</w:t>
            </w:r>
            <w:r w:rsidRPr="00E67914">
              <w:rPr>
                <w:rFonts w:ascii="Times New Roman" w:hAnsi="Times New Roman"/>
                <w:sz w:val="21"/>
                <w:szCs w:val="21"/>
                <w:lang w:eastAsia="zh-CN"/>
              </w:rPr>
              <w:t>S</w:t>
            </w:r>
            <w:r w:rsidRPr="00E67914">
              <w:rPr>
                <w:rFonts w:ascii="Times New Roman" w:hAnsi="Times New Roman"/>
                <w:sz w:val="21"/>
                <w:szCs w:val="21"/>
                <w:vertAlign w:val="superscript"/>
                <w:lang w:eastAsia="zh-CN"/>
              </w:rPr>
              <w:t>2-</w:t>
            </w:r>
          </w:p>
        </w:tc>
        <w:tc>
          <w:tcPr>
            <w:tcW w:w="2131" w:type="dxa"/>
            <w:vAlign w:val="center"/>
          </w:tcPr>
          <w:p w14:paraId="3AB6B54A"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（进行污水处理设施依托可行性分析）</w:t>
            </w:r>
          </w:p>
        </w:tc>
      </w:tr>
      <w:tr w:rsidR="00E67914" w:rsidRPr="00E67914" w14:paraId="7C4C705D" w14:textId="77777777" w:rsidTr="00314DA1">
        <w:trPr>
          <w:jc w:val="center"/>
        </w:trPr>
        <w:tc>
          <w:tcPr>
            <w:tcW w:w="1090" w:type="dxa"/>
            <w:vAlign w:val="center"/>
          </w:tcPr>
          <w:p w14:paraId="09A3CB78"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地下水</w:t>
            </w:r>
          </w:p>
        </w:tc>
        <w:tc>
          <w:tcPr>
            <w:tcW w:w="5001" w:type="dxa"/>
            <w:vAlign w:val="center"/>
          </w:tcPr>
          <w:p w14:paraId="6BC161A1"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K</w:t>
            </w:r>
            <w:r w:rsidRPr="00E67914">
              <w:rPr>
                <w:rFonts w:ascii="Times New Roman" w:hAnsi="Times New Roman"/>
                <w:sz w:val="21"/>
                <w:szCs w:val="21"/>
                <w:vertAlign w:val="superscript"/>
                <w:lang w:eastAsia="zh-CN"/>
              </w:rPr>
              <w:t>+</w:t>
            </w:r>
            <w:r w:rsidRPr="00E67914">
              <w:rPr>
                <w:rFonts w:ascii="Times New Roman" w:hAnsi="Times New Roman"/>
                <w:sz w:val="21"/>
                <w:szCs w:val="21"/>
                <w:lang w:eastAsia="zh-CN"/>
              </w:rPr>
              <w:t>、</w:t>
            </w:r>
            <w:r w:rsidRPr="00E67914">
              <w:rPr>
                <w:rFonts w:ascii="Times New Roman" w:hAnsi="Times New Roman"/>
                <w:sz w:val="21"/>
                <w:szCs w:val="21"/>
                <w:lang w:eastAsia="zh-CN"/>
              </w:rPr>
              <w:t>Na</w:t>
            </w:r>
            <w:r w:rsidRPr="00E67914">
              <w:rPr>
                <w:rFonts w:ascii="Times New Roman" w:hAnsi="Times New Roman"/>
                <w:sz w:val="21"/>
                <w:szCs w:val="21"/>
                <w:vertAlign w:val="superscript"/>
                <w:lang w:eastAsia="zh-CN"/>
              </w:rPr>
              <w:t>+</w:t>
            </w:r>
            <w:r w:rsidRPr="00E67914">
              <w:rPr>
                <w:rFonts w:ascii="Times New Roman" w:hAnsi="Times New Roman"/>
                <w:sz w:val="21"/>
                <w:szCs w:val="21"/>
                <w:lang w:eastAsia="zh-CN"/>
              </w:rPr>
              <w:t>、</w:t>
            </w:r>
            <w:r w:rsidRPr="00E67914">
              <w:rPr>
                <w:rFonts w:ascii="Times New Roman" w:hAnsi="Times New Roman"/>
                <w:sz w:val="21"/>
                <w:szCs w:val="21"/>
                <w:lang w:eastAsia="zh-CN"/>
              </w:rPr>
              <w:t>Ca</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w:t>
            </w:r>
            <w:r w:rsidRPr="00E67914">
              <w:rPr>
                <w:rFonts w:ascii="Times New Roman" w:hAnsi="Times New Roman"/>
                <w:sz w:val="21"/>
                <w:szCs w:val="21"/>
                <w:lang w:eastAsia="zh-CN"/>
              </w:rPr>
              <w:t>Mg</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w:t>
            </w:r>
            <w:r w:rsidRPr="00E67914">
              <w:rPr>
                <w:rFonts w:ascii="Times New Roman" w:hAnsi="Times New Roman"/>
                <w:sz w:val="21"/>
                <w:szCs w:val="21"/>
                <w:lang w:eastAsia="zh-CN"/>
              </w:rPr>
              <w:t>CO</w:t>
            </w:r>
            <w:r w:rsidRPr="00E67914">
              <w:rPr>
                <w:rFonts w:ascii="Times New Roman" w:hAnsi="Times New Roman"/>
                <w:sz w:val="21"/>
                <w:szCs w:val="21"/>
                <w:vertAlign w:val="subscript"/>
                <w:lang w:eastAsia="zh-CN"/>
              </w:rPr>
              <w:t>3</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w:t>
            </w:r>
            <w:r w:rsidRPr="00E67914">
              <w:rPr>
                <w:rFonts w:ascii="Times New Roman" w:hAnsi="Times New Roman"/>
                <w:sz w:val="21"/>
                <w:szCs w:val="21"/>
                <w:lang w:eastAsia="zh-CN"/>
              </w:rPr>
              <w:t>HCO</w:t>
            </w:r>
            <w:r w:rsidRPr="00E67914">
              <w:rPr>
                <w:rFonts w:ascii="Times New Roman" w:hAnsi="Times New Roman"/>
                <w:sz w:val="21"/>
                <w:szCs w:val="21"/>
                <w:vertAlign w:val="subscript"/>
                <w:lang w:eastAsia="zh-CN"/>
              </w:rPr>
              <w:t>3</w:t>
            </w:r>
            <w:r w:rsidRPr="00E67914">
              <w:rPr>
                <w:rFonts w:ascii="Times New Roman" w:hAnsi="Times New Roman"/>
                <w:sz w:val="21"/>
                <w:szCs w:val="21"/>
                <w:vertAlign w:val="superscript"/>
                <w:lang w:eastAsia="zh-CN"/>
              </w:rPr>
              <w:t>-</w:t>
            </w:r>
            <w:r w:rsidRPr="00E67914">
              <w:rPr>
                <w:rFonts w:ascii="Times New Roman" w:hAnsi="Times New Roman"/>
                <w:sz w:val="21"/>
                <w:szCs w:val="21"/>
                <w:lang w:eastAsia="zh-CN"/>
              </w:rPr>
              <w:t>、</w:t>
            </w:r>
            <w:r w:rsidRPr="00E67914">
              <w:rPr>
                <w:rFonts w:ascii="Times New Roman" w:hAnsi="Times New Roman"/>
                <w:sz w:val="21"/>
                <w:szCs w:val="21"/>
                <w:lang w:eastAsia="zh-CN"/>
              </w:rPr>
              <w:t>Cl</w:t>
            </w:r>
            <w:r w:rsidRPr="00E67914">
              <w:rPr>
                <w:rFonts w:ascii="Times New Roman" w:hAnsi="Times New Roman"/>
                <w:sz w:val="21"/>
                <w:szCs w:val="21"/>
                <w:vertAlign w:val="superscript"/>
                <w:lang w:eastAsia="zh-CN"/>
              </w:rPr>
              <w:t>-</w:t>
            </w:r>
            <w:r w:rsidRPr="00E67914">
              <w:rPr>
                <w:rFonts w:ascii="Times New Roman" w:hAnsi="Times New Roman"/>
                <w:sz w:val="21"/>
                <w:szCs w:val="21"/>
                <w:lang w:eastAsia="zh-CN"/>
              </w:rPr>
              <w:t>、</w:t>
            </w:r>
            <w:r w:rsidRPr="00E67914">
              <w:rPr>
                <w:rFonts w:ascii="Times New Roman" w:hAnsi="Times New Roman"/>
                <w:sz w:val="21"/>
                <w:szCs w:val="21"/>
                <w:lang w:eastAsia="zh-CN"/>
              </w:rPr>
              <w:t>SO</w:t>
            </w:r>
            <w:r w:rsidRPr="00E67914">
              <w:rPr>
                <w:rFonts w:ascii="Times New Roman" w:hAnsi="Times New Roman"/>
                <w:sz w:val="21"/>
                <w:szCs w:val="21"/>
                <w:vertAlign w:val="subscript"/>
                <w:lang w:eastAsia="zh-CN"/>
              </w:rPr>
              <w:t>4</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w:t>
            </w:r>
            <w:r w:rsidRPr="00E67914">
              <w:rPr>
                <w:rFonts w:ascii="Times New Roman" w:hAnsi="Times New Roman"/>
                <w:sz w:val="21"/>
                <w:szCs w:val="21"/>
                <w:lang w:eastAsia="zh-CN"/>
              </w:rPr>
              <w:t>pH</w:t>
            </w:r>
            <w:r w:rsidRPr="00E67914">
              <w:rPr>
                <w:rFonts w:ascii="Times New Roman" w:hAnsi="Times New Roman"/>
                <w:sz w:val="21"/>
                <w:szCs w:val="21"/>
                <w:lang w:eastAsia="zh-CN"/>
              </w:rPr>
              <w:t>、氨氮、硝酸盐、亚硝酸盐、挥发性酚类、氰化物、砷、汞、铬</w:t>
            </w:r>
            <w:r w:rsidRPr="00E67914">
              <w:rPr>
                <w:rFonts w:ascii="Times New Roman" w:hAnsi="Times New Roman"/>
                <w:sz w:val="21"/>
                <w:szCs w:val="21"/>
                <w:lang w:eastAsia="zh-CN"/>
              </w:rPr>
              <w:t>(</w:t>
            </w:r>
            <w:r w:rsidRPr="00E67914">
              <w:rPr>
                <w:rFonts w:ascii="Times New Roman" w:hAnsi="Times New Roman"/>
                <w:sz w:val="21"/>
                <w:szCs w:val="21"/>
                <w:lang w:eastAsia="zh-CN"/>
              </w:rPr>
              <w:t>六价</w:t>
            </w:r>
            <w:r w:rsidRPr="00E67914">
              <w:rPr>
                <w:rFonts w:ascii="Times New Roman" w:hAnsi="Times New Roman"/>
                <w:sz w:val="21"/>
                <w:szCs w:val="21"/>
                <w:lang w:eastAsia="zh-CN"/>
              </w:rPr>
              <w:t>)</w:t>
            </w:r>
            <w:r w:rsidRPr="00E67914">
              <w:rPr>
                <w:rFonts w:ascii="Times New Roman" w:hAnsi="Times New Roman"/>
                <w:sz w:val="21"/>
                <w:szCs w:val="21"/>
                <w:lang w:eastAsia="zh-CN"/>
              </w:rPr>
              <w:t>、总硬度、铅、氟、镉、铁、锰、溶解性总固体、耗氧量、硫酸盐、总大肠菌群、细菌总数、石油类</w:t>
            </w:r>
          </w:p>
        </w:tc>
        <w:tc>
          <w:tcPr>
            <w:tcW w:w="2131" w:type="dxa"/>
            <w:vAlign w:val="center"/>
          </w:tcPr>
          <w:p w14:paraId="74CB4FAD"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COD</w:t>
            </w:r>
            <w:r w:rsidRPr="00E67914">
              <w:rPr>
                <w:rFonts w:ascii="Times New Roman" w:hAnsi="Times New Roman"/>
                <w:sz w:val="21"/>
                <w:szCs w:val="21"/>
                <w:vertAlign w:val="subscript"/>
                <w:lang w:eastAsia="zh-CN"/>
              </w:rPr>
              <w:t>Mn</w:t>
            </w:r>
            <w:r w:rsidRPr="00E67914">
              <w:rPr>
                <w:rFonts w:ascii="Times New Roman" w:hAnsi="Times New Roman"/>
                <w:sz w:val="21"/>
                <w:szCs w:val="21"/>
                <w:lang w:eastAsia="zh-CN"/>
              </w:rPr>
              <w:t>、石油类、氯化物</w:t>
            </w:r>
          </w:p>
        </w:tc>
      </w:tr>
      <w:tr w:rsidR="00E67914" w:rsidRPr="00E67914" w14:paraId="5C940E9E" w14:textId="77777777" w:rsidTr="00314DA1">
        <w:trPr>
          <w:jc w:val="center"/>
        </w:trPr>
        <w:tc>
          <w:tcPr>
            <w:tcW w:w="1090" w:type="dxa"/>
            <w:vAlign w:val="center"/>
          </w:tcPr>
          <w:p w14:paraId="1B7FA203"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土壤</w:t>
            </w:r>
          </w:p>
        </w:tc>
        <w:tc>
          <w:tcPr>
            <w:tcW w:w="5001" w:type="dxa"/>
            <w:vAlign w:val="center"/>
          </w:tcPr>
          <w:p w14:paraId="0A771B3E" w14:textId="77777777" w:rsidR="00A54A8A" w:rsidRPr="00E67914" w:rsidRDefault="00000000">
            <w:pPr>
              <w:pStyle w:val="af"/>
              <w:tabs>
                <w:tab w:val="left" w:pos="3864"/>
              </w:tabs>
              <w:adjustRightInd w:val="0"/>
              <w:snapToGrid w:val="0"/>
              <w:spacing w:before="0"/>
              <w:ind w:left="0"/>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1</w:t>
            </w:r>
            <w:r w:rsidRPr="00E67914">
              <w:rPr>
                <w:rFonts w:ascii="Times New Roman" w:hAnsi="Times New Roman"/>
                <w:sz w:val="21"/>
                <w:szCs w:val="21"/>
                <w:lang w:eastAsia="zh-CN"/>
              </w:rPr>
              <w:t>）建设用地：</w:t>
            </w:r>
            <w:r w:rsidRPr="00E67914">
              <w:rPr>
                <w:rFonts w:cs="宋体" w:hint="eastAsia"/>
                <w:sz w:val="21"/>
                <w:szCs w:val="21"/>
                <w:lang w:eastAsia="zh-CN"/>
              </w:rPr>
              <w:t>①</w:t>
            </w:r>
            <w:r w:rsidRPr="00E67914">
              <w:rPr>
                <w:rFonts w:ascii="Times New Roman" w:hAnsi="Times New Roman"/>
                <w:sz w:val="21"/>
                <w:szCs w:val="21"/>
                <w:lang w:eastAsia="zh-CN"/>
              </w:rPr>
              <w:t>重金属和无机物：砷、镉、铬（六价）、铜、铅、汞、镍；</w:t>
            </w:r>
            <w:r w:rsidRPr="00E67914">
              <w:rPr>
                <w:rFonts w:cs="宋体" w:hint="eastAsia"/>
                <w:sz w:val="21"/>
                <w:szCs w:val="21"/>
                <w:lang w:eastAsia="zh-CN"/>
              </w:rPr>
              <w:t>②</w:t>
            </w:r>
            <w:r w:rsidRPr="00E67914">
              <w:rPr>
                <w:rFonts w:ascii="Times New Roman" w:hAnsi="Times New Roman"/>
                <w:sz w:val="21"/>
                <w:szCs w:val="21"/>
                <w:lang w:eastAsia="zh-CN"/>
              </w:rPr>
              <w:t>挥发性有机物：四氯化碳、氯仿、氯甲烷、</w:t>
            </w:r>
            <w:r w:rsidRPr="00E67914">
              <w:rPr>
                <w:rFonts w:ascii="Times New Roman" w:hAnsi="Times New Roman"/>
                <w:sz w:val="21"/>
                <w:szCs w:val="21"/>
                <w:lang w:eastAsia="zh-CN"/>
              </w:rPr>
              <w:t>1,1-</w:t>
            </w:r>
            <w:r w:rsidRPr="00E67914">
              <w:rPr>
                <w:rFonts w:ascii="Times New Roman" w:hAnsi="Times New Roman"/>
                <w:sz w:val="21"/>
                <w:szCs w:val="21"/>
                <w:lang w:eastAsia="zh-CN"/>
              </w:rPr>
              <w:t>二氯乙烷、</w:t>
            </w:r>
            <w:r w:rsidRPr="00E67914">
              <w:rPr>
                <w:rFonts w:ascii="Times New Roman" w:hAnsi="Times New Roman"/>
                <w:sz w:val="21"/>
                <w:szCs w:val="21"/>
                <w:lang w:eastAsia="zh-CN"/>
              </w:rPr>
              <w:t>1,2-</w:t>
            </w:r>
            <w:r w:rsidRPr="00E67914">
              <w:rPr>
                <w:rFonts w:ascii="Times New Roman" w:hAnsi="Times New Roman"/>
                <w:sz w:val="21"/>
                <w:szCs w:val="21"/>
                <w:lang w:eastAsia="zh-CN"/>
              </w:rPr>
              <w:t>二氯乙烷、</w:t>
            </w:r>
            <w:r w:rsidRPr="00E67914">
              <w:rPr>
                <w:rFonts w:ascii="Times New Roman" w:hAnsi="Times New Roman"/>
                <w:sz w:val="21"/>
                <w:szCs w:val="21"/>
                <w:lang w:eastAsia="zh-CN"/>
              </w:rPr>
              <w:t>1,1-</w:t>
            </w:r>
            <w:r w:rsidRPr="00E67914">
              <w:rPr>
                <w:rFonts w:ascii="Times New Roman" w:hAnsi="Times New Roman"/>
                <w:sz w:val="21"/>
                <w:szCs w:val="21"/>
                <w:lang w:eastAsia="zh-CN"/>
              </w:rPr>
              <w:t>二氯乙烯、顺</w:t>
            </w:r>
            <w:r w:rsidRPr="00E67914">
              <w:rPr>
                <w:rFonts w:ascii="Times New Roman" w:hAnsi="Times New Roman"/>
                <w:sz w:val="21"/>
                <w:szCs w:val="21"/>
                <w:lang w:eastAsia="zh-CN"/>
              </w:rPr>
              <w:t>-1,2-</w:t>
            </w:r>
            <w:r w:rsidRPr="00E67914">
              <w:rPr>
                <w:rFonts w:ascii="Times New Roman" w:hAnsi="Times New Roman"/>
                <w:sz w:val="21"/>
                <w:szCs w:val="21"/>
                <w:lang w:eastAsia="zh-CN"/>
              </w:rPr>
              <w:t>二氯乙烯、反</w:t>
            </w:r>
            <w:r w:rsidRPr="00E67914">
              <w:rPr>
                <w:rFonts w:ascii="Times New Roman" w:hAnsi="Times New Roman"/>
                <w:sz w:val="21"/>
                <w:szCs w:val="21"/>
                <w:lang w:eastAsia="zh-CN"/>
              </w:rPr>
              <w:t>-1,2-</w:t>
            </w:r>
            <w:r w:rsidRPr="00E67914">
              <w:rPr>
                <w:rFonts w:ascii="Times New Roman" w:hAnsi="Times New Roman"/>
                <w:sz w:val="21"/>
                <w:szCs w:val="21"/>
                <w:lang w:eastAsia="zh-CN"/>
              </w:rPr>
              <w:t>二氯乙烯、二氯甲烷、</w:t>
            </w:r>
            <w:r w:rsidRPr="00E67914">
              <w:rPr>
                <w:rFonts w:ascii="Times New Roman" w:hAnsi="Times New Roman"/>
                <w:sz w:val="21"/>
                <w:szCs w:val="21"/>
                <w:lang w:eastAsia="zh-CN"/>
              </w:rPr>
              <w:t>1,2-</w:t>
            </w:r>
            <w:r w:rsidRPr="00E67914">
              <w:rPr>
                <w:rFonts w:ascii="Times New Roman" w:hAnsi="Times New Roman"/>
                <w:sz w:val="21"/>
                <w:szCs w:val="21"/>
                <w:lang w:eastAsia="zh-CN"/>
              </w:rPr>
              <w:t>二氯丙烷、</w:t>
            </w:r>
            <w:r w:rsidRPr="00E67914">
              <w:rPr>
                <w:rFonts w:ascii="Times New Roman" w:hAnsi="Times New Roman"/>
                <w:sz w:val="21"/>
                <w:szCs w:val="21"/>
                <w:lang w:eastAsia="zh-CN"/>
              </w:rPr>
              <w:t>1,1,1,2-</w:t>
            </w:r>
            <w:r w:rsidRPr="00E67914">
              <w:rPr>
                <w:rFonts w:ascii="Times New Roman" w:hAnsi="Times New Roman"/>
                <w:sz w:val="21"/>
                <w:szCs w:val="21"/>
                <w:lang w:eastAsia="zh-CN"/>
              </w:rPr>
              <w:t>四氯乙烷、</w:t>
            </w:r>
            <w:r w:rsidRPr="00E67914">
              <w:rPr>
                <w:rFonts w:ascii="Times New Roman" w:hAnsi="Times New Roman"/>
                <w:sz w:val="21"/>
                <w:szCs w:val="21"/>
                <w:lang w:eastAsia="zh-CN"/>
              </w:rPr>
              <w:t>1,1,2,2-</w:t>
            </w:r>
            <w:r w:rsidRPr="00E67914">
              <w:rPr>
                <w:rFonts w:ascii="Times New Roman" w:hAnsi="Times New Roman"/>
                <w:sz w:val="21"/>
                <w:szCs w:val="21"/>
                <w:lang w:eastAsia="zh-CN"/>
              </w:rPr>
              <w:t>四氯乙烷、四氯乙烯、</w:t>
            </w:r>
            <w:r w:rsidRPr="00E67914">
              <w:rPr>
                <w:rFonts w:ascii="Times New Roman" w:hAnsi="Times New Roman"/>
                <w:sz w:val="21"/>
                <w:szCs w:val="21"/>
                <w:lang w:eastAsia="zh-CN"/>
              </w:rPr>
              <w:t>1,1,1-</w:t>
            </w:r>
            <w:r w:rsidRPr="00E67914">
              <w:rPr>
                <w:rFonts w:ascii="Times New Roman" w:hAnsi="Times New Roman"/>
                <w:sz w:val="21"/>
                <w:szCs w:val="21"/>
                <w:lang w:eastAsia="zh-CN"/>
              </w:rPr>
              <w:t>三氯乙烷、</w:t>
            </w:r>
            <w:r w:rsidRPr="00E67914">
              <w:rPr>
                <w:rFonts w:ascii="Times New Roman" w:hAnsi="Times New Roman"/>
                <w:sz w:val="21"/>
                <w:szCs w:val="21"/>
                <w:lang w:eastAsia="zh-CN"/>
              </w:rPr>
              <w:t>1,1,2-</w:t>
            </w:r>
            <w:r w:rsidRPr="00E67914">
              <w:rPr>
                <w:rFonts w:ascii="Times New Roman" w:hAnsi="Times New Roman"/>
                <w:sz w:val="21"/>
                <w:szCs w:val="21"/>
                <w:lang w:eastAsia="zh-CN"/>
              </w:rPr>
              <w:t>三氯乙烷、三氯乙烯、</w:t>
            </w:r>
            <w:r w:rsidRPr="00E67914">
              <w:rPr>
                <w:rFonts w:ascii="Times New Roman" w:hAnsi="Times New Roman"/>
                <w:sz w:val="21"/>
                <w:szCs w:val="21"/>
                <w:lang w:eastAsia="zh-CN"/>
              </w:rPr>
              <w:t>1,2,3-</w:t>
            </w:r>
            <w:r w:rsidRPr="00E67914">
              <w:rPr>
                <w:rFonts w:ascii="Times New Roman" w:hAnsi="Times New Roman"/>
                <w:sz w:val="21"/>
                <w:szCs w:val="21"/>
                <w:lang w:eastAsia="zh-CN"/>
              </w:rPr>
              <w:t>三氯丙烷、氯乙烯、苯、氯苯、</w:t>
            </w:r>
            <w:r w:rsidRPr="00E67914">
              <w:rPr>
                <w:rFonts w:ascii="Times New Roman" w:hAnsi="Times New Roman"/>
                <w:sz w:val="21"/>
                <w:szCs w:val="21"/>
                <w:lang w:eastAsia="zh-CN"/>
              </w:rPr>
              <w:t>1,2-</w:t>
            </w:r>
            <w:r w:rsidRPr="00E67914">
              <w:rPr>
                <w:rFonts w:ascii="Times New Roman" w:hAnsi="Times New Roman"/>
                <w:sz w:val="21"/>
                <w:szCs w:val="21"/>
                <w:lang w:eastAsia="zh-CN"/>
              </w:rPr>
              <w:t>二氯苯、</w:t>
            </w:r>
            <w:r w:rsidRPr="00E67914">
              <w:rPr>
                <w:rFonts w:ascii="Times New Roman" w:hAnsi="Times New Roman"/>
                <w:sz w:val="21"/>
                <w:szCs w:val="21"/>
                <w:lang w:eastAsia="zh-CN"/>
              </w:rPr>
              <w:t>1,4-</w:t>
            </w:r>
            <w:r w:rsidRPr="00E67914">
              <w:rPr>
                <w:rFonts w:ascii="Times New Roman" w:hAnsi="Times New Roman"/>
                <w:sz w:val="21"/>
                <w:szCs w:val="21"/>
                <w:lang w:eastAsia="zh-CN"/>
              </w:rPr>
              <w:t>二氯苯、乙苯、苯乙烯、甲苯、间二甲苯</w:t>
            </w:r>
            <w:r w:rsidRPr="00E67914">
              <w:rPr>
                <w:rFonts w:ascii="Times New Roman" w:hAnsi="Times New Roman"/>
                <w:sz w:val="21"/>
                <w:szCs w:val="21"/>
                <w:lang w:eastAsia="zh-CN"/>
              </w:rPr>
              <w:t>+</w:t>
            </w:r>
            <w:r w:rsidRPr="00E67914">
              <w:rPr>
                <w:rFonts w:ascii="Times New Roman" w:hAnsi="Times New Roman"/>
                <w:sz w:val="21"/>
                <w:szCs w:val="21"/>
                <w:lang w:eastAsia="zh-CN"/>
              </w:rPr>
              <w:t>对二甲苯、邻二甲苯；</w:t>
            </w:r>
            <w:r w:rsidRPr="00E67914">
              <w:rPr>
                <w:rFonts w:cs="宋体" w:hint="eastAsia"/>
                <w:sz w:val="21"/>
                <w:szCs w:val="21"/>
                <w:lang w:eastAsia="zh-CN"/>
              </w:rPr>
              <w:t>③</w:t>
            </w:r>
            <w:r w:rsidRPr="00E67914">
              <w:rPr>
                <w:rFonts w:ascii="Times New Roman" w:hAnsi="Times New Roman"/>
                <w:sz w:val="21"/>
                <w:szCs w:val="21"/>
                <w:lang w:eastAsia="zh-CN"/>
              </w:rPr>
              <w:t>半挥发性有机物：硝基苯、苯胺、</w:t>
            </w:r>
            <w:r w:rsidRPr="00E67914">
              <w:rPr>
                <w:rFonts w:ascii="Times New Roman" w:hAnsi="Times New Roman"/>
                <w:sz w:val="21"/>
                <w:szCs w:val="21"/>
                <w:lang w:eastAsia="zh-CN"/>
              </w:rPr>
              <w:t>2-</w:t>
            </w:r>
            <w:r w:rsidRPr="00E67914">
              <w:rPr>
                <w:rFonts w:ascii="Times New Roman" w:hAnsi="Times New Roman"/>
                <w:sz w:val="21"/>
                <w:szCs w:val="21"/>
                <w:lang w:eastAsia="zh-CN"/>
              </w:rPr>
              <w:t>氯酚、苯并〔</w:t>
            </w:r>
            <w:r w:rsidRPr="00E67914">
              <w:rPr>
                <w:rFonts w:ascii="Times New Roman" w:hAnsi="Times New Roman"/>
                <w:sz w:val="21"/>
                <w:szCs w:val="21"/>
                <w:lang w:eastAsia="zh-CN"/>
              </w:rPr>
              <w:t>a</w:t>
            </w:r>
            <w:r w:rsidRPr="00E67914">
              <w:rPr>
                <w:rFonts w:ascii="Times New Roman" w:hAnsi="Times New Roman"/>
                <w:sz w:val="21"/>
                <w:szCs w:val="21"/>
                <w:lang w:eastAsia="zh-CN"/>
              </w:rPr>
              <w:t>〕蒽、苯并〔</w:t>
            </w:r>
            <w:r w:rsidRPr="00E67914">
              <w:rPr>
                <w:rFonts w:ascii="Times New Roman" w:hAnsi="Times New Roman"/>
                <w:sz w:val="21"/>
                <w:szCs w:val="21"/>
                <w:lang w:eastAsia="zh-CN"/>
              </w:rPr>
              <w:t>a</w:t>
            </w:r>
            <w:r w:rsidRPr="00E67914">
              <w:rPr>
                <w:rFonts w:ascii="Times New Roman" w:hAnsi="Times New Roman"/>
                <w:sz w:val="21"/>
                <w:szCs w:val="21"/>
                <w:lang w:eastAsia="zh-CN"/>
              </w:rPr>
              <w:t>〕芘、苯并〔</w:t>
            </w:r>
            <w:r w:rsidRPr="00E67914">
              <w:rPr>
                <w:rFonts w:ascii="Times New Roman" w:hAnsi="Times New Roman"/>
                <w:sz w:val="21"/>
                <w:szCs w:val="21"/>
                <w:lang w:eastAsia="zh-CN"/>
              </w:rPr>
              <w:t>b</w:t>
            </w:r>
            <w:r w:rsidRPr="00E67914">
              <w:rPr>
                <w:rFonts w:ascii="Times New Roman" w:hAnsi="Times New Roman"/>
                <w:sz w:val="21"/>
                <w:szCs w:val="21"/>
                <w:lang w:eastAsia="zh-CN"/>
              </w:rPr>
              <w:t>〕荧蒽、苯并〔</w:t>
            </w:r>
            <w:r w:rsidRPr="00E67914">
              <w:rPr>
                <w:rFonts w:ascii="Times New Roman" w:hAnsi="Times New Roman"/>
                <w:sz w:val="21"/>
                <w:szCs w:val="21"/>
                <w:lang w:eastAsia="zh-CN"/>
              </w:rPr>
              <w:t>k</w:t>
            </w:r>
            <w:r w:rsidRPr="00E67914">
              <w:rPr>
                <w:rFonts w:ascii="Times New Roman" w:hAnsi="Times New Roman"/>
                <w:sz w:val="21"/>
                <w:szCs w:val="21"/>
                <w:lang w:eastAsia="zh-CN"/>
              </w:rPr>
              <w:t>〕荧蒽、䓛、二苯并〔</w:t>
            </w:r>
            <w:r w:rsidRPr="00E67914">
              <w:rPr>
                <w:rFonts w:ascii="Times New Roman" w:hAnsi="Times New Roman"/>
                <w:sz w:val="21"/>
                <w:szCs w:val="21"/>
                <w:lang w:eastAsia="zh-CN"/>
              </w:rPr>
              <w:t>a,h</w:t>
            </w:r>
            <w:r w:rsidRPr="00E67914">
              <w:rPr>
                <w:rFonts w:ascii="Times New Roman" w:hAnsi="Times New Roman"/>
                <w:sz w:val="21"/>
                <w:szCs w:val="21"/>
                <w:lang w:eastAsia="zh-CN"/>
              </w:rPr>
              <w:t>〕蒽、茚并〔</w:t>
            </w:r>
            <w:r w:rsidRPr="00E67914">
              <w:rPr>
                <w:rFonts w:ascii="Times New Roman" w:hAnsi="Times New Roman"/>
                <w:sz w:val="21"/>
                <w:szCs w:val="21"/>
                <w:lang w:eastAsia="zh-CN"/>
              </w:rPr>
              <w:t>1,2,2-cd</w:t>
            </w:r>
            <w:r w:rsidRPr="00E67914">
              <w:rPr>
                <w:rFonts w:ascii="Times New Roman" w:hAnsi="Times New Roman"/>
                <w:sz w:val="21"/>
                <w:szCs w:val="21"/>
                <w:lang w:eastAsia="zh-CN"/>
              </w:rPr>
              <w:t>〕芘、萘。</w:t>
            </w:r>
            <w:r w:rsidRPr="00E67914">
              <w:rPr>
                <w:rFonts w:cs="宋体" w:hint="eastAsia"/>
                <w:sz w:val="21"/>
                <w:szCs w:val="21"/>
                <w:lang w:eastAsia="zh-CN"/>
              </w:rPr>
              <w:t>④</w:t>
            </w:r>
            <w:r w:rsidRPr="00E67914">
              <w:rPr>
                <w:rFonts w:ascii="Times New Roman" w:hAnsi="Times New Roman"/>
                <w:sz w:val="21"/>
                <w:szCs w:val="21"/>
                <w:lang w:eastAsia="zh-CN"/>
              </w:rPr>
              <w:t>特征因子：</w:t>
            </w:r>
            <w:r w:rsidRPr="00E67914">
              <w:rPr>
                <w:rFonts w:ascii="Times New Roman" w:hAnsi="Times New Roman"/>
                <w:sz w:val="21"/>
                <w:szCs w:val="21"/>
                <w:lang w:eastAsia="zh-CN"/>
              </w:rPr>
              <w:t>pH</w:t>
            </w:r>
            <w:r w:rsidRPr="00E67914">
              <w:rPr>
                <w:rFonts w:ascii="Times New Roman" w:hAnsi="Times New Roman"/>
                <w:sz w:val="21"/>
                <w:szCs w:val="21"/>
                <w:lang w:eastAsia="zh-CN"/>
              </w:rPr>
              <w:t>、石油烃、氯化物；</w:t>
            </w:r>
          </w:p>
          <w:p w14:paraId="165CDE4F" w14:textId="77777777" w:rsidR="00A54A8A" w:rsidRPr="00E67914" w:rsidRDefault="00000000">
            <w:pPr>
              <w:pStyle w:val="af"/>
              <w:tabs>
                <w:tab w:val="left" w:pos="3864"/>
              </w:tabs>
              <w:adjustRightInd w:val="0"/>
              <w:snapToGrid w:val="0"/>
              <w:spacing w:before="0"/>
              <w:ind w:left="0"/>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2</w:t>
            </w:r>
            <w:r w:rsidRPr="00E67914">
              <w:rPr>
                <w:rFonts w:ascii="Times New Roman" w:hAnsi="Times New Roman"/>
                <w:sz w:val="21"/>
                <w:szCs w:val="21"/>
                <w:lang w:eastAsia="zh-CN"/>
              </w:rPr>
              <w:t>）农用地：</w:t>
            </w:r>
            <w:r w:rsidRPr="00E67914">
              <w:rPr>
                <w:rFonts w:ascii="Times New Roman" w:hAnsi="Times New Roman"/>
                <w:sz w:val="21"/>
                <w:szCs w:val="21"/>
                <w:lang w:eastAsia="zh-CN"/>
              </w:rPr>
              <w:t>pH</w:t>
            </w:r>
            <w:r w:rsidRPr="00E67914">
              <w:rPr>
                <w:rFonts w:ascii="Times New Roman" w:hAnsi="Times New Roman"/>
                <w:sz w:val="21"/>
                <w:szCs w:val="21"/>
                <w:lang w:eastAsia="zh-CN"/>
              </w:rPr>
              <w:t>、镉、汞、砷、铅、铬、铜、镍、锌、石油烃、氯化物</w:t>
            </w:r>
          </w:p>
        </w:tc>
        <w:tc>
          <w:tcPr>
            <w:tcW w:w="2131" w:type="dxa"/>
            <w:vAlign w:val="center"/>
          </w:tcPr>
          <w:p w14:paraId="03C94CCD"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（采用定性描述与类比分析）</w:t>
            </w:r>
          </w:p>
        </w:tc>
      </w:tr>
      <w:tr w:rsidR="00E67914" w:rsidRPr="00E67914" w14:paraId="522C70ED" w14:textId="77777777" w:rsidTr="00314DA1">
        <w:trPr>
          <w:jc w:val="center"/>
        </w:trPr>
        <w:tc>
          <w:tcPr>
            <w:tcW w:w="1090" w:type="dxa"/>
            <w:vAlign w:val="center"/>
          </w:tcPr>
          <w:p w14:paraId="37019B71" w14:textId="77777777" w:rsidR="00DE693A" w:rsidRPr="00E67914" w:rsidRDefault="00DE693A" w:rsidP="00DE693A">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声环境</w:t>
            </w:r>
          </w:p>
        </w:tc>
        <w:tc>
          <w:tcPr>
            <w:tcW w:w="5001" w:type="dxa"/>
            <w:vAlign w:val="center"/>
          </w:tcPr>
          <w:p w14:paraId="53B501EF" w14:textId="639AAFC0" w:rsidR="00DE693A" w:rsidRPr="00E67914" w:rsidRDefault="00DE693A" w:rsidP="00DE693A">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等效连续</w:t>
            </w:r>
            <w:r w:rsidRPr="00E67914">
              <w:rPr>
                <w:rFonts w:ascii="Times New Roman" w:hAnsi="Times New Roman"/>
                <w:sz w:val="21"/>
                <w:szCs w:val="21"/>
                <w:lang w:eastAsia="zh-CN"/>
              </w:rPr>
              <w:t>A</w:t>
            </w:r>
            <w:r w:rsidRPr="00E67914">
              <w:rPr>
                <w:rFonts w:ascii="Times New Roman" w:hAnsi="Times New Roman"/>
                <w:sz w:val="21"/>
                <w:szCs w:val="21"/>
                <w:lang w:eastAsia="zh-CN"/>
              </w:rPr>
              <w:t>声级</w:t>
            </w:r>
          </w:p>
        </w:tc>
        <w:tc>
          <w:tcPr>
            <w:tcW w:w="2131" w:type="dxa"/>
            <w:vAlign w:val="center"/>
          </w:tcPr>
          <w:p w14:paraId="62181D64" w14:textId="20D5CD45" w:rsidR="00DE693A" w:rsidRPr="00E67914" w:rsidRDefault="00DE693A" w:rsidP="00DE693A">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等效连续</w:t>
            </w:r>
            <w:r w:rsidRPr="00E67914">
              <w:rPr>
                <w:rFonts w:ascii="Times New Roman" w:hAnsi="Times New Roman"/>
                <w:sz w:val="21"/>
                <w:szCs w:val="21"/>
                <w:lang w:eastAsia="zh-CN"/>
              </w:rPr>
              <w:t>A</w:t>
            </w:r>
            <w:r w:rsidRPr="00E67914">
              <w:rPr>
                <w:rFonts w:ascii="Times New Roman" w:hAnsi="Times New Roman"/>
                <w:sz w:val="21"/>
                <w:szCs w:val="21"/>
                <w:lang w:eastAsia="zh-CN"/>
              </w:rPr>
              <w:t>声级</w:t>
            </w:r>
          </w:p>
        </w:tc>
      </w:tr>
      <w:tr w:rsidR="00E67914" w:rsidRPr="00E67914" w14:paraId="6708280D" w14:textId="77777777" w:rsidTr="00314DA1">
        <w:trPr>
          <w:jc w:val="center"/>
        </w:trPr>
        <w:tc>
          <w:tcPr>
            <w:tcW w:w="1090" w:type="dxa"/>
            <w:vAlign w:val="center"/>
          </w:tcPr>
          <w:p w14:paraId="0DF507A5"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固体废物</w:t>
            </w:r>
          </w:p>
        </w:tc>
        <w:tc>
          <w:tcPr>
            <w:tcW w:w="5001" w:type="dxa"/>
            <w:vAlign w:val="center"/>
          </w:tcPr>
          <w:p w14:paraId="0C330CBA"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131" w:type="dxa"/>
            <w:vAlign w:val="center"/>
          </w:tcPr>
          <w:p w14:paraId="1D7BEF80"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临时土石方、钻井固废、废油、废包装材料、生活垃圾、建筑垃圾</w:t>
            </w:r>
          </w:p>
        </w:tc>
      </w:tr>
      <w:tr w:rsidR="00E67914" w:rsidRPr="00E67914" w14:paraId="2C079DC2" w14:textId="77777777" w:rsidTr="00314DA1">
        <w:trPr>
          <w:jc w:val="center"/>
        </w:trPr>
        <w:tc>
          <w:tcPr>
            <w:tcW w:w="1090" w:type="dxa"/>
            <w:vAlign w:val="center"/>
          </w:tcPr>
          <w:p w14:paraId="3EF557B6"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环境风险</w:t>
            </w:r>
          </w:p>
        </w:tc>
        <w:tc>
          <w:tcPr>
            <w:tcW w:w="5001" w:type="dxa"/>
            <w:vAlign w:val="center"/>
          </w:tcPr>
          <w:p w14:paraId="6532A48D" w14:textId="77777777" w:rsidR="00A54A8A" w:rsidRPr="00E67914" w:rsidRDefault="00000000">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131" w:type="dxa"/>
            <w:vAlign w:val="center"/>
          </w:tcPr>
          <w:p w14:paraId="63EC39BC" w14:textId="77777777" w:rsidR="00DE693A" w:rsidRPr="00E67914" w:rsidRDefault="00DE693A" w:rsidP="00DE693A">
            <w:pPr>
              <w:pStyle w:val="pf0"/>
              <w:adjustRightInd w:val="0"/>
              <w:snapToGrid w:val="0"/>
              <w:spacing w:before="0" w:beforeAutospacing="0" w:after="0" w:afterAutospacing="0"/>
              <w:jc w:val="center"/>
              <w:rPr>
                <w:rFonts w:ascii="Times New Roman" w:hAnsi="Times New Roman" w:cs="Times New Roman"/>
                <w:sz w:val="21"/>
                <w:szCs w:val="21"/>
              </w:rPr>
            </w:pPr>
            <w:r w:rsidRPr="00E67914">
              <w:rPr>
                <w:rFonts w:ascii="Times New Roman" w:hAnsi="Times New Roman" w:cs="Times New Roman"/>
                <w:sz w:val="21"/>
                <w:szCs w:val="21"/>
              </w:rPr>
              <w:t>简单分析：</w:t>
            </w:r>
          </w:p>
          <w:p w14:paraId="7FB83C1A" w14:textId="77777777" w:rsidR="00DE693A" w:rsidRPr="00E67914" w:rsidRDefault="00DE693A" w:rsidP="00DE693A">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涉气风险评价因子：</w:t>
            </w:r>
            <w:r w:rsidRPr="00E67914">
              <w:rPr>
                <w:rFonts w:ascii="Times New Roman" w:hAnsi="Times New Roman"/>
                <w:sz w:val="21"/>
                <w:szCs w:val="21"/>
                <w:lang w:eastAsia="zh-CN"/>
              </w:rPr>
              <w:t>CH</w:t>
            </w:r>
            <w:r w:rsidRPr="00E67914">
              <w:rPr>
                <w:rFonts w:ascii="Times New Roman" w:hAnsi="Times New Roman"/>
                <w:sz w:val="21"/>
                <w:szCs w:val="21"/>
                <w:vertAlign w:val="subscript"/>
                <w:lang w:eastAsia="zh-CN"/>
              </w:rPr>
              <w:t>4</w:t>
            </w:r>
          </w:p>
          <w:p w14:paraId="62DFA158" w14:textId="73723716" w:rsidR="00A54A8A" w:rsidRPr="00E67914" w:rsidRDefault="00DE693A" w:rsidP="00DE693A">
            <w:pPr>
              <w:pStyle w:val="af"/>
              <w:tabs>
                <w:tab w:val="left" w:pos="3864"/>
              </w:tabs>
              <w:adjustRightInd w:val="0"/>
              <w:snapToGrid w:val="0"/>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涉水风险评价因子：</w:t>
            </w:r>
            <w:r w:rsidRPr="00E67914">
              <w:rPr>
                <w:rFonts w:ascii="Times New Roman" w:hAnsi="Times New Roman"/>
                <w:sz w:val="21"/>
                <w:szCs w:val="21"/>
                <w:lang w:eastAsia="zh-CN"/>
              </w:rPr>
              <w:t>COD</w:t>
            </w:r>
            <w:r w:rsidRPr="00E67914">
              <w:rPr>
                <w:rFonts w:ascii="Times New Roman" w:hAnsi="Times New Roman"/>
                <w:sz w:val="21"/>
                <w:szCs w:val="21"/>
                <w:lang w:eastAsia="zh-CN"/>
              </w:rPr>
              <w:t>、氯化物、石油类</w:t>
            </w:r>
          </w:p>
        </w:tc>
      </w:tr>
    </w:tbl>
    <w:p w14:paraId="3B3BF863" w14:textId="6AFABD4B" w:rsidR="00A54A8A" w:rsidRPr="00E67914" w:rsidRDefault="00000000">
      <w:pPr>
        <w:widowControl w:val="0"/>
        <w:adjustRightIn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施工运营期生态环境影响主要表现在施工运营活动对物种、生境、生物群落、自然景观、生态系统、生物多样性等方面的影响。</w:t>
      </w:r>
    </w:p>
    <w:p w14:paraId="06B4D0CD" w14:textId="77777777" w:rsidR="00A54A8A" w:rsidRPr="00E67914" w:rsidRDefault="00000000">
      <w:pPr>
        <w:adjustRightIn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在工程分析和现场调查的基础上，结合本项目的特点，进行项目环境影响识别与评价因子筛选，确定本次评价的重点，生态环境影响因素如下表所示。</w:t>
      </w:r>
    </w:p>
    <w:p w14:paraId="61BAEBFD"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2.4-4 </w:t>
      </w:r>
      <w:r w:rsidRPr="00E67914">
        <w:rPr>
          <w:rFonts w:ascii="Times New Roman" w:eastAsia="黑体" w:hAnsi="Times New Roman"/>
          <w:sz w:val="21"/>
          <w:szCs w:val="21"/>
          <w:lang w:eastAsia="zh-CN"/>
        </w:rPr>
        <w:t>施工期陆生生态影响评价因子筛选表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89"/>
        <w:gridCol w:w="2812"/>
        <w:gridCol w:w="3348"/>
        <w:gridCol w:w="539"/>
        <w:gridCol w:w="508"/>
      </w:tblGrid>
      <w:tr w:rsidR="00E67914" w:rsidRPr="00E67914" w14:paraId="44C63214" w14:textId="77777777">
        <w:trPr>
          <w:trHeight w:val="436"/>
          <w:jc w:val="center"/>
        </w:trPr>
        <w:tc>
          <w:tcPr>
            <w:tcW w:w="656" w:type="pct"/>
            <w:vAlign w:val="center"/>
          </w:tcPr>
          <w:p w14:paraId="5AFC267F"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lastRenderedPageBreak/>
              <w:t>受影响对象</w:t>
            </w:r>
          </w:p>
        </w:tc>
        <w:tc>
          <w:tcPr>
            <w:tcW w:w="1694" w:type="pct"/>
            <w:vAlign w:val="center"/>
          </w:tcPr>
          <w:p w14:paraId="165DAAF5"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评价因子</w:t>
            </w:r>
          </w:p>
        </w:tc>
        <w:tc>
          <w:tcPr>
            <w:tcW w:w="2018" w:type="pct"/>
            <w:vAlign w:val="center"/>
          </w:tcPr>
          <w:p w14:paraId="22744429"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工程内容及影响方式</w:t>
            </w:r>
          </w:p>
        </w:tc>
        <w:tc>
          <w:tcPr>
            <w:tcW w:w="325" w:type="pct"/>
            <w:vAlign w:val="center"/>
          </w:tcPr>
          <w:p w14:paraId="6167937D"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影响性质</w:t>
            </w:r>
          </w:p>
        </w:tc>
        <w:tc>
          <w:tcPr>
            <w:tcW w:w="306" w:type="pct"/>
            <w:vAlign w:val="center"/>
          </w:tcPr>
          <w:p w14:paraId="5D91FDE5"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影响程度</w:t>
            </w:r>
          </w:p>
        </w:tc>
      </w:tr>
      <w:tr w:rsidR="00E67914" w:rsidRPr="00E67914" w14:paraId="60B6C05D" w14:textId="77777777">
        <w:trPr>
          <w:trHeight w:val="414"/>
          <w:jc w:val="center"/>
        </w:trPr>
        <w:tc>
          <w:tcPr>
            <w:tcW w:w="656" w:type="pct"/>
            <w:vAlign w:val="center"/>
          </w:tcPr>
          <w:p w14:paraId="027BF4B9"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物种</w:t>
            </w:r>
          </w:p>
        </w:tc>
        <w:tc>
          <w:tcPr>
            <w:tcW w:w="1694" w:type="pct"/>
            <w:vAlign w:val="center"/>
          </w:tcPr>
          <w:p w14:paraId="68680D4F"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分布范围、种群数量、种群结构、行为等</w:t>
            </w:r>
          </w:p>
        </w:tc>
        <w:tc>
          <w:tcPr>
            <w:tcW w:w="2018" w:type="pct"/>
            <w:vMerge w:val="restart"/>
            <w:vAlign w:val="center"/>
          </w:tcPr>
          <w:p w14:paraId="7AD38111" w14:textId="3C0803B7" w:rsidR="00A54A8A" w:rsidRPr="00E67914" w:rsidRDefault="00902A04">
            <w:pPr>
              <w:adjustRightInd w:val="0"/>
              <w:ind w:firstLineChars="200" w:firstLine="420"/>
              <w:textAlignment w:val="baseline"/>
              <w:rPr>
                <w:rFonts w:ascii="Times New Roman" w:hAnsi="Times New Roman"/>
                <w:bCs/>
                <w:sz w:val="21"/>
                <w:szCs w:val="21"/>
                <w:lang w:eastAsia="zh-CN"/>
              </w:rPr>
            </w:pPr>
            <w:r w:rsidRPr="00E67914">
              <w:rPr>
                <w:rFonts w:ascii="Times New Roman" w:hAnsi="Times New Roman"/>
                <w:bCs/>
                <w:sz w:val="21"/>
                <w:szCs w:val="21"/>
                <w:lang w:eastAsia="zh-CN"/>
              </w:rPr>
              <w:t>钻井、试采与集输等，间接影响；</w:t>
            </w:r>
          </w:p>
          <w:p w14:paraId="1F0B5334" w14:textId="3D915999" w:rsidR="00A54A8A" w:rsidRPr="00E67914" w:rsidRDefault="00000000">
            <w:pPr>
              <w:adjustRightInd w:val="0"/>
              <w:ind w:firstLineChars="200" w:firstLine="420"/>
              <w:textAlignment w:val="baseline"/>
              <w:rPr>
                <w:rFonts w:ascii="Times New Roman" w:hAnsi="Times New Roman"/>
                <w:bCs/>
                <w:sz w:val="21"/>
                <w:szCs w:val="21"/>
                <w:lang w:eastAsia="zh-CN"/>
              </w:rPr>
            </w:pPr>
            <w:r w:rsidRPr="00E67914">
              <w:rPr>
                <w:rFonts w:ascii="Times New Roman" w:hAnsi="Times New Roman"/>
                <w:bCs/>
                <w:sz w:val="21"/>
                <w:szCs w:val="21"/>
                <w:lang w:eastAsia="zh-CN"/>
              </w:rPr>
              <w:t>新增</w:t>
            </w:r>
            <w:r w:rsidR="00902A04" w:rsidRPr="00E67914">
              <w:rPr>
                <w:rFonts w:ascii="Times New Roman" w:hAnsi="Times New Roman"/>
                <w:bCs/>
                <w:sz w:val="21"/>
                <w:szCs w:val="21"/>
                <w:lang w:eastAsia="zh-CN"/>
              </w:rPr>
              <w:t>占地</w:t>
            </w:r>
            <w:r w:rsidRPr="00E67914">
              <w:rPr>
                <w:rFonts w:ascii="Times New Roman" w:hAnsi="Times New Roman"/>
                <w:bCs/>
                <w:sz w:val="21"/>
                <w:szCs w:val="21"/>
                <w:lang w:eastAsia="zh-CN"/>
              </w:rPr>
              <w:t>等，直接影响。</w:t>
            </w:r>
          </w:p>
        </w:tc>
        <w:tc>
          <w:tcPr>
            <w:tcW w:w="325" w:type="pct"/>
            <w:vMerge w:val="restart"/>
            <w:vAlign w:val="center"/>
          </w:tcPr>
          <w:p w14:paraId="1083A645"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短期、可逆</w:t>
            </w:r>
          </w:p>
        </w:tc>
        <w:tc>
          <w:tcPr>
            <w:tcW w:w="306" w:type="pct"/>
            <w:vMerge w:val="restart"/>
            <w:vAlign w:val="center"/>
          </w:tcPr>
          <w:p w14:paraId="258E5745"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弱</w:t>
            </w:r>
          </w:p>
        </w:tc>
      </w:tr>
      <w:tr w:rsidR="00E67914" w:rsidRPr="00E67914" w14:paraId="6868B9FC" w14:textId="77777777">
        <w:trPr>
          <w:trHeight w:val="403"/>
          <w:jc w:val="center"/>
        </w:trPr>
        <w:tc>
          <w:tcPr>
            <w:tcW w:w="656" w:type="pct"/>
            <w:vAlign w:val="center"/>
          </w:tcPr>
          <w:p w14:paraId="5DFEA8DE"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生境</w:t>
            </w:r>
          </w:p>
        </w:tc>
        <w:tc>
          <w:tcPr>
            <w:tcW w:w="1694" w:type="pct"/>
            <w:vAlign w:val="center"/>
          </w:tcPr>
          <w:p w14:paraId="0DA13ADF"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生境面积、质量、连通性等</w:t>
            </w:r>
          </w:p>
        </w:tc>
        <w:tc>
          <w:tcPr>
            <w:tcW w:w="2018" w:type="pct"/>
            <w:vMerge/>
            <w:vAlign w:val="center"/>
          </w:tcPr>
          <w:p w14:paraId="7D5C37E7"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25" w:type="pct"/>
            <w:vMerge/>
            <w:vAlign w:val="center"/>
          </w:tcPr>
          <w:p w14:paraId="55D99047"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1680DB46" w14:textId="77777777" w:rsidR="00A54A8A" w:rsidRPr="00E67914" w:rsidRDefault="00A54A8A">
            <w:pPr>
              <w:adjustRightInd w:val="0"/>
              <w:jc w:val="center"/>
              <w:textAlignment w:val="baseline"/>
              <w:rPr>
                <w:rFonts w:ascii="Times New Roman" w:hAnsi="Times New Roman"/>
                <w:bCs/>
                <w:sz w:val="21"/>
                <w:szCs w:val="21"/>
                <w:lang w:eastAsia="zh-CN"/>
              </w:rPr>
            </w:pPr>
          </w:p>
        </w:tc>
      </w:tr>
      <w:tr w:rsidR="00E67914" w:rsidRPr="00E67914" w14:paraId="121AF9B4" w14:textId="77777777">
        <w:trPr>
          <w:trHeight w:val="402"/>
          <w:jc w:val="center"/>
        </w:trPr>
        <w:tc>
          <w:tcPr>
            <w:tcW w:w="656" w:type="pct"/>
            <w:vAlign w:val="center"/>
          </w:tcPr>
          <w:p w14:paraId="14B3E32C"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生物群落</w:t>
            </w:r>
          </w:p>
        </w:tc>
        <w:tc>
          <w:tcPr>
            <w:tcW w:w="1694" w:type="pct"/>
            <w:vAlign w:val="center"/>
          </w:tcPr>
          <w:p w14:paraId="541ED4AB"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物种组成、群落结构等</w:t>
            </w:r>
          </w:p>
        </w:tc>
        <w:tc>
          <w:tcPr>
            <w:tcW w:w="2018" w:type="pct"/>
            <w:vMerge/>
            <w:vAlign w:val="center"/>
          </w:tcPr>
          <w:p w14:paraId="3DD17B1D"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25" w:type="pct"/>
            <w:vMerge/>
            <w:vAlign w:val="center"/>
          </w:tcPr>
          <w:p w14:paraId="286CDCF5"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7365592D" w14:textId="77777777" w:rsidR="00A54A8A" w:rsidRPr="00E67914" w:rsidRDefault="00A54A8A">
            <w:pPr>
              <w:adjustRightInd w:val="0"/>
              <w:jc w:val="center"/>
              <w:textAlignment w:val="baseline"/>
              <w:rPr>
                <w:rFonts w:ascii="Times New Roman" w:hAnsi="Times New Roman"/>
                <w:bCs/>
                <w:sz w:val="21"/>
                <w:szCs w:val="21"/>
                <w:lang w:eastAsia="zh-CN"/>
              </w:rPr>
            </w:pPr>
          </w:p>
        </w:tc>
      </w:tr>
      <w:tr w:rsidR="00E67914" w:rsidRPr="00E67914" w14:paraId="2671118B" w14:textId="77777777">
        <w:trPr>
          <w:trHeight w:val="403"/>
          <w:jc w:val="center"/>
        </w:trPr>
        <w:tc>
          <w:tcPr>
            <w:tcW w:w="656" w:type="pct"/>
            <w:vAlign w:val="center"/>
          </w:tcPr>
          <w:p w14:paraId="2FEA26AA"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生态系统</w:t>
            </w:r>
          </w:p>
        </w:tc>
        <w:tc>
          <w:tcPr>
            <w:tcW w:w="1694" w:type="pct"/>
            <w:vAlign w:val="center"/>
          </w:tcPr>
          <w:p w14:paraId="44DA0B0B"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植被覆盖度、生产力、生物量、生态系统功能等</w:t>
            </w:r>
          </w:p>
        </w:tc>
        <w:tc>
          <w:tcPr>
            <w:tcW w:w="2018" w:type="pct"/>
            <w:vMerge/>
            <w:vAlign w:val="center"/>
          </w:tcPr>
          <w:p w14:paraId="7BE6832D"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25" w:type="pct"/>
            <w:vMerge/>
            <w:vAlign w:val="center"/>
          </w:tcPr>
          <w:p w14:paraId="554361EA"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15101E8F" w14:textId="77777777" w:rsidR="00A54A8A" w:rsidRPr="00E67914" w:rsidRDefault="00A54A8A">
            <w:pPr>
              <w:adjustRightInd w:val="0"/>
              <w:jc w:val="center"/>
              <w:textAlignment w:val="baseline"/>
              <w:rPr>
                <w:rFonts w:ascii="Times New Roman" w:hAnsi="Times New Roman"/>
                <w:bCs/>
                <w:sz w:val="21"/>
                <w:szCs w:val="21"/>
                <w:lang w:eastAsia="zh-CN"/>
              </w:rPr>
            </w:pPr>
          </w:p>
        </w:tc>
      </w:tr>
      <w:tr w:rsidR="00E67914" w:rsidRPr="00E67914" w14:paraId="6277A6BD" w14:textId="77777777">
        <w:trPr>
          <w:trHeight w:val="402"/>
          <w:jc w:val="center"/>
        </w:trPr>
        <w:tc>
          <w:tcPr>
            <w:tcW w:w="656" w:type="pct"/>
            <w:vAlign w:val="center"/>
          </w:tcPr>
          <w:p w14:paraId="5ABAC0CF"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生物多样性</w:t>
            </w:r>
          </w:p>
        </w:tc>
        <w:tc>
          <w:tcPr>
            <w:tcW w:w="1694" w:type="pct"/>
            <w:vAlign w:val="center"/>
          </w:tcPr>
          <w:p w14:paraId="4983B1B2"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物种丰富度、均匀度、优势度等</w:t>
            </w:r>
          </w:p>
        </w:tc>
        <w:tc>
          <w:tcPr>
            <w:tcW w:w="2018" w:type="pct"/>
            <w:vMerge/>
            <w:vAlign w:val="center"/>
          </w:tcPr>
          <w:p w14:paraId="5C44D41A"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25" w:type="pct"/>
            <w:vMerge/>
            <w:vAlign w:val="center"/>
          </w:tcPr>
          <w:p w14:paraId="5789CC80"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5C772948" w14:textId="77777777" w:rsidR="00A54A8A" w:rsidRPr="00E67914" w:rsidRDefault="00A54A8A">
            <w:pPr>
              <w:adjustRightInd w:val="0"/>
              <w:jc w:val="center"/>
              <w:textAlignment w:val="baseline"/>
              <w:rPr>
                <w:rFonts w:ascii="Times New Roman" w:hAnsi="Times New Roman"/>
                <w:bCs/>
                <w:sz w:val="21"/>
                <w:szCs w:val="21"/>
                <w:lang w:eastAsia="zh-CN"/>
              </w:rPr>
            </w:pPr>
          </w:p>
        </w:tc>
      </w:tr>
      <w:tr w:rsidR="00E67914" w:rsidRPr="00E67914" w14:paraId="2877968B" w14:textId="77777777">
        <w:trPr>
          <w:trHeight w:val="403"/>
          <w:jc w:val="center"/>
        </w:trPr>
        <w:tc>
          <w:tcPr>
            <w:tcW w:w="656" w:type="pct"/>
            <w:vAlign w:val="center"/>
          </w:tcPr>
          <w:p w14:paraId="23449CF8"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自然景观</w:t>
            </w:r>
          </w:p>
        </w:tc>
        <w:tc>
          <w:tcPr>
            <w:tcW w:w="1694" w:type="pct"/>
            <w:vAlign w:val="center"/>
          </w:tcPr>
          <w:p w14:paraId="1A4696AF"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景观多样性、完整性等</w:t>
            </w:r>
          </w:p>
        </w:tc>
        <w:tc>
          <w:tcPr>
            <w:tcW w:w="2018" w:type="pct"/>
            <w:vMerge/>
            <w:vAlign w:val="center"/>
          </w:tcPr>
          <w:p w14:paraId="210F8115"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25" w:type="pct"/>
            <w:vMerge/>
            <w:vAlign w:val="center"/>
          </w:tcPr>
          <w:p w14:paraId="6AD7BD5F"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7188CEEF" w14:textId="77777777" w:rsidR="00A54A8A" w:rsidRPr="00E67914" w:rsidRDefault="00A54A8A">
            <w:pPr>
              <w:adjustRightInd w:val="0"/>
              <w:jc w:val="center"/>
              <w:textAlignment w:val="baseline"/>
              <w:rPr>
                <w:rFonts w:ascii="Times New Roman" w:hAnsi="Times New Roman"/>
                <w:bCs/>
                <w:sz w:val="21"/>
                <w:szCs w:val="21"/>
                <w:lang w:eastAsia="zh-CN"/>
              </w:rPr>
            </w:pPr>
          </w:p>
        </w:tc>
      </w:tr>
    </w:tbl>
    <w:p w14:paraId="0ED725BF"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2.4-5 </w:t>
      </w:r>
      <w:r w:rsidRPr="00E67914">
        <w:rPr>
          <w:rFonts w:ascii="Times New Roman" w:eastAsia="黑体" w:hAnsi="Times New Roman"/>
          <w:sz w:val="21"/>
          <w:szCs w:val="21"/>
          <w:lang w:eastAsia="zh-CN"/>
        </w:rPr>
        <w:t>运营期陆生生态影响评价因子筛选表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75"/>
        <w:gridCol w:w="2841"/>
        <w:gridCol w:w="2895"/>
        <w:gridCol w:w="977"/>
        <w:gridCol w:w="508"/>
      </w:tblGrid>
      <w:tr w:rsidR="00E67914" w:rsidRPr="00E67914" w14:paraId="37B47F41" w14:textId="77777777">
        <w:trPr>
          <w:trHeight w:val="436"/>
          <w:jc w:val="center"/>
        </w:trPr>
        <w:tc>
          <w:tcPr>
            <w:tcW w:w="648" w:type="pct"/>
            <w:vAlign w:val="center"/>
          </w:tcPr>
          <w:p w14:paraId="6ECFBC4B"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受影响对象</w:t>
            </w:r>
          </w:p>
        </w:tc>
        <w:tc>
          <w:tcPr>
            <w:tcW w:w="1712" w:type="pct"/>
            <w:vAlign w:val="center"/>
          </w:tcPr>
          <w:p w14:paraId="32777405"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评价因子</w:t>
            </w:r>
          </w:p>
        </w:tc>
        <w:tc>
          <w:tcPr>
            <w:tcW w:w="1745" w:type="pct"/>
            <w:vAlign w:val="center"/>
          </w:tcPr>
          <w:p w14:paraId="2BAAB783"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工程内容及影响方式</w:t>
            </w:r>
          </w:p>
        </w:tc>
        <w:tc>
          <w:tcPr>
            <w:tcW w:w="589" w:type="pct"/>
            <w:vAlign w:val="center"/>
          </w:tcPr>
          <w:p w14:paraId="4F4EF24F"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影响性质</w:t>
            </w:r>
          </w:p>
        </w:tc>
        <w:tc>
          <w:tcPr>
            <w:tcW w:w="306" w:type="pct"/>
            <w:vAlign w:val="center"/>
          </w:tcPr>
          <w:p w14:paraId="22B292BF"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影响程度</w:t>
            </w:r>
          </w:p>
        </w:tc>
      </w:tr>
      <w:tr w:rsidR="00E67914" w:rsidRPr="00E67914" w14:paraId="30E930BA" w14:textId="77777777">
        <w:trPr>
          <w:trHeight w:val="414"/>
          <w:jc w:val="center"/>
        </w:trPr>
        <w:tc>
          <w:tcPr>
            <w:tcW w:w="648" w:type="pct"/>
            <w:vAlign w:val="center"/>
          </w:tcPr>
          <w:p w14:paraId="2282C099"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物种</w:t>
            </w:r>
          </w:p>
        </w:tc>
        <w:tc>
          <w:tcPr>
            <w:tcW w:w="1712" w:type="pct"/>
            <w:vAlign w:val="center"/>
          </w:tcPr>
          <w:p w14:paraId="0D237B36"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分布范围、种群数量、种群结构、行为等</w:t>
            </w:r>
          </w:p>
        </w:tc>
        <w:tc>
          <w:tcPr>
            <w:tcW w:w="1745" w:type="pct"/>
            <w:vMerge w:val="restart"/>
            <w:vAlign w:val="center"/>
          </w:tcPr>
          <w:p w14:paraId="253A80FD" w14:textId="0B49BB17" w:rsidR="00A54A8A" w:rsidRPr="00E67914" w:rsidRDefault="00DE693A">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利用施工期已征地进行建设，不新增占地，只增加占地时长，运营期产生的影响为间接影响</w:t>
            </w:r>
          </w:p>
        </w:tc>
        <w:tc>
          <w:tcPr>
            <w:tcW w:w="589" w:type="pct"/>
            <w:vMerge w:val="restart"/>
            <w:vAlign w:val="center"/>
          </w:tcPr>
          <w:p w14:paraId="5073307E"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短期、可逆</w:t>
            </w:r>
          </w:p>
        </w:tc>
        <w:tc>
          <w:tcPr>
            <w:tcW w:w="306" w:type="pct"/>
            <w:vMerge w:val="restart"/>
            <w:vAlign w:val="center"/>
          </w:tcPr>
          <w:p w14:paraId="6E182FA8"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弱</w:t>
            </w:r>
          </w:p>
        </w:tc>
      </w:tr>
      <w:tr w:rsidR="00E67914" w:rsidRPr="00E67914" w14:paraId="26C84E8A" w14:textId="77777777">
        <w:trPr>
          <w:trHeight w:val="403"/>
          <w:jc w:val="center"/>
        </w:trPr>
        <w:tc>
          <w:tcPr>
            <w:tcW w:w="648" w:type="pct"/>
            <w:vAlign w:val="center"/>
          </w:tcPr>
          <w:p w14:paraId="7CFF0A3C"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生境</w:t>
            </w:r>
          </w:p>
        </w:tc>
        <w:tc>
          <w:tcPr>
            <w:tcW w:w="1712" w:type="pct"/>
            <w:vAlign w:val="center"/>
          </w:tcPr>
          <w:p w14:paraId="5F38A89D"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生境面积、质量、连通性等</w:t>
            </w:r>
          </w:p>
        </w:tc>
        <w:tc>
          <w:tcPr>
            <w:tcW w:w="1745" w:type="pct"/>
            <w:vMerge/>
            <w:vAlign w:val="center"/>
          </w:tcPr>
          <w:p w14:paraId="1BA982F4"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589" w:type="pct"/>
            <w:vMerge/>
            <w:vAlign w:val="center"/>
          </w:tcPr>
          <w:p w14:paraId="51117E0A"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271D36B4" w14:textId="77777777" w:rsidR="00A54A8A" w:rsidRPr="00E67914" w:rsidRDefault="00A54A8A">
            <w:pPr>
              <w:adjustRightInd w:val="0"/>
              <w:jc w:val="center"/>
              <w:textAlignment w:val="baseline"/>
              <w:rPr>
                <w:rFonts w:ascii="Times New Roman" w:hAnsi="Times New Roman"/>
                <w:bCs/>
                <w:sz w:val="21"/>
                <w:szCs w:val="21"/>
                <w:lang w:eastAsia="zh-CN"/>
              </w:rPr>
            </w:pPr>
          </w:p>
        </w:tc>
      </w:tr>
      <w:tr w:rsidR="00E67914" w:rsidRPr="00E67914" w14:paraId="036489CB" w14:textId="77777777">
        <w:trPr>
          <w:trHeight w:val="402"/>
          <w:jc w:val="center"/>
        </w:trPr>
        <w:tc>
          <w:tcPr>
            <w:tcW w:w="648" w:type="pct"/>
            <w:vAlign w:val="center"/>
          </w:tcPr>
          <w:p w14:paraId="6D79D1FB"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生物群落</w:t>
            </w:r>
          </w:p>
        </w:tc>
        <w:tc>
          <w:tcPr>
            <w:tcW w:w="1712" w:type="pct"/>
            <w:vAlign w:val="center"/>
          </w:tcPr>
          <w:p w14:paraId="75797FD1"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物种组成、群落结构等</w:t>
            </w:r>
          </w:p>
        </w:tc>
        <w:tc>
          <w:tcPr>
            <w:tcW w:w="1745" w:type="pct"/>
            <w:vMerge/>
            <w:vAlign w:val="center"/>
          </w:tcPr>
          <w:p w14:paraId="51297C05"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589" w:type="pct"/>
            <w:vMerge/>
            <w:vAlign w:val="center"/>
          </w:tcPr>
          <w:p w14:paraId="3F87B8D6"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54CACE98" w14:textId="77777777" w:rsidR="00A54A8A" w:rsidRPr="00E67914" w:rsidRDefault="00A54A8A">
            <w:pPr>
              <w:adjustRightInd w:val="0"/>
              <w:jc w:val="center"/>
              <w:textAlignment w:val="baseline"/>
              <w:rPr>
                <w:rFonts w:ascii="Times New Roman" w:hAnsi="Times New Roman"/>
                <w:bCs/>
                <w:sz w:val="21"/>
                <w:szCs w:val="21"/>
                <w:lang w:eastAsia="zh-CN"/>
              </w:rPr>
            </w:pPr>
          </w:p>
        </w:tc>
      </w:tr>
      <w:tr w:rsidR="00E67914" w:rsidRPr="00E67914" w14:paraId="7EFD32F9" w14:textId="77777777">
        <w:trPr>
          <w:trHeight w:val="403"/>
          <w:jc w:val="center"/>
        </w:trPr>
        <w:tc>
          <w:tcPr>
            <w:tcW w:w="648" w:type="pct"/>
            <w:vAlign w:val="center"/>
          </w:tcPr>
          <w:p w14:paraId="4306EBCA"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生态系统</w:t>
            </w:r>
          </w:p>
        </w:tc>
        <w:tc>
          <w:tcPr>
            <w:tcW w:w="1712" w:type="pct"/>
            <w:vAlign w:val="center"/>
          </w:tcPr>
          <w:p w14:paraId="7B908350"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植被覆盖度、生产力、生物量、生态系统功能等</w:t>
            </w:r>
          </w:p>
        </w:tc>
        <w:tc>
          <w:tcPr>
            <w:tcW w:w="1745" w:type="pct"/>
            <w:vMerge/>
            <w:vAlign w:val="center"/>
          </w:tcPr>
          <w:p w14:paraId="720A9995"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589" w:type="pct"/>
            <w:vMerge/>
            <w:vAlign w:val="center"/>
          </w:tcPr>
          <w:p w14:paraId="1BB2DD58"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37E24852" w14:textId="77777777" w:rsidR="00A54A8A" w:rsidRPr="00E67914" w:rsidRDefault="00A54A8A">
            <w:pPr>
              <w:adjustRightInd w:val="0"/>
              <w:jc w:val="center"/>
              <w:textAlignment w:val="baseline"/>
              <w:rPr>
                <w:rFonts w:ascii="Times New Roman" w:hAnsi="Times New Roman"/>
                <w:bCs/>
                <w:sz w:val="21"/>
                <w:szCs w:val="21"/>
                <w:lang w:eastAsia="zh-CN"/>
              </w:rPr>
            </w:pPr>
          </w:p>
        </w:tc>
      </w:tr>
      <w:tr w:rsidR="00E67914" w:rsidRPr="00E67914" w14:paraId="4F9D1FAC" w14:textId="77777777">
        <w:trPr>
          <w:trHeight w:val="402"/>
          <w:jc w:val="center"/>
        </w:trPr>
        <w:tc>
          <w:tcPr>
            <w:tcW w:w="648" w:type="pct"/>
            <w:vAlign w:val="center"/>
          </w:tcPr>
          <w:p w14:paraId="52997BB5"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生物多样性</w:t>
            </w:r>
          </w:p>
        </w:tc>
        <w:tc>
          <w:tcPr>
            <w:tcW w:w="1712" w:type="pct"/>
            <w:vAlign w:val="center"/>
          </w:tcPr>
          <w:p w14:paraId="652BB554"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物种丰富度、均匀度、优势度等</w:t>
            </w:r>
          </w:p>
        </w:tc>
        <w:tc>
          <w:tcPr>
            <w:tcW w:w="1745" w:type="pct"/>
            <w:vMerge/>
            <w:vAlign w:val="center"/>
          </w:tcPr>
          <w:p w14:paraId="58D84AE7"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589" w:type="pct"/>
            <w:vMerge/>
            <w:vAlign w:val="center"/>
          </w:tcPr>
          <w:p w14:paraId="7CBE75A0"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31B3890A" w14:textId="77777777" w:rsidR="00A54A8A" w:rsidRPr="00E67914" w:rsidRDefault="00A54A8A">
            <w:pPr>
              <w:adjustRightInd w:val="0"/>
              <w:jc w:val="center"/>
              <w:textAlignment w:val="baseline"/>
              <w:rPr>
                <w:rFonts w:ascii="Times New Roman" w:hAnsi="Times New Roman"/>
                <w:bCs/>
                <w:sz w:val="21"/>
                <w:szCs w:val="21"/>
                <w:lang w:eastAsia="zh-CN"/>
              </w:rPr>
            </w:pPr>
          </w:p>
        </w:tc>
      </w:tr>
      <w:tr w:rsidR="00E67914" w:rsidRPr="00E67914" w14:paraId="0D165489" w14:textId="77777777">
        <w:trPr>
          <w:trHeight w:val="403"/>
          <w:jc w:val="center"/>
        </w:trPr>
        <w:tc>
          <w:tcPr>
            <w:tcW w:w="648" w:type="pct"/>
            <w:vAlign w:val="center"/>
          </w:tcPr>
          <w:p w14:paraId="59D4D78F"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自然景观</w:t>
            </w:r>
          </w:p>
        </w:tc>
        <w:tc>
          <w:tcPr>
            <w:tcW w:w="1712" w:type="pct"/>
            <w:vAlign w:val="center"/>
          </w:tcPr>
          <w:p w14:paraId="555E6D21" w14:textId="77777777" w:rsidR="00A54A8A" w:rsidRPr="00E67914" w:rsidRDefault="00000000">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景观多样性、完整性等</w:t>
            </w:r>
          </w:p>
        </w:tc>
        <w:tc>
          <w:tcPr>
            <w:tcW w:w="1745" w:type="pct"/>
            <w:vMerge/>
            <w:vAlign w:val="center"/>
          </w:tcPr>
          <w:p w14:paraId="228D5F36"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589" w:type="pct"/>
            <w:vMerge/>
            <w:vAlign w:val="center"/>
          </w:tcPr>
          <w:p w14:paraId="248A5464" w14:textId="77777777" w:rsidR="00A54A8A" w:rsidRPr="00E67914" w:rsidRDefault="00A54A8A">
            <w:pPr>
              <w:adjustRightInd w:val="0"/>
              <w:jc w:val="center"/>
              <w:textAlignment w:val="baseline"/>
              <w:rPr>
                <w:rFonts w:ascii="Times New Roman" w:hAnsi="Times New Roman"/>
                <w:bCs/>
                <w:sz w:val="21"/>
                <w:szCs w:val="21"/>
                <w:lang w:eastAsia="zh-CN"/>
              </w:rPr>
            </w:pPr>
          </w:p>
        </w:tc>
        <w:tc>
          <w:tcPr>
            <w:tcW w:w="306" w:type="pct"/>
            <w:vMerge/>
            <w:vAlign w:val="center"/>
          </w:tcPr>
          <w:p w14:paraId="69D43586" w14:textId="77777777" w:rsidR="00A54A8A" w:rsidRPr="00E67914" w:rsidRDefault="00A54A8A">
            <w:pPr>
              <w:adjustRightInd w:val="0"/>
              <w:jc w:val="center"/>
              <w:textAlignment w:val="baseline"/>
              <w:rPr>
                <w:rFonts w:ascii="Times New Roman" w:hAnsi="Times New Roman"/>
                <w:bCs/>
                <w:sz w:val="21"/>
                <w:szCs w:val="21"/>
                <w:lang w:eastAsia="zh-CN"/>
              </w:rPr>
            </w:pPr>
          </w:p>
        </w:tc>
      </w:tr>
    </w:tbl>
    <w:p w14:paraId="2CB5D31A" w14:textId="77777777" w:rsidR="00A54A8A" w:rsidRPr="00E67914" w:rsidRDefault="00000000">
      <w:pPr>
        <w:pStyle w:val="2"/>
        <w:adjustRightInd/>
        <w:snapToGrid/>
        <w:spacing w:beforeLines="50" w:before="156"/>
        <w:ind w:firstLine="480"/>
        <w:rPr>
          <w:szCs w:val="24"/>
          <w:lang w:eastAsia="zh-CN"/>
        </w:rPr>
      </w:pPr>
      <w:bookmarkStart w:id="23" w:name="_Toc148654213"/>
      <w:r w:rsidRPr="00E67914">
        <w:rPr>
          <w:szCs w:val="24"/>
          <w:lang w:eastAsia="zh-CN"/>
        </w:rPr>
        <w:t>2.5</w:t>
      </w:r>
      <w:r w:rsidRPr="00E67914">
        <w:rPr>
          <w:szCs w:val="24"/>
          <w:lang w:eastAsia="zh-CN"/>
        </w:rPr>
        <w:t>环境功能区划与评价标准</w:t>
      </w:r>
      <w:bookmarkEnd w:id="23"/>
    </w:p>
    <w:p w14:paraId="56706349"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2.5.1</w:t>
      </w:r>
      <w:r w:rsidRPr="00E67914">
        <w:rPr>
          <w:rFonts w:ascii="Times New Roman" w:eastAsia="黑体" w:hAnsi="Times New Roman"/>
          <w:b w:val="0"/>
          <w:sz w:val="24"/>
          <w:szCs w:val="24"/>
          <w:lang w:eastAsia="zh-CN"/>
        </w:rPr>
        <w:t>环境功能区划</w:t>
      </w:r>
    </w:p>
    <w:p w14:paraId="309DD55E"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）大气环境功能区划</w:t>
      </w:r>
    </w:p>
    <w:p w14:paraId="320F3591"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工程建设区域内主要为农业耕作区，散居农户较少，属乡村区域环境，根据《环境空气质量标准》（</w:t>
      </w:r>
      <w:r w:rsidRPr="00E67914">
        <w:rPr>
          <w:rFonts w:ascii="Times New Roman" w:hAnsi="Times New Roman"/>
          <w:bCs/>
          <w:kern w:val="2"/>
          <w:sz w:val="24"/>
          <w:szCs w:val="24"/>
          <w:lang w:eastAsia="zh-CN"/>
        </w:rPr>
        <w:t>GB3095-2012</w:t>
      </w:r>
      <w:r w:rsidRPr="00E67914">
        <w:rPr>
          <w:rFonts w:ascii="Times New Roman" w:hAnsi="Times New Roman"/>
          <w:bCs/>
          <w:kern w:val="2"/>
          <w:sz w:val="24"/>
          <w:szCs w:val="24"/>
          <w:lang w:eastAsia="zh-CN"/>
        </w:rPr>
        <w:t>）划分，工程建设区属</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类地区，执行《环境空气质量标准》（</w:t>
      </w:r>
      <w:r w:rsidRPr="00E67914">
        <w:rPr>
          <w:rFonts w:ascii="Times New Roman" w:hAnsi="Times New Roman"/>
          <w:bCs/>
          <w:kern w:val="2"/>
          <w:sz w:val="24"/>
          <w:szCs w:val="24"/>
          <w:lang w:eastAsia="zh-CN"/>
        </w:rPr>
        <w:t>GB3095-2012</w:t>
      </w:r>
      <w:r w:rsidRPr="00E67914">
        <w:rPr>
          <w:rFonts w:ascii="Times New Roman" w:hAnsi="Times New Roman"/>
          <w:bCs/>
          <w:kern w:val="2"/>
          <w:sz w:val="24"/>
          <w:szCs w:val="24"/>
          <w:lang w:eastAsia="zh-CN"/>
        </w:rPr>
        <w:t>）中的二级标准。</w:t>
      </w:r>
    </w:p>
    <w:p w14:paraId="0C86BAEB"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）地表水环境功能区划</w:t>
      </w:r>
    </w:p>
    <w:p w14:paraId="27BD888A" w14:textId="3EA780DC"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根据宣汉县地表水功能区划，本项目周边地表水</w:t>
      </w:r>
      <w:r w:rsidR="008D2D42" w:rsidRPr="00E67914">
        <w:rPr>
          <w:rFonts w:ascii="Times New Roman" w:hAnsi="Times New Roman"/>
          <w:bCs/>
          <w:kern w:val="2"/>
          <w:sz w:val="24"/>
          <w:szCs w:val="24"/>
          <w:lang w:eastAsia="zh-CN"/>
        </w:rPr>
        <w:t>后</w:t>
      </w:r>
      <w:r w:rsidRPr="00E67914">
        <w:rPr>
          <w:rFonts w:ascii="Times New Roman" w:hAnsi="Times New Roman"/>
          <w:bCs/>
          <w:kern w:val="2"/>
          <w:sz w:val="24"/>
          <w:szCs w:val="24"/>
          <w:lang w:eastAsia="zh-CN"/>
        </w:rPr>
        <w:t>河为《地表水环境质量标准》（</w:t>
      </w:r>
      <w:r w:rsidRPr="00E67914">
        <w:rPr>
          <w:rFonts w:ascii="Times New Roman" w:hAnsi="Times New Roman"/>
          <w:bCs/>
          <w:kern w:val="2"/>
          <w:sz w:val="24"/>
          <w:szCs w:val="24"/>
          <w:lang w:eastAsia="zh-CN"/>
        </w:rPr>
        <w:t>GB3838-2002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Ⅲ</w:t>
      </w:r>
      <w:r w:rsidRPr="00E67914">
        <w:rPr>
          <w:rFonts w:ascii="Times New Roman" w:hAnsi="Times New Roman"/>
          <w:bCs/>
          <w:kern w:val="2"/>
          <w:sz w:val="24"/>
          <w:szCs w:val="24"/>
          <w:lang w:eastAsia="zh-CN"/>
        </w:rPr>
        <w:t>类水域。</w:t>
      </w:r>
    </w:p>
    <w:p w14:paraId="2D2BCE55"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）地下水环境功能区划</w:t>
      </w:r>
    </w:p>
    <w:p w14:paraId="04974F33"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工程场站区地下水环境质量评价均执行《地下水质量标准》（</w:t>
      </w:r>
      <w:r w:rsidRPr="00E67914">
        <w:rPr>
          <w:rFonts w:ascii="Times New Roman" w:hAnsi="Times New Roman"/>
          <w:bCs/>
          <w:kern w:val="2"/>
          <w:sz w:val="24"/>
          <w:szCs w:val="24"/>
          <w:lang w:eastAsia="zh-CN"/>
        </w:rPr>
        <w:t>GB/T14848-2017</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III</w:t>
      </w:r>
      <w:r w:rsidRPr="00E67914">
        <w:rPr>
          <w:rFonts w:ascii="Times New Roman" w:hAnsi="Times New Roman"/>
          <w:bCs/>
          <w:kern w:val="2"/>
          <w:sz w:val="24"/>
          <w:szCs w:val="24"/>
          <w:lang w:eastAsia="zh-CN"/>
        </w:rPr>
        <w:t>类标准，项目所在区域地下水均属于</w:t>
      </w:r>
      <w:r w:rsidRPr="00E67914">
        <w:rPr>
          <w:rFonts w:ascii="Times New Roman" w:hAnsi="Times New Roman"/>
          <w:bCs/>
          <w:kern w:val="2"/>
          <w:sz w:val="24"/>
          <w:szCs w:val="24"/>
          <w:lang w:eastAsia="zh-CN"/>
        </w:rPr>
        <w:t>III</w:t>
      </w:r>
      <w:r w:rsidRPr="00E67914">
        <w:rPr>
          <w:rFonts w:ascii="Times New Roman" w:hAnsi="Times New Roman"/>
          <w:bCs/>
          <w:kern w:val="2"/>
          <w:sz w:val="24"/>
          <w:szCs w:val="24"/>
          <w:lang w:eastAsia="zh-CN"/>
        </w:rPr>
        <w:t>类地下水功能区。</w:t>
      </w:r>
    </w:p>
    <w:p w14:paraId="3BC61378"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）声环境功能区划</w:t>
      </w:r>
    </w:p>
    <w:p w14:paraId="38E5C86C" w14:textId="1A8F3907" w:rsidR="00A54A8A" w:rsidRPr="00E67914" w:rsidRDefault="00420D2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《宣汉县人民政府办公室关于印发宣汉县声环境功能区划分及适用标准规</w:t>
      </w:r>
      <w:r w:rsidRPr="00E67914">
        <w:rPr>
          <w:rFonts w:ascii="Times New Roman" w:hAnsi="Times New Roman"/>
          <w:bCs/>
          <w:kern w:val="2"/>
          <w:sz w:val="24"/>
          <w:szCs w:val="24"/>
          <w:lang w:eastAsia="zh-CN"/>
        </w:rPr>
        <w:lastRenderedPageBreak/>
        <w:t>定的通知》（宣府办〔</w:t>
      </w:r>
      <w:r w:rsidRPr="00E67914">
        <w:rPr>
          <w:rFonts w:ascii="Times New Roman" w:hAnsi="Times New Roman"/>
          <w:bCs/>
          <w:kern w:val="2"/>
          <w:sz w:val="24"/>
          <w:szCs w:val="24"/>
          <w:lang w:eastAsia="zh-CN"/>
        </w:rPr>
        <w:t>2022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106</w:t>
      </w:r>
      <w:r w:rsidRPr="00E67914">
        <w:rPr>
          <w:rFonts w:ascii="Times New Roman" w:hAnsi="Times New Roman"/>
          <w:bCs/>
          <w:kern w:val="2"/>
          <w:sz w:val="24"/>
          <w:szCs w:val="24"/>
          <w:lang w:eastAsia="zh-CN"/>
        </w:rPr>
        <w:t>号），项目位于</w:t>
      </w:r>
      <w:r w:rsidR="00DD2AA7" w:rsidRPr="00E67914">
        <w:rPr>
          <w:rFonts w:ascii="Times New Roman" w:hAnsi="Times New Roman"/>
          <w:bCs/>
          <w:kern w:val="2"/>
          <w:sz w:val="24"/>
          <w:szCs w:val="24"/>
          <w:lang w:eastAsia="zh-CN"/>
        </w:rPr>
        <w:t>宣汉县普光镇</w:t>
      </w:r>
      <w:r w:rsidR="00AE0282" w:rsidRPr="00E67914">
        <w:rPr>
          <w:rFonts w:ascii="Times New Roman" w:hAnsi="Times New Roman"/>
          <w:bCs/>
          <w:kern w:val="2"/>
          <w:sz w:val="24"/>
          <w:szCs w:val="24"/>
          <w:lang w:eastAsia="zh-CN"/>
        </w:rPr>
        <w:t>陡梯村</w:t>
      </w:r>
      <w:r w:rsidRPr="00E67914">
        <w:rPr>
          <w:rFonts w:ascii="Times New Roman" w:hAnsi="Times New Roman"/>
          <w:bCs/>
          <w:kern w:val="2"/>
          <w:sz w:val="24"/>
          <w:szCs w:val="24"/>
          <w:lang w:eastAsia="zh-CN"/>
        </w:rPr>
        <w:t>，工程建设区域属工业活动较多的村庄，周边有</w:t>
      </w:r>
      <w:r w:rsidRPr="00E67914">
        <w:rPr>
          <w:rFonts w:ascii="Times New Roman" w:hAnsi="Times New Roman"/>
          <w:bCs/>
          <w:kern w:val="2"/>
          <w:sz w:val="24"/>
          <w:szCs w:val="24"/>
          <w:lang w:eastAsia="zh-CN"/>
        </w:rPr>
        <w:t>P30</w:t>
      </w:r>
      <w:r w:rsidR="00902A04"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集气站等，根据《声环境质量标准》（</w:t>
      </w:r>
      <w:r w:rsidRPr="00E67914">
        <w:rPr>
          <w:rFonts w:ascii="Times New Roman" w:hAnsi="Times New Roman"/>
          <w:bCs/>
          <w:kern w:val="2"/>
          <w:sz w:val="24"/>
          <w:szCs w:val="24"/>
          <w:lang w:eastAsia="zh-CN"/>
        </w:rPr>
        <w:t>GB3096-2008</w:t>
      </w:r>
      <w:r w:rsidRPr="00E67914">
        <w:rPr>
          <w:rFonts w:ascii="Times New Roman" w:hAnsi="Times New Roman"/>
          <w:bCs/>
          <w:kern w:val="2"/>
          <w:sz w:val="24"/>
          <w:szCs w:val="24"/>
          <w:lang w:eastAsia="zh-CN"/>
        </w:rPr>
        <w:t>），功能区划属</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类区域。</w:t>
      </w:r>
    </w:p>
    <w:p w14:paraId="6246AB4D"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）生态功能区划</w:t>
      </w:r>
    </w:p>
    <w:p w14:paraId="4C26A188" w14:textId="77777777" w:rsidR="00A54A8A" w:rsidRPr="00E67914" w:rsidRDefault="00000000">
      <w:pPr>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根据《四川省生态功能区划》，本项目位于四川盆地亚热带湿润气候生态区，属于大巴山水源涵养与土壤保持生态功能区（</w:t>
      </w:r>
      <w:r w:rsidRPr="00E67914">
        <w:rPr>
          <w:rFonts w:ascii="Times New Roman" w:hAnsi="Times New Roman"/>
          <w:bCs/>
          <w:kern w:val="2"/>
          <w:sz w:val="24"/>
          <w:szCs w:val="24"/>
          <w:lang w:eastAsia="zh-CN"/>
        </w:rPr>
        <w:t>I-3-2</w:t>
      </w:r>
      <w:r w:rsidRPr="00E67914">
        <w:rPr>
          <w:rFonts w:ascii="Times New Roman" w:hAnsi="Times New Roman"/>
          <w:bCs/>
          <w:kern w:val="2"/>
          <w:sz w:val="24"/>
          <w:szCs w:val="24"/>
          <w:lang w:eastAsia="zh-CN"/>
        </w:rPr>
        <w:t>），该生态功能区的主导功能是水源涵养功能，土壤保持功能。面临的主要环境问题是多洪灾，滑坡崩塌强烈发育，水土流失严重。</w:t>
      </w:r>
    </w:p>
    <w:p w14:paraId="010FC237"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）水土流失防治区划分</w:t>
      </w:r>
    </w:p>
    <w:p w14:paraId="549A695B" w14:textId="29F9044C"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根据达州市水利局《关于水土保持</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两区</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划分的公告》，本项目涉及水土流失重点预防区</w:t>
      </w:r>
      <w:r w:rsidR="008166A6" w:rsidRPr="00E67914">
        <w:rPr>
          <w:rFonts w:ascii="Times New Roman" w:hAnsi="Times New Roman"/>
          <w:bCs/>
          <w:kern w:val="2"/>
          <w:sz w:val="24"/>
          <w:szCs w:val="24"/>
          <w:lang w:eastAsia="zh-CN"/>
        </w:rPr>
        <w:t>与重点治理区</w:t>
      </w:r>
      <w:r w:rsidRPr="00E67914">
        <w:rPr>
          <w:rFonts w:ascii="Times New Roman" w:hAnsi="Times New Roman"/>
          <w:bCs/>
          <w:kern w:val="2"/>
          <w:sz w:val="24"/>
          <w:szCs w:val="24"/>
          <w:lang w:eastAsia="zh-CN"/>
        </w:rPr>
        <w:t>。</w:t>
      </w:r>
    </w:p>
    <w:p w14:paraId="29FFC344"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2.5.2</w:t>
      </w:r>
      <w:r w:rsidRPr="00E67914">
        <w:rPr>
          <w:rFonts w:ascii="Times New Roman" w:eastAsia="黑体" w:hAnsi="Times New Roman"/>
          <w:b w:val="0"/>
          <w:sz w:val="24"/>
          <w:szCs w:val="24"/>
          <w:lang w:eastAsia="zh-CN"/>
        </w:rPr>
        <w:t>环境质量标准</w:t>
      </w:r>
    </w:p>
    <w:p w14:paraId="53F2C36C"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）地表水</w:t>
      </w:r>
    </w:p>
    <w:p w14:paraId="233FD729" w14:textId="77777777" w:rsidR="00A54A8A" w:rsidRPr="00E67914" w:rsidRDefault="00000000">
      <w:pPr>
        <w:pStyle w:val="af4"/>
        <w:spacing w:line="360" w:lineRule="auto"/>
        <w:ind w:firstLineChars="200" w:firstLine="480"/>
        <w:rPr>
          <w:rFonts w:ascii="Times New Roman" w:hAnsi="Times New Roman"/>
          <w:bCs/>
          <w:szCs w:val="24"/>
        </w:rPr>
      </w:pPr>
      <w:r w:rsidRPr="00E67914">
        <w:rPr>
          <w:rFonts w:ascii="Times New Roman" w:hAnsi="Times New Roman"/>
          <w:bCs/>
          <w:szCs w:val="24"/>
        </w:rPr>
        <w:t>本项目地表水执行《地表水环境质量标准》（</w:t>
      </w:r>
      <w:r w:rsidRPr="00E67914">
        <w:rPr>
          <w:rFonts w:ascii="Times New Roman" w:hAnsi="Times New Roman"/>
          <w:bCs/>
          <w:szCs w:val="24"/>
        </w:rPr>
        <w:t>GB3838-2002</w:t>
      </w:r>
      <w:r w:rsidRPr="00E67914">
        <w:rPr>
          <w:rFonts w:ascii="Times New Roman" w:hAnsi="Times New Roman"/>
          <w:bCs/>
          <w:szCs w:val="24"/>
        </w:rPr>
        <w:t>）</w:t>
      </w:r>
      <w:r w:rsidRPr="00E67914">
        <w:rPr>
          <w:rFonts w:ascii="Times New Roman" w:hAnsi="Times New Roman"/>
          <w:bCs/>
          <w:szCs w:val="24"/>
        </w:rPr>
        <w:t>Ⅲ</w:t>
      </w:r>
      <w:r w:rsidRPr="00E67914">
        <w:rPr>
          <w:rFonts w:ascii="Times New Roman" w:hAnsi="Times New Roman"/>
          <w:bCs/>
          <w:szCs w:val="24"/>
        </w:rPr>
        <w:t>类水域标准，氯化物执行《地表水环境质量标准》（</w:t>
      </w:r>
      <w:r w:rsidRPr="00E67914">
        <w:rPr>
          <w:rFonts w:ascii="Times New Roman" w:hAnsi="Times New Roman"/>
          <w:bCs/>
          <w:szCs w:val="24"/>
        </w:rPr>
        <w:t>GB3838-2002</w:t>
      </w:r>
      <w:r w:rsidRPr="00E67914">
        <w:rPr>
          <w:rFonts w:ascii="Times New Roman" w:hAnsi="Times New Roman"/>
          <w:bCs/>
          <w:szCs w:val="24"/>
        </w:rPr>
        <w:t>）中表</w:t>
      </w:r>
      <w:r w:rsidRPr="00E67914">
        <w:rPr>
          <w:rFonts w:ascii="Times New Roman" w:hAnsi="Times New Roman"/>
          <w:bCs/>
          <w:szCs w:val="24"/>
        </w:rPr>
        <w:t>2</w:t>
      </w:r>
      <w:r w:rsidRPr="00E67914">
        <w:rPr>
          <w:rFonts w:ascii="Times New Roman" w:hAnsi="Times New Roman"/>
          <w:bCs/>
          <w:szCs w:val="24"/>
        </w:rPr>
        <w:t>标准限值。</w:t>
      </w:r>
    </w:p>
    <w:p w14:paraId="632DF9F6"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2.5-1  </w:t>
      </w:r>
      <w:r w:rsidRPr="00E67914">
        <w:rPr>
          <w:rFonts w:ascii="Times New Roman" w:eastAsia="黑体" w:hAnsi="Times New Roman"/>
          <w:sz w:val="21"/>
          <w:szCs w:val="21"/>
          <w:lang w:eastAsia="zh-CN"/>
        </w:rPr>
        <w:t>地表水环境质量标准（</w:t>
      </w:r>
      <w:r w:rsidRPr="00E67914">
        <w:rPr>
          <w:rFonts w:ascii="Times New Roman" w:eastAsia="黑体" w:hAnsi="Times New Roman"/>
          <w:sz w:val="21"/>
          <w:szCs w:val="21"/>
          <w:lang w:eastAsia="zh-CN"/>
        </w:rPr>
        <w:t>Ⅲ</w:t>
      </w:r>
      <w:r w:rsidRPr="00E67914">
        <w:rPr>
          <w:rFonts w:ascii="Times New Roman" w:eastAsia="黑体" w:hAnsi="Times New Roman"/>
          <w:sz w:val="21"/>
          <w:szCs w:val="21"/>
          <w:lang w:eastAsia="zh-CN"/>
        </w:rPr>
        <w:t>类）</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6"/>
        <w:gridCol w:w="680"/>
        <w:gridCol w:w="864"/>
        <w:gridCol w:w="738"/>
        <w:gridCol w:w="793"/>
        <w:gridCol w:w="779"/>
        <w:gridCol w:w="835"/>
        <w:gridCol w:w="794"/>
        <w:gridCol w:w="821"/>
        <w:gridCol w:w="812"/>
      </w:tblGrid>
      <w:tr w:rsidR="002662E3" w:rsidRPr="00E67914" w14:paraId="409DA3B9" w14:textId="77777777">
        <w:trPr>
          <w:jc w:val="center"/>
        </w:trPr>
        <w:tc>
          <w:tcPr>
            <w:tcW w:w="1106" w:type="dxa"/>
            <w:vAlign w:val="center"/>
          </w:tcPr>
          <w:p w14:paraId="75DB49CD"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rPr>
              <w:t>污染物</w:t>
            </w:r>
          </w:p>
        </w:tc>
        <w:tc>
          <w:tcPr>
            <w:tcW w:w="680" w:type="dxa"/>
            <w:vAlign w:val="center"/>
          </w:tcPr>
          <w:p w14:paraId="78AB2BD7"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lang w:eastAsia="zh-CN"/>
              </w:rPr>
              <w:t>p</w:t>
            </w:r>
            <w:r w:rsidRPr="00E67914">
              <w:rPr>
                <w:rFonts w:ascii="Times New Roman" w:hAnsi="Times New Roman"/>
                <w:b/>
                <w:sz w:val="21"/>
                <w:szCs w:val="21"/>
              </w:rPr>
              <w:t>H</w:t>
            </w:r>
          </w:p>
        </w:tc>
        <w:tc>
          <w:tcPr>
            <w:tcW w:w="864" w:type="dxa"/>
            <w:vAlign w:val="center"/>
          </w:tcPr>
          <w:p w14:paraId="59BDC65F"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rPr>
              <w:t>COD</w:t>
            </w:r>
            <w:r w:rsidRPr="00E67914">
              <w:rPr>
                <w:rFonts w:ascii="Times New Roman" w:hAnsi="Times New Roman"/>
                <w:b/>
                <w:sz w:val="21"/>
                <w:szCs w:val="21"/>
                <w:vertAlign w:val="subscript"/>
              </w:rPr>
              <w:t>Cr</w:t>
            </w:r>
          </w:p>
        </w:tc>
        <w:tc>
          <w:tcPr>
            <w:tcW w:w="738" w:type="dxa"/>
            <w:vAlign w:val="center"/>
          </w:tcPr>
          <w:p w14:paraId="607020AC"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rPr>
              <w:t>石油类</w:t>
            </w:r>
          </w:p>
        </w:tc>
        <w:tc>
          <w:tcPr>
            <w:tcW w:w="793" w:type="dxa"/>
            <w:vAlign w:val="center"/>
          </w:tcPr>
          <w:p w14:paraId="48A2517B"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rPr>
              <w:t>BOD</w:t>
            </w:r>
            <w:r w:rsidRPr="00E67914">
              <w:rPr>
                <w:rFonts w:ascii="Times New Roman" w:hAnsi="Times New Roman"/>
                <w:b/>
                <w:sz w:val="21"/>
                <w:szCs w:val="21"/>
                <w:vertAlign w:val="subscript"/>
              </w:rPr>
              <w:t>5</w:t>
            </w:r>
          </w:p>
        </w:tc>
        <w:tc>
          <w:tcPr>
            <w:tcW w:w="779" w:type="dxa"/>
            <w:vAlign w:val="center"/>
          </w:tcPr>
          <w:p w14:paraId="161CC436"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rPr>
              <w:t>六价铬</w:t>
            </w:r>
          </w:p>
        </w:tc>
        <w:tc>
          <w:tcPr>
            <w:tcW w:w="835" w:type="dxa"/>
            <w:vAlign w:val="center"/>
          </w:tcPr>
          <w:p w14:paraId="68A00E00"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rPr>
              <w:t>挥发酚</w:t>
            </w:r>
          </w:p>
        </w:tc>
        <w:tc>
          <w:tcPr>
            <w:tcW w:w="794" w:type="dxa"/>
            <w:vAlign w:val="center"/>
          </w:tcPr>
          <w:p w14:paraId="5F4613A7"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rPr>
              <w:t>NH</w:t>
            </w:r>
            <w:r w:rsidRPr="00E67914">
              <w:rPr>
                <w:rFonts w:ascii="Times New Roman" w:hAnsi="Times New Roman"/>
                <w:b/>
                <w:sz w:val="21"/>
                <w:szCs w:val="21"/>
                <w:vertAlign w:val="subscript"/>
              </w:rPr>
              <w:t>3</w:t>
            </w:r>
            <w:r w:rsidRPr="00E67914">
              <w:rPr>
                <w:rFonts w:ascii="Times New Roman" w:hAnsi="Times New Roman"/>
                <w:b/>
                <w:sz w:val="21"/>
                <w:szCs w:val="21"/>
              </w:rPr>
              <w:t>-N</w:t>
            </w:r>
          </w:p>
        </w:tc>
        <w:tc>
          <w:tcPr>
            <w:tcW w:w="821" w:type="dxa"/>
            <w:vAlign w:val="center"/>
          </w:tcPr>
          <w:p w14:paraId="1E6CDEF6" w14:textId="77777777" w:rsidR="00A54A8A" w:rsidRPr="00E67914" w:rsidRDefault="00000000">
            <w:pPr>
              <w:adjustRightInd w:val="0"/>
              <w:snapToGrid w:val="0"/>
              <w:spacing w:line="276" w:lineRule="auto"/>
              <w:jc w:val="center"/>
              <w:rPr>
                <w:rFonts w:ascii="Times New Roman" w:hAnsi="Times New Roman"/>
                <w:b/>
                <w:sz w:val="21"/>
                <w:szCs w:val="21"/>
              </w:rPr>
            </w:pPr>
            <w:r w:rsidRPr="00E67914">
              <w:rPr>
                <w:rFonts w:ascii="Times New Roman" w:hAnsi="Times New Roman"/>
                <w:b/>
                <w:sz w:val="21"/>
                <w:szCs w:val="21"/>
              </w:rPr>
              <w:t>硫化物</w:t>
            </w:r>
          </w:p>
        </w:tc>
        <w:tc>
          <w:tcPr>
            <w:tcW w:w="812" w:type="dxa"/>
            <w:vAlign w:val="center"/>
          </w:tcPr>
          <w:p w14:paraId="51B24F6B" w14:textId="77777777" w:rsidR="00A54A8A" w:rsidRPr="00E67914" w:rsidRDefault="00000000">
            <w:pPr>
              <w:adjustRightInd w:val="0"/>
              <w:snapToGrid w:val="0"/>
              <w:spacing w:line="276" w:lineRule="auto"/>
              <w:jc w:val="center"/>
              <w:rPr>
                <w:rFonts w:ascii="Times New Roman" w:hAnsi="Times New Roman"/>
                <w:b/>
                <w:sz w:val="21"/>
                <w:szCs w:val="21"/>
                <w:lang w:eastAsia="zh-CN"/>
              </w:rPr>
            </w:pPr>
            <w:r w:rsidRPr="00E67914">
              <w:rPr>
                <w:rFonts w:ascii="Times New Roman" w:hAnsi="Times New Roman"/>
                <w:b/>
                <w:sz w:val="21"/>
                <w:szCs w:val="21"/>
                <w:lang w:eastAsia="zh-CN"/>
              </w:rPr>
              <w:t>氯化物</w:t>
            </w:r>
          </w:p>
        </w:tc>
      </w:tr>
      <w:tr w:rsidR="002662E3" w:rsidRPr="00E67914" w14:paraId="2167BEFD" w14:textId="77777777">
        <w:trPr>
          <w:jc w:val="center"/>
        </w:trPr>
        <w:tc>
          <w:tcPr>
            <w:tcW w:w="1106" w:type="dxa"/>
            <w:vAlign w:val="center"/>
          </w:tcPr>
          <w:p w14:paraId="7A9EC09A"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Ⅲ</w:t>
            </w:r>
            <w:r w:rsidRPr="00E67914">
              <w:rPr>
                <w:rFonts w:ascii="Times New Roman" w:hAnsi="Times New Roman"/>
                <w:sz w:val="21"/>
                <w:szCs w:val="21"/>
              </w:rPr>
              <w:t>类标准</w:t>
            </w:r>
          </w:p>
        </w:tc>
        <w:tc>
          <w:tcPr>
            <w:tcW w:w="680" w:type="dxa"/>
            <w:vAlign w:val="center"/>
          </w:tcPr>
          <w:p w14:paraId="374FD054"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6</w:t>
            </w:r>
            <w:r w:rsidRPr="00E67914">
              <w:rPr>
                <w:rFonts w:ascii="Times New Roman" w:hAnsi="Times New Roman"/>
                <w:sz w:val="21"/>
                <w:szCs w:val="21"/>
              </w:rPr>
              <w:t>～</w:t>
            </w:r>
            <w:r w:rsidRPr="00E67914">
              <w:rPr>
                <w:rFonts w:ascii="Times New Roman" w:hAnsi="Times New Roman"/>
                <w:sz w:val="21"/>
                <w:szCs w:val="21"/>
              </w:rPr>
              <w:t>9</w:t>
            </w:r>
          </w:p>
        </w:tc>
        <w:tc>
          <w:tcPr>
            <w:tcW w:w="864" w:type="dxa"/>
            <w:vAlign w:val="center"/>
          </w:tcPr>
          <w:p w14:paraId="0BF7EE13"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≤20</w:t>
            </w:r>
          </w:p>
        </w:tc>
        <w:tc>
          <w:tcPr>
            <w:tcW w:w="738" w:type="dxa"/>
            <w:vAlign w:val="center"/>
          </w:tcPr>
          <w:p w14:paraId="41751449"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≤0.05</w:t>
            </w:r>
          </w:p>
        </w:tc>
        <w:tc>
          <w:tcPr>
            <w:tcW w:w="793" w:type="dxa"/>
            <w:vAlign w:val="center"/>
          </w:tcPr>
          <w:p w14:paraId="43981600"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≤4</w:t>
            </w:r>
          </w:p>
        </w:tc>
        <w:tc>
          <w:tcPr>
            <w:tcW w:w="779" w:type="dxa"/>
            <w:vAlign w:val="center"/>
          </w:tcPr>
          <w:p w14:paraId="3C90E3E7"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≤0.05</w:t>
            </w:r>
          </w:p>
        </w:tc>
        <w:tc>
          <w:tcPr>
            <w:tcW w:w="835" w:type="dxa"/>
            <w:vAlign w:val="center"/>
          </w:tcPr>
          <w:p w14:paraId="1D83EFF5"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≤0.005</w:t>
            </w:r>
          </w:p>
        </w:tc>
        <w:tc>
          <w:tcPr>
            <w:tcW w:w="794" w:type="dxa"/>
            <w:vAlign w:val="center"/>
          </w:tcPr>
          <w:p w14:paraId="69995814"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≤1.0</w:t>
            </w:r>
          </w:p>
        </w:tc>
        <w:tc>
          <w:tcPr>
            <w:tcW w:w="821" w:type="dxa"/>
            <w:vAlign w:val="center"/>
          </w:tcPr>
          <w:p w14:paraId="3AD4DB72" w14:textId="77777777" w:rsidR="00A54A8A" w:rsidRPr="00E67914" w:rsidRDefault="00000000">
            <w:pPr>
              <w:adjustRightInd w:val="0"/>
              <w:snapToGrid w:val="0"/>
              <w:spacing w:line="276" w:lineRule="auto"/>
              <w:jc w:val="center"/>
              <w:rPr>
                <w:rFonts w:ascii="Times New Roman" w:hAnsi="Times New Roman"/>
                <w:sz w:val="21"/>
                <w:szCs w:val="21"/>
              </w:rPr>
            </w:pPr>
            <w:r w:rsidRPr="00E67914">
              <w:rPr>
                <w:rFonts w:ascii="Times New Roman" w:hAnsi="Times New Roman"/>
                <w:sz w:val="21"/>
                <w:szCs w:val="21"/>
              </w:rPr>
              <w:t>≤0.2</w:t>
            </w:r>
          </w:p>
        </w:tc>
        <w:tc>
          <w:tcPr>
            <w:tcW w:w="812" w:type="dxa"/>
            <w:vAlign w:val="center"/>
          </w:tcPr>
          <w:p w14:paraId="12F378A3" w14:textId="77777777" w:rsidR="00A54A8A" w:rsidRPr="00E67914" w:rsidRDefault="00000000">
            <w:pPr>
              <w:adjustRightInd w:val="0"/>
              <w:snapToGrid w:val="0"/>
              <w:spacing w:line="276" w:lineRule="auto"/>
              <w:jc w:val="center"/>
              <w:rPr>
                <w:rFonts w:ascii="Times New Roman" w:hAnsi="Times New Roman"/>
                <w:sz w:val="21"/>
                <w:szCs w:val="21"/>
                <w:lang w:eastAsia="zh-CN"/>
              </w:rPr>
            </w:pPr>
            <w:r w:rsidRPr="00E67914">
              <w:rPr>
                <w:rFonts w:ascii="Times New Roman" w:hAnsi="Times New Roman"/>
                <w:sz w:val="21"/>
                <w:szCs w:val="21"/>
              </w:rPr>
              <w:t>≤</w:t>
            </w:r>
            <w:r w:rsidRPr="00E67914">
              <w:rPr>
                <w:rFonts w:ascii="Times New Roman" w:hAnsi="Times New Roman"/>
                <w:sz w:val="21"/>
                <w:szCs w:val="21"/>
                <w:lang w:eastAsia="zh-CN"/>
              </w:rPr>
              <w:t>250</w:t>
            </w:r>
          </w:p>
        </w:tc>
      </w:tr>
    </w:tbl>
    <w:p w14:paraId="2416A51C" w14:textId="77777777" w:rsidR="00A54A8A" w:rsidRPr="00E67914" w:rsidRDefault="00000000">
      <w:pPr>
        <w:pStyle w:val="af4"/>
        <w:spacing w:line="360" w:lineRule="auto"/>
        <w:ind w:firstLineChars="200" w:firstLine="480"/>
        <w:rPr>
          <w:rFonts w:ascii="Times New Roman" w:hAnsi="Times New Roman"/>
          <w:bCs/>
          <w:szCs w:val="24"/>
        </w:rPr>
      </w:pPr>
      <w:r w:rsidRPr="00E67914">
        <w:rPr>
          <w:rFonts w:ascii="Times New Roman" w:hAnsi="Times New Roman"/>
          <w:bCs/>
          <w:szCs w:val="24"/>
        </w:rPr>
        <w:t>（</w:t>
      </w:r>
      <w:r w:rsidRPr="00E67914">
        <w:rPr>
          <w:rFonts w:ascii="Times New Roman" w:hAnsi="Times New Roman"/>
          <w:bCs/>
          <w:szCs w:val="24"/>
        </w:rPr>
        <w:t>2</w:t>
      </w:r>
      <w:r w:rsidRPr="00E67914">
        <w:rPr>
          <w:rFonts w:ascii="Times New Roman" w:hAnsi="Times New Roman"/>
          <w:bCs/>
          <w:szCs w:val="24"/>
        </w:rPr>
        <w:t>）地下水</w:t>
      </w:r>
    </w:p>
    <w:p w14:paraId="13C8FBAA" w14:textId="77777777" w:rsidR="00A54A8A" w:rsidRPr="00E67914" w:rsidRDefault="00000000">
      <w:pPr>
        <w:pStyle w:val="af4"/>
        <w:spacing w:line="360" w:lineRule="auto"/>
        <w:ind w:firstLineChars="200" w:firstLine="480"/>
        <w:rPr>
          <w:rFonts w:ascii="Times New Roman" w:hAnsi="Times New Roman"/>
          <w:bCs/>
          <w:szCs w:val="24"/>
        </w:rPr>
      </w:pPr>
      <w:r w:rsidRPr="00E67914">
        <w:rPr>
          <w:rFonts w:ascii="Times New Roman" w:hAnsi="Times New Roman"/>
          <w:bCs/>
          <w:szCs w:val="24"/>
        </w:rPr>
        <w:t>本项目所在区域地下水质量标准执行《地下水质量标准》（</w:t>
      </w:r>
      <w:r w:rsidRPr="00E67914">
        <w:rPr>
          <w:rFonts w:ascii="Times New Roman" w:hAnsi="Times New Roman"/>
          <w:bCs/>
          <w:szCs w:val="24"/>
        </w:rPr>
        <w:t>GB/T14848-2017</w:t>
      </w:r>
      <w:r w:rsidRPr="00E67914">
        <w:rPr>
          <w:rFonts w:ascii="Times New Roman" w:hAnsi="Times New Roman"/>
          <w:bCs/>
          <w:szCs w:val="24"/>
        </w:rPr>
        <w:t>）中的</w:t>
      </w:r>
      <w:r w:rsidRPr="00E67914">
        <w:rPr>
          <w:rFonts w:ascii="Times New Roman" w:hAnsi="Times New Roman"/>
          <w:bCs/>
          <w:szCs w:val="24"/>
        </w:rPr>
        <w:t>Ⅲ</w:t>
      </w:r>
      <w:r w:rsidRPr="00E67914">
        <w:rPr>
          <w:rFonts w:ascii="Times New Roman" w:hAnsi="Times New Roman"/>
          <w:bCs/>
          <w:szCs w:val="24"/>
        </w:rPr>
        <w:t>类标准，标准值见表</w:t>
      </w:r>
      <w:r w:rsidRPr="00E67914">
        <w:rPr>
          <w:rFonts w:ascii="Times New Roman" w:hAnsi="Times New Roman"/>
          <w:bCs/>
          <w:szCs w:val="24"/>
        </w:rPr>
        <w:t>2.5-2</w:t>
      </w:r>
      <w:r w:rsidRPr="00E67914">
        <w:rPr>
          <w:rFonts w:ascii="Times New Roman" w:hAnsi="Times New Roman"/>
          <w:bCs/>
          <w:szCs w:val="24"/>
        </w:rPr>
        <w:t>。</w:t>
      </w:r>
    </w:p>
    <w:p w14:paraId="206B7018"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2.5-2  </w:t>
      </w:r>
      <w:r w:rsidRPr="00E67914">
        <w:rPr>
          <w:rFonts w:ascii="Times New Roman" w:eastAsia="黑体" w:hAnsi="Times New Roman"/>
          <w:sz w:val="21"/>
          <w:szCs w:val="21"/>
          <w:lang w:eastAsia="zh-CN"/>
        </w:rPr>
        <w:t>地下水质量标准限值</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mg/L</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42"/>
        <w:gridCol w:w="960"/>
        <w:gridCol w:w="833"/>
        <w:gridCol w:w="1104"/>
        <w:gridCol w:w="1155"/>
        <w:gridCol w:w="778"/>
        <w:gridCol w:w="788"/>
        <w:gridCol w:w="826"/>
        <w:gridCol w:w="936"/>
      </w:tblGrid>
      <w:tr w:rsidR="002662E3" w:rsidRPr="00E67914" w14:paraId="53A10D71" w14:textId="77777777">
        <w:trPr>
          <w:jc w:val="center"/>
        </w:trPr>
        <w:tc>
          <w:tcPr>
            <w:tcW w:w="871" w:type="dxa"/>
            <w:shd w:val="clear" w:color="auto" w:fill="FFFFFF"/>
            <w:vAlign w:val="center"/>
          </w:tcPr>
          <w:p w14:paraId="54B7F93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3" w:type="dxa"/>
            <w:shd w:val="clear" w:color="auto" w:fill="FFFFFF"/>
            <w:vAlign w:val="center"/>
          </w:tcPr>
          <w:p w14:paraId="30DFE103"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pH</w:t>
            </w:r>
          </w:p>
        </w:tc>
        <w:tc>
          <w:tcPr>
            <w:tcW w:w="861" w:type="dxa"/>
            <w:shd w:val="clear" w:color="auto" w:fill="FFFFFF"/>
            <w:vAlign w:val="center"/>
          </w:tcPr>
          <w:p w14:paraId="17C7EE8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氯化物</w:t>
            </w:r>
          </w:p>
        </w:tc>
        <w:tc>
          <w:tcPr>
            <w:tcW w:w="1144" w:type="dxa"/>
            <w:shd w:val="clear" w:color="auto" w:fill="FFFFFF"/>
            <w:vAlign w:val="center"/>
          </w:tcPr>
          <w:p w14:paraId="6C15B07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耗氧量</w:t>
            </w:r>
          </w:p>
        </w:tc>
        <w:tc>
          <w:tcPr>
            <w:tcW w:w="1197" w:type="dxa"/>
            <w:shd w:val="clear" w:color="auto" w:fill="FFFFFF"/>
            <w:vAlign w:val="center"/>
          </w:tcPr>
          <w:p w14:paraId="171FAAC3"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六价铬</w:t>
            </w:r>
          </w:p>
        </w:tc>
        <w:tc>
          <w:tcPr>
            <w:tcW w:w="803" w:type="dxa"/>
            <w:shd w:val="clear" w:color="auto" w:fill="FFFFFF"/>
            <w:vAlign w:val="center"/>
          </w:tcPr>
          <w:p w14:paraId="34E6B31D"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铁</w:t>
            </w:r>
          </w:p>
        </w:tc>
        <w:tc>
          <w:tcPr>
            <w:tcW w:w="814" w:type="dxa"/>
            <w:shd w:val="clear" w:color="auto" w:fill="FFFFFF"/>
            <w:vAlign w:val="center"/>
          </w:tcPr>
          <w:p w14:paraId="117222D3"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锰</w:t>
            </w:r>
          </w:p>
        </w:tc>
        <w:tc>
          <w:tcPr>
            <w:tcW w:w="853" w:type="dxa"/>
            <w:shd w:val="clear" w:color="auto" w:fill="FFFFFF"/>
            <w:vAlign w:val="center"/>
          </w:tcPr>
          <w:p w14:paraId="62AEB079"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总硬度</w:t>
            </w:r>
          </w:p>
        </w:tc>
        <w:tc>
          <w:tcPr>
            <w:tcW w:w="968" w:type="dxa"/>
            <w:shd w:val="clear" w:color="auto" w:fill="FFFFFF"/>
            <w:vAlign w:val="center"/>
          </w:tcPr>
          <w:p w14:paraId="62B4F828"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石油类</w:t>
            </w:r>
            <w:r w:rsidRPr="00E67914">
              <w:rPr>
                <w:rFonts w:ascii="Times New Roman" w:hAnsi="Times New Roman"/>
                <w:b/>
                <w:sz w:val="21"/>
                <w:szCs w:val="21"/>
              </w:rPr>
              <w:t>*</w:t>
            </w:r>
          </w:p>
        </w:tc>
      </w:tr>
      <w:tr w:rsidR="002662E3" w:rsidRPr="00E67914" w14:paraId="790AF52E" w14:textId="77777777">
        <w:trPr>
          <w:jc w:val="center"/>
        </w:trPr>
        <w:tc>
          <w:tcPr>
            <w:tcW w:w="871" w:type="dxa"/>
            <w:shd w:val="clear" w:color="auto" w:fill="FFFFFF"/>
            <w:vAlign w:val="center"/>
          </w:tcPr>
          <w:p w14:paraId="648D8C0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Ⅲ</w:t>
            </w:r>
            <w:r w:rsidRPr="00E67914">
              <w:rPr>
                <w:rFonts w:ascii="Times New Roman" w:hAnsi="Times New Roman"/>
                <w:sz w:val="21"/>
                <w:szCs w:val="21"/>
              </w:rPr>
              <w:t>类</w:t>
            </w:r>
          </w:p>
        </w:tc>
        <w:tc>
          <w:tcPr>
            <w:tcW w:w="993" w:type="dxa"/>
            <w:shd w:val="clear" w:color="auto" w:fill="FFFFFF"/>
            <w:vAlign w:val="center"/>
          </w:tcPr>
          <w:p w14:paraId="2540E80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6.5</w:t>
            </w:r>
            <w:r w:rsidRPr="00E67914">
              <w:rPr>
                <w:rFonts w:ascii="Times New Roman" w:hAnsi="Times New Roman"/>
                <w:sz w:val="21"/>
                <w:szCs w:val="21"/>
              </w:rPr>
              <w:t>～</w:t>
            </w:r>
            <w:r w:rsidRPr="00E67914">
              <w:rPr>
                <w:rFonts w:ascii="Times New Roman" w:hAnsi="Times New Roman"/>
                <w:sz w:val="21"/>
                <w:szCs w:val="21"/>
              </w:rPr>
              <w:t>8.5</w:t>
            </w:r>
          </w:p>
        </w:tc>
        <w:tc>
          <w:tcPr>
            <w:tcW w:w="861" w:type="dxa"/>
            <w:shd w:val="clear" w:color="auto" w:fill="FFFFFF"/>
            <w:vAlign w:val="center"/>
          </w:tcPr>
          <w:p w14:paraId="4612B42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≤250</w:t>
            </w:r>
          </w:p>
        </w:tc>
        <w:tc>
          <w:tcPr>
            <w:tcW w:w="1144" w:type="dxa"/>
            <w:shd w:val="clear" w:color="auto" w:fill="FFFFFF"/>
            <w:vAlign w:val="center"/>
          </w:tcPr>
          <w:p w14:paraId="5695306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≤3.0</w:t>
            </w:r>
          </w:p>
        </w:tc>
        <w:tc>
          <w:tcPr>
            <w:tcW w:w="1197" w:type="dxa"/>
            <w:shd w:val="clear" w:color="auto" w:fill="FFFFFF"/>
            <w:vAlign w:val="center"/>
          </w:tcPr>
          <w:p w14:paraId="346FA8A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≤0.05</w:t>
            </w:r>
          </w:p>
        </w:tc>
        <w:tc>
          <w:tcPr>
            <w:tcW w:w="803" w:type="dxa"/>
            <w:shd w:val="clear" w:color="auto" w:fill="FFFFFF"/>
            <w:vAlign w:val="center"/>
          </w:tcPr>
          <w:p w14:paraId="3AA5ED7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≤0.3</w:t>
            </w:r>
          </w:p>
        </w:tc>
        <w:tc>
          <w:tcPr>
            <w:tcW w:w="814" w:type="dxa"/>
            <w:shd w:val="clear" w:color="auto" w:fill="FFFFFF"/>
            <w:vAlign w:val="center"/>
          </w:tcPr>
          <w:p w14:paraId="0A934C5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≤0.1</w:t>
            </w:r>
          </w:p>
        </w:tc>
        <w:tc>
          <w:tcPr>
            <w:tcW w:w="853" w:type="dxa"/>
            <w:shd w:val="clear" w:color="auto" w:fill="FFFFFF"/>
            <w:vAlign w:val="center"/>
          </w:tcPr>
          <w:p w14:paraId="4FE561B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≤450</w:t>
            </w:r>
          </w:p>
        </w:tc>
        <w:tc>
          <w:tcPr>
            <w:tcW w:w="968" w:type="dxa"/>
            <w:shd w:val="clear" w:color="auto" w:fill="FFFFFF"/>
            <w:vAlign w:val="center"/>
          </w:tcPr>
          <w:p w14:paraId="2DE3038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≤0.05</w:t>
            </w:r>
          </w:p>
        </w:tc>
      </w:tr>
      <w:tr w:rsidR="002662E3" w:rsidRPr="00E67914" w14:paraId="4D30D5D4" w14:textId="77777777">
        <w:trPr>
          <w:jc w:val="center"/>
        </w:trPr>
        <w:tc>
          <w:tcPr>
            <w:tcW w:w="871" w:type="dxa"/>
            <w:shd w:val="clear" w:color="auto" w:fill="FFFFFF"/>
            <w:vAlign w:val="center"/>
          </w:tcPr>
          <w:p w14:paraId="346CED2F"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3" w:type="dxa"/>
            <w:shd w:val="clear" w:color="auto" w:fill="FFFFFF"/>
            <w:vAlign w:val="center"/>
          </w:tcPr>
          <w:p w14:paraId="51D3E72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SO</w:t>
            </w:r>
            <w:r w:rsidRPr="00E67914">
              <w:rPr>
                <w:rFonts w:ascii="Times New Roman" w:hAnsi="Times New Roman"/>
                <w:b/>
                <w:sz w:val="21"/>
                <w:szCs w:val="21"/>
                <w:vertAlign w:val="subscript"/>
              </w:rPr>
              <w:t>4</w:t>
            </w:r>
            <w:r w:rsidRPr="00E67914">
              <w:rPr>
                <w:rFonts w:ascii="Times New Roman" w:hAnsi="Times New Roman"/>
                <w:b/>
                <w:sz w:val="21"/>
                <w:szCs w:val="21"/>
                <w:vertAlign w:val="superscript"/>
              </w:rPr>
              <w:t>2-</w:t>
            </w:r>
          </w:p>
        </w:tc>
        <w:tc>
          <w:tcPr>
            <w:tcW w:w="861" w:type="dxa"/>
            <w:shd w:val="clear" w:color="auto" w:fill="FFFFFF"/>
            <w:vAlign w:val="center"/>
          </w:tcPr>
          <w:p w14:paraId="4956F2FF"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氨氮</w:t>
            </w:r>
          </w:p>
        </w:tc>
        <w:tc>
          <w:tcPr>
            <w:tcW w:w="1144" w:type="dxa"/>
            <w:shd w:val="clear" w:color="auto" w:fill="FFFFFF"/>
            <w:vAlign w:val="center"/>
          </w:tcPr>
          <w:p w14:paraId="27B4ECD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硝酸盐（以</w:t>
            </w:r>
            <w:r w:rsidRPr="00E67914">
              <w:rPr>
                <w:rFonts w:ascii="Times New Roman" w:hAnsi="Times New Roman"/>
                <w:b/>
                <w:sz w:val="21"/>
                <w:szCs w:val="21"/>
              </w:rPr>
              <w:t>N</w:t>
            </w:r>
            <w:r w:rsidRPr="00E67914">
              <w:rPr>
                <w:rFonts w:ascii="Times New Roman" w:hAnsi="Times New Roman"/>
                <w:b/>
                <w:sz w:val="21"/>
                <w:szCs w:val="21"/>
              </w:rPr>
              <w:t>计）</w:t>
            </w:r>
          </w:p>
        </w:tc>
        <w:tc>
          <w:tcPr>
            <w:tcW w:w="1197" w:type="dxa"/>
            <w:shd w:val="clear" w:color="auto" w:fill="FFFFFF"/>
            <w:vAlign w:val="center"/>
          </w:tcPr>
          <w:p w14:paraId="62EEC38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亚硝酸盐（以</w:t>
            </w:r>
            <w:r w:rsidRPr="00E67914">
              <w:rPr>
                <w:rFonts w:ascii="Times New Roman" w:hAnsi="Times New Roman"/>
                <w:b/>
                <w:sz w:val="21"/>
                <w:szCs w:val="21"/>
              </w:rPr>
              <w:t>N</w:t>
            </w:r>
            <w:r w:rsidRPr="00E67914">
              <w:rPr>
                <w:rFonts w:ascii="Times New Roman" w:hAnsi="Times New Roman"/>
                <w:b/>
                <w:sz w:val="21"/>
                <w:szCs w:val="21"/>
              </w:rPr>
              <w:t>计）</w:t>
            </w:r>
          </w:p>
        </w:tc>
        <w:tc>
          <w:tcPr>
            <w:tcW w:w="803" w:type="dxa"/>
            <w:shd w:val="clear" w:color="auto" w:fill="FFFFFF"/>
            <w:vAlign w:val="center"/>
          </w:tcPr>
          <w:p w14:paraId="7CD0008F"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氰化物</w:t>
            </w:r>
          </w:p>
        </w:tc>
        <w:tc>
          <w:tcPr>
            <w:tcW w:w="814" w:type="dxa"/>
            <w:shd w:val="clear" w:color="auto" w:fill="FFFFFF"/>
            <w:vAlign w:val="center"/>
          </w:tcPr>
          <w:p w14:paraId="52B26B14"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砷</w:t>
            </w:r>
          </w:p>
        </w:tc>
        <w:tc>
          <w:tcPr>
            <w:tcW w:w="853" w:type="dxa"/>
            <w:shd w:val="clear" w:color="auto" w:fill="FFFFFF"/>
            <w:vAlign w:val="center"/>
          </w:tcPr>
          <w:p w14:paraId="21C2C54B"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汞</w:t>
            </w:r>
          </w:p>
        </w:tc>
        <w:tc>
          <w:tcPr>
            <w:tcW w:w="968" w:type="dxa"/>
            <w:shd w:val="clear" w:color="auto" w:fill="FFFFFF"/>
            <w:vAlign w:val="center"/>
          </w:tcPr>
          <w:p w14:paraId="48179EB8"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挥发性酚类</w:t>
            </w:r>
          </w:p>
        </w:tc>
      </w:tr>
      <w:tr w:rsidR="002662E3" w:rsidRPr="00E67914" w14:paraId="598A1F86" w14:textId="77777777">
        <w:trPr>
          <w:jc w:val="center"/>
        </w:trPr>
        <w:tc>
          <w:tcPr>
            <w:tcW w:w="871" w:type="dxa"/>
            <w:shd w:val="clear" w:color="auto" w:fill="FFFFFF"/>
            <w:vAlign w:val="center"/>
          </w:tcPr>
          <w:p w14:paraId="65880FD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Ⅲ</w:t>
            </w:r>
            <w:r w:rsidRPr="00E67914">
              <w:rPr>
                <w:rFonts w:ascii="Times New Roman" w:hAnsi="Times New Roman"/>
                <w:sz w:val="21"/>
                <w:szCs w:val="21"/>
              </w:rPr>
              <w:t>类</w:t>
            </w:r>
          </w:p>
        </w:tc>
        <w:tc>
          <w:tcPr>
            <w:tcW w:w="993" w:type="dxa"/>
            <w:shd w:val="clear" w:color="auto" w:fill="FFFFFF"/>
            <w:vAlign w:val="center"/>
          </w:tcPr>
          <w:p w14:paraId="2FD38AA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≤250</w:t>
            </w:r>
          </w:p>
        </w:tc>
        <w:tc>
          <w:tcPr>
            <w:tcW w:w="861" w:type="dxa"/>
            <w:shd w:val="clear" w:color="auto" w:fill="FFFFFF"/>
            <w:vAlign w:val="center"/>
          </w:tcPr>
          <w:p w14:paraId="617C398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≤0.5</w:t>
            </w:r>
          </w:p>
        </w:tc>
        <w:tc>
          <w:tcPr>
            <w:tcW w:w="1144" w:type="dxa"/>
            <w:shd w:val="clear" w:color="auto" w:fill="FFFFFF"/>
            <w:vAlign w:val="center"/>
          </w:tcPr>
          <w:p w14:paraId="75B80E1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≤20</w:t>
            </w:r>
          </w:p>
        </w:tc>
        <w:tc>
          <w:tcPr>
            <w:tcW w:w="1197" w:type="dxa"/>
            <w:shd w:val="clear" w:color="auto" w:fill="FFFFFF"/>
            <w:vAlign w:val="center"/>
          </w:tcPr>
          <w:p w14:paraId="31007F1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803" w:type="dxa"/>
            <w:shd w:val="clear" w:color="auto" w:fill="FFFFFF"/>
            <w:vAlign w:val="center"/>
          </w:tcPr>
          <w:p w14:paraId="7B1851D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≤0.05</w:t>
            </w:r>
          </w:p>
        </w:tc>
        <w:tc>
          <w:tcPr>
            <w:tcW w:w="814" w:type="dxa"/>
            <w:shd w:val="clear" w:color="auto" w:fill="FFFFFF"/>
            <w:vAlign w:val="center"/>
          </w:tcPr>
          <w:p w14:paraId="6F07D58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≤0.01</w:t>
            </w:r>
          </w:p>
        </w:tc>
        <w:tc>
          <w:tcPr>
            <w:tcW w:w="853" w:type="dxa"/>
            <w:shd w:val="clear" w:color="auto" w:fill="FFFFFF"/>
            <w:vAlign w:val="center"/>
          </w:tcPr>
          <w:p w14:paraId="1A97A02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≤0.001</w:t>
            </w:r>
          </w:p>
        </w:tc>
        <w:tc>
          <w:tcPr>
            <w:tcW w:w="968" w:type="dxa"/>
            <w:shd w:val="clear" w:color="auto" w:fill="FFFFFF"/>
            <w:vAlign w:val="center"/>
          </w:tcPr>
          <w:p w14:paraId="45E767E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≤0.002</w:t>
            </w:r>
          </w:p>
        </w:tc>
      </w:tr>
      <w:tr w:rsidR="002662E3" w:rsidRPr="00E67914" w14:paraId="603C031C" w14:textId="77777777">
        <w:trPr>
          <w:jc w:val="center"/>
        </w:trPr>
        <w:tc>
          <w:tcPr>
            <w:tcW w:w="871" w:type="dxa"/>
            <w:shd w:val="clear" w:color="auto" w:fill="FFFFFF"/>
            <w:vAlign w:val="center"/>
          </w:tcPr>
          <w:p w14:paraId="22E83544"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3" w:type="dxa"/>
            <w:shd w:val="clear" w:color="auto" w:fill="FFFFFF"/>
            <w:vAlign w:val="center"/>
          </w:tcPr>
          <w:p w14:paraId="41504686"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铅</w:t>
            </w:r>
          </w:p>
        </w:tc>
        <w:tc>
          <w:tcPr>
            <w:tcW w:w="861" w:type="dxa"/>
            <w:shd w:val="clear" w:color="auto" w:fill="FFFFFF"/>
            <w:vAlign w:val="center"/>
          </w:tcPr>
          <w:p w14:paraId="3FAE4DD5"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氟</w:t>
            </w:r>
          </w:p>
        </w:tc>
        <w:tc>
          <w:tcPr>
            <w:tcW w:w="1144" w:type="dxa"/>
            <w:shd w:val="clear" w:color="auto" w:fill="FFFFFF"/>
            <w:vAlign w:val="center"/>
          </w:tcPr>
          <w:p w14:paraId="1CECC55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镉</w:t>
            </w:r>
          </w:p>
        </w:tc>
        <w:tc>
          <w:tcPr>
            <w:tcW w:w="1197" w:type="dxa"/>
            <w:shd w:val="clear" w:color="auto" w:fill="FFFFFF"/>
            <w:vAlign w:val="center"/>
          </w:tcPr>
          <w:p w14:paraId="425B4FBB"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溶解性固体</w:t>
            </w:r>
          </w:p>
        </w:tc>
        <w:tc>
          <w:tcPr>
            <w:tcW w:w="1617" w:type="dxa"/>
            <w:gridSpan w:val="2"/>
            <w:shd w:val="clear" w:color="auto" w:fill="FFFFFF"/>
            <w:vAlign w:val="center"/>
          </w:tcPr>
          <w:p w14:paraId="440E8A75"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总大肠菌群</w:t>
            </w:r>
            <w:r w:rsidRPr="00E67914">
              <w:rPr>
                <w:rFonts w:ascii="Times New Roman" w:hAnsi="Times New Roman"/>
                <w:sz w:val="20"/>
                <w:szCs w:val="20"/>
                <w:lang w:eastAsia="zh-CN"/>
              </w:rPr>
              <w:t>（</w:t>
            </w:r>
            <w:r w:rsidRPr="00E67914">
              <w:rPr>
                <w:rFonts w:ascii="Times New Roman" w:hAnsi="Times New Roman"/>
                <w:sz w:val="20"/>
                <w:szCs w:val="20"/>
                <w:lang w:eastAsia="zh-CN"/>
              </w:rPr>
              <w:t>MPN/100ml</w:t>
            </w:r>
            <w:r w:rsidRPr="00E67914">
              <w:rPr>
                <w:rFonts w:ascii="Times New Roman" w:hAnsi="Times New Roman"/>
                <w:sz w:val="20"/>
                <w:szCs w:val="20"/>
                <w:lang w:eastAsia="zh-CN"/>
              </w:rPr>
              <w:t>）</w:t>
            </w:r>
          </w:p>
        </w:tc>
        <w:tc>
          <w:tcPr>
            <w:tcW w:w="1821" w:type="dxa"/>
            <w:gridSpan w:val="2"/>
            <w:shd w:val="clear" w:color="auto" w:fill="FFFFFF"/>
            <w:vAlign w:val="center"/>
          </w:tcPr>
          <w:p w14:paraId="7CE275F4"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菌落总数</w:t>
            </w:r>
          </w:p>
          <w:p w14:paraId="16D40E79"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Cs/>
                <w:sz w:val="20"/>
                <w:szCs w:val="20"/>
                <w:lang w:eastAsia="zh-CN"/>
              </w:rPr>
              <w:t>（</w:t>
            </w:r>
            <w:r w:rsidRPr="00E67914">
              <w:rPr>
                <w:rFonts w:ascii="Times New Roman" w:hAnsi="Times New Roman"/>
                <w:bCs/>
                <w:sz w:val="20"/>
                <w:szCs w:val="20"/>
                <w:lang w:eastAsia="zh-CN"/>
              </w:rPr>
              <w:t>CFU/ml</w:t>
            </w:r>
            <w:r w:rsidRPr="00E67914">
              <w:rPr>
                <w:rFonts w:ascii="Times New Roman" w:hAnsi="Times New Roman"/>
                <w:bCs/>
                <w:sz w:val="20"/>
                <w:szCs w:val="20"/>
                <w:lang w:eastAsia="zh-CN"/>
              </w:rPr>
              <w:t>）</w:t>
            </w:r>
          </w:p>
        </w:tc>
      </w:tr>
      <w:tr w:rsidR="002662E3" w:rsidRPr="00E67914" w14:paraId="280E2812" w14:textId="77777777">
        <w:trPr>
          <w:jc w:val="center"/>
        </w:trPr>
        <w:tc>
          <w:tcPr>
            <w:tcW w:w="871" w:type="dxa"/>
            <w:shd w:val="clear" w:color="auto" w:fill="FFFFFF"/>
            <w:vAlign w:val="center"/>
          </w:tcPr>
          <w:p w14:paraId="79502A2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Ⅲ</w:t>
            </w:r>
            <w:r w:rsidRPr="00E67914">
              <w:rPr>
                <w:rFonts w:ascii="Times New Roman" w:hAnsi="Times New Roman"/>
                <w:sz w:val="21"/>
                <w:szCs w:val="21"/>
              </w:rPr>
              <w:t>类</w:t>
            </w:r>
          </w:p>
        </w:tc>
        <w:tc>
          <w:tcPr>
            <w:tcW w:w="993" w:type="dxa"/>
            <w:shd w:val="clear" w:color="auto" w:fill="FFFFFF"/>
            <w:vAlign w:val="center"/>
          </w:tcPr>
          <w:p w14:paraId="136D0F7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≤0.01</w:t>
            </w:r>
          </w:p>
        </w:tc>
        <w:tc>
          <w:tcPr>
            <w:tcW w:w="861" w:type="dxa"/>
            <w:shd w:val="clear" w:color="auto" w:fill="FFFFFF"/>
            <w:vAlign w:val="center"/>
          </w:tcPr>
          <w:p w14:paraId="59F78CE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1144" w:type="dxa"/>
            <w:shd w:val="clear" w:color="auto" w:fill="FFFFFF"/>
            <w:vAlign w:val="center"/>
          </w:tcPr>
          <w:p w14:paraId="08E5E5C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≤0.005</w:t>
            </w:r>
          </w:p>
        </w:tc>
        <w:tc>
          <w:tcPr>
            <w:tcW w:w="1197" w:type="dxa"/>
            <w:shd w:val="clear" w:color="auto" w:fill="FFFFFF"/>
            <w:vAlign w:val="center"/>
          </w:tcPr>
          <w:p w14:paraId="76AD6F1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≤1000</w:t>
            </w:r>
          </w:p>
        </w:tc>
        <w:tc>
          <w:tcPr>
            <w:tcW w:w="1617" w:type="dxa"/>
            <w:gridSpan w:val="2"/>
            <w:shd w:val="clear" w:color="auto" w:fill="FFFFFF"/>
            <w:vAlign w:val="center"/>
          </w:tcPr>
          <w:p w14:paraId="768BB71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≤3.0</w:t>
            </w:r>
          </w:p>
        </w:tc>
        <w:tc>
          <w:tcPr>
            <w:tcW w:w="1821" w:type="dxa"/>
            <w:gridSpan w:val="2"/>
            <w:shd w:val="clear" w:color="auto" w:fill="FFFFFF"/>
            <w:vAlign w:val="center"/>
          </w:tcPr>
          <w:p w14:paraId="68FC09B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r w:rsidRPr="00E67914">
              <w:rPr>
                <w:rFonts w:ascii="Times New Roman" w:hAnsi="Times New Roman"/>
                <w:sz w:val="21"/>
                <w:szCs w:val="21"/>
                <w:lang w:eastAsia="zh-CN"/>
              </w:rPr>
              <w:t>0</w:t>
            </w:r>
            <w:r w:rsidRPr="00E67914">
              <w:rPr>
                <w:rFonts w:ascii="Times New Roman" w:hAnsi="Times New Roman"/>
                <w:sz w:val="21"/>
                <w:szCs w:val="21"/>
              </w:rPr>
              <w:t>0</w:t>
            </w:r>
          </w:p>
        </w:tc>
      </w:tr>
    </w:tbl>
    <w:p w14:paraId="42240BE9" w14:textId="77777777" w:rsidR="00A54A8A" w:rsidRPr="00E67914" w:rsidRDefault="00000000">
      <w:pPr>
        <w:pStyle w:val="afffe"/>
        <w:ind w:firstLine="420"/>
        <w:rPr>
          <w:szCs w:val="21"/>
        </w:rPr>
      </w:pPr>
      <w:r w:rsidRPr="00E67914">
        <w:rPr>
          <w:szCs w:val="21"/>
        </w:rPr>
        <w:t>注：</w:t>
      </w:r>
      <w:r w:rsidRPr="00E67914">
        <w:rPr>
          <w:szCs w:val="21"/>
        </w:rPr>
        <w:t>*</w:t>
      </w:r>
      <w:r w:rsidRPr="00E67914">
        <w:rPr>
          <w:szCs w:val="21"/>
        </w:rPr>
        <w:t>为参考地表水标准。</w:t>
      </w:r>
    </w:p>
    <w:p w14:paraId="7BE9CD85"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）环境空气</w:t>
      </w:r>
    </w:p>
    <w:p w14:paraId="537E6C63" w14:textId="77777777" w:rsidR="00A54A8A" w:rsidRPr="00E67914" w:rsidRDefault="00000000">
      <w:pPr>
        <w:pStyle w:val="af4"/>
        <w:spacing w:line="360" w:lineRule="auto"/>
        <w:ind w:firstLineChars="200" w:firstLine="480"/>
        <w:rPr>
          <w:rFonts w:ascii="Times New Roman" w:hAnsi="Times New Roman"/>
          <w:bCs/>
          <w:szCs w:val="24"/>
        </w:rPr>
      </w:pPr>
      <w:r w:rsidRPr="00E67914">
        <w:rPr>
          <w:rFonts w:ascii="Times New Roman" w:hAnsi="Times New Roman"/>
          <w:bCs/>
          <w:szCs w:val="24"/>
        </w:rPr>
        <w:lastRenderedPageBreak/>
        <w:t>评价区域环境空气执行《环境空气质量标准》（</w:t>
      </w:r>
      <w:r w:rsidRPr="00E67914">
        <w:rPr>
          <w:rFonts w:ascii="Times New Roman" w:hAnsi="Times New Roman"/>
          <w:bCs/>
          <w:szCs w:val="24"/>
        </w:rPr>
        <w:t>GB3095-2012</w:t>
      </w:r>
      <w:r w:rsidRPr="00E67914">
        <w:rPr>
          <w:rFonts w:ascii="Times New Roman" w:hAnsi="Times New Roman"/>
          <w:bCs/>
          <w:szCs w:val="24"/>
        </w:rPr>
        <w:t>）二级标准；非甲烷总烃执行《大气污染物综合排放标准详解》中标准限值。具体标准限值见表</w:t>
      </w:r>
      <w:r w:rsidRPr="00E67914">
        <w:rPr>
          <w:rFonts w:ascii="Times New Roman" w:hAnsi="Times New Roman"/>
          <w:bCs/>
          <w:szCs w:val="24"/>
        </w:rPr>
        <w:t>2.5-3</w:t>
      </w:r>
      <w:r w:rsidRPr="00E67914">
        <w:rPr>
          <w:rFonts w:ascii="Times New Roman" w:hAnsi="Times New Roman"/>
          <w:bCs/>
          <w:szCs w:val="24"/>
        </w:rPr>
        <w:t>。</w:t>
      </w:r>
    </w:p>
    <w:p w14:paraId="1D848661" w14:textId="3E604C9F" w:rsidR="00A54A8A" w:rsidRPr="00E67914" w:rsidRDefault="00000000" w:rsidP="00965CF4">
      <w:pPr>
        <w:pStyle w:val="af4"/>
        <w:spacing w:line="360" w:lineRule="auto"/>
        <w:jc w:val="center"/>
        <w:rPr>
          <w:rFonts w:ascii="Times New Roman" w:eastAsia="黑体" w:hAnsi="Times New Roman"/>
          <w:sz w:val="21"/>
          <w:szCs w:val="21"/>
        </w:rPr>
      </w:pPr>
      <w:r w:rsidRPr="00E67914">
        <w:rPr>
          <w:rFonts w:ascii="Times New Roman" w:eastAsia="黑体" w:hAnsi="Times New Roman"/>
          <w:sz w:val="21"/>
          <w:szCs w:val="21"/>
        </w:rPr>
        <w:t>表</w:t>
      </w:r>
      <w:r w:rsidRPr="00E67914">
        <w:rPr>
          <w:rFonts w:ascii="Times New Roman" w:eastAsia="黑体" w:hAnsi="Times New Roman"/>
          <w:sz w:val="21"/>
          <w:szCs w:val="21"/>
        </w:rPr>
        <w:t xml:space="preserve">2.5-3  </w:t>
      </w:r>
      <w:r w:rsidRPr="00E67914">
        <w:rPr>
          <w:rFonts w:ascii="Times New Roman" w:eastAsia="黑体" w:hAnsi="Times New Roman"/>
          <w:sz w:val="21"/>
          <w:szCs w:val="21"/>
        </w:rPr>
        <w:t>环境空气质量标准</w:t>
      </w:r>
      <w:r w:rsidRPr="00E67914">
        <w:rPr>
          <w:rFonts w:ascii="Times New Roman" w:eastAsia="黑体" w:hAnsi="Times New Roman"/>
          <w:sz w:val="21"/>
          <w:szCs w:val="21"/>
        </w:rPr>
        <w:t xml:space="preserve">   </w:t>
      </w:r>
      <w:r w:rsidRPr="00E67914">
        <w:rPr>
          <w:rFonts w:ascii="Times New Roman" w:eastAsia="黑体" w:hAnsi="Times New Roman"/>
          <w:sz w:val="21"/>
          <w:szCs w:val="21"/>
        </w:rPr>
        <w:t>单位：</w:t>
      </w:r>
      <w:r w:rsidRPr="00E67914">
        <w:rPr>
          <w:rFonts w:ascii="Times New Roman" w:eastAsia="黑体" w:hAnsi="Times New Roman"/>
          <w:sz w:val="21"/>
          <w:szCs w:val="21"/>
        </w:rPr>
        <w:t>mg/m</w:t>
      </w:r>
      <w:r w:rsidRPr="00E67914">
        <w:rPr>
          <w:rFonts w:ascii="Times New Roman" w:eastAsia="黑体" w:hAnsi="Times New Roman"/>
          <w:sz w:val="21"/>
          <w:szCs w:val="21"/>
          <w:vertAlign w:val="superscript"/>
        </w:rPr>
        <w:t>3</w:t>
      </w:r>
    </w:p>
    <w:tbl>
      <w:tblPr>
        <w:tblW w:w="5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1"/>
        <w:gridCol w:w="1763"/>
        <w:gridCol w:w="1763"/>
        <w:gridCol w:w="3611"/>
      </w:tblGrid>
      <w:tr w:rsidR="002662E3" w:rsidRPr="00E67914" w14:paraId="53BBACB1" w14:textId="77777777">
        <w:trPr>
          <w:trHeight w:val="50"/>
          <w:tblHeader/>
          <w:jc w:val="center"/>
        </w:trPr>
        <w:tc>
          <w:tcPr>
            <w:tcW w:w="1481" w:type="dxa"/>
            <w:vMerge w:val="restart"/>
            <w:vAlign w:val="center"/>
          </w:tcPr>
          <w:p w14:paraId="00240445" w14:textId="77777777" w:rsidR="00A54A8A" w:rsidRPr="00E67914" w:rsidRDefault="00000000">
            <w:pPr>
              <w:pStyle w:val="affffff"/>
              <w:rPr>
                <w:b/>
              </w:rPr>
            </w:pPr>
            <w:r w:rsidRPr="00E67914">
              <w:rPr>
                <w:b/>
              </w:rPr>
              <w:t>污染物</w:t>
            </w:r>
          </w:p>
        </w:tc>
        <w:tc>
          <w:tcPr>
            <w:tcW w:w="3526" w:type="dxa"/>
            <w:gridSpan w:val="2"/>
            <w:vAlign w:val="center"/>
          </w:tcPr>
          <w:p w14:paraId="00C4740E" w14:textId="77777777" w:rsidR="00A54A8A" w:rsidRPr="00E67914" w:rsidRDefault="00000000">
            <w:pPr>
              <w:pStyle w:val="affffff"/>
              <w:rPr>
                <w:b/>
              </w:rPr>
            </w:pPr>
            <w:r w:rsidRPr="00E67914">
              <w:rPr>
                <w:b/>
              </w:rPr>
              <w:t>浓度限值</w:t>
            </w:r>
          </w:p>
        </w:tc>
        <w:tc>
          <w:tcPr>
            <w:tcW w:w="3611" w:type="dxa"/>
            <w:vMerge w:val="restart"/>
            <w:vAlign w:val="center"/>
          </w:tcPr>
          <w:p w14:paraId="0BA4FE47" w14:textId="77777777" w:rsidR="00A54A8A" w:rsidRPr="00E67914" w:rsidRDefault="00000000">
            <w:pPr>
              <w:pStyle w:val="affffff"/>
              <w:rPr>
                <w:b/>
              </w:rPr>
            </w:pPr>
            <w:r w:rsidRPr="00E67914">
              <w:rPr>
                <w:b/>
              </w:rPr>
              <w:t>依据</w:t>
            </w:r>
          </w:p>
        </w:tc>
      </w:tr>
      <w:tr w:rsidR="002662E3" w:rsidRPr="00E67914" w14:paraId="2134B990" w14:textId="77777777">
        <w:trPr>
          <w:trHeight w:val="12"/>
          <w:tblHeader/>
          <w:jc w:val="center"/>
        </w:trPr>
        <w:tc>
          <w:tcPr>
            <w:tcW w:w="1481" w:type="dxa"/>
            <w:vMerge/>
            <w:vAlign w:val="center"/>
          </w:tcPr>
          <w:p w14:paraId="61DCD89E" w14:textId="77777777" w:rsidR="00A54A8A" w:rsidRPr="00E67914" w:rsidRDefault="00A54A8A">
            <w:pPr>
              <w:pStyle w:val="affffff"/>
              <w:rPr>
                <w:b/>
              </w:rPr>
            </w:pPr>
          </w:p>
        </w:tc>
        <w:tc>
          <w:tcPr>
            <w:tcW w:w="1763" w:type="dxa"/>
            <w:vAlign w:val="center"/>
          </w:tcPr>
          <w:p w14:paraId="706F08D3" w14:textId="77777777" w:rsidR="00A54A8A" w:rsidRPr="00E67914" w:rsidRDefault="00000000">
            <w:pPr>
              <w:pStyle w:val="affffff"/>
              <w:rPr>
                <w:b/>
              </w:rPr>
            </w:pPr>
            <w:r w:rsidRPr="00E67914">
              <w:rPr>
                <w:b/>
              </w:rPr>
              <w:t>取值时间</w:t>
            </w:r>
          </w:p>
        </w:tc>
        <w:tc>
          <w:tcPr>
            <w:tcW w:w="1763" w:type="dxa"/>
            <w:vAlign w:val="center"/>
          </w:tcPr>
          <w:p w14:paraId="6EB28847" w14:textId="77777777" w:rsidR="00A54A8A" w:rsidRPr="00E67914" w:rsidRDefault="00000000">
            <w:pPr>
              <w:pStyle w:val="affffff"/>
              <w:rPr>
                <w:b/>
              </w:rPr>
            </w:pPr>
            <w:r w:rsidRPr="00E67914">
              <w:rPr>
                <w:b/>
              </w:rPr>
              <w:t>标准限值</w:t>
            </w:r>
          </w:p>
        </w:tc>
        <w:tc>
          <w:tcPr>
            <w:tcW w:w="3611" w:type="dxa"/>
            <w:vMerge/>
            <w:vAlign w:val="center"/>
          </w:tcPr>
          <w:p w14:paraId="5222EEEC" w14:textId="77777777" w:rsidR="00A54A8A" w:rsidRPr="00E67914" w:rsidRDefault="00A54A8A">
            <w:pPr>
              <w:pStyle w:val="affffff"/>
            </w:pPr>
          </w:p>
        </w:tc>
      </w:tr>
      <w:tr w:rsidR="002662E3" w:rsidRPr="00E67914" w14:paraId="45B2D504" w14:textId="77777777">
        <w:trPr>
          <w:trHeight w:val="12"/>
          <w:jc w:val="center"/>
        </w:trPr>
        <w:tc>
          <w:tcPr>
            <w:tcW w:w="1481" w:type="dxa"/>
            <w:vMerge w:val="restart"/>
            <w:vAlign w:val="center"/>
          </w:tcPr>
          <w:p w14:paraId="7EBF9D61" w14:textId="77777777" w:rsidR="00A54A8A" w:rsidRPr="00E67914" w:rsidRDefault="00000000">
            <w:pPr>
              <w:pStyle w:val="affffff"/>
            </w:pPr>
            <w:r w:rsidRPr="00E67914">
              <w:t>PM</w:t>
            </w:r>
            <w:r w:rsidRPr="00E67914">
              <w:rPr>
                <w:vertAlign w:val="subscript"/>
              </w:rPr>
              <w:t>10</w:t>
            </w:r>
          </w:p>
        </w:tc>
        <w:tc>
          <w:tcPr>
            <w:tcW w:w="1763" w:type="dxa"/>
            <w:vAlign w:val="center"/>
          </w:tcPr>
          <w:p w14:paraId="18058ACD" w14:textId="77777777" w:rsidR="00A54A8A" w:rsidRPr="00E67914" w:rsidRDefault="00000000">
            <w:pPr>
              <w:pStyle w:val="affffff"/>
            </w:pPr>
            <w:r w:rsidRPr="00E67914">
              <w:t>年平均</w:t>
            </w:r>
          </w:p>
        </w:tc>
        <w:tc>
          <w:tcPr>
            <w:tcW w:w="1763" w:type="dxa"/>
            <w:vAlign w:val="center"/>
          </w:tcPr>
          <w:p w14:paraId="27AA97FE" w14:textId="77777777" w:rsidR="00A54A8A" w:rsidRPr="00E67914" w:rsidRDefault="00000000">
            <w:pPr>
              <w:pStyle w:val="affffff"/>
            </w:pPr>
            <w:r w:rsidRPr="00E67914">
              <w:t>70μg/m</w:t>
            </w:r>
            <w:r w:rsidRPr="00E67914">
              <w:rPr>
                <w:vertAlign w:val="superscript"/>
              </w:rPr>
              <w:t>3</w:t>
            </w:r>
          </w:p>
        </w:tc>
        <w:tc>
          <w:tcPr>
            <w:tcW w:w="3611" w:type="dxa"/>
            <w:vMerge w:val="restart"/>
            <w:vAlign w:val="center"/>
          </w:tcPr>
          <w:p w14:paraId="5695A39E" w14:textId="77777777" w:rsidR="00A54A8A" w:rsidRPr="00E67914" w:rsidRDefault="00000000">
            <w:pPr>
              <w:pStyle w:val="affffff"/>
            </w:pPr>
            <w:r w:rsidRPr="00E67914">
              <w:t>《环境空气质量标准》（</w:t>
            </w:r>
            <w:r w:rsidRPr="00E67914">
              <w:t>GB3095-2012</w:t>
            </w:r>
            <w:r w:rsidRPr="00E67914">
              <w:t>）二级标准</w:t>
            </w:r>
          </w:p>
        </w:tc>
      </w:tr>
      <w:tr w:rsidR="002662E3" w:rsidRPr="00E67914" w14:paraId="59B6BCED" w14:textId="77777777">
        <w:trPr>
          <w:trHeight w:val="12"/>
          <w:jc w:val="center"/>
        </w:trPr>
        <w:tc>
          <w:tcPr>
            <w:tcW w:w="1481" w:type="dxa"/>
            <w:vMerge/>
            <w:vAlign w:val="center"/>
          </w:tcPr>
          <w:p w14:paraId="78A2D484" w14:textId="77777777" w:rsidR="00A54A8A" w:rsidRPr="00E67914" w:rsidRDefault="00A54A8A">
            <w:pPr>
              <w:pStyle w:val="affffff"/>
              <w:rPr>
                <w:vertAlign w:val="subscript"/>
              </w:rPr>
            </w:pPr>
          </w:p>
        </w:tc>
        <w:tc>
          <w:tcPr>
            <w:tcW w:w="1763" w:type="dxa"/>
            <w:vAlign w:val="center"/>
          </w:tcPr>
          <w:p w14:paraId="19BFB288" w14:textId="77777777" w:rsidR="00A54A8A" w:rsidRPr="00E67914" w:rsidRDefault="00000000">
            <w:pPr>
              <w:pStyle w:val="affffff"/>
            </w:pPr>
            <w:r w:rsidRPr="00E67914">
              <w:t>24</w:t>
            </w:r>
            <w:r w:rsidRPr="00E67914">
              <w:t>小时平均</w:t>
            </w:r>
          </w:p>
        </w:tc>
        <w:tc>
          <w:tcPr>
            <w:tcW w:w="1763" w:type="dxa"/>
            <w:vAlign w:val="center"/>
          </w:tcPr>
          <w:p w14:paraId="6A30D881" w14:textId="77777777" w:rsidR="00A54A8A" w:rsidRPr="00E67914" w:rsidRDefault="00000000">
            <w:pPr>
              <w:pStyle w:val="affffff"/>
            </w:pPr>
            <w:r w:rsidRPr="00E67914">
              <w:t>150μg/m</w:t>
            </w:r>
            <w:r w:rsidRPr="00E67914">
              <w:rPr>
                <w:vertAlign w:val="superscript"/>
              </w:rPr>
              <w:t>3</w:t>
            </w:r>
          </w:p>
        </w:tc>
        <w:tc>
          <w:tcPr>
            <w:tcW w:w="3611" w:type="dxa"/>
            <w:vMerge/>
            <w:vAlign w:val="center"/>
          </w:tcPr>
          <w:p w14:paraId="6EEEC98B" w14:textId="77777777" w:rsidR="00A54A8A" w:rsidRPr="00E67914" w:rsidRDefault="00A54A8A">
            <w:pPr>
              <w:pStyle w:val="affffff"/>
            </w:pPr>
          </w:p>
        </w:tc>
      </w:tr>
      <w:tr w:rsidR="002662E3" w:rsidRPr="00E67914" w14:paraId="0B696F05" w14:textId="77777777">
        <w:trPr>
          <w:trHeight w:val="12"/>
          <w:jc w:val="center"/>
        </w:trPr>
        <w:tc>
          <w:tcPr>
            <w:tcW w:w="1481" w:type="dxa"/>
            <w:vMerge w:val="restart"/>
            <w:vAlign w:val="center"/>
          </w:tcPr>
          <w:p w14:paraId="527AAB6F" w14:textId="77777777" w:rsidR="00A54A8A" w:rsidRPr="00E67914" w:rsidRDefault="00000000">
            <w:pPr>
              <w:pStyle w:val="affffff"/>
            </w:pPr>
            <w:r w:rsidRPr="00E67914">
              <w:t>PM</w:t>
            </w:r>
            <w:r w:rsidRPr="00E67914">
              <w:rPr>
                <w:vertAlign w:val="subscript"/>
              </w:rPr>
              <w:t>2.5</w:t>
            </w:r>
          </w:p>
        </w:tc>
        <w:tc>
          <w:tcPr>
            <w:tcW w:w="1763" w:type="dxa"/>
            <w:vAlign w:val="center"/>
          </w:tcPr>
          <w:p w14:paraId="470FAB46" w14:textId="77777777" w:rsidR="00A54A8A" w:rsidRPr="00E67914" w:rsidRDefault="00000000">
            <w:pPr>
              <w:pStyle w:val="affffff"/>
            </w:pPr>
            <w:r w:rsidRPr="00E67914">
              <w:t>年平均</w:t>
            </w:r>
          </w:p>
        </w:tc>
        <w:tc>
          <w:tcPr>
            <w:tcW w:w="1763" w:type="dxa"/>
            <w:vAlign w:val="center"/>
          </w:tcPr>
          <w:p w14:paraId="3F2A7020" w14:textId="77777777" w:rsidR="00A54A8A" w:rsidRPr="00E67914" w:rsidRDefault="00000000">
            <w:pPr>
              <w:pStyle w:val="affffff"/>
            </w:pPr>
            <w:r w:rsidRPr="00E67914">
              <w:t>35μg/m</w:t>
            </w:r>
            <w:r w:rsidRPr="00E67914">
              <w:rPr>
                <w:vertAlign w:val="superscript"/>
              </w:rPr>
              <w:t>3</w:t>
            </w:r>
          </w:p>
        </w:tc>
        <w:tc>
          <w:tcPr>
            <w:tcW w:w="3611" w:type="dxa"/>
            <w:vMerge/>
            <w:vAlign w:val="center"/>
          </w:tcPr>
          <w:p w14:paraId="5A1C5157" w14:textId="77777777" w:rsidR="00A54A8A" w:rsidRPr="00E67914" w:rsidRDefault="00A54A8A">
            <w:pPr>
              <w:pStyle w:val="affffff"/>
            </w:pPr>
          </w:p>
        </w:tc>
      </w:tr>
      <w:tr w:rsidR="002662E3" w:rsidRPr="00E67914" w14:paraId="4765C85F" w14:textId="77777777">
        <w:trPr>
          <w:trHeight w:val="12"/>
          <w:jc w:val="center"/>
        </w:trPr>
        <w:tc>
          <w:tcPr>
            <w:tcW w:w="1481" w:type="dxa"/>
            <w:vMerge/>
            <w:vAlign w:val="center"/>
          </w:tcPr>
          <w:p w14:paraId="66D4C252" w14:textId="77777777" w:rsidR="00A54A8A" w:rsidRPr="00E67914" w:rsidRDefault="00A54A8A">
            <w:pPr>
              <w:pStyle w:val="affffff"/>
              <w:rPr>
                <w:vertAlign w:val="subscript"/>
              </w:rPr>
            </w:pPr>
          </w:p>
        </w:tc>
        <w:tc>
          <w:tcPr>
            <w:tcW w:w="1763" w:type="dxa"/>
            <w:vAlign w:val="center"/>
          </w:tcPr>
          <w:p w14:paraId="0B2FA3C7" w14:textId="77777777" w:rsidR="00A54A8A" w:rsidRPr="00E67914" w:rsidRDefault="00000000">
            <w:pPr>
              <w:pStyle w:val="affffff"/>
            </w:pPr>
            <w:r w:rsidRPr="00E67914">
              <w:t>24</w:t>
            </w:r>
            <w:r w:rsidRPr="00E67914">
              <w:t>小时平均</w:t>
            </w:r>
          </w:p>
        </w:tc>
        <w:tc>
          <w:tcPr>
            <w:tcW w:w="1763" w:type="dxa"/>
            <w:vAlign w:val="center"/>
          </w:tcPr>
          <w:p w14:paraId="3DAAB08E" w14:textId="77777777" w:rsidR="00A54A8A" w:rsidRPr="00E67914" w:rsidRDefault="00000000">
            <w:pPr>
              <w:pStyle w:val="affffff"/>
            </w:pPr>
            <w:r w:rsidRPr="00E67914">
              <w:t>75μg/m</w:t>
            </w:r>
            <w:r w:rsidRPr="00E67914">
              <w:rPr>
                <w:vertAlign w:val="superscript"/>
              </w:rPr>
              <w:t>3</w:t>
            </w:r>
          </w:p>
        </w:tc>
        <w:tc>
          <w:tcPr>
            <w:tcW w:w="3611" w:type="dxa"/>
            <w:vMerge/>
            <w:vAlign w:val="center"/>
          </w:tcPr>
          <w:p w14:paraId="58441851" w14:textId="77777777" w:rsidR="00A54A8A" w:rsidRPr="00E67914" w:rsidRDefault="00A54A8A">
            <w:pPr>
              <w:pStyle w:val="affffff"/>
            </w:pPr>
          </w:p>
        </w:tc>
      </w:tr>
      <w:tr w:rsidR="002662E3" w:rsidRPr="00E67914" w14:paraId="3DB75A1A" w14:textId="77777777">
        <w:trPr>
          <w:trHeight w:val="12"/>
          <w:jc w:val="center"/>
        </w:trPr>
        <w:tc>
          <w:tcPr>
            <w:tcW w:w="1481" w:type="dxa"/>
            <w:vMerge w:val="restart"/>
            <w:vAlign w:val="center"/>
          </w:tcPr>
          <w:p w14:paraId="26C4C266" w14:textId="77777777" w:rsidR="00A54A8A" w:rsidRPr="00E67914" w:rsidRDefault="00000000">
            <w:pPr>
              <w:pStyle w:val="affffff"/>
              <w:rPr>
                <w:vertAlign w:val="subscript"/>
              </w:rPr>
            </w:pPr>
            <w:r w:rsidRPr="00E67914">
              <w:t>SO</w:t>
            </w:r>
            <w:r w:rsidRPr="00E67914">
              <w:rPr>
                <w:vertAlign w:val="subscript"/>
              </w:rPr>
              <w:t>2</w:t>
            </w:r>
          </w:p>
        </w:tc>
        <w:tc>
          <w:tcPr>
            <w:tcW w:w="1763" w:type="dxa"/>
            <w:vAlign w:val="center"/>
          </w:tcPr>
          <w:p w14:paraId="65628D62" w14:textId="77777777" w:rsidR="00A54A8A" w:rsidRPr="00E67914" w:rsidRDefault="00000000">
            <w:pPr>
              <w:pStyle w:val="affffff"/>
            </w:pPr>
            <w:r w:rsidRPr="00E67914">
              <w:t>年平均</w:t>
            </w:r>
          </w:p>
        </w:tc>
        <w:tc>
          <w:tcPr>
            <w:tcW w:w="1763" w:type="dxa"/>
            <w:vAlign w:val="center"/>
          </w:tcPr>
          <w:p w14:paraId="10D6C9A3" w14:textId="77777777" w:rsidR="00A54A8A" w:rsidRPr="00E67914" w:rsidRDefault="00000000">
            <w:pPr>
              <w:pStyle w:val="affffff"/>
            </w:pPr>
            <w:r w:rsidRPr="00E67914">
              <w:t>60μg/m</w:t>
            </w:r>
            <w:r w:rsidRPr="00E67914">
              <w:rPr>
                <w:vertAlign w:val="superscript"/>
              </w:rPr>
              <w:t>3</w:t>
            </w:r>
          </w:p>
        </w:tc>
        <w:tc>
          <w:tcPr>
            <w:tcW w:w="3611" w:type="dxa"/>
            <w:vMerge/>
            <w:vAlign w:val="center"/>
          </w:tcPr>
          <w:p w14:paraId="1B022E4F" w14:textId="77777777" w:rsidR="00A54A8A" w:rsidRPr="00E67914" w:rsidRDefault="00A54A8A">
            <w:pPr>
              <w:pStyle w:val="affffff"/>
            </w:pPr>
          </w:p>
        </w:tc>
      </w:tr>
      <w:tr w:rsidR="002662E3" w:rsidRPr="00E67914" w14:paraId="78EFD84A" w14:textId="77777777">
        <w:trPr>
          <w:trHeight w:val="53"/>
          <w:jc w:val="center"/>
        </w:trPr>
        <w:tc>
          <w:tcPr>
            <w:tcW w:w="1481" w:type="dxa"/>
            <w:vMerge/>
            <w:vAlign w:val="center"/>
          </w:tcPr>
          <w:p w14:paraId="3E086346" w14:textId="77777777" w:rsidR="00A54A8A" w:rsidRPr="00E67914" w:rsidRDefault="00A54A8A">
            <w:pPr>
              <w:pStyle w:val="affffff"/>
            </w:pPr>
          </w:p>
        </w:tc>
        <w:tc>
          <w:tcPr>
            <w:tcW w:w="1763" w:type="dxa"/>
            <w:vAlign w:val="center"/>
          </w:tcPr>
          <w:p w14:paraId="62D54760" w14:textId="77777777" w:rsidR="00A54A8A" w:rsidRPr="00E67914" w:rsidRDefault="00000000">
            <w:pPr>
              <w:pStyle w:val="affffff"/>
            </w:pPr>
            <w:r w:rsidRPr="00E67914">
              <w:t>24</w:t>
            </w:r>
            <w:r w:rsidRPr="00E67914">
              <w:t>小时平均</w:t>
            </w:r>
          </w:p>
        </w:tc>
        <w:tc>
          <w:tcPr>
            <w:tcW w:w="1763" w:type="dxa"/>
            <w:vAlign w:val="center"/>
          </w:tcPr>
          <w:p w14:paraId="2B200AA3" w14:textId="77777777" w:rsidR="00A54A8A" w:rsidRPr="00E67914" w:rsidRDefault="00000000">
            <w:pPr>
              <w:pStyle w:val="affffff"/>
            </w:pPr>
            <w:r w:rsidRPr="00E67914">
              <w:t>150μg/m</w:t>
            </w:r>
            <w:r w:rsidRPr="00E67914">
              <w:rPr>
                <w:vertAlign w:val="superscript"/>
              </w:rPr>
              <w:t>3</w:t>
            </w:r>
          </w:p>
        </w:tc>
        <w:tc>
          <w:tcPr>
            <w:tcW w:w="3611" w:type="dxa"/>
            <w:vMerge/>
            <w:vAlign w:val="center"/>
          </w:tcPr>
          <w:p w14:paraId="0744E41D" w14:textId="77777777" w:rsidR="00A54A8A" w:rsidRPr="00E67914" w:rsidRDefault="00A54A8A">
            <w:pPr>
              <w:pStyle w:val="affffff"/>
            </w:pPr>
          </w:p>
        </w:tc>
      </w:tr>
      <w:tr w:rsidR="002662E3" w:rsidRPr="00E67914" w14:paraId="6321F09F" w14:textId="77777777">
        <w:trPr>
          <w:trHeight w:val="53"/>
          <w:jc w:val="center"/>
        </w:trPr>
        <w:tc>
          <w:tcPr>
            <w:tcW w:w="1481" w:type="dxa"/>
            <w:vMerge/>
            <w:vAlign w:val="center"/>
          </w:tcPr>
          <w:p w14:paraId="24499216" w14:textId="77777777" w:rsidR="00A54A8A" w:rsidRPr="00E67914" w:rsidRDefault="00A54A8A">
            <w:pPr>
              <w:pStyle w:val="affffff"/>
            </w:pPr>
          </w:p>
        </w:tc>
        <w:tc>
          <w:tcPr>
            <w:tcW w:w="1763" w:type="dxa"/>
            <w:vAlign w:val="center"/>
          </w:tcPr>
          <w:p w14:paraId="35760B91" w14:textId="77777777" w:rsidR="00A54A8A" w:rsidRPr="00E67914" w:rsidRDefault="00000000">
            <w:pPr>
              <w:pStyle w:val="affffff"/>
            </w:pPr>
            <w:r w:rsidRPr="00E67914">
              <w:t>1</w:t>
            </w:r>
            <w:r w:rsidRPr="00E67914">
              <w:t>小时平均</w:t>
            </w:r>
          </w:p>
        </w:tc>
        <w:tc>
          <w:tcPr>
            <w:tcW w:w="1763" w:type="dxa"/>
            <w:vAlign w:val="center"/>
          </w:tcPr>
          <w:p w14:paraId="0CA68EA6" w14:textId="77777777" w:rsidR="00A54A8A" w:rsidRPr="00E67914" w:rsidRDefault="00000000">
            <w:pPr>
              <w:pStyle w:val="affffff"/>
            </w:pPr>
            <w:r w:rsidRPr="00E67914">
              <w:t>500μg/m</w:t>
            </w:r>
            <w:r w:rsidRPr="00E67914">
              <w:rPr>
                <w:vertAlign w:val="superscript"/>
              </w:rPr>
              <w:t>3</w:t>
            </w:r>
          </w:p>
        </w:tc>
        <w:tc>
          <w:tcPr>
            <w:tcW w:w="3611" w:type="dxa"/>
            <w:vMerge/>
            <w:vAlign w:val="center"/>
          </w:tcPr>
          <w:p w14:paraId="6CBB2907" w14:textId="77777777" w:rsidR="00A54A8A" w:rsidRPr="00E67914" w:rsidRDefault="00A54A8A">
            <w:pPr>
              <w:pStyle w:val="affffff"/>
            </w:pPr>
          </w:p>
        </w:tc>
      </w:tr>
      <w:tr w:rsidR="002662E3" w:rsidRPr="00E67914" w14:paraId="22251B3C" w14:textId="77777777">
        <w:trPr>
          <w:trHeight w:val="12"/>
          <w:jc w:val="center"/>
        </w:trPr>
        <w:tc>
          <w:tcPr>
            <w:tcW w:w="1481" w:type="dxa"/>
            <w:vMerge w:val="restart"/>
            <w:vAlign w:val="center"/>
          </w:tcPr>
          <w:p w14:paraId="2818E000" w14:textId="77777777" w:rsidR="00A54A8A" w:rsidRPr="00E67914" w:rsidRDefault="00000000">
            <w:pPr>
              <w:pStyle w:val="affffff"/>
            </w:pPr>
            <w:r w:rsidRPr="00E67914">
              <w:t>NO</w:t>
            </w:r>
            <w:r w:rsidRPr="00E67914">
              <w:rPr>
                <w:vertAlign w:val="subscript"/>
              </w:rPr>
              <w:t>2</w:t>
            </w:r>
          </w:p>
        </w:tc>
        <w:tc>
          <w:tcPr>
            <w:tcW w:w="1763" w:type="dxa"/>
            <w:vAlign w:val="center"/>
          </w:tcPr>
          <w:p w14:paraId="5D562A7A" w14:textId="77777777" w:rsidR="00A54A8A" w:rsidRPr="00E67914" w:rsidRDefault="00000000">
            <w:pPr>
              <w:pStyle w:val="affffff"/>
            </w:pPr>
            <w:r w:rsidRPr="00E67914">
              <w:t>年平均</w:t>
            </w:r>
          </w:p>
        </w:tc>
        <w:tc>
          <w:tcPr>
            <w:tcW w:w="1763" w:type="dxa"/>
            <w:vAlign w:val="center"/>
          </w:tcPr>
          <w:p w14:paraId="4DA8794A" w14:textId="77777777" w:rsidR="00A54A8A" w:rsidRPr="00E67914" w:rsidRDefault="00000000">
            <w:pPr>
              <w:pStyle w:val="affffff"/>
            </w:pPr>
            <w:r w:rsidRPr="00E67914">
              <w:t>40μg/m</w:t>
            </w:r>
            <w:r w:rsidRPr="00E67914">
              <w:rPr>
                <w:vertAlign w:val="superscript"/>
              </w:rPr>
              <w:t>3</w:t>
            </w:r>
          </w:p>
        </w:tc>
        <w:tc>
          <w:tcPr>
            <w:tcW w:w="3611" w:type="dxa"/>
            <w:vMerge/>
            <w:vAlign w:val="center"/>
          </w:tcPr>
          <w:p w14:paraId="5341E618" w14:textId="77777777" w:rsidR="00A54A8A" w:rsidRPr="00E67914" w:rsidRDefault="00A54A8A">
            <w:pPr>
              <w:pStyle w:val="affffff"/>
            </w:pPr>
          </w:p>
        </w:tc>
      </w:tr>
      <w:tr w:rsidR="002662E3" w:rsidRPr="00E67914" w14:paraId="046D8817" w14:textId="77777777">
        <w:trPr>
          <w:trHeight w:val="12"/>
          <w:jc w:val="center"/>
        </w:trPr>
        <w:tc>
          <w:tcPr>
            <w:tcW w:w="1481" w:type="dxa"/>
            <w:vMerge/>
            <w:vAlign w:val="center"/>
          </w:tcPr>
          <w:p w14:paraId="04929196" w14:textId="77777777" w:rsidR="00A54A8A" w:rsidRPr="00E67914" w:rsidRDefault="00A54A8A">
            <w:pPr>
              <w:pStyle w:val="affffff"/>
            </w:pPr>
          </w:p>
        </w:tc>
        <w:tc>
          <w:tcPr>
            <w:tcW w:w="1763" w:type="dxa"/>
            <w:vAlign w:val="center"/>
          </w:tcPr>
          <w:p w14:paraId="05E7D13B" w14:textId="77777777" w:rsidR="00A54A8A" w:rsidRPr="00E67914" w:rsidRDefault="00000000">
            <w:pPr>
              <w:pStyle w:val="affffff"/>
            </w:pPr>
            <w:r w:rsidRPr="00E67914">
              <w:t>24</w:t>
            </w:r>
            <w:r w:rsidRPr="00E67914">
              <w:t>小时平均</w:t>
            </w:r>
          </w:p>
        </w:tc>
        <w:tc>
          <w:tcPr>
            <w:tcW w:w="1763" w:type="dxa"/>
            <w:vAlign w:val="center"/>
          </w:tcPr>
          <w:p w14:paraId="29527E94" w14:textId="77777777" w:rsidR="00A54A8A" w:rsidRPr="00E67914" w:rsidRDefault="00000000">
            <w:pPr>
              <w:pStyle w:val="affffff"/>
            </w:pPr>
            <w:r w:rsidRPr="00E67914">
              <w:t>80μg/m</w:t>
            </w:r>
            <w:r w:rsidRPr="00E67914">
              <w:rPr>
                <w:vertAlign w:val="superscript"/>
              </w:rPr>
              <w:t>3</w:t>
            </w:r>
          </w:p>
        </w:tc>
        <w:tc>
          <w:tcPr>
            <w:tcW w:w="3611" w:type="dxa"/>
            <w:vMerge/>
            <w:vAlign w:val="center"/>
          </w:tcPr>
          <w:p w14:paraId="5CCECBCE" w14:textId="77777777" w:rsidR="00A54A8A" w:rsidRPr="00E67914" w:rsidRDefault="00A54A8A">
            <w:pPr>
              <w:pStyle w:val="affffff"/>
            </w:pPr>
          </w:p>
        </w:tc>
      </w:tr>
      <w:tr w:rsidR="002662E3" w:rsidRPr="00E67914" w14:paraId="0EA808AE" w14:textId="77777777">
        <w:trPr>
          <w:trHeight w:val="12"/>
          <w:jc w:val="center"/>
        </w:trPr>
        <w:tc>
          <w:tcPr>
            <w:tcW w:w="1481" w:type="dxa"/>
            <w:vMerge/>
            <w:vAlign w:val="center"/>
          </w:tcPr>
          <w:p w14:paraId="790A7D32" w14:textId="77777777" w:rsidR="00A54A8A" w:rsidRPr="00E67914" w:rsidRDefault="00A54A8A">
            <w:pPr>
              <w:pStyle w:val="affffff"/>
            </w:pPr>
          </w:p>
        </w:tc>
        <w:tc>
          <w:tcPr>
            <w:tcW w:w="1763" w:type="dxa"/>
            <w:vAlign w:val="center"/>
          </w:tcPr>
          <w:p w14:paraId="2271D2C3" w14:textId="77777777" w:rsidR="00A54A8A" w:rsidRPr="00E67914" w:rsidRDefault="00000000">
            <w:pPr>
              <w:pStyle w:val="affffff"/>
            </w:pPr>
            <w:r w:rsidRPr="00E67914">
              <w:t>1</w:t>
            </w:r>
            <w:r w:rsidRPr="00E67914">
              <w:t>小时平均</w:t>
            </w:r>
          </w:p>
        </w:tc>
        <w:tc>
          <w:tcPr>
            <w:tcW w:w="1763" w:type="dxa"/>
            <w:vAlign w:val="center"/>
          </w:tcPr>
          <w:p w14:paraId="03AF5664" w14:textId="77777777" w:rsidR="00A54A8A" w:rsidRPr="00E67914" w:rsidRDefault="00000000">
            <w:pPr>
              <w:pStyle w:val="affffff"/>
            </w:pPr>
            <w:r w:rsidRPr="00E67914">
              <w:t>200μg/m</w:t>
            </w:r>
            <w:r w:rsidRPr="00E67914">
              <w:rPr>
                <w:vertAlign w:val="superscript"/>
              </w:rPr>
              <w:t>3</w:t>
            </w:r>
          </w:p>
        </w:tc>
        <w:tc>
          <w:tcPr>
            <w:tcW w:w="3611" w:type="dxa"/>
            <w:vMerge/>
            <w:vAlign w:val="center"/>
          </w:tcPr>
          <w:p w14:paraId="7891DBBE" w14:textId="77777777" w:rsidR="00A54A8A" w:rsidRPr="00E67914" w:rsidRDefault="00A54A8A">
            <w:pPr>
              <w:pStyle w:val="affffff"/>
            </w:pPr>
          </w:p>
        </w:tc>
      </w:tr>
      <w:tr w:rsidR="002662E3" w:rsidRPr="00E67914" w14:paraId="5F689382" w14:textId="77777777">
        <w:trPr>
          <w:trHeight w:val="12"/>
          <w:jc w:val="center"/>
        </w:trPr>
        <w:tc>
          <w:tcPr>
            <w:tcW w:w="1481" w:type="dxa"/>
            <w:vMerge w:val="restart"/>
            <w:vAlign w:val="center"/>
          </w:tcPr>
          <w:p w14:paraId="5F61AA0A" w14:textId="77777777" w:rsidR="00A54A8A" w:rsidRPr="00E67914" w:rsidRDefault="00000000">
            <w:pPr>
              <w:pStyle w:val="affffff"/>
            </w:pPr>
            <w:r w:rsidRPr="00E67914">
              <w:t>TSP</w:t>
            </w:r>
          </w:p>
        </w:tc>
        <w:tc>
          <w:tcPr>
            <w:tcW w:w="1763" w:type="dxa"/>
            <w:vAlign w:val="center"/>
          </w:tcPr>
          <w:p w14:paraId="40C52FA1" w14:textId="77777777" w:rsidR="00A54A8A" w:rsidRPr="00E67914" w:rsidRDefault="00000000">
            <w:pPr>
              <w:pStyle w:val="affffff"/>
            </w:pPr>
            <w:r w:rsidRPr="00E67914">
              <w:t>年平均</w:t>
            </w:r>
          </w:p>
        </w:tc>
        <w:tc>
          <w:tcPr>
            <w:tcW w:w="1763" w:type="dxa"/>
            <w:vAlign w:val="center"/>
          </w:tcPr>
          <w:p w14:paraId="67C0FFD7" w14:textId="77777777" w:rsidR="00A54A8A" w:rsidRPr="00E67914" w:rsidRDefault="00000000">
            <w:pPr>
              <w:pStyle w:val="affffff"/>
            </w:pPr>
            <w:r w:rsidRPr="00E67914">
              <w:t>200μg/m</w:t>
            </w:r>
            <w:r w:rsidRPr="00E67914">
              <w:rPr>
                <w:vertAlign w:val="superscript"/>
              </w:rPr>
              <w:t>3</w:t>
            </w:r>
          </w:p>
        </w:tc>
        <w:tc>
          <w:tcPr>
            <w:tcW w:w="3611" w:type="dxa"/>
            <w:vMerge/>
            <w:vAlign w:val="center"/>
          </w:tcPr>
          <w:p w14:paraId="7223B877" w14:textId="77777777" w:rsidR="00A54A8A" w:rsidRPr="00E67914" w:rsidRDefault="00A54A8A">
            <w:pPr>
              <w:pStyle w:val="affffff"/>
            </w:pPr>
          </w:p>
        </w:tc>
      </w:tr>
      <w:tr w:rsidR="002662E3" w:rsidRPr="00E67914" w14:paraId="4D7E7282" w14:textId="77777777">
        <w:trPr>
          <w:trHeight w:val="12"/>
          <w:jc w:val="center"/>
        </w:trPr>
        <w:tc>
          <w:tcPr>
            <w:tcW w:w="1481" w:type="dxa"/>
            <w:vMerge/>
            <w:vAlign w:val="center"/>
          </w:tcPr>
          <w:p w14:paraId="49EFB9D1" w14:textId="77777777" w:rsidR="00A54A8A" w:rsidRPr="00E67914" w:rsidRDefault="00A54A8A">
            <w:pPr>
              <w:pStyle w:val="affffff"/>
            </w:pPr>
          </w:p>
        </w:tc>
        <w:tc>
          <w:tcPr>
            <w:tcW w:w="1763" w:type="dxa"/>
            <w:vAlign w:val="center"/>
          </w:tcPr>
          <w:p w14:paraId="0CB86DBB" w14:textId="77777777" w:rsidR="00A54A8A" w:rsidRPr="00E67914" w:rsidRDefault="00000000">
            <w:pPr>
              <w:pStyle w:val="affffff"/>
            </w:pPr>
            <w:r w:rsidRPr="00E67914">
              <w:t>24</w:t>
            </w:r>
            <w:r w:rsidRPr="00E67914">
              <w:t>小时平均</w:t>
            </w:r>
          </w:p>
        </w:tc>
        <w:tc>
          <w:tcPr>
            <w:tcW w:w="1763" w:type="dxa"/>
            <w:vAlign w:val="center"/>
          </w:tcPr>
          <w:p w14:paraId="1A565A81" w14:textId="77777777" w:rsidR="00A54A8A" w:rsidRPr="00E67914" w:rsidRDefault="00000000">
            <w:pPr>
              <w:pStyle w:val="affffff"/>
            </w:pPr>
            <w:r w:rsidRPr="00E67914">
              <w:t>300μg/m</w:t>
            </w:r>
            <w:r w:rsidRPr="00E67914">
              <w:rPr>
                <w:vertAlign w:val="superscript"/>
              </w:rPr>
              <w:t>3</w:t>
            </w:r>
          </w:p>
        </w:tc>
        <w:tc>
          <w:tcPr>
            <w:tcW w:w="3611" w:type="dxa"/>
            <w:vMerge/>
            <w:vAlign w:val="center"/>
          </w:tcPr>
          <w:p w14:paraId="7DDAC9D9" w14:textId="77777777" w:rsidR="00A54A8A" w:rsidRPr="00E67914" w:rsidRDefault="00A54A8A">
            <w:pPr>
              <w:pStyle w:val="affffff"/>
            </w:pPr>
          </w:p>
        </w:tc>
      </w:tr>
      <w:tr w:rsidR="002662E3" w:rsidRPr="00E67914" w14:paraId="5D312D8C" w14:textId="77777777">
        <w:trPr>
          <w:trHeight w:val="12"/>
          <w:jc w:val="center"/>
        </w:trPr>
        <w:tc>
          <w:tcPr>
            <w:tcW w:w="1481" w:type="dxa"/>
            <w:vMerge w:val="restart"/>
            <w:vAlign w:val="center"/>
          </w:tcPr>
          <w:p w14:paraId="06FBB5A1" w14:textId="77777777" w:rsidR="00A54A8A" w:rsidRPr="00E67914" w:rsidRDefault="00000000">
            <w:pPr>
              <w:pStyle w:val="affffff"/>
            </w:pPr>
            <w:r w:rsidRPr="00E67914">
              <w:t>CO</w:t>
            </w:r>
          </w:p>
        </w:tc>
        <w:tc>
          <w:tcPr>
            <w:tcW w:w="1763" w:type="dxa"/>
            <w:vAlign w:val="center"/>
          </w:tcPr>
          <w:p w14:paraId="01739126" w14:textId="77777777" w:rsidR="00A54A8A" w:rsidRPr="00E67914" w:rsidRDefault="00000000">
            <w:pPr>
              <w:pStyle w:val="affffff"/>
            </w:pPr>
            <w:r w:rsidRPr="00E67914">
              <w:t>24</w:t>
            </w:r>
            <w:r w:rsidRPr="00E67914">
              <w:t>小时平均</w:t>
            </w:r>
          </w:p>
        </w:tc>
        <w:tc>
          <w:tcPr>
            <w:tcW w:w="1763" w:type="dxa"/>
            <w:vAlign w:val="center"/>
          </w:tcPr>
          <w:p w14:paraId="4993FFFF" w14:textId="77777777" w:rsidR="00A54A8A" w:rsidRPr="00E67914" w:rsidRDefault="00000000">
            <w:pPr>
              <w:pStyle w:val="affffff"/>
            </w:pPr>
            <w:r w:rsidRPr="00E67914">
              <w:t>4mg/m</w:t>
            </w:r>
            <w:r w:rsidRPr="00E67914">
              <w:rPr>
                <w:vertAlign w:val="superscript"/>
              </w:rPr>
              <w:t>3</w:t>
            </w:r>
          </w:p>
        </w:tc>
        <w:tc>
          <w:tcPr>
            <w:tcW w:w="3611" w:type="dxa"/>
            <w:vMerge/>
            <w:vAlign w:val="center"/>
          </w:tcPr>
          <w:p w14:paraId="4DD0C562" w14:textId="77777777" w:rsidR="00A54A8A" w:rsidRPr="00E67914" w:rsidRDefault="00A54A8A">
            <w:pPr>
              <w:pStyle w:val="affffff"/>
            </w:pPr>
          </w:p>
        </w:tc>
      </w:tr>
      <w:tr w:rsidR="002662E3" w:rsidRPr="00E67914" w14:paraId="7AE710C2" w14:textId="77777777">
        <w:trPr>
          <w:trHeight w:val="12"/>
          <w:jc w:val="center"/>
        </w:trPr>
        <w:tc>
          <w:tcPr>
            <w:tcW w:w="1481" w:type="dxa"/>
            <w:vMerge/>
            <w:vAlign w:val="center"/>
          </w:tcPr>
          <w:p w14:paraId="42AD31BF" w14:textId="77777777" w:rsidR="00A54A8A" w:rsidRPr="00E67914" w:rsidRDefault="00A54A8A">
            <w:pPr>
              <w:pStyle w:val="affffff"/>
            </w:pPr>
          </w:p>
        </w:tc>
        <w:tc>
          <w:tcPr>
            <w:tcW w:w="1763" w:type="dxa"/>
            <w:vAlign w:val="center"/>
          </w:tcPr>
          <w:p w14:paraId="095A36B8" w14:textId="77777777" w:rsidR="00A54A8A" w:rsidRPr="00E67914" w:rsidRDefault="00000000">
            <w:pPr>
              <w:pStyle w:val="affffff"/>
            </w:pPr>
            <w:r w:rsidRPr="00E67914">
              <w:t>1</w:t>
            </w:r>
            <w:r w:rsidRPr="00E67914">
              <w:t>小时平均</w:t>
            </w:r>
          </w:p>
        </w:tc>
        <w:tc>
          <w:tcPr>
            <w:tcW w:w="1763" w:type="dxa"/>
            <w:vAlign w:val="center"/>
          </w:tcPr>
          <w:p w14:paraId="64F1EB83" w14:textId="77777777" w:rsidR="00A54A8A" w:rsidRPr="00E67914" w:rsidRDefault="00000000">
            <w:pPr>
              <w:pStyle w:val="affffff"/>
            </w:pPr>
            <w:r w:rsidRPr="00E67914">
              <w:t>10mg/m</w:t>
            </w:r>
            <w:r w:rsidRPr="00E67914">
              <w:rPr>
                <w:vertAlign w:val="superscript"/>
              </w:rPr>
              <w:t>3</w:t>
            </w:r>
          </w:p>
        </w:tc>
        <w:tc>
          <w:tcPr>
            <w:tcW w:w="3611" w:type="dxa"/>
            <w:vMerge/>
            <w:vAlign w:val="center"/>
          </w:tcPr>
          <w:p w14:paraId="2FE4E30C" w14:textId="77777777" w:rsidR="00A54A8A" w:rsidRPr="00E67914" w:rsidRDefault="00A54A8A">
            <w:pPr>
              <w:pStyle w:val="affffff"/>
            </w:pPr>
          </w:p>
        </w:tc>
      </w:tr>
      <w:tr w:rsidR="002662E3" w:rsidRPr="00E67914" w14:paraId="381E0EC0" w14:textId="77777777">
        <w:trPr>
          <w:trHeight w:val="12"/>
          <w:jc w:val="center"/>
        </w:trPr>
        <w:tc>
          <w:tcPr>
            <w:tcW w:w="1481" w:type="dxa"/>
            <w:vMerge w:val="restart"/>
            <w:vAlign w:val="center"/>
          </w:tcPr>
          <w:p w14:paraId="0D7AD4AC" w14:textId="77777777" w:rsidR="00A54A8A" w:rsidRPr="00E67914" w:rsidRDefault="00000000">
            <w:pPr>
              <w:pStyle w:val="affffff"/>
            </w:pPr>
            <w:r w:rsidRPr="00E67914">
              <w:rPr>
                <w:iCs/>
                <w:kern w:val="0"/>
                <w:szCs w:val="21"/>
              </w:rPr>
              <w:t>O</w:t>
            </w:r>
            <w:r w:rsidRPr="00E67914">
              <w:rPr>
                <w:iCs/>
                <w:kern w:val="0"/>
                <w:szCs w:val="21"/>
                <w:vertAlign w:val="subscript"/>
              </w:rPr>
              <w:t>3</w:t>
            </w:r>
          </w:p>
        </w:tc>
        <w:tc>
          <w:tcPr>
            <w:tcW w:w="1763" w:type="dxa"/>
          </w:tcPr>
          <w:p w14:paraId="3C3D7711" w14:textId="77777777" w:rsidR="00A54A8A" w:rsidRPr="00E67914" w:rsidRDefault="00000000">
            <w:pPr>
              <w:pStyle w:val="affffff"/>
            </w:pPr>
            <w:r w:rsidRPr="00E67914">
              <w:rPr>
                <w:iCs/>
                <w:szCs w:val="21"/>
              </w:rPr>
              <w:t>8</w:t>
            </w:r>
            <w:r w:rsidRPr="00E67914">
              <w:rPr>
                <w:iCs/>
                <w:szCs w:val="21"/>
              </w:rPr>
              <w:t>小时平均</w:t>
            </w:r>
          </w:p>
        </w:tc>
        <w:tc>
          <w:tcPr>
            <w:tcW w:w="1763" w:type="dxa"/>
          </w:tcPr>
          <w:p w14:paraId="1D0DA3F1" w14:textId="77777777" w:rsidR="00A54A8A" w:rsidRPr="00E67914" w:rsidRDefault="00000000">
            <w:pPr>
              <w:pStyle w:val="affffff"/>
            </w:pPr>
            <w:r w:rsidRPr="00E67914">
              <w:rPr>
                <w:iCs/>
                <w:szCs w:val="21"/>
              </w:rPr>
              <w:t>160</w:t>
            </w:r>
            <w:r w:rsidRPr="00E67914">
              <w:rPr>
                <w:iCs/>
                <w:kern w:val="0"/>
                <w:szCs w:val="21"/>
              </w:rPr>
              <w:t>μg/m</w:t>
            </w:r>
            <w:r w:rsidRPr="00E67914">
              <w:rPr>
                <w:iCs/>
                <w:kern w:val="0"/>
                <w:szCs w:val="21"/>
                <w:vertAlign w:val="superscript"/>
              </w:rPr>
              <w:t>3</w:t>
            </w:r>
          </w:p>
        </w:tc>
        <w:tc>
          <w:tcPr>
            <w:tcW w:w="3611" w:type="dxa"/>
            <w:vMerge/>
            <w:vAlign w:val="center"/>
          </w:tcPr>
          <w:p w14:paraId="2F570315" w14:textId="77777777" w:rsidR="00A54A8A" w:rsidRPr="00E67914" w:rsidRDefault="00A54A8A">
            <w:pPr>
              <w:pStyle w:val="affffff"/>
            </w:pPr>
          </w:p>
        </w:tc>
      </w:tr>
      <w:tr w:rsidR="002662E3" w:rsidRPr="00E67914" w14:paraId="62AECA84" w14:textId="77777777">
        <w:trPr>
          <w:trHeight w:val="12"/>
          <w:jc w:val="center"/>
        </w:trPr>
        <w:tc>
          <w:tcPr>
            <w:tcW w:w="1481" w:type="dxa"/>
            <w:vMerge/>
            <w:vAlign w:val="center"/>
          </w:tcPr>
          <w:p w14:paraId="7428B895" w14:textId="77777777" w:rsidR="00A54A8A" w:rsidRPr="00E67914" w:rsidRDefault="00A54A8A">
            <w:pPr>
              <w:pStyle w:val="affffff"/>
            </w:pPr>
          </w:p>
        </w:tc>
        <w:tc>
          <w:tcPr>
            <w:tcW w:w="1763" w:type="dxa"/>
          </w:tcPr>
          <w:p w14:paraId="593E2E5A" w14:textId="77777777" w:rsidR="00A54A8A" w:rsidRPr="00E67914" w:rsidRDefault="00000000">
            <w:pPr>
              <w:pStyle w:val="affffff"/>
            </w:pPr>
            <w:r w:rsidRPr="00E67914">
              <w:rPr>
                <w:iCs/>
                <w:szCs w:val="21"/>
              </w:rPr>
              <w:t>1</w:t>
            </w:r>
            <w:r w:rsidRPr="00E67914">
              <w:rPr>
                <w:iCs/>
                <w:szCs w:val="21"/>
              </w:rPr>
              <w:t>小时平均</w:t>
            </w:r>
          </w:p>
        </w:tc>
        <w:tc>
          <w:tcPr>
            <w:tcW w:w="1763" w:type="dxa"/>
          </w:tcPr>
          <w:p w14:paraId="41852736" w14:textId="77777777" w:rsidR="00A54A8A" w:rsidRPr="00E67914" w:rsidRDefault="00000000">
            <w:pPr>
              <w:pStyle w:val="affffff"/>
            </w:pPr>
            <w:r w:rsidRPr="00E67914">
              <w:rPr>
                <w:iCs/>
                <w:szCs w:val="21"/>
              </w:rPr>
              <w:t>200</w:t>
            </w:r>
            <w:r w:rsidRPr="00E67914">
              <w:rPr>
                <w:iCs/>
                <w:kern w:val="0"/>
                <w:szCs w:val="21"/>
              </w:rPr>
              <w:t>μg/m</w:t>
            </w:r>
            <w:r w:rsidRPr="00E67914">
              <w:rPr>
                <w:iCs/>
                <w:kern w:val="0"/>
                <w:szCs w:val="21"/>
                <w:vertAlign w:val="superscript"/>
              </w:rPr>
              <w:t>3</w:t>
            </w:r>
          </w:p>
        </w:tc>
        <w:tc>
          <w:tcPr>
            <w:tcW w:w="3611" w:type="dxa"/>
            <w:vMerge/>
            <w:vAlign w:val="center"/>
          </w:tcPr>
          <w:p w14:paraId="2C3E0767" w14:textId="77777777" w:rsidR="00A54A8A" w:rsidRPr="00E67914" w:rsidRDefault="00A54A8A">
            <w:pPr>
              <w:pStyle w:val="affffff"/>
            </w:pPr>
          </w:p>
        </w:tc>
      </w:tr>
      <w:tr w:rsidR="002662E3" w:rsidRPr="00E67914" w14:paraId="6004F444" w14:textId="77777777">
        <w:trPr>
          <w:trHeight w:val="12"/>
          <w:jc w:val="center"/>
        </w:trPr>
        <w:tc>
          <w:tcPr>
            <w:tcW w:w="1481" w:type="dxa"/>
            <w:vAlign w:val="center"/>
          </w:tcPr>
          <w:p w14:paraId="669C0A75" w14:textId="77777777" w:rsidR="00A54A8A" w:rsidRPr="00E67914" w:rsidRDefault="00000000">
            <w:pPr>
              <w:pStyle w:val="affffff"/>
            </w:pPr>
            <w:r w:rsidRPr="00E67914">
              <w:t>非甲烷总烃</w:t>
            </w:r>
          </w:p>
        </w:tc>
        <w:tc>
          <w:tcPr>
            <w:tcW w:w="1763" w:type="dxa"/>
            <w:vAlign w:val="center"/>
          </w:tcPr>
          <w:p w14:paraId="0B4A28E9" w14:textId="77777777" w:rsidR="00A54A8A" w:rsidRPr="00E67914" w:rsidRDefault="00000000">
            <w:pPr>
              <w:pStyle w:val="affffff"/>
            </w:pPr>
            <w:r w:rsidRPr="00E67914">
              <w:t>1</w:t>
            </w:r>
            <w:r w:rsidRPr="00E67914">
              <w:t>小时平均</w:t>
            </w:r>
          </w:p>
        </w:tc>
        <w:tc>
          <w:tcPr>
            <w:tcW w:w="1763" w:type="dxa"/>
            <w:vAlign w:val="center"/>
          </w:tcPr>
          <w:p w14:paraId="37103688" w14:textId="77777777" w:rsidR="00A54A8A" w:rsidRPr="00E67914" w:rsidRDefault="00000000">
            <w:pPr>
              <w:pStyle w:val="affffff"/>
            </w:pPr>
            <w:r w:rsidRPr="00E67914">
              <w:t>2mg/m</w:t>
            </w:r>
            <w:r w:rsidRPr="00E67914">
              <w:rPr>
                <w:vertAlign w:val="superscript"/>
              </w:rPr>
              <w:t>3</w:t>
            </w:r>
          </w:p>
        </w:tc>
        <w:tc>
          <w:tcPr>
            <w:tcW w:w="3611" w:type="dxa"/>
            <w:vAlign w:val="center"/>
          </w:tcPr>
          <w:p w14:paraId="0408C89D" w14:textId="77777777" w:rsidR="00A54A8A" w:rsidRPr="00E67914" w:rsidRDefault="00000000">
            <w:pPr>
              <w:pStyle w:val="affffff"/>
              <w:rPr>
                <w:szCs w:val="21"/>
              </w:rPr>
            </w:pPr>
            <w:r w:rsidRPr="00E67914">
              <w:t>《大气污染物综合排放标准详解》</w:t>
            </w:r>
          </w:p>
        </w:tc>
      </w:tr>
    </w:tbl>
    <w:p w14:paraId="391BCE9D" w14:textId="77777777" w:rsidR="00A54A8A" w:rsidRPr="00E67914" w:rsidRDefault="000000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）声环境</w:t>
      </w:r>
    </w:p>
    <w:p w14:paraId="7AD224D0" w14:textId="77777777" w:rsidR="00A54A8A" w:rsidRPr="00E67914" w:rsidRDefault="00000000">
      <w:pPr>
        <w:pStyle w:val="af4"/>
        <w:spacing w:line="360" w:lineRule="auto"/>
        <w:ind w:firstLineChars="200" w:firstLine="480"/>
        <w:rPr>
          <w:rFonts w:ascii="Times New Roman" w:hAnsi="Times New Roman"/>
          <w:bCs/>
          <w:szCs w:val="24"/>
        </w:rPr>
      </w:pPr>
      <w:r w:rsidRPr="00E67914">
        <w:rPr>
          <w:rFonts w:ascii="Times New Roman" w:hAnsi="Times New Roman"/>
          <w:bCs/>
          <w:szCs w:val="24"/>
        </w:rPr>
        <w:t>项目区域声环境执行《声环境质量标准》（</w:t>
      </w:r>
      <w:r w:rsidRPr="00E67914">
        <w:rPr>
          <w:rFonts w:ascii="Times New Roman" w:hAnsi="Times New Roman"/>
          <w:bCs/>
          <w:szCs w:val="24"/>
        </w:rPr>
        <w:t>GB3096-2008</w:t>
      </w:r>
      <w:r w:rsidRPr="00E67914">
        <w:rPr>
          <w:rFonts w:ascii="Times New Roman" w:hAnsi="Times New Roman"/>
          <w:bCs/>
          <w:szCs w:val="24"/>
        </w:rPr>
        <w:t>）</w:t>
      </w:r>
      <w:r w:rsidRPr="00E67914">
        <w:rPr>
          <w:rFonts w:ascii="Times New Roman" w:hAnsi="Times New Roman"/>
          <w:bCs/>
          <w:szCs w:val="24"/>
        </w:rPr>
        <w:t>2</w:t>
      </w:r>
      <w:r w:rsidRPr="00E67914">
        <w:rPr>
          <w:rFonts w:ascii="Times New Roman" w:hAnsi="Times New Roman"/>
          <w:bCs/>
          <w:szCs w:val="24"/>
        </w:rPr>
        <w:t>类功能区标准，标准限值见表</w:t>
      </w:r>
      <w:r w:rsidRPr="00E67914">
        <w:rPr>
          <w:rFonts w:ascii="Times New Roman" w:hAnsi="Times New Roman"/>
          <w:bCs/>
          <w:szCs w:val="24"/>
        </w:rPr>
        <w:t>2.5-4</w:t>
      </w:r>
      <w:r w:rsidRPr="00E67914">
        <w:rPr>
          <w:rFonts w:ascii="Times New Roman" w:hAnsi="Times New Roman"/>
          <w:bCs/>
          <w:szCs w:val="24"/>
        </w:rPr>
        <w:t>。</w:t>
      </w:r>
    </w:p>
    <w:p w14:paraId="6ADB4036"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2.5-4  </w:t>
      </w:r>
      <w:r w:rsidRPr="00E67914">
        <w:rPr>
          <w:rFonts w:ascii="Times New Roman" w:eastAsia="黑体" w:hAnsi="Times New Roman"/>
          <w:sz w:val="21"/>
          <w:szCs w:val="21"/>
          <w:lang w:eastAsia="zh-CN"/>
        </w:rPr>
        <w:t>声环境质量标准</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dB(A)</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3161"/>
        <w:gridCol w:w="3162"/>
      </w:tblGrid>
      <w:tr w:rsidR="002662E3" w:rsidRPr="00E67914" w14:paraId="67D5DFE4" w14:textId="77777777">
        <w:trPr>
          <w:jc w:val="center"/>
        </w:trPr>
        <w:tc>
          <w:tcPr>
            <w:tcW w:w="1961" w:type="dxa"/>
            <w:vAlign w:val="center"/>
          </w:tcPr>
          <w:p w14:paraId="783B532C" w14:textId="77777777" w:rsidR="00A54A8A" w:rsidRPr="00E67914" w:rsidRDefault="00000000">
            <w:pPr>
              <w:adjustRightInd w:val="0"/>
              <w:snapToGrid w:val="0"/>
              <w:jc w:val="center"/>
              <w:rPr>
                <w:rFonts w:ascii="Times New Roman" w:hAnsi="Times New Roman"/>
                <w:b/>
                <w:bCs/>
                <w:sz w:val="21"/>
                <w:szCs w:val="21"/>
              </w:rPr>
            </w:pPr>
            <w:r w:rsidRPr="00E67914">
              <w:rPr>
                <w:rFonts w:ascii="Times New Roman" w:hAnsi="Times New Roman"/>
                <w:b/>
                <w:bCs/>
                <w:sz w:val="21"/>
                <w:szCs w:val="21"/>
              </w:rPr>
              <w:t>类别</w:t>
            </w:r>
          </w:p>
        </w:tc>
        <w:tc>
          <w:tcPr>
            <w:tcW w:w="3271" w:type="dxa"/>
            <w:vAlign w:val="center"/>
          </w:tcPr>
          <w:p w14:paraId="16F2AD0F" w14:textId="77777777" w:rsidR="00A54A8A" w:rsidRPr="00E67914" w:rsidRDefault="00000000">
            <w:pPr>
              <w:adjustRightInd w:val="0"/>
              <w:snapToGrid w:val="0"/>
              <w:jc w:val="center"/>
              <w:rPr>
                <w:rFonts w:ascii="Times New Roman" w:hAnsi="Times New Roman"/>
                <w:b/>
                <w:bCs/>
                <w:sz w:val="21"/>
                <w:szCs w:val="21"/>
              </w:rPr>
            </w:pPr>
            <w:r w:rsidRPr="00E67914">
              <w:rPr>
                <w:rFonts w:ascii="Times New Roman" w:hAnsi="Times New Roman"/>
                <w:b/>
                <w:bCs/>
                <w:sz w:val="21"/>
                <w:szCs w:val="21"/>
              </w:rPr>
              <w:t>昼间</w:t>
            </w:r>
          </w:p>
        </w:tc>
        <w:tc>
          <w:tcPr>
            <w:tcW w:w="3272" w:type="dxa"/>
            <w:vAlign w:val="center"/>
          </w:tcPr>
          <w:p w14:paraId="76E5C57A" w14:textId="77777777" w:rsidR="00A54A8A" w:rsidRPr="00E67914" w:rsidRDefault="00000000">
            <w:pPr>
              <w:pStyle w:val="3"/>
              <w:adjustRightInd w:val="0"/>
              <w:snapToGrid w:val="0"/>
              <w:spacing w:before="0" w:after="0" w:line="240" w:lineRule="auto"/>
              <w:jc w:val="center"/>
              <w:rPr>
                <w:rFonts w:ascii="Times New Roman" w:hAnsi="Times New Roman"/>
                <w:sz w:val="21"/>
                <w:szCs w:val="21"/>
              </w:rPr>
            </w:pPr>
            <w:bookmarkStart w:id="24" w:name="_Toc88465928"/>
            <w:bookmarkStart w:id="25" w:name="_Toc107494216"/>
            <w:bookmarkStart w:id="26" w:name="_Toc89099427"/>
            <w:bookmarkStart w:id="27" w:name="_Toc142754528"/>
            <w:r w:rsidRPr="00E67914">
              <w:rPr>
                <w:rFonts w:ascii="Times New Roman" w:hAnsi="Times New Roman"/>
                <w:sz w:val="21"/>
                <w:szCs w:val="21"/>
              </w:rPr>
              <w:t>夜间</w:t>
            </w:r>
            <w:bookmarkEnd w:id="24"/>
            <w:bookmarkEnd w:id="25"/>
            <w:bookmarkEnd w:id="26"/>
            <w:bookmarkEnd w:id="27"/>
          </w:p>
        </w:tc>
      </w:tr>
      <w:tr w:rsidR="002662E3" w:rsidRPr="00E67914" w14:paraId="27975176" w14:textId="77777777">
        <w:trPr>
          <w:trHeight w:val="85"/>
          <w:jc w:val="center"/>
        </w:trPr>
        <w:tc>
          <w:tcPr>
            <w:tcW w:w="1961" w:type="dxa"/>
            <w:vAlign w:val="center"/>
          </w:tcPr>
          <w:p w14:paraId="12FB105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w:t>
            </w:r>
            <w:r w:rsidRPr="00E67914">
              <w:rPr>
                <w:rFonts w:ascii="Times New Roman" w:hAnsi="Times New Roman"/>
                <w:sz w:val="21"/>
                <w:szCs w:val="21"/>
              </w:rPr>
              <w:t>类功能区</w:t>
            </w:r>
          </w:p>
        </w:tc>
        <w:tc>
          <w:tcPr>
            <w:tcW w:w="3271" w:type="dxa"/>
            <w:vAlign w:val="center"/>
          </w:tcPr>
          <w:p w14:paraId="44AF6DC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≤60</w:t>
            </w:r>
          </w:p>
        </w:tc>
        <w:tc>
          <w:tcPr>
            <w:tcW w:w="3272" w:type="dxa"/>
            <w:vAlign w:val="center"/>
          </w:tcPr>
          <w:p w14:paraId="1913CC7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≤50</w:t>
            </w:r>
          </w:p>
        </w:tc>
      </w:tr>
    </w:tbl>
    <w:p w14:paraId="731CF51B" w14:textId="77777777" w:rsidR="00A54A8A" w:rsidRPr="00E67914" w:rsidRDefault="000000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）土壤环境</w:t>
      </w:r>
    </w:p>
    <w:p w14:paraId="38F3F376" w14:textId="77777777" w:rsidR="00A54A8A" w:rsidRPr="00E67914" w:rsidRDefault="00000000">
      <w:pPr>
        <w:pStyle w:val="af4"/>
        <w:spacing w:line="360" w:lineRule="auto"/>
        <w:ind w:firstLineChars="200" w:firstLine="480"/>
        <w:rPr>
          <w:rFonts w:ascii="Times New Roman" w:hAnsi="Times New Roman"/>
          <w:bCs/>
          <w:szCs w:val="24"/>
        </w:rPr>
      </w:pPr>
      <w:r w:rsidRPr="00E67914">
        <w:rPr>
          <w:rFonts w:ascii="Times New Roman" w:hAnsi="Times New Roman"/>
          <w:bCs/>
          <w:szCs w:val="24"/>
        </w:rPr>
        <w:t>本项目所在区域用地范围内土壤环境质量标准执行《土壤环境质量</w:t>
      </w:r>
      <w:r w:rsidRPr="00E67914">
        <w:rPr>
          <w:rFonts w:ascii="Times New Roman" w:hAnsi="Times New Roman"/>
          <w:bCs/>
          <w:szCs w:val="24"/>
        </w:rPr>
        <w:t xml:space="preserve"> </w:t>
      </w:r>
      <w:r w:rsidRPr="00E67914">
        <w:rPr>
          <w:rFonts w:ascii="Times New Roman" w:hAnsi="Times New Roman"/>
          <w:bCs/>
          <w:szCs w:val="24"/>
        </w:rPr>
        <w:t>建设用地土壤污染风险管控标准（试行）</w:t>
      </w:r>
      <w:r w:rsidRPr="00E67914">
        <w:rPr>
          <w:rFonts w:ascii="Times New Roman" w:hAnsi="Times New Roman"/>
          <w:bCs/>
          <w:szCs w:val="24"/>
        </w:rPr>
        <w:t>(GB36600-2018)</w:t>
      </w:r>
      <w:r w:rsidRPr="00E67914">
        <w:rPr>
          <w:rFonts w:ascii="Times New Roman" w:hAnsi="Times New Roman"/>
          <w:bCs/>
          <w:szCs w:val="24"/>
        </w:rPr>
        <w:t>》第二类用地筛选值，项目周边耕地执行《土壤环境质量</w:t>
      </w:r>
      <w:r w:rsidRPr="00E67914">
        <w:rPr>
          <w:rFonts w:ascii="Times New Roman" w:hAnsi="Times New Roman"/>
          <w:bCs/>
          <w:szCs w:val="24"/>
        </w:rPr>
        <w:t xml:space="preserve"> </w:t>
      </w:r>
      <w:r w:rsidRPr="00E67914">
        <w:rPr>
          <w:rFonts w:ascii="Times New Roman" w:hAnsi="Times New Roman"/>
          <w:bCs/>
          <w:szCs w:val="24"/>
        </w:rPr>
        <w:t>农用地土壤污染风险管控标准（试行）</w:t>
      </w:r>
      <w:r w:rsidRPr="00E67914">
        <w:rPr>
          <w:rFonts w:ascii="Times New Roman" w:hAnsi="Times New Roman"/>
          <w:bCs/>
          <w:szCs w:val="24"/>
        </w:rPr>
        <w:t>(GB15618-2018)</w:t>
      </w:r>
      <w:r w:rsidRPr="00E67914">
        <w:rPr>
          <w:rFonts w:ascii="Times New Roman" w:hAnsi="Times New Roman"/>
          <w:bCs/>
          <w:szCs w:val="24"/>
        </w:rPr>
        <w:t>》风险筛选值，具体筛选值见表</w:t>
      </w:r>
      <w:r w:rsidRPr="00E67914">
        <w:rPr>
          <w:rFonts w:ascii="Times New Roman" w:hAnsi="Times New Roman"/>
          <w:bCs/>
          <w:szCs w:val="24"/>
        </w:rPr>
        <w:t>2.5-5</w:t>
      </w:r>
      <w:r w:rsidRPr="00E67914">
        <w:rPr>
          <w:rFonts w:ascii="Times New Roman" w:hAnsi="Times New Roman"/>
          <w:bCs/>
          <w:szCs w:val="24"/>
        </w:rPr>
        <w:t>和表</w:t>
      </w:r>
      <w:r w:rsidRPr="00E67914">
        <w:rPr>
          <w:rFonts w:ascii="Times New Roman" w:hAnsi="Times New Roman"/>
          <w:bCs/>
          <w:szCs w:val="24"/>
        </w:rPr>
        <w:t>2.5-6</w:t>
      </w:r>
      <w:r w:rsidRPr="00E67914">
        <w:rPr>
          <w:rFonts w:ascii="Times New Roman" w:hAnsi="Times New Roman"/>
          <w:bCs/>
          <w:szCs w:val="24"/>
        </w:rPr>
        <w:t>。</w:t>
      </w:r>
    </w:p>
    <w:p w14:paraId="01CFCA04"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2.5-5  </w:t>
      </w:r>
      <w:r w:rsidRPr="00E67914">
        <w:rPr>
          <w:rFonts w:ascii="Times New Roman" w:eastAsia="黑体" w:hAnsi="Times New Roman"/>
          <w:sz w:val="21"/>
          <w:szCs w:val="21"/>
          <w:lang w:eastAsia="zh-CN"/>
        </w:rPr>
        <w:t>建设用地（第二类用地）土壤环境质量筛选值</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57" w:type="dxa"/>
          <w:right w:w="57" w:type="dxa"/>
        </w:tblCellMar>
        <w:tblLook w:val="04A0" w:firstRow="1" w:lastRow="0" w:firstColumn="1" w:lastColumn="0" w:noHBand="0" w:noVBand="1"/>
      </w:tblPr>
      <w:tblGrid>
        <w:gridCol w:w="949"/>
        <w:gridCol w:w="992"/>
        <w:gridCol w:w="1276"/>
        <w:gridCol w:w="1134"/>
        <w:gridCol w:w="992"/>
        <w:gridCol w:w="984"/>
        <w:gridCol w:w="971"/>
        <w:gridCol w:w="924"/>
      </w:tblGrid>
      <w:tr w:rsidR="002662E3" w:rsidRPr="00E67914" w14:paraId="391A0D9E" w14:textId="77777777">
        <w:trPr>
          <w:jc w:val="center"/>
        </w:trPr>
        <w:tc>
          <w:tcPr>
            <w:tcW w:w="949" w:type="dxa"/>
            <w:shd w:val="clear" w:color="auto" w:fill="FFFFFF"/>
            <w:vAlign w:val="center"/>
          </w:tcPr>
          <w:p w14:paraId="1B85AE4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2" w:type="dxa"/>
            <w:shd w:val="clear" w:color="auto" w:fill="FFFFFF"/>
            <w:vAlign w:val="center"/>
          </w:tcPr>
          <w:p w14:paraId="727AD34C"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砷</w:t>
            </w:r>
          </w:p>
        </w:tc>
        <w:tc>
          <w:tcPr>
            <w:tcW w:w="1276" w:type="dxa"/>
            <w:shd w:val="clear" w:color="auto" w:fill="FFFFFF"/>
            <w:vAlign w:val="center"/>
          </w:tcPr>
          <w:p w14:paraId="6D08F9BA"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镉</w:t>
            </w:r>
          </w:p>
        </w:tc>
        <w:tc>
          <w:tcPr>
            <w:tcW w:w="1134" w:type="dxa"/>
            <w:shd w:val="clear" w:color="auto" w:fill="FFFFFF"/>
            <w:vAlign w:val="center"/>
          </w:tcPr>
          <w:p w14:paraId="0C613CCD"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铬（</w:t>
            </w:r>
            <w:r w:rsidRPr="00E67914">
              <w:rPr>
                <w:rFonts w:ascii="Times New Roman" w:hAnsi="Times New Roman"/>
                <w:b/>
                <w:sz w:val="21"/>
                <w:szCs w:val="21"/>
              </w:rPr>
              <w:t>6</w:t>
            </w:r>
            <w:r w:rsidRPr="00E67914">
              <w:rPr>
                <w:rFonts w:ascii="Times New Roman" w:hAnsi="Times New Roman"/>
                <w:b/>
                <w:sz w:val="21"/>
                <w:szCs w:val="21"/>
              </w:rPr>
              <w:t>价）</w:t>
            </w:r>
          </w:p>
        </w:tc>
        <w:tc>
          <w:tcPr>
            <w:tcW w:w="992" w:type="dxa"/>
            <w:shd w:val="clear" w:color="auto" w:fill="FFFFFF"/>
            <w:vAlign w:val="center"/>
          </w:tcPr>
          <w:p w14:paraId="09662B10"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铜</w:t>
            </w:r>
          </w:p>
        </w:tc>
        <w:tc>
          <w:tcPr>
            <w:tcW w:w="984" w:type="dxa"/>
            <w:shd w:val="clear" w:color="auto" w:fill="FFFFFF"/>
            <w:vAlign w:val="center"/>
          </w:tcPr>
          <w:p w14:paraId="2F8ECD3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铅</w:t>
            </w:r>
          </w:p>
        </w:tc>
        <w:tc>
          <w:tcPr>
            <w:tcW w:w="971" w:type="dxa"/>
            <w:shd w:val="clear" w:color="auto" w:fill="FFFFFF"/>
            <w:vAlign w:val="center"/>
          </w:tcPr>
          <w:p w14:paraId="1462BC7A"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汞</w:t>
            </w:r>
          </w:p>
        </w:tc>
        <w:tc>
          <w:tcPr>
            <w:tcW w:w="924" w:type="dxa"/>
            <w:shd w:val="clear" w:color="auto" w:fill="FFFFFF"/>
            <w:vAlign w:val="center"/>
          </w:tcPr>
          <w:p w14:paraId="2AE54879"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镍</w:t>
            </w:r>
          </w:p>
        </w:tc>
      </w:tr>
      <w:tr w:rsidR="002662E3" w:rsidRPr="00E67914" w14:paraId="6DC28290" w14:textId="77777777">
        <w:trPr>
          <w:jc w:val="center"/>
        </w:trPr>
        <w:tc>
          <w:tcPr>
            <w:tcW w:w="949" w:type="dxa"/>
            <w:shd w:val="clear" w:color="auto" w:fill="FFFFFF"/>
            <w:vAlign w:val="center"/>
          </w:tcPr>
          <w:p w14:paraId="3789411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筛选值</w:t>
            </w:r>
          </w:p>
        </w:tc>
        <w:tc>
          <w:tcPr>
            <w:tcW w:w="992" w:type="dxa"/>
            <w:shd w:val="clear" w:color="auto" w:fill="FFFFFF"/>
            <w:vAlign w:val="center"/>
          </w:tcPr>
          <w:p w14:paraId="2791D46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60</w:t>
            </w:r>
          </w:p>
        </w:tc>
        <w:tc>
          <w:tcPr>
            <w:tcW w:w="1276" w:type="dxa"/>
            <w:shd w:val="clear" w:color="auto" w:fill="FFFFFF"/>
            <w:vAlign w:val="center"/>
          </w:tcPr>
          <w:p w14:paraId="208E929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65</w:t>
            </w:r>
          </w:p>
        </w:tc>
        <w:tc>
          <w:tcPr>
            <w:tcW w:w="1134" w:type="dxa"/>
            <w:shd w:val="clear" w:color="auto" w:fill="FFFFFF"/>
            <w:vAlign w:val="center"/>
          </w:tcPr>
          <w:p w14:paraId="1899970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5.7</w:t>
            </w:r>
          </w:p>
        </w:tc>
        <w:tc>
          <w:tcPr>
            <w:tcW w:w="992" w:type="dxa"/>
            <w:shd w:val="clear" w:color="auto" w:fill="FFFFFF"/>
            <w:vAlign w:val="center"/>
          </w:tcPr>
          <w:p w14:paraId="57438C8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18000</w:t>
            </w:r>
          </w:p>
        </w:tc>
        <w:tc>
          <w:tcPr>
            <w:tcW w:w="984" w:type="dxa"/>
            <w:shd w:val="clear" w:color="auto" w:fill="FFFFFF"/>
            <w:vAlign w:val="center"/>
          </w:tcPr>
          <w:p w14:paraId="5574197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800</w:t>
            </w:r>
          </w:p>
        </w:tc>
        <w:tc>
          <w:tcPr>
            <w:tcW w:w="971" w:type="dxa"/>
            <w:shd w:val="clear" w:color="auto" w:fill="FFFFFF"/>
            <w:vAlign w:val="center"/>
          </w:tcPr>
          <w:p w14:paraId="62011FE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38</w:t>
            </w:r>
          </w:p>
        </w:tc>
        <w:tc>
          <w:tcPr>
            <w:tcW w:w="924" w:type="dxa"/>
            <w:shd w:val="clear" w:color="auto" w:fill="FFFFFF"/>
            <w:vAlign w:val="center"/>
          </w:tcPr>
          <w:p w14:paraId="6031B39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900</w:t>
            </w:r>
          </w:p>
        </w:tc>
      </w:tr>
      <w:tr w:rsidR="002662E3" w:rsidRPr="00E67914" w14:paraId="1C93C0A2" w14:textId="77777777">
        <w:trPr>
          <w:jc w:val="center"/>
        </w:trPr>
        <w:tc>
          <w:tcPr>
            <w:tcW w:w="949" w:type="dxa"/>
            <w:shd w:val="clear" w:color="auto" w:fill="FFFFFF"/>
            <w:vAlign w:val="center"/>
          </w:tcPr>
          <w:p w14:paraId="5A17B3B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b/>
                <w:sz w:val="21"/>
                <w:szCs w:val="21"/>
              </w:rPr>
              <w:t>污染物</w:t>
            </w:r>
          </w:p>
        </w:tc>
        <w:tc>
          <w:tcPr>
            <w:tcW w:w="992" w:type="dxa"/>
            <w:shd w:val="clear" w:color="auto" w:fill="FFFFFF"/>
            <w:vAlign w:val="center"/>
          </w:tcPr>
          <w:p w14:paraId="5A555DF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
                <w:sz w:val="21"/>
                <w:szCs w:val="21"/>
              </w:rPr>
              <w:t>四氯化碳</w:t>
            </w:r>
          </w:p>
        </w:tc>
        <w:tc>
          <w:tcPr>
            <w:tcW w:w="1276" w:type="dxa"/>
            <w:shd w:val="clear" w:color="auto" w:fill="FFFFFF"/>
            <w:vAlign w:val="center"/>
          </w:tcPr>
          <w:p w14:paraId="1803F18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
                <w:sz w:val="21"/>
                <w:szCs w:val="21"/>
              </w:rPr>
              <w:t>氯仿</w:t>
            </w:r>
          </w:p>
        </w:tc>
        <w:tc>
          <w:tcPr>
            <w:tcW w:w="1134" w:type="dxa"/>
            <w:shd w:val="clear" w:color="auto" w:fill="FFFFFF"/>
            <w:vAlign w:val="center"/>
          </w:tcPr>
          <w:p w14:paraId="6A55A57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
                <w:sz w:val="21"/>
                <w:szCs w:val="21"/>
              </w:rPr>
              <w:t>氯甲烷</w:t>
            </w:r>
          </w:p>
        </w:tc>
        <w:tc>
          <w:tcPr>
            <w:tcW w:w="992" w:type="dxa"/>
            <w:shd w:val="clear" w:color="auto" w:fill="FFFFFF"/>
            <w:vAlign w:val="center"/>
          </w:tcPr>
          <w:p w14:paraId="72BA269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
                <w:sz w:val="21"/>
                <w:szCs w:val="21"/>
              </w:rPr>
              <w:t>1,1-</w:t>
            </w:r>
            <w:r w:rsidRPr="00E67914">
              <w:rPr>
                <w:rFonts w:ascii="Times New Roman" w:hAnsi="Times New Roman"/>
                <w:b/>
                <w:sz w:val="21"/>
                <w:szCs w:val="21"/>
              </w:rPr>
              <w:t>二氯乙烷</w:t>
            </w:r>
          </w:p>
        </w:tc>
        <w:tc>
          <w:tcPr>
            <w:tcW w:w="984" w:type="dxa"/>
            <w:shd w:val="clear" w:color="auto" w:fill="FFFFFF"/>
            <w:vAlign w:val="center"/>
          </w:tcPr>
          <w:p w14:paraId="6A665C1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
                <w:sz w:val="21"/>
                <w:szCs w:val="21"/>
              </w:rPr>
              <w:t>1,2-</w:t>
            </w:r>
            <w:r w:rsidRPr="00E67914">
              <w:rPr>
                <w:rFonts w:ascii="Times New Roman" w:hAnsi="Times New Roman"/>
                <w:b/>
                <w:sz w:val="21"/>
                <w:szCs w:val="21"/>
              </w:rPr>
              <w:t>二氯乙烷</w:t>
            </w:r>
          </w:p>
        </w:tc>
        <w:tc>
          <w:tcPr>
            <w:tcW w:w="971" w:type="dxa"/>
            <w:shd w:val="clear" w:color="auto" w:fill="FFFFFF"/>
            <w:vAlign w:val="center"/>
          </w:tcPr>
          <w:p w14:paraId="73E6FED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
                <w:sz w:val="21"/>
                <w:szCs w:val="21"/>
              </w:rPr>
              <w:t>1,1-</w:t>
            </w:r>
            <w:r w:rsidRPr="00E67914">
              <w:rPr>
                <w:rFonts w:ascii="Times New Roman" w:hAnsi="Times New Roman"/>
                <w:b/>
                <w:sz w:val="21"/>
                <w:szCs w:val="21"/>
              </w:rPr>
              <w:t>二氯乙烯</w:t>
            </w:r>
          </w:p>
        </w:tc>
        <w:tc>
          <w:tcPr>
            <w:tcW w:w="924" w:type="dxa"/>
            <w:shd w:val="clear" w:color="auto" w:fill="FFFFFF"/>
            <w:vAlign w:val="center"/>
          </w:tcPr>
          <w:p w14:paraId="7FCAA7C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
                <w:sz w:val="21"/>
                <w:szCs w:val="21"/>
              </w:rPr>
              <w:t>顺</w:t>
            </w:r>
            <w:r w:rsidRPr="00E67914">
              <w:rPr>
                <w:rFonts w:ascii="Times New Roman" w:hAnsi="Times New Roman"/>
                <w:b/>
                <w:sz w:val="21"/>
                <w:szCs w:val="21"/>
              </w:rPr>
              <w:t>-1,1-</w:t>
            </w:r>
            <w:r w:rsidRPr="00E67914">
              <w:rPr>
                <w:rFonts w:ascii="Times New Roman" w:hAnsi="Times New Roman"/>
                <w:b/>
                <w:sz w:val="21"/>
                <w:szCs w:val="21"/>
              </w:rPr>
              <w:t>二氯乙烯</w:t>
            </w:r>
          </w:p>
        </w:tc>
      </w:tr>
      <w:tr w:rsidR="002662E3" w:rsidRPr="00E67914" w14:paraId="78FB9647" w14:textId="77777777">
        <w:trPr>
          <w:jc w:val="center"/>
        </w:trPr>
        <w:tc>
          <w:tcPr>
            <w:tcW w:w="949" w:type="dxa"/>
            <w:shd w:val="clear" w:color="auto" w:fill="FFFFFF"/>
            <w:vAlign w:val="center"/>
          </w:tcPr>
          <w:p w14:paraId="6B51CF0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lastRenderedPageBreak/>
              <w:t>筛选值</w:t>
            </w:r>
          </w:p>
        </w:tc>
        <w:tc>
          <w:tcPr>
            <w:tcW w:w="992" w:type="dxa"/>
            <w:shd w:val="clear" w:color="auto" w:fill="FFFFFF"/>
            <w:vAlign w:val="center"/>
          </w:tcPr>
          <w:p w14:paraId="3C7F567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2.8</w:t>
            </w:r>
          </w:p>
        </w:tc>
        <w:tc>
          <w:tcPr>
            <w:tcW w:w="1276" w:type="dxa"/>
            <w:shd w:val="clear" w:color="auto" w:fill="FFFFFF"/>
            <w:vAlign w:val="center"/>
          </w:tcPr>
          <w:p w14:paraId="7C2606C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0.9</w:t>
            </w:r>
          </w:p>
        </w:tc>
        <w:tc>
          <w:tcPr>
            <w:tcW w:w="1134" w:type="dxa"/>
            <w:shd w:val="clear" w:color="auto" w:fill="FFFFFF"/>
            <w:vAlign w:val="center"/>
          </w:tcPr>
          <w:p w14:paraId="59DFB6F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37</w:t>
            </w:r>
          </w:p>
        </w:tc>
        <w:tc>
          <w:tcPr>
            <w:tcW w:w="992" w:type="dxa"/>
            <w:shd w:val="clear" w:color="auto" w:fill="FFFFFF"/>
            <w:vAlign w:val="center"/>
          </w:tcPr>
          <w:p w14:paraId="767A3F0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w:t>
            </w:r>
          </w:p>
        </w:tc>
        <w:tc>
          <w:tcPr>
            <w:tcW w:w="984" w:type="dxa"/>
            <w:shd w:val="clear" w:color="auto" w:fill="FFFFFF"/>
            <w:vAlign w:val="center"/>
          </w:tcPr>
          <w:p w14:paraId="4AD1A71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971" w:type="dxa"/>
            <w:shd w:val="clear" w:color="auto" w:fill="FFFFFF"/>
            <w:vAlign w:val="center"/>
          </w:tcPr>
          <w:p w14:paraId="680427B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66</w:t>
            </w:r>
          </w:p>
        </w:tc>
        <w:tc>
          <w:tcPr>
            <w:tcW w:w="924" w:type="dxa"/>
            <w:shd w:val="clear" w:color="auto" w:fill="FFFFFF"/>
            <w:vAlign w:val="center"/>
          </w:tcPr>
          <w:p w14:paraId="0275B70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596</w:t>
            </w:r>
          </w:p>
        </w:tc>
      </w:tr>
      <w:tr w:rsidR="002662E3" w:rsidRPr="00E67914" w14:paraId="406B057C" w14:textId="77777777">
        <w:trPr>
          <w:jc w:val="center"/>
        </w:trPr>
        <w:tc>
          <w:tcPr>
            <w:tcW w:w="949" w:type="dxa"/>
            <w:shd w:val="clear" w:color="auto" w:fill="FFFFFF"/>
            <w:vAlign w:val="center"/>
          </w:tcPr>
          <w:p w14:paraId="66C122F8"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2" w:type="dxa"/>
            <w:shd w:val="clear" w:color="auto" w:fill="FFFFFF"/>
            <w:vAlign w:val="center"/>
          </w:tcPr>
          <w:p w14:paraId="1A677AB5"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反</w:t>
            </w:r>
            <w:r w:rsidRPr="00E67914">
              <w:rPr>
                <w:rFonts w:ascii="Times New Roman" w:hAnsi="Times New Roman"/>
                <w:b/>
                <w:sz w:val="21"/>
                <w:szCs w:val="21"/>
              </w:rPr>
              <w:t>-1,1-</w:t>
            </w:r>
            <w:r w:rsidRPr="00E67914">
              <w:rPr>
                <w:rFonts w:ascii="Times New Roman" w:hAnsi="Times New Roman"/>
                <w:b/>
                <w:sz w:val="21"/>
                <w:szCs w:val="21"/>
              </w:rPr>
              <w:t>二氯乙烯</w:t>
            </w:r>
          </w:p>
        </w:tc>
        <w:tc>
          <w:tcPr>
            <w:tcW w:w="1276" w:type="dxa"/>
            <w:shd w:val="clear" w:color="auto" w:fill="FFFFFF"/>
            <w:vAlign w:val="center"/>
          </w:tcPr>
          <w:p w14:paraId="0EDB39D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二氯甲烷</w:t>
            </w:r>
          </w:p>
        </w:tc>
        <w:tc>
          <w:tcPr>
            <w:tcW w:w="1134" w:type="dxa"/>
            <w:shd w:val="clear" w:color="auto" w:fill="FFFFFF"/>
            <w:vAlign w:val="center"/>
          </w:tcPr>
          <w:p w14:paraId="0B46968B"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1,2-</w:t>
            </w:r>
            <w:r w:rsidRPr="00E67914">
              <w:rPr>
                <w:rFonts w:ascii="Times New Roman" w:hAnsi="Times New Roman"/>
                <w:b/>
                <w:sz w:val="21"/>
                <w:szCs w:val="21"/>
              </w:rPr>
              <w:t>二氯</w:t>
            </w:r>
            <w:r w:rsidRPr="00E67914">
              <w:rPr>
                <w:rFonts w:ascii="Times New Roman" w:hAnsi="Times New Roman"/>
                <w:b/>
                <w:sz w:val="21"/>
                <w:szCs w:val="21"/>
                <w:lang w:eastAsia="zh-CN"/>
              </w:rPr>
              <w:t>丙</w:t>
            </w:r>
            <w:r w:rsidRPr="00E67914">
              <w:rPr>
                <w:rFonts w:ascii="Times New Roman" w:hAnsi="Times New Roman"/>
                <w:b/>
                <w:sz w:val="21"/>
                <w:szCs w:val="21"/>
              </w:rPr>
              <w:t>烷</w:t>
            </w:r>
          </w:p>
        </w:tc>
        <w:tc>
          <w:tcPr>
            <w:tcW w:w="992" w:type="dxa"/>
            <w:shd w:val="clear" w:color="auto" w:fill="FFFFFF"/>
            <w:vAlign w:val="center"/>
          </w:tcPr>
          <w:p w14:paraId="2E0A1722"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rPr>
              <w:t>1,1</w:t>
            </w:r>
            <w:r w:rsidRPr="00E67914">
              <w:rPr>
                <w:rFonts w:ascii="Times New Roman" w:hAnsi="Times New Roman"/>
                <w:b/>
                <w:sz w:val="21"/>
                <w:szCs w:val="21"/>
              </w:rPr>
              <w:t>，</w:t>
            </w:r>
            <w:r w:rsidRPr="00E67914">
              <w:rPr>
                <w:rFonts w:ascii="Times New Roman" w:hAnsi="Times New Roman"/>
                <w:b/>
                <w:sz w:val="21"/>
                <w:szCs w:val="21"/>
              </w:rPr>
              <w:t>1,2-</w:t>
            </w:r>
            <w:r w:rsidRPr="00E67914">
              <w:rPr>
                <w:rFonts w:ascii="Times New Roman" w:hAnsi="Times New Roman"/>
                <w:b/>
                <w:sz w:val="21"/>
                <w:szCs w:val="21"/>
              </w:rPr>
              <w:t>四氯</w:t>
            </w:r>
            <w:r w:rsidRPr="00E67914">
              <w:rPr>
                <w:rFonts w:ascii="Times New Roman" w:hAnsi="Times New Roman"/>
                <w:b/>
                <w:sz w:val="21"/>
                <w:szCs w:val="21"/>
                <w:lang w:eastAsia="zh-CN"/>
              </w:rPr>
              <w:t>乙烷</w:t>
            </w:r>
          </w:p>
        </w:tc>
        <w:tc>
          <w:tcPr>
            <w:tcW w:w="984" w:type="dxa"/>
            <w:shd w:val="clear" w:color="auto" w:fill="FFFFFF"/>
            <w:vAlign w:val="center"/>
          </w:tcPr>
          <w:p w14:paraId="54263583"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1,1</w:t>
            </w:r>
            <w:r w:rsidRPr="00E67914">
              <w:rPr>
                <w:rFonts w:ascii="Times New Roman" w:hAnsi="Times New Roman"/>
                <w:b/>
                <w:sz w:val="21"/>
                <w:szCs w:val="21"/>
              </w:rPr>
              <w:t>，</w:t>
            </w:r>
            <w:r w:rsidRPr="00E67914">
              <w:rPr>
                <w:rFonts w:ascii="Times New Roman" w:hAnsi="Times New Roman"/>
                <w:b/>
                <w:sz w:val="21"/>
                <w:szCs w:val="21"/>
              </w:rPr>
              <w:t>2,2-</w:t>
            </w:r>
            <w:r w:rsidRPr="00E67914">
              <w:rPr>
                <w:rFonts w:ascii="Times New Roman" w:hAnsi="Times New Roman"/>
                <w:b/>
                <w:sz w:val="21"/>
                <w:szCs w:val="21"/>
              </w:rPr>
              <w:t>四氯</w:t>
            </w:r>
            <w:r w:rsidRPr="00E67914">
              <w:rPr>
                <w:rFonts w:ascii="Times New Roman" w:hAnsi="Times New Roman"/>
                <w:b/>
                <w:sz w:val="21"/>
                <w:szCs w:val="21"/>
                <w:lang w:eastAsia="zh-CN"/>
              </w:rPr>
              <w:t>乙</w:t>
            </w:r>
            <w:r w:rsidRPr="00E67914">
              <w:rPr>
                <w:rFonts w:ascii="Times New Roman" w:hAnsi="Times New Roman"/>
                <w:b/>
                <w:sz w:val="21"/>
                <w:szCs w:val="21"/>
              </w:rPr>
              <w:t>烷</w:t>
            </w:r>
          </w:p>
        </w:tc>
        <w:tc>
          <w:tcPr>
            <w:tcW w:w="971" w:type="dxa"/>
            <w:shd w:val="clear" w:color="auto" w:fill="FFFFFF"/>
            <w:vAlign w:val="center"/>
          </w:tcPr>
          <w:p w14:paraId="58DFCB5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四氯乙烯</w:t>
            </w:r>
          </w:p>
        </w:tc>
        <w:tc>
          <w:tcPr>
            <w:tcW w:w="924" w:type="dxa"/>
            <w:shd w:val="clear" w:color="auto" w:fill="FFFFFF"/>
            <w:vAlign w:val="center"/>
          </w:tcPr>
          <w:p w14:paraId="1C889FE6"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rPr>
              <w:t>1,1,1-</w:t>
            </w:r>
            <w:r w:rsidRPr="00E67914">
              <w:rPr>
                <w:rFonts w:ascii="Times New Roman" w:hAnsi="Times New Roman"/>
                <w:b/>
                <w:sz w:val="21"/>
                <w:szCs w:val="21"/>
              </w:rPr>
              <w:t>三氯</w:t>
            </w:r>
            <w:r w:rsidRPr="00E67914">
              <w:rPr>
                <w:rFonts w:ascii="Times New Roman" w:hAnsi="Times New Roman"/>
                <w:b/>
                <w:sz w:val="21"/>
                <w:szCs w:val="21"/>
                <w:lang w:eastAsia="zh-CN"/>
              </w:rPr>
              <w:t>乙烷</w:t>
            </w:r>
          </w:p>
        </w:tc>
      </w:tr>
      <w:tr w:rsidR="002662E3" w:rsidRPr="00E67914" w14:paraId="4824924B" w14:textId="77777777">
        <w:trPr>
          <w:jc w:val="center"/>
        </w:trPr>
        <w:tc>
          <w:tcPr>
            <w:tcW w:w="949" w:type="dxa"/>
            <w:shd w:val="clear" w:color="auto" w:fill="FFFFFF"/>
            <w:vAlign w:val="center"/>
          </w:tcPr>
          <w:p w14:paraId="64BE321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筛选值</w:t>
            </w:r>
          </w:p>
        </w:tc>
        <w:tc>
          <w:tcPr>
            <w:tcW w:w="992" w:type="dxa"/>
            <w:shd w:val="clear" w:color="auto" w:fill="FFFFFF"/>
            <w:vAlign w:val="center"/>
          </w:tcPr>
          <w:p w14:paraId="6F94D0E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54</w:t>
            </w:r>
          </w:p>
        </w:tc>
        <w:tc>
          <w:tcPr>
            <w:tcW w:w="1276" w:type="dxa"/>
            <w:shd w:val="clear" w:color="auto" w:fill="FFFFFF"/>
            <w:vAlign w:val="center"/>
          </w:tcPr>
          <w:p w14:paraId="3B20313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616</w:t>
            </w:r>
          </w:p>
        </w:tc>
        <w:tc>
          <w:tcPr>
            <w:tcW w:w="1134" w:type="dxa"/>
            <w:shd w:val="clear" w:color="auto" w:fill="FFFFFF"/>
            <w:vAlign w:val="center"/>
          </w:tcPr>
          <w:p w14:paraId="5D0D2DC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992" w:type="dxa"/>
            <w:shd w:val="clear" w:color="auto" w:fill="FFFFFF"/>
            <w:vAlign w:val="center"/>
          </w:tcPr>
          <w:p w14:paraId="5DA2DFF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984" w:type="dxa"/>
            <w:shd w:val="clear" w:color="auto" w:fill="FFFFFF"/>
            <w:vAlign w:val="center"/>
          </w:tcPr>
          <w:p w14:paraId="4C78214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6.8</w:t>
            </w:r>
          </w:p>
        </w:tc>
        <w:tc>
          <w:tcPr>
            <w:tcW w:w="971" w:type="dxa"/>
            <w:shd w:val="clear" w:color="auto" w:fill="FFFFFF"/>
            <w:vAlign w:val="center"/>
          </w:tcPr>
          <w:p w14:paraId="37A0E93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53</w:t>
            </w:r>
          </w:p>
        </w:tc>
        <w:tc>
          <w:tcPr>
            <w:tcW w:w="924" w:type="dxa"/>
            <w:shd w:val="clear" w:color="auto" w:fill="FFFFFF"/>
            <w:vAlign w:val="center"/>
          </w:tcPr>
          <w:p w14:paraId="331F058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840</w:t>
            </w:r>
          </w:p>
        </w:tc>
      </w:tr>
      <w:tr w:rsidR="002662E3" w:rsidRPr="00E67914" w14:paraId="1B9294F9" w14:textId="77777777">
        <w:trPr>
          <w:jc w:val="center"/>
        </w:trPr>
        <w:tc>
          <w:tcPr>
            <w:tcW w:w="949" w:type="dxa"/>
            <w:shd w:val="clear" w:color="auto" w:fill="FFFFFF"/>
            <w:vAlign w:val="center"/>
          </w:tcPr>
          <w:p w14:paraId="3E0D173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2" w:type="dxa"/>
            <w:shd w:val="clear" w:color="auto" w:fill="FFFFFF"/>
            <w:vAlign w:val="center"/>
          </w:tcPr>
          <w:p w14:paraId="173FABBD"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rPr>
              <w:t>1,1,2-</w:t>
            </w:r>
            <w:r w:rsidRPr="00E67914">
              <w:rPr>
                <w:rFonts w:ascii="Times New Roman" w:hAnsi="Times New Roman"/>
                <w:b/>
                <w:sz w:val="21"/>
                <w:szCs w:val="21"/>
              </w:rPr>
              <w:t>三氯</w:t>
            </w:r>
            <w:r w:rsidRPr="00E67914">
              <w:rPr>
                <w:rFonts w:ascii="Times New Roman" w:hAnsi="Times New Roman"/>
                <w:b/>
                <w:sz w:val="21"/>
                <w:szCs w:val="21"/>
                <w:lang w:eastAsia="zh-CN"/>
              </w:rPr>
              <w:t>乙烷</w:t>
            </w:r>
          </w:p>
        </w:tc>
        <w:tc>
          <w:tcPr>
            <w:tcW w:w="1276" w:type="dxa"/>
            <w:shd w:val="clear" w:color="auto" w:fill="FFFFFF"/>
            <w:vAlign w:val="center"/>
          </w:tcPr>
          <w:p w14:paraId="00AC2B95"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三氯乙烯</w:t>
            </w:r>
          </w:p>
        </w:tc>
        <w:tc>
          <w:tcPr>
            <w:tcW w:w="1134" w:type="dxa"/>
            <w:shd w:val="clear" w:color="auto" w:fill="FFFFFF"/>
            <w:vAlign w:val="center"/>
          </w:tcPr>
          <w:p w14:paraId="6810B643"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1,2,3-</w:t>
            </w:r>
            <w:r w:rsidRPr="00E67914">
              <w:rPr>
                <w:rFonts w:ascii="Times New Roman" w:hAnsi="Times New Roman"/>
                <w:b/>
                <w:sz w:val="21"/>
                <w:szCs w:val="21"/>
              </w:rPr>
              <w:t>三氯乙丙烷</w:t>
            </w:r>
          </w:p>
        </w:tc>
        <w:tc>
          <w:tcPr>
            <w:tcW w:w="992" w:type="dxa"/>
            <w:shd w:val="clear" w:color="auto" w:fill="FFFFFF"/>
            <w:vAlign w:val="center"/>
          </w:tcPr>
          <w:p w14:paraId="642D1EF3"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氯乙烯</w:t>
            </w:r>
          </w:p>
        </w:tc>
        <w:tc>
          <w:tcPr>
            <w:tcW w:w="984" w:type="dxa"/>
            <w:shd w:val="clear" w:color="auto" w:fill="FFFFFF"/>
            <w:vAlign w:val="center"/>
          </w:tcPr>
          <w:p w14:paraId="32094A30"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苯</w:t>
            </w:r>
          </w:p>
        </w:tc>
        <w:tc>
          <w:tcPr>
            <w:tcW w:w="971" w:type="dxa"/>
            <w:shd w:val="clear" w:color="auto" w:fill="FFFFFF"/>
            <w:vAlign w:val="center"/>
          </w:tcPr>
          <w:p w14:paraId="296FDB38"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氯苯</w:t>
            </w:r>
          </w:p>
        </w:tc>
        <w:tc>
          <w:tcPr>
            <w:tcW w:w="924" w:type="dxa"/>
            <w:shd w:val="clear" w:color="auto" w:fill="FFFFFF"/>
            <w:vAlign w:val="center"/>
          </w:tcPr>
          <w:p w14:paraId="4339CDA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1,2-</w:t>
            </w:r>
            <w:r w:rsidRPr="00E67914">
              <w:rPr>
                <w:rFonts w:ascii="Times New Roman" w:hAnsi="Times New Roman"/>
                <w:b/>
                <w:sz w:val="21"/>
                <w:szCs w:val="21"/>
              </w:rPr>
              <w:t>二氯苯</w:t>
            </w:r>
          </w:p>
        </w:tc>
      </w:tr>
      <w:tr w:rsidR="002662E3" w:rsidRPr="00E67914" w14:paraId="25382627" w14:textId="77777777">
        <w:trPr>
          <w:jc w:val="center"/>
        </w:trPr>
        <w:tc>
          <w:tcPr>
            <w:tcW w:w="949" w:type="dxa"/>
            <w:shd w:val="clear" w:color="auto" w:fill="FFFFFF"/>
            <w:vAlign w:val="center"/>
          </w:tcPr>
          <w:p w14:paraId="6169D51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筛选值</w:t>
            </w:r>
          </w:p>
        </w:tc>
        <w:tc>
          <w:tcPr>
            <w:tcW w:w="992" w:type="dxa"/>
            <w:shd w:val="clear" w:color="auto" w:fill="FFFFFF"/>
            <w:vAlign w:val="center"/>
          </w:tcPr>
          <w:p w14:paraId="3421D6B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2.8</w:t>
            </w:r>
          </w:p>
        </w:tc>
        <w:tc>
          <w:tcPr>
            <w:tcW w:w="1276" w:type="dxa"/>
            <w:shd w:val="clear" w:color="auto" w:fill="FFFFFF"/>
            <w:vAlign w:val="center"/>
          </w:tcPr>
          <w:p w14:paraId="1137C74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2.8</w:t>
            </w:r>
          </w:p>
        </w:tc>
        <w:tc>
          <w:tcPr>
            <w:tcW w:w="1134" w:type="dxa"/>
            <w:shd w:val="clear" w:color="auto" w:fill="FFFFFF"/>
            <w:vAlign w:val="center"/>
          </w:tcPr>
          <w:p w14:paraId="23E4FEF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0.5</w:t>
            </w:r>
          </w:p>
        </w:tc>
        <w:tc>
          <w:tcPr>
            <w:tcW w:w="992" w:type="dxa"/>
            <w:shd w:val="clear" w:color="auto" w:fill="FFFFFF"/>
            <w:vAlign w:val="center"/>
          </w:tcPr>
          <w:p w14:paraId="2315C2C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0.43</w:t>
            </w:r>
          </w:p>
        </w:tc>
        <w:tc>
          <w:tcPr>
            <w:tcW w:w="984" w:type="dxa"/>
            <w:shd w:val="clear" w:color="auto" w:fill="FFFFFF"/>
            <w:vAlign w:val="center"/>
          </w:tcPr>
          <w:p w14:paraId="14DD90C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4</w:t>
            </w:r>
          </w:p>
        </w:tc>
        <w:tc>
          <w:tcPr>
            <w:tcW w:w="971" w:type="dxa"/>
            <w:shd w:val="clear" w:color="auto" w:fill="FFFFFF"/>
            <w:vAlign w:val="center"/>
          </w:tcPr>
          <w:p w14:paraId="1308D9C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270</w:t>
            </w:r>
          </w:p>
        </w:tc>
        <w:tc>
          <w:tcPr>
            <w:tcW w:w="924" w:type="dxa"/>
            <w:shd w:val="clear" w:color="auto" w:fill="FFFFFF"/>
            <w:vAlign w:val="center"/>
          </w:tcPr>
          <w:p w14:paraId="5597377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560</w:t>
            </w:r>
          </w:p>
        </w:tc>
      </w:tr>
      <w:tr w:rsidR="002662E3" w:rsidRPr="00E67914" w14:paraId="7D22ADED" w14:textId="77777777">
        <w:trPr>
          <w:jc w:val="center"/>
        </w:trPr>
        <w:tc>
          <w:tcPr>
            <w:tcW w:w="949" w:type="dxa"/>
            <w:shd w:val="clear" w:color="auto" w:fill="FFFFFF"/>
            <w:vAlign w:val="center"/>
          </w:tcPr>
          <w:p w14:paraId="761C700B"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2" w:type="dxa"/>
            <w:shd w:val="clear" w:color="auto" w:fill="FFFFFF"/>
            <w:vAlign w:val="center"/>
          </w:tcPr>
          <w:p w14:paraId="3C0359F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1,4-</w:t>
            </w:r>
            <w:r w:rsidRPr="00E67914">
              <w:rPr>
                <w:rFonts w:ascii="Times New Roman" w:hAnsi="Times New Roman"/>
                <w:b/>
                <w:sz w:val="21"/>
                <w:szCs w:val="21"/>
              </w:rPr>
              <w:t>二氯苯</w:t>
            </w:r>
          </w:p>
        </w:tc>
        <w:tc>
          <w:tcPr>
            <w:tcW w:w="1276" w:type="dxa"/>
            <w:shd w:val="clear" w:color="auto" w:fill="FFFFFF"/>
            <w:vAlign w:val="center"/>
          </w:tcPr>
          <w:p w14:paraId="679E6DCE"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乙苯</w:t>
            </w:r>
          </w:p>
        </w:tc>
        <w:tc>
          <w:tcPr>
            <w:tcW w:w="1134" w:type="dxa"/>
            <w:shd w:val="clear" w:color="auto" w:fill="FFFFFF"/>
            <w:vAlign w:val="center"/>
          </w:tcPr>
          <w:p w14:paraId="43E7705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苯乙烯</w:t>
            </w:r>
          </w:p>
        </w:tc>
        <w:tc>
          <w:tcPr>
            <w:tcW w:w="992" w:type="dxa"/>
            <w:shd w:val="clear" w:color="auto" w:fill="FFFFFF"/>
            <w:vAlign w:val="center"/>
          </w:tcPr>
          <w:p w14:paraId="20CCD6A1"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甲苯</w:t>
            </w:r>
          </w:p>
        </w:tc>
        <w:tc>
          <w:tcPr>
            <w:tcW w:w="1955" w:type="dxa"/>
            <w:gridSpan w:val="2"/>
            <w:shd w:val="clear" w:color="auto" w:fill="FFFFFF"/>
            <w:vAlign w:val="center"/>
          </w:tcPr>
          <w:p w14:paraId="6D5293FC"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间二甲苯</w:t>
            </w:r>
            <w:r w:rsidRPr="00E67914">
              <w:rPr>
                <w:rFonts w:ascii="Times New Roman" w:hAnsi="Times New Roman"/>
                <w:b/>
                <w:sz w:val="21"/>
                <w:szCs w:val="21"/>
              </w:rPr>
              <w:t>+</w:t>
            </w:r>
            <w:r w:rsidRPr="00E67914">
              <w:rPr>
                <w:rFonts w:ascii="Times New Roman" w:hAnsi="Times New Roman"/>
                <w:b/>
                <w:sz w:val="21"/>
                <w:szCs w:val="21"/>
              </w:rPr>
              <w:t>对二甲苯</w:t>
            </w:r>
          </w:p>
        </w:tc>
        <w:tc>
          <w:tcPr>
            <w:tcW w:w="924" w:type="dxa"/>
            <w:shd w:val="clear" w:color="auto" w:fill="FFFFFF"/>
            <w:vAlign w:val="center"/>
          </w:tcPr>
          <w:p w14:paraId="14041EEA"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邻二甲苯</w:t>
            </w:r>
          </w:p>
        </w:tc>
      </w:tr>
      <w:tr w:rsidR="002662E3" w:rsidRPr="00E67914" w14:paraId="0A7DE71D" w14:textId="77777777">
        <w:trPr>
          <w:jc w:val="center"/>
        </w:trPr>
        <w:tc>
          <w:tcPr>
            <w:tcW w:w="949" w:type="dxa"/>
            <w:shd w:val="clear" w:color="auto" w:fill="FFFFFF"/>
            <w:vAlign w:val="center"/>
          </w:tcPr>
          <w:p w14:paraId="367762C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筛选值</w:t>
            </w:r>
          </w:p>
        </w:tc>
        <w:tc>
          <w:tcPr>
            <w:tcW w:w="992" w:type="dxa"/>
            <w:shd w:val="clear" w:color="auto" w:fill="FFFFFF"/>
            <w:vAlign w:val="center"/>
          </w:tcPr>
          <w:p w14:paraId="1D14FB3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20</w:t>
            </w:r>
          </w:p>
        </w:tc>
        <w:tc>
          <w:tcPr>
            <w:tcW w:w="1276" w:type="dxa"/>
            <w:shd w:val="clear" w:color="auto" w:fill="FFFFFF"/>
            <w:vAlign w:val="center"/>
          </w:tcPr>
          <w:p w14:paraId="48F5D95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28</w:t>
            </w:r>
          </w:p>
        </w:tc>
        <w:tc>
          <w:tcPr>
            <w:tcW w:w="1134" w:type="dxa"/>
            <w:shd w:val="clear" w:color="auto" w:fill="FFFFFF"/>
            <w:vAlign w:val="center"/>
          </w:tcPr>
          <w:p w14:paraId="1AA014E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1290</w:t>
            </w:r>
          </w:p>
        </w:tc>
        <w:tc>
          <w:tcPr>
            <w:tcW w:w="992" w:type="dxa"/>
            <w:shd w:val="clear" w:color="auto" w:fill="FFFFFF"/>
            <w:vAlign w:val="center"/>
          </w:tcPr>
          <w:p w14:paraId="0A4EDF8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1200</w:t>
            </w:r>
          </w:p>
        </w:tc>
        <w:tc>
          <w:tcPr>
            <w:tcW w:w="1955" w:type="dxa"/>
            <w:gridSpan w:val="2"/>
            <w:shd w:val="clear" w:color="auto" w:fill="FFFFFF"/>
            <w:vAlign w:val="center"/>
          </w:tcPr>
          <w:p w14:paraId="0EE0F57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570</w:t>
            </w:r>
          </w:p>
        </w:tc>
        <w:tc>
          <w:tcPr>
            <w:tcW w:w="924" w:type="dxa"/>
            <w:shd w:val="clear" w:color="auto" w:fill="FFFFFF"/>
            <w:vAlign w:val="center"/>
          </w:tcPr>
          <w:p w14:paraId="6735800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640</w:t>
            </w:r>
          </w:p>
        </w:tc>
      </w:tr>
      <w:tr w:rsidR="002662E3" w:rsidRPr="00E67914" w14:paraId="226A828A" w14:textId="77777777">
        <w:trPr>
          <w:jc w:val="center"/>
        </w:trPr>
        <w:tc>
          <w:tcPr>
            <w:tcW w:w="949" w:type="dxa"/>
            <w:shd w:val="clear" w:color="auto" w:fill="FFFFFF"/>
            <w:vAlign w:val="center"/>
          </w:tcPr>
          <w:p w14:paraId="1B17F118"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2" w:type="dxa"/>
            <w:shd w:val="clear" w:color="auto" w:fill="FFFFFF"/>
            <w:vAlign w:val="center"/>
          </w:tcPr>
          <w:p w14:paraId="0088E9FC"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硝基苯</w:t>
            </w:r>
          </w:p>
        </w:tc>
        <w:tc>
          <w:tcPr>
            <w:tcW w:w="1276" w:type="dxa"/>
            <w:shd w:val="clear" w:color="auto" w:fill="FFFFFF"/>
            <w:vAlign w:val="center"/>
          </w:tcPr>
          <w:p w14:paraId="1F8507DF"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苯胺</w:t>
            </w:r>
          </w:p>
        </w:tc>
        <w:tc>
          <w:tcPr>
            <w:tcW w:w="1134" w:type="dxa"/>
            <w:shd w:val="clear" w:color="auto" w:fill="FFFFFF"/>
            <w:vAlign w:val="center"/>
          </w:tcPr>
          <w:p w14:paraId="4D8BA6A4"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2-</w:t>
            </w:r>
            <w:r w:rsidRPr="00E67914">
              <w:rPr>
                <w:rFonts w:ascii="Times New Roman" w:hAnsi="Times New Roman"/>
                <w:b/>
                <w:sz w:val="21"/>
                <w:szCs w:val="21"/>
              </w:rPr>
              <w:t>氯酚</w:t>
            </w:r>
          </w:p>
        </w:tc>
        <w:tc>
          <w:tcPr>
            <w:tcW w:w="992" w:type="dxa"/>
            <w:shd w:val="clear" w:color="auto" w:fill="FFFFFF"/>
            <w:vAlign w:val="center"/>
          </w:tcPr>
          <w:p w14:paraId="0184C281"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苯并〔</w:t>
            </w:r>
            <w:r w:rsidRPr="00E67914">
              <w:rPr>
                <w:rFonts w:ascii="Times New Roman" w:hAnsi="Times New Roman"/>
                <w:b/>
                <w:sz w:val="21"/>
                <w:szCs w:val="21"/>
              </w:rPr>
              <w:t>a</w:t>
            </w:r>
            <w:r w:rsidRPr="00E67914">
              <w:rPr>
                <w:rFonts w:ascii="Times New Roman" w:hAnsi="Times New Roman"/>
                <w:b/>
                <w:sz w:val="21"/>
                <w:szCs w:val="21"/>
              </w:rPr>
              <w:t>〕蒽</w:t>
            </w:r>
          </w:p>
        </w:tc>
        <w:tc>
          <w:tcPr>
            <w:tcW w:w="984" w:type="dxa"/>
            <w:shd w:val="clear" w:color="auto" w:fill="FFFFFF"/>
            <w:vAlign w:val="center"/>
          </w:tcPr>
          <w:p w14:paraId="5D266D48"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苯并〔</w:t>
            </w:r>
            <w:r w:rsidRPr="00E67914">
              <w:rPr>
                <w:rFonts w:ascii="Times New Roman" w:hAnsi="Times New Roman"/>
                <w:b/>
                <w:sz w:val="21"/>
                <w:szCs w:val="21"/>
              </w:rPr>
              <w:t>a</w:t>
            </w:r>
            <w:r w:rsidRPr="00E67914">
              <w:rPr>
                <w:rFonts w:ascii="Times New Roman" w:hAnsi="Times New Roman"/>
                <w:b/>
                <w:sz w:val="21"/>
                <w:szCs w:val="21"/>
              </w:rPr>
              <w:t>〕芘</w:t>
            </w:r>
          </w:p>
        </w:tc>
        <w:tc>
          <w:tcPr>
            <w:tcW w:w="971" w:type="dxa"/>
            <w:shd w:val="clear" w:color="auto" w:fill="FFFFFF"/>
            <w:vAlign w:val="center"/>
          </w:tcPr>
          <w:p w14:paraId="263B599F"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苯并〔</w:t>
            </w:r>
            <w:r w:rsidRPr="00E67914">
              <w:rPr>
                <w:rFonts w:ascii="Times New Roman" w:hAnsi="Times New Roman"/>
                <w:b/>
                <w:sz w:val="21"/>
                <w:szCs w:val="21"/>
              </w:rPr>
              <w:t>b</w:t>
            </w:r>
            <w:r w:rsidRPr="00E67914">
              <w:rPr>
                <w:rFonts w:ascii="Times New Roman" w:hAnsi="Times New Roman"/>
                <w:b/>
                <w:sz w:val="21"/>
                <w:szCs w:val="21"/>
              </w:rPr>
              <w:t>〕荧蒽</w:t>
            </w:r>
          </w:p>
        </w:tc>
        <w:tc>
          <w:tcPr>
            <w:tcW w:w="924" w:type="dxa"/>
            <w:shd w:val="clear" w:color="auto" w:fill="FFFFFF"/>
            <w:vAlign w:val="center"/>
          </w:tcPr>
          <w:p w14:paraId="4DE9EE5F"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苯并〔</w:t>
            </w:r>
            <w:r w:rsidRPr="00E67914">
              <w:rPr>
                <w:rFonts w:ascii="Times New Roman" w:hAnsi="Times New Roman"/>
                <w:b/>
                <w:sz w:val="21"/>
                <w:szCs w:val="21"/>
              </w:rPr>
              <w:t>k</w:t>
            </w:r>
            <w:r w:rsidRPr="00E67914">
              <w:rPr>
                <w:rFonts w:ascii="Times New Roman" w:hAnsi="Times New Roman"/>
                <w:b/>
                <w:sz w:val="21"/>
                <w:szCs w:val="21"/>
              </w:rPr>
              <w:t>〕荧蒽</w:t>
            </w:r>
          </w:p>
        </w:tc>
      </w:tr>
      <w:tr w:rsidR="002662E3" w:rsidRPr="00E67914" w14:paraId="3EC9D964" w14:textId="77777777">
        <w:trPr>
          <w:jc w:val="center"/>
        </w:trPr>
        <w:tc>
          <w:tcPr>
            <w:tcW w:w="949" w:type="dxa"/>
            <w:shd w:val="clear" w:color="auto" w:fill="FFFFFF"/>
            <w:vAlign w:val="center"/>
          </w:tcPr>
          <w:p w14:paraId="6B1E9B4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筛选值</w:t>
            </w:r>
          </w:p>
        </w:tc>
        <w:tc>
          <w:tcPr>
            <w:tcW w:w="992" w:type="dxa"/>
            <w:shd w:val="clear" w:color="auto" w:fill="FFFFFF"/>
            <w:vAlign w:val="center"/>
          </w:tcPr>
          <w:p w14:paraId="103901D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76</w:t>
            </w:r>
          </w:p>
        </w:tc>
        <w:tc>
          <w:tcPr>
            <w:tcW w:w="1276" w:type="dxa"/>
            <w:shd w:val="clear" w:color="auto" w:fill="FFFFFF"/>
            <w:vAlign w:val="center"/>
          </w:tcPr>
          <w:p w14:paraId="76093EF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260</w:t>
            </w:r>
          </w:p>
        </w:tc>
        <w:tc>
          <w:tcPr>
            <w:tcW w:w="1134" w:type="dxa"/>
            <w:shd w:val="clear" w:color="auto" w:fill="FFFFFF"/>
            <w:vAlign w:val="center"/>
          </w:tcPr>
          <w:p w14:paraId="5BC0A49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2256</w:t>
            </w:r>
          </w:p>
        </w:tc>
        <w:tc>
          <w:tcPr>
            <w:tcW w:w="992" w:type="dxa"/>
            <w:shd w:val="clear" w:color="auto" w:fill="FFFFFF"/>
            <w:vAlign w:val="center"/>
          </w:tcPr>
          <w:p w14:paraId="0876938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984" w:type="dxa"/>
            <w:shd w:val="clear" w:color="auto" w:fill="FFFFFF"/>
            <w:vAlign w:val="center"/>
          </w:tcPr>
          <w:p w14:paraId="4805E8F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971" w:type="dxa"/>
            <w:shd w:val="clear" w:color="auto" w:fill="FFFFFF"/>
            <w:vAlign w:val="center"/>
          </w:tcPr>
          <w:p w14:paraId="25C67C6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924" w:type="dxa"/>
            <w:shd w:val="clear" w:color="auto" w:fill="FFFFFF"/>
            <w:vAlign w:val="center"/>
          </w:tcPr>
          <w:p w14:paraId="4A9E87B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151</w:t>
            </w:r>
          </w:p>
        </w:tc>
      </w:tr>
      <w:tr w:rsidR="002662E3" w:rsidRPr="00E67914" w14:paraId="62BED37D" w14:textId="77777777">
        <w:trPr>
          <w:jc w:val="center"/>
        </w:trPr>
        <w:tc>
          <w:tcPr>
            <w:tcW w:w="949" w:type="dxa"/>
            <w:shd w:val="clear" w:color="auto" w:fill="FFFFFF"/>
            <w:vAlign w:val="center"/>
          </w:tcPr>
          <w:p w14:paraId="60A59D9A"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992" w:type="dxa"/>
            <w:shd w:val="clear" w:color="auto" w:fill="FFFFFF"/>
            <w:vAlign w:val="center"/>
          </w:tcPr>
          <w:p w14:paraId="4C9C19B3"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䓛</w:t>
            </w:r>
          </w:p>
        </w:tc>
        <w:tc>
          <w:tcPr>
            <w:tcW w:w="1276" w:type="dxa"/>
            <w:shd w:val="clear" w:color="auto" w:fill="FFFFFF"/>
            <w:vAlign w:val="center"/>
          </w:tcPr>
          <w:p w14:paraId="1B92D26E"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二苯并〔</w:t>
            </w:r>
            <w:r w:rsidRPr="00E67914">
              <w:rPr>
                <w:rFonts w:ascii="Times New Roman" w:hAnsi="Times New Roman"/>
                <w:b/>
                <w:sz w:val="21"/>
                <w:szCs w:val="21"/>
              </w:rPr>
              <w:t>a,h</w:t>
            </w:r>
            <w:r w:rsidRPr="00E67914">
              <w:rPr>
                <w:rFonts w:ascii="Times New Roman" w:hAnsi="Times New Roman"/>
                <w:b/>
                <w:sz w:val="21"/>
                <w:szCs w:val="21"/>
              </w:rPr>
              <w:t>〕蒽</w:t>
            </w:r>
          </w:p>
        </w:tc>
        <w:tc>
          <w:tcPr>
            <w:tcW w:w="2126" w:type="dxa"/>
            <w:gridSpan w:val="2"/>
            <w:shd w:val="clear" w:color="auto" w:fill="FFFFFF"/>
            <w:vAlign w:val="center"/>
          </w:tcPr>
          <w:p w14:paraId="6A9F76BD"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茆并〔</w:t>
            </w:r>
            <w:r w:rsidRPr="00E67914">
              <w:rPr>
                <w:rFonts w:ascii="Times New Roman" w:hAnsi="Times New Roman"/>
                <w:b/>
                <w:sz w:val="21"/>
                <w:szCs w:val="21"/>
              </w:rPr>
              <w:t>1,2,3-cd</w:t>
            </w:r>
            <w:r w:rsidRPr="00E67914">
              <w:rPr>
                <w:rFonts w:ascii="Times New Roman" w:hAnsi="Times New Roman"/>
                <w:b/>
                <w:sz w:val="21"/>
                <w:szCs w:val="21"/>
              </w:rPr>
              <w:t>〕芘</w:t>
            </w:r>
          </w:p>
        </w:tc>
        <w:tc>
          <w:tcPr>
            <w:tcW w:w="984" w:type="dxa"/>
            <w:shd w:val="clear" w:color="auto" w:fill="FFFFFF"/>
            <w:vAlign w:val="center"/>
          </w:tcPr>
          <w:p w14:paraId="029B1405"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萘</w:t>
            </w:r>
          </w:p>
        </w:tc>
        <w:tc>
          <w:tcPr>
            <w:tcW w:w="1895" w:type="dxa"/>
            <w:gridSpan w:val="2"/>
            <w:shd w:val="clear" w:color="auto" w:fill="FFFFFF"/>
            <w:vAlign w:val="center"/>
          </w:tcPr>
          <w:p w14:paraId="125BB1C0"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石油烃（</w:t>
            </w:r>
            <w:r w:rsidRPr="00E67914">
              <w:rPr>
                <w:rFonts w:ascii="Times New Roman" w:hAnsi="Times New Roman"/>
                <w:b/>
                <w:sz w:val="21"/>
                <w:szCs w:val="21"/>
              </w:rPr>
              <w:t>C</w:t>
            </w:r>
            <w:r w:rsidRPr="00E67914">
              <w:rPr>
                <w:rFonts w:ascii="Times New Roman" w:hAnsi="Times New Roman"/>
                <w:b/>
                <w:sz w:val="21"/>
                <w:szCs w:val="21"/>
                <w:vertAlign w:val="subscript"/>
              </w:rPr>
              <w:t>10</w:t>
            </w:r>
            <w:r w:rsidRPr="00E67914">
              <w:rPr>
                <w:rFonts w:ascii="Times New Roman" w:hAnsi="Times New Roman"/>
                <w:b/>
                <w:sz w:val="21"/>
                <w:szCs w:val="21"/>
              </w:rPr>
              <w:t>~C</w:t>
            </w:r>
            <w:r w:rsidRPr="00E67914">
              <w:rPr>
                <w:rFonts w:ascii="Times New Roman" w:hAnsi="Times New Roman"/>
                <w:b/>
                <w:sz w:val="21"/>
                <w:szCs w:val="21"/>
                <w:vertAlign w:val="subscript"/>
              </w:rPr>
              <w:t>40</w:t>
            </w:r>
            <w:r w:rsidRPr="00E67914">
              <w:rPr>
                <w:rFonts w:ascii="Times New Roman" w:hAnsi="Times New Roman"/>
                <w:b/>
                <w:sz w:val="21"/>
                <w:szCs w:val="21"/>
              </w:rPr>
              <w:t>）</w:t>
            </w:r>
          </w:p>
        </w:tc>
      </w:tr>
      <w:tr w:rsidR="002662E3" w:rsidRPr="00E67914" w14:paraId="27C1BEDD" w14:textId="77777777">
        <w:trPr>
          <w:jc w:val="center"/>
        </w:trPr>
        <w:tc>
          <w:tcPr>
            <w:tcW w:w="949" w:type="dxa"/>
            <w:shd w:val="clear" w:color="auto" w:fill="FFFFFF"/>
            <w:vAlign w:val="center"/>
          </w:tcPr>
          <w:p w14:paraId="4DC450D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筛选值</w:t>
            </w:r>
          </w:p>
        </w:tc>
        <w:tc>
          <w:tcPr>
            <w:tcW w:w="992" w:type="dxa"/>
            <w:shd w:val="clear" w:color="auto" w:fill="FFFFFF"/>
            <w:vAlign w:val="center"/>
          </w:tcPr>
          <w:p w14:paraId="7F5EB15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1293</w:t>
            </w:r>
          </w:p>
        </w:tc>
        <w:tc>
          <w:tcPr>
            <w:tcW w:w="1276" w:type="dxa"/>
            <w:shd w:val="clear" w:color="auto" w:fill="FFFFFF"/>
            <w:vAlign w:val="center"/>
          </w:tcPr>
          <w:p w14:paraId="6EC6DB0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2126" w:type="dxa"/>
            <w:gridSpan w:val="2"/>
            <w:shd w:val="clear" w:color="auto" w:fill="FFFFFF"/>
            <w:vAlign w:val="center"/>
          </w:tcPr>
          <w:p w14:paraId="5DCE909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984" w:type="dxa"/>
            <w:shd w:val="clear" w:color="auto" w:fill="FFFFFF"/>
            <w:vAlign w:val="center"/>
          </w:tcPr>
          <w:p w14:paraId="588E997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70</w:t>
            </w:r>
          </w:p>
        </w:tc>
        <w:tc>
          <w:tcPr>
            <w:tcW w:w="1895" w:type="dxa"/>
            <w:gridSpan w:val="2"/>
            <w:shd w:val="clear" w:color="auto" w:fill="FFFFFF"/>
            <w:vAlign w:val="center"/>
          </w:tcPr>
          <w:p w14:paraId="71A37B6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4500</w:t>
            </w:r>
          </w:p>
        </w:tc>
      </w:tr>
    </w:tbl>
    <w:p w14:paraId="4EC3F0C9"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2.5-6  </w:t>
      </w:r>
      <w:r w:rsidRPr="00E67914">
        <w:rPr>
          <w:rFonts w:ascii="Times New Roman" w:eastAsia="黑体" w:hAnsi="Times New Roman"/>
          <w:sz w:val="21"/>
          <w:szCs w:val="21"/>
          <w:lang w:eastAsia="zh-CN"/>
        </w:rPr>
        <w:t>农用地（其他）土壤环境质量筛选值</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mg/kg</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909"/>
        <w:gridCol w:w="914"/>
        <w:gridCol w:w="914"/>
        <w:gridCol w:w="914"/>
        <w:gridCol w:w="914"/>
        <w:gridCol w:w="914"/>
        <w:gridCol w:w="914"/>
        <w:gridCol w:w="914"/>
        <w:gridCol w:w="915"/>
      </w:tblGrid>
      <w:tr w:rsidR="002662E3" w:rsidRPr="00E67914" w14:paraId="27DA6E22" w14:textId="77777777">
        <w:trPr>
          <w:jc w:val="center"/>
        </w:trPr>
        <w:tc>
          <w:tcPr>
            <w:tcW w:w="885" w:type="dxa"/>
            <w:vMerge w:val="restart"/>
            <w:shd w:val="clear" w:color="auto" w:fill="FFFFFF"/>
            <w:vAlign w:val="center"/>
          </w:tcPr>
          <w:p w14:paraId="4DF93A51"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污染物</w:t>
            </w:r>
          </w:p>
        </w:tc>
        <w:tc>
          <w:tcPr>
            <w:tcW w:w="7113" w:type="dxa"/>
            <w:gridSpan w:val="8"/>
            <w:shd w:val="clear" w:color="auto" w:fill="FFFFFF"/>
            <w:vAlign w:val="center"/>
          </w:tcPr>
          <w:p w14:paraId="6D3F1375"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风险筛选值</w:t>
            </w:r>
          </w:p>
        </w:tc>
      </w:tr>
      <w:tr w:rsidR="002662E3" w:rsidRPr="00E67914" w14:paraId="067DBFEE" w14:textId="77777777">
        <w:trPr>
          <w:jc w:val="center"/>
        </w:trPr>
        <w:tc>
          <w:tcPr>
            <w:tcW w:w="885" w:type="dxa"/>
            <w:vMerge/>
            <w:shd w:val="clear" w:color="auto" w:fill="FFFFFF"/>
            <w:vAlign w:val="center"/>
          </w:tcPr>
          <w:p w14:paraId="01BFE74C" w14:textId="77777777" w:rsidR="00A54A8A" w:rsidRPr="00E67914" w:rsidRDefault="00A54A8A">
            <w:pPr>
              <w:adjustRightInd w:val="0"/>
              <w:snapToGrid w:val="0"/>
              <w:jc w:val="center"/>
              <w:rPr>
                <w:rFonts w:ascii="Times New Roman" w:hAnsi="Times New Roman"/>
                <w:b/>
                <w:sz w:val="21"/>
                <w:szCs w:val="21"/>
              </w:rPr>
            </w:pPr>
          </w:p>
        </w:tc>
        <w:tc>
          <w:tcPr>
            <w:tcW w:w="1778" w:type="dxa"/>
            <w:gridSpan w:val="2"/>
            <w:shd w:val="clear" w:color="auto" w:fill="FFFFFF"/>
            <w:vAlign w:val="center"/>
          </w:tcPr>
          <w:p w14:paraId="3A18F306"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pH≤5.5</w:t>
            </w:r>
          </w:p>
        </w:tc>
        <w:tc>
          <w:tcPr>
            <w:tcW w:w="1778" w:type="dxa"/>
            <w:gridSpan w:val="2"/>
            <w:shd w:val="clear" w:color="auto" w:fill="FFFFFF"/>
            <w:vAlign w:val="center"/>
          </w:tcPr>
          <w:p w14:paraId="6A3011A9"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5.5</w:t>
            </w:r>
            <w:r w:rsidRPr="00E67914">
              <w:rPr>
                <w:rFonts w:ascii="Times New Roman" w:hAnsi="Times New Roman"/>
                <w:b/>
                <w:sz w:val="21"/>
                <w:szCs w:val="21"/>
                <w:lang w:eastAsia="zh-CN"/>
              </w:rPr>
              <w:t>＜</w:t>
            </w:r>
            <w:r w:rsidRPr="00E67914">
              <w:rPr>
                <w:rFonts w:ascii="Times New Roman" w:hAnsi="Times New Roman"/>
                <w:b/>
                <w:sz w:val="21"/>
                <w:szCs w:val="21"/>
                <w:lang w:eastAsia="zh-CN"/>
              </w:rPr>
              <w:t>pH≤6.5</w:t>
            </w:r>
          </w:p>
        </w:tc>
        <w:tc>
          <w:tcPr>
            <w:tcW w:w="1778" w:type="dxa"/>
            <w:gridSpan w:val="2"/>
            <w:shd w:val="clear" w:color="auto" w:fill="FFFFFF"/>
            <w:vAlign w:val="center"/>
          </w:tcPr>
          <w:p w14:paraId="51226120"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6.5</w:t>
            </w:r>
            <w:r w:rsidRPr="00E67914">
              <w:rPr>
                <w:rFonts w:ascii="Times New Roman" w:hAnsi="Times New Roman"/>
                <w:b/>
                <w:sz w:val="21"/>
                <w:szCs w:val="21"/>
                <w:lang w:eastAsia="zh-CN"/>
              </w:rPr>
              <w:t>＜</w:t>
            </w:r>
            <w:r w:rsidRPr="00E67914">
              <w:rPr>
                <w:rFonts w:ascii="Times New Roman" w:hAnsi="Times New Roman"/>
                <w:b/>
                <w:sz w:val="21"/>
                <w:szCs w:val="21"/>
                <w:lang w:eastAsia="zh-CN"/>
              </w:rPr>
              <w:t>pH≤7.5</w:t>
            </w:r>
          </w:p>
        </w:tc>
        <w:tc>
          <w:tcPr>
            <w:tcW w:w="1779" w:type="dxa"/>
            <w:gridSpan w:val="2"/>
            <w:shd w:val="clear" w:color="auto" w:fill="FFFFFF"/>
            <w:vAlign w:val="center"/>
          </w:tcPr>
          <w:p w14:paraId="2EF4F59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lang w:eastAsia="zh-CN"/>
              </w:rPr>
              <w:t>pH</w:t>
            </w:r>
            <w:r w:rsidRPr="00E67914">
              <w:rPr>
                <w:rFonts w:ascii="Times New Roman" w:hAnsi="Times New Roman"/>
                <w:b/>
                <w:sz w:val="21"/>
                <w:szCs w:val="21"/>
                <w:lang w:eastAsia="zh-CN"/>
              </w:rPr>
              <w:t>＞</w:t>
            </w:r>
            <w:r w:rsidRPr="00E67914">
              <w:rPr>
                <w:rFonts w:ascii="Times New Roman" w:hAnsi="Times New Roman"/>
                <w:b/>
                <w:sz w:val="21"/>
                <w:szCs w:val="21"/>
                <w:lang w:eastAsia="zh-CN"/>
              </w:rPr>
              <w:t>7.5</w:t>
            </w:r>
          </w:p>
        </w:tc>
      </w:tr>
      <w:tr w:rsidR="002662E3" w:rsidRPr="00E67914" w14:paraId="08FB9354" w14:textId="77777777">
        <w:trPr>
          <w:jc w:val="center"/>
        </w:trPr>
        <w:tc>
          <w:tcPr>
            <w:tcW w:w="885" w:type="dxa"/>
            <w:vMerge/>
            <w:shd w:val="clear" w:color="auto" w:fill="FFFFFF"/>
            <w:vAlign w:val="center"/>
          </w:tcPr>
          <w:p w14:paraId="2138B16E" w14:textId="77777777" w:rsidR="00A54A8A" w:rsidRPr="00E67914" w:rsidRDefault="00A54A8A">
            <w:pPr>
              <w:adjustRightInd w:val="0"/>
              <w:snapToGrid w:val="0"/>
              <w:jc w:val="center"/>
              <w:rPr>
                <w:rFonts w:ascii="Times New Roman" w:hAnsi="Times New Roman"/>
                <w:b/>
                <w:sz w:val="21"/>
                <w:szCs w:val="21"/>
                <w:lang w:eastAsia="zh-CN"/>
              </w:rPr>
            </w:pPr>
          </w:p>
        </w:tc>
        <w:tc>
          <w:tcPr>
            <w:tcW w:w="889" w:type="dxa"/>
            <w:shd w:val="clear" w:color="auto" w:fill="FFFFFF"/>
            <w:vAlign w:val="center"/>
          </w:tcPr>
          <w:p w14:paraId="16FB83A2"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水田</w:t>
            </w:r>
          </w:p>
        </w:tc>
        <w:tc>
          <w:tcPr>
            <w:tcW w:w="889" w:type="dxa"/>
            <w:shd w:val="clear" w:color="auto" w:fill="FFFFFF"/>
            <w:vAlign w:val="center"/>
          </w:tcPr>
          <w:p w14:paraId="49F599F2"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其他</w:t>
            </w:r>
          </w:p>
        </w:tc>
        <w:tc>
          <w:tcPr>
            <w:tcW w:w="889" w:type="dxa"/>
            <w:shd w:val="clear" w:color="auto" w:fill="FFFFFF"/>
            <w:vAlign w:val="center"/>
          </w:tcPr>
          <w:p w14:paraId="6E1FA650"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水田</w:t>
            </w:r>
          </w:p>
        </w:tc>
        <w:tc>
          <w:tcPr>
            <w:tcW w:w="889" w:type="dxa"/>
            <w:shd w:val="clear" w:color="auto" w:fill="FFFFFF"/>
            <w:vAlign w:val="center"/>
          </w:tcPr>
          <w:p w14:paraId="4F3C3D41"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其他</w:t>
            </w:r>
          </w:p>
        </w:tc>
        <w:tc>
          <w:tcPr>
            <w:tcW w:w="889" w:type="dxa"/>
            <w:shd w:val="clear" w:color="auto" w:fill="FFFFFF"/>
            <w:vAlign w:val="center"/>
          </w:tcPr>
          <w:p w14:paraId="5506B98F"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水田</w:t>
            </w:r>
          </w:p>
        </w:tc>
        <w:tc>
          <w:tcPr>
            <w:tcW w:w="889" w:type="dxa"/>
            <w:shd w:val="clear" w:color="auto" w:fill="FFFFFF"/>
            <w:vAlign w:val="center"/>
          </w:tcPr>
          <w:p w14:paraId="7E097FB5"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其他</w:t>
            </w:r>
          </w:p>
        </w:tc>
        <w:tc>
          <w:tcPr>
            <w:tcW w:w="889" w:type="dxa"/>
            <w:shd w:val="clear" w:color="auto" w:fill="FFFFFF"/>
            <w:vAlign w:val="center"/>
          </w:tcPr>
          <w:p w14:paraId="4D753E03"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水田</w:t>
            </w:r>
          </w:p>
        </w:tc>
        <w:tc>
          <w:tcPr>
            <w:tcW w:w="890" w:type="dxa"/>
            <w:shd w:val="clear" w:color="auto" w:fill="FFFFFF"/>
            <w:vAlign w:val="center"/>
          </w:tcPr>
          <w:p w14:paraId="25D8CB4A"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其他</w:t>
            </w:r>
          </w:p>
        </w:tc>
      </w:tr>
      <w:tr w:rsidR="002662E3" w:rsidRPr="00E67914" w14:paraId="7F7E3362" w14:textId="77777777">
        <w:trPr>
          <w:jc w:val="center"/>
        </w:trPr>
        <w:tc>
          <w:tcPr>
            <w:tcW w:w="885" w:type="dxa"/>
            <w:shd w:val="clear" w:color="auto" w:fill="FFFFFF"/>
            <w:vAlign w:val="center"/>
          </w:tcPr>
          <w:p w14:paraId="364FAEE5"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镉</w:t>
            </w:r>
          </w:p>
        </w:tc>
        <w:tc>
          <w:tcPr>
            <w:tcW w:w="889" w:type="dxa"/>
            <w:shd w:val="clear" w:color="auto" w:fill="FFFFFF"/>
            <w:vAlign w:val="center"/>
          </w:tcPr>
          <w:p w14:paraId="29F55591"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0.3</w:t>
            </w:r>
          </w:p>
        </w:tc>
        <w:tc>
          <w:tcPr>
            <w:tcW w:w="889" w:type="dxa"/>
            <w:shd w:val="clear" w:color="auto" w:fill="FFFFFF"/>
            <w:vAlign w:val="center"/>
          </w:tcPr>
          <w:p w14:paraId="43E0755D"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0.3</w:t>
            </w:r>
          </w:p>
        </w:tc>
        <w:tc>
          <w:tcPr>
            <w:tcW w:w="889" w:type="dxa"/>
            <w:shd w:val="clear" w:color="auto" w:fill="FFFFFF"/>
            <w:vAlign w:val="center"/>
          </w:tcPr>
          <w:p w14:paraId="15035AE3"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0.4</w:t>
            </w:r>
          </w:p>
        </w:tc>
        <w:tc>
          <w:tcPr>
            <w:tcW w:w="889" w:type="dxa"/>
            <w:shd w:val="clear" w:color="auto" w:fill="FFFFFF"/>
            <w:vAlign w:val="center"/>
          </w:tcPr>
          <w:p w14:paraId="3CC271BC"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0.3</w:t>
            </w:r>
          </w:p>
        </w:tc>
        <w:tc>
          <w:tcPr>
            <w:tcW w:w="889" w:type="dxa"/>
            <w:shd w:val="clear" w:color="auto" w:fill="FFFFFF"/>
            <w:vAlign w:val="center"/>
          </w:tcPr>
          <w:p w14:paraId="0A9206C7"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0.6</w:t>
            </w:r>
          </w:p>
        </w:tc>
        <w:tc>
          <w:tcPr>
            <w:tcW w:w="889" w:type="dxa"/>
            <w:shd w:val="clear" w:color="auto" w:fill="FFFFFF"/>
            <w:vAlign w:val="center"/>
          </w:tcPr>
          <w:p w14:paraId="1F1AACBA"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0.3</w:t>
            </w:r>
          </w:p>
        </w:tc>
        <w:tc>
          <w:tcPr>
            <w:tcW w:w="889" w:type="dxa"/>
            <w:shd w:val="clear" w:color="auto" w:fill="FFFFFF"/>
            <w:vAlign w:val="center"/>
          </w:tcPr>
          <w:p w14:paraId="5D612A65"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0.8</w:t>
            </w:r>
          </w:p>
        </w:tc>
        <w:tc>
          <w:tcPr>
            <w:tcW w:w="890" w:type="dxa"/>
            <w:shd w:val="clear" w:color="auto" w:fill="FFFFFF"/>
            <w:vAlign w:val="center"/>
          </w:tcPr>
          <w:p w14:paraId="73A441D3"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0.6</w:t>
            </w:r>
          </w:p>
        </w:tc>
      </w:tr>
      <w:tr w:rsidR="002662E3" w:rsidRPr="00E67914" w14:paraId="76005831" w14:textId="77777777">
        <w:trPr>
          <w:jc w:val="center"/>
        </w:trPr>
        <w:tc>
          <w:tcPr>
            <w:tcW w:w="885" w:type="dxa"/>
            <w:shd w:val="clear" w:color="auto" w:fill="FFFFFF"/>
            <w:vAlign w:val="center"/>
          </w:tcPr>
          <w:p w14:paraId="278640FF"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汞</w:t>
            </w:r>
          </w:p>
        </w:tc>
        <w:tc>
          <w:tcPr>
            <w:tcW w:w="889" w:type="dxa"/>
            <w:shd w:val="clear" w:color="auto" w:fill="FFFFFF"/>
            <w:vAlign w:val="center"/>
          </w:tcPr>
          <w:p w14:paraId="64783CFE"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0.5</w:t>
            </w:r>
          </w:p>
        </w:tc>
        <w:tc>
          <w:tcPr>
            <w:tcW w:w="889" w:type="dxa"/>
            <w:shd w:val="clear" w:color="auto" w:fill="FFFFFF"/>
            <w:vAlign w:val="center"/>
          </w:tcPr>
          <w:p w14:paraId="73C8CB9D"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1.3</w:t>
            </w:r>
          </w:p>
        </w:tc>
        <w:tc>
          <w:tcPr>
            <w:tcW w:w="889" w:type="dxa"/>
            <w:shd w:val="clear" w:color="auto" w:fill="FFFFFF"/>
            <w:vAlign w:val="center"/>
          </w:tcPr>
          <w:p w14:paraId="79384316"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0.5</w:t>
            </w:r>
          </w:p>
        </w:tc>
        <w:tc>
          <w:tcPr>
            <w:tcW w:w="889" w:type="dxa"/>
            <w:shd w:val="clear" w:color="auto" w:fill="FFFFFF"/>
            <w:vAlign w:val="center"/>
          </w:tcPr>
          <w:p w14:paraId="7E72A956"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1.8</w:t>
            </w:r>
          </w:p>
        </w:tc>
        <w:tc>
          <w:tcPr>
            <w:tcW w:w="889" w:type="dxa"/>
            <w:shd w:val="clear" w:color="auto" w:fill="FFFFFF"/>
            <w:vAlign w:val="center"/>
          </w:tcPr>
          <w:p w14:paraId="0FD73C4F"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0.6</w:t>
            </w:r>
          </w:p>
        </w:tc>
        <w:tc>
          <w:tcPr>
            <w:tcW w:w="889" w:type="dxa"/>
            <w:shd w:val="clear" w:color="auto" w:fill="FFFFFF"/>
            <w:vAlign w:val="center"/>
          </w:tcPr>
          <w:p w14:paraId="4F31641C"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2.4</w:t>
            </w:r>
          </w:p>
        </w:tc>
        <w:tc>
          <w:tcPr>
            <w:tcW w:w="889" w:type="dxa"/>
            <w:shd w:val="clear" w:color="auto" w:fill="FFFFFF"/>
            <w:vAlign w:val="center"/>
          </w:tcPr>
          <w:p w14:paraId="34DA75F7"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1.0</w:t>
            </w:r>
          </w:p>
        </w:tc>
        <w:tc>
          <w:tcPr>
            <w:tcW w:w="890" w:type="dxa"/>
            <w:shd w:val="clear" w:color="auto" w:fill="FFFFFF"/>
            <w:vAlign w:val="center"/>
          </w:tcPr>
          <w:p w14:paraId="3BEC5EDF"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3.4</w:t>
            </w:r>
          </w:p>
        </w:tc>
      </w:tr>
      <w:tr w:rsidR="002662E3" w:rsidRPr="00E67914" w14:paraId="6E364269" w14:textId="77777777">
        <w:trPr>
          <w:jc w:val="center"/>
        </w:trPr>
        <w:tc>
          <w:tcPr>
            <w:tcW w:w="885" w:type="dxa"/>
            <w:shd w:val="clear" w:color="auto" w:fill="FFFFFF"/>
            <w:vAlign w:val="center"/>
          </w:tcPr>
          <w:p w14:paraId="06443F13"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砷</w:t>
            </w:r>
          </w:p>
        </w:tc>
        <w:tc>
          <w:tcPr>
            <w:tcW w:w="889" w:type="dxa"/>
            <w:shd w:val="clear" w:color="auto" w:fill="FFFFFF"/>
            <w:vAlign w:val="center"/>
          </w:tcPr>
          <w:p w14:paraId="03346557"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30</w:t>
            </w:r>
          </w:p>
        </w:tc>
        <w:tc>
          <w:tcPr>
            <w:tcW w:w="889" w:type="dxa"/>
            <w:shd w:val="clear" w:color="auto" w:fill="FFFFFF"/>
            <w:vAlign w:val="center"/>
          </w:tcPr>
          <w:p w14:paraId="0C207F3E"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40</w:t>
            </w:r>
          </w:p>
        </w:tc>
        <w:tc>
          <w:tcPr>
            <w:tcW w:w="889" w:type="dxa"/>
            <w:shd w:val="clear" w:color="auto" w:fill="FFFFFF"/>
            <w:vAlign w:val="center"/>
          </w:tcPr>
          <w:p w14:paraId="55BE2FB0"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30</w:t>
            </w:r>
          </w:p>
        </w:tc>
        <w:tc>
          <w:tcPr>
            <w:tcW w:w="889" w:type="dxa"/>
            <w:shd w:val="clear" w:color="auto" w:fill="FFFFFF"/>
            <w:vAlign w:val="center"/>
          </w:tcPr>
          <w:p w14:paraId="7C384C50"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40</w:t>
            </w:r>
          </w:p>
        </w:tc>
        <w:tc>
          <w:tcPr>
            <w:tcW w:w="889" w:type="dxa"/>
            <w:shd w:val="clear" w:color="auto" w:fill="FFFFFF"/>
            <w:vAlign w:val="center"/>
          </w:tcPr>
          <w:p w14:paraId="16D4A4BB"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25</w:t>
            </w:r>
          </w:p>
        </w:tc>
        <w:tc>
          <w:tcPr>
            <w:tcW w:w="889" w:type="dxa"/>
            <w:shd w:val="clear" w:color="auto" w:fill="FFFFFF"/>
            <w:vAlign w:val="center"/>
          </w:tcPr>
          <w:p w14:paraId="76C06396"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30</w:t>
            </w:r>
          </w:p>
        </w:tc>
        <w:tc>
          <w:tcPr>
            <w:tcW w:w="889" w:type="dxa"/>
            <w:shd w:val="clear" w:color="auto" w:fill="FFFFFF"/>
            <w:vAlign w:val="center"/>
          </w:tcPr>
          <w:p w14:paraId="4DB96089"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w:t>
            </w:r>
          </w:p>
        </w:tc>
        <w:tc>
          <w:tcPr>
            <w:tcW w:w="890" w:type="dxa"/>
            <w:shd w:val="clear" w:color="auto" w:fill="FFFFFF"/>
            <w:vAlign w:val="center"/>
          </w:tcPr>
          <w:p w14:paraId="5BB9491A"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25</w:t>
            </w:r>
          </w:p>
        </w:tc>
      </w:tr>
      <w:tr w:rsidR="002662E3" w:rsidRPr="00E67914" w14:paraId="126AAC4C" w14:textId="77777777">
        <w:trPr>
          <w:jc w:val="center"/>
        </w:trPr>
        <w:tc>
          <w:tcPr>
            <w:tcW w:w="885" w:type="dxa"/>
            <w:shd w:val="clear" w:color="auto" w:fill="FFFFFF"/>
            <w:vAlign w:val="center"/>
          </w:tcPr>
          <w:p w14:paraId="329E996D"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铅</w:t>
            </w:r>
          </w:p>
        </w:tc>
        <w:tc>
          <w:tcPr>
            <w:tcW w:w="889" w:type="dxa"/>
            <w:shd w:val="clear" w:color="auto" w:fill="FFFFFF"/>
            <w:vAlign w:val="center"/>
          </w:tcPr>
          <w:p w14:paraId="0970B801"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80</w:t>
            </w:r>
          </w:p>
        </w:tc>
        <w:tc>
          <w:tcPr>
            <w:tcW w:w="889" w:type="dxa"/>
            <w:shd w:val="clear" w:color="auto" w:fill="FFFFFF"/>
            <w:vAlign w:val="center"/>
          </w:tcPr>
          <w:p w14:paraId="444FA3D4"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70</w:t>
            </w:r>
          </w:p>
        </w:tc>
        <w:tc>
          <w:tcPr>
            <w:tcW w:w="889" w:type="dxa"/>
            <w:shd w:val="clear" w:color="auto" w:fill="FFFFFF"/>
            <w:vAlign w:val="center"/>
          </w:tcPr>
          <w:p w14:paraId="3E4CCEF6"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100</w:t>
            </w:r>
          </w:p>
        </w:tc>
        <w:tc>
          <w:tcPr>
            <w:tcW w:w="889" w:type="dxa"/>
            <w:shd w:val="clear" w:color="auto" w:fill="FFFFFF"/>
            <w:vAlign w:val="center"/>
          </w:tcPr>
          <w:p w14:paraId="23AC9021"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90</w:t>
            </w:r>
          </w:p>
        </w:tc>
        <w:tc>
          <w:tcPr>
            <w:tcW w:w="889" w:type="dxa"/>
            <w:shd w:val="clear" w:color="auto" w:fill="FFFFFF"/>
            <w:vAlign w:val="center"/>
          </w:tcPr>
          <w:p w14:paraId="2E2216E2"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140</w:t>
            </w:r>
          </w:p>
        </w:tc>
        <w:tc>
          <w:tcPr>
            <w:tcW w:w="889" w:type="dxa"/>
            <w:shd w:val="clear" w:color="auto" w:fill="FFFFFF"/>
            <w:vAlign w:val="center"/>
          </w:tcPr>
          <w:p w14:paraId="6CD4AE38"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120</w:t>
            </w:r>
          </w:p>
        </w:tc>
        <w:tc>
          <w:tcPr>
            <w:tcW w:w="889" w:type="dxa"/>
            <w:shd w:val="clear" w:color="auto" w:fill="FFFFFF"/>
            <w:vAlign w:val="center"/>
          </w:tcPr>
          <w:p w14:paraId="362C9D8B"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240</w:t>
            </w:r>
          </w:p>
        </w:tc>
        <w:tc>
          <w:tcPr>
            <w:tcW w:w="890" w:type="dxa"/>
            <w:shd w:val="clear" w:color="auto" w:fill="FFFFFF"/>
            <w:vAlign w:val="center"/>
          </w:tcPr>
          <w:p w14:paraId="68A4B96E"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170</w:t>
            </w:r>
          </w:p>
        </w:tc>
      </w:tr>
      <w:tr w:rsidR="002662E3" w:rsidRPr="00E67914" w14:paraId="737739A9" w14:textId="77777777">
        <w:trPr>
          <w:jc w:val="center"/>
        </w:trPr>
        <w:tc>
          <w:tcPr>
            <w:tcW w:w="885" w:type="dxa"/>
            <w:shd w:val="clear" w:color="auto" w:fill="FFFFFF"/>
            <w:vAlign w:val="center"/>
          </w:tcPr>
          <w:p w14:paraId="21609257"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铬</w:t>
            </w:r>
          </w:p>
        </w:tc>
        <w:tc>
          <w:tcPr>
            <w:tcW w:w="889" w:type="dxa"/>
            <w:shd w:val="clear" w:color="auto" w:fill="FFFFFF"/>
            <w:vAlign w:val="center"/>
          </w:tcPr>
          <w:p w14:paraId="10DAC5F6"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250</w:t>
            </w:r>
          </w:p>
        </w:tc>
        <w:tc>
          <w:tcPr>
            <w:tcW w:w="889" w:type="dxa"/>
            <w:shd w:val="clear" w:color="auto" w:fill="FFFFFF"/>
            <w:vAlign w:val="center"/>
          </w:tcPr>
          <w:p w14:paraId="33E9243E"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c>
          <w:tcPr>
            <w:tcW w:w="889" w:type="dxa"/>
            <w:shd w:val="clear" w:color="auto" w:fill="FFFFFF"/>
            <w:vAlign w:val="center"/>
          </w:tcPr>
          <w:p w14:paraId="12202901"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250</w:t>
            </w:r>
          </w:p>
        </w:tc>
        <w:tc>
          <w:tcPr>
            <w:tcW w:w="889" w:type="dxa"/>
            <w:shd w:val="clear" w:color="auto" w:fill="FFFFFF"/>
            <w:vAlign w:val="center"/>
          </w:tcPr>
          <w:p w14:paraId="76D1D3F7"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c>
          <w:tcPr>
            <w:tcW w:w="889" w:type="dxa"/>
            <w:shd w:val="clear" w:color="auto" w:fill="FFFFFF"/>
            <w:vAlign w:val="center"/>
          </w:tcPr>
          <w:p w14:paraId="6ABDAB4E"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300</w:t>
            </w:r>
          </w:p>
        </w:tc>
        <w:tc>
          <w:tcPr>
            <w:tcW w:w="889" w:type="dxa"/>
            <w:shd w:val="clear" w:color="auto" w:fill="FFFFFF"/>
            <w:vAlign w:val="center"/>
          </w:tcPr>
          <w:p w14:paraId="0961C3DA"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200</w:t>
            </w:r>
          </w:p>
        </w:tc>
        <w:tc>
          <w:tcPr>
            <w:tcW w:w="889" w:type="dxa"/>
            <w:shd w:val="clear" w:color="auto" w:fill="FFFFFF"/>
            <w:vAlign w:val="center"/>
          </w:tcPr>
          <w:p w14:paraId="06A346FC"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350</w:t>
            </w:r>
          </w:p>
        </w:tc>
        <w:tc>
          <w:tcPr>
            <w:tcW w:w="890" w:type="dxa"/>
            <w:shd w:val="clear" w:color="auto" w:fill="FFFFFF"/>
            <w:vAlign w:val="center"/>
          </w:tcPr>
          <w:p w14:paraId="40E6DB48"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250</w:t>
            </w:r>
          </w:p>
        </w:tc>
      </w:tr>
      <w:tr w:rsidR="002662E3" w:rsidRPr="00E67914" w14:paraId="278E19C6" w14:textId="77777777">
        <w:trPr>
          <w:jc w:val="center"/>
        </w:trPr>
        <w:tc>
          <w:tcPr>
            <w:tcW w:w="885" w:type="dxa"/>
            <w:shd w:val="clear" w:color="auto" w:fill="FFFFFF"/>
            <w:vAlign w:val="center"/>
          </w:tcPr>
          <w:p w14:paraId="3FEC06CD"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铜</w:t>
            </w:r>
          </w:p>
        </w:tc>
        <w:tc>
          <w:tcPr>
            <w:tcW w:w="889" w:type="dxa"/>
            <w:shd w:val="clear" w:color="auto" w:fill="FFFFFF"/>
            <w:vAlign w:val="center"/>
          </w:tcPr>
          <w:p w14:paraId="5CCDAA6E"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c>
          <w:tcPr>
            <w:tcW w:w="889" w:type="dxa"/>
            <w:shd w:val="clear" w:color="auto" w:fill="FFFFFF"/>
            <w:vAlign w:val="center"/>
          </w:tcPr>
          <w:p w14:paraId="5910347F"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50</w:t>
            </w:r>
          </w:p>
        </w:tc>
        <w:tc>
          <w:tcPr>
            <w:tcW w:w="889" w:type="dxa"/>
            <w:shd w:val="clear" w:color="auto" w:fill="FFFFFF"/>
            <w:vAlign w:val="center"/>
          </w:tcPr>
          <w:p w14:paraId="5DBAD39C"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c>
          <w:tcPr>
            <w:tcW w:w="889" w:type="dxa"/>
            <w:shd w:val="clear" w:color="auto" w:fill="FFFFFF"/>
            <w:vAlign w:val="center"/>
          </w:tcPr>
          <w:p w14:paraId="635501F4"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50</w:t>
            </w:r>
          </w:p>
        </w:tc>
        <w:tc>
          <w:tcPr>
            <w:tcW w:w="889" w:type="dxa"/>
            <w:shd w:val="clear" w:color="auto" w:fill="FFFFFF"/>
            <w:vAlign w:val="center"/>
          </w:tcPr>
          <w:p w14:paraId="4F38D843"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200</w:t>
            </w:r>
          </w:p>
        </w:tc>
        <w:tc>
          <w:tcPr>
            <w:tcW w:w="889" w:type="dxa"/>
            <w:shd w:val="clear" w:color="auto" w:fill="FFFFFF"/>
            <w:vAlign w:val="center"/>
          </w:tcPr>
          <w:p w14:paraId="52CD6E63"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100</w:t>
            </w:r>
          </w:p>
        </w:tc>
        <w:tc>
          <w:tcPr>
            <w:tcW w:w="889" w:type="dxa"/>
            <w:shd w:val="clear" w:color="auto" w:fill="FFFFFF"/>
            <w:vAlign w:val="center"/>
          </w:tcPr>
          <w:p w14:paraId="2E10A2F5"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200</w:t>
            </w:r>
          </w:p>
        </w:tc>
        <w:tc>
          <w:tcPr>
            <w:tcW w:w="890" w:type="dxa"/>
            <w:shd w:val="clear" w:color="auto" w:fill="FFFFFF"/>
            <w:vAlign w:val="center"/>
          </w:tcPr>
          <w:p w14:paraId="4F48666C"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100</w:t>
            </w:r>
          </w:p>
        </w:tc>
      </w:tr>
      <w:tr w:rsidR="002662E3" w:rsidRPr="00E67914" w14:paraId="6B3F9E88" w14:textId="77777777">
        <w:trPr>
          <w:jc w:val="center"/>
        </w:trPr>
        <w:tc>
          <w:tcPr>
            <w:tcW w:w="885" w:type="dxa"/>
            <w:shd w:val="clear" w:color="auto" w:fill="FFFFFF"/>
            <w:vAlign w:val="center"/>
          </w:tcPr>
          <w:p w14:paraId="117F80EC"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镍</w:t>
            </w:r>
          </w:p>
        </w:tc>
        <w:tc>
          <w:tcPr>
            <w:tcW w:w="1778" w:type="dxa"/>
            <w:gridSpan w:val="2"/>
            <w:shd w:val="clear" w:color="auto" w:fill="FFFFFF"/>
            <w:vAlign w:val="center"/>
          </w:tcPr>
          <w:p w14:paraId="638195DB"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60</w:t>
            </w:r>
          </w:p>
        </w:tc>
        <w:tc>
          <w:tcPr>
            <w:tcW w:w="1778" w:type="dxa"/>
            <w:gridSpan w:val="2"/>
            <w:shd w:val="clear" w:color="auto" w:fill="FFFFFF"/>
            <w:vAlign w:val="center"/>
          </w:tcPr>
          <w:p w14:paraId="7D5ECE44"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70</w:t>
            </w:r>
          </w:p>
        </w:tc>
        <w:tc>
          <w:tcPr>
            <w:tcW w:w="1778" w:type="dxa"/>
            <w:gridSpan w:val="2"/>
            <w:shd w:val="clear" w:color="auto" w:fill="FFFFFF"/>
            <w:vAlign w:val="center"/>
          </w:tcPr>
          <w:p w14:paraId="391C137E"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100</w:t>
            </w:r>
          </w:p>
        </w:tc>
        <w:tc>
          <w:tcPr>
            <w:tcW w:w="1779" w:type="dxa"/>
            <w:gridSpan w:val="2"/>
            <w:shd w:val="clear" w:color="auto" w:fill="FFFFFF"/>
            <w:vAlign w:val="center"/>
          </w:tcPr>
          <w:p w14:paraId="0524AE4E"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190</w:t>
            </w:r>
          </w:p>
        </w:tc>
      </w:tr>
      <w:tr w:rsidR="002662E3" w:rsidRPr="00E67914" w14:paraId="788874ED" w14:textId="77777777">
        <w:trPr>
          <w:jc w:val="center"/>
        </w:trPr>
        <w:tc>
          <w:tcPr>
            <w:tcW w:w="885" w:type="dxa"/>
            <w:shd w:val="clear" w:color="auto" w:fill="FFFFFF"/>
            <w:vAlign w:val="center"/>
          </w:tcPr>
          <w:p w14:paraId="02B1AA17"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锌</w:t>
            </w:r>
          </w:p>
        </w:tc>
        <w:tc>
          <w:tcPr>
            <w:tcW w:w="1778" w:type="dxa"/>
            <w:gridSpan w:val="2"/>
            <w:shd w:val="clear" w:color="auto" w:fill="FFFFFF"/>
            <w:vAlign w:val="center"/>
          </w:tcPr>
          <w:p w14:paraId="74D6F05F"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200</w:t>
            </w:r>
          </w:p>
        </w:tc>
        <w:tc>
          <w:tcPr>
            <w:tcW w:w="1778" w:type="dxa"/>
            <w:gridSpan w:val="2"/>
            <w:shd w:val="clear" w:color="auto" w:fill="FFFFFF"/>
            <w:vAlign w:val="center"/>
          </w:tcPr>
          <w:p w14:paraId="74D0594F"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200</w:t>
            </w:r>
          </w:p>
        </w:tc>
        <w:tc>
          <w:tcPr>
            <w:tcW w:w="1778" w:type="dxa"/>
            <w:gridSpan w:val="2"/>
            <w:shd w:val="clear" w:color="auto" w:fill="FFFFFF"/>
            <w:vAlign w:val="center"/>
          </w:tcPr>
          <w:p w14:paraId="77FF12B9"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250</w:t>
            </w:r>
          </w:p>
        </w:tc>
        <w:tc>
          <w:tcPr>
            <w:tcW w:w="1779" w:type="dxa"/>
            <w:gridSpan w:val="2"/>
            <w:shd w:val="clear" w:color="auto" w:fill="FFFFFF"/>
            <w:vAlign w:val="center"/>
          </w:tcPr>
          <w:p w14:paraId="0F7E3A1F" w14:textId="77777777" w:rsidR="00A54A8A" w:rsidRPr="00E67914" w:rsidRDefault="00000000">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300</w:t>
            </w:r>
          </w:p>
        </w:tc>
      </w:tr>
    </w:tbl>
    <w:p w14:paraId="25FA94BF" w14:textId="77777777" w:rsidR="00A54A8A" w:rsidRPr="00E67914" w:rsidRDefault="00000000">
      <w:pPr>
        <w:pStyle w:val="af4"/>
        <w:spacing w:beforeLines="50" w:before="156" w:line="360" w:lineRule="auto"/>
        <w:ind w:firstLineChars="200" w:firstLine="480"/>
        <w:rPr>
          <w:rFonts w:ascii="Times New Roman" w:hAnsi="Times New Roman"/>
          <w:bCs/>
          <w:szCs w:val="24"/>
        </w:rPr>
      </w:pPr>
      <w:r w:rsidRPr="00E67914">
        <w:rPr>
          <w:rFonts w:ascii="Times New Roman" w:hAnsi="Times New Roman"/>
          <w:bCs/>
          <w:szCs w:val="24"/>
        </w:rPr>
        <w:t>土壤环境监测指标中农用地石油烃参考第一类建设用地筛选值为</w:t>
      </w:r>
      <w:r w:rsidRPr="00E67914">
        <w:rPr>
          <w:rFonts w:ascii="Times New Roman" w:hAnsi="Times New Roman"/>
          <w:bCs/>
          <w:szCs w:val="24"/>
        </w:rPr>
        <w:t>826mg/kg</w:t>
      </w:r>
      <w:r w:rsidRPr="00E67914">
        <w:rPr>
          <w:rFonts w:ascii="Times New Roman" w:hAnsi="Times New Roman"/>
          <w:bCs/>
          <w:szCs w:val="24"/>
        </w:rPr>
        <w:t>。</w:t>
      </w:r>
    </w:p>
    <w:p w14:paraId="1929258D"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2.5.3</w:t>
      </w:r>
      <w:r w:rsidRPr="00E67914">
        <w:rPr>
          <w:rFonts w:ascii="Times New Roman" w:eastAsia="黑体" w:hAnsi="Times New Roman"/>
          <w:b w:val="0"/>
          <w:sz w:val="24"/>
          <w:szCs w:val="24"/>
          <w:lang w:eastAsia="zh-CN"/>
        </w:rPr>
        <w:t>污染物排放标准</w:t>
      </w:r>
    </w:p>
    <w:p w14:paraId="5A92549C" w14:textId="77777777" w:rsidR="00A54A8A" w:rsidRPr="00E67914" w:rsidRDefault="00000000">
      <w:pPr>
        <w:pStyle w:val="0"/>
        <w:rPr>
          <w:bCs/>
        </w:rPr>
      </w:pPr>
      <w:bookmarkStart w:id="28" w:name="_Hlk48749861"/>
      <w:bookmarkStart w:id="29" w:name="_Hlk48749841"/>
      <w:r w:rsidRPr="00E67914">
        <w:rPr>
          <w:bCs/>
        </w:rPr>
        <w:t>（</w:t>
      </w:r>
      <w:r w:rsidRPr="00E67914">
        <w:rPr>
          <w:bCs/>
        </w:rPr>
        <w:t>1</w:t>
      </w:r>
      <w:r w:rsidRPr="00E67914">
        <w:rPr>
          <w:bCs/>
        </w:rPr>
        <w:t>）废水</w:t>
      </w:r>
    </w:p>
    <w:p w14:paraId="3AC4BBF7" w14:textId="437457F6" w:rsidR="00A54A8A" w:rsidRPr="00E67914" w:rsidRDefault="00000000">
      <w:pPr>
        <w:pStyle w:val="af4"/>
        <w:spacing w:line="360" w:lineRule="auto"/>
        <w:ind w:firstLineChars="200" w:firstLine="480"/>
        <w:rPr>
          <w:rFonts w:ascii="Times New Roman" w:hAnsi="Times New Roman"/>
          <w:bCs/>
          <w:szCs w:val="24"/>
        </w:rPr>
      </w:pPr>
      <w:bookmarkStart w:id="30" w:name="_Hlk48749969"/>
      <w:bookmarkEnd w:id="28"/>
      <w:r w:rsidRPr="00E67914">
        <w:rPr>
          <w:rFonts w:ascii="Times New Roman" w:hAnsi="Times New Roman"/>
          <w:bCs/>
          <w:szCs w:val="24"/>
        </w:rPr>
        <w:t>钻井废水暂存于清洁生产操作平台的废水罐内，</w:t>
      </w:r>
      <w:r w:rsidR="006956BC" w:rsidRPr="00E67914">
        <w:rPr>
          <w:rFonts w:ascii="Times New Roman" w:hAnsi="Times New Roman"/>
          <w:bCs/>
          <w:szCs w:val="24"/>
        </w:rPr>
        <w:t>定期</w:t>
      </w:r>
      <w:r w:rsidRPr="00E67914">
        <w:rPr>
          <w:rFonts w:ascii="Times New Roman" w:hAnsi="Times New Roman"/>
          <w:bCs/>
          <w:szCs w:val="24"/>
        </w:rPr>
        <w:t>装车拉运至普光</w:t>
      </w:r>
      <w:r w:rsidRPr="00E67914">
        <w:rPr>
          <w:rFonts w:ascii="Times New Roman" w:hAnsi="Times New Roman"/>
          <w:bCs/>
          <w:szCs w:val="24"/>
        </w:rPr>
        <w:t>11</w:t>
      </w:r>
      <w:r w:rsidRPr="00E67914">
        <w:rPr>
          <w:rFonts w:ascii="Times New Roman" w:hAnsi="Times New Roman"/>
          <w:bCs/>
          <w:szCs w:val="24"/>
        </w:rPr>
        <w:t>井回注站回注；压裂废水和洗井废水暂存于放喷池，装车拉运至</w:t>
      </w:r>
      <w:bookmarkStart w:id="31" w:name="_Hlk117865028"/>
      <w:r w:rsidRPr="00E67914">
        <w:rPr>
          <w:rFonts w:ascii="Times New Roman" w:hAnsi="Times New Roman"/>
          <w:bCs/>
          <w:szCs w:val="24"/>
        </w:rPr>
        <w:t>赵家坝污水处理站</w:t>
      </w:r>
      <w:bookmarkEnd w:id="31"/>
      <w:r w:rsidRPr="00E67914">
        <w:rPr>
          <w:rFonts w:ascii="Times New Roman" w:hAnsi="Times New Roman"/>
          <w:bCs/>
          <w:szCs w:val="24"/>
        </w:rPr>
        <w:t>达标后管输至普光</w:t>
      </w:r>
      <w:r w:rsidRPr="00E67914">
        <w:rPr>
          <w:rFonts w:ascii="Times New Roman" w:hAnsi="Times New Roman"/>
          <w:bCs/>
          <w:szCs w:val="24"/>
        </w:rPr>
        <w:t>11</w:t>
      </w:r>
      <w:r w:rsidRPr="00E67914">
        <w:rPr>
          <w:rFonts w:ascii="Times New Roman" w:hAnsi="Times New Roman"/>
          <w:bCs/>
          <w:szCs w:val="24"/>
        </w:rPr>
        <w:t>井回注站回注；生活污水经生态厕所收集后定期由密闭罐车拉运至周边生活污水处理厂处理。项目钻井期间无废水外排。站场投产期间采气废水进入</w:t>
      </w:r>
      <w:r w:rsidR="00A9536E" w:rsidRPr="00E67914">
        <w:rPr>
          <w:rFonts w:ascii="Times New Roman" w:hAnsi="Times New Roman"/>
        </w:rPr>
        <w:t>放空分液罐、采出水罐</w:t>
      </w:r>
      <w:r w:rsidRPr="00E67914">
        <w:rPr>
          <w:rFonts w:ascii="Times New Roman" w:hAnsi="Times New Roman"/>
          <w:bCs/>
          <w:szCs w:val="24"/>
        </w:rPr>
        <w:t>，由罐车拉运至赵家坝污水处理站处理达到《气田水回注方法》（</w:t>
      </w:r>
      <w:r w:rsidRPr="00E67914">
        <w:rPr>
          <w:rFonts w:ascii="Times New Roman" w:hAnsi="Times New Roman"/>
          <w:bCs/>
          <w:szCs w:val="24"/>
        </w:rPr>
        <w:t>SY/T 6596-2016</w:t>
      </w:r>
      <w:r w:rsidRPr="00E67914">
        <w:rPr>
          <w:rFonts w:ascii="Times New Roman" w:hAnsi="Times New Roman"/>
          <w:bCs/>
          <w:szCs w:val="24"/>
        </w:rPr>
        <w:t>）中注入水基本要求后管输至普光</w:t>
      </w:r>
      <w:r w:rsidRPr="00E67914">
        <w:rPr>
          <w:rFonts w:ascii="Times New Roman" w:hAnsi="Times New Roman"/>
          <w:bCs/>
          <w:szCs w:val="24"/>
        </w:rPr>
        <w:t>11</w:t>
      </w:r>
      <w:r w:rsidRPr="00E67914">
        <w:rPr>
          <w:rFonts w:ascii="Times New Roman" w:hAnsi="Times New Roman"/>
          <w:bCs/>
          <w:szCs w:val="24"/>
        </w:rPr>
        <w:t>井回注站回注；无人值守，试采期无生活污水产生。</w:t>
      </w:r>
    </w:p>
    <w:p w14:paraId="3C1DF21A"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）废气</w:t>
      </w:r>
    </w:p>
    <w:p w14:paraId="63DDA576" w14:textId="32ACEDD4" w:rsidR="00A54A8A" w:rsidRPr="00E67914" w:rsidRDefault="00000000">
      <w:pPr>
        <w:pStyle w:val="af4"/>
        <w:spacing w:line="360" w:lineRule="auto"/>
        <w:ind w:firstLineChars="200" w:firstLine="480"/>
        <w:rPr>
          <w:rFonts w:ascii="Times New Roman" w:hAnsi="Times New Roman"/>
          <w:bCs/>
          <w:szCs w:val="24"/>
        </w:rPr>
      </w:pPr>
      <w:r w:rsidRPr="00E67914">
        <w:rPr>
          <w:rFonts w:ascii="Times New Roman" w:hAnsi="Times New Roman"/>
          <w:bCs/>
          <w:szCs w:val="24"/>
        </w:rPr>
        <w:t>项目施工期间扬尘执行《四川省施工场地扬尘排放标准》（</w:t>
      </w:r>
      <w:r w:rsidRPr="00E67914">
        <w:rPr>
          <w:rFonts w:ascii="Times New Roman" w:hAnsi="Times New Roman"/>
          <w:bCs/>
          <w:szCs w:val="24"/>
        </w:rPr>
        <w:t>DB51/2682-</w:t>
      </w:r>
      <w:r w:rsidRPr="00E67914">
        <w:rPr>
          <w:rFonts w:ascii="Times New Roman" w:hAnsi="Times New Roman"/>
          <w:bCs/>
          <w:szCs w:val="24"/>
        </w:rPr>
        <w:lastRenderedPageBreak/>
        <w:t>2020</w:t>
      </w:r>
      <w:r w:rsidRPr="00E67914">
        <w:rPr>
          <w:rFonts w:ascii="Times New Roman" w:hAnsi="Times New Roman"/>
          <w:bCs/>
          <w:szCs w:val="24"/>
        </w:rPr>
        <w:t>）（</w:t>
      </w:r>
      <w:r w:rsidRPr="00E67914">
        <w:rPr>
          <w:rFonts w:ascii="Times New Roman" w:hAnsi="Times New Roman"/>
          <w:bCs/>
          <w:szCs w:val="24"/>
        </w:rPr>
        <w:t>2020</w:t>
      </w:r>
      <w:r w:rsidRPr="00E67914">
        <w:rPr>
          <w:rFonts w:ascii="Times New Roman" w:hAnsi="Times New Roman"/>
          <w:bCs/>
          <w:szCs w:val="24"/>
        </w:rPr>
        <w:t>年</w:t>
      </w:r>
      <w:r w:rsidRPr="00E67914">
        <w:rPr>
          <w:rFonts w:ascii="Times New Roman" w:hAnsi="Times New Roman"/>
          <w:bCs/>
          <w:szCs w:val="24"/>
        </w:rPr>
        <w:t>9</w:t>
      </w:r>
      <w:r w:rsidRPr="00E67914">
        <w:rPr>
          <w:rFonts w:ascii="Times New Roman" w:hAnsi="Times New Roman"/>
          <w:bCs/>
          <w:szCs w:val="24"/>
        </w:rPr>
        <w:t>月</w:t>
      </w:r>
      <w:r w:rsidRPr="00E67914">
        <w:rPr>
          <w:rFonts w:ascii="Times New Roman" w:hAnsi="Times New Roman"/>
          <w:bCs/>
          <w:szCs w:val="24"/>
        </w:rPr>
        <w:t>1</w:t>
      </w:r>
      <w:r w:rsidRPr="00E67914">
        <w:rPr>
          <w:rFonts w:ascii="Times New Roman" w:hAnsi="Times New Roman"/>
          <w:bCs/>
          <w:szCs w:val="24"/>
        </w:rPr>
        <w:t>日起）；钻井期间备用柴油机废气</w:t>
      </w:r>
      <w:r w:rsidR="00C24829" w:rsidRPr="00E67914">
        <w:rPr>
          <w:rFonts w:ascii="Times New Roman" w:hAnsi="Times New Roman"/>
          <w:bCs/>
          <w:szCs w:val="24"/>
        </w:rPr>
        <w:t>和试采期火炬长明灯废气</w:t>
      </w:r>
      <w:r w:rsidRPr="00E67914">
        <w:rPr>
          <w:rFonts w:ascii="Times New Roman" w:hAnsi="Times New Roman"/>
          <w:bCs/>
          <w:szCs w:val="24"/>
        </w:rPr>
        <w:t>排放执行《大气污染物综合排放标准》</w:t>
      </w:r>
      <w:r w:rsidRPr="00E67914">
        <w:rPr>
          <w:rFonts w:ascii="Times New Roman" w:hAnsi="Times New Roman"/>
          <w:bCs/>
          <w:szCs w:val="24"/>
        </w:rPr>
        <w:t>(GB16297-1996)</w:t>
      </w:r>
      <w:r w:rsidRPr="00E67914">
        <w:rPr>
          <w:rFonts w:ascii="Times New Roman" w:hAnsi="Times New Roman"/>
          <w:bCs/>
          <w:szCs w:val="24"/>
        </w:rPr>
        <w:t>，试采期间</w:t>
      </w:r>
      <w:r w:rsidR="00C24829" w:rsidRPr="00E67914">
        <w:rPr>
          <w:rFonts w:ascii="Times New Roman" w:hAnsi="Times New Roman"/>
          <w:bCs/>
          <w:szCs w:val="24"/>
        </w:rPr>
        <w:t>水套加热炉燃烧废气</w:t>
      </w:r>
      <w:r w:rsidRPr="00E67914">
        <w:rPr>
          <w:rFonts w:ascii="Times New Roman" w:hAnsi="Times New Roman"/>
          <w:bCs/>
          <w:szCs w:val="24"/>
        </w:rPr>
        <w:t>排放执行《锅炉大气污染物排放标准》（</w:t>
      </w:r>
      <w:r w:rsidRPr="00E67914">
        <w:rPr>
          <w:rFonts w:ascii="Times New Roman" w:hAnsi="Times New Roman"/>
          <w:bCs/>
          <w:szCs w:val="24"/>
        </w:rPr>
        <w:t>GB13271-2014</w:t>
      </w:r>
      <w:r w:rsidRPr="00E67914">
        <w:rPr>
          <w:rFonts w:ascii="Times New Roman" w:hAnsi="Times New Roman"/>
          <w:bCs/>
          <w:szCs w:val="24"/>
        </w:rPr>
        <w:t>）；施工期和试采期挥发性有机物</w:t>
      </w:r>
      <w:r w:rsidR="007B08D3" w:rsidRPr="00E67914">
        <w:rPr>
          <w:rFonts w:ascii="Times New Roman" w:hAnsi="Times New Roman"/>
          <w:bCs/>
          <w:szCs w:val="24"/>
        </w:rPr>
        <w:t>、放散废气</w:t>
      </w:r>
      <w:r w:rsidRPr="00E67914">
        <w:rPr>
          <w:rFonts w:ascii="Times New Roman" w:hAnsi="Times New Roman"/>
          <w:bCs/>
          <w:szCs w:val="24"/>
        </w:rPr>
        <w:t>无组织排放执行《陆上石油天然气开采工业大气污染物排放标准》（</w:t>
      </w:r>
      <w:r w:rsidRPr="00E67914">
        <w:rPr>
          <w:rFonts w:ascii="Times New Roman" w:hAnsi="Times New Roman"/>
          <w:bCs/>
          <w:szCs w:val="24"/>
        </w:rPr>
        <w:t>GB39728-2020</w:t>
      </w:r>
      <w:r w:rsidRPr="00E67914">
        <w:rPr>
          <w:rFonts w:ascii="Times New Roman" w:hAnsi="Times New Roman"/>
          <w:bCs/>
          <w:szCs w:val="24"/>
        </w:rPr>
        <w:t>）。</w:t>
      </w:r>
    </w:p>
    <w:p w14:paraId="49218DC9"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2.5-7  </w:t>
      </w:r>
      <w:r w:rsidRPr="00E67914">
        <w:rPr>
          <w:rFonts w:ascii="Times New Roman" w:eastAsia="黑体" w:hAnsi="Times New Roman"/>
          <w:sz w:val="21"/>
          <w:szCs w:val="21"/>
          <w:lang w:eastAsia="zh-CN"/>
        </w:rPr>
        <w:t>四川省施工场地扬尘排放标准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2"/>
        <w:gridCol w:w="3020"/>
        <w:gridCol w:w="1666"/>
        <w:gridCol w:w="1389"/>
        <w:gridCol w:w="935"/>
      </w:tblGrid>
      <w:tr w:rsidR="002662E3" w:rsidRPr="00E67914" w14:paraId="53BD2451" w14:textId="77777777">
        <w:trPr>
          <w:jc w:val="center"/>
        </w:trPr>
        <w:tc>
          <w:tcPr>
            <w:tcW w:w="1235" w:type="dxa"/>
            <w:shd w:val="clear" w:color="auto" w:fill="auto"/>
            <w:vAlign w:val="center"/>
          </w:tcPr>
          <w:p w14:paraId="274943C5" w14:textId="77777777" w:rsidR="00A54A8A" w:rsidRPr="00E67914" w:rsidRDefault="00000000">
            <w:pPr>
              <w:pStyle w:val="71"/>
              <w:widowControl w:val="0"/>
              <w:spacing w:line="240" w:lineRule="auto"/>
              <w:ind w:firstLineChars="0" w:firstLine="0"/>
              <w:rPr>
                <w:rFonts w:ascii="Times New Roman" w:hAnsi="Times New Roman"/>
                <w:b/>
                <w:bCs/>
                <w:sz w:val="21"/>
                <w:szCs w:val="21"/>
              </w:rPr>
            </w:pPr>
            <w:r w:rsidRPr="00E67914">
              <w:rPr>
                <w:rFonts w:ascii="Times New Roman" w:hAnsi="Times New Roman"/>
                <w:b/>
                <w:bCs/>
                <w:sz w:val="21"/>
                <w:szCs w:val="21"/>
              </w:rPr>
              <w:t>监测项目</w:t>
            </w:r>
          </w:p>
        </w:tc>
        <w:tc>
          <w:tcPr>
            <w:tcW w:w="3087" w:type="dxa"/>
            <w:shd w:val="clear" w:color="auto" w:fill="auto"/>
            <w:vAlign w:val="center"/>
          </w:tcPr>
          <w:p w14:paraId="40B997AF" w14:textId="77777777" w:rsidR="00A54A8A" w:rsidRPr="00E67914" w:rsidRDefault="00000000">
            <w:pPr>
              <w:pStyle w:val="71"/>
              <w:widowControl w:val="0"/>
              <w:spacing w:line="240" w:lineRule="auto"/>
              <w:ind w:firstLineChars="0" w:firstLine="0"/>
              <w:rPr>
                <w:rFonts w:ascii="Times New Roman" w:hAnsi="Times New Roman"/>
                <w:b/>
                <w:bCs/>
                <w:sz w:val="21"/>
                <w:szCs w:val="21"/>
              </w:rPr>
            </w:pPr>
            <w:r w:rsidRPr="00E67914">
              <w:rPr>
                <w:rFonts w:ascii="Times New Roman" w:hAnsi="Times New Roman"/>
                <w:b/>
                <w:bCs/>
                <w:sz w:val="21"/>
                <w:szCs w:val="21"/>
              </w:rPr>
              <w:t>区域</w:t>
            </w:r>
          </w:p>
        </w:tc>
        <w:tc>
          <w:tcPr>
            <w:tcW w:w="1701" w:type="dxa"/>
            <w:shd w:val="clear" w:color="auto" w:fill="auto"/>
            <w:vAlign w:val="center"/>
          </w:tcPr>
          <w:p w14:paraId="2AFCFA7A" w14:textId="77777777" w:rsidR="00A54A8A" w:rsidRPr="00E67914" w:rsidRDefault="00000000">
            <w:pPr>
              <w:pStyle w:val="71"/>
              <w:widowControl w:val="0"/>
              <w:spacing w:line="240" w:lineRule="auto"/>
              <w:ind w:firstLineChars="0" w:firstLine="0"/>
              <w:rPr>
                <w:rFonts w:ascii="Times New Roman" w:hAnsi="Times New Roman"/>
                <w:b/>
                <w:bCs/>
                <w:sz w:val="21"/>
                <w:szCs w:val="21"/>
              </w:rPr>
            </w:pPr>
            <w:r w:rsidRPr="00E67914">
              <w:rPr>
                <w:rFonts w:ascii="Times New Roman" w:hAnsi="Times New Roman"/>
                <w:b/>
                <w:bCs/>
                <w:sz w:val="21"/>
                <w:szCs w:val="21"/>
              </w:rPr>
              <w:t>施工阶段</w:t>
            </w:r>
          </w:p>
        </w:tc>
        <w:tc>
          <w:tcPr>
            <w:tcW w:w="1417" w:type="dxa"/>
            <w:shd w:val="clear" w:color="auto" w:fill="auto"/>
            <w:vAlign w:val="center"/>
          </w:tcPr>
          <w:p w14:paraId="4621F55C" w14:textId="77777777" w:rsidR="00A54A8A" w:rsidRPr="00E67914" w:rsidRDefault="00000000">
            <w:pPr>
              <w:pStyle w:val="71"/>
              <w:widowControl w:val="0"/>
              <w:spacing w:line="240" w:lineRule="auto"/>
              <w:ind w:firstLineChars="0" w:firstLine="0"/>
              <w:rPr>
                <w:rFonts w:ascii="Times New Roman" w:hAnsi="Times New Roman"/>
                <w:b/>
                <w:bCs/>
                <w:sz w:val="21"/>
                <w:szCs w:val="21"/>
              </w:rPr>
            </w:pPr>
            <w:r w:rsidRPr="00E67914">
              <w:rPr>
                <w:rFonts w:ascii="Times New Roman" w:hAnsi="Times New Roman"/>
                <w:b/>
                <w:bCs/>
                <w:sz w:val="21"/>
                <w:szCs w:val="21"/>
              </w:rPr>
              <w:t>监测点排放限值（</w:t>
            </w:r>
            <w:r w:rsidRPr="00E67914">
              <w:rPr>
                <w:rFonts w:ascii="Times New Roman" w:hAnsi="Times New Roman"/>
                <w:b/>
                <w:bCs/>
                <w:sz w:val="21"/>
                <w:szCs w:val="21"/>
              </w:rPr>
              <w:t>μg/m</w:t>
            </w:r>
            <w:r w:rsidRPr="00E67914">
              <w:rPr>
                <w:rFonts w:ascii="Times New Roman" w:hAnsi="Times New Roman"/>
                <w:b/>
                <w:bCs/>
                <w:sz w:val="21"/>
                <w:szCs w:val="21"/>
                <w:vertAlign w:val="superscript"/>
              </w:rPr>
              <w:t>3</w:t>
            </w:r>
            <w:r w:rsidRPr="00E67914">
              <w:rPr>
                <w:rFonts w:ascii="Times New Roman" w:hAnsi="Times New Roman"/>
                <w:b/>
                <w:bCs/>
                <w:sz w:val="21"/>
                <w:szCs w:val="21"/>
              </w:rPr>
              <w:t>）</w:t>
            </w:r>
          </w:p>
        </w:tc>
        <w:tc>
          <w:tcPr>
            <w:tcW w:w="952" w:type="dxa"/>
            <w:shd w:val="clear" w:color="auto" w:fill="auto"/>
            <w:vAlign w:val="center"/>
          </w:tcPr>
          <w:p w14:paraId="1FCE9880" w14:textId="77777777" w:rsidR="00A54A8A" w:rsidRPr="00E67914" w:rsidRDefault="00000000">
            <w:pPr>
              <w:pStyle w:val="71"/>
              <w:widowControl w:val="0"/>
              <w:spacing w:line="240" w:lineRule="auto"/>
              <w:ind w:firstLineChars="0" w:firstLine="0"/>
              <w:rPr>
                <w:rFonts w:ascii="Times New Roman" w:hAnsi="Times New Roman"/>
                <w:b/>
                <w:bCs/>
                <w:sz w:val="21"/>
                <w:szCs w:val="21"/>
              </w:rPr>
            </w:pPr>
            <w:r w:rsidRPr="00E67914">
              <w:rPr>
                <w:rFonts w:ascii="Times New Roman" w:hAnsi="Times New Roman"/>
                <w:b/>
                <w:bCs/>
                <w:sz w:val="21"/>
                <w:szCs w:val="21"/>
              </w:rPr>
              <w:t>监测时间</w:t>
            </w:r>
          </w:p>
        </w:tc>
      </w:tr>
      <w:tr w:rsidR="002662E3" w:rsidRPr="00E67914" w14:paraId="0E7746FA" w14:textId="77777777">
        <w:trPr>
          <w:jc w:val="center"/>
        </w:trPr>
        <w:tc>
          <w:tcPr>
            <w:tcW w:w="1235" w:type="dxa"/>
            <w:vMerge w:val="restart"/>
            <w:shd w:val="clear" w:color="auto" w:fill="auto"/>
            <w:vAlign w:val="center"/>
          </w:tcPr>
          <w:p w14:paraId="1A270BA6" w14:textId="77777777" w:rsidR="00A54A8A" w:rsidRPr="00E67914" w:rsidRDefault="00000000">
            <w:pPr>
              <w:pStyle w:val="71"/>
              <w:widowControl w:val="0"/>
              <w:spacing w:line="240" w:lineRule="auto"/>
              <w:ind w:firstLineChars="0" w:firstLine="0"/>
              <w:rPr>
                <w:rFonts w:ascii="Times New Roman" w:hAnsi="Times New Roman"/>
                <w:sz w:val="21"/>
                <w:szCs w:val="21"/>
              </w:rPr>
            </w:pPr>
            <w:r w:rsidRPr="00E67914">
              <w:rPr>
                <w:rFonts w:ascii="Times New Roman" w:hAnsi="Times New Roman"/>
                <w:sz w:val="21"/>
                <w:szCs w:val="21"/>
              </w:rPr>
              <w:t>总悬浮颗粒物（</w:t>
            </w:r>
            <w:r w:rsidRPr="00E67914">
              <w:rPr>
                <w:rFonts w:ascii="Times New Roman" w:hAnsi="Times New Roman"/>
                <w:sz w:val="21"/>
                <w:szCs w:val="21"/>
              </w:rPr>
              <w:t>TSP</w:t>
            </w:r>
            <w:r w:rsidRPr="00E67914">
              <w:rPr>
                <w:rFonts w:ascii="Times New Roman" w:hAnsi="Times New Roman"/>
                <w:sz w:val="21"/>
                <w:szCs w:val="21"/>
              </w:rPr>
              <w:t>）</w:t>
            </w:r>
          </w:p>
        </w:tc>
        <w:tc>
          <w:tcPr>
            <w:tcW w:w="3087" w:type="dxa"/>
            <w:vMerge w:val="restart"/>
            <w:shd w:val="clear" w:color="auto" w:fill="auto"/>
            <w:vAlign w:val="center"/>
          </w:tcPr>
          <w:p w14:paraId="66F69913" w14:textId="77777777" w:rsidR="00A54A8A" w:rsidRPr="00E67914" w:rsidRDefault="00000000">
            <w:pPr>
              <w:pStyle w:val="71"/>
              <w:widowControl w:val="0"/>
              <w:spacing w:line="240" w:lineRule="auto"/>
              <w:ind w:firstLineChars="0" w:firstLine="0"/>
              <w:rPr>
                <w:rFonts w:ascii="Times New Roman" w:hAnsi="Times New Roman"/>
                <w:sz w:val="21"/>
                <w:szCs w:val="21"/>
              </w:rPr>
            </w:pPr>
            <w:r w:rsidRPr="00E67914">
              <w:rPr>
                <w:rFonts w:ascii="Times New Roman" w:hAnsi="Times New Roman"/>
                <w:sz w:val="21"/>
                <w:szCs w:val="21"/>
              </w:rPr>
              <w:t>成都市、自贡市、泸州市、德阳市、绵阳市、广元市、遂宁市、内江市、乐山市、南充市、宜宾市、广安市、</w:t>
            </w:r>
            <w:r w:rsidRPr="00E67914">
              <w:rPr>
                <w:rFonts w:ascii="Times New Roman" w:hAnsi="Times New Roman"/>
                <w:b/>
                <w:bCs/>
                <w:sz w:val="21"/>
                <w:szCs w:val="21"/>
              </w:rPr>
              <w:t>达州市</w:t>
            </w:r>
            <w:r w:rsidRPr="00E67914">
              <w:rPr>
                <w:rFonts w:ascii="Times New Roman" w:hAnsi="Times New Roman"/>
                <w:sz w:val="21"/>
                <w:szCs w:val="21"/>
              </w:rPr>
              <w:t>、巴中市、雅安市、眉山市、资阳市</w:t>
            </w:r>
          </w:p>
        </w:tc>
        <w:tc>
          <w:tcPr>
            <w:tcW w:w="1701" w:type="dxa"/>
            <w:shd w:val="clear" w:color="auto" w:fill="auto"/>
            <w:vAlign w:val="center"/>
          </w:tcPr>
          <w:p w14:paraId="1D5B4978" w14:textId="77777777" w:rsidR="00A54A8A" w:rsidRPr="00E67914" w:rsidRDefault="00000000">
            <w:pPr>
              <w:pStyle w:val="71"/>
              <w:widowControl w:val="0"/>
              <w:spacing w:line="240" w:lineRule="auto"/>
              <w:ind w:firstLineChars="0" w:firstLine="0"/>
              <w:rPr>
                <w:rFonts w:ascii="Times New Roman" w:hAnsi="Times New Roman"/>
                <w:sz w:val="21"/>
                <w:szCs w:val="21"/>
              </w:rPr>
            </w:pPr>
            <w:r w:rsidRPr="00E67914">
              <w:rPr>
                <w:rFonts w:ascii="Times New Roman" w:hAnsi="Times New Roman"/>
                <w:sz w:val="21"/>
                <w:szCs w:val="21"/>
              </w:rPr>
              <w:t>拆除工程</w:t>
            </w:r>
            <w:r w:rsidRPr="00E67914">
              <w:rPr>
                <w:rFonts w:ascii="Times New Roman" w:hAnsi="Times New Roman"/>
                <w:sz w:val="21"/>
                <w:szCs w:val="21"/>
              </w:rPr>
              <w:t>/</w:t>
            </w:r>
            <w:r w:rsidRPr="00E67914">
              <w:rPr>
                <w:rFonts w:ascii="Times New Roman" w:hAnsi="Times New Roman"/>
                <w:sz w:val="21"/>
                <w:szCs w:val="21"/>
              </w:rPr>
              <w:t>土方开挖</w:t>
            </w:r>
            <w:r w:rsidRPr="00E67914">
              <w:rPr>
                <w:rFonts w:ascii="Times New Roman" w:hAnsi="Times New Roman"/>
                <w:sz w:val="21"/>
                <w:szCs w:val="21"/>
              </w:rPr>
              <w:t>/</w:t>
            </w:r>
            <w:r w:rsidRPr="00E67914">
              <w:rPr>
                <w:rFonts w:ascii="Times New Roman" w:hAnsi="Times New Roman"/>
                <w:sz w:val="21"/>
                <w:szCs w:val="21"/>
              </w:rPr>
              <w:t>土方回填阶段</w:t>
            </w:r>
          </w:p>
        </w:tc>
        <w:tc>
          <w:tcPr>
            <w:tcW w:w="1417" w:type="dxa"/>
            <w:shd w:val="clear" w:color="auto" w:fill="auto"/>
            <w:vAlign w:val="center"/>
          </w:tcPr>
          <w:p w14:paraId="521E32B8" w14:textId="77777777" w:rsidR="00A54A8A" w:rsidRPr="00E67914" w:rsidRDefault="00000000">
            <w:pPr>
              <w:pStyle w:val="71"/>
              <w:widowControl w:val="0"/>
              <w:spacing w:line="240" w:lineRule="auto"/>
              <w:ind w:firstLineChars="0" w:firstLine="0"/>
              <w:rPr>
                <w:rFonts w:ascii="Times New Roman" w:hAnsi="Times New Roman"/>
                <w:sz w:val="21"/>
                <w:szCs w:val="21"/>
              </w:rPr>
            </w:pPr>
            <w:r w:rsidRPr="00E67914">
              <w:rPr>
                <w:rFonts w:ascii="Times New Roman" w:hAnsi="Times New Roman"/>
                <w:sz w:val="21"/>
                <w:szCs w:val="21"/>
              </w:rPr>
              <w:t>600</w:t>
            </w:r>
          </w:p>
        </w:tc>
        <w:tc>
          <w:tcPr>
            <w:tcW w:w="952" w:type="dxa"/>
            <w:vMerge w:val="restart"/>
            <w:shd w:val="clear" w:color="auto" w:fill="auto"/>
            <w:vAlign w:val="center"/>
          </w:tcPr>
          <w:p w14:paraId="6B8CAA89" w14:textId="77777777" w:rsidR="00A54A8A" w:rsidRPr="00E67914" w:rsidRDefault="00000000">
            <w:pPr>
              <w:pStyle w:val="71"/>
              <w:widowControl w:val="0"/>
              <w:spacing w:line="240" w:lineRule="auto"/>
              <w:ind w:firstLineChars="0" w:firstLine="0"/>
              <w:rPr>
                <w:rFonts w:ascii="Times New Roman" w:hAnsi="Times New Roman"/>
                <w:sz w:val="21"/>
                <w:szCs w:val="21"/>
              </w:rPr>
            </w:pPr>
            <w:r w:rsidRPr="00E67914">
              <w:rPr>
                <w:rFonts w:ascii="Times New Roman" w:hAnsi="Times New Roman"/>
                <w:sz w:val="21"/>
                <w:szCs w:val="21"/>
              </w:rPr>
              <w:t>自监测起持续</w:t>
            </w:r>
            <w:r w:rsidRPr="00E67914">
              <w:rPr>
                <w:rFonts w:ascii="Times New Roman" w:hAnsi="Times New Roman"/>
                <w:sz w:val="21"/>
                <w:szCs w:val="21"/>
              </w:rPr>
              <w:t>15</w:t>
            </w:r>
            <w:r w:rsidRPr="00E67914">
              <w:rPr>
                <w:rFonts w:ascii="Times New Roman" w:hAnsi="Times New Roman"/>
                <w:sz w:val="21"/>
                <w:szCs w:val="21"/>
              </w:rPr>
              <w:t>分钟</w:t>
            </w:r>
          </w:p>
        </w:tc>
      </w:tr>
      <w:tr w:rsidR="002662E3" w:rsidRPr="00E67914" w14:paraId="6918CE5D" w14:textId="77777777">
        <w:trPr>
          <w:jc w:val="center"/>
        </w:trPr>
        <w:tc>
          <w:tcPr>
            <w:tcW w:w="1235" w:type="dxa"/>
            <w:vMerge/>
            <w:shd w:val="clear" w:color="auto" w:fill="auto"/>
            <w:vAlign w:val="center"/>
          </w:tcPr>
          <w:p w14:paraId="10EAAC61" w14:textId="77777777" w:rsidR="00A54A8A" w:rsidRPr="00E67914" w:rsidRDefault="00A54A8A">
            <w:pPr>
              <w:pStyle w:val="71"/>
              <w:widowControl w:val="0"/>
              <w:spacing w:line="240" w:lineRule="auto"/>
              <w:ind w:firstLineChars="0" w:firstLine="0"/>
              <w:rPr>
                <w:rFonts w:ascii="Times New Roman" w:hAnsi="Times New Roman"/>
                <w:sz w:val="21"/>
                <w:szCs w:val="21"/>
              </w:rPr>
            </w:pPr>
          </w:p>
        </w:tc>
        <w:tc>
          <w:tcPr>
            <w:tcW w:w="3087" w:type="dxa"/>
            <w:vMerge/>
            <w:shd w:val="clear" w:color="auto" w:fill="auto"/>
            <w:vAlign w:val="center"/>
          </w:tcPr>
          <w:p w14:paraId="15E3CAA0" w14:textId="77777777" w:rsidR="00A54A8A" w:rsidRPr="00E67914" w:rsidRDefault="00A54A8A">
            <w:pPr>
              <w:pStyle w:val="71"/>
              <w:widowControl w:val="0"/>
              <w:spacing w:line="240" w:lineRule="auto"/>
              <w:ind w:firstLineChars="0" w:firstLine="0"/>
              <w:rPr>
                <w:rFonts w:ascii="Times New Roman" w:hAnsi="Times New Roman"/>
                <w:sz w:val="21"/>
                <w:szCs w:val="21"/>
              </w:rPr>
            </w:pPr>
          </w:p>
        </w:tc>
        <w:tc>
          <w:tcPr>
            <w:tcW w:w="1701" w:type="dxa"/>
            <w:shd w:val="clear" w:color="auto" w:fill="auto"/>
            <w:vAlign w:val="center"/>
          </w:tcPr>
          <w:p w14:paraId="5EE1173E" w14:textId="77777777" w:rsidR="00A54A8A" w:rsidRPr="00E67914" w:rsidRDefault="00000000">
            <w:pPr>
              <w:pStyle w:val="71"/>
              <w:widowControl w:val="0"/>
              <w:spacing w:line="240" w:lineRule="auto"/>
              <w:ind w:firstLineChars="0" w:firstLine="0"/>
              <w:rPr>
                <w:rFonts w:ascii="Times New Roman" w:hAnsi="Times New Roman"/>
                <w:sz w:val="21"/>
                <w:szCs w:val="21"/>
              </w:rPr>
            </w:pPr>
            <w:r w:rsidRPr="00E67914">
              <w:rPr>
                <w:rFonts w:ascii="Times New Roman" w:hAnsi="Times New Roman"/>
                <w:sz w:val="21"/>
                <w:szCs w:val="21"/>
              </w:rPr>
              <w:t>其他工程阶段</w:t>
            </w:r>
          </w:p>
        </w:tc>
        <w:tc>
          <w:tcPr>
            <w:tcW w:w="1417" w:type="dxa"/>
            <w:shd w:val="clear" w:color="auto" w:fill="auto"/>
            <w:vAlign w:val="center"/>
          </w:tcPr>
          <w:p w14:paraId="7C458B6C" w14:textId="77777777" w:rsidR="00A54A8A" w:rsidRPr="00E67914" w:rsidRDefault="00000000">
            <w:pPr>
              <w:pStyle w:val="71"/>
              <w:widowControl w:val="0"/>
              <w:spacing w:line="240" w:lineRule="auto"/>
              <w:ind w:firstLineChars="0" w:firstLine="0"/>
              <w:rPr>
                <w:rFonts w:ascii="Times New Roman" w:hAnsi="Times New Roman"/>
                <w:sz w:val="21"/>
                <w:szCs w:val="21"/>
              </w:rPr>
            </w:pPr>
            <w:r w:rsidRPr="00E67914">
              <w:rPr>
                <w:rFonts w:ascii="Times New Roman" w:hAnsi="Times New Roman"/>
                <w:sz w:val="21"/>
                <w:szCs w:val="21"/>
              </w:rPr>
              <w:t>250</w:t>
            </w:r>
          </w:p>
        </w:tc>
        <w:tc>
          <w:tcPr>
            <w:tcW w:w="952" w:type="dxa"/>
            <w:vMerge/>
            <w:shd w:val="clear" w:color="auto" w:fill="auto"/>
            <w:vAlign w:val="center"/>
          </w:tcPr>
          <w:p w14:paraId="1302AFA3" w14:textId="77777777" w:rsidR="00A54A8A" w:rsidRPr="00E67914" w:rsidRDefault="00A54A8A">
            <w:pPr>
              <w:pStyle w:val="71"/>
              <w:widowControl w:val="0"/>
              <w:spacing w:line="240" w:lineRule="auto"/>
              <w:ind w:firstLineChars="0" w:firstLine="0"/>
              <w:rPr>
                <w:rFonts w:ascii="Times New Roman" w:hAnsi="Times New Roman"/>
                <w:sz w:val="21"/>
                <w:szCs w:val="21"/>
              </w:rPr>
            </w:pPr>
          </w:p>
        </w:tc>
      </w:tr>
    </w:tbl>
    <w:p w14:paraId="77B1B0EE"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2.5-8  </w:t>
      </w:r>
      <w:r w:rsidRPr="00E67914">
        <w:rPr>
          <w:rFonts w:ascii="Times New Roman" w:eastAsia="黑体" w:hAnsi="Times New Roman"/>
          <w:sz w:val="21"/>
          <w:szCs w:val="21"/>
          <w:lang w:eastAsia="zh-CN"/>
        </w:rPr>
        <w:t>大气污染物综合排放标准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2"/>
        <w:gridCol w:w="1860"/>
        <w:gridCol w:w="1626"/>
        <w:gridCol w:w="3758"/>
      </w:tblGrid>
      <w:tr w:rsidR="00E67914" w:rsidRPr="00E67914" w14:paraId="75F3A8EA" w14:textId="77777777" w:rsidTr="008752B7">
        <w:trPr>
          <w:cantSplit/>
          <w:jc w:val="center"/>
        </w:trPr>
        <w:tc>
          <w:tcPr>
            <w:tcW w:w="634" w:type="pct"/>
            <w:vAlign w:val="center"/>
          </w:tcPr>
          <w:p w14:paraId="76DD90EB" w14:textId="77777777" w:rsidR="007F4A2E" w:rsidRPr="00E67914" w:rsidRDefault="007F4A2E">
            <w:pPr>
              <w:snapToGrid w:val="0"/>
              <w:jc w:val="center"/>
              <w:rPr>
                <w:rFonts w:ascii="Times New Roman" w:hAnsi="Times New Roman"/>
                <w:b/>
                <w:bCs/>
                <w:sz w:val="21"/>
                <w:szCs w:val="21"/>
              </w:rPr>
            </w:pPr>
            <w:r w:rsidRPr="00E67914">
              <w:rPr>
                <w:rFonts w:ascii="Times New Roman" w:hAnsi="Times New Roman"/>
                <w:b/>
                <w:bCs/>
                <w:sz w:val="21"/>
                <w:szCs w:val="21"/>
              </w:rPr>
              <w:t>污染物</w:t>
            </w:r>
          </w:p>
        </w:tc>
        <w:tc>
          <w:tcPr>
            <w:tcW w:w="1121" w:type="pct"/>
            <w:vAlign w:val="center"/>
          </w:tcPr>
          <w:p w14:paraId="2D0D8E52" w14:textId="77777777" w:rsidR="007F4A2E" w:rsidRPr="00E67914" w:rsidRDefault="007F4A2E">
            <w:pPr>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最高允许排放浓度（</w:t>
            </w:r>
            <w:r w:rsidRPr="00E67914">
              <w:rPr>
                <w:rFonts w:ascii="Times New Roman" w:hAnsi="Times New Roman"/>
                <w:b/>
                <w:bCs/>
                <w:sz w:val="21"/>
                <w:szCs w:val="21"/>
                <w:lang w:eastAsia="zh-CN"/>
              </w:rPr>
              <w:t>mg/m</w:t>
            </w:r>
            <w:r w:rsidRPr="00E67914">
              <w:rPr>
                <w:rFonts w:ascii="Times New Roman" w:hAnsi="Times New Roman"/>
                <w:b/>
                <w:bCs/>
                <w:sz w:val="21"/>
                <w:szCs w:val="21"/>
                <w:vertAlign w:val="superscript"/>
                <w:lang w:eastAsia="zh-CN"/>
              </w:rPr>
              <w:t>3</w:t>
            </w:r>
            <w:r w:rsidRPr="00E67914">
              <w:rPr>
                <w:rFonts w:ascii="Times New Roman" w:hAnsi="Times New Roman"/>
                <w:b/>
                <w:bCs/>
                <w:sz w:val="21"/>
                <w:szCs w:val="21"/>
                <w:lang w:eastAsia="zh-CN"/>
              </w:rPr>
              <w:t>）</w:t>
            </w:r>
          </w:p>
        </w:tc>
        <w:tc>
          <w:tcPr>
            <w:tcW w:w="980" w:type="pct"/>
            <w:vAlign w:val="center"/>
          </w:tcPr>
          <w:p w14:paraId="7C199882" w14:textId="77777777" w:rsidR="007F4A2E" w:rsidRPr="00E67914" w:rsidRDefault="007F4A2E">
            <w:pPr>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最高允许排放速率（</w:t>
            </w:r>
            <w:r w:rsidRPr="00E67914">
              <w:rPr>
                <w:rFonts w:ascii="Times New Roman" w:hAnsi="Times New Roman"/>
                <w:b/>
                <w:bCs/>
                <w:sz w:val="21"/>
                <w:szCs w:val="21"/>
                <w:lang w:eastAsia="zh-CN"/>
              </w:rPr>
              <w:t>kg/h</w:t>
            </w:r>
            <w:r w:rsidRPr="00E67914">
              <w:rPr>
                <w:rFonts w:ascii="Times New Roman" w:hAnsi="Times New Roman"/>
                <w:b/>
                <w:bCs/>
                <w:sz w:val="21"/>
                <w:szCs w:val="21"/>
                <w:lang w:eastAsia="zh-CN"/>
              </w:rPr>
              <w:t>）</w:t>
            </w:r>
          </w:p>
        </w:tc>
        <w:tc>
          <w:tcPr>
            <w:tcW w:w="2265" w:type="pct"/>
            <w:vAlign w:val="center"/>
          </w:tcPr>
          <w:p w14:paraId="35A42A33" w14:textId="77777777" w:rsidR="007F4A2E" w:rsidRPr="00E67914" w:rsidRDefault="007F4A2E">
            <w:pPr>
              <w:snapToGrid w:val="0"/>
              <w:jc w:val="center"/>
              <w:rPr>
                <w:rFonts w:ascii="Times New Roman" w:hAnsi="Times New Roman"/>
                <w:b/>
                <w:bCs/>
                <w:sz w:val="21"/>
                <w:szCs w:val="21"/>
              </w:rPr>
            </w:pPr>
            <w:r w:rsidRPr="00E67914">
              <w:rPr>
                <w:rFonts w:ascii="Times New Roman" w:hAnsi="Times New Roman"/>
                <w:b/>
                <w:bCs/>
                <w:sz w:val="21"/>
                <w:szCs w:val="21"/>
              </w:rPr>
              <w:t>备注</w:t>
            </w:r>
          </w:p>
        </w:tc>
      </w:tr>
      <w:tr w:rsidR="00E67914" w:rsidRPr="00E67914" w14:paraId="48935123" w14:textId="77777777" w:rsidTr="008752B7">
        <w:trPr>
          <w:cantSplit/>
          <w:jc w:val="center"/>
        </w:trPr>
        <w:tc>
          <w:tcPr>
            <w:tcW w:w="634" w:type="pct"/>
            <w:vAlign w:val="center"/>
          </w:tcPr>
          <w:p w14:paraId="1FA4074E" w14:textId="77777777" w:rsidR="007F4A2E" w:rsidRPr="00E67914" w:rsidRDefault="007F4A2E">
            <w:pPr>
              <w:snapToGrid w:val="0"/>
              <w:jc w:val="center"/>
              <w:rPr>
                <w:rFonts w:ascii="Times New Roman" w:hAnsi="Times New Roman"/>
                <w:sz w:val="21"/>
                <w:szCs w:val="21"/>
              </w:rPr>
            </w:pPr>
            <w:r w:rsidRPr="00E67914">
              <w:rPr>
                <w:rFonts w:ascii="Times New Roman" w:hAnsi="Times New Roman"/>
                <w:sz w:val="21"/>
                <w:szCs w:val="21"/>
              </w:rPr>
              <w:t>*SO</w:t>
            </w:r>
            <w:r w:rsidRPr="00E67914">
              <w:rPr>
                <w:rFonts w:ascii="Times New Roman" w:hAnsi="Times New Roman"/>
                <w:sz w:val="21"/>
                <w:szCs w:val="21"/>
                <w:vertAlign w:val="subscript"/>
              </w:rPr>
              <w:t>2</w:t>
            </w:r>
          </w:p>
        </w:tc>
        <w:tc>
          <w:tcPr>
            <w:tcW w:w="1121" w:type="pct"/>
            <w:vAlign w:val="center"/>
          </w:tcPr>
          <w:p w14:paraId="72B8FD32" w14:textId="77777777" w:rsidR="007F4A2E" w:rsidRPr="00E67914" w:rsidRDefault="007F4A2E">
            <w:pPr>
              <w:snapToGrid w:val="0"/>
              <w:jc w:val="center"/>
              <w:rPr>
                <w:rFonts w:ascii="Times New Roman" w:hAnsi="Times New Roman"/>
                <w:sz w:val="21"/>
                <w:szCs w:val="21"/>
              </w:rPr>
            </w:pPr>
            <w:r w:rsidRPr="00E67914">
              <w:rPr>
                <w:rFonts w:ascii="Times New Roman" w:hAnsi="Times New Roman"/>
                <w:sz w:val="21"/>
                <w:szCs w:val="21"/>
              </w:rPr>
              <w:t>550</w:t>
            </w:r>
          </w:p>
        </w:tc>
        <w:tc>
          <w:tcPr>
            <w:tcW w:w="980" w:type="pct"/>
            <w:vAlign w:val="center"/>
          </w:tcPr>
          <w:p w14:paraId="3DD65A67" w14:textId="77777777" w:rsidR="007F4A2E" w:rsidRPr="00E67914" w:rsidRDefault="007F4A2E">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265" w:type="pct"/>
            <w:vMerge w:val="restart"/>
            <w:vAlign w:val="center"/>
          </w:tcPr>
          <w:p w14:paraId="1D0E4C56" w14:textId="77777777" w:rsidR="007F4A2E" w:rsidRPr="00E67914" w:rsidRDefault="007F4A2E">
            <w:pPr>
              <w:snapToGrid w:val="0"/>
              <w:jc w:val="center"/>
              <w:rPr>
                <w:rFonts w:ascii="Times New Roman" w:hAnsi="Times New Roman"/>
                <w:sz w:val="21"/>
                <w:szCs w:val="21"/>
                <w:lang w:eastAsia="zh-CN"/>
              </w:rPr>
            </w:pPr>
            <w:r w:rsidRPr="00E67914">
              <w:rPr>
                <w:rFonts w:ascii="Times New Roman" w:hAnsi="Times New Roman"/>
                <w:sz w:val="21"/>
                <w:szCs w:val="21"/>
                <w:lang w:eastAsia="zh-CN"/>
              </w:rPr>
              <w:t>根据</w:t>
            </w:r>
            <w:r w:rsidRPr="00E67914">
              <w:rPr>
                <w:rFonts w:ascii="Times New Roman" w:hAnsi="Times New Roman"/>
                <w:sz w:val="21"/>
                <w:szCs w:val="21"/>
                <w:lang w:eastAsia="zh-CN"/>
              </w:rPr>
              <w:t>2017.1.12</w:t>
            </w:r>
            <w:r w:rsidRPr="00E67914">
              <w:rPr>
                <w:rFonts w:ascii="Times New Roman" w:hAnsi="Times New Roman"/>
                <w:sz w:val="21"/>
                <w:szCs w:val="21"/>
                <w:lang w:eastAsia="zh-CN"/>
              </w:rPr>
              <w:t>环保部长《关于</w:t>
            </w:r>
            <w:r w:rsidRPr="00E67914">
              <w:rPr>
                <w:rFonts w:ascii="Times New Roman" w:hAnsi="Times New Roman"/>
                <w:sz w:val="21"/>
                <w:szCs w:val="21"/>
                <w:lang w:eastAsia="zh-CN"/>
              </w:rPr>
              <w:t xml:space="preserve">GB16297-1996 </w:t>
            </w:r>
            <w:r w:rsidRPr="00E67914">
              <w:rPr>
                <w:rFonts w:ascii="Times New Roman" w:hAnsi="Times New Roman"/>
                <w:sz w:val="21"/>
                <w:szCs w:val="21"/>
                <w:lang w:eastAsia="zh-CN"/>
              </w:rPr>
              <w:t>的适用范围的回复》，对</w:t>
            </w:r>
            <w:r w:rsidRPr="00E67914">
              <w:rPr>
                <w:rFonts w:ascii="Times New Roman" w:hAnsi="Times New Roman"/>
                <w:sz w:val="21"/>
                <w:szCs w:val="21"/>
                <w:lang w:eastAsia="zh-CN"/>
              </w:rPr>
              <w:t>“</w:t>
            </w:r>
            <w:r w:rsidRPr="00E67914">
              <w:rPr>
                <w:rFonts w:ascii="Times New Roman" w:hAnsi="Times New Roman"/>
                <w:bCs/>
                <w:sz w:val="21"/>
                <w:szCs w:val="21"/>
                <w:lang w:eastAsia="zh-CN"/>
              </w:rPr>
              <w:t>固定式柴油发电机排气筒高度和排放速率暂不作要求</w:t>
            </w:r>
            <w:r w:rsidRPr="00E67914">
              <w:rPr>
                <w:rFonts w:ascii="Times New Roman" w:hAnsi="Times New Roman"/>
                <w:sz w:val="21"/>
                <w:szCs w:val="21"/>
                <w:lang w:eastAsia="zh-CN"/>
              </w:rPr>
              <w:t>”</w:t>
            </w:r>
            <w:r w:rsidRPr="00E67914">
              <w:rPr>
                <w:rFonts w:ascii="Times New Roman" w:hAnsi="Times New Roman"/>
                <w:sz w:val="21"/>
                <w:szCs w:val="21"/>
                <w:lang w:eastAsia="zh-CN"/>
              </w:rPr>
              <w:t>。</w:t>
            </w:r>
          </w:p>
        </w:tc>
      </w:tr>
      <w:tr w:rsidR="00E67914" w:rsidRPr="00E67914" w14:paraId="07E93AED" w14:textId="77777777" w:rsidTr="008752B7">
        <w:trPr>
          <w:cantSplit/>
          <w:jc w:val="center"/>
        </w:trPr>
        <w:tc>
          <w:tcPr>
            <w:tcW w:w="634" w:type="pct"/>
            <w:vAlign w:val="center"/>
          </w:tcPr>
          <w:p w14:paraId="569C9A02" w14:textId="77777777" w:rsidR="007F4A2E" w:rsidRPr="00E67914" w:rsidRDefault="007F4A2E">
            <w:pPr>
              <w:snapToGrid w:val="0"/>
              <w:jc w:val="center"/>
              <w:rPr>
                <w:rFonts w:ascii="Times New Roman" w:hAnsi="Times New Roman"/>
                <w:sz w:val="21"/>
                <w:szCs w:val="21"/>
              </w:rPr>
            </w:pPr>
            <w:r w:rsidRPr="00E67914">
              <w:rPr>
                <w:rFonts w:ascii="Times New Roman" w:hAnsi="Times New Roman"/>
                <w:sz w:val="21"/>
                <w:szCs w:val="21"/>
              </w:rPr>
              <w:t>*NO</w:t>
            </w:r>
            <w:r w:rsidRPr="00E67914">
              <w:rPr>
                <w:rFonts w:ascii="Times New Roman" w:hAnsi="Times New Roman"/>
                <w:sz w:val="21"/>
                <w:szCs w:val="21"/>
                <w:vertAlign w:val="subscript"/>
              </w:rPr>
              <w:t>x</w:t>
            </w:r>
          </w:p>
        </w:tc>
        <w:tc>
          <w:tcPr>
            <w:tcW w:w="1121" w:type="pct"/>
            <w:vAlign w:val="center"/>
          </w:tcPr>
          <w:p w14:paraId="50CD26F3" w14:textId="77777777" w:rsidR="007F4A2E" w:rsidRPr="00E67914" w:rsidRDefault="007F4A2E">
            <w:pPr>
              <w:snapToGrid w:val="0"/>
              <w:jc w:val="center"/>
              <w:rPr>
                <w:rFonts w:ascii="Times New Roman" w:hAnsi="Times New Roman"/>
                <w:sz w:val="21"/>
                <w:szCs w:val="21"/>
              </w:rPr>
            </w:pPr>
            <w:r w:rsidRPr="00E67914">
              <w:rPr>
                <w:rFonts w:ascii="Times New Roman" w:hAnsi="Times New Roman"/>
                <w:sz w:val="21"/>
                <w:szCs w:val="21"/>
              </w:rPr>
              <w:t>240</w:t>
            </w:r>
          </w:p>
        </w:tc>
        <w:tc>
          <w:tcPr>
            <w:tcW w:w="980" w:type="pct"/>
            <w:vAlign w:val="center"/>
          </w:tcPr>
          <w:p w14:paraId="695C2B84" w14:textId="77777777" w:rsidR="007F4A2E" w:rsidRPr="00E67914" w:rsidRDefault="007F4A2E">
            <w:pPr>
              <w:snapToGrid w:val="0"/>
              <w:jc w:val="center"/>
              <w:rPr>
                <w:rFonts w:ascii="Times New Roman" w:hAnsi="Times New Roman"/>
                <w:sz w:val="21"/>
                <w:szCs w:val="21"/>
              </w:rPr>
            </w:pPr>
            <w:r w:rsidRPr="00E67914">
              <w:rPr>
                <w:rFonts w:ascii="Times New Roman" w:hAnsi="Times New Roman"/>
                <w:sz w:val="21"/>
                <w:szCs w:val="21"/>
                <w:lang w:eastAsia="zh-CN"/>
              </w:rPr>
              <w:t>/</w:t>
            </w:r>
          </w:p>
        </w:tc>
        <w:tc>
          <w:tcPr>
            <w:tcW w:w="2265" w:type="pct"/>
            <w:vMerge/>
            <w:vAlign w:val="center"/>
          </w:tcPr>
          <w:p w14:paraId="2A1F255D" w14:textId="77777777" w:rsidR="007F4A2E" w:rsidRPr="00E67914" w:rsidRDefault="007F4A2E">
            <w:pPr>
              <w:snapToGrid w:val="0"/>
              <w:jc w:val="center"/>
              <w:rPr>
                <w:rFonts w:ascii="Times New Roman" w:hAnsi="Times New Roman"/>
                <w:sz w:val="21"/>
                <w:szCs w:val="21"/>
              </w:rPr>
            </w:pPr>
          </w:p>
        </w:tc>
      </w:tr>
      <w:tr w:rsidR="00E67914" w:rsidRPr="00E67914" w14:paraId="52AEC27D" w14:textId="77777777" w:rsidTr="008752B7">
        <w:trPr>
          <w:cantSplit/>
          <w:jc w:val="center"/>
        </w:trPr>
        <w:tc>
          <w:tcPr>
            <w:tcW w:w="634" w:type="pct"/>
            <w:vAlign w:val="center"/>
          </w:tcPr>
          <w:p w14:paraId="19865D48" w14:textId="77777777" w:rsidR="007F4A2E" w:rsidRPr="00E67914" w:rsidRDefault="007F4A2E">
            <w:pPr>
              <w:snapToGrid w:val="0"/>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颗粒物</w:t>
            </w:r>
          </w:p>
        </w:tc>
        <w:tc>
          <w:tcPr>
            <w:tcW w:w="1121" w:type="pct"/>
            <w:vAlign w:val="center"/>
          </w:tcPr>
          <w:p w14:paraId="52B55C10" w14:textId="77777777" w:rsidR="007F4A2E" w:rsidRPr="00E67914" w:rsidRDefault="007F4A2E">
            <w:pPr>
              <w:snapToGrid w:val="0"/>
              <w:jc w:val="center"/>
              <w:rPr>
                <w:rFonts w:ascii="Times New Roman" w:hAnsi="Times New Roman"/>
                <w:sz w:val="21"/>
                <w:szCs w:val="21"/>
              </w:rPr>
            </w:pPr>
            <w:r w:rsidRPr="00E67914">
              <w:rPr>
                <w:rFonts w:ascii="Times New Roman" w:hAnsi="Times New Roman"/>
                <w:sz w:val="21"/>
                <w:szCs w:val="21"/>
              </w:rPr>
              <w:t>120</w:t>
            </w:r>
          </w:p>
        </w:tc>
        <w:tc>
          <w:tcPr>
            <w:tcW w:w="980" w:type="pct"/>
            <w:vAlign w:val="center"/>
          </w:tcPr>
          <w:p w14:paraId="1299A18A" w14:textId="77777777" w:rsidR="007F4A2E" w:rsidRPr="00E67914" w:rsidRDefault="007F4A2E">
            <w:pPr>
              <w:snapToGrid w:val="0"/>
              <w:jc w:val="center"/>
              <w:rPr>
                <w:rFonts w:ascii="Times New Roman" w:hAnsi="Times New Roman"/>
                <w:sz w:val="21"/>
                <w:szCs w:val="21"/>
              </w:rPr>
            </w:pPr>
            <w:r w:rsidRPr="00E67914">
              <w:rPr>
                <w:rFonts w:ascii="Times New Roman" w:hAnsi="Times New Roman"/>
                <w:sz w:val="21"/>
                <w:szCs w:val="21"/>
                <w:lang w:eastAsia="zh-CN"/>
              </w:rPr>
              <w:t>/</w:t>
            </w:r>
          </w:p>
        </w:tc>
        <w:tc>
          <w:tcPr>
            <w:tcW w:w="2265" w:type="pct"/>
            <w:vMerge/>
            <w:vAlign w:val="center"/>
          </w:tcPr>
          <w:p w14:paraId="11ADC6C2" w14:textId="77777777" w:rsidR="007F4A2E" w:rsidRPr="00E67914" w:rsidRDefault="007F4A2E">
            <w:pPr>
              <w:snapToGrid w:val="0"/>
              <w:jc w:val="center"/>
              <w:rPr>
                <w:rFonts w:ascii="Times New Roman" w:hAnsi="Times New Roman"/>
                <w:sz w:val="21"/>
                <w:szCs w:val="21"/>
              </w:rPr>
            </w:pPr>
          </w:p>
        </w:tc>
      </w:tr>
      <w:tr w:rsidR="00E67914" w:rsidRPr="00E67914" w14:paraId="5EEF96DD" w14:textId="77777777" w:rsidTr="008752B7">
        <w:trPr>
          <w:cantSplit/>
          <w:jc w:val="center"/>
        </w:trPr>
        <w:tc>
          <w:tcPr>
            <w:tcW w:w="634" w:type="pct"/>
            <w:vAlign w:val="center"/>
          </w:tcPr>
          <w:p w14:paraId="36931D5A" w14:textId="088CB09B" w:rsidR="00C24829" w:rsidRPr="00E67914" w:rsidRDefault="00C24829" w:rsidP="00C24829">
            <w:pPr>
              <w:snapToGrid w:val="0"/>
              <w:jc w:val="center"/>
              <w:rPr>
                <w:rFonts w:ascii="Times New Roman" w:hAnsi="Times New Roman"/>
                <w:sz w:val="21"/>
                <w:szCs w:val="21"/>
              </w:rPr>
            </w:pPr>
            <w:r w:rsidRPr="00E67914">
              <w:rPr>
                <w:rFonts w:ascii="Times New Roman" w:hAnsi="Times New Roman"/>
                <w:sz w:val="21"/>
                <w:szCs w:val="21"/>
              </w:rPr>
              <w:t>SO</w:t>
            </w:r>
            <w:r w:rsidRPr="00E67914">
              <w:rPr>
                <w:rFonts w:ascii="Times New Roman" w:hAnsi="Times New Roman"/>
                <w:sz w:val="21"/>
                <w:szCs w:val="21"/>
                <w:vertAlign w:val="subscript"/>
              </w:rPr>
              <w:t>2</w:t>
            </w:r>
          </w:p>
        </w:tc>
        <w:tc>
          <w:tcPr>
            <w:tcW w:w="1121" w:type="pct"/>
            <w:vAlign w:val="center"/>
          </w:tcPr>
          <w:p w14:paraId="44D9D5B8" w14:textId="185FD326" w:rsidR="00C24829" w:rsidRPr="00E67914" w:rsidRDefault="00C24829" w:rsidP="00C24829">
            <w:pPr>
              <w:snapToGrid w:val="0"/>
              <w:jc w:val="center"/>
              <w:rPr>
                <w:rFonts w:ascii="Times New Roman" w:hAnsi="Times New Roman"/>
                <w:sz w:val="21"/>
                <w:szCs w:val="21"/>
              </w:rPr>
            </w:pPr>
            <w:r w:rsidRPr="00E67914">
              <w:rPr>
                <w:rFonts w:ascii="Times New Roman" w:hAnsi="Times New Roman"/>
                <w:sz w:val="21"/>
                <w:szCs w:val="21"/>
              </w:rPr>
              <w:t>550</w:t>
            </w:r>
          </w:p>
        </w:tc>
        <w:tc>
          <w:tcPr>
            <w:tcW w:w="980" w:type="pct"/>
            <w:vAlign w:val="center"/>
          </w:tcPr>
          <w:p w14:paraId="73E8CD61" w14:textId="79682435" w:rsidR="00C24829" w:rsidRPr="00E67914" w:rsidRDefault="0036532E" w:rsidP="00C24829">
            <w:pPr>
              <w:snapToGrid w:val="0"/>
              <w:jc w:val="center"/>
              <w:rPr>
                <w:rFonts w:ascii="Times New Roman" w:hAnsi="Times New Roman"/>
                <w:sz w:val="21"/>
                <w:szCs w:val="21"/>
                <w:lang w:eastAsia="zh-CN"/>
              </w:rPr>
            </w:pPr>
            <w:r w:rsidRPr="00E67914">
              <w:rPr>
                <w:rFonts w:ascii="Times New Roman" w:hAnsi="Times New Roman"/>
                <w:sz w:val="21"/>
                <w:szCs w:val="21"/>
                <w:lang w:eastAsia="zh-CN"/>
              </w:rPr>
              <w:t>15</w:t>
            </w:r>
          </w:p>
        </w:tc>
        <w:tc>
          <w:tcPr>
            <w:tcW w:w="2265" w:type="pct"/>
            <w:vMerge w:val="restart"/>
            <w:vAlign w:val="center"/>
          </w:tcPr>
          <w:p w14:paraId="451C04C3" w14:textId="2E212F6B" w:rsidR="00C24829" w:rsidRPr="00E67914" w:rsidRDefault="00C24829" w:rsidP="00C24829">
            <w:pPr>
              <w:snapToGrid w:val="0"/>
              <w:jc w:val="center"/>
              <w:rPr>
                <w:rFonts w:ascii="Times New Roman" w:hAnsi="Times New Roman"/>
                <w:sz w:val="21"/>
                <w:szCs w:val="21"/>
                <w:lang w:eastAsia="zh-CN"/>
              </w:rPr>
            </w:pPr>
            <w:r w:rsidRPr="00E67914">
              <w:rPr>
                <w:rFonts w:ascii="Times New Roman" w:hAnsi="Times New Roman"/>
                <w:sz w:val="21"/>
                <w:szCs w:val="21"/>
                <w:lang w:eastAsia="zh-CN"/>
              </w:rPr>
              <w:t>排放高度</w:t>
            </w:r>
            <w:r w:rsidRPr="00E67914">
              <w:rPr>
                <w:rFonts w:ascii="Times New Roman" w:hAnsi="Times New Roman"/>
                <w:sz w:val="21"/>
                <w:szCs w:val="21"/>
                <w:lang w:eastAsia="zh-CN"/>
              </w:rPr>
              <w:t>25m</w:t>
            </w:r>
          </w:p>
        </w:tc>
      </w:tr>
      <w:tr w:rsidR="00E67914" w:rsidRPr="00E67914" w14:paraId="1674BCB9" w14:textId="77777777" w:rsidTr="008752B7">
        <w:trPr>
          <w:cantSplit/>
          <w:jc w:val="center"/>
        </w:trPr>
        <w:tc>
          <w:tcPr>
            <w:tcW w:w="634" w:type="pct"/>
            <w:vAlign w:val="center"/>
          </w:tcPr>
          <w:p w14:paraId="2618D82A" w14:textId="7ABF5836" w:rsidR="00C24829" w:rsidRPr="00E67914" w:rsidRDefault="00C24829" w:rsidP="00C24829">
            <w:pPr>
              <w:snapToGrid w:val="0"/>
              <w:jc w:val="center"/>
              <w:rPr>
                <w:rFonts w:ascii="Times New Roman" w:hAnsi="Times New Roman"/>
                <w:sz w:val="21"/>
                <w:szCs w:val="21"/>
              </w:rPr>
            </w:pPr>
            <w:r w:rsidRPr="00E67914">
              <w:rPr>
                <w:rFonts w:ascii="Times New Roman" w:hAnsi="Times New Roman"/>
                <w:sz w:val="21"/>
                <w:szCs w:val="21"/>
              </w:rPr>
              <w:t>NO</w:t>
            </w:r>
            <w:r w:rsidRPr="00E67914">
              <w:rPr>
                <w:rFonts w:ascii="Times New Roman" w:hAnsi="Times New Roman"/>
                <w:sz w:val="21"/>
                <w:szCs w:val="21"/>
                <w:vertAlign w:val="subscript"/>
              </w:rPr>
              <w:t>x</w:t>
            </w:r>
          </w:p>
        </w:tc>
        <w:tc>
          <w:tcPr>
            <w:tcW w:w="1121" w:type="pct"/>
            <w:vAlign w:val="center"/>
          </w:tcPr>
          <w:p w14:paraId="22298845" w14:textId="19A81BBC" w:rsidR="00C24829" w:rsidRPr="00E67914" w:rsidRDefault="00C24829" w:rsidP="00C24829">
            <w:pPr>
              <w:snapToGrid w:val="0"/>
              <w:jc w:val="center"/>
              <w:rPr>
                <w:rFonts w:ascii="Times New Roman" w:hAnsi="Times New Roman"/>
                <w:sz w:val="21"/>
                <w:szCs w:val="21"/>
              </w:rPr>
            </w:pPr>
            <w:r w:rsidRPr="00E67914">
              <w:rPr>
                <w:rFonts w:ascii="Times New Roman" w:hAnsi="Times New Roman"/>
                <w:sz w:val="21"/>
                <w:szCs w:val="21"/>
              </w:rPr>
              <w:t>240</w:t>
            </w:r>
          </w:p>
        </w:tc>
        <w:tc>
          <w:tcPr>
            <w:tcW w:w="980" w:type="pct"/>
            <w:vAlign w:val="center"/>
          </w:tcPr>
          <w:p w14:paraId="2E5D7DB5" w14:textId="35B94C33" w:rsidR="00C24829" w:rsidRPr="00E67914" w:rsidRDefault="0036532E" w:rsidP="00C24829">
            <w:pPr>
              <w:snapToGrid w:val="0"/>
              <w:jc w:val="center"/>
              <w:rPr>
                <w:rFonts w:ascii="Times New Roman" w:hAnsi="Times New Roman"/>
                <w:sz w:val="21"/>
                <w:szCs w:val="21"/>
                <w:lang w:eastAsia="zh-CN"/>
              </w:rPr>
            </w:pPr>
            <w:r w:rsidRPr="00E67914">
              <w:rPr>
                <w:rFonts w:ascii="Times New Roman" w:hAnsi="Times New Roman"/>
                <w:sz w:val="21"/>
                <w:szCs w:val="21"/>
                <w:lang w:eastAsia="zh-CN"/>
              </w:rPr>
              <w:t>4.4</w:t>
            </w:r>
          </w:p>
        </w:tc>
        <w:tc>
          <w:tcPr>
            <w:tcW w:w="2265" w:type="pct"/>
            <w:vMerge/>
            <w:vAlign w:val="center"/>
          </w:tcPr>
          <w:p w14:paraId="53AC5CE6" w14:textId="77777777" w:rsidR="00C24829" w:rsidRPr="00E67914" w:rsidRDefault="00C24829" w:rsidP="00C24829">
            <w:pPr>
              <w:snapToGrid w:val="0"/>
              <w:jc w:val="center"/>
              <w:rPr>
                <w:rFonts w:ascii="Times New Roman" w:hAnsi="Times New Roman"/>
                <w:sz w:val="21"/>
                <w:szCs w:val="21"/>
              </w:rPr>
            </w:pPr>
          </w:p>
        </w:tc>
      </w:tr>
      <w:tr w:rsidR="00E67914" w:rsidRPr="00E67914" w14:paraId="0AE05025" w14:textId="77777777" w:rsidTr="008752B7">
        <w:trPr>
          <w:cantSplit/>
          <w:jc w:val="center"/>
        </w:trPr>
        <w:tc>
          <w:tcPr>
            <w:tcW w:w="634" w:type="pct"/>
            <w:vAlign w:val="center"/>
          </w:tcPr>
          <w:p w14:paraId="6872BDC8" w14:textId="73E6871C" w:rsidR="00C24829" w:rsidRPr="00E67914" w:rsidRDefault="00C24829" w:rsidP="00C24829">
            <w:pPr>
              <w:snapToGrid w:val="0"/>
              <w:jc w:val="center"/>
              <w:rPr>
                <w:rFonts w:ascii="Times New Roman" w:hAnsi="Times New Roman"/>
                <w:sz w:val="21"/>
                <w:szCs w:val="21"/>
              </w:rPr>
            </w:pPr>
            <w:r w:rsidRPr="00E67914">
              <w:rPr>
                <w:rFonts w:ascii="Times New Roman" w:hAnsi="Times New Roman"/>
                <w:sz w:val="21"/>
                <w:szCs w:val="21"/>
              </w:rPr>
              <w:t>颗粒物</w:t>
            </w:r>
          </w:p>
        </w:tc>
        <w:tc>
          <w:tcPr>
            <w:tcW w:w="1121" w:type="pct"/>
            <w:vAlign w:val="center"/>
          </w:tcPr>
          <w:p w14:paraId="14E7828B" w14:textId="6DDA3EB8" w:rsidR="00C24829" w:rsidRPr="00E67914" w:rsidRDefault="00C24829" w:rsidP="00C24829">
            <w:pPr>
              <w:snapToGrid w:val="0"/>
              <w:jc w:val="center"/>
              <w:rPr>
                <w:rFonts w:ascii="Times New Roman" w:hAnsi="Times New Roman"/>
                <w:sz w:val="21"/>
                <w:szCs w:val="21"/>
              </w:rPr>
            </w:pPr>
            <w:r w:rsidRPr="00E67914">
              <w:rPr>
                <w:rFonts w:ascii="Times New Roman" w:hAnsi="Times New Roman"/>
                <w:sz w:val="21"/>
                <w:szCs w:val="21"/>
              </w:rPr>
              <w:t>120</w:t>
            </w:r>
          </w:p>
        </w:tc>
        <w:tc>
          <w:tcPr>
            <w:tcW w:w="980" w:type="pct"/>
            <w:vAlign w:val="center"/>
          </w:tcPr>
          <w:p w14:paraId="1087BCA8" w14:textId="0977E4C1" w:rsidR="00C24829" w:rsidRPr="00E67914" w:rsidRDefault="0036532E" w:rsidP="00C24829">
            <w:pPr>
              <w:snapToGrid w:val="0"/>
              <w:jc w:val="center"/>
              <w:rPr>
                <w:rFonts w:ascii="Times New Roman" w:hAnsi="Times New Roman"/>
                <w:sz w:val="21"/>
                <w:szCs w:val="21"/>
                <w:lang w:eastAsia="zh-CN"/>
              </w:rPr>
            </w:pPr>
            <w:r w:rsidRPr="00E67914">
              <w:rPr>
                <w:rFonts w:ascii="Times New Roman" w:hAnsi="Times New Roman"/>
                <w:sz w:val="21"/>
                <w:szCs w:val="21"/>
                <w:lang w:eastAsia="zh-CN"/>
              </w:rPr>
              <w:t>23</w:t>
            </w:r>
          </w:p>
        </w:tc>
        <w:tc>
          <w:tcPr>
            <w:tcW w:w="2265" w:type="pct"/>
            <w:vMerge/>
            <w:vAlign w:val="center"/>
          </w:tcPr>
          <w:p w14:paraId="425D2850" w14:textId="77777777" w:rsidR="00C24829" w:rsidRPr="00E67914" w:rsidRDefault="00C24829" w:rsidP="00C24829">
            <w:pPr>
              <w:snapToGrid w:val="0"/>
              <w:jc w:val="center"/>
              <w:rPr>
                <w:rFonts w:ascii="Times New Roman" w:hAnsi="Times New Roman"/>
                <w:sz w:val="21"/>
                <w:szCs w:val="21"/>
              </w:rPr>
            </w:pPr>
          </w:p>
        </w:tc>
      </w:tr>
    </w:tbl>
    <w:p w14:paraId="67F9F5A7"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2.5-9  </w:t>
      </w:r>
      <w:r w:rsidRPr="00E67914">
        <w:rPr>
          <w:rFonts w:ascii="Times New Roman" w:eastAsia="黑体" w:hAnsi="Times New Roman"/>
          <w:sz w:val="21"/>
          <w:szCs w:val="21"/>
          <w:lang w:eastAsia="zh-CN"/>
        </w:rPr>
        <w:t>锅炉大气污染物排放标准</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mg/m</w:t>
      </w:r>
      <w:r w:rsidRPr="00E67914">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463"/>
        <w:gridCol w:w="3416"/>
        <w:gridCol w:w="1417"/>
      </w:tblGrid>
      <w:tr w:rsidR="00E67914" w:rsidRPr="00E67914" w14:paraId="24BF78EE" w14:textId="77777777">
        <w:trPr>
          <w:jc w:val="center"/>
        </w:trPr>
        <w:tc>
          <w:tcPr>
            <w:tcW w:w="0" w:type="auto"/>
            <w:shd w:val="clear" w:color="auto" w:fill="auto"/>
            <w:vAlign w:val="center"/>
          </w:tcPr>
          <w:p w14:paraId="7B52071E" w14:textId="77777777" w:rsidR="00A54A8A" w:rsidRPr="00E67914" w:rsidRDefault="00000000">
            <w:pPr>
              <w:pStyle w:val="04"/>
              <w:rPr>
                <w:rFonts w:cs="Times New Roman"/>
                <w:b/>
                <w:bCs/>
              </w:rPr>
            </w:pPr>
            <w:r w:rsidRPr="00E67914">
              <w:rPr>
                <w:rFonts w:cs="Times New Roman"/>
                <w:b/>
                <w:bCs/>
                <w:lang w:bidi="ar"/>
              </w:rPr>
              <w:t>污染物</w:t>
            </w:r>
          </w:p>
        </w:tc>
        <w:tc>
          <w:tcPr>
            <w:tcW w:w="0" w:type="auto"/>
            <w:shd w:val="clear" w:color="auto" w:fill="auto"/>
            <w:vAlign w:val="center"/>
          </w:tcPr>
          <w:p w14:paraId="14E808FB" w14:textId="77777777" w:rsidR="00A54A8A" w:rsidRPr="00E67914" w:rsidRDefault="00000000">
            <w:pPr>
              <w:pStyle w:val="04"/>
              <w:rPr>
                <w:rFonts w:cs="Times New Roman"/>
                <w:b/>
                <w:bCs/>
              </w:rPr>
            </w:pPr>
            <w:r w:rsidRPr="00E67914">
              <w:rPr>
                <w:rFonts w:cs="Times New Roman"/>
                <w:b/>
                <w:bCs/>
                <w:lang w:bidi="ar"/>
              </w:rPr>
              <w:t>最高允许排放浓度（</w:t>
            </w:r>
            <w:r w:rsidRPr="00E67914">
              <w:rPr>
                <w:rFonts w:cs="Times New Roman"/>
                <w:b/>
                <w:bCs/>
                <w:lang w:bidi="ar"/>
              </w:rPr>
              <w:t>mg/m</w:t>
            </w:r>
            <w:r w:rsidRPr="00E67914">
              <w:rPr>
                <w:rFonts w:cs="Times New Roman"/>
                <w:b/>
                <w:bCs/>
                <w:vertAlign w:val="superscript"/>
                <w:lang w:bidi="ar"/>
              </w:rPr>
              <w:t>3</w:t>
            </w:r>
            <w:r w:rsidRPr="00E67914">
              <w:rPr>
                <w:rFonts w:cs="Times New Roman"/>
                <w:b/>
                <w:bCs/>
                <w:lang w:bidi="ar"/>
              </w:rPr>
              <w:t>）</w:t>
            </w:r>
          </w:p>
        </w:tc>
        <w:tc>
          <w:tcPr>
            <w:tcW w:w="0" w:type="auto"/>
            <w:shd w:val="clear" w:color="auto" w:fill="auto"/>
            <w:vAlign w:val="center"/>
          </w:tcPr>
          <w:p w14:paraId="24AD3B0F" w14:textId="77777777" w:rsidR="00A54A8A" w:rsidRPr="00E67914" w:rsidRDefault="00000000">
            <w:pPr>
              <w:pStyle w:val="04"/>
              <w:rPr>
                <w:rFonts w:cs="Times New Roman"/>
                <w:b/>
                <w:bCs/>
              </w:rPr>
            </w:pPr>
            <w:r w:rsidRPr="00E67914">
              <w:rPr>
                <w:rFonts w:cs="Times New Roman"/>
                <w:b/>
                <w:bCs/>
                <w:lang w:bidi="ar"/>
              </w:rPr>
              <w:t>监控位置</w:t>
            </w:r>
          </w:p>
        </w:tc>
      </w:tr>
      <w:tr w:rsidR="00E67914" w:rsidRPr="00E67914" w14:paraId="7FFBE277" w14:textId="77777777">
        <w:trPr>
          <w:jc w:val="center"/>
        </w:trPr>
        <w:tc>
          <w:tcPr>
            <w:tcW w:w="0" w:type="auto"/>
            <w:shd w:val="clear" w:color="auto" w:fill="auto"/>
            <w:vAlign w:val="center"/>
          </w:tcPr>
          <w:p w14:paraId="608F0B11" w14:textId="77777777" w:rsidR="00A54A8A" w:rsidRPr="00E67914" w:rsidRDefault="00000000">
            <w:pPr>
              <w:pStyle w:val="04"/>
              <w:rPr>
                <w:rFonts w:cs="Times New Roman"/>
              </w:rPr>
            </w:pPr>
            <w:r w:rsidRPr="00E67914">
              <w:rPr>
                <w:rFonts w:cs="Times New Roman"/>
                <w:lang w:bidi="ar"/>
              </w:rPr>
              <w:t>NO</w:t>
            </w:r>
            <w:r w:rsidRPr="00E67914">
              <w:rPr>
                <w:rFonts w:cs="Times New Roman"/>
                <w:vertAlign w:val="subscript"/>
                <w:lang w:bidi="ar"/>
              </w:rPr>
              <w:t>x</w:t>
            </w:r>
          </w:p>
        </w:tc>
        <w:tc>
          <w:tcPr>
            <w:tcW w:w="0" w:type="auto"/>
            <w:shd w:val="clear" w:color="auto" w:fill="auto"/>
            <w:vAlign w:val="center"/>
          </w:tcPr>
          <w:p w14:paraId="6AA86563" w14:textId="77777777" w:rsidR="00A54A8A" w:rsidRPr="00E67914" w:rsidRDefault="00000000">
            <w:pPr>
              <w:pStyle w:val="04"/>
              <w:rPr>
                <w:rFonts w:cs="Times New Roman"/>
              </w:rPr>
            </w:pPr>
            <w:r w:rsidRPr="00E67914">
              <w:rPr>
                <w:rFonts w:cs="Times New Roman"/>
                <w:lang w:bidi="ar"/>
              </w:rPr>
              <w:t>200</w:t>
            </w:r>
          </w:p>
        </w:tc>
        <w:tc>
          <w:tcPr>
            <w:tcW w:w="0" w:type="auto"/>
            <w:vMerge w:val="restart"/>
            <w:shd w:val="clear" w:color="auto" w:fill="auto"/>
            <w:vAlign w:val="center"/>
          </w:tcPr>
          <w:p w14:paraId="59467B7A" w14:textId="77777777" w:rsidR="00A54A8A" w:rsidRPr="00E67914" w:rsidRDefault="00000000">
            <w:pPr>
              <w:pStyle w:val="04"/>
              <w:rPr>
                <w:rFonts w:cs="Times New Roman"/>
              </w:rPr>
            </w:pPr>
            <w:r w:rsidRPr="00E67914">
              <w:rPr>
                <w:rFonts w:cs="Times New Roman"/>
                <w:lang w:bidi="ar"/>
              </w:rPr>
              <w:t>烟囱或烟道</w:t>
            </w:r>
          </w:p>
        </w:tc>
      </w:tr>
      <w:tr w:rsidR="00E67914" w:rsidRPr="00E67914" w14:paraId="691D302B" w14:textId="77777777">
        <w:trPr>
          <w:jc w:val="center"/>
        </w:trPr>
        <w:tc>
          <w:tcPr>
            <w:tcW w:w="0" w:type="auto"/>
            <w:shd w:val="clear" w:color="auto" w:fill="auto"/>
            <w:vAlign w:val="center"/>
          </w:tcPr>
          <w:p w14:paraId="7D2BE5B0" w14:textId="77777777" w:rsidR="00A54A8A" w:rsidRPr="00E67914" w:rsidRDefault="00000000">
            <w:pPr>
              <w:pStyle w:val="04"/>
              <w:rPr>
                <w:rFonts w:cs="Times New Roman"/>
              </w:rPr>
            </w:pPr>
            <w:r w:rsidRPr="00E67914">
              <w:rPr>
                <w:rFonts w:cs="Times New Roman"/>
                <w:lang w:bidi="ar"/>
              </w:rPr>
              <w:t>SO</w:t>
            </w:r>
            <w:r w:rsidRPr="00E67914">
              <w:rPr>
                <w:rFonts w:cs="Times New Roman"/>
                <w:vertAlign w:val="subscript"/>
                <w:lang w:bidi="ar"/>
              </w:rPr>
              <w:t>2</w:t>
            </w:r>
          </w:p>
        </w:tc>
        <w:tc>
          <w:tcPr>
            <w:tcW w:w="0" w:type="auto"/>
            <w:shd w:val="clear" w:color="auto" w:fill="auto"/>
            <w:vAlign w:val="center"/>
          </w:tcPr>
          <w:p w14:paraId="181797E3" w14:textId="77777777" w:rsidR="00A54A8A" w:rsidRPr="00E67914" w:rsidRDefault="00000000">
            <w:pPr>
              <w:pStyle w:val="04"/>
              <w:rPr>
                <w:rFonts w:cs="Times New Roman"/>
              </w:rPr>
            </w:pPr>
            <w:r w:rsidRPr="00E67914">
              <w:rPr>
                <w:rFonts w:cs="Times New Roman"/>
                <w:lang w:bidi="ar"/>
              </w:rPr>
              <w:t>50</w:t>
            </w:r>
          </w:p>
        </w:tc>
        <w:tc>
          <w:tcPr>
            <w:tcW w:w="0" w:type="auto"/>
            <w:vMerge/>
            <w:shd w:val="clear" w:color="auto" w:fill="auto"/>
            <w:vAlign w:val="center"/>
          </w:tcPr>
          <w:p w14:paraId="5C2A982F" w14:textId="77777777" w:rsidR="00A54A8A" w:rsidRPr="00E67914" w:rsidRDefault="00A54A8A">
            <w:pPr>
              <w:pStyle w:val="04"/>
              <w:rPr>
                <w:rFonts w:cs="Times New Roman"/>
              </w:rPr>
            </w:pPr>
          </w:p>
        </w:tc>
      </w:tr>
      <w:tr w:rsidR="00E67914" w:rsidRPr="00E67914" w14:paraId="51734591" w14:textId="77777777">
        <w:trPr>
          <w:jc w:val="center"/>
        </w:trPr>
        <w:tc>
          <w:tcPr>
            <w:tcW w:w="0" w:type="auto"/>
            <w:shd w:val="clear" w:color="auto" w:fill="auto"/>
            <w:vAlign w:val="center"/>
          </w:tcPr>
          <w:p w14:paraId="1FCDCD72" w14:textId="77777777" w:rsidR="00A54A8A" w:rsidRPr="00E67914" w:rsidRDefault="00000000">
            <w:pPr>
              <w:pStyle w:val="04"/>
              <w:rPr>
                <w:rFonts w:cs="Times New Roman"/>
              </w:rPr>
            </w:pPr>
            <w:r w:rsidRPr="00E67914">
              <w:rPr>
                <w:rFonts w:cs="Times New Roman"/>
                <w:lang w:bidi="ar"/>
              </w:rPr>
              <w:t>颗粒物</w:t>
            </w:r>
          </w:p>
        </w:tc>
        <w:tc>
          <w:tcPr>
            <w:tcW w:w="0" w:type="auto"/>
            <w:shd w:val="clear" w:color="auto" w:fill="auto"/>
            <w:vAlign w:val="center"/>
          </w:tcPr>
          <w:p w14:paraId="354F5080" w14:textId="77777777" w:rsidR="00A54A8A" w:rsidRPr="00E67914" w:rsidRDefault="00000000">
            <w:pPr>
              <w:pStyle w:val="04"/>
              <w:rPr>
                <w:rFonts w:cs="Times New Roman"/>
              </w:rPr>
            </w:pPr>
            <w:r w:rsidRPr="00E67914">
              <w:rPr>
                <w:rFonts w:cs="Times New Roman"/>
                <w:lang w:bidi="ar"/>
              </w:rPr>
              <w:t>20</w:t>
            </w:r>
          </w:p>
        </w:tc>
        <w:tc>
          <w:tcPr>
            <w:tcW w:w="0" w:type="auto"/>
            <w:vMerge/>
            <w:shd w:val="clear" w:color="auto" w:fill="auto"/>
            <w:vAlign w:val="center"/>
          </w:tcPr>
          <w:p w14:paraId="3ED02048" w14:textId="77777777" w:rsidR="00A54A8A" w:rsidRPr="00E67914" w:rsidRDefault="00A54A8A">
            <w:pPr>
              <w:pStyle w:val="04"/>
              <w:rPr>
                <w:rFonts w:cs="Times New Roman"/>
              </w:rPr>
            </w:pPr>
          </w:p>
        </w:tc>
      </w:tr>
      <w:tr w:rsidR="00E67914" w:rsidRPr="00E67914" w14:paraId="725C15A1" w14:textId="77777777">
        <w:trPr>
          <w:jc w:val="center"/>
        </w:trPr>
        <w:tc>
          <w:tcPr>
            <w:tcW w:w="0" w:type="auto"/>
            <w:shd w:val="clear" w:color="auto" w:fill="auto"/>
            <w:vAlign w:val="center"/>
          </w:tcPr>
          <w:p w14:paraId="4E40BC98" w14:textId="77777777" w:rsidR="00A54A8A" w:rsidRPr="00E67914" w:rsidRDefault="00000000">
            <w:pPr>
              <w:pStyle w:val="04"/>
              <w:rPr>
                <w:rFonts w:cs="Times New Roman"/>
                <w:lang w:bidi="ar"/>
              </w:rPr>
            </w:pPr>
            <w:r w:rsidRPr="00E67914">
              <w:rPr>
                <w:rFonts w:cs="Times New Roman"/>
                <w:lang w:bidi="ar"/>
              </w:rPr>
              <w:t>烟气黑度（林格曼黑度，级）</w:t>
            </w:r>
          </w:p>
        </w:tc>
        <w:tc>
          <w:tcPr>
            <w:tcW w:w="0" w:type="auto"/>
            <w:shd w:val="clear" w:color="auto" w:fill="auto"/>
            <w:vAlign w:val="center"/>
          </w:tcPr>
          <w:p w14:paraId="248FE2CB" w14:textId="77777777" w:rsidR="00A54A8A" w:rsidRPr="00E67914" w:rsidRDefault="00000000">
            <w:pPr>
              <w:pStyle w:val="04"/>
              <w:rPr>
                <w:rFonts w:cs="Times New Roman"/>
                <w:lang w:bidi="ar"/>
              </w:rPr>
            </w:pPr>
            <w:r w:rsidRPr="00E67914">
              <w:rPr>
                <w:rFonts w:cs="Times New Roman"/>
                <w:lang w:bidi="ar"/>
              </w:rPr>
              <w:t>≤1</w:t>
            </w:r>
          </w:p>
        </w:tc>
        <w:tc>
          <w:tcPr>
            <w:tcW w:w="0" w:type="auto"/>
            <w:shd w:val="clear" w:color="auto" w:fill="auto"/>
            <w:vAlign w:val="center"/>
          </w:tcPr>
          <w:p w14:paraId="3EFC5BD7" w14:textId="77777777" w:rsidR="00A54A8A" w:rsidRPr="00E67914" w:rsidRDefault="00000000">
            <w:pPr>
              <w:pStyle w:val="04"/>
              <w:rPr>
                <w:rFonts w:cs="Times New Roman"/>
              </w:rPr>
            </w:pPr>
            <w:r w:rsidRPr="00E67914">
              <w:rPr>
                <w:rFonts w:cs="Times New Roman"/>
              </w:rPr>
              <w:t>烟囱排放口</w:t>
            </w:r>
          </w:p>
        </w:tc>
      </w:tr>
    </w:tbl>
    <w:p w14:paraId="51B6A91D"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bookmarkStart w:id="32" w:name="_Toc4534"/>
      <w:bookmarkStart w:id="33" w:name="_Toc24219"/>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2.5-10  </w:t>
      </w:r>
      <w:bookmarkEnd w:id="32"/>
      <w:r w:rsidRPr="00E67914">
        <w:rPr>
          <w:rFonts w:ascii="Times New Roman" w:eastAsia="黑体" w:hAnsi="Times New Roman"/>
          <w:sz w:val="21"/>
          <w:szCs w:val="21"/>
          <w:lang w:eastAsia="zh-CN"/>
        </w:rPr>
        <w:t>陆上石油天然气开采工业大气污染物排放标准</w:t>
      </w:r>
      <w:bookmarkEnd w:id="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358"/>
        <w:gridCol w:w="5354"/>
      </w:tblGrid>
      <w:tr w:rsidR="00E67914" w:rsidRPr="00E67914" w14:paraId="0A4F0661" w14:textId="77777777">
        <w:trPr>
          <w:cantSplit/>
          <w:trHeight w:val="273"/>
          <w:jc w:val="center"/>
        </w:trPr>
        <w:tc>
          <w:tcPr>
            <w:tcW w:w="954" w:type="pct"/>
            <w:vMerge w:val="restart"/>
            <w:vAlign w:val="center"/>
          </w:tcPr>
          <w:p w14:paraId="67829F77" w14:textId="77777777" w:rsidR="00A54A8A" w:rsidRPr="00E67914" w:rsidRDefault="00000000">
            <w:pPr>
              <w:pStyle w:val="affffff8"/>
              <w:adjustRightInd w:val="0"/>
              <w:snapToGrid w:val="0"/>
              <w:rPr>
                <w:rFonts w:ascii="Times New Roman" w:hAnsi="Times New Roman" w:cs="Times New Roman"/>
                <w:snapToGrid/>
                <w:spacing w:val="0"/>
                <w:sz w:val="21"/>
              </w:rPr>
            </w:pPr>
            <w:r w:rsidRPr="00E67914">
              <w:rPr>
                <w:rFonts w:ascii="Times New Roman" w:hAnsi="Times New Roman" w:cs="Times New Roman"/>
                <w:snapToGrid/>
                <w:spacing w:val="0"/>
                <w:sz w:val="21"/>
              </w:rPr>
              <w:t>污染物</w:t>
            </w:r>
          </w:p>
        </w:tc>
        <w:tc>
          <w:tcPr>
            <w:tcW w:w="818" w:type="pct"/>
            <w:vMerge w:val="restart"/>
            <w:vAlign w:val="center"/>
          </w:tcPr>
          <w:p w14:paraId="192C8195" w14:textId="77777777" w:rsidR="00A54A8A" w:rsidRPr="00E67914" w:rsidRDefault="00000000">
            <w:pPr>
              <w:pStyle w:val="affffff8"/>
              <w:adjustRightInd w:val="0"/>
              <w:snapToGrid w:val="0"/>
              <w:rPr>
                <w:rFonts w:ascii="Times New Roman" w:hAnsi="Times New Roman" w:cs="Times New Roman"/>
                <w:snapToGrid/>
                <w:spacing w:val="0"/>
                <w:sz w:val="21"/>
              </w:rPr>
            </w:pPr>
            <w:r w:rsidRPr="00E67914">
              <w:rPr>
                <w:rFonts w:ascii="Times New Roman" w:hAnsi="Times New Roman" w:cs="Times New Roman"/>
                <w:snapToGrid/>
                <w:spacing w:val="0"/>
                <w:sz w:val="21"/>
              </w:rPr>
              <w:t>无组织排放（周界外浓度最高点）</w:t>
            </w:r>
            <w:r w:rsidRPr="00E67914">
              <w:rPr>
                <w:rFonts w:ascii="Times New Roman" w:hAnsi="Times New Roman" w:cs="Times New Roman"/>
                <w:snapToGrid/>
                <w:spacing w:val="0"/>
                <w:sz w:val="21"/>
              </w:rPr>
              <w:t>/</w:t>
            </w:r>
            <w:r w:rsidRPr="00E67914">
              <w:rPr>
                <w:rFonts w:ascii="Times New Roman" w:hAnsi="Times New Roman" w:cs="Times New Roman"/>
                <w:snapToGrid/>
                <w:spacing w:val="0"/>
                <w:sz w:val="21"/>
              </w:rPr>
              <w:t>（</w:t>
            </w:r>
            <w:r w:rsidRPr="00E67914">
              <w:rPr>
                <w:rFonts w:ascii="Times New Roman" w:hAnsi="Times New Roman" w:cs="Times New Roman"/>
                <w:snapToGrid/>
                <w:spacing w:val="0"/>
                <w:sz w:val="21"/>
              </w:rPr>
              <w:t>mg/m</w:t>
            </w:r>
            <w:r w:rsidRPr="00E67914">
              <w:rPr>
                <w:rFonts w:ascii="Times New Roman" w:hAnsi="Times New Roman" w:cs="Times New Roman"/>
                <w:snapToGrid/>
                <w:spacing w:val="0"/>
                <w:sz w:val="21"/>
                <w:vertAlign w:val="superscript"/>
              </w:rPr>
              <w:t>3</w:t>
            </w:r>
            <w:r w:rsidRPr="00E67914">
              <w:rPr>
                <w:rFonts w:ascii="Times New Roman" w:hAnsi="Times New Roman" w:cs="Times New Roman"/>
                <w:snapToGrid/>
                <w:spacing w:val="0"/>
                <w:sz w:val="21"/>
              </w:rPr>
              <w:t>）</w:t>
            </w:r>
          </w:p>
        </w:tc>
        <w:tc>
          <w:tcPr>
            <w:tcW w:w="3226" w:type="pct"/>
            <w:vAlign w:val="center"/>
          </w:tcPr>
          <w:p w14:paraId="5B73F370" w14:textId="77777777" w:rsidR="00A54A8A" w:rsidRPr="00E67914" w:rsidRDefault="00000000">
            <w:pPr>
              <w:pStyle w:val="affffff8"/>
              <w:adjustRightInd w:val="0"/>
              <w:snapToGrid w:val="0"/>
              <w:rPr>
                <w:rFonts w:ascii="Times New Roman" w:hAnsi="Times New Roman" w:cs="Times New Roman"/>
                <w:snapToGrid/>
                <w:spacing w:val="0"/>
                <w:sz w:val="21"/>
              </w:rPr>
            </w:pPr>
            <w:r w:rsidRPr="00E67914">
              <w:rPr>
                <w:rFonts w:ascii="Times New Roman" w:hAnsi="Times New Roman" w:cs="Times New Roman"/>
                <w:snapToGrid/>
                <w:spacing w:val="0"/>
                <w:sz w:val="21"/>
              </w:rPr>
              <w:t>有组织排放标准要求</w:t>
            </w:r>
          </w:p>
        </w:tc>
      </w:tr>
      <w:tr w:rsidR="00E67914" w:rsidRPr="00E67914" w14:paraId="3E75E9F7" w14:textId="77777777">
        <w:trPr>
          <w:cantSplit/>
          <w:trHeight w:val="868"/>
          <w:jc w:val="center"/>
        </w:trPr>
        <w:tc>
          <w:tcPr>
            <w:tcW w:w="954" w:type="pct"/>
            <w:vMerge/>
            <w:vAlign w:val="center"/>
          </w:tcPr>
          <w:p w14:paraId="14B45FED" w14:textId="77777777" w:rsidR="00A54A8A" w:rsidRPr="00E67914" w:rsidRDefault="00A54A8A">
            <w:pPr>
              <w:pStyle w:val="affffff8"/>
              <w:adjustRightInd w:val="0"/>
              <w:snapToGrid w:val="0"/>
              <w:rPr>
                <w:rFonts w:ascii="Times New Roman" w:hAnsi="Times New Roman" w:cs="Times New Roman"/>
                <w:snapToGrid/>
                <w:spacing w:val="0"/>
                <w:sz w:val="21"/>
              </w:rPr>
            </w:pPr>
          </w:p>
        </w:tc>
        <w:tc>
          <w:tcPr>
            <w:tcW w:w="818" w:type="pct"/>
            <w:vMerge/>
            <w:vAlign w:val="center"/>
          </w:tcPr>
          <w:p w14:paraId="66D0D2C6" w14:textId="77777777" w:rsidR="00A54A8A" w:rsidRPr="00E67914" w:rsidRDefault="00A54A8A">
            <w:pPr>
              <w:pStyle w:val="affffff8"/>
              <w:adjustRightInd w:val="0"/>
              <w:snapToGrid w:val="0"/>
              <w:rPr>
                <w:rFonts w:ascii="Times New Roman" w:hAnsi="Times New Roman" w:cs="Times New Roman"/>
                <w:snapToGrid/>
                <w:spacing w:val="0"/>
                <w:sz w:val="21"/>
              </w:rPr>
            </w:pPr>
          </w:p>
        </w:tc>
        <w:tc>
          <w:tcPr>
            <w:tcW w:w="3226" w:type="pct"/>
            <w:vMerge w:val="restart"/>
            <w:vAlign w:val="center"/>
          </w:tcPr>
          <w:p w14:paraId="7432E14D" w14:textId="0C3320FF"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a</w:t>
            </w:r>
            <w:r w:rsidRPr="00E67914">
              <w:rPr>
                <w:rFonts w:ascii="Times New Roman" w:hAnsi="Times New Roman"/>
                <w:sz w:val="21"/>
                <w:szCs w:val="21"/>
                <w:lang w:eastAsia="zh-CN"/>
              </w:rPr>
              <w:t>）非甲烷总烃排放浓度不超过</w:t>
            </w:r>
            <w:r w:rsidRPr="00E67914">
              <w:rPr>
                <w:rFonts w:ascii="Times New Roman" w:hAnsi="Times New Roman"/>
                <w:sz w:val="21"/>
                <w:szCs w:val="21"/>
                <w:lang w:eastAsia="zh-CN"/>
              </w:rPr>
              <w:t>120mg/m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w:t>
            </w:r>
          </w:p>
          <w:p w14:paraId="5EFA2BF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b</w:t>
            </w:r>
            <w:r w:rsidRPr="00E67914">
              <w:rPr>
                <w:rFonts w:ascii="Times New Roman" w:hAnsi="Times New Roman"/>
                <w:sz w:val="21"/>
                <w:szCs w:val="21"/>
                <w:lang w:eastAsia="zh-CN"/>
              </w:rPr>
              <w:t>）生产装置和设施排气中非甲烷总烃初始排放速率</w:t>
            </w:r>
            <w:r w:rsidRPr="00E67914">
              <w:rPr>
                <w:rFonts w:ascii="Times New Roman" w:hAnsi="Times New Roman"/>
                <w:sz w:val="21"/>
                <w:szCs w:val="21"/>
                <w:lang w:eastAsia="zh-CN"/>
              </w:rPr>
              <w:t>≥3kg/h</w:t>
            </w:r>
            <w:r w:rsidRPr="00E67914">
              <w:rPr>
                <w:rFonts w:ascii="Times New Roman" w:hAnsi="Times New Roman"/>
                <w:sz w:val="21"/>
                <w:szCs w:val="21"/>
                <w:lang w:eastAsia="zh-CN"/>
              </w:rPr>
              <w:t>的，废气处理设施非甲烷总烃去除效率不低于</w:t>
            </w:r>
            <w:r w:rsidRPr="00E67914">
              <w:rPr>
                <w:rFonts w:ascii="Times New Roman" w:hAnsi="Times New Roman"/>
                <w:sz w:val="21"/>
                <w:szCs w:val="21"/>
                <w:lang w:eastAsia="zh-CN"/>
              </w:rPr>
              <w:t>80%</w:t>
            </w:r>
            <w:r w:rsidRPr="00E67914">
              <w:rPr>
                <w:rFonts w:ascii="Times New Roman" w:hAnsi="Times New Roman"/>
                <w:sz w:val="21"/>
                <w:szCs w:val="21"/>
                <w:lang w:eastAsia="zh-CN"/>
              </w:rPr>
              <w:t>。重点地区生产装置和设施排气中非甲烷总烃初始排放速率</w:t>
            </w:r>
            <w:r w:rsidRPr="00E67914">
              <w:rPr>
                <w:rFonts w:ascii="Times New Roman" w:hAnsi="Times New Roman"/>
                <w:sz w:val="21"/>
                <w:szCs w:val="21"/>
                <w:lang w:eastAsia="zh-CN"/>
              </w:rPr>
              <w:t>≥2 kg/h</w:t>
            </w:r>
            <w:r w:rsidRPr="00E67914">
              <w:rPr>
                <w:rFonts w:ascii="Times New Roman" w:hAnsi="Times New Roman"/>
                <w:sz w:val="21"/>
                <w:szCs w:val="21"/>
                <w:lang w:eastAsia="zh-CN"/>
              </w:rPr>
              <w:t>的，废气处理设施非甲烷总烃去除效率不低于</w:t>
            </w:r>
            <w:r w:rsidRPr="00E67914">
              <w:rPr>
                <w:rFonts w:ascii="Times New Roman" w:hAnsi="Times New Roman"/>
                <w:sz w:val="21"/>
                <w:szCs w:val="21"/>
                <w:lang w:eastAsia="zh-CN"/>
              </w:rPr>
              <w:t>80%</w:t>
            </w:r>
          </w:p>
        </w:tc>
      </w:tr>
      <w:tr w:rsidR="00E67914" w:rsidRPr="00E67914" w14:paraId="3BEA06A1" w14:textId="77777777">
        <w:trPr>
          <w:cantSplit/>
          <w:jc w:val="center"/>
        </w:trPr>
        <w:tc>
          <w:tcPr>
            <w:tcW w:w="954" w:type="pct"/>
            <w:vAlign w:val="center"/>
          </w:tcPr>
          <w:p w14:paraId="4C9D81E5" w14:textId="77777777" w:rsidR="00A54A8A" w:rsidRPr="00E67914" w:rsidRDefault="00000000">
            <w:pPr>
              <w:pStyle w:val="affffff8"/>
              <w:adjustRightInd w:val="0"/>
              <w:snapToGrid w:val="0"/>
              <w:rPr>
                <w:rFonts w:ascii="Times New Roman" w:hAnsi="Times New Roman" w:cs="Times New Roman"/>
                <w:snapToGrid/>
                <w:spacing w:val="0"/>
                <w:sz w:val="21"/>
              </w:rPr>
            </w:pPr>
            <w:r w:rsidRPr="00E67914">
              <w:rPr>
                <w:rFonts w:ascii="Times New Roman" w:hAnsi="Times New Roman" w:cs="Times New Roman"/>
                <w:snapToGrid/>
                <w:spacing w:val="0"/>
                <w:sz w:val="21"/>
              </w:rPr>
              <w:t>NMHC</w:t>
            </w:r>
          </w:p>
        </w:tc>
        <w:tc>
          <w:tcPr>
            <w:tcW w:w="818" w:type="pct"/>
            <w:vAlign w:val="center"/>
          </w:tcPr>
          <w:p w14:paraId="518D0DE0" w14:textId="77777777" w:rsidR="00A54A8A" w:rsidRPr="00E67914" w:rsidRDefault="00000000">
            <w:pPr>
              <w:pStyle w:val="affffff8"/>
              <w:adjustRightInd w:val="0"/>
              <w:snapToGrid w:val="0"/>
              <w:rPr>
                <w:rFonts w:ascii="Times New Roman" w:hAnsi="Times New Roman" w:cs="Times New Roman"/>
                <w:snapToGrid/>
                <w:spacing w:val="0"/>
                <w:sz w:val="21"/>
              </w:rPr>
            </w:pPr>
            <w:r w:rsidRPr="00E67914">
              <w:rPr>
                <w:rFonts w:ascii="Times New Roman" w:hAnsi="Times New Roman" w:cs="Times New Roman"/>
                <w:snapToGrid/>
                <w:spacing w:val="0"/>
                <w:sz w:val="21"/>
              </w:rPr>
              <w:t>4.0</w:t>
            </w:r>
          </w:p>
        </w:tc>
        <w:tc>
          <w:tcPr>
            <w:tcW w:w="3226" w:type="pct"/>
            <w:vMerge/>
            <w:vAlign w:val="center"/>
          </w:tcPr>
          <w:p w14:paraId="2B5A227E" w14:textId="77777777" w:rsidR="00A54A8A" w:rsidRPr="00E67914" w:rsidRDefault="00A54A8A">
            <w:pPr>
              <w:pStyle w:val="affffff8"/>
              <w:adjustRightInd w:val="0"/>
              <w:snapToGrid w:val="0"/>
              <w:rPr>
                <w:rFonts w:ascii="Times New Roman" w:hAnsi="Times New Roman" w:cs="Times New Roman"/>
                <w:snapToGrid/>
                <w:spacing w:val="0"/>
                <w:sz w:val="21"/>
              </w:rPr>
            </w:pPr>
          </w:p>
        </w:tc>
      </w:tr>
    </w:tbl>
    <w:p w14:paraId="1C0D1393" w14:textId="77777777" w:rsidR="00A54A8A" w:rsidRPr="00E67914" w:rsidRDefault="000000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）噪声</w:t>
      </w:r>
    </w:p>
    <w:bookmarkEnd w:id="29"/>
    <w:p w14:paraId="3CB4B403" w14:textId="77777777" w:rsidR="00A54A8A" w:rsidRPr="00E67914" w:rsidRDefault="00000000">
      <w:pPr>
        <w:pStyle w:val="af4"/>
        <w:spacing w:line="360" w:lineRule="auto"/>
        <w:ind w:firstLineChars="200" w:firstLine="480"/>
        <w:rPr>
          <w:rFonts w:ascii="Times New Roman" w:hAnsi="Times New Roman"/>
          <w:szCs w:val="24"/>
        </w:rPr>
      </w:pPr>
      <w:r w:rsidRPr="00E67914">
        <w:rPr>
          <w:rFonts w:ascii="Times New Roman" w:hAnsi="Times New Roman"/>
          <w:bCs/>
          <w:szCs w:val="24"/>
        </w:rPr>
        <w:t>项目施工期噪声执行《建筑施工场界环境噪声排放标准》（</w:t>
      </w:r>
      <w:r w:rsidRPr="00E67914">
        <w:rPr>
          <w:rFonts w:ascii="Times New Roman" w:hAnsi="Times New Roman"/>
          <w:bCs/>
          <w:szCs w:val="24"/>
        </w:rPr>
        <w:t>GB12523-2011</w:t>
      </w:r>
      <w:r w:rsidRPr="00E67914">
        <w:rPr>
          <w:rFonts w:ascii="Times New Roman" w:hAnsi="Times New Roman"/>
          <w:bCs/>
          <w:szCs w:val="24"/>
        </w:rPr>
        <w:t>），</w:t>
      </w:r>
      <w:r w:rsidRPr="00E67914">
        <w:rPr>
          <w:rFonts w:ascii="Times New Roman" w:hAnsi="Times New Roman"/>
          <w:szCs w:val="24"/>
        </w:rPr>
        <w:t>试采期</w:t>
      </w:r>
      <w:r w:rsidRPr="00E67914">
        <w:rPr>
          <w:rFonts w:ascii="Times New Roman" w:hAnsi="Times New Roman"/>
          <w:bCs/>
          <w:snapToGrid w:val="0"/>
          <w:szCs w:val="24"/>
        </w:rPr>
        <w:t>执</w:t>
      </w:r>
      <w:r w:rsidRPr="00E67914">
        <w:rPr>
          <w:rFonts w:ascii="Times New Roman" w:hAnsi="Times New Roman"/>
          <w:szCs w:val="24"/>
        </w:rPr>
        <w:t>行《工业企业厂界环境噪声排放标准》（</w:t>
      </w:r>
      <w:r w:rsidRPr="00E67914">
        <w:rPr>
          <w:rFonts w:ascii="Times New Roman" w:hAnsi="Times New Roman"/>
          <w:szCs w:val="24"/>
        </w:rPr>
        <w:t>GB12348-2008</w:t>
      </w:r>
      <w:r w:rsidRPr="00E67914">
        <w:rPr>
          <w:rFonts w:ascii="Times New Roman" w:hAnsi="Times New Roman"/>
          <w:bCs/>
          <w:snapToGrid w:val="0"/>
          <w:szCs w:val="24"/>
        </w:rPr>
        <w:t>）</w:t>
      </w:r>
      <w:r w:rsidRPr="00E67914">
        <w:rPr>
          <w:rFonts w:ascii="Times New Roman" w:hAnsi="Times New Roman"/>
          <w:bCs/>
          <w:snapToGrid w:val="0"/>
          <w:szCs w:val="24"/>
        </w:rPr>
        <w:t>2</w:t>
      </w:r>
      <w:r w:rsidRPr="00E67914">
        <w:rPr>
          <w:rFonts w:ascii="Times New Roman" w:hAnsi="Times New Roman"/>
          <w:bCs/>
          <w:snapToGrid w:val="0"/>
          <w:szCs w:val="24"/>
        </w:rPr>
        <w:t>类功能区标准，见表</w:t>
      </w:r>
      <w:r w:rsidRPr="00E67914">
        <w:rPr>
          <w:rFonts w:ascii="Times New Roman" w:hAnsi="Times New Roman"/>
          <w:bCs/>
          <w:snapToGrid w:val="0"/>
          <w:szCs w:val="24"/>
        </w:rPr>
        <w:t>2.5-11</w:t>
      </w:r>
      <w:r w:rsidRPr="00E67914">
        <w:rPr>
          <w:rFonts w:ascii="Times New Roman" w:hAnsi="Times New Roman"/>
          <w:szCs w:val="24"/>
        </w:rPr>
        <w:t>。</w:t>
      </w:r>
    </w:p>
    <w:p w14:paraId="4599DD13"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lastRenderedPageBreak/>
        <w:t>表</w:t>
      </w:r>
      <w:r w:rsidRPr="00E67914">
        <w:rPr>
          <w:rFonts w:ascii="Times New Roman" w:eastAsia="黑体" w:hAnsi="Times New Roman"/>
          <w:sz w:val="21"/>
          <w:szCs w:val="21"/>
          <w:lang w:eastAsia="zh-CN"/>
        </w:rPr>
        <w:t xml:space="preserve">2.5-11  </w:t>
      </w:r>
      <w:r w:rsidRPr="00E67914">
        <w:rPr>
          <w:rFonts w:ascii="Times New Roman" w:eastAsia="黑体" w:hAnsi="Times New Roman"/>
          <w:sz w:val="21"/>
          <w:szCs w:val="21"/>
          <w:lang w:eastAsia="zh-CN"/>
        </w:rPr>
        <w:t>噪声污染物排放标准</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dB</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A</w:t>
      </w:r>
      <w:r w:rsidRPr="00E67914">
        <w:rPr>
          <w:rFonts w:ascii="Times New Roman" w:eastAsia="黑体" w:hAnsi="Times New Roman"/>
          <w:sz w:val="21"/>
          <w:szCs w:val="21"/>
          <w:lang w:eastAsia="zh-CN"/>
        </w:rPr>
        <w:t>）</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32"/>
        <w:gridCol w:w="3686"/>
        <w:gridCol w:w="992"/>
        <w:gridCol w:w="1134"/>
        <w:gridCol w:w="1178"/>
      </w:tblGrid>
      <w:tr w:rsidR="002662E3" w:rsidRPr="00E67914" w14:paraId="1FCC9CCD" w14:textId="77777777">
        <w:trPr>
          <w:jc w:val="center"/>
        </w:trPr>
        <w:tc>
          <w:tcPr>
            <w:tcW w:w="1232" w:type="dxa"/>
            <w:vAlign w:val="center"/>
          </w:tcPr>
          <w:p w14:paraId="3AC2FE24"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时段</w:t>
            </w:r>
          </w:p>
        </w:tc>
        <w:tc>
          <w:tcPr>
            <w:tcW w:w="3686" w:type="dxa"/>
            <w:vAlign w:val="center"/>
          </w:tcPr>
          <w:p w14:paraId="659C758E"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标准名称及级（类）别</w:t>
            </w:r>
          </w:p>
        </w:tc>
        <w:tc>
          <w:tcPr>
            <w:tcW w:w="3304" w:type="dxa"/>
            <w:gridSpan w:val="3"/>
            <w:vAlign w:val="center"/>
          </w:tcPr>
          <w:p w14:paraId="3E56B78E"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标准值（单位：</w:t>
            </w:r>
            <w:r w:rsidRPr="00E67914">
              <w:rPr>
                <w:rFonts w:ascii="Times New Roman" w:hAnsi="Times New Roman"/>
                <w:b/>
                <w:sz w:val="21"/>
                <w:szCs w:val="21"/>
                <w:lang w:eastAsia="zh-CN"/>
              </w:rPr>
              <w:t>dB</w:t>
            </w:r>
            <w:r w:rsidRPr="00E67914">
              <w:rPr>
                <w:rFonts w:ascii="Times New Roman" w:hAnsi="Times New Roman"/>
                <w:b/>
                <w:sz w:val="21"/>
                <w:szCs w:val="21"/>
                <w:lang w:eastAsia="zh-CN"/>
              </w:rPr>
              <w:t>（</w:t>
            </w:r>
            <w:r w:rsidRPr="00E67914">
              <w:rPr>
                <w:rFonts w:ascii="Times New Roman" w:hAnsi="Times New Roman"/>
                <w:b/>
                <w:sz w:val="21"/>
                <w:szCs w:val="21"/>
                <w:lang w:eastAsia="zh-CN"/>
              </w:rPr>
              <w:t>A</w:t>
            </w:r>
            <w:r w:rsidRPr="00E67914">
              <w:rPr>
                <w:rFonts w:ascii="Times New Roman" w:hAnsi="Times New Roman"/>
                <w:b/>
                <w:sz w:val="21"/>
                <w:szCs w:val="21"/>
                <w:lang w:eastAsia="zh-CN"/>
              </w:rPr>
              <w:t>））</w:t>
            </w:r>
          </w:p>
        </w:tc>
      </w:tr>
      <w:tr w:rsidR="002662E3" w:rsidRPr="00E67914" w14:paraId="0DEF9FAA" w14:textId="77777777">
        <w:trPr>
          <w:jc w:val="center"/>
        </w:trPr>
        <w:tc>
          <w:tcPr>
            <w:tcW w:w="1232" w:type="dxa"/>
            <w:vMerge w:val="restart"/>
            <w:vAlign w:val="center"/>
          </w:tcPr>
          <w:p w14:paraId="07A832A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施工期</w:t>
            </w:r>
          </w:p>
        </w:tc>
        <w:tc>
          <w:tcPr>
            <w:tcW w:w="3686" w:type="dxa"/>
            <w:vMerge w:val="restart"/>
            <w:vAlign w:val="center"/>
          </w:tcPr>
          <w:p w14:paraId="5AAAE8E8"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bCs/>
                <w:sz w:val="21"/>
                <w:szCs w:val="21"/>
                <w:lang w:eastAsia="zh-CN"/>
              </w:rPr>
              <w:t>《建筑施工场界环境噪声排放标准》（</w:t>
            </w:r>
            <w:r w:rsidRPr="00E67914">
              <w:rPr>
                <w:rFonts w:ascii="Times New Roman" w:hAnsi="Times New Roman"/>
                <w:bCs/>
                <w:sz w:val="21"/>
                <w:szCs w:val="21"/>
                <w:lang w:eastAsia="zh-CN"/>
              </w:rPr>
              <w:t>GB12523-2011</w:t>
            </w:r>
            <w:r w:rsidRPr="00E67914">
              <w:rPr>
                <w:rFonts w:ascii="Times New Roman" w:hAnsi="Times New Roman"/>
                <w:bCs/>
                <w:sz w:val="21"/>
                <w:szCs w:val="21"/>
                <w:lang w:eastAsia="zh-CN"/>
              </w:rPr>
              <w:t>）</w:t>
            </w:r>
          </w:p>
        </w:tc>
        <w:tc>
          <w:tcPr>
            <w:tcW w:w="992" w:type="dxa"/>
            <w:vMerge w:val="restart"/>
            <w:vAlign w:val="center"/>
          </w:tcPr>
          <w:p w14:paraId="69B602B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场界</w:t>
            </w:r>
          </w:p>
        </w:tc>
        <w:tc>
          <w:tcPr>
            <w:tcW w:w="1134" w:type="dxa"/>
            <w:vAlign w:val="center"/>
          </w:tcPr>
          <w:p w14:paraId="06941389"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昼间</w:t>
            </w:r>
          </w:p>
        </w:tc>
        <w:tc>
          <w:tcPr>
            <w:tcW w:w="1178" w:type="dxa"/>
            <w:vAlign w:val="center"/>
          </w:tcPr>
          <w:p w14:paraId="79BE207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70</w:t>
            </w:r>
          </w:p>
        </w:tc>
      </w:tr>
      <w:tr w:rsidR="002662E3" w:rsidRPr="00E67914" w14:paraId="40EEBD3C" w14:textId="77777777">
        <w:trPr>
          <w:jc w:val="center"/>
        </w:trPr>
        <w:tc>
          <w:tcPr>
            <w:tcW w:w="1232" w:type="dxa"/>
            <w:vMerge/>
            <w:vAlign w:val="center"/>
          </w:tcPr>
          <w:p w14:paraId="3CCD061D" w14:textId="77777777" w:rsidR="00A54A8A" w:rsidRPr="00E67914" w:rsidRDefault="00A54A8A">
            <w:pPr>
              <w:adjustRightInd w:val="0"/>
              <w:snapToGrid w:val="0"/>
              <w:jc w:val="center"/>
              <w:rPr>
                <w:rFonts w:ascii="Times New Roman" w:hAnsi="Times New Roman"/>
                <w:sz w:val="21"/>
                <w:szCs w:val="21"/>
              </w:rPr>
            </w:pPr>
          </w:p>
        </w:tc>
        <w:tc>
          <w:tcPr>
            <w:tcW w:w="3686" w:type="dxa"/>
            <w:vMerge/>
            <w:vAlign w:val="center"/>
          </w:tcPr>
          <w:p w14:paraId="207059B5" w14:textId="77777777" w:rsidR="00A54A8A" w:rsidRPr="00E67914" w:rsidRDefault="00A54A8A">
            <w:pPr>
              <w:adjustRightInd w:val="0"/>
              <w:snapToGrid w:val="0"/>
              <w:jc w:val="center"/>
              <w:rPr>
                <w:rFonts w:ascii="Times New Roman" w:hAnsi="Times New Roman"/>
                <w:sz w:val="21"/>
                <w:szCs w:val="21"/>
              </w:rPr>
            </w:pPr>
          </w:p>
        </w:tc>
        <w:tc>
          <w:tcPr>
            <w:tcW w:w="992" w:type="dxa"/>
            <w:vMerge/>
            <w:vAlign w:val="center"/>
          </w:tcPr>
          <w:p w14:paraId="112E400F" w14:textId="77777777" w:rsidR="00A54A8A" w:rsidRPr="00E67914" w:rsidRDefault="00A54A8A">
            <w:pPr>
              <w:adjustRightInd w:val="0"/>
              <w:snapToGrid w:val="0"/>
              <w:jc w:val="center"/>
              <w:rPr>
                <w:rFonts w:ascii="Times New Roman" w:hAnsi="Times New Roman"/>
                <w:sz w:val="21"/>
                <w:szCs w:val="21"/>
              </w:rPr>
            </w:pPr>
          </w:p>
        </w:tc>
        <w:tc>
          <w:tcPr>
            <w:tcW w:w="1134" w:type="dxa"/>
            <w:vAlign w:val="center"/>
          </w:tcPr>
          <w:p w14:paraId="365C47FB"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夜间</w:t>
            </w:r>
          </w:p>
        </w:tc>
        <w:tc>
          <w:tcPr>
            <w:tcW w:w="1178" w:type="dxa"/>
            <w:vAlign w:val="center"/>
          </w:tcPr>
          <w:p w14:paraId="0D423B6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55</w:t>
            </w:r>
          </w:p>
        </w:tc>
      </w:tr>
      <w:tr w:rsidR="002662E3" w:rsidRPr="00E67914" w14:paraId="7CA26A8D" w14:textId="77777777">
        <w:trPr>
          <w:jc w:val="center"/>
        </w:trPr>
        <w:tc>
          <w:tcPr>
            <w:tcW w:w="1232" w:type="dxa"/>
            <w:vMerge w:val="restart"/>
            <w:vAlign w:val="center"/>
          </w:tcPr>
          <w:p w14:paraId="21DE6B35"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试采期</w:t>
            </w:r>
          </w:p>
        </w:tc>
        <w:tc>
          <w:tcPr>
            <w:tcW w:w="3686" w:type="dxa"/>
            <w:vMerge w:val="restart"/>
            <w:vAlign w:val="center"/>
          </w:tcPr>
          <w:p w14:paraId="6CC3A3D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《工业企业厂界环境噪声排放标准》（</w:t>
            </w:r>
            <w:r w:rsidRPr="00E67914">
              <w:rPr>
                <w:rFonts w:ascii="Times New Roman" w:hAnsi="Times New Roman"/>
                <w:sz w:val="21"/>
                <w:szCs w:val="21"/>
                <w:lang w:eastAsia="zh-CN"/>
              </w:rPr>
              <w:t>GB12348-2008</w:t>
            </w:r>
            <w:r w:rsidRPr="00E67914">
              <w:rPr>
                <w:rFonts w:ascii="Times New Roman" w:hAnsi="Times New Roman"/>
                <w:bCs/>
                <w:sz w:val="21"/>
                <w:szCs w:val="21"/>
                <w:lang w:eastAsia="zh-CN"/>
              </w:rPr>
              <w:t>）</w:t>
            </w:r>
            <w:r w:rsidRPr="00E67914">
              <w:rPr>
                <w:rFonts w:ascii="Times New Roman" w:hAnsi="Times New Roman"/>
                <w:bCs/>
                <w:sz w:val="21"/>
                <w:szCs w:val="21"/>
                <w:lang w:eastAsia="zh-CN"/>
              </w:rPr>
              <w:t>2</w:t>
            </w:r>
            <w:r w:rsidRPr="00E67914">
              <w:rPr>
                <w:rFonts w:ascii="Times New Roman" w:hAnsi="Times New Roman"/>
                <w:bCs/>
                <w:sz w:val="21"/>
                <w:szCs w:val="21"/>
                <w:lang w:eastAsia="zh-CN"/>
              </w:rPr>
              <w:t>类标准</w:t>
            </w:r>
          </w:p>
        </w:tc>
        <w:tc>
          <w:tcPr>
            <w:tcW w:w="992" w:type="dxa"/>
            <w:vMerge w:val="restart"/>
            <w:vAlign w:val="center"/>
          </w:tcPr>
          <w:p w14:paraId="2872972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场界</w:t>
            </w:r>
          </w:p>
        </w:tc>
        <w:tc>
          <w:tcPr>
            <w:tcW w:w="1134" w:type="dxa"/>
            <w:vAlign w:val="center"/>
          </w:tcPr>
          <w:p w14:paraId="4F1C7CD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昼间</w:t>
            </w:r>
          </w:p>
        </w:tc>
        <w:tc>
          <w:tcPr>
            <w:tcW w:w="1178" w:type="dxa"/>
            <w:vAlign w:val="center"/>
          </w:tcPr>
          <w:p w14:paraId="12EF2D1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60</w:t>
            </w:r>
          </w:p>
        </w:tc>
      </w:tr>
      <w:tr w:rsidR="002662E3" w:rsidRPr="00E67914" w14:paraId="3FA1F0EA" w14:textId="77777777">
        <w:trPr>
          <w:jc w:val="center"/>
        </w:trPr>
        <w:tc>
          <w:tcPr>
            <w:tcW w:w="1232" w:type="dxa"/>
            <w:vMerge/>
            <w:vAlign w:val="center"/>
          </w:tcPr>
          <w:p w14:paraId="7DDEAC30" w14:textId="77777777" w:rsidR="00A54A8A" w:rsidRPr="00E67914" w:rsidRDefault="00A54A8A">
            <w:pPr>
              <w:adjustRightInd w:val="0"/>
              <w:snapToGrid w:val="0"/>
              <w:jc w:val="center"/>
              <w:rPr>
                <w:rFonts w:ascii="Times New Roman" w:hAnsi="Times New Roman"/>
                <w:sz w:val="21"/>
                <w:szCs w:val="21"/>
                <w:lang w:eastAsia="zh-CN"/>
              </w:rPr>
            </w:pPr>
          </w:p>
        </w:tc>
        <w:tc>
          <w:tcPr>
            <w:tcW w:w="3686" w:type="dxa"/>
            <w:vMerge/>
            <w:vAlign w:val="center"/>
          </w:tcPr>
          <w:p w14:paraId="6280AF23" w14:textId="77777777" w:rsidR="00A54A8A" w:rsidRPr="00E67914" w:rsidRDefault="00A54A8A">
            <w:pPr>
              <w:adjustRightInd w:val="0"/>
              <w:snapToGrid w:val="0"/>
              <w:jc w:val="center"/>
              <w:rPr>
                <w:rFonts w:ascii="Times New Roman" w:hAnsi="Times New Roman"/>
                <w:sz w:val="21"/>
                <w:szCs w:val="21"/>
                <w:lang w:eastAsia="zh-CN"/>
              </w:rPr>
            </w:pPr>
          </w:p>
        </w:tc>
        <w:tc>
          <w:tcPr>
            <w:tcW w:w="992" w:type="dxa"/>
            <w:vMerge/>
            <w:vAlign w:val="center"/>
          </w:tcPr>
          <w:p w14:paraId="7DCBBBBC" w14:textId="77777777" w:rsidR="00A54A8A" w:rsidRPr="00E67914" w:rsidRDefault="00A54A8A">
            <w:pPr>
              <w:adjustRightInd w:val="0"/>
              <w:snapToGrid w:val="0"/>
              <w:jc w:val="center"/>
              <w:rPr>
                <w:rFonts w:ascii="Times New Roman" w:hAnsi="Times New Roman"/>
                <w:sz w:val="21"/>
                <w:szCs w:val="21"/>
                <w:lang w:eastAsia="zh-CN"/>
              </w:rPr>
            </w:pPr>
          </w:p>
        </w:tc>
        <w:tc>
          <w:tcPr>
            <w:tcW w:w="1134" w:type="dxa"/>
            <w:vAlign w:val="center"/>
          </w:tcPr>
          <w:p w14:paraId="0BEE1C54"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夜间</w:t>
            </w:r>
          </w:p>
        </w:tc>
        <w:tc>
          <w:tcPr>
            <w:tcW w:w="1178" w:type="dxa"/>
            <w:vAlign w:val="center"/>
          </w:tcPr>
          <w:p w14:paraId="48C16DE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50</w:t>
            </w:r>
          </w:p>
        </w:tc>
      </w:tr>
    </w:tbl>
    <w:p w14:paraId="42A40B1D" w14:textId="77777777" w:rsidR="00A54A8A" w:rsidRPr="00E67914" w:rsidRDefault="000000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）固废</w:t>
      </w:r>
    </w:p>
    <w:bookmarkEnd w:id="30"/>
    <w:p w14:paraId="2A4B23AA"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一般固体废物参照执行《一般工业固体废物贮存和填埋污染控制标准》（</w:t>
      </w:r>
      <w:r w:rsidRPr="00E67914">
        <w:rPr>
          <w:rFonts w:ascii="Times New Roman" w:hAnsi="Times New Roman"/>
          <w:bCs/>
          <w:kern w:val="2"/>
          <w:sz w:val="24"/>
          <w:szCs w:val="24"/>
          <w:lang w:eastAsia="zh-CN"/>
        </w:rPr>
        <w:t>GB18599-2020</w:t>
      </w:r>
      <w:r w:rsidRPr="00E67914">
        <w:rPr>
          <w:rFonts w:ascii="Times New Roman" w:hAnsi="Times New Roman"/>
          <w:bCs/>
          <w:kern w:val="2"/>
          <w:sz w:val="24"/>
          <w:szCs w:val="24"/>
          <w:lang w:eastAsia="zh-CN"/>
        </w:rPr>
        <w:t>）；危险废物执行《危险废物贮存污染控制标准》（</w:t>
      </w:r>
      <w:r w:rsidRPr="00E67914">
        <w:rPr>
          <w:rFonts w:ascii="Times New Roman" w:hAnsi="Times New Roman"/>
          <w:bCs/>
          <w:kern w:val="2"/>
          <w:sz w:val="24"/>
          <w:szCs w:val="24"/>
          <w:lang w:eastAsia="zh-CN"/>
        </w:rPr>
        <w:t>GB18597-2023</w:t>
      </w:r>
      <w:r w:rsidRPr="00E67914">
        <w:rPr>
          <w:rFonts w:ascii="Times New Roman" w:hAnsi="Times New Roman"/>
          <w:bCs/>
          <w:kern w:val="2"/>
          <w:sz w:val="24"/>
          <w:szCs w:val="24"/>
          <w:lang w:eastAsia="zh-CN"/>
        </w:rPr>
        <w:t>）和《危险废物环境管理指南</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陆上石油天然气开采》。</w:t>
      </w:r>
    </w:p>
    <w:p w14:paraId="1FA3F937" w14:textId="77777777" w:rsidR="00A54A8A" w:rsidRPr="00E67914" w:rsidRDefault="00000000">
      <w:pPr>
        <w:pStyle w:val="2"/>
        <w:adjustRightInd/>
        <w:snapToGrid/>
        <w:spacing w:beforeLines="50" w:before="156"/>
        <w:ind w:firstLine="480"/>
        <w:rPr>
          <w:szCs w:val="24"/>
          <w:lang w:eastAsia="zh-CN"/>
        </w:rPr>
      </w:pPr>
      <w:bookmarkStart w:id="34" w:name="_Toc148654214"/>
      <w:r w:rsidRPr="00E67914">
        <w:rPr>
          <w:szCs w:val="24"/>
          <w:lang w:eastAsia="zh-CN"/>
        </w:rPr>
        <w:t>2.6</w:t>
      </w:r>
      <w:r w:rsidRPr="00E67914">
        <w:rPr>
          <w:szCs w:val="24"/>
          <w:lang w:eastAsia="zh-CN"/>
        </w:rPr>
        <w:t>评价工作等级和评价范围</w:t>
      </w:r>
      <w:bookmarkEnd w:id="34"/>
    </w:p>
    <w:p w14:paraId="709C7F41"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2.6.1</w:t>
      </w:r>
      <w:r w:rsidRPr="00E67914">
        <w:rPr>
          <w:rFonts w:ascii="Times New Roman" w:eastAsia="黑体" w:hAnsi="Times New Roman"/>
          <w:b w:val="0"/>
          <w:sz w:val="24"/>
          <w:szCs w:val="24"/>
          <w:lang w:eastAsia="zh-CN"/>
        </w:rPr>
        <w:t>地表水环境</w:t>
      </w:r>
    </w:p>
    <w:p w14:paraId="3ECADD5F"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）评价工作等级</w:t>
      </w:r>
    </w:p>
    <w:p w14:paraId="079B49A0" w14:textId="3469FAD9" w:rsidR="00A54A8A" w:rsidRPr="00E67914" w:rsidRDefault="00000000">
      <w:pPr>
        <w:pStyle w:val="af4"/>
        <w:spacing w:line="360" w:lineRule="auto"/>
        <w:ind w:firstLineChars="200" w:firstLine="480"/>
        <w:rPr>
          <w:rFonts w:ascii="Times New Roman" w:hAnsi="Times New Roman"/>
          <w:bCs/>
          <w:szCs w:val="24"/>
        </w:rPr>
      </w:pPr>
      <w:r w:rsidRPr="00E67914">
        <w:rPr>
          <w:rFonts w:ascii="Times New Roman" w:hAnsi="Times New Roman"/>
          <w:bCs/>
          <w:szCs w:val="24"/>
        </w:rPr>
        <w:t>钻井废水暂存于清洁生产操作平台的废水罐内，</w:t>
      </w:r>
      <w:r w:rsidR="006956BC" w:rsidRPr="00E67914">
        <w:rPr>
          <w:rFonts w:ascii="Times New Roman" w:hAnsi="Times New Roman"/>
          <w:bCs/>
          <w:szCs w:val="24"/>
        </w:rPr>
        <w:t>定期</w:t>
      </w:r>
      <w:r w:rsidRPr="00E67914">
        <w:rPr>
          <w:rFonts w:ascii="Times New Roman" w:hAnsi="Times New Roman"/>
          <w:bCs/>
          <w:szCs w:val="24"/>
        </w:rPr>
        <w:t>装车拉运至普光</w:t>
      </w:r>
      <w:r w:rsidRPr="00E67914">
        <w:rPr>
          <w:rFonts w:ascii="Times New Roman" w:hAnsi="Times New Roman"/>
          <w:bCs/>
          <w:szCs w:val="24"/>
        </w:rPr>
        <w:t>11</w:t>
      </w:r>
      <w:r w:rsidRPr="00E67914">
        <w:rPr>
          <w:rFonts w:ascii="Times New Roman" w:hAnsi="Times New Roman"/>
          <w:bCs/>
          <w:szCs w:val="24"/>
        </w:rPr>
        <w:t>井回注站回注；压裂废水和洗井废水暂存于放喷池，装车拉运至赵家坝污水处理站达标后管输至普光</w:t>
      </w:r>
      <w:r w:rsidRPr="00E67914">
        <w:rPr>
          <w:rFonts w:ascii="Times New Roman" w:hAnsi="Times New Roman"/>
          <w:bCs/>
          <w:szCs w:val="24"/>
        </w:rPr>
        <w:t>11</w:t>
      </w:r>
      <w:r w:rsidRPr="00E67914">
        <w:rPr>
          <w:rFonts w:ascii="Times New Roman" w:hAnsi="Times New Roman"/>
          <w:bCs/>
          <w:szCs w:val="24"/>
        </w:rPr>
        <w:t>井回注站回注；施工期</w:t>
      </w:r>
      <w:r w:rsidRPr="00E67914">
        <w:rPr>
          <w:rFonts w:ascii="Times New Roman" w:hAnsi="Times New Roman"/>
        </w:rPr>
        <w:t>生活污水经生态厕所收集后定期由密闭罐车拉运至周边生活污水处理厂处理</w:t>
      </w:r>
      <w:r w:rsidRPr="00E67914">
        <w:rPr>
          <w:rFonts w:ascii="Times New Roman" w:hAnsi="Times New Roman"/>
          <w:bCs/>
          <w:szCs w:val="24"/>
        </w:rPr>
        <w:t>。项目钻井期间无废水外排。站场</w:t>
      </w:r>
      <w:r w:rsidR="002346F6" w:rsidRPr="00E67914">
        <w:rPr>
          <w:rFonts w:ascii="Times New Roman" w:hAnsi="Times New Roman"/>
          <w:bCs/>
          <w:szCs w:val="24"/>
        </w:rPr>
        <w:t>试采</w:t>
      </w:r>
      <w:r w:rsidRPr="00E67914">
        <w:rPr>
          <w:rFonts w:ascii="Times New Roman" w:hAnsi="Times New Roman"/>
          <w:bCs/>
          <w:szCs w:val="24"/>
        </w:rPr>
        <w:t>期间</w:t>
      </w:r>
      <w:r w:rsidR="002346F6" w:rsidRPr="00E67914">
        <w:rPr>
          <w:rFonts w:ascii="Times New Roman" w:hAnsi="Times New Roman"/>
          <w:bCs/>
          <w:szCs w:val="24"/>
        </w:rPr>
        <w:t>气田水</w:t>
      </w:r>
      <w:r w:rsidRPr="00E67914">
        <w:rPr>
          <w:rFonts w:ascii="Times New Roman" w:hAnsi="Times New Roman"/>
          <w:bCs/>
          <w:szCs w:val="24"/>
        </w:rPr>
        <w:t>进入</w:t>
      </w:r>
      <w:r w:rsidR="00A9536E" w:rsidRPr="00E67914">
        <w:rPr>
          <w:rFonts w:ascii="Times New Roman" w:hAnsi="Times New Roman"/>
        </w:rPr>
        <w:t>放空分液罐、采出水罐</w:t>
      </w:r>
      <w:r w:rsidRPr="00E67914">
        <w:rPr>
          <w:rFonts w:ascii="Times New Roman" w:hAnsi="Times New Roman"/>
          <w:bCs/>
          <w:szCs w:val="24"/>
        </w:rPr>
        <w:t>，由罐车拉运至赵家坝污水处理站达标后管输至普光</w:t>
      </w:r>
      <w:r w:rsidRPr="00E67914">
        <w:rPr>
          <w:rFonts w:ascii="Times New Roman" w:hAnsi="Times New Roman"/>
          <w:bCs/>
          <w:szCs w:val="24"/>
        </w:rPr>
        <w:t>11</w:t>
      </w:r>
      <w:r w:rsidRPr="00E67914">
        <w:rPr>
          <w:rFonts w:ascii="Times New Roman" w:hAnsi="Times New Roman"/>
          <w:bCs/>
          <w:szCs w:val="24"/>
        </w:rPr>
        <w:t>井回注站回注；</w:t>
      </w:r>
      <w:r w:rsidRPr="00E67914">
        <w:rPr>
          <w:rFonts w:ascii="Times New Roman" w:hAnsi="Times New Roman"/>
          <w:bCs/>
        </w:rPr>
        <w:t>试采期</w:t>
      </w:r>
      <w:r w:rsidR="00902A04" w:rsidRPr="00E67914">
        <w:rPr>
          <w:rFonts w:ascii="Times New Roman" w:hAnsi="Times New Roman"/>
        </w:rPr>
        <w:t>普陆页</w:t>
      </w:r>
      <w:r w:rsidR="00902A04" w:rsidRPr="00E67914">
        <w:rPr>
          <w:rFonts w:ascii="Times New Roman" w:hAnsi="Times New Roman"/>
        </w:rPr>
        <w:t>2</w:t>
      </w:r>
      <w:r w:rsidR="00902A04" w:rsidRPr="00E67914">
        <w:rPr>
          <w:rFonts w:ascii="Times New Roman" w:hAnsi="Times New Roman"/>
        </w:rPr>
        <w:t>试采站</w:t>
      </w:r>
      <w:r w:rsidRPr="00E67914">
        <w:rPr>
          <w:rFonts w:ascii="Times New Roman" w:hAnsi="Times New Roman"/>
          <w:bCs/>
        </w:rPr>
        <w:t>无人值守，无生活污水产生</w:t>
      </w:r>
      <w:r w:rsidRPr="00E67914">
        <w:rPr>
          <w:rFonts w:ascii="Times New Roman" w:hAnsi="Times New Roman"/>
          <w:bCs/>
          <w:szCs w:val="24"/>
        </w:rPr>
        <w:t>。</w:t>
      </w:r>
    </w:p>
    <w:p w14:paraId="716F8DA1"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因此，本项目废水均不直接外排，根据《环境影响评价技术导则地表水环境》（</w:t>
      </w:r>
      <w:r w:rsidRPr="00E67914">
        <w:rPr>
          <w:rFonts w:ascii="Times New Roman" w:hAnsi="Times New Roman"/>
          <w:bCs/>
          <w:kern w:val="2"/>
          <w:sz w:val="24"/>
          <w:szCs w:val="24"/>
          <w:lang w:eastAsia="zh-CN"/>
        </w:rPr>
        <w:t>HJ2.3-2018</w:t>
      </w:r>
      <w:r w:rsidRPr="00E67914">
        <w:rPr>
          <w:rFonts w:ascii="Times New Roman" w:hAnsi="Times New Roman"/>
          <w:bCs/>
          <w:kern w:val="2"/>
          <w:sz w:val="24"/>
          <w:szCs w:val="24"/>
          <w:lang w:eastAsia="zh-CN"/>
        </w:rPr>
        <w:t>）判定地表水评价等级为三级</w:t>
      </w:r>
      <w:r w:rsidRPr="00E67914">
        <w:rPr>
          <w:rFonts w:ascii="Times New Roman" w:hAnsi="Times New Roman"/>
          <w:bCs/>
          <w:kern w:val="2"/>
          <w:sz w:val="24"/>
          <w:szCs w:val="24"/>
          <w:lang w:eastAsia="zh-CN"/>
        </w:rPr>
        <w:t>B</w:t>
      </w:r>
      <w:r w:rsidRPr="00E67914">
        <w:rPr>
          <w:rFonts w:ascii="Times New Roman" w:hAnsi="Times New Roman"/>
          <w:bCs/>
          <w:kern w:val="2"/>
          <w:sz w:val="24"/>
          <w:szCs w:val="24"/>
          <w:lang w:eastAsia="zh-CN"/>
        </w:rPr>
        <w:t>。</w:t>
      </w:r>
    </w:p>
    <w:p w14:paraId="5F99441C"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2.6-1   </w:t>
      </w:r>
      <w:r w:rsidRPr="00E67914">
        <w:rPr>
          <w:rFonts w:ascii="Times New Roman" w:eastAsia="黑体" w:hAnsi="Times New Roman"/>
          <w:sz w:val="21"/>
          <w:szCs w:val="21"/>
          <w:lang w:eastAsia="zh-CN"/>
        </w:rPr>
        <w:t>地表水水污染型建设项目评价工作等级分级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42"/>
        <w:gridCol w:w="2356"/>
        <w:gridCol w:w="3124"/>
      </w:tblGrid>
      <w:tr w:rsidR="002662E3" w:rsidRPr="00E67914" w14:paraId="738D738C" w14:textId="77777777">
        <w:trPr>
          <w:jc w:val="center"/>
        </w:trPr>
        <w:tc>
          <w:tcPr>
            <w:tcW w:w="2742" w:type="dxa"/>
            <w:vMerge w:val="restart"/>
            <w:tcBorders>
              <w:top w:val="single" w:sz="4" w:space="0" w:color="auto"/>
              <w:left w:val="single" w:sz="4" w:space="0" w:color="auto"/>
              <w:right w:val="single" w:sz="4" w:space="0" w:color="auto"/>
            </w:tcBorders>
            <w:vAlign w:val="center"/>
          </w:tcPr>
          <w:p w14:paraId="15D6D24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评价等级</w:t>
            </w:r>
          </w:p>
        </w:tc>
        <w:tc>
          <w:tcPr>
            <w:tcW w:w="5480" w:type="dxa"/>
            <w:gridSpan w:val="2"/>
            <w:tcBorders>
              <w:top w:val="single" w:sz="4" w:space="0" w:color="auto"/>
              <w:left w:val="single" w:sz="4" w:space="0" w:color="auto"/>
              <w:bottom w:val="single" w:sz="4" w:space="0" w:color="auto"/>
              <w:right w:val="single" w:sz="4" w:space="0" w:color="auto"/>
            </w:tcBorders>
            <w:vAlign w:val="center"/>
          </w:tcPr>
          <w:p w14:paraId="6D4E6534"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判定依据</w:t>
            </w:r>
          </w:p>
        </w:tc>
      </w:tr>
      <w:tr w:rsidR="002662E3" w:rsidRPr="00E67914" w14:paraId="30B71852" w14:textId="77777777">
        <w:trPr>
          <w:jc w:val="center"/>
        </w:trPr>
        <w:tc>
          <w:tcPr>
            <w:tcW w:w="2742" w:type="dxa"/>
            <w:vMerge/>
            <w:tcBorders>
              <w:left w:val="single" w:sz="4" w:space="0" w:color="auto"/>
              <w:bottom w:val="single" w:sz="4" w:space="0" w:color="auto"/>
              <w:right w:val="single" w:sz="4" w:space="0" w:color="auto"/>
            </w:tcBorders>
            <w:vAlign w:val="center"/>
          </w:tcPr>
          <w:p w14:paraId="1496C536" w14:textId="77777777" w:rsidR="00A54A8A" w:rsidRPr="00E67914" w:rsidRDefault="00A54A8A">
            <w:pPr>
              <w:pStyle w:val="a8"/>
              <w:snapToGrid w:val="0"/>
              <w:spacing w:line="240" w:lineRule="auto"/>
              <w:rPr>
                <w:rFonts w:ascii="Times New Roman" w:hAnsi="Times New Roman"/>
                <w:szCs w:val="21"/>
              </w:rPr>
            </w:pPr>
          </w:p>
        </w:tc>
        <w:tc>
          <w:tcPr>
            <w:tcW w:w="2356" w:type="dxa"/>
            <w:tcBorders>
              <w:top w:val="single" w:sz="4" w:space="0" w:color="auto"/>
              <w:left w:val="single" w:sz="4" w:space="0" w:color="auto"/>
              <w:bottom w:val="single" w:sz="4" w:space="0" w:color="auto"/>
              <w:right w:val="single" w:sz="4" w:space="0" w:color="auto"/>
            </w:tcBorders>
            <w:vAlign w:val="center"/>
          </w:tcPr>
          <w:p w14:paraId="77186C20"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排放方式</w:t>
            </w:r>
          </w:p>
        </w:tc>
        <w:tc>
          <w:tcPr>
            <w:tcW w:w="3124" w:type="dxa"/>
            <w:tcBorders>
              <w:top w:val="single" w:sz="4" w:space="0" w:color="auto"/>
              <w:left w:val="single" w:sz="4" w:space="0" w:color="auto"/>
              <w:bottom w:val="single" w:sz="4" w:space="0" w:color="auto"/>
              <w:right w:val="single" w:sz="4" w:space="0" w:color="auto"/>
            </w:tcBorders>
            <w:vAlign w:val="center"/>
          </w:tcPr>
          <w:p w14:paraId="7EF8FAB6" w14:textId="77777777" w:rsidR="00A54A8A" w:rsidRPr="00E67914" w:rsidRDefault="00000000">
            <w:pPr>
              <w:pStyle w:val="a8"/>
              <w:snapToGrid w:val="0"/>
              <w:spacing w:line="240" w:lineRule="auto"/>
              <w:rPr>
                <w:rFonts w:ascii="Times New Roman" w:hAnsi="Times New Roman"/>
                <w:szCs w:val="21"/>
                <w:shd w:val="pct10" w:color="auto" w:fill="FFFFFF"/>
              </w:rPr>
            </w:pPr>
            <w:r w:rsidRPr="00E67914">
              <w:rPr>
                <w:rFonts w:ascii="Times New Roman" w:hAnsi="Times New Roman"/>
                <w:szCs w:val="21"/>
              </w:rPr>
              <w:t>废水排放量</w:t>
            </w:r>
            <w:r w:rsidRPr="00E67914">
              <w:rPr>
                <w:rFonts w:ascii="Times New Roman" w:hAnsi="Times New Roman"/>
                <w:szCs w:val="21"/>
              </w:rPr>
              <w:t>Q/</w:t>
            </w:r>
            <w:r w:rsidRPr="00E67914">
              <w:rPr>
                <w:rFonts w:ascii="Times New Roman" w:hAnsi="Times New Roman"/>
                <w:szCs w:val="21"/>
              </w:rPr>
              <w:t>（</w:t>
            </w:r>
            <w:r w:rsidRPr="00E67914">
              <w:rPr>
                <w:rFonts w:ascii="Times New Roman" w:hAnsi="Times New Roman"/>
                <w:szCs w:val="21"/>
              </w:rPr>
              <w:t>m</w:t>
            </w:r>
            <w:r w:rsidRPr="00E67914">
              <w:rPr>
                <w:rFonts w:ascii="Times New Roman" w:hAnsi="Times New Roman"/>
                <w:szCs w:val="21"/>
                <w:vertAlign w:val="superscript"/>
              </w:rPr>
              <w:t>3</w:t>
            </w:r>
            <w:r w:rsidRPr="00E67914">
              <w:rPr>
                <w:rFonts w:ascii="Times New Roman" w:hAnsi="Times New Roman"/>
                <w:szCs w:val="21"/>
              </w:rPr>
              <w:t>/d</w:t>
            </w:r>
            <w:r w:rsidRPr="00E67914">
              <w:rPr>
                <w:rFonts w:ascii="Times New Roman" w:hAnsi="Times New Roman"/>
                <w:szCs w:val="21"/>
              </w:rPr>
              <w:t>）；水污染物当量</w:t>
            </w:r>
            <w:r w:rsidRPr="00E67914">
              <w:rPr>
                <w:rFonts w:ascii="Times New Roman" w:hAnsi="Times New Roman"/>
                <w:szCs w:val="21"/>
              </w:rPr>
              <w:t>W/</w:t>
            </w:r>
            <w:r w:rsidRPr="00E67914">
              <w:rPr>
                <w:rFonts w:ascii="Times New Roman" w:hAnsi="Times New Roman"/>
                <w:szCs w:val="21"/>
              </w:rPr>
              <w:t>（无量纲）</w:t>
            </w:r>
          </w:p>
        </w:tc>
      </w:tr>
      <w:tr w:rsidR="002662E3" w:rsidRPr="00E67914" w14:paraId="772A3796"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7B2CD388"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一级</w:t>
            </w:r>
          </w:p>
        </w:tc>
        <w:tc>
          <w:tcPr>
            <w:tcW w:w="2356" w:type="dxa"/>
            <w:tcBorders>
              <w:top w:val="single" w:sz="4" w:space="0" w:color="auto"/>
              <w:left w:val="single" w:sz="4" w:space="0" w:color="auto"/>
              <w:bottom w:val="single" w:sz="4" w:space="0" w:color="auto"/>
              <w:right w:val="single" w:sz="4" w:space="0" w:color="auto"/>
            </w:tcBorders>
            <w:vAlign w:val="center"/>
          </w:tcPr>
          <w:p w14:paraId="01BC0F22"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269D2F3E"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Q≥20000</w:t>
            </w:r>
            <w:r w:rsidRPr="00E67914">
              <w:rPr>
                <w:rFonts w:ascii="Times New Roman" w:hAnsi="Times New Roman"/>
                <w:szCs w:val="21"/>
              </w:rPr>
              <w:t>或</w:t>
            </w:r>
            <w:r w:rsidRPr="00E67914">
              <w:rPr>
                <w:rFonts w:ascii="Times New Roman" w:hAnsi="Times New Roman"/>
                <w:szCs w:val="21"/>
              </w:rPr>
              <w:t>W≥600000</w:t>
            </w:r>
          </w:p>
        </w:tc>
      </w:tr>
      <w:tr w:rsidR="002662E3" w:rsidRPr="00E67914" w14:paraId="4098A121"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29A37313"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二级</w:t>
            </w:r>
          </w:p>
        </w:tc>
        <w:tc>
          <w:tcPr>
            <w:tcW w:w="2356" w:type="dxa"/>
            <w:tcBorders>
              <w:top w:val="single" w:sz="4" w:space="0" w:color="auto"/>
              <w:left w:val="single" w:sz="4" w:space="0" w:color="auto"/>
              <w:bottom w:val="single" w:sz="4" w:space="0" w:color="auto"/>
              <w:right w:val="single" w:sz="4" w:space="0" w:color="auto"/>
            </w:tcBorders>
            <w:vAlign w:val="center"/>
          </w:tcPr>
          <w:p w14:paraId="7E8263D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6B3DE575"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其他</w:t>
            </w:r>
          </w:p>
        </w:tc>
      </w:tr>
      <w:tr w:rsidR="002662E3" w:rsidRPr="00E67914" w14:paraId="5E141DA3"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3A6A50E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三级</w:t>
            </w:r>
            <w:r w:rsidRPr="00E67914">
              <w:rPr>
                <w:rFonts w:ascii="Times New Roman" w:hAnsi="Times New Roman"/>
                <w:szCs w:val="21"/>
              </w:rPr>
              <w:t>A</w:t>
            </w:r>
          </w:p>
        </w:tc>
        <w:tc>
          <w:tcPr>
            <w:tcW w:w="2356" w:type="dxa"/>
            <w:tcBorders>
              <w:top w:val="single" w:sz="4" w:space="0" w:color="auto"/>
              <w:left w:val="single" w:sz="4" w:space="0" w:color="auto"/>
              <w:bottom w:val="single" w:sz="4" w:space="0" w:color="auto"/>
              <w:right w:val="single" w:sz="4" w:space="0" w:color="auto"/>
            </w:tcBorders>
            <w:vAlign w:val="center"/>
          </w:tcPr>
          <w:p w14:paraId="1BAF30B9"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直接排放</w:t>
            </w:r>
          </w:p>
        </w:tc>
        <w:tc>
          <w:tcPr>
            <w:tcW w:w="3124" w:type="dxa"/>
            <w:tcBorders>
              <w:top w:val="single" w:sz="4" w:space="0" w:color="auto"/>
              <w:left w:val="single" w:sz="4" w:space="0" w:color="auto"/>
              <w:bottom w:val="single" w:sz="4" w:space="0" w:color="auto"/>
              <w:right w:val="single" w:sz="4" w:space="0" w:color="auto"/>
            </w:tcBorders>
            <w:vAlign w:val="center"/>
          </w:tcPr>
          <w:p w14:paraId="2AECEB85"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Q</w:t>
            </w:r>
            <w:r w:rsidRPr="00E67914">
              <w:rPr>
                <w:rFonts w:ascii="Times New Roman" w:hAnsi="Times New Roman"/>
                <w:szCs w:val="21"/>
              </w:rPr>
              <w:t>＜</w:t>
            </w:r>
            <w:r w:rsidRPr="00E67914">
              <w:rPr>
                <w:rFonts w:ascii="Times New Roman" w:hAnsi="Times New Roman"/>
                <w:szCs w:val="21"/>
              </w:rPr>
              <w:t>200</w:t>
            </w:r>
            <w:r w:rsidRPr="00E67914">
              <w:rPr>
                <w:rFonts w:ascii="Times New Roman" w:hAnsi="Times New Roman"/>
                <w:szCs w:val="21"/>
              </w:rPr>
              <w:t>或</w:t>
            </w:r>
            <w:r w:rsidRPr="00E67914">
              <w:rPr>
                <w:rFonts w:ascii="Times New Roman" w:hAnsi="Times New Roman"/>
                <w:szCs w:val="21"/>
              </w:rPr>
              <w:t>W</w:t>
            </w:r>
            <w:r w:rsidRPr="00E67914">
              <w:rPr>
                <w:rFonts w:ascii="Times New Roman" w:hAnsi="Times New Roman"/>
                <w:szCs w:val="21"/>
              </w:rPr>
              <w:t>＜</w:t>
            </w:r>
            <w:r w:rsidRPr="00E67914">
              <w:rPr>
                <w:rFonts w:ascii="Times New Roman" w:hAnsi="Times New Roman"/>
                <w:szCs w:val="21"/>
              </w:rPr>
              <w:t>6000</w:t>
            </w:r>
          </w:p>
        </w:tc>
      </w:tr>
      <w:tr w:rsidR="002662E3" w:rsidRPr="00E67914" w14:paraId="79BE867D" w14:textId="77777777">
        <w:trPr>
          <w:jc w:val="center"/>
        </w:trPr>
        <w:tc>
          <w:tcPr>
            <w:tcW w:w="2742" w:type="dxa"/>
            <w:tcBorders>
              <w:top w:val="single" w:sz="4" w:space="0" w:color="auto"/>
              <w:left w:val="single" w:sz="4" w:space="0" w:color="auto"/>
              <w:bottom w:val="single" w:sz="4" w:space="0" w:color="auto"/>
              <w:right w:val="single" w:sz="4" w:space="0" w:color="auto"/>
            </w:tcBorders>
            <w:vAlign w:val="center"/>
          </w:tcPr>
          <w:p w14:paraId="44C1EBA1"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三级</w:t>
            </w:r>
            <w:r w:rsidRPr="00E67914">
              <w:rPr>
                <w:rFonts w:ascii="Times New Roman" w:hAnsi="Times New Roman"/>
                <w:szCs w:val="21"/>
              </w:rPr>
              <w:t>B</w:t>
            </w:r>
          </w:p>
        </w:tc>
        <w:tc>
          <w:tcPr>
            <w:tcW w:w="2356" w:type="dxa"/>
            <w:tcBorders>
              <w:top w:val="single" w:sz="4" w:space="0" w:color="auto"/>
              <w:left w:val="single" w:sz="4" w:space="0" w:color="auto"/>
              <w:bottom w:val="single" w:sz="4" w:space="0" w:color="auto"/>
              <w:right w:val="single" w:sz="4" w:space="0" w:color="auto"/>
            </w:tcBorders>
            <w:vAlign w:val="center"/>
          </w:tcPr>
          <w:p w14:paraId="5E794B2A"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间接排放</w:t>
            </w:r>
          </w:p>
        </w:tc>
        <w:tc>
          <w:tcPr>
            <w:tcW w:w="3124" w:type="dxa"/>
            <w:tcBorders>
              <w:top w:val="single" w:sz="4" w:space="0" w:color="auto"/>
              <w:left w:val="single" w:sz="4" w:space="0" w:color="auto"/>
              <w:bottom w:val="single" w:sz="4" w:space="0" w:color="auto"/>
              <w:right w:val="single" w:sz="4" w:space="0" w:color="auto"/>
            </w:tcBorders>
            <w:vAlign w:val="center"/>
          </w:tcPr>
          <w:p w14:paraId="6E4575A1"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w:t>
            </w:r>
          </w:p>
        </w:tc>
      </w:tr>
    </w:tbl>
    <w:p w14:paraId="1D3A63EC" w14:textId="77777777" w:rsidR="00A54A8A" w:rsidRPr="00E67914" w:rsidRDefault="00000000">
      <w:pPr>
        <w:widowControl w:val="0"/>
        <w:tabs>
          <w:tab w:val="left" w:pos="0"/>
        </w:tabs>
        <w:spacing w:beforeLines="50" w:before="156"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）评价范围</w:t>
      </w:r>
    </w:p>
    <w:p w14:paraId="6418079C"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地表水环境》（</w:t>
      </w:r>
      <w:r w:rsidRPr="00E67914">
        <w:rPr>
          <w:rFonts w:ascii="Times New Roman" w:hAnsi="Times New Roman"/>
          <w:bCs/>
          <w:kern w:val="2"/>
          <w:sz w:val="24"/>
          <w:szCs w:val="24"/>
          <w:lang w:eastAsia="zh-CN"/>
        </w:rPr>
        <w:t>HJ2.3-2018</w:t>
      </w:r>
      <w:r w:rsidRPr="00E67914">
        <w:rPr>
          <w:rFonts w:ascii="Times New Roman" w:hAnsi="Times New Roman"/>
          <w:bCs/>
          <w:kern w:val="2"/>
          <w:sz w:val="24"/>
          <w:szCs w:val="24"/>
          <w:lang w:eastAsia="zh-CN"/>
        </w:rPr>
        <w:t>）中第</w:t>
      </w:r>
      <w:r w:rsidRPr="00E67914">
        <w:rPr>
          <w:rFonts w:ascii="Times New Roman" w:hAnsi="Times New Roman"/>
          <w:bCs/>
          <w:kern w:val="2"/>
          <w:sz w:val="24"/>
          <w:szCs w:val="24"/>
          <w:lang w:eastAsia="zh-CN"/>
        </w:rPr>
        <w:t>5.3.2.2</w:t>
      </w:r>
      <w:r w:rsidRPr="00E67914">
        <w:rPr>
          <w:rFonts w:ascii="Times New Roman" w:hAnsi="Times New Roman"/>
          <w:bCs/>
          <w:kern w:val="2"/>
          <w:sz w:val="24"/>
          <w:szCs w:val="24"/>
          <w:lang w:eastAsia="zh-CN"/>
        </w:rPr>
        <w:t>条规定，并结合项目实际情况，本次环评地表水环境影响评价不作预测评价，仅对污、废水的产生情况和气田水依托可行性等进行说明，并进行简单的环境影</w:t>
      </w:r>
      <w:r w:rsidRPr="00E67914">
        <w:rPr>
          <w:rFonts w:ascii="Times New Roman" w:hAnsi="Times New Roman"/>
          <w:bCs/>
          <w:kern w:val="2"/>
          <w:sz w:val="24"/>
          <w:szCs w:val="24"/>
          <w:lang w:eastAsia="zh-CN"/>
        </w:rPr>
        <w:lastRenderedPageBreak/>
        <w:t>响分析。</w:t>
      </w:r>
    </w:p>
    <w:p w14:paraId="08E8D254"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因此，本项目不设地表水评价范围。</w:t>
      </w:r>
    </w:p>
    <w:p w14:paraId="66D98E25"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2.6.2</w:t>
      </w:r>
      <w:r w:rsidRPr="00E67914">
        <w:rPr>
          <w:rFonts w:ascii="Times New Roman" w:eastAsia="黑体" w:hAnsi="Times New Roman"/>
          <w:b w:val="0"/>
          <w:sz w:val="24"/>
          <w:szCs w:val="24"/>
          <w:lang w:eastAsia="zh-CN"/>
        </w:rPr>
        <w:t>地下水环境</w:t>
      </w:r>
    </w:p>
    <w:p w14:paraId="432F1308"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）评价工作等级</w:t>
      </w:r>
    </w:p>
    <w:p w14:paraId="7FFA01D4"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根据《环境影响评价导则</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地下水环境》（</w:t>
      </w:r>
      <w:r w:rsidRPr="00E67914">
        <w:rPr>
          <w:rFonts w:ascii="Times New Roman" w:hAnsi="Times New Roman"/>
          <w:bCs/>
          <w:kern w:val="2"/>
          <w:sz w:val="24"/>
          <w:szCs w:val="24"/>
          <w:lang w:eastAsia="zh-CN"/>
        </w:rPr>
        <w:t>HJ610-2016</w:t>
      </w:r>
      <w:r w:rsidRPr="00E67914">
        <w:rPr>
          <w:rFonts w:ascii="Times New Roman" w:hAnsi="Times New Roman"/>
          <w:bCs/>
          <w:kern w:val="2"/>
          <w:sz w:val="24"/>
          <w:szCs w:val="24"/>
          <w:lang w:eastAsia="zh-CN"/>
        </w:rPr>
        <w:t>），评价工作等级的划分应依据建设项目行业分类和地下水环境敏感程度分级进行判定，具体如下：</w:t>
      </w:r>
    </w:p>
    <w:p w14:paraId="35251FBF"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）建设项目行业分类</w:t>
      </w:r>
    </w:p>
    <w:p w14:paraId="6C3FB46E"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本项目属天然气试采项目，根据《环境影响评价导则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地下水环境》（</w:t>
      </w:r>
      <w:r w:rsidRPr="00E67914">
        <w:rPr>
          <w:rFonts w:ascii="Times New Roman" w:hAnsi="Times New Roman"/>
          <w:bCs/>
          <w:kern w:val="2"/>
          <w:sz w:val="24"/>
          <w:szCs w:val="24"/>
          <w:lang w:eastAsia="zh-CN"/>
        </w:rPr>
        <w:t>HJ 610-2016</w:t>
      </w:r>
      <w:r w:rsidRPr="00E67914">
        <w:rPr>
          <w:rFonts w:ascii="Times New Roman" w:hAnsi="Times New Roman"/>
          <w:bCs/>
          <w:kern w:val="2"/>
          <w:sz w:val="24"/>
          <w:szCs w:val="24"/>
          <w:lang w:eastAsia="zh-CN"/>
        </w:rPr>
        <w:t>）附录</w:t>
      </w:r>
      <w:r w:rsidRPr="00E67914">
        <w:rPr>
          <w:rFonts w:ascii="Times New Roman" w:hAnsi="Times New Roman"/>
          <w:bCs/>
          <w:kern w:val="2"/>
          <w:sz w:val="24"/>
          <w:szCs w:val="24"/>
          <w:lang w:eastAsia="zh-CN"/>
        </w:rPr>
        <w:t>A</w:t>
      </w:r>
      <w:r w:rsidRPr="00E67914">
        <w:rPr>
          <w:rFonts w:ascii="Times New Roman" w:hAnsi="Times New Roman"/>
          <w:bCs/>
          <w:kern w:val="2"/>
          <w:sz w:val="24"/>
          <w:szCs w:val="24"/>
          <w:lang w:eastAsia="zh-CN"/>
        </w:rPr>
        <w:t>地下水环境影响评价行业分类表，本项目属其中</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天然气、页岩气开采（含净化）</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，属于</w:t>
      </w:r>
      <w:r w:rsidRPr="00E67914">
        <w:rPr>
          <w:rFonts w:ascii="Times New Roman" w:hAnsi="Times New Roman"/>
          <w:bCs/>
          <w:kern w:val="2"/>
          <w:sz w:val="24"/>
          <w:szCs w:val="24"/>
          <w:lang w:eastAsia="zh-CN"/>
        </w:rPr>
        <w:t>II</w:t>
      </w:r>
      <w:r w:rsidRPr="00E67914">
        <w:rPr>
          <w:rFonts w:ascii="Times New Roman" w:hAnsi="Times New Roman"/>
          <w:bCs/>
          <w:kern w:val="2"/>
          <w:sz w:val="24"/>
          <w:szCs w:val="24"/>
          <w:lang w:eastAsia="zh-CN"/>
        </w:rPr>
        <w:t>类建设项目。</w:t>
      </w:r>
    </w:p>
    <w:p w14:paraId="62F9DC31"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）建设项目地下水环境敏感程度</w:t>
      </w:r>
    </w:p>
    <w:p w14:paraId="268123F0" w14:textId="77777777" w:rsidR="00A54A8A" w:rsidRPr="00E67914" w:rsidRDefault="00000000">
      <w:pPr>
        <w:widowControl w:val="0"/>
        <w:tabs>
          <w:tab w:val="left" w:pos="0"/>
        </w:tabs>
        <w:spacing w:line="360" w:lineRule="auto"/>
        <w:ind w:firstLineChars="200" w:firstLine="480"/>
        <w:jc w:val="both"/>
        <w:rPr>
          <w:rFonts w:ascii="Times New Roman" w:hAnsi="Times New Roman"/>
          <w:szCs w:val="24"/>
          <w:lang w:eastAsia="zh-CN"/>
        </w:rPr>
      </w:pPr>
      <w:r w:rsidRPr="00E67914">
        <w:rPr>
          <w:rFonts w:ascii="Times New Roman" w:hAnsi="Times New Roman"/>
          <w:bCs/>
          <w:kern w:val="2"/>
          <w:sz w:val="24"/>
          <w:szCs w:val="24"/>
          <w:lang w:eastAsia="zh-CN"/>
        </w:rPr>
        <w:t>建设项目地下水环境敏感程度可分为敏感、较敏感、不敏感三级，分级原则见表</w:t>
      </w:r>
      <w:r w:rsidRPr="00E67914">
        <w:rPr>
          <w:rFonts w:ascii="Times New Roman" w:hAnsi="Times New Roman"/>
          <w:bCs/>
          <w:kern w:val="2"/>
          <w:sz w:val="24"/>
          <w:szCs w:val="24"/>
          <w:lang w:eastAsia="zh-CN"/>
        </w:rPr>
        <w:t>2.6-2</w:t>
      </w:r>
      <w:r w:rsidRPr="00E67914">
        <w:rPr>
          <w:rFonts w:ascii="Times New Roman" w:hAnsi="Times New Roman"/>
          <w:bCs/>
          <w:kern w:val="2"/>
          <w:sz w:val="24"/>
          <w:szCs w:val="24"/>
          <w:lang w:eastAsia="zh-CN"/>
        </w:rPr>
        <w:t>。</w:t>
      </w:r>
    </w:p>
    <w:p w14:paraId="434C6363"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2.6-2  </w:t>
      </w:r>
      <w:r w:rsidRPr="00E67914">
        <w:rPr>
          <w:rFonts w:ascii="Times New Roman" w:eastAsia="黑体" w:hAnsi="Times New Roman"/>
          <w:sz w:val="21"/>
          <w:szCs w:val="21"/>
          <w:lang w:eastAsia="zh-CN"/>
        </w:rPr>
        <w:t>地下水环境敏感程度分级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1"/>
        <w:gridCol w:w="4231"/>
        <w:gridCol w:w="2840"/>
      </w:tblGrid>
      <w:tr w:rsidR="002662E3" w:rsidRPr="00E67914" w14:paraId="5FAEC9F9" w14:textId="77777777">
        <w:trPr>
          <w:cantSplit/>
          <w:jc w:val="center"/>
        </w:trPr>
        <w:tc>
          <w:tcPr>
            <w:tcW w:w="1151" w:type="dxa"/>
            <w:vAlign w:val="center"/>
          </w:tcPr>
          <w:p w14:paraId="648DA574"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分级</w:t>
            </w:r>
          </w:p>
        </w:tc>
        <w:tc>
          <w:tcPr>
            <w:tcW w:w="4231" w:type="dxa"/>
            <w:vAlign w:val="center"/>
          </w:tcPr>
          <w:p w14:paraId="291140D6"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项目场地的地下水环境敏感特征</w:t>
            </w:r>
          </w:p>
        </w:tc>
        <w:tc>
          <w:tcPr>
            <w:tcW w:w="2840" w:type="dxa"/>
            <w:vAlign w:val="center"/>
          </w:tcPr>
          <w:p w14:paraId="15F12896"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本工程</w:t>
            </w:r>
          </w:p>
        </w:tc>
      </w:tr>
      <w:tr w:rsidR="002662E3" w:rsidRPr="00E67914" w14:paraId="6DEE45B0" w14:textId="77777777">
        <w:trPr>
          <w:cantSplit/>
          <w:jc w:val="center"/>
        </w:trPr>
        <w:tc>
          <w:tcPr>
            <w:tcW w:w="1151" w:type="dxa"/>
            <w:vAlign w:val="center"/>
          </w:tcPr>
          <w:p w14:paraId="4F873A3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敏感</w:t>
            </w:r>
          </w:p>
        </w:tc>
        <w:tc>
          <w:tcPr>
            <w:tcW w:w="4231" w:type="dxa"/>
            <w:vAlign w:val="center"/>
          </w:tcPr>
          <w:p w14:paraId="11D1F567"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14:paraId="3EC02F95" w14:textId="039D0B89"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根据调查，本项目未位于集中式饮用水源保护区和补给径流区内，也不涉及地下水环境相关的其它保护区和分布区；根据现场问询</w:t>
            </w:r>
            <w:r w:rsidR="0036532E" w:rsidRPr="00E67914">
              <w:rPr>
                <w:rFonts w:ascii="Times New Roman" w:hAnsi="Times New Roman"/>
                <w:sz w:val="21"/>
                <w:szCs w:val="21"/>
                <w:lang w:eastAsia="zh-CN"/>
              </w:rPr>
              <w:t>与调查</w:t>
            </w:r>
            <w:r w:rsidRPr="00E67914">
              <w:rPr>
                <w:rFonts w:ascii="Times New Roman" w:hAnsi="Times New Roman"/>
                <w:sz w:val="21"/>
                <w:szCs w:val="21"/>
                <w:lang w:eastAsia="zh-CN"/>
              </w:rPr>
              <w:t>，评价范围内农户饮水均为山泉水，</w:t>
            </w:r>
            <w:r w:rsidR="0036532E" w:rsidRPr="00E67914">
              <w:rPr>
                <w:rFonts w:ascii="Times New Roman" w:hAnsi="Times New Roman"/>
                <w:sz w:val="21"/>
                <w:szCs w:val="21"/>
                <w:lang w:eastAsia="zh-CN"/>
              </w:rPr>
              <w:t>经山上水池收集后分散供周边居民使用，平均约</w:t>
            </w:r>
            <w:r w:rsidR="00A77F82" w:rsidRPr="00E67914">
              <w:rPr>
                <w:rFonts w:ascii="Times New Roman" w:hAnsi="Times New Roman"/>
                <w:sz w:val="21"/>
                <w:szCs w:val="21"/>
                <w:lang w:eastAsia="zh-CN"/>
              </w:rPr>
              <w:t>1</w:t>
            </w:r>
            <w:r w:rsidR="0036532E" w:rsidRPr="00E67914">
              <w:rPr>
                <w:rFonts w:ascii="Times New Roman" w:hAnsi="Times New Roman"/>
                <w:sz w:val="21"/>
                <w:szCs w:val="21"/>
                <w:lang w:eastAsia="zh-CN"/>
              </w:rPr>
              <w:t>~15</w:t>
            </w:r>
            <w:r w:rsidR="0036532E" w:rsidRPr="00E67914">
              <w:rPr>
                <w:rFonts w:ascii="Times New Roman" w:hAnsi="Times New Roman"/>
                <w:sz w:val="21"/>
                <w:szCs w:val="21"/>
                <w:lang w:eastAsia="zh-CN"/>
              </w:rPr>
              <w:t>户使用</w:t>
            </w:r>
            <w:r w:rsidR="0036532E" w:rsidRPr="00E67914">
              <w:rPr>
                <w:rFonts w:ascii="Times New Roman" w:hAnsi="Times New Roman"/>
                <w:sz w:val="21"/>
                <w:szCs w:val="21"/>
                <w:lang w:eastAsia="zh-CN"/>
              </w:rPr>
              <w:t>1</w:t>
            </w:r>
            <w:r w:rsidR="0036532E" w:rsidRPr="00E67914">
              <w:rPr>
                <w:rFonts w:ascii="Times New Roman" w:hAnsi="Times New Roman"/>
                <w:sz w:val="21"/>
                <w:szCs w:val="21"/>
                <w:lang w:eastAsia="zh-CN"/>
              </w:rPr>
              <w:t>处泉水</w:t>
            </w:r>
            <w:r w:rsidRPr="00E67914">
              <w:rPr>
                <w:rFonts w:ascii="Times New Roman" w:hAnsi="Times New Roman"/>
                <w:sz w:val="21"/>
                <w:szCs w:val="21"/>
                <w:lang w:eastAsia="zh-CN"/>
              </w:rPr>
              <w:t>。因此，评价区地下水环境敏感程度为</w:t>
            </w:r>
            <w:r w:rsidRPr="00E67914">
              <w:rPr>
                <w:rFonts w:ascii="Times New Roman" w:hAnsi="Times New Roman"/>
                <w:b/>
                <w:bCs/>
                <w:sz w:val="21"/>
                <w:szCs w:val="21"/>
                <w:lang w:eastAsia="zh-CN"/>
              </w:rPr>
              <w:t>“</w:t>
            </w:r>
            <w:r w:rsidRPr="00E67914">
              <w:rPr>
                <w:rFonts w:ascii="Times New Roman" w:hAnsi="Times New Roman"/>
                <w:b/>
                <w:bCs/>
                <w:sz w:val="21"/>
                <w:szCs w:val="21"/>
                <w:lang w:eastAsia="zh-CN"/>
              </w:rPr>
              <w:t>较敏感</w:t>
            </w:r>
            <w:r w:rsidRPr="00E67914">
              <w:rPr>
                <w:rFonts w:ascii="Times New Roman" w:hAnsi="Times New Roman"/>
                <w:b/>
                <w:bCs/>
                <w:sz w:val="21"/>
                <w:szCs w:val="21"/>
                <w:lang w:eastAsia="zh-CN"/>
              </w:rPr>
              <w:t>”</w:t>
            </w:r>
          </w:p>
        </w:tc>
      </w:tr>
      <w:tr w:rsidR="002662E3" w:rsidRPr="00E67914" w14:paraId="26D68B4F" w14:textId="77777777">
        <w:trPr>
          <w:cantSplit/>
          <w:jc w:val="center"/>
        </w:trPr>
        <w:tc>
          <w:tcPr>
            <w:tcW w:w="1151" w:type="dxa"/>
            <w:vAlign w:val="center"/>
          </w:tcPr>
          <w:p w14:paraId="68F4539E"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b/>
                <w:bCs/>
                <w:szCs w:val="21"/>
              </w:rPr>
              <w:t>较敏感（</w:t>
            </w:r>
            <w:r w:rsidRPr="00E67914">
              <w:rPr>
                <w:rFonts w:ascii="Times New Roman" w:hAnsi="Times New Roman"/>
                <w:b/>
                <w:bCs/>
                <w:szCs w:val="21"/>
              </w:rPr>
              <w:t>√</w:t>
            </w:r>
            <w:r w:rsidRPr="00E67914">
              <w:rPr>
                <w:rFonts w:ascii="Times New Roman" w:hAnsi="Times New Roman"/>
                <w:b/>
                <w:bCs/>
                <w:szCs w:val="21"/>
              </w:rPr>
              <w:t>）</w:t>
            </w:r>
          </w:p>
        </w:tc>
        <w:tc>
          <w:tcPr>
            <w:tcW w:w="4231" w:type="dxa"/>
            <w:vAlign w:val="center"/>
          </w:tcPr>
          <w:p w14:paraId="0038B6C9"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集中式饮用水源地（包括已建成的在用、备用、应急水源地，在建和规划的水源地）准保护区以外的补给径流区；</w:t>
            </w:r>
            <w:r w:rsidRPr="00E67914">
              <w:rPr>
                <w:rFonts w:ascii="Times New Roman" w:hAnsi="Times New Roman"/>
                <w:bCs/>
                <w:szCs w:val="21"/>
              </w:rPr>
              <w:t>未划定准保护区的集中式饮用水源地，</w:t>
            </w:r>
            <w:r w:rsidRPr="00E67914">
              <w:rPr>
                <w:rFonts w:ascii="Times New Roman" w:hAnsi="Times New Roman"/>
                <w:szCs w:val="21"/>
              </w:rPr>
              <w:t>其保护区以外的补给径流区；分散式饮用水源地；特殊地下水资源（如矿泉水、温泉等）保护区以外的分布区以及分散居民饮用水源等其它未列入上述敏感分级的环境敏感区</w:t>
            </w:r>
          </w:p>
        </w:tc>
        <w:tc>
          <w:tcPr>
            <w:tcW w:w="2840" w:type="dxa"/>
            <w:vMerge/>
            <w:vAlign w:val="center"/>
          </w:tcPr>
          <w:p w14:paraId="1AC8DD17" w14:textId="77777777" w:rsidR="00A54A8A" w:rsidRPr="00E67914" w:rsidRDefault="00A54A8A">
            <w:pPr>
              <w:pStyle w:val="a8"/>
              <w:snapToGrid w:val="0"/>
              <w:spacing w:line="240" w:lineRule="auto"/>
              <w:rPr>
                <w:rFonts w:ascii="Times New Roman" w:hAnsi="Times New Roman"/>
                <w:szCs w:val="21"/>
              </w:rPr>
            </w:pPr>
          </w:p>
        </w:tc>
      </w:tr>
      <w:tr w:rsidR="002662E3" w:rsidRPr="00E67914" w14:paraId="291854BE" w14:textId="77777777">
        <w:trPr>
          <w:cantSplit/>
          <w:jc w:val="center"/>
        </w:trPr>
        <w:tc>
          <w:tcPr>
            <w:tcW w:w="1151" w:type="dxa"/>
            <w:vAlign w:val="center"/>
          </w:tcPr>
          <w:p w14:paraId="0FAB104C" w14:textId="77777777" w:rsidR="00A54A8A" w:rsidRPr="00E67914" w:rsidRDefault="00000000">
            <w:pPr>
              <w:pStyle w:val="a8"/>
              <w:snapToGrid w:val="0"/>
              <w:spacing w:line="240" w:lineRule="auto"/>
              <w:rPr>
                <w:rFonts w:ascii="Times New Roman" w:hAnsi="Times New Roman"/>
                <w:szCs w:val="21"/>
                <w:u w:val="single"/>
              </w:rPr>
            </w:pPr>
            <w:r w:rsidRPr="00E67914">
              <w:rPr>
                <w:rFonts w:ascii="Times New Roman" w:hAnsi="Times New Roman"/>
                <w:szCs w:val="21"/>
              </w:rPr>
              <w:t>不敏感</w:t>
            </w:r>
          </w:p>
        </w:tc>
        <w:tc>
          <w:tcPr>
            <w:tcW w:w="4231" w:type="dxa"/>
            <w:vAlign w:val="center"/>
          </w:tcPr>
          <w:p w14:paraId="309CE8B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上述地区之外的其它地区</w:t>
            </w:r>
          </w:p>
        </w:tc>
        <w:tc>
          <w:tcPr>
            <w:tcW w:w="2840" w:type="dxa"/>
            <w:vMerge/>
            <w:vAlign w:val="center"/>
          </w:tcPr>
          <w:p w14:paraId="0E9945D2" w14:textId="77777777" w:rsidR="00A54A8A" w:rsidRPr="00E67914" w:rsidRDefault="00A54A8A">
            <w:pPr>
              <w:pStyle w:val="a8"/>
              <w:snapToGrid w:val="0"/>
              <w:spacing w:line="240" w:lineRule="auto"/>
              <w:rPr>
                <w:rFonts w:ascii="Times New Roman" w:hAnsi="Times New Roman"/>
                <w:szCs w:val="21"/>
              </w:rPr>
            </w:pPr>
          </w:p>
        </w:tc>
      </w:tr>
    </w:tbl>
    <w:p w14:paraId="2577D37E"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3</w:t>
      </w:r>
      <w:r w:rsidRPr="00E67914">
        <w:rPr>
          <w:rFonts w:ascii="Times New Roman" w:hAnsi="Times New Roman"/>
          <w:sz w:val="24"/>
          <w:szCs w:val="24"/>
          <w:lang w:eastAsia="zh-CN"/>
        </w:rPr>
        <w:t>）地下水评价等级确定</w:t>
      </w:r>
    </w:p>
    <w:p w14:paraId="00F953C8"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2.6-3  </w:t>
      </w:r>
      <w:r w:rsidRPr="00E67914">
        <w:rPr>
          <w:rFonts w:ascii="Times New Roman" w:eastAsia="黑体" w:hAnsi="Times New Roman"/>
          <w:sz w:val="21"/>
          <w:szCs w:val="21"/>
          <w:lang w:eastAsia="zh-CN"/>
        </w:rPr>
        <w:t>地下水评价工作等级分级</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56"/>
        <w:gridCol w:w="2056"/>
        <w:gridCol w:w="2055"/>
        <w:gridCol w:w="2055"/>
      </w:tblGrid>
      <w:tr w:rsidR="002662E3" w:rsidRPr="00E67914" w14:paraId="09062A81" w14:textId="77777777">
        <w:trPr>
          <w:jc w:val="center"/>
        </w:trPr>
        <w:tc>
          <w:tcPr>
            <w:tcW w:w="2129" w:type="dxa"/>
            <w:tcBorders>
              <w:top w:val="single" w:sz="4" w:space="0" w:color="auto"/>
              <w:left w:val="single" w:sz="4" w:space="0" w:color="auto"/>
              <w:bottom w:val="single" w:sz="4" w:space="0" w:color="auto"/>
              <w:right w:val="single" w:sz="4" w:space="0" w:color="auto"/>
              <w:tl2br w:val="single" w:sz="4" w:space="0" w:color="auto"/>
            </w:tcBorders>
            <w:vAlign w:val="center"/>
          </w:tcPr>
          <w:p w14:paraId="780FCC4F" w14:textId="77777777" w:rsidR="00A54A8A" w:rsidRPr="00E67914" w:rsidRDefault="00000000">
            <w:pPr>
              <w:pStyle w:val="a8"/>
              <w:snapToGrid w:val="0"/>
              <w:spacing w:line="240" w:lineRule="auto"/>
              <w:jc w:val="right"/>
              <w:rPr>
                <w:rFonts w:ascii="Times New Roman" w:hAnsi="Times New Roman"/>
                <w:szCs w:val="21"/>
              </w:rPr>
            </w:pPr>
            <w:r w:rsidRPr="00E67914">
              <w:rPr>
                <w:rFonts w:ascii="Times New Roman" w:hAnsi="Times New Roman"/>
                <w:szCs w:val="21"/>
              </w:rPr>
              <w:t>项目类别</w:t>
            </w:r>
          </w:p>
          <w:p w14:paraId="111DFCCC" w14:textId="77777777" w:rsidR="00A54A8A" w:rsidRPr="00E67914" w:rsidRDefault="00000000">
            <w:pPr>
              <w:pStyle w:val="a8"/>
              <w:snapToGrid w:val="0"/>
              <w:spacing w:line="240" w:lineRule="auto"/>
              <w:jc w:val="left"/>
              <w:rPr>
                <w:rFonts w:ascii="Times New Roman" w:hAnsi="Times New Roman"/>
                <w:szCs w:val="21"/>
              </w:rPr>
            </w:pPr>
            <w:r w:rsidRPr="00E67914">
              <w:rPr>
                <w:rFonts w:ascii="Times New Roman" w:hAnsi="Times New Roman"/>
                <w:szCs w:val="21"/>
              </w:rPr>
              <w:t>环境敏感程度</w:t>
            </w:r>
          </w:p>
        </w:tc>
        <w:tc>
          <w:tcPr>
            <w:tcW w:w="2130" w:type="dxa"/>
            <w:tcBorders>
              <w:top w:val="single" w:sz="4" w:space="0" w:color="auto"/>
              <w:left w:val="single" w:sz="4" w:space="0" w:color="auto"/>
              <w:bottom w:val="single" w:sz="4" w:space="0" w:color="auto"/>
              <w:right w:val="single" w:sz="4" w:space="0" w:color="auto"/>
            </w:tcBorders>
            <w:vAlign w:val="center"/>
          </w:tcPr>
          <w:p w14:paraId="4677D422"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fldChar w:fldCharType="begin"/>
            </w:r>
            <w:r w:rsidRPr="00E67914">
              <w:rPr>
                <w:rFonts w:ascii="Times New Roman" w:hAnsi="Times New Roman"/>
                <w:szCs w:val="21"/>
              </w:rPr>
              <w:instrText xml:space="preserve"> = 1 \* ROMAN </w:instrText>
            </w:r>
            <w:r w:rsidRPr="00E67914">
              <w:rPr>
                <w:rFonts w:ascii="Times New Roman" w:hAnsi="Times New Roman"/>
                <w:szCs w:val="21"/>
              </w:rPr>
              <w:fldChar w:fldCharType="separate"/>
            </w:r>
            <w:r w:rsidRPr="00E67914">
              <w:rPr>
                <w:rFonts w:ascii="Times New Roman" w:hAnsi="Times New Roman"/>
                <w:szCs w:val="21"/>
              </w:rPr>
              <w:t>I</w:t>
            </w:r>
            <w:r w:rsidRPr="00E67914">
              <w:rPr>
                <w:rFonts w:ascii="Times New Roman" w:hAnsi="Times New Roman"/>
                <w:szCs w:val="21"/>
              </w:rPr>
              <w:fldChar w:fldCharType="end"/>
            </w:r>
            <w:r w:rsidRPr="00E67914">
              <w:rPr>
                <w:rFonts w:ascii="Times New Roman" w:hAnsi="Times New Roman"/>
                <w:szCs w:val="21"/>
              </w:rPr>
              <w:t>类项目</w:t>
            </w:r>
          </w:p>
        </w:tc>
        <w:tc>
          <w:tcPr>
            <w:tcW w:w="2128" w:type="dxa"/>
            <w:tcBorders>
              <w:top w:val="single" w:sz="4" w:space="0" w:color="auto"/>
              <w:left w:val="single" w:sz="4" w:space="0" w:color="auto"/>
              <w:bottom w:val="single" w:sz="4" w:space="0" w:color="auto"/>
              <w:right w:val="single" w:sz="4" w:space="0" w:color="auto"/>
            </w:tcBorders>
            <w:vAlign w:val="center"/>
          </w:tcPr>
          <w:p w14:paraId="7E11F4C3"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b/>
                <w:bCs/>
                <w:szCs w:val="21"/>
              </w:rPr>
              <w:fldChar w:fldCharType="begin"/>
            </w:r>
            <w:r w:rsidRPr="00E67914">
              <w:rPr>
                <w:rFonts w:ascii="Times New Roman" w:hAnsi="Times New Roman"/>
                <w:b/>
                <w:bCs/>
                <w:szCs w:val="21"/>
              </w:rPr>
              <w:instrText xml:space="preserve"> = 2 \* ROMAN </w:instrText>
            </w:r>
            <w:r w:rsidRPr="00E67914">
              <w:rPr>
                <w:rFonts w:ascii="Times New Roman" w:hAnsi="Times New Roman"/>
                <w:b/>
                <w:bCs/>
                <w:szCs w:val="21"/>
              </w:rPr>
              <w:fldChar w:fldCharType="separate"/>
            </w:r>
            <w:r w:rsidRPr="00E67914">
              <w:rPr>
                <w:rFonts w:ascii="Times New Roman" w:hAnsi="Times New Roman"/>
                <w:b/>
                <w:bCs/>
                <w:szCs w:val="21"/>
              </w:rPr>
              <w:t>II</w:t>
            </w:r>
            <w:r w:rsidRPr="00E67914">
              <w:rPr>
                <w:rFonts w:ascii="Times New Roman" w:hAnsi="Times New Roman"/>
                <w:b/>
                <w:bCs/>
                <w:szCs w:val="21"/>
              </w:rPr>
              <w:fldChar w:fldCharType="end"/>
            </w:r>
            <w:r w:rsidRPr="00E67914">
              <w:rPr>
                <w:rFonts w:ascii="Times New Roman" w:hAnsi="Times New Roman"/>
                <w:b/>
                <w:bCs/>
                <w:szCs w:val="21"/>
              </w:rPr>
              <w:t>类项目</w:t>
            </w:r>
          </w:p>
        </w:tc>
        <w:tc>
          <w:tcPr>
            <w:tcW w:w="2129" w:type="dxa"/>
            <w:tcBorders>
              <w:top w:val="single" w:sz="4" w:space="0" w:color="auto"/>
              <w:left w:val="single" w:sz="4" w:space="0" w:color="auto"/>
              <w:bottom w:val="single" w:sz="4" w:space="0" w:color="auto"/>
              <w:right w:val="single" w:sz="4" w:space="0" w:color="auto"/>
            </w:tcBorders>
            <w:vAlign w:val="center"/>
          </w:tcPr>
          <w:p w14:paraId="11E7E9EF"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fldChar w:fldCharType="begin"/>
            </w:r>
            <w:r w:rsidRPr="00E67914">
              <w:rPr>
                <w:rFonts w:ascii="Times New Roman" w:hAnsi="Times New Roman"/>
                <w:szCs w:val="21"/>
              </w:rPr>
              <w:instrText xml:space="preserve"> = 3 \* ROMAN </w:instrText>
            </w:r>
            <w:r w:rsidRPr="00E67914">
              <w:rPr>
                <w:rFonts w:ascii="Times New Roman" w:hAnsi="Times New Roman"/>
                <w:szCs w:val="21"/>
              </w:rPr>
              <w:fldChar w:fldCharType="separate"/>
            </w:r>
            <w:r w:rsidRPr="00E67914">
              <w:rPr>
                <w:rFonts w:ascii="Times New Roman" w:hAnsi="Times New Roman"/>
                <w:szCs w:val="21"/>
              </w:rPr>
              <w:t>III</w:t>
            </w:r>
            <w:r w:rsidRPr="00E67914">
              <w:rPr>
                <w:rFonts w:ascii="Times New Roman" w:hAnsi="Times New Roman"/>
                <w:szCs w:val="21"/>
              </w:rPr>
              <w:fldChar w:fldCharType="end"/>
            </w:r>
            <w:r w:rsidRPr="00E67914">
              <w:rPr>
                <w:rFonts w:ascii="Times New Roman" w:hAnsi="Times New Roman"/>
                <w:szCs w:val="21"/>
              </w:rPr>
              <w:t>类项目</w:t>
            </w:r>
          </w:p>
        </w:tc>
      </w:tr>
      <w:tr w:rsidR="002662E3" w:rsidRPr="00E67914" w14:paraId="641EEBCA" w14:textId="77777777">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4C993E93"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敏感</w:t>
            </w:r>
          </w:p>
        </w:tc>
        <w:tc>
          <w:tcPr>
            <w:tcW w:w="2130" w:type="dxa"/>
            <w:tcBorders>
              <w:top w:val="single" w:sz="4" w:space="0" w:color="auto"/>
              <w:left w:val="single" w:sz="4" w:space="0" w:color="auto"/>
              <w:bottom w:val="single" w:sz="4" w:space="0" w:color="auto"/>
              <w:right w:val="single" w:sz="4" w:space="0" w:color="auto"/>
            </w:tcBorders>
            <w:vAlign w:val="center"/>
          </w:tcPr>
          <w:p w14:paraId="2E027195"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一</w:t>
            </w:r>
          </w:p>
        </w:tc>
        <w:tc>
          <w:tcPr>
            <w:tcW w:w="2128" w:type="dxa"/>
            <w:tcBorders>
              <w:top w:val="single" w:sz="4" w:space="0" w:color="auto"/>
              <w:left w:val="single" w:sz="4" w:space="0" w:color="auto"/>
              <w:bottom w:val="single" w:sz="4" w:space="0" w:color="auto"/>
              <w:right w:val="single" w:sz="4" w:space="0" w:color="auto"/>
            </w:tcBorders>
            <w:vAlign w:val="center"/>
          </w:tcPr>
          <w:p w14:paraId="2ECC355A"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一</w:t>
            </w:r>
          </w:p>
        </w:tc>
        <w:tc>
          <w:tcPr>
            <w:tcW w:w="2129" w:type="dxa"/>
            <w:tcBorders>
              <w:top w:val="single" w:sz="4" w:space="0" w:color="auto"/>
              <w:left w:val="single" w:sz="4" w:space="0" w:color="auto"/>
              <w:bottom w:val="single" w:sz="4" w:space="0" w:color="auto"/>
              <w:right w:val="single" w:sz="4" w:space="0" w:color="auto"/>
            </w:tcBorders>
            <w:vAlign w:val="center"/>
          </w:tcPr>
          <w:p w14:paraId="6B277776"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二</w:t>
            </w:r>
          </w:p>
        </w:tc>
      </w:tr>
      <w:tr w:rsidR="002662E3" w:rsidRPr="00E67914" w14:paraId="7A8D9140" w14:textId="77777777">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1148A364"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b/>
                <w:bCs/>
                <w:szCs w:val="21"/>
              </w:rPr>
              <w:t>较敏感</w:t>
            </w:r>
          </w:p>
        </w:tc>
        <w:tc>
          <w:tcPr>
            <w:tcW w:w="2130" w:type="dxa"/>
            <w:tcBorders>
              <w:top w:val="single" w:sz="4" w:space="0" w:color="auto"/>
              <w:left w:val="single" w:sz="4" w:space="0" w:color="auto"/>
              <w:bottom w:val="single" w:sz="4" w:space="0" w:color="auto"/>
              <w:right w:val="single" w:sz="4" w:space="0" w:color="auto"/>
            </w:tcBorders>
            <w:vAlign w:val="center"/>
          </w:tcPr>
          <w:p w14:paraId="2AB0E23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一</w:t>
            </w:r>
          </w:p>
        </w:tc>
        <w:tc>
          <w:tcPr>
            <w:tcW w:w="2128" w:type="dxa"/>
            <w:tcBorders>
              <w:top w:val="single" w:sz="4" w:space="0" w:color="auto"/>
              <w:left w:val="single" w:sz="4" w:space="0" w:color="auto"/>
              <w:bottom w:val="single" w:sz="4" w:space="0" w:color="auto"/>
              <w:right w:val="single" w:sz="4" w:space="0" w:color="auto"/>
            </w:tcBorders>
            <w:vAlign w:val="center"/>
          </w:tcPr>
          <w:p w14:paraId="5EE3E665"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b/>
                <w:bCs/>
                <w:szCs w:val="21"/>
                <w:shd w:val="pct10" w:color="auto" w:fill="FFFFFF"/>
              </w:rPr>
              <w:t>二</w:t>
            </w:r>
          </w:p>
        </w:tc>
        <w:tc>
          <w:tcPr>
            <w:tcW w:w="2129" w:type="dxa"/>
            <w:tcBorders>
              <w:top w:val="single" w:sz="4" w:space="0" w:color="auto"/>
              <w:left w:val="single" w:sz="4" w:space="0" w:color="auto"/>
              <w:bottom w:val="single" w:sz="4" w:space="0" w:color="auto"/>
              <w:right w:val="single" w:sz="4" w:space="0" w:color="auto"/>
            </w:tcBorders>
            <w:vAlign w:val="center"/>
          </w:tcPr>
          <w:p w14:paraId="680A9F49"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三</w:t>
            </w:r>
          </w:p>
        </w:tc>
      </w:tr>
      <w:tr w:rsidR="002662E3" w:rsidRPr="00E67914" w14:paraId="721D9AB7" w14:textId="77777777">
        <w:trPr>
          <w:jc w:val="center"/>
        </w:trPr>
        <w:tc>
          <w:tcPr>
            <w:tcW w:w="2129" w:type="dxa"/>
            <w:tcBorders>
              <w:top w:val="single" w:sz="4" w:space="0" w:color="auto"/>
              <w:left w:val="single" w:sz="4" w:space="0" w:color="auto"/>
              <w:bottom w:val="single" w:sz="4" w:space="0" w:color="auto"/>
              <w:right w:val="single" w:sz="4" w:space="0" w:color="auto"/>
            </w:tcBorders>
            <w:vAlign w:val="center"/>
          </w:tcPr>
          <w:p w14:paraId="240A4D5F"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不敏感</w:t>
            </w:r>
          </w:p>
        </w:tc>
        <w:tc>
          <w:tcPr>
            <w:tcW w:w="2130" w:type="dxa"/>
            <w:tcBorders>
              <w:top w:val="single" w:sz="4" w:space="0" w:color="auto"/>
              <w:left w:val="single" w:sz="4" w:space="0" w:color="auto"/>
              <w:bottom w:val="single" w:sz="4" w:space="0" w:color="auto"/>
              <w:right w:val="single" w:sz="4" w:space="0" w:color="auto"/>
            </w:tcBorders>
            <w:vAlign w:val="center"/>
          </w:tcPr>
          <w:p w14:paraId="3A46F893"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二</w:t>
            </w:r>
          </w:p>
        </w:tc>
        <w:tc>
          <w:tcPr>
            <w:tcW w:w="2128" w:type="dxa"/>
            <w:tcBorders>
              <w:top w:val="single" w:sz="4" w:space="0" w:color="auto"/>
              <w:left w:val="single" w:sz="4" w:space="0" w:color="auto"/>
              <w:bottom w:val="single" w:sz="4" w:space="0" w:color="auto"/>
              <w:right w:val="single" w:sz="4" w:space="0" w:color="auto"/>
            </w:tcBorders>
            <w:vAlign w:val="center"/>
          </w:tcPr>
          <w:p w14:paraId="4FBAE8AE"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三</w:t>
            </w:r>
          </w:p>
        </w:tc>
        <w:tc>
          <w:tcPr>
            <w:tcW w:w="2129" w:type="dxa"/>
            <w:tcBorders>
              <w:top w:val="single" w:sz="4" w:space="0" w:color="auto"/>
              <w:left w:val="single" w:sz="4" w:space="0" w:color="auto"/>
              <w:bottom w:val="single" w:sz="4" w:space="0" w:color="auto"/>
              <w:right w:val="single" w:sz="4" w:space="0" w:color="auto"/>
            </w:tcBorders>
            <w:vAlign w:val="center"/>
          </w:tcPr>
          <w:p w14:paraId="507D4DC7"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三</w:t>
            </w:r>
          </w:p>
        </w:tc>
      </w:tr>
    </w:tbl>
    <w:p w14:paraId="74C54CFF"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综上所述，根据《环境影响评价技术导则</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地下水环境》（</w:t>
      </w:r>
      <w:r w:rsidRPr="00E67914">
        <w:rPr>
          <w:rFonts w:ascii="Times New Roman" w:hAnsi="Times New Roman"/>
          <w:sz w:val="24"/>
          <w:szCs w:val="24"/>
          <w:lang w:eastAsia="zh-CN"/>
        </w:rPr>
        <w:t>HJ610-2016</w:t>
      </w:r>
      <w:r w:rsidRPr="00E67914">
        <w:rPr>
          <w:rFonts w:ascii="Times New Roman" w:hAnsi="Times New Roman"/>
          <w:sz w:val="24"/>
          <w:szCs w:val="24"/>
          <w:lang w:eastAsia="zh-CN"/>
        </w:rPr>
        <w:t>）规定，项目属</w:t>
      </w:r>
      <w:r w:rsidRPr="00E67914">
        <w:rPr>
          <w:rFonts w:ascii="Times New Roman" w:hAnsi="Times New Roman"/>
          <w:sz w:val="24"/>
          <w:szCs w:val="24"/>
          <w:lang w:eastAsia="zh-CN"/>
        </w:rPr>
        <w:t>II</w:t>
      </w:r>
      <w:r w:rsidRPr="00E67914">
        <w:rPr>
          <w:rFonts w:ascii="Times New Roman" w:hAnsi="Times New Roman"/>
          <w:sz w:val="24"/>
          <w:szCs w:val="24"/>
          <w:lang w:eastAsia="zh-CN"/>
        </w:rPr>
        <w:t>类项目、环境敏感程度为较敏感，最终确定本次地下水环境评价</w:t>
      </w:r>
      <w:r w:rsidRPr="00E67914">
        <w:rPr>
          <w:rFonts w:ascii="Times New Roman" w:hAnsi="Times New Roman"/>
          <w:sz w:val="24"/>
          <w:szCs w:val="24"/>
          <w:lang w:eastAsia="zh-CN"/>
        </w:rPr>
        <w:lastRenderedPageBreak/>
        <w:t>等级确定为二级。</w:t>
      </w:r>
    </w:p>
    <w:p w14:paraId="5027CFD7"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）评价范围</w:t>
      </w:r>
    </w:p>
    <w:p w14:paraId="225D5907"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根据《环境影响评价技术导则</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地下水环境》（</w:t>
      </w:r>
      <w:r w:rsidRPr="00E67914">
        <w:rPr>
          <w:rFonts w:ascii="Times New Roman" w:hAnsi="Times New Roman"/>
          <w:sz w:val="24"/>
          <w:szCs w:val="24"/>
          <w:lang w:eastAsia="zh-CN"/>
        </w:rPr>
        <w:t>HJ610-2016</w:t>
      </w:r>
      <w:r w:rsidRPr="00E67914">
        <w:rPr>
          <w:rFonts w:ascii="Times New Roman" w:hAnsi="Times New Roman"/>
          <w:sz w:val="24"/>
          <w:szCs w:val="24"/>
          <w:lang w:eastAsia="zh-CN"/>
        </w:rPr>
        <w:t>）规定，地下水环境现状调查与评价的范围应包括相关的地下水环境保护目标，以能说明地下水环境的现状，反映调查评价区地下水基本流场特征，满足地下水环境影响预测和评价为基本原则。评价范围确定方法可采用公式法、查表法和自定义法确定，当计算或查表范围超出水文地质单元边界时，应以水文地质单元边界为宜。</w:t>
      </w:r>
    </w:p>
    <w:p w14:paraId="722D26ED" w14:textId="564C774A"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w:t>
      </w:r>
      <w:r w:rsidR="00614468" w:rsidRPr="00E67914">
        <w:rPr>
          <w:rFonts w:ascii="Times New Roman" w:hAnsi="Times New Roman"/>
          <w:sz w:val="24"/>
          <w:szCs w:val="24"/>
          <w:lang w:eastAsia="zh-CN"/>
        </w:rPr>
        <w:t>北</w:t>
      </w:r>
      <w:r w:rsidRPr="00E67914">
        <w:rPr>
          <w:rFonts w:ascii="Times New Roman" w:hAnsi="Times New Roman"/>
          <w:sz w:val="24"/>
          <w:szCs w:val="24"/>
          <w:lang w:eastAsia="zh-CN"/>
        </w:rPr>
        <w:t>面</w:t>
      </w:r>
      <w:r w:rsidR="00614468" w:rsidRPr="00E67914">
        <w:rPr>
          <w:rFonts w:ascii="Times New Roman" w:hAnsi="Times New Roman"/>
          <w:sz w:val="24"/>
          <w:szCs w:val="24"/>
          <w:lang w:eastAsia="zh-CN"/>
        </w:rPr>
        <w:t>、西</w:t>
      </w:r>
      <w:r w:rsidRPr="00E67914">
        <w:rPr>
          <w:rFonts w:ascii="Times New Roman" w:hAnsi="Times New Roman"/>
          <w:sz w:val="24"/>
          <w:szCs w:val="24"/>
          <w:lang w:eastAsia="zh-CN"/>
        </w:rPr>
        <w:t>面以山脊为界，南面以山坳</w:t>
      </w:r>
      <w:r w:rsidR="00614468" w:rsidRPr="00E67914">
        <w:rPr>
          <w:rFonts w:ascii="Times New Roman" w:hAnsi="Times New Roman"/>
          <w:sz w:val="24"/>
          <w:szCs w:val="24"/>
          <w:lang w:eastAsia="zh-CN"/>
        </w:rPr>
        <w:t>和冲沟</w:t>
      </w:r>
      <w:r w:rsidRPr="00E67914">
        <w:rPr>
          <w:rFonts w:ascii="Times New Roman" w:hAnsi="Times New Roman"/>
          <w:sz w:val="24"/>
          <w:szCs w:val="24"/>
          <w:lang w:eastAsia="zh-CN"/>
        </w:rPr>
        <w:t>为界，</w:t>
      </w:r>
      <w:r w:rsidR="00614468" w:rsidRPr="00E67914">
        <w:rPr>
          <w:rFonts w:ascii="Times New Roman" w:hAnsi="Times New Roman"/>
          <w:sz w:val="24"/>
          <w:szCs w:val="24"/>
          <w:lang w:eastAsia="zh-CN"/>
        </w:rPr>
        <w:t>东</w:t>
      </w:r>
      <w:r w:rsidRPr="00E67914">
        <w:rPr>
          <w:rFonts w:ascii="Times New Roman" w:hAnsi="Times New Roman"/>
          <w:sz w:val="24"/>
          <w:szCs w:val="24"/>
          <w:lang w:eastAsia="zh-CN"/>
        </w:rPr>
        <w:t>面以</w:t>
      </w:r>
      <w:r w:rsidR="008D2D42" w:rsidRPr="00E67914">
        <w:rPr>
          <w:rFonts w:ascii="Times New Roman" w:hAnsi="Times New Roman"/>
          <w:sz w:val="24"/>
          <w:szCs w:val="24"/>
          <w:lang w:eastAsia="zh-CN"/>
        </w:rPr>
        <w:t>后</w:t>
      </w:r>
      <w:r w:rsidRPr="00E67914">
        <w:rPr>
          <w:rFonts w:ascii="Times New Roman" w:hAnsi="Times New Roman"/>
          <w:sz w:val="24"/>
          <w:szCs w:val="24"/>
          <w:lang w:eastAsia="zh-CN"/>
        </w:rPr>
        <w:t>河为界。根据测算，本项目地下水环境影响评价范围共计约</w:t>
      </w:r>
      <w:r w:rsidR="001C2F20" w:rsidRPr="00E67914">
        <w:rPr>
          <w:rFonts w:ascii="Times New Roman" w:hAnsi="Times New Roman"/>
          <w:sz w:val="24"/>
          <w:szCs w:val="24"/>
          <w:lang w:eastAsia="zh-CN"/>
        </w:rPr>
        <w:t>4.</w:t>
      </w:r>
      <w:r w:rsidR="00547590" w:rsidRPr="00E67914">
        <w:rPr>
          <w:rFonts w:ascii="Times New Roman" w:hAnsi="Times New Roman"/>
          <w:sz w:val="24"/>
          <w:szCs w:val="24"/>
          <w:lang w:eastAsia="zh-CN"/>
        </w:rPr>
        <w:t>46</w:t>
      </w:r>
      <w:r w:rsidRPr="00E67914">
        <w:rPr>
          <w:rFonts w:ascii="Times New Roman" w:hAnsi="Times New Roman"/>
          <w:sz w:val="24"/>
          <w:szCs w:val="24"/>
          <w:lang w:eastAsia="zh-CN"/>
        </w:rPr>
        <w:t>km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w:t>
      </w:r>
    </w:p>
    <w:p w14:paraId="493B3394" w14:textId="2018ED66" w:rsidR="00A54A8A" w:rsidRPr="00E67914" w:rsidRDefault="00547590">
      <w:pPr>
        <w:widowControl w:val="0"/>
        <w:tabs>
          <w:tab w:val="left" w:pos="0"/>
        </w:tabs>
        <w:spacing w:line="360" w:lineRule="auto"/>
        <w:jc w:val="center"/>
        <w:rPr>
          <w:rFonts w:ascii="Times New Roman" w:hAnsi="Times New Roman"/>
          <w:sz w:val="24"/>
          <w:szCs w:val="24"/>
          <w:lang w:eastAsia="zh-CN"/>
        </w:rPr>
      </w:pPr>
      <w:r w:rsidRPr="00E67914">
        <w:rPr>
          <w:rFonts w:ascii="Times New Roman" w:hAnsi="Times New Roman"/>
          <w:noProof/>
        </w:rPr>
        <mc:AlternateContent>
          <mc:Choice Requires="wps">
            <w:drawing>
              <wp:anchor distT="0" distB="0" distL="114300" distR="114300" simplePos="0" relativeHeight="251671552" behindDoc="0" locked="0" layoutInCell="1" allowOverlap="1" wp14:anchorId="3EB10FC9" wp14:editId="355F204A">
                <wp:simplePos x="0" y="0"/>
                <wp:positionH relativeFrom="column">
                  <wp:posOffset>2042823</wp:posOffset>
                </wp:positionH>
                <wp:positionV relativeFrom="paragraph">
                  <wp:posOffset>1316990</wp:posOffset>
                </wp:positionV>
                <wp:extent cx="525780" cy="327660"/>
                <wp:effectExtent l="0" t="0" r="0" b="0"/>
                <wp:wrapNone/>
                <wp:docPr id="9" name="文本框 9"/>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ln>
                      </wps:spPr>
                      <wps:txbx>
                        <w:txbxContent>
                          <w:p w14:paraId="6CDCC79F" w14:textId="77777777" w:rsidR="00A54A8A" w:rsidRDefault="00000000">
                            <w:pPr>
                              <w:rPr>
                                <w:b/>
                                <w:bCs/>
                                <w:color w:val="FF0000"/>
                                <w:lang w:eastAsia="zh-CN"/>
                              </w:rPr>
                            </w:pPr>
                            <w:r>
                              <w:rPr>
                                <w:rFonts w:hint="eastAsia"/>
                                <w:b/>
                                <w:bCs/>
                                <w:color w:val="FF0000"/>
                                <w:lang w:eastAsia="zh-CN"/>
                              </w:rPr>
                              <w:t>山脊</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type w14:anchorId="3EB10FC9" id="_x0000_t202" coordsize="21600,21600" o:spt="202" path="m,l,21600r21600,l21600,xe">
                <v:stroke joinstyle="miter"/>
                <v:path gradientshapeok="t" o:connecttype="rect"/>
              </v:shapetype>
              <v:shape id="文本框 9" o:spid="_x0000_s1026" type="#_x0000_t202" style="position:absolute;left:0;text-align:left;margin-left:160.85pt;margin-top:103.7pt;width:41.4pt;height:25.8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" filled="f" stroked="f">
                <v:textbox>
                  <w:txbxContent>
                    <w:p w14:paraId="6CDCC79F" w14:textId="77777777" w:rsidR="00A54A8A" w:rsidRDefault="00000000">
                      <w:pPr>
                        <w:rPr>
                          <w:b/>
                          <w:bCs/>
                          <w:color w:val="FF0000"/>
                          <w:lang w:eastAsia="zh-CN"/>
                        </w:rPr>
                      </w:pPr>
                      <w:r>
                        <w:rPr>
                          <w:rFonts w:hint="eastAsia"/>
                          <w:b/>
                          <w:bCs/>
                          <w:color w:val="FF0000"/>
                          <w:lang w:eastAsia="zh-CN"/>
                        </w:rPr>
                        <w:t>山脊</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94080" behindDoc="0" locked="0" layoutInCell="1" allowOverlap="1" wp14:anchorId="7E7D93E6" wp14:editId="59138B78">
                <wp:simplePos x="0" y="0"/>
                <wp:positionH relativeFrom="column">
                  <wp:posOffset>201571</wp:posOffset>
                </wp:positionH>
                <wp:positionV relativeFrom="paragraph">
                  <wp:posOffset>1911350</wp:posOffset>
                </wp:positionV>
                <wp:extent cx="525780" cy="327660"/>
                <wp:effectExtent l="0" t="0" r="0" b="0"/>
                <wp:wrapNone/>
                <wp:docPr id="19" name="文本框 19"/>
                <wp:cNvGraphicFramePr/>
                <a:graphic xmlns:a="http://schemas.openxmlformats.org/drawingml/2006/main">
                  <a:graphicData uri="http://schemas.microsoft.com/office/word/2010/wordprocessingShape">
                    <wps:wsp>
                      <wps:cNvSpPr txBox="1"/>
                      <wps:spPr bwMode="auto">
                        <a:xfrm>
                          <a:off x="0" y="0"/>
                          <a:ext cx="525780" cy="327660"/>
                        </a:xfrm>
                        <a:prstGeom prst="rect">
                          <a:avLst/>
                        </a:prstGeom>
                        <a:noFill/>
                        <a:ln w="9525">
                          <a:noFill/>
                          <a:miter lim="800000"/>
                        </a:ln>
                      </wps:spPr>
                      <wps:txbx>
                        <w:txbxContent>
                          <w:p w14:paraId="45EA0521" w14:textId="77777777" w:rsidR="00A54A8A" w:rsidRDefault="00000000">
                            <w:pPr>
                              <w:rPr>
                                <w:b/>
                                <w:bCs/>
                                <w:color w:val="FF0000"/>
                                <w:lang w:eastAsia="zh-CN"/>
                              </w:rPr>
                            </w:pPr>
                            <w:r>
                              <w:rPr>
                                <w:rFonts w:hint="eastAsia"/>
                                <w:b/>
                                <w:bCs/>
                                <w:color w:val="FF0000"/>
                                <w:lang w:eastAsia="zh-CN"/>
                              </w:rPr>
                              <w:t>山脊</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7E7D93E6" id="文本框 19" o:spid="_x0000_s1027" type="#_x0000_t202" style="position:absolute;left:0;text-align:left;margin-left:15.85pt;margin-top:150.5pt;width:41.4pt;height:25.8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" filled="f" stroked="f">
                <v:textbox>
                  <w:txbxContent>
                    <w:p w14:paraId="45EA0521" w14:textId="77777777" w:rsidR="00A54A8A" w:rsidRDefault="00000000">
                      <w:pPr>
                        <w:rPr>
                          <w:b/>
                          <w:bCs/>
                          <w:color w:val="FF0000"/>
                          <w:lang w:eastAsia="zh-CN"/>
                        </w:rPr>
                      </w:pPr>
                      <w:r>
                        <w:rPr>
                          <w:rFonts w:hint="eastAsia"/>
                          <w:b/>
                          <w:bCs/>
                          <w:color w:val="FF0000"/>
                          <w:lang w:eastAsia="zh-CN"/>
                        </w:rPr>
                        <w:t>山脊</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716608" behindDoc="0" locked="0" layoutInCell="1" allowOverlap="1" wp14:anchorId="3A668F63" wp14:editId="79E81F22">
                <wp:simplePos x="0" y="0"/>
                <wp:positionH relativeFrom="margin">
                  <wp:posOffset>1848373</wp:posOffset>
                </wp:positionH>
                <wp:positionV relativeFrom="paragraph">
                  <wp:posOffset>1670934</wp:posOffset>
                </wp:positionV>
                <wp:extent cx="297180" cy="99060"/>
                <wp:effectExtent l="0" t="76200" r="0" b="72390"/>
                <wp:wrapNone/>
                <wp:docPr id="159" name="箭头: 右 159"/>
                <wp:cNvGraphicFramePr/>
                <a:graphic xmlns:a="http://schemas.openxmlformats.org/drawingml/2006/main">
                  <a:graphicData uri="http://schemas.microsoft.com/office/word/2010/wordprocessingShape">
                    <wps:wsp>
                      <wps:cNvSpPr/>
                      <wps:spPr>
                        <a:xfrm rot="2310083">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0487B18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头: 右 159" o:spid="_x0000_s1026" type="#_x0000_t13" style="position:absolute;left:0;text-align:left;margin-left:145.55pt;margin-top:131.55pt;width:23.4pt;height:7.8pt;rotation:2523227fd;z-index:2517166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" adj="18000" fillcolor="yellow" strokecolor="yellow" strokeweight="1pt">
                <w10:wrap anchorx="margin"/>
              </v:shape>
            </w:pict>
          </mc:Fallback>
        </mc:AlternateContent>
      </w:r>
      <w:r w:rsidRPr="00E67914">
        <w:rPr>
          <w:rFonts w:ascii="Times New Roman" w:hAnsi="Times New Roman"/>
          <w:noProof/>
        </w:rPr>
        <mc:AlternateContent>
          <mc:Choice Requires="wps">
            <w:drawing>
              <wp:anchor distT="0" distB="0" distL="114300" distR="114300" simplePos="0" relativeHeight="251715584" behindDoc="0" locked="0" layoutInCell="1" allowOverlap="1" wp14:anchorId="79B043D2" wp14:editId="2D6FB91E">
                <wp:simplePos x="0" y="0"/>
                <wp:positionH relativeFrom="column">
                  <wp:posOffset>1053024</wp:posOffset>
                </wp:positionH>
                <wp:positionV relativeFrom="paragraph">
                  <wp:posOffset>1831064</wp:posOffset>
                </wp:positionV>
                <wp:extent cx="297180" cy="99060"/>
                <wp:effectExtent l="19050" t="76200" r="0" b="72390"/>
                <wp:wrapNone/>
                <wp:docPr id="158" name="箭头: 右 158"/>
                <wp:cNvGraphicFramePr/>
                <a:graphic xmlns:a="http://schemas.openxmlformats.org/drawingml/2006/main">
                  <a:graphicData uri="http://schemas.microsoft.com/office/word/2010/wordprocessingShape">
                    <wps:wsp>
                      <wps:cNvSpPr/>
                      <wps:spPr>
                        <a:xfrm rot="1972829">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2551926" id="箭头: 右 158" o:spid="_x0000_s1026" type="#_x0000_t13" style="position:absolute;left:0;text-align:left;margin-left:82.9pt;margin-top:144.2pt;width:23.4pt;height:7.8pt;rotation:2154855fd;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717632" behindDoc="0" locked="0" layoutInCell="1" allowOverlap="1" wp14:anchorId="79DA9902" wp14:editId="070062AB">
                <wp:simplePos x="0" y="0"/>
                <wp:positionH relativeFrom="column">
                  <wp:posOffset>911529</wp:posOffset>
                </wp:positionH>
                <wp:positionV relativeFrom="paragraph">
                  <wp:posOffset>2234012</wp:posOffset>
                </wp:positionV>
                <wp:extent cx="297180" cy="99060"/>
                <wp:effectExtent l="19050" t="57150" r="7620" b="72390"/>
                <wp:wrapNone/>
                <wp:docPr id="160" name="箭头: 右 160"/>
                <wp:cNvGraphicFramePr/>
                <a:graphic xmlns:a="http://schemas.openxmlformats.org/drawingml/2006/main">
                  <a:graphicData uri="http://schemas.microsoft.com/office/word/2010/wordprocessingShape">
                    <wps:wsp>
                      <wps:cNvSpPr/>
                      <wps:spPr>
                        <a:xfrm rot="152351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2F18C8A" id="箭头: 右 160" o:spid="_x0000_s1026" type="#_x0000_t13" style="position:absolute;left:0;text-align:left;margin-left:71.75pt;margin-top:175.9pt;width:23.4pt;height:7.8pt;rotation:1664079fd;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697152" behindDoc="0" locked="0" layoutInCell="1" allowOverlap="1" wp14:anchorId="4F8B11ED" wp14:editId="11896C9B">
                <wp:simplePos x="0" y="0"/>
                <wp:positionH relativeFrom="column">
                  <wp:posOffset>1430930</wp:posOffset>
                </wp:positionH>
                <wp:positionV relativeFrom="paragraph">
                  <wp:posOffset>2269076</wp:posOffset>
                </wp:positionV>
                <wp:extent cx="297180" cy="99060"/>
                <wp:effectExtent l="19050" t="76200" r="0" b="72390"/>
                <wp:wrapNone/>
                <wp:docPr id="83" name="箭头: 右 83"/>
                <wp:cNvGraphicFramePr/>
                <a:graphic xmlns:a="http://schemas.openxmlformats.org/drawingml/2006/main">
                  <a:graphicData uri="http://schemas.microsoft.com/office/word/2010/wordprocessingShape">
                    <wps:wsp>
                      <wps:cNvSpPr/>
                      <wps:spPr>
                        <a:xfrm rot="2008635">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A5EAECB" id="箭头: 右 83" o:spid="_x0000_s1026" type="#_x0000_t13" style="position:absolute;left:0;text-align:left;margin-left:112.65pt;margin-top:178.65pt;width:23.4pt;height:7.8pt;rotation:2193965fd;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718656" behindDoc="0" locked="0" layoutInCell="1" allowOverlap="1" wp14:anchorId="2CC6B1DA" wp14:editId="121C905E">
                <wp:simplePos x="0" y="0"/>
                <wp:positionH relativeFrom="column">
                  <wp:posOffset>1429992</wp:posOffset>
                </wp:positionH>
                <wp:positionV relativeFrom="paragraph">
                  <wp:posOffset>1760634</wp:posOffset>
                </wp:positionV>
                <wp:extent cx="297180" cy="99060"/>
                <wp:effectExtent l="0" t="95250" r="0" b="72390"/>
                <wp:wrapNone/>
                <wp:docPr id="161" name="箭头: 右 161"/>
                <wp:cNvGraphicFramePr/>
                <a:graphic xmlns:a="http://schemas.openxmlformats.org/drawingml/2006/main">
                  <a:graphicData uri="http://schemas.microsoft.com/office/word/2010/wordprocessingShape">
                    <wps:wsp>
                      <wps:cNvSpPr/>
                      <wps:spPr>
                        <a:xfrm rot="249474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A7FDAF2" id="箭头: 右 161" o:spid="_x0000_s1026" type="#_x0000_t13" style="position:absolute;left:0;text-align:left;margin-left:112.6pt;margin-top:138.65pt;width:23.4pt;height:7.8pt;rotation:2724921fd;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701248" behindDoc="0" locked="0" layoutInCell="1" allowOverlap="1" wp14:anchorId="640A502B" wp14:editId="17B27946">
                <wp:simplePos x="0" y="0"/>
                <wp:positionH relativeFrom="column">
                  <wp:posOffset>2275977</wp:posOffset>
                </wp:positionH>
                <wp:positionV relativeFrom="paragraph">
                  <wp:posOffset>2267419</wp:posOffset>
                </wp:positionV>
                <wp:extent cx="297180" cy="99060"/>
                <wp:effectExtent l="80010" t="15240" r="68580" b="0"/>
                <wp:wrapNone/>
                <wp:docPr id="3776" name="箭头: 右 3776"/>
                <wp:cNvGraphicFramePr/>
                <a:graphic xmlns:a="http://schemas.openxmlformats.org/drawingml/2006/main">
                  <a:graphicData uri="http://schemas.microsoft.com/office/word/2010/wordprocessingShape">
                    <wps:wsp>
                      <wps:cNvSpPr/>
                      <wps:spPr>
                        <a:xfrm rot="329805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1DB946C" id="箭头: 右 3776" o:spid="_x0000_s1026" type="#_x0000_t13" style="position:absolute;left:0;text-align:left;margin-left:179.2pt;margin-top:178.55pt;width:23.4pt;height:7.8pt;rotation:3602350fd;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700224" behindDoc="0" locked="0" layoutInCell="1" allowOverlap="1" wp14:anchorId="1FD5AE59" wp14:editId="5C9D0034">
                <wp:simplePos x="0" y="0"/>
                <wp:positionH relativeFrom="column">
                  <wp:posOffset>2734669</wp:posOffset>
                </wp:positionH>
                <wp:positionV relativeFrom="paragraph">
                  <wp:posOffset>2191247</wp:posOffset>
                </wp:positionV>
                <wp:extent cx="297180" cy="99060"/>
                <wp:effectExtent l="0" t="95250" r="0" b="72390"/>
                <wp:wrapNone/>
                <wp:docPr id="86" name="箭头: 右 86"/>
                <wp:cNvGraphicFramePr/>
                <a:graphic xmlns:a="http://schemas.openxmlformats.org/drawingml/2006/main">
                  <a:graphicData uri="http://schemas.microsoft.com/office/word/2010/wordprocessingShape">
                    <wps:wsp>
                      <wps:cNvSpPr/>
                      <wps:spPr>
                        <a:xfrm rot="2439273">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F898C39" id="箭头: 右 86" o:spid="_x0000_s1026" type="#_x0000_t13" style="position:absolute;left:0;text-align:left;margin-left:215.35pt;margin-top:172.55pt;width:23.4pt;height:7.8pt;rotation:2664337fd;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698176" behindDoc="0" locked="0" layoutInCell="1" allowOverlap="1" wp14:anchorId="47124FD2" wp14:editId="0AB9A8EA">
                <wp:simplePos x="0" y="0"/>
                <wp:positionH relativeFrom="column">
                  <wp:posOffset>3344488</wp:posOffset>
                </wp:positionH>
                <wp:positionV relativeFrom="paragraph">
                  <wp:posOffset>1458644</wp:posOffset>
                </wp:positionV>
                <wp:extent cx="297180" cy="99060"/>
                <wp:effectExtent l="0" t="95250" r="0" b="72390"/>
                <wp:wrapNone/>
                <wp:docPr id="84" name="箭头: 右 84"/>
                <wp:cNvGraphicFramePr/>
                <a:graphic xmlns:a="http://schemas.openxmlformats.org/drawingml/2006/main">
                  <a:graphicData uri="http://schemas.microsoft.com/office/word/2010/wordprocessingShape">
                    <wps:wsp>
                      <wps:cNvSpPr/>
                      <wps:spPr>
                        <a:xfrm rot="2403202">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FA8C072" id="箭头: 右 84" o:spid="_x0000_s1026" type="#_x0000_t13" style="position:absolute;left:0;text-align:left;margin-left:263.35pt;margin-top:114.85pt;width:23.4pt;height:7.8pt;rotation:2624937fd;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672576" behindDoc="0" locked="0" layoutInCell="1" allowOverlap="1" wp14:anchorId="522FC778" wp14:editId="771B36F7">
                <wp:simplePos x="0" y="0"/>
                <wp:positionH relativeFrom="column">
                  <wp:posOffset>3742000</wp:posOffset>
                </wp:positionH>
                <wp:positionV relativeFrom="paragraph">
                  <wp:posOffset>1458319</wp:posOffset>
                </wp:positionV>
                <wp:extent cx="297180" cy="99060"/>
                <wp:effectExtent l="0" t="95250" r="0" b="72390"/>
                <wp:wrapNone/>
                <wp:docPr id="23" name="箭头: 右 23"/>
                <wp:cNvGraphicFramePr/>
                <a:graphic xmlns:a="http://schemas.openxmlformats.org/drawingml/2006/main">
                  <a:graphicData uri="http://schemas.microsoft.com/office/word/2010/wordprocessingShape">
                    <wps:wsp>
                      <wps:cNvSpPr/>
                      <wps:spPr>
                        <a:xfrm rot="2401163">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49A751D" id="箭头: 右 23" o:spid="_x0000_s1026" type="#_x0000_t13" style="position:absolute;left:0;text-align:left;margin-left:294.65pt;margin-top:114.85pt;width:23.4pt;height:7.8pt;rotation:2622710fd;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702272" behindDoc="0" locked="0" layoutInCell="1" allowOverlap="1" wp14:anchorId="2293857F" wp14:editId="3663E65E">
                <wp:simplePos x="0" y="0"/>
                <wp:positionH relativeFrom="column">
                  <wp:posOffset>3238017</wp:posOffset>
                </wp:positionH>
                <wp:positionV relativeFrom="paragraph">
                  <wp:posOffset>2165240</wp:posOffset>
                </wp:positionV>
                <wp:extent cx="297180" cy="99060"/>
                <wp:effectExtent l="0" t="95250" r="0" b="72390"/>
                <wp:wrapNone/>
                <wp:docPr id="3777" name="箭头: 右 3777"/>
                <wp:cNvGraphicFramePr/>
                <a:graphic xmlns:a="http://schemas.openxmlformats.org/drawingml/2006/main">
                  <a:graphicData uri="http://schemas.microsoft.com/office/word/2010/wordprocessingShape">
                    <wps:wsp>
                      <wps:cNvSpPr/>
                      <wps:spPr>
                        <a:xfrm rot="2524766">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7E84FE2" id="箭头: 右 3777" o:spid="_x0000_s1026" type="#_x0000_t13" style="position:absolute;left:0;text-align:left;margin-left:254.95pt;margin-top:170.5pt;width:23.4pt;height:7.8pt;rotation:2757718fd;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696128" behindDoc="0" locked="0" layoutInCell="1" allowOverlap="1" wp14:anchorId="250125CB" wp14:editId="5C3B504E">
                <wp:simplePos x="0" y="0"/>
                <wp:positionH relativeFrom="margin">
                  <wp:posOffset>4448948</wp:posOffset>
                </wp:positionH>
                <wp:positionV relativeFrom="paragraph">
                  <wp:posOffset>2274088</wp:posOffset>
                </wp:positionV>
                <wp:extent cx="663575" cy="327660"/>
                <wp:effectExtent l="0" t="0" r="0" b="0"/>
                <wp:wrapNone/>
                <wp:docPr id="81" name="文本框 81"/>
                <wp:cNvGraphicFramePr/>
                <a:graphic xmlns:a="http://schemas.openxmlformats.org/drawingml/2006/main">
                  <a:graphicData uri="http://schemas.microsoft.com/office/word/2010/wordprocessingShape">
                    <wps:wsp>
                      <wps:cNvSpPr txBox="1"/>
                      <wps:spPr bwMode="auto">
                        <a:xfrm>
                          <a:off x="0" y="0"/>
                          <a:ext cx="663575" cy="327660"/>
                        </a:xfrm>
                        <a:prstGeom prst="rect">
                          <a:avLst/>
                        </a:prstGeom>
                        <a:noFill/>
                        <a:ln w="9525">
                          <a:noFill/>
                          <a:miter lim="800000"/>
                        </a:ln>
                      </wps:spPr>
                      <wps:txbx>
                        <w:txbxContent>
                          <w:p w14:paraId="6CF9CE9B" w14:textId="2046C25A" w:rsidR="00A54A8A" w:rsidRDefault="000736F8">
                            <w:pPr>
                              <w:rPr>
                                <w:b/>
                                <w:bCs/>
                                <w:color w:val="FF0000"/>
                                <w:lang w:eastAsia="zh-CN"/>
                              </w:rPr>
                            </w:pPr>
                            <w:r>
                              <w:rPr>
                                <w:rFonts w:hint="eastAsia"/>
                                <w:b/>
                                <w:bCs/>
                                <w:color w:val="FF0000"/>
                                <w:lang w:eastAsia="zh-CN"/>
                              </w:rPr>
                              <w:t>后河</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250125CB" id="文本框 81" o:spid="_x0000_s1028" type="#_x0000_t202" style="position:absolute;left:0;text-align:left;margin-left:350.3pt;margin-top:179.05pt;width:52.25pt;height:25.8pt;z-index:251696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" filled="f" stroked="f">
                <v:textbox>
                  <w:txbxContent>
                    <w:p w14:paraId="6CF9CE9B" w14:textId="2046C25A" w:rsidR="00A54A8A" w:rsidRDefault="000736F8">
                      <w:pPr>
                        <w:rPr>
                          <w:b/>
                          <w:bCs/>
                          <w:color w:val="FF0000"/>
                          <w:lang w:eastAsia="zh-CN"/>
                        </w:rPr>
                      </w:pPr>
                      <w:r>
                        <w:rPr>
                          <w:rFonts w:hint="eastAsia"/>
                          <w:b/>
                          <w:bCs/>
                          <w:color w:val="FF0000"/>
                          <w:lang w:eastAsia="zh-CN"/>
                        </w:rPr>
                        <w:t>后河</w:t>
                      </w:r>
                    </w:p>
                  </w:txbxContent>
                </v:textbox>
                <w10:wrap anchorx="margin"/>
              </v:shape>
            </w:pict>
          </mc:Fallback>
        </mc:AlternateContent>
      </w:r>
      <w:r w:rsidRPr="00E67914">
        <w:rPr>
          <w:rFonts w:ascii="Times New Roman" w:hAnsi="Times New Roman"/>
          <w:noProof/>
        </w:rPr>
        <mc:AlternateContent>
          <mc:Choice Requires="wps">
            <w:drawing>
              <wp:anchor distT="0" distB="0" distL="114300" distR="114300" simplePos="0" relativeHeight="251721728" behindDoc="0" locked="0" layoutInCell="1" allowOverlap="1" wp14:anchorId="53FA02BF" wp14:editId="10AEB899">
                <wp:simplePos x="0" y="0"/>
                <wp:positionH relativeFrom="column">
                  <wp:posOffset>4779064</wp:posOffset>
                </wp:positionH>
                <wp:positionV relativeFrom="paragraph">
                  <wp:posOffset>1908313</wp:posOffset>
                </wp:positionV>
                <wp:extent cx="232245" cy="411839"/>
                <wp:effectExtent l="38100" t="0" r="34925" b="64770"/>
                <wp:wrapNone/>
                <wp:docPr id="361825443" name="直接箭头连接符 1"/>
                <wp:cNvGraphicFramePr/>
                <a:graphic xmlns:a="http://schemas.openxmlformats.org/drawingml/2006/main">
                  <a:graphicData uri="http://schemas.microsoft.com/office/word/2010/wordprocessingShape">
                    <wps:wsp>
                      <wps:cNvCnPr/>
                      <wps:spPr>
                        <a:xfrm flipH="1">
                          <a:off x="0" y="0"/>
                          <a:ext cx="232245" cy="411839"/>
                        </a:xfrm>
                        <a:prstGeom prst="straightConnector1">
                          <a:avLst/>
                        </a:prstGeom>
                        <a:ln w="22225">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C7C0CC" id="_x0000_t32" coordsize="21600,21600" o:spt="32" o:oned="t" path="m,l21600,21600e" filled="f">
                <v:path arrowok="t" fillok="f" o:connecttype="none"/>
                <o:lock v:ext="edit" shapetype="t"/>
              </v:shapetype>
              <v:shape id="直接箭头连接符 1" o:spid="_x0000_s1026" type="#_x0000_t32" style="position:absolute;left:0;text-align:left;margin-left:376.3pt;margin-top:150.25pt;width:18.3pt;height:32.45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" strokecolor="#00b050" strokeweight="1.75pt">
                <v:stroke endarrow="block" joinstyle="miter"/>
              </v:shape>
            </w:pict>
          </mc:Fallback>
        </mc:AlternateContent>
      </w:r>
      <w:r w:rsidRPr="00E67914">
        <w:rPr>
          <w:rFonts w:ascii="Times New Roman" w:hAnsi="Times New Roman"/>
          <w:noProof/>
        </w:rPr>
        <mc:AlternateContent>
          <mc:Choice Requires="wps">
            <w:drawing>
              <wp:anchor distT="0" distB="0" distL="114300" distR="114300" simplePos="0" relativeHeight="251703296" behindDoc="0" locked="0" layoutInCell="1" allowOverlap="1" wp14:anchorId="091164FE" wp14:editId="13701C3D">
                <wp:simplePos x="0" y="0"/>
                <wp:positionH relativeFrom="margin">
                  <wp:posOffset>2657668</wp:posOffset>
                </wp:positionH>
                <wp:positionV relativeFrom="paragraph">
                  <wp:posOffset>1715439</wp:posOffset>
                </wp:positionV>
                <wp:extent cx="929005" cy="327660"/>
                <wp:effectExtent l="0" t="0" r="0" b="0"/>
                <wp:wrapNone/>
                <wp:docPr id="3778" name="文本框 3778"/>
                <wp:cNvGraphicFramePr/>
                <a:graphic xmlns:a="http://schemas.openxmlformats.org/drawingml/2006/main">
                  <a:graphicData uri="http://schemas.microsoft.com/office/word/2010/wordprocessingShape">
                    <wps:wsp>
                      <wps:cNvSpPr txBox="1"/>
                      <wps:spPr bwMode="auto">
                        <a:xfrm>
                          <a:off x="0" y="0"/>
                          <a:ext cx="929005" cy="327660"/>
                        </a:xfrm>
                        <a:prstGeom prst="rect">
                          <a:avLst/>
                        </a:prstGeom>
                        <a:noFill/>
                        <a:ln w="9525">
                          <a:noFill/>
                          <a:miter lim="800000"/>
                        </a:ln>
                      </wps:spPr>
                      <wps:txbx>
                        <w:txbxContent>
                          <w:p w14:paraId="55B2DD8D" w14:textId="77777777" w:rsidR="00A54A8A" w:rsidRDefault="00000000">
                            <w:pPr>
                              <w:rPr>
                                <w:b/>
                                <w:bCs/>
                                <w:color w:val="FF0000"/>
                                <w:lang w:eastAsia="zh-CN"/>
                              </w:rPr>
                            </w:pPr>
                            <w:r>
                              <w:rPr>
                                <w:rFonts w:hint="eastAsia"/>
                                <w:b/>
                                <w:bCs/>
                                <w:color w:val="FF0000"/>
                                <w:lang w:eastAsia="zh-CN"/>
                              </w:rPr>
                              <w:t>项目所在地</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091164FE" id="文本框 3778" o:spid="_x0000_s1029" type="#_x0000_t202" style="position:absolute;left:0;text-align:left;margin-left:209.25pt;margin-top:135.05pt;width:73.15pt;height:25.8pt;z-index:251703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" filled="f" stroked="f">
                <v:textbox>
                  <w:txbxContent>
                    <w:p w14:paraId="55B2DD8D" w14:textId="77777777" w:rsidR="00A54A8A" w:rsidRDefault="00000000">
                      <w:pPr>
                        <w:rPr>
                          <w:b/>
                          <w:bCs/>
                          <w:color w:val="FF0000"/>
                          <w:lang w:eastAsia="zh-CN"/>
                        </w:rPr>
                      </w:pPr>
                      <w:r>
                        <w:rPr>
                          <w:rFonts w:hint="eastAsia"/>
                          <w:b/>
                          <w:bCs/>
                          <w:color w:val="FF0000"/>
                          <w:lang w:eastAsia="zh-CN"/>
                        </w:rPr>
                        <w:t>项目所在地</w:t>
                      </w:r>
                    </w:p>
                  </w:txbxContent>
                </v:textbox>
                <w10:wrap anchorx="margin"/>
              </v:shape>
            </w:pict>
          </mc:Fallback>
        </mc:AlternateContent>
      </w:r>
      <w:r w:rsidRPr="00E67914">
        <w:rPr>
          <w:rFonts w:ascii="Times New Roman" w:hAnsi="Times New Roman"/>
          <w:noProof/>
        </w:rPr>
        <mc:AlternateContent>
          <mc:Choice Requires="wps">
            <w:drawing>
              <wp:anchor distT="0" distB="0" distL="114300" distR="114300" simplePos="0" relativeHeight="251673600" behindDoc="0" locked="0" layoutInCell="1" allowOverlap="1" wp14:anchorId="6248A41A" wp14:editId="186F5838">
                <wp:simplePos x="0" y="0"/>
                <wp:positionH relativeFrom="column">
                  <wp:posOffset>2414573</wp:posOffset>
                </wp:positionH>
                <wp:positionV relativeFrom="paragraph">
                  <wp:posOffset>3357660</wp:posOffset>
                </wp:positionV>
                <wp:extent cx="1230630" cy="327660"/>
                <wp:effectExtent l="0" t="647700" r="26670" b="15240"/>
                <wp:wrapNone/>
                <wp:docPr id="1840" name="对话气泡: 矩形 1840"/>
                <wp:cNvGraphicFramePr/>
                <a:graphic xmlns:a="http://schemas.openxmlformats.org/drawingml/2006/main">
                  <a:graphicData uri="http://schemas.microsoft.com/office/word/2010/wordprocessingShape">
                    <wps:wsp>
                      <wps:cNvSpPr/>
                      <wps:spPr>
                        <a:xfrm>
                          <a:off x="0" y="0"/>
                          <a:ext cx="1230630" cy="327660"/>
                        </a:xfrm>
                        <a:prstGeom prst="wedgeRectCallout">
                          <a:avLst>
                            <a:gd name="adj1" fmla="val -41990"/>
                            <a:gd name="adj2" fmla="val -23482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860366" w14:textId="77777777" w:rsidR="00A54A8A" w:rsidRDefault="00000000">
                            <w:pPr>
                              <w:jc w:val="center"/>
                              <w:rPr>
                                <w:b/>
                                <w:bCs/>
                                <w:lang w:eastAsia="zh-CN"/>
                              </w:rPr>
                            </w:pPr>
                            <w:r>
                              <w:rPr>
                                <w:rFonts w:hint="eastAsia"/>
                                <w:b/>
                                <w:bCs/>
                                <w:lang w:eastAsia="zh-CN"/>
                              </w:rPr>
                              <w:t>地下水评价范围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6248A41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1840" o:spid="_x0000_s1030" type="#_x0000_t61" style="position:absolute;left:0;text-align:left;margin-left:190.1pt;margin-top:264.4pt;width:96.9pt;height:25.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" adj="1730,-39922" fillcolor="#4472c4 [3204]" strokecolor="#1f3763 [1604]" strokeweight="1pt">
                <v:textbox>
                  <w:txbxContent>
                    <w:p w14:paraId="74860366" w14:textId="77777777" w:rsidR="00A54A8A" w:rsidRDefault="00000000">
                      <w:pPr>
                        <w:jc w:val="center"/>
                        <w:rPr>
                          <w:b/>
                          <w:bCs/>
                          <w:lang w:eastAsia="zh-CN"/>
                        </w:rPr>
                      </w:pPr>
                      <w:r>
                        <w:rPr>
                          <w:rFonts w:hint="eastAsia"/>
                          <w:b/>
                          <w:bCs/>
                          <w:lang w:eastAsia="zh-CN"/>
                        </w:rPr>
                        <w:t>地下水评价范围</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99200" behindDoc="0" locked="0" layoutInCell="1" allowOverlap="1" wp14:anchorId="4F2761F2" wp14:editId="4E4B5A8C">
                <wp:simplePos x="0" y="0"/>
                <wp:positionH relativeFrom="column">
                  <wp:posOffset>4037799</wp:posOffset>
                </wp:positionH>
                <wp:positionV relativeFrom="paragraph">
                  <wp:posOffset>2028494</wp:posOffset>
                </wp:positionV>
                <wp:extent cx="297180" cy="99060"/>
                <wp:effectExtent l="80010" t="15240" r="68580" b="0"/>
                <wp:wrapNone/>
                <wp:docPr id="85" name="箭头: 右 85"/>
                <wp:cNvGraphicFramePr/>
                <a:graphic xmlns:a="http://schemas.openxmlformats.org/drawingml/2006/main">
                  <a:graphicData uri="http://schemas.microsoft.com/office/word/2010/wordprocessingShape">
                    <wps:wsp>
                      <wps:cNvSpPr/>
                      <wps:spPr>
                        <a:xfrm rot="3143479">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BB09561" id="箭头: 右 85" o:spid="_x0000_s1026" type="#_x0000_t13" style="position:absolute;left:0;text-align:left;margin-left:317.95pt;margin-top:159.7pt;width:23.4pt;height:7.8pt;rotation:3433517fd;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714560" behindDoc="0" locked="0" layoutInCell="1" allowOverlap="1" wp14:anchorId="5C6D4014" wp14:editId="4643E6FA">
                <wp:simplePos x="0" y="0"/>
                <wp:positionH relativeFrom="column">
                  <wp:posOffset>4362035</wp:posOffset>
                </wp:positionH>
                <wp:positionV relativeFrom="paragraph">
                  <wp:posOffset>1641924</wp:posOffset>
                </wp:positionV>
                <wp:extent cx="297180" cy="99060"/>
                <wp:effectExtent l="19050" t="76200" r="0" b="72390"/>
                <wp:wrapNone/>
                <wp:docPr id="157" name="箭头: 右 157"/>
                <wp:cNvGraphicFramePr/>
                <a:graphic xmlns:a="http://schemas.openxmlformats.org/drawingml/2006/main">
                  <a:graphicData uri="http://schemas.microsoft.com/office/word/2010/wordprocessingShape">
                    <wps:wsp>
                      <wps:cNvSpPr/>
                      <wps:spPr>
                        <a:xfrm rot="1981900">
                          <a:off x="0" y="0"/>
                          <a:ext cx="297180" cy="99060"/>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CB11655" id="箭头: 右 157" o:spid="_x0000_s1026" type="#_x0000_t13" style="position:absolute;left:0;text-align:left;margin-left:343.45pt;margin-top:129.3pt;width:23.4pt;height:7.8pt;rotation:2164763fd;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" adj="18000" fillcolor="yellow" strokecolor="yellow" strokeweight="1pt"/>
            </w:pict>
          </mc:Fallback>
        </mc:AlternateContent>
      </w:r>
      <w:r w:rsidRPr="00E67914">
        <w:rPr>
          <w:rFonts w:ascii="Times New Roman" w:hAnsi="Times New Roman"/>
          <w:noProof/>
        </w:rPr>
        <mc:AlternateContent>
          <mc:Choice Requires="wps">
            <w:drawing>
              <wp:anchor distT="0" distB="0" distL="114300" distR="114300" simplePos="0" relativeHeight="251695104" behindDoc="0" locked="0" layoutInCell="1" allowOverlap="1" wp14:anchorId="154AA1B2" wp14:editId="2AF29E9A">
                <wp:simplePos x="0" y="0"/>
                <wp:positionH relativeFrom="margin">
                  <wp:posOffset>2859405</wp:posOffset>
                </wp:positionH>
                <wp:positionV relativeFrom="paragraph">
                  <wp:posOffset>2525395</wp:posOffset>
                </wp:positionV>
                <wp:extent cx="663575" cy="327660"/>
                <wp:effectExtent l="0" t="0" r="0" b="0"/>
                <wp:wrapNone/>
                <wp:docPr id="47" name="文本框 47"/>
                <wp:cNvGraphicFramePr/>
                <a:graphic xmlns:a="http://schemas.openxmlformats.org/drawingml/2006/main">
                  <a:graphicData uri="http://schemas.microsoft.com/office/word/2010/wordprocessingShape">
                    <wps:wsp>
                      <wps:cNvSpPr txBox="1"/>
                      <wps:spPr bwMode="auto">
                        <a:xfrm>
                          <a:off x="0" y="0"/>
                          <a:ext cx="663678" cy="327660"/>
                        </a:xfrm>
                        <a:prstGeom prst="rect">
                          <a:avLst/>
                        </a:prstGeom>
                        <a:noFill/>
                        <a:ln w="9525">
                          <a:noFill/>
                          <a:miter lim="800000"/>
                        </a:ln>
                      </wps:spPr>
                      <wps:txbx>
                        <w:txbxContent>
                          <w:p w14:paraId="717AC196" w14:textId="69ECA280" w:rsidR="00A54A8A" w:rsidRDefault="00547590">
                            <w:pPr>
                              <w:rPr>
                                <w:b/>
                                <w:bCs/>
                                <w:color w:val="FF0000"/>
                                <w:lang w:eastAsia="zh-CN"/>
                              </w:rPr>
                            </w:pPr>
                            <w:r>
                              <w:rPr>
                                <w:rFonts w:hint="eastAsia"/>
                                <w:b/>
                                <w:bCs/>
                                <w:color w:val="FF0000"/>
                                <w:lang w:eastAsia="zh-CN"/>
                              </w:rPr>
                              <w:t>冲沟</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154AA1B2" id="文本框 47" o:spid="_x0000_s1031" type="#_x0000_t202" style="position:absolute;left:0;text-align:left;margin-left:225.15pt;margin-top:198.85pt;width:52.25pt;height:25.8pt;z-index:251695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" filled="f" stroked="f">
                <v:textbox>
                  <w:txbxContent>
                    <w:p w14:paraId="717AC196" w14:textId="69ECA280" w:rsidR="00A54A8A" w:rsidRDefault="00547590">
                      <w:pPr>
                        <w:rPr>
                          <w:b/>
                          <w:bCs/>
                          <w:color w:val="FF0000"/>
                          <w:lang w:eastAsia="zh-CN"/>
                        </w:rPr>
                      </w:pPr>
                      <w:r>
                        <w:rPr>
                          <w:rFonts w:hint="eastAsia"/>
                          <w:b/>
                          <w:bCs/>
                          <w:color w:val="FF0000"/>
                          <w:lang w:eastAsia="zh-CN"/>
                        </w:rPr>
                        <w:t>冲沟</w:t>
                      </w:r>
                    </w:p>
                  </w:txbxContent>
                </v:textbox>
                <w10:wrap anchorx="margin"/>
              </v:shape>
            </w:pict>
          </mc:Fallback>
        </mc:AlternateContent>
      </w:r>
      <w:r w:rsidRPr="00E67914">
        <w:rPr>
          <w:rFonts w:ascii="Times New Roman" w:hAnsi="Times New Roman"/>
          <w:noProof/>
        </w:rPr>
        <w:drawing>
          <wp:inline distT="0" distB="0" distL="0" distR="0" wp14:anchorId="6F819BDF" wp14:editId="6EA1BA9E">
            <wp:extent cx="5274310" cy="3821430"/>
            <wp:effectExtent l="0" t="0" r="2540" b="7620"/>
            <wp:docPr id="1816299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99714" name=""/>
                    <pic:cNvPicPr/>
                  </pic:nvPicPr>
                  <pic:blipFill>
                    <a:blip r:embed="rId15"/>
                    <a:stretch>
                      <a:fillRect/>
                    </a:stretch>
                  </pic:blipFill>
                  <pic:spPr>
                    <a:xfrm>
                      <a:off x="0" y="0"/>
                      <a:ext cx="5274310" cy="3821430"/>
                    </a:xfrm>
                    <a:prstGeom prst="rect">
                      <a:avLst/>
                    </a:prstGeom>
                  </pic:spPr>
                </pic:pic>
              </a:graphicData>
            </a:graphic>
          </wp:inline>
        </w:drawing>
      </w:r>
    </w:p>
    <w:p w14:paraId="3DD39D0D"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2.6-1  </w:t>
      </w:r>
      <w:r w:rsidRPr="00E67914">
        <w:rPr>
          <w:rFonts w:ascii="Times New Roman" w:eastAsia="黑体" w:hAnsi="Times New Roman"/>
          <w:sz w:val="21"/>
          <w:szCs w:val="21"/>
          <w:lang w:eastAsia="zh-CN"/>
        </w:rPr>
        <w:t>项目所在区地下水环境评价范围图</w:t>
      </w:r>
    </w:p>
    <w:p w14:paraId="0CC27101"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2.6.3</w:t>
      </w:r>
      <w:r w:rsidRPr="00E67914">
        <w:rPr>
          <w:rFonts w:ascii="Times New Roman" w:eastAsia="黑体" w:hAnsi="Times New Roman"/>
          <w:b w:val="0"/>
          <w:sz w:val="24"/>
          <w:szCs w:val="24"/>
          <w:lang w:eastAsia="zh-CN"/>
        </w:rPr>
        <w:t>大气环境</w:t>
      </w:r>
    </w:p>
    <w:p w14:paraId="1A75DC5A"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）评价工作等级</w:t>
      </w:r>
    </w:p>
    <w:p w14:paraId="369329E2"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大气环境》（</w:t>
      </w:r>
      <w:r w:rsidRPr="00E67914">
        <w:rPr>
          <w:rFonts w:ascii="Times New Roman" w:hAnsi="Times New Roman"/>
          <w:bCs/>
          <w:kern w:val="2"/>
          <w:sz w:val="24"/>
          <w:szCs w:val="24"/>
          <w:lang w:eastAsia="zh-CN"/>
        </w:rPr>
        <w:t>HJ2.2-2018</w:t>
      </w:r>
      <w:r w:rsidRPr="00E67914">
        <w:rPr>
          <w:rFonts w:ascii="Times New Roman" w:hAnsi="Times New Roman"/>
          <w:bCs/>
          <w:kern w:val="2"/>
          <w:sz w:val="24"/>
          <w:szCs w:val="24"/>
          <w:lang w:eastAsia="zh-CN"/>
        </w:rPr>
        <w:t>）的规定，依据污染物最大地面浓度占标率确定空气环境评价等级。</w:t>
      </w:r>
    </w:p>
    <w:p w14:paraId="46BA9DFD" w14:textId="7B91778A"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根据天然气开发项目环境影响特点，大气环境影响为钻井期间的施工机械、施工车辆产生的尾气、柴油发电机废气，试采期间正常工况下将产生水套加热炉燃烧废气</w:t>
      </w:r>
      <w:r w:rsidR="00547590" w:rsidRPr="00E67914">
        <w:rPr>
          <w:rFonts w:ascii="Times New Roman" w:hAnsi="Times New Roman"/>
          <w:bCs/>
          <w:kern w:val="2"/>
          <w:sz w:val="24"/>
          <w:szCs w:val="24"/>
          <w:lang w:eastAsia="zh-CN"/>
        </w:rPr>
        <w:t>、</w:t>
      </w:r>
      <w:r w:rsidR="00DE693A" w:rsidRPr="00E67914">
        <w:rPr>
          <w:rFonts w:ascii="Times New Roman" w:hAnsi="Times New Roman"/>
          <w:bCs/>
          <w:kern w:val="2"/>
          <w:sz w:val="24"/>
          <w:szCs w:val="24"/>
          <w:lang w:eastAsia="zh-CN"/>
        </w:rPr>
        <w:t>火炬及放空系统长明灯燃烧废气</w:t>
      </w:r>
      <w:r w:rsidR="00547590" w:rsidRPr="00E67914">
        <w:rPr>
          <w:rFonts w:ascii="Times New Roman" w:hAnsi="Times New Roman"/>
          <w:bCs/>
          <w:kern w:val="2"/>
          <w:sz w:val="24"/>
          <w:szCs w:val="24"/>
          <w:lang w:eastAsia="zh-CN"/>
        </w:rPr>
        <w:t>和</w:t>
      </w:r>
      <w:r w:rsidR="00DE693A" w:rsidRPr="00E67914">
        <w:rPr>
          <w:rFonts w:ascii="Times New Roman" w:hAnsi="Times New Roman"/>
          <w:bCs/>
          <w:kern w:val="2"/>
          <w:sz w:val="24"/>
          <w:szCs w:val="24"/>
          <w:lang w:eastAsia="zh-CN"/>
        </w:rPr>
        <w:t>油罐挥发气体、凝析油装车挥发气体、非正常工况放空废气</w:t>
      </w:r>
      <w:r w:rsidRPr="00E67914">
        <w:rPr>
          <w:rFonts w:ascii="Times New Roman" w:hAnsi="Times New Roman"/>
          <w:bCs/>
          <w:kern w:val="2"/>
          <w:sz w:val="24"/>
          <w:szCs w:val="24"/>
          <w:lang w:eastAsia="zh-CN"/>
        </w:rPr>
        <w:t>。由于施工期较短暂，钻井工程工期较短，试采期产生的水套加热炉燃烧废气经</w:t>
      </w:r>
      <w:r w:rsidR="0036532E"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高排气筒排放</w:t>
      </w:r>
      <w:r w:rsidR="00314DA1" w:rsidRPr="00E67914">
        <w:rPr>
          <w:rFonts w:ascii="Times New Roman" w:hAnsi="Times New Roman"/>
          <w:bCs/>
          <w:kern w:val="2"/>
          <w:sz w:val="24"/>
          <w:szCs w:val="24"/>
          <w:lang w:eastAsia="zh-CN"/>
        </w:rPr>
        <w:t>，火炬长明灯燃烧废气通过</w:t>
      </w:r>
      <w:r w:rsidR="00314DA1" w:rsidRPr="00E67914">
        <w:rPr>
          <w:rFonts w:ascii="Times New Roman" w:hAnsi="Times New Roman"/>
          <w:bCs/>
          <w:kern w:val="2"/>
          <w:sz w:val="24"/>
          <w:szCs w:val="24"/>
          <w:lang w:eastAsia="zh-CN"/>
        </w:rPr>
        <w:t>25m</w:t>
      </w:r>
      <w:r w:rsidR="00314DA1" w:rsidRPr="00E67914">
        <w:rPr>
          <w:rFonts w:ascii="Times New Roman" w:hAnsi="Times New Roman"/>
          <w:bCs/>
          <w:kern w:val="2"/>
          <w:sz w:val="24"/>
          <w:szCs w:val="24"/>
          <w:lang w:eastAsia="zh-CN"/>
        </w:rPr>
        <w:t>高放空火炬排放</w:t>
      </w:r>
      <w:r w:rsidR="0036532E" w:rsidRPr="00E67914">
        <w:rPr>
          <w:rFonts w:ascii="Times New Roman" w:hAnsi="Times New Roman"/>
          <w:bCs/>
          <w:kern w:val="2"/>
          <w:sz w:val="24"/>
          <w:szCs w:val="24"/>
          <w:lang w:eastAsia="zh-CN"/>
        </w:rPr>
        <w:t>，</w:t>
      </w:r>
      <w:r w:rsidR="001729B7" w:rsidRPr="00E67914">
        <w:rPr>
          <w:rFonts w:ascii="Times New Roman" w:hAnsi="Times New Roman"/>
          <w:bCs/>
          <w:kern w:val="2"/>
          <w:sz w:val="24"/>
          <w:szCs w:val="24"/>
          <w:lang w:eastAsia="zh-CN"/>
        </w:rPr>
        <w:t>油罐挥发气</w:t>
      </w:r>
      <w:r w:rsidR="00314DA1" w:rsidRPr="00E67914">
        <w:rPr>
          <w:rFonts w:ascii="Times New Roman" w:hAnsi="Times New Roman"/>
          <w:bCs/>
          <w:kern w:val="2"/>
          <w:sz w:val="24"/>
          <w:szCs w:val="24"/>
          <w:lang w:eastAsia="zh-CN"/>
        </w:rPr>
        <w:t>通过</w:t>
      </w:r>
      <w:r w:rsidR="00314DA1" w:rsidRPr="00E67914">
        <w:rPr>
          <w:rFonts w:ascii="Times New Roman" w:hAnsi="Times New Roman"/>
          <w:bCs/>
          <w:kern w:val="2"/>
          <w:sz w:val="24"/>
          <w:szCs w:val="24"/>
          <w:lang w:eastAsia="zh-CN"/>
        </w:rPr>
        <w:t>6m</w:t>
      </w:r>
      <w:r w:rsidR="00314DA1" w:rsidRPr="00E67914">
        <w:rPr>
          <w:rFonts w:ascii="Times New Roman" w:hAnsi="Times New Roman"/>
          <w:bCs/>
          <w:kern w:val="2"/>
          <w:sz w:val="24"/>
          <w:szCs w:val="24"/>
          <w:lang w:eastAsia="zh-CN"/>
        </w:rPr>
        <w:t>高放散管放散，</w:t>
      </w:r>
      <w:r w:rsidR="001729B7" w:rsidRPr="00E67914">
        <w:rPr>
          <w:rFonts w:ascii="Times New Roman" w:hAnsi="Times New Roman"/>
          <w:bCs/>
          <w:kern w:val="2"/>
          <w:sz w:val="24"/>
          <w:szCs w:val="24"/>
          <w:lang w:eastAsia="zh-CN"/>
        </w:rPr>
        <w:t>凝析油装车挥发气无组织排放</w:t>
      </w:r>
      <w:r w:rsidRPr="00E67914">
        <w:rPr>
          <w:rFonts w:ascii="Times New Roman" w:hAnsi="Times New Roman"/>
          <w:bCs/>
          <w:kern w:val="2"/>
          <w:sz w:val="24"/>
          <w:szCs w:val="24"/>
          <w:lang w:eastAsia="zh-CN"/>
        </w:rPr>
        <w:t>。</w:t>
      </w:r>
    </w:p>
    <w:p w14:paraId="004BD96B" w14:textId="4B712218"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评价工作等级按《环境影响评价技术导则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大气环境》（</w:t>
      </w:r>
      <w:r w:rsidRPr="00E67914">
        <w:rPr>
          <w:rFonts w:ascii="Times New Roman" w:hAnsi="Times New Roman"/>
          <w:bCs/>
          <w:kern w:val="2"/>
          <w:sz w:val="24"/>
          <w:szCs w:val="24"/>
          <w:lang w:eastAsia="zh-CN"/>
        </w:rPr>
        <w:t>HJ2.2-2018</w:t>
      </w:r>
      <w:r w:rsidRPr="00E67914">
        <w:rPr>
          <w:rFonts w:ascii="Times New Roman" w:hAnsi="Times New Roman"/>
          <w:bCs/>
          <w:kern w:val="2"/>
          <w:sz w:val="24"/>
          <w:szCs w:val="24"/>
          <w:lang w:eastAsia="zh-CN"/>
        </w:rPr>
        <w:t>）规定的分级判据进行划分（见表</w:t>
      </w:r>
      <w:r w:rsidRPr="00E67914">
        <w:rPr>
          <w:rFonts w:ascii="Times New Roman" w:hAnsi="Times New Roman"/>
          <w:bCs/>
          <w:kern w:val="2"/>
          <w:sz w:val="24"/>
          <w:szCs w:val="24"/>
          <w:lang w:eastAsia="zh-CN"/>
        </w:rPr>
        <w:t>2.6-</w:t>
      </w:r>
      <w:r w:rsidR="008752B7"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），如污染物数</w:t>
      </w:r>
      <w:r w:rsidRPr="00E67914">
        <w:rPr>
          <w:rFonts w:ascii="Times New Roman" w:hAnsi="Times New Roman"/>
          <w:bCs/>
          <w:kern w:val="2"/>
          <w:sz w:val="24"/>
          <w:szCs w:val="24"/>
          <w:lang w:eastAsia="zh-CN"/>
        </w:rPr>
        <w:t>i</w:t>
      </w:r>
      <w:r w:rsidRPr="00E67914">
        <w:rPr>
          <w:rFonts w:ascii="Times New Roman" w:hAnsi="Times New Roman"/>
          <w:bCs/>
          <w:kern w:val="2"/>
          <w:sz w:val="24"/>
          <w:szCs w:val="24"/>
          <w:lang w:eastAsia="zh-CN"/>
        </w:rPr>
        <w:t>大于</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，取</w:t>
      </w:r>
      <w:r w:rsidRPr="00E67914">
        <w:rPr>
          <w:rFonts w:ascii="Times New Roman" w:hAnsi="Times New Roman"/>
          <w:bCs/>
          <w:kern w:val="2"/>
          <w:sz w:val="24"/>
          <w:szCs w:val="24"/>
          <w:lang w:eastAsia="zh-CN"/>
        </w:rPr>
        <w:t>P</w:t>
      </w:r>
      <w:r w:rsidRPr="00E67914">
        <w:rPr>
          <w:rFonts w:ascii="Times New Roman" w:hAnsi="Times New Roman"/>
          <w:bCs/>
          <w:kern w:val="2"/>
          <w:sz w:val="24"/>
          <w:szCs w:val="24"/>
          <w:lang w:eastAsia="zh-CN"/>
        </w:rPr>
        <w:t>中最大值（</w:t>
      </w:r>
      <w:r w:rsidRPr="00E67914">
        <w:rPr>
          <w:rFonts w:ascii="Times New Roman" w:hAnsi="Times New Roman"/>
          <w:bCs/>
          <w:kern w:val="2"/>
          <w:sz w:val="24"/>
          <w:szCs w:val="24"/>
          <w:lang w:eastAsia="zh-CN"/>
        </w:rPr>
        <w:t>Pmax</w:t>
      </w:r>
      <w:r w:rsidRPr="00E67914">
        <w:rPr>
          <w:rFonts w:ascii="Times New Roman" w:hAnsi="Times New Roman"/>
          <w:bCs/>
          <w:kern w:val="2"/>
          <w:sz w:val="24"/>
          <w:szCs w:val="24"/>
          <w:lang w:eastAsia="zh-CN"/>
        </w:rPr>
        <w:t>）。</w:t>
      </w:r>
    </w:p>
    <w:p w14:paraId="78E07D90"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2.6-4  </w:t>
      </w:r>
      <w:r w:rsidRPr="00E67914">
        <w:rPr>
          <w:rFonts w:ascii="Times New Roman" w:eastAsia="黑体" w:hAnsi="Times New Roman"/>
          <w:sz w:val="21"/>
          <w:szCs w:val="21"/>
          <w:lang w:eastAsia="zh-CN"/>
        </w:rPr>
        <w:t>大气评价工作等级</w:t>
      </w:r>
    </w:p>
    <w:tbl>
      <w:tblPr>
        <w:tblW w:w="8222" w:type="dxa"/>
        <w:jc w:val="center"/>
        <w:tblLayout w:type="fixed"/>
        <w:tblCellMar>
          <w:left w:w="0" w:type="dxa"/>
          <w:right w:w="0" w:type="dxa"/>
        </w:tblCellMar>
        <w:tblLook w:val="04A0" w:firstRow="1" w:lastRow="0" w:firstColumn="1" w:lastColumn="0" w:noHBand="0" w:noVBand="1"/>
      </w:tblPr>
      <w:tblGrid>
        <w:gridCol w:w="2554"/>
        <w:gridCol w:w="5668"/>
      </w:tblGrid>
      <w:tr w:rsidR="002662E3" w:rsidRPr="00E67914" w14:paraId="37EDCBFA"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573DF725"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评价工作等级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7F3F3C00"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评价工作分级判据</w:t>
            </w:r>
          </w:p>
        </w:tc>
      </w:tr>
      <w:tr w:rsidR="002662E3" w:rsidRPr="00E67914" w14:paraId="6A51E801"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38B718F4"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一级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63450807"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eastAsia="Times New Roman" w:hAnsi="Times New Roman"/>
                <w:sz w:val="21"/>
                <w:szCs w:val="21"/>
              </w:rPr>
              <w:t>Pmax≥10%</w:t>
            </w:r>
          </w:p>
        </w:tc>
      </w:tr>
      <w:tr w:rsidR="002662E3" w:rsidRPr="00E67914" w14:paraId="6DBBF8DC"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633E6B0B"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二级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6C9D686C"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eastAsia="Times New Roman" w:hAnsi="Times New Roman"/>
                <w:sz w:val="21"/>
                <w:szCs w:val="21"/>
              </w:rPr>
              <w:t>1%</w:t>
            </w:r>
            <w:r w:rsidRPr="00E67914">
              <w:rPr>
                <w:rFonts w:ascii="Times New Roman" w:hAnsi="Times New Roman"/>
                <w:sz w:val="21"/>
                <w:szCs w:val="21"/>
              </w:rPr>
              <w:t>≤</w:t>
            </w:r>
            <w:r w:rsidRPr="00E67914">
              <w:rPr>
                <w:rFonts w:ascii="Times New Roman" w:eastAsia="Times New Roman" w:hAnsi="Times New Roman"/>
                <w:sz w:val="21"/>
                <w:szCs w:val="21"/>
              </w:rPr>
              <w:t>Pmax</w:t>
            </w:r>
            <w:r w:rsidRPr="00E67914">
              <w:rPr>
                <w:rFonts w:ascii="Times New Roman" w:hAnsi="Times New Roman"/>
                <w:sz w:val="21"/>
                <w:szCs w:val="21"/>
              </w:rPr>
              <w:t>＜</w:t>
            </w:r>
            <w:r w:rsidRPr="00E67914">
              <w:rPr>
                <w:rFonts w:ascii="Times New Roman" w:eastAsia="Times New Roman" w:hAnsi="Times New Roman"/>
                <w:sz w:val="21"/>
                <w:szCs w:val="21"/>
              </w:rPr>
              <w:t>10%</w:t>
            </w:r>
          </w:p>
        </w:tc>
      </w:tr>
      <w:tr w:rsidR="0093732A" w:rsidRPr="00E67914" w14:paraId="20B2384B" w14:textId="77777777">
        <w:trPr>
          <w:jc w:val="center"/>
        </w:trPr>
        <w:tc>
          <w:tcPr>
            <w:tcW w:w="2554" w:type="dxa"/>
            <w:tcBorders>
              <w:top w:val="single" w:sz="6" w:space="0" w:color="000000"/>
              <w:left w:val="single" w:sz="6" w:space="0" w:color="000000"/>
              <w:bottom w:val="single" w:sz="6" w:space="0" w:color="000000"/>
              <w:right w:val="single" w:sz="6" w:space="0" w:color="000000"/>
            </w:tcBorders>
            <w:vAlign w:val="center"/>
          </w:tcPr>
          <w:p w14:paraId="5F46F30D"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三级</w:t>
            </w:r>
          </w:p>
        </w:tc>
        <w:tc>
          <w:tcPr>
            <w:tcW w:w="5668" w:type="dxa"/>
            <w:tcBorders>
              <w:top w:val="single" w:sz="6" w:space="0" w:color="000000"/>
              <w:left w:val="single" w:sz="6" w:space="0" w:color="000000"/>
              <w:bottom w:val="single" w:sz="6" w:space="0" w:color="000000"/>
              <w:right w:val="single" w:sz="6" w:space="0" w:color="000000"/>
            </w:tcBorders>
            <w:vAlign w:val="center"/>
          </w:tcPr>
          <w:p w14:paraId="3FE71F8D"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eastAsia="Times New Roman" w:hAnsi="Times New Roman"/>
                <w:sz w:val="21"/>
                <w:szCs w:val="21"/>
              </w:rPr>
              <w:t>P</w:t>
            </w:r>
            <w:r w:rsidRPr="00E67914">
              <w:rPr>
                <w:rFonts w:ascii="Times New Roman" w:eastAsia="Times New Roman" w:hAnsi="Times New Roman"/>
                <w:position w:val="-1"/>
                <w:sz w:val="21"/>
                <w:szCs w:val="21"/>
              </w:rPr>
              <w:t>max</w:t>
            </w:r>
            <w:r w:rsidRPr="00E67914">
              <w:rPr>
                <w:rFonts w:ascii="Times New Roman" w:hAnsi="Times New Roman"/>
                <w:sz w:val="21"/>
                <w:szCs w:val="21"/>
              </w:rPr>
              <w:t>＜</w:t>
            </w:r>
            <w:r w:rsidRPr="00E67914">
              <w:rPr>
                <w:rFonts w:ascii="Times New Roman" w:eastAsia="Times New Roman" w:hAnsi="Times New Roman"/>
                <w:sz w:val="21"/>
                <w:szCs w:val="21"/>
              </w:rPr>
              <w:t>1%</w:t>
            </w:r>
          </w:p>
        </w:tc>
      </w:tr>
    </w:tbl>
    <w:p w14:paraId="44B885BF" w14:textId="77777777" w:rsidR="00CB4B0C" w:rsidRPr="00E67914" w:rsidRDefault="00CB4B0C">
      <w:pPr>
        <w:pStyle w:val="af"/>
        <w:tabs>
          <w:tab w:val="left" w:pos="863"/>
        </w:tabs>
        <w:spacing w:before="0"/>
        <w:ind w:left="0"/>
        <w:jc w:val="center"/>
        <w:rPr>
          <w:rFonts w:ascii="Times New Roman" w:eastAsia="黑体" w:hAnsi="Times New Roman"/>
          <w:sz w:val="21"/>
          <w:szCs w:val="21"/>
          <w:lang w:eastAsia="zh-CN"/>
        </w:rPr>
      </w:pPr>
    </w:p>
    <w:p w14:paraId="70266771" w14:textId="52CAAF6B"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2.6-5  </w:t>
      </w:r>
      <w:r w:rsidRPr="00E67914">
        <w:rPr>
          <w:rFonts w:ascii="Times New Roman" w:eastAsia="黑体" w:hAnsi="Times New Roman"/>
          <w:sz w:val="21"/>
          <w:szCs w:val="21"/>
          <w:lang w:eastAsia="zh-CN"/>
        </w:rPr>
        <w:t>主要大气污染物估算模型计算结果表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745"/>
        <w:gridCol w:w="896"/>
        <w:gridCol w:w="1357"/>
        <w:gridCol w:w="1877"/>
        <w:gridCol w:w="1040"/>
        <w:gridCol w:w="830"/>
      </w:tblGrid>
      <w:tr w:rsidR="00E67914" w:rsidRPr="00E67914" w14:paraId="799ECA57" w14:textId="77777777" w:rsidTr="00880A8A">
        <w:trPr>
          <w:jc w:val="center"/>
        </w:trPr>
        <w:tc>
          <w:tcPr>
            <w:tcW w:w="138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5B3DDC" w14:textId="77777777" w:rsidR="00A54A8A" w:rsidRPr="00E67914" w:rsidRDefault="00000000">
            <w:pPr>
              <w:pStyle w:val="04"/>
              <w:rPr>
                <w:rFonts w:eastAsia="黑体" w:cs="Times New Roman"/>
              </w:rPr>
            </w:pPr>
            <w:r w:rsidRPr="00E67914">
              <w:rPr>
                <w:rFonts w:eastAsia="黑体" w:cs="Times New Roman"/>
              </w:rPr>
              <w:t>污染源</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2360D24D" w14:textId="77777777" w:rsidR="00A54A8A" w:rsidRPr="00E67914" w:rsidRDefault="00000000">
            <w:pPr>
              <w:pStyle w:val="04"/>
              <w:rPr>
                <w:rFonts w:eastAsia="黑体" w:cs="Times New Roman"/>
              </w:rPr>
            </w:pPr>
            <w:r w:rsidRPr="00E67914">
              <w:rPr>
                <w:rFonts w:eastAsia="黑体" w:cs="Times New Roman"/>
              </w:rPr>
              <w:t>污染物</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5470A259" w14:textId="77777777" w:rsidR="00A54A8A" w:rsidRPr="00E67914" w:rsidRDefault="00000000">
            <w:pPr>
              <w:pStyle w:val="04"/>
              <w:rPr>
                <w:rFonts w:eastAsia="黑体" w:cs="Times New Roman"/>
              </w:rPr>
            </w:pPr>
            <w:r w:rsidRPr="00E67914">
              <w:rPr>
                <w:rFonts w:eastAsia="黑体" w:cs="Times New Roman"/>
              </w:rPr>
              <w:t>最大落地浓度</w:t>
            </w:r>
          </w:p>
          <w:p w14:paraId="00110A07" w14:textId="77777777" w:rsidR="00A54A8A" w:rsidRPr="00E67914" w:rsidRDefault="00000000">
            <w:pPr>
              <w:pStyle w:val="04"/>
              <w:rPr>
                <w:rFonts w:eastAsia="黑体" w:cs="Times New Roman"/>
              </w:rPr>
            </w:pPr>
            <w:r w:rsidRPr="00E67914">
              <w:rPr>
                <w:rFonts w:eastAsia="黑体" w:cs="Times New Roman"/>
              </w:rPr>
              <w:t>C</w:t>
            </w:r>
            <w:r w:rsidRPr="00E67914">
              <w:rPr>
                <w:rFonts w:eastAsia="黑体" w:cs="Times New Roman"/>
                <w:vertAlign w:val="subscript"/>
              </w:rPr>
              <w:t>i</w:t>
            </w:r>
            <w:r w:rsidRPr="00E67914">
              <w:rPr>
                <w:rFonts w:eastAsia="黑体" w:cs="Times New Roman"/>
              </w:rPr>
              <w:t>（</w:t>
            </w:r>
            <w:r w:rsidRPr="00E67914">
              <w:rPr>
                <w:rFonts w:eastAsia="黑体" w:cs="Times New Roman"/>
              </w:rPr>
              <w:t>μg/m</w:t>
            </w:r>
            <w:r w:rsidRPr="00E67914">
              <w:rPr>
                <w:rFonts w:eastAsia="黑体" w:cs="Times New Roman"/>
                <w:vertAlign w:val="superscript"/>
              </w:rPr>
              <w:t>3</w:t>
            </w:r>
            <w:r w:rsidRPr="00E67914">
              <w:rPr>
                <w:rFonts w:eastAsia="黑体" w:cs="Times New Roman"/>
              </w:rPr>
              <w:t>）</w:t>
            </w:r>
          </w:p>
        </w:tc>
        <w:tc>
          <w:tcPr>
            <w:tcW w:w="1131" w:type="pct"/>
            <w:tcBorders>
              <w:top w:val="single" w:sz="4" w:space="0" w:color="auto"/>
              <w:left w:val="single" w:sz="4" w:space="0" w:color="auto"/>
              <w:bottom w:val="single" w:sz="4" w:space="0" w:color="auto"/>
              <w:right w:val="single" w:sz="4" w:space="0" w:color="auto"/>
            </w:tcBorders>
            <w:vAlign w:val="center"/>
          </w:tcPr>
          <w:p w14:paraId="28BA4BEB" w14:textId="77777777" w:rsidR="00A54A8A" w:rsidRPr="00E67914" w:rsidRDefault="00000000">
            <w:pPr>
              <w:pStyle w:val="04"/>
              <w:rPr>
                <w:rFonts w:eastAsia="黑体" w:cs="Times New Roman"/>
              </w:rPr>
            </w:pPr>
            <w:r w:rsidRPr="00E67914">
              <w:rPr>
                <w:rFonts w:eastAsia="黑体" w:cs="Times New Roman"/>
              </w:rPr>
              <w:t>环境标准</w:t>
            </w:r>
            <w:r w:rsidRPr="00E67914">
              <w:rPr>
                <w:rFonts w:eastAsia="黑体" w:cs="Times New Roman"/>
              </w:rPr>
              <w:t>C</w:t>
            </w:r>
            <w:r w:rsidRPr="00E67914">
              <w:rPr>
                <w:rFonts w:eastAsia="黑体" w:cs="Times New Roman"/>
                <w:vertAlign w:val="subscript"/>
              </w:rPr>
              <w:t>0i</w:t>
            </w:r>
            <w:r w:rsidRPr="00E67914">
              <w:rPr>
                <w:rFonts w:eastAsia="黑体" w:cs="Times New Roman"/>
              </w:rPr>
              <w:t>（</w:t>
            </w:r>
            <w:r w:rsidRPr="00E67914">
              <w:rPr>
                <w:rFonts w:eastAsia="黑体" w:cs="Times New Roman"/>
              </w:rPr>
              <w:t>μg/m</w:t>
            </w:r>
            <w:r w:rsidRPr="00E67914">
              <w:rPr>
                <w:rFonts w:eastAsia="黑体" w:cs="Times New Roman"/>
                <w:vertAlign w:val="superscript"/>
              </w:rPr>
              <w:t>3</w:t>
            </w:r>
            <w:r w:rsidRPr="00E67914">
              <w:rPr>
                <w:rFonts w:eastAsia="黑体" w:cs="Times New Roman"/>
              </w:rPr>
              <w:t>）</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0DFF31A5" w14:textId="77777777" w:rsidR="00A54A8A" w:rsidRPr="00E67914" w:rsidRDefault="00000000">
            <w:pPr>
              <w:pStyle w:val="04"/>
              <w:rPr>
                <w:rFonts w:eastAsia="黑体" w:cs="Times New Roman"/>
              </w:rPr>
            </w:pPr>
            <w:r w:rsidRPr="00E67914">
              <w:rPr>
                <w:rFonts w:eastAsia="黑体" w:cs="Times New Roman"/>
              </w:rPr>
              <w:t>P</w:t>
            </w:r>
            <w:r w:rsidRPr="00E67914">
              <w:rPr>
                <w:rFonts w:eastAsia="黑体" w:cs="Times New Roman"/>
                <w:vertAlign w:val="subscript"/>
              </w:rPr>
              <w:t>max</w:t>
            </w:r>
            <w:r w:rsidRPr="00E67914">
              <w:rPr>
                <w:rFonts w:eastAsia="黑体" w:cs="Times New Roman"/>
              </w:rPr>
              <w:t>（</w:t>
            </w:r>
            <w:r w:rsidRPr="00E67914">
              <w:rPr>
                <w:rFonts w:eastAsia="黑体" w:cs="Times New Roman"/>
              </w:rPr>
              <w:t>%</w:t>
            </w:r>
            <w:r w:rsidRPr="00E67914">
              <w:rPr>
                <w:rFonts w:eastAsia="黑体" w:cs="Times New Roman"/>
              </w:rPr>
              <w:t>）</w:t>
            </w:r>
          </w:p>
        </w:tc>
        <w:tc>
          <w:tcPr>
            <w:tcW w:w="500" w:type="pct"/>
            <w:tcBorders>
              <w:top w:val="single" w:sz="4" w:space="0" w:color="auto"/>
              <w:left w:val="single" w:sz="4" w:space="0" w:color="auto"/>
              <w:bottom w:val="single" w:sz="4" w:space="0" w:color="auto"/>
              <w:right w:val="single" w:sz="4" w:space="0" w:color="auto"/>
            </w:tcBorders>
            <w:vAlign w:val="center"/>
          </w:tcPr>
          <w:p w14:paraId="12203BB2" w14:textId="77777777" w:rsidR="00A54A8A" w:rsidRPr="00E67914" w:rsidRDefault="00000000">
            <w:pPr>
              <w:pStyle w:val="04"/>
              <w:rPr>
                <w:rFonts w:eastAsia="黑体" w:cs="Times New Roman"/>
              </w:rPr>
            </w:pPr>
            <w:r w:rsidRPr="00E67914">
              <w:rPr>
                <w:rFonts w:eastAsia="黑体" w:cs="Times New Roman"/>
              </w:rPr>
              <w:t>评价等级</w:t>
            </w:r>
          </w:p>
        </w:tc>
      </w:tr>
      <w:tr w:rsidR="00E67914" w:rsidRPr="00E67914" w14:paraId="2828572F" w14:textId="77777777" w:rsidTr="00880A8A">
        <w:trPr>
          <w:jc w:val="center"/>
        </w:trPr>
        <w:tc>
          <w:tcPr>
            <w:tcW w:w="935" w:type="pct"/>
            <w:vMerge w:val="restart"/>
            <w:tcBorders>
              <w:top w:val="single" w:sz="4" w:space="0" w:color="auto"/>
              <w:left w:val="single" w:sz="4" w:space="0" w:color="auto"/>
              <w:right w:val="single" w:sz="4" w:space="0" w:color="auto"/>
            </w:tcBorders>
            <w:shd w:val="clear" w:color="auto" w:fill="auto"/>
            <w:vAlign w:val="center"/>
          </w:tcPr>
          <w:p w14:paraId="5BC57207" w14:textId="77777777" w:rsidR="00880A8A" w:rsidRPr="00E67914" w:rsidRDefault="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水套炉烟气</w:t>
            </w:r>
          </w:p>
        </w:tc>
        <w:tc>
          <w:tcPr>
            <w:tcW w:w="448" w:type="pct"/>
            <w:vMerge w:val="restart"/>
            <w:tcBorders>
              <w:top w:val="single" w:sz="4" w:space="0" w:color="auto"/>
              <w:left w:val="single" w:sz="4" w:space="0" w:color="auto"/>
              <w:right w:val="single" w:sz="4" w:space="0" w:color="auto"/>
            </w:tcBorders>
            <w:shd w:val="clear" w:color="auto" w:fill="auto"/>
            <w:vAlign w:val="center"/>
          </w:tcPr>
          <w:p w14:paraId="40B44B4A" w14:textId="77777777" w:rsidR="00880A8A" w:rsidRPr="00E67914" w:rsidRDefault="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bidi="en-US"/>
              </w:rPr>
              <w:t>加热炉</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5FB91A11" w14:textId="578468E5" w:rsidR="00880A8A" w:rsidRPr="00E67914" w:rsidRDefault="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SO</w:t>
            </w:r>
            <w:r w:rsidRPr="00E67914">
              <w:rPr>
                <w:rFonts w:ascii="Times New Roman" w:hAnsi="Times New Roman"/>
                <w:kern w:val="2"/>
                <w:sz w:val="21"/>
                <w:vertAlign w:val="subscript"/>
              </w:rPr>
              <w:t>2</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5B29E341" w14:textId="3BBD2F87" w:rsidR="00880A8A" w:rsidRPr="00E67914" w:rsidRDefault="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3.0865</w:t>
            </w:r>
          </w:p>
        </w:tc>
        <w:tc>
          <w:tcPr>
            <w:tcW w:w="1131" w:type="pct"/>
            <w:tcBorders>
              <w:top w:val="single" w:sz="4" w:space="0" w:color="auto"/>
              <w:left w:val="single" w:sz="4" w:space="0" w:color="auto"/>
              <w:bottom w:val="single" w:sz="4" w:space="0" w:color="auto"/>
              <w:right w:val="single" w:sz="4" w:space="0" w:color="auto"/>
            </w:tcBorders>
            <w:vAlign w:val="center"/>
          </w:tcPr>
          <w:p w14:paraId="71000FB9" w14:textId="5B5F04CE" w:rsidR="00880A8A" w:rsidRPr="00E67914" w:rsidRDefault="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500</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2A68279E" w14:textId="04E45476" w:rsidR="00880A8A" w:rsidRPr="00E67914" w:rsidRDefault="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sz w:val="21"/>
              </w:rPr>
              <w:t>0.62</w:t>
            </w:r>
          </w:p>
        </w:tc>
        <w:tc>
          <w:tcPr>
            <w:tcW w:w="500" w:type="pct"/>
            <w:tcBorders>
              <w:top w:val="single" w:sz="4" w:space="0" w:color="auto"/>
              <w:left w:val="single" w:sz="4" w:space="0" w:color="auto"/>
              <w:right w:val="single" w:sz="4" w:space="0" w:color="auto"/>
            </w:tcBorders>
            <w:vAlign w:val="center"/>
          </w:tcPr>
          <w:p w14:paraId="78C4922A" w14:textId="2F6EF351" w:rsidR="00880A8A" w:rsidRPr="00E67914" w:rsidRDefault="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三级</w:t>
            </w:r>
          </w:p>
        </w:tc>
      </w:tr>
      <w:tr w:rsidR="00E67914" w:rsidRPr="00E67914" w14:paraId="7E0212E7" w14:textId="77777777" w:rsidTr="00880A8A">
        <w:trPr>
          <w:jc w:val="center"/>
        </w:trPr>
        <w:tc>
          <w:tcPr>
            <w:tcW w:w="935" w:type="pct"/>
            <w:vMerge/>
            <w:tcBorders>
              <w:left w:val="single" w:sz="4" w:space="0" w:color="auto"/>
              <w:right w:val="single" w:sz="4" w:space="0" w:color="auto"/>
            </w:tcBorders>
            <w:shd w:val="clear" w:color="auto" w:fill="auto"/>
            <w:vAlign w:val="center"/>
          </w:tcPr>
          <w:p w14:paraId="2EA57EB7" w14:textId="77777777" w:rsidR="00880A8A" w:rsidRPr="00E67914" w:rsidRDefault="00880A8A" w:rsidP="00880A8A">
            <w:pPr>
              <w:adjustRightInd w:val="0"/>
              <w:snapToGrid w:val="0"/>
              <w:spacing w:beforeLines="5" w:before="15" w:afterLines="5" w:after="15" w:line="240" w:lineRule="exact"/>
              <w:ind w:leftChars="-30" w:left="-66" w:rightChars="-30" w:right="-66"/>
              <w:rPr>
                <w:rFonts w:ascii="Times New Roman" w:hAnsi="Times New Roman"/>
                <w:kern w:val="2"/>
                <w:sz w:val="21"/>
              </w:rPr>
            </w:pPr>
          </w:p>
        </w:tc>
        <w:tc>
          <w:tcPr>
            <w:tcW w:w="448" w:type="pct"/>
            <w:vMerge/>
            <w:tcBorders>
              <w:left w:val="single" w:sz="4" w:space="0" w:color="auto"/>
              <w:right w:val="single" w:sz="4" w:space="0" w:color="auto"/>
            </w:tcBorders>
            <w:shd w:val="clear" w:color="auto" w:fill="auto"/>
            <w:vAlign w:val="center"/>
          </w:tcPr>
          <w:p w14:paraId="1DFB07C0" w14:textId="77777777" w:rsidR="00880A8A" w:rsidRPr="00E67914" w:rsidRDefault="00880A8A" w:rsidP="00880A8A">
            <w:pPr>
              <w:adjustRightInd w:val="0"/>
              <w:snapToGrid w:val="0"/>
              <w:spacing w:beforeLines="5" w:before="15" w:afterLines="5" w:after="15" w:line="240" w:lineRule="exact"/>
              <w:ind w:leftChars="-30" w:left="-66" w:rightChars="-30" w:right="-66"/>
              <w:rPr>
                <w:rFonts w:ascii="Times New Roman" w:hAnsi="Times New Roman"/>
                <w:kern w:val="2"/>
                <w:sz w:val="21"/>
              </w:rPr>
            </w:pP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42651F5A" w14:textId="65017510"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NO</w:t>
            </w:r>
            <w:r w:rsidRPr="00E67914">
              <w:rPr>
                <w:rFonts w:ascii="Times New Roman" w:hAnsi="Times New Roman"/>
                <w:kern w:val="2"/>
                <w:sz w:val="21"/>
                <w:vertAlign w:val="subscript"/>
              </w:rPr>
              <w:t>2</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3C7087ED" w14:textId="2577DE8C"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14.5751</w:t>
            </w:r>
          </w:p>
        </w:tc>
        <w:tc>
          <w:tcPr>
            <w:tcW w:w="1131" w:type="pct"/>
            <w:tcBorders>
              <w:top w:val="single" w:sz="4" w:space="0" w:color="auto"/>
              <w:left w:val="single" w:sz="4" w:space="0" w:color="auto"/>
              <w:bottom w:val="single" w:sz="4" w:space="0" w:color="auto"/>
              <w:right w:val="single" w:sz="4" w:space="0" w:color="auto"/>
            </w:tcBorders>
            <w:vAlign w:val="center"/>
          </w:tcPr>
          <w:p w14:paraId="441B6CD5" w14:textId="27656A34"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sz w:val="21"/>
              </w:rPr>
              <w:t>200</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6B2B0A22" w14:textId="516B5ED7"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sz w:val="21"/>
              </w:rPr>
              <w:t>7.92</w:t>
            </w:r>
          </w:p>
        </w:tc>
        <w:tc>
          <w:tcPr>
            <w:tcW w:w="500" w:type="pct"/>
            <w:tcBorders>
              <w:left w:val="single" w:sz="4" w:space="0" w:color="auto"/>
              <w:right w:val="single" w:sz="4" w:space="0" w:color="auto"/>
            </w:tcBorders>
            <w:vAlign w:val="center"/>
          </w:tcPr>
          <w:p w14:paraId="6D30A3A0" w14:textId="2AF90CDB"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二级</w:t>
            </w:r>
          </w:p>
        </w:tc>
      </w:tr>
      <w:tr w:rsidR="00E67914" w:rsidRPr="00E67914" w14:paraId="6E4E4521" w14:textId="77777777" w:rsidTr="00880A8A">
        <w:trPr>
          <w:jc w:val="center"/>
        </w:trPr>
        <w:tc>
          <w:tcPr>
            <w:tcW w:w="935" w:type="pct"/>
            <w:vMerge/>
            <w:tcBorders>
              <w:left w:val="single" w:sz="4" w:space="0" w:color="auto"/>
              <w:right w:val="single" w:sz="4" w:space="0" w:color="auto"/>
            </w:tcBorders>
            <w:shd w:val="clear" w:color="auto" w:fill="auto"/>
            <w:vAlign w:val="center"/>
          </w:tcPr>
          <w:p w14:paraId="6521D0E4" w14:textId="77777777" w:rsidR="00880A8A" w:rsidRPr="00E67914" w:rsidRDefault="00880A8A" w:rsidP="00880A8A">
            <w:pPr>
              <w:adjustRightInd w:val="0"/>
              <w:snapToGrid w:val="0"/>
              <w:spacing w:beforeLines="5" w:before="15" w:afterLines="5" w:after="15" w:line="240" w:lineRule="exact"/>
              <w:ind w:leftChars="-30" w:left="-66" w:rightChars="-30" w:right="-66"/>
              <w:rPr>
                <w:rFonts w:ascii="Times New Roman" w:hAnsi="Times New Roman"/>
                <w:kern w:val="2"/>
                <w:sz w:val="21"/>
              </w:rPr>
            </w:pPr>
          </w:p>
        </w:tc>
        <w:tc>
          <w:tcPr>
            <w:tcW w:w="448" w:type="pct"/>
            <w:vMerge/>
            <w:tcBorders>
              <w:left w:val="single" w:sz="4" w:space="0" w:color="auto"/>
              <w:bottom w:val="single" w:sz="4" w:space="0" w:color="auto"/>
              <w:right w:val="single" w:sz="4" w:space="0" w:color="auto"/>
            </w:tcBorders>
            <w:shd w:val="clear" w:color="auto" w:fill="auto"/>
            <w:vAlign w:val="center"/>
          </w:tcPr>
          <w:p w14:paraId="5D5798A3" w14:textId="77777777" w:rsidR="00880A8A" w:rsidRPr="00E67914" w:rsidRDefault="00880A8A" w:rsidP="00880A8A">
            <w:pPr>
              <w:adjustRightInd w:val="0"/>
              <w:snapToGrid w:val="0"/>
              <w:spacing w:beforeLines="5" w:before="15" w:afterLines="5" w:after="15" w:line="240" w:lineRule="exact"/>
              <w:ind w:leftChars="-30" w:left="-66" w:rightChars="-30" w:right="-66"/>
              <w:rPr>
                <w:rFonts w:ascii="Times New Roman" w:hAnsi="Times New Roman"/>
                <w:kern w:val="2"/>
                <w:sz w:val="21"/>
              </w:rPr>
            </w:pP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04878EF1" w14:textId="03F4D3E9"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颗粒物</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5F837257" w14:textId="7F911206"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2.2291</w:t>
            </w:r>
          </w:p>
        </w:tc>
        <w:tc>
          <w:tcPr>
            <w:tcW w:w="1131" w:type="pct"/>
            <w:tcBorders>
              <w:top w:val="single" w:sz="4" w:space="0" w:color="auto"/>
              <w:left w:val="single" w:sz="4" w:space="0" w:color="auto"/>
              <w:bottom w:val="single" w:sz="4" w:space="0" w:color="auto"/>
              <w:right w:val="single" w:sz="4" w:space="0" w:color="auto"/>
            </w:tcBorders>
            <w:vAlign w:val="center"/>
          </w:tcPr>
          <w:p w14:paraId="50C655B0" w14:textId="78A80C80"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rPr>
            </w:pPr>
            <w:r w:rsidRPr="00E67914">
              <w:rPr>
                <w:rFonts w:ascii="Times New Roman" w:hAnsi="Times New Roman"/>
                <w:sz w:val="21"/>
              </w:rPr>
              <w:t>900</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63D211DC" w14:textId="73591D5D"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lang w:eastAsia="zh-CN"/>
              </w:rPr>
            </w:pPr>
            <w:r w:rsidRPr="00E67914">
              <w:rPr>
                <w:rFonts w:ascii="Times New Roman" w:hAnsi="Times New Roman"/>
                <w:sz w:val="21"/>
                <w:lang w:eastAsia="zh-CN"/>
              </w:rPr>
              <w:t>0.25</w:t>
            </w:r>
          </w:p>
        </w:tc>
        <w:tc>
          <w:tcPr>
            <w:tcW w:w="500" w:type="pct"/>
            <w:tcBorders>
              <w:left w:val="single" w:sz="4" w:space="0" w:color="auto"/>
              <w:right w:val="single" w:sz="4" w:space="0" w:color="auto"/>
            </w:tcBorders>
            <w:vAlign w:val="center"/>
          </w:tcPr>
          <w:p w14:paraId="0D04055C" w14:textId="475872A6"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三级</w:t>
            </w:r>
          </w:p>
        </w:tc>
      </w:tr>
      <w:tr w:rsidR="00E67914" w:rsidRPr="00E67914" w14:paraId="517929A5" w14:textId="77777777" w:rsidTr="00880A8A">
        <w:trPr>
          <w:jc w:val="center"/>
        </w:trPr>
        <w:tc>
          <w:tcPr>
            <w:tcW w:w="935" w:type="pct"/>
            <w:vMerge w:val="restart"/>
            <w:tcBorders>
              <w:left w:val="single" w:sz="4" w:space="0" w:color="auto"/>
              <w:right w:val="single" w:sz="4" w:space="0" w:color="auto"/>
            </w:tcBorders>
            <w:shd w:val="clear" w:color="auto" w:fill="auto"/>
            <w:vAlign w:val="center"/>
          </w:tcPr>
          <w:p w14:paraId="19DF4AED" w14:textId="3A641C7B"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火炬长明灯燃烧废气</w:t>
            </w:r>
          </w:p>
        </w:tc>
        <w:tc>
          <w:tcPr>
            <w:tcW w:w="448" w:type="pct"/>
            <w:vMerge w:val="restart"/>
            <w:tcBorders>
              <w:top w:val="single" w:sz="4" w:space="0" w:color="auto"/>
              <w:left w:val="single" w:sz="4" w:space="0" w:color="auto"/>
              <w:right w:val="single" w:sz="4" w:space="0" w:color="auto"/>
            </w:tcBorders>
            <w:shd w:val="clear" w:color="auto" w:fill="auto"/>
            <w:vAlign w:val="center"/>
          </w:tcPr>
          <w:p w14:paraId="264A31DA" w14:textId="4B2972C5"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火炬</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0767442D" w14:textId="69C12D59"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SO</w:t>
            </w:r>
            <w:r w:rsidRPr="00E67914">
              <w:rPr>
                <w:rFonts w:ascii="Times New Roman" w:hAnsi="Times New Roman"/>
                <w:kern w:val="2"/>
                <w:sz w:val="21"/>
                <w:vertAlign w:val="subscript"/>
              </w:rPr>
              <w:t>2</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1FAF2CDE" w14:textId="06FCC527"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7.3300</w:t>
            </w:r>
          </w:p>
        </w:tc>
        <w:tc>
          <w:tcPr>
            <w:tcW w:w="1131" w:type="pct"/>
            <w:tcBorders>
              <w:top w:val="single" w:sz="4" w:space="0" w:color="auto"/>
              <w:left w:val="single" w:sz="4" w:space="0" w:color="auto"/>
              <w:bottom w:val="single" w:sz="4" w:space="0" w:color="auto"/>
              <w:right w:val="single" w:sz="4" w:space="0" w:color="auto"/>
            </w:tcBorders>
            <w:vAlign w:val="center"/>
          </w:tcPr>
          <w:p w14:paraId="1E59152C" w14:textId="2F94D428"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lang w:eastAsia="zh-CN"/>
              </w:rPr>
            </w:pPr>
            <w:r w:rsidRPr="00E67914">
              <w:rPr>
                <w:rFonts w:ascii="Times New Roman" w:hAnsi="Times New Roman"/>
                <w:kern w:val="2"/>
                <w:sz w:val="21"/>
                <w:lang w:eastAsia="zh-CN"/>
              </w:rPr>
              <w:t>500</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5A8DE843" w14:textId="73684264"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rPr>
            </w:pPr>
            <w:r w:rsidRPr="00E67914">
              <w:rPr>
                <w:rFonts w:ascii="Times New Roman" w:hAnsi="Times New Roman"/>
                <w:sz w:val="21"/>
                <w:lang w:eastAsia="zh-CN"/>
              </w:rPr>
              <w:t>1.47</w:t>
            </w:r>
          </w:p>
        </w:tc>
        <w:tc>
          <w:tcPr>
            <w:tcW w:w="500" w:type="pct"/>
            <w:tcBorders>
              <w:left w:val="single" w:sz="4" w:space="0" w:color="auto"/>
              <w:right w:val="single" w:sz="4" w:space="0" w:color="auto"/>
            </w:tcBorders>
            <w:vAlign w:val="center"/>
          </w:tcPr>
          <w:p w14:paraId="111443C9" w14:textId="73B6B715"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二级</w:t>
            </w:r>
          </w:p>
        </w:tc>
      </w:tr>
      <w:tr w:rsidR="00E67914" w:rsidRPr="00E67914" w14:paraId="5927F43C" w14:textId="77777777" w:rsidTr="00880A8A">
        <w:trPr>
          <w:jc w:val="center"/>
        </w:trPr>
        <w:tc>
          <w:tcPr>
            <w:tcW w:w="935" w:type="pct"/>
            <w:vMerge/>
            <w:tcBorders>
              <w:left w:val="single" w:sz="4" w:space="0" w:color="auto"/>
              <w:right w:val="single" w:sz="4" w:space="0" w:color="auto"/>
            </w:tcBorders>
            <w:shd w:val="clear" w:color="auto" w:fill="auto"/>
            <w:vAlign w:val="center"/>
          </w:tcPr>
          <w:p w14:paraId="00234672" w14:textId="77777777"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p>
        </w:tc>
        <w:tc>
          <w:tcPr>
            <w:tcW w:w="448" w:type="pct"/>
            <w:vMerge/>
            <w:tcBorders>
              <w:left w:val="single" w:sz="4" w:space="0" w:color="auto"/>
              <w:right w:val="single" w:sz="4" w:space="0" w:color="auto"/>
            </w:tcBorders>
            <w:shd w:val="clear" w:color="auto" w:fill="auto"/>
            <w:vAlign w:val="center"/>
          </w:tcPr>
          <w:p w14:paraId="64523B29" w14:textId="77777777"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41B47321" w14:textId="32F59563"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NO</w:t>
            </w:r>
            <w:r w:rsidRPr="00E67914">
              <w:rPr>
                <w:rFonts w:ascii="Times New Roman" w:hAnsi="Times New Roman"/>
                <w:kern w:val="2"/>
                <w:sz w:val="21"/>
                <w:vertAlign w:val="subscript"/>
              </w:rPr>
              <w:t>2</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42B19C0B" w14:textId="500843C5"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17.1453</w:t>
            </w:r>
          </w:p>
        </w:tc>
        <w:tc>
          <w:tcPr>
            <w:tcW w:w="1131" w:type="pct"/>
            <w:tcBorders>
              <w:top w:val="single" w:sz="4" w:space="0" w:color="auto"/>
              <w:left w:val="single" w:sz="4" w:space="0" w:color="auto"/>
              <w:bottom w:val="single" w:sz="4" w:space="0" w:color="auto"/>
              <w:right w:val="single" w:sz="4" w:space="0" w:color="auto"/>
            </w:tcBorders>
            <w:vAlign w:val="center"/>
          </w:tcPr>
          <w:p w14:paraId="32BC30C8" w14:textId="7B9BC36A"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lang w:eastAsia="zh-CN"/>
              </w:rPr>
            </w:pPr>
            <w:r w:rsidRPr="00E67914">
              <w:rPr>
                <w:rFonts w:ascii="Times New Roman" w:hAnsi="Times New Roman"/>
                <w:sz w:val="21"/>
              </w:rPr>
              <w:t>200</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78A839E0" w14:textId="01C7DF3B"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rPr>
            </w:pPr>
            <w:r w:rsidRPr="00E67914">
              <w:rPr>
                <w:rFonts w:ascii="Times New Roman" w:hAnsi="Times New Roman"/>
                <w:sz w:val="21"/>
                <w:lang w:eastAsia="zh-CN"/>
              </w:rPr>
              <w:t>8.57</w:t>
            </w:r>
          </w:p>
        </w:tc>
        <w:tc>
          <w:tcPr>
            <w:tcW w:w="500" w:type="pct"/>
            <w:tcBorders>
              <w:left w:val="single" w:sz="4" w:space="0" w:color="auto"/>
              <w:right w:val="single" w:sz="4" w:space="0" w:color="auto"/>
            </w:tcBorders>
            <w:vAlign w:val="center"/>
          </w:tcPr>
          <w:p w14:paraId="68C142AE" w14:textId="439AA03B"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二级</w:t>
            </w:r>
          </w:p>
        </w:tc>
      </w:tr>
      <w:tr w:rsidR="00E67914" w:rsidRPr="00E67914" w14:paraId="6C33AD4A" w14:textId="77777777" w:rsidTr="00880A8A">
        <w:trPr>
          <w:jc w:val="center"/>
        </w:trPr>
        <w:tc>
          <w:tcPr>
            <w:tcW w:w="935" w:type="pct"/>
            <w:vMerge/>
            <w:tcBorders>
              <w:left w:val="single" w:sz="4" w:space="0" w:color="auto"/>
              <w:right w:val="single" w:sz="4" w:space="0" w:color="auto"/>
            </w:tcBorders>
            <w:shd w:val="clear" w:color="auto" w:fill="auto"/>
            <w:vAlign w:val="center"/>
          </w:tcPr>
          <w:p w14:paraId="3E369857" w14:textId="77777777"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p>
        </w:tc>
        <w:tc>
          <w:tcPr>
            <w:tcW w:w="448" w:type="pct"/>
            <w:vMerge/>
            <w:tcBorders>
              <w:left w:val="single" w:sz="4" w:space="0" w:color="auto"/>
              <w:bottom w:val="single" w:sz="4" w:space="0" w:color="auto"/>
              <w:right w:val="single" w:sz="4" w:space="0" w:color="auto"/>
            </w:tcBorders>
            <w:shd w:val="clear" w:color="auto" w:fill="auto"/>
            <w:vAlign w:val="center"/>
          </w:tcPr>
          <w:p w14:paraId="4F7F0783" w14:textId="77777777"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5750187C" w14:textId="1270B994"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颗粒物</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36C83C77" w14:textId="2B7CE691"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5.2455</w:t>
            </w:r>
          </w:p>
        </w:tc>
        <w:tc>
          <w:tcPr>
            <w:tcW w:w="1131" w:type="pct"/>
            <w:tcBorders>
              <w:top w:val="single" w:sz="4" w:space="0" w:color="auto"/>
              <w:left w:val="single" w:sz="4" w:space="0" w:color="auto"/>
              <w:bottom w:val="single" w:sz="4" w:space="0" w:color="auto"/>
              <w:right w:val="single" w:sz="4" w:space="0" w:color="auto"/>
            </w:tcBorders>
            <w:vAlign w:val="center"/>
          </w:tcPr>
          <w:p w14:paraId="3AC47EE4" w14:textId="21A4C540"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lang w:eastAsia="zh-CN"/>
              </w:rPr>
            </w:pPr>
            <w:r w:rsidRPr="00E67914">
              <w:rPr>
                <w:rFonts w:ascii="Times New Roman" w:hAnsi="Times New Roman"/>
                <w:sz w:val="21"/>
              </w:rPr>
              <w:t>900</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1F44CC9E" w14:textId="6BCB994C"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rPr>
            </w:pPr>
            <w:r w:rsidRPr="00E67914">
              <w:rPr>
                <w:rFonts w:ascii="Times New Roman" w:hAnsi="Times New Roman"/>
                <w:sz w:val="21"/>
                <w:lang w:eastAsia="zh-CN"/>
              </w:rPr>
              <w:t>0.58</w:t>
            </w:r>
          </w:p>
        </w:tc>
        <w:tc>
          <w:tcPr>
            <w:tcW w:w="500" w:type="pct"/>
            <w:tcBorders>
              <w:left w:val="single" w:sz="4" w:space="0" w:color="auto"/>
              <w:right w:val="single" w:sz="4" w:space="0" w:color="auto"/>
            </w:tcBorders>
            <w:vAlign w:val="center"/>
          </w:tcPr>
          <w:p w14:paraId="2D6A906F" w14:textId="273320EC"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三级</w:t>
            </w:r>
          </w:p>
        </w:tc>
      </w:tr>
      <w:tr w:rsidR="00E67914" w:rsidRPr="00E67914" w14:paraId="66EC60A5" w14:textId="77777777" w:rsidTr="00880A8A">
        <w:trPr>
          <w:jc w:val="center"/>
        </w:trPr>
        <w:tc>
          <w:tcPr>
            <w:tcW w:w="935" w:type="pct"/>
            <w:tcBorders>
              <w:left w:val="single" w:sz="4" w:space="0" w:color="auto"/>
              <w:right w:val="single" w:sz="4" w:space="0" w:color="auto"/>
            </w:tcBorders>
            <w:shd w:val="clear" w:color="auto" w:fill="auto"/>
            <w:vAlign w:val="center"/>
          </w:tcPr>
          <w:p w14:paraId="1040C116" w14:textId="506E4DCE"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油罐挥发气体</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1F3C2490" w14:textId="00560551"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油罐</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61536B4C" w14:textId="32ABB546"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NMHC</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58482B48" w14:textId="1586B6D7"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173.5100</w:t>
            </w:r>
          </w:p>
        </w:tc>
        <w:tc>
          <w:tcPr>
            <w:tcW w:w="1131" w:type="pct"/>
            <w:tcBorders>
              <w:top w:val="single" w:sz="4" w:space="0" w:color="auto"/>
              <w:left w:val="single" w:sz="4" w:space="0" w:color="auto"/>
              <w:bottom w:val="single" w:sz="4" w:space="0" w:color="auto"/>
              <w:right w:val="single" w:sz="4" w:space="0" w:color="auto"/>
            </w:tcBorders>
            <w:vAlign w:val="center"/>
          </w:tcPr>
          <w:p w14:paraId="63B15FD7" w14:textId="4D1C17D1"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lang w:eastAsia="zh-CN"/>
              </w:rPr>
            </w:pPr>
            <w:r w:rsidRPr="00E67914">
              <w:rPr>
                <w:rFonts w:ascii="Times New Roman" w:hAnsi="Times New Roman"/>
                <w:sz w:val="21"/>
                <w:lang w:eastAsia="zh-CN"/>
              </w:rPr>
              <w:t>2000</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26B6B085" w14:textId="02FD3891"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lang w:eastAsia="zh-CN"/>
              </w:rPr>
            </w:pPr>
            <w:r w:rsidRPr="00E67914">
              <w:rPr>
                <w:rFonts w:ascii="Times New Roman" w:hAnsi="Times New Roman"/>
                <w:sz w:val="21"/>
                <w:lang w:eastAsia="zh-CN"/>
              </w:rPr>
              <w:t>8.68</w:t>
            </w:r>
          </w:p>
        </w:tc>
        <w:tc>
          <w:tcPr>
            <w:tcW w:w="500" w:type="pct"/>
            <w:tcBorders>
              <w:left w:val="single" w:sz="4" w:space="0" w:color="auto"/>
              <w:right w:val="single" w:sz="4" w:space="0" w:color="auto"/>
            </w:tcBorders>
            <w:vAlign w:val="center"/>
          </w:tcPr>
          <w:p w14:paraId="499EA9FE" w14:textId="1E01DE2A"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二级</w:t>
            </w:r>
          </w:p>
        </w:tc>
      </w:tr>
      <w:tr w:rsidR="00E67914" w:rsidRPr="00E67914" w14:paraId="39F88A6A" w14:textId="77777777" w:rsidTr="00880A8A">
        <w:trPr>
          <w:jc w:val="center"/>
        </w:trPr>
        <w:tc>
          <w:tcPr>
            <w:tcW w:w="935" w:type="pct"/>
            <w:tcBorders>
              <w:left w:val="single" w:sz="4" w:space="0" w:color="auto"/>
              <w:right w:val="single" w:sz="4" w:space="0" w:color="auto"/>
            </w:tcBorders>
            <w:shd w:val="clear" w:color="auto" w:fill="auto"/>
            <w:vAlign w:val="center"/>
          </w:tcPr>
          <w:p w14:paraId="285E2E2B" w14:textId="3F827FD0"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凝析油装车挥发气体</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401DE30B" w14:textId="15456809"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油罐</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559BE90C" w14:textId="29F7BDBE"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lang w:eastAsia="zh-CN"/>
              </w:rPr>
              <w:t>NMHC</w:t>
            </w:r>
          </w:p>
        </w:tc>
        <w:tc>
          <w:tcPr>
            <w:tcW w:w="818" w:type="pct"/>
            <w:tcBorders>
              <w:top w:val="single" w:sz="4" w:space="0" w:color="auto"/>
              <w:left w:val="single" w:sz="4" w:space="0" w:color="auto"/>
              <w:bottom w:val="single" w:sz="4" w:space="0" w:color="auto"/>
              <w:right w:val="single" w:sz="4" w:space="0" w:color="auto"/>
            </w:tcBorders>
            <w:shd w:val="clear" w:color="auto" w:fill="auto"/>
            <w:vAlign w:val="center"/>
          </w:tcPr>
          <w:p w14:paraId="59485935" w14:textId="5767D770"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lang w:eastAsia="zh-CN"/>
              </w:rPr>
            </w:pPr>
            <w:r w:rsidRPr="00E67914">
              <w:rPr>
                <w:rFonts w:ascii="Times New Roman" w:hAnsi="Times New Roman"/>
                <w:kern w:val="2"/>
                <w:sz w:val="21"/>
                <w:lang w:eastAsia="zh-CN"/>
              </w:rPr>
              <w:t>100.8300</w:t>
            </w:r>
          </w:p>
        </w:tc>
        <w:tc>
          <w:tcPr>
            <w:tcW w:w="1131" w:type="pct"/>
            <w:tcBorders>
              <w:top w:val="single" w:sz="4" w:space="0" w:color="auto"/>
              <w:left w:val="single" w:sz="4" w:space="0" w:color="auto"/>
              <w:bottom w:val="single" w:sz="4" w:space="0" w:color="auto"/>
              <w:right w:val="single" w:sz="4" w:space="0" w:color="auto"/>
            </w:tcBorders>
            <w:vAlign w:val="center"/>
          </w:tcPr>
          <w:p w14:paraId="47933D04" w14:textId="63B1AFB7"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lang w:eastAsia="zh-CN"/>
              </w:rPr>
            </w:pPr>
            <w:r w:rsidRPr="00E67914">
              <w:rPr>
                <w:rFonts w:ascii="Times New Roman" w:hAnsi="Times New Roman"/>
                <w:sz w:val="21"/>
                <w:lang w:eastAsia="zh-CN"/>
              </w:rPr>
              <w:t>2000</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76989878" w14:textId="58F53ECB"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sz w:val="21"/>
                <w:lang w:eastAsia="zh-CN"/>
              </w:rPr>
            </w:pPr>
            <w:r w:rsidRPr="00E67914">
              <w:rPr>
                <w:rFonts w:ascii="Times New Roman" w:hAnsi="Times New Roman"/>
                <w:sz w:val="21"/>
                <w:lang w:eastAsia="zh-CN"/>
              </w:rPr>
              <w:t>5.04</w:t>
            </w:r>
          </w:p>
        </w:tc>
        <w:tc>
          <w:tcPr>
            <w:tcW w:w="500" w:type="pct"/>
            <w:tcBorders>
              <w:left w:val="single" w:sz="4" w:space="0" w:color="auto"/>
              <w:right w:val="single" w:sz="4" w:space="0" w:color="auto"/>
            </w:tcBorders>
            <w:vAlign w:val="center"/>
          </w:tcPr>
          <w:p w14:paraId="571E2183" w14:textId="48B4A5DB" w:rsidR="00880A8A" w:rsidRPr="00E67914" w:rsidRDefault="00880A8A" w:rsidP="00880A8A">
            <w:pPr>
              <w:adjustRightInd w:val="0"/>
              <w:snapToGrid w:val="0"/>
              <w:spacing w:beforeLines="5" w:before="15" w:afterLines="5" w:after="15" w:line="240" w:lineRule="exact"/>
              <w:ind w:leftChars="-30" w:left="-66" w:rightChars="-30" w:right="-66"/>
              <w:jc w:val="center"/>
              <w:rPr>
                <w:rFonts w:ascii="Times New Roman" w:hAnsi="Times New Roman"/>
                <w:kern w:val="2"/>
                <w:sz w:val="21"/>
              </w:rPr>
            </w:pPr>
            <w:r w:rsidRPr="00E67914">
              <w:rPr>
                <w:rFonts w:ascii="Times New Roman" w:hAnsi="Times New Roman"/>
                <w:kern w:val="2"/>
                <w:sz w:val="21"/>
              </w:rPr>
              <w:t>二级</w:t>
            </w:r>
          </w:p>
        </w:tc>
      </w:tr>
    </w:tbl>
    <w:p w14:paraId="309C29C5" w14:textId="6B98274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根据表</w:t>
      </w:r>
      <w:r w:rsidRPr="00E67914">
        <w:rPr>
          <w:rFonts w:ascii="Times New Roman" w:hAnsi="Times New Roman"/>
          <w:bCs/>
          <w:kern w:val="2"/>
          <w:sz w:val="24"/>
          <w:szCs w:val="24"/>
          <w:lang w:eastAsia="zh-CN"/>
        </w:rPr>
        <w:t>2.6-5</w:t>
      </w:r>
      <w:r w:rsidRPr="00E67914">
        <w:rPr>
          <w:rFonts w:ascii="Times New Roman" w:hAnsi="Times New Roman"/>
          <w:bCs/>
          <w:kern w:val="2"/>
          <w:sz w:val="24"/>
          <w:szCs w:val="24"/>
          <w:lang w:eastAsia="zh-CN"/>
        </w:rPr>
        <w:t>判定结果，本项目废气最大地面环境空气质量浓度占标率小于</w:t>
      </w:r>
      <w:r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，根据《环境影响评价技术导则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大气环境》（</w:t>
      </w:r>
      <w:r w:rsidRPr="00E67914">
        <w:rPr>
          <w:rFonts w:ascii="Times New Roman" w:hAnsi="Times New Roman"/>
          <w:bCs/>
          <w:kern w:val="2"/>
          <w:sz w:val="24"/>
          <w:szCs w:val="24"/>
          <w:lang w:eastAsia="zh-CN"/>
        </w:rPr>
        <w:t>HJ2.2-2018</w:t>
      </w:r>
      <w:r w:rsidRPr="00E67914">
        <w:rPr>
          <w:rFonts w:ascii="Times New Roman" w:hAnsi="Times New Roman"/>
          <w:bCs/>
          <w:kern w:val="2"/>
          <w:sz w:val="24"/>
          <w:szCs w:val="24"/>
          <w:lang w:eastAsia="zh-CN"/>
        </w:rPr>
        <w:t>）分级判据，确定本项目整体环境空气评价等级为二级。</w:t>
      </w:r>
    </w:p>
    <w:p w14:paraId="71FB3C29"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）评价范围</w:t>
      </w:r>
    </w:p>
    <w:p w14:paraId="4E3FE9AE" w14:textId="7BF053AE"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大气环境》（</w:t>
      </w:r>
      <w:r w:rsidRPr="00E67914">
        <w:rPr>
          <w:rFonts w:ascii="Times New Roman" w:hAnsi="Times New Roman"/>
          <w:bCs/>
          <w:kern w:val="2"/>
          <w:sz w:val="24"/>
          <w:szCs w:val="24"/>
          <w:lang w:eastAsia="zh-CN"/>
        </w:rPr>
        <w:t>HJ 2.2-2018</w:t>
      </w:r>
      <w:r w:rsidRPr="00E67914">
        <w:rPr>
          <w:rFonts w:ascii="Times New Roman" w:hAnsi="Times New Roman"/>
          <w:bCs/>
          <w:kern w:val="2"/>
          <w:sz w:val="24"/>
          <w:szCs w:val="24"/>
          <w:lang w:eastAsia="zh-CN"/>
        </w:rPr>
        <w:t>），本次大气环境评价范围为以</w:t>
      </w:r>
      <w:r w:rsidR="00193429" w:rsidRPr="00E67914">
        <w:rPr>
          <w:rFonts w:ascii="Times New Roman" w:hAnsi="Times New Roman"/>
          <w:bCs/>
          <w:kern w:val="2"/>
          <w:sz w:val="24"/>
          <w:szCs w:val="24"/>
          <w:lang w:eastAsia="zh-CN"/>
        </w:rPr>
        <w:t>普陆页</w:t>
      </w:r>
      <w:r w:rsidR="00193429" w:rsidRPr="00E67914">
        <w:rPr>
          <w:rFonts w:ascii="Times New Roman" w:hAnsi="Times New Roman"/>
          <w:bCs/>
          <w:kern w:val="2"/>
          <w:sz w:val="24"/>
          <w:szCs w:val="24"/>
          <w:lang w:eastAsia="zh-CN"/>
        </w:rPr>
        <w:t>2</w:t>
      </w:r>
      <w:r w:rsidR="00193429" w:rsidRPr="00E67914">
        <w:rPr>
          <w:rFonts w:ascii="Times New Roman" w:hAnsi="Times New Roman"/>
          <w:bCs/>
          <w:kern w:val="2"/>
          <w:sz w:val="24"/>
          <w:szCs w:val="24"/>
          <w:lang w:eastAsia="zh-CN"/>
        </w:rPr>
        <w:t>试采站</w:t>
      </w:r>
      <w:r w:rsidRPr="00E67914">
        <w:rPr>
          <w:rFonts w:ascii="Times New Roman" w:hAnsi="Times New Roman"/>
          <w:bCs/>
          <w:kern w:val="2"/>
          <w:sz w:val="24"/>
          <w:szCs w:val="24"/>
          <w:lang w:eastAsia="zh-CN"/>
        </w:rPr>
        <w:t>所在地为中心点，边长为</w:t>
      </w:r>
      <w:r w:rsidRPr="00E67914">
        <w:rPr>
          <w:rFonts w:ascii="Times New Roman" w:hAnsi="Times New Roman"/>
          <w:bCs/>
          <w:kern w:val="2"/>
          <w:sz w:val="24"/>
          <w:szCs w:val="24"/>
          <w:lang w:eastAsia="zh-CN"/>
        </w:rPr>
        <w:t>5.0km</w:t>
      </w:r>
      <w:r w:rsidRPr="00E67914">
        <w:rPr>
          <w:rFonts w:ascii="Times New Roman" w:hAnsi="Times New Roman"/>
          <w:bCs/>
          <w:kern w:val="2"/>
          <w:sz w:val="24"/>
          <w:szCs w:val="24"/>
          <w:lang w:eastAsia="zh-CN"/>
        </w:rPr>
        <w:t>的矩形区域，总评价范围约</w:t>
      </w:r>
      <w:r w:rsidRPr="00E67914">
        <w:rPr>
          <w:rFonts w:ascii="Times New Roman" w:hAnsi="Times New Roman"/>
          <w:bCs/>
          <w:kern w:val="2"/>
          <w:sz w:val="24"/>
          <w:szCs w:val="24"/>
          <w:lang w:eastAsia="zh-CN"/>
        </w:rPr>
        <w:t>25km</w:t>
      </w:r>
      <w:r w:rsidRPr="00E67914">
        <w:rPr>
          <w:rFonts w:ascii="Times New Roman" w:hAnsi="Times New Roman"/>
          <w:bCs/>
          <w:kern w:val="2"/>
          <w:sz w:val="24"/>
          <w:szCs w:val="24"/>
          <w:vertAlign w:val="superscript"/>
          <w:lang w:eastAsia="zh-CN"/>
        </w:rPr>
        <w:t>2</w:t>
      </w:r>
      <w:r w:rsidRPr="00E67914">
        <w:rPr>
          <w:rFonts w:ascii="Times New Roman" w:hAnsi="Times New Roman"/>
          <w:bCs/>
          <w:kern w:val="2"/>
          <w:sz w:val="24"/>
          <w:szCs w:val="24"/>
          <w:lang w:eastAsia="zh-CN"/>
        </w:rPr>
        <w:t>。本次评价重点关注井场、试采站周边</w:t>
      </w:r>
      <w:r w:rsidRPr="00E67914">
        <w:rPr>
          <w:rFonts w:ascii="Times New Roman" w:hAnsi="Times New Roman"/>
          <w:bCs/>
          <w:kern w:val="2"/>
          <w:sz w:val="24"/>
          <w:szCs w:val="24"/>
          <w:lang w:eastAsia="zh-CN"/>
        </w:rPr>
        <w:t>500m</w:t>
      </w:r>
      <w:r w:rsidRPr="00E67914">
        <w:rPr>
          <w:rFonts w:ascii="Times New Roman" w:hAnsi="Times New Roman"/>
          <w:bCs/>
          <w:kern w:val="2"/>
          <w:sz w:val="24"/>
          <w:szCs w:val="24"/>
          <w:lang w:eastAsia="zh-CN"/>
        </w:rPr>
        <w:t>范围内的大气环境保护目标。</w:t>
      </w:r>
    </w:p>
    <w:p w14:paraId="04F48A90"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2.6.4</w:t>
      </w:r>
      <w:r w:rsidRPr="00E67914">
        <w:rPr>
          <w:rFonts w:ascii="Times New Roman" w:eastAsia="黑体" w:hAnsi="Times New Roman"/>
          <w:b w:val="0"/>
          <w:sz w:val="24"/>
          <w:szCs w:val="24"/>
          <w:lang w:eastAsia="zh-CN"/>
        </w:rPr>
        <w:t>声环境</w:t>
      </w:r>
    </w:p>
    <w:p w14:paraId="34745B54"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）评价工作等级</w:t>
      </w:r>
    </w:p>
    <w:p w14:paraId="6EE07503"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声环境》（</w:t>
      </w:r>
      <w:r w:rsidRPr="00E67914">
        <w:rPr>
          <w:rFonts w:ascii="Times New Roman" w:hAnsi="Times New Roman"/>
          <w:bCs/>
          <w:kern w:val="2"/>
          <w:sz w:val="24"/>
          <w:szCs w:val="24"/>
          <w:lang w:eastAsia="zh-CN"/>
        </w:rPr>
        <w:t>HJ2.4-2021</w:t>
      </w:r>
      <w:r w:rsidRPr="00E67914">
        <w:rPr>
          <w:rFonts w:ascii="Times New Roman" w:hAnsi="Times New Roman"/>
          <w:bCs/>
          <w:kern w:val="2"/>
          <w:sz w:val="24"/>
          <w:szCs w:val="24"/>
          <w:lang w:eastAsia="zh-CN"/>
        </w:rPr>
        <w:t>）规定，声环境评价等级的划分依据建设项目所在区域的声环境功能区类别，建设项目建设前后所在区域的声环境质量变化程度，受建设项目影响人口的数量。本项目位于《声环境质量标准》（</w:t>
      </w:r>
      <w:r w:rsidRPr="00E67914">
        <w:rPr>
          <w:rFonts w:ascii="Times New Roman" w:hAnsi="Times New Roman"/>
          <w:bCs/>
          <w:kern w:val="2"/>
          <w:sz w:val="24"/>
          <w:szCs w:val="24"/>
          <w:lang w:eastAsia="zh-CN"/>
        </w:rPr>
        <w:t>GB3096-2008</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类区域，主要为施工期噪声影响，建设前后评价范围内敏感目标噪声级增高不超过</w:t>
      </w:r>
      <w:r w:rsidRPr="00E67914">
        <w:rPr>
          <w:rFonts w:ascii="Times New Roman" w:hAnsi="Times New Roman"/>
          <w:bCs/>
          <w:kern w:val="2"/>
          <w:sz w:val="24"/>
          <w:szCs w:val="24"/>
          <w:lang w:eastAsia="zh-CN"/>
        </w:rPr>
        <w:t>5dB</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A</w:t>
      </w:r>
      <w:r w:rsidRPr="00E67914">
        <w:rPr>
          <w:rFonts w:ascii="Times New Roman" w:hAnsi="Times New Roman"/>
          <w:bCs/>
          <w:kern w:val="2"/>
          <w:sz w:val="24"/>
          <w:szCs w:val="24"/>
          <w:lang w:eastAsia="zh-CN"/>
        </w:rPr>
        <w:t>），受噪声影响人口数量变化不大。</w:t>
      </w:r>
    </w:p>
    <w:p w14:paraId="33F5E994"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因此，参照《环境影响评价技术导则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声环境》</w:t>
      </w:r>
      <w:r w:rsidRPr="00E67914">
        <w:rPr>
          <w:rFonts w:ascii="Times New Roman" w:hAnsi="Times New Roman"/>
          <w:bCs/>
          <w:kern w:val="2"/>
          <w:sz w:val="24"/>
          <w:szCs w:val="24"/>
          <w:lang w:eastAsia="zh-CN"/>
        </w:rPr>
        <w:t>(HJ2.4-2021)</w:t>
      </w:r>
      <w:r w:rsidRPr="00E67914">
        <w:rPr>
          <w:rFonts w:ascii="Times New Roman" w:hAnsi="Times New Roman"/>
          <w:bCs/>
          <w:kern w:val="2"/>
          <w:sz w:val="24"/>
          <w:szCs w:val="24"/>
          <w:lang w:eastAsia="zh-CN"/>
        </w:rPr>
        <w:t>第</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条的规定，本工程的声环境影响评价工作等级定为二级。</w:t>
      </w:r>
    </w:p>
    <w:p w14:paraId="7C0EA568"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2.6-6  </w:t>
      </w:r>
      <w:r w:rsidRPr="00E67914">
        <w:rPr>
          <w:rFonts w:ascii="Times New Roman" w:eastAsia="黑体" w:hAnsi="Times New Roman"/>
          <w:sz w:val="21"/>
          <w:szCs w:val="21"/>
          <w:lang w:eastAsia="zh-CN"/>
        </w:rPr>
        <w:t>声环境评价等级判别表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2835"/>
        <w:gridCol w:w="1559"/>
        <w:gridCol w:w="1178"/>
      </w:tblGrid>
      <w:tr w:rsidR="002662E3" w:rsidRPr="00E67914" w14:paraId="0A4D1DE4" w14:textId="77777777">
        <w:trPr>
          <w:jc w:val="center"/>
        </w:trPr>
        <w:tc>
          <w:tcPr>
            <w:tcW w:w="2650" w:type="dxa"/>
            <w:vAlign w:val="center"/>
          </w:tcPr>
          <w:p w14:paraId="58EC9465"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划分依据</w:t>
            </w:r>
          </w:p>
        </w:tc>
        <w:tc>
          <w:tcPr>
            <w:tcW w:w="2835" w:type="dxa"/>
            <w:vAlign w:val="center"/>
          </w:tcPr>
          <w:p w14:paraId="0705CC39"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项目情况</w:t>
            </w:r>
          </w:p>
        </w:tc>
        <w:tc>
          <w:tcPr>
            <w:tcW w:w="1559" w:type="dxa"/>
            <w:vAlign w:val="center"/>
          </w:tcPr>
          <w:p w14:paraId="04785EE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影响识别</w:t>
            </w:r>
          </w:p>
        </w:tc>
        <w:tc>
          <w:tcPr>
            <w:tcW w:w="1178" w:type="dxa"/>
            <w:vAlign w:val="center"/>
          </w:tcPr>
          <w:p w14:paraId="18DDA69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评级等级</w:t>
            </w:r>
          </w:p>
        </w:tc>
      </w:tr>
      <w:tr w:rsidR="002662E3" w:rsidRPr="00E67914" w14:paraId="72FFA26A" w14:textId="77777777">
        <w:trPr>
          <w:jc w:val="center"/>
        </w:trPr>
        <w:tc>
          <w:tcPr>
            <w:tcW w:w="2650" w:type="dxa"/>
            <w:vAlign w:val="center"/>
          </w:tcPr>
          <w:p w14:paraId="4B80734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区域声环境功能区类别</w:t>
            </w:r>
          </w:p>
        </w:tc>
        <w:tc>
          <w:tcPr>
            <w:tcW w:w="2835" w:type="dxa"/>
            <w:vAlign w:val="center"/>
          </w:tcPr>
          <w:p w14:paraId="19D3D851"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农村地区</w:t>
            </w:r>
          </w:p>
        </w:tc>
        <w:tc>
          <w:tcPr>
            <w:tcW w:w="1559" w:type="dxa"/>
            <w:vAlign w:val="center"/>
          </w:tcPr>
          <w:p w14:paraId="6F1E6D9F"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w:t>
            </w:r>
            <w:r w:rsidRPr="00E67914">
              <w:rPr>
                <w:rFonts w:ascii="Times New Roman" w:hAnsi="Times New Roman"/>
                <w:sz w:val="21"/>
                <w:szCs w:val="21"/>
                <w:lang w:eastAsia="zh-CN"/>
              </w:rPr>
              <w:t>类地区</w:t>
            </w:r>
          </w:p>
        </w:tc>
        <w:tc>
          <w:tcPr>
            <w:tcW w:w="1178" w:type="dxa"/>
            <w:vMerge w:val="restart"/>
            <w:vAlign w:val="center"/>
          </w:tcPr>
          <w:p w14:paraId="7D605090"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二级</w:t>
            </w:r>
          </w:p>
        </w:tc>
      </w:tr>
      <w:tr w:rsidR="002662E3" w:rsidRPr="00E67914" w14:paraId="054E0967" w14:textId="77777777">
        <w:trPr>
          <w:jc w:val="center"/>
        </w:trPr>
        <w:tc>
          <w:tcPr>
            <w:tcW w:w="2650" w:type="dxa"/>
            <w:vAlign w:val="center"/>
          </w:tcPr>
          <w:p w14:paraId="5406B152"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本项目建设前后所在区域的声环境质量变化程度</w:t>
            </w:r>
          </w:p>
        </w:tc>
        <w:tc>
          <w:tcPr>
            <w:tcW w:w="2835" w:type="dxa"/>
            <w:vAlign w:val="center"/>
          </w:tcPr>
          <w:p w14:paraId="1FCD7786"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厂界噪声达标，区域声环境质量变化程度小</w:t>
            </w:r>
          </w:p>
        </w:tc>
        <w:tc>
          <w:tcPr>
            <w:tcW w:w="1559" w:type="dxa"/>
            <w:vAlign w:val="center"/>
          </w:tcPr>
          <w:p w14:paraId="286F1644"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变化幅度约小于</w:t>
            </w:r>
            <w:r w:rsidRPr="00E67914">
              <w:rPr>
                <w:rFonts w:ascii="Times New Roman" w:hAnsi="Times New Roman"/>
                <w:sz w:val="21"/>
                <w:szCs w:val="21"/>
                <w:lang w:eastAsia="zh-CN"/>
              </w:rPr>
              <w:t>3dB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p>
        </w:tc>
        <w:tc>
          <w:tcPr>
            <w:tcW w:w="1178" w:type="dxa"/>
            <w:vMerge/>
            <w:vAlign w:val="center"/>
          </w:tcPr>
          <w:p w14:paraId="48B5E63A"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r>
      <w:tr w:rsidR="002662E3" w:rsidRPr="00E67914" w14:paraId="2DA20714" w14:textId="77777777">
        <w:trPr>
          <w:jc w:val="center"/>
        </w:trPr>
        <w:tc>
          <w:tcPr>
            <w:tcW w:w="2650" w:type="dxa"/>
            <w:vAlign w:val="center"/>
          </w:tcPr>
          <w:p w14:paraId="1DCB6F17"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受影响人口的数量</w:t>
            </w:r>
          </w:p>
        </w:tc>
        <w:tc>
          <w:tcPr>
            <w:tcW w:w="2835" w:type="dxa"/>
            <w:vAlign w:val="center"/>
          </w:tcPr>
          <w:p w14:paraId="2071817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受噪声影响人口数量变化不大</w:t>
            </w:r>
          </w:p>
        </w:tc>
        <w:tc>
          <w:tcPr>
            <w:tcW w:w="1559" w:type="dxa"/>
            <w:vAlign w:val="center"/>
          </w:tcPr>
          <w:p w14:paraId="3D7FE62E"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受噪声影响人口数量较少</w:t>
            </w:r>
          </w:p>
        </w:tc>
        <w:tc>
          <w:tcPr>
            <w:tcW w:w="1178" w:type="dxa"/>
            <w:vMerge/>
            <w:vAlign w:val="center"/>
          </w:tcPr>
          <w:p w14:paraId="6EAE3E89"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r>
    </w:tbl>
    <w:p w14:paraId="3BF6671A"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）评价范围</w:t>
      </w:r>
    </w:p>
    <w:p w14:paraId="4ECB9867" w14:textId="2AED7009" w:rsidR="00A54A8A" w:rsidRPr="00E67914" w:rsidRDefault="00000000" w:rsidP="00193429">
      <w:pPr>
        <w:widowControl w:val="0"/>
        <w:tabs>
          <w:tab w:val="left" w:pos="0"/>
        </w:tabs>
        <w:spacing w:line="360" w:lineRule="auto"/>
        <w:ind w:firstLineChars="200" w:firstLine="480"/>
        <w:jc w:val="both"/>
        <w:rPr>
          <w:rFonts w:ascii="Times New Roman" w:eastAsia="黑体" w:hAnsi="Times New Roman"/>
          <w:sz w:val="21"/>
          <w:szCs w:val="21"/>
          <w:lang w:eastAsia="zh-CN"/>
        </w:rPr>
      </w:pPr>
      <w:r w:rsidRPr="00E67914">
        <w:rPr>
          <w:rFonts w:ascii="Times New Roman" w:hAnsi="Times New Roman"/>
          <w:bCs/>
          <w:kern w:val="2"/>
          <w:sz w:val="24"/>
          <w:szCs w:val="24"/>
          <w:lang w:eastAsia="zh-CN"/>
        </w:rPr>
        <w:t>项目场界周边</w:t>
      </w:r>
      <w:r w:rsidR="00DE693A" w:rsidRPr="00E67914">
        <w:rPr>
          <w:rFonts w:ascii="Times New Roman" w:hAnsi="Times New Roman"/>
          <w:bCs/>
          <w:kern w:val="2"/>
          <w:sz w:val="24"/>
          <w:szCs w:val="24"/>
          <w:lang w:eastAsia="zh-CN"/>
        </w:rPr>
        <w:t>及集输管线两侧</w:t>
      </w:r>
      <w:r w:rsidRPr="00E67914">
        <w:rPr>
          <w:rFonts w:ascii="Times New Roman" w:hAnsi="Times New Roman"/>
          <w:bCs/>
          <w:kern w:val="2"/>
          <w:sz w:val="24"/>
          <w:szCs w:val="24"/>
          <w:lang w:eastAsia="zh-CN"/>
        </w:rPr>
        <w:t>200m</w:t>
      </w:r>
      <w:r w:rsidRPr="00E67914">
        <w:rPr>
          <w:rFonts w:ascii="Times New Roman" w:hAnsi="Times New Roman"/>
          <w:bCs/>
          <w:kern w:val="2"/>
          <w:sz w:val="24"/>
          <w:szCs w:val="24"/>
          <w:lang w:eastAsia="zh-CN"/>
        </w:rPr>
        <w:t>范围。</w:t>
      </w:r>
    </w:p>
    <w:p w14:paraId="73A284A0"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2.6.5</w:t>
      </w:r>
      <w:r w:rsidRPr="00E67914">
        <w:rPr>
          <w:rFonts w:ascii="Times New Roman" w:eastAsia="黑体" w:hAnsi="Times New Roman"/>
          <w:b w:val="0"/>
          <w:sz w:val="24"/>
          <w:szCs w:val="24"/>
          <w:lang w:eastAsia="zh-CN"/>
        </w:rPr>
        <w:t>土壤环境</w:t>
      </w:r>
    </w:p>
    <w:p w14:paraId="3CC6ECD4"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Pr="00E67914">
        <w:rPr>
          <w:rFonts w:ascii="Times New Roman" w:hAnsi="Times New Roman"/>
          <w:bCs/>
          <w:kern w:val="2"/>
          <w:sz w:val="24"/>
          <w:szCs w:val="24"/>
          <w:lang w:eastAsia="zh-CN"/>
        </w:rPr>
        <w:t>评价工作等级</w:t>
      </w:r>
    </w:p>
    <w:p w14:paraId="367860DA"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根据《环境影响评价技术导则</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土壤环境（试行）》（</w:t>
      </w:r>
      <w:r w:rsidRPr="00E67914">
        <w:rPr>
          <w:rFonts w:ascii="Times New Roman" w:hAnsi="Times New Roman"/>
          <w:sz w:val="24"/>
          <w:szCs w:val="24"/>
          <w:lang w:eastAsia="zh-CN"/>
        </w:rPr>
        <w:t>HJ964-2018</w:t>
      </w:r>
      <w:r w:rsidRPr="00E67914">
        <w:rPr>
          <w:rFonts w:ascii="Times New Roman" w:hAnsi="Times New Roman"/>
          <w:sz w:val="24"/>
          <w:szCs w:val="24"/>
          <w:lang w:eastAsia="zh-CN"/>
        </w:rPr>
        <w:t>），本项目为天然气开采（</w:t>
      </w:r>
      <w:r w:rsidRPr="00E67914">
        <w:rPr>
          <w:rFonts w:ascii="Times New Roman" w:hAnsi="Times New Roman"/>
          <w:sz w:val="24"/>
          <w:szCs w:val="24"/>
          <w:lang w:eastAsia="zh-CN"/>
        </w:rPr>
        <w:t>B072</w:t>
      </w:r>
      <w:r w:rsidRPr="00E67914">
        <w:rPr>
          <w:rFonts w:ascii="Times New Roman" w:hAnsi="Times New Roman"/>
          <w:sz w:val="24"/>
          <w:szCs w:val="24"/>
          <w:lang w:eastAsia="zh-CN"/>
        </w:rPr>
        <w:t>），属于</w:t>
      </w:r>
      <w:r w:rsidRPr="00E67914">
        <w:rPr>
          <w:rFonts w:ascii="Times New Roman" w:hAnsi="Times New Roman"/>
          <w:sz w:val="24"/>
          <w:szCs w:val="24"/>
          <w:lang w:eastAsia="zh-CN"/>
        </w:rPr>
        <w:t>Ⅱ</w:t>
      </w:r>
      <w:r w:rsidRPr="00E67914">
        <w:rPr>
          <w:rFonts w:ascii="Times New Roman" w:hAnsi="Times New Roman"/>
          <w:sz w:val="24"/>
          <w:szCs w:val="24"/>
          <w:lang w:eastAsia="zh-CN"/>
        </w:rPr>
        <w:t>类建设项目。根据工程分析，项目对土壤环境的影响主要为污染物泄漏对其造成污染，属于污染影响型项目，周边环境敏感程度判别依据见表</w:t>
      </w:r>
      <w:r w:rsidRPr="00E67914">
        <w:rPr>
          <w:rFonts w:ascii="Times New Roman" w:hAnsi="Times New Roman"/>
          <w:sz w:val="24"/>
          <w:szCs w:val="24"/>
          <w:lang w:eastAsia="zh-CN"/>
        </w:rPr>
        <w:t>2.6-7</w:t>
      </w:r>
      <w:r w:rsidRPr="00E67914">
        <w:rPr>
          <w:rFonts w:ascii="Times New Roman" w:hAnsi="Times New Roman"/>
          <w:sz w:val="24"/>
          <w:szCs w:val="24"/>
          <w:lang w:eastAsia="zh-CN"/>
        </w:rPr>
        <w:t>，土壤环境影响评价工作等级划分见表</w:t>
      </w:r>
      <w:r w:rsidRPr="00E67914">
        <w:rPr>
          <w:rFonts w:ascii="Times New Roman" w:hAnsi="Times New Roman"/>
          <w:sz w:val="24"/>
          <w:szCs w:val="24"/>
          <w:lang w:eastAsia="zh-CN"/>
        </w:rPr>
        <w:t>2.6-8</w:t>
      </w:r>
      <w:r w:rsidRPr="00E67914">
        <w:rPr>
          <w:rFonts w:ascii="Times New Roman" w:hAnsi="Times New Roman"/>
          <w:sz w:val="24"/>
          <w:szCs w:val="24"/>
          <w:lang w:eastAsia="zh-CN"/>
        </w:rPr>
        <w:t>。</w:t>
      </w:r>
    </w:p>
    <w:p w14:paraId="43284AE2"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2.6-7  </w:t>
      </w:r>
      <w:r w:rsidRPr="00E67914">
        <w:rPr>
          <w:rFonts w:ascii="Times New Roman" w:eastAsia="黑体" w:hAnsi="Times New Roman"/>
          <w:sz w:val="21"/>
          <w:szCs w:val="21"/>
          <w:lang w:eastAsia="zh-CN"/>
        </w:rPr>
        <w:t>污染影响型项目敏感程度分级表表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9"/>
        <w:gridCol w:w="6423"/>
      </w:tblGrid>
      <w:tr w:rsidR="002662E3" w:rsidRPr="00E67914" w14:paraId="6847E602" w14:textId="77777777">
        <w:trPr>
          <w:jc w:val="center"/>
        </w:trPr>
        <w:tc>
          <w:tcPr>
            <w:tcW w:w="1799" w:type="dxa"/>
            <w:vAlign w:val="center"/>
          </w:tcPr>
          <w:p w14:paraId="7BCDA91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敏感程度</w:t>
            </w:r>
          </w:p>
        </w:tc>
        <w:tc>
          <w:tcPr>
            <w:tcW w:w="6423" w:type="dxa"/>
            <w:vAlign w:val="center"/>
          </w:tcPr>
          <w:p w14:paraId="1BDC2A1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判别依据</w:t>
            </w:r>
          </w:p>
        </w:tc>
      </w:tr>
      <w:tr w:rsidR="002662E3" w:rsidRPr="00E67914" w14:paraId="6B3F4037" w14:textId="77777777">
        <w:trPr>
          <w:jc w:val="center"/>
        </w:trPr>
        <w:tc>
          <w:tcPr>
            <w:tcW w:w="1799" w:type="dxa"/>
            <w:vAlign w:val="center"/>
          </w:tcPr>
          <w:p w14:paraId="294FCE45"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敏感</w:t>
            </w:r>
          </w:p>
        </w:tc>
        <w:tc>
          <w:tcPr>
            <w:tcW w:w="6423" w:type="dxa"/>
            <w:vAlign w:val="center"/>
          </w:tcPr>
          <w:p w14:paraId="75A8E3F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建设项目周边存在耕地、园地、牧草地、饮用水水源地或居民区、学校、医院、疗养院、养老院等土壤环境敏感目标的</w:t>
            </w:r>
          </w:p>
        </w:tc>
      </w:tr>
      <w:tr w:rsidR="002662E3" w:rsidRPr="00E67914" w14:paraId="31552019" w14:textId="77777777">
        <w:trPr>
          <w:jc w:val="center"/>
        </w:trPr>
        <w:tc>
          <w:tcPr>
            <w:tcW w:w="1799" w:type="dxa"/>
            <w:vAlign w:val="center"/>
          </w:tcPr>
          <w:p w14:paraId="748F7FF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较敏感</w:t>
            </w:r>
          </w:p>
        </w:tc>
        <w:tc>
          <w:tcPr>
            <w:tcW w:w="6423" w:type="dxa"/>
            <w:vAlign w:val="center"/>
          </w:tcPr>
          <w:p w14:paraId="402D9FB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建设项目周边存在其他土壤环境敏感目标的</w:t>
            </w:r>
          </w:p>
        </w:tc>
      </w:tr>
      <w:tr w:rsidR="002662E3" w:rsidRPr="00E67914" w14:paraId="2D53B7D8" w14:textId="77777777">
        <w:trPr>
          <w:jc w:val="center"/>
        </w:trPr>
        <w:tc>
          <w:tcPr>
            <w:tcW w:w="1799" w:type="dxa"/>
            <w:vAlign w:val="center"/>
          </w:tcPr>
          <w:p w14:paraId="29BD3926"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不敏感</w:t>
            </w:r>
          </w:p>
        </w:tc>
        <w:tc>
          <w:tcPr>
            <w:tcW w:w="6423" w:type="dxa"/>
            <w:vAlign w:val="center"/>
          </w:tcPr>
          <w:p w14:paraId="5B462704"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其他情况</w:t>
            </w:r>
          </w:p>
        </w:tc>
      </w:tr>
    </w:tbl>
    <w:p w14:paraId="7FC0A8D0"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2.6-8  </w:t>
      </w:r>
      <w:r w:rsidRPr="00E67914">
        <w:rPr>
          <w:rFonts w:ascii="Times New Roman" w:eastAsia="黑体" w:hAnsi="Times New Roman"/>
          <w:sz w:val="21"/>
          <w:szCs w:val="21"/>
          <w:lang w:eastAsia="zh-CN"/>
        </w:rPr>
        <w:t>污染影响型评价工作等级划分表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5"/>
        <w:gridCol w:w="730"/>
        <w:gridCol w:w="730"/>
        <w:gridCol w:w="731"/>
        <w:gridCol w:w="731"/>
        <w:gridCol w:w="731"/>
        <w:gridCol w:w="731"/>
        <w:gridCol w:w="731"/>
        <w:gridCol w:w="731"/>
        <w:gridCol w:w="731"/>
      </w:tblGrid>
      <w:tr w:rsidR="002662E3" w:rsidRPr="00E67914" w14:paraId="6DD527DA" w14:textId="77777777">
        <w:trPr>
          <w:jc w:val="center"/>
        </w:trPr>
        <w:tc>
          <w:tcPr>
            <w:tcW w:w="1645" w:type="dxa"/>
            <w:vMerge w:val="restart"/>
            <w:tcBorders>
              <w:tl2br w:val="single" w:sz="4" w:space="0" w:color="auto"/>
            </w:tcBorders>
            <w:vAlign w:val="center"/>
          </w:tcPr>
          <w:p w14:paraId="1D19417B" w14:textId="77777777" w:rsidR="00A54A8A" w:rsidRPr="00E67914" w:rsidRDefault="00000000">
            <w:pPr>
              <w:pStyle w:val="TableParagraph"/>
              <w:adjustRightInd w:val="0"/>
              <w:snapToGrid w:val="0"/>
              <w:jc w:val="right"/>
              <w:rPr>
                <w:rFonts w:ascii="Times New Roman" w:hAnsi="Times New Roman"/>
                <w:sz w:val="21"/>
                <w:szCs w:val="21"/>
                <w:lang w:eastAsia="zh-CN"/>
              </w:rPr>
            </w:pPr>
            <w:r w:rsidRPr="00E67914">
              <w:rPr>
                <w:rFonts w:ascii="Times New Roman" w:hAnsi="Times New Roman"/>
                <w:sz w:val="21"/>
                <w:szCs w:val="21"/>
                <w:lang w:eastAsia="zh-CN"/>
              </w:rPr>
              <w:t>占地规模</w:t>
            </w:r>
          </w:p>
          <w:p w14:paraId="6CF1C05B" w14:textId="77777777" w:rsidR="00A54A8A" w:rsidRPr="00E67914" w:rsidRDefault="00000000">
            <w:pPr>
              <w:pStyle w:val="TableParagraph"/>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敏感程度</w:t>
            </w:r>
            <w:r w:rsidRPr="00E67914">
              <w:rPr>
                <w:rFonts w:ascii="Times New Roman" w:hAnsi="Times New Roman"/>
                <w:sz w:val="21"/>
                <w:szCs w:val="21"/>
                <w:lang w:eastAsia="zh-CN"/>
              </w:rPr>
              <w:t xml:space="preserve"> </w:t>
            </w:r>
          </w:p>
        </w:tc>
        <w:tc>
          <w:tcPr>
            <w:tcW w:w="2191" w:type="dxa"/>
            <w:gridSpan w:val="3"/>
            <w:vAlign w:val="center"/>
          </w:tcPr>
          <w:p w14:paraId="116D5780"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I</w:t>
            </w:r>
            <w:r w:rsidRPr="00E67914">
              <w:rPr>
                <w:rFonts w:ascii="Times New Roman" w:hAnsi="Times New Roman"/>
                <w:sz w:val="21"/>
                <w:szCs w:val="21"/>
                <w:lang w:eastAsia="zh-CN"/>
              </w:rPr>
              <w:t>类</w:t>
            </w:r>
          </w:p>
        </w:tc>
        <w:tc>
          <w:tcPr>
            <w:tcW w:w="2193" w:type="dxa"/>
            <w:gridSpan w:val="3"/>
          </w:tcPr>
          <w:p w14:paraId="2AC2877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shd w:val="pct10" w:color="auto" w:fill="FFFFFF"/>
                <w:lang w:eastAsia="zh-CN"/>
              </w:rPr>
              <w:t>II</w:t>
            </w:r>
            <w:r w:rsidRPr="00E67914">
              <w:rPr>
                <w:rFonts w:ascii="Times New Roman" w:hAnsi="Times New Roman"/>
                <w:sz w:val="21"/>
                <w:szCs w:val="21"/>
                <w:shd w:val="pct10" w:color="auto" w:fill="FFFFFF"/>
                <w:lang w:eastAsia="zh-CN"/>
              </w:rPr>
              <w:t>类</w:t>
            </w:r>
          </w:p>
        </w:tc>
        <w:tc>
          <w:tcPr>
            <w:tcW w:w="2193" w:type="dxa"/>
            <w:gridSpan w:val="3"/>
          </w:tcPr>
          <w:p w14:paraId="03D3C264"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III</w:t>
            </w:r>
            <w:r w:rsidRPr="00E67914">
              <w:rPr>
                <w:rFonts w:ascii="Times New Roman" w:hAnsi="Times New Roman"/>
                <w:sz w:val="21"/>
                <w:szCs w:val="21"/>
                <w:lang w:eastAsia="zh-CN"/>
              </w:rPr>
              <w:t>类</w:t>
            </w:r>
          </w:p>
        </w:tc>
      </w:tr>
      <w:tr w:rsidR="002662E3" w:rsidRPr="00E67914" w14:paraId="324596F6" w14:textId="77777777">
        <w:trPr>
          <w:jc w:val="center"/>
        </w:trPr>
        <w:tc>
          <w:tcPr>
            <w:tcW w:w="1645" w:type="dxa"/>
            <w:vMerge/>
            <w:tcBorders>
              <w:tl2br w:val="single" w:sz="4" w:space="0" w:color="auto"/>
            </w:tcBorders>
            <w:vAlign w:val="center"/>
          </w:tcPr>
          <w:p w14:paraId="2566D8DF"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730" w:type="dxa"/>
            <w:vAlign w:val="center"/>
          </w:tcPr>
          <w:p w14:paraId="759AB475"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大</w:t>
            </w:r>
          </w:p>
        </w:tc>
        <w:tc>
          <w:tcPr>
            <w:tcW w:w="730" w:type="dxa"/>
          </w:tcPr>
          <w:p w14:paraId="4B09D75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中</w:t>
            </w:r>
          </w:p>
        </w:tc>
        <w:tc>
          <w:tcPr>
            <w:tcW w:w="731" w:type="dxa"/>
          </w:tcPr>
          <w:p w14:paraId="5397726F"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小</w:t>
            </w:r>
          </w:p>
        </w:tc>
        <w:tc>
          <w:tcPr>
            <w:tcW w:w="731" w:type="dxa"/>
            <w:vAlign w:val="center"/>
          </w:tcPr>
          <w:p w14:paraId="740DE4E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大</w:t>
            </w:r>
          </w:p>
        </w:tc>
        <w:tc>
          <w:tcPr>
            <w:tcW w:w="731" w:type="dxa"/>
          </w:tcPr>
          <w:p w14:paraId="5412CD21"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中</w:t>
            </w:r>
          </w:p>
        </w:tc>
        <w:tc>
          <w:tcPr>
            <w:tcW w:w="731" w:type="dxa"/>
          </w:tcPr>
          <w:p w14:paraId="70543DC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shd w:val="pct10" w:color="auto" w:fill="FFFFFF"/>
                <w:lang w:eastAsia="zh-CN"/>
              </w:rPr>
              <w:t>小</w:t>
            </w:r>
          </w:p>
        </w:tc>
        <w:tc>
          <w:tcPr>
            <w:tcW w:w="731" w:type="dxa"/>
            <w:vAlign w:val="center"/>
          </w:tcPr>
          <w:p w14:paraId="6AD316D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大</w:t>
            </w:r>
          </w:p>
        </w:tc>
        <w:tc>
          <w:tcPr>
            <w:tcW w:w="731" w:type="dxa"/>
          </w:tcPr>
          <w:p w14:paraId="3F20399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中</w:t>
            </w:r>
          </w:p>
        </w:tc>
        <w:tc>
          <w:tcPr>
            <w:tcW w:w="731" w:type="dxa"/>
          </w:tcPr>
          <w:p w14:paraId="524EC0C1"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小</w:t>
            </w:r>
          </w:p>
        </w:tc>
      </w:tr>
      <w:tr w:rsidR="002662E3" w:rsidRPr="00E67914" w14:paraId="483BC682" w14:textId="77777777">
        <w:trPr>
          <w:jc w:val="center"/>
        </w:trPr>
        <w:tc>
          <w:tcPr>
            <w:tcW w:w="1645" w:type="dxa"/>
            <w:vAlign w:val="center"/>
          </w:tcPr>
          <w:p w14:paraId="32BD35F5"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shd w:val="pct10" w:color="auto" w:fill="FFFFFF"/>
                <w:lang w:eastAsia="zh-CN"/>
              </w:rPr>
              <w:t>敏感</w:t>
            </w:r>
          </w:p>
        </w:tc>
        <w:tc>
          <w:tcPr>
            <w:tcW w:w="730" w:type="dxa"/>
            <w:vAlign w:val="center"/>
          </w:tcPr>
          <w:p w14:paraId="1FCBC2A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一级</w:t>
            </w:r>
          </w:p>
        </w:tc>
        <w:tc>
          <w:tcPr>
            <w:tcW w:w="730" w:type="dxa"/>
          </w:tcPr>
          <w:p w14:paraId="66F69764"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一级</w:t>
            </w:r>
          </w:p>
        </w:tc>
        <w:tc>
          <w:tcPr>
            <w:tcW w:w="731" w:type="dxa"/>
          </w:tcPr>
          <w:p w14:paraId="1D1ACFA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一级</w:t>
            </w:r>
          </w:p>
        </w:tc>
        <w:tc>
          <w:tcPr>
            <w:tcW w:w="731" w:type="dxa"/>
          </w:tcPr>
          <w:p w14:paraId="289D7BA9"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二级</w:t>
            </w:r>
          </w:p>
        </w:tc>
        <w:tc>
          <w:tcPr>
            <w:tcW w:w="731" w:type="dxa"/>
          </w:tcPr>
          <w:p w14:paraId="3C9DC02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二级</w:t>
            </w:r>
          </w:p>
        </w:tc>
        <w:tc>
          <w:tcPr>
            <w:tcW w:w="731" w:type="dxa"/>
          </w:tcPr>
          <w:p w14:paraId="0AE0CBF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shd w:val="pct10" w:color="auto" w:fill="FFFFFF"/>
                <w:lang w:eastAsia="zh-CN"/>
              </w:rPr>
              <w:t>二级</w:t>
            </w:r>
          </w:p>
        </w:tc>
        <w:tc>
          <w:tcPr>
            <w:tcW w:w="731" w:type="dxa"/>
          </w:tcPr>
          <w:p w14:paraId="6CFDA6F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c>
          <w:tcPr>
            <w:tcW w:w="731" w:type="dxa"/>
          </w:tcPr>
          <w:p w14:paraId="59FBECB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c>
          <w:tcPr>
            <w:tcW w:w="731" w:type="dxa"/>
          </w:tcPr>
          <w:p w14:paraId="30B5C46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r>
      <w:tr w:rsidR="002662E3" w:rsidRPr="00E67914" w14:paraId="4A13AF5E" w14:textId="77777777">
        <w:trPr>
          <w:jc w:val="center"/>
        </w:trPr>
        <w:tc>
          <w:tcPr>
            <w:tcW w:w="1645" w:type="dxa"/>
            <w:vAlign w:val="center"/>
          </w:tcPr>
          <w:p w14:paraId="383B3A1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较敏感</w:t>
            </w:r>
          </w:p>
        </w:tc>
        <w:tc>
          <w:tcPr>
            <w:tcW w:w="730" w:type="dxa"/>
            <w:vAlign w:val="center"/>
          </w:tcPr>
          <w:p w14:paraId="532FC45E"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一级</w:t>
            </w:r>
          </w:p>
        </w:tc>
        <w:tc>
          <w:tcPr>
            <w:tcW w:w="730" w:type="dxa"/>
          </w:tcPr>
          <w:p w14:paraId="6A8D1F57"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一级</w:t>
            </w:r>
          </w:p>
        </w:tc>
        <w:tc>
          <w:tcPr>
            <w:tcW w:w="731" w:type="dxa"/>
          </w:tcPr>
          <w:p w14:paraId="42F83A9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二级</w:t>
            </w:r>
          </w:p>
        </w:tc>
        <w:tc>
          <w:tcPr>
            <w:tcW w:w="731" w:type="dxa"/>
          </w:tcPr>
          <w:p w14:paraId="47ECF24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二级</w:t>
            </w:r>
          </w:p>
        </w:tc>
        <w:tc>
          <w:tcPr>
            <w:tcW w:w="731" w:type="dxa"/>
          </w:tcPr>
          <w:p w14:paraId="68182AF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二级</w:t>
            </w:r>
          </w:p>
        </w:tc>
        <w:tc>
          <w:tcPr>
            <w:tcW w:w="731" w:type="dxa"/>
          </w:tcPr>
          <w:p w14:paraId="02355260"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c>
          <w:tcPr>
            <w:tcW w:w="731" w:type="dxa"/>
          </w:tcPr>
          <w:p w14:paraId="52A5DE07"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c>
          <w:tcPr>
            <w:tcW w:w="731" w:type="dxa"/>
          </w:tcPr>
          <w:p w14:paraId="40439261"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c>
          <w:tcPr>
            <w:tcW w:w="731" w:type="dxa"/>
          </w:tcPr>
          <w:p w14:paraId="7B5369ED"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r>
      <w:tr w:rsidR="002662E3" w:rsidRPr="00E67914" w14:paraId="67ACF8C6" w14:textId="77777777">
        <w:trPr>
          <w:jc w:val="center"/>
        </w:trPr>
        <w:tc>
          <w:tcPr>
            <w:tcW w:w="1645" w:type="dxa"/>
            <w:vAlign w:val="center"/>
          </w:tcPr>
          <w:p w14:paraId="703B962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不敏感</w:t>
            </w:r>
          </w:p>
        </w:tc>
        <w:tc>
          <w:tcPr>
            <w:tcW w:w="730" w:type="dxa"/>
            <w:vAlign w:val="center"/>
          </w:tcPr>
          <w:p w14:paraId="38FCD47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一级</w:t>
            </w:r>
          </w:p>
        </w:tc>
        <w:tc>
          <w:tcPr>
            <w:tcW w:w="730" w:type="dxa"/>
          </w:tcPr>
          <w:p w14:paraId="567012AD"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一级</w:t>
            </w:r>
          </w:p>
        </w:tc>
        <w:tc>
          <w:tcPr>
            <w:tcW w:w="731" w:type="dxa"/>
          </w:tcPr>
          <w:p w14:paraId="24896631"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二级</w:t>
            </w:r>
          </w:p>
        </w:tc>
        <w:tc>
          <w:tcPr>
            <w:tcW w:w="731" w:type="dxa"/>
          </w:tcPr>
          <w:p w14:paraId="46223C7E"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二级</w:t>
            </w:r>
          </w:p>
        </w:tc>
        <w:tc>
          <w:tcPr>
            <w:tcW w:w="731" w:type="dxa"/>
          </w:tcPr>
          <w:p w14:paraId="2A778DAF"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c>
          <w:tcPr>
            <w:tcW w:w="731" w:type="dxa"/>
          </w:tcPr>
          <w:p w14:paraId="4783393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c>
          <w:tcPr>
            <w:tcW w:w="731" w:type="dxa"/>
          </w:tcPr>
          <w:p w14:paraId="1037714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三级</w:t>
            </w:r>
          </w:p>
        </w:tc>
        <w:tc>
          <w:tcPr>
            <w:tcW w:w="731" w:type="dxa"/>
          </w:tcPr>
          <w:p w14:paraId="3A01EA17"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1" w:type="dxa"/>
          </w:tcPr>
          <w:p w14:paraId="767E55C2"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r>
      <w:tr w:rsidR="002662E3" w:rsidRPr="00E67914" w14:paraId="6C1056ED" w14:textId="77777777">
        <w:trPr>
          <w:jc w:val="center"/>
        </w:trPr>
        <w:tc>
          <w:tcPr>
            <w:tcW w:w="8222" w:type="dxa"/>
            <w:gridSpan w:val="10"/>
            <w:vAlign w:val="center"/>
          </w:tcPr>
          <w:p w14:paraId="71D0A329"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lastRenderedPageBreak/>
              <w:t>注</w:t>
            </w:r>
            <w:r w:rsidRPr="00E67914">
              <w:rPr>
                <w:rFonts w:ascii="Times New Roman" w:hAnsi="Times New Roman"/>
                <w:sz w:val="21"/>
                <w:szCs w:val="21"/>
                <w:lang w:eastAsia="zh-CN"/>
              </w:rPr>
              <w:t>:“-”</w:t>
            </w:r>
            <w:r w:rsidRPr="00E67914">
              <w:rPr>
                <w:rFonts w:ascii="Times New Roman" w:hAnsi="Times New Roman"/>
                <w:sz w:val="21"/>
                <w:szCs w:val="21"/>
                <w:lang w:eastAsia="zh-CN"/>
              </w:rPr>
              <w:t>表示可不开展土壤环境影响评价工作。</w:t>
            </w:r>
          </w:p>
        </w:tc>
      </w:tr>
    </w:tbl>
    <w:p w14:paraId="49E3A5D4"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根据现场调查和收集资料，项目及周边存在耕地、居民、公益林等土壤环境敏感目标，土壤环境敏感；本项目占地面积小于</w:t>
      </w:r>
      <w:r w:rsidRPr="00E67914">
        <w:rPr>
          <w:rFonts w:ascii="Times New Roman" w:hAnsi="Times New Roman"/>
          <w:sz w:val="24"/>
          <w:szCs w:val="24"/>
          <w:lang w:eastAsia="zh-CN"/>
        </w:rPr>
        <w:t>5hm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，因此占地规模为小型。因此，根据污染影响型评价工作等级划分表，本项目土壤环境影响评价等级为二级。</w:t>
      </w:r>
    </w:p>
    <w:p w14:paraId="3D5D86DD"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）评价范围</w:t>
      </w:r>
    </w:p>
    <w:p w14:paraId="480BA5C0" w14:textId="53519401"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根据《环境影响评价技术导则</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土壤环境（试行）》（</w:t>
      </w:r>
      <w:r w:rsidRPr="00E67914">
        <w:rPr>
          <w:rFonts w:ascii="Times New Roman" w:hAnsi="Times New Roman"/>
          <w:sz w:val="24"/>
          <w:szCs w:val="24"/>
          <w:lang w:eastAsia="zh-CN"/>
        </w:rPr>
        <w:t>HJ964-2018</w:t>
      </w:r>
      <w:r w:rsidRPr="00E67914">
        <w:rPr>
          <w:rFonts w:ascii="Times New Roman" w:hAnsi="Times New Roman"/>
          <w:sz w:val="24"/>
          <w:szCs w:val="24"/>
          <w:lang w:eastAsia="zh-CN"/>
        </w:rPr>
        <w:t>），本项目土壤环境评价范围为项目占地范围内全部和占地范围</w:t>
      </w:r>
      <w:r w:rsidR="00193429" w:rsidRPr="00E67914">
        <w:rPr>
          <w:rFonts w:ascii="Times New Roman" w:hAnsi="Times New Roman"/>
          <w:sz w:val="24"/>
          <w:szCs w:val="24"/>
          <w:lang w:eastAsia="zh-CN"/>
        </w:rPr>
        <w:t>（不含外输管线与进场道路）</w:t>
      </w:r>
      <w:r w:rsidRPr="00E67914">
        <w:rPr>
          <w:rFonts w:ascii="Times New Roman" w:hAnsi="Times New Roman"/>
          <w:sz w:val="24"/>
          <w:szCs w:val="24"/>
          <w:lang w:eastAsia="zh-CN"/>
        </w:rPr>
        <w:t>外</w:t>
      </w:r>
      <w:r w:rsidRPr="00E67914">
        <w:rPr>
          <w:rFonts w:ascii="Times New Roman" w:hAnsi="Times New Roman"/>
          <w:sz w:val="24"/>
          <w:szCs w:val="24"/>
          <w:lang w:eastAsia="zh-CN"/>
        </w:rPr>
        <w:t>0.2km</w:t>
      </w:r>
      <w:r w:rsidRPr="00E67914">
        <w:rPr>
          <w:rFonts w:ascii="Times New Roman" w:hAnsi="Times New Roman"/>
          <w:bCs/>
          <w:kern w:val="2"/>
          <w:sz w:val="24"/>
          <w:szCs w:val="24"/>
          <w:lang w:eastAsia="zh-CN"/>
        </w:rPr>
        <w:t>。</w:t>
      </w:r>
    </w:p>
    <w:p w14:paraId="01E28BF3"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2.6.6</w:t>
      </w:r>
      <w:r w:rsidRPr="00E67914">
        <w:rPr>
          <w:rFonts w:ascii="Times New Roman" w:eastAsia="黑体" w:hAnsi="Times New Roman"/>
          <w:b w:val="0"/>
          <w:sz w:val="24"/>
          <w:szCs w:val="24"/>
          <w:lang w:eastAsia="zh-CN"/>
        </w:rPr>
        <w:t>生态环境</w:t>
      </w:r>
    </w:p>
    <w:p w14:paraId="6B1F8A8B"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Pr="00E67914">
        <w:rPr>
          <w:rFonts w:ascii="Times New Roman" w:hAnsi="Times New Roman"/>
          <w:bCs/>
          <w:kern w:val="2"/>
          <w:sz w:val="24"/>
          <w:szCs w:val="24"/>
          <w:lang w:eastAsia="zh-CN"/>
        </w:rPr>
        <w:t>评价工作等级</w:t>
      </w:r>
    </w:p>
    <w:p w14:paraId="3412E937" w14:textId="77777777" w:rsidR="00A54A8A" w:rsidRPr="00E67914" w:rsidRDefault="00000000">
      <w:pPr>
        <w:pStyle w:val="af"/>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根据《环境影响评价技术导则</w:t>
      </w:r>
      <w:r w:rsidRPr="00E67914">
        <w:rPr>
          <w:rFonts w:ascii="Times New Roman" w:hAnsi="Times New Roman"/>
          <w:spacing w:val="-8"/>
          <w:lang w:eastAsia="zh-CN"/>
        </w:rPr>
        <w:t xml:space="preserve"> </w:t>
      </w:r>
      <w:r w:rsidRPr="00E67914">
        <w:rPr>
          <w:rFonts w:ascii="Times New Roman" w:hAnsi="Times New Roman"/>
          <w:lang w:eastAsia="zh-CN"/>
        </w:rPr>
        <w:t>生态影响》</w:t>
      </w:r>
      <w:r w:rsidRPr="00E67914">
        <w:rPr>
          <w:rFonts w:ascii="Times New Roman" w:eastAsia="Times New Roman" w:hAnsi="Times New Roman"/>
          <w:lang w:eastAsia="zh-CN"/>
        </w:rPr>
        <w:t>(HJ19-2022)</w:t>
      </w:r>
      <w:r w:rsidRPr="00E67914">
        <w:rPr>
          <w:rFonts w:ascii="Times New Roman" w:hAnsi="Times New Roman"/>
          <w:lang w:eastAsia="zh-CN"/>
        </w:rPr>
        <w:t>，判断本项目是否涉及下文</w:t>
      </w:r>
      <w:r w:rsidRPr="00E67914">
        <w:rPr>
          <w:rFonts w:ascii="Times New Roman" w:hAnsi="Times New Roman"/>
          <w:lang w:eastAsia="zh-CN"/>
        </w:rPr>
        <w:t>a~f</w:t>
      </w:r>
      <w:r w:rsidRPr="00E67914">
        <w:rPr>
          <w:rFonts w:ascii="Times New Roman" w:hAnsi="Times New Roman"/>
          <w:lang w:eastAsia="zh-CN"/>
        </w:rPr>
        <w:t>，以此来确定本项目生态环境评价工作等级：</w:t>
      </w:r>
    </w:p>
    <w:p w14:paraId="5489B0FB"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2.6-9  </w:t>
      </w:r>
      <w:r w:rsidRPr="00E67914">
        <w:rPr>
          <w:rFonts w:ascii="Times New Roman" w:eastAsia="黑体" w:hAnsi="Times New Roman"/>
          <w:sz w:val="21"/>
          <w:szCs w:val="21"/>
          <w:lang w:eastAsia="zh-CN"/>
        </w:rPr>
        <w:t>生态影响评价工作等级判定表</w:t>
      </w:r>
    </w:p>
    <w:tbl>
      <w:tblPr>
        <w:tblStyle w:val="affa"/>
        <w:tblW w:w="0" w:type="auto"/>
        <w:tblInd w:w="138" w:type="dxa"/>
        <w:tblLook w:val="04A0" w:firstRow="1" w:lastRow="0" w:firstColumn="1" w:lastColumn="0" w:noHBand="0" w:noVBand="1"/>
      </w:tblPr>
      <w:tblGrid>
        <w:gridCol w:w="850"/>
        <w:gridCol w:w="5244"/>
        <w:gridCol w:w="2064"/>
      </w:tblGrid>
      <w:tr w:rsidR="00E67914" w:rsidRPr="00E67914" w14:paraId="2BBB07D8" w14:textId="77777777">
        <w:tc>
          <w:tcPr>
            <w:tcW w:w="850" w:type="dxa"/>
            <w:vAlign w:val="center"/>
          </w:tcPr>
          <w:p w14:paraId="41576A65"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序号</w:t>
            </w:r>
          </w:p>
        </w:tc>
        <w:tc>
          <w:tcPr>
            <w:tcW w:w="5244" w:type="dxa"/>
            <w:vAlign w:val="center"/>
          </w:tcPr>
          <w:p w14:paraId="51997D08"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导则规定</w:t>
            </w:r>
          </w:p>
        </w:tc>
        <w:tc>
          <w:tcPr>
            <w:tcW w:w="2064" w:type="dxa"/>
            <w:vAlign w:val="center"/>
          </w:tcPr>
          <w:p w14:paraId="085E7BAB"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本项目情况</w:t>
            </w:r>
          </w:p>
        </w:tc>
      </w:tr>
      <w:tr w:rsidR="00E67914" w:rsidRPr="00E67914" w14:paraId="59A7E070" w14:textId="77777777">
        <w:tc>
          <w:tcPr>
            <w:tcW w:w="850" w:type="dxa"/>
            <w:vAlign w:val="center"/>
          </w:tcPr>
          <w:p w14:paraId="4128B034"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1</w:t>
            </w:r>
          </w:p>
        </w:tc>
        <w:tc>
          <w:tcPr>
            <w:tcW w:w="5244" w:type="dxa"/>
            <w:vAlign w:val="center"/>
          </w:tcPr>
          <w:p w14:paraId="50FC8059"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a</w:t>
            </w:r>
            <w:r w:rsidRPr="00E67914">
              <w:rPr>
                <w:rFonts w:ascii="Times New Roman" w:hAnsi="Times New Roman"/>
                <w:sz w:val="21"/>
                <w:szCs w:val="21"/>
                <w:lang w:eastAsia="zh-CN"/>
              </w:rPr>
              <w:t>）涉及国家公园、自然保护区、世界自然遗产、重要生境时，评价等级为一级</w:t>
            </w:r>
          </w:p>
        </w:tc>
        <w:tc>
          <w:tcPr>
            <w:tcW w:w="2064" w:type="dxa"/>
            <w:vAlign w:val="center"/>
          </w:tcPr>
          <w:p w14:paraId="01D4BEC9"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不涉及</w:t>
            </w:r>
          </w:p>
        </w:tc>
      </w:tr>
      <w:tr w:rsidR="00E67914" w:rsidRPr="00E67914" w14:paraId="0EE150EF" w14:textId="77777777">
        <w:tc>
          <w:tcPr>
            <w:tcW w:w="850" w:type="dxa"/>
            <w:vAlign w:val="center"/>
          </w:tcPr>
          <w:p w14:paraId="185A041B"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2</w:t>
            </w:r>
          </w:p>
        </w:tc>
        <w:tc>
          <w:tcPr>
            <w:tcW w:w="5244" w:type="dxa"/>
            <w:vAlign w:val="center"/>
          </w:tcPr>
          <w:p w14:paraId="505C3B00"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b</w:t>
            </w:r>
            <w:r w:rsidRPr="00E67914">
              <w:rPr>
                <w:rFonts w:ascii="Times New Roman" w:hAnsi="Times New Roman"/>
                <w:sz w:val="21"/>
                <w:szCs w:val="21"/>
                <w:lang w:eastAsia="zh-CN"/>
              </w:rPr>
              <w:t>）涉及自然公园时，评价等级为二级</w:t>
            </w:r>
          </w:p>
        </w:tc>
        <w:tc>
          <w:tcPr>
            <w:tcW w:w="2064" w:type="dxa"/>
            <w:vAlign w:val="center"/>
          </w:tcPr>
          <w:p w14:paraId="7D505BDE"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不涉及</w:t>
            </w:r>
          </w:p>
        </w:tc>
      </w:tr>
      <w:tr w:rsidR="00E67914" w:rsidRPr="00E67914" w14:paraId="44CB6A06" w14:textId="77777777">
        <w:tc>
          <w:tcPr>
            <w:tcW w:w="850" w:type="dxa"/>
            <w:vAlign w:val="center"/>
          </w:tcPr>
          <w:p w14:paraId="74EA88E8"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3</w:t>
            </w:r>
          </w:p>
        </w:tc>
        <w:tc>
          <w:tcPr>
            <w:tcW w:w="5244" w:type="dxa"/>
            <w:vAlign w:val="center"/>
          </w:tcPr>
          <w:p w14:paraId="6493334D"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c</w:t>
            </w:r>
            <w:r w:rsidRPr="00E67914">
              <w:rPr>
                <w:rFonts w:ascii="Times New Roman" w:hAnsi="Times New Roman"/>
                <w:sz w:val="21"/>
                <w:szCs w:val="21"/>
                <w:lang w:eastAsia="zh-CN"/>
              </w:rPr>
              <w:t>）涉及生态保护红线时，评价等级不低于二级</w:t>
            </w:r>
          </w:p>
        </w:tc>
        <w:tc>
          <w:tcPr>
            <w:tcW w:w="2064" w:type="dxa"/>
            <w:vAlign w:val="center"/>
          </w:tcPr>
          <w:p w14:paraId="7E23F719"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不涉及</w:t>
            </w:r>
          </w:p>
        </w:tc>
      </w:tr>
      <w:tr w:rsidR="00E67914" w:rsidRPr="00E67914" w14:paraId="568894A1" w14:textId="77777777">
        <w:tc>
          <w:tcPr>
            <w:tcW w:w="850" w:type="dxa"/>
            <w:vAlign w:val="center"/>
          </w:tcPr>
          <w:p w14:paraId="4AAF5068"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4</w:t>
            </w:r>
          </w:p>
        </w:tc>
        <w:tc>
          <w:tcPr>
            <w:tcW w:w="5244" w:type="dxa"/>
            <w:vAlign w:val="center"/>
          </w:tcPr>
          <w:p w14:paraId="42AC72A8"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d</w:t>
            </w:r>
            <w:r w:rsidRPr="00E67914">
              <w:rPr>
                <w:rFonts w:ascii="Times New Roman" w:hAnsi="Times New Roman"/>
                <w:sz w:val="21"/>
                <w:szCs w:val="21"/>
                <w:lang w:eastAsia="zh-CN"/>
              </w:rPr>
              <w:t>）根据</w:t>
            </w:r>
            <w:r w:rsidRPr="00E67914">
              <w:rPr>
                <w:rFonts w:ascii="Times New Roman" w:hAnsi="Times New Roman"/>
                <w:sz w:val="21"/>
                <w:szCs w:val="21"/>
                <w:lang w:eastAsia="zh-CN"/>
              </w:rPr>
              <w:t>HJ2.3</w:t>
            </w:r>
            <w:r w:rsidRPr="00E67914">
              <w:rPr>
                <w:rFonts w:ascii="Times New Roman" w:hAnsi="Times New Roman"/>
                <w:sz w:val="21"/>
                <w:szCs w:val="21"/>
                <w:lang w:eastAsia="zh-CN"/>
              </w:rPr>
              <w:t>判断属于水文要素影响型且地表水评价等级不低于二级的建设项目，生态影响评价等级不低于二级</w:t>
            </w:r>
          </w:p>
        </w:tc>
        <w:tc>
          <w:tcPr>
            <w:tcW w:w="2064" w:type="dxa"/>
            <w:vAlign w:val="center"/>
          </w:tcPr>
          <w:p w14:paraId="6CB77ECE"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不涉及</w:t>
            </w:r>
          </w:p>
        </w:tc>
      </w:tr>
      <w:tr w:rsidR="00E67914" w:rsidRPr="00E67914" w14:paraId="2AF1D40E" w14:textId="77777777">
        <w:tc>
          <w:tcPr>
            <w:tcW w:w="850" w:type="dxa"/>
            <w:vAlign w:val="center"/>
          </w:tcPr>
          <w:p w14:paraId="50BABEA0"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5</w:t>
            </w:r>
          </w:p>
        </w:tc>
        <w:tc>
          <w:tcPr>
            <w:tcW w:w="5244" w:type="dxa"/>
            <w:vAlign w:val="center"/>
          </w:tcPr>
          <w:p w14:paraId="272FEDAC"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e</w:t>
            </w:r>
            <w:r w:rsidRPr="00E67914">
              <w:rPr>
                <w:rFonts w:ascii="Times New Roman" w:hAnsi="Times New Roman"/>
                <w:sz w:val="21"/>
                <w:szCs w:val="21"/>
                <w:lang w:eastAsia="zh-CN"/>
              </w:rPr>
              <w:t>）根据</w:t>
            </w:r>
            <w:r w:rsidRPr="00E67914">
              <w:rPr>
                <w:rFonts w:ascii="Times New Roman" w:hAnsi="Times New Roman"/>
                <w:sz w:val="21"/>
                <w:szCs w:val="21"/>
                <w:lang w:eastAsia="zh-CN"/>
              </w:rPr>
              <w:t>HJ610</w:t>
            </w:r>
            <w:r w:rsidRPr="00E67914">
              <w:rPr>
                <w:rFonts w:ascii="Times New Roman" w:hAnsi="Times New Roman"/>
                <w:sz w:val="21"/>
                <w:szCs w:val="21"/>
                <w:lang w:eastAsia="zh-CN"/>
              </w:rPr>
              <w:t>、</w:t>
            </w:r>
            <w:r w:rsidRPr="00E67914">
              <w:rPr>
                <w:rFonts w:ascii="Times New Roman" w:hAnsi="Times New Roman"/>
                <w:sz w:val="21"/>
                <w:szCs w:val="21"/>
                <w:lang w:eastAsia="zh-CN"/>
              </w:rPr>
              <w:t>HJ964</w:t>
            </w:r>
            <w:r w:rsidRPr="00E67914">
              <w:rPr>
                <w:rFonts w:ascii="Times New Roman" w:hAnsi="Times New Roman"/>
                <w:sz w:val="21"/>
                <w:szCs w:val="21"/>
                <w:lang w:eastAsia="zh-CN"/>
              </w:rPr>
              <w:t>判断地下水水位或土壤影响范围内分布有天然林、公益林、湿地等生态保护目标的建设项目，生态影响评价等级不低于二级</w:t>
            </w:r>
          </w:p>
        </w:tc>
        <w:tc>
          <w:tcPr>
            <w:tcW w:w="2064" w:type="dxa"/>
            <w:vAlign w:val="center"/>
          </w:tcPr>
          <w:p w14:paraId="74BDA863" w14:textId="7732C7F3" w:rsidR="00A54A8A" w:rsidRPr="00E67914" w:rsidRDefault="00193429">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不涉及</w:t>
            </w:r>
          </w:p>
        </w:tc>
      </w:tr>
      <w:tr w:rsidR="00E67914" w:rsidRPr="00E67914" w14:paraId="643C69FD" w14:textId="77777777">
        <w:tc>
          <w:tcPr>
            <w:tcW w:w="850" w:type="dxa"/>
            <w:vAlign w:val="center"/>
          </w:tcPr>
          <w:p w14:paraId="1A60DAC1"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6</w:t>
            </w:r>
          </w:p>
        </w:tc>
        <w:tc>
          <w:tcPr>
            <w:tcW w:w="5244" w:type="dxa"/>
            <w:vAlign w:val="center"/>
          </w:tcPr>
          <w:p w14:paraId="10B4E466"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f</w:t>
            </w:r>
            <w:r w:rsidRPr="00E67914">
              <w:rPr>
                <w:rFonts w:ascii="Times New Roman" w:hAnsi="Times New Roman"/>
                <w:sz w:val="21"/>
                <w:szCs w:val="21"/>
                <w:lang w:eastAsia="zh-CN"/>
              </w:rPr>
              <w:t>）当工程占地规模大于</w:t>
            </w:r>
            <w:r w:rsidRPr="00E67914">
              <w:rPr>
                <w:rFonts w:ascii="Times New Roman" w:hAnsi="Times New Roman"/>
                <w:sz w:val="21"/>
                <w:szCs w:val="21"/>
                <w:lang w:eastAsia="zh-CN"/>
              </w:rPr>
              <w:t>20km</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时（包括永久和临时占用陆域和水域），评价等级不低于二级；改扩建项目的占地范围以新增占地（包括陆域和水域）确定</w:t>
            </w:r>
          </w:p>
        </w:tc>
        <w:tc>
          <w:tcPr>
            <w:tcW w:w="2064" w:type="dxa"/>
            <w:vAlign w:val="center"/>
          </w:tcPr>
          <w:p w14:paraId="06AADF12"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不涉及</w:t>
            </w:r>
          </w:p>
        </w:tc>
      </w:tr>
      <w:tr w:rsidR="00E67914" w:rsidRPr="00E67914" w14:paraId="1C975681" w14:textId="77777777">
        <w:tc>
          <w:tcPr>
            <w:tcW w:w="850" w:type="dxa"/>
            <w:vAlign w:val="center"/>
          </w:tcPr>
          <w:p w14:paraId="7CBAEE71"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7</w:t>
            </w:r>
          </w:p>
        </w:tc>
        <w:tc>
          <w:tcPr>
            <w:tcW w:w="5244" w:type="dxa"/>
            <w:vAlign w:val="center"/>
          </w:tcPr>
          <w:p w14:paraId="2A5A5598"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建设项目涉及经论证对保护生物多样性具有重要意义的区域时，可适当上调评价等级</w:t>
            </w:r>
          </w:p>
        </w:tc>
        <w:tc>
          <w:tcPr>
            <w:tcW w:w="2064" w:type="dxa"/>
            <w:vAlign w:val="center"/>
          </w:tcPr>
          <w:p w14:paraId="66927B76"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不涉及</w:t>
            </w:r>
          </w:p>
        </w:tc>
      </w:tr>
      <w:tr w:rsidR="00E67914" w:rsidRPr="00E67914" w14:paraId="3C8C6120" w14:textId="77777777">
        <w:tc>
          <w:tcPr>
            <w:tcW w:w="850" w:type="dxa"/>
            <w:vAlign w:val="center"/>
          </w:tcPr>
          <w:p w14:paraId="74DE5745"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8</w:t>
            </w:r>
          </w:p>
        </w:tc>
        <w:tc>
          <w:tcPr>
            <w:tcW w:w="5244" w:type="dxa"/>
            <w:vAlign w:val="center"/>
          </w:tcPr>
          <w:p w14:paraId="10C6EC0E" w14:textId="77777777" w:rsidR="00A54A8A" w:rsidRPr="00E67914" w:rsidRDefault="00000000">
            <w:pPr>
              <w:pStyle w:val="af"/>
              <w:ind w:left="0"/>
              <w:jc w:val="center"/>
              <w:rPr>
                <w:rFonts w:ascii="Times New Roman" w:hAnsi="Times New Roman"/>
                <w:sz w:val="21"/>
                <w:szCs w:val="21"/>
                <w:lang w:eastAsia="zh-CN"/>
              </w:rPr>
            </w:pPr>
            <w:r w:rsidRPr="00E67914">
              <w:rPr>
                <w:rFonts w:ascii="Times New Roman" w:hAnsi="Times New Roman"/>
                <w:sz w:val="21"/>
                <w:szCs w:val="21"/>
                <w:lang w:eastAsia="zh-CN"/>
              </w:rPr>
              <w:t>在矿山开采可能导致矿区土地利用类型明显改变，或拦河闸坝建设可能明显改变水文情势等情况下，评价等级应上调一级</w:t>
            </w:r>
          </w:p>
        </w:tc>
        <w:tc>
          <w:tcPr>
            <w:tcW w:w="2064" w:type="dxa"/>
            <w:vAlign w:val="center"/>
          </w:tcPr>
          <w:p w14:paraId="3A5A7D79" w14:textId="77777777" w:rsidR="00A54A8A" w:rsidRPr="00E67914" w:rsidRDefault="00000000">
            <w:pPr>
              <w:pStyle w:val="af"/>
              <w:spacing w:before="0"/>
              <w:ind w:left="0"/>
              <w:jc w:val="center"/>
              <w:rPr>
                <w:rFonts w:ascii="Times New Roman" w:hAnsi="Times New Roman"/>
                <w:sz w:val="21"/>
                <w:szCs w:val="21"/>
                <w:lang w:eastAsia="zh-CN"/>
              </w:rPr>
            </w:pPr>
            <w:r w:rsidRPr="00E67914">
              <w:rPr>
                <w:rFonts w:ascii="Times New Roman" w:hAnsi="Times New Roman"/>
                <w:sz w:val="21"/>
                <w:szCs w:val="21"/>
                <w:lang w:eastAsia="zh-CN"/>
              </w:rPr>
              <w:t>不涉及</w:t>
            </w:r>
          </w:p>
        </w:tc>
      </w:tr>
    </w:tbl>
    <w:p w14:paraId="7076DE1E" w14:textId="58DAD324" w:rsidR="00A54A8A" w:rsidRPr="00E67914" w:rsidRDefault="00000000" w:rsidP="00193429">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根据项目特点及《环境影响评价技术导则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生态环境》（</w:t>
      </w:r>
      <w:r w:rsidRPr="00E67914">
        <w:rPr>
          <w:rFonts w:ascii="Times New Roman" w:hAnsi="Times New Roman"/>
          <w:bCs/>
          <w:kern w:val="2"/>
          <w:sz w:val="24"/>
          <w:szCs w:val="24"/>
          <w:lang w:eastAsia="zh-CN"/>
        </w:rPr>
        <w:t>HJ19-2022</w:t>
      </w:r>
      <w:r w:rsidRPr="00E67914">
        <w:rPr>
          <w:rFonts w:ascii="Times New Roman" w:hAnsi="Times New Roman"/>
          <w:bCs/>
          <w:kern w:val="2"/>
          <w:sz w:val="24"/>
          <w:szCs w:val="24"/>
          <w:lang w:eastAsia="zh-CN"/>
        </w:rPr>
        <w:t>），</w:t>
      </w:r>
      <w:r w:rsidR="00193429" w:rsidRPr="00E67914">
        <w:rPr>
          <w:rFonts w:ascii="Times New Roman" w:hAnsi="Times New Roman"/>
          <w:bCs/>
          <w:kern w:val="2"/>
          <w:sz w:val="24"/>
          <w:szCs w:val="24"/>
          <w:lang w:eastAsia="zh-CN"/>
        </w:rPr>
        <w:t>本项目不涉及生态敏感区如法定生态保护区域、重要生境以及其他具有重要生态功能、对保护生物多样性具有重要意义的区域，因此</w:t>
      </w:r>
      <w:r w:rsidRPr="00E67914">
        <w:rPr>
          <w:rFonts w:ascii="Times New Roman" w:hAnsi="Times New Roman"/>
          <w:bCs/>
          <w:kern w:val="2"/>
          <w:sz w:val="24"/>
          <w:szCs w:val="24"/>
          <w:lang w:eastAsia="zh-CN"/>
        </w:rPr>
        <w:t>本项目的生态环境影响评价工作等级定为</w:t>
      </w:r>
      <w:r w:rsidR="00614468" w:rsidRPr="00E67914">
        <w:rPr>
          <w:rFonts w:ascii="Times New Roman" w:hAnsi="Times New Roman"/>
          <w:bCs/>
          <w:kern w:val="2"/>
          <w:sz w:val="24"/>
          <w:szCs w:val="24"/>
          <w:lang w:eastAsia="zh-CN"/>
        </w:rPr>
        <w:t>三</w:t>
      </w:r>
      <w:r w:rsidRPr="00E67914">
        <w:rPr>
          <w:rFonts w:ascii="Times New Roman" w:hAnsi="Times New Roman"/>
          <w:bCs/>
          <w:kern w:val="2"/>
          <w:sz w:val="24"/>
          <w:szCs w:val="24"/>
          <w:lang w:eastAsia="zh-CN"/>
        </w:rPr>
        <w:t>级。</w:t>
      </w:r>
    </w:p>
    <w:p w14:paraId="1B340868" w14:textId="0CBEBCA6"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项目评价区</w:t>
      </w:r>
      <w:r w:rsidR="00193429" w:rsidRPr="00E67914">
        <w:rPr>
          <w:rFonts w:ascii="Times New Roman" w:hAnsi="Times New Roman"/>
          <w:sz w:val="24"/>
          <w:szCs w:val="24"/>
          <w:lang w:eastAsia="zh-CN"/>
        </w:rPr>
        <w:t>无较大的地表水体分布</w:t>
      </w:r>
      <w:r w:rsidRPr="00E67914">
        <w:rPr>
          <w:rFonts w:ascii="Times New Roman" w:hAnsi="Times New Roman"/>
          <w:sz w:val="24"/>
          <w:szCs w:val="24"/>
          <w:lang w:eastAsia="zh-CN"/>
        </w:rPr>
        <w:t>，但占地范围不涉及水域</w:t>
      </w:r>
      <w:r w:rsidR="002346F6" w:rsidRPr="00E67914">
        <w:rPr>
          <w:rFonts w:ascii="Times New Roman" w:hAnsi="Times New Roman"/>
          <w:sz w:val="24"/>
          <w:szCs w:val="24"/>
          <w:lang w:eastAsia="zh-CN"/>
        </w:rPr>
        <w:t>，项目废水不</w:t>
      </w:r>
      <w:r w:rsidR="002346F6" w:rsidRPr="00E67914">
        <w:rPr>
          <w:rFonts w:ascii="Times New Roman" w:hAnsi="Times New Roman"/>
          <w:sz w:val="24"/>
          <w:szCs w:val="24"/>
          <w:lang w:eastAsia="zh-CN"/>
        </w:rPr>
        <w:lastRenderedPageBreak/>
        <w:t>外排</w:t>
      </w:r>
      <w:r w:rsidRPr="00E67914">
        <w:rPr>
          <w:rFonts w:ascii="Times New Roman" w:hAnsi="Times New Roman"/>
          <w:sz w:val="24"/>
          <w:szCs w:val="24"/>
          <w:lang w:eastAsia="zh-CN"/>
        </w:rPr>
        <w:t>，无需进行水生生态评价。</w:t>
      </w:r>
    </w:p>
    <w:p w14:paraId="66377429"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）评价范围</w:t>
      </w:r>
    </w:p>
    <w:p w14:paraId="78704772" w14:textId="68203018" w:rsidR="00A54A8A" w:rsidRPr="00E67914" w:rsidRDefault="00000000" w:rsidP="00614468">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bCs/>
          <w:kern w:val="2"/>
          <w:sz w:val="24"/>
          <w:szCs w:val="24"/>
          <w:lang w:eastAsia="zh-CN"/>
        </w:rPr>
        <w:t>根</w:t>
      </w:r>
      <w:r w:rsidRPr="00E67914">
        <w:rPr>
          <w:rFonts w:ascii="Times New Roman" w:hAnsi="Times New Roman"/>
          <w:sz w:val="24"/>
          <w:szCs w:val="24"/>
          <w:lang w:eastAsia="zh-CN"/>
        </w:rPr>
        <w:t>据《环境影响评价技术导则</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生态影响》（</w:t>
      </w:r>
      <w:r w:rsidRPr="00E67914">
        <w:rPr>
          <w:rFonts w:ascii="Times New Roman" w:hAnsi="Times New Roman"/>
          <w:sz w:val="24"/>
          <w:szCs w:val="24"/>
          <w:lang w:eastAsia="zh-CN"/>
        </w:rPr>
        <w:t>HJ19-2022</w:t>
      </w:r>
      <w:r w:rsidRPr="00E67914">
        <w:rPr>
          <w:rFonts w:ascii="Times New Roman" w:hAnsi="Times New Roman"/>
          <w:sz w:val="24"/>
          <w:szCs w:val="24"/>
          <w:lang w:eastAsia="zh-CN"/>
        </w:rPr>
        <w:t>）、《环境影响评价技术导则陆地石油天然气开发建设项目》（</w:t>
      </w:r>
      <w:r w:rsidRPr="00E67914">
        <w:rPr>
          <w:rFonts w:ascii="Times New Roman" w:hAnsi="Times New Roman"/>
          <w:sz w:val="24"/>
          <w:szCs w:val="24"/>
          <w:lang w:eastAsia="zh-CN"/>
        </w:rPr>
        <w:t>HJ</w:t>
      </w:r>
      <w:r w:rsidR="00AE0282" w:rsidRPr="00E67914">
        <w:rPr>
          <w:rFonts w:ascii="Times New Roman" w:hAnsi="Times New Roman"/>
          <w:sz w:val="24"/>
          <w:szCs w:val="24"/>
          <w:lang w:eastAsia="zh-CN"/>
        </w:rPr>
        <w:t>/T</w:t>
      </w:r>
      <w:r w:rsidRPr="00E67914">
        <w:rPr>
          <w:rFonts w:ascii="Times New Roman" w:hAnsi="Times New Roman"/>
          <w:sz w:val="24"/>
          <w:szCs w:val="24"/>
          <w:lang w:eastAsia="zh-CN"/>
        </w:rPr>
        <w:t>349-2007</w:t>
      </w:r>
      <w:r w:rsidRPr="00E67914">
        <w:rPr>
          <w:rFonts w:ascii="Times New Roman" w:hAnsi="Times New Roman"/>
          <w:sz w:val="24"/>
          <w:szCs w:val="24"/>
          <w:lang w:eastAsia="zh-CN"/>
        </w:rPr>
        <w:t>）关于评价范围的划分原则和本项目现场踏勘调查实际情况</w:t>
      </w:r>
      <w:r w:rsidR="00614468" w:rsidRPr="00E67914">
        <w:rPr>
          <w:rFonts w:ascii="Times New Roman" w:hAnsi="Times New Roman"/>
          <w:sz w:val="24"/>
          <w:szCs w:val="24"/>
          <w:lang w:eastAsia="zh-CN"/>
        </w:rPr>
        <w:t>，并参照《环境影响评价技术导则</w:t>
      </w:r>
      <w:r w:rsidR="00614468" w:rsidRPr="00E67914">
        <w:rPr>
          <w:rFonts w:ascii="Times New Roman" w:hAnsi="Times New Roman"/>
          <w:sz w:val="24"/>
          <w:szCs w:val="24"/>
          <w:lang w:eastAsia="zh-CN"/>
        </w:rPr>
        <w:t xml:space="preserve"> </w:t>
      </w:r>
      <w:r w:rsidR="00614468" w:rsidRPr="00E67914">
        <w:rPr>
          <w:rFonts w:ascii="Times New Roman" w:hAnsi="Times New Roman"/>
          <w:sz w:val="24"/>
          <w:szCs w:val="24"/>
          <w:lang w:eastAsia="zh-CN"/>
        </w:rPr>
        <w:t>陆地石油天然气开发建设项目》</w:t>
      </w:r>
      <w:r w:rsidR="00AE0282" w:rsidRPr="00E67914">
        <w:rPr>
          <w:rFonts w:ascii="Times New Roman" w:hAnsi="Times New Roman"/>
          <w:sz w:val="24"/>
          <w:szCs w:val="24"/>
          <w:lang w:eastAsia="zh-CN"/>
        </w:rPr>
        <w:t>（</w:t>
      </w:r>
      <w:r w:rsidR="00AE0282" w:rsidRPr="00E67914">
        <w:rPr>
          <w:rFonts w:ascii="Times New Roman" w:hAnsi="Times New Roman"/>
          <w:sz w:val="24"/>
          <w:szCs w:val="24"/>
          <w:lang w:eastAsia="zh-CN"/>
        </w:rPr>
        <w:t>HJ349-2023</w:t>
      </w:r>
      <w:r w:rsidR="00AE0282" w:rsidRPr="00E67914">
        <w:rPr>
          <w:rFonts w:ascii="Times New Roman" w:hAnsi="Times New Roman"/>
          <w:sz w:val="24"/>
          <w:szCs w:val="24"/>
          <w:lang w:eastAsia="zh-CN"/>
        </w:rPr>
        <w:t>）</w:t>
      </w:r>
      <w:r w:rsidRPr="00E67914">
        <w:rPr>
          <w:rFonts w:ascii="Times New Roman" w:hAnsi="Times New Roman"/>
          <w:sz w:val="24"/>
          <w:szCs w:val="24"/>
          <w:lang w:eastAsia="zh-CN"/>
        </w:rPr>
        <w:t>，确定本评价范围如下：</w:t>
      </w:r>
    </w:p>
    <w:p w14:paraId="0671D89A" w14:textId="29EC4C12" w:rsidR="00A54A8A" w:rsidRPr="00E67914" w:rsidRDefault="00B05D38">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lang w:eastAsia="zh-CN"/>
        </w:rPr>
        <w:t>外输管线、井场道路沿线两侧</w:t>
      </w:r>
      <w:r w:rsidRPr="00E67914">
        <w:rPr>
          <w:rFonts w:ascii="Times New Roman" w:hAnsi="Times New Roman"/>
          <w:sz w:val="24"/>
          <w:lang w:eastAsia="zh-CN"/>
        </w:rPr>
        <w:t>300m</w:t>
      </w:r>
      <w:r w:rsidRPr="00E67914">
        <w:rPr>
          <w:rFonts w:ascii="Times New Roman" w:hAnsi="Times New Roman"/>
          <w:sz w:val="24"/>
          <w:lang w:eastAsia="zh-CN"/>
        </w:rPr>
        <w:t>、其他占地周边</w:t>
      </w:r>
      <w:r w:rsidRPr="00E67914">
        <w:rPr>
          <w:rFonts w:ascii="Times New Roman" w:hAnsi="Times New Roman"/>
          <w:sz w:val="24"/>
          <w:lang w:eastAsia="zh-CN"/>
        </w:rPr>
        <w:t>50m</w:t>
      </w:r>
      <w:r w:rsidRPr="00E67914">
        <w:rPr>
          <w:rFonts w:ascii="Times New Roman" w:hAnsi="Times New Roman"/>
          <w:sz w:val="24"/>
          <w:lang w:eastAsia="zh-CN"/>
        </w:rPr>
        <w:t>范围的近似椭圆形的区域，面积</w:t>
      </w:r>
      <w:r w:rsidR="00880A8A" w:rsidRPr="00E67914">
        <w:rPr>
          <w:rFonts w:ascii="Times New Roman" w:hAnsi="Times New Roman"/>
          <w:sz w:val="24"/>
          <w:lang w:eastAsia="zh-CN"/>
        </w:rPr>
        <w:t>78.46</w:t>
      </w:r>
      <w:r w:rsidRPr="00E67914">
        <w:rPr>
          <w:rFonts w:ascii="Times New Roman" w:hAnsi="Times New Roman"/>
          <w:sz w:val="24"/>
          <w:lang w:eastAsia="zh-CN"/>
        </w:rPr>
        <w:t>hm</w:t>
      </w:r>
      <w:r w:rsidRPr="00E67914">
        <w:rPr>
          <w:rFonts w:ascii="Times New Roman" w:hAnsi="Times New Roman"/>
          <w:sz w:val="24"/>
          <w:vertAlign w:val="superscript"/>
          <w:lang w:eastAsia="zh-CN"/>
        </w:rPr>
        <w:t>2</w:t>
      </w:r>
      <w:r w:rsidRPr="00E67914">
        <w:rPr>
          <w:rFonts w:ascii="Times New Roman" w:hAnsi="Times New Roman"/>
          <w:sz w:val="24"/>
          <w:lang w:eastAsia="zh-CN"/>
        </w:rPr>
        <w:t>。</w:t>
      </w:r>
    </w:p>
    <w:p w14:paraId="0C864CA2"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2.6.7</w:t>
      </w:r>
      <w:r w:rsidRPr="00E67914">
        <w:rPr>
          <w:rFonts w:ascii="Times New Roman" w:eastAsia="黑体" w:hAnsi="Times New Roman"/>
          <w:b w:val="0"/>
          <w:sz w:val="24"/>
          <w:szCs w:val="24"/>
          <w:lang w:eastAsia="zh-CN"/>
        </w:rPr>
        <w:t>环境风险</w:t>
      </w:r>
    </w:p>
    <w:p w14:paraId="173688FE"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Pr="00E67914">
        <w:rPr>
          <w:rFonts w:ascii="Times New Roman" w:hAnsi="Times New Roman"/>
          <w:bCs/>
          <w:kern w:val="2"/>
          <w:sz w:val="24"/>
          <w:szCs w:val="24"/>
          <w:lang w:eastAsia="zh-CN"/>
        </w:rPr>
        <w:t>评价工作等级</w:t>
      </w:r>
    </w:p>
    <w:p w14:paraId="22323D36" w14:textId="628DCF15"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根据《建设项目环境风险评价技术导则》（</w:t>
      </w:r>
      <w:r w:rsidRPr="00E67914">
        <w:rPr>
          <w:rFonts w:ascii="Times New Roman" w:hAnsi="Times New Roman"/>
          <w:bCs/>
          <w:kern w:val="2"/>
          <w:sz w:val="24"/>
          <w:szCs w:val="24"/>
          <w:lang w:eastAsia="zh-CN"/>
        </w:rPr>
        <w:t>HJ169-2018</w:t>
      </w:r>
      <w:r w:rsidRPr="00E67914">
        <w:rPr>
          <w:rFonts w:ascii="Times New Roman" w:hAnsi="Times New Roman"/>
          <w:bCs/>
          <w:kern w:val="2"/>
          <w:sz w:val="24"/>
          <w:szCs w:val="24"/>
          <w:lang w:eastAsia="zh-CN"/>
        </w:rPr>
        <w:t>）中关于环境风险评价工作等级的划分方法，本工程输送的介质为不含硫天然气，项目涉及的主要危险有害物质为甲烷</w:t>
      </w:r>
      <w:r w:rsidR="003512DC" w:rsidRPr="00E67914">
        <w:rPr>
          <w:rFonts w:ascii="Times New Roman" w:hAnsi="Times New Roman"/>
          <w:bCs/>
          <w:kern w:val="2"/>
          <w:sz w:val="24"/>
          <w:szCs w:val="24"/>
          <w:lang w:eastAsia="zh-CN"/>
        </w:rPr>
        <w:t>、</w:t>
      </w:r>
      <w:r w:rsidR="00C96D5D" w:rsidRPr="00E67914">
        <w:rPr>
          <w:rFonts w:ascii="Times New Roman" w:hAnsi="Times New Roman"/>
          <w:bCs/>
          <w:kern w:val="2"/>
          <w:sz w:val="24"/>
          <w:szCs w:val="24"/>
          <w:lang w:eastAsia="zh-CN"/>
        </w:rPr>
        <w:t>油类物质</w:t>
      </w:r>
      <w:r w:rsidRPr="00E67914">
        <w:rPr>
          <w:rFonts w:ascii="Times New Roman" w:hAnsi="Times New Roman"/>
          <w:bCs/>
          <w:kern w:val="2"/>
          <w:sz w:val="24"/>
          <w:szCs w:val="24"/>
          <w:lang w:eastAsia="zh-CN"/>
        </w:rPr>
        <w:t>、盐酸</w:t>
      </w:r>
      <w:r w:rsidR="003512DC" w:rsidRPr="00E67914">
        <w:rPr>
          <w:rFonts w:ascii="Times New Roman" w:hAnsi="Times New Roman"/>
          <w:bCs/>
          <w:kern w:val="2"/>
          <w:sz w:val="24"/>
          <w:szCs w:val="24"/>
          <w:lang w:eastAsia="zh-CN"/>
        </w:rPr>
        <w:t>、油基泥浆</w:t>
      </w:r>
      <w:r w:rsidRPr="00E67914">
        <w:rPr>
          <w:rFonts w:ascii="Times New Roman" w:hAnsi="Times New Roman"/>
          <w:bCs/>
          <w:kern w:val="2"/>
          <w:sz w:val="24"/>
          <w:szCs w:val="24"/>
          <w:lang w:eastAsia="zh-CN"/>
        </w:rPr>
        <w:t>和气田水</w:t>
      </w:r>
      <w:r w:rsidR="003512DC" w:rsidRPr="00E67914">
        <w:rPr>
          <w:rFonts w:ascii="Times New Roman" w:hAnsi="Times New Roman"/>
          <w:bCs/>
          <w:kern w:val="2"/>
          <w:sz w:val="24"/>
          <w:szCs w:val="24"/>
          <w:lang w:eastAsia="zh-CN"/>
        </w:rPr>
        <w:t>。气田水不属于《建设项目风险评价技术导则》（</w:t>
      </w:r>
      <w:r w:rsidR="003512DC" w:rsidRPr="00E67914">
        <w:rPr>
          <w:rFonts w:ascii="Times New Roman" w:hAnsi="Times New Roman"/>
          <w:bCs/>
          <w:kern w:val="2"/>
          <w:sz w:val="24"/>
          <w:szCs w:val="24"/>
          <w:lang w:eastAsia="zh-CN"/>
        </w:rPr>
        <w:t>HJ169-2018</w:t>
      </w:r>
      <w:r w:rsidR="003512DC" w:rsidRPr="00E67914">
        <w:rPr>
          <w:rFonts w:ascii="Times New Roman" w:hAnsi="Times New Roman"/>
          <w:bCs/>
          <w:kern w:val="2"/>
          <w:sz w:val="24"/>
          <w:szCs w:val="24"/>
          <w:lang w:eastAsia="zh-CN"/>
        </w:rPr>
        <w:t>），附录</w:t>
      </w:r>
      <w:r w:rsidR="003512DC" w:rsidRPr="00E67914">
        <w:rPr>
          <w:rFonts w:ascii="Times New Roman" w:hAnsi="Times New Roman"/>
          <w:bCs/>
          <w:kern w:val="2"/>
          <w:sz w:val="24"/>
          <w:szCs w:val="24"/>
          <w:lang w:eastAsia="zh-CN"/>
        </w:rPr>
        <w:t>B</w:t>
      </w:r>
      <w:r w:rsidR="003512DC" w:rsidRPr="00E67914">
        <w:rPr>
          <w:rFonts w:ascii="Times New Roman" w:hAnsi="Times New Roman"/>
          <w:bCs/>
          <w:kern w:val="2"/>
          <w:sz w:val="24"/>
          <w:szCs w:val="24"/>
          <w:lang w:eastAsia="zh-CN"/>
        </w:rPr>
        <w:t>中重点关注的危险物质，根据分析气田水属于危害水环境物质，但不属于急性毒性类别</w:t>
      </w:r>
      <w:r w:rsidR="003512DC" w:rsidRPr="00E67914">
        <w:rPr>
          <w:rFonts w:ascii="Times New Roman" w:hAnsi="Times New Roman"/>
          <w:bCs/>
          <w:kern w:val="2"/>
          <w:sz w:val="24"/>
          <w:szCs w:val="24"/>
          <w:lang w:eastAsia="zh-CN"/>
        </w:rPr>
        <w:t>1</w:t>
      </w:r>
      <w:r w:rsidR="003512DC" w:rsidRPr="00E67914">
        <w:rPr>
          <w:rFonts w:ascii="Times New Roman" w:hAnsi="Times New Roman"/>
          <w:bCs/>
          <w:kern w:val="2"/>
          <w:sz w:val="24"/>
          <w:szCs w:val="24"/>
          <w:lang w:eastAsia="zh-CN"/>
        </w:rPr>
        <w:t>中物质，本次评价仅对其在储存过程中的风险提出措施。钻井废水、洗井废水、压裂返排液等产生后即立即转运，不在井场内暂存，因此不纳入风险评价等级判定，仅提出收集与转运过程的风险防范措施。</w:t>
      </w:r>
    </w:p>
    <w:p w14:paraId="430B15BF" w14:textId="024E5ECD" w:rsidR="00A54A8A" w:rsidRPr="00E67914" w:rsidRDefault="003512DC">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钻井</w:t>
      </w:r>
      <w:r w:rsidR="00880A8A" w:rsidRPr="00E67914">
        <w:rPr>
          <w:rFonts w:ascii="Times New Roman" w:hAnsi="Times New Roman"/>
          <w:bCs/>
          <w:kern w:val="2"/>
          <w:sz w:val="24"/>
          <w:szCs w:val="24"/>
          <w:lang w:eastAsia="zh-CN"/>
        </w:rPr>
        <w:t>施工期天然气所含的甲烷和油类物质的</w:t>
      </w:r>
      <w:r w:rsidR="00880A8A" w:rsidRPr="00E67914">
        <w:rPr>
          <w:rFonts w:ascii="Times New Roman" w:hAnsi="Times New Roman"/>
          <w:bCs/>
          <w:kern w:val="2"/>
          <w:sz w:val="24"/>
          <w:szCs w:val="24"/>
          <w:lang w:eastAsia="zh-CN"/>
        </w:rPr>
        <w:t>Q</w:t>
      </w:r>
      <w:r w:rsidR="00880A8A" w:rsidRPr="00E67914">
        <w:rPr>
          <w:rFonts w:ascii="Times New Roman" w:hAnsi="Times New Roman"/>
          <w:bCs/>
          <w:kern w:val="2"/>
          <w:sz w:val="24"/>
          <w:szCs w:val="24"/>
          <w:lang w:eastAsia="zh-CN"/>
        </w:rPr>
        <w:t>值计算结果为</w:t>
      </w:r>
      <w:r w:rsidR="00880A8A" w:rsidRPr="00E67914">
        <w:rPr>
          <w:rFonts w:ascii="Times New Roman" w:hAnsi="Times New Roman"/>
          <w:bCs/>
          <w:kern w:val="2"/>
          <w:sz w:val="24"/>
          <w:szCs w:val="24"/>
          <w:lang w:eastAsia="zh-CN"/>
        </w:rPr>
        <w:t>0.157</w:t>
      </w:r>
      <w:r w:rsidR="00880A8A" w:rsidRPr="00E67914">
        <w:rPr>
          <w:rFonts w:ascii="Times New Roman" w:hAnsi="Times New Roman"/>
          <w:bCs/>
          <w:kern w:val="2"/>
          <w:sz w:val="24"/>
          <w:szCs w:val="24"/>
          <w:lang w:eastAsia="zh-CN"/>
        </w:rPr>
        <w:t>，</w:t>
      </w:r>
      <w:r w:rsidR="00880A8A" w:rsidRPr="00E67914">
        <w:rPr>
          <w:rFonts w:ascii="Times New Roman" w:hAnsi="Times New Roman"/>
          <w:bCs/>
          <w:kern w:val="2"/>
          <w:sz w:val="24"/>
          <w:szCs w:val="24"/>
          <w:lang w:eastAsia="zh-CN"/>
        </w:rPr>
        <w:t>Q</w:t>
      </w:r>
      <w:r w:rsidR="00880A8A" w:rsidRPr="00E67914">
        <w:rPr>
          <w:rFonts w:ascii="Times New Roman" w:hAnsi="Times New Roman"/>
          <w:bCs/>
          <w:kern w:val="2"/>
          <w:sz w:val="24"/>
          <w:szCs w:val="24"/>
          <w:lang w:eastAsia="zh-CN"/>
        </w:rPr>
        <w:t>值＜</w:t>
      </w:r>
      <w:r w:rsidR="00880A8A" w:rsidRPr="00E67914">
        <w:rPr>
          <w:rFonts w:ascii="Times New Roman" w:hAnsi="Times New Roman"/>
          <w:bCs/>
          <w:kern w:val="2"/>
          <w:sz w:val="24"/>
          <w:szCs w:val="24"/>
          <w:lang w:eastAsia="zh-CN"/>
        </w:rPr>
        <w:t>1</w:t>
      </w:r>
      <w:r w:rsidR="00880A8A"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压裂阶段的风险物质</w:t>
      </w:r>
      <w:r w:rsidRPr="00E67914">
        <w:rPr>
          <w:rFonts w:ascii="Times New Roman" w:hAnsi="Times New Roman"/>
          <w:bCs/>
          <w:kern w:val="2"/>
          <w:sz w:val="24"/>
          <w:szCs w:val="24"/>
          <w:lang w:eastAsia="zh-CN"/>
        </w:rPr>
        <w:t>37%</w:t>
      </w:r>
      <w:r w:rsidRPr="00E67914">
        <w:rPr>
          <w:rFonts w:ascii="Times New Roman" w:hAnsi="Times New Roman"/>
          <w:bCs/>
          <w:kern w:val="2"/>
          <w:sz w:val="24"/>
          <w:szCs w:val="24"/>
          <w:lang w:eastAsia="zh-CN"/>
        </w:rPr>
        <w:t>浓度盐酸的</w:t>
      </w:r>
      <w:r w:rsidRPr="00E67914">
        <w:rPr>
          <w:rFonts w:ascii="Times New Roman" w:hAnsi="Times New Roman"/>
          <w:bCs/>
          <w:kern w:val="2"/>
          <w:sz w:val="24"/>
          <w:szCs w:val="24"/>
          <w:lang w:eastAsia="zh-CN"/>
        </w:rPr>
        <w:t>Q</w:t>
      </w:r>
      <w:r w:rsidRPr="00E67914">
        <w:rPr>
          <w:rFonts w:ascii="Times New Roman" w:hAnsi="Times New Roman"/>
          <w:bCs/>
          <w:kern w:val="2"/>
          <w:sz w:val="24"/>
          <w:szCs w:val="24"/>
          <w:lang w:eastAsia="zh-CN"/>
        </w:rPr>
        <w:t>值计算结果为</w:t>
      </w:r>
      <w:r w:rsidRPr="00E67914">
        <w:rPr>
          <w:rFonts w:ascii="Times New Roman" w:hAnsi="Times New Roman"/>
          <w:bCs/>
          <w:kern w:val="2"/>
          <w:sz w:val="24"/>
          <w:szCs w:val="24"/>
          <w:lang w:eastAsia="zh-CN"/>
        </w:rPr>
        <w:t>0.6</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Q</w:t>
      </w:r>
      <w:r w:rsidRPr="00E67914">
        <w:rPr>
          <w:rFonts w:ascii="Times New Roman" w:hAnsi="Times New Roman"/>
          <w:bCs/>
          <w:kern w:val="2"/>
          <w:sz w:val="24"/>
          <w:szCs w:val="24"/>
          <w:lang w:eastAsia="zh-CN"/>
        </w:rPr>
        <w:t>值＜</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w:t>
      </w:r>
      <w:r w:rsidR="00783B69" w:rsidRPr="00C93E9D">
        <w:rPr>
          <w:rFonts w:ascii="Times New Roman" w:hAnsi="Times New Roman" w:hint="eastAsia"/>
          <w:bCs/>
          <w:snapToGrid w:val="0"/>
          <w:color w:val="000000" w:themeColor="text1"/>
          <w:lang w:eastAsia="zh-CN"/>
        </w:rPr>
        <w:t>压裂阶段</w:t>
      </w:r>
      <w:r w:rsidR="00783B69" w:rsidRPr="00C93E9D">
        <w:rPr>
          <w:rFonts w:ascii="Times New Roman" w:hAnsi="Times New Roman"/>
          <w:bCs/>
          <w:snapToGrid w:val="0"/>
          <w:color w:val="000000" w:themeColor="text1"/>
          <w:lang w:eastAsia="zh-CN"/>
        </w:rPr>
        <w:t>的</w:t>
      </w:r>
      <w:r w:rsidR="00783B69" w:rsidRPr="00C93E9D">
        <w:rPr>
          <w:rFonts w:ascii="Times New Roman" w:hAnsi="Times New Roman" w:hint="eastAsia"/>
          <w:bCs/>
          <w:snapToGrid w:val="0"/>
          <w:color w:val="000000" w:themeColor="text1"/>
          <w:lang w:eastAsia="zh-CN"/>
        </w:rPr>
        <w:t>风险物质</w:t>
      </w:r>
      <w:r w:rsidR="00783B69" w:rsidRPr="00C93E9D">
        <w:rPr>
          <w:rFonts w:ascii="Times New Roman" w:hAnsi="Times New Roman" w:hint="eastAsia"/>
          <w:kern w:val="2"/>
          <w:lang w:eastAsia="zh-CN"/>
        </w:rPr>
        <w:t>37%</w:t>
      </w:r>
      <w:r w:rsidR="00783B69" w:rsidRPr="00C93E9D">
        <w:rPr>
          <w:rFonts w:ascii="Times New Roman" w:hAnsi="Times New Roman" w:hint="eastAsia"/>
          <w:kern w:val="2"/>
          <w:lang w:eastAsia="zh-CN"/>
        </w:rPr>
        <w:t>浓度盐酸的</w:t>
      </w:r>
      <w:r w:rsidR="00783B69" w:rsidRPr="00C93E9D">
        <w:rPr>
          <w:rFonts w:ascii="Times New Roman" w:hAnsi="Times New Roman"/>
          <w:bCs/>
          <w:snapToGrid w:val="0"/>
          <w:color w:val="000000" w:themeColor="text1"/>
          <w:lang w:eastAsia="zh-CN"/>
        </w:rPr>
        <w:t>Q</w:t>
      </w:r>
      <w:r w:rsidR="00783B69" w:rsidRPr="00C93E9D">
        <w:rPr>
          <w:rFonts w:ascii="Times New Roman" w:hAnsi="Times New Roman"/>
          <w:bCs/>
          <w:snapToGrid w:val="0"/>
          <w:color w:val="000000" w:themeColor="text1"/>
          <w:lang w:eastAsia="zh-CN"/>
        </w:rPr>
        <w:t>值计算结果为</w:t>
      </w:r>
      <w:r w:rsidR="00783B69" w:rsidRPr="00C93E9D">
        <w:rPr>
          <w:rFonts w:ascii="Times New Roman" w:hAnsi="Times New Roman" w:hint="eastAsia"/>
          <w:bCs/>
          <w:snapToGrid w:val="0"/>
          <w:color w:val="000000" w:themeColor="text1"/>
          <w:lang w:eastAsia="zh-CN"/>
        </w:rPr>
        <w:t>0.6064</w:t>
      </w:r>
      <w:r w:rsidR="00783B69" w:rsidRPr="00C93E9D">
        <w:rPr>
          <w:rFonts w:ascii="Times New Roman" w:hAnsi="Times New Roman"/>
          <w:bCs/>
          <w:snapToGrid w:val="0"/>
          <w:color w:val="000000" w:themeColor="text1"/>
          <w:lang w:eastAsia="zh-CN"/>
        </w:rPr>
        <w:t>，</w:t>
      </w:r>
      <w:r w:rsidR="00783B69" w:rsidRPr="00C93E9D">
        <w:rPr>
          <w:rFonts w:ascii="Times New Roman" w:hAnsi="Times New Roman"/>
          <w:bCs/>
          <w:snapToGrid w:val="0"/>
          <w:lang w:eastAsia="zh-CN"/>
        </w:rPr>
        <w:t>Q</w:t>
      </w:r>
      <w:r w:rsidR="00783B69" w:rsidRPr="00C93E9D">
        <w:rPr>
          <w:rFonts w:ascii="Times New Roman" w:hAnsi="Times New Roman"/>
          <w:bCs/>
          <w:snapToGrid w:val="0"/>
          <w:lang w:eastAsia="zh-CN"/>
        </w:rPr>
        <w:t>值＜</w:t>
      </w:r>
      <w:r w:rsidR="00783B69" w:rsidRPr="00C93E9D">
        <w:rPr>
          <w:rFonts w:ascii="Times New Roman" w:hAnsi="Times New Roman"/>
          <w:bCs/>
          <w:snapToGrid w:val="0"/>
          <w:lang w:eastAsia="zh-CN"/>
        </w:rPr>
        <w:t>1</w:t>
      </w:r>
      <w:r w:rsidR="00783B69" w:rsidRPr="00C93E9D">
        <w:rPr>
          <w:rFonts w:ascii="Times New Roman" w:hAnsi="Times New Roman"/>
          <w:bCs/>
          <w:snapToGrid w:val="0"/>
          <w:color w:val="000000" w:themeColor="text1"/>
          <w:lang w:eastAsia="zh-CN"/>
        </w:rPr>
        <w:t>；</w:t>
      </w:r>
      <w:r w:rsidR="00880A8A" w:rsidRPr="00E67914">
        <w:rPr>
          <w:rFonts w:ascii="Times New Roman" w:hAnsi="Times New Roman"/>
          <w:bCs/>
          <w:kern w:val="2"/>
          <w:sz w:val="24"/>
          <w:szCs w:val="24"/>
          <w:lang w:eastAsia="zh-CN"/>
        </w:rPr>
        <w:t>试采期站内天然气所含的甲烷、凝析油、气田水的</w:t>
      </w:r>
      <w:r w:rsidR="00880A8A" w:rsidRPr="00E67914">
        <w:rPr>
          <w:rFonts w:ascii="Times New Roman" w:hAnsi="Times New Roman"/>
          <w:bCs/>
          <w:kern w:val="2"/>
          <w:sz w:val="24"/>
          <w:szCs w:val="24"/>
          <w:lang w:eastAsia="zh-CN"/>
        </w:rPr>
        <w:t>Q</w:t>
      </w:r>
      <w:r w:rsidR="00880A8A" w:rsidRPr="00E67914">
        <w:rPr>
          <w:rFonts w:ascii="Times New Roman" w:hAnsi="Times New Roman"/>
          <w:bCs/>
          <w:kern w:val="2"/>
          <w:sz w:val="24"/>
          <w:szCs w:val="24"/>
          <w:lang w:eastAsia="zh-CN"/>
        </w:rPr>
        <w:t>值计算结果为</w:t>
      </w:r>
      <w:r w:rsidR="00880A8A" w:rsidRPr="00E67914">
        <w:rPr>
          <w:rFonts w:ascii="Times New Roman" w:hAnsi="Times New Roman"/>
          <w:bCs/>
          <w:kern w:val="2"/>
          <w:sz w:val="24"/>
          <w:szCs w:val="24"/>
          <w:lang w:eastAsia="zh-CN"/>
        </w:rPr>
        <w:t>0.524</w:t>
      </w:r>
      <w:r w:rsidR="00880A8A" w:rsidRPr="00E67914">
        <w:rPr>
          <w:rFonts w:ascii="Times New Roman" w:hAnsi="Times New Roman"/>
          <w:bCs/>
          <w:kern w:val="2"/>
          <w:sz w:val="24"/>
          <w:szCs w:val="24"/>
          <w:lang w:eastAsia="zh-CN"/>
        </w:rPr>
        <w:t>，</w:t>
      </w:r>
      <w:r w:rsidR="00880A8A" w:rsidRPr="00E67914">
        <w:rPr>
          <w:rFonts w:ascii="Times New Roman" w:hAnsi="Times New Roman"/>
          <w:bCs/>
          <w:kern w:val="2"/>
          <w:sz w:val="24"/>
          <w:szCs w:val="24"/>
          <w:lang w:eastAsia="zh-CN"/>
        </w:rPr>
        <w:t>Q</w:t>
      </w:r>
      <w:r w:rsidR="00880A8A" w:rsidRPr="00E67914">
        <w:rPr>
          <w:rFonts w:ascii="Times New Roman" w:hAnsi="Times New Roman"/>
          <w:bCs/>
          <w:kern w:val="2"/>
          <w:sz w:val="24"/>
          <w:szCs w:val="24"/>
          <w:lang w:eastAsia="zh-CN"/>
        </w:rPr>
        <w:t>值＜</w:t>
      </w:r>
      <w:r w:rsidR="00880A8A" w:rsidRPr="00E67914">
        <w:rPr>
          <w:rFonts w:ascii="Times New Roman" w:hAnsi="Times New Roman"/>
          <w:bCs/>
          <w:kern w:val="2"/>
          <w:sz w:val="24"/>
          <w:szCs w:val="24"/>
          <w:lang w:eastAsia="zh-CN"/>
        </w:rPr>
        <w:t>1</w:t>
      </w:r>
      <w:r w:rsidR="00880A8A" w:rsidRPr="00E67914">
        <w:rPr>
          <w:rFonts w:ascii="Times New Roman" w:hAnsi="Times New Roman"/>
          <w:bCs/>
          <w:kern w:val="2"/>
          <w:sz w:val="24"/>
          <w:szCs w:val="24"/>
          <w:lang w:eastAsia="zh-CN"/>
        </w:rPr>
        <w:t>；试采期普陆页</w:t>
      </w:r>
      <w:r w:rsidR="00880A8A" w:rsidRPr="00E67914">
        <w:rPr>
          <w:rFonts w:ascii="Times New Roman" w:hAnsi="Times New Roman"/>
          <w:bCs/>
          <w:kern w:val="2"/>
          <w:sz w:val="24"/>
          <w:szCs w:val="24"/>
          <w:lang w:eastAsia="zh-CN"/>
        </w:rPr>
        <w:t>2</w:t>
      </w:r>
      <w:r w:rsidR="00880A8A" w:rsidRPr="00E67914">
        <w:rPr>
          <w:rFonts w:ascii="Times New Roman" w:hAnsi="Times New Roman"/>
          <w:bCs/>
          <w:kern w:val="2"/>
          <w:sz w:val="24"/>
          <w:szCs w:val="24"/>
          <w:lang w:eastAsia="zh-CN"/>
        </w:rPr>
        <w:t>井场到普陆页</w:t>
      </w:r>
      <w:r w:rsidR="00880A8A" w:rsidRPr="00E67914">
        <w:rPr>
          <w:rFonts w:ascii="Times New Roman" w:hAnsi="Times New Roman"/>
          <w:bCs/>
          <w:kern w:val="2"/>
          <w:sz w:val="24"/>
          <w:szCs w:val="24"/>
          <w:lang w:eastAsia="zh-CN"/>
        </w:rPr>
        <w:t>2</w:t>
      </w:r>
      <w:r w:rsidR="00880A8A" w:rsidRPr="00E67914">
        <w:rPr>
          <w:rFonts w:ascii="Times New Roman" w:hAnsi="Times New Roman"/>
          <w:bCs/>
          <w:kern w:val="2"/>
          <w:sz w:val="24"/>
          <w:szCs w:val="24"/>
          <w:lang w:eastAsia="zh-CN"/>
        </w:rPr>
        <w:t>试采站管线天然气所含的甲烷的</w:t>
      </w:r>
      <w:r w:rsidR="00880A8A" w:rsidRPr="00E67914">
        <w:rPr>
          <w:rFonts w:ascii="Times New Roman" w:hAnsi="Times New Roman"/>
          <w:bCs/>
          <w:kern w:val="2"/>
          <w:sz w:val="24"/>
          <w:szCs w:val="24"/>
          <w:lang w:eastAsia="zh-CN"/>
        </w:rPr>
        <w:t>Q</w:t>
      </w:r>
      <w:r w:rsidR="00880A8A" w:rsidRPr="00E67914">
        <w:rPr>
          <w:rFonts w:ascii="Times New Roman" w:hAnsi="Times New Roman"/>
          <w:bCs/>
          <w:kern w:val="2"/>
          <w:sz w:val="24"/>
          <w:szCs w:val="24"/>
          <w:lang w:eastAsia="zh-CN"/>
        </w:rPr>
        <w:t>值计算结果为</w:t>
      </w:r>
      <w:r w:rsidR="00880A8A" w:rsidRPr="00E67914">
        <w:rPr>
          <w:rFonts w:ascii="Times New Roman" w:hAnsi="Times New Roman"/>
          <w:bCs/>
          <w:kern w:val="2"/>
          <w:sz w:val="24"/>
          <w:szCs w:val="24"/>
          <w:lang w:eastAsia="zh-CN"/>
        </w:rPr>
        <w:t>0.117</w:t>
      </w:r>
      <w:r w:rsidR="00880A8A" w:rsidRPr="00E67914">
        <w:rPr>
          <w:rFonts w:ascii="Times New Roman" w:hAnsi="Times New Roman"/>
          <w:bCs/>
          <w:kern w:val="2"/>
          <w:sz w:val="24"/>
          <w:szCs w:val="24"/>
          <w:lang w:eastAsia="zh-CN"/>
        </w:rPr>
        <w:t>，</w:t>
      </w:r>
      <w:r w:rsidR="00880A8A" w:rsidRPr="00E67914">
        <w:rPr>
          <w:rFonts w:ascii="Times New Roman" w:hAnsi="Times New Roman"/>
          <w:bCs/>
          <w:kern w:val="2"/>
          <w:sz w:val="24"/>
          <w:szCs w:val="24"/>
          <w:lang w:eastAsia="zh-CN"/>
        </w:rPr>
        <w:t>Q</w:t>
      </w:r>
      <w:r w:rsidR="00880A8A" w:rsidRPr="00E67914">
        <w:rPr>
          <w:rFonts w:ascii="Times New Roman" w:hAnsi="Times New Roman"/>
          <w:bCs/>
          <w:kern w:val="2"/>
          <w:sz w:val="24"/>
          <w:szCs w:val="24"/>
          <w:lang w:eastAsia="zh-CN"/>
        </w:rPr>
        <w:t>值＜</w:t>
      </w:r>
      <w:r w:rsidR="00880A8A" w:rsidRPr="00E67914">
        <w:rPr>
          <w:rFonts w:ascii="Times New Roman" w:hAnsi="Times New Roman"/>
          <w:bCs/>
          <w:kern w:val="2"/>
          <w:sz w:val="24"/>
          <w:szCs w:val="24"/>
          <w:lang w:eastAsia="zh-CN"/>
        </w:rPr>
        <w:t>1</w:t>
      </w:r>
      <w:r w:rsidR="00880A8A" w:rsidRPr="00E67914">
        <w:rPr>
          <w:rFonts w:ascii="Times New Roman" w:hAnsi="Times New Roman"/>
          <w:bCs/>
          <w:kern w:val="2"/>
          <w:sz w:val="24"/>
          <w:szCs w:val="24"/>
          <w:lang w:eastAsia="zh-CN"/>
        </w:rPr>
        <w:t>；试采期普陆页</w:t>
      </w:r>
      <w:r w:rsidR="00880A8A" w:rsidRPr="00E67914">
        <w:rPr>
          <w:rFonts w:ascii="Times New Roman" w:hAnsi="Times New Roman"/>
          <w:bCs/>
          <w:kern w:val="2"/>
          <w:sz w:val="24"/>
          <w:szCs w:val="24"/>
          <w:lang w:eastAsia="zh-CN"/>
        </w:rPr>
        <w:t>2</w:t>
      </w:r>
      <w:r w:rsidR="00880A8A" w:rsidRPr="00E67914">
        <w:rPr>
          <w:rFonts w:ascii="Times New Roman" w:hAnsi="Times New Roman"/>
          <w:bCs/>
          <w:kern w:val="2"/>
          <w:sz w:val="24"/>
          <w:szCs w:val="24"/>
          <w:lang w:eastAsia="zh-CN"/>
        </w:rPr>
        <w:t>试采站至</w:t>
      </w:r>
      <w:r w:rsidR="00880A8A" w:rsidRPr="00E67914">
        <w:rPr>
          <w:rFonts w:ascii="Times New Roman" w:hAnsi="Times New Roman"/>
          <w:bCs/>
          <w:kern w:val="2"/>
          <w:sz w:val="24"/>
          <w:szCs w:val="24"/>
          <w:lang w:eastAsia="zh-CN"/>
        </w:rPr>
        <w:t>P302</w:t>
      </w:r>
      <w:r w:rsidR="00880A8A" w:rsidRPr="00E67914">
        <w:rPr>
          <w:rFonts w:ascii="Times New Roman" w:hAnsi="Times New Roman"/>
          <w:bCs/>
          <w:kern w:val="2"/>
          <w:sz w:val="24"/>
          <w:szCs w:val="24"/>
          <w:lang w:eastAsia="zh-CN"/>
        </w:rPr>
        <w:t>集气站的外输管线（含燃料气反输管线）天然气所含的甲烷的</w:t>
      </w:r>
      <w:r w:rsidR="00880A8A" w:rsidRPr="00E67914">
        <w:rPr>
          <w:rFonts w:ascii="Times New Roman" w:hAnsi="Times New Roman"/>
          <w:bCs/>
          <w:kern w:val="2"/>
          <w:sz w:val="24"/>
          <w:szCs w:val="24"/>
          <w:lang w:eastAsia="zh-CN"/>
        </w:rPr>
        <w:t>Q</w:t>
      </w:r>
      <w:r w:rsidR="00880A8A" w:rsidRPr="00E67914">
        <w:rPr>
          <w:rFonts w:ascii="Times New Roman" w:hAnsi="Times New Roman"/>
          <w:bCs/>
          <w:kern w:val="2"/>
          <w:sz w:val="24"/>
          <w:szCs w:val="24"/>
          <w:lang w:eastAsia="zh-CN"/>
        </w:rPr>
        <w:t>值计算结果为</w:t>
      </w:r>
      <w:r w:rsidR="00880A8A" w:rsidRPr="00E67914">
        <w:rPr>
          <w:rFonts w:ascii="Times New Roman" w:hAnsi="Times New Roman"/>
          <w:bCs/>
          <w:kern w:val="2"/>
          <w:sz w:val="24"/>
          <w:szCs w:val="24"/>
          <w:lang w:eastAsia="zh-CN"/>
        </w:rPr>
        <w:t>0.109</w:t>
      </w:r>
      <w:r w:rsidR="00880A8A" w:rsidRPr="00E67914">
        <w:rPr>
          <w:rFonts w:ascii="Times New Roman" w:hAnsi="Times New Roman"/>
          <w:bCs/>
          <w:kern w:val="2"/>
          <w:sz w:val="24"/>
          <w:szCs w:val="24"/>
          <w:lang w:eastAsia="zh-CN"/>
        </w:rPr>
        <w:t>，</w:t>
      </w:r>
      <w:r w:rsidR="00880A8A" w:rsidRPr="00E67914">
        <w:rPr>
          <w:rFonts w:ascii="Times New Roman" w:hAnsi="Times New Roman"/>
          <w:bCs/>
          <w:kern w:val="2"/>
          <w:sz w:val="24"/>
          <w:szCs w:val="24"/>
          <w:lang w:eastAsia="zh-CN"/>
        </w:rPr>
        <w:t>Q</w:t>
      </w:r>
      <w:r w:rsidR="00880A8A" w:rsidRPr="00E67914">
        <w:rPr>
          <w:rFonts w:ascii="Times New Roman" w:hAnsi="Times New Roman"/>
          <w:bCs/>
          <w:kern w:val="2"/>
          <w:sz w:val="24"/>
          <w:szCs w:val="24"/>
          <w:lang w:eastAsia="zh-CN"/>
        </w:rPr>
        <w:t>值＜</w:t>
      </w:r>
      <w:r w:rsidR="00880A8A" w:rsidRPr="00E67914">
        <w:rPr>
          <w:rFonts w:ascii="Times New Roman" w:hAnsi="Times New Roman"/>
          <w:bCs/>
          <w:kern w:val="2"/>
          <w:sz w:val="24"/>
          <w:szCs w:val="24"/>
          <w:lang w:eastAsia="zh-CN"/>
        </w:rPr>
        <w:t>1</w:t>
      </w:r>
      <w:r w:rsidR="00880A8A" w:rsidRPr="00E67914">
        <w:rPr>
          <w:rFonts w:ascii="Times New Roman" w:hAnsi="Times New Roman"/>
          <w:bCs/>
          <w:kern w:val="2"/>
          <w:sz w:val="24"/>
          <w:szCs w:val="24"/>
          <w:lang w:eastAsia="zh-CN"/>
        </w:rPr>
        <w:t>。因此，该项目环境风险潜势为</w:t>
      </w:r>
      <w:r w:rsidR="00880A8A" w:rsidRPr="00E67914">
        <w:rPr>
          <w:rFonts w:ascii="Times New Roman" w:hAnsi="Times New Roman"/>
          <w:bCs/>
          <w:kern w:val="2"/>
          <w:sz w:val="24"/>
          <w:szCs w:val="24"/>
          <w:lang w:eastAsia="zh-CN"/>
        </w:rPr>
        <w:t>Ⅰ</w:t>
      </w:r>
      <w:r w:rsidR="00880A8A" w:rsidRPr="00E67914">
        <w:rPr>
          <w:rFonts w:ascii="Times New Roman" w:hAnsi="Times New Roman"/>
          <w:bCs/>
          <w:kern w:val="2"/>
          <w:sz w:val="24"/>
          <w:szCs w:val="24"/>
          <w:lang w:eastAsia="zh-CN"/>
        </w:rPr>
        <w:t>。</w:t>
      </w:r>
    </w:p>
    <w:p w14:paraId="1C120E9C"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2.6-10  </w:t>
      </w:r>
      <w:r w:rsidRPr="00E67914">
        <w:rPr>
          <w:rFonts w:ascii="Times New Roman" w:eastAsia="黑体" w:hAnsi="Times New Roman"/>
          <w:sz w:val="21"/>
          <w:szCs w:val="21"/>
          <w:lang w:eastAsia="zh-CN"/>
        </w:rPr>
        <w:t>环境风险评价工作等级划分</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2662E3" w:rsidRPr="00E67914" w14:paraId="7436E15B" w14:textId="77777777">
        <w:trPr>
          <w:jc w:val="center"/>
        </w:trPr>
        <w:tc>
          <w:tcPr>
            <w:tcW w:w="1555" w:type="dxa"/>
            <w:vAlign w:val="center"/>
          </w:tcPr>
          <w:p w14:paraId="7BC73C4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环境风险潜势</w:t>
            </w:r>
          </w:p>
        </w:tc>
        <w:tc>
          <w:tcPr>
            <w:tcW w:w="1586" w:type="dxa"/>
            <w:vAlign w:val="center"/>
          </w:tcPr>
          <w:p w14:paraId="2560662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Ⅳ</w:t>
            </w:r>
            <w:r w:rsidRPr="00E67914">
              <w:rPr>
                <w:rFonts w:ascii="Times New Roman" w:hAnsi="Times New Roman"/>
                <w:sz w:val="21"/>
                <w:szCs w:val="21"/>
              </w:rPr>
              <w:t>、</w:t>
            </w:r>
            <w:r w:rsidRPr="00E67914">
              <w:rPr>
                <w:rFonts w:ascii="Times New Roman" w:hAnsi="Times New Roman"/>
                <w:sz w:val="21"/>
                <w:szCs w:val="21"/>
              </w:rPr>
              <w:t>Ⅴ</w:t>
            </w:r>
            <w:r w:rsidRPr="00E67914">
              <w:rPr>
                <w:rFonts w:ascii="Times New Roman" w:hAnsi="Times New Roman"/>
                <w:sz w:val="21"/>
                <w:szCs w:val="21"/>
                <w:vertAlign w:val="superscript"/>
              </w:rPr>
              <w:t>+</w:t>
            </w:r>
          </w:p>
        </w:tc>
        <w:tc>
          <w:tcPr>
            <w:tcW w:w="1601" w:type="dxa"/>
            <w:vAlign w:val="center"/>
          </w:tcPr>
          <w:p w14:paraId="7E3CCC3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Ⅲ</w:t>
            </w:r>
          </w:p>
        </w:tc>
        <w:tc>
          <w:tcPr>
            <w:tcW w:w="1916" w:type="dxa"/>
            <w:vAlign w:val="center"/>
          </w:tcPr>
          <w:p w14:paraId="7D748F6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Ⅱ</w:t>
            </w:r>
          </w:p>
        </w:tc>
        <w:tc>
          <w:tcPr>
            <w:tcW w:w="1564" w:type="dxa"/>
            <w:vAlign w:val="center"/>
          </w:tcPr>
          <w:p w14:paraId="7BAE992A" w14:textId="77777777" w:rsidR="00A54A8A" w:rsidRPr="00E67914" w:rsidRDefault="00000000">
            <w:pPr>
              <w:adjustRightInd w:val="0"/>
              <w:snapToGrid w:val="0"/>
              <w:jc w:val="center"/>
              <w:rPr>
                <w:rFonts w:ascii="Times New Roman" w:hAnsi="Times New Roman"/>
                <w:sz w:val="21"/>
                <w:szCs w:val="21"/>
                <w:shd w:val="pct10" w:color="auto" w:fill="FFFFFF"/>
              </w:rPr>
            </w:pPr>
            <w:r w:rsidRPr="00E67914">
              <w:rPr>
                <w:rFonts w:ascii="Times New Roman" w:hAnsi="Times New Roman"/>
                <w:sz w:val="21"/>
                <w:szCs w:val="21"/>
                <w:shd w:val="pct10" w:color="auto" w:fill="FFFFFF"/>
              </w:rPr>
              <w:t>Ⅰ</w:t>
            </w:r>
          </w:p>
        </w:tc>
      </w:tr>
      <w:tr w:rsidR="002662E3" w:rsidRPr="00E67914" w14:paraId="58294019" w14:textId="77777777">
        <w:trPr>
          <w:jc w:val="center"/>
        </w:trPr>
        <w:tc>
          <w:tcPr>
            <w:tcW w:w="1555" w:type="dxa"/>
            <w:vAlign w:val="center"/>
          </w:tcPr>
          <w:p w14:paraId="78705F0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评价工作等级</w:t>
            </w:r>
          </w:p>
        </w:tc>
        <w:tc>
          <w:tcPr>
            <w:tcW w:w="1586" w:type="dxa"/>
            <w:vAlign w:val="center"/>
          </w:tcPr>
          <w:p w14:paraId="09FBBE2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一</w:t>
            </w:r>
          </w:p>
        </w:tc>
        <w:tc>
          <w:tcPr>
            <w:tcW w:w="1601" w:type="dxa"/>
            <w:vAlign w:val="center"/>
          </w:tcPr>
          <w:p w14:paraId="19BADA2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二</w:t>
            </w:r>
          </w:p>
        </w:tc>
        <w:tc>
          <w:tcPr>
            <w:tcW w:w="1916" w:type="dxa"/>
            <w:vAlign w:val="center"/>
          </w:tcPr>
          <w:p w14:paraId="3050BB6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三</w:t>
            </w:r>
          </w:p>
        </w:tc>
        <w:tc>
          <w:tcPr>
            <w:tcW w:w="1564" w:type="dxa"/>
            <w:vAlign w:val="center"/>
          </w:tcPr>
          <w:p w14:paraId="24331E97" w14:textId="77777777" w:rsidR="00A54A8A" w:rsidRPr="00E67914" w:rsidRDefault="00000000">
            <w:pPr>
              <w:adjustRightInd w:val="0"/>
              <w:snapToGrid w:val="0"/>
              <w:jc w:val="center"/>
              <w:rPr>
                <w:rFonts w:ascii="Times New Roman" w:hAnsi="Times New Roman"/>
                <w:sz w:val="21"/>
                <w:szCs w:val="21"/>
                <w:shd w:val="pct10" w:color="auto" w:fill="FFFFFF"/>
              </w:rPr>
            </w:pPr>
            <w:r w:rsidRPr="00E67914">
              <w:rPr>
                <w:rFonts w:ascii="Times New Roman" w:hAnsi="Times New Roman"/>
                <w:sz w:val="21"/>
                <w:szCs w:val="21"/>
                <w:shd w:val="pct10" w:color="auto" w:fill="FFFFFF"/>
              </w:rPr>
              <w:t>简单分析</w:t>
            </w:r>
            <w:r w:rsidRPr="00E67914">
              <w:rPr>
                <w:rFonts w:ascii="Times New Roman" w:hAnsi="Times New Roman"/>
                <w:sz w:val="21"/>
                <w:szCs w:val="21"/>
                <w:shd w:val="pct10" w:color="auto" w:fill="FFFFFF"/>
                <w:vertAlign w:val="superscript"/>
              </w:rPr>
              <w:t>a</w:t>
            </w:r>
          </w:p>
        </w:tc>
      </w:tr>
      <w:tr w:rsidR="002662E3" w:rsidRPr="00E67914" w14:paraId="5290E6DF" w14:textId="77777777">
        <w:trPr>
          <w:jc w:val="center"/>
        </w:trPr>
        <w:tc>
          <w:tcPr>
            <w:tcW w:w="8222" w:type="dxa"/>
            <w:gridSpan w:val="5"/>
            <w:vAlign w:val="center"/>
          </w:tcPr>
          <w:p w14:paraId="418CF698"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 xml:space="preserve">a </w:t>
            </w:r>
            <w:r w:rsidRPr="00E67914">
              <w:rPr>
                <w:rFonts w:ascii="Times New Roman" w:hAnsi="Times New Roman"/>
                <w:sz w:val="21"/>
                <w:szCs w:val="21"/>
                <w:lang w:eastAsia="zh-CN"/>
              </w:rPr>
              <w:t>是相对于详细评价工作内容而言，在描述危险物质、环境影响途径、环境危害后果、</w:t>
            </w:r>
          </w:p>
          <w:p w14:paraId="57DCF431" w14:textId="77777777" w:rsidR="00A54A8A" w:rsidRPr="00E67914" w:rsidRDefault="00000000">
            <w:pPr>
              <w:adjustRightInd w:val="0"/>
              <w:snapToGrid w:val="0"/>
              <w:rPr>
                <w:rFonts w:ascii="Times New Roman" w:hAnsi="Times New Roman"/>
                <w:sz w:val="21"/>
                <w:szCs w:val="21"/>
                <w:shd w:val="pct10" w:color="auto" w:fill="FFFFFF"/>
                <w:lang w:eastAsia="zh-CN"/>
              </w:rPr>
            </w:pPr>
            <w:r w:rsidRPr="00E67914">
              <w:rPr>
                <w:rFonts w:ascii="Times New Roman" w:hAnsi="Times New Roman"/>
                <w:sz w:val="21"/>
                <w:szCs w:val="21"/>
                <w:lang w:eastAsia="zh-CN"/>
              </w:rPr>
              <w:t>风险防范措施等方面给出定性的说明。</w:t>
            </w:r>
          </w:p>
        </w:tc>
      </w:tr>
    </w:tbl>
    <w:p w14:paraId="1BF5E882" w14:textId="77777777" w:rsidR="00A54A8A" w:rsidRPr="00E67914" w:rsidRDefault="00000000">
      <w:pPr>
        <w:adjustRightInd w:val="0"/>
        <w:snapToGrid w:val="0"/>
        <w:spacing w:beforeLines="50" w:before="156" w:line="360" w:lineRule="auto"/>
        <w:ind w:firstLineChars="200" w:firstLine="480"/>
        <w:rPr>
          <w:rFonts w:ascii="Times New Roman" w:hAnsi="Times New Roman"/>
          <w:sz w:val="24"/>
          <w:lang w:eastAsia="zh-CN"/>
        </w:rPr>
      </w:pPr>
      <w:r w:rsidRPr="00E67914">
        <w:rPr>
          <w:rFonts w:ascii="Times New Roman" w:hAnsi="Times New Roman"/>
          <w:sz w:val="24"/>
          <w:lang w:eastAsia="zh-CN"/>
        </w:rPr>
        <w:lastRenderedPageBreak/>
        <w:t>根据上述环境风险潜势初判结果，本项目需做</w:t>
      </w:r>
      <w:r w:rsidRPr="00E67914">
        <w:rPr>
          <w:rFonts w:ascii="Times New Roman" w:hAnsi="Times New Roman"/>
          <w:sz w:val="24"/>
          <w:lang w:eastAsia="zh-CN"/>
        </w:rPr>
        <w:t>“</w:t>
      </w:r>
      <w:r w:rsidRPr="00E67914">
        <w:rPr>
          <w:rFonts w:ascii="Times New Roman" w:hAnsi="Times New Roman"/>
          <w:sz w:val="24"/>
          <w:lang w:eastAsia="zh-CN"/>
        </w:rPr>
        <w:t>简单分析</w:t>
      </w:r>
      <w:r w:rsidRPr="00E67914">
        <w:rPr>
          <w:rFonts w:ascii="Times New Roman" w:hAnsi="Times New Roman"/>
          <w:sz w:val="24"/>
          <w:lang w:eastAsia="zh-CN"/>
        </w:rPr>
        <w:t>”</w:t>
      </w:r>
      <w:r w:rsidRPr="00E67914">
        <w:rPr>
          <w:rFonts w:ascii="Times New Roman" w:hAnsi="Times New Roman"/>
          <w:sz w:val="24"/>
          <w:lang w:eastAsia="zh-CN"/>
        </w:rPr>
        <w:t>。</w:t>
      </w:r>
    </w:p>
    <w:p w14:paraId="43E5817E"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）评价范围</w:t>
      </w:r>
    </w:p>
    <w:p w14:paraId="56A59670"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lang w:eastAsia="zh-CN"/>
        </w:rPr>
        <w:t>简单分析不设置风险评价范围</w:t>
      </w:r>
      <w:r w:rsidRPr="00E67914">
        <w:rPr>
          <w:rFonts w:ascii="Times New Roman" w:hAnsi="Times New Roman"/>
          <w:sz w:val="24"/>
          <w:szCs w:val="24"/>
          <w:lang w:eastAsia="zh-CN"/>
        </w:rPr>
        <w:t>。</w:t>
      </w:r>
    </w:p>
    <w:p w14:paraId="29893476" w14:textId="77777777" w:rsidR="00A54A8A" w:rsidRPr="00E67914" w:rsidRDefault="00000000">
      <w:pPr>
        <w:pStyle w:val="2"/>
        <w:adjustRightInd/>
        <w:snapToGrid/>
        <w:ind w:firstLine="480"/>
        <w:rPr>
          <w:szCs w:val="24"/>
          <w:lang w:eastAsia="zh-CN"/>
        </w:rPr>
      </w:pPr>
      <w:bookmarkStart w:id="35" w:name="_Toc148654215"/>
      <w:r w:rsidRPr="00E67914">
        <w:rPr>
          <w:szCs w:val="24"/>
          <w:lang w:eastAsia="zh-CN"/>
        </w:rPr>
        <w:t>2.7</w:t>
      </w:r>
      <w:r w:rsidRPr="00E67914">
        <w:rPr>
          <w:szCs w:val="24"/>
          <w:lang w:eastAsia="zh-CN"/>
        </w:rPr>
        <w:t>相关政策、规范符合性分析</w:t>
      </w:r>
      <w:bookmarkEnd w:id="35"/>
    </w:p>
    <w:p w14:paraId="0FAE4A51" w14:textId="77777777" w:rsidR="00A54A8A" w:rsidRPr="00E67914" w:rsidRDefault="00000000">
      <w:pPr>
        <w:pStyle w:val="3"/>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2.7.1</w:t>
      </w:r>
      <w:r w:rsidRPr="00E67914">
        <w:rPr>
          <w:rFonts w:ascii="Times New Roman" w:eastAsia="黑体" w:hAnsi="Times New Roman"/>
          <w:b w:val="0"/>
          <w:sz w:val="24"/>
          <w:szCs w:val="24"/>
          <w:lang w:eastAsia="zh-CN"/>
        </w:rPr>
        <w:t>产业政策及相关文件符合性分析</w:t>
      </w:r>
    </w:p>
    <w:p w14:paraId="2C65C8CA"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1</w:t>
      </w:r>
      <w:r w:rsidRPr="00E67914">
        <w:rPr>
          <w:rFonts w:ascii="Times New Roman" w:eastAsia="黑体" w:hAnsi="Times New Roman"/>
          <w:bCs/>
          <w:kern w:val="2"/>
          <w:sz w:val="24"/>
          <w:szCs w:val="24"/>
          <w:lang w:eastAsia="zh-CN"/>
        </w:rPr>
        <w:t>、与《产业结构调整指导目录》的符合性分析</w:t>
      </w:r>
    </w:p>
    <w:p w14:paraId="57D4AC2C"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根据《产业结构调整指导目录（</w:t>
      </w:r>
      <w:r w:rsidRPr="00E67914">
        <w:rPr>
          <w:rFonts w:ascii="Times New Roman" w:hAnsi="Times New Roman"/>
          <w:sz w:val="24"/>
          <w:lang w:eastAsia="zh-CN"/>
        </w:rPr>
        <w:t>2019</w:t>
      </w:r>
      <w:r w:rsidRPr="00E67914">
        <w:rPr>
          <w:rFonts w:ascii="Times New Roman" w:hAnsi="Times New Roman"/>
          <w:sz w:val="24"/>
          <w:lang w:eastAsia="zh-CN"/>
        </w:rPr>
        <w:t>年本）》与《国家发展改革委关于修改</w:t>
      </w:r>
      <w:r w:rsidRPr="00E67914">
        <w:rPr>
          <w:rFonts w:ascii="Times New Roman" w:hAnsi="Times New Roman"/>
          <w:sz w:val="24"/>
          <w:lang w:eastAsia="zh-CN"/>
        </w:rPr>
        <w:t>&lt;</w:t>
      </w:r>
      <w:r w:rsidRPr="00E67914">
        <w:rPr>
          <w:rFonts w:ascii="Times New Roman" w:hAnsi="Times New Roman"/>
          <w:sz w:val="24"/>
          <w:lang w:eastAsia="zh-CN"/>
        </w:rPr>
        <w:t>产业结构调整指导目录（</w:t>
      </w:r>
      <w:r w:rsidRPr="00E67914">
        <w:rPr>
          <w:rFonts w:ascii="Times New Roman" w:hAnsi="Times New Roman"/>
          <w:sz w:val="24"/>
          <w:lang w:eastAsia="zh-CN"/>
        </w:rPr>
        <w:t>2019</w:t>
      </w:r>
      <w:r w:rsidRPr="00E67914">
        <w:rPr>
          <w:rFonts w:ascii="Times New Roman" w:hAnsi="Times New Roman"/>
          <w:sz w:val="24"/>
          <w:lang w:eastAsia="zh-CN"/>
        </w:rPr>
        <w:t>年本）</w:t>
      </w:r>
      <w:r w:rsidRPr="00E67914">
        <w:rPr>
          <w:rFonts w:ascii="Times New Roman" w:hAnsi="Times New Roman"/>
          <w:sz w:val="24"/>
          <w:lang w:eastAsia="zh-CN"/>
        </w:rPr>
        <w:t>&gt;</w:t>
      </w:r>
      <w:r w:rsidRPr="00E67914">
        <w:rPr>
          <w:rFonts w:ascii="Times New Roman" w:hAnsi="Times New Roman"/>
          <w:sz w:val="24"/>
          <w:lang w:eastAsia="zh-CN"/>
        </w:rPr>
        <w:t>的决定》</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2021</w:t>
      </w:r>
      <w:r w:rsidRPr="00E67914">
        <w:rPr>
          <w:rFonts w:ascii="Times New Roman" w:hAnsi="Times New Roman"/>
          <w:bCs/>
          <w:kern w:val="2"/>
          <w:sz w:val="24"/>
          <w:szCs w:val="24"/>
          <w:lang w:eastAsia="zh-CN"/>
        </w:rPr>
        <w:t>年修订）</w:t>
      </w:r>
      <w:r w:rsidRPr="00E67914">
        <w:rPr>
          <w:rFonts w:ascii="Times New Roman" w:hAnsi="Times New Roman"/>
          <w:sz w:val="24"/>
          <w:lang w:eastAsia="zh-CN"/>
        </w:rPr>
        <w:t>，本项目属于《产业结构调整指导目录》（</w:t>
      </w:r>
      <w:r w:rsidRPr="00E67914">
        <w:rPr>
          <w:rFonts w:ascii="Times New Roman" w:hAnsi="Times New Roman"/>
          <w:sz w:val="24"/>
          <w:lang w:eastAsia="zh-CN"/>
        </w:rPr>
        <w:t>2019</w:t>
      </w:r>
      <w:r w:rsidRPr="00E67914">
        <w:rPr>
          <w:rFonts w:ascii="Times New Roman" w:hAnsi="Times New Roman"/>
          <w:sz w:val="24"/>
          <w:lang w:eastAsia="zh-CN"/>
        </w:rPr>
        <w:t>年本）鼓励类中第七条</w:t>
      </w:r>
      <w:r w:rsidRPr="00E67914">
        <w:rPr>
          <w:rFonts w:ascii="Times New Roman" w:hAnsi="Times New Roman"/>
          <w:sz w:val="24"/>
          <w:lang w:eastAsia="zh-CN"/>
        </w:rPr>
        <w:t>“</w:t>
      </w:r>
      <w:r w:rsidRPr="00E67914">
        <w:rPr>
          <w:rFonts w:ascii="Times New Roman" w:hAnsi="Times New Roman"/>
          <w:sz w:val="24"/>
          <w:lang w:eastAsia="zh-CN"/>
        </w:rPr>
        <w:t>石油、天然气</w:t>
      </w:r>
      <w:r w:rsidRPr="00E67914">
        <w:rPr>
          <w:rFonts w:ascii="Times New Roman" w:hAnsi="Times New Roman"/>
          <w:sz w:val="24"/>
          <w:lang w:eastAsia="zh-CN"/>
        </w:rPr>
        <w:t>”</w:t>
      </w:r>
      <w:r w:rsidRPr="00E67914">
        <w:rPr>
          <w:rFonts w:ascii="Times New Roman" w:hAnsi="Times New Roman"/>
          <w:sz w:val="24"/>
          <w:lang w:eastAsia="zh-CN"/>
        </w:rPr>
        <w:t>中的第二款：</w:t>
      </w:r>
      <w:r w:rsidRPr="00E67914">
        <w:rPr>
          <w:rFonts w:ascii="Times New Roman" w:hAnsi="Times New Roman"/>
          <w:sz w:val="24"/>
          <w:lang w:eastAsia="zh-CN"/>
        </w:rPr>
        <w:t>“</w:t>
      </w:r>
      <w:r w:rsidRPr="00E67914">
        <w:rPr>
          <w:rFonts w:ascii="Times New Roman" w:hAnsi="Times New Roman"/>
          <w:sz w:val="24"/>
          <w:lang w:eastAsia="zh-CN"/>
        </w:rPr>
        <w:t>页岩气、页岩油、致密油、油砂、天然气水合物等非常规资源勘探开发</w:t>
      </w:r>
      <w:r w:rsidRPr="00E67914">
        <w:rPr>
          <w:rFonts w:ascii="Times New Roman" w:hAnsi="Times New Roman"/>
          <w:sz w:val="24"/>
          <w:lang w:eastAsia="zh-CN"/>
        </w:rPr>
        <w:t>”</w:t>
      </w:r>
      <w:r w:rsidRPr="00E67914">
        <w:rPr>
          <w:rFonts w:ascii="Times New Roman" w:hAnsi="Times New Roman"/>
          <w:sz w:val="24"/>
          <w:lang w:eastAsia="zh-CN"/>
        </w:rPr>
        <w:t>。</w:t>
      </w:r>
    </w:p>
    <w:p w14:paraId="2235BB1A"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lang w:eastAsia="zh-CN"/>
        </w:rPr>
        <w:t>因此本项目建设符合国家产业政策。</w:t>
      </w:r>
    </w:p>
    <w:p w14:paraId="02578E85"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2</w:t>
      </w:r>
      <w:r w:rsidRPr="00E67914">
        <w:rPr>
          <w:rFonts w:ascii="Times New Roman" w:eastAsia="黑体" w:hAnsi="Times New Roman"/>
          <w:bCs/>
          <w:kern w:val="2"/>
          <w:sz w:val="24"/>
          <w:szCs w:val="24"/>
          <w:lang w:eastAsia="zh-CN"/>
        </w:rPr>
        <w:t>、与《石油天然气开采业污染防治技术政策》的符合性分析</w:t>
      </w:r>
    </w:p>
    <w:p w14:paraId="74032F06"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根据《石油天然气开采业污染防治技术政策》（〔</w:t>
      </w:r>
      <w:r w:rsidRPr="00E67914">
        <w:rPr>
          <w:rFonts w:ascii="Times New Roman" w:hAnsi="Times New Roman"/>
          <w:sz w:val="24"/>
          <w:lang w:eastAsia="zh-CN"/>
        </w:rPr>
        <w:t>2012</w:t>
      </w:r>
      <w:r w:rsidRPr="00E67914">
        <w:rPr>
          <w:rFonts w:ascii="Times New Roman" w:hAnsi="Times New Roman"/>
          <w:sz w:val="24"/>
          <w:lang w:eastAsia="zh-CN"/>
        </w:rPr>
        <w:t>〕</w:t>
      </w:r>
      <w:r w:rsidRPr="00E67914">
        <w:rPr>
          <w:rFonts w:ascii="Times New Roman" w:hAnsi="Times New Roman"/>
          <w:sz w:val="24"/>
          <w:lang w:eastAsia="zh-CN"/>
        </w:rPr>
        <w:t>18</w:t>
      </w:r>
      <w:r w:rsidRPr="00E67914">
        <w:rPr>
          <w:rFonts w:ascii="Times New Roman" w:hAnsi="Times New Roman"/>
          <w:sz w:val="24"/>
          <w:lang w:eastAsia="zh-CN"/>
        </w:rPr>
        <w:t>号），本项目与《石油天然气开采业污染防治技术政策》符合性分析见下表。</w:t>
      </w:r>
    </w:p>
    <w:p w14:paraId="392FE78D"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2.7-1  </w:t>
      </w:r>
      <w:r w:rsidRPr="00E67914">
        <w:rPr>
          <w:rFonts w:ascii="Times New Roman" w:eastAsia="黑体" w:hAnsi="Times New Roman"/>
          <w:sz w:val="21"/>
          <w:szCs w:val="21"/>
          <w:lang w:eastAsia="zh-CN"/>
        </w:rPr>
        <w:t>与《石油天然气开采业污染防治技术政策》符合性分析表</w:t>
      </w:r>
    </w:p>
    <w:tbl>
      <w:tblPr>
        <w:tblStyle w:val="affa"/>
        <w:tblW w:w="0" w:type="auto"/>
        <w:tblLook w:val="04A0" w:firstRow="1" w:lastRow="0" w:firstColumn="1" w:lastColumn="0" w:noHBand="0" w:noVBand="1"/>
      </w:tblPr>
      <w:tblGrid>
        <w:gridCol w:w="709"/>
        <w:gridCol w:w="3686"/>
        <w:gridCol w:w="2976"/>
        <w:gridCol w:w="925"/>
      </w:tblGrid>
      <w:tr w:rsidR="00E67914" w:rsidRPr="00E67914" w14:paraId="6CE2B30F" w14:textId="77777777">
        <w:tc>
          <w:tcPr>
            <w:tcW w:w="709" w:type="dxa"/>
            <w:vAlign w:val="center"/>
          </w:tcPr>
          <w:p w14:paraId="7DD2EC0D"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序号</w:t>
            </w:r>
          </w:p>
        </w:tc>
        <w:tc>
          <w:tcPr>
            <w:tcW w:w="3686" w:type="dxa"/>
            <w:vAlign w:val="center"/>
          </w:tcPr>
          <w:p w14:paraId="1FB6BB24"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技术政策要求</w:t>
            </w:r>
          </w:p>
        </w:tc>
        <w:tc>
          <w:tcPr>
            <w:tcW w:w="2976" w:type="dxa"/>
            <w:vAlign w:val="center"/>
          </w:tcPr>
          <w:p w14:paraId="403616D7"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本工程内容</w:t>
            </w:r>
          </w:p>
        </w:tc>
        <w:tc>
          <w:tcPr>
            <w:tcW w:w="925" w:type="dxa"/>
            <w:vAlign w:val="center"/>
          </w:tcPr>
          <w:p w14:paraId="761709DF"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符合性</w:t>
            </w:r>
          </w:p>
        </w:tc>
      </w:tr>
      <w:tr w:rsidR="00E67914" w:rsidRPr="00E67914" w14:paraId="4D37D624" w14:textId="77777777">
        <w:tc>
          <w:tcPr>
            <w:tcW w:w="709" w:type="dxa"/>
            <w:vAlign w:val="center"/>
          </w:tcPr>
          <w:p w14:paraId="4FFC3AD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一</w:t>
            </w:r>
          </w:p>
        </w:tc>
        <w:tc>
          <w:tcPr>
            <w:tcW w:w="7587" w:type="dxa"/>
            <w:gridSpan w:val="3"/>
            <w:vAlign w:val="center"/>
          </w:tcPr>
          <w:p w14:paraId="1A691AD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清洁生产</w:t>
            </w:r>
          </w:p>
        </w:tc>
      </w:tr>
      <w:tr w:rsidR="00E67914" w:rsidRPr="00E67914" w14:paraId="59E45C57" w14:textId="77777777">
        <w:tc>
          <w:tcPr>
            <w:tcW w:w="709" w:type="dxa"/>
            <w:vAlign w:val="center"/>
          </w:tcPr>
          <w:p w14:paraId="721EFEB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w:t>
            </w:r>
          </w:p>
        </w:tc>
        <w:tc>
          <w:tcPr>
            <w:tcW w:w="3686" w:type="dxa"/>
            <w:vAlign w:val="center"/>
          </w:tcPr>
          <w:p w14:paraId="2A1E91F1"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油气田建设应总体规划，优化布局，整体开发，减少占地和油气损失，实现油气和废物的集中收集、处理处置。</w:t>
            </w:r>
          </w:p>
        </w:tc>
        <w:tc>
          <w:tcPr>
            <w:tcW w:w="2976" w:type="dxa"/>
            <w:vAlign w:val="center"/>
          </w:tcPr>
          <w:p w14:paraId="71D18DE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本项目属于气田的开发建设，占地较少，废水收集集中处置，废物收集集中处置。</w:t>
            </w:r>
          </w:p>
        </w:tc>
        <w:tc>
          <w:tcPr>
            <w:tcW w:w="925" w:type="dxa"/>
            <w:vAlign w:val="center"/>
          </w:tcPr>
          <w:p w14:paraId="0F3E08C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324B6691" w14:textId="77777777">
        <w:tc>
          <w:tcPr>
            <w:tcW w:w="709" w:type="dxa"/>
            <w:vAlign w:val="center"/>
          </w:tcPr>
          <w:p w14:paraId="28B7547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w:t>
            </w:r>
          </w:p>
        </w:tc>
        <w:tc>
          <w:tcPr>
            <w:tcW w:w="3686" w:type="dxa"/>
            <w:vAlign w:val="center"/>
          </w:tcPr>
          <w:p w14:paraId="1C30316C"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油气田开发不得使用含有国际公约禁用化学物质的油气田化学剂，逐步淘汰微毒及以上油气田化学剂，鼓励使用无毒油气田化学剂。</w:t>
            </w:r>
          </w:p>
        </w:tc>
        <w:tc>
          <w:tcPr>
            <w:tcW w:w="2976" w:type="dxa"/>
            <w:vAlign w:val="center"/>
          </w:tcPr>
          <w:p w14:paraId="7FE4CE0D"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本项目无国际公约禁用化学物质，符合要求。</w:t>
            </w:r>
          </w:p>
        </w:tc>
        <w:tc>
          <w:tcPr>
            <w:tcW w:w="925" w:type="dxa"/>
            <w:vAlign w:val="center"/>
          </w:tcPr>
          <w:p w14:paraId="07C1D66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731E9619" w14:textId="77777777">
        <w:tc>
          <w:tcPr>
            <w:tcW w:w="709" w:type="dxa"/>
            <w:vAlign w:val="center"/>
          </w:tcPr>
          <w:p w14:paraId="11AA9C2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3</w:t>
            </w:r>
          </w:p>
        </w:tc>
        <w:tc>
          <w:tcPr>
            <w:tcW w:w="3686" w:type="dxa"/>
            <w:vAlign w:val="center"/>
          </w:tcPr>
          <w:p w14:paraId="59351E9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在油气勘探过程中，宜使用环保型炸药和可控震源，应采取防渗等措施预防燃料泄漏对环境的污染。</w:t>
            </w:r>
          </w:p>
        </w:tc>
        <w:tc>
          <w:tcPr>
            <w:tcW w:w="2976" w:type="dxa"/>
            <w:vAlign w:val="center"/>
          </w:tcPr>
          <w:p w14:paraId="65E471C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本项目无需炸药，油罐区设置地面硬化防渗和设置集油池，符合要求。</w:t>
            </w:r>
          </w:p>
        </w:tc>
        <w:tc>
          <w:tcPr>
            <w:tcW w:w="925" w:type="dxa"/>
            <w:vAlign w:val="center"/>
          </w:tcPr>
          <w:p w14:paraId="07EEE6F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B31E4CF" w14:textId="77777777">
        <w:tc>
          <w:tcPr>
            <w:tcW w:w="709" w:type="dxa"/>
            <w:vAlign w:val="center"/>
          </w:tcPr>
          <w:p w14:paraId="7771222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4</w:t>
            </w:r>
          </w:p>
        </w:tc>
        <w:tc>
          <w:tcPr>
            <w:tcW w:w="3686" w:type="dxa"/>
            <w:vAlign w:val="center"/>
          </w:tcPr>
          <w:p w14:paraId="4A385A1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在钻井过程中，鼓励采用环境友好的钻井液体系；配备完善的固控设备，钻井液循环率达到</w:t>
            </w:r>
            <w:r w:rsidRPr="00E67914">
              <w:rPr>
                <w:rFonts w:ascii="Times New Roman" w:hAnsi="Times New Roman"/>
                <w:sz w:val="21"/>
                <w:szCs w:val="21"/>
                <w:lang w:eastAsia="zh-CN"/>
              </w:rPr>
              <w:t>95%</w:t>
            </w:r>
            <w:r w:rsidRPr="00E67914">
              <w:rPr>
                <w:rFonts w:ascii="Times New Roman" w:hAnsi="Times New Roman"/>
                <w:sz w:val="21"/>
                <w:szCs w:val="21"/>
                <w:lang w:eastAsia="zh-CN"/>
              </w:rPr>
              <w:t>以上；钻井过程产生的废水应回用。</w:t>
            </w:r>
          </w:p>
        </w:tc>
        <w:tc>
          <w:tcPr>
            <w:tcW w:w="2976" w:type="dxa"/>
            <w:vAlign w:val="center"/>
          </w:tcPr>
          <w:p w14:paraId="6EE4B3B7" w14:textId="25EB01B4"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w:t>
            </w:r>
            <w:r w:rsidR="00067E4D" w:rsidRPr="00E67914">
              <w:rPr>
                <w:rFonts w:ascii="Times New Roman" w:hAnsi="Times New Roman"/>
                <w:sz w:val="21"/>
                <w:szCs w:val="21"/>
                <w:lang w:eastAsia="zh-CN"/>
              </w:rPr>
              <w:t>二开段</w:t>
            </w:r>
            <w:r w:rsidRPr="00E67914">
              <w:rPr>
                <w:rFonts w:ascii="Times New Roman" w:hAnsi="Times New Roman"/>
                <w:sz w:val="21"/>
                <w:szCs w:val="21"/>
                <w:lang w:eastAsia="zh-CN"/>
              </w:rPr>
              <w:t>采用水基钻井液</w:t>
            </w:r>
            <w:r w:rsidR="00067E4D" w:rsidRPr="00E67914">
              <w:rPr>
                <w:rFonts w:ascii="Times New Roman" w:hAnsi="Times New Roman"/>
                <w:sz w:val="21"/>
                <w:szCs w:val="21"/>
                <w:lang w:eastAsia="zh-CN"/>
              </w:rPr>
              <w:t>，</w:t>
            </w:r>
            <w:r w:rsidRPr="00E67914">
              <w:rPr>
                <w:rFonts w:ascii="Times New Roman" w:hAnsi="Times New Roman"/>
                <w:sz w:val="21"/>
                <w:szCs w:val="21"/>
                <w:lang w:eastAsia="zh-CN"/>
              </w:rPr>
              <w:t>三开段</w:t>
            </w:r>
            <w:r w:rsidR="00067E4D" w:rsidRPr="00E67914">
              <w:rPr>
                <w:rFonts w:ascii="Times New Roman" w:hAnsi="Times New Roman"/>
                <w:sz w:val="21"/>
                <w:szCs w:val="21"/>
                <w:lang w:eastAsia="zh-CN"/>
              </w:rPr>
              <w:t>采用</w:t>
            </w:r>
            <w:r w:rsidRPr="00E67914">
              <w:rPr>
                <w:rFonts w:ascii="Times New Roman" w:hAnsi="Times New Roman"/>
                <w:sz w:val="21"/>
                <w:szCs w:val="21"/>
                <w:lang w:eastAsia="zh-CN"/>
              </w:rPr>
              <w:t>油基钻井</w:t>
            </w:r>
            <w:r w:rsidR="00067E4D" w:rsidRPr="00E67914">
              <w:rPr>
                <w:rFonts w:ascii="Times New Roman" w:hAnsi="Times New Roman"/>
                <w:sz w:val="21"/>
                <w:szCs w:val="21"/>
                <w:lang w:eastAsia="zh-CN"/>
              </w:rPr>
              <w:t>液</w:t>
            </w:r>
            <w:r w:rsidRPr="00E67914">
              <w:rPr>
                <w:rFonts w:ascii="Times New Roman" w:hAnsi="Times New Roman"/>
                <w:sz w:val="21"/>
                <w:szCs w:val="21"/>
                <w:lang w:eastAsia="zh-CN"/>
              </w:rPr>
              <w:t>，固控设备完善，钻井液循环率达到</w:t>
            </w:r>
            <w:r w:rsidRPr="00E67914">
              <w:rPr>
                <w:rFonts w:ascii="Times New Roman" w:hAnsi="Times New Roman"/>
                <w:sz w:val="21"/>
                <w:szCs w:val="21"/>
                <w:lang w:eastAsia="zh-CN"/>
              </w:rPr>
              <w:t>95%</w:t>
            </w:r>
            <w:r w:rsidRPr="00E67914">
              <w:rPr>
                <w:rFonts w:ascii="Times New Roman" w:hAnsi="Times New Roman"/>
                <w:sz w:val="21"/>
                <w:szCs w:val="21"/>
                <w:lang w:eastAsia="zh-CN"/>
              </w:rPr>
              <w:t>以上，钻井废水处理回用，符合要求。</w:t>
            </w:r>
          </w:p>
        </w:tc>
        <w:tc>
          <w:tcPr>
            <w:tcW w:w="925" w:type="dxa"/>
            <w:vAlign w:val="center"/>
          </w:tcPr>
          <w:p w14:paraId="56CF566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3A2C123D" w14:textId="77777777">
        <w:tc>
          <w:tcPr>
            <w:tcW w:w="709" w:type="dxa"/>
            <w:vAlign w:val="center"/>
          </w:tcPr>
          <w:p w14:paraId="7423D90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w:t>
            </w:r>
          </w:p>
        </w:tc>
        <w:tc>
          <w:tcPr>
            <w:tcW w:w="3686" w:type="dxa"/>
            <w:vAlign w:val="center"/>
          </w:tcPr>
          <w:p w14:paraId="1E49B6E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在井下作业过程中，酸化液和压裂液宜集中配制，酸化残液、压裂残液和返排液应回收利用或进行无害化处置，压裂放喷返排入罐率应达到</w:t>
            </w:r>
            <w:r w:rsidRPr="00E67914">
              <w:rPr>
                <w:rFonts w:ascii="Times New Roman" w:hAnsi="Times New Roman"/>
                <w:sz w:val="21"/>
                <w:szCs w:val="21"/>
                <w:lang w:eastAsia="zh-CN"/>
              </w:rPr>
              <w:t>100%</w:t>
            </w:r>
            <w:r w:rsidRPr="00E67914">
              <w:rPr>
                <w:rFonts w:ascii="Times New Roman" w:hAnsi="Times New Roman"/>
                <w:sz w:val="21"/>
                <w:szCs w:val="21"/>
                <w:lang w:eastAsia="zh-CN"/>
              </w:rPr>
              <w:t>。酸化、压裂作业和试油（气）</w:t>
            </w:r>
            <w:r w:rsidRPr="00E67914">
              <w:rPr>
                <w:rFonts w:ascii="Times New Roman" w:hAnsi="Times New Roman"/>
                <w:sz w:val="21"/>
                <w:szCs w:val="21"/>
                <w:lang w:eastAsia="zh-CN"/>
              </w:rPr>
              <w:lastRenderedPageBreak/>
              <w:t>过程应采取防喷、地面管线防刺、防漏、防溢等措施。</w:t>
            </w:r>
          </w:p>
        </w:tc>
        <w:tc>
          <w:tcPr>
            <w:tcW w:w="2976" w:type="dxa"/>
            <w:vAlign w:val="center"/>
          </w:tcPr>
          <w:p w14:paraId="0CF9F81C"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lastRenderedPageBreak/>
              <w:t>本项目酸化残液、压裂残液和返排液暂存放喷池后外运处置，压裂放喷返排入罐率为</w:t>
            </w:r>
            <w:r w:rsidRPr="00E67914">
              <w:rPr>
                <w:rFonts w:ascii="Times New Roman" w:hAnsi="Times New Roman"/>
                <w:sz w:val="21"/>
                <w:szCs w:val="21"/>
                <w:lang w:eastAsia="zh-CN"/>
              </w:rPr>
              <w:t>100%</w:t>
            </w:r>
            <w:r w:rsidRPr="00E67914">
              <w:rPr>
                <w:rFonts w:ascii="Times New Roman" w:hAnsi="Times New Roman"/>
                <w:sz w:val="21"/>
                <w:szCs w:val="21"/>
                <w:lang w:eastAsia="zh-CN"/>
              </w:rPr>
              <w:t>，采取了防漏、防溢措施，全部外运处理，符合要求。</w:t>
            </w:r>
          </w:p>
        </w:tc>
        <w:tc>
          <w:tcPr>
            <w:tcW w:w="925" w:type="dxa"/>
            <w:vAlign w:val="center"/>
          </w:tcPr>
          <w:p w14:paraId="6CB0153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58FF9858" w14:textId="77777777">
        <w:tc>
          <w:tcPr>
            <w:tcW w:w="709" w:type="dxa"/>
            <w:vAlign w:val="center"/>
          </w:tcPr>
          <w:p w14:paraId="47C48DD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二</w:t>
            </w:r>
          </w:p>
        </w:tc>
        <w:tc>
          <w:tcPr>
            <w:tcW w:w="7587" w:type="dxa"/>
            <w:gridSpan w:val="3"/>
            <w:vAlign w:val="center"/>
          </w:tcPr>
          <w:p w14:paraId="5A826F9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生态保护</w:t>
            </w:r>
          </w:p>
        </w:tc>
      </w:tr>
      <w:tr w:rsidR="00E67914" w:rsidRPr="00E67914" w14:paraId="41CE0568" w14:textId="77777777">
        <w:tc>
          <w:tcPr>
            <w:tcW w:w="709" w:type="dxa"/>
            <w:vAlign w:val="center"/>
          </w:tcPr>
          <w:p w14:paraId="6084536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w:t>
            </w:r>
          </w:p>
        </w:tc>
        <w:tc>
          <w:tcPr>
            <w:tcW w:w="3686" w:type="dxa"/>
            <w:vAlign w:val="center"/>
          </w:tcPr>
          <w:p w14:paraId="4F80F57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在开发过程中，伴生气应回收利用，减少温室气体排放，不具备回收利用条件的，应充分燃烧，伴生气回收利用率应达到</w:t>
            </w:r>
            <w:r w:rsidRPr="00E67914">
              <w:rPr>
                <w:rFonts w:ascii="Times New Roman" w:hAnsi="Times New Roman"/>
                <w:sz w:val="21"/>
                <w:szCs w:val="21"/>
                <w:lang w:eastAsia="zh-CN"/>
              </w:rPr>
              <w:t xml:space="preserve"> 80%</w:t>
            </w:r>
            <w:r w:rsidRPr="00E67914">
              <w:rPr>
                <w:rFonts w:ascii="Times New Roman" w:hAnsi="Times New Roman"/>
                <w:sz w:val="21"/>
                <w:szCs w:val="21"/>
                <w:lang w:eastAsia="zh-CN"/>
              </w:rPr>
              <w:t>以上；站场放空天然气应充分燃烧。</w:t>
            </w:r>
            <w:r w:rsidRPr="00E67914">
              <w:rPr>
                <w:rFonts w:ascii="Times New Roman" w:hAnsi="Times New Roman"/>
                <w:sz w:val="21"/>
                <w:szCs w:val="21"/>
              </w:rPr>
              <w:t>燃烧放空设施应避开鸟类迁徙通道。</w:t>
            </w:r>
          </w:p>
        </w:tc>
        <w:tc>
          <w:tcPr>
            <w:tcW w:w="2976" w:type="dxa"/>
            <w:vAlign w:val="center"/>
          </w:tcPr>
          <w:p w14:paraId="21563FB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放喷过程中不具备利用条件，在放喷池进行充分燃烧。放喷池未位于鸟类迁徙通道上。</w:t>
            </w:r>
          </w:p>
        </w:tc>
        <w:tc>
          <w:tcPr>
            <w:tcW w:w="925" w:type="dxa"/>
            <w:vAlign w:val="center"/>
          </w:tcPr>
          <w:p w14:paraId="04D6DC4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0AFC3152" w14:textId="77777777">
        <w:tc>
          <w:tcPr>
            <w:tcW w:w="709" w:type="dxa"/>
            <w:vAlign w:val="center"/>
          </w:tcPr>
          <w:p w14:paraId="17B250A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三</w:t>
            </w:r>
          </w:p>
        </w:tc>
        <w:tc>
          <w:tcPr>
            <w:tcW w:w="7587" w:type="dxa"/>
            <w:gridSpan w:val="3"/>
            <w:vAlign w:val="center"/>
          </w:tcPr>
          <w:p w14:paraId="2ECD09C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污染治理</w:t>
            </w:r>
          </w:p>
        </w:tc>
      </w:tr>
      <w:tr w:rsidR="00E67914" w:rsidRPr="00E67914" w14:paraId="531B18FE" w14:textId="77777777">
        <w:tc>
          <w:tcPr>
            <w:tcW w:w="709" w:type="dxa"/>
            <w:vAlign w:val="center"/>
          </w:tcPr>
          <w:p w14:paraId="07FCC21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w:t>
            </w:r>
          </w:p>
        </w:tc>
        <w:tc>
          <w:tcPr>
            <w:tcW w:w="3686" w:type="dxa"/>
            <w:vAlign w:val="center"/>
          </w:tcPr>
          <w:p w14:paraId="06AF127A"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976" w:type="dxa"/>
            <w:vAlign w:val="center"/>
          </w:tcPr>
          <w:p w14:paraId="05647A30" w14:textId="415938D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钻井废水暂存于清洁生产操作平台的废水罐内，</w:t>
            </w:r>
            <w:r w:rsidR="006956BC" w:rsidRPr="00E67914">
              <w:rPr>
                <w:rFonts w:ascii="Times New Roman" w:hAnsi="Times New Roman"/>
                <w:sz w:val="21"/>
                <w:szCs w:val="21"/>
                <w:lang w:eastAsia="zh-CN"/>
              </w:rPr>
              <w:t>定期</w:t>
            </w:r>
            <w:r w:rsidRPr="00E67914">
              <w:rPr>
                <w:rFonts w:ascii="Times New Roman" w:hAnsi="Times New Roman"/>
                <w:sz w:val="21"/>
                <w:szCs w:val="21"/>
                <w:lang w:eastAsia="zh-CN"/>
              </w:rPr>
              <w:t>装车拉运至普光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井回注站回注；压裂废水和洗井废水暂存于放喷池，装车拉运至赵家坝污水处理站达标后管输至普光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w:t>
            </w:r>
          </w:p>
        </w:tc>
        <w:tc>
          <w:tcPr>
            <w:tcW w:w="925" w:type="dxa"/>
            <w:vAlign w:val="center"/>
          </w:tcPr>
          <w:p w14:paraId="7AB028D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7D3D16CB" w14:textId="77777777">
        <w:tc>
          <w:tcPr>
            <w:tcW w:w="709" w:type="dxa"/>
            <w:vAlign w:val="center"/>
          </w:tcPr>
          <w:p w14:paraId="519AA94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w:t>
            </w:r>
          </w:p>
        </w:tc>
        <w:tc>
          <w:tcPr>
            <w:tcW w:w="3686" w:type="dxa"/>
            <w:vAlign w:val="center"/>
          </w:tcPr>
          <w:p w14:paraId="355DF7C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固体废物收集、贮存、处理处置设施应按照标准要求采取防渗措施。试油（气）后应立即封闭废弃钻井液贮池。</w:t>
            </w:r>
          </w:p>
        </w:tc>
        <w:tc>
          <w:tcPr>
            <w:tcW w:w="2976" w:type="dxa"/>
            <w:vAlign w:val="center"/>
          </w:tcPr>
          <w:p w14:paraId="70F7F42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固体废物收集、贮存、处理处置设施均按照标准要求采取分区防渗措施。完井后对泥浆不落地操作平台清理后复垦。</w:t>
            </w:r>
          </w:p>
        </w:tc>
        <w:tc>
          <w:tcPr>
            <w:tcW w:w="925" w:type="dxa"/>
            <w:vAlign w:val="center"/>
          </w:tcPr>
          <w:p w14:paraId="735E21A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55398A0C" w14:textId="77777777">
        <w:tc>
          <w:tcPr>
            <w:tcW w:w="709" w:type="dxa"/>
            <w:vAlign w:val="center"/>
          </w:tcPr>
          <w:p w14:paraId="2BA06CF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3</w:t>
            </w:r>
          </w:p>
        </w:tc>
        <w:tc>
          <w:tcPr>
            <w:tcW w:w="3686" w:type="dxa"/>
            <w:vAlign w:val="center"/>
          </w:tcPr>
          <w:p w14:paraId="44805BDA"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应回收落地原油，以及原油处理、废水处理产生的油泥（砂）等中的油类物质，含油污泥资源化利用率应达到</w:t>
            </w:r>
            <w:r w:rsidRPr="00E67914">
              <w:rPr>
                <w:rFonts w:ascii="Times New Roman" w:hAnsi="Times New Roman"/>
                <w:sz w:val="21"/>
                <w:szCs w:val="21"/>
                <w:lang w:eastAsia="zh-CN"/>
              </w:rPr>
              <w:t>90%</w:t>
            </w:r>
            <w:r w:rsidRPr="00E67914">
              <w:rPr>
                <w:rFonts w:ascii="Times New Roman" w:hAnsi="Times New Roman"/>
                <w:sz w:val="21"/>
                <w:szCs w:val="21"/>
                <w:lang w:eastAsia="zh-CN"/>
              </w:rPr>
              <w:t>以上，残余固体废物应按照《国家危险废物名录》和危险废物鉴别标准识别，根据识别结果资源化利用或无害化处置。</w:t>
            </w:r>
          </w:p>
        </w:tc>
        <w:tc>
          <w:tcPr>
            <w:tcW w:w="2976" w:type="dxa"/>
            <w:vAlign w:val="center"/>
          </w:tcPr>
          <w:p w14:paraId="0B508F2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不涉及原油，本工程在井口及易产生油污的生产设施底部进行防渗处理，收集可能产生的废油，完钻后统一收集交有资质单位处置。</w:t>
            </w:r>
          </w:p>
        </w:tc>
        <w:tc>
          <w:tcPr>
            <w:tcW w:w="925" w:type="dxa"/>
            <w:vAlign w:val="center"/>
          </w:tcPr>
          <w:p w14:paraId="2C91175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0BC31104" w14:textId="77777777">
        <w:tc>
          <w:tcPr>
            <w:tcW w:w="709" w:type="dxa"/>
            <w:vAlign w:val="center"/>
          </w:tcPr>
          <w:p w14:paraId="1B71CA99" w14:textId="77777777" w:rsidR="003512DC" w:rsidRPr="00E67914" w:rsidRDefault="003512DC" w:rsidP="003512DC">
            <w:pPr>
              <w:jc w:val="center"/>
              <w:rPr>
                <w:rFonts w:ascii="Times New Roman" w:hAnsi="Times New Roman"/>
                <w:sz w:val="21"/>
                <w:szCs w:val="21"/>
              </w:rPr>
            </w:pPr>
            <w:r w:rsidRPr="00E67914">
              <w:rPr>
                <w:rFonts w:ascii="Times New Roman" w:hAnsi="Times New Roman"/>
                <w:sz w:val="21"/>
                <w:szCs w:val="21"/>
              </w:rPr>
              <w:t>4</w:t>
            </w:r>
          </w:p>
        </w:tc>
        <w:tc>
          <w:tcPr>
            <w:tcW w:w="3686" w:type="dxa"/>
            <w:vAlign w:val="center"/>
          </w:tcPr>
          <w:p w14:paraId="77761A0F" w14:textId="00D8E129" w:rsidR="003512DC" w:rsidRPr="00E67914" w:rsidRDefault="003512DC" w:rsidP="003512DC">
            <w:pPr>
              <w:jc w:val="center"/>
              <w:rPr>
                <w:rFonts w:ascii="Times New Roman" w:hAnsi="Times New Roman"/>
                <w:sz w:val="21"/>
                <w:szCs w:val="21"/>
                <w:lang w:eastAsia="zh-CN"/>
              </w:rPr>
            </w:pPr>
            <w:r w:rsidRPr="00E67914">
              <w:rPr>
                <w:rFonts w:ascii="Times New Roman" w:hAnsi="Times New Roman"/>
                <w:sz w:val="21"/>
                <w:szCs w:val="21"/>
                <w:lang w:eastAsia="zh-CN"/>
              </w:rPr>
              <w:t>对受到油污染的土壤宜采取生物或物化方法进行修复。</w:t>
            </w:r>
          </w:p>
        </w:tc>
        <w:tc>
          <w:tcPr>
            <w:tcW w:w="2976" w:type="dxa"/>
            <w:vAlign w:val="center"/>
          </w:tcPr>
          <w:p w14:paraId="08D2A06C" w14:textId="66043CB0" w:rsidR="003512DC" w:rsidRPr="00E67914" w:rsidRDefault="003512DC" w:rsidP="003512DC">
            <w:pPr>
              <w:jc w:val="center"/>
              <w:rPr>
                <w:rFonts w:ascii="Times New Roman" w:hAnsi="Times New Roman"/>
                <w:sz w:val="21"/>
                <w:szCs w:val="21"/>
                <w:lang w:eastAsia="zh-CN"/>
              </w:rPr>
            </w:pPr>
            <w:r w:rsidRPr="00E67914">
              <w:rPr>
                <w:rFonts w:ascii="Times New Roman" w:hAnsi="Times New Roman"/>
                <w:sz w:val="21"/>
                <w:szCs w:val="21"/>
                <w:lang w:eastAsia="zh-CN"/>
              </w:rPr>
              <w:t>不涉及原油，凝析油设置有围堰及重点防渗措施，废油很少，通过采取防渗措施，总体不会造成土壤的油污染。</w:t>
            </w:r>
          </w:p>
        </w:tc>
        <w:tc>
          <w:tcPr>
            <w:tcW w:w="925" w:type="dxa"/>
            <w:vAlign w:val="center"/>
          </w:tcPr>
          <w:p w14:paraId="1361032A" w14:textId="77777777" w:rsidR="003512DC" w:rsidRPr="00E67914" w:rsidRDefault="003512DC" w:rsidP="003512DC">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423CB7F" w14:textId="77777777">
        <w:tc>
          <w:tcPr>
            <w:tcW w:w="709" w:type="dxa"/>
            <w:vAlign w:val="center"/>
          </w:tcPr>
          <w:p w14:paraId="5570871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四</w:t>
            </w:r>
          </w:p>
        </w:tc>
        <w:tc>
          <w:tcPr>
            <w:tcW w:w="7587" w:type="dxa"/>
            <w:gridSpan w:val="3"/>
            <w:vAlign w:val="center"/>
          </w:tcPr>
          <w:p w14:paraId="58FC5A5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运行风险和环境管理</w:t>
            </w:r>
          </w:p>
        </w:tc>
      </w:tr>
      <w:tr w:rsidR="00E67914" w:rsidRPr="00E67914" w14:paraId="41918265" w14:textId="77777777">
        <w:tc>
          <w:tcPr>
            <w:tcW w:w="709" w:type="dxa"/>
            <w:vAlign w:val="center"/>
          </w:tcPr>
          <w:p w14:paraId="4C42B0E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w:t>
            </w:r>
          </w:p>
        </w:tc>
        <w:tc>
          <w:tcPr>
            <w:tcW w:w="3686" w:type="dxa"/>
            <w:vAlign w:val="center"/>
          </w:tcPr>
          <w:p w14:paraId="358AACF2"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油气田企业应制定环境保护管理规定，建立并运行健康、安全与环境管理体系。</w:t>
            </w:r>
          </w:p>
        </w:tc>
        <w:tc>
          <w:tcPr>
            <w:tcW w:w="2976" w:type="dxa"/>
            <w:vAlign w:val="center"/>
          </w:tcPr>
          <w:p w14:paraId="24199DE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本项目业主制定有完善的环境保护管理规定，并建立运行健康、安全与环境管理体系。</w:t>
            </w:r>
          </w:p>
        </w:tc>
        <w:tc>
          <w:tcPr>
            <w:tcW w:w="925" w:type="dxa"/>
            <w:vAlign w:val="center"/>
          </w:tcPr>
          <w:p w14:paraId="05CA6BAD"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205A9704" w14:textId="77777777">
        <w:tc>
          <w:tcPr>
            <w:tcW w:w="709" w:type="dxa"/>
            <w:vAlign w:val="center"/>
          </w:tcPr>
          <w:p w14:paraId="06443F8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w:t>
            </w:r>
          </w:p>
        </w:tc>
        <w:tc>
          <w:tcPr>
            <w:tcW w:w="3686" w:type="dxa"/>
            <w:vAlign w:val="center"/>
          </w:tcPr>
          <w:p w14:paraId="0345C19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加强油气田建设、开发过程的环境监督管理。油气田建设过程应开展工程环境监理。</w:t>
            </w:r>
          </w:p>
        </w:tc>
        <w:tc>
          <w:tcPr>
            <w:tcW w:w="2976" w:type="dxa"/>
            <w:vAlign w:val="center"/>
          </w:tcPr>
          <w:p w14:paraId="261F688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本项目制定有环境监理计划。</w:t>
            </w:r>
          </w:p>
        </w:tc>
        <w:tc>
          <w:tcPr>
            <w:tcW w:w="925" w:type="dxa"/>
            <w:vAlign w:val="center"/>
          </w:tcPr>
          <w:p w14:paraId="1DFA249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654FCA68" w14:textId="77777777">
        <w:tc>
          <w:tcPr>
            <w:tcW w:w="709" w:type="dxa"/>
            <w:vAlign w:val="center"/>
          </w:tcPr>
          <w:p w14:paraId="4E6025F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3</w:t>
            </w:r>
          </w:p>
        </w:tc>
        <w:tc>
          <w:tcPr>
            <w:tcW w:w="3686" w:type="dxa"/>
            <w:vAlign w:val="center"/>
          </w:tcPr>
          <w:p w14:paraId="599DEA7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在开发过程中，企业应加强油气井套管的检测和维护，防止油气泄漏污染地下水。</w:t>
            </w:r>
          </w:p>
        </w:tc>
        <w:tc>
          <w:tcPr>
            <w:tcW w:w="2976" w:type="dxa"/>
            <w:vAlign w:val="center"/>
          </w:tcPr>
          <w:p w14:paraId="1A39DB9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本项目制定了套管检测和维护计划和制度，防止天然气泄露污染地下水。</w:t>
            </w:r>
          </w:p>
        </w:tc>
        <w:tc>
          <w:tcPr>
            <w:tcW w:w="925" w:type="dxa"/>
            <w:vAlign w:val="center"/>
          </w:tcPr>
          <w:p w14:paraId="38A9CDFA"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0E2E5F88" w14:textId="77777777">
        <w:tc>
          <w:tcPr>
            <w:tcW w:w="709" w:type="dxa"/>
            <w:vAlign w:val="center"/>
          </w:tcPr>
          <w:p w14:paraId="4114E8C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4</w:t>
            </w:r>
          </w:p>
        </w:tc>
        <w:tc>
          <w:tcPr>
            <w:tcW w:w="3686" w:type="dxa"/>
            <w:vAlign w:val="center"/>
          </w:tcPr>
          <w:p w14:paraId="5A32CA7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油气田企业应建立环境保护人员培训制度，环境监测人员、统计人员、污染治理设施操作人员应经培训合格后上岗。</w:t>
            </w:r>
          </w:p>
        </w:tc>
        <w:tc>
          <w:tcPr>
            <w:tcW w:w="2976" w:type="dxa"/>
            <w:vAlign w:val="center"/>
          </w:tcPr>
          <w:p w14:paraId="698E55ED"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本项目业主单位设置有专门的环境管理部门，并制定有完善的环境管理制度和培训制度。</w:t>
            </w:r>
          </w:p>
        </w:tc>
        <w:tc>
          <w:tcPr>
            <w:tcW w:w="925" w:type="dxa"/>
            <w:vAlign w:val="center"/>
          </w:tcPr>
          <w:p w14:paraId="14835A5D"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4189A106" w14:textId="77777777">
        <w:tc>
          <w:tcPr>
            <w:tcW w:w="709" w:type="dxa"/>
            <w:vAlign w:val="center"/>
          </w:tcPr>
          <w:p w14:paraId="24138B4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w:t>
            </w:r>
          </w:p>
        </w:tc>
        <w:tc>
          <w:tcPr>
            <w:tcW w:w="3686" w:type="dxa"/>
            <w:vAlign w:val="center"/>
          </w:tcPr>
          <w:p w14:paraId="1CD3A081"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油气田企业应对开发过程进行环境风险因素识别，制定突发环境事件应急预案并定期进行演练。应开展特征污染物监测工作，采取环境风险防范和</w:t>
            </w:r>
            <w:r w:rsidRPr="00E67914">
              <w:rPr>
                <w:rFonts w:ascii="Times New Roman" w:hAnsi="Times New Roman"/>
                <w:sz w:val="21"/>
                <w:szCs w:val="21"/>
                <w:lang w:eastAsia="zh-CN"/>
              </w:rPr>
              <w:lastRenderedPageBreak/>
              <w:t>应急措施，防止发生由突发性油气泄漏产生的环境事故。</w:t>
            </w:r>
          </w:p>
        </w:tc>
        <w:tc>
          <w:tcPr>
            <w:tcW w:w="2976" w:type="dxa"/>
            <w:vAlign w:val="center"/>
          </w:tcPr>
          <w:p w14:paraId="7DC129AF" w14:textId="2871A4CA" w:rsidR="00A54A8A" w:rsidRPr="00E67914" w:rsidRDefault="00777D57">
            <w:pPr>
              <w:jc w:val="center"/>
              <w:rPr>
                <w:rFonts w:ascii="Times New Roman" w:hAnsi="Times New Roman"/>
                <w:sz w:val="21"/>
                <w:szCs w:val="21"/>
                <w:lang w:eastAsia="zh-CN"/>
              </w:rPr>
            </w:pPr>
            <w:r w:rsidRPr="00E67914">
              <w:rPr>
                <w:rFonts w:ascii="Times New Roman" w:hAnsi="Times New Roman"/>
                <w:sz w:val="21"/>
                <w:szCs w:val="21"/>
                <w:lang w:eastAsia="zh-CN"/>
              </w:rPr>
              <w:lastRenderedPageBreak/>
              <w:t>建设单位严格按照要求设置突发环境事件应急预案，并定期举行演练。在井场周边设置有</w:t>
            </w:r>
            <w:r w:rsidRPr="00E67914">
              <w:rPr>
                <w:rFonts w:ascii="Times New Roman" w:hAnsi="Times New Roman"/>
                <w:sz w:val="21"/>
                <w:szCs w:val="21"/>
                <w:lang w:eastAsia="zh-CN"/>
              </w:rPr>
              <w:lastRenderedPageBreak/>
              <w:t>事故监测点，实时监测危险因子。</w:t>
            </w:r>
          </w:p>
        </w:tc>
        <w:tc>
          <w:tcPr>
            <w:tcW w:w="925" w:type="dxa"/>
            <w:vAlign w:val="center"/>
          </w:tcPr>
          <w:p w14:paraId="3A21E63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lastRenderedPageBreak/>
              <w:t>符合</w:t>
            </w:r>
          </w:p>
        </w:tc>
      </w:tr>
    </w:tbl>
    <w:p w14:paraId="57F3433D" w14:textId="77777777" w:rsidR="00A54A8A" w:rsidRPr="00E67914" w:rsidRDefault="00000000">
      <w:pPr>
        <w:autoSpaceDE w:val="0"/>
        <w:autoSpaceDN w:val="0"/>
        <w:adjustRightInd w:val="0"/>
        <w:snapToGrid w:val="0"/>
        <w:spacing w:beforeLines="50" w:before="156" w:line="360" w:lineRule="auto"/>
        <w:ind w:firstLineChars="200" w:firstLine="480"/>
        <w:rPr>
          <w:rFonts w:ascii="Times New Roman" w:hAnsi="Times New Roman"/>
          <w:sz w:val="24"/>
          <w:lang w:eastAsia="zh-CN"/>
        </w:rPr>
      </w:pPr>
      <w:r w:rsidRPr="00E67914">
        <w:rPr>
          <w:rFonts w:ascii="Times New Roman" w:hAnsi="Times New Roman"/>
          <w:sz w:val="24"/>
          <w:lang w:eastAsia="zh-CN"/>
        </w:rPr>
        <w:t>由上表可见，本项目与《石油天然气开采业污染防治技术政策》符合。</w:t>
      </w:r>
    </w:p>
    <w:p w14:paraId="2A674FC1"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3</w:t>
      </w:r>
      <w:r w:rsidRPr="00E67914">
        <w:rPr>
          <w:rFonts w:ascii="Times New Roman" w:eastAsia="黑体" w:hAnsi="Times New Roman"/>
          <w:bCs/>
          <w:kern w:val="2"/>
          <w:sz w:val="24"/>
          <w:szCs w:val="24"/>
          <w:lang w:eastAsia="zh-CN"/>
        </w:rPr>
        <w:t>、与《关于进一步加强石油天然气行业环境影响评价管理的通知》符合性分析</w:t>
      </w:r>
    </w:p>
    <w:p w14:paraId="586B7BB9"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根据《关于进一步加强石油天然气行业环境影响评价管理的通知》（环办环评函〔</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910</w:t>
      </w:r>
      <w:r w:rsidRPr="00E67914">
        <w:rPr>
          <w:rFonts w:ascii="Times New Roman" w:hAnsi="Times New Roman"/>
          <w:bCs/>
          <w:kern w:val="2"/>
          <w:sz w:val="24"/>
          <w:szCs w:val="24"/>
          <w:lang w:eastAsia="zh-CN"/>
        </w:rPr>
        <w:t>号），本项目符合性分析如下。</w:t>
      </w:r>
    </w:p>
    <w:p w14:paraId="2E765587"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2.7-2  </w:t>
      </w:r>
      <w:r w:rsidRPr="00E67914">
        <w:rPr>
          <w:rFonts w:ascii="Times New Roman" w:eastAsia="黑体" w:hAnsi="Times New Roman"/>
          <w:sz w:val="21"/>
          <w:szCs w:val="21"/>
          <w:lang w:eastAsia="zh-CN"/>
        </w:rPr>
        <w:t>与《关于进一步加强石油天然气行业环境影响评价管理的通知》符合性分析表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1"/>
        <w:gridCol w:w="4201"/>
        <w:gridCol w:w="2631"/>
        <w:gridCol w:w="873"/>
      </w:tblGrid>
      <w:tr w:rsidR="00E67914" w:rsidRPr="00E67914" w14:paraId="315BDDDD" w14:textId="77777777" w:rsidTr="003512DC">
        <w:trPr>
          <w:trHeight w:val="108"/>
          <w:tblHeader/>
          <w:jc w:val="center"/>
        </w:trPr>
        <w:tc>
          <w:tcPr>
            <w:tcW w:w="356" w:type="pct"/>
            <w:vAlign w:val="center"/>
          </w:tcPr>
          <w:p w14:paraId="0CBBF669"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序号</w:t>
            </w:r>
          </w:p>
        </w:tc>
        <w:tc>
          <w:tcPr>
            <w:tcW w:w="2532" w:type="pct"/>
            <w:vAlign w:val="center"/>
          </w:tcPr>
          <w:p w14:paraId="21E8CFDF"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技术政策要求</w:t>
            </w:r>
          </w:p>
        </w:tc>
        <w:tc>
          <w:tcPr>
            <w:tcW w:w="1586" w:type="pct"/>
            <w:vAlign w:val="center"/>
          </w:tcPr>
          <w:p w14:paraId="7B7B5A8D"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项目内容</w:t>
            </w:r>
          </w:p>
        </w:tc>
        <w:tc>
          <w:tcPr>
            <w:tcW w:w="527" w:type="pct"/>
            <w:vAlign w:val="center"/>
          </w:tcPr>
          <w:p w14:paraId="464DCA6F"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符合性</w:t>
            </w:r>
          </w:p>
        </w:tc>
      </w:tr>
      <w:tr w:rsidR="00E67914" w:rsidRPr="00E67914" w14:paraId="19F6219D" w14:textId="77777777" w:rsidTr="003512DC">
        <w:trPr>
          <w:trHeight w:val="269"/>
          <w:jc w:val="center"/>
        </w:trPr>
        <w:tc>
          <w:tcPr>
            <w:tcW w:w="356" w:type="pct"/>
            <w:vAlign w:val="center"/>
          </w:tcPr>
          <w:p w14:paraId="2C5B437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一</w:t>
            </w:r>
          </w:p>
        </w:tc>
        <w:tc>
          <w:tcPr>
            <w:tcW w:w="4644" w:type="pct"/>
            <w:gridSpan w:val="3"/>
            <w:vAlign w:val="center"/>
          </w:tcPr>
          <w:p w14:paraId="4437564A"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推进规划环境影响评价</w:t>
            </w:r>
          </w:p>
        </w:tc>
      </w:tr>
      <w:tr w:rsidR="00E67914" w:rsidRPr="00E67914" w14:paraId="6D6B55A5" w14:textId="77777777" w:rsidTr="003512DC">
        <w:trPr>
          <w:trHeight w:val="269"/>
          <w:jc w:val="center"/>
        </w:trPr>
        <w:tc>
          <w:tcPr>
            <w:tcW w:w="356" w:type="pct"/>
            <w:vAlign w:val="center"/>
          </w:tcPr>
          <w:p w14:paraId="1274378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1</w:t>
            </w:r>
            <w:r w:rsidRPr="00E67914">
              <w:rPr>
                <w:rFonts w:ascii="Times New Roman" w:hAnsi="Times New Roman"/>
                <w:sz w:val="21"/>
                <w:szCs w:val="21"/>
              </w:rPr>
              <w:t>）</w:t>
            </w:r>
          </w:p>
        </w:tc>
        <w:tc>
          <w:tcPr>
            <w:tcW w:w="2532" w:type="pct"/>
            <w:vAlign w:val="center"/>
          </w:tcPr>
          <w:p w14:paraId="0F826E44"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油气企业在编制内部相关油气开发专项规划时，鼓励同步编制规划环境影响报告书。</w:t>
            </w:r>
          </w:p>
        </w:tc>
        <w:tc>
          <w:tcPr>
            <w:tcW w:w="1586" w:type="pct"/>
            <w:vAlign w:val="center"/>
          </w:tcPr>
          <w:p w14:paraId="19CCD9BB"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未编制相油气开发专项规划环境影响报告书。</w:t>
            </w:r>
          </w:p>
        </w:tc>
        <w:tc>
          <w:tcPr>
            <w:tcW w:w="527" w:type="pct"/>
            <w:vAlign w:val="center"/>
          </w:tcPr>
          <w:p w14:paraId="62C9A928"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非强制性要求，不违背。</w:t>
            </w:r>
          </w:p>
        </w:tc>
      </w:tr>
      <w:tr w:rsidR="00E67914" w:rsidRPr="00E67914" w14:paraId="771FE7E4" w14:textId="77777777" w:rsidTr="003512DC">
        <w:trPr>
          <w:trHeight w:val="269"/>
          <w:jc w:val="center"/>
        </w:trPr>
        <w:tc>
          <w:tcPr>
            <w:tcW w:w="356" w:type="pct"/>
            <w:vAlign w:val="center"/>
          </w:tcPr>
          <w:p w14:paraId="49C18D4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二</w:t>
            </w:r>
          </w:p>
        </w:tc>
        <w:tc>
          <w:tcPr>
            <w:tcW w:w="4644" w:type="pct"/>
            <w:gridSpan w:val="3"/>
            <w:vAlign w:val="center"/>
          </w:tcPr>
          <w:p w14:paraId="2155E431"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深化项目环评</w:t>
            </w:r>
            <w:r w:rsidRPr="00E67914">
              <w:rPr>
                <w:rFonts w:ascii="Times New Roman" w:hAnsi="Times New Roman"/>
                <w:sz w:val="21"/>
                <w:szCs w:val="21"/>
                <w:lang w:eastAsia="zh-CN"/>
              </w:rPr>
              <w:t>“</w:t>
            </w:r>
            <w:r w:rsidRPr="00E67914">
              <w:rPr>
                <w:rFonts w:ascii="Times New Roman" w:hAnsi="Times New Roman"/>
                <w:sz w:val="21"/>
                <w:szCs w:val="21"/>
                <w:lang w:eastAsia="zh-CN"/>
              </w:rPr>
              <w:t>放管服</w:t>
            </w:r>
            <w:r w:rsidRPr="00E67914">
              <w:rPr>
                <w:rFonts w:ascii="Times New Roman" w:hAnsi="Times New Roman"/>
                <w:sz w:val="21"/>
                <w:szCs w:val="21"/>
                <w:lang w:eastAsia="zh-CN"/>
              </w:rPr>
              <w:t>”</w:t>
            </w:r>
            <w:r w:rsidRPr="00E67914">
              <w:rPr>
                <w:rFonts w:ascii="Times New Roman" w:hAnsi="Times New Roman"/>
                <w:sz w:val="21"/>
                <w:szCs w:val="21"/>
                <w:lang w:eastAsia="zh-CN"/>
              </w:rPr>
              <w:t>改革</w:t>
            </w:r>
          </w:p>
        </w:tc>
      </w:tr>
      <w:tr w:rsidR="00E67914" w:rsidRPr="00E67914" w14:paraId="60542C2D" w14:textId="77777777" w:rsidTr="003512DC">
        <w:trPr>
          <w:trHeight w:val="269"/>
          <w:jc w:val="center"/>
        </w:trPr>
        <w:tc>
          <w:tcPr>
            <w:tcW w:w="356" w:type="pct"/>
            <w:vAlign w:val="center"/>
          </w:tcPr>
          <w:p w14:paraId="1E10099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1</w:t>
            </w:r>
            <w:r w:rsidRPr="00E67914">
              <w:rPr>
                <w:rFonts w:ascii="Times New Roman" w:hAnsi="Times New Roman"/>
                <w:sz w:val="21"/>
                <w:szCs w:val="21"/>
              </w:rPr>
              <w:t>）</w:t>
            </w:r>
          </w:p>
        </w:tc>
        <w:tc>
          <w:tcPr>
            <w:tcW w:w="2532" w:type="pct"/>
            <w:vAlign w:val="center"/>
          </w:tcPr>
          <w:p w14:paraId="684CD81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开采项目（含新开发和滚动开发项目）原则上应当以区块为单位开展环评（以下简称区块环评），一般包括区块内拟建的新井、加密井、调整井、站场、设备、管道和电缆及其更换工程、弃置工程及配套工程等。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1586" w:type="pct"/>
            <w:vAlign w:val="center"/>
          </w:tcPr>
          <w:p w14:paraId="670BF72C" w14:textId="4BB947E0"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2007</w:t>
            </w:r>
            <w:r w:rsidRPr="00E67914">
              <w:rPr>
                <w:rFonts w:ascii="Times New Roman" w:hAnsi="Times New Roman"/>
                <w:sz w:val="21"/>
                <w:szCs w:val="21"/>
                <w:lang w:eastAsia="zh-CN"/>
              </w:rPr>
              <w:t>年，《中国石化普光气田开发及川气东送管道工程环境影响报告书》经原环保部审批，报告中已分析了普光气田主体区块相关内容。</w:t>
            </w:r>
            <w:r w:rsidRPr="00E67914">
              <w:rPr>
                <w:rFonts w:ascii="Times New Roman" w:hAnsi="Times New Roman"/>
                <w:sz w:val="21"/>
                <w:szCs w:val="21"/>
                <w:lang w:eastAsia="zh-CN"/>
              </w:rPr>
              <w:t>2018</w:t>
            </w:r>
            <w:r w:rsidRPr="00E67914">
              <w:rPr>
                <w:rFonts w:ascii="Times New Roman" w:hAnsi="Times New Roman"/>
                <w:sz w:val="21"/>
                <w:szCs w:val="21"/>
                <w:lang w:eastAsia="zh-CN"/>
              </w:rPr>
              <w:t>年</w:t>
            </w:r>
            <w:r w:rsidRPr="00E67914">
              <w:rPr>
                <w:rFonts w:ascii="Times New Roman" w:hAnsi="Times New Roman"/>
                <w:sz w:val="21"/>
                <w:szCs w:val="21"/>
                <w:lang w:eastAsia="zh-CN"/>
              </w:rPr>
              <w:t>6</w:t>
            </w:r>
            <w:r w:rsidRPr="00E67914">
              <w:rPr>
                <w:rFonts w:ascii="Times New Roman" w:hAnsi="Times New Roman"/>
                <w:sz w:val="21"/>
                <w:szCs w:val="21"/>
                <w:lang w:eastAsia="zh-CN"/>
              </w:rPr>
              <w:t>月，中原油田普光分公司组织开展了普光气田开发工程环境影响后评价，明确了普光气田主体区块的建设内容和建设进度，后评价报告在国家生态环境部进行备案，非含新开发和滚动开发项目。</w:t>
            </w:r>
            <w:r w:rsidR="00FD39E9" w:rsidRPr="00E67914">
              <w:rPr>
                <w:rFonts w:ascii="Times New Roman" w:hAnsi="Times New Roman"/>
                <w:sz w:val="21"/>
                <w:szCs w:val="21"/>
                <w:lang w:eastAsia="zh-CN"/>
              </w:rPr>
              <w:t>围绕普光东向斜普光</w:t>
            </w:r>
            <w:r w:rsidR="00FD39E9" w:rsidRPr="00E67914">
              <w:rPr>
                <w:rFonts w:ascii="Times New Roman" w:hAnsi="Times New Roman"/>
                <w:sz w:val="21"/>
                <w:szCs w:val="21"/>
                <w:lang w:eastAsia="zh-CN"/>
              </w:rPr>
              <w:t>12</w:t>
            </w:r>
            <w:r w:rsidR="00FD39E9" w:rsidRPr="00E67914">
              <w:rPr>
                <w:rFonts w:ascii="Times New Roman" w:hAnsi="Times New Roman"/>
                <w:sz w:val="21"/>
                <w:szCs w:val="21"/>
                <w:lang w:eastAsia="zh-CN"/>
              </w:rPr>
              <w:t>井区，采用</w:t>
            </w:r>
            <w:r w:rsidR="00FD39E9" w:rsidRPr="00E67914">
              <w:rPr>
                <w:rFonts w:ascii="Times New Roman" w:hAnsi="Times New Roman"/>
                <w:sz w:val="21"/>
                <w:szCs w:val="21"/>
                <w:lang w:eastAsia="zh-CN"/>
              </w:rPr>
              <w:t>“</w:t>
            </w:r>
            <w:r w:rsidR="00FD39E9" w:rsidRPr="00E67914">
              <w:rPr>
                <w:rFonts w:ascii="Times New Roman" w:hAnsi="Times New Roman"/>
                <w:sz w:val="21"/>
                <w:szCs w:val="21"/>
                <w:lang w:eastAsia="zh-CN"/>
              </w:rPr>
              <w:t>井工厂</w:t>
            </w:r>
            <w:r w:rsidR="00FD39E9" w:rsidRPr="00E67914">
              <w:rPr>
                <w:rFonts w:ascii="Times New Roman" w:hAnsi="Times New Roman"/>
                <w:sz w:val="21"/>
                <w:szCs w:val="21"/>
                <w:lang w:eastAsia="zh-CN"/>
              </w:rPr>
              <w:t>”</w:t>
            </w:r>
            <w:r w:rsidR="00FD39E9" w:rsidRPr="00E67914">
              <w:rPr>
                <w:rFonts w:ascii="Times New Roman" w:hAnsi="Times New Roman"/>
                <w:sz w:val="21"/>
                <w:szCs w:val="21"/>
                <w:lang w:eastAsia="zh-CN"/>
              </w:rPr>
              <w:t>开发模式部署先导试验井组，进一步落实气藏地质特征，明确产能主控因素、开发技术政策及</w:t>
            </w:r>
            <w:r w:rsidR="00FD39E9" w:rsidRPr="00E67914">
              <w:rPr>
                <w:rFonts w:ascii="Times New Roman" w:hAnsi="Times New Roman"/>
                <w:sz w:val="21"/>
                <w:szCs w:val="21"/>
                <w:lang w:eastAsia="zh-CN"/>
              </w:rPr>
              <w:t>“</w:t>
            </w:r>
            <w:r w:rsidR="00FD39E9" w:rsidRPr="00E67914">
              <w:rPr>
                <w:rFonts w:ascii="Times New Roman" w:hAnsi="Times New Roman"/>
                <w:sz w:val="21"/>
                <w:szCs w:val="21"/>
                <w:lang w:eastAsia="zh-CN"/>
              </w:rPr>
              <w:t>井工厂</w:t>
            </w:r>
            <w:r w:rsidR="00FD39E9" w:rsidRPr="00E67914">
              <w:rPr>
                <w:rFonts w:ascii="Times New Roman" w:hAnsi="Times New Roman"/>
                <w:sz w:val="21"/>
                <w:szCs w:val="21"/>
                <w:lang w:eastAsia="zh-CN"/>
              </w:rPr>
              <w:t>”</w:t>
            </w:r>
            <w:r w:rsidR="00FD39E9" w:rsidRPr="00E67914">
              <w:rPr>
                <w:rFonts w:ascii="Times New Roman" w:hAnsi="Times New Roman"/>
                <w:sz w:val="21"/>
                <w:szCs w:val="21"/>
                <w:lang w:eastAsia="zh-CN"/>
              </w:rPr>
              <w:t>模式效益开发可行性，为下一步整体开发效益建产奠定基础</w:t>
            </w:r>
            <w:r w:rsidRPr="00E67914">
              <w:rPr>
                <w:rFonts w:ascii="Times New Roman" w:hAnsi="Times New Roman"/>
                <w:sz w:val="21"/>
                <w:szCs w:val="21"/>
                <w:lang w:eastAsia="zh-CN"/>
              </w:rPr>
              <w:t>。同时普光气田其地质结构较为复杂，且目前对普光区块产能储量仍未探明，暂不具备区块开发条件。并且本次评价提出了有效的生态环境保护和环境风险防范措施。充分论证了施工期和试采期各污染物处置的可行性。</w:t>
            </w:r>
          </w:p>
        </w:tc>
        <w:tc>
          <w:tcPr>
            <w:tcW w:w="527" w:type="pct"/>
            <w:vAlign w:val="center"/>
          </w:tcPr>
          <w:p w14:paraId="511651F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2F912FB" w14:textId="77777777" w:rsidTr="003512DC">
        <w:trPr>
          <w:trHeight w:val="269"/>
          <w:jc w:val="center"/>
        </w:trPr>
        <w:tc>
          <w:tcPr>
            <w:tcW w:w="356" w:type="pct"/>
            <w:vAlign w:val="center"/>
          </w:tcPr>
          <w:p w14:paraId="182FAF5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三</w:t>
            </w:r>
          </w:p>
        </w:tc>
        <w:tc>
          <w:tcPr>
            <w:tcW w:w="4644" w:type="pct"/>
            <w:gridSpan w:val="3"/>
            <w:vAlign w:val="center"/>
          </w:tcPr>
          <w:p w14:paraId="7865584A"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强化生态环境保护措施</w:t>
            </w:r>
          </w:p>
        </w:tc>
      </w:tr>
      <w:tr w:rsidR="00E67914" w:rsidRPr="00E67914" w14:paraId="775D8E56" w14:textId="77777777" w:rsidTr="003512DC">
        <w:trPr>
          <w:trHeight w:val="269"/>
          <w:jc w:val="center"/>
        </w:trPr>
        <w:tc>
          <w:tcPr>
            <w:tcW w:w="356" w:type="pct"/>
            <w:vAlign w:val="center"/>
          </w:tcPr>
          <w:p w14:paraId="085A0A05" w14:textId="77777777" w:rsidR="003512DC" w:rsidRPr="00E67914" w:rsidRDefault="003512DC" w:rsidP="003512DC">
            <w:pPr>
              <w:jc w:val="center"/>
              <w:rPr>
                <w:rFonts w:ascii="Times New Roman" w:hAnsi="Times New Roman"/>
                <w:sz w:val="21"/>
                <w:szCs w:val="21"/>
              </w:rPr>
            </w:pPr>
            <w:r w:rsidRPr="00E67914">
              <w:rPr>
                <w:rFonts w:ascii="Times New Roman" w:hAnsi="Times New Roman"/>
                <w:sz w:val="21"/>
                <w:szCs w:val="21"/>
              </w:rPr>
              <w:lastRenderedPageBreak/>
              <w:t>（</w:t>
            </w:r>
            <w:r w:rsidRPr="00E67914">
              <w:rPr>
                <w:rFonts w:ascii="Times New Roman" w:hAnsi="Times New Roman"/>
                <w:sz w:val="21"/>
                <w:szCs w:val="21"/>
              </w:rPr>
              <w:t>1</w:t>
            </w:r>
            <w:r w:rsidRPr="00E67914">
              <w:rPr>
                <w:rFonts w:ascii="Times New Roman" w:hAnsi="Times New Roman"/>
                <w:sz w:val="21"/>
                <w:szCs w:val="21"/>
              </w:rPr>
              <w:t>）</w:t>
            </w:r>
          </w:p>
        </w:tc>
        <w:tc>
          <w:tcPr>
            <w:tcW w:w="2532" w:type="pct"/>
            <w:vAlign w:val="center"/>
          </w:tcPr>
          <w:p w14:paraId="013F0556" w14:textId="6F9B0C1B" w:rsidR="003512DC" w:rsidRPr="00E67914" w:rsidRDefault="003512DC" w:rsidP="003512DC">
            <w:pPr>
              <w:jc w:val="center"/>
              <w:rPr>
                <w:rFonts w:ascii="Times New Roman" w:hAnsi="Times New Roman"/>
                <w:sz w:val="21"/>
                <w:szCs w:val="21"/>
                <w:lang w:eastAsia="zh-CN"/>
              </w:rPr>
            </w:pPr>
            <w:r w:rsidRPr="00E67914">
              <w:rPr>
                <w:rFonts w:ascii="Times New Roman" w:hAnsi="Times New Roman"/>
                <w:sz w:val="21"/>
                <w:szCs w:val="21"/>
                <w:lang w:eastAsia="zh-CN"/>
              </w:rPr>
              <w:t>涉及向地表水体排放污染物的陆地油气开采项目，应当符合国家和地方污染物排放标准，满足重点污染物排放总量控制要求。</w:t>
            </w:r>
          </w:p>
        </w:tc>
        <w:tc>
          <w:tcPr>
            <w:tcW w:w="1586" w:type="pct"/>
            <w:vAlign w:val="center"/>
          </w:tcPr>
          <w:p w14:paraId="69BC6B76" w14:textId="0376FA16" w:rsidR="003512DC" w:rsidRPr="00E67914" w:rsidRDefault="003512DC" w:rsidP="003512DC">
            <w:pPr>
              <w:jc w:val="center"/>
              <w:rPr>
                <w:rFonts w:ascii="Times New Roman" w:hAnsi="Times New Roman"/>
                <w:sz w:val="21"/>
                <w:szCs w:val="21"/>
                <w:lang w:eastAsia="zh-CN"/>
              </w:rPr>
            </w:pPr>
            <w:r w:rsidRPr="00E67914">
              <w:rPr>
                <w:rFonts w:ascii="Times New Roman" w:hAnsi="Times New Roman"/>
                <w:sz w:val="21"/>
                <w:szCs w:val="21"/>
                <w:lang w:eastAsia="zh-CN"/>
              </w:rPr>
              <w:t>本项目涉及施工期和试采期生产废水均回注处理，生活污水外运处置，无废水外排。</w:t>
            </w:r>
          </w:p>
        </w:tc>
        <w:tc>
          <w:tcPr>
            <w:tcW w:w="527" w:type="pct"/>
            <w:vAlign w:val="center"/>
          </w:tcPr>
          <w:p w14:paraId="7C73890C" w14:textId="77777777" w:rsidR="003512DC" w:rsidRPr="00E67914" w:rsidRDefault="003512DC" w:rsidP="003512DC">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FE08A9E" w14:textId="77777777" w:rsidTr="003512DC">
        <w:trPr>
          <w:trHeight w:val="269"/>
          <w:jc w:val="center"/>
        </w:trPr>
        <w:tc>
          <w:tcPr>
            <w:tcW w:w="356" w:type="pct"/>
            <w:vAlign w:val="center"/>
          </w:tcPr>
          <w:p w14:paraId="5B2A788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2</w:t>
            </w:r>
            <w:r w:rsidRPr="00E67914">
              <w:rPr>
                <w:rFonts w:ascii="Times New Roman" w:hAnsi="Times New Roman"/>
                <w:sz w:val="21"/>
                <w:szCs w:val="21"/>
              </w:rPr>
              <w:t>）</w:t>
            </w:r>
          </w:p>
        </w:tc>
        <w:tc>
          <w:tcPr>
            <w:tcW w:w="2532" w:type="pct"/>
            <w:vAlign w:val="center"/>
          </w:tcPr>
          <w:p w14:paraId="075F5DB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w:t>
            </w:r>
            <w:r w:rsidRPr="00E67914">
              <w:rPr>
                <w:rFonts w:ascii="Times New Roman" w:hAnsi="Times New Roman"/>
                <w:sz w:val="21"/>
                <w:szCs w:val="21"/>
                <w:lang w:eastAsia="zh-CN"/>
              </w:rPr>
              <w:t>SY/T5329</w:t>
            </w:r>
            <w:r w:rsidRPr="00E67914">
              <w:rPr>
                <w:rFonts w:ascii="Times New Roman" w:hAnsi="Times New Roman"/>
                <w:sz w:val="21"/>
                <w:szCs w:val="21"/>
                <w:lang w:eastAsia="zh-CN"/>
              </w:rPr>
              <w:t>）等相关标准要求后回注，同步采取切实可行措施防治污染。回注目的层应当为地质构造封闭地层，一般应当回注到现役油气藏或枯竭废弃油气藏。</w:t>
            </w:r>
          </w:p>
        </w:tc>
        <w:tc>
          <w:tcPr>
            <w:tcW w:w="1586" w:type="pct"/>
            <w:vAlign w:val="center"/>
          </w:tcPr>
          <w:p w14:paraId="709AFA90" w14:textId="7541AB61"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本项目属于天然气钻井及试采工程。钻井废水暂存于清洁生产操作平台的废水罐内，</w:t>
            </w:r>
            <w:r w:rsidR="006956BC" w:rsidRPr="00E67914">
              <w:rPr>
                <w:rFonts w:ascii="Times New Roman" w:hAnsi="Times New Roman"/>
                <w:sz w:val="21"/>
                <w:szCs w:val="21"/>
                <w:lang w:eastAsia="zh-CN"/>
              </w:rPr>
              <w:t>定期</w:t>
            </w:r>
            <w:r w:rsidRPr="00E67914">
              <w:rPr>
                <w:rFonts w:ascii="Times New Roman" w:hAnsi="Times New Roman"/>
                <w:sz w:val="21"/>
                <w:szCs w:val="21"/>
                <w:lang w:eastAsia="zh-CN"/>
              </w:rPr>
              <w:t>装车拉运至普光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井回注站回注；压裂废水和洗井废水暂存于放喷池，装车拉运至赵家坝污水处理站达标后管输至普光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井回注站回注。赵家坝污水处理站和普光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井回注站已取得环评批复，并已开展竣工环保验收。</w:t>
            </w:r>
          </w:p>
        </w:tc>
        <w:tc>
          <w:tcPr>
            <w:tcW w:w="527" w:type="pct"/>
            <w:vAlign w:val="center"/>
          </w:tcPr>
          <w:p w14:paraId="048B524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4BD8A415" w14:textId="77777777" w:rsidTr="003512DC">
        <w:trPr>
          <w:trHeight w:val="269"/>
          <w:jc w:val="center"/>
        </w:trPr>
        <w:tc>
          <w:tcPr>
            <w:tcW w:w="356" w:type="pct"/>
            <w:vAlign w:val="center"/>
          </w:tcPr>
          <w:p w14:paraId="1432AFE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3</w:t>
            </w:r>
            <w:r w:rsidRPr="00E67914">
              <w:rPr>
                <w:rFonts w:ascii="Times New Roman" w:hAnsi="Times New Roman"/>
                <w:sz w:val="21"/>
                <w:szCs w:val="21"/>
              </w:rPr>
              <w:t>）</w:t>
            </w:r>
          </w:p>
        </w:tc>
        <w:tc>
          <w:tcPr>
            <w:tcW w:w="2532" w:type="pct"/>
            <w:vAlign w:val="center"/>
          </w:tcPr>
          <w:p w14:paraId="77932F52"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开采产生的废弃油基泥浆、含油钻屑及其他固体废物，应当遵循减量化、资源化、无害化原则，按照国家和地方有关固体废物的管理规定进行处置。鼓励企业自建含油污泥集中式处理和综合利用设施，提高废弃油基泥浆和含油钻屑及其处理产物的综合利用率。油气开采项目产生的危险废物，应当按照《建设项目危险废物环境影响评价指南》要求评价。</w:t>
            </w:r>
          </w:p>
        </w:tc>
        <w:tc>
          <w:tcPr>
            <w:tcW w:w="1586" w:type="pct"/>
            <w:vAlign w:val="center"/>
          </w:tcPr>
          <w:p w14:paraId="648B4709" w14:textId="2BE48416"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本项目三开采用油基钻井</w:t>
            </w:r>
            <w:r w:rsidR="00067E4D" w:rsidRPr="00E67914">
              <w:rPr>
                <w:rFonts w:ascii="Times New Roman" w:hAnsi="Times New Roman"/>
                <w:sz w:val="21"/>
                <w:szCs w:val="21"/>
                <w:lang w:eastAsia="zh-CN"/>
              </w:rPr>
              <w:t>液</w:t>
            </w:r>
            <w:r w:rsidRPr="00E67914">
              <w:rPr>
                <w:rFonts w:ascii="Times New Roman" w:hAnsi="Times New Roman"/>
                <w:sz w:val="21"/>
                <w:szCs w:val="21"/>
                <w:lang w:eastAsia="zh-CN"/>
              </w:rPr>
              <w:t>，产生的废弃油基泥浆、含油钻屑及其他固体废物，遵循了减量化、资源化、无害化原则，并按照国家和地方有关固体废物的管理规定交由资质单位处置，本次评价已按照《建设项目危险废物环境影响评价指南》要求进行了评价。</w:t>
            </w:r>
          </w:p>
        </w:tc>
        <w:tc>
          <w:tcPr>
            <w:tcW w:w="527" w:type="pct"/>
            <w:vAlign w:val="center"/>
          </w:tcPr>
          <w:p w14:paraId="4E3113F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5549C615" w14:textId="77777777" w:rsidTr="003512DC">
        <w:trPr>
          <w:trHeight w:val="269"/>
          <w:jc w:val="center"/>
        </w:trPr>
        <w:tc>
          <w:tcPr>
            <w:tcW w:w="356" w:type="pct"/>
            <w:vAlign w:val="center"/>
          </w:tcPr>
          <w:p w14:paraId="511B84E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4</w:t>
            </w:r>
            <w:r w:rsidRPr="00E67914">
              <w:rPr>
                <w:rFonts w:ascii="Times New Roman" w:hAnsi="Times New Roman"/>
                <w:sz w:val="21"/>
                <w:szCs w:val="21"/>
              </w:rPr>
              <w:t>）</w:t>
            </w:r>
          </w:p>
        </w:tc>
        <w:tc>
          <w:tcPr>
            <w:tcW w:w="2532" w:type="pct"/>
            <w:vAlign w:val="center"/>
          </w:tcPr>
          <w:p w14:paraId="27C78D5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1586" w:type="pct"/>
            <w:vAlign w:val="center"/>
          </w:tcPr>
          <w:p w14:paraId="2D86AF4E" w14:textId="4E6D6A3E"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本项目废水等污染物均为罐装，天然气均密闭输送</w:t>
            </w:r>
            <w:r w:rsidR="00E107C4" w:rsidRPr="00E67914">
              <w:rPr>
                <w:rFonts w:ascii="Times New Roman" w:hAnsi="Times New Roman"/>
                <w:sz w:val="21"/>
                <w:szCs w:val="21"/>
                <w:lang w:eastAsia="zh-CN"/>
              </w:rPr>
              <w:t>，对挥发性的凝析油采用专用油罐进行储存，有效降低挥发性有机物无组织排放量</w:t>
            </w:r>
            <w:r w:rsidRPr="00E67914">
              <w:rPr>
                <w:rFonts w:ascii="Times New Roman" w:hAnsi="Times New Roman"/>
                <w:sz w:val="21"/>
                <w:szCs w:val="21"/>
                <w:lang w:eastAsia="zh-CN"/>
              </w:rPr>
              <w:t>。不涉及天然气净化。强化了钻井、输送等环节环境风险防范措施。</w:t>
            </w:r>
            <w:r w:rsidR="00193429" w:rsidRPr="00E67914">
              <w:rPr>
                <w:rFonts w:ascii="Times New Roman" w:hAnsi="Times New Roman"/>
                <w:sz w:val="21"/>
                <w:szCs w:val="21"/>
                <w:lang w:eastAsia="zh-CN"/>
              </w:rPr>
              <w:t>普陆页</w:t>
            </w:r>
            <w:r w:rsidR="00193429" w:rsidRPr="00E67914">
              <w:rPr>
                <w:rFonts w:ascii="Times New Roman" w:hAnsi="Times New Roman"/>
                <w:sz w:val="21"/>
                <w:szCs w:val="21"/>
                <w:lang w:eastAsia="zh-CN"/>
              </w:rPr>
              <w:t>2</w:t>
            </w:r>
            <w:r w:rsidR="00193429" w:rsidRPr="00E67914">
              <w:rPr>
                <w:rFonts w:ascii="Times New Roman" w:hAnsi="Times New Roman"/>
                <w:sz w:val="21"/>
                <w:szCs w:val="21"/>
                <w:lang w:eastAsia="zh-CN"/>
              </w:rPr>
              <w:t>试采站</w:t>
            </w:r>
            <w:r w:rsidRPr="00E67914">
              <w:rPr>
                <w:rFonts w:ascii="Times New Roman" w:hAnsi="Times New Roman"/>
                <w:sz w:val="21"/>
                <w:szCs w:val="21"/>
                <w:lang w:eastAsia="zh-CN"/>
              </w:rPr>
              <w:t>加热炉采用的燃料气为</w:t>
            </w:r>
            <w:r w:rsidR="00E107C4" w:rsidRPr="00E67914">
              <w:rPr>
                <w:rFonts w:ascii="Times New Roman" w:hAnsi="Times New Roman"/>
                <w:sz w:val="21"/>
                <w:szCs w:val="21"/>
                <w:lang w:eastAsia="zh-CN"/>
              </w:rPr>
              <w:t>净化后的返输天然气</w:t>
            </w:r>
            <w:r w:rsidRPr="00E67914">
              <w:rPr>
                <w:rFonts w:ascii="Times New Roman" w:hAnsi="Times New Roman"/>
                <w:sz w:val="21"/>
                <w:szCs w:val="21"/>
                <w:lang w:eastAsia="zh-CN"/>
              </w:rPr>
              <w:t>，不</w:t>
            </w:r>
            <w:r w:rsidR="00170C89" w:rsidRPr="00E67914">
              <w:rPr>
                <w:rFonts w:ascii="Times New Roman" w:hAnsi="Times New Roman"/>
                <w:sz w:val="21"/>
                <w:szCs w:val="21"/>
                <w:lang w:eastAsia="zh-CN"/>
              </w:rPr>
              <w:t>（低）</w:t>
            </w:r>
            <w:r w:rsidRPr="00E67914">
              <w:rPr>
                <w:rFonts w:ascii="Times New Roman" w:hAnsi="Times New Roman"/>
                <w:sz w:val="21"/>
                <w:szCs w:val="21"/>
                <w:lang w:eastAsia="zh-CN"/>
              </w:rPr>
              <w:t>含硫化氢，满足国家大气污染物排放标准。</w:t>
            </w:r>
          </w:p>
        </w:tc>
        <w:tc>
          <w:tcPr>
            <w:tcW w:w="527" w:type="pct"/>
            <w:vAlign w:val="center"/>
          </w:tcPr>
          <w:p w14:paraId="2300159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23C161C9" w14:textId="77777777" w:rsidTr="003512DC">
        <w:trPr>
          <w:trHeight w:val="269"/>
          <w:jc w:val="center"/>
        </w:trPr>
        <w:tc>
          <w:tcPr>
            <w:tcW w:w="356" w:type="pct"/>
            <w:vAlign w:val="center"/>
          </w:tcPr>
          <w:p w14:paraId="0A40E74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5</w:t>
            </w:r>
            <w:r w:rsidRPr="00E67914">
              <w:rPr>
                <w:rFonts w:ascii="Times New Roman" w:hAnsi="Times New Roman"/>
                <w:sz w:val="21"/>
                <w:szCs w:val="21"/>
              </w:rPr>
              <w:t>）</w:t>
            </w:r>
          </w:p>
        </w:tc>
        <w:tc>
          <w:tcPr>
            <w:tcW w:w="2532" w:type="pct"/>
            <w:vAlign w:val="center"/>
          </w:tcPr>
          <w:p w14:paraId="76F450F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w:t>
            </w:r>
            <w:r w:rsidRPr="00E67914">
              <w:rPr>
                <w:rFonts w:ascii="Times New Roman" w:hAnsi="Times New Roman"/>
                <w:sz w:val="21"/>
                <w:szCs w:val="21"/>
                <w:lang w:eastAsia="zh-CN"/>
              </w:rPr>
              <w:lastRenderedPageBreak/>
              <w:t>后，应当及时落实环评提出的生态</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保护措施。</w:t>
            </w:r>
          </w:p>
        </w:tc>
        <w:tc>
          <w:tcPr>
            <w:tcW w:w="1586" w:type="pct"/>
            <w:vAlign w:val="center"/>
          </w:tcPr>
          <w:p w14:paraId="15D4432C" w14:textId="77777777"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lastRenderedPageBreak/>
              <w:t>项目按标准化井场进行建设，试采井站在原钻井平台占地范围内实施。本次评价已提出施工结束后，应当及时落实生态保护措施。</w:t>
            </w:r>
          </w:p>
        </w:tc>
        <w:tc>
          <w:tcPr>
            <w:tcW w:w="527" w:type="pct"/>
            <w:vAlign w:val="center"/>
          </w:tcPr>
          <w:p w14:paraId="0B219E4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18DFBD1F" w14:textId="77777777" w:rsidTr="003512DC">
        <w:trPr>
          <w:trHeight w:val="269"/>
          <w:jc w:val="center"/>
        </w:trPr>
        <w:tc>
          <w:tcPr>
            <w:tcW w:w="356" w:type="pct"/>
            <w:vAlign w:val="center"/>
          </w:tcPr>
          <w:p w14:paraId="4CD10FA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6</w:t>
            </w:r>
            <w:r w:rsidRPr="00E67914">
              <w:rPr>
                <w:rFonts w:ascii="Times New Roman" w:hAnsi="Times New Roman"/>
                <w:sz w:val="21"/>
                <w:szCs w:val="21"/>
              </w:rPr>
              <w:t>）</w:t>
            </w:r>
          </w:p>
        </w:tc>
        <w:tc>
          <w:tcPr>
            <w:tcW w:w="2532" w:type="pct"/>
            <w:vAlign w:val="center"/>
          </w:tcPr>
          <w:p w14:paraId="0B520C8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陆地油气长输管道项目，原则上应当单独编制环评文件。</w:t>
            </w:r>
          </w:p>
        </w:tc>
        <w:tc>
          <w:tcPr>
            <w:tcW w:w="1586" w:type="pct"/>
            <w:vAlign w:val="center"/>
          </w:tcPr>
          <w:p w14:paraId="65B84E5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本项目不涉及油气长输管道。</w:t>
            </w:r>
          </w:p>
        </w:tc>
        <w:tc>
          <w:tcPr>
            <w:tcW w:w="527" w:type="pct"/>
            <w:vAlign w:val="center"/>
          </w:tcPr>
          <w:p w14:paraId="6AA3617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29D2E6A4" w14:textId="77777777" w:rsidTr="003512DC">
        <w:trPr>
          <w:trHeight w:val="269"/>
          <w:jc w:val="center"/>
        </w:trPr>
        <w:tc>
          <w:tcPr>
            <w:tcW w:w="356" w:type="pct"/>
            <w:vAlign w:val="center"/>
          </w:tcPr>
          <w:p w14:paraId="5A67176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7</w:t>
            </w:r>
            <w:r w:rsidRPr="00E67914">
              <w:rPr>
                <w:rFonts w:ascii="Times New Roman" w:hAnsi="Times New Roman"/>
                <w:sz w:val="21"/>
                <w:szCs w:val="21"/>
              </w:rPr>
              <w:t>）</w:t>
            </w:r>
          </w:p>
        </w:tc>
        <w:tc>
          <w:tcPr>
            <w:tcW w:w="2532" w:type="pct"/>
            <w:vAlign w:val="center"/>
          </w:tcPr>
          <w:p w14:paraId="3FF93BF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储存项目，选址尽量远离环境敏感区。加强甲烷及挥发性有机物的泄漏检测，落实地下水污染防治和跟踪监测要求，采取有效措施做好环境风险防范与环境应急管理；盐穴储气库项目还应当严格落实采卤造腔期和管道施工期的生态环境保护措施，妥善处理采出水。</w:t>
            </w:r>
          </w:p>
        </w:tc>
        <w:tc>
          <w:tcPr>
            <w:tcW w:w="1586" w:type="pct"/>
            <w:vAlign w:val="center"/>
          </w:tcPr>
          <w:p w14:paraId="577DFDAB" w14:textId="1123FF29"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本项目不涉及</w:t>
            </w:r>
            <w:r w:rsidR="00E107C4" w:rsidRPr="00E67914">
              <w:rPr>
                <w:rFonts w:ascii="Times New Roman" w:eastAsia="宋体" w:cs="Times New Roman"/>
                <w:color w:val="auto"/>
                <w:sz w:val="21"/>
                <w:szCs w:val="21"/>
              </w:rPr>
              <w:t>环境敏感区，不属于油气储存项目</w:t>
            </w:r>
            <w:r w:rsidRPr="00E67914">
              <w:rPr>
                <w:rFonts w:ascii="Times New Roman" w:eastAsia="宋体" w:cs="Times New Roman"/>
                <w:color w:val="auto"/>
                <w:sz w:val="21"/>
                <w:szCs w:val="21"/>
              </w:rPr>
              <w:t>。本项目进行了非甲烷总烃监测，同时站场内设置了可燃气体报警仪、硫化氢气体检测仪、硫化氢气体报警仪。本次评价落实了地下水污染防治和跟踪监测要求。</w:t>
            </w:r>
          </w:p>
        </w:tc>
        <w:tc>
          <w:tcPr>
            <w:tcW w:w="527" w:type="pct"/>
            <w:vAlign w:val="center"/>
          </w:tcPr>
          <w:p w14:paraId="177976E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1BB8E322" w14:textId="77777777" w:rsidTr="003512DC">
        <w:trPr>
          <w:trHeight w:val="269"/>
          <w:jc w:val="center"/>
        </w:trPr>
        <w:tc>
          <w:tcPr>
            <w:tcW w:w="356" w:type="pct"/>
            <w:vAlign w:val="center"/>
          </w:tcPr>
          <w:p w14:paraId="1AE6E4F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8</w:t>
            </w:r>
            <w:r w:rsidRPr="00E67914">
              <w:rPr>
                <w:rFonts w:ascii="Times New Roman" w:hAnsi="Times New Roman"/>
                <w:sz w:val="21"/>
                <w:szCs w:val="21"/>
              </w:rPr>
              <w:t>）</w:t>
            </w:r>
          </w:p>
        </w:tc>
        <w:tc>
          <w:tcPr>
            <w:tcW w:w="2532" w:type="pct"/>
            <w:vAlign w:val="center"/>
          </w:tcPr>
          <w:p w14:paraId="26E9B05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油气企业应当加强风险防控，按规定编制突发环境事件应急预案，报所在地生态环境主管部门备案。海洋油气勘探开发溢油应急计划报相关海域生态环境监督管理局备案。</w:t>
            </w:r>
          </w:p>
        </w:tc>
        <w:tc>
          <w:tcPr>
            <w:tcW w:w="1586" w:type="pct"/>
            <w:vAlign w:val="center"/>
          </w:tcPr>
          <w:p w14:paraId="6E1EDBAF" w14:textId="76D8F0F5"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建设单位</w:t>
            </w:r>
            <w:r w:rsidR="00777D57" w:rsidRPr="00E67914">
              <w:rPr>
                <w:rFonts w:ascii="Times New Roman" w:eastAsia="宋体" w:cs="Times New Roman"/>
                <w:color w:val="auto"/>
                <w:sz w:val="21"/>
                <w:szCs w:val="21"/>
              </w:rPr>
              <w:t>严格按照要求</w:t>
            </w:r>
            <w:r w:rsidRPr="00E67914">
              <w:rPr>
                <w:rFonts w:ascii="Times New Roman" w:eastAsia="宋体" w:cs="Times New Roman"/>
                <w:color w:val="auto"/>
                <w:sz w:val="21"/>
                <w:szCs w:val="21"/>
              </w:rPr>
              <w:t>制定突发环境事件应急预案</w:t>
            </w:r>
            <w:r w:rsidR="00777D57" w:rsidRPr="00E67914">
              <w:rPr>
                <w:rFonts w:ascii="Times New Roman" w:eastAsia="宋体" w:cs="Times New Roman"/>
                <w:color w:val="auto"/>
                <w:sz w:val="21"/>
                <w:szCs w:val="21"/>
              </w:rPr>
              <w:t>并</w:t>
            </w:r>
            <w:r w:rsidRPr="00E67914">
              <w:rPr>
                <w:rFonts w:ascii="Times New Roman" w:eastAsia="宋体" w:cs="Times New Roman"/>
                <w:color w:val="auto"/>
                <w:sz w:val="21"/>
                <w:szCs w:val="21"/>
              </w:rPr>
              <w:t>报所在地生态环境主管部门备案。</w:t>
            </w:r>
          </w:p>
        </w:tc>
        <w:tc>
          <w:tcPr>
            <w:tcW w:w="527" w:type="pct"/>
            <w:vAlign w:val="center"/>
          </w:tcPr>
          <w:p w14:paraId="6C733B5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bl>
    <w:p w14:paraId="1EEE5783"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综上所述，本项目符合《关于进一步加强石油天然气行业环境影响评价管理的通知》（环办环评函〔</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910</w:t>
      </w:r>
      <w:r w:rsidRPr="00E67914">
        <w:rPr>
          <w:rFonts w:ascii="Times New Roman" w:hAnsi="Times New Roman"/>
          <w:bCs/>
          <w:kern w:val="2"/>
          <w:sz w:val="24"/>
          <w:szCs w:val="24"/>
          <w:lang w:eastAsia="zh-CN"/>
        </w:rPr>
        <w:t>号）的相关要求。</w:t>
      </w:r>
    </w:p>
    <w:p w14:paraId="389FECFF"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4</w:t>
      </w:r>
      <w:r w:rsidRPr="00E67914">
        <w:rPr>
          <w:rFonts w:ascii="Times New Roman" w:eastAsia="黑体" w:hAnsi="Times New Roman"/>
          <w:bCs/>
          <w:kern w:val="2"/>
          <w:sz w:val="24"/>
          <w:szCs w:val="24"/>
          <w:lang w:eastAsia="zh-CN"/>
        </w:rPr>
        <w:t>、与其他环保政策及规定的符合性分析</w:t>
      </w:r>
    </w:p>
    <w:p w14:paraId="6A53B326" w14:textId="6787CE08" w:rsidR="00A54A8A" w:rsidRPr="00E67914" w:rsidRDefault="00000000">
      <w:pPr>
        <w:widowControl w:val="0"/>
        <w:tabs>
          <w:tab w:val="left" w:pos="0"/>
        </w:tabs>
        <w:spacing w:line="360" w:lineRule="auto"/>
        <w:ind w:firstLineChars="200" w:firstLine="480"/>
        <w:jc w:val="both"/>
        <w:rPr>
          <w:rFonts w:ascii="Times New Roman" w:hAnsi="Times New Roman"/>
          <w:lang w:eastAsia="zh-CN"/>
        </w:rPr>
      </w:pPr>
      <w:r w:rsidRPr="00E67914">
        <w:rPr>
          <w:rFonts w:ascii="Times New Roman" w:hAnsi="Times New Roman"/>
          <w:bCs/>
          <w:kern w:val="2"/>
          <w:sz w:val="24"/>
          <w:szCs w:val="24"/>
          <w:lang w:eastAsia="zh-CN"/>
        </w:rPr>
        <w:t>本项目涉及行业和地方的一些油气开发和环境保护政策，包括《关于贯彻实施国家主体功能区环境政策的若干意见》（环发〔</w:t>
      </w:r>
      <w:r w:rsidRPr="00E67914">
        <w:rPr>
          <w:rFonts w:ascii="Times New Roman" w:hAnsi="Times New Roman"/>
          <w:bCs/>
          <w:kern w:val="2"/>
          <w:sz w:val="24"/>
          <w:szCs w:val="24"/>
          <w:lang w:eastAsia="zh-CN"/>
        </w:rPr>
        <w:t>2015</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92</w:t>
      </w:r>
      <w:r w:rsidRPr="00E67914">
        <w:rPr>
          <w:rFonts w:ascii="Times New Roman" w:hAnsi="Times New Roman"/>
          <w:bCs/>
          <w:kern w:val="2"/>
          <w:sz w:val="24"/>
          <w:szCs w:val="24"/>
          <w:lang w:eastAsia="zh-CN"/>
        </w:rPr>
        <w:t>号）、《大气污染防治行动计划》（国发〔</w:t>
      </w:r>
      <w:r w:rsidRPr="00E67914">
        <w:rPr>
          <w:rFonts w:ascii="Times New Roman" w:hAnsi="Times New Roman"/>
          <w:bCs/>
          <w:kern w:val="2"/>
          <w:sz w:val="24"/>
          <w:szCs w:val="24"/>
          <w:lang w:eastAsia="zh-CN"/>
        </w:rPr>
        <w:t>2013</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37</w:t>
      </w:r>
      <w:r w:rsidRPr="00E67914">
        <w:rPr>
          <w:rFonts w:ascii="Times New Roman" w:hAnsi="Times New Roman"/>
          <w:bCs/>
          <w:kern w:val="2"/>
          <w:sz w:val="24"/>
          <w:szCs w:val="24"/>
          <w:lang w:eastAsia="zh-CN"/>
        </w:rPr>
        <w:t>号）、《水污染防治行动计划》等，与其相关内容符合性分析如下。</w:t>
      </w:r>
    </w:p>
    <w:p w14:paraId="280CA1B5"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2.7-3  </w:t>
      </w:r>
      <w:r w:rsidRPr="00E67914">
        <w:rPr>
          <w:rFonts w:ascii="Times New Roman" w:eastAsia="黑体" w:hAnsi="Times New Roman"/>
          <w:sz w:val="21"/>
          <w:szCs w:val="21"/>
          <w:lang w:eastAsia="zh-CN"/>
        </w:rPr>
        <w:t>与其他环保政策符合性分析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71"/>
        <w:gridCol w:w="3758"/>
        <w:gridCol w:w="3001"/>
        <w:gridCol w:w="866"/>
      </w:tblGrid>
      <w:tr w:rsidR="00E67914" w:rsidRPr="00E67914" w14:paraId="16216BF5" w14:textId="77777777">
        <w:trPr>
          <w:cantSplit/>
          <w:jc w:val="center"/>
        </w:trPr>
        <w:tc>
          <w:tcPr>
            <w:tcW w:w="404" w:type="pct"/>
            <w:tcMar>
              <w:left w:w="57" w:type="dxa"/>
              <w:right w:w="57" w:type="dxa"/>
            </w:tcMar>
            <w:vAlign w:val="center"/>
          </w:tcPr>
          <w:p w14:paraId="07A45B9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序号</w:t>
            </w:r>
          </w:p>
        </w:tc>
        <w:tc>
          <w:tcPr>
            <w:tcW w:w="2265" w:type="pct"/>
            <w:tcMar>
              <w:left w:w="57" w:type="dxa"/>
              <w:right w:w="57" w:type="dxa"/>
            </w:tcMar>
            <w:vAlign w:val="center"/>
          </w:tcPr>
          <w:p w14:paraId="475BA573"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规划名称与规划内容</w:t>
            </w:r>
          </w:p>
        </w:tc>
        <w:tc>
          <w:tcPr>
            <w:tcW w:w="1809" w:type="pct"/>
            <w:tcMar>
              <w:left w:w="57" w:type="dxa"/>
              <w:right w:w="57" w:type="dxa"/>
            </w:tcMar>
            <w:vAlign w:val="center"/>
          </w:tcPr>
          <w:p w14:paraId="21E6F99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本项目情况</w:t>
            </w:r>
          </w:p>
        </w:tc>
        <w:tc>
          <w:tcPr>
            <w:tcW w:w="522" w:type="pct"/>
            <w:tcMar>
              <w:left w:w="57" w:type="dxa"/>
              <w:right w:w="57" w:type="dxa"/>
            </w:tcMar>
            <w:vAlign w:val="center"/>
          </w:tcPr>
          <w:p w14:paraId="3501839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符合性</w:t>
            </w:r>
          </w:p>
        </w:tc>
      </w:tr>
      <w:tr w:rsidR="00E67914" w:rsidRPr="00E67914" w14:paraId="4A967C92" w14:textId="77777777">
        <w:trPr>
          <w:cantSplit/>
          <w:jc w:val="center"/>
        </w:trPr>
        <w:tc>
          <w:tcPr>
            <w:tcW w:w="404" w:type="pct"/>
            <w:tcMar>
              <w:left w:w="57" w:type="dxa"/>
              <w:right w:w="57" w:type="dxa"/>
            </w:tcMar>
            <w:vAlign w:val="center"/>
          </w:tcPr>
          <w:p w14:paraId="1B374968"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w:t>
            </w:r>
          </w:p>
        </w:tc>
        <w:tc>
          <w:tcPr>
            <w:tcW w:w="2265" w:type="pct"/>
            <w:tcMar>
              <w:left w:w="57" w:type="dxa"/>
              <w:right w:w="57" w:type="dxa"/>
            </w:tcMar>
            <w:vAlign w:val="center"/>
          </w:tcPr>
          <w:p w14:paraId="3307E57C" w14:textId="77777777" w:rsidR="00A54A8A" w:rsidRPr="00E67914" w:rsidRDefault="00000000">
            <w:pPr>
              <w:adjustRightInd w:val="0"/>
              <w:snapToGrid w:val="0"/>
              <w:rPr>
                <w:rFonts w:ascii="Times New Roman" w:hAnsi="Times New Roman"/>
                <w:b/>
                <w:bCs/>
                <w:sz w:val="21"/>
                <w:szCs w:val="21"/>
                <w:lang w:eastAsia="zh-CN"/>
              </w:rPr>
            </w:pPr>
            <w:r w:rsidRPr="00E67914">
              <w:rPr>
                <w:rFonts w:ascii="Times New Roman" w:hAnsi="Times New Roman"/>
                <w:b/>
                <w:bCs/>
                <w:sz w:val="21"/>
                <w:szCs w:val="21"/>
                <w:lang w:eastAsia="zh-CN"/>
              </w:rPr>
              <w:t>《关于贯彻实施国家主体功能区环境政策的若干意见环发》〔</w:t>
            </w:r>
            <w:r w:rsidRPr="00E67914">
              <w:rPr>
                <w:rFonts w:ascii="Times New Roman" w:hAnsi="Times New Roman"/>
                <w:b/>
                <w:bCs/>
                <w:sz w:val="21"/>
                <w:szCs w:val="21"/>
                <w:lang w:eastAsia="zh-CN"/>
              </w:rPr>
              <w:t>2015</w:t>
            </w:r>
            <w:r w:rsidRPr="00E67914">
              <w:rPr>
                <w:rFonts w:ascii="Times New Roman" w:hAnsi="Times New Roman"/>
                <w:b/>
                <w:bCs/>
                <w:sz w:val="21"/>
                <w:szCs w:val="21"/>
                <w:lang w:eastAsia="zh-CN"/>
              </w:rPr>
              <w:t>〕</w:t>
            </w:r>
            <w:r w:rsidRPr="00E67914">
              <w:rPr>
                <w:rFonts w:ascii="Times New Roman" w:hAnsi="Times New Roman"/>
                <w:b/>
                <w:bCs/>
                <w:sz w:val="21"/>
                <w:szCs w:val="21"/>
                <w:lang w:eastAsia="zh-CN"/>
              </w:rPr>
              <w:t>92</w:t>
            </w:r>
            <w:r w:rsidRPr="00E67914">
              <w:rPr>
                <w:rFonts w:ascii="Times New Roman" w:hAnsi="Times New Roman"/>
                <w:b/>
                <w:bCs/>
                <w:sz w:val="21"/>
                <w:szCs w:val="21"/>
                <w:lang w:eastAsia="zh-CN"/>
              </w:rPr>
              <w:t>号</w:t>
            </w:r>
          </w:p>
          <w:p w14:paraId="50FBA38F"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重点开发区域环境政策：成渝、黔中、滇中、藏中南等区域需严控有色金属产业项目审批，积极推动有色金属采冶的环境健康风险评估。要重视饮用水安全及水污染产生的环境健康问题和矿产资源开发带来的人群健康风险问题。</w:t>
            </w:r>
          </w:p>
          <w:p w14:paraId="60BE72CC"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成渝、黔中、滇中、藏中南等区域要强化酸雨污染防治，加强流域水土流失和水污染防治，加强石漠化治理、高原湖泊保护、大江大河防护林建设，保护和增强藏中南地区生态系统多样性及适应气候变化能力，优化并合理布局水电开发，开展有色金属采冶的环境健康风险评估。</w:t>
            </w:r>
          </w:p>
        </w:tc>
        <w:tc>
          <w:tcPr>
            <w:tcW w:w="1809" w:type="pct"/>
            <w:tcMar>
              <w:left w:w="57" w:type="dxa"/>
              <w:right w:w="57" w:type="dxa"/>
            </w:tcMar>
            <w:vAlign w:val="center"/>
          </w:tcPr>
          <w:p w14:paraId="0546F1C0" w14:textId="7BA0F105"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本项目为陆地天然气勘探</w:t>
            </w:r>
            <w:r w:rsidR="00777D57" w:rsidRPr="00E67914">
              <w:rPr>
                <w:rFonts w:ascii="Times New Roman" w:hAnsi="Times New Roman"/>
                <w:sz w:val="21"/>
                <w:szCs w:val="21"/>
                <w:lang w:eastAsia="zh-CN"/>
              </w:rPr>
              <w:t>试采</w:t>
            </w:r>
            <w:r w:rsidRPr="00E67914">
              <w:rPr>
                <w:rFonts w:ascii="Times New Roman" w:hAnsi="Times New Roman"/>
                <w:sz w:val="21"/>
                <w:szCs w:val="21"/>
                <w:lang w:eastAsia="zh-CN"/>
              </w:rPr>
              <w:t>项目，实施总体对水环境影响很小，不涉及重金属污染，施工期加强水土保持措施、生态防护措施和各项污染物治理措施，以减少水土流失和生态影响，符合政策要求。</w:t>
            </w:r>
          </w:p>
        </w:tc>
        <w:tc>
          <w:tcPr>
            <w:tcW w:w="522" w:type="pct"/>
            <w:tcMar>
              <w:left w:w="57" w:type="dxa"/>
              <w:right w:w="57" w:type="dxa"/>
            </w:tcMar>
            <w:vAlign w:val="center"/>
          </w:tcPr>
          <w:p w14:paraId="75BF651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4B8D71F0" w14:textId="77777777">
        <w:trPr>
          <w:cantSplit/>
          <w:jc w:val="center"/>
        </w:trPr>
        <w:tc>
          <w:tcPr>
            <w:tcW w:w="404" w:type="pct"/>
            <w:tcMar>
              <w:left w:w="57" w:type="dxa"/>
              <w:right w:w="57" w:type="dxa"/>
            </w:tcMar>
            <w:vAlign w:val="center"/>
          </w:tcPr>
          <w:p w14:paraId="0A35DD0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lastRenderedPageBreak/>
              <w:t>2</w:t>
            </w:r>
          </w:p>
        </w:tc>
        <w:tc>
          <w:tcPr>
            <w:tcW w:w="2265" w:type="pct"/>
            <w:tcMar>
              <w:left w:w="57" w:type="dxa"/>
              <w:right w:w="57" w:type="dxa"/>
            </w:tcMar>
            <w:vAlign w:val="center"/>
          </w:tcPr>
          <w:p w14:paraId="4F6E5121" w14:textId="77777777" w:rsidR="00A54A8A" w:rsidRPr="00E67914" w:rsidRDefault="00000000">
            <w:pPr>
              <w:adjustRightInd w:val="0"/>
              <w:snapToGrid w:val="0"/>
              <w:rPr>
                <w:rFonts w:ascii="Times New Roman" w:hAnsi="Times New Roman"/>
                <w:b/>
                <w:bCs/>
                <w:sz w:val="21"/>
                <w:szCs w:val="21"/>
                <w:lang w:eastAsia="zh-CN"/>
              </w:rPr>
            </w:pPr>
            <w:r w:rsidRPr="00E67914">
              <w:rPr>
                <w:rFonts w:ascii="Times New Roman" w:hAnsi="Times New Roman"/>
                <w:b/>
                <w:bCs/>
                <w:sz w:val="21"/>
                <w:szCs w:val="21"/>
                <w:lang w:eastAsia="zh-CN"/>
              </w:rPr>
              <w:t>《大气污染防治行动计划》（国发〔</w:t>
            </w:r>
            <w:r w:rsidRPr="00E67914">
              <w:rPr>
                <w:rFonts w:ascii="Times New Roman" w:hAnsi="Times New Roman"/>
                <w:b/>
                <w:bCs/>
                <w:sz w:val="21"/>
                <w:szCs w:val="21"/>
                <w:lang w:eastAsia="zh-CN"/>
              </w:rPr>
              <w:t>2013</w:t>
            </w:r>
            <w:r w:rsidRPr="00E67914">
              <w:rPr>
                <w:rFonts w:ascii="Times New Roman" w:hAnsi="Times New Roman"/>
                <w:b/>
                <w:bCs/>
                <w:sz w:val="21"/>
                <w:szCs w:val="21"/>
                <w:lang w:eastAsia="zh-CN"/>
              </w:rPr>
              <w:t>〕</w:t>
            </w:r>
            <w:r w:rsidRPr="00E67914">
              <w:rPr>
                <w:rFonts w:ascii="Times New Roman" w:hAnsi="Times New Roman"/>
                <w:b/>
                <w:bCs/>
                <w:sz w:val="21"/>
                <w:szCs w:val="21"/>
                <w:lang w:eastAsia="zh-CN"/>
              </w:rPr>
              <w:t>37</w:t>
            </w:r>
            <w:r w:rsidRPr="00E67914">
              <w:rPr>
                <w:rFonts w:ascii="Times New Roman" w:hAnsi="Times New Roman"/>
                <w:b/>
                <w:bCs/>
                <w:sz w:val="21"/>
                <w:szCs w:val="21"/>
                <w:lang w:eastAsia="zh-CN"/>
              </w:rPr>
              <w:t>）号）</w:t>
            </w:r>
          </w:p>
          <w:p w14:paraId="562B402B"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加快清洁能源替代利用。加大天然气、煤制天然气、煤层气供应。到</w:t>
            </w:r>
            <w:r w:rsidRPr="00E67914">
              <w:rPr>
                <w:rFonts w:ascii="Times New Roman" w:hAnsi="Times New Roman"/>
                <w:sz w:val="21"/>
                <w:szCs w:val="21"/>
                <w:lang w:eastAsia="zh-CN"/>
              </w:rPr>
              <w:t xml:space="preserve">2015 </w:t>
            </w:r>
            <w:r w:rsidRPr="00E67914">
              <w:rPr>
                <w:rFonts w:ascii="Times New Roman" w:hAnsi="Times New Roman"/>
                <w:sz w:val="21"/>
                <w:szCs w:val="21"/>
                <w:lang w:eastAsia="zh-CN"/>
              </w:rPr>
              <w:t>年，新增天然气干线管输能力</w:t>
            </w:r>
            <w:r w:rsidRPr="00E67914">
              <w:rPr>
                <w:rFonts w:ascii="Times New Roman" w:hAnsi="Times New Roman"/>
                <w:sz w:val="21"/>
                <w:szCs w:val="21"/>
                <w:lang w:eastAsia="zh-CN"/>
              </w:rPr>
              <w:t>1500</w:t>
            </w:r>
            <w:r w:rsidRPr="00E67914">
              <w:rPr>
                <w:rFonts w:ascii="Times New Roman" w:hAnsi="Times New Roman"/>
                <w:sz w:val="21"/>
                <w:szCs w:val="21"/>
                <w:lang w:eastAsia="zh-CN"/>
              </w:rPr>
              <w:t>亿立方米以上，覆盖京津冀、长三角、珠三角等区域。</w:t>
            </w:r>
          </w:p>
          <w:p w14:paraId="5449A203"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优化天然气使用方式，新增天然气应优先保障居民生活或用于替代燃煤；鼓励发展天然气分布式能源等高效利用项目，限制发展天然气化工项目；有序发展天然气调峰电站，原则上不再新建天然气发电项目。扩大城市高污染燃料禁燃区范围，逐步由城市建成区扩展到近郊。结合城中村、城乡结合部、棚户区改造，通过政策补偿和实施峰谷电价、季节性电价、阶梯电价、调峰电价等措施，逐步推行以天然气或电替代煤炭。</w:t>
            </w:r>
          </w:p>
        </w:tc>
        <w:tc>
          <w:tcPr>
            <w:tcW w:w="1809" w:type="pct"/>
            <w:tcMar>
              <w:left w:w="57" w:type="dxa"/>
              <w:right w:w="57" w:type="dxa"/>
            </w:tcMar>
            <w:vAlign w:val="center"/>
          </w:tcPr>
          <w:p w14:paraId="27D9389D"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本项目实施有利于加大天然气供应，总体符合文件要求。</w:t>
            </w:r>
          </w:p>
        </w:tc>
        <w:tc>
          <w:tcPr>
            <w:tcW w:w="522" w:type="pct"/>
            <w:tcMar>
              <w:left w:w="57" w:type="dxa"/>
              <w:right w:w="57" w:type="dxa"/>
            </w:tcMar>
            <w:vAlign w:val="center"/>
          </w:tcPr>
          <w:p w14:paraId="535DAB9C"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16641432" w14:textId="77777777">
        <w:trPr>
          <w:cantSplit/>
          <w:jc w:val="center"/>
        </w:trPr>
        <w:tc>
          <w:tcPr>
            <w:tcW w:w="404" w:type="pct"/>
            <w:tcMar>
              <w:left w:w="57" w:type="dxa"/>
              <w:right w:w="57" w:type="dxa"/>
            </w:tcMar>
            <w:vAlign w:val="center"/>
          </w:tcPr>
          <w:p w14:paraId="374E39E7"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w:t>
            </w:r>
          </w:p>
        </w:tc>
        <w:tc>
          <w:tcPr>
            <w:tcW w:w="2265" w:type="pct"/>
            <w:tcMar>
              <w:left w:w="57" w:type="dxa"/>
              <w:right w:w="57" w:type="dxa"/>
            </w:tcMar>
            <w:vAlign w:val="center"/>
          </w:tcPr>
          <w:p w14:paraId="4F1034B3" w14:textId="77777777" w:rsidR="00A54A8A" w:rsidRPr="00E67914" w:rsidRDefault="00000000">
            <w:pPr>
              <w:adjustRightInd w:val="0"/>
              <w:snapToGrid w:val="0"/>
              <w:rPr>
                <w:rFonts w:ascii="Times New Roman" w:hAnsi="Times New Roman"/>
                <w:b/>
                <w:bCs/>
                <w:sz w:val="21"/>
                <w:szCs w:val="21"/>
                <w:lang w:eastAsia="zh-CN"/>
              </w:rPr>
            </w:pPr>
            <w:r w:rsidRPr="00E67914">
              <w:rPr>
                <w:rFonts w:ascii="Times New Roman" w:hAnsi="Times New Roman"/>
                <w:b/>
                <w:bCs/>
                <w:sz w:val="21"/>
                <w:szCs w:val="21"/>
                <w:lang w:eastAsia="zh-CN"/>
              </w:rPr>
              <w:t>《水污染防治行动计划》</w:t>
            </w:r>
          </w:p>
          <w:p w14:paraId="3BC29271" w14:textId="77777777" w:rsidR="00A54A8A" w:rsidRPr="00E67914" w:rsidRDefault="00000000">
            <w:pPr>
              <w:adjustRightInd w:val="0"/>
              <w:snapToGrid w:val="0"/>
              <w:rPr>
                <w:rFonts w:ascii="Times New Roman" w:hAnsi="Times New Roman"/>
                <w:b/>
                <w:bCs/>
                <w:sz w:val="21"/>
                <w:szCs w:val="21"/>
                <w:lang w:eastAsia="zh-CN"/>
              </w:rPr>
            </w:pPr>
            <w:r w:rsidRPr="00E67914">
              <w:rPr>
                <w:rFonts w:ascii="Times New Roman" w:hAnsi="Times New Roman"/>
                <w:sz w:val="21"/>
                <w:szCs w:val="21"/>
                <w:lang w:eastAsia="zh-CN"/>
              </w:rPr>
              <w:t>防治地下水污染。石化生产存贮销售企业和工业园区、矿山开采区、垃圾填埋场等区域应进行必要的防渗处理。报废矿井、钻井、取水井应实施封井回填</w:t>
            </w:r>
          </w:p>
        </w:tc>
        <w:tc>
          <w:tcPr>
            <w:tcW w:w="1809" w:type="pct"/>
            <w:tcMar>
              <w:left w:w="57" w:type="dxa"/>
              <w:right w:w="57" w:type="dxa"/>
            </w:tcMar>
            <w:vAlign w:val="center"/>
          </w:tcPr>
          <w:p w14:paraId="3278C39B"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本项目提出了钻井及采气井场的防渗要求，对废弃井提出封井要求，符合要求。</w:t>
            </w:r>
          </w:p>
        </w:tc>
        <w:tc>
          <w:tcPr>
            <w:tcW w:w="522" w:type="pct"/>
            <w:tcMar>
              <w:left w:w="57" w:type="dxa"/>
              <w:right w:w="57" w:type="dxa"/>
            </w:tcMar>
            <w:vAlign w:val="center"/>
          </w:tcPr>
          <w:p w14:paraId="5DF4E0E2"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bl>
    <w:p w14:paraId="186790B1"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5</w:t>
      </w:r>
      <w:r w:rsidRPr="00E67914">
        <w:rPr>
          <w:rFonts w:ascii="Times New Roman" w:eastAsia="黑体" w:hAnsi="Times New Roman"/>
          <w:bCs/>
          <w:kern w:val="2"/>
          <w:sz w:val="24"/>
          <w:szCs w:val="24"/>
          <w:lang w:eastAsia="zh-CN"/>
        </w:rPr>
        <w:t>、与《四川省嘉陵江流域生态环境保护条例》的符合性分析</w:t>
      </w:r>
    </w:p>
    <w:p w14:paraId="58269790"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本项目与《四川省嘉陵江流域生态环境保护条例》的符合性分析见下表：</w:t>
      </w:r>
    </w:p>
    <w:p w14:paraId="5B91512B"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2.7-4  </w:t>
      </w:r>
      <w:r w:rsidRPr="00E67914">
        <w:rPr>
          <w:rFonts w:ascii="Times New Roman" w:eastAsia="黑体" w:hAnsi="Times New Roman"/>
          <w:sz w:val="21"/>
          <w:szCs w:val="21"/>
          <w:lang w:eastAsia="zh-CN"/>
        </w:rPr>
        <w:t>与《四川省嘉陵江流域生态环境保护条例》的符合性分析一览表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1"/>
        <w:gridCol w:w="4201"/>
        <w:gridCol w:w="2631"/>
        <w:gridCol w:w="873"/>
      </w:tblGrid>
      <w:tr w:rsidR="00E67914" w:rsidRPr="00E67914" w14:paraId="36D828F9" w14:textId="77777777">
        <w:trPr>
          <w:trHeight w:val="108"/>
          <w:tblHeader/>
          <w:jc w:val="center"/>
        </w:trPr>
        <w:tc>
          <w:tcPr>
            <w:tcW w:w="356" w:type="pct"/>
            <w:vAlign w:val="center"/>
          </w:tcPr>
          <w:p w14:paraId="70E3C100"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序号</w:t>
            </w:r>
          </w:p>
        </w:tc>
        <w:tc>
          <w:tcPr>
            <w:tcW w:w="2532" w:type="pct"/>
            <w:vAlign w:val="center"/>
          </w:tcPr>
          <w:p w14:paraId="6C7009CB"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lang w:eastAsia="zh-CN"/>
              </w:rPr>
              <w:t>条例</w:t>
            </w:r>
            <w:r w:rsidRPr="00E67914">
              <w:rPr>
                <w:rFonts w:ascii="Times New Roman" w:hAnsi="Times New Roman"/>
                <w:b/>
                <w:bCs/>
                <w:sz w:val="21"/>
                <w:szCs w:val="21"/>
              </w:rPr>
              <w:t>要求</w:t>
            </w:r>
          </w:p>
        </w:tc>
        <w:tc>
          <w:tcPr>
            <w:tcW w:w="1586" w:type="pct"/>
            <w:vAlign w:val="center"/>
          </w:tcPr>
          <w:p w14:paraId="2134A70F"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项目内容</w:t>
            </w:r>
          </w:p>
        </w:tc>
        <w:tc>
          <w:tcPr>
            <w:tcW w:w="526" w:type="pct"/>
            <w:vAlign w:val="center"/>
          </w:tcPr>
          <w:p w14:paraId="7BF9BD17"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符合性</w:t>
            </w:r>
          </w:p>
        </w:tc>
      </w:tr>
      <w:tr w:rsidR="00E67914" w:rsidRPr="00E67914" w14:paraId="0E9EF363" w14:textId="77777777">
        <w:trPr>
          <w:trHeight w:val="269"/>
          <w:jc w:val="center"/>
        </w:trPr>
        <w:tc>
          <w:tcPr>
            <w:tcW w:w="356" w:type="pct"/>
            <w:vAlign w:val="center"/>
          </w:tcPr>
          <w:p w14:paraId="1DA897A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1</w:t>
            </w:r>
            <w:r w:rsidRPr="00E67914">
              <w:rPr>
                <w:rFonts w:ascii="Times New Roman" w:hAnsi="Times New Roman"/>
                <w:sz w:val="21"/>
                <w:szCs w:val="21"/>
              </w:rPr>
              <w:t>）</w:t>
            </w:r>
          </w:p>
        </w:tc>
        <w:tc>
          <w:tcPr>
            <w:tcW w:w="2532" w:type="pct"/>
            <w:vAlign w:val="center"/>
          </w:tcPr>
          <w:p w14:paraId="67CD8D52"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九十九条：违反本条例规定，未按照规定设置下泄生态流量在线监控、监测装置，未按照规定与水行政主管部门的监管平台联网的，由县级以上地方人民政府水行政主管部门责令限期改正，处二万元以上二十万元以下罚款；逾期不改正的，责令停产整治。</w:t>
            </w:r>
          </w:p>
        </w:tc>
        <w:tc>
          <w:tcPr>
            <w:tcW w:w="1586" w:type="pct"/>
            <w:vAlign w:val="center"/>
          </w:tcPr>
          <w:p w14:paraId="53B36578"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本项目不属于需设置下泄生态流量在线监控、监测装置的项目。</w:t>
            </w:r>
          </w:p>
        </w:tc>
        <w:tc>
          <w:tcPr>
            <w:tcW w:w="526" w:type="pct"/>
            <w:vAlign w:val="center"/>
          </w:tcPr>
          <w:p w14:paraId="24488EE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4768A2D6" w14:textId="77777777">
        <w:trPr>
          <w:trHeight w:val="269"/>
          <w:jc w:val="center"/>
        </w:trPr>
        <w:tc>
          <w:tcPr>
            <w:tcW w:w="356" w:type="pct"/>
            <w:vAlign w:val="center"/>
          </w:tcPr>
          <w:p w14:paraId="02EBCAA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2</w:t>
            </w:r>
            <w:r w:rsidRPr="00E67914">
              <w:rPr>
                <w:rFonts w:ascii="Times New Roman" w:hAnsi="Times New Roman"/>
                <w:sz w:val="21"/>
                <w:szCs w:val="21"/>
              </w:rPr>
              <w:t>）</w:t>
            </w:r>
          </w:p>
        </w:tc>
        <w:tc>
          <w:tcPr>
            <w:tcW w:w="2532" w:type="pct"/>
            <w:vAlign w:val="center"/>
          </w:tcPr>
          <w:p w14:paraId="2ACAFAA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第一百条：违反本条例规定，在嘉陵江流域未依法取得许可从事采砂活动，或者在禁止采砂区和禁止采砂期从事采砂活动的，由县级以上地方人民政府水行政主管部门责令停止违法行为，没收违法所得以及用于违法活动的船舶、设备、工具，并处货值金额二倍以上二十倍以下罚款；货值金额不足十万元的，并处二十万元以上二百万元以下罚款；已经取得河道采砂许可证的，吊销河道采砂许可证。</w:t>
            </w:r>
          </w:p>
        </w:tc>
        <w:tc>
          <w:tcPr>
            <w:tcW w:w="1586" w:type="pct"/>
            <w:vAlign w:val="center"/>
          </w:tcPr>
          <w:p w14:paraId="47FFC90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本项目不属于采砂项目，不涉及采砂。</w:t>
            </w:r>
          </w:p>
        </w:tc>
        <w:tc>
          <w:tcPr>
            <w:tcW w:w="526" w:type="pct"/>
            <w:vAlign w:val="center"/>
          </w:tcPr>
          <w:p w14:paraId="3ACF8D3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26722A9" w14:textId="77777777">
        <w:trPr>
          <w:trHeight w:val="269"/>
          <w:jc w:val="center"/>
        </w:trPr>
        <w:tc>
          <w:tcPr>
            <w:tcW w:w="356" w:type="pct"/>
            <w:vAlign w:val="center"/>
          </w:tcPr>
          <w:p w14:paraId="143BC64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3</w:t>
            </w:r>
            <w:r w:rsidRPr="00E67914">
              <w:rPr>
                <w:rFonts w:ascii="Times New Roman" w:hAnsi="Times New Roman"/>
                <w:sz w:val="21"/>
                <w:szCs w:val="21"/>
              </w:rPr>
              <w:t>）</w:t>
            </w:r>
          </w:p>
        </w:tc>
        <w:tc>
          <w:tcPr>
            <w:tcW w:w="2532" w:type="pct"/>
            <w:vAlign w:val="center"/>
          </w:tcPr>
          <w:p w14:paraId="543195A3"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第一百零一条：违反本条例规定，未按照规定对医疗卫生机构、传染病疫情防控期间集中医学观察点产生的污水、传染病病人或者疑似传染病病人的排泄物，进行严格消毒，或者未达到国家规定的排放标准，排入污水处理系统的，由卫生健康主管部门或者生态</w:t>
            </w:r>
            <w:r w:rsidRPr="00E67914">
              <w:rPr>
                <w:rFonts w:ascii="Times New Roman" w:hAnsi="Times New Roman"/>
                <w:sz w:val="21"/>
                <w:szCs w:val="21"/>
                <w:lang w:eastAsia="zh-CN"/>
              </w:rPr>
              <w:lastRenderedPageBreak/>
              <w:t>环境主管部门按照各自的职责责令限期改正，给予警告，并处五千元以上一万元以下罚款；逾期不改正的，处一万元以上三万元以下罚款；造成传染病传播或者环境污染事故的，由原发证部门暂扣或者吊销执业许可证件或者经营许可证件；构成犯罪的，依法追究刑事责任。</w:t>
            </w:r>
          </w:p>
        </w:tc>
        <w:tc>
          <w:tcPr>
            <w:tcW w:w="1586" w:type="pct"/>
            <w:vAlign w:val="center"/>
          </w:tcPr>
          <w:p w14:paraId="0D4668E2"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lastRenderedPageBreak/>
              <w:t>本项目不属于医疗企业。</w:t>
            </w:r>
          </w:p>
        </w:tc>
        <w:tc>
          <w:tcPr>
            <w:tcW w:w="526" w:type="pct"/>
            <w:vAlign w:val="center"/>
          </w:tcPr>
          <w:p w14:paraId="6132515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29825695" w14:textId="77777777">
        <w:trPr>
          <w:trHeight w:val="269"/>
          <w:jc w:val="center"/>
        </w:trPr>
        <w:tc>
          <w:tcPr>
            <w:tcW w:w="356" w:type="pct"/>
            <w:vAlign w:val="center"/>
          </w:tcPr>
          <w:p w14:paraId="29A9A61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4</w:t>
            </w:r>
            <w:r w:rsidRPr="00E67914">
              <w:rPr>
                <w:rFonts w:ascii="Times New Roman" w:hAnsi="Times New Roman"/>
                <w:sz w:val="21"/>
                <w:szCs w:val="21"/>
              </w:rPr>
              <w:t>）</w:t>
            </w:r>
          </w:p>
        </w:tc>
        <w:tc>
          <w:tcPr>
            <w:tcW w:w="2532" w:type="pct"/>
            <w:vAlign w:val="center"/>
          </w:tcPr>
          <w:p w14:paraId="6C56252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第一百零二条：违反本条例规定，向水体以投放化肥、粪便、动物尸体（肢体、内脏）、动物源性饲料等污染水体的方式从事水产养殖的，由县级以上地方人民政府生态环境主管部门责令停止违法行为，处一万元以上十万元以下罚款。</w:t>
            </w:r>
          </w:p>
        </w:tc>
        <w:tc>
          <w:tcPr>
            <w:tcW w:w="1586" w:type="pct"/>
            <w:vAlign w:val="center"/>
          </w:tcPr>
          <w:p w14:paraId="3FDD71F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本项目所产生的生产废水均回用或预处理后回注，生活污水经收集后均由密闭罐车定期拉运至当地污水处理厂处理，不属于水产养殖业项目。</w:t>
            </w:r>
          </w:p>
        </w:tc>
        <w:tc>
          <w:tcPr>
            <w:tcW w:w="526" w:type="pct"/>
            <w:vAlign w:val="center"/>
          </w:tcPr>
          <w:p w14:paraId="2D68D36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7E3EB77A" w14:textId="77777777">
        <w:trPr>
          <w:trHeight w:val="269"/>
          <w:jc w:val="center"/>
        </w:trPr>
        <w:tc>
          <w:tcPr>
            <w:tcW w:w="356" w:type="pct"/>
            <w:vAlign w:val="center"/>
          </w:tcPr>
          <w:p w14:paraId="08404EE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5</w:t>
            </w:r>
            <w:r w:rsidRPr="00E67914">
              <w:rPr>
                <w:rFonts w:ascii="Times New Roman" w:hAnsi="Times New Roman"/>
                <w:sz w:val="21"/>
                <w:szCs w:val="21"/>
              </w:rPr>
              <w:t>）</w:t>
            </w:r>
          </w:p>
        </w:tc>
        <w:tc>
          <w:tcPr>
            <w:tcW w:w="2532" w:type="pct"/>
            <w:vAlign w:val="center"/>
          </w:tcPr>
          <w:p w14:paraId="261F8CF2"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第一百零三条：违反本条例规定，有下列行为之一的，由负责海事管理的机构按下列规定处罚：</w:t>
            </w:r>
          </w:p>
          <w:p w14:paraId="236EED0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一）船舶装载运输油类或者有毒货物，未制定防止船舶溢漏应急预案的，或者未采取防溢流、防渗漏、防坠落等措施的；发生海损事故或者货物落水事故未立即采取措施控制和消除污染以及迟报、谎报、漏报、瞒报的，责令停止违法行为，处一万元以上十万元以下罚款；造成水污染的，责令限期采取治理措施，消除污染，处二万元以上二十万元以下罚款；逾期不采取治理措施的，可以指定有治理能力的单位代为治理，所需费用由船舶经营者承担；</w:t>
            </w:r>
          </w:p>
          <w:p w14:paraId="718788C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（二）船舶经营者未将餐厨垃圾贮存在专门的容器中，收集上岸集中处置的，或者未如实记录处置情况的，责令改正，处二千元以上二万元以下罚款。</w:t>
            </w:r>
          </w:p>
        </w:tc>
        <w:tc>
          <w:tcPr>
            <w:tcW w:w="1586" w:type="pct"/>
            <w:vAlign w:val="center"/>
          </w:tcPr>
          <w:p w14:paraId="7796D0F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本项目不涉及船舶运输。</w:t>
            </w:r>
          </w:p>
        </w:tc>
        <w:tc>
          <w:tcPr>
            <w:tcW w:w="526" w:type="pct"/>
            <w:vAlign w:val="center"/>
          </w:tcPr>
          <w:p w14:paraId="6FDCA1F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0AE45A4F" w14:textId="77777777">
        <w:trPr>
          <w:trHeight w:val="269"/>
          <w:jc w:val="center"/>
        </w:trPr>
        <w:tc>
          <w:tcPr>
            <w:tcW w:w="356" w:type="pct"/>
            <w:vAlign w:val="center"/>
          </w:tcPr>
          <w:p w14:paraId="4711C46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6</w:t>
            </w:r>
            <w:r w:rsidRPr="00E67914">
              <w:rPr>
                <w:rFonts w:ascii="Times New Roman" w:hAnsi="Times New Roman"/>
                <w:sz w:val="21"/>
                <w:szCs w:val="21"/>
              </w:rPr>
              <w:t>）</w:t>
            </w:r>
          </w:p>
        </w:tc>
        <w:tc>
          <w:tcPr>
            <w:tcW w:w="2532" w:type="pct"/>
            <w:vAlign w:val="center"/>
          </w:tcPr>
          <w:p w14:paraId="0FA93BE1"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一百零四条：因污染嘉陵江流域环境、破坏嘉陵江流域生态造成他人损害的，侵权人应当承担侵权责任。</w:t>
            </w:r>
          </w:p>
          <w:p w14:paraId="6A6AD5A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违反国家和本省规定造成嘉陵江流域生态环境损害的，国家规定的机关或者法律规定的组织有权请求侵权人承担修复责任、赔偿损失和有关费用。</w:t>
            </w:r>
          </w:p>
        </w:tc>
        <w:tc>
          <w:tcPr>
            <w:tcW w:w="1586" w:type="pct"/>
            <w:vAlign w:val="center"/>
          </w:tcPr>
          <w:p w14:paraId="1F92E98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本项目不属于污染损害嘉陵江流域环境、破坏嘉陵江流域生态造成他人损害的建设项目。</w:t>
            </w:r>
          </w:p>
        </w:tc>
        <w:tc>
          <w:tcPr>
            <w:tcW w:w="526" w:type="pct"/>
            <w:vAlign w:val="center"/>
          </w:tcPr>
          <w:p w14:paraId="621641B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299F113D" w14:textId="77777777">
        <w:trPr>
          <w:trHeight w:val="269"/>
          <w:jc w:val="center"/>
        </w:trPr>
        <w:tc>
          <w:tcPr>
            <w:tcW w:w="356" w:type="pct"/>
            <w:vAlign w:val="center"/>
          </w:tcPr>
          <w:p w14:paraId="7569451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7</w:t>
            </w:r>
            <w:r w:rsidRPr="00E67914">
              <w:rPr>
                <w:rFonts w:ascii="Times New Roman" w:hAnsi="Times New Roman"/>
                <w:sz w:val="21"/>
                <w:szCs w:val="21"/>
              </w:rPr>
              <w:t>）</w:t>
            </w:r>
          </w:p>
        </w:tc>
        <w:tc>
          <w:tcPr>
            <w:tcW w:w="2532" w:type="pct"/>
            <w:vAlign w:val="center"/>
          </w:tcPr>
          <w:p w14:paraId="628C6CA1"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第一百零五条：对嘉陵江流域污染环境、破坏生态，损害公共利益的行为，法律规定的机关和符合条件的社会组织可以依法向人民法院提起诉讼。</w:t>
            </w:r>
          </w:p>
        </w:tc>
        <w:tc>
          <w:tcPr>
            <w:tcW w:w="1586" w:type="pct"/>
            <w:vAlign w:val="center"/>
          </w:tcPr>
          <w:p w14:paraId="40303E45" w14:textId="77777777"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本项目采取对应的环境保护措施，不会对嘉陵江流域污染环境、破坏生态。</w:t>
            </w:r>
          </w:p>
        </w:tc>
        <w:tc>
          <w:tcPr>
            <w:tcW w:w="526" w:type="pct"/>
            <w:vAlign w:val="center"/>
          </w:tcPr>
          <w:p w14:paraId="15D1B87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bl>
    <w:p w14:paraId="566520BC"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综上所述，本项目与《四川省嘉陵江流域生态环境保护条例》相符。</w:t>
      </w:r>
    </w:p>
    <w:p w14:paraId="00A5A265"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6</w:t>
      </w:r>
      <w:r w:rsidRPr="00E67914">
        <w:rPr>
          <w:rFonts w:ascii="Times New Roman" w:eastAsia="黑体" w:hAnsi="Times New Roman"/>
          <w:bCs/>
          <w:kern w:val="2"/>
          <w:sz w:val="24"/>
          <w:szCs w:val="24"/>
          <w:lang w:eastAsia="zh-CN"/>
        </w:rPr>
        <w:t>、与《达州市</w:t>
      </w:r>
      <w:r w:rsidRPr="00E67914">
        <w:rPr>
          <w:rFonts w:ascii="Times New Roman" w:eastAsia="黑体" w:hAnsi="Times New Roman"/>
          <w:bCs/>
          <w:kern w:val="2"/>
          <w:sz w:val="24"/>
          <w:szCs w:val="24"/>
          <w:lang w:eastAsia="zh-CN"/>
        </w:rPr>
        <w:t>“</w:t>
      </w:r>
      <w:r w:rsidRPr="00E67914">
        <w:rPr>
          <w:rFonts w:ascii="Times New Roman" w:eastAsia="黑体" w:hAnsi="Times New Roman"/>
          <w:bCs/>
          <w:kern w:val="2"/>
          <w:sz w:val="24"/>
          <w:szCs w:val="24"/>
          <w:lang w:eastAsia="zh-CN"/>
        </w:rPr>
        <w:t>十四五</w:t>
      </w:r>
      <w:r w:rsidRPr="00E67914">
        <w:rPr>
          <w:rFonts w:ascii="Times New Roman" w:eastAsia="黑体" w:hAnsi="Times New Roman"/>
          <w:bCs/>
          <w:kern w:val="2"/>
          <w:sz w:val="24"/>
          <w:szCs w:val="24"/>
          <w:lang w:eastAsia="zh-CN"/>
        </w:rPr>
        <w:t>”</w:t>
      </w:r>
      <w:r w:rsidRPr="00E67914">
        <w:rPr>
          <w:rFonts w:ascii="Times New Roman" w:eastAsia="黑体" w:hAnsi="Times New Roman"/>
          <w:bCs/>
          <w:kern w:val="2"/>
          <w:sz w:val="24"/>
          <w:szCs w:val="24"/>
          <w:lang w:eastAsia="zh-CN"/>
        </w:rPr>
        <w:t>生态环境保护规划》的符合性分析</w:t>
      </w:r>
    </w:p>
    <w:p w14:paraId="6D53A4DA"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本项目与《达州市</w:t>
      </w:r>
      <w:r w:rsidRPr="00E67914">
        <w:rPr>
          <w:rFonts w:ascii="Times New Roman" w:hAnsi="Times New Roman"/>
          <w:sz w:val="24"/>
          <w:lang w:eastAsia="zh-CN"/>
        </w:rPr>
        <w:t>“</w:t>
      </w:r>
      <w:r w:rsidRPr="00E67914">
        <w:rPr>
          <w:rFonts w:ascii="Times New Roman" w:hAnsi="Times New Roman"/>
          <w:sz w:val="24"/>
          <w:lang w:eastAsia="zh-CN"/>
        </w:rPr>
        <w:t>十四五</w:t>
      </w:r>
      <w:r w:rsidRPr="00E67914">
        <w:rPr>
          <w:rFonts w:ascii="Times New Roman" w:hAnsi="Times New Roman"/>
          <w:sz w:val="24"/>
          <w:lang w:eastAsia="zh-CN"/>
        </w:rPr>
        <w:t>”</w:t>
      </w:r>
      <w:r w:rsidRPr="00E67914">
        <w:rPr>
          <w:rFonts w:ascii="Times New Roman" w:hAnsi="Times New Roman"/>
          <w:sz w:val="24"/>
          <w:lang w:eastAsia="zh-CN"/>
        </w:rPr>
        <w:t>生态环境保护规划》的符合性分析见下表：</w:t>
      </w:r>
    </w:p>
    <w:p w14:paraId="3CE826D3"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2.7-5  </w:t>
      </w:r>
      <w:r w:rsidRPr="00E67914">
        <w:rPr>
          <w:rFonts w:ascii="Times New Roman" w:eastAsia="黑体" w:hAnsi="Times New Roman"/>
          <w:sz w:val="21"/>
          <w:szCs w:val="21"/>
          <w:lang w:eastAsia="zh-CN"/>
        </w:rPr>
        <w:t>与《达州市</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十四五</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生态环境保护规划》的符合性分析一览表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91"/>
        <w:gridCol w:w="4201"/>
        <w:gridCol w:w="2631"/>
        <w:gridCol w:w="873"/>
      </w:tblGrid>
      <w:tr w:rsidR="00E67914" w:rsidRPr="00E67914" w14:paraId="0C9E3B52" w14:textId="77777777">
        <w:trPr>
          <w:trHeight w:val="108"/>
          <w:tblHeader/>
          <w:jc w:val="center"/>
        </w:trPr>
        <w:tc>
          <w:tcPr>
            <w:tcW w:w="356" w:type="pct"/>
            <w:vAlign w:val="center"/>
          </w:tcPr>
          <w:p w14:paraId="312633C3"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lastRenderedPageBreak/>
              <w:t>序号</w:t>
            </w:r>
          </w:p>
        </w:tc>
        <w:tc>
          <w:tcPr>
            <w:tcW w:w="2532" w:type="pct"/>
            <w:vAlign w:val="center"/>
          </w:tcPr>
          <w:p w14:paraId="219C81C7"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lang w:eastAsia="zh-CN"/>
              </w:rPr>
              <w:t>规划</w:t>
            </w:r>
            <w:r w:rsidRPr="00E67914">
              <w:rPr>
                <w:rFonts w:ascii="Times New Roman" w:hAnsi="Times New Roman"/>
                <w:b/>
                <w:bCs/>
                <w:sz w:val="21"/>
                <w:szCs w:val="21"/>
              </w:rPr>
              <w:t>要求</w:t>
            </w:r>
          </w:p>
        </w:tc>
        <w:tc>
          <w:tcPr>
            <w:tcW w:w="1586" w:type="pct"/>
            <w:vAlign w:val="center"/>
          </w:tcPr>
          <w:p w14:paraId="0C2B8324"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项目内容</w:t>
            </w:r>
          </w:p>
        </w:tc>
        <w:tc>
          <w:tcPr>
            <w:tcW w:w="526" w:type="pct"/>
            <w:vAlign w:val="center"/>
          </w:tcPr>
          <w:p w14:paraId="7C52B95E"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符合性</w:t>
            </w:r>
          </w:p>
        </w:tc>
      </w:tr>
      <w:tr w:rsidR="00E67914" w:rsidRPr="00E67914" w14:paraId="5D8EB8B7" w14:textId="77777777">
        <w:trPr>
          <w:trHeight w:val="269"/>
          <w:jc w:val="center"/>
        </w:trPr>
        <w:tc>
          <w:tcPr>
            <w:tcW w:w="356" w:type="pct"/>
            <w:vAlign w:val="center"/>
          </w:tcPr>
          <w:p w14:paraId="2D56691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1</w:t>
            </w:r>
            <w:r w:rsidRPr="00E67914">
              <w:rPr>
                <w:rFonts w:ascii="Times New Roman" w:hAnsi="Times New Roman"/>
                <w:sz w:val="21"/>
                <w:szCs w:val="21"/>
              </w:rPr>
              <w:t>）</w:t>
            </w:r>
          </w:p>
        </w:tc>
        <w:tc>
          <w:tcPr>
            <w:tcW w:w="2532" w:type="pct"/>
            <w:vAlign w:val="center"/>
          </w:tcPr>
          <w:p w14:paraId="670B83CE"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落实国土空间开发保护格局。以达川区、通川区、大竹县为重点开发区域，加快推进中心城市发展，优化城市空间布局，重点发展清洁能源、</w:t>
            </w:r>
            <w:r w:rsidRPr="00E67914">
              <w:rPr>
                <w:rFonts w:ascii="Times New Roman" w:hAnsi="Times New Roman"/>
                <w:b/>
                <w:bCs/>
                <w:sz w:val="21"/>
                <w:szCs w:val="21"/>
                <w:lang w:eastAsia="zh-CN"/>
              </w:rPr>
              <w:t>天然气化工</w:t>
            </w:r>
            <w:r w:rsidRPr="00E67914">
              <w:rPr>
                <w:rFonts w:ascii="Times New Roman" w:hAnsi="Times New Roman"/>
                <w:sz w:val="21"/>
                <w:szCs w:val="21"/>
                <w:lang w:eastAsia="zh-CN"/>
              </w:rPr>
              <w:t>、农产品加工业，加强生态环境保护和流域综合整治</w:t>
            </w:r>
            <w:r w:rsidRPr="00E67914">
              <w:rPr>
                <w:rFonts w:ascii="Times New Roman" w:hAnsi="Times New Roman"/>
                <w:sz w:val="21"/>
                <w:szCs w:val="21"/>
                <w:lang w:eastAsia="zh-CN"/>
              </w:rPr>
              <w:t>···</w:t>
            </w:r>
          </w:p>
        </w:tc>
        <w:tc>
          <w:tcPr>
            <w:tcW w:w="1586" w:type="pct"/>
            <w:vAlign w:val="center"/>
          </w:tcPr>
          <w:p w14:paraId="3FCC62DB"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本项目属于天然气试采项目。</w:t>
            </w:r>
          </w:p>
        </w:tc>
        <w:tc>
          <w:tcPr>
            <w:tcW w:w="526" w:type="pct"/>
            <w:vAlign w:val="center"/>
          </w:tcPr>
          <w:p w14:paraId="1EF9506A"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3D7605FD" w14:textId="77777777">
        <w:trPr>
          <w:trHeight w:val="269"/>
          <w:jc w:val="center"/>
        </w:trPr>
        <w:tc>
          <w:tcPr>
            <w:tcW w:w="356" w:type="pct"/>
            <w:vAlign w:val="center"/>
          </w:tcPr>
          <w:p w14:paraId="475125E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2</w:t>
            </w:r>
            <w:r w:rsidRPr="00E67914">
              <w:rPr>
                <w:rFonts w:ascii="Times New Roman" w:hAnsi="Times New Roman"/>
                <w:sz w:val="21"/>
                <w:szCs w:val="21"/>
              </w:rPr>
              <w:t>）</w:t>
            </w:r>
          </w:p>
        </w:tc>
        <w:tc>
          <w:tcPr>
            <w:tcW w:w="2532" w:type="pct"/>
            <w:vAlign w:val="center"/>
          </w:tcPr>
          <w:p w14:paraId="0F27546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加强清洁能源示范建设，实施中国</w:t>
            </w:r>
            <w:r w:rsidRPr="00E67914">
              <w:rPr>
                <w:rFonts w:ascii="Times New Roman" w:hAnsi="Times New Roman"/>
                <w:sz w:val="21"/>
                <w:szCs w:val="21"/>
                <w:lang w:eastAsia="zh-CN"/>
              </w:rPr>
              <w:t>“</w:t>
            </w:r>
            <w:r w:rsidRPr="00E67914">
              <w:rPr>
                <w:rFonts w:ascii="Times New Roman" w:hAnsi="Times New Roman"/>
                <w:sz w:val="21"/>
                <w:szCs w:val="21"/>
                <w:lang w:eastAsia="zh-CN"/>
              </w:rPr>
              <w:t>气大庆</w:t>
            </w:r>
            <w:r w:rsidRPr="00E67914">
              <w:rPr>
                <w:rFonts w:ascii="Times New Roman" w:hAnsi="Times New Roman"/>
                <w:sz w:val="21"/>
                <w:szCs w:val="21"/>
                <w:lang w:eastAsia="zh-CN"/>
              </w:rPr>
              <w:t>”</w:t>
            </w:r>
            <w:r w:rsidRPr="00E67914">
              <w:rPr>
                <w:rFonts w:ascii="Times New Roman" w:hAnsi="Times New Roman"/>
                <w:sz w:val="21"/>
                <w:szCs w:val="21"/>
                <w:lang w:eastAsia="zh-CN"/>
              </w:rPr>
              <w:t>建设行动，推进国家天然气综合开发利用示范区建设，</w:t>
            </w:r>
            <w:r w:rsidRPr="00E67914">
              <w:rPr>
                <w:rFonts w:ascii="Times New Roman" w:hAnsi="Times New Roman"/>
                <w:b/>
                <w:bCs/>
                <w:sz w:val="21"/>
                <w:szCs w:val="21"/>
                <w:lang w:eastAsia="zh-CN"/>
              </w:rPr>
              <w:t>提高天然气就地转化效率</w:t>
            </w:r>
            <w:r w:rsidRPr="00E67914">
              <w:rPr>
                <w:rFonts w:ascii="Times New Roman" w:hAnsi="Times New Roman"/>
                <w:sz w:val="21"/>
                <w:szCs w:val="21"/>
                <w:lang w:eastAsia="zh-CN"/>
              </w:rPr>
              <w:t>，进一步提高非化石能源供给及其在能源消费结构中的比例</w:t>
            </w:r>
            <w:r w:rsidRPr="00E67914">
              <w:rPr>
                <w:rFonts w:ascii="Times New Roman" w:hAnsi="Times New Roman"/>
                <w:sz w:val="21"/>
                <w:szCs w:val="21"/>
                <w:lang w:eastAsia="zh-CN"/>
              </w:rPr>
              <w:t>···</w:t>
            </w:r>
          </w:p>
        </w:tc>
        <w:tc>
          <w:tcPr>
            <w:tcW w:w="1586" w:type="pct"/>
            <w:vAlign w:val="center"/>
          </w:tcPr>
          <w:p w14:paraId="72DDAC3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本项目属于天然气试采项目。</w:t>
            </w:r>
          </w:p>
        </w:tc>
        <w:tc>
          <w:tcPr>
            <w:tcW w:w="526" w:type="pct"/>
            <w:vAlign w:val="center"/>
          </w:tcPr>
          <w:p w14:paraId="3D2487A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54252B87" w14:textId="77777777">
        <w:trPr>
          <w:trHeight w:val="269"/>
          <w:jc w:val="center"/>
        </w:trPr>
        <w:tc>
          <w:tcPr>
            <w:tcW w:w="356" w:type="pct"/>
            <w:vAlign w:val="center"/>
          </w:tcPr>
          <w:p w14:paraId="73D0845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3</w:t>
            </w:r>
            <w:r w:rsidRPr="00E67914">
              <w:rPr>
                <w:rFonts w:ascii="Times New Roman" w:hAnsi="Times New Roman"/>
                <w:sz w:val="21"/>
                <w:szCs w:val="21"/>
              </w:rPr>
              <w:t>）</w:t>
            </w:r>
          </w:p>
        </w:tc>
        <w:tc>
          <w:tcPr>
            <w:tcW w:w="2532" w:type="pct"/>
            <w:vAlign w:val="center"/>
          </w:tcPr>
          <w:p w14:paraId="2171D7B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加强矿产资源综合利用，合理开发利用煤炭、天然气、页岩气、卤水等矿产资源</w:t>
            </w:r>
            <w:r w:rsidRPr="00E67914">
              <w:rPr>
                <w:rFonts w:ascii="Times New Roman" w:hAnsi="Times New Roman"/>
                <w:sz w:val="21"/>
                <w:szCs w:val="21"/>
                <w:lang w:eastAsia="zh-CN"/>
              </w:rPr>
              <w:t>···</w:t>
            </w:r>
          </w:p>
        </w:tc>
        <w:tc>
          <w:tcPr>
            <w:tcW w:w="1586" w:type="pct"/>
            <w:vAlign w:val="center"/>
          </w:tcPr>
          <w:p w14:paraId="276E81A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本项目属于天然气试采项目。</w:t>
            </w:r>
          </w:p>
        </w:tc>
        <w:tc>
          <w:tcPr>
            <w:tcW w:w="526" w:type="pct"/>
            <w:vAlign w:val="center"/>
          </w:tcPr>
          <w:p w14:paraId="557066D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59676F9" w14:textId="77777777">
        <w:trPr>
          <w:trHeight w:val="269"/>
          <w:jc w:val="center"/>
        </w:trPr>
        <w:tc>
          <w:tcPr>
            <w:tcW w:w="356" w:type="pct"/>
            <w:vAlign w:val="center"/>
          </w:tcPr>
          <w:p w14:paraId="3103BE7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4</w:t>
            </w:r>
            <w:r w:rsidRPr="00E67914">
              <w:rPr>
                <w:rFonts w:ascii="Times New Roman" w:hAnsi="Times New Roman"/>
                <w:sz w:val="21"/>
                <w:szCs w:val="21"/>
              </w:rPr>
              <w:t>）</w:t>
            </w:r>
          </w:p>
        </w:tc>
        <w:tc>
          <w:tcPr>
            <w:tcW w:w="2532" w:type="pct"/>
            <w:vAlign w:val="center"/>
          </w:tcPr>
          <w:p w14:paraId="77AE048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加强矿山开采、天然气勘探开发全过程环境管理</w:t>
            </w:r>
            <w:r w:rsidRPr="00E67914">
              <w:rPr>
                <w:rFonts w:ascii="Times New Roman" w:hAnsi="Times New Roman"/>
                <w:sz w:val="21"/>
                <w:szCs w:val="21"/>
                <w:lang w:eastAsia="zh-CN"/>
              </w:rPr>
              <w:t>···</w:t>
            </w:r>
          </w:p>
        </w:tc>
        <w:tc>
          <w:tcPr>
            <w:tcW w:w="1586" w:type="pct"/>
            <w:vAlign w:val="center"/>
          </w:tcPr>
          <w:p w14:paraId="69F0F5E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本项目在施工及运营期均严格落实各项环境保护措施，全过程加强对环境的管理。</w:t>
            </w:r>
          </w:p>
        </w:tc>
        <w:tc>
          <w:tcPr>
            <w:tcW w:w="526" w:type="pct"/>
            <w:vAlign w:val="center"/>
          </w:tcPr>
          <w:p w14:paraId="5C167BC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7C2A795E" w14:textId="77777777">
        <w:trPr>
          <w:trHeight w:val="269"/>
          <w:jc w:val="center"/>
        </w:trPr>
        <w:tc>
          <w:tcPr>
            <w:tcW w:w="356" w:type="pct"/>
            <w:vAlign w:val="center"/>
          </w:tcPr>
          <w:p w14:paraId="585F22D2"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5</w:t>
            </w:r>
          </w:p>
        </w:tc>
        <w:tc>
          <w:tcPr>
            <w:tcW w:w="2532" w:type="pct"/>
            <w:vAlign w:val="center"/>
          </w:tcPr>
          <w:p w14:paraId="54C7AF8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重点支持普光经济开发区开展天然气钻井岩屑资源化利用</w:t>
            </w:r>
            <w:r w:rsidRPr="00E67914">
              <w:rPr>
                <w:rFonts w:ascii="Times New Roman" w:hAnsi="Times New Roman"/>
                <w:sz w:val="21"/>
                <w:szCs w:val="21"/>
                <w:lang w:eastAsia="zh-CN"/>
              </w:rPr>
              <w:t>···</w:t>
            </w:r>
          </w:p>
        </w:tc>
        <w:tc>
          <w:tcPr>
            <w:tcW w:w="1586" w:type="pct"/>
            <w:vAlign w:val="center"/>
          </w:tcPr>
          <w:p w14:paraId="0BA499D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本项目所产生的钻井岩屑均得到妥善的资源化利用</w:t>
            </w:r>
          </w:p>
        </w:tc>
        <w:tc>
          <w:tcPr>
            <w:tcW w:w="526" w:type="pct"/>
            <w:vAlign w:val="center"/>
          </w:tcPr>
          <w:p w14:paraId="44AEACDD"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bl>
    <w:p w14:paraId="047EF83F"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综上所述，本项目与《达州市</w:t>
      </w:r>
      <w:r w:rsidRPr="00E67914">
        <w:rPr>
          <w:rFonts w:ascii="Times New Roman" w:hAnsi="Times New Roman"/>
          <w:sz w:val="24"/>
          <w:lang w:eastAsia="zh-CN"/>
        </w:rPr>
        <w:t>“</w:t>
      </w:r>
      <w:r w:rsidRPr="00E67914">
        <w:rPr>
          <w:rFonts w:ascii="Times New Roman" w:hAnsi="Times New Roman"/>
          <w:sz w:val="24"/>
          <w:lang w:eastAsia="zh-CN"/>
        </w:rPr>
        <w:t>十四五</w:t>
      </w:r>
      <w:r w:rsidRPr="00E67914">
        <w:rPr>
          <w:rFonts w:ascii="Times New Roman" w:hAnsi="Times New Roman"/>
          <w:sz w:val="24"/>
          <w:lang w:eastAsia="zh-CN"/>
        </w:rPr>
        <w:t>”</w:t>
      </w:r>
      <w:r w:rsidRPr="00E67914">
        <w:rPr>
          <w:rFonts w:ascii="Times New Roman" w:hAnsi="Times New Roman"/>
          <w:sz w:val="24"/>
          <w:lang w:eastAsia="zh-CN"/>
        </w:rPr>
        <w:t>生态环境保护规划》相符。</w:t>
      </w:r>
    </w:p>
    <w:p w14:paraId="16064E59"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7</w:t>
      </w:r>
      <w:r w:rsidRPr="00E67914">
        <w:rPr>
          <w:rFonts w:ascii="Times New Roman" w:eastAsia="黑体" w:hAnsi="Times New Roman"/>
          <w:bCs/>
          <w:kern w:val="2"/>
          <w:sz w:val="24"/>
          <w:szCs w:val="24"/>
          <w:lang w:eastAsia="zh-CN"/>
        </w:rPr>
        <w:t>、与《地下水管理条例》的符合性分析</w:t>
      </w:r>
    </w:p>
    <w:p w14:paraId="0AF86E6C" w14:textId="77777777" w:rsidR="00A54A8A" w:rsidRPr="00E67914" w:rsidRDefault="00000000">
      <w:pPr>
        <w:pStyle w:val="L-"/>
        <w:adjustRightInd w:val="0"/>
        <w:spacing w:line="360" w:lineRule="auto"/>
        <w:ind w:firstLineChars="200"/>
        <w:rPr>
          <w:rFonts w:ascii="Times New Roman" w:cs="Times New Roman"/>
          <w:color w:val="auto"/>
        </w:rPr>
      </w:pPr>
      <w:r w:rsidRPr="00E67914">
        <w:rPr>
          <w:rFonts w:ascii="Times New Roman" w:cs="Times New Roman"/>
          <w:color w:val="auto"/>
        </w:rPr>
        <w:t>2021</w:t>
      </w:r>
      <w:r w:rsidRPr="00E67914">
        <w:rPr>
          <w:rFonts w:ascii="Times New Roman" w:cs="Times New Roman"/>
          <w:color w:val="auto"/>
        </w:rPr>
        <w:t>年</w:t>
      </w:r>
      <w:r w:rsidRPr="00E67914">
        <w:rPr>
          <w:rFonts w:ascii="Times New Roman" w:cs="Times New Roman"/>
          <w:color w:val="auto"/>
        </w:rPr>
        <w:t>9</w:t>
      </w:r>
      <w:r w:rsidRPr="00E67914">
        <w:rPr>
          <w:rFonts w:ascii="Times New Roman" w:cs="Times New Roman"/>
          <w:color w:val="auto"/>
        </w:rPr>
        <w:t>月</w:t>
      </w:r>
      <w:r w:rsidRPr="00E67914">
        <w:rPr>
          <w:rFonts w:ascii="Times New Roman" w:cs="Times New Roman"/>
          <w:color w:val="auto"/>
        </w:rPr>
        <w:t>15</w:t>
      </w:r>
      <w:r w:rsidRPr="00E67914">
        <w:rPr>
          <w:rFonts w:ascii="Times New Roman" w:cs="Times New Roman"/>
          <w:color w:val="auto"/>
        </w:rPr>
        <w:t>日国务院第</w:t>
      </w:r>
      <w:r w:rsidRPr="00E67914">
        <w:rPr>
          <w:rFonts w:ascii="Times New Roman" w:cs="Times New Roman"/>
          <w:color w:val="auto"/>
        </w:rPr>
        <w:t>149</w:t>
      </w:r>
      <w:r w:rsidRPr="00E67914">
        <w:rPr>
          <w:rFonts w:ascii="Times New Roman" w:cs="Times New Roman"/>
          <w:color w:val="auto"/>
        </w:rPr>
        <w:t>次常务会议通过，</w:t>
      </w:r>
      <w:r w:rsidRPr="00E67914">
        <w:rPr>
          <w:rFonts w:ascii="Times New Roman" w:cs="Times New Roman"/>
          <w:color w:val="auto"/>
        </w:rPr>
        <w:t>2021</w:t>
      </w:r>
      <w:r w:rsidRPr="00E67914">
        <w:rPr>
          <w:rFonts w:ascii="Times New Roman" w:cs="Times New Roman"/>
          <w:color w:val="auto"/>
        </w:rPr>
        <w:t>年</w:t>
      </w:r>
      <w:r w:rsidRPr="00E67914">
        <w:rPr>
          <w:rFonts w:ascii="Times New Roman" w:cs="Times New Roman"/>
          <w:color w:val="auto"/>
        </w:rPr>
        <w:t>10</w:t>
      </w:r>
      <w:r w:rsidRPr="00E67914">
        <w:rPr>
          <w:rFonts w:ascii="Times New Roman" w:cs="Times New Roman"/>
          <w:color w:val="auto"/>
        </w:rPr>
        <w:t>月</w:t>
      </w:r>
      <w:r w:rsidRPr="00E67914">
        <w:rPr>
          <w:rFonts w:ascii="Times New Roman" w:cs="Times New Roman"/>
          <w:color w:val="auto"/>
        </w:rPr>
        <w:t>29</w:t>
      </w:r>
      <w:r w:rsidRPr="00E67914">
        <w:rPr>
          <w:rFonts w:ascii="Times New Roman" w:cs="Times New Roman"/>
          <w:color w:val="auto"/>
        </w:rPr>
        <w:t>日公布，自</w:t>
      </w:r>
      <w:r w:rsidRPr="00E67914">
        <w:rPr>
          <w:rFonts w:ascii="Times New Roman" w:cs="Times New Roman"/>
          <w:color w:val="auto"/>
        </w:rPr>
        <w:t>2021</w:t>
      </w:r>
      <w:r w:rsidRPr="00E67914">
        <w:rPr>
          <w:rFonts w:ascii="Times New Roman" w:cs="Times New Roman"/>
          <w:color w:val="auto"/>
        </w:rPr>
        <w:t>年</w:t>
      </w:r>
      <w:r w:rsidRPr="00E67914">
        <w:rPr>
          <w:rFonts w:ascii="Times New Roman" w:cs="Times New Roman"/>
          <w:color w:val="auto"/>
        </w:rPr>
        <w:t>12</w:t>
      </w:r>
      <w:r w:rsidRPr="00E67914">
        <w:rPr>
          <w:rFonts w:ascii="Times New Roman" w:cs="Times New Roman"/>
          <w:color w:val="auto"/>
        </w:rPr>
        <w:t>月</w:t>
      </w:r>
      <w:r w:rsidRPr="00E67914">
        <w:rPr>
          <w:rFonts w:ascii="Times New Roman" w:cs="Times New Roman"/>
          <w:color w:val="auto"/>
        </w:rPr>
        <w:t>1</w:t>
      </w:r>
      <w:r w:rsidRPr="00E67914">
        <w:rPr>
          <w:rFonts w:ascii="Times New Roman" w:cs="Times New Roman"/>
          <w:color w:val="auto"/>
        </w:rPr>
        <w:t>日起施行的《地下水管理条例》，本项目与其符合性分析见表</w:t>
      </w:r>
      <w:r w:rsidRPr="00E67914">
        <w:rPr>
          <w:rFonts w:ascii="Times New Roman" w:cs="Times New Roman"/>
          <w:color w:val="auto"/>
        </w:rPr>
        <w:t>2.7-6</w:t>
      </w:r>
      <w:r w:rsidRPr="00E67914">
        <w:rPr>
          <w:rFonts w:ascii="Times New Roman" w:cs="Times New Roman"/>
          <w:color w:val="auto"/>
        </w:rPr>
        <w:t>。通过对比分析，本项目符合该条例的相关要求。</w:t>
      </w:r>
    </w:p>
    <w:p w14:paraId="77B0E0A6"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2.7-6  </w:t>
      </w:r>
      <w:r w:rsidRPr="00E67914">
        <w:rPr>
          <w:rFonts w:ascii="Times New Roman" w:eastAsia="黑体" w:hAnsi="Times New Roman"/>
          <w:sz w:val="21"/>
          <w:szCs w:val="21"/>
          <w:lang w:eastAsia="zh-CN"/>
        </w:rPr>
        <w:t>与《地下水管理条例》符合性分析</w:t>
      </w:r>
    </w:p>
    <w:tbl>
      <w:tblPr>
        <w:tblStyle w:val="affa"/>
        <w:tblW w:w="0" w:type="auto"/>
        <w:tblLook w:val="04A0" w:firstRow="1" w:lastRow="0" w:firstColumn="1" w:lastColumn="0" w:noHBand="0" w:noVBand="1"/>
      </w:tblPr>
      <w:tblGrid>
        <w:gridCol w:w="359"/>
        <w:gridCol w:w="4421"/>
        <w:gridCol w:w="3123"/>
        <w:gridCol w:w="393"/>
      </w:tblGrid>
      <w:tr w:rsidR="00E67914" w:rsidRPr="00E67914" w14:paraId="0745F195" w14:textId="77777777" w:rsidTr="008717CC">
        <w:tc>
          <w:tcPr>
            <w:tcW w:w="0" w:type="auto"/>
            <w:tcMar>
              <w:left w:w="57" w:type="dxa"/>
              <w:right w:w="57" w:type="dxa"/>
            </w:tcMar>
            <w:vAlign w:val="center"/>
          </w:tcPr>
          <w:p w14:paraId="57A74214" w14:textId="77777777" w:rsidR="00A54A8A" w:rsidRPr="00E67914" w:rsidRDefault="00000000">
            <w:pPr>
              <w:pStyle w:val="affffff8"/>
              <w:ind w:left="0" w:right="0"/>
              <w:rPr>
                <w:rFonts w:ascii="Times New Roman" w:hAnsi="Times New Roman" w:cs="Times New Roman"/>
                <w:snapToGrid/>
                <w:spacing w:val="0"/>
                <w:sz w:val="21"/>
              </w:rPr>
            </w:pPr>
            <w:bookmarkStart w:id="36" w:name="_Hlk95470983"/>
            <w:r w:rsidRPr="00E67914">
              <w:rPr>
                <w:rFonts w:ascii="Times New Roman" w:hAnsi="Times New Roman" w:cs="Times New Roman"/>
                <w:snapToGrid/>
                <w:spacing w:val="0"/>
                <w:sz w:val="21"/>
              </w:rPr>
              <w:t>序号</w:t>
            </w:r>
          </w:p>
        </w:tc>
        <w:tc>
          <w:tcPr>
            <w:tcW w:w="4421" w:type="dxa"/>
            <w:tcMar>
              <w:left w:w="57" w:type="dxa"/>
              <w:right w:w="57" w:type="dxa"/>
            </w:tcMar>
            <w:vAlign w:val="center"/>
          </w:tcPr>
          <w:p w14:paraId="469EEA2F"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相关要求（摘录）</w:t>
            </w:r>
          </w:p>
        </w:tc>
        <w:tc>
          <w:tcPr>
            <w:tcW w:w="3123" w:type="dxa"/>
            <w:tcMar>
              <w:left w:w="57" w:type="dxa"/>
              <w:right w:w="57" w:type="dxa"/>
            </w:tcMar>
            <w:vAlign w:val="center"/>
          </w:tcPr>
          <w:p w14:paraId="598ADCA6"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本项目情况</w:t>
            </w:r>
          </w:p>
        </w:tc>
        <w:tc>
          <w:tcPr>
            <w:tcW w:w="0" w:type="auto"/>
            <w:tcMar>
              <w:left w:w="57" w:type="dxa"/>
              <w:right w:w="57" w:type="dxa"/>
            </w:tcMar>
            <w:vAlign w:val="center"/>
          </w:tcPr>
          <w:p w14:paraId="3F3FA266"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符合性</w:t>
            </w:r>
          </w:p>
        </w:tc>
      </w:tr>
      <w:tr w:rsidR="00E67914" w:rsidRPr="00E67914" w14:paraId="5333CA23" w14:textId="77777777" w:rsidTr="008717CC">
        <w:tc>
          <w:tcPr>
            <w:tcW w:w="0" w:type="auto"/>
            <w:tcMar>
              <w:left w:w="57" w:type="dxa"/>
              <w:right w:w="57" w:type="dxa"/>
            </w:tcMar>
            <w:vAlign w:val="center"/>
          </w:tcPr>
          <w:p w14:paraId="2151A265"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1</w:t>
            </w:r>
          </w:p>
        </w:tc>
        <w:tc>
          <w:tcPr>
            <w:tcW w:w="4421" w:type="dxa"/>
            <w:tcMar>
              <w:left w:w="57" w:type="dxa"/>
              <w:right w:w="57" w:type="dxa"/>
            </w:tcMar>
            <w:vAlign w:val="center"/>
          </w:tcPr>
          <w:p w14:paraId="53CFB82F"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建设单位和个人应当采取措施防止地下工程建设对地下水补给、径流、排泄等造成重大不利影响。对开挖达到一定深度或者达到一定排水规模的地下工程，建设单位和个人应当于工程开工前，将工程建设方案和防止对地下水产生不利影响的措施方案报有管理权限的水行政主管部门备案。开挖深度和排水规模由省、自治区、直辖市人民政府制定、公布。</w:t>
            </w:r>
          </w:p>
        </w:tc>
        <w:tc>
          <w:tcPr>
            <w:tcW w:w="3123" w:type="dxa"/>
            <w:tcMar>
              <w:left w:w="57" w:type="dxa"/>
              <w:right w:w="57" w:type="dxa"/>
            </w:tcMar>
            <w:vAlign w:val="center"/>
          </w:tcPr>
          <w:p w14:paraId="62D9C574"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本项目采取了严格措施（浅层钻采用清水配制的膨润土浆、设置了分区防渗等）防止地下工程建设对地下水补给、径流、排泄等造成重大不利影响</w:t>
            </w:r>
          </w:p>
        </w:tc>
        <w:tc>
          <w:tcPr>
            <w:tcW w:w="0" w:type="auto"/>
            <w:tcMar>
              <w:left w:w="57" w:type="dxa"/>
              <w:right w:w="57" w:type="dxa"/>
            </w:tcMar>
            <w:vAlign w:val="center"/>
          </w:tcPr>
          <w:p w14:paraId="5778DFEF"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r w:rsidR="00E67914" w:rsidRPr="00E67914" w14:paraId="4AFB0DA3" w14:textId="77777777" w:rsidTr="008717CC">
        <w:tc>
          <w:tcPr>
            <w:tcW w:w="0" w:type="auto"/>
            <w:tcMar>
              <w:left w:w="57" w:type="dxa"/>
              <w:right w:w="57" w:type="dxa"/>
            </w:tcMar>
            <w:vAlign w:val="center"/>
          </w:tcPr>
          <w:p w14:paraId="04DE734A"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2</w:t>
            </w:r>
          </w:p>
        </w:tc>
        <w:tc>
          <w:tcPr>
            <w:tcW w:w="4421" w:type="dxa"/>
            <w:tcMar>
              <w:left w:w="57" w:type="dxa"/>
              <w:right w:w="57" w:type="dxa"/>
            </w:tcMar>
            <w:vAlign w:val="center"/>
          </w:tcPr>
          <w:p w14:paraId="64F997CD"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禁止下列污染或者可能污染地下水的行为</w:t>
            </w:r>
            <w:r w:rsidRPr="00E67914">
              <w:rPr>
                <w:rFonts w:ascii="Times New Roman" w:hAnsi="Times New Roman" w:cs="Times New Roman"/>
                <w:snapToGrid/>
                <w:spacing w:val="0"/>
                <w:sz w:val="21"/>
              </w:rPr>
              <w:t>:</w:t>
            </w:r>
          </w:p>
          <w:p w14:paraId="56417CF8"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（一）利用渗井、渗坑、裂隙、溶洞以及私设暗管等逃避监管的方式排放水污染物；</w:t>
            </w:r>
          </w:p>
          <w:p w14:paraId="29642CB5"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（二）利用岩层孔隙、裂隙、溶洞、废弃矿坑等贮存石化原料及产品、农药、危险废物、城镇污水处理设施产生的污泥和处理后的污泥或者其他有毒有害物质；</w:t>
            </w:r>
          </w:p>
          <w:p w14:paraId="0313E3D7"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（三）利用无防渗漏措施的沟渠、坑塘等输送或者贮存含有毒污染物的废水、含病原体的污水和其他废弃物；</w:t>
            </w:r>
          </w:p>
          <w:p w14:paraId="2D18588B"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（四）法律、法规禁止的其他污染或者可能污染地下水的行为</w:t>
            </w:r>
          </w:p>
        </w:tc>
        <w:tc>
          <w:tcPr>
            <w:tcW w:w="3123" w:type="dxa"/>
            <w:tcMar>
              <w:left w:w="57" w:type="dxa"/>
              <w:right w:w="57" w:type="dxa"/>
            </w:tcMar>
            <w:vAlign w:val="center"/>
          </w:tcPr>
          <w:p w14:paraId="1A099123"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本项目制定了严格措施防止项目建设运营对地下水造成污染</w:t>
            </w:r>
          </w:p>
        </w:tc>
        <w:tc>
          <w:tcPr>
            <w:tcW w:w="0" w:type="auto"/>
            <w:tcMar>
              <w:left w:w="57" w:type="dxa"/>
              <w:right w:w="57" w:type="dxa"/>
            </w:tcMar>
            <w:vAlign w:val="center"/>
          </w:tcPr>
          <w:p w14:paraId="7C119E83"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r w:rsidR="00E67914" w:rsidRPr="00E67914" w14:paraId="78C21682" w14:textId="77777777" w:rsidTr="008717CC">
        <w:tc>
          <w:tcPr>
            <w:tcW w:w="0" w:type="auto"/>
            <w:tcMar>
              <w:left w:w="57" w:type="dxa"/>
              <w:right w:w="57" w:type="dxa"/>
            </w:tcMar>
            <w:vAlign w:val="center"/>
          </w:tcPr>
          <w:p w14:paraId="1C46FE68"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lastRenderedPageBreak/>
              <w:t>3</w:t>
            </w:r>
          </w:p>
        </w:tc>
        <w:tc>
          <w:tcPr>
            <w:tcW w:w="4421" w:type="dxa"/>
            <w:tcMar>
              <w:left w:w="57" w:type="dxa"/>
              <w:right w:w="57" w:type="dxa"/>
            </w:tcMar>
            <w:vAlign w:val="center"/>
          </w:tcPr>
          <w:p w14:paraId="6A9AAD9A"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企业事业单位和其他生产经营者应当采取下列措施，防止地下水污染</w:t>
            </w:r>
            <w:r w:rsidRPr="00E67914">
              <w:rPr>
                <w:rFonts w:ascii="Times New Roman" w:hAnsi="Times New Roman" w:cs="Times New Roman"/>
                <w:snapToGrid/>
                <w:spacing w:val="0"/>
                <w:sz w:val="21"/>
              </w:rPr>
              <w:t>:</w:t>
            </w:r>
          </w:p>
          <w:p w14:paraId="4B02D445"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（一）兴建地下工程设施或者进行地下勘探、采矿等活动，依法编制的环境影响评价文件中，应当包括地下水污染防治的内容，并采取防护性措施；</w:t>
            </w:r>
          </w:p>
          <w:p w14:paraId="4696476A"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（二）化学品生产企业以及工业集聚区、矿山开采区、尾矿库、危险废物处置场、垃圾填埋场等的运营、管理单位，应当采取防渗漏等措施，并建设地下水水质监测井进行监测；</w:t>
            </w:r>
          </w:p>
          <w:p w14:paraId="0E3E7A03"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（三）加油站等的地下油罐应当使用双层罐或者采取建造防渗池等其他有效措施，并进行防渗漏监测；</w:t>
            </w:r>
          </w:p>
          <w:p w14:paraId="0DDB8A07"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（四）存放可溶性剧毒废渣的场所，应当采取防水、防渗漏、防流失的措施；</w:t>
            </w:r>
          </w:p>
          <w:p w14:paraId="3A4AE637"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（五）法律、法规规定应当采取的其他防止地下水污染的措施</w:t>
            </w:r>
          </w:p>
        </w:tc>
        <w:tc>
          <w:tcPr>
            <w:tcW w:w="3123" w:type="dxa"/>
            <w:tcMar>
              <w:left w:w="57" w:type="dxa"/>
              <w:right w:w="57" w:type="dxa"/>
            </w:tcMar>
            <w:vAlign w:val="center"/>
          </w:tcPr>
          <w:p w14:paraId="666EA43E"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（一）本项目依法编制的环境影响评价文件中，包括了地下水污染防治的内容，并采了取防护性措施；</w:t>
            </w:r>
          </w:p>
          <w:p w14:paraId="3D9FDDAD"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（二）本项目不属于化学品生产企业以及工业集聚区、矿山开采区、尾矿库、危险废物处置场、垃圾填埋场等的运营、管理单位；</w:t>
            </w:r>
          </w:p>
          <w:p w14:paraId="3908190E"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（三）本项目没有地下油罐，同时项目采取了分区防渗措施；</w:t>
            </w:r>
          </w:p>
          <w:p w14:paraId="06B5F473"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（四）本项目设置的危险废物暂存区采取了重点防渗措施，满足防水、防渗漏、防流失的要求；</w:t>
            </w:r>
          </w:p>
          <w:p w14:paraId="0D6F8266"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（五）本项目落实了法律、法规规定的应当采取的其他防止地下水污染的措施</w:t>
            </w:r>
          </w:p>
        </w:tc>
        <w:tc>
          <w:tcPr>
            <w:tcW w:w="0" w:type="auto"/>
            <w:tcMar>
              <w:left w:w="57" w:type="dxa"/>
              <w:right w:w="57" w:type="dxa"/>
            </w:tcMar>
            <w:vAlign w:val="center"/>
          </w:tcPr>
          <w:p w14:paraId="09EA3363"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r w:rsidR="00E67914" w:rsidRPr="00E67914" w14:paraId="768DA53D" w14:textId="77777777" w:rsidTr="008717CC">
        <w:tc>
          <w:tcPr>
            <w:tcW w:w="0" w:type="auto"/>
            <w:tcMar>
              <w:left w:w="57" w:type="dxa"/>
              <w:right w:w="57" w:type="dxa"/>
            </w:tcMar>
            <w:vAlign w:val="center"/>
          </w:tcPr>
          <w:p w14:paraId="48E6663F"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4</w:t>
            </w:r>
          </w:p>
        </w:tc>
        <w:tc>
          <w:tcPr>
            <w:tcW w:w="4421" w:type="dxa"/>
            <w:tcMar>
              <w:left w:w="57" w:type="dxa"/>
              <w:right w:w="57" w:type="dxa"/>
            </w:tcMar>
            <w:vAlign w:val="center"/>
          </w:tcPr>
          <w:p w14:paraId="49ED63D1"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在泉域保护范围以及岩溶强发育、存在较多落水洞和岩溶漏斗的区域内，不得新建、改建、扩建可能造成地下水污染的建设项目</w:t>
            </w:r>
          </w:p>
        </w:tc>
        <w:tc>
          <w:tcPr>
            <w:tcW w:w="3123" w:type="dxa"/>
            <w:tcMar>
              <w:left w:w="57" w:type="dxa"/>
              <w:right w:w="57" w:type="dxa"/>
            </w:tcMar>
            <w:vAlign w:val="center"/>
          </w:tcPr>
          <w:p w14:paraId="331B161A"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本项目不在泉域保护范围以及岩溶强发育、存在较多落水洞和岩溶漏斗的区域</w:t>
            </w:r>
          </w:p>
        </w:tc>
        <w:tc>
          <w:tcPr>
            <w:tcW w:w="0" w:type="auto"/>
            <w:tcMar>
              <w:left w:w="57" w:type="dxa"/>
              <w:right w:w="57" w:type="dxa"/>
            </w:tcMar>
            <w:vAlign w:val="center"/>
          </w:tcPr>
          <w:p w14:paraId="312BC0BB"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bl>
    <w:bookmarkEnd w:id="36"/>
    <w:p w14:paraId="33091729"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综上所述，本项目的建设与《地下水管理条例》相符。</w:t>
      </w:r>
    </w:p>
    <w:p w14:paraId="7ECA5F6D"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eastAsia="黑体" w:hAnsi="Times New Roman"/>
          <w:bCs/>
          <w:kern w:val="2"/>
          <w:sz w:val="24"/>
          <w:szCs w:val="24"/>
          <w:lang w:eastAsia="zh-CN"/>
        </w:rPr>
        <w:t>8</w:t>
      </w:r>
      <w:r w:rsidRPr="00E67914">
        <w:rPr>
          <w:rFonts w:ascii="Times New Roman" w:eastAsia="黑体" w:hAnsi="Times New Roman"/>
          <w:bCs/>
          <w:kern w:val="2"/>
          <w:sz w:val="24"/>
          <w:szCs w:val="24"/>
          <w:lang w:eastAsia="zh-CN"/>
        </w:rPr>
        <w:t>、与达州市</w:t>
      </w:r>
      <w:r w:rsidRPr="00E67914">
        <w:rPr>
          <w:rFonts w:ascii="Times New Roman" w:eastAsia="黑体" w:hAnsi="Times New Roman"/>
          <w:bCs/>
          <w:kern w:val="2"/>
          <w:sz w:val="24"/>
          <w:szCs w:val="24"/>
          <w:lang w:eastAsia="zh-CN"/>
        </w:rPr>
        <w:t>“</w:t>
      </w:r>
      <w:r w:rsidRPr="00E67914">
        <w:rPr>
          <w:rFonts w:ascii="Times New Roman" w:eastAsia="黑体" w:hAnsi="Times New Roman"/>
          <w:bCs/>
          <w:kern w:val="2"/>
          <w:sz w:val="24"/>
          <w:szCs w:val="24"/>
          <w:lang w:eastAsia="zh-CN"/>
        </w:rPr>
        <w:t>三区三线</w:t>
      </w:r>
      <w:r w:rsidRPr="00E67914">
        <w:rPr>
          <w:rFonts w:ascii="Times New Roman" w:eastAsia="黑体" w:hAnsi="Times New Roman"/>
          <w:bCs/>
          <w:kern w:val="2"/>
          <w:sz w:val="24"/>
          <w:szCs w:val="24"/>
          <w:lang w:eastAsia="zh-CN"/>
        </w:rPr>
        <w:t>”</w:t>
      </w:r>
      <w:r w:rsidRPr="00E67914">
        <w:rPr>
          <w:rFonts w:ascii="Times New Roman" w:eastAsia="黑体" w:hAnsi="Times New Roman"/>
          <w:bCs/>
          <w:kern w:val="2"/>
          <w:sz w:val="24"/>
          <w:szCs w:val="24"/>
          <w:lang w:eastAsia="zh-CN"/>
        </w:rPr>
        <w:t>的符合性分析</w:t>
      </w:r>
    </w:p>
    <w:p w14:paraId="34BBC924"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2.7-7  </w:t>
      </w:r>
      <w:r w:rsidRPr="00E67914">
        <w:rPr>
          <w:rFonts w:ascii="Times New Roman" w:eastAsia="黑体" w:hAnsi="Times New Roman"/>
          <w:sz w:val="21"/>
          <w:szCs w:val="21"/>
          <w:lang w:eastAsia="zh-CN"/>
        </w:rPr>
        <w:t>与达州市</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三区三线</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符合性分析</w:t>
      </w:r>
    </w:p>
    <w:tbl>
      <w:tblPr>
        <w:tblStyle w:val="affa"/>
        <w:tblW w:w="0" w:type="auto"/>
        <w:tblLook w:val="04A0" w:firstRow="1" w:lastRow="0" w:firstColumn="1" w:lastColumn="0" w:noHBand="0" w:noVBand="1"/>
      </w:tblPr>
      <w:tblGrid>
        <w:gridCol w:w="562"/>
        <w:gridCol w:w="4218"/>
        <w:gridCol w:w="2728"/>
        <w:gridCol w:w="788"/>
      </w:tblGrid>
      <w:tr w:rsidR="00E67914" w:rsidRPr="00E67914" w14:paraId="7C954614" w14:textId="77777777">
        <w:tc>
          <w:tcPr>
            <w:tcW w:w="562" w:type="dxa"/>
            <w:tcMar>
              <w:left w:w="57" w:type="dxa"/>
              <w:right w:w="57" w:type="dxa"/>
            </w:tcMar>
            <w:vAlign w:val="center"/>
          </w:tcPr>
          <w:p w14:paraId="23203D53"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序号</w:t>
            </w:r>
          </w:p>
        </w:tc>
        <w:tc>
          <w:tcPr>
            <w:tcW w:w="4218" w:type="dxa"/>
            <w:tcMar>
              <w:left w:w="57" w:type="dxa"/>
              <w:right w:w="57" w:type="dxa"/>
            </w:tcMar>
            <w:vAlign w:val="center"/>
          </w:tcPr>
          <w:p w14:paraId="26DD6B6D"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相关要求</w:t>
            </w:r>
          </w:p>
        </w:tc>
        <w:tc>
          <w:tcPr>
            <w:tcW w:w="2728" w:type="dxa"/>
            <w:tcMar>
              <w:left w:w="57" w:type="dxa"/>
              <w:right w:w="57" w:type="dxa"/>
            </w:tcMar>
            <w:vAlign w:val="center"/>
          </w:tcPr>
          <w:p w14:paraId="176EF903"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本项目情况</w:t>
            </w:r>
          </w:p>
        </w:tc>
        <w:tc>
          <w:tcPr>
            <w:tcW w:w="788" w:type="dxa"/>
            <w:tcMar>
              <w:left w:w="57" w:type="dxa"/>
              <w:right w:w="57" w:type="dxa"/>
            </w:tcMar>
            <w:vAlign w:val="center"/>
          </w:tcPr>
          <w:p w14:paraId="17539559"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符合性</w:t>
            </w:r>
          </w:p>
        </w:tc>
      </w:tr>
      <w:tr w:rsidR="00E67914" w:rsidRPr="00E67914" w14:paraId="5E965D11" w14:textId="77777777">
        <w:tc>
          <w:tcPr>
            <w:tcW w:w="562" w:type="dxa"/>
            <w:tcMar>
              <w:left w:w="57" w:type="dxa"/>
              <w:right w:w="57" w:type="dxa"/>
            </w:tcMar>
            <w:vAlign w:val="center"/>
          </w:tcPr>
          <w:p w14:paraId="05AE69CD" w14:textId="77777777" w:rsidR="00F614B9" w:rsidRPr="00E67914" w:rsidRDefault="00F614B9">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1</w:t>
            </w:r>
          </w:p>
        </w:tc>
        <w:tc>
          <w:tcPr>
            <w:tcW w:w="4218" w:type="dxa"/>
            <w:tcMar>
              <w:left w:w="57" w:type="dxa"/>
              <w:right w:w="57" w:type="dxa"/>
            </w:tcMar>
            <w:vAlign w:val="center"/>
          </w:tcPr>
          <w:p w14:paraId="0F1D8CC1" w14:textId="77777777" w:rsidR="00F614B9" w:rsidRPr="00E67914" w:rsidRDefault="00F614B9">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城镇空间：以城镇居民生产、生活为主体功能的国土空间，包括城镇建设空间、工矿建设空间以及部分乡级政府驻地的开发建设空间。</w:t>
            </w:r>
          </w:p>
        </w:tc>
        <w:tc>
          <w:tcPr>
            <w:tcW w:w="2728" w:type="dxa"/>
            <w:vMerge w:val="restart"/>
            <w:tcMar>
              <w:left w:w="57" w:type="dxa"/>
              <w:right w:w="57" w:type="dxa"/>
            </w:tcMar>
            <w:vAlign w:val="center"/>
          </w:tcPr>
          <w:p w14:paraId="7BAD9330" w14:textId="1E0B3E5C" w:rsidR="00F614B9" w:rsidRPr="00E67914" w:rsidRDefault="00F614B9" w:rsidP="00007102">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本项目占地涉及基本农田</w:t>
            </w:r>
            <w:r w:rsidR="0012657A" w:rsidRPr="00E67914">
              <w:rPr>
                <w:rFonts w:ascii="Times New Roman" w:hAnsi="Times New Roman" w:cs="Times New Roman"/>
                <w:snapToGrid/>
                <w:spacing w:val="0"/>
                <w:sz w:val="21"/>
              </w:rPr>
              <w:t>，具体相对位置关系见附图</w:t>
            </w:r>
            <w:r w:rsidR="0012657A" w:rsidRPr="00E67914">
              <w:rPr>
                <w:rFonts w:ascii="Times New Roman" w:hAnsi="Times New Roman" w:cs="Times New Roman"/>
                <w:snapToGrid/>
                <w:spacing w:val="0"/>
                <w:sz w:val="21"/>
              </w:rPr>
              <w:t>14</w:t>
            </w:r>
            <w:r w:rsidRPr="00E67914">
              <w:rPr>
                <w:rFonts w:ascii="Times New Roman" w:hAnsi="Times New Roman" w:cs="Times New Roman"/>
                <w:snapToGrid/>
                <w:spacing w:val="0"/>
                <w:sz w:val="21"/>
              </w:rPr>
              <w:t>，管线施工结束后立即复垦复植，为了降低对生态环境的影响，钻井及压裂试气期生活区设置在原普陆页</w:t>
            </w:r>
            <w:r w:rsidRPr="00E67914">
              <w:rPr>
                <w:rFonts w:ascii="Times New Roman" w:hAnsi="Times New Roman" w:cs="Times New Roman"/>
                <w:snapToGrid/>
                <w:spacing w:val="0"/>
                <w:sz w:val="21"/>
              </w:rPr>
              <w:t>2</w:t>
            </w:r>
            <w:r w:rsidRPr="00E67914">
              <w:rPr>
                <w:rFonts w:ascii="Times New Roman" w:hAnsi="Times New Roman" w:cs="Times New Roman"/>
                <w:snapToGrid/>
                <w:spacing w:val="0"/>
                <w:sz w:val="21"/>
              </w:rPr>
              <w:t>井场内，不新增占地。</w:t>
            </w:r>
          </w:p>
        </w:tc>
        <w:tc>
          <w:tcPr>
            <w:tcW w:w="788" w:type="dxa"/>
            <w:tcMar>
              <w:left w:w="57" w:type="dxa"/>
              <w:right w:w="57" w:type="dxa"/>
            </w:tcMar>
            <w:vAlign w:val="center"/>
          </w:tcPr>
          <w:p w14:paraId="4CF498CA" w14:textId="77777777" w:rsidR="00F614B9" w:rsidRPr="00E67914" w:rsidRDefault="00F614B9">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r w:rsidR="00E67914" w:rsidRPr="00E67914" w14:paraId="277EF37A" w14:textId="77777777">
        <w:tc>
          <w:tcPr>
            <w:tcW w:w="562" w:type="dxa"/>
            <w:tcMar>
              <w:left w:w="57" w:type="dxa"/>
              <w:right w:w="57" w:type="dxa"/>
            </w:tcMar>
            <w:vAlign w:val="center"/>
          </w:tcPr>
          <w:p w14:paraId="497D2D4B" w14:textId="77777777" w:rsidR="00F614B9" w:rsidRPr="00E67914" w:rsidRDefault="00F614B9">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2</w:t>
            </w:r>
          </w:p>
        </w:tc>
        <w:tc>
          <w:tcPr>
            <w:tcW w:w="4218" w:type="dxa"/>
            <w:tcMar>
              <w:left w:w="57" w:type="dxa"/>
              <w:right w:w="57" w:type="dxa"/>
            </w:tcMar>
            <w:vAlign w:val="center"/>
          </w:tcPr>
          <w:p w14:paraId="623F6119" w14:textId="77777777" w:rsidR="00F614B9" w:rsidRPr="00E67914" w:rsidRDefault="00F614B9">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农业空间：以农业生产和农村居民生活为主体功能，承担农产品生产和农村生活功能的国土空间，主要包括永久基本农田、一般农田等农业生产用地以及村庄等农村生活用地。</w:t>
            </w:r>
          </w:p>
        </w:tc>
        <w:tc>
          <w:tcPr>
            <w:tcW w:w="2728" w:type="dxa"/>
            <w:vMerge/>
            <w:tcMar>
              <w:left w:w="57" w:type="dxa"/>
              <w:right w:w="57" w:type="dxa"/>
            </w:tcMar>
            <w:vAlign w:val="center"/>
          </w:tcPr>
          <w:p w14:paraId="347CE788" w14:textId="6F2FF19F" w:rsidR="00F614B9" w:rsidRPr="00E67914" w:rsidRDefault="00F614B9">
            <w:pPr>
              <w:pStyle w:val="affffff8"/>
              <w:ind w:left="0" w:right="0"/>
              <w:jc w:val="both"/>
              <w:rPr>
                <w:rFonts w:ascii="Times New Roman" w:hAnsi="Times New Roman" w:cs="Times New Roman"/>
                <w:snapToGrid/>
                <w:spacing w:val="0"/>
                <w:sz w:val="21"/>
              </w:rPr>
            </w:pPr>
          </w:p>
        </w:tc>
        <w:tc>
          <w:tcPr>
            <w:tcW w:w="788" w:type="dxa"/>
            <w:tcMar>
              <w:left w:w="57" w:type="dxa"/>
              <w:right w:w="57" w:type="dxa"/>
            </w:tcMar>
            <w:vAlign w:val="center"/>
          </w:tcPr>
          <w:p w14:paraId="36CB1204" w14:textId="77777777" w:rsidR="00F614B9" w:rsidRPr="00E67914" w:rsidRDefault="00F614B9">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r w:rsidR="00E67914" w:rsidRPr="00E67914" w14:paraId="57954AB2" w14:textId="77777777">
        <w:tc>
          <w:tcPr>
            <w:tcW w:w="562" w:type="dxa"/>
            <w:tcMar>
              <w:left w:w="57" w:type="dxa"/>
              <w:right w:w="57" w:type="dxa"/>
            </w:tcMar>
            <w:vAlign w:val="center"/>
          </w:tcPr>
          <w:p w14:paraId="4C4F68DC" w14:textId="77777777" w:rsidR="00F614B9" w:rsidRPr="00E67914" w:rsidRDefault="00F614B9">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3</w:t>
            </w:r>
          </w:p>
        </w:tc>
        <w:tc>
          <w:tcPr>
            <w:tcW w:w="4218" w:type="dxa"/>
            <w:tcMar>
              <w:left w:w="57" w:type="dxa"/>
              <w:right w:w="57" w:type="dxa"/>
            </w:tcMar>
            <w:vAlign w:val="center"/>
          </w:tcPr>
          <w:p w14:paraId="1D769C16" w14:textId="77777777" w:rsidR="00F614B9" w:rsidRPr="00E67914" w:rsidRDefault="00F614B9">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生态空间：具有自然属性的，以提供生态服务或生态产品为主体功能的国土空间，包括森林、草原、湿地、河流、湖泊、滩涂、荒地、荒漠等。</w:t>
            </w:r>
          </w:p>
        </w:tc>
        <w:tc>
          <w:tcPr>
            <w:tcW w:w="2728" w:type="dxa"/>
            <w:vMerge/>
            <w:tcMar>
              <w:left w:w="57" w:type="dxa"/>
              <w:right w:w="57" w:type="dxa"/>
            </w:tcMar>
            <w:vAlign w:val="center"/>
          </w:tcPr>
          <w:p w14:paraId="6A4EBB80" w14:textId="77777777" w:rsidR="00F614B9" w:rsidRPr="00E67914" w:rsidRDefault="00F614B9">
            <w:pPr>
              <w:pStyle w:val="affffff8"/>
              <w:ind w:left="0" w:right="0"/>
              <w:jc w:val="both"/>
              <w:rPr>
                <w:rFonts w:ascii="Times New Roman" w:hAnsi="Times New Roman" w:cs="Times New Roman"/>
                <w:snapToGrid/>
                <w:spacing w:val="0"/>
                <w:sz w:val="21"/>
              </w:rPr>
            </w:pPr>
          </w:p>
        </w:tc>
        <w:tc>
          <w:tcPr>
            <w:tcW w:w="788" w:type="dxa"/>
            <w:tcMar>
              <w:left w:w="57" w:type="dxa"/>
              <w:right w:w="57" w:type="dxa"/>
            </w:tcMar>
            <w:vAlign w:val="center"/>
          </w:tcPr>
          <w:p w14:paraId="697C1096" w14:textId="77777777" w:rsidR="00F614B9" w:rsidRPr="00E67914" w:rsidRDefault="00F614B9">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r w:rsidR="00E67914" w:rsidRPr="00E67914" w14:paraId="0C68D3CC" w14:textId="77777777">
        <w:tc>
          <w:tcPr>
            <w:tcW w:w="562" w:type="dxa"/>
            <w:tcMar>
              <w:left w:w="57" w:type="dxa"/>
              <w:right w:w="57" w:type="dxa"/>
            </w:tcMar>
            <w:vAlign w:val="center"/>
          </w:tcPr>
          <w:p w14:paraId="155F6057"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4</w:t>
            </w:r>
          </w:p>
        </w:tc>
        <w:tc>
          <w:tcPr>
            <w:tcW w:w="4218" w:type="dxa"/>
            <w:tcMar>
              <w:left w:w="57" w:type="dxa"/>
              <w:right w:w="57" w:type="dxa"/>
            </w:tcMar>
            <w:vAlign w:val="center"/>
          </w:tcPr>
          <w:p w14:paraId="06FF9CA3"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生态保护红线：是在生态空间范围内具有特殊重要的生态功能、必须强制性严格保护的区域，是保障和维护国家生态安全的底线和生命线。</w:t>
            </w:r>
          </w:p>
        </w:tc>
        <w:tc>
          <w:tcPr>
            <w:tcW w:w="2728" w:type="dxa"/>
            <w:tcMar>
              <w:left w:w="57" w:type="dxa"/>
              <w:right w:w="57" w:type="dxa"/>
            </w:tcMar>
            <w:vAlign w:val="center"/>
          </w:tcPr>
          <w:p w14:paraId="1728C114"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本项目不涉及生态保护红线。</w:t>
            </w:r>
          </w:p>
        </w:tc>
        <w:tc>
          <w:tcPr>
            <w:tcW w:w="788" w:type="dxa"/>
            <w:tcMar>
              <w:left w:w="57" w:type="dxa"/>
              <w:right w:w="57" w:type="dxa"/>
            </w:tcMar>
            <w:vAlign w:val="center"/>
          </w:tcPr>
          <w:p w14:paraId="1183E805"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r w:rsidR="00E67914" w:rsidRPr="00E67914" w14:paraId="1678C3CB" w14:textId="77777777">
        <w:tc>
          <w:tcPr>
            <w:tcW w:w="562" w:type="dxa"/>
            <w:tcMar>
              <w:left w:w="57" w:type="dxa"/>
              <w:right w:w="57" w:type="dxa"/>
            </w:tcMar>
            <w:vAlign w:val="center"/>
          </w:tcPr>
          <w:p w14:paraId="2C91F3A1"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5</w:t>
            </w:r>
          </w:p>
        </w:tc>
        <w:tc>
          <w:tcPr>
            <w:tcW w:w="4218" w:type="dxa"/>
            <w:tcMar>
              <w:left w:w="57" w:type="dxa"/>
              <w:right w:w="57" w:type="dxa"/>
            </w:tcMar>
            <w:vAlign w:val="center"/>
          </w:tcPr>
          <w:p w14:paraId="763C3C01"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永久基本农田保护红线：是按照一定时期人口和社会经济发展对农产品的需求，依法确定的不得占用、不得开发、需要永久性保护的耕地空间边界。</w:t>
            </w:r>
          </w:p>
        </w:tc>
        <w:tc>
          <w:tcPr>
            <w:tcW w:w="2728" w:type="dxa"/>
            <w:tcMar>
              <w:left w:w="57" w:type="dxa"/>
              <w:right w:w="57" w:type="dxa"/>
            </w:tcMar>
            <w:vAlign w:val="center"/>
          </w:tcPr>
          <w:p w14:paraId="7FD6EE5E" w14:textId="4FA860B8" w:rsidR="00A54A8A" w:rsidRPr="00E67914" w:rsidRDefault="003B724C">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z w:val="21"/>
              </w:rPr>
              <w:t>本项目部分建设内容为新增占地，工程建设将会涉及一部分基本农田，建设单位将按相关要求办理用地手续并采取基本农田占用补偿措施，并且施工结束后将对临时占地区域进行复垦。</w:t>
            </w:r>
          </w:p>
        </w:tc>
        <w:tc>
          <w:tcPr>
            <w:tcW w:w="788" w:type="dxa"/>
            <w:tcMar>
              <w:left w:w="57" w:type="dxa"/>
              <w:right w:w="57" w:type="dxa"/>
            </w:tcMar>
            <w:vAlign w:val="center"/>
          </w:tcPr>
          <w:p w14:paraId="73837DA9"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r w:rsidR="00E67914" w:rsidRPr="00E67914" w14:paraId="0B9AD90A" w14:textId="77777777">
        <w:tc>
          <w:tcPr>
            <w:tcW w:w="562" w:type="dxa"/>
            <w:tcMar>
              <w:left w:w="57" w:type="dxa"/>
              <w:right w:w="57" w:type="dxa"/>
            </w:tcMar>
            <w:vAlign w:val="center"/>
          </w:tcPr>
          <w:p w14:paraId="31FBFEEA"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lastRenderedPageBreak/>
              <w:t>6</w:t>
            </w:r>
          </w:p>
        </w:tc>
        <w:tc>
          <w:tcPr>
            <w:tcW w:w="4218" w:type="dxa"/>
            <w:tcMar>
              <w:left w:w="57" w:type="dxa"/>
              <w:right w:w="57" w:type="dxa"/>
            </w:tcMar>
            <w:vAlign w:val="center"/>
          </w:tcPr>
          <w:p w14:paraId="2B6F2B61"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城镇开发边界：在一定时期内，可以进行城镇开发和集中建设的地域空间边界，包括城镇现状建成区、优化发展区，以及因城镇建设发展需要必须实行规划控制的区域。</w:t>
            </w:r>
          </w:p>
        </w:tc>
        <w:tc>
          <w:tcPr>
            <w:tcW w:w="2728" w:type="dxa"/>
            <w:tcMar>
              <w:left w:w="57" w:type="dxa"/>
              <w:right w:w="57" w:type="dxa"/>
            </w:tcMar>
            <w:vAlign w:val="center"/>
          </w:tcPr>
          <w:p w14:paraId="62DFEFF1" w14:textId="77777777" w:rsidR="00A54A8A" w:rsidRPr="00E67914" w:rsidRDefault="00000000">
            <w:pPr>
              <w:pStyle w:val="affffff8"/>
              <w:ind w:left="0" w:right="0"/>
              <w:jc w:val="both"/>
              <w:rPr>
                <w:rFonts w:ascii="Times New Roman" w:hAnsi="Times New Roman" w:cs="Times New Roman"/>
                <w:snapToGrid/>
                <w:spacing w:val="0"/>
                <w:sz w:val="21"/>
              </w:rPr>
            </w:pPr>
            <w:r w:rsidRPr="00E67914">
              <w:rPr>
                <w:rFonts w:ascii="Times New Roman" w:hAnsi="Times New Roman" w:cs="Times New Roman"/>
                <w:snapToGrid/>
                <w:spacing w:val="0"/>
                <w:sz w:val="21"/>
              </w:rPr>
              <w:t>本项目不涉及城镇开发区。</w:t>
            </w:r>
          </w:p>
        </w:tc>
        <w:tc>
          <w:tcPr>
            <w:tcW w:w="788" w:type="dxa"/>
            <w:tcMar>
              <w:left w:w="57" w:type="dxa"/>
              <w:right w:w="57" w:type="dxa"/>
            </w:tcMar>
            <w:vAlign w:val="center"/>
          </w:tcPr>
          <w:p w14:paraId="4404EA3C" w14:textId="77777777" w:rsidR="00A54A8A" w:rsidRPr="00E67914" w:rsidRDefault="00000000">
            <w:pPr>
              <w:pStyle w:val="affffff8"/>
              <w:ind w:left="0" w:right="0"/>
              <w:rPr>
                <w:rFonts w:ascii="Times New Roman" w:hAnsi="Times New Roman" w:cs="Times New Roman"/>
                <w:snapToGrid/>
                <w:spacing w:val="0"/>
                <w:sz w:val="21"/>
              </w:rPr>
            </w:pPr>
            <w:r w:rsidRPr="00E67914">
              <w:rPr>
                <w:rFonts w:ascii="Times New Roman" w:hAnsi="Times New Roman" w:cs="Times New Roman"/>
                <w:snapToGrid/>
                <w:spacing w:val="0"/>
                <w:sz w:val="21"/>
              </w:rPr>
              <w:t>符合</w:t>
            </w:r>
          </w:p>
        </w:tc>
      </w:tr>
    </w:tbl>
    <w:p w14:paraId="4E8514EC"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综上所述，本项目与区域</w:t>
      </w:r>
      <w:r w:rsidRPr="00E67914">
        <w:rPr>
          <w:rFonts w:ascii="Times New Roman" w:hAnsi="Times New Roman"/>
          <w:sz w:val="24"/>
          <w:lang w:eastAsia="zh-CN"/>
        </w:rPr>
        <w:t>“</w:t>
      </w:r>
      <w:r w:rsidRPr="00E67914">
        <w:rPr>
          <w:rFonts w:ascii="Times New Roman" w:hAnsi="Times New Roman"/>
          <w:sz w:val="24"/>
          <w:lang w:eastAsia="zh-CN"/>
        </w:rPr>
        <w:t>三区三线</w:t>
      </w:r>
      <w:r w:rsidRPr="00E67914">
        <w:rPr>
          <w:rFonts w:ascii="Times New Roman" w:hAnsi="Times New Roman"/>
          <w:sz w:val="24"/>
          <w:lang w:eastAsia="zh-CN"/>
        </w:rPr>
        <w:t>”</w:t>
      </w:r>
      <w:r w:rsidRPr="00E67914">
        <w:rPr>
          <w:rFonts w:ascii="Times New Roman" w:hAnsi="Times New Roman"/>
          <w:sz w:val="24"/>
          <w:lang w:eastAsia="zh-CN"/>
        </w:rPr>
        <w:t>相符。</w:t>
      </w:r>
    </w:p>
    <w:p w14:paraId="628075BA" w14:textId="77777777" w:rsidR="00A54A8A" w:rsidRPr="00E67914" w:rsidRDefault="00000000">
      <w:pPr>
        <w:pStyle w:val="3"/>
        <w:spacing w:beforeLines="50" w:before="156"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2.7.2</w:t>
      </w:r>
      <w:r w:rsidRPr="00E67914">
        <w:rPr>
          <w:rFonts w:ascii="Times New Roman" w:eastAsia="黑体" w:hAnsi="Times New Roman"/>
          <w:b w:val="0"/>
          <w:sz w:val="24"/>
          <w:szCs w:val="24"/>
          <w:lang w:eastAsia="zh-CN"/>
        </w:rPr>
        <w:t>规划符合性分析</w:t>
      </w:r>
    </w:p>
    <w:p w14:paraId="12F6BD8D" w14:textId="579FB89B" w:rsidR="001C2F94" w:rsidRPr="00E67914" w:rsidRDefault="00000000" w:rsidP="001C2F94">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eastAsia="黑体" w:hAnsi="Times New Roman"/>
          <w:sz w:val="24"/>
          <w:lang w:eastAsia="zh-CN"/>
        </w:rPr>
        <w:t>1</w:t>
      </w:r>
      <w:r w:rsidRPr="00E67914">
        <w:rPr>
          <w:rFonts w:ascii="Times New Roman" w:eastAsia="黑体" w:hAnsi="Times New Roman"/>
          <w:sz w:val="24"/>
          <w:lang w:eastAsia="zh-CN"/>
        </w:rPr>
        <w:t>、与《长江经济带生态环境保护规划》</w:t>
      </w:r>
      <w:r w:rsidR="001C2F94" w:rsidRPr="00E67914">
        <w:rPr>
          <w:rFonts w:ascii="Times New Roman" w:eastAsia="黑体" w:hAnsi="Times New Roman"/>
          <w:sz w:val="24"/>
          <w:lang w:eastAsia="zh-CN"/>
        </w:rPr>
        <w:t>（环规财〔</w:t>
      </w:r>
      <w:r w:rsidR="001C2F94" w:rsidRPr="00E67914">
        <w:rPr>
          <w:rFonts w:ascii="Times New Roman" w:eastAsia="黑体" w:hAnsi="Times New Roman"/>
          <w:sz w:val="24"/>
          <w:lang w:eastAsia="zh-CN"/>
        </w:rPr>
        <w:t>2017</w:t>
      </w:r>
      <w:r w:rsidR="001C2F94" w:rsidRPr="00E67914">
        <w:rPr>
          <w:rFonts w:ascii="Times New Roman" w:eastAsia="黑体" w:hAnsi="Times New Roman"/>
          <w:sz w:val="24"/>
          <w:lang w:eastAsia="zh-CN"/>
        </w:rPr>
        <w:t>〕</w:t>
      </w:r>
      <w:r w:rsidR="001C2F94" w:rsidRPr="00E67914">
        <w:rPr>
          <w:rFonts w:ascii="Times New Roman" w:eastAsia="黑体" w:hAnsi="Times New Roman"/>
          <w:sz w:val="24"/>
          <w:lang w:eastAsia="zh-CN"/>
        </w:rPr>
        <w:t>88</w:t>
      </w:r>
      <w:r w:rsidR="001C2F94" w:rsidRPr="00E67914">
        <w:rPr>
          <w:rFonts w:ascii="Times New Roman" w:eastAsia="黑体" w:hAnsi="Times New Roman"/>
          <w:sz w:val="24"/>
          <w:lang w:eastAsia="zh-CN"/>
        </w:rPr>
        <w:t>号）符合性</w:t>
      </w:r>
    </w:p>
    <w:p w14:paraId="60230DBB" w14:textId="38BC1118" w:rsidR="00A54A8A" w:rsidRPr="00E67914" w:rsidRDefault="001C2F94" w:rsidP="001C2F94">
      <w:pPr>
        <w:widowControl w:val="0"/>
        <w:tabs>
          <w:tab w:val="left" w:pos="0"/>
        </w:tabs>
        <w:spacing w:line="360" w:lineRule="auto"/>
        <w:ind w:firstLineChars="200" w:firstLine="480"/>
        <w:jc w:val="both"/>
        <w:rPr>
          <w:rFonts w:ascii="Times New Roman" w:hAnsi="Times New Roman"/>
          <w:sz w:val="24"/>
          <w:lang w:eastAsia="zh-CN"/>
        </w:rPr>
      </w:pPr>
      <w:r w:rsidRPr="00E67914">
        <w:rPr>
          <w:rFonts w:ascii="Times New Roman" w:hAnsi="Times New Roman"/>
          <w:bCs/>
          <w:kern w:val="2"/>
          <w:sz w:val="24"/>
          <w:szCs w:val="24"/>
          <w:lang w:eastAsia="zh-CN"/>
        </w:rPr>
        <w:t>根据《长江经济带生态环境保护规划》中第六条指出：</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全面推进环境污染治理，建设宜居城乡环境专栏</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该条要求中提出改善城市环境质量，推进成渝城市大气污染防治。增加天然气的开发程度，提供天然气供应量，有利于加速产业升级和能源结构的调整，本项目属于天然气勘探开发项目，项目的建设能够改善川渝地区区域大气环境质量，符合《长江经济带生态环境保护规划》要求。</w:t>
      </w:r>
    </w:p>
    <w:p w14:paraId="191665AC"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2</w:t>
      </w:r>
      <w:r w:rsidRPr="00E67914">
        <w:rPr>
          <w:rFonts w:ascii="Times New Roman" w:eastAsia="黑体" w:hAnsi="Times New Roman"/>
          <w:sz w:val="24"/>
          <w:lang w:eastAsia="zh-CN"/>
        </w:rPr>
        <w:t>、与《中国石化普光气田开发及川气东送管道工程环境影响报告书》的符合性分析</w:t>
      </w:r>
    </w:p>
    <w:p w14:paraId="0B4734EE" w14:textId="3C398B17" w:rsidR="00A54A8A" w:rsidRPr="00E67914" w:rsidRDefault="00000000">
      <w:pPr>
        <w:pStyle w:val="afffffe"/>
        <w:ind w:firstLine="480"/>
      </w:pPr>
      <w:r w:rsidRPr="00E67914">
        <w:t>2007</w:t>
      </w:r>
      <w:r w:rsidRPr="00E67914">
        <w:t>年中国石油化工股份有限公司中原油田分公司委托北京师范大学环境科学研究所编制完成了《中国石化普光气田开发及川气东送管道工程环境影响报告书》，</w:t>
      </w:r>
      <w:r w:rsidRPr="00E67914">
        <w:t>2007</w:t>
      </w:r>
      <w:r w:rsidRPr="00E67914">
        <w:t>年</w:t>
      </w:r>
      <w:r w:rsidRPr="00E67914">
        <w:t>12</w:t>
      </w:r>
      <w:r w:rsidRPr="00E67914">
        <w:t>月</w:t>
      </w:r>
      <w:r w:rsidRPr="00E67914">
        <w:t>14</w:t>
      </w:r>
      <w:r w:rsidRPr="00E67914">
        <w:t>日取得原国家环境保护总局《关于中国石化普光气田开发及川气东送管道工程环境影响报告书的批复》（环审〔</w:t>
      </w:r>
      <w:r w:rsidRPr="00E67914">
        <w:t>2007</w:t>
      </w:r>
      <w:r w:rsidRPr="00E67914">
        <w:t>〕</w:t>
      </w:r>
      <w:r w:rsidRPr="00E67914">
        <w:t>376</w:t>
      </w:r>
      <w:r w:rsidRPr="00E67914">
        <w:t>号），查阅了《中国石化普光气田开发及川气东送管道工程环境影响报告书》（以下称</w:t>
      </w:r>
      <w:r w:rsidRPr="00E67914">
        <w:t>“</w:t>
      </w:r>
      <w:r w:rsidRPr="00E67914">
        <w:t>报告书</w:t>
      </w:r>
      <w:r w:rsidRPr="00E67914">
        <w:t>”</w:t>
      </w:r>
      <w:r w:rsidRPr="00E67914">
        <w:t>），《中国石化普光气田开发及川气东送管道工程环境影响报告书》（以下称</w:t>
      </w:r>
      <w:r w:rsidRPr="00E67914">
        <w:t>“</w:t>
      </w:r>
      <w:r w:rsidRPr="00E67914">
        <w:t>报告书</w:t>
      </w:r>
      <w:r w:rsidRPr="00E67914">
        <w:t>”</w:t>
      </w:r>
      <w:r w:rsidRPr="00E67914">
        <w:t>）要求</w:t>
      </w:r>
      <w:r w:rsidRPr="00E67914">
        <w:t>“</w:t>
      </w:r>
      <w:r w:rsidRPr="00E67914">
        <w:t>气田后续开发过程中，如新增加建设项目，应当按照国家的有关规定开展相应的环境影响评价工作</w:t>
      </w:r>
      <w:r w:rsidRPr="00E67914">
        <w:t>”</w:t>
      </w:r>
      <w:r w:rsidRPr="00E67914">
        <w:t>，本项目拟建的</w:t>
      </w:r>
      <w:r w:rsidR="00DC1013" w:rsidRPr="00E67914">
        <w:t>三口</w:t>
      </w:r>
      <w:r w:rsidRPr="00E67914">
        <w:t>井</w:t>
      </w:r>
      <w:r w:rsidR="00DC1013" w:rsidRPr="00E67914">
        <w:t>及配套的四口井的试采站</w:t>
      </w:r>
      <w:r w:rsidRPr="00E67914">
        <w:t>在《报告书》中尚未进行评价，按照《报告书》要求，需开展相应的环境影响评价工作。</w:t>
      </w:r>
      <w:r w:rsidR="001757B2" w:rsidRPr="00E67914">
        <w:rPr>
          <w:szCs w:val="24"/>
        </w:rPr>
        <w:t>本项目天然气外输的</w:t>
      </w:r>
      <w:r w:rsidR="001757B2" w:rsidRPr="00E67914">
        <w:rPr>
          <w:szCs w:val="24"/>
        </w:rPr>
        <w:t>P30</w:t>
      </w:r>
      <w:r w:rsidR="00DC1013" w:rsidRPr="00E67914">
        <w:rPr>
          <w:szCs w:val="24"/>
        </w:rPr>
        <w:t>2</w:t>
      </w:r>
      <w:r w:rsidR="001757B2" w:rsidRPr="00E67914">
        <w:rPr>
          <w:szCs w:val="24"/>
        </w:rPr>
        <w:t>集气站为原国家环境保护总局出具的《关于中国石化普光气田开发及川气东送管道工程环境影响报告书的批复》（环审〔</w:t>
      </w:r>
      <w:r w:rsidR="001757B2" w:rsidRPr="00E67914">
        <w:rPr>
          <w:szCs w:val="24"/>
        </w:rPr>
        <w:t>2007</w:t>
      </w:r>
      <w:r w:rsidR="001757B2" w:rsidRPr="00E67914">
        <w:rPr>
          <w:szCs w:val="24"/>
        </w:rPr>
        <w:t>〕</w:t>
      </w:r>
      <w:r w:rsidR="001757B2" w:rsidRPr="00E67914">
        <w:rPr>
          <w:szCs w:val="24"/>
        </w:rPr>
        <w:t>76</w:t>
      </w:r>
      <w:r w:rsidR="001757B2" w:rsidRPr="00E67914">
        <w:rPr>
          <w:szCs w:val="24"/>
        </w:rPr>
        <w:t>号）中批复的建设内容，并已通过竣工环保验收。</w:t>
      </w:r>
    </w:p>
    <w:p w14:paraId="45C63FD7"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3</w:t>
      </w:r>
      <w:r w:rsidRPr="00E67914">
        <w:rPr>
          <w:rFonts w:ascii="Times New Roman" w:eastAsia="黑体" w:hAnsi="Times New Roman"/>
          <w:sz w:val="24"/>
          <w:lang w:eastAsia="zh-CN"/>
        </w:rPr>
        <w:t>、与四川省主体功能区规划的符合性分析</w:t>
      </w:r>
    </w:p>
    <w:p w14:paraId="618BE97B" w14:textId="77777777" w:rsidR="00A54A8A" w:rsidRPr="00E67914" w:rsidRDefault="00000000">
      <w:pPr>
        <w:pStyle w:val="afffffe"/>
        <w:ind w:firstLine="482"/>
        <w:rPr>
          <w:b/>
          <w:bCs/>
        </w:rPr>
      </w:pPr>
      <w:bookmarkStart w:id="37" w:name="_Hlk100174112"/>
      <w:r w:rsidRPr="00E67914">
        <w:rPr>
          <w:b/>
          <w:bCs/>
        </w:rPr>
        <w:t>（</w:t>
      </w:r>
      <w:r w:rsidRPr="00E67914">
        <w:rPr>
          <w:b/>
          <w:bCs/>
        </w:rPr>
        <w:t>1</w:t>
      </w:r>
      <w:r w:rsidRPr="00E67914">
        <w:rPr>
          <w:b/>
          <w:bCs/>
        </w:rPr>
        <w:t>）四川省主体功能区规划</w:t>
      </w:r>
      <w:bookmarkEnd w:id="37"/>
      <w:r w:rsidRPr="00E67914">
        <w:rPr>
          <w:b/>
          <w:bCs/>
        </w:rPr>
        <w:t>概述</w:t>
      </w:r>
    </w:p>
    <w:p w14:paraId="4F88ED5F" w14:textId="77777777" w:rsidR="00A54A8A" w:rsidRPr="00E67914" w:rsidRDefault="00000000">
      <w:pPr>
        <w:pStyle w:val="afffffe"/>
        <w:ind w:firstLine="480"/>
      </w:pPr>
      <w:r w:rsidRPr="00E67914">
        <w:t>根据</w:t>
      </w:r>
      <w:bookmarkStart w:id="38" w:name="_Hlk142681608"/>
      <w:r w:rsidRPr="00E67914">
        <w:t>《四川省主体功能区规划》（川府发〔</w:t>
      </w:r>
      <w:r w:rsidRPr="00E67914">
        <w:t>2013</w:t>
      </w:r>
      <w:r w:rsidRPr="00E67914">
        <w:t>〕</w:t>
      </w:r>
      <w:r w:rsidRPr="00E67914">
        <w:t>16</w:t>
      </w:r>
      <w:r w:rsidRPr="00E67914">
        <w:t>号文）</w:t>
      </w:r>
      <w:bookmarkEnd w:id="38"/>
      <w:r w:rsidRPr="00E67914">
        <w:t>（以下简称《规划》），全省主体功能区分为以下四个大类：</w:t>
      </w:r>
    </w:p>
    <w:p w14:paraId="53073F9C" w14:textId="77777777" w:rsidR="00A54A8A" w:rsidRPr="00E67914" w:rsidRDefault="00000000">
      <w:pPr>
        <w:pStyle w:val="afffffe"/>
        <w:ind w:firstLine="480"/>
      </w:pPr>
      <w:r w:rsidRPr="00E67914">
        <w:lastRenderedPageBreak/>
        <w:t>1</w:t>
      </w:r>
      <w:r w:rsidRPr="00E67914">
        <w:t>）重点开发区域</w:t>
      </w:r>
    </w:p>
    <w:p w14:paraId="5820254D" w14:textId="77777777" w:rsidR="00A54A8A" w:rsidRPr="00E67914" w:rsidRDefault="00000000">
      <w:pPr>
        <w:pStyle w:val="afffffe"/>
        <w:ind w:firstLine="480"/>
      </w:pPr>
      <w:r w:rsidRPr="00E67914">
        <w:t>主要包括成都平原、川南、川东北和攀西地区</w:t>
      </w:r>
      <w:r w:rsidRPr="00E67914">
        <w:t>19</w:t>
      </w:r>
      <w:r w:rsidRPr="00E67914">
        <w:t>市（州）中的</w:t>
      </w:r>
      <w:r w:rsidRPr="00E67914">
        <w:t>89</w:t>
      </w:r>
      <w:r w:rsidRPr="00E67914">
        <w:t>个县（市、区），以及与之相连的</w:t>
      </w:r>
      <w:r w:rsidRPr="00E67914">
        <w:t>50</w:t>
      </w:r>
      <w:r w:rsidRPr="00E67914">
        <w:t>个点状开发城镇，该区域面积</w:t>
      </w:r>
      <w:r w:rsidRPr="00E67914">
        <w:t>10.3</w:t>
      </w:r>
      <w:r w:rsidRPr="00E67914">
        <w:t>万平方公里，占全省幅员面积</w:t>
      </w:r>
      <w:r w:rsidRPr="00E67914">
        <w:t>21.2%</w:t>
      </w:r>
      <w:r w:rsidRPr="00E67914">
        <w:t>；分为国家层面重点开发区域和省级层面重点开发区域。</w:t>
      </w:r>
    </w:p>
    <w:p w14:paraId="6443EECF" w14:textId="77777777" w:rsidR="00A54A8A" w:rsidRPr="00E67914" w:rsidRDefault="00000000">
      <w:pPr>
        <w:pStyle w:val="afffffe"/>
        <w:ind w:firstLine="480"/>
      </w:pPr>
      <w:r w:rsidRPr="00E67914">
        <w:t>该功能区是全省经济增长的重要支撑区，实施加快推进新型工业化新型城镇化的主要承载区，是全省经济和人口密集区。</w:t>
      </w:r>
    </w:p>
    <w:p w14:paraId="1D2D745C" w14:textId="77777777" w:rsidR="00A54A8A" w:rsidRPr="00E67914" w:rsidRDefault="00000000">
      <w:pPr>
        <w:pStyle w:val="afffffe"/>
        <w:ind w:firstLine="480"/>
      </w:pPr>
      <w:r w:rsidRPr="00E67914">
        <w:t>2</w:t>
      </w:r>
      <w:r w:rsidRPr="00E67914">
        <w:t>）限制开发区域（农产品主产区）</w:t>
      </w:r>
    </w:p>
    <w:p w14:paraId="73D5BC3E" w14:textId="77777777" w:rsidR="00A54A8A" w:rsidRPr="00E67914" w:rsidRDefault="00000000">
      <w:pPr>
        <w:pStyle w:val="afffffe"/>
        <w:ind w:firstLine="480"/>
      </w:pPr>
      <w:r w:rsidRPr="00E67914">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14:paraId="69A39A05" w14:textId="77777777" w:rsidR="00A54A8A" w:rsidRPr="00E67914" w:rsidRDefault="00000000">
      <w:pPr>
        <w:pStyle w:val="afffffe"/>
        <w:ind w:firstLine="480"/>
      </w:pPr>
      <w:r w:rsidRPr="00E67914">
        <w:t>全省农产品主产区包括盆地中部平原浅丘区、川南低中山区和盆地东部丘陵低山区、盆地西缘山区和安宁河流域</w:t>
      </w:r>
      <w:r w:rsidRPr="00E67914">
        <w:t>5</w:t>
      </w:r>
      <w:r w:rsidRPr="00E67914">
        <w:t>大农产品主产区，共</w:t>
      </w:r>
      <w:r w:rsidRPr="00E67914">
        <w:t>35</w:t>
      </w:r>
      <w:r w:rsidRPr="00E67914">
        <w:t>个县（市），面积</w:t>
      </w:r>
      <w:r w:rsidRPr="00E67914">
        <w:t>6.7</w:t>
      </w:r>
      <w:r w:rsidRPr="00E67914">
        <w:t>万平方公里，扣除其中重点开发的县城镇及重点镇规划面积</w:t>
      </w:r>
      <w:r w:rsidRPr="00E67914">
        <w:t>1750</w:t>
      </w:r>
      <w:r w:rsidRPr="00E67914">
        <w:t>平方公里，占全省幅员面积</w:t>
      </w:r>
      <w:r w:rsidRPr="00E67914">
        <w:t>13.4%</w:t>
      </w:r>
      <w:r w:rsidRPr="00E67914">
        <w:t>。</w:t>
      </w:r>
    </w:p>
    <w:p w14:paraId="4458A9A0" w14:textId="77777777" w:rsidR="00A54A8A" w:rsidRPr="00E67914" w:rsidRDefault="00000000">
      <w:pPr>
        <w:pStyle w:val="afffffe"/>
        <w:ind w:firstLine="480"/>
      </w:pPr>
      <w:r w:rsidRPr="00E67914">
        <w:t>该功能区是国家优质商品猪战略保障基地，现代农业示范区，现代林业产业基地，优势特色农产品加工业发展的重点区域，农民安居乐业的美好家园。区域应着力保护耕地，加强农业基础设施建设，稳定粮食生产，发展现代农业，增强农业综合生产能力，保障全省主要农产品有效供给，增加农民收入，加快社会主义新农村建设。</w:t>
      </w:r>
    </w:p>
    <w:p w14:paraId="187049FA" w14:textId="77777777" w:rsidR="00A54A8A" w:rsidRPr="00E67914" w:rsidRDefault="00000000">
      <w:pPr>
        <w:pStyle w:val="afffffe"/>
        <w:ind w:firstLine="480"/>
      </w:pPr>
      <w:r w:rsidRPr="00E67914">
        <w:t>3</w:t>
      </w:r>
      <w:r w:rsidRPr="00E67914">
        <w:t>）限制开发区域（重点生态功能区）</w:t>
      </w:r>
    </w:p>
    <w:p w14:paraId="26D2B00C" w14:textId="77777777" w:rsidR="00A54A8A" w:rsidRPr="00E67914" w:rsidRDefault="00000000">
      <w:pPr>
        <w:pStyle w:val="afffffe"/>
        <w:ind w:firstLine="480"/>
      </w:pPr>
      <w:r w:rsidRPr="00E67914">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14:paraId="7BB886FC" w14:textId="77777777" w:rsidR="00A54A8A" w:rsidRPr="00E67914" w:rsidRDefault="00000000">
      <w:pPr>
        <w:pStyle w:val="afffffe"/>
        <w:ind w:firstLine="480"/>
      </w:pPr>
      <w:r w:rsidRPr="00E67914">
        <w:t>重点生态功能区共</w:t>
      </w:r>
      <w:r w:rsidRPr="00E67914">
        <w:t>57</w:t>
      </w:r>
      <w:r w:rsidRPr="00E67914">
        <w:t>个县（市），总面积</w:t>
      </w:r>
      <w:r w:rsidRPr="00E67914">
        <w:t>31.8</w:t>
      </w:r>
      <w:r w:rsidRPr="00E67914">
        <w:t>万平方公里，扣除其中省级重点生态功能区中重点开发的县城镇及重点镇规划面积，占全省幅员面积</w:t>
      </w:r>
      <w:r w:rsidRPr="00E67914">
        <w:t>65.4%</w:t>
      </w:r>
      <w:r w:rsidRPr="00E67914">
        <w:t>；分为国家层面的重点生态功能区和省级层面的重点生态功能区。</w:t>
      </w:r>
    </w:p>
    <w:p w14:paraId="711F6E73" w14:textId="77777777" w:rsidR="00A54A8A" w:rsidRPr="00E67914" w:rsidRDefault="00000000">
      <w:pPr>
        <w:pStyle w:val="afffffe"/>
        <w:ind w:firstLine="480"/>
      </w:pPr>
      <w:r w:rsidRPr="00E67914">
        <w:t>国家青藏高原生态屏障和长江上游生态屏障的重要组成部分，国家重要的水源涵养、水土保持与生物多样性保护区域，全省提供生态产品的主体区域与</w:t>
      </w:r>
      <w:r w:rsidRPr="00E67914">
        <w:lastRenderedPageBreak/>
        <w:t>生态财富富集区，保障国家生态安全的重要区域，生态文明建设、人与自然和谐相处的示范区。</w:t>
      </w:r>
    </w:p>
    <w:p w14:paraId="5DDD2A30" w14:textId="77777777" w:rsidR="00A54A8A" w:rsidRPr="00E67914" w:rsidRDefault="00000000">
      <w:pPr>
        <w:pStyle w:val="afffffe"/>
        <w:ind w:firstLine="480"/>
      </w:pPr>
      <w:r w:rsidRPr="00E67914">
        <w:t>4</w:t>
      </w:r>
      <w:r w:rsidRPr="00E67914">
        <w:t>）禁止开发区域</w:t>
      </w:r>
    </w:p>
    <w:p w14:paraId="08A84962" w14:textId="77777777" w:rsidR="00A54A8A" w:rsidRPr="00E67914" w:rsidRDefault="00000000">
      <w:pPr>
        <w:pStyle w:val="afffffe"/>
        <w:ind w:firstLine="480"/>
      </w:pPr>
      <w:r w:rsidRPr="00E67914">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14:paraId="3B13F531" w14:textId="77777777" w:rsidR="00A54A8A" w:rsidRPr="00E67914" w:rsidRDefault="00000000">
      <w:pPr>
        <w:pStyle w:val="afffffe"/>
        <w:ind w:firstLine="480"/>
      </w:pPr>
      <w:r w:rsidRPr="00E67914">
        <w:t>该区域是四川省自然文化资源的重要区域，森林、湿地生态、生物多样性和珍稀动植物基因资源保护地，重要水土保持区域与重要饮用水水源保护地。</w:t>
      </w:r>
    </w:p>
    <w:p w14:paraId="07B2224F" w14:textId="77777777" w:rsidR="00A54A8A" w:rsidRPr="00E67914" w:rsidRDefault="00000000">
      <w:pPr>
        <w:pStyle w:val="afffffe"/>
        <w:ind w:firstLine="480"/>
      </w:pPr>
      <w:r w:rsidRPr="00E67914">
        <w:t>禁止开发区域要严格控制人为因素对自然生态的干扰，严禁不符合主体功能区定位的开发活动，引导人口逐步有序转移，实现污染物</w:t>
      </w:r>
      <w:r w:rsidRPr="00E67914">
        <w:t>“</w:t>
      </w:r>
      <w:r w:rsidRPr="00E67914">
        <w:t>零排放</w:t>
      </w:r>
      <w:r w:rsidRPr="00E67914">
        <w:t>”</w:t>
      </w:r>
      <w:r w:rsidRPr="00E67914">
        <w:t>，提高环境质量，提高可持续发展能力。自然保护区、文化自然遗产、风景名胜区、森林公园、湿地公园、地质公园，要逐步达到各类区域规定执行标准。</w:t>
      </w:r>
    </w:p>
    <w:p w14:paraId="57DAEB71" w14:textId="77777777" w:rsidR="00A54A8A" w:rsidRPr="00E67914" w:rsidRDefault="00000000">
      <w:pPr>
        <w:pStyle w:val="afffffe"/>
        <w:ind w:firstLine="482"/>
        <w:rPr>
          <w:b/>
          <w:bCs/>
        </w:rPr>
      </w:pPr>
      <w:r w:rsidRPr="00E67914">
        <w:rPr>
          <w:b/>
          <w:bCs/>
        </w:rPr>
        <w:t>（</w:t>
      </w:r>
      <w:r w:rsidRPr="00E67914">
        <w:rPr>
          <w:b/>
          <w:bCs/>
        </w:rPr>
        <w:t>2</w:t>
      </w:r>
      <w:r w:rsidRPr="00E67914">
        <w:rPr>
          <w:b/>
          <w:bCs/>
        </w:rPr>
        <w:t>）与四川省主体功能区规划的符合性分析</w:t>
      </w:r>
    </w:p>
    <w:p w14:paraId="0487377B" w14:textId="2DF6D2E1" w:rsidR="00A54A8A" w:rsidRPr="00E67914" w:rsidRDefault="00000000">
      <w:pPr>
        <w:pStyle w:val="afffffe"/>
        <w:ind w:firstLine="480"/>
      </w:pPr>
      <w:r w:rsidRPr="00E67914">
        <w:t>根据《四川省人民政府关于印发四川省主体功能区规划的通知》（川府发〔</w:t>
      </w:r>
      <w:r w:rsidRPr="00E67914">
        <w:t>2013</w:t>
      </w:r>
      <w:r w:rsidRPr="00E67914">
        <w:t>〕</w:t>
      </w:r>
      <w:r w:rsidRPr="00E67914">
        <w:t>16</w:t>
      </w:r>
      <w:r w:rsidRPr="00E67914">
        <w:t>号），</w:t>
      </w:r>
      <w:r w:rsidR="00170C89" w:rsidRPr="00E67914">
        <w:t>本项目所在地属限制开发区域（农产品主产区），不属于重点生态功能区</w:t>
      </w:r>
      <w:r w:rsidRPr="00E67914">
        <w:t>，该地区无国家级自然保护区、世界文化遗产、国家风景名胜区、国家森林公园和国家地质公园。项目不在禁止开发区，不在重点保护区内，符合《四川省主体功能区规划》要求。</w:t>
      </w:r>
    </w:p>
    <w:tbl>
      <w:tblPr>
        <w:tblW w:w="0" w:type="auto"/>
        <w:tblLook w:val="04A0" w:firstRow="1" w:lastRow="0" w:firstColumn="1" w:lastColumn="0" w:noHBand="0" w:noVBand="1"/>
      </w:tblPr>
      <w:tblGrid>
        <w:gridCol w:w="8306"/>
      </w:tblGrid>
      <w:tr w:rsidR="00E67914" w:rsidRPr="00E67914" w14:paraId="362FEE2E" w14:textId="77777777" w:rsidTr="00170C89">
        <w:tc>
          <w:tcPr>
            <w:tcW w:w="8306" w:type="dxa"/>
            <w:shd w:val="clear" w:color="auto" w:fill="auto"/>
          </w:tcPr>
          <w:p w14:paraId="5AA99116" w14:textId="77777777" w:rsidR="00170C89" w:rsidRPr="00E67914" w:rsidRDefault="00170C89" w:rsidP="0094044F">
            <w:pPr>
              <w:pStyle w:val="afffffffffa"/>
              <w:adjustRightInd w:val="0"/>
              <w:snapToGrid w:val="0"/>
              <w:spacing w:line="240" w:lineRule="auto"/>
              <w:ind w:firstLineChars="0" w:firstLine="0"/>
            </w:pPr>
            <w:r w:rsidRPr="00E67914">
              <w:rPr>
                <w:noProof/>
              </w:rPr>
              <w:lastRenderedPageBreak/>
              <mc:AlternateContent>
                <mc:Choice Requires="wps">
                  <w:drawing>
                    <wp:anchor distT="0" distB="0" distL="114300" distR="114300" simplePos="0" relativeHeight="251765760" behindDoc="0" locked="0" layoutInCell="1" allowOverlap="1" wp14:anchorId="4BA63346" wp14:editId="4209F50C">
                      <wp:simplePos x="0" y="0"/>
                      <wp:positionH relativeFrom="column">
                        <wp:posOffset>3439524</wp:posOffset>
                      </wp:positionH>
                      <wp:positionV relativeFrom="paragraph">
                        <wp:posOffset>945710</wp:posOffset>
                      </wp:positionV>
                      <wp:extent cx="727710" cy="292100"/>
                      <wp:effectExtent l="9525" t="5715" r="5715" b="6985"/>
                      <wp:wrapNone/>
                      <wp:docPr id="793856168" name="文本框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710" cy="292100"/>
                              </a:xfrm>
                              <a:prstGeom prst="rect">
                                <a:avLst/>
                              </a:prstGeom>
                              <a:solidFill>
                                <a:srgbClr val="FFFFFF"/>
                              </a:solidFill>
                              <a:ln w="9525">
                                <a:solidFill>
                                  <a:srgbClr val="000000"/>
                                </a:solidFill>
                                <a:miter lim="800000"/>
                                <a:headEnd/>
                                <a:tailEnd/>
                              </a:ln>
                            </wps:spPr>
                            <wps:txbx>
                              <w:txbxContent>
                                <w:p w14:paraId="14E46D5C" w14:textId="77777777" w:rsidR="00170C89" w:rsidRDefault="00170C89" w:rsidP="00170C89">
                                  <w:pPr>
                                    <w:adjustRightInd w:val="0"/>
                                    <w:snapToGrid w:val="0"/>
                                    <w:jc w:val="center"/>
                                  </w:pPr>
                                  <w:r>
                                    <w:rPr>
                                      <w:rFonts w:hint="eastAsia"/>
                                    </w:rPr>
                                    <w:t>本项目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63346" id="文本框 3" o:spid="_x0000_s1032" type="#_x0000_t202" style="position:absolute;left:0;text-align:left;margin-left:270.85pt;margin-top:74.45pt;width:57.3pt;height:2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">
                      <v:textbox>
                        <w:txbxContent>
                          <w:p w14:paraId="14E46D5C" w14:textId="77777777" w:rsidR="00170C89" w:rsidRDefault="00170C89" w:rsidP="00170C89">
                            <w:pPr>
                              <w:adjustRightInd w:val="0"/>
                              <w:snapToGrid w:val="0"/>
                              <w:jc w:val="center"/>
                            </w:pPr>
                            <w:r>
                              <w:rPr>
                                <w:rFonts w:hint="eastAsia"/>
                              </w:rPr>
                              <w:t>本项目</w:t>
                            </w:r>
                          </w:p>
                        </w:txbxContent>
                      </v:textbox>
                    </v:shape>
                  </w:pict>
                </mc:Fallback>
              </mc:AlternateContent>
            </w:r>
            <w:r w:rsidRPr="00E67914">
              <w:rPr>
                <w:noProof/>
              </w:rPr>
              <mc:AlternateContent>
                <mc:Choice Requires="wps">
                  <w:drawing>
                    <wp:anchor distT="0" distB="0" distL="114300" distR="114300" simplePos="0" relativeHeight="251764736" behindDoc="0" locked="0" layoutInCell="1" allowOverlap="1" wp14:anchorId="130AA76D" wp14:editId="1AC5C0D0">
                      <wp:simplePos x="0" y="0"/>
                      <wp:positionH relativeFrom="column">
                        <wp:posOffset>4165864</wp:posOffset>
                      </wp:positionH>
                      <wp:positionV relativeFrom="paragraph">
                        <wp:posOffset>1095375</wp:posOffset>
                      </wp:positionV>
                      <wp:extent cx="277728" cy="306121"/>
                      <wp:effectExtent l="0" t="0" r="84455" b="55880"/>
                      <wp:wrapNone/>
                      <wp:docPr id="917533131" name="直接箭头连接符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7728" cy="3061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7B8DE96" id="_x0000_t32" coordsize="21600,21600" o:spt="32" o:oned="t" path="m,l21600,21600e" filled="f">
                      <v:path arrowok="t" fillok="f" o:connecttype="none"/>
                      <o:lock v:ext="edit" shapetype="t"/>
                    </v:shapetype>
                    <v:shape id="直接箭头连接符 4" o:spid="_x0000_s1026" type="#_x0000_t32" style="position:absolute;left:0;text-align:left;margin-left:328pt;margin-top:86.25pt;width:21.85pt;height:24.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">
                      <v:stroke endarrow="block"/>
                    </v:shape>
                  </w:pict>
                </mc:Fallback>
              </mc:AlternateContent>
            </w:r>
            <w:r w:rsidRPr="00E67914">
              <w:rPr>
                <w:noProof/>
              </w:rPr>
              <mc:AlternateContent>
                <mc:Choice Requires="wps">
                  <w:drawing>
                    <wp:anchor distT="0" distB="0" distL="114300" distR="114300" simplePos="0" relativeHeight="251763712" behindDoc="0" locked="0" layoutInCell="1" allowOverlap="1" wp14:anchorId="2F82B897" wp14:editId="44F04834">
                      <wp:simplePos x="0" y="0"/>
                      <wp:positionH relativeFrom="column">
                        <wp:posOffset>4396079</wp:posOffset>
                      </wp:positionH>
                      <wp:positionV relativeFrom="paragraph">
                        <wp:posOffset>1355185</wp:posOffset>
                      </wp:positionV>
                      <wp:extent cx="147320" cy="158750"/>
                      <wp:effectExtent l="34290" t="36830" r="27940" b="33020"/>
                      <wp:wrapNone/>
                      <wp:docPr id="1654838072" name="星形: 四角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20" cy="158750"/>
                              </a:xfrm>
                              <a:prstGeom prst="star4">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1B9E19"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星形: 四角 2" o:spid="_x0000_s1026" type="#_x0000_t187" style="position:absolute;left:0;text-align:left;margin-left:346.15pt;margin-top:106.7pt;width:11.6pt;height:1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"/>
                  </w:pict>
                </mc:Fallback>
              </mc:AlternateContent>
            </w:r>
            <w:r w:rsidRPr="00E67914">
              <w:rPr>
                <w:noProof/>
              </w:rPr>
              <w:drawing>
                <wp:anchor distT="0" distB="0" distL="114300" distR="114300" simplePos="0" relativeHeight="251762688" behindDoc="0" locked="0" layoutInCell="1" allowOverlap="1" wp14:anchorId="510EDA71" wp14:editId="41DEFBF0">
                  <wp:simplePos x="0" y="0"/>
                  <wp:positionH relativeFrom="column">
                    <wp:posOffset>343535</wp:posOffset>
                  </wp:positionH>
                  <wp:positionV relativeFrom="paragraph">
                    <wp:posOffset>44450</wp:posOffset>
                  </wp:positionV>
                  <wp:extent cx="4750435" cy="3524250"/>
                  <wp:effectExtent l="0" t="0" r="0" b="0"/>
                  <wp:wrapTopAndBottom/>
                  <wp:docPr id="435197355"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16" cstate="print">
                            <a:extLst>
                              <a:ext uri="{28A0092B-C50C-407E-A947-70E740481C1C}">
                                <a14:useLocalDpi xmlns:a14="http://schemas.microsoft.com/office/drawing/2010/main" val="0"/>
                              </a:ext>
                            </a:extLst>
                          </a:blip>
                          <a:srcRect l="14778" r="13237"/>
                          <a:stretch>
                            <a:fillRect/>
                          </a:stretch>
                        </pic:blipFill>
                        <pic:spPr bwMode="auto">
                          <a:xfrm>
                            <a:off x="0" y="0"/>
                            <a:ext cx="4750435" cy="35242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67914" w:rsidRPr="00E67914" w14:paraId="37301BC5" w14:textId="77777777" w:rsidTr="00170C89">
        <w:tc>
          <w:tcPr>
            <w:tcW w:w="8306" w:type="dxa"/>
            <w:shd w:val="clear" w:color="auto" w:fill="auto"/>
          </w:tcPr>
          <w:p w14:paraId="67D137D8" w14:textId="77777777" w:rsidR="00170C89" w:rsidRPr="00E67914" w:rsidRDefault="00170C89" w:rsidP="0094044F">
            <w:pPr>
              <w:widowControl w:val="0"/>
              <w:adjustRightInd w:val="0"/>
              <w:snapToGrid w:val="0"/>
              <w:jc w:val="center"/>
              <w:rPr>
                <w:rFonts w:ascii="Times New Roman" w:hAnsi="Times New Roman"/>
                <w:lang w:eastAsia="zh-CN"/>
              </w:rPr>
            </w:pPr>
            <w:r w:rsidRPr="00E67914">
              <w:rPr>
                <w:rFonts w:ascii="Times New Roman" w:hAnsi="Times New Roman"/>
                <w:lang w:eastAsia="zh-CN"/>
              </w:rPr>
              <w:t>图</w:t>
            </w:r>
            <w:r w:rsidRPr="00E67914">
              <w:rPr>
                <w:rFonts w:ascii="Times New Roman" w:hAnsi="Times New Roman"/>
                <w:lang w:eastAsia="zh-CN"/>
              </w:rPr>
              <w:t xml:space="preserve">2.7-2   </w:t>
            </w:r>
            <w:r w:rsidRPr="00E67914">
              <w:rPr>
                <w:rFonts w:ascii="Times New Roman" w:hAnsi="Times New Roman"/>
                <w:lang w:eastAsia="zh-CN"/>
              </w:rPr>
              <w:t>本项目与四川省主体功能区划位置关系图</w:t>
            </w:r>
          </w:p>
          <w:p w14:paraId="60585134" w14:textId="77777777" w:rsidR="00170C89" w:rsidRPr="00E67914" w:rsidRDefault="00170C89" w:rsidP="0094044F">
            <w:pPr>
              <w:pStyle w:val="afffffffffa"/>
              <w:adjustRightInd w:val="0"/>
              <w:snapToGrid w:val="0"/>
              <w:spacing w:line="240" w:lineRule="auto"/>
              <w:ind w:firstLineChars="0" w:firstLine="0"/>
            </w:pPr>
          </w:p>
        </w:tc>
      </w:tr>
    </w:tbl>
    <w:p w14:paraId="52680C99"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4</w:t>
      </w:r>
      <w:r w:rsidRPr="00E67914">
        <w:rPr>
          <w:rFonts w:ascii="Times New Roman" w:eastAsia="黑体" w:hAnsi="Times New Roman"/>
          <w:sz w:val="24"/>
          <w:lang w:eastAsia="zh-CN"/>
        </w:rPr>
        <w:t>、与土壤污染防治行动计划符合性</w:t>
      </w:r>
    </w:p>
    <w:p w14:paraId="7CB83C25" w14:textId="77777777" w:rsidR="00A54A8A" w:rsidRPr="00E67914" w:rsidRDefault="00000000">
      <w:pPr>
        <w:pStyle w:val="afffffe"/>
        <w:ind w:firstLine="480"/>
      </w:pPr>
      <w:r w:rsidRPr="00E67914">
        <w:t>项目与土壤污染防治行动计划</w:t>
      </w:r>
      <w:r w:rsidRPr="00E67914">
        <w:t>“</w:t>
      </w:r>
      <w:r w:rsidRPr="00E67914">
        <w:t>国发〔</w:t>
      </w:r>
      <w:r w:rsidRPr="00E67914">
        <w:t>2016</w:t>
      </w:r>
      <w:r w:rsidRPr="00E67914">
        <w:t>〕</w:t>
      </w:r>
      <w:r w:rsidRPr="00E67914">
        <w:t>31</w:t>
      </w:r>
      <w:r w:rsidRPr="00E67914">
        <w:t>号</w:t>
      </w:r>
      <w:r w:rsidRPr="00E67914">
        <w:t>”</w:t>
      </w:r>
      <w:r w:rsidRPr="00E67914">
        <w:t>及《土壤污染防治行动计划四川省工作方案》符合性如下：</w:t>
      </w:r>
    </w:p>
    <w:p w14:paraId="42E84D3B"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2.7-8  </w:t>
      </w:r>
      <w:r w:rsidRPr="00E67914">
        <w:rPr>
          <w:rFonts w:ascii="Times New Roman" w:eastAsia="黑体" w:hAnsi="Times New Roman"/>
          <w:sz w:val="21"/>
          <w:szCs w:val="21"/>
          <w:lang w:eastAsia="zh-CN"/>
        </w:rPr>
        <w:t>与土壤污染防治行动计划符合性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073"/>
        <w:gridCol w:w="5518"/>
        <w:gridCol w:w="1040"/>
        <w:gridCol w:w="665"/>
      </w:tblGrid>
      <w:tr w:rsidR="00E67914" w:rsidRPr="00E67914" w14:paraId="1671F0C4" w14:textId="77777777" w:rsidTr="005931E5">
        <w:trPr>
          <w:trHeight w:val="343"/>
          <w:tblHeader/>
          <w:jc w:val="center"/>
        </w:trPr>
        <w:tc>
          <w:tcPr>
            <w:tcW w:w="646" w:type="pct"/>
            <w:vAlign w:val="center"/>
          </w:tcPr>
          <w:p w14:paraId="64E79896" w14:textId="77777777" w:rsidR="00A54A8A" w:rsidRPr="00E67914" w:rsidRDefault="00000000">
            <w:pPr>
              <w:jc w:val="center"/>
              <w:rPr>
                <w:rFonts w:ascii="Times New Roman" w:hAnsi="Times New Roman"/>
                <w:b/>
                <w:sz w:val="21"/>
                <w:szCs w:val="21"/>
                <w:lang w:eastAsia="zh-CN"/>
              </w:rPr>
            </w:pPr>
            <w:r w:rsidRPr="00E67914">
              <w:rPr>
                <w:rFonts w:ascii="Times New Roman" w:hAnsi="Times New Roman"/>
                <w:b/>
                <w:sz w:val="21"/>
                <w:szCs w:val="21"/>
                <w:lang w:eastAsia="zh-CN"/>
              </w:rPr>
              <w:t>土壤污染防治行动计划</w:t>
            </w:r>
          </w:p>
        </w:tc>
        <w:tc>
          <w:tcPr>
            <w:tcW w:w="3326" w:type="pct"/>
            <w:vAlign w:val="center"/>
          </w:tcPr>
          <w:p w14:paraId="23D5AFA0" w14:textId="77777777" w:rsidR="00A54A8A" w:rsidRPr="00E67914" w:rsidRDefault="00000000">
            <w:pPr>
              <w:jc w:val="center"/>
              <w:rPr>
                <w:rFonts w:ascii="Times New Roman" w:hAnsi="Times New Roman"/>
                <w:b/>
                <w:sz w:val="21"/>
                <w:szCs w:val="21"/>
              </w:rPr>
            </w:pPr>
            <w:r w:rsidRPr="00E67914">
              <w:rPr>
                <w:rFonts w:ascii="Times New Roman" w:hAnsi="Times New Roman"/>
                <w:b/>
                <w:sz w:val="21"/>
                <w:szCs w:val="21"/>
              </w:rPr>
              <w:t>相关要求</w:t>
            </w:r>
          </w:p>
        </w:tc>
        <w:tc>
          <w:tcPr>
            <w:tcW w:w="627" w:type="pct"/>
            <w:vAlign w:val="center"/>
          </w:tcPr>
          <w:p w14:paraId="57BF4DA3" w14:textId="77777777" w:rsidR="00A54A8A" w:rsidRPr="00E67914" w:rsidRDefault="00000000">
            <w:pPr>
              <w:jc w:val="center"/>
              <w:rPr>
                <w:rFonts w:ascii="Times New Roman" w:hAnsi="Times New Roman"/>
                <w:b/>
                <w:sz w:val="21"/>
                <w:szCs w:val="21"/>
              </w:rPr>
            </w:pPr>
            <w:r w:rsidRPr="00E67914">
              <w:rPr>
                <w:rFonts w:ascii="Times New Roman" w:hAnsi="Times New Roman"/>
                <w:b/>
                <w:sz w:val="21"/>
                <w:szCs w:val="21"/>
              </w:rPr>
              <w:t>本项目情况</w:t>
            </w:r>
          </w:p>
        </w:tc>
        <w:tc>
          <w:tcPr>
            <w:tcW w:w="401" w:type="pct"/>
            <w:vAlign w:val="center"/>
          </w:tcPr>
          <w:p w14:paraId="61124F1D" w14:textId="77777777" w:rsidR="00A54A8A" w:rsidRPr="00E67914" w:rsidRDefault="00000000">
            <w:pPr>
              <w:jc w:val="center"/>
              <w:rPr>
                <w:rFonts w:ascii="Times New Roman" w:hAnsi="Times New Roman"/>
                <w:b/>
                <w:sz w:val="21"/>
                <w:szCs w:val="21"/>
              </w:rPr>
            </w:pPr>
            <w:r w:rsidRPr="00E67914">
              <w:rPr>
                <w:rFonts w:ascii="Times New Roman" w:hAnsi="Times New Roman"/>
                <w:b/>
                <w:sz w:val="21"/>
                <w:szCs w:val="21"/>
              </w:rPr>
              <w:t>符合性</w:t>
            </w:r>
          </w:p>
        </w:tc>
      </w:tr>
      <w:tr w:rsidR="00E67914" w:rsidRPr="00E67914" w14:paraId="0D3788A9" w14:textId="77777777" w:rsidTr="005931E5">
        <w:trPr>
          <w:trHeight w:val="848"/>
          <w:jc w:val="center"/>
        </w:trPr>
        <w:tc>
          <w:tcPr>
            <w:tcW w:w="646" w:type="pct"/>
            <w:vMerge w:val="restart"/>
            <w:vAlign w:val="center"/>
          </w:tcPr>
          <w:p w14:paraId="2C2E51E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《土壤污染防治行动计划》（国发〔</w:t>
            </w:r>
            <w:r w:rsidRPr="00E67914">
              <w:rPr>
                <w:rFonts w:ascii="Times New Roman" w:hAnsi="Times New Roman"/>
                <w:sz w:val="21"/>
                <w:szCs w:val="21"/>
                <w:lang w:eastAsia="zh-CN"/>
              </w:rPr>
              <w:t>2016</w:t>
            </w:r>
            <w:r w:rsidRPr="00E67914">
              <w:rPr>
                <w:rFonts w:ascii="Times New Roman" w:hAnsi="Times New Roman"/>
                <w:sz w:val="21"/>
                <w:szCs w:val="21"/>
                <w:lang w:eastAsia="zh-CN"/>
              </w:rPr>
              <w:t>〕</w:t>
            </w:r>
            <w:r w:rsidRPr="00E67914">
              <w:rPr>
                <w:rFonts w:ascii="Times New Roman" w:hAnsi="Times New Roman"/>
                <w:sz w:val="21"/>
                <w:szCs w:val="21"/>
                <w:lang w:eastAsia="zh-CN"/>
              </w:rPr>
              <w:t>31</w:t>
            </w:r>
            <w:r w:rsidRPr="00E67914">
              <w:rPr>
                <w:rFonts w:ascii="Times New Roman" w:hAnsi="Times New Roman"/>
                <w:sz w:val="21"/>
                <w:szCs w:val="21"/>
                <w:lang w:eastAsia="zh-CN"/>
              </w:rPr>
              <w:t>号）</w:t>
            </w:r>
          </w:p>
        </w:tc>
        <w:tc>
          <w:tcPr>
            <w:tcW w:w="3326" w:type="pct"/>
            <w:vAlign w:val="center"/>
          </w:tcPr>
          <w:p w14:paraId="080864A2"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自</w:t>
            </w:r>
            <w:r w:rsidRPr="00E67914">
              <w:rPr>
                <w:rFonts w:ascii="Times New Roman" w:hAnsi="Times New Roman"/>
                <w:sz w:val="21"/>
                <w:szCs w:val="21"/>
                <w:lang w:eastAsia="zh-CN"/>
              </w:rPr>
              <w:t>2017</w:t>
            </w:r>
            <w:r w:rsidRPr="00E67914">
              <w:rPr>
                <w:rFonts w:ascii="Times New Roman" w:hAnsi="Times New Roman"/>
                <w:sz w:val="21"/>
                <w:szCs w:val="21"/>
                <w:lang w:eastAsia="zh-CN"/>
              </w:rPr>
              <w:t>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627" w:type="pct"/>
            <w:vAlign w:val="center"/>
          </w:tcPr>
          <w:p w14:paraId="4509554C"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不属于回收土地使用权的项目</w:t>
            </w:r>
          </w:p>
        </w:tc>
        <w:tc>
          <w:tcPr>
            <w:tcW w:w="401" w:type="pct"/>
            <w:vAlign w:val="center"/>
          </w:tcPr>
          <w:p w14:paraId="121A122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45943817" w14:textId="77777777" w:rsidTr="005931E5">
        <w:trPr>
          <w:trHeight w:val="519"/>
          <w:jc w:val="center"/>
        </w:trPr>
        <w:tc>
          <w:tcPr>
            <w:tcW w:w="646" w:type="pct"/>
            <w:vMerge/>
            <w:vAlign w:val="center"/>
          </w:tcPr>
          <w:p w14:paraId="2682861A" w14:textId="77777777" w:rsidR="00A54A8A" w:rsidRPr="00E67914" w:rsidRDefault="00A54A8A">
            <w:pPr>
              <w:jc w:val="center"/>
              <w:rPr>
                <w:rFonts w:ascii="Times New Roman" w:hAnsi="Times New Roman"/>
                <w:sz w:val="21"/>
                <w:szCs w:val="21"/>
              </w:rPr>
            </w:pPr>
          </w:p>
        </w:tc>
        <w:tc>
          <w:tcPr>
            <w:tcW w:w="3326" w:type="pct"/>
            <w:vAlign w:val="center"/>
          </w:tcPr>
          <w:p w14:paraId="785F4A9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627" w:type="pct"/>
            <w:vAlign w:val="center"/>
          </w:tcPr>
          <w:p w14:paraId="7ABD7711"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不涉及重点污染物的排放</w:t>
            </w:r>
          </w:p>
        </w:tc>
        <w:tc>
          <w:tcPr>
            <w:tcW w:w="401" w:type="pct"/>
            <w:vAlign w:val="center"/>
          </w:tcPr>
          <w:p w14:paraId="518DBCE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2F1C7E01" w14:textId="77777777" w:rsidTr="005931E5">
        <w:trPr>
          <w:trHeight w:val="788"/>
          <w:jc w:val="center"/>
        </w:trPr>
        <w:tc>
          <w:tcPr>
            <w:tcW w:w="646" w:type="pct"/>
            <w:vMerge/>
            <w:vAlign w:val="center"/>
          </w:tcPr>
          <w:p w14:paraId="6238AC36" w14:textId="77777777" w:rsidR="00A54A8A" w:rsidRPr="00E67914" w:rsidRDefault="00A54A8A">
            <w:pPr>
              <w:jc w:val="center"/>
              <w:rPr>
                <w:rFonts w:ascii="Times New Roman" w:hAnsi="Times New Roman"/>
                <w:sz w:val="21"/>
                <w:szCs w:val="21"/>
              </w:rPr>
            </w:pPr>
          </w:p>
        </w:tc>
        <w:tc>
          <w:tcPr>
            <w:tcW w:w="3326" w:type="pct"/>
            <w:vAlign w:val="center"/>
          </w:tcPr>
          <w:p w14:paraId="3333760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严格执行相关行业企业布局选址要求，禁止在居民区、学校、医疗和养老机构等周边新建有色金属冶炼、焦化等行业企业</w:t>
            </w:r>
          </w:p>
        </w:tc>
        <w:tc>
          <w:tcPr>
            <w:tcW w:w="627" w:type="pct"/>
            <w:vAlign w:val="center"/>
          </w:tcPr>
          <w:p w14:paraId="5842A46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不涉及</w:t>
            </w:r>
          </w:p>
        </w:tc>
        <w:tc>
          <w:tcPr>
            <w:tcW w:w="401" w:type="pct"/>
            <w:vAlign w:val="center"/>
          </w:tcPr>
          <w:p w14:paraId="0FAB064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17C8A7F6" w14:textId="77777777" w:rsidTr="005931E5">
        <w:trPr>
          <w:trHeight w:val="848"/>
          <w:jc w:val="center"/>
        </w:trPr>
        <w:tc>
          <w:tcPr>
            <w:tcW w:w="646" w:type="pct"/>
            <w:vMerge/>
            <w:vAlign w:val="center"/>
          </w:tcPr>
          <w:p w14:paraId="731AA648" w14:textId="77777777" w:rsidR="00A54A8A" w:rsidRPr="00E67914" w:rsidRDefault="00A54A8A">
            <w:pPr>
              <w:jc w:val="center"/>
              <w:rPr>
                <w:rFonts w:ascii="Times New Roman" w:hAnsi="Times New Roman"/>
                <w:sz w:val="21"/>
                <w:szCs w:val="21"/>
              </w:rPr>
            </w:pPr>
          </w:p>
        </w:tc>
        <w:tc>
          <w:tcPr>
            <w:tcW w:w="3326" w:type="pct"/>
            <w:vAlign w:val="center"/>
          </w:tcPr>
          <w:p w14:paraId="606A01A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627" w:type="pct"/>
            <w:vAlign w:val="center"/>
          </w:tcPr>
          <w:p w14:paraId="5DCE5A47" w14:textId="77777777" w:rsidR="00A54A8A" w:rsidRPr="00E67914" w:rsidRDefault="00000000">
            <w:pPr>
              <w:pStyle w:val="affffff0"/>
              <w:rPr>
                <w:szCs w:val="21"/>
              </w:rPr>
            </w:pPr>
            <w:r w:rsidRPr="00E67914">
              <w:rPr>
                <w:szCs w:val="21"/>
              </w:rPr>
              <w:t>不属于电器电子、汽车等行业</w:t>
            </w:r>
          </w:p>
        </w:tc>
        <w:tc>
          <w:tcPr>
            <w:tcW w:w="401" w:type="pct"/>
            <w:vAlign w:val="center"/>
          </w:tcPr>
          <w:p w14:paraId="506A443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5B59B98A" w14:textId="77777777" w:rsidTr="005931E5">
        <w:trPr>
          <w:trHeight w:val="63"/>
          <w:jc w:val="center"/>
        </w:trPr>
        <w:tc>
          <w:tcPr>
            <w:tcW w:w="646" w:type="pct"/>
            <w:vMerge/>
            <w:vAlign w:val="center"/>
          </w:tcPr>
          <w:p w14:paraId="07E04D01" w14:textId="77777777" w:rsidR="00A54A8A" w:rsidRPr="00E67914" w:rsidRDefault="00A54A8A">
            <w:pPr>
              <w:jc w:val="center"/>
              <w:rPr>
                <w:rFonts w:ascii="Times New Roman" w:hAnsi="Times New Roman"/>
                <w:sz w:val="21"/>
                <w:szCs w:val="21"/>
              </w:rPr>
            </w:pPr>
          </w:p>
        </w:tc>
        <w:tc>
          <w:tcPr>
            <w:tcW w:w="3326" w:type="pct"/>
            <w:vAlign w:val="center"/>
          </w:tcPr>
          <w:p w14:paraId="42F6E18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继续淘汰涉重金属重点行业落后产能，完善重金属相关行业准入条件，禁止新建落后产能或产能严重过剩行业的建设项目</w:t>
            </w:r>
          </w:p>
        </w:tc>
        <w:tc>
          <w:tcPr>
            <w:tcW w:w="627" w:type="pct"/>
            <w:vAlign w:val="center"/>
          </w:tcPr>
          <w:p w14:paraId="1436BA6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不属于涉重企业</w:t>
            </w:r>
          </w:p>
        </w:tc>
        <w:tc>
          <w:tcPr>
            <w:tcW w:w="401" w:type="pct"/>
            <w:vAlign w:val="center"/>
          </w:tcPr>
          <w:p w14:paraId="129AE54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符合</w:t>
            </w:r>
          </w:p>
        </w:tc>
      </w:tr>
    </w:tbl>
    <w:p w14:paraId="1C2FD58D" w14:textId="77777777" w:rsidR="00A54A8A" w:rsidRPr="00E67914" w:rsidRDefault="00000000">
      <w:pPr>
        <w:widowControl w:val="0"/>
        <w:tabs>
          <w:tab w:val="left" w:pos="0"/>
        </w:tabs>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经上表分析，项目建设与《国务院关于印发土壤污染防治行动计划的通知》（国发〔</w:t>
      </w:r>
      <w:r w:rsidRPr="00E67914">
        <w:rPr>
          <w:rFonts w:ascii="Times New Roman" w:hAnsi="Times New Roman"/>
          <w:sz w:val="24"/>
          <w:szCs w:val="24"/>
          <w:lang w:eastAsia="zh-CN"/>
        </w:rPr>
        <w:t>2016</w:t>
      </w:r>
      <w:r w:rsidRPr="00E67914">
        <w:rPr>
          <w:rFonts w:ascii="Times New Roman" w:hAnsi="Times New Roman"/>
          <w:sz w:val="24"/>
          <w:szCs w:val="24"/>
          <w:lang w:eastAsia="zh-CN"/>
        </w:rPr>
        <w:t>〕</w:t>
      </w:r>
      <w:r w:rsidRPr="00E67914">
        <w:rPr>
          <w:rFonts w:ascii="Times New Roman" w:hAnsi="Times New Roman"/>
          <w:sz w:val="24"/>
          <w:szCs w:val="24"/>
          <w:lang w:eastAsia="zh-CN"/>
        </w:rPr>
        <w:t>31</w:t>
      </w:r>
      <w:r w:rsidRPr="00E67914">
        <w:rPr>
          <w:rFonts w:ascii="Times New Roman" w:hAnsi="Times New Roman"/>
          <w:sz w:val="24"/>
          <w:szCs w:val="24"/>
          <w:lang w:eastAsia="zh-CN"/>
        </w:rPr>
        <w:t>号）相符。</w:t>
      </w:r>
    </w:p>
    <w:p w14:paraId="66586B58" w14:textId="46402813" w:rsidR="005931E5" w:rsidRPr="00E67914" w:rsidRDefault="005931E5" w:rsidP="005931E5">
      <w:pPr>
        <w:widowControl w:val="0"/>
        <w:tabs>
          <w:tab w:val="left" w:pos="0"/>
        </w:tabs>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5</w:t>
      </w:r>
      <w:r w:rsidRPr="00E67914">
        <w:rPr>
          <w:rFonts w:ascii="Times New Roman" w:eastAsia="黑体" w:hAnsi="Times New Roman"/>
          <w:sz w:val="24"/>
          <w:lang w:eastAsia="zh-CN"/>
        </w:rPr>
        <w:t>、与《</w:t>
      </w:r>
      <w:r w:rsidRPr="00E67914">
        <w:rPr>
          <w:rFonts w:ascii="Times New Roman" w:eastAsia="黑体" w:hAnsi="Times New Roman"/>
          <w:sz w:val="24"/>
          <w:lang w:eastAsia="zh-CN"/>
        </w:rPr>
        <w:t>“</w:t>
      </w:r>
      <w:r w:rsidRPr="00E67914">
        <w:rPr>
          <w:rFonts w:ascii="Times New Roman" w:eastAsia="黑体" w:hAnsi="Times New Roman"/>
          <w:sz w:val="24"/>
          <w:lang w:eastAsia="zh-CN"/>
        </w:rPr>
        <w:t>十四五</w:t>
      </w:r>
      <w:r w:rsidRPr="00E67914">
        <w:rPr>
          <w:rFonts w:ascii="Times New Roman" w:eastAsia="黑体" w:hAnsi="Times New Roman"/>
          <w:sz w:val="24"/>
          <w:lang w:eastAsia="zh-CN"/>
        </w:rPr>
        <w:t>”</w:t>
      </w:r>
      <w:r w:rsidRPr="00E67914">
        <w:rPr>
          <w:rFonts w:ascii="Times New Roman" w:eastAsia="黑体" w:hAnsi="Times New Roman"/>
          <w:sz w:val="24"/>
          <w:lang w:eastAsia="zh-CN"/>
        </w:rPr>
        <w:t>噪声污染防治行动计划》的符合性</w:t>
      </w:r>
    </w:p>
    <w:p w14:paraId="1A9D2232" w14:textId="1ADD3076" w:rsidR="005931E5" w:rsidRPr="00E67914" w:rsidRDefault="005931E5" w:rsidP="005931E5">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2.7-</w:t>
      </w:r>
      <w:r w:rsidR="00CB4B0C" w:rsidRPr="00E67914">
        <w:rPr>
          <w:rFonts w:ascii="Times New Roman" w:eastAsia="黑体" w:hAnsi="Times New Roman"/>
          <w:sz w:val="21"/>
          <w:szCs w:val="21"/>
          <w:lang w:eastAsia="zh-CN"/>
        </w:rPr>
        <w:t>9</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与《</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十四五</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噪声污染防治行动计划》符合性</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673"/>
        <w:gridCol w:w="2860"/>
        <w:gridCol w:w="763"/>
      </w:tblGrid>
      <w:tr w:rsidR="00E67914" w:rsidRPr="00E67914" w14:paraId="5AB27711" w14:textId="77777777" w:rsidTr="00F102A4">
        <w:trPr>
          <w:trHeight w:val="343"/>
          <w:tblHeader/>
          <w:jc w:val="center"/>
        </w:trPr>
        <w:tc>
          <w:tcPr>
            <w:tcW w:w="2816" w:type="pct"/>
            <w:vAlign w:val="center"/>
          </w:tcPr>
          <w:p w14:paraId="22220024" w14:textId="77777777" w:rsidR="005931E5" w:rsidRPr="00E67914" w:rsidRDefault="005931E5" w:rsidP="00267A22">
            <w:pPr>
              <w:jc w:val="center"/>
              <w:rPr>
                <w:rFonts w:ascii="Times New Roman" w:hAnsi="Times New Roman"/>
                <w:b/>
                <w:sz w:val="21"/>
                <w:szCs w:val="21"/>
              </w:rPr>
            </w:pPr>
            <w:r w:rsidRPr="00E67914">
              <w:rPr>
                <w:rFonts w:ascii="Times New Roman" w:hAnsi="Times New Roman"/>
                <w:b/>
                <w:sz w:val="21"/>
                <w:szCs w:val="21"/>
              </w:rPr>
              <w:t>相关要求</w:t>
            </w:r>
          </w:p>
        </w:tc>
        <w:tc>
          <w:tcPr>
            <w:tcW w:w="1724" w:type="pct"/>
            <w:vAlign w:val="center"/>
          </w:tcPr>
          <w:p w14:paraId="0D6C363B" w14:textId="77777777" w:rsidR="005931E5" w:rsidRPr="00E67914" w:rsidRDefault="005931E5" w:rsidP="00267A22">
            <w:pPr>
              <w:jc w:val="center"/>
              <w:rPr>
                <w:rFonts w:ascii="Times New Roman" w:hAnsi="Times New Roman"/>
                <w:b/>
                <w:sz w:val="21"/>
                <w:szCs w:val="21"/>
              </w:rPr>
            </w:pPr>
            <w:r w:rsidRPr="00E67914">
              <w:rPr>
                <w:rFonts w:ascii="Times New Roman" w:hAnsi="Times New Roman"/>
                <w:b/>
                <w:sz w:val="21"/>
                <w:szCs w:val="21"/>
              </w:rPr>
              <w:t>本项目情况</w:t>
            </w:r>
          </w:p>
        </w:tc>
        <w:tc>
          <w:tcPr>
            <w:tcW w:w="460" w:type="pct"/>
            <w:vAlign w:val="center"/>
          </w:tcPr>
          <w:p w14:paraId="0B691E0C" w14:textId="77777777" w:rsidR="005931E5" w:rsidRPr="00E67914" w:rsidRDefault="005931E5" w:rsidP="00267A22">
            <w:pPr>
              <w:jc w:val="center"/>
              <w:rPr>
                <w:rFonts w:ascii="Times New Roman" w:hAnsi="Times New Roman"/>
                <w:b/>
                <w:sz w:val="21"/>
                <w:szCs w:val="21"/>
              </w:rPr>
            </w:pPr>
            <w:r w:rsidRPr="00E67914">
              <w:rPr>
                <w:rFonts w:ascii="Times New Roman" w:hAnsi="Times New Roman"/>
                <w:b/>
                <w:sz w:val="21"/>
                <w:szCs w:val="21"/>
              </w:rPr>
              <w:t>符合性</w:t>
            </w:r>
          </w:p>
        </w:tc>
      </w:tr>
      <w:tr w:rsidR="00E67914" w:rsidRPr="00E67914" w14:paraId="1D340B6E" w14:textId="77777777" w:rsidTr="00F102A4">
        <w:trPr>
          <w:trHeight w:val="848"/>
          <w:jc w:val="center"/>
        </w:trPr>
        <w:tc>
          <w:tcPr>
            <w:tcW w:w="2816" w:type="pct"/>
            <w:vAlign w:val="center"/>
          </w:tcPr>
          <w:p w14:paraId="0B8EB6AC" w14:textId="65056842" w:rsidR="005931E5" w:rsidRPr="00E67914" w:rsidRDefault="005931E5" w:rsidP="00267A22">
            <w:pPr>
              <w:jc w:val="center"/>
              <w:rPr>
                <w:rFonts w:ascii="Times New Roman" w:hAnsi="Times New Roman"/>
                <w:sz w:val="21"/>
                <w:szCs w:val="21"/>
                <w:lang w:eastAsia="zh-CN"/>
              </w:rPr>
            </w:pPr>
            <w:r w:rsidRPr="00E67914">
              <w:rPr>
                <w:rFonts w:ascii="Times New Roman" w:hAnsi="Times New Roman"/>
                <w:sz w:val="21"/>
                <w:szCs w:val="21"/>
                <w:lang w:eastAsia="zh-CN"/>
              </w:rPr>
              <w:t>严格落实噪声污染防治要求。制定修改相关规划、建设对环境有影响的项目时，应依法开展环评，对可能产生噪声与振动的影响进行分析、预测和评估，积极采取噪声污染防治对策措施。建设项目的噪声污染防治设施应当与主体工程同时设计、同时施工、同时投产使用。督促建设单位依法开展竣工环境保护验收，加大事中事后监管力度，确保各项措施落地见效。</w:t>
            </w:r>
          </w:p>
        </w:tc>
        <w:tc>
          <w:tcPr>
            <w:tcW w:w="1724" w:type="pct"/>
            <w:vAlign w:val="center"/>
          </w:tcPr>
          <w:p w14:paraId="7D02A2BF" w14:textId="32CFF514" w:rsidR="005931E5" w:rsidRPr="00E67914" w:rsidRDefault="005931E5" w:rsidP="00267A22">
            <w:pPr>
              <w:jc w:val="center"/>
              <w:rPr>
                <w:rFonts w:ascii="Times New Roman" w:hAnsi="Times New Roman"/>
                <w:sz w:val="21"/>
                <w:szCs w:val="21"/>
                <w:lang w:eastAsia="zh-CN"/>
              </w:rPr>
            </w:pPr>
            <w:r w:rsidRPr="00E67914">
              <w:rPr>
                <w:rFonts w:ascii="Times New Roman" w:hAnsi="Times New Roman"/>
                <w:sz w:val="21"/>
                <w:szCs w:val="21"/>
                <w:lang w:eastAsia="zh-CN"/>
              </w:rPr>
              <w:t>本项目</w:t>
            </w:r>
            <w:r w:rsidR="00F102A4" w:rsidRPr="00E67914">
              <w:rPr>
                <w:rFonts w:ascii="Times New Roman" w:hAnsi="Times New Roman"/>
                <w:sz w:val="21"/>
                <w:szCs w:val="21"/>
                <w:lang w:eastAsia="zh-CN"/>
              </w:rPr>
              <w:t>依法开展环评，对可能产生的噪声进行了影响预测与评估，并提出了相应的防治措施。建设单位在建设时将落实噪声污染防治设施应当与主体工程同时设计、同时施工、同时投产使用的要求，同时在施工期与运营期将开展定期监测，确保措施落地见效</w:t>
            </w:r>
          </w:p>
        </w:tc>
        <w:tc>
          <w:tcPr>
            <w:tcW w:w="460" w:type="pct"/>
            <w:vAlign w:val="center"/>
          </w:tcPr>
          <w:p w14:paraId="692A776A" w14:textId="77777777" w:rsidR="005931E5" w:rsidRPr="00E67914" w:rsidRDefault="005931E5" w:rsidP="00267A22">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404A641F" w14:textId="77777777" w:rsidTr="00F102A4">
        <w:trPr>
          <w:trHeight w:val="519"/>
          <w:jc w:val="center"/>
        </w:trPr>
        <w:tc>
          <w:tcPr>
            <w:tcW w:w="2816" w:type="pct"/>
            <w:vAlign w:val="center"/>
          </w:tcPr>
          <w:p w14:paraId="70A74058" w14:textId="001DF365" w:rsidR="005931E5" w:rsidRPr="00E67914" w:rsidRDefault="00F102A4" w:rsidP="00267A22">
            <w:pPr>
              <w:jc w:val="center"/>
              <w:rPr>
                <w:rFonts w:ascii="Times New Roman" w:hAnsi="Times New Roman"/>
                <w:sz w:val="21"/>
                <w:szCs w:val="21"/>
                <w:lang w:eastAsia="zh-CN"/>
              </w:rPr>
            </w:pPr>
            <w:r w:rsidRPr="00E67914">
              <w:rPr>
                <w:rFonts w:ascii="Times New Roman" w:hAnsi="Times New Roman"/>
                <w:sz w:val="21"/>
                <w:szCs w:val="21"/>
                <w:lang w:eastAsia="zh-CN"/>
              </w:rPr>
              <w:t>推广低噪声施工设备。制定房屋建筑和市政基础设施工程禁止和限制使用技术目录，限制或禁用易产生噪声污染的落后施工工艺和设备。</w:t>
            </w:r>
          </w:p>
        </w:tc>
        <w:tc>
          <w:tcPr>
            <w:tcW w:w="1724" w:type="pct"/>
            <w:vAlign w:val="center"/>
          </w:tcPr>
          <w:p w14:paraId="5B5C5173" w14:textId="02430F61" w:rsidR="005931E5" w:rsidRPr="00E67914" w:rsidRDefault="00F102A4" w:rsidP="00267A22">
            <w:pPr>
              <w:jc w:val="center"/>
              <w:rPr>
                <w:rFonts w:ascii="Times New Roman" w:hAnsi="Times New Roman"/>
                <w:sz w:val="21"/>
                <w:szCs w:val="21"/>
                <w:lang w:eastAsia="zh-CN"/>
              </w:rPr>
            </w:pPr>
            <w:r w:rsidRPr="00E67914">
              <w:rPr>
                <w:rFonts w:ascii="Times New Roman" w:hAnsi="Times New Roman"/>
                <w:sz w:val="21"/>
                <w:szCs w:val="21"/>
                <w:lang w:eastAsia="zh-CN"/>
              </w:rPr>
              <w:t>本项目所使用的设备及施工工艺均不属于限制或禁用易产生噪声污染的落后施工工艺和设备</w:t>
            </w:r>
          </w:p>
        </w:tc>
        <w:tc>
          <w:tcPr>
            <w:tcW w:w="460" w:type="pct"/>
            <w:vAlign w:val="center"/>
          </w:tcPr>
          <w:p w14:paraId="7FAD8EC0" w14:textId="77777777" w:rsidR="005931E5" w:rsidRPr="00E67914" w:rsidRDefault="005931E5" w:rsidP="00267A22">
            <w:pPr>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33044BA0" w14:textId="77777777" w:rsidTr="00F102A4">
        <w:trPr>
          <w:trHeight w:val="788"/>
          <w:jc w:val="center"/>
        </w:trPr>
        <w:tc>
          <w:tcPr>
            <w:tcW w:w="2816" w:type="pct"/>
            <w:vAlign w:val="center"/>
          </w:tcPr>
          <w:p w14:paraId="00EFC338" w14:textId="23E244DD" w:rsidR="005931E5" w:rsidRPr="00E67914" w:rsidRDefault="00F102A4" w:rsidP="00267A22">
            <w:pPr>
              <w:jc w:val="center"/>
              <w:rPr>
                <w:rFonts w:ascii="Times New Roman" w:hAnsi="Times New Roman"/>
                <w:sz w:val="21"/>
                <w:szCs w:val="21"/>
                <w:lang w:eastAsia="zh-CN"/>
              </w:rPr>
            </w:pPr>
            <w:r w:rsidRPr="00E67914">
              <w:rPr>
                <w:rFonts w:ascii="Times New Roman" w:hAnsi="Times New Roman"/>
                <w:sz w:val="21"/>
                <w:szCs w:val="21"/>
                <w:lang w:eastAsia="zh-CN"/>
              </w:rPr>
              <w:t>落实管控责任。修订建设工程施工合同示范文本，明确建设单位、施工单位噪声污染防治责任和任务措施等要求。施工单位编制并落实噪声污染防治工作方案，采取有效隔声降噪设备、设施或施工工艺。鼓励噪声污染防治示范工地分类分级管理，探索从评优评先、资金补贴等方面，推动建筑施工企业加强噪声污染防治。</w:t>
            </w:r>
          </w:p>
        </w:tc>
        <w:tc>
          <w:tcPr>
            <w:tcW w:w="1724" w:type="pct"/>
            <w:vAlign w:val="center"/>
          </w:tcPr>
          <w:p w14:paraId="0920F98A" w14:textId="3ABC55CB" w:rsidR="005931E5" w:rsidRPr="00E67914" w:rsidRDefault="00F102A4" w:rsidP="00267A22">
            <w:pPr>
              <w:jc w:val="center"/>
              <w:rPr>
                <w:rFonts w:ascii="Times New Roman" w:hAnsi="Times New Roman"/>
                <w:sz w:val="21"/>
                <w:szCs w:val="21"/>
                <w:lang w:eastAsia="zh-CN"/>
              </w:rPr>
            </w:pPr>
            <w:r w:rsidRPr="00E67914">
              <w:rPr>
                <w:rFonts w:ascii="Times New Roman" w:hAnsi="Times New Roman"/>
                <w:sz w:val="21"/>
                <w:szCs w:val="21"/>
                <w:lang w:eastAsia="zh-CN"/>
              </w:rPr>
              <w:t>评价要求施工单位编制并落实噪声污染防治工作方案，采取有效隔声降噪设备、设施或施工工艺，确保项目施工不扰民</w:t>
            </w:r>
          </w:p>
        </w:tc>
        <w:tc>
          <w:tcPr>
            <w:tcW w:w="460" w:type="pct"/>
            <w:vAlign w:val="center"/>
          </w:tcPr>
          <w:p w14:paraId="5111CD78" w14:textId="77777777" w:rsidR="005931E5" w:rsidRPr="00E67914" w:rsidRDefault="005931E5" w:rsidP="00267A22">
            <w:pPr>
              <w:jc w:val="center"/>
              <w:rPr>
                <w:rFonts w:ascii="Times New Roman" w:hAnsi="Times New Roman"/>
                <w:sz w:val="21"/>
                <w:szCs w:val="21"/>
              </w:rPr>
            </w:pPr>
            <w:r w:rsidRPr="00E67914">
              <w:rPr>
                <w:rFonts w:ascii="Times New Roman" w:hAnsi="Times New Roman"/>
                <w:sz w:val="21"/>
                <w:szCs w:val="21"/>
              </w:rPr>
              <w:t>符合</w:t>
            </w:r>
          </w:p>
        </w:tc>
      </w:tr>
    </w:tbl>
    <w:p w14:paraId="590C22B0" w14:textId="19FD656B" w:rsidR="005931E5" w:rsidRPr="00E67914" w:rsidRDefault="00F102A4" w:rsidP="005931E5">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综上所述，本项目的建设与《</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十四五</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噪声污染防治行动计划》相符。</w:t>
      </w:r>
    </w:p>
    <w:p w14:paraId="722043B5" w14:textId="20EB8B50" w:rsidR="00A54A8A" w:rsidRPr="00E67914" w:rsidRDefault="005931E5">
      <w:pPr>
        <w:widowControl w:val="0"/>
        <w:tabs>
          <w:tab w:val="left" w:pos="0"/>
        </w:tabs>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6</w:t>
      </w:r>
      <w:r w:rsidRPr="00E67914">
        <w:rPr>
          <w:rFonts w:ascii="Times New Roman" w:eastAsia="黑体" w:hAnsi="Times New Roman"/>
          <w:sz w:val="24"/>
          <w:lang w:eastAsia="zh-CN"/>
        </w:rPr>
        <w:t>、</w:t>
      </w:r>
      <w:r w:rsidR="001C2F94" w:rsidRPr="00E67914">
        <w:rPr>
          <w:rFonts w:ascii="Times New Roman" w:eastAsia="黑体" w:hAnsi="Times New Roman"/>
          <w:sz w:val="24"/>
          <w:lang w:eastAsia="zh-CN"/>
        </w:rPr>
        <w:t>与《四川省、重庆市长江经济带发展负面清单实施细则（试行，</w:t>
      </w:r>
      <w:r w:rsidR="001C2F94" w:rsidRPr="00E67914">
        <w:rPr>
          <w:rFonts w:ascii="Times New Roman" w:eastAsia="黑体" w:hAnsi="Times New Roman"/>
          <w:sz w:val="24"/>
          <w:lang w:eastAsia="zh-CN"/>
        </w:rPr>
        <w:t>2022</w:t>
      </w:r>
      <w:r w:rsidR="001C2F94" w:rsidRPr="00E67914">
        <w:rPr>
          <w:rFonts w:ascii="Times New Roman" w:eastAsia="黑体" w:hAnsi="Times New Roman"/>
          <w:sz w:val="24"/>
          <w:lang w:eastAsia="zh-CN"/>
        </w:rPr>
        <w:t>年版）》的符合性</w:t>
      </w:r>
    </w:p>
    <w:p w14:paraId="05464F6E"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本项目与《四川省、重庆市长江经济带发展负面清单实施细则（试行，</w:t>
      </w:r>
      <w:r w:rsidRPr="00E67914">
        <w:rPr>
          <w:rFonts w:ascii="Times New Roman" w:hAnsi="Times New Roman"/>
          <w:bCs/>
          <w:kern w:val="2"/>
          <w:sz w:val="24"/>
          <w:szCs w:val="24"/>
          <w:lang w:eastAsia="zh-CN"/>
        </w:rPr>
        <w:t>2022</w:t>
      </w:r>
      <w:r w:rsidRPr="00E67914">
        <w:rPr>
          <w:rFonts w:ascii="Times New Roman" w:hAnsi="Times New Roman"/>
          <w:bCs/>
          <w:kern w:val="2"/>
          <w:sz w:val="24"/>
          <w:szCs w:val="24"/>
          <w:lang w:eastAsia="zh-CN"/>
        </w:rPr>
        <w:t>年版）》（川长江办</w:t>
      </w:r>
      <w:r w:rsidRPr="00E67914">
        <w:rPr>
          <w:rFonts w:ascii="Times New Roman" w:hAnsi="Times New Roman"/>
          <w:bCs/>
          <w:kern w:val="2"/>
          <w:sz w:val="24"/>
          <w:szCs w:val="24"/>
          <w:lang w:eastAsia="zh-CN"/>
        </w:rPr>
        <w:t>[2022]17</w:t>
      </w:r>
      <w:r w:rsidRPr="00E67914">
        <w:rPr>
          <w:rFonts w:ascii="Times New Roman" w:hAnsi="Times New Roman"/>
          <w:bCs/>
          <w:kern w:val="2"/>
          <w:sz w:val="24"/>
          <w:szCs w:val="24"/>
          <w:lang w:eastAsia="zh-CN"/>
        </w:rPr>
        <w:t>号）对比分析详见下表。</w:t>
      </w:r>
    </w:p>
    <w:p w14:paraId="7561EAFA" w14:textId="303DD95C"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2.7-</w:t>
      </w:r>
      <w:r w:rsidR="00CB4B0C" w:rsidRPr="00E67914">
        <w:rPr>
          <w:rFonts w:ascii="Times New Roman" w:eastAsia="黑体" w:hAnsi="Times New Roman"/>
          <w:sz w:val="21"/>
          <w:szCs w:val="21"/>
          <w:lang w:eastAsia="zh-CN"/>
        </w:rPr>
        <w:t>10</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对比分析表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29"/>
        <w:gridCol w:w="5021"/>
        <w:gridCol w:w="1701"/>
        <w:gridCol w:w="1045"/>
      </w:tblGrid>
      <w:tr w:rsidR="00E67914" w:rsidRPr="00E67914" w14:paraId="00EEADA5" w14:textId="77777777">
        <w:trPr>
          <w:jc w:val="center"/>
        </w:trPr>
        <w:tc>
          <w:tcPr>
            <w:tcW w:w="319" w:type="pct"/>
            <w:vAlign w:val="center"/>
          </w:tcPr>
          <w:p w14:paraId="4880659E" w14:textId="77777777" w:rsidR="00A54A8A" w:rsidRPr="00E67914" w:rsidRDefault="00000000">
            <w:pPr>
              <w:autoSpaceDE w:val="0"/>
              <w:autoSpaceDN w:val="0"/>
              <w:jc w:val="center"/>
              <w:rPr>
                <w:rFonts w:ascii="Times New Roman" w:hAnsi="Times New Roman"/>
                <w:b/>
                <w:bCs/>
                <w:sz w:val="21"/>
                <w:szCs w:val="21"/>
              </w:rPr>
            </w:pPr>
            <w:r w:rsidRPr="00E67914">
              <w:rPr>
                <w:rFonts w:ascii="Times New Roman" w:hAnsi="Times New Roman"/>
                <w:b/>
                <w:bCs/>
                <w:sz w:val="21"/>
                <w:szCs w:val="21"/>
              </w:rPr>
              <w:t>序号</w:t>
            </w:r>
          </w:p>
        </w:tc>
        <w:tc>
          <w:tcPr>
            <w:tcW w:w="3026" w:type="pct"/>
            <w:vAlign w:val="center"/>
          </w:tcPr>
          <w:p w14:paraId="00C72E5A" w14:textId="77777777" w:rsidR="00A54A8A" w:rsidRPr="00E67914" w:rsidRDefault="00000000">
            <w:pPr>
              <w:autoSpaceDE w:val="0"/>
              <w:autoSpaceDN w:val="0"/>
              <w:jc w:val="center"/>
              <w:rPr>
                <w:rFonts w:ascii="Times New Roman" w:hAnsi="Times New Roman"/>
                <w:b/>
                <w:bCs/>
                <w:sz w:val="21"/>
                <w:szCs w:val="21"/>
                <w:lang w:eastAsia="zh-CN"/>
              </w:rPr>
            </w:pPr>
            <w:r w:rsidRPr="00E67914">
              <w:rPr>
                <w:rFonts w:ascii="Times New Roman" w:hAnsi="Times New Roman"/>
                <w:b/>
                <w:bCs/>
                <w:sz w:val="21"/>
                <w:szCs w:val="21"/>
                <w:lang w:eastAsia="zh-CN"/>
              </w:rPr>
              <w:t>污染防治技术政策要求</w:t>
            </w:r>
          </w:p>
        </w:tc>
        <w:tc>
          <w:tcPr>
            <w:tcW w:w="1025" w:type="pct"/>
            <w:vAlign w:val="center"/>
          </w:tcPr>
          <w:p w14:paraId="7449DEE6" w14:textId="77777777" w:rsidR="00A54A8A" w:rsidRPr="00E67914" w:rsidRDefault="00000000">
            <w:pPr>
              <w:autoSpaceDE w:val="0"/>
              <w:autoSpaceDN w:val="0"/>
              <w:jc w:val="center"/>
              <w:rPr>
                <w:rFonts w:ascii="Times New Roman" w:hAnsi="Times New Roman"/>
                <w:b/>
                <w:bCs/>
                <w:sz w:val="21"/>
                <w:szCs w:val="21"/>
              </w:rPr>
            </w:pPr>
            <w:r w:rsidRPr="00E67914">
              <w:rPr>
                <w:rFonts w:ascii="Times New Roman" w:hAnsi="Times New Roman"/>
                <w:b/>
                <w:bCs/>
                <w:sz w:val="21"/>
                <w:szCs w:val="21"/>
              </w:rPr>
              <w:t>本工程内容</w:t>
            </w:r>
          </w:p>
        </w:tc>
        <w:tc>
          <w:tcPr>
            <w:tcW w:w="630" w:type="pct"/>
            <w:vAlign w:val="center"/>
          </w:tcPr>
          <w:p w14:paraId="50F92434" w14:textId="77777777" w:rsidR="00A54A8A" w:rsidRPr="00E67914" w:rsidRDefault="00000000">
            <w:pPr>
              <w:autoSpaceDE w:val="0"/>
              <w:autoSpaceDN w:val="0"/>
              <w:jc w:val="center"/>
              <w:rPr>
                <w:rFonts w:ascii="Times New Roman" w:hAnsi="Times New Roman"/>
                <w:b/>
                <w:bCs/>
                <w:sz w:val="21"/>
                <w:szCs w:val="21"/>
              </w:rPr>
            </w:pPr>
            <w:r w:rsidRPr="00E67914">
              <w:rPr>
                <w:rFonts w:ascii="Times New Roman" w:hAnsi="Times New Roman"/>
                <w:b/>
                <w:bCs/>
                <w:sz w:val="21"/>
                <w:szCs w:val="21"/>
              </w:rPr>
              <w:t>符合性分析</w:t>
            </w:r>
          </w:p>
        </w:tc>
      </w:tr>
      <w:tr w:rsidR="00E67914" w:rsidRPr="00E67914" w14:paraId="2116E93F" w14:textId="77777777">
        <w:trPr>
          <w:jc w:val="center"/>
        </w:trPr>
        <w:tc>
          <w:tcPr>
            <w:tcW w:w="319" w:type="pct"/>
            <w:vAlign w:val="center"/>
          </w:tcPr>
          <w:p w14:paraId="5F8842BE"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第</w:t>
            </w:r>
            <w:r w:rsidRPr="00E67914">
              <w:rPr>
                <w:rFonts w:ascii="Times New Roman" w:hAnsi="Times New Roman"/>
                <w:sz w:val="21"/>
                <w:szCs w:val="21"/>
                <w:lang w:eastAsia="zh-CN"/>
              </w:rPr>
              <w:t>五</w:t>
            </w:r>
            <w:r w:rsidRPr="00E67914">
              <w:rPr>
                <w:rFonts w:ascii="Times New Roman" w:hAnsi="Times New Roman"/>
                <w:sz w:val="21"/>
                <w:szCs w:val="21"/>
              </w:rPr>
              <w:t>条</w:t>
            </w:r>
          </w:p>
        </w:tc>
        <w:tc>
          <w:tcPr>
            <w:tcW w:w="3026" w:type="pct"/>
            <w:vAlign w:val="center"/>
          </w:tcPr>
          <w:p w14:paraId="09756EE2"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禁止新建、改建和扩建不符合全国港口布局规划，以及《四川省内河水运发展规划》、《泸州</w:t>
            </w:r>
            <w:r w:rsidRPr="00E67914">
              <w:rPr>
                <w:rFonts w:ascii="Times New Roman" w:hAnsi="Times New Roman"/>
                <w:sz w:val="21"/>
                <w:szCs w:val="21"/>
                <w:lang w:eastAsia="zh-CN"/>
              </w:rPr>
              <w:t>—</w:t>
            </w:r>
            <w:r w:rsidRPr="00E67914">
              <w:rPr>
                <w:rFonts w:ascii="Times New Roman" w:hAnsi="Times New Roman"/>
                <w:sz w:val="21"/>
                <w:szCs w:val="21"/>
                <w:lang w:eastAsia="zh-CN"/>
              </w:rPr>
              <w:t>宜宾</w:t>
            </w:r>
            <w:r w:rsidRPr="00E67914">
              <w:rPr>
                <w:rFonts w:ascii="Times New Roman" w:hAnsi="Times New Roman"/>
                <w:sz w:val="21"/>
                <w:szCs w:val="21"/>
                <w:lang w:eastAsia="zh-CN"/>
              </w:rPr>
              <w:t>—</w:t>
            </w:r>
            <w:r w:rsidRPr="00E67914">
              <w:rPr>
                <w:rFonts w:ascii="Times New Roman" w:hAnsi="Times New Roman"/>
                <w:sz w:val="21"/>
                <w:szCs w:val="21"/>
                <w:lang w:eastAsia="zh-CN"/>
              </w:rPr>
              <w:t>乐山港口群布局规划》、《重庆港总体规划（</w:t>
            </w:r>
            <w:r w:rsidRPr="00E67914">
              <w:rPr>
                <w:rFonts w:ascii="Times New Roman" w:hAnsi="Times New Roman"/>
                <w:sz w:val="21"/>
                <w:szCs w:val="21"/>
                <w:lang w:eastAsia="zh-CN"/>
              </w:rPr>
              <w:t>2035</w:t>
            </w:r>
            <w:r w:rsidRPr="00E67914">
              <w:rPr>
                <w:rFonts w:ascii="Times New Roman" w:hAnsi="Times New Roman"/>
                <w:sz w:val="21"/>
                <w:szCs w:val="21"/>
                <w:lang w:eastAsia="zh-CN"/>
              </w:rPr>
              <w:t>年）》等省级港口布局规划及市级港口总体规划的码头项目。</w:t>
            </w:r>
          </w:p>
        </w:tc>
        <w:tc>
          <w:tcPr>
            <w:tcW w:w="1025" w:type="pct"/>
            <w:vAlign w:val="center"/>
          </w:tcPr>
          <w:p w14:paraId="792B9CB4"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本工程不属于该类项目。</w:t>
            </w:r>
          </w:p>
        </w:tc>
        <w:tc>
          <w:tcPr>
            <w:tcW w:w="630" w:type="pct"/>
            <w:vAlign w:val="center"/>
          </w:tcPr>
          <w:p w14:paraId="1927A5F8"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69D74EF" w14:textId="77777777">
        <w:trPr>
          <w:jc w:val="center"/>
        </w:trPr>
        <w:tc>
          <w:tcPr>
            <w:tcW w:w="319" w:type="pct"/>
            <w:vAlign w:val="center"/>
          </w:tcPr>
          <w:p w14:paraId="06FEDAAD"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lastRenderedPageBreak/>
              <w:t>第</w:t>
            </w:r>
            <w:r w:rsidRPr="00E67914">
              <w:rPr>
                <w:rFonts w:ascii="Times New Roman" w:hAnsi="Times New Roman"/>
                <w:sz w:val="21"/>
                <w:szCs w:val="21"/>
                <w:lang w:eastAsia="zh-CN"/>
              </w:rPr>
              <w:t>六</w:t>
            </w:r>
            <w:r w:rsidRPr="00E67914">
              <w:rPr>
                <w:rFonts w:ascii="Times New Roman" w:hAnsi="Times New Roman"/>
                <w:sz w:val="21"/>
                <w:szCs w:val="21"/>
              </w:rPr>
              <w:t>条</w:t>
            </w:r>
          </w:p>
        </w:tc>
        <w:tc>
          <w:tcPr>
            <w:tcW w:w="3026" w:type="pct"/>
            <w:vAlign w:val="center"/>
          </w:tcPr>
          <w:p w14:paraId="7A17C894"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禁止新建、改建和扩建不符合《长江干线过江通道布局规划》的过长江通道项目（含桥梁、隧道），国家发展改革委同意过长江通道线位调整的除外。</w:t>
            </w:r>
          </w:p>
        </w:tc>
        <w:tc>
          <w:tcPr>
            <w:tcW w:w="1025" w:type="pct"/>
            <w:vAlign w:val="center"/>
          </w:tcPr>
          <w:p w14:paraId="7D76DCA2"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本工程不属于该类项目。</w:t>
            </w:r>
          </w:p>
        </w:tc>
        <w:tc>
          <w:tcPr>
            <w:tcW w:w="630" w:type="pct"/>
            <w:vAlign w:val="center"/>
          </w:tcPr>
          <w:p w14:paraId="53FB3141"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590A3CF" w14:textId="77777777">
        <w:trPr>
          <w:jc w:val="center"/>
        </w:trPr>
        <w:tc>
          <w:tcPr>
            <w:tcW w:w="319" w:type="pct"/>
            <w:vAlign w:val="center"/>
          </w:tcPr>
          <w:p w14:paraId="419BEB5C"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第</w:t>
            </w:r>
            <w:r w:rsidRPr="00E67914">
              <w:rPr>
                <w:rFonts w:ascii="Times New Roman" w:hAnsi="Times New Roman"/>
                <w:sz w:val="21"/>
                <w:szCs w:val="21"/>
                <w:lang w:eastAsia="zh-CN"/>
              </w:rPr>
              <w:t>七</w:t>
            </w:r>
            <w:r w:rsidRPr="00E67914">
              <w:rPr>
                <w:rFonts w:ascii="Times New Roman" w:hAnsi="Times New Roman"/>
                <w:sz w:val="21"/>
                <w:szCs w:val="21"/>
              </w:rPr>
              <w:t>条</w:t>
            </w:r>
          </w:p>
        </w:tc>
        <w:tc>
          <w:tcPr>
            <w:tcW w:w="3026" w:type="pct"/>
            <w:vAlign w:val="center"/>
          </w:tcPr>
          <w:p w14:paraId="15A10FE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禁止在自然保护区核心区、缓冲区的岸线和河段范围内投资建设旅游和生产经营项目。自然保护区内部未分区的，依照核心区和缓冲区的规定管控。</w:t>
            </w:r>
          </w:p>
        </w:tc>
        <w:tc>
          <w:tcPr>
            <w:tcW w:w="1025" w:type="pct"/>
            <w:vAlign w:val="center"/>
          </w:tcPr>
          <w:p w14:paraId="5EEBBE79"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本工程不在当地自然保护区范围内。</w:t>
            </w:r>
          </w:p>
        </w:tc>
        <w:tc>
          <w:tcPr>
            <w:tcW w:w="630" w:type="pct"/>
            <w:vAlign w:val="center"/>
          </w:tcPr>
          <w:p w14:paraId="14F71295"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1A8C17C5" w14:textId="77777777">
        <w:trPr>
          <w:jc w:val="center"/>
        </w:trPr>
        <w:tc>
          <w:tcPr>
            <w:tcW w:w="319" w:type="pct"/>
            <w:vAlign w:val="center"/>
          </w:tcPr>
          <w:p w14:paraId="78E9398D"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第</w:t>
            </w:r>
            <w:r w:rsidRPr="00E67914">
              <w:rPr>
                <w:rFonts w:ascii="Times New Roman" w:hAnsi="Times New Roman"/>
                <w:sz w:val="21"/>
                <w:szCs w:val="21"/>
                <w:lang w:eastAsia="zh-CN"/>
              </w:rPr>
              <w:t>八</w:t>
            </w:r>
            <w:r w:rsidRPr="00E67914">
              <w:rPr>
                <w:rFonts w:ascii="Times New Roman" w:hAnsi="Times New Roman"/>
                <w:sz w:val="21"/>
                <w:szCs w:val="21"/>
              </w:rPr>
              <w:t>条</w:t>
            </w:r>
          </w:p>
        </w:tc>
        <w:tc>
          <w:tcPr>
            <w:tcW w:w="3026" w:type="pct"/>
            <w:vAlign w:val="center"/>
          </w:tcPr>
          <w:p w14:paraId="2651D202"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禁止违反风景名胜区规划，在风景名胜区内设立各类开发区；禁止在风景名胜区核心景区的岸线和河段范围内建设宾馆、招待所、培训中心、疗养院以及与风景名胜资源保护无关的其他建筑物。</w:t>
            </w:r>
          </w:p>
        </w:tc>
        <w:tc>
          <w:tcPr>
            <w:tcW w:w="1025" w:type="pct"/>
            <w:vAlign w:val="center"/>
          </w:tcPr>
          <w:p w14:paraId="2BF24CE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本工程不在当地风景名胜区范围内。</w:t>
            </w:r>
          </w:p>
        </w:tc>
        <w:tc>
          <w:tcPr>
            <w:tcW w:w="630" w:type="pct"/>
            <w:vAlign w:val="center"/>
          </w:tcPr>
          <w:p w14:paraId="097CF9E9"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75A0312E" w14:textId="77777777">
        <w:trPr>
          <w:jc w:val="center"/>
        </w:trPr>
        <w:tc>
          <w:tcPr>
            <w:tcW w:w="319" w:type="pct"/>
            <w:vAlign w:val="center"/>
          </w:tcPr>
          <w:p w14:paraId="0B7895EB"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第九条、第十条、第十一条</w:t>
            </w:r>
          </w:p>
        </w:tc>
        <w:tc>
          <w:tcPr>
            <w:tcW w:w="3026" w:type="pct"/>
            <w:vAlign w:val="center"/>
          </w:tcPr>
          <w:p w14:paraId="2C1C1870" w14:textId="77777777" w:rsidR="00A54A8A" w:rsidRPr="00E67914" w:rsidRDefault="00000000">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禁止在饮用水水源准保护区的岸线和河段范围内新建、扩建对水体污染严重的建设项目，禁止改建增加排污量的建设项目。</w:t>
            </w:r>
          </w:p>
          <w:p w14:paraId="4CE23FC7" w14:textId="77777777" w:rsidR="00A54A8A" w:rsidRPr="00E67914" w:rsidRDefault="00000000">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饮用水水源二级保护区的岸线和河段范围内，除遵守准保护区规定外，禁止新建、改建、扩建排放污染物的投资建设项目；禁止从事对水体有污染的水产养殖活动。</w:t>
            </w:r>
          </w:p>
          <w:p w14:paraId="1EB58CE3" w14:textId="77777777" w:rsidR="00A54A8A" w:rsidRPr="00E67914" w:rsidRDefault="00000000">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饮用水水源一级保护区的岸线和河段范围内，除遵守二级保护区规定外，禁止新建、改建、扩建与供水设施和保护水源无关的项目，以及网箱养殖、畜禽养殖、旅游等可能污染饮用水水体的投资建设项目。</w:t>
            </w:r>
          </w:p>
        </w:tc>
        <w:tc>
          <w:tcPr>
            <w:tcW w:w="1025" w:type="pct"/>
            <w:vAlign w:val="center"/>
          </w:tcPr>
          <w:p w14:paraId="35EAA0E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本工程不在当地集中式饮用水源保护区范围内。</w:t>
            </w:r>
          </w:p>
        </w:tc>
        <w:tc>
          <w:tcPr>
            <w:tcW w:w="630" w:type="pct"/>
            <w:vAlign w:val="center"/>
          </w:tcPr>
          <w:p w14:paraId="052B9FDA"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7839DB12" w14:textId="77777777">
        <w:trPr>
          <w:jc w:val="center"/>
        </w:trPr>
        <w:tc>
          <w:tcPr>
            <w:tcW w:w="319" w:type="pct"/>
            <w:vAlign w:val="center"/>
          </w:tcPr>
          <w:p w14:paraId="1D8B9A63"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第十</w:t>
            </w:r>
            <w:r w:rsidRPr="00E67914">
              <w:rPr>
                <w:rFonts w:ascii="Times New Roman" w:hAnsi="Times New Roman"/>
                <w:sz w:val="21"/>
                <w:szCs w:val="21"/>
                <w:lang w:eastAsia="zh-CN"/>
              </w:rPr>
              <w:t>二</w:t>
            </w:r>
            <w:r w:rsidRPr="00E67914">
              <w:rPr>
                <w:rFonts w:ascii="Times New Roman" w:hAnsi="Times New Roman"/>
                <w:sz w:val="21"/>
                <w:szCs w:val="21"/>
              </w:rPr>
              <w:t>条</w:t>
            </w:r>
          </w:p>
        </w:tc>
        <w:tc>
          <w:tcPr>
            <w:tcW w:w="3026" w:type="pct"/>
            <w:vAlign w:val="center"/>
          </w:tcPr>
          <w:p w14:paraId="0FAE985E"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禁止在水产种质资源保护区的岸线和河段范围内新建围湖造田、围湖造地或挖沙采石等投资建设项目。</w:t>
            </w:r>
          </w:p>
        </w:tc>
        <w:tc>
          <w:tcPr>
            <w:tcW w:w="1025" w:type="pct"/>
            <w:vAlign w:val="center"/>
          </w:tcPr>
          <w:p w14:paraId="3817FDCE"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本工程不在当地水产种质资源保护区范围内。</w:t>
            </w:r>
          </w:p>
        </w:tc>
        <w:tc>
          <w:tcPr>
            <w:tcW w:w="630" w:type="pct"/>
            <w:vAlign w:val="center"/>
          </w:tcPr>
          <w:p w14:paraId="0B708F65"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5B958CA7" w14:textId="77777777">
        <w:trPr>
          <w:jc w:val="center"/>
        </w:trPr>
        <w:tc>
          <w:tcPr>
            <w:tcW w:w="319" w:type="pct"/>
            <w:vAlign w:val="center"/>
          </w:tcPr>
          <w:p w14:paraId="5E964962"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第十</w:t>
            </w:r>
            <w:r w:rsidRPr="00E67914">
              <w:rPr>
                <w:rFonts w:ascii="Times New Roman" w:hAnsi="Times New Roman"/>
                <w:sz w:val="21"/>
                <w:szCs w:val="21"/>
                <w:lang w:eastAsia="zh-CN"/>
              </w:rPr>
              <w:t>三</w:t>
            </w:r>
            <w:r w:rsidRPr="00E67914">
              <w:rPr>
                <w:rFonts w:ascii="Times New Roman" w:hAnsi="Times New Roman"/>
                <w:sz w:val="21"/>
                <w:szCs w:val="21"/>
              </w:rPr>
              <w:t>条</w:t>
            </w:r>
          </w:p>
        </w:tc>
        <w:tc>
          <w:tcPr>
            <w:tcW w:w="3026" w:type="pct"/>
            <w:vAlign w:val="center"/>
          </w:tcPr>
          <w:p w14:paraId="468A1A94"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1025" w:type="pct"/>
            <w:vAlign w:val="center"/>
          </w:tcPr>
          <w:p w14:paraId="3B2A81C6"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本工程不涉及当地湿地公园。</w:t>
            </w:r>
          </w:p>
        </w:tc>
        <w:tc>
          <w:tcPr>
            <w:tcW w:w="630" w:type="pct"/>
            <w:vAlign w:val="center"/>
          </w:tcPr>
          <w:p w14:paraId="68C152E2"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61F9CBD" w14:textId="77777777">
        <w:trPr>
          <w:jc w:val="center"/>
        </w:trPr>
        <w:tc>
          <w:tcPr>
            <w:tcW w:w="319" w:type="pct"/>
            <w:vAlign w:val="center"/>
          </w:tcPr>
          <w:p w14:paraId="1341D9BB"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第十</w:t>
            </w:r>
            <w:r w:rsidRPr="00E67914">
              <w:rPr>
                <w:rFonts w:ascii="Times New Roman" w:hAnsi="Times New Roman"/>
                <w:sz w:val="21"/>
                <w:szCs w:val="21"/>
                <w:lang w:eastAsia="zh-CN"/>
              </w:rPr>
              <w:t>四</w:t>
            </w:r>
            <w:r w:rsidRPr="00E67914">
              <w:rPr>
                <w:rFonts w:ascii="Times New Roman" w:hAnsi="Times New Roman"/>
                <w:sz w:val="21"/>
                <w:szCs w:val="21"/>
              </w:rPr>
              <w:t>条</w:t>
            </w:r>
          </w:p>
        </w:tc>
        <w:tc>
          <w:tcPr>
            <w:tcW w:w="3026" w:type="pct"/>
            <w:vAlign w:val="center"/>
          </w:tcPr>
          <w:p w14:paraId="604AA676"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十四条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1025" w:type="pct"/>
            <w:vAlign w:val="center"/>
          </w:tcPr>
          <w:p w14:paraId="2AE0DA4E"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本工程不在《长江岸线保护和开发利用总体规划》划定的岸线保护区范围内。</w:t>
            </w:r>
          </w:p>
        </w:tc>
        <w:tc>
          <w:tcPr>
            <w:tcW w:w="630" w:type="pct"/>
            <w:vAlign w:val="center"/>
          </w:tcPr>
          <w:p w14:paraId="0F23A939"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rPr>
              <w:t>符合</w:t>
            </w:r>
          </w:p>
        </w:tc>
      </w:tr>
      <w:tr w:rsidR="00E67914" w:rsidRPr="00E67914" w14:paraId="2B19D14E" w14:textId="77777777">
        <w:trPr>
          <w:jc w:val="center"/>
        </w:trPr>
        <w:tc>
          <w:tcPr>
            <w:tcW w:w="319" w:type="pct"/>
            <w:vAlign w:val="center"/>
          </w:tcPr>
          <w:p w14:paraId="65CCDEDE"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第十五条</w:t>
            </w:r>
          </w:p>
        </w:tc>
        <w:tc>
          <w:tcPr>
            <w:tcW w:w="3026" w:type="pct"/>
            <w:vAlign w:val="center"/>
          </w:tcPr>
          <w:p w14:paraId="7F8ECD2D"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禁止在《全国重要江河湖泊水功能区划》划定的河段及湖泊保护区、保留区内投资建设不利于水资源及自然生态保护的项目。</w:t>
            </w:r>
          </w:p>
        </w:tc>
        <w:tc>
          <w:tcPr>
            <w:tcW w:w="1025" w:type="pct"/>
            <w:vAlign w:val="center"/>
          </w:tcPr>
          <w:p w14:paraId="24623215"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本工程不在《全国重要江河湖泊水功能区划》划定的河段保护区、保留区范围内。</w:t>
            </w:r>
          </w:p>
        </w:tc>
        <w:tc>
          <w:tcPr>
            <w:tcW w:w="630" w:type="pct"/>
            <w:vAlign w:val="center"/>
          </w:tcPr>
          <w:p w14:paraId="6628177C"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0F574FC5" w14:textId="77777777">
        <w:trPr>
          <w:jc w:val="center"/>
        </w:trPr>
        <w:tc>
          <w:tcPr>
            <w:tcW w:w="319" w:type="pct"/>
            <w:vAlign w:val="center"/>
          </w:tcPr>
          <w:p w14:paraId="187F6E56"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第十六条</w:t>
            </w:r>
          </w:p>
        </w:tc>
        <w:tc>
          <w:tcPr>
            <w:tcW w:w="3026" w:type="pct"/>
            <w:vAlign w:val="center"/>
          </w:tcPr>
          <w:p w14:paraId="6BB89A4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禁止在长江流域江河、湖泊新设、改设或者扩大排污口，经有管辖权的生态环境主管部门或者长江流域生态环境监督管理机构同意的除外。</w:t>
            </w:r>
          </w:p>
        </w:tc>
        <w:tc>
          <w:tcPr>
            <w:tcW w:w="1025" w:type="pct"/>
            <w:vAlign w:val="center"/>
          </w:tcPr>
          <w:p w14:paraId="2403891C"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本工程不涉及排污口。</w:t>
            </w:r>
          </w:p>
        </w:tc>
        <w:tc>
          <w:tcPr>
            <w:tcW w:w="630" w:type="pct"/>
            <w:vAlign w:val="center"/>
          </w:tcPr>
          <w:p w14:paraId="36AFBFA1"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rPr>
              <w:t>符合</w:t>
            </w:r>
          </w:p>
        </w:tc>
      </w:tr>
      <w:tr w:rsidR="00E67914" w:rsidRPr="00E67914" w14:paraId="4C91BDDB" w14:textId="77777777">
        <w:trPr>
          <w:jc w:val="center"/>
        </w:trPr>
        <w:tc>
          <w:tcPr>
            <w:tcW w:w="319" w:type="pct"/>
            <w:vAlign w:val="center"/>
          </w:tcPr>
          <w:p w14:paraId="239BE899"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第十七条</w:t>
            </w:r>
          </w:p>
        </w:tc>
        <w:tc>
          <w:tcPr>
            <w:tcW w:w="3026" w:type="pct"/>
            <w:vAlign w:val="center"/>
          </w:tcPr>
          <w:p w14:paraId="2F36F99E"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禁止在长江干流、大渡河、岷江、赤水河、沱江、嘉陵江、乌江、汉江和</w:t>
            </w:r>
            <w:r w:rsidRPr="00E67914">
              <w:rPr>
                <w:rFonts w:ascii="Times New Roman" w:hAnsi="Times New Roman"/>
                <w:sz w:val="21"/>
                <w:szCs w:val="21"/>
                <w:lang w:eastAsia="zh-CN"/>
              </w:rPr>
              <w:t>51</w:t>
            </w:r>
            <w:r w:rsidRPr="00E67914">
              <w:rPr>
                <w:rFonts w:ascii="Times New Roman" w:hAnsi="Times New Roman"/>
                <w:sz w:val="21"/>
                <w:szCs w:val="21"/>
                <w:lang w:eastAsia="zh-CN"/>
              </w:rPr>
              <w:t>个（四川省</w:t>
            </w:r>
            <w:r w:rsidRPr="00E67914">
              <w:rPr>
                <w:rFonts w:ascii="Times New Roman" w:hAnsi="Times New Roman"/>
                <w:sz w:val="21"/>
                <w:szCs w:val="21"/>
                <w:lang w:eastAsia="zh-CN"/>
              </w:rPr>
              <w:t>45</w:t>
            </w:r>
            <w:r w:rsidRPr="00E67914">
              <w:rPr>
                <w:rFonts w:ascii="Times New Roman" w:hAnsi="Times New Roman"/>
                <w:sz w:val="21"/>
                <w:szCs w:val="21"/>
                <w:lang w:eastAsia="zh-CN"/>
              </w:rPr>
              <w:t>个、重庆市</w:t>
            </w:r>
            <w:r w:rsidRPr="00E67914">
              <w:rPr>
                <w:rFonts w:ascii="Times New Roman" w:hAnsi="Times New Roman"/>
                <w:sz w:val="21"/>
                <w:szCs w:val="21"/>
                <w:lang w:eastAsia="zh-CN"/>
              </w:rPr>
              <w:t>6</w:t>
            </w:r>
            <w:r w:rsidRPr="00E67914">
              <w:rPr>
                <w:rFonts w:ascii="Times New Roman" w:hAnsi="Times New Roman"/>
                <w:sz w:val="21"/>
                <w:szCs w:val="21"/>
                <w:lang w:eastAsia="zh-CN"/>
              </w:rPr>
              <w:t>个）水生生物保护区开展生产性捕捞。</w:t>
            </w:r>
          </w:p>
        </w:tc>
        <w:tc>
          <w:tcPr>
            <w:tcW w:w="1025" w:type="pct"/>
            <w:vAlign w:val="center"/>
          </w:tcPr>
          <w:p w14:paraId="6B12F98A"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本工程不涉及捕捞，不涉及水域施工。</w:t>
            </w:r>
          </w:p>
        </w:tc>
        <w:tc>
          <w:tcPr>
            <w:tcW w:w="630" w:type="pct"/>
            <w:vAlign w:val="center"/>
          </w:tcPr>
          <w:p w14:paraId="51FC067D"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rPr>
              <w:t>符合</w:t>
            </w:r>
          </w:p>
        </w:tc>
      </w:tr>
      <w:tr w:rsidR="00E67914" w:rsidRPr="00E67914" w14:paraId="646DE5FD" w14:textId="77777777">
        <w:trPr>
          <w:jc w:val="center"/>
        </w:trPr>
        <w:tc>
          <w:tcPr>
            <w:tcW w:w="319" w:type="pct"/>
            <w:vAlign w:val="center"/>
          </w:tcPr>
          <w:p w14:paraId="0E2D493D"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第十八条</w:t>
            </w:r>
          </w:p>
        </w:tc>
        <w:tc>
          <w:tcPr>
            <w:tcW w:w="3026" w:type="pct"/>
            <w:vAlign w:val="center"/>
          </w:tcPr>
          <w:p w14:paraId="7A5F51FE"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禁止在长江干支流、重要湖泊岸线一公里范围内新建、扩建化工园区和化工项目。</w:t>
            </w:r>
          </w:p>
        </w:tc>
        <w:tc>
          <w:tcPr>
            <w:tcW w:w="1025" w:type="pct"/>
            <w:vAlign w:val="center"/>
          </w:tcPr>
          <w:p w14:paraId="35D97D40"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本工程不属于化工园区和化工项目。</w:t>
            </w:r>
          </w:p>
        </w:tc>
        <w:tc>
          <w:tcPr>
            <w:tcW w:w="630" w:type="pct"/>
            <w:vAlign w:val="center"/>
          </w:tcPr>
          <w:p w14:paraId="73A6E361"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5592C662" w14:textId="77777777">
        <w:trPr>
          <w:jc w:val="center"/>
        </w:trPr>
        <w:tc>
          <w:tcPr>
            <w:tcW w:w="319" w:type="pct"/>
            <w:vAlign w:val="center"/>
          </w:tcPr>
          <w:p w14:paraId="671D0E86" w14:textId="77777777" w:rsidR="00A54A8A" w:rsidRPr="00E67914" w:rsidRDefault="00000000">
            <w:pPr>
              <w:autoSpaceDE w:val="0"/>
              <w:autoSpaceDN w:val="0"/>
              <w:jc w:val="center"/>
              <w:rPr>
                <w:rFonts w:ascii="Times New Roman" w:hAnsi="Times New Roman"/>
                <w:sz w:val="21"/>
                <w:szCs w:val="21"/>
              </w:rPr>
            </w:pPr>
            <w:r w:rsidRPr="00E67914">
              <w:rPr>
                <w:rFonts w:ascii="Times New Roman" w:hAnsi="Times New Roman"/>
                <w:sz w:val="21"/>
                <w:szCs w:val="21"/>
                <w:lang w:eastAsia="zh-CN"/>
              </w:rPr>
              <w:lastRenderedPageBreak/>
              <w:t>第十九条</w:t>
            </w:r>
          </w:p>
        </w:tc>
        <w:tc>
          <w:tcPr>
            <w:tcW w:w="3026" w:type="pct"/>
            <w:vAlign w:val="center"/>
          </w:tcPr>
          <w:p w14:paraId="60C30EEF"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禁止在长江干流岸线三公里范围内和重要支流岸线一公里范围内新建、改建、扩建尾矿库、冶炼渣库、磷石膏库，以提升安全、生态环境保护水平为目的的改建除外。</w:t>
            </w:r>
          </w:p>
        </w:tc>
        <w:tc>
          <w:tcPr>
            <w:tcW w:w="1025" w:type="pct"/>
            <w:vAlign w:val="center"/>
          </w:tcPr>
          <w:p w14:paraId="3620C203"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本工程不属于尾矿库、冶炼渣库、磷石膏库项目。</w:t>
            </w:r>
          </w:p>
        </w:tc>
        <w:tc>
          <w:tcPr>
            <w:tcW w:w="630" w:type="pct"/>
            <w:vAlign w:val="center"/>
          </w:tcPr>
          <w:p w14:paraId="21BFC91B"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2A7503DC" w14:textId="77777777">
        <w:trPr>
          <w:jc w:val="center"/>
        </w:trPr>
        <w:tc>
          <w:tcPr>
            <w:tcW w:w="319" w:type="pct"/>
            <w:vAlign w:val="center"/>
          </w:tcPr>
          <w:p w14:paraId="7AD17291"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第二十条</w:t>
            </w:r>
          </w:p>
        </w:tc>
        <w:tc>
          <w:tcPr>
            <w:tcW w:w="3026" w:type="pct"/>
            <w:vAlign w:val="center"/>
          </w:tcPr>
          <w:p w14:paraId="50252421"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禁止在生态保护红线区域、永久基本农田集中区域和其他需要特别保护的区域内选址建设尾矿库﹑冶炼渣库、磷石膏库。</w:t>
            </w:r>
          </w:p>
        </w:tc>
        <w:tc>
          <w:tcPr>
            <w:tcW w:w="1025" w:type="pct"/>
            <w:vAlign w:val="center"/>
          </w:tcPr>
          <w:p w14:paraId="3BE7DEC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本工程不属于尾矿库、冶炼渣库、磷石膏库项目。</w:t>
            </w:r>
          </w:p>
        </w:tc>
        <w:tc>
          <w:tcPr>
            <w:tcW w:w="630" w:type="pct"/>
            <w:vAlign w:val="center"/>
          </w:tcPr>
          <w:p w14:paraId="495A5B7F"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152C80E0" w14:textId="77777777">
        <w:trPr>
          <w:jc w:val="center"/>
        </w:trPr>
        <w:tc>
          <w:tcPr>
            <w:tcW w:w="319" w:type="pct"/>
            <w:vAlign w:val="center"/>
          </w:tcPr>
          <w:p w14:paraId="6621D7E6"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第二十一条</w:t>
            </w:r>
          </w:p>
        </w:tc>
        <w:tc>
          <w:tcPr>
            <w:tcW w:w="3026" w:type="pct"/>
            <w:vAlign w:val="center"/>
          </w:tcPr>
          <w:p w14:paraId="3B648F9C"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禁止在合规园区外新建、扩建钢铁、石化、化工、焦化、建材、有色、制浆造纸等高污染项目。</w:t>
            </w:r>
          </w:p>
        </w:tc>
        <w:tc>
          <w:tcPr>
            <w:tcW w:w="1025" w:type="pct"/>
            <w:vAlign w:val="center"/>
          </w:tcPr>
          <w:p w14:paraId="1BE63395"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本工程不属于钢铁、石化、化工、焦化、建材、有色、制浆造纸等高污染项目。</w:t>
            </w:r>
          </w:p>
        </w:tc>
        <w:tc>
          <w:tcPr>
            <w:tcW w:w="630" w:type="pct"/>
            <w:vAlign w:val="center"/>
          </w:tcPr>
          <w:p w14:paraId="6955A1C9"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28530CED" w14:textId="77777777">
        <w:trPr>
          <w:jc w:val="center"/>
        </w:trPr>
        <w:tc>
          <w:tcPr>
            <w:tcW w:w="319" w:type="pct"/>
            <w:vAlign w:val="center"/>
          </w:tcPr>
          <w:p w14:paraId="6758D795"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第二十二条</w:t>
            </w:r>
          </w:p>
        </w:tc>
        <w:tc>
          <w:tcPr>
            <w:tcW w:w="3026" w:type="pct"/>
            <w:vAlign w:val="center"/>
          </w:tcPr>
          <w:p w14:paraId="56535089"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禁止新建、扩建不符合国家石化、现代煤化工等产业布局规划的项目。</w:t>
            </w:r>
          </w:p>
        </w:tc>
        <w:tc>
          <w:tcPr>
            <w:tcW w:w="1025" w:type="pct"/>
            <w:vAlign w:val="center"/>
          </w:tcPr>
          <w:p w14:paraId="554576B4"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本工程符合国家产业规划。</w:t>
            </w:r>
          </w:p>
        </w:tc>
        <w:tc>
          <w:tcPr>
            <w:tcW w:w="630" w:type="pct"/>
            <w:vAlign w:val="center"/>
          </w:tcPr>
          <w:p w14:paraId="64E7B68C"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00DB91FA" w14:textId="77777777">
        <w:trPr>
          <w:jc w:val="center"/>
        </w:trPr>
        <w:tc>
          <w:tcPr>
            <w:tcW w:w="319" w:type="pct"/>
            <w:vAlign w:val="center"/>
          </w:tcPr>
          <w:p w14:paraId="1523A170"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第二十三条</w:t>
            </w:r>
          </w:p>
        </w:tc>
        <w:tc>
          <w:tcPr>
            <w:tcW w:w="3026" w:type="pct"/>
            <w:vAlign w:val="center"/>
          </w:tcPr>
          <w:p w14:paraId="12F5082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1025" w:type="pct"/>
            <w:vAlign w:val="center"/>
          </w:tcPr>
          <w:p w14:paraId="5D467810"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本工程为鼓励类项目。</w:t>
            </w:r>
          </w:p>
        </w:tc>
        <w:tc>
          <w:tcPr>
            <w:tcW w:w="630" w:type="pct"/>
            <w:vAlign w:val="center"/>
          </w:tcPr>
          <w:p w14:paraId="7378EAFB"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664BE542" w14:textId="77777777">
        <w:trPr>
          <w:jc w:val="center"/>
        </w:trPr>
        <w:tc>
          <w:tcPr>
            <w:tcW w:w="319" w:type="pct"/>
            <w:vAlign w:val="center"/>
          </w:tcPr>
          <w:p w14:paraId="027BE1CA"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第二十四条</w:t>
            </w:r>
          </w:p>
        </w:tc>
        <w:tc>
          <w:tcPr>
            <w:tcW w:w="3026" w:type="pct"/>
            <w:vAlign w:val="center"/>
          </w:tcPr>
          <w:p w14:paraId="6591BE2D"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禁止新建、扩建不符合国家产能置换要求的严重过剩产能行业的项目。对于不符合国家产能置换要求的严重过剩产能行业，不得以其他任何名义、任何方式备案新增产能项目。</w:t>
            </w:r>
          </w:p>
        </w:tc>
        <w:tc>
          <w:tcPr>
            <w:tcW w:w="1025" w:type="pct"/>
            <w:vAlign w:val="center"/>
          </w:tcPr>
          <w:p w14:paraId="2339A7BD"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本工程不属于不符合国家产能置换要求的严重过剩产能行业的项目。</w:t>
            </w:r>
          </w:p>
        </w:tc>
        <w:tc>
          <w:tcPr>
            <w:tcW w:w="630" w:type="pct"/>
            <w:vAlign w:val="center"/>
          </w:tcPr>
          <w:p w14:paraId="75E4D1A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137187B3" w14:textId="77777777">
        <w:trPr>
          <w:jc w:val="center"/>
        </w:trPr>
        <w:tc>
          <w:tcPr>
            <w:tcW w:w="319" w:type="pct"/>
            <w:vAlign w:val="center"/>
          </w:tcPr>
          <w:p w14:paraId="08A6FCE8"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第二十五条</w:t>
            </w:r>
          </w:p>
        </w:tc>
        <w:tc>
          <w:tcPr>
            <w:tcW w:w="3026" w:type="pct"/>
            <w:vAlign w:val="center"/>
          </w:tcPr>
          <w:p w14:paraId="0941014A"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禁止建设以下燃油汽车投资项目（不在中国境内销售产品的投资项目除外）。</w:t>
            </w:r>
          </w:p>
        </w:tc>
        <w:tc>
          <w:tcPr>
            <w:tcW w:w="1025" w:type="pct"/>
            <w:vAlign w:val="center"/>
          </w:tcPr>
          <w:p w14:paraId="1DDB1F6B"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本工程不属于燃油汽车投资项目。</w:t>
            </w:r>
          </w:p>
        </w:tc>
        <w:tc>
          <w:tcPr>
            <w:tcW w:w="630" w:type="pct"/>
            <w:vAlign w:val="center"/>
          </w:tcPr>
          <w:p w14:paraId="7A5113CD"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4A33097A" w14:textId="77777777">
        <w:trPr>
          <w:jc w:val="center"/>
        </w:trPr>
        <w:tc>
          <w:tcPr>
            <w:tcW w:w="319" w:type="pct"/>
            <w:vAlign w:val="center"/>
          </w:tcPr>
          <w:p w14:paraId="056FAAFC"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第二十六条</w:t>
            </w:r>
          </w:p>
        </w:tc>
        <w:tc>
          <w:tcPr>
            <w:tcW w:w="3026" w:type="pct"/>
            <w:vAlign w:val="center"/>
          </w:tcPr>
          <w:p w14:paraId="27FF2791"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禁止新建、扩建不符合要求的高耗能、高排放、低水平项目。</w:t>
            </w:r>
          </w:p>
        </w:tc>
        <w:tc>
          <w:tcPr>
            <w:tcW w:w="1025" w:type="pct"/>
            <w:vAlign w:val="center"/>
          </w:tcPr>
          <w:p w14:paraId="029DAAFD"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本工程不属于不符合要求的高耗能、高排放、低水平项目。</w:t>
            </w:r>
          </w:p>
        </w:tc>
        <w:tc>
          <w:tcPr>
            <w:tcW w:w="630" w:type="pct"/>
            <w:vAlign w:val="center"/>
          </w:tcPr>
          <w:p w14:paraId="75B5600F"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bl>
    <w:p w14:paraId="22FF58A0" w14:textId="77777777" w:rsidR="00A54A8A" w:rsidRPr="00E67914" w:rsidRDefault="00000000">
      <w:pPr>
        <w:autoSpaceDE w:val="0"/>
        <w:autoSpaceDN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通过本项目内容与</w:t>
      </w:r>
      <w:r w:rsidRPr="00E67914">
        <w:rPr>
          <w:rFonts w:ascii="Times New Roman" w:hAnsi="Times New Roman"/>
          <w:bCs/>
          <w:kern w:val="2"/>
          <w:sz w:val="24"/>
          <w:szCs w:val="24"/>
          <w:lang w:eastAsia="zh-CN"/>
        </w:rPr>
        <w:t>《四川省、重庆市长江经济带发展负面清单实施细则（试行，</w:t>
      </w:r>
      <w:r w:rsidRPr="00E67914">
        <w:rPr>
          <w:rFonts w:ascii="Times New Roman" w:hAnsi="Times New Roman"/>
          <w:bCs/>
          <w:kern w:val="2"/>
          <w:sz w:val="24"/>
          <w:szCs w:val="24"/>
          <w:lang w:eastAsia="zh-CN"/>
        </w:rPr>
        <w:t>2022</w:t>
      </w:r>
      <w:r w:rsidRPr="00E67914">
        <w:rPr>
          <w:rFonts w:ascii="Times New Roman" w:hAnsi="Times New Roman"/>
          <w:bCs/>
          <w:kern w:val="2"/>
          <w:sz w:val="24"/>
          <w:szCs w:val="24"/>
          <w:lang w:eastAsia="zh-CN"/>
        </w:rPr>
        <w:t>年版）》</w:t>
      </w:r>
      <w:r w:rsidRPr="00E67914">
        <w:rPr>
          <w:rFonts w:ascii="Times New Roman" w:hAnsi="Times New Roman"/>
          <w:sz w:val="24"/>
          <w:szCs w:val="24"/>
          <w:lang w:eastAsia="zh-CN"/>
        </w:rPr>
        <w:t>中各项内容进行对比分析，本项目建设符合</w:t>
      </w:r>
      <w:r w:rsidRPr="00E67914">
        <w:rPr>
          <w:rFonts w:ascii="Times New Roman" w:hAnsi="Times New Roman"/>
          <w:bCs/>
          <w:kern w:val="2"/>
          <w:sz w:val="24"/>
          <w:szCs w:val="24"/>
          <w:lang w:eastAsia="zh-CN"/>
        </w:rPr>
        <w:t>《四川省、重庆市长江经济带发展负面清单实施细则（试行，</w:t>
      </w:r>
      <w:r w:rsidRPr="00E67914">
        <w:rPr>
          <w:rFonts w:ascii="Times New Roman" w:hAnsi="Times New Roman"/>
          <w:bCs/>
          <w:kern w:val="2"/>
          <w:sz w:val="24"/>
          <w:szCs w:val="24"/>
          <w:lang w:eastAsia="zh-CN"/>
        </w:rPr>
        <w:t>2022</w:t>
      </w:r>
      <w:r w:rsidRPr="00E67914">
        <w:rPr>
          <w:rFonts w:ascii="Times New Roman" w:hAnsi="Times New Roman"/>
          <w:bCs/>
          <w:kern w:val="2"/>
          <w:sz w:val="24"/>
          <w:szCs w:val="24"/>
          <w:lang w:eastAsia="zh-CN"/>
        </w:rPr>
        <w:t>年版）》</w:t>
      </w:r>
      <w:r w:rsidRPr="00E67914">
        <w:rPr>
          <w:rFonts w:ascii="Times New Roman" w:hAnsi="Times New Roman"/>
          <w:sz w:val="24"/>
          <w:szCs w:val="24"/>
          <w:lang w:eastAsia="zh-CN"/>
        </w:rPr>
        <w:t>要求。</w:t>
      </w:r>
    </w:p>
    <w:p w14:paraId="38F7BAA8" w14:textId="11836A67" w:rsidR="00A54A8A" w:rsidRPr="00E67914" w:rsidRDefault="005931E5">
      <w:pPr>
        <w:widowControl w:val="0"/>
        <w:tabs>
          <w:tab w:val="left" w:pos="0"/>
        </w:tabs>
        <w:spacing w:line="360" w:lineRule="auto"/>
        <w:ind w:firstLineChars="200" w:firstLine="480"/>
        <w:jc w:val="both"/>
        <w:rPr>
          <w:rFonts w:ascii="Times New Roman" w:hAnsi="Times New Roman"/>
          <w:b/>
          <w:kern w:val="2"/>
          <w:sz w:val="24"/>
          <w:szCs w:val="24"/>
          <w:lang w:eastAsia="zh-CN"/>
        </w:rPr>
      </w:pPr>
      <w:r w:rsidRPr="00E67914">
        <w:rPr>
          <w:rFonts w:ascii="Times New Roman" w:hAnsi="Times New Roman"/>
          <w:bCs/>
          <w:kern w:val="2"/>
          <w:sz w:val="24"/>
          <w:szCs w:val="24"/>
          <w:lang w:eastAsia="zh-CN"/>
        </w:rPr>
        <w:t>7</w:t>
      </w:r>
      <w:r w:rsidRPr="00E67914">
        <w:rPr>
          <w:rFonts w:ascii="Times New Roman" w:hAnsi="Times New Roman"/>
          <w:bCs/>
          <w:kern w:val="2"/>
          <w:sz w:val="24"/>
          <w:szCs w:val="24"/>
          <w:lang w:eastAsia="zh-CN"/>
        </w:rPr>
        <w:t>、</w:t>
      </w:r>
      <w:r w:rsidRPr="00E67914">
        <w:rPr>
          <w:rFonts w:ascii="Times New Roman" w:eastAsia="黑体" w:hAnsi="Times New Roman"/>
          <w:sz w:val="24"/>
          <w:lang w:eastAsia="zh-CN"/>
        </w:rPr>
        <w:t>与能源发展规划符合性分析</w:t>
      </w:r>
    </w:p>
    <w:p w14:paraId="12C09248" w14:textId="77777777" w:rsidR="00A54A8A" w:rsidRPr="00E67914" w:rsidRDefault="00000000">
      <w:pPr>
        <w:autoSpaceDE w:val="0"/>
        <w:autoSpaceDN w:val="0"/>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）与《</w:t>
      </w:r>
      <w:bookmarkStart w:id="39" w:name="_Hlk140914417"/>
      <w:r w:rsidRPr="00E67914">
        <w:rPr>
          <w:rFonts w:ascii="Times New Roman" w:hAnsi="Times New Roman"/>
          <w:b/>
          <w:bCs/>
          <w:sz w:val="24"/>
          <w:lang w:eastAsia="zh-CN"/>
        </w:rPr>
        <w:t>“</w:t>
      </w:r>
      <w:r w:rsidRPr="00E67914">
        <w:rPr>
          <w:rFonts w:ascii="Times New Roman" w:hAnsi="Times New Roman"/>
          <w:b/>
          <w:bCs/>
          <w:sz w:val="24"/>
          <w:lang w:eastAsia="zh-CN"/>
        </w:rPr>
        <w:t>十四五</w:t>
      </w:r>
      <w:r w:rsidRPr="00E67914">
        <w:rPr>
          <w:rFonts w:ascii="Times New Roman" w:hAnsi="Times New Roman"/>
          <w:b/>
          <w:bCs/>
          <w:sz w:val="24"/>
          <w:lang w:eastAsia="zh-CN"/>
        </w:rPr>
        <w:t>”</w:t>
      </w:r>
      <w:r w:rsidRPr="00E67914">
        <w:rPr>
          <w:rFonts w:ascii="Times New Roman" w:hAnsi="Times New Roman"/>
          <w:b/>
          <w:bCs/>
          <w:sz w:val="24"/>
          <w:lang w:eastAsia="zh-CN"/>
        </w:rPr>
        <w:t>现代能源体系规划</w:t>
      </w:r>
      <w:bookmarkEnd w:id="39"/>
      <w:r w:rsidRPr="00E67914">
        <w:rPr>
          <w:rFonts w:ascii="Times New Roman" w:hAnsi="Times New Roman"/>
          <w:b/>
          <w:bCs/>
          <w:sz w:val="24"/>
          <w:lang w:eastAsia="zh-CN"/>
        </w:rPr>
        <w:t>》符合性分析</w:t>
      </w:r>
    </w:p>
    <w:p w14:paraId="00B88012"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根据国家发展改革委</w:t>
      </w:r>
      <w:r w:rsidRPr="00E67914">
        <w:rPr>
          <w:rFonts w:ascii="Times New Roman" w:hAnsi="Times New Roman"/>
          <w:sz w:val="24"/>
          <w:lang w:eastAsia="zh-CN"/>
        </w:rPr>
        <w:t xml:space="preserve"> </w:t>
      </w:r>
      <w:r w:rsidRPr="00E67914">
        <w:rPr>
          <w:rFonts w:ascii="Times New Roman" w:hAnsi="Times New Roman"/>
          <w:sz w:val="24"/>
          <w:lang w:eastAsia="zh-CN"/>
        </w:rPr>
        <w:t>国家能源局于</w:t>
      </w:r>
      <w:r w:rsidRPr="00E67914">
        <w:rPr>
          <w:rFonts w:ascii="Times New Roman" w:hAnsi="Times New Roman"/>
          <w:sz w:val="24"/>
          <w:lang w:eastAsia="zh-CN"/>
        </w:rPr>
        <w:t>2022</w:t>
      </w:r>
      <w:r w:rsidRPr="00E67914">
        <w:rPr>
          <w:rFonts w:ascii="Times New Roman" w:hAnsi="Times New Roman"/>
          <w:sz w:val="24"/>
          <w:lang w:eastAsia="zh-CN"/>
        </w:rPr>
        <w:t>年印发的《</w:t>
      </w:r>
      <w:r w:rsidRPr="00E67914">
        <w:rPr>
          <w:rFonts w:ascii="Times New Roman" w:hAnsi="Times New Roman"/>
          <w:sz w:val="24"/>
          <w:lang w:eastAsia="zh-CN"/>
        </w:rPr>
        <w:t>“</w:t>
      </w:r>
      <w:r w:rsidRPr="00E67914">
        <w:rPr>
          <w:rFonts w:ascii="Times New Roman" w:hAnsi="Times New Roman"/>
          <w:sz w:val="24"/>
          <w:lang w:eastAsia="zh-CN"/>
        </w:rPr>
        <w:t>十四五</w:t>
      </w:r>
      <w:r w:rsidRPr="00E67914">
        <w:rPr>
          <w:rFonts w:ascii="Times New Roman" w:hAnsi="Times New Roman"/>
          <w:sz w:val="24"/>
          <w:lang w:eastAsia="zh-CN"/>
        </w:rPr>
        <w:t>”</w:t>
      </w:r>
      <w:r w:rsidRPr="00E67914">
        <w:rPr>
          <w:rFonts w:ascii="Times New Roman" w:hAnsi="Times New Roman"/>
          <w:sz w:val="24"/>
          <w:lang w:eastAsia="zh-CN"/>
        </w:rPr>
        <w:t>现代能源体系规划》（发改能源〔</w:t>
      </w:r>
      <w:r w:rsidRPr="00E67914">
        <w:rPr>
          <w:rFonts w:ascii="Times New Roman" w:hAnsi="Times New Roman"/>
          <w:sz w:val="24"/>
          <w:lang w:eastAsia="zh-CN"/>
        </w:rPr>
        <w:t>2022</w:t>
      </w:r>
      <w:r w:rsidRPr="00E67914">
        <w:rPr>
          <w:rFonts w:ascii="Times New Roman" w:hAnsi="Times New Roman"/>
          <w:sz w:val="24"/>
          <w:lang w:eastAsia="zh-CN"/>
        </w:rPr>
        <w:t>〕</w:t>
      </w:r>
      <w:r w:rsidRPr="00E67914">
        <w:rPr>
          <w:rFonts w:ascii="Times New Roman" w:hAnsi="Times New Roman"/>
          <w:sz w:val="24"/>
          <w:lang w:eastAsia="zh-CN"/>
        </w:rPr>
        <w:t>210</w:t>
      </w:r>
      <w:r w:rsidRPr="00E67914">
        <w:rPr>
          <w:rFonts w:ascii="Times New Roman" w:hAnsi="Times New Roman"/>
          <w:sz w:val="24"/>
          <w:lang w:eastAsia="zh-CN"/>
        </w:rPr>
        <w:t>号）：油气勘探开发。立足</w:t>
      </w:r>
      <w:r w:rsidRPr="00E67914">
        <w:rPr>
          <w:rFonts w:ascii="Times New Roman" w:hAnsi="Times New Roman"/>
          <w:b/>
          <w:bCs/>
          <w:sz w:val="24"/>
          <w:lang w:eastAsia="zh-CN"/>
        </w:rPr>
        <w:t>四川盆地</w:t>
      </w:r>
      <w:r w:rsidRPr="00E67914">
        <w:rPr>
          <w:rFonts w:ascii="Times New Roman" w:hAnsi="Times New Roman"/>
          <w:sz w:val="24"/>
          <w:lang w:eastAsia="zh-CN"/>
        </w:rPr>
        <w:t>、塔里木盆地、鄂尔多斯盆地、准噶尔盆地、松辽盆地、渤海湾盆地、柴达木盆地等重点盆地，加强中西部地区和海域风险勘探，强化东部老区精细勘探。推动准噶尔盆地玛湖、吉木萨尔页岩油，鄂尔多斯盆地页岩油、致密气，松辽盆地大庆古</w:t>
      </w:r>
      <w:r w:rsidRPr="00E67914">
        <w:rPr>
          <w:rFonts w:ascii="Times New Roman" w:hAnsi="Times New Roman"/>
          <w:sz w:val="24"/>
          <w:lang w:eastAsia="zh-CN"/>
        </w:rPr>
        <w:lastRenderedPageBreak/>
        <w:t>龙页岩油，四川盆地川中古隆起、川南页岩气，塔里木盆地顺北、富满、博孜</w:t>
      </w:r>
      <w:r w:rsidRPr="00E67914">
        <w:rPr>
          <w:rFonts w:ascii="Times New Roman" w:hAnsi="Times New Roman"/>
          <w:sz w:val="24"/>
          <w:lang w:eastAsia="zh-CN"/>
        </w:rPr>
        <w:t>—</w:t>
      </w:r>
      <w:r w:rsidRPr="00E67914">
        <w:rPr>
          <w:rFonts w:ascii="Times New Roman" w:hAnsi="Times New Roman"/>
          <w:sz w:val="24"/>
          <w:lang w:eastAsia="zh-CN"/>
        </w:rPr>
        <w:t>大北，鄂西、陕南、滇黔北页岩气，海域渤中、垦利、恩平等油气上产工程。加快推进四川盆地</w:t>
      </w:r>
      <w:r w:rsidRPr="00E67914">
        <w:rPr>
          <w:rFonts w:ascii="Times New Roman" w:hAnsi="Times New Roman"/>
          <w:sz w:val="24"/>
          <w:lang w:eastAsia="zh-CN"/>
        </w:rPr>
        <w:t>“</w:t>
      </w:r>
      <w:r w:rsidRPr="00E67914">
        <w:rPr>
          <w:rFonts w:ascii="Times New Roman" w:hAnsi="Times New Roman"/>
          <w:sz w:val="24"/>
          <w:lang w:eastAsia="zh-CN"/>
        </w:rPr>
        <w:t>气大庆</w:t>
      </w:r>
      <w:r w:rsidRPr="00E67914">
        <w:rPr>
          <w:rFonts w:ascii="Times New Roman" w:hAnsi="Times New Roman"/>
          <w:sz w:val="24"/>
          <w:lang w:eastAsia="zh-CN"/>
        </w:rPr>
        <w:t>”</w:t>
      </w:r>
      <w:r w:rsidRPr="00E67914">
        <w:rPr>
          <w:rFonts w:ascii="Times New Roman" w:hAnsi="Times New Roman"/>
          <w:sz w:val="24"/>
          <w:lang w:eastAsia="zh-CN"/>
        </w:rPr>
        <w:t>、塔里木盆地</w:t>
      </w:r>
      <w:r w:rsidRPr="00E67914">
        <w:rPr>
          <w:rFonts w:ascii="Times New Roman" w:hAnsi="Times New Roman"/>
          <w:sz w:val="24"/>
          <w:lang w:eastAsia="zh-CN"/>
        </w:rPr>
        <w:t>“</w:t>
      </w:r>
      <w:r w:rsidRPr="00E67914">
        <w:rPr>
          <w:rFonts w:ascii="Times New Roman" w:hAnsi="Times New Roman"/>
          <w:sz w:val="24"/>
          <w:lang w:eastAsia="zh-CN"/>
        </w:rPr>
        <w:t>深层油气大庆</w:t>
      </w:r>
      <w:r w:rsidRPr="00E67914">
        <w:rPr>
          <w:rFonts w:ascii="Times New Roman" w:hAnsi="Times New Roman"/>
          <w:sz w:val="24"/>
          <w:lang w:eastAsia="zh-CN"/>
        </w:rPr>
        <w:t>”</w:t>
      </w:r>
      <w:r w:rsidRPr="00E67914">
        <w:rPr>
          <w:rFonts w:ascii="Times New Roman" w:hAnsi="Times New Roman"/>
          <w:sz w:val="24"/>
          <w:lang w:eastAsia="zh-CN"/>
        </w:rPr>
        <w:t>、鄂尔多斯亿吨级</w:t>
      </w:r>
      <w:r w:rsidRPr="00E67914">
        <w:rPr>
          <w:rFonts w:ascii="Times New Roman" w:hAnsi="Times New Roman"/>
          <w:sz w:val="24"/>
          <w:lang w:eastAsia="zh-CN"/>
        </w:rPr>
        <w:t>“</w:t>
      </w:r>
      <w:r w:rsidRPr="00E67914">
        <w:rPr>
          <w:rFonts w:ascii="Times New Roman" w:hAnsi="Times New Roman"/>
          <w:sz w:val="24"/>
          <w:lang w:eastAsia="zh-CN"/>
        </w:rPr>
        <w:t>油气超级盆地</w:t>
      </w:r>
      <w:r w:rsidRPr="00E67914">
        <w:rPr>
          <w:rFonts w:ascii="Times New Roman" w:hAnsi="Times New Roman"/>
          <w:sz w:val="24"/>
          <w:lang w:eastAsia="zh-CN"/>
        </w:rPr>
        <w:t>”</w:t>
      </w:r>
      <w:r w:rsidRPr="00E67914">
        <w:rPr>
          <w:rFonts w:ascii="Times New Roman" w:hAnsi="Times New Roman"/>
          <w:sz w:val="24"/>
          <w:lang w:eastAsia="zh-CN"/>
        </w:rPr>
        <w:t>等标志性工程。加强沁水盆地、鄂尔多斯盆地东缘煤层气勘探开发。开展南海等地区天然气水合物试采。</w:t>
      </w:r>
    </w:p>
    <w:p w14:paraId="4115D096" w14:textId="1CAC1B36"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本工程位于四川盆地，属于</w:t>
      </w:r>
      <w:r w:rsidR="00746E16" w:rsidRPr="00E67914">
        <w:rPr>
          <w:rFonts w:ascii="Times New Roman" w:hAnsi="Times New Roman"/>
          <w:sz w:val="24"/>
          <w:lang w:eastAsia="zh-CN"/>
        </w:rPr>
        <w:t>页岩气</w:t>
      </w:r>
      <w:r w:rsidRPr="00E67914">
        <w:rPr>
          <w:rFonts w:ascii="Times New Roman" w:hAnsi="Times New Roman"/>
          <w:sz w:val="24"/>
          <w:lang w:eastAsia="zh-CN"/>
        </w:rPr>
        <w:t>勘探项目。因此，本工程的建设符合《</w:t>
      </w:r>
      <w:r w:rsidRPr="00E67914">
        <w:rPr>
          <w:rFonts w:ascii="Times New Roman" w:hAnsi="Times New Roman"/>
          <w:sz w:val="24"/>
          <w:lang w:eastAsia="zh-CN"/>
        </w:rPr>
        <w:t>“</w:t>
      </w:r>
      <w:r w:rsidRPr="00E67914">
        <w:rPr>
          <w:rFonts w:ascii="Times New Roman" w:hAnsi="Times New Roman"/>
          <w:sz w:val="24"/>
          <w:lang w:eastAsia="zh-CN"/>
        </w:rPr>
        <w:t>十四五</w:t>
      </w:r>
      <w:r w:rsidRPr="00E67914">
        <w:rPr>
          <w:rFonts w:ascii="Times New Roman" w:hAnsi="Times New Roman"/>
          <w:sz w:val="24"/>
          <w:lang w:eastAsia="zh-CN"/>
        </w:rPr>
        <w:t>”</w:t>
      </w:r>
      <w:r w:rsidRPr="00E67914">
        <w:rPr>
          <w:rFonts w:ascii="Times New Roman" w:hAnsi="Times New Roman"/>
          <w:sz w:val="24"/>
          <w:lang w:eastAsia="zh-CN"/>
        </w:rPr>
        <w:t>现代能源体系规划》（发改能源〔</w:t>
      </w:r>
      <w:r w:rsidRPr="00E67914">
        <w:rPr>
          <w:rFonts w:ascii="Times New Roman" w:hAnsi="Times New Roman"/>
          <w:sz w:val="24"/>
          <w:lang w:eastAsia="zh-CN"/>
        </w:rPr>
        <w:t>2022</w:t>
      </w:r>
      <w:r w:rsidRPr="00E67914">
        <w:rPr>
          <w:rFonts w:ascii="Times New Roman" w:hAnsi="Times New Roman"/>
          <w:sz w:val="24"/>
          <w:lang w:eastAsia="zh-CN"/>
        </w:rPr>
        <w:t>〕</w:t>
      </w:r>
      <w:r w:rsidRPr="00E67914">
        <w:rPr>
          <w:rFonts w:ascii="Times New Roman" w:hAnsi="Times New Roman"/>
          <w:sz w:val="24"/>
          <w:lang w:eastAsia="zh-CN"/>
        </w:rPr>
        <w:t>210</w:t>
      </w:r>
      <w:r w:rsidRPr="00E67914">
        <w:rPr>
          <w:rFonts w:ascii="Times New Roman" w:hAnsi="Times New Roman"/>
          <w:sz w:val="24"/>
          <w:lang w:eastAsia="zh-CN"/>
        </w:rPr>
        <w:t>号）要求。</w:t>
      </w:r>
    </w:p>
    <w:p w14:paraId="7CEFDE1C" w14:textId="77777777" w:rsidR="00A54A8A" w:rsidRPr="00E67914" w:rsidRDefault="00000000">
      <w:pPr>
        <w:autoSpaceDE w:val="0"/>
        <w:autoSpaceDN w:val="0"/>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2</w:t>
      </w:r>
      <w:r w:rsidRPr="00E67914">
        <w:rPr>
          <w:rFonts w:ascii="Times New Roman" w:hAnsi="Times New Roman"/>
          <w:b/>
          <w:bCs/>
          <w:sz w:val="24"/>
          <w:lang w:eastAsia="zh-CN"/>
        </w:rPr>
        <w:t>）与《四川省矿产资源总体规划（</w:t>
      </w:r>
      <w:r w:rsidRPr="00E67914">
        <w:rPr>
          <w:rFonts w:ascii="Times New Roman" w:hAnsi="Times New Roman"/>
          <w:b/>
          <w:bCs/>
          <w:sz w:val="24"/>
          <w:lang w:eastAsia="zh-CN"/>
        </w:rPr>
        <w:t>2021-2025</w:t>
      </w:r>
      <w:r w:rsidRPr="00E67914">
        <w:rPr>
          <w:rFonts w:ascii="Times New Roman" w:hAnsi="Times New Roman"/>
          <w:b/>
          <w:bCs/>
          <w:sz w:val="24"/>
          <w:lang w:eastAsia="zh-CN"/>
        </w:rPr>
        <w:t>年）》的符合性分析</w:t>
      </w:r>
    </w:p>
    <w:p w14:paraId="1928D8C0" w14:textId="4238AFD5" w:rsidR="00A54A8A" w:rsidRPr="00E67914" w:rsidRDefault="00000000">
      <w:pPr>
        <w:widowControl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《四川省矿产资源总体规划（</w:t>
      </w:r>
      <w:r w:rsidR="000D6FA0" w:rsidRPr="00E67914">
        <w:rPr>
          <w:rFonts w:ascii="Times New Roman" w:hAnsi="Times New Roman"/>
          <w:sz w:val="24"/>
          <w:lang w:eastAsia="zh-CN"/>
        </w:rPr>
        <w:t>2021</w:t>
      </w:r>
      <w:r w:rsidRPr="00E67914">
        <w:rPr>
          <w:rFonts w:ascii="Times New Roman" w:hAnsi="Times New Roman"/>
          <w:sz w:val="24"/>
          <w:lang w:eastAsia="zh-CN"/>
        </w:rPr>
        <w:t>-</w:t>
      </w:r>
      <w:r w:rsidR="000D6FA0" w:rsidRPr="00E67914">
        <w:rPr>
          <w:rFonts w:ascii="Times New Roman" w:hAnsi="Times New Roman"/>
          <w:sz w:val="24"/>
          <w:lang w:eastAsia="zh-CN"/>
        </w:rPr>
        <w:t>2025</w:t>
      </w:r>
      <w:r w:rsidRPr="00E67914">
        <w:rPr>
          <w:rFonts w:ascii="Times New Roman" w:hAnsi="Times New Roman"/>
          <w:sz w:val="24"/>
          <w:lang w:eastAsia="zh-CN"/>
        </w:rPr>
        <w:t>年）》是在自然资源部工作要求和省委、省政府工作部署下，依据《矿产资源规划编制实施办法》《全国矿产资源规划（</w:t>
      </w:r>
      <w:r w:rsidRPr="00E67914">
        <w:rPr>
          <w:rFonts w:ascii="Times New Roman" w:hAnsi="Times New Roman"/>
          <w:sz w:val="24"/>
          <w:lang w:eastAsia="zh-CN"/>
        </w:rPr>
        <w:t>2021—2025</w:t>
      </w:r>
      <w:r w:rsidRPr="00E67914">
        <w:rPr>
          <w:rFonts w:ascii="Times New Roman" w:hAnsi="Times New Roman"/>
          <w:sz w:val="24"/>
          <w:lang w:eastAsia="zh-CN"/>
        </w:rPr>
        <w:t>年）》《四川省国民经济和社会发展第十四个五年规划和二〇三五年远景目标纲要》等，结合四川省实际，由省厅会同省发展改革委、经济和信息化厅、财政厅、生态环境厅、商务厅制定，本项目与之符合性分析见下表。</w:t>
      </w:r>
    </w:p>
    <w:p w14:paraId="35A561B4" w14:textId="553F5C1A"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2.7-1</w:t>
      </w:r>
      <w:r w:rsidR="00CB4B0C" w:rsidRPr="00E67914">
        <w:rPr>
          <w:rFonts w:ascii="Times New Roman" w:eastAsia="黑体" w:hAnsi="Times New Roman"/>
          <w:sz w:val="21"/>
          <w:szCs w:val="21"/>
          <w:lang w:eastAsia="zh-CN"/>
        </w:rPr>
        <w:t>1</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与《四川省矿产资源总体规划（</w:t>
      </w:r>
      <w:r w:rsidR="000D6FA0" w:rsidRPr="00E67914">
        <w:rPr>
          <w:rFonts w:ascii="Times New Roman" w:eastAsia="黑体" w:hAnsi="Times New Roman"/>
          <w:sz w:val="21"/>
          <w:szCs w:val="21"/>
          <w:lang w:eastAsia="zh-CN"/>
        </w:rPr>
        <w:t>2021</w:t>
      </w:r>
      <w:r w:rsidRPr="00E67914">
        <w:rPr>
          <w:rFonts w:ascii="Times New Roman" w:eastAsia="黑体" w:hAnsi="Times New Roman"/>
          <w:sz w:val="21"/>
          <w:szCs w:val="21"/>
          <w:lang w:eastAsia="zh-CN"/>
        </w:rPr>
        <w:t>-</w:t>
      </w:r>
      <w:r w:rsidR="000D6FA0" w:rsidRPr="00E67914">
        <w:rPr>
          <w:rFonts w:ascii="Times New Roman" w:eastAsia="黑体" w:hAnsi="Times New Roman"/>
          <w:sz w:val="21"/>
          <w:szCs w:val="21"/>
          <w:lang w:eastAsia="zh-CN"/>
        </w:rPr>
        <w:t>2025</w:t>
      </w:r>
      <w:r w:rsidRPr="00E67914">
        <w:rPr>
          <w:rFonts w:ascii="Times New Roman" w:eastAsia="黑体" w:hAnsi="Times New Roman"/>
          <w:sz w:val="21"/>
          <w:szCs w:val="21"/>
          <w:lang w:eastAsia="zh-CN"/>
        </w:rPr>
        <w:t>年）》符合性分析表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240"/>
        <w:gridCol w:w="2124"/>
        <w:gridCol w:w="858"/>
      </w:tblGrid>
      <w:tr w:rsidR="002662E3" w:rsidRPr="00E67914" w14:paraId="0C60CDC6" w14:textId="77777777">
        <w:trPr>
          <w:cantSplit/>
          <w:jc w:val="center"/>
        </w:trPr>
        <w:tc>
          <w:tcPr>
            <w:tcW w:w="5240" w:type="dxa"/>
            <w:tcMar>
              <w:left w:w="57" w:type="dxa"/>
              <w:right w:w="57" w:type="dxa"/>
            </w:tcMar>
            <w:vAlign w:val="center"/>
          </w:tcPr>
          <w:p w14:paraId="76DFC9E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文件内容</w:t>
            </w:r>
          </w:p>
        </w:tc>
        <w:tc>
          <w:tcPr>
            <w:tcW w:w="2124" w:type="dxa"/>
            <w:tcMar>
              <w:left w:w="57" w:type="dxa"/>
              <w:right w:w="57" w:type="dxa"/>
            </w:tcMar>
            <w:vAlign w:val="center"/>
          </w:tcPr>
          <w:p w14:paraId="0252146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本项目情况</w:t>
            </w:r>
          </w:p>
        </w:tc>
        <w:tc>
          <w:tcPr>
            <w:tcW w:w="858" w:type="dxa"/>
            <w:tcMar>
              <w:left w:w="57" w:type="dxa"/>
              <w:right w:w="57" w:type="dxa"/>
            </w:tcMar>
            <w:vAlign w:val="center"/>
          </w:tcPr>
          <w:p w14:paraId="21E5EA7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符合性</w:t>
            </w:r>
          </w:p>
        </w:tc>
      </w:tr>
      <w:tr w:rsidR="002662E3" w:rsidRPr="00E67914" w14:paraId="734BE401" w14:textId="77777777">
        <w:trPr>
          <w:cantSplit/>
          <w:jc w:val="center"/>
        </w:trPr>
        <w:tc>
          <w:tcPr>
            <w:tcW w:w="5240" w:type="dxa"/>
            <w:tcMar>
              <w:left w:w="57" w:type="dxa"/>
              <w:right w:w="57" w:type="dxa"/>
            </w:tcMar>
            <w:vAlign w:val="center"/>
          </w:tcPr>
          <w:p w14:paraId="78C2D6A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第二章、第三节：一、</w:t>
            </w:r>
            <w:r w:rsidRPr="00E67914">
              <w:rPr>
                <w:rFonts w:ascii="Times New Roman" w:hAnsi="Times New Roman"/>
                <w:sz w:val="21"/>
                <w:szCs w:val="21"/>
                <w:lang w:eastAsia="zh-CN"/>
              </w:rPr>
              <w:t>2025</w:t>
            </w:r>
            <w:r w:rsidRPr="00E67914">
              <w:rPr>
                <w:rFonts w:ascii="Times New Roman" w:hAnsi="Times New Roman"/>
                <w:sz w:val="21"/>
                <w:szCs w:val="21"/>
                <w:lang w:eastAsia="zh-CN"/>
              </w:rPr>
              <w:t>年目标：</w:t>
            </w:r>
          </w:p>
          <w:p w14:paraId="65B2C26D" w14:textId="77777777" w:rsidR="00A54A8A" w:rsidRPr="00E67914" w:rsidRDefault="00000000">
            <w:pPr>
              <w:adjustRightInd w:val="0"/>
              <w:snapToGrid w:val="0"/>
              <w:jc w:val="center"/>
              <w:rPr>
                <w:rFonts w:ascii="Times New Roman" w:hAnsi="Times New Roman"/>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重要矿产实现找矿新突破。</w:t>
            </w:r>
            <w:r w:rsidRPr="00E67914">
              <w:rPr>
                <w:rFonts w:ascii="Times New Roman" w:hAnsi="Times New Roman"/>
                <w:b/>
                <w:bCs/>
                <w:sz w:val="21"/>
                <w:szCs w:val="21"/>
                <w:lang w:eastAsia="zh-CN"/>
              </w:rPr>
              <w:t>加大财政投资矿产勘查力度</w:t>
            </w:r>
            <w:r w:rsidRPr="00E67914">
              <w:rPr>
                <w:rFonts w:ascii="Times New Roman" w:hAnsi="Times New Roman"/>
                <w:sz w:val="21"/>
                <w:szCs w:val="21"/>
                <w:lang w:eastAsia="zh-CN"/>
              </w:rPr>
              <w:t>，提高重要矿产资源综合勘查水平和保障程度，新发现战略性矿产资源大中型矿产地</w:t>
            </w:r>
            <w:r w:rsidRPr="00E67914">
              <w:rPr>
                <w:rFonts w:ascii="Times New Roman" w:hAnsi="Times New Roman"/>
                <w:sz w:val="21"/>
                <w:szCs w:val="21"/>
                <w:lang w:eastAsia="zh-CN"/>
              </w:rPr>
              <w:t>10</w:t>
            </w:r>
            <w:r w:rsidRPr="00E67914">
              <w:rPr>
                <w:rFonts w:ascii="Times New Roman" w:hAnsi="Times New Roman"/>
                <w:sz w:val="21"/>
                <w:szCs w:val="21"/>
                <w:lang w:eastAsia="zh-CN"/>
              </w:rPr>
              <w:t>至</w:t>
            </w:r>
            <w:r w:rsidRPr="00E67914">
              <w:rPr>
                <w:rFonts w:ascii="Times New Roman" w:hAnsi="Times New Roman"/>
                <w:sz w:val="21"/>
                <w:szCs w:val="21"/>
                <w:lang w:eastAsia="zh-CN"/>
              </w:rPr>
              <w:t>15</w:t>
            </w:r>
            <w:r w:rsidRPr="00E67914">
              <w:rPr>
                <w:rFonts w:ascii="Times New Roman" w:hAnsi="Times New Roman"/>
                <w:sz w:val="21"/>
                <w:szCs w:val="21"/>
                <w:lang w:eastAsia="zh-CN"/>
              </w:rPr>
              <w:t>处。</w:t>
            </w:r>
            <w:r w:rsidRPr="00E67914">
              <w:rPr>
                <w:rFonts w:ascii="Times New Roman" w:hAnsi="Times New Roman"/>
                <w:b/>
                <w:bCs/>
                <w:sz w:val="21"/>
                <w:szCs w:val="21"/>
                <w:lang w:eastAsia="zh-CN"/>
              </w:rPr>
              <w:t>国家天然气（页岩气）千亿立方米级产能基地</w:t>
            </w:r>
            <w:r w:rsidRPr="00E67914">
              <w:rPr>
                <w:rFonts w:ascii="Times New Roman" w:hAnsi="Times New Roman"/>
                <w:sz w:val="21"/>
                <w:szCs w:val="21"/>
                <w:lang w:eastAsia="zh-CN"/>
              </w:rPr>
              <w:t>、攀西战略资源创新开发试验区建设得到有力支撑</w:t>
            </w:r>
          </w:p>
        </w:tc>
        <w:tc>
          <w:tcPr>
            <w:tcW w:w="2124" w:type="dxa"/>
            <w:tcMar>
              <w:left w:w="57" w:type="dxa"/>
              <w:right w:w="57" w:type="dxa"/>
            </w:tcMar>
            <w:vAlign w:val="center"/>
          </w:tcPr>
          <w:p w14:paraId="15D9BB1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本项目属于天然气勘探项目</w:t>
            </w:r>
          </w:p>
        </w:tc>
        <w:tc>
          <w:tcPr>
            <w:tcW w:w="858" w:type="dxa"/>
            <w:tcMar>
              <w:left w:w="57" w:type="dxa"/>
              <w:right w:w="57" w:type="dxa"/>
            </w:tcMar>
            <w:vAlign w:val="center"/>
          </w:tcPr>
          <w:p w14:paraId="5CEC60D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2662E3" w:rsidRPr="00E67914" w14:paraId="6610B8A2" w14:textId="77777777">
        <w:trPr>
          <w:cantSplit/>
          <w:jc w:val="center"/>
        </w:trPr>
        <w:tc>
          <w:tcPr>
            <w:tcW w:w="5240" w:type="dxa"/>
            <w:tcMar>
              <w:left w:w="57" w:type="dxa"/>
              <w:right w:w="57" w:type="dxa"/>
            </w:tcMar>
            <w:vAlign w:val="center"/>
          </w:tcPr>
          <w:p w14:paraId="4176FAA4" w14:textId="4037653F"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第</w:t>
            </w:r>
            <w:r w:rsidR="000D6FA0" w:rsidRPr="00E67914">
              <w:rPr>
                <w:rFonts w:ascii="Times New Roman" w:hAnsi="Times New Roman"/>
                <w:sz w:val="21"/>
                <w:szCs w:val="21"/>
                <w:lang w:eastAsia="zh-CN"/>
              </w:rPr>
              <w:t>三</w:t>
            </w:r>
            <w:r w:rsidRPr="00E67914">
              <w:rPr>
                <w:rFonts w:ascii="Times New Roman" w:hAnsi="Times New Roman"/>
                <w:sz w:val="21"/>
                <w:szCs w:val="21"/>
                <w:lang w:eastAsia="zh-CN"/>
              </w:rPr>
              <w:t>章、第一节：</w:t>
            </w:r>
            <w:r w:rsidRPr="00E67914">
              <w:rPr>
                <w:rFonts w:ascii="Times New Roman" w:hAnsi="Times New Roman"/>
                <w:sz w:val="21"/>
                <w:szCs w:val="21"/>
                <w:lang w:eastAsia="zh-CN"/>
              </w:rPr>
              <w:t>···</w:t>
            </w:r>
            <w:r w:rsidRPr="00E67914">
              <w:rPr>
                <w:rFonts w:ascii="Times New Roman" w:hAnsi="Times New Roman"/>
                <w:sz w:val="21"/>
                <w:szCs w:val="21"/>
                <w:lang w:eastAsia="zh-CN"/>
              </w:rPr>
              <w:t>川东北能源建材勘查开发区。包括南充、</w:t>
            </w:r>
            <w:r w:rsidRPr="00E67914">
              <w:rPr>
                <w:rFonts w:ascii="Times New Roman" w:hAnsi="Times New Roman"/>
                <w:b/>
                <w:bCs/>
                <w:sz w:val="21"/>
                <w:szCs w:val="21"/>
                <w:lang w:eastAsia="zh-CN"/>
              </w:rPr>
              <w:t>达州</w:t>
            </w:r>
            <w:r w:rsidRPr="00E67914">
              <w:rPr>
                <w:rFonts w:ascii="Times New Roman" w:hAnsi="Times New Roman"/>
                <w:sz w:val="21"/>
                <w:szCs w:val="21"/>
                <w:lang w:eastAsia="zh-CN"/>
              </w:rPr>
              <w:t>、广安、巴中、广元</w:t>
            </w:r>
            <w:r w:rsidRPr="00E67914">
              <w:rPr>
                <w:rFonts w:ascii="Times New Roman" w:hAnsi="Times New Roman"/>
                <w:sz w:val="21"/>
                <w:szCs w:val="21"/>
                <w:lang w:eastAsia="zh-CN"/>
              </w:rPr>
              <w:t>5</w:t>
            </w:r>
            <w:r w:rsidRPr="00E67914">
              <w:rPr>
                <w:rFonts w:ascii="Times New Roman" w:hAnsi="Times New Roman"/>
                <w:sz w:val="21"/>
                <w:szCs w:val="21"/>
                <w:lang w:eastAsia="zh-CN"/>
              </w:rPr>
              <w:t>市，大力发展清洁能源化工、特色矿产品精深加工，推动川东北经济区振兴发展。重点加强达州、广元、广安、巴中地区天然气、页岩油、致密气</w:t>
            </w:r>
            <w:r w:rsidRPr="00E67914">
              <w:rPr>
                <w:rFonts w:ascii="Times New Roman" w:hAnsi="Times New Roman"/>
                <w:b/>
                <w:bCs/>
                <w:sz w:val="21"/>
                <w:szCs w:val="21"/>
                <w:lang w:eastAsia="zh-CN"/>
              </w:rPr>
              <w:t>勘探</w:t>
            </w:r>
            <w:r w:rsidRPr="00E67914">
              <w:rPr>
                <w:rFonts w:ascii="Times New Roman" w:hAnsi="Times New Roman"/>
                <w:sz w:val="21"/>
                <w:szCs w:val="21"/>
                <w:lang w:eastAsia="zh-CN"/>
              </w:rPr>
              <w:t>开发</w:t>
            </w:r>
          </w:p>
        </w:tc>
        <w:tc>
          <w:tcPr>
            <w:tcW w:w="2124" w:type="dxa"/>
            <w:tcMar>
              <w:left w:w="57" w:type="dxa"/>
              <w:right w:w="57" w:type="dxa"/>
            </w:tcMar>
            <w:vAlign w:val="center"/>
          </w:tcPr>
          <w:p w14:paraId="0C7A3E39" w14:textId="44A744A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本项目位于达州，属于</w:t>
            </w:r>
            <w:r w:rsidR="00746E16" w:rsidRPr="00E67914">
              <w:rPr>
                <w:rFonts w:ascii="Times New Roman" w:hAnsi="Times New Roman"/>
                <w:sz w:val="21"/>
                <w:szCs w:val="21"/>
                <w:lang w:eastAsia="zh-CN"/>
              </w:rPr>
              <w:t>页岩气</w:t>
            </w:r>
            <w:r w:rsidRPr="00E67914">
              <w:rPr>
                <w:rFonts w:ascii="Times New Roman" w:hAnsi="Times New Roman"/>
                <w:sz w:val="21"/>
                <w:szCs w:val="21"/>
                <w:lang w:eastAsia="zh-CN"/>
              </w:rPr>
              <w:t>勘探项目</w:t>
            </w:r>
          </w:p>
        </w:tc>
        <w:tc>
          <w:tcPr>
            <w:tcW w:w="858" w:type="dxa"/>
            <w:tcMar>
              <w:left w:w="57" w:type="dxa"/>
              <w:right w:w="57" w:type="dxa"/>
            </w:tcMar>
            <w:vAlign w:val="center"/>
          </w:tcPr>
          <w:p w14:paraId="48B1BF9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2662E3" w:rsidRPr="00E67914" w14:paraId="3C952739" w14:textId="77777777">
        <w:trPr>
          <w:cantSplit/>
          <w:jc w:val="center"/>
        </w:trPr>
        <w:tc>
          <w:tcPr>
            <w:tcW w:w="5240" w:type="dxa"/>
            <w:tcMar>
              <w:left w:w="57" w:type="dxa"/>
              <w:right w:w="57" w:type="dxa"/>
            </w:tcMar>
            <w:vAlign w:val="center"/>
          </w:tcPr>
          <w:p w14:paraId="2A880D73" w14:textId="77777777" w:rsidR="00A54A8A" w:rsidRPr="00E67914" w:rsidRDefault="00000000">
            <w:pPr>
              <w:adjustRightInd w:val="0"/>
              <w:snapToGrid w:val="0"/>
              <w:jc w:val="center"/>
              <w:rPr>
                <w:rFonts w:ascii="Times New Roman" w:hAnsi="Times New Roman"/>
                <w:lang w:eastAsia="zh-CN"/>
              </w:rPr>
            </w:pPr>
            <w:r w:rsidRPr="00E67914">
              <w:rPr>
                <w:rFonts w:ascii="Times New Roman" w:hAnsi="Times New Roman"/>
                <w:sz w:val="21"/>
                <w:szCs w:val="21"/>
                <w:lang w:eastAsia="zh-CN"/>
              </w:rPr>
              <w:t>第五章、第一节：</w:t>
            </w:r>
            <w:r w:rsidRPr="00E67914">
              <w:rPr>
                <w:rFonts w:ascii="Times New Roman" w:hAnsi="Times New Roman"/>
                <w:sz w:val="21"/>
                <w:szCs w:val="21"/>
                <w:lang w:eastAsia="zh-CN"/>
              </w:rPr>
              <w:t>···</w:t>
            </w:r>
            <w:r w:rsidRPr="00E67914">
              <w:rPr>
                <w:rFonts w:ascii="Times New Roman" w:hAnsi="Times New Roman"/>
                <w:sz w:val="21"/>
                <w:szCs w:val="21"/>
                <w:lang w:eastAsia="zh-CN"/>
              </w:rPr>
              <w:t>大力支持</w:t>
            </w:r>
            <w:r w:rsidRPr="00E67914">
              <w:rPr>
                <w:rFonts w:ascii="Times New Roman" w:hAnsi="Times New Roman"/>
                <w:b/>
                <w:bCs/>
                <w:sz w:val="21"/>
                <w:szCs w:val="21"/>
                <w:lang w:eastAsia="zh-CN"/>
              </w:rPr>
              <w:t>天然气</w:t>
            </w:r>
            <w:r w:rsidRPr="00E67914">
              <w:rPr>
                <w:rFonts w:ascii="Times New Roman" w:hAnsi="Times New Roman"/>
                <w:sz w:val="21"/>
                <w:szCs w:val="21"/>
                <w:lang w:eastAsia="zh-CN"/>
              </w:rPr>
              <w:t>、页岩气开采，</w:t>
            </w:r>
            <w:r w:rsidRPr="00E67914">
              <w:rPr>
                <w:rFonts w:ascii="Times New Roman" w:hAnsi="Times New Roman"/>
                <w:sz w:val="21"/>
                <w:szCs w:val="21"/>
                <w:lang w:eastAsia="zh-CN"/>
              </w:rPr>
              <w:t>2025</w:t>
            </w:r>
            <w:r w:rsidRPr="00E67914">
              <w:rPr>
                <w:rFonts w:ascii="Times New Roman" w:hAnsi="Times New Roman"/>
                <w:sz w:val="21"/>
                <w:szCs w:val="21"/>
                <w:lang w:eastAsia="zh-CN"/>
              </w:rPr>
              <w:t>年底全省天然气（页岩气）产量达到</w:t>
            </w:r>
            <w:r w:rsidRPr="00E67914">
              <w:rPr>
                <w:rFonts w:ascii="Times New Roman" w:hAnsi="Times New Roman"/>
                <w:sz w:val="21"/>
                <w:szCs w:val="21"/>
                <w:lang w:eastAsia="zh-CN"/>
              </w:rPr>
              <w:t>630</w:t>
            </w:r>
            <w:r w:rsidRPr="00E67914">
              <w:rPr>
                <w:rFonts w:ascii="Times New Roman" w:hAnsi="Times New Roman"/>
                <w:sz w:val="21"/>
                <w:szCs w:val="21"/>
                <w:lang w:eastAsia="zh-CN"/>
              </w:rPr>
              <w:t>亿立方米</w:t>
            </w:r>
            <w:r w:rsidRPr="00E67914">
              <w:rPr>
                <w:rFonts w:ascii="Times New Roman" w:hAnsi="Times New Roman"/>
                <w:sz w:val="21"/>
                <w:szCs w:val="21"/>
                <w:lang w:eastAsia="zh-CN"/>
              </w:rPr>
              <w:t>/</w:t>
            </w:r>
            <w:r w:rsidRPr="00E67914">
              <w:rPr>
                <w:rFonts w:ascii="Times New Roman" w:hAnsi="Times New Roman"/>
                <w:sz w:val="21"/>
                <w:szCs w:val="21"/>
                <w:lang w:eastAsia="zh-CN"/>
              </w:rPr>
              <w:t>年，</w:t>
            </w:r>
            <w:r w:rsidRPr="00E67914">
              <w:rPr>
                <w:rFonts w:ascii="Times New Roman" w:hAnsi="Times New Roman"/>
                <w:sz w:val="21"/>
                <w:szCs w:val="21"/>
                <w:lang w:eastAsia="zh-CN"/>
              </w:rPr>
              <w:t>2035</w:t>
            </w:r>
            <w:r w:rsidRPr="00E67914">
              <w:rPr>
                <w:rFonts w:ascii="Times New Roman" w:hAnsi="Times New Roman"/>
                <w:sz w:val="21"/>
                <w:szCs w:val="21"/>
                <w:lang w:eastAsia="zh-CN"/>
              </w:rPr>
              <w:t>年建成国家天然气（页岩气）千亿立方米级产能基地</w:t>
            </w:r>
          </w:p>
        </w:tc>
        <w:tc>
          <w:tcPr>
            <w:tcW w:w="2124" w:type="dxa"/>
            <w:tcMar>
              <w:left w:w="57" w:type="dxa"/>
              <w:right w:w="57" w:type="dxa"/>
            </w:tcMar>
            <w:vAlign w:val="center"/>
          </w:tcPr>
          <w:p w14:paraId="4078AC2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本项目属于天然气勘探项目，运营期将对天然气进行试采，有利于提高全省天然气产量</w:t>
            </w:r>
          </w:p>
        </w:tc>
        <w:tc>
          <w:tcPr>
            <w:tcW w:w="858" w:type="dxa"/>
            <w:tcMar>
              <w:left w:w="57" w:type="dxa"/>
              <w:right w:w="57" w:type="dxa"/>
            </w:tcMar>
            <w:vAlign w:val="center"/>
          </w:tcPr>
          <w:p w14:paraId="7071108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bl>
    <w:p w14:paraId="410E977D" w14:textId="35E20576"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本项目为</w:t>
      </w:r>
      <w:r w:rsidR="00746E16" w:rsidRPr="00E67914">
        <w:rPr>
          <w:rFonts w:ascii="Times New Roman" w:hAnsi="Times New Roman"/>
          <w:sz w:val="24"/>
          <w:lang w:eastAsia="zh-CN"/>
        </w:rPr>
        <w:t>页岩气</w:t>
      </w:r>
      <w:r w:rsidRPr="00E67914">
        <w:rPr>
          <w:rFonts w:ascii="Times New Roman" w:hAnsi="Times New Roman"/>
          <w:sz w:val="24"/>
          <w:lang w:eastAsia="zh-CN"/>
        </w:rPr>
        <w:t>勘探试采工程，不属于限制开采的矿产资源，项目位于</w:t>
      </w:r>
      <w:r w:rsidR="00DD2AA7" w:rsidRPr="00E67914">
        <w:rPr>
          <w:rFonts w:ascii="Times New Roman" w:hAnsi="Times New Roman"/>
          <w:sz w:val="24"/>
          <w:lang w:eastAsia="zh-CN"/>
        </w:rPr>
        <w:t>达州市宣汉县普光镇</w:t>
      </w:r>
      <w:r w:rsidR="00AE0282" w:rsidRPr="00E67914">
        <w:rPr>
          <w:rFonts w:ascii="Times New Roman" w:hAnsi="Times New Roman"/>
          <w:sz w:val="24"/>
          <w:lang w:eastAsia="zh-CN"/>
        </w:rPr>
        <w:t>陡梯村</w:t>
      </w:r>
      <w:r w:rsidRPr="00E67914">
        <w:rPr>
          <w:rFonts w:ascii="Times New Roman" w:hAnsi="Times New Roman"/>
          <w:sz w:val="24"/>
          <w:lang w:eastAsia="zh-CN"/>
        </w:rPr>
        <w:t>，所在区域不属于四川省矿产资源勘查开采规划区中的重点勘查区、限制勘查区和禁止勘查区，也不属于国家和省的规划矿区、储备和保护矿区、限制开采区和禁止开采区，同时也不涉及自然保护区、饮用水</w:t>
      </w:r>
      <w:r w:rsidRPr="00E67914">
        <w:rPr>
          <w:rFonts w:ascii="Times New Roman" w:hAnsi="Times New Roman"/>
          <w:sz w:val="24"/>
          <w:lang w:eastAsia="zh-CN"/>
        </w:rPr>
        <w:lastRenderedPageBreak/>
        <w:t>水源保护区、风景名胜区等环境敏感区及四川省生态保护红线。拟建项目属于天然气勘探试采，符合《四川省矿产资源总体规划（</w:t>
      </w:r>
      <w:r w:rsidRPr="00E67914">
        <w:rPr>
          <w:rFonts w:ascii="Times New Roman" w:hAnsi="Times New Roman"/>
          <w:sz w:val="24"/>
          <w:lang w:eastAsia="zh-CN"/>
        </w:rPr>
        <w:t>20</w:t>
      </w:r>
      <w:r w:rsidR="00C920DC" w:rsidRPr="00E67914">
        <w:rPr>
          <w:rFonts w:ascii="Times New Roman" w:hAnsi="Times New Roman"/>
          <w:sz w:val="24"/>
          <w:lang w:eastAsia="zh-CN"/>
        </w:rPr>
        <w:t>21</w:t>
      </w:r>
      <w:r w:rsidRPr="00E67914">
        <w:rPr>
          <w:rFonts w:ascii="Times New Roman" w:hAnsi="Times New Roman"/>
          <w:sz w:val="24"/>
          <w:lang w:eastAsia="zh-CN"/>
        </w:rPr>
        <w:t>-202</w:t>
      </w:r>
      <w:r w:rsidR="00C920DC" w:rsidRPr="00E67914">
        <w:rPr>
          <w:rFonts w:ascii="Times New Roman" w:hAnsi="Times New Roman"/>
          <w:sz w:val="24"/>
          <w:lang w:eastAsia="zh-CN"/>
        </w:rPr>
        <w:t>5</w:t>
      </w:r>
      <w:r w:rsidRPr="00E67914">
        <w:rPr>
          <w:rFonts w:ascii="Times New Roman" w:hAnsi="Times New Roman"/>
          <w:sz w:val="24"/>
          <w:lang w:eastAsia="zh-CN"/>
        </w:rPr>
        <w:t>年）》要求。</w:t>
      </w:r>
    </w:p>
    <w:p w14:paraId="67D671D2" w14:textId="77777777" w:rsidR="00A54A8A" w:rsidRPr="00E67914" w:rsidRDefault="00000000">
      <w:pPr>
        <w:autoSpaceDE w:val="0"/>
        <w:autoSpaceDN w:val="0"/>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3</w:t>
      </w:r>
      <w:r w:rsidRPr="00E67914">
        <w:rPr>
          <w:rFonts w:ascii="Times New Roman" w:hAnsi="Times New Roman"/>
          <w:b/>
          <w:bCs/>
          <w:sz w:val="24"/>
          <w:lang w:eastAsia="zh-CN"/>
        </w:rPr>
        <w:t>）与《四川省矿产资源总体规划（</w:t>
      </w:r>
      <w:r w:rsidRPr="00E67914">
        <w:rPr>
          <w:rFonts w:ascii="Times New Roman" w:hAnsi="Times New Roman"/>
          <w:b/>
          <w:bCs/>
          <w:sz w:val="24"/>
          <w:lang w:eastAsia="zh-CN"/>
        </w:rPr>
        <w:t>2021-2025</w:t>
      </w:r>
      <w:r w:rsidRPr="00E67914">
        <w:rPr>
          <w:rFonts w:ascii="Times New Roman" w:hAnsi="Times New Roman"/>
          <w:b/>
          <w:bCs/>
          <w:sz w:val="24"/>
          <w:lang w:eastAsia="zh-CN"/>
        </w:rPr>
        <w:t>年）环境影响报告书》符合性分析</w:t>
      </w:r>
    </w:p>
    <w:p w14:paraId="28D97635"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生态环境部出具了《关于〈四川省矿产资源总体规划（</w:t>
      </w:r>
      <w:r w:rsidRPr="00E67914">
        <w:rPr>
          <w:rFonts w:ascii="Times New Roman" w:hAnsi="Times New Roman"/>
          <w:sz w:val="24"/>
          <w:lang w:eastAsia="zh-CN"/>
        </w:rPr>
        <w:t>2021-2025</w:t>
      </w:r>
      <w:r w:rsidRPr="00E67914">
        <w:rPr>
          <w:rFonts w:ascii="Times New Roman" w:hAnsi="Times New Roman"/>
          <w:sz w:val="24"/>
          <w:lang w:eastAsia="zh-CN"/>
        </w:rPr>
        <w:t>年）环境影响报告书〉的审查意见》（环审〔</w:t>
      </w:r>
      <w:r w:rsidRPr="00E67914">
        <w:rPr>
          <w:rFonts w:ascii="Times New Roman" w:hAnsi="Times New Roman"/>
          <w:sz w:val="24"/>
          <w:lang w:eastAsia="zh-CN"/>
        </w:rPr>
        <w:t>2022</w:t>
      </w:r>
      <w:r w:rsidRPr="00E67914">
        <w:rPr>
          <w:rFonts w:ascii="Times New Roman" w:hAnsi="Times New Roman"/>
          <w:sz w:val="24"/>
          <w:lang w:eastAsia="zh-CN"/>
        </w:rPr>
        <w:t>〕</w:t>
      </w:r>
      <w:r w:rsidRPr="00E67914">
        <w:rPr>
          <w:rFonts w:ascii="Times New Roman" w:hAnsi="Times New Roman"/>
          <w:sz w:val="24"/>
          <w:lang w:eastAsia="zh-CN"/>
        </w:rPr>
        <w:t>105</w:t>
      </w:r>
      <w:r w:rsidRPr="00E67914">
        <w:rPr>
          <w:rFonts w:ascii="Times New Roman" w:hAnsi="Times New Roman"/>
          <w:sz w:val="24"/>
          <w:lang w:eastAsia="zh-CN"/>
        </w:rPr>
        <w:t>号），该规划提出规划目标：</w:t>
      </w:r>
      <w:r w:rsidRPr="00E67914">
        <w:rPr>
          <w:rFonts w:ascii="Times New Roman" w:hAnsi="Times New Roman"/>
          <w:b/>
          <w:bCs/>
          <w:sz w:val="24"/>
          <w:lang w:eastAsia="zh-CN"/>
        </w:rPr>
        <w:t>主要矿产资源实现找矿新突破。</w:t>
      </w:r>
      <w:r w:rsidRPr="00E67914">
        <w:rPr>
          <w:rFonts w:ascii="Times New Roman" w:hAnsi="Times New Roman"/>
          <w:sz w:val="24"/>
          <w:lang w:eastAsia="zh-CN"/>
        </w:rPr>
        <w:t>加大政府性投资勘察项目投入，提高重要矿产资源综合勘察水平，天然气、页岩气铁、锰、铜、铅锌、金、锂、稀土、磷、钾盐、石墨、优质玄武岩等主要矿产保障程度进一步提升，新发现和评价战略性矿产资源大中型矿产地</w:t>
      </w:r>
      <w:r w:rsidRPr="00E67914">
        <w:rPr>
          <w:rFonts w:ascii="Times New Roman" w:hAnsi="Times New Roman"/>
          <w:sz w:val="24"/>
          <w:lang w:eastAsia="zh-CN"/>
        </w:rPr>
        <w:t>10-15</w:t>
      </w:r>
      <w:r w:rsidRPr="00E67914">
        <w:rPr>
          <w:rFonts w:ascii="Times New Roman" w:hAnsi="Times New Roman"/>
          <w:sz w:val="24"/>
          <w:lang w:eastAsia="zh-CN"/>
        </w:rPr>
        <w:t>处。有力支撑川渝天然气千亿产能基地、攀西战略资源创新开发试验区和乐山稀土深加工产业发展。</w:t>
      </w:r>
    </w:p>
    <w:p w14:paraId="39989ED4"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川南能源化工勘查开发区。包括自贡、宜宾、泸州、内江</w:t>
      </w:r>
      <w:r w:rsidRPr="00E67914">
        <w:rPr>
          <w:rFonts w:ascii="Times New Roman" w:hAnsi="Times New Roman"/>
          <w:sz w:val="24"/>
          <w:lang w:eastAsia="zh-CN"/>
        </w:rPr>
        <w:t>4</w:t>
      </w:r>
      <w:r w:rsidRPr="00E67914">
        <w:rPr>
          <w:rFonts w:ascii="Times New Roman" w:hAnsi="Times New Roman"/>
          <w:sz w:val="24"/>
          <w:lang w:eastAsia="zh-CN"/>
        </w:rPr>
        <w:t>市，加快培育壮大优势产业集群，打造全省第二经济增长极。重点推进川南页岩气勘查开发试验区建设，持续推荐长宁</w:t>
      </w:r>
      <w:r w:rsidRPr="00E67914">
        <w:rPr>
          <w:rFonts w:ascii="Times New Roman" w:hAnsi="Times New Roman"/>
          <w:sz w:val="24"/>
          <w:lang w:eastAsia="zh-CN"/>
        </w:rPr>
        <w:t>-</w:t>
      </w:r>
      <w:r w:rsidRPr="00E67914">
        <w:rPr>
          <w:rFonts w:ascii="Times New Roman" w:hAnsi="Times New Roman"/>
          <w:sz w:val="24"/>
          <w:lang w:eastAsia="zh-CN"/>
        </w:rPr>
        <w:t>威远页岩气田已发现规模开发，</w:t>
      </w:r>
      <w:r w:rsidRPr="00E67914">
        <w:rPr>
          <w:rFonts w:ascii="Times New Roman" w:hAnsi="Times New Roman"/>
          <w:b/>
          <w:bCs/>
          <w:sz w:val="24"/>
          <w:lang w:eastAsia="zh-CN"/>
        </w:rPr>
        <w:t>打造川渝天然气千亿产能基地</w:t>
      </w:r>
      <w:r w:rsidRPr="00E67914">
        <w:rPr>
          <w:rFonts w:ascii="Times New Roman" w:hAnsi="Times New Roman"/>
          <w:sz w:val="24"/>
          <w:lang w:eastAsia="zh-CN"/>
        </w:rPr>
        <w:t>；加快煤层气勘查开发，推动采煤采气一体化；优化煤炭勘查开发布局，加快淘汰落后产能，保障无烟煤安全供应；从严配置水泥、玻璃、陶瓷原料等矿产资源，遏制过剩产能，提高综合开发利用效益。</w:t>
      </w:r>
    </w:p>
    <w:p w14:paraId="2F12011C"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本项目属于石油天然气行业的勘探试采项目，本项目的建设有利于评价下一步页岩气清洁能源的开采供应，保障资源储量的稳定增长。因此，本项目建设符合《四川省矿产资源总体规划（</w:t>
      </w:r>
      <w:r w:rsidRPr="00E67914">
        <w:rPr>
          <w:rFonts w:ascii="Times New Roman" w:hAnsi="Times New Roman"/>
          <w:sz w:val="24"/>
          <w:lang w:eastAsia="zh-CN"/>
        </w:rPr>
        <w:t>2021-2025</w:t>
      </w:r>
      <w:r w:rsidRPr="00E67914">
        <w:rPr>
          <w:rFonts w:ascii="Times New Roman" w:hAnsi="Times New Roman"/>
          <w:sz w:val="24"/>
          <w:lang w:eastAsia="zh-CN"/>
        </w:rPr>
        <w:t>年）环境影响报告书》的相关要求。</w:t>
      </w:r>
    </w:p>
    <w:p w14:paraId="0B35A43C" w14:textId="4D932CA0" w:rsidR="008717CC" w:rsidRPr="00E67914" w:rsidRDefault="005931E5" w:rsidP="008717CC">
      <w:pPr>
        <w:widowControl w:val="0"/>
        <w:tabs>
          <w:tab w:val="left" w:pos="0"/>
        </w:tabs>
        <w:spacing w:line="360" w:lineRule="auto"/>
        <w:ind w:firstLineChars="200" w:firstLine="480"/>
        <w:jc w:val="both"/>
        <w:rPr>
          <w:rFonts w:ascii="Times New Roman" w:hAnsi="Times New Roman"/>
          <w:b/>
          <w:kern w:val="2"/>
          <w:sz w:val="24"/>
          <w:szCs w:val="24"/>
          <w:lang w:eastAsia="zh-CN"/>
        </w:rPr>
      </w:pPr>
      <w:r w:rsidRPr="00E67914">
        <w:rPr>
          <w:rFonts w:ascii="Times New Roman" w:hAnsi="Times New Roman"/>
          <w:bCs/>
          <w:kern w:val="2"/>
          <w:sz w:val="24"/>
          <w:szCs w:val="24"/>
          <w:lang w:eastAsia="zh-CN"/>
        </w:rPr>
        <w:t>8</w:t>
      </w:r>
      <w:r w:rsidR="008717CC" w:rsidRPr="00E67914">
        <w:rPr>
          <w:rFonts w:ascii="Times New Roman" w:hAnsi="Times New Roman"/>
          <w:bCs/>
          <w:kern w:val="2"/>
          <w:sz w:val="24"/>
          <w:szCs w:val="24"/>
          <w:lang w:eastAsia="zh-CN"/>
        </w:rPr>
        <w:t>、</w:t>
      </w:r>
      <w:r w:rsidR="008717CC" w:rsidRPr="00E67914">
        <w:rPr>
          <w:rFonts w:ascii="Times New Roman" w:eastAsia="黑体" w:hAnsi="Times New Roman"/>
          <w:sz w:val="24"/>
          <w:lang w:eastAsia="zh-CN"/>
        </w:rPr>
        <w:t>与《达州市矿产资源总体规划（</w:t>
      </w:r>
      <w:r w:rsidR="008717CC" w:rsidRPr="00E67914">
        <w:rPr>
          <w:rFonts w:ascii="Times New Roman" w:eastAsia="黑体" w:hAnsi="Times New Roman"/>
          <w:sz w:val="24"/>
          <w:lang w:eastAsia="zh-CN"/>
        </w:rPr>
        <w:t>2021-2025</w:t>
      </w:r>
      <w:r w:rsidR="008717CC" w:rsidRPr="00E67914">
        <w:rPr>
          <w:rFonts w:ascii="Times New Roman" w:eastAsia="黑体" w:hAnsi="Times New Roman"/>
          <w:sz w:val="24"/>
          <w:lang w:eastAsia="zh-CN"/>
        </w:rPr>
        <w:t>年）》的符合性分析</w:t>
      </w:r>
    </w:p>
    <w:p w14:paraId="10CEA188" w14:textId="3B119C7D" w:rsidR="008717CC" w:rsidRPr="00E67914" w:rsidRDefault="008717CC" w:rsidP="008717CC">
      <w:pPr>
        <w:widowControl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本项目与《达州市矿产资源总体规划（</w:t>
      </w:r>
      <w:r w:rsidRPr="00E67914">
        <w:rPr>
          <w:rFonts w:ascii="Times New Roman" w:hAnsi="Times New Roman"/>
          <w:sz w:val="24"/>
          <w:lang w:eastAsia="zh-CN"/>
        </w:rPr>
        <w:t>2021-2025</w:t>
      </w:r>
      <w:r w:rsidRPr="00E67914">
        <w:rPr>
          <w:rFonts w:ascii="Times New Roman" w:hAnsi="Times New Roman"/>
          <w:sz w:val="24"/>
          <w:lang w:eastAsia="zh-CN"/>
        </w:rPr>
        <w:t>年）》符合性分析见下表。</w:t>
      </w:r>
    </w:p>
    <w:p w14:paraId="6217A224" w14:textId="47DBCE0D" w:rsidR="008717CC" w:rsidRPr="00E67914" w:rsidRDefault="008717CC" w:rsidP="008717CC">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2.7-1</w:t>
      </w:r>
      <w:r w:rsidR="00CB4B0C" w:rsidRPr="00E67914">
        <w:rPr>
          <w:rFonts w:ascii="Times New Roman" w:eastAsia="黑体" w:hAnsi="Times New Roman"/>
          <w:sz w:val="21"/>
          <w:szCs w:val="21"/>
          <w:lang w:eastAsia="zh-CN"/>
        </w:rPr>
        <w:t>2</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与《达州市矿产资源总体规划（</w:t>
      </w:r>
      <w:r w:rsidRPr="00E67914">
        <w:rPr>
          <w:rFonts w:ascii="Times New Roman" w:eastAsia="黑体" w:hAnsi="Times New Roman"/>
          <w:sz w:val="21"/>
          <w:szCs w:val="21"/>
          <w:lang w:eastAsia="zh-CN"/>
        </w:rPr>
        <w:t>2021-2025</w:t>
      </w:r>
      <w:r w:rsidRPr="00E67914">
        <w:rPr>
          <w:rFonts w:ascii="Times New Roman" w:eastAsia="黑体" w:hAnsi="Times New Roman"/>
          <w:sz w:val="21"/>
          <w:szCs w:val="21"/>
          <w:lang w:eastAsia="zh-CN"/>
        </w:rPr>
        <w:t>年）》符合性分析表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288"/>
        <w:gridCol w:w="2144"/>
        <w:gridCol w:w="864"/>
      </w:tblGrid>
      <w:tr w:rsidR="00E67914" w:rsidRPr="00E67914" w14:paraId="2CDAE55B" w14:textId="77777777" w:rsidTr="00FF4CEE">
        <w:trPr>
          <w:cantSplit/>
          <w:jc w:val="center"/>
        </w:trPr>
        <w:tc>
          <w:tcPr>
            <w:tcW w:w="3187" w:type="pct"/>
            <w:tcMar>
              <w:left w:w="57" w:type="dxa"/>
              <w:right w:w="57" w:type="dxa"/>
            </w:tcMar>
            <w:vAlign w:val="center"/>
          </w:tcPr>
          <w:p w14:paraId="3FB420B6" w14:textId="77777777" w:rsidR="008717CC" w:rsidRPr="00E67914" w:rsidRDefault="008717CC" w:rsidP="00267A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文件内容</w:t>
            </w:r>
          </w:p>
        </w:tc>
        <w:tc>
          <w:tcPr>
            <w:tcW w:w="1292" w:type="pct"/>
            <w:tcMar>
              <w:left w:w="57" w:type="dxa"/>
              <w:right w:w="57" w:type="dxa"/>
            </w:tcMar>
            <w:vAlign w:val="center"/>
          </w:tcPr>
          <w:p w14:paraId="7C57B397" w14:textId="77777777" w:rsidR="008717CC" w:rsidRPr="00E67914" w:rsidRDefault="008717CC" w:rsidP="00267A22">
            <w:pPr>
              <w:adjustRightInd w:val="0"/>
              <w:snapToGrid w:val="0"/>
              <w:jc w:val="center"/>
              <w:rPr>
                <w:rFonts w:ascii="Times New Roman" w:hAnsi="Times New Roman"/>
                <w:sz w:val="21"/>
                <w:szCs w:val="21"/>
              </w:rPr>
            </w:pPr>
            <w:r w:rsidRPr="00E67914">
              <w:rPr>
                <w:rFonts w:ascii="Times New Roman" w:hAnsi="Times New Roman"/>
                <w:sz w:val="21"/>
                <w:szCs w:val="21"/>
              </w:rPr>
              <w:t>本项目情况</w:t>
            </w:r>
          </w:p>
        </w:tc>
        <w:tc>
          <w:tcPr>
            <w:tcW w:w="521" w:type="pct"/>
            <w:tcMar>
              <w:left w:w="57" w:type="dxa"/>
              <w:right w:w="57" w:type="dxa"/>
            </w:tcMar>
            <w:vAlign w:val="center"/>
          </w:tcPr>
          <w:p w14:paraId="4B91A104" w14:textId="77777777" w:rsidR="008717CC" w:rsidRPr="00E67914" w:rsidRDefault="008717CC" w:rsidP="00267A22">
            <w:pPr>
              <w:adjustRightInd w:val="0"/>
              <w:snapToGrid w:val="0"/>
              <w:jc w:val="center"/>
              <w:rPr>
                <w:rFonts w:ascii="Times New Roman" w:hAnsi="Times New Roman"/>
                <w:sz w:val="21"/>
                <w:szCs w:val="21"/>
              </w:rPr>
            </w:pPr>
            <w:r w:rsidRPr="00E67914">
              <w:rPr>
                <w:rFonts w:ascii="Times New Roman" w:hAnsi="Times New Roman"/>
                <w:sz w:val="21"/>
                <w:szCs w:val="21"/>
              </w:rPr>
              <w:t>符合性</w:t>
            </w:r>
          </w:p>
        </w:tc>
      </w:tr>
      <w:tr w:rsidR="00E67914" w:rsidRPr="00E67914" w14:paraId="402B562C" w14:textId="77777777" w:rsidTr="00FF4CEE">
        <w:trPr>
          <w:cantSplit/>
          <w:jc w:val="center"/>
        </w:trPr>
        <w:tc>
          <w:tcPr>
            <w:tcW w:w="3187" w:type="pct"/>
            <w:tcMar>
              <w:left w:w="57" w:type="dxa"/>
              <w:right w:w="57" w:type="dxa"/>
            </w:tcMar>
            <w:vAlign w:val="center"/>
          </w:tcPr>
          <w:p w14:paraId="0BEF32BA" w14:textId="1B9406D5" w:rsidR="00FF4CEE" w:rsidRPr="00E67914" w:rsidRDefault="00FF4CEE" w:rsidP="008717CC">
            <w:pPr>
              <w:adjustRightInd w:val="0"/>
              <w:snapToGrid w:val="0"/>
              <w:jc w:val="center"/>
              <w:rPr>
                <w:rFonts w:ascii="Times New Roman" w:hAnsi="Times New Roman"/>
                <w:lang w:eastAsia="zh-CN"/>
              </w:rPr>
            </w:pPr>
            <w:r w:rsidRPr="00E67914">
              <w:rPr>
                <w:rFonts w:ascii="Times New Roman" w:hAnsi="Times New Roman"/>
                <w:lang w:eastAsia="zh-CN"/>
              </w:rPr>
              <w:t>···</w:t>
            </w:r>
            <w:r w:rsidRPr="00E67914">
              <w:rPr>
                <w:rFonts w:ascii="Times New Roman" w:hAnsi="Times New Roman"/>
                <w:lang w:eastAsia="zh-CN"/>
              </w:rPr>
              <w:t>到</w:t>
            </w:r>
            <w:r w:rsidRPr="00E67914">
              <w:rPr>
                <w:rFonts w:ascii="Times New Roman" w:hAnsi="Times New Roman"/>
                <w:lang w:eastAsia="zh-CN"/>
              </w:rPr>
              <w:t>2025</w:t>
            </w:r>
            <w:r w:rsidRPr="00E67914">
              <w:rPr>
                <w:rFonts w:ascii="Times New Roman" w:hAnsi="Times New Roman"/>
                <w:lang w:eastAsia="zh-CN"/>
              </w:rPr>
              <w:t>年，实现</w:t>
            </w:r>
            <w:r w:rsidRPr="00E67914">
              <w:rPr>
                <w:rFonts w:ascii="Times New Roman" w:hAnsi="Times New Roman"/>
                <w:b/>
                <w:bCs/>
                <w:lang w:eastAsia="zh-CN"/>
              </w:rPr>
              <w:t>天然气</w:t>
            </w:r>
            <w:r w:rsidRPr="00E67914">
              <w:rPr>
                <w:rFonts w:ascii="Times New Roman" w:hAnsi="Times New Roman"/>
                <w:lang w:eastAsia="zh-CN"/>
              </w:rPr>
              <w:t>、煤、石灰岩、地热等矿产资源储量</w:t>
            </w:r>
            <w:r w:rsidRPr="00E67914">
              <w:rPr>
                <w:rFonts w:ascii="Times New Roman" w:hAnsi="Times New Roman"/>
                <w:b/>
                <w:bCs/>
                <w:lang w:eastAsia="zh-CN"/>
              </w:rPr>
              <w:t>稳步增长</w:t>
            </w:r>
            <w:r w:rsidRPr="00E67914">
              <w:rPr>
                <w:rFonts w:ascii="Times New Roman" w:hAnsi="Times New Roman"/>
                <w:lang w:eastAsia="zh-CN"/>
              </w:rPr>
              <w:t>···</w:t>
            </w:r>
          </w:p>
        </w:tc>
        <w:tc>
          <w:tcPr>
            <w:tcW w:w="1292" w:type="pct"/>
            <w:vMerge w:val="restart"/>
            <w:tcMar>
              <w:left w:w="57" w:type="dxa"/>
              <w:right w:w="57" w:type="dxa"/>
            </w:tcMar>
            <w:vAlign w:val="center"/>
          </w:tcPr>
          <w:p w14:paraId="7279C775" w14:textId="6F321BEA" w:rsidR="00FF4CEE" w:rsidRPr="00E67914" w:rsidRDefault="00FF4CEE" w:rsidP="00267A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本项目属于天然气勘探试采项目，位于宣汉县</w:t>
            </w:r>
          </w:p>
        </w:tc>
        <w:tc>
          <w:tcPr>
            <w:tcW w:w="521" w:type="pct"/>
            <w:tcMar>
              <w:left w:w="57" w:type="dxa"/>
              <w:right w:w="57" w:type="dxa"/>
            </w:tcMar>
            <w:vAlign w:val="center"/>
          </w:tcPr>
          <w:p w14:paraId="44E5D50E" w14:textId="77777777" w:rsidR="00FF4CEE" w:rsidRPr="00E67914" w:rsidRDefault="00FF4CEE" w:rsidP="00267A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65716B41" w14:textId="77777777" w:rsidTr="00FF4CEE">
        <w:trPr>
          <w:cantSplit/>
          <w:jc w:val="center"/>
        </w:trPr>
        <w:tc>
          <w:tcPr>
            <w:tcW w:w="3187" w:type="pct"/>
            <w:tcMar>
              <w:left w:w="57" w:type="dxa"/>
              <w:right w:w="57" w:type="dxa"/>
            </w:tcMar>
            <w:vAlign w:val="center"/>
          </w:tcPr>
          <w:p w14:paraId="5995B8E3" w14:textId="7737EB0E" w:rsidR="00FF4CEE" w:rsidRPr="00E67914" w:rsidRDefault="00FF4CEE" w:rsidP="00FF4CE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到</w:t>
            </w:r>
            <w:r w:rsidRPr="00E67914">
              <w:rPr>
                <w:rFonts w:ascii="Times New Roman" w:hAnsi="Times New Roman"/>
                <w:sz w:val="21"/>
                <w:szCs w:val="21"/>
                <w:lang w:eastAsia="zh-CN"/>
              </w:rPr>
              <w:t>2035</w:t>
            </w:r>
            <w:r w:rsidRPr="00E67914">
              <w:rPr>
                <w:rFonts w:ascii="Times New Roman" w:hAnsi="Times New Roman"/>
                <w:sz w:val="21"/>
                <w:szCs w:val="21"/>
                <w:lang w:eastAsia="zh-CN"/>
              </w:rPr>
              <w:t>年，实现</w:t>
            </w:r>
            <w:r w:rsidRPr="00E67914">
              <w:rPr>
                <w:rFonts w:ascii="Times New Roman" w:hAnsi="Times New Roman"/>
                <w:b/>
                <w:bCs/>
                <w:sz w:val="21"/>
                <w:szCs w:val="21"/>
                <w:lang w:eastAsia="zh-CN"/>
              </w:rPr>
              <w:t>天然气（页岩气）找矿取得重大突破</w:t>
            </w:r>
            <w:r w:rsidRPr="00E67914">
              <w:rPr>
                <w:rFonts w:ascii="Times New Roman" w:hAnsi="Times New Roman"/>
                <w:sz w:val="21"/>
                <w:szCs w:val="21"/>
                <w:lang w:eastAsia="zh-CN"/>
              </w:rPr>
              <w:t>，加快建设万达开天然气锂钾综合利用集聚区，打造天然气、锂钾等千亿级特色产业集群，推进砂石资源基地建设</w:t>
            </w:r>
          </w:p>
        </w:tc>
        <w:tc>
          <w:tcPr>
            <w:tcW w:w="1292" w:type="pct"/>
            <w:vMerge/>
            <w:tcMar>
              <w:left w:w="57" w:type="dxa"/>
              <w:right w:w="57" w:type="dxa"/>
            </w:tcMar>
            <w:vAlign w:val="center"/>
          </w:tcPr>
          <w:p w14:paraId="5FE2D3AD" w14:textId="37415D9D" w:rsidR="00FF4CEE" w:rsidRPr="00E67914" w:rsidRDefault="00FF4CEE" w:rsidP="00267A22">
            <w:pPr>
              <w:adjustRightInd w:val="0"/>
              <w:snapToGrid w:val="0"/>
              <w:jc w:val="center"/>
              <w:rPr>
                <w:rFonts w:ascii="Times New Roman" w:hAnsi="Times New Roman"/>
                <w:sz w:val="21"/>
                <w:szCs w:val="21"/>
                <w:lang w:eastAsia="zh-CN"/>
              </w:rPr>
            </w:pPr>
          </w:p>
        </w:tc>
        <w:tc>
          <w:tcPr>
            <w:tcW w:w="521" w:type="pct"/>
            <w:tcMar>
              <w:left w:w="57" w:type="dxa"/>
              <w:right w:w="57" w:type="dxa"/>
            </w:tcMar>
            <w:vAlign w:val="center"/>
          </w:tcPr>
          <w:p w14:paraId="1BDF6D51" w14:textId="77777777" w:rsidR="00FF4CEE" w:rsidRPr="00E67914" w:rsidRDefault="00FF4CEE" w:rsidP="00267A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4EC57BAE" w14:textId="77777777" w:rsidTr="00FF4CEE">
        <w:trPr>
          <w:cantSplit/>
          <w:jc w:val="center"/>
        </w:trPr>
        <w:tc>
          <w:tcPr>
            <w:tcW w:w="3187" w:type="pct"/>
            <w:tcMar>
              <w:left w:w="57" w:type="dxa"/>
              <w:right w:w="57" w:type="dxa"/>
            </w:tcMar>
            <w:vAlign w:val="center"/>
          </w:tcPr>
          <w:p w14:paraId="745C24E0" w14:textId="785C93A9" w:rsidR="00FF4CEE" w:rsidRPr="00E67914" w:rsidRDefault="00FF4CEE" w:rsidP="00FF4CEE">
            <w:pPr>
              <w:adjustRightInd w:val="0"/>
              <w:snapToGrid w:val="0"/>
              <w:jc w:val="center"/>
              <w:rPr>
                <w:rFonts w:ascii="Times New Roman" w:hAnsi="Times New Roman"/>
                <w:sz w:val="21"/>
                <w:szCs w:val="21"/>
                <w:lang w:eastAsia="zh-CN"/>
              </w:rPr>
            </w:pPr>
            <w:r w:rsidRPr="00E67914">
              <w:rPr>
                <w:rFonts w:ascii="Times New Roman" w:hAnsi="Times New Roman"/>
                <w:b/>
                <w:bCs/>
                <w:sz w:val="21"/>
                <w:szCs w:val="21"/>
                <w:lang w:eastAsia="zh-CN"/>
              </w:rPr>
              <w:t>重点开采矿种</w:t>
            </w:r>
            <w:r w:rsidRPr="00E67914">
              <w:rPr>
                <w:rFonts w:ascii="Times New Roman" w:hAnsi="Times New Roman"/>
                <w:sz w:val="21"/>
                <w:szCs w:val="21"/>
                <w:lang w:eastAsia="zh-CN"/>
              </w:rPr>
              <w:t>：天然气、炼焦用煤、地热、石灰岩、砂岩及钾盐。在符合准入条件的前提下，优先出让采矿权，适度扩大开发规模，提高资源供应能力</w:t>
            </w:r>
          </w:p>
        </w:tc>
        <w:tc>
          <w:tcPr>
            <w:tcW w:w="1292" w:type="pct"/>
            <w:vMerge/>
            <w:tcMar>
              <w:left w:w="57" w:type="dxa"/>
              <w:right w:w="57" w:type="dxa"/>
            </w:tcMar>
            <w:vAlign w:val="center"/>
          </w:tcPr>
          <w:p w14:paraId="0DFFADE6" w14:textId="77777777" w:rsidR="00FF4CEE" w:rsidRPr="00E67914" w:rsidRDefault="00FF4CEE" w:rsidP="00267A22">
            <w:pPr>
              <w:adjustRightInd w:val="0"/>
              <w:snapToGrid w:val="0"/>
              <w:jc w:val="center"/>
              <w:rPr>
                <w:rFonts w:ascii="Times New Roman" w:hAnsi="Times New Roman"/>
                <w:sz w:val="21"/>
                <w:szCs w:val="21"/>
                <w:lang w:eastAsia="zh-CN"/>
              </w:rPr>
            </w:pPr>
          </w:p>
        </w:tc>
        <w:tc>
          <w:tcPr>
            <w:tcW w:w="521" w:type="pct"/>
            <w:tcMar>
              <w:left w:w="57" w:type="dxa"/>
              <w:right w:w="57" w:type="dxa"/>
            </w:tcMar>
            <w:vAlign w:val="center"/>
          </w:tcPr>
          <w:p w14:paraId="24BF023C" w14:textId="77777777" w:rsidR="00FF4CEE" w:rsidRPr="00E67914" w:rsidRDefault="00FF4CEE" w:rsidP="00267A22">
            <w:pPr>
              <w:adjustRightInd w:val="0"/>
              <w:snapToGrid w:val="0"/>
              <w:jc w:val="center"/>
              <w:rPr>
                <w:rFonts w:ascii="Times New Roman" w:hAnsi="Times New Roman"/>
                <w:sz w:val="21"/>
                <w:szCs w:val="21"/>
                <w:lang w:eastAsia="zh-CN"/>
              </w:rPr>
            </w:pPr>
          </w:p>
        </w:tc>
      </w:tr>
      <w:tr w:rsidR="00E67914" w:rsidRPr="00E67914" w14:paraId="356477BE" w14:textId="77777777" w:rsidTr="00FF4CEE">
        <w:trPr>
          <w:cantSplit/>
          <w:jc w:val="center"/>
        </w:trPr>
        <w:tc>
          <w:tcPr>
            <w:tcW w:w="3187" w:type="pct"/>
            <w:tcMar>
              <w:left w:w="57" w:type="dxa"/>
              <w:right w:w="57" w:type="dxa"/>
            </w:tcMar>
            <w:vAlign w:val="center"/>
          </w:tcPr>
          <w:p w14:paraId="3F2C7345" w14:textId="3DD41FAD" w:rsidR="00FF4CEE" w:rsidRPr="00E67914" w:rsidRDefault="00FF4CEE" w:rsidP="00FF4CE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lastRenderedPageBreak/>
              <w:t>中部能源化工勘查开发区。</w:t>
            </w:r>
            <w:r w:rsidRPr="00E67914">
              <w:rPr>
                <w:rFonts w:ascii="Times New Roman" w:hAnsi="Times New Roman"/>
                <w:b/>
                <w:bCs/>
                <w:sz w:val="21"/>
                <w:szCs w:val="21"/>
                <w:lang w:eastAsia="zh-CN"/>
              </w:rPr>
              <w:t>包括宣汉县</w:t>
            </w:r>
            <w:r w:rsidRPr="00E67914">
              <w:rPr>
                <w:rFonts w:ascii="Times New Roman" w:hAnsi="Times New Roman"/>
                <w:sz w:val="21"/>
                <w:szCs w:val="21"/>
                <w:lang w:eastAsia="zh-CN"/>
              </w:rPr>
              <w:t>、开江县。加强</w:t>
            </w:r>
            <w:r w:rsidRPr="00E67914">
              <w:rPr>
                <w:rFonts w:ascii="Times New Roman" w:hAnsi="Times New Roman"/>
                <w:b/>
                <w:bCs/>
                <w:sz w:val="21"/>
                <w:szCs w:val="21"/>
                <w:lang w:eastAsia="zh-CN"/>
              </w:rPr>
              <w:t>天然气</w:t>
            </w:r>
            <w:r w:rsidRPr="00E67914">
              <w:rPr>
                <w:rFonts w:ascii="Times New Roman" w:hAnsi="Times New Roman"/>
                <w:sz w:val="21"/>
                <w:szCs w:val="21"/>
                <w:lang w:eastAsia="zh-CN"/>
              </w:rPr>
              <w:t>、页岩气勘探开发，提升天然气资源综合利用水平</w:t>
            </w:r>
          </w:p>
        </w:tc>
        <w:tc>
          <w:tcPr>
            <w:tcW w:w="1292" w:type="pct"/>
            <w:vMerge/>
            <w:tcMar>
              <w:left w:w="57" w:type="dxa"/>
              <w:right w:w="57" w:type="dxa"/>
            </w:tcMar>
            <w:vAlign w:val="center"/>
          </w:tcPr>
          <w:p w14:paraId="274EEBC5" w14:textId="77777777" w:rsidR="00FF4CEE" w:rsidRPr="00E67914" w:rsidRDefault="00FF4CEE" w:rsidP="00267A22">
            <w:pPr>
              <w:adjustRightInd w:val="0"/>
              <w:snapToGrid w:val="0"/>
              <w:jc w:val="center"/>
              <w:rPr>
                <w:rFonts w:ascii="Times New Roman" w:hAnsi="Times New Roman"/>
                <w:sz w:val="21"/>
                <w:szCs w:val="21"/>
                <w:lang w:eastAsia="zh-CN"/>
              </w:rPr>
            </w:pPr>
          </w:p>
        </w:tc>
        <w:tc>
          <w:tcPr>
            <w:tcW w:w="521" w:type="pct"/>
            <w:tcMar>
              <w:left w:w="57" w:type="dxa"/>
              <w:right w:w="57" w:type="dxa"/>
            </w:tcMar>
            <w:vAlign w:val="center"/>
          </w:tcPr>
          <w:p w14:paraId="19B7A5E8" w14:textId="77777777" w:rsidR="00FF4CEE" w:rsidRPr="00E67914" w:rsidRDefault="00FF4CEE" w:rsidP="00267A22">
            <w:pPr>
              <w:adjustRightInd w:val="0"/>
              <w:snapToGrid w:val="0"/>
              <w:jc w:val="center"/>
              <w:rPr>
                <w:rFonts w:ascii="Times New Roman" w:hAnsi="Times New Roman"/>
                <w:sz w:val="21"/>
                <w:szCs w:val="21"/>
                <w:lang w:eastAsia="zh-CN"/>
              </w:rPr>
            </w:pPr>
          </w:p>
        </w:tc>
      </w:tr>
    </w:tbl>
    <w:p w14:paraId="2EA6F53E" w14:textId="29CE0DE9" w:rsidR="008717CC" w:rsidRPr="00E67914" w:rsidRDefault="00FF4CEE" w:rsidP="008717CC">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综上所述</w:t>
      </w:r>
      <w:r w:rsidR="008717CC" w:rsidRPr="00E67914">
        <w:rPr>
          <w:rFonts w:ascii="Times New Roman" w:hAnsi="Times New Roman"/>
          <w:sz w:val="24"/>
          <w:lang w:eastAsia="zh-CN"/>
        </w:rPr>
        <w:t>，</w:t>
      </w:r>
      <w:r w:rsidRPr="00E67914">
        <w:rPr>
          <w:rFonts w:ascii="Times New Roman" w:hAnsi="Times New Roman"/>
          <w:sz w:val="24"/>
          <w:lang w:eastAsia="zh-CN"/>
        </w:rPr>
        <w:t>本项目</w:t>
      </w:r>
      <w:r w:rsidR="008717CC" w:rsidRPr="00E67914">
        <w:rPr>
          <w:rFonts w:ascii="Times New Roman" w:hAnsi="Times New Roman"/>
          <w:sz w:val="24"/>
          <w:lang w:eastAsia="zh-CN"/>
        </w:rPr>
        <w:t>符合</w:t>
      </w:r>
      <w:r w:rsidRPr="00E67914">
        <w:rPr>
          <w:rFonts w:ascii="Times New Roman" w:hAnsi="Times New Roman"/>
          <w:sz w:val="24"/>
          <w:lang w:eastAsia="zh-CN"/>
        </w:rPr>
        <w:t>《达州市矿产资源总体规划（</w:t>
      </w:r>
      <w:r w:rsidRPr="00E67914">
        <w:rPr>
          <w:rFonts w:ascii="Times New Roman" w:hAnsi="Times New Roman"/>
          <w:sz w:val="24"/>
          <w:lang w:eastAsia="zh-CN"/>
        </w:rPr>
        <w:t>2021-2025</w:t>
      </w:r>
      <w:r w:rsidRPr="00E67914">
        <w:rPr>
          <w:rFonts w:ascii="Times New Roman" w:hAnsi="Times New Roman"/>
          <w:sz w:val="24"/>
          <w:lang w:eastAsia="zh-CN"/>
        </w:rPr>
        <w:t>年）》</w:t>
      </w:r>
      <w:r w:rsidR="008717CC" w:rsidRPr="00E67914">
        <w:rPr>
          <w:rFonts w:ascii="Times New Roman" w:hAnsi="Times New Roman"/>
          <w:sz w:val="24"/>
          <w:lang w:eastAsia="zh-CN"/>
        </w:rPr>
        <w:t>要求。</w:t>
      </w:r>
    </w:p>
    <w:p w14:paraId="60C15DB2" w14:textId="55694BD2" w:rsidR="00A54A8A" w:rsidRPr="00E67914" w:rsidRDefault="005931E5">
      <w:pPr>
        <w:widowControl w:val="0"/>
        <w:tabs>
          <w:tab w:val="left" w:pos="0"/>
        </w:tabs>
        <w:spacing w:line="360" w:lineRule="auto"/>
        <w:ind w:firstLineChars="200" w:firstLine="480"/>
        <w:jc w:val="both"/>
        <w:rPr>
          <w:rFonts w:ascii="Times New Roman" w:hAnsi="Times New Roman"/>
          <w:b/>
          <w:kern w:val="2"/>
          <w:sz w:val="24"/>
          <w:szCs w:val="24"/>
          <w:lang w:eastAsia="zh-CN"/>
        </w:rPr>
      </w:pPr>
      <w:r w:rsidRPr="00E67914">
        <w:rPr>
          <w:rFonts w:ascii="Times New Roman" w:hAnsi="Times New Roman"/>
          <w:bCs/>
          <w:kern w:val="2"/>
          <w:sz w:val="24"/>
          <w:szCs w:val="24"/>
          <w:lang w:eastAsia="zh-CN"/>
        </w:rPr>
        <w:t>9</w:t>
      </w:r>
      <w:r w:rsidRPr="00E67914">
        <w:rPr>
          <w:rFonts w:ascii="Times New Roman" w:hAnsi="Times New Roman"/>
          <w:bCs/>
          <w:kern w:val="2"/>
          <w:sz w:val="24"/>
          <w:szCs w:val="24"/>
          <w:lang w:eastAsia="zh-CN"/>
        </w:rPr>
        <w:t>、</w:t>
      </w:r>
      <w:r w:rsidRPr="00E67914">
        <w:rPr>
          <w:rFonts w:ascii="Times New Roman" w:eastAsia="黑体" w:hAnsi="Times New Roman"/>
          <w:sz w:val="24"/>
          <w:lang w:eastAsia="zh-CN"/>
        </w:rPr>
        <w:t>与《四川省国民经济和社会发展第十四个五年规划和二〇三五年远景目标纲要》的符合性分析</w:t>
      </w:r>
    </w:p>
    <w:p w14:paraId="74EBC1BC" w14:textId="77777777" w:rsidR="00A54A8A" w:rsidRPr="00E67914" w:rsidRDefault="00000000">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《四川省国民经济和社会发展第十四个五年规划和二〇三五年远景目标纲要》中，强调要打造中国</w:t>
      </w:r>
      <w:r w:rsidRPr="00E67914">
        <w:rPr>
          <w:rFonts w:ascii="Times New Roman" w:hAnsi="Times New Roman"/>
          <w:sz w:val="24"/>
          <w:lang w:eastAsia="zh-CN"/>
        </w:rPr>
        <w:t>“</w:t>
      </w:r>
      <w:r w:rsidRPr="00E67914">
        <w:rPr>
          <w:rFonts w:ascii="Times New Roman" w:hAnsi="Times New Roman"/>
          <w:sz w:val="24"/>
          <w:lang w:eastAsia="zh-CN"/>
        </w:rPr>
        <w:t>气大庆</w:t>
      </w:r>
      <w:r w:rsidRPr="00E67914">
        <w:rPr>
          <w:rFonts w:ascii="Times New Roman" w:hAnsi="Times New Roman"/>
          <w:sz w:val="24"/>
          <w:lang w:eastAsia="zh-CN"/>
        </w:rPr>
        <w:t>”</w:t>
      </w:r>
      <w:r w:rsidRPr="00E67914">
        <w:rPr>
          <w:rFonts w:ascii="Times New Roman" w:hAnsi="Times New Roman"/>
          <w:sz w:val="24"/>
          <w:lang w:eastAsia="zh-CN"/>
        </w:rPr>
        <w:t>，实施中国</w:t>
      </w:r>
      <w:r w:rsidRPr="00E67914">
        <w:rPr>
          <w:rFonts w:ascii="Times New Roman" w:hAnsi="Times New Roman"/>
          <w:sz w:val="24"/>
          <w:lang w:eastAsia="zh-CN"/>
        </w:rPr>
        <w:t>“</w:t>
      </w:r>
      <w:r w:rsidRPr="00E67914">
        <w:rPr>
          <w:rFonts w:ascii="Times New Roman" w:hAnsi="Times New Roman"/>
          <w:sz w:val="24"/>
          <w:lang w:eastAsia="zh-CN"/>
        </w:rPr>
        <w:t>气大庆</w:t>
      </w:r>
      <w:r w:rsidRPr="00E67914">
        <w:rPr>
          <w:rFonts w:ascii="Times New Roman" w:hAnsi="Times New Roman"/>
          <w:sz w:val="24"/>
          <w:lang w:eastAsia="zh-CN"/>
        </w:rPr>
        <w:t>”</w:t>
      </w:r>
      <w:r w:rsidRPr="00E67914">
        <w:rPr>
          <w:rFonts w:ascii="Times New Roman" w:hAnsi="Times New Roman"/>
          <w:sz w:val="24"/>
          <w:lang w:eastAsia="zh-CN"/>
        </w:rPr>
        <w:t>建设行动，加强天然气产供储销体系建设，建成全国最大天然气（页岩气）生产基地，天然气年产量力争达到</w:t>
      </w:r>
      <w:r w:rsidRPr="00E67914">
        <w:rPr>
          <w:rFonts w:ascii="Times New Roman" w:hAnsi="Times New Roman"/>
          <w:sz w:val="24"/>
          <w:lang w:eastAsia="zh-CN"/>
        </w:rPr>
        <w:t>630</w:t>
      </w:r>
      <w:r w:rsidRPr="00E67914">
        <w:rPr>
          <w:rFonts w:ascii="Times New Roman" w:hAnsi="Times New Roman"/>
          <w:sz w:val="24"/>
          <w:lang w:eastAsia="zh-CN"/>
        </w:rPr>
        <w:t>亿立方米。大力推进天然气（页岩气）勘探开发，完善资源开发利益共享机制，加快增储上产，重点实施川中安岳、川东北高含硫、川西致密气等气田滚动开发，加快川南长宁、威远、泸州等区块页岩气建设。优化城乡天然气输配网络，加快重点区域天然气长输管道建设，延伸和完善天然气支线管道，天然气管道达到</w:t>
      </w:r>
      <w:r w:rsidRPr="00E67914">
        <w:rPr>
          <w:rFonts w:ascii="Times New Roman" w:hAnsi="Times New Roman"/>
          <w:sz w:val="24"/>
          <w:lang w:eastAsia="zh-CN"/>
        </w:rPr>
        <w:t>2.25</w:t>
      </w:r>
      <w:r w:rsidRPr="00E67914">
        <w:rPr>
          <w:rFonts w:ascii="Times New Roman" w:hAnsi="Times New Roman"/>
          <w:sz w:val="24"/>
          <w:lang w:eastAsia="zh-CN"/>
        </w:rPr>
        <w:t>万公里以上，年输配能力达</w:t>
      </w:r>
      <w:r w:rsidRPr="00E67914">
        <w:rPr>
          <w:rFonts w:ascii="Times New Roman" w:hAnsi="Times New Roman"/>
          <w:sz w:val="24"/>
          <w:lang w:eastAsia="zh-CN"/>
        </w:rPr>
        <w:t>700</w:t>
      </w:r>
      <w:r w:rsidRPr="00E67914">
        <w:rPr>
          <w:rFonts w:ascii="Times New Roman" w:hAnsi="Times New Roman"/>
          <w:sz w:val="24"/>
          <w:lang w:eastAsia="zh-CN"/>
        </w:rPr>
        <w:t>亿立方米。</w:t>
      </w:r>
    </w:p>
    <w:p w14:paraId="13745232"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本项目处于川东北气田开发区块，项目开发建设可以加快川东北地区天然气产能开发，促进该地区的发展，因此本项目符合四川省国民经济和社会发展规划纲要。</w:t>
      </w:r>
    </w:p>
    <w:p w14:paraId="762EF620" w14:textId="437764E6" w:rsidR="00F55073" w:rsidRPr="00E67914" w:rsidRDefault="005931E5" w:rsidP="00F55073">
      <w:pPr>
        <w:widowControl w:val="0"/>
        <w:tabs>
          <w:tab w:val="left" w:pos="0"/>
        </w:tabs>
        <w:spacing w:line="360" w:lineRule="auto"/>
        <w:ind w:firstLineChars="200" w:firstLine="480"/>
        <w:jc w:val="both"/>
        <w:rPr>
          <w:rFonts w:ascii="Times New Roman" w:hAnsi="Times New Roman"/>
          <w:b/>
          <w:kern w:val="2"/>
          <w:sz w:val="24"/>
          <w:szCs w:val="24"/>
          <w:lang w:eastAsia="zh-CN"/>
        </w:rPr>
      </w:pPr>
      <w:r w:rsidRPr="00E67914">
        <w:rPr>
          <w:rFonts w:ascii="Times New Roman" w:hAnsi="Times New Roman"/>
          <w:bCs/>
          <w:kern w:val="2"/>
          <w:sz w:val="24"/>
          <w:szCs w:val="24"/>
          <w:lang w:eastAsia="zh-CN"/>
        </w:rPr>
        <w:t>10</w:t>
      </w:r>
      <w:r w:rsidR="00F55073" w:rsidRPr="00E67914">
        <w:rPr>
          <w:rFonts w:ascii="Times New Roman" w:hAnsi="Times New Roman"/>
          <w:bCs/>
          <w:kern w:val="2"/>
          <w:sz w:val="24"/>
          <w:szCs w:val="24"/>
          <w:lang w:eastAsia="zh-CN"/>
        </w:rPr>
        <w:t>、</w:t>
      </w:r>
      <w:r w:rsidR="00F55073" w:rsidRPr="00E67914">
        <w:rPr>
          <w:rFonts w:ascii="Times New Roman" w:eastAsia="黑体" w:hAnsi="Times New Roman"/>
          <w:sz w:val="24"/>
          <w:lang w:eastAsia="zh-CN"/>
        </w:rPr>
        <w:t>与《达州市国民经济和社会发展第十四个五年规划和二〇三五年远景目标纲要》的符合性分析</w:t>
      </w:r>
    </w:p>
    <w:p w14:paraId="02A51E24" w14:textId="21899CA4" w:rsidR="00F55073" w:rsidRPr="00E67914" w:rsidRDefault="00F55073" w:rsidP="00F55073">
      <w:pPr>
        <w:autoSpaceDE w:val="0"/>
        <w:autoSpaceDN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《达州市国民经济和社会发展第十四个五年规划和二〇三五年远景目标纲要》中，强调要打造中国</w:t>
      </w:r>
      <w:r w:rsidRPr="00E67914">
        <w:rPr>
          <w:rFonts w:ascii="Times New Roman" w:hAnsi="Times New Roman"/>
          <w:sz w:val="24"/>
          <w:lang w:eastAsia="zh-CN"/>
        </w:rPr>
        <w:t>“</w:t>
      </w:r>
      <w:r w:rsidRPr="00E67914">
        <w:rPr>
          <w:rFonts w:ascii="Times New Roman" w:hAnsi="Times New Roman"/>
          <w:sz w:val="24"/>
          <w:lang w:eastAsia="zh-CN"/>
        </w:rPr>
        <w:t>气大庆</w:t>
      </w:r>
      <w:r w:rsidRPr="00E67914">
        <w:rPr>
          <w:rFonts w:ascii="Times New Roman" w:hAnsi="Times New Roman"/>
          <w:sz w:val="24"/>
          <w:lang w:eastAsia="zh-CN"/>
        </w:rPr>
        <w:t>”</w:t>
      </w:r>
      <w:r w:rsidRPr="00E67914">
        <w:rPr>
          <w:rFonts w:ascii="Times New Roman" w:hAnsi="Times New Roman"/>
          <w:sz w:val="24"/>
          <w:lang w:eastAsia="zh-CN"/>
        </w:rPr>
        <w:t>，实施中国</w:t>
      </w:r>
      <w:r w:rsidRPr="00E67914">
        <w:rPr>
          <w:rFonts w:ascii="Times New Roman" w:hAnsi="Times New Roman"/>
          <w:sz w:val="24"/>
          <w:lang w:eastAsia="zh-CN"/>
        </w:rPr>
        <w:t>“</w:t>
      </w:r>
      <w:r w:rsidRPr="00E67914">
        <w:rPr>
          <w:rFonts w:ascii="Times New Roman" w:hAnsi="Times New Roman"/>
          <w:sz w:val="24"/>
          <w:lang w:eastAsia="zh-CN"/>
        </w:rPr>
        <w:t>气大庆</w:t>
      </w:r>
      <w:r w:rsidRPr="00E67914">
        <w:rPr>
          <w:rFonts w:ascii="Times New Roman" w:hAnsi="Times New Roman"/>
          <w:sz w:val="24"/>
          <w:lang w:eastAsia="zh-CN"/>
        </w:rPr>
        <w:t>”</w:t>
      </w:r>
      <w:r w:rsidRPr="00E67914">
        <w:rPr>
          <w:rFonts w:ascii="Times New Roman" w:hAnsi="Times New Roman"/>
          <w:sz w:val="24"/>
          <w:lang w:eastAsia="zh-CN"/>
        </w:rPr>
        <w:t>建设行动，加强天然气产供储销体系建设，建成全国最大天然气（页岩气）生产基地，天然气年产量力争达到</w:t>
      </w:r>
      <w:r w:rsidRPr="00E67914">
        <w:rPr>
          <w:rFonts w:ascii="Times New Roman" w:hAnsi="Times New Roman"/>
          <w:sz w:val="24"/>
          <w:lang w:eastAsia="zh-CN"/>
        </w:rPr>
        <w:t>630</w:t>
      </w:r>
      <w:r w:rsidRPr="00E67914">
        <w:rPr>
          <w:rFonts w:ascii="Times New Roman" w:hAnsi="Times New Roman"/>
          <w:sz w:val="24"/>
          <w:lang w:eastAsia="zh-CN"/>
        </w:rPr>
        <w:t>亿推进中国</w:t>
      </w:r>
      <w:r w:rsidRPr="00E67914">
        <w:rPr>
          <w:rFonts w:ascii="Times New Roman" w:hAnsi="Times New Roman"/>
          <w:sz w:val="24"/>
          <w:lang w:eastAsia="zh-CN"/>
        </w:rPr>
        <w:t>“</w:t>
      </w:r>
      <w:r w:rsidRPr="00E67914">
        <w:rPr>
          <w:rFonts w:ascii="Times New Roman" w:hAnsi="Times New Roman"/>
          <w:sz w:val="24"/>
          <w:lang w:eastAsia="zh-CN"/>
        </w:rPr>
        <w:t>气大庆</w:t>
      </w:r>
      <w:r w:rsidRPr="00E67914">
        <w:rPr>
          <w:rFonts w:ascii="Times New Roman" w:hAnsi="Times New Roman"/>
          <w:sz w:val="24"/>
          <w:lang w:eastAsia="zh-CN"/>
        </w:rPr>
        <w:t>”</w:t>
      </w:r>
      <w:r w:rsidRPr="00E67914">
        <w:rPr>
          <w:rFonts w:ascii="Times New Roman" w:hAnsi="Times New Roman"/>
          <w:sz w:val="24"/>
          <w:lang w:eastAsia="zh-CN"/>
        </w:rPr>
        <w:t>建设。对接国有油气企业混合所有制改革，探索央（企）地资源开发利益共享共赢发展模式。</w:t>
      </w:r>
      <w:r w:rsidRPr="00E67914">
        <w:rPr>
          <w:rFonts w:ascii="Times New Roman" w:hAnsi="Times New Roman"/>
          <w:b/>
          <w:bCs/>
          <w:sz w:val="24"/>
          <w:lang w:eastAsia="zh-CN"/>
        </w:rPr>
        <w:t>加大勘探开发力度，重点实施中石油川东北高含硫天然气开发项目（二期）、</w:t>
      </w:r>
      <w:r w:rsidRPr="00E67914">
        <w:rPr>
          <w:rFonts w:ascii="Times New Roman" w:hAnsi="Times New Roman"/>
          <w:sz w:val="24"/>
          <w:lang w:eastAsia="zh-CN"/>
        </w:rPr>
        <w:t>达州致密气勘探开发项目等天然气开发项目，统筹加强中石化普光气田新井和中石油其他区块产能建设，服务国家能源战略、保障天然气供应安全。全面规范提升天然气供应水平，完善天然气管网公平接入机制，推进市域输气管网与国家干网的互联互通，不断扩大天然气</w:t>
      </w:r>
      <w:r w:rsidRPr="00E67914">
        <w:rPr>
          <w:rFonts w:ascii="Times New Roman" w:hAnsi="Times New Roman"/>
          <w:sz w:val="24"/>
          <w:lang w:eastAsia="zh-CN"/>
        </w:rPr>
        <w:t>“</w:t>
      </w:r>
      <w:r w:rsidRPr="00E67914">
        <w:rPr>
          <w:rFonts w:ascii="Times New Roman" w:hAnsi="Times New Roman"/>
          <w:sz w:val="24"/>
          <w:lang w:eastAsia="zh-CN"/>
        </w:rPr>
        <w:t>直供</w:t>
      </w:r>
      <w:r w:rsidRPr="00E67914">
        <w:rPr>
          <w:rFonts w:ascii="Times New Roman" w:hAnsi="Times New Roman"/>
          <w:sz w:val="24"/>
          <w:lang w:eastAsia="zh-CN"/>
        </w:rPr>
        <w:t>”</w:t>
      </w:r>
      <w:r w:rsidRPr="00E67914">
        <w:rPr>
          <w:rFonts w:ascii="Times New Roman" w:hAnsi="Times New Roman"/>
          <w:sz w:val="24"/>
          <w:lang w:eastAsia="zh-CN"/>
        </w:rPr>
        <w:t>范围。努力提升天然气综合利用水平，因地制宜发展天然气分布式能源，支持建设四川省天然气调峰发电基地，建设川投气电清洁能源发电</w:t>
      </w:r>
      <w:r w:rsidRPr="00E67914">
        <w:rPr>
          <w:rFonts w:ascii="Times New Roman" w:hAnsi="Times New Roman"/>
          <w:sz w:val="24"/>
          <w:lang w:eastAsia="zh-CN"/>
        </w:rPr>
        <w:lastRenderedPageBreak/>
        <w:t>项目。有序发展天然气（</w:t>
      </w:r>
      <w:r w:rsidRPr="00E67914">
        <w:rPr>
          <w:rFonts w:ascii="Times New Roman" w:hAnsi="Times New Roman"/>
          <w:sz w:val="24"/>
          <w:lang w:eastAsia="zh-CN"/>
        </w:rPr>
        <w:t>LNG</w:t>
      </w:r>
      <w:r w:rsidRPr="00E67914">
        <w:rPr>
          <w:rFonts w:ascii="Times New Roman" w:hAnsi="Times New Roman"/>
          <w:sz w:val="24"/>
          <w:lang w:eastAsia="zh-CN"/>
        </w:rPr>
        <w:t>）车船，加快清洁汽车、船舶推广及加气（注）站建设步伐，提高</w:t>
      </w:r>
      <w:r w:rsidRPr="00E67914">
        <w:rPr>
          <w:rFonts w:ascii="Times New Roman" w:hAnsi="Times New Roman"/>
          <w:sz w:val="24"/>
          <w:lang w:eastAsia="zh-CN"/>
        </w:rPr>
        <w:t>LNG</w:t>
      </w:r>
      <w:r w:rsidRPr="00E67914">
        <w:rPr>
          <w:rFonts w:ascii="Times New Roman" w:hAnsi="Times New Roman"/>
          <w:sz w:val="24"/>
          <w:lang w:eastAsia="zh-CN"/>
        </w:rPr>
        <w:t>在长途公共交通、货运物流、内河船舶燃料中的比重，大力提升城市公共交通清洁能源（含新能源）使用率。</w:t>
      </w:r>
    </w:p>
    <w:p w14:paraId="3BFA45BD" w14:textId="64FAE1E6" w:rsidR="004B66A2" w:rsidRPr="00E67914" w:rsidRDefault="00F55073">
      <w:pPr>
        <w:widowControl w:val="0"/>
        <w:tabs>
          <w:tab w:val="left" w:pos="0"/>
        </w:tabs>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本项目属于</w:t>
      </w:r>
      <w:r w:rsidR="00746E16" w:rsidRPr="00E67914">
        <w:rPr>
          <w:rFonts w:ascii="Times New Roman" w:hAnsi="Times New Roman"/>
          <w:sz w:val="24"/>
          <w:lang w:eastAsia="zh-CN"/>
        </w:rPr>
        <w:t>页岩气</w:t>
      </w:r>
      <w:r w:rsidRPr="00E67914">
        <w:rPr>
          <w:rFonts w:ascii="Times New Roman" w:hAnsi="Times New Roman"/>
          <w:sz w:val="24"/>
          <w:lang w:eastAsia="zh-CN"/>
        </w:rPr>
        <w:t>勘探开发项目，因此本项目符合达州市国民经济和社会发展规划纲要。</w:t>
      </w:r>
    </w:p>
    <w:p w14:paraId="7081F63E" w14:textId="0B15BDAD" w:rsidR="00A54A8A" w:rsidRPr="00E67914" w:rsidRDefault="005931E5">
      <w:pPr>
        <w:widowControl w:val="0"/>
        <w:tabs>
          <w:tab w:val="left" w:pos="0"/>
        </w:tabs>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11</w:t>
      </w:r>
      <w:r w:rsidR="00F55073" w:rsidRPr="00E67914">
        <w:rPr>
          <w:rFonts w:ascii="Times New Roman" w:eastAsia="黑体" w:hAnsi="Times New Roman"/>
          <w:sz w:val="24"/>
          <w:lang w:eastAsia="zh-CN"/>
        </w:rPr>
        <w:t>、本项目与水源地合理性分析</w:t>
      </w:r>
    </w:p>
    <w:p w14:paraId="44D09D90" w14:textId="3E29EA69" w:rsidR="00A54A8A" w:rsidRPr="00E67914" w:rsidRDefault="00000000">
      <w:pPr>
        <w:pStyle w:val="afffffe"/>
        <w:ind w:firstLine="480"/>
      </w:pPr>
      <w:r w:rsidRPr="00E67914">
        <w:t>根据达州市人民政府《关于划定万源市、宣汉县和大竹县乡镇及以下集中式饮用水水源地保护区的批复》（达市府发</w:t>
      </w:r>
      <w:r w:rsidRPr="00E67914">
        <w:rPr>
          <w:kern w:val="2"/>
        </w:rPr>
        <w:t>〔</w:t>
      </w:r>
      <w:r w:rsidRPr="00E67914">
        <w:rPr>
          <w:kern w:val="2"/>
        </w:rPr>
        <w:t>2020</w:t>
      </w:r>
      <w:r w:rsidRPr="00E67914">
        <w:rPr>
          <w:kern w:val="2"/>
        </w:rPr>
        <w:t>〕</w:t>
      </w:r>
      <w:r w:rsidRPr="00E67914">
        <w:t>124</w:t>
      </w:r>
      <w:r w:rsidRPr="00E67914">
        <w:t>号）结合现场调查，项目所在地</w:t>
      </w:r>
      <w:r w:rsidR="00F55073" w:rsidRPr="00E67914">
        <w:t>及评价范围均</w:t>
      </w:r>
      <w:r w:rsidRPr="00E67914">
        <w:t>不涉及水源地保护区。</w:t>
      </w:r>
    </w:p>
    <w:p w14:paraId="6096F986" w14:textId="4F15030E" w:rsidR="0064101F" w:rsidRPr="00E67914" w:rsidRDefault="00801900">
      <w:pPr>
        <w:pStyle w:val="afffffe"/>
        <w:ind w:firstLine="480"/>
      </w:pPr>
      <w:r w:rsidRPr="00E67914">
        <w:t>距离本项目最近的集中式饮用水水源地为</w:t>
      </w:r>
      <w:r w:rsidRPr="00E67914">
        <w:rPr>
          <w:bCs/>
          <w:kern w:val="2"/>
          <w:szCs w:val="24"/>
        </w:rPr>
        <w:t>宣汉县普光镇千河沟徐家梁（村级）集中式饮用水水源地</w:t>
      </w:r>
      <w:r w:rsidR="0064101F" w:rsidRPr="00E67914">
        <w:t>（河流型），距离本项目约</w:t>
      </w:r>
      <w:r w:rsidRPr="00E67914">
        <w:t>4.4</w:t>
      </w:r>
      <w:r w:rsidR="0064101F" w:rsidRPr="00E67914">
        <w:t>km</w:t>
      </w:r>
      <w:r w:rsidR="0064101F" w:rsidRPr="00E67914">
        <w:t>，</w:t>
      </w:r>
      <w:r w:rsidRPr="00E67914">
        <w:t>中间相隔后河，</w:t>
      </w:r>
      <w:r w:rsidR="0064101F" w:rsidRPr="00E67914">
        <w:t>不在同一个地表水径流单元。</w:t>
      </w:r>
    </w:p>
    <w:p w14:paraId="400A76F2" w14:textId="77777777" w:rsidR="00A54A8A" w:rsidRPr="00E67914" w:rsidRDefault="00000000">
      <w:pPr>
        <w:pStyle w:val="3"/>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2.7.3</w:t>
      </w:r>
      <w:r w:rsidRPr="00E67914">
        <w:rPr>
          <w:rFonts w:ascii="Times New Roman" w:hAnsi="Times New Roman"/>
          <w:b w:val="0"/>
          <w:sz w:val="24"/>
          <w:szCs w:val="24"/>
          <w:lang w:eastAsia="zh-CN"/>
        </w:rPr>
        <w:t>“</w:t>
      </w:r>
      <w:r w:rsidRPr="00E67914">
        <w:rPr>
          <w:rFonts w:ascii="Times New Roman" w:eastAsia="黑体" w:hAnsi="Times New Roman"/>
          <w:b w:val="0"/>
          <w:sz w:val="24"/>
          <w:szCs w:val="24"/>
          <w:lang w:eastAsia="zh-CN"/>
        </w:rPr>
        <w:t>三线一单</w:t>
      </w:r>
      <w:r w:rsidRPr="00E67914">
        <w:rPr>
          <w:rFonts w:ascii="Times New Roman" w:hAnsi="Times New Roman"/>
          <w:b w:val="0"/>
          <w:sz w:val="24"/>
          <w:szCs w:val="24"/>
          <w:lang w:eastAsia="zh-CN"/>
        </w:rPr>
        <w:t>”</w:t>
      </w:r>
      <w:r w:rsidRPr="00E67914">
        <w:rPr>
          <w:rFonts w:ascii="Times New Roman" w:eastAsia="黑体" w:hAnsi="Times New Roman"/>
          <w:b w:val="0"/>
          <w:sz w:val="24"/>
          <w:szCs w:val="24"/>
          <w:lang w:eastAsia="zh-CN"/>
        </w:rPr>
        <w:t>符合性分析</w:t>
      </w:r>
    </w:p>
    <w:p w14:paraId="6C81FCCD"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1</w:t>
      </w:r>
      <w:r w:rsidRPr="00E67914">
        <w:rPr>
          <w:rFonts w:ascii="Times New Roman" w:eastAsia="黑体" w:hAnsi="Times New Roman"/>
          <w:sz w:val="24"/>
          <w:lang w:eastAsia="zh-CN"/>
        </w:rPr>
        <w:t>、项目与</w:t>
      </w:r>
      <w:r w:rsidRPr="00E67914">
        <w:rPr>
          <w:rFonts w:ascii="Times New Roman" w:eastAsia="黑体" w:hAnsi="Times New Roman"/>
          <w:sz w:val="24"/>
          <w:lang w:eastAsia="zh-CN"/>
        </w:rPr>
        <w:t>“</w:t>
      </w:r>
      <w:r w:rsidRPr="00E67914">
        <w:rPr>
          <w:rFonts w:ascii="Times New Roman" w:eastAsia="黑体" w:hAnsi="Times New Roman"/>
          <w:sz w:val="24"/>
          <w:lang w:eastAsia="zh-CN"/>
        </w:rPr>
        <w:t>三线一单</w:t>
      </w:r>
      <w:r w:rsidRPr="00E67914">
        <w:rPr>
          <w:rFonts w:ascii="Times New Roman" w:eastAsia="黑体" w:hAnsi="Times New Roman"/>
          <w:sz w:val="24"/>
          <w:lang w:eastAsia="zh-CN"/>
        </w:rPr>
        <w:t>”</w:t>
      </w:r>
      <w:r w:rsidRPr="00E67914">
        <w:rPr>
          <w:rFonts w:ascii="Times New Roman" w:eastAsia="黑体" w:hAnsi="Times New Roman"/>
          <w:sz w:val="24"/>
          <w:lang w:eastAsia="zh-CN"/>
        </w:rPr>
        <w:t>符合性</w:t>
      </w:r>
    </w:p>
    <w:p w14:paraId="51CC2AF9" w14:textId="77777777" w:rsidR="00A54A8A" w:rsidRPr="00E67914" w:rsidRDefault="00000000">
      <w:pPr>
        <w:widowControl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本次评价根据《项目环评</w:t>
      </w:r>
      <w:r w:rsidRPr="00E67914">
        <w:rPr>
          <w:rFonts w:ascii="Times New Roman" w:hAnsi="Times New Roman"/>
          <w:sz w:val="24"/>
          <w:szCs w:val="24"/>
          <w:lang w:eastAsia="zh-CN"/>
        </w:rPr>
        <w:t>“</w:t>
      </w:r>
      <w:r w:rsidRPr="00E67914">
        <w:rPr>
          <w:rFonts w:ascii="Times New Roman" w:hAnsi="Times New Roman"/>
          <w:sz w:val="24"/>
          <w:szCs w:val="24"/>
          <w:lang w:eastAsia="zh-CN"/>
        </w:rPr>
        <w:t>三线一单</w:t>
      </w:r>
      <w:r w:rsidRPr="00E67914">
        <w:rPr>
          <w:rFonts w:ascii="Times New Roman" w:hAnsi="Times New Roman"/>
          <w:sz w:val="24"/>
          <w:szCs w:val="24"/>
          <w:lang w:eastAsia="zh-CN"/>
        </w:rPr>
        <w:t>”</w:t>
      </w:r>
      <w:r w:rsidRPr="00E67914">
        <w:rPr>
          <w:rFonts w:ascii="Times New Roman" w:hAnsi="Times New Roman"/>
          <w:sz w:val="24"/>
          <w:szCs w:val="24"/>
          <w:lang w:eastAsia="zh-CN"/>
        </w:rPr>
        <w:t>符合性分析技术要点（试行）》（川环办函〔</w:t>
      </w:r>
      <w:r w:rsidRPr="00E67914">
        <w:rPr>
          <w:rFonts w:ascii="Times New Roman" w:hAnsi="Times New Roman"/>
          <w:sz w:val="24"/>
          <w:szCs w:val="24"/>
          <w:lang w:eastAsia="zh-CN"/>
        </w:rPr>
        <w:t>2021</w:t>
      </w:r>
      <w:r w:rsidRPr="00E67914">
        <w:rPr>
          <w:rFonts w:ascii="Times New Roman" w:hAnsi="Times New Roman"/>
          <w:sz w:val="24"/>
          <w:szCs w:val="24"/>
          <w:lang w:eastAsia="zh-CN"/>
        </w:rPr>
        <w:t>〕</w:t>
      </w:r>
      <w:r w:rsidRPr="00E67914">
        <w:rPr>
          <w:rFonts w:ascii="Times New Roman" w:hAnsi="Times New Roman"/>
          <w:sz w:val="24"/>
          <w:szCs w:val="24"/>
          <w:lang w:eastAsia="zh-CN"/>
        </w:rPr>
        <w:t>469</w:t>
      </w:r>
      <w:r w:rsidRPr="00E67914">
        <w:rPr>
          <w:rFonts w:ascii="Times New Roman" w:hAnsi="Times New Roman"/>
          <w:sz w:val="24"/>
          <w:szCs w:val="24"/>
          <w:lang w:eastAsia="zh-CN"/>
        </w:rPr>
        <w:t>号）相关要求对项目</w:t>
      </w:r>
      <w:r w:rsidRPr="00E67914">
        <w:rPr>
          <w:rFonts w:ascii="Times New Roman" w:hAnsi="Times New Roman"/>
          <w:sz w:val="24"/>
          <w:szCs w:val="24"/>
          <w:lang w:eastAsia="zh-CN"/>
        </w:rPr>
        <w:t>“</w:t>
      </w:r>
      <w:r w:rsidRPr="00E67914">
        <w:rPr>
          <w:rFonts w:ascii="Times New Roman" w:hAnsi="Times New Roman"/>
          <w:sz w:val="24"/>
          <w:szCs w:val="24"/>
          <w:lang w:eastAsia="zh-CN"/>
        </w:rPr>
        <w:t>三线一单</w:t>
      </w:r>
      <w:r w:rsidRPr="00E67914">
        <w:rPr>
          <w:rFonts w:ascii="Times New Roman" w:hAnsi="Times New Roman"/>
          <w:sz w:val="24"/>
          <w:szCs w:val="24"/>
          <w:lang w:eastAsia="zh-CN"/>
        </w:rPr>
        <w:t>”</w:t>
      </w:r>
      <w:r w:rsidRPr="00E67914">
        <w:rPr>
          <w:rFonts w:ascii="Times New Roman" w:hAnsi="Times New Roman"/>
          <w:sz w:val="24"/>
          <w:szCs w:val="24"/>
          <w:lang w:eastAsia="zh-CN"/>
        </w:rPr>
        <w:t>进行了符合性分析，具体如下。</w:t>
      </w:r>
    </w:p>
    <w:p w14:paraId="20997EE1" w14:textId="06FF39C8"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2.7-1</w:t>
      </w:r>
      <w:r w:rsidR="00CB4B0C" w:rsidRPr="00E67914">
        <w:rPr>
          <w:rFonts w:ascii="Times New Roman" w:eastAsia="黑体" w:hAnsi="Times New Roman"/>
          <w:sz w:val="21"/>
          <w:szCs w:val="21"/>
          <w:lang w:eastAsia="zh-CN"/>
        </w:rPr>
        <w:t>3</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项目与</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三线一单</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09"/>
        <w:gridCol w:w="6059"/>
        <w:gridCol w:w="828"/>
      </w:tblGrid>
      <w:tr w:rsidR="00E67914" w:rsidRPr="00E67914" w14:paraId="3378F042" w14:textId="77777777">
        <w:trPr>
          <w:jc w:val="center"/>
        </w:trPr>
        <w:tc>
          <w:tcPr>
            <w:tcW w:w="849" w:type="pct"/>
            <w:vAlign w:val="center"/>
          </w:tcPr>
          <w:p w14:paraId="3BA55136" w14:textId="77777777" w:rsidR="00A54A8A" w:rsidRPr="00E67914" w:rsidRDefault="00000000">
            <w:pPr>
              <w:jc w:val="center"/>
              <w:rPr>
                <w:rFonts w:ascii="Times New Roman" w:hAnsi="Times New Roman"/>
                <w:b/>
                <w:sz w:val="21"/>
                <w:szCs w:val="21"/>
              </w:rPr>
            </w:pPr>
            <w:r w:rsidRPr="00E67914">
              <w:rPr>
                <w:rFonts w:ascii="Times New Roman" w:hAnsi="Times New Roman"/>
                <w:b/>
                <w:sz w:val="21"/>
                <w:szCs w:val="21"/>
              </w:rPr>
              <w:t>类别</w:t>
            </w:r>
          </w:p>
        </w:tc>
        <w:tc>
          <w:tcPr>
            <w:tcW w:w="3652" w:type="pct"/>
            <w:vAlign w:val="center"/>
          </w:tcPr>
          <w:p w14:paraId="5029456E" w14:textId="77777777" w:rsidR="00A54A8A" w:rsidRPr="00E67914" w:rsidRDefault="00000000">
            <w:pPr>
              <w:jc w:val="center"/>
              <w:rPr>
                <w:rFonts w:ascii="Times New Roman" w:hAnsi="Times New Roman"/>
                <w:b/>
                <w:sz w:val="21"/>
                <w:szCs w:val="21"/>
                <w:lang w:eastAsia="zh-CN"/>
              </w:rPr>
            </w:pPr>
            <w:r w:rsidRPr="00E67914">
              <w:rPr>
                <w:rFonts w:ascii="Times New Roman" w:hAnsi="Times New Roman"/>
                <w:b/>
                <w:sz w:val="21"/>
                <w:szCs w:val="21"/>
                <w:lang w:eastAsia="zh-CN"/>
              </w:rPr>
              <w:t>项目与</w:t>
            </w:r>
            <w:r w:rsidRPr="00E67914">
              <w:rPr>
                <w:rFonts w:ascii="Times New Roman" w:hAnsi="Times New Roman"/>
                <w:b/>
                <w:sz w:val="21"/>
                <w:szCs w:val="21"/>
                <w:lang w:eastAsia="zh-CN"/>
              </w:rPr>
              <w:t>“</w:t>
            </w:r>
            <w:r w:rsidRPr="00E67914">
              <w:rPr>
                <w:rFonts w:ascii="Times New Roman" w:hAnsi="Times New Roman"/>
                <w:b/>
                <w:sz w:val="21"/>
                <w:szCs w:val="21"/>
                <w:lang w:eastAsia="zh-CN"/>
              </w:rPr>
              <w:t>三线一单</w:t>
            </w:r>
            <w:r w:rsidRPr="00E67914">
              <w:rPr>
                <w:rFonts w:ascii="Times New Roman" w:hAnsi="Times New Roman"/>
                <w:b/>
                <w:sz w:val="21"/>
                <w:szCs w:val="21"/>
                <w:lang w:eastAsia="zh-CN"/>
              </w:rPr>
              <w:t>”</w:t>
            </w:r>
            <w:r w:rsidRPr="00E67914">
              <w:rPr>
                <w:rFonts w:ascii="Times New Roman" w:hAnsi="Times New Roman"/>
                <w:b/>
                <w:sz w:val="21"/>
                <w:szCs w:val="21"/>
                <w:lang w:eastAsia="zh-CN"/>
              </w:rPr>
              <w:t>符合性分析</w:t>
            </w:r>
          </w:p>
        </w:tc>
        <w:tc>
          <w:tcPr>
            <w:tcW w:w="499" w:type="pct"/>
            <w:vAlign w:val="center"/>
          </w:tcPr>
          <w:p w14:paraId="5A596B5F" w14:textId="77777777" w:rsidR="00A54A8A" w:rsidRPr="00E67914" w:rsidRDefault="00000000">
            <w:pPr>
              <w:jc w:val="center"/>
              <w:rPr>
                <w:rFonts w:ascii="Times New Roman" w:hAnsi="Times New Roman"/>
                <w:b/>
                <w:sz w:val="21"/>
                <w:szCs w:val="21"/>
              </w:rPr>
            </w:pPr>
            <w:r w:rsidRPr="00E67914">
              <w:rPr>
                <w:rFonts w:ascii="Times New Roman" w:hAnsi="Times New Roman"/>
                <w:b/>
                <w:sz w:val="21"/>
                <w:szCs w:val="21"/>
              </w:rPr>
              <w:t>符合性</w:t>
            </w:r>
          </w:p>
        </w:tc>
      </w:tr>
      <w:tr w:rsidR="00E67914" w:rsidRPr="00E67914" w14:paraId="56529E15" w14:textId="77777777">
        <w:trPr>
          <w:trHeight w:val="317"/>
          <w:jc w:val="center"/>
        </w:trPr>
        <w:tc>
          <w:tcPr>
            <w:tcW w:w="849" w:type="pct"/>
            <w:vAlign w:val="center"/>
          </w:tcPr>
          <w:p w14:paraId="41A5D829"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rPr>
              <w:t>生态保护红线</w:t>
            </w:r>
          </w:p>
        </w:tc>
        <w:tc>
          <w:tcPr>
            <w:tcW w:w="3652" w:type="pct"/>
            <w:vAlign w:val="center"/>
          </w:tcPr>
          <w:p w14:paraId="126281FA" w14:textId="77777777" w:rsidR="00A54A8A" w:rsidRPr="00E67914" w:rsidRDefault="00000000">
            <w:pPr>
              <w:jc w:val="center"/>
              <w:rPr>
                <w:rFonts w:ascii="Times New Roman" w:hAnsi="Times New Roman"/>
                <w:bCs/>
                <w:sz w:val="21"/>
                <w:szCs w:val="21"/>
                <w:lang w:eastAsia="zh-CN"/>
              </w:rPr>
            </w:pPr>
            <w:r w:rsidRPr="00E67914">
              <w:rPr>
                <w:rFonts w:ascii="Times New Roman" w:hAnsi="Times New Roman"/>
                <w:bCs/>
                <w:sz w:val="21"/>
                <w:szCs w:val="21"/>
                <w:lang w:eastAsia="zh-CN"/>
              </w:rPr>
              <w:t>根据《四川省生态保护红线方案》（川府发〔</w:t>
            </w:r>
            <w:r w:rsidRPr="00E67914">
              <w:rPr>
                <w:rFonts w:ascii="Times New Roman" w:hAnsi="Times New Roman"/>
                <w:bCs/>
                <w:sz w:val="21"/>
                <w:szCs w:val="21"/>
                <w:lang w:eastAsia="zh-CN"/>
              </w:rPr>
              <w:t>2018</w:t>
            </w:r>
            <w:r w:rsidRPr="00E67914">
              <w:rPr>
                <w:rFonts w:ascii="Times New Roman" w:hAnsi="Times New Roman"/>
                <w:bCs/>
                <w:sz w:val="21"/>
                <w:szCs w:val="21"/>
                <w:lang w:eastAsia="zh-CN"/>
              </w:rPr>
              <w:t>〕</w:t>
            </w:r>
            <w:r w:rsidRPr="00E67914">
              <w:rPr>
                <w:rFonts w:ascii="Times New Roman" w:hAnsi="Times New Roman"/>
                <w:bCs/>
                <w:sz w:val="21"/>
                <w:szCs w:val="21"/>
                <w:lang w:eastAsia="zh-CN"/>
              </w:rPr>
              <w:t>24</w:t>
            </w:r>
            <w:r w:rsidRPr="00E67914">
              <w:rPr>
                <w:rFonts w:ascii="Times New Roman" w:hAnsi="Times New Roman"/>
                <w:bCs/>
                <w:sz w:val="21"/>
                <w:szCs w:val="21"/>
                <w:lang w:eastAsia="zh-CN"/>
              </w:rPr>
              <w:t>号）和达州市人民政府《关于落实生态保护红线、环境质量底线、资源利用上线制定生态环境准入清单实施生态环境分区管控的通知》（达市府发〔</w:t>
            </w:r>
            <w:r w:rsidRPr="00E67914">
              <w:rPr>
                <w:rFonts w:ascii="Times New Roman" w:hAnsi="Times New Roman"/>
                <w:bCs/>
                <w:sz w:val="21"/>
                <w:szCs w:val="21"/>
                <w:lang w:eastAsia="zh-CN"/>
              </w:rPr>
              <w:t>2021</w:t>
            </w:r>
            <w:r w:rsidRPr="00E67914">
              <w:rPr>
                <w:rFonts w:ascii="Times New Roman" w:hAnsi="Times New Roman"/>
                <w:bCs/>
                <w:sz w:val="21"/>
                <w:szCs w:val="21"/>
                <w:lang w:eastAsia="zh-CN"/>
              </w:rPr>
              <w:t>〕</w:t>
            </w:r>
            <w:r w:rsidRPr="00E67914">
              <w:rPr>
                <w:rFonts w:ascii="Times New Roman" w:hAnsi="Times New Roman"/>
                <w:bCs/>
                <w:sz w:val="21"/>
                <w:szCs w:val="21"/>
                <w:lang w:eastAsia="zh-CN"/>
              </w:rPr>
              <w:t>17</w:t>
            </w:r>
            <w:r w:rsidRPr="00E67914">
              <w:rPr>
                <w:rFonts w:ascii="Times New Roman" w:hAnsi="Times New Roman"/>
                <w:bCs/>
                <w:sz w:val="21"/>
                <w:szCs w:val="21"/>
                <w:lang w:eastAsia="zh-CN"/>
              </w:rPr>
              <w:t>号）项目所在地不在达州市生态保护红线范围内。</w:t>
            </w:r>
          </w:p>
        </w:tc>
        <w:tc>
          <w:tcPr>
            <w:tcW w:w="499" w:type="pct"/>
            <w:vAlign w:val="center"/>
          </w:tcPr>
          <w:p w14:paraId="68210891"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rPr>
              <w:t>符合</w:t>
            </w:r>
          </w:p>
        </w:tc>
      </w:tr>
      <w:tr w:rsidR="00E67914" w:rsidRPr="00E67914" w14:paraId="15BDF7C7" w14:textId="77777777">
        <w:trPr>
          <w:trHeight w:val="699"/>
          <w:jc w:val="center"/>
        </w:trPr>
        <w:tc>
          <w:tcPr>
            <w:tcW w:w="849" w:type="pct"/>
            <w:vAlign w:val="center"/>
          </w:tcPr>
          <w:p w14:paraId="3A876BB0"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rPr>
              <w:t>环境质量底线</w:t>
            </w:r>
          </w:p>
        </w:tc>
        <w:tc>
          <w:tcPr>
            <w:tcW w:w="3652" w:type="pct"/>
            <w:vAlign w:val="center"/>
          </w:tcPr>
          <w:p w14:paraId="783B1387"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lang w:eastAsia="zh-CN"/>
              </w:rPr>
              <w:t>项目所在区域的环境质量底线为：环境空气质量目标为《环境空气质量标准》（</w:t>
            </w:r>
            <w:r w:rsidRPr="00E67914">
              <w:rPr>
                <w:rFonts w:ascii="Times New Roman" w:hAnsi="Times New Roman"/>
                <w:bCs/>
                <w:sz w:val="21"/>
                <w:szCs w:val="21"/>
                <w:lang w:eastAsia="zh-CN"/>
              </w:rPr>
              <w:t>GB3095-2012</w:t>
            </w:r>
            <w:r w:rsidRPr="00E67914">
              <w:rPr>
                <w:rFonts w:ascii="Times New Roman" w:hAnsi="Times New Roman"/>
                <w:bCs/>
                <w:sz w:val="21"/>
                <w:szCs w:val="21"/>
                <w:lang w:eastAsia="zh-CN"/>
              </w:rPr>
              <w:t>）二级标准，水环境质量目标为《地表水环境质量标准》（</w:t>
            </w:r>
            <w:r w:rsidRPr="00E67914">
              <w:rPr>
                <w:rFonts w:ascii="Times New Roman" w:hAnsi="Times New Roman"/>
                <w:bCs/>
                <w:sz w:val="21"/>
                <w:szCs w:val="21"/>
                <w:lang w:eastAsia="zh-CN"/>
              </w:rPr>
              <w:t>GB3838-2002</w:t>
            </w:r>
            <w:r w:rsidRPr="00E67914">
              <w:rPr>
                <w:rFonts w:ascii="Times New Roman" w:hAnsi="Times New Roman"/>
                <w:bCs/>
                <w:sz w:val="21"/>
                <w:szCs w:val="21"/>
                <w:lang w:eastAsia="zh-CN"/>
              </w:rPr>
              <w:t>）</w:t>
            </w:r>
            <w:r w:rsidRPr="00E67914">
              <w:rPr>
                <w:rFonts w:ascii="Times New Roman" w:hAnsi="Times New Roman"/>
                <w:bCs/>
                <w:sz w:val="21"/>
                <w:szCs w:val="21"/>
                <w:lang w:eastAsia="zh-CN"/>
              </w:rPr>
              <w:t>III</w:t>
            </w:r>
            <w:r w:rsidRPr="00E67914">
              <w:rPr>
                <w:rFonts w:ascii="Times New Roman" w:hAnsi="Times New Roman"/>
                <w:bCs/>
                <w:sz w:val="21"/>
                <w:szCs w:val="21"/>
                <w:lang w:eastAsia="zh-CN"/>
              </w:rPr>
              <w:t>类标准和《地下水质量标准》（</w:t>
            </w:r>
            <w:r w:rsidRPr="00E67914">
              <w:rPr>
                <w:rFonts w:ascii="Times New Roman" w:hAnsi="Times New Roman"/>
                <w:bCs/>
                <w:sz w:val="21"/>
                <w:szCs w:val="21"/>
                <w:lang w:eastAsia="zh-CN"/>
              </w:rPr>
              <w:t>GB/T14848-2017</w:t>
            </w:r>
            <w:r w:rsidRPr="00E67914">
              <w:rPr>
                <w:rFonts w:ascii="Times New Roman" w:hAnsi="Times New Roman"/>
                <w:bCs/>
                <w:sz w:val="21"/>
                <w:szCs w:val="21"/>
                <w:lang w:eastAsia="zh-CN"/>
              </w:rPr>
              <w:t>）</w:t>
            </w:r>
            <w:r w:rsidRPr="00E67914">
              <w:rPr>
                <w:rFonts w:ascii="Times New Roman" w:hAnsi="Times New Roman"/>
                <w:bCs/>
                <w:sz w:val="21"/>
                <w:szCs w:val="21"/>
                <w:lang w:eastAsia="zh-CN"/>
              </w:rPr>
              <w:t>III</w:t>
            </w:r>
            <w:r w:rsidRPr="00E67914">
              <w:rPr>
                <w:rFonts w:ascii="Times New Roman" w:hAnsi="Times New Roman"/>
                <w:bCs/>
                <w:sz w:val="21"/>
                <w:szCs w:val="21"/>
                <w:lang w:eastAsia="zh-CN"/>
              </w:rPr>
              <w:t>类标准，声环境质量目标为《声环境质量标准》（</w:t>
            </w:r>
            <w:r w:rsidRPr="00E67914">
              <w:rPr>
                <w:rFonts w:ascii="Times New Roman" w:hAnsi="Times New Roman"/>
                <w:bCs/>
                <w:sz w:val="21"/>
                <w:szCs w:val="21"/>
                <w:lang w:eastAsia="zh-CN"/>
              </w:rPr>
              <w:t>GB3096-2008</w:t>
            </w:r>
            <w:r w:rsidRPr="00E67914">
              <w:rPr>
                <w:rFonts w:ascii="Times New Roman" w:hAnsi="Times New Roman"/>
                <w:bCs/>
                <w:sz w:val="21"/>
                <w:szCs w:val="21"/>
                <w:lang w:eastAsia="zh-CN"/>
              </w:rPr>
              <w:t>）</w:t>
            </w:r>
            <w:r w:rsidRPr="00E67914">
              <w:rPr>
                <w:rFonts w:ascii="Times New Roman" w:hAnsi="Times New Roman"/>
                <w:bCs/>
                <w:sz w:val="21"/>
                <w:szCs w:val="21"/>
                <w:lang w:eastAsia="zh-CN"/>
              </w:rPr>
              <w:t>2</w:t>
            </w:r>
            <w:r w:rsidRPr="00E67914">
              <w:rPr>
                <w:rFonts w:ascii="Times New Roman" w:hAnsi="Times New Roman"/>
                <w:bCs/>
                <w:sz w:val="21"/>
                <w:szCs w:val="21"/>
                <w:lang w:eastAsia="zh-CN"/>
              </w:rPr>
              <w:t>类，土壤环境质量目标为《土壤环境质量</w:t>
            </w:r>
            <w:r w:rsidRPr="00E67914">
              <w:rPr>
                <w:rFonts w:ascii="Times New Roman" w:hAnsi="Times New Roman"/>
                <w:bCs/>
                <w:sz w:val="21"/>
                <w:szCs w:val="21"/>
                <w:lang w:eastAsia="zh-CN"/>
              </w:rPr>
              <w:t xml:space="preserve"> </w:t>
            </w:r>
            <w:r w:rsidRPr="00E67914">
              <w:rPr>
                <w:rFonts w:ascii="Times New Roman" w:hAnsi="Times New Roman"/>
                <w:bCs/>
                <w:sz w:val="21"/>
                <w:szCs w:val="21"/>
                <w:lang w:eastAsia="zh-CN"/>
              </w:rPr>
              <w:t>建设用地土壤污染风险管控标准（试行）》（</w:t>
            </w:r>
            <w:r w:rsidRPr="00E67914">
              <w:rPr>
                <w:rFonts w:ascii="Times New Roman" w:hAnsi="Times New Roman"/>
                <w:bCs/>
                <w:sz w:val="21"/>
                <w:szCs w:val="21"/>
                <w:lang w:eastAsia="zh-CN"/>
              </w:rPr>
              <w:t>GB36600-2018</w:t>
            </w:r>
            <w:r w:rsidRPr="00E67914">
              <w:rPr>
                <w:rFonts w:ascii="Times New Roman" w:hAnsi="Times New Roman"/>
                <w:bCs/>
                <w:sz w:val="21"/>
                <w:szCs w:val="21"/>
                <w:lang w:eastAsia="zh-CN"/>
              </w:rPr>
              <w:t>）中风险筛选值。项目地环境质量现状较好，在严格执行环评提出的相关污染防治措施后，本项目对区域环境影响较小，环境质量可保持现有水平。</w:t>
            </w:r>
            <w:r w:rsidRPr="00E67914">
              <w:rPr>
                <w:rFonts w:ascii="Times New Roman" w:hAnsi="Times New Roman"/>
                <w:bCs/>
                <w:sz w:val="21"/>
                <w:szCs w:val="21"/>
              </w:rPr>
              <w:t>因此本项目不触及区域环境质量底线。</w:t>
            </w:r>
          </w:p>
        </w:tc>
        <w:tc>
          <w:tcPr>
            <w:tcW w:w="499" w:type="pct"/>
            <w:vAlign w:val="center"/>
          </w:tcPr>
          <w:p w14:paraId="0D692505"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rPr>
              <w:t>符合</w:t>
            </w:r>
          </w:p>
        </w:tc>
      </w:tr>
      <w:tr w:rsidR="00E67914" w:rsidRPr="00E67914" w14:paraId="397098DE" w14:textId="77777777">
        <w:trPr>
          <w:trHeight w:val="357"/>
          <w:jc w:val="center"/>
        </w:trPr>
        <w:tc>
          <w:tcPr>
            <w:tcW w:w="849" w:type="pct"/>
            <w:vAlign w:val="center"/>
          </w:tcPr>
          <w:p w14:paraId="33D7414B"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rPr>
              <w:t>资源利用上线</w:t>
            </w:r>
          </w:p>
        </w:tc>
        <w:tc>
          <w:tcPr>
            <w:tcW w:w="3652" w:type="pct"/>
            <w:vAlign w:val="center"/>
          </w:tcPr>
          <w:p w14:paraId="63F0B655" w14:textId="77777777" w:rsidR="00A54A8A" w:rsidRPr="00E67914" w:rsidRDefault="00000000">
            <w:pPr>
              <w:jc w:val="center"/>
              <w:rPr>
                <w:rFonts w:ascii="Times New Roman" w:hAnsi="Times New Roman"/>
                <w:bCs/>
                <w:sz w:val="21"/>
                <w:szCs w:val="21"/>
                <w:lang w:eastAsia="zh-CN"/>
              </w:rPr>
            </w:pPr>
            <w:r w:rsidRPr="00E67914">
              <w:rPr>
                <w:rFonts w:ascii="Times New Roman" w:hAnsi="Times New Roman"/>
                <w:bCs/>
                <w:sz w:val="21"/>
                <w:szCs w:val="21"/>
                <w:lang w:eastAsia="zh-CN"/>
              </w:rPr>
              <w:t>本项目为天然气井建设及天然气试采工程，主要为地区产业发展提供可靠的基础能源设施。本项目通过内部管理、设备选择、原辅材料的选用和管理、废物回收利用、污染治理等多方面采取合</w:t>
            </w:r>
            <w:r w:rsidRPr="00E67914">
              <w:rPr>
                <w:rFonts w:ascii="Times New Roman" w:hAnsi="Times New Roman"/>
                <w:bCs/>
                <w:sz w:val="21"/>
                <w:szCs w:val="21"/>
                <w:lang w:eastAsia="zh-CN"/>
              </w:rPr>
              <w:lastRenderedPageBreak/>
              <w:t>理可行的防治措施，以</w:t>
            </w:r>
            <w:r w:rsidRPr="00E67914">
              <w:rPr>
                <w:rFonts w:ascii="Times New Roman" w:hAnsi="Times New Roman"/>
                <w:bCs/>
                <w:sz w:val="21"/>
                <w:szCs w:val="21"/>
                <w:lang w:eastAsia="zh-CN"/>
              </w:rPr>
              <w:t>“</w:t>
            </w:r>
            <w:r w:rsidRPr="00E67914">
              <w:rPr>
                <w:rFonts w:ascii="Times New Roman" w:hAnsi="Times New Roman"/>
                <w:bCs/>
                <w:sz w:val="21"/>
                <w:szCs w:val="21"/>
                <w:lang w:eastAsia="zh-CN"/>
              </w:rPr>
              <w:t>节能、降耗、减污</w:t>
            </w:r>
            <w:r w:rsidRPr="00E67914">
              <w:rPr>
                <w:rFonts w:ascii="Times New Roman" w:hAnsi="Times New Roman"/>
                <w:bCs/>
                <w:sz w:val="21"/>
                <w:szCs w:val="21"/>
                <w:lang w:eastAsia="zh-CN"/>
              </w:rPr>
              <w:t>”</w:t>
            </w:r>
            <w:r w:rsidRPr="00E67914">
              <w:rPr>
                <w:rFonts w:ascii="Times New Roman" w:hAnsi="Times New Roman"/>
                <w:bCs/>
                <w:sz w:val="21"/>
                <w:szCs w:val="21"/>
                <w:lang w:eastAsia="zh-CN"/>
              </w:rPr>
              <w:t>为目标，有效地控制污染，资源消耗未达到区域资源利用上限。</w:t>
            </w:r>
          </w:p>
        </w:tc>
        <w:tc>
          <w:tcPr>
            <w:tcW w:w="499" w:type="pct"/>
            <w:vAlign w:val="center"/>
          </w:tcPr>
          <w:p w14:paraId="248FBDC9"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rPr>
              <w:lastRenderedPageBreak/>
              <w:t>符合</w:t>
            </w:r>
          </w:p>
        </w:tc>
      </w:tr>
      <w:tr w:rsidR="00E67914" w:rsidRPr="00E67914" w14:paraId="04830308" w14:textId="77777777">
        <w:trPr>
          <w:trHeight w:val="718"/>
          <w:jc w:val="center"/>
        </w:trPr>
        <w:tc>
          <w:tcPr>
            <w:tcW w:w="849" w:type="pct"/>
            <w:vAlign w:val="center"/>
          </w:tcPr>
          <w:p w14:paraId="2FA5561D"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rPr>
              <w:t>环境准入负面清单</w:t>
            </w:r>
          </w:p>
        </w:tc>
        <w:tc>
          <w:tcPr>
            <w:tcW w:w="3652" w:type="pct"/>
            <w:vAlign w:val="center"/>
          </w:tcPr>
          <w:p w14:paraId="74E56BBA" w14:textId="77777777" w:rsidR="00A54A8A" w:rsidRPr="00E67914" w:rsidRDefault="00000000">
            <w:pPr>
              <w:jc w:val="center"/>
              <w:rPr>
                <w:rFonts w:ascii="Times New Roman" w:hAnsi="Times New Roman"/>
                <w:bCs/>
                <w:sz w:val="21"/>
                <w:szCs w:val="21"/>
                <w:lang w:eastAsia="zh-CN"/>
              </w:rPr>
            </w:pPr>
            <w:r w:rsidRPr="00E67914">
              <w:rPr>
                <w:rFonts w:ascii="Times New Roman" w:hAnsi="Times New Roman"/>
                <w:bCs/>
                <w:sz w:val="21"/>
                <w:szCs w:val="21"/>
                <w:lang w:eastAsia="zh-CN"/>
              </w:rPr>
              <w:t>本项目符合国家产业政策，项目采取有效的三</w:t>
            </w:r>
            <w:r w:rsidRPr="00E67914">
              <w:rPr>
                <w:rFonts w:ascii="Times New Roman" w:hAnsi="Times New Roman"/>
                <w:bCs/>
                <w:kern w:val="2"/>
                <w:sz w:val="21"/>
                <w:szCs w:val="21"/>
                <w:lang w:eastAsia="zh-CN"/>
              </w:rPr>
              <w:t>废治理</w:t>
            </w:r>
            <w:r w:rsidRPr="00E67914">
              <w:rPr>
                <w:rFonts w:ascii="Times New Roman" w:hAnsi="Times New Roman"/>
                <w:bCs/>
                <w:sz w:val="21"/>
                <w:szCs w:val="21"/>
                <w:lang w:eastAsia="zh-CN"/>
              </w:rPr>
              <w:t>措施，具备污染物控制处理的条件，符合当地环保规划的要求。根据四川省政府常务会议</w:t>
            </w:r>
            <w:r w:rsidRPr="00E67914">
              <w:rPr>
                <w:rFonts w:ascii="Times New Roman" w:hAnsi="Times New Roman"/>
                <w:bCs/>
                <w:sz w:val="21"/>
                <w:szCs w:val="21"/>
                <w:lang w:eastAsia="zh-CN"/>
              </w:rPr>
              <w:t>2019</w:t>
            </w:r>
            <w:r w:rsidRPr="00E67914">
              <w:rPr>
                <w:rFonts w:ascii="Times New Roman" w:hAnsi="Times New Roman"/>
                <w:bCs/>
                <w:sz w:val="21"/>
                <w:szCs w:val="21"/>
                <w:lang w:eastAsia="zh-CN"/>
              </w:rPr>
              <w:t>年</w:t>
            </w:r>
            <w:r w:rsidRPr="00E67914">
              <w:rPr>
                <w:rFonts w:ascii="Times New Roman" w:hAnsi="Times New Roman"/>
                <w:bCs/>
                <w:sz w:val="21"/>
                <w:szCs w:val="21"/>
                <w:lang w:eastAsia="zh-CN"/>
              </w:rPr>
              <w:t>8</w:t>
            </w:r>
            <w:r w:rsidRPr="00E67914">
              <w:rPr>
                <w:rFonts w:ascii="Times New Roman" w:hAnsi="Times New Roman"/>
                <w:bCs/>
                <w:sz w:val="21"/>
                <w:szCs w:val="21"/>
                <w:lang w:eastAsia="zh-CN"/>
              </w:rPr>
              <w:t>月</w:t>
            </w:r>
            <w:r w:rsidRPr="00E67914">
              <w:rPr>
                <w:rFonts w:ascii="Times New Roman" w:hAnsi="Times New Roman"/>
                <w:bCs/>
                <w:sz w:val="21"/>
                <w:szCs w:val="21"/>
                <w:lang w:eastAsia="zh-CN"/>
              </w:rPr>
              <w:t>19</w:t>
            </w:r>
            <w:r w:rsidRPr="00E67914">
              <w:rPr>
                <w:rFonts w:ascii="Times New Roman" w:hAnsi="Times New Roman"/>
                <w:bCs/>
                <w:sz w:val="21"/>
                <w:szCs w:val="21"/>
                <w:lang w:eastAsia="zh-CN"/>
              </w:rPr>
              <w:t>日审议通过的相关实施细则，对长江经济带发展实行负面清单管控，明确列出了禁止投资建设的项目类别，管控重点为污染物排放量大、产能过剩严重、环境问题突出的产业，本项目为天然气勘探试采工程，不属于环境准入负面清单中的项目。</w:t>
            </w:r>
          </w:p>
        </w:tc>
        <w:tc>
          <w:tcPr>
            <w:tcW w:w="499" w:type="pct"/>
            <w:vAlign w:val="center"/>
          </w:tcPr>
          <w:p w14:paraId="2062AC91" w14:textId="77777777" w:rsidR="00A54A8A" w:rsidRPr="00E67914" w:rsidRDefault="00000000">
            <w:pPr>
              <w:jc w:val="center"/>
              <w:rPr>
                <w:rFonts w:ascii="Times New Roman" w:hAnsi="Times New Roman"/>
                <w:bCs/>
                <w:sz w:val="21"/>
                <w:szCs w:val="21"/>
              </w:rPr>
            </w:pPr>
            <w:r w:rsidRPr="00E67914">
              <w:rPr>
                <w:rFonts w:ascii="Times New Roman" w:hAnsi="Times New Roman"/>
                <w:bCs/>
                <w:sz w:val="21"/>
                <w:szCs w:val="21"/>
              </w:rPr>
              <w:t>符合</w:t>
            </w:r>
          </w:p>
        </w:tc>
      </w:tr>
    </w:tbl>
    <w:p w14:paraId="645C65CF" w14:textId="77777777" w:rsidR="00A54A8A" w:rsidRPr="00E67914" w:rsidRDefault="00000000">
      <w:pPr>
        <w:widowControl w:val="0"/>
        <w:spacing w:line="360" w:lineRule="auto"/>
        <w:ind w:firstLineChars="200" w:firstLine="482"/>
        <w:jc w:val="both"/>
        <w:rPr>
          <w:rFonts w:ascii="Times New Roman" w:hAnsi="Times New Roman"/>
          <w:sz w:val="24"/>
          <w:szCs w:val="24"/>
          <w:lang w:eastAsia="zh-CN"/>
        </w:rPr>
      </w:pPr>
      <w:r w:rsidRPr="00E67914">
        <w:rPr>
          <w:rFonts w:ascii="Times New Roman" w:hAnsi="Times New Roman"/>
          <w:b/>
          <w:sz w:val="24"/>
          <w:szCs w:val="24"/>
          <w:lang w:eastAsia="zh-CN"/>
        </w:rPr>
        <w:t>综上所述，本项目不在生态保护红线内、未超出环境质量底线及资源利用上线、不属于当地环境准入负面清单所列项目，不在四川省、重庆市长江经济带发展负面清单内。</w:t>
      </w:r>
    </w:p>
    <w:p w14:paraId="47BAB188" w14:textId="77777777" w:rsidR="00A54A8A" w:rsidRPr="00E67914" w:rsidRDefault="00000000">
      <w:pPr>
        <w:widowControl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本项目与达州市环境管控单元位置关系见下图。</w:t>
      </w:r>
    </w:p>
    <w:p w14:paraId="6039877F" w14:textId="77777777" w:rsidR="00A54A8A" w:rsidRPr="00E67914" w:rsidRDefault="00000000">
      <w:pPr>
        <w:pStyle w:val="1L"/>
      </w:pPr>
      <w:r w:rsidRPr="00E67914">
        <w:rPr>
          <w:noProof/>
        </w:rPr>
        <mc:AlternateContent>
          <mc:Choice Requires="wps">
            <w:drawing>
              <wp:anchor distT="0" distB="0" distL="114300" distR="114300" simplePos="0" relativeHeight="251669504" behindDoc="0" locked="0" layoutInCell="1" allowOverlap="1" wp14:anchorId="4C7B63D6" wp14:editId="3C08822A">
                <wp:simplePos x="0" y="0"/>
                <wp:positionH relativeFrom="column">
                  <wp:posOffset>2287270</wp:posOffset>
                </wp:positionH>
                <wp:positionV relativeFrom="paragraph">
                  <wp:posOffset>951342</wp:posOffset>
                </wp:positionV>
                <wp:extent cx="995045" cy="356235"/>
                <wp:effectExtent l="133350" t="0" r="14605" b="272415"/>
                <wp:wrapNone/>
                <wp:docPr id="10" name="对话气泡: 圆角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045" cy="356235"/>
                        </a:xfrm>
                        <a:prstGeom prst="wedgeRoundRectCallout">
                          <a:avLst>
                            <a:gd name="adj1" fmla="val -58861"/>
                            <a:gd name="adj2" fmla="val 108227"/>
                            <a:gd name="adj3" fmla="val 16667"/>
                          </a:avLst>
                        </a:prstGeom>
                        <a:solidFill>
                          <a:srgbClr val="FFFFFF"/>
                        </a:solidFill>
                        <a:ln w="9525" cmpd="sng">
                          <a:solidFill>
                            <a:srgbClr val="000000"/>
                          </a:solidFill>
                          <a:miter lim="800000"/>
                        </a:ln>
                      </wps:spPr>
                      <wps:txbx>
                        <w:txbxContent>
                          <w:p w14:paraId="48AFFACE" w14:textId="77777777" w:rsidR="00A54A8A" w:rsidRDefault="00000000">
                            <w:r>
                              <w:rPr>
                                <w:rFonts w:hint="eastAsia"/>
                              </w:rPr>
                              <w:t>项目所在地</w:t>
                            </w:r>
                          </w:p>
                        </w:txbxContent>
                      </wps:txbx>
                      <wps:bodyPr rot="0" vert="horz" wrap="square" lIns="91440" tIns="45720" rIns="91440" bIns="45720" anchor="t" anchorCtr="0" upright="1">
                        <a:noAutofit/>
                      </wps:bodyPr>
                    </wps:wsp>
                  </a:graphicData>
                </a:graphic>
              </wp:anchor>
            </w:drawing>
          </mc:Choice>
          <mc:Fallback>
            <w:pict>
              <v:shapetype w14:anchorId="4C7B63D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0" o:spid="_x0000_s1033" type="#_x0000_t62" style="position:absolute;left:0;text-align:left;margin-left:180.1pt;margin-top:74.9pt;width:78.35pt;height:28.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" adj="-1914,34177">
                <v:textbox>
                  <w:txbxContent>
                    <w:p w14:paraId="48AFFACE" w14:textId="77777777" w:rsidR="00A54A8A" w:rsidRDefault="00000000">
                      <w:r>
                        <w:rPr>
                          <w:rFonts w:hint="eastAsia"/>
                        </w:rPr>
                        <w:t>项目所在地</w:t>
                      </w:r>
                    </w:p>
                  </w:txbxContent>
                </v:textbox>
              </v:shape>
            </w:pict>
          </mc:Fallback>
        </mc:AlternateContent>
      </w:r>
      <w:r w:rsidRPr="00E67914">
        <w:rPr>
          <w:noProof/>
        </w:rPr>
        <w:drawing>
          <wp:inline distT="0" distB="0" distL="0" distR="0" wp14:anchorId="27FD97EA" wp14:editId="46B9B031">
            <wp:extent cx="5024120" cy="3275330"/>
            <wp:effectExtent l="0" t="0" r="5080" b="1270"/>
            <wp:docPr id="1792" name="图片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图片 1792"/>
                    <pic:cNvPicPr>
                      <a:picLocks noChangeAspect="1" noChangeArrowheads="1"/>
                    </pic:cNvPicPr>
                  </pic:nvPicPr>
                  <pic:blipFill>
                    <a:blip r:embed="rId17" cstate="print">
                      <a:extLst>
                        <a:ext uri="{28A0092B-C50C-407E-A947-70E740481C1C}">
                          <a14:useLocalDpi xmlns:a14="http://schemas.microsoft.com/office/drawing/2010/main" val="0"/>
                        </a:ext>
                      </a:extLst>
                    </a:blip>
                    <a:srcRect t="4350" b="3275"/>
                    <a:stretch>
                      <a:fillRect/>
                    </a:stretch>
                  </pic:blipFill>
                  <pic:spPr>
                    <a:xfrm>
                      <a:off x="0" y="0"/>
                      <a:ext cx="5037977" cy="3284450"/>
                    </a:xfrm>
                    <a:prstGeom prst="rect">
                      <a:avLst/>
                    </a:prstGeom>
                    <a:noFill/>
                    <a:ln>
                      <a:noFill/>
                    </a:ln>
                  </pic:spPr>
                </pic:pic>
              </a:graphicData>
            </a:graphic>
          </wp:inline>
        </w:drawing>
      </w:r>
    </w:p>
    <w:p w14:paraId="22357998"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2.7-1  </w:t>
      </w:r>
      <w:r w:rsidRPr="00E67914">
        <w:rPr>
          <w:rFonts w:ascii="Times New Roman" w:eastAsia="黑体" w:hAnsi="Times New Roman"/>
          <w:sz w:val="21"/>
          <w:szCs w:val="21"/>
          <w:lang w:eastAsia="zh-CN"/>
        </w:rPr>
        <w:t>项目与达州市环境管控单元位置关系图</w:t>
      </w:r>
    </w:p>
    <w:p w14:paraId="58F3C0DC" w14:textId="77777777" w:rsidR="00424910" w:rsidRPr="00E67914" w:rsidRDefault="00424910" w:rsidP="00424910">
      <w:pPr>
        <w:pStyle w:val="1L"/>
      </w:pPr>
    </w:p>
    <w:p w14:paraId="1A3A95CF" w14:textId="59F474A1" w:rsidR="00424910" w:rsidRPr="00E67914" w:rsidRDefault="00B8457C" w:rsidP="00424910">
      <w:pPr>
        <w:pStyle w:val="1L"/>
      </w:pPr>
      <w:r w:rsidRPr="00E67914">
        <w:rPr>
          <w:b/>
          <w:bCs w:val="0"/>
          <w:noProof/>
        </w:rPr>
        <w:lastRenderedPageBreak/>
        <mc:AlternateContent>
          <mc:Choice Requires="wps">
            <w:drawing>
              <wp:anchor distT="0" distB="0" distL="114300" distR="114300" simplePos="0" relativeHeight="251737088" behindDoc="0" locked="0" layoutInCell="1" allowOverlap="1" wp14:anchorId="1517DF40" wp14:editId="07C6B011">
                <wp:simplePos x="0" y="0"/>
                <wp:positionH relativeFrom="column">
                  <wp:posOffset>2133600</wp:posOffset>
                </wp:positionH>
                <wp:positionV relativeFrom="paragraph">
                  <wp:posOffset>1657350</wp:posOffset>
                </wp:positionV>
                <wp:extent cx="45085" cy="45085"/>
                <wp:effectExtent l="6350" t="13970" r="5715" b="7620"/>
                <wp:wrapNone/>
                <wp:docPr id="358887444" name="椭圆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A0827E" id="椭圆 2" o:spid="_x0000_s1026" style="position:absolute;left:0;text-align:left;margin-left:168pt;margin-top:130.5pt;width:3.55pt;height:3.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" fillcolor="red" strokecolor="red"/>
            </w:pict>
          </mc:Fallback>
        </mc:AlternateContent>
      </w:r>
      <w:r w:rsidRPr="00E67914">
        <w:rPr>
          <w:b/>
          <w:bCs w:val="0"/>
          <w:noProof/>
        </w:rPr>
        <mc:AlternateContent>
          <mc:Choice Requires="wps">
            <w:drawing>
              <wp:anchor distT="0" distB="0" distL="114300" distR="114300" simplePos="0" relativeHeight="251736064" behindDoc="0" locked="0" layoutInCell="1" allowOverlap="1" wp14:anchorId="04E9B6D6" wp14:editId="4BA61EED">
                <wp:simplePos x="0" y="0"/>
                <wp:positionH relativeFrom="column">
                  <wp:posOffset>926465</wp:posOffset>
                </wp:positionH>
                <wp:positionV relativeFrom="paragraph">
                  <wp:posOffset>908685</wp:posOffset>
                </wp:positionV>
                <wp:extent cx="1218565" cy="317500"/>
                <wp:effectExtent l="0" t="0" r="57785" b="520700"/>
                <wp:wrapNone/>
                <wp:docPr id="270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8565" cy="317500"/>
                        </a:xfrm>
                        <a:prstGeom prst="wedgeRectCallout">
                          <a:avLst>
                            <a:gd name="adj1" fmla="val 50157"/>
                            <a:gd name="adj2" fmla="val 191000"/>
                          </a:avLst>
                        </a:prstGeom>
                        <a:solidFill>
                          <a:srgbClr val="FFFFFF"/>
                        </a:solidFill>
                        <a:ln w="9525">
                          <a:solidFill>
                            <a:srgbClr val="000000"/>
                          </a:solidFill>
                          <a:miter lim="800000"/>
                          <a:headEnd/>
                          <a:tailEnd/>
                        </a:ln>
                      </wps:spPr>
                      <wps:txbx>
                        <w:txbxContent>
                          <w:p w14:paraId="528A5FA3" w14:textId="77777777" w:rsidR="00424910" w:rsidRDefault="00424910" w:rsidP="00424910">
                            <w:pPr>
                              <w:jc w:val="center"/>
                            </w:pPr>
                            <w:r>
                              <w:rPr>
                                <w:rFonts w:hint="eastAsia"/>
                              </w:rPr>
                              <w:t>本项目所在位置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9B6D6" id="对话气泡: 矩形 3" o:spid="_x0000_s1034" type="#_x0000_t61" style="position:absolute;left:0;text-align:left;margin-left:72.95pt;margin-top:71.55pt;width:95.95pt;height: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" adj="21634,52056">
                <v:textbox>
                  <w:txbxContent>
                    <w:p w14:paraId="528A5FA3" w14:textId="77777777" w:rsidR="00424910" w:rsidRDefault="00424910" w:rsidP="00424910">
                      <w:pPr>
                        <w:jc w:val="center"/>
                      </w:pPr>
                      <w:r>
                        <w:rPr>
                          <w:rFonts w:hint="eastAsia"/>
                        </w:rPr>
                        <w:t>本项目所在位置</w:t>
                      </w:r>
                    </w:p>
                  </w:txbxContent>
                </v:textbox>
              </v:shape>
            </w:pict>
          </mc:Fallback>
        </mc:AlternateContent>
      </w:r>
      <w:r w:rsidR="00424910" w:rsidRPr="00E67914">
        <w:rPr>
          <w:noProof/>
        </w:rPr>
        <w:drawing>
          <wp:inline distT="0" distB="0" distL="0" distR="0" wp14:anchorId="4FDC53DF" wp14:editId="590F3CCE">
            <wp:extent cx="5039995" cy="3452495"/>
            <wp:effectExtent l="0" t="0" r="8255" b="0"/>
            <wp:docPr id="1932276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8" cstate="print">
                      <a:extLst>
                        <a:ext uri="{28A0092B-C50C-407E-A947-70E740481C1C}">
                          <a14:useLocalDpi xmlns:a14="http://schemas.microsoft.com/office/drawing/2010/main" val="0"/>
                        </a:ext>
                      </a:extLst>
                    </a:blip>
                    <a:srcRect b="2856"/>
                    <a:stretch>
                      <a:fillRect/>
                    </a:stretch>
                  </pic:blipFill>
                  <pic:spPr bwMode="auto">
                    <a:xfrm>
                      <a:off x="0" y="0"/>
                      <a:ext cx="5039995" cy="3452495"/>
                    </a:xfrm>
                    <a:prstGeom prst="rect">
                      <a:avLst/>
                    </a:prstGeom>
                    <a:noFill/>
                    <a:ln>
                      <a:noFill/>
                    </a:ln>
                  </pic:spPr>
                </pic:pic>
              </a:graphicData>
            </a:graphic>
          </wp:inline>
        </w:drawing>
      </w:r>
    </w:p>
    <w:p w14:paraId="5491F087" w14:textId="585F5859" w:rsidR="00424910" w:rsidRPr="00E67914" w:rsidRDefault="00424910" w:rsidP="00CB4B0C">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00CB4B0C" w:rsidRPr="00E67914">
        <w:rPr>
          <w:rFonts w:ascii="Times New Roman" w:eastAsia="黑体" w:hAnsi="Times New Roman"/>
          <w:sz w:val="21"/>
          <w:szCs w:val="21"/>
          <w:lang w:eastAsia="zh-CN"/>
        </w:rPr>
        <w:t>2.7-2</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项目在生态红线图的位置示意图</w:t>
      </w:r>
    </w:p>
    <w:p w14:paraId="78867E01" w14:textId="77777777" w:rsidR="00A54A8A" w:rsidRPr="00E67914" w:rsidRDefault="00000000">
      <w:pPr>
        <w:widowControl w:val="0"/>
        <w:tabs>
          <w:tab w:val="left" w:pos="0"/>
        </w:tabs>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2</w:t>
      </w:r>
      <w:r w:rsidRPr="00E67914">
        <w:rPr>
          <w:rFonts w:ascii="Times New Roman" w:eastAsia="黑体" w:hAnsi="Times New Roman"/>
          <w:sz w:val="24"/>
          <w:lang w:eastAsia="zh-CN"/>
        </w:rPr>
        <w:t>、与环境管控单元符合性分析</w:t>
      </w:r>
    </w:p>
    <w:p w14:paraId="5A9CD8A2" w14:textId="77777777" w:rsidR="00A54A8A" w:rsidRPr="00E67914" w:rsidRDefault="00000000">
      <w:pPr>
        <w:widowControl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项目位于一般管控单元区域，本项目不在达州市生态保护红线范围内，也不在四川省其他生态空间范围内。</w:t>
      </w:r>
    </w:p>
    <w:p w14:paraId="4E2FAAD3" w14:textId="77777777" w:rsidR="00A54A8A" w:rsidRPr="00E67914" w:rsidRDefault="00000000">
      <w:pPr>
        <w:widowControl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项目涉及环境管控单元如下。</w:t>
      </w:r>
    </w:p>
    <w:p w14:paraId="15B930AE" w14:textId="07A9CD88"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2.7-1</w:t>
      </w:r>
      <w:r w:rsidR="00CB4B0C" w:rsidRPr="00E67914">
        <w:rPr>
          <w:rFonts w:ascii="Times New Roman" w:eastAsia="黑体" w:hAnsi="Times New Roman"/>
          <w:sz w:val="21"/>
          <w:szCs w:val="21"/>
          <w:lang w:eastAsia="zh-CN"/>
        </w:rPr>
        <w:t>4</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项目涉及环境管控单元表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516"/>
        <w:gridCol w:w="1113"/>
        <w:gridCol w:w="828"/>
        <w:gridCol w:w="1442"/>
        <w:gridCol w:w="1555"/>
      </w:tblGrid>
      <w:tr w:rsidR="00E67914" w:rsidRPr="00E67914" w14:paraId="5C6B0D8D" w14:textId="77777777">
        <w:trPr>
          <w:trHeight w:val="312"/>
        </w:trPr>
        <w:tc>
          <w:tcPr>
            <w:tcW w:w="1110" w:type="pct"/>
            <w:vAlign w:val="center"/>
          </w:tcPr>
          <w:p w14:paraId="7C8D3662" w14:textId="77777777" w:rsidR="00A54A8A" w:rsidRPr="00E67914" w:rsidRDefault="00000000">
            <w:pPr>
              <w:jc w:val="center"/>
              <w:rPr>
                <w:rFonts w:ascii="Times New Roman" w:hAnsi="Times New Roman"/>
                <w:b/>
                <w:bCs/>
                <w:sz w:val="21"/>
                <w:szCs w:val="21"/>
                <w:lang w:eastAsia="zh-CN"/>
              </w:rPr>
            </w:pPr>
            <w:r w:rsidRPr="00E67914">
              <w:rPr>
                <w:rFonts w:ascii="Times New Roman" w:hAnsi="Times New Roman"/>
                <w:b/>
                <w:bCs/>
                <w:sz w:val="21"/>
                <w:szCs w:val="21"/>
                <w:lang w:eastAsia="zh-CN"/>
              </w:rPr>
              <w:t>环境管控单元编码</w:t>
            </w:r>
          </w:p>
        </w:tc>
        <w:tc>
          <w:tcPr>
            <w:tcW w:w="914" w:type="pct"/>
            <w:vAlign w:val="center"/>
          </w:tcPr>
          <w:p w14:paraId="506C5020" w14:textId="77777777" w:rsidR="00A54A8A" w:rsidRPr="00E67914" w:rsidRDefault="00000000">
            <w:pPr>
              <w:jc w:val="center"/>
              <w:rPr>
                <w:rFonts w:ascii="Times New Roman" w:hAnsi="Times New Roman"/>
                <w:b/>
                <w:bCs/>
                <w:sz w:val="21"/>
                <w:szCs w:val="21"/>
                <w:lang w:eastAsia="zh-CN"/>
              </w:rPr>
            </w:pPr>
            <w:r w:rsidRPr="00E67914">
              <w:rPr>
                <w:rFonts w:ascii="Times New Roman" w:hAnsi="Times New Roman"/>
                <w:b/>
                <w:bCs/>
                <w:sz w:val="21"/>
                <w:szCs w:val="21"/>
                <w:lang w:eastAsia="zh-CN"/>
              </w:rPr>
              <w:t>环境管控单元名称</w:t>
            </w:r>
          </w:p>
        </w:tc>
        <w:tc>
          <w:tcPr>
            <w:tcW w:w="671" w:type="pct"/>
            <w:vAlign w:val="center"/>
          </w:tcPr>
          <w:p w14:paraId="664AC5A6" w14:textId="77777777" w:rsidR="00A54A8A" w:rsidRPr="00E67914" w:rsidRDefault="00000000">
            <w:pPr>
              <w:jc w:val="center"/>
              <w:rPr>
                <w:rFonts w:ascii="Times New Roman" w:hAnsi="Times New Roman"/>
                <w:b/>
                <w:bCs/>
                <w:sz w:val="21"/>
                <w:szCs w:val="21"/>
                <w:lang w:eastAsia="zh-CN"/>
              </w:rPr>
            </w:pPr>
            <w:r w:rsidRPr="00E67914">
              <w:rPr>
                <w:rFonts w:ascii="Times New Roman" w:hAnsi="Times New Roman"/>
                <w:b/>
                <w:bCs/>
                <w:sz w:val="21"/>
                <w:szCs w:val="21"/>
                <w:lang w:eastAsia="zh-CN"/>
              </w:rPr>
              <w:t>所属市（州）</w:t>
            </w:r>
          </w:p>
        </w:tc>
        <w:tc>
          <w:tcPr>
            <w:tcW w:w="499" w:type="pct"/>
            <w:vAlign w:val="center"/>
          </w:tcPr>
          <w:p w14:paraId="5D8D4BF7" w14:textId="77777777" w:rsidR="00A54A8A" w:rsidRPr="00E67914" w:rsidRDefault="00000000">
            <w:pPr>
              <w:jc w:val="center"/>
              <w:rPr>
                <w:rFonts w:ascii="Times New Roman" w:hAnsi="Times New Roman"/>
                <w:b/>
                <w:bCs/>
                <w:sz w:val="21"/>
                <w:szCs w:val="21"/>
                <w:lang w:eastAsia="zh-CN"/>
              </w:rPr>
            </w:pPr>
            <w:r w:rsidRPr="00E67914">
              <w:rPr>
                <w:rFonts w:ascii="Times New Roman" w:hAnsi="Times New Roman"/>
                <w:b/>
                <w:bCs/>
                <w:sz w:val="21"/>
                <w:szCs w:val="21"/>
                <w:lang w:eastAsia="zh-CN"/>
              </w:rPr>
              <w:t>所属区县</w:t>
            </w:r>
          </w:p>
        </w:tc>
        <w:tc>
          <w:tcPr>
            <w:tcW w:w="869" w:type="pct"/>
            <w:vAlign w:val="center"/>
          </w:tcPr>
          <w:p w14:paraId="10A83AB2" w14:textId="77777777" w:rsidR="00A54A8A" w:rsidRPr="00E67914" w:rsidRDefault="00000000">
            <w:pPr>
              <w:jc w:val="center"/>
              <w:rPr>
                <w:rFonts w:ascii="Times New Roman" w:hAnsi="Times New Roman"/>
                <w:b/>
                <w:bCs/>
                <w:sz w:val="21"/>
                <w:szCs w:val="21"/>
                <w:lang w:eastAsia="zh-CN"/>
              </w:rPr>
            </w:pPr>
            <w:r w:rsidRPr="00E67914">
              <w:rPr>
                <w:rFonts w:ascii="Times New Roman" w:hAnsi="Times New Roman"/>
                <w:b/>
                <w:bCs/>
                <w:sz w:val="21"/>
                <w:szCs w:val="21"/>
                <w:lang w:eastAsia="zh-CN"/>
              </w:rPr>
              <w:t>准入清单类型</w:t>
            </w:r>
          </w:p>
        </w:tc>
        <w:tc>
          <w:tcPr>
            <w:tcW w:w="937" w:type="pct"/>
            <w:vAlign w:val="center"/>
          </w:tcPr>
          <w:p w14:paraId="20E06AB9" w14:textId="77777777" w:rsidR="00A54A8A" w:rsidRPr="00E67914" w:rsidRDefault="00000000">
            <w:pPr>
              <w:jc w:val="center"/>
              <w:rPr>
                <w:rFonts w:ascii="Times New Roman" w:hAnsi="Times New Roman"/>
                <w:b/>
                <w:bCs/>
                <w:sz w:val="21"/>
                <w:szCs w:val="21"/>
                <w:lang w:eastAsia="zh-CN"/>
              </w:rPr>
            </w:pPr>
            <w:r w:rsidRPr="00E67914">
              <w:rPr>
                <w:rFonts w:ascii="Times New Roman" w:hAnsi="Times New Roman"/>
                <w:b/>
                <w:bCs/>
                <w:sz w:val="21"/>
                <w:szCs w:val="21"/>
                <w:lang w:eastAsia="zh-CN"/>
              </w:rPr>
              <w:t>管控类型</w:t>
            </w:r>
          </w:p>
        </w:tc>
      </w:tr>
      <w:tr w:rsidR="00E67914" w:rsidRPr="00E67914" w14:paraId="085E78F9" w14:textId="77777777">
        <w:trPr>
          <w:trHeight w:val="312"/>
        </w:trPr>
        <w:tc>
          <w:tcPr>
            <w:tcW w:w="1110" w:type="pct"/>
            <w:vAlign w:val="center"/>
          </w:tcPr>
          <w:p w14:paraId="11F3CBF8" w14:textId="77777777" w:rsidR="00A54A8A" w:rsidRPr="00E67914" w:rsidRDefault="00000000">
            <w:pPr>
              <w:pStyle w:val="Normal0"/>
              <w:widowControl/>
              <w:spacing w:line="240" w:lineRule="auto"/>
              <w:ind w:firstLineChars="0" w:firstLine="0"/>
              <w:jc w:val="center"/>
              <w:rPr>
                <w:rFonts w:eastAsia="宋体"/>
                <w:sz w:val="21"/>
              </w:rPr>
            </w:pPr>
            <w:r w:rsidRPr="00E67914">
              <w:rPr>
                <w:rFonts w:eastAsia="宋体"/>
                <w:sz w:val="21"/>
              </w:rPr>
              <w:t>ZH51172230001</w:t>
            </w:r>
          </w:p>
        </w:tc>
        <w:tc>
          <w:tcPr>
            <w:tcW w:w="914" w:type="pct"/>
            <w:vAlign w:val="center"/>
          </w:tcPr>
          <w:p w14:paraId="50E4923B" w14:textId="77777777" w:rsidR="00A54A8A" w:rsidRPr="00E67914" w:rsidRDefault="00000000">
            <w:pPr>
              <w:pStyle w:val="Normal0"/>
              <w:widowControl/>
              <w:spacing w:line="240" w:lineRule="auto"/>
              <w:ind w:firstLineChars="0" w:firstLine="0"/>
              <w:jc w:val="center"/>
              <w:rPr>
                <w:rFonts w:eastAsia="宋体"/>
                <w:sz w:val="21"/>
              </w:rPr>
            </w:pPr>
            <w:r w:rsidRPr="00E67914">
              <w:rPr>
                <w:rFonts w:eastAsia="宋体"/>
                <w:sz w:val="21"/>
              </w:rPr>
              <w:t>宣汉县一般管控单元</w:t>
            </w:r>
          </w:p>
        </w:tc>
        <w:tc>
          <w:tcPr>
            <w:tcW w:w="671" w:type="pct"/>
            <w:vAlign w:val="center"/>
          </w:tcPr>
          <w:p w14:paraId="6BCAB08E" w14:textId="77777777" w:rsidR="00A54A8A" w:rsidRPr="00E67914" w:rsidRDefault="00000000">
            <w:pPr>
              <w:pStyle w:val="Normal0"/>
              <w:widowControl/>
              <w:spacing w:line="240" w:lineRule="auto"/>
              <w:ind w:firstLineChars="0" w:firstLine="0"/>
              <w:jc w:val="center"/>
              <w:rPr>
                <w:rFonts w:eastAsia="宋体"/>
                <w:sz w:val="21"/>
              </w:rPr>
            </w:pPr>
            <w:r w:rsidRPr="00E67914">
              <w:rPr>
                <w:rFonts w:eastAsia="宋体"/>
                <w:sz w:val="21"/>
              </w:rPr>
              <w:t>达州市</w:t>
            </w:r>
          </w:p>
        </w:tc>
        <w:tc>
          <w:tcPr>
            <w:tcW w:w="499" w:type="pct"/>
            <w:vAlign w:val="center"/>
          </w:tcPr>
          <w:p w14:paraId="59E43098" w14:textId="77777777" w:rsidR="00A54A8A" w:rsidRPr="00E67914" w:rsidRDefault="00000000">
            <w:pPr>
              <w:pStyle w:val="Normal0"/>
              <w:widowControl/>
              <w:spacing w:line="240" w:lineRule="auto"/>
              <w:ind w:firstLineChars="0" w:firstLine="0"/>
              <w:jc w:val="center"/>
              <w:rPr>
                <w:rFonts w:eastAsia="宋体"/>
                <w:sz w:val="21"/>
              </w:rPr>
            </w:pPr>
            <w:r w:rsidRPr="00E67914">
              <w:rPr>
                <w:rFonts w:eastAsia="宋体"/>
                <w:sz w:val="21"/>
              </w:rPr>
              <w:t>宣汉县</w:t>
            </w:r>
          </w:p>
        </w:tc>
        <w:tc>
          <w:tcPr>
            <w:tcW w:w="869" w:type="pct"/>
            <w:vAlign w:val="center"/>
          </w:tcPr>
          <w:p w14:paraId="22291E8C" w14:textId="77777777" w:rsidR="00A54A8A" w:rsidRPr="00E67914" w:rsidRDefault="00000000">
            <w:pPr>
              <w:pStyle w:val="Normal0"/>
              <w:widowControl/>
              <w:spacing w:line="240" w:lineRule="auto"/>
              <w:ind w:firstLineChars="0" w:firstLine="0"/>
              <w:jc w:val="center"/>
              <w:rPr>
                <w:rFonts w:eastAsia="宋体"/>
                <w:sz w:val="21"/>
              </w:rPr>
            </w:pPr>
            <w:r w:rsidRPr="00E67914">
              <w:rPr>
                <w:rFonts w:eastAsia="宋体"/>
                <w:sz w:val="21"/>
              </w:rPr>
              <w:t>环境管控单元</w:t>
            </w:r>
          </w:p>
        </w:tc>
        <w:tc>
          <w:tcPr>
            <w:tcW w:w="937" w:type="pct"/>
            <w:vAlign w:val="center"/>
          </w:tcPr>
          <w:p w14:paraId="1E85A6D8" w14:textId="77777777" w:rsidR="00A54A8A" w:rsidRPr="00E67914" w:rsidRDefault="00000000">
            <w:pPr>
              <w:pStyle w:val="Normal0"/>
              <w:widowControl/>
              <w:spacing w:line="240" w:lineRule="auto"/>
              <w:ind w:firstLineChars="0" w:firstLine="0"/>
              <w:jc w:val="center"/>
              <w:rPr>
                <w:rFonts w:eastAsia="宋体"/>
                <w:sz w:val="21"/>
              </w:rPr>
            </w:pPr>
            <w:r w:rsidRPr="00E67914">
              <w:rPr>
                <w:rFonts w:eastAsia="宋体"/>
                <w:sz w:val="21"/>
              </w:rPr>
              <w:t>环境综合管控单元一般管控单元</w:t>
            </w:r>
          </w:p>
        </w:tc>
      </w:tr>
      <w:tr w:rsidR="00E67914" w:rsidRPr="00E67914" w14:paraId="34F8788D" w14:textId="77777777">
        <w:trPr>
          <w:trHeight w:val="312"/>
        </w:trPr>
        <w:tc>
          <w:tcPr>
            <w:tcW w:w="1110" w:type="pct"/>
            <w:vAlign w:val="center"/>
          </w:tcPr>
          <w:p w14:paraId="24440B83" w14:textId="63B75258"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YS5117221410003</w:t>
            </w:r>
          </w:p>
        </w:tc>
        <w:tc>
          <w:tcPr>
            <w:tcW w:w="914" w:type="pct"/>
            <w:vAlign w:val="center"/>
          </w:tcPr>
          <w:p w14:paraId="617A65E6" w14:textId="7D31277D"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宣汉县土壤优先保护区</w:t>
            </w:r>
          </w:p>
        </w:tc>
        <w:tc>
          <w:tcPr>
            <w:tcW w:w="671" w:type="pct"/>
            <w:vAlign w:val="center"/>
          </w:tcPr>
          <w:p w14:paraId="2FA40312" w14:textId="1AFB70E6"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达州市</w:t>
            </w:r>
          </w:p>
        </w:tc>
        <w:tc>
          <w:tcPr>
            <w:tcW w:w="499" w:type="pct"/>
            <w:vAlign w:val="center"/>
          </w:tcPr>
          <w:p w14:paraId="42168D33" w14:textId="3B26F1BC"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宣汉县</w:t>
            </w:r>
          </w:p>
        </w:tc>
        <w:tc>
          <w:tcPr>
            <w:tcW w:w="869" w:type="pct"/>
            <w:vAlign w:val="center"/>
          </w:tcPr>
          <w:p w14:paraId="7633B830" w14:textId="5D4C5AD3"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土壤环境</w:t>
            </w:r>
          </w:p>
        </w:tc>
        <w:tc>
          <w:tcPr>
            <w:tcW w:w="937" w:type="pct"/>
            <w:vAlign w:val="center"/>
          </w:tcPr>
          <w:p w14:paraId="392E0166" w14:textId="04A3E3B9"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农用地优先保护区</w:t>
            </w:r>
          </w:p>
        </w:tc>
      </w:tr>
      <w:tr w:rsidR="00E67914" w:rsidRPr="00E67914" w14:paraId="4103C077" w14:textId="77777777">
        <w:trPr>
          <w:trHeight w:val="312"/>
        </w:trPr>
        <w:tc>
          <w:tcPr>
            <w:tcW w:w="1110" w:type="pct"/>
            <w:vAlign w:val="center"/>
          </w:tcPr>
          <w:p w14:paraId="2B53AD65"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YS5117223210001</w:t>
            </w:r>
          </w:p>
        </w:tc>
        <w:tc>
          <w:tcPr>
            <w:tcW w:w="914" w:type="pct"/>
            <w:vAlign w:val="center"/>
          </w:tcPr>
          <w:p w14:paraId="442FB35D"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州河宣汉县张鼓坪控制单元</w:t>
            </w:r>
          </w:p>
        </w:tc>
        <w:tc>
          <w:tcPr>
            <w:tcW w:w="671" w:type="pct"/>
            <w:vAlign w:val="center"/>
          </w:tcPr>
          <w:p w14:paraId="7500CF0C"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达州市</w:t>
            </w:r>
          </w:p>
        </w:tc>
        <w:tc>
          <w:tcPr>
            <w:tcW w:w="499" w:type="pct"/>
            <w:vAlign w:val="center"/>
          </w:tcPr>
          <w:p w14:paraId="3B13FE83"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宣汉县</w:t>
            </w:r>
          </w:p>
        </w:tc>
        <w:tc>
          <w:tcPr>
            <w:tcW w:w="869" w:type="pct"/>
            <w:vAlign w:val="center"/>
          </w:tcPr>
          <w:p w14:paraId="0917CAE0"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水环境管控分区</w:t>
            </w:r>
          </w:p>
        </w:tc>
        <w:tc>
          <w:tcPr>
            <w:tcW w:w="937" w:type="pct"/>
            <w:vAlign w:val="center"/>
          </w:tcPr>
          <w:p w14:paraId="70CE9A56"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水环境一般管控区</w:t>
            </w:r>
          </w:p>
        </w:tc>
      </w:tr>
      <w:tr w:rsidR="00E67914" w:rsidRPr="00E67914" w14:paraId="3B0E7B72" w14:textId="77777777">
        <w:trPr>
          <w:trHeight w:val="312"/>
        </w:trPr>
        <w:tc>
          <w:tcPr>
            <w:tcW w:w="1110" w:type="pct"/>
            <w:vAlign w:val="center"/>
          </w:tcPr>
          <w:p w14:paraId="47FB6C5F"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YS5117222320006</w:t>
            </w:r>
          </w:p>
        </w:tc>
        <w:tc>
          <w:tcPr>
            <w:tcW w:w="914" w:type="pct"/>
            <w:vAlign w:val="center"/>
          </w:tcPr>
          <w:p w14:paraId="13795BDF"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宣汉县大气环境布局敏感重点管控区</w:t>
            </w:r>
          </w:p>
        </w:tc>
        <w:tc>
          <w:tcPr>
            <w:tcW w:w="671" w:type="pct"/>
            <w:vAlign w:val="center"/>
          </w:tcPr>
          <w:p w14:paraId="31C627F2"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达州市</w:t>
            </w:r>
          </w:p>
        </w:tc>
        <w:tc>
          <w:tcPr>
            <w:tcW w:w="499" w:type="pct"/>
            <w:vAlign w:val="center"/>
          </w:tcPr>
          <w:p w14:paraId="19F72FA8"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宣汉县</w:t>
            </w:r>
          </w:p>
        </w:tc>
        <w:tc>
          <w:tcPr>
            <w:tcW w:w="869" w:type="pct"/>
            <w:vAlign w:val="center"/>
          </w:tcPr>
          <w:p w14:paraId="3AEBF11C"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大气环境管控分区</w:t>
            </w:r>
          </w:p>
        </w:tc>
        <w:tc>
          <w:tcPr>
            <w:tcW w:w="937" w:type="pct"/>
            <w:vAlign w:val="center"/>
          </w:tcPr>
          <w:p w14:paraId="088D980A" w14:textId="77777777" w:rsidR="00B8457C" w:rsidRPr="00E67914" w:rsidRDefault="00B8457C" w:rsidP="00B8457C">
            <w:pPr>
              <w:pStyle w:val="Normal0"/>
              <w:widowControl/>
              <w:spacing w:line="240" w:lineRule="auto"/>
              <w:ind w:firstLineChars="0" w:firstLine="0"/>
              <w:jc w:val="center"/>
              <w:rPr>
                <w:rFonts w:eastAsia="宋体"/>
                <w:sz w:val="21"/>
              </w:rPr>
            </w:pPr>
            <w:r w:rsidRPr="00E67914">
              <w:rPr>
                <w:rFonts w:eastAsia="宋体"/>
                <w:sz w:val="21"/>
              </w:rPr>
              <w:t>大气环境布局敏感重点管控区</w:t>
            </w:r>
          </w:p>
        </w:tc>
      </w:tr>
    </w:tbl>
    <w:p w14:paraId="35A286A7" w14:textId="490ADDF4" w:rsidR="00A54A8A" w:rsidRPr="00E67914" w:rsidRDefault="00B8457C">
      <w:pPr>
        <w:pStyle w:val="afffffe"/>
        <w:ind w:firstLineChars="0" w:firstLine="0"/>
        <w:jc w:val="center"/>
        <w:rPr>
          <w:sz w:val="28"/>
          <w:szCs w:val="28"/>
        </w:rPr>
      </w:pPr>
      <w:r w:rsidRPr="00E67914">
        <w:rPr>
          <w:noProof/>
        </w:rPr>
        <w:lastRenderedPageBreak/>
        <w:drawing>
          <wp:inline distT="0" distB="0" distL="0" distR="0" wp14:anchorId="40F1BAF9" wp14:editId="00AC5E56">
            <wp:extent cx="5274310" cy="4678680"/>
            <wp:effectExtent l="0" t="0" r="2540" b="7620"/>
            <wp:docPr id="13619840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84081" name=""/>
                    <pic:cNvPicPr/>
                  </pic:nvPicPr>
                  <pic:blipFill>
                    <a:blip r:embed="rId19"/>
                    <a:stretch>
                      <a:fillRect/>
                    </a:stretch>
                  </pic:blipFill>
                  <pic:spPr>
                    <a:xfrm>
                      <a:off x="0" y="0"/>
                      <a:ext cx="5274310" cy="4678680"/>
                    </a:xfrm>
                    <a:prstGeom prst="rect">
                      <a:avLst/>
                    </a:prstGeom>
                  </pic:spPr>
                </pic:pic>
              </a:graphicData>
            </a:graphic>
          </wp:inline>
        </w:drawing>
      </w:r>
    </w:p>
    <w:p w14:paraId="37147E06" w14:textId="3E704A3E" w:rsidR="00A54A8A" w:rsidRPr="00E67914" w:rsidRDefault="00B8457C">
      <w:pPr>
        <w:pStyle w:val="afffffe"/>
        <w:ind w:firstLineChars="0" w:firstLine="0"/>
        <w:jc w:val="center"/>
      </w:pPr>
      <w:r w:rsidRPr="00E67914">
        <w:rPr>
          <w:noProof/>
          <w:sz w:val="28"/>
          <w:szCs w:val="28"/>
        </w:rPr>
        <w:drawing>
          <wp:inline distT="0" distB="0" distL="0" distR="0" wp14:anchorId="6D69E059" wp14:editId="3DA89B6C">
            <wp:extent cx="5274310" cy="3162935"/>
            <wp:effectExtent l="0" t="0" r="2540" b="0"/>
            <wp:docPr id="1960753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162935"/>
                    </a:xfrm>
                    <a:prstGeom prst="rect">
                      <a:avLst/>
                    </a:prstGeom>
                    <a:noFill/>
                    <a:ln>
                      <a:noFill/>
                    </a:ln>
                  </pic:spPr>
                </pic:pic>
              </a:graphicData>
            </a:graphic>
          </wp:inline>
        </w:drawing>
      </w:r>
    </w:p>
    <w:p w14:paraId="28337F5A" w14:textId="667C646C"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2.7-</w:t>
      </w:r>
      <w:r w:rsidR="00CB4B0C" w:rsidRPr="00E67914">
        <w:rPr>
          <w:rFonts w:ascii="Times New Roman" w:eastAsia="黑体" w:hAnsi="Times New Roman"/>
          <w:sz w:val="21"/>
          <w:szCs w:val="21"/>
          <w:lang w:eastAsia="zh-CN"/>
        </w:rPr>
        <w:t>3</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项目所在地与区域环境综合管控单元位置关系图</w:t>
      </w:r>
    </w:p>
    <w:p w14:paraId="1A85DBF1" w14:textId="77777777" w:rsidR="00A54A8A" w:rsidRPr="00E67914" w:rsidRDefault="00A54A8A">
      <w:pPr>
        <w:pStyle w:val="afffffe"/>
        <w:ind w:firstLine="480"/>
        <w:sectPr w:rsidR="00A54A8A" w:rsidRPr="00E67914">
          <w:footerReference w:type="default" r:id="rId21"/>
          <w:pgSz w:w="11906" w:h="16838"/>
          <w:pgMar w:top="1440" w:right="1800" w:bottom="1440" w:left="1800" w:header="851" w:footer="992" w:gutter="0"/>
          <w:cols w:space="425"/>
          <w:docGrid w:type="lines" w:linePitch="312"/>
        </w:sectPr>
      </w:pPr>
    </w:p>
    <w:p w14:paraId="1C53711D" w14:textId="172CBFD4"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lastRenderedPageBreak/>
        <w:t>表</w:t>
      </w:r>
      <w:r w:rsidRPr="00E67914">
        <w:rPr>
          <w:rFonts w:ascii="Times New Roman" w:eastAsia="黑体" w:hAnsi="Times New Roman"/>
          <w:sz w:val="21"/>
          <w:szCs w:val="21"/>
          <w:lang w:eastAsia="zh-CN"/>
        </w:rPr>
        <w:t>2.7-1</w:t>
      </w:r>
      <w:r w:rsidR="00CB4B0C" w:rsidRPr="00E67914">
        <w:rPr>
          <w:rFonts w:ascii="Times New Roman" w:eastAsia="黑体" w:hAnsi="Times New Roman"/>
          <w:sz w:val="21"/>
          <w:szCs w:val="21"/>
          <w:lang w:eastAsia="zh-CN"/>
        </w:rPr>
        <w:t>5</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项目与</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三线一单</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相关要求的符合性分析表</w:t>
      </w:r>
    </w:p>
    <w:tbl>
      <w:tblPr>
        <w:tblStyle w:val="affa"/>
        <w:tblW w:w="4920" w:type="pct"/>
        <w:tblLook w:val="04A0" w:firstRow="1" w:lastRow="0" w:firstColumn="1" w:lastColumn="0" w:noHBand="0" w:noVBand="1"/>
      </w:tblPr>
      <w:tblGrid>
        <w:gridCol w:w="1850"/>
        <w:gridCol w:w="818"/>
        <w:gridCol w:w="824"/>
        <w:gridCol w:w="7584"/>
        <w:gridCol w:w="1773"/>
        <w:gridCol w:w="876"/>
      </w:tblGrid>
      <w:tr w:rsidR="002662E3" w:rsidRPr="00E67914" w14:paraId="5FA8558B" w14:textId="77777777" w:rsidTr="00F55073">
        <w:trPr>
          <w:tblHeader/>
        </w:trPr>
        <w:tc>
          <w:tcPr>
            <w:tcW w:w="4035" w:type="pct"/>
            <w:gridSpan w:val="4"/>
            <w:vAlign w:val="center"/>
          </w:tcPr>
          <w:p w14:paraId="482720BA" w14:textId="77777777" w:rsidR="00A54A8A" w:rsidRPr="00E67914" w:rsidRDefault="00000000">
            <w:pPr>
              <w:jc w:val="center"/>
              <w:rPr>
                <w:rFonts w:ascii="Times New Roman" w:hAnsi="Times New Roman"/>
                <w:b/>
                <w:bCs/>
                <w:snapToGrid w:val="0"/>
                <w:sz w:val="21"/>
                <w:szCs w:val="21"/>
                <w:lang w:eastAsia="zh-CN"/>
              </w:rPr>
            </w:pPr>
            <w:r w:rsidRPr="00E67914">
              <w:rPr>
                <w:rFonts w:ascii="Times New Roman" w:hAnsi="Times New Roman"/>
                <w:b/>
                <w:bCs/>
                <w:snapToGrid w:val="0"/>
                <w:sz w:val="21"/>
                <w:szCs w:val="21"/>
                <w:lang w:eastAsia="zh-CN"/>
              </w:rPr>
              <w:t>“</w:t>
            </w:r>
            <w:r w:rsidRPr="00E67914">
              <w:rPr>
                <w:rFonts w:ascii="Times New Roman" w:hAnsi="Times New Roman"/>
                <w:b/>
                <w:bCs/>
                <w:snapToGrid w:val="0"/>
                <w:sz w:val="21"/>
                <w:szCs w:val="21"/>
                <w:lang w:eastAsia="zh-CN"/>
              </w:rPr>
              <w:t>三线一单</w:t>
            </w:r>
            <w:r w:rsidRPr="00E67914">
              <w:rPr>
                <w:rFonts w:ascii="Times New Roman" w:hAnsi="Times New Roman"/>
                <w:b/>
                <w:bCs/>
                <w:snapToGrid w:val="0"/>
                <w:sz w:val="21"/>
                <w:szCs w:val="21"/>
                <w:lang w:eastAsia="zh-CN"/>
              </w:rPr>
              <w:t>”</w:t>
            </w:r>
            <w:r w:rsidRPr="00E67914">
              <w:rPr>
                <w:rFonts w:ascii="Times New Roman" w:hAnsi="Times New Roman"/>
                <w:b/>
                <w:bCs/>
                <w:snapToGrid w:val="0"/>
                <w:sz w:val="21"/>
                <w:szCs w:val="21"/>
                <w:lang w:eastAsia="zh-CN"/>
              </w:rPr>
              <w:t>的具体要求</w:t>
            </w:r>
          </w:p>
        </w:tc>
        <w:tc>
          <w:tcPr>
            <w:tcW w:w="646" w:type="pct"/>
            <w:vMerge w:val="restart"/>
            <w:vAlign w:val="center"/>
          </w:tcPr>
          <w:p w14:paraId="201F6C72" w14:textId="77777777" w:rsidR="00A54A8A" w:rsidRPr="00E67914" w:rsidRDefault="00000000">
            <w:pPr>
              <w:jc w:val="center"/>
              <w:rPr>
                <w:rFonts w:ascii="Times New Roman" w:hAnsi="Times New Roman"/>
                <w:b/>
                <w:bCs/>
                <w:snapToGrid w:val="0"/>
                <w:sz w:val="21"/>
                <w:szCs w:val="21"/>
              </w:rPr>
            </w:pPr>
            <w:r w:rsidRPr="00E67914">
              <w:rPr>
                <w:rFonts w:ascii="Times New Roman" w:hAnsi="Times New Roman"/>
                <w:b/>
                <w:bCs/>
                <w:snapToGrid w:val="0"/>
                <w:sz w:val="21"/>
                <w:szCs w:val="21"/>
              </w:rPr>
              <w:t>项目对应情况介绍</w:t>
            </w:r>
          </w:p>
        </w:tc>
        <w:tc>
          <w:tcPr>
            <w:tcW w:w="319" w:type="pct"/>
            <w:vMerge w:val="restart"/>
            <w:vAlign w:val="center"/>
          </w:tcPr>
          <w:p w14:paraId="709001F7" w14:textId="77777777" w:rsidR="00A54A8A" w:rsidRPr="00E67914" w:rsidRDefault="00000000">
            <w:pPr>
              <w:jc w:val="center"/>
              <w:rPr>
                <w:rFonts w:ascii="Times New Roman" w:hAnsi="Times New Roman"/>
                <w:b/>
                <w:bCs/>
                <w:snapToGrid w:val="0"/>
                <w:sz w:val="21"/>
                <w:szCs w:val="21"/>
              </w:rPr>
            </w:pPr>
            <w:r w:rsidRPr="00E67914">
              <w:rPr>
                <w:rFonts w:ascii="Times New Roman" w:hAnsi="Times New Roman"/>
                <w:b/>
                <w:bCs/>
                <w:snapToGrid w:val="0"/>
                <w:sz w:val="21"/>
                <w:szCs w:val="21"/>
              </w:rPr>
              <w:t>符合性分析</w:t>
            </w:r>
          </w:p>
        </w:tc>
      </w:tr>
      <w:tr w:rsidR="002662E3" w:rsidRPr="00E67914" w14:paraId="2EC853DC" w14:textId="77777777" w:rsidTr="00F55073">
        <w:trPr>
          <w:tblHeader/>
        </w:trPr>
        <w:tc>
          <w:tcPr>
            <w:tcW w:w="1272" w:type="pct"/>
            <w:gridSpan w:val="3"/>
            <w:vAlign w:val="center"/>
          </w:tcPr>
          <w:p w14:paraId="57E6963A" w14:textId="77777777" w:rsidR="00A54A8A" w:rsidRPr="00E67914" w:rsidRDefault="00000000">
            <w:pPr>
              <w:jc w:val="center"/>
              <w:rPr>
                <w:rFonts w:ascii="Times New Roman" w:hAnsi="Times New Roman"/>
                <w:b/>
                <w:bCs/>
                <w:snapToGrid w:val="0"/>
                <w:sz w:val="21"/>
                <w:szCs w:val="21"/>
              </w:rPr>
            </w:pPr>
            <w:r w:rsidRPr="00E67914">
              <w:rPr>
                <w:rFonts w:ascii="Times New Roman" w:hAnsi="Times New Roman"/>
                <w:b/>
                <w:bCs/>
                <w:snapToGrid w:val="0"/>
                <w:sz w:val="21"/>
                <w:szCs w:val="21"/>
              </w:rPr>
              <w:t>类别</w:t>
            </w:r>
          </w:p>
        </w:tc>
        <w:tc>
          <w:tcPr>
            <w:tcW w:w="2763" w:type="pct"/>
            <w:vAlign w:val="center"/>
          </w:tcPr>
          <w:p w14:paraId="441E1C04" w14:textId="77777777" w:rsidR="00A54A8A" w:rsidRPr="00E67914" w:rsidRDefault="00000000">
            <w:pPr>
              <w:jc w:val="center"/>
              <w:rPr>
                <w:rFonts w:ascii="Times New Roman" w:hAnsi="Times New Roman"/>
                <w:b/>
                <w:bCs/>
                <w:snapToGrid w:val="0"/>
                <w:sz w:val="21"/>
                <w:szCs w:val="21"/>
              </w:rPr>
            </w:pPr>
            <w:r w:rsidRPr="00E67914">
              <w:rPr>
                <w:rFonts w:ascii="Times New Roman" w:hAnsi="Times New Roman"/>
                <w:b/>
                <w:bCs/>
                <w:snapToGrid w:val="0"/>
                <w:sz w:val="21"/>
                <w:szCs w:val="21"/>
              </w:rPr>
              <w:t>对应管控要求</w:t>
            </w:r>
          </w:p>
        </w:tc>
        <w:tc>
          <w:tcPr>
            <w:tcW w:w="646" w:type="pct"/>
            <w:vMerge/>
            <w:vAlign w:val="center"/>
          </w:tcPr>
          <w:p w14:paraId="5225A356" w14:textId="77777777" w:rsidR="00A54A8A" w:rsidRPr="00E67914" w:rsidRDefault="00A54A8A">
            <w:pPr>
              <w:jc w:val="center"/>
              <w:rPr>
                <w:rFonts w:ascii="Times New Roman" w:hAnsi="Times New Roman"/>
                <w:b/>
                <w:bCs/>
                <w:snapToGrid w:val="0"/>
                <w:sz w:val="21"/>
                <w:szCs w:val="21"/>
              </w:rPr>
            </w:pPr>
          </w:p>
        </w:tc>
        <w:tc>
          <w:tcPr>
            <w:tcW w:w="319" w:type="pct"/>
            <w:vMerge/>
            <w:vAlign w:val="center"/>
          </w:tcPr>
          <w:p w14:paraId="08F80AF0" w14:textId="77777777" w:rsidR="00A54A8A" w:rsidRPr="00E67914" w:rsidRDefault="00A54A8A">
            <w:pPr>
              <w:jc w:val="center"/>
              <w:rPr>
                <w:rFonts w:ascii="Times New Roman" w:hAnsi="Times New Roman"/>
                <w:b/>
                <w:bCs/>
                <w:snapToGrid w:val="0"/>
                <w:sz w:val="21"/>
                <w:szCs w:val="21"/>
              </w:rPr>
            </w:pPr>
          </w:p>
        </w:tc>
      </w:tr>
      <w:tr w:rsidR="002662E3" w:rsidRPr="00E67914" w14:paraId="58525AD3" w14:textId="77777777" w:rsidTr="00B8457C">
        <w:tc>
          <w:tcPr>
            <w:tcW w:w="674" w:type="pct"/>
            <w:vMerge w:val="restart"/>
            <w:vAlign w:val="center"/>
          </w:tcPr>
          <w:p w14:paraId="5645DB03"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w:t>
            </w:r>
          </w:p>
        </w:tc>
        <w:tc>
          <w:tcPr>
            <w:tcW w:w="298" w:type="pct"/>
            <w:vMerge w:val="restart"/>
            <w:vAlign w:val="center"/>
          </w:tcPr>
          <w:p w14:paraId="50EFF5DA"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达州市总体管控要求</w:t>
            </w:r>
          </w:p>
        </w:tc>
        <w:tc>
          <w:tcPr>
            <w:tcW w:w="300" w:type="pct"/>
            <w:vAlign w:val="center"/>
          </w:tcPr>
          <w:p w14:paraId="20B79E63"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空间布局约束</w:t>
            </w:r>
          </w:p>
        </w:tc>
        <w:tc>
          <w:tcPr>
            <w:tcW w:w="2763" w:type="pct"/>
            <w:vAlign w:val="center"/>
          </w:tcPr>
          <w:p w14:paraId="3F440EE9"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禁止开发建设活动的要求：</w:t>
            </w:r>
          </w:p>
          <w:p w14:paraId="30FCDD68"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禁止在长江干支流</w:t>
            </w:r>
            <w:r w:rsidRPr="00E67914">
              <w:rPr>
                <w:rFonts w:eastAsia="宋体"/>
                <w:sz w:val="21"/>
              </w:rPr>
              <w:t>1</w:t>
            </w:r>
            <w:r w:rsidRPr="00E67914">
              <w:rPr>
                <w:rFonts w:eastAsia="宋体"/>
                <w:sz w:val="21"/>
              </w:rPr>
              <w:t>公里范围内新建、扩建化工园区和化工项目。</w:t>
            </w:r>
          </w:p>
          <w:p w14:paraId="6FC6B3AC"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禁止在法律法规规定的禁采区内新建矿山；禁止土法采、选、冶严重污染环境的矿产资源。</w:t>
            </w:r>
          </w:p>
          <w:p w14:paraId="34E7C5F8"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涉及永久基本农田的区域，除法律规定的重点建设项目选址确实无法避让外，其他任何建设不得占用。</w:t>
            </w:r>
          </w:p>
          <w:p w14:paraId="3AA297EE"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拟新增：</w:t>
            </w:r>
          </w:p>
          <w:p w14:paraId="0AAB6154"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禁止在长江流域河湖管理范围内倾倒、填埋、堆放、弃置、处理固体废物。</w:t>
            </w:r>
          </w:p>
          <w:p w14:paraId="6BC17B26"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限制开发建设活动的要求：</w:t>
            </w:r>
          </w:p>
          <w:p w14:paraId="789E6460"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按照相关要求严控水泥新增产能。</w:t>
            </w:r>
          </w:p>
          <w:p w14:paraId="6F7DB594"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拟新增：</w:t>
            </w:r>
          </w:p>
          <w:p w14:paraId="44ABCE99"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涉及法定保护地，严格按照国家及地方法律法规、管理办法等相关要求进行控制。配套旅游、基础设施等建设项目，在符合规划和相关保护要求的前提下，应实施生态避让、减缓影响及生态恢复措施。</w:t>
            </w:r>
          </w:p>
          <w:p w14:paraId="0E21A9B6"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按照相关要求严控水泥新增产能。</w:t>
            </w:r>
          </w:p>
          <w:p w14:paraId="3C7874B3"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禁止在长江干流岸线三公里范围内和重要支流岸线一公里范围内新建、改建、扩建尾矿库；但是以提升安全、生态环境保护水平为目的的改建除外。</w:t>
            </w:r>
          </w:p>
          <w:p w14:paraId="7421B8BD"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不符合空间布局要求活动的退出要求：</w:t>
            </w:r>
          </w:p>
          <w:p w14:paraId="4CB90FF6"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针对现有水泥企业，强化污染治理和污染物减排，依法依规整治或搬迁。</w:t>
            </w:r>
          </w:p>
          <w:p w14:paraId="72A64062"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拟新增：</w:t>
            </w:r>
          </w:p>
          <w:p w14:paraId="6F00DEA5"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全面取缔禁养区内规模化畜禽养殖场。</w:t>
            </w:r>
          </w:p>
          <w:p w14:paraId="0F6A4147"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-2025</w:t>
            </w:r>
            <w:r w:rsidRPr="00E67914">
              <w:rPr>
                <w:rFonts w:eastAsia="宋体"/>
                <w:sz w:val="21"/>
              </w:rPr>
              <w:t>年基本完成全域内</w:t>
            </w:r>
            <w:r w:rsidRPr="00E67914">
              <w:rPr>
                <w:rFonts w:eastAsia="宋体"/>
                <w:sz w:val="21"/>
              </w:rPr>
              <w:t>“</w:t>
            </w:r>
            <w:r w:rsidRPr="00E67914">
              <w:rPr>
                <w:rFonts w:eastAsia="宋体"/>
                <w:sz w:val="21"/>
              </w:rPr>
              <w:t>散乱污</w:t>
            </w:r>
            <w:r w:rsidRPr="00E67914">
              <w:rPr>
                <w:rFonts w:eastAsia="宋体"/>
                <w:sz w:val="21"/>
              </w:rPr>
              <w:t>”</w:t>
            </w:r>
            <w:r w:rsidRPr="00E67914">
              <w:rPr>
                <w:rFonts w:eastAsia="宋体"/>
                <w:sz w:val="21"/>
              </w:rPr>
              <w:t>企业整治工作。</w:t>
            </w:r>
          </w:p>
        </w:tc>
        <w:tc>
          <w:tcPr>
            <w:tcW w:w="646" w:type="pct"/>
            <w:vAlign w:val="center"/>
          </w:tcPr>
          <w:p w14:paraId="7A56F278" w14:textId="77777777" w:rsidR="00A54A8A" w:rsidRPr="00E67914" w:rsidRDefault="00000000">
            <w:pPr>
              <w:pStyle w:val="22"/>
              <w:spacing w:line="240" w:lineRule="auto"/>
              <w:ind w:firstLine="0"/>
              <w:jc w:val="center"/>
              <w:rPr>
                <w:rFonts w:ascii="Times New Roman" w:eastAsia="宋体"/>
                <w:b w:val="0"/>
                <w:bCs w:val="0"/>
                <w:snapToGrid w:val="0"/>
                <w:sz w:val="21"/>
                <w:szCs w:val="21"/>
              </w:rPr>
            </w:pPr>
            <w:r w:rsidRPr="00E67914">
              <w:rPr>
                <w:rFonts w:ascii="Times New Roman" w:eastAsia="宋体"/>
                <w:b w:val="0"/>
                <w:bCs w:val="0"/>
                <w:snapToGrid w:val="0"/>
                <w:sz w:val="21"/>
                <w:szCs w:val="21"/>
              </w:rPr>
              <w:t>本项目为天然气勘探试采工程，不涉及空间约束管控内容。</w:t>
            </w:r>
          </w:p>
        </w:tc>
        <w:tc>
          <w:tcPr>
            <w:tcW w:w="319" w:type="pct"/>
            <w:vAlign w:val="center"/>
          </w:tcPr>
          <w:p w14:paraId="74A0CFD7"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符合</w:t>
            </w:r>
          </w:p>
        </w:tc>
      </w:tr>
      <w:tr w:rsidR="002662E3" w:rsidRPr="00E67914" w14:paraId="10ABA22E" w14:textId="77777777" w:rsidTr="00B8457C">
        <w:tc>
          <w:tcPr>
            <w:tcW w:w="674" w:type="pct"/>
            <w:vMerge/>
            <w:vAlign w:val="center"/>
          </w:tcPr>
          <w:p w14:paraId="6A7323E5" w14:textId="77777777" w:rsidR="00A54A8A" w:rsidRPr="00E67914" w:rsidRDefault="00A54A8A">
            <w:pPr>
              <w:jc w:val="center"/>
              <w:rPr>
                <w:rFonts w:ascii="Times New Roman" w:hAnsi="Times New Roman"/>
                <w:snapToGrid w:val="0"/>
                <w:sz w:val="21"/>
                <w:szCs w:val="21"/>
              </w:rPr>
            </w:pPr>
          </w:p>
        </w:tc>
        <w:tc>
          <w:tcPr>
            <w:tcW w:w="298" w:type="pct"/>
            <w:vMerge/>
            <w:vAlign w:val="center"/>
          </w:tcPr>
          <w:p w14:paraId="5E3500D3" w14:textId="77777777" w:rsidR="00A54A8A" w:rsidRPr="00E67914" w:rsidRDefault="00A54A8A">
            <w:pPr>
              <w:jc w:val="center"/>
              <w:rPr>
                <w:rFonts w:ascii="Times New Roman" w:hAnsi="Times New Roman"/>
                <w:kern w:val="2"/>
                <w:sz w:val="21"/>
                <w:szCs w:val="21"/>
              </w:rPr>
            </w:pPr>
          </w:p>
        </w:tc>
        <w:tc>
          <w:tcPr>
            <w:tcW w:w="300" w:type="pct"/>
            <w:vAlign w:val="center"/>
          </w:tcPr>
          <w:p w14:paraId="326D896D"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kern w:val="2"/>
                <w:sz w:val="21"/>
                <w:szCs w:val="21"/>
              </w:rPr>
              <w:t>污染物排放管控</w:t>
            </w:r>
          </w:p>
        </w:tc>
        <w:tc>
          <w:tcPr>
            <w:tcW w:w="2763" w:type="pct"/>
            <w:vAlign w:val="center"/>
          </w:tcPr>
          <w:p w14:paraId="2F3DEE38"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现有源提标升级改造：</w:t>
            </w:r>
          </w:p>
          <w:p w14:paraId="75E8A917"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在矿产资源开发活动集中区域，废水执行重金属污染物排放特别限值。</w:t>
            </w:r>
          </w:p>
          <w:p w14:paraId="79ABD3E2"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火电、水泥等行业按相关要求推进大气污染物超低排放和深度治理。</w:t>
            </w:r>
          </w:p>
          <w:p w14:paraId="4FEC811B"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砖瓦行业实施脱硫、除尘升级改造，污染物排放达到《砖瓦工业大气污染物排放标准》相关要求。</w:t>
            </w:r>
          </w:p>
          <w:p w14:paraId="3F21DA53"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lastRenderedPageBreak/>
              <w:t>新增源等量或倍量替代：</w:t>
            </w:r>
          </w:p>
          <w:p w14:paraId="10C1831D"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上一年度水环境质量未完成目标的，新建排放水污染的建设项目按照总量管控要求进行倍量削减替代。</w:t>
            </w:r>
          </w:p>
          <w:p w14:paraId="6ACFA4A8"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上一年度空气质量年平均浓度不达标的城市，建设项目新增相关污染物按照总量管控要求进行倍量削减替代。</w:t>
            </w:r>
          </w:p>
          <w:p w14:paraId="3AECB8EB"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大气环境重点管控区内，新增大气污染物排放的建设项目实施总量削减替代。</w:t>
            </w:r>
          </w:p>
          <w:p w14:paraId="267EDAD3"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污染物排放绩效水平准入要求：</w:t>
            </w:r>
          </w:p>
          <w:p w14:paraId="6B9DA71E"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屠宰项目必须配套污水处理设施或进入城市污水管网。</w:t>
            </w:r>
          </w:p>
          <w:p w14:paraId="1A211B45"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大气环境重点管控区内加强</w:t>
            </w:r>
            <w:r w:rsidRPr="00E67914">
              <w:rPr>
                <w:rFonts w:eastAsia="宋体"/>
                <w:sz w:val="21"/>
              </w:rPr>
              <w:t>“</w:t>
            </w:r>
            <w:r w:rsidRPr="00E67914">
              <w:rPr>
                <w:rFonts w:eastAsia="宋体"/>
                <w:sz w:val="21"/>
              </w:rPr>
              <w:t>高架源</w:t>
            </w:r>
            <w:r w:rsidRPr="00E67914">
              <w:rPr>
                <w:rFonts w:eastAsia="宋体"/>
                <w:sz w:val="21"/>
              </w:rPr>
              <w:t>”</w:t>
            </w:r>
            <w:r w:rsidRPr="00E67914">
              <w:rPr>
                <w:rFonts w:eastAsia="宋体"/>
                <w:sz w:val="21"/>
              </w:rPr>
              <w:t>污染治理，深化施工扬尘监管，严格落实</w:t>
            </w:r>
            <w:r w:rsidRPr="00E67914">
              <w:rPr>
                <w:rFonts w:eastAsia="宋体"/>
                <w:sz w:val="21"/>
              </w:rPr>
              <w:t>“</w:t>
            </w:r>
            <w:r w:rsidRPr="00E67914">
              <w:rPr>
                <w:rFonts w:eastAsia="宋体"/>
                <w:sz w:val="21"/>
              </w:rPr>
              <w:t>六必须、六不准</w:t>
            </w:r>
            <w:r w:rsidRPr="00E67914">
              <w:rPr>
                <w:rFonts w:eastAsia="宋体"/>
                <w:sz w:val="21"/>
              </w:rPr>
              <w:t>”</w:t>
            </w:r>
            <w:r w:rsidRPr="00E67914">
              <w:rPr>
                <w:rFonts w:eastAsia="宋体"/>
                <w:sz w:val="21"/>
              </w:rPr>
              <w:t>管控要求，强化道路施工管控，提高道路清扫机械化和精细化作业水平。</w:t>
            </w:r>
          </w:p>
          <w:p w14:paraId="031FD2CD"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拟更新：</w:t>
            </w:r>
          </w:p>
          <w:p w14:paraId="76E6C6CE"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至</w:t>
            </w:r>
            <w:r w:rsidRPr="00E67914">
              <w:rPr>
                <w:rFonts w:eastAsia="宋体"/>
                <w:sz w:val="21"/>
              </w:rPr>
              <w:t>2022</w:t>
            </w:r>
            <w:r w:rsidRPr="00E67914">
              <w:rPr>
                <w:rFonts w:eastAsia="宋体"/>
                <w:sz w:val="21"/>
              </w:rPr>
              <w:t>年底，基本实现乡镇污水处理设施全覆盖，配套建设污水收集管网，乡镇污水处理率达到</w:t>
            </w:r>
            <w:r w:rsidRPr="00E67914">
              <w:rPr>
                <w:rFonts w:eastAsia="宋体"/>
                <w:sz w:val="21"/>
              </w:rPr>
              <w:t>65%</w:t>
            </w:r>
            <w:r w:rsidRPr="00E67914">
              <w:rPr>
                <w:rFonts w:eastAsia="宋体"/>
                <w:sz w:val="21"/>
              </w:rPr>
              <w:t>。</w:t>
            </w:r>
          </w:p>
          <w:p w14:paraId="0E65BFDB"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到</w:t>
            </w:r>
            <w:r w:rsidRPr="00E67914">
              <w:rPr>
                <w:rFonts w:eastAsia="宋体"/>
                <w:sz w:val="21"/>
              </w:rPr>
              <w:t>2023</w:t>
            </w:r>
            <w:r w:rsidRPr="00E67914">
              <w:rPr>
                <w:rFonts w:eastAsia="宋体"/>
                <w:sz w:val="21"/>
              </w:rPr>
              <w:t>年底，力争全市生活垃圾焚烧处理能力占比达</w:t>
            </w:r>
            <w:r w:rsidRPr="00E67914">
              <w:rPr>
                <w:rFonts w:eastAsia="宋体"/>
                <w:sz w:val="21"/>
              </w:rPr>
              <w:t>60%</w:t>
            </w:r>
            <w:r w:rsidRPr="00E67914">
              <w:rPr>
                <w:rFonts w:eastAsia="宋体"/>
                <w:sz w:val="21"/>
              </w:rPr>
              <w:t>以上，各县（市）生活垃圾无害化处理率保持</w:t>
            </w:r>
            <w:r w:rsidRPr="00E67914">
              <w:rPr>
                <w:rFonts w:eastAsia="宋体"/>
                <w:sz w:val="21"/>
              </w:rPr>
              <w:t>95%</w:t>
            </w:r>
            <w:r w:rsidRPr="00E67914">
              <w:rPr>
                <w:rFonts w:eastAsia="宋体"/>
                <w:sz w:val="21"/>
              </w:rPr>
              <w:t>以上，乡镇及行政村生活垃圾收转运处置体系基本实现全覆盖。</w:t>
            </w:r>
          </w:p>
          <w:p w14:paraId="707DF811"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到</w:t>
            </w:r>
            <w:r w:rsidRPr="00E67914">
              <w:rPr>
                <w:rFonts w:eastAsia="宋体"/>
                <w:sz w:val="21"/>
              </w:rPr>
              <w:t>2025</w:t>
            </w:r>
            <w:r w:rsidRPr="00E67914">
              <w:rPr>
                <w:rFonts w:eastAsia="宋体"/>
                <w:sz w:val="21"/>
              </w:rPr>
              <w:t>年，农药包装废弃物回收率达</w:t>
            </w:r>
            <w:r w:rsidRPr="00E67914">
              <w:rPr>
                <w:rFonts w:eastAsia="宋体"/>
                <w:sz w:val="21"/>
              </w:rPr>
              <w:t>80%</w:t>
            </w:r>
            <w:r w:rsidRPr="00E67914">
              <w:rPr>
                <w:rFonts w:eastAsia="宋体"/>
                <w:sz w:val="21"/>
              </w:rPr>
              <w:t>；粮油绿色高质高效示范区、茶叶主产区和现代农业园区农药包装废弃物回收率</w:t>
            </w:r>
            <w:r w:rsidRPr="00E67914">
              <w:rPr>
                <w:rFonts w:eastAsia="宋体"/>
                <w:sz w:val="21"/>
              </w:rPr>
              <w:t>100%</w:t>
            </w:r>
            <w:r w:rsidRPr="00E67914">
              <w:rPr>
                <w:rFonts w:eastAsia="宋体"/>
                <w:sz w:val="21"/>
              </w:rPr>
              <w:t>。</w:t>
            </w:r>
          </w:p>
          <w:p w14:paraId="2BA29744"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到</w:t>
            </w:r>
            <w:r w:rsidRPr="00E67914">
              <w:rPr>
                <w:rFonts w:eastAsia="宋体"/>
                <w:sz w:val="21"/>
              </w:rPr>
              <w:t>2025</w:t>
            </w:r>
            <w:r w:rsidRPr="00E67914">
              <w:rPr>
                <w:rFonts w:eastAsia="宋体"/>
                <w:sz w:val="21"/>
              </w:rPr>
              <w:t>年，全国主要农作物化肥、农药利用率达</w:t>
            </w:r>
            <w:r w:rsidRPr="00E67914">
              <w:rPr>
                <w:rFonts w:eastAsia="宋体"/>
                <w:sz w:val="21"/>
              </w:rPr>
              <w:t>43%</w:t>
            </w:r>
            <w:r w:rsidRPr="00E67914">
              <w:rPr>
                <w:rFonts w:eastAsia="宋体"/>
                <w:sz w:val="21"/>
              </w:rPr>
              <w:t>，测土配方施肥技术推广覆盖率保持在</w:t>
            </w:r>
            <w:r w:rsidRPr="00E67914">
              <w:rPr>
                <w:rFonts w:eastAsia="宋体"/>
                <w:sz w:val="21"/>
              </w:rPr>
              <w:t>90%</w:t>
            </w:r>
            <w:r w:rsidRPr="00E67914">
              <w:rPr>
                <w:rFonts w:eastAsia="宋体"/>
                <w:sz w:val="21"/>
              </w:rPr>
              <w:t>以上，控制农村面源污染，采取灌排分离等措施控制农田氮磷流失。</w:t>
            </w:r>
          </w:p>
          <w:p w14:paraId="1791E58C"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到</w:t>
            </w:r>
            <w:r w:rsidRPr="00E67914">
              <w:rPr>
                <w:rFonts w:eastAsia="宋体"/>
                <w:sz w:val="21"/>
              </w:rPr>
              <w:t>2025</w:t>
            </w:r>
            <w:r w:rsidRPr="00E67914">
              <w:rPr>
                <w:rFonts w:eastAsia="宋体"/>
                <w:sz w:val="21"/>
              </w:rPr>
              <w:t>年，新、改扩建规模化畜禽养殖场（小区）要实施雨污分流、粪便污水资源化利用；规模化畜禽养殖场（小区）粪污处理设施装备配套率达到</w:t>
            </w:r>
            <w:r w:rsidRPr="00E67914">
              <w:rPr>
                <w:rFonts w:eastAsia="宋体"/>
                <w:sz w:val="21"/>
              </w:rPr>
              <w:t>95%</w:t>
            </w:r>
            <w:r w:rsidRPr="00E67914">
              <w:rPr>
                <w:rFonts w:eastAsia="宋体"/>
                <w:sz w:val="21"/>
              </w:rPr>
              <w:t>以上，粪污综合利用率达到</w:t>
            </w:r>
            <w:r w:rsidRPr="00E67914">
              <w:rPr>
                <w:rFonts w:eastAsia="宋体"/>
                <w:sz w:val="21"/>
              </w:rPr>
              <w:t>80%</w:t>
            </w:r>
            <w:r w:rsidRPr="00E67914">
              <w:rPr>
                <w:rFonts w:eastAsia="宋体"/>
                <w:sz w:val="21"/>
              </w:rPr>
              <w:t>以上，大型规模养殖场粪污处理设施装备配套率达到</w:t>
            </w:r>
            <w:r w:rsidRPr="00E67914">
              <w:rPr>
                <w:rFonts w:eastAsia="宋体"/>
                <w:sz w:val="21"/>
              </w:rPr>
              <w:t>100%</w:t>
            </w:r>
            <w:r w:rsidRPr="00E67914">
              <w:rPr>
                <w:rFonts w:eastAsia="宋体"/>
                <w:sz w:val="21"/>
              </w:rPr>
              <w:t>，畜禽粪污基本实现资源化利用；散养密集区要实行畜禽粪便污水分户收集、集中处理利用。</w:t>
            </w:r>
          </w:p>
          <w:p w14:paraId="531FD72B"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到</w:t>
            </w:r>
            <w:r w:rsidRPr="00E67914">
              <w:rPr>
                <w:rFonts w:eastAsia="宋体"/>
                <w:sz w:val="21"/>
              </w:rPr>
              <w:t>2025</w:t>
            </w:r>
            <w:r w:rsidRPr="00E67914">
              <w:rPr>
                <w:rFonts w:eastAsia="宋体"/>
                <w:sz w:val="21"/>
              </w:rPr>
              <w:t>年，废旧农膜回收利用率达到</w:t>
            </w:r>
            <w:r w:rsidRPr="00E67914">
              <w:rPr>
                <w:rFonts w:eastAsia="宋体"/>
                <w:sz w:val="21"/>
              </w:rPr>
              <w:t>85%</w:t>
            </w:r>
            <w:r w:rsidRPr="00E67914">
              <w:rPr>
                <w:rFonts w:eastAsia="宋体"/>
                <w:sz w:val="21"/>
              </w:rPr>
              <w:t>以上。</w:t>
            </w:r>
          </w:p>
        </w:tc>
        <w:tc>
          <w:tcPr>
            <w:tcW w:w="646" w:type="pct"/>
            <w:vAlign w:val="center"/>
          </w:tcPr>
          <w:p w14:paraId="078E6604" w14:textId="5C63CE33" w:rsidR="00A54A8A" w:rsidRPr="00E67914" w:rsidRDefault="00000000">
            <w:pPr>
              <w:pStyle w:val="22"/>
              <w:spacing w:line="240" w:lineRule="auto"/>
              <w:ind w:firstLine="0"/>
              <w:jc w:val="center"/>
              <w:rPr>
                <w:rFonts w:ascii="Times New Roman" w:eastAsia="宋体"/>
                <w:b w:val="0"/>
                <w:bCs w:val="0"/>
                <w:snapToGrid w:val="0"/>
                <w:sz w:val="21"/>
                <w:szCs w:val="21"/>
              </w:rPr>
            </w:pPr>
            <w:r w:rsidRPr="00E67914">
              <w:rPr>
                <w:rFonts w:ascii="Times New Roman" w:eastAsia="宋体"/>
                <w:b w:val="0"/>
                <w:bCs w:val="0"/>
                <w:sz w:val="21"/>
                <w:szCs w:val="21"/>
              </w:rPr>
              <w:lastRenderedPageBreak/>
              <w:t>钻井废水暂存于清洁生产操作平台的废水罐内，</w:t>
            </w:r>
            <w:r w:rsidR="006956BC" w:rsidRPr="00E67914">
              <w:rPr>
                <w:rFonts w:ascii="Times New Roman" w:eastAsia="宋体"/>
                <w:b w:val="0"/>
                <w:bCs w:val="0"/>
                <w:sz w:val="21"/>
                <w:szCs w:val="21"/>
              </w:rPr>
              <w:t>定期</w:t>
            </w:r>
            <w:r w:rsidRPr="00E67914">
              <w:rPr>
                <w:rFonts w:ascii="Times New Roman" w:eastAsia="宋体"/>
                <w:b w:val="0"/>
                <w:bCs w:val="0"/>
                <w:sz w:val="21"/>
                <w:szCs w:val="21"/>
              </w:rPr>
              <w:t>装车拉运至普光</w:t>
            </w:r>
            <w:r w:rsidRPr="00E67914">
              <w:rPr>
                <w:rFonts w:ascii="Times New Roman" w:eastAsia="宋体"/>
                <w:b w:val="0"/>
                <w:bCs w:val="0"/>
                <w:sz w:val="21"/>
                <w:szCs w:val="21"/>
              </w:rPr>
              <w:t>11</w:t>
            </w:r>
            <w:r w:rsidRPr="00E67914">
              <w:rPr>
                <w:rFonts w:ascii="Times New Roman" w:eastAsia="宋体"/>
                <w:b w:val="0"/>
                <w:bCs w:val="0"/>
                <w:sz w:val="21"/>
                <w:szCs w:val="21"/>
              </w:rPr>
              <w:t>井回注站</w:t>
            </w:r>
            <w:r w:rsidRPr="00E67914">
              <w:rPr>
                <w:rFonts w:ascii="Times New Roman" w:eastAsia="宋体"/>
                <w:b w:val="0"/>
                <w:bCs w:val="0"/>
                <w:sz w:val="21"/>
                <w:szCs w:val="21"/>
              </w:rPr>
              <w:lastRenderedPageBreak/>
              <w:t>回注；压裂废水和洗井废水暂存于放喷池，装车拉运至赵家坝污水处理站达标后管输至普光</w:t>
            </w:r>
            <w:r w:rsidRPr="00E67914">
              <w:rPr>
                <w:rFonts w:ascii="Times New Roman" w:eastAsia="宋体"/>
                <w:b w:val="0"/>
                <w:bCs w:val="0"/>
                <w:sz w:val="21"/>
                <w:szCs w:val="21"/>
              </w:rPr>
              <w:t>11</w:t>
            </w:r>
            <w:r w:rsidRPr="00E67914">
              <w:rPr>
                <w:rFonts w:ascii="Times New Roman" w:eastAsia="宋体"/>
                <w:b w:val="0"/>
                <w:bCs w:val="0"/>
                <w:sz w:val="21"/>
                <w:szCs w:val="21"/>
              </w:rPr>
              <w:t>井回注站回注，</w:t>
            </w:r>
            <w:r w:rsidRPr="00E67914">
              <w:rPr>
                <w:rFonts w:ascii="Times New Roman" w:eastAsia="宋体"/>
                <w:b w:val="0"/>
                <w:bCs w:val="0"/>
                <w:snapToGrid w:val="0"/>
                <w:sz w:val="21"/>
                <w:szCs w:val="21"/>
              </w:rPr>
              <w:t>不外排。</w:t>
            </w:r>
            <w:r w:rsidR="00112965" w:rsidRPr="00E67914">
              <w:rPr>
                <w:rFonts w:ascii="Times New Roman" w:eastAsia="宋体"/>
                <w:b w:val="0"/>
                <w:bCs w:val="0"/>
                <w:snapToGrid w:val="0"/>
                <w:sz w:val="21"/>
                <w:szCs w:val="21"/>
              </w:rPr>
              <w:t>生活污水经收集后均由密闭罐车定期拉运至当地污水处理厂处理</w:t>
            </w:r>
          </w:p>
        </w:tc>
        <w:tc>
          <w:tcPr>
            <w:tcW w:w="319" w:type="pct"/>
            <w:vAlign w:val="center"/>
          </w:tcPr>
          <w:p w14:paraId="7CEC4F50"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lastRenderedPageBreak/>
              <w:t>符合</w:t>
            </w:r>
          </w:p>
        </w:tc>
      </w:tr>
      <w:tr w:rsidR="002662E3" w:rsidRPr="00E67914" w14:paraId="37354076" w14:textId="77777777" w:rsidTr="00B8457C">
        <w:tc>
          <w:tcPr>
            <w:tcW w:w="674" w:type="pct"/>
            <w:vMerge/>
            <w:vAlign w:val="center"/>
          </w:tcPr>
          <w:p w14:paraId="23798AC4" w14:textId="77777777" w:rsidR="00A54A8A" w:rsidRPr="00E67914" w:rsidRDefault="00A54A8A">
            <w:pPr>
              <w:jc w:val="center"/>
              <w:rPr>
                <w:rFonts w:ascii="Times New Roman" w:hAnsi="Times New Roman"/>
                <w:snapToGrid w:val="0"/>
                <w:sz w:val="21"/>
                <w:szCs w:val="21"/>
              </w:rPr>
            </w:pPr>
          </w:p>
        </w:tc>
        <w:tc>
          <w:tcPr>
            <w:tcW w:w="298" w:type="pct"/>
            <w:vMerge/>
            <w:vAlign w:val="center"/>
          </w:tcPr>
          <w:p w14:paraId="08CD42B2" w14:textId="77777777" w:rsidR="00A54A8A" w:rsidRPr="00E67914" w:rsidRDefault="00A54A8A">
            <w:pPr>
              <w:jc w:val="center"/>
              <w:rPr>
                <w:rFonts w:ascii="Times New Roman" w:hAnsi="Times New Roman"/>
                <w:kern w:val="2"/>
                <w:sz w:val="21"/>
                <w:szCs w:val="21"/>
              </w:rPr>
            </w:pPr>
          </w:p>
        </w:tc>
        <w:tc>
          <w:tcPr>
            <w:tcW w:w="300" w:type="pct"/>
            <w:vAlign w:val="center"/>
          </w:tcPr>
          <w:p w14:paraId="458450B3"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环境风险防控</w:t>
            </w:r>
          </w:p>
        </w:tc>
        <w:tc>
          <w:tcPr>
            <w:tcW w:w="2763" w:type="pct"/>
            <w:vAlign w:val="center"/>
          </w:tcPr>
          <w:p w14:paraId="0018B90D"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企业环境风险防控要求：</w:t>
            </w:r>
          </w:p>
          <w:p w14:paraId="4F7FC8EA"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工业企业退出用地，须经评估、修复满足相应用地功能后，方可改变用途。</w:t>
            </w:r>
          </w:p>
          <w:p w14:paraId="744BA4C1"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加强</w:t>
            </w:r>
            <w:r w:rsidRPr="00E67914">
              <w:rPr>
                <w:rFonts w:eastAsia="宋体"/>
                <w:sz w:val="21"/>
              </w:rPr>
              <w:t>“</w:t>
            </w:r>
            <w:r w:rsidRPr="00E67914">
              <w:rPr>
                <w:rFonts w:eastAsia="宋体"/>
                <w:sz w:val="21"/>
              </w:rPr>
              <w:t>散乱污</w:t>
            </w:r>
            <w:r w:rsidRPr="00E67914">
              <w:rPr>
                <w:rFonts w:eastAsia="宋体"/>
                <w:sz w:val="21"/>
              </w:rPr>
              <w:t>”</w:t>
            </w:r>
            <w:r w:rsidRPr="00E67914">
              <w:rPr>
                <w:rFonts w:eastAsia="宋体"/>
                <w:sz w:val="21"/>
              </w:rPr>
              <w:t>企业环境风险防控。</w:t>
            </w:r>
          </w:p>
          <w:p w14:paraId="14FC6F3C"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拟新增：</w:t>
            </w:r>
          </w:p>
          <w:p w14:paraId="334412A9"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w:t>
            </w:r>
          </w:p>
          <w:p w14:paraId="558CAA45"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用地环境风险防控要求：</w:t>
            </w:r>
          </w:p>
          <w:p w14:paraId="106D00D8"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严禁将城镇生活垃圾、污泥、工业废物直接用作肥料，禁止处理不达标的污泥进入耕地；禁止在农用地排放、倾倒、使用污泥、清淤底泥、尾矿（渣）等可能对土壤造成污染的固体废物。</w:t>
            </w:r>
          </w:p>
          <w:p w14:paraId="40C627E6"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定期对单元内尾矿库进行风险巡查，建立监测系统和环境风险应急预案；完善各尾矿库渗滤液收集、处理、回用系统，杜绝事故排放；尾矿库闭矿后因地制宜进行植被恢复和综合利用。</w:t>
            </w:r>
          </w:p>
          <w:p w14:paraId="0CF57CB2"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规范排土场、渣场等整治。</w:t>
            </w:r>
          </w:p>
          <w:p w14:paraId="40BD7FD9"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拟新增：</w:t>
            </w:r>
          </w:p>
          <w:p w14:paraId="40DE70BD"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禁止处理不达标的污泥进入耕地。</w:t>
            </w:r>
          </w:p>
          <w:p w14:paraId="3097D263"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严格控制林地、草地、园地的农药使用量，禁止使用高毒、高残留农药。</w:t>
            </w:r>
          </w:p>
          <w:p w14:paraId="4B6EDDA1"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到</w:t>
            </w:r>
            <w:r w:rsidRPr="00E67914">
              <w:rPr>
                <w:rFonts w:eastAsia="宋体"/>
                <w:sz w:val="21"/>
              </w:rPr>
              <w:t>2030</w:t>
            </w:r>
            <w:r w:rsidRPr="00E67914">
              <w:rPr>
                <w:rFonts w:eastAsia="宋体"/>
                <w:sz w:val="21"/>
              </w:rPr>
              <w:t>年，全市受污染耕地安全利用率达到</w:t>
            </w:r>
            <w:r w:rsidRPr="00E67914">
              <w:rPr>
                <w:rFonts w:eastAsia="宋体"/>
                <w:sz w:val="21"/>
              </w:rPr>
              <w:t>95%</w:t>
            </w:r>
            <w:r w:rsidRPr="00E67914">
              <w:rPr>
                <w:rFonts w:eastAsia="宋体"/>
                <w:sz w:val="21"/>
              </w:rPr>
              <w:t>以上，污染地块安全利用率达到</w:t>
            </w:r>
            <w:r w:rsidRPr="00E67914">
              <w:rPr>
                <w:rFonts w:eastAsia="宋体"/>
                <w:sz w:val="21"/>
              </w:rPr>
              <w:t>95%</w:t>
            </w:r>
            <w:r w:rsidRPr="00E67914">
              <w:rPr>
                <w:rFonts w:eastAsia="宋体"/>
                <w:sz w:val="21"/>
              </w:rPr>
              <w:t>以上。</w:t>
            </w:r>
          </w:p>
        </w:tc>
        <w:tc>
          <w:tcPr>
            <w:tcW w:w="646" w:type="pct"/>
            <w:vAlign w:val="center"/>
          </w:tcPr>
          <w:p w14:paraId="77395622" w14:textId="77777777" w:rsidR="00A54A8A" w:rsidRPr="00E67914" w:rsidRDefault="00000000">
            <w:pPr>
              <w:pStyle w:val="22"/>
              <w:spacing w:line="240" w:lineRule="auto"/>
              <w:ind w:firstLine="0"/>
              <w:jc w:val="center"/>
              <w:rPr>
                <w:rFonts w:ascii="Times New Roman" w:eastAsia="宋体"/>
                <w:b w:val="0"/>
                <w:bCs w:val="0"/>
                <w:snapToGrid w:val="0"/>
                <w:sz w:val="21"/>
                <w:szCs w:val="21"/>
              </w:rPr>
            </w:pPr>
            <w:r w:rsidRPr="00E67914">
              <w:rPr>
                <w:rFonts w:ascii="Times New Roman" w:eastAsia="宋体"/>
                <w:b w:val="0"/>
                <w:bCs w:val="0"/>
                <w:snapToGrid w:val="0"/>
                <w:sz w:val="21"/>
                <w:szCs w:val="21"/>
              </w:rPr>
              <w:t>本项目严格落实风险防控措施，普光分公司建立了环境突发事故应急预案体。不涉及环境风险防控要求。</w:t>
            </w:r>
          </w:p>
        </w:tc>
        <w:tc>
          <w:tcPr>
            <w:tcW w:w="319" w:type="pct"/>
            <w:vAlign w:val="center"/>
          </w:tcPr>
          <w:p w14:paraId="6DAA3EB9"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符合</w:t>
            </w:r>
          </w:p>
        </w:tc>
      </w:tr>
      <w:tr w:rsidR="002662E3" w:rsidRPr="00E67914" w14:paraId="7FD12E51" w14:textId="77777777" w:rsidTr="00B8457C">
        <w:tc>
          <w:tcPr>
            <w:tcW w:w="674" w:type="pct"/>
            <w:vMerge/>
            <w:vAlign w:val="center"/>
          </w:tcPr>
          <w:p w14:paraId="10F6AF15" w14:textId="77777777" w:rsidR="00A54A8A" w:rsidRPr="00E67914" w:rsidRDefault="00A54A8A">
            <w:pPr>
              <w:jc w:val="center"/>
              <w:rPr>
                <w:rFonts w:ascii="Times New Roman" w:hAnsi="Times New Roman"/>
                <w:snapToGrid w:val="0"/>
                <w:sz w:val="21"/>
                <w:szCs w:val="21"/>
              </w:rPr>
            </w:pPr>
          </w:p>
        </w:tc>
        <w:tc>
          <w:tcPr>
            <w:tcW w:w="298" w:type="pct"/>
            <w:vMerge/>
            <w:vAlign w:val="center"/>
          </w:tcPr>
          <w:p w14:paraId="62A785A7" w14:textId="77777777" w:rsidR="00A54A8A" w:rsidRPr="00E67914" w:rsidRDefault="00A54A8A">
            <w:pPr>
              <w:jc w:val="center"/>
              <w:rPr>
                <w:rFonts w:ascii="Times New Roman" w:hAnsi="Times New Roman"/>
                <w:kern w:val="2"/>
                <w:sz w:val="21"/>
                <w:szCs w:val="21"/>
              </w:rPr>
            </w:pPr>
          </w:p>
        </w:tc>
        <w:tc>
          <w:tcPr>
            <w:tcW w:w="300" w:type="pct"/>
            <w:vAlign w:val="center"/>
          </w:tcPr>
          <w:p w14:paraId="4FBF4D61"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资源开发效率</w:t>
            </w:r>
          </w:p>
        </w:tc>
        <w:tc>
          <w:tcPr>
            <w:tcW w:w="2763" w:type="pct"/>
            <w:vAlign w:val="center"/>
          </w:tcPr>
          <w:p w14:paraId="790869C9"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水资源利用效率要求：</w:t>
            </w:r>
          </w:p>
          <w:p w14:paraId="52CF4545"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更新：</w:t>
            </w:r>
          </w:p>
          <w:p w14:paraId="74A14EA4"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到</w:t>
            </w:r>
            <w:r w:rsidRPr="00E67914">
              <w:rPr>
                <w:rFonts w:eastAsia="宋体"/>
                <w:sz w:val="21"/>
              </w:rPr>
              <w:t>2025</w:t>
            </w:r>
            <w:r w:rsidRPr="00E67914">
              <w:rPr>
                <w:rFonts w:eastAsia="宋体"/>
                <w:sz w:val="21"/>
              </w:rPr>
              <w:t>年，农田灌溉水有效利用系数达到</w:t>
            </w:r>
            <w:r w:rsidRPr="00E67914">
              <w:rPr>
                <w:rFonts w:eastAsia="宋体"/>
                <w:sz w:val="21"/>
              </w:rPr>
              <w:t>0.57</w:t>
            </w:r>
            <w:r w:rsidRPr="00E67914">
              <w:rPr>
                <w:rFonts w:eastAsia="宋体"/>
                <w:sz w:val="21"/>
              </w:rPr>
              <w:t>以上。</w:t>
            </w:r>
          </w:p>
          <w:p w14:paraId="6B52DCF7"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达州市</w:t>
            </w:r>
            <w:r w:rsidRPr="00E67914">
              <w:rPr>
                <w:rFonts w:eastAsia="宋体"/>
                <w:sz w:val="21"/>
              </w:rPr>
              <w:t>2025</w:t>
            </w:r>
            <w:r w:rsidRPr="00E67914">
              <w:rPr>
                <w:rFonts w:eastAsia="宋体"/>
                <w:sz w:val="21"/>
              </w:rPr>
              <w:t>年用水控制总量</w:t>
            </w:r>
            <w:r w:rsidRPr="00E67914">
              <w:rPr>
                <w:rFonts w:eastAsia="宋体"/>
                <w:sz w:val="21"/>
              </w:rPr>
              <w:t>14.6</w:t>
            </w:r>
            <w:r w:rsidRPr="00E67914">
              <w:rPr>
                <w:rFonts w:eastAsia="宋体"/>
                <w:sz w:val="21"/>
              </w:rPr>
              <w:t>亿</w:t>
            </w:r>
            <w:r w:rsidRPr="00E67914">
              <w:rPr>
                <w:rFonts w:eastAsia="宋体"/>
                <w:sz w:val="21"/>
              </w:rPr>
              <w:t>m</w:t>
            </w:r>
            <w:r w:rsidRPr="00E67914">
              <w:rPr>
                <w:rFonts w:eastAsia="宋体"/>
                <w:sz w:val="21"/>
                <w:vertAlign w:val="superscript"/>
              </w:rPr>
              <w:t>3</w:t>
            </w:r>
            <w:r w:rsidRPr="00E67914">
              <w:rPr>
                <w:rFonts w:eastAsia="宋体"/>
                <w:sz w:val="21"/>
              </w:rPr>
              <w:t>（其中地下水开采控制量</w:t>
            </w:r>
            <w:r w:rsidRPr="00E67914">
              <w:rPr>
                <w:rFonts w:eastAsia="宋体"/>
                <w:sz w:val="21"/>
              </w:rPr>
              <w:t>1.09m</w:t>
            </w:r>
            <w:r w:rsidRPr="00E67914">
              <w:rPr>
                <w:rFonts w:eastAsia="宋体"/>
                <w:sz w:val="21"/>
                <w:vertAlign w:val="superscript"/>
              </w:rPr>
              <w:t>3</w:t>
            </w:r>
            <w:r w:rsidRPr="00E67914">
              <w:rPr>
                <w:rFonts w:eastAsia="宋体"/>
                <w:sz w:val="21"/>
              </w:rPr>
              <w:t>），</w:t>
            </w:r>
            <w:r w:rsidRPr="00E67914">
              <w:rPr>
                <w:rFonts w:eastAsia="宋体"/>
                <w:sz w:val="21"/>
              </w:rPr>
              <w:t>2035</w:t>
            </w:r>
            <w:r w:rsidRPr="00E67914">
              <w:rPr>
                <w:rFonts w:eastAsia="宋体"/>
                <w:sz w:val="21"/>
              </w:rPr>
              <w:t>年用水控制总量为</w:t>
            </w:r>
            <w:r w:rsidRPr="00E67914">
              <w:rPr>
                <w:rFonts w:eastAsia="宋体"/>
                <w:sz w:val="21"/>
              </w:rPr>
              <w:t>15.0</w:t>
            </w:r>
            <w:r w:rsidRPr="00E67914">
              <w:rPr>
                <w:rFonts w:eastAsia="宋体"/>
                <w:sz w:val="21"/>
              </w:rPr>
              <w:t>亿</w:t>
            </w:r>
            <w:r w:rsidRPr="00E67914">
              <w:rPr>
                <w:rFonts w:eastAsia="宋体"/>
                <w:sz w:val="21"/>
              </w:rPr>
              <w:t>m</w:t>
            </w:r>
            <w:r w:rsidRPr="00E67914">
              <w:rPr>
                <w:rFonts w:eastAsia="宋体"/>
                <w:sz w:val="21"/>
                <w:vertAlign w:val="superscript"/>
              </w:rPr>
              <w:t>3</w:t>
            </w:r>
            <w:r w:rsidRPr="00E67914">
              <w:rPr>
                <w:rFonts w:eastAsia="宋体"/>
                <w:sz w:val="21"/>
              </w:rPr>
              <w:t>（其中地下水开采控制量</w:t>
            </w:r>
            <w:r w:rsidRPr="00E67914">
              <w:rPr>
                <w:rFonts w:eastAsia="宋体"/>
                <w:sz w:val="21"/>
              </w:rPr>
              <w:t>1.09m</w:t>
            </w:r>
            <w:r w:rsidRPr="00E67914">
              <w:rPr>
                <w:rFonts w:eastAsia="宋体"/>
                <w:sz w:val="21"/>
                <w:vertAlign w:val="superscript"/>
              </w:rPr>
              <w:t>3</w:t>
            </w:r>
            <w:r w:rsidRPr="00E67914">
              <w:rPr>
                <w:rFonts w:eastAsia="宋体"/>
                <w:sz w:val="21"/>
              </w:rPr>
              <w:t>）。</w:t>
            </w:r>
          </w:p>
          <w:p w14:paraId="64F3E571"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能源利用效率要求：</w:t>
            </w:r>
          </w:p>
          <w:p w14:paraId="7BB607AC"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lastRenderedPageBreak/>
              <w:t>-</w:t>
            </w:r>
            <w:r w:rsidRPr="00E67914">
              <w:rPr>
                <w:rFonts w:eastAsia="宋体"/>
                <w:sz w:val="21"/>
              </w:rPr>
              <w:t>推进清洁能源的推广使用，全面推进散煤清洁化整治；禁止新建每小时</w:t>
            </w:r>
            <w:r w:rsidRPr="00E67914">
              <w:rPr>
                <w:rFonts w:eastAsia="宋体"/>
                <w:sz w:val="21"/>
              </w:rPr>
              <w:t>10</w:t>
            </w:r>
            <w:r w:rsidRPr="00E67914">
              <w:rPr>
                <w:rFonts w:eastAsia="宋体"/>
                <w:sz w:val="21"/>
              </w:rPr>
              <w:t>蒸吨以下的燃煤锅炉及其他燃煤设施。</w:t>
            </w:r>
          </w:p>
          <w:p w14:paraId="115159B5"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拟更新：</w:t>
            </w:r>
          </w:p>
          <w:p w14:paraId="78EB30EB"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sz w:val="21"/>
              </w:rPr>
              <w:t>-</w:t>
            </w:r>
            <w:r w:rsidRPr="00E67914">
              <w:rPr>
                <w:rFonts w:eastAsia="宋体"/>
                <w:sz w:val="21"/>
              </w:rPr>
              <w:t>禁止焚烧秸秆和垃圾，到</w:t>
            </w:r>
            <w:r w:rsidRPr="00E67914">
              <w:rPr>
                <w:rFonts w:eastAsia="宋体"/>
                <w:sz w:val="21"/>
              </w:rPr>
              <w:t>2025</w:t>
            </w:r>
            <w:r w:rsidRPr="00E67914">
              <w:rPr>
                <w:rFonts w:eastAsia="宋体"/>
                <w:sz w:val="21"/>
              </w:rPr>
              <w:t>年底，秸秆综合利用率达到</w:t>
            </w:r>
            <w:r w:rsidRPr="00E67914">
              <w:rPr>
                <w:rFonts w:eastAsia="宋体"/>
                <w:sz w:val="21"/>
              </w:rPr>
              <w:t>86%</w:t>
            </w:r>
            <w:r w:rsidRPr="00E67914">
              <w:rPr>
                <w:rFonts w:eastAsia="宋体"/>
                <w:sz w:val="21"/>
              </w:rPr>
              <w:t>以上。</w:t>
            </w:r>
          </w:p>
        </w:tc>
        <w:tc>
          <w:tcPr>
            <w:tcW w:w="646" w:type="pct"/>
            <w:vAlign w:val="center"/>
          </w:tcPr>
          <w:p w14:paraId="71C0A21A" w14:textId="77777777" w:rsidR="00A54A8A" w:rsidRPr="00E67914" w:rsidRDefault="00000000">
            <w:pPr>
              <w:pStyle w:val="Normal00"/>
              <w:widowControl/>
              <w:spacing w:line="240" w:lineRule="auto"/>
              <w:ind w:firstLineChars="0" w:firstLine="0"/>
              <w:jc w:val="center"/>
              <w:rPr>
                <w:rFonts w:eastAsia="宋体"/>
                <w:sz w:val="21"/>
              </w:rPr>
            </w:pPr>
            <w:r w:rsidRPr="00E67914">
              <w:rPr>
                <w:rFonts w:eastAsia="宋体"/>
                <w:sz w:val="21"/>
              </w:rPr>
              <w:lastRenderedPageBreak/>
              <w:t>项目为天然气勘探试采工程，天然气属于清洁能源，符合推进清洁能源的推广使用。</w:t>
            </w:r>
          </w:p>
          <w:p w14:paraId="0617ADAB" w14:textId="77777777" w:rsidR="00A54A8A" w:rsidRPr="00E67914" w:rsidRDefault="00000000">
            <w:pPr>
              <w:pStyle w:val="Normal00"/>
              <w:widowControl/>
              <w:spacing w:line="240" w:lineRule="auto"/>
              <w:ind w:firstLineChars="0" w:firstLine="0"/>
              <w:jc w:val="center"/>
              <w:rPr>
                <w:rFonts w:eastAsia="宋体"/>
                <w:sz w:val="21"/>
              </w:rPr>
            </w:pPr>
            <w:r w:rsidRPr="00E67914">
              <w:rPr>
                <w:rFonts w:eastAsia="宋体"/>
                <w:sz w:val="21"/>
              </w:rPr>
              <w:lastRenderedPageBreak/>
              <w:t>本项目不涉及燃煤设施。</w:t>
            </w:r>
          </w:p>
        </w:tc>
        <w:tc>
          <w:tcPr>
            <w:tcW w:w="319" w:type="pct"/>
            <w:vAlign w:val="center"/>
          </w:tcPr>
          <w:p w14:paraId="556E3417" w14:textId="77777777" w:rsidR="00A54A8A" w:rsidRPr="00E67914" w:rsidRDefault="00000000">
            <w:pPr>
              <w:pStyle w:val="Normal00"/>
              <w:widowControl/>
              <w:spacing w:line="240" w:lineRule="auto"/>
              <w:ind w:firstLineChars="0" w:firstLine="0"/>
              <w:jc w:val="center"/>
              <w:rPr>
                <w:rFonts w:eastAsia="宋体"/>
                <w:sz w:val="21"/>
              </w:rPr>
            </w:pPr>
            <w:r w:rsidRPr="00E67914">
              <w:rPr>
                <w:rFonts w:eastAsia="宋体"/>
                <w:sz w:val="21"/>
              </w:rPr>
              <w:lastRenderedPageBreak/>
              <w:t>符合</w:t>
            </w:r>
          </w:p>
        </w:tc>
      </w:tr>
      <w:tr w:rsidR="002662E3" w:rsidRPr="00E67914" w14:paraId="6CA07E97" w14:textId="77777777" w:rsidTr="00B8457C">
        <w:tc>
          <w:tcPr>
            <w:tcW w:w="674" w:type="pct"/>
            <w:vMerge w:val="restart"/>
            <w:vAlign w:val="center"/>
          </w:tcPr>
          <w:p w14:paraId="16EAE312"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ZH51172230001</w:t>
            </w:r>
          </w:p>
        </w:tc>
        <w:tc>
          <w:tcPr>
            <w:tcW w:w="298" w:type="pct"/>
            <w:vMerge w:val="restart"/>
            <w:vAlign w:val="center"/>
          </w:tcPr>
          <w:p w14:paraId="4C15F6F1" w14:textId="77777777" w:rsidR="00A54A8A" w:rsidRPr="00E67914" w:rsidRDefault="00000000">
            <w:pPr>
              <w:jc w:val="center"/>
              <w:rPr>
                <w:rFonts w:ascii="Times New Roman" w:hAnsi="Times New Roman"/>
                <w:kern w:val="2"/>
                <w:sz w:val="21"/>
                <w:szCs w:val="21"/>
              </w:rPr>
            </w:pPr>
            <w:r w:rsidRPr="00E67914">
              <w:rPr>
                <w:rFonts w:ascii="Times New Roman" w:hAnsi="Times New Roman"/>
                <w:kern w:val="2"/>
                <w:sz w:val="21"/>
                <w:szCs w:val="21"/>
              </w:rPr>
              <w:t>宣汉县一般管控单元</w:t>
            </w:r>
          </w:p>
        </w:tc>
        <w:tc>
          <w:tcPr>
            <w:tcW w:w="300" w:type="pct"/>
            <w:vAlign w:val="center"/>
          </w:tcPr>
          <w:p w14:paraId="01AF4762" w14:textId="77777777" w:rsidR="00A54A8A" w:rsidRPr="00E67914" w:rsidRDefault="00000000">
            <w:pPr>
              <w:jc w:val="center"/>
              <w:rPr>
                <w:rFonts w:ascii="Times New Roman" w:hAnsi="Times New Roman"/>
                <w:kern w:val="2"/>
                <w:sz w:val="21"/>
                <w:szCs w:val="21"/>
              </w:rPr>
            </w:pPr>
            <w:r w:rsidRPr="00E67914">
              <w:rPr>
                <w:rFonts w:ascii="Times New Roman" w:hAnsi="Times New Roman"/>
                <w:sz w:val="21"/>
                <w:szCs w:val="21"/>
              </w:rPr>
              <w:t>空间布局约束</w:t>
            </w:r>
          </w:p>
        </w:tc>
        <w:tc>
          <w:tcPr>
            <w:tcW w:w="2763" w:type="pct"/>
            <w:vAlign w:val="center"/>
          </w:tcPr>
          <w:p w14:paraId="3C52272F"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限制开发建设活动的要求：</w:t>
            </w:r>
          </w:p>
          <w:p w14:paraId="36B612D7"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对四川省主体功能区划中的农产品主产区，应限制进行大规模高强度工业化城镇化开发，严格控制有色金属冶炼、石油加工、化工、焦化、电镀、制革等产能，原则上不增加产能。</w:t>
            </w:r>
          </w:p>
          <w:p w14:paraId="01FD87A5" w14:textId="77777777" w:rsidR="00A54A8A" w:rsidRPr="00E67914" w:rsidRDefault="00000000">
            <w:pPr>
              <w:pStyle w:val="Normal00"/>
              <w:widowControl/>
              <w:spacing w:line="240" w:lineRule="auto"/>
              <w:ind w:firstLineChars="0" w:firstLine="0"/>
              <w:jc w:val="left"/>
              <w:rPr>
                <w:rFonts w:eastAsia="宋体"/>
                <w:b/>
                <w:bCs/>
                <w:sz w:val="21"/>
              </w:rPr>
            </w:pPr>
            <w:r w:rsidRPr="00E67914">
              <w:rPr>
                <w:rFonts w:eastAsia="宋体"/>
                <w:b/>
                <w:bCs/>
                <w:sz w:val="21"/>
              </w:rPr>
              <w:t>位于城镇空间外的工业园区外工业企业：</w:t>
            </w:r>
          </w:p>
          <w:p w14:paraId="764967A1"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14:paraId="79198F83"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其他</w:t>
            </w:r>
            <w:r w:rsidRPr="00E67914">
              <w:rPr>
                <w:rFonts w:eastAsia="宋体"/>
                <w:sz w:val="21"/>
              </w:rPr>
              <w:t>-</w:t>
            </w:r>
            <w:r w:rsidRPr="00E67914">
              <w:rPr>
                <w:rFonts w:eastAsia="宋体"/>
                <w:sz w:val="21"/>
              </w:rPr>
              <w:t>其他参照达州市一般管控单元总体准入要求。</w:t>
            </w:r>
          </w:p>
        </w:tc>
        <w:tc>
          <w:tcPr>
            <w:tcW w:w="646" w:type="pct"/>
            <w:vAlign w:val="center"/>
          </w:tcPr>
          <w:p w14:paraId="64A38774" w14:textId="77777777" w:rsidR="00A54A8A" w:rsidRPr="00E67914" w:rsidRDefault="00000000">
            <w:pPr>
              <w:pStyle w:val="Normal00"/>
              <w:widowControl/>
              <w:spacing w:line="240" w:lineRule="auto"/>
              <w:ind w:firstLineChars="0" w:firstLine="0"/>
              <w:jc w:val="center"/>
              <w:rPr>
                <w:rFonts w:eastAsia="宋体"/>
                <w:sz w:val="21"/>
              </w:rPr>
            </w:pPr>
            <w:r w:rsidRPr="00E67914">
              <w:rPr>
                <w:rFonts w:eastAsia="宋体"/>
                <w:sz w:val="21"/>
              </w:rPr>
              <w:t>本项目为天然气勘探试采工程，</w:t>
            </w:r>
            <w:r w:rsidRPr="00E67914">
              <w:rPr>
                <w:rFonts w:eastAsia="宋体"/>
                <w:snapToGrid w:val="0"/>
                <w:sz w:val="21"/>
              </w:rPr>
              <w:t>符合空间布局要求。</w:t>
            </w:r>
          </w:p>
        </w:tc>
        <w:tc>
          <w:tcPr>
            <w:tcW w:w="319" w:type="pct"/>
            <w:vMerge w:val="restart"/>
            <w:vAlign w:val="center"/>
          </w:tcPr>
          <w:p w14:paraId="70905883" w14:textId="77777777" w:rsidR="00A54A8A" w:rsidRPr="00E67914" w:rsidRDefault="00000000">
            <w:pPr>
              <w:pStyle w:val="Normal00"/>
              <w:widowControl/>
              <w:spacing w:line="240" w:lineRule="auto"/>
              <w:ind w:firstLineChars="0" w:firstLine="0"/>
              <w:jc w:val="center"/>
              <w:rPr>
                <w:rFonts w:eastAsia="宋体"/>
                <w:sz w:val="21"/>
              </w:rPr>
            </w:pPr>
            <w:r w:rsidRPr="00E67914">
              <w:rPr>
                <w:rFonts w:eastAsia="宋体"/>
                <w:sz w:val="21"/>
              </w:rPr>
              <w:t>符合</w:t>
            </w:r>
          </w:p>
        </w:tc>
      </w:tr>
      <w:tr w:rsidR="002662E3" w:rsidRPr="00E67914" w14:paraId="2D3D70E4" w14:textId="77777777" w:rsidTr="00B8457C">
        <w:tc>
          <w:tcPr>
            <w:tcW w:w="674" w:type="pct"/>
            <w:vMerge/>
            <w:vAlign w:val="center"/>
          </w:tcPr>
          <w:p w14:paraId="6425615D" w14:textId="77777777" w:rsidR="00A54A8A" w:rsidRPr="00E67914" w:rsidRDefault="00A54A8A">
            <w:pPr>
              <w:jc w:val="center"/>
              <w:rPr>
                <w:rFonts w:ascii="Times New Roman" w:hAnsi="Times New Roman"/>
                <w:snapToGrid w:val="0"/>
                <w:sz w:val="21"/>
                <w:szCs w:val="21"/>
              </w:rPr>
            </w:pPr>
          </w:p>
        </w:tc>
        <w:tc>
          <w:tcPr>
            <w:tcW w:w="298" w:type="pct"/>
            <w:vMerge/>
            <w:vAlign w:val="center"/>
          </w:tcPr>
          <w:p w14:paraId="09150607" w14:textId="77777777" w:rsidR="00A54A8A" w:rsidRPr="00E67914" w:rsidRDefault="00A54A8A">
            <w:pPr>
              <w:jc w:val="center"/>
              <w:rPr>
                <w:rFonts w:ascii="Times New Roman" w:hAnsi="Times New Roman"/>
                <w:kern w:val="2"/>
                <w:sz w:val="21"/>
                <w:szCs w:val="21"/>
              </w:rPr>
            </w:pPr>
          </w:p>
        </w:tc>
        <w:tc>
          <w:tcPr>
            <w:tcW w:w="300" w:type="pct"/>
            <w:vAlign w:val="center"/>
          </w:tcPr>
          <w:p w14:paraId="0694FAD6" w14:textId="77777777" w:rsidR="00A54A8A" w:rsidRPr="00E67914" w:rsidRDefault="00000000">
            <w:pPr>
              <w:jc w:val="center"/>
              <w:rPr>
                <w:rFonts w:ascii="Times New Roman" w:hAnsi="Times New Roman"/>
                <w:kern w:val="2"/>
                <w:sz w:val="21"/>
                <w:szCs w:val="21"/>
              </w:rPr>
            </w:pPr>
            <w:r w:rsidRPr="00E67914">
              <w:rPr>
                <w:rFonts w:ascii="Times New Roman" w:hAnsi="Times New Roman"/>
                <w:sz w:val="21"/>
                <w:szCs w:val="21"/>
              </w:rPr>
              <w:t>污染物排放管控</w:t>
            </w:r>
          </w:p>
        </w:tc>
        <w:tc>
          <w:tcPr>
            <w:tcW w:w="2763" w:type="pct"/>
            <w:vAlign w:val="center"/>
          </w:tcPr>
          <w:p w14:paraId="1C679160"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污染物排放绩效水平准入要求：</w:t>
            </w:r>
          </w:p>
          <w:p w14:paraId="4C40DB1A"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大气环境布局敏感和弱扩散重点管控区内，现有大气污染重点企业，限期进行深度治理或关停并转。</w:t>
            </w:r>
          </w:p>
          <w:p w14:paraId="6F225C5E"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其他参照达州市一般管控单元总体准入要求。</w:t>
            </w:r>
          </w:p>
        </w:tc>
        <w:tc>
          <w:tcPr>
            <w:tcW w:w="646" w:type="pct"/>
            <w:vAlign w:val="center"/>
          </w:tcPr>
          <w:p w14:paraId="143E7FE2" w14:textId="77777777" w:rsidR="00A54A8A" w:rsidRPr="00E67914" w:rsidRDefault="00000000">
            <w:pPr>
              <w:pStyle w:val="Normal00"/>
              <w:widowControl/>
              <w:spacing w:line="240" w:lineRule="auto"/>
              <w:ind w:firstLineChars="0" w:firstLine="0"/>
              <w:jc w:val="center"/>
              <w:rPr>
                <w:rFonts w:eastAsia="宋体"/>
                <w:sz w:val="21"/>
              </w:rPr>
            </w:pPr>
            <w:r w:rsidRPr="00E67914">
              <w:rPr>
                <w:rFonts w:eastAsia="宋体"/>
                <w:sz w:val="21"/>
              </w:rPr>
              <w:t>本项目为天然气勘探试采工程，</w:t>
            </w:r>
            <w:r w:rsidRPr="00E67914">
              <w:rPr>
                <w:rFonts w:eastAsia="宋体"/>
                <w:snapToGrid w:val="0"/>
                <w:sz w:val="21"/>
              </w:rPr>
              <w:t>不属于重点污染企业。</w:t>
            </w:r>
          </w:p>
        </w:tc>
        <w:tc>
          <w:tcPr>
            <w:tcW w:w="319" w:type="pct"/>
            <w:vMerge/>
            <w:vAlign w:val="center"/>
          </w:tcPr>
          <w:p w14:paraId="3CBCACC9" w14:textId="77777777" w:rsidR="00A54A8A" w:rsidRPr="00E67914" w:rsidRDefault="00A54A8A">
            <w:pPr>
              <w:pStyle w:val="Normal00"/>
              <w:spacing w:line="240" w:lineRule="auto"/>
              <w:ind w:firstLine="420"/>
              <w:jc w:val="center"/>
              <w:rPr>
                <w:rFonts w:eastAsia="宋体"/>
                <w:sz w:val="21"/>
              </w:rPr>
            </w:pPr>
          </w:p>
        </w:tc>
      </w:tr>
      <w:tr w:rsidR="002662E3" w:rsidRPr="00E67914" w14:paraId="26CBDA88" w14:textId="77777777" w:rsidTr="00B8457C">
        <w:tc>
          <w:tcPr>
            <w:tcW w:w="674" w:type="pct"/>
            <w:vMerge/>
            <w:vAlign w:val="center"/>
          </w:tcPr>
          <w:p w14:paraId="29209473" w14:textId="77777777" w:rsidR="00A54A8A" w:rsidRPr="00E67914" w:rsidRDefault="00A54A8A">
            <w:pPr>
              <w:jc w:val="center"/>
              <w:rPr>
                <w:rFonts w:ascii="Times New Roman" w:hAnsi="Times New Roman"/>
                <w:snapToGrid w:val="0"/>
                <w:sz w:val="21"/>
                <w:szCs w:val="21"/>
                <w:lang w:eastAsia="zh-CN"/>
              </w:rPr>
            </w:pPr>
          </w:p>
        </w:tc>
        <w:tc>
          <w:tcPr>
            <w:tcW w:w="298" w:type="pct"/>
            <w:vMerge/>
            <w:vAlign w:val="center"/>
          </w:tcPr>
          <w:p w14:paraId="61EBCD67" w14:textId="77777777" w:rsidR="00A54A8A" w:rsidRPr="00E67914" w:rsidRDefault="00A54A8A">
            <w:pPr>
              <w:jc w:val="center"/>
              <w:rPr>
                <w:rFonts w:ascii="Times New Roman" w:hAnsi="Times New Roman"/>
                <w:kern w:val="2"/>
                <w:sz w:val="21"/>
                <w:szCs w:val="21"/>
                <w:lang w:eastAsia="zh-CN"/>
              </w:rPr>
            </w:pPr>
          </w:p>
        </w:tc>
        <w:tc>
          <w:tcPr>
            <w:tcW w:w="300" w:type="pct"/>
            <w:vAlign w:val="center"/>
          </w:tcPr>
          <w:p w14:paraId="2E33C927" w14:textId="77777777" w:rsidR="00A54A8A" w:rsidRPr="00E67914" w:rsidRDefault="00000000">
            <w:pPr>
              <w:jc w:val="center"/>
              <w:rPr>
                <w:rFonts w:ascii="Times New Roman" w:hAnsi="Times New Roman"/>
                <w:kern w:val="2"/>
                <w:sz w:val="21"/>
                <w:szCs w:val="21"/>
              </w:rPr>
            </w:pPr>
            <w:r w:rsidRPr="00E67914">
              <w:rPr>
                <w:rFonts w:ascii="Times New Roman" w:hAnsi="Times New Roman"/>
                <w:sz w:val="21"/>
                <w:szCs w:val="21"/>
              </w:rPr>
              <w:t>环境风险防控</w:t>
            </w:r>
          </w:p>
        </w:tc>
        <w:tc>
          <w:tcPr>
            <w:tcW w:w="2763" w:type="pct"/>
            <w:vAlign w:val="center"/>
          </w:tcPr>
          <w:p w14:paraId="13B8A3C1"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其他参照达州市一般管控单元总体准入要求。</w:t>
            </w:r>
          </w:p>
        </w:tc>
        <w:tc>
          <w:tcPr>
            <w:tcW w:w="646" w:type="pct"/>
            <w:vAlign w:val="center"/>
          </w:tcPr>
          <w:p w14:paraId="2D6EDAA3" w14:textId="77777777" w:rsidR="00A54A8A" w:rsidRPr="00E67914" w:rsidRDefault="00000000">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Merge/>
            <w:vAlign w:val="center"/>
          </w:tcPr>
          <w:p w14:paraId="10C6698C" w14:textId="77777777" w:rsidR="00A54A8A" w:rsidRPr="00E67914" w:rsidRDefault="00A54A8A">
            <w:pPr>
              <w:pStyle w:val="Normal00"/>
              <w:spacing w:line="240" w:lineRule="auto"/>
              <w:ind w:firstLine="420"/>
              <w:jc w:val="center"/>
              <w:rPr>
                <w:rFonts w:eastAsia="宋体"/>
                <w:sz w:val="21"/>
              </w:rPr>
            </w:pPr>
          </w:p>
        </w:tc>
      </w:tr>
      <w:tr w:rsidR="002662E3" w:rsidRPr="00E67914" w14:paraId="0FAE0DA7" w14:textId="77777777" w:rsidTr="00B8457C">
        <w:tc>
          <w:tcPr>
            <w:tcW w:w="674" w:type="pct"/>
            <w:vMerge/>
            <w:vAlign w:val="center"/>
          </w:tcPr>
          <w:p w14:paraId="758B4F7F" w14:textId="77777777" w:rsidR="00A54A8A" w:rsidRPr="00E67914" w:rsidRDefault="00A54A8A">
            <w:pPr>
              <w:jc w:val="center"/>
              <w:rPr>
                <w:rFonts w:ascii="Times New Roman" w:hAnsi="Times New Roman"/>
                <w:snapToGrid w:val="0"/>
                <w:sz w:val="21"/>
                <w:szCs w:val="21"/>
              </w:rPr>
            </w:pPr>
          </w:p>
        </w:tc>
        <w:tc>
          <w:tcPr>
            <w:tcW w:w="298" w:type="pct"/>
            <w:vMerge/>
            <w:vAlign w:val="center"/>
          </w:tcPr>
          <w:p w14:paraId="7C75AEE6" w14:textId="77777777" w:rsidR="00A54A8A" w:rsidRPr="00E67914" w:rsidRDefault="00A54A8A">
            <w:pPr>
              <w:jc w:val="center"/>
              <w:rPr>
                <w:rFonts w:ascii="Times New Roman" w:hAnsi="Times New Roman"/>
                <w:kern w:val="2"/>
                <w:sz w:val="21"/>
                <w:szCs w:val="21"/>
              </w:rPr>
            </w:pPr>
          </w:p>
        </w:tc>
        <w:tc>
          <w:tcPr>
            <w:tcW w:w="300" w:type="pct"/>
            <w:vAlign w:val="center"/>
          </w:tcPr>
          <w:p w14:paraId="49C39FD2" w14:textId="77777777" w:rsidR="00A54A8A" w:rsidRPr="00E67914" w:rsidRDefault="00000000">
            <w:pPr>
              <w:jc w:val="center"/>
              <w:rPr>
                <w:rFonts w:ascii="Times New Roman" w:hAnsi="Times New Roman"/>
                <w:kern w:val="2"/>
                <w:sz w:val="21"/>
                <w:szCs w:val="21"/>
              </w:rPr>
            </w:pPr>
            <w:r w:rsidRPr="00E67914">
              <w:rPr>
                <w:rFonts w:ascii="Times New Roman" w:hAnsi="Times New Roman"/>
                <w:sz w:val="21"/>
                <w:szCs w:val="21"/>
              </w:rPr>
              <w:t>资源开发效率</w:t>
            </w:r>
          </w:p>
        </w:tc>
        <w:tc>
          <w:tcPr>
            <w:tcW w:w="2763" w:type="pct"/>
            <w:vAlign w:val="center"/>
          </w:tcPr>
          <w:p w14:paraId="70D71546" w14:textId="77777777" w:rsidR="00A54A8A" w:rsidRPr="00E67914" w:rsidRDefault="00000000">
            <w:pPr>
              <w:pStyle w:val="Normal00"/>
              <w:widowControl/>
              <w:spacing w:line="240" w:lineRule="auto"/>
              <w:ind w:firstLineChars="0" w:firstLine="0"/>
              <w:jc w:val="left"/>
              <w:rPr>
                <w:rFonts w:eastAsia="宋体"/>
                <w:sz w:val="21"/>
              </w:rPr>
            </w:pPr>
            <w:r w:rsidRPr="00E67914">
              <w:rPr>
                <w:rFonts w:eastAsia="宋体"/>
                <w:sz w:val="21"/>
              </w:rPr>
              <w:t>-</w:t>
            </w:r>
            <w:r w:rsidRPr="00E67914">
              <w:rPr>
                <w:rFonts w:eastAsia="宋体"/>
                <w:sz w:val="21"/>
              </w:rPr>
              <w:t>其他参照达州市一般管控单元总体准入要求。</w:t>
            </w:r>
          </w:p>
        </w:tc>
        <w:tc>
          <w:tcPr>
            <w:tcW w:w="646" w:type="pct"/>
            <w:vAlign w:val="center"/>
          </w:tcPr>
          <w:p w14:paraId="06582468" w14:textId="77777777" w:rsidR="00A54A8A" w:rsidRPr="00E67914" w:rsidRDefault="00000000">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Merge/>
            <w:vAlign w:val="center"/>
          </w:tcPr>
          <w:p w14:paraId="7E795490" w14:textId="77777777" w:rsidR="00A54A8A" w:rsidRPr="00E67914" w:rsidRDefault="00A54A8A">
            <w:pPr>
              <w:pStyle w:val="Normal00"/>
              <w:widowControl/>
              <w:spacing w:line="240" w:lineRule="auto"/>
              <w:ind w:firstLineChars="0" w:firstLine="0"/>
              <w:jc w:val="center"/>
              <w:rPr>
                <w:rFonts w:eastAsia="宋体"/>
                <w:sz w:val="21"/>
              </w:rPr>
            </w:pPr>
          </w:p>
        </w:tc>
      </w:tr>
      <w:tr w:rsidR="00B8457C" w:rsidRPr="00E67914" w14:paraId="0A0B49C4" w14:textId="77777777" w:rsidTr="00B8457C">
        <w:tc>
          <w:tcPr>
            <w:tcW w:w="674" w:type="pct"/>
            <w:vMerge w:val="restart"/>
            <w:vAlign w:val="center"/>
          </w:tcPr>
          <w:p w14:paraId="698317ED" w14:textId="193F5591" w:rsidR="00B8457C" w:rsidRPr="00E67914" w:rsidRDefault="00B8457C" w:rsidP="00B8457C">
            <w:pPr>
              <w:jc w:val="center"/>
              <w:rPr>
                <w:rFonts w:ascii="Times New Roman" w:hAnsi="Times New Roman"/>
                <w:snapToGrid w:val="0"/>
                <w:sz w:val="21"/>
                <w:szCs w:val="21"/>
              </w:rPr>
            </w:pPr>
            <w:r w:rsidRPr="00E67914">
              <w:rPr>
                <w:rFonts w:ascii="Times New Roman" w:hAnsi="Times New Roman"/>
                <w:snapToGrid w:val="0"/>
                <w:sz w:val="21"/>
                <w:szCs w:val="21"/>
              </w:rPr>
              <w:lastRenderedPageBreak/>
              <w:t>YS5117221410003</w:t>
            </w:r>
          </w:p>
        </w:tc>
        <w:tc>
          <w:tcPr>
            <w:tcW w:w="298" w:type="pct"/>
            <w:vMerge w:val="restart"/>
            <w:vAlign w:val="center"/>
          </w:tcPr>
          <w:p w14:paraId="6539E152" w14:textId="23125981" w:rsidR="00B8457C" w:rsidRPr="00E67914" w:rsidRDefault="00B8457C" w:rsidP="00B8457C">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宣汉县土壤优先保护区</w:t>
            </w:r>
          </w:p>
        </w:tc>
        <w:tc>
          <w:tcPr>
            <w:tcW w:w="300" w:type="pct"/>
            <w:vAlign w:val="center"/>
          </w:tcPr>
          <w:p w14:paraId="7885FB26" w14:textId="705F9F8D" w:rsidR="00B8457C" w:rsidRPr="00E67914" w:rsidRDefault="00B8457C" w:rsidP="00B8457C">
            <w:pPr>
              <w:jc w:val="center"/>
              <w:rPr>
                <w:rFonts w:ascii="Times New Roman" w:hAnsi="Times New Roman"/>
                <w:sz w:val="21"/>
                <w:szCs w:val="21"/>
              </w:rPr>
            </w:pPr>
            <w:r w:rsidRPr="00E67914">
              <w:rPr>
                <w:rFonts w:ascii="Times New Roman" w:hAnsi="Times New Roman"/>
                <w:sz w:val="21"/>
                <w:szCs w:val="21"/>
              </w:rPr>
              <w:t>空间布局约束</w:t>
            </w:r>
          </w:p>
        </w:tc>
        <w:tc>
          <w:tcPr>
            <w:tcW w:w="2763" w:type="pct"/>
            <w:vAlign w:val="center"/>
          </w:tcPr>
          <w:p w14:paraId="1E6B4510" w14:textId="77777777" w:rsidR="00B8457C" w:rsidRPr="00E67914" w:rsidRDefault="00B8457C" w:rsidP="00B8457C">
            <w:pPr>
              <w:pStyle w:val="Normal00"/>
              <w:widowControl/>
              <w:shd w:val="clear" w:color="auto" w:fill="FFFFFF"/>
              <w:spacing w:line="240" w:lineRule="auto"/>
              <w:ind w:firstLineChars="0" w:firstLine="0"/>
              <w:jc w:val="left"/>
              <w:rPr>
                <w:rFonts w:eastAsia="宋体"/>
                <w:sz w:val="21"/>
              </w:rPr>
            </w:pPr>
            <w:r w:rsidRPr="00E67914">
              <w:rPr>
                <w:rFonts w:eastAsia="宋体"/>
                <w:sz w:val="21"/>
              </w:rPr>
              <w:t>禁止开发建设活动的要求</w:t>
            </w:r>
          </w:p>
          <w:p w14:paraId="14454198" w14:textId="77777777" w:rsidR="00B8457C" w:rsidRPr="00E67914" w:rsidRDefault="00B8457C" w:rsidP="00B8457C">
            <w:pPr>
              <w:pStyle w:val="Normal00"/>
              <w:widowControl/>
              <w:shd w:val="clear" w:color="auto" w:fill="FFFFFF"/>
              <w:spacing w:line="240" w:lineRule="auto"/>
              <w:ind w:firstLineChars="0" w:firstLine="0"/>
              <w:jc w:val="left"/>
              <w:rPr>
                <w:rFonts w:eastAsia="宋体"/>
                <w:sz w:val="21"/>
              </w:rPr>
            </w:pPr>
            <w:r w:rsidRPr="00E67914">
              <w:rPr>
                <w:rFonts w:eastAsia="宋体"/>
                <w:sz w:val="21"/>
              </w:rPr>
              <w:t>限制开发建设活动的要求</w:t>
            </w:r>
          </w:p>
          <w:p w14:paraId="3FF22256" w14:textId="77777777" w:rsidR="00B8457C" w:rsidRPr="00E67914" w:rsidRDefault="00B8457C" w:rsidP="00B8457C">
            <w:pPr>
              <w:pStyle w:val="Normal00"/>
              <w:widowControl/>
              <w:shd w:val="clear" w:color="auto" w:fill="FFFFFF"/>
              <w:spacing w:line="240" w:lineRule="auto"/>
              <w:ind w:firstLineChars="0" w:firstLine="0"/>
              <w:jc w:val="left"/>
              <w:rPr>
                <w:rFonts w:eastAsia="宋体"/>
                <w:sz w:val="21"/>
              </w:rPr>
            </w:pPr>
            <w:r w:rsidRPr="00E67914">
              <w:rPr>
                <w:rFonts w:eastAsia="宋体"/>
                <w:sz w:val="21"/>
              </w:rPr>
              <w:t>允许开发建设活动的要求</w:t>
            </w:r>
          </w:p>
          <w:p w14:paraId="471C06F9" w14:textId="77777777" w:rsidR="00B8457C" w:rsidRPr="00E67914" w:rsidRDefault="00B8457C" w:rsidP="00B8457C">
            <w:pPr>
              <w:pStyle w:val="Normal00"/>
              <w:widowControl/>
              <w:shd w:val="clear" w:color="auto" w:fill="FFFFFF"/>
              <w:spacing w:line="240" w:lineRule="auto"/>
              <w:ind w:firstLineChars="0" w:firstLine="0"/>
              <w:jc w:val="left"/>
              <w:rPr>
                <w:rFonts w:eastAsia="宋体"/>
                <w:sz w:val="21"/>
              </w:rPr>
            </w:pPr>
            <w:r w:rsidRPr="00E67914">
              <w:rPr>
                <w:rFonts w:eastAsia="宋体"/>
                <w:sz w:val="21"/>
              </w:rPr>
              <w:t>不符合空间布局要求活动的退出要求</w:t>
            </w:r>
          </w:p>
          <w:p w14:paraId="4700E461" w14:textId="19444E1C"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其他空间布局约束要求</w:t>
            </w:r>
          </w:p>
        </w:tc>
        <w:tc>
          <w:tcPr>
            <w:tcW w:w="646" w:type="pct"/>
            <w:vAlign w:val="center"/>
          </w:tcPr>
          <w:p w14:paraId="08463595" w14:textId="783AB8FB"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08824E87" w14:textId="7FD7693E"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符合</w:t>
            </w:r>
          </w:p>
        </w:tc>
      </w:tr>
      <w:tr w:rsidR="00B8457C" w:rsidRPr="00E67914" w14:paraId="74302BAD" w14:textId="77777777" w:rsidTr="00B8457C">
        <w:tc>
          <w:tcPr>
            <w:tcW w:w="674" w:type="pct"/>
            <w:vMerge/>
            <w:vAlign w:val="center"/>
          </w:tcPr>
          <w:p w14:paraId="2BC8F376" w14:textId="77777777" w:rsidR="00B8457C" w:rsidRPr="00E67914" w:rsidRDefault="00B8457C" w:rsidP="00B8457C">
            <w:pPr>
              <w:jc w:val="center"/>
              <w:rPr>
                <w:rFonts w:ascii="Times New Roman" w:hAnsi="Times New Roman"/>
                <w:snapToGrid w:val="0"/>
                <w:sz w:val="21"/>
                <w:szCs w:val="21"/>
                <w:lang w:eastAsia="zh-CN"/>
              </w:rPr>
            </w:pPr>
          </w:p>
        </w:tc>
        <w:tc>
          <w:tcPr>
            <w:tcW w:w="298" w:type="pct"/>
            <w:vMerge/>
            <w:vAlign w:val="center"/>
          </w:tcPr>
          <w:p w14:paraId="5730C777" w14:textId="77777777" w:rsidR="00B8457C" w:rsidRPr="00E67914" w:rsidRDefault="00B8457C" w:rsidP="00B8457C">
            <w:pPr>
              <w:jc w:val="center"/>
              <w:rPr>
                <w:rFonts w:ascii="Times New Roman" w:hAnsi="Times New Roman"/>
                <w:kern w:val="2"/>
                <w:sz w:val="21"/>
                <w:szCs w:val="21"/>
                <w:lang w:eastAsia="zh-CN"/>
              </w:rPr>
            </w:pPr>
          </w:p>
        </w:tc>
        <w:tc>
          <w:tcPr>
            <w:tcW w:w="300" w:type="pct"/>
            <w:vAlign w:val="center"/>
          </w:tcPr>
          <w:p w14:paraId="0560F2A8" w14:textId="1F78D13F" w:rsidR="00B8457C" w:rsidRPr="00E67914" w:rsidRDefault="00B8457C" w:rsidP="00B8457C">
            <w:pPr>
              <w:jc w:val="center"/>
              <w:rPr>
                <w:rFonts w:ascii="Times New Roman" w:hAnsi="Times New Roman"/>
                <w:sz w:val="21"/>
                <w:szCs w:val="21"/>
              </w:rPr>
            </w:pPr>
            <w:r w:rsidRPr="00E67914">
              <w:rPr>
                <w:rFonts w:ascii="Times New Roman" w:hAnsi="Times New Roman"/>
                <w:sz w:val="21"/>
                <w:szCs w:val="21"/>
              </w:rPr>
              <w:t>污染物排放管控</w:t>
            </w:r>
          </w:p>
        </w:tc>
        <w:tc>
          <w:tcPr>
            <w:tcW w:w="2763" w:type="pct"/>
            <w:vAlign w:val="center"/>
          </w:tcPr>
          <w:p w14:paraId="7349C303" w14:textId="0699B32D"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6FCB3BD4" w14:textId="517B6D0F"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62C32A07" w14:textId="0713CB01"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2A729CF8" w14:textId="77777777" w:rsidTr="00B8457C">
        <w:tc>
          <w:tcPr>
            <w:tcW w:w="674" w:type="pct"/>
            <w:vMerge/>
            <w:vAlign w:val="center"/>
          </w:tcPr>
          <w:p w14:paraId="718CFD84" w14:textId="77777777" w:rsidR="00B8457C" w:rsidRPr="00E67914" w:rsidRDefault="00B8457C" w:rsidP="00B8457C">
            <w:pPr>
              <w:jc w:val="center"/>
              <w:rPr>
                <w:rFonts w:ascii="Times New Roman" w:hAnsi="Times New Roman"/>
                <w:snapToGrid w:val="0"/>
                <w:sz w:val="21"/>
                <w:szCs w:val="21"/>
              </w:rPr>
            </w:pPr>
          </w:p>
        </w:tc>
        <w:tc>
          <w:tcPr>
            <w:tcW w:w="298" w:type="pct"/>
            <w:vMerge/>
            <w:vAlign w:val="center"/>
          </w:tcPr>
          <w:p w14:paraId="48E6B0B5" w14:textId="77777777" w:rsidR="00B8457C" w:rsidRPr="00E67914" w:rsidRDefault="00B8457C" w:rsidP="00B8457C">
            <w:pPr>
              <w:jc w:val="center"/>
              <w:rPr>
                <w:rFonts w:ascii="Times New Roman" w:hAnsi="Times New Roman"/>
                <w:kern w:val="2"/>
                <w:sz w:val="21"/>
                <w:szCs w:val="21"/>
              </w:rPr>
            </w:pPr>
          </w:p>
        </w:tc>
        <w:tc>
          <w:tcPr>
            <w:tcW w:w="300" w:type="pct"/>
            <w:vAlign w:val="center"/>
          </w:tcPr>
          <w:p w14:paraId="5515DE0E" w14:textId="79001C73" w:rsidR="00B8457C" w:rsidRPr="00E67914" w:rsidRDefault="00B8457C" w:rsidP="00B8457C">
            <w:pPr>
              <w:jc w:val="center"/>
              <w:rPr>
                <w:rFonts w:ascii="Times New Roman" w:hAnsi="Times New Roman"/>
                <w:sz w:val="21"/>
                <w:szCs w:val="21"/>
              </w:rPr>
            </w:pPr>
            <w:r w:rsidRPr="00E67914">
              <w:rPr>
                <w:rFonts w:ascii="Times New Roman" w:hAnsi="Times New Roman"/>
                <w:sz w:val="21"/>
                <w:szCs w:val="21"/>
              </w:rPr>
              <w:t>环境风险防控</w:t>
            </w:r>
          </w:p>
        </w:tc>
        <w:tc>
          <w:tcPr>
            <w:tcW w:w="2763" w:type="pct"/>
            <w:vAlign w:val="center"/>
          </w:tcPr>
          <w:p w14:paraId="42F491CF" w14:textId="6C9347C3"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3B8A7A0E" w14:textId="693502FE"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4A794C58" w14:textId="31C0AD8E"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45C45B04" w14:textId="77777777" w:rsidTr="00B8457C">
        <w:tc>
          <w:tcPr>
            <w:tcW w:w="674" w:type="pct"/>
            <w:vMerge/>
            <w:vAlign w:val="center"/>
          </w:tcPr>
          <w:p w14:paraId="68EAD58B" w14:textId="77777777" w:rsidR="00B8457C" w:rsidRPr="00E67914" w:rsidRDefault="00B8457C" w:rsidP="00B8457C">
            <w:pPr>
              <w:jc w:val="center"/>
              <w:rPr>
                <w:rFonts w:ascii="Times New Roman" w:hAnsi="Times New Roman"/>
                <w:snapToGrid w:val="0"/>
                <w:sz w:val="21"/>
                <w:szCs w:val="21"/>
              </w:rPr>
            </w:pPr>
          </w:p>
        </w:tc>
        <w:tc>
          <w:tcPr>
            <w:tcW w:w="298" w:type="pct"/>
            <w:vMerge/>
            <w:vAlign w:val="center"/>
          </w:tcPr>
          <w:p w14:paraId="140F163B" w14:textId="77777777" w:rsidR="00B8457C" w:rsidRPr="00E67914" w:rsidRDefault="00B8457C" w:rsidP="00B8457C">
            <w:pPr>
              <w:jc w:val="center"/>
              <w:rPr>
                <w:rFonts w:ascii="Times New Roman" w:hAnsi="Times New Roman"/>
                <w:kern w:val="2"/>
                <w:sz w:val="21"/>
                <w:szCs w:val="21"/>
              </w:rPr>
            </w:pPr>
          </w:p>
        </w:tc>
        <w:tc>
          <w:tcPr>
            <w:tcW w:w="300" w:type="pct"/>
            <w:vAlign w:val="center"/>
          </w:tcPr>
          <w:p w14:paraId="21D49C05" w14:textId="14505B52" w:rsidR="00B8457C" w:rsidRPr="00E67914" w:rsidRDefault="00B8457C" w:rsidP="00B8457C">
            <w:pPr>
              <w:jc w:val="center"/>
              <w:rPr>
                <w:rFonts w:ascii="Times New Roman" w:hAnsi="Times New Roman"/>
                <w:sz w:val="21"/>
                <w:szCs w:val="21"/>
              </w:rPr>
            </w:pPr>
            <w:r w:rsidRPr="00E67914">
              <w:rPr>
                <w:rFonts w:ascii="Times New Roman" w:hAnsi="Times New Roman"/>
                <w:sz w:val="21"/>
                <w:szCs w:val="21"/>
              </w:rPr>
              <w:t>资源开发效率</w:t>
            </w:r>
          </w:p>
        </w:tc>
        <w:tc>
          <w:tcPr>
            <w:tcW w:w="2763" w:type="pct"/>
            <w:vAlign w:val="center"/>
          </w:tcPr>
          <w:p w14:paraId="74722356" w14:textId="5FCE6C85"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59C28AEF" w14:textId="0D261C83"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1758D3DC" w14:textId="0A207A2D"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35145AA4" w14:textId="77777777" w:rsidTr="00B8457C">
        <w:tc>
          <w:tcPr>
            <w:tcW w:w="674" w:type="pct"/>
            <w:vMerge w:val="restart"/>
            <w:vAlign w:val="center"/>
          </w:tcPr>
          <w:p w14:paraId="234E8487" w14:textId="77777777" w:rsidR="00B8457C" w:rsidRPr="00E67914" w:rsidRDefault="00B8457C" w:rsidP="00B8457C">
            <w:pPr>
              <w:jc w:val="center"/>
              <w:rPr>
                <w:rFonts w:ascii="Times New Roman" w:hAnsi="Times New Roman"/>
                <w:snapToGrid w:val="0"/>
                <w:sz w:val="21"/>
                <w:szCs w:val="21"/>
              </w:rPr>
            </w:pPr>
            <w:r w:rsidRPr="00E67914">
              <w:rPr>
                <w:rFonts w:ascii="Times New Roman" w:hAnsi="Times New Roman"/>
                <w:kern w:val="2"/>
                <w:sz w:val="21"/>
                <w:szCs w:val="21"/>
                <w:lang w:eastAsia="zh-CN"/>
              </w:rPr>
              <w:t>YS5117223210001</w:t>
            </w:r>
          </w:p>
        </w:tc>
        <w:tc>
          <w:tcPr>
            <w:tcW w:w="298" w:type="pct"/>
            <w:vMerge w:val="restart"/>
            <w:vAlign w:val="center"/>
          </w:tcPr>
          <w:p w14:paraId="163F061D" w14:textId="77777777" w:rsidR="00B8457C" w:rsidRPr="00E67914" w:rsidRDefault="00B8457C" w:rsidP="00B8457C">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州河宣汉县张鼓坪控制单元</w:t>
            </w:r>
          </w:p>
        </w:tc>
        <w:tc>
          <w:tcPr>
            <w:tcW w:w="300" w:type="pct"/>
            <w:vAlign w:val="center"/>
          </w:tcPr>
          <w:p w14:paraId="0ADA3C90" w14:textId="77777777" w:rsidR="00B8457C" w:rsidRPr="00E67914" w:rsidRDefault="00B8457C" w:rsidP="00B8457C">
            <w:pPr>
              <w:jc w:val="center"/>
              <w:rPr>
                <w:rFonts w:ascii="Times New Roman" w:hAnsi="Times New Roman"/>
                <w:sz w:val="21"/>
                <w:szCs w:val="21"/>
                <w:lang w:eastAsia="zh-CN"/>
              </w:rPr>
            </w:pPr>
            <w:r w:rsidRPr="00E67914">
              <w:rPr>
                <w:rFonts w:ascii="Times New Roman" w:hAnsi="Times New Roman"/>
                <w:sz w:val="21"/>
                <w:szCs w:val="21"/>
              </w:rPr>
              <w:t>空间布局约束</w:t>
            </w:r>
          </w:p>
        </w:tc>
        <w:tc>
          <w:tcPr>
            <w:tcW w:w="2763" w:type="pct"/>
            <w:vAlign w:val="center"/>
          </w:tcPr>
          <w:p w14:paraId="7152125D"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74976082"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6E5E5CA0"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5F2A56BE" w14:textId="77777777" w:rsidTr="00B8457C">
        <w:tc>
          <w:tcPr>
            <w:tcW w:w="674" w:type="pct"/>
            <w:vMerge/>
            <w:vAlign w:val="center"/>
          </w:tcPr>
          <w:p w14:paraId="68E60A6F" w14:textId="77777777" w:rsidR="00B8457C" w:rsidRPr="00E67914" w:rsidRDefault="00B8457C" w:rsidP="00B8457C">
            <w:pPr>
              <w:jc w:val="center"/>
              <w:rPr>
                <w:rFonts w:ascii="Times New Roman" w:hAnsi="Times New Roman"/>
                <w:snapToGrid w:val="0"/>
                <w:sz w:val="21"/>
                <w:szCs w:val="21"/>
                <w:lang w:eastAsia="zh-CN"/>
              </w:rPr>
            </w:pPr>
          </w:p>
        </w:tc>
        <w:tc>
          <w:tcPr>
            <w:tcW w:w="298" w:type="pct"/>
            <w:vMerge/>
            <w:vAlign w:val="center"/>
          </w:tcPr>
          <w:p w14:paraId="5C2B41C1" w14:textId="77777777" w:rsidR="00B8457C" w:rsidRPr="00E67914" w:rsidRDefault="00B8457C" w:rsidP="00B8457C">
            <w:pPr>
              <w:jc w:val="center"/>
              <w:rPr>
                <w:rFonts w:ascii="Times New Roman" w:hAnsi="Times New Roman"/>
                <w:kern w:val="2"/>
                <w:sz w:val="21"/>
                <w:szCs w:val="21"/>
                <w:lang w:eastAsia="zh-CN"/>
              </w:rPr>
            </w:pPr>
          </w:p>
        </w:tc>
        <w:tc>
          <w:tcPr>
            <w:tcW w:w="300" w:type="pct"/>
            <w:vAlign w:val="center"/>
          </w:tcPr>
          <w:p w14:paraId="02866581" w14:textId="77777777" w:rsidR="00B8457C" w:rsidRPr="00E67914" w:rsidRDefault="00B8457C" w:rsidP="00B8457C">
            <w:pPr>
              <w:jc w:val="center"/>
              <w:rPr>
                <w:rFonts w:ascii="Times New Roman" w:hAnsi="Times New Roman"/>
                <w:sz w:val="21"/>
                <w:szCs w:val="21"/>
                <w:lang w:eastAsia="zh-CN"/>
              </w:rPr>
            </w:pPr>
            <w:r w:rsidRPr="00E67914">
              <w:rPr>
                <w:rFonts w:ascii="Times New Roman" w:hAnsi="Times New Roman"/>
                <w:sz w:val="21"/>
                <w:szCs w:val="21"/>
              </w:rPr>
              <w:t>污染物排放管控</w:t>
            </w:r>
          </w:p>
        </w:tc>
        <w:tc>
          <w:tcPr>
            <w:tcW w:w="2763" w:type="pct"/>
            <w:vAlign w:val="center"/>
          </w:tcPr>
          <w:p w14:paraId="78F0B7EA"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45CC72BD"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4F5A8843"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1186584B" w14:textId="77777777" w:rsidTr="00B8457C">
        <w:tc>
          <w:tcPr>
            <w:tcW w:w="674" w:type="pct"/>
            <w:vMerge/>
            <w:vAlign w:val="center"/>
          </w:tcPr>
          <w:p w14:paraId="764EA025" w14:textId="77777777" w:rsidR="00B8457C" w:rsidRPr="00E67914" w:rsidRDefault="00B8457C" w:rsidP="00B8457C">
            <w:pPr>
              <w:jc w:val="center"/>
              <w:rPr>
                <w:rFonts w:ascii="Times New Roman" w:hAnsi="Times New Roman"/>
                <w:snapToGrid w:val="0"/>
                <w:sz w:val="21"/>
                <w:szCs w:val="21"/>
                <w:lang w:eastAsia="zh-CN"/>
              </w:rPr>
            </w:pPr>
          </w:p>
        </w:tc>
        <w:tc>
          <w:tcPr>
            <w:tcW w:w="298" w:type="pct"/>
            <w:vMerge/>
            <w:vAlign w:val="center"/>
          </w:tcPr>
          <w:p w14:paraId="4162A593" w14:textId="77777777" w:rsidR="00B8457C" w:rsidRPr="00E67914" w:rsidRDefault="00B8457C" w:rsidP="00B8457C">
            <w:pPr>
              <w:jc w:val="center"/>
              <w:rPr>
                <w:rFonts w:ascii="Times New Roman" w:hAnsi="Times New Roman"/>
                <w:kern w:val="2"/>
                <w:sz w:val="21"/>
                <w:szCs w:val="21"/>
                <w:lang w:eastAsia="zh-CN"/>
              </w:rPr>
            </w:pPr>
          </w:p>
        </w:tc>
        <w:tc>
          <w:tcPr>
            <w:tcW w:w="300" w:type="pct"/>
            <w:vAlign w:val="center"/>
          </w:tcPr>
          <w:p w14:paraId="0076D53E" w14:textId="77777777" w:rsidR="00B8457C" w:rsidRPr="00E67914" w:rsidRDefault="00B8457C" w:rsidP="00B8457C">
            <w:pPr>
              <w:jc w:val="center"/>
              <w:rPr>
                <w:rFonts w:ascii="Times New Roman" w:hAnsi="Times New Roman"/>
                <w:sz w:val="21"/>
                <w:szCs w:val="21"/>
                <w:lang w:eastAsia="zh-CN"/>
              </w:rPr>
            </w:pPr>
            <w:r w:rsidRPr="00E67914">
              <w:rPr>
                <w:rFonts w:ascii="Times New Roman" w:hAnsi="Times New Roman"/>
                <w:sz w:val="21"/>
                <w:szCs w:val="21"/>
              </w:rPr>
              <w:t>环境风险防控</w:t>
            </w:r>
          </w:p>
        </w:tc>
        <w:tc>
          <w:tcPr>
            <w:tcW w:w="2763" w:type="pct"/>
            <w:vAlign w:val="center"/>
          </w:tcPr>
          <w:p w14:paraId="69DF6105"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3999F12F"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61C65A62"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6A5DFC11" w14:textId="77777777" w:rsidTr="00B8457C">
        <w:tc>
          <w:tcPr>
            <w:tcW w:w="674" w:type="pct"/>
            <w:vMerge/>
            <w:vAlign w:val="center"/>
          </w:tcPr>
          <w:p w14:paraId="69F5DDEE" w14:textId="77777777" w:rsidR="00B8457C" w:rsidRPr="00E67914" w:rsidRDefault="00B8457C" w:rsidP="00B8457C">
            <w:pPr>
              <w:jc w:val="center"/>
              <w:rPr>
                <w:rFonts w:ascii="Times New Roman" w:hAnsi="Times New Roman"/>
                <w:snapToGrid w:val="0"/>
                <w:sz w:val="21"/>
                <w:szCs w:val="21"/>
                <w:lang w:eastAsia="zh-CN"/>
              </w:rPr>
            </w:pPr>
          </w:p>
        </w:tc>
        <w:tc>
          <w:tcPr>
            <w:tcW w:w="298" w:type="pct"/>
            <w:vMerge/>
            <w:vAlign w:val="center"/>
          </w:tcPr>
          <w:p w14:paraId="184FE581" w14:textId="77777777" w:rsidR="00B8457C" w:rsidRPr="00E67914" w:rsidRDefault="00B8457C" w:rsidP="00B8457C">
            <w:pPr>
              <w:jc w:val="center"/>
              <w:rPr>
                <w:rFonts w:ascii="Times New Roman" w:hAnsi="Times New Roman"/>
                <w:kern w:val="2"/>
                <w:sz w:val="21"/>
                <w:szCs w:val="21"/>
                <w:lang w:eastAsia="zh-CN"/>
              </w:rPr>
            </w:pPr>
          </w:p>
        </w:tc>
        <w:tc>
          <w:tcPr>
            <w:tcW w:w="300" w:type="pct"/>
            <w:vAlign w:val="center"/>
          </w:tcPr>
          <w:p w14:paraId="4C244ADF" w14:textId="77777777" w:rsidR="00B8457C" w:rsidRPr="00E67914" w:rsidRDefault="00B8457C" w:rsidP="00B8457C">
            <w:pPr>
              <w:jc w:val="center"/>
              <w:rPr>
                <w:rFonts w:ascii="Times New Roman" w:hAnsi="Times New Roman"/>
                <w:sz w:val="21"/>
                <w:szCs w:val="21"/>
                <w:lang w:eastAsia="zh-CN"/>
              </w:rPr>
            </w:pPr>
            <w:r w:rsidRPr="00E67914">
              <w:rPr>
                <w:rFonts w:ascii="Times New Roman" w:hAnsi="Times New Roman"/>
                <w:sz w:val="21"/>
                <w:szCs w:val="21"/>
              </w:rPr>
              <w:t>资源开发效率</w:t>
            </w:r>
          </w:p>
        </w:tc>
        <w:tc>
          <w:tcPr>
            <w:tcW w:w="2763" w:type="pct"/>
            <w:vAlign w:val="center"/>
          </w:tcPr>
          <w:p w14:paraId="27593204"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23E0979A"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7A24A1BE"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30098A1B" w14:textId="77777777" w:rsidTr="00B8457C">
        <w:tc>
          <w:tcPr>
            <w:tcW w:w="674" w:type="pct"/>
            <w:vMerge w:val="restart"/>
            <w:vAlign w:val="center"/>
          </w:tcPr>
          <w:p w14:paraId="329C16BB" w14:textId="77777777" w:rsidR="00B8457C" w:rsidRPr="00E67914" w:rsidRDefault="00B8457C" w:rsidP="00B8457C">
            <w:pPr>
              <w:jc w:val="center"/>
              <w:rPr>
                <w:rFonts w:ascii="Times New Roman" w:hAnsi="Times New Roman"/>
                <w:snapToGrid w:val="0"/>
                <w:sz w:val="21"/>
                <w:szCs w:val="21"/>
                <w:lang w:eastAsia="zh-CN"/>
              </w:rPr>
            </w:pPr>
            <w:r w:rsidRPr="00E67914">
              <w:rPr>
                <w:rFonts w:ascii="Times New Roman" w:hAnsi="Times New Roman"/>
                <w:sz w:val="21"/>
              </w:rPr>
              <w:lastRenderedPageBreak/>
              <w:t>YS5117222320006</w:t>
            </w:r>
          </w:p>
        </w:tc>
        <w:tc>
          <w:tcPr>
            <w:tcW w:w="298" w:type="pct"/>
            <w:vMerge w:val="restart"/>
            <w:vAlign w:val="center"/>
          </w:tcPr>
          <w:p w14:paraId="2920D5C2" w14:textId="77777777" w:rsidR="00B8457C" w:rsidRPr="00E67914" w:rsidRDefault="00B8457C" w:rsidP="00B8457C">
            <w:pPr>
              <w:jc w:val="center"/>
              <w:rPr>
                <w:rFonts w:ascii="Times New Roman" w:hAnsi="Times New Roman"/>
                <w:kern w:val="2"/>
                <w:sz w:val="21"/>
                <w:szCs w:val="21"/>
                <w:lang w:eastAsia="zh-CN"/>
              </w:rPr>
            </w:pPr>
            <w:r w:rsidRPr="00E67914">
              <w:rPr>
                <w:rFonts w:ascii="Times New Roman" w:hAnsi="Times New Roman"/>
                <w:sz w:val="21"/>
                <w:lang w:eastAsia="zh-CN"/>
              </w:rPr>
              <w:t>宣汉县大气环境布局敏感重点管控区</w:t>
            </w:r>
          </w:p>
        </w:tc>
        <w:tc>
          <w:tcPr>
            <w:tcW w:w="300" w:type="pct"/>
            <w:vAlign w:val="center"/>
          </w:tcPr>
          <w:p w14:paraId="6BB53470" w14:textId="77777777" w:rsidR="00B8457C" w:rsidRPr="00E67914" w:rsidRDefault="00B8457C" w:rsidP="00B8457C">
            <w:pPr>
              <w:jc w:val="center"/>
              <w:rPr>
                <w:rFonts w:ascii="Times New Roman" w:hAnsi="Times New Roman"/>
                <w:sz w:val="21"/>
                <w:szCs w:val="21"/>
                <w:lang w:eastAsia="zh-CN"/>
              </w:rPr>
            </w:pPr>
            <w:r w:rsidRPr="00E67914">
              <w:rPr>
                <w:rFonts w:ascii="Times New Roman" w:hAnsi="Times New Roman"/>
                <w:sz w:val="21"/>
                <w:szCs w:val="21"/>
              </w:rPr>
              <w:t>空间布局约束</w:t>
            </w:r>
          </w:p>
        </w:tc>
        <w:tc>
          <w:tcPr>
            <w:tcW w:w="2763" w:type="pct"/>
            <w:vAlign w:val="center"/>
          </w:tcPr>
          <w:p w14:paraId="21A99909"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0260BAED"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53EFC29B"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04ED73E4" w14:textId="77777777" w:rsidTr="00B8457C">
        <w:tc>
          <w:tcPr>
            <w:tcW w:w="674" w:type="pct"/>
            <w:vMerge/>
            <w:vAlign w:val="center"/>
          </w:tcPr>
          <w:p w14:paraId="7903F776" w14:textId="77777777" w:rsidR="00B8457C" w:rsidRPr="00E67914" w:rsidRDefault="00B8457C" w:rsidP="00B8457C">
            <w:pPr>
              <w:jc w:val="center"/>
              <w:rPr>
                <w:rFonts w:ascii="Times New Roman" w:hAnsi="Times New Roman"/>
                <w:snapToGrid w:val="0"/>
                <w:sz w:val="21"/>
                <w:szCs w:val="21"/>
                <w:lang w:eastAsia="zh-CN"/>
              </w:rPr>
            </w:pPr>
          </w:p>
        </w:tc>
        <w:tc>
          <w:tcPr>
            <w:tcW w:w="298" w:type="pct"/>
            <w:vMerge/>
            <w:vAlign w:val="center"/>
          </w:tcPr>
          <w:p w14:paraId="283958EA" w14:textId="77777777" w:rsidR="00B8457C" w:rsidRPr="00E67914" w:rsidRDefault="00B8457C" w:rsidP="00B8457C">
            <w:pPr>
              <w:jc w:val="center"/>
              <w:rPr>
                <w:rFonts w:ascii="Times New Roman" w:hAnsi="Times New Roman"/>
                <w:kern w:val="2"/>
                <w:sz w:val="21"/>
                <w:szCs w:val="21"/>
                <w:lang w:eastAsia="zh-CN"/>
              </w:rPr>
            </w:pPr>
          </w:p>
        </w:tc>
        <w:tc>
          <w:tcPr>
            <w:tcW w:w="300" w:type="pct"/>
            <w:vAlign w:val="center"/>
          </w:tcPr>
          <w:p w14:paraId="3B14C3FA" w14:textId="77777777" w:rsidR="00B8457C" w:rsidRPr="00E67914" w:rsidRDefault="00B8457C" w:rsidP="00B8457C">
            <w:pPr>
              <w:jc w:val="center"/>
              <w:rPr>
                <w:rFonts w:ascii="Times New Roman" w:hAnsi="Times New Roman"/>
                <w:sz w:val="21"/>
                <w:szCs w:val="21"/>
                <w:lang w:eastAsia="zh-CN"/>
              </w:rPr>
            </w:pPr>
            <w:r w:rsidRPr="00E67914">
              <w:rPr>
                <w:rFonts w:ascii="Times New Roman" w:hAnsi="Times New Roman"/>
                <w:sz w:val="21"/>
                <w:szCs w:val="21"/>
              </w:rPr>
              <w:t>污染物排放管控</w:t>
            </w:r>
          </w:p>
        </w:tc>
        <w:tc>
          <w:tcPr>
            <w:tcW w:w="2763" w:type="pct"/>
            <w:vAlign w:val="center"/>
          </w:tcPr>
          <w:p w14:paraId="26AF25CA"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大气环境质量执行标准</w:t>
            </w:r>
          </w:p>
          <w:p w14:paraId="2849734D"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《环境空气质量标准》（</w:t>
            </w:r>
            <w:r w:rsidRPr="00E67914">
              <w:rPr>
                <w:rFonts w:eastAsia="宋体"/>
                <w:sz w:val="21"/>
              </w:rPr>
              <w:t>GB3095-2012</w:t>
            </w:r>
            <w:r w:rsidRPr="00E67914">
              <w:rPr>
                <w:rFonts w:eastAsia="宋体"/>
                <w:sz w:val="21"/>
              </w:rPr>
              <w:t>）：二级</w:t>
            </w:r>
          </w:p>
          <w:p w14:paraId="24D91E4D"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区域大气污染物削减</w:t>
            </w:r>
            <w:r w:rsidRPr="00E67914">
              <w:rPr>
                <w:rFonts w:eastAsia="宋体"/>
                <w:sz w:val="21"/>
              </w:rPr>
              <w:t>/</w:t>
            </w:r>
            <w:r w:rsidRPr="00E67914">
              <w:rPr>
                <w:rFonts w:eastAsia="宋体"/>
                <w:sz w:val="21"/>
              </w:rPr>
              <w:t>替代要求</w:t>
            </w:r>
          </w:p>
          <w:p w14:paraId="386C34D5"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新增大气污染物排放的建设项目实施总量削减替代</w:t>
            </w:r>
          </w:p>
        </w:tc>
        <w:tc>
          <w:tcPr>
            <w:tcW w:w="646" w:type="pct"/>
            <w:vAlign w:val="center"/>
          </w:tcPr>
          <w:p w14:paraId="2A33A672"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项目区域执行《环境空气质量标准》（</w:t>
            </w:r>
            <w:r w:rsidRPr="00E67914">
              <w:rPr>
                <w:rFonts w:eastAsia="宋体"/>
                <w:sz w:val="21"/>
              </w:rPr>
              <w:t>GB3095-2012</w:t>
            </w:r>
            <w:r w:rsidRPr="00E67914">
              <w:rPr>
                <w:rFonts w:eastAsia="宋体"/>
                <w:sz w:val="21"/>
              </w:rPr>
              <w:t>）中二级标准限值；项目属于排污许可登记管理</w:t>
            </w:r>
          </w:p>
        </w:tc>
        <w:tc>
          <w:tcPr>
            <w:tcW w:w="319" w:type="pct"/>
            <w:vAlign w:val="center"/>
          </w:tcPr>
          <w:p w14:paraId="1A853FCE"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符合</w:t>
            </w:r>
          </w:p>
        </w:tc>
      </w:tr>
      <w:tr w:rsidR="00B8457C" w:rsidRPr="00E67914" w14:paraId="71C0F7B4" w14:textId="77777777" w:rsidTr="00B8457C">
        <w:tc>
          <w:tcPr>
            <w:tcW w:w="674" w:type="pct"/>
            <w:vMerge/>
            <w:vAlign w:val="center"/>
          </w:tcPr>
          <w:p w14:paraId="2483B232" w14:textId="77777777" w:rsidR="00B8457C" w:rsidRPr="00E67914" w:rsidRDefault="00B8457C" w:rsidP="00B8457C">
            <w:pPr>
              <w:jc w:val="center"/>
              <w:rPr>
                <w:rFonts w:ascii="Times New Roman" w:hAnsi="Times New Roman"/>
                <w:snapToGrid w:val="0"/>
                <w:sz w:val="21"/>
                <w:szCs w:val="21"/>
                <w:lang w:eastAsia="zh-CN"/>
              </w:rPr>
            </w:pPr>
          </w:p>
        </w:tc>
        <w:tc>
          <w:tcPr>
            <w:tcW w:w="298" w:type="pct"/>
            <w:vMerge/>
            <w:vAlign w:val="center"/>
          </w:tcPr>
          <w:p w14:paraId="6B57DCC3" w14:textId="77777777" w:rsidR="00B8457C" w:rsidRPr="00E67914" w:rsidRDefault="00B8457C" w:rsidP="00B8457C">
            <w:pPr>
              <w:jc w:val="center"/>
              <w:rPr>
                <w:rFonts w:ascii="Times New Roman" w:hAnsi="Times New Roman"/>
                <w:kern w:val="2"/>
                <w:sz w:val="21"/>
                <w:szCs w:val="21"/>
                <w:lang w:eastAsia="zh-CN"/>
              </w:rPr>
            </w:pPr>
          </w:p>
        </w:tc>
        <w:tc>
          <w:tcPr>
            <w:tcW w:w="300" w:type="pct"/>
            <w:vAlign w:val="center"/>
          </w:tcPr>
          <w:p w14:paraId="24BD1250" w14:textId="77777777" w:rsidR="00B8457C" w:rsidRPr="00E67914" w:rsidRDefault="00B8457C" w:rsidP="00B8457C">
            <w:pPr>
              <w:jc w:val="center"/>
              <w:rPr>
                <w:rFonts w:ascii="Times New Roman" w:hAnsi="Times New Roman"/>
                <w:sz w:val="21"/>
                <w:szCs w:val="21"/>
                <w:lang w:eastAsia="zh-CN"/>
              </w:rPr>
            </w:pPr>
            <w:r w:rsidRPr="00E67914">
              <w:rPr>
                <w:rFonts w:ascii="Times New Roman" w:hAnsi="Times New Roman"/>
                <w:sz w:val="21"/>
                <w:szCs w:val="21"/>
              </w:rPr>
              <w:t>环境风险防控</w:t>
            </w:r>
          </w:p>
        </w:tc>
        <w:tc>
          <w:tcPr>
            <w:tcW w:w="2763" w:type="pct"/>
            <w:vAlign w:val="center"/>
          </w:tcPr>
          <w:p w14:paraId="04744914"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7C2438B6"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14A0A404"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r w:rsidR="00B8457C" w:rsidRPr="00E67914" w14:paraId="032E91C6" w14:textId="77777777" w:rsidTr="00B8457C">
        <w:tc>
          <w:tcPr>
            <w:tcW w:w="674" w:type="pct"/>
            <w:vMerge/>
            <w:vAlign w:val="center"/>
          </w:tcPr>
          <w:p w14:paraId="12EBB4D2" w14:textId="77777777" w:rsidR="00B8457C" w:rsidRPr="00E67914" w:rsidRDefault="00B8457C" w:rsidP="00B8457C">
            <w:pPr>
              <w:jc w:val="center"/>
              <w:rPr>
                <w:rFonts w:ascii="Times New Roman" w:hAnsi="Times New Roman"/>
                <w:snapToGrid w:val="0"/>
                <w:sz w:val="21"/>
                <w:szCs w:val="21"/>
                <w:lang w:eastAsia="zh-CN"/>
              </w:rPr>
            </w:pPr>
          </w:p>
        </w:tc>
        <w:tc>
          <w:tcPr>
            <w:tcW w:w="298" w:type="pct"/>
            <w:vMerge/>
            <w:vAlign w:val="center"/>
          </w:tcPr>
          <w:p w14:paraId="77849CA6" w14:textId="77777777" w:rsidR="00B8457C" w:rsidRPr="00E67914" w:rsidRDefault="00B8457C" w:rsidP="00B8457C">
            <w:pPr>
              <w:jc w:val="center"/>
              <w:rPr>
                <w:rFonts w:ascii="Times New Roman" w:hAnsi="Times New Roman"/>
                <w:kern w:val="2"/>
                <w:sz w:val="21"/>
                <w:szCs w:val="21"/>
                <w:lang w:eastAsia="zh-CN"/>
              </w:rPr>
            </w:pPr>
          </w:p>
        </w:tc>
        <w:tc>
          <w:tcPr>
            <w:tcW w:w="300" w:type="pct"/>
            <w:vAlign w:val="center"/>
          </w:tcPr>
          <w:p w14:paraId="357A8DA2" w14:textId="77777777" w:rsidR="00B8457C" w:rsidRPr="00E67914" w:rsidRDefault="00B8457C" w:rsidP="00B8457C">
            <w:pPr>
              <w:jc w:val="center"/>
              <w:rPr>
                <w:rFonts w:ascii="Times New Roman" w:hAnsi="Times New Roman"/>
                <w:sz w:val="21"/>
                <w:szCs w:val="21"/>
                <w:lang w:eastAsia="zh-CN"/>
              </w:rPr>
            </w:pPr>
            <w:r w:rsidRPr="00E67914">
              <w:rPr>
                <w:rFonts w:ascii="Times New Roman" w:hAnsi="Times New Roman"/>
                <w:sz w:val="21"/>
                <w:szCs w:val="21"/>
              </w:rPr>
              <w:t>资源开发效率</w:t>
            </w:r>
          </w:p>
        </w:tc>
        <w:tc>
          <w:tcPr>
            <w:tcW w:w="2763" w:type="pct"/>
            <w:vAlign w:val="center"/>
          </w:tcPr>
          <w:p w14:paraId="3998471C" w14:textId="77777777" w:rsidR="00B8457C" w:rsidRPr="00E67914" w:rsidRDefault="00B8457C" w:rsidP="00B8457C">
            <w:pPr>
              <w:pStyle w:val="Normal00"/>
              <w:widowControl/>
              <w:spacing w:line="240" w:lineRule="auto"/>
              <w:ind w:firstLineChars="0" w:firstLine="0"/>
              <w:jc w:val="left"/>
              <w:rPr>
                <w:rFonts w:eastAsia="宋体"/>
                <w:sz w:val="21"/>
              </w:rPr>
            </w:pPr>
            <w:r w:rsidRPr="00E67914">
              <w:rPr>
                <w:rFonts w:eastAsia="宋体"/>
                <w:sz w:val="21"/>
              </w:rPr>
              <w:t>无</w:t>
            </w:r>
          </w:p>
        </w:tc>
        <w:tc>
          <w:tcPr>
            <w:tcW w:w="646" w:type="pct"/>
            <w:vAlign w:val="center"/>
          </w:tcPr>
          <w:p w14:paraId="21ECCD0C"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c>
          <w:tcPr>
            <w:tcW w:w="319" w:type="pct"/>
            <w:vAlign w:val="center"/>
          </w:tcPr>
          <w:p w14:paraId="148310F7" w14:textId="77777777" w:rsidR="00B8457C" w:rsidRPr="00E67914" w:rsidRDefault="00B8457C" w:rsidP="00B8457C">
            <w:pPr>
              <w:pStyle w:val="Normal00"/>
              <w:widowControl/>
              <w:spacing w:line="240" w:lineRule="auto"/>
              <w:ind w:firstLineChars="0" w:firstLine="0"/>
              <w:jc w:val="center"/>
              <w:rPr>
                <w:rFonts w:eastAsia="宋体"/>
                <w:sz w:val="21"/>
              </w:rPr>
            </w:pPr>
            <w:r w:rsidRPr="00E67914">
              <w:rPr>
                <w:rFonts w:eastAsia="宋体"/>
                <w:sz w:val="21"/>
              </w:rPr>
              <w:t>/</w:t>
            </w:r>
          </w:p>
        </w:tc>
      </w:tr>
    </w:tbl>
    <w:p w14:paraId="315FD5A1" w14:textId="2459CC79" w:rsidR="00F55073" w:rsidRPr="00E67914" w:rsidRDefault="00F55073">
      <w:pPr>
        <w:pStyle w:val="afffffe"/>
        <w:ind w:firstLine="480"/>
      </w:pPr>
      <w:r w:rsidRPr="00E67914">
        <w:rPr>
          <w:szCs w:val="24"/>
        </w:rPr>
        <w:t>综上，本项目的建设满足区域</w:t>
      </w:r>
      <w:r w:rsidRPr="00E67914">
        <w:rPr>
          <w:szCs w:val="24"/>
        </w:rPr>
        <w:t>“</w:t>
      </w:r>
      <w:r w:rsidRPr="00E67914">
        <w:rPr>
          <w:szCs w:val="24"/>
        </w:rPr>
        <w:t>三线一单</w:t>
      </w:r>
      <w:r w:rsidRPr="00E67914">
        <w:rPr>
          <w:szCs w:val="24"/>
        </w:rPr>
        <w:t>”</w:t>
      </w:r>
      <w:r w:rsidRPr="00E67914">
        <w:rPr>
          <w:szCs w:val="24"/>
        </w:rPr>
        <w:t>的环境管理要求。</w:t>
      </w:r>
    </w:p>
    <w:p w14:paraId="2C9B1BB1" w14:textId="77777777" w:rsidR="00F55073" w:rsidRPr="00E67914" w:rsidRDefault="00F55073">
      <w:pPr>
        <w:pStyle w:val="afffffe"/>
        <w:ind w:firstLine="480"/>
        <w:sectPr w:rsidR="00F55073" w:rsidRPr="00E67914">
          <w:pgSz w:w="16838" w:h="11906" w:orient="landscape"/>
          <w:pgMar w:top="1800" w:right="1440" w:bottom="1800" w:left="1440" w:header="851" w:footer="992" w:gutter="0"/>
          <w:cols w:space="425"/>
          <w:docGrid w:type="lines" w:linePitch="326"/>
        </w:sectPr>
      </w:pPr>
    </w:p>
    <w:p w14:paraId="55D1AEC7"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2.7.4</w:t>
      </w:r>
      <w:r w:rsidRPr="00E67914">
        <w:rPr>
          <w:rFonts w:ascii="Times New Roman" w:eastAsia="黑体" w:hAnsi="Times New Roman"/>
          <w:b w:val="0"/>
          <w:sz w:val="24"/>
          <w:szCs w:val="24"/>
          <w:lang w:eastAsia="zh-CN"/>
        </w:rPr>
        <w:t>与场镇规划符合性分析</w:t>
      </w:r>
    </w:p>
    <w:p w14:paraId="682AEF04" w14:textId="4B9FD15F"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根据现场调查，项目位于农村地区，距离普光镇约</w:t>
      </w:r>
      <w:r w:rsidR="004619DB" w:rsidRPr="00E67914">
        <w:rPr>
          <w:rFonts w:ascii="Times New Roman" w:hAnsi="Times New Roman"/>
          <w:lang w:eastAsia="zh-CN"/>
        </w:rPr>
        <w:t>1.45</w:t>
      </w:r>
      <w:r w:rsidRPr="00E67914">
        <w:rPr>
          <w:rFonts w:ascii="Times New Roman" w:hAnsi="Times New Roman"/>
          <w:lang w:eastAsia="zh-CN"/>
        </w:rPr>
        <w:t>km</w:t>
      </w:r>
      <w:r w:rsidRPr="00E67914">
        <w:rPr>
          <w:rFonts w:ascii="Times New Roman" w:hAnsi="Times New Roman"/>
          <w:lang w:eastAsia="zh-CN"/>
        </w:rPr>
        <w:t>，远离乡镇，不涉及乡镇规划建城范围。项目建设前，建设单位应向宣汉县自然资源和规划局提出工程用地申请，得到批复后方可动工。</w:t>
      </w:r>
    </w:p>
    <w:p w14:paraId="52206DC7"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40" w:name="_Hlk108985671"/>
      <w:r w:rsidRPr="00E67914">
        <w:rPr>
          <w:rFonts w:ascii="Times New Roman" w:eastAsia="黑体" w:hAnsi="Times New Roman"/>
          <w:b w:val="0"/>
          <w:sz w:val="24"/>
          <w:szCs w:val="24"/>
          <w:lang w:eastAsia="zh-CN"/>
        </w:rPr>
        <w:t>2.7.5</w:t>
      </w:r>
      <w:r w:rsidRPr="00E67914">
        <w:rPr>
          <w:rFonts w:ascii="Times New Roman" w:eastAsia="黑体" w:hAnsi="Times New Roman"/>
          <w:b w:val="0"/>
          <w:sz w:val="24"/>
          <w:szCs w:val="24"/>
          <w:lang w:eastAsia="zh-CN"/>
        </w:rPr>
        <w:t>项目用地符合性分析</w:t>
      </w:r>
    </w:p>
    <w:p w14:paraId="4CE2A8B6" w14:textId="77777777" w:rsidR="00112965" w:rsidRPr="00E67914" w:rsidRDefault="00112965" w:rsidP="00112965">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）本项目占用基本农田符合性分析</w:t>
      </w:r>
    </w:p>
    <w:p w14:paraId="2E6F2CD4" w14:textId="1A944E38" w:rsidR="00112965" w:rsidRPr="00E67914" w:rsidRDefault="00112965" w:rsidP="00112965">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本项目为新建工程，通过与宣汉县自然资源局基本农田分布图叠图（见附图</w:t>
      </w:r>
      <w:r w:rsidRPr="00E67914">
        <w:rPr>
          <w:rFonts w:ascii="Times New Roman" w:hAnsi="Times New Roman"/>
          <w:sz w:val="24"/>
          <w:szCs w:val="24"/>
          <w:lang w:eastAsia="zh-CN"/>
        </w:rPr>
        <w:t>14</w:t>
      </w:r>
      <w:r w:rsidRPr="00E67914">
        <w:rPr>
          <w:rFonts w:ascii="Times New Roman" w:hAnsi="Times New Roman"/>
          <w:sz w:val="24"/>
          <w:szCs w:val="24"/>
          <w:lang w:eastAsia="zh-CN"/>
        </w:rPr>
        <w:t>）可知本项目占用基本农田。</w:t>
      </w:r>
    </w:p>
    <w:p w14:paraId="7A178B44" w14:textId="77777777" w:rsidR="00112965" w:rsidRPr="00E67914" w:rsidRDefault="00112965" w:rsidP="00112965">
      <w:pPr>
        <w:pStyle w:val="0"/>
      </w:pPr>
      <w:r w:rsidRPr="00E67914">
        <w:t>《基本农田保护条例》（国务院第</w:t>
      </w:r>
      <w:r w:rsidRPr="00E67914">
        <w:t>257</w:t>
      </w:r>
      <w:r w:rsidRPr="00E67914">
        <w:t>号）中第十五条提到，基本农田保护区经依法划定后，任何单位和个人不得改变或者占用。国家能源、交通、水利、军事设施等重点建设项目选址确实无法避开基本农田，需要占用基本农田，涉及农用地转用或者征收土地的，必须经国务院批准。占用基本农田的单位应当按照县级以上地方人民政府的要求，将所占用基本农田耕作层的土壤用于新开垦耕地、劣质地或者其他耕地的土壤改良。</w:t>
      </w:r>
    </w:p>
    <w:p w14:paraId="7446B021" w14:textId="77777777" w:rsidR="00112965" w:rsidRPr="00E67914" w:rsidRDefault="00112965" w:rsidP="00112965">
      <w:pPr>
        <w:pStyle w:val="0"/>
      </w:pPr>
      <w:r w:rsidRPr="00E67914">
        <w:t>根据自然资源部印发《关于做好占用永久基本农田重大建设项目用地预审的通知》（自然资规〔</w:t>
      </w:r>
      <w:r w:rsidRPr="00E67914">
        <w:t>2018</w:t>
      </w:r>
      <w:r w:rsidRPr="00E67914">
        <w:t>〕</w:t>
      </w:r>
      <w:r w:rsidRPr="00E67914">
        <w:t>3</w:t>
      </w:r>
      <w:r w:rsidRPr="00E67914">
        <w:t>号）相关规定明确以下六类项目经批准可以占用永久基本农田中：</w:t>
      </w:r>
      <w:r w:rsidRPr="00E67914">
        <w:t>“</w:t>
      </w:r>
      <w:r w:rsidRPr="00E67914">
        <w:t>其他能源项目，包括国家级规划明确的且符合国家产业政策的能源开采、油气管线、水电、核电项目</w:t>
      </w:r>
      <w:r w:rsidRPr="00E67914">
        <w:t>”</w:t>
      </w:r>
      <w:r w:rsidRPr="00E67914">
        <w:t>；以及自然资源部印发《两部关于加强和改进永久基本农田保护工作的通知》（自然资规〔</w:t>
      </w:r>
      <w:r w:rsidRPr="00E67914">
        <w:t>2019</w:t>
      </w:r>
      <w:r w:rsidRPr="00E67914">
        <w:t>〕</w:t>
      </w:r>
      <w:r w:rsidRPr="00E67914">
        <w:t>1</w:t>
      </w:r>
      <w:r w:rsidRPr="00E67914">
        <w:t>号）中相关规定，</w:t>
      </w:r>
      <w:r w:rsidRPr="00E67914">
        <w:t>“</w:t>
      </w:r>
      <w:r w:rsidRPr="00E67914">
        <w:t>矿业权申请人依法申请战略性矿产探矿权，开展地质勘查需临时用地的，应依法办理临时用地审批手续。石油、天然气、页岩气、煤层气等油气战略性矿产的地质勘查，经批准可临时占用永久基本农田布设探井。在试采和取得采矿权后转为开采井的，可直接依法办理农用地转用和土地征收审批手续，按规定补划永久基本农田。</w:t>
      </w:r>
      <w:r w:rsidRPr="00E67914">
        <w:t>”</w:t>
      </w:r>
    </w:p>
    <w:p w14:paraId="56DFC8B7" w14:textId="77777777" w:rsidR="00112965" w:rsidRPr="00E67914" w:rsidRDefault="00112965" w:rsidP="00112965">
      <w:pPr>
        <w:pStyle w:val="0"/>
      </w:pPr>
      <w:r w:rsidRPr="00E67914">
        <w:t>根据四川省自然资源厅《关于解决油气勘探开发用地问题的复函》（川自然资函〔</w:t>
      </w:r>
      <w:r w:rsidRPr="00E67914">
        <w:t>2019</w:t>
      </w:r>
      <w:r w:rsidRPr="00E67914">
        <w:t>〕</w:t>
      </w:r>
      <w:r w:rsidRPr="00E67914">
        <w:t>197</w:t>
      </w:r>
      <w:r w:rsidRPr="00E67914">
        <w:t>号）文件要求，油气勘探开发项目可在无法避让基本农田的情况下，办理临时用地。</w:t>
      </w:r>
    </w:p>
    <w:p w14:paraId="6223EF84" w14:textId="468972FD" w:rsidR="00112965" w:rsidRPr="00E67914" w:rsidRDefault="00112965" w:rsidP="00112965">
      <w:pPr>
        <w:pStyle w:val="0"/>
        <w:adjustRightInd w:val="0"/>
        <w:snapToGrid w:val="0"/>
        <w:ind w:firstLine="482"/>
      </w:pPr>
      <w:r w:rsidRPr="00E67914">
        <w:rPr>
          <w:b/>
          <w:bCs/>
        </w:rPr>
        <w:t>本项目为天然气实验性探井及试采工程，</w:t>
      </w:r>
      <w:r w:rsidRPr="00E67914">
        <w:t>符合国家产业政策，项目占地均为临时占地，项目不涉及占用生态保护红线，涉及基本农田。建设单位对临时占地除了在施工中采取措施减少基本农田破坏外，在施工结束后，对开挖破坏段耕地质量的恢复，</w:t>
      </w:r>
      <w:r w:rsidRPr="00E67914">
        <w:lastRenderedPageBreak/>
        <w:t>除补偿因临时占地对农田产量的直接损失外，还将考虑施工结束后因土壤结构破坏、养分流失而造成的影响，对农作物产量的间接损失以及土壤恢复进行补偿，以用于耕作层土恢复。本项目属于（自然资规〔</w:t>
      </w:r>
      <w:r w:rsidRPr="00E67914">
        <w:t>2018</w:t>
      </w:r>
      <w:r w:rsidRPr="00E67914">
        <w:t>〕</w:t>
      </w:r>
      <w:r w:rsidRPr="00E67914">
        <w:t>3</w:t>
      </w:r>
      <w:r w:rsidRPr="00E67914">
        <w:t>号）中明确的</w:t>
      </w:r>
      <w:r w:rsidRPr="00E67914">
        <w:t>“</w:t>
      </w:r>
      <w:r w:rsidRPr="00E67914">
        <w:t>符合国家产业政策的能源开采</w:t>
      </w:r>
      <w:r w:rsidRPr="00E67914">
        <w:t>”</w:t>
      </w:r>
      <w:r w:rsidRPr="00E67914">
        <w:t>以及</w:t>
      </w:r>
      <w:r w:rsidRPr="00E67914">
        <w:t>“</w:t>
      </w:r>
      <w:r w:rsidRPr="00E67914">
        <w:t>《自然资源部农业农村部关于加强和改进永久基本农田保护工作的通知》（自然资规〔</w:t>
      </w:r>
      <w:r w:rsidRPr="00E67914">
        <w:t>2019</w:t>
      </w:r>
      <w:r w:rsidRPr="00E67914">
        <w:t>〕</w:t>
      </w:r>
      <w:r w:rsidRPr="00E67914">
        <w:t>1</w:t>
      </w:r>
      <w:r w:rsidRPr="00E67914">
        <w:t>号）</w:t>
      </w:r>
      <w:r w:rsidRPr="00E67914">
        <w:t>”</w:t>
      </w:r>
      <w:r w:rsidRPr="00E67914">
        <w:t>范畴。因此，建设单位应按照文件要求，尽快办理基本农田征、占用手续。</w:t>
      </w:r>
    </w:p>
    <w:p w14:paraId="578AEC0B" w14:textId="77777777" w:rsidR="00112965" w:rsidRPr="00E67914" w:rsidRDefault="00112965" w:rsidP="00112965">
      <w:pPr>
        <w:pStyle w:val="af"/>
        <w:adjustRightInd w:val="0"/>
        <w:snapToGrid w:val="0"/>
        <w:spacing w:before="0" w:line="360" w:lineRule="auto"/>
        <w:ind w:left="0" w:firstLineChars="200" w:firstLine="482"/>
        <w:jc w:val="both"/>
        <w:rPr>
          <w:rFonts w:ascii="Times New Roman" w:hAnsi="Times New Roman"/>
          <w:b/>
          <w:bCs/>
          <w:kern w:val="2"/>
          <w:lang w:eastAsia="zh-CN"/>
        </w:rPr>
      </w:pPr>
      <w:r w:rsidRPr="00E67914">
        <w:rPr>
          <w:rFonts w:ascii="Times New Roman" w:hAnsi="Times New Roman"/>
          <w:b/>
          <w:bCs/>
          <w:kern w:val="2"/>
          <w:lang w:eastAsia="zh-CN"/>
        </w:rPr>
        <w:t>（</w:t>
      </w:r>
      <w:r w:rsidRPr="00E67914">
        <w:rPr>
          <w:rFonts w:ascii="Times New Roman" w:hAnsi="Times New Roman"/>
          <w:b/>
          <w:bCs/>
          <w:kern w:val="2"/>
          <w:lang w:eastAsia="zh-CN"/>
        </w:rPr>
        <w:t>2</w:t>
      </w:r>
      <w:r w:rsidRPr="00E67914">
        <w:rPr>
          <w:rFonts w:ascii="Times New Roman" w:hAnsi="Times New Roman"/>
          <w:b/>
          <w:bCs/>
          <w:kern w:val="2"/>
          <w:lang w:eastAsia="zh-CN"/>
        </w:rPr>
        <w:t>）本项目与其他土地利用文件的符合性分析</w:t>
      </w:r>
    </w:p>
    <w:p w14:paraId="10FA1925" w14:textId="6B7DE36E" w:rsidR="00A54A8A" w:rsidRPr="00E67914" w:rsidRDefault="00000000" w:rsidP="00112965">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本项目与《自然资源部关于规范临时用地管理的通知》（自然资规〔</w:t>
      </w:r>
      <w:r w:rsidRPr="00E67914">
        <w:rPr>
          <w:rFonts w:ascii="Times New Roman" w:hAnsi="Times New Roman"/>
          <w:lang w:eastAsia="zh-CN"/>
        </w:rPr>
        <w:t>2021</w:t>
      </w:r>
      <w:r w:rsidRPr="00E67914">
        <w:rPr>
          <w:rFonts w:ascii="Times New Roman" w:hAnsi="Times New Roman"/>
          <w:lang w:eastAsia="zh-CN"/>
        </w:rPr>
        <w:t>〕</w:t>
      </w:r>
      <w:r w:rsidRPr="00E67914">
        <w:rPr>
          <w:rFonts w:ascii="Times New Roman" w:hAnsi="Times New Roman"/>
          <w:lang w:eastAsia="zh-CN"/>
        </w:rPr>
        <w:t>2</w:t>
      </w:r>
      <w:r w:rsidRPr="00E67914">
        <w:rPr>
          <w:rFonts w:ascii="Times New Roman" w:hAnsi="Times New Roman"/>
          <w:lang w:eastAsia="zh-CN"/>
        </w:rPr>
        <w:t>号）、《四川省自然资源厅关于进一步明确临时用地管理有关事项的通知》（川自然资规〔</w:t>
      </w:r>
      <w:r w:rsidRPr="00E67914">
        <w:rPr>
          <w:rFonts w:ascii="Times New Roman" w:hAnsi="Times New Roman"/>
          <w:lang w:eastAsia="zh-CN"/>
        </w:rPr>
        <w:t>2022</w:t>
      </w:r>
      <w:r w:rsidRPr="00E67914">
        <w:rPr>
          <w:rFonts w:ascii="Times New Roman" w:hAnsi="Times New Roman"/>
          <w:lang w:eastAsia="zh-CN"/>
        </w:rPr>
        <w:t>〕</w:t>
      </w:r>
      <w:r w:rsidRPr="00E67914">
        <w:rPr>
          <w:rFonts w:ascii="Times New Roman" w:hAnsi="Times New Roman"/>
          <w:lang w:eastAsia="zh-CN"/>
        </w:rPr>
        <w:t>3</w:t>
      </w:r>
      <w:r w:rsidRPr="00E67914">
        <w:rPr>
          <w:rFonts w:ascii="Times New Roman" w:hAnsi="Times New Roman"/>
          <w:lang w:eastAsia="zh-CN"/>
        </w:rPr>
        <w:t>号）的符合性见下表：</w:t>
      </w:r>
    </w:p>
    <w:p w14:paraId="65A34DEC" w14:textId="53445F8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2.7-1</w:t>
      </w:r>
      <w:r w:rsidR="00CB4B0C" w:rsidRPr="00E67914">
        <w:rPr>
          <w:rFonts w:ascii="Times New Roman" w:eastAsia="黑体" w:hAnsi="Times New Roman"/>
          <w:sz w:val="21"/>
          <w:szCs w:val="21"/>
          <w:lang w:eastAsia="zh-CN"/>
        </w:rPr>
        <w:t>6</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与《自然资源部关于规范临时用地管理的通知》和《四川省自然资源厅关于进一步明确临时用地管理有关事项的通知》的符合性分析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43"/>
        <w:gridCol w:w="4588"/>
        <w:gridCol w:w="2874"/>
        <w:gridCol w:w="955"/>
      </w:tblGrid>
      <w:tr w:rsidR="00E67914" w:rsidRPr="00E67914" w14:paraId="33901DD7" w14:textId="77777777">
        <w:trPr>
          <w:trHeight w:val="108"/>
          <w:tblHeader/>
          <w:jc w:val="center"/>
        </w:trPr>
        <w:tc>
          <w:tcPr>
            <w:tcW w:w="355" w:type="pct"/>
            <w:vAlign w:val="center"/>
          </w:tcPr>
          <w:p w14:paraId="7559D821"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lang w:eastAsia="zh-CN"/>
              </w:rPr>
              <w:t>序号</w:t>
            </w:r>
          </w:p>
        </w:tc>
        <w:tc>
          <w:tcPr>
            <w:tcW w:w="2532" w:type="pct"/>
            <w:vAlign w:val="center"/>
          </w:tcPr>
          <w:p w14:paraId="12C566F9" w14:textId="77777777" w:rsidR="00A54A8A" w:rsidRPr="00E67914" w:rsidRDefault="00000000">
            <w:pPr>
              <w:jc w:val="center"/>
              <w:rPr>
                <w:rFonts w:ascii="Times New Roman" w:hAnsi="Times New Roman"/>
                <w:b/>
                <w:bCs/>
                <w:sz w:val="21"/>
                <w:szCs w:val="21"/>
                <w:lang w:eastAsia="zh-CN"/>
              </w:rPr>
            </w:pPr>
            <w:r w:rsidRPr="00E67914">
              <w:rPr>
                <w:rFonts w:ascii="Times New Roman" w:hAnsi="Times New Roman"/>
                <w:b/>
                <w:bCs/>
                <w:sz w:val="21"/>
                <w:szCs w:val="21"/>
                <w:lang w:eastAsia="zh-CN"/>
              </w:rPr>
              <w:t>自然资源部关于规范临时用地管理的通知要求</w:t>
            </w:r>
          </w:p>
        </w:tc>
        <w:tc>
          <w:tcPr>
            <w:tcW w:w="1586" w:type="pct"/>
            <w:vAlign w:val="center"/>
          </w:tcPr>
          <w:p w14:paraId="3A0C1109"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本项目</w:t>
            </w:r>
          </w:p>
        </w:tc>
        <w:tc>
          <w:tcPr>
            <w:tcW w:w="527" w:type="pct"/>
            <w:vAlign w:val="center"/>
          </w:tcPr>
          <w:p w14:paraId="7BF6510B"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符合性</w:t>
            </w:r>
          </w:p>
        </w:tc>
      </w:tr>
      <w:tr w:rsidR="00E67914" w:rsidRPr="00E67914" w14:paraId="16DB234E" w14:textId="77777777">
        <w:trPr>
          <w:trHeight w:val="269"/>
          <w:jc w:val="center"/>
        </w:trPr>
        <w:tc>
          <w:tcPr>
            <w:tcW w:w="355" w:type="pct"/>
            <w:vAlign w:val="center"/>
          </w:tcPr>
          <w:p w14:paraId="3AD58AE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1</w:t>
            </w:r>
          </w:p>
        </w:tc>
        <w:tc>
          <w:tcPr>
            <w:tcW w:w="2532" w:type="pct"/>
            <w:vAlign w:val="center"/>
          </w:tcPr>
          <w:p w14:paraId="2D3EE343" w14:textId="77777777" w:rsidR="00A54A8A" w:rsidRPr="00E67914" w:rsidRDefault="00000000">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临时用地的范围包括：（二）矿产资源勘查、工程地质勘查、水文地质勘查等，在勘查期间临时生活用房、临时工棚、勘查作业及其辅助工程、施工便道、运输便道等使用的土地，包括油气资源勘查中钻井井场、配套管线、电力设施、进场道路等钻井及配套设施使用的土地。（三）符合法律、法规规定的其他需要临时使用的土地。</w:t>
            </w:r>
          </w:p>
        </w:tc>
        <w:tc>
          <w:tcPr>
            <w:tcW w:w="1586" w:type="pct"/>
            <w:vAlign w:val="center"/>
          </w:tcPr>
          <w:p w14:paraId="60A15A47"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本项目所涉及的永久用地与临时用地均按要求办理用地许可</w:t>
            </w:r>
          </w:p>
        </w:tc>
        <w:tc>
          <w:tcPr>
            <w:tcW w:w="527" w:type="pct"/>
            <w:vAlign w:val="center"/>
          </w:tcPr>
          <w:p w14:paraId="291146F0"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70DD08DC" w14:textId="77777777">
        <w:trPr>
          <w:trHeight w:val="269"/>
          <w:jc w:val="center"/>
        </w:trPr>
        <w:tc>
          <w:tcPr>
            <w:tcW w:w="355" w:type="pct"/>
            <w:vAlign w:val="center"/>
          </w:tcPr>
          <w:p w14:paraId="6FE6311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2</w:t>
            </w:r>
          </w:p>
        </w:tc>
        <w:tc>
          <w:tcPr>
            <w:tcW w:w="2532" w:type="pct"/>
            <w:vAlign w:val="center"/>
          </w:tcPr>
          <w:p w14:paraId="6CF528D2" w14:textId="77777777" w:rsidR="00A54A8A" w:rsidRPr="00E67914" w:rsidRDefault="00000000">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建设项目施工、地质勘查使用临时用地时应坚持</w:t>
            </w:r>
            <w:r w:rsidRPr="00E67914">
              <w:rPr>
                <w:rFonts w:ascii="Times New Roman" w:hAnsi="Times New Roman"/>
                <w:sz w:val="21"/>
                <w:szCs w:val="21"/>
                <w:lang w:eastAsia="zh-CN"/>
              </w:rPr>
              <w:t>“</w:t>
            </w:r>
            <w:r w:rsidRPr="00E67914">
              <w:rPr>
                <w:rFonts w:ascii="Times New Roman" w:hAnsi="Times New Roman"/>
                <w:sz w:val="21"/>
                <w:szCs w:val="21"/>
                <w:lang w:eastAsia="zh-CN"/>
              </w:rPr>
              <w:t>用多少、批多少、占多少、恢复多少</w:t>
            </w:r>
            <w:r w:rsidRPr="00E67914">
              <w:rPr>
                <w:rFonts w:ascii="Times New Roman" w:hAnsi="Times New Roman"/>
                <w:sz w:val="21"/>
                <w:szCs w:val="21"/>
                <w:lang w:eastAsia="zh-CN"/>
              </w:rPr>
              <w:t>”</w:t>
            </w:r>
            <w:r w:rsidRPr="00E67914">
              <w:rPr>
                <w:rFonts w:ascii="Times New Roman" w:hAnsi="Times New Roman"/>
                <w:sz w:val="21"/>
                <w:szCs w:val="21"/>
                <w:lang w:eastAsia="zh-CN"/>
              </w:rPr>
              <w:t>，尽量不占或者少占耕地。临时用地使用期限一般不超过两年。建设周期较长的能源、交通、水利等基础设施建设项目施工使用的临时用地，期限不超过四年。</w:t>
            </w:r>
          </w:p>
        </w:tc>
        <w:tc>
          <w:tcPr>
            <w:tcW w:w="1586" w:type="pct"/>
            <w:vMerge w:val="restart"/>
            <w:vAlign w:val="center"/>
          </w:tcPr>
          <w:p w14:paraId="142C03CB" w14:textId="795D64C6"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项目</w:t>
            </w:r>
            <w:r w:rsidR="001210C5" w:rsidRPr="00E67914">
              <w:rPr>
                <w:rFonts w:ascii="Times New Roman" w:hAnsi="Times New Roman"/>
                <w:sz w:val="21"/>
                <w:szCs w:val="21"/>
                <w:lang w:eastAsia="zh-CN"/>
              </w:rPr>
              <w:t>在施工过程中对于临时占地严格按照</w:t>
            </w:r>
            <w:r w:rsidR="001210C5" w:rsidRPr="00E67914">
              <w:rPr>
                <w:rFonts w:ascii="Times New Roman" w:hAnsi="Times New Roman"/>
                <w:sz w:val="21"/>
                <w:szCs w:val="21"/>
                <w:lang w:eastAsia="zh-CN"/>
              </w:rPr>
              <w:t>“</w:t>
            </w:r>
            <w:r w:rsidR="001210C5" w:rsidRPr="00E67914">
              <w:rPr>
                <w:rFonts w:ascii="Times New Roman" w:hAnsi="Times New Roman"/>
                <w:sz w:val="21"/>
                <w:szCs w:val="21"/>
                <w:lang w:eastAsia="zh-CN"/>
              </w:rPr>
              <w:t>用多少、批多少、占多少、恢复多少</w:t>
            </w:r>
            <w:r w:rsidR="001210C5" w:rsidRPr="00E67914">
              <w:rPr>
                <w:rFonts w:ascii="Times New Roman" w:hAnsi="Times New Roman"/>
                <w:sz w:val="21"/>
                <w:szCs w:val="21"/>
                <w:lang w:eastAsia="zh-CN"/>
              </w:rPr>
              <w:t>”</w:t>
            </w:r>
            <w:r w:rsidR="001210C5" w:rsidRPr="00E67914">
              <w:rPr>
                <w:rFonts w:ascii="Times New Roman" w:hAnsi="Times New Roman"/>
                <w:sz w:val="21"/>
                <w:szCs w:val="21"/>
                <w:lang w:eastAsia="zh-CN"/>
              </w:rPr>
              <w:t>的原则进行用地申请，对于其中涉及占用耕地和永久基本农田的由市级或者市级以上自然资源主管部门负责审批，对于勘探结束转入生产使用的，办理建设用地审批手续</w:t>
            </w:r>
            <w:r w:rsidRPr="00E67914">
              <w:rPr>
                <w:rFonts w:ascii="Times New Roman" w:hAnsi="Times New Roman"/>
                <w:sz w:val="21"/>
                <w:szCs w:val="21"/>
                <w:lang w:eastAsia="zh-CN"/>
              </w:rPr>
              <w:t>，对于临时占地确定无后续开发计划时将按照规定及时进行复垦</w:t>
            </w:r>
          </w:p>
        </w:tc>
        <w:tc>
          <w:tcPr>
            <w:tcW w:w="527" w:type="pct"/>
            <w:vAlign w:val="center"/>
          </w:tcPr>
          <w:p w14:paraId="779A2DD4"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75079174" w14:textId="77777777">
        <w:trPr>
          <w:trHeight w:val="269"/>
          <w:jc w:val="center"/>
        </w:trPr>
        <w:tc>
          <w:tcPr>
            <w:tcW w:w="355" w:type="pct"/>
            <w:vAlign w:val="center"/>
          </w:tcPr>
          <w:p w14:paraId="6AA9E10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3</w:t>
            </w:r>
          </w:p>
        </w:tc>
        <w:tc>
          <w:tcPr>
            <w:tcW w:w="2532" w:type="pct"/>
            <w:vAlign w:val="center"/>
          </w:tcPr>
          <w:p w14:paraId="122A7BD3" w14:textId="77777777" w:rsidR="00A54A8A" w:rsidRPr="00E67914" w:rsidRDefault="00000000">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县（市）自然资源主管部门负责临时用地审批，其中涉及占用耕地和永久基本农田的，由市级或者市级以上自然资源主管部门负责审批。油气资源探采合一开发涉及的钻井及配套设施建设用地，可先以临时用地方式批准使用，勘探结束转入生产使用的，办理建设用地审批手续；不转入生产的，油气企业应当完成土地复垦，按期归还。</w:t>
            </w:r>
          </w:p>
        </w:tc>
        <w:tc>
          <w:tcPr>
            <w:tcW w:w="1586" w:type="pct"/>
            <w:vMerge/>
            <w:vAlign w:val="center"/>
          </w:tcPr>
          <w:p w14:paraId="02DCFC90" w14:textId="77777777" w:rsidR="00A54A8A" w:rsidRPr="00E67914" w:rsidRDefault="00A54A8A">
            <w:pPr>
              <w:autoSpaceDE w:val="0"/>
              <w:autoSpaceDN w:val="0"/>
              <w:jc w:val="center"/>
              <w:rPr>
                <w:rFonts w:ascii="Times New Roman" w:hAnsi="Times New Roman"/>
                <w:sz w:val="21"/>
                <w:szCs w:val="21"/>
                <w:lang w:eastAsia="zh-CN"/>
              </w:rPr>
            </w:pPr>
          </w:p>
        </w:tc>
        <w:tc>
          <w:tcPr>
            <w:tcW w:w="527" w:type="pct"/>
            <w:vAlign w:val="center"/>
          </w:tcPr>
          <w:p w14:paraId="72D1C88C"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r w:rsidR="00E67914" w:rsidRPr="00E67914" w14:paraId="6AFBE710" w14:textId="77777777">
        <w:trPr>
          <w:trHeight w:val="269"/>
          <w:jc w:val="center"/>
        </w:trPr>
        <w:tc>
          <w:tcPr>
            <w:tcW w:w="355" w:type="pct"/>
            <w:vAlign w:val="center"/>
          </w:tcPr>
          <w:p w14:paraId="3E6403F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4</w:t>
            </w:r>
          </w:p>
        </w:tc>
        <w:tc>
          <w:tcPr>
            <w:tcW w:w="2532" w:type="pct"/>
            <w:vAlign w:val="center"/>
          </w:tcPr>
          <w:p w14:paraId="1DF88860" w14:textId="77777777" w:rsidR="00A54A8A" w:rsidRPr="00E67914" w:rsidRDefault="00000000">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临时用地使用人应当按照批准的用途使用土地，不得转让、出租、抵押临时用地。临时用地使用人应当自临时用地期满之日起一年内完成土地复垦，因气候、灾害等不可抗力因素影响复垦的，经批准可以适当延长复垦期限。</w:t>
            </w:r>
          </w:p>
          <w:p w14:paraId="62949175" w14:textId="70785B36" w:rsidR="00420EC8" w:rsidRPr="00E67914" w:rsidRDefault="00000000" w:rsidP="00112965">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严格落实临时用地恢复责任，临时用地期满后应当拆除临时建（构）筑物，使用耕地的应当复垦为耕地，确保耕地面积不减少、质量不降低；使用耕地以外的其他农用地的应当恢复为农用地；</w:t>
            </w:r>
            <w:r w:rsidRPr="00E67914">
              <w:rPr>
                <w:rFonts w:ascii="Times New Roman" w:hAnsi="Times New Roman"/>
                <w:sz w:val="21"/>
                <w:szCs w:val="21"/>
                <w:lang w:eastAsia="zh-CN"/>
              </w:rPr>
              <w:lastRenderedPageBreak/>
              <w:t>使用未利用地的，对于符合条件的鼓励复垦为耕地。</w:t>
            </w:r>
          </w:p>
        </w:tc>
        <w:tc>
          <w:tcPr>
            <w:tcW w:w="1586" w:type="pct"/>
            <w:vAlign w:val="center"/>
          </w:tcPr>
          <w:p w14:paraId="789D1363"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lastRenderedPageBreak/>
              <w:t>建设单位不会转让、出租、抵押临时用地。若临时用地期满且后续不在利用，建设单位将在用地期满之日起一年内完成土地复垦。并按照当地主管部门恢复用地性质</w:t>
            </w:r>
          </w:p>
        </w:tc>
        <w:tc>
          <w:tcPr>
            <w:tcW w:w="527" w:type="pct"/>
            <w:vAlign w:val="center"/>
          </w:tcPr>
          <w:p w14:paraId="3CFDADA8" w14:textId="77777777" w:rsidR="00A54A8A" w:rsidRPr="00E67914" w:rsidRDefault="00000000">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bl>
    <w:p w14:paraId="5CDC334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综上所述，本项目用地与《自然资源部关于规范临时用地管理的通知》（自然资规〔</w:t>
      </w:r>
      <w:r w:rsidRPr="00E67914">
        <w:rPr>
          <w:rFonts w:ascii="Times New Roman" w:hAnsi="Times New Roman"/>
          <w:lang w:eastAsia="zh-CN"/>
        </w:rPr>
        <w:t>2021</w:t>
      </w:r>
      <w:r w:rsidRPr="00E67914">
        <w:rPr>
          <w:rFonts w:ascii="Times New Roman" w:hAnsi="Times New Roman"/>
          <w:lang w:eastAsia="zh-CN"/>
        </w:rPr>
        <w:t>〕</w:t>
      </w:r>
      <w:r w:rsidRPr="00E67914">
        <w:rPr>
          <w:rFonts w:ascii="Times New Roman" w:hAnsi="Times New Roman"/>
          <w:lang w:eastAsia="zh-CN"/>
        </w:rPr>
        <w:t>2</w:t>
      </w:r>
      <w:r w:rsidRPr="00E67914">
        <w:rPr>
          <w:rFonts w:ascii="Times New Roman" w:hAnsi="Times New Roman"/>
          <w:lang w:eastAsia="zh-CN"/>
        </w:rPr>
        <w:t>号）、《四川省自然资源厅关于进一步明确临时用地管理有关事项的通知》（川自然资规〔</w:t>
      </w:r>
      <w:r w:rsidRPr="00E67914">
        <w:rPr>
          <w:rFonts w:ascii="Times New Roman" w:hAnsi="Times New Roman"/>
          <w:lang w:eastAsia="zh-CN"/>
        </w:rPr>
        <w:t>2022</w:t>
      </w:r>
      <w:r w:rsidRPr="00E67914">
        <w:rPr>
          <w:rFonts w:ascii="Times New Roman" w:hAnsi="Times New Roman"/>
          <w:lang w:eastAsia="zh-CN"/>
        </w:rPr>
        <w:t>〕</w:t>
      </w:r>
      <w:r w:rsidRPr="00E67914">
        <w:rPr>
          <w:rFonts w:ascii="Times New Roman" w:hAnsi="Times New Roman"/>
          <w:lang w:eastAsia="zh-CN"/>
        </w:rPr>
        <w:t>3</w:t>
      </w:r>
      <w:r w:rsidRPr="00E67914">
        <w:rPr>
          <w:rFonts w:ascii="Times New Roman" w:hAnsi="Times New Roman"/>
          <w:lang w:eastAsia="zh-CN"/>
        </w:rPr>
        <w:t>号）中相关要求相符。</w:t>
      </w:r>
      <w:bookmarkEnd w:id="40"/>
    </w:p>
    <w:p w14:paraId="3E3FF6A2" w14:textId="39531ED5" w:rsidR="00F55073" w:rsidRPr="00E67914" w:rsidRDefault="00F55073" w:rsidP="008752B7">
      <w:pPr>
        <w:widowControl w:val="0"/>
        <w:tabs>
          <w:tab w:val="left" w:pos="0"/>
        </w:tabs>
        <w:adjustRightInd w:val="0"/>
        <w:snapToGrid w:val="0"/>
        <w:spacing w:line="360" w:lineRule="auto"/>
        <w:ind w:firstLineChars="200" w:firstLine="480"/>
        <w:jc w:val="both"/>
        <w:rPr>
          <w:rFonts w:ascii="Times New Roman" w:hAnsi="Times New Roman"/>
          <w:bCs/>
          <w:kern w:val="2"/>
          <w:lang w:eastAsia="zh-CN"/>
        </w:rPr>
      </w:pPr>
      <w:r w:rsidRPr="00E67914">
        <w:rPr>
          <w:rFonts w:ascii="Times New Roman" w:hAnsi="Times New Roman"/>
          <w:bCs/>
          <w:kern w:val="2"/>
          <w:sz w:val="24"/>
          <w:szCs w:val="24"/>
          <w:lang w:eastAsia="zh-CN"/>
        </w:rPr>
        <w:t>项目与《自然资源部办公厅关于加强临时用地监管有关工作的通知》（自然资办函〔</w:t>
      </w:r>
      <w:r w:rsidRPr="00E67914">
        <w:rPr>
          <w:rFonts w:ascii="Times New Roman" w:hAnsi="Times New Roman"/>
          <w:bCs/>
          <w:kern w:val="2"/>
          <w:sz w:val="24"/>
          <w:szCs w:val="24"/>
          <w:lang w:eastAsia="zh-CN"/>
        </w:rPr>
        <w:t>2023</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1280</w:t>
      </w:r>
      <w:r w:rsidRPr="00E67914">
        <w:rPr>
          <w:rFonts w:ascii="Times New Roman" w:hAnsi="Times New Roman"/>
          <w:bCs/>
          <w:kern w:val="2"/>
          <w:sz w:val="24"/>
          <w:szCs w:val="24"/>
          <w:lang w:eastAsia="zh-CN"/>
        </w:rPr>
        <w:t>号）符合性分析如下：</w:t>
      </w:r>
    </w:p>
    <w:p w14:paraId="67E8F1A7" w14:textId="1AE58BD0" w:rsidR="00F55073" w:rsidRPr="00E67914" w:rsidRDefault="00F55073" w:rsidP="00F55073">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2.7-1</w:t>
      </w:r>
      <w:r w:rsidR="00CB4B0C" w:rsidRPr="00E67914">
        <w:rPr>
          <w:rFonts w:ascii="Times New Roman" w:eastAsia="黑体" w:hAnsi="Times New Roman"/>
          <w:sz w:val="21"/>
          <w:szCs w:val="21"/>
          <w:lang w:eastAsia="zh-CN"/>
        </w:rPr>
        <w:t>7</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与《自然资源部办公厅关于加强临时用地监管有关工作的通知》的符合性分析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43"/>
        <w:gridCol w:w="4588"/>
        <w:gridCol w:w="2874"/>
        <w:gridCol w:w="955"/>
      </w:tblGrid>
      <w:tr w:rsidR="00E67914" w:rsidRPr="00E67914" w14:paraId="2AC71951" w14:textId="77777777" w:rsidTr="005B7AE3">
        <w:trPr>
          <w:trHeight w:val="108"/>
          <w:tblHeader/>
          <w:jc w:val="center"/>
        </w:trPr>
        <w:tc>
          <w:tcPr>
            <w:tcW w:w="355" w:type="pct"/>
            <w:vAlign w:val="center"/>
          </w:tcPr>
          <w:p w14:paraId="6E8B7692" w14:textId="77777777" w:rsidR="00F55073" w:rsidRPr="00E67914" w:rsidRDefault="00F55073" w:rsidP="005B7AE3">
            <w:pPr>
              <w:jc w:val="center"/>
              <w:rPr>
                <w:rFonts w:ascii="Times New Roman" w:hAnsi="Times New Roman"/>
                <w:b/>
                <w:bCs/>
                <w:sz w:val="21"/>
                <w:szCs w:val="21"/>
              </w:rPr>
            </w:pPr>
            <w:r w:rsidRPr="00E67914">
              <w:rPr>
                <w:rFonts w:ascii="Times New Roman" w:hAnsi="Times New Roman"/>
                <w:b/>
                <w:bCs/>
                <w:sz w:val="21"/>
                <w:szCs w:val="21"/>
                <w:lang w:eastAsia="zh-CN"/>
              </w:rPr>
              <w:t>序号</w:t>
            </w:r>
          </w:p>
        </w:tc>
        <w:tc>
          <w:tcPr>
            <w:tcW w:w="2532" w:type="pct"/>
            <w:vAlign w:val="center"/>
          </w:tcPr>
          <w:p w14:paraId="7750B63F" w14:textId="4A2A2C80" w:rsidR="00F55073" w:rsidRPr="00E67914" w:rsidRDefault="00F55073" w:rsidP="005B7AE3">
            <w:pPr>
              <w:jc w:val="center"/>
              <w:rPr>
                <w:rFonts w:ascii="Times New Roman" w:hAnsi="Times New Roman"/>
                <w:b/>
                <w:bCs/>
                <w:sz w:val="21"/>
                <w:szCs w:val="21"/>
                <w:lang w:eastAsia="zh-CN"/>
              </w:rPr>
            </w:pPr>
            <w:r w:rsidRPr="00E67914">
              <w:rPr>
                <w:rFonts w:ascii="Times New Roman" w:hAnsi="Times New Roman"/>
                <w:b/>
                <w:bCs/>
                <w:sz w:val="21"/>
                <w:szCs w:val="21"/>
                <w:lang w:eastAsia="zh-CN"/>
              </w:rPr>
              <w:t>自然资源部办公厅关于加强临时用地监管有关工作的通知</w:t>
            </w:r>
          </w:p>
        </w:tc>
        <w:tc>
          <w:tcPr>
            <w:tcW w:w="1586" w:type="pct"/>
            <w:vAlign w:val="center"/>
          </w:tcPr>
          <w:p w14:paraId="6E6C8EC9" w14:textId="77777777" w:rsidR="00F55073" w:rsidRPr="00E67914" w:rsidRDefault="00F55073" w:rsidP="005B7AE3">
            <w:pPr>
              <w:jc w:val="center"/>
              <w:rPr>
                <w:rFonts w:ascii="Times New Roman" w:hAnsi="Times New Roman"/>
                <w:b/>
                <w:bCs/>
                <w:sz w:val="21"/>
                <w:szCs w:val="21"/>
              </w:rPr>
            </w:pPr>
            <w:r w:rsidRPr="00E67914">
              <w:rPr>
                <w:rFonts w:ascii="Times New Roman" w:hAnsi="Times New Roman"/>
                <w:b/>
                <w:bCs/>
                <w:sz w:val="21"/>
                <w:szCs w:val="21"/>
              </w:rPr>
              <w:t>本项目</w:t>
            </w:r>
          </w:p>
        </w:tc>
        <w:tc>
          <w:tcPr>
            <w:tcW w:w="527" w:type="pct"/>
            <w:vAlign w:val="center"/>
          </w:tcPr>
          <w:p w14:paraId="55AEB79E" w14:textId="77777777" w:rsidR="00F55073" w:rsidRPr="00E67914" w:rsidRDefault="00F55073" w:rsidP="005B7AE3">
            <w:pPr>
              <w:jc w:val="center"/>
              <w:rPr>
                <w:rFonts w:ascii="Times New Roman" w:hAnsi="Times New Roman"/>
                <w:b/>
                <w:bCs/>
                <w:sz w:val="21"/>
                <w:szCs w:val="21"/>
              </w:rPr>
            </w:pPr>
            <w:r w:rsidRPr="00E67914">
              <w:rPr>
                <w:rFonts w:ascii="Times New Roman" w:hAnsi="Times New Roman"/>
                <w:b/>
                <w:bCs/>
                <w:sz w:val="21"/>
                <w:szCs w:val="21"/>
              </w:rPr>
              <w:t>符合性</w:t>
            </w:r>
          </w:p>
        </w:tc>
      </w:tr>
      <w:tr w:rsidR="00E67914" w:rsidRPr="00E67914" w14:paraId="3ABC52A9" w14:textId="77777777" w:rsidTr="005B7AE3">
        <w:trPr>
          <w:trHeight w:val="269"/>
          <w:jc w:val="center"/>
        </w:trPr>
        <w:tc>
          <w:tcPr>
            <w:tcW w:w="355" w:type="pct"/>
            <w:vAlign w:val="center"/>
          </w:tcPr>
          <w:p w14:paraId="33230800" w14:textId="77777777" w:rsidR="00F55073" w:rsidRPr="00E67914" w:rsidRDefault="00F55073" w:rsidP="005B7AE3">
            <w:pPr>
              <w:jc w:val="center"/>
              <w:rPr>
                <w:rFonts w:ascii="Times New Roman" w:hAnsi="Times New Roman"/>
                <w:sz w:val="21"/>
                <w:szCs w:val="21"/>
                <w:lang w:eastAsia="zh-CN"/>
              </w:rPr>
            </w:pPr>
            <w:r w:rsidRPr="00E67914">
              <w:rPr>
                <w:rFonts w:ascii="Times New Roman" w:hAnsi="Times New Roman"/>
                <w:sz w:val="21"/>
                <w:szCs w:val="21"/>
                <w:lang w:eastAsia="zh-CN"/>
              </w:rPr>
              <w:t>1</w:t>
            </w:r>
          </w:p>
        </w:tc>
        <w:tc>
          <w:tcPr>
            <w:tcW w:w="2532" w:type="pct"/>
            <w:vAlign w:val="center"/>
          </w:tcPr>
          <w:p w14:paraId="0A53DF45" w14:textId="77777777" w:rsidR="00493D92" w:rsidRPr="00E67914" w:rsidRDefault="00493D92" w:rsidP="00493D92">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能源基础设施建设中，油气探采合一开发涉及的钻井及配套设施依据</w:t>
            </w:r>
            <w:r w:rsidRPr="00E67914">
              <w:rPr>
                <w:rFonts w:ascii="Times New Roman" w:hAnsi="Times New Roman"/>
                <w:sz w:val="21"/>
                <w:szCs w:val="21"/>
                <w:lang w:eastAsia="zh-CN"/>
              </w:rPr>
              <w:t>2</w:t>
            </w:r>
            <w:r w:rsidRPr="00E67914">
              <w:rPr>
                <w:rFonts w:ascii="Times New Roman" w:hAnsi="Times New Roman"/>
                <w:sz w:val="21"/>
                <w:szCs w:val="21"/>
                <w:lang w:eastAsia="zh-CN"/>
              </w:rPr>
              <w:t>号文件审批的临时用地，使用期限不超过四年。油气企业在勘探结束转入开采的，应及时办理建设用地审批手续。建设用地经依法批准后，不再进行土地复垦，相关土地复垦费用退回。未在规定期限内办理建设用地手续的，按违法用地处理。</w:t>
            </w:r>
          </w:p>
          <w:p w14:paraId="61F6BE17" w14:textId="465400D9" w:rsidR="00F55073" w:rsidRPr="00E67914" w:rsidRDefault="00493D92" w:rsidP="00493D92">
            <w:pPr>
              <w:autoSpaceDE w:val="0"/>
              <w:autoSpaceDN w:val="0"/>
              <w:rPr>
                <w:rFonts w:ascii="Times New Roman" w:hAnsi="Times New Roman"/>
                <w:sz w:val="21"/>
                <w:szCs w:val="21"/>
                <w:lang w:eastAsia="zh-CN"/>
              </w:rPr>
            </w:pPr>
            <w:r w:rsidRPr="00E67914">
              <w:rPr>
                <w:rFonts w:ascii="Times New Roman" w:hAnsi="Times New Roman"/>
                <w:sz w:val="21"/>
                <w:szCs w:val="21"/>
                <w:lang w:eastAsia="zh-CN"/>
              </w:rPr>
              <w:t>对于占用耕地以外其他地类的临时用地，在规定的使用期限内，在不改变用途和范围的前提下，经临时用地原审批机关批准，可以确定给其他建设作为临时用地使用，但必须确保土地复垦义务履行到位。</w:t>
            </w:r>
          </w:p>
        </w:tc>
        <w:tc>
          <w:tcPr>
            <w:tcW w:w="1586" w:type="pct"/>
            <w:vAlign w:val="center"/>
          </w:tcPr>
          <w:p w14:paraId="51E76D3E" w14:textId="4C19C8ED" w:rsidR="00F55073" w:rsidRPr="00E67914" w:rsidRDefault="00F55073" w:rsidP="005B7AE3">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本项目</w:t>
            </w:r>
            <w:r w:rsidR="00493D92" w:rsidRPr="00E67914">
              <w:rPr>
                <w:rFonts w:ascii="Times New Roman" w:hAnsi="Times New Roman"/>
                <w:sz w:val="21"/>
                <w:szCs w:val="21"/>
                <w:lang w:eastAsia="zh-CN"/>
              </w:rPr>
              <w:t>为天然气探采合一项目，临时用地使用期限不超过四年，若试采结束后转入正式开采，将及时办理建设用地审批手续。</w:t>
            </w:r>
          </w:p>
        </w:tc>
        <w:tc>
          <w:tcPr>
            <w:tcW w:w="527" w:type="pct"/>
            <w:vAlign w:val="center"/>
          </w:tcPr>
          <w:p w14:paraId="3656CB26" w14:textId="77777777" w:rsidR="00F55073" w:rsidRPr="00E67914" w:rsidRDefault="00F55073" w:rsidP="005B7AE3">
            <w:pPr>
              <w:autoSpaceDE w:val="0"/>
              <w:autoSpaceDN w:val="0"/>
              <w:jc w:val="center"/>
              <w:rPr>
                <w:rFonts w:ascii="Times New Roman" w:hAnsi="Times New Roman"/>
                <w:sz w:val="21"/>
                <w:szCs w:val="21"/>
                <w:lang w:eastAsia="zh-CN"/>
              </w:rPr>
            </w:pPr>
            <w:r w:rsidRPr="00E67914">
              <w:rPr>
                <w:rFonts w:ascii="Times New Roman" w:hAnsi="Times New Roman"/>
                <w:sz w:val="21"/>
                <w:szCs w:val="21"/>
                <w:lang w:eastAsia="zh-CN"/>
              </w:rPr>
              <w:t>符合</w:t>
            </w:r>
          </w:p>
        </w:tc>
      </w:tr>
    </w:tbl>
    <w:p w14:paraId="06A7AB9F" w14:textId="1262CEAE" w:rsidR="00A54A8A" w:rsidRPr="00E67914" w:rsidRDefault="00000000">
      <w:pPr>
        <w:pStyle w:val="2"/>
        <w:ind w:firstLine="480"/>
        <w:rPr>
          <w:sz w:val="26"/>
          <w:szCs w:val="26"/>
          <w:lang w:eastAsia="zh-CN"/>
        </w:rPr>
      </w:pPr>
      <w:bookmarkStart w:id="41" w:name="_Toc148654216"/>
      <w:r w:rsidRPr="00E67914">
        <w:rPr>
          <w:szCs w:val="24"/>
          <w:lang w:eastAsia="zh-CN"/>
        </w:rPr>
        <w:t>2.8</w:t>
      </w:r>
      <w:r w:rsidRPr="00E67914">
        <w:rPr>
          <w:szCs w:val="24"/>
          <w:lang w:eastAsia="zh-CN"/>
        </w:rPr>
        <w:t>评价内容及时段</w:t>
      </w:r>
      <w:bookmarkEnd w:id="41"/>
    </w:p>
    <w:p w14:paraId="696FA629"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1</w:t>
      </w:r>
      <w:r w:rsidRPr="00E67914">
        <w:rPr>
          <w:rFonts w:ascii="Times New Roman" w:eastAsia="黑体" w:hAnsi="Times New Roman"/>
          <w:bCs/>
          <w:kern w:val="2"/>
          <w:sz w:val="24"/>
          <w:szCs w:val="24"/>
          <w:lang w:eastAsia="zh-CN"/>
        </w:rPr>
        <w:t>、评价内容</w:t>
      </w:r>
    </w:p>
    <w:p w14:paraId="7B4663F5"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）分析本项目建设方案与相关法律法规、环境经济技术政策、产业政策以及相关规划的协调性；</w:t>
      </w:r>
    </w:p>
    <w:p w14:paraId="5675B1E0"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）调查项目建设现状，对污染源污染治理设施、污染物排放方式和去向进行回顾性调查，对存在的环境问题提出整改措施建议；</w:t>
      </w:r>
    </w:p>
    <w:p w14:paraId="7C35D296"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）运用现状监测与资料收集等手段，对项目所在区域进行环境质量回顾性评价，分析环境空气、地表水、地下水、土壤、声环境等环境质量变化趋势；</w:t>
      </w:r>
    </w:p>
    <w:p w14:paraId="37DCBA21"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对可能会对区域内的环境空气、地表水环境、地下水环境、声环境、土壤环境、生态环境等带来的环境污染影响和环境风险影响进行全面深入的分析、预测和评价，同时结合项目选址的合理性，论证产能建设项目的环境可行性；</w:t>
      </w:r>
    </w:p>
    <w:p w14:paraId="29DD64B9"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）调查项目依托环保基础设施现状，说明污水处理设施、回注井等设施的建设地点、规模、服务范围以及运行现状，分析评价依托处置规模合理性，工艺可行性，环保设施可依托性等，论证项目的可依托性；</w:t>
      </w:r>
    </w:p>
    <w:p w14:paraId="2D6DD3CA"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）从天然气开发活动是否突破当地生态保护红线、环境质量底线、资源利用上线和生态环境准入清单，从环境保护角度分析建设项目区域环境的可承载性。</w:t>
      </w:r>
    </w:p>
    <w:p w14:paraId="6962CA44"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2</w:t>
      </w:r>
      <w:r w:rsidRPr="00E67914">
        <w:rPr>
          <w:rFonts w:ascii="Times New Roman" w:eastAsia="黑体" w:hAnsi="Times New Roman"/>
          <w:bCs/>
          <w:kern w:val="2"/>
          <w:sz w:val="24"/>
          <w:szCs w:val="24"/>
          <w:lang w:eastAsia="zh-CN"/>
        </w:rPr>
        <w:t>、评价重点</w:t>
      </w:r>
    </w:p>
    <w:p w14:paraId="0DF68366"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）分析本项目建设方案与相关政策、法规、规划在资源利用、环境保护要求等方面的符合性。</w:t>
      </w:r>
    </w:p>
    <w:p w14:paraId="451B9AB9"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调查识别区域环境敏感区和重点生态功能区等环境保护目标的分布情况及保护要求，分析资源利用和保护中存在的问题，评价区域环境质量状况，评价生态系统的组成、结构与功能状况、变化趋势和存在的主要环境问题，提出本项目建设的资源与环境制约因素。</w:t>
      </w:r>
    </w:p>
    <w:p w14:paraId="4F0B8DAA"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）本项目天然气试采对区域环境质量的影响，对区域生态系统完整性所造成的影响，对主要环境敏感区和重点生态功能区等环境保护目标的影响性质与程度。</w:t>
      </w:r>
    </w:p>
    <w:p w14:paraId="0946802A"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）分析评价区域资源与环境承载能力对本项目天然气开发的支撑状况，综合论证建设方案的环境合理性，提出项目建设方案优化调整建议。</w:t>
      </w:r>
    </w:p>
    <w:p w14:paraId="70AF70B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）以</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三线一单</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（生态保护红线、环境质量底线、资源利用上线和环境准入负面清单）为手段，强化空间、准入环境管理和总量控制。</w:t>
      </w:r>
    </w:p>
    <w:p w14:paraId="15843C2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）提出预防或者减轻不良环境影响的对策和措施。</w:t>
      </w:r>
    </w:p>
    <w:p w14:paraId="0D048102"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eastAsia="黑体" w:hAnsi="Times New Roman"/>
          <w:bCs/>
          <w:kern w:val="2"/>
          <w:sz w:val="24"/>
          <w:szCs w:val="24"/>
          <w:lang w:eastAsia="zh-CN"/>
        </w:rPr>
        <w:t>3</w:t>
      </w:r>
      <w:r w:rsidRPr="00E67914">
        <w:rPr>
          <w:rFonts w:ascii="Times New Roman" w:eastAsia="黑体" w:hAnsi="Times New Roman"/>
          <w:bCs/>
          <w:kern w:val="2"/>
          <w:sz w:val="24"/>
          <w:szCs w:val="24"/>
          <w:lang w:eastAsia="zh-CN"/>
        </w:rPr>
        <w:t>、评价时段</w:t>
      </w:r>
    </w:p>
    <w:p w14:paraId="00D5DF3B" w14:textId="15FA0F43"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lang w:eastAsia="zh-CN"/>
        </w:rPr>
      </w:pPr>
      <w:r w:rsidRPr="00E67914">
        <w:rPr>
          <w:rFonts w:ascii="Times New Roman" w:hAnsi="Times New Roman"/>
          <w:bCs/>
          <w:kern w:val="2"/>
          <w:sz w:val="24"/>
          <w:szCs w:val="24"/>
          <w:lang w:eastAsia="zh-CN"/>
        </w:rPr>
        <w:t>根据《环境影响评价技术导则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陆地石油天然气开发建设项目》</w:t>
      </w:r>
      <w:r w:rsidRPr="00E67914">
        <w:rPr>
          <w:rFonts w:ascii="Times New Roman" w:hAnsi="Times New Roman"/>
          <w:bCs/>
          <w:kern w:val="2"/>
          <w:sz w:val="24"/>
          <w:szCs w:val="24"/>
          <w:lang w:eastAsia="zh-CN"/>
        </w:rPr>
        <w:t>(HJ/T349-2007)</w:t>
      </w:r>
      <w:r w:rsidR="002057B6" w:rsidRPr="00E67914">
        <w:rPr>
          <w:rFonts w:ascii="Times New Roman" w:hAnsi="Times New Roman"/>
          <w:bCs/>
          <w:kern w:val="2"/>
          <w:sz w:val="24"/>
          <w:szCs w:val="24"/>
          <w:lang w:eastAsia="zh-CN"/>
        </w:rPr>
        <w:t>与《环境影响评价技术导则</w:t>
      </w:r>
      <w:r w:rsidR="002057B6" w:rsidRPr="00E67914">
        <w:rPr>
          <w:rFonts w:ascii="Times New Roman" w:hAnsi="Times New Roman"/>
          <w:bCs/>
          <w:kern w:val="2"/>
          <w:sz w:val="24"/>
          <w:szCs w:val="24"/>
          <w:lang w:eastAsia="zh-CN"/>
        </w:rPr>
        <w:t xml:space="preserve"> </w:t>
      </w:r>
      <w:r w:rsidR="002057B6" w:rsidRPr="00E67914">
        <w:rPr>
          <w:rFonts w:ascii="Times New Roman" w:hAnsi="Times New Roman"/>
          <w:bCs/>
          <w:kern w:val="2"/>
          <w:sz w:val="24"/>
          <w:szCs w:val="24"/>
          <w:lang w:eastAsia="zh-CN"/>
        </w:rPr>
        <w:t>陆地石油天然气开发建设项目》</w:t>
      </w:r>
      <w:r w:rsidR="002057B6" w:rsidRPr="00E67914">
        <w:rPr>
          <w:rFonts w:ascii="Times New Roman" w:hAnsi="Times New Roman"/>
          <w:bCs/>
          <w:kern w:val="2"/>
          <w:sz w:val="24"/>
          <w:szCs w:val="24"/>
          <w:lang w:eastAsia="zh-CN"/>
        </w:rPr>
        <w:t>(HJ/349-2023)</w:t>
      </w:r>
      <w:r w:rsidRPr="00E67914">
        <w:rPr>
          <w:rFonts w:ascii="Times New Roman" w:hAnsi="Times New Roman"/>
          <w:bCs/>
          <w:kern w:val="2"/>
          <w:sz w:val="24"/>
          <w:szCs w:val="24"/>
          <w:lang w:eastAsia="zh-CN"/>
        </w:rPr>
        <w:t>中的有关规定，本次评价时段分施工期、运行期（试采期）</w:t>
      </w:r>
      <w:r w:rsidR="00243180" w:rsidRPr="00E67914">
        <w:rPr>
          <w:rFonts w:ascii="Times New Roman" w:hAnsi="Times New Roman"/>
          <w:bCs/>
          <w:kern w:val="2"/>
          <w:sz w:val="24"/>
          <w:szCs w:val="24"/>
          <w:lang w:eastAsia="zh-CN"/>
        </w:rPr>
        <w:t>两</w:t>
      </w:r>
      <w:r w:rsidRPr="00E67914">
        <w:rPr>
          <w:rFonts w:ascii="Times New Roman" w:hAnsi="Times New Roman"/>
          <w:bCs/>
          <w:kern w:val="2"/>
          <w:sz w:val="24"/>
          <w:szCs w:val="24"/>
          <w:lang w:eastAsia="zh-CN"/>
        </w:rPr>
        <w:t>个时段来开展环境影响评价。</w:t>
      </w:r>
    </w:p>
    <w:p w14:paraId="1147C9C1" w14:textId="77777777" w:rsidR="00A54A8A" w:rsidRPr="00E67914" w:rsidRDefault="00000000">
      <w:pPr>
        <w:pStyle w:val="2"/>
        <w:ind w:firstLine="480"/>
        <w:rPr>
          <w:szCs w:val="24"/>
          <w:lang w:eastAsia="zh-CN"/>
        </w:rPr>
      </w:pPr>
      <w:bookmarkStart w:id="42" w:name="_Toc148654217"/>
      <w:r w:rsidRPr="00E67914">
        <w:rPr>
          <w:szCs w:val="24"/>
          <w:lang w:eastAsia="zh-CN"/>
        </w:rPr>
        <w:t>2.9</w:t>
      </w:r>
      <w:r w:rsidRPr="00E67914">
        <w:rPr>
          <w:szCs w:val="24"/>
          <w:lang w:eastAsia="zh-CN"/>
        </w:rPr>
        <w:t>环境保护目标</w:t>
      </w:r>
      <w:bookmarkEnd w:id="42"/>
    </w:p>
    <w:p w14:paraId="0A13AE98"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2.9.1</w:t>
      </w:r>
      <w:r w:rsidRPr="00E67914">
        <w:rPr>
          <w:rFonts w:ascii="Times New Roman" w:eastAsia="黑体" w:hAnsi="Times New Roman"/>
          <w:b w:val="0"/>
          <w:sz w:val="24"/>
          <w:szCs w:val="24"/>
          <w:lang w:eastAsia="zh-CN"/>
        </w:rPr>
        <w:t>外环境关系</w:t>
      </w:r>
    </w:p>
    <w:p w14:paraId="01257AD7"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1</w:t>
      </w:r>
      <w:r w:rsidRPr="00E67914">
        <w:rPr>
          <w:rFonts w:ascii="Times New Roman" w:eastAsia="黑体" w:hAnsi="Times New Roman"/>
          <w:bCs/>
          <w:kern w:val="2"/>
          <w:sz w:val="24"/>
          <w:szCs w:val="24"/>
          <w:lang w:eastAsia="zh-CN"/>
        </w:rPr>
        <w:t>、井场外环境简况</w:t>
      </w:r>
    </w:p>
    <w:p w14:paraId="15E63D9F" w14:textId="09A5FC21"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本工程拟选址位于</w:t>
      </w:r>
      <w:r w:rsidRPr="00E67914">
        <w:rPr>
          <w:rFonts w:ascii="Times New Roman" w:hAnsi="Times New Roman"/>
          <w:sz w:val="24"/>
          <w:szCs w:val="24"/>
          <w:lang w:eastAsia="zh-CN"/>
        </w:rPr>
        <w:t>四川省</w:t>
      </w:r>
      <w:r w:rsidR="00DD2AA7" w:rsidRPr="00E67914">
        <w:rPr>
          <w:rFonts w:ascii="Times New Roman" w:hAnsi="Times New Roman"/>
          <w:sz w:val="24"/>
          <w:szCs w:val="24"/>
          <w:lang w:eastAsia="zh-CN"/>
        </w:rPr>
        <w:t>达州市宣汉县普光镇</w:t>
      </w:r>
      <w:r w:rsidR="00AE0282" w:rsidRPr="00E67914">
        <w:rPr>
          <w:rFonts w:ascii="Times New Roman" w:hAnsi="Times New Roman"/>
          <w:sz w:val="24"/>
          <w:szCs w:val="24"/>
          <w:lang w:eastAsia="zh-CN"/>
        </w:rPr>
        <w:t>陡梯村</w:t>
      </w:r>
      <w:r w:rsidRPr="00E67914">
        <w:rPr>
          <w:rFonts w:ascii="Times New Roman" w:hAnsi="Times New Roman"/>
          <w:bCs/>
          <w:kern w:val="2"/>
          <w:sz w:val="24"/>
          <w:szCs w:val="24"/>
          <w:lang w:eastAsia="zh-CN"/>
        </w:rPr>
        <w:t>，属丘陵地形，地势较为陡峭，</w:t>
      </w:r>
      <w:r w:rsidR="002057B6" w:rsidRPr="00E67914">
        <w:rPr>
          <w:rFonts w:ascii="Times New Roman" w:hAnsi="Times New Roman"/>
          <w:bCs/>
          <w:kern w:val="2"/>
          <w:sz w:val="24"/>
          <w:szCs w:val="24"/>
          <w:lang w:eastAsia="zh-CN"/>
        </w:rPr>
        <w:t>区域北高南低，西高东低，项目东</w:t>
      </w:r>
      <w:r w:rsidRPr="00E67914">
        <w:rPr>
          <w:rFonts w:ascii="Times New Roman" w:hAnsi="Times New Roman"/>
          <w:bCs/>
          <w:kern w:val="2"/>
          <w:sz w:val="24"/>
          <w:szCs w:val="24"/>
          <w:lang w:eastAsia="zh-CN"/>
        </w:rPr>
        <w:t>部约</w:t>
      </w:r>
      <w:r w:rsidR="002057B6" w:rsidRPr="00E67914">
        <w:rPr>
          <w:rFonts w:ascii="Times New Roman" w:hAnsi="Times New Roman"/>
          <w:bCs/>
          <w:kern w:val="2"/>
          <w:sz w:val="24"/>
          <w:szCs w:val="24"/>
          <w:lang w:eastAsia="zh-CN"/>
        </w:rPr>
        <w:t>1.6k</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处为</w:t>
      </w:r>
      <w:r w:rsidR="008D2D42" w:rsidRPr="00E67914">
        <w:rPr>
          <w:rFonts w:ascii="Times New Roman" w:hAnsi="Times New Roman"/>
          <w:bCs/>
          <w:kern w:val="2"/>
          <w:sz w:val="24"/>
          <w:szCs w:val="24"/>
          <w:lang w:eastAsia="zh-CN"/>
        </w:rPr>
        <w:t>后</w:t>
      </w:r>
      <w:r w:rsidRPr="00E67914">
        <w:rPr>
          <w:rFonts w:ascii="Times New Roman" w:hAnsi="Times New Roman"/>
          <w:bCs/>
          <w:kern w:val="2"/>
          <w:sz w:val="24"/>
          <w:szCs w:val="24"/>
          <w:lang w:eastAsia="zh-CN"/>
        </w:rPr>
        <w:t>河。</w:t>
      </w:r>
      <w:r w:rsidR="002057B6" w:rsidRPr="00E67914">
        <w:rPr>
          <w:rFonts w:ascii="Times New Roman" w:hAnsi="Times New Roman"/>
          <w:bCs/>
          <w:kern w:val="2"/>
          <w:sz w:val="24"/>
          <w:szCs w:val="24"/>
          <w:lang w:eastAsia="zh-CN"/>
        </w:rPr>
        <w:t>项目区</w:t>
      </w:r>
      <w:r w:rsidRPr="00E67914">
        <w:rPr>
          <w:rFonts w:ascii="Times New Roman" w:hAnsi="Times New Roman"/>
          <w:bCs/>
          <w:kern w:val="2"/>
          <w:sz w:val="24"/>
          <w:szCs w:val="24"/>
          <w:lang w:eastAsia="zh-CN"/>
        </w:rPr>
        <w:t>属于农村生态环境，耕地种植有季节性蔬菜、番薯等农作物，井场周边</w:t>
      </w:r>
      <w:r w:rsidR="002057B6" w:rsidRPr="00E67914">
        <w:rPr>
          <w:rFonts w:ascii="Times New Roman" w:hAnsi="Times New Roman"/>
          <w:bCs/>
          <w:kern w:val="2"/>
          <w:sz w:val="24"/>
          <w:szCs w:val="24"/>
          <w:lang w:eastAsia="zh-CN"/>
        </w:rPr>
        <w:t>及管线沿线两侧</w:t>
      </w:r>
      <w:r w:rsidRPr="00E67914">
        <w:rPr>
          <w:rFonts w:ascii="Times New Roman" w:hAnsi="Times New Roman"/>
          <w:bCs/>
          <w:kern w:val="2"/>
          <w:sz w:val="24"/>
          <w:szCs w:val="24"/>
          <w:lang w:eastAsia="zh-CN"/>
        </w:rPr>
        <w:t>200m</w:t>
      </w:r>
      <w:r w:rsidRPr="00E67914">
        <w:rPr>
          <w:rFonts w:ascii="Times New Roman" w:hAnsi="Times New Roman"/>
          <w:bCs/>
          <w:kern w:val="2"/>
          <w:sz w:val="24"/>
          <w:szCs w:val="24"/>
          <w:lang w:eastAsia="zh-CN"/>
        </w:rPr>
        <w:t>范围内有散居农户分布。</w:t>
      </w:r>
    </w:p>
    <w:p w14:paraId="3CD6BEBD" w14:textId="38107E15"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项目所在地道路较发达，大多为水泥路，周边铺设了电网。项目位于普光镇南侧，距离普光镇场镇约</w:t>
      </w:r>
      <w:r w:rsidR="002057B6" w:rsidRPr="00E67914">
        <w:rPr>
          <w:rFonts w:ascii="Times New Roman" w:hAnsi="Times New Roman"/>
          <w:bCs/>
          <w:kern w:val="2"/>
          <w:sz w:val="24"/>
          <w:szCs w:val="24"/>
          <w:lang w:eastAsia="zh-CN"/>
        </w:rPr>
        <w:t>1.45</w:t>
      </w:r>
      <w:r w:rsidRPr="00E67914">
        <w:rPr>
          <w:rFonts w:ascii="Times New Roman" w:hAnsi="Times New Roman"/>
          <w:bCs/>
          <w:kern w:val="2"/>
          <w:sz w:val="24"/>
          <w:szCs w:val="24"/>
          <w:lang w:eastAsia="zh-CN"/>
        </w:rPr>
        <w:t>km</w:t>
      </w:r>
      <w:r w:rsidRPr="00E67914">
        <w:rPr>
          <w:rFonts w:ascii="Times New Roman" w:hAnsi="Times New Roman"/>
          <w:bCs/>
          <w:kern w:val="2"/>
          <w:sz w:val="24"/>
          <w:szCs w:val="24"/>
          <w:lang w:eastAsia="zh-CN"/>
        </w:rPr>
        <w:t>。该项目外环境关系情况见附图</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w:t>
      </w:r>
    </w:p>
    <w:tbl>
      <w:tblPr>
        <w:tblStyle w:val="affa"/>
        <w:tblW w:w="8222" w:type="dxa"/>
        <w:jc w:val="center"/>
        <w:tblLayout w:type="fixed"/>
        <w:tblCellMar>
          <w:left w:w="0" w:type="dxa"/>
          <w:right w:w="0" w:type="dxa"/>
        </w:tblCellMar>
        <w:tblLook w:val="04A0" w:firstRow="1" w:lastRow="0" w:firstColumn="1" w:lastColumn="0" w:noHBand="0" w:noVBand="1"/>
      </w:tblPr>
      <w:tblGrid>
        <w:gridCol w:w="8222"/>
      </w:tblGrid>
      <w:tr w:rsidR="002662E3" w:rsidRPr="00E67914" w14:paraId="3BBC723F" w14:textId="77777777">
        <w:trPr>
          <w:jc w:val="center"/>
        </w:trPr>
        <w:tc>
          <w:tcPr>
            <w:tcW w:w="8222" w:type="dxa"/>
          </w:tcPr>
          <w:p w14:paraId="24F73BC3" w14:textId="10169558" w:rsidR="00A54A8A" w:rsidRPr="00E67914" w:rsidRDefault="005070C6">
            <w:pPr>
              <w:adjustRightInd w:val="0"/>
              <w:snapToGrid w:val="0"/>
              <w:jc w:val="center"/>
              <w:rPr>
                <w:rFonts w:ascii="Times New Roman" w:hAnsi="Times New Roman"/>
                <w:sz w:val="21"/>
                <w:szCs w:val="21"/>
                <w:lang w:eastAsia="zh-CN"/>
              </w:rPr>
            </w:pPr>
            <w:r w:rsidRPr="00E67914">
              <w:rPr>
                <w:rFonts w:ascii="Times New Roman" w:hAnsi="Times New Roman"/>
                <w:noProof/>
                <w:sz w:val="21"/>
                <w:szCs w:val="21"/>
                <w:lang w:eastAsia="zh-CN"/>
              </w:rPr>
              <w:lastRenderedPageBreak/>
              <w:drawing>
                <wp:inline distT="0" distB="0" distL="0" distR="0" wp14:anchorId="3E6D166A" wp14:editId="3E82A66C">
                  <wp:extent cx="5214620" cy="2933065"/>
                  <wp:effectExtent l="0" t="0" r="5080" b="635"/>
                  <wp:docPr id="7815839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4620" cy="2933065"/>
                          </a:xfrm>
                          <a:prstGeom prst="rect">
                            <a:avLst/>
                          </a:prstGeom>
                          <a:noFill/>
                          <a:ln>
                            <a:noFill/>
                          </a:ln>
                        </pic:spPr>
                      </pic:pic>
                    </a:graphicData>
                  </a:graphic>
                </wp:inline>
              </w:drawing>
            </w:r>
          </w:p>
        </w:tc>
      </w:tr>
      <w:tr w:rsidR="002662E3" w:rsidRPr="00E67914" w14:paraId="52BC9F03" w14:textId="77777777">
        <w:trPr>
          <w:jc w:val="center"/>
        </w:trPr>
        <w:tc>
          <w:tcPr>
            <w:tcW w:w="8222" w:type="dxa"/>
          </w:tcPr>
          <w:p w14:paraId="47779C86" w14:textId="3953EECD" w:rsidR="00A54A8A" w:rsidRPr="00E67914" w:rsidRDefault="005070C6">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拟建</w:t>
            </w:r>
            <w:r w:rsidR="00902A04" w:rsidRPr="00E67914">
              <w:rPr>
                <w:rFonts w:ascii="Times New Roman" w:hAnsi="Times New Roman"/>
                <w:sz w:val="21"/>
                <w:szCs w:val="21"/>
                <w:lang w:eastAsia="zh-CN"/>
              </w:rPr>
              <w:t>普陆页</w:t>
            </w:r>
            <w:r w:rsidR="00902A04" w:rsidRPr="00E67914">
              <w:rPr>
                <w:rFonts w:ascii="Times New Roman" w:hAnsi="Times New Roman"/>
                <w:sz w:val="21"/>
                <w:szCs w:val="21"/>
                <w:lang w:eastAsia="zh-CN"/>
              </w:rPr>
              <w:t>2</w:t>
            </w:r>
            <w:r w:rsidR="00902A04" w:rsidRPr="00E67914">
              <w:rPr>
                <w:rFonts w:ascii="Times New Roman" w:hAnsi="Times New Roman"/>
                <w:sz w:val="21"/>
                <w:szCs w:val="21"/>
                <w:lang w:eastAsia="zh-CN"/>
              </w:rPr>
              <w:t>试采站</w:t>
            </w:r>
            <w:r w:rsidRPr="00E67914">
              <w:rPr>
                <w:rFonts w:ascii="Times New Roman" w:hAnsi="Times New Roman"/>
                <w:sz w:val="21"/>
                <w:szCs w:val="21"/>
                <w:lang w:eastAsia="zh-CN"/>
              </w:rPr>
              <w:t>（即原普陆页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w:t>
            </w:r>
          </w:p>
        </w:tc>
      </w:tr>
      <w:tr w:rsidR="002662E3" w:rsidRPr="00E67914" w14:paraId="44B9E1BD" w14:textId="77777777">
        <w:trPr>
          <w:jc w:val="center"/>
        </w:trPr>
        <w:tc>
          <w:tcPr>
            <w:tcW w:w="8222" w:type="dxa"/>
          </w:tcPr>
          <w:p w14:paraId="292D2A3B" w14:textId="4A18695A" w:rsidR="00A54A8A" w:rsidRPr="00E67914" w:rsidRDefault="00F37A71">
            <w:pPr>
              <w:adjustRightInd w:val="0"/>
              <w:snapToGrid w:val="0"/>
              <w:jc w:val="center"/>
              <w:rPr>
                <w:rFonts w:ascii="Times New Roman" w:hAnsi="Times New Roman"/>
                <w:sz w:val="21"/>
                <w:szCs w:val="21"/>
                <w:lang w:eastAsia="zh-CN"/>
              </w:rPr>
            </w:pPr>
            <w:r w:rsidRPr="00E67914">
              <w:rPr>
                <w:rFonts w:ascii="Times New Roman" w:hAnsi="Times New Roman"/>
                <w:noProof/>
                <w:sz w:val="21"/>
                <w:szCs w:val="21"/>
                <w:lang w:eastAsia="zh-CN"/>
              </w:rPr>
              <mc:AlternateContent>
                <mc:Choice Requires="wps">
                  <w:drawing>
                    <wp:anchor distT="0" distB="0" distL="114300" distR="114300" simplePos="0" relativeHeight="251760640" behindDoc="0" locked="0" layoutInCell="1" allowOverlap="1" wp14:anchorId="258E7C36" wp14:editId="364C16C6">
                      <wp:simplePos x="0" y="0"/>
                      <wp:positionH relativeFrom="column">
                        <wp:posOffset>4034928</wp:posOffset>
                      </wp:positionH>
                      <wp:positionV relativeFrom="paragraph">
                        <wp:posOffset>1635070</wp:posOffset>
                      </wp:positionV>
                      <wp:extent cx="492981" cy="302149"/>
                      <wp:effectExtent l="0" t="0" r="0" b="3175"/>
                      <wp:wrapNone/>
                      <wp:docPr id="1309759303" name="文本框 2"/>
                      <wp:cNvGraphicFramePr/>
                      <a:graphic xmlns:a="http://schemas.openxmlformats.org/drawingml/2006/main">
                        <a:graphicData uri="http://schemas.microsoft.com/office/word/2010/wordprocessingShape">
                          <wps:wsp>
                            <wps:cNvSpPr txBox="1"/>
                            <wps:spPr bwMode="auto">
                              <a:xfrm>
                                <a:off x="0" y="0"/>
                                <a:ext cx="492981" cy="302149"/>
                              </a:xfrm>
                              <a:prstGeom prst="rect">
                                <a:avLst/>
                              </a:prstGeom>
                              <a:noFill/>
                              <a:ln w="9525">
                                <a:noFill/>
                                <a:miter lim="800000"/>
                              </a:ln>
                            </wps:spPr>
                            <wps:txbx>
                              <w:txbxContent>
                                <w:p w14:paraId="3E127F1A" w14:textId="2C7D2216" w:rsidR="00F37A71" w:rsidRPr="00F37A71" w:rsidRDefault="00F37A71">
                                  <w:pPr>
                                    <w:rPr>
                                      <w:b/>
                                      <w:bCs/>
                                      <w:color w:val="FF0000"/>
                                      <w:lang w:eastAsia="zh-CN"/>
                                    </w:rPr>
                                  </w:pPr>
                                  <w:r w:rsidRPr="00F37A71">
                                    <w:rPr>
                                      <w:rFonts w:hint="eastAsia"/>
                                      <w:b/>
                                      <w:bCs/>
                                      <w:color w:val="FF0000"/>
                                      <w:lang w:eastAsia="zh-CN"/>
                                    </w:rPr>
                                    <w:t>井场</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58E7C36" id="文本框 2" o:spid="_x0000_s1035" type="#_x0000_t202" style="position:absolute;left:0;text-align:left;margin-left:317.7pt;margin-top:128.75pt;width:38.8pt;height:23.8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" filled="f" stroked="f">
                      <v:textbox>
                        <w:txbxContent>
                          <w:p w14:paraId="3E127F1A" w14:textId="2C7D2216" w:rsidR="00F37A71" w:rsidRPr="00F37A71" w:rsidRDefault="00F37A71">
                            <w:pPr>
                              <w:rPr>
                                <w:b/>
                                <w:bCs/>
                                <w:color w:val="FF0000"/>
                                <w:lang w:eastAsia="zh-CN"/>
                              </w:rPr>
                            </w:pPr>
                            <w:r w:rsidRPr="00F37A71">
                              <w:rPr>
                                <w:rFonts w:hint="eastAsia"/>
                                <w:b/>
                                <w:bCs/>
                                <w:color w:val="FF0000"/>
                                <w:lang w:eastAsia="zh-CN"/>
                              </w:rPr>
                              <w:t>井场</w:t>
                            </w:r>
                          </w:p>
                        </w:txbxContent>
                      </v:textbox>
                    </v:shape>
                  </w:pict>
                </mc:Fallback>
              </mc:AlternateContent>
            </w:r>
            <w:r w:rsidRPr="00E67914">
              <w:rPr>
                <w:rFonts w:ascii="Times New Roman" w:hAnsi="Times New Roman"/>
                <w:noProof/>
                <w:sz w:val="21"/>
                <w:szCs w:val="21"/>
                <w:lang w:eastAsia="zh-CN"/>
              </w:rPr>
              <mc:AlternateContent>
                <mc:Choice Requires="wps">
                  <w:drawing>
                    <wp:anchor distT="0" distB="0" distL="114300" distR="114300" simplePos="0" relativeHeight="251759616" behindDoc="0" locked="0" layoutInCell="1" allowOverlap="1" wp14:anchorId="5A7F5103" wp14:editId="5D7E4D68">
                      <wp:simplePos x="0" y="0"/>
                      <wp:positionH relativeFrom="column">
                        <wp:posOffset>4069246</wp:posOffset>
                      </wp:positionH>
                      <wp:positionV relativeFrom="paragraph">
                        <wp:posOffset>1489847</wp:posOffset>
                      </wp:positionV>
                      <wp:extent cx="365760" cy="579849"/>
                      <wp:effectExtent l="152400" t="76200" r="129540" b="86995"/>
                      <wp:wrapNone/>
                      <wp:docPr id="1125929026" name="矩形 1"/>
                      <wp:cNvGraphicFramePr/>
                      <a:graphic xmlns:a="http://schemas.openxmlformats.org/drawingml/2006/main">
                        <a:graphicData uri="http://schemas.microsoft.com/office/word/2010/wordprocessingShape">
                          <wps:wsp>
                            <wps:cNvSpPr/>
                            <wps:spPr>
                              <a:xfrm rot="1777993">
                                <a:off x="0" y="0"/>
                                <a:ext cx="365760" cy="579849"/>
                              </a:xfrm>
                              <a:prstGeom prst="rect">
                                <a:avLst/>
                              </a:prstGeom>
                              <a:noFill/>
                              <a:ln w="254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23BC04" id="矩形 1" o:spid="_x0000_s1026" style="position:absolute;left:0;text-align:left;margin-left:320.4pt;margin-top:117.3pt;width:28.8pt;height:45.65pt;rotation:1942042fd;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" filled="f" strokecolor="red" strokeweight="2pt"/>
                  </w:pict>
                </mc:Fallback>
              </mc:AlternateContent>
            </w:r>
            <w:r w:rsidR="005070C6" w:rsidRPr="00E67914">
              <w:rPr>
                <w:rFonts w:ascii="Times New Roman" w:hAnsi="Times New Roman"/>
                <w:noProof/>
                <w:sz w:val="21"/>
                <w:szCs w:val="21"/>
                <w:lang w:eastAsia="zh-CN"/>
              </w:rPr>
              <w:drawing>
                <wp:inline distT="0" distB="0" distL="0" distR="0" wp14:anchorId="2D7CDA7A" wp14:editId="4517D63C">
                  <wp:extent cx="5214620" cy="2934970"/>
                  <wp:effectExtent l="0" t="0" r="5080" b="0"/>
                  <wp:docPr id="612991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14620" cy="2934970"/>
                          </a:xfrm>
                          <a:prstGeom prst="rect">
                            <a:avLst/>
                          </a:prstGeom>
                          <a:noFill/>
                          <a:ln>
                            <a:noFill/>
                          </a:ln>
                        </pic:spPr>
                      </pic:pic>
                    </a:graphicData>
                  </a:graphic>
                </wp:inline>
              </w:drawing>
            </w:r>
          </w:p>
        </w:tc>
      </w:tr>
      <w:tr w:rsidR="002662E3" w:rsidRPr="00E67914" w14:paraId="274C726C" w14:textId="77777777">
        <w:trPr>
          <w:jc w:val="center"/>
        </w:trPr>
        <w:tc>
          <w:tcPr>
            <w:tcW w:w="8222" w:type="dxa"/>
          </w:tcPr>
          <w:p w14:paraId="2A15F45E" w14:textId="12A02E41" w:rsidR="00A54A8A" w:rsidRPr="00E67914" w:rsidRDefault="0014745F">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新建新普陆页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w:t>
            </w:r>
            <w:r w:rsidR="00AE0282" w:rsidRPr="00E67914">
              <w:rPr>
                <w:rFonts w:ascii="Times New Roman" w:hAnsi="Times New Roman"/>
                <w:sz w:val="21"/>
                <w:szCs w:val="21"/>
                <w:lang w:eastAsia="zh-CN"/>
              </w:rPr>
              <w:t>及拟建管线沿线</w:t>
            </w:r>
          </w:p>
        </w:tc>
      </w:tr>
    </w:tbl>
    <w:p w14:paraId="4AFAD199"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2.9-1  </w:t>
      </w:r>
      <w:r w:rsidRPr="00E67914">
        <w:rPr>
          <w:rFonts w:ascii="Times New Roman" w:eastAsia="黑体" w:hAnsi="Times New Roman"/>
          <w:sz w:val="21"/>
          <w:szCs w:val="21"/>
          <w:lang w:eastAsia="zh-CN"/>
        </w:rPr>
        <w:t>项目及周边照片</w:t>
      </w:r>
    </w:p>
    <w:p w14:paraId="1347A4C4"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2</w:t>
      </w:r>
      <w:r w:rsidRPr="00E67914">
        <w:rPr>
          <w:rFonts w:ascii="Times New Roman" w:eastAsia="黑体" w:hAnsi="Times New Roman"/>
          <w:bCs/>
          <w:kern w:val="2"/>
          <w:sz w:val="24"/>
          <w:szCs w:val="24"/>
          <w:lang w:eastAsia="zh-CN"/>
        </w:rPr>
        <w:t>、井场周边人居及地下水现状</w:t>
      </w:r>
    </w:p>
    <w:p w14:paraId="3E889FF0" w14:textId="33B77922"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根据现场调查，本项目位于</w:t>
      </w:r>
      <w:r w:rsidR="00DD2AA7" w:rsidRPr="00E67914">
        <w:rPr>
          <w:rFonts w:ascii="Times New Roman" w:hAnsi="Times New Roman"/>
          <w:sz w:val="24"/>
          <w:lang w:eastAsia="zh-CN"/>
        </w:rPr>
        <w:t>宣汉县普光镇</w:t>
      </w:r>
      <w:r w:rsidR="00AE0282" w:rsidRPr="00E67914">
        <w:rPr>
          <w:rFonts w:ascii="Times New Roman" w:hAnsi="Times New Roman"/>
          <w:sz w:val="24"/>
          <w:lang w:eastAsia="zh-CN"/>
        </w:rPr>
        <w:t>陡梯村</w:t>
      </w:r>
      <w:r w:rsidRPr="00E67914">
        <w:rPr>
          <w:rFonts w:ascii="Times New Roman" w:hAnsi="Times New Roman"/>
          <w:bCs/>
          <w:kern w:val="2"/>
          <w:sz w:val="24"/>
          <w:szCs w:val="24"/>
          <w:lang w:eastAsia="zh-CN"/>
        </w:rPr>
        <w:t>，井口方圆</w:t>
      </w:r>
      <w:r w:rsidRPr="00E67914">
        <w:rPr>
          <w:rFonts w:ascii="Times New Roman" w:hAnsi="Times New Roman"/>
          <w:bCs/>
          <w:kern w:val="2"/>
          <w:sz w:val="24"/>
          <w:szCs w:val="24"/>
          <w:lang w:eastAsia="zh-CN"/>
        </w:rPr>
        <w:t>500m</w:t>
      </w:r>
      <w:r w:rsidRPr="00E67914">
        <w:rPr>
          <w:rFonts w:ascii="Times New Roman" w:hAnsi="Times New Roman"/>
          <w:bCs/>
          <w:kern w:val="2"/>
          <w:sz w:val="24"/>
          <w:szCs w:val="24"/>
          <w:lang w:eastAsia="zh-CN"/>
        </w:rPr>
        <w:t>区域属中低山斜坡地形，周边生态环境属农村环境，井场</w:t>
      </w:r>
      <w:r w:rsidR="005070C6" w:rsidRPr="00E67914">
        <w:rPr>
          <w:rFonts w:ascii="Times New Roman" w:hAnsi="Times New Roman"/>
          <w:bCs/>
          <w:kern w:val="2"/>
          <w:sz w:val="24"/>
          <w:szCs w:val="24"/>
          <w:lang w:eastAsia="zh-CN"/>
        </w:rPr>
        <w:t>与管线海拔高程在</w:t>
      </w:r>
      <w:r w:rsidR="005070C6" w:rsidRPr="00E67914">
        <w:rPr>
          <w:rFonts w:ascii="Times New Roman" w:hAnsi="Times New Roman"/>
          <w:bCs/>
          <w:kern w:val="2"/>
          <w:sz w:val="24"/>
          <w:szCs w:val="24"/>
          <w:lang w:eastAsia="zh-CN"/>
        </w:rPr>
        <w:t>500~700m</w:t>
      </w:r>
      <w:r w:rsidR="005070C6" w:rsidRPr="00E67914">
        <w:rPr>
          <w:rFonts w:ascii="Times New Roman" w:hAnsi="Times New Roman"/>
          <w:bCs/>
          <w:kern w:val="2"/>
          <w:sz w:val="24"/>
          <w:szCs w:val="24"/>
          <w:lang w:eastAsia="zh-CN"/>
        </w:rPr>
        <w:t>之间</w:t>
      </w:r>
      <w:r w:rsidRPr="00E67914">
        <w:rPr>
          <w:rFonts w:ascii="Times New Roman" w:hAnsi="Times New Roman"/>
          <w:bCs/>
          <w:kern w:val="2"/>
          <w:sz w:val="24"/>
          <w:szCs w:val="24"/>
          <w:lang w:eastAsia="zh-CN"/>
        </w:rPr>
        <w:t>，区域地下水资源</w:t>
      </w:r>
      <w:r w:rsidR="005070C6" w:rsidRPr="00E67914">
        <w:rPr>
          <w:rFonts w:ascii="Times New Roman" w:hAnsi="Times New Roman"/>
          <w:bCs/>
          <w:kern w:val="2"/>
          <w:sz w:val="24"/>
          <w:szCs w:val="24"/>
          <w:lang w:eastAsia="zh-CN"/>
        </w:rPr>
        <w:t>较为匮乏</w:t>
      </w:r>
      <w:r w:rsidRPr="00E67914">
        <w:rPr>
          <w:rFonts w:ascii="Times New Roman" w:hAnsi="Times New Roman"/>
          <w:bCs/>
          <w:kern w:val="2"/>
          <w:sz w:val="24"/>
          <w:szCs w:val="24"/>
          <w:lang w:eastAsia="zh-CN"/>
        </w:rPr>
        <w:t>，土地类型主要为林地与耕地，降雨补给地下水较多。井场中心（以井口为中心）方圆</w:t>
      </w:r>
      <w:r w:rsidRPr="00E67914">
        <w:rPr>
          <w:rFonts w:ascii="Times New Roman" w:hAnsi="Times New Roman"/>
          <w:bCs/>
          <w:kern w:val="2"/>
          <w:sz w:val="24"/>
          <w:szCs w:val="24"/>
          <w:lang w:eastAsia="zh-CN"/>
        </w:rPr>
        <w:t>0m</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100m</w:t>
      </w:r>
      <w:r w:rsidRPr="00E67914">
        <w:rPr>
          <w:rFonts w:ascii="Times New Roman" w:hAnsi="Times New Roman"/>
          <w:bCs/>
          <w:kern w:val="2"/>
          <w:sz w:val="24"/>
          <w:szCs w:val="24"/>
          <w:lang w:eastAsia="zh-CN"/>
        </w:rPr>
        <w:t>范围无居民分布。</w:t>
      </w:r>
    </w:p>
    <w:p w14:paraId="1A6C7E86" w14:textId="62E6E295"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项目区域内地下水类型</w:t>
      </w:r>
      <w:r w:rsidRPr="00E67914">
        <w:rPr>
          <w:rFonts w:ascii="Times New Roman" w:hAnsi="Times New Roman"/>
          <w:sz w:val="24"/>
          <w:szCs w:val="24"/>
          <w:lang w:eastAsia="zh-CN"/>
        </w:rPr>
        <w:t>以基岩裂隙水与碎屑岩类裂隙水为主</w:t>
      </w:r>
      <w:r w:rsidRPr="00E67914">
        <w:rPr>
          <w:rFonts w:ascii="Times New Roman" w:hAnsi="Times New Roman"/>
          <w:bCs/>
          <w:kern w:val="2"/>
          <w:sz w:val="24"/>
          <w:szCs w:val="24"/>
          <w:lang w:eastAsia="zh-CN"/>
        </w:rPr>
        <w:t>。根据外环境调查，井场附近居民家中均使用山泉水作为饮用水源，</w:t>
      </w:r>
      <w:bookmarkStart w:id="43" w:name="_Hlk33089211"/>
      <w:r w:rsidR="00AE0282" w:rsidRPr="00E67914">
        <w:rPr>
          <w:rFonts w:ascii="Times New Roman" w:hAnsi="Times New Roman"/>
          <w:bCs/>
          <w:kern w:val="2"/>
          <w:sz w:val="24"/>
          <w:szCs w:val="24"/>
          <w:lang w:eastAsia="zh-CN"/>
        </w:rPr>
        <w:t>经山上水池收集后分散供周边居民使用，平均约</w:t>
      </w:r>
      <w:r w:rsidR="00A77F82" w:rsidRPr="00E67914">
        <w:rPr>
          <w:rFonts w:ascii="Times New Roman" w:hAnsi="Times New Roman"/>
          <w:bCs/>
          <w:kern w:val="2"/>
          <w:sz w:val="24"/>
          <w:szCs w:val="24"/>
          <w:lang w:eastAsia="zh-CN"/>
        </w:rPr>
        <w:t>1</w:t>
      </w:r>
      <w:r w:rsidR="00AE0282" w:rsidRPr="00E67914">
        <w:rPr>
          <w:rFonts w:ascii="Times New Roman" w:hAnsi="Times New Roman"/>
          <w:bCs/>
          <w:kern w:val="2"/>
          <w:sz w:val="24"/>
          <w:szCs w:val="24"/>
          <w:lang w:eastAsia="zh-CN"/>
        </w:rPr>
        <w:t>~15</w:t>
      </w:r>
      <w:r w:rsidR="00AE0282" w:rsidRPr="00E67914">
        <w:rPr>
          <w:rFonts w:ascii="Times New Roman" w:hAnsi="Times New Roman"/>
          <w:bCs/>
          <w:kern w:val="2"/>
          <w:sz w:val="24"/>
          <w:szCs w:val="24"/>
          <w:lang w:eastAsia="zh-CN"/>
        </w:rPr>
        <w:t>户使用</w:t>
      </w:r>
      <w:r w:rsidR="00AE0282" w:rsidRPr="00E67914">
        <w:rPr>
          <w:rFonts w:ascii="Times New Roman" w:hAnsi="Times New Roman"/>
          <w:bCs/>
          <w:kern w:val="2"/>
          <w:sz w:val="24"/>
          <w:szCs w:val="24"/>
          <w:lang w:eastAsia="zh-CN"/>
        </w:rPr>
        <w:t>1</w:t>
      </w:r>
      <w:r w:rsidR="00AE0282" w:rsidRPr="00E67914">
        <w:rPr>
          <w:rFonts w:ascii="Times New Roman" w:hAnsi="Times New Roman"/>
          <w:bCs/>
          <w:kern w:val="2"/>
          <w:sz w:val="24"/>
          <w:szCs w:val="24"/>
          <w:lang w:eastAsia="zh-CN"/>
        </w:rPr>
        <w:t>处泉水</w:t>
      </w:r>
      <w:r w:rsidRPr="00E67914">
        <w:rPr>
          <w:rFonts w:ascii="Times New Roman" w:hAnsi="Times New Roman"/>
          <w:bCs/>
          <w:kern w:val="2"/>
          <w:sz w:val="24"/>
          <w:szCs w:val="24"/>
          <w:lang w:eastAsia="zh-CN"/>
        </w:rPr>
        <w:t>。</w:t>
      </w:r>
      <w:bookmarkEnd w:id="43"/>
    </w:p>
    <w:p w14:paraId="6ABDA019" w14:textId="77777777" w:rsidR="00A54A8A" w:rsidRPr="00E67914" w:rsidRDefault="00000000" w:rsidP="002A5314">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lastRenderedPageBreak/>
        <w:t>3</w:t>
      </w:r>
      <w:r w:rsidRPr="00E67914">
        <w:rPr>
          <w:rFonts w:ascii="Times New Roman" w:eastAsia="黑体" w:hAnsi="Times New Roman"/>
          <w:bCs/>
          <w:kern w:val="2"/>
          <w:sz w:val="24"/>
          <w:szCs w:val="24"/>
          <w:lang w:eastAsia="zh-CN"/>
        </w:rPr>
        <w:t>、井场周边植被及地表水现状</w:t>
      </w:r>
    </w:p>
    <w:p w14:paraId="07B3C9EF" w14:textId="374D957E"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本项目井场</w:t>
      </w:r>
      <w:r w:rsidR="00AE0282" w:rsidRPr="00E67914">
        <w:rPr>
          <w:rFonts w:ascii="Times New Roman" w:hAnsi="Times New Roman"/>
          <w:bCs/>
          <w:kern w:val="2"/>
          <w:sz w:val="24"/>
          <w:szCs w:val="24"/>
          <w:lang w:eastAsia="zh-CN"/>
        </w:rPr>
        <w:t>及管线沿线</w:t>
      </w:r>
      <w:r w:rsidRPr="00E67914">
        <w:rPr>
          <w:rFonts w:ascii="Times New Roman" w:hAnsi="Times New Roman"/>
          <w:bCs/>
          <w:kern w:val="2"/>
          <w:sz w:val="24"/>
          <w:szCs w:val="24"/>
          <w:lang w:eastAsia="zh-CN"/>
        </w:rPr>
        <w:t>所在地及周边地貌主要为林地、耕地，中低山等较陡地段地表一般为植被覆盖，包括乔木、灌木，主要有麻栎、青冈、栓皮栎、枫香、响叶杨、马尾松、杉木、柏木为主的针叶林植被等林地等，耕地主要种植</w:t>
      </w:r>
      <w:r w:rsidRPr="00E67914">
        <w:rPr>
          <w:rFonts w:ascii="Times New Roman" w:hAnsi="Times New Roman"/>
          <w:sz w:val="24"/>
          <w:lang w:eastAsia="zh-CN"/>
        </w:rPr>
        <w:t>玉米、红苕、棉花、花生、小麦、马铃薯、豌豆</w:t>
      </w:r>
      <w:r w:rsidRPr="00E67914">
        <w:rPr>
          <w:rFonts w:ascii="Times New Roman" w:hAnsi="Times New Roman"/>
          <w:bCs/>
          <w:kern w:val="2"/>
          <w:sz w:val="24"/>
          <w:szCs w:val="24"/>
          <w:lang w:eastAsia="zh-CN"/>
        </w:rPr>
        <w:t>等。项目周边外环境无珍稀动植物。</w:t>
      </w:r>
    </w:p>
    <w:p w14:paraId="17568A0D" w14:textId="16E9DEB4"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sz w:val="21"/>
          <w:szCs w:val="21"/>
          <w:lang w:eastAsia="zh-CN"/>
        </w:rPr>
      </w:pPr>
      <w:r w:rsidRPr="00E67914">
        <w:rPr>
          <w:rFonts w:ascii="Times New Roman" w:hAnsi="Times New Roman"/>
          <w:bCs/>
          <w:kern w:val="2"/>
          <w:sz w:val="24"/>
          <w:szCs w:val="24"/>
          <w:lang w:eastAsia="zh-CN"/>
        </w:rPr>
        <w:t>根据现场勘察，本项目最近的河流为场区</w:t>
      </w:r>
      <w:r w:rsidR="003C75A5" w:rsidRPr="00E67914">
        <w:rPr>
          <w:rFonts w:ascii="Times New Roman" w:hAnsi="Times New Roman"/>
          <w:bCs/>
          <w:kern w:val="2"/>
          <w:sz w:val="24"/>
          <w:szCs w:val="24"/>
          <w:lang w:eastAsia="zh-CN"/>
        </w:rPr>
        <w:t>东</w:t>
      </w:r>
      <w:r w:rsidRPr="00E67914">
        <w:rPr>
          <w:rFonts w:ascii="Times New Roman" w:hAnsi="Times New Roman"/>
          <w:bCs/>
          <w:kern w:val="2"/>
          <w:sz w:val="24"/>
          <w:szCs w:val="24"/>
          <w:lang w:eastAsia="zh-CN"/>
        </w:rPr>
        <w:t>侧</w:t>
      </w:r>
      <w:r w:rsidR="003C75A5" w:rsidRPr="00E67914">
        <w:rPr>
          <w:rFonts w:ascii="Times New Roman" w:hAnsi="Times New Roman"/>
          <w:bCs/>
          <w:kern w:val="2"/>
          <w:sz w:val="24"/>
          <w:szCs w:val="24"/>
          <w:lang w:eastAsia="zh-CN"/>
        </w:rPr>
        <w:t>约</w:t>
      </w:r>
      <w:r w:rsidR="003C75A5" w:rsidRPr="00E67914">
        <w:rPr>
          <w:rFonts w:ascii="Times New Roman" w:hAnsi="Times New Roman"/>
          <w:bCs/>
          <w:kern w:val="2"/>
          <w:sz w:val="24"/>
          <w:szCs w:val="24"/>
          <w:lang w:eastAsia="zh-CN"/>
        </w:rPr>
        <w:t>1.6k</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处</w:t>
      </w:r>
      <w:r w:rsidR="008D2D42" w:rsidRPr="00E67914">
        <w:rPr>
          <w:rFonts w:ascii="Times New Roman" w:hAnsi="Times New Roman"/>
          <w:bCs/>
          <w:kern w:val="2"/>
          <w:sz w:val="24"/>
          <w:szCs w:val="24"/>
          <w:lang w:eastAsia="zh-CN"/>
        </w:rPr>
        <w:t>后</w:t>
      </w:r>
      <w:r w:rsidRPr="00E67914">
        <w:rPr>
          <w:rFonts w:ascii="Times New Roman" w:hAnsi="Times New Roman"/>
          <w:bCs/>
          <w:kern w:val="2"/>
          <w:sz w:val="24"/>
          <w:szCs w:val="24"/>
          <w:lang w:eastAsia="zh-CN"/>
        </w:rPr>
        <w:t>河，</w:t>
      </w:r>
      <w:r w:rsidR="008B15B2" w:rsidRPr="00E67914">
        <w:rPr>
          <w:rFonts w:ascii="Times New Roman" w:hAnsi="Times New Roman"/>
          <w:bCs/>
          <w:kern w:val="2"/>
          <w:sz w:val="24"/>
          <w:szCs w:val="24"/>
          <w:lang w:eastAsia="zh-CN"/>
        </w:rPr>
        <w:t>项目所在河段</w:t>
      </w:r>
      <w:r w:rsidR="008D2D42" w:rsidRPr="00E67914">
        <w:rPr>
          <w:rFonts w:ascii="Times New Roman" w:hAnsi="Times New Roman"/>
          <w:bCs/>
          <w:kern w:val="2"/>
          <w:sz w:val="24"/>
          <w:szCs w:val="24"/>
          <w:lang w:eastAsia="zh-CN"/>
        </w:rPr>
        <w:t>后河的主要水体功能为灌溉和行洪，</w:t>
      </w:r>
      <w:r w:rsidR="002A5314" w:rsidRPr="00E67914">
        <w:rPr>
          <w:rFonts w:ascii="Times New Roman" w:hAnsi="Times New Roman"/>
          <w:bCs/>
          <w:kern w:val="2"/>
          <w:sz w:val="24"/>
          <w:szCs w:val="24"/>
          <w:lang w:eastAsia="zh-CN"/>
        </w:rPr>
        <w:t>南侧</w:t>
      </w:r>
      <w:r w:rsidR="002A5314" w:rsidRPr="00E67914">
        <w:rPr>
          <w:rFonts w:ascii="Times New Roman" w:hAnsi="Times New Roman"/>
          <w:bCs/>
          <w:kern w:val="2"/>
          <w:sz w:val="24"/>
          <w:szCs w:val="24"/>
          <w:lang w:eastAsia="zh-CN"/>
        </w:rPr>
        <w:t>800m</w:t>
      </w:r>
      <w:r w:rsidR="002A5314" w:rsidRPr="00E67914">
        <w:rPr>
          <w:rFonts w:ascii="Times New Roman" w:hAnsi="Times New Roman"/>
          <w:bCs/>
          <w:kern w:val="2"/>
          <w:sz w:val="24"/>
          <w:szCs w:val="24"/>
          <w:lang w:eastAsia="zh-CN"/>
        </w:rPr>
        <w:t>处为冲沟，冲沟自西向东汇入后河</w:t>
      </w:r>
      <w:r w:rsidRPr="00E67914">
        <w:rPr>
          <w:rFonts w:ascii="Times New Roman" w:hAnsi="Times New Roman"/>
          <w:bCs/>
          <w:kern w:val="2"/>
          <w:sz w:val="24"/>
          <w:szCs w:val="24"/>
          <w:lang w:eastAsia="zh-CN"/>
        </w:rPr>
        <w:t>。</w:t>
      </w:r>
    </w:p>
    <w:p w14:paraId="15D48F50" w14:textId="77777777" w:rsidR="00A54A8A" w:rsidRPr="00E67914" w:rsidRDefault="00000000" w:rsidP="002A5314">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4</w:t>
      </w:r>
      <w:r w:rsidRPr="00E67914">
        <w:rPr>
          <w:rFonts w:ascii="Times New Roman" w:eastAsia="黑体" w:hAnsi="Times New Roman"/>
          <w:bCs/>
          <w:kern w:val="2"/>
          <w:sz w:val="24"/>
          <w:szCs w:val="24"/>
          <w:lang w:eastAsia="zh-CN"/>
        </w:rPr>
        <w:t>、放喷池及放空区外环境简况</w:t>
      </w:r>
    </w:p>
    <w:p w14:paraId="168A9E12" w14:textId="35C53B3D"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依托原</w:t>
      </w:r>
      <w:r w:rsidR="00902A04" w:rsidRPr="00E67914">
        <w:rPr>
          <w:rFonts w:ascii="Times New Roman" w:hAnsi="Times New Roman"/>
          <w:bCs/>
          <w:kern w:val="2"/>
          <w:sz w:val="24"/>
          <w:szCs w:val="24"/>
          <w:lang w:eastAsia="zh-CN"/>
        </w:rPr>
        <w:t>普陆页</w:t>
      </w:r>
      <w:r w:rsidR="00902A04" w:rsidRPr="00E67914">
        <w:rPr>
          <w:rFonts w:ascii="Times New Roman" w:hAnsi="Times New Roman"/>
          <w:bCs/>
          <w:kern w:val="2"/>
          <w:sz w:val="24"/>
          <w:szCs w:val="24"/>
          <w:lang w:eastAsia="zh-CN"/>
        </w:rPr>
        <w:t>2</w:t>
      </w:r>
      <w:r w:rsidR="002A5314" w:rsidRPr="00E67914">
        <w:rPr>
          <w:rFonts w:ascii="Times New Roman" w:hAnsi="Times New Roman"/>
          <w:bCs/>
          <w:kern w:val="2"/>
          <w:sz w:val="24"/>
          <w:szCs w:val="24"/>
          <w:lang w:eastAsia="zh-CN"/>
        </w:rPr>
        <w:t>井场</w:t>
      </w:r>
      <w:r w:rsidRPr="00E67914">
        <w:rPr>
          <w:rFonts w:ascii="Times New Roman" w:hAnsi="Times New Roman"/>
          <w:bCs/>
          <w:kern w:val="2"/>
          <w:sz w:val="24"/>
          <w:szCs w:val="24"/>
          <w:lang w:eastAsia="zh-CN"/>
        </w:rPr>
        <w:t>放喷池</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座</w:t>
      </w:r>
      <w:r w:rsidR="002A5314" w:rsidRPr="00E67914">
        <w:rPr>
          <w:rFonts w:ascii="Times New Roman" w:hAnsi="Times New Roman"/>
          <w:bCs/>
          <w:kern w:val="2"/>
          <w:sz w:val="24"/>
          <w:szCs w:val="24"/>
          <w:lang w:eastAsia="zh-CN"/>
        </w:rPr>
        <w:t>，位于本项目新建的普陆页</w:t>
      </w:r>
      <w:r w:rsidR="002A5314" w:rsidRPr="00E67914">
        <w:rPr>
          <w:rFonts w:ascii="Times New Roman" w:hAnsi="Times New Roman"/>
          <w:bCs/>
          <w:kern w:val="2"/>
          <w:sz w:val="24"/>
          <w:szCs w:val="24"/>
          <w:lang w:eastAsia="zh-CN"/>
        </w:rPr>
        <w:t>2</w:t>
      </w:r>
      <w:r w:rsidR="002A5314" w:rsidRPr="00E67914">
        <w:rPr>
          <w:rFonts w:ascii="Times New Roman" w:hAnsi="Times New Roman"/>
          <w:bCs/>
          <w:kern w:val="2"/>
          <w:sz w:val="24"/>
          <w:szCs w:val="24"/>
          <w:lang w:eastAsia="zh-CN"/>
        </w:rPr>
        <w:t>井场东南侧约</w:t>
      </w:r>
      <w:r w:rsidR="002A5314" w:rsidRPr="00E67914">
        <w:rPr>
          <w:rFonts w:ascii="Times New Roman" w:hAnsi="Times New Roman"/>
          <w:bCs/>
          <w:kern w:val="2"/>
          <w:sz w:val="24"/>
          <w:szCs w:val="24"/>
          <w:lang w:eastAsia="zh-CN"/>
        </w:rPr>
        <w:t>167m</w:t>
      </w:r>
      <w:r w:rsidR="002A5314" w:rsidRPr="00E67914">
        <w:rPr>
          <w:rFonts w:ascii="Times New Roman" w:hAnsi="Times New Roman"/>
          <w:bCs/>
          <w:kern w:val="2"/>
          <w:sz w:val="24"/>
          <w:szCs w:val="24"/>
          <w:lang w:eastAsia="zh-CN"/>
        </w:rPr>
        <w:t>处</w:t>
      </w:r>
      <w:r w:rsidRPr="00E67914">
        <w:rPr>
          <w:rFonts w:ascii="Times New Roman" w:hAnsi="Times New Roman"/>
          <w:bCs/>
          <w:kern w:val="2"/>
          <w:sz w:val="24"/>
          <w:szCs w:val="24"/>
          <w:lang w:eastAsia="zh-CN"/>
        </w:rPr>
        <w:t>，</w:t>
      </w:r>
      <w:r w:rsidRPr="00E67914">
        <w:rPr>
          <w:rFonts w:ascii="Times New Roman" w:hAnsi="Times New Roman"/>
          <w:bCs/>
          <w:sz w:val="24"/>
          <w:lang w:eastAsia="zh-CN"/>
        </w:rPr>
        <w:t>区域主导风向为东北风，</w:t>
      </w:r>
      <w:r w:rsidRPr="00E67914">
        <w:rPr>
          <w:rFonts w:ascii="Times New Roman" w:hAnsi="Times New Roman"/>
          <w:bCs/>
          <w:kern w:val="2"/>
          <w:sz w:val="24"/>
          <w:szCs w:val="24"/>
          <w:lang w:eastAsia="zh-CN"/>
        </w:rPr>
        <w:t>位于井场区域最大风向的侧风向。根据现场调查，放喷池周围</w:t>
      </w:r>
      <w:r w:rsidRPr="00E67914">
        <w:rPr>
          <w:rFonts w:ascii="Times New Roman" w:hAnsi="Times New Roman"/>
          <w:bCs/>
          <w:kern w:val="2"/>
          <w:sz w:val="24"/>
          <w:szCs w:val="24"/>
          <w:lang w:eastAsia="zh-CN"/>
        </w:rPr>
        <w:t>50m</w:t>
      </w:r>
      <w:r w:rsidRPr="00E67914">
        <w:rPr>
          <w:rFonts w:ascii="Times New Roman" w:hAnsi="Times New Roman"/>
          <w:bCs/>
          <w:kern w:val="2"/>
          <w:sz w:val="24"/>
          <w:szCs w:val="24"/>
          <w:lang w:eastAsia="zh-CN"/>
        </w:rPr>
        <w:t>范围内无民房等各类设施。放喷池四周主要为荒草地与耕地，放喷池在三面面均将设置挡火墙，</w:t>
      </w:r>
      <w:r w:rsidRPr="00E67914">
        <w:rPr>
          <w:rFonts w:ascii="Times New Roman" w:hAnsi="Times New Roman"/>
          <w:bCs/>
          <w:sz w:val="24"/>
          <w:lang w:eastAsia="zh-CN"/>
        </w:rPr>
        <w:t>仅在北侧设置入口；</w:t>
      </w:r>
      <w:r w:rsidRPr="00E67914">
        <w:rPr>
          <w:rFonts w:ascii="Times New Roman" w:hAnsi="Times New Roman"/>
          <w:bCs/>
          <w:kern w:val="2"/>
          <w:sz w:val="24"/>
          <w:szCs w:val="24"/>
          <w:lang w:eastAsia="zh-CN"/>
        </w:rPr>
        <w:t>在放喷时临时清理树林和放喷池之间的易燃物，加强监管，树林距离是满足放喷池防火要求的。周边无珍稀动植物和环境敏感目标。</w:t>
      </w:r>
    </w:p>
    <w:p w14:paraId="5EDEE03E" w14:textId="01547D73"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拟建放空区</w:t>
      </w:r>
      <w:r w:rsidR="002A5314" w:rsidRPr="00E67914">
        <w:rPr>
          <w:rFonts w:ascii="Times New Roman" w:hAnsi="Times New Roman"/>
          <w:bCs/>
          <w:kern w:val="2"/>
          <w:sz w:val="24"/>
          <w:szCs w:val="24"/>
          <w:lang w:eastAsia="zh-CN"/>
        </w:rPr>
        <w:t>位于原普陆页</w:t>
      </w:r>
      <w:r w:rsidR="002A5314" w:rsidRPr="00E67914">
        <w:rPr>
          <w:rFonts w:ascii="Times New Roman" w:hAnsi="Times New Roman"/>
          <w:bCs/>
          <w:kern w:val="2"/>
          <w:sz w:val="24"/>
          <w:szCs w:val="24"/>
          <w:lang w:eastAsia="zh-CN"/>
        </w:rPr>
        <w:t>2</w:t>
      </w:r>
      <w:r w:rsidR="002A5314" w:rsidRPr="00E67914">
        <w:rPr>
          <w:rFonts w:ascii="Times New Roman" w:hAnsi="Times New Roman"/>
          <w:bCs/>
          <w:kern w:val="2"/>
          <w:sz w:val="24"/>
          <w:szCs w:val="24"/>
          <w:lang w:eastAsia="zh-CN"/>
        </w:rPr>
        <w:t>井场（即拟建的普陆页</w:t>
      </w:r>
      <w:r w:rsidR="002A5314" w:rsidRPr="00E67914">
        <w:rPr>
          <w:rFonts w:ascii="Times New Roman" w:hAnsi="Times New Roman"/>
          <w:bCs/>
          <w:kern w:val="2"/>
          <w:sz w:val="24"/>
          <w:szCs w:val="24"/>
          <w:lang w:eastAsia="zh-CN"/>
        </w:rPr>
        <w:t>2</w:t>
      </w:r>
      <w:r w:rsidR="002A5314" w:rsidRPr="00E67914">
        <w:rPr>
          <w:rFonts w:ascii="Times New Roman" w:hAnsi="Times New Roman"/>
          <w:bCs/>
          <w:kern w:val="2"/>
          <w:sz w:val="24"/>
          <w:szCs w:val="24"/>
          <w:lang w:eastAsia="zh-CN"/>
        </w:rPr>
        <w:t>试采站）外西侧，占地类型为耕地</w:t>
      </w:r>
      <w:r w:rsidRPr="00E67914">
        <w:rPr>
          <w:rFonts w:ascii="Times New Roman" w:hAnsi="Times New Roman"/>
          <w:bCs/>
          <w:kern w:val="2"/>
          <w:sz w:val="24"/>
          <w:szCs w:val="24"/>
          <w:lang w:eastAsia="zh-CN"/>
        </w:rPr>
        <w:t>，周边分布有</w:t>
      </w:r>
      <w:r w:rsidR="002A5314" w:rsidRPr="00E67914">
        <w:rPr>
          <w:rFonts w:ascii="Times New Roman" w:hAnsi="Times New Roman"/>
          <w:bCs/>
          <w:kern w:val="2"/>
          <w:sz w:val="24"/>
          <w:szCs w:val="24"/>
          <w:lang w:eastAsia="zh-CN"/>
        </w:rPr>
        <w:t>林地</w:t>
      </w:r>
      <w:r w:rsidRPr="00E67914">
        <w:rPr>
          <w:rFonts w:ascii="Times New Roman" w:hAnsi="Times New Roman"/>
          <w:bCs/>
          <w:kern w:val="2"/>
          <w:sz w:val="24"/>
          <w:szCs w:val="24"/>
          <w:lang w:eastAsia="zh-CN"/>
        </w:rPr>
        <w:t>与耕地，其选址是符合相关规范要求的。</w:t>
      </w:r>
    </w:p>
    <w:p w14:paraId="734EDE56" w14:textId="77777777" w:rsidR="00A54A8A" w:rsidRPr="00E67914" w:rsidRDefault="00000000" w:rsidP="002A5314">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5</w:t>
      </w:r>
      <w:r w:rsidRPr="00E67914">
        <w:rPr>
          <w:rFonts w:ascii="Times New Roman" w:eastAsia="黑体" w:hAnsi="Times New Roman"/>
          <w:bCs/>
          <w:kern w:val="2"/>
          <w:sz w:val="24"/>
          <w:szCs w:val="24"/>
          <w:lang w:eastAsia="zh-CN"/>
        </w:rPr>
        <w:t>、井场道路周边外环境简况</w:t>
      </w:r>
    </w:p>
    <w:p w14:paraId="33B486F9" w14:textId="694CC7A4"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kern w:val="2"/>
          <w:sz w:val="24"/>
          <w:szCs w:val="24"/>
          <w:lang w:eastAsia="zh-CN"/>
        </w:rPr>
        <w:t>本项目</w:t>
      </w:r>
      <w:r w:rsidR="002A5314" w:rsidRPr="00E67914">
        <w:rPr>
          <w:rFonts w:ascii="Times New Roman" w:hAnsi="Times New Roman"/>
          <w:bCs/>
          <w:kern w:val="2"/>
          <w:sz w:val="24"/>
          <w:szCs w:val="24"/>
          <w:lang w:eastAsia="zh-CN"/>
        </w:rPr>
        <w:t>原普陆页</w:t>
      </w:r>
      <w:r w:rsidR="002A5314" w:rsidRPr="00E67914">
        <w:rPr>
          <w:rFonts w:ascii="Times New Roman" w:hAnsi="Times New Roman"/>
          <w:bCs/>
          <w:kern w:val="2"/>
          <w:sz w:val="24"/>
          <w:szCs w:val="24"/>
          <w:lang w:eastAsia="zh-CN"/>
        </w:rPr>
        <w:t>2</w:t>
      </w:r>
      <w:r w:rsidR="002A5314" w:rsidRPr="00E67914">
        <w:rPr>
          <w:rFonts w:ascii="Times New Roman" w:hAnsi="Times New Roman"/>
          <w:bCs/>
          <w:kern w:val="2"/>
          <w:sz w:val="24"/>
          <w:szCs w:val="24"/>
          <w:lang w:eastAsia="zh-CN"/>
        </w:rPr>
        <w:t>井场（即拟建的普陆页</w:t>
      </w:r>
      <w:r w:rsidR="002A5314" w:rsidRPr="00E67914">
        <w:rPr>
          <w:rFonts w:ascii="Times New Roman" w:hAnsi="Times New Roman"/>
          <w:bCs/>
          <w:kern w:val="2"/>
          <w:sz w:val="24"/>
          <w:szCs w:val="24"/>
          <w:lang w:eastAsia="zh-CN"/>
        </w:rPr>
        <w:t>2</w:t>
      </w:r>
      <w:r w:rsidR="002A5314" w:rsidRPr="00E67914">
        <w:rPr>
          <w:rFonts w:ascii="Times New Roman" w:hAnsi="Times New Roman"/>
          <w:bCs/>
          <w:kern w:val="2"/>
          <w:sz w:val="24"/>
          <w:szCs w:val="24"/>
          <w:lang w:eastAsia="zh-CN"/>
        </w:rPr>
        <w:t>试采站）</w:t>
      </w:r>
      <w:r w:rsidRPr="00E67914">
        <w:rPr>
          <w:rFonts w:ascii="Times New Roman" w:hAnsi="Times New Roman"/>
          <w:bCs/>
          <w:kern w:val="2"/>
          <w:sz w:val="24"/>
          <w:szCs w:val="24"/>
          <w:lang w:eastAsia="zh-CN"/>
        </w:rPr>
        <w:t>利旧已建的进场道路，位于</w:t>
      </w:r>
      <w:r w:rsidR="002A5314" w:rsidRPr="00E67914">
        <w:rPr>
          <w:rFonts w:ascii="Times New Roman" w:hAnsi="Times New Roman"/>
          <w:bCs/>
          <w:kern w:val="2"/>
          <w:sz w:val="24"/>
          <w:szCs w:val="24"/>
          <w:lang w:eastAsia="zh-CN"/>
        </w:rPr>
        <w:t>原普陆页</w:t>
      </w:r>
      <w:r w:rsidR="002A5314" w:rsidRPr="00E67914">
        <w:rPr>
          <w:rFonts w:ascii="Times New Roman" w:hAnsi="Times New Roman"/>
          <w:bCs/>
          <w:kern w:val="2"/>
          <w:sz w:val="24"/>
          <w:szCs w:val="24"/>
          <w:lang w:eastAsia="zh-CN"/>
        </w:rPr>
        <w:t>2</w:t>
      </w:r>
      <w:r w:rsidR="002A5314" w:rsidRPr="00E67914">
        <w:rPr>
          <w:rFonts w:ascii="Times New Roman" w:hAnsi="Times New Roman"/>
          <w:bCs/>
          <w:kern w:val="2"/>
          <w:sz w:val="24"/>
          <w:szCs w:val="24"/>
          <w:lang w:eastAsia="zh-CN"/>
        </w:rPr>
        <w:t>井场东</w:t>
      </w:r>
      <w:r w:rsidRPr="00E67914">
        <w:rPr>
          <w:rFonts w:ascii="Times New Roman" w:hAnsi="Times New Roman"/>
          <w:bCs/>
          <w:kern w:val="2"/>
          <w:sz w:val="24"/>
          <w:szCs w:val="24"/>
          <w:lang w:eastAsia="zh-CN"/>
        </w:rPr>
        <w:t>侧，</w:t>
      </w:r>
      <w:r w:rsidR="002A5314" w:rsidRPr="00E67914">
        <w:rPr>
          <w:rFonts w:ascii="Times New Roman" w:hAnsi="Times New Roman"/>
          <w:bCs/>
          <w:kern w:val="2"/>
          <w:sz w:val="24"/>
          <w:szCs w:val="24"/>
          <w:lang w:eastAsia="zh-CN"/>
        </w:rPr>
        <w:t>长度约</w:t>
      </w:r>
      <w:r w:rsidR="002A5314" w:rsidRPr="00E67914">
        <w:rPr>
          <w:rFonts w:ascii="Times New Roman" w:hAnsi="Times New Roman"/>
          <w:bCs/>
          <w:kern w:val="2"/>
          <w:sz w:val="24"/>
          <w:szCs w:val="24"/>
          <w:lang w:eastAsia="zh-CN"/>
        </w:rPr>
        <w:t>100m</w:t>
      </w:r>
      <w:r w:rsidR="002A5314" w:rsidRPr="00E67914">
        <w:rPr>
          <w:rFonts w:ascii="Times New Roman" w:hAnsi="Times New Roman"/>
          <w:bCs/>
          <w:kern w:val="2"/>
          <w:sz w:val="24"/>
          <w:szCs w:val="24"/>
          <w:lang w:eastAsia="zh-CN"/>
        </w:rPr>
        <w:t>，本项目拟建新普陆页</w:t>
      </w:r>
      <w:r w:rsidR="002A5314" w:rsidRPr="00E67914">
        <w:rPr>
          <w:rFonts w:ascii="Times New Roman" w:hAnsi="Times New Roman"/>
          <w:bCs/>
          <w:kern w:val="2"/>
          <w:sz w:val="24"/>
          <w:szCs w:val="24"/>
          <w:lang w:eastAsia="zh-CN"/>
        </w:rPr>
        <w:t>2</w:t>
      </w:r>
      <w:r w:rsidR="002A5314" w:rsidRPr="00E67914">
        <w:rPr>
          <w:rFonts w:ascii="Times New Roman" w:hAnsi="Times New Roman"/>
          <w:bCs/>
          <w:kern w:val="2"/>
          <w:sz w:val="24"/>
          <w:szCs w:val="24"/>
          <w:lang w:eastAsia="zh-CN"/>
        </w:rPr>
        <w:t>井场西南侧为新建进场道路</w:t>
      </w:r>
      <w:r w:rsidR="00581A95" w:rsidRPr="00E67914">
        <w:rPr>
          <w:rFonts w:ascii="Times New Roman" w:hAnsi="Times New Roman"/>
          <w:bCs/>
          <w:kern w:val="2"/>
          <w:sz w:val="24"/>
          <w:szCs w:val="24"/>
          <w:lang w:eastAsia="zh-CN"/>
        </w:rPr>
        <w:t>，长度约</w:t>
      </w:r>
      <w:r w:rsidR="00581A95" w:rsidRPr="00E67914">
        <w:rPr>
          <w:rFonts w:ascii="Times New Roman" w:hAnsi="Times New Roman"/>
          <w:bCs/>
          <w:kern w:val="2"/>
          <w:sz w:val="24"/>
          <w:szCs w:val="24"/>
          <w:lang w:eastAsia="zh-CN"/>
        </w:rPr>
        <w:t>1</w:t>
      </w:r>
      <w:r w:rsidR="00FC6C4D" w:rsidRPr="00E67914">
        <w:rPr>
          <w:rFonts w:ascii="Times New Roman" w:hAnsi="Times New Roman"/>
          <w:bCs/>
          <w:kern w:val="2"/>
          <w:sz w:val="24"/>
          <w:szCs w:val="24"/>
          <w:lang w:eastAsia="zh-CN"/>
        </w:rPr>
        <w:t>1</w:t>
      </w:r>
      <w:r w:rsidR="00581A95" w:rsidRPr="00E67914">
        <w:rPr>
          <w:rFonts w:ascii="Times New Roman" w:hAnsi="Times New Roman"/>
          <w:bCs/>
          <w:kern w:val="2"/>
          <w:sz w:val="24"/>
          <w:szCs w:val="24"/>
          <w:lang w:eastAsia="zh-CN"/>
        </w:rPr>
        <w:t>0m</w:t>
      </w:r>
      <w:r w:rsidRPr="00E67914">
        <w:rPr>
          <w:rFonts w:ascii="Times New Roman" w:hAnsi="Times New Roman"/>
          <w:bCs/>
          <w:kern w:val="2"/>
          <w:sz w:val="24"/>
          <w:szCs w:val="24"/>
          <w:lang w:eastAsia="zh-CN"/>
        </w:rPr>
        <w:t>，</w:t>
      </w:r>
      <w:r w:rsidRPr="00E67914">
        <w:rPr>
          <w:rFonts w:ascii="Times New Roman" w:hAnsi="Times New Roman"/>
          <w:bCs/>
          <w:sz w:val="24"/>
          <w:lang w:eastAsia="zh-CN"/>
        </w:rPr>
        <w:t>周边均无珍稀动植物和保护区分布。</w:t>
      </w:r>
    </w:p>
    <w:p w14:paraId="7CFD6C54" w14:textId="4A1F79CC" w:rsidR="00581A95" w:rsidRPr="00E67914" w:rsidRDefault="00581A95" w:rsidP="00581A9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w:t>
      </w:r>
      <w:r w:rsidRPr="00E67914">
        <w:rPr>
          <w:rFonts w:ascii="Times New Roman" w:eastAsia="黑体" w:hAnsi="Times New Roman"/>
          <w:bCs/>
          <w:kern w:val="2"/>
          <w:sz w:val="24"/>
          <w:szCs w:val="24"/>
          <w:lang w:eastAsia="zh-CN"/>
        </w:rPr>
        <w:t>管线沿线周边外环境简况</w:t>
      </w:r>
    </w:p>
    <w:p w14:paraId="10C97EDF" w14:textId="367599B1" w:rsidR="00581A95" w:rsidRPr="00E67914" w:rsidRDefault="00581A95" w:rsidP="00581A95">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lang w:eastAsia="zh-CN"/>
        </w:rPr>
        <w:t>本项目新建新普陆页</w:t>
      </w:r>
      <w:r w:rsidRPr="00E67914">
        <w:rPr>
          <w:rFonts w:ascii="Times New Roman" w:hAnsi="Times New Roman"/>
          <w:sz w:val="24"/>
          <w:lang w:eastAsia="zh-CN"/>
        </w:rPr>
        <w:t>2</w:t>
      </w:r>
      <w:r w:rsidRPr="00E67914">
        <w:rPr>
          <w:rFonts w:ascii="Times New Roman" w:hAnsi="Times New Roman"/>
          <w:sz w:val="24"/>
          <w:lang w:eastAsia="zh-CN"/>
        </w:rPr>
        <w:t>井场到普陆页</w:t>
      </w:r>
      <w:r w:rsidRPr="00E67914">
        <w:rPr>
          <w:rFonts w:ascii="Times New Roman" w:hAnsi="Times New Roman"/>
          <w:sz w:val="24"/>
          <w:lang w:eastAsia="zh-CN"/>
        </w:rPr>
        <w:t>2</w:t>
      </w:r>
      <w:r w:rsidRPr="00E67914">
        <w:rPr>
          <w:rFonts w:ascii="Times New Roman" w:hAnsi="Times New Roman"/>
          <w:sz w:val="24"/>
          <w:lang w:eastAsia="zh-CN"/>
        </w:rPr>
        <w:t>试采站管线长度约</w:t>
      </w:r>
      <w:r w:rsidRPr="00E67914">
        <w:rPr>
          <w:rFonts w:ascii="Times New Roman" w:hAnsi="Times New Roman"/>
          <w:sz w:val="24"/>
          <w:lang w:eastAsia="zh-CN"/>
        </w:rPr>
        <w:t>300m</w:t>
      </w:r>
      <w:r w:rsidRPr="00E67914">
        <w:rPr>
          <w:rFonts w:ascii="Times New Roman" w:hAnsi="Times New Roman"/>
          <w:sz w:val="24"/>
          <w:lang w:eastAsia="zh-CN"/>
        </w:rPr>
        <w:t>，新建普陆页</w:t>
      </w:r>
      <w:r w:rsidRPr="00E67914">
        <w:rPr>
          <w:rFonts w:ascii="Times New Roman" w:hAnsi="Times New Roman"/>
          <w:sz w:val="24"/>
          <w:lang w:eastAsia="zh-CN"/>
        </w:rPr>
        <w:t>2</w:t>
      </w:r>
      <w:r w:rsidRPr="00E67914">
        <w:rPr>
          <w:rFonts w:ascii="Times New Roman" w:hAnsi="Times New Roman"/>
          <w:sz w:val="24"/>
          <w:lang w:eastAsia="zh-CN"/>
        </w:rPr>
        <w:t>试采站至</w:t>
      </w:r>
      <w:r w:rsidRPr="00E67914">
        <w:rPr>
          <w:rFonts w:ascii="Times New Roman" w:hAnsi="Times New Roman"/>
          <w:sz w:val="24"/>
          <w:lang w:eastAsia="zh-CN"/>
        </w:rPr>
        <w:t>P302</w:t>
      </w:r>
      <w:r w:rsidRPr="00E67914">
        <w:rPr>
          <w:rFonts w:ascii="Times New Roman" w:hAnsi="Times New Roman"/>
          <w:sz w:val="24"/>
          <w:lang w:eastAsia="zh-CN"/>
        </w:rPr>
        <w:t>集气站的外输管线长度约</w:t>
      </w:r>
      <w:r w:rsidRPr="00E67914">
        <w:rPr>
          <w:rFonts w:ascii="Times New Roman" w:hAnsi="Times New Roman"/>
          <w:sz w:val="24"/>
          <w:lang w:eastAsia="zh-CN"/>
        </w:rPr>
        <w:t>1.3km</w:t>
      </w:r>
      <w:r w:rsidRPr="00E67914">
        <w:rPr>
          <w:rFonts w:ascii="Times New Roman" w:hAnsi="Times New Roman"/>
          <w:sz w:val="24"/>
          <w:lang w:eastAsia="zh-CN"/>
        </w:rPr>
        <w:t>（同沟敷设长度为</w:t>
      </w:r>
      <w:r w:rsidRPr="00E67914">
        <w:rPr>
          <w:rFonts w:ascii="Times New Roman" w:hAnsi="Times New Roman"/>
          <w:sz w:val="24"/>
          <w:lang w:eastAsia="zh-CN"/>
        </w:rPr>
        <w:t>1.3km</w:t>
      </w:r>
      <w:r w:rsidRPr="00E67914">
        <w:rPr>
          <w:rFonts w:ascii="Times New Roman" w:hAnsi="Times New Roman"/>
          <w:sz w:val="24"/>
          <w:lang w:eastAsia="zh-CN"/>
        </w:rPr>
        <w:t>的燃料气返输管线与通信光缆），管线沿线</w:t>
      </w:r>
      <w:r w:rsidRPr="00E67914">
        <w:rPr>
          <w:rFonts w:ascii="Times New Roman" w:hAnsi="Times New Roman"/>
          <w:bCs/>
          <w:sz w:val="24"/>
          <w:lang w:eastAsia="zh-CN"/>
        </w:rPr>
        <w:t>均无珍稀动植物和保护区分布，且</w:t>
      </w:r>
      <w:r w:rsidRPr="00E67914">
        <w:rPr>
          <w:rFonts w:ascii="Times New Roman" w:hAnsi="Times New Roman"/>
          <w:bCs/>
          <w:sz w:val="24"/>
          <w:lang w:eastAsia="zh-CN"/>
        </w:rPr>
        <w:t>200m</w:t>
      </w:r>
      <w:r w:rsidRPr="00E67914">
        <w:rPr>
          <w:rFonts w:ascii="Times New Roman" w:hAnsi="Times New Roman"/>
          <w:bCs/>
          <w:sz w:val="24"/>
          <w:lang w:eastAsia="zh-CN"/>
        </w:rPr>
        <w:t>范围内仅</w:t>
      </w:r>
      <w:r w:rsidRPr="00E67914">
        <w:rPr>
          <w:rFonts w:ascii="Times New Roman" w:hAnsi="Times New Roman"/>
          <w:bCs/>
          <w:sz w:val="24"/>
          <w:lang w:eastAsia="zh-CN"/>
        </w:rPr>
        <w:t>2</w:t>
      </w:r>
      <w:r w:rsidRPr="00E67914">
        <w:rPr>
          <w:rFonts w:ascii="Times New Roman" w:hAnsi="Times New Roman"/>
          <w:bCs/>
          <w:sz w:val="24"/>
          <w:lang w:eastAsia="zh-CN"/>
        </w:rPr>
        <w:t>处居民点分布。</w:t>
      </w:r>
    </w:p>
    <w:p w14:paraId="3D223FFF"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2.9.2</w:t>
      </w:r>
      <w:r w:rsidRPr="00E67914">
        <w:rPr>
          <w:rFonts w:ascii="Times New Roman" w:eastAsia="黑体" w:hAnsi="Times New Roman"/>
          <w:b w:val="0"/>
          <w:sz w:val="24"/>
          <w:szCs w:val="24"/>
          <w:lang w:eastAsia="zh-CN"/>
        </w:rPr>
        <w:t>主要环境保护目标</w:t>
      </w:r>
    </w:p>
    <w:p w14:paraId="7236D41B" w14:textId="48CC2E0F" w:rsidR="008B15B2" w:rsidRPr="00E67914" w:rsidRDefault="008B15B2" w:rsidP="008B15B2">
      <w:pPr>
        <w:adjustRightInd w:val="0"/>
        <w:snapToGrid w:val="0"/>
        <w:spacing w:line="360" w:lineRule="auto"/>
        <w:ind w:firstLineChars="200" w:firstLine="480"/>
        <w:jc w:val="both"/>
        <w:outlineLvl w:val="3"/>
        <w:rPr>
          <w:rFonts w:ascii="Times New Roman" w:eastAsia="黑体" w:hAnsi="Times New Roman"/>
          <w:sz w:val="24"/>
          <w:szCs w:val="24"/>
          <w:lang w:eastAsia="zh-CN"/>
        </w:rPr>
      </w:pPr>
      <w:bookmarkStart w:id="44" w:name="_Toc140496886"/>
      <w:r w:rsidRPr="00E67914">
        <w:rPr>
          <w:rFonts w:ascii="Times New Roman" w:eastAsia="黑体" w:hAnsi="Times New Roman"/>
          <w:sz w:val="24"/>
          <w:szCs w:val="24"/>
          <w:lang w:eastAsia="zh-CN"/>
        </w:rPr>
        <w:t xml:space="preserve">2.9.2.1 </w:t>
      </w:r>
      <w:r w:rsidRPr="00E67914">
        <w:rPr>
          <w:rFonts w:ascii="Times New Roman" w:eastAsia="黑体" w:hAnsi="Times New Roman"/>
          <w:sz w:val="24"/>
          <w:szCs w:val="24"/>
          <w:lang w:eastAsia="zh-CN"/>
        </w:rPr>
        <w:t>生态环境保护目标</w:t>
      </w:r>
      <w:bookmarkEnd w:id="44"/>
    </w:p>
    <w:p w14:paraId="3C740CF0" w14:textId="7C7FB277" w:rsidR="008B15B2" w:rsidRPr="00E67914" w:rsidRDefault="008B15B2" w:rsidP="008B15B2">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本项目所在地以耕地、林地为主，井场周边</w:t>
      </w:r>
      <w:r w:rsidRPr="00E67914">
        <w:rPr>
          <w:rFonts w:ascii="Times New Roman" w:hAnsi="Times New Roman"/>
          <w:bCs/>
          <w:sz w:val="24"/>
          <w:lang w:eastAsia="zh-CN"/>
        </w:rPr>
        <w:t>200m</w:t>
      </w:r>
      <w:r w:rsidRPr="00E67914">
        <w:rPr>
          <w:rFonts w:ascii="Times New Roman" w:hAnsi="Times New Roman"/>
          <w:bCs/>
          <w:sz w:val="24"/>
          <w:lang w:eastAsia="zh-CN"/>
        </w:rPr>
        <w:t>范围不涉及公益林与天然林。评价范围内不涉及自然保护区、风景名胜区、湿地公园、集中式饮用水源保护区、生态</w:t>
      </w:r>
      <w:r w:rsidRPr="00E67914">
        <w:rPr>
          <w:rFonts w:ascii="Times New Roman" w:hAnsi="Times New Roman"/>
          <w:bCs/>
          <w:sz w:val="24"/>
          <w:lang w:eastAsia="zh-CN"/>
        </w:rPr>
        <w:lastRenderedPageBreak/>
        <w:t>保护红线等特殊或重要生态敏感区。故本次评价的主要生态环境保护目标为项目周边的耕地、植被（主要是农作物与林地）、动物、永久基本农田等。</w:t>
      </w:r>
    </w:p>
    <w:p w14:paraId="4B213A37" w14:textId="27B59D65" w:rsidR="008B15B2" w:rsidRPr="00E67914" w:rsidRDefault="008B15B2" w:rsidP="008B15B2">
      <w:pPr>
        <w:adjustRightInd w:val="0"/>
        <w:snapToGrid w:val="0"/>
        <w:spacing w:line="360" w:lineRule="auto"/>
        <w:ind w:firstLineChars="200" w:firstLine="480"/>
        <w:jc w:val="both"/>
        <w:outlineLvl w:val="3"/>
        <w:rPr>
          <w:rFonts w:ascii="Times New Roman" w:eastAsia="黑体" w:hAnsi="Times New Roman"/>
          <w:sz w:val="24"/>
          <w:szCs w:val="24"/>
          <w:lang w:eastAsia="zh-CN"/>
        </w:rPr>
      </w:pPr>
      <w:bookmarkStart w:id="45" w:name="_Toc140496887"/>
      <w:r w:rsidRPr="00E67914">
        <w:rPr>
          <w:rFonts w:ascii="Times New Roman" w:eastAsia="黑体" w:hAnsi="Times New Roman"/>
          <w:sz w:val="24"/>
          <w:szCs w:val="24"/>
          <w:lang w:eastAsia="zh-CN"/>
        </w:rPr>
        <w:t xml:space="preserve">2.9.2.2 </w:t>
      </w:r>
      <w:r w:rsidRPr="00E67914">
        <w:rPr>
          <w:rFonts w:ascii="Times New Roman" w:eastAsia="黑体" w:hAnsi="Times New Roman"/>
          <w:sz w:val="24"/>
          <w:szCs w:val="24"/>
          <w:lang w:eastAsia="zh-CN"/>
        </w:rPr>
        <w:t>地表水环境保护目标</w:t>
      </w:r>
      <w:bookmarkEnd w:id="45"/>
    </w:p>
    <w:p w14:paraId="54C32074" w14:textId="35C69F4E" w:rsidR="008B15B2" w:rsidRPr="00E67914" w:rsidRDefault="008B15B2" w:rsidP="008B15B2">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根据调查，本项目井场和管线地表水评价范围内无集中式饮用水水源保护区、饮用水取水口涉水的自然保护区、风景名胜区、重要湿地、重点保护与珍稀水生生物的栖息地、重要水生生物的自然产卵场及索饵场、越冬场和洄游通道天然渔场等渔业水体以及水产种质资源保护区等。距离本项目最近的集中式饮用水水源地为宣汉县普光镇千河沟徐家梁（村级）集中式饮用水水源地（河流型），距离本项目约</w:t>
      </w:r>
      <w:r w:rsidRPr="00E67914">
        <w:rPr>
          <w:rFonts w:ascii="Times New Roman" w:hAnsi="Times New Roman"/>
          <w:bCs/>
          <w:sz w:val="24"/>
          <w:lang w:eastAsia="zh-CN"/>
        </w:rPr>
        <w:t>4.4km</w:t>
      </w:r>
      <w:r w:rsidRPr="00E67914">
        <w:rPr>
          <w:rFonts w:ascii="Times New Roman" w:hAnsi="Times New Roman"/>
          <w:bCs/>
          <w:sz w:val="24"/>
          <w:lang w:eastAsia="zh-CN"/>
        </w:rPr>
        <w:t>，中间相隔后河，不在同一个地表水径流单元，不属于本项目地表水环境保护目标。</w:t>
      </w:r>
    </w:p>
    <w:p w14:paraId="6E3CB86C" w14:textId="522795BF" w:rsidR="008B15B2" w:rsidRPr="00E67914" w:rsidRDefault="008B15B2" w:rsidP="008B15B2">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kern w:val="2"/>
          <w:sz w:val="24"/>
          <w:szCs w:val="24"/>
          <w:lang w:eastAsia="zh-CN"/>
        </w:rPr>
        <w:t>本项目最近的河流为场区东侧约</w:t>
      </w:r>
      <w:r w:rsidRPr="00E67914">
        <w:rPr>
          <w:rFonts w:ascii="Times New Roman" w:hAnsi="Times New Roman"/>
          <w:bCs/>
          <w:kern w:val="2"/>
          <w:sz w:val="24"/>
          <w:szCs w:val="24"/>
          <w:lang w:eastAsia="zh-CN"/>
        </w:rPr>
        <w:t>1.6km</w:t>
      </w:r>
      <w:r w:rsidRPr="00E67914">
        <w:rPr>
          <w:rFonts w:ascii="Times New Roman" w:hAnsi="Times New Roman"/>
          <w:bCs/>
          <w:kern w:val="2"/>
          <w:sz w:val="24"/>
          <w:szCs w:val="24"/>
          <w:lang w:eastAsia="zh-CN"/>
        </w:rPr>
        <w:t>处后河，项目所在河段后河的主要水体功能为灌溉和行洪，南侧</w:t>
      </w:r>
      <w:r w:rsidRPr="00E67914">
        <w:rPr>
          <w:rFonts w:ascii="Times New Roman" w:hAnsi="Times New Roman"/>
          <w:bCs/>
          <w:kern w:val="2"/>
          <w:sz w:val="24"/>
          <w:szCs w:val="24"/>
          <w:lang w:eastAsia="zh-CN"/>
        </w:rPr>
        <w:t>800m</w:t>
      </w:r>
      <w:r w:rsidRPr="00E67914">
        <w:rPr>
          <w:rFonts w:ascii="Times New Roman" w:hAnsi="Times New Roman"/>
          <w:bCs/>
          <w:kern w:val="2"/>
          <w:sz w:val="24"/>
          <w:szCs w:val="24"/>
          <w:lang w:eastAsia="zh-CN"/>
        </w:rPr>
        <w:t>处为冲沟，冲沟自西向东汇入后河</w:t>
      </w:r>
      <w:r w:rsidRPr="00E67914">
        <w:rPr>
          <w:rFonts w:ascii="Times New Roman" w:hAnsi="Times New Roman"/>
          <w:bCs/>
          <w:sz w:val="24"/>
          <w:lang w:eastAsia="zh-CN"/>
        </w:rPr>
        <w:t>。项目周边地表水体分布及敏感性见表</w:t>
      </w:r>
      <w:r w:rsidRPr="00E67914">
        <w:rPr>
          <w:rFonts w:ascii="Times New Roman" w:hAnsi="Times New Roman"/>
          <w:bCs/>
          <w:sz w:val="24"/>
          <w:lang w:eastAsia="zh-CN"/>
        </w:rPr>
        <w:t>1.8-1</w:t>
      </w:r>
      <w:r w:rsidRPr="00E67914">
        <w:rPr>
          <w:rFonts w:ascii="Times New Roman" w:hAnsi="Times New Roman"/>
          <w:bCs/>
          <w:sz w:val="24"/>
          <w:lang w:eastAsia="zh-CN"/>
        </w:rPr>
        <w:t>。</w:t>
      </w:r>
    </w:p>
    <w:p w14:paraId="2A7BF35C" w14:textId="77777777" w:rsidR="008B15B2" w:rsidRPr="00E67914" w:rsidRDefault="008B15B2" w:rsidP="008B15B2">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1.8-1  </w:t>
      </w:r>
      <w:r w:rsidRPr="00E67914">
        <w:rPr>
          <w:rFonts w:ascii="Times New Roman" w:eastAsia="黑体" w:hAnsi="Times New Roman"/>
          <w:sz w:val="21"/>
          <w:szCs w:val="21"/>
          <w:lang w:eastAsia="zh-CN"/>
        </w:rPr>
        <w:t>本项目地表水环境保护目标及环境敏感特性一览表</w:t>
      </w:r>
    </w:p>
    <w:tbl>
      <w:tblPr>
        <w:tblW w:w="49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2"/>
        <w:gridCol w:w="2965"/>
        <w:gridCol w:w="3953"/>
      </w:tblGrid>
      <w:tr w:rsidR="00E67914" w:rsidRPr="00E67914" w14:paraId="6F850A30" w14:textId="77777777" w:rsidTr="003230F9">
        <w:trPr>
          <w:trHeight w:val="454"/>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033C817" w14:textId="77777777" w:rsidR="008B15B2" w:rsidRPr="00E67914" w:rsidRDefault="008B15B2" w:rsidP="003230F9">
            <w:pPr>
              <w:pStyle w:val="04"/>
              <w:rPr>
                <w:rFonts w:eastAsia="黑体" w:cs="Times New Roman"/>
                <w:b/>
                <w:bCs/>
              </w:rPr>
            </w:pPr>
            <w:r w:rsidRPr="00E67914">
              <w:rPr>
                <w:rFonts w:eastAsia="黑体" w:cs="Times New Roman"/>
                <w:b/>
                <w:bCs/>
              </w:rPr>
              <w:t>名称</w:t>
            </w:r>
          </w:p>
        </w:tc>
        <w:tc>
          <w:tcPr>
            <w:tcW w:w="2965" w:type="dxa"/>
            <w:tcBorders>
              <w:top w:val="single" w:sz="4" w:space="0" w:color="auto"/>
              <w:left w:val="single" w:sz="4" w:space="0" w:color="auto"/>
              <w:bottom w:val="single" w:sz="4" w:space="0" w:color="auto"/>
              <w:right w:val="single" w:sz="4" w:space="0" w:color="auto"/>
            </w:tcBorders>
            <w:vAlign w:val="center"/>
            <w:hideMark/>
          </w:tcPr>
          <w:p w14:paraId="0D9018FD" w14:textId="77777777" w:rsidR="008B15B2" w:rsidRPr="00E67914" w:rsidRDefault="008B15B2" w:rsidP="003230F9">
            <w:pPr>
              <w:pStyle w:val="04"/>
              <w:rPr>
                <w:rFonts w:eastAsia="黑体" w:cs="Times New Roman"/>
                <w:b/>
                <w:bCs/>
              </w:rPr>
            </w:pPr>
            <w:r w:rsidRPr="00E67914">
              <w:rPr>
                <w:rFonts w:eastAsia="黑体" w:cs="Times New Roman"/>
                <w:b/>
                <w:bCs/>
              </w:rPr>
              <w:t>位置（</w:t>
            </w:r>
            <w:r w:rsidRPr="00E67914">
              <w:rPr>
                <w:rFonts w:eastAsia="黑体" w:cs="Times New Roman"/>
                <w:b/>
                <w:bCs/>
              </w:rPr>
              <w:t>m</w:t>
            </w:r>
            <w:r w:rsidRPr="00E67914">
              <w:rPr>
                <w:rFonts w:eastAsia="黑体" w:cs="Times New Roman"/>
                <w:b/>
                <w:bCs/>
              </w:rPr>
              <w:t>）</w:t>
            </w:r>
          </w:p>
        </w:tc>
        <w:tc>
          <w:tcPr>
            <w:tcW w:w="3953" w:type="dxa"/>
            <w:tcBorders>
              <w:top w:val="single" w:sz="4" w:space="0" w:color="auto"/>
              <w:left w:val="single" w:sz="4" w:space="0" w:color="auto"/>
              <w:bottom w:val="single" w:sz="4" w:space="0" w:color="auto"/>
              <w:right w:val="single" w:sz="4" w:space="0" w:color="auto"/>
            </w:tcBorders>
            <w:vAlign w:val="center"/>
            <w:hideMark/>
          </w:tcPr>
          <w:p w14:paraId="6C1B547C" w14:textId="77777777" w:rsidR="008B15B2" w:rsidRPr="00E67914" w:rsidRDefault="008B15B2" w:rsidP="003230F9">
            <w:pPr>
              <w:pStyle w:val="04"/>
              <w:rPr>
                <w:rFonts w:eastAsia="黑体" w:cs="Times New Roman"/>
                <w:b/>
                <w:bCs/>
              </w:rPr>
            </w:pPr>
            <w:r w:rsidRPr="00E67914">
              <w:rPr>
                <w:rFonts w:eastAsia="黑体" w:cs="Times New Roman"/>
                <w:b/>
                <w:bCs/>
              </w:rPr>
              <w:t>环境敏感特性</w:t>
            </w:r>
          </w:p>
        </w:tc>
      </w:tr>
      <w:tr w:rsidR="00E67914" w:rsidRPr="00E67914" w14:paraId="41BC9D13" w14:textId="77777777" w:rsidTr="003230F9">
        <w:trPr>
          <w:trHeight w:val="454"/>
          <w:jc w:val="center"/>
        </w:trPr>
        <w:tc>
          <w:tcPr>
            <w:tcW w:w="2122" w:type="dxa"/>
            <w:tcBorders>
              <w:top w:val="single" w:sz="4" w:space="0" w:color="auto"/>
              <w:left w:val="single" w:sz="4" w:space="0" w:color="auto"/>
              <w:bottom w:val="single" w:sz="4" w:space="0" w:color="auto"/>
              <w:right w:val="single" w:sz="4" w:space="0" w:color="auto"/>
            </w:tcBorders>
            <w:vAlign w:val="center"/>
          </w:tcPr>
          <w:p w14:paraId="5DE4B811" w14:textId="5EA1F7DB" w:rsidR="008B15B2" w:rsidRPr="00E67914" w:rsidRDefault="008B15B2" w:rsidP="003230F9">
            <w:pPr>
              <w:pStyle w:val="04"/>
              <w:rPr>
                <w:rFonts w:cs="Times New Roman"/>
              </w:rPr>
            </w:pPr>
            <w:r w:rsidRPr="00E67914">
              <w:rPr>
                <w:rFonts w:cs="Times New Roman"/>
              </w:rPr>
              <w:t>后河</w:t>
            </w:r>
          </w:p>
        </w:tc>
        <w:tc>
          <w:tcPr>
            <w:tcW w:w="2965" w:type="dxa"/>
            <w:tcBorders>
              <w:top w:val="single" w:sz="4" w:space="0" w:color="auto"/>
              <w:left w:val="single" w:sz="4" w:space="0" w:color="auto"/>
              <w:bottom w:val="single" w:sz="4" w:space="0" w:color="auto"/>
              <w:right w:val="single" w:sz="4" w:space="0" w:color="auto"/>
            </w:tcBorders>
            <w:vAlign w:val="center"/>
          </w:tcPr>
          <w:p w14:paraId="2A763BEB" w14:textId="6B380067" w:rsidR="008B15B2" w:rsidRPr="00E67914" w:rsidRDefault="008B15B2" w:rsidP="003230F9">
            <w:pPr>
              <w:pStyle w:val="04"/>
              <w:rPr>
                <w:rFonts w:cs="Times New Roman"/>
              </w:rPr>
            </w:pPr>
            <w:r w:rsidRPr="00E67914">
              <w:rPr>
                <w:rFonts w:cs="Times New Roman"/>
              </w:rPr>
              <w:t>位于场区东侧约</w:t>
            </w:r>
            <w:r w:rsidRPr="00E67914">
              <w:rPr>
                <w:rFonts w:cs="Times New Roman"/>
              </w:rPr>
              <w:t>1.6km</w:t>
            </w:r>
            <w:r w:rsidRPr="00E67914">
              <w:rPr>
                <w:rFonts w:cs="Times New Roman"/>
              </w:rPr>
              <w:t>处</w:t>
            </w:r>
          </w:p>
        </w:tc>
        <w:tc>
          <w:tcPr>
            <w:tcW w:w="3953" w:type="dxa"/>
            <w:tcBorders>
              <w:top w:val="single" w:sz="4" w:space="0" w:color="auto"/>
              <w:left w:val="single" w:sz="4" w:space="0" w:color="auto"/>
              <w:bottom w:val="single" w:sz="4" w:space="0" w:color="auto"/>
              <w:right w:val="single" w:sz="4" w:space="0" w:color="auto"/>
            </w:tcBorders>
            <w:vAlign w:val="center"/>
          </w:tcPr>
          <w:p w14:paraId="14E574C0" w14:textId="144BE3F5" w:rsidR="008B15B2" w:rsidRPr="00E67914" w:rsidRDefault="008B15B2" w:rsidP="003230F9">
            <w:pPr>
              <w:pStyle w:val="04"/>
              <w:rPr>
                <w:rFonts w:cs="Times New Roman"/>
              </w:rPr>
            </w:pPr>
            <w:r w:rsidRPr="00E67914">
              <w:rPr>
                <w:rFonts w:cs="Times New Roman"/>
              </w:rPr>
              <w:t>项目所在河段为</w:t>
            </w:r>
            <w:r w:rsidRPr="00E67914">
              <w:rPr>
                <w:rFonts w:cs="Times New Roman"/>
              </w:rPr>
              <w:t>Ⅲ</w:t>
            </w:r>
            <w:r w:rsidRPr="00E67914">
              <w:rPr>
                <w:rFonts w:cs="Times New Roman"/>
              </w:rPr>
              <w:t>类水域，主要功能为灌溉和行洪</w:t>
            </w:r>
          </w:p>
        </w:tc>
      </w:tr>
      <w:tr w:rsidR="00E67914" w:rsidRPr="00E67914" w14:paraId="5594322E" w14:textId="77777777" w:rsidTr="003230F9">
        <w:trPr>
          <w:trHeight w:val="454"/>
          <w:jc w:val="center"/>
        </w:trPr>
        <w:tc>
          <w:tcPr>
            <w:tcW w:w="2122" w:type="dxa"/>
            <w:tcBorders>
              <w:top w:val="single" w:sz="4" w:space="0" w:color="auto"/>
              <w:left w:val="single" w:sz="4" w:space="0" w:color="auto"/>
              <w:bottom w:val="single" w:sz="4" w:space="0" w:color="auto"/>
              <w:right w:val="single" w:sz="4" w:space="0" w:color="auto"/>
            </w:tcBorders>
            <w:vAlign w:val="center"/>
          </w:tcPr>
          <w:p w14:paraId="7BE2CBFF" w14:textId="5F56CE21" w:rsidR="008B15B2" w:rsidRPr="00E67914" w:rsidRDefault="008B15B2" w:rsidP="003230F9">
            <w:pPr>
              <w:pStyle w:val="04"/>
              <w:rPr>
                <w:rFonts w:cs="Times New Roman"/>
              </w:rPr>
            </w:pPr>
            <w:r w:rsidRPr="00E67914">
              <w:rPr>
                <w:rFonts w:cs="Times New Roman"/>
              </w:rPr>
              <w:t>冲沟</w:t>
            </w:r>
          </w:p>
        </w:tc>
        <w:tc>
          <w:tcPr>
            <w:tcW w:w="2965" w:type="dxa"/>
            <w:tcBorders>
              <w:top w:val="single" w:sz="4" w:space="0" w:color="auto"/>
              <w:left w:val="single" w:sz="4" w:space="0" w:color="auto"/>
              <w:bottom w:val="single" w:sz="4" w:space="0" w:color="auto"/>
              <w:right w:val="single" w:sz="4" w:space="0" w:color="auto"/>
            </w:tcBorders>
            <w:vAlign w:val="center"/>
          </w:tcPr>
          <w:p w14:paraId="46B8FDA2" w14:textId="6897C01B" w:rsidR="008B15B2" w:rsidRPr="00E67914" w:rsidRDefault="008B15B2" w:rsidP="003230F9">
            <w:pPr>
              <w:pStyle w:val="04"/>
              <w:rPr>
                <w:rFonts w:cs="Times New Roman"/>
              </w:rPr>
            </w:pPr>
            <w:r w:rsidRPr="00E67914">
              <w:rPr>
                <w:rFonts w:cs="Times New Roman"/>
              </w:rPr>
              <w:t>位于场区南侧约</w:t>
            </w:r>
            <w:r w:rsidRPr="00E67914">
              <w:rPr>
                <w:rFonts w:cs="Times New Roman"/>
              </w:rPr>
              <w:t>800m</w:t>
            </w:r>
            <w:r w:rsidRPr="00E67914">
              <w:rPr>
                <w:rFonts w:cs="Times New Roman"/>
              </w:rPr>
              <w:t>处（外输管线南侧约</w:t>
            </w:r>
            <w:r w:rsidRPr="00E67914">
              <w:rPr>
                <w:rFonts w:cs="Times New Roman"/>
              </w:rPr>
              <w:t>400m</w:t>
            </w:r>
            <w:r w:rsidRPr="00E67914">
              <w:rPr>
                <w:rFonts w:cs="Times New Roman"/>
              </w:rPr>
              <w:t>）</w:t>
            </w:r>
          </w:p>
        </w:tc>
        <w:tc>
          <w:tcPr>
            <w:tcW w:w="3953" w:type="dxa"/>
            <w:tcBorders>
              <w:top w:val="single" w:sz="4" w:space="0" w:color="auto"/>
              <w:left w:val="single" w:sz="4" w:space="0" w:color="auto"/>
              <w:bottom w:val="single" w:sz="4" w:space="0" w:color="auto"/>
              <w:right w:val="single" w:sz="4" w:space="0" w:color="auto"/>
            </w:tcBorders>
            <w:vAlign w:val="center"/>
          </w:tcPr>
          <w:p w14:paraId="41E6FD67" w14:textId="01446313" w:rsidR="008B15B2" w:rsidRPr="00E67914" w:rsidRDefault="008B15B2" w:rsidP="003230F9">
            <w:pPr>
              <w:pStyle w:val="04"/>
              <w:rPr>
                <w:rFonts w:cs="Times New Roman"/>
              </w:rPr>
            </w:pPr>
            <w:r w:rsidRPr="00E67914">
              <w:rPr>
                <w:rFonts w:cs="Times New Roman"/>
              </w:rPr>
              <w:t>Ⅲ</w:t>
            </w:r>
            <w:r w:rsidRPr="00E67914">
              <w:rPr>
                <w:rFonts w:cs="Times New Roman"/>
              </w:rPr>
              <w:t>类水域，主要功能为行洪</w:t>
            </w:r>
          </w:p>
        </w:tc>
      </w:tr>
    </w:tbl>
    <w:p w14:paraId="5DCC426E" w14:textId="7D4CB115" w:rsidR="008B15B2" w:rsidRPr="00E67914" w:rsidRDefault="008B15B2" w:rsidP="008B15B2">
      <w:pPr>
        <w:adjustRightInd w:val="0"/>
        <w:snapToGrid w:val="0"/>
        <w:spacing w:line="360" w:lineRule="auto"/>
        <w:ind w:firstLineChars="200" w:firstLine="480"/>
        <w:jc w:val="both"/>
        <w:outlineLvl w:val="3"/>
        <w:rPr>
          <w:rFonts w:ascii="Times New Roman" w:eastAsia="黑体" w:hAnsi="Times New Roman"/>
          <w:sz w:val="24"/>
          <w:szCs w:val="24"/>
          <w:lang w:eastAsia="zh-CN"/>
        </w:rPr>
      </w:pPr>
      <w:bookmarkStart w:id="46" w:name="_Toc140496888"/>
      <w:r w:rsidRPr="00E67914">
        <w:rPr>
          <w:rFonts w:ascii="Times New Roman" w:eastAsia="黑体" w:hAnsi="Times New Roman"/>
          <w:sz w:val="24"/>
          <w:szCs w:val="24"/>
          <w:lang w:eastAsia="zh-CN"/>
        </w:rPr>
        <w:t xml:space="preserve">2.9.2.3 </w:t>
      </w:r>
      <w:r w:rsidRPr="00E67914">
        <w:rPr>
          <w:rFonts w:ascii="Times New Roman" w:eastAsia="黑体" w:hAnsi="Times New Roman"/>
          <w:sz w:val="24"/>
          <w:szCs w:val="24"/>
          <w:lang w:eastAsia="zh-CN"/>
        </w:rPr>
        <w:t>地下水环境保护目标</w:t>
      </w:r>
      <w:bookmarkEnd w:id="46"/>
    </w:p>
    <w:p w14:paraId="001D4BE8" w14:textId="4D158C37" w:rsidR="008B15B2" w:rsidRPr="00E67914" w:rsidRDefault="0082045B" w:rsidP="008B15B2">
      <w:pPr>
        <w:adjustRightInd w:val="0"/>
        <w:snapToGrid w:val="0"/>
        <w:spacing w:line="360" w:lineRule="auto"/>
        <w:ind w:firstLineChars="200" w:firstLine="480"/>
        <w:jc w:val="both"/>
        <w:rPr>
          <w:rFonts w:ascii="Times New Roman" w:hAnsi="Times New Roman"/>
          <w:bCs/>
          <w:sz w:val="24"/>
          <w:lang w:eastAsia="zh-CN"/>
        </w:rPr>
      </w:pPr>
      <w:bookmarkStart w:id="47" w:name="_Hlk74674654"/>
      <w:r w:rsidRPr="00E67914">
        <w:rPr>
          <w:rFonts w:ascii="Times New Roman" w:hAnsi="Times New Roman"/>
          <w:bCs/>
          <w:kern w:val="2"/>
          <w:sz w:val="24"/>
          <w:szCs w:val="24"/>
          <w:lang w:eastAsia="zh-CN"/>
        </w:rPr>
        <w:t>项目区域内地下水类型</w:t>
      </w:r>
      <w:r w:rsidRPr="00E67914">
        <w:rPr>
          <w:rFonts w:ascii="Times New Roman" w:hAnsi="Times New Roman"/>
          <w:sz w:val="24"/>
          <w:szCs w:val="24"/>
          <w:lang w:eastAsia="zh-CN"/>
        </w:rPr>
        <w:t>以基岩裂隙水与碎屑岩类裂隙水为主</w:t>
      </w:r>
      <w:r w:rsidRPr="00E67914">
        <w:rPr>
          <w:rFonts w:ascii="Times New Roman" w:hAnsi="Times New Roman"/>
          <w:bCs/>
          <w:kern w:val="2"/>
          <w:sz w:val="24"/>
          <w:szCs w:val="24"/>
          <w:lang w:eastAsia="zh-CN"/>
        </w:rPr>
        <w:t>。根据外环境调查，井场附近居民家中均使用山泉水作为饮用水源，经山上水池收集后分散供周边居民使用，平均约</w:t>
      </w:r>
      <w:r w:rsidR="00A77F82"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~15</w:t>
      </w:r>
      <w:r w:rsidRPr="00E67914">
        <w:rPr>
          <w:rFonts w:ascii="Times New Roman" w:hAnsi="Times New Roman"/>
          <w:bCs/>
          <w:kern w:val="2"/>
          <w:sz w:val="24"/>
          <w:szCs w:val="24"/>
          <w:lang w:eastAsia="zh-CN"/>
        </w:rPr>
        <w:t>户使用</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处泉水，地下水评价范围内具备饮用功能的井泉约</w:t>
      </w:r>
      <w:r w:rsidR="0062520F"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处，具体分布如下。</w:t>
      </w:r>
      <w:r w:rsidR="008B15B2" w:rsidRPr="00E67914">
        <w:rPr>
          <w:rFonts w:ascii="Times New Roman" w:hAnsi="Times New Roman"/>
          <w:bCs/>
          <w:sz w:val="24"/>
          <w:lang w:eastAsia="zh-CN"/>
        </w:rPr>
        <w:t>根据调查，地下水环境保护目标见</w:t>
      </w:r>
      <w:r w:rsidR="008B15B2" w:rsidRPr="00E67914">
        <w:rPr>
          <w:rFonts w:ascii="Times New Roman" w:hAnsi="Times New Roman"/>
          <w:bCs/>
          <w:sz w:val="24"/>
          <w:lang w:eastAsia="zh-CN"/>
        </w:rPr>
        <w:t>1.8-2</w:t>
      </w:r>
      <w:r w:rsidR="008B15B2" w:rsidRPr="00E67914">
        <w:rPr>
          <w:rFonts w:ascii="Times New Roman" w:hAnsi="Times New Roman"/>
          <w:bCs/>
          <w:sz w:val="24"/>
          <w:lang w:eastAsia="zh-CN"/>
        </w:rPr>
        <w:t>。</w:t>
      </w:r>
    </w:p>
    <w:p w14:paraId="7EF5C3DE" w14:textId="77777777" w:rsidR="008B15B2" w:rsidRPr="00E67914" w:rsidRDefault="008B15B2" w:rsidP="0082045B">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1.8-2  </w:t>
      </w:r>
      <w:r w:rsidRPr="00E67914">
        <w:rPr>
          <w:rFonts w:ascii="Times New Roman" w:eastAsia="黑体" w:hAnsi="Times New Roman"/>
          <w:sz w:val="21"/>
          <w:szCs w:val="21"/>
          <w:lang w:eastAsia="zh-CN"/>
        </w:rPr>
        <w:t>地下水环境保护目标一览表</w:t>
      </w:r>
      <w:bookmarkEnd w:id="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0"/>
        <w:gridCol w:w="4066"/>
        <w:gridCol w:w="3014"/>
      </w:tblGrid>
      <w:tr w:rsidR="00E67914" w:rsidRPr="00E67914" w14:paraId="37BF9F8E"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5680B85" w14:textId="77777777" w:rsidR="008B15B2" w:rsidRPr="00E67914" w:rsidRDefault="008B15B2" w:rsidP="0082045B">
            <w:pPr>
              <w:pStyle w:val="04"/>
              <w:rPr>
                <w:rFonts w:cs="Times New Roman"/>
              </w:rPr>
            </w:pPr>
            <w:r w:rsidRPr="00E67914">
              <w:rPr>
                <w:rFonts w:cs="Times New Roman"/>
              </w:rPr>
              <w:t>名称</w:t>
            </w:r>
          </w:p>
        </w:tc>
        <w:tc>
          <w:tcPr>
            <w:tcW w:w="4066" w:type="dxa"/>
            <w:tcBorders>
              <w:top w:val="single" w:sz="4" w:space="0" w:color="auto"/>
              <w:left w:val="single" w:sz="4" w:space="0" w:color="auto"/>
              <w:bottom w:val="single" w:sz="4" w:space="0" w:color="auto"/>
              <w:right w:val="single" w:sz="4" w:space="0" w:color="auto"/>
            </w:tcBorders>
            <w:vAlign w:val="center"/>
            <w:hideMark/>
          </w:tcPr>
          <w:p w14:paraId="738EB685" w14:textId="77777777" w:rsidR="008B15B2" w:rsidRPr="00E67914" w:rsidRDefault="008B15B2" w:rsidP="0082045B">
            <w:pPr>
              <w:pStyle w:val="04"/>
              <w:rPr>
                <w:rFonts w:cs="Times New Roman"/>
              </w:rPr>
            </w:pPr>
            <w:r w:rsidRPr="00E67914">
              <w:rPr>
                <w:rFonts w:cs="Times New Roman"/>
              </w:rPr>
              <w:t>位置（</w:t>
            </w:r>
            <w:r w:rsidRPr="00E67914">
              <w:rPr>
                <w:rFonts w:cs="Times New Roman"/>
              </w:rPr>
              <w:t>m</w:t>
            </w:r>
            <w:r w:rsidRPr="00E67914">
              <w:rPr>
                <w:rFonts w:cs="Times New Roman"/>
              </w:rPr>
              <w:t>）</w:t>
            </w:r>
          </w:p>
        </w:tc>
        <w:tc>
          <w:tcPr>
            <w:tcW w:w="3014" w:type="dxa"/>
            <w:tcBorders>
              <w:top w:val="single" w:sz="4" w:space="0" w:color="auto"/>
              <w:left w:val="single" w:sz="4" w:space="0" w:color="auto"/>
              <w:bottom w:val="single" w:sz="4" w:space="0" w:color="auto"/>
              <w:right w:val="single" w:sz="4" w:space="0" w:color="auto"/>
            </w:tcBorders>
            <w:vAlign w:val="center"/>
            <w:hideMark/>
          </w:tcPr>
          <w:p w14:paraId="44FCF7EA" w14:textId="77777777" w:rsidR="008B15B2" w:rsidRPr="00E67914" w:rsidRDefault="008B15B2" w:rsidP="0082045B">
            <w:pPr>
              <w:pStyle w:val="04"/>
              <w:rPr>
                <w:rFonts w:cs="Times New Roman"/>
              </w:rPr>
            </w:pPr>
            <w:r w:rsidRPr="00E67914">
              <w:rPr>
                <w:rFonts w:cs="Times New Roman"/>
              </w:rPr>
              <w:t>环境敏感特性</w:t>
            </w:r>
          </w:p>
        </w:tc>
      </w:tr>
      <w:tr w:rsidR="00E67914" w:rsidRPr="00E67914" w14:paraId="125E58DE"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4D58D25E" w14:textId="77777777" w:rsidR="00694B45" w:rsidRPr="00E67914" w:rsidRDefault="00694B45" w:rsidP="00694B45">
            <w:pPr>
              <w:pStyle w:val="04"/>
              <w:rPr>
                <w:rFonts w:cs="Times New Roman"/>
              </w:rPr>
            </w:pPr>
            <w:r w:rsidRPr="00E67914">
              <w:rPr>
                <w:rFonts w:cs="Times New Roman"/>
              </w:rPr>
              <w:t>Q1</w:t>
            </w:r>
          </w:p>
        </w:tc>
        <w:tc>
          <w:tcPr>
            <w:tcW w:w="4066" w:type="dxa"/>
            <w:tcBorders>
              <w:top w:val="single" w:sz="4" w:space="0" w:color="auto"/>
              <w:left w:val="single" w:sz="4" w:space="0" w:color="auto"/>
              <w:bottom w:val="single" w:sz="4" w:space="0" w:color="auto"/>
              <w:right w:val="single" w:sz="4" w:space="0" w:color="auto"/>
            </w:tcBorders>
            <w:vAlign w:val="center"/>
          </w:tcPr>
          <w:p w14:paraId="638B3A6F" w14:textId="5E462213" w:rsidR="00694B45" w:rsidRPr="00E67914" w:rsidRDefault="00694B45" w:rsidP="00694B45">
            <w:pPr>
              <w:pStyle w:val="04"/>
              <w:rPr>
                <w:rFonts w:cs="Times New Roman"/>
              </w:rPr>
            </w:pPr>
            <w:bookmarkStart w:id="48" w:name="_Hlk146052664"/>
            <w:r w:rsidRPr="00E67914">
              <w:rPr>
                <w:rFonts w:cs="Times New Roman"/>
                <w:kern w:val="2"/>
              </w:rPr>
              <w:t>普陆页</w:t>
            </w:r>
            <w:r w:rsidRPr="00E67914">
              <w:rPr>
                <w:rFonts w:cs="Times New Roman"/>
                <w:kern w:val="2"/>
              </w:rPr>
              <w:t>2</w:t>
            </w:r>
            <w:r w:rsidRPr="00E67914">
              <w:rPr>
                <w:rFonts w:cs="Times New Roman"/>
                <w:kern w:val="2"/>
              </w:rPr>
              <w:t>试采站南侧约</w:t>
            </w:r>
            <w:r w:rsidRPr="00E67914">
              <w:rPr>
                <w:rFonts w:cs="Times New Roman"/>
                <w:kern w:val="2"/>
              </w:rPr>
              <w:t>500m</w:t>
            </w:r>
            <w:r w:rsidRPr="00E67914">
              <w:rPr>
                <w:rFonts w:cs="Times New Roman"/>
                <w:kern w:val="2"/>
              </w:rPr>
              <w:t>处</w:t>
            </w:r>
            <w:bookmarkEnd w:id="48"/>
          </w:p>
        </w:tc>
        <w:tc>
          <w:tcPr>
            <w:tcW w:w="3014" w:type="dxa"/>
            <w:tcBorders>
              <w:top w:val="single" w:sz="4" w:space="0" w:color="auto"/>
              <w:left w:val="single" w:sz="4" w:space="0" w:color="auto"/>
              <w:bottom w:val="single" w:sz="4" w:space="0" w:color="auto"/>
              <w:right w:val="single" w:sz="4" w:space="0" w:color="auto"/>
            </w:tcBorders>
            <w:vAlign w:val="center"/>
          </w:tcPr>
          <w:p w14:paraId="6F4DAFCE" w14:textId="243105A5" w:rsidR="00694B45" w:rsidRPr="00E67914" w:rsidRDefault="00694B45" w:rsidP="00694B45">
            <w:pPr>
              <w:pStyle w:val="04"/>
              <w:rPr>
                <w:rFonts w:cs="Times New Roman"/>
              </w:rPr>
            </w:pPr>
            <w:r w:rsidRPr="00E67914">
              <w:rPr>
                <w:rFonts w:cs="Times New Roman"/>
              </w:rPr>
              <w:t>泉水，以大气降雨补给为主，流量约</w:t>
            </w:r>
            <w:r w:rsidRPr="00E67914">
              <w:rPr>
                <w:rFonts w:cs="Times New Roman"/>
              </w:rPr>
              <w:t>0.</w:t>
            </w:r>
            <w:r w:rsidR="000D01F8" w:rsidRPr="00E67914">
              <w:rPr>
                <w:rFonts w:cs="Times New Roman"/>
              </w:rPr>
              <w:t>1</w:t>
            </w:r>
            <w:r w:rsidRPr="00E67914">
              <w:rPr>
                <w:rFonts w:cs="Times New Roman"/>
              </w:rPr>
              <w:t>L/s</w:t>
            </w:r>
            <w:r w:rsidRPr="00E67914">
              <w:rPr>
                <w:rFonts w:cs="Times New Roman"/>
              </w:rPr>
              <w:t>，</w:t>
            </w:r>
            <w:r w:rsidR="00A77F82" w:rsidRPr="00E67914">
              <w:rPr>
                <w:rFonts w:cs="Times New Roman"/>
              </w:rPr>
              <w:t>约</w:t>
            </w:r>
            <w:r w:rsidR="000D01F8" w:rsidRPr="00E67914">
              <w:rPr>
                <w:rFonts w:cs="Times New Roman"/>
              </w:rPr>
              <w:t>7</w:t>
            </w:r>
            <w:r w:rsidRPr="00E67914">
              <w:rPr>
                <w:rFonts w:cs="Times New Roman"/>
              </w:rPr>
              <w:t>户居民</w:t>
            </w:r>
            <w:r w:rsidR="00A77F82" w:rsidRPr="00E67914">
              <w:rPr>
                <w:rFonts w:cs="Times New Roman"/>
              </w:rPr>
              <w:t>使用</w:t>
            </w:r>
          </w:p>
        </w:tc>
      </w:tr>
      <w:tr w:rsidR="00E67914" w:rsidRPr="00E67914" w14:paraId="0048C42A"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5EA6AC75" w14:textId="4B1551D7" w:rsidR="00694B45" w:rsidRPr="00E67914" w:rsidRDefault="00694B45" w:rsidP="00694B45">
            <w:pPr>
              <w:pStyle w:val="04"/>
              <w:rPr>
                <w:rFonts w:cs="Times New Roman"/>
              </w:rPr>
            </w:pPr>
            <w:r w:rsidRPr="00E67914">
              <w:rPr>
                <w:rFonts w:cs="Times New Roman"/>
              </w:rPr>
              <w:t>Q2</w:t>
            </w:r>
          </w:p>
        </w:tc>
        <w:tc>
          <w:tcPr>
            <w:tcW w:w="4066" w:type="dxa"/>
            <w:tcBorders>
              <w:top w:val="single" w:sz="4" w:space="0" w:color="auto"/>
              <w:left w:val="single" w:sz="4" w:space="0" w:color="auto"/>
              <w:bottom w:val="single" w:sz="4" w:space="0" w:color="auto"/>
              <w:right w:val="single" w:sz="4" w:space="0" w:color="auto"/>
            </w:tcBorders>
            <w:vAlign w:val="center"/>
          </w:tcPr>
          <w:p w14:paraId="3B32E670" w14:textId="1E6C0731" w:rsidR="00694B45" w:rsidRPr="00E67914" w:rsidRDefault="00694B45" w:rsidP="00694B45">
            <w:pPr>
              <w:pStyle w:val="04"/>
              <w:rPr>
                <w:rFonts w:cs="Times New Roman"/>
              </w:rPr>
            </w:pPr>
            <w:r w:rsidRPr="00E67914">
              <w:rPr>
                <w:rFonts w:cs="Times New Roman"/>
                <w:kern w:val="2"/>
              </w:rPr>
              <w:t>普陆页</w:t>
            </w:r>
            <w:r w:rsidRPr="00E67914">
              <w:rPr>
                <w:rFonts w:cs="Times New Roman"/>
                <w:kern w:val="2"/>
              </w:rPr>
              <w:t>2</w:t>
            </w:r>
            <w:r w:rsidRPr="00E67914">
              <w:rPr>
                <w:rFonts w:cs="Times New Roman"/>
                <w:kern w:val="2"/>
              </w:rPr>
              <w:t>试采站南侧约</w:t>
            </w:r>
            <w:r w:rsidRPr="00E67914">
              <w:rPr>
                <w:rFonts w:cs="Times New Roman"/>
                <w:kern w:val="2"/>
              </w:rPr>
              <w:t>250m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2ABF19AD" w14:textId="32338EF1" w:rsidR="00694B45" w:rsidRPr="00E67914" w:rsidRDefault="000D01F8" w:rsidP="00694B45">
            <w:pPr>
              <w:pStyle w:val="04"/>
              <w:rPr>
                <w:rFonts w:cs="Times New Roman"/>
              </w:rPr>
            </w:pPr>
            <w:r w:rsidRPr="00E67914">
              <w:rPr>
                <w:rFonts w:cs="Times New Roman"/>
              </w:rPr>
              <w:t>泉水，以大气降雨补给为主，流量约</w:t>
            </w:r>
            <w:r w:rsidRPr="00E67914">
              <w:rPr>
                <w:rFonts w:cs="Times New Roman"/>
              </w:rPr>
              <w:t>0.2L/s</w:t>
            </w:r>
            <w:r w:rsidRPr="00E67914">
              <w:rPr>
                <w:rFonts w:cs="Times New Roman"/>
              </w:rPr>
              <w:t>，约</w:t>
            </w:r>
            <w:r w:rsidRPr="00E67914">
              <w:rPr>
                <w:rFonts w:cs="Times New Roman"/>
              </w:rPr>
              <w:t>10</w:t>
            </w:r>
            <w:r w:rsidRPr="00E67914">
              <w:rPr>
                <w:rFonts w:cs="Times New Roman"/>
              </w:rPr>
              <w:t>户居民使用</w:t>
            </w:r>
          </w:p>
        </w:tc>
      </w:tr>
      <w:tr w:rsidR="00E67914" w:rsidRPr="00E67914" w14:paraId="1B483870"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30F6DC79" w14:textId="6413F141" w:rsidR="00694B45" w:rsidRPr="00E67914" w:rsidRDefault="00694B45" w:rsidP="00694B45">
            <w:pPr>
              <w:pStyle w:val="04"/>
              <w:rPr>
                <w:rFonts w:cs="Times New Roman"/>
              </w:rPr>
            </w:pPr>
            <w:r w:rsidRPr="00E67914">
              <w:rPr>
                <w:rFonts w:cs="Times New Roman"/>
              </w:rPr>
              <w:t>Q3</w:t>
            </w:r>
          </w:p>
        </w:tc>
        <w:tc>
          <w:tcPr>
            <w:tcW w:w="4066" w:type="dxa"/>
            <w:tcBorders>
              <w:top w:val="single" w:sz="4" w:space="0" w:color="auto"/>
              <w:left w:val="single" w:sz="4" w:space="0" w:color="auto"/>
              <w:bottom w:val="single" w:sz="4" w:space="0" w:color="auto"/>
              <w:right w:val="single" w:sz="4" w:space="0" w:color="auto"/>
            </w:tcBorders>
            <w:vAlign w:val="center"/>
          </w:tcPr>
          <w:p w14:paraId="0974C961" w14:textId="4A3814C5" w:rsidR="00694B45" w:rsidRPr="00E67914" w:rsidRDefault="00694B45" w:rsidP="00694B45">
            <w:pPr>
              <w:pStyle w:val="04"/>
              <w:rPr>
                <w:rFonts w:cs="Times New Roman"/>
              </w:rPr>
            </w:pPr>
            <w:r w:rsidRPr="00E67914">
              <w:rPr>
                <w:rFonts w:cs="Times New Roman"/>
                <w:kern w:val="2"/>
              </w:rPr>
              <w:t>普陆页</w:t>
            </w:r>
            <w:r w:rsidRPr="00E67914">
              <w:rPr>
                <w:rFonts w:cs="Times New Roman"/>
                <w:kern w:val="2"/>
              </w:rPr>
              <w:t>2</w:t>
            </w:r>
            <w:r w:rsidRPr="00E67914">
              <w:rPr>
                <w:rFonts w:cs="Times New Roman"/>
                <w:kern w:val="2"/>
              </w:rPr>
              <w:t>试采站</w:t>
            </w:r>
            <w:r w:rsidR="000D01F8" w:rsidRPr="00E67914">
              <w:rPr>
                <w:rFonts w:cs="Times New Roman"/>
                <w:kern w:val="2"/>
              </w:rPr>
              <w:t>东</w:t>
            </w:r>
            <w:r w:rsidRPr="00E67914">
              <w:rPr>
                <w:rFonts w:cs="Times New Roman"/>
                <w:kern w:val="2"/>
              </w:rPr>
              <w:t>侧约</w:t>
            </w:r>
            <w:r w:rsidRPr="00E67914">
              <w:rPr>
                <w:rFonts w:cs="Times New Roman"/>
                <w:kern w:val="2"/>
              </w:rPr>
              <w:t>240m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605E4349" w14:textId="64615504" w:rsidR="00694B45" w:rsidRPr="00E67914" w:rsidRDefault="000D01F8" w:rsidP="00694B45">
            <w:pPr>
              <w:pStyle w:val="04"/>
              <w:rPr>
                <w:rFonts w:cs="Times New Roman"/>
              </w:rPr>
            </w:pPr>
            <w:r w:rsidRPr="00E67914">
              <w:rPr>
                <w:rFonts w:cs="Times New Roman"/>
              </w:rPr>
              <w:t>泉水，以大气降雨补给为主，流量约</w:t>
            </w:r>
            <w:r w:rsidRPr="00E67914">
              <w:rPr>
                <w:rFonts w:cs="Times New Roman"/>
              </w:rPr>
              <w:t>0.2L/s</w:t>
            </w:r>
            <w:r w:rsidRPr="00E67914">
              <w:rPr>
                <w:rFonts w:cs="Times New Roman"/>
              </w:rPr>
              <w:t>，约</w:t>
            </w:r>
            <w:r w:rsidR="00576522" w:rsidRPr="00E67914">
              <w:rPr>
                <w:rFonts w:cs="Times New Roman"/>
              </w:rPr>
              <w:t>6</w:t>
            </w:r>
            <w:r w:rsidRPr="00E67914">
              <w:rPr>
                <w:rFonts w:cs="Times New Roman"/>
              </w:rPr>
              <w:t>户居民使用</w:t>
            </w:r>
          </w:p>
        </w:tc>
      </w:tr>
      <w:tr w:rsidR="00E67914" w:rsidRPr="00E67914" w14:paraId="625ADA5A"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68E22308" w14:textId="54404A17" w:rsidR="00694B45" w:rsidRPr="00E67914" w:rsidRDefault="00694B45" w:rsidP="00694B45">
            <w:pPr>
              <w:pStyle w:val="04"/>
              <w:rPr>
                <w:rFonts w:cs="Times New Roman"/>
              </w:rPr>
            </w:pPr>
            <w:r w:rsidRPr="00E67914">
              <w:rPr>
                <w:rFonts w:cs="Times New Roman"/>
              </w:rPr>
              <w:t>Q4</w:t>
            </w:r>
          </w:p>
        </w:tc>
        <w:tc>
          <w:tcPr>
            <w:tcW w:w="4066" w:type="dxa"/>
            <w:tcBorders>
              <w:top w:val="single" w:sz="4" w:space="0" w:color="auto"/>
              <w:left w:val="single" w:sz="4" w:space="0" w:color="auto"/>
              <w:bottom w:val="single" w:sz="4" w:space="0" w:color="auto"/>
              <w:right w:val="single" w:sz="4" w:space="0" w:color="auto"/>
            </w:tcBorders>
            <w:vAlign w:val="center"/>
          </w:tcPr>
          <w:p w14:paraId="4666DE1F" w14:textId="4996211A" w:rsidR="00694B45" w:rsidRPr="00E67914" w:rsidRDefault="00694B45" w:rsidP="00694B45">
            <w:pPr>
              <w:pStyle w:val="04"/>
              <w:rPr>
                <w:rFonts w:cs="Times New Roman"/>
              </w:rPr>
            </w:pPr>
            <w:r w:rsidRPr="00E67914">
              <w:rPr>
                <w:rFonts w:cs="Times New Roman"/>
                <w:kern w:val="2"/>
              </w:rPr>
              <w:t>普陆页</w:t>
            </w:r>
            <w:r w:rsidRPr="00E67914">
              <w:rPr>
                <w:rFonts w:cs="Times New Roman"/>
                <w:kern w:val="2"/>
              </w:rPr>
              <w:t>2</w:t>
            </w:r>
            <w:r w:rsidRPr="00E67914">
              <w:rPr>
                <w:rFonts w:cs="Times New Roman"/>
                <w:kern w:val="2"/>
              </w:rPr>
              <w:t>试采站西北侧约</w:t>
            </w:r>
            <w:r w:rsidRPr="00E67914">
              <w:rPr>
                <w:rFonts w:cs="Times New Roman"/>
                <w:kern w:val="2"/>
              </w:rPr>
              <w:t>700m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73641A88" w14:textId="59FA770E" w:rsidR="00694B45" w:rsidRPr="00E67914" w:rsidRDefault="000D01F8" w:rsidP="00694B45">
            <w:pPr>
              <w:pStyle w:val="04"/>
              <w:rPr>
                <w:rFonts w:cs="Times New Roman"/>
              </w:rPr>
            </w:pPr>
            <w:r w:rsidRPr="00E67914">
              <w:rPr>
                <w:rFonts w:cs="Times New Roman"/>
              </w:rPr>
              <w:t>泉水，以大气降雨补给为主，流量约</w:t>
            </w:r>
            <w:r w:rsidRPr="00E67914">
              <w:rPr>
                <w:rFonts w:cs="Times New Roman"/>
              </w:rPr>
              <w:t>0.2L/s</w:t>
            </w:r>
            <w:r w:rsidRPr="00E67914">
              <w:rPr>
                <w:rFonts w:cs="Times New Roman"/>
              </w:rPr>
              <w:t>，约</w:t>
            </w:r>
            <w:r w:rsidR="00576522" w:rsidRPr="00E67914">
              <w:rPr>
                <w:rFonts w:cs="Times New Roman"/>
              </w:rPr>
              <w:t>5</w:t>
            </w:r>
            <w:r w:rsidRPr="00E67914">
              <w:rPr>
                <w:rFonts w:cs="Times New Roman"/>
              </w:rPr>
              <w:t>户居民使用</w:t>
            </w:r>
          </w:p>
        </w:tc>
      </w:tr>
      <w:tr w:rsidR="00E67914" w:rsidRPr="00E67914" w14:paraId="69958480"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240467D4" w14:textId="636AC30C" w:rsidR="00694B45" w:rsidRPr="00E67914" w:rsidRDefault="00694B45" w:rsidP="00694B45">
            <w:pPr>
              <w:pStyle w:val="04"/>
              <w:rPr>
                <w:rFonts w:cs="Times New Roman"/>
              </w:rPr>
            </w:pPr>
            <w:r w:rsidRPr="00E67914">
              <w:rPr>
                <w:rFonts w:cs="Times New Roman"/>
              </w:rPr>
              <w:t>Q5</w:t>
            </w:r>
          </w:p>
        </w:tc>
        <w:tc>
          <w:tcPr>
            <w:tcW w:w="4066" w:type="dxa"/>
            <w:tcBorders>
              <w:top w:val="single" w:sz="4" w:space="0" w:color="auto"/>
              <w:left w:val="single" w:sz="4" w:space="0" w:color="auto"/>
              <w:bottom w:val="single" w:sz="4" w:space="0" w:color="auto"/>
              <w:right w:val="single" w:sz="4" w:space="0" w:color="auto"/>
            </w:tcBorders>
            <w:vAlign w:val="center"/>
          </w:tcPr>
          <w:p w14:paraId="580FFC5E" w14:textId="1F80B219" w:rsidR="00694B45" w:rsidRPr="00E67914" w:rsidRDefault="00694B45" w:rsidP="00694B45">
            <w:pPr>
              <w:pStyle w:val="04"/>
              <w:rPr>
                <w:rFonts w:cs="Times New Roman"/>
              </w:rPr>
            </w:pPr>
            <w:r w:rsidRPr="00E67914">
              <w:rPr>
                <w:rFonts w:cs="Times New Roman"/>
                <w:kern w:val="2"/>
              </w:rPr>
              <w:t>普陆页</w:t>
            </w:r>
            <w:r w:rsidRPr="00E67914">
              <w:rPr>
                <w:rFonts w:cs="Times New Roman"/>
                <w:kern w:val="2"/>
              </w:rPr>
              <w:t>2</w:t>
            </w:r>
            <w:r w:rsidRPr="00E67914">
              <w:rPr>
                <w:rFonts w:cs="Times New Roman"/>
                <w:kern w:val="2"/>
              </w:rPr>
              <w:t>试采站西侧约</w:t>
            </w:r>
            <w:r w:rsidRPr="00E67914">
              <w:rPr>
                <w:rFonts w:cs="Times New Roman"/>
                <w:kern w:val="2"/>
              </w:rPr>
              <w:t>750m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78517F82" w14:textId="4C349F48" w:rsidR="00694B45" w:rsidRPr="00E67914" w:rsidRDefault="000D01F8" w:rsidP="00694B45">
            <w:pPr>
              <w:pStyle w:val="04"/>
              <w:rPr>
                <w:rFonts w:cs="Times New Roman"/>
              </w:rPr>
            </w:pPr>
            <w:r w:rsidRPr="00E67914">
              <w:rPr>
                <w:rFonts w:cs="Times New Roman"/>
              </w:rPr>
              <w:t>泉水，以大气降雨补给为主，流量约</w:t>
            </w:r>
            <w:r w:rsidRPr="00E67914">
              <w:rPr>
                <w:rFonts w:cs="Times New Roman"/>
              </w:rPr>
              <w:t>0.1L/s</w:t>
            </w:r>
            <w:r w:rsidRPr="00E67914">
              <w:rPr>
                <w:rFonts w:cs="Times New Roman"/>
              </w:rPr>
              <w:t>，约</w:t>
            </w:r>
            <w:r w:rsidRPr="00E67914">
              <w:rPr>
                <w:rFonts w:cs="Times New Roman"/>
              </w:rPr>
              <w:t>5</w:t>
            </w:r>
            <w:r w:rsidRPr="00E67914">
              <w:rPr>
                <w:rFonts w:cs="Times New Roman"/>
              </w:rPr>
              <w:t>户居民使用</w:t>
            </w:r>
          </w:p>
        </w:tc>
      </w:tr>
      <w:tr w:rsidR="00E67914" w:rsidRPr="00E67914" w14:paraId="1540D4A9"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7CEC7E55" w14:textId="3BDE6D7C" w:rsidR="00694B45" w:rsidRPr="00E67914" w:rsidRDefault="00694B45" w:rsidP="00694B45">
            <w:pPr>
              <w:pStyle w:val="04"/>
              <w:rPr>
                <w:rFonts w:cs="Times New Roman"/>
              </w:rPr>
            </w:pPr>
            <w:r w:rsidRPr="00E67914">
              <w:rPr>
                <w:rFonts w:cs="Times New Roman"/>
              </w:rPr>
              <w:t>Q6</w:t>
            </w:r>
          </w:p>
        </w:tc>
        <w:tc>
          <w:tcPr>
            <w:tcW w:w="4066" w:type="dxa"/>
            <w:tcBorders>
              <w:top w:val="single" w:sz="4" w:space="0" w:color="auto"/>
              <w:left w:val="single" w:sz="4" w:space="0" w:color="auto"/>
              <w:bottom w:val="single" w:sz="4" w:space="0" w:color="auto"/>
              <w:right w:val="single" w:sz="4" w:space="0" w:color="auto"/>
            </w:tcBorders>
            <w:vAlign w:val="center"/>
          </w:tcPr>
          <w:p w14:paraId="17B76ACF" w14:textId="0CCCCE17" w:rsidR="00694B45" w:rsidRPr="00E67914" w:rsidRDefault="00694B45" w:rsidP="00694B45">
            <w:pPr>
              <w:pStyle w:val="04"/>
              <w:rPr>
                <w:rFonts w:cs="Times New Roman"/>
                <w:kern w:val="2"/>
              </w:rPr>
            </w:pPr>
            <w:r w:rsidRPr="00E67914">
              <w:rPr>
                <w:rFonts w:cs="Times New Roman"/>
                <w:kern w:val="2"/>
              </w:rPr>
              <w:t>普陆页</w:t>
            </w:r>
            <w:r w:rsidRPr="00E67914">
              <w:rPr>
                <w:rFonts w:cs="Times New Roman"/>
                <w:kern w:val="2"/>
              </w:rPr>
              <w:t>2</w:t>
            </w:r>
            <w:r w:rsidRPr="00E67914">
              <w:rPr>
                <w:rFonts w:cs="Times New Roman"/>
                <w:kern w:val="2"/>
              </w:rPr>
              <w:t>试采站东侧约</w:t>
            </w:r>
            <w:r w:rsidRPr="00E67914">
              <w:rPr>
                <w:rFonts w:cs="Times New Roman"/>
                <w:kern w:val="2"/>
              </w:rPr>
              <w:t>800m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72893846" w14:textId="6A1820DC" w:rsidR="00694B45" w:rsidRPr="00E67914" w:rsidRDefault="00576522" w:rsidP="00694B45">
            <w:pPr>
              <w:pStyle w:val="04"/>
              <w:rPr>
                <w:rFonts w:cs="Times New Roman"/>
              </w:rPr>
            </w:pPr>
            <w:r w:rsidRPr="00E67914">
              <w:rPr>
                <w:rFonts w:cs="Times New Roman"/>
              </w:rPr>
              <w:t>泉水，以大气降雨补给为主，流量约</w:t>
            </w:r>
            <w:r w:rsidRPr="00E67914">
              <w:rPr>
                <w:rFonts w:cs="Times New Roman"/>
              </w:rPr>
              <w:t>0.2L/s</w:t>
            </w:r>
            <w:r w:rsidRPr="00E67914">
              <w:rPr>
                <w:rFonts w:cs="Times New Roman"/>
              </w:rPr>
              <w:t>，约</w:t>
            </w:r>
            <w:r w:rsidRPr="00E67914">
              <w:rPr>
                <w:rFonts w:cs="Times New Roman"/>
              </w:rPr>
              <w:t>10</w:t>
            </w:r>
            <w:r w:rsidRPr="00E67914">
              <w:rPr>
                <w:rFonts w:cs="Times New Roman"/>
              </w:rPr>
              <w:t>户居民使用</w:t>
            </w:r>
          </w:p>
        </w:tc>
      </w:tr>
      <w:tr w:rsidR="00E67914" w:rsidRPr="00E67914" w14:paraId="0FF2BD33"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07DABAE6" w14:textId="5F1B0EB4" w:rsidR="00694B45" w:rsidRPr="00E67914" w:rsidRDefault="00694B45" w:rsidP="00694B45">
            <w:pPr>
              <w:pStyle w:val="04"/>
              <w:rPr>
                <w:rFonts w:cs="Times New Roman"/>
              </w:rPr>
            </w:pPr>
            <w:r w:rsidRPr="00E67914">
              <w:rPr>
                <w:rFonts w:cs="Times New Roman"/>
              </w:rPr>
              <w:lastRenderedPageBreak/>
              <w:t>Q7</w:t>
            </w:r>
          </w:p>
        </w:tc>
        <w:tc>
          <w:tcPr>
            <w:tcW w:w="4066" w:type="dxa"/>
            <w:tcBorders>
              <w:top w:val="single" w:sz="4" w:space="0" w:color="auto"/>
              <w:left w:val="single" w:sz="4" w:space="0" w:color="auto"/>
              <w:bottom w:val="single" w:sz="4" w:space="0" w:color="auto"/>
              <w:right w:val="single" w:sz="4" w:space="0" w:color="auto"/>
            </w:tcBorders>
            <w:vAlign w:val="center"/>
          </w:tcPr>
          <w:p w14:paraId="6D40CCC3" w14:textId="280AFEE8" w:rsidR="00694B45" w:rsidRPr="00E67914" w:rsidRDefault="00694B45" w:rsidP="00694B45">
            <w:pPr>
              <w:pStyle w:val="04"/>
              <w:rPr>
                <w:rFonts w:cs="Times New Roman"/>
                <w:kern w:val="2"/>
              </w:rPr>
            </w:pPr>
            <w:r w:rsidRPr="00E67914">
              <w:rPr>
                <w:rFonts w:cs="Times New Roman"/>
                <w:kern w:val="2"/>
              </w:rPr>
              <w:t>普陆页</w:t>
            </w:r>
            <w:r w:rsidRPr="00E67914">
              <w:rPr>
                <w:rFonts w:cs="Times New Roman"/>
                <w:kern w:val="2"/>
              </w:rPr>
              <w:t>2</w:t>
            </w:r>
            <w:r w:rsidRPr="00E67914">
              <w:rPr>
                <w:rFonts w:cs="Times New Roman"/>
                <w:kern w:val="2"/>
              </w:rPr>
              <w:t>试采站东侧约</w:t>
            </w:r>
            <w:r w:rsidRPr="00E67914">
              <w:rPr>
                <w:rFonts w:cs="Times New Roman"/>
                <w:kern w:val="2"/>
              </w:rPr>
              <w:t>760m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69FC526B" w14:textId="7F1139E3" w:rsidR="00694B45" w:rsidRPr="00E67914" w:rsidRDefault="00576522" w:rsidP="00694B45">
            <w:pPr>
              <w:pStyle w:val="04"/>
              <w:rPr>
                <w:rFonts w:cs="Times New Roman"/>
              </w:rPr>
            </w:pPr>
            <w:r w:rsidRPr="00E67914">
              <w:rPr>
                <w:rFonts w:cs="Times New Roman"/>
              </w:rPr>
              <w:t>泉水，以大气降雨补给为主，流量约</w:t>
            </w:r>
            <w:r w:rsidRPr="00E67914">
              <w:rPr>
                <w:rFonts w:cs="Times New Roman"/>
              </w:rPr>
              <w:t>0.2L/s</w:t>
            </w:r>
            <w:r w:rsidRPr="00E67914">
              <w:rPr>
                <w:rFonts w:cs="Times New Roman"/>
              </w:rPr>
              <w:t>，约</w:t>
            </w:r>
            <w:r w:rsidR="0062520F" w:rsidRPr="00E67914">
              <w:rPr>
                <w:rFonts w:cs="Times New Roman"/>
              </w:rPr>
              <w:t>15</w:t>
            </w:r>
            <w:r w:rsidRPr="00E67914">
              <w:rPr>
                <w:rFonts w:cs="Times New Roman"/>
              </w:rPr>
              <w:t>户居民使用</w:t>
            </w:r>
          </w:p>
        </w:tc>
      </w:tr>
      <w:tr w:rsidR="00E67914" w:rsidRPr="00E67914" w14:paraId="39D496B5"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6049AF90" w14:textId="2C0FF55F" w:rsidR="00694B45" w:rsidRPr="00E67914" w:rsidRDefault="00694B45" w:rsidP="00694B45">
            <w:pPr>
              <w:pStyle w:val="04"/>
              <w:rPr>
                <w:rFonts w:cs="Times New Roman"/>
              </w:rPr>
            </w:pPr>
            <w:r w:rsidRPr="00E67914">
              <w:rPr>
                <w:rFonts w:cs="Times New Roman"/>
              </w:rPr>
              <w:t>Q8</w:t>
            </w:r>
          </w:p>
        </w:tc>
        <w:tc>
          <w:tcPr>
            <w:tcW w:w="4066" w:type="dxa"/>
            <w:tcBorders>
              <w:top w:val="single" w:sz="4" w:space="0" w:color="auto"/>
              <w:left w:val="single" w:sz="4" w:space="0" w:color="auto"/>
              <w:bottom w:val="single" w:sz="4" w:space="0" w:color="auto"/>
              <w:right w:val="single" w:sz="4" w:space="0" w:color="auto"/>
            </w:tcBorders>
            <w:vAlign w:val="center"/>
          </w:tcPr>
          <w:p w14:paraId="05E11383" w14:textId="48E1C6C0" w:rsidR="00694B45" w:rsidRPr="00E67914" w:rsidRDefault="00694B45" w:rsidP="00694B45">
            <w:pPr>
              <w:pStyle w:val="04"/>
              <w:rPr>
                <w:rFonts w:cs="Times New Roman"/>
                <w:kern w:val="2"/>
              </w:rPr>
            </w:pPr>
            <w:r w:rsidRPr="00E67914">
              <w:rPr>
                <w:rFonts w:cs="Times New Roman"/>
                <w:kern w:val="2"/>
              </w:rPr>
              <w:t>普陆页</w:t>
            </w:r>
            <w:r w:rsidRPr="00E67914">
              <w:rPr>
                <w:rFonts w:cs="Times New Roman"/>
                <w:kern w:val="2"/>
              </w:rPr>
              <w:t>2</w:t>
            </w:r>
            <w:r w:rsidRPr="00E67914">
              <w:rPr>
                <w:rFonts w:cs="Times New Roman"/>
                <w:kern w:val="2"/>
              </w:rPr>
              <w:t>试采站西侧约</w:t>
            </w:r>
            <w:r w:rsidRPr="00E67914">
              <w:rPr>
                <w:rFonts w:cs="Times New Roman"/>
                <w:kern w:val="2"/>
              </w:rPr>
              <w:t>550m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26B64728" w14:textId="7A05D480" w:rsidR="00694B45" w:rsidRPr="00E67914" w:rsidRDefault="00576522" w:rsidP="00694B45">
            <w:pPr>
              <w:pStyle w:val="04"/>
              <w:rPr>
                <w:rFonts w:cs="Times New Roman"/>
              </w:rPr>
            </w:pPr>
            <w:r w:rsidRPr="00E67914">
              <w:rPr>
                <w:rFonts w:cs="Times New Roman"/>
              </w:rPr>
              <w:t>泉水，以大气降雨补给为主，流量约</w:t>
            </w:r>
            <w:r w:rsidRPr="00E67914">
              <w:rPr>
                <w:rFonts w:cs="Times New Roman"/>
              </w:rPr>
              <w:t>0.1L/s</w:t>
            </w:r>
            <w:r w:rsidRPr="00E67914">
              <w:rPr>
                <w:rFonts w:cs="Times New Roman"/>
              </w:rPr>
              <w:t>，约</w:t>
            </w:r>
            <w:r w:rsidR="0062520F" w:rsidRPr="00E67914">
              <w:rPr>
                <w:rFonts w:cs="Times New Roman"/>
              </w:rPr>
              <w:t>1</w:t>
            </w:r>
            <w:r w:rsidRPr="00E67914">
              <w:rPr>
                <w:rFonts w:cs="Times New Roman"/>
              </w:rPr>
              <w:t>户居民使用</w:t>
            </w:r>
          </w:p>
        </w:tc>
      </w:tr>
      <w:tr w:rsidR="00E67914" w:rsidRPr="00E67914" w14:paraId="7DE44F8D"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602D3E14" w14:textId="7B44F927" w:rsidR="00694B45" w:rsidRPr="00E67914" w:rsidRDefault="00694B45" w:rsidP="00694B45">
            <w:pPr>
              <w:pStyle w:val="04"/>
              <w:rPr>
                <w:rFonts w:cs="Times New Roman"/>
              </w:rPr>
            </w:pPr>
            <w:r w:rsidRPr="00E67914">
              <w:rPr>
                <w:rFonts w:cs="Times New Roman"/>
              </w:rPr>
              <w:t>Q9</w:t>
            </w:r>
          </w:p>
        </w:tc>
        <w:tc>
          <w:tcPr>
            <w:tcW w:w="4066" w:type="dxa"/>
            <w:tcBorders>
              <w:top w:val="single" w:sz="4" w:space="0" w:color="auto"/>
              <w:left w:val="single" w:sz="4" w:space="0" w:color="auto"/>
              <w:bottom w:val="single" w:sz="4" w:space="0" w:color="auto"/>
              <w:right w:val="single" w:sz="4" w:space="0" w:color="auto"/>
            </w:tcBorders>
            <w:vAlign w:val="center"/>
          </w:tcPr>
          <w:p w14:paraId="42B37821" w14:textId="18927DA2" w:rsidR="00694B45" w:rsidRPr="00E67914" w:rsidRDefault="00694B45" w:rsidP="00694B45">
            <w:pPr>
              <w:pStyle w:val="04"/>
              <w:rPr>
                <w:rFonts w:cs="Times New Roman"/>
                <w:kern w:val="2"/>
              </w:rPr>
            </w:pPr>
            <w:r w:rsidRPr="00E67914">
              <w:rPr>
                <w:rFonts w:cs="Times New Roman"/>
                <w:kern w:val="2"/>
              </w:rPr>
              <w:t>普陆页</w:t>
            </w:r>
            <w:r w:rsidRPr="00E67914">
              <w:rPr>
                <w:rFonts w:cs="Times New Roman"/>
                <w:kern w:val="2"/>
              </w:rPr>
              <w:t>2</w:t>
            </w:r>
            <w:r w:rsidRPr="00E67914">
              <w:rPr>
                <w:rFonts w:cs="Times New Roman"/>
                <w:kern w:val="2"/>
              </w:rPr>
              <w:t>试采站西北侧约</w:t>
            </w:r>
            <w:r w:rsidRPr="00E67914">
              <w:rPr>
                <w:rFonts w:cs="Times New Roman"/>
                <w:kern w:val="2"/>
              </w:rPr>
              <w:t>580m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7A147548" w14:textId="57530F46" w:rsidR="00694B45" w:rsidRPr="00E67914" w:rsidRDefault="00576522" w:rsidP="00694B45">
            <w:pPr>
              <w:pStyle w:val="04"/>
              <w:rPr>
                <w:rFonts w:cs="Times New Roman"/>
              </w:rPr>
            </w:pPr>
            <w:r w:rsidRPr="00E67914">
              <w:rPr>
                <w:rFonts w:cs="Times New Roman"/>
              </w:rPr>
              <w:t>泉水，以大气降雨补给为主，流量约</w:t>
            </w:r>
            <w:r w:rsidRPr="00E67914">
              <w:rPr>
                <w:rFonts w:cs="Times New Roman"/>
              </w:rPr>
              <w:t>0.1L/s</w:t>
            </w:r>
            <w:r w:rsidRPr="00E67914">
              <w:rPr>
                <w:rFonts w:cs="Times New Roman"/>
              </w:rPr>
              <w:t>，约</w:t>
            </w:r>
            <w:r w:rsidRPr="00E67914">
              <w:rPr>
                <w:rFonts w:cs="Times New Roman"/>
              </w:rPr>
              <w:t>3</w:t>
            </w:r>
            <w:r w:rsidRPr="00E67914">
              <w:rPr>
                <w:rFonts w:cs="Times New Roman"/>
              </w:rPr>
              <w:t>户居民使用</w:t>
            </w:r>
          </w:p>
        </w:tc>
      </w:tr>
      <w:tr w:rsidR="00E67914" w:rsidRPr="00E67914" w14:paraId="53264471" w14:textId="77777777" w:rsidTr="008B15B2">
        <w:trPr>
          <w:trHeight w:val="454"/>
          <w:jc w:val="center"/>
        </w:trPr>
        <w:tc>
          <w:tcPr>
            <w:tcW w:w="1980" w:type="dxa"/>
            <w:tcBorders>
              <w:top w:val="single" w:sz="4" w:space="0" w:color="auto"/>
              <w:left w:val="single" w:sz="4" w:space="0" w:color="auto"/>
              <w:bottom w:val="single" w:sz="4" w:space="0" w:color="auto"/>
              <w:right w:val="single" w:sz="4" w:space="0" w:color="auto"/>
            </w:tcBorders>
            <w:vAlign w:val="center"/>
          </w:tcPr>
          <w:p w14:paraId="3A57B1C2" w14:textId="369EA2AD" w:rsidR="00694B45" w:rsidRPr="00E67914" w:rsidRDefault="00694B45" w:rsidP="00694B45">
            <w:pPr>
              <w:pStyle w:val="04"/>
              <w:rPr>
                <w:rFonts w:cs="Times New Roman"/>
              </w:rPr>
            </w:pPr>
            <w:r w:rsidRPr="00E67914">
              <w:rPr>
                <w:rFonts w:cs="Times New Roman"/>
              </w:rPr>
              <w:t>Q10</w:t>
            </w:r>
          </w:p>
        </w:tc>
        <w:tc>
          <w:tcPr>
            <w:tcW w:w="4066" w:type="dxa"/>
            <w:tcBorders>
              <w:top w:val="single" w:sz="4" w:space="0" w:color="auto"/>
              <w:left w:val="single" w:sz="4" w:space="0" w:color="auto"/>
              <w:bottom w:val="single" w:sz="4" w:space="0" w:color="auto"/>
              <w:right w:val="single" w:sz="4" w:space="0" w:color="auto"/>
            </w:tcBorders>
            <w:vAlign w:val="center"/>
          </w:tcPr>
          <w:p w14:paraId="514B20AA" w14:textId="46EA6713" w:rsidR="00694B45" w:rsidRPr="00E67914" w:rsidRDefault="00694B45" w:rsidP="00694B45">
            <w:pPr>
              <w:pStyle w:val="04"/>
              <w:rPr>
                <w:rFonts w:cs="Times New Roman"/>
                <w:kern w:val="2"/>
              </w:rPr>
            </w:pPr>
            <w:r w:rsidRPr="00E67914">
              <w:rPr>
                <w:rFonts w:cs="Times New Roman"/>
                <w:kern w:val="2"/>
              </w:rPr>
              <w:t>普陆页</w:t>
            </w:r>
            <w:r w:rsidRPr="00E67914">
              <w:rPr>
                <w:rFonts w:cs="Times New Roman"/>
                <w:kern w:val="2"/>
              </w:rPr>
              <w:t>2</w:t>
            </w:r>
            <w:r w:rsidRPr="00E67914">
              <w:rPr>
                <w:rFonts w:cs="Times New Roman"/>
                <w:kern w:val="2"/>
              </w:rPr>
              <w:t>试采站东北侧约</w:t>
            </w:r>
            <w:r w:rsidRPr="00E67914">
              <w:rPr>
                <w:rFonts w:cs="Times New Roman"/>
                <w:kern w:val="2"/>
              </w:rPr>
              <w:t>500m</w:t>
            </w:r>
            <w:r w:rsidRPr="00E67914">
              <w:rPr>
                <w:rFonts w:cs="Times New Roman"/>
                <w:kern w:val="2"/>
              </w:rPr>
              <w:t>处</w:t>
            </w:r>
          </w:p>
        </w:tc>
        <w:tc>
          <w:tcPr>
            <w:tcW w:w="3014" w:type="dxa"/>
            <w:tcBorders>
              <w:top w:val="single" w:sz="4" w:space="0" w:color="auto"/>
              <w:left w:val="single" w:sz="4" w:space="0" w:color="auto"/>
              <w:bottom w:val="single" w:sz="4" w:space="0" w:color="auto"/>
              <w:right w:val="single" w:sz="4" w:space="0" w:color="auto"/>
            </w:tcBorders>
            <w:vAlign w:val="center"/>
          </w:tcPr>
          <w:p w14:paraId="4A30F4A5" w14:textId="7D0764EA" w:rsidR="00694B45" w:rsidRPr="00E67914" w:rsidRDefault="00576522" w:rsidP="00694B45">
            <w:pPr>
              <w:pStyle w:val="04"/>
              <w:rPr>
                <w:rFonts w:cs="Times New Roman"/>
              </w:rPr>
            </w:pPr>
            <w:r w:rsidRPr="00E67914">
              <w:rPr>
                <w:rFonts w:cs="Times New Roman"/>
              </w:rPr>
              <w:t>泉水，以大气降雨补给为主，流量约</w:t>
            </w:r>
            <w:r w:rsidRPr="00E67914">
              <w:rPr>
                <w:rFonts w:cs="Times New Roman"/>
              </w:rPr>
              <w:t>0.2L/s</w:t>
            </w:r>
            <w:r w:rsidRPr="00E67914">
              <w:rPr>
                <w:rFonts w:cs="Times New Roman"/>
              </w:rPr>
              <w:t>，约</w:t>
            </w:r>
            <w:r w:rsidRPr="00E67914">
              <w:rPr>
                <w:rFonts w:cs="Times New Roman"/>
              </w:rPr>
              <w:t>7</w:t>
            </w:r>
            <w:r w:rsidRPr="00E67914">
              <w:rPr>
                <w:rFonts w:cs="Times New Roman"/>
              </w:rPr>
              <w:t>户居民使用</w:t>
            </w:r>
          </w:p>
        </w:tc>
      </w:tr>
      <w:tr w:rsidR="00E67914" w:rsidRPr="00E67914" w14:paraId="073B5D56" w14:textId="77777777" w:rsidTr="003230F9">
        <w:trPr>
          <w:trHeight w:val="454"/>
          <w:jc w:val="center"/>
        </w:trPr>
        <w:tc>
          <w:tcPr>
            <w:tcW w:w="9060" w:type="dxa"/>
            <w:gridSpan w:val="3"/>
            <w:tcBorders>
              <w:top w:val="single" w:sz="4" w:space="0" w:color="auto"/>
              <w:left w:val="single" w:sz="4" w:space="0" w:color="auto"/>
              <w:bottom w:val="single" w:sz="4" w:space="0" w:color="auto"/>
              <w:right w:val="single" w:sz="4" w:space="0" w:color="auto"/>
            </w:tcBorders>
            <w:vAlign w:val="center"/>
          </w:tcPr>
          <w:p w14:paraId="4883E6D5" w14:textId="77777777" w:rsidR="00694B45" w:rsidRPr="00E67914" w:rsidRDefault="00694B45" w:rsidP="00694B45">
            <w:pPr>
              <w:pStyle w:val="04"/>
              <w:jc w:val="left"/>
              <w:rPr>
                <w:rFonts w:cs="Times New Roman"/>
              </w:rPr>
            </w:pPr>
            <w:r w:rsidRPr="00E67914">
              <w:rPr>
                <w:rFonts w:cs="Times New Roman"/>
              </w:rPr>
              <w:t>地下水评价范围内具备饮用功能的浅层含水层</w:t>
            </w:r>
          </w:p>
        </w:tc>
      </w:tr>
    </w:tbl>
    <w:p w14:paraId="0B786B8F" w14:textId="60D45082" w:rsidR="008B15B2" w:rsidRPr="00E67914" w:rsidRDefault="008B15B2" w:rsidP="008B15B2">
      <w:pPr>
        <w:adjustRightInd w:val="0"/>
        <w:snapToGrid w:val="0"/>
        <w:spacing w:line="360" w:lineRule="auto"/>
        <w:ind w:firstLineChars="200" w:firstLine="480"/>
        <w:jc w:val="both"/>
        <w:outlineLvl w:val="3"/>
        <w:rPr>
          <w:rFonts w:ascii="Times New Roman" w:eastAsia="黑体" w:hAnsi="Times New Roman"/>
          <w:sz w:val="24"/>
          <w:szCs w:val="24"/>
          <w:lang w:eastAsia="zh-CN"/>
        </w:rPr>
      </w:pPr>
      <w:bookmarkStart w:id="49" w:name="_Toc140496889"/>
      <w:r w:rsidRPr="00E67914">
        <w:rPr>
          <w:rFonts w:ascii="Times New Roman" w:eastAsia="黑体" w:hAnsi="Times New Roman"/>
          <w:sz w:val="24"/>
          <w:szCs w:val="24"/>
          <w:lang w:eastAsia="zh-CN"/>
        </w:rPr>
        <w:t xml:space="preserve">2.9.2.4 </w:t>
      </w:r>
      <w:r w:rsidRPr="00E67914">
        <w:rPr>
          <w:rFonts w:ascii="Times New Roman" w:eastAsia="黑体" w:hAnsi="Times New Roman"/>
          <w:sz w:val="24"/>
          <w:szCs w:val="24"/>
          <w:lang w:eastAsia="zh-CN"/>
        </w:rPr>
        <w:t>环境空气保护目标</w:t>
      </w:r>
      <w:bookmarkEnd w:id="49"/>
    </w:p>
    <w:p w14:paraId="25C31316" w14:textId="3AA85C49" w:rsidR="008B15B2" w:rsidRPr="00E67914" w:rsidRDefault="00576522" w:rsidP="0082045B">
      <w:pPr>
        <w:adjustRightInd w:val="0"/>
        <w:snapToGrid w:val="0"/>
        <w:spacing w:line="360" w:lineRule="auto"/>
        <w:ind w:firstLineChars="200" w:firstLine="480"/>
        <w:jc w:val="both"/>
        <w:rPr>
          <w:rFonts w:ascii="Times New Roman" w:hAnsi="Times New Roman"/>
          <w:bCs/>
          <w:kern w:val="2"/>
          <w:sz w:val="24"/>
          <w:szCs w:val="24"/>
          <w:lang w:eastAsia="zh-CN"/>
        </w:rPr>
        <w:sectPr w:rsidR="008B15B2" w:rsidRPr="00E67914" w:rsidSect="00420EC8">
          <w:pgSz w:w="11906" w:h="16838"/>
          <w:pgMar w:top="1418" w:right="1418" w:bottom="1418" w:left="1418" w:header="851" w:footer="992" w:gutter="0"/>
          <w:cols w:space="425"/>
          <w:docGrid w:type="lines" w:linePitch="326"/>
        </w:sectPr>
      </w:pPr>
      <w:r w:rsidRPr="00E67914">
        <w:rPr>
          <w:rFonts w:ascii="Times New Roman" w:hAnsi="Times New Roman"/>
          <w:bCs/>
          <w:kern w:val="2"/>
          <w:sz w:val="24"/>
          <w:szCs w:val="24"/>
          <w:lang w:eastAsia="zh-CN"/>
        </w:rPr>
        <w:t>拟建</w:t>
      </w:r>
      <w:r w:rsidR="008B15B2" w:rsidRPr="00E67914">
        <w:rPr>
          <w:rFonts w:ascii="Times New Roman" w:hAnsi="Times New Roman"/>
          <w:bCs/>
          <w:kern w:val="2"/>
          <w:sz w:val="24"/>
          <w:szCs w:val="24"/>
          <w:lang w:eastAsia="zh-CN"/>
        </w:rPr>
        <w:t>井口</w:t>
      </w:r>
      <w:r w:rsidR="008B15B2" w:rsidRPr="00E67914">
        <w:rPr>
          <w:rFonts w:ascii="Times New Roman" w:hAnsi="Times New Roman"/>
          <w:bCs/>
          <w:kern w:val="2"/>
          <w:sz w:val="24"/>
          <w:szCs w:val="24"/>
          <w:lang w:eastAsia="zh-CN"/>
        </w:rPr>
        <w:t>100m</w:t>
      </w:r>
      <w:r w:rsidR="008B15B2" w:rsidRPr="00E67914">
        <w:rPr>
          <w:rFonts w:ascii="Times New Roman" w:hAnsi="Times New Roman"/>
          <w:bCs/>
          <w:kern w:val="2"/>
          <w:sz w:val="24"/>
          <w:szCs w:val="24"/>
          <w:lang w:eastAsia="zh-CN"/>
        </w:rPr>
        <w:t>范围内无居民分布。本项目井场距铁路及高速公路直线距离均远大于</w:t>
      </w:r>
      <w:r w:rsidR="008B15B2" w:rsidRPr="00E67914">
        <w:rPr>
          <w:rFonts w:ascii="Times New Roman" w:hAnsi="Times New Roman"/>
          <w:bCs/>
          <w:kern w:val="2"/>
          <w:sz w:val="24"/>
          <w:szCs w:val="24"/>
          <w:lang w:eastAsia="zh-CN"/>
        </w:rPr>
        <w:t>200m</w:t>
      </w:r>
      <w:r w:rsidR="008B15B2" w:rsidRPr="00E67914">
        <w:rPr>
          <w:rFonts w:ascii="Times New Roman" w:hAnsi="Times New Roman"/>
          <w:bCs/>
          <w:kern w:val="2"/>
          <w:sz w:val="24"/>
          <w:szCs w:val="24"/>
          <w:lang w:eastAsia="zh-CN"/>
        </w:rPr>
        <w:t>，距公共设施及城镇中心均大于</w:t>
      </w:r>
      <w:r w:rsidR="008B15B2" w:rsidRPr="00E67914">
        <w:rPr>
          <w:rFonts w:ascii="Times New Roman" w:hAnsi="Times New Roman"/>
          <w:bCs/>
          <w:kern w:val="2"/>
          <w:sz w:val="24"/>
          <w:szCs w:val="24"/>
          <w:lang w:eastAsia="zh-CN"/>
        </w:rPr>
        <w:t>500m</w:t>
      </w:r>
      <w:r w:rsidR="008B15B2" w:rsidRPr="00E67914">
        <w:rPr>
          <w:rFonts w:ascii="Times New Roman" w:hAnsi="Times New Roman"/>
          <w:bCs/>
          <w:kern w:val="2"/>
          <w:sz w:val="24"/>
          <w:szCs w:val="24"/>
          <w:lang w:eastAsia="zh-CN"/>
        </w:rPr>
        <w:t>；井场及放喷池、清污水池</w:t>
      </w:r>
      <w:r w:rsidR="0062520F" w:rsidRPr="00E67914">
        <w:rPr>
          <w:rFonts w:ascii="Times New Roman" w:hAnsi="Times New Roman"/>
          <w:bCs/>
          <w:kern w:val="2"/>
          <w:sz w:val="24"/>
          <w:szCs w:val="24"/>
          <w:lang w:eastAsia="zh-CN"/>
        </w:rPr>
        <w:t>、外输管线</w:t>
      </w:r>
      <w:r w:rsidR="00EE4E86" w:rsidRPr="00E67914">
        <w:rPr>
          <w:rFonts w:ascii="Times New Roman" w:hAnsi="Times New Roman"/>
          <w:bCs/>
          <w:kern w:val="2"/>
          <w:sz w:val="24"/>
          <w:szCs w:val="24"/>
          <w:lang w:eastAsia="zh-CN"/>
        </w:rPr>
        <w:t>等</w:t>
      </w:r>
      <w:r w:rsidR="008B15B2" w:rsidRPr="00E67914">
        <w:rPr>
          <w:rFonts w:ascii="Times New Roman" w:hAnsi="Times New Roman"/>
          <w:bCs/>
          <w:kern w:val="2"/>
          <w:sz w:val="24"/>
          <w:szCs w:val="24"/>
          <w:lang w:eastAsia="zh-CN"/>
        </w:rPr>
        <w:t>500m</w:t>
      </w:r>
      <w:r w:rsidR="008B15B2" w:rsidRPr="00E67914">
        <w:rPr>
          <w:rFonts w:ascii="Times New Roman" w:hAnsi="Times New Roman"/>
          <w:bCs/>
          <w:kern w:val="2"/>
          <w:sz w:val="24"/>
          <w:szCs w:val="24"/>
          <w:lang w:eastAsia="zh-CN"/>
        </w:rPr>
        <w:t>范围内的敏感点主要为散状分布的居民点，无医院、学校、城镇等特别敏感区域</w:t>
      </w:r>
      <w:r w:rsidR="005066DD" w:rsidRPr="00E67914">
        <w:rPr>
          <w:rFonts w:ascii="Times New Roman" w:hAnsi="Times New Roman"/>
          <w:bCs/>
          <w:kern w:val="2"/>
          <w:sz w:val="24"/>
          <w:szCs w:val="24"/>
          <w:lang w:eastAsia="zh-CN"/>
        </w:rPr>
        <w:t>，本项目重点调查周边</w:t>
      </w:r>
      <w:r w:rsidR="005066DD" w:rsidRPr="00E67914">
        <w:rPr>
          <w:rFonts w:ascii="Times New Roman" w:hAnsi="Times New Roman"/>
          <w:bCs/>
          <w:kern w:val="2"/>
          <w:sz w:val="24"/>
          <w:szCs w:val="24"/>
          <w:lang w:eastAsia="zh-CN"/>
        </w:rPr>
        <w:t>500m</w:t>
      </w:r>
      <w:r w:rsidR="005066DD" w:rsidRPr="00E67914">
        <w:rPr>
          <w:rFonts w:ascii="Times New Roman" w:hAnsi="Times New Roman"/>
          <w:bCs/>
          <w:kern w:val="2"/>
          <w:sz w:val="24"/>
          <w:szCs w:val="24"/>
          <w:lang w:eastAsia="zh-CN"/>
        </w:rPr>
        <w:t>范围内的居民等敏感目标</w:t>
      </w:r>
      <w:r w:rsidR="008B15B2" w:rsidRPr="00E67914">
        <w:rPr>
          <w:rFonts w:ascii="Times New Roman" w:hAnsi="Times New Roman"/>
          <w:bCs/>
          <w:kern w:val="2"/>
          <w:sz w:val="24"/>
          <w:szCs w:val="24"/>
          <w:lang w:eastAsia="zh-CN"/>
        </w:rPr>
        <w:t>。环境空气保护目标见表</w:t>
      </w:r>
      <w:r w:rsidR="008B15B2" w:rsidRPr="00E67914">
        <w:rPr>
          <w:rFonts w:ascii="Times New Roman" w:hAnsi="Times New Roman"/>
          <w:bCs/>
          <w:kern w:val="2"/>
          <w:sz w:val="24"/>
          <w:szCs w:val="24"/>
          <w:lang w:eastAsia="zh-CN"/>
        </w:rPr>
        <w:t>1.8-3</w:t>
      </w:r>
      <w:r w:rsidR="008B15B2" w:rsidRPr="00E67914">
        <w:rPr>
          <w:rFonts w:ascii="Times New Roman" w:hAnsi="Times New Roman"/>
          <w:bCs/>
          <w:kern w:val="2"/>
          <w:sz w:val="24"/>
          <w:szCs w:val="24"/>
          <w:lang w:eastAsia="zh-CN"/>
        </w:rPr>
        <w:t>。</w:t>
      </w:r>
    </w:p>
    <w:p w14:paraId="47BFE711" w14:textId="5071DF77" w:rsidR="008B15B2" w:rsidRPr="00E67914" w:rsidRDefault="008B15B2" w:rsidP="006115D6">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lastRenderedPageBreak/>
        <w:t>表</w:t>
      </w:r>
      <w:r w:rsidRPr="00E67914">
        <w:rPr>
          <w:rFonts w:ascii="Times New Roman" w:eastAsia="黑体" w:hAnsi="Times New Roman"/>
          <w:sz w:val="21"/>
          <w:szCs w:val="21"/>
          <w:lang w:eastAsia="zh-CN"/>
        </w:rPr>
        <w:t xml:space="preserve">1.8-3  </w:t>
      </w:r>
      <w:r w:rsidRPr="00E67914">
        <w:rPr>
          <w:rFonts w:ascii="Times New Roman" w:eastAsia="黑体" w:hAnsi="Times New Roman"/>
          <w:sz w:val="21"/>
          <w:szCs w:val="21"/>
          <w:lang w:eastAsia="zh-CN"/>
        </w:rPr>
        <w:t>平台（</w:t>
      </w:r>
      <w:r w:rsidR="00EE4E86" w:rsidRPr="00E67914">
        <w:rPr>
          <w:rFonts w:ascii="Times New Roman" w:eastAsia="黑体" w:hAnsi="Times New Roman"/>
          <w:sz w:val="21"/>
          <w:szCs w:val="21"/>
          <w:lang w:eastAsia="zh-CN"/>
        </w:rPr>
        <w:t>试采</w:t>
      </w:r>
      <w:r w:rsidRPr="00E67914">
        <w:rPr>
          <w:rFonts w:ascii="Times New Roman" w:eastAsia="黑体" w:hAnsi="Times New Roman"/>
          <w:sz w:val="21"/>
          <w:szCs w:val="21"/>
          <w:lang w:eastAsia="zh-CN"/>
        </w:rPr>
        <w:t>站）环境空气保护目标一览表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5"/>
        <w:gridCol w:w="1415"/>
        <w:gridCol w:w="1419"/>
        <w:gridCol w:w="568"/>
        <w:gridCol w:w="1701"/>
        <w:gridCol w:w="708"/>
        <w:gridCol w:w="851"/>
        <w:gridCol w:w="1559"/>
        <w:gridCol w:w="1715"/>
        <w:gridCol w:w="1321"/>
        <w:gridCol w:w="1164"/>
        <w:gridCol w:w="16"/>
      </w:tblGrid>
      <w:tr w:rsidR="00E67914" w:rsidRPr="00E67914" w14:paraId="5FACFDA8" w14:textId="77777777" w:rsidTr="004B4646">
        <w:trPr>
          <w:gridAfter w:val="1"/>
          <w:wAfter w:w="6" w:type="pct"/>
          <w:trHeight w:val="454"/>
          <w:jc w:val="center"/>
        </w:trPr>
        <w:tc>
          <w:tcPr>
            <w:tcW w:w="556" w:type="pct"/>
            <w:vMerge w:val="restart"/>
            <w:tcBorders>
              <w:top w:val="single" w:sz="4" w:space="0" w:color="auto"/>
              <w:left w:val="single" w:sz="4" w:space="0" w:color="auto"/>
              <w:bottom w:val="single" w:sz="4" w:space="0" w:color="auto"/>
              <w:right w:val="single" w:sz="4" w:space="0" w:color="auto"/>
            </w:tcBorders>
            <w:vAlign w:val="center"/>
            <w:hideMark/>
          </w:tcPr>
          <w:p w14:paraId="28105A3C" w14:textId="77777777" w:rsidR="004B4646" w:rsidRPr="00E67914" w:rsidRDefault="004B4646" w:rsidP="0062520F">
            <w:pPr>
              <w:pStyle w:val="06"/>
              <w:rPr>
                <w:rFonts w:cs="Times New Roman"/>
                <w:b w:val="0"/>
                <w:bCs/>
              </w:rPr>
            </w:pPr>
            <w:r w:rsidRPr="00E67914">
              <w:rPr>
                <w:rFonts w:cs="Times New Roman"/>
                <w:b w:val="0"/>
                <w:bCs/>
              </w:rPr>
              <w:t>名称</w:t>
            </w:r>
          </w:p>
        </w:tc>
        <w:tc>
          <w:tcPr>
            <w:tcW w:w="1013" w:type="pct"/>
            <w:gridSpan w:val="2"/>
            <w:tcBorders>
              <w:top w:val="single" w:sz="4" w:space="0" w:color="auto"/>
              <w:left w:val="single" w:sz="4" w:space="0" w:color="auto"/>
              <w:bottom w:val="single" w:sz="4" w:space="0" w:color="auto"/>
              <w:right w:val="single" w:sz="4" w:space="0" w:color="auto"/>
            </w:tcBorders>
            <w:vAlign w:val="center"/>
            <w:hideMark/>
          </w:tcPr>
          <w:p w14:paraId="16626839" w14:textId="77777777" w:rsidR="004B4646" w:rsidRPr="00E67914" w:rsidRDefault="004B4646" w:rsidP="0062520F">
            <w:pPr>
              <w:pStyle w:val="06"/>
              <w:rPr>
                <w:rFonts w:cs="Times New Roman"/>
                <w:b w:val="0"/>
                <w:bCs/>
              </w:rPr>
            </w:pPr>
            <w:r w:rsidRPr="00E67914">
              <w:rPr>
                <w:rFonts w:cs="Times New Roman"/>
                <w:b w:val="0"/>
                <w:bCs/>
              </w:rPr>
              <w:t>经纬度</w:t>
            </w:r>
          </w:p>
        </w:tc>
        <w:tc>
          <w:tcPr>
            <w:tcW w:w="203" w:type="pct"/>
            <w:vMerge w:val="restart"/>
            <w:tcBorders>
              <w:top w:val="single" w:sz="4" w:space="0" w:color="auto"/>
              <w:left w:val="single" w:sz="4" w:space="0" w:color="auto"/>
              <w:bottom w:val="single" w:sz="4" w:space="0" w:color="auto"/>
              <w:right w:val="single" w:sz="4" w:space="0" w:color="auto"/>
            </w:tcBorders>
            <w:vAlign w:val="center"/>
            <w:hideMark/>
          </w:tcPr>
          <w:p w14:paraId="5844FD91" w14:textId="77777777" w:rsidR="004B4646" w:rsidRPr="00E67914" w:rsidRDefault="004B4646" w:rsidP="0062520F">
            <w:pPr>
              <w:pStyle w:val="06"/>
              <w:rPr>
                <w:rFonts w:cs="Times New Roman"/>
                <w:b w:val="0"/>
                <w:bCs/>
              </w:rPr>
            </w:pPr>
            <w:r w:rsidRPr="00E67914">
              <w:rPr>
                <w:rFonts w:cs="Times New Roman"/>
                <w:b w:val="0"/>
                <w:bCs/>
              </w:rPr>
              <w:t>保护</w:t>
            </w:r>
          </w:p>
          <w:p w14:paraId="69C0799E" w14:textId="77777777" w:rsidR="004B4646" w:rsidRPr="00E67914" w:rsidRDefault="004B4646" w:rsidP="0062520F">
            <w:pPr>
              <w:pStyle w:val="06"/>
              <w:rPr>
                <w:rFonts w:cs="Times New Roman"/>
                <w:b w:val="0"/>
                <w:bCs/>
              </w:rPr>
            </w:pPr>
            <w:r w:rsidRPr="00E67914">
              <w:rPr>
                <w:rFonts w:cs="Times New Roman"/>
                <w:b w:val="0"/>
                <w:bCs/>
              </w:rPr>
              <w:t>对象</w:t>
            </w:r>
          </w:p>
        </w:tc>
        <w:tc>
          <w:tcPr>
            <w:tcW w:w="608" w:type="pct"/>
            <w:vMerge w:val="restart"/>
            <w:tcBorders>
              <w:top w:val="single" w:sz="4" w:space="0" w:color="auto"/>
              <w:left w:val="single" w:sz="4" w:space="0" w:color="auto"/>
              <w:bottom w:val="single" w:sz="4" w:space="0" w:color="auto"/>
              <w:right w:val="single" w:sz="4" w:space="0" w:color="auto"/>
            </w:tcBorders>
            <w:vAlign w:val="center"/>
            <w:hideMark/>
          </w:tcPr>
          <w:p w14:paraId="1806895A" w14:textId="77777777" w:rsidR="004B4646" w:rsidRPr="00E67914" w:rsidRDefault="004B4646" w:rsidP="0062520F">
            <w:pPr>
              <w:pStyle w:val="06"/>
              <w:rPr>
                <w:rFonts w:cs="Times New Roman"/>
                <w:b w:val="0"/>
                <w:bCs/>
              </w:rPr>
            </w:pPr>
            <w:r w:rsidRPr="00E67914">
              <w:rPr>
                <w:rFonts w:cs="Times New Roman"/>
                <w:b w:val="0"/>
                <w:bCs/>
              </w:rPr>
              <w:t>保护内容</w:t>
            </w:r>
          </w:p>
        </w:tc>
        <w:tc>
          <w:tcPr>
            <w:tcW w:w="253" w:type="pct"/>
            <w:vMerge w:val="restart"/>
            <w:tcBorders>
              <w:top w:val="single" w:sz="4" w:space="0" w:color="auto"/>
              <w:left w:val="single" w:sz="4" w:space="0" w:color="auto"/>
              <w:right w:val="single" w:sz="4" w:space="0" w:color="auto"/>
            </w:tcBorders>
            <w:vAlign w:val="center"/>
          </w:tcPr>
          <w:p w14:paraId="4DD00B33" w14:textId="77777777" w:rsidR="004B4646" w:rsidRPr="00E67914" w:rsidRDefault="004B4646" w:rsidP="0062520F">
            <w:pPr>
              <w:pStyle w:val="06"/>
              <w:rPr>
                <w:rFonts w:cs="Times New Roman"/>
                <w:b w:val="0"/>
                <w:bCs/>
              </w:rPr>
            </w:pPr>
            <w:r w:rsidRPr="00E67914">
              <w:rPr>
                <w:rFonts w:cs="Times New Roman"/>
                <w:b w:val="0"/>
                <w:bCs/>
              </w:rPr>
              <w:t>环境功能区</w:t>
            </w:r>
          </w:p>
        </w:tc>
        <w:tc>
          <w:tcPr>
            <w:tcW w:w="1474" w:type="pct"/>
            <w:gridSpan w:val="3"/>
            <w:tcBorders>
              <w:top w:val="single" w:sz="4" w:space="0" w:color="auto"/>
              <w:left w:val="single" w:sz="4" w:space="0" w:color="auto"/>
              <w:bottom w:val="single" w:sz="4" w:space="0" w:color="auto"/>
              <w:right w:val="single" w:sz="4" w:space="0" w:color="auto"/>
            </w:tcBorders>
            <w:vAlign w:val="center"/>
            <w:hideMark/>
          </w:tcPr>
          <w:p w14:paraId="3FAF8113" w14:textId="072C2A6A" w:rsidR="004B4646" w:rsidRPr="00E67914" w:rsidRDefault="004B4646" w:rsidP="0062520F">
            <w:pPr>
              <w:pStyle w:val="06"/>
              <w:rPr>
                <w:rFonts w:cs="Times New Roman"/>
                <w:b w:val="0"/>
                <w:bCs/>
              </w:rPr>
            </w:pPr>
            <w:r w:rsidRPr="00E67914">
              <w:rPr>
                <w:rFonts w:cs="Times New Roman"/>
                <w:b w:val="0"/>
                <w:bCs/>
              </w:rPr>
              <w:t>相对新普陆页</w:t>
            </w:r>
            <w:r w:rsidRPr="00E67914">
              <w:rPr>
                <w:rFonts w:cs="Times New Roman"/>
                <w:b w:val="0"/>
                <w:bCs/>
              </w:rPr>
              <w:t>2</w:t>
            </w:r>
            <w:r w:rsidRPr="00E67914">
              <w:rPr>
                <w:rFonts w:cs="Times New Roman"/>
                <w:b w:val="0"/>
                <w:bCs/>
              </w:rPr>
              <w:t>井场</w:t>
            </w:r>
          </w:p>
        </w:tc>
        <w:tc>
          <w:tcPr>
            <w:tcW w:w="472" w:type="pct"/>
            <w:vMerge w:val="restart"/>
            <w:tcBorders>
              <w:top w:val="single" w:sz="4" w:space="0" w:color="auto"/>
              <w:left w:val="single" w:sz="4" w:space="0" w:color="auto"/>
              <w:right w:val="single" w:sz="4" w:space="0" w:color="auto"/>
            </w:tcBorders>
            <w:vAlign w:val="center"/>
          </w:tcPr>
          <w:p w14:paraId="4AF7821B" w14:textId="0F4BB246" w:rsidR="004B4646" w:rsidRPr="00E67914" w:rsidRDefault="004B4646" w:rsidP="0062520F">
            <w:pPr>
              <w:pStyle w:val="06"/>
              <w:rPr>
                <w:rFonts w:cs="Times New Roman"/>
                <w:b w:val="0"/>
                <w:bCs/>
              </w:rPr>
            </w:pPr>
            <w:r w:rsidRPr="00E67914">
              <w:rPr>
                <w:rFonts w:cs="Times New Roman"/>
                <w:b w:val="0"/>
                <w:bCs/>
              </w:rPr>
              <w:t>相对试采站场界距离</w:t>
            </w:r>
            <w:r w:rsidRPr="00E67914">
              <w:rPr>
                <w:rFonts w:cs="Times New Roman"/>
                <w:b w:val="0"/>
                <w:bCs/>
              </w:rPr>
              <w:t>/m</w:t>
            </w:r>
          </w:p>
        </w:tc>
        <w:tc>
          <w:tcPr>
            <w:tcW w:w="416" w:type="pct"/>
            <w:vMerge w:val="restart"/>
            <w:tcBorders>
              <w:top w:val="single" w:sz="4" w:space="0" w:color="auto"/>
              <w:left w:val="single" w:sz="4" w:space="0" w:color="auto"/>
              <w:right w:val="single" w:sz="4" w:space="0" w:color="auto"/>
            </w:tcBorders>
            <w:vAlign w:val="center"/>
          </w:tcPr>
          <w:p w14:paraId="3EA87568" w14:textId="77777777" w:rsidR="004B4646" w:rsidRPr="00E67914" w:rsidRDefault="004B4646" w:rsidP="0062520F">
            <w:pPr>
              <w:pStyle w:val="06"/>
              <w:rPr>
                <w:rFonts w:cs="Times New Roman"/>
                <w:b w:val="0"/>
                <w:bCs/>
              </w:rPr>
            </w:pPr>
            <w:r w:rsidRPr="00E67914">
              <w:rPr>
                <w:rFonts w:cs="Times New Roman"/>
                <w:b w:val="0"/>
                <w:bCs/>
              </w:rPr>
              <w:t>影响时段</w:t>
            </w:r>
          </w:p>
        </w:tc>
      </w:tr>
      <w:tr w:rsidR="00E67914" w:rsidRPr="00E67914" w14:paraId="22E7964D" w14:textId="77777777" w:rsidTr="004B4646">
        <w:trPr>
          <w:gridAfter w:val="1"/>
          <w:wAfter w:w="6" w:type="pct"/>
          <w:trHeight w:val="454"/>
          <w:jc w:val="center"/>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0A8BFEEF" w14:textId="77777777" w:rsidR="0062520F" w:rsidRPr="00E67914" w:rsidRDefault="0062520F" w:rsidP="0062520F">
            <w:pPr>
              <w:jc w:val="center"/>
              <w:rPr>
                <w:rFonts w:ascii="Times New Roman" w:hAnsi="Times New Roman"/>
                <w:kern w:val="2"/>
                <w:sz w:val="21"/>
                <w:szCs w:val="21"/>
              </w:rPr>
            </w:pPr>
          </w:p>
        </w:tc>
        <w:tc>
          <w:tcPr>
            <w:tcW w:w="506" w:type="pct"/>
            <w:tcBorders>
              <w:top w:val="single" w:sz="4" w:space="0" w:color="auto"/>
              <w:left w:val="single" w:sz="4" w:space="0" w:color="auto"/>
              <w:bottom w:val="single" w:sz="4" w:space="0" w:color="auto"/>
              <w:right w:val="single" w:sz="4" w:space="0" w:color="auto"/>
            </w:tcBorders>
            <w:vAlign w:val="center"/>
            <w:hideMark/>
          </w:tcPr>
          <w:p w14:paraId="37BFD5B1" w14:textId="77777777" w:rsidR="0062520F" w:rsidRPr="00E67914" w:rsidRDefault="0062520F" w:rsidP="0062520F">
            <w:pPr>
              <w:pStyle w:val="06"/>
              <w:rPr>
                <w:rFonts w:cs="Times New Roman"/>
                <w:b w:val="0"/>
                <w:bCs/>
              </w:rPr>
            </w:pPr>
            <w:r w:rsidRPr="00E67914">
              <w:rPr>
                <w:rFonts w:cs="Times New Roman"/>
                <w:b w:val="0"/>
                <w:bCs/>
              </w:rPr>
              <w:t>经度</w:t>
            </w:r>
          </w:p>
        </w:tc>
        <w:tc>
          <w:tcPr>
            <w:tcW w:w="507" w:type="pct"/>
            <w:tcBorders>
              <w:top w:val="single" w:sz="4" w:space="0" w:color="auto"/>
              <w:left w:val="single" w:sz="4" w:space="0" w:color="auto"/>
              <w:bottom w:val="single" w:sz="4" w:space="0" w:color="auto"/>
              <w:right w:val="single" w:sz="4" w:space="0" w:color="auto"/>
            </w:tcBorders>
            <w:vAlign w:val="center"/>
            <w:hideMark/>
          </w:tcPr>
          <w:p w14:paraId="5575A9FC" w14:textId="77777777" w:rsidR="0062520F" w:rsidRPr="00E67914" w:rsidRDefault="0062520F" w:rsidP="0062520F">
            <w:pPr>
              <w:pStyle w:val="06"/>
              <w:rPr>
                <w:rFonts w:cs="Times New Roman"/>
                <w:b w:val="0"/>
                <w:bCs/>
              </w:rPr>
            </w:pPr>
            <w:r w:rsidRPr="00E67914">
              <w:rPr>
                <w:rFonts w:cs="Times New Roman"/>
                <w:b w:val="0"/>
                <w:bCs/>
              </w:rPr>
              <w:t>纬度</w:t>
            </w:r>
          </w:p>
        </w:tc>
        <w:tc>
          <w:tcPr>
            <w:tcW w:w="203" w:type="pct"/>
            <w:vMerge/>
            <w:tcBorders>
              <w:top w:val="single" w:sz="4" w:space="0" w:color="auto"/>
              <w:left w:val="single" w:sz="4" w:space="0" w:color="auto"/>
              <w:bottom w:val="single" w:sz="4" w:space="0" w:color="auto"/>
              <w:right w:val="single" w:sz="4" w:space="0" w:color="auto"/>
            </w:tcBorders>
            <w:vAlign w:val="center"/>
            <w:hideMark/>
          </w:tcPr>
          <w:p w14:paraId="1E071BB7" w14:textId="77777777" w:rsidR="0062520F" w:rsidRPr="00E67914" w:rsidRDefault="0062520F" w:rsidP="0062520F">
            <w:pPr>
              <w:jc w:val="center"/>
              <w:rPr>
                <w:rFonts w:ascii="Times New Roman" w:hAnsi="Times New Roman"/>
                <w:kern w:val="2"/>
                <w:sz w:val="21"/>
                <w:szCs w:val="21"/>
              </w:rPr>
            </w:pPr>
          </w:p>
        </w:tc>
        <w:tc>
          <w:tcPr>
            <w:tcW w:w="608" w:type="pct"/>
            <w:vMerge/>
            <w:tcBorders>
              <w:top w:val="single" w:sz="4" w:space="0" w:color="auto"/>
              <w:left w:val="single" w:sz="4" w:space="0" w:color="auto"/>
              <w:bottom w:val="single" w:sz="4" w:space="0" w:color="auto"/>
              <w:right w:val="single" w:sz="4" w:space="0" w:color="auto"/>
            </w:tcBorders>
            <w:vAlign w:val="center"/>
            <w:hideMark/>
          </w:tcPr>
          <w:p w14:paraId="11BEF5ED" w14:textId="77777777" w:rsidR="0062520F" w:rsidRPr="00E67914" w:rsidRDefault="0062520F" w:rsidP="0062520F">
            <w:pPr>
              <w:jc w:val="center"/>
              <w:rPr>
                <w:rFonts w:ascii="Times New Roman" w:hAnsi="Times New Roman"/>
                <w:kern w:val="2"/>
                <w:sz w:val="21"/>
                <w:szCs w:val="21"/>
              </w:rPr>
            </w:pPr>
          </w:p>
        </w:tc>
        <w:tc>
          <w:tcPr>
            <w:tcW w:w="253" w:type="pct"/>
            <w:vMerge/>
            <w:tcBorders>
              <w:left w:val="single" w:sz="4" w:space="0" w:color="auto"/>
              <w:bottom w:val="single" w:sz="4" w:space="0" w:color="auto"/>
              <w:right w:val="single" w:sz="4" w:space="0" w:color="auto"/>
            </w:tcBorders>
            <w:vAlign w:val="center"/>
          </w:tcPr>
          <w:p w14:paraId="65ED52A5" w14:textId="77777777" w:rsidR="0062520F" w:rsidRPr="00E67914" w:rsidRDefault="0062520F" w:rsidP="0062520F">
            <w:pPr>
              <w:jc w:val="center"/>
              <w:rPr>
                <w:rFonts w:ascii="Times New Roman" w:hAnsi="Times New Roman"/>
                <w:kern w:val="2"/>
                <w:sz w:val="21"/>
                <w:szCs w:val="21"/>
              </w:rPr>
            </w:pPr>
          </w:p>
        </w:tc>
        <w:tc>
          <w:tcPr>
            <w:tcW w:w="304" w:type="pct"/>
            <w:tcBorders>
              <w:top w:val="single" w:sz="4" w:space="0" w:color="auto"/>
              <w:left w:val="single" w:sz="4" w:space="0" w:color="auto"/>
              <w:bottom w:val="single" w:sz="4" w:space="0" w:color="auto"/>
              <w:right w:val="single" w:sz="4" w:space="0" w:color="auto"/>
            </w:tcBorders>
            <w:vAlign w:val="center"/>
            <w:hideMark/>
          </w:tcPr>
          <w:p w14:paraId="5C888411" w14:textId="4463D19D" w:rsidR="0062520F" w:rsidRPr="00E67914" w:rsidRDefault="004B4646" w:rsidP="004B4646">
            <w:pPr>
              <w:pStyle w:val="06"/>
              <w:rPr>
                <w:rFonts w:cs="Times New Roman"/>
                <w:b w:val="0"/>
                <w:bCs/>
              </w:rPr>
            </w:pPr>
            <w:r w:rsidRPr="00E67914">
              <w:rPr>
                <w:rFonts w:cs="Times New Roman"/>
                <w:b w:val="0"/>
                <w:bCs/>
              </w:rPr>
              <w:t>方位</w:t>
            </w:r>
          </w:p>
        </w:tc>
        <w:tc>
          <w:tcPr>
            <w:tcW w:w="557" w:type="pct"/>
            <w:tcBorders>
              <w:left w:val="single" w:sz="4" w:space="0" w:color="auto"/>
              <w:bottom w:val="single" w:sz="4" w:space="0" w:color="auto"/>
              <w:right w:val="single" w:sz="4" w:space="0" w:color="auto"/>
            </w:tcBorders>
            <w:vAlign w:val="center"/>
          </w:tcPr>
          <w:p w14:paraId="7C3F713D" w14:textId="3FBBC241" w:rsidR="0062520F" w:rsidRPr="00E67914" w:rsidRDefault="004B4646" w:rsidP="004B4646">
            <w:pPr>
              <w:pStyle w:val="06"/>
              <w:rPr>
                <w:rFonts w:cs="Times New Roman"/>
                <w:b w:val="0"/>
                <w:bCs/>
              </w:rPr>
            </w:pPr>
            <w:r w:rsidRPr="00E67914">
              <w:rPr>
                <w:rFonts w:cs="Times New Roman"/>
                <w:b w:val="0"/>
                <w:bCs/>
              </w:rPr>
              <w:t>井口距离</w:t>
            </w:r>
            <w:r w:rsidRPr="00E67914">
              <w:rPr>
                <w:rFonts w:cs="Times New Roman"/>
                <w:b w:val="0"/>
                <w:bCs/>
              </w:rPr>
              <w:t>/m</w:t>
            </w:r>
          </w:p>
        </w:tc>
        <w:tc>
          <w:tcPr>
            <w:tcW w:w="613" w:type="pct"/>
            <w:tcBorders>
              <w:top w:val="single" w:sz="4" w:space="0" w:color="auto"/>
              <w:left w:val="single" w:sz="4" w:space="0" w:color="auto"/>
              <w:bottom w:val="single" w:sz="4" w:space="0" w:color="auto"/>
              <w:right w:val="single" w:sz="4" w:space="0" w:color="auto"/>
            </w:tcBorders>
            <w:vAlign w:val="center"/>
            <w:hideMark/>
          </w:tcPr>
          <w:p w14:paraId="28E83509" w14:textId="1E5227D5" w:rsidR="0062520F" w:rsidRPr="00E67914" w:rsidRDefault="004B4646" w:rsidP="004B4646">
            <w:pPr>
              <w:pStyle w:val="06"/>
              <w:rPr>
                <w:rFonts w:cs="Times New Roman"/>
                <w:b w:val="0"/>
                <w:bCs/>
              </w:rPr>
            </w:pPr>
            <w:r w:rsidRPr="00E67914">
              <w:rPr>
                <w:rFonts w:cs="Times New Roman"/>
                <w:b w:val="0"/>
                <w:bCs/>
              </w:rPr>
              <w:t>场界距离</w:t>
            </w:r>
            <w:r w:rsidRPr="00E67914">
              <w:rPr>
                <w:rFonts w:cs="Times New Roman"/>
                <w:b w:val="0"/>
                <w:bCs/>
              </w:rPr>
              <w:t>/m</w:t>
            </w:r>
          </w:p>
        </w:tc>
        <w:tc>
          <w:tcPr>
            <w:tcW w:w="472" w:type="pct"/>
            <w:vMerge/>
            <w:tcBorders>
              <w:left w:val="single" w:sz="4" w:space="0" w:color="auto"/>
              <w:bottom w:val="single" w:sz="4" w:space="0" w:color="auto"/>
              <w:right w:val="single" w:sz="4" w:space="0" w:color="auto"/>
            </w:tcBorders>
            <w:vAlign w:val="center"/>
          </w:tcPr>
          <w:p w14:paraId="6F47681E" w14:textId="77777777" w:rsidR="0062520F" w:rsidRPr="00E67914" w:rsidRDefault="0062520F" w:rsidP="0062520F">
            <w:pPr>
              <w:jc w:val="center"/>
              <w:rPr>
                <w:rFonts w:ascii="Times New Roman" w:hAnsi="Times New Roman"/>
                <w:kern w:val="2"/>
                <w:sz w:val="21"/>
                <w:szCs w:val="21"/>
                <w:lang w:eastAsia="zh-CN"/>
              </w:rPr>
            </w:pPr>
          </w:p>
        </w:tc>
        <w:tc>
          <w:tcPr>
            <w:tcW w:w="416" w:type="pct"/>
            <w:vMerge/>
            <w:tcBorders>
              <w:left w:val="single" w:sz="4" w:space="0" w:color="auto"/>
              <w:bottom w:val="single" w:sz="4" w:space="0" w:color="auto"/>
              <w:right w:val="single" w:sz="4" w:space="0" w:color="auto"/>
            </w:tcBorders>
            <w:vAlign w:val="center"/>
          </w:tcPr>
          <w:p w14:paraId="48AFFF72" w14:textId="77777777" w:rsidR="0062520F" w:rsidRPr="00E67914" w:rsidRDefault="0062520F" w:rsidP="0062520F">
            <w:pPr>
              <w:jc w:val="center"/>
              <w:rPr>
                <w:rFonts w:ascii="Times New Roman" w:hAnsi="Times New Roman"/>
                <w:kern w:val="2"/>
                <w:sz w:val="21"/>
                <w:szCs w:val="21"/>
                <w:lang w:eastAsia="zh-CN"/>
              </w:rPr>
            </w:pPr>
          </w:p>
        </w:tc>
      </w:tr>
      <w:tr w:rsidR="00E67914" w:rsidRPr="00E67914" w14:paraId="21B19C63"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297DD24E" w14:textId="68FC33E6"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5AF9B501" w14:textId="5212B254"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107.759789100</w:t>
            </w:r>
          </w:p>
        </w:tc>
        <w:tc>
          <w:tcPr>
            <w:tcW w:w="507" w:type="pct"/>
            <w:tcBorders>
              <w:top w:val="single" w:sz="4" w:space="0" w:color="auto"/>
              <w:left w:val="single" w:sz="4" w:space="0" w:color="auto"/>
              <w:bottom w:val="single" w:sz="4" w:space="0" w:color="auto"/>
              <w:right w:val="single" w:sz="4" w:space="0" w:color="auto"/>
            </w:tcBorders>
            <w:vAlign w:val="center"/>
          </w:tcPr>
          <w:p w14:paraId="38A1C9D2" w14:textId="046893B1"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31.520764561</w:t>
            </w:r>
          </w:p>
        </w:tc>
        <w:tc>
          <w:tcPr>
            <w:tcW w:w="203" w:type="pct"/>
            <w:tcBorders>
              <w:top w:val="single" w:sz="4" w:space="0" w:color="auto"/>
              <w:left w:val="single" w:sz="4" w:space="0" w:color="auto"/>
              <w:bottom w:val="single" w:sz="4" w:space="0" w:color="auto"/>
              <w:right w:val="single" w:sz="4" w:space="0" w:color="auto"/>
            </w:tcBorders>
            <w:vAlign w:val="center"/>
          </w:tcPr>
          <w:p w14:paraId="31C84AB1"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6BE63420"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796AA8EE"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0BDFB5AA"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N</w:t>
            </w:r>
          </w:p>
        </w:tc>
        <w:tc>
          <w:tcPr>
            <w:tcW w:w="557" w:type="pct"/>
            <w:tcBorders>
              <w:top w:val="single" w:sz="4" w:space="0" w:color="auto"/>
              <w:left w:val="single" w:sz="4" w:space="0" w:color="auto"/>
              <w:bottom w:val="single" w:sz="4" w:space="0" w:color="auto"/>
              <w:right w:val="single" w:sz="4" w:space="0" w:color="auto"/>
            </w:tcBorders>
            <w:vAlign w:val="center"/>
          </w:tcPr>
          <w:p w14:paraId="2048F055" w14:textId="1DE5D8EC"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116</w:t>
            </w:r>
          </w:p>
        </w:tc>
        <w:tc>
          <w:tcPr>
            <w:tcW w:w="613" w:type="pct"/>
            <w:tcBorders>
              <w:top w:val="single" w:sz="4" w:space="0" w:color="auto"/>
              <w:left w:val="single" w:sz="4" w:space="0" w:color="auto"/>
              <w:bottom w:val="single" w:sz="4" w:space="0" w:color="auto"/>
              <w:right w:val="single" w:sz="4" w:space="0" w:color="auto"/>
            </w:tcBorders>
            <w:vAlign w:val="center"/>
          </w:tcPr>
          <w:p w14:paraId="2938C1D9" w14:textId="74245E91"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61</w:t>
            </w:r>
          </w:p>
        </w:tc>
        <w:tc>
          <w:tcPr>
            <w:tcW w:w="472" w:type="pct"/>
            <w:tcBorders>
              <w:top w:val="single" w:sz="4" w:space="0" w:color="auto"/>
              <w:left w:val="single" w:sz="4" w:space="0" w:color="auto"/>
              <w:bottom w:val="single" w:sz="4" w:space="0" w:color="auto"/>
              <w:right w:val="single" w:sz="4" w:space="0" w:color="auto"/>
            </w:tcBorders>
            <w:vAlign w:val="center"/>
          </w:tcPr>
          <w:p w14:paraId="01717AED" w14:textId="2FDCA23C"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287</w:t>
            </w:r>
          </w:p>
        </w:tc>
        <w:tc>
          <w:tcPr>
            <w:tcW w:w="416" w:type="pct"/>
            <w:vMerge w:val="restart"/>
            <w:tcBorders>
              <w:top w:val="single" w:sz="4" w:space="0" w:color="auto"/>
              <w:left w:val="single" w:sz="4" w:space="0" w:color="auto"/>
              <w:right w:val="single" w:sz="4" w:space="0" w:color="auto"/>
            </w:tcBorders>
            <w:vAlign w:val="center"/>
          </w:tcPr>
          <w:p w14:paraId="63CBEF8B"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施工期、运营期</w:t>
            </w:r>
          </w:p>
        </w:tc>
      </w:tr>
      <w:tr w:rsidR="00E67914" w:rsidRPr="00E67914" w14:paraId="57EE865C"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35C9433A" w14:textId="2E5FDFF6"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2#</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0524E9EE" w14:textId="3AD88EDF"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107.757959833</w:t>
            </w:r>
          </w:p>
        </w:tc>
        <w:tc>
          <w:tcPr>
            <w:tcW w:w="507" w:type="pct"/>
            <w:tcBorders>
              <w:top w:val="single" w:sz="4" w:space="0" w:color="auto"/>
              <w:left w:val="single" w:sz="4" w:space="0" w:color="auto"/>
              <w:bottom w:val="single" w:sz="4" w:space="0" w:color="auto"/>
              <w:right w:val="single" w:sz="4" w:space="0" w:color="auto"/>
            </w:tcBorders>
            <w:vAlign w:val="center"/>
          </w:tcPr>
          <w:p w14:paraId="742F0B7A" w14:textId="732F7CBE"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31.519520016</w:t>
            </w:r>
          </w:p>
        </w:tc>
        <w:tc>
          <w:tcPr>
            <w:tcW w:w="203" w:type="pct"/>
            <w:tcBorders>
              <w:top w:val="single" w:sz="4" w:space="0" w:color="auto"/>
              <w:left w:val="single" w:sz="4" w:space="0" w:color="auto"/>
              <w:bottom w:val="single" w:sz="4" w:space="0" w:color="auto"/>
              <w:right w:val="single" w:sz="4" w:space="0" w:color="auto"/>
            </w:tcBorders>
            <w:vAlign w:val="center"/>
          </w:tcPr>
          <w:p w14:paraId="4BD8341E"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405432D9" w14:textId="1E811FD5" w:rsidR="0062520F" w:rsidRPr="00E67914" w:rsidRDefault="004B4646" w:rsidP="0062520F">
            <w:pPr>
              <w:jc w:val="center"/>
              <w:rPr>
                <w:rFonts w:ascii="Times New Roman" w:hAnsi="Times New Roman"/>
                <w:kern w:val="2"/>
                <w:sz w:val="21"/>
                <w:szCs w:val="21"/>
              </w:rPr>
            </w:pPr>
            <w:r w:rsidRPr="00E67914">
              <w:rPr>
                <w:rFonts w:ascii="Times New Roman" w:hAnsi="Times New Roman"/>
                <w:kern w:val="2"/>
                <w:sz w:val="21"/>
                <w:szCs w:val="21"/>
              </w:rPr>
              <w:t>1</w:t>
            </w:r>
            <w:r w:rsidR="0062520F" w:rsidRPr="00E67914">
              <w:rPr>
                <w:rFonts w:ascii="Times New Roman" w:hAnsi="Times New Roman"/>
                <w:kern w:val="2"/>
                <w:sz w:val="21"/>
                <w:szCs w:val="21"/>
              </w:rPr>
              <w:t>户，约</w:t>
            </w:r>
            <w:r w:rsidR="0062520F" w:rsidRPr="00E67914">
              <w:rPr>
                <w:rFonts w:ascii="Times New Roman" w:hAnsi="Times New Roman"/>
                <w:kern w:val="2"/>
                <w:sz w:val="21"/>
                <w:szCs w:val="21"/>
              </w:rPr>
              <w:t>4</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792F8166"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2E842CB4" w14:textId="3E489B88"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W</w:t>
            </w:r>
          </w:p>
        </w:tc>
        <w:tc>
          <w:tcPr>
            <w:tcW w:w="557" w:type="pct"/>
            <w:tcBorders>
              <w:top w:val="single" w:sz="4" w:space="0" w:color="auto"/>
              <w:left w:val="single" w:sz="4" w:space="0" w:color="auto"/>
              <w:bottom w:val="single" w:sz="4" w:space="0" w:color="auto"/>
              <w:right w:val="single" w:sz="4" w:space="0" w:color="auto"/>
            </w:tcBorders>
            <w:vAlign w:val="center"/>
          </w:tcPr>
          <w:p w14:paraId="1FB3B89B" w14:textId="3362096E"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158</w:t>
            </w:r>
          </w:p>
        </w:tc>
        <w:tc>
          <w:tcPr>
            <w:tcW w:w="613" w:type="pct"/>
            <w:tcBorders>
              <w:top w:val="single" w:sz="4" w:space="0" w:color="auto"/>
              <w:left w:val="single" w:sz="4" w:space="0" w:color="auto"/>
              <w:bottom w:val="single" w:sz="4" w:space="0" w:color="auto"/>
              <w:right w:val="single" w:sz="4" w:space="0" w:color="auto"/>
            </w:tcBorders>
            <w:vAlign w:val="center"/>
          </w:tcPr>
          <w:p w14:paraId="4CBDC329" w14:textId="6A68800C"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115</w:t>
            </w:r>
          </w:p>
        </w:tc>
        <w:tc>
          <w:tcPr>
            <w:tcW w:w="472" w:type="pct"/>
            <w:tcBorders>
              <w:top w:val="single" w:sz="4" w:space="0" w:color="auto"/>
              <w:left w:val="single" w:sz="4" w:space="0" w:color="auto"/>
              <w:bottom w:val="single" w:sz="4" w:space="0" w:color="auto"/>
              <w:right w:val="single" w:sz="4" w:space="0" w:color="auto"/>
            </w:tcBorders>
            <w:vAlign w:val="center"/>
          </w:tcPr>
          <w:p w14:paraId="26F4E638" w14:textId="1B274910"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390</w:t>
            </w:r>
          </w:p>
        </w:tc>
        <w:tc>
          <w:tcPr>
            <w:tcW w:w="416" w:type="pct"/>
            <w:vMerge/>
            <w:tcBorders>
              <w:left w:val="single" w:sz="4" w:space="0" w:color="auto"/>
              <w:right w:val="single" w:sz="4" w:space="0" w:color="auto"/>
            </w:tcBorders>
            <w:vAlign w:val="center"/>
          </w:tcPr>
          <w:p w14:paraId="2F7934E2" w14:textId="77777777" w:rsidR="0062520F" w:rsidRPr="00E67914" w:rsidRDefault="0062520F" w:rsidP="0062520F">
            <w:pPr>
              <w:jc w:val="center"/>
              <w:rPr>
                <w:rFonts w:ascii="Times New Roman" w:hAnsi="Times New Roman"/>
                <w:kern w:val="2"/>
                <w:sz w:val="21"/>
                <w:szCs w:val="21"/>
              </w:rPr>
            </w:pPr>
          </w:p>
        </w:tc>
      </w:tr>
      <w:tr w:rsidR="00E67914" w:rsidRPr="00E67914" w14:paraId="52603920"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74A56377" w14:textId="2F1FBF4D"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3#</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07E5C997" w14:textId="2A6ABFD2"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107.759708633</w:t>
            </w:r>
          </w:p>
        </w:tc>
        <w:tc>
          <w:tcPr>
            <w:tcW w:w="507" w:type="pct"/>
            <w:tcBorders>
              <w:top w:val="single" w:sz="4" w:space="0" w:color="auto"/>
              <w:left w:val="single" w:sz="4" w:space="0" w:color="auto"/>
              <w:bottom w:val="single" w:sz="4" w:space="0" w:color="auto"/>
              <w:right w:val="single" w:sz="4" w:space="0" w:color="auto"/>
            </w:tcBorders>
            <w:vAlign w:val="center"/>
          </w:tcPr>
          <w:p w14:paraId="157354FD" w14:textId="70D8CBE9"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31.522867413</w:t>
            </w:r>
          </w:p>
        </w:tc>
        <w:tc>
          <w:tcPr>
            <w:tcW w:w="203" w:type="pct"/>
            <w:tcBorders>
              <w:top w:val="single" w:sz="4" w:space="0" w:color="auto"/>
              <w:left w:val="single" w:sz="4" w:space="0" w:color="auto"/>
              <w:bottom w:val="single" w:sz="4" w:space="0" w:color="auto"/>
              <w:right w:val="single" w:sz="4" w:space="0" w:color="auto"/>
            </w:tcBorders>
            <w:vAlign w:val="center"/>
          </w:tcPr>
          <w:p w14:paraId="04902B0E"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29D073F5" w14:textId="28DAEDE7" w:rsidR="0062520F" w:rsidRPr="00E67914" w:rsidRDefault="004B4646" w:rsidP="0062520F">
            <w:pPr>
              <w:jc w:val="center"/>
              <w:rPr>
                <w:rFonts w:ascii="Times New Roman" w:hAnsi="Times New Roman"/>
                <w:kern w:val="2"/>
                <w:sz w:val="21"/>
                <w:szCs w:val="21"/>
              </w:rPr>
            </w:pPr>
            <w:r w:rsidRPr="00E67914">
              <w:rPr>
                <w:rFonts w:ascii="Times New Roman" w:hAnsi="Times New Roman"/>
                <w:kern w:val="2"/>
                <w:sz w:val="21"/>
                <w:szCs w:val="21"/>
              </w:rPr>
              <w:t>9</w:t>
            </w:r>
            <w:r w:rsidR="0062520F" w:rsidRPr="00E67914">
              <w:rPr>
                <w:rFonts w:ascii="Times New Roman" w:hAnsi="Times New Roman"/>
                <w:kern w:val="2"/>
                <w:sz w:val="21"/>
                <w:szCs w:val="21"/>
              </w:rPr>
              <w:t>户，约</w:t>
            </w:r>
            <w:r w:rsidRPr="00E67914">
              <w:rPr>
                <w:rFonts w:ascii="Times New Roman" w:hAnsi="Times New Roman"/>
                <w:kern w:val="2"/>
                <w:sz w:val="21"/>
                <w:szCs w:val="21"/>
              </w:rPr>
              <w:t>36</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3CFD3680"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5920A4B0" w14:textId="4B50921E" w:rsidR="0062520F" w:rsidRPr="00E67914" w:rsidRDefault="004B4646" w:rsidP="0062520F">
            <w:pPr>
              <w:jc w:val="center"/>
              <w:rPr>
                <w:rFonts w:ascii="Times New Roman" w:hAnsi="Times New Roman"/>
                <w:kern w:val="2"/>
                <w:sz w:val="21"/>
                <w:szCs w:val="21"/>
              </w:rPr>
            </w:pPr>
            <w:r w:rsidRPr="00E67914">
              <w:rPr>
                <w:rFonts w:ascii="Times New Roman" w:hAnsi="Times New Roman"/>
                <w:kern w:val="2"/>
                <w:sz w:val="21"/>
                <w:szCs w:val="21"/>
                <w:lang w:eastAsia="zh-CN"/>
              </w:rPr>
              <w:t>N</w:t>
            </w:r>
          </w:p>
        </w:tc>
        <w:tc>
          <w:tcPr>
            <w:tcW w:w="557" w:type="pct"/>
            <w:tcBorders>
              <w:top w:val="single" w:sz="4" w:space="0" w:color="auto"/>
              <w:left w:val="single" w:sz="4" w:space="0" w:color="auto"/>
              <w:bottom w:val="single" w:sz="4" w:space="0" w:color="auto"/>
              <w:right w:val="single" w:sz="4" w:space="0" w:color="auto"/>
            </w:tcBorders>
            <w:vAlign w:val="center"/>
          </w:tcPr>
          <w:p w14:paraId="545AEC1F" w14:textId="7A02236A"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305</w:t>
            </w:r>
          </w:p>
        </w:tc>
        <w:tc>
          <w:tcPr>
            <w:tcW w:w="613" w:type="pct"/>
            <w:tcBorders>
              <w:top w:val="single" w:sz="4" w:space="0" w:color="auto"/>
              <w:left w:val="single" w:sz="4" w:space="0" w:color="auto"/>
              <w:bottom w:val="single" w:sz="4" w:space="0" w:color="auto"/>
              <w:right w:val="single" w:sz="4" w:space="0" w:color="auto"/>
            </w:tcBorders>
            <w:vAlign w:val="center"/>
          </w:tcPr>
          <w:p w14:paraId="3F214897" w14:textId="0F97D01E"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251</w:t>
            </w:r>
          </w:p>
        </w:tc>
        <w:tc>
          <w:tcPr>
            <w:tcW w:w="472" w:type="pct"/>
            <w:tcBorders>
              <w:top w:val="single" w:sz="4" w:space="0" w:color="auto"/>
              <w:left w:val="single" w:sz="4" w:space="0" w:color="auto"/>
              <w:bottom w:val="single" w:sz="4" w:space="0" w:color="auto"/>
              <w:right w:val="single" w:sz="4" w:space="0" w:color="auto"/>
            </w:tcBorders>
            <w:vAlign w:val="center"/>
          </w:tcPr>
          <w:p w14:paraId="7AEA8ED6" w14:textId="22C11147"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422</w:t>
            </w:r>
          </w:p>
        </w:tc>
        <w:tc>
          <w:tcPr>
            <w:tcW w:w="416" w:type="pct"/>
            <w:vMerge/>
            <w:tcBorders>
              <w:left w:val="single" w:sz="4" w:space="0" w:color="auto"/>
              <w:right w:val="single" w:sz="4" w:space="0" w:color="auto"/>
            </w:tcBorders>
            <w:vAlign w:val="center"/>
          </w:tcPr>
          <w:p w14:paraId="12975338" w14:textId="77777777" w:rsidR="0062520F" w:rsidRPr="00E67914" w:rsidRDefault="0062520F" w:rsidP="0062520F">
            <w:pPr>
              <w:jc w:val="center"/>
              <w:rPr>
                <w:rFonts w:ascii="Times New Roman" w:hAnsi="Times New Roman"/>
                <w:kern w:val="2"/>
                <w:sz w:val="21"/>
                <w:szCs w:val="21"/>
              </w:rPr>
            </w:pPr>
          </w:p>
        </w:tc>
      </w:tr>
      <w:tr w:rsidR="00E67914" w:rsidRPr="00E67914" w14:paraId="4CFB6893"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507C59CA" w14:textId="6FFACC21"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4#</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4D8D7A11" w14:textId="2EB88FC7"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107.758313885</w:t>
            </w:r>
          </w:p>
        </w:tc>
        <w:tc>
          <w:tcPr>
            <w:tcW w:w="507" w:type="pct"/>
            <w:tcBorders>
              <w:top w:val="single" w:sz="4" w:space="0" w:color="auto"/>
              <w:left w:val="single" w:sz="4" w:space="0" w:color="auto"/>
              <w:bottom w:val="single" w:sz="4" w:space="0" w:color="auto"/>
              <w:right w:val="single" w:sz="4" w:space="0" w:color="auto"/>
            </w:tcBorders>
            <w:vAlign w:val="center"/>
          </w:tcPr>
          <w:p w14:paraId="4790B64B" w14:textId="33E360F5"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31.524734230</w:t>
            </w:r>
          </w:p>
        </w:tc>
        <w:tc>
          <w:tcPr>
            <w:tcW w:w="203" w:type="pct"/>
            <w:tcBorders>
              <w:top w:val="single" w:sz="4" w:space="0" w:color="auto"/>
              <w:left w:val="single" w:sz="4" w:space="0" w:color="auto"/>
              <w:bottom w:val="single" w:sz="4" w:space="0" w:color="auto"/>
              <w:right w:val="single" w:sz="4" w:space="0" w:color="auto"/>
            </w:tcBorders>
            <w:vAlign w:val="center"/>
          </w:tcPr>
          <w:p w14:paraId="15AE261A"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54F87887" w14:textId="6822CCDD"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w:t>
            </w:r>
            <w:r w:rsidR="002171DD" w:rsidRPr="00E67914">
              <w:rPr>
                <w:rFonts w:ascii="Times New Roman" w:hAnsi="Times New Roman"/>
                <w:kern w:val="2"/>
                <w:sz w:val="21"/>
                <w:szCs w:val="21"/>
              </w:rPr>
              <w:t>2</w:t>
            </w:r>
            <w:r w:rsidRPr="00E67914">
              <w:rPr>
                <w:rFonts w:ascii="Times New Roman" w:hAnsi="Times New Roman"/>
                <w:kern w:val="2"/>
                <w:sz w:val="21"/>
                <w:szCs w:val="21"/>
              </w:rPr>
              <w:t>户，约</w:t>
            </w:r>
            <w:r w:rsidRPr="00E67914">
              <w:rPr>
                <w:rFonts w:ascii="Times New Roman" w:hAnsi="Times New Roman"/>
                <w:kern w:val="2"/>
                <w:sz w:val="21"/>
                <w:szCs w:val="21"/>
              </w:rPr>
              <w:t>4</w:t>
            </w:r>
            <w:r w:rsidR="002171DD" w:rsidRPr="00E67914">
              <w:rPr>
                <w:rFonts w:ascii="Times New Roman" w:hAnsi="Times New Roman"/>
                <w:kern w:val="2"/>
                <w:sz w:val="21"/>
                <w:szCs w:val="21"/>
              </w:rPr>
              <w:t>8</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5B34BF03"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1190CC7B" w14:textId="477354DC" w:rsidR="0062520F" w:rsidRPr="00E67914" w:rsidRDefault="004B4646" w:rsidP="0062520F">
            <w:pPr>
              <w:jc w:val="center"/>
              <w:rPr>
                <w:rFonts w:ascii="Times New Roman" w:hAnsi="Times New Roman"/>
                <w:kern w:val="2"/>
                <w:sz w:val="21"/>
                <w:szCs w:val="21"/>
              </w:rPr>
            </w:pPr>
            <w:r w:rsidRPr="00E67914">
              <w:rPr>
                <w:rFonts w:ascii="Times New Roman" w:hAnsi="Times New Roman"/>
                <w:kern w:val="2"/>
                <w:sz w:val="21"/>
                <w:szCs w:val="21"/>
                <w:lang w:eastAsia="zh-CN"/>
              </w:rPr>
              <w:t>N</w:t>
            </w:r>
          </w:p>
        </w:tc>
        <w:tc>
          <w:tcPr>
            <w:tcW w:w="557" w:type="pct"/>
            <w:tcBorders>
              <w:top w:val="single" w:sz="4" w:space="0" w:color="auto"/>
              <w:left w:val="single" w:sz="4" w:space="0" w:color="auto"/>
              <w:bottom w:val="single" w:sz="4" w:space="0" w:color="auto"/>
              <w:right w:val="single" w:sz="4" w:space="0" w:color="auto"/>
            </w:tcBorders>
            <w:vAlign w:val="center"/>
          </w:tcPr>
          <w:p w14:paraId="7B013DDB" w14:textId="27AD2996"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528</w:t>
            </w:r>
          </w:p>
        </w:tc>
        <w:tc>
          <w:tcPr>
            <w:tcW w:w="613" w:type="pct"/>
            <w:tcBorders>
              <w:top w:val="single" w:sz="4" w:space="0" w:color="auto"/>
              <w:left w:val="single" w:sz="4" w:space="0" w:color="auto"/>
              <w:bottom w:val="single" w:sz="4" w:space="0" w:color="auto"/>
              <w:right w:val="single" w:sz="4" w:space="0" w:color="auto"/>
            </w:tcBorders>
            <w:vAlign w:val="center"/>
          </w:tcPr>
          <w:p w14:paraId="79AEFD15" w14:textId="31C75778"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473</w:t>
            </w:r>
          </w:p>
        </w:tc>
        <w:tc>
          <w:tcPr>
            <w:tcW w:w="472" w:type="pct"/>
            <w:tcBorders>
              <w:top w:val="single" w:sz="4" w:space="0" w:color="auto"/>
              <w:left w:val="single" w:sz="4" w:space="0" w:color="auto"/>
              <w:bottom w:val="single" w:sz="4" w:space="0" w:color="auto"/>
              <w:right w:val="single" w:sz="4" w:space="0" w:color="auto"/>
            </w:tcBorders>
            <w:vAlign w:val="center"/>
          </w:tcPr>
          <w:p w14:paraId="492FF8A7" w14:textId="0D0EDB27"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658</w:t>
            </w:r>
          </w:p>
        </w:tc>
        <w:tc>
          <w:tcPr>
            <w:tcW w:w="416" w:type="pct"/>
            <w:vMerge/>
            <w:tcBorders>
              <w:left w:val="single" w:sz="4" w:space="0" w:color="auto"/>
              <w:right w:val="single" w:sz="4" w:space="0" w:color="auto"/>
            </w:tcBorders>
            <w:vAlign w:val="center"/>
          </w:tcPr>
          <w:p w14:paraId="234C9BA2" w14:textId="77777777" w:rsidR="0062520F" w:rsidRPr="00E67914" w:rsidRDefault="0062520F" w:rsidP="0062520F">
            <w:pPr>
              <w:jc w:val="center"/>
              <w:rPr>
                <w:rFonts w:ascii="Times New Roman" w:hAnsi="Times New Roman"/>
                <w:kern w:val="2"/>
                <w:sz w:val="21"/>
                <w:szCs w:val="21"/>
              </w:rPr>
            </w:pPr>
          </w:p>
        </w:tc>
      </w:tr>
      <w:tr w:rsidR="00E67914" w:rsidRPr="00E67914" w14:paraId="5631FD76"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63E7A4E5" w14:textId="0376020E"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5#</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48ADC8B2" w14:textId="2C771C35"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107.756854763</w:t>
            </w:r>
          </w:p>
        </w:tc>
        <w:tc>
          <w:tcPr>
            <w:tcW w:w="507" w:type="pct"/>
            <w:tcBorders>
              <w:top w:val="single" w:sz="4" w:space="0" w:color="auto"/>
              <w:left w:val="single" w:sz="4" w:space="0" w:color="auto"/>
              <w:bottom w:val="single" w:sz="4" w:space="0" w:color="auto"/>
              <w:right w:val="single" w:sz="4" w:space="0" w:color="auto"/>
            </w:tcBorders>
            <w:vAlign w:val="center"/>
          </w:tcPr>
          <w:p w14:paraId="4DF936E5" w14:textId="7DFAF67E"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31.520002814</w:t>
            </w:r>
          </w:p>
        </w:tc>
        <w:tc>
          <w:tcPr>
            <w:tcW w:w="203" w:type="pct"/>
            <w:tcBorders>
              <w:top w:val="single" w:sz="4" w:space="0" w:color="auto"/>
              <w:left w:val="single" w:sz="4" w:space="0" w:color="auto"/>
              <w:bottom w:val="single" w:sz="4" w:space="0" w:color="auto"/>
              <w:right w:val="single" w:sz="4" w:space="0" w:color="auto"/>
            </w:tcBorders>
            <w:vAlign w:val="center"/>
          </w:tcPr>
          <w:p w14:paraId="6CBBCE0C"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7BDCA0E9" w14:textId="21DCAD4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w:t>
            </w:r>
            <w:r w:rsidR="002171DD" w:rsidRPr="00E67914">
              <w:rPr>
                <w:rFonts w:ascii="Times New Roman" w:hAnsi="Times New Roman"/>
                <w:kern w:val="2"/>
                <w:sz w:val="21"/>
                <w:szCs w:val="21"/>
              </w:rPr>
              <w:t>5</w:t>
            </w:r>
            <w:r w:rsidRPr="00E67914">
              <w:rPr>
                <w:rFonts w:ascii="Times New Roman" w:hAnsi="Times New Roman"/>
                <w:kern w:val="2"/>
                <w:sz w:val="21"/>
                <w:szCs w:val="21"/>
              </w:rPr>
              <w:t>户，约</w:t>
            </w:r>
            <w:r w:rsidR="002171DD" w:rsidRPr="00E67914">
              <w:rPr>
                <w:rFonts w:ascii="Times New Roman" w:hAnsi="Times New Roman"/>
                <w:kern w:val="2"/>
                <w:sz w:val="21"/>
                <w:szCs w:val="21"/>
              </w:rPr>
              <w:t>60</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5A1602E7"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197A464A" w14:textId="0DFA2A88" w:rsidR="0062520F" w:rsidRPr="00E67914" w:rsidRDefault="004B4646" w:rsidP="0062520F">
            <w:pPr>
              <w:jc w:val="center"/>
              <w:rPr>
                <w:rFonts w:ascii="Times New Roman" w:hAnsi="Times New Roman"/>
                <w:kern w:val="2"/>
                <w:sz w:val="21"/>
                <w:szCs w:val="21"/>
              </w:rPr>
            </w:pPr>
            <w:r w:rsidRPr="00E67914">
              <w:rPr>
                <w:rFonts w:ascii="Times New Roman" w:hAnsi="Times New Roman"/>
                <w:kern w:val="2"/>
                <w:sz w:val="21"/>
                <w:szCs w:val="21"/>
                <w:lang w:eastAsia="zh-CN"/>
              </w:rPr>
              <w:t>W</w:t>
            </w:r>
          </w:p>
        </w:tc>
        <w:tc>
          <w:tcPr>
            <w:tcW w:w="557" w:type="pct"/>
            <w:tcBorders>
              <w:top w:val="single" w:sz="4" w:space="0" w:color="auto"/>
              <w:left w:val="single" w:sz="4" w:space="0" w:color="auto"/>
              <w:bottom w:val="single" w:sz="4" w:space="0" w:color="auto"/>
              <w:right w:val="single" w:sz="4" w:space="0" w:color="auto"/>
            </w:tcBorders>
            <w:vAlign w:val="center"/>
          </w:tcPr>
          <w:p w14:paraId="02E74DB8" w14:textId="6E1213CF"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216</w:t>
            </w:r>
          </w:p>
        </w:tc>
        <w:tc>
          <w:tcPr>
            <w:tcW w:w="613" w:type="pct"/>
            <w:tcBorders>
              <w:top w:val="single" w:sz="4" w:space="0" w:color="auto"/>
              <w:left w:val="single" w:sz="4" w:space="0" w:color="auto"/>
              <w:bottom w:val="single" w:sz="4" w:space="0" w:color="auto"/>
              <w:right w:val="single" w:sz="4" w:space="0" w:color="auto"/>
            </w:tcBorders>
            <w:vAlign w:val="center"/>
          </w:tcPr>
          <w:p w14:paraId="7E9D2E3B" w14:textId="7FD0B2F9" w:rsidR="0062520F" w:rsidRPr="00E67914" w:rsidRDefault="004B464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185</w:t>
            </w:r>
          </w:p>
        </w:tc>
        <w:tc>
          <w:tcPr>
            <w:tcW w:w="472" w:type="pct"/>
            <w:tcBorders>
              <w:top w:val="single" w:sz="4" w:space="0" w:color="auto"/>
              <w:left w:val="single" w:sz="4" w:space="0" w:color="auto"/>
              <w:bottom w:val="single" w:sz="4" w:space="0" w:color="auto"/>
              <w:right w:val="single" w:sz="4" w:space="0" w:color="auto"/>
            </w:tcBorders>
            <w:vAlign w:val="center"/>
          </w:tcPr>
          <w:p w14:paraId="6F039BF2" w14:textId="5147FD84"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455</w:t>
            </w:r>
          </w:p>
        </w:tc>
        <w:tc>
          <w:tcPr>
            <w:tcW w:w="416" w:type="pct"/>
            <w:vMerge/>
            <w:tcBorders>
              <w:left w:val="single" w:sz="4" w:space="0" w:color="auto"/>
              <w:right w:val="single" w:sz="4" w:space="0" w:color="auto"/>
            </w:tcBorders>
            <w:vAlign w:val="center"/>
          </w:tcPr>
          <w:p w14:paraId="4BE974C8" w14:textId="77777777" w:rsidR="0062520F" w:rsidRPr="00E67914" w:rsidRDefault="0062520F" w:rsidP="0062520F">
            <w:pPr>
              <w:jc w:val="center"/>
              <w:rPr>
                <w:rFonts w:ascii="Times New Roman" w:hAnsi="Times New Roman"/>
                <w:kern w:val="2"/>
                <w:sz w:val="21"/>
                <w:szCs w:val="21"/>
              </w:rPr>
            </w:pPr>
          </w:p>
        </w:tc>
      </w:tr>
      <w:tr w:rsidR="00E67914" w:rsidRPr="00E67914" w14:paraId="685C05BA"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56D58BC8" w14:textId="6139947F"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6#</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5960516B" w14:textId="435A7C97"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107.756452432</w:t>
            </w:r>
          </w:p>
        </w:tc>
        <w:tc>
          <w:tcPr>
            <w:tcW w:w="507" w:type="pct"/>
            <w:tcBorders>
              <w:top w:val="single" w:sz="4" w:space="0" w:color="auto"/>
              <w:left w:val="single" w:sz="4" w:space="0" w:color="auto"/>
              <w:bottom w:val="single" w:sz="4" w:space="0" w:color="auto"/>
              <w:right w:val="single" w:sz="4" w:space="0" w:color="auto"/>
            </w:tcBorders>
            <w:vAlign w:val="center"/>
          </w:tcPr>
          <w:p w14:paraId="5F2066F0" w14:textId="164D47B8"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31.517626376</w:t>
            </w:r>
          </w:p>
        </w:tc>
        <w:tc>
          <w:tcPr>
            <w:tcW w:w="203" w:type="pct"/>
            <w:tcBorders>
              <w:top w:val="single" w:sz="4" w:space="0" w:color="auto"/>
              <w:left w:val="single" w:sz="4" w:space="0" w:color="auto"/>
              <w:bottom w:val="single" w:sz="4" w:space="0" w:color="auto"/>
              <w:right w:val="single" w:sz="4" w:space="0" w:color="auto"/>
            </w:tcBorders>
            <w:vAlign w:val="center"/>
          </w:tcPr>
          <w:p w14:paraId="7919E2B2"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711ABAE0" w14:textId="703506E1" w:rsidR="0062520F" w:rsidRPr="00E67914" w:rsidRDefault="002171DD" w:rsidP="0062520F">
            <w:pPr>
              <w:jc w:val="center"/>
              <w:rPr>
                <w:rFonts w:ascii="Times New Roman" w:hAnsi="Times New Roman"/>
                <w:kern w:val="2"/>
                <w:sz w:val="21"/>
                <w:szCs w:val="21"/>
              </w:rPr>
            </w:pPr>
            <w:r w:rsidRPr="00E67914">
              <w:rPr>
                <w:rFonts w:ascii="Times New Roman" w:hAnsi="Times New Roman"/>
                <w:kern w:val="2"/>
                <w:sz w:val="21"/>
                <w:szCs w:val="21"/>
              </w:rPr>
              <w:t>10</w:t>
            </w:r>
            <w:r w:rsidR="0062520F" w:rsidRPr="00E67914">
              <w:rPr>
                <w:rFonts w:ascii="Times New Roman" w:hAnsi="Times New Roman"/>
                <w:kern w:val="2"/>
                <w:sz w:val="21"/>
                <w:szCs w:val="21"/>
              </w:rPr>
              <w:t>户，约</w:t>
            </w:r>
            <w:r w:rsidRPr="00E67914">
              <w:rPr>
                <w:rFonts w:ascii="Times New Roman" w:hAnsi="Times New Roman"/>
                <w:kern w:val="2"/>
                <w:sz w:val="21"/>
                <w:szCs w:val="21"/>
              </w:rPr>
              <w:t>40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29801917"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324F489F" w14:textId="51D57EBA" w:rsidR="0062520F" w:rsidRPr="00E67914" w:rsidRDefault="002171DD" w:rsidP="0062520F">
            <w:pPr>
              <w:jc w:val="center"/>
              <w:rPr>
                <w:rFonts w:ascii="Times New Roman" w:hAnsi="Times New Roman"/>
                <w:kern w:val="2"/>
                <w:sz w:val="21"/>
                <w:szCs w:val="21"/>
              </w:rPr>
            </w:pPr>
            <w:r w:rsidRPr="00E67914">
              <w:rPr>
                <w:rFonts w:ascii="Times New Roman" w:hAnsi="Times New Roman"/>
                <w:kern w:val="2"/>
                <w:sz w:val="21"/>
                <w:szCs w:val="21"/>
                <w:lang w:eastAsia="zh-CN"/>
              </w:rPr>
              <w:t>SW</w:t>
            </w:r>
          </w:p>
        </w:tc>
        <w:tc>
          <w:tcPr>
            <w:tcW w:w="557" w:type="pct"/>
            <w:tcBorders>
              <w:top w:val="single" w:sz="4" w:space="0" w:color="auto"/>
              <w:left w:val="single" w:sz="4" w:space="0" w:color="auto"/>
              <w:bottom w:val="single" w:sz="4" w:space="0" w:color="auto"/>
              <w:right w:val="single" w:sz="4" w:space="0" w:color="auto"/>
            </w:tcBorders>
            <w:vAlign w:val="center"/>
          </w:tcPr>
          <w:p w14:paraId="26A1B742" w14:textId="6061DC50"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344</w:t>
            </w:r>
          </w:p>
        </w:tc>
        <w:tc>
          <w:tcPr>
            <w:tcW w:w="613" w:type="pct"/>
            <w:tcBorders>
              <w:top w:val="single" w:sz="4" w:space="0" w:color="auto"/>
              <w:left w:val="single" w:sz="4" w:space="0" w:color="auto"/>
              <w:bottom w:val="single" w:sz="4" w:space="0" w:color="auto"/>
              <w:right w:val="single" w:sz="4" w:space="0" w:color="auto"/>
            </w:tcBorders>
            <w:vAlign w:val="center"/>
          </w:tcPr>
          <w:p w14:paraId="25001AFF" w14:textId="774C54AA"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283</w:t>
            </w:r>
          </w:p>
        </w:tc>
        <w:tc>
          <w:tcPr>
            <w:tcW w:w="472" w:type="pct"/>
            <w:tcBorders>
              <w:top w:val="single" w:sz="4" w:space="0" w:color="auto"/>
              <w:left w:val="single" w:sz="4" w:space="0" w:color="auto"/>
              <w:bottom w:val="single" w:sz="4" w:space="0" w:color="auto"/>
              <w:right w:val="single" w:sz="4" w:space="0" w:color="auto"/>
            </w:tcBorders>
            <w:vAlign w:val="center"/>
          </w:tcPr>
          <w:p w14:paraId="10186F13" w14:textId="1BAE1EBF"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509</w:t>
            </w:r>
          </w:p>
        </w:tc>
        <w:tc>
          <w:tcPr>
            <w:tcW w:w="416" w:type="pct"/>
            <w:vMerge/>
            <w:tcBorders>
              <w:left w:val="single" w:sz="4" w:space="0" w:color="auto"/>
              <w:right w:val="single" w:sz="4" w:space="0" w:color="auto"/>
            </w:tcBorders>
            <w:vAlign w:val="center"/>
          </w:tcPr>
          <w:p w14:paraId="38EFF378" w14:textId="77777777" w:rsidR="0062520F" w:rsidRPr="00E67914" w:rsidRDefault="0062520F" w:rsidP="0062520F">
            <w:pPr>
              <w:jc w:val="center"/>
              <w:rPr>
                <w:rFonts w:ascii="Times New Roman" w:hAnsi="Times New Roman"/>
                <w:kern w:val="2"/>
                <w:sz w:val="21"/>
                <w:szCs w:val="21"/>
              </w:rPr>
            </w:pPr>
          </w:p>
        </w:tc>
      </w:tr>
      <w:tr w:rsidR="00E67914" w:rsidRPr="00E67914" w14:paraId="77DF9FA8"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2D54A72F" w14:textId="7902BBED"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7#</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239E7E28" w14:textId="6A5849C5"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107.751490345</w:t>
            </w:r>
          </w:p>
        </w:tc>
        <w:tc>
          <w:tcPr>
            <w:tcW w:w="507" w:type="pct"/>
            <w:tcBorders>
              <w:top w:val="single" w:sz="4" w:space="0" w:color="auto"/>
              <w:left w:val="single" w:sz="4" w:space="0" w:color="auto"/>
              <w:bottom w:val="single" w:sz="4" w:space="0" w:color="auto"/>
              <w:right w:val="single" w:sz="4" w:space="0" w:color="auto"/>
            </w:tcBorders>
            <w:vAlign w:val="center"/>
          </w:tcPr>
          <w:p w14:paraId="125A9455" w14:textId="1C051C28"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31.519528063</w:t>
            </w:r>
          </w:p>
        </w:tc>
        <w:tc>
          <w:tcPr>
            <w:tcW w:w="203" w:type="pct"/>
            <w:tcBorders>
              <w:top w:val="single" w:sz="4" w:space="0" w:color="auto"/>
              <w:left w:val="single" w:sz="4" w:space="0" w:color="auto"/>
              <w:bottom w:val="single" w:sz="4" w:space="0" w:color="auto"/>
              <w:right w:val="single" w:sz="4" w:space="0" w:color="auto"/>
            </w:tcBorders>
            <w:vAlign w:val="center"/>
          </w:tcPr>
          <w:p w14:paraId="37F94584"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70EC9B1D" w14:textId="71FF10EE" w:rsidR="0062520F" w:rsidRPr="00E67914" w:rsidRDefault="002171DD" w:rsidP="0062520F">
            <w:pPr>
              <w:jc w:val="center"/>
              <w:rPr>
                <w:rFonts w:ascii="Times New Roman" w:hAnsi="Times New Roman"/>
                <w:kern w:val="2"/>
                <w:sz w:val="21"/>
                <w:szCs w:val="21"/>
              </w:rPr>
            </w:pPr>
            <w:r w:rsidRPr="00E67914">
              <w:rPr>
                <w:rFonts w:ascii="Times New Roman" w:hAnsi="Times New Roman"/>
                <w:kern w:val="2"/>
                <w:sz w:val="21"/>
                <w:szCs w:val="21"/>
              </w:rPr>
              <w:t>15</w:t>
            </w:r>
            <w:r w:rsidR="0062520F" w:rsidRPr="00E67914">
              <w:rPr>
                <w:rFonts w:ascii="Times New Roman" w:hAnsi="Times New Roman"/>
                <w:kern w:val="2"/>
                <w:sz w:val="21"/>
                <w:szCs w:val="21"/>
              </w:rPr>
              <w:t>户，约</w:t>
            </w:r>
            <w:r w:rsidRPr="00E67914">
              <w:rPr>
                <w:rFonts w:ascii="Times New Roman" w:hAnsi="Times New Roman"/>
                <w:kern w:val="2"/>
                <w:sz w:val="21"/>
                <w:szCs w:val="21"/>
              </w:rPr>
              <w:t>60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40079049"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7D3717F5" w14:textId="01DE5663" w:rsidR="0062520F" w:rsidRPr="00E67914" w:rsidRDefault="002171DD" w:rsidP="0062520F">
            <w:pPr>
              <w:jc w:val="center"/>
              <w:rPr>
                <w:rFonts w:ascii="Times New Roman" w:hAnsi="Times New Roman"/>
                <w:kern w:val="2"/>
                <w:sz w:val="21"/>
                <w:szCs w:val="21"/>
              </w:rPr>
            </w:pPr>
            <w:r w:rsidRPr="00E67914">
              <w:rPr>
                <w:rFonts w:ascii="Times New Roman" w:hAnsi="Times New Roman"/>
                <w:kern w:val="2"/>
                <w:sz w:val="21"/>
                <w:szCs w:val="21"/>
                <w:lang w:eastAsia="zh-CN"/>
              </w:rPr>
              <w:t>W</w:t>
            </w:r>
          </w:p>
        </w:tc>
        <w:tc>
          <w:tcPr>
            <w:tcW w:w="557" w:type="pct"/>
            <w:tcBorders>
              <w:top w:val="single" w:sz="4" w:space="0" w:color="auto"/>
              <w:left w:val="single" w:sz="4" w:space="0" w:color="auto"/>
              <w:bottom w:val="single" w:sz="4" w:space="0" w:color="auto"/>
              <w:right w:val="single" w:sz="4" w:space="0" w:color="auto"/>
            </w:tcBorders>
            <w:vAlign w:val="center"/>
          </w:tcPr>
          <w:p w14:paraId="459F113B" w14:textId="1FD05330"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745</w:t>
            </w:r>
          </w:p>
        </w:tc>
        <w:tc>
          <w:tcPr>
            <w:tcW w:w="613" w:type="pct"/>
            <w:tcBorders>
              <w:top w:val="single" w:sz="4" w:space="0" w:color="auto"/>
              <w:left w:val="single" w:sz="4" w:space="0" w:color="auto"/>
              <w:bottom w:val="single" w:sz="4" w:space="0" w:color="auto"/>
              <w:right w:val="single" w:sz="4" w:space="0" w:color="auto"/>
            </w:tcBorders>
            <w:vAlign w:val="center"/>
          </w:tcPr>
          <w:p w14:paraId="0264EEC3" w14:textId="0F910FD0"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703</w:t>
            </w:r>
          </w:p>
        </w:tc>
        <w:tc>
          <w:tcPr>
            <w:tcW w:w="472" w:type="pct"/>
            <w:tcBorders>
              <w:top w:val="single" w:sz="4" w:space="0" w:color="auto"/>
              <w:left w:val="single" w:sz="4" w:space="0" w:color="auto"/>
              <w:bottom w:val="single" w:sz="4" w:space="0" w:color="auto"/>
              <w:right w:val="single" w:sz="4" w:space="0" w:color="auto"/>
            </w:tcBorders>
            <w:vAlign w:val="center"/>
          </w:tcPr>
          <w:p w14:paraId="752858A6" w14:textId="2B45AC6D"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975</w:t>
            </w:r>
          </w:p>
        </w:tc>
        <w:tc>
          <w:tcPr>
            <w:tcW w:w="416" w:type="pct"/>
            <w:vMerge/>
            <w:tcBorders>
              <w:left w:val="single" w:sz="4" w:space="0" w:color="auto"/>
              <w:right w:val="single" w:sz="4" w:space="0" w:color="auto"/>
            </w:tcBorders>
            <w:vAlign w:val="center"/>
          </w:tcPr>
          <w:p w14:paraId="5B877D52" w14:textId="77777777" w:rsidR="0062520F" w:rsidRPr="00E67914" w:rsidRDefault="0062520F" w:rsidP="0062520F">
            <w:pPr>
              <w:jc w:val="center"/>
              <w:rPr>
                <w:rFonts w:ascii="Times New Roman" w:hAnsi="Times New Roman"/>
                <w:kern w:val="2"/>
                <w:sz w:val="21"/>
                <w:szCs w:val="21"/>
              </w:rPr>
            </w:pPr>
          </w:p>
        </w:tc>
      </w:tr>
      <w:tr w:rsidR="00E67914" w:rsidRPr="00E67914" w14:paraId="46C64204"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58FCF8C6" w14:textId="78F07399"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8#</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7BE0B0CC" w14:textId="697758AD"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107.753373255</w:t>
            </w:r>
          </w:p>
        </w:tc>
        <w:tc>
          <w:tcPr>
            <w:tcW w:w="507" w:type="pct"/>
            <w:tcBorders>
              <w:top w:val="single" w:sz="4" w:space="0" w:color="auto"/>
              <w:left w:val="single" w:sz="4" w:space="0" w:color="auto"/>
              <w:bottom w:val="single" w:sz="4" w:space="0" w:color="auto"/>
              <w:right w:val="single" w:sz="4" w:space="0" w:color="auto"/>
            </w:tcBorders>
            <w:vAlign w:val="center"/>
          </w:tcPr>
          <w:p w14:paraId="75EB7F63" w14:textId="1F97CB1E"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31.515998275</w:t>
            </w:r>
          </w:p>
        </w:tc>
        <w:tc>
          <w:tcPr>
            <w:tcW w:w="203" w:type="pct"/>
            <w:tcBorders>
              <w:top w:val="single" w:sz="4" w:space="0" w:color="auto"/>
              <w:left w:val="single" w:sz="4" w:space="0" w:color="auto"/>
              <w:bottom w:val="single" w:sz="4" w:space="0" w:color="auto"/>
              <w:right w:val="single" w:sz="4" w:space="0" w:color="auto"/>
            </w:tcBorders>
            <w:vAlign w:val="center"/>
          </w:tcPr>
          <w:p w14:paraId="6682EDC7"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47E8CC06" w14:textId="60E1CFF3" w:rsidR="0062520F" w:rsidRPr="00E67914" w:rsidRDefault="002171DD" w:rsidP="0062520F">
            <w:pPr>
              <w:jc w:val="center"/>
              <w:rPr>
                <w:rFonts w:ascii="Times New Roman" w:hAnsi="Times New Roman"/>
                <w:kern w:val="2"/>
                <w:sz w:val="21"/>
                <w:szCs w:val="21"/>
              </w:rPr>
            </w:pPr>
            <w:r w:rsidRPr="00E67914">
              <w:rPr>
                <w:rFonts w:ascii="Times New Roman" w:hAnsi="Times New Roman"/>
                <w:kern w:val="2"/>
                <w:sz w:val="21"/>
                <w:szCs w:val="21"/>
              </w:rPr>
              <w:t>18</w:t>
            </w:r>
            <w:r w:rsidR="0062520F" w:rsidRPr="00E67914">
              <w:rPr>
                <w:rFonts w:ascii="Times New Roman" w:hAnsi="Times New Roman"/>
                <w:kern w:val="2"/>
                <w:sz w:val="21"/>
                <w:szCs w:val="21"/>
              </w:rPr>
              <w:t>户，约</w:t>
            </w:r>
            <w:r w:rsidRPr="00E67914">
              <w:rPr>
                <w:rFonts w:ascii="Times New Roman" w:hAnsi="Times New Roman"/>
                <w:kern w:val="2"/>
                <w:sz w:val="21"/>
                <w:szCs w:val="21"/>
              </w:rPr>
              <w:t>72</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48E7EF20"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04CD7C84" w14:textId="799D552C" w:rsidR="0062520F" w:rsidRPr="00E67914" w:rsidRDefault="002171DD" w:rsidP="0062520F">
            <w:pPr>
              <w:jc w:val="center"/>
              <w:rPr>
                <w:rFonts w:ascii="Times New Roman" w:hAnsi="Times New Roman"/>
                <w:kern w:val="2"/>
                <w:sz w:val="21"/>
                <w:szCs w:val="21"/>
              </w:rPr>
            </w:pPr>
            <w:r w:rsidRPr="00E67914">
              <w:rPr>
                <w:rFonts w:ascii="Times New Roman" w:hAnsi="Times New Roman"/>
                <w:kern w:val="2"/>
                <w:sz w:val="21"/>
                <w:szCs w:val="21"/>
                <w:lang w:eastAsia="zh-CN"/>
              </w:rPr>
              <w:t>SW</w:t>
            </w:r>
          </w:p>
        </w:tc>
        <w:tc>
          <w:tcPr>
            <w:tcW w:w="557" w:type="pct"/>
            <w:tcBorders>
              <w:top w:val="single" w:sz="4" w:space="0" w:color="auto"/>
              <w:left w:val="single" w:sz="4" w:space="0" w:color="auto"/>
              <w:bottom w:val="single" w:sz="4" w:space="0" w:color="auto"/>
              <w:right w:val="single" w:sz="4" w:space="0" w:color="auto"/>
            </w:tcBorders>
            <w:vAlign w:val="center"/>
          </w:tcPr>
          <w:p w14:paraId="5A2E77EB" w14:textId="1576FA97"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665</w:t>
            </w:r>
          </w:p>
        </w:tc>
        <w:tc>
          <w:tcPr>
            <w:tcW w:w="613" w:type="pct"/>
            <w:tcBorders>
              <w:top w:val="single" w:sz="4" w:space="0" w:color="auto"/>
              <w:left w:val="single" w:sz="4" w:space="0" w:color="auto"/>
              <w:bottom w:val="single" w:sz="4" w:space="0" w:color="auto"/>
              <w:right w:val="single" w:sz="4" w:space="0" w:color="auto"/>
            </w:tcBorders>
            <w:vAlign w:val="center"/>
          </w:tcPr>
          <w:p w14:paraId="43BB5367" w14:textId="3142C4F2"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604</w:t>
            </w:r>
          </w:p>
        </w:tc>
        <w:tc>
          <w:tcPr>
            <w:tcW w:w="472" w:type="pct"/>
            <w:tcBorders>
              <w:top w:val="single" w:sz="4" w:space="0" w:color="auto"/>
              <w:left w:val="single" w:sz="4" w:space="0" w:color="auto"/>
              <w:bottom w:val="single" w:sz="4" w:space="0" w:color="auto"/>
              <w:right w:val="single" w:sz="4" w:space="0" w:color="auto"/>
            </w:tcBorders>
            <w:vAlign w:val="center"/>
          </w:tcPr>
          <w:p w14:paraId="047B78E1" w14:textId="3DE3FA81" w:rsidR="0062520F" w:rsidRPr="00E67914" w:rsidRDefault="002171DD"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823</w:t>
            </w:r>
          </w:p>
        </w:tc>
        <w:tc>
          <w:tcPr>
            <w:tcW w:w="416" w:type="pct"/>
            <w:vMerge/>
            <w:tcBorders>
              <w:left w:val="single" w:sz="4" w:space="0" w:color="auto"/>
              <w:right w:val="single" w:sz="4" w:space="0" w:color="auto"/>
            </w:tcBorders>
            <w:vAlign w:val="center"/>
          </w:tcPr>
          <w:p w14:paraId="75F80434" w14:textId="77777777" w:rsidR="0062520F" w:rsidRPr="00E67914" w:rsidRDefault="0062520F" w:rsidP="0062520F">
            <w:pPr>
              <w:jc w:val="center"/>
              <w:rPr>
                <w:rFonts w:ascii="Times New Roman" w:hAnsi="Times New Roman"/>
                <w:kern w:val="2"/>
                <w:sz w:val="21"/>
                <w:szCs w:val="21"/>
              </w:rPr>
            </w:pPr>
          </w:p>
        </w:tc>
      </w:tr>
      <w:tr w:rsidR="00E67914" w:rsidRPr="00E67914" w14:paraId="49576C74"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3EDF687F" w14:textId="3B8FA234"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9#</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1BB8B033" w14:textId="216DFA74"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107.758163681</w:t>
            </w:r>
          </w:p>
        </w:tc>
        <w:tc>
          <w:tcPr>
            <w:tcW w:w="507" w:type="pct"/>
            <w:tcBorders>
              <w:top w:val="single" w:sz="4" w:space="0" w:color="auto"/>
              <w:left w:val="single" w:sz="4" w:space="0" w:color="auto"/>
              <w:bottom w:val="single" w:sz="4" w:space="0" w:color="auto"/>
              <w:right w:val="single" w:sz="4" w:space="0" w:color="auto"/>
            </w:tcBorders>
            <w:vAlign w:val="center"/>
          </w:tcPr>
          <w:p w14:paraId="174C42C3" w14:textId="7E4AE9F3"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31.510687502</w:t>
            </w:r>
          </w:p>
        </w:tc>
        <w:tc>
          <w:tcPr>
            <w:tcW w:w="203" w:type="pct"/>
            <w:tcBorders>
              <w:top w:val="single" w:sz="4" w:space="0" w:color="auto"/>
              <w:left w:val="single" w:sz="4" w:space="0" w:color="auto"/>
              <w:bottom w:val="single" w:sz="4" w:space="0" w:color="auto"/>
              <w:right w:val="single" w:sz="4" w:space="0" w:color="auto"/>
            </w:tcBorders>
            <w:vAlign w:val="center"/>
          </w:tcPr>
          <w:p w14:paraId="63A9E916"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085FDE51" w14:textId="30FF0F0C" w:rsidR="0062520F" w:rsidRPr="00E67914" w:rsidRDefault="002171DD" w:rsidP="0062520F">
            <w:pPr>
              <w:jc w:val="center"/>
              <w:rPr>
                <w:rFonts w:ascii="Times New Roman" w:hAnsi="Times New Roman"/>
                <w:kern w:val="2"/>
                <w:sz w:val="21"/>
                <w:szCs w:val="21"/>
              </w:rPr>
            </w:pPr>
            <w:r w:rsidRPr="00E67914">
              <w:rPr>
                <w:rFonts w:ascii="Times New Roman" w:hAnsi="Times New Roman"/>
                <w:kern w:val="2"/>
                <w:sz w:val="21"/>
                <w:szCs w:val="21"/>
              </w:rPr>
              <w:t>20</w:t>
            </w:r>
            <w:r w:rsidR="0062520F" w:rsidRPr="00E67914">
              <w:rPr>
                <w:rFonts w:ascii="Times New Roman" w:hAnsi="Times New Roman"/>
                <w:kern w:val="2"/>
                <w:sz w:val="21"/>
                <w:szCs w:val="21"/>
              </w:rPr>
              <w:t>户，约</w:t>
            </w:r>
            <w:r w:rsidRPr="00E67914">
              <w:rPr>
                <w:rFonts w:ascii="Times New Roman" w:hAnsi="Times New Roman"/>
                <w:kern w:val="2"/>
                <w:sz w:val="21"/>
                <w:szCs w:val="21"/>
              </w:rPr>
              <w:t>80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60E07D6D"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1F389AB0" w14:textId="43F1039E" w:rsidR="0062520F" w:rsidRPr="00E67914" w:rsidRDefault="002171DD" w:rsidP="0062520F">
            <w:pPr>
              <w:jc w:val="center"/>
              <w:rPr>
                <w:rFonts w:ascii="Times New Roman" w:hAnsi="Times New Roman"/>
                <w:kern w:val="2"/>
                <w:sz w:val="21"/>
                <w:szCs w:val="21"/>
              </w:rPr>
            </w:pPr>
            <w:r w:rsidRPr="00E67914">
              <w:rPr>
                <w:rFonts w:ascii="Times New Roman" w:hAnsi="Times New Roman"/>
                <w:kern w:val="2"/>
                <w:sz w:val="21"/>
                <w:szCs w:val="21"/>
                <w:lang w:eastAsia="zh-CN"/>
              </w:rPr>
              <w:t>S</w:t>
            </w:r>
          </w:p>
        </w:tc>
        <w:tc>
          <w:tcPr>
            <w:tcW w:w="557" w:type="pct"/>
            <w:tcBorders>
              <w:top w:val="single" w:sz="4" w:space="0" w:color="auto"/>
              <w:left w:val="single" w:sz="4" w:space="0" w:color="auto"/>
              <w:bottom w:val="single" w:sz="4" w:space="0" w:color="auto"/>
              <w:right w:val="single" w:sz="4" w:space="0" w:color="auto"/>
            </w:tcBorders>
            <w:vAlign w:val="center"/>
          </w:tcPr>
          <w:p w14:paraId="59930E7A" w14:textId="284B3BF8"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982</w:t>
            </w:r>
          </w:p>
        </w:tc>
        <w:tc>
          <w:tcPr>
            <w:tcW w:w="613" w:type="pct"/>
            <w:tcBorders>
              <w:top w:val="single" w:sz="4" w:space="0" w:color="auto"/>
              <w:left w:val="single" w:sz="4" w:space="0" w:color="auto"/>
              <w:bottom w:val="single" w:sz="4" w:space="0" w:color="auto"/>
              <w:right w:val="single" w:sz="4" w:space="0" w:color="auto"/>
            </w:tcBorders>
            <w:vAlign w:val="center"/>
          </w:tcPr>
          <w:p w14:paraId="799F5587" w14:textId="62AA05C3"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923</w:t>
            </w:r>
          </w:p>
        </w:tc>
        <w:tc>
          <w:tcPr>
            <w:tcW w:w="472" w:type="pct"/>
            <w:tcBorders>
              <w:top w:val="single" w:sz="4" w:space="0" w:color="auto"/>
              <w:left w:val="single" w:sz="4" w:space="0" w:color="auto"/>
              <w:bottom w:val="single" w:sz="4" w:space="0" w:color="auto"/>
              <w:right w:val="single" w:sz="4" w:space="0" w:color="auto"/>
            </w:tcBorders>
            <w:vAlign w:val="center"/>
          </w:tcPr>
          <w:p w14:paraId="70A11BDE" w14:textId="4447B2B2"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948</w:t>
            </w:r>
          </w:p>
        </w:tc>
        <w:tc>
          <w:tcPr>
            <w:tcW w:w="416" w:type="pct"/>
            <w:vMerge/>
            <w:tcBorders>
              <w:left w:val="single" w:sz="4" w:space="0" w:color="auto"/>
              <w:right w:val="single" w:sz="4" w:space="0" w:color="auto"/>
            </w:tcBorders>
            <w:vAlign w:val="center"/>
          </w:tcPr>
          <w:p w14:paraId="6F63238B" w14:textId="77777777" w:rsidR="0062520F" w:rsidRPr="00E67914" w:rsidRDefault="0062520F" w:rsidP="0062520F">
            <w:pPr>
              <w:jc w:val="center"/>
              <w:rPr>
                <w:rFonts w:ascii="Times New Roman" w:hAnsi="Times New Roman"/>
                <w:kern w:val="2"/>
                <w:sz w:val="21"/>
                <w:szCs w:val="21"/>
              </w:rPr>
            </w:pPr>
          </w:p>
        </w:tc>
      </w:tr>
      <w:tr w:rsidR="00E67914" w:rsidRPr="00E67914" w14:paraId="5CC623CD"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39E879C7" w14:textId="104E74D8"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10#</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2694A6C1" w14:textId="771C222F"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107.763045301</w:t>
            </w:r>
          </w:p>
        </w:tc>
        <w:tc>
          <w:tcPr>
            <w:tcW w:w="507" w:type="pct"/>
            <w:tcBorders>
              <w:top w:val="single" w:sz="4" w:space="0" w:color="auto"/>
              <w:left w:val="single" w:sz="4" w:space="0" w:color="auto"/>
              <w:bottom w:val="single" w:sz="4" w:space="0" w:color="auto"/>
              <w:right w:val="single" w:sz="4" w:space="0" w:color="auto"/>
            </w:tcBorders>
            <w:vAlign w:val="center"/>
          </w:tcPr>
          <w:p w14:paraId="2FCDFD53" w14:textId="3ED8C9D7"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31.516416700</w:t>
            </w:r>
          </w:p>
        </w:tc>
        <w:tc>
          <w:tcPr>
            <w:tcW w:w="203" w:type="pct"/>
            <w:tcBorders>
              <w:top w:val="single" w:sz="4" w:space="0" w:color="auto"/>
              <w:left w:val="single" w:sz="4" w:space="0" w:color="auto"/>
              <w:bottom w:val="single" w:sz="4" w:space="0" w:color="auto"/>
              <w:right w:val="single" w:sz="4" w:space="0" w:color="auto"/>
            </w:tcBorders>
            <w:vAlign w:val="center"/>
          </w:tcPr>
          <w:p w14:paraId="0C7C305F"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1358707A" w14:textId="1ACD0859" w:rsidR="0062520F" w:rsidRPr="00E67914" w:rsidRDefault="003B11F9" w:rsidP="0062520F">
            <w:pPr>
              <w:jc w:val="center"/>
              <w:rPr>
                <w:rFonts w:ascii="Times New Roman" w:hAnsi="Times New Roman"/>
                <w:kern w:val="2"/>
                <w:sz w:val="21"/>
                <w:szCs w:val="21"/>
              </w:rPr>
            </w:pPr>
            <w:r w:rsidRPr="00E67914">
              <w:rPr>
                <w:rFonts w:ascii="Times New Roman" w:hAnsi="Times New Roman"/>
                <w:kern w:val="2"/>
                <w:sz w:val="21"/>
                <w:szCs w:val="21"/>
              </w:rPr>
              <w:t>2</w:t>
            </w:r>
            <w:r w:rsidR="0062520F" w:rsidRPr="00E67914">
              <w:rPr>
                <w:rFonts w:ascii="Times New Roman" w:hAnsi="Times New Roman"/>
                <w:kern w:val="2"/>
                <w:sz w:val="21"/>
                <w:szCs w:val="21"/>
              </w:rPr>
              <w:t>0</w:t>
            </w:r>
            <w:r w:rsidR="0062520F" w:rsidRPr="00E67914">
              <w:rPr>
                <w:rFonts w:ascii="Times New Roman" w:hAnsi="Times New Roman"/>
                <w:kern w:val="2"/>
                <w:sz w:val="21"/>
                <w:szCs w:val="21"/>
              </w:rPr>
              <w:t>户，约</w:t>
            </w:r>
            <w:r w:rsidRPr="00E67914">
              <w:rPr>
                <w:rFonts w:ascii="Times New Roman" w:hAnsi="Times New Roman"/>
                <w:kern w:val="2"/>
                <w:sz w:val="21"/>
                <w:szCs w:val="21"/>
              </w:rPr>
              <w:t>8</w:t>
            </w:r>
            <w:r w:rsidR="0062520F" w:rsidRPr="00E67914">
              <w:rPr>
                <w:rFonts w:ascii="Times New Roman" w:hAnsi="Times New Roman"/>
                <w:kern w:val="2"/>
                <w:sz w:val="21"/>
                <w:szCs w:val="21"/>
              </w:rPr>
              <w:t>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42DFA221"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185BB378" w14:textId="0D9F38E6" w:rsidR="0062520F" w:rsidRPr="00E67914" w:rsidRDefault="003B11F9" w:rsidP="0062520F">
            <w:pPr>
              <w:jc w:val="center"/>
              <w:rPr>
                <w:rFonts w:ascii="Times New Roman" w:hAnsi="Times New Roman"/>
                <w:kern w:val="2"/>
                <w:sz w:val="21"/>
                <w:szCs w:val="21"/>
              </w:rPr>
            </w:pPr>
            <w:r w:rsidRPr="00E67914">
              <w:rPr>
                <w:rFonts w:ascii="Times New Roman" w:hAnsi="Times New Roman"/>
                <w:kern w:val="2"/>
                <w:sz w:val="21"/>
                <w:szCs w:val="21"/>
                <w:lang w:eastAsia="zh-CN"/>
              </w:rPr>
              <w:t>SE</w:t>
            </w:r>
          </w:p>
        </w:tc>
        <w:tc>
          <w:tcPr>
            <w:tcW w:w="557" w:type="pct"/>
            <w:tcBorders>
              <w:top w:val="single" w:sz="4" w:space="0" w:color="auto"/>
              <w:left w:val="single" w:sz="4" w:space="0" w:color="auto"/>
              <w:bottom w:val="single" w:sz="4" w:space="0" w:color="auto"/>
              <w:right w:val="single" w:sz="4" w:space="0" w:color="auto"/>
            </w:tcBorders>
            <w:vAlign w:val="center"/>
          </w:tcPr>
          <w:p w14:paraId="1100B027" w14:textId="16C39AD0"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450</w:t>
            </w:r>
          </w:p>
        </w:tc>
        <w:tc>
          <w:tcPr>
            <w:tcW w:w="613" w:type="pct"/>
            <w:tcBorders>
              <w:top w:val="single" w:sz="4" w:space="0" w:color="auto"/>
              <w:left w:val="single" w:sz="4" w:space="0" w:color="auto"/>
              <w:bottom w:val="single" w:sz="4" w:space="0" w:color="auto"/>
              <w:right w:val="single" w:sz="4" w:space="0" w:color="auto"/>
            </w:tcBorders>
            <w:vAlign w:val="center"/>
          </w:tcPr>
          <w:p w14:paraId="62728C6D" w14:textId="0AA9CFB7"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407</w:t>
            </w:r>
          </w:p>
        </w:tc>
        <w:tc>
          <w:tcPr>
            <w:tcW w:w="472" w:type="pct"/>
            <w:tcBorders>
              <w:top w:val="single" w:sz="4" w:space="0" w:color="auto"/>
              <w:left w:val="single" w:sz="4" w:space="0" w:color="auto"/>
              <w:bottom w:val="single" w:sz="4" w:space="0" w:color="auto"/>
              <w:right w:val="single" w:sz="4" w:space="0" w:color="auto"/>
            </w:tcBorders>
            <w:vAlign w:val="center"/>
          </w:tcPr>
          <w:p w14:paraId="5F821DA5" w14:textId="15C3331F"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198</w:t>
            </w:r>
          </w:p>
        </w:tc>
        <w:tc>
          <w:tcPr>
            <w:tcW w:w="416" w:type="pct"/>
            <w:vMerge/>
            <w:tcBorders>
              <w:left w:val="single" w:sz="4" w:space="0" w:color="auto"/>
              <w:right w:val="single" w:sz="4" w:space="0" w:color="auto"/>
            </w:tcBorders>
            <w:vAlign w:val="center"/>
          </w:tcPr>
          <w:p w14:paraId="1B671610" w14:textId="77777777" w:rsidR="0062520F" w:rsidRPr="00E67914" w:rsidRDefault="0062520F" w:rsidP="0062520F">
            <w:pPr>
              <w:jc w:val="center"/>
              <w:rPr>
                <w:rFonts w:ascii="Times New Roman" w:hAnsi="Times New Roman"/>
                <w:kern w:val="2"/>
                <w:sz w:val="21"/>
                <w:szCs w:val="21"/>
              </w:rPr>
            </w:pPr>
          </w:p>
        </w:tc>
      </w:tr>
      <w:tr w:rsidR="00E67914" w:rsidRPr="00E67914" w14:paraId="18C76B3F"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38584DF5" w14:textId="7528E333" w:rsidR="0062520F" w:rsidRPr="00E67914" w:rsidRDefault="0062520F"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w:t>
            </w:r>
            <w:r w:rsidRPr="00E67914">
              <w:rPr>
                <w:rFonts w:ascii="Times New Roman" w:hAnsi="Times New Roman"/>
                <w:kern w:val="2"/>
                <w:sz w:val="21"/>
                <w:szCs w:val="21"/>
                <w:lang w:eastAsia="zh-CN"/>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2EB38BB8" w14:textId="6BFBB891"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107.764429321</w:t>
            </w:r>
          </w:p>
        </w:tc>
        <w:tc>
          <w:tcPr>
            <w:tcW w:w="507" w:type="pct"/>
            <w:tcBorders>
              <w:top w:val="single" w:sz="4" w:space="0" w:color="auto"/>
              <w:left w:val="single" w:sz="4" w:space="0" w:color="auto"/>
              <w:bottom w:val="single" w:sz="4" w:space="0" w:color="auto"/>
              <w:right w:val="single" w:sz="4" w:space="0" w:color="auto"/>
            </w:tcBorders>
            <w:vAlign w:val="center"/>
          </w:tcPr>
          <w:p w14:paraId="3903D1E8" w14:textId="427553E9"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31.518862875</w:t>
            </w:r>
          </w:p>
        </w:tc>
        <w:tc>
          <w:tcPr>
            <w:tcW w:w="203" w:type="pct"/>
            <w:tcBorders>
              <w:top w:val="single" w:sz="4" w:space="0" w:color="auto"/>
              <w:left w:val="single" w:sz="4" w:space="0" w:color="auto"/>
              <w:bottom w:val="single" w:sz="4" w:space="0" w:color="auto"/>
              <w:right w:val="single" w:sz="4" w:space="0" w:color="auto"/>
            </w:tcBorders>
            <w:vAlign w:val="center"/>
          </w:tcPr>
          <w:p w14:paraId="629896BB"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12DB81E4" w14:textId="4014B073"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w:t>
            </w:r>
            <w:r w:rsidR="003B11F9" w:rsidRPr="00E67914">
              <w:rPr>
                <w:rFonts w:ascii="Times New Roman" w:hAnsi="Times New Roman"/>
                <w:kern w:val="2"/>
                <w:sz w:val="21"/>
                <w:szCs w:val="21"/>
              </w:rPr>
              <w:t>2</w:t>
            </w:r>
            <w:r w:rsidRPr="00E67914">
              <w:rPr>
                <w:rFonts w:ascii="Times New Roman" w:hAnsi="Times New Roman"/>
                <w:kern w:val="2"/>
                <w:sz w:val="21"/>
                <w:szCs w:val="21"/>
              </w:rPr>
              <w:t>户，约</w:t>
            </w:r>
            <w:r w:rsidR="003B11F9" w:rsidRPr="00E67914">
              <w:rPr>
                <w:rFonts w:ascii="Times New Roman" w:hAnsi="Times New Roman"/>
                <w:kern w:val="2"/>
                <w:sz w:val="21"/>
                <w:szCs w:val="21"/>
              </w:rPr>
              <w:t>48</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0A12C845"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0D99BAA3" w14:textId="7C8CDAB7" w:rsidR="0062520F" w:rsidRPr="00E67914" w:rsidRDefault="003B11F9" w:rsidP="0062520F">
            <w:pPr>
              <w:jc w:val="center"/>
              <w:rPr>
                <w:rFonts w:ascii="Times New Roman" w:hAnsi="Times New Roman"/>
                <w:kern w:val="2"/>
                <w:sz w:val="21"/>
                <w:szCs w:val="21"/>
              </w:rPr>
            </w:pPr>
            <w:r w:rsidRPr="00E67914">
              <w:rPr>
                <w:rFonts w:ascii="Times New Roman" w:hAnsi="Times New Roman"/>
                <w:kern w:val="2"/>
                <w:sz w:val="21"/>
                <w:szCs w:val="21"/>
                <w:lang w:eastAsia="zh-CN"/>
              </w:rPr>
              <w:t>E</w:t>
            </w:r>
          </w:p>
        </w:tc>
        <w:tc>
          <w:tcPr>
            <w:tcW w:w="557" w:type="pct"/>
            <w:tcBorders>
              <w:top w:val="single" w:sz="4" w:space="0" w:color="auto"/>
              <w:left w:val="single" w:sz="4" w:space="0" w:color="auto"/>
              <w:bottom w:val="single" w:sz="4" w:space="0" w:color="auto"/>
              <w:right w:val="single" w:sz="4" w:space="0" w:color="auto"/>
            </w:tcBorders>
            <w:vAlign w:val="center"/>
          </w:tcPr>
          <w:p w14:paraId="5D99C233" w14:textId="507CE486"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433</w:t>
            </w:r>
          </w:p>
        </w:tc>
        <w:tc>
          <w:tcPr>
            <w:tcW w:w="613" w:type="pct"/>
            <w:tcBorders>
              <w:top w:val="single" w:sz="4" w:space="0" w:color="auto"/>
              <w:left w:val="single" w:sz="4" w:space="0" w:color="auto"/>
              <w:bottom w:val="single" w:sz="4" w:space="0" w:color="auto"/>
              <w:right w:val="single" w:sz="4" w:space="0" w:color="auto"/>
            </w:tcBorders>
            <w:vAlign w:val="center"/>
          </w:tcPr>
          <w:p w14:paraId="6EBC0733" w14:textId="01C0C642"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405</w:t>
            </w:r>
          </w:p>
        </w:tc>
        <w:tc>
          <w:tcPr>
            <w:tcW w:w="472" w:type="pct"/>
            <w:tcBorders>
              <w:top w:val="single" w:sz="4" w:space="0" w:color="auto"/>
              <w:left w:val="single" w:sz="4" w:space="0" w:color="auto"/>
              <w:bottom w:val="single" w:sz="4" w:space="0" w:color="auto"/>
              <w:right w:val="single" w:sz="4" w:space="0" w:color="auto"/>
            </w:tcBorders>
            <w:vAlign w:val="center"/>
          </w:tcPr>
          <w:p w14:paraId="3E6D2637" w14:textId="5155DBF8" w:rsidR="0062520F" w:rsidRPr="00E67914" w:rsidRDefault="003B11F9"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89</w:t>
            </w:r>
          </w:p>
        </w:tc>
        <w:tc>
          <w:tcPr>
            <w:tcW w:w="416" w:type="pct"/>
            <w:vMerge/>
            <w:tcBorders>
              <w:left w:val="single" w:sz="4" w:space="0" w:color="auto"/>
              <w:right w:val="single" w:sz="4" w:space="0" w:color="auto"/>
            </w:tcBorders>
            <w:vAlign w:val="center"/>
          </w:tcPr>
          <w:p w14:paraId="53DE78A6" w14:textId="77777777" w:rsidR="0062520F" w:rsidRPr="00E67914" w:rsidRDefault="0062520F" w:rsidP="0062520F">
            <w:pPr>
              <w:jc w:val="center"/>
              <w:rPr>
                <w:rFonts w:ascii="Times New Roman" w:hAnsi="Times New Roman"/>
                <w:kern w:val="2"/>
                <w:sz w:val="21"/>
                <w:szCs w:val="21"/>
              </w:rPr>
            </w:pPr>
          </w:p>
        </w:tc>
      </w:tr>
      <w:tr w:rsidR="00E67914" w:rsidRPr="00E67914" w14:paraId="070E06E6"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356A1BCA" w14:textId="626E91D1"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12#</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42B8EE4C" w14:textId="70B48158"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107.769686451</w:t>
            </w:r>
          </w:p>
        </w:tc>
        <w:tc>
          <w:tcPr>
            <w:tcW w:w="507" w:type="pct"/>
            <w:tcBorders>
              <w:top w:val="single" w:sz="4" w:space="0" w:color="auto"/>
              <w:left w:val="single" w:sz="4" w:space="0" w:color="auto"/>
              <w:bottom w:val="single" w:sz="4" w:space="0" w:color="auto"/>
              <w:right w:val="single" w:sz="4" w:space="0" w:color="auto"/>
            </w:tcBorders>
            <w:vAlign w:val="center"/>
          </w:tcPr>
          <w:p w14:paraId="4B9AB240" w14:textId="127D0D29"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31.520772607</w:t>
            </w:r>
          </w:p>
        </w:tc>
        <w:tc>
          <w:tcPr>
            <w:tcW w:w="203" w:type="pct"/>
            <w:tcBorders>
              <w:top w:val="single" w:sz="4" w:space="0" w:color="auto"/>
              <w:left w:val="single" w:sz="4" w:space="0" w:color="auto"/>
              <w:bottom w:val="single" w:sz="4" w:space="0" w:color="auto"/>
              <w:right w:val="single" w:sz="4" w:space="0" w:color="auto"/>
            </w:tcBorders>
            <w:vAlign w:val="center"/>
          </w:tcPr>
          <w:p w14:paraId="08B51686"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262DBAEB" w14:textId="6CB90E94"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rPr>
              <w:t>40</w:t>
            </w:r>
            <w:r w:rsidR="0062520F" w:rsidRPr="00E67914">
              <w:rPr>
                <w:rFonts w:ascii="Times New Roman" w:hAnsi="Times New Roman"/>
                <w:kern w:val="2"/>
                <w:sz w:val="21"/>
                <w:szCs w:val="21"/>
              </w:rPr>
              <w:t>户，约</w:t>
            </w:r>
            <w:r w:rsidRPr="00E67914">
              <w:rPr>
                <w:rFonts w:ascii="Times New Roman" w:hAnsi="Times New Roman"/>
                <w:kern w:val="2"/>
                <w:sz w:val="21"/>
                <w:szCs w:val="21"/>
              </w:rPr>
              <w:t>160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4368919A"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1DA69EAF" w14:textId="58817324"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lang w:eastAsia="zh-CN"/>
              </w:rPr>
              <w:t>E</w:t>
            </w:r>
          </w:p>
        </w:tc>
        <w:tc>
          <w:tcPr>
            <w:tcW w:w="557" w:type="pct"/>
            <w:tcBorders>
              <w:top w:val="single" w:sz="4" w:space="0" w:color="auto"/>
              <w:left w:val="single" w:sz="4" w:space="0" w:color="auto"/>
              <w:bottom w:val="single" w:sz="4" w:space="0" w:color="auto"/>
              <w:right w:val="single" w:sz="4" w:space="0" w:color="auto"/>
            </w:tcBorders>
            <w:vAlign w:val="center"/>
          </w:tcPr>
          <w:p w14:paraId="1C225BF8" w14:textId="66AFEB38"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718</w:t>
            </w:r>
          </w:p>
        </w:tc>
        <w:tc>
          <w:tcPr>
            <w:tcW w:w="613" w:type="pct"/>
            <w:tcBorders>
              <w:top w:val="single" w:sz="4" w:space="0" w:color="auto"/>
              <w:left w:val="single" w:sz="4" w:space="0" w:color="auto"/>
              <w:bottom w:val="single" w:sz="4" w:space="0" w:color="auto"/>
              <w:right w:val="single" w:sz="4" w:space="0" w:color="auto"/>
            </w:tcBorders>
            <w:vAlign w:val="center"/>
          </w:tcPr>
          <w:p w14:paraId="6D2EFC01" w14:textId="4F50595F"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679</w:t>
            </w:r>
          </w:p>
        </w:tc>
        <w:tc>
          <w:tcPr>
            <w:tcW w:w="472" w:type="pct"/>
            <w:tcBorders>
              <w:top w:val="single" w:sz="4" w:space="0" w:color="auto"/>
              <w:left w:val="single" w:sz="4" w:space="0" w:color="auto"/>
              <w:bottom w:val="single" w:sz="4" w:space="0" w:color="auto"/>
              <w:right w:val="single" w:sz="4" w:space="0" w:color="auto"/>
            </w:tcBorders>
            <w:vAlign w:val="center"/>
          </w:tcPr>
          <w:p w14:paraId="3E869412" w14:textId="66EAF77B"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398</w:t>
            </w:r>
          </w:p>
        </w:tc>
        <w:tc>
          <w:tcPr>
            <w:tcW w:w="416" w:type="pct"/>
            <w:vMerge/>
            <w:tcBorders>
              <w:left w:val="single" w:sz="4" w:space="0" w:color="auto"/>
              <w:right w:val="single" w:sz="4" w:space="0" w:color="auto"/>
            </w:tcBorders>
            <w:vAlign w:val="center"/>
          </w:tcPr>
          <w:p w14:paraId="057F7DE9" w14:textId="77777777" w:rsidR="0062520F" w:rsidRPr="00E67914" w:rsidRDefault="0062520F" w:rsidP="0062520F">
            <w:pPr>
              <w:jc w:val="center"/>
              <w:rPr>
                <w:rFonts w:ascii="Times New Roman" w:hAnsi="Times New Roman"/>
                <w:kern w:val="2"/>
                <w:sz w:val="21"/>
                <w:szCs w:val="21"/>
              </w:rPr>
            </w:pPr>
          </w:p>
        </w:tc>
      </w:tr>
      <w:tr w:rsidR="00E67914" w:rsidRPr="00E67914" w14:paraId="4755AABC"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402B6252" w14:textId="46DCFA68"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13#</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5B67C98A" w14:textId="0B3EE479"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107.778709402</w:t>
            </w:r>
          </w:p>
        </w:tc>
        <w:tc>
          <w:tcPr>
            <w:tcW w:w="507" w:type="pct"/>
            <w:tcBorders>
              <w:top w:val="single" w:sz="4" w:space="0" w:color="auto"/>
              <w:left w:val="single" w:sz="4" w:space="0" w:color="auto"/>
              <w:bottom w:val="single" w:sz="4" w:space="0" w:color="auto"/>
              <w:right w:val="single" w:sz="4" w:space="0" w:color="auto"/>
            </w:tcBorders>
            <w:vAlign w:val="center"/>
          </w:tcPr>
          <w:p w14:paraId="37ABA699" w14:textId="1146126E"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31.520021589</w:t>
            </w:r>
          </w:p>
        </w:tc>
        <w:tc>
          <w:tcPr>
            <w:tcW w:w="203" w:type="pct"/>
            <w:tcBorders>
              <w:top w:val="single" w:sz="4" w:space="0" w:color="auto"/>
              <w:left w:val="single" w:sz="4" w:space="0" w:color="auto"/>
              <w:bottom w:val="single" w:sz="4" w:space="0" w:color="auto"/>
              <w:right w:val="single" w:sz="4" w:space="0" w:color="auto"/>
            </w:tcBorders>
            <w:vAlign w:val="center"/>
          </w:tcPr>
          <w:p w14:paraId="4F2311E6"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0F7287FD" w14:textId="0100077D"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w:t>
            </w:r>
            <w:r w:rsidR="006115D6" w:rsidRPr="00E67914">
              <w:rPr>
                <w:rFonts w:ascii="Times New Roman" w:hAnsi="Times New Roman"/>
                <w:kern w:val="2"/>
                <w:sz w:val="21"/>
                <w:szCs w:val="21"/>
              </w:rPr>
              <w:t>5</w:t>
            </w:r>
            <w:r w:rsidRPr="00E67914">
              <w:rPr>
                <w:rFonts w:ascii="Times New Roman" w:hAnsi="Times New Roman"/>
                <w:kern w:val="2"/>
                <w:sz w:val="21"/>
                <w:szCs w:val="21"/>
              </w:rPr>
              <w:t>户，约</w:t>
            </w:r>
            <w:r w:rsidR="006115D6" w:rsidRPr="00E67914">
              <w:rPr>
                <w:rFonts w:ascii="Times New Roman" w:hAnsi="Times New Roman"/>
                <w:kern w:val="2"/>
                <w:sz w:val="21"/>
                <w:szCs w:val="21"/>
              </w:rPr>
              <w:t>6</w:t>
            </w:r>
            <w:r w:rsidRPr="00E67914">
              <w:rPr>
                <w:rFonts w:ascii="Times New Roman" w:hAnsi="Times New Roman"/>
                <w:kern w:val="2"/>
                <w:sz w:val="21"/>
                <w:szCs w:val="21"/>
              </w:rPr>
              <w:t>0</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37D7A9CF"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679A4D2D" w14:textId="792B1FEA"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lang w:eastAsia="zh-CN"/>
              </w:rPr>
              <w:t>E</w:t>
            </w:r>
          </w:p>
        </w:tc>
        <w:tc>
          <w:tcPr>
            <w:tcW w:w="557" w:type="pct"/>
            <w:tcBorders>
              <w:top w:val="single" w:sz="4" w:space="0" w:color="auto"/>
              <w:left w:val="single" w:sz="4" w:space="0" w:color="auto"/>
              <w:bottom w:val="single" w:sz="4" w:space="0" w:color="auto"/>
              <w:right w:val="single" w:sz="4" w:space="0" w:color="auto"/>
            </w:tcBorders>
            <w:vAlign w:val="center"/>
          </w:tcPr>
          <w:p w14:paraId="258FB587" w14:textId="2EDC8ABB"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1597</w:t>
            </w:r>
          </w:p>
        </w:tc>
        <w:tc>
          <w:tcPr>
            <w:tcW w:w="613" w:type="pct"/>
            <w:tcBorders>
              <w:top w:val="single" w:sz="4" w:space="0" w:color="auto"/>
              <w:left w:val="single" w:sz="4" w:space="0" w:color="auto"/>
              <w:bottom w:val="single" w:sz="4" w:space="0" w:color="auto"/>
              <w:right w:val="single" w:sz="4" w:space="0" w:color="auto"/>
            </w:tcBorders>
            <w:vAlign w:val="center"/>
          </w:tcPr>
          <w:p w14:paraId="1533D164" w14:textId="56110F1A"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1564</w:t>
            </w:r>
          </w:p>
        </w:tc>
        <w:tc>
          <w:tcPr>
            <w:tcW w:w="472" w:type="pct"/>
            <w:tcBorders>
              <w:top w:val="single" w:sz="4" w:space="0" w:color="auto"/>
              <w:left w:val="single" w:sz="4" w:space="0" w:color="auto"/>
              <w:bottom w:val="single" w:sz="4" w:space="0" w:color="auto"/>
              <w:right w:val="single" w:sz="4" w:space="0" w:color="auto"/>
            </w:tcBorders>
            <w:vAlign w:val="center"/>
          </w:tcPr>
          <w:p w14:paraId="7FF49888" w14:textId="75888D2B"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1255</w:t>
            </w:r>
          </w:p>
        </w:tc>
        <w:tc>
          <w:tcPr>
            <w:tcW w:w="416" w:type="pct"/>
            <w:vMerge/>
            <w:tcBorders>
              <w:left w:val="single" w:sz="4" w:space="0" w:color="auto"/>
              <w:right w:val="single" w:sz="4" w:space="0" w:color="auto"/>
            </w:tcBorders>
            <w:vAlign w:val="center"/>
          </w:tcPr>
          <w:p w14:paraId="1A443FF0" w14:textId="77777777" w:rsidR="0062520F" w:rsidRPr="00E67914" w:rsidRDefault="0062520F" w:rsidP="0062520F">
            <w:pPr>
              <w:jc w:val="center"/>
              <w:rPr>
                <w:rFonts w:ascii="Times New Roman" w:hAnsi="Times New Roman"/>
                <w:kern w:val="2"/>
                <w:sz w:val="21"/>
                <w:szCs w:val="21"/>
              </w:rPr>
            </w:pPr>
          </w:p>
        </w:tc>
      </w:tr>
      <w:tr w:rsidR="00E67914" w:rsidRPr="00E67914" w14:paraId="775337F1"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3C83D240" w14:textId="0BC1954B"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14#</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2825C6EE" w14:textId="1C79B083"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107.772937288</w:t>
            </w:r>
          </w:p>
        </w:tc>
        <w:tc>
          <w:tcPr>
            <w:tcW w:w="507" w:type="pct"/>
            <w:tcBorders>
              <w:top w:val="single" w:sz="4" w:space="0" w:color="auto"/>
              <w:left w:val="single" w:sz="4" w:space="0" w:color="auto"/>
              <w:bottom w:val="single" w:sz="4" w:space="0" w:color="auto"/>
              <w:right w:val="single" w:sz="4" w:space="0" w:color="auto"/>
            </w:tcBorders>
            <w:vAlign w:val="center"/>
          </w:tcPr>
          <w:p w14:paraId="4C4D5E98" w14:textId="57DCEC9E"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31.510558756</w:t>
            </w:r>
          </w:p>
        </w:tc>
        <w:tc>
          <w:tcPr>
            <w:tcW w:w="203" w:type="pct"/>
            <w:tcBorders>
              <w:top w:val="single" w:sz="4" w:space="0" w:color="auto"/>
              <w:left w:val="single" w:sz="4" w:space="0" w:color="auto"/>
              <w:bottom w:val="single" w:sz="4" w:space="0" w:color="auto"/>
              <w:right w:val="single" w:sz="4" w:space="0" w:color="auto"/>
            </w:tcBorders>
            <w:vAlign w:val="center"/>
          </w:tcPr>
          <w:p w14:paraId="4F32C7A8"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6A225B16" w14:textId="532CA4BA"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rPr>
              <w:t>2</w:t>
            </w:r>
            <w:r w:rsidR="0062520F" w:rsidRPr="00E67914">
              <w:rPr>
                <w:rFonts w:ascii="Times New Roman" w:hAnsi="Times New Roman"/>
                <w:kern w:val="2"/>
                <w:sz w:val="21"/>
                <w:szCs w:val="21"/>
              </w:rPr>
              <w:t>0</w:t>
            </w:r>
            <w:r w:rsidR="0062520F" w:rsidRPr="00E67914">
              <w:rPr>
                <w:rFonts w:ascii="Times New Roman" w:hAnsi="Times New Roman"/>
                <w:kern w:val="2"/>
                <w:sz w:val="21"/>
                <w:szCs w:val="21"/>
              </w:rPr>
              <w:t>户，约</w:t>
            </w:r>
            <w:r w:rsidRPr="00E67914">
              <w:rPr>
                <w:rFonts w:ascii="Times New Roman" w:hAnsi="Times New Roman"/>
                <w:kern w:val="2"/>
                <w:sz w:val="21"/>
                <w:szCs w:val="21"/>
              </w:rPr>
              <w:t>8</w:t>
            </w:r>
            <w:r w:rsidR="0062520F" w:rsidRPr="00E67914">
              <w:rPr>
                <w:rFonts w:ascii="Times New Roman" w:hAnsi="Times New Roman"/>
                <w:kern w:val="2"/>
                <w:sz w:val="21"/>
                <w:szCs w:val="21"/>
              </w:rPr>
              <w:t>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430D39C7"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6D6E5883" w14:textId="677D3CFF"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lang w:eastAsia="zh-CN"/>
              </w:rPr>
              <w:t>SE</w:t>
            </w:r>
          </w:p>
        </w:tc>
        <w:tc>
          <w:tcPr>
            <w:tcW w:w="557" w:type="pct"/>
            <w:tcBorders>
              <w:top w:val="single" w:sz="4" w:space="0" w:color="auto"/>
              <w:left w:val="single" w:sz="4" w:space="0" w:color="auto"/>
              <w:bottom w:val="single" w:sz="4" w:space="0" w:color="auto"/>
              <w:right w:val="single" w:sz="4" w:space="0" w:color="auto"/>
            </w:tcBorders>
            <w:vAlign w:val="center"/>
          </w:tcPr>
          <w:p w14:paraId="3D4695E5" w14:textId="7633B92B"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1474</w:t>
            </w:r>
          </w:p>
        </w:tc>
        <w:tc>
          <w:tcPr>
            <w:tcW w:w="613" w:type="pct"/>
            <w:tcBorders>
              <w:top w:val="single" w:sz="4" w:space="0" w:color="auto"/>
              <w:left w:val="single" w:sz="4" w:space="0" w:color="auto"/>
              <w:bottom w:val="single" w:sz="4" w:space="0" w:color="auto"/>
              <w:right w:val="single" w:sz="4" w:space="0" w:color="auto"/>
            </w:tcBorders>
            <w:vAlign w:val="center"/>
          </w:tcPr>
          <w:p w14:paraId="57F15937" w14:textId="02C0C352"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1435</w:t>
            </w:r>
          </w:p>
        </w:tc>
        <w:tc>
          <w:tcPr>
            <w:tcW w:w="472" w:type="pct"/>
            <w:tcBorders>
              <w:top w:val="single" w:sz="4" w:space="0" w:color="auto"/>
              <w:left w:val="single" w:sz="4" w:space="0" w:color="auto"/>
              <w:bottom w:val="single" w:sz="4" w:space="0" w:color="auto"/>
              <w:right w:val="single" w:sz="4" w:space="0" w:color="auto"/>
            </w:tcBorders>
            <w:vAlign w:val="center"/>
          </w:tcPr>
          <w:p w14:paraId="60F889D1" w14:textId="763E090F"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1148</w:t>
            </w:r>
          </w:p>
        </w:tc>
        <w:tc>
          <w:tcPr>
            <w:tcW w:w="416" w:type="pct"/>
            <w:vMerge/>
            <w:tcBorders>
              <w:left w:val="single" w:sz="4" w:space="0" w:color="auto"/>
              <w:right w:val="single" w:sz="4" w:space="0" w:color="auto"/>
            </w:tcBorders>
            <w:vAlign w:val="center"/>
          </w:tcPr>
          <w:p w14:paraId="557EAA2C" w14:textId="77777777" w:rsidR="0062520F" w:rsidRPr="00E67914" w:rsidRDefault="0062520F" w:rsidP="0062520F">
            <w:pPr>
              <w:jc w:val="center"/>
              <w:rPr>
                <w:rFonts w:ascii="Times New Roman" w:hAnsi="Times New Roman"/>
                <w:kern w:val="2"/>
                <w:sz w:val="21"/>
                <w:szCs w:val="21"/>
              </w:rPr>
            </w:pPr>
          </w:p>
        </w:tc>
      </w:tr>
      <w:tr w:rsidR="00E67914" w:rsidRPr="00E67914" w14:paraId="28A4D5D0"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4E961036" w14:textId="1C8911E0"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15#</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6DF8C49A" w14:textId="7A8375AD"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107.768838873</w:t>
            </w:r>
          </w:p>
        </w:tc>
        <w:tc>
          <w:tcPr>
            <w:tcW w:w="507" w:type="pct"/>
            <w:tcBorders>
              <w:top w:val="single" w:sz="4" w:space="0" w:color="auto"/>
              <w:left w:val="single" w:sz="4" w:space="0" w:color="auto"/>
              <w:bottom w:val="single" w:sz="4" w:space="0" w:color="auto"/>
              <w:right w:val="single" w:sz="4" w:space="0" w:color="auto"/>
            </w:tcBorders>
            <w:vAlign w:val="center"/>
          </w:tcPr>
          <w:p w14:paraId="7B9B31BE" w14:textId="716CD14E"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31.505516203</w:t>
            </w:r>
          </w:p>
        </w:tc>
        <w:tc>
          <w:tcPr>
            <w:tcW w:w="203" w:type="pct"/>
            <w:tcBorders>
              <w:top w:val="single" w:sz="4" w:space="0" w:color="auto"/>
              <w:left w:val="single" w:sz="4" w:space="0" w:color="auto"/>
              <w:bottom w:val="single" w:sz="4" w:space="0" w:color="auto"/>
              <w:right w:val="single" w:sz="4" w:space="0" w:color="auto"/>
            </w:tcBorders>
            <w:vAlign w:val="center"/>
          </w:tcPr>
          <w:p w14:paraId="0BD03226"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4D20937A" w14:textId="6FC79025"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rPr>
              <w:t>60</w:t>
            </w:r>
            <w:r w:rsidR="0062520F" w:rsidRPr="00E67914">
              <w:rPr>
                <w:rFonts w:ascii="Times New Roman" w:hAnsi="Times New Roman"/>
                <w:kern w:val="2"/>
                <w:sz w:val="21"/>
                <w:szCs w:val="21"/>
              </w:rPr>
              <w:t>户，约</w:t>
            </w:r>
            <w:r w:rsidRPr="00E67914">
              <w:rPr>
                <w:rFonts w:ascii="Times New Roman" w:hAnsi="Times New Roman"/>
                <w:kern w:val="2"/>
                <w:sz w:val="21"/>
                <w:szCs w:val="21"/>
              </w:rPr>
              <w:t>240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75C68795"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5C4C5E48" w14:textId="39539032"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lang w:eastAsia="zh-CN"/>
              </w:rPr>
              <w:t>SE</w:t>
            </w:r>
          </w:p>
        </w:tc>
        <w:tc>
          <w:tcPr>
            <w:tcW w:w="557" w:type="pct"/>
            <w:tcBorders>
              <w:top w:val="single" w:sz="4" w:space="0" w:color="auto"/>
              <w:left w:val="single" w:sz="4" w:space="0" w:color="auto"/>
              <w:bottom w:val="single" w:sz="4" w:space="0" w:color="auto"/>
              <w:right w:val="single" w:sz="4" w:space="0" w:color="auto"/>
            </w:tcBorders>
            <w:vAlign w:val="center"/>
          </w:tcPr>
          <w:p w14:paraId="78C9D36F" w14:textId="34327388"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1383</w:t>
            </w:r>
          </w:p>
        </w:tc>
        <w:tc>
          <w:tcPr>
            <w:tcW w:w="613" w:type="pct"/>
            <w:tcBorders>
              <w:top w:val="single" w:sz="4" w:space="0" w:color="auto"/>
              <w:left w:val="single" w:sz="4" w:space="0" w:color="auto"/>
              <w:bottom w:val="single" w:sz="4" w:space="0" w:color="auto"/>
              <w:right w:val="single" w:sz="4" w:space="0" w:color="auto"/>
            </w:tcBorders>
            <w:vAlign w:val="center"/>
          </w:tcPr>
          <w:p w14:paraId="71C13D03" w14:textId="48FD5AD7"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1331</w:t>
            </w:r>
          </w:p>
        </w:tc>
        <w:tc>
          <w:tcPr>
            <w:tcW w:w="472" w:type="pct"/>
            <w:tcBorders>
              <w:top w:val="single" w:sz="4" w:space="0" w:color="auto"/>
              <w:left w:val="single" w:sz="4" w:space="0" w:color="auto"/>
              <w:bottom w:val="single" w:sz="4" w:space="0" w:color="auto"/>
              <w:right w:val="single" w:sz="4" w:space="0" w:color="auto"/>
            </w:tcBorders>
            <w:vAlign w:val="center"/>
          </w:tcPr>
          <w:p w14:paraId="1D4E8751" w14:textId="6A0F0379"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1143</w:t>
            </w:r>
          </w:p>
        </w:tc>
        <w:tc>
          <w:tcPr>
            <w:tcW w:w="416" w:type="pct"/>
            <w:vMerge/>
            <w:tcBorders>
              <w:left w:val="single" w:sz="4" w:space="0" w:color="auto"/>
              <w:right w:val="single" w:sz="4" w:space="0" w:color="auto"/>
            </w:tcBorders>
            <w:vAlign w:val="center"/>
          </w:tcPr>
          <w:p w14:paraId="7B70922E" w14:textId="77777777" w:rsidR="0062520F" w:rsidRPr="00E67914" w:rsidRDefault="0062520F" w:rsidP="0062520F">
            <w:pPr>
              <w:jc w:val="center"/>
              <w:rPr>
                <w:rFonts w:ascii="Times New Roman" w:hAnsi="Times New Roman"/>
                <w:kern w:val="2"/>
                <w:sz w:val="21"/>
                <w:szCs w:val="21"/>
              </w:rPr>
            </w:pPr>
          </w:p>
        </w:tc>
      </w:tr>
      <w:tr w:rsidR="00E67914" w:rsidRPr="00E67914" w14:paraId="3D816E15"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56AB6401" w14:textId="517F779F"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16#</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0828533B" w14:textId="1FABF493"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107.759397497</w:t>
            </w:r>
          </w:p>
        </w:tc>
        <w:tc>
          <w:tcPr>
            <w:tcW w:w="507" w:type="pct"/>
            <w:tcBorders>
              <w:top w:val="single" w:sz="4" w:space="0" w:color="auto"/>
              <w:left w:val="single" w:sz="4" w:space="0" w:color="auto"/>
              <w:bottom w:val="single" w:sz="4" w:space="0" w:color="auto"/>
              <w:right w:val="single" w:sz="4" w:space="0" w:color="auto"/>
            </w:tcBorders>
            <w:vAlign w:val="center"/>
          </w:tcPr>
          <w:p w14:paraId="0E0DC23F" w14:textId="3B618342"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31.531308324</w:t>
            </w:r>
          </w:p>
        </w:tc>
        <w:tc>
          <w:tcPr>
            <w:tcW w:w="203" w:type="pct"/>
            <w:tcBorders>
              <w:top w:val="single" w:sz="4" w:space="0" w:color="auto"/>
              <w:left w:val="single" w:sz="4" w:space="0" w:color="auto"/>
              <w:bottom w:val="single" w:sz="4" w:space="0" w:color="auto"/>
              <w:right w:val="single" w:sz="4" w:space="0" w:color="auto"/>
            </w:tcBorders>
            <w:vAlign w:val="center"/>
          </w:tcPr>
          <w:p w14:paraId="40E1AD20"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2CBB6DFB" w14:textId="52DD0C98"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rPr>
              <w:t>20</w:t>
            </w:r>
            <w:r w:rsidR="0062520F" w:rsidRPr="00E67914">
              <w:rPr>
                <w:rFonts w:ascii="Times New Roman" w:hAnsi="Times New Roman"/>
                <w:kern w:val="2"/>
                <w:sz w:val="21"/>
                <w:szCs w:val="21"/>
              </w:rPr>
              <w:t>户，约</w:t>
            </w:r>
            <w:r w:rsidRPr="00E67914">
              <w:rPr>
                <w:rFonts w:ascii="Times New Roman" w:hAnsi="Times New Roman"/>
                <w:kern w:val="2"/>
                <w:sz w:val="21"/>
                <w:szCs w:val="21"/>
              </w:rPr>
              <w:t>80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2D77095B"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4AAEB35C" w14:textId="0E86ED92"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N</w:t>
            </w:r>
          </w:p>
        </w:tc>
        <w:tc>
          <w:tcPr>
            <w:tcW w:w="557" w:type="pct"/>
            <w:tcBorders>
              <w:top w:val="single" w:sz="4" w:space="0" w:color="auto"/>
              <w:left w:val="single" w:sz="4" w:space="0" w:color="auto"/>
              <w:bottom w:val="single" w:sz="4" w:space="0" w:color="auto"/>
              <w:right w:val="single" w:sz="4" w:space="0" w:color="auto"/>
            </w:tcBorders>
            <w:vAlign w:val="center"/>
          </w:tcPr>
          <w:p w14:paraId="2B23BF51" w14:textId="753145EA"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1246</w:t>
            </w:r>
          </w:p>
        </w:tc>
        <w:tc>
          <w:tcPr>
            <w:tcW w:w="613" w:type="pct"/>
            <w:tcBorders>
              <w:top w:val="single" w:sz="4" w:space="0" w:color="auto"/>
              <w:left w:val="single" w:sz="4" w:space="0" w:color="auto"/>
              <w:bottom w:val="single" w:sz="4" w:space="0" w:color="auto"/>
              <w:right w:val="single" w:sz="4" w:space="0" w:color="auto"/>
            </w:tcBorders>
            <w:vAlign w:val="center"/>
          </w:tcPr>
          <w:p w14:paraId="156F59AD" w14:textId="130856C3"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1190</w:t>
            </w:r>
          </w:p>
        </w:tc>
        <w:tc>
          <w:tcPr>
            <w:tcW w:w="472" w:type="pct"/>
            <w:tcBorders>
              <w:top w:val="single" w:sz="4" w:space="0" w:color="auto"/>
              <w:left w:val="single" w:sz="4" w:space="0" w:color="auto"/>
              <w:bottom w:val="single" w:sz="4" w:space="0" w:color="auto"/>
              <w:right w:val="single" w:sz="4" w:space="0" w:color="auto"/>
            </w:tcBorders>
            <w:vAlign w:val="center"/>
          </w:tcPr>
          <w:p w14:paraId="6BCFEDC1" w14:textId="215643E4"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1329</w:t>
            </w:r>
          </w:p>
        </w:tc>
        <w:tc>
          <w:tcPr>
            <w:tcW w:w="416" w:type="pct"/>
            <w:vMerge/>
            <w:tcBorders>
              <w:left w:val="single" w:sz="4" w:space="0" w:color="auto"/>
              <w:right w:val="single" w:sz="4" w:space="0" w:color="auto"/>
            </w:tcBorders>
            <w:vAlign w:val="center"/>
          </w:tcPr>
          <w:p w14:paraId="3336199D" w14:textId="77777777" w:rsidR="0062520F" w:rsidRPr="00E67914" w:rsidRDefault="0062520F" w:rsidP="0062520F">
            <w:pPr>
              <w:jc w:val="center"/>
              <w:rPr>
                <w:rFonts w:ascii="Times New Roman" w:hAnsi="Times New Roman"/>
                <w:kern w:val="2"/>
                <w:sz w:val="21"/>
                <w:szCs w:val="21"/>
              </w:rPr>
            </w:pPr>
          </w:p>
        </w:tc>
      </w:tr>
      <w:tr w:rsidR="00E67914" w:rsidRPr="00E67914" w14:paraId="0A333983" w14:textId="77777777" w:rsidTr="004B4646">
        <w:trPr>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2968F180" w14:textId="15B244D7" w:rsidR="0062520F" w:rsidRPr="00E67914" w:rsidRDefault="0062520F"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lastRenderedPageBreak/>
              <w:t>17#</w:t>
            </w:r>
            <w:r w:rsidR="006115D6" w:rsidRPr="00E67914">
              <w:rPr>
                <w:rFonts w:ascii="Times New Roman" w:hAnsi="Times New Roman"/>
                <w:kern w:val="2"/>
                <w:sz w:val="21"/>
                <w:szCs w:val="21"/>
                <w:lang w:eastAsia="zh-CN"/>
              </w:rPr>
              <w:t>普光镇</w:t>
            </w:r>
            <w:r w:rsidRPr="00E67914">
              <w:rPr>
                <w:rFonts w:ascii="Times New Roman" w:hAnsi="Times New Roman"/>
                <w:kern w:val="2"/>
                <w:sz w:val="21"/>
                <w:szCs w:val="21"/>
                <w:lang w:eastAsia="zh-CN"/>
              </w:rPr>
              <w:t>居民点</w:t>
            </w:r>
            <w:r w:rsidR="00EE4E86" w:rsidRPr="00E67914">
              <w:rPr>
                <w:rFonts w:ascii="Times New Roman" w:hAnsi="Times New Roman"/>
                <w:kern w:val="2"/>
                <w:sz w:val="21"/>
                <w:szCs w:val="21"/>
                <w:lang w:eastAsia="zh-CN"/>
              </w:rPr>
              <w:t>（含</w:t>
            </w:r>
            <w:r w:rsidR="006115D6" w:rsidRPr="00E67914">
              <w:rPr>
                <w:rFonts w:ascii="Times New Roman" w:hAnsi="Times New Roman"/>
                <w:kern w:val="2"/>
                <w:sz w:val="21"/>
                <w:szCs w:val="21"/>
                <w:lang w:eastAsia="zh-CN"/>
              </w:rPr>
              <w:t>学校</w:t>
            </w:r>
            <w:r w:rsidR="00EE4E86" w:rsidRPr="00E67914">
              <w:rPr>
                <w:rFonts w:ascii="Times New Roman" w:hAnsi="Times New Roman"/>
                <w:kern w:val="2"/>
                <w:sz w:val="21"/>
                <w:szCs w:val="21"/>
                <w:lang w:eastAsia="zh-CN"/>
              </w:rPr>
              <w:t>、卫生院）</w:t>
            </w:r>
          </w:p>
        </w:tc>
        <w:tc>
          <w:tcPr>
            <w:tcW w:w="506" w:type="pct"/>
            <w:tcBorders>
              <w:top w:val="single" w:sz="4" w:space="0" w:color="auto"/>
              <w:left w:val="single" w:sz="4" w:space="0" w:color="auto"/>
              <w:bottom w:val="single" w:sz="4" w:space="0" w:color="auto"/>
              <w:right w:val="single" w:sz="4" w:space="0" w:color="auto"/>
            </w:tcBorders>
            <w:vAlign w:val="center"/>
          </w:tcPr>
          <w:p w14:paraId="3A05751F" w14:textId="531CBC6A"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107.763689031</w:t>
            </w:r>
          </w:p>
        </w:tc>
        <w:tc>
          <w:tcPr>
            <w:tcW w:w="507" w:type="pct"/>
            <w:tcBorders>
              <w:top w:val="single" w:sz="4" w:space="0" w:color="auto"/>
              <w:left w:val="single" w:sz="4" w:space="0" w:color="auto"/>
              <w:bottom w:val="single" w:sz="4" w:space="0" w:color="auto"/>
              <w:right w:val="single" w:sz="4" w:space="0" w:color="auto"/>
            </w:tcBorders>
            <w:vAlign w:val="center"/>
          </w:tcPr>
          <w:p w14:paraId="7E6AF3E2" w14:textId="615B5EE4"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31.534484060</w:t>
            </w:r>
          </w:p>
        </w:tc>
        <w:tc>
          <w:tcPr>
            <w:tcW w:w="203" w:type="pct"/>
            <w:tcBorders>
              <w:top w:val="single" w:sz="4" w:space="0" w:color="auto"/>
              <w:left w:val="single" w:sz="4" w:space="0" w:color="auto"/>
              <w:bottom w:val="single" w:sz="4" w:space="0" w:color="auto"/>
              <w:right w:val="single" w:sz="4" w:space="0" w:color="auto"/>
            </w:tcBorders>
            <w:vAlign w:val="center"/>
          </w:tcPr>
          <w:p w14:paraId="681B2C32"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757B672F" w14:textId="6BFBBAE5"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rPr>
              <w:t>500</w:t>
            </w:r>
            <w:r w:rsidR="0062520F" w:rsidRPr="00E67914">
              <w:rPr>
                <w:rFonts w:ascii="Times New Roman" w:hAnsi="Times New Roman"/>
                <w:kern w:val="2"/>
                <w:sz w:val="21"/>
                <w:szCs w:val="21"/>
              </w:rPr>
              <w:t>户，约</w:t>
            </w:r>
            <w:r w:rsidRPr="00E67914">
              <w:rPr>
                <w:rFonts w:ascii="Times New Roman" w:hAnsi="Times New Roman"/>
                <w:kern w:val="2"/>
                <w:sz w:val="21"/>
                <w:szCs w:val="21"/>
              </w:rPr>
              <w:t>20</w:t>
            </w:r>
            <w:r w:rsidR="0062520F" w:rsidRPr="00E67914">
              <w:rPr>
                <w:rFonts w:ascii="Times New Roman" w:hAnsi="Times New Roman"/>
                <w:kern w:val="2"/>
                <w:sz w:val="21"/>
                <w:szCs w:val="21"/>
              </w:rPr>
              <w:t>00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1A325AEE"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18D722D2" w14:textId="6954A040"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N</w:t>
            </w:r>
          </w:p>
        </w:tc>
        <w:tc>
          <w:tcPr>
            <w:tcW w:w="557" w:type="pct"/>
            <w:tcBorders>
              <w:top w:val="single" w:sz="4" w:space="0" w:color="auto"/>
              <w:left w:val="single" w:sz="4" w:space="0" w:color="auto"/>
              <w:bottom w:val="single" w:sz="4" w:space="0" w:color="auto"/>
              <w:right w:val="single" w:sz="4" w:space="0" w:color="auto"/>
            </w:tcBorders>
            <w:vAlign w:val="center"/>
          </w:tcPr>
          <w:p w14:paraId="105F9B46" w14:textId="5E67AE98"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1511</w:t>
            </w:r>
          </w:p>
        </w:tc>
        <w:tc>
          <w:tcPr>
            <w:tcW w:w="613" w:type="pct"/>
            <w:tcBorders>
              <w:top w:val="single" w:sz="4" w:space="0" w:color="auto"/>
              <w:left w:val="single" w:sz="4" w:space="0" w:color="auto"/>
              <w:bottom w:val="single" w:sz="4" w:space="0" w:color="auto"/>
              <w:right w:val="single" w:sz="4" w:space="0" w:color="auto"/>
            </w:tcBorders>
            <w:vAlign w:val="center"/>
          </w:tcPr>
          <w:p w14:paraId="3ED47CC2" w14:textId="6279A084"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1460</w:t>
            </w:r>
          </w:p>
        </w:tc>
        <w:tc>
          <w:tcPr>
            <w:tcW w:w="472" w:type="pct"/>
            <w:tcBorders>
              <w:top w:val="single" w:sz="4" w:space="0" w:color="auto"/>
              <w:left w:val="single" w:sz="4" w:space="0" w:color="auto"/>
              <w:bottom w:val="single" w:sz="4" w:space="0" w:color="auto"/>
              <w:right w:val="single" w:sz="4" w:space="0" w:color="auto"/>
            </w:tcBorders>
            <w:vAlign w:val="center"/>
          </w:tcPr>
          <w:p w14:paraId="78C2FE62" w14:textId="722502A5"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1520</w:t>
            </w:r>
          </w:p>
        </w:tc>
        <w:tc>
          <w:tcPr>
            <w:tcW w:w="416" w:type="pct"/>
            <w:vMerge/>
            <w:tcBorders>
              <w:left w:val="single" w:sz="4" w:space="0" w:color="auto"/>
              <w:right w:val="single" w:sz="4" w:space="0" w:color="auto"/>
            </w:tcBorders>
            <w:vAlign w:val="center"/>
          </w:tcPr>
          <w:p w14:paraId="05E69D8E" w14:textId="77777777" w:rsidR="0062520F" w:rsidRPr="00E67914" w:rsidRDefault="0062520F" w:rsidP="0062520F">
            <w:pPr>
              <w:jc w:val="center"/>
              <w:rPr>
                <w:rFonts w:ascii="Times New Roman" w:hAnsi="Times New Roman"/>
                <w:kern w:val="2"/>
                <w:sz w:val="21"/>
                <w:szCs w:val="21"/>
              </w:rPr>
            </w:pPr>
          </w:p>
        </w:tc>
        <w:tc>
          <w:tcPr>
            <w:tcW w:w="6" w:type="pct"/>
          </w:tcPr>
          <w:p w14:paraId="7B370E79" w14:textId="77777777" w:rsidR="0062520F" w:rsidRPr="00E67914" w:rsidRDefault="0062520F" w:rsidP="0062520F">
            <w:pPr>
              <w:rPr>
                <w:rFonts w:ascii="Times New Roman" w:hAnsi="Times New Roman"/>
                <w:sz w:val="21"/>
                <w:szCs w:val="21"/>
              </w:rPr>
            </w:pPr>
          </w:p>
        </w:tc>
      </w:tr>
      <w:tr w:rsidR="00E67914" w:rsidRPr="00E67914" w14:paraId="1F369D93" w14:textId="77777777" w:rsidTr="004B4646">
        <w:trPr>
          <w:gridAfter w:val="1"/>
          <w:wAfter w:w="6" w:type="pct"/>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6A320C50" w14:textId="14081DDC" w:rsidR="0062520F" w:rsidRPr="00E67914" w:rsidRDefault="0062520F" w:rsidP="0062520F">
            <w:pPr>
              <w:jc w:val="center"/>
              <w:rPr>
                <w:rFonts w:ascii="Times New Roman" w:hAnsi="Times New Roman"/>
                <w:b/>
                <w:bCs/>
                <w:kern w:val="2"/>
                <w:sz w:val="21"/>
                <w:szCs w:val="21"/>
              </w:rPr>
            </w:pPr>
            <w:r w:rsidRPr="00E67914">
              <w:rPr>
                <w:rFonts w:ascii="Times New Roman" w:hAnsi="Times New Roman"/>
                <w:kern w:val="2"/>
                <w:sz w:val="21"/>
                <w:szCs w:val="21"/>
              </w:rPr>
              <w:t>18#</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1D0F3BF8" w14:textId="631A9693"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107.766886224</w:t>
            </w:r>
          </w:p>
        </w:tc>
        <w:tc>
          <w:tcPr>
            <w:tcW w:w="507" w:type="pct"/>
            <w:tcBorders>
              <w:top w:val="single" w:sz="4" w:space="0" w:color="auto"/>
              <w:left w:val="single" w:sz="4" w:space="0" w:color="auto"/>
              <w:bottom w:val="single" w:sz="4" w:space="0" w:color="auto"/>
              <w:right w:val="single" w:sz="4" w:space="0" w:color="auto"/>
            </w:tcBorders>
            <w:vAlign w:val="center"/>
          </w:tcPr>
          <w:p w14:paraId="6C7C69F0" w14:textId="3AA5DB9A" w:rsidR="0062520F" w:rsidRPr="00E67914" w:rsidRDefault="00EE4E86" w:rsidP="0062520F">
            <w:pPr>
              <w:jc w:val="center"/>
              <w:rPr>
                <w:rFonts w:ascii="Times New Roman" w:hAnsi="Times New Roman"/>
                <w:kern w:val="2"/>
                <w:sz w:val="21"/>
                <w:szCs w:val="21"/>
              </w:rPr>
            </w:pPr>
            <w:r w:rsidRPr="00E67914">
              <w:rPr>
                <w:rFonts w:ascii="Times New Roman" w:hAnsi="Times New Roman"/>
                <w:kern w:val="2"/>
                <w:sz w:val="21"/>
                <w:szCs w:val="21"/>
              </w:rPr>
              <w:t>31.529098184</w:t>
            </w:r>
          </w:p>
        </w:tc>
        <w:tc>
          <w:tcPr>
            <w:tcW w:w="203" w:type="pct"/>
            <w:tcBorders>
              <w:top w:val="single" w:sz="4" w:space="0" w:color="auto"/>
              <w:left w:val="single" w:sz="4" w:space="0" w:color="auto"/>
              <w:bottom w:val="single" w:sz="4" w:space="0" w:color="auto"/>
              <w:right w:val="single" w:sz="4" w:space="0" w:color="auto"/>
            </w:tcBorders>
            <w:vAlign w:val="center"/>
          </w:tcPr>
          <w:p w14:paraId="7BF91C03"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8" w:type="pct"/>
            <w:tcBorders>
              <w:top w:val="single" w:sz="4" w:space="0" w:color="auto"/>
              <w:left w:val="single" w:sz="4" w:space="0" w:color="auto"/>
              <w:bottom w:val="single" w:sz="4" w:space="0" w:color="auto"/>
              <w:right w:val="single" w:sz="4" w:space="0" w:color="auto"/>
            </w:tcBorders>
            <w:vAlign w:val="center"/>
          </w:tcPr>
          <w:p w14:paraId="1EB49ACC" w14:textId="07450746" w:rsidR="0062520F" w:rsidRPr="00E67914" w:rsidRDefault="006115D6" w:rsidP="0062520F">
            <w:pPr>
              <w:jc w:val="center"/>
              <w:rPr>
                <w:rFonts w:ascii="Times New Roman" w:hAnsi="Times New Roman"/>
                <w:kern w:val="2"/>
                <w:sz w:val="21"/>
                <w:szCs w:val="21"/>
              </w:rPr>
            </w:pPr>
            <w:r w:rsidRPr="00E67914">
              <w:rPr>
                <w:rFonts w:ascii="Times New Roman" w:hAnsi="Times New Roman"/>
                <w:kern w:val="2"/>
                <w:sz w:val="21"/>
                <w:szCs w:val="21"/>
              </w:rPr>
              <w:t>4</w:t>
            </w:r>
            <w:r w:rsidR="0062520F" w:rsidRPr="00E67914">
              <w:rPr>
                <w:rFonts w:ascii="Times New Roman" w:hAnsi="Times New Roman"/>
                <w:kern w:val="2"/>
                <w:sz w:val="21"/>
                <w:szCs w:val="21"/>
              </w:rPr>
              <w:t>0</w:t>
            </w:r>
            <w:r w:rsidR="0062520F" w:rsidRPr="00E67914">
              <w:rPr>
                <w:rFonts w:ascii="Times New Roman" w:hAnsi="Times New Roman"/>
                <w:kern w:val="2"/>
                <w:sz w:val="21"/>
                <w:szCs w:val="21"/>
              </w:rPr>
              <w:t>户，约</w:t>
            </w:r>
            <w:r w:rsidRPr="00E67914">
              <w:rPr>
                <w:rFonts w:ascii="Times New Roman" w:hAnsi="Times New Roman"/>
                <w:kern w:val="2"/>
                <w:sz w:val="21"/>
                <w:szCs w:val="21"/>
              </w:rPr>
              <w:t>16</w:t>
            </w:r>
            <w:r w:rsidR="0062520F" w:rsidRPr="00E67914">
              <w:rPr>
                <w:rFonts w:ascii="Times New Roman" w:hAnsi="Times New Roman"/>
                <w:kern w:val="2"/>
                <w:sz w:val="21"/>
                <w:szCs w:val="21"/>
              </w:rPr>
              <w:t>0</w:t>
            </w:r>
            <w:r w:rsidR="0062520F"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11A359C1" w14:textId="77777777"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42B70C31" w14:textId="10E36F80" w:rsidR="0062520F" w:rsidRPr="00E67914" w:rsidRDefault="0062520F" w:rsidP="0062520F">
            <w:pPr>
              <w:jc w:val="center"/>
              <w:rPr>
                <w:rFonts w:ascii="Times New Roman" w:hAnsi="Times New Roman"/>
                <w:kern w:val="2"/>
                <w:sz w:val="21"/>
                <w:szCs w:val="21"/>
              </w:rPr>
            </w:pPr>
            <w:r w:rsidRPr="00E67914">
              <w:rPr>
                <w:rFonts w:ascii="Times New Roman" w:hAnsi="Times New Roman"/>
                <w:kern w:val="2"/>
                <w:sz w:val="21"/>
                <w:szCs w:val="21"/>
              </w:rPr>
              <w:t>N</w:t>
            </w:r>
            <w:r w:rsidR="006115D6" w:rsidRPr="00E67914">
              <w:rPr>
                <w:rFonts w:ascii="Times New Roman" w:hAnsi="Times New Roman"/>
                <w:kern w:val="2"/>
                <w:sz w:val="21"/>
                <w:szCs w:val="21"/>
                <w:lang w:eastAsia="zh-CN"/>
              </w:rPr>
              <w:t>E</w:t>
            </w:r>
          </w:p>
        </w:tc>
        <w:tc>
          <w:tcPr>
            <w:tcW w:w="557" w:type="pct"/>
            <w:tcBorders>
              <w:top w:val="single" w:sz="4" w:space="0" w:color="auto"/>
              <w:left w:val="single" w:sz="4" w:space="0" w:color="auto"/>
              <w:bottom w:val="single" w:sz="4" w:space="0" w:color="auto"/>
              <w:right w:val="single" w:sz="4" w:space="0" w:color="auto"/>
            </w:tcBorders>
            <w:vAlign w:val="center"/>
          </w:tcPr>
          <w:p w14:paraId="035B8DCB" w14:textId="6539399D"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1012</w:t>
            </w:r>
          </w:p>
        </w:tc>
        <w:tc>
          <w:tcPr>
            <w:tcW w:w="613" w:type="pct"/>
            <w:tcBorders>
              <w:top w:val="single" w:sz="4" w:space="0" w:color="auto"/>
              <w:left w:val="single" w:sz="4" w:space="0" w:color="auto"/>
              <w:bottom w:val="single" w:sz="4" w:space="0" w:color="auto"/>
              <w:right w:val="single" w:sz="4" w:space="0" w:color="auto"/>
            </w:tcBorders>
            <w:vAlign w:val="center"/>
          </w:tcPr>
          <w:p w14:paraId="6A5B5DFD" w14:textId="13903FD8"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960</w:t>
            </w:r>
          </w:p>
        </w:tc>
        <w:tc>
          <w:tcPr>
            <w:tcW w:w="472" w:type="pct"/>
            <w:tcBorders>
              <w:top w:val="single" w:sz="4" w:space="0" w:color="auto"/>
              <w:left w:val="single" w:sz="4" w:space="0" w:color="auto"/>
              <w:bottom w:val="single" w:sz="4" w:space="0" w:color="auto"/>
              <w:right w:val="single" w:sz="4" w:space="0" w:color="auto"/>
            </w:tcBorders>
            <w:vAlign w:val="center"/>
          </w:tcPr>
          <w:p w14:paraId="4E31AA6C" w14:textId="72AD602C" w:rsidR="0062520F" w:rsidRPr="00E67914" w:rsidRDefault="006115D6" w:rsidP="0062520F">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972</w:t>
            </w:r>
          </w:p>
        </w:tc>
        <w:tc>
          <w:tcPr>
            <w:tcW w:w="416" w:type="pct"/>
            <w:vMerge/>
            <w:tcBorders>
              <w:left w:val="single" w:sz="4" w:space="0" w:color="auto"/>
              <w:right w:val="single" w:sz="4" w:space="0" w:color="auto"/>
            </w:tcBorders>
            <w:vAlign w:val="center"/>
          </w:tcPr>
          <w:p w14:paraId="2F670BA6" w14:textId="77777777" w:rsidR="0062520F" w:rsidRPr="00E67914" w:rsidRDefault="0062520F" w:rsidP="0062520F">
            <w:pPr>
              <w:jc w:val="center"/>
              <w:rPr>
                <w:rFonts w:ascii="Times New Roman" w:hAnsi="Times New Roman"/>
                <w:kern w:val="2"/>
                <w:sz w:val="21"/>
                <w:szCs w:val="21"/>
              </w:rPr>
            </w:pPr>
          </w:p>
        </w:tc>
      </w:tr>
    </w:tbl>
    <w:p w14:paraId="1F2845A0" w14:textId="16C7A405" w:rsidR="008B15B2" w:rsidRPr="00E67914" w:rsidRDefault="008B15B2" w:rsidP="006115D6">
      <w:pPr>
        <w:pStyle w:val="af"/>
        <w:tabs>
          <w:tab w:val="left" w:pos="3864"/>
        </w:tabs>
        <w:adjustRightInd w:val="0"/>
        <w:snapToGrid w:val="0"/>
        <w:spacing w:before="0"/>
        <w:ind w:left="0"/>
        <w:jc w:val="center"/>
        <w:rPr>
          <w:rFonts w:ascii="Times New Roman" w:hAnsi="Times New Roman"/>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1.8-4  </w:t>
      </w:r>
      <w:r w:rsidR="00965AA7" w:rsidRPr="00E67914">
        <w:rPr>
          <w:rFonts w:ascii="Times New Roman" w:eastAsia="黑体" w:hAnsi="Times New Roman"/>
          <w:sz w:val="21"/>
          <w:szCs w:val="21"/>
          <w:lang w:eastAsia="zh-CN"/>
        </w:rPr>
        <w:t>普陆页</w:t>
      </w:r>
      <w:r w:rsidR="00965AA7" w:rsidRPr="00E67914">
        <w:rPr>
          <w:rFonts w:ascii="Times New Roman" w:eastAsia="黑体" w:hAnsi="Times New Roman"/>
          <w:sz w:val="21"/>
          <w:szCs w:val="21"/>
          <w:lang w:eastAsia="zh-CN"/>
        </w:rPr>
        <w:t>2</w:t>
      </w:r>
      <w:r w:rsidR="00965AA7" w:rsidRPr="00E67914">
        <w:rPr>
          <w:rFonts w:ascii="Times New Roman" w:eastAsia="黑体" w:hAnsi="Times New Roman"/>
          <w:sz w:val="21"/>
          <w:szCs w:val="21"/>
          <w:lang w:eastAsia="zh-CN"/>
        </w:rPr>
        <w:t>井场到普陆页</w:t>
      </w:r>
      <w:r w:rsidR="00965AA7" w:rsidRPr="00E67914">
        <w:rPr>
          <w:rFonts w:ascii="Times New Roman" w:eastAsia="黑体" w:hAnsi="Times New Roman"/>
          <w:sz w:val="21"/>
          <w:szCs w:val="21"/>
          <w:lang w:eastAsia="zh-CN"/>
        </w:rPr>
        <w:t>2</w:t>
      </w:r>
      <w:r w:rsidR="00965AA7" w:rsidRPr="00E67914">
        <w:rPr>
          <w:rFonts w:ascii="Times New Roman" w:eastAsia="黑体" w:hAnsi="Times New Roman"/>
          <w:sz w:val="21"/>
          <w:szCs w:val="21"/>
          <w:lang w:eastAsia="zh-CN"/>
        </w:rPr>
        <w:t>试采站管线</w:t>
      </w:r>
      <w:r w:rsidRPr="00E67914">
        <w:rPr>
          <w:rFonts w:ascii="Times New Roman" w:eastAsia="黑体" w:hAnsi="Times New Roman"/>
          <w:sz w:val="21"/>
          <w:szCs w:val="21"/>
          <w:lang w:eastAsia="zh-CN"/>
        </w:rPr>
        <w:t>环境空气保护目标一览表</w:t>
      </w:r>
    </w:p>
    <w:tbl>
      <w:tblPr>
        <w:tblStyle w:val="affa"/>
        <w:tblW w:w="5000" w:type="pct"/>
        <w:tblLook w:val="04A0" w:firstRow="1" w:lastRow="0" w:firstColumn="1" w:lastColumn="0" w:noHBand="0" w:noVBand="1"/>
      </w:tblPr>
      <w:tblGrid>
        <w:gridCol w:w="2135"/>
        <w:gridCol w:w="1626"/>
        <w:gridCol w:w="1514"/>
        <w:gridCol w:w="1128"/>
        <w:gridCol w:w="1715"/>
        <w:gridCol w:w="1352"/>
        <w:gridCol w:w="1575"/>
        <w:gridCol w:w="1822"/>
        <w:gridCol w:w="1125"/>
      </w:tblGrid>
      <w:tr w:rsidR="00E67914" w:rsidRPr="00E67914" w14:paraId="3DE0D295" w14:textId="77777777" w:rsidTr="003230F9">
        <w:trPr>
          <w:trHeight w:val="454"/>
        </w:trPr>
        <w:tc>
          <w:tcPr>
            <w:tcW w:w="763" w:type="pct"/>
            <w:vMerge w:val="restart"/>
            <w:vAlign w:val="center"/>
          </w:tcPr>
          <w:p w14:paraId="6703D693" w14:textId="77777777" w:rsidR="008B15B2" w:rsidRPr="00E67914" w:rsidRDefault="008B15B2" w:rsidP="00275C3F">
            <w:pPr>
              <w:pStyle w:val="06"/>
              <w:rPr>
                <w:rFonts w:cs="Times New Roman"/>
                <w:b w:val="0"/>
                <w:bCs/>
              </w:rPr>
            </w:pPr>
            <w:r w:rsidRPr="00E67914">
              <w:rPr>
                <w:rFonts w:cs="Times New Roman"/>
                <w:b w:val="0"/>
                <w:bCs/>
              </w:rPr>
              <w:t>名称</w:t>
            </w:r>
          </w:p>
        </w:tc>
        <w:tc>
          <w:tcPr>
            <w:tcW w:w="1122" w:type="pct"/>
            <w:gridSpan w:val="2"/>
            <w:vAlign w:val="center"/>
          </w:tcPr>
          <w:p w14:paraId="194BC23C" w14:textId="77777777" w:rsidR="008B15B2" w:rsidRPr="00E67914" w:rsidRDefault="008B15B2" w:rsidP="00275C3F">
            <w:pPr>
              <w:pStyle w:val="06"/>
              <w:rPr>
                <w:rFonts w:cs="Times New Roman"/>
                <w:b w:val="0"/>
                <w:bCs/>
              </w:rPr>
            </w:pPr>
            <w:r w:rsidRPr="00E67914">
              <w:rPr>
                <w:rFonts w:cs="Times New Roman"/>
                <w:b w:val="0"/>
                <w:bCs/>
              </w:rPr>
              <w:t>与管线最近处经纬度</w:t>
            </w:r>
          </w:p>
        </w:tc>
        <w:tc>
          <w:tcPr>
            <w:tcW w:w="403" w:type="pct"/>
            <w:vMerge w:val="restart"/>
            <w:vAlign w:val="center"/>
          </w:tcPr>
          <w:p w14:paraId="0A6742CE" w14:textId="77777777" w:rsidR="008B15B2" w:rsidRPr="00E67914" w:rsidRDefault="008B15B2" w:rsidP="00275C3F">
            <w:pPr>
              <w:pStyle w:val="06"/>
              <w:rPr>
                <w:rFonts w:cs="Times New Roman"/>
                <w:b w:val="0"/>
                <w:bCs/>
              </w:rPr>
            </w:pPr>
            <w:r w:rsidRPr="00E67914">
              <w:rPr>
                <w:rFonts w:cs="Times New Roman"/>
                <w:b w:val="0"/>
                <w:bCs/>
              </w:rPr>
              <w:t>保护对象</w:t>
            </w:r>
          </w:p>
        </w:tc>
        <w:tc>
          <w:tcPr>
            <w:tcW w:w="613" w:type="pct"/>
            <w:vMerge w:val="restart"/>
            <w:vAlign w:val="center"/>
          </w:tcPr>
          <w:p w14:paraId="367A857E" w14:textId="77777777" w:rsidR="008B15B2" w:rsidRPr="00E67914" w:rsidRDefault="008B15B2" w:rsidP="00275C3F">
            <w:pPr>
              <w:pStyle w:val="06"/>
              <w:rPr>
                <w:rFonts w:cs="Times New Roman"/>
                <w:b w:val="0"/>
                <w:bCs/>
              </w:rPr>
            </w:pPr>
            <w:r w:rsidRPr="00E67914">
              <w:rPr>
                <w:rFonts w:cs="Times New Roman"/>
                <w:b w:val="0"/>
                <w:bCs/>
              </w:rPr>
              <w:t>保护内容</w:t>
            </w:r>
          </w:p>
        </w:tc>
        <w:tc>
          <w:tcPr>
            <w:tcW w:w="483" w:type="pct"/>
            <w:vMerge w:val="restart"/>
            <w:vAlign w:val="center"/>
          </w:tcPr>
          <w:p w14:paraId="15601682" w14:textId="77777777" w:rsidR="008B15B2" w:rsidRPr="00E67914" w:rsidRDefault="008B15B2" w:rsidP="00275C3F">
            <w:pPr>
              <w:pStyle w:val="06"/>
              <w:rPr>
                <w:rFonts w:cs="Times New Roman"/>
                <w:b w:val="0"/>
                <w:bCs/>
              </w:rPr>
            </w:pPr>
            <w:r w:rsidRPr="00E67914">
              <w:rPr>
                <w:rFonts w:cs="Times New Roman"/>
                <w:b w:val="0"/>
                <w:bCs/>
              </w:rPr>
              <w:t>环境功能区</w:t>
            </w:r>
          </w:p>
        </w:tc>
        <w:tc>
          <w:tcPr>
            <w:tcW w:w="563" w:type="pct"/>
            <w:vMerge w:val="restart"/>
            <w:vAlign w:val="center"/>
          </w:tcPr>
          <w:p w14:paraId="224C23A3" w14:textId="77777777" w:rsidR="008B15B2" w:rsidRPr="00E67914" w:rsidRDefault="008B15B2" w:rsidP="00275C3F">
            <w:pPr>
              <w:pStyle w:val="06"/>
              <w:rPr>
                <w:rFonts w:cs="Times New Roman"/>
                <w:b w:val="0"/>
                <w:bCs/>
              </w:rPr>
            </w:pPr>
            <w:r w:rsidRPr="00E67914">
              <w:rPr>
                <w:rFonts w:cs="Times New Roman"/>
                <w:b w:val="0"/>
                <w:bCs/>
              </w:rPr>
              <w:t>相对管线方位</w:t>
            </w:r>
          </w:p>
        </w:tc>
        <w:tc>
          <w:tcPr>
            <w:tcW w:w="651" w:type="pct"/>
            <w:vMerge w:val="restart"/>
            <w:vAlign w:val="center"/>
          </w:tcPr>
          <w:p w14:paraId="5DFFF6B6" w14:textId="77777777" w:rsidR="008B15B2" w:rsidRPr="00E67914" w:rsidRDefault="008B15B2" w:rsidP="00275C3F">
            <w:pPr>
              <w:pStyle w:val="06"/>
              <w:rPr>
                <w:rFonts w:cs="Times New Roman"/>
                <w:b w:val="0"/>
                <w:bCs/>
              </w:rPr>
            </w:pPr>
            <w:r w:rsidRPr="00E67914">
              <w:rPr>
                <w:rFonts w:cs="Times New Roman"/>
                <w:b w:val="0"/>
                <w:bCs/>
              </w:rPr>
              <w:t>相对管线距离</w:t>
            </w:r>
            <w:r w:rsidRPr="00E67914">
              <w:rPr>
                <w:rFonts w:cs="Times New Roman"/>
                <w:b w:val="0"/>
                <w:bCs/>
              </w:rPr>
              <w:t>/m</w:t>
            </w:r>
          </w:p>
        </w:tc>
        <w:tc>
          <w:tcPr>
            <w:tcW w:w="402" w:type="pct"/>
            <w:vMerge w:val="restart"/>
            <w:vAlign w:val="center"/>
          </w:tcPr>
          <w:p w14:paraId="3FA87D6F" w14:textId="77777777" w:rsidR="008B15B2" w:rsidRPr="00E67914" w:rsidRDefault="008B15B2" w:rsidP="00275C3F">
            <w:pPr>
              <w:pStyle w:val="06"/>
              <w:rPr>
                <w:rFonts w:cs="Times New Roman"/>
                <w:b w:val="0"/>
                <w:bCs/>
              </w:rPr>
            </w:pPr>
            <w:r w:rsidRPr="00E67914">
              <w:rPr>
                <w:rFonts w:cs="Times New Roman"/>
                <w:b w:val="0"/>
                <w:bCs/>
              </w:rPr>
              <w:t>影响时段</w:t>
            </w:r>
          </w:p>
        </w:tc>
      </w:tr>
      <w:tr w:rsidR="00E67914" w:rsidRPr="00E67914" w14:paraId="1AC13A7E" w14:textId="77777777" w:rsidTr="003230F9">
        <w:trPr>
          <w:trHeight w:val="454"/>
        </w:trPr>
        <w:tc>
          <w:tcPr>
            <w:tcW w:w="763" w:type="pct"/>
            <w:vMerge/>
            <w:vAlign w:val="center"/>
          </w:tcPr>
          <w:p w14:paraId="74FB6E00" w14:textId="77777777" w:rsidR="008B15B2" w:rsidRPr="00E67914" w:rsidRDefault="008B15B2" w:rsidP="00275C3F">
            <w:pPr>
              <w:pStyle w:val="06"/>
              <w:rPr>
                <w:rFonts w:cs="Times New Roman"/>
                <w:b w:val="0"/>
                <w:bCs/>
              </w:rPr>
            </w:pPr>
          </w:p>
        </w:tc>
        <w:tc>
          <w:tcPr>
            <w:tcW w:w="581" w:type="pct"/>
            <w:vAlign w:val="center"/>
          </w:tcPr>
          <w:p w14:paraId="6CB7E7F7" w14:textId="77777777" w:rsidR="008B15B2" w:rsidRPr="00E67914" w:rsidRDefault="008B15B2" w:rsidP="00275C3F">
            <w:pPr>
              <w:pStyle w:val="06"/>
              <w:rPr>
                <w:rFonts w:cs="Times New Roman"/>
                <w:b w:val="0"/>
                <w:bCs/>
              </w:rPr>
            </w:pPr>
            <w:r w:rsidRPr="00E67914">
              <w:rPr>
                <w:rFonts w:cs="Times New Roman"/>
                <w:b w:val="0"/>
                <w:bCs/>
              </w:rPr>
              <w:t>经度</w:t>
            </w:r>
          </w:p>
        </w:tc>
        <w:tc>
          <w:tcPr>
            <w:tcW w:w="541" w:type="pct"/>
            <w:vAlign w:val="center"/>
          </w:tcPr>
          <w:p w14:paraId="664AD335" w14:textId="77777777" w:rsidR="008B15B2" w:rsidRPr="00E67914" w:rsidRDefault="008B15B2" w:rsidP="00275C3F">
            <w:pPr>
              <w:pStyle w:val="06"/>
              <w:rPr>
                <w:rFonts w:cs="Times New Roman"/>
                <w:b w:val="0"/>
                <w:bCs/>
              </w:rPr>
            </w:pPr>
            <w:r w:rsidRPr="00E67914">
              <w:rPr>
                <w:rFonts w:cs="Times New Roman"/>
                <w:b w:val="0"/>
                <w:bCs/>
              </w:rPr>
              <w:t>纬度</w:t>
            </w:r>
          </w:p>
        </w:tc>
        <w:tc>
          <w:tcPr>
            <w:tcW w:w="403" w:type="pct"/>
            <w:vMerge/>
            <w:vAlign w:val="center"/>
          </w:tcPr>
          <w:p w14:paraId="5F95886C" w14:textId="77777777" w:rsidR="008B15B2" w:rsidRPr="00E67914" w:rsidRDefault="008B15B2" w:rsidP="00275C3F">
            <w:pPr>
              <w:pStyle w:val="06"/>
              <w:rPr>
                <w:rFonts w:cs="Times New Roman"/>
              </w:rPr>
            </w:pPr>
          </w:p>
        </w:tc>
        <w:tc>
          <w:tcPr>
            <w:tcW w:w="613" w:type="pct"/>
            <w:vMerge/>
            <w:vAlign w:val="center"/>
          </w:tcPr>
          <w:p w14:paraId="069F6DDB" w14:textId="77777777" w:rsidR="008B15B2" w:rsidRPr="00E67914" w:rsidRDefault="008B15B2" w:rsidP="00275C3F">
            <w:pPr>
              <w:pStyle w:val="06"/>
              <w:rPr>
                <w:rFonts w:cs="Times New Roman"/>
              </w:rPr>
            </w:pPr>
          </w:p>
        </w:tc>
        <w:tc>
          <w:tcPr>
            <w:tcW w:w="483" w:type="pct"/>
            <w:vMerge/>
            <w:vAlign w:val="center"/>
          </w:tcPr>
          <w:p w14:paraId="2D461D23" w14:textId="77777777" w:rsidR="008B15B2" w:rsidRPr="00E67914" w:rsidRDefault="008B15B2" w:rsidP="00275C3F">
            <w:pPr>
              <w:pStyle w:val="06"/>
              <w:rPr>
                <w:rFonts w:cs="Times New Roman"/>
              </w:rPr>
            </w:pPr>
          </w:p>
        </w:tc>
        <w:tc>
          <w:tcPr>
            <w:tcW w:w="563" w:type="pct"/>
            <w:vMerge/>
            <w:vAlign w:val="center"/>
          </w:tcPr>
          <w:p w14:paraId="75D8927E" w14:textId="77777777" w:rsidR="008B15B2" w:rsidRPr="00E67914" w:rsidRDefault="008B15B2" w:rsidP="00275C3F">
            <w:pPr>
              <w:pStyle w:val="06"/>
              <w:rPr>
                <w:rFonts w:cs="Times New Roman"/>
              </w:rPr>
            </w:pPr>
          </w:p>
        </w:tc>
        <w:tc>
          <w:tcPr>
            <w:tcW w:w="651" w:type="pct"/>
            <w:vMerge/>
            <w:vAlign w:val="center"/>
          </w:tcPr>
          <w:p w14:paraId="1078D041" w14:textId="77777777" w:rsidR="008B15B2" w:rsidRPr="00E67914" w:rsidRDefault="008B15B2" w:rsidP="00275C3F">
            <w:pPr>
              <w:pStyle w:val="06"/>
              <w:rPr>
                <w:rFonts w:cs="Times New Roman"/>
              </w:rPr>
            </w:pPr>
          </w:p>
        </w:tc>
        <w:tc>
          <w:tcPr>
            <w:tcW w:w="402" w:type="pct"/>
            <w:vMerge/>
            <w:vAlign w:val="center"/>
          </w:tcPr>
          <w:p w14:paraId="05DA176C" w14:textId="77777777" w:rsidR="008B15B2" w:rsidRPr="00E67914" w:rsidRDefault="008B15B2" w:rsidP="00275C3F">
            <w:pPr>
              <w:pStyle w:val="06"/>
              <w:rPr>
                <w:rFonts w:cs="Times New Roman"/>
              </w:rPr>
            </w:pPr>
          </w:p>
        </w:tc>
      </w:tr>
      <w:tr w:rsidR="00E67914" w:rsidRPr="00E67914" w14:paraId="05CBD8A5" w14:textId="77777777" w:rsidTr="003230F9">
        <w:trPr>
          <w:trHeight w:val="454"/>
        </w:trPr>
        <w:tc>
          <w:tcPr>
            <w:tcW w:w="763" w:type="pct"/>
            <w:vAlign w:val="center"/>
          </w:tcPr>
          <w:p w14:paraId="01EDA65B" w14:textId="6EE83DF8"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居民点</w:t>
            </w:r>
          </w:p>
        </w:tc>
        <w:tc>
          <w:tcPr>
            <w:tcW w:w="581" w:type="pct"/>
            <w:vAlign w:val="center"/>
          </w:tcPr>
          <w:p w14:paraId="1513957A" w14:textId="5E9E3F4A"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107.759789100</w:t>
            </w:r>
          </w:p>
        </w:tc>
        <w:tc>
          <w:tcPr>
            <w:tcW w:w="541" w:type="pct"/>
            <w:vAlign w:val="center"/>
          </w:tcPr>
          <w:p w14:paraId="2B5A2771" w14:textId="77EEDECF"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31.520764561</w:t>
            </w:r>
          </w:p>
        </w:tc>
        <w:tc>
          <w:tcPr>
            <w:tcW w:w="403" w:type="pct"/>
            <w:vAlign w:val="center"/>
          </w:tcPr>
          <w:p w14:paraId="3CA7D46C" w14:textId="21E69EBE"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0D8CF9D2" w14:textId="27649619"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c>
          <w:tcPr>
            <w:tcW w:w="483" w:type="pct"/>
            <w:vAlign w:val="center"/>
          </w:tcPr>
          <w:p w14:paraId="7458A4CF" w14:textId="58DF03F7"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07B789E5" w14:textId="7B69B36C"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lang w:eastAsia="zh-CN"/>
              </w:rPr>
              <w:t>N</w:t>
            </w:r>
          </w:p>
        </w:tc>
        <w:tc>
          <w:tcPr>
            <w:tcW w:w="651" w:type="pct"/>
            <w:vAlign w:val="center"/>
          </w:tcPr>
          <w:p w14:paraId="2731D0DD" w14:textId="58EA2A49" w:rsidR="00965AA7" w:rsidRPr="00E67914" w:rsidRDefault="00965AA7" w:rsidP="00965AA7">
            <w:pPr>
              <w:jc w:val="center"/>
              <w:rPr>
                <w:rFonts w:ascii="Times New Roman" w:hAnsi="Times New Roman"/>
                <w:kern w:val="2"/>
                <w:sz w:val="21"/>
                <w:lang w:eastAsia="zh-CN"/>
              </w:rPr>
            </w:pPr>
            <w:r w:rsidRPr="00E67914">
              <w:rPr>
                <w:rFonts w:ascii="Times New Roman" w:hAnsi="Times New Roman"/>
                <w:kern w:val="2"/>
                <w:sz w:val="21"/>
                <w:lang w:eastAsia="zh-CN"/>
              </w:rPr>
              <w:t>153</w:t>
            </w:r>
          </w:p>
        </w:tc>
        <w:tc>
          <w:tcPr>
            <w:tcW w:w="402" w:type="pct"/>
            <w:vMerge w:val="restart"/>
            <w:vAlign w:val="center"/>
          </w:tcPr>
          <w:p w14:paraId="3D266A61" w14:textId="77777777"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rPr>
              <w:t>施工期</w:t>
            </w:r>
          </w:p>
        </w:tc>
      </w:tr>
      <w:tr w:rsidR="00E67914" w:rsidRPr="00E67914" w14:paraId="775A31F1" w14:textId="77777777" w:rsidTr="003230F9">
        <w:trPr>
          <w:trHeight w:val="454"/>
        </w:trPr>
        <w:tc>
          <w:tcPr>
            <w:tcW w:w="763" w:type="pct"/>
            <w:vAlign w:val="center"/>
          </w:tcPr>
          <w:p w14:paraId="7842D767" w14:textId="7EA7EE1F"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2#</w:t>
            </w:r>
            <w:r w:rsidRPr="00E67914">
              <w:rPr>
                <w:rFonts w:ascii="Times New Roman" w:hAnsi="Times New Roman"/>
                <w:kern w:val="2"/>
                <w:sz w:val="21"/>
                <w:szCs w:val="21"/>
              </w:rPr>
              <w:t>居民点</w:t>
            </w:r>
          </w:p>
        </w:tc>
        <w:tc>
          <w:tcPr>
            <w:tcW w:w="581" w:type="pct"/>
            <w:vAlign w:val="center"/>
          </w:tcPr>
          <w:p w14:paraId="374E83BA" w14:textId="0B6721D6"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107.757959833</w:t>
            </w:r>
          </w:p>
        </w:tc>
        <w:tc>
          <w:tcPr>
            <w:tcW w:w="541" w:type="pct"/>
            <w:vAlign w:val="center"/>
          </w:tcPr>
          <w:p w14:paraId="5A205368" w14:textId="0E89CAEA"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31.519520016</w:t>
            </w:r>
          </w:p>
        </w:tc>
        <w:tc>
          <w:tcPr>
            <w:tcW w:w="403" w:type="pct"/>
            <w:vAlign w:val="center"/>
          </w:tcPr>
          <w:p w14:paraId="252C98A5" w14:textId="573A2103"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3AE8BFF1" w14:textId="6C115E28"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c>
          <w:tcPr>
            <w:tcW w:w="483" w:type="pct"/>
            <w:vAlign w:val="center"/>
          </w:tcPr>
          <w:p w14:paraId="0E185DC4" w14:textId="71561E36"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57D1DA2E" w14:textId="21152667"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lang w:eastAsia="zh-CN"/>
              </w:rPr>
              <w:t>W</w:t>
            </w:r>
          </w:p>
        </w:tc>
        <w:tc>
          <w:tcPr>
            <w:tcW w:w="651" w:type="pct"/>
            <w:vAlign w:val="center"/>
          </w:tcPr>
          <w:p w14:paraId="28ABF679" w14:textId="105DFB0A" w:rsidR="00965AA7" w:rsidRPr="00E67914" w:rsidRDefault="00965AA7" w:rsidP="00965AA7">
            <w:pPr>
              <w:jc w:val="center"/>
              <w:rPr>
                <w:rFonts w:ascii="Times New Roman" w:hAnsi="Times New Roman"/>
                <w:kern w:val="2"/>
                <w:sz w:val="21"/>
                <w:lang w:eastAsia="zh-CN"/>
              </w:rPr>
            </w:pPr>
            <w:r w:rsidRPr="00E67914">
              <w:rPr>
                <w:rFonts w:ascii="Times New Roman" w:hAnsi="Times New Roman"/>
                <w:kern w:val="2"/>
                <w:sz w:val="21"/>
                <w:lang w:eastAsia="zh-CN"/>
              </w:rPr>
              <w:t>170</w:t>
            </w:r>
          </w:p>
        </w:tc>
        <w:tc>
          <w:tcPr>
            <w:tcW w:w="402" w:type="pct"/>
            <w:vMerge/>
            <w:vAlign w:val="center"/>
          </w:tcPr>
          <w:p w14:paraId="681B38AD" w14:textId="77777777" w:rsidR="00965AA7" w:rsidRPr="00E67914" w:rsidRDefault="00965AA7" w:rsidP="00965AA7">
            <w:pPr>
              <w:jc w:val="center"/>
              <w:rPr>
                <w:rFonts w:ascii="Times New Roman" w:hAnsi="Times New Roman"/>
                <w:kern w:val="2"/>
                <w:sz w:val="21"/>
              </w:rPr>
            </w:pPr>
          </w:p>
        </w:tc>
      </w:tr>
      <w:tr w:rsidR="00E67914" w:rsidRPr="00E67914" w14:paraId="1F8A7462" w14:textId="77777777" w:rsidTr="003230F9">
        <w:trPr>
          <w:trHeight w:val="454"/>
        </w:trPr>
        <w:tc>
          <w:tcPr>
            <w:tcW w:w="763" w:type="pct"/>
            <w:vAlign w:val="center"/>
          </w:tcPr>
          <w:p w14:paraId="5A3AD65F" w14:textId="77413926"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lang w:eastAsia="zh-CN"/>
              </w:rPr>
              <w:t>11#</w:t>
            </w:r>
            <w:r w:rsidRPr="00E67914">
              <w:rPr>
                <w:rFonts w:ascii="Times New Roman" w:hAnsi="Times New Roman"/>
                <w:kern w:val="2"/>
                <w:sz w:val="21"/>
                <w:szCs w:val="21"/>
                <w:lang w:eastAsia="zh-CN"/>
              </w:rPr>
              <w:t>居民点</w:t>
            </w:r>
          </w:p>
        </w:tc>
        <w:tc>
          <w:tcPr>
            <w:tcW w:w="581" w:type="pct"/>
            <w:vAlign w:val="center"/>
          </w:tcPr>
          <w:p w14:paraId="1E3EE30A" w14:textId="1C3A5853"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107.764429321</w:t>
            </w:r>
          </w:p>
        </w:tc>
        <w:tc>
          <w:tcPr>
            <w:tcW w:w="541" w:type="pct"/>
            <w:vAlign w:val="center"/>
          </w:tcPr>
          <w:p w14:paraId="6D98B904" w14:textId="055B22D3"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31.518862875</w:t>
            </w:r>
          </w:p>
        </w:tc>
        <w:tc>
          <w:tcPr>
            <w:tcW w:w="403" w:type="pct"/>
            <w:vAlign w:val="center"/>
          </w:tcPr>
          <w:p w14:paraId="16FECC1C" w14:textId="1453B4BF"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47E9192D" w14:textId="6A49D0C9"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12</w:t>
            </w:r>
            <w:r w:rsidRPr="00E67914">
              <w:rPr>
                <w:rFonts w:ascii="Times New Roman" w:hAnsi="Times New Roman"/>
                <w:kern w:val="2"/>
                <w:sz w:val="21"/>
                <w:szCs w:val="21"/>
              </w:rPr>
              <w:t>户，约</w:t>
            </w:r>
            <w:r w:rsidRPr="00E67914">
              <w:rPr>
                <w:rFonts w:ascii="Times New Roman" w:hAnsi="Times New Roman"/>
                <w:kern w:val="2"/>
                <w:sz w:val="21"/>
                <w:szCs w:val="21"/>
              </w:rPr>
              <w:t>48</w:t>
            </w:r>
            <w:r w:rsidRPr="00E67914">
              <w:rPr>
                <w:rFonts w:ascii="Times New Roman" w:hAnsi="Times New Roman"/>
                <w:kern w:val="2"/>
                <w:sz w:val="21"/>
                <w:szCs w:val="21"/>
              </w:rPr>
              <w:t>人</w:t>
            </w:r>
          </w:p>
        </w:tc>
        <w:tc>
          <w:tcPr>
            <w:tcW w:w="483" w:type="pct"/>
            <w:vAlign w:val="center"/>
          </w:tcPr>
          <w:p w14:paraId="5477A65E" w14:textId="2CDBA136"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0D3647E2" w14:textId="00C46791"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lang w:eastAsia="zh-CN"/>
              </w:rPr>
              <w:t>E</w:t>
            </w:r>
          </w:p>
        </w:tc>
        <w:tc>
          <w:tcPr>
            <w:tcW w:w="651" w:type="pct"/>
            <w:vAlign w:val="center"/>
          </w:tcPr>
          <w:p w14:paraId="76705382" w14:textId="275104BC" w:rsidR="00965AA7" w:rsidRPr="00E67914" w:rsidRDefault="00965AA7" w:rsidP="00965AA7">
            <w:pPr>
              <w:jc w:val="center"/>
              <w:rPr>
                <w:rFonts w:ascii="Times New Roman" w:hAnsi="Times New Roman"/>
                <w:kern w:val="2"/>
                <w:sz w:val="21"/>
                <w:lang w:eastAsia="zh-CN"/>
              </w:rPr>
            </w:pPr>
            <w:r w:rsidRPr="00E67914">
              <w:rPr>
                <w:rFonts w:ascii="Times New Roman" w:hAnsi="Times New Roman"/>
                <w:kern w:val="2"/>
                <w:sz w:val="21"/>
                <w:lang w:eastAsia="zh-CN"/>
              </w:rPr>
              <w:t>196</w:t>
            </w:r>
          </w:p>
        </w:tc>
        <w:tc>
          <w:tcPr>
            <w:tcW w:w="402" w:type="pct"/>
            <w:vMerge/>
            <w:vAlign w:val="center"/>
          </w:tcPr>
          <w:p w14:paraId="4E409B16" w14:textId="77777777" w:rsidR="00965AA7" w:rsidRPr="00E67914" w:rsidRDefault="00965AA7" w:rsidP="00965AA7">
            <w:pPr>
              <w:jc w:val="center"/>
              <w:rPr>
                <w:rFonts w:ascii="Times New Roman" w:hAnsi="Times New Roman"/>
                <w:kern w:val="2"/>
                <w:sz w:val="21"/>
              </w:rPr>
            </w:pPr>
          </w:p>
        </w:tc>
      </w:tr>
    </w:tbl>
    <w:p w14:paraId="71187947" w14:textId="066A13E3" w:rsidR="00965AA7" w:rsidRPr="00E67914" w:rsidRDefault="00965AA7" w:rsidP="00965AA7">
      <w:pPr>
        <w:pStyle w:val="af"/>
        <w:tabs>
          <w:tab w:val="left" w:pos="3864"/>
        </w:tabs>
        <w:adjustRightInd w:val="0"/>
        <w:snapToGrid w:val="0"/>
        <w:spacing w:before="0"/>
        <w:ind w:left="0"/>
        <w:jc w:val="center"/>
        <w:rPr>
          <w:rFonts w:ascii="Times New Roman" w:hAnsi="Times New Roman"/>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1.8-4  </w:t>
      </w:r>
      <w:r w:rsidRPr="00E67914">
        <w:rPr>
          <w:rFonts w:ascii="Times New Roman" w:eastAsia="黑体" w:hAnsi="Times New Roman"/>
          <w:sz w:val="21"/>
          <w:szCs w:val="21"/>
          <w:lang w:eastAsia="zh-CN"/>
        </w:rPr>
        <w:t>普陆页</w:t>
      </w:r>
      <w:r w:rsidRPr="00E67914">
        <w:rPr>
          <w:rFonts w:ascii="Times New Roman" w:eastAsia="黑体" w:hAnsi="Times New Roman"/>
          <w:sz w:val="21"/>
          <w:szCs w:val="21"/>
          <w:lang w:eastAsia="zh-CN"/>
        </w:rPr>
        <w:t>2</w:t>
      </w:r>
      <w:r w:rsidRPr="00E67914">
        <w:rPr>
          <w:rFonts w:ascii="Times New Roman" w:eastAsia="黑体" w:hAnsi="Times New Roman"/>
          <w:sz w:val="21"/>
          <w:szCs w:val="21"/>
          <w:lang w:eastAsia="zh-CN"/>
        </w:rPr>
        <w:t>试采站至</w:t>
      </w:r>
      <w:r w:rsidRPr="00E67914">
        <w:rPr>
          <w:rFonts w:ascii="Times New Roman" w:eastAsia="黑体" w:hAnsi="Times New Roman"/>
          <w:sz w:val="21"/>
          <w:szCs w:val="21"/>
          <w:lang w:eastAsia="zh-CN"/>
        </w:rPr>
        <w:t>P302</w:t>
      </w:r>
      <w:r w:rsidRPr="00E67914">
        <w:rPr>
          <w:rFonts w:ascii="Times New Roman" w:eastAsia="黑体" w:hAnsi="Times New Roman"/>
          <w:sz w:val="21"/>
          <w:szCs w:val="21"/>
          <w:lang w:eastAsia="zh-CN"/>
        </w:rPr>
        <w:t>集气站的外输管线</w:t>
      </w:r>
      <w:r w:rsidR="00A76031" w:rsidRPr="00E67914">
        <w:rPr>
          <w:rFonts w:ascii="Times New Roman" w:eastAsia="黑体" w:hAnsi="Times New Roman"/>
          <w:sz w:val="21"/>
          <w:szCs w:val="21"/>
          <w:lang w:eastAsia="zh-CN"/>
        </w:rPr>
        <w:t>环</w:t>
      </w:r>
      <w:r w:rsidRPr="00E67914">
        <w:rPr>
          <w:rFonts w:ascii="Times New Roman" w:eastAsia="黑体" w:hAnsi="Times New Roman"/>
          <w:sz w:val="21"/>
          <w:szCs w:val="21"/>
          <w:lang w:eastAsia="zh-CN"/>
        </w:rPr>
        <w:t>境空气保护目标一览表</w:t>
      </w:r>
    </w:p>
    <w:tbl>
      <w:tblPr>
        <w:tblStyle w:val="affa"/>
        <w:tblW w:w="5000" w:type="pct"/>
        <w:tblLook w:val="04A0" w:firstRow="1" w:lastRow="0" w:firstColumn="1" w:lastColumn="0" w:noHBand="0" w:noVBand="1"/>
      </w:tblPr>
      <w:tblGrid>
        <w:gridCol w:w="2135"/>
        <w:gridCol w:w="1626"/>
        <w:gridCol w:w="1514"/>
        <w:gridCol w:w="1128"/>
        <w:gridCol w:w="1715"/>
        <w:gridCol w:w="1352"/>
        <w:gridCol w:w="1575"/>
        <w:gridCol w:w="1822"/>
        <w:gridCol w:w="1125"/>
      </w:tblGrid>
      <w:tr w:rsidR="00E67914" w:rsidRPr="00E67914" w14:paraId="153ECB0D" w14:textId="77777777" w:rsidTr="00223052">
        <w:trPr>
          <w:trHeight w:val="454"/>
        </w:trPr>
        <w:tc>
          <w:tcPr>
            <w:tcW w:w="763" w:type="pct"/>
            <w:vMerge w:val="restart"/>
            <w:vAlign w:val="center"/>
          </w:tcPr>
          <w:p w14:paraId="52F186B6" w14:textId="77777777" w:rsidR="00965AA7" w:rsidRPr="00E67914" w:rsidRDefault="00965AA7" w:rsidP="00223052">
            <w:pPr>
              <w:pStyle w:val="06"/>
              <w:rPr>
                <w:rFonts w:cs="Times New Roman"/>
                <w:b w:val="0"/>
                <w:bCs/>
              </w:rPr>
            </w:pPr>
            <w:r w:rsidRPr="00E67914">
              <w:rPr>
                <w:rFonts w:cs="Times New Roman"/>
                <w:b w:val="0"/>
                <w:bCs/>
              </w:rPr>
              <w:t>名称</w:t>
            </w:r>
          </w:p>
        </w:tc>
        <w:tc>
          <w:tcPr>
            <w:tcW w:w="1122" w:type="pct"/>
            <w:gridSpan w:val="2"/>
            <w:vAlign w:val="center"/>
          </w:tcPr>
          <w:p w14:paraId="16C9DFF1" w14:textId="77777777" w:rsidR="00965AA7" w:rsidRPr="00E67914" w:rsidRDefault="00965AA7" w:rsidP="00223052">
            <w:pPr>
              <w:pStyle w:val="06"/>
              <w:rPr>
                <w:rFonts w:cs="Times New Roman"/>
                <w:b w:val="0"/>
                <w:bCs/>
              </w:rPr>
            </w:pPr>
            <w:r w:rsidRPr="00E67914">
              <w:rPr>
                <w:rFonts w:cs="Times New Roman"/>
                <w:b w:val="0"/>
                <w:bCs/>
              </w:rPr>
              <w:t>与管线最近处经纬度</w:t>
            </w:r>
          </w:p>
        </w:tc>
        <w:tc>
          <w:tcPr>
            <w:tcW w:w="403" w:type="pct"/>
            <w:vMerge w:val="restart"/>
            <w:vAlign w:val="center"/>
          </w:tcPr>
          <w:p w14:paraId="59A0E2A3" w14:textId="77777777" w:rsidR="00965AA7" w:rsidRPr="00E67914" w:rsidRDefault="00965AA7" w:rsidP="00223052">
            <w:pPr>
              <w:pStyle w:val="06"/>
              <w:rPr>
                <w:rFonts w:cs="Times New Roman"/>
                <w:b w:val="0"/>
                <w:bCs/>
              </w:rPr>
            </w:pPr>
            <w:r w:rsidRPr="00E67914">
              <w:rPr>
                <w:rFonts w:cs="Times New Roman"/>
                <w:b w:val="0"/>
                <w:bCs/>
              </w:rPr>
              <w:t>保护对象</w:t>
            </w:r>
          </w:p>
        </w:tc>
        <w:tc>
          <w:tcPr>
            <w:tcW w:w="613" w:type="pct"/>
            <w:vMerge w:val="restart"/>
            <w:vAlign w:val="center"/>
          </w:tcPr>
          <w:p w14:paraId="0C236900" w14:textId="77777777" w:rsidR="00965AA7" w:rsidRPr="00E67914" w:rsidRDefault="00965AA7" w:rsidP="00223052">
            <w:pPr>
              <w:pStyle w:val="06"/>
              <w:rPr>
                <w:rFonts w:cs="Times New Roman"/>
                <w:b w:val="0"/>
                <w:bCs/>
              </w:rPr>
            </w:pPr>
            <w:r w:rsidRPr="00E67914">
              <w:rPr>
                <w:rFonts w:cs="Times New Roman"/>
                <w:b w:val="0"/>
                <w:bCs/>
              </w:rPr>
              <w:t>保护内容</w:t>
            </w:r>
          </w:p>
        </w:tc>
        <w:tc>
          <w:tcPr>
            <w:tcW w:w="483" w:type="pct"/>
            <w:vMerge w:val="restart"/>
            <w:vAlign w:val="center"/>
          </w:tcPr>
          <w:p w14:paraId="457FDA0D" w14:textId="77777777" w:rsidR="00965AA7" w:rsidRPr="00E67914" w:rsidRDefault="00965AA7" w:rsidP="00223052">
            <w:pPr>
              <w:pStyle w:val="06"/>
              <w:rPr>
                <w:rFonts w:cs="Times New Roman"/>
                <w:b w:val="0"/>
                <w:bCs/>
              </w:rPr>
            </w:pPr>
            <w:r w:rsidRPr="00E67914">
              <w:rPr>
                <w:rFonts w:cs="Times New Roman"/>
                <w:b w:val="0"/>
                <w:bCs/>
              </w:rPr>
              <w:t>环境功能区</w:t>
            </w:r>
          </w:p>
        </w:tc>
        <w:tc>
          <w:tcPr>
            <w:tcW w:w="563" w:type="pct"/>
            <w:vMerge w:val="restart"/>
            <w:vAlign w:val="center"/>
          </w:tcPr>
          <w:p w14:paraId="54DCEF46" w14:textId="77777777" w:rsidR="00965AA7" w:rsidRPr="00E67914" w:rsidRDefault="00965AA7" w:rsidP="00223052">
            <w:pPr>
              <w:pStyle w:val="06"/>
              <w:rPr>
                <w:rFonts w:cs="Times New Roman"/>
                <w:b w:val="0"/>
                <w:bCs/>
              </w:rPr>
            </w:pPr>
            <w:r w:rsidRPr="00E67914">
              <w:rPr>
                <w:rFonts w:cs="Times New Roman"/>
                <w:b w:val="0"/>
                <w:bCs/>
              </w:rPr>
              <w:t>相对管线方位</w:t>
            </w:r>
          </w:p>
        </w:tc>
        <w:tc>
          <w:tcPr>
            <w:tcW w:w="651" w:type="pct"/>
            <w:vMerge w:val="restart"/>
            <w:vAlign w:val="center"/>
          </w:tcPr>
          <w:p w14:paraId="3AD4465E" w14:textId="77777777" w:rsidR="00965AA7" w:rsidRPr="00E67914" w:rsidRDefault="00965AA7" w:rsidP="00223052">
            <w:pPr>
              <w:pStyle w:val="06"/>
              <w:rPr>
                <w:rFonts w:cs="Times New Roman"/>
                <w:b w:val="0"/>
                <w:bCs/>
              </w:rPr>
            </w:pPr>
            <w:r w:rsidRPr="00E67914">
              <w:rPr>
                <w:rFonts w:cs="Times New Roman"/>
                <w:b w:val="0"/>
                <w:bCs/>
              </w:rPr>
              <w:t>相对管线距离</w:t>
            </w:r>
            <w:r w:rsidRPr="00E67914">
              <w:rPr>
                <w:rFonts w:cs="Times New Roman"/>
                <w:b w:val="0"/>
                <w:bCs/>
              </w:rPr>
              <w:t>/m</w:t>
            </w:r>
          </w:p>
        </w:tc>
        <w:tc>
          <w:tcPr>
            <w:tcW w:w="402" w:type="pct"/>
            <w:vMerge w:val="restart"/>
            <w:vAlign w:val="center"/>
          </w:tcPr>
          <w:p w14:paraId="7C9C5A3D" w14:textId="77777777" w:rsidR="00965AA7" w:rsidRPr="00E67914" w:rsidRDefault="00965AA7" w:rsidP="00223052">
            <w:pPr>
              <w:pStyle w:val="06"/>
              <w:rPr>
                <w:rFonts w:cs="Times New Roman"/>
                <w:b w:val="0"/>
                <w:bCs/>
              </w:rPr>
            </w:pPr>
            <w:r w:rsidRPr="00E67914">
              <w:rPr>
                <w:rFonts w:cs="Times New Roman"/>
                <w:b w:val="0"/>
                <w:bCs/>
              </w:rPr>
              <w:t>影响时段</w:t>
            </w:r>
          </w:p>
        </w:tc>
      </w:tr>
      <w:tr w:rsidR="00E67914" w:rsidRPr="00E67914" w14:paraId="5BD1FE0D" w14:textId="77777777" w:rsidTr="00223052">
        <w:trPr>
          <w:trHeight w:val="454"/>
        </w:trPr>
        <w:tc>
          <w:tcPr>
            <w:tcW w:w="763" w:type="pct"/>
            <w:vMerge/>
            <w:vAlign w:val="center"/>
          </w:tcPr>
          <w:p w14:paraId="250072FD" w14:textId="77777777" w:rsidR="00965AA7" w:rsidRPr="00E67914" w:rsidRDefault="00965AA7" w:rsidP="00223052">
            <w:pPr>
              <w:pStyle w:val="06"/>
              <w:rPr>
                <w:rFonts w:cs="Times New Roman"/>
                <w:b w:val="0"/>
                <w:bCs/>
              </w:rPr>
            </w:pPr>
          </w:p>
        </w:tc>
        <w:tc>
          <w:tcPr>
            <w:tcW w:w="581" w:type="pct"/>
            <w:vAlign w:val="center"/>
          </w:tcPr>
          <w:p w14:paraId="1D480F68" w14:textId="77777777" w:rsidR="00965AA7" w:rsidRPr="00E67914" w:rsidRDefault="00965AA7" w:rsidP="00223052">
            <w:pPr>
              <w:pStyle w:val="06"/>
              <w:rPr>
                <w:rFonts w:cs="Times New Roman"/>
                <w:b w:val="0"/>
                <w:bCs/>
              </w:rPr>
            </w:pPr>
            <w:r w:rsidRPr="00E67914">
              <w:rPr>
                <w:rFonts w:cs="Times New Roman"/>
                <w:b w:val="0"/>
                <w:bCs/>
              </w:rPr>
              <w:t>经度</w:t>
            </w:r>
          </w:p>
        </w:tc>
        <w:tc>
          <w:tcPr>
            <w:tcW w:w="541" w:type="pct"/>
            <w:vAlign w:val="center"/>
          </w:tcPr>
          <w:p w14:paraId="7083C4CC" w14:textId="77777777" w:rsidR="00965AA7" w:rsidRPr="00E67914" w:rsidRDefault="00965AA7" w:rsidP="00223052">
            <w:pPr>
              <w:pStyle w:val="06"/>
              <w:rPr>
                <w:rFonts w:cs="Times New Roman"/>
                <w:b w:val="0"/>
                <w:bCs/>
              </w:rPr>
            </w:pPr>
            <w:r w:rsidRPr="00E67914">
              <w:rPr>
                <w:rFonts w:cs="Times New Roman"/>
                <w:b w:val="0"/>
                <w:bCs/>
              </w:rPr>
              <w:t>纬度</w:t>
            </w:r>
          </w:p>
        </w:tc>
        <w:tc>
          <w:tcPr>
            <w:tcW w:w="403" w:type="pct"/>
            <w:vMerge/>
            <w:vAlign w:val="center"/>
          </w:tcPr>
          <w:p w14:paraId="0A21B2E9" w14:textId="77777777" w:rsidR="00965AA7" w:rsidRPr="00E67914" w:rsidRDefault="00965AA7" w:rsidP="00223052">
            <w:pPr>
              <w:pStyle w:val="06"/>
              <w:rPr>
                <w:rFonts w:cs="Times New Roman"/>
              </w:rPr>
            </w:pPr>
          </w:p>
        </w:tc>
        <w:tc>
          <w:tcPr>
            <w:tcW w:w="613" w:type="pct"/>
            <w:vMerge/>
            <w:vAlign w:val="center"/>
          </w:tcPr>
          <w:p w14:paraId="49D93E3B" w14:textId="77777777" w:rsidR="00965AA7" w:rsidRPr="00E67914" w:rsidRDefault="00965AA7" w:rsidP="00223052">
            <w:pPr>
              <w:pStyle w:val="06"/>
              <w:rPr>
                <w:rFonts w:cs="Times New Roman"/>
              </w:rPr>
            </w:pPr>
          </w:p>
        </w:tc>
        <w:tc>
          <w:tcPr>
            <w:tcW w:w="483" w:type="pct"/>
            <w:vMerge/>
            <w:vAlign w:val="center"/>
          </w:tcPr>
          <w:p w14:paraId="2E353002" w14:textId="77777777" w:rsidR="00965AA7" w:rsidRPr="00E67914" w:rsidRDefault="00965AA7" w:rsidP="00223052">
            <w:pPr>
              <w:pStyle w:val="06"/>
              <w:rPr>
                <w:rFonts w:cs="Times New Roman"/>
              </w:rPr>
            </w:pPr>
          </w:p>
        </w:tc>
        <w:tc>
          <w:tcPr>
            <w:tcW w:w="563" w:type="pct"/>
            <w:vMerge/>
            <w:vAlign w:val="center"/>
          </w:tcPr>
          <w:p w14:paraId="497F76A5" w14:textId="77777777" w:rsidR="00965AA7" w:rsidRPr="00E67914" w:rsidRDefault="00965AA7" w:rsidP="00223052">
            <w:pPr>
              <w:pStyle w:val="06"/>
              <w:rPr>
                <w:rFonts w:cs="Times New Roman"/>
              </w:rPr>
            </w:pPr>
          </w:p>
        </w:tc>
        <w:tc>
          <w:tcPr>
            <w:tcW w:w="651" w:type="pct"/>
            <w:vMerge/>
            <w:vAlign w:val="center"/>
          </w:tcPr>
          <w:p w14:paraId="39F78171" w14:textId="77777777" w:rsidR="00965AA7" w:rsidRPr="00E67914" w:rsidRDefault="00965AA7" w:rsidP="00223052">
            <w:pPr>
              <w:pStyle w:val="06"/>
              <w:rPr>
                <w:rFonts w:cs="Times New Roman"/>
              </w:rPr>
            </w:pPr>
          </w:p>
        </w:tc>
        <w:tc>
          <w:tcPr>
            <w:tcW w:w="402" w:type="pct"/>
            <w:vMerge/>
            <w:vAlign w:val="center"/>
          </w:tcPr>
          <w:p w14:paraId="672D9C4C" w14:textId="77777777" w:rsidR="00965AA7" w:rsidRPr="00E67914" w:rsidRDefault="00965AA7" w:rsidP="00223052">
            <w:pPr>
              <w:pStyle w:val="06"/>
              <w:rPr>
                <w:rFonts w:cs="Times New Roman"/>
              </w:rPr>
            </w:pPr>
          </w:p>
        </w:tc>
      </w:tr>
      <w:tr w:rsidR="00E67914" w:rsidRPr="00E67914" w14:paraId="44915682" w14:textId="77777777" w:rsidTr="00223052">
        <w:trPr>
          <w:trHeight w:val="454"/>
        </w:trPr>
        <w:tc>
          <w:tcPr>
            <w:tcW w:w="763" w:type="pct"/>
            <w:vAlign w:val="center"/>
          </w:tcPr>
          <w:p w14:paraId="220C2EE3" w14:textId="0B3E759D"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lang w:eastAsia="zh-CN"/>
              </w:rPr>
              <w:t>11#</w:t>
            </w:r>
            <w:r w:rsidRPr="00E67914">
              <w:rPr>
                <w:rFonts w:ascii="Times New Roman" w:hAnsi="Times New Roman"/>
                <w:kern w:val="2"/>
                <w:sz w:val="21"/>
                <w:szCs w:val="21"/>
                <w:lang w:eastAsia="zh-CN"/>
              </w:rPr>
              <w:t>居民点</w:t>
            </w:r>
          </w:p>
        </w:tc>
        <w:tc>
          <w:tcPr>
            <w:tcW w:w="581" w:type="pct"/>
            <w:vAlign w:val="center"/>
          </w:tcPr>
          <w:p w14:paraId="486F7F19" w14:textId="113F7A10"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107.764429321</w:t>
            </w:r>
          </w:p>
        </w:tc>
        <w:tc>
          <w:tcPr>
            <w:tcW w:w="541" w:type="pct"/>
            <w:vAlign w:val="center"/>
          </w:tcPr>
          <w:p w14:paraId="786BCA9B" w14:textId="19CE5798"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31.518862875</w:t>
            </w:r>
          </w:p>
        </w:tc>
        <w:tc>
          <w:tcPr>
            <w:tcW w:w="403" w:type="pct"/>
            <w:vAlign w:val="center"/>
          </w:tcPr>
          <w:p w14:paraId="5A48850F" w14:textId="3F2A4AE7"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2B2567E4" w14:textId="0DFF381E"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12</w:t>
            </w:r>
            <w:r w:rsidRPr="00E67914">
              <w:rPr>
                <w:rFonts w:ascii="Times New Roman" w:hAnsi="Times New Roman"/>
                <w:kern w:val="2"/>
                <w:sz w:val="21"/>
                <w:szCs w:val="21"/>
              </w:rPr>
              <w:t>户，约</w:t>
            </w:r>
            <w:r w:rsidRPr="00E67914">
              <w:rPr>
                <w:rFonts w:ascii="Times New Roman" w:hAnsi="Times New Roman"/>
                <w:kern w:val="2"/>
                <w:sz w:val="21"/>
                <w:szCs w:val="21"/>
              </w:rPr>
              <w:t>48</w:t>
            </w:r>
            <w:r w:rsidRPr="00E67914">
              <w:rPr>
                <w:rFonts w:ascii="Times New Roman" w:hAnsi="Times New Roman"/>
                <w:kern w:val="2"/>
                <w:sz w:val="21"/>
                <w:szCs w:val="21"/>
              </w:rPr>
              <w:t>人</w:t>
            </w:r>
          </w:p>
        </w:tc>
        <w:tc>
          <w:tcPr>
            <w:tcW w:w="483" w:type="pct"/>
            <w:vAlign w:val="center"/>
          </w:tcPr>
          <w:p w14:paraId="550F6EB1" w14:textId="303F0E03"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4C166679" w14:textId="488F9CDC"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lang w:eastAsia="zh-CN"/>
              </w:rPr>
              <w:t>E</w:t>
            </w:r>
          </w:p>
        </w:tc>
        <w:tc>
          <w:tcPr>
            <w:tcW w:w="651" w:type="pct"/>
            <w:vAlign w:val="center"/>
          </w:tcPr>
          <w:p w14:paraId="1266188F" w14:textId="6E4A5C9C" w:rsidR="00965AA7" w:rsidRPr="00E67914" w:rsidRDefault="00965AA7" w:rsidP="00965AA7">
            <w:pPr>
              <w:jc w:val="center"/>
              <w:rPr>
                <w:rFonts w:ascii="Times New Roman" w:hAnsi="Times New Roman"/>
                <w:kern w:val="2"/>
                <w:sz w:val="21"/>
                <w:lang w:eastAsia="zh-CN"/>
              </w:rPr>
            </w:pPr>
            <w:r w:rsidRPr="00E67914">
              <w:rPr>
                <w:rFonts w:ascii="Times New Roman" w:hAnsi="Times New Roman"/>
                <w:kern w:val="2"/>
                <w:sz w:val="21"/>
                <w:lang w:eastAsia="zh-CN"/>
              </w:rPr>
              <w:t>166</w:t>
            </w:r>
          </w:p>
        </w:tc>
        <w:tc>
          <w:tcPr>
            <w:tcW w:w="402" w:type="pct"/>
            <w:vMerge w:val="restart"/>
            <w:vAlign w:val="center"/>
          </w:tcPr>
          <w:p w14:paraId="71C8EF4D" w14:textId="77777777"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rPr>
              <w:t>施工期</w:t>
            </w:r>
          </w:p>
        </w:tc>
      </w:tr>
      <w:tr w:rsidR="00965AA7" w:rsidRPr="00E67914" w14:paraId="1C49E0B3" w14:textId="77777777" w:rsidTr="00223052">
        <w:trPr>
          <w:trHeight w:val="454"/>
        </w:trPr>
        <w:tc>
          <w:tcPr>
            <w:tcW w:w="763" w:type="pct"/>
            <w:vAlign w:val="center"/>
          </w:tcPr>
          <w:p w14:paraId="16B084AF" w14:textId="16ED47CF"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6#</w:t>
            </w:r>
            <w:r w:rsidRPr="00E67914">
              <w:rPr>
                <w:rFonts w:ascii="Times New Roman" w:hAnsi="Times New Roman"/>
                <w:kern w:val="2"/>
                <w:sz w:val="21"/>
                <w:szCs w:val="21"/>
              </w:rPr>
              <w:t>居民点</w:t>
            </w:r>
          </w:p>
        </w:tc>
        <w:tc>
          <w:tcPr>
            <w:tcW w:w="581" w:type="pct"/>
            <w:vAlign w:val="center"/>
          </w:tcPr>
          <w:p w14:paraId="0CDEDDAE" w14:textId="27E887F3"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107.756452432</w:t>
            </w:r>
          </w:p>
        </w:tc>
        <w:tc>
          <w:tcPr>
            <w:tcW w:w="541" w:type="pct"/>
            <w:vAlign w:val="center"/>
          </w:tcPr>
          <w:p w14:paraId="5CEB2736" w14:textId="1EB42E26"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31.517626376</w:t>
            </w:r>
          </w:p>
        </w:tc>
        <w:tc>
          <w:tcPr>
            <w:tcW w:w="403" w:type="pct"/>
            <w:vAlign w:val="center"/>
          </w:tcPr>
          <w:p w14:paraId="444C3C00" w14:textId="015B3C7A"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3BA6AFBB" w14:textId="242BD18A"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10</w:t>
            </w:r>
            <w:r w:rsidRPr="00E67914">
              <w:rPr>
                <w:rFonts w:ascii="Times New Roman" w:hAnsi="Times New Roman"/>
                <w:kern w:val="2"/>
                <w:sz w:val="21"/>
                <w:szCs w:val="21"/>
              </w:rPr>
              <w:t>户，约</w:t>
            </w:r>
            <w:r w:rsidRPr="00E67914">
              <w:rPr>
                <w:rFonts w:ascii="Times New Roman" w:hAnsi="Times New Roman"/>
                <w:kern w:val="2"/>
                <w:sz w:val="21"/>
                <w:szCs w:val="21"/>
              </w:rPr>
              <w:t>40</w:t>
            </w:r>
            <w:r w:rsidRPr="00E67914">
              <w:rPr>
                <w:rFonts w:ascii="Times New Roman" w:hAnsi="Times New Roman"/>
                <w:kern w:val="2"/>
                <w:sz w:val="21"/>
                <w:szCs w:val="21"/>
              </w:rPr>
              <w:t>人</w:t>
            </w:r>
          </w:p>
        </w:tc>
        <w:tc>
          <w:tcPr>
            <w:tcW w:w="483" w:type="pct"/>
            <w:vAlign w:val="center"/>
          </w:tcPr>
          <w:p w14:paraId="04B069B6" w14:textId="1BABD956"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7ED4173F" w14:textId="77777777" w:rsidR="00965AA7" w:rsidRPr="00E67914" w:rsidRDefault="00965AA7" w:rsidP="00965AA7">
            <w:pPr>
              <w:jc w:val="center"/>
              <w:rPr>
                <w:rFonts w:ascii="Times New Roman" w:hAnsi="Times New Roman"/>
                <w:kern w:val="2"/>
                <w:sz w:val="21"/>
              </w:rPr>
            </w:pPr>
            <w:r w:rsidRPr="00E67914">
              <w:rPr>
                <w:rFonts w:ascii="Times New Roman" w:hAnsi="Times New Roman"/>
                <w:kern w:val="2"/>
                <w:sz w:val="21"/>
                <w:lang w:eastAsia="zh-CN"/>
              </w:rPr>
              <w:t>W</w:t>
            </w:r>
          </w:p>
        </w:tc>
        <w:tc>
          <w:tcPr>
            <w:tcW w:w="651" w:type="pct"/>
            <w:vAlign w:val="center"/>
          </w:tcPr>
          <w:p w14:paraId="298CCB91" w14:textId="77EB2E0D" w:rsidR="00965AA7" w:rsidRPr="00E67914" w:rsidRDefault="00965AA7" w:rsidP="00965AA7">
            <w:pPr>
              <w:jc w:val="center"/>
              <w:rPr>
                <w:rFonts w:ascii="Times New Roman" w:hAnsi="Times New Roman"/>
                <w:kern w:val="2"/>
                <w:sz w:val="21"/>
                <w:lang w:eastAsia="zh-CN"/>
              </w:rPr>
            </w:pPr>
            <w:r w:rsidRPr="00E67914">
              <w:rPr>
                <w:rFonts w:ascii="Times New Roman" w:hAnsi="Times New Roman"/>
                <w:kern w:val="2"/>
                <w:sz w:val="21"/>
                <w:lang w:eastAsia="zh-CN"/>
              </w:rPr>
              <w:t>184</w:t>
            </w:r>
          </w:p>
        </w:tc>
        <w:tc>
          <w:tcPr>
            <w:tcW w:w="402" w:type="pct"/>
            <w:vMerge/>
            <w:vAlign w:val="center"/>
          </w:tcPr>
          <w:p w14:paraId="196A40EF" w14:textId="77777777" w:rsidR="00965AA7" w:rsidRPr="00E67914" w:rsidRDefault="00965AA7" w:rsidP="00965AA7">
            <w:pPr>
              <w:jc w:val="center"/>
              <w:rPr>
                <w:rFonts w:ascii="Times New Roman" w:hAnsi="Times New Roman"/>
                <w:kern w:val="2"/>
                <w:sz w:val="21"/>
              </w:rPr>
            </w:pPr>
          </w:p>
        </w:tc>
      </w:tr>
    </w:tbl>
    <w:p w14:paraId="7BB52F9E" w14:textId="77777777" w:rsidR="00965AA7" w:rsidRPr="00E67914" w:rsidRDefault="00965AA7" w:rsidP="00965AA7">
      <w:pPr>
        <w:pStyle w:val="af"/>
        <w:tabs>
          <w:tab w:val="left" w:pos="3864"/>
        </w:tabs>
        <w:adjustRightInd w:val="0"/>
        <w:snapToGrid w:val="0"/>
        <w:spacing w:before="0"/>
        <w:ind w:left="0"/>
        <w:jc w:val="center"/>
        <w:rPr>
          <w:rFonts w:ascii="Times New Roman" w:eastAsia="黑体" w:hAnsi="Times New Roman"/>
          <w:sz w:val="21"/>
          <w:szCs w:val="21"/>
          <w:lang w:eastAsia="zh-CN"/>
        </w:rPr>
      </w:pPr>
    </w:p>
    <w:p w14:paraId="4AD67242" w14:textId="77777777" w:rsidR="008B15B2" w:rsidRPr="00E67914" w:rsidRDefault="008B15B2" w:rsidP="008B15B2">
      <w:pPr>
        <w:ind w:firstLine="480"/>
        <w:rPr>
          <w:rFonts w:ascii="Times New Roman" w:hAnsi="Times New Roman"/>
        </w:rPr>
        <w:sectPr w:rsidR="008B15B2" w:rsidRPr="00E67914" w:rsidSect="00451DA7">
          <w:pgSz w:w="16838" w:h="11906" w:orient="landscape"/>
          <w:pgMar w:top="1418" w:right="1418" w:bottom="1418" w:left="1418" w:header="851" w:footer="992" w:gutter="0"/>
          <w:cols w:space="425"/>
          <w:docGrid w:type="lines" w:linePitch="326"/>
        </w:sectPr>
      </w:pPr>
    </w:p>
    <w:p w14:paraId="286D0085" w14:textId="77777777" w:rsidR="00112965" w:rsidRPr="00E67914" w:rsidRDefault="00112965" w:rsidP="00112965">
      <w:pPr>
        <w:adjustRightInd w:val="0"/>
        <w:snapToGrid w:val="0"/>
        <w:spacing w:line="360" w:lineRule="auto"/>
        <w:ind w:firstLineChars="200" w:firstLine="480"/>
        <w:jc w:val="both"/>
        <w:outlineLvl w:val="3"/>
        <w:rPr>
          <w:rFonts w:ascii="Times New Roman" w:eastAsia="黑体" w:hAnsi="Times New Roman"/>
          <w:sz w:val="24"/>
          <w:szCs w:val="24"/>
          <w:lang w:eastAsia="zh-CN"/>
        </w:rPr>
      </w:pPr>
      <w:bookmarkStart w:id="50" w:name="_Hlk73455076"/>
      <w:r w:rsidRPr="00E67914">
        <w:rPr>
          <w:rFonts w:ascii="Times New Roman" w:eastAsia="黑体" w:hAnsi="Times New Roman"/>
          <w:sz w:val="24"/>
          <w:szCs w:val="24"/>
          <w:lang w:eastAsia="zh-CN"/>
        </w:rPr>
        <w:lastRenderedPageBreak/>
        <w:t xml:space="preserve">2.9.2.5 </w:t>
      </w:r>
      <w:r w:rsidRPr="00E67914">
        <w:rPr>
          <w:rFonts w:ascii="Times New Roman" w:eastAsia="黑体" w:hAnsi="Times New Roman"/>
          <w:sz w:val="24"/>
          <w:szCs w:val="24"/>
          <w:lang w:eastAsia="zh-CN"/>
        </w:rPr>
        <w:t>声环境保护目标</w:t>
      </w:r>
    </w:p>
    <w:p w14:paraId="1CDB698D" w14:textId="607C730E" w:rsidR="00112965" w:rsidRPr="00E67914" w:rsidRDefault="00112965" w:rsidP="00112965">
      <w:pPr>
        <w:pStyle w:val="af"/>
        <w:tabs>
          <w:tab w:val="left" w:pos="3864"/>
        </w:tabs>
        <w:adjustRightInd w:val="0"/>
        <w:snapToGrid w:val="0"/>
        <w:spacing w:before="0"/>
        <w:ind w:left="0"/>
        <w:rPr>
          <w:rFonts w:ascii="Times New Roman" w:eastAsia="黑体" w:hAnsi="Times New Roman"/>
          <w:sz w:val="21"/>
          <w:szCs w:val="21"/>
          <w:lang w:eastAsia="zh-CN"/>
        </w:rPr>
      </w:pPr>
      <w:r w:rsidRPr="00E67914">
        <w:rPr>
          <w:rFonts w:ascii="Times New Roman" w:hAnsi="Times New Roman"/>
          <w:lang w:eastAsia="zh-CN"/>
        </w:rPr>
        <w:t>根据现场调查，本项目井场周边</w:t>
      </w:r>
      <w:r w:rsidRPr="00E67914">
        <w:rPr>
          <w:rFonts w:ascii="Times New Roman" w:hAnsi="Times New Roman"/>
          <w:lang w:eastAsia="zh-CN"/>
        </w:rPr>
        <w:t>200m</w:t>
      </w:r>
      <w:r w:rsidRPr="00E67914">
        <w:rPr>
          <w:rFonts w:ascii="Times New Roman" w:hAnsi="Times New Roman"/>
          <w:lang w:eastAsia="zh-CN"/>
        </w:rPr>
        <w:t>范围内有居民点分布，主要声环境保护目标见下表所示：</w:t>
      </w:r>
    </w:p>
    <w:p w14:paraId="7C4886DC" w14:textId="029803EE" w:rsidR="008B15B2" w:rsidRPr="00E67914" w:rsidRDefault="008B15B2" w:rsidP="00965AA7">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1.8-5  </w:t>
      </w:r>
      <w:r w:rsidR="00965AA7" w:rsidRPr="00E67914">
        <w:rPr>
          <w:rFonts w:ascii="Times New Roman" w:eastAsia="黑体" w:hAnsi="Times New Roman"/>
          <w:sz w:val="21"/>
          <w:szCs w:val="21"/>
          <w:lang w:eastAsia="zh-CN"/>
        </w:rPr>
        <w:t>平台（试采站）</w:t>
      </w:r>
      <w:r w:rsidRPr="00E67914">
        <w:rPr>
          <w:rFonts w:ascii="Times New Roman" w:eastAsia="黑体" w:hAnsi="Times New Roman"/>
          <w:sz w:val="21"/>
          <w:szCs w:val="21"/>
          <w:lang w:eastAsia="zh-CN"/>
        </w:rPr>
        <w:t>声环境保护目标一览表</w:t>
      </w:r>
    </w:p>
    <w:tbl>
      <w:tblPr>
        <w:tblW w:w="49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4"/>
        <w:gridCol w:w="1414"/>
        <w:gridCol w:w="1420"/>
        <w:gridCol w:w="567"/>
        <w:gridCol w:w="1702"/>
        <w:gridCol w:w="707"/>
        <w:gridCol w:w="850"/>
        <w:gridCol w:w="1560"/>
        <w:gridCol w:w="1716"/>
        <w:gridCol w:w="1322"/>
        <w:gridCol w:w="1163"/>
      </w:tblGrid>
      <w:tr w:rsidR="00E67914" w:rsidRPr="00E67914" w14:paraId="34E42579" w14:textId="77777777" w:rsidTr="00A76031">
        <w:trPr>
          <w:trHeight w:val="454"/>
          <w:jc w:val="center"/>
        </w:trPr>
        <w:tc>
          <w:tcPr>
            <w:tcW w:w="556" w:type="pct"/>
            <w:vMerge w:val="restart"/>
            <w:tcBorders>
              <w:top w:val="single" w:sz="4" w:space="0" w:color="auto"/>
              <w:left w:val="single" w:sz="4" w:space="0" w:color="auto"/>
              <w:bottom w:val="single" w:sz="4" w:space="0" w:color="auto"/>
              <w:right w:val="single" w:sz="4" w:space="0" w:color="auto"/>
            </w:tcBorders>
            <w:vAlign w:val="center"/>
            <w:hideMark/>
          </w:tcPr>
          <w:p w14:paraId="08B4B686" w14:textId="77777777" w:rsidR="00A76031" w:rsidRPr="00E67914" w:rsidRDefault="00A76031" w:rsidP="00223052">
            <w:pPr>
              <w:pStyle w:val="06"/>
              <w:rPr>
                <w:rFonts w:cs="Times New Roman"/>
                <w:b w:val="0"/>
                <w:bCs/>
              </w:rPr>
            </w:pPr>
            <w:r w:rsidRPr="00E67914">
              <w:rPr>
                <w:rFonts w:cs="Times New Roman"/>
                <w:b w:val="0"/>
                <w:bCs/>
              </w:rPr>
              <w:t>名称</w:t>
            </w:r>
          </w:p>
        </w:tc>
        <w:tc>
          <w:tcPr>
            <w:tcW w:w="1014" w:type="pct"/>
            <w:gridSpan w:val="2"/>
            <w:tcBorders>
              <w:top w:val="single" w:sz="4" w:space="0" w:color="auto"/>
              <w:left w:val="single" w:sz="4" w:space="0" w:color="auto"/>
              <w:bottom w:val="single" w:sz="4" w:space="0" w:color="auto"/>
              <w:right w:val="single" w:sz="4" w:space="0" w:color="auto"/>
            </w:tcBorders>
            <w:vAlign w:val="center"/>
            <w:hideMark/>
          </w:tcPr>
          <w:p w14:paraId="17CAE9E8" w14:textId="77777777" w:rsidR="00A76031" w:rsidRPr="00E67914" w:rsidRDefault="00A76031" w:rsidP="00223052">
            <w:pPr>
              <w:pStyle w:val="06"/>
              <w:rPr>
                <w:rFonts w:cs="Times New Roman"/>
                <w:b w:val="0"/>
                <w:bCs/>
              </w:rPr>
            </w:pPr>
            <w:r w:rsidRPr="00E67914">
              <w:rPr>
                <w:rFonts w:cs="Times New Roman"/>
                <w:b w:val="0"/>
                <w:bCs/>
              </w:rPr>
              <w:t>经纬度</w:t>
            </w:r>
          </w:p>
        </w:tc>
        <w:tc>
          <w:tcPr>
            <w:tcW w:w="203" w:type="pct"/>
            <w:vMerge w:val="restart"/>
            <w:tcBorders>
              <w:top w:val="single" w:sz="4" w:space="0" w:color="auto"/>
              <w:left w:val="single" w:sz="4" w:space="0" w:color="auto"/>
              <w:bottom w:val="single" w:sz="4" w:space="0" w:color="auto"/>
              <w:right w:val="single" w:sz="4" w:space="0" w:color="auto"/>
            </w:tcBorders>
            <w:vAlign w:val="center"/>
            <w:hideMark/>
          </w:tcPr>
          <w:p w14:paraId="5E7C17BC" w14:textId="77777777" w:rsidR="00A76031" w:rsidRPr="00E67914" w:rsidRDefault="00A76031" w:rsidP="00223052">
            <w:pPr>
              <w:pStyle w:val="06"/>
              <w:rPr>
                <w:rFonts w:cs="Times New Roman"/>
                <w:b w:val="0"/>
                <w:bCs/>
              </w:rPr>
            </w:pPr>
            <w:r w:rsidRPr="00E67914">
              <w:rPr>
                <w:rFonts w:cs="Times New Roman"/>
                <w:b w:val="0"/>
                <w:bCs/>
              </w:rPr>
              <w:t>保护</w:t>
            </w:r>
          </w:p>
          <w:p w14:paraId="59A778D0" w14:textId="77777777" w:rsidR="00A76031" w:rsidRPr="00E67914" w:rsidRDefault="00A76031" w:rsidP="00223052">
            <w:pPr>
              <w:pStyle w:val="06"/>
              <w:rPr>
                <w:rFonts w:cs="Times New Roman"/>
                <w:b w:val="0"/>
                <w:bCs/>
              </w:rPr>
            </w:pPr>
            <w:r w:rsidRPr="00E67914">
              <w:rPr>
                <w:rFonts w:cs="Times New Roman"/>
                <w:b w:val="0"/>
                <w:bCs/>
              </w:rPr>
              <w:t>对象</w:t>
            </w:r>
          </w:p>
        </w:tc>
        <w:tc>
          <w:tcPr>
            <w:tcW w:w="609" w:type="pct"/>
            <w:vMerge w:val="restart"/>
            <w:tcBorders>
              <w:top w:val="single" w:sz="4" w:space="0" w:color="auto"/>
              <w:left w:val="single" w:sz="4" w:space="0" w:color="auto"/>
              <w:bottom w:val="single" w:sz="4" w:space="0" w:color="auto"/>
              <w:right w:val="single" w:sz="4" w:space="0" w:color="auto"/>
            </w:tcBorders>
            <w:vAlign w:val="center"/>
            <w:hideMark/>
          </w:tcPr>
          <w:p w14:paraId="08D2A486" w14:textId="77777777" w:rsidR="00A76031" w:rsidRPr="00E67914" w:rsidRDefault="00A76031" w:rsidP="00223052">
            <w:pPr>
              <w:pStyle w:val="06"/>
              <w:rPr>
                <w:rFonts w:cs="Times New Roman"/>
                <w:b w:val="0"/>
                <w:bCs/>
              </w:rPr>
            </w:pPr>
            <w:r w:rsidRPr="00E67914">
              <w:rPr>
                <w:rFonts w:cs="Times New Roman"/>
                <w:b w:val="0"/>
                <w:bCs/>
              </w:rPr>
              <w:t>保护内容</w:t>
            </w:r>
          </w:p>
        </w:tc>
        <w:tc>
          <w:tcPr>
            <w:tcW w:w="253" w:type="pct"/>
            <w:vMerge w:val="restart"/>
            <w:tcBorders>
              <w:top w:val="single" w:sz="4" w:space="0" w:color="auto"/>
              <w:left w:val="single" w:sz="4" w:space="0" w:color="auto"/>
              <w:right w:val="single" w:sz="4" w:space="0" w:color="auto"/>
            </w:tcBorders>
            <w:vAlign w:val="center"/>
          </w:tcPr>
          <w:p w14:paraId="13FE5DCF" w14:textId="77777777" w:rsidR="00A76031" w:rsidRPr="00E67914" w:rsidRDefault="00A76031" w:rsidP="00223052">
            <w:pPr>
              <w:pStyle w:val="06"/>
              <w:rPr>
                <w:rFonts w:cs="Times New Roman"/>
                <w:b w:val="0"/>
                <w:bCs/>
              </w:rPr>
            </w:pPr>
            <w:r w:rsidRPr="00E67914">
              <w:rPr>
                <w:rFonts w:cs="Times New Roman"/>
                <w:b w:val="0"/>
                <w:bCs/>
              </w:rPr>
              <w:t>环境功能区</w:t>
            </w:r>
          </w:p>
        </w:tc>
        <w:tc>
          <w:tcPr>
            <w:tcW w:w="1476" w:type="pct"/>
            <w:gridSpan w:val="3"/>
            <w:tcBorders>
              <w:top w:val="single" w:sz="4" w:space="0" w:color="auto"/>
              <w:left w:val="single" w:sz="4" w:space="0" w:color="auto"/>
              <w:bottom w:val="single" w:sz="4" w:space="0" w:color="auto"/>
              <w:right w:val="single" w:sz="4" w:space="0" w:color="auto"/>
            </w:tcBorders>
            <w:vAlign w:val="center"/>
            <w:hideMark/>
          </w:tcPr>
          <w:p w14:paraId="2061795C" w14:textId="77777777" w:rsidR="00A76031" w:rsidRPr="00E67914" w:rsidRDefault="00A76031" w:rsidP="00223052">
            <w:pPr>
              <w:pStyle w:val="06"/>
              <w:rPr>
                <w:rFonts w:cs="Times New Roman"/>
                <w:b w:val="0"/>
                <w:bCs/>
              </w:rPr>
            </w:pPr>
            <w:r w:rsidRPr="00E67914">
              <w:rPr>
                <w:rFonts w:cs="Times New Roman"/>
                <w:b w:val="0"/>
                <w:bCs/>
              </w:rPr>
              <w:t>相对新普陆页</w:t>
            </w:r>
            <w:r w:rsidRPr="00E67914">
              <w:rPr>
                <w:rFonts w:cs="Times New Roman"/>
                <w:b w:val="0"/>
                <w:bCs/>
              </w:rPr>
              <w:t>2</w:t>
            </w:r>
            <w:r w:rsidRPr="00E67914">
              <w:rPr>
                <w:rFonts w:cs="Times New Roman"/>
                <w:b w:val="0"/>
                <w:bCs/>
              </w:rPr>
              <w:t>井场</w:t>
            </w:r>
          </w:p>
        </w:tc>
        <w:tc>
          <w:tcPr>
            <w:tcW w:w="473" w:type="pct"/>
            <w:vMerge w:val="restart"/>
            <w:tcBorders>
              <w:top w:val="single" w:sz="4" w:space="0" w:color="auto"/>
              <w:left w:val="single" w:sz="4" w:space="0" w:color="auto"/>
              <w:right w:val="single" w:sz="4" w:space="0" w:color="auto"/>
            </w:tcBorders>
            <w:vAlign w:val="center"/>
          </w:tcPr>
          <w:p w14:paraId="567989E0" w14:textId="77777777" w:rsidR="00A76031" w:rsidRPr="00E67914" w:rsidRDefault="00A76031" w:rsidP="00223052">
            <w:pPr>
              <w:pStyle w:val="06"/>
              <w:rPr>
                <w:rFonts w:cs="Times New Roman"/>
                <w:b w:val="0"/>
                <w:bCs/>
              </w:rPr>
            </w:pPr>
            <w:r w:rsidRPr="00E67914">
              <w:rPr>
                <w:rFonts w:cs="Times New Roman"/>
                <w:b w:val="0"/>
                <w:bCs/>
              </w:rPr>
              <w:t>相对试采站场界距离</w:t>
            </w:r>
            <w:r w:rsidRPr="00E67914">
              <w:rPr>
                <w:rFonts w:cs="Times New Roman"/>
                <w:b w:val="0"/>
                <w:bCs/>
              </w:rPr>
              <w:t>/m</w:t>
            </w:r>
          </w:p>
        </w:tc>
        <w:tc>
          <w:tcPr>
            <w:tcW w:w="416" w:type="pct"/>
            <w:vMerge w:val="restart"/>
            <w:tcBorders>
              <w:top w:val="single" w:sz="4" w:space="0" w:color="auto"/>
              <w:left w:val="single" w:sz="4" w:space="0" w:color="auto"/>
              <w:right w:val="single" w:sz="4" w:space="0" w:color="auto"/>
            </w:tcBorders>
            <w:vAlign w:val="center"/>
          </w:tcPr>
          <w:p w14:paraId="0FAB2CD8" w14:textId="77777777" w:rsidR="00A76031" w:rsidRPr="00E67914" w:rsidRDefault="00A76031" w:rsidP="00223052">
            <w:pPr>
              <w:pStyle w:val="06"/>
              <w:rPr>
                <w:rFonts w:cs="Times New Roman"/>
                <w:b w:val="0"/>
                <w:bCs/>
              </w:rPr>
            </w:pPr>
            <w:r w:rsidRPr="00E67914">
              <w:rPr>
                <w:rFonts w:cs="Times New Roman"/>
                <w:b w:val="0"/>
                <w:bCs/>
              </w:rPr>
              <w:t>影响时段</w:t>
            </w:r>
          </w:p>
        </w:tc>
      </w:tr>
      <w:tr w:rsidR="00E67914" w:rsidRPr="00E67914" w14:paraId="0E2BF5E4" w14:textId="77777777" w:rsidTr="00A76031">
        <w:trPr>
          <w:trHeight w:val="454"/>
          <w:jc w:val="center"/>
        </w:trPr>
        <w:tc>
          <w:tcPr>
            <w:tcW w:w="556" w:type="pct"/>
            <w:vMerge/>
            <w:tcBorders>
              <w:top w:val="single" w:sz="4" w:space="0" w:color="auto"/>
              <w:left w:val="single" w:sz="4" w:space="0" w:color="auto"/>
              <w:bottom w:val="single" w:sz="4" w:space="0" w:color="auto"/>
              <w:right w:val="single" w:sz="4" w:space="0" w:color="auto"/>
            </w:tcBorders>
            <w:vAlign w:val="center"/>
            <w:hideMark/>
          </w:tcPr>
          <w:p w14:paraId="2F7E65FB" w14:textId="77777777" w:rsidR="00A76031" w:rsidRPr="00E67914" w:rsidRDefault="00A76031" w:rsidP="00223052">
            <w:pPr>
              <w:jc w:val="center"/>
              <w:rPr>
                <w:rFonts w:ascii="Times New Roman" w:hAnsi="Times New Roman"/>
                <w:kern w:val="2"/>
                <w:sz w:val="21"/>
                <w:szCs w:val="21"/>
              </w:rPr>
            </w:pPr>
          </w:p>
        </w:tc>
        <w:tc>
          <w:tcPr>
            <w:tcW w:w="506" w:type="pct"/>
            <w:tcBorders>
              <w:top w:val="single" w:sz="4" w:space="0" w:color="auto"/>
              <w:left w:val="single" w:sz="4" w:space="0" w:color="auto"/>
              <w:bottom w:val="single" w:sz="4" w:space="0" w:color="auto"/>
              <w:right w:val="single" w:sz="4" w:space="0" w:color="auto"/>
            </w:tcBorders>
            <w:vAlign w:val="center"/>
            <w:hideMark/>
          </w:tcPr>
          <w:p w14:paraId="1F1B0B8D" w14:textId="77777777" w:rsidR="00A76031" w:rsidRPr="00E67914" w:rsidRDefault="00A76031" w:rsidP="00223052">
            <w:pPr>
              <w:pStyle w:val="06"/>
              <w:rPr>
                <w:rFonts w:cs="Times New Roman"/>
                <w:b w:val="0"/>
                <w:bCs/>
              </w:rPr>
            </w:pPr>
            <w:r w:rsidRPr="00E67914">
              <w:rPr>
                <w:rFonts w:cs="Times New Roman"/>
                <w:b w:val="0"/>
                <w:bCs/>
              </w:rPr>
              <w:t>经度</w:t>
            </w:r>
          </w:p>
        </w:tc>
        <w:tc>
          <w:tcPr>
            <w:tcW w:w="508" w:type="pct"/>
            <w:tcBorders>
              <w:top w:val="single" w:sz="4" w:space="0" w:color="auto"/>
              <w:left w:val="single" w:sz="4" w:space="0" w:color="auto"/>
              <w:bottom w:val="single" w:sz="4" w:space="0" w:color="auto"/>
              <w:right w:val="single" w:sz="4" w:space="0" w:color="auto"/>
            </w:tcBorders>
            <w:vAlign w:val="center"/>
            <w:hideMark/>
          </w:tcPr>
          <w:p w14:paraId="6B96F0FE" w14:textId="77777777" w:rsidR="00A76031" w:rsidRPr="00E67914" w:rsidRDefault="00A76031" w:rsidP="00223052">
            <w:pPr>
              <w:pStyle w:val="06"/>
              <w:rPr>
                <w:rFonts w:cs="Times New Roman"/>
                <w:b w:val="0"/>
                <w:bCs/>
              </w:rPr>
            </w:pPr>
            <w:r w:rsidRPr="00E67914">
              <w:rPr>
                <w:rFonts w:cs="Times New Roman"/>
                <w:b w:val="0"/>
                <w:bCs/>
              </w:rPr>
              <w:t>纬度</w:t>
            </w:r>
          </w:p>
        </w:tc>
        <w:tc>
          <w:tcPr>
            <w:tcW w:w="203" w:type="pct"/>
            <w:vMerge/>
            <w:tcBorders>
              <w:top w:val="single" w:sz="4" w:space="0" w:color="auto"/>
              <w:left w:val="single" w:sz="4" w:space="0" w:color="auto"/>
              <w:bottom w:val="single" w:sz="4" w:space="0" w:color="auto"/>
              <w:right w:val="single" w:sz="4" w:space="0" w:color="auto"/>
            </w:tcBorders>
            <w:vAlign w:val="center"/>
            <w:hideMark/>
          </w:tcPr>
          <w:p w14:paraId="18A83923" w14:textId="77777777" w:rsidR="00A76031" w:rsidRPr="00E67914" w:rsidRDefault="00A76031" w:rsidP="00223052">
            <w:pPr>
              <w:jc w:val="center"/>
              <w:rPr>
                <w:rFonts w:ascii="Times New Roman" w:hAnsi="Times New Roman"/>
                <w:kern w:val="2"/>
                <w:sz w:val="21"/>
                <w:szCs w:val="21"/>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14:paraId="08A4A6BF" w14:textId="77777777" w:rsidR="00A76031" w:rsidRPr="00E67914" w:rsidRDefault="00A76031" w:rsidP="00223052">
            <w:pPr>
              <w:jc w:val="center"/>
              <w:rPr>
                <w:rFonts w:ascii="Times New Roman" w:hAnsi="Times New Roman"/>
                <w:kern w:val="2"/>
                <w:sz w:val="21"/>
                <w:szCs w:val="21"/>
              </w:rPr>
            </w:pPr>
          </w:p>
        </w:tc>
        <w:tc>
          <w:tcPr>
            <w:tcW w:w="253" w:type="pct"/>
            <w:vMerge/>
            <w:tcBorders>
              <w:left w:val="single" w:sz="4" w:space="0" w:color="auto"/>
              <w:bottom w:val="single" w:sz="4" w:space="0" w:color="auto"/>
              <w:right w:val="single" w:sz="4" w:space="0" w:color="auto"/>
            </w:tcBorders>
            <w:vAlign w:val="center"/>
          </w:tcPr>
          <w:p w14:paraId="2F9D9540" w14:textId="77777777" w:rsidR="00A76031" w:rsidRPr="00E67914" w:rsidRDefault="00A76031" w:rsidP="00223052">
            <w:pPr>
              <w:jc w:val="center"/>
              <w:rPr>
                <w:rFonts w:ascii="Times New Roman" w:hAnsi="Times New Roman"/>
                <w:kern w:val="2"/>
                <w:sz w:val="21"/>
                <w:szCs w:val="21"/>
              </w:rPr>
            </w:pPr>
          </w:p>
        </w:tc>
        <w:tc>
          <w:tcPr>
            <w:tcW w:w="304" w:type="pct"/>
            <w:tcBorders>
              <w:top w:val="single" w:sz="4" w:space="0" w:color="auto"/>
              <w:left w:val="single" w:sz="4" w:space="0" w:color="auto"/>
              <w:bottom w:val="single" w:sz="4" w:space="0" w:color="auto"/>
              <w:right w:val="single" w:sz="4" w:space="0" w:color="auto"/>
            </w:tcBorders>
            <w:vAlign w:val="center"/>
            <w:hideMark/>
          </w:tcPr>
          <w:p w14:paraId="4B738401" w14:textId="77777777" w:rsidR="00A76031" w:rsidRPr="00E67914" w:rsidRDefault="00A76031" w:rsidP="00223052">
            <w:pPr>
              <w:pStyle w:val="06"/>
              <w:rPr>
                <w:rFonts w:cs="Times New Roman"/>
                <w:b w:val="0"/>
                <w:bCs/>
              </w:rPr>
            </w:pPr>
            <w:r w:rsidRPr="00E67914">
              <w:rPr>
                <w:rFonts w:cs="Times New Roman"/>
                <w:b w:val="0"/>
                <w:bCs/>
              </w:rPr>
              <w:t>方位</w:t>
            </w:r>
          </w:p>
        </w:tc>
        <w:tc>
          <w:tcPr>
            <w:tcW w:w="558" w:type="pct"/>
            <w:tcBorders>
              <w:left w:val="single" w:sz="4" w:space="0" w:color="auto"/>
              <w:bottom w:val="single" w:sz="4" w:space="0" w:color="auto"/>
              <w:right w:val="single" w:sz="4" w:space="0" w:color="auto"/>
            </w:tcBorders>
            <w:vAlign w:val="center"/>
          </w:tcPr>
          <w:p w14:paraId="299BE658" w14:textId="77777777" w:rsidR="00A76031" w:rsidRPr="00E67914" w:rsidRDefault="00A76031" w:rsidP="00223052">
            <w:pPr>
              <w:pStyle w:val="06"/>
              <w:rPr>
                <w:rFonts w:cs="Times New Roman"/>
                <w:b w:val="0"/>
                <w:bCs/>
              </w:rPr>
            </w:pPr>
            <w:r w:rsidRPr="00E67914">
              <w:rPr>
                <w:rFonts w:cs="Times New Roman"/>
                <w:b w:val="0"/>
                <w:bCs/>
              </w:rPr>
              <w:t>井口距离</w:t>
            </w:r>
            <w:r w:rsidRPr="00E67914">
              <w:rPr>
                <w:rFonts w:cs="Times New Roman"/>
                <w:b w:val="0"/>
                <w:bCs/>
              </w:rPr>
              <w:t>/m</w:t>
            </w:r>
          </w:p>
        </w:tc>
        <w:tc>
          <w:tcPr>
            <w:tcW w:w="614" w:type="pct"/>
            <w:tcBorders>
              <w:top w:val="single" w:sz="4" w:space="0" w:color="auto"/>
              <w:left w:val="single" w:sz="4" w:space="0" w:color="auto"/>
              <w:bottom w:val="single" w:sz="4" w:space="0" w:color="auto"/>
              <w:right w:val="single" w:sz="4" w:space="0" w:color="auto"/>
            </w:tcBorders>
            <w:vAlign w:val="center"/>
            <w:hideMark/>
          </w:tcPr>
          <w:p w14:paraId="5CE0787C" w14:textId="77777777" w:rsidR="00A76031" w:rsidRPr="00E67914" w:rsidRDefault="00A76031" w:rsidP="00223052">
            <w:pPr>
              <w:pStyle w:val="06"/>
              <w:rPr>
                <w:rFonts w:cs="Times New Roman"/>
                <w:b w:val="0"/>
                <w:bCs/>
              </w:rPr>
            </w:pPr>
            <w:r w:rsidRPr="00E67914">
              <w:rPr>
                <w:rFonts w:cs="Times New Roman"/>
                <w:b w:val="0"/>
                <w:bCs/>
              </w:rPr>
              <w:t>场界距离</w:t>
            </w:r>
            <w:r w:rsidRPr="00E67914">
              <w:rPr>
                <w:rFonts w:cs="Times New Roman"/>
                <w:b w:val="0"/>
                <w:bCs/>
              </w:rPr>
              <w:t>/m</w:t>
            </w:r>
          </w:p>
        </w:tc>
        <w:tc>
          <w:tcPr>
            <w:tcW w:w="473" w:type="pct"/>
            <w:vMerge/>
            <w:tcBorders>
              <w:left w:val="single" w:sz="4" w:space="0" w:color="auto"/>
              <w:bottom w:val="single" w:sz="4" w:space="0" w:color="auto"/>
              <w:right w:val="single" w:sz="4" w:space="0" w:color="auto"/>
            </w:tcBorders>
            <w:vAlign w:val="center"/>
          </w:tcPr>
          <w:p w14:paraId="2A7B27EE" w14:textId="77777777" w:rsidR="00A76031" w:rsidRPr="00E67914" w:rsidRDefault="00A76031" w:rsidP="00223052">
            <w:pPr>
              <w:jc w:val="center"/>
              <w:rPr>
                <w:rFonts w:ascii="Times New Roman" w:hAnsi="Times New Roman"/>
                <w:kern w:val="2"/>
                <w:sz w:val="21"/>
                <w:szCs w:val="21"/>
                <w:lang w:eastAsia="zh-CN"/>
              </w:rPr>
            </w:pPr>
          </w:p>
        </w:tc>
        <w:tc>
          <w:tcPr>
            <w:tcW w:w="416" w:type="pct"/>
            <w:vMerge/>
            <w:tcBorders>
              <w:left w:val="single" w:sz="4" w:space="0" w:color="auto"/>
              <w:bottom w:val="single" w:sz="4" w:space="0" w:color="auto"/>
              <w:right w:val="single" w:sz="4" w:space="0" w:color="auto"/>
            </w:tcBorders>
            <w:vAlign w:val="center"/>
          </w:tcPr>
          <w:p w14:paraId="51B7AB1A" w14:textId="77777777" w:rsidR="00A76031" w:rsidRPr="00E67914" w:rsidRDefault="00A76031" w:rsidP="00223052">
            <w:pPr>
              <w:jc w:val="center"/>
              <w:rPr>
                <w:rFonts w:ascii="Times New Roman" w:hAnsi="Times New Roman"/>
                <w:kern w:val="2"/>
                <w:sz w:val="21"/>
                <w:szCs w:val="21"/>
                <w:lang w:eastAsia="zh-CN"/>
              </w:rPr>
            </w:pPr>
          </w:p>
        </w:tc>
      </w:tr>
      <w:tr w:rsidR="00E67914" w:rsidRPr="00E67914" w14:paraId="648A9026" w14:textId="77777777" w:rsidTr="00A76031">
        <w:trPr>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4784DF74"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4F7D44C0"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107.759789100</w:t>
            </w:r>
          </w:p>
        </w:tc>
        <w:tc>
          <w:tcPr>
            <w:tcW w:w="508" w:type="pct"/>
            <w:tcBorders>
              <w:top w:val="single" w:sz="4" w:space="0" w:color="auto"/>
              <w:left w:val="single" w:sz="4" w:space="0" w:color="auto"/>
              <w:bottom w:val="single" w:sz="4" w:space="0" w:color="auto"/>
              <w:right w:val="single" w:sz="4" w:space="0" w:color="auto"/>
            </w:tcBorders>
            <w:vAlign w:val="center"/>
          </w:tcPr>
          <w:p w14:paraId="13C34AE6"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31.520764561</w:t>
            </w:r>
          </w:p>
        </w:tc>
        <w:tc>
          <w:tcPr>
            <w:tcW w:w="203" w:type="pct"/>
            <w:tcBorders>
              <w:top w:val="single" w:sz="4" w:space="0" w:color="auto"/>
              <w:left w:val="single" w:sz="4" w:space="0" w:color="auto"/>
              <w:bottom w:val="single" w:sz="4" w:space="0" w:color="auto"/>
              <w:right w:val="single" w:sz="4" w:space="0" w:color="auto"/>
            </w:tcBorders>
            <w:vAlign w:val="center"/>
          </w:tcPr>
          <w:p w14:paraId="461D2887"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9" w:type="pct"/>
            <w:tcBorders>
              <w:top w:val="single" w:sz="4" w:space="0" w:color="auto"/>
              <w:left w:val="single" w:sz="4" w:space="0" w:color="auto"/>
              <w:bottom w:val="single" w:sz="4" w:space="0" w:color="auto"/>
              <w:right w:val="single" w:sz="4" w:space="0" w:color="auto"/>
            </w:tcBorders>
            <w:vAlign w:val="center"/>
          </w:tcPr>
          <w:p w14:paraId="67A8AE1D"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4D2C7E07"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3EEBB72C"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N</w:t>
            </w:r>
          </w:p>
        </w:tc>
        <w:tc>
          <w:tcPr>
            <w:tcW w:w="558" w:type="pct"/>
            <w:tcBorders>
              <w:top w:val="single" w:sz="4" w:space="0" w:color="auto"/>
              <w:left w:val="single" w:sz="4" w:space="0" w:color="auto"/>
              <w:bottom w:val="single" w:sz="4" w:space="0" w:color="auto"/>
              <w:right w:val="single" w:sz="4" w:space="0" w:color="auto"/>
            </w:tcBorders>
            <w:vAlign w:val="center"/>
          </w:tcPr>
          <w:p w14:paraId="73DEEAA6"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116</w:t>
            </w:r>
          </w:p>
        </w:tc>
        <w:tc>
          <w:tcPr>
            <w:tcW w:w="614" w:type="pct"/>
            <w:tcBorders>
              <w:top w:val="single" w:sz="4" w:space="0" w:color="auto"/>
              <w:left w:val="single" w:sz="4" w:space="0" w:color="auto"/>
              <w:bottom w:val="single" w:sz="4" w:space="0" w:color="auto"/>
              <w:right w:val="single" w:sz="4" w:space="0" w:color="auto"/>
            </w:tcBorders>
            <w:vAlign w:val="center"/>
          </w:tcPr>
          <w:p w14:paraId="49DCD013"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61</w:t>
            </w:r>
          </w:p>
        </w:tc>
        <w:tc>
          <w:tcPr>
            <w:tcW w:w="473" w:type="pct"/>
            <w:tcBorders>
              <w:top w:val="single" w:sz="4" w:space="0" w:color="auto"/>
              <w:left w:val="single" w:sz="4" w:space="0" w:color="auto"/>
              <w:bottom w:val="single" w:sz="4" w:space="0" w:color="auto"/>
              <w:right w:val="single" w:sz="4" w:space="0" w:color="auto"/>
            </w:tcBorders>
            <w:vAlign w:val="center"/>
          </w:tcPr>
          <w:p w14:paraId="372746CA"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287</w:t>
            </w:r>
          </w:p>
        </w:tc>
        <w:tc>
          <w:tcPr>
            <w:tcW w:w="416" w:type="pct"/>
            <w:vMerge w:val="restart"/>
            <w:tcBorders>
              <w:top w:val="single" w:sz="4" w:space="0" w:color="auto"/>
              <w:left w:val="single" w:sz="4" w:space="0" w:color="auto"/>
              <w:right w:val="single" w:sz="4" w:space="0" w:color="auto"/>
            </w:tcBorders>
            <w:vAlign w:val="center"/>
          </w:tcPr>
          <w:p w14:paraId="78D37DB5"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施工期、运营期</w:t>
            </w:r>
          </w:p>
        </w:tc>
      </w:tr>
      <w:tr w:rsidR="00E67914" w:rsidRPr="00E67914" w14:paraId="0EDA7627" w14:textId="77777777" w:rsidTr="00A76031">
        <w:trPr>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32C8E456"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2#</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5FEC8B9C"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107.757959833</w:t>
            </w:r>
          </w:p>
        </w:tc>
        <w:tc>
          <w:tcPr>
            <w:tcW w:w="508" w:type="pct"/>
            <w:tcBorders>
              <w:top w:val="single" w:sz="4" w:space="0" w:color="auto"/>
              <w:left w:val="single" w:sz="4" w:space="0" w:color="auto"/>
              <w:bottom w:val="single" w:sz="4" w:space="0" w:color="auto"/>
              <w:right w:val="single" w:sz="4" w:space="0" w:color="auto"/>
            </w:tcBorders>
            <w:vAlign w:val="center"/>
          </w:tcPr>
          <w:p w14:paraId="10B4CDBF"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31.519520016</w:t>
            </w:r>
          </w:p>
        </w:tc>
        <w:tc>
          <w:tcPr>
            <w:tcW w:w="203" w:type="pct"/>
            <w:tcBorders>
              <w:top w:val="single" w:sz="4" w:space="0" w:color="auto"/>
              <w:left w:val="single" w:sz="4" w:space="0" w:color="auto"/>
              <w:bottom w:val="single" w:sz="4" w:space="0" w:color="auto"/>
              <w:right w:val="single" w:sz="4" w:space="0" w:color="auto"/>
            </w:tcBorders>
            <w:vAlign w:val="center"/>
          </w:tcPr>
          <w:p w14:paraId="0345C559"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9" w:type="pct"/>
            <w:tcBorders>
              <w:top w:val="single" w:sz="4" w:space="0" w:color="auto"/>
              <w:left w:val="single" w:sz="4" w:space="0" w:color="auto"/>
              <w:bottom w:val="single" w:sz="4" w:space="0" w:color="auto"/>
              <w:right w:val="single" w:sz="4" w:space="0" w:color="auto"/>
            </w:tcBorders>
            <w:vAlign w:val="center"/>
          </w:tcPr>
          <w:p w14:paraId="26B09A36"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6018C9E8"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3206B448"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W</w:t>
            </w:r>
          </w:p>
        </w:tc>
        <w:tc>
          <w:tcPr>
            <w:tcW w:w="558" w:type="pct"/>
            <w:tcBorders>
              <w:top w:val="single" w:sz="4" w:space="0" w:color="auto"/>
              <w:left w:val="single" w:sz="4" w:space="0" w:color="auto"/>
              <w:bottom w:val="single" w:sz="4" w:space="0" w:color="auto"/>
              <w:right w:val="single" w:sz="4" w:space="0" w:color="auto"/>
            </w:tcBorders>
            <w:vAlign w:val="center"/>
          </w:tcPr>
          <w:p w14:paraId="463EF051"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158</w:t>
            </w:r>
          </w:p>
        </w:tc>
        <w:tc>
          <w:tcPr>
            <w:tcW w:w="614" w:type="pct"/>
            <w:tcBorders>
              <w:top w:val="single" w:sz="4" w:space="0" w:color="auto"/>
              <w:left w:val="single" w:sz="4" w:space="0" w:color="auto"/>
              <w:bottom w:val="single" w:sz="4" w:space="0" w:color="auto"/>
              <w:right w:val="single" w:sz="4" w:space="0" w:color="auto"/>
            </w:tcBorders>
            <w:vAlign w:val="center"/>
          </w:tcPr>
          <w:p w14:paraId="77963C2C"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115</w:t>
            </w:r>
          </w:p>
        </w:tc>
        <w:tc>
          <w:tcPr>
            <w:tcW w:w="473" w:type="pct"/>
            <w:tcBorders>
              <w:top w:val="single" w:sz="4" w:space="0" w:color="auto"/>
              <w:left w:val="single" w:sz="4" w:space="0" w:color="auto"/>
              <w:bottom w:val="single" w:sz="4" w:space="0" w:color="auto"/>
              <w:right w:val="single" w:sz="4" w:space="0" w:color="auto"/>
            </w:tcBorders>
            <w:vAlign w:val="center"/>
          </w:tcPr>
          <w:p w14:paraId="598F61A3"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390</w:t>
            </w:r>
          </w:p>
        </w:tc>
        <w:tc>
          <w:tcPr>
            <w:tcW w:w="416" w:type="pct"/>
            <w:vMerge/>
            <w:tcBorders>
              <w:left w:val="single" w:sz="4" w:space="0" w:color="auto"/>
              <w:right w:val="single" w:sz="4" w:space="0" w:color="auto"/>
            </w:tcBorders>
            <w:vAlign w:val="center"/>
          </w:tcPr>
          <w:p w14:paraId="6CA19B94" w14:textId="77777777" w:rsidR="00A76031" w:rsidRPr="00E67914" w:rsidRDefault="00A76031" w:rsidP="00223052">
            <w:pPr>
              <w:jc w:val="center"/>
              <w:rPr>
                <w:rFonts w:ascii="Times New Roman" w:hAnsi="Times New Roman"/>
                <w:kern w:val="2"/>
                <w:sz w:val="21"/>
                <w:szCs w:val="21"/>
              </w:rPr>
            </w:pPr>
          </w:p>
        </w:tc>
      </w:tr>
      <w:tr w:rsidR="00E67914" w:rsidRPr="00E67914" w14:paraId="2721092B" w14:textId="77777777" w:rsidTr="00A76031">
        <w:trPr>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30BBB5FF"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5#</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2C41C6D6"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107.756854763</w:t>
            </w:r>
          </w:p>
        </w:tc>
        <w:tc>
          <w:tcPr>
            <w:tcW w:w="508" w:type="pct"/>
            <w:tcBorders>
              <w:top w:val="single" w:sz="4" w:space="0" w:color="auto"/>
              <w:left w:val="single" w:sz="4" w:space="0" w:color="auto"/>
              <w:bottom w:val="single" w:sz="4" w:space="0" w:color="auto"/>
              <w:right w:val="single" w:sz="4" w:space="0" w:color="auto"/>
            </w:tcBorders>
            <w:vAlign w:val="center"/>
          </w:tcPr>
          <w:p w14:paraId="7275D95B"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31.520002814</w:t>
            </w:r>
          </w:p>
        </w:tc>
        <w:tc>
          <w:tcPr>
            <w:tcW w:w="203" w:type="pct"/>
            <w:tcBorders>
              <w:top w:val="single" w:sz="4" w:space="0" w:color="auto"/>
              <w:left w:val="single" w:sz="4" w:space="0" w:color="auto"/>
              <w:bottom w:val="single" w:sz="4" w:space="0" w:color="auto"/>
              <w:right w:val="single" w:sz="4" w:space="0" w:color="auto"/>
            </w:tcBorders>
            <w:vAlign w:val="center"/>
          </w:tcPr>
          <w:p w14:paraId="2E205B31"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9" w:type="pct"/>
            <w:tcBorders>
              <w:top w:val="single" w:sz="4" w:space="0" w:color="auto"/>
              <w:left w:val="single" w:sz="4" w:space="0" w:color="auto"/>
              <w:bottom w:val="single" w:sz="4" w:space="0" w:color="auto"/>
              <w:right w:val="single" w:sz="4" w:space="0" w:color="auto"/>
            </w:tcBorders>
            <w:vAlign w:val="center"/>
          </w:tcPr>
          <w:p w14:paraId="2A572644"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15</w:t>
            </w:r>
            <w:r w:rsidRPr="00E67914">
              <w:rPr>
                <w:rFonts w:ascii="Times New Roman" w:hAnsi="Times New Roman"/>
                <w:kern w:val="2"/>
                <w:sz w:val="21"/>
                <w:szCs w:val="21"/>
              </w:rPr>
              <w:t>户，约</w:t>
            </w:r>
            <w:r w:rsidRPr="00E67914">
              <w:rPr>
                <w:rFonts w:ascii="Times New Roman" w:hAnsi="Times New Roman"/>
                <w:kern w:val="2"/>
                <w:sz w:val="21"/>
                <w:szCs w:val="21"/>
              </w:rPr>
              <w:t>60</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6C63D2C5"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4C99C820"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lang w:eastAsia="zh-CN"/>
              </w:rPr>
              <w:t>W</w:t>
            </w:r>
          </w:p>
        </w:tc>
        <w:tc>
          <w:tcPr>
            <w:tcW w:w="558" w:type="pct"/>
            <w:tcBorders>
              <w:top w:val="single" w:sz="4" w:space="0" w:color="auto"/>
              <w:left w:val="single" w:sz="4" w:space="0" w:color="auto"/>
              <w:bottom w:val="single" w:sz="4" w:space="0" w:color="auto"/>
              <w:right w:val="single" w:sz="4" w:space="0" w:color="auto"/>
            </w:tcBorders>
            <w:vAlign w:val="center"/>
          </w:tcPr>
          <w:p w14:paraId="429F5781"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216</w:t>
            </w:r>
          </w:p>
        </w:tc>
        <w:tc>
          <w:tcPr>
            <w:tcW w:w="614" w:type="pct"/>
            <w:tcBorders>
              <w:top w:val="single" w:sz="4" w:space="0" w:color="auto"/>
              <w:left w:val="single" w:sz="4" w:space="0" w:color="auto"/>
              <w:bottom w:val="single" w:sz="4" w:space="0" w:color="auto"/>
              <w:right w:val="single" w:sz="4" w:space="0" w:color="auto"/>
            </w:tcBorders>
            <w:vAlign w:val="center"/>
          </w:tcPr>
          <w:p w14:paraId="75ECCE92"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185</w:t>
            </w:r>
          </w:p>
        </w:tc>
        <w:tc>
          <w:tcPr>
            <w:tcW w:w="473" w:type="pct"/>
            <w:tcBorders>
              <w:top w:val="single" w:sz="4" w:space="0" w:color="auto"/>
              <w:left w:val="single" w:sz="4" w:space="0" w:color="auto"/>
              <w:bottom w:val="single" w:sz="4" w:space="0" w:color="auto"/>
              <w:right w:val="single" w:sz="4" w:space="0" w:color="auto"/>
            </w:tcBorders>
            <w:vAlign w:val="center"/>
          </w:tcPr>
          <w:p w14:paraId="18BDA7A9"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455</w:t>
            </w:r>
          </w:p>
        </w:tc>
        <w:tc>
          <w:tcPr>
            <w:tcW w:w="416" w:type="pct"/>
            <w:vMerge/>
            <w:tcBorders>
              <w:left w:val="single" w:sz="4" w:space="0" w:color="auto"/>
              <w:right w:val="single" w:sz="4" w:space="0" w:color="auto"/>
            </w:tcBorders>
            <w:vAlign w:val="center"/>
          </w:tcPr>
          <w:p w14:paraId="3ED5B22C" w14:textId="77777777" w:rsidR="00A76031" w:rsidRPr="00E67914" w:rsidRDefault="00A76031" w:rsidP="00223052">
            <w:pPr>
              <w:jc w:val="center"/>
              <w:rPr>
                <w:rFonts w:ascii="Times New Roman" w:hAnsi="Times New Roman"/>
                <w:kern w:val="2"/>
                <w:sz w:val="21"/>
                <w:szCs w:val="21"/>
              </w:rPr>
            </w:pPr>
          </w:p>
        </w:tc>
      </w:tr>
      <w:tr w:rsidR="00E67914" w:rsidRPr="00E67914" w14:paraId="7F989B70" w14:textId="77777777" w:rsidTr="00A76031">
        <w:trPr>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74F8F9A0"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10#</w:t>
            </w:r>
            <w:r w:rsidRPr="00E67914">
              <w:rPr>
                <w:rFonts w:ascii="Times New Roman" w:hAnsi="Times New Roman"/>
                <w:kern w:val="2"/>
                <w:sz w:val="21"/>
                <w:szCs w:val="21"/>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0E8D76E5"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107.763045301</w:t>
            </w:r>
          </w:p>
        </w:tc>
        <w:tc>
          <w:tcPr>
            <w:tcW w:w="508" w:type="pct"/>
            <w:tcBorders>
              <w:top w:val="single" w:sz="4" w:space="0" w:color="auto"/>
              <w:left w:val="single" w:sz="4" w:space="0" w:color="auto"/>
              <w:bottom w:val="single" w:sz="4" w:space="0" w:color="auto"/>
              <w:right w:val="single" w:sz="4" w:space="0" w:color="auto"/>
            </w:tcBorders>
            <w:vAlign w:val="center"/>
          </w:tcPr>
          <w:p w14:paraId="6416E044"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31.516416700</w:t>
            </w:r>
          </w:p>
        </w:tc>
        <w:tc>
          <w:tcPr>
            <w:tcW w:w="203" w:type="pct"/>
            <w:tcBorders>
              <w:top w:val="single" w:sz="4" w:space="0" w:color="auto"/>
              <w:left w:val="single" w:sz="4" w:space="0" w:color="auto"/>
              <w:bottom w:val="single" w:sz="4" w:space="0" w:color="auto"/>
              <w:right w:val="single" w:sz="4" w:space="0" w:color="auto"/>
            </w:tcBorders>
            <w:vAlign w:val="center"/>
          </w:tcPr>
          <w:p w14:paraId="5CA68FEE"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9" w:type="pct"/>
            <w:tcBorders>
              <w:top w:val="single" w:sz="4" w:space="0" w:color="auto"/>
              <w:left w:val="single" w:sz="4" w:space="0" w:color="auto"/>
              <w:bottom w:val="single" w:sz="4" w:space="0" w:color="auto"/>
              <w:right w:val="single" w:sz="4" w:space="0" w:color="auto"/>
            </w:tcBorders>
            <w:vAlign w:val="center"/>
          </w:tcPr>
          <w:p w14:paraId="7CEC87A2"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20</w:t>
            </w:r>
            <w:r w:rsidRPr="00E67914">
              <w:rPr>
                <w:rFonts w:ascii="Times New Roman" w:hAnsi="Times New Roman"/>
                <w:kern w:val="2"/>
                <w:sz w:val="21"/>
                <w:szCs w:val="21"/>
              </w:rPr>
              <w:t>户，约</w:t>
            </w:r>
            <w:r w:rsidRPr="00E67914">
              <w:rPr>
                <w:rFonts w:ascii="Times New Roman" w:hAnsi="Times New Roman"/>
                <w:kern w:val="2"/>
                <w:sz w:val="21"/>
                <w:szCs w:val="21"/>
              </w:rPr>
              <w:t>80</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191C3A74"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6AFB3D7E"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lang w:eastAsia="zh-CN"/>
              </w:rPr>
              <w:t>SE</w:t>
            </w:r>
          </w:p>
        </w:tc>
        <w:tc>
          <w:tcPr>
            <w:tcW w:w="558" w:type="pct"/>
            <w:tcBorders>
              <w:top w:val="single" w:sz="4" w:space="0" w:color="auto"/>
              <w:left w:val="single" w:sz="4" w:space="0" w:color="auto"/>
              <w:bottom w:val="single" w:sz="4" w:space="0" w:color="auto"/>
              <w:right w:val="single" w:sz="4" w:space="0" w:color="auto"/>
            </w:tcBorders>
            <w:vAlign w:val="center"/>
          </w:tcPr>
          <w:p w14:paraId="4373044F"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450</w:t>
            </w:r>
          </w:p>
        </w:tc>
        <w:tc>
          <w:tcPr>
            <w:tcW w:w="614" w:type="pct"/>
            <w:tcBorders>
              <w:top w:val="single" w:sz="4" w:space="0" w:color="auto"/>
              <w:left w:val="single" w:sz="4" w:space="0" w:color="auto"/>
              <w:bottom w:val="single" w:sz="4" w:space="0" w:color="auto"/>
              <w:right w:val="single" w:sz="4" w:space="0" w:color="auto"/>
            </w:tcBorders>
            <w:vAlign w:val="center"/>
          </w:tcPr>
          <w:p w14:paraId="2E791627"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407</w:t>
            </w:r>
          </w:p>
        </w:tc>
        <w:tc>
          <w:tcPr>
            <w:tcW w:w="473" w:type="pct"/>
            <w:tcBorders>
              <w:top w:val="single" w:sz="4" w:space="0" w:color="auto"/>
              <w:left w:val="single" w:sz="4" w:space="0" w:color="auto"/>
              <w:bottom w:val="single" w:sz="4" w:space="0" w:color="auto"/>
              <w:right w:val="single" w:sz="4" w:space="0" w:color="auto"/>
            </w:tcBorders>
            <w:vAlign w:val="center"/>
          </w:tcPr>
          <w:p w14:paraId="7653ACA2"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198</w:t>
            </w:r>
          </w:p>
        </w:tc>
        <w:tc>
          <w:tcPr>
            <w:tcW w:w="416" w:type="pct"/>
            <w:vMerge/>
            <w:tcBorders>
              <w:left w:val="single" w:sz="4" w:space="0" w:color="auto"/>
              <w:right w:val="single" w:sz="4" w:space="0" w:color="auto"/>
            </w:tcBorders>
            <w:vAlign w:val="center"/>
          </w:tcPr>
          <w:p w14:paraId="0312B439" w14:textId="77777777" w:rsidR="00A76031" w:rsidRPr="00E67914" w:rsidRDefault="00A76031" w:rsidP="00223052">
            <w:pPr>
              <w:jc w:val="center"/>
              <w:rPr>
                <w:rFonts w:ascii="Times New Roman" w:hAnsi="Times New Roman"/>
                <w:kern w:val="2"/>
                <w:sz w:val="21"/>
                <w:szCs w:val="21"/>
              </w:rPr>
            </w:pPr>
          </w:p>
        </w:tc>
      </w:tr>
      <w:tr w:rsidR="00E67914" w:rsidRPr="00E67914" w14:paraId="527F1F24" w14:textId="77777777" w:rsidTr="00A76031">
        <w:trPr>
          <w:trHeight w:val="454"/>
          <w:jc w:val="center"/>
        </w:trPr>
        <w:tc>
          <w:tcPr>
            <w:tcW w:w="556" w:type="pct"/>
            <w:tcBorders>
              <w:top w:val="single" w:sz="4" w:space="0" w:color="auto"/>
              <w:left w:val="single" w:sz="4" w:space="0" w:color="auto"/>
              <w:bottom w:val="single" w:sz="4" w:space="0" w:color="auto"/>
              <w:right w:val="single" w:sz="4" w:space="0" w:color="auto"/>
            </w:tcBorders>
            <w:vAlign w:val="center"/>
          </w:tcPr>
          <w:p w14:paraId="1C900264"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w:t>
            </w:r>
            <w:r w:rsidRPr="00E67914">
              <w:rPr>
                <w:rFonts w:ascii="Times New Roman" w:hAnsi="Times New Roman"/>
                <w:kern w:val="2"/>
                <w:sz w:val="21"/>
                <w:szCs w:val="21"/>
                <w:lang w:eastAsia="zh-CN"/>
              </w:rPr>
              <w:t>居民点</w:t>
            </w:r>
          </w:p>
        </w:tc>
        <w:tc>
          <w:tcPr>
            <w:tcW w:w="506" w:type="pct"/>
            <w:tcBorders>
              <w:top w:val="single" w:sz="4" w:space="0" w:color="auto"/>
              <w:left w:val="single" w:sz="4" w:space="0" w:color="auto"/>
              <w:bottom w:val="single" w:sz="4" w:space="0" w:color="auto"/>
              <w:right w:val="single" w:sz="4" w:space="0" w:color="auto"/>
            </w:tcBorders>
            <w:vAlign w:val="center"/>
          </w:tcPr>
          <w:p w14:paraId="5BB873B1"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107.764429321</w:t>
            </w:r>
          </w:p>
        </w:tc>
        <w:tc>
          <w:tcPr>
            <w:tcW w:w="508" w:type="pct"/>
            <w:tcBorders>
              <w:top w:val="single" w:sz="4" w:space="0" w:color="auto"/>
              <w:left w:val="single" w:sz="4" w:space="0" w:color="auto"/>
              <w:bottom w:val="single" w:sz="4" w:space="0" w:color="auto"/>
              <w:right w:val="single" w:sz="4" w:space="0" w:color="auto"/>
            </w:tcBorders>
            <w:vAlign w:val="center"/>
          </w:tcPr>
          <w:p w14:paraId="4E3B4470"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31.518862875</w:t>
            </w:r>
          </w:p>
        </w:tc>
        <w:tc>
          <w:tcPr>
            <w:tcW w:w="203" w:type="pct"/>
            <w:tcBorders>
              <w:top w:val="single" w:sz="4" w:space="0" w:color="auto"/>
              <w:left w:val="single" w:sz="4" w:space="0" w:color="auto"/>
              <w:bottom w:val="single" w:sz="4" w:space="0" w:color="auto"/>
              <w:right w:val="single" w:sz="4" w:space="0" w:color="auto"/>
            </w:tcBorders>
            <w:vAlign w:val="center"/>
          </w:tcPr>
          <w:p w14:paraId="52BD4F2F"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居民</w:t>
            </w:r>
          </w:p>
        </w:tc>
        <w:tc>
          <w:tcPr>
            <w:tcW w:w="609" w:type="pct"/>
            <w:tcBorders>
              <w:top w:val="single" w:sz="4" w:space="0" w:color="auto"/>
              <w:left w:val="single" w:sz="4" w:space="0" w:color="auto"/>
              <w:bottom w:val="single" w:sz="4" w:space="0" w:color="auto"/>
              <w:right w:val="single" w:sz="4" w:space="0" w:color="auto"/>
            </w:tcBorders>
            <w:vAlign w:val="center"/>
          </w:tcPr>
          <w:p w14:paraId="43939764"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12</w:t>
            </w:r>
            <w:r w:rsidRPr="00E67914">
              <w:rPr>
                <w:rFonts w:ascii="Times New Roman" w:hAnsi="Times New Roman"/>
                <w:kern w:val="2"/>
                <w:sz w:val="21"/>
                <w:szCs w:val="21"/>
              </w:rPr>
              <w:t>户，约</w:t>
            </w:r>
            <w:r w:rsidRPr="00E67914">
              <w:rPr>
                <w:rFonts w:ascii="Times New Roman" w:hAnsi="Times New Roman"/>
                <w:kern w:val="2"/>
                <w:sz w:val="21"/>
                <w:szCs w:val="21"/>
              </w:rPr>
              <w:t>48</w:t>
            </w:r>
            <w:r w:rsidRPr="00E67914">
              <w:rPr>
                <w:rFonts w:ascii="Times New Roman" w:hAnsi="Times New Roman"/>
                <w:kern w:val="2"/>
                <w:sz w:val="21"/>
                <w:szCs w:val="21"/>
              </w:rPr>
              <w:t>人</w:t>
            </w:r>
          </w:p>
        </w:tc>
        <w:tc>
          <w:tcPr>
            <w:tcW w:w="253" w:type="pct"/>
            <w:tcBorders>
              <w:top w:val="single" w:sz="4" w:space="0" w:color="auto"/>
              <w:left w:val="single" w:sz="4" w:space="0" w:color="auto"/>
              <w:bottom w:val="single" w:sz="4" w:space="0" w:color="auto"/>
              <w:right w:val="single" w:sz="4" w:space="0" w:color="auto"/>
            </w:tcBorders>
            <w:vAlign w:val="center"/>
          </w:tcPr>
          <w:p w14:paraId="10239E97"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rPr>
              <w:t>二类</w:t>
            </w:r>
          </w:p>
        </w:tc>
        <w:tc>
          <w:tcPr>
            <w:tcW w:w="304" w:type="pct"/>
            <w:tcBorders>
              <w:top w:val="single" w:sz="4" w:space="0" w:color="auto"/>
              <w:left w:val="single" w:sz="4" w:space="0" w:color="auto"/>
              <w:bottom w:val="single" w:sz="4" w:space="0" w:color="auto"/>
              <w:right w:val="single" w:sz="4" w:space="0" w:color="auto"/>
            </w:tcBorders>
            <w:vAlign w:val="center"/>
          </w:tcPr>
          <w:p w14:paraId="4187B05E" w14:textId="77777777" w:rsidR="00A76031" w:rsidRPr="00E67914" w:rsidRDefault="00A76031" w:rsidP="00223052">
            <w:pPr>
              <w:jc w:val="center"/>
              <w:rPr>
                <w:rFonts w:ascii="Times New Roman" w:hAnsi="Times New Roman"/>
                <w:kern w:val="2"/>
                <w:sz w:val="21"/>
                <w:szCs w:val="21"/>
              </w:rPr>
            </w:pPr>
            <w:r w:rsidRPr="00E67914">
              <w:rPr>
                <w:rFonts w:ascii="Times New Roman" w:hAnsi="Times New Roman"/>
                <w:kern w:val="2"/>
                <w:sz w:val="21"/>
                <w:szCs w:val="21"/>
                <w:lang w:eastAsia="zh-CN"/>
              </w:rPr>
              <w:t>E</w:t>
            </w:r>
          </w:p>
        </w:tc>
        <w:tc>
          <w:tcPr>
            <w:tcW w:w="558" w:type="pct"/>
            <w:tcBorders>
              <w:top w:val="single" w:sz="4" w:space="0" w:color="auto"/>
              <w:left w:val="single" w:sz="4" w:space="0" w:color="auto"/>
              <w:bottom w:val="single" w:sz="4" w:space="0" w:color="auto"/>
              <w:right w:val="single" w:sz="4" w:space="0" w:color="auto"/>
            </w:tcBorders>
            <w:vAlign w:val="center"/>
          </w:tcPr>
          <w:p w14:paraId="0D85D1C1"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433</w:t>
            </w:r>
          </w:p>
        </w:tc>
        <w:tc>
          <w:tcPr>
            <w:tcW w:w="614" w:type="pct"/>
            <w:tcBorders>
              <w:top w:val="single" w:sz="4" w:space="0" w:color="auto"/>
              <w:left w:val="single" w:sz="4" w:space="0" w:color="auto"/>
              <w:bottom w:val="single" w:sz="4" w:space="0" w:color="auto"/>
              <w:right w:val="single" w:sz="4" w:space="0" w:color="auto"/>
            </w:tcBorders>
            <w:vAlign w:val="center"/>
          </w:tcPr>
          <w:p w14:paraId="61CC9727"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405</w:t>
            </w:r>
          </w:p>
        </w:tc>
        <w:tc>
          <w:tcPr>
            <w:tcW w:w="473" w:type="pct"/>
            <w:tcBorders>
              <w:top w:val="single" w:sz="4" w:space="0" w:color="auto"/>
              <w:left w:val="single" w:sz="4" w:space="0" w:color="auto"/>
              <w:bottom w:val="single" w:sz="4" w:space="0" w:color="auto"/>
              <w:right w:val="single" w:sz="4" w:space="0" w:color="auto"/>
            </w:tcBorders>
            <w:vAlign w:val="center"/>
          </w:tcPr>
          <w:p w14:paraId="00CF9C4C" w14:textId="77777777" w:rsidR="00A76031" w:rsidRPr="00E67914" w:rsidRDefault="00A76031" w:rsidP="00223052">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89</w:t>
            </w:r>
          </w:p>
        </w:tc>
        <w:tc>
          <w:tcPr>
            <w:tcW w:w="416" w:type="pct"/>
            <w:vMerge/>
            <w:tcBorders>
              <w:left w:val="single" w:sz="4" w:space="0" w:color="auto"/>
              <w:right w:val="single" w:sz="4" w:space="0" w:color="auto"/>
            </w:tcBorders>
            <w:vAlign w:val="center"/>
          </w:tcPr>
          <w:p w14:paraId="37ABBD04" w14:textId="77777777" w:rsidR="00A76031" w:rsidRPr="00E67914" w:rsidRDefault="00A76031" w:rsidP="00223052">
            <w:pPr>
              <w:jc w:val="center"/>
              <w:rPr>
                <w:rFonts w:ascii="Times New Roman" w:hAnsi="Times New Roman"/>
                <w:kern w:val="2"/>
                <w:sz w:val="21"/>
                <w:szCs w:val="21"/>
              </w:rPr>
            </w:pPr>
          </w:p>
        </w:tc>
      </w:tr>
    </w:tbl>
    <w:p w14:paraId="58F28194" w14:textId="56975131" w:rsidR="00A76031" w:rsidRPr="00E67914" w:rsidRDefault="00A76031" w:rsidP="00A76031">
      <w:pPr>
        <w:pStyle w:val="af"/>
        <w:tabs>
          <w:tab w:val="left" w:pos="3864"/>
        </w:tabs>
        <w:adjustRightInd w:val="0"/>
        <w:snapToGrid w:val="0"/>
        <w:spacing w:before="0"/>
        <w:ind w:left="2640"/>
        <w:jc w:val="center"/>
        <w:rPr>
          <w:rFonts w:ascii="Times New Roman" w:hAnsi="Times New Roman"/>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1.8-4  </w:t>
      </w:r>
      <w:r w:rsidRPr="00E67914">
        <w:rPr>
          <w:rFonts w:ascii="Times New Roman" w:eastAsia="黑体" w:hAnsi="Times New Roman"/>
          <w:sz w:val="21"/>
          <w:szCs w:val="21"/>
          <w:lang w:eastAsia="zh-CN"/>
        </w:rPr>
        <w:t>普陆页</w:t>
      </w:r>
      <w:r w:rsidRPr="00E67914">
        <w:rPr>
          <w:rFonts w:ascii="Times New Roman" w:eastAsia="黑体" w:hAnsi="Times New Roman"/>
          <w:sz w:val="21"/>
          <w:szCs w:val="21"/>
          <w:lang w:eastAsia="zh-CN"/>
        </w:rPr>
        <w:t>2</w:t>
      </w:r>
      <w:r w:rsidRPr="00E67914">
        <w:rPr>
          <w:rFonts w:ascii="Times New Roman" w:eastAsia="黑体" w:hAnsi="Times New Roman"/>
          <w:sz w:val="21"/>
          <w:szCs w:val="21"/>
          <w:lang w:eastAsia="zh-CN"/>
        </w:rPr>
        <w:t>井场到普陆页</w:t>
      </w:r>
      <w:r w:rsidRPr="00E67914">
        <w:rPr>
          <w:rFonts w:ascii="Times New Roman" w:eastAsia="黑体" w:hAnsi="Times New Roman"/>
          <w:sz w:val="21"/>
          <w:szCs w:val="21"/>
          <w:lang w:eastAsia="zh-CN"/>
        </w:rPr>
        <w:t>2</w:t>
      </w:r>
      <w:r w:rsidRPr="00E67914">
        <w:rPr>
          <w:rFonts w:ascii="Times New Roman" w:eastAsia="黑体" w:hAnsi="Times New Roman"/>
          <w:sz w:val="21"/>
          <w:szCs w:val="21"/>
          <w:lang w:eastAsia="zh-CN"/>
        </w:rPr>
        <w:t>试采站管线声环境保护目标一览表</w:t>
      </w:r>
    </w:p>
    <w:tbl>
      <w:tblPr>
        <w:tblStyle w:val="affa"/>
        <w:tblW w:w="5000" w:type="pct"/>
        <w:tblLook w:val="04A0" w:firstRow="1" w:lastRow="0" w:firstColumn="1" w:lastColumn="0" w:noHBand="0" w:noVBand="1"/>
      </w:tblPr>
      <w:tblGrid>
        <w:gridCol w:w="2135"/>
        <w:gridCol w:w="1626"/>
        <w:gridCol w:w="1514"/>
        <w:gridCol w:w="1128"/>
        <w:gridCol w:w="1715"/>
        <w:gridCol w:w="1352"/>
        <w:gridCol w:w="1575"/>
        <w:gridCol w:w="1822"/>
        <w:gridCol w:w="1125"/>
      </w:tblGrid>
      <w:tr w:rsidR="00E67914" w:rsidRPr="00E67914" w14:paraId="5A527EEA" w14:textId="77777777" w:rsidTr="00223052">
        <w:trPr>
          <w:trHeight w:val="454"/>
        </w:trPr>
        <w:tc>
          <w:tcPr>
            <w:tcW w:w="763" w:type="pct"/>
            <w:vMerge w:val="restart"/>
            <w:vAlign w:val="center"/>
          </w:tcPr>
          <w:p w14:paraId="6A61F47D" w14:textId="77777777" w:rsidR="00A76031" w:rsidRPr="00E67914" w:rsidRDefault="00A76031" w:rsidP="00223052">
            <w:pPr>
              <w:pStyle w:val="06"/>
              <w:rPr>
                <w:rFonts w:cs="Times New Roman"/>
                <w:b w:val="0"/>
                <w:bCs/>
              </w:rPr>
            </w:pPr>
            <w:r w:rsidRPr="00E67914">
              <w:rPr>
                <w:rFonts w:cs="Times New Roman"/>
                <w:b w:val="0"/>
                <w:bCs/>
              </w:rPr>
              <w:t>名称</w:t>
            </w:r>
          </w:p>
        </w:tc>
        <w:tc>
          <w:tcPr>
            <w:tcW w:w="1122" w:type="pct"/>
            <w:gridSpan w:val="2"/>
            <w:vAlign w:val="center"/>
          </w:tcPr>
          <w:p w14:paraId="4AED4490" w14:textId="77777777" w:rsidR="00A76031" w:rsidRPr="00E67914" w:rsidRDefault="00A76031" w:rsidP="00223052">
            <w:pPr>
              <w:pStyle w:val="06"/>
              <w:rPr>
                <w:rFonts w:cs="Times New Roman"/>
                <w:b w:val="0"/>
                <w:bCs/>
              </w:rPr>
            </w:pPr>
            <w:r w:rsidRPr="00E67914">
              <w:rPr>
                <w:rFonts w:cs="Times New Roman"/>
                <w:b w:val="0"/>
                <w:bCs/>
              </w:rPr>
              <w:t>与管线最近处经纬度</w:t>
            </w:r>
          </w:p>
        </w:tc>
        <w:tc>
          <w:tcPr>
            <w:tcW w:w="403" w:type="pct"/>
            <w:vMerge w:val="restart"/>
            <w:vAlign w:val="center"/>
          </w:tcPr>
          <w:p w14:paraId="0B6C2A66" w14:textId="77777777" w:rsidR="00A76031" w:rsidRPr="00E67914" w:rsidRDefault="00A76031" w:rsidP="00223052">
            <w:pPr>
              <w:pStyle w:val="06"/>
              <w:rPr>
                <w:rFonts w:cs="Times New Roman"/>
                <w:b w:val="0"/>
                <w:bCs/>
              </w:rPr>
            </w:pPr>
            <w:r w:rsidRPr="00E67914">
              <w:rPr>
                <w:rFonts w:cs="Times New Roman"/>
                <w:b w:val="0"/>
                <w:bCs/>
              </w:rPr>
              <w:t>保护对象</w:t>
            </w:r>
          </w:p>
        </w:tc>
        <w:tc>
          <w:tcPr>
            <w:tcW w:w="613" w:type="pct"/>
            <w:vMerge w:val="restart"/>
            <w:vAlign w:val="center"/>
          </w:tcPr>
          <w:p w14:paraId="4FA3359D" w14:textId="77777777" w:rsidR="00A76031" w:rsidRPr="00E67914" w:rsidRDefault="00A76031" w:rsidP="00223052">
            <w:pPr>
              <w:pStyle w:val="06"/>
              <w:rPr>
                <w:rFonts w:cs="Times New Roman"/>
                <w:b w:val="0"/>
                <w:bCs/>
              </w:rPr>
            </w:pPr>
            <w:r w:rsidRPr="00E67914">
              <w:rPr>
                <w:rFonts w:cs="Times New Roman"/>
                <w:b w:val="0"/>
                <w:bCs/>
              </w:rPr>
              <w:t>保护内容</w:t>
            </w:r>
          </w:p>
        </w:tc>
        <w:tc>
          <w:tcPr>
            <w:tcW w:w="483" w:type="pct"/>
            <w:vMerge w:val="restart"/>
            <w:vAlign w:val="center"/>
          </w:tcPr>
          <w:p w14:paraId="434CA878" w14:textId="77777777" w:rsidR="00A76031" w:rsidRPr="00E67914" w:rsidRDefault="00A76031" w:rsidP="00223052">
            <w:pPr>
              <w:pStyle w:val="06"/>
              <w:rPr>
                <w:rFonts w:cs="Times New Roman"/>
                <w:b w:val="0"/>
                <w:bCs/>
              </w:rPr>
            </w:pPr>
            <w:r w:rsidRPr="00E67914">
              <w:rPr>
                <w:rFonts w:cs="Times New Roman"/>
                <w:b w:val="0"/>
                <w:bCs/>
              </w:rPr>
              <w:t>环境功能区</w:t>
            </w:r>
          </w:p>
        </w:tc>
        <w:tc>
          <w:tcPr>
            <w:tcW w:w="563" w:type="pct"/>
            <w:vMerge w:val="restart"/>
            <w:vAlign w:val="center"/>
          </w:tcPr>
          <w:p w14:paraId="6EE7D4AA" w14:textId="77777777" w:rsidR="00A76031" w:rsidRPr="00E67914" w:rsidRDefault="00A76031" w:rsidP="00223052">
            <w:pPr>
              <w:pStyle w:val="06"/>
              <w:rPr>
                <w:rFonts w:cs="Times New Roman"/>
                <w:b w:val="0"/>
                <w:bCs/>
              </w:rPr>
            </w:pPr>
            <w:r w:rsidRPr="00E67914">
              <w:rPr>
                <w:rFonts w:cs="Times New Roman"/>
                <w:b w:val="0"/>
                <w:bCs/>
              </w:rPr>
              <w:t>相对管线方位</w:t>
            </w:r>
          </w:p>
        </w:tc>
        <w:tc>
          <w:tcPr>
            <w:tcW w:w="651" w:type="pct"/>
            <w:vMerge w:val="restart"/>
            <w:vAlign w:val="center"/>
          </w:tcPr>
          <w:p w14:paraId="4ED66C20" w14:textId="77777777" w:rsidR="00A76031" w:rsidRPr="00E67914" w:rsidRDefault="00A76031" w:rsidP="00223052">
            <w:pPr>
              <w:pStyle w:val="06"/>
              <w:rPr>
                <w:rFonts w:cs="Times New Roman"/>
                <w:b w:val="0"/>
                <w:bCs/>
              </w:rPr>
            </w:pPr>
            <w:r w:rsidRPr="00E67914">
              <w:rPr>
                <w:rFonts w:cs="Times New Roman"/>
                <w:b w:val="0"/>
                <w:bCs/>
              </w:rPr>
              <w:t>相对管线距离</w:t>
            </w:r>
            <w:r w:rsidRPr="00E67914">
              <w:rPr>
                <w:rFonts w:cs="Times New Roman"/>
                <w:b w:val="0"/>
                <w:bCs/>
              </w:rPr>
              <w:t>/m</w:t>
            </w:r>
          </w:p>
        </w:tc>
        <w:tc>
          <w:tcPr>
            <w:tcW w:w="402" w:type="pct"/>
            <w:vMerge w:val="restart"/>
            <w:vAlign w:val="center"/>
          </w:tcPr>
          <w:p w14:paraId="12FEF6E6" w14:textId="77777777" w:rsidR="00A76031" w:rsidRPr="00E67914" w:rsidRDefault="00A76031" w:rsidP="00223052">
            <w:pPr>
              <w:pStyle w:val="06"/>
              <w:rPr>
                <w:rFonts w:cs="Times New Roman"/>
                <w:b w:val="0"/>
                <w:bCs/>
              </w:rPr>
            </w:pPr>
            <w:r w:rsidRPr="00E67914">
              <w:rPr>
                <w:rFonts w:cs="Times New Roman"/>
                <w:b w:val="0"/>
                <w:bCs/>
              </w:rPr>
              <w:t>影响时段</w:t>
            </w:r>
          </w:p>
        </w:tc>
      </w:tr>
      <w:tr w:rsidR="00E67914" w:rsidRPr="00E67914" w14:paraId="2453C751" w14:textId="77777777" w:rsidTr="00223052">
        <w:trPr>
          <w:trHeight w:val="454"/>
        </w:trPr>
        <w:tc>
          <w:tcPr>
            <w:tcW w:w="763" w:type="pct"/>
            <w:vMerge/>
            <w:vAlign w:val="center"/>
          </w:tcPr>
          <w:p w14:paraId="29DBBB0A" w14:textId="77777777" w:rsidR="00A76031" w:rsidRPr="00E67914" w:rsidRDefault="00A76031" w:rsidP="00223052">
            <w:pPr>
              <w:pStyle w:val="06"/>
              <w:rPr>
                <w:rFonts w:cs="Times New Roman"/>
                <w:b w:val="0"/>
                <w:bCs/>
              </w:rPr>
            </w:pPr>
          </w:p>
        </w:tc>
        <w:tc>
          <w:tcPr>
            <w:tcW w:w="581" w:type="pct"/>
            <w:vAlign w:val="center"/>
          </w:tcPr>
          <w:p w14:paraId="6DA334EA" w14:textId="77777777" w:rsidR="00A76031" w:rsidRPr="00E67914" w:rsidRDefault="00A76031" w:rsidP="00223052">
            <w:pPr>
              <w:pStyle w:val="06"/>
              <w:rPr>
                <w:rFonts w:cs="Times New Roman"/>
                <w:b w:val="0"/>
                <w:bCs/>
              </w:rPr>
            </w:pPr>
            <w:r w:rsidRPr="00E67914">
              <w:rPr>
                <w:rFonts w:cs="Times New Roman"/>
                <w:b w:val="0"/>
                <w:bCs/>
              </w:rPr>
              <w:t>经度</w:t>
            </w:r>
          </w:p>
        </w:tc>
        <w:tc>
          <w:tcPr>
            <w:tcW w:w="541" w:type="pct"/>
            <w:vAlign w:val="center"/>
          </w:tcPr>
          <w:p w14:paraId="2931DD62" w14:textId="77777777" w:rsidR="00A76031" w:rsidRPr="00E67914" w:rsidRDefault="00A76031" w:rsidP="00223052">
            <w:pPr>
              <w:pStyle w:val="06"/>
              <w:rPr>
                <w:rFonts w:cs="Times New Roman"/>
                <w:b w:val="0"/>
                <w:bCs/>
              </w:rPr>
            </w:pPr>
            <w:r w:rsidRPr="00E67914">
              <w:rPr>
                <w:rFonts w:cs="Times New Roman"/>
                <w:b w:val="0"/>
                <w:bCs/>
              </w:rPr>
              <w:t>纬度</w:t>
            </w:r>
          </w:p>
        </w:tc>
        <w:tc>
          <w:tcPr>
            <w:tcW w:w="403" w:type="pct"/>
            <w:vMerge/>
            <w:vAlign w:val="center"/>
          </w:tcPr>
          <w:p w14:paraId="7906D37D" w14:textId="77777777" w:rsidR="00A76031" w:rsidRPr="00E67914" w:rsidRDefault="00A76031" w:rsidP="00223052">
            <w:pPr>
              <w:pStyle w:val="06"/>
              <w:rPr>
                <w:rFonts w:cs="Times New Roman"/>
              </w:rPr>
            </w:pPr>
          </w:p>
        </w:tc>
        <w:tc>
          <w:tcPr>
            <w:tcW w:w="613" w:type="pct"/>
            <w:vMerge/>
            <w:vAlign w:val="center"/>
          </w:tcPr>
          <w:p w14:paraId="15EC48EA" w14:textId="77777777" w:rsidR="00A76031" w:rsidRPr="00E67914" w:rsidRDefault="00A76031" w:rsidP="00223052">
            <w:pPr>
              <w:pStyle w:val="06"/>
              <w:rPr>
                <w:rFonts w:cs="Times New Roman"/>
              </w:rPr>
            </w:pPr>
          </w:p>
        </w:tc>
        <w:tc>
          <w:tcPr>
            <w:tcW w:w="483" w:type="pct"/>
            <w:vMerge/>
            <w:vAlign w:val="center"/>
          </w:tcPr>
          <w:p w14:paraId="24B5FF11" w14:textId="77777777" w:rsidR="00A76031" w:rsidRPr="00E67914" w:rsidRDefault="00A76031" w:rsidP="00223052">
            <w:pPr>
              <w:pStyle w:val="06"/>
              <w:rPr>
                <w:rFonts w:cs="Times New Roman"/>
              </w:rPr>
            </w:pPr>
          </w:p>
        </w:tc>
        <w:tc>
          <w:tcPr>
            <w:tcW w:w="563" w:type="pct"/>
            <w:vMerge/>
            <w:vAlign w:val="center"/>
          </w:tcPr>
          <w:p w14:paraId="750702A5" w14:textId="77777777" w:rsidR="00A76031" w:rsidRPr="00E67914" w:rsidRDefault="00A76031" w:rsidP="00223052">
            <w:pPr>
              <w:pStyle w:val="06"/>
              <w:rPr>
                <w:rFonts w:cs="Times New Roman"/>
              </w:rPr>
            </w:pPr>
          </w:p>
        </w:tc>
        <w:tc>
          <w:tcPr>
            <w:tcW w:w="651" w:type="pct"/>
            <w:vMerge/>
            <w:vAlign w:val="center"/>
          </w:tcPr>
          <w:p w14:paraId="28FD5B1F" w14:textId="77777777" w:rsidR="00A76031" w:rsidRPr="00E67914" w:rsidRDefault="00A76031" w:rsidP="00223052">
            <w:pPr>
              <w:pStyle w:val="06"/>
              <w:rPr>
                <w:rFonts w:cs="Times New Roman"/>
              </w:rPr>
            </w:pPr>
          </w:p>
        </w:tc>
        <w:tc>
          <w:tcPr>
            <w:tcW w:w="402" w:type="pct"/>
            <w:vMerge/>
            <w:vAlign w:val="center"/>
          </w:tcPr>
          <w:p w14:paraId="1A9D6C63" w14:textId="77777777" w:rsidR="00A76031" w:rsidRPr="00E67914" w:rsidRDefault="00A76031" w:rsidP="00223052">
            <w:pPr>
              <w:pStyle w:val="06"/>
              <w:rPr>
                <w:rFonts w:cs="Times New Roman"/>
              </w:rPr>
            </w:pPr>
          </w:p>
        </w:tc>
      </w:tr>
      <w:tr w:rsidR="00E67914" w:rsidRPr="00E67914" w14:paraId="1BE64AB3" w14:textId="77777777" w:rsidTr="00223052">
        <w:trPr>
          <w:trHeight w:val="454"/>
        </w:trPr>
        <w:tc>
          <w:tcPr>
            <w:tcW w:w="763" w:type="pct"/>
            <w:vAlign w:val="center"/>
          </w:tcPr>
          <w:p w14:paraId="3D122E7D"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居民点</w:t>
            </w:r>
          </w:p>
        </w:tc>
        <w:tc>
          <w:tcPr>
            <w:tcW w:w="581" w:type="pct"/>
            <w:vAlign w:val="center"/>
          </w:tcPr>
          <w:p w14:paraId="7D8E56DC"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107.759789100</w:t>
            </w:r>
          </w:p>
        </w:tc>
        <w:tc>
          <w:tcPr>
            <w:tcW w:w="541" w:type="pct"/>
            <w:vAlign w:val="center"/>
          </w:tcPr>
          <w:p w14:paraId="58A733E0"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31.520764561</w:t>
            </w:r>
          </w:p>
        </w:tc>
        <w:tc>
          <w:tcPr>
            <w:tcW w:w="403" w:type="pct"/>
            <w:vAlign w:val="center"/>
          </w:tcPr>
          <w:p w14:paraId="217DFF41"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79B62325"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c>
          <w:tcPr>
            <w:tcW w:w="483" w:type="pct"/>
            <w:vAlign w:val="center"/>
          </w:tcPr>
          <w:p w14:paraId="5B6F4E08"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58117208"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lang w:eastAsia="zh-CN"/>
              </w:rPr>
              <w:t>N</w:t>
            </w:r>
          </w:p>
        </w:tc>
        <w:tc>
          <w:tcPr>
            <w:tcW w:w="651" w:type="pct"/>
            <w:vAlign w:val="center"/>
          </w:tcPr>
          <w:p w14:paraId="305070AD" w14:textId="77777777" w:rsidR="00A76031" w:rsidRPr="00E67914" w:rsidRDefault="00A76031" w:rsidP="00223052">
            <w:pPr>
              <w:jc w:val="center"/>
              <w:rPr>
                <w:rFonts w:ascii="Times New Roman" w:hAnsi="Times New Roman"/>
                <w:kern w:val="2"/>
                <w:sz w:val="21"/>
                <w:lang w:eastAsia="zh-CN"/>
              </w:rPr>
            </w:pPr>
            <w:r w:rsidRPr="00E67914">
              <w:rPr>
                <w:rFonts w:ascii="Times New Roman" w:hAnsi="Times New Roman"/>
                <w:kern w:val="2"/>
                <w:sz w:val="21"/>
                <w:lang w:eastAsia="zh-CN"/>
              </w:rPr>
              <w:t>153</w:t>
            </w:r>
          </w:p>
        </w:tc>
        <w:tc>
          <w:tcPr>
            <w:tcW w:w="402" w:type="pct"/>
            <w:vMerge w:val="restart"/>
            <w:vAlign w:val="center"/>
          </w:tcPr>
          <w:p w14:paraId="18FF7989"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rPr>
              <w:t>施工期</w:t>
            </w:r>
          </w:p>
        </w:tc>
      </w:tr>
      <w:tr w:rsidR="00E67914" w:rsidRPr="00E67914" w14:paraId="63A8F9C0" w14:textId="77777777" w:rsidTr="00223052">
        <w:trPr>
          <w:trHeight w:val="454"/>
        </w:trPr>
        <w:tc>
          <w:tcPr>
            <w:tcW w:w="763" w:type="pct"/>
            <w:vAlign w:val="center"/>
          </w:tcPr>
          <w:p w14:paraId="6CCC64E7"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2#</w:t>
            </w:r>
            <w:r w:rsidRPr="00E67914">
              <w:rPr>
                <w:rFonts w:ascii="Times New Roman" w:hAnsi="Times New Roman"/>
                <w:kern w:val="2"/>
                <w:sz w:val="21"/>
                <w:szCs w:val="21"/>
              </w:rPr>
              <w:t>居民点</w:t>
            </w:r>
          </w:p>
        </w:tc>
        <w:tc>
          <w:tcPr>
            <w:tcW w:w="581" w:type="pct"/>
            <w:vAlign w:val="center"/>
          </w:tcPr>
          <w:p w14:paraId="7847F4BD"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107.757959833</w:t>
            </w:r>
          </w:p>
        </w:tc>
        <w:tc>
          <w:tcPr>
            <w:tcW w:w="541" w:type="pct"/>
            <w:vAlign w:val="center"/>
          </w:tcPr>
          <w:p w14:paraId="7B84FC8E"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31.519520016</w:t>
            </w:r>
          </w:p>
        </w:tc>
        <w:tc>
          <w:tcPr>
            <w:tcW w:w="403" w:type="pct"/>
            <w:vAlign w:val="center"/>
          </w:tcPr>
          <w:p w14:paraId="37D9C434"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3848D908"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c>
          <w:tcPr>
            <w:tcW w:w="483" w:type="pct"/>
            <w:vAlign w:val="center"/>
          </w:tcPr>
          <w:p w14:paraId="5DBACF16"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62A76E42"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lang w:eastAsia="zh-CN"/>
              </w:rPr>
              <w:t>W</w:t>
            </w:r>
          </w:p>
        </w:tc>
        <w:tc>
          <w:tcPr>
            <w:tcW w:w="651" w:type="pct"/>
            <w:vAlign w:val="center"/>
          </w:tcPr>
          <w:p w14:paraId="4C3DD010" w14:textId="77777777" w:rsidR="00A76031" w:rsidRPr="00E67914" w:rsidRDefault="00A76031" w:rsidP="00223052">
            <w:pPr>
              <w:jc w:val="center"/>
              <w:rPr>
                <w:rFonts w:ascii="Times New Roman" w:hAnsi="Times New Roman"/>
                <w:kern w:val="2"/>
                <w:sz w:val="21"/>
                <w:lang w:eastAsia="zh-CN"/>
              </w:rPr>
            </w:pPr>
            <w:r w:rsidRPr="00E67914">
              <w:rPr>
                <w:rFonts w:ascii="Times New Roman" w:hAnsi="Times New Roman"/>
                <w:kern w:val="2"/>
                <w:sz w:val="21"/>
                <w:lang w:eastAsia="zh-CN"/>
              </w:rPr>
              <w:t>170</w:t>
            </w:r>
          </w:p>
        </w:tc>
        <w:tc>
          <w:tcPr>
            <w:tcW w:w="402" w:type="pct"/>
            <w:vMerge/>
            <w:vAlign w:val="center"/>
          </w:tcPr>
          <w:p w14:paraId="7A63D9D7" w14:textId="77777777" w:rsidR="00A76031" w:rsidRPr="00E67914" w:rsidRDefault="00A76031" w:rsidP="00223052">
            <w:pPr>
              <w:jc w:val="center"/>
              <w:rPr>
                <w:rFonts w:ascii="Times New Roman" w:hAnsi="Times New Roman"/>
                <w:kern w:val="2"/>
                <w:sz w:val="21"/>
              </w:rPr>
            </w:pPr>
          </w:p>
        </w:tc>
      </w:tr>
      <w:tr w:rsidR="00E67914" w:rsidRPr="00E67914" w14:paraId="5FF9379C" w14:textId="77777777" w:rsidTr="00223052">
        <w:trPr>
          <w:trHeight w:val="454"/>
        </w:trPr>
        <w:tc>
          <w:tcPr>
            <w:tcW w:w="763" w:type="pct"/>
            <w:vAlign w:val="center"/>
          </w:tcPr>
          <w:p w14:paraId="64822346"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lang w:eastAsia="zh-CN"/>
              </w:rPr>
              <w:t>11#</w:t>
            </w:r>
            <w:r w:rsidRPr="00E67914">
              <w:rPr>
                <w:rFonts w:ascii="Times New Roman" w:hAnsi="Times New Roman"/>
                <w:kern w:val="2"/>
                <w:sz w:val="21"/>
                <w:szCs w:val="21"/>
                <w:lang w:eastAsia="zh-CN"/>
              </w:rPr>
              <w:t>居民点</w:t>
            </w:r>
          </w:p>
        </w:tc>
        <w:tc>
          <w:tcPr>
            <w:tcW w:w="581" w:type="pct"/>
            <w:vAlign w:val="center"/>
          </w:tcPr>
          <w:p w14:paraId="6F901D2D"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107.764429321</w:t>
            </w:r>
          </w:p>
        </w:tc>
        <w:tc>
          <w:tcPr>
            <w:tcW w:w="541" w:type="pct"/>
            <w:vAlign w:val="center"/>
          </w:tcPr>
          <w:p w14:paraId="06BC4502"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31.518862875</w:t>
            </w:r>
          </w:p>
        </w:tc>
        <w:tc>
          <w:tcPr>
            <w:tcW w:w="403" w:type="pct"/>
            <w:vAlign w:val="center"/>
          </w:tcPr>
          <w:p w14:paraId="7FB0025D"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1E57A32C"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12</w:t>
            </w:r>
            <w:r w:rsidRPr="00E67914">
              <w:rPr>
                <w:rFonts w:ascii="Times New Roman" w:hAnsi="Times New Roman"/>
                <w:kern w:val="2"/>
                <w:sz w:val="21"/>
                <w:szCs w:val="21"/>
              </w:rPr>
              <w:t>户，约</w:t>
            </w:r>
            <w:r w:rsidRPr="00E67914">
              <w:rPr>
                <w:rFonts w:ascii="Times New Roman" w:hAnsi="Times New Roman"/>
                <w:kern w:val="2"/>
                <w:sz w:val="21"/>
                <w:szCs w:val="21"/>
              </w:rPr>
              <w:t>48</w:t>
            </w:r>
            <w:r w:rsidRPr="00E67914">
              <w:rPr>
                <w:rFonts w:ascii="Times New Roman" w:hAnsi="Times New Roman"/>
                <w:kern w:val="2"/>
                <w:sz w:val="21"/>
                <w:szCs w:val="21"/>
              </w:rPr>
              <w:t>人</w:t>
            </w:r>
          </w:p>
        </w:tc>
        <w:tc>
          <w:tcPr>
            <w:tcW w:w="483" w:type="pct"/>
            <w:vAlign w:val="center"/>
          </w:tcPr>
          <w:p w14:paraId="231B8C5A"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72E42977"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lang w:eastAsia="zh-CN"/>
              </w:rPr>
              <w:t>E</w:t>
            </w:r>
          </w:p>
        </w:tc>
        <w:tc>
          <w:tcPr>
            <w:tcW w:w="651" w:type="pct"/>
            <w:vAlign w:val="center"/>
          </w:tcPr>
          <w:p w14:paraId="3617B317" w14:textId="77777777" w:rsidR="00A76031" w:rsidRPr="00E67914" w:rsidRDefault="00A76031" w:rsidP="00223052">
            <w:pPr>
              <w:jc w:val="center"/>
              <w:rPr>
                <w:rFonts w:ascii="Times New Roman" w:hAnsi="Times New Roman"/>
                <w:kern w:val="2"/>
                <w:sz w:val="21"/>
                <w:lang w:eastAsia="zh-CN"/>
              </w:rPr>
            </w:pPr>
            <w:r w:rsidRPr="00E67914">
              <w:rPr>
                <w:rFonts w:ascii="Times New Roman" w:hAnsi="Times New Roman"/>
                <w:kern w:val="2"/>
                <w:sz w:val="21"/>
                <w:lang w:eastAsia="zh-CN"/>
              </w:rPr>
              <w:t>196</w:t>
            </w:r>
          </w:p>
        </w:tc>
        <w:tc>
          <w:tcPr>
            <w:tcW w:w="402" w:type="pct"/>
            <w:vMerge/>
            <w:vAlign w:val="center"/>
          </w:tcPr>
          <w:p w14:paraId="463E52BF" w14:textId="77777777" w:rsidR="00A76031" w:rsidRPr="00E67914" w:rsidRDefault="00A76031" w:rsidP="00223052">
            <w:pPr>
              <w:jc w:val="center"/>
              <w:rPr>
                <w:rFonts w:ascii="Times New Roman" w:hAnsi="Times New Roman"/>
                <w:kern w:val="2"/>
                <w:sz w:val="21"/>
              </w:rPr>
            </w:pPr>
          </w:p>
        </w:tc>
      </w:tr>
    </w:tbl>
    <w:p w14:paraId="76D74DC9" w14:textId="1B0EEFA1" w:rsidR="00A76031" w:rsidRPr="00E67914" w:rsidRDefault="00A76031" w:rsidP="00A76031">
      <w:pPr>
        <w:pStyle w:val="af"/>
        <w:tabs>
          <w:tab w:val="left" w:pos="3864"/>
        </w:tabs>
        <w:adjustRightInd w:val="0"/>
        <w:snapToGrid w:val="0"/>
        <w:spacing w:before="0"/>
        <w:ind w:left="2640"/>
        <w:jc w:val="center"/>
        <w:rPr>
          <w:rFonts w:ascii="Times New Roman" w:hAnsi="Times New Roman"/>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1.8-4  </w:t>
      </w:r>
      <w:r w:rsidRPr="00E67914">
        <w:rPr>
          <w:rFonts w:ascii="Times New Roman" w:eastAsia="黑体" w:hAnsi="Times New Roman"/>
          <w:sz w:val="21"/>
          <w:szCs w:val="21"/>
          <w:lang w:eastAsia="zh-CN"/>
        </w:rPr>
        <w:t>普陆页</w:t>
      </w:r>
      <w:r w:rsidRPr="00E67914">
        <w:rPr>
          <w:rFonts w:ascii="Times New Roman" w:eastAsia="黑体" w:hAnsi="Times New Roman"/>
          <w:sz w:val="21"/>
          <w:szCs w:val="21"/>
          <w:lang w:eastAsia="zh-CN"/>
        </w:rPr>
        <w:t>2</w:t>
      </w:r>
      <w:r w:rsidRPr="00E67914">
        <w:rPr>
          <w:rFonts w:ascii="Times New Roman" w:eastAsia="黑体" w:hAnsi="Times New Roman"/>
          <w:sz w:val="21"/>
          <w:szCs w:val="21"/>
          <w:lang w:eastAsia="zh-CN"/>
        </w:rPr>
        <w:t>试采站至</w:t>
      </w:r>
      <w:r w:rsidRPr="00E67914">
        <w:rPr>
          <w:rFonts w:ascii="Times New Roman" w:eastAsia="黑体" w:hAnsi="Times New Roman"/>
          <w:sz w:val="21"/>
          <w:szCs w:val="21"/>
          <w:lang w:eastAsia="zh-CN"/>
        </w:rPr>
        <w:t>P302</w:t>
      </w:r>
      <w:r w:rsidRPr="00E67914">
        <w:rPr>
          <w:rFonts w:ascii="Times New Roman" w:eastAsia="黑体" w:hAnsi="Times New Roman"/>
          <w:sz w:val="21"/>
          <w:szCs w:val="21"/>
          <w:lang w:eastAsia="zh-CN"/>
        </w:rPr>
        <w:t>集气站的外输管线声环境保护目标一览表</w:t>
      </w:r>
    </w:p>
    <w:tbl>
      <w:tblPr>
        <w:tblStyle w:val="affa"/>
        <w:tblW w:w="5000" w:type="pct"/>
        <w:tblLook w:val="04A0" w:firstRow="1" w:lastRow="0" w:firstColumn="1" w:lastColumn="0" w:noHBand="0" w:noVBand="1"/>
      </w:tblPr>
      <w:tblGrid>
        <w:gridCol w:w="2135"/>
        <w:gridCol w:w="1626"/>
        <w:gridCol w:w="1514"/>
        <w:gridCol w:w="1128"/>
        <w:gridCol w:w="1715"/>
        <w:gridCol w:w="1352"/>
        <w:gridCol w:w="1575"/>
        <w:gridCol w:w="1822"/>
        <w:gridCol w:w="1125"/>
      </w:tblGrid>
      <w:tr w:rsidR="00E67914" w:rsidRPr="00E67914" w14:paraId="0F286186" w14:textId="77777777" w:rsidTr="00223052">
        <w:trPr>
          <w:trHeight w:val="454"/>
        </w:trPr>
        <w:tc>
          <w:tcPr>
            <w:tcW w:w="763" w:type="pct"/>
            <w:vMerge w:val="restart"/>
            <w:vAlign w:val="center"/>
          </w:tcPr>
          <w:p w14:paraId="3CD00A5C" w14:textId="77777777" w:rsidR="00A76031" w:rsidRPr="00E67914" w:rsidRDefault="00A76031" w:rsidP="00223052">
            <w:pPr>
              <w:pStyle w:val="06"/>
              <w:rPr>
                <w:rFonts w:cs="Times New Roman"/>
                <w:b w:val="0"/>
                <w:bCs/>
              </w:rPr>
            </w:pPr>
            <w:r w:rsidRPr="00E67914">
              <w:rPr>
                <w:rFonts w:cs="Times New Roman"/>
                <w:b w:val="0"/>
                <w:bCs/>
              </w:rPr>
              <w:t>名称</w:t>
            </w:r>
          </w:p>
        </w:tc>
        <w:tc>
          <w:tcPr>
            <w:tcW w:w="1122" w:type="pct"/>
            <w:gridSpan w:val="2"/>
            <w:vAlign w:val="center"/>
          </w:tcPr>
          <w:p w14:paraId="142A4C75" w14:textId="77777777" w:rsidR="00A76031" w:rsidRPr="00E67914" w:rsidRDefault="00A76031" w:rsidP="00223052">
            <w:pPr>
              <w:pStyle w:val="06"/>
              <w:rPr>
                <w:rFonts w:cs="Times New Roman"/>
                <w:b w:val="0"/>
                <w:bCs/>
              </w:rPr>
            </w:pPr>
            <w:r w:rsidRPr="00E67914">
              <w:rPr>
                <w:rFonts w:cs="Times New Roman"/>
                <w:b w:val="0"/>
                <w:bCs/>
              </w:rPr>
              <w:t>与管线最近处经纬度</w:t>
            </w:r>
          </w:p>
        </w:tc>
        <w:tc>
          <w:tcPr>
            <w:tcW w:w="403" w:type="pct"/>
            <w:vMerge w:val="restart"/>
            <w:vAlign w:val="center"/>
          </w:tcPr>
          <w:p w14:paraId="35C3E099" w14:textId="77777777" w:rsidR="00A76031" w:rsidRPr="00E67914" w:rsidRDefault="00A76031" w:rsidP="00223052">
            <w:pPr>
              <w:pStyle w:val="06"/>
              <w:rPr>
                <w:rFonts w:cs="Times New Roman"/>
                <w:b w:val="0"/>
                <w:bCs/>
              </w:rPr>
            </w:pPr>
            <w:r w:rsidRPr="00E67914">
              <w:rPr>
                <w:rFonts w:cs="Times New Roman"/>
                <w:b w:val="0"/>
                <w:bCs/>
              </w:rPr>
              <w:t>保护对象</w:t>
            </w:r>
          </w:p>
        </w:tc>
        <w:tc>
          <w:tcPr>
            <w:tcW w:w="613" w:type="pct"/>
            <w:vMerge w:val="restart"/>
            <w:vAlign w:val="center"/>
          </w:tcPr>
          <w:p w14:paraId="368C1AFC" w14:textId="77777777" w:rsidR="00A76031" w:rsidRPr="00E67914" w:rsidRDefault="00A76031" w:rsidP="00223052">
            <w:pPr>
              <w:pStyle w:val="06"/>
              <w:rPr>
                <w:rFonts w:cs="Times New Roman"/>
                <w:b w:val="0"/>
                <w:bCs/>
              </w:rPr>
            </w:pPr>
            <w:r w:rsidRPr="00E67914">
              <w:rPr>
                <w:rFonts w:cs="Times New Roman"/>
                <w:b w:val="0"/>
                <w:bCs/>
              </w:rPr>
              <w:t>保护内容</w:t>
            </w:r>
          </w:p>
        </w:tc>
        <w:tc>
          <w:tcPr>
            <w:tcW w:w="483" w:type="pct"/>
            <w:vMerge w:val="restart"/>
            <w:vAlign w:val="center"/>
          </w:tcPr>
          <w:p w14:paraId="37F40160" w14:textId="77777777" w:rsidR="00A76031" w:rsidRPr="00E67914" w:rsidRDefault="00A76031" w:rsidP="00223052">
            <w:pPr>
              <w:pStyle w:val="06"/>
              <w:rPr>
                <w:rFonts w:cs="Times New Roman"/>
                <w:b w:val="0"/>
                <w:bCs/>
              </w:rPr>
            </w:pPr>
            <w:r w:rsidRPr="00E67914">
              <w:rPr>
                <w:rFonts w:cs="Times New Roman"/>
                <w:b w:val="0"/>
                <w:bCs/>
              </w:rPr>
              <w:t>环境功能区</w:t>
            </w:r>
          </w:p>
        </w:tc>
        <w:tc>
          <w:tcPr>
            <w:tcW w:w="563" w:type="pct"/>
            <w:vMerge w:val="restart"/>
            <w:vAlign w:val="center"/>
          </w:tcPr>
          <w:p w14:paraId="26E592D3" w14:textId="77777777" w:rsidR="00A76031" w:rsidRPr="00E67914" w:rsidRDefault="00A76031" w:rsidP="00223052">
            <w:pPr>
              <w:pStyle w:val="06"/>
              <w:rPr>
                <w:rFonts w:cs="Times New Roman"/>
                <w:b w:val="0"/>
                <w:bCs/>
              </w:rPr>
            </w:pPr>
            <w:r w:rsidRPr="00E67914">
              <w:rPr>
                <w:rFonts w:cs="Times New Roman"/>
                <w:b w:val="0"/>
                <w:bCs/>
              </w:rPr>
              <w:t>相对管线方位</w:t>
            </w:r>
          </w:p>
        </w:tc>
        <w:tc>
          <w:tcPr>
            <w:tcW w:w="651" w:type="pct"/>
            <w:vMerge w:val="restart"/>
            <w:vAlign w:val="center"/>
          </w:tcPr>
          <w:p w14:paraId="503E5F0D" w14:textId="77777777" w:rsidR="00A76031" w:rsidRPr="00E67914" w:rsidRDefault="00A76031" w:rsidP="00223052">
            <w:pPr>
              <w:pStyle w:val="06"/>
              <w:rPr>
                <w:rFonts w:cs="Times New Roman"/>
                <w:b w:val="0"/>
                <w:bCs/>
              </w:rPr>
            </w:pPr>
            <w:r w:rsidRPr="00E67914">
              <w:rPr>
                <w:rFonts w:cs="Times New Roman"/>
                <w:b w:val="0"/>
                <w:bCs/>
              </w:rPr>
              <w:t>相对管线距离</w:t>
            </w:r>
            <w:r w:rsidRPr="00E67914">
              <w:rPr>
                <w:rFonts w:cs="Times New Roman"/>
                <w:b w:val="0"/>
                <w:bCs/>
              </w:rPr>
              <w:t>/m</w:t>
            </w:r>
          </w:p>
        </w:tc>
        <w:tc>
          <w:tcPr>
            <w:tcW w:w="402" w:type="pct"/>
            <w:vMerge w:val="restart"/>
            <w:vAlign w:val="center"/>
          </w:tcPr>
          <w:p w14:paraId="03D14A9F" w14:textId="77777777" w:rsidR="00A76031" w:rsidRPr="00E67914" w:rsidRDefault="00A76031" w:rsidP="00223052">
            <w:pPr>
              <w:pStyle w:val="06"/>
              <w:rPr>
                <w:rFonts w:cs="Times New Roman"/>
                <w:b w:val="0"/>
                <w:bCs/>
              </w:rPr>
            </w:pPr>
            <w:r w:rsidRPr="00E67914">
              <w:rPr>
                <w:rFonts w:cs="Times New Roman"/>
                <w:b w:val="0"/>
                <w:bCs/>
              </w:rPr>
              <w:t>影响时段</w:t>
            </w:r>
          </w:p>
        </w:tc>
      </w:tr>
      <w:tr w:rsidR="00E67914" w:rsidRPr="00E67914" w14:paraId="48432CA1" w14:textId="77777777" w:rsidTr="00223052">
        <w:trPr>
          <w:trHeight w:val="454"/>
        </w:trPr>
        <w:tc>
          <w:tcPr>
            <w:tcW w:w="763" w:type="pct"/>
            <w:vMerge/>
            <w:vAlign w:val="center"/>
          </w:tcPr>
          <w:p w14:paraId="1B320828" w14:textId="77777777" w:rsidR="00A76031" w:rsidRPr="00E67914" w:rsidRDefault="00A76031" w:rsidP="00223052">
            <w:pPr>
              <w:pStyle w:val="06"/>
              <w:rPr>
                <w:rFonts w:cs="Times New Roman"/>
                <w:b w:val="0"/>
                <w:bCs/>
              </w:rPr>
            </w:pPr>
          </w:p>
        </w:tc>
        <w:tc>
          <w:tcPr>
            <w:tcW w:w="581" w:type="pct"/>
            <w:vAlign w:val="center"/>
          </w:tcPr>
          <w:p w14:paraId="696F9C07" w14:textId="77777777" w:rsidR="00A76031" w:rsidRPr="00E67914" w:rsidRDefault="00A76031" w:rsidP="00223052">
            <w:pPr>
              <w:pStyle w:val="06"/>
              <w:rPr>
                <w:rFonts w:cs="Times New Roman"/>
                <w:b w:val="0"/>
                <w:bCs/>
              </w:rPr>
            </w:pPr>
            <w:r w:rsidRPr="00E67914">
              <w:rPr>
                <w:rFonts w:cs="Times New Roman"/>
                <w:b w:val="0"/>
                <w:bCs/>
              </w:rPr>
              <w:t>经度</w:t>
            </w:r>
          </w:p>
        </w:tc>
        <w:tc>
          <w:tcPr>
            <w:tcW w:w="541" w:type="pct"/>
            <w:vAlign w:val="center"/>
          </w:tcPr>
          <w:p w14:paraId="79C1ACE7" w14:textId="77777777" w:rsidR="00A76031" w:rsidRPr="00E67914" w:rsidRDefault="00A76031" w:rsidP="00223052">
            <w:pPr>
              <w:pStyle w:val="06"/>
              <w:rPr>
                <w:rFonts w:cs="Times New Roman"/>
                <w:b w:val="0"/>
                <w:bCs/>
              </w:rPr>
            </w:pPr>
            <w:r w:rsidRPr="00E67914">
              <w:rPr>
                <w:rFonts w:cs="Times New Roman"/>
                <w:b w:val="0"/>
                <w:bCs/>
              </w:rPr>
              <w:t>纬度</w:t>
            </w:r>
          </w:p>
        </w:tc>
        <w:tc>
          <w:tcPr>
            <w:tcW w:w="403" w:type="pct"/>
            <w:vMerge/>
            <w:vAlign w:val="center"/>
          </w:tcPr>
          <w:p w14:paraId="16131D7F" w14:textId="77777777" w:rsidR="00A76031" w:rsidRPr="00E67914" w:rsidRDefault="00A76031" w:rsidP="00223052">
            <w:pPr>
              <w:pStyle w:val="06"/>
              <w:rPr>
                <w:rFonts w:cs="Times New Roman"/>
              </w:rPr>
            </w:pPr>
          </w:p>
        </w:tc>
        <w:tc>
          <w:tcPr>
            <w:tcW w:w="613" w:type="pct"/>
            <w:vMerge/>
            <w:vAlign w:val="center"/>
          </w:tcPr>
          <w:p w14:paraId="765F431C" w14:textId="77777777" w:rsidR="00A76031" w:rsidRPr="00E67914" w:rsidRDefault="00A76031" w:rsidP="00223052">
            <w:pPr>
              <w:pStyle w:val="06"/>
              <w:rPr>
                <w:rFonts w:cs="Times New Roman"/>
              </w:rPr>
            </w:pPr>
          </w:p>
        </w:tc>
        <w:tc>
          <w:tcPr>
            <w:tcW w:w="483" w:type="pct"/>
            <w:vMerge/>
            <w:vAlign w:val="center"/>
          </w:tcPr>
          <w:p w14:paraId="3F9E8F4B" w14:textId="77777777" w:rsidR="00A76031" w:rsidRPr="00E67914" w:rsidRDefault="00A76031" w:rsidP="00223052">
            <w:pPr>
              <w:pStyle w:val="06"/>
              <w:rPr>
                <w:rFonts w:cs="Times New Roman"/>
              </w:rPr>
            </w:pPr>
          </w:p>
        </w:tc>
        <w:tc>
          <w:tcPr>
            <w:tcW w:w="563" w:type="pct"/>
            <w:vMerge/>
            <w:vAlign w:val="center"/>
          </w:tcPr>
          <w:p w14:paraId="40EC0F7B" w14:textId="77777777" w:rsidR="00A76031" w:rsidRPr="00E67914" w:rsidRDefault="00A76031" w:rsidP="00223052">
            <w:pPr>
              <w:pStyle w:val="06"/>
              <w:rPr>
                <w:rFonts w:cs="Times New Roman"/>
              </w:rPr>
            </w:pPr>
          </w:p>
        </w:tc>
        <w:tc>
          <w:tcPr>
            <w:tcW w:w="651" w:type="pct"/>
            <w:vMerge/>
            <w:vAlign w:val="center"/>
          </w:tcPr>
          <w:p w14:paraId="3B1AB65A" w14:textId="77777777" w:rsidR="00A76031" w:rsidRPr="00E67914" w:rsidRDefault="00A76031" w:rsidP="00223052">
            <w:pPr>
              <w:pStyle w:val="06"/>
              <w:rPr>
                <w:rFonts w:cs="Times New Roman"/>
              </w:rPr>
            </w:pPr>
          </w:p>
        </w:tc>
        <w:tc>
          <w:tcPr>
            <w:tcW w:w="402" w:type="pct"/>
            <w:vMerge/>
            <w:vAlign w:val="center"/>
          </w:tcPr>
          <w:p w14:paraId="0AD27E47" w14:textId="77777777" w:rsidR="00A76031" w:rsidRPr="00E67914" w:rsidRDefault="00A76031" w:rsidP="00223052">
            <w:pPr>
              <w:pStyle w:val="06"/>
              <w:rPr>
                <w:rFonts w:cs="Times New Roman"/>
              </w:rPr>
            </w:pPr>
          </w:p>
        </w:tc>
      </w:tr>
      <w:tr w:rsidR="00E67914" w:rsidRPr="00E67914" w14:paraId="57142A19" w14:textId="77777777" w:rsidTr="00223052">
        <w:trPr>
          <w:trHeight w:val="454"/>
        </w:trPr>
        <w:tc>
          <w:tcPr>
            <w:tcW w:w="763" w:type="pct"/>
            <w:vAlign w:val="center"/>
          </w:tcPr>
          <w:p w14:paraId="5413F73A"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lang w:eastAsia="zh-CN"/>
              </w:rPr>
              <w:t>11#</w:t>
            </w:r>
            <w:r w:rsidRPr="00E67914">
              <w:rPr>
                <w:rFonts w:ascii="Times New Roman" w:hAnsi="Times New Roman"/>
                <w:kern w:val="2"/>
                <w:sz w:val="21"/>
                <w:szCs w:val="21"/>
                <w:lang w:eastAsia="zh-CN"/>
              </w:rPr>
              <w:t>居民点</w:t>
            </w:r>
          </w:p>
        </w:tc>
        <w:tc>
          <w:tcPr>
            <w:tcW w:w="581" w:type="pct"/>
            <w:vAlign w:val="center"/>
          </w:tcPr>
          <w:p w14:paraId="1D0044A3"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107.764429321</w:t>
            </w:r>
          </w:p>
        </w:tc>
        <w:tc>
          <w:tcPr>
            <w:tcW w:w="541" w:type="pct"/>
            <w:vAlign w:val="center"/>
          </w:tcPr>
          <w:p w14:paraId="2E55EF84"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31.518862875</w:t>
            </w:r>
          </w:p>
        </w:tc>
        <w:tc>
          <w:tcPr>
            <w:tcW w:w="403" w:type="pct"/>
            <w:vAlign w:val="center"/>
          </w:tcPr>
          <w:p w14:paraId="31D26DAD"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70C64DB4"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12</w:t>
            </w:r>
            <w:r w:rsidRPr="00E67914">
              <w:rPr>
                <w:rFonts w:ascii="Times New Roman" w:hAnsi="Times New Roman"/>
                <w:kern w:val="2"/>
                <w:sz w:val="21"/>
                <w:szCs w:val="21"/>
              </w:rPr>
              <w:t>户，约</w:t>
            </w:r>
            <w:r w:rsidRPr="00E67914">
              <w:rPr>
                <w:rFonts w:ascii="Times New Roman" w:hAnsi="Times New Roman"/>
                <w:kern w:val="2"/>
                <w:sz w:val="21"/>
                <w:szCs w:val="21"/>
              </w:rPr>
              <w:t>48</w:t>
            </w:r>
            <w:r w:rsidRPr="00E67914">
              <w:rPr>
                <w:rFonts w:ascii="Times New Roman" w:hAnsi="Times New Roman"/>
                <w:kern w:val="2"/>
                <w:sz w:val="21"/>
                <w:szCs w:val="21"/>
              </w:rPr>
              <w:t>人</w:t>
            </w:r>
          </w:p>
        </w:tc>
        <w:tc>
          <w:tcPr>
            <w:tcW w:w="483" w:type="pct"/>
            <w:vAlign w:val="center"/>
          </w:tcPr>
          <w:p w14:paraId="029FD3A7"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48875874"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lang w:eastAsia="zh-CN"/>
              </w:rPr>
              <w:t>E</w:t>
            </w:r>
          </w:p>
        </w:tc>
        <w:tc>
          <w:tcPr>
            <w:tcW w:w="651" w:type="pct"/>
            <w:vAlign w:val="center"/>
          </w:tcPr>
          <w:p w14:paraId="0B59291F" w14:textId="77777777" w:rsidR="00A76031" w:rsidRPr="00E67914" w:rsidRDefault="00A76031" w:rsidP="00223052">
            <w:pPr>
              <w:jc w:val="center"/>
              <w:rPr>
                <w:rFonts w:ascii="Times New Roman" w:hAnsi="Times New Roman"/>
                <w:kern w:val="2"/>
                <w:sz w:val="21"/>
                <w:lang w:eastAsia="zh-CN"/>
              </w:rPr>
            </w:pPr>
            <w:r w:rsidRPr="00E67914">
              <w:rPr>
                <w:rFonts w:ascii="Times New Roman" w:hAnsi="Times New Roman"/>
                <w:kern w:val="2"/>
                <w:sz w:val="21"/>
                <w:lang w:eastAsia="zh-CN"/>
              </w:rPr>
              <w:t>166</w:t>
            </w:r>
          </w:p>
        </w:tc>
        <w:tc>
          <w:tcPr>
            <w:tcW w:w="402" w:type="pct"/>
            <w:vMerge w:val="restart"/>
            <w:vAlign w:val="center"/>
          </w:tcPr>
          <w:p w14:paraId="768B3F9C"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rPr>
              <w:t>施工期</w:t>
            </w:r>
          </w:p>
        </w:tc>
      </w:tr>
      <w:tr w:rsidR="00A76031" w:rsidRPr="00E67914" w14:paraId="00EF221D" w14:textId="77777777" w:rsidTr="00223052">
        <w:trPr>
          <w:trHeight w:val="454"/>
        </w:trPr>
        <w:tc>
          <w:tcPr>
            <w:tcW w:w="763" w:type="pct"/>
            <w:vAlign w:val="center"/>
          </w:tcPr>
          <w:p w14:paraId="3B9FE69C"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6#</w:t>
            </w:r>
            <w:r w:rsidRPr="00E67914">
              <w:rPr>
                <w:rFonts w:ascii="Times New Roman" w:hAnsi="Times New Roman"/>
                <w:kern w:val="2"/>
                <w:sz w:val="21"/>
                <w:szCs w:val="21"/>
              </w:rPr>
              <w:t>居民点</w:t>
            </w:r>
          </w:p>
        </w:tc>
        <w:tc>
          <w:tcPr>
            <w:tcW w:w="581" w:type="pct"/>
            <w:vAlign w:val="center"/>
          </w:tcPr>
          <w:p w14:paraId="005ECD3C"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107.756452432</w:t>
            </w:r>
          </w:p>
        </w:tc>
        <w:tc>
          <w:tcPr>
            <w:tcW w:w="541" w:type="pct"/>
            <w:vAlign w:val="center"/>
          </w:tcPr>
          <w:p w14:paraId="4FF4331D"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31.517626376</w:t>
            </w:r>
          </w:p>
        </w:tc>
        <w:tc>
          <w:tcPr>
            <w:tcW w:w="403" w:type="pct"/>
            <w:vAlign w:val="center"/>
          </w:tcPr>
          <w:p w14:paraId="6659C1D7"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居民</w:t>
            </w:r>
          </w:p>
        </w:tc>
        <w:tc>
          <w:tcPr>
            <w:tcW w:w="613" w:type="pct"/>
            <w:vAlign w:val="center"/>
          </w:tcPr>
          <w:p w14:paraId="1C6E4952"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10</w:t>
            </w:r>
            <w:r w:rsidRPr="00E67914">
              <w:rPr>
                <w:rFonts w:ascii="Times New Roman" w:hAnsi="Times New Roman"/>
                <w:kern w:val="2"/>
                <w:sz w:val="21"/>
                <w:szCs w:val="21"/>
              </w:rPr>
              <w:t>户，约</w:t>
            </w:r>
            <w:r w:rsidRPr="00E67914">
              <w:rPr>
                <w:rFonts w:ascii="Times New Roman" w:hAnsi="Times New Roman"/>
                <w:kern w:val="2"/>
                <w:sz w:val="21"/>
                <w:szCs w:val="21"/>
              </w:rPr>
              <w:t>40</w:t>
            </w:r>
            <w:r w:rsidRPr="00E67914">
              <w:rPr>
                <w:rFonts w:ascii="Times New Roman" w:hAnsi="Times New Roman"/>
                <w:kern w:val="2"/>
                <w:sz w:val="21"/>
                <w:szCs w:val="21"/>
              </w:rPr>
              <w:t>人</w:t>
            </w:r>
          </w:p>
        </w:tc>
        <w:tc>
          <w:tcPr>
            <w:tcW w:w="483" w:type="pct"/>
            <w:vAlign w:val="center"/>
          </w:tcPr>
          <w:p w14:paraId="4DFF9E10"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szCs w:val="21"/>
              </w:rPr>
              <w:t>二类</w:t>
            </w:r>
          </w:p>
        </w:tc>
        <w:tc>
          <w:tcPr>
            <w:tcW w:w="563" w:type="pct"/>
            <w:vAlign w:val="center"/>
          </w:tcPr>
          <w:p w14:paraId="625FAC65" w14:textId="77777777" w:rsidR="00A76031" w:rsidRPr="00E67914" w:rsidRDefault="00A76031" w:rsidP="00223052">
            <w:pPr>
              <w:jc w:val="center"/>
              <w:rPr>
                <w:rFonts w:ascii="Times New Roman" w:hAnsi="Times New Roman"/>
                <w:kern w:val="2"/>
                <w:sz w:val="21"/>
              </w:rPr>
            </w:pPr>
            <w:r w:rsidRPr="00E67914">
              <w:rPr>
                <w:rFonts w:ascii="Times New Roman" w:hAnsi="Times New Roman"/>
                <w:kern w:val="2"/>
                <w:sz w:val="21"/>
                <w:lang w:eastAsia="zh-CN"/>
              </w:rPr>
              <w:t>W</w:t>
            </w:r>
          </w:p>
        </w:tc>
        <w:tc>
          <w:tcPr>
            <w:tcW w:w="651" w:type="pct"/>
            <w:vAlign w:val="center"/>
          </w:tcPr>
          <w:p w14:paraId="0B657DB4" w14:textId="77777777" w:rsidR="00A76031" w:rsidRPr="00E67914" w:rsidRDefault="00A76031" w:rsidP="00223052">
            <w:pPr>
              <w:jc w:val="center"/>
              <w:rPr>
                <w:rFonts w:ascii="Times New Roman" w:hAnsi="Times New Roman"/>
                <w:kern w:val="2"/>
                <w:sz w:val="21"/>
                <w:lang w:eastAsia="zh-CN"/>
              </w:rPr>
            </w:pPr>
            <w:r w:rsidRPr="00E67914">
              <w:rPr>
                <w:rFonts w:ascii="Times New Roman" w:hAnsi="Times New Roman"/>
                <w:kern w:val="2"/>
                <w:sz w:val="21"/>
                <w:lang w:eastAsia="zh-CN"/>
              </w:rPr>
              <w:t>184</w:t>
            </w:r>
          </w:p>
        </w:tc>
        <w:tc>
          <w:tcPr>
            <w:tcW w:w="402" w:type="pct"/>
            <w:vMerge/>
            <w:vAlign w:val="center"/>
          </w:tcPr>
          <w:p w14:paraId="4F942227" w14:textId="77777777" w:rsidR="00A76031" w:rsidRPr="00E67914" w:rsidRDefault="00A76031" w:rsidP="00223052">
            <w:pPr>
              <w:jc w:val="center"/>
              <w:rPr>
                <w:rFonts w:ascii="Times New Roman" w:hAnsi="Times New Roman"/>
                <w:kern w:val="2"/>
                <w:sz w:val="21"/>
              </w:rPr>
            </w:pPr>
          </w:p>
        </w:tc>
      </w:tr>
    </w:tbl>
    <w:p w14:paraId="30533AE3" w14:textId="77777777" w:rsidR="008B15B2" w:rsidRPr="00E67914" w:rsidRDefault="008B15B2" w:rsidP="008B15B2">
      <w:pPr>
        <w:ind w:firstLine="482"/>
        <w:rPr>
          <w:rFonts w:ascii="Times New Roman" w:hAnsi="Times New Roman"/>
          <w:b/>
          <w:bCs/>
        </w:rPr>
        <w:sectPr w:rsidR="008B15B2" w:rsidRPr="00E67914" w:rsidSect="00451DA7">
          <w:pgSz w:w="16838" w:h="11906" w:orient="landscape"/>
          <w:pgMar w:top="1418" w:right="1418" w:bottom="1418" w:left="1418" w:header="851" w:footer="992" w:gutter="0"/>
          <w:cols w:space="425"/>
          <w:docGrid w:type="lines" w:linePitch="326"/>
        </w:sectPr>
      </w:pPr>
    </w:p>
    <w:p w14:paraId="0406E7D7" w14:textId="41485E47" w:rsidR="008B15B2" w:rsidRPr="00E67914" w:rsidRDefault="008B15B2" w:rsidP="008B15B2">
      <w:pPr>
        <w:adjustRightInd w:val="0"/>
        <w:snapToGrid w:val="0"/>
        <w:spacing w:line="360" w:lineRule="auto"/>
        <w:ind w:firstLineChars="200" w:firstLine="480"/>
        <w:jc w:val="both"/>
        <w:outlineLvl w:val="3"/>
        <w:rPr>
          <w:rFonts w:ascii="Times New Roman" w:eastAsia="黑体" w:hAnsi="Times New Roman"/>
          <w:sz w:val="24"/>
          <w:szCs w:val="24"/>
          <w:lang w:eastAsia="zh-CN"/>
        </w:rPr>
      </w:pPr>
      <w:bookmarkStart w:id="51" w:name="_Toc140496891"/>
      <w:r w:rsidRPr="00E67914">
        <w:rPr>
          <w:rFonts w:ascii="Times New Roman" w:eastAsia="黑体" w:hAnsi="Times New Roman"/>
          <w:sz w:val="24"/>
          <w:szCs w:val="24"/>
          <w:lang w:eastAsia="zh-CN"/>
        </w:rPr>
        <w:lastRenderedPageBreak/>
        <w:t xml:space="preserve">2.9.2.6 </w:t>
      </w:r>
      <w:r w:rsidRPr="00E67914">
        <w:rPr>
          <w:rFonts w:ascii="Times New Roman" w:eastAsia="黑体" w:hAnsi="Times New Roman"/>
          <w:sz w:val="24"/>
          <w:szCs w:val="24"/>
          <w:lang w:eastAsia="zh-CN"/>
        </w:rPr>
        <w:t>土壤保护目标</w:t>
      </w:r>
      <w:bookmarkEnd w:id="51"/>
    </w:p>
    <w:bookmarkEnd w:id="50"/>
    <w:p w14:paraId="17F8E0A0" w14:textId="77777777" w:rsidR="008B15B2" w:rsidRPr="00E67914" w:rsidRDefault="008B15B2" w:rsidP="00A76031">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根据本次现状监测结果，本项目所在地周边土壤以棕色土壤为主。本项目土壤环境保护目标主要为项目占地范围以及占地范围外</w:t>
      </w:r>
      <w:r w:rsidRPr="00E67914">
        <w:rPr>
          <w:rFonts w:ascii="Times New Roman" w:hAnsi="Times New Roman"/>
          <w:bCs/>
          <w:kern w:val="2"/>
          <w:sz w:val="24"/>
          <w:szCs w:val="24"/>
          <w:lang w:eastAsia="zh-CN"/>
        </w:rPr>
        <w:t>0.2km</w:t>
      </w:r>
      <w:r w:rsidRPr="00E67914">
        <w:rPr>
          <w:rFonts w:ascii="Times New Roman" w:hAnsi="Times New Roman"/>
          <w:bCs/>
          <w:kern w:val="2"/>
          <w:sz w:val="24"/>
          <w:szCs w:val="24"/>
          <w:lang w:eastAsia="zh-CN"/>
        </w:rPr>
        <w:t>内的耕地（含基本农田）、住宅用地等。</w:t>
      </w:r>
    </w:p>
    <w:p w14:paraId="41CE1279" w14:textId="3F457D1A" w:rsidR="008B15B2" w:rsidRPr="00E67914" w:rsidRDefault="008B15B2" w:rsidP="008B15B2">
      <w:pPr>
        <w:adjustRightInd w:val="0"/>
        <w:snapToGrid w:val="0"/>
        <w:spacing w:line="360" w:lineRule="auto"/>
        <w:ind w:firstLineChars="200" w:firstLine="480"/>
        <w:jc w:val="both"/>
        <w:outlineLvl w:val="3"/>
        <w:rPr>
          <w:rFonts w:ascii="Times New Roman" w:eastAsia="黑体" w:hAnsi="Times New Roman"/>
          <w:sz w:val="24"/>
          <w:szCs w:val="24"/>
          <w:lang w:eastAsia="zh-CN"/>
        </w:rPr>
      </w:pPr>
      <w:bookmarkStart w:id="52" w:name="_Toc140496892"/>
      <w:r w:rsidRPr="00E67914">
        <w:rPr>
          <w:rFonts w:ascii="Times New Roman" w:eastAsia="黑体" w:hAnsi="Times New Roman"/>
          <w:sz w:val="24"/>
          <w:szCs w:val="24"/>
          <w:lang w:eastAsia="zh-CN"/>
        </w:rPr>
        <w:t xml:space="preserve">2.9.2.7 </w:t>
      </w:r>
      <w:r w:rsidRPr="00E67914">
        <w:rPr>
          <w:rFonts w:ascii="Times New Roman" w:eastAsia="黑体" w:hAnsi="Times New Roman"/>
          <w:sz w:val="24"/>
          <w:szCs w:val="24"/>
          <w:lang w:eastAsia="zh-CN"/>
        </w:rPr>
        <w:t>环境风险保护目标</w:t>
      </w:r>
      <w:bookmarkEnd w:id="52"/>
    </w:p>
    <w:p w14:paraId="19A77637" w14:textId="2492A5DE" w:rsidR="008B15B2" w:rsidRPr="00E67914" w:rsidRDefault="008B15B2" w:rsidP="00A76031">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本项目环境风险潜势划分为</w:t>
      </w:r>
      <w:r w:rsidRPr="00E67914">
        <w:rPr>
          <w:rFonts w:ascii="Times New Roman" w:hAnsi="Times New Roman"/>
          <w:bCs/>
          <w:kern w:val="2"/>
          <w:sz w:val="24"/>
          <w:szCs w:val="24"/>
          <w:lang w:eastAsia="zh-CN"/>
        </w:rPr>
        <w:t>I</w:t>
      </w:r>
      <w:r w:rsidRPr="00E67914">
        <w:rPr>
          <w:rFonts w:ascii="Times New Roman" w:hAnsi="Times New Roman"/>
          <w:bCs/>
          <w:kern w:val="2"/>
          <w:sz w:val="24"/>
          <w:szCs w:val="24"/>
          <w:lang w:eastAsia="zh-CN"/>
        </w:rPr>
        <w:t>，根据《建设项目环境风险评价技术导则》（</w:t>
      </w:r>
      <w:r w:rsidRPr="00E67914">
        <w:rPr>
          <w:rFonts w:ascii="Times New Roman" w:hAnsi="Times New Roman"/>
          <w:bCs/>
          <w:kern w:val="2"/>
          <w:sz w:val="24"/>
          <w:szCs w:val="24"/>
          <w:lang w:eastAsia="zh-CN"/>
        </w:rPr>
        <w:t>HJ 169-2018</w:t>
      </w:r>
      <w:r w:rsidRPr="00E67914">
        <w:rPr>
          <w:rFonts w:ascii="Times New Roman" w:hAnsi="Times New Roman"/>
          <w:bCs/>
          <w:kern w:val="2"/>
          <w:sz w:val="24"/>
          <w:szCs w:val="24"/>
          <w:lang w:eastAsia="zh-CN"/>
        </w:rPr>
        <w:t>），对本项目环境风险进行简单分析，简单分析项目未明确评价范围。根据环境风险可能影响的范围，确定本次环境风险</w:t>
      </w:r>
      <w:r w:rsidR="00871DFB" w:rsidRPr="00E67914">
        <w:rPr>
          <w:rFonts w:ascii="Times New Roman" w:hAnsi="Times New Roman"/>
          <w:bCs/>
          <w:kern w:val="2"/>
          <w:sz w:val="24"/>
          <w:szCs w:val="24"/>
          <w:lang w:eastAsia="zh-CN"/>
        </w:rPr>
        <w:t>重点调查</w:t>
      </w:r>
      <w:r w:rsidRPr="00E67914">
        <w:rPr>
          <w:rFonts w:ascii="Times New Roman" w:hAnsi="Times New Roman"/>
          <w:bCs/>
          <w:kern w:val="2"/>
          <w:sz w:val="24"/>
          <w:szCs w:val="24"/>
          <w:lang w:eastAsia="zh-CN"/>
        </w:rPr>
        <w:t>井场周边</w:t>
      </w:r>
      <w:r w:rsidRPr="00E67914">
        <w:rPr>
          <w:rFonts w:ascii="Times New Roman" w:hAnsi="Times New Roman"/>
          <w:bCs/>
          <w:kern w:val="2"/>
          <w:sz w:val="24"/>
          <w:szCs w:val="24"/>
          <w:lang w:eastAsia="zh-CN"/>
        </w:rPr>
        <w:t>500m</w:t>
      </w:r>
      <w:r w:rsidRPr="00E67914">
        <w:rPr>
          <w:rFonts w:ascii="Times New Roman" w:hAnsi="Times New Roman"/>
          <w:bCs/>
          <w:kern w:val="2"/>
          <w:sz w:val="24"/>
          <w:szCs w:val="24"/>
          <w:lang w:eastAsia="zh-CN"/>
        </w:rPr>
        <w:t>范围与管线沿线两侧</w:t>
      </w:r>
      <w:r w:rsidRPr="00E67914">
        <w:rPr>
          <w:rFonts w:ascii="Times New Roman" w:hAnsi="Times New Roman"/>
          <w:bCs/>
          <w:kern w:val="2"/>
          <w:sz w:val="24"/>
          <w:szCs w:val="24"/>
          <w:lang w:eastAsia="zh-CN"/>
        </w:rPr>
        <w:t>200m</w:t>
      </w:r>
      <w:r w:rsidRPr="00E67914">
        <w:rPr>
          <w:rFonts w:ascii="Times New Roman" w:hAnsi="Times New Roman"/>
          <w:bCs/>
          <w:kern w:val="2"/>
          <w:sz w:val="24"/>
          <w:szCs w:val="24"/>
          <w:lang w:eastAsia="zh-CN"/>
        </w:rPr>
        <w:t>范围，主要调查居民点、地表水、地下水等保护目标。</w:t>
      </w:r>
    </w:p>
    <w:p w14:paraId="486ECFAE" w14:textId="77777777" w:rsidR="008B15B2" w:rsidRPr="00E67914" w:rsidRDefault="008B15B2" w:rsidP="00A76031">
      <w:pPr>
        <w:pStyle w:val="af"/>
        <w:tabs>
          <w:tab w:val="left" w:pos="3864"/>
        </w:tabs>
        <w:adjustRightInd w:val="0"/>
        <w:snapToGrid w:val="0"/>
        <w:spacing w:before="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1.8-7  </w:t>
      </w:r>
      <w:r w:rsidRPr="00E67914">
        <w:rPr>
          <w:rFonts w:ascii="Times New Roman" w:eastAsia="黑体" w:hAnsi="Times New Roman"/>
          <w:sz w:val="21"/>
          <w:szCs w:val="21"/>
          <w:lang w:eastAsia="zh-CN"/>
        </w:rPr>
        <w:t>本项目环境风险保护目标</w:t>
      </w: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8"/>
        <w:gridCol w:w="698"/>
        <w:gridCol w:w="1466"/>
        <w:gridCol w:w="1200"/>
        <w:gridCol w:w="1316"/>
        <w:gridCol w:w="970"/>
        <w:gridCol w:w="1553"/>
      </w:tblGrid>
      <w:tr w:rsidR="008B15B2" w:rsidRPr="00E67914" w14:paraId="55BEA17E" w14:textId="77777777" w:rsidTr="009952F2">
        <w:trPr>
          <w:trHeight w:val="454"/>
          <w:jc w:val="center"/>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5E222CC9" w14:textId="77777777" w:rsidR="008B15B2" w:rsidRPr="00E67914" w:rsidRDefault="008B15B2" w:rsidP="003230F9">
            <w:pPr>
              <w:pStyle w:val="04"/>
              <w:rPr>
                <w:rFonts w:eastAsia="黑体" w:cs="Times New Roman"/>
              </w:rPr>
            </w:pPr>
            <w:r w:rsidRPr="00E67914">
              <w:rPr>
                <w:rFonts w:eastAsia="黑体" w:cs="Times New Roman"/>
                <w:lang w:bidi="ar"/>
              </w:rPr>
              <w:t>类别</w:t>
            </w:r>
          </w:p>
        </w:tc>
        <w:tc>
          <w:tcPr>
            <w:tcW w:w="720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601D0E68" w14:textId="77777777" w:rsidR="008B15B2" w:rsidRPr="00E67914" w:rsidRDefault="008B15B2" w:rsidP="003230F9">
            <w:pPr>
              <w:pStyle w:val="04"/>
              <w:rPr>
                <w:rFonts w:eastAsia="黑体" w:cs="Times New Roman"/>
              </w:rPr>
            </w:pPr>
            <w:r w:rsidRPr="00E67914">
              <w:rPr>
                <w:rFonts w:eastAsia="黑体" w:cs="Times New Roman"/>
                <w:lang w:bidi="ar"/>
              </w:rPr>
              <w:t>大气环境敏感特征</w:t>
            </w:r>
          </w:p>
        </w:tc>
      </w:tr>
      <w:tr w:rsidR="008B15B2" w:rsidRPr="00E67914" w14:paraId="3C3B9B23" w14:textId="77777777" w:rsidTr="009952F2">
        <w:trPr>
          <w:trHeight w:val="454"/>
          <w:jc w:val="center"/>
        </w:trPr>
        <w:tc>
          <w:tcPr>
            <w:tcW w:w="84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D464654" w14:textId="77777777" w:rsidR="008B15B2" w:rsidRPr="00E67914" w:rsidRDefault="008B15B2" w:rsidP="003230F9">
            <w:pPr>
              <w:pStyle w:val="04"/>
              <w:rPr>
                <w:rFonts w:cs="Times New Roman"/>
              </w:rPr>
            </w:pPr>
            <w:r w:rsidRPr="00E67914">
              <w:rPr>
                <w:rFonts w:cs="Times New Roman"/>
                <w:lang w:bidi="ar"/>
              </w:rPr>
              <w:t>环境空气</w:t>
            </w:r>
          </w:p>
        </w:tc>
        <w:tc>
          <w:tcPr>
            <w:tcW w:w="720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5C04B90A" w14:textId="77777777" w:rsidR="008B15B2" w:rsidRPr="00E67914" w:rsidRDefault="008B15B2" w:rsidP="003230F9">
            <w:pPr>
              <w:pStyle w:val="04"/>
              <w:rPr>
                <w:rFonts w:cs="Times New Roman"/>
              </w:rPr>
            </w:pPr>
            <w:r w:rsidRPr="00E67914">
              <w:rPr>
                <w:rFonts w:cs="Times New Roman"/>
                <w:lang w:bidi="ar"/>
              </w:rPr>
              <w:t>井场周边</w:t>
            </w:r>
            <w:r w:rsidRPr="00E67914">
              <w:rPr>
                <w:rFonts w:cs="Times New Roman"/>
                <w:lang w:bidi="ar"/>
              </w:rPr>
              <w:t>500m</w:t>
            </w:r>
            <w:r w:rsidRPr="00E67914">
              <w:rPr>
                <w:rFonts w:cs="Times New Roman"/>
                <w:lang w:bidi="ar"/>
              </w:rPr>
              <w:t>范围与管线沿线两侧</w:t>
            </w:r>
            <w:r w:rsidRPr="00E67914">
              <w:rPr>
                <w:rFonts w:cs="Times New Roman"/>
                <w:lang w:bidi="ar"/>
              </w:rPr>
              <w:t>200m</w:t>
            </w:r>
            <w:r w:rsidRPr="00E67914">
              <w:rPr>
                <w:rFonts w:cs="Times New Roman"/>
                <w:lang w:bidi="ar"/>
              </w:rPr>
              <w:t>范围</w:t>
            </w:r>
          </w:p>
        </w:tc>
      </w:tr>
      <w:tr w:rsidR="008B15B2" w:rsidRPr="00E67914" w14:paraId="541A2A5B"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BB53C6" w14:textId="77777777" w:rsidR="008B15B2" w:rsidRPr="00E67914" w:rsidRDefault="008B15B2" w:rsidP="003230F9">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0E89A667" w14:textId="77777777" w:rsidR="008B15B2" w:rsidRPr="00E67914" w:rsidRDefault="008B15B2" w:rsidP="003230F9">
            <w:pPr>
              <w:pStyle w:val="04"/>
              <w:rPr>
                <w:rFonts w:cs="Times New Roman"/>
              </w:rPr>
            </w:pPr>
            <w:r w:rsidRPr="00E67914">
              <w:rPr>
                <w:rFonts w:cs="Times New Roman"/>
                <w:lang w:bidi="ar"/>
              </w:rPr>
              <w:t>序号</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51C17E3B" w14:textId="77777777" w:rsidR="008B15B2" w:rsidRPr="00E67914" w:rsidRDefault="008B15B2" w:rsidP="003230F9">
            <w:pPr>
              <w:pStyle w:val="04"/>
              <w:rPr>
                <w:rFonts w:cs="Times New Roman"/>
              </w:rPr>
            </w:pPr>
            <w:r w:rsidRPr="00E67914">
              <w:rPr>
                <w:rFonts w:cs="Times New Roman"/>
                <w:lang w:bidi="ar"/>
              </w:rPr>
              <w:t>敏感目标名称</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07147BD9" w14:textId="77777777" w:rsidR="008B15B2" w:rsidRPr="00E67914" w:rsidRDefault="008B15B2" w:rsidP="003230F9">
            <w:pPr>
              <w:pStyle w:val="04"/>
              <w:rPr>
                <w:rFonts w:cs="Times New Roman"/>
              </w:rPr>
            </w:pPr>
            <w:r w:rsidRPr="00E67914">
              <w:rPr>
                <w:rFonts w:cs="Times New Roman"/>
                <w:lang w:bidi="ar"/>
              </w:rPr>
              <w:t>相对方位</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37DFE237" w14:textId="77777777" w:rsidR="008B15B2" w:rsidRPr="00E67914" w:rsidRDefault="008B15B2" w:rsidP="003230F9">
            <w:pPr>
              <w:pStyle w:val="04"/>
              <w:rPr>
                <w:rFonts w:cs="Times New Roman"/>
              </w:rPr>
            </w:pPr>
            <w:r w:rsidRPr="00E67914">
              <w:rPr>
                <w:rFonts w:cs="Times New Roman"/>
                <w:lang w:bidi="ar"/>
              </w:rPr>
              <w:t>距离</w:t>
            </w:r>
            <w:r w:rsidRPr="00E67914">
              <w:rPr>
                <w:rFonts w:cs="Times New Roman"/>
                <w:lang w:bidi="ar"/>
              </w:rPr>
              <w:t>/m</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22F61C2B" w14:textId="77777777" w:rsidR="008B15B2" w:rsidRPr="00E67914" w:rsidRDefault="008B15B2" w:rsidP="003230F9">
            <w:pPr>
              <w:pStyle w:val="04"/>
              <w:rPr>
                <w:rFonts w:cs="Times New Roman"/>
              </w:rPr>
            </w:pPr>
            <w:r w:rsidRPr="00E67914">
              <w:rPr>
                <w:rFonts w:cs="Times New Roman"/>
                <w:lang w:bidi="ar"/>
              </w:rPr>
              <w:t>属性</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56A35C56" w14:textId="77777777" w:rsidR="008B15B2" w:rsidRPr="00E67914" w:rsidRDefault="008B15B2" w:rsidP="003230F9">
            <w:pPr>
              <w:pStyle w:val="04"/>
              <w:rPr>
                <w:rFonts w:cs="Times New Roman"/>
              </w:rPr>
            </w:pPr>
            <w:r w:rsidRPr="00E67914">
              <w:rPr>
                <w:rFonts w:cs="Times New Roman"/>
                <w:lang w:bidi="ar"/>
              </w:rPr>
              <w:t>人口数</w:t>
            </w:r>
          </w:p>
        </w:tc>
      </w:tr>
      <w:tr w:rsidR="009952F2" w:rsidRPr="00E67914" w14:paraId="56A654EF"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D7BA1B"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110B5782" w14:textId="77777777" w:rsidR="009952F2" w:rsidRPr="00E67914" w:rsidRDefault="009952F2" w:rsidP="009952F2">
            <w:pPr>
              <w:pStyle w:val="04"/>
              <w:rPr>
                <w:rFonts w:cs="Times New Roman"/>
              </w:rPr>
            </w:pPr>
            <w:r w:rsidRPr="00E67914">
              <w:rPr>
                <w:rFonts w:cs="Times New Roman"/>
                <w:lang w:bidi="ar"/>
              </w:rPr>
              <w:t>1</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7B28C474" w14:textId="5F16A163"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居民点</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6605991D" w14:textId="790A3F70"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N</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7FCFDADA" w14:textId="0D019B4B"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61</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640BDDEC" w14:textId="77777777" w:rsidR="009952F2" w:rsidRPr="00E67914" w:rsidRDefault="009952F2" w:rsidP="009952F2">
            <w:pPr>
              <w:pStyle w:val="04"/>
              <w:rPr>
                <w:rFonts w:cs="Times New Roman"/>
              </w:rPr>
            </w:pPr>
            <w:r w:rsidRPr="00E67914">
              <w:rPr>
                <w:rFonts w:cs="Times New Roman"/>
                <w:kern w:val="2"/>
              </w:rPr>
              <w:t>居民</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364D82F9" w14:textId="1C6552A9"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r>
      <w:tr w:rsidR="009952F2" w:rsidRPr="00E67914" w14:paraId="6157F3BD"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1543CB"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38D69CF6" w14:textId="77777777" w:rsidR="009952F2" w:rsidRPr="00E67914" w:rsidRDefault="009952F2" w:rsidP="009952F2">
            <w:pPr>
              <w:pStyle w:val="04"/>
              <w:rPr>
                <w:rFonts w:cs="Times New Roman"/>
              </w:rPr>
            </w:pPr>
            <w:r w:rsidRPr="00E67914">
              <w:rPr>
                <w:rFonts w:cs="Times New Roman"/>
                <w:lang w:bidi="ar"/>
              </w:rPr>
              <w:t>2</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1C505785" w14:textId="023A2DB5"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2#</w:t>
            </w:r>
            <w:r w:rsidRPr="00E67914">
              <w:rPr>
                <w:rFonts w:ascii="Times New Roman" w:hAnsi="Times New Roman"/>
                <w:kern w:val="2"/>
                <w:sz w:val="21"/>
                <w:szCs w:val="21"/>
              </w:rPr>
              <w:t>居民点</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513A4E1A" w14:textId="1930962A"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W</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44D30B8B" w14:textId="11AF3A7B"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115</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6F6EB400" w14:textId="77777777" w:rsidR="009952F2" w:rsidRPr="00E67914" w:rsidRDefault="009952F2" w:rsidP="009952F2">
            <w:pPr>
              <w:pStyle w:val="04"/>
              <w:rPr>
                <w:rFonts w:cs="Times New Roman"/>
              </w:rPr>
            </w:pPr>
            <w:r w:rsidRPr="00E67914">
              <w:rPr>
                <w:rFonts w:cs="Times New Roman"/>
                <w:kern w:val="2"/>
              </w:rPr>
              <w:t>居民</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04FC6268" w14:textId="7620D24A"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1</w:t>
            </w:r>
            <w:r w:rsidRPr="00E67914">
              <w:rPr>
                <w:rFonts w:ascii="Times New Roman" w:hAnsi="Times New Roman"/>
                <w:kern w:val="2"/>
                <w:sz w:val="21"/>
                <w:szCs w:val="21"/>
              </w:rPr>
              <w:t>户，约</w:t>
            </w:r>
            <w:r w:rsidRPr="00E67914">
              <w:rPr>
                <w:rFonts w:ascii="Times New Roman" w:hAnsi="Times New Roman"/>
                <w:kern w:val="2"/>
                <w:sz w:val="21"/>
                <w:szCs w:val="21"/>
              </w:rPr>
              <w:t>4</w:t>
            </w:r>
            <w:r w:rsidRPr="00E67914">
              <w:rPr>
                <w:rFonts w:ascii="Times New Roman" w:hAnsi="Times New Roman"/>
                <w:kern w:val="2"/>
                <w:sz w:val="21"/>
                <w:szCs w:val="21"/>
              </w:rPr>
              <w:t>人</w:t>
            </w:r>
          </w:p>
        </w:tc>
      </w:tr>
      <w:tr w:rsidR="009952F2" w:rsidRPr="00E67914" w14:paraId="3DDABC53"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2E9033"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435EB5A4" w14:textId="77777777" w:rsidR="009952F2" w:rsidRPr="00E67914" w:rsidRDefault="009952F2" w:rsidP="009952F2">
            <w:pPr>
              <w:pStyle w:val="04"/>
              <w:rPr>
                <w:rFonts w:cs="Times New Roman"/>
              </w:rPr>
            </w:pPr>
            <w:r w:rsidRPr="00E67914">
              <w:rPr>
                <w:rFonts w:cs="Times New Roman"/>
                <w:lang w:bidi="ar"/>
              </w:rPr>
              <w:t>3</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236B2880" w14:textId="0CF82AF6"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3#</w:t>
            </w:r>
            <w:r w:rsidRPr="00E67914">
              <w:rPr>
                <w:rFonts w:ascii="Times New Roman" w:hAnsi="Times New Roman"/>
                <w:kern w:val="2"/>
                <w:sz w:val="21"/>
                <w:szCs w:val="21"/>
              </w:rPr>
              <w:t>居民点</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60FD7AC2" w14:textId="77FD8114"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N</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775B5085" w14:textId="0A6336EF"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251</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052CFBAD" w14:textId="77777777" w:rsidR="009952F2" w:rsidRPr="00E67914" w:rsidRDefault="009952F2" w:rsidP="009952F2">
            <w:pPr>
              <w:pStyle w:val="04"/>
              <w:rPr>
                <w:rFonts w:cs="Times New Roman"/>
              </w:rPr>
            </w:pPr>
            <w:r w:rsidRPr="00E67914">
              <w:rPr>
                <w:rFonts w:cs="Times New Roman"/>
                <w:kern w:val="2"/>
              </w:rPr>
              <w:t>居民</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29BFCAFB" w14:textId="64306A39"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9</w:t>
            </w:r>
            <w:r w:rsidRPr="00E67914">
              <w:rPr>
                <w:rFonts w:ascii="Times New Roman" w:hAnsi="Times New Roman"/>
                <w:kern w:val="2"/>
                <w:sz w:val="21"/>
                <w:szCs w:val="21"/>
              </w:rPr>
              <w:t>户，约</w:t>
            </w:r>
            <w:r w:rsidRPr="00E67914">
              <w:rPr>
                <w:rFonts w:ascii="Times New Roman" w:hAnsi="Times New Roman"/>
                <w:kern w:val="2"/>
                <w:sz w:val="21"/>
                <w:szCs w:val="21"/>
              </w:rPr>
              <w:t>36</w:t>
            </w:r>
            <w:r w:rsidRPr="00E67914">
              <w:rPr>
                <w:rFonts w:ascii="Times New Roman" w:hAnsi="Times New Roman"/>
                <w:kern w:val="2"/>
                <w:sz w:val="21"/>
                <w:szCs w:val="21"/>
              </w:rPr>
              <w:t>人</w:t>
            </w:r>
          </w:p>
        </w:tc>
      </w:tr>
      <w:tr w:rsidR="009952F2" w:rsidRPr="00E67914" w14:paraId="242AEE86"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B779E63"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0703F477" w14:textId="77777777" w:rsidR="009952F2" w:rsidRPr="00E67914" w:rsidRDefault="009952F2" w:rsidP="009952F2">
            <w:pPr>
              <w:pStyle w:val="04"/>
              <w:rPr>
                <w:rFonts w:cs="Times New Roman"/>
              </w:rPr>
            </w:pPr>
            <w:r w:rsidRPr="00E67914">
              <w:rPr>
                <w:rFonts w:cs="Times New Roman"/>
                <w:lang w:bidi="ar"/>
              </w:rPr>
              <w:t>4</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3DC62B0F" w14:textId="2794C74F"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4#</w:t>
            </w:r>
            <w:r w:rsidRPr="00E67914">
              <w:rPr>
                <w:rFonts w:ascii="Times New Roman" w:hAnsi="Times New Roman"/>
                <w:kern w:val="2"/>
                <w:sz w:val="21"/>
                <w:szCs w:val="21"/>
              </w:rPr>
              <w:t>居民点</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766EB045" w14:textId="534DC278"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N</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0F6D2E65" w14:textId="1B3F35C9"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473</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6A999EBF" w14:textId="77777777" w:rsidR="009952F2" w:rsidRPr="00E67914" w:rsidRDefault="009952F2" w:rsidP="009952F2">
            <w:pPr>
              <w:pStyle w:val="04"/>
              <w:rPr>
                <w:rFonts w:cs="Times New Roman"/>
              </w:rPr>
            </w:pPr>
            <w:r w:rsidRPr="00E67914">
              <w:rPr>
                <w:rFonts w:cs="Times New Roman"/>
                <w:kern w:val="2"/>
              </w:rPr>
              <w:t>居民</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226BFF39" w14:textId="30680AF6"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12</w:t>
            </w:r>
            <w:r w:rsidRPr="00E67914">
              <w:rPr>
                <w:rFonts w:ascii="Times New Roman" w:hAnsi="Times New Roman"/>
                <w:kern w:val="2"/>
                <w:sz w:val="21"/>
                <w:szCs w:val="21"/>
              </w:rPr>
              <w:t>户，约</w:t>
            </w:r>
            <w:r w:rsidRPr="00E67914">
              <w:rPr>
                <w:rFonts w:ascii="Times New Roman" w:hAnsi="Times New Roman"/>
                <w:kern w:val="2"/>
                <w:sz w:val="21"/>
                <w:szCs w:val="21"/>
              </w:rPr>
              <w:t>48</w:t>
            </w:r>
            <w:r w:rsidRPr="00E67914">
              <w:rPr>
                <w:rFonts w:ascii="Times New Roman" w:hAnsi="Times New Roman"/>
                <w:kern w:val="2"/>
                <w:sz w:val="21"/>
                <w:szCs w:val="21"/>
              </w:rPr>
              <w:t>人</w:t>
            </w:r>
          </w:p>
        </w:tc>
      </w:tr>
      <w:tr w:rsidR="009952F2" w:rsidRPr="00E67914" w14:paraId="533281BC"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0D42BA"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7DC5AE50" w14:textId="77777777" w:rsidR="009952F2" w:rsidRPr="00E67914" w:rsidRDefault="009952F2" w:rsidP="009952F2">
            <w:pPr>
              <w:pStyle w:val="04"/>
              <w:rPr>
                <w:rFonts w:cs="Times New Roman"/>
                <w:lang w:bidi="ar"/>
              </w:rPr>
            </w:pPr>
            <w:r w:rsidRPr="00E67914">
              <w:rPr>
                <w:rFonts w:cs="Times New Roman"/>
                <w:lang w:bidi="ar"/>
              </w:rPr>
              <w:t>5</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23BD1D9D" w14:textId="11AEE50E"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5#</w:t>
            </w:r>
            <w:r w:rsidRPr="00E67914">
              <w:rPr>
                <w:rFonts w:ascii="Times New Roman" w:hAnsi="Times New Roman"/>
                <w:kern w:val="2"/>
                <w:sz w:val="21"/>
                <w:szCs w:val="21"/>
              </w:rPr>
              <w:t>居民点</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2925CEE7" w14:textId="692A4624"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W</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2A7F369B" w14:textId="62FF1405"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185</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6D5EA51C" w14:textId="77777777" w:rsidR="009952F2" w:rsidRPr="00E67914" w:rsidRDefault="009952F2" w:rsidP="009952F2">
            <w:pPr>
              <w:pStyle w:val="04"/>
              <w:rPr>
                <w:rFonts w:cs="Times New Roman"/>
                <w:lang w:bidi="ar"/>
              </w:rPr>
            </w:pPr>
            <w:r w:rsidRPr="00E67914">
              <w:rPr>
                <w:rFonts w:cs="Times New Roman"/>
                <w:kern w:val="2"/>
              </w:rPr>
              <w:t>居民</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62F103FA" w14:textId="22795BAE"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15</w:t>
            </w:r>
            <w:r w:rsidRPr="00E67914">
              <w:rPr>
                <w:rFonts w:ascii="Times New Roman" w:hAnsi="Times New Roman"/>
                <w:kern w:val="2"/>
                <w:sz w:val="21"/>
                <w:szCs w:val="21"/>
              </w:rPr>
              <w:t>户，约</w:t>
            </w:r>
            <w:r w:rsidRPr="00E67914">
              <w:rPr>
                <w:rFonts w:ascii="Times New Roman" w:hAnsi="Times New Roman"/>
                <w:kern w:val="2"/>
                <w:sz w:val="21"/>
                <w:szCs w:val="21"/>
              </w:rPr>
              <w:t>60</w:t>
            </w:r>
            <w:r w:rsidRPr="00E67914">
              <w:rPr>
                <w:rFonts w:ascii="Times New Roman" w:hAnsi="Times New Roman"/>
                <w:kern w:val="2"/>
                <w:sz w:val="21"/>
                <w:szCs w:val="21"/>
              </w:rPr>
              <w:t>人</w:t>
            </w:r>
          </w:p>
        </w:tc>
      </w:tr>
      <w:tr w:rsidR="009952F2" w:rsidRPr="00E67914" w14:paraId="43CAC323"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A7E30F"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6ABEA784" w14:textId="77777777" w:rsidR="009952F2" w:rsidRPr="00E67914" w:rsidRDefault="009952F2" w:rsidP="009952F2">
            <w:pPr>
              <w:pStyle w:val="04"/>
              <w:rPr>
                <w:rFonts w:cs="Times New Roman"/>
                <w:lang w:bidi="ar"/>
              </w:rPr>
            </w:pPr>
            <w:r w:rsidRPr="00E67914">
              <w:rPr>
                <w:rFonts w:cs="Times New Roman"/>
                <w:lang w:bidi="ar"/>
              </w:rPr>
              <w:t>6</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2F2D5077" w14:textId="7D95F9A0"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6#</w:t>
            </w:r>
            <w:r w:rsidRPr="00E67914">
              <w:rPr>
                <w:rFonts w:ascii="Times New Roman" w:hAnsi="Times New Roman"/>
                <w:kern w:val="2"/>
                <w:sz w:val="21"/>
                <w:szCs w:val="21"/>
              </w:rPr>
              <w:t>居民点</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7874B314" w14:textId="15D1B709"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SW</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3006FBE8" w14:textId="6EAFDFE7"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283</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16FAADA7" w14:textId="77777777" w:rsidR="009952F2" w:rsidRPr="00E67914" w:rsidRDefault="009952F2" w:rsidP="009952F2">
            <w:pPr>
              <w:pStyle w:val="04"/>
              <w:rPr>
                <w:rFonts w:cs="Times New Roman"/>
                <w:lang w:bidi="ar"/>
              </w:rPr>
            </w:pPr>
            <w:r w:rsidRPr="00E67914">
              <w:rPr>
                <w:rFonts w:cs="Times New Roman"/>
                <w:kern w:val="2"/>
              </w:rPr>
              <w:t>居民</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29E4A641" w14:textId="24BEF3A9"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10</w:t>
            </w:r>
            <w:r w:rsidRPr="00E67914">
              <w:rPr>
                <w:rFonts w:ascii="Times New Roman" w:hAnsi="Times New Roman"/>
                <w:kern w:val="2"/>
                <w:sz w:val="21"/>
                <w:szCs w:val="21"/>
              </w:rPr>
              <w:t>户，约</w:t>
            </w:r>
            <w:r w:rsidRPr="00E67914">
              <w:rPr>
                <w:rFonts w:ascii="Times New Roman" w:hAnsi="Times New Roman"/>
                <w:kern w:val="2"/>
                <w:sz w:val="21"/>
                <w:szCs w:val="21"/>
              </w:rPr>
              <w:t>40</w:t>
            </w:r>
            <w:r w:rsidRPr="00E67914">
              <w:rPr>
                <w:rFonts w:ascii="Times New Roman" w:hAnsi="Times New Roman"/>
                <w:kern w:val="2"/>
                <w:sz w:val="21"/>
                <w:szCs w:val="21"/>
              </w:rPr>
              <w:t>人</w:t>
            </w:r>
          </w:p>
        </w:tc>
      </w:tr>
      <w:tr w:rsidR="009952F2" w:rsidRPr="00E67914" w14:paraId="7D5FE9F9"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ACE00B"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071BE708" w14:textId="77777777" w:rsidR="009952F2" w:rsidRPr="00E67914" w:rsidRDefault="009952F2" w:rsidP="009952F2">
            <w:pPr>
              <w:pStyle w:val="04"/>
              <w:rPr>
                <w:rFonts w:cs="Times New Roman"/>
                <w:lang w:bidi="ar"/>
              </w:rPr>
            </w:pPr>
            <w:r w:rsidRPr="00E67914">
              <w:rPr>
                <w:rFonts w:cs="Times New Roman"/>
                <w:lang w:bidi="ar"/>
              </w:rPr>
              <w:t>7</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547AD9FF" w14:textId="063EC509"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10#</w:t>
            </w:r>
            <w:r w:rsidRPr="00E67914">
              <w:rPr>
                <w:rFonts w:ascii="Times New Roman" w:hAnsi="Times New Roman"/>
                <w:kern w:val="2"/>
                <w:sz w:val="21"/>
                <w:szCs w:val="21"/>
                <w:lang w:eastAsia="zh-CN"/>
              </w:rPr>
              <w:t>居民点</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0809FF68" w14:textId="053F7DCD"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SE</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0297DE40" w14:textId="2E77CD9B"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407</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1735E9D6" w14:textId="77777777" w:rsidR="009952F2" w:rsidRPr="00E67914" w:rsidRDefault="009952F2" w:rsidP="009952F2">
            <w:pPr>
              <w:pStyle w:val="04"/>
              <w:rPr>
                <w:rFonts w:cs="Times New Roman"/>
                <w:lang w:bidi="ar"/>
              </w:rPr>
            </w:pPr>
            <w:r w:rsidRPr="00E67914">
              <w:rPr>
                <w:rFonts w:cs="Times New Roman"/>
                <w:kern w:val="2"/>
              </w:rPr>
              <w:t>居民</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0A586D25" w14:textId="4BF8A15C"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20</w:t>
            </w:r>
            <w:r w:rsidRPr="00E67914">
              <w:rPr>
                <w:rFonts w:ascii="Times New Roman" w:hAnsi="Times New Roman"/>
                <w:kern w:val="2"/>
                <w:sz w:val="21"/>
                <w:szCs w:val="21"/>
              </w:rPr>
              <w:t>户，约</w:t>
            </w:r>
            <w:r w:rsidRPr="00E67914">
              <w:rPr>
                <w:rFonts w:ascii="Times New Roman" w:hAnsi="Times New Roman"/>
                <w:kern w:val="2"/>
                <w:sz w:val="21"/>
                <w:szCs w:val="21"/>
              </w:rPr>
              <w:t>80</w:t>
            </w:r>
            <w:r w:rsidRPr="00E67914">
              <w:rPr>
                <w:rFonts w:ascii="Times New Roman" w:hAnsi="Times New Roman"/>
                <w:kern w:val="2"/>
                <w:sz w:val="21"/>
                <w:szCs w:val="21"/>
              </w:rPr>
              <w:t>人</w:t>
            </w:r>
          </w:p>
        </w:tc>
      </w:tr>
      <w:tr w:rsidR="009952F2" w:rsidRPr="00E67914" w14:paraId="15BBECA7"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9FE4E0"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081C431D" w14:textId="77777777" w:rsidR="009952F2" w:rsidRPr="00E67914" w:rsidRDefault="009952F2" w:rsidP="009952F2">
            <w:pPr>
              <w:pStyle w:val="04"/>
              <w:rPr>
                <w:rFonts w:cs="Times New Roman"/>
                <w:lang w:bidi="ar"/>
              </w:rPr>
            </w:pPr>
            <w:r w:rsidRPr="00E67914">
              <w:rPr>
                <w:rFonts w:cs="Times New Roman"/>
                <w:lang w:bidi="ar"/>
              </w:rPr>
              <w:t>8</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3F476BED" w14:textId="3D94C7C4"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11#</w:t>
            </w:r>
            <w:r w:rsidRPr="00E67914">
              <w:rPr>
                <w:rFonts w:ascii="Times New Roman" w:hAnsi="Times New Roman"/>
                <w:kern w:val="2"/>
                <w:sz w:val="21"/>
                <w:szCs w:val="21"/>
              </w:rPr>
              <w:t>居民点</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32044C60" w14:textId="6FC9D758"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E</w:t>
            </w:r>
          </w:p>
        </w:tc>
        <w:tc>
          <w:tcPr>
            <w:tcW w:w="1316" w:type="dxa"/>
            <w:tcBorders>
              <w:top w:val="single" w:sz="4" w:space="0" w:color="auto"/>
              <w:left w:val="single" w:sz="4" w:space="0" w:color="auto"/>
              <w:bottom w:val="single" w:sz="4" w:space="0" w:color="auto"/>
              <w:right w:val="single" w:sz="4" w:space="0" w:color="auto"/>
            </w:tcBorders>
            <w:shd w:val="clear" w:color="auto" w:fill="auto"/>
            <w:vAlign w:val="center"/>
          </w:tcPr>
          <w:p w14:paraId="69F2BA37" w14:textId="45177E89"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lang w:eastAsia="zh-CN"/>
              </w:rPr>
              <w:t>405</w:t>
            </w:r>
          </w:p>
        </w:tc>
        <w:tc>
          <w:tcPr>
            <w:tcW w:w="970" w:type="dxa"/>
            <w:tcBorders>
              <w:top w:val="single" w:sz="4" w:space="0" w:color="auto"/>
              <w:left w:val="single" w:sz="4" w:space="0" w:color="auto"/>
              <w:bottom w:val="single" w:sz="4" w:space="0" w:color="auto"/>
              <w:right w:val="single" w:sz="4" w:space="0" w:color="auto"/>
            </w:tcBorders>
            <w:shd w:val="clear" w:color="auto" w:fill="auto"/>
            <w:vAlign w:val="center"/>
          </w:tcPr>
          <w:p w14:paraId="1FDECACA" w14:textId="77777777" w:rsidR="009952F2" w:rsidRPr="00E67914" w:rsidRDefault="009952F2" w:rsidP="009952F2">
            <w:pPr>
              <w:pStyle w:val="04"/>
              <w:rPr>
                <w:rFonts w:cs="Times New Roman"/>
                <w:lang w:bidi="ar"/>
              </w:rPr>
            </w:pPr>
            <w:r w:rsidRPr="00E67914">
              <w:rPr>
                <w:rFonts w:cs="Times New Roman"/>
                <w:kern w:val="2"/>
              </w:rPr>
              <w:t>居民</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4116760F" w14:textId="1C5322F6" w:rsidR="009952F2" w:rsidRPr="00E67914" w:rsidRDefault="009952F2" w:rsidP="009952F2">
            <w:pPr>
              <w:jc w:val="center"/>
              <w:rPr>
                <w:rFonts w:ascii="Times New Roman" w:hAnsi="Times New Roman"/>
                <w:kern w:val="2"/>
                <w:sz w:val="21"/>
              </w:rPr>
            </w:pPr>
            <w:r w:rsidRPr="00E67914">
              <w:rPr>
                <w:rFonts w:ascii="Times New Roman" w:hAnsi="Times New Roman"/>
                <w:kern w:val="2"/>
                <w:sz w:val="21"/>
                <w:szCs w:val="21"/>
              </w:rPr>
              <w:t>12</w:t>
            </w:r>
            <w:r w:rsidRPr="00E67914">
              <w:rPr>
                <w:rFonts w:ascii="Times New Roman" w:hAnsi="Times New Roman"/>
                <w:kern w:val="2"/>
                <w:sz w:val="21"/>
                <w:szCs w:val="21"/>
              </w:rPr>
              <w:t>户，约</w:t>
            </w:r>
            <w:r w:rsidRPr="00E67914">
              <w:rPr>
                <w:rFonts w:ascii="Times New Roman" w:hAnsi="Times New Roman"/>
                <w:kern w:val="2"/>
                <w:sz w:val="21"/>
                <w:szCs w:val="21"/>
              </w:rPr>
              <w:t>48</w:t>
            </w:r>
            <w:r w:rsidRPr="00E67914">
              <w:rPr>
                <w:rFonts w:ascii="Times New Roman" w:hAnsi="Times New Roman"/>
                <w:kern w:val="2"/>
                <w:sz w:val="21"/>
                <w:szCs w:val="21"/>
              </w:rPr>
              <w:t>人</w:t>
            </w:r>
          </w:p>
        </w:tc>
      </w:tr>
      <w:tr w:rsidR="009952F2" w:rsidRPr="00E67914" w14:paraId="69E205CB"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16B0B83" w14:textId="77777777" w:rsidR="009952F2" w:rsidRPr="00E67914" w:rsidRDefault="009952F2" w:rsidP="009952F2">
            <w:pPr>
              <w:pStyle w:val="04"/>
              <w:rPr>
                <w:rFonts w:cs="Times New Roman"/>
                <w:sz w:val="20"/>
                <w:szCs w:val="20"/>
              </w:rPr>
            </w:pPr>
          </w:p>
        </w:tc>
        <w:tc>
          <w:tcPr>
            <w:tcW w:w="565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2A59807" w14:textId="77777777" w:rsidR="009952F2" w:rsidRPr="00E67914" w:rsidRDefault="009952F2" w:rsidP="009952F2">
            <w:pPr>
              <w:pStyle w:val="04"/>
              <w:rPr>
                <w:rFonts w:cs="Times New Roman"/>
              </w:rPr>
            </w:pPr>
            <w:r w:rsidRPr="00E67914">
              <w:rPr>
                <w:rFonts w:cs="Times New Roman"/>
                <w:lang w:bidi="ar"/>
              </w:rPr>
              <w:t>项目周边</w:t>
            </w:r>
            <w:r w:rsidRPr="00E67914">
              <w:rPr>
                <w:rFonts w:cs="Times New Roman"/>
                <w:lang w:bidi="ar"/>
              </w:rPr>
              <w:t>500m</w:t>
            </w:r>
            <w:r w:rsidRPr="00E67914">
              <w:rPr>
                <w:rFonts w:cs="Times New Roman"/>
                <w:lang w:bidi="ar"/>
              </w:rPr>
              <w:t>（管线两侧</w:t>
            </w:r>
            <w:r w:rsidRPr="00E67914">
              <w:rPr>
                <w:rFonts w:cs="Times New Roman"/>
                <w:lang w:bidi="ar"/>
              </w:rPr>
              <w:t>200m</w:t>
            </w:r>
            <w:r w:rsidRPr="00E67914">
              <w:rPr>
                <w:rFonts w:cs="Times New Roman"/>
                <w:lang w:bidi="ar"/>
              </w:rPr>
              <w:t>）范围内人口数小计</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15C60CB4" w14:textId="45AF5994" w:rsidR="009952F2" w:rsidRPr="00E67914" w:rsidRDefault="009952F2" w:rsidP="009952F2">
            <w:pPr>
              <w:pStyle w:val="04"/>
              <w:rPr>
                <w:rFonts w:cs="Times New Roman"/>
              </w:rPr>
            </w:pPr>
            <w:r w:rsidRPr="00E67914">
              <w:rPr>
                <w:rFonts w:cs="Times New Roman"/>
                <w:lang w:bidi="ar"/>
              </w:rPr>
              <w:t>约</w:t>
            </w:r>
            <w:r w:rsidRPr="00E67914">
              <w:rPr>
                <w:rFonts w:cs="Times New Roman"/>
                <w:lang w:bidi="ar"/>
              </w:rPr>
              <w:t>320</w:t>
            </w:r>
            <w:r w:rsidRPr="00E67914">
              <w:rPr>
                <w:rFonts w:cs="Times New Roman"/>
                <w:lang w:bidi="ar"/>
              </w:rPr>
              <w:t>人</w:t>
            </w:r>
          </w:p>
        </w:tc>
      </w:tr>
      <w:tr w:rsidR="009952F2" w:rsidRPr="00E67914" w14:paraId="41B4B7C5" w14:textId="77777777" w:rsidTr="009952F2">
        <w:trPr>
          <w:trHeight w:val="454"/>
          <w:jc w:val="center"/>
        </w:trPr>
        <w:tc>
          <w:tcPr>
            <w:tcW w:w="84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F0523A0" w14:textId="77777777" w:rsidR="009952F2" w:rsidRPr="00E67914" w:rsidRDefault="009952F2" w:rsidP="009952F2">
            <w:pPr>
              <w:pStyle w:val="04"/>
              <w:rPr>
                <w:rFonts w:cs="Times New Roman"/>
              </w:rPr>
            </w:pPr>
            <w:r w:rsidRPr="00E67914">
              <w:rPr>
                <w:rFonts w:cs="Times New Roman"/>
                <w:lang w:bidi="ar"/>
              </w:rPr>
              <w:t>地下水</w:t>
            </w: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233473AA" w14:textId="77777777" w:rsidR="009952F2" w:rsidRPr="00E67914" w:rsidRDefault="009952F2" w:rsidP="009952F2">
            <w:pPr>
              <w:pStyle w:val="04"/>
              <w:rPr>
                <w:rFonts w:cs="Times New Roman"/>
              </w:rPr>
            </w:pPr>
            <w:r w:rsidRPr="00E67914">
              <w:rPr>
                <w:rFonts w:cs="Times New Roman"/>
                <w:lang w:bidi="ar"/>
              </w:rPr>
              <w:t>序号</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2E45FFA0" w14:textId="77777777" w:rsidR="009952F2" w:rsidRPr="00E67914" w:rsidRDefault="009952F2" w:rsidP="009952F2">
            <w:pPr>
              <w:pStyle w:val="04"/>
              <w:rPr>
                <w:rFonts w:cs="Times New Roman"/>
              </w:rPr>
            </w:pPr>
            <w:r w:rsidRPr="00E67914">
              <w:rPr>
                <w:rFonts w:cs="Times New Roman"/>
                <w:lang w:bidi="ar"/>
              </w:rPr>
              <w:t>环境敏感区名称</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4E6C5FD0" w14:textId="77777777" w:rsidR="009952F2" w:rsidRPr="00E67914" w:rsidRDefault="009952F2" w:rsidP="009952F2">
            <w:pPr>
              <w:pStyle w:val="04"/>
              <w:rPr>
                <w:rFonts w:cs="Times New Roman"/>
              </w:rPr>
            </w:pPr>
            <w:r w:rsidRPr="00E67914">
              <w:rPr>
                <w:rFonts w:cs="Times New Roman"/>
                <w:lang w:bidi="ar"/>
              </w:rPr>
              <w:t>环境敏感特征</w:t>
            </w:r>
          </w:p>
        </w:tc>
        <w:tc>
          <w:tcPr>
            <w:tcW w:w="22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A47B5E" w14:textId="77777777" w:rsidR="009952F2" w:rsidRPr="00E67914" w:rsidRDefault="009952F2" w:rsidP="009952F2">
            <w:pPr>
              <w:pStyle w:val="04"/>
              <w:rPr>
                <w:rFonts w:cs="Times New Roman"/>
              </w:rPr>
            </w:pPr>
            <w:r w:rsidRPr="00E67914">
              <w:rPr>
                <w:rFonts w:cs="Times New Roman"/>
                <w:lang w:bidi="ar"/>
              </w:rPr>
              <w:t>水质目标</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771D7F97" w14:textId="77777777" w:rsidR="009952F2" w:rsidRPr="00E67914" w:rsidRDefault="009952F2" w:rsidP="009952F2">
            <w:pPr>
              <w:pStyle w:val="04"/>
              <w:rPr>
                <w:rFonts w:cs="Times New Roman"/>
              </w:rPr>
            </w:pPr>
            <w:r w:rsidRPr="00E67914">
              <w:rPr>
                <w:rFonts w:cs="Times New Roman"/>
                <w:lang w:bidi="ar"/>
              </w:rPr>
              <w:t>与场界距离</w:t>
            </w:r>
            <w:r w:rsidRPr="00E67914">
              <w:rPr>
                <w:rFonts w:cs="Times New Roman"/>
                <w:lang w:bidi="ar"/>
              </w:rPr>
              <w:t>/m</w:t>
            </w:r>
          </w:p>
        </w:tc>
      </w:tr>
      <w:tr w:rsidR="009952F2" w:rsidRPr="00E67914" w14:paraId="59CEDC67" w14:textId="77777777" w:rsidTr="009952F2">
        <w:trPr>
          <w:trHeight w:val="454"/>
          <w:jc w:val="center"/>
        </w:trPr>
        <w:tc>
          <w:tcPr>
            <w:tcW w:w="84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FADA68"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4E999974" w14:textId="77777777" w:rsidR="009952F2" w:rsidRPr="00E67914" w:rsidRDefault="009952F2" w:rsidP="009952F2">
            <w:pPr>
              <w:pStyle w:val="04"/>
              <w:rPr>
                <w:rFonts w:cs="Times New Roman"/>
              </w:rPr>
            </w:pPr>
            <w:r w:rsidRPr="00E67914">
              <w:rPr>
                <w:rFonts w:cs="Times New Roman"/>
                <w:lang w:bidi="ar"/>
              </w:rPr>
              <w:t>1</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75A0D087" w14:textId="77777777" w:rsidR="009952F2" w:rsidRPr="00E67914" w:rsidRDefault="009952F2" w:rsidP="009952F2">
            <w:pPr>
              <w:pStyle w:val="04"/>
              <w:rPr>
                <w:rFonts w:cs="Times New Roman"/>
              </w:rPr>
            </w:pPr>
            <w:r w:rsidRPr="00E67914">
              <w:rPr>
                <w:rFonts w:cs="Times New Roman"/>
                <w:lang w:bidi="ar"/>
              </w:rPr>
              <w:t>井场周边出露井泉与浅层地下水</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356CBFA2" w14:textId="77777777" w:rsidR="009952F2" w:rsidRPr="00E67914" w:rsidRDefault="009952F2" w:rsidP="009952F2">
            <w:pPr>
              <w:pStyle w:val="04"/>
              <w:rPr>
                <w:rFonts w:cs="Times New Roman"/>
              </w:rPr>
            </w:pPr>
            <w:r w:rsidRPr="00E67914">
              <w:rPr>
                <w:rFonts w:cs="Times New Roman"/>
                <w:lang w:bidi="ar"/>
              </w:rPr>
              <w:t>分散式地下饮用水源</w:t>
            </w:r>
          </w:p>
        </w:tc>
        <w:tc>
          <w:tcPr>
            <w:tcW w:w="22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00759B" w14:textId="77777777" w:rsidR="009952F2" w:rsidRPr="00E67914" w:rsidRDefault="009952F2" w:rsidP="009952F2">
            <w:pPr>
              <w:pStyle w:val="04"/>
              <w:rPr>
                <w:rFonts w:cs="Times New Roman"/>
              </w:rPr>
            </w:pPr>
            <w:r w:rsidRPr="00E67914">
              <w:rPr>
                <w:rFonts w:cs="Times New Roman"/>
                <w:lang w:bidi="ar"/>
              </w:rPr>
              <w:fldChar w:fldCharType="begin"/>
            </w:r>
            <w:r w:rsidRPr="00E67914">
              <w:rPr>
                <w:rFonts w:cs="Times New Roman"/>
                <w:lang w:bidi="ar"/>
              </w:rPr>
              <w:instrText xml:space="preserve"> = 3 \* ROMAN \* MERGEFORMAT </w:instrText>
            </w:r>
            <w:r w:rsidRPr="00E67914">
              <w:rPr>
                <w:rFonts w:cs="Times New Roman"/>
                <w:lang w:bidi="ar"/>
              </w:rPr>
              <w:fldChar w:fldCharType="separate"/>
            </w:r>
            <w:r w:rsidRPr="00E67914">
              <w:rPr>
                <w:rFonts w:cs="Times New Roman"/>
                <w:lang w:bidi="ar"/>
              </w:rPr>
              <w:t>III</w:t>
            </w:r>
            <w:r w:rsidRPr="00E67914">
              <w:rPr>
                <w:rFonts w:cs="Times New Roman"/>
                <w:lang w:bidi="ar"/>
              </w:rPr>
              <w:fldChar w:fldCharType="end"/>
            </w:r>
            <w:r w:rsidRPr="00E67914">
              <w:rPr>
                <w:rFonts w:cs="Times New Roman"/>
                <w:lang w:bidi="ar"/>
              </w:rPr>
              <w:t>类</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34AC8749" w14:textId="215E71A0" w:rsidR="009952F2" w:rsidRPr="00E67914" w:rsidRDefault="009952F2" w:rsidP="009952F2">
            <w:pPr>
              <w:pStyle w:val="04"/>
              <w:rPr>
                <w:rFonts w:cs="Times New Roman"/>
              </w:rPr>
            </w:pPr>
            <w:r w:rsidRPr="00E67914">
              <w:rPr>
                <w:rFonts w:cs="Times New Roman"/>
                <w:lang w:bidi="ar"/>
              </w:rPr>
              <w:t>0~800</w:t>
            </w:r>
          </w:p>
        </w:tc>
      </w:tr>
      <w:tr w:rsidR="009952F2" w:rsidRPr="00E67914" w14:paraId="0C216819" w14:textId="77777777" w:rsidTr="009952F2">
        <w:trPr>
          <w:trHeight w:val="454"/>
          <w:jc w:val="center"/>
        </w:trPr>
        <w:tc>
          <w:tcPr>
            <w:tcW w:w="848" w:type="dxa"/>
            <w:vMerge w:val="restart"/>
            <w:tcBorders>
              <w:top w:val="single" w:sz="4" w:space="0" w:color="auto"/>
              <w:left w:val="single" w:sz="4" w:space="0" w:color="auto"/>
              <w:right w:val="single" w:sz="4" w:space="0" w:color="auto"/>
            </w:tcBorders>
            <w:shd w:val="clear" w:color="auto" w:fill="auto"/>
            <w:vAlign w:val="center"/>
          </w:tcPr>
          <w:p w14:paraId="6FEA2FEF" w14:textId="77777777" w:rsidR="009952F2" w:rsidRPr="00E67914" w:rsidRDefault="009952F2" w:rsidP="009952F2">
            <w:pPr>
              <w:pStyle w:val="04"/>
              <w:rPr>
                <w:rFonts w:cs="Times New Roman"/>
                <w:sz w:val="20"/>
                <w:szCs w:val="20"/>
              </w:rPr>
            </w:pPr>
            <w:r w:rsidRPr="00E67914">
              <w:rPr>
                <w:rFonts w:cs="Times New Roman"/>
                <w:sz w:val="20"/>
                <w:szCs w:val="20"/>
              </w:rPr>
              <w:t>地表水</w:t>
            </w: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063DDFD6" w14:textId="77777777" w:rsidR="009952F2" w:rsidRPr="00E67914" w:rsidRDefault="009952F2" w:rsidP="009952F2">
            <w:pPr>
              <w:pStyle w:val="04"/>
              <w:rPr>
                <w:rFonts w:cs="Times New Roman"/>
                <w:lang w:bidi="ar"/>
              </w:rPr>
            </w:pPr>
            <w:r w:rsidRPr="00E67914">
              <w:rPr>
                <w:rFonts w:cs="Times New Roman"/>
                <w:lang w:bidi="ar"/>
              </w:rPr>
              <w:t>序号</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0EC0B989" w14:textId="77777777" w:rsidR="009952F2" w:rsidRPr="00E67914" w:rsidRDefault="009952F2" w:rsidP="009952F2">
            <w:pPr>
              <w:pStyle w:val="04"/>
              <w:rPr>
                <w:rFonts w:cs="Times New Roman"/>
                <w:lang w:bidi="ar"/>
              </w:rPr>
            </w:pPr>
            <w:r w:rsidRPr="00E67914">
              <w:rPr>
                <w:rFonts w:cs="Times New Roman"/>
                <w:lang w:bidi="ar"/>
              </w:rPr>
              <w:t>环境敏感区名称</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tcPr>
          <w:p w14:paraId="129A775E" w14:textId="77777777" w:rsidR="009952F2" w:rsidRPr="00E67914" w:rsidRDefault="009952F2" w:rsidP="009952F2">
            <w:pPr>
              <w:pStyle w:val="04"/>
              <w:rPr>
                <w:rFonts w:cs="Times New Roman"/>
                <w:lang w:bidi="ar"/>
              </w:rPr>
            </w:pPr>
            <w:r w:rsidRPr="00E67914">
              <w:rPr>
                <w:rFonts w:cs="Times New Roman"/>
                <w:lang w:bidi="ar"/>
              </w:rPr>
              <w:t>环境敏感特征</w:t>
            </w:r>
          </w:p>
        </w:tc>
        <w:tc>
          <w:tcPr>
            <w:tcW w:w="22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E20646" w14:textId="77777777" w:rsidR="009952F2" w:rsidRPr="00E67914" w:rsidRDefault="009952F2" w:rsidP="009952F2">
            <w:pPr>
              <w:pStyle w:val="04"/>
              <w:rPr>
                <w:rFonts w:cs="Times New Roman"/>
                <w:lang w:bidi="ar"/>
              </w:rPr>
            </w:pPr>
            <w:r w:rsidRPr="00E67914">
              <w:rPr>
                <w:rFonts w:cs="Times New Roman"/>
                <w:lang w:bidi="ar"/>
              </w:rPr>
              <w:t>水质目标</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5C177CF3" w14:textId="77777777" w:rsidR="009952F2" w:rsidRPr="00E67914" w:rsidRDefault="009952F2" w:rsidP="009952F2">
            <w:pPr>
              <w:pStyle w:val="04"/>
              <w:rPr>
                <w:rFonts w:cs="Times New Roman"/>
                <w:lang w:bidi="ar"/>
              </w:rPr>
            </w:pPr>
            <w:r w:rsidRPr="00E67914">
              <w:rPr>
                <w:rFonts w:cs="Times New Roman"/>
                <w:lang w:bidi="ar"/>
              </w:rPr>
              <w:t>与场界距离</w:t>
            </w:r>
            <w:r w:rsidRPr="00E67914">
              <w:rPr>
                <w:rFonts w:cs="Times New Roman"/>
                <w:lang w:bidi="ar"/>
              </w:rPr>
              <w:t>/m</w:t>
            </w:r>
          </w:p>
        </w:tc>
      </w:tr>
      <w:tr w:rsidR="009952F2" w:rsidRPr="00E67914" w14:paraId="579E00A1" w14:textId="77777777" w:rsidTr="009952F2">
        <w:trPr>
          <w:trHeight w:val="454"/>
          <w:jc w:val="center"/>
        </w:trPr>
        <w:tc>
          <w:tcPr>
            <w:tcW w:w="848" w:type="dxa"/>
            <w:vMerge/>
            <w:tcBorders>
              <w:left w:val="single" w:sz="4" w:space="0" w:color="auto"/>
              <w:right w:val="single" w:sz="4" w:space="0" w:color="auto"/>
            </w:tcBorders>
            <w:shd w:val="clear" w:color="auto" w:fill="auto"/>
            <w:vAlign w:val="center"/>
          </w:tcPr>
          <w:p w14:paraId="78A3372F"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2888F771" w14:textId="77777777" w:rsidR="009952F2" w:rsidRPr="00E67914" w:rsidRDefault="009952F2" w:rsidP="009952F2">
            <w:pPr>
              <w:pStyle w:val="04"/>
              <w:rPr>
                <w:rFonts w:cs="Times New Roman"/>
                <w:lang w:bidi="ar"/>
              </w:rPr>
            </w:pPr>
            <w:r w:rsidRPr="00E67914">
              <w:rPr>
                <w:rFonts w:cs="Times New Roman"/>
                <w:lang w:bidi="ar"/>
              </w:rPr>
              <w:t>1</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29897D26" w14:textId="51D53EE8" w:rsidR="009952F2" w:rsidRPr="00E67914" w:rsidRDefault="009952F2" w:rsidP="009952F2">
            <w:pPr>
              <w:pStyle w:val="04"/>
              <w:rPr>
                <w:rFonts w:cs="Times New Roman"/>
                <w:lang w:bidi="ar"/>
              </w:rPr>
            </w:pPr>
            <w:r w:rsidRPr="00E67914">
              <w:rPr>
                <w:rFonts w:cs="Times New Roman"/>
              </w:rPr>
              <w:t>后河</w:t>
            </w:r>
          </w:p>
        </w:tc>
        <w:tc>
          <w:tcPr>
            <w:tcW w:w="1200" w:type="dxa"/>
            <w:vMerge w:val="restart"/>
            <w:tcBorders>
              <w:top w:val="single" w:sz="4" w:space="0" w:color="auto"/>
              <w:left w:val="single" w:sz="4" w:space="0" w:color="auto"/>
              <w:right w:val="single" w:sz="4" w:space="0" w:color="auto"/>
            </w:tcBorders>
            <w:shd w:val="clear" w:color="auto" w:fill="auto"/>
            <w:vAlign w:val="center"/>
          </w:tcPr>
          <w:p w14:paraId="1A92DF24" w14:textId="2DB161AC" w:rsidR="009952F2" w:rsidRPr="00E67914" w:rsidRDefault="009952F2" w:rsidP="009952F2">
            <w:pPr>
              <w:pStyle w:val="04"/>
              <w:rPr>
                <w:rFonts w:cs="Times New Roman"/>
                <w:lang w:bidi="ar"/>
              </w:rPr>
            </w:pPr>
            <w:r w:rsidRPr="00E67914">
              <w:rPr>
                <w:rFonts w:cs="Times New Roman"/>
              </w:rPr>
              <w:t>主要功能为行洪、灌溉</w:t>
            </w:r>
          </w:p>
        </w:tc>
        <w:tc>
          <w:tcPr>
            <w:tcW w:w="22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8734BC" w14:textId="77777777" w:rsidR="009952F2" w:rsidRPr="00E67914" w:rsidRDefault="009952F2" w:rsidP="009952F2">
            <w:pPr>
              <w:pStyle w:val="04"/>
              <w:rPr>
                <w:rFonts w:cs="Times New Roman"/>
                <w:lang w:bidi="ar"/>
              </w:rPr>
            </w:pPr>
            <w:r w:rsidRPr="00E67914">
              <w:rPr>
                <w:rFonts w:cs="Times New Roman"/>
                <w:lang w:bidi="ar"/>
              </w:rPr>
              <w:fldChar w:fldCharType="begin"/>
            </w:r>
            <w:r w:rsidRPr="00E67914">
              <w:rPr>
                <w:rFonts w:cs="Times New Roman"/>
                <w:lang w:bidi="ar"/>
              </w:rPr>
              <w:instrText xml:space="preserve"> = 3 \* ROMAN \* MERGEFORMAT </w:instrText>
            </w:r>
            <w:r w:rsidRPr="00E67914">
              <w:rPr>
                <w:rFonts w:cs="Times New Roman"/>
                <w:lang w:bidi="ar"/>
              </w:rPr>
              <w:fldChar w:fldCharType="separate"/>
            </w:r>
            <w:r w:rsidRPr="00E67914">
              <w:rPr>
                <w:rFonts w:cs="Times New Roman"/>
                <w:lang w:bidi="ar"/>
              </w:rPr>
              <w:t>III</w:t>
            </w:r>
            <w:r w:rsidRPr="00E67914">
              <w:rPr>
                <w:rFonts w:cs="Times New Roman"/>
                <w:lang w:bidi="ar"/>
              </w:rPr>
              <w:fldChar w:fldCharType="end"/>
            </w:r>
            <w:r w:rsidRPr="00E67914">
              <w:rPr>
                <w:rFonts w:cs="Times New Roman"/>
                <w:lang w:bidi="ar"/>
              </w:rPr>
              <w:t>类</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50FEBCCE" w14:textId="0B1CB174" w:rsidR="009952F2" w:rsidRPr="00E67914" w:rsidRDefault="009952F2" w:rsidP="009952F2">
            <w:pPr>
              <w:pStyle w:val="04"/>
              <w:rPr>
                <w:rFonts w:cs="Times New Roman"/>
                <w:lang w:bidi="ar"/>
              </w:rPr>
            </w:pPr>
            <w:r w:rsidRPr="00E67914">
              <w:rPr>
                <w:rFonts w:cs="Times New Roman"/>
              </w:rPr>
              <w:t>位于场区东侧约</w:t>
            </w:r>
            <w:r w:rsidRPr="00E67914">
              <w:rPr>
                <w:rFonts w:cs="Times New Roman"/>
              </w:rPr>
              <w:t>1.6km</w:t>
            </w:r>
            <w:r w:rsidRPr="00E67914">
              <w:rPr>
                <w:rFonts w:cs="Times New Roman"/>
              </w:rPr>
              <w:t>处</w:t>
            </w:r>
          </w:p>
        </w:tc>
      </w:tr>
      <w:tr w:rsidR="009952F2" w:rsidRPr="00E67914" w14:paraId="038978C1" w14:textId="77777777" w:rsidTr="009952F2">
        <w:trPr>
          <w:trHeight w:val="454"/>
          <w:jc w:val="center"/>
        </w:trPr>
        <w:tc>
          <w:tcPr>
            <w:tcW w:w="848" w:type="dxa"/>
            <w:vMerge/>
            <w:tcBorders>
              <w:left w:val="single" w:sz="4" w:space="0" w:color="auto"/>
              <w:right w:val="single" w:sz="4" w:space="0" w:color="auto"/>
            </w:tcBorders>
            <w:shd w:val="clear" w:color="auto" w:fill="auto"/>
            <w:vAlign w:val="center"/>
          </w:tcPr>
          <w:p w14:paraId="638AF980" w14:textId="77777777" w:rsidR="009952F2" w:rsidRPr="00E67914" w:rsidRDefault="009952F2" w:rsidP="009952F2">
            <w:pPr>
              <w:pStyle w:val="04"/>
              <w:rPr>
                <w:rFonts w:cs="Times New Roman"/>
                <w:sz w:val="20"/>
                <w:szCs w:val="20"/>
              </w:rPr>
            </w:pPr>
          </w:p>
        </w:tc>
        <w:tc>
          <w:tcPr>
            <w:tcW w:w="698" w:type="dxa"/>
            <w:tcBorders>
              <w:top w:val="single" w:sz="4" w:space="0" w:color="auto"/>
              <w:left w:val="single" w:sz="4" w:space="0" w:color="auto"/>
              <w:bottom w:val="single" w:sz="4" w:space="0" w:color="auto"/>
              <w:right w:val="single" w:sz="4" w:space="0" w:color="auto"/>
            </w:tcBorders>
            <w:shd w:val="clear" w:color="auto" w:fill="auto"/>
            <w:vAlign w:val="center"/>
          </w:tcPr>
          <w:p w14:paraId="65929B9C" w14:textId="77777777" w:rsidR="009952F2" w:rsidRPr="00E67914" w:rsidRDefault="009952F2" w:rsidP="009952F2">
            <w:pPr>
              <w:pStyle w:val="04"/>
              <w:rPr>
                <w:rFonts w:cs="Times New Roman"/>
                <w:lang w:bidi="ar"/>
              </w:rPr>
            </w:pPr>
            <w:r w:rsidRPr="00E67914">
              <w:rPr>
                <w:rFonts w:cs="Times New Roman"/>
                <w:lang w:bidi="ar"/>
              </w:rPr>
              <w:t>2</w:t>
            </w:r>
          </w:p>
        </w:tc>
        <w:tc>
          <w:tcPr>
            <w:tcW w:w="1466" w:type="dxa"/>
            <w:tcBorders>
              <w:top w:val="single" w:sz="4" w:space="0" w:color="auto"/>
              <w:left w:val="single" w:sz="4" w:space="0" w:color="auto"/>
              <w:bottom w:val="single" w:sz="4" w:space="0" w:color="auto"/>
              <w:right w:val="single" w:sz="4" w:space="0" w:color="auto"/>
            </w:tcBorders>
            <w:shd w:val="clear" w:color="auto" w:fill="auto"/>
            <w:vAlign w:val="center"/>
          </w:tcPr>
          <w:p w14:paraId="44689008" w14:textId="01F0BDCE" w:rsidR="009952F2" w:rsidRPr="00E67914" w:rsidRDefault="009952F2" w:rsidP="009952F2">
            <w:pPr>
              <w:pStyle w:val="04"/>
              <w:rPr>
                <w:rFonts w:cs="Times New Roman"/>
                <w:lang w:bidi="ar"/>
              </w:rPr>
            </w:pPr>
            <w:r w:rsidRPr="00E67914">
              <w:rPr>
                <w:rFonts w:cs="Times New Roman"/>
              </w:rPr>
              <w:t>冲沟</w:t>
            </w:r>
          </w:p>
        </w:tc>
        <w:tc>
          <w:tcPr>
            <w:tcW w:w="1200" w:type="dxa"/>
            <w:vMerge/>
            <w:tcBorders>
              <w:left w:val="single" w:sz="4" w:space="0" w:color="auto"/>
              <w:right w:val="single" w:sz="4" w:space="0" w:color="auto"/>
            </w:tcBorders>
            <w:shd w:val="clear" w:color="auto" w:fill="auto"/>
            <w:vAlign w:val="center"/>
          </w:tcPr>
          <w:p w14:paraId="7A6A4D02" w14:textId="77777777" w:rsidR="009952F2" w:rsidRPr="00E67914" w:rsidRDefault="009952F2" w:rsidP="009952F2">
            <w:pPr>
              <w:pStyle w:val="04"/>
              <w:rPr>
                <w:rFonts w:cs="Times New Roman"/>
                <w:lang w:bidi="ar"/>
              </w:rPr>
            </w:pPr>
          </w:p>
        </w:tc>
        <w:tc>
          <w:tcPr>
            <w:tcW w:w="22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193837" w14:textId="77777777" w:rsidR="009952F2" w:rsidRPr="00E67914" w:rsidRDefault="009952F2" w:rsidP="009952F2">
            <w:pPr>
              <w:pStyle w:val="04"/>
              <w:rPr>
                <w:rFonts w:cs="Times New Roman"/>
                <w:lang w:bidi="ar"/>
              </w:rPr>
            </w:pPr>
            <w:r w:rsidRPr="00E67914">
              <w:rPr>
                <w:rFonts w:cs="Times New Roman"/>
                <w:lang w:bidi="ar"/>
              </w:rPr>
              <w:fldChar w:fldCharType="begin"/>
            </w:r>
            <w:r w:rsidRPr="00E67914">
              <w:rPr>
                <w:rFonts w:cs="Times New Roman"/>
                <w:lang w:bidi="ar"/>
              </w:rPr>
              <w:instrText xml:space="preserve"> = 3 \* ROMAN \* MERGEFORMAT </w:instrText>
            </w:r>
            <w:r w:rsidRPr="00E67914">
              <w:rPr>
                <w:rFonts w:cs="Times New Roman"/>
                <w:lang w:bidi="ar"/>
              </w:rPr>
              <w:fldChar w:fldCharType="separate"/>
            </w:r>
            <w:r w:rsidRPr="00E67914">
              <w:rPr>
                <w:rFonts w:cs="Times New Roman"/>
                <w:lang w:bidi="ar"/>
              </w:rPr>
              <w:t>III</w:t>
            </w:r>
            <w:r w:rsidRPr="00E67914">
              <w:rPr>
                <w:rFonts w:cs="Times New Roman"/>
                <w:lang w:bidi="ar"/>
              </w:rPr>
              <w:fldChar w:fldCharType="end"/>
            </w:r>
            <w:r w:rsidRPr="00E67914">
              <w:rPr>
                <w:rFonts w:cs="Times New Roman"/>
                <w:lang w:bidi="ar"/>
              </w:rPr>
              <w:t>类</w:t>
            </w:r>
          </w:p>
        </w:tc>
        <w:tc>
          <w:tcPr>
            <w:tcW w:w="1553" w:type="dxa"/>
            <w:tcBorders>
              <w:top w:val="single" w:sz="4" w:space="0" w:color="auto"/>
              <w:left w:val="single" w:sz="4" w:space="0" w:color="auto"/>
              <w:bottom w:val="single" w:sz="4" w:space="0" w:color="auto"/>
              <w:right w:val="single" w:sz="4" w:space="0" w:color="auto"/>
            </w:tcBorders>
            <w:shd w:val="clear" w:color="auto" w:fill="auto"/>
            <w:vAlign w:val="center"/>
          </w:tcPr>
          <w:p w14:paraId="718E84CC" w14:textId="6577E125" w:rsidR="009952F2" w:rsidRPr="00E67914" w:rsidRDefault="009952F2" w:rsidP="009952F2">
            <w:pPr>
              <w:pStyle w:val="04"/>
              <w:rPr>
                <w:rFonts w:cs="Times New Roman"/>
                <w:lang w:bidi="ar"/>
              </w:rPr>
            </w:pPr>
            <w:r w:rsidRPr="00E67914">
              <w:rPr>
                <w:rFonts w:cs="Times New Roman"/>
              </w:rPr>
              <w:t>位于场区南侧约</w:t>
            </w:r>
            <w:r w:rsidRPr="00E67914">
              <w:rPr>
                <w:rFonts w:cs="Times New Roman"/>
              </w:rPr>
              <w:t>800m</w:t>
            </w:r>
            <w:r w:rsidRPr="00E67914">
              <w:rPr>
                <w:rFonts w:cs="Times New Roman"/>
              </w:rPr>
              <w:t>处（外输管线南侧约</w:t>
            </w:r>
            <w:r w:rsidRPr="00E67914">
              <w:rPr>
                <w:rFonts w:cs="Times New Roman"/>
              </w:rPr>
              <w:t>400m</w:t>
            </w:r>
            <w:r w:rsidRPr="00E67914">
              <w:rPr>
                <w:rFonts w:cs="Times New Roman"/>
              </w:rPr>
              <w:t>）</w:t>
            </w:r>
          </w:p>
        </w:tc>
      </w:tr>
    </w:tbl>
    <w:p w14:paraId="78142AF7" w14:textId="77777777" w:rsidR="00A54A8A" w:rsidRPr="00E67914" w:rsidRDefault="00000000">
      <w:pPr>
        <w:pStyle w:val="2"/>
        <w:keepNext w:val="0"/>
        <w:keepLines w:val="0"/>
        <w:widowControl w:val="0"/>
        <w:kinsoku w:val="0"/>
        <w:spacing w:beforeLines="50" w:before="120"/>
        <w:ind w:firstLine="480"/>
        <w:rPr>
          <w:szCs w:val="24"/>
          <w:lang w:eastAsia="zh-CN"/>
        </w:rPr>
      </w:pPr>
      <w:bookmarkStart w:id="53" w:name="_Toc148654218"/>
      <w:r w:rsidRPr="00E67914">
        <w:rPr>
          <w:szCs w:val="24"/>
          <w:lang w:eastAsia="zh-CN"/>
        </w:rPr>
        <w:t>2.10</w:t>
      </w:r>
      <w:r w:rsidRPr="00E67914">
        <w:rPr>
          <w:szCs w:val="24"/>
          <w:lang w:eastAsia="zh-CN"/>
        </w:rPr>
        <w:t>工程方案的合理性分析</w:t>
      </w:r>
      <w:bookmarkEnd w:id="53"/>
    </w:p>
    <w:p w14:paraId="38C14FF9" w14:textId="28F20320"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2.10.1</w:t>
      </w:r>
      <w:r w:rsidRPr="00E67914">
        <w:rPr>
          <w:rFonts w:ascii="Times New Roman" w:eastAsia="黑体" w:hAnsi="Times New Roman"/>
          <w:b w:val="0"/>
          <w:sz w:val="24"/>
          <w:szCs w:val="24"/>
          <w:lang w:eastAsia="zh-CN"/>
        </w:rPr>
        <w:t>项目选址</w:t>
      </w:r>
      <w:r w:rsidR="00871DFB" w:rsidRPr="00E67914">
        <w:rPr>
          <w:rFonts w:ascii="Times New Roman" w:eastAsia="黑体" w:hAnsi="Times New Roman"/>
          <w:b w:val="0"/>
          <w:sz w:val="24"/>
          <w:szCs w:val="24"/>
          <w:lang w:eastAsia="zh-CN"/>
        </w:rPr>
        <w:t>选线</w:t>
      </w:r>
      <w:r w:rsidRPr="00E67914">
        <w:rPr>
          <w:rFonts w:ascii="Times New Roman" w:eastAsia="黑体" w:hAnsi="Times New Roman"/>
          <w:b w:val="0"/>
          <w:sz w:val="24"/>
          <w:szCs w:val="24"/>
          <w:lang w:eastAsia="zh-CN"/>
        </w:rPr>
        <w:t>合理性分析</w:t>
      </w:r>
    </w:p>
    <w:p w14:paraId="6B25E23D" w14:textId="77777777" w:rsidR="00A54A8A" w:rsidRPr="00E67914" w:rsidRDefault="00000000">
      <w:pPr>
        <w:widowControl w:val="0"/>
        <w:tabs>
          <w:tab w:val="left" w:pos="0"/>
        </w:tabs>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根据《钻前工程及井场布置技术要求</w:t>
      </w:r>
      <w:r w:rsidRPr="00E67914">
        <w:rPr>
          <w:rFonts w:ascii="Times New Roman" w:hAnsi="Times New Roman"/>
          <w:bCs/>
          <w:kern w:val="2"/>
          <w:sz w:val="24"/>
          <w:szCs w:val="24"/>
          <w:lang w:eastAsia="zh-CN"/>
        </w:rPr>
        <w:t>SY/T5466-2013</w:t>
      </w:r>
      <w:r w:rsidRPr="00E67914">
        <w:rPr>
          <w:rFonts w:ascii="Times New Roman" w:hAnsi="Times New Roman"/>
          <w:bCs/>
          <w:kern w:val="2"/>
          <w:sz w:val="24"/>
          <w:szCs w:val="24"/>
          <w:lang w:eastAsia="zh-CN"/>
        </w:rPr>
        <w:t>》、《石油天然气钻井井控技术规范》（</w:t>
      </w:r>
      <w:r w:rsidRPr="00E67914">
        <w:rPr>
          <w:rFonts w:ascii="Times New Roman" w:hAnsi="Times New Roman"/>
          <w:bCs/>
          <w:kern w:val="2"/>
          <w:sz w:val="24"/>
          <w:szCs w:val="24"/>
          <w:lang w:eastAsia="zh-CN"/>
        </w:rPr>
        <w:t>GB/T 31033-2014</w:t>
      </w:r>
      <w:r w:rsidRPr="00E67914">
        <w:rPr>
          <w:rFonts w:ascii="Times New Roman" w:hAnsi="Times New Roman"/>
          <w:bCs/>
          <w:kern w:val="2"/>
          <w:sz w:val="24"/>
          <w:szCs w:val="24"/>
          <w:lang w:eastAsia="zh-CN"/>
        </w:rPr>
        <w:t>）、《钻井井控技术规程》</w:t>
      </w:r>
      <w:r w:rsidRPr="00E67914">
        <w:rPr>
          <w:rFonts w:ascii="Times New Roman" w:hAnsi="Times New Roman"/>
          <w:bCs/>
          <w:kern w:val="2"/>
          <w:sz w:val="24"/>
          <w:szCs w:val="24"/>
          <w:lang w:eastAsia="zh-CN"/>
        </w:rPr>
        <w:t>(SY/T6426-2005)</w:t>
      </w:r>
      <w:r w:rsidRPr="00E67914">
        <w:rPr>
          <w:rFonts w:ascii="Times New Roman" w:hAnsi="Times New Roman"/>
          <w:bCs/>
          <w:kern w:val="2"/>
          <w:sz w:val="24"/>
          <w:szCs w:val="24"/>
          <w:lang w:eastAsia="zh-CN"/>
        </w:rPr>
        <w:t>等规定：油气井井口距高压线及其他永久性设施不小于</w:t>
      </w:r>
      <w:r w:rsidRPr="00E67914">
        <w:rPr>
          <w:rFonts w:ascii="Times New Roman" w:hAnsi="Times New Roman"/>
          <w:bCs/>
          <w:kern w:val="2"/>
          <w:sz w:val="24"/>
          <w:szCs w:val="24"/>
          <w:lang w:eastAsia="zh-CN"/>
        </w:rPr>
        <w:t>75m</w:t>
      </w:r>
      <w:r w:rsidRPr="00E67914">
        <w:rPr>
          <w:rFonts w:ascii="Times New Roman" w:hAnsi="Times New Roman"/>
          <w:bCs/>
          <w:kern w:val="2"/>
          <w:sz w:val="24"/>
          <w:szCs w:val="24"/>
          <w:lang w:eastAsia="zh-CN"/>
        </w:rPr>
        <w:t>，距民宅不小于</w:t>
      </w:r>
      <w:r w:rsidRPr="00E67914">
        <w:rPr>
          <w:rFonts w:ascii="Times New Roman" w:hAnsi="Times New Roman"/>
          <w:bCs/>
          <w:kern w:val="2"/>
          <w:sz w:val="24"/>
          <w:szCs w:val="24"/>
          <w:lang w:eastAsia="zh-CN"/>
        </w:rPr>
        <w:t>100m</w:t>
      </w:r>
      <w:r w:rsidRPr="00E67914">
        <w:rPr>
          <w:rFonts w:ascii="Times New Roman" w:hAnsi="Times New Roman"/>
          <w:bCs/>
          <w:kern w:val="2"/>
          <w:sz w:val="24"/>
          <w:szCs w:val="24"/>
          <w:lang w:eastAsia="zh-CN"/>
        </w:rPr>
        <w:t>，距铁路、高速公路不小于</w:t>
      </w:r>
      <w:r w:rsidRPr="00E67914">
        <w:rPr>
          <w:rFonts w:ascii="Times New Roman" w:hAnsi="Times New Roman"/>
          <w:bCs/>
          <w:kern w:val="2"/>
          <w:sz w:val="24"/>
          <w:szCs w:val="24"/>
          <w:lang w:eastAsia="zh-CN"/>
        </w:rPr>
        <w:t>200m</w:t>
      </w:r>
      <w:r w:rsidRPr="00E67914">
        <w:rPr>
          <w:rFonts w:ascii="Times New Roman" w:hAnsi="Times New Roman"/>
          <w:bCs/>
          <w:kern w:val="2"/>
          <w:sz w:val="24"/>
          <w:szCs w:val="24"/>
          <w:lang w:eastAsia="zh-CN"/>
        </w:rPr>
        <w:t>，距学校、医院和大型油库等人口密集性、高危性场所不小于</w:t>
      </w:r>
      <w:r w:rsidRPr="00E67914">
        <w:rPr>
          <w:rFonts w:ascii="Times New Roman" w:hAnsi="Times New Roman"/>
          <w:bCs/>
          <w:kern w:val="2"/>
          <w:sz w:val="24"/>
          <w:szCs w:val="24"/>
          <w:lang w:eastAsia="zh-CN"/>
        </w:rPr>
        <w:t>500m</w:t>
      </w:r>
      <w:r w:rsidRPr="00E67914">
        <w:rPr>
          <w:rFonts w:ascii="Times New Roman" w:hAnsi="Times New Roman"/>
          <w:bCs/>
          <w:kern w:val="2"/>
          <w:sz w:val="24"/>
          <w:szCs w:val="24"/>
          <w:lang w:eastAsia="zh-CN"/>
        </w:rPr>
        <w:t>。根据现场调查，项目井口与各设施的距离及符合性分析见下表。</w:t>
      </w:r>
    </w:p>
    <w:p w14:paraId="276535BF"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2.10-1  </w:t>
      </w:r>
      <w:r w:rsidRPr="00E67914">
        <w:rPr>
          <w:rFonts w:ascii="Times New Roman" w:eastAsia="黑体" w:hAnsi="Times New Roman"/>
          <w:sz w:val="21"/>
          <w:szCs w:val="21"/>
          <w:lang w:eastAsia="zh-CN"/>
        </w:rPr>
        <w:t>本项目井口与各设施距离</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1275"/>
        <w:gridCol w:w="2835"/>
        <w:gridCol w:w="1462"/>
      </w:tblGrid>
      <w:tr w:rsidR="002662E3" w:rsidRPr="00E67914" w14:paraId="06B5C2CC" w14:textId="77777777">
        <w:trPr>
          <w:jc w:val="center"/>
        </w:trPr>
        <w:tc>
          <w:tcPr>
            <w:tcW w:w="2650" w:type="dxa"/>
            <w:vAlign w:val="center"/>
          </w:tcPr>
          <w:p w14:paraId="70CBB65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名称</w:t>
            </w:r>
          </w:p>
        </w:tc>
        <w:tc>
          <w:tcPr>
            <w:tcW w:w="1275" w:type="dxa"/>
            <w:vAlign w:val="center"/>
          </w:tcPr>
          <w:p w14:paraId="521E9B7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钻前工程井场技术要求</w:t>
            </w:r>
          </w:p>
        </w:tc>
        <w:tc>
          <w:tcPr>
            <w:tcW w:w="2835" w:type="dxa"/>
            <w:vAlign w:val="center"/>
          </w:tcPr>
          <w:p w14:paraId="7B3F143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本工程是否涉及居民区、铁路等，以及距井口距离</w:t>
            </w:r>
          </w:p>
        </w:tc>
        <w:tc>
          <w:tcPr>
            <w:tcW w:w="1462" w:type="dxa"/>
            <w:vAlign w:val="center"/>
          </w:tcPr>
          <w:p w14:paraId="3DF8A3E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是否满足钻前技术要求</w:t>
            </w:r>
          </w:p>
        </w:tc>
      </w:tr>
      <w:tr w:rsidR="002662E3" w:rsidRPr="00E67914" w14:paraId="2C6F09EF" w14:textId="77777777">
        <w:trPr>
          <w:jc w:val="center"/>
        </w:trPr>
        <w:tc>
          <w:tcPr>
            <w:tcW w:w="2650" w:type="dxa"/>
            <w:vAlign w:val="center"/>
          </w:tcPr>
          <w:p w14:paraId="05FEBDB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高压线及其他永久性设施</w:t>
            </w:r>
          </w:p>
        </w:tc>
        <w:tc>
          <w:tcPr>
            <w:tcW w:w="1275" w:type="dxa"/>
            <w:vAlign w:val="center"/>
          </w:tcPr>
          <w:p w14:paraId="18C0D26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≥75m</w:t>
            </w:r>
          </w:p>
        </w:tc>
        <w:tc>
          <w:tcPr>
            <w:tcW w:w="2835" w:type="dxa"/>
            <w:vAlign w:val="center"/>
          </w:tcPr>
          <w:p w14:paraId="38546062"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75m</w:t>
            </w:r>
            <w:r w:rsidRPr="00E67914">
              <w:rPr>
                <w:rFonts w:ascii="Times New Roman" w:hAnsi="Times New Roman"/>
                <w:sz w:val="21"/>
                <w:szCs w:val="21"/>
                <w:lang w:eastAsia="zh-CN"/>
              </w:rPr>
              <w:t>范围内不涉及</w:t>
            </w:r>
          </w:p>
        </w:tc>
        <w:tc>
          <w:tcPr>
            <w:tcW w:w="1462" w:type="dxa"/>
            <w:vAlign w:val="center"/>
          </w:tcPr>
          <w:p w14:paraId="1802547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满足要求</w:t>
            </w:r>
          </w:p>
        </w:tc>
      </w:tr>
      <w:tr w:rsidR="002662E3" w:rsidRPr="00E67914" w14:paraId="2EBDF92F" w14:textId="77777777">
        <w:trPr>
          <w:jc w:val="center"/>
        </w:trPr>
        <w:tc>
          <w:tcPr>
            <w:tcW w:w="2650" w:type="dxa"/>
            <w:vAlign w:val="center"/>
          </w:tcPr>
          <w:p w14:paraId="3ADCF23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民宅</w:t>
            </w:r>
          </w:p>
        </w:tc>
        <w:tc>
          <w:tcPr>
            <w:tcW w:w="1275" w:type="dxa"/>
            <w:vAlign w:val="center"/>
          </w:tcPr>
          <w:p w14:paraId="4944DA0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≥100m</w:t>
            </w:r>
          </w:p>
        </w:tc>
        <w:tc>
          <w:tcPr>
            <w:tcW w:w="2835" w:type="dxa"/>
            <w:vAlign w:val="center"/>
          </w:tcPr>
          <w:p w14:paraId="716D4BA1"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100m</w:t>
            </w:r>
            <w:r w:rsidRPr="00E67914">
              <w:rPr>
                <w:rFonts w:ascii="Times New Roman" w:hAnsi="Times New Roman"/>
                <w:sz w:val="21"/>
                <w:szCs w:val="21"/>
                <w:lang w:eastAsia="zh-CN"/>
              </w:rPr>
              <w:t>内无民房</w:t>
            </w:r>
          </w:p>
        </w:tc>
        <w:tc>
          <w:tcPr>
            <w:tcW w:w="1462" w:type="dxa"/>
            <w:vAlign w:val="center"/>
          </w:tcPr>
          <w:p w14:paraId="08FB60D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满足要求</w:t>
            </w:r>
          </w:p>
        </w:tc>
      </w:tr>
      <w:tr w:rsidR="002662E3" w:rsidRPr="00E67914" w14:paraId="5417F8A9" w14:textId="77777777">
        <w:trPr>
          <w:jc w:val="center"/>
        </w:trPr>
        <w:tc>
          <w:tcPr>
            <w:tcW w:w="2650" w:type="dxa"/>
            <w:vAlign w:val="center"/>
          </w:tcPr>
          <w:p w14:paraId="490D4FF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铁路</w:t>
            </w:r>
          </w:p>
        </w:tc>
        <w:tc>
          <w:tcPr>
            <w:tcW w:w="1275" w:type="dxa"/>
            <w:vAlign w:val="center"/>
          </w:tcPr>
          <w:p w14:paraId="1EC0E8E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≥200m</w:t>
            </w:r>
          </w:p>
        </w:tc>
        <w:tc>
          <w:tcPr>
            <w:tcW w:w="2835" w:type="dxa"/>
            <w:vAlign w:val="center"/>
          </w:tcPr>
          <w:p w14:paraId="69B2E42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200m</w:t>
            </w:r>
            <w:r w:rsidRPr="00E67914">
              <w:rPr>
                <w:rFonts w:ascii="Times New Roman" w:hAnsi="Times New Roman"/>
                <w:sz w:val="21"/>
                <w:szCs w:val="21"/>
                <w:lang w:eastAsia="zh-CN"/>
              </w:rPr>
              <w:t>范围内不涉及</w:t>
            </w:r>
          </w:p>
        </w:tc>
        <w:tc>
          <w:tcPr>
            <w:tcW w:w="1462" w:type="dxa"/>
            <w:vAlign w:val="center"/>
          </w:tcPr>
          <w:p w14:paraId="0EE7223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满足要求</w:t>
            </w:r>
          </w:p>
        </w:tc>
      </w:tr>
      <w:tr w:rsidR="002662E3" w:rsidRPr="00E67914" w14:paraId="0C62F0B5" w14:textId="77777777">
        <w:trPr>
          <w:jc w:val="center"/>
        </w:trPr>
        <w:tc>
          <w:tcPr>
            <w:tcW w:w="2650" w:type="dxa"/>
            <w:vAlign w:val="center"/>
          </w:tcPr>
          <w:p w14:paraId="36AB481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高速公路</w:t>
            </w:r>
          </w:p>
        </w:tc>
        <w:tc>
          <w:tcPr>
            <w:tcW w:w="1275" w:type="dxa"/>
            <w:vAlign w:val="center"/>
          </w:tcPr>
          <w:p w14:paraId="63F91B8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≥200m</w:t>
            </w:r>
          </w:p>
        </w:tc>
        <w:tc>
          <w:tcPr>
            <w:tcW w:w="2835" w:type="dxa"/>
            <w:vAlign w:val="center"/>
          </w:tcPr>
          <w:p w14:paraId="66A2ECD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200m</w:t>
            </w:r>
            <w:r w:rsidRPr="00E67914">
              <w:rPr>
                <w:rFonts w:ascii="Times New Roman" w:hAnsi="Times New Roman"/>
                <w:sz w:val="21"/>
                <w:szCs w:val="21"/>
                <w:lang w:eastAsia="zh-CN"/>
              </w:rPr>
              <w:t>范围内不涉及</w:t>
            </w:r>
          </w:p>
        </w:tc>
        <w:tc>
          <w:tcPr>
            <w:tcW w:w="1462" w:type="dxa"/>
            <w:vAlign w:val="center"/>
          </w:tcPr>
          <w:p w14:paraId="13645D7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满足要求</w:t>
            </w:r>
          </w:p>
        </w:tc>
      </w:tr>
      <w:tr w:rsidR="002662E3" w:rsidRPr="00E67914" w14:paraId="260F1D0A" w14:textId="77777777">
        <w:trPr>
          <w:jc w:val="center"/>
        </w:trPr>
        <w:tc>
          <w:tcPr>
            <w:tcW w:w="2650" w:type="dxa"/>
            <w:vAlign w:val="center"/>
          </w:tcPr>
          <w:p w14:paraId="4AB90BF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学校</w:t>
            </w:r>
          </w:p>
        </w:tc>
        <w:tc>
          <w:tcPr>
            <w:tcW w:w="1275" w:type="dxa"/>
            <w:vAlign w:val="center"/>
          </w:tcPr>
          <w:p w14:paraId="380E10F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≥500m</w:t>
            </w:r>
          </w:p>
        </w:tc>
        <w:tc>
          <w:tcPr>
            <w:tcW w:w="2835" w:type="dxa"/>
            <w:vAlign w:val="center"/>
          </w:tcPr>
          <w:p w14:paraId="0EAE0A6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500m</w:t>
            </w:r>
            <w:r w:rsidRPr="00E67914">
              <w:rPr>
                <w:rFonts w:ascii="Times New Roman" w:hAnsi="Times New Roman"/>
                <w:sz w:val="21"/>
                <w:szCs w:val="21"/>
                <w:lang w:eastAsia="zh-CN"/>
              </w:rPr>
              <w:t>范围内不涉及</w:t>
            </w:r>
          </w:p>
        </w:tc>
        <w:tc>
          <w:tcPr>
            <w:tcW w:w="1462" w:type="dxa"/>
            <w:vAlign w:val="center"/>
          </w:tcPr>
          <w:p w14:paraId="45D20B7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满足要求</w:t>
            </w:r>
          </w:p>
        </w:tc>
      </w:tr>
      <w:tr w:rsidR="002662E3" w:rsidRPr="00E67914" w14:paraId="1A9D641C" w14:textId="77777777">
        <w:trPr>
          <w:jc w:val="center"/>
        </w:trPr>
        <w:tc>
          <w:tcPr>
            <w:tcW w:w="2650" w:type="dxa"/>
            <w:vAlign w:val="center"/>
          </w:tcPr>
          <w:p w14:paraId="2CD9DAA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医院</w:t>
            </w:r>
          </w:p>
        </w:tc>
        <w:tc>
          <w:tcPr>
            <w:tcW w:w="1275" w:type="dxa"/>
            <w:vAlign w:val="center"/>
          </w:tcPr>
          <w:p w14:paraId="3CA71B1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≥500m</w:t>
            </w:r>
          </w:p>
        </w:tc>
        <w:tc>
          <w:tcPr>
            <w:tcW w:w="2835" w:type="dxa"/>
            <w:vAlign w:val="center"/>
          </w:tcPr>
          <w:p w14:paraId="71C6AE3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500m</w:t>
            </w:r>
            <w:r w:rsidRPr="00E67914">
              <w:rPr>
                <w:rFonts w:ascii="Times New Roman" w:hAnsi="Times New Roman"/>
                <w:sz w:val="21"/>
                <w:szCs w:val="21"/>
              </w:rPr>
              <w:t>范围内不涉及</w:t>
            </w:r>
          </w:p>
        </w:tc>
        <w:tc>
          <w:tcPr>
            <w:tcW w:w="1462" w:type="dxa"/>
            <w:vAlign w:val="center"/>
          </w:tcPr>
          <w:p w14:paraId="6E179AE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满足要求</w:t>
            </w:r>
          </w:p>
        </w:tc>
      </w:tr>
      <w:tr w:rsidR="002662E3" w:rsidRPr="00E67914" w14:paraId="6F4287AE" w14:textId="77777777">
        <w:trPr>
          <w:jc w:val="center"/>
        </w:trPr>
        <w:tc>
          <w:tcPr>
            <w:tcW w:w="2650" w:type="dxa"/>
            <w:vAlign w:val="center"/>
          </w:tcPr>
          <w:p w14:paraId="23164CD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油库等高危险场所</w:t>
            </w:r>
          </w:p>
        </w:tc>
        <w:tc>
          <w:tcPr>
            <w:tcW w:w="1275" w:type="dxa"/>
            <w:vAlign w:val="center"/>
          </w:tcPr>
          <w:p w14:paraId="298E45D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≥500m</w:t>
            </w:r>
          </w:p>
        </w:tc>
        <w:tc>
          <w:tcPr>
            <w:tcW w:w="2835" w:type="dxa"/>
            <w:vAlign w:val="center"/>
          </w:tcPr>
          <w:p w14:paraId="521B423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500m</w:t>
            </w:r>
            <w:r w:rsidRPr="00E67914">
              <w:rPr>
                <w:rFonts w:ascii="Times New Roman" w:hAnsi="Times New Roman"/>
                <w:sz w:val="21"/>
                <w:szCs w:val="21"/>
              </w:rPr>
              <w:t>范围内不涉及</w:t>
            </w:r>
          </w:p>
        </w:tc>
        <w:tc>
          <w:tcPr>
            <w:tcW w:w="1462" w:type="dxa"/>
            <w:vAlign w:val="center"/>
          </w:tcPr>
          <w:p w14:paraId="7AC83FB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满足要求</w:t>
            </w:r>
          </w:p>
        </w:tc>
      </w:tr>
      <w:tr w:rsidR="002662E3" w:rsidRPr="00E67914" w14:paraId="14946BD4" w14:textId="77777777">
        <w:trPr>
          <w:jc w:val="center"/>
        </w:trPr>
        <w:tc>
          <w:tcPr>
            <w:tcW w:w="2650" w:type="dxa"/>
            <w:vAlign w:val="center"/>
          </w:tcPr>
          <w:p w14:paraId="665C23C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集中居住地等人口密集区</w:t>
            </w:r>
          </w:p>
        </w:tc>
        <w:tc>
          <w:tcPr>
            <w:tcW w:w="1275" w:type="dxa"/>
            <w:vAlign w:val="center"/>
          </w:tcPr>
          <w:p w14:paraId="77D690F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≥500m</w:t>
            </w:r>
          </w:p>
        </w:tc>
        <w:tc>
          <w:tcPr>
            <w:tcW w:w="2835" w:type="dxa"/>
            <w:vAlign w:val="center"/>
          </w:tcPr>
          <w:p w14:paraId="7D83581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500m</w:t>
            </w:r>
            <w:r w:rsidRPr="00E67914">
              <w:rPr>
                <w:rFonts w:ascii="Times New Roman" w:hAnsi="Times New Roman"/>
                <w:sz w:val="21"/>
                <w:szCs w:val="21"/>
              </w:rPr>
              <w:t>范围内不涉及</w:t>
            </w:r>
          </w:p>
        </w:tc>
        <w:tc>
          <w:tcPr>
            <w:tcW w:w="1462" w:type="dxa"/>
            <w:vAlign w:val="center"/>
          </w:tcPr>
          <w:p w14:paraId="32D79C5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满足要求</w:t>
            </w:r>
          </w:p>
        </w:tc>
      </w:tr>
    </w:tbl>
    <w:p w14:paraId="1CF9516D" w14:textId="77777777" w:rsidR="00A54A8A" w:rsidRPr="00E67914" w:rsidRDefault="00000000">
      <w:pPr>
        <w:adjustRightInd w:val="0"/>
        <w:snapToGrid w:val="0"/>
        <w:spacing w:beforeLines="50" w:before="120"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由上表可知，项目井口与各项设施的距离均满足《钻前工程及井场布置技术要求</w:t>
      </w:r>
      <w:r w:rsidRPr="00E67914">
        <w:rPr>
          <w:rFonts w:ascii="Times New Roman" w:hAnsi="Times New Roman"/>
          <w:bCs/>
          <w:sz w:val="24"/>
          <w:lang w:eastAsia="zh-CN"/>
        </w:rPr>
        <w:t>SY/T5466-2013</w:t>
      </w:r>
      <w:r w:rsidRPr="00E67914">
        <w:rPr>
          <w:rFonts w:ascii="Times New Roman" w:hAnsi="Times New Roman"/>
          <w:bCs/>
          <w:sz w:val="24"/>
          <w:lang w:eastAsia="zh-CN"/>
        </w:rPr>
        <w:t>》、《石油天然气钻井井控技术规范》（</w:t>
      </w:r>
      <w:r w:rsidRPr="00E67914">
        <w:rPr>
          <w:rFonts w:ascii="Times New Roman" w:hAnsi="Times New Roman"/>
          <w:bCs/>
          <w:sz w:val="24"/>
          <w:lang w:eastAsia="zh-CN"/>
        </w:rPr>
        <w:t>GB/T31033-2014</w:t>
      </w:r>
      <w:r w:rsidRPr="00E67914">
        <w:rPr>
          <w:rFonts w:ascii="Times New Roman" w:hAnsi="Times New Roman"/>
          <w:bCs/>
          <w:sz w:val="24"/>
          <w:lang w:eastAsia="zh-CN"/>
        </w:rPr>
        <w:t>）、《钻井井控技术规程》</w:t>
      </w:r>
      <w:r w:rsidRPr="00E67914">
        <w:rPr>
          <w:rFonts w:ascii="Times New Roman" w:hAnsi="Times New Roman"/>
          <w:bCs/>
          <w:sz w:val="24"/>
          <w:lang w:eastAsia="zh-CN"/>
        </w:rPr>
        <w:t>(SY/T6426-2005)</w:t>
      </w:r>
      <w:r w:rsidRPr="00E67914">
        <w:rPr>
          <w:rFonts w:ascii="Times New Roman" w:hAnsi="Times New Roman"/>
          <w:bCs/>
          <w:sz w:val="24"/>
          <w:lang w:eastAsia="zh-CN"/>
        </w:rPr>
        <w:t>等中规定的要求。</w:t>
      </w:r>
    </w:p>
    <w:p w14:paraId="23B578E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根据现场调查，本项目处于农村环境，本项目试采期井站为五级站场，周围</w:t>
      </w:r>
      <w:r w:rsidRPr="00E67914">
        <w:rPr>
          <w:rFonts w:ascii="Times New Roman" w:hAnsi="Times New Roman"/>
          <w:sz w:val="24"/>
          <w:lang w:eastAsia="zh-CN"/>
        </w:rPr>
        <w:t>50m</w:t>
      </w:r>
      <w:r w:rsidRPr="00E67914">
        <w:rPr>
          <w:rFonts w:ascii="Times New Roman" w:hAnsi="Times New Roman"/>
          <w:sz w:val="24"/>
          <w:lang w:eastAsia="zh-CN"/>
        </w:rPr>
        <w:t>范围内无</w:t>
      </w:r>
      <w:r w:rsidRPr="00E67914">
        <w:rPr>
          <w:rFonts w:ascii="Times New Roman" w:hAnsi="Times New Roman"/>
          <w:sz w:val="24"/>
          <w:lang w:eastAsia="zh-CN"/>
        </w:rPr>
        <w:t>100</w:t>
      </w:r>
      <w:r w:rsidRPr="00E67914">
        <w:rPr>
          <w:rFonts w:ascii="Times New Roman" w:hAnsi="Times New Roman"/>
          <w:sz w:val="24"/>
          <w:lang w:eastAsia="zh-CN"/>
        </w:rPr>
        <w:t>人以下的散居房屋和</w:t>
      </w:r>
      <w:r w:rsidRPr="00E67914">
        <w:rPr>
          <w:rFonts w:ascii="Times New Roman" w:hAnsi="Times New Roman"/>
          <w:sz w:val="24"/>
          <w:lang w:eastAsia="zh-CN"/>
        </w:rPr>
        <w:t>100</w:t>
      </w:r>
      <w:r w:rsidRPr="00E67914">
        <w:rPr>
          <w:rFonts w:ascii="Times New Roman" w:hAnsi="Times New Roman"/>
          <w:sz w:val="24"/>
          <w:lang w:eastAsia="zh-CN"/>
        </w:rPr>
        <w:t>人以上的居住区、厂矿企业、</w:t>
      </w:r>
      <w:r w:rsidRPr="00E67914">
        <w:rPr>
          <w:rFonts w:ascii="Times New Roman" w:hAnsi="Times New Roman"/>
          <w:sz w:val="24"/>
          <w:lang w:eastAsia="zh-CN"/>
        </w:rPr>
        <w:t>35kV</w:t>
      </w:r>
      <w:r w:rsidRPr="00E67914">
        <w:rPr>
          <w:rFonts w:ascii="Times New Roman" w:hAnsi="Times New Roman"/>
          <w:sz w:val="24"/>
          <w:lang w:eastAsia="zh-CN"/>
        </w:rPr>
        <w:t>及以上独立变电所、无林地、无高速公路和铁路、无架空电力线路，</w:t>
      </w:r>
      <w:r w:rsidRPr="00E67914">
        <w:rPr>
          <w:rFonts w:ascii="Times New Roman" w:hAnsi="Times New Roman"/>
          <w:sz w:val="24"/>
          <w:lang w:eastAsia="zh-CN"/>
        </w:rPr>
        <w:t>300m</w:t>
      </w:r>
      <w:r w:rsidRPr="00E67914">
        <w:rPr>
          <w:rFonts w:ascii="Times New Roman" w:hAnsi="Times New Roman"/>
          <w:sz w:val="24"/>
          <w:lang w:eastAsia="zh-CN"/>
        </w:rPr>
        <w:t>范围内无爆炸作业场地，满足《石油天然气工程设计防火规范》（</w:t>
      </w:r>
      <w:r w:rsidRPr="00E67914">
        <w:rPr>
          <w:rFonts w:ascii="Times New Roman" w:hAnsi="Times New Roman"/>
          <w:sz w:val="24"/>
          <w:lang w:eastAsia="zh-CN"/>
        </w:rPr>
        <w:t>GB50183-2004</w:t>
      </w:r>
      <w:r w:rsidRPr="00E67914">
        <w:rPr>
          <w:rFonts w:ascii="Times New Roman" w:hAnsi="Times New Roman"/>
          <w:sz w:val="24"/>
          <w:lang w:eastAsia="zh-CN"/>
        </w:rPr>
        <w:t>）等要求。</w:t>
      </w:r>
    </w:p>
    <w:p w14:paraId="03ECC3AA" w14:textId="4AF89159" w:rsidR="00A54A8A" w:rsidRPr="00E67914" w:rsidRDefault="00000000" w:rsidP="006B1BB8">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拟建项目选址</w:t>
      </w:r>
      <w:r w:rsidR="009952F2" w:rsidRPr="00E67914">
        <w:rPr>
          <w:rFonts w:ascii="Times New Roman" w:hAnsi="Times New Roman"/>
          <w:bCs/>
          <w:sz w:val="24"/>
          <w:lang w:eastAsia="zh-CN"/>
        </w:rPr>
        <w:t>及管线沿线</w:t>
      </w:r>
      <w:r w:rsidRPr="00E67914">
        <w:rPr>
          <w:rFonts w:ascii="Times New Roman" w:hAnsi="Times New Roman"/>
          <w:bCs/>
          <w:sz w:val="24"/>
          <w:lang w:eastAsia="zh-CN"/>
        </w:rPr>
        <w:t>无泉眼、地下暗河等控制性水点分布，不涉及各类保护区即环境敏感区，符合规划和国土管理方面的规定，其选址比较理想。选址位于当地城镇规划区外，不涉及环境敏感区，符合</w:t>
      </w:r>
      <w:r w:rsidRPr="00E67914">
        <w:rPr>
          <w:rFonts w:ascii="Times New Roman" w:hAnsi="Times New Roman"/>
          <w:bCs/>
          <w:sz w:val="24"/>
          <w:lang w:eastAsia="zh-CN"/>
        </w:rPr>
        <w:t>“</w:t>
      </w:r>
      <w:r w:rsidRPr="00E67914">
        <w:rPr>
          <w:rFonts w:ascii="Times New Roman" w:hAnsi="Times New Roman"/>
          <w:bCs/>
          <w:sz w:val="24"/>
          <w:lang w:eastAsia="zh-CN"/>
        </w:rPr>
        <w:t>三线一单</w:t>
      </w:r>
      <w:r w:rsidRPr="00E67914">
        <w:rPr>
          <w:rFonts w:ascii="Times New Roman" w:hAnsi="Times New Roman"/>
          <w:bCs/>
          <w:sz w:val="24"/>
          <w:lang w:eastAsia="zh-CN"/>
        </w:rPr>
        <w:t>”</w:t>
      </w:r>
      <w:r w:rsidRPr="00E67914">
        <w:rPr>
          <w:rFonts w:ascii="Times New Roman" w:hAnsi="Times New Roman"/>
          <w:bCs/>
          <w:sz w:val="24"/>
          <w:lang w:eastAsia="zh-CN"/>
        </w:rPr>
        <w:t>管控要求</w:t>
      </w:r>
      <w:r w:rsidR="006B1BB8" w:rsidRPr="00E67914">
        <w:rPr>
          <w:rFonts w:ascii="Times New Roman" w:hAnsi="Times New Roman"/>
          <w:bCs/>
          <w:sz w:val="24"/>
          <w:lang w:eastAsia="zh-CN"/>
        </w:rPr>
        <w:t>。</w:t>
      </w:r>
      <w:r w:rsidRPr="00E67914">
        <w:rPr>
          <w:rFonts w:ascii="Times New Roman" w:hAnsi="Times New Roman"/>
          <w:bCs/>
          <w:sz w:val="24"/>
          <w:lang w:eastAsia="zh-CN"/>
        </w:rPr>
        <w:t>因此项目选址合理。</w:t>
      </w:r>
    </w:p>
    <w:p w14:paraId="2D1B00A3"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54" w:name="_Hlk49360744"/>
      <w:r w:rsidRPr="00E67914">
        <w:rPr>
          <w:rFonts w:ascii="Times New Roman" w:eastAsia="黑体" w:hAnsi="Times New Roman"/>
          <w:b w:val="0"/>
          <w:sz w:val="24"/>
          <w:szCs w:val="24"/>
          <w:lang w:eastAsia="zh-CN"/>
        </w:rPr>
        <w:lastRenderedPageBreak/>
        <w:t>2.10.2</w:t>
      </w:r>
      <w:r w:rsidRPr="00E67914">
        <w:rPr>
          <w:rFonts w:ascii="Times New Roman" w:eastAsia="黑体" w:hAnsi="Times New Roman"/>
          <w:b w:val="0"/>
          <w:sz w:val="24"/>
          <w:szCs w:val="24"/>
          <w:lang w:eastAsia="zh-CN"/>
        </w:rPr>
        <w:t>平面布置合理性分析</w:t>
      </w:r>
    </w:p>
    <w:p w14:paraId="7FF449AC" w14:textId="1070FEBC"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1</w:t>
      </w:r>
      <w:r w:rsidRPr="00E67914">
        <w:rPr>
          <w:rFonts w:ascii="Times New Roman" w:eastAsia="黑体" w:hAnsi="Times New Roman"/>
          <w:bCs/>
          <w:kern w:val="2"/>
          <w:sz w:val="24"/>
          <w:szCs w:val="24"/>
          <w:lang w:eastAsia="zh-CN"/>
        </w:rPr>
        <w:t>、钻井工程平面布局合理性分析</w:t>
      </w:r>
    </w:p>
    <w:p w14:paraId="59BB513B" w14:textId="4FDD64D3"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sz w:val="21"/>
          <w:szCs w:val="21"/>
          <w:lang w:eastAsia="zh-CN"/>
        </w:rPr>
      </w:pPr>
      <w:r w:rsidRPr="00E67914">
        <w:rPr>
          <w:rFonts w:ascii="Times New Roman" w:hAnsi="Times New Roman"/>
          <w:bCs/>
          <w:kern w:val="2"/>
          <w:sz w:val="24"/>
          <w:szCs w:val="24"/>
          <w:lang w:eastAsia="zh-CN"/>
        </w:rPr>
        <w:t>本项目</w:t>
      </w:r>
      <w:r w:rsidR="00FF7B95" w:rsidRPr="00E67914">
        <w:rPr>
          <w:rFonts w:ascii="Times New Roman" w:hAnsi="Times New Roman"/>
          <w:bCs/>
          <w:kern w:val="2"/>
          <w:sz w:val="24"/>
          <w:szCs w:val="24"/>
          <w:lang w:eastAsia="zh-CN"/>
        </w:rPr>
        <w:t>钻井工程新建新普陆页</w:t>
      </w:r>
      <w:r w:rsidR="00FF7B95" w:rsidRPr="00E67914">
        <w:rPr>
          <w:rFonts w:ascii="Times New Roman" w:hAnsi="Times New Roman"/>
          <w:bCs/>
          <w:kern w:val="2"/>
          <w:sz w:val="24"/>
          <w:szCs w:val="24"/>
          <w:lang w:eastAsia="zh-CN"/>
        </w:rPr>
        <w:t>2</w:t>
      </w:r>
      <w:r w:rsidR="00FF7B95" w:rsidRPr="00E67914">
        <w:rPr>
          <w:rFonts w:ascii="Times New Roman" w:hAnsi="Times New Roman"/>
          <w:bCs/>
          <w:kern w:val="2"/>
          <w:sz w:val="24"/>
          <w:szCs w:val="24"/>
          <w:lang w:eastAsia="zh-CN"/>
        </w:rPr>
        <w:t>井场，普陆页</w:t>
      </w:r>
      <w:r w:rsidR="00FF7B95" w:rsidRPr="00E67914">
        <w:rPr>
          <w:rFonts w:ascii="Times New Roman" w:hAnsi="Times New Roman"/>
          <w:bCs/>
          <w:kern w:val="2"/>
          <w:sz w:val="24"/>
          <w:szCs w:val="24"/>
          <w:lang w:eastAsia="zh-CN"/>
        </w:rPr>
        <w:t>2</w:t>
      </w:r>
      <w:r w:rsidR="00FF7B95" w:rsidRPr="00E67914">
        <w:rPr>
          <w:rFonts w:ascii="Times New Roman" w:hAnsi="Times New Roman"/>
          <w:bCs/>
          <w:kern w:val="2"/>
          <w:sz w:val="24"/>
          <w:szCs w:val="24"/>
          <w:lang w:eastAsia="zh-CN"/>
        </w:rPr>
        <w:t>井场内新建</w:t>
      </w:r>
      <w:r w:rsidR="00FF7B95" w:rsidRPr="00E67914">
        <w:rPr>
          <w:rFonts w:ascii="Times New Roman" w:hAnsi="Times New Roman"/>
          <w:bCs/>
          <w:kern w:val="2"/>
          <w:sz w:val="24"/>
          <w:szCs w:val="24"/>
          <w:lang w:eastAsia="zh-CN"/>
        </w:rPr>
        <w:t>3</w:t>
      </w:r>
      <w:r w:rsidR="00FF7B95" w:rsidRPr="00E67914">
        <w:rPr>
          <w:rFonts w:ascii="Times New Roman" w:hAnsi="Times New Roman"/>
          <w:bCs/>
          <w:kern w:val="2"/>
          <w:sz w:val="24"/>
          <w:szCs w:val="24"/>
          <w:lang w:eastAsia="zh-CN"/>
        </w:rPr>
        <w:t>口</w:t>
      </w:r>
      <w:r w:rsidR="0014745F" w:rsidRPr="00E67914">
        <w:rPr>
          <w:rFonts w:ascii="Times New Roman" w:hAnsi="Times New Roman"/>
          <w:bCs/>
          <w:kern w:val="2"/>
          <w:sz w:val="24"/>
          <w:szCs w:val="24"/>
          <w:lang w:eastAsia="zh-CN"/>
        </w:rPr>
        <w:t>试验井</w:t>
      </w:r>
      <w:r w:rsidR="007E6B0C" w:rsidRPr="00E67914">
        <w:rPr>
          <w:rFonts w:ascii="Times New Roman" w:hAnsi="Times New Roman"/>
          <w:bCs/>
          <w:kern w:val="2"/>
          <w:sz w:val="24"/>
          <w:szCs w:val="24"/>
          <w:lang w:eastAsia="zh-CN"/>
        </w:rPr>
        <w:t>，井口距离</w:t>
      </w:r>
      <w:r w:rsidR="00FF7B95" w:rsidRPr="00E67914">
        <w:rPr>
          <w:rFonts w:ascii="Times New Roman" w:hAnsi="Times New Roman"/>
          <w:bCs/>
          <w:kern w:val="2"/>
          <w:sz w:val="24"/>
          <w:szCs w:val="24"/>
          <w:lang w:eastAsia="zh-CN"/>
        </w:rPr>
        <w:t>约</w:t>
      </w:r>
      <w:r w:rsidR="00FF7B95" w:rsidRPr="00E67914">
        <w:rPr>
          <w:rFonts w:ascii="Times New Roman" w:hAnsi="Times New Roman"/>
          <w:bCs/>
          <w:kern w:val="2"/>
          <w:sz w:val="24"/>
          <w:szCs w:val="24"/>
          <w:lang w:eastAsia="zh-CN"/>
        </w:rPr>
        <w:t>6</w:t>
      </w:r>
      <w:r w:rsidR="007E6B0C"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。钻井井场沿西</w:t>
      </w:r>
      <w:r w:rsidR="00FF7B95" w:rsidRPr="00E67914">
        <w:rPr>
          <w:rFonts w:ascii="Times New Roman" w:hAnsi="Times New Roman"/>
          <w:bCs/>
          <w:kern w:val="2"/>
          <w:sz w:val="24"/>
          <w:szCs w:val="24"/>
          <w:lang w:eastAsia="zh-CN"/>
        </w:rPr>
        <w:t>南</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东</w:t>
      </w:r>
      <w:r w:rsidR="00FF7B95" w:rsidRPr="00E67914">
        <w:rPr>
          <w:rFonts w:ascii="Times New Roman" w:hAnsi="Times New Roman"/>
          <w:bCs/>
          <w:kern w:val="2"/>
          <w:sz w:val="24"/>
          <w:szCs w:val="24"/>
          <w:lang w:eastAsia="zh-CN"/>
        </w:rPr>
        <w:t>北</w:t>
      </w:r>
      <w:r w:rsidRPr="00E67914">
        <w:rPr>
          <w:rFonts w:ascii="Times New Roman" w:hAnsi="Times New Roman"/>
          <w:bCs/>
          <w:kern w:val="2"/>
          <w:sz w:val="24"/>
          <w:szCs w:val="24"/>
          <w:lang w:eastAsia="zh-CN"/>
        </w:rPr>
        <w:t>方向布置，井场长约</w:t>
      </w:r>
      <w:r w:rsidRPr="00E67914">
        <w:rPr>
          <w:rFonts w:ascii="Times New Roman" w:hAnsi="Times New Roman"/>
          <w:bCs/>
          <w:kern w:val="2"/>
          <w:sz w:val="24"/>
          <w:szCs w:val="24"/>
          <w:lang w:eastAsia="zh-CN"/>
        </w:rPr>
        <w:t>1</w:t>
      </w:r>
      <w:r w:rsidR="00FF7B95"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0m</w:t>
      </w:r>
      <w:r w:rsidRPr="00E67914">
        <w:rPr>
          <w:rFonts w:ascii="Times New Roman" w:hAnsi="Times New Roman"/>
          <w:bCs/>
          <w:kern w:val="2"/>
          <w:sz w:val="24"/>
          <w:szCs w:val="24"/>
          <w:lang w:eastAsia="zh-CN"/>
        </w:rPr>
        <w:t>，宽约</w:t>
      </w:r>
      <w:r w:rsidRPr="00E67914">
        <w:rPr>
          <w:rFonts w:ascii="Times New Roman" w:hAnsi="Times New Roman"/>
          <w:bCs/>
          <w:kern w:val="2"/>
          <w:sz w:val="24"/>
          <w:szCs w:val="24"/>
          <w:lang w:eastAsia="zh-CN"/>
        </w:rPr>
        <w:t>5</w:t>
      </w:r>
      <w:r w:rsidR="00FF7B95" w:rsidRPr="00E67914">
        <w:rPr>
          <w:rFonts w:ascii="Times New Roman" w:hAnsi="Times New Roman"/>
          <w:bCs/>
          <w:kern w:val="2"/>
          <w:sz w:val="24"/>
          <w:szCs w:val="24"/>
          <w:lang w:eastAsia="zh-CN"/>
        </w:rPr>
        <w:t>0</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w:t>
      </w:r>
      <w:r w:rsidR="00FF7B95" w:rsidRPr="00E67914">
        <w:rPr>
          <w:rFonts w:ascii="Times New Roman" w:hAnsi="Times New Roman"/>
          <w:bCs/>
          <w:kern w:val="2"/>
          <w:sz w:val="24"/>
          <w:szCs w:val="24"/>
          <w:lang w:eastAsia="zh-CN"/>
        </w:rPr>
        <w:t>依托的老普陆页</w:t>
      </w:r>
      <w:r w:rsidR="00FF7B95" w:rsidRPr="00E67914">
        <w:rPr>
          <w:rFonts w:ascii="Times New Roman" w:hAnsi="Times New Roman"/>
          <w:bCs/>
          <w:kern w:val="2"/>
          <w:sz w:val="24"/>
          <w:szCs w:val="24"/>
          <w:lang w:eastAsia="zh-CN"/>
        </w:rPr>
        <w:t>2</w:t>
      </w:r>
      <w:r w:rsidR="00FF7B95" w:rsidRPr="00E67914">
        <w:rPr>
          <w:rFonts w:ascii="Times New Roman" w:hAnsi="Times New Roman"/>
          <w:bCs/>
          <w:kern w:val="2"/>
          <w:sz w:val="24"/>
          <w:szCs w:val="24"/>
          <w:lang w:eastAsia="zh-CN"/>
        </w:rPr>
        <w:t>井场</w:t>
      </w:r>
      <w:r w:rsidRPr="00E67914">
        <w:rPr>
          <w:rFonts w:ascii="Times New Roman" w:hAnsi="Times New Roman"/>
          <w:bCs/>
          <w:kern w:val="2"/>
          <w:sz w:val="24"/>
          <w:szCs w:val="24"/>
          <w:lang w:eastAsia="zh-CN"/>
        </w:rPr>
        <w:t>已建放喷池位于井场外</w:t>
      </w:r>
      <w:r w:rsidR="00FF7B95" w:rsidRPr="00E67914">
        <w:rPr>
          <w:rFonts w:ascii="Times New Roman" w:hAnsi="Times New Roman"/>
          <w:bCs/>
          <w:kern w:val="2"/>
          <w:sz w:val="24"/>
          <w:szCs w:val="24"/>
          <w:lang w:eastAsia="zh-CN"/>
        </w:rPr>
        <w:t>东南</w:t>
      </w:r>
      <w:r w:rsidRPr="00E67914">
        <w:rPr>
          <w:rFonts w:ascii="Times New Roman" w:hAnsi="Times New Roman"/>
          <w:bCs/>
          <w:kern w:val="2"/>
          <w:sz w:val="24"/>
          <w:szCs w:val="24"/>
          <w:lang w:eastAsia="zh-CN"/>
        </w:rPr>
        <w:t>侧，距离井口约</w:t>
      </w:r>
      <w:r w:rsidR="00FF7B95" w:rsidRPr="00E67914">
        <w:rPr>
          <w:rFonts w:ascii="Times New Roman" w:hAnsi="Times New Roman"/>
          <w:bCs/>
          <w:kern w:val="2"/>
          <w:sz w:val="24"/>
          <w:szCs w:val="24"/>
          <w:lang w:eastAsia="zh-CN"/>
        </w:rPr>
        <w:t>188</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，开口朝向北侧方向设置；进场道路</w:t>
      </w:r>
      <w:r w:rsidR="00FF7B95" w:rsidRPr="00E67914">
        <w:rPr>
          <w:rFonts w:ascii="Times New Roman" w:hAnsi="Times New Roman"/>
          <w:bCs/>
          <w:kern w:val="2"/>
          <w:sz w:val="24"/>
          <w:szCs w:val="24"/>
          <w:lang w:eastAsia="zh-CN"/>
        </w:rPr>
        <w:t>位于西南侧</w:t>
      </w:r>
      <w:r w:rsidRPr="00E67914">
        <w:rPr>
          <w:rFonts w:ascii="Times New Roman" w:hAnsi="Times New Roman"/>
          <w:bCs/>
          <w:kern w:val="2"/>
          <w:sz w:val="24"/>
          <w:szCs w:val="24"/>
          <w:lang w:eastAsia="zh-CN"/>
        </w:rPr>
        <w:t>，从东南侧乡村道路接入，路基宽</w:t>
      </w:r>
      <w:r w:rsidRPr="00E67914">
        <w:rPr>
          <w:rFonts w:ascii="Times New Roman" w:hAnsi="Times New Roman"/>
          <w:bCs/>
          <w:kern w:val="2"/>
          <w:sz w:val="24"/>
          <w:szCs w:val="24"/>
          <w:lang w:eastAsia="zh-CN"/>
        </w:rPr>
        <w:t>4.5m</w:t>
      </w:r>
      <w:r w:rsidRPr="00E67914">
        <w:rPr>
          <w:rFonts w:ascii="Times New Roman" w:hAnsi="Times New Roman"/>
          <w:bCs/>
          <w:kern w:val="2"/>
          <w:sz w:val="24"/>
          <w:szCs w:val="24"/>
          <w:lang w:eastAsia="zh-CN"/>
        </w:rPr>
        <w:t>，总长度约</w:t>
      </w:r>
      <w:r w:rsidR="00FF7B95" w:rsidRPr="00E67914">
        <w:rPr>
          <w:rFonts w:ascii="Times New Roman" w:hAnsi="Times New Roman"/>
          <w:bCs/>
          <w:kern w:val="2"/>
          <w:sz w:val="24"/>
          <w:szCs w:val="24"/>
          <w:lang w:eastAsia="zh-CN"/>
        </w:rPr>
        <w:t>1</w:t>
      </w:r>
      <w:r w:rsidR="00FC6C4D"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0m</w:t>
      </w:r>
      <w:r w:rsidR="00FF7B95" w:rsidRPr="00E67914">
        <w:rPr>
          <w:rFonts w:ascii="Times New Roman" w:hAnsi="Times New Roman"/>
          <w:bCs/>
          <w:kern w:val="2"/>
          <w:sz w:val="24"/>
          <w:szCs w:val="24"/>
          <w:lang w:eastAsia="zh-CN"/>
        </w:rPr>
        <w:t>；</w:t>
      </w:r>
      <w:r w:rsidR="00FF7B95" w:rsidRPr="00E67914">
        <w:rPr>
          <w:rFonts w:ascii="Times New Roman" w:hAnsi="Times New Roman"/>
          <w:bCs/>
          <w:kern w:val="2"/>
          <w:sz w:val="24"/>
          <w:szCs w:val="24"/>
          <w:lang w:eastAsia="zh-CN"/>
        </w:rPr>
        <w:t>600m</w:t>
      </w:r>
      <w:r w:rsidR="00FF7B95" w:rsidRPr="00E67914">
        <w:rPr>
          <w:rFonts w:ascii="Times New Roman" w:hAnsi="Times New Roman"/>
          <w:bCs/>
          <w:kern w:val="2"/>
          <w:sz w:val="24"/>
          <w:szCs w:val="24"/>
          <w:vertAlign w:val="superscript"/>
          <w:lang w:eastAsia="zh-CN"/>
        </w:rPr>
        <w:t>3</w:t>
      </w:r>
      <w:r w:rsidR="00FF7B95" w:rsidRPr="00E67914">
        <w:rPr>
          <w:rFonts w:ascii="Times New Roman" w:hAnsi="Times New Roman"/>
          <w:bCs/>
          <w:kern w:val="2"/>
          <w:sz w:val="24"/>
          <w:szCs w:val="24"/>
          <w:lang w:eastAsia="zh-CN"/>
        </w:rPr>
        <w:t>清水池在井场东南侧布置紧邻布置</w:t>
      </w:r>
      <w:r w:rsidRPr="00E67914">
        <w:rPr>
          <w:rFonts w:ascii="Times New Roman" w:hAnsi="Times New Roman"/>
          <w:bCs/>
          <w:kern w:val="2"/>
          <w:sz w:val="24"/>
          <w:szCs w:val="24"/>
          <w:lang w:eastAsia="zh-CN"/>
        </w:rPr>
        <w:t>。</w:t>
      </w:r>
    </w:p>
    <w:p w14:paraId="597165D7" w14:textId="3E3C6AB1"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总的来说，本项目钻井施工期平面布置按照《钻前工程及井场布置技术要求》</w:t>
      </w:r>
      <w:r w:rsidRPr="00E67914">
        <w:rPr>
          <w:rFonts w:ascii="Times New Roman" w:hAnsi="Times New Roman"/>
          <w:bCs/>
          <w:kern w:val="2"/>
          <w:sz w:val="24"/>
          <w:szCs w:val="24"/>
          <w:lang w:eastAsia="zh-CN"/>
        </w:rPr>
        <w:t>(SY/T5466-2013)</w:t>
      </w:r>
      <w:r w:rsidRPr="00E67914">
        <w:rPr>
          <w:rFonts w:ascii="Times New Roman" w:hAnsi="Times New Roman"/>
          <w:bCs/>
          <w:kern w:val="2"/>
          <w:sz w:val="24"/>
          <w:szCs w:val="24"/>
          <w:lang w:eastAsia="zh-CN"/>
        </w:rPr>
        <w:t>、《石油与天然气钻井、开发、储运防火防爆安全生产管理规定》</w:t>
      </w:r>
      <w:r w:rsidRPr="00E67914">
        <w:rPr>
          <w:rFonts w:ascii="Times New Roman" w:hAnsi="Times New Roman"/>
          <w:bCs/>
          <w:kern w:val="2"/>
          <w:sz w:val="24"/>
          <w:szCs w:val="24"/>
          <w:lang w:eastAsia="zh-CN"/>
        </w:rPr>
        <w:t>(SY5225-2019)</w:t>
      </w:r>
      <w:r w:rsidRPr="00E67914">
        <w:rPr>
          <w:rFonts w:ascii="Times New Roman" w:hAnsi="Times New Roman"/>
          <w:bCs/>
          <w:kern w:val="2"/>
          <w:sz w:val="24"/>
          <w:szCs w:val="24"/>
          <w:lang w:eastAsia="zh-CN"/>
        </w:rPr>
        <w:t>、《石油天然气工程设计防火规范》（</w:t>
      </w:r>
      <w:r w:rsidRPr="00E67914">
        <w:rPr>
          <w:rFonts w:ascii="Times New Roman" w:hAnsi="Times New Roman"/>
          <w:bCs/>
          <w:kern w:val="2"/>
          <w:sz w:val="24"/>
          <w:szCs w:val="24"/>
          <w:lang w:eastAsia="zh-CN"/>
        </w:rPr>
        <w:t>GB50183-2004</w:t>
      </w:r>
      <w:r w:rsidRPr="00E67914">
        <w:rPr>
          <w:rFonts w:ascii="Times New Roman" w:hAnsi="Times New Roman"/>
          <w:bCs/>
          <w:kern w:val="2"/>
          <w:sz w:val="24"/>
          <w:szCs w:val="24"/>
          <w:lang w:eastAsia="zh-CN"/>
        </w:rPr>
        <w:t>）等石油和天然气行业标准的要求进行，钻井井场主要包括井控台、柴油发电机组、泥浆循环系统、泥浆泵、泥浆不落地装置、值班室、技术房、油罐区等。井场外设置有放喷池</w:t>
      </w:r>
      <w:r w:rsidR="00FF7B95" w:rsidRPr="00E67914">
        <w:rPr>
          <w:rFonts w:ascii="Times New Roman" w:hAnsi="Times New Roman"/>
          <w:bCs/>
          <w:kern w:val="2"/>
          <w:sz w:val="24"/>
          <w:szCs w:val="24"/>
          <w:lang w:eastAsia="zh-CN"/>
        </w:rPr>
        <w:t>、清水池</w:t>
      </w:r>
      <w:r w:rsidRPr="00E67914">
        <w:rPr>
          <w:rFonts w:ascii="Times New Roman" w:hAnsi="Times New Roman"/>
          <w:bCs/>
          <w:kern w:val="2"/>
          <w:sz w:val="24"/>
          <w:szCs w:val="24"/>
          <w:lang w:eastAsia="zh-CN"/>
        </w:rPr>
        <w:t>等。井场平面布置满足防火、安全间距要求，各工程连通顺畅，尽量减少了占地，降低了钻前工程工程量，施工期钻井工程布局是合理的。</w:t>
      </w:r>
    </w:p>
    <w:p w14:paraId="6E5CCEEF" w14:textId="2F184A89" w:rsidR="00A54A8A" w:rsidRPr="00E67914" w:rsidRDefault="00FF7B95">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bookmarkStart w:id="55" w:name="_Hlk77261674"/>
      <w:r w:rsidRPr="00E67914">
        <w:rPr>
          <w:rFonts w:ascii="Times New Roman" w:hAnsi="Times New Roman"/>
          <w:bCs/>
          <w:kern w:val="2"/>
          <w:sz w:val="24"/>
          <w:szCs w:val="24"/>
          <w:lang w:eastAsia="zh-CN"/>
        </w:rPr>
        <w:t>拟建三口井位于井场靠近中央区域，</w:t>
      </w:r>
      <w:bookmarkEnd w:id="55"/>
      <w:r w:rsidRPr="00E67914">
        <w:rPr>
          <w:rFonts w:ascii="Times New Roman" w:hAnsi="Times New Roman"/>
          <w:bCs/>
          <w:kern w:val="2"/>
          <w:sz w:val="24"/>
          <w:szCs w:val="24"/>
          <w:lang w:eastAsia="zh-CN"/>
        </w:rPr>
        <w:t>能确保井口与周边居民点满足《钻前工程及井场布置技术要求》</w:t>
      </w:r>
      <w:r w:rsidRPr="00E67914">
        <w:rPr>
          <w:rFonts w:ascii="Times New Roman" w:hAnsi="Times New Roman"/>
          <w:bCs/>
          <w:kern w:val="2"/>
          <w:sz w:val="24"/>
          <w:szCs w:val="24"/>
          <w:lang w:eastAsia="zh-CN"/>
        </w:rPr>
        <w:t>(SY/T5466-2013)</w:t>
      </w:r>
      <w:r w:rsidRPr="00E67914">
        <w:rPr>
          <w:rFonts w:ascii="Times New Roman" w:hAnsi="Times New Roman"/>
          <w:bCs/>
          <w:kern w:val="2"/>
          <w:sz w:val="24"/>
          <w:szCs w:val="24"/>
          <w:lang w:eastAsia="zh-CN"/>
        </w:rPr>
        <w:t>要求的安全距离。</w:t>
      </w:r>
    </w:p>
    <w:p w14:paraId="797B91E5" w14:textId="77777777" w:rsidR="00A54A8A" w:rsidRPr="00E67914" w:rsidRDefault="00000000">
      <w:pPr>
        <w:widowControl w:val="0"/>
        <w:tabs>
          <w:tab w:val="left" w:pos="0"/>
        </w:tabs>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1</w:t>
      </w:r>
      <w:r w:rsidRPr="00E67914">
        <w:rPr>
          <w:rFonts w:ascii="Times New Roman" w:hAnsi="Times New Roman"/>
          <w:b/>
          <w:kern w:val="2"/>
          <w:sz w:val="24"/>
          <w:szCs w:val="24"/>
          <w:lang w:eastAsia="zh-CN"/>
        </w:rPr>
        <w:t>）噪声源布局合理性分析</w:t>
      </w:r>
    </w:p>
    <w:p w14:paraId="1498EDC3"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本工程井场噪声源布置与《钻前工程及井场布置技术要求》</w:t>
      </w:r>
      <w:r w:rsidRPr="00E67914">
        <w:rPr>
          <w:rFonts w:ascii="Times New Roman" w:hAnsi="Times New Roman"/>
          <w:bCs/>
          <w:kern w:val="2"/>
          <w:sz w:val="24"/>
          <w:szCs w:val="24"/>
          <w:lang w:eastAsia="zh-CN"/>
        </w:rPr>
        <w:t>(SY/T5466-2013)</w:t>
      </w:r>
      <w:r w:rsidRPr="00E67914">
        <w:rPr>
          <w:rFonts w:ascii="Times New Roman" w:hAnsi="Times New Roman"/>
          <w:bCs/>
          <w:kern w:val="2"/>
          <w:sz w:val="24"/>
          <w:szCs w:val="24"/>
          <w:lang w:eastAsia="zh-CN"/>
        </w:rPr>
        <w:t>等相关要求的符合性见下表。</w:t>
      </w:r>
    </w:p>
    <w:p w14:paraId="49E61726"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2.10-2  </w:t>
      </w:r>
      <w:r w:rsidRPr="00E67914">
        <w:rPr>
          <w:rFonts w:ascii="Times New Roman" w:eastAsia="黑体" w:hAnsi="Times New Roman"/>
          <w:sz w:val="21"/>
          <w:szCs w:val="21"/>
          <w:lang w:eastAsia="zh-CN"/>
        </w:rPr>
        <w:t>噪声源布局合理性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3392"/>
        <w:gridCol w:w="2976"/>
        <w:gridCol w:w="895"/>
      </w:tblGrid>
      <w:tr w:rsidR="002662E3" w:rsidRPr="00E67914" w14:paraId="305690BA" w14:textId="77777777">
        <w:trPr>
          <w:jc w:val="center"/>
        </w:trPr>
        <w:tc>
          <w:tcPr>
            <w:tcW w:w="959" w:type="dxa"/>
            <w:vAlign w:val="center"/>
          </w:tcPr>
          <w:p w14:paraId="1B12E752"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井位编号</w:t>
            </w:r>
          </w:p>
        </w:tc>
        <w:tc>
          <w:tcPr>
            <w:tcW w:w="3392" w:type="dxa"/>
            <w:vAlign w:val="center"/>
          </w:tcPr>
          <w:p w14:paraId="3F40F873"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标准及规范要求</w:t>
            </w:r>
          </w:p>
        </w:tc>
        <w:tc>
          <w:tcPr>
            <w:tcW w:w="2976" w:type="dxa"/>
            <w:vAlign w:val="center"/>
          </w:tcPr>
          <w:p w14:paraId="3A882E71"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本工程噪声源布置</w:t>
            </w:r>
          </w:p>
        </w:tc>
        <w:tc>
          <w:tcPr>
            <w:tcW w:w="895" w:type="dxa"/>
            <w:vAlign w:val="center"/>
          </w:tcPr>
          <w:p w14:paraId="156A76A7"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是否符合要求</w:t>
            </w:r>
          </w:p>
        </w:tc>
      </w:tr>
      <w:tr w:rsidR="002662E3" w:rsidRPr="00E67914" w14:paraId="2E18A4A5" w14:textId="77777777">
        <w:trPr>
          <w:jc w:val="center"/>
        </w:trPr>
        <w:tc>
          <w:tcPr>
            <w:tcW w:w="959" w:type="dxa"/>
            <w:vAlign w:val="center"/>
          </w:tcPr>
          <w:p w14:paraId="03FB01EC" w14:textId="1C4CC41D" w:rsidR="00A54A8A" w:rsidRPr="00E67914" w:rsidRDefault="00FF7B95">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w:t>
            </w:r>
          </w:p>
        </w:tc>
        <w:tc>
          <w:tcPr>
            <w:tcW w:w="3392" w:type="dxa"/>
            <w:vAlign w:val="center"/>
          </w:tcPr>
          <w:p w14:paraId="4F855FC0" w14:textId="77777777" w:rsidR="00A54A8A" w:rsidRPr="00E67914" w:rsidRDefault="00000000">
            <w:pPr>
              <w:widowControl w:val="0"/>
              <w:autoSpaceDE w:val="0"/>
              <w:autoSpaceDN w:val="0"/>
              <w:adjustRightInd w:val="0"/>
              <w:snapToGrid w:val="0"/>
              <w:textAlignment w:val="baseline"/>
              <w:rPr>
                <w:rFonts w:ascii="Times New Roman" w:hAnsi="Times New Roman"/>
                <w:sz w:val="21"/>
                <w:szCs w:val="21"/>
                <w:lang w:eastAsia="zh-CN"/>
              </w:rPr>
            </w:pPr>
            <w:r w:rsidRPr="00E67914">
              <w:rPr>
                <w:rFonts w:ascii="Times New Roman" w:hAnsi="Times New Roman"/>
                <w:sz w:val="21"/>
                <w:szCs w:val="21"/>
                <w:lang w:eastAsia="zh-CN"/>
              </w:rPr>
              <w:t>《钻前工程及井场布置技术要求》（</w:t>
            </w:r>
            <w:r w:rsidRPr="00E67914">
              <w:rPr>
                <w:rFonts w:ascii="Times New Roman" w:hAnsi="Times New Roman"/>
                <w:sz w:val="21"/>
                <w:szCs w:val="21"/>
                <w:lang w:eastAsia="zh-CN"/>
              </w:rPr>
              <w:t>SY/T5466-2013</w:t>
            </w:r>
            <w:r w:rsidRPr="00E67914">
              <w:rPr>
                <w:rFonts w:ascii="Times New Roman" w:hAnsi="Times New Roman"/>
                <w:sz w:val="21"/>
                <w:szCs w:val="21"/>
                <w:lang w:eastAsia="zh-CN"/>
              </w:rPr>
              <w:t>）中的第</w:t>
            </w:r>
            <w:r w:rsidRPr="00E67914">
              <w:rPr>
                <w:rFonts w:ascii="Times New Roman" w:hAnsi="Times New Roman"/>
                <w:sz w:val="21"/>
                <w:szCs w:val="21"/>
                <w:lang w:eastAsia="zh-CN"/>
              </w:rPr>
              <w:t>4.3.2</w:t>
            </w:r>
            <w:r w:rsidRPr="00E67914">
              <w:rPr>
                <w:rFonts w:ascii="Times New Roman" w:hAnsi="Times New Roman"/>
                <w:sz w:val="21"/>
                <w:szCs w:val="21"/>
                <w:lang w:eastAsia="zh-CN"/>
              </w:rPr>
              <w:t>条规定：电动钻机发电机组和电控房应布置并排置于井场的后方。尽量远离敏感点或受噪声影响农户最少</w:t>
            </w:r>
          </w:p>
        </w:tc>
        <w:tc>
          <w:tcPr>
            <w:tcW w:w="2976" w:type="dxa"/>
            <w:vAlign w:val="center"/>
          </w:tcPr>
          <w:p w14:paraId="4AB71840" w14:textId="5034F318" w:rsidR="00A54A8A" w:rsidRPr="00E67914" w:rsidRDefault="00000000">
            <w:pPr>
              <w:widowControl w:val="0"/>
              <w:autoSpaceDE w:val="0"/>
              <w:autoSpaceDN w:val="0"/>
              <w:adjustRightInd w:val="0"/>
              <w:snapToGrid w:val="0"/>
              <w:textAlignment w:val="baseline"/>
              <w:rPr>
                <w:rFonts w:ascii="Times New Roman" w:hAnsi="Times New Roman"/>
                <w:sz w:val="21"/>
                <w:szCs w:val="21"/>
                <w:lang w:eastAsia="zh-CN"/>
              </w:rPr>
            </w:pPr>
            <w:r w:rsidRPr="00E67914">
              <w:rPr>
                <w:rFonts w:ascii="Times New Roman" w:hAnsi="Times New Roman"/>
                <w:sz w:val="21"/>
                <w:szCs w:val="21"/>
                <w:lang w:eastAsia="zh-CN"/>
              </w:rPr>
              <w:t>柴油机、泥浆泵布置在中后场（东</w:t>
            </w:r>
            <w:r w:rsidR="00FF7B95" w:rsidRPr="00E67914">
              <w:rPr>
                <w:rFonts w:ascii="Times New Roman" w:hAnsi="Times New Roman"/>
                <w:sz w:val="21"/>
                <w:szCs w:val="21"/>
                <w:lang w:eastAsia="zh-CN"/>
              </w:rPr>
              <w:t>北</w:t>
            </w:r>
            <w:r w:rsidRPr="00E67914">
              <w:rPr>
                <w:rFonts w:ascii="Times New Roman" w:hAnsi="Times New Roman"/>
                <w:sz w:val="21"/>
                <w:szCs w:val="21"/>
                <w:lang w:eastAsia="zh-CN"/>
              </w:rPr>
              <w:t>侧），周边</w:t>
            </w:r>
            <w:r w:rsidR="00A8626A" w:rsidRPr="00E67914">
              <w:rPr>
                <w:rFonts w:ascii="Times New Roman" w:hAnsi="Times New Roman"/>
                <w:sz w:val="21"/>
                <w:szCs w:val="21"/>
                <w:lang w:eastAsia="zh-CN"/>
              </w:rPr>
              <w:t>2</w:t>
            </w:r>
            <w:r w:rsidRPr="00E67914">
              <w:rPr>
                <w:rFonts w:ascii="Times New Roman" w:hAnsi="Times New Roman"/>
                <w:sz w:val="21"/>
                <w:szCs w:val="21"/>
                <w:lang w:eastAsia="zh-CN"/>
              </w:rPr>
              <w:t>00m</w:t>
            </w:r>
            <w:r w:rsidR="00A8626A" w:rsidRPr="00E67914">
              <w:rPr>
                <w:rFonts w:ascii="Times New Roman" w:hAnsi="Times New Roman"/>
                <w:sz w:val="21"/>
                <w:szCs w:val="21"/>
                <w:lang w:eastAsia="zh-CN"/>
              </w:rPr>
              <w:t>范围内仅有</w:t>
            </w:r>
            <w:r w:rsidR="00A8626A" w:rsidRPr="00E67914">
              <w:rPr>
                <w:rFonts w:ascii="Times New Roman" w:hAnsi="Times New Roman"/>
                <w:sz w:val="21"/>
                <w:szCs w:val="21"/>
                <w:lang w:eastAsia="zh-CN"/>
              </w:rPr>
              <w:t>2</w:t>
            </w:r>
            <w:r w:rsidR="00A8626A" w:rsidRPr="00E67914">
              <w:rPr>
                <w:rFonts w:ascii="Times New Roman" w:hAnsi="Times New Roman"/>
                <w:sz w:val="21"/>
                <w:szCs w:val="21"/>
                <w:lang w:eastAsia="zh-CN"/>
              </w:rPr>
              <w:t>户居民分布</w:t>
            </w:r>
            <w:r w:rsidRPr="00E67914">
              <w:rPr>
                <w:rFonts w:ascii="Times New Roman" w:hAnsi="Times New Roman"/>
                <w:sz w:val="21"/>
                <w:szCs w:val="21"/>
                <w:lang w:eastAsia="zh-CN"/>
              </w:rPr>
              <w:t>，受噪声影响农户相对较少。</w:t>
            </w:r>
          </w:p>
        </w:tc>
        <w:tc>
          <w:tcPr>
            <w:tcW w:w="895" w:type="dxa"/>
            <w:vAlign w:val="center"/>
          </w:tcPr>
          <w:p w14:paraId="03DC1B86"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符合要求</w:t>
            </w:r>
          </w:p>
        </w:tc>
      </w:tr>
    </w:tbl>
    <w:p w14:paraId="027113EE" w14:textId="77777777" w:rsidR="00A54A8A" w:rsidRPr="00E67914" w:rsidRDefault="00000000">
      <w:pPr>
        <w:widowControl w:val="0"/>
        <w:tabs>
          <w:tab w:val="left" w:pos="0"/>
        </w:tabs>
        <w:adjustRightInd w:val="0"/>
        <w:snapToGrid w:val="0"/>
        <w:spacing w:beforeLines="50" w:before="120"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2</w:t>
      </w:r>
      <w:r w:rsidRPr="00E67914">
        <w:rPr>
          <w:rFonts w:ascii="Times New Roman" w:hAnsi="Times New Roman"/>
          <w:b/>
          <w:kern w:val="2"/>
          <w:sz w:val="24"/>
          <w:szCs w:val="24"/>
          <w:lang w:eastAsia="zh-CN"/>
        </w:rPr>
        <w:t>）放喷池布置合理性分析</w:t>
      </w:r>
    </w:p>
    <w:p w14:paraId="47163799"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本项目井场放喷池布置与《钻井井控技术规程》</w:t>
      </w:r>
      <w:r w:rsidRPr="00E67914">
        <w:rPr>
          <w:rFonts w:ascii="Times New Roman" w:hAnsi="Times New Roman"/>
          <w:bCs/>
          <w:kern w:val="2"/>
          <w:sz w:val="24"/>
          <w:szCs w:val="24"/>
          <w:lang w:eastAsia="zh-CN"/>
        </w:rPr>
        <w:t>(SY/T6426-2005)</w:t>
      </w:r>
      <w:r w:rsidRPr="00E67914">
        <w:rPr>
          <w:rFonts w:ascii="Times New Roman" w:hAnsi="Times New Roman"/>
          <w:bCs/>
          <w:kern w:val="2"/>
          <w:sz w:val="24"/>
          <w:szCs w:val="24"/>
          <w:lang w:eastAsia="zh-CN"/>
        </w:rPr>
        <w:t>等相关要求及规程的符合性见下表。</w:t>
      </w:r>
    </w:p>
    <w:p w14:paraId="3A5FD3E2"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2.10-3  </w:t>
      </w:r>
      <w:r w:rsidRPr="00E67914">
        <w:rPr>
          <w:rFonts w:ascii="Times New Roman" w:eastAsia="黑体" w:hAnsi="Times New Roman"/>
          <w:sz w:val="21"/>
          <w:szCs w:val="21"/>
          <w:lang w:eastAsia="zh-CN"/>
        </w:rPr>
        <w:t>放喷池布置合理性</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
        <w:gridCol w:w="3432"/>
        <w:gridCol w:w="2685"/>
        <w:gridCol w:w="1045"/>
      </w:tblGrid>
      <w:tr w:rsidR="002662E3" w:rsidRPr="00E67914" w14:paraId="24276E79" w14:textId="77777777">
        <w:trPr>
          <w:jc w:val="center"/>
        </w:trPr>
        <w:tc>
          <w:tcPr>
            <w:tcW w:w="1060" w:type="dxa"/>
            <w:vAlign w:val="center"/>
          </w:tcPr>
          <w:p w14:paraId="095053C8"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井位编号</w:t>
            </w:r>
          </w:p>
        </w:tc>
        <w:tc>
          <w:tcPr>
            <w:tcW w:w="3432" w:type="dxa"/>
            <w:vAlign w:val="center"/>
          </w:tcPr>
          <w:p w14:paraId="69AAC87D"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标准及规范要求</w:t>
            </w:r>
          </w:p>
        </w:tc>
        <w:tc>
          <w:tcPr>
            <w:tcW w:w="2685" w:type="dxa"/>
            <w:vAlign w:val="center"/>
          </w:tcPr>
          <w:p w14:paraId="57DA6363"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本工程放喷池布置</w:t>
            </w:r>
          </w:p>
        </w:tc>
        <w:tc>
          <w:tcPr>
            <w:tcW w:w="1045" w:type="dxa"/>
            <w:vAlign w:val="center"/>
          </w:tcPr>
          <w:p w14:paraId="7023B018"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是否符</w:t>
            </w:r>
            <w:r w:rsidRPr="00E67914">
              <w:rPr>
                <w:rFonts w:ascii="Times New Roman" w:hAnsi="Times New Roman"/>
                <w:sz w:val="21"/>
                <w:szCs w:val="21"/>
                <w:lang w:eastAsia="zh-CN"/>
              </w:rPr>
              <w:lastRenderedPageBreak/>
              <w:t>合要求</w:t>
            </w:r>
          </w:p>
        </w:tc>
      </w:tr>
      <w:tr w:rsidR="002662E3" w:rsidRPr="00E67914" w14:paraId="132A7442" w14:textId="77777777">
        <w:trPr>
          <w:jc w:val="center"/>
        </w:trPr>
        <w:tc>
          <w:tcPr>
            <w:tcW w:w="1060" w:type="dxa"/>
            <w:vAlign w:val="center"/>
          </w:tcPr>
          <w:p w14:paraId="17C5E536" w14:textId="14D825AC" w:rsidR="00A54A8A" w:rsidRPr="00E67914" w:rsidRDefault="00A8626A">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lastRenderedPageBreak/>
              <w:t>新普陆页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w:t>
            </w:r>
          </w:p>
        </w:tc>
        <w:tc>
          <w:tcPr>
            <w:tcW w:w="3432" w:type="dxa"/>
            <w:vAlign w:val="center"/>
          </w:tcPr>
          <w:p w14:paraId="1DF70683"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《钻井井控技术规程》</w:t>
            </w:r>
            <w:r w:rsidRPr="00E67914">
              <w:rPr>
                <w:rFonts w:ascii="Times New Roman" w:hAnsi="Times New Roman"/>
                <w:sz w:val="21"/>
                <w:szCs w:val="21"/>
                <w:lang w:eastAsia="zh-CN"/>
              </w:rPr>
              <w:t>(SY/T6426-2005)</w:t>
            </w:r>
            <w:r w:rsidRPr="00E67914">
              <w:rPr>
                <w:rFonts w:ascii="Times New Roman" w:hAnsi="Times New Roman"/>
                <w:sz w:val="21"/>
                <w:szCs w:val="21"/>
                <w:lang w:eastAsia="zh-CN"/>
              </w:rPr>
              <w:t>中的第</w:t>
            </w:r>
            <w:r w:rsidRPr="00E67914">
              <w:rPr>
                <w:rFonts w:ascii="Times New Roman" w:hAnsi="Times New Roman"/>
                <w:sz w:val="21"/>
                <w:szCs w:val="21"/>
                <w:lang w:eastAsia="zh-CN"/>
              </w:rPr>
              <w:t>4.1.2.3</w:t>
            </w:r>
            <w:r w:rsidRPr="00E67914">
              <w:rPr>
                <w:rFonts w:ascii="Times New Roman" w:hAnsi="Times New Roman"/>
                <w:sz w:val="21"/>
                <w:szCs w:val="21"/>
                <w:lang w:eastAsia="zh-CN"/>
              </w:rPr>
              <w:t>条规定：放喷管线应接至距井口</w:t>
            </w:r>
            <w:r w:rsidRPr="00E67914">
              <w:rPr>
                <w:rFonts w:ascii="Times New Roman" w:hAnsi="Times New Roman"/>
                <w:sz w:val="21"/>
                <w:szCs w:val="21"/>
                <w:lang w:eastAsia="zh-CN"/>
              </w:rPr>
              <w:t>75m</w:t>
            </w:r>
            <w:r w:rsidRPr="00E67914">
              <w:rPr>
                <w:rFonts w:ascii="Times New Roman" w:hAnsi="Times New Roman"/>
                <w:sz w:val="21"/>
                <w:szCs w:val="21"/>
                <w:lang w:eastAsia="zh-CN"/>
              </w:rPr>
              <w:t>以上的安全地带，距各种设施不小于</w:t>
            </w:r>
            <w:r w:rsidRPr="00E67914">
              <w:rPr>
                <w:rFonts w:ascii="Times New Roman" w:hAnsi="Times New Roman"/>
                <w:sz w:val="21"/>
                <w:szCs w:val="21"/>
                <w:lang w:eastAsia="zh-CN"/>
              </w:rPr>
              <w:t>50m</w:t>
            </w:r>
            <w:r w:rsidRPr="00E67914">
              <w:rPr>
                <w:rFonts w:ascii="Times New Roman" w:hAnsi="Times New Roman"/>
                <w:sz w:val="21"/>
                <w:szCs w:val="21"/>
                <w:lang w:eastAsia="zh-CN"/>
              </w:rPr>
              <w:t>。</w:t>
            </w:r>
          </w:p>
        </w:tc>
        <w:tc>
          <w:tcPr>
            <w:tcW w:w="2685" w:type="dxa"/>
            <w:vAlign w:val="center"/>
          </w:tcPr>
          <w:p w14:paraId="28C1846B" w14:textId="6D96621A"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bCs/>
                <w:sz w:val="21"/>
                <w:szCs w:val="21"/>
                <w:lang w:eastAsia="zh-CN"/>
              </w:rPr>
              <w:t>放喷池位于井场外</w:t>
            </w:r>
            <w:r w:rsidR="00A8626A" w:rsidRPr="00E67914">
              <w:rPr>
                <w:rFonts w:ascii="Times New Roman" w:hAnsi="Times New Roman"/>
                <w:bCs/>
                <w:sz w:val="21"/>
                <w:szCs w:val="21"/>
                <w:lang w:eastAsia="zh-CN"/>
              </w:rPr>
              <w:t>东南</w:t>
            </w:r>
            <w:r w:rsidRPr="00E67914">
              <w:rPr>
                <w:rFonts w:ascii="Times New Roman" w:hAnsi="Times New Roman"/>
                <w:bCs/>
                <w:sz w:val="21"/>
                <w:szCs w:val="21"/>
                <w:lang w:eastAsia="zh-CN"/>
              </w:rPr>
              <w:t>侧，距离井口约</w:t>
            </w:r>
            <w:r w:rsidR="00A8626A" w:rsidRPr="00E67914">
              <w:rPr>
                <w:rFonts w:ascii="Times New Roman" w:hAnsi="Times New Roman"/>
                <w:bCs/>
                <w:sz w:val="21"/>
                <w:szCs w:val="21"/>
                <w:lang w:eastAsia="zh-CN"/>
              </w:rPr>
              <w:t>188</w:t>
            </w:r>
            <w:r w:rsidRPr="00E67914">
              <w:rPr>
                <w:rFonts w:ascii="Times New Roman" w:hAnsi="Times New Roman"/>
                <w:bCs/>
                <w:sz w:val="21"/>
                <w:szCs w:val="21"/>
                <w:lang w:eastAsia="zh-CN"/>
              </w:rPr>
              <w:t>m</w:t>
            </w:r>
            <w:r w:rsidRPr="00E67914">
              <w:rPr>
                <w:rFonts w:ascii="Times New Roman" w:hAnsi="Times New Roman"/>
                <w:sz w:val="21"/>
                <w:szCs w:val="21"/>
                <w:lang w:eastAsia="zh-CN"/>
              </w:rPr>
              <w:t>，位于井场侧风向。</w:t>
            </w:r>
          </w:p>
        </w:tc>
        <w:tc>
          <w:tcPr>
            <w:tcW w:w="1045" w:type="dxa"/>
            <w:vAlign w:val="center"/>
          </w:tcPr>
          <w:p w14:paraId="2301B286"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符合要求</w:t>
            </w:r>
          </w:p>
        </w:tc>
      </w:tr>
    </w:tbl>
    <w:p w14:paraId="5EBAB695" w14:textId="77777777" w:rsidR="00A54A8A" w:rsidRPr="00E67914" w:rsidRDefault="00000000">
      <w:pPr>
        <w:widowControl w:val="0"/>
        <w:tabs>
          <w:tab w:val="left" w:pos="0"/>
        </w:tabs>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综上所述，本工程钻井期井场布置合理，钻井期间平面布置图见附图</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w:t>
      </w:r>
    </w:p>
    <w:p w14:paraId="3BFB4B3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eastAsia="黑体" w:hAnsi="Times New Roman"/>
          <w:bCs/>
          <w:kern w:val="2"/>
          <w:sz w:val="24"/>
          <w:szCs w:val="24"/>
          <w:lang w:eastAsia="zh-CN"/>
        </w:rPr>
      </w:pPr>
      <w:bookmarkStart w:id="56" w:name="_Toc8802"/>
      <w:r w:rsidRPr="00E67914">
        <w:rPr>
          <w:rFonts w:ascii="Times New Roman" w:eastAsia="黑体" w:hAnsi="Times New Roman"/>
          <w:bCs/>
          <w:kern w:val="2"/>
          <w:sz w:val="24"/>
          <w:szCs w:val="24"/>
          <w:lang w:eastAsia="zh-CN"/>
        </w:rPr>
        <w:t>2</w:t>
      </w:r>
      <w:r w:rsidRPr="00E67914">
        <w:rPr>
          <w:rFonts w:ascii="Times New Roman" w:eastAsia="黑体" w:hAnsi="Times New Roman"/>
          <w:bCs/>
          <w:kern w:val="2"/>
          <w:sz w:val="24"/>
          <w:szCs w:val="24"/>
          <w:lang w:eastAsia="zh-CN"/>
        </w:rPr>
        <w:t>、试采工程平面布局合理性分析</w:t>
      </w:r>
      <w:bookmarkEnd w:id="56"/>
    </w:p>
    <w:p w14:paraId="32817C0F" w14:textId="33236B43" w:rsidR="00A54A8A" w:rsidRPr="00E67914" w:rsidRDefault="00193429">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普陆页</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试采站内布置较为简单</w:t>
      </w:r>
      <w:r w:rsidR="00AC6C48" w:rsidRPr="00E67914">
        <w:rPr>
          <w:rFonts w:ascii="Times New Roman" w:hAnsi="Times New Roman"/>
          <w:bCs/>
          <w:kern w:val="2"/>
          <w:sz w:val="24"/>
          <w:szCs w:val="24"/>
          <w:lang w:eastAsia="zh-CN"/>
        </w:rPr>
        <w:t>，试采站内有普陆页</w:t>
      </w:r>
      <w:r w:rsidR="00AC6C48" w:rsidRPr="00E67914">
        <w:rPr>
          <w:rFonts w:ascii="Times New Roman" w:hAnsi="Times New Roman"/>
          <w:bCs/>
          <w:kern w:val="2"/>
          <w:sz w:val="24"/>
          <w:szCs w:val="24"/>
          <w:lang w:eastAsia="zh-CN"/>
        </w:rPr>
        <w:t>2</w:t>
      </w:r>
      <w:r w:rsidR="00AC6C48" w:rsidRPr="00E67914">
        <w:rPr>
          <w:rFonts w:ascii="Times New Roman" w:hAnsi="Times New Roman"/>
          <w:bCs/>
          <w:kern w:val="2"/>
          <w:sz w:val="24"/>
          <w:szCs w:val="24"/>
          <w:lang w:eastAsia="zh-CN"/>
        </w:rPr>
        <w:t>井</w:t>
      </w:r>
      <w:r w:rsidR="00AC6C48" w:rsidRPr="00E67914">
        <w:rPr>
          <w:rFonts w:ascii="Times New Roman" w:hAnsi="Times New Roman"/>
          <w:bCs/>
          <w:kern w:val="2"/>
          <w:sz w:val="24"/>
          <w:szCs w:val="24"/>
          <w:lang w:eastAsia="zh-CN"/>
        </w:rPr>
        <w:t>1</w:t>
      </w:r>
      <w:r w:rsidR="00AC6C48" w:rsidRPr="00E67914">
        <w:rPr>
          <w:rFonts w:ascii="Times New Roman" w:hAnsi="Times New Roman"/>
          <w:bCs/>
          <w:kern w:val="2"/>
          <w:sz w:val="24"/>
          <w:szCs w:val="24"/>
          <w:lang w:eastAsia="zh-CN"/>
        </w:rPr>
        <w:t>口，本次将对该井与新建的普陆页</w:t>
      </w:r>
      <w:r w:rsidR="00AC6C48" w:rsidRPr="00E67914">
        <w:rPr>
          <w:rFonts w:ascii="Times New Roman" w:hAnsi="Times New Roman"/>
          <w:bCs/>
          <w:kern w:val="2"/>
          <w:sz w:val="24"/>
          <w:szCs w:val="24"/>
          <w:lang w:eastAsia="zh-CN"/>
        </w:rPr>
        <w:t>2</w:t>
      </w:r>
      <w:r w:rsidR="00AC6C48" w:rsidRPr="00E67914">
        <w:rPr>
          <w:rFonts w:ascii="Times New Roman" w:hAnsi="Times New Roman"/>
          <w:bCs/>
          <w:kern w:val="2"/>
          <w:sz w:val="24"/>
          <w:szCs w:val="24"/>
          <w:lang w:eastAsia="zh-CN"/>
        </w:rPr>
        <w:t>井场内</w:t>
      </w:r>
      <w:r w:rsidR="004471AB" w:rsidRPr="00E67914">
        <w:rPr>
          <w:rFonts w:ascii="Times New Roman" w:hAnsi="Times New Roman"/>
          <w:bCs/>
          <w:kern w:val="2"/>
          <w:sz w:val="24"/>
          <w:szCs w:val="24"/>
          <w:lang w:eastAsia="zh-CN"/>
        </w:rPr>
        <w:t>的</w:t>
      </w:r>
      <w:r w:rsidR="004471AB" w:rsidRPr="00E67914">
        <w:rPr>
          <w:rFonts w:ascii="Times New Roman" w:hAnsi="Times New Roman"/>
          <w:bCs/>
          <w:kern w:val="2"/>
          <w:sz w:val="24"/>
          <w:szCs w:val="24"/>
          <w:lang w:eastAsia="zh-CN"/>
        </w:rPr>
        <w:t>3</w:t>
      </w:r>
      <w:r w:rsidR="004471AB" w:rsidRPr="00E67914">
        <w:rPr>
          <w:rFonts w:ascii="Times New Roman" w:hAnsi="Times New Roman"/>
          <w:bCs/>
          <w:kern w:val="2"/>
          <w:sz w:val="24"/>
          <w:szCs w:val="24"/>
          <w:lang w:eastAsia="zh-CN"/>
        </w:rPr>
        <w:t>口井一同进行试采</w:t>
      </w:r>
      <w:r w:rsidRPr="00E67914">
        <w:rPr>
          <w:rFonts w:ascii="Times New Roman" w:hAnsi="Times New Roman"/>
          <w:bCs/>
          <w:kern w:val="2"/>
          <w:sz w:val="24"/>
          <w:szCs w:val="24"/>
          <w:lang w:eastAsia="zh-CN"/>
        </w:rPr>
        <w:t>，集输设备布置在站场的</w:t>
      </w:r>
      <w:r w:rsidR="004471AB" w:rsidRPr="00E67914">
        <w:rPr>
          <w:rFonts w:ascii="Times New Roman" w:hAnsi="Times New Roman"/>
          <w:bCs/>
          <w:kern w:val="2"/>
          <w:sz w:val="24"/>
          <w:szCs w:val="24"/>
          <w:lang w:eastAsia="zh-CN"/>
        </w:rPr>
        <w:t>西</w:t>
      </w:r>
      <w:r w:rsidRPr="00E67914">
        <w:rPr>
          <w:rFonts w:ascii="Times New Roman" w:hAnsi="Times New Roman"/>
          <w:bCs/>
          <w:kern w:val="2"/>
          <w:sz w:val="24"/>
          <w:szCs w:val="24"/>
          <w:lang w:eastAsia="zh-CN"/>
        </w:rPr>
        <w:t>侧</w:t>
      </w:r>
      <w:r w:rsidR="004471AB" w:rsidRPr="00E67914">
        <w:rPr>
          <w:rFonts w:ascii="Times New Roman" w:hAnsi="Times New Roman"/>
          <w:bCs/>
          <w:kern w:val="2"/>
          <w:sz w:val="24"/>
          <w:szCs w:val="24"/>
          <w:lang w:eastAsia="zh-CN"/>
        </w:rPr>
        <w:t>，罐区（采出水罐、油罐）布置在站区北侧</w:t>
      </w:r>
      <w:r w:rsidRPr="00E67914">
        <w:rPr>
          <w:rFonts w:ascii="Times New Roman" w:hAnsi="Times New Roman"/>
          <w:bCs/>
          <w:kern w:val="2"/>
          <w:sz w:val="24"/>
          <w:szCs w:val="24"/>
          <w:lang w:eastAsia="zh-CN"/>
        </w:rPr>
        <w:t>，辅助生产用房布置在站场的</w:t>
      </w:r>
      <w:r w:rsidR="004471AB" w:rsidRPr="00E67914">
        <w:rPr>
          <w:rFonts w:ascii="Times New Roman" w:hAnsi="Times New Roman"/>
          <w:bCs/>
          <w:kern w:val="2"/>
          <w:sz w:val="24"/>
          <w:szCs w:val="24"/>
          <w:lang w:eastAsia="zh-CN"/>
        </w:rPr>
        <w:t>东</w:t>
      </w:r>
      <w:r w:rsidRPr="00E67914">
        <w:rPr>
          <w:rFonts w:ascii="Times New Roman" w:hAnsi="Times New Roman"/>
          <w:bCs/>
          <w:kern w:val="2"/>
          <w:sz w:val="24"/>
          <w:szCs w:val="24"/>
          <w:lang w:eastAsia="zh-CN"/>
        </w:rPr>
        <w:t>侧，中间为</w:t>
      </w:r>
      <w:r w:rsidR="004471AB" w:rsidRPr="00E67914">
        <w:rPr>
          <w:rFonts w:ascii="Times New Roman" w:hAnsi="Times New Roman"/>
          <w:bCs/>
          <w:kern w:val="2"/>
          <w:sz w:val="24"/>
          <w:szCs w:val="24"/>
          <w:lang w:eastAsia="zh-CN"/>
        </w:rPr>
        <w:t>普陆页</w:t>
      </w:r>
      <w:r w:rsidR="004471AB" w:rsidRPr="00E67914">
        <w:rPr>
          <w:rFonts w:ascii="Times New Roman" w:hAnsi="Times New Roman"/>
          <w:bCs/>
          <w:kern w:val="2"/>
          <w:sz w:val="24"/>
          <w:szCs w:val="24"/>
          <w:lang w:eastAsia="zh-CN"/>
        </w:rPr>
        <w:t>2</w:t>
      </w:r>
      <w:r w:rsidR="004471AB" w:rsidRPr="00E67914">
        <w:rPr>
          <w:rFonts w:ascii="Times New Roman" w:hAnsi="Times New Roman"/>
          <w:bCs/>
          <w:kern w:val="2"/>
          <w:sz w:val="24"/>
          <w:szCs w:val="24"/>
          <w:lang w:eastAsia="zh-CN"/>
        </w:rPr>
        <w:t>井</w:t>
      </w:r>
      <w:r w:rsidRPr="00E67914">
        <w:rPr>
          <w:rFonts w:ascii="Times New Roman" w:hAnsi="Times New Roman"/>
          <w:bCs/>
          <w:kern w:val="2"/>
          <w:sz w:val="24"/>
          <w:szCs w:val="24"/>
          <w:lang w:eastAsia="zh-CN"/>
        </w:rPr>
        <w:t>。</w:t>
      </w:r>
    </w:p>
    <w:p w14:paraId="71DC556A" w14:textId="18F0F505"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据《石油天然气工程设计防火规范》（</w:t>
      </w:r>
      <w:r w:rsidRPr="00E67914">
        <w:rPr>
          <w:rFonts w:ascii="Times New Roman" w:hAnsi="Times New Roman"/>
          <w:bCs/>
          <w:kern w:val="2"/>
          <w:sz w:val="24"/>
          <w:szCs w:val="24"/>
          <w:lang w:eastAsia="zh-CN"/>
        </w:rPr>
        <w:t>GB50183-2004</w:t>
      </w:r>
      <w:r w:rsidRPr="00E67914">
        <w:rPr>
          <w:rFonts w:ascii="Times New Roman" w:hAnsi="Times New Roman"/>
          <w:bCs/>
          <w:kern w:val="2"/>
          <w:sz w:val="24"/>
          <w:szCs w:val="24"/>
          <w:lang w:eastAsia="zh-CN"/>
        </w:rPr>
        <w:t>）规定，</w:t>
      </w:r>
      <w:r w:rsidR="00193429" w:rsidRPr="00E67914">
        <w:rPr>
          <w:rFonts w:ascii="Times New Roman" w:hAnsi="Times New Roman"/>
          <w:bCs/>
          <w:kern w:val="2"/>
          <w:sz w:val="24"/>
          <w:szCs w:val="24"/>
          <w:lang w:eastAsia="zh-CN"/>
        </w:rPr>
        <w:t>普陆页</w:t>
      </w:r>
      <w:r w:rsidR="00193429" w:rsidRPr="00E67914">
        <w:rPr>
          <w:rFonts w:ascii="Times New Roman" w:hAnsi="Times New Roman"/>
          <w:bCs/>
          <w:kern w:val="2"/>
          <w:sz w:val="24"/>
          <w:szCs w:val="24"/>
          <w:lang w:eastAsia="zh-CN"/>
        </w:rPr>
        <w:t>2</w:t>
      </w:r>
      <w:r w:rsidR="00193429" w:rsidRPr="00E67914">
        <w:rPr>
          <w:rFonts w:ascii="Times New Roman" w:hAnsi="Times New Roman"/>
          <w:bCs/>
          <w:kern w:val="2"/>
          <w:sz w:val="24"/>
          <w:szCs w:val="24"/>
          <w:lang w:eastAsia="zh-CN"/>
        </w:rPr>
        <w:t>试采站</w:t>
      </w:r>
      <w:r w:rsidRPr="00E67914">
        <w:rPr>
          <w:rFonts w:ascii="Times New Roman" w:hAnsi="Times New Roman"/>
          <w:bCs/>
          <w:kern w:val="2"/>
          <w:sz w:val="24"/>
          <w:szCs w:val="24"/>
          <w:lang w:eastAsia="zh-CN"/>
        </w:rPr>
        <w:t>属于五级站场。五级站场内设施的间距要求见下表</w:t>
      </w:r>
      <w:r w:rsidRPr="00E67914">
        <w:rPr>
          <w:rFonts w:ascii="Times New Roman" w:hAnsi="Times New Roman"/>
          <w:bCs/>
          <w:kern w:val="2"/>
          <w:sz w:val="24"/>
          <w:szCs w:val="24"/>
          <w:lang w:eastAsia="zh-CN"/>
        </w:rPr>
        <w:t>2.10-4</w:t>
      </w:r>
      <w:r w:rsidRPr="00E67914">
        <w:rPr>
          <w:rFonts w:ascii="Times New Roman" w:hAnsi="Times New Roman"/>
          <w:bCs/>
          <w:kern w:val="2"/>
          <w:sz w:val="24"/>
          <w:szCs w:val="24"/>
          <w:lang w:eastAsia="zh-CN"/>
        </w:rPr>
        <w:t>。</w:t>
      </w:r>
    </w:p>
    <w:p w14:paraId="2CC5B27A"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2.10-4   </w:t>
      </w:r>
      <w:r w:rsidRPr="00E67914">
        <w:rPr>
          <w:rFonts w:ascii="Times New Roman" w:eastAsia="黑体" w:hAnsi="Times New Roman"/>
          <w:sz w:val="21"/>
          <w:szCs w:val="21"/>
          <w:lang w:eastAsia="zh-CN"/>
        </w:rPr>
        <w:t>站场总平面布置间距一览表</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65"/>
        <w:gridCol w:w="858"/>
        <w:gridCol w:w="951"/>
        <w:gridCol w:w="967"/>
        <w:gridCol w:w="822"/>
        <w:gridCol w:w="777"/>
        <w:gridCol w:w="804"/>
        <w:gridCol w:w="795"/>
        <w:gridCol w:w="983"/>
      </w:tblGrid>
      <w:tr w:rsidR="002662E3" w:rsidRPr="00E67914" w14:paraId="2764E7DB"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375CCC9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名称</w:t>
            </w:r>
          </w:p>
        </w:tc>
        <w:tc>
          <w:tcPr>
            <w:tcW w:w="858" w:type="dxa"/>
            <w:tcBorders>
              <w:top w:val="single" w:sz="4" w:space="0" w:color="auto"/>
              <w:left w:val="single" w:sz="4" w:space="0" w:color="auto"/>
              <w:bottom w:val="single" w:sz="4" w:space="0" w:color="auto"/>
              <w:right w:val="single" w:sz="4" w:space="0" w:color="auto"/>
            </w:tcBorders>
            <w:vAlign w:val="center"/>
          </w:tcPr>
          <w:p w14:paraId="7E2251C9"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油气井</w:t>
            </w:r>
          </w:p>
        </w:tc>
        <w:tc>
          <w:tcPr>
            <w:tcW w:w="951" w:type="dxa"/>
            <w:tcBorders>
              <w:top w:val="single" w:sz="4" w:space="0" w:color="auto"/>
              <w:left w:val="single" w:sz="4" w:space="0" w:color="auto"/>
              <w:bottom w:val="single" w:sz="4" w:space="0" w:color="auto"/>
              <w:right w:val="single" w:sz="4" w:space="0" w:color="auto"/>
            </w:tcBorders>
            <w:vAlign w:val="center"/>
          </w:tcPr>
          <w:p w14:paraId="05A8996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露天油气密闭设备及阀组</w:t>
            </w:r>
          </w:p>
        </w:tc>
        <w:tc>
          <w:tcPr>
            <w:tcW w:w="967" w:type="dxa"/>
            <w:tcBorders>
              <w:top w:val="single" w:sz="4" w:space="0" w:color="auto"/>
              <w:left w:val="single" w:sz="4" w:space="0" w:color="auto"/>
              <w:bottom w:val="single" w:sz="4" w:space="0" w:color="auto"/>
              <w:right w:val="single" w:sz="4" w:space="0" w:color="auto"/>
            </w:tcBorders>
            <w:vAlign w:val="center"/>
          </w:tcPr>
          <w:p w14:paraId="301221B2"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可燃气体压缩机及压缩机房</w:t>
            </w:r>
          </w:p>
        </w:tc>
        <w:tc>
          <w:tcPr>
            <w:tcW w:w="822" w:type="dxa"/>
            <w:tcBorders>
              <w:top w:val="single" w:sz="4" w:space="0" w:color="auto"/>
              <w:left w:val="single" w:sz="4" w:space="0" w:color="auto"/>
              <w:bottom w:val="single" w:sz="4" w:space="0" w:color="auto"/>
              <w:right w:val="single" w:sz="4" w:space="0" w:color="auto"/>
            </w:tcBorders>
            <w:vAlign w:val="center"/>
          </w:tcPr>
          <w:p w14:paraId="42A36741"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水套加热炉</w:t>
            </w:r>
          </w:p>
        </w:tc>
        <w:tc>
          <w:tcPr>
            <w:tcW w:w="777" w:type="dxa"/>
            <w:tcBorders>
              <w:top w:val="single" w:sz="4" w:space="0" w:color="auto"/>
              <w:left w:val="single" w:sz="4" w:space="0" w:color="auto"/>
              <w:bottom w:val="single" w:sz="4" w:space="0" w:color="auto"/>
              <w:right w:val="single" w:sz="4" w:space="0" w:color="auto"/>
            </w:tcBorders>
            <w:vAlign w:val="center"/>
          </w:tcPr>
          <w:p w14:paraId="11BD0E4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装卸车鹤管</w:t>
            </w:r>
          </w:p>
        </w:tc>
        <w:tc>
          <w:tcPr>
            <w:tcW w:w="804" w:type="dxa"/>
            <w:tcBorders>
              <w:top w:val="single" w:sz="4" w:space="0" w:color="auto"/>
              <w:left w:val="single" w:sz="4" w:space="0" w:color="auto"/>
              <w:bottom w:val="single" w:sz="4" w:space="0" w:color="auto"/>
              <w:right w:val="single" w:sz="4" w:space="0" w:color="auto"/>
            </w:tcBorders>
            <w:vAlign w:val="center"/>
          </w:tcPr>
          <w:p w14:paraId="1CDA196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天然气凝液单罐</w:t>
            </w:r>
            <w:r w:rsidRPr="00E67914">
              <w:rPr>
                <w:rFonts w:ascii="Times New Roman" w:hAnsi="Times New Roman"/>
                <w:sz w:val="21"/>
                <w:szCs w:val="21"/>
              </w:rPr>
              <w:t>&lt;50m³</w:t>
            </w:r>
          </w:p>
        </w:tc>
        <w:tc>
          <w:tcPr>
            <w:tcW w:w="795" w:type="dxa"/>
            <w:tcBorders>
              <w:top w:val="single" w:sz="4" w:space="0" w:color="auto"/>
              <w:left w:val="single" w:sz="4" w:space="0" w:color="auto"/>
              <w:bottom w:val="single" w:sz="4" w:space="0" w:color="auto"/>
              <w:right w:val="single" w:sz="4" w:space="0" w:color="auto"/>
            </w:tcBorders>
            <w:vAlign w:val="center"/>
          </w:tcPr>
          <w:p w14:paraId="760C78AC"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计量仪表间、值班室</w:t>
            </w:r>
          </w:p>
        </w:tc>
        <w:tc>
          <w:tcPr>
            <w:tcW w:w="983" w:type="dxa"/>
            <w:tcBorders>
              <w:top w:val="single" w:sz="4" w:space="0" w:color="auto"/>
              <w:left w:val="single" w:sz="4" w:space="0" w:color="auto"/>
              <w:bottom w:val="single" w:sz="4" w:space="0" w:color="auto"/>
              <w:right w:val="single" w:sz="4" w:space="0" w:color="auto"/>
            </w:tcBorders>
            <w:vAlign w:val="center"/>
          </w:tcPr>
          <w:p w14:paraId="577E67E7"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辅助生产厂房及辅助生产设施</w:t>
            </w:r>
          </w:p>
        </w:tc>
      </w:tr>
      <w:tr w:rsidR="002662E3" w:rsidRPr="00E67914" w14:paraId="55B8531A"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651F755A"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油气井</w:t>
            </w:r>
          </w:p>
        </w:tc>
        <w:tc>
          <w:tcPr>
            <w:tcW w:w="858" w:type="dxa"/>
            <w:tcBorders>
              <w:top w:val="single" w:sz="4" w:space="0" w:color="auto"/>
              <w:left w:val="single" w:sz="4" w:space="0" w:color="auto"/>
              <w:bottom w:val="single" w:sz="4" w:space="0" w:color="auto"/>
              <w:right w:val="single" w:sz="4" w:space="0" w:color="auto"/>
            </w:tcBorders>
            <w:vAlign w:val="center"/>
          </w:tcPr>
          <w:p w14:paraId="02E5F1C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tcPr>
          <w:p w14:paraId="4A78872D" w14:textId="77777777" w:rsidR="00A54A8A" w:rsidRPr="00E67914" w:rsidRDefault="00A54A8A">
            <w:pPr>
              <w:adjustRightInd w:val="0"/>
              <w:snapToGrid w:val="0"/>
              <w:jc w:val="center"/>
              <w:rPr>
                <w:rFonts w:ascii="Times New Roman" w:hAnsi="Times New Roman"/>
                <w:sz w:val="21"/>
                <w:szCs w:val="21"/>
              </w:rPr>
            </w:pPr>
          </w:p>
        </w:tc>
        <w:tc>
          <w:tcPr>
            <w:tcW w:w="967" w:type="dxa"/>
            <w:tcBorders>
              <w:top w:val="single" w:sz="4" w:space="0" w:color="auto"/>
              <w:left w:val="single" w:sz="4" w:space="0" w:color="auto"/>
              <w:bottom w:val="single" w:sz="4" w:space="0" w:color="auto"/>
              <w:right w:val="single" w:sz="4" w:space="0" w:color="auto"/>
            </w:tcBorders>
            <w:vAlign w:val="center"/>
          </w:tcPr>
          <w:p w14:paraId="0CE6B22E" w14:textId="39CE0730" w:rsidR="00A54A8A" w:rsidRPr="00E67914" w:rsidRDefault="004471AB">
            <w:pPr>
              <w:adjustRightInd w:val="0"/>
              <w:snapToGrid w:val="0"/>
              <w:jc w:val="center"/>
              <w:rPr>
                <w:rFonts w:ascii="Times New Roman" w:hAnsi="Times New Roman"/>
                <w:sz w:val="21"/>
                <w:szCs w:val="21"/>
              </w:rPr>
            </w:pPr>
            <w:r w:rsidRPr="00E67914">
              <w:rPr>
                <w:rFonts w:ascii="Times New Roman" w:hAnsi="Times New Roman"/>
                <w:sz w:val="21"/>
                <w:szCs w:val="21"/>
              </w:rPr>
              <w:t>20</w:t>
            </w:r>
          </w:p>
        </w:tc>
        <w:tc>
          <w:tcPr>
            <w:tcW w:w="822" w:type="dxa"/>
            <w:tcBorders>
              <w:top w:val="single" w:sz="4" w:space="0" w:color="auto"/>
              <w:left w:val="single" w:sz="4" w:space="0" w:color="auto"/>
              <w:bottom w:val="single" w:sz="4" w:space="0" w:color="auto"/>
              <w:right w:val="single" w:sz="4" w:space="0" w:color="auto"/>
            </w:tcBorders>
            <w:vAlign w:val="center"/>
          </w:tcPr>
          <w:p w14:paraId="094E3740" w14:textId="13302A28" w:rsidR="00A54A8A" w:rsidRPr="00E67914" w:rsidRDefault="00A54A8A">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18AA4FFE" w14:textId="77777777" w:rsidR="00A54A8A" w:rsidRPr="00E67914" w:rsidRDefault="00A54A8A">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58CB9086" w14:textId="77777777" w:rsidR="00A54A8A" w:rsidRPr="00E67914" w:rsidRDefault="00A54A8A">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147448F0" w14:textId="77777777" w:rsidR="00A54A8A" w:rsidRPr="00E67914" w:rsidRDefault="00A54A8A">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4C1ED403" w14:textId="77777777" w:rsidR="00A54A8A" w:rsidRPr="00E67914" w:rsidRDefault="00A54A8A">
            <w:pPr>
              <w:adjustRightInd w:val="0"/>
              <w:snapToGrid w:val="0"/>
              <w:jc w:val="center"/>
              <w:rPr>
                <w:rFonts w:ascii="Times New Roman" w:hAnsi="Times New Roman"/>
                <w:sz w:val="21"/>
                <w:szCs w:val="21"/>
              </w:rPr>
            </w:pPr>
          </w:p>
        </w:tc>
      </w:tr>
      <w:tr w:rsidR="002662E3" w:rsidRPr="00E67914" w14:paraId="0875E587"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1B58E863"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露天油气密闭设备及阀组</w:t>
            </w:r>
          </w:p>
        </w:tc>
        <w:tc>
          <w:tcPr>
            <w:tcW w:w="858" w:type="dxa"/>
            <w:tcBorders>
              <w:top w:val="single" w:sz="4" w:space="0" w:color="auto"/>
              <w:left w:val="single" w:sz="4" w:space="0" w:color="auto"/>
              <w:bottom w:val="single" w:sz="4" w:space="0" w:color="auto"/>
              <w:right w:val="single" w:sz="4" w:space="0" w:color="auto"/>
            </w:tcBorders>
            <w:vAlign w:val="center"/>
          </w:tcPr>
          <w:p w14:paraId="3CD7CC9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951" w:type="dxa"/>
            <w:tcBorders>
              <w:top w:val="single" w:sz="4" w:space="0" w:color="auto"/>
              <w:left w:val="single" w:sz="4" w:space="0" w:color="auto"/>
              <w:bottom w:val="single" w:sz="4" w:space="0" w:color="auto"/>
              <w:right w:val="single" w:sz="4" w:space="0" w:color="auto"/>
            </w:tcBorders>
            <w:vAlign w:val="center"/>
          </w:tcPr>
          <w:p w14:paraId="3DCFD62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tcPr>
          <w:p w14:paraId="695688B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37C73DA1" w14:textId="77777777" w:rsidR="00A54A8A" w:rsidRPr="00E67914" w:rsidRDefault="00A54A8A">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719413F7" w14:textId="77777777" w:rsidR="00A54A8A" w:rsidRPr="00E67914" w:rsidRDefault="00A54A8A">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58CED9B3" w14:textId="77777777" w:rsidR="00A54A8A" w:rsidRPr="00E67914" w:rsidRDefault="00A54A8A">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12828252" w14:textId="77777777" w:rsidR="00A54A8A" w:rsidRPr="00E67914" w:rsidRDefault="00A54A8A">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33CE328C" w14:textId="77777777" w:rsidR="00A54A8A" w:rsidRPr="00E67914" w:rsidRDefault="00A54A8A">
            <w:pPr>
              <w:adjustRightInd w:val="0"/>
              <w:snapToGrid w:val="0"/>
              <w:jc w:val="center"/>
              <w:rPr>
                <w:rFonts w:ascii="Times New Roman" w:hAnsi="Times New Roman"/>
                <w:sz w:val="21"/>
                <w:szCs w:val="21"/>
              </w:rPr>
            </w:pPr>
          </w:p>
        </w:tc>
      </w:tr>
      <w:tr w:rsidR="002662E3" w:rsidRPr="00E67914" w14:paraId="11B2B911"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2DF31627"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可燃气体压缩机及压缩机房</w:t>
            </w:r>
          </w:p>
        </w:tc>
        <w:tc>
          <w:tcPr>
            <w:tcW w:w="858" w:type="dxa"/>
            <w:tcBorders>
              <w:top w:val="single" w:sz="4" w:space="0" w:color="auto"/>
              <w:left w:val="single" w:sz="4" w:space="0" w:color="auto"/>
              <w:bottom w:val="single" w:sz="4" w:space="0" w:color="auto"/>
              <w:right w:val="single" w:sz="4" w:space="0" w:color="auto"/>
            </w:tcBorders>
            <w:vAlign w:val="center"/>
          </w:tcPr>
          <w:p w14:paraId="61A5B32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20</w:t>
            </w:r>
          </w:p>
        </w:tc>
        <w:tc>
          <w:tcPr>
            <w:tcW w:w="951" w:type="dxa"/>
            <w:tcBorders>
              <w:top w:val="single" w:sz="4" w:space="0" w:color="auto"/>
              <w:left w:val="single" w:sz="4" w:space="0" w:color="auto"/>
              <w:bottom w:val="single" w:sz="4" w:space="0" w:color="auto"/>
              <w:right w:val="single" w:sz="4" w:space="0" w:color="auto"/>
            </w:tcBorders>
            <w:vAlign w:val="center"/>
          </w:tcPr>
          <w:p w14:paraId="2CD6C8F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tcPr>
          <w:p w14:paraId="46E897D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822" w:type="dxa"/>
            <w:tcBorders>
              <w:top w:val="single" w:sz="4" w:space="0" w:color="auto"/>
              <w:left w:val="single" w:sz="4" w:space="0" w:color="auto"/>
              <w:bottom w:val="single" w:sz="4" w:space="0" w:color="auto"/>
              <w:right w:val="single" w:sz="4" w:space="0" w:color="auto"/>
            </w:tcBorders>
            <w:vAlign w:val="center"/>
          </w:tcPr>
          <w:p w14:paraId="64166427" w14:textId="77777777" w:rsidR="00A54A8A" w:rsidRPr="00E67914" w:rsidRDefault="00A54A8A">
            <w:pPr>
              <w:adjustRightInd w:val="0"/>
              <w:snapToGrid w:val="0"/>
              <w:jc w:val="center"/>
              <w:rPr>
                <w:rFonts w:ascii="Times New Roman" w:hAnsi="Times New Roman"/>
                <w:sz w:val="21"/>
                <w:szCs w:val="21"/>
              </w:rPr>
            </w:pPr>
          </w:p>
        </w:tc>
        <w:tc>
          <w:tcPr>
            <w:tcW w:w="777" w:type="dxa"/>
            <w:tcBorders>
              <w:top w:val="single" w:sz="4" w:space="0" w:color="auto"/>
              <w:left w:val="single" w:sz="4" w:space="0" w:color="auto"/>
              <w:bottom w:val="single" w:sz="4" w:space="0" w:color="auto"/>
              <w:right w:val="single" w:sz="4" w:space="0" w:color="auto"/>
            </w:tcBorders>
            <w:vAlign w:val="center"/>
          </w:tcPr>
          <w:p w14:paraId="4A0D23D4" w14:textId="77777777" w:rsidR="00A54A8A" w:rsidRPr="00E67914" w:rsidRDefault="00A54A8A">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752458EC" w14:textId="77777777" w:rsidR="00A54A8A" w:rsidRPr="00E67914" w:rsidRDefault="00A54A8A">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0E745EEE" w14:textId="77777777" w:rsidR="00A54A8A" w:rsidRPr="00E67914" w:rsidRDefault="00A54A8A">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216A9A6B" w14:textId="77777777" w:rsidR="00A54A8A" w:rsidRPr="00E67914" w:rsidRDefault="00A54A8A">
            <w:pPr>
              <w:adjustRightInd w:val="0"/>
              <w:snapToGrid w:val="0"/>
              <w:jc w:val="center"/>
              <w:rPr>
                <w:rFonts w:ascii="Times New Roman" w:hAnsi="Times New Roman"/>
                <w:sz w:val="21"/>
                <w:szCs w:val="21"/>
              </w:rPr>
            </w:pPr>
          </w:p>
        </w:tc>
      </w:tr>
      <w:tr w:rsidR="002662E3" w:rsidRPr="00E67914" w14:paraId="19D059D6"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10726B83"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水套加热炉</w:t>
            </w:r>
          </w:p>
        </w:tc>
        <w:tc>
          <w:tcPr>
            <w:tcW w:w="858" w:type="dxa"/>
            <w:tcBorders>
              <w:top w:val="single" w:sz="4" w:space="0" w:color="auto"/>
              <w:left w:val="single" w:sz="4" w:space="0" w:color="auto"/>
              <w:bottom w:val="single" w:sz="4" w:space="0" w:color="auto"/>
              <w:right w:val="single" w:sz="4" w:space="0" w:color="auto"/>
            </w:tcBorders>
            <w:vAlign w:val="center"/>
          </w:tcPr>
          <w:p w14:paraId="10934C1F" w14:textId="5FCAC38C"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9</w:t>
            </w:r>
            <w:r w:rsidRPr="00E67914">
              <w:rPr>
                <w:rFonts w:ascii="Times New Roman" w:hAnsi="Times New Roman"/>
                <w:b/>
                <w:sz w:val="21"/>
                <w:szCs w:val="21"/>
              </w:rPr>
              <w:t>（</w:t>
            </w:r>
            <w:r w:rsidR="004471AB" w:rsidRPr="00E67914">
              <w:rPr>
                <w:rFonts w:ascii="Times New Roman" w:hAnsi="Times New Roman"/>
                <w:b/>
                <w:sz w:val="21"/>
                <w:szCs w:val="21"/>
              </w:rPr>
              <w:t>35</w:t>
            </w:r>
            <w:r w:rsidRPr="00E67914">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tcPr>
          <w:p w14:paraId="7DDBF85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tcPr>
          <w:p w14:paraId="7AD2C21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tcPr>
          <w:p w14:paraId="026E192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tcPr>
          <w:p w14:paraId="54C874D7" w14:textId="77777777" w:rsidR="00A54A8A" w:rsidRPr="00E67914" w:rsidRDefault="00A54A8A">
            <w:pPr>
              <w:adjustRightInd w:val="0"/>
              <w:snapToGrid w:val="0"/>
              <w:jc w:val="center"/>
              <w:rPr>
                <w:rFonts w:ascii="Times New Roman" w:hAnsi="Times New Roman"/>
                <w:sz w:val="21"/>
                <w:szCs w:val="21"/>
              </w:rPr>
            </w:pPr>
          </w:p>
        </w:tc>
        <w:tc>
          <w:tcPr>
            <w:tcW w:w="804" w:type="dxa"/>
            <w:tcBorders>
              <w:top w:val="single" w:sz="4" w:space="0" w:color="auto"/>
              <w:left w:val="single" w:sz="4" w:space="0" w:color="auto"/>
              <w:bottom w:val="single" w:sz="4" w:space="0" w:color="auto"/>
              <w:right w:val="single" w:sz="4" w:space="0" w:color="auto"/>
            </w:tcBorders>
            <w:vAlign w:val="center"/>
          </w:tcPr>
          <w:p w14:paraId="29373D5E" w14:textId="77777777" w:rsidR="00A54A8A" w:rsidRPr="00E67914" w:rsidRDefault="00A54A8A">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473A00C9" w14:textId="77777777" w:rsidR="00A54A8A" w:rsidRPr="00E67914" w:rsidRDefault="00A54A8A">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173CFD5B" w14:textId="77777777" w:rsidR="00A54A8A" w:rsidRPr="00E67914" w:rsidRDefault="00A54A8A">
            <w:pPr>
              <w:adjustRightInd w:val="0"/>
              <w:snapToGrid w:val="0"/>
              <w:jc w:val="center"/>
              <w:rPr>
                <w:rFonts w:ascii="Times New Roman" w:hAnsi="Times New Roman"/>
                <w:sz w:val="21"/>
                <w:szCs w:val="21"/>
              </w:rPr>
            </w:pPr>
          </w:p>
        </w:tc>
      </w:tr>
      <w:tr w:rsidR="002662E3" w:rsidRPr="00E67914" w14:paraId="071B6E43"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69132F0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装卸车鹤管</w:t>
            </w:r>
          </w:p>
        </w:tc>
        <w:tc>
          <w:tcPr>
            <w:tcW w:w="858" w:type="dxa"/>
            <w:tcBorders>
              <w:top w:val="single" w:sz="4" w:space="0" w:color="auto"/>
              <w:left w:val="single" w:sz="4" w:space="0" w:color="auto"/>
              <w:bottom w:val="single" w:sz="4" w:space="0" w:color="auto"/>
              <w:right w:val="single" w:sz="4" w:space="0" w:color="auto"/>
            </w:tcBorders>
            <w:vAlign w:val="center"/>
          </w:tcPr>
          <w:p w14:paraId="2000C41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951" w:type="dxa"/>
            <w:tcBorders>
              <w:top w:val="single" w:sz="4" w:space="0" w:color="auto"/>
              <w:left w:val="single" w:sz="4" w:space="0" w:color="auto"/>
              <w:bottom w:val="single" w:sz="4" w:space="0" w:color="auto"/>
              <w:right w:val="single" w:sz="4" w:space="0" w:color="auto"/>
            </w:tcBorders>
            <w:vAlign w:val="center"/>
          </w:tcPr>
          <w:p w14:paraId="586E787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967" w:type="dxa"/>
            <w:tcBorders>
              <w:top w:val="single" w:sz="4" w:space="0" w:color="auto"/>
              <w:left w:val="single" w:sz="4" w:space="0" w:color="auto"/>
              <w:bottom w:val="single" w:sz="4" w:space="0" w:color="auto"/>
              <w:right w:val="single" w:sz="4" w:space="0" w:color="auto"/>
            </w:tcBorders>
            <w:vAlign w:val="center"/>
          </w:tcPr>
          <w:p w14:paraId="210F971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tcPr>
          <w:p w14:paraId="6E231EF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777" w:type="dxa"/>
            <w:tcBorders>
              <w:top w:val="single" w:sz="4" w:space="0" w:color="auto"/>
              <w:left w:val="single" w:sz="4" w:space="0" w:color="auto"/>
              <w:bottom w:val="single" w:sz="4" w:space="0" w:color="auto"/>
              <w:right w:val="single" w:sz="4" w:space="0" w:color="auto"/>
            </w:tcBorders>
            <w:vAlign w:val="center"/>
          </w:tcPr>
          <w:p w14:paraId="546902D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804" w:type="dxa"/>
            <w:tcBorders>
              <w:top w:val="single" w:sz="4" w:space="0" w:color="auto"/>
              <w:left w:val="single" w:sz="4" w:space="0" w:color="auto"/>
              <w:bottom w:val="single" w:sz="4" w:space="0" w:color="auto"/>
              <w:right w:val="single" w:sz="4" w:space="0" w:color="auto"/>
            </w:tcBorders>
            <w:vAlign w:val="center"/>
          </w:tcPr>
          <w:p w14:paraId="5B9EC2A7" w14:textId="77777777" w:rsidR="00A54A8A" w:rsidRPr="00E67914" w:rsidRDefault="00A54A8A">
            <w:pPr>
              <w:adjustRightInd w:val="0"/>
              <w:snapToGrid w:val="0"/>
              <w:jc w:val="center"/>
              <w:rPr>
                <w:rFonts w:ascii="Times New Roman" w:hAnsi="Times New Roman"/>
                <w:sz w:val="21"/>
                <w:szCs w:val="21"/>
              </w:rPr>
            </w:pPr>
          </w:p>
        </w:tc>
        <w:tc>
          <w:tcPr>
            <w:tcW w:w="795" w:type="dxa"/>
            <w:tcBorders>
              <w:top w:val="single" w:sz="4" w:space="0" w:color="auto"/>
              <w:left w:val="single" w:sz="4" w:space="0" w:color="auto"/>
              <w:bottom w:val="single" w:sz="4" w:space="0" w:color="auto"/>
              <w:right w:val="single" w:sz="4" w:space="0" w:color="auto"/>
            </w:tcBorders>
            <w:vAlign w:val="center"/>
          </w:tcPr>
          <w:p w14:paraId="749E649F" w14:textId="77777777" w:rsidR="00A54A8A" w:rsidRPr="00E67914" w:rsidRDefault="00A54A8A">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7B870D70" w14:textId="77777777" w:rsidR="00A54A8A" w:rsidRPr="00E67914" w:rsidRDefault="00A54A8A">
            <w:pPr>
              <w:adjustRightInd w:val="0"/>
              <w:snapToGrid w:val="0"/>
              <w:jc w:val="center"/>
              <w:rPr>
                <w:rFonts w:ascii="Times New Roman" w:hAnsi="Times New Roman"/>
                <w:sz w:val="21"/>
                <w:szCs w:val="21"/>
              </w:rPr>
            </w:pPr>
          </w:p>
        </w:tc>
      </w:tr>
      <w:tr w:rsidR="002662E3" w:rsidRPr="00E67914" w14:paraId="03E5B239"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4261BB75" w14:textId="00BCB0CC"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天然气凝液单罐</w:t>
            </w:r>
            <w:r w:rsidRPr="00E67914">
              <w:rPr>
                <w:rFonts w:ascii="Times New Roman" w:hAnsi="Times New Roman"/>
                <w:sz w:val="21"/>
                <w:szCs w:val="21"/>
              </w:rPr>
              <w:t>&lt;50m³</w:t>
            </w:r>
          </w:p>
        </w:tc>
        <w:tc>
          <w:tcPr>
            <w:tcW w:w="858" w:type="dxa"/>
            <w:tcBorders>
              <w:top w:val="single" w:sz="4" w:space="0" w:color="auto"/>
              <w:left w:val="single" w:sz="4" w:space="0" w:color="auto"/>
              <w:bottom w:val="single" w:sz="4" w:space="0" w:color="auto"/>
              <w:right w:val="single" w:sz="4" w:space="0" w:color="auto"/>
            </w:tcBorders>
            <w:vAlign w:val="center"/>
          </w:tcPr>
          <w:p w14:paraId="3A615D6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tcPr>
          <w:p w14:paraId="444939D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967" w:type="dxa"/>
            <w:tcBorders>
              <w:top w:val="single" w:sz="4" w:space="0" w:color="auto"/>
              <w:left w:val="single" w:sz="4" w:space="0" w:color="auto"/>
              <w:bottom w:val="single" w:sz="4" w:space="0" w:color="auto"/>
              <w:right w:val="single" w:sz="4" w:space="0" w:color="auto"/>
            </w:tcBorders>
            <w:vAlign w:val="center"/>
          </w:tcPr>
          <w:p w14:paraId="483BFB5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w:t>
            </w:r>
          </w:p>
        </w:tc>
        <w:tc>
          <w:tcPr>
            <w:tcW w:w="822" w:type="dxa"/>
            <w:tcBorders>
              <w:top w:val="single" w:sz="4" w:space="0" w:color="auto"/>
              <w:left w:val="single" w:sz="4" w:space="0" w:color="auto"/>
              <w:bottom w:val="single" w:sz="4" w:space="0" w:color="auto"/>
              <w:right w:val="single" w:sz="4" w:space="0" w:color="auto"/>
            </w:tcBorders>
            <w:vAlign w:val="center"/>
          </w:tcPr>
          <w:p w14:paraId="402702F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22.5</w:t>
            </w:r>
          </w:p>
        </w:tc>
        <w:tc>
          <w:tcPr>
            <w:tcW w:w="777" w:type="dxa"/>
            <w:tcBorders>
              <w:top w:val="single" w:sz="4" w:space="0" w:color="auto"/>
              <w:left w:val="single" w:sz="4" w:space="0" w:color="auto"/>
              <w:bottom w:val="single" w:sz="4" w:space="0" w:color="auto"/>
              <w:right w:val="single" w:sz="4" w:space="0" w:color="auto"/>
            </w:tcBorders>
            <w:vAlign w:val="center"/>
          </w:tcPr>
          <w:p w14:paraId="33A991F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25</w:t>
            </w:r>
          </w:p>
        </w:tc>
        <w:tc>
          <w:tcPr>
            <w:tcW w:w="804" w:type="dxa"/>
            <w:tcBorders>
              <w:top w:val="single" w:sz="4" w:space="0" w:color="auto"/>
              <w:left w:val="single" w:sz="4" w:space="0" w:color="auto"/>
              <w:bottom w:val="single" w:sz="4" w:space="0" w:color="auto"/>
              <w:right w:val="single" w:sz="4" w:space="0" w:color="auto"/>
            </w:tcBorders>
            <w:vAlign w:val="center"/>
          </w:tcPr>
          <w:p w14:paraId="0B50F76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795" w:type="dxa"/>
            <w:tcBorders>
              <w:top w:val="single" w:sz="4" w:space="0" w:color="auto"/>
              <w:left w:val="single" w:sz="4" w:space="0" w:color="auto"/>
              <w:bottom w:val="single" w:sz="4" w:space="0" w:color="auto"/>
              <w:right w:val="single" w:sz="4" w:space="0" w:color="auto"/>
            </w:tcBorders>
            <w:vAlign w:val="center"/>
          </w:tcPr>
          <w:p w14:paraId="3C3052B5" w14:textId="77777777" w:rsidR="00A54A8A" w:rsidRPr="00E67914" w:rsidRDefault="00A54A8A">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24E1C23F" w14:textId="77777777" w:rsidR="00A54A8A" w:rsidRPr="00E67914" w:rsidRDefault="00A54A8A">
            <w:pPr>
              <w:adjustRightInd w:val="0"/>
              <w:snapToGrid w:val="0"/>
              <w:jc w:val="center"/>
              <w:rPr>
                <w:rFonts w:ascii="Times New Roman" w:hAnsi="Times New Roman"/>
                <w:sz w:val="21"/>
                <w:szCs w:val="21"/>
              </w:rPr>
            </w:pPr>
          </w:p>
        </w:tc>
      </w:tr>
      <w:tr w:rsidR="002662E3" w:rsidRPr="00E67914" w14:paraId="0182A89D"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1DF2E530"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计量仪表间、值班室</w:t>
            </w:r>
          </w:p>
        </w:tc>
        <w:tc>
          <w:tcPr>
            <w:tcW w:w="858" w:type="dxa"/>
            <w:tcBorders>
              <w:top w:val="single" w:sz="4" w:space="0" w:color="auto"/>
              <w:left w:val="single" w:sz="4" w:space="0" w:color="auto"/>
              <w:bottom w:val="single" w:sz="4" w:space="0" w:color="auto"/>
              <w:right w:val="single" w:sz="4" w:space="0" w:color="auto"/>
            </w:tcBorders>
            <w:vAlign w:val="center"/>
          </w:tcPr>
          <w:p w14:paraId="0A4F29EC" w14:textId="08CEC75A"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9</w:t>
            </w:r>
            <w:r w:rsidRPr="00E67914">
              <w:rPr>
                <w:rFonts w:ascii="Times New Roman" w:hAnsi="Times New Roman"/>
                <w:b/>
                <w:sz w:val="21"/>
                <w:szCs w:val="21"/>
              </w:rPr>
              <w:t>（</w:t>
            </w:r>
            <w:r w:rsidR="004471AB" w:rsidRPr="00E67914">
              <w:rPr>
                <w:rFonts w:ascii="Times New Roman" w:hAnsi="Times New Roman"/>
                <w:b/>
                <w:sz w:val="21"/>
                <w:szCs w:val="21"/>
              </w:rPr>
              <w:t>48</w:t>
            </w:r>
            <w:r w:rsidRPr="00E67914">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tcPr>
          <w:p w14:paraId="1A08012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tcPr>
          <w:p w14:paraId="4020F46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822" w:type="dxa"/>
            <w:tcBorders>
              <w:top w:val="single" w:sz="4" w:space="0" w:color="auto"/>
              <w:left w:val="single" w:sz="4" w:space="0" w:color="auto"/>
              <w:bottom w:val="single" w:sz="4" w:space="0" w:color="auto"/>
              <w:right w:val="single" w:sz="4" w:space="0" w:color="auto"/>
            </w:tcBorders>
            <w:vAlign w:val="center"/>
          </w:tcPr>
          <w:p w14:paraId="4B4D1F4F" w14:textId="64076CA1"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10</w:t>
            </w:r>
            <w:r w:rsidRPr="00E67914">
              <w:rPr>
                <w:rFonts w:ascii="Times New Roman" w:hAnsi="Times New Roman"/>
                <w:b/>
                <w:sz w:val="21"/>
                <w:szCs w:val="21"/>
              </w:rPr>
              <w:t>（</w:t>
            </w:r>
            <w:r w:rsidR="004471AB" w:rsidRPr="00E67914">
              <w:rPr>
                <w:rFonts w:ascii="Times New Roman" w:hAnsi="Times New Roman"/>
                <w:b/>
                <w:sz w:val="21"/>
                <w:szCs w:val="21"/>
              </w:rPr>
              <w:t>7</w:t>
            </w:r>
            <w:r w:rsidRPr="00E67914">
              <w:rPr>
                <w:rFonts w:ascii="Times New Roman" w:hAnsi="Times New Roman"/>
                <w:b/>
                <w:sz w:val="21"/>
                <w:szCs w:val="21"/>
              </w:rPr>
              <w:t>8</w:t>
            </w:r>
            <w:r w:rsidRPr="00E67914">
              <w:rPr>
                <w:rFonts w:ascii="Times New Roman" w:hAnsi="Times New Roman"/>
                <w:b/>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tcPr>
          <w:p w14:paraId="68B6F84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804" w:type="dxa"/>
            <w:tcBorders>
              <w:top w:val="single" w:sz="4" w:space="0" w:color="auto"/>
              <w:left w:val="single" w:sz="4" w:space="0" w:color="auto"/>
              <w:bottom w:val="single" w:sz="4" w:space="0" w:color="auto"/>
              <w:right w:val="single" w:sz="4" w:space="0" w:color="auto"/>
            </w:tcBorders>
            <w:vAlign w:val="center"/>
          </w:tcPr>
          <w:p w14:paraId="4E5EDEA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22.5</w:t>
            </w:r>
          </w:p>
        </w:tc>
        <w:tc>
          <w:tcPr>
            <w:tcW w:w="795" w:type="dxa"/>
            <w:tcBorders>
              <w:top w:val="single" w:sz="4" w:space="0" w:color="auto"/>
              <w:left w:val="single" w:sz="4" w:space="0" w:color="auto"/>
              <w:bottom w:val="single" w:sz="4" w:space="0" w:color="auto"/>
              <w:right w:val="single" w:sz="4" w:space="0" w:color="auto"/>
            </w:tcBorders>
            <w:vAlign w:val="center"/>
          </w:tcPr>
          <w:p w14:paraId="2890B55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983" w:type="dxa"/>
            <w:tcBorders>
              <w:top w:val="single" w:sz="4" w:space="0" w:color="auto"/>
              <w:left w:val="single" w:sz="4" w:space="0" w:color="auto"/>
              <w:bottom w:val="single" w:sz="4" w:space="0" w:color="auto"/>
              <w:right w:val="single" w:sz="4" w:space="0" w:color="auto"/>
            </w:tcBorders>
            <w:vAlign w:val="center"/>
          </w:tcPr>
          <w:p w14:paraId="52898A12" w14:textId="77777777" w:rsidR="00A54A8A" w:rsidRPr="00E67914" w:rsidRDefault="00A54A8A">
            <w:pPr>
              <w:adjustRightInd w:val="0"/>
              <w:snapToGrid w:val="0"/>
              <w:jc w:val="center"/>
              <w:rPr>
                <w:rFonts w:ascii="Times New Roman" w:hAnsi="Times New Roman"/>
                <w:sz w:val="21"/>
                <w:szCs w:val="21"/>
              </w:rPr>
            </w:pPr>
          </w:p>
        </w:tc>
      </w:tr>
      <w:tr w:rsidR="002662E3" w:rsidRPr="00E67914" w14:paraId="1C59ADED"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0C8B3AD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辅助生产厂房及辅助生产设施</w:t>
            </w:r>
          </w:p>
        </w:tc>
        <w:tc>
          <w:tcPr>
            <w:tcW w:w="858" w:type="dxa"/>
            <w:tcBorders>
              <w:top w:val="single" w:sz="4" w:space="0" w:color="auto"/>
              <w:left w:val="single" w:sz="4" w:space="0" w:color="auto"/>
              <w:bottom w:val="single" w:sz="4" w:space="0" w:color="auto"/>
              <w:right w:val="single" w:sz="4" w:space="0" w:color="auto"/>
            </w:tcBorders>
            <w:vAlign w:val="center"/>
          </w:tcPr>
          <w:p w14:paraId="545E3A7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20</w:t>
            </w:r>
          </w:p>
        </w:tc>
        <w:tc>
          <w:tcPr>
            <w:tcW w:w="951" w:type="dxa"/>
            <w:tcBorders>
              <w:top w:val="single" w:sz="4" w:space="0" w:color="auto"/>
              <w:left w:val="single" w:sz="4" w:space="0" w:color="auto"/>
              <w:bottom w:val="single" w:sz="4" w:space="0" w:color="auto"/>
              <w:right w:val="single" w:sz="4" w:space="0" w:color="auto"/>
            </w:tcBorders>
            <w:vAlign w:val="center"/>
          </w:tcPr>
          <w:p w14:paraId="3DF5576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12</w:t>
            </w:r>
          </w:p>
        </w:tc>
        <w:tc>
          <w:tcPr>
            <w:tcW w:w="967" w:type="dxa"/>
            <w:tcBorders>
              <w:top w:val="single" w:sz="4" w:space="0" w:color="auto"/>
              <w:left w:val="single" w:sz="4" w:space="0" w:color="auto"/>
              <w:bottom w:val="single" w:sz="4" w:space="0" w:color="auto"/>
              <w:right w:val="single" w:sz="4" w:space="0" w:color="auto"/>
            </w:tcBorders>
            <w:vAlign w:val="center"/>
          </w:tcPr>
          <w:p w14:paraId="082627A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822" w:type="dxa"/>
            <w:tcBorders>
              <w:top w:val="single" w:sz="4" w:space="0" w:color="auto"/>
              <w:left w:val="single" w:sz="4" w:space="0" w:color="auto"/>
              <w:bottom w:val="single" w:sz="4" w:space="0" w:color="auto"/>
              <w:right w:val="single" w:sz="4" w:space="0" w:color="auto"/>
            </w:tcBorders>
            <w:vAlign w:val="center"/>
          </w:tcPr>
          <w:p w14:paraId="3ACC6F2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tcPr>
          <w:p w14:paraId="4FD15FE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c>
          <w:tcPr>
            <w:tcW w:w="804" w:type="dxa"/>
            <w:tcBorders>
              <w:top w:val="single" w:sz="4" w:space="0" w:color="auto"/>
              <w:left w:val="single" w:sz="4" w:space="0" w:color="auto"/>
              <w:bottom w:val="single" w:sz="4" w:space="0" w:color="auto"/>
              <w:right w:val="single" w:sz="4" w:space="0" w:color="auto"/>
            </w:tcBorders>
            <w:vAlign w:val="center"/>
          </w:tcPr>
          <w:p w14:paraId="2E58B28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22.5</w:t>
            </w:r>
          </w:p>
        </w:tc>
        <w:tc>
          <w:tcPr>
            <w:tcW w:w="795" w:type="dxa"/>
            <w:tcBorders>
              <w:top w:val="single" w:sz="4" w:space="0" w:color="auto"/>
              <w:left w:val="single" w:sz="4" w:space="0" w:color="auto"/>
              <w:bottom w:val="single" w:sz="4" w:space="0" w:color="auto"/>
              <w:right w:val="single" w:sz="4" w:space="0" w:color="auto"/>
            </w:tcBorders>
            <w:vAlign w:val="center"/>
          </w:tcPr>
          <w:p w14:paraId="1BC5B2D2" w14:textId="77777777" w:rsidR="00A54A8A" w:rsidRPr="00E67914" w:rsidRDefault="00A54A8A">
            <w:pPr>
              <w:adjustRightInd w:val="0"/>
              <w:snapToGrid w:val="0"/>
              <w:jc w:val="center"/>
              <w:rPr>
                <w:rFonts w:ascii="Times New Roman" w:hAnsi="Times New Roman"/>
                <w:sz w:val="21"/>
                <w:szCs w:val="21"/>
              </w:rPr>
            </w:pPr>
          </w:p>
        </w:tc>
        <w:tc>
          <w:tcPr>
            <w:tcW w:w="983" w:type="dxa"/>
            <w:tcBorders>
              <w:top w:val="single" w:sz="4" w:space="0" w:color="auto"/>
              <w:left w:val="single" w:sz="4" w:space="0" w:color="auto"/>
              <w:bottom w:val="single" w:sz="4" w:space="0" w:color="auto"/>
              <w:right w:val="single" w:sz="4" w:space="0" w:color="auto"/>
            </w:tcBorders>
            <w:vAlign w:val="center"/>
          </w:tcPr>
          <w:p w14:paraId="0A69EA9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r>
      <w:tr w:rsidR="002662E3" w:rsidRPr="00E67914" w14:paraId="1945E086" w14:textId="77777777">
        <w:trPr>
          <w:jc w:val="center"/>
        </w:trPr>
        <w:tc>
          <w:tcPr>
            <w:tcW w:w="1265" w:type="dxa"/>
            <w:tcBorders>
              <w:top w:val="single" w:sz="4" w:space="0" w:color="auto"/>
              <w:left w:val="single" w:sz="4" w:space="0" w:color="auto"/>
              <w:bottom w:val="single" w:sz="4" w:space="0" w:color="auto"/>
              <w:right w:val="single" w:sz="4" w:space="0" w:color="auto"/>
            </w:tcBorders>
            <w:vAlign w:val="center"/>
          </w:tcPr>
          <w:p w14:paraId="3772155F"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污水池</w:t>
            </w:r>
          </w:p>
        </w:tc>
        <w:tc>
          <w:tcPr>
            <w:tcW w:w="858" w:type="dxa"/>
            <w:tcBorders>
              <w:top w:val="single" w:sz="4" w:space="0" w:color="auto"/>
              <w:left w:val="single" w:sz="4" w:space="0" w:color="auto"/>
              <w:bottom w:val="single" w:sz="4" w:space="0" w:color="auto"/>
              <w:right w:val="single" w:sz="4" w:space="0" w:color="auto"/>
            </w:tcBorders>
            <w:vAlign w:val="center"/>
          </w:tcPr>
          <w:p w14:paraId="62E7904B" w14:textId="1FDE38D4"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5</w:t>
            </w:r>
            <w:r w:rsidRPr="00E67914">
              <w:rPr>
                <w:rFonts w:ascii="Times New Roman" w:hAnsi="Times New Roman"/>
                <w:b/>
                <w:sz w:val="21"/>
                <w:szCs w:val="21"/>
              </w:rPr>
              <w:t>（</w:t>
            </w:r>
            <w:r w:rsidR="004471AB" w:rsidRPr="00E67914">
              <w:rPr>
                <w:rFonts w:ascii="Times New Roman" w:hAnsi="Times New Roman"/>
                <w:b/>
                <w:sz w:val="21"/>
                <w:szCs w:val="21"/>
              </w:rPr>
              <w:t>70</w:t>
            </w:r>
            <w:r w:rsidRPr="00E67914">
              <w:rPr>
                <w:rFonts w:ascii="Times New Roman" w:hAnsi="Times New Roman"/>
                <w:b/>
                <w:sz w:val="21"/>
                <w:szCs w:val="21"/>
              </w:rPr>
              <w:t>）</w:t>
            </w:r>
          </w:p>
        </w:tc>
        <w:tc>
          <w:tcPr>
            <w:tcW w:w="951" w:type="dxa"/>
            <w:tcBorders>
              <w:top w:val="single" w:sz="4" w:space="0" w:color="auto"/>
              <w:left w:val="single" w:sz="4" w:space="0" w:color="auto"/>
              <w:bottom w:val="single" w:sz="4" w:space="0" w:color="auto"/>
              <w:right w:val="single" w:sz="4" w:space="0" w:color="auto"/>
            </w:tcBorders>
            <w:vAlign w:val="center"/>
          </w:tcPr>
          <w:p w14:paraId="6897737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967" w:type="dxa"/>
            <w:tcBorders>
              <w:top w:val="single" w:sz="4" w:space="0" w:color="auto"/>
              <w:left w:val="single" w:sz="4" w:space="0" w:color="auto"/>
              <w:bottom w:val="single" w:sz="4" w:space="0" w:color="auto"/>
              <w:right w:val="single" w:sz="4" w:space="0" w:color="auto"/>
            </w:tcBorders>
            <w:vAlign w:val="center"/>
          </w:tcPr>
          <w:p w14:paraId="1534D35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822" w:type="dxa"/>
            <w:tcBorders>
              <w:top w:val="single" w:sz="4" w:space="0" w:color="auto"/>
              <w:left w:val="single" w:sz="4" w:space="0" w:color="auto"/>
              <w:bottom w:val="single" w:sz="4" w:space="0" w:color="auto"/>
              <w:right w:val="single" w:sz="4" w:space="0" w:color="auto"/>
            </w:tcBorders>
            <w:vAlign w:val="center"/>
          </w:tcPr>
          <w:p w14:paraId="269BFB1C" w14:textId="5A679699"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5</w:t>
            </w:r>
            <w:r w:rsidRPr="00E67914">
              <w:rPr>
                <w:rFonts w:ascii="Times New Roman" w:hAnsi="Times New Roman"/>
                <w:b/>
                <w:sz w:val="21"/>
                <w:szCs w:val="21"/>
              </w:rPr>
              <w:t>（</w:t>
            </w:r>
            <w:r w:rsidR="004471AB" w:rsidRPr="00E67914">
              <w:rPr>
                <w:rFonts w:ascii="Times New Roman" w:hAnsi="Times New Roman"/>
                <w:b/>
                <w:sz w:val="21"/>
                <w:szCs w:val="21"/>
              </w:rPr>
              <w:t>106</w:t>
            </w:r>
            <w:r w:rsidRPr="00E67914">
              <w:rPr>
                <w:rFonts w:ascii="Times New Roman" w:hAnsi="Times New Roman"/>
                <w:b/>
                <w:sz w:val="21"/>
                <w:szCs w:val="21"/>
              </w:rPr>
              <w:t>）</w:t>
            </w:r>
          </w:p>
        </w:tc>
        <w:tc>
          <w:tcPr>
            <w:tcW w:w="777" w:type="dxa"/>
            <w:tcBorders>
              <w:top w:val="single" w:sz="4" w:space="0" w:color="auto"/>
              <w:left w:val="single" w:sz="4" w:space="0" w:color="auto"/>
              <w:bottom w:val="single" w:sz="4" w:space="0" w:color="auto"/>
              <w:right w:val="single" w:sz="4" w:space="0" w:color="auto"/>
            </w:tcBorders>
            <w:vAlign w:val="center"/>
          </w:tcPr>
          <w:p w14:paraId="48FD207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804" w:type="dxa"/>
            <w:tcBorders>
              <w:top w:val="single" w:sz="4" w:space="0" w:color="auto"/>
              <w:left w:val="single" w:sz="4" w:space="0" w:color="auto"/>
              <w:bottom w:val="single" w:sz="4" w:space="0" w:color="auto"/>
              <w:right w:val="single" w:sz="4" w:space="0" w:color="auto"/>
            </w:tcBorders>
            <w:vAlign w:val="center"/>
          </w:tcPr>
          <w:p w14:paraId="31D4218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795" w:type="dxa"/>
            <w:tcBorders>
              <w:top w:val="single" w:sz="4" w:space="0" w:color="auto"/>
              <w:left w:val="single" w:sz="4" w:space="0" w:color="auto"/>
              <w:bottom w:val="single" w:sz="4" w:space="0" w:color="auto"/>
              <w:right w:val="single" w:sz="4" w:space="0" w:color="auto"/>
            </w:tcBorders>
            <w:vAlign w:val="center"/>
          </w:tcPr>
          <w:p w14:paraId="3217ABF0" w14:textId="2703A309"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10</w:t>
            </w:r>
            <w:r w:rsidRPr="00E67914">
              <w:rPr>
                <w:rFonts w:ascii="Times New Roman" w:hAnsi="Times New Roman"/>
                <w:b/>
                <w:sz w:val="21"/>
                <w:szCs w:val="21"/>
              </w:rPr>
              <w:t>（</w:t>
            </w:r>
            <w:r w:rsidRPr="00E67914">
              <w:rPr>
                <w:rFonts w:ascii="Times New Roman" w:hAnsi="Times New Roman"/>
                <w:b/>
                <w:sz w:val="21"/>
                <w:szCs w:val="21"/>
              </w:rPr>
              <w:t>5</w:t>
            </w:r>
            <w:r w:rsidR="004471AB" w:rsidRPr="00E67914">
              <w:rPr>
                <w:rFonts w:ascii="Times New Roman" w:hAnsi="Times New Roman"/>
                <w:b/>
                <w:sz w:val="21"/>
                <w:szCs w:val="21"/>
              </w:rPr>
              <w:t>1</w:t>
            </w:r>
            <w:r w:rsidRPr="00E67914">
              <w:rPr>
                <w:rFonts w:ascii="Times New Roman" w:hAnsi="Times New Roman"/>
                <w:b/>
                <w:sz w:val="21"/>
                <w:szCs w:val="21"/>
              </w:rPr>
              <w:t>）</w:t>
            </w:r>
          </w:p>
        </w:tc>
        <w:tc>
          <w:tcPr>
            <w:tcW w:w="983" w:type="dxa"/>
            <w:tcBorders>
              <w:top w:val="single" w:sz="4" w:space="0" w:color="auto"/>
              <w:left w:val="single" w:sz="4" w:space="0" w:color="auto"/>
              <w:bottom w:val="single" w:sz="4" w:space="0" w:color="auto"/>
              <w:right w:val="single" w:sz="4" w:space="0" w:color="auto"/>
            </w:tcBorders>
            <w:vAlign w:val="center"/>
          </w:tcPr>
          <w:p w14:paraId="512BD2E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w:t>
            </w:r>
          </w:p>
        </w:tc>
      </w:tr>
      <w:tr w:rsidR="002662E3" w:rsidRPr="00E67914" w14:paraId="665D84DC" w14:textId="77777777">
        <w:trPr>
          <w:jc w:val="center"/>
        </w:trPr>
        <w:tc>
          <w:tcPr>
            <w:tcW w:w="8222" w:type="dxa"/>
            <w:gridSpan w:val="9"/>
            <w:tcBorders>
              <w:top w:val="single" w:sz="4" w:space="0" w:color="auto"/>
              <w:left w:val="single" w:sz="4" w:space="0" w:color="auto"/>
              <w:bottom w:val="single" w:sz="4" w:space="0" w:color="auto"/>
              <w:right w:val="single" w:sz="4" w:space="0" w:color="auto"/>
            </w:tcBorders>
            <w:vAlign w:val="center"/>
          </w:tcPr>
          <w:p w14:paraId="28C345E7" w14:textId="2583E230"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注：括号内为本项目试采站实际距离</w:t>
            </w:r>
            <w:r w:rsidR="007E6B0C" w:rsidRPr="00E67914">
              <w:rPr>
                <w:rFonts w:ascii="Times New Roman" w:hAnsi="Times New Roman"/>
                <w:sz w:val="21"/>
                <w:szCs w:val="21"/>
                <w:lang w:eastAsia="zh-CN"/>
              </w:rPr>
              <w:t>。</w:t>
            </w:r>
          </w:p>
        </w:tc>
      </w:tr>
    </w:tbl>
    <w:p w14:paraId="2CBED2E0" w14:textId="5438666C" w:rsidR="00A54A8A" w:rsidRPr="00E67914" w:rsidRDefault="00000000">
      <w:pPr>
        <w:widowControl w:val="0"/>
        <w:tabs>
          <w:tab w:val="left" w:pos="0"/>
        </w:tabs>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本项目站场为五级天然气井站，站内设施较少，主要涉及油气井、</w:t>
      </w:r>
      <w:r w:rsidR="004471AB" w:rsidRPr="00E67914">
        <w:rPr>
          <w:rFonts w:ascii="Times New Roman" w:hAnsi="Times New Roman"/>
          <w:sz w:val="24"/>
          <w:lang w:eastAsia="zh-CN"/>
        </w:rPr>
        <w:t>水套加热炉、气液两相分离器、油气水三相分离器、放空分离器撬、双筒高效除砂器撬、燃料气调压分离器撬、放空分液罐、采出水罐、油罐</w:t>
      </w:r>
      <w:r w:rsidRPr="00E67914">
        <w:rPr>
          <w:rFonts w:ascii="Times New Roman" w:hAnsi="Times New Roman"/>
          <w:sz w:val="24"/>
          <w:lang w:eastAsia="zh-CN"/>
        </w:rPr>
        <w:t>及外输阀组</w:t>
      </w:r>
      <w:r w:rsidRPr="00E67914">
        <w:rPr>
          <w:rFonts w:ascii="Times New Roman" w:hAnsi="Times New Roman"/>
          <w:bCs/>
          <w:kern w:val="2"/>
          <w:sz w:val="24"/>
          <w:szCs w:val="24"/>
          <w:lang w:eastAsia="zh-CN"/>
        </w:rPr>
        <w:t>和辅助生</w:t>
      </w:r>
      <w:r w:rsidRPr="00E67914">
        <w:rPr>
          <w:rFonts w:ascii="Times New Roman" w:hAnsi="Times New Roman"/>
          <w:bCs/>
          <w:kern w:val="2"/>
          <w:sz w:val="24"/>
          <w:szCs w:val="24"/>
          <w:lang w:eastAsia="zh-CN"/>
        </w:rPr>
        <w:lastRenderedPageBreak/>
        <w:t>产用房（配电间、控制室）等。工艺流程区（</w:t>
      </w:r>
      <w:r w:rsidR="004471AB" w:rsidRPr="00E67914">
        <w:rPr>
          <w:rFonts w:ascii="Times New Roman" w:hAnsi="Times New Roman"/>
          <w:sz w:val="24"/>
          <w:lang w:eastAsia="zh-CN"/>
        </w:rPr>
        <w:t>水套加热炉、气液两相分离器、油气水三相分离器、放空分离器撬、双筒高效除砂器撬、燃料气调压分离器撬</w:t>
      </w:r>
      <w:r w:rsidRPr="00E67914">
        <w:rPr>
          <w:rFonts w:ascii="Times New Roman" w:hAnsi="Times New Roman"/>
          <w:bCs/>
          <w:kern w:val="2"/>
          <w:sz w:val="24"/>
          <w:szCs w:val="24"/>
          <w:lang w:eastAsia="zh-CN"/>
        </w:rPr>
        <w:t>）位于站场</w:t>
      </w:r>
      <w:r w:rsidR="004471AB" w:rsidRPr="00E67914">
        <w:rPr>
          <w:rFonts w:ascii="Times New Roman" w:hAnsi="Times New Roman"/>
          <w:bCs/>
          <w:kern w:val="2"/>
          <w:sz w:val="24"/>
          <w:szCs w:val="24"/>
          <w:lang w:eastAsia="zh-CN"/>
        </w:rPr>
        <w:t>西</w:t>
      </w:r>
      <w:r w:rsidRPr="00E67914">
        <w:rPr>
          <w:rFonts w:ascii="Times New Roman" w:hAnsi="Times New Roman"/>
          <w:bCs/>
          <w:kern w:val="2"/>
          <w:sz w:val="24"/>
          <w:szCs w:val="24"/>
          <w:lang w:eastAsia="zh-CN"/>
        </w:rPr>
        <w:t>部，</w:t>
      </w:r>
      <w:r w:rsidR="004471AB" w:rsidRPr="00E67914">
        <w:rPr>
          <w:rFonts w:ascii="Times New Roman" w:hAnsi="Times New Roman"/>
          <w:sz w:val="24"/>
          <w:lang w:eastAsia="zh-CN"/>
        </w:rPr>
        <w:t>放空分液罐、采出水罐、油罐</w:t>
      </w:r>
      <w:r w:rsidRPr="00E67914">
        <w:rPr>
          <w:rFonts w:ascii="Times New Roman" w:hAnsi="Times New Roman"/>
          <w:bCs/>
          <w:kern w:val="2"/>
          <w:sz w:val="24"/>
          <w:szCs w:val="24"/>
          <w:lang w:eastAsia="zh-CN"/>
        </w:rPr>
        <w:t>位于北部，配电间、控制室位于试采站</w:t>
      </w:r>
      <w:r w:rsidR="004471AB" w:rsidRPr="00E67914">
        <w:rPr>
          <w:rFonts w:ascii="Times New Roman" w:hAnsi="Times New Roman"/>
          <w:bCs/>
          <w:kern w:val="2"/>
          <w:sz w:val="24"/>
          <w:szCs w:val="24"/>
          <w:lang w:eastAsia="zh-CN"/>
        </w:rPr>
        <w:t>东</w:t>
      </w:r>
      <w:r w:rsidRPr="00E67914">
        <w:rPr>
          <w:rFonts w:ascii="Times New Roman" w:hAnsi="Times New Roman"/>
          <w:bCs/>
          <w:kern w:val="2"/>
          <w:sz w:val="24"/>
          <w:szCs w:val="24"/>
          <w:lang w:eastAsia="zh-CN"/>
        </w:rPr>
        <w:t>侧，</w:t>
      </w:r>
      <w:r w:rsidR="004471AB" w:rsidRPr="00E67914">
        <w:rPr>
          <w:rFonts w:ascii="Times New Roman" w:hAnsi="Times New Roman"/>
          <w:bCs/>
          <w:kern w:val="2"/>
          <w:sz w:val="24"/>
          <w:szCs w:val="24"/>
          <w:lang w:eastAsia="zh-CN"/>
        </w:rPr>
        <w:t>放喷池</w:t>
      </w:r>
      <w:r w:rsidRPr="00E67914">
        <w:rPr>
          <w:rFonts w:ascii="Times New Roman" w:hAnsi="Times New Roman"/>
          <w:bCs/>
          <w:kern w:val="2"/>
          <w:sz w:val="24"/>
          <w:szCs w:val="24"/>
          <w:lang w:eastAsia="zh-CN"/>
        </w:rPr>
        <w:t>位于试采站外</w:t>
      </w:r>
      <w:r w:rsidR="006B6B13" w:rsidRPr="00E67914">
        <w:rPr>
          <w:rFonts w:ascii="Times New Roman" w:hAnsi="Times New Roman"/>
          <w:bCs/>
          <w:kern w:val="2"/>
          <w:sz w:val="24"/>
          <w:szCs w:val="24"/>
          <w:lang w:eastAsia="zh-CN"/>
        </w:rPr>
        <w:t>西</w:t>
      </w:r>
      <w:r w:rsidRPr="00E67914">
        <w:rPr>
          <w:rFonts w:ascii="Times New Roman" w:hAnsi="Times New Roman"/>
          <w:bCs/>
          <w:kern w:val="2"/>
          <w:sz w:val="24"/>
          <w:szCs w:val="24"/>
          <w:lang w:eastAsia="zh-CN"/>
        </w:rPr>
        <w:t>侧，尽量减少了辅助设施的建设和占地，整个试采站能做到功能分区合理，不杂乱，便于物料进出，同时井口、</w:t>
      </w:r>
      <w:r w:rsidR="00A9536E" w:rsidRPr="00E67914">
        <w:rPr>
          <w:rFonts w:ascii="Times New Roman" w:hAnsi="Times New Roman"/>
          <w:bCs/>
          <w:kern w:val="2"/>
          <w:sz w:val="24"/>
          <w:szCs w:val="24"/>
          <w:lang w:eastAsia="zh-CN"/>
        </w:rPr>
        <w:t>放空分液罐、采出水罐</w:t>
      </w:r>
      <w:r w:rsidRPr="00E67914">
        <w:rPr>
          <w:rFonts w:ascii="Times New Roman" w:hAnsi="Times New Roman"/>
          <w:bCs/>
          <w:kern w:val="2"/>
          <w:sz w:val="24"/>
          <w:szCs w:val="24"/>
          <w:lang w:eastAsia="zh-CN"/>
        </w:rPr>
        <w:t>、水套加热炉和辅助生产用房相互之间的距离均大于防火间距，满足《石油天然气工程设计防火规范》（</w:t>
      </w:r>
      <w:r w:rsidRPr="00E67914">
        <w:rPr>
          <w:rFonts w:ascii="Times New Roman" w:hAnsi="Times New Roman"/>
          <w:bCs/>
          <w:kern w:val="2"/>
          <w:sz w:val="24"/>
          <w:szCs w:val="24"/>
          <w:lang w:eastAsia="zh-CN"/>
        </w:rPr>
        <w:t>GB50183-2004</w:t>
      </w:r>
      <w:r w:rsidRPr="00E67914">
        <w:rPr>
          <w:rFonts w:ascii="Times New Roman" w:hAnsi="Times New Roman"/>
          <w:bCs/>
          <w:kern w:val="2"/>
          <w:sz w:val="24"/>
          <w:szCs w:val="24"/>
          <w:lang w:eastAsia="zh-CN"/>
        </w:rPr>
        <w:t>）的第</w:t>
      </w:r>
      <w:r w:rsidRPr="00E67914">
        <w:rPr>
          <w:rFonts w:ascii="Times New Roman" w:hAnsi="Times New Roman"/>
          <w:bCs/>
          <w:kern w:val="2"/>
          <w:sz w:val="24"/>
          <w:szCs w:val="24"/>
          <w:lang w:eastAsia="zh-CN"/>
        </w:rPr>
        <w:t>5.2.3</w:t>
      </w:r>
      <w:r w:rsidRPr="00E67914">
        <w:rPr>
          <w:rFonts w:ascii="Times New Roman" w:hAnsi="Times New Roman"/>
          <w:bCs/>
          <w:kern w:val="2"/>
          <w:sz w:val="24"/>
          <w:szCs w:val="24"/>
          <w:lang w:eastAsia="zh-CN"/>
        </w:rPr>
        <w:t>条规定。放空区位于试采站东南侧，扩散条件良好，满足《石油天然气工程设计防火规范》（</w:t>
      </w:r>
      <w:r w:rsidRPr="00E67914">
        <w:rPr>
          <w:rFonts w:ascii="Times New Roman" w:hAnsi="Times New Roman"/>
          <w:bCs/>
          <w:kern w:val="2"/>
          <w:sz w:val="24"/>
          <w:szCs w:val="24"/>
          <w:lang w:eastAsia="zh-CN"/>
        </w:rPr>
        <w:t>GB50183-2004</w:t>
      </w:r>
      <w:r w:rsidRPr="00E67914">
        <w:rPr>
          <w:rFonts w:ascii="Times New Roman" w:hAnsi="Times New Roman"/>
          <w:bCs/>
          <w:kern w:val="2"/>
          <w:sz w:val="24"/>
          <w:szCs w:val="24"/>
          <w:lang w:eastAsia="zh-CN"/>
        </w:rPr>
        <w:t>）第</w:t>
      </w:r>
      <w:r w:rsidRPr="00E67914">
        <w:rPr>
          <w:rFonts w:ascii="Times New Roman" w:hAnsi="Times New Roman"/>
          <w:bCs/>
          <w:kern w:val="2"/>
          <w:sz w:val="24"/>
          <w:szCs w:val="24"/>
          <w:lang w:eastAsia="zh-CN"/>
        </w:rPr>
        <w:t>4.0.8</w:t>
      </w:r>
      <w:r w:rsidRPr="00E67914">
        <w:rPr>
          <w:rFonts w:ascii="Times New Roman" w:hAnsi="Times New Roman"/>
          <w:bCs/>
          <w:kern w:val="2"/>
          <w:sz w:val="24"/>
          <w:szCs w:val="24"/>
          <w:lang w:eastAsia="zh-CN"/>
        </w:rPr>
        <w:t>条规定。项目试采站运期噪声为气流摩擦噪声，由于采气规模小，噪声源声级值低，站界噪声和敏感点噪声均能满足相应标准要求。因此，试采期井站工程布局是合理的。</w:t>
      </w:r>
      <w:bookmarkEnd w:id="54"/>
    </w:p>
    <w:p w14:paraId="2FACA4E2" w14:textId="37D0D245" w:rsidR="00A54A8A" w:rsidRPr="00E67914" w:rsidRDefault="00475A84">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试采站采用雨污分流设计，其中</w:t>
      </w:r>
      <w:r w:rsidR="00193429" w:rsidRPr="00E67914">
        <w:rPr>
          <w:rFonts w:ascii="Times New Roman" w:hAnsi="Times New Roman"/>
          <w:bCs/>
          <w:kern w:val="2"/>
          <w:sz w:val="24"/>
          <w:szCs w:val="24"/>
          <w:lang w:eastAsia="zh-CN"/>
        </w:rPr>
        <w:t>普陆页</w:t>
      </w:r>
      <w:r w:rsidR="00193429" w:rsidRPr="00E67914">
        <w:rPr>
          <w:rFonts w:ascii="Times New Roman" w:hAnsi="Times New Roman"/>
          <w:bCs/>
          <w:kern w:val="2"/>
          <w:sz w:val="24"/>
          <w:szCs w:val="24"/>
          <w:lang w:eastAsia="zh-CN"/>
        </w:rPr>
        <w:t>2</w:t>
      </w:r>
      <w:r w:rsidR="00193429" w:rsidRPr="00E67914">
        <w:rPr>
          <w:rFonts w:ascii="Times New Roman" w:hAnsi="Times New Roman"/>
          <w:bCs/>
          <w:kern w:val="2"/>
          <w:sz w:val="24"/>
          <w:szCs w:val="24"/>
          <w:lang w:eastAsia="zh-CN"/>
        </w:rPr>
        <w:t>试采站</w:t>
      </w:r>
      <w:r w:rsidRPr="00E67914">
        <w:rPr>
          <w:rFonts w:ascii="Times New Roman" w:hAnsi="Times New Roman"/>
          <w:bCs/>
          <w:kern w:val="2"/>
          <w:sz w:val="24"/>
          <w:szCs w:val="24"/>
          <w:lang w:eastAsia="zh-CN"/>
        </w:rPr>
        <w:t>边沟保存完好，可利旧，内排污沟需新建。新建</w:t>
      </w:r>
      <w:r w:rsidRPr="00E67914">
        <w:rPr>
          <w:rFonts w:ascii="Times New Roman" w:hAnsi="Times New Roman"/>
          <w:bCs/>
          <w:kern w:val="2"/>
          <w:sz w:val="24"/>
          <w:szCs w:val="24"/>
          <w:lang w:eastAsia="zh-CN"/>
        </w:rPr>
        <w:t>0.3m</w:t>
      </w:r>
      <w:r w:rsidRPr="00E67914">
        <w:rPr>
          <w:rFonts w:ascii="Times New Roman" w:hAnsi="Times New Roman"/>
          <w:bCs/>
          <w:kern w:val="2"/>
          <w:sz w:val="24"/>
          <w:szCs w:val="24"/>
          <w:lang w:eastAsia="zh-CN"/>
        </w:rPr>
        <w:t>宽环状排污沟</w:t>
      </w:r>
      <w:r w:rsidRPr="00E67914">
        <w:rPr>
          <w:rFonts w:ascii="Times New Roman" w:hAnsi="Times New Roman"/>
          <w:bCs/>
          <w:kern w:val="2"/>
          <w:sz w:val="24"/>
          <w:szCs w:val="24"/>
          <w:lang w:eastAsia="zh-CN"/>
        </w:rPr>
        <w:t>320m</w:t>
      </w:r>
      <w:r w:rsidRPr="00E67914">
        <w:rPr>
          <w:rFonts w:ascii="Times New Roman" w:hAnsi="Times New Roman"/>
          <w:bCs/>
          <w:kern w:val="2"/>
          <w:sz w:val="24"/>
          <w:szCs w:val="24"/>
          <w:lang w:eastAsia="zh-CN"/>
        </w:rPr>
        <w:t>，放坡坡度</w:t>
      </w:r>
      <w:r w:rsidRPr="00E67914">
        <w:rPr>
          <w:rFonts w:ascii="Times New Roman" w:hAnsi="Times New Roman"/>
          <w:bCs/>
          <w:kern w:val="2"/>
          <w:sz w:val="24"/>
          <w:szCs w:val="24"/>
          <w:lang w:eastAsia="zh-CN"/>
        </w:rPr>
        <w:t>i=0.5%</w:t>
      </w:r>
      <w:r w:rsidRPr="00E67914">
        <w:rPr>
          <w:rFonts w:ascii="Times New Roman" w:hAnsi="Times New Roman"/>
          <w:bCs/>
          <w:kern w:val="2"/>
          <w:sz w:val="24"/>
          <w:szCs w:val="24"/>
          <w:lang w:eastAsia="zh-CN"/>
        </w:rPr>
        <w:t>。井场场地北高南低，污水池位于试采站东南侧，与场地内环沟相连，场地内雨污水可经内环沟自留进入污水池，试采站整体平面布置合理。</w:t>
      </w:r>
    </w:p>
    <w:p w14:paraId="0D3E2CD9" w14:textId="77777777" w:rsidR="00A54A8A" w:rsidRPr="00E67914" w:rsidRDefault="00A54A8A">
      <w:pPr>
        <w:widowControl w:val="0"/>
        <w:tabs>
          <w:tab w:val="left" w:pos="0"/>
        </w:tabs>
        <w:adjustRightInd w:val="0"/>
        <w:snapToGrid w:val="0"/>
        <w:spacing w:beforeLines="50" w:before="120" w:line="360" w:lineRule="auto"/>
        <w:ind w:firstLineChars="200" w:firstLine="480"/>
        <w:jc w:val="both"/>
        <w:rPr>
          <w:rFonts w:ascii="Times New Roman" w:hAnsi="Times New Roman"/>
          <w:bCs/>
          <w:kern w:val="2"/>
          <w:sz w:val="24"/>
          <w:szCs w:val="24"/>
          <w:lang w:eastAsia="zh-CN"/>
        </w:rPr>
      </w:pPr>
    </w:p>
    <w:p w14:paraId="6CC30D84" w14:textId="77777777" w:rsidR="00A54A8A" w:rsidRPr="00E67914" w:rsidRDefault="00A54A8A">
      <w:pPr>
        <w:rPr>
          <w:rFonts w:ascii="Times New Roman" w:hAnsi="Times New Roman"/>
          <w:lang w:eastAsia="zh-CN"/>
        </w:rPr>
        <w:sectPr w:rsidR="00A54A8A" w:rsidRPr="00E67914">
          <w:headerReference w:type="default" r:id="rId24"/>
          <w:pgSz w:w="11910" w:h="16840"/>
          <w:pgMar w:top="1440" w:right="1800" w:bottom="1440" w:left="1800" w:header="877" w:footer="1114" w:gutter="0"/>
          <w:cols w:space="720"/>
        </w:sectPr>
      </w:pPr>
    </w:p>
    <w:p w14:paraId="11EA61C3"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57" w:name="_Toc148654219"/>
      <w:r w:rsidRPr="00E67914">
        <w:rPr>
          <w:rFonts w:ascii="Times New Roman" w:eastAsia="黑体" w:hAnsi="Times New Roman"/>
          <w:b w:val="0"/>
          <w:sz w:val="28"/>
          <w:szCs w:val="28"/>
          <w:lang w:eastAsia="zh-CN"/>
        </w:rPr>
        <w:lastRenderedPageBreak/>
        <w:t>3</w:t>
      </w:r>
      <w:r w:rsidRPr="00E67914">
        <w:rPr>
          <w:rFonts w:ascii="Times New Roman" w:eastAsia="黑体" w:hAnsi="Times New Roman"/>
          <w:b w:val="0"/>
          <w:sz w:val="28"/>
          <w:szCs w:val="28"/>
          <w:lang w:eastAsia="zh-CN"/>
        </w:rPr>
        <w:t>工程分析</w:t>
      </w:r>
      <w:bookmarkEnd w:id="57"/>
    </w:p>
    <w:p w14:paraId="67B54363" w14:textId="77777777" w:rsidR="00A54A8A" w:rsidRPr="00E67914" w:rsidRDefault="00000000">
      <w:pPr>
        <w:pStyle w:val="2"/>
        <w:ind w:firstLine="480"/>
        <w:rPr>
          <w:szCs w:val="24"/>
          <w:lang w:eastAsia="zh-CN"/>
        </w:rPr>
      </w:pPr>
      <w:bookmarkStart w:id="58" w:name="_Toc148654220"/>
      <w:r w:rsidRPr="00E67914">
        <w:rPr>
          <w:szCs w:val="24"/>
          <w:lang w:eastAsia="zh-CN"/>
        </w:rPr>
        <w:t>3.1</w:t>
      </w:r>
      <w:r w:rsidRPr="00E67914">
        <w:rPr>
          <w:szCs w:val="24"/>
          <w:lang w:eastAsia="zh-CN"/>
        </w:rPr>
        <w:t>现有工程建设情况</w:t>
      </w:r>
      <w:bookmarkEnd w:id="58"/>
    </w:p>
    <w:p w14:paraId="2FE72D18"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3.1.1</w:t>
      </w:r>
      <w:r w:rsidRPr="00E67914">
        <w:rPr>
          <w:rFonts w:ascii="Times New Roman" w:eastAsia="黑体" w:hAnsi="Times New Roman"/>
          <w:b w:val="0"/>
          <w:sz w:val="24"/>
          <w:szCs w:val="24"/>
          <w:lang w:eastAsia="zh-CN"/>
        </w:rPr>
        <w:t>环保手续履行情况</w:t>
      </w:r>
    </w:p>
    <w:p w14:paraId="52B9BC6C" w14:textId="21632FE2" w:rsidR="00A54A8A" w:rsidRPr="00E67914" w:rsidRDefault="00561DC5">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本项目拟依托的原普陆页</w:t>
      </w:r>
      <w:r w:rsidRPr="00E67914">
        <w:rPr>
          <w:rFonts w:ascii="Times New Roman" w:hAnsi="Times New Roman"/>
          <w:sz w:val="24"/>
          <w:szCs w:val="24"/>
          <w:lang w:eastAsia="zh-CN"/>
        </w:rPr>
        <w:t>2</w:t>
      </w:r>
      <w:r w:rsidRPr="00E67914">
        <w:rPr>
          <w:rFonts w:ascii="Times New Roman" w:hAnsi="Times New Roman"/>
          <w:sz w:val="24"/>
          <w:szCs w:val="24"/>
          <w:lang w:eastAsia="zh-CN"/>
        </w:rPr>
        <w:t>井场新建普陆页</w:t>
      </w:r>
      <w:r w:rsidRPr="00E67914">
        <w:rPr>
          <w:rFonts w:ascii="Times New Roman" w:hAnsi="Times New Roman"/>
          <w:sz w:val="24"/>
          <w:szCs w:val="24"/>
          <w:lang w:eastAsia="zh-CN"/>
        </w:rPr>
        <w:t>2</w:t>
      </w:r>
      <w:r w:rsidRPr="00E67914">
        <w:rPr>
          <w:rFonts w:ascii="Times New Roman" w:hAnsi="Times New Roman"/>
          <w:sz w:val="24"/>
          <w:szCs w:val="24"/>
          <w:lang w:eastAsia="zh-CN"/>
        </w:rPr>
        <w:t>试采站。本项目依托的井场环评、竣工环境保护验收履行情况见表</w:t>
      </w:r>
      <w:r w:rsidRPr="00E67914">
        <w:rPr>
          <w:rFonts w:ascii="Times New Roman" w:hAnsi="Times New Roman"/>
          <w:sz w:val="24"/>
          <w:szCs w:val="24"/>
          <w:lang w:eastAsia="zh-CN"/>
        </w:rPr>
        <w:t>3.1-1</w:t>
      </w:r>
      <w:r w:rsidRPr="00E67914">
        <w:rPr>
          <w:rFonts w:ascii="Times New Roman" w:hAnsi="Times New Roman"/>
          <w:sz w:val="24"/>
          <w:szCs w:val="24"/>
          <w:lang w:eastAsia="zh-CN"/>
        </w:rPr>
        <w:t>。</w:t>
      </w:r>
    </w:p>
    <w:p w14:paraId="3A7E58BF"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3.1-1  </w:t>
      </w:r>
      <w:r w:rsidRPr="00E67914">
        <w:rPr>
          <w:rFonts w:ascii="Times New Roman" w:eastAsia="黑体" w:hAnsi="Times New Roman"/>
          <w:sz w:val="21"/>
          <w:szCs w:val="21"/>
          <w:lang w:eastAsia="zh-CN"/>
        </w:rPr>
        <w:t>依托工程环境保护手续履行情况一览表</w:t>
      </w:r>
    </w:p>
    <w:tbl>
      <w:tblPr>
        <w:tblStyle w:val="S"/>
        <w:tblW w:w="5000" w:type="pct"/>
        <w:tblLook w:val="04A0" w:firstRow="1" w:lastRow="0" w:firstColumn="1" w:lastColumn="0" w:noHBand="0" w:noVBand="1"/>
      </w:tblPr>
      <w:tblGrid>
        <w:gridCol w:w="779"/>
        <w:gridCol w:w="1952"/>
        <w:gridCol w:w="1715"/>
        <w:gridCol w:w="1365"/>
        <w:gridCol w:w="1161"/>
        <w:gridCol w:w="604"/>
        <w:gridCol w:w="724"/>
      </w:tblGrid>
      <w:tr w:rsidR="00E67914" w:rsidRPr="00E67914" w14:paraId="3DFB5FE8" w14:textId="77777777" w:rsidTr="00561DC5">
        <w:trPr>
          <w:trHeight w:val="454"/>
        </w:trPr>
        <w:tc>
          <w:tcPr>
            <w:tcW w:w="470" w:type="pct"/>
          </w:tcPr>
          <w:p w14:paraId="08D606BF" w14:textId="77777777" w:rsidR="00561DC5" w:rsidRPr="00E67914" w:rsidRDefault="00561DC5" w:rsidP="00D506B7">
            <w:pPr>
              <w:pStyle w:val="04"/>
              <w:rPr>
                <w:rFonts w:cs="Times New Roman"/>
                <w:b/>
                <w:bCs/>
              </w:rPr>
            </w:pPr>
            <w:r w:rsidRPr="00E67914">
              <w:rPr>
                <w:rFonts w:cs="Times New Roman"/>
                <w:b/>
                <w:bCs/>
              </w:rPr>
              <w:t>依托工程</w:t>
            </w:r>
          </w:p>
        </w:tc>
        <w:tc>
          <w:tcPr>
            <w:tcW w:w="1176" w:type="pct"/>
          </w:tcPr>
          <w:p w14:paraId="15CD84D6" w14:textId="77777777" w:rsidR="00561DC5" w:rsidRPr="00E67914" w:rsidRDefault="00561DC5" w:rsidP="00D506B7">
            <w:pPr>
              <w:pStyle w:val="04"/>
              <w:rPr>
                <w:rFonts w:cs="Times New Roman"/>
                <w:b/>
                <w:bCs/>
              </w:rPr>
            </w:pPr>
            <w:r w:rsidRPr="00E67914">
              <w:rPr>
                <w:rFonts w:cs="Times New Roman"/>
                <w:b/>
                <w:bCs/>
              </w:rPr>
              <w:t>项目环评名称</w:t>
            </w:r>
          </w:p>
        </w:tc>
        <w:tc>
          <w:tcPr>
            <w:tcW w:w="1033" w:type="pct"/>
          </w:tcPr>
          <w:p w14:paraId="086DC91B" w14:textId="77777777" w:rsidR="00561DC5" w:rsidRPr="00E67914" w:rsidRDefault="00561DC5" w:rsidP="00D506B7">
            <w:pPr>
              <w:pStyle w:val="04"/>
              <w:rPr>
                <w:rFonts w:cs="Times New Roman"/>
                <w:b/>
                <w:bCs/>
              </w:rPr>
            </w:pPr>
            <w:r w:rsidRPr="00E67914">
              <w:rPr>
                <w:rFonts w:cs="Times New Roman"/>
                <w:b/>
                <w:bCs/>
              </w:rPr>
              <w:t>建设内容</w:t>
            </w:r>
          </w:p>
        </w:tc>
        <w:tc>
          <w:tcPr>
            <w:tcW w:w="822" w:type="pct"/>
          </w:tcPr>
          <w:p w14:paraId="76C8CF98" w14:textId="77777777" w:rsidR="00561DC5" w:rsidRPr="00E67914" w:rsidRDefault="00561DC5" w:rsidP="00D506B7">
            <w:pPr>
              <w:pStyle w:val="04"/>
              <w:rPr>
                <w:rFonts w:cs="Times New Roman"/>
                <w:b/>
                <w:bCs/>
              </w:rPr>
            </w:pPr>
            <w:r w:rsidRPr="00E67914">
              <w:rPr>
                <w:rFonts w:cs="Times New Roman"/>
                <w:b/>
                <w:bCs/>
              </w:rPr>
              <w:t>环评批复</w:t>
            </w:r>
          </w:p>
        </w:tc>
        <w:tc>
          <w:tcPr>
            <w:tcW w:w="699" w:type="pct"/>
          </w:tcPr>
          <w:p w14:paraId="10D102AB" w14:textId="77777777" w:rsidR="00561DC5" w:rsidRPr="00E67914" w:rsidRDefault="00561DC5" w:rsidP="00D506B7">
            <w:pPr>
              <w:pStyle w:val="04"/>
              <w:rPr>
                <w:rFonts w:cs="Times New Roman"/>
                <w:b/>
                <w:bCs/>
              </w:rPr>
            </w:pPr>
            <w:r w:rsidRPr="00E67914">
              <w:rPr>
                <w:rFonts w:cs="Times New Roman"/>
                <w:b/>
                <w:bCs/>
              </w:rPr>
              <w:t>批复时间</w:t>
            </w:r>
          </w:p>
        </w:tc>
        <w:tc>
          <w:tcPr>
            <w:tcW w:w="364" w:type="pct"/>
          </w:tcPr>
          <w:p w14:paraId="3D6004C1" w14:textId="77777777" w:rsidR="00561DC5" w:rsidRPr="00E67914" w:rsidRDefault="00561DC5" w:rsidP="00D506B7">
            <w:pPr>
              <w:pStyle w:val="04"/>
              <w:rPr>
                <w:rFonts w:cs="Times New Roman"/>
                <w:b/>
                <w:bCs/>
              </w:rPr>
            </w:pPr>
            <w:r w:rsidRPr="00E67914">
              <w:rPr>
                <w:rFonts w:cs="Times New Roman"/>
                <w:b/>
                <w:bCs/>
              </w:rPr>
              <w:t>验收文号</w:t>
            </w:r>
          </w:p>
        </w:tc>
        <w:tc>
          <w:tcPr>
            <w:tcW w:w="436" w:type="pct"/>
          </w:tcPr>
          <w:p w14:paraId="27A34784" w14:textId="77777777" w:rsidR="00561DC5" w:rsidRPr="00E67914" w:rsidRDefault="00561DC5" w:rsidP="00D506B7">
            <w:pPr>
              <w:pStyle w:val="04"/>
              <w:rPr>
                <w:rFonts w:cs="Times New Roman"/>
                <w:b/>
                <w:bCs/>
              </w:rPr>
            </w:pPr>
            <w:r w:rsidRPr="00E67914">
              <w:rPr>
                <w:rFonts w:cs="Times New Roman"/>
                <w:b/>
                <w:bCs/>
              </w:rPr>
              <w:t>验收时间</w:t>
            </w:r>
          </w:p>
        </w:tc>
      </w:tr>
      <w:tr w:rsidR="00E67914" w:rsidRPr="00E67914" w14:paraId="4CCABFAA" w14:textId="77777777" w:rsidTr="00561DC5">
        <w:trPr>
          <w:trHeight w:val="454"/>
        </w:trPr>
        <w:tc>
          <w:tcPr>
            <w:tcW w:w="470" w:type="pct"/>
          </w:tcPr>
          <w:p w14:paraId="6F9B0FA9" w14:textId="3DB2B118" w:rsidR="00561DC5" w:rsidRPr="00E67914" w:rsidRDefault="00561DC5" w:rsidP="00D506B7">
            <w:pPr>
              <w:pStyle w:val="04"/>
              <w:rPr>
                <w:rFonts w:cs="Times New Roman"/>
              </w:rPr>
            </w:pPr>
            <w:r w:rsidRPr="00E67914">
              <w:rPr>
                <w:rFonts w:cs="Times New Roman"/>
              </w:rPr>
              <w:t>原普陆页</w:t>
            </w:r>
            <w:r w:rsidRPr="00E67914">
              <w:rPr>
                <w:rFonts w:cs="Times New Roman"/>
              </w:rPr>
              <w:t>2</w:t>
            </w:r>
            <w:r w:rsidRPr="00E67914">
              <w:rPr>
                <w:rFonts w:cs="Times New Roman"/>
              </w:rPr>
              <w:t>井场</w:t>
            </w:r>
          </w:p>
        </w:tc>
        <w:tc>
          <w:tcPr>
            <w:tcW w:w="1176" w:type="pct"/>
          </w:tcPr>
          <w:p w14:paraId="2AB4B211" w14:textId="08AE8BF0" w:rsidR="00561DC5" w:rsidRPr="00E67914" w:rsidRDefault="00561DC5" w:rsidP="00D506B7">
            <w:pPr>
              <w:pStyle w:val="04"/>
              <w:rPr>
                <w:rFonts w:cs="Times New Roman"/>
              </w:rPr>
            </w:pPr>
            <w:r w:rsidRPr="00E67914">
              <w:rPr>
                <w:rFonts w:cs="Times New Roman"/>
              </w:rPr>
              <w:t>普陆页</w:t>
            </w:r>
            <w:r w:rsidRPr="00E67914">
              <w:rPr>
                <w:rFonts w:cs="Times New Roman"/>
              </w:rPr>
              <w:t>2HF</w:t>
            </w:r>
            <w:r w:rsidRPr="00E67914">
              <w:rPr>
                <w:rFonts w:cs="Times New Roman"/>
              </w:rPr>
              <w:t>井预探井工程（重新报批）环境影响报告表</w:t>
            </w:r>
          </w:p>
        </w:tc>
        <w:tc>
          <w:tcPr>
            <w:tcW w:w="1033" w:type="pct"/>
          </w:tcPr>
          <w:p w14:paraId="712010C3" w14:textId="5741AC1E" w:rsidR="00561DC5" w:rsidRPr="00E67914" w:rsidRDefault="00561DC5" w:rsidP="00D506B7">
            <w:pPr>
              <w:pStyle w:val="04"/>
              <w:rPr>
                <w:rFonts w:cs="Times New Roman"/>
              </w:rPr>
            </w:pPr>
            <w:r w:rsidRPr="00E67914">
              <w:rPr>
                <w:rFonts w:cs="Times New Roman"/>
              </w:rPr>
              <w:t>普陆页</w:t>
            </w:r>
            <w:r w:rsidRPr="00E67914">
              <w:rPr>
                <w:rFonts w:cs="Times New Roman"/>
              </w:rPr>
              <w:t>2HF</w:t>
            </w:r>
            <w:r w:rsidRPr="00E67914">
              <w:rPr>
                <w:rFonts w:cs="Times New Roman"/>
              </w:rPr>
              <w:t>井</w:t>
            </w:r>
            <w:r w:rsidR="00611A35" w:rsidRPr="00E67914">
              <w:rPr>
                <w:rFonts w:cs="Times New Roman"/>
              </w:rPr>
              <w:t>钻井工程</w:t>
            </w:r>
            <w:r w:rsidRPr="00E67914">
              <w:rPr>
                <w:rFonts w:cs="Times New Roman"/>
              </w:rPr>
              <w:t>（不涉及油气集输）</w:t>
            </w:r>
          </w:p>
        </w:tc>
        <w:tc>
          <w:tcPr>
            <w:tcW w:w="822" w:type="pct"/>
          </w:tcPr>
          <w:p w14:paraId="762FF9D4" w14:textId="1418720B" w:rsidR="00561DC5" w:rsidRPr="00E67914" w:rsidRDefault="00561DC5" w:rsidP="00D506B7">
            <w:pPr>
              <w:pStyle w:val="04"/>
              <w:rPr>
                <w:rFonts w:cs="Times New Roman"/>
              </w:rPr>
            </w:pPr>
            <w:r w:rsidRPr="00E67914">
              <w:rPr>
                <w:rFonts w:cs="Times New Roman"/>
              </w:rPr>
              <w:t>宣环审〔</w:t>
            </w:r>
            <w:r w:rsidRPr="00E67914">
              <w:rPr>
                <w:rFonts w:cs="Times New Roman"/>
              </w:rPr>
              <w:t>2022</w:t>
            </w:r>
            <w:r w:rsidRPr="00E67914">
              <w:rPr>
                <w:rFonts w:cs="Times New Roman"/>
              </w:rPr>
              <w:t>〕</w:t>
            </w:r>
            <w:r w:rsidRPr="00E67914">
              <w:rPr>
                <w:rFonts w:cs="Times New Roman"/>
              </w:rPr>
              <w:t>47</w:t>
            </w:r>
            <w:r w:rsidRPr="00E67914">
              <w:rPr>
                <w:rFonts w:cs="Times New Roman"/>
              </w:rPr>
              <w:t>号</w:t>
            </w:r>
          </w:p>
        </w:tc>
        <w:tc>
          <w:tcPr>
            <w:tcW w:w="699" w:type="pct"/>
          </w:tcPr>
          <w:p w14:paraId="299036EC" w14:textId="794A96B9" w:rsidR="00561DC5" w:rsidRPr="00E67914" w:rsidRDefault="00561DC5" w:rsidP="00D506B7">
            <w:pPr>
              <w:pStyle w:val="04"/>
              <w:rPr>
                <w:rFonts w:cs="Times New Roman"/>
              </w:rPr>
            </w:pPr>
            <w:r w:rsidRPr="00E67914">
              <w:rPr>
                <w:rFonts w:cs="Times New Roman"/>
              </w:rPr>
              <w:t>2022.12.16</w:t>
            </w:r>
          </w:p>
        </w:tc>
        <w:tc>
          <w:tcPr>
            <w:tcW w:w="364" w:type="pct"/>
          </w:tcPr>
          <w:p w14:paraId="1C97CDC9" w14:textId="77777777" w:rsidR="00561DC5" w:rsidRPr="00E67914" w:rsidRDefault="00561DC5" w:rsidP="00D506B7">
            <w:pPr>
              <w:pStyle w:val="04"/>
              <w:rPr>
                <w:rFonts w:cs="Times New Roman"/>
              </w:rPr>
            </w:pPr>
            <w:r w:rsidRPr="00E67914">
              <w:rPr>
                <w:rFonts w:cs="Times New Roman"/>
              </w:rPr>
              <w:t>/</w:t>
            </w:r>
          </w:p>
        </w:tc>
        <w:tc>
          <w:tcPr>
            <w:tcW w:w="436" w:type="pct"/>
          </w:tcPr>
          <w:p w14:paraId="06BE4787" w14:textId="77777777" w:rsidR="00561DC5" w:rsidRPr="00E67914" w:rsidRDefault="00561DC5" w:rsidP="00D506B7">
            <w:pPr>
              <w:pStyle w:val="04"/>
              <w:rPr>
                <w:rFonts w:cs="Times New Roman"/>
              </w:rPr>
            </w:pPr>
            <w:r w:rsidRPr="00E67914">
              <w:rPr>
                <w:rFonts w:cs="Times New Roman"/>
              </w:rPr>
              <w:t>正在开展验收</w:t>
            </w:r>
          </w:p>
        </w:tc>
      </w:tr>
    </w:tbl>
    <w:p w14:paraId="52B59CB3" w14:textId="3E04E743" w:rsidR="005650BE" w:rsidRPr="00E67914" w:rsidRDefault="005650BE" w:rsidP="005650BE">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本项目天然气外输的</w:t>
      </w:r>
      <w:r w:rsidRPr="00E67914">
        <w:rPr>
          <w:rFonts w:ascii="Times New Roman" w:hAnsi="Times New Roman"/>
          <w:sz w:val="24"/>
          <w:szCs w:val="24"/>
          <w:lang w:eastAsia="zh-CN"/>
        </w:rPr>
        <w:t>P30</w:t>
      </w:r>
      <w:r w:rsidR="00561DC5" w:rsidRPr="00E67914">
        <w:rPr>
          <w:rFonts w:ascii="Times New Roman" w:hAnsi="Times New Roman"/>
          <w:sz w:val="24"/>
          <w:szCs w:val="24"/>
          <w:lang w:eastAsia="zh-CN"/>
        </w:rPr>
        <w:t>2</w:t>
      </w:r>
      <w:r w:rsidRPr="00E67914">
        <w:rPr>
          <w:rFonts w:ascii="Times New Roman" w:hAnsi="Times New Roman"/>
          <w:sz w:val="24"/>
          <w:szCs w:val="24"/>
          <w:lang w:eastAsia="zh-CN"/>
        </w:rPr>
        <w:t>集气站为原国家环境保护总局出具的《关于中国石化普光气田开发及川气东送管道工程环境影响报告书的批复》（环审〔</w:t>
      </w:r>
      <w:r w:rsidRPr="00E67914">
        <w:rPr>
          <w:rFonts w:ascii="Times New Roman" w:hAnsi="Times New Roman"/>
          <w:sz w:val="24"/>
          <w:szCs w:val="24"/>
          <w:lang w:eastAsia="zh-CN"/>
        </w:rPr>
        <w:t>2007</w:t>
      </w:r>
      <w:r w:rsidRPr="00E67914">
        <w:rPr>
          <w:rFonts w:ascii="Times New Roman" w:hAnsi="Times New Roman"/>
          <w:sz w:val="24"/>
          <w:szCs w:val="24"/>
          <w:lang w:eastAsia="zh-CN"/>
        </w:rPr>
        <w:t>〕</w:t>
      </w:r>
      <w:r w:rsidRPr="00E67914">
        <w:rPr>
          <w:rFonts w:ascii="Times New Roman" w:hAnsi="Times New Roman"/>
          <w:sz w:val="24"/>
          <w:szCs w:val="24"/>
          <w:lang w:eastAsia="zh-CN"/>
        </w:rPr>
        <w:t>76</w:t>
      </w:r>
      <w:r w:rsidRPr="00E67914">
        <w:rPr>
          <w:rFonts w:ascii="Times New Roman" w:hAnsi="Times New Roman"/>
          <w:sz w:val="24"/>
          <w:szCs w:val="24"/>
          <w:lang w:eastAsia="zh-CN"/>
        </w:rPr>
        <w:t>号）中批复的建设内容，并已通过竣工环保验收。</w:t>
      </w:r>
    </w:p>
    <w:p w14:paraId="7653B573" w14:textId="1C496A54" w:rsidR="00A54A8A" w:rsidRPr="00E67914" w:rsidRDefault="005650BE">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3.1.2</w:t>
      </w:r>
      <w:r w:rsidRPr="00E67914">
        <w:rPr>
          <w:rFonts w:ascii="Times New Roman" w:eastAsia="黑体" w:hAnsi="Times New Roman"/>
          <w:b w:val="0"/>
          <w:sz w:val="24"/>
          <w:szCs w:val="24"/>
          <w:lang w:eastAsia="zh-CN"/>
        </w:rPr>
        <w:t>项目现状</w:t>
      </w:r>
    </w:p>
    <w:p w14:paraId="0464E3E2" w14:textId="01842361" w:rsidR="00A54A8A" w:rsidRPr="00E67914" w:rsidRDefault="00F205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现场踏勘期间，</w:t>
      </w:r>
      <w:r w:rsidR="00561DC5" w:rsidRPr="00E67914">
        <w:rPr>
          <w:rFonts w:ascii="Times New Roman" w:hAnsi="Times New Roman"/>
          <w:sz w:val="24"/>
          <w:szCs w:val="24"/>
          <w:lang w:eastAsia="zh-CN"/>
        </w:rPr>
        <w:t>原普陆页</w:t>
      </w:r>
      <w:r w:rsidR="00561DC5" w:rsidRPr="00E67914">
        <w:rPr>
          <w:rFonts w:ascii="Times New Roman" w:hAnsi="Times New Roman"/>
          <w:sz w:val="24"/>
          <w:szCs w:val="24"/>
          <w:lang w:eastAsia="zh-CN"/>
        </w:rPr>
        <w:t>2</w:t>
      </w:r>
      <w:r w:rsidR="00561DC5" w:rsidRPr="00E67914">
        <w:rPr>
          <w:rFonts w:ascii="Times New Roman" w:hAnsi="Times New Roman"/>
          <w:sz w:val="24"/>
          <w:szCs w:val="24"/>
          <w:lang w:eastAsia="zh-CN"/>
        </w:rPr>
        <w:t>井场内现有普陆页</w:t>
      </w:r>
      <w:r w:rsidR="00561DC5" w:rsidRPr="00E67914">
        <w:rPr>
          <w:rFonts w:ascii="Times New Roman" w:hAnsi="Times New Roman"/>
          <w:sz w:val="24"/>
          <w:szCs w:val="24"/>
          <w:lang w:eastAsia="zh-CN"/>
        </w:rPr>
        <w:t>2HF</w:t>
      </w:r>
      <w:r w:rsidR="00561DC5" w:rsidRPr="00E67914">
        <w:rPr>
          <w:rFonts w:ascii="Times New Roman" w:hAnsi="Times New Roman"/>
          <w:sz w:val="24"/>
          <w:szCs w:val="24"/>
          <w:lang w:eastAsia="zh-CN"/>
        </w:rPr>
        <w:t>井</w:t>
      </w:r>
      <w:r w:rsidR="00561DC5" w:rsidRPr="00E67914">
        <w:rPr>
          <w:rFonts w:ascii="Times New Roman" w:hAnsi="Times New Roman"/>
          <w:sz w:val="24"/>
          <w:szCs w:val="24"/>
          <w:lang w:eastAsia="zh-CN"/>
        </w:rPr>
        <w:t>1</w:t>
      </w:r>
      <w:r w:rsidR="00561DC5" w:rsidRPr="00E67914">
        <w:rPr>
          <w:rFonts w:ascii="Times New Roman" w:hAnsi="Times New Roman"/>
          <w:sz w:val="24"/>
          <w:szCs w:val="24"/>
          <w:lang w:eastAsia="zh-CN"/>
        </w:rPr>
        <w:t>口，</w:t>
      </w:r>
      <w:r w:rsidR="00173DFD" w:rsidRPr="00E67914">
        <w:rPr>
          <w:rFonts w:ascii="Times New Roman" w:hAnsi="Times New Roman"/>
          <w:sz w:val="24"/>
          <w:szCs w:val="24"/>
          <w:lang w:eastAsia="zh-CN"/>
        </w:rPr>
        <w:t>该井目前刚完成压裂作业</w:t>
      </w:r>
      <w:r w:rsidRPr="00E67914">
        <w:rPr>
          <w:rFonts w:ascii="Times New Roman" w:hAnsi="Times New Roman"/>
          <w:sz w:val="24"/>
          <w:szCs w:val="24"/>
          <w:lang w:eastAsia="zh-CN"/>
        </w:rPr>
        <w:t>，正在进行试气工作</w:t>
      </w:r>
      <w:r w:rsidR="00561DC5" w:rsidRPr="00E67914">
        <w:rPr>
          <w:rFonts w:ascii="Times New Roman" w:hAnsi="Times New Roman"/>
          <w:sz w:val="24"/>
          <w:szCs w:val="24"/>
          <w:lang w:eastAsia="zh-CN"/>
        </w:rPr>
        <w:t>。</w:t>
      </w:r>
    </w:p>
    <w:p w14:paraId="2D87062E" w14:textId="6A9BD26D" w:rsidR="00A54A8A" w:rsidRPr="00E67914" w:rsidRDefault="00173DFD">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原普陆页</w:t>
      </w:r>
      <w:r w:rsidRPr="00E67914">
        <w:rPr>
          <w:rFonts w:ascii="Times New Roman" w:hAnsi="Times New Roman"/>
          <w:sz w:val="24"/>
          <w:szCs w:val="24"/>
          <w:lang w:eastAsia="zh-CN"/>
        </w:rPr>
        <w:t>2</w:t>
      </w:r>
      <w:r w:rsidRPr="00E67914">
        <w:rPr>
          <w:rFonts w:ascii="Times New Roman" w:hAnsi="Times New Roman"/>
          <w:sz w:val="24"/>
          <w:szCs w:val="24"/>
          <w:lang w:eastAsia="zh-CN"/>
        </w:rPr>
        <w:t>井场配套建设有</w:t>
      </w:r>
      <w:r w:rsidR="00F205EB" w:rsidRPr="00E67914">
        <w:rPr>
          <w:rFonts w:ascii="Times New Roman" w:hAnsi="Times New Roman"/>
          <w:sz w:val="24"/>
          <w:szCs w:val="24"/>
          <w:lang w:eastAsia="zh-CN"/>
        </w:rPr>
        <w:t>7200m</w:t>
      </w:r>
      <w:r w:rsidR="00F205EB" w:rsidRPr="00E67914">
        <w:rPr>
          <w:rFonts w:ascii="Times New Roman" w:hAnsi="Times New Roman"/>
          <w:sz w:val="24"/>
          <w:szCs w:val="24"/>
          <w:vertAlign w:val="superscript"/>
          <w:lang w:eastAsia="zh-CN"/>
        </w:rPr>
        <w:t>2</w:t>
      </w:r>
      <w:r w:rsidR="00F205EB" w:rsidRPr="00E67914">
        <w:rPr>
          <w:rFonts w:ascii="Times New Roman" w:hAnsi="Times New Roman"/>
          <w:sz w:val="24"/>
          <w:szCs w:val="24"/>
          <w:lang w:eastAsia="zh-CN"/>
        </w:rPr>
        <w:t>（长</w:t>
      </w:r>
      <w:r w:rsidR="00F205EB" w:rsidRPr="00E67914">
        <w:rPr>
          <w:rFonts w:ascii="Times New Roman" w:hAnsi="Times New Roman"/>
          <w:sz w:val="24"/>
          <w:szCs w:val="24"/>
          <w:lang w:eastAsia="zh-CN"/>
        </w:rPr>
        <w:t>×</w:t>
      </w:r>
      <w:r w:rsidR="00F205EB" w:rsidRPr="00E67914">
        <w:rPr>
          <w:rFonts w:ascii="Times New Roman" w:hAnsi="Times New Roman"/>
          <w:sz w:val="24"/>
          <w:szCs w:val="24"/>
          <w:lang w:eastAsia="zh-CN"/>
        </w:rPr>
        <w:t>宽</w:t>
      </w:r>
      <w:r w:rsidR="00F205EB" w:rsidRPr="00E67914">
        <w:rPr>
          <w:rFonts w:ascii="Times New Roman" w:hAnsi="Times New Roman"/>
          <w:sz w:val="24"/>
          <w:szCs w:val="24"/>
          <w:lang w:eastAsia="zh-CN"/>
        </w:rPr>
        <w:t>=120m×60m</w:t>
      </w:r>
      <w:r w:rsidR="00F205EB" w:rsidRPr="00E67914">
        <w:rPr>
          <w:rFonts w:ascii="Times New Roman" w:hAnsi="Times New Roman"/>
          <w:sz w:val="24"/>
          <w:szCs w:val="24"/>
          <w:lang w:eastAsia="zh-CN"/>
        </w:rPr>
        <w:t>）井场</w:t>
      </w:r>
      <w:r w:rsidRPr="00E67914">
        <w:rPr>
          <w:rFonts w:ascii="Times New Roman" w:hAnsi="Times New Roman"/>
          <w:sz w:val="24"/>
          <w:szCs w:val="24"/>
          <w:lang w:eastAsia="zh-CN"/>
        </w:rPr>
        <w:t>、</w:t>
      </w:r>
      <w:r w:rsidRPr="00E67914">
        <w:rPr>
          <w:rFonts w:ascii="Times New Roman" w:hAnsi="Times New Roman"/>
          <w:sz w:val="24"/>
          <w:szCs w:val="24"/>
          <w:lang w:eastAsia="zh-CN"/>
        </w:rPr>
        <w:t>1000m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排污池（其中污水池</w:t>
      </w:r>
      <w:r w:rsidRPr="00E67914">
        <w:rPr>
          <w:rFonts w:ascii="Times New Roman" w:hAnsi="Times New Roman"/>
          <w:sz w:val="24"/>
          <w:szCs w:val="24"/>
          <w:lang w:eastAsia="zh-CN"/>
        </w:rPr>
        <w:t>500m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，清水池</w:t>
      </w:r>
      <w:r w:rsidRPr="00E67914">
        <w:rPr>
          <w:rFonts w:ascii="Times New Roman" w:hAnsi="Times New Roman"/>
          <w:sz w:val="24"/>
          <w:szCs w:val="24"/>
          <w:lang w:eastAsia="zh-CN"/>
        </w:rPr>
        <w:t>500m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w:t>
      </w:r>
      <w:r w:rsidRPr="00E67914">
        <w:rPr>
          <w:rFonts w:ascii="Times New Roman" w:hAnsi="Times New Roman"/>
          <w:sz w:val="24"/>
          <w:szCs w:val="24"/>
          <w:lang w:eastAsia="zh-CN"/>
        </w:rPr>
        <w:t>300m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放喷池</w:t>
      </w:r>
      <w:r w:rsidR="00F205EB" w:rsidRPr="00E67914">
        <w:rPr>
          <w:rFonts w:ascii="Times New Roman" w:hAnsi="Times New Roman"/>
          <w:sz w:val="24"/>
          <w:szCs w:val="24"/>
          <w:lang w:eastAsia="zh-CN"/>
        </w:rPr>
        <w:t>、</w:t>
      </w:r>
      <w:r w:rsidR="00F205EB" w:rsidRPr="00E67914">
        <w:rPr>
          <w:rFonts w:ascii="Times New Roman" w:hAnsi="Times New Roman"/>
          <w:sz w:val="24"/>
          <w:szCs w:val="24"/>
          <w:lang w:eastAsia="zh-CN"/>
        </w:rPr>
        <w:t>100m</w:t>
      </w:r>
      <w:r w:rsidR="00F205EB" w:rsidRPr="00E67914">
        <w:rPr>
          <w:rFonts w:ascii="Times New Roman" w:hAnsi="Times New Roman"/>
          <w:sz w:val="24"/>
          <w:szCs w:val="24"/>
          <w:lang w:eastAsia="zh-CN"/>
        </w:rPr>
        <w:t>进场道路</w:t>
      </w:r>
      <w:r w:rsidRPr="00E67914">
        <w:rPr>
          <w:rFonts w:ascii="Times New Roman" w:hAnsi="Times New Roman"/>
          <w:sz w:val="24"/>
          <w:szCs w:val="24"/>
          <w:lang w:eastAsia="zh-CN"/>
        </w:rPr>
        <w:t>等。</w:t>
      </w:r>
    </w:p>
    <w:p w14:paraId="50F60000"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3.1.3</w:t>
      </w:r>
      <w:r w:rsidRPr="00E67914">
        <w:rPr>
          <w:rFonts w:ascii="Times New Roman" w:eastAsia="黑体" w:hAnsi="Times New Roman"/>
          <w:b w:val="0"/>
          <w:sz w:val="24"/>
          <w:szCs w:val="24"/>
          <w:lang w:eastAsia="zh-CN"/>
        </w:rPr>
        <w:t>现有工程污染防治措施及排放情况</w:t>
      </w:r>
    </w:p>
    <w:p w14:paraId="086AEFB9" w14:textId="1A3AA115" w:rsidR="00A54A8A" w:rsidRPr="00E67914" w:rsidRDefault="00F205EB">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根据现场踏勘与资料收集可知：</w:t>
      </w:r>
    </w:p>
    <w:p w14:paraId="097B3905" w14:textId="60C74CA8"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废水处置措施：</w:t>
      </w:r>
      <w:r w:rsidR="00F205EB" w:rsidRPr="00E67914">
        <w:rPr>
          <w:rFonts w:ascii="Times New Roman" w:hAnsi="Times New Roman"/>
          <w:bCs/>
          <w:kern w:val="2"/>
          <w:sz w:val="24"/>
          <w:szCs w:val="24"/>
          <w:lang w:eastAsia="zh-CN"/>
        </w:rPr>
        <w:t>已产生的钻井废水与部分压裂返排液已拉运至毛开</w:t>
      </w:r>
      <w:r w:rsidR="00F205EB" w:rsidRPr="00E67914">
        <w:rPr>
          <w:rFonts w:ascii="Times New Roman" w:hAnsi="Times New Roman"/>
          <w:bCs/>
          <w:kern w:val="2"/>
          <w:sz w:val="24"/>
          <w:szCs w:val="24"/>
          <w:lang w:eastAsia="zh-CN"/>
        </w:rPr>
        <w:t>1</w:t>
      </w:r>
      <w:r w:rsidR="00F205EB" w:rsidRPr="00E67914">
        <w:rPr>
          <w:rFonts w:ascii="Times New Roman" w:hAnsi="Times New Roman"/>
          <w:bCs/>
          <w:kern w:val="2"/>
          <w:sz w:val="24"/>
          <w:szCs w:val="24"/>
          <w:lang w:eastAsia="zh-CN"/>
        </w:rPr>
        <w:t>井回注站回注</w:t>
      </w:r>
      <w:r w:rsidRPr="00E67914">
        <w:rPr>
          <w:rFonts w:ascii="Times New Roman" w:hAnsi="Times New Roman"/>
          <w:bCs/>
          <w:kern w:val="2"/>
          <w:sz w:val="24"/>
          <w:szCs w:val="24"/>
          <w:lang w:eastAsia="zh-CN"/>
        </w:rPr>
        <w:t>，</w:t>
      </w:r>
      <w:r w:rsidR="00F205EB" w:rsidRPr="00E67914">
        <w:rPr>
          <w:rFonts w:ascii="Times New Roman" w:hAnsi="Times New Roman"/>
          <w:bCs/>
          <w:kern w:val="2"/>
          <w:sz w:val="24"/>
          <w:szCs w:val="24"/>
          <w:lang w:eastAsia="zh-CN"/>
        </w:rPr>
        <w:t>现场废水池内仅试气阶段产生的少量废水</w:t>
      </w:r>
      <w:r w:rsidRPr="00E67914">
        <w:rPr>
          <w:rFonts w:ascii="Times New Roman" w:hAnsi="Times New Roman"/>
          <w:bCs/>
          <w:kern w:val="2"/>
          <w:sz w:val="24"/>
          <w:szCs w:val="24"/>
          <w:lang w:eastAsia="zh-CN"/>
        </w:rPr>
        <w:t>；生活污水</w:t>
      </w:r>
      <w:r w:rsidR="00F205EB" w:rsidRPr="00E67914">
        <w:rPr>
          <w:rFonts w:ascii="Times New Roman" w:hAnsi="Times New Roman"/>
          <w:bCs/>
          <w:kern w:val="2"/>
          <w:sz w:val="24"/>
          <w:szCs w:val="24"/>
          <w:lang w:eastAsia="zh-CN"/>
        </w:rPr>
        <w:t>已妥善收集处置，现场无遗留</w:t>
      </w:r>
      <w:r w:rsidRPr="00E67914">
        <w:rPr>
          <w:rFonts w:ascii="Times New Roman" w:hAnsi="Times New Roman"/>
          <w:bCs/>
          <w:kern w:val="2"/>
          <w:sz w:val="24"/>
          <w:szCs w:val="24"/>
          <w:lang w:eastAsia="zh-CN"/>
        </w:rPr>
        <w:t>。</w:t>
      </w:r>
    </w:p>
    <w:p w14:paraId="574719C1"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废气处理措施：针对钻井过程中使用气体钻时产生的粉尘，在气体钻的排屑管上安装了湿式除尘装置。</w:t>
      </w:r>
    </w:p>
    <w:p w14:paraId="5DB3F001" w14:textId="2AC861FE"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固废处置措施：</w:t>
      </w:r>
      <w:r w:rsidR="000D69B9" w:rsidRPr="00E67914">
        <w:rPr>
          <w:rFonts w:ascii="Times New Roman" w:hAnsi="Times New Roman"/>
          <w:bCs/>
          <w:kern w:val="2"/>
          <w:sz w:val="24"/>
          <w:szCs w:val="24"/>
          <w:lang w:eastAsia="zh-CN"/>
        </w:rPr>
        <w:t>生活垃圾按环评要求进行了处理，空气钻岩屑用作井场填筑，水基钻井岩屑和</w:t>
      </w:r>
      <w:r w:rsidR="00F205EB" w:rsidRPr="00E67914">
        <w:rPr>
          <w:rFonts w:ascii="Times New Roman" w:hAnsi="Times New Roman"/>
          <w:bCs/>
          <w:kern w:val="2"/>
          <w:sz w:val="24"/>
          <w:szCs w:val="24"/>
          <w:lang w:eastAsia="zh-CN"/>
        </w:rPr>
        <w:t>油基泥浆等已妥善处置，现场无遗留</w:t>
      </w:r>
      <w:r w:rsidR="000D69B9" w:rsidRPr="00E67914">
        <w:rPr>
          <w:rFonts w:ascii="Times New Roman" w:hAnsi="Times New Roman"/>
          <w:bCs/>
          <w:kern w:val="2"/>
          <w:sz w:val="24"/>
          <w:szCs w:val="24"/>
          <w:lang w:eastAsia="zh-CN"/>
        </w:rPr>
        <w:t>。</w:t>
      </w:r>
    </w:p>
    <w:p w14:paraId="5B0B4FF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噪声治理措施：采取选用低噪设备和消声、减振等降噪措施。</w:t>
      </w:r>
    </w:p>
    <w:p w14:paraId="5C07D5BA" w14:textId="6FB69108"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生态保护措施：基本落实了井场的生态恢复、水土保持措施</w:t>
      </w:r>
      <w:r w:rsidR="00F205EB" w:rsidRPr="00E67914">
        <w:rPr>
          <w:rFonts w:ascii="Times New Roman" w:hAnsi="Times New Roman"/>
          <w:bCs/>
          <w:kern w:val="2"/>
          <w:sz w:val="24"/>
          <w:szCs w:val="24"/>
          <w:lang w:eastAsia="zh-CN"/>
        </w:rPr>
        <w:t>，施工作业区未超过占地红线，施工结束后需及时进行植被恢复</w:t>
      </w:r>
      <w:r w:rsidRPr="00E67914">
        <w:rPr>
          <w:rFonts w:ascii="Times New Roman" w:hAnsi="Times New Roman"/>
          <w:bCs/>
          <w:kern w:val="2"/>
          <w:sz w:val="24"/>
          <w:szCs w:val="24"/>
          <w:lang w:eastAsia="zh-CN"/>
        </w:rPr>
        <w:t>。</w:t>
      </w:r>
    </w:p>
    <w:p w14:paraId="339F2B58" w14:textId="388BE58D"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地下水保护措施：项目</w:t>
      </w:r>
      <w:r w:rsidR="00F205EB" w:rsidRPr="00E67914">
        <w:rPr>
          <w:rFonts w:ascii="Times New Roman" w:hAnsi="Times New Roman"/>
          <w:bCs/>
          <w:kern w:val="2"/>
          <w:sz w:val="24"/>
          <w:szCs w:val="24"/>
          <w:lang w:eastAsia="zh-CN"/>
        </w:rPr>
        <w:t>采取了分区防渗措施</w:t>
      </w:r>
      <w:r w:rsidRPr="00E67914">
        <w:rPr>
          <w:rFonts w:ascii="Times New Roman" w:hAnsi="Times New Roman"/>
          <w:bCs/>
          <w:kern w:val="2"/>
          <w:sz w:val="24"/>
          <w:szCs w:val="24"/>
          <w:lang w:eastAsia="zh-CN"/>
        </w:rPr>
        <w:t>。</w:t>
      </w:r>
    </w:p>
    <w:p w14:paraId="7C4EA296"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3.1.4</w:t>
      </w:r>
      <w:r w:rsidRPr="00E67914">
        <w:rPr>
          <w:rFonts w:ascii="Times New Roman" w:eastAsia="黑体" w:hAnsi="Times New Roman"/>
          <w:b w:val="0"/>
          <w:sz w:val="24"/>
          <w:szCs w:val="24"/>
          <w:lang w:eastAsia="zh-CN"/>
        </w:rPr>
        <w:t>项目存在的主要环境问题及整改措施</w:t>
      </w:r>
    </w:p>
    <w:p w14:paraId="6FC0499A" w14:textId="7B0DDA59"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sz w:val="24"/>
          <w:szCs w:val="24"/>
          <w:lang w:eastAsia="zh-CN"/>
        </w:rPr>
        <w:t>根据现场调查，</w:t>
      </w:r>
      <w:r w:rsidR="00F205EB" w:rsidRPr="00E67914">
        <w:rPr>
          <w:rFonts w:ascii="Times New Roman" w:hAnsi="Times New Roman"/>
          <w:bCs/>
          <w:kern w:val="2"/>
          <w:sz w:val="24"/>
          <w:szCs w:val="24"/>
          <w:lang w:eastAsia="zh-CN"/>
        </w:rPr>
        <w:t>原普陆页</w:t>
      </w:r>
      <w:r w:rsidR="00F205EB" w:rsidRPr="00E67914">
        <w:rPr>
          <w:rFonts w:ascii="Times New Roman" w:hAnsi="Times New Roman"/>
          <w:bCs/>
          <w:kern w:val="2"/>
          <w:sz w:val="24"/>
          <w:szCs w:val="24"/>
          <w:lang w:eastAsia="zh-CN"/>
        </w:rPr>
        <w:t>2</w:t>
      </w:r>
      <w:r w:rsidR="00F205EB" w:rsidRPr="00E67914">
        <w:rPr>
          <w:rFonts w:ascii="Times New Roman" w:hAnsi="Times New Roman"/>
          <w:bCs/>
          <w:kern w:val="2"/>
          <w:sz w:val="24"/>
          <w:szCs w:val="24"/>
          <w:lang w:eastAsia="zh-CN"/>
        </w:rPr>
        <w:t>井场</w:t>
      </w:r>
      <w:r w:rsidRPr="00E67914">
        <w:rPr>
          <w:rFonts w:ascii="Times New Roman" w:hAnsi="Times New Roman"/>
          <w:sz w:val="24"/>
          <w:szCs w:val="24"/>
          <w:lang w:eastAsia="zh-CN"/>
        </w:rPr>
        <w:t>施工期</w:t>
      </w:r>
      <w:r w:rsidR="00F205EB" w:rsidRPr="00E67914">
        <w:rPr>
          <w:rFonts w:ascii="Times New Roman" w:hAnsi="Times New Roman"/>
          <w:sz w:val="24"/>
          <w:szCs w:val="24"/>
          <w:lang w:eastAsia="zh-CN"/>
        </w:rPr>
        <w:t>已</w:t>
      </w:r>
      <w:r w:rsidRPr="00E67914">
        <w:rPr>
          <w:rFonts w:ascii="Times New Roman" w:hAnsi="Times New Roman"/>
          <w:sz w:val="24"/>
          <w:szCs w:val="24"/>
          <w:lang w:eastAsia="zh-CN"/>
        </w:rPr>
        <w:t>产生的各类污染物均已得到妥善的处置，现场无遗留，</w:t>
      </w:r>
      <w:r w:rsidR="008660B3" w:rsidRPr="00E67914">
        <w:rPr>
          <w:rFonts w:ascii="Times New Roman" w:hAnsi="Times New Roman"/>
          <w:bCs/>
          <w:kern w:val="2"/>
          <w:sz w:val="24"/>
          <w:szCs w:val="24"/>
          <w:lang w:eastAsia="zh-CN"/>
        </w:rPr>
        <w:t>现场踏勘期间正在进行试气工作</w:t>
      </w:r>
      <w:r w:rsidRPr="00E67914">
        <w:rPr>
          <w:rFonts w:ascii="Times New Roman" w:hAnsi="Times New Roman"/>
          <w:sz w:val="24"/>
          <w:szCs w:val="24"/>
          <w:lang w:eastAsia="zh-CN"/>
        </w:rPr>
        <w:t>。</w:t>
      </w:r>
      <w:bookmarkStart w:id="59" w:name="_Hlk112141388"/>
      <w:r w:rsidRPr="00E67914">
        <w:rPr>
          <w:rFonts w:ascii="Times New Roman" w:hAnsi="Times New Roman"/>
          <w:sz w:val="24"/>
          <w:szCs w:val="24"/>
          <w:lang w:eastAsia="zh-CN"/>
        </w:rPr>
        <w:t>根据本次在污水池、放喷池、平台地下水流向下游设置的土壤柱状样监测点可知项目建设至今未对区域土壤造成污染影响，根据本次在污水池地下水流向上下游设置的</w:t>
      </w:r>
      <w:r w:rsidRPr="00E67914">
        <w:rPr>
          <w:rFonts w:ascii="Times New Roman" w:hAnsi="Times New Roman"/>
          <w:sz w:val="24"/>
          <w:szCs w:val="24"/>
          <w:lang w:eastAsia="zh-CN"/>
        </w:rPr>
        <w:t>2</w:t>
      </w:r>
      <w:r w:rsidRPr="00E67914">
        <w:rPr>
          <w:rFonts w:ascii="Times New Roman" w:hAnsi="Times New Roman"/>
          <w:sz w:val="24"/>
          <w:szCs w:val="24"/>
          <w:lang w:eastAsia="zh-CN"/>
        </w:rPr>
        <w:t>个包气带现状监测可知区域包气带未受到污染影响。</w:t>
      </w:r>
      <w:bookmarkEnd w:id="59"/>
      <w:r w:rsidRPr="00E67914">
        <w:rPr>
          <w:rFonts w:ascii="Times New Roman" w:hAnsi="Times New Roman"/>
          <w:sz w:val="24"/>
          <w:szCs w:val="24"/>
          <w:lang w:eastAsia="zh-CN"/>
        </w:rPr>
        <w:t>厂界噪声满足相关标准要求。</w:t>
      </w:r>
      <w:r w:rsidR="00402E00" w:rsidRPr="00E67914">
        <w:rPr>
          <w:rFonts w:ascii="Times New Roman" w:hAnsi="Times New Roman"/>
          <w:sz w:val="24"/>
          <w:szCs w:val="24"/>
          <w:lang w:eastAsia="zh-CN"/>
        </w:rPr>
        <w:t>敏感目标处</w:t>
      </w:r>
      <w:r w:rsidRPr="00E67914">
        <w:rPr>
          <w:rFonts w:ascii="Times New Roman" w:hAnsi="Times New Roman"/>
          <w:sz w:val="24"/>
          <w:szCs w:val="24"/>
          <w:lang w:eastAsia="zh-CN"/>
        </w:rPr>
        <w:t>的非甲烷总烃均满足相关环境质量标准</w:t>
      </w:r>
      <w:r w:rsidRPr="00E67914">
        <w:rPr>
          <w:rFonts w:ascii="Times New Roman" w:hAnsi="Times New Roman"/>
          <w:bCs/>
          <w:sz w:val="24"/>
          <w:lang w:eastAsia="zh-CN"/>
        </w:rPr>
        <w:t>。</w:t>
      </w:r>
    </w:p>
    <w:p w14:paraId="3ED4958D" w14:textId="6D989CA3"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经走访调查及咨询，</w:t>
      </w:r>
      <w:r w:rsidR="00402E00" w:rsidRPr="00E67914">
        <w:rPr>
          <w:rFonts w:ascii="Times New Roman" w:hAnsi="Times New Roman"/>
          <w:bCs/>
          <w:kern w:val="2"/>
          <w:sz w:val="24"/>
          <w:szCs w:val="24"/>
          <w:lang w:eastAsia="zh-CN"/>
        </w:rPr>
        <w:t>原普陆页</w:t>
      </w:r>
      <w:r w:rsidR="00402E00" w:rsidRPr="00E67914">
        <w:rPr>
          <w:rFonts w:ascii="Times New Roman" w:hAnsi="Times New Roman"/>
          <w:bCs/>
          <w:kern w:val="2"/>
          <w:sz w:val="24"/>
          <w:szCs w:val="24"/>
          <w:lang w:eastAsia="zh-CN"/>
        </w:rPr>
        <w:t>2</w:t>
      </w:r>
      <w:r w:rsidR="00402E00" w:rsidRPr="00E67914">
        <w:rPr>
          <w:rFonts w:ascii="Times New Roman" w:hAnsi="Times New Roman"/>
          <w:bCs/>
          <w:kern w:val="2"/>
          <w:sz w:val="24"/>
          <w:szCs w:val="24"/>
          <w:lang w:eastAsia="zh-CN"/>
        </w:rPr>
        <w:t>井场</w:t>
      </w:r>
      <w:r w:rsidRPr="00E67914">
        <w:rPr>
          <w:rFonts w:ascii="Times New Roman" w:hAnsi="Times New Roman"/>
          <w:sz w:val="24"/>
          <w:szCs w:val="24"/>
          <w:lang w:eastAsia="zh-CN"/>
        </w:rPr>
        <w:t>施工期未发生污染事故及投诉事件。本次建设</w:t>
      </w:r>
      <w:r w:rsidR="00402E00" w:rsidRPr="00E67914">
        <w:rPr>
          <w:rFonts w:ascii="Times New Roman" w:hAnsi="Times New Roman"/>
          <w:sz w:val="24"/>
          <w:szCs w:val="24"/>
          <w:lang w:eastAsia="zh-CN"/>
        </w:rPr>
        <w:t>利用原</w:t>
      </w:r>
      <w:r w:rsidR="00402E00" w:rsidRPr="00E67914">
        <w:rPr>
          <w:rFonts w:ascii="Times New Roman" w:hAnsi="Times New Roman"/>
          <w:bCs/>
          <w:kern w:val="2"/>
          <w:sz w:val="24"/>
          <w:szCs w:val="24"/>
          <w:lang w:eastAsia="zh-CN"/>
        </w:rPr>
        <w:t>陆页</w:t>
      </w:r>
      <w:r w:rsidR="00402E00" w:rsidRPr="00E67914">
        <w:rPr>
          <w:rFonts w:ascii="Times New Roman" w:hAnsi="Times New Roman"/>
          <w:bCs/>
          <w:kern w:val="2"/>
          <w:sz w:val="24"/>
          <w:szCs w:val="24"/>
          <w:lang w:eastAsia="zh-CN"/>
        </w:rPr>
        <w:t>2</w:t>
      </w:r>
      <w:r w:rsidR="00402E00" w:rsidRPr="00E67914">
        <w:rPr>
          <w:rFonts w:ascii="Times New Roman" w:hAnsi="Times New Roman"/>
          <w:bCs/>
          <w:kern w:val="2"/>
          <w:sz w:val="24"/>
          <w:szCs w:val="24"/>
          <w:lang w:eastAsia="zh-CN"/>
        </w:rPr>
        <w:t>井场建设普陆页</w:t>
      </w:r>
      <w:r w:rsidR="00402E00" w:rsidRPr="00E67914">
        <w:rPr>
          <w:rFonts w:ascii="Times New Roman" w:hAnsi="Times New Roman"/>
          <w:bCs/>
          <w:kern w:val="2"/>
          <w:sz w:val="24"/>
          <w:szCs w:val="24"/>
          <w:lang w:eastAsia="zh-CN"/>
        </w:rPr>
        <w:t>2</w:t>
      </w:r>
      <w:r w:rsidR="00402E00" w:rsidRPr="00E67914">
        <w:rPr>
          <w:rFonts w:ascii="Times New Roman" w:hAnsi="Times New Roman"/>
          <w:bCs/>
          <w:kern w:val="2"/>
          <w:sz w:val="24"/>
          <w:szCs w:val="24"/>
          <w:lang w:eastAsia="zh-CN"/>
        </w:rPr>
        <w:t>试采站，并依托已建的放喷池、进场道路等</w:t>
      </w:r>
      <w:r w:rsidRPr="00E67914">
        <w:rPr>
          <w:rFonts w:ascii="Times New Roman" w:hAnsi="Times New Roman"/>
          <w:sz w:val="24"/>
          <w:szCs w:val="24"/>
          <w:lang w:eastAsia="zh-CN"/>
        </w:rPr>
        <w:t>，建设单位应进一步核实后续开发计划，若无后续开发计划或井场东南侧</w:t>
      </w:r>
      <w:r w:rsidR="00402E00" w:rsidRPr="00E67914">
        <w:rPr>
          <w:rFonts w:ascii="Times New Roman" w:hAnsi="Times New Roman"/>
          <w:sz w:val="24"/>
          <w:szCs w:val="24"/>
          <w:lang w:eastAsia="zh-CN"/>
        </w:rPr>
        <w:t>排污池</w:t>
      </w:r>
      <w:r w:rsidRPr="00E67914">
        <w:rPr>
          <w:rFonts w:ascii="Times New Roman" w:hAnsi="Times New Roman"/>
          <w:sz w:val="24"/>
          <w:szCs w:val="24"/>
          <w:lang w:eastAsia="zh-CN"/>
        </w:rPr>
        <w:t>等其他建构筑物后期确定不使用，则应及时对该</w:t>
      </w:r>
      <w:r w:rsidR="00402E00" w:rsidRPr="00E67914">
        <w:rPr>
          <w:rFonts w:ascii="Times New Roman" w:hAnsi="Times New Roman"/>
          <w:sz w:val="24"/>
          <w:szCs w:val="24"/>
          <w:lang w:eastAsia="zh-CN"/>
        </w:rPr>
        <w:t>排污池</w:t>
      </w:r>
      <w:r w:rsidRPr="00E67914">
        <w:rPr>
          <w:rFonts w:ascii="Times New Roman" w:hAnsi="Times New Roman"/>
          <w:sz w:val="24"/>
          <w:szCs w:val="24"/>
          <w:lang w:eastAsia="zh-CN"/>
        </w:rPr>
        <w:t>等其他建构筑物进行拆除并复垦。</w:t>
      </w:r>
    </w:p>
    <w:p w14:paraId="73FADED3"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3.1.5</w:t>
      </w:r>
      <w:r w:rsidRPr="00E67914">
        <w:rPr>
          <w:rFonts w:ascii="Times New Roman" w:eastAsia="黑体" w:hAnsi="Times New Roman"/>
          <w:b w:val="0"/>
          <w:sz w:val="24"/>
          <w:szCs w:val="24"/>
          <w:lang w:eastAsia="zh-CN"/>
        </w:rPr>
        <w:t>设施依托可行性</w:t>
      </w:r>
    </w:p>
    <w:p w14:paraId="7A4349A6" w14:textId="6FE00892"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本项目依托</w:t>
      </w:r>
      <w:r w:rsidR="00402E00" w:rsidRPr="00E67914">
        <w:rPr>
          <w:rFonts w:ascii="Times New Roman" w:hAnsi="Times New Roman"/>
          <w:sz w:val="24"/>
          <w:szCs w:val="24"/>
          <w:lang w:eastAsia="zh-CN"/>
        </w:rPr>
        <w:t>已建的原</w:t>
      </w:r>
      <w:r w:rsidR="00902A04" w:rsidRPr="00E67914">
        <w:rPr>
          <w:rFonts w:ascii="Times New Roman" w:hAnsi="Times New Roman"/>
          <w:sz w:val="24"/>
          <w:szCs w:val="24"/>
          <w:lang w:eastAsia="zh-CN"/>
        </w:rPr>
        <w:t>普陆页</w:t>
      </w:r>
      <w:r w:rsidR="00902A04" w:rsidRPr="00E67914">
        <w:rPr>
          <w:rFonts w:ascii="Times New Roman" w:hAnsi="Times New Roman"/>
          <w:sz w:val="24"/>
          <w:szCs w:val="24"/>
          <w:lang w:eastAsia="zh-CN"/>
        </w:rPr>
        <w:t>2</w:t>
      </w:r>
      <w:r w:rsidRPr="00E67914">
        <w:rPr>
          <w:rFonts w:ascii="Times New Roman" w:hAnsi="Times New Roman"/>
          <w:sz w:val="24"/>
          <w:szCs w:val="24"/>
          <w:lang w:eastAsia="zh-CN"/>
        </w:rPr>
        <w:t>井场、放喷池、进场道路等。</w:t>
      </w:r>
    </w:p>
    <w:p w14:paraId="026D4F08" w14:textId="412AEBBD"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00402E00" w:rsidRPr="00E67914">
        <w:rPr>
          <w:rFonts w:ascii="Times New Roman" w:hAnsi="Times New Roman"/>
          <w:sz w:val="24"/>
          <w:szCs w:val="24"/>
          <w:lang w:eastAsia="zh-CN"/>
        </w:rPr>
        <w:t>原</w:t>
      </w:r>
      <w:r w:rsidR="00902A04" w:rsidRPr="00E67914">
        <w:rPr>
          <w:rFonts w:ascii="Times New Roman" w:hAnsi="Times New Roman"/>
          <w:sz w:val="24"/>
          <w:szCs w:val="24"/>
          <w:lang w:eastAsia="zh-CN"/>
        </w:rPr>
        <w:t>普陆页</w:t>
      </w:r>
      <w:r w:rsidR="00902A04" w:rsidRPr="00E67914">
        <w:rPr>
          <w:rFonts w:ascii="Times New Roman" w:hAnsi="Times New Roman"/>
          <w:sz w:val="24"/>
          <w:szCs w:val="24"/>
          <w:lang w:eastAsia="zh-CN"/>
        </w:rPr>
        <w:t>2</w:t>
      </w:r>
      <w:r w:rsidR="00402E00" w:rsidRPr="00E67914">
        <w:rPr>
          <w:rFonts w:ascii="Times New Roman" w:hAnsi="Times New Roman"/>
          <w:sz w:val="24"/>
          <w:szCs w:val="24"/>
          <w:lang w:eastAsia="zh-CN"/>
        </w:rPr>
        <w:t>井场</w:t>
      </w:r>
    </w:p>
    <w:p w14:paraId="367DA4C6" w14:textId="395C65EC" w:rsidR="00A54A8A" w:rsidRPr="00E67914" w:rsidRDefault="00402E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本项目依托原普陆页</w:t>
      </w:r>
      <w:r w:rsidRPr="00E67914">
        <w:rPr>
          <w:rFonts w:ascii="Times New Roman" w:hAnsi="Times New Roman"/>
          <w:sz w:val="24"/>
          <w:szCs w:val="24"/>
          <w:lang w:eastAsia="zh-CN"/>
        </w:rPr>
        <w:t>2</w:t>
      </w:r>
      <w:r w:rsidRPr="00E67914">
        <w:rPr>
          <w:rFonts w:ascii="Times New Roman" w:hAnsi="Times New Roman"/>
          <w:sz w:val="24"/>
          <w:szCs w:val="24"/>
          <w:lang w:eastAsia="zh-CN"/>
        </w:rPr>
        <w:t>井场新建</w:t>
      </w:r>
      <w:r w:rsidR="00902A04" w:rsidRPr="00E67914">
        <w:rPr>
          <w:rFonts w:ascii="Times New Roman" w:hAnsi="Times New Roman"/>
          <w:sz w:val="24"/>
          <w:szCs w:val="24"/>
          <w:lang w:eastAsia="zh-CN"/>
        </w:rPr>
        <w:t>普陆页</w:t>
      </w:r>
      <w:r w:rsidR="00902A04" w:rsidRPr="00E67914">
        <w:rPr>
          <w:rFonts w:ascii="Times New Roman" w:hAnsi="Times New Roman"/>
          <w:sz w:val="24"/>
          <w:szCs w:val="24"/>
          <w:lang w:eastAsia="zh-CN"/>
        </w:rPr>
        <w:t>2</w:t>
      </w:r>
      <w:r w:rsidR="00902A04" w:rsidRPr="00E67914">
        <w:rPr>
          <w:rFonts w:ascii="Times New Roman" w:hAnsi="Times New Roman"/>
          <w:sz w:val="24"/>
          <w:szCs w:val="24"/>
          <w:lang w:eastAsia="zh-CN"/>
        </w:rPr>
        <w:t>试采站</w:t>
      </w:r>
      <w:r w:rsidRPr="00E67914">
        <w:rPr>
          <w:rFonts w:ascii="Times New Roman" w:hAnsi="Times New Roman"/>
          <w:sz w:val="24"/>
          <w:szCs w:val="24"/>
          <w:lang w:eastAsia="zh-CN"/>
        </w:rPr>
        <w:t>，原普陆页</w:t>
      </w:r>
      <w:r w:rsidRPr="00E67914">
        <w:rPr>
          <w:rFonts w:ascii="Times New Roman" w:hAnsi="Times New Roman"/>
          <w:sz w:val="24"/>
          <w:szCs w:val="24"/>
          <w:lang w:eastAsia="zh-CN"/>
        </w:rPr>
        <w:t>2</w:t>
      </w:r>
      <w:r w:rsidRPr="00E67914">
        <w:rPr>
          <w:rFonts w:ascii="Times New Roman" w:hAnsi="Times New Roman"/>
          <w:sz w:val="24"/>
          <w:szCs w:val="24"/>
          <w:lang w:eastAsia="zh-CN"/>
        </w:rPr>
        <w:t>井场</w:t>
      </w:r>
      <w:r w:rsidR="00902A04" w:rsidRPr="00E67914">
        <w:rPr>
          <w:rFonts w:ascii="Times New Roman" w:hAnsi="Times New Roman"/>
          <w:sz w:val="24"/>
          <w:szCs w:val="24"/>
          <w:lang w:eastAsia="zh-CN"/>
        </w:rPr>
        <w:t>长约</w:t>
      </w:r>
      <w:r w:rsidR="00902A04" w:rsidRPr="00E67914">
        <w:rPr>
          <w:rFonts w:ascii="Times New Roman" w:hAnsi="Times New Roman"/>
          <w:sz w:val="24"/>
          <w:szCs w:val="24"/>
          <w:lang w:eastAsia="zh-CN"/>
        </w:rPr>
        <w:t>1</w:t>
      </w:r>
      <w:r w:rsidRPr="00E67914">
        <w:rPr>
          <w:rFonts w:ascii="Times New Roman" w:hAnsi="Times New Roman"/>
          <w:sz w:val="24"/>
          <w:szCs w:val="24"/>
          <w:lang w:eastAsia="zh-CN"/>
        </w:rPr>
        <w:t>2</w:t>
      </w:r>
      <w:r w:rsidR="00902A04" w:rsidRPr="00E67914">
        <w:rPr>
          <w:rFonts w:ascii="Times New Roman" w:hAnsi="Times New Roman"/>
          <w:sz w:val="24"/>
          <w:szCs w:val="24"/>
          <w:lang w:eastAsia="zh-CN"/>
        </w:rPr>
        <w:t>0m</w:t>
      </w:r>
      <w:r w:rsidR="00902A04" w:rsidRPr="00E67914">
        <w:rPr>
          <w:rFonts w:ascii="Times New Roman" w:hAnsi="Times New Roman"/>
          <w:sz w:val="24"/>
          <w:szCs w:val="24"/>
          <w:lang w:eastAsia="zh-CN"/>
        </w:rPr>
        <w:t>，宽约</w:t>
      </w:r>
      <w:r w:rsidRPr="00E67914">
        <w:rPr>
          <w:rFonts w:ascii="Times New Roman" w:hAnsi="Times New Roman"/>
          <w:sz w:val="24"/>
          <w:szCs w:val="24"/>
          <w:lang w:eastAsia="zh-CN"/>
        </w:rPr>
        <w:t>60</w:t>
      </w:r>
      <w:r w:rsidR="00902A04" w:rsidRPr="00E67914">
        <w:rPr>
          <w:rFonts w:ascii="Times New Roman" w:hAnsi="Times New Roman"/>
          <w:sz w:val="24"/>
          <w:szCs w:val="24"/>
          <w:lang w:eastAsia="zh-CN"/>
        </w:rPr>
        <w:t>m</w:t>
      </w:r>
      <w:r w:rsidR="00902A04" w:rsidRPr="00E67914">
        <w:rPr>
          <w:rFonts w:ascii="Times New Roman" w:hAnsi="Times New Roman"/>
          <w:sz w:val="24"/>
          <w:szCs w:val="24"/>
          <w:lang w:eastAsia="zh-CN"/>
        </w:rPr>
        <w:t>，</w:t>
      </w:r>
      <w:r w:rsidRPr="00E67914">
        <w:rPr>
          <w:rFonts w:ascii="Times New Roman" w:hAnsi="Times New Roman"/>
          <w:sz w:val="24"/>
          <w:szCs w:val="24"/>
          <w:lang w:eastAsia="zh-CN"/>
        </w:rPr>
        <w:t>可满足试采站建设要求</w:t>
      </w:r>
      <w:r w:rsidR="00902A04" w:rsidRPr="00E67914">
        <w:rPr>
          <w:rFonts w:ascii="Times New Roman" w:hAnsi="Times New Roman"/>
          <w:sz w:val="24"/>
          <w:szCs w:val="24"/>
          <w:lang w:eastAsia="zh-CN"/>
        </w:rPr>
        <w:t>。</w:t>
      </w:r>
    </w:p>
    <w:p w14:paraId="0D27029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）放喷池</w:t>
      </w:r>
    </w:p>
    <w:p w14:paraId="2C9C4B34" w14:textId="5CEDDFA3"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w:t>
      </w:r>
      <w:r w:rsidR="00402E00" w:rsidRPr="00E67914">
        <w:rPr>
          <w:rFonts w:ascii="Times New Roman" w:hAnsi="Times New Roman"/>
          <w:sz w:val="24"/>
          <w:szCs w:val="24"/>
          <w:lang w:eastAsia="zh-CN"/>
        </w:rPr>
        <w:t>施工期依托</w:t>
      </w:r>
      <w:r w:rsidRPr="00E67914">
        <w:rPr>
          <w:rFonts w:ascii="Times New Roman" w:hAnsi="Times New Roman"/>
          <w:sz w:val="24"/>
          <w:szCs w:val="24"/>
          <w:lang w:eastAsia="zh-CN"/>
        </w:rPr>
        <w:t>已建的容积为</w:t>
      </w:r>
      <w:r w:rsidRPr="00E67914">
        <w:rPr>
          <w:rFonts w:ascii="Times New Roman" w:hAnsi="Times New Roman"/>
          <w:sz w:val="24"/>
          <w:szCs w:val="24"/>
          <w:lang w:eastAsia="zh-CN"/>
        </w:rPr>
        <w:t>300m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放喷池</w:t>
      </w:r>
      <w:r w:rsidR="00402E00" w:rsidRPr="00E67914">
        <w:rPr>
          <w:rFonts w:ascii="Times New Roman" w:hAnsi="Times New Roman"/>
          <w:sz w:val="24"/>
          <w:szCs w:val="24"/>
          <w:lang w:eastAsia="zh-CN"/>
        </w:rPr>
        <w:t>进行测试放喷</w:t>
      </w:r>
      <w:r w:rsidRPr="00E67914">
        <w:rPr>
          <w:rFonts w:ascii="Times New Roman" w:hAnsi="Times New Roman"/>
          <w:sz w:val="24"/>
          <w:szCs w:val="24"/>
          <w:lang w:eastAsia="zh-CN"/>
        </w:rPr>
        <w:t>。</w:t>
      </w:r>
    </w:p>
    <w:p w14:paraId="342C9680" w14:textId="30D7F451"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00FC6C4D" w:rsidRPr="00E67914">
        <w:rPr>
          <w:rFonts w:ascii="Times New Roman" w:hAnsi="Times New Roman"/>
          <w:sz w:val="24"/>
          <w:szCs w:val="24"/>
          <w:lang w:eastAsia="zh-CN"/>
        </w:rPr>
        <w:t>3</w:t>
      </w:r>
      <w:r w:rsidRPr="00E67914">
        <w:rPr>
          <w:rFonts w:ascii="Times New Roman" w:hAnsi="Times New Roman"/>
          <w:sz w:val="24"/>
          <w:szCs w:val="24"/>
          <w:lang w:eastAsia="zh-CN"/>
        </w:rPr>
        <w:t>）进场道路</w:t>
      </w:r>
    </w:p>
    <w:p w14:paraId="2D967CAD" w14:textId="35F4F687" w:rsidR="00A54A8A" w:rsidRPr="00E67914" w:rsidRDefault="00FC6C4D">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原</w:t>
      </w:r>
      <w:r w:rsidR="00902A04" w:rsidRPr="00E67914">
        <w:rPr>
          <w:rFonts w:ascii="Times New Roman" w:hAnsi="Times New Roman"/>
          <w:sz w:val="24"/>
          <w:szCs w:val="24"/>
          <w:lang w:eastAsia="zh-CN"/>
        </w:rPr>
        <w:t>普陆页</w:t>
      </w:r>
      <w:r w:rsidR="00902A04" w:rsidRPr="00E67914">
        <w:rPr>
          <w:rFonts w:ascii="Times New Roman" w:hAnsi="Times New Roman"/>
          <w:sz w:val="24"/>
          <w:szCs w:val="24"/>
          <w:lang w:eastAsia="zh-CN"/>
        </w:rPr>
        <w:t>2</w:t>
      </w:r>
      <w:r w:rsidRPr="00E67914">
        <w:rPr>
          <w:rFonts w:ascii="Times New Roman" w:hAnsi="Times New Roman"/>
          <w:sz w:val="24"/>
          <w:szCs w:val="24"/>
          <w:lang w:eastAsia="zh-CN"/>
        </w:rPr>
        <w:t>井场已建</w:t>
      </w:r>
      <w:r w:rsidR="00902A04" w:rsidRPr="00E67914">
        <w:rPr>
          <w:rFonts w:ascii="Times New Roman" w:hAnsi="Times New Roman"/>
          <w:sz w:val="24"/>
          <w:szCs w:val="24"/>
          <w:lang w:eastAsia="zh-CN"/>
        </w:rPr>
        <w:t>进场道路长约</w:t>
      </w:r>
      <w:r w:rsidRPr="00E67914">
        <w:rPr>
          <w:rFonts w:ascii="Times New Roman" w:hAnsi="Times New Roman"/>
          <w:sz w:val="24"/>
          <w:szCs w:val="24"/>
          <w:lang w:eastAsia="zh-CN"/>
        </w:rPr>
        <w:t>10</w:t>
      </w:r>
      <w:r w:rsidR="00902A04" w:rsidRPr="00E67914">
        <w:rPr>
          <w:rFonts w:ascii="Times New Roman" w:hAnsi="Times New Roman"/>
          <w:sz w:val="24"/>
          <w:szCs w:val="24"/>
          <w:lang w:eastAsia="zh-CN"/>
        </w:rPr>
        <w:t>0m</w:t>
      </w:r>
      <w:r w:rsidR="00902A04" w:rsidRPr="00E67914">
        <w:rPr>
          <w:rFonts w:ascii="Times New Roman" w:hAnsi="Times New Roman"/>
          <w:sz w:val="24"/>
          <w:szCs w:val="24"/>
          <w:lang w:eastAsia="zh-CN"/>
        </w:rPr>
        <w:t>，路基宽度约</w:t>
      </w:r>
      <w:r w:rsidR="00902A04" w:rsidRPr="00E67914">
        <w:rPr>
          <w:rFonts w:ascii="Times New Roman" w:hAnsi="Times New Roman"/>
          <w:sz w:val="24"/>
          <w:szCs w:val="24"/>
          <w:lang w:eastAsia="zh-CN"/>
        </w:rPr>
        <w:t>4.5m</w:t>
      </w:r>
      <w:r w:rsidR="00902A04" w:rsidRPr="00E67914">
        <w:rPr>
          <w:rFonts w:ascii="Times New Roman" w:hAnsi="Times New Roman"/>
          <w:sz w:val="24"/>
          <w:szCs w:val="24"/>
          <w:lang w:eastAsia="zh-CN"/>
        </w:rPr>
        <w:t>，为水泥混凝土结构，能够满足本项目试采使用，依托可行。</w:t>
      </w:r>
    </w:p>
    <w:p w14:paraId="1E9FE64A" w14:textId="77777777" w:rsidR="00A54A8A" w:rsidRPr="00E67914" w:rsidRDefault="00000000">
      <w:pPr>
        <w:pStyle w:val="2"/>
        <w:ind w:firstLine="480"/>
        <w:rPr>
          <w:szCs w:val="24"/>
          <w:lang w:eastAsia="zh-CN"/>
        </w:rPr>
      </w:pPr>
      <w:bookmarkStart w:id="60" w:name="_Toc148654221"/>
      <w:r w:rsidRPr="00E67914">
        <w:rPr>
          <w:szCs w:val="24"/>
          <w:lang w:eastAsia="zh-CN"/>
        </w:rPr>
        <w:t>3.2</w:t>
      </w:r>
      <w:r w:rsidRPr="00E67914">
        <w:rPr>
          <w:szCs w:val="24"/>
          <w:lang w:eastAsia="zh-CN"/>
        </w:rPr>
        <w:t>项目概况</w:t>
      </w:r>
      <w:bookmarkEnd w:id="60"/>
    </w:p>
    <w:p w14:paraId="77526924"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3.2.1</w:t>
      </w:r>
      <w:r w:rsidRPr="00E67914">
        <w:rPr>
          <w:rFonts w:ascii="Times New Roman" w:eastAsia="黑体" w:hAnsi="Times New Roman"/>
          <w:b w:val="0"/>
          <w:sz w:val="24"/>
          <w:szCs w:val="24"/>
          <w:lang w:eastAsia="zh-CN"/>
        </w:rPr>
        <w:t>建设项目基本情况</w:t>
      </w:r>
    </w:p>
    <w:p w14:paraId="2F9881A1" w14:textId="77790645"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项目名称：</w:t>
      </w:r>
      <w:r w:rsidR="002662E3" w:rsidRPr="00E67914">
        <w:rPr>
          <w:rFonts w:ascii="Times New Roman" w:hAnsi="Times New Roman"/>
          <w:bCs/>
          <w:kern w:val="2"/>
          <w:sz w:val="24"/>
          <w:szCs w:val="24"/>
          <w:lang w:eastAsia="zh-CN"/>
        </w:rPr>
        <w:t>普陆页</w:t>
      </w:r>
      <w:r w:rsidR="002662E3" w:rsidRPr="00E67914">
        <w:rPr>
          <w:rFonts w:ascii="Times New Roman" w:hAnsi="Times New Roman"/>
          <w:bCs/>
          <w:kern w:val="2"/>
          <w:sz w:val="24"/>
          <w:szCs w:val="24"/>
          <w:lang w:eastAsia="zh-CN"/>
        </w:rPr>
        <w:t>2</w:t>
      </w:r>
      <w:r w:rsidR="002662E3" w:rsidRPr="00E67914">
        <w:rPr>
          <w:rFonts w:ascii="Times New Roman" w:hAnsi="Times New Roman"/>
          <w:bCs/>
          <w:kern w:val="2"/>
          <w:sz w:val="24"/>
          <w:szCs w:val="24"/>
          <w:lang w:eastAsia="zh-CN"/>
        </w:rPr>
        <w:t>井台钻井及试采工程</w:t>
      </w:r>
      <w:r w:rsidRPr="00E67914">
        <w:rPr>
          <w:rFonts w:ascii="Times New Roman" w:hAnsi="Times New Roman"/>
          <w:bCs/>
          <w:kern w:val="2"/>
          <w:sz w:val="24"/>
          <w:szCs w:val="24"/>
          <w:lang w:eastAsia="zh-CN"/>
        </w:rPr>
        <w:t>；</w:t>
      </w:r>
    </w:p>
    <w:p w14:paraId="08B1BCCE"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建设单位：中国石油化工股份有限公司中原油田普光分公司；</w:t>
      </w:r>
    </w:p>
    <w:p w14:paraId="25A4F0F9" w14:textId="0816514F"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建设性质：</w:t>
      </w:r>
      <w:r w:rsidR="00420D2C" w:rsidRPr="00E67914">
        <w:rPr>
          <w:rFonts w:ascii="Times New Roman" w:hAnsi="Times New Roman"/>
          <w:bCs/>
          <w:kern w:val="2"/>
          <w:sz w:val="24"/>
          <w:szCs w:val="24"/>
          <w:lang w:eastAsia="zh-CN"/>
        </w:rPr>
        <w:t>新建</w:t>
      </w:r>
      <w:r w:rsidRPr="00E67914">
        <w:rPr>
          <w:rFonts w:ascii="Times New Roman" w:hAnsi="Times New Roman"/>
          <w:bCs/>
          <w:kern w:val="2"/>
          <w:sz w:val="24"/>
          <w:szCs w:val="24"/>
          <w:lang w:eastAsia="zh-CN"/>
        </w:rPr>
        <w:t>；</w:t>
      </w:r>
    </w:p>
    <w:p w14:paraId="43BD3488" w14:textId="06EC19D8"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建设地点：</w:t>
      </w:r>
      <w:r w:rsidR="00DD2AA7" w:rsidRPr="00E67914">
        <w:rPr>
          <w:rFonts w:ascii="Times New Roman" w:hAnsi="Times New Roman"/>
          <w:bCs/>
          <w:kern w:val="2"/>
          <w:sz w:val="24"/>
          <w:szCs w:val="24"/>
          <w:lang w:eastAsia="zh-CN"/>
        </w:rPr>
        <w:t>宣汉县普光镇</w:t>
      </w:r>
      <w:r w:rsidR="00AE0282" w:rsidRPr="00E67914">
        <w:rPr>
          <w:rFonts w:ascii="Times New Roman" w:hAnsi="Times New Roman"/>
          <w:bCs/>
          <w:kern w:val="2"/>
          <w:sz w:val="24"/>
          <w:szCs w:val="24"/>
          <w:lang w:eastAsia="zh-CN"/>
        </w:rPr>
        <w:t>陡梯村</w:t>
      </w:r>
      <w:r w:rsidRPr="00E67914">
        <w:rPr>
          <w:rFonts w:ascii="Times New Roman" w:hAnsi="Times New Roman"/>
          <w:bCs/>
          <w:kern w:val="2"/>
          <w:sz w:val="24"/>
          <w:szCs w:val="24"/>
          <w:lang w:eastAsia="zh-CN"/>
        </w:rPr>
        <w:t>；</w:t>
      </w:r>
    </w:p>
    <w:p w14:paraId="4C952876" w14:textId="0416AD7B"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建设规模：项目投产后试采</w:t>
      </w:r>
      <w:r w:rsidR="00034F63" w:rsidRPr="00E67914">
        <w:rPr>
          <w:rFonts w:ascii="Times New Roman" w:hAnsi="Times New Roman"/>
          <w:sz w:val="24"/>
          <w:szCs w:val="24"/>
          <w:lang w:eastAsia="zh-CN"/>
        </w:rPr>
        <w:t>站试采</w:t>
      </w:r>
      <w:r w:rsidRPr="00E67914">
        <w:rPr>
          <w:rFonts w:ascii="Times New Roman" w:hAnsi="Times New Roman"/>
          <w:sz w:val="24"/>
          <w:szCs w:val="24"/>
          <w:lang w:eastAsia="zh-CN"/>
        </w:rPr>
        <w:t>规模最大</w:t>
      </w:r>
      <w:r w:rsidR="00B93C0F" w:rsidRPr="00E67914">
        <w:rPr>
          <w:rFonts w:ascii="Times New Roman" w:hAnsi="Times New Roman"/>
          <w:sz w:val="24"/>
          <w:szCs w:val="24"/>
          <w:lang w:eastAsia="zh-CN"/>
        </w:rPr>
        <w:t>20.6</w:t>
      </w:r>
      <w:r w:rsidRPr="00E67914">
        <w:rPr>
          <w:rFonts w:ascii="Times New Roman" w:hAnsi="Times New Roman"/>
          <w:sz w:val="24"/>
          <w:szCs w:val="24"/>
          <w:lang w:eastAsia="zh-CN"/>
        </w:rPr>
        <w:t>×10</w:t>
      </w:r>
      <w:r w:rsidRPr="00E67914">
        <w:rPr>
          <w:rFonts w:ascii="Times New Roman" w:hAnsi="Times New Roman"/>
          <w:sz w:val="24"/>
          <w:szCs w:val="24"/>
          <w:vertAlign w:val="superscript"/>
          <w:lang w:eastAsia="zh-CN"/>
        </w:rPr>
        <w:t>4</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/d</w:t>
      </w:r>
      <w:r w:rsidRPr="00E67914">
        <w:rPr>
          <w:rFonts w:ascii="Times New Roman" w:hAnsi="Times New Roman"/>
          <w:sz w:val="24"/>
          <w:szCs w:val="24"/>
          <w:lang w:eastAsia="zh-CN"/>
        </w:rPr>
        <w:t>，</w:t>
      </w:r>
      <w:r w:rsidR="00034F63" w:rsidRPr="00E67914">
        <w:rPr>
          <w:rFonts w:ascii="Times New Roman" w:hAnsi="Times New Roman"/>
          <w:sz w:val="24"/>
          <w:szCs w:val="24"/>
          <w:lang w:eastAsia="zh-CN"/>
        </w:rPr>
        <w:t>产油量</w:t>
      </w:r>
      <w:r w:rsidR="007C13E6" w:rsidRPr="00E67914">
        <w:rPr>
          <w:rFonts w:ascii="Times New Roman" w:hAnsi="Times New Roman"/>
          <w:sz w:val="24"/>
          <w:szCs w:val="24"/>
          <w:lang w:eastAsia="zh-CN"/>
        </w:rPr>
        <w:t>1</w:t>
      </w:r>
      <w:r w:rsidR="0030073C" w:rsidRPr="00E67914">
        <w:rPr>
          <w:rFonts w:ascii="Times New Roman" w:hAnsi="Times New Roman"/>
          <w:sz w:val="24"/>
          <w:szCs w:val="24"/>
          <w:lang w:eastAsia="zh-CN"/>
        </w:rPr>
        <w:t>2.3</w:t>
      </w:r>
      <w:r w:rsidR="00034F63" w:rsidRPr="00E67914">
        <w:rPr>
          <w:rFonts w:ascii="Times New Roman" w:hAnsi="Times New Roman"/>
          <w:sz w:val="24"/>
          <w:szCs w:val="24"/>
          <w:lang w:eastAsia="zh-CN"/>
        </w:rPr>
        <w:t>t/d</w:t>
      </w:r>
      <w:r w:rsidR="00034F63" w:rsidRPr="00E67914">
        <w:rPr>
          <w:rFonts w:ascii="Times New Roman" w:hAnsi="Times New Roman"/>
          <w:sz w:val="24"/>
          <w:szCs w:val="24"/>
          <w:lang w:eastAsia="zh-CN"/>
        </w:rPr>
        <w:t>，产水量</w:t>
      </w:r>
      <w:r w:rsidR="00B93C0F" w:rsidRPr="00E67914">
        <w:rPr>
          <w:rFonts w:ascii="Times New Roman" w:hAnsi="Times New Roman"/>
          <w:sz w:val="24"/>
          <w:szCs w:val="24"/>
          <w:lang w:eastAsia="zh-CN"/>
        </w:rPr>
        <w:t>42.7</w:t>
      </w:r>
      <w:r w:rsidR="00034F63" w:rsidRPr="00E67914">
        <w:rPr>
          <w:rFonts w:ascii="Times New Roman" w:hAnsi="Times New Roman"/>
          <w:sz w:val="24"/>
          <w:szCs w:val="24"/>
          <w:lang w:eastAsia="zh-CN"/>
        </w:rPr>
        <w:t>m</w:t>
      </w:r>
      <w:r w:rsidR="00034F63" w:rsidRPr="00E67914">
        <w:rPr>
          <w:rFonts w:ascii="Times New Roman" w:hAnsi="Times New Roman"/>
          <w:sz w:val="24"/>
          <w:szCs w:val="24"/>
          <w:vertAlign w:val="superscript"/>
          <w:lang w:eastAsia="zh-CN"/>
        </w:rPr>
        <w:t>3</w:t>
      </w:r>
      <w:r w:rsidR="00034F63" w:rsidRPr="00E67914">
        <w:rPr>
          <w:rFonts w:ascii="Times New Roman" w:hAnsi="Times New Roman"/>
          <w:sz w:val="24"/>
          <w:szCs w:val="24"/>
          <w:lang w:eastAsia="zh-CN"/>
        </w:rPr>
        <w:t>/d</w:t>
      </w:r>
      <w:r w:rsidRPr="00E67914">
        <w:rPr>
          <w:rFonts w:ascii="Times New Roman" w:hAnsi="Times New Roman"/>
          <w:sz w:val="24"/>
          <w:szCs w:val="24"/>
          <w:lang w:eastAsia="zh-CN"/>
        </w:rPr>
        <w:t>；</w:t>
      </w:r>
    </w:p>
    <w:p w14:paraId="113E15A8" w14:textId="2C2854FC"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项目投资：</w:t>
      </w:r>
      <w:r w:rsidR="00CC09E7" w:rsidRPr="00E67914">
        <w:rPr>
          <w:rFonts w:ascii="Times New Roman" w:hAnsi="Times New Roman"/>
          <w:sz w:val="24"/>
          <w:szCs w:val="24"/>
          <w:lang w:eastAsia="zh-CN"/>
        </w:rPr>
        <w:t>19784</w:t>
      </w:r>
      <w:r w:rsidRPr="00E67914">
        <w:rPr>
          <w:rFonts w:ascii="Times New Roman" w:hAnsi="Times New Roman"/>
          <w:sz w:val="24"/>
          <w:szCs w:val="24"/>
          <w:lang w:eastAsia="zh-CN"/>
        </w:rPr>
        <w:t>万元；</w:t>
      </w:r>
    </w:p>
    <w:p w14:paraId="15D178E5" w14:textId="561CFB71"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构造位置：</w:t>
      </w:r>
      <w:r w:rsidR="00034F63" w:rsidRPr="00E67914">
        <w:rPr>
          <w:rFonts w:ascii="Times New Roman" w:hAnsi="Times New Roman"/>
          <w:sz w:val="24"/>
          <w:szCs w:val="24"/>
          <w:lang w:eastAsia="zh-CN"/>
        </w:rPr>
        <w:t>普光东向斜</w:t>
      </w:r>
      <w:r w:rsidRPr="00E67914">
        <w:rPr>
          <w:rFonts w:ascii="Times New Roman" w:hAnsi="Times New Roman"/>
          <w:sz w:val="24"/>
          <w:szCs w:val="24"/>
          <w:lang w:eastAsia="zh-CN"/>
        </w:rPr>
        <w:t>；</w:t>
      </w:r>
    </w:p>
    <w:p w14:paraId="201798C6" w14:textId="6D04AE76"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井型：</w:t>
      </w:r>
      <w:r w:rsidR="0014745F" w:rsidRPr="00E67914">
        <w:rPr>
          <w:rFonts w:ascii="Times New Roman" w:hAnsi="Times New Roman"/>
          <w:sz w:val="24"/>
          <w:szCs w:val="24"/>
          <w:lang w:eastAsia="zh-CN"/>
        </w:rPr>
        <w:t>试验井</w:t>
      </w:r>
      <w:r w:rsidRPr="00E67914">
        <w:rPr>
          <w:rFonts w:ascii="Times New Roman" w:hAnsi="Times New Roman"/>
          <w:sz w:val="24"/>
          <w:szCs w:val="24"/>
          <w:lang w:eastAsia="zh-CN"/>
        </w:rPr>
        <w:t>；</w:t>
      </w:r>
    </w:p>
    <w:p w14:paraId="444CA485" w14:textId="7421583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目的层位：</w:t>
      </w:r>
      <w:r w:rsidR="00034F63" w:rsidRPr="00E67914">
        <w:rPr>
          <w:rFonts w:ascii="Times New Roman" w:hAnsi="Times New Roman"/>
          <w:sz w:val="24"/>
          <w:lang w:eastAsia="zh-CN"/>
        </w:rPr>
        <w:t>千佛崖组</w:t>
      </w:r>
      <w:r w:rsidRPr="00E67914">
        <w:rPr>
          <w:rFonts w:ascii="Times New Roman" w:hAnsi="Times New Roman"/>
          <w:sz w:val="24"/>
          <w:szCs w:val="24"/>
          <w:lang w:eastAsia="zh-CN"/>
        </w:rPr>
        <w:t>；</w:t>
      </w:r>
    </w:p>
    <w:p w14:paraId="4B504BD2" w14:textId="6B67E2A3"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bookmarkStart w:id="61" w:name="_Hlk97284111"/>
      <w:r w:rsidRPr="00E67914">
        <w:rPr>
          <w:rFonts w:ascii="Times New Roman" w:hAnsi="Times New Roman"/>
          <w:sz w:val="24"/>
          <w:szCs w:val="24"/>
          <w:lang w:eastAsia="zh-CN"/>
        </w:rPr>
        <w:t>完钻层</w:t>
      </w:r>
      <w:bookmarkEnd w:id="61"/>
      <w:r w:rsidRPr="00E67914">
        <w:rPr>
          <w:rFonts w:ascii="Times New Roman" w:hAnsi="Times New Roman"/>
          <w:sz w:val="24"/>
          <w:szCs w:val="24"/>
          <w:lang w:eastAsia="zh-CN"/>
        </w:rPr>
        <w:t>位：</w:t>
      </w:r>
      <w:r w:rsidR="00034F63" w:rsidRPr="00E67914">
        <w:rPr>
          <w:rFonts w:ascii="Times New Roman" w:hAnsi="Times New Roman"/>
          <w:sz w:val="24"/>
          <w:lang w:eastAsia="zh-CN"/>
        </w:rPr>
        <w:t>千佛崖组</w:t>
      </w:r>
      <w:r w:rsidRPr="00E67914">
        <w:rPr>
          <w:rFonts w:ascii="Times New Roman" w:hAnsi="Times New Roman"/>
          <w:sz w:val="24"/>
          <w:szCs w:val="24"/>
          <w:lang w:eastAsia="zh-CN"/>
        </w:rPr>
        <w:t>；</w:t>
      </w:r>
    </w:p>
    <w:p w14:paraId="62799865"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完井方式：套管完井；</w:t>
      </w:r>
    </w:p>
    <w:p w14:paraId="6DD8441D" w14:textId="59342440"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项目基本情况：建设内容包括施工期钻前工程、</w:t>
      </w:r>
      <w:r w:rsidR="00611A35" w:rsidRPr="00E67914">
        <w:rPr>
          <w:rFonts w:ascii="Times New Roman" w:hAnsi="Times New Roman"/>
          <w:sz w:val="24"/>
          <w:szCs w:val="24"/>
          <w:lang w:eastAsia="zh-CN"/>
        </w:rPr>
        <w:t>钻井工程</w:t>
      </w:r>
      <w:r w:rsidRPr="00E67914">
        <w:rPr>
          <w:rFonts w:ascii="Times New Roman" w:hAnsi="Times New Roman"/>
          <w:sz w:val="24"/>
          <w:szCs w:val="24"/>
          <w:lang w:eastAsia="zh-CN"/>
        </w:rPr>
        <w:t>（</w:t>
      </w:r>
      <w:r w:rsidRPr="00E67914">
        <w:rPr>
          <w:rFonts w:ascii="Times New Roman" w:hAnsi="Times New Roman"/>
          <w:sz w:val="24"/>
          <w:lang w:eastAsia="zh-CN"/>
        </w:rPr>
        <w:t>试采工程</w:t>
      </w:r>
      <w:r w:rsidRPr="00E67914">
        <w:rPr>
          <w:rFonts w:ascii="Times New Roman" w:hAnsi="Times New Roman"/>
          <w:sz w:val="24"/>
          <w:szCs w:val="24"/>
          <w:lang w:eastAsia="zh-CN"/>
        </w:rPr>
        <w:t>）、</w:t>
      </w:r>
      <w:r w:rsidRPr="00E67914">
        <w:rPr>
          <w:rFonts w:ascii="Times New Roman" w:hAnsi="Times New Roman"/>
          <w:sz w:val="24"/>
          <w:lang w:eastAsia="zh-CN"/>
        </w:rPr>
        <w:t>地面集输工程</w:t>
      </w:r>
      <w:r w:rsidRPr="00E67914">
        <w:rPr>
          <w:rFonts w:ascii="Times New Roman" w:hAnsi="Times New Roman"/>
          <w:sz w:val="24"/>
          <w:szCs w:val="24"/>
          <w:lang w:eastAsia="zh-CN"/>
        </w:rPr>
        <w:t>。</w:t>
      </w:r>
    </w:p>
    <w:p w14:paraId="1CB9FC2E" w14:textId="5B464779" w:rsidR="00A54A8A" w:rsidRPr="00E67914" w:rsidRDefault="00000000">
      <w:pPr>
        <w:widowControl w:val="0"/>
        <w:tabs>
          <w:tab w:val="left" w:pos="0"/>
        </w:tabs>
        <w:adjustRightInd w:val="0"/>
        <w:snapToGrid w:val="0"/>
        <w:spacing w:line="360" w:lineRule="auto"/>
        <w:ind w:firstLineChars="200" w:firstLine="482"/>
        <w:jc w:val="both"/>
        <w:rPr>
          <w:rFonts w:ascii="Times New Roman" w:hAnsi="Times New Roman"/>
          <w:sz w:val="24"/>
          <w:lang w:eastAsia="zh-CN"/>
        </w:rPr>
      </w:pPr>
      <w:r w:rsidRPr="00E67914">
        <w:rPr>
          <w:rFonts w:ascii="Times New Roman" w:hAnsi="Times New Roman"/>
          <w:b/>
          <w:bCs/>
          <w:sz w:val="24"/>
          <w:szCs w:val="24"/>
          <w:lang w:eastAsia="zh-CN"/>
        </w:rPr>
        <w:t>钻前工程：</w:t>
      </w:r>
      <w:r w:rsidR="0014745F" w:rsidRPr="00E67914">
        <w:rPr>
          <w:rFonts w:ascii="Times New Roman" w:hAnsi="Times New Roman"/>
          <w:sz w:val="24"/>
          <w:szCs w:val="24"/>
          <w:lang w:eastAsia="zh-CN"/>
        </w:rPr>
        <w:t>新建新普陆页</w:t>
      </w:r>
      <w:r w:rsidR="0014745F" w:rsidRPr="00E67914">
        <w:rPr>
          <w:rFonts w:ascii="Times New Roman" w:hAnsi="Times New Roman"/>
          <w:sz w:val="24"/>
          <w:szCs w:val="24"/>
          <w:lang w:eastAsia="zh-CN"/>
        </w:rPr>
        <w:t>2</w:t>
      </w:r>
      <w:r w:rsidR="0014745F" w:rsidRPr="00E67914">
        <w:rPr>
          <w:rFonts w:ascii="Times New Roman" w:hAnsi="Times New Roman"/>
          <w:sz w:val="24"/>
          <w:szCs w:val="24"/>
          <w:lang w:eastAsia="zh-CN"/>
        </w:rPr>
        <w:t>井场</w:t>
      </w:r>
      <w:r w:rsidR="00034F63" w:rsidRPr="00E67914">
        <w:rPr>
          <w:rFonts w:ascii="Times New Roman" w:hAnsi="Times New Roman"/>
          <w:sz w:val="24"/>
          <w:szCs w:val="24"/>
          <w:lang w:eastAsia="zh-CN"/>
        </w:rPr>
        <w:t>1</w:t>
      </w:r>
      <w:r w:rsidR="00034F63" w:rsidRPr="00E67914">
        <w:rPr>
          <w:rFonts w:ascii="Times New Roman" w:hAnsi="Times New Roman"/>
          <w:sz w:val="24"/>
          <w:szCs w:val="24"/>
          <w:lang w:eastAsia="zh-CN"/>
        </w:rPr>
        <w:t>座，新建方井</w:t>
      </w:r>
      <w:r w:rsidR="00034F63" w:rsidRPr="00E67914">
        <w:rPr>
          <w:rFonts w:ascii="Times New Roman" w:hAnsi="Times New Roman"/>
          <w:sz w:val="24"/>
          <w:szCs w:val="24"/>
          <w:lang w:eastAsia="zh-CN"/>
        </w:rPr>
        <w:t>3</w:t>
      </w:r>
      <w:r w:rsidR="00034F63" w:rsidRPr="00E67914">
        <w:rPr>
          <w:rFonts w:ascii="Times New Roman" w:hAnsi="Times New Roman"/>
          <w:sz w:val="24"/>
          <w:szCs w:val="24"/>
          <w:lang w:eastAsia="zh-CN"/>
        </w:rPr>
        <w:t>座，新建加长型井架基础</w:t>
      </w:r>
      <w:r w:rsidR="00034F63" w:rsidRPr="00E67914">
        <w:rPr>
          <w:rFonts w:ascii="Times New Roman" w:hAnsi="Times New Roman"/>
          <w:sz w:val="24"/>
          <w:szCs w:val="24"/>
          <w:lang w:eastAsia="zh-CN"/>
        </w:rPr>
        <w:t>1</w:t>
      </w:r>
      <w:r w:rsidR="00034F63" w:rsidRPr="00E67914">
        <w:rPr>
          <w:rFonts w:ascii="Times New Roman" w:hAnsi="Times New Roman"/>
          <w:sz w:val="24"/>
          <w:szCs w:val="24"/>
          <w:lang w:eastAsia="zh-CN"/>
        </w:rPr>
        <w:t>座，新建循环罐、储备罐、泵机房等设备基础，利用原放喷池</w:t>
      </w:r>
      <w:r w:rsidR="00034F63" w:rsidRPr="00E67914">
        <w:rPr>
          <w:rFonts w:ascii="Times New Roman" w:hAnsi="Times New Roman"/>
          <w:sz w:val="24"/>
          <w:szCs w:val="24"/>
          <w:lang w:eastAsia="zh-CN"/>
        </w:rPr>
        <w:t>1</w:t>
      </w:r>
      <w:r w:rsidR="00034F63" w:rsidRPr="00E67914">
        <w:rPr>
          <w:rFonts w:ascii="Times New Roman" w:hAnsi="Times New Roman"/>
          <w:sz w:val="24"/>
          <w:szCs w:val="24"/>
          <w:lang w:eastAsia="zh-CN"/>
        </w:rPr>
        <w:t>座（普陆页</w:t>
      </w:r>
      <w:r w:rsidR="00034F63" w:rsidRPr="00E67914">
        <w:rPr>
          <w:rFonts w:ascii="Times New Roman" w:hAnsi="Times New Roman"/>
          <w:sz w:val="24"/>
          <w:szCs w:val="24"/>
          <w:lang w:eastAsia="zh-CN"/>
        </w:rPr>
        <w:t>2</w:t>
      </w:r>
      <w:r w:rsidR="00034F63" w:rsidRPr="00E67914">
        <w:rPr>
          <w:rFonts w:ascii="Times New Roman" w:hAnsi="Times New Roman"/>
          <w:sz w:val="24"/>
          <w:szCs w:val="24"/>
          <w:lang w:eastAsia="zh-CN"/>
        </w:rPr>
        <w:t>原井场），新建</w:t>
      </w:r>
      <w:r w:rsidR="00034F63" w:rsidRPr="00E67914">
        <w:rPr>
          <w:rFonts w:ascii="Times New Roman" w:hAnsi="Times New Roman"/>
          <w:sz w:val="24"/>
          <w:szCs w:val="24"/>
          <w:lang w:eastAsia="zh-CN"/>
        </w:rPr>
        <w:t>600m³</w:t>
      </w:r>
      <w:r w:rsidR="00034F63" w:rsidRPr="00E67914">
        <w:rPr>
          <w:rFonts w:ascii="Times New Roman" w:hAnsi="Times New Roman"/>
          <w:sz w:val="24"/>
          <w:szCs w:val="24"/>
          <w:lang w:eastAsia="zh-CN"/>
        </w:rPr>
        <w:t>清水池</w:t>
      </w:r>
      <w:r w:rsidR="00034F63" w:rsidRPr="00E67914">
        <w:rPr>
          <w:rFonts w:ascii="Times New Roman" w:hAnsi="Times New Roman"/>
          <w:sz w:val="24"/>
          <w:szCs w:val="24"/>
          <w:lang w:eastAsia="zh-CN"/>
        </w:rPr>
        <w:t>1</w:t>
      </w:r>
      <w:r w:rsidR="00034F63" w:rsidRPr="00E67914">
        <w:rPr>
          <w:rFonts w:ascii="Times New Roman" w:hAnsi="Times New Roman"/>
          <w:sz w:val="24"/>
          <w:szCs w:val="24"/>
          <w:lang w:eastAsia="zh-CN"/>
        </w:rPr>
        <w:t>座，新建</w:t>
      </w:r>
      <w:r w:rsidR="00034F63" w:rsidRPr="00E67914">
        <w:rPr>
          <w:rFonts w:ascii="Times New Roman" w:hAnsi="Times New Roman"/>
          <w:sz w:val="24"/>
          <w:szCs w:val="24"/>
          <w:lang w:eastAsia="zh-CN"/>
        </w:rPr>
        <w:t>110m</w:t>
      </w:r>
      <w:r w:rsidR="00034F63" w:rsidRPr="00E67914">
        <w:rPr>
          <w:rFonts w:ascii="Times New Roman" w:hAnsi="Times New Roman"/>
          <w:sz w:val="24"/>
          <w:szCs w:val="24"/>
          <w:lang w:eastAsia="zh-CN"/>
        </w:rPr>
        <w:t>长进场道路一条</w:t>
      </w:r>
      <w:r w:rsidRPr="00E67914">
        <w:rPr>
          <w:rFonts w:ascii="Times New Roman" w:hAnsi="Times New Roman"/>
          <w:sz w:val="24"/>
          <w:lang w:eastAsia="zh-CN"/>
        </w:rPr>
        <w:t>。</w:t>
      </w:r>
    </w:p>
    <w:p w14:paraId="4911487A" w14:textId="5E6F2208" w:rsidR="00C958C2" w:rsidRPr="00E67914" w:rsidRDefault="00611A35" w:rsidP="00C958C2">
      <w:pPr>
        <w:adjustRightInd w:val="0"/>
        <w:snapToGrid w:val="0"/>
        <w:spacing w:line="360" w:lineRule="auto"/>
        <w:ind w:firstLineChars="200" w:firstLine="482"/>
        <w:jc w:val="both"/>
        <w:rPr>
          <w:rFonts w:ascii="Times New Roman" w:hAnsi="Times New Roman"/>
          <w:sz w:val="24"/>
          <w:lang w:eastAsia="zh-CN"/>
        </w:rPr>
      </w:pPr>
      <w:r w:rsidRPr="00E67914">
        <w:rPr>
          <w:rFonts w:ascii="Times New Roman" w:hAnsi="Times New Roman"/>
          <w:b/>
          <w:bCs/>
          <w:sz w:val="24"/>
          <w:szCs w:val="24"/>
          <w:lang w:eastAsia="zh-CN"/>
        </w:rPr>
        <w:t>钻井工程：</w:t>
      </w:r>
      <w:r w:rsidR="00C958C2" w:rsidRPr="00E67914">
        <w:rPr>
          <w:rFonts w:ascii="Times New Roman" w:hAnsi="Times New Roman"/>
          <w:sz w:val="24"/>
          <w:lang w:eastAsia="zh-CN"/>
        </w:rPr>
        <w:t>部署</w:t>
      </w:r>
      <w:r w:rsidR="00C958C2" w:rsidRPr="00E67914">
        <w:rPr>
          <w:rFonts w:ascii="Times New Roman" w:hAnsi="Times New Roman"/>
          <w:sz w:val="24"/>
          <w:lang w:eastAsia="zh-CN"/>
        </w:rPr>
        <w:t>3</w:t>
      </w:r>
      <w:r w:rsidR="00C958C2" w:rsidRPr="00E67914">
        <w:rPr>
          <w:rFonts w:ascii="Times New Roman" w:hAnsi="Times New Roman"/>
          <w:sz w:val="24"/>
          <w:lang w:eastAsia="zh-CN"/>
        </w:rPr>
        <w:t>口页岩气井（普陆页</w:t>
      </w:r>
      <w:r w:rsidR="00C958C2" w:rsidRPr="00E67914">
        <w:rPr>
          <w:rFonts w:ascii="Times New Roman" w:hAnsi="Times New Roman"/>
          <w:sz w:val="24"/>
          <w:lang w:eastAsia="zh-CN"/>
        </w:rPr>
        <w:t>2-1</w:t>
      </w:r>
      <w:r w:rsidR="00C958C2" w:rsidRPr="00E67914">
        <w:rPr>
          <w:rFonts w:ascii="Times New Roman" w:hAnsi="Times New Roman"/>
          <w:sz w:val="24"/>
          <w:lang w:eastAsia="zh-CN"/>
        </w:rPr>
        <w:t>井、普陆页</w:t>
      </w:r>
      <w:r w:rsidR="00C958C2" w:rsidRPr="00E67914">
        <w:rPr>
          <w:rFonts w:ascii="Times New Roman" w:hAnsi="Times New Roman"/>
          <w:sz w:val="24"/>
          <w:lang w:eastAsia="zh-CN"/>
        </w:rPr>
        <w:t>2-2</w:t>
      </w:r>
      <w:r w:rsidR="00C958C2" w:rsidRPr="00E67914">
        <w:rPr>
          <w:rFonts w:ascii="Times New Roman" w:hAnsi="Times New Roman"/>
          <w:sz w:val="24"/>
          <w:lang w:eastAsia="zh-CN"/>
        </w:rPr>
        <w:t>井、普陆页</w:t>
      </w:r>
      <w:r w:rsidR="00C958C2" w:rsidRPr="00E67914">
        <w:rPr>
          <w:rFonts w:ascii="Times New Roman" w:hAnsi="Times New Roman"/>
          <w:sz w:val="24"/>
          <w:lang w:eastAsia="zh-CN"/>
        </w:rPr>
        <w:t>2-3</w:t>
      </w:r>
      <w:r w:rsidR="00C958C2" w:rsidRPr="00E67914">
        <w:rPr>
          <w:rFonts w:ascii="Times New Roman" w:hAnsi="Times New Roman"/>
          <w:sz w:val="24"/>
          <w:lang w:eastAsia="zh-CN"/>
        </w:rPr>
        <w:t>井），设计井别为</w:t>
      </w:r>
      <w:r w:rsidR="0014745F" w:rsidRPr="00E67914">
        <w:rPr>
          <w:rFonts w:ascii="Times New Roman" w:hAnsi="Times New Roman"/>
          <w:sz w:val="24"/>
          <w:lang w:eastAsia="zh-CN"/>
        </w:rPr>
        <w:t>试验井</w:t>
      </w:r>
      <w:r w:rsidR="00C958C2" w:rsidRPr="00E67914">
        <w:rPr>
          <w:rFonts w:ascii="Times New Roman" w:hAnsi="Times New Roman"/>
          <w:sz w:val="24"/>
          <w:lang w:eastAsia="zh-CN"/>
        </w:rPr>
        <w:t>，目的层为千佛崖组，井型为水平井，套管完井，平均井深</w:t>
      </w:r>
      <w:r w:rsidR="00C958C2" w:rsidRPr="00E67914">
        <w:rPr>
          <w:rFonts w:ascii="Times New Roman" w:hAnsi="Times New Roman"/>
          <w:sz w:val="24"/>
          <w:lang w:eastAsia="zh-CN"/>
        </w:rPr>
        <w:t>5595.64m</w:t>
      </w:r>
      <w:r w:rsidR="00C958C2" w:rsidRPr="00E67914">
        <w:rPr>
          <w:rFonts w:ascii="Times New Roman" w:hAnsi="Times New Roman"/>
          <w:sz w:val="24"/>
          <w:lang w:eastAsia="zh-CN"/>
        </w:rPr>
        <w:t>，平均水平位移</w:t>
      </w:r>
      <w:r w:rsidR="00C958C2" w:rsidRPr="00E67914">
        <w:rPr>
          <w:rFonts w:ascii="Times New Roman" w:hAnsi="Times New Roman"/>
          <w:sz w:val="24"/>
          <w:lang w:eastAsia="zh-CN"/>
        </w:rPr>
        <w:t>2534.07m</w:t>
      </w:r>
      <w:r w:rsidR="00C958C2" w:rsidRPr="00E67914">
        <w:rPr>
          <w:rFonts w:ascii="Times New Roman" w:hAnsi="Times New Roman"/>
          <w:sz w:val="24"/>
          <w:lang w:eastAsia="zh-CN"/>
        </w:rPr>
        <w:t>，平均垂深</w:t>
      </w:r>
      <w:r w:rsidR="00C958C2" w:rsidRPr="00E67914">
        <w:rPr>
          <w:rFonts w:ascii="Times New Roman" w:hAnsi="Times New Roman"/>
          <w:sz w:val="24"/>
          <w:lang w:eastAsia="zh-CN"/>
        </w:rPr>
        <w:t>3356.34m</w:t>
      </w:r>
      <w:r w:rsidR="00C958C2" w:rsidRPr="00E67914">
        <w:rPr>
          <w:rFonts w:ascii="Times New Roman" w:hAnsi="Times New Roman"/>
          <w:sz w:val="24"/>
          <w:lang w:eastAsia="zh-CN"/>
        </w:rPr>
        <w:t>，平均水平段长</w:t>
      </w:r>
      <w:r w:rsidR="00C958C2" w:rsidRPr="00E67914">
        <w:rPr>
          <w:rFonts w:ascii="Times New Roman" w:hAnsi="Times New Roman"/>
          <w:sz w:val="24"/>
          <w:lang w:eastAsia="zh-CN"/>
        </w:rPr>
        <w:t>1959.88m</w:t>
      </w:r>
      <w:r w:rsidR="00C958C2" w:rsidRPr="00E67914">
        <w:rPr>
          <w:rFonts w:ascii="Times New Roman" w:hAnsi="Times New Roman"/>
          <w:sz w:val="24"/>
          <w:lang w:eastAsia="zh-CN"/>
        </w:rPr>
        <w:t>，造斜率设计</w:t>
      </w:r>
      <w:r w:rsidR="00C958C2" w:rsidRPr="00E67914">
        <w:rPr>
          <w:rFonts w:ascii="Times New Roman" w:hAnsi="Times New Roman"/>
          <w:sz w:val="24"/>
          <w:lang w:eastAsia="zh-CN"/>
        </w:rPr>
        <w:t>3.2-4.5°/30m</w:t>
      </w:r>
      <w:r w:rsidR="00C958C2" w:rsidRPr="00E67914">
        <w:rPr>
          <w:rFonts w:ascii="Times New Roman" w:hAnsi="Times New Roman"/>
          <w:sz w:val="24"/>
          <w:lang w:eastAsia="zh-CN"/>
        </w:rPr>
        <w:t>，采用加强</w:t>
      </w:r>
      <w:r w:rsidR="00C958C2" w:rsidRPr="00E67914">
        <w:rPr>
          <w:rFonts w:ascii="Times New Roman" w:hAnsi="Times New Roman"/>
          <w:sz w:val="24"/>
          <w:lang w:eastAsia="zh-CN"/>
        </w:rPr>
        <w:t>ZJ50</w:t>
      </w:r>
      <w:r w:rsidR="00C958C2" w:rsidRPr="00E67914">
        <w:rPr>
          <w:rFonts w:ascii="Times New Roman" w:hAnsi="Times New Roman"/>
          <w:sz w:val="24"/>
          <w:lang w:eastAsia="zh-CN"/>
        </w:rPr>
        <w:t>型钻机，单排单钻机布井。采用</w:t>
      </w:r>
      <w:r w:rsidR="00C958C2" w:rsidRPr="00E67914">
        <w:rPr>
          <w:rFonts w:ascii="Times New Roman" w:hAnsi="Times New Roman"/>
          <w:sz w:val="24"/>
          <w:lang w:eastAsia="zh-CN"/>
        </w:rPr>
        <w:t>“</w:t>
      </w:r>
      <w:r w:rsidR="00C958C2" w:rsidRPr="00E67914">
        <w:rPr>
          <w:rFonts w:ascii="Times New Roman" w:hAnsi="Times New Roman"/>
          <w:sz w:val="24"/>
          <w:lang w:eastAsia="zh-CN"/>
        </w:rPr>
        <w:t>导管</w:t>
      </w:r>
      <w:r w:rsidR="00C958C2" w:rsidRPr="00E67914">
        <w:rPr>
          <w:rFonts w:ascii="Times New Roman" w:hAnsi="Times New Roman"/>
          <w:sz w:val="24"/>
          <w:lang w:eastAsia="zh-CN"/>
        </w:rPr>
        <w:t>+</w:t>
      </w:r>
      <w:r w:rsidR="00C958C2" w:rsidRPr="00E67914">
        <w:rPr>
          <w:rFonts w:ascii="Times New Roman" w:hAnsi="Times New Roman"/>
          <w:sz w:val="24"/>
          <w:lang w:eastAsia="zh-CN"/>
        </w:rPr>
        <w:t>三开</w:t>
      </w:r>
      <w:r w:rsidR="00C958C2" w:rsidRPr="00E67914">
        <w:rPr>
          <w:rFonts w:ascii="Times New Roman" w:hAnsi="Times New Roman"/>
          <w:sz w:val="24"/>
          <w:lang w:eastAsia="zh-CN"/>
        </w:rPr>
        <w:t>”</w:t>
      </w:r>
      <w:r w:rsidR="00C958C2" w:rsidRPr="00E67914">
        <w:rPr>
          <w:rFonts w:ascii="Times New Roman" w:hAnsi="Times New Roman"/>
          <w:sz w:val="24"/>
          <w:lang w:eastAsia="zh-CN"/>
        </w:rPr>
        <w:t>井身结构：</w:t>
      </w:r>
      <w:r w:rsidR="00C958C2" w:rsidRPr="00E67914">
        <w:rPr>
          <w:rFonts w:ascii="Times New Roman" w:hAnsi="Times New Roman"/>
          <w:sz w:val="24"/>
          <w:lang w:eastAsia="zh-CN"/>
        </w:rPr>
        <w:t>Φ508mm</w:t>
      </w:r>
      <w:r w:rsidR="00C958C2" w:rsidRPr="00E67914">
        <w:rPr>
          <w:rFonts w:ascii="Times New Roman" w:hAnsi="Times New Roman"/>
          <w:sz w:val="24"/>
          <w:lang w:eastAsia="zh-CN"/>
        </w:rPr>
        <w:t>导管钻前预埋</w:t>
      </w:r>
      <w:r w:rsidR="00C958C2" w:rsidRPr="00E67914">
        <w:rPr>
          <w:rFonts w:ascii="Times New Roman" w:hAnsi="Times New Roman"/>
          <w:sz w:val="24"/>
          <w:lang w:eastAsia="zh-CN"/>
        </w:rPr>
        <w:t>30m</w:t>
      </w:r>
      <w:r w:rsidR="00C958C2" w:rsidRPr="00E67914">
        <w:rPr>
          <w:rFonts w:ascii="Times New Roman" w:hAnsi="Times New Roman"/>
          <w:sz w:val="24"/>
          <w:lang w:eastAsia="zh-CN"/>
        </w:rPr>
        <w:t>；一开</w:t>
      </w:r>
      <w:r w:rsidR="00C958C2" w:rsidRPr="00E67914">
        <w:rPr>
          <w:rFonts w:ascii="Times New Roman" w:hAnsi="Times New Roman"/>
          <w:sz w:val="24"/>
          <w:lang w:eastAsia="zh-CN"/>
        </w:rPr>
        <w:t>Φ339.7mm</w:t>
      </w:r>
      <w:r w:rsidR="00C958C2" w:rsidRPr="00E67914">
        <w:rPr>
          <w:rFonts w:ascii="Times New Roman" w:hAnsi="Times New Roman"/>
          <w:sz w:val="24"/>
          <w:lang w:eastAsia="zh-CN"/>
        </w:rPr>
        <w:t>表层套管分别下深</w:t>
      </w:r>
      <w:r w:rsidR="00C958C2" w:rsidRPr="00E67914">
        <w:rPr>
          <w:rFonts w:ascii="Times New Roman" w:hAnsi="Times New Roman"/>
          <w:sz w:val="24"/>
          <w:lang w:eastAsia="zh-CN"/>
        </w:rPr>
        <w:t>300m</w:t>
      </w:r>
      <w:r w:rsidR="00C958C2" w:rsidRPr="00E67914">
        <w:rPr>
          <w:rFonts w:ascii="Times New Roman" w:hAnsi="Times New Roman"/>
          <w:sz w:val="24"/>
          <w:lang w:eastAsia="zh-CN"/>
        </w:rPr>
        <w:t>、</w:t>
      </w:r>
      <w:r w:rsidR="00C958C2" w:rsidRPr="00E67914">
        <w:rPr>
          <w:rFonts w:ascii="Times New Roman" w:hAnsi="Times New Roman"/>
          <w:sz w:val="24"/>
          <w:lang w:eastAsia="zh-CN"/>
        </w:rPr>
        <w:t>310m</w:t>
      </w:r>
      <w:r w:rsidR="00C958C2" w:rsidRPr="00E67914">
        <w:rPr>
          <w:rFonts w:ascii="Times New Roman" w:hAnsi="Times New Roman"/>
          <w:sz w:val="24"/>
          <w:lang w:eastAsia="zh-CN"/>
        </w:rPr>
        <w:t>、</w:t>
      </w:r>
      <w:r w:rsidR="00C958C2" w:rsidRPr="00E67914">
        <w:rPr>
          <w:rFonts w:ascii="Times New Roman" w:hAnsi="Times New Roman"/>
          <w:sz w:val="24"/>
          <w:lang w:eastAsia="zh-CN"/>
        </w:rPr>
        <w:t>300m</w:t>
      </w:r>
      <w:r w:rsidR="00C958C2" w:rsidRPr="00E67914">
        <w:rPr>
          <w:rFonts w:ascii="Times New Roman" w:hAnsi="Times New Roman"/>
          <w:sz w:val="24"/>
          <w:lang w:eastAsia="zh-CN"/>
        </w:rPr>
        <w:t>；二开</w:t>
      </w:r>
      <w:r w:rsidR="00C958C2" w:rsidRPr="00E67914">
        <w:rPr>
          <w:rFonts w:ascii="Times New Roman" w:hAnsi="Times New Roman"/>
          <w:sz w:val="24"/>
          <w:lang w:eastAsia="zh-CN"/>
        </w:rPr>
        <w:t>Φ244.5mm</w:t>
      </w:r>
      <w:r w:rsidR="00C958C2" w:rsidRPr="00E67914">
        <w:rPr>
          <w:rFonts w:ascii="Times New Roman" w:hAnsi="Times New Roman"/>
          <w:sz w:val="24"/>
          <w:lang w:eastAsia="zh-CN"/>
        </w:rPr>
        <w:t>技术套管封至沙溪庙组底部以下</w:t>
      </w:r>
      <w:r w:rsidR="00C958C2" w:rsidRPr="00E67914">
        <w:rPr>
          <w:rFonts w:ascii="Times New Roman" w:hAnsi="Times New Roman"/>
          <w:sz w:val="24"/>
          <w:lang w:eastAsia="zh-CN"/>
        </w:rPr>
        <w:t>200m</w:t>
      </w:r>
      <w:r w:rsidR="00C958C2" w:rsidRPr="00E67914">
        <w:rPr>
          <w:rFonts w:ascii="Times New Roman" w:hAnsi="Times New Roman"/>
          <w:sz w:val="24"/>
          <w:lang w:eastAsia="zh-CN"/>
        </w:rPr>
        <w:t>，封隔沙溪庙及以上易漏易塌地层，缩减三开裸眼长度，降低三开施工难度，三开中</w:t>
      </w:r>
      <w:r w:rsidR="00C958C2" w:rsidRPr="00E67914">
        <w:rPr>
          <w:rFonts w:ascii="Times New Roman" w:hAnsi="Times New Roman"/>
          <w:sz w:val="24"/>
          <w:lang w:eastAsia="zh-CN"/>
        </w:rPr>
        <w:t>139.7mm</w:t>
      </w:r>
      <w:r w:rsidR="00C958C2" w:rsidRPr="00E67914">
        <w:rPr>
          <w:rFonts w:ascii="Times New Roman" w:hAnsi="Times New Roman"/>
          <w:sz w:val="24"/>
          <w:lang w:eastAsia="zh-CN"/>
        </w:rPr>
        <w:t>产层套管下至井底，根据采气工程压裂改造要求，选用钢级</w:t>
      </w:r>
      <w:r w:rsidR="00C958C2" w:rsidRPr="00E67914">
        <w:rPr>
          <w:rFonts w:ascii="Times New Roman" w:hAnsi="Times New Roman"/>
          <w:sz w:val="24"/>
          <w:lang w:eastAsia="zh-CN"/>
        </w:rPr>
        <w:t>125SG</w:t>
      </w:r>
      <w:r w:rsidR="00C958C2" w:rsidRPr="00E67914">
        <w:rPr>
          <w:rFonts w:ascii="Times New Roman" w:hAnsi="Times New Roman"/>
          <w:sz w:val="24"/>
          <w:lang w:eastAsia="zh-CN"/>
        </w:rPr>
        <w:t>，壁厚</w:t>
      </w:r>
      <w:r w:rsidR="00C958C2" w:rsidRPr="00E67914">
        <w:rPr>
          <w:rFonts w:ascii="Times New Roman" w:hAnsi="Times New Roman"/>
          <w:sz w:val="24"/>
          <w:lang w:eastAsia="zh-CN"/>
        </w:rPr>
        <w:t>12.7mm</w:t>
      </w:r>
      <w:r w:rsidR="00C958C2" w:rsidRPr="00E67914">
        <w:rPr>
          <w:rFonts w:ascii="Times New Roman" w:hAnsi="Times New Roman"/>
          <w:sz w:val="24"/>
          <w:lang w:eastAsia="zh-CN"/>
        </w:rPr>
        <w:t>套管，水泥返至上层套管鞋以上</w:t>
      </w:r>
      <w:r w:rsidR="00C958C2" w:rsidRPr="00E67914">
        <w:rPr>
          <w:rFonts w:ascii="Times New Roman" w:hAnsi="Times New Roman"/>
          <w:sz w:val="24"/>
          <w:lang w:eastAsia="zh-CN"/>
        </w:rPr>
        <w:t>500m</w:t>
      </w:r>
      <w:r w:rsidR="00C958C2" w:rsidRPr="00E67914">
        <w:rPr>
          <w:rFonts w:ascii="Times New Roman" w:hAnsi="Times New Roman"/>
          <w:sz w:val="24"/>
          <w:lang w:eastAsia="zh-CN"/>
        </w:rPr>
        <w:t>。</w:t>
      </w:r>
    </w:p>
    <w:p w14:paraId="37165F24" w14:textId="77777777" w:rsidR="00C958C2" w:rsidRPr="00E67914" w:rsidRDefault="00C958C2" w:rsidP="00C958C2">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一开膨润土浆或聚合物钻井液，二开采用氯化钾聚合物润滑防塌钻井液，三开采用油基钻井液。</w:t>
      </w:r>
    </w:p>
    <w:p w14:paraId="704CB45A" w14:textId="77777777" w:rsidR="00C958C2" w:rsidRPr="00E67914" w:rsidRDefault="00C958C2" w:rsidP="00C958C2">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一开采用常规固井，二开采用变密度固井，领浆采用漂珠低密度水泥浆，尾浆采用增韧防漏水泥浆。三开领浆采用常规低密度水泥浆，尾浆采用增韧防窜水泥浆。</w:t>
      </w:r>
    </w:p>
    <w:p w14:paraId="7ACF6F3F" w14:textId="2408CA3C" w:rsidR="00C958C2" w:rsidRPr="00E67914" w:rsidRDefault="00F37A71" w:rsidP="00C958C2">
      <w:pPr>
        <w:adjustRightInd w:val="0"/>
        <w:snapToGrid w:val="0"/>
        <w:spacing w:line="360" w:lineRule="auto"/>
        <w:ind w:firstLineChars="200" w:firstLine="482"/>
        <w:jc w:val="both"/>
        <w:rPr>
          <w:rFonts w:ascii="Times New Roman" w:hAnsi="Times New Roman"/>
          <w:sz w:val="24"/>
          <w:lang w:eastAsia="zh-CN"/>
        </w:rPr>
      </w:pPr>
      <w:r w:rsidRPr="00E67914">
        <w:rPr>
          <w:rFonts w:ascii="Times New Roman" w:hAnsi="Times New Roman"/>
          <w:b/>
          <w:bCs/>
          <w:sz w:val="24"/>
          <w:lang w:eastAsia="zh-CN"/>
        </w:rPr>
        <w:lastRenderedPageBreak/>
        <w:t>压裂工程：</w:t>
      </w:r>
      <w:r w:rsidR="00C958C2" w:rsidRPr="00E67914">
        <w:rPr>
          <w:rFonts w:ascii="Times New Roman" w:hAnsi="Times New Roman"/>
          <w:sz w:val="24"/>
          <w:lang w:eastAsia="zh-CN"/>
        </w:rPr>
        <w:t>采用</w:t>
      </w:r>
      <w:r w:rsidR="00C958C2" w:rsidRPr="00E67914">
        <w:rPr>
          <w:rFonts w:ascii="Times New Roman" w:hAnsi="Times New Roman"/>
          <w:sz w:val="24"/>
          <w:lang w:eastAsia="zh-CN"/>
        </w:rPr>
        <w:t>“</w:t>
      </w:r>
      <w:r w:rsidR="00C958C2" w:rsidRPr="00E67914">
        <w:rPr>
          <w:rFonts w:ascii="Times New Roman" w:hAnsi="Times New Roman"/>
          <w:sz w:val="24"/>
          <w:lang w:eastAsia="zh-CN"/>
        </w:rPr>
        <w:t>密切割</w:t>
      </w:r>
      <w:r w:rsidR="00C958C2" w:rsidRPr="00E67914">
        <w:rPr>
          <w:rFonts w:ascii="Times New Roman" w:hAnsi="Times New Roman"/>
          <w:sz w:val="24"/>
          <w:lang w:eastAsia="zh-CN"/>
        </w:rPr>
        <w:t>+</w:t>
      </w:r>
      <w:r w:rsidR="00C958C2" w:rsidRPr="00E67914">
        <w:rPr>
          <w:rFonts w:ascii="Times New Roman" w:hAnsi="Times New Roman"/>
          <w:sz w:val="24"/>
          <w:lang w:eastAsia="zh-CN"/>
        </w:rPr>
        <w:t>双暂堵</w:t>
      </w:r>
      <w:r w:rsidR="00C958C2" w:rsidRPr="00E67914">
        <w:rPr>
          <w:rFonts w:ascii="Times New Roman" w:hAnsi="Times New Roman"/>
          <w:sz w:val="24"/>
          <w:lang w:eastAsia="zh-CN"/>
        </w:rPr>
        <w:t>+</w:t>
      </w:r>
      <w:r w:rsidR="00C958C2" w:rsidRPr="00E67914">
        <w:rPr>
          <w:rFonts w:ascii="Times New Roman" w:hAnsi="Times New Roman"/>
          <w:sz w:val="24"/>
          <w:lang w:eastAsia="zh-CN"/>
        </w:rPr>
        <w:t>多尺度裂缝强加砂</w:t>
      </w:r>
      <w:r w:rsidR="00C958C2" w:rsidRPr="00E67914">
        <w:rPr>
          <w:rFonts w:ascii="Times New Roman" w:hAnsi="Times New Roman"/>
          <w:sz w:val="24"/>
          <w:lang w:eastAsia="zh-CN"/>
        </w:rPr>
        <w:t>+</w:t>
      </w:r>
      <w:r w:rsidR="00C958C2" w:rsidRPr="00E67914">
        <w:rPr>
          <w:rFonts w:ascii="Times New Roman" w:hAnsi="Times New Roman"/>
          <w:sz w:val="24"/>
          <w:lang w:eastAsia="zh-CN"/>
        </w:rPr>
        <w:t>穿层扩体</w:t>
      </w:r>
      <w:r w:rsidR="00C958C2" w:rsidRPr="00E67914">
        <w:rPr>
          <w:rFonts w:ascii="Times New Roman" w:hAnsi="Times New Roman"/>
          <w:sz w:val="24"/>
          <w:lang w:eastAsia="zh-CN"/>
        </w:rPr>
        <w:t>”</w:t>
      </w:r>
      <w:r w:rsidR="00C958C2" w:rsidRPr="00E67914">
        <w:rPr>
          <w:rFonts w:ascii="Times New Roman" w:hAnsi="Times New Roman"/>
          <w:sz w:val="24"/>
          <w:lang w:eastAsia="zh-CN"/>
        </w:rPr>
        <w:t>压裂工艺技术，尽可能形成复杂裂缝，增加压裂纵向改造范围，提升压裂裂缝支撑效果。设计单段液量</w:t>
      </w:r>
      <w:r w:rsidR="00C958C2" w:rsidRPr="00E67914">
        <w:rPr>
          <w:rFonts w:ascii="Times New Roman" w:hAnsi="Times New Roman"/>
          <w:sz w:val="24"/>
          <w:lang w:eastAsia="zh-CN"/>
        </w:rPr>
        <w:t>1800m</w:t>
      </w:r>
      <w:r w:rsidR="00C958C2" w:rsidRPr="00E67914">
        <w:rPr>
          <w:rFonts w:ascii="Times New Roman" w:hAnsi="Times New Roman"/>
          <w:sz w:val="24"/>
          <w:lang w:eastAsia="zh-CN"/>
        </w:rPr>
        <w:t>，单段砂量</w:t>
      </w:r>
      <w:r w:rsidR="00C958C2" w:rsidRPr="00E67914">
        <w:rPr>
          <w:rFonts w:ascii="Times New Roman" w:hAnsi="Times New Roman"/>
          <w:sz w:val="24"/>
          <w:lang w:eastAsia="zh-CN"/>
        </w:rPr>
        <w:t>150m</w:t>
      </w:r>
      <w:r w:rsidR="00C958C2" w:rsidRPr="00E67914">
        <w:rPr>
          <w:rFonts w:ascii="Times New Roman" w:hAnsi="Times New Roman"/>
          <w:sz w:val="24"/>
          <w:vertAlign w:val="superscript"/>
          <w:lang w:eastAsia="zh-CN"/>
        </w:rPr>
        <w:t>3</w:t>
      </w:r>
      <w:r w:rsidR="00C958C2" w:rsidRPr="00E67914">
        <w:rPr>
          <w:rFonts w:ascii="Times New Roman" w:hAnsi="Times New Roman"/>
          <w:sz w:val="24"/>
          <w:lang w:eastAsia="zh-CN"/>
        </w:rPr>
        <w:t>。</w:t>
      </w:r>
    </w:p>
    <w:p w14:paraId="02EBC85D" w14:textId="125712CF" w:rsidR="00C958C2" w:rsidRPr="00E67914" w:rsidRDefault="00C958C2" w:rsidP="00C958C2">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首段采用连续油管输送射孔，后续压段采用泵送桥塞电缆射孔联作方式采用</w:t>
      </w:r>
      <w:r w:rsidRPr="00E67914">
        <w:rPr>
          <w:rFonts w:ascii="Times New Roman" w:hAnsi="Times New Roman"/>
          <w:sz w:val="24"/>
          <w:lang w:eastAsia="zh-CN"/>
        </w:rPr>
        <w:t>89</w:t>
      </w:r>
      <w:r w:rsidRPr="00E67914">
        <w:rPr>
          <w:rFonts w:ascii="Times New Roman" w:hAnsi="Times New Roman"/>
          <w:sz w:val="24"/>
          <w:lang w:eastAsia="zh-CN"/>
        </w:rPr>
        <w:t>枪，螺旋布孔方式。</w:t>
      </w:r>
    </w:p>
    <w:p w14:paraId="2A7250A8" w14:textId="31794466" w:rsidR="00C958C2" w:rsidRPr="00E67914" w:rsidRDefault="00C958C2" w:rsidP="00C958C2">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采用带压作业方式下入完井管柱，设计</w:t>
      </w:r>
      <w:r w:rsidRPr="00E67914">
        <w:rPr>
          <w:rFonts w:ascii="Times New Roman" w:hAnsi="Times New Roman"/>
          <w:sz w:val="24"/>
          <w:lang w:eastAsia="zh-CN"/>
        </w:rPr>
        <w:t>60.3×4.83mmN80</w:t>
      </w:r>
      <w:r w:rsidRPr="00E67914">
        <w:rPr>
          <w:rFonts w:ascii="Times New Roman" w:hAnsi="Times New Roman"/>
          <w:sz w:val="24"/>
          <w:lang w:eastAsia="zh-CN"/>
        </w:rPr>
        <w:t>油管。</w:t>
      </w:r>
    </w:p>
    <w:p w14:paraId="1F35BA44" w14:textId="1441D58C" w:rsidR="00A54A8A" w:rsidRPr="00E67914" w:rsidRDefault="00C958C2" w:rsidP="00C958C2">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lang w:eastAsia="zh-CN"/>
        </w:rPr>
        <w:t>采用</w:t>
      </w:r>
      <w:r w:rsidRPr="00E67914">
        <w:rPr>
          <w:rFonts w:ascii="Times New Roman" w:hAnsi="Times New Roman"/>
          <w:sz w:val="24"/>
          <w:lang w:eastAsia="zh-CN"/>
        </w:rPr>
        <w:t>140MPaDD</w:t>
      </w:r>
      <w:r w:rsidRPr="00E67914">
        <w:rPr>
          <w:rFonts w:ascii="Times New Roman" w:hAnsi="Times New Roman"/>
          <w:sz w:val="24"/>
          <w:lang w:eastAsia="zh-CN"/>
        </w:rPr>
        <w:t>级油管四通及大闸阀，</w:t>
      </w:r>
      <w:r w:rsidRPr="00E67914">
        <w:rPr>
          <w:rFonts w:ascii="Times New Roman" w:hAnsi="Times New Roman"/>
          <w:sz w:val="24"/>
          <w:lang w:eastAsia="zh-CN"/>
        </w:rPr>
        <w:t>70MPaDD</w:t>
      </w:r>
      <w:r w:rsidRPr="00E67914">
        <w:rPr>
          <w:rFonts w:ascii="Times New Roman" w:hAnsi="Times New Roman"/>
          <w:sz w:val="24"/>
          <w:lang w:eastAsia="zh-CN"/>
        </w:rPr>
        <w:t>级采气树。</w:t>
      </w:r>
    </w:p>
    <w:p w14:paraId="29EA7197" w14:textId="77777777" w:rsidR="00F37A71" w:rsidRPr="00E67914" w:rsidRDefault="00000000" w:rsidP="00F37A71">
      <w:pPr>
        <w:adjustRightInd w:val="0"/>
        <w:snapToGrid w:val="0"/>
        <w:spacing w:line="360" w:lineRule="auto"/>
        <w:ind w:firstLineChars="200" w:firstLine="482"/>
        <w:jc w:val="both"/>
        <w:rPr>
          <w:rFonts w:ascii="Times New Roman" w:hAnsi="Times New Roman"/>
          <w:sz w:val="24"/>
          <w:lang w:eastAsia="zh-CN"/>
        </w:rPr>
      </w:pPr>
      <w:r w:rsidRPr="00E67914">
        <w:rPr>
          <w:rFonts w:ascii="Times New Roman" w:hAnsi="Times New Roman"/>
          <w:b/>
          <w:bCs/>
          <w:sz w:val="24"/>
          <w:lang w:eastAsia="zh-CN"/>
        </w:rPr>
        <w:t>地面集输工程：</w:t>
      </w:r>
      <w:r w:rsidR="00F37A71" w:rsidRPr="00E67914">
        <w:rPr>
          <w:rFonts w:ascii="Times New Roman" w:hAnsi="Times New Roman"/>
          <w:sz w:val="24"/>
          <w:lang w:eastAsia="zh-CN"/>
        </w:rPr>
        <w:t>地面集输及试采工程</w:t>
      </w:r>
    </w:p>
    <w:p w14:paraId="22148287" w14:textId="77777777" w:rsidR="00F37A71" w:rsidRPr="00E67914" w:rsidRDefault="00F37A71" w:rsidP="00F37A71">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依托原普陆页</w:t>
      </w:r>
      <w:r w:rsidRPr="00E67914">
        <w:rPr>
          <w:rFonts w:ascii="Times New Roman" w:hAnsi="Times New Roman"/>
          <w:sz w:val="24"/>
          <w:lang w:eastAsia="zh-CN"/>
        </w:rPr>
        <w:t>2</w:t>
      </w:r>
      <w:r w:rsidRPr="00E67914">
        <w:rPr>
          <w:rFonts w:ascii="Times New Roman" w:hAnsi="Times New Roman"/>
          <w:sz w:val="24"/>
          <w:lang w:eastAsia="zh-CN"/>
        </w:rPr>
        <w:t>井场新建普陆页</w:t>
      </w:r>
      <w:r w:rsidRPr="00E67914">
        <w:rPr>
          <w:rFonts w:ascii="Times New Roman" w:hAnsi="Times New Roman"/>
          <w:sz w:val="24"/>
          <w:lang w:eastAsia="zh-CN"/>
        </w:rPr>
        <w:t>2</w:t>
      </w:r>
      <w:r w:rsidRPr="00E67914">
        <w:rPr>
          <w:rFonts w:ascii="Times New Roman" w:hAnsi="Times New Roman"/>
          <w:sz w:val="24"/>
          <w:lang w:eastAsia="zh-CN"/>
        </w:rPr>
        <w:t>试采站，该试采站本次建成后管辖总井数为</w:t>
      </w:r>
      <w:r w:rsidRPr="00E67914">
        <w:rPr>
          <w:rFonts w:ascii="Times New Roman" w:hAnsi="Times New Roman"/>
          <w:sz w:val="24"/>
          <w:lang w:eastAsia="zh-CN"/>
        </w:rPr>
        <w:t>4</w:t>
      </w:r>
      <w:r w:rsidRPr="00E67914">
        <w:rPr>
          <w:rFonts w:ascii="Times New Roman" w:hAnsi="Times New Roman"/>
          <w:sz w:val="24"/>
          <w:lang w:eastAsia="zh-CN"/>
        </w:rPr>
        <w:t>口井，其中</w:t>
      </w:r>
      <w:r w:rsidRPr="00E67914">
        <w:rPr>
          <w:rFonts w:ascii="Times New Roman" w:hAnsi="Times New Roman"/>
          <w:sz w:val="24"/>
          <w:lang w:eastAsia="zh-CN"/>
        </w:rPr>
        <w:t>3</w:t>
      </w:r>
      <w:r w:rsidRPr="00E67914">
        <w:rPr>
          <w:rFonts w:ascii="Times New Roman" w:hAnsi="Times New Roman"/>
          <w:sz w:val="24"/>
          <w:lang w:eastAsia="zh-CN"/>
        </w:rPr>
        <w:t>口井为本次普陆页</w:t>
      </w:r>
      <w:r w:rsidRPr="00E67914">
        <w:rPr>
          <w:rFonts w:ascii="Times New Roman" w:hAnsi="Times New Roman"/>
          <w:sz w:val="24"/>
          <w:lang w:eastAsia="zh-CN"/>
        </w:rPr>
        <w:t>2</w:t>
      </w:r>
      <w:r w:rsidRPr="00E67914">
        <w:rPr>
          <w:rFonts w:ascii="Times New Roman" w:hAnsi="Times New Roman"/>
          <w:sz w:val="24"/>
          <w:lang w:eastAsia="zh-CN"/>
        </w:rPr>
        <w:t>井新建的</w:t>
      </w:r>
      <w:r w:rsidRPr="00E67914">
        <w:rPr>
          <w:rFonts w:ascii="Times New Roman" w:hAnsi="Times New Roman"/>
          <w:sz w:val="24"/>
          <w:lang w:eastAsia="zh-CN"/>
        </w:rPr>
        <w:t>3</w:t>
      </w:r>
      <w:r w:rsidRPr="00E67914">
        <w:rPr>
          <w:rFonts w:ascii="Times New Roman" w:hAnsi="Times New Roman"/>
          <w:sz w:val="24"/>
          <w:lang w:eastAsia="zh-CN"/>
        </w:rPr>
        <w:t>口井（普陆页</w:t>
      </w:r>
      <w:r w:rsidRPr="00E67914">
        <w:rPr>
          <w:rFonts w:ascii="Times New Roman" w:hAnsi="Times New Roman"/>
          <w:sz w:val="24"/>
          <w:lang w:eastAsia="zh-CN"/>
        </w:rPr>
        <w:t>2-1</w:t>
      </w:r>
      <w:r w:rsidRPr="00E67914">
        <w:rPr>
          <w:rFonts w:ascii="Times New Roman" w:hAnsi="Times New Roman"/>
          <w:sz w:val="24"/>
          <w:lang w:eastAsia="zh-CN"/>
        </w:rPr>
        <w:t>井、普陆页</w:t>
      </w:r>
      <w:r w:rsidRPr="00E67914">
        <w:rPr>
          <w:rFonts w:ascii="Times New Roman" w:hAnsi="Times New Roman"/>
          <w:sz w:val="24"/>
          <w:lang w:eastAsia="zh-CN"/>
        </w:rPr>
        <w:t>2-2</w:t>
      </w:r>
      <w:r w:rsidRPr="00E67914">
        <w:rPr>
          <w:rFonts w:ascii="Times New Roman" w:hAnsi="Times New Roman"/>
          <w:sz w:val="24"/>
          <w:lang w:eastAsia="zh-CN"/>
        </w:rPr>
        <w:t>井、普陆页</w:t>
      </w:r>
      <w:r w:rsidRPr="00E67914">
        <w:rPr>
          <w:rFonts w:ascii="Times New Roman" w:hAnsi="Times New Roman"/>
          <w:sz w:val="24"/>
          <w:lang w:eastAsia="zh-CN"/>
        </w:rPr>
        <w:t>2-3</w:t>
      </w:r>
      <w:r w:rsidRPr="00E67914">
        <w:rPr>
          <w:rFonts w:ascii="Times New Roman" w:hAnsi="Times New Roman"/>
          <w:sz w:val="24"/>
          <w:lang w:eastAsia="zh-CN"/>
        </w:rPr>
        <w:t>井），剩余</w:t>
      </w:r>
      <w:r w:rsidRPr="00E67914">
        <w:rPr>
          <w:rFonts w:ascii="Times New Roman" w:hAnsi="Times New Roman"/>
          <w:sz w:val="24"/>
          <w:lang w:eastAsia="zh-CN"/>
        </w:rPr>
        <w:t>1</w:t>
      </w:r>
      <w:r w:rsidRPr="00E67914">
        <w:rPr>
          <w:rFonts w:ascii="Times New Roman" w:hAnsi="Times New Roman"/>
          <w:sz w:val="24"/>
          <w:lang w:eastAsia="zh-CN"/>
        </w:rPr>
        <w:t>口井为原普陆页</w:t>
      </w:r>
      <w:r w:rsidRPr="00E67914">
        <w:rPr>
          <w:rFonts w:ascii="Times New Roman" w:hAnsi="Times New Roman"/>
          <w:sz w:val="24"/>
          <w:lang w:eastAsia="zh-CN"/>
        </w:rPr>
        <w:t>2</w:t>
      </w:r>
      <w:r w:rsidRPr="00E67914">
        <w:rPr>
          <w:rFonts w:ascii="Times New Roman" w:hAnsi="Times New Roman"/>
          <w:sz w:val="24"/>
          <w:lang w:eastAsia="zh-CN"/>
        </w:rPr>
        <w:t>井场的</w:t>
      </w:r>
      <w:r w:rsidRPr="00E67914">
        <w:rPr>
          <w:rFonts w:ascii="Times New Roman" w:hAnsi="Times New Roman"/>
          <w:sz w:val="24"/>
          <w:lang w:eastAsia="zh-CN"/>
        </w:rPr>
        <w:t>1</w:t>
      </w:r>
      <w:r w:rsidRPr="00E67914">
        <w:rPr>
          <w:rFonts w:ascii="Times New Roman" w:hAnsi="Times New Roman"/>
          <w:sz w:val="24"/>
          <w:lang w:eastAsia="zh-CN"/>
        </w:rPr>
        <w:t>口井（普陆页</w:t>
      </w:r>
      <w:r w:rsidRPr="00E67914">
        <w:rPr>
          <w:rFonts w:ascii="Times New Roman" w:hAnsi="Times New Roman"/>
          <w:sz w:val="24"/>
          <w:lang w:eastAsia="zh-CN"/>
        </w:rPr>
        <w:t>2HF</w:t>
      </w:r>
      <w:r w:rsidRPr="00E67914">
        <w:rPr>
          <w:rFonts w:ascii="Times New Roman" w:hAnsi="Times New Roman"/>
          <w:sz w:val="24"/>
          <w:lang w:eastAsia="zh-CN"/>
        </w:rPr>
        <w:t>井）。</w:t>
      </w:r>
    </w:p>
    <w:p w14:paraId="07E03243" w14:textId="77777777" w:rsidR="00F37A71" w:rsidRPr="00E67914" w:rsidRDefault="00F37A71" w:rsidP="00F37A71">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新建新普陆页</w:t>
      </w:r>
      <w:r w:rsidRPr="00E67914">
        <w:rPr>
          <w:rFonts w:ascii="Times New Roman" w:hAnsi="Times New Roman"/>
          <w:sz w:val="24"/>
          <w:lang w:eastAsia="zh-CN"/>
        </w:rPr>
        <w:t>2</w:t>
      </w:r>
      <w:r w:rsidRPr="00E67914">
        <w:rPr>
          <w:rFonts w:ascii="Times New Roman" w:hAnsi="Times New Roman"/>
          <w:sz w:val="24"/>
          <w:lang w:eastAsia="zh-CN"/>
        </w:rPr>
        <w:t>井场到普陆页</w:t>
      </w:r>
      <w:r w:rsidRPr="00E67914">
        <w:rPr>
          <w:rFonts w:ascii="Times New Roman" w:hAnsi="Times New Roman"/>
          <w:sz w:val="24"/>
          <w:lang w:eastAsia="zh-CN"/>
        </w:rPr>
        <w:t>2</w:t>
      </w:r>
      <w:r w:rsidRPr="00E67914">
        <w:rPr>
          <w:rFonts w:ascii="Times New Roman" w:hAnsi="Times New Roman"/>
          <w:sz w:val="24"/>
          <w:lang w:eastAsia="zh-CN"/>
        </w:rPr>
        <w:t>试采站管线规格</w:t>
      </w:r>
      <w:r w:rsidRPr="00E67914">
        <w:rPr>
          <w:rFonts w:ascii="Times New Roman" w:hAnsi="Times New Roman"/>
          <w:sz w:val="24"/>
          <w:lang w:eastAsia="zh-CN"/>
        </w:rPr>
        <w:t>D76.1×11mm</w:t>
      </w:r>
      <w:r w:rsidRPr="00E67914">
        <w:rPr>
          <w:rFonts w:ascii="Times New Roman" w:hAnsi="Times New Roman"/>
          <w:sz w:val="24"/>
          <w:lang w:eastAsia="zh-CN"/>
        </w:rPr>
        <w:t>，材质为</w:t>
      </w:r>
      <w:r w:rsidRPr="00E67914">
        <w:rPr>
          <w:rFonts w:ascii="Times New Roman" w:hAnsi="Times New Roman"/>
          <w:sz w:val="24"/>
          <w:lang w:eastAsia="zh-CN"/>
        </w:rPr>
        <w:t>L245N</w:t>
      </w:r>
      <w:r w:rsidRPr="00E67914">
        <w:rPr>
          <w:rFonts w:ascii="Times New Roman" w:hAnsi="Times New Roman"/>
          <w:sz w:val="24"/>
          <w:lang w:eastAsia="zh-CN"/>
        </w:rPr>
        <w:t>无缝钢管</w:t>
      </w:r>
      <w:r w:rsidRPr="00E67914">
        <w:rPr>
          <w:rFonts w:ascii="Times New Roman" w:hAnsi="Times New Roman"/>
          <w:sz w:val="24"/>
          <w:lang w:eastAsia="zh-CN"/>
        </w:rPr>
        <w:t>PSL2</w:t>
      </w:r>
      <w:r w:rsidRPr="00E67914">
        <w:rPr>
          <w:rFonts w:ascii="Times New Roman" w:hAnsi="Times New Roman"/>
          <w:sz w:val="24"/>
          <w:lang w:eastAsia="zh-CN"/>
        </w:rPr>
        <w:t>，同沟敷设的管线长度有</w:t>
      </w:r>
      <w:r w:rsidRPr="00E67914">
        <w:rPr>
          <w:rFonts w:ascii="Times New Roman" w:hAnsi="Times New Roman"/>
          <w:sz w:val="24"/>
          <w:lang w:eastAsia="zh-CN"/>
        </w:rPr>
        <w:t>3</w:t>
      </w:r>
      <w:r w:rsidRPr="00E67914">
        <w:rPr>
          <w:rFonts w:ascii="Times New Roman" w:hAnsi="Times New Roman"/>
          <w:sz w:val="24"/>
          <w:lang w:eastAsia="zh-CN"/>
        </w:rPr>
        <w:t>根，单根长度约</w:t>
      </w:r>
      <w:r w:rsidRPr="00E67914">
        <w:rPr>
          <w:rFonts w:ascii="Times New Roman" w:hAnsi="Times New Roman"/>
          <w:sz w:val="24"/>
          <w:lang w:eastAsia="zh-CN"/>
        </w:rPr>
        <w:t>300m</w:t>
      </w:r>
      <w:r w:rsidRPr="00E67914">
        <w:rPr>
          <w:rFonts w:ascii="Times New Roman" w:hAnsi="Times New Roman"/>
          <w:sz w:val="24"/>
          <w:lang w:eastAsia="zh-CN"/>
        </w:rPr>
        <w:t>，设计压力</w:t>
      </w:r>
      <w:r w:rsidRPr="00E67914">
        <w:rPr>
          <w:rFonts w:ascii="Times New Roman" w:hAnsi="Times New Roman"/>
          <w:sz w:val="24"/>
          <w:lang w:eastAsia="zh-CN"/>
        </w:rPr>
        <w:t>35MPa</w:t>
      </w:r>
      <w:r w:rsidRPr="00E67914">
        <w:rPr>
          <w:rFonts w:ascii="Times New Roman" w:hAnsi="Times New Roman"/>
          <w:sz w:val="24"/>
          <w:lang w:eastAsia="zh-CN"/>
        </w:rPr>
        <w:t>，埋深</w:t>
      </w:r>
      <w:r w:rsidRPr="00E67914">
        <w:rPr>
          <w:rFonts w:ascii="Times New Roman" w:hAnsi="Times New Roman"/>
          <w:sz w:val="24"/>
          <w:lang w:eastAsia="zh-CN"/>
        </w:rPr>
        <w:t>1.2m</w:t>
      </w:r>
      <w:r w:rsidRPr="00E67914">
        <w:rPr>
          <w:rFonts w:ascii="Times New Roman" w:hAnsi="Times New Roman"/>
          <w:sz w:val="24"/>
          <w:lang w:eastAsia="zh-CN"/>
        </w:rPr>
        <w:t>。</w:t>
      </w:r>
    </w:p>
    <w:p w14:paraId="3EF4F72D" w14:textId="77777777" w:rsidR="00F37A71" w:rsidRPr="00E67914" w:rsidRDefault="00F37A71" w:rsidP="00F37A71">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新建普陆页</w:t>
      </w:r>
      <w:r w:rsidRPr="00E67914">
        <w:rPr>
          <w:rFonts w:ascii="Times New Roman" w:hAnsi="Times New Roman"/>
          <w:sz w:val="24"/>
          <w:lang w:eastAsia="zh-CN"/>
        </w:rPr>
        <w:t>2</w:t>
      </w:r>
      <w:r w:rsidRPr="00E67914">
        <w:rPr>
          <w:rFonts w:ascii="Times New Roman" w:hAnsi="Times New Roman"/>
          <w:sz w:val="24"/>
          <w:lang w:eastAsia="zh-CN"/>
        </w:rPr>
        <w:t>试采站至</w:t>
      </w:r>
      <w:r w:rsidRPr="00E67914">
        <w:rPr>
          <w:rFonts w:ascii="Times New Roman" w:hAnsi="Times New Roman"/>
          <w:sz w:val="24"/>
          <w:lang w:eastAsia="zh-CN"/>
        </w:rPr>
        <w:t>P302</w:t>
      </w:r>
      <w:r w:rsidRPr="00E67914">
        <w:rPr>
          <w:rFonts w:ascii="Times New Roman" w:hAnsi="Times New Roman"/>
          <w:sz w:val="24"/>
          <w:lang w:eastAsia="zh-CN"/>
        </w:rPr>
        <w:t>集气站的外输管线，普陆页</w:t>
      </w:r>
      <w:r w:rsidRPr="00E67914">
        <w:rPr>
          <w:rFonts w:ascii="Times New Roman" w:hAnsi="Times New Roman"/>
          <w:sz w:val="24"/>
          <w:lang w:eastAsia="zh-CN"/>
        </w:rPr>
        <w:t>2</w:t>
      </w:r>
      <w:r w:rsidRPr="00E67914">
        <w:rPr>
          <w:rFonts w:ascii="Times New Roman" w:hAnsi="Times New Roman"/>
          <w:sz w:val="24"/>
          <w:lang w:eastAsia="zh-CN"/>
        </w:rPr>
        <w:t>试采站的天然气经三相分离后，天然气通过新建管线接入附近</w:t>
      </w:r>
      <w:r w:rsidRPr="00E67914">
        <w:rPr>
          <w:rFonts w:ascii="Times New Roman" w:hAnsi="Times New Roman"/>
          <w:sz w:val="24"/>
          <w:lang w:eastAsia="zh-CN"/>
        </w:rPr>
        <w:t>P302</w:t>
      </w:r>
      <w:r w:rsidRPr="00E67914">
        <w:rPr>
          <w:rFonts w:ascii="Times New Roman" w:hAnsi="Times New Roman"/>
          <w:sz w:val="24"/>
          <w:lang w:eastAsia="zh-CN"/>
        </w:rPr>
        <w:t>集气站的酸气管网。管线规格为</w:t>
      </w:r>
      <w:r w:rsidRPr="00E67914">
        <w:rPr>
          <w:rFonts w:ascii="Times New Roman" w:hAnsi="Times New Roman"/>
          <w:sz w:val="24"/>
          <w:lang w:eastAsia="zh-CN"/>
        </w:rPr>
        <w:t>D89×6mm</w:t>
      </w:r>
      <w:r w:rsidRPr="00E67914">
        <w:rPr>
          <w:rFonts w:ascii="Times New Roman" w:hAnsi="Times New Roman"/>
          <w:sz w:val="24"/>
          <w:lang w:eastAsia="zh-CN"/>
        </w:rPr>
        <w:t>，材质为</w:t>
      </w:r>
      <w:r w:rsidRPr="00E67914">
        <w:rPr>
          <w:rFonts w:ascii="Times New Roman" w:hAnsi="Times New Roman"/>
          <w:sz w:val="24"/>
          <w:lang w:eastAsia="zh-CN"/>
        </w:rPr>
        <w:t>L245N</w:t>
      </w:r>
      <w:r w:rsidRPr="00E67914">
        <w:rPr>
          <w:rFonts w:ascii="Times New Roman" w:hAnsi="Times New Roman"/>
          <w:sz w:val="24"/>
          <w:lang w:eastAsia="zh-CN"/>
        </w:rPr>
        <w:t>无缝钢管</w:t>
      </w:r>
      <w:r w:rsidRPr="00E67914">
        <w:rPr>
          <w:rFonts w:ascii="Times New Roman" w:hAnsi="Times New Roman"/>
          <w:sz w:val="24"/>
          <w:lang w:eastAsia="zh-CN"/>
        </w:rPr>
        <w:t>PSL2</w:t>
      </w:r>
      <w:r w:rsidRPr="00E67914">
        <w:rPr>
          <w:rFonts w:ascii="Times New Roman" w:hAnsi="Times New Roman"/>
          <w:sz w:val="24"/>
          <w:lang w:eastAsia="zh-CN"/>
        </w:rPr>
        <w:t>，遵循技术标准为</w:t>
      </w:r>
      <w:r w:rsidRPr="00E67914">
        <w:rPr>
          <w:rFonts w:ascii="Times New Roman" w:hAnsi="Times New Roman"/>
          <w:sz w:val="24"/>
          <w:lang w:eastAsia="zh-CN"/>
        </w:rPr>
        <w:t>GB/T9711-2017</w:t>
      </w:r>
      <w:r w:rsidRPr="00E67914">
        <w:rPr>
          <w:rFonts w:ascii="Times New Roman" w:hAnsi="Times New Roman"/>
          <w:sz w:val="24"/>
          <w:lang w:eastAsia="zh-CN"/>
        </w:rPr>
        <w:t>，设计压力</w:t>
      </w:r>
      <w:r w:rsidRPr="00E67914">
        <w:rPr>
          <w:rFonts w:ascii="Times New Roman" w:hAnsi="Times New Roman"/>
          <w:sz w:val="24"/>
          <w:lang w:eastAsia="zh-CN"/>
        </w:rPr>
        <w:t>10MPa</w:t>
      </w:r>
      <w:r w:rsidRPr="00E67914">
        <w:rPr>
          <w:rFonts w:ascii="Times New Roman" w:hAnsi="Times New Roman"/>
          <w:sz w:val="24"/>
          <w:lang w:eastAsia="zh-CN"/>
        </w:rPr>
        <w:t>，长度为</w:t>
      </w:r>
      <w:r w:rsidRPr="00E67914">
        <w:rPr>
          <w:rFonts w:ascii="Times New Roman" w:hAnsi="Times New Roman"/>
          <w:sz w:val="24"/>
          <w:lang w:eastAsia="zh-CN"/>
        </w:rPr>
        <w:t>1.3km</w:t>
      </w:r>
      <w:r w:rsidRPr="00E67914">
        <w:rPr>
          <w:rFonts w:ascii="Times New Roman" w:hAnsi="Times New Roman"/>
          <w:sz w:val="24"/>
          <w:lang w:eastAsia="zh-CN"/>
        </w:rPr>
        <w:t>，埋深</w:t>
      </w:r>
      <w:r w:rsidRPr="00E67914">
        <w:rPr>
          <w:rFonts w:ascii="Times New Roman" w:hAnsi="Times New Roman"/>
          <w:sz w:val="24"/>
          <w:lang w:eastAsia="zh-CN"/>
        </w:rPr>
        <w:t>1.2m</w:t>
      </w:r>
      <w:r w:rsidRPr="00E67914">
        <w:rPr>
          <w:rFonts w:ascii="Times New Roman" w:hAnsi="Times New Roman"/>
          <w:sz w:val="24"/>
          <w:lang w:eastAsia="zh-CN"/>
        </w:rPr>
        <w:t>。同沟敷设长度为</w:t>
      </w:r>
      <w:r w:rsidRPr="00E67914">
        <w:rPr>
          <w:rFonts w:ascii="Times New Roman" w:hAnsi="Times New Roman"/>
          <w:sz w:val="24"/>
          <w:lang w:eastAsia="zh-CN"/>
        </w:rPr>
        <w:t>1.3km</w:t>
      </w:r>
      <w:r w:rsidRPr="00E67914">
        <w:rPr>
          <w:rFonts w:ascii="Times New Roman" w:hAnsi="Times New Roman"/>
          <w:sz w:val="24"/>
          <w:lang w:eastAsia="zh-CN"/>
        </w:rPr>
        <w:t>的燃料气返输管线与通信光缆，燃料气返输管线规格型号为</w:t>
      </w:r>
      <w:r w:rsidRPr="00E67914">
        <w:rPr>
          <w:rFonts w:ascii="Times New Roman" w:hAnsi="Times New Roman"/>
          <w:sz w:val="24"/>
          <w:lang w:eastAsia="zh-CN"/>
        </w:rPr>
        <w:t>Φ88.9×5.0 20 SMLS</w:t>
      </w:r>
      <w:r w:rsidRPr="00E67914">
        <w:rPr>
          <w:rFonts w:ascii="Times New Roman" w:hAnsi="Times New Roman"/>
          <w:sz w:val="24"/>
          <w:lang w:eastAsia="zh-CN"/>
        </w:rPr>
        <w:t>。</w:t>
      </w:r>
    </w:p>
    <w:p w14:paraId="6B3773DB" w14:textId="6427BB06" w:rsidR="00A54A8A" w:rsidRPr="00E67914" w:rsidRDefault="00F37A71" w:rsidP="00F37A71">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lang w:eastAsia="zh-CN"/>
        </w:rPr>
        <w:t>新建普陆页</w:t>
      </w:r>
      <w:r w:rsidRPr="00E67914">
        <w:rPr>
          <w:rFonts w:ascii="Times New Roman" w:hAnsi="Times New Roman"/>
          <w:sz w:val="24"/>
          <w:lang w:eastAsia="zh-CN"/>
        </w:rPr>
        <w:t>2</w:t>
      </w:r>
      <w:r w:rsidRPr="00E67914">
        <w:rPr>
          <w:rFonts w:ascii="Times New Roman" w:hAnsi="Times New Roman"/>
          <w:sz w:val="24"/>
          <w:lang w:eastAsia="zh-CN"/>
        </w:rPr>
        <w:t>试采站采用井口除砂、加热节流、混相轮换计量、气液两相分离、油气水三相闪蒸分离、原料气保温输送、凝析油和采出水分开储存装车工艺，实现气井产物油气水分开计量及天然气外输和污水、凝析油等进行分类回收处置功能。配套设置</w:t>
      </w:r>
      <w:r w:rsidRPr="00E67914">
        <w:rPr>
          <w:rFonts w:ascii="Times New Roman" w:hAnsi="Times New Roman"/>
          <w:sz w:val="24"/>
          <w:lang w:eastAsia="zh-CN"/>
        </w:rPr>
        <w:t>400kW</w:t>
      </w:r>
      <w:r w:rsidRPr="00E67914">
        <w:rPr>
          <w:rFonts w:ascii="Times New Roman" w:hAnsi="Times New Roman"/>
          <w:sz w:val="24"/>
          <w:lang w:eastAsia="zh-CN"/>
        </w:rPr>
        <w:t>水套加热炉</w:t>
      </w:r>
      <w:r w:rsidRPr="00E67914">
        <w:rPr>
          <w:rFonts w:ascii="Times New Roman" w:hAnsi="Times New Roman"/>
          <w:sz w:val="24"/>
          <w:lang w:eastAsia="zh-CN"/>
        </w:rPr>
        <w:t>2</w:t>
      </w:r>
      <w:r w:rsidRPr="00E67914">
        <w:rPr>
          <w:rFonts w:ascii="Times New Roman" w:hAnsi="Times New Roman"/>
          <w:sz w:val="24"/>
          <w:lang w:eastAsia="zh-CN"/>
        </w:rPr>
        <w:t>台、</w:t>
      </w:r>
      <w:r w:rsidRPr="00E67914">
        <w:rPr>
          <w:rFonts w:ascii="Times New Roman" w:hAnsi="Times New Roman"/>
          <w:sz w:val="24"/>
          <w:lang w:eastAsia="zh-CN"/>
        </w:rPr>
        <w:t>φ1200×6000mm</w:t>
      </w:r>
      <w:r w:rsidRPr="00E67914">
        <w:rPr>
          <w:rFonts w:ascii="Times New Roman" w:hAnsi="Times New Roman"/>
          <w:sz w:val="24"/>
          <w:lang w:eastAsia="zh-CN"/>
        </w:rPr>
        <w:t>气液两相分离器</w:t>
      </w:r>
      <w:r w:rsidRPr="00E67914">
        <w:rPr>
          <w:rFonts w:ascii="Times New Roman" w:hAnsi="Times New Roman"/>
          <w:sz w:val="24"/>
          <w:lang w:eastAsia="zh-CN"/>
        </w:rPr>
        <w:t>1</w:t>
      </w:r>
      <w:r w:rsidRPr="00E67914">
        <w:rPr>
          <w:rFonts w:ascii="Times New Roman" w:hAnsi="Times New Roman"/>
          <w:sz w:val="24"/>
          <w:lang w:eastAsia="zh-CN"/>
        </w:rPr>
        <w:t>台、</w:t>
      </w:r>
      <w:r w:rsidRPr="00E67914">
        <w:rPr>
          <w:rFonts w:ascii="Times New Roman" w:hAnsi="Times New Roman"/>
          <w:sz w:val="24"/>
          <w:lang w:eastAsia="zh-CN"/>
        </w:rPr>
        <w:t>φ1200×3600mm</w:t>
      </w:r>
      <w:r w:rsidRPr="00E67914">
        <w:rPr>
          <w:rFonts w:ascii="Times New Roman" w:hAnsi="Times New Roman"/>
          <w:sz w:val="24"/>
          <w:lang w:eastAsia="zh-CN"/>
        </w:rPr>
        <w:t>油气水三相分离器</w:t>
      </w:r>
      <w:r w:rsidRPr="00E67914">
        <w:rPr>
          <w:rFonts w:ascii="Times New Roman" w:hAnsi="Times New Roman"/>
          <w:sz w:val="24"/>
          <w:lang w:eastAsia="zh-CN"/>
        </w:rPr>
        <w:t>1</w:t>
      </w:r>
      <w:r w:rsidRPr="00E67914">
        <w:rPr>
          <w:rFonts w:ascii="Times New Roman" w:hAnsi="Times New Roman"/>
          <w:sz w:val="24"/>
          <w:lang w:eastAsia="zh-CN"/>
        </w:rPr>
        <w:t>台、放空分离器撬</w:t>
      </w:r>
      <w:r w:rsidRPr="00E67914">
        <w:rPr>
          <w:rFonts w:ascii="Times New Roman" w:hAnsi="Times New Roman"/>
          <w:sz w:val="24"/>
          <w:lang w:eastAsia="zh-CN"/>
        </w:rPr>
        <w:t>1</w:t>
      </w:r>
      <w:r w:rsidRPr="00E67914">
        <w:rPr>
          <w:rFonts w:ascii="Times New Roman" w:hAnsi="Times New Roman"/>
          <w:sz w:val="24"/>
          <w:lang w:eastAsia="zh-CN"/>
        </w:rPr>
        <w:t>台、双筒高效除砂器撬</w:t>
      </w:r>
      <w:r w:rsidRPr="00E67914">
        <w:rPr>
          <w:rFonts w:ascii="Times New Roman" w:hAnsi="Times New Roman"/>
          <w:sz w:val="24"/>
          <w:lang w:eastAsia="zh-CN"/>
        </w:rPr>
        <w:t>2</w:t>
      </w:r>
      <w:r w:rsidRPr="00E67914">
        <w:rPr>
          <w:rFonts w:ascii="Times New Roman" w:hAnsi="Times New Roman"/>
          <w:sz w:val="24"/>
          <w:lang w:eastAsia="zh-CN"/>
        </w:rPr>
        <w:t>台（单筒处理量</w:t>
      </w:r>
      <w:r w:rsidRPr="00E67914">
        <w:rPr>
          <w:rFonts w:ascii="Times New Roman" w:hAnsi="Times New Roman"/>
          <w:sz w:val="24"/>
          <w:lang w:eastAsia="zh-CN"/>
        </w:rPr>
        <w:t>10×10</w:t>
      </w:r>
      <w:r w:rsidRPr="00E67914">
        <w:rPr>
          <w:rFonts w:ascii="Times New Roman" w:hAnsi="Times New Roman"/>
          <w:sz w:val="24"/>
          <w:vertAlign w:val="superscript"/>
          <w:lang w:eastAsia="zh-CN"/>
        </w:rPr>
        <w:t>4</w:t>
      </w:r>
      <w:r w:rsidRPr="00E67914">
        <w:rPr>
          <w:rFonts w:ascii="Times New Roman" w:hAnsi="Times New Roman"/>
          <w:sz w:val="24"/>
          <w:lang w:eastAsia="zh-CN"/>
        </w:rPr>
        <w:t>Nm³/d</w:t>
      </w:r>
      <w:r w:rsidRPr="00E67914">
        <w:rPr>
          <w:rFonts w:ascii="Times New Roman" w:hAnsi="Times New Roman"/>
          <w:sz w:val="24"/>
          <w:lang w:eastAsia="zh-CN"/>
        </w:rPr>
        <w:t>）、</w:t>
      </w:r>
      <w:r w:rsidRPr="00E67914">
        <w:rPr>
          <w:rFonts w:ascii="Times New Roman" w:hAnsi="Times New Roman"/>
          <w:sz w:val="24"/>
          <w:lang w:eastAsia="zh-CN"/>
        </w:rPr>
        <w:t>8000Nm</w:t>
      </w:r>
      <w:r w:rsidRPr="00E67914">
        <w:rPr>
          <w:rFonts w:ascii="Times New Roman" w:hAnsi="Times New Roman"/>
          <w:sz w:val="24"/>
          <w:vertAlign w:val="superscript"/>
          <w:lang w:eastAsia="zh-CN"/>
        </w:rPr>
        <w:t>3</w:t>
      </w:r>
      <w:r w:rsidRPr="00E67914">
        <w:rPr>
          <w:rFonts w:ascii="Times New Roman" w:hAnsi="Times New Roman"/>
          <w:sz w:val="24"/>
          <w:lang w:eastAsia="zh-CN"/>
        </w:rPr>
        <w:t>/d</w:t>
      </w:r>
      <w:r w:rsidRPr="00E67914">
        <w:rPr>
          <w:rFonts w:ascii="Times New Roman" w:hAnsi="Times New Roman"/>
          <w:sz w:val="24"/>
          <w:lang w:eastAsia="zh-CN"/>
        </w:rPr>
        <w:t>燃料气调压分离器撬</w:t>
      </w:r>
      <w:r w:rsidRPr="00E67914">
        <w:rPr>
          <w:rFonts w:ascii="Times New Roman" w:hAnsi="Times New Roman"/>
          <w:sz w:val="24"/>
          <w:lang w:eastAsia="zh-CN"/>
        </w:rPr>
        <w:t>1</w:t>
      </w:r>
      <w:r w:rsidRPr="00E67914">
        <w:rPr>
          <w:rFonts w:ascii="Times New Roman" w:hAnsi="Times New Roman"/>
          <w:sz w:val="24"/>
          <w:lang w:eastAsia="zh-CN"/>
        </w:rPr>
        <w:t>台，设置放空区，新建</w:t>
      </w:r>
      <w:r w:rsidRPr="00E67914">
        <w:rPr>
          <w:rFonts w:ascii="Times New Roman" w:hAnsi="Times New Roman"/>
          <w:sz w:val="24"/>
          <w:lang w:eastAsia="zh-CN"/>
        </w:rPr>
        <w:t>DN200</w:t>
      </w:r>
      <w:r w:rsidRPr="00E67914">
        <w:rPr>
          <w:rFonts w:ascii="Times New Roman" w:hAnsi="Times New Roman"/>
          <w:sz w:val="24"/>
          <w:lang w:eastAsia="zh-CN"/>
        </w:rPr>
        <w:t>的</w:t>
      </w:r>
      <w:r w:rsidRPr="00E67914">
        <w:rPr>
          <w:rFonts w:ascii="Times New Roman" w:hAnsi="Times New Roman"/>
          <w:sz w:val="24"/>
          <w:lang w:eastAsia="zh-CN"/>
        </w:rPr>
        <w:t>25m</w:t>
      </w:r>
      <w:r w:rsidRPr="00E67914">
        <w:rPr>
          <w:rFonts w:ascii="Times New Roman" w:hAnsi="Times New Roman"/>
          <w:sz w:val="24"/>
          <w:lang w:eastAsia="zh-CN"/>
        </w:rPr>
        <w:t>放空火炬</w:t>
      </w:r>
      <w:r w:rsidRPr="00E67914">
        <w:rPr>
          <w:rFonts w:ascii="Times New Roman" w:hAnsi="Times New Roman"/>
          <w:sz w:val="24"/>
          <w:lang w:eastAsia="zh-CN"/>
        </w:rPr>
        <w:t>1</w:t>
      </w:r>
      <w:r w:rsidRPr="00E67914">
        <w:rPr>
          <w:rFonts w:ascii="Times New Roman" w:hAnsi="Times New Roman"/>
          <w:sz w:val="24"/>
          <w:lang w:eastAsia="zh-CN"/>
        </w:rPr>
        <w:t>座、</w:t>
      </w:r>
      <w:r w:rsidRPr="00E67914">
        <w:rPr>
          <w:rFonts w:ascii="Times New Roman" w:hAnsi="Times New Roman"/>
          <w:sz w:val="24"/>
          <w:lang w:eastAsia="zh-CN"/>
        </w:rPr>
        <w:t>DN100</w:t>
      </w:r>
      <w:r w:rsidRPr="00E67914">
        <w:rPr>
          <w:rFonts w:ascii="Times New Roman" w:hAnsi="Times New Roman"/>
          <w:sz w:val="24"/>
          <w:lang w:eastAsia="zh-CN"/>
        </w:rPr>
        <w:t>的</w:t>
      </w:r>
      <w:r w:rsidRPr="00E67914">
        <w:rPr>
          <w:rFonts w:ascii="Times New Roman" w:hAnsi="Times New Roman"/>
          <w:sz w:val="24"/>
          <w:lang w:eastAsia="zh-CN"/>
        </w:rPr>
        <w:t>6m</w:t>
      </w:r>
      <w:r w:rsidRPr="00E67914">
        <w:rPr>
          <w:rFonts w:ascii="Times New Roman" w:hAnsi="Times New Roman"/>
          <w:sz w:val="24"/>
          <w:lang w:eastAsia="zh-CN"/>
        </w:rPr>
        <w:t>放散管</w:t>
      </w:r>
      <w:r w:rsidRPr="00E67914">
        <w:rPr>
          <w:rFonts w:ascii="Times New Roman" w:hAnsi="Times New Roman"/>
          <w:sz w:val="24"/>
          <w:lang w:eastAsia="zh-CN"/>
        </w:rPr>
        <w:t>1</w:t>
      </w:r>
      <w:r w:rsidRPr="00E67914">
        <w:rPr>
          <w:rFonts w:ascii="Times New Roman" w:hAnsi="Times New Roman"/>
          <w:sz w:val="24"/>
          <w:lang w:eastAsia="zh-CN"/>
        </w:rPr>
        <w:t>座，配套</w:t>
      </w:r>
      <w:r w:rsidRPr="00E67914">
        <w:rPr>
          <w:rFonts w:ascii="Times New Roman" w:hAnsi="Times New Roman"/>
          <w:sz w:val="24"/>
          <w:lang w:eastAsia="zh-CN"/>
        </w:rPr>
        <w:t>φ1200×3600</w:t>
      </w:r>
      <w:r w:rsidRPr="00E67914">
        <w:rPr>
          <w:rFonts w:ascii="Times New Roman" w:hAnsi="Times New Roman"/>
          <w:sz w:val="24"/>
          <w:lang w:eastAsia="zh-CN"/>
        </w:rPr>
        <w:t>放空分液罐</w:t>
      </w:r>
      <w:r w:rsidRPr="00E67914">
        <w:rPr>
          <w:rFonts w:ascii="Times New Roman" w:hAnsi="Times New Roman"/>
          <w:sz w:val="24"/>
          <w:lang w:eastAsia="zh-CN"/>
        </w:rPr>
        <w:t>1</w:t>
      </w:r>
      <w:r w:rsidRPr="00E67914">
        <w:rPr>
          <w:rFonts w:ascii="Times New Roman" w:hAnsi="Times New Roman"/>
          <w:sz w:val="24"/>
          <w:lang w:eastAsia="zh-CN"/>
        </w:rPr>
        <w:t>座；配套</w:t>
      </w:r>
      <w:r w:rsidRPr="00E67914">
        <w:rPr>
          <w:rFonts w:ascii="Times New Roman" w:hAnsi="Times New Roman"/>
          <w:sz w:val="24"/>
          <w:lang w:eastAsia="zh-CN"/>
        </w:rPr>
        <w:t>50m³</w:t>
      </w:r>
      <w:r w:rsidRPr="00E67914">
        <w:rPr>
          <w:rFonts w:ascii="Times New Roman" w:hAnsi="Times New Roman"/>
          <w:sz w:val="24"/>
          <w:lang w:eastAsia="zh-CN"/>
        </w:rPr>
        <w:t>采出水罐</w:t>
      </w:r>
      <w:r w:rsidRPr="00E67914">
        <w:rPr>
          <w:rFonts w:ascii="Times New Roman" w:hAnsi="Times New Roman"/>
          <w:sz w:val="24"/>
          <w:lang w:eastAsia="zh-CN"/>
        </w:rPr>
        <w:t>2</w:t>
      </w:r>
      <w:r w:rsidRPr="00E67914">
        <w:rPr>
          <w:rFonts w:ascii="Times New Roman" w:hAnsi="Times New Roman"/>
          <w:sz w:val="24"/>
          <w:lang w:eastAsia="zh-CN"/>
        </w:rPr>
        <w:t>座、</w:t>
      </w:r>
      <w:r w:rsidRPr="00E67914">
        <w:rPr>
          <w:rFonts w:ascii="Times New Roman" w:hAnsi="Times New Roman"/>
          <w:sz w:val="24"/>
          <w:lang w:eastAsia="zh-CN"/>
        </w:rPr>
        <w:t>50m³</w:t>
      </w:r>
      <w:r w:rsidRPr="00E67914">
        <w:rPr>
          <w:rFonts w:ascii="Times New Roman" w:hAnsi="Times New Roman"/>
          <w:sz w:val="24"/>
          <w:lang w:eastAsia="zh-CN"/>
        </w:rPr>
        <w:t>油罐</w:t>
      </w:r>
      <w:r w:rsidRPr="00E67914">
        <w:rPr>
          <w:rFonts w:ascii="Times New Roman" w:hAnsi="Times New Roman"/>
          <w:sz w:val="24"/>
          <w:lang w:eastAsia="zh-CN"/>
        </w:rPr>
        <w:t>2</w:t>
      </w:r>
      <w:r w:rsidRPr="00E67914">
        <w:rPr>
          <w:rFonts w:ascii="Times New Roman" w:hAnsi="Times New Roman"/>
          <w:sz w:val="24"/>
          <w:lang w:eastAsia="zh-CN"/>
        </w:rPr>
        <w:t>座。配套建设自控、电力、结构等设施。</w:t>
      </w:r>
      <w:r w:rsidR="00561DC5" w:rsidRPr="00E67914">
        <w:rPr>
          <w:rFonts w:ascii="Times New Roman" w:hAnsi="Times New Roman"/>
          <w:sz w:val="24"/>
          <w:szCs w:val="24"/>
          <w:lang w:eastAsia="zh-CN"/>
        </w:rPr>
        <w:t>本项目试采期暂定</w:t>
      </w:r>
      <w:r w:rsidR="00561DC5" w:rsidRPr="00E67914">
        <w:rPr>
          <w:rFonts w:ascii="Times New Roman" w:hAnsi="Times New Roman"/>
          <w:sz w:val="24"/>
          <w:szCs w:val="24"/>
          <w:lang w:eastAsia="zh-CN"/>
        </w:rPr>
        <w:t>2</w:t>
      </w:r>
      <w:r w:rsidR="00561DC5" w:rsidRPr="00E67914">
        <w:rPr>
          <w:rFonts w:ascii="Times New Roman" w:hAnsi="Times New Roman"/>
          <w:sz w:val="24"/>
          <w:szCs w:val="24"/>
          <w:lang w:eastAsia="zh-CN"/>
        </w:rPr>
        <w:t>年。</w:t>
      </w:r>
    </w:p>
    <w:p w14:paraId="49647864"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3.2.2</w:t>
      </w:r>
      <w:r w:rsidRPr="00E67914">
        <w:rPr>
          <w:rFonts w:ascii="Times New Roman" w:eastAsia="黑体" w:hAnsi="Times New Roman"/>
          <w:b w:val="0"/>
          <w:sz w:val="24"/>
          <w:szCs w:val="24"/>
          <w:lang w:eastAsia="zh-CN"/>
        </w:rPr>
        <w:t>气藏地质特征</w:t>
      </w:r>
    </w:p>
    <w:p w14:paraId="2E6B7A75"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t xml:space="preserve">3.2.2.1 </w:t>
      </w:r>
      <w:r w:rsidRPr="00E67914">
        <w:rPr>
          <w:rFonts w:ascii="Times New Roman" w:eastAsia="黑体" w:hAnsi="Times New Roman"/>
          <w:sz w:val="24"/>
          <w:szCs w:val="24"/>
          <w:lang w:eastAsia="zh-CN"/>
        </w:rPr>
        <w:t>地层特征</w:t>
      </w:r>
    </w:p>
    <w:p w14:paraId="6C45A415" w14:textId="79332E3F"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钻井揭示普光地区陆相由浅至深发育侏罗系蓬莱镇</w:t>
      </w:r>
      <w:r w:rsidRPr="00E67914">
        <w:rPr>
          <w:rFonts w:ascii="Times New Roman" w:hAnsi="Times New Roman"/>
          <w:sz w:val="24"/>
          <w:szCs w:val="24"/>
          <w:lang w:eastAsia="zh-CN"/>
        </w:rPr>
        <w:t>-</w:t>
      </w:r>
      <w:r w:rsidRPr="00E67914">
        <w:rPr>
          <w:rFonts w:ascii="Times New Roman" w:hAnsi="Times New Roman"/>
          <w:sz w:val="24"/>
          <w:szCs w:val="24"/>
          <w:lang w:eastAsia="zh-CN"/>
        </w:rPr>
        <w:t>遂宁组（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p-J</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sn</w:t>
      </w:r>
      <w:r w:rsidRPr="00E67914">
        <w:rPr>
          <w:rFonts w:ascii="Times New Roman" w:hAnsi="Times New Roman"/>
          <w:sz w:val="24"/>
          <w:szCs w:val="24"/>
          <w:lang w:eastAsia="zh-CN"/>
        </w:rPr>
        <w:t>）、上沙溪庙组（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s</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）、下沙溪庙组（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s</w:t>
      </w:r>
      <w:r w:rsidRPr="00E67914">
        <w:rPr>
          <w:rFonts w:ascii="Times New Roman" w:hAnsi="Times New Roman"/>
          <w:sz w:val="24"/>
          <w:szCs w:val="24"/>
          <w:vertAlign w:val="superscript"/>
          <w:lang w:eastAsia="zh-CN"/>
        </w:rPr>
        <w:t>1</w:t>
      </w:r>
      <w:r w:rsidRPr="00E67914">
        <w:rPr>
          <w:rFonts w:ascii="Times New Roman" w:hAnsi="Times New Roman"/>
          <w:sz w:val="24"/>
          <w:szCs w:val="24"/>
          <w:lang w:eastAsia="zh-CN"/>
        </w:rPr>
        <w:t>）、千佛崖组（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q</w:t>
      </w:r>
      <w:r w:rsidRPr="00E67914">
        <w:rPr>
          <w:rFonts w:ascii="Times New Roman" w:hAnsi="Times New Roman"/>
          <w:sz w:val="24"/>
          <w:szCs w:val="24"/>
          <w:lang w:eastAsia="zh-CN"/>
        </w:rPr>
        <w:t>）、自流井组（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1</w:t>
      </w:r>
      <w:r w:rsidRPr="00E67914">
        <w:rPr>
          <w:rFonts w:ascii="Times New Roman" w:hAnsi="Times New Roman"/>
          <w:sz w:val="24"/>
          <w:szCs w:val="24"/>
          <w:lang w:eastAsia="zh-CN"/>
        </w:rPr>
        <w:t>z</w:t>
      </w:r>
      <w:r w:rsidRPr="00E67914">
        <w:rPr>
          <w:rFonts w:ascii="Times New Roman" w:hAnsi="Times New Roman"/>
          <w:sz w:val="24"/>
          <w:szCs w:val="24"/>
          <w:lang w:eastAsia="zh-CN"/>
        </w:rPr>
        <w:t>），三叠系须家河组（</w:t>
      </w:r>
      <w:r w:rsidRPr="00E67914">
        <w:rPr>
          <w:rFonts w:ascii="Times New Roman" w:hAnsi="Times New Roman"/>
          <w:sz w:val="24"/>
          <w:szCs w:val="24"/>
          <w:lang w:eastAsia="zh-CN"/>
        </w:rPr>
        <w:t>T</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x</w:t>
      </w:r>
      <w:r w:rsidRPr="00E67914">
        <w:rPr>
          <w:rFonts w:ascii="Times New Roman" w:hAnsi="Times New Roman"/>
          <w:sz w:val="24"/>
          <w:szCs w:val="24"/>
          <w:lang w:eastAsia="zh-CN"/>
        </w:rPr>
        <w:t>）</w:t>
      </w:r>
      <w:r w:rsidR="00AC70DF" w:rsidRPr="00E67914">
        <w:rPr>
          <w:rFonts w:ascii="Times New Roman" w:hAnsi="Times New Roman"/>
          <w:sz w:val="24"/>
          <w:szCs w:val="24"/>
          <w:lang w:eastAsia="zh-CN"/>
        </w:rPr>
        <w:t>，千佛崖组与上覆沙溪庙组是以</w:t>
      </w:r>
      <w:r w:rsidR="00AC70DF" w:rsidRPr="00E67914">
        <w:rPr>
          <w:rFonts w:ascii="Times New Roman" w:hAnsi="Times New Roman"/>
          <w:sz w:val="24"/>
          <w:szCs w:val="24"/>
          <w:lang w:eastAsia="zh-CN"/>
        </w:rPr>
        <w:t>“</w:t>
      </w:r>
      <w:r w:rsidR="00AC70DF" w:rsidRPr="00E67914">
        <w:rPr>
          <w:rFonts w:ascii="Times New Roman" w:hAnsi="Times New Roman"/>
          <w:sz w:val="24"/>
          <w:szCs w:val="24"/>
          <w:lang w:eastAsia="zh-CN"/>
        </w:rPr>
        <w:t>关口砂岩</w:t>
      </w:r>
      <w:r w:rsidR="00AC70DF" w:rsidRPr="00E67914">
        <w:rPr>
          <w:rFonts w:ascii="Times New Roman" w:hAnsi="Times New Roman"/>
          <w:sz w:val="24"/>
          <w:szCs w:val="24"/>
          <w:lang w:eastAsia="zh-CN"/>
        </w:rPr>
        <w:t>”</w:t>
      </w:r>
      <w:r w:rsidR="00AC70DF" w:rsidRPr="00E67914">
        <w:rPr>
          <w:rFonts w:ascii="Times New Roman" w:hAnsi="Times New Roman"/>
          <w:sz w:val="24"/>
          <w:szCs w:val="24"/>
          <w:lang w:eastAsia="zh-CN"/>
        </w:rPr>
        <w:t>为主要划分标志，与下伏自流井组顶部灰色介壳灰岩为界划分地层</w:t>
      </w:r>
      <w:r w:rsidRPr="00E67914">
        <w:rPr>
          <w:rFonts w:ascii="Times New Roman" w:hAnsi="Times New Roman"/>
          <w:sz w:val="24"/>
          <w:szCs w:val="24"/>
          <w:lang w:eastAsia="zh-CN"/>
        </w:rPr>
        <w:t>。本井目的层为</w:t>
      </w:r>
      <w:r w:rsidR="00AC70DF" w:rsidRPr="00E67914">
        <w:rPr>
          <w:rFonts w:ascii="Times New Roman" w:hAnsi="Times New Roman"/>
          <w:sz w:val="24"/>
          <w:szCs w:val="24"/>
          <w:lang w:eastAsia="zh-CN"/>
        </w:rPr>
        <w:t>千佛崖组（</w:t>
      </w:r>
      <w:r w:rsidR="00AC70DF" w:rsidRPr="00E67914">
        <w:rPr>
          <w:rFonts w:ascii="Times New Roman" w:hAnsi="Times New Roman"/>
          <w:sz w:val="24"/>
          <w:szCs w:val="24"/>
          <w:lang w:eastAsia="zh-CN"/>
        </w:rPr>
        <w:t>J</w:t>
      </w:r>
      <w:r w:rsidR="00AC70DF" w:rsidRPr="00E67914">
        <w:rPr>
          <w:rFonts w:ascii="Times New Roman" w:hAnsi="Times New Roman"/>
          <w:sz w:val="24"/>
          <w:szCs w:val="24"/>
          <w:vertAlign w:val="subscript"/>
          <w:lang w:eastAsia="zh-CN"/>
        </w:rPr>
        <w:t>2</w:t>
      </w:r>
      <w:r w:rsidR="00AC70DF" w:rsidRPr="00E67914">
        <w:rPr>
          <w:rFonts w:ascii="Times New Roman" w:hAnsi="Times New Roman"/>
          <w:sz w:val="24"/>
          <w:szCs w:val="24"/>
          <w:lang w:eastAsia="zh-CN"/>
        </w:rPr>
        <w:t>q</w:t>
      </w:r>
      <w:r w:rsidR="00AC70DF" w:rsidRPr="00E67914">
        <w:rPr>
          <w:rFonts w:ascii="Times New Roman" w:hAnsi="Times New Roman"/>
          <w:sz w:val="24"/>
          <w:szCs w:val="24"/>
          <w:lang w:eastAsia="zh-CN"/>
        </w:rPr>
        <w:t>）</w:t>
      </w:r>
      <w:r w:rsidRPr="00E67914">
        <w:rPr>
          <w:rFonts w:ascii="Times New Roman" w:hAnsi="Times New Roman"/>
          <w:sz w:val="24"/>
          <w:szCs w:val="24"/>
          <w:lang w:eastAsia="zh-CN"/>
        </w:rPr>
        <w:t>。</w:t>
      </w:r>
    </w:p>
    <w:p w14:paraId="46B4A1B4" w14:textId="6614E5A4"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）蓬莱镇</w:t>
      </w:r>
      <w:r w:rsidRPr="00E67914">
        <w:rPr>
          <w:rFonts w:ascii="Times New Roman" w:hAnsi="Times New Roman"/>
          <w:sz w:val="24"/>
          <w:szCs w:val="24"/>
          <w:lang w:eastAsia="zh-CN"/>
        </w:rPr>
        <w:t>-</w:t>
      </w:r>
      <w:r w:rsidRPr="00E67914">
        <w:rPr>
          <w:rFonts w:ascii="Times New Roman" w:hAnsi="Times New Roman"/>
          <w:sz w:val="24"/>
          <w:szCs w:val="24"/>
          <w:lang w:eastAsia="zh-CN"/>
        </w:rPr>
        <w:t>遂宁组（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p- J</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sn</w:t>
      </w:r>
      <w:r w:rsidRPr="00E67914">
        <w:rPr>
          <w:rFonts w:ascii="Times New Roman" w:hAnsi="Times New Roman"/>
          <w:sz w:val="24"/>
          <w:szCs w:val="24"/>
          <w:lang w:eastAsia="zh-CN"/>
        </w:rPr>
        <w:t>）：蓬莱镇组为棕灰、棕红色泥岩与棕灰、紫色长石岩屑砂岩，遂宁组为棕红色泥岩夹细粒岩屑砂岩，地层厚度</w:t>
      </w:r>
      <w:r w:rsidRPr="00E67914">
        <w:rPr>
          <w:rFonts w:ascii="Times New Roman" w:hAnsi="Times New Roman"/>
          <w:sz w:val="24"/>
          <w:szCs w:val="24"/>
          <w:lang w:eastAsia="zh-CN"/>
        </w:rPr>
        <w:t>0m</w:t>
      </w:r>
      <w:r w:rsidRPr="00E67914">
        <w:rPr>
          <w:rFonts w:ascii="Times New Roman" w:hAnsi="Times New Roman"/>
          <w:sz w:val="24"/>
          <w:szCs w:val="24"/>
          <w:lang w:eastAsia="zh-CN"/>
        </w:rPr>
        <w:t>～</w:t>
      </w:r>
      <w:r w:rsidRPr="00E67914">
        <w:rPr>
          <w:rFonts w:ascii="Times New Roman" w:hAnsi="Times New Roman"/>
          <w:sz w:val="24"/>
          <w:szCs w:val="24"/>
          <w:lang w:eastAsia="zh-CN"/>
        </w:rPr>
        <w:t>1420m</w:t>
      </w:r>
      <w:r w:rsidRPr="00E67914">
        <w:rPr>
          <w:rFonts w:ascii="Times New Roman" w:hAnsi="Times New Roman"/>
          <w:sz w:val="24"/>
          <w:szCs w:val="24"/>
          <w:lang w:eastAsia="zh-CN"/>
        </w:rPr>
        <w:t>。</w:t>
      </w:r>
    </w:p>
    <w:p w14:paraId="1AAC5BC5"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）上沙溪庙组（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s</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）：紫红色泥岩、粉砂质泥岩与灰色、灰绿色粉砂岩、细砂岩呈略等厚</w:t>
      </w:r>
      <w:r w:rsidRPr="00E67914">
        <w:rPr>
          <w:rFonts w:ascii="Times New Roman" w:hAnsi="Times New Roman"/>
          <w:sz w:val="24"/>
          <w:szCs w:val="24"/>
          <w:lang w:eastAsia="zh-CN"/>
        </w:rPr>
        <w:t>-</w:t>
      </w:r>
      <w:r w:rsidRPr="00E67914">
        <w:rPr>
          <w:rFonts w:ascii="Times New Roman" w:hAnsi="Times New Roman"/>
          <w:sz w:val="24"/>
          <w:szCs w:val="24"/>
          <w:lang w:eastAsia="zh-CN"/>
        </w:rPr>
        <w:t>不等厚互层，底部为灰色块状细砂岩，地层厚度</w:t>
      </w:r>
      <w:r w:rsidRPr="00E67914">
        <w:rPr>
          <w:rFonts w:ascii="Times New Roman" w:hAnsi="Times New Roman"/>
          <w:sz w:val="24"/>
          <w:szCs w:val="24"/>
          <w:lang w:eastAsia="zh-CN"/>
        </w:rPr>
        <w:t>1074 m</w:t>
      </w:r>
      <w:r w:rsidRPr="00E67914">
        <w:rPr>
          <w:rFonts w:ascii="Times New Roman" w:hAnsi="Times New Roman"/>
          <w:sz w:val="24"/>
          <w:szCs w:val="24"/>
          <w:lang w:eastAsia="zh-CN"/>
        </w:rPr>
        <w:t>～</w:t>
      </w:r>
      <w:r w:rsidRPr="00E67914">
        <w:rPr>
          <w:rFonts w:ascii="Times New Roman" w:hAnsi="Times New Roman"/>
          <w:sz w:val="24"/>
          <w:szCs w:val="24"/>
          <w:lang w:eastAsia="zh-CN"/>
        </w:rPr>
        <w:t>2273m</w:t>
      </w:r>
      <w:r w:rsidRPr="00E67914">
        <w:rPr>
          <w:rFonts w:ascii="Times New Roman" w:hAnsi="Times New Roman"/>
          <w:sz w:val="24"/>
          <w:szCs w:val="24"/>
          <w:lang w:eastAsia="zh-CN"/>
        </w:rPr>
        <w:t>。</w:t>
      </w:r>
    </w:p>
    <w:p w14:paraId="61496530"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3</w:t>
      </w:r>
      <w:r w:rsidRPr="00E67914">
        <w:rPr>
          <w:rFonts w:ascii="Times New Roman" w:hAnsi="Times New Roman"/>
          <w:sz w:val="24"/>
          <w:szCs w:val="24"/>
          <w:lang w:eastAsia="zh-CN"/>
        </w:rPr>
        <w:t>）下沙溪庙组（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s</w:t>
      </w:r>
      <w:r w:rsidRPr="00E67914">
        <w:rPr>
          <w:rFonts w:ascii="Times New Roman" w:hAnsi="Times New Roman"/>
          <w:sz w:val="24"/>
          <w:szCs w:val="24"/>
          <w:vertAlign w:val="superscript"/>
          <w:lang w:eastAsia="zh-CN"/>
        </w:rPr>
        <w:t>1</w:t>
      </w:r>
      <w:r w:rsidRPr="00E67914">
        <w:rPr>
          <w:rFonts w:ascii="Times New Roman" w:hAnsi="Times New Roman"/>
          <w:sz w:val="24"/>
          <w:szCs w:val="24"/>
          <w:lang w:eastAsia="zh-CN"/>
        </w:rPr>
        <w:t>）：棕紫色泥岩与细砂岩不等厚互层，顶部见黑色页岩，底部发育厚层砂岩，地层厚度</w:t>
      </w:r>
      <w:r w:rsidRPr="00E67914">
        <w:rPr>
          <w:rFonts w:ascii="Times New Roman" w:hAnsi="Times New Roman"/>
          <w:sz w:val="24"/>
          <w:szCs w:val="24"/>
          <w:lang w:eastAsia="zh-CN"/>
        </w:rPr>
        <w:t>327 m</w:t>
      </w:r>
      <w:r w:rsidRPr="00E67914">
        <w:rPr>
          <w:rFonts w:ascii="Times New Roman" w:hAnsi="Times New Roman"/>
          <w:sz w:val="24"/>
          <w:szCs w:val="24"/>
          <w:lang w:eastAsia="zh-CN"/>
        </w:rPr>
        <w:t>～</w:t>
      </w:r>
      <w:r w:rsidRPr="00E67914">
        <w:rPr>
          <w:rFonts w:ascii="Times New Roman" w:hAnsi="Times New Roman"/>
          <w:sz w:val="24"/>
          <w:szCs w:val="24"/>
          <w:lang w:eastAsia="zh-CN"/>
        </w:rPr>
        <w:t>530m</w:t>
      </w:r>
      <w:r w:rsidRPr="00E67914">
        <w:rPr>
          <w:rFonts w:ascii="Times New Roman" w:hAnsi="Times New Roman"/>
          <w:sz w:val="24"/>
          <w:szCs w:val="24"/>
          <w:lang w:eastAsia="zh-CN"/>
        </w:rPr>
        <w:t>。</w:t>
      </w:r>
    </w:p>
    <w:p w14:paraId="57BBCD5C" w14:textId="4ABAB26C"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4</w:t>
      </w:r>
      <w:r w:rsidRPr="00E67914">
        <w:rPr>
          <w:rFonts w:ascii="Times New Roman" w:hAnsi="Times New Roman"/>
          <w:sz w:val="24"/>
          <w:szCs w:val="24"/>
          <w:lang w:eastAsia="zh-CN"/>
        </w:rPr>
        <w:t>）千佛崖组（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q</w:t>
      </w:r>
      <w:r w:rsidRPr="00E67914">
        <w:rPr>
          <w:rFonts w:ascii="Times New Roman" w:hAnsi="Times New Roman"/>
          <w:sz w:val="24"/>
          <w:szCs w:val="24"/>
          <w:lang w:eastAsia="zh-CN"/>
        </w:rPr>
        <w:t>）：上部为棕色、灰色泥岩与浅灰、灰绿色细</w:t>
      </w:r>
      <w:r w:rsidRPr="00E67914">
        <w:rPr>
          <w:rFonts w:ascii="Times New Roman" w:hAnsi="Times New Roman"/>
          <w:sz w:val="24"/>
          <w:szCs w:val="24"/>
          <w:lang w:eastAsia="zh-CN"/>
        </w:rPr>
        <w:t>-</w:t>
      </w:r>
      <w:r w:rsidRPr="00E67914">
        <w:rPr>
          <w:rFonts w:ascii="Times New Roman" w:hAnsi="Times New Roman"/>
          <w:sz w:val="24"/>
          <w:szCs w:val="24"/>
          <w:lang w:eastAsia="zh-CN"/>
        </w:rPr>
        <w:t>中粒岩屑砂岩不等厚互层，中下部夹深灰、黑色页岩，地层厚度</w:t>
      </w:r>
      <w:r w:rsidRPr="00E67914">
        <w:rPr>
          <w:rFonts w:ascii="Times New Roman" w:hAnsi="Times New Roman"/>
          <w:sz w:val="24"/>
          <w:szCs w:val="24"/>
          <w:lang w:eastAsia="zh-CN"/>
        </w:rPr>
        <w:t>430m</w:t>
      </w:r>
      <w:r w:rsidRPr="00E67914">
        <w:rPr>
          <w:rFonts w:ascii="Times New Roman" w:hAnsi="Times New Roman"/>
          <w:sz w:val="24"/>
          <w:szCs w:val="24"/>
          <w:lang w:eastAsia="zh-CN"/>
        </w:rPr>
        <w:t>～</w:t>
      </w:r>
      <w:r w:rsidRPr="00E67914">
        <w:rPr>
          <w:rFonts w:ascii="Times New Roman" w:hAnsi="Times New Roman"/>
          <w:sz w:val="24"/>
          <w:szCs w:val="24"/>
          <w:lang w:eastAsia="zh-CN"/>
        </w:rPr>
        <w:t>600m</w:t>
      </w:r>
      <w:r w:rsidRPr="00E67914">
        <w:rPr>
          <w:rFonts w:ascii="Times New Roman" w:hAnsi="Times New Roman"/>
          <w:sz w:val="24"/>
          <w:szCs w:val="24"/>
          <w:lang w:eastAsia="zh-CN"/>
        </w:rPr>
        <w:t>。</w:t>
      </w:r>
    </w:p>
    <w:p w14:paraId="5AC223FA" w14:textId="775BBE03"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5</w:t>
      </w:r>
      <w:r w:rsidRPr="00E67914">
        <w:rPr>
          <w:rFonts w:ascii="Times New Roman" w:hAnsi="Times New Roman"/>
          <w:sz w:val="24"/>
          <w:szCs w:val="24"/>
          <w:lang w:eastAsia="zh-CN"/>
        </w:rPr>
        <w:t>）自流井组（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1</w:t>
      </w:r>
      <w:r w:rsidRPr="00E67914">
        <w:rPr>
          <w:rFonts w:ascii="Times New Roman" w:hAnsi="Times New Roman"/>
          <w:sz w:val="24"/>
          <w:szCs w:val="24"/>
          <w:lang w:eastAsia="zh-CN"/>
        </w:rPr>
        <w:t>z</w:t>
      </w:r>
      <w:r w:rsidRPr="00E67914">
        <w:rPr>
          <w:rFonts w:ascii="Times New Roman" w:hAnsi="Times New Roman"/>
          <w:sz w:val="24"/>
          <w:szCs w:val="24"/>
          <w:lang w:eastAsia="zh-CN"/>
        </w:rPr>
        <w:t>）：上部灰色泥质粉砂岩、灰色泥灰岩、介壳灰岩略等厚互层，中下部浅灰色、绿灰色泥质粉砂岩、灰色泥岩与灰色细砂岩不等厚互层，与下伏三叠系须家河组呈不整合接触，地层厚度</w:t>
      </w:r>
      <w:r w:rsidRPr="00E67914">
        <w:rPr>
          <w:rFonts w:ascii="Times New Roman" w:hAnsi="Times New Roman"/>
          <w:sz w:val="24"/>
          <w:szCs w:val="24"/>
          <w:lang w:eastAsia="zh-CN"/>
        </w:rPr>
        <w:t>289m</w:t>
      </w:r>
      <w:r w:rsidRPr="00E67914">
        <w:rPr>
          <w:rFonts w:ascii="Times New Roman" w:hAnsi="Times New Roman"/>
          <w:sz w:val="24"/>
          <w:szCs w:val="24"/>
          <w:lang w:eastAsia="zh-CN"/>
        </w:rPr>
        <w:t>～</w:t>
      </w:r>
      <w:r w:rsidRPr="00E67914">
        <w:rPr>
          <w:rFonts w:ascii="Times New Roman" w:hAnsi="Times New Roman"/>
          <w:sz w:val="24"/>
          <w:szCs w:val="24"/>
          <w:lang w:eastAsia="zh-CN"/>
        </w:rPr>
        <w:t>568m</w:t>
      </w:r>
      <w:r w:rsidRPr="00E67914">
        <w:rPr>
          <w:rFonts w:ascii="Times New Roman" w:hAnsi="Times New Roman"/>
          <w:sz w:val="24"/>
          <w:szCs w:val="24"/>
          <w:lang w:eastAsia="zh-CN"/>
        </w:rPr>
        <w:t>。</w:t>
      </w:r>
    </w:p>
    <w:p w14:paraId="64EB1AB0"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6</w:t>
      </w:r>
      <w:r w:rsidRPr="00E67914">
        <w:rPr>
          <w:rFonts w:ascii="Times New Roman" w:hAnsi="Times New Roman"/>
          <w:sz w:val="24"/>
          <w:szCs w:val="24"/>
          <w:lang w:eastAsia="zh-CN"/>
        </w:rPr>
        <w:t>）须家河组（</w:t>
      </w:r>
      <w:r w:rsidRPr="00E67914">
        <w:rPr>
          <w:rFonts w:ascii="Times New Roman" w:hAnsi="Times New Roman"/>
          <w:sz w:val="24"/>
          <w:szCs w:val="24"/>
          <w:lang w:eastAsia="zh-CN"/>
        </w:rPr>
        <w:t>T</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x</w:t>
      </w:r>
      <w:r w:rsidRPr="00E67914">
        <w:rPr>
          <w:rFonts w:ascii="Times New Roman" w:hAnsi="Times New Roman"/>
          <w:sz w:val="24"/>
          <w:szCs w:val="24"/>
          <w:lang w:eastAsia="zh-CN"/>
        </w:rPr>
        <w:t>）：主要发育黑灰色泥岩、碳质泥岩、细砂岩、中砂岩，按照旋回可划分为</w:t>
      </w:r>
      <w:r w:rsidRPr="00E67914">
        <w:rPr>
          <w:rFonts w:ascii="Times New Roman" w:hAnsi="Times New Roman"/>
          <w:sz w:val="24"/>
          <w:szCs w:val="24"/>
          <w:lang w:eastAsia="zh-CN"/>
        </w:rPr>
        <w:t>4</w:t>
      </w:r>
      <w:r w:rsidRPr="00E67914">
        <w:rPr>
          <w:rFonts w:ascii="Times New Roman" w:hAnsi="Times New Roman"/>
          <w:sz w:val="24"/>
          <w:szCs w:val="24"/>
          <w:lang w:eastAsia="zh-CN"/>
        </w:rPr>
        <w:t>个亚段：</w:t>
      </w:r>
    </w:p>
    <w:p w14:paraId="2A6BCF3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须家河组五段（</w:t>
      </w:r>
      <w:r w:rsidRPr="00E67914">
        <w:rPr>
          <w:rFonts w:ascii="Times New Roman" w:hAnsi="Times New Roman"/>
          <w:sz w:val="24"/>
          <w:szCs w:val="24"/>
          <w:lang w:eastAsia="zh-CN"/>
        </w:rPr>
        <w:t>T</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x</w:t>
      </w:r>
      <w:r w:rsidRPr="00E67914">
        <w:rPr>
          <w:rFonts w:ascii="Times New Roman" w:hAnsi="Times New Roman"/>
          <w:sz w:val="24"/>
          <w:szCs w:val="24"/>
          <w:vertAlign w:val="subscript"/>
          <w:lang w:eastAsia="zh-CN"/>
        </w:rPr>
        <w:t>5</w:t>
      </w:r>
      <w:r w:rsidRPr="00E67914">
        <w:rPr>
          <w:rFonts w:ascii="Times New Roman" w:hAnsi="Times New Roman"/>
          <w:sz w:val="24"/>
          <w:szCs w:val="24"/>
          <w:lang w:eastAsia="zh-CN"/>
        </w:rPr>
        <w:t>）：黑灰色泥岩、碳质泥岩夹灰色粉砂岩、煤岩，地层厚度</w:t>
      </w:r>
      <w:r w:rsidRPr="00E67914">
        <w:rPr>
          <w:rFonts w:ascii="Times New Roman" w:hAnsi="Times New Roman"/>
          <w:sz w:val="24"/>
          <w:szCs w:val="24"/>
          <w:lang w:eastAsia="zh-CN"/>
        </w:rPr>
        <w:t>40 m</w:t>
      </w:r>
      <w:r w:rsidRPr="00E67914">
        <w:rPr>
          <w:rFonts w:ascii="Times New Roman" w:hAnsi="Times New Roman"/>
          <w:sz w:val="24"/>
          <w:szCs w:val="24"/>
          <w:lang w:eastAsia="zh-CN"/>
        </w:rPr>
        <w:t>～</w:t>
      </w:r>
      <w:r w:rsidRPr="00E67914">
        <w:rPr>
          <w:rFonts w:ascii="Times New Roman" w:hAnsi="Times New Roman"/>
          <w:sz w:val="24"/>
          <w:szCs w:val="24"/>
          <w:lang w:eastAsia="zh-CN"/>
        </w:rPr>
        <w:t>60m</w:t>
      </w:r>
      <w:r w:rsidRPr="00E67914">
        <w:rPr>
          <w:rFonts w:ascii="Times New Roman" w:hAnsi="Times New Roman"/>
          <w:sz w:val="24"/>
          <w:szCs w:val="24"/>
          <w:lang w:eastAsia="zh-CN"/>
        </w:rPr>
        <w:t>。</w:t>
      </w:r>
    </w:p>
    <w:p w14:paraId="04F965CC"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须家河组四段（</w:t>
      </w:r>
      <w:r w:rsidRPr="00E67914">
        <w:rPr>
          <w:rFonts w:ascii="Times New Roman" w:hAnsi="Times New Roman"/>
          <w:sz w:val="24"/>
          <w:szCs w:val="24"/>
          <w:lang w:eastAsia="zh-CN"/>
        </w:rPr>
        <w:t>T</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x</w:t>
      </w:r>
      <w:r w:rsidRPr="00E67914">
        <w:rPr>
          <w:rFonts w:ascii="Times New Roman" w:hAnsi="Times New Roman"/>
          <w:sz w:val="24"/>
          <w:szCs w:val="24"/>
          <w:vertAlign w:val="subscript"/>
          <w:lang w:eastAsia="zh-CN"/>
        </w:rPr>
        <w:t>4</w:t>
      </w:r>
      <w:r w:rsidRPr="00E67914">
        <w:rPr>
          <w:rFonts w:ascii="Times New Roman" w:hAnsi="Times New Roman"/>
          <w:sz w:val="24"/>
          <w:szCs w:val="24"/>
          <w:lang w:eastAsia="zh-CN"/>
        </w:rPr>
        <w:t>）：灰色厚层细砂岩、粉砂岩夹深灰色泥岩、黑色碳质泥岩、煤岩，底部发育厚层状杂色砾岩，地层厚度</w:t>
      </w:r>
      <w:r w:rsidRPr="00E67914">
        <w:rPr>
          <w:rFonts w:ascii="Times New Roman" w:hAnsi="Times New Roman"/>
          <w:sz w:val="24"/>
          <w:szCs w:val="24"/>
          <w:lang w:eastAsia="zh-CN"/>
        </w:rPr>
        <w:t>180 m</w:t>
      </w:r>
      <w:r w:rsidRPr="00E67914">
        <w:rPr>
          <w:rFonts w:ascii="Times New Roman" w:hAnsi="Times New Roman"/>
          <w:sz w:val="24"/>
          <w:szCs w:val="24"/>
          <w:lang w:eastAsia="zh-CN"/>
        </w:rPr>
        <w:t>～</w:t>
      </w:r>
      <w:r w:rsidRPr="00E67914">
        <w:rPr>
          <w:rFonts w:ascii="Times New Roman" w:hAnsi="Times New Roman"/>
          <w:sz w:val="24"/>
          <w:szCs w:val="24"/>
          <w:lang w:eastAsia="zh-CN"/>
        </w:rPr>
        <w:t>240m</w:t>
      </w:r>
      <w:r w:rsidRPr="00E67914">
        <w:rPr>
          <w:rFonts w:ascii="Times New Roman" w:hAnsi="Times New Roman"/>
          <w:sz w:val="24"/>
          <w:szCs w:val="24"/>
          <w:lang w:eastAsia="zh-CN"/>
        </w:rPr>
        <w:t>。</w:t>
      </w:r>
    </w:p>
    <w:p w14:paraId="6EC2FD67"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③</w:t>
      </w:r>
      <w:r w:rsidRPr="00E67914">
        <w:rPr>
          <w:rFonts w:ascii="Times New Roman" w:hAnsi="Times New Roman"/>
          <w:sz w:val="24"/>
          <w:szCs w:val="24"/>
          <w:lang w:eastAsia="zh-CN"/>
        </w:rPr>
        <w:t>须家河组三段（</w:t>
      </w:r>
      <w:r w:rsidRPr="00E67914">
        <w:rPr>
          <w:rFonts w:ascii="Times New Roman" w:hAnsi="Times New Roman"/>
          <w:sz w:val="24"/>
          <w:szCs w:val="24"/>
          <w:lang w:eastAsia="zh-CN"/>
        </w:rPr>
        <w:t>T</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x</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）：上部厚层状深灰色泥岩夹粉砂岩，中部为灰色厚层细砂岩夹黑色薄层碳质泥岩，下部为黑色碳质泥岩，地层厚度</w:t>
      </w:r>
      <w:r w:rsidRPr="00E67914">
        <w:rPr>
          <w:rFonts w:ascii="Times New Roman" w:hAnsi="Times New Roman"/>
          <w:sz w:val="24"/>
          <w:szCs w:val="24"/>
          <w:lang w:eastAsia="zh-CN"/>
        </w:rPr>
        <w:t>90m</w:t>
      </w:r>
      <w:r w:rsidRPr="00E67914">
        <w:rPr>
          <w:rFonts w:ascii="Times New Roman" w:hAnsi="Times New Roman"/>
          <w:sz w:val="24"/>
          <w:szCs w:val="24"/>
          <w:lang w:eastAsia="zh-CN"/>
        </w:rPr>
        <w:t>～</w:t>
      </w:r>
      <w:r w:rsidRPr="00E67914">
        <w:rPr>
          <w:rFonts w:ascii="Times New Roman" w:hAnsi="Times New Roman"/>
          <w:sz w:val="24"/>
          <w:szCs w:val="24"/>
          <w:lang w:eastAsia="zh-CN"/>
        </w:rPr>
        <w:t>170m</w:t>
      </w:r>
      <w:r w:rsidRPr="00E67914">
        <w:rPr>
          <w:rFonts w:ascii="Times New Roman" w:hAnsi="Times New Roman"/>
          <w:sz w:val="24"/>
          <w:szCs w:val="24"/>
          <w:lang w:eastAsia="zh-CN"/>
        </w:rPr>
        <w:t>。</w:t>
      </w:r>
    </w:p>
    <w:p w14:paraId="49803E65"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④</w:t>
      </w:r>
      <w:r w:rsidRPr="00E67914">
        <w:rPr>
          <w:rFonts w:ascii="Times New Roman" w:hAnsi="Times New Roman"/>
          <w:sz w:val="24"/>
          <w:szCs w:val="24"/>
          <w:lang w:eastAsia="zh-CN"/>
        </w:rPr>
        <w:t>须家河组二段（</w:t>
      </w:r>
      <w:r w:rsidRPr="00E67914">
        <w:rPr>
          <w:rFonts w:ascii="Times New Roman" w:hAnsi="Times New Roman"/>
          <w:sz w:val="24"/>
          <w:szCs w:val="24"/>
          <w:lang w:eastAsia="zh-CN"/>
        </w:rPr>
        <w:t>T</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x</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）：中上部为浅灰色、灰色厚层细砂岩、中砂岩夹黑灰色薄层泥岩、碳质泥岩，底部为薄层状灰黑色泥岩，地层厚度</w:t>
      </w:r>
      <w:r w:rsidRPr="00E67914">
        <w:rPr>
          <w:rFonts w:ascii="Times New Roman" w:hAnsi="Times New Roman"/>
          <w:sz w:val="24"/>
          <w:szCs w:val="24"/>
          <w:lang w:eastAsia="zh-CN"/>
        </w:rPr>
        <w:t>90m</w:t>
      </w:r>
      <w:r w:rsidRPr="00E67914">
        <w:rPr>
          <w:rFonts w:ascii="Times New Roman" w:hAnsi="Times New Roman"/>
          <w:sz w:val="24"/>
          <w:szCs w:val="24"/>
          <w:lang w:eastAsia="zh-CN"/>
        </w:rPr>
        <w:t>～</w:t>
      </w:r>
      <w:r w:rsidRPr="00E67914">
        <w:rPr>
          <w:rFonts w:ascii="Times New Roman" w:hAnsi="Times New Roman"/>
          <w:sz w:val="24"/>
          <w:szCs w:val="24"/>
          <w:lang w:eastAsia="zh-CN"/>
        </w:rPr>
        <w:t>236m</w:t>
      </w:r>
      <w:r w:rsidRPr="00E67914">
        <w:rPr>
          <w:rFonts w:ascii="Times New Roman" w:hAnsi="Times New Roman"/>
          <w:sz w:val="24"/>
          <w:szCs w:val="24"/>
          <w:lang w:eastAsia="zh-CN"/>
        </w:rPr>
        <w:t>。</w:t>
      </w:r>
    </w:p>
    <w:p w14:paraId="57E68AC5" w14:textId="77777777" w:rsidR="00A54A8A" w:rsidRPr="00E67914" w:rsidRDefault="00000000">
      <w:pPr>
        <w:ind w:firstLine="420"/>
        <w:jc w:val="center"/>
        <w:rPr>
          <w:rFonts w:ascii="Times New Roman" w:eastAsia="黑体" w:hAnsi="Times New Roman"/>
          <w:bCs/>
          <w:sz w:val="21"/>
          <w:szCs w:val="21"/>
          <w:lang w:eastAsia="zh-CN"/>
        </w:rPr>
      </w:pPr>
      <w:r w:rsidRPr="00E67914">
        <w:rPr>
          <w:rFonts w:ascii="Times New Roman" w:eastAsia="黑体" w:hAnsi="Times New Roman"/>
          <w:bCs/>
          <w:sz w:val="21"/>
          <w:szCs w:val="21"/>
          <w:lang w:eastAsia="zh-CN"/>
        </w:rPr>
        <w:lastRenderedPageBreak/>
        <w:t>表</w:t>
      </w:r>
      <w:r w:rsidRPr="00E67914">
        <w:rPr>
          <w:rFonts w:ascii="Times New Roman" w:eastAsia="黑体" w:hAnsi="Times New Roman"/>
          <w:bCs/>
          <w:sz w:val="21"/>
          <w:szCs w:val="21"/>
          <w:lang w:eastAsia="zh-CN"/>
        </w:rPr>
        <w:t xml:space="preserve">3.2-1  </w:t>
      </w:r>
      <w:r w:rsidRPr="00E67914">
        <w:rPr>
          <w:rFonts w:ascii="Times New Roman" w:eastAsia="黑体" w:hAnsi="Times New Roman"/>
          <w:bCs/>
          <w:sz w:val="21"/>
          <w:szCs w:val="21"/>
          <w:lang w:eastAsia="zh-CN"/>
        </w:rPr>
        <w:t>川东北宣汉</w:t>
      </w:r>
      <w:r w:rsidRPr="00E67914">
        <w:rPr>
          <w:rFonts w:ascii="Times New Roman" w:eastAsia="黑体" w:hAnsi="Times New Roman"/>
          <w:bCs/>
          <w:sz w:val="21"/>
          <w:szCs w:val="21"/>
          <w:lang w:eastAsia="zh-CN"/>
        </w:rPr>
        <w:t>-</w:t>
      </w:r>
      <w:r w:rsidRPr="00E67914">
        <w:rPr>
          <w:rFonts w:ascii="Times New Roman" w:eastAsia="黑体" w:hAnsi="Times New Roman"/>
          <w:bCs/>
          <w:sz w:val="21"/>
          <w:szCs w:val="21"/>
          <w:lang w:eastAsia="zh-CN"/>
        </w:rPr>
        <w:t>达县地区地层序列简表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95"/>
        <w:gridCol w:w="395"/>
        <w:gridCol w:w="395"/>
        <w:gridCol w:w="699"/>
        <w:gridCol w:w="405"/>
        <w:gridCol w:w="559"/>
        <w:gridCol w:w="810"/>
        <w:gridCol w:w="3856"/>
        <w:gridCol w:w="786"/>
      </w:tblGrid>
      <w:tr w:rsidR="00E67914" w:rsidRPr="00E67914" w14:paraId="573713C0" w14:textId="77777777">
        <w:trPr>
          <w:trHeight w:val="486"/>
          <w:jc w:val="center"/>
        </w:trPr>
        <w:tc>
          <w:tcPr>
            <w:tcW w:w="220" w:type="pct"/>
            <w:tcMar>
              <w:top w:w="60" w:type="dxa"/>
              <w:left w:w="120" w:type="dxa"/>
              <w:bottom w:w="60" w:type="dxa"/>
              <w:right w:w="120" w:type="dxa"/>
            </w:tcMar>
            <w:vAlign w:val="center"/>
          </w:tcPr>
          <w:p w14:paraId="42669EDA"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界</w:t>
            </w:r>
          </w:p>
        </w:tc>
        <w:tc>
          <w:tcPr>
            <w:tcW w:w="220" w:type="pct"/>
            <w:tcMar>
              <w:top w:w="60" w:type="dxa"/>
              <w:left w:w="120" w:type="dxa"/>
              <w:bottom w:w="60" w:type="dxa"/>
              <w:right w:w="120" w:type="dxa"/>
            </w:tcMar>
            <w:vAlign w:val="center"/>
          </w:tcPr>
          <w:p w14:paraId="75E8F1A0"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系</w:t>
            </w:r>
          </w:p>
        </w:tc>
        <w:tc>
          <w:tcPr>
            <w:tcW w:w="220" w:type="pct"/>
            <w:tcMar>
              <w:top w:w="60" w:type="dxa"/>
              <w:left w:w="120" w:type="dxa"/>
              <w:bottom w:w="60" w:type="dxa"/>
              <w:right w:w="120" w:type="dxa"/>
            </w:tcMar>
            <w:vAlign w:val="center"/>
          </w:tcPr>
          <w:p w14:paraId="048A7E91"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统</w:t>
            </w:r>
          </w:p>
        </w:tc>
        <w:tc>
          <w:tcPr>
            <w:tcW w:w="447" w:type="pct"/>
            <w:tcMar>
              <w:top w:w="60" w:type="dxa"/>
              <w:left w:w="120" w:type="dxa"/>
              <w:bottom w:w="60" w:type="dxa"/>
              <w:right w:w="120" w:type="dxa"/>
            </w:tcMar>
            <w:vAlign w:val="center"/>
          </w:tcPr>
          <w:p w14:paraId="50262278"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组</w:t>
            </w:r>
          </w:p>
        </w:tc>
        <w:tc>
          <w:tcPr>
            <w:tcW w:w="226" w:type="pct"/>
            <w:tcMar>
              <w:top w:w="60" w:type="dxa"/>
              <w:left w:w="120" w:type="dxa"/>
              <w:bottom w:w="60" w:type="dxa"/>
              <w:right w:w="120" w:type="dxa"/>
            </w:tcMar>
            <w:vAlign w:val="center"/>
          </w:tcPr>
          <w:p w14:paraId="62052C5C"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段</w:t>
            </w:r>
          </w:p>
        </w:tc>
        <w:tc>
          <w:tcPr>
            <w:tcW w:w="304" w:type="pct"/>
            <w:tcMar>
              <w:top w:w="60" w:type="dxa"/>
              <w:left w:w="120" w:type="dxa"/>
              <w:bottom w:w="60" w:type="dxa"/>
              <w:right w:w="120" w:type="dxa"/>
            </w:tcMar>
            <w:vAlign w:val="center"/>
          </w:tcPr>
          <w:p w14:paraId="7B83AC4C"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层位</w:t>
            </w:r>
          </w:p>
          <w:p w14:paraId="0575C883"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代号</w:t>
            </w:r>
          </w:p>
        </w:tc>
        <w:tc>
          <w:tcPr>
            <w:tcW w:w="514" w:type="pct"/>
            <w:tcMar>
              <w:top w:w="60" w:type="dxa"/>
              <w:left w:w="120" w:type="dxa"/>
              <w:bottom w:w="60" w:type="dxa"/>
              <w:right w:w="120" w:type="dxa"/>
            </w:tcMar>
            <w:vAlign w:val="center"/>
          </w:tcPr>
          <w:p w14:paraId="129A087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厚度</w:t>
            </w:r>
            <w:r w:rsidRPr="00E67914">
              <w:rPr>
                <w:rFonts w:ascii="Times New Roman" w:hAnsi="Times New Roman"/>
                <w:sz w:val="21"/>
                <w:szCs w:val="21"/>
              </w:rPr>
              <w:t>(m)</w:t>
            </w:r>
          </w:p>
        </w:tc>
        <w:tc>
          <w:tcPr>
            <w:tcW w:w="2349" w:type="pct"/>
            <w:tcMar>
              <w:top w:w="60" w:type="dxa"/>
              <w:left w:w="120" w:type="dxa"/>
              <w:bottom w:w="60" w:type="dxa"/>
              <w:right w:w="120" w:type="dxa"/>
            </w:tcMar>
            <w:vAlign w:val="center"/>
          </w:tcPr>
          <w:p w14:paraId="3A433331"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岩性描述</w:t>
            </w:r>
          </w:p>
        </w:tc>
        <w:tc>
          <w:tcPr>
            <w:tcW w:w="499" w:type="pct"/>
            <w:tcMar>
              <w:top w:w="60" w:type="dxa"/>
              <w:left w:w="120" w:type="dxa"/>
              <w:bottom w:w="60" w:type="dxa"/>
              <w:right w:w="120" w:type="dxa"/>
            </w:tcMar>
            <w:vAlign w:val="center"/>
          </w:tcPr>
          <w:p w14:paraId="3F0FAB9A"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岩相特征</w:t>
            </w:r>
          </w:p>
        </w:tc>
      </w:tr>
      <w:tr w:rsidR="00E67914" w:rsidRPr="00E67914" w14:paraId="2637E5F8" w14:textId="77777777">
        <w:trPr>
          <w:trHeight w:val="304"/>
          <w:jc w:val="center"/>
        </w:trPr>
        <w:tc>
          <w:tcPr>
            <w:tcW w:w="220" w:type="pct"/>
            <w:vMerge w:val="restart"/>
            <w:tcMar>
              <w:top w:w="60" w:type="dxa"/>
              <w:left w:w="120" w:type="dxa"/>
              <w:bottom w:w="60" w:type="dxa"/>
              <w:right w:w="120" w:type="dxa"/>
            </w:tcMar>
            <w:vAlign w:val="center"/>
          </w:tcPr>
          <w:p w14:paraId="76FDA0A9"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中</w:t>
            </w:r>
          </w:p>
          <w:p w14:paraId="7B09738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生</w:t>
            </w:r>
          </w:p>
          <w:p w14:paraId="34A1A689"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界</w:t>
            </w:r>
          </w:p>
        </w:tc>
        <w:tc>
          <w:tcPr>
            <w:tcW w:w="220" w:type="pct"/>
            <w:vMerge w:val="restart"/>
            <w:tcMar>
              <w:top w:w="60" w:type="dxa"/>
              <w:left w:w="120" w:type="dxa"/>
              <w:bottom w:w="60" w:type="dxa"/>
              <w:right w:w="120" w:type="dxa"/>
            </w:tcMar>
            <w:vAlign w:val="center"/>
          </w:tcPr>
          <w:p w14:paraId="387E9AEE"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侏</w:t>
            </w:r>
          </w:p>
          <w:p w14:paraId="6C0A6909"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罗</w:t>
            </w:r>
          </w:p>
          <w:p w14:paraId="666C7088"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系</w:t>
            </w:r>
          </w:p>
        </w:tc>
        <w:tc>
          <w:tcPr>
            <w:tcW w:w="220" w:type="pct"/>
            <w:vMerge w:val="restart"/>
            <w:tcMar>
              <w:top w:w="60" w:type="dxa"/>
              <w:left w:w="120" w:type="dxa"/>
              <w:bottom w:w="60" w:type="dxa"/>
              <w:right w:w="120" w:type="dxa"/>
            </w:tcMar>
            <w:vAlign w:val="center"/>
          </w:tcPr>
          <w:p w14:paraId="692611C2"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上</w:t>
            </w:r>
          </w:p>
          <w:p w14:paraId="74841F1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统</w:t>
            </w:r>
          </w:p>
        </w:tc>
        <w:tc>
          <w:tcPr>
            <w:tcW w:w="447" w:type="pct"/>
            <w:tcMar>
              <w:top w:w="60" w:type="dxa"/>
              <w:left w:w="120" w:type="dxa"/>
              <w:bottom w:w="60" w:type="dxa"/>
              <w:right w:w="120" w:type="dxa"/>
            </w:tcMar>
            <w:vAlign w:val="center"/>
          </w:tcPr>
          <w:p w14:paraId="0BA9602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蓬莱</w:t>
            </w:r>
          </w:p>
          <w:p w14:paraId="7BDA1420"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镇组</w:t>
            </w:r>
          </w:p>
        </w:tc>
        <w:tc>
          <w:tcPr>
            <w:tcW w:w="226" w:type="pct"/>
            <w:tcMar>
              <w:top w:w="60" w:type="dxa"/>
              <w:left w:w="120" w:type="dxa"/>
              <w:bottom w:w="60" w:type="dxa"/>
              <w:right w:w="120" w:type="dxa"/>
            </w:tcMar>
            <w:vAlign w:val="center"/>
          </w:tcPr>
          <w:p w14:paraId="784301AA" w14:textId="77777777" w:rsidR="00A54A8A" w:rsidRPr="00E67914" w:rsidRDefault="00A54A8A">
            <w:pPr>
              <w:jc w:val="center"/>
              <w:rPr>
                <w:rFonts w:ascii="Times New Roman" w:hAnsi="Times New Roman"/>
                <w:sz w:val="21"/>
                <w:szCs w:val="21"/>
              </w:rPr>
            </w:pPr>
          </w:p>
        </w:tc>
        <w:tc>
          <w:tcPr>
            <w:tcW w:w="304" w:type="pct"/>
            <w:tcMar>
              <w:top w:w="60" w:type="dxa"/>
              <w:left w:w="120" w:type="dxa"/>
              <w:bottom w:w="60" w:type="dxa"/>
              <w:right w:w="120" w:type="dxa"/>
            </w:tcMar>
            <w:vAlign w:val="center"/>
          </w:tcPr>
          <w:p w14:paraId="3DA3C248"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J</w:t>
            </w:r>
            <w:r w:rsidRPr="00E67914">
              <w:rPr>
                <w:rFonts w:ascii="Times New Roman" w:hAnsi="Times New Roman"/>
                <w:sz w:val="21"/>
                <w:szCs w:val="21"/>
                <w:vertAlign w:val="subscript"/>
              </w:rPr>
              <w:t>3</w:t>
            </w:r>
            <w:r w:rsidRPr="00E67914">
              <w:rPr>
                <w:rFonts w:ascii="Times New Roman" w:hAnsi="Times New Roman"/>
                <w:sz w:val="21"/>
                <w:szCs w:val="21"/>
              </w:rPr>
              <w:t>p</w:t>
            </w:r>
          </w:p>
        </w:tc>
        <w:tc>
          <w:tcPr>
            <w:tcW w:w="514" w:type="pct"/>
            <w:tcMar>
              <w:top w:w="60" w:type="dxa"/>
              <w:left w:w="120" w:type="dxa"/>
              <w:bottom w:w="60" w:type="dxa"/>
              <w:right w:w="120" w:type="dxa"/>
            </w:tcMar>
            <w:vAlign w:val="center"/>
          </w:tcPr>
          <w:p w14:paraId="4E6110CF"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0-1000</w:t>
            </w:r>
          </w:p>
        </w:tc>
        <w:tc>
          <w:tcPr>
            <w:tcW w:w="2349" w:type="pct"/>
            <w:tcMar>
              <w:top w:w="60" w:type="dxa"/>
              <w:left w:w="120" w:type="dxa"/>
              <w:bottom w:w="60" w:type="dxa"/>
              <w:right w:w="120" w:type="dxa"/>
            </w:tcMar>
            <w:vAlign w:val="center"/>
          </w:tcPr>
          <w:p w14:paraId="7CCEA811" w14:textId="77777777" w:rsidR="00A54A8A" w:rsidRPr="00E67914" w:rsidRDefault="00000000">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棕灰、棕红色泥岩与棕灰、紫色长石岩屑砂岩。</w:t>
            </w:r>
          </w:p>
        </w:tc>
        <w:tc>
          <w:tcPr>
            <w:tcW w:w="499" w:type="pct"/>
            <w:tcMar>
              <w:top w:w="60" w:type="dxa"/>
              <w:left w:w="120" w:type="dxa"/>
              <w:bottom w:w="60" w:type="dxa"/>
              <w:right w:w="120" w:type="dxa"/>
            </w:tcMar>
            <w:vAlign w:val="center"/>
          </w:tcPr>
          <w:p w14:paraId="1F129056"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浅湖、河流相</w:t>
            </w:r>
          </w:p>
        </w:tc>
      </w:tr>
      <w:tr w:rsidR="00E67914" w:rsidRPr="00E67914" w14:paraId="0ACC23DA" w14:textId="77777777">
        <w:trPr>
          <w:trHeight w:val="298"/>
          <w:jc w:val="center"/>
        </w:trPr>
        <w:tc>
          <w:tcPr>
            <w:tcW w:w="220" w:type="pct"/>
            <w:vMerge/>
            <w:vAlign w:val="center"/>
          </w:tcPr>
          <w:p w14:paraId="497E33CF" w14:textId="77777777" w:rsidR="00A54A8A" w:rsidRPr="00E67914" w:rsidRDefault="00A54A8A">
            <w:pPr>
              <w:jc w:val="center"/>
              <w:rPr>
                <w:rFonts w:ascii="Times New Roman" w:hAnsi="Times New Roman"/>
                <w:sz w:val="21"/>
                <w:szCs w:val="21"/>
              </w:rPr>
            </w:pPr>
          </w:p>
        </w:tc>
        <w:tc>
          <w:tcPr>
            <w:tcW w:w="220" w:type="pct"/>
            <w:vMerge/>
            <w:vAlign w:val="center"/>
          </w:tcPr>
          <w:p w14:paraId="09966871" w14:textId="77777777" w:rsidR="00A54A8A" w:rsidRPr="00E67914" w:rsidRDefault="00A54A8A">
            <w:pPr>
              <w:jc w:val="center"/>
              <w:rPr>
                <w:rFonts w:ascii="Times New Roman" w:hAnsi="Times New Roman"/>
                <w:sz w:val="21"/>
                <w:szCs w:val="21"/>
              </w:rPr>
            </w:pPr>
          </w:p>
        </w:tc>
        <w:tc>
          <w:tcPr>
            <w:tcW w:w="220" w:type="pct"/>
            <w:vMerge/>
            <w:vAlign w:val="center"/>
          </w:tcPr>
          <w:p w14:paraId="6A315B2A" w14:textId="77777777" w:rsidR="00A54A8A" w:rsidRPr="00E67914" w:rsidRDefault="00A54A8A">
            <w:pPr>
              <w:jc w:val="center"/>
              <w:rPr>
                <w:rFonts w:ascii="Times New Roman" w:hAnsi="Times New Roman"/>
                <w:sz w:val="21"/>
                <w:szCs w:val="21"/>
              </w:rPr>
            </w:pPr>
          </w:p>
        </w:tc>
        <w:tc>
          <w:tcPr>
            <w:tcW w:w="447" w:type="pct"/>
            <w:tcMar>
              <w:top w:w="60" w:type="dxa"/>
              <w:left w:w="120" w:type="dxa"/>
              <w:bottom w:w="60" w:type="dxa"/>
              <w:right w:w="120" w:type="dxa"/>
            </w:tcMar>
            <w:vAlign w:val="center"/>
          </w:tcPr>
          <w:p w14:paraId="0283493B"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遂宁组</w:t>
            </w:r>
          </w:p>
        </w:tc>
        <w:tc>
          <w:tcPr>
            <w:tcW w:w="226" w:type="pct"/>
            <w:tcMar>
              <w:top w:w="60" w:type="dxa"/>
              <w:left w:w="120" w:type="dxa"/>
              <w:bottom w:w="60" w:type="dxa"/>
              <w:right w:w="120" w:type="dxa"/>
            </w:tcMar>
            <w:vAlign w:val="center"/>
          </w:tcPr>
          <w:p w14:paraId="019D104A" w14:textId="77777777" w:rsidR="00A54A8A" w:rsidRPr="00E67914" w:rsidRDefault="00A54A8A">
            <w:pPr>
              <w:jc w:val="center"/>
              <w:rPr>
                <w:rFonts w:ascii="Times New Roman" w:hAnsi="Times New Roman"/>
                <w:sz w:val="21"/>
                <w:szCs w:val="21"/>
              </w:rPr>
            </w:pPr>
          </w:p>
        </w:tc>
        <w:tc>
          <w:tcPr>
            <w:tcW w:w="304" w:type="pct"/>
            <w:tcMar>
              <w:top w:w="60" w:type="dxa"/>
              <w:left w:w="120" w:type="dxa"/>
              <w:bottom w:w="60" w:type="dxa"/>
              <w:right w:w="120" w:type="dxa"/>
            </w:tcMar>
            <w:vAlign w:val="center"/>
          </w:tcPr>
          <w:p w14:paraId="01868EAD"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J</w:t>
            </w:r>
            <w:r w:rsidRPr="00E67914">
              <w:rPr>
                <w:rFonts w:ascii="Times New Roman" w:hAnsi="Times New Roman"/>
                <w:sz w:val="21"/>
                <w:szCs w:val="21"/>
                <w:vertAlign w:val="subscript"/>
              </w:rPr>
              <w:t>3</w:t>
            </w:r>
            <w:r w:rsidRPr="00E67914">
              <w:rPr>
                <w:rFonts w:ascii="Times New Roman" w:hAnsi="Times New Roman"/>
                <w:sz w:val="21"/>
                <w:szCs w:val="21"/>
              </w:rPr>
              <w:t>sn</w:t>
            </w:r>
          </w:p>
        </w:tc>
        <w:tc>
          <w:tcPr>
            <w:tcW w:w="514" w:type="pct"/>
            <w:tcMar>
              <w:top w:w="60" w:type="dxa"/>
              <w:left w:w="120" w:type="dxa"/>
              <w:bottom w:w="60" w:type="dxa"/>
              <w:right w:w="120" w:type="dxa"/>
            </w:tcMar>
            <w:vAlign w:val="center"/>
          </w:tcPr>
          <w:p w14:paraId="221C384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0-420</w:t>
            </w:r>
          </w:p>
        </w:tc>
        <w:tc>
          <w:tcPr>
            <w:tcW w:w="2349" w:type="pct"/>
            <w:tcMar>
              <w:top w:w="60" w:type="dxa"/>
              <w:left w:w="120" w:type="dxa"/>
              <w:bottom w:w="60" w:type="dxa"/>
              <w:right w:w="120" w:type="dxa"/>
            </w:tcMar>
            <w:vAlign w:val="center"/>
          </w:tcPr>
          <w:p w14:paraId="2FA762F9" w14:textId="77777777" w:rsidR="00A54A8A" w:rsidRPr="00E67914" w:rsidRDefault="00000000">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棕红色泥岩夹细粒岩屑砂岩。</w:t>
            </w:r>
          </w:p>
        </w:tc>
        <w:tc>
          <w:tcPr>
            <w:tcW w:w="499" w:type="pct"/>
            <w:tcMar>
              <w:top w:w="60" w:type="dxa"/>
              <w:left w:w="120" w:type="dxa"/>
              <w:bottom w:w="60" w:type="dxa"/>
              <w:right w:w="120" w:type="dxa"/>
            </w:tcMar>
            <w:vAlign w:val="center"/>
          </w:tcPr>
          <w:p w14:paraId="438CC771"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滨浅湖</w:t>
            </w:r>
          </w:p>
        </w:tc>
      </w:tr>
      <w:tr w:rsidR="00E67914" w:rsidRPr="00E67914" w14:paraId="72D131DC" w14:textId="77777777">
        <w:trPr>
          <w:trHeight w:val="408"/>
          <w:jc w:val="center"/>
        </w:trPr>
        <w:tc>
          <w:tcPr>
            <w:tcW w:w="220" w:type="pct"/>
            <w:vMerge/>
            <w:vAlign w:val="center"/>
          </w:tcPr>
          <w:p w14:paraId="548827F4" w14:textId="77777777" w:rsidR="00A54A8A" w:rsidRPr="00E67914" w:rsidRDefault="00A54A8A">
            <w:pPr>
              <w:jc w:val="center"/>
              <w:rPr>
                <w:rFonts w:ascii="Times New Roman" w:hAnsi="Times New Roman"/>
                <w:sz w:val="21"/>
                <w:szCs w:val="21"/>
              </w:rPr>
            </w:pPr>
          </w:p>
        </w:tc>
        <w:tc>
          <w:tcPr>
            <w:tcW w:w="220" w:type="pct"/>
            <w:vMerge/>
            <w:vAlign w:val="center"/>
          </w:tcPr>
          <w:p w14:paraId="0671999B" w14:textId="77777777" w:rsidR="00A54A8A" w:rsidRPr="00E67914" w:rsidRDefault="00A54A8A">
            <w:pPr>
              <w:jc w:val="center"/>
              <w:rPr>
                <w:rFonts w:ascii="Times New Roman" w:hAnsi="Times New Roman"/>
                <w:sz w:val="21"/>
                <w:szCs w:val="21"/>
              </w:rPr>
            </w:pPr>
          </w:p>
        </w:tc>
        <w:tc>
          <w:tcPr>
            <w:tcW w:w="220" w:type="pct"/>
            <w:vMerge w:val="restart"/>
            <w:shd w:val="clear" w:color="auto" w:fill="auto"/>
            <w:tcMar>
              <w:top w:w="60" w:type="dxa"/>
              <w:left w:w="120" w:type="dxa"/>
              <w:bottom w:w="60" w:type="dxa"/>
              <w:right w:w="120" w:type="dxa"/>
            </w:tcMar>
            <w:vAlign w:val="center"/>
          </w:tcPr>
          <w:p w14:paraId="4F1E7A3E"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中</w:t>
            </w:r>
          </w:p>
          <w:p w14:paraId="5F44796F"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统</w:t>
            </w:r>
          </w:p>
        </w:tc>
        <w:tc>
          <w:tcPr>
            <w:tcW w:w="447" w:type="pct"/>
            <w:shd w:val="clear" w:color="auto" w:fill="auto"/>
            <w:tcMar>
              <w:top w:w="60" w:type="dxa"/>
              <w:left w:w="120" w:type="dxa"/>
              <w:bottom w:w="60" w:type="dxa"/>
              <w:right w:w="120" w:type="dxa"/>
            </w:tcMar>
            <w:vAlign w:val="center"/>
          </w:tcPr>
          <w:p w14:paraId="60F37A27"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上沙溪庙组</w:t>
            </w:r>
          </w:p>
        </w:tc>
        <w:tc>
          <w:tcPr>
            <w:tcW w:w="226" w:type="pct"/>
            <w:shd w:val="clear" w:color="auto" w:fill="auto"/>
            <w:tcMar>
              <w:top w:w="60" w:type="dxa"/>
              <w:left w:w="120" w:type="dxa"/>
              <w:bottom w:w="60" w:type="dxa"/>
              <w:right w:w="120" w:type="dxa"/>
            </w:tcMar>
            <w:vAlign w:val="center"/>
          </w:tcPr>
          <w:p w14:paraId="77A21A68" w14:textId="77777777" w:rsidR="00A54A8A" w:rsidRPr="00E67914" w:rsidRDefault="00A54A8A">
            <w:pPr>
              <w:jc w:val="center"/>
              <w:rPr>
                <w:rFonts w:ascii="Times New Roman" w:hAnsi="Times New Roman"/>
                <w:sz w:val="21"/>
                <w:szCs w:val="21"/>
              </w:rPr>
            </w:pPr>
          </w:p>
        </w:tc>
        <w:tc>
          <w:tcPr>
            <w:tcW w:w="304" w:type="pct"/>
            <w:shd w:val="clear" w:color="auto" w:fill="auto"/>
            <w:tcMar>
              <w:top w:w="60" w:type="dxa"/>
              <w:left w:w="120" w:type="dxa"/>
              <w:bottom w:w="60" w:type="dxa"/>
              <w:right w:w="120" w:type="dxa"/>
            </w:tcMar>
            <w:vAlign w:val="center"/>
          </w:tcPr>
          <w:p w14:paraId="20DC0BBB"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J</w:t>
            </w:r>
            <w:r w:rsidRPr="00E67914">
              <w:rPr>
                <w:rFonts w:ascii="Times New Roman" w:hAnsi="Times New Roman"/>
                <w:sz w:val="21"/>
                <w:szCs w:val="21"/>
                <w:vertAlign w:val="subscript"/>
              </w:rPr>
              <w:t>2</w:t>
            </w:r>
            <w:r w:rsidRPr="00E67914">
              <w:rPr>
                <w:rFonts w:ascii="Times New Roman" w:hAnsi="Times New Roman"/>
                <w:sz w:val="21"/>
                <w:szCs w:val="21"/>
              </w:rPr>
              <w:t>s</w:t>
            </w:r>
            <w:r w:rsidRPr="00E67914">
              <w:rPr>
                <w:rFonts w:ascii="Times New Roman" w:hAnsi="Times New Roman"/>
                <w:sz w:val="21"/>
                <w:szCs w:val="21"/>
                <w:vertAlign w:val="superscript"/>
              </w:rPr>
              <w:t>2</w:t>
            </w:r>
          </w:p>
        </w:tc>
        <w:tc>
          <w:tcPr>
            <w:tcW w:w="514" w:type="pct"/>
            <w:shd w:val="clear" w:color="auto" w:fill="auto"/>
            <w:tcMar>
              <w:top w:w="60" w:type="dxa"/>
              <w:left w:w="120" w:type="dxa"/>
              <w:bottom w:w="60" w:type="dxa"/>
              <w:right w:w="120" w:type="dxa"/>
            </w:tcMar>
            <w:vAlign w:val="center"/>
          </w:tcPr>
          <w:p w14:paraId="34BAD9D4"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1074-2273</w:t>
            </w:r>
          </w:p>
        </w:tc>
        <w:tc>
          <w:tcPr>
            <w:tcW w:w="2349" w:type="pct"/>
            <w:shd w:val="clear" w:color="auto" w:fill="auto"/>
            <w:tcMar>
              <w:top w:w="60" w:type="dxa"/>
              <w:left w:w="120" w:type="dxa"/>
              <w:bottom w:w="60" w:type="dxa"/>
              <w:right w:w="120" w:type="dxa"/>
            </w:tcMar>
            <w:vAlign w:val="center"/>
          </w:tcPr>
          <w:p w14:paraId="7F436C22" w14:textId="77777777" w:rsidR="00A54A8A" w:rsidRPr="00E67914" w:rsidRDefault="00000000">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棕紫色泥岩与灰绿色岩屑长石石英中、细砂岩互层，含钙质团块。</w:t>
            </w:r>
          </w:p>
        </w:tc>
        <w:tc>
          <w:tcPr>
            <w:tcW w:w="499" w:type="pct"/>
            <w:shd w:val="clear" w:color="auto" w:fill="auto"/>
            <w:tcMar>
              <w:top w:w="60" w:type="dxa"/>
              <w:left w:w="120" w:type="dxa"/>
              <w:bottom w:w="60" w:type="dxa"/>
              <w:right w:w="120" w:type="dxa"/>
            </w:tcMar>
            <w:vAlign w:val="center"/>
          </w:tcPr>
          <w:p w14:paraId="5898578D"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浅湖、</w:t>
            </w:r>
          </w:p>
          <w:p w14:paraId="67639828"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河流相</w:t>
            </w:r>
          </w:p>
        </w:tc>
      </w:tr>
      <w:tr w:rsidR="00E67914" w:rsidRPr="00E67914" w14:paraId="11ADD761" w14:textId="77777777">
        <w:trPr>
          <w:trHeight w:val="550"/>
          <w:jc w:val="center"/>
        </w:trPr>
        <w:tc>
          <w:tcPr>
            <w:tcW w:w="220" w:type="pct"/>
            <w:vMerge/>
            <w:vAlign w:val="center"/>
          </w:tcPr>
          <w:p w14:paraId="5E72C460" w14:textId="77777777" w:rsidR="00A54A8A" w:rsidRPr="00E67914" w:rsidRDefault="00A54A8A">
            <w:pPr>
              <w:jc w:val="center"/>
              <w:rPr>
                <w:rFonts w:ascii="Times New Roman" w:hAnsi="Times New Roman"/>
                <w:sz w:val="21"/>
                <w:szCs w:val="21"/>
              </w:rPr>
            </w:pPr>
          </w:p>
        </w:tc>
        <w:tc>
          <w:tcPr>
            <w:tcW w:w="220" w:type="pct"/>
            <w:vMerge/>
            <w:vAlign w:val="center"/>
          </w:tcPr>
          <w:p w14:paraId="73E46FAA" w14:textId="77777777" w:rsidR="00A54A8A" w:rsidRPr="00E67914" w:rsidRDefault="00A54A8A">
            <w:pPr>
              <w:jc w:val="center"/>
              <w:rPr>
                <w:rFonts w:ascii="Times New Roman" w:hAnsi="Times New Roman"/>
                <w:sz w:val="21"/>
                <w:szCs w:val="21"/>
              </w:rPr>
            </w:pPr>
          </w:p>
        </w:tc>
        <w:tc>
          <w:tcPr>
            <w:tcW w:w="220" w:type="pct"/>
            <w:vMerge/>
            <w:shd w:val="clear" w:color="auto" w:fill="auto"/>
            <w:vAlign w:val="center"/>
          </w:tcPr>
          <w:p w14:paraId="1D9CAFF7" w14:textId="77777777" w:rsidR="00A54A8A" w:rsidRPr="00E67914" w:rsidRDefault="00A54A8A">
            <w:pPr>
              <w:jc w:val="center"/>
              <w:rPr>
                <w:rFonts w:ascii="Times New Roman" w:hAnsi="Times New Roman"/>
                <w:sz w:val="21"/>
                <w:szCs w:val="21"/>
              </w:rPr>
            </w:pPr>
          </w:p>
        </w:tc>
        <w:tc>
          <w:tcPr>
            <w:tcW w:w="447" w:type="pct"/>
            <w:shd w:val="clear" w:color="auto" w:fill="auto"/>
            <w:tcMar>
              <w:top w:w="60" w:type="dxa"/>
              <w:left w:w="120" w:type="dxa"/>
              <w:bottom w:w="60" w:type="dxa"/>
              <w:right w:w="120" w:type="dxa"/>
            </w:tcMar>
            <w:vAlign w:val="center"/>
          </w:tcPr>
          <w:p w14:paraId="1F175D17"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下沙溪庙组</w:t>
            </w:r>
          </w:p>
        </w:tc>
        <w:tc>
          <w:tcPr>
            <w:tcW w:w="226" w:type="pct"/>
            <w:shd w:val="clear" w:color="auto" w:fill="auto"/>
            <w:tcMar>
              <w:top w:w="60" w:type="dxa"/>
              <w:left w:w="120" w:type="dxa"/>
              <w:bottom w:w="60" w:type="dxa"/>
              <w:right w:w="120" w:type="dxa"/>
            </w:tcMar>
            <w:vAlign w:val="center"/>
          </w:tcPr>
          <w:p w14:paraId="5E5B0456" w14:textId="77777777" w:rsidR="00A54A8A" w:rsidRPr="00E67914" w:rsidRDefault="00A54A8A">
            <w:pPr>
              <w:jc w:val="center"/>
              <w:rPr>
                <w:rFonts w:ascii="Times New Roman" w:hAnsi="Times New Roman"/>
                <w:sz w:val="21"/>
                <w:szCs w:val="21"/>
              </w:rPr>
            </w:pPr>
          </w:p>
        </w:tc>
        <w:tc>
          <w:tcPr>
            <w:tcW w:w="304" w:type="pct"/>
            <w:shd w:val="clear" w:color="auto" w:fill="auto"/>
            <w:tcMar>
              <w:top w:w="60" w:type="dxa"/>
              <w:left w:w="120" w:type="dxa"/>
              <w:bottom w:w="60" w:type="dxa"/>
              <w:right w:w="120" w:type="dxa"/>
            </w:tcMar>
            <w:vAlign w:val="center"/>
          </w:tcPr>
          <w:p w14:paraId="64C22DEF"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J</w:t>
            </w:r>
            <w:r w:rsidRPr="00E67914">
              <w:rPr>
                <w:rFonts w:ascii="Times New Roman" w:hAnsi="Times New Roman"/>
                <w:sz w:val="21"/>
                <w:szCs w:val="21"/>
                <w:vertAlign w:val="subscript"/>
              </w:rPr>
              <w:t>2</w:t>
            </w:r>
            <w:r w:rsidRPr="00E67914">
              <w:rPr>
                <w:rFonts w:ascii="Times New Roman" w:hAnsi="Times New Roman"/>
                <w:sz w:val="21"/>
                <w:szCs w:val="21"/>
              </w:rPr>
              <w:t>s</w:t>
            </w:r>
            <w:r w:rsidRPr="00E67914">
              <w:rPr>
                <w:rFonts w:ascii="Times New Roman" w:hAnsi="Times New Roman"/>
                <w:sz w:val="21"/>
                <w:szCs w:val="21"/>
                <w:vertAlign w:val="superscript"/>
              </w:rPr>
              <w:t>1</w:t>
            </w:r>
          </w:p>
        </w:tc>
        <w:tc>
          <w:tcPr>
            <w:tcW w:w="514" w:type="pct"/>
            <w:shd w:val="clear" w:color="auto" w:fill="auto"/>
            <w:tcMar>
              <w:top w:w="60" w:type="dxa"/>
              <w:left w:w="120" w:type="dxa"/>
              <w:bottom w:w="60" w:type="dxa"/>
              <w:right w:w="120" w:type="dxa"/>
            </w:tcMar>
            <w:vAlign w:val="center"/>
          </w:tcPr>
          <w:p w14:paraId="086909BC"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327-530</w:t>
            </w:r>
          </w:p>
        </w:tc>
        <w:tc>
          <w:tcPr>
            <w:tcW w:w="2349" w:type="pct"/>
            <w:shd w:val="clear" w:color="auto" w:fill="auto"/>
            <w:tcMar>
              <w:top w:w="60" w:type="dxa"/>
              <w:left w:w="120" w:type="dxa"/>
              <w:bottom w:w="60" w:type="dxa"/>
              <w:right w:w="120" w:type="dxa"/>
            </w:tcMar>
            <w:vAlign w:val="center"/>
          </w:tcPr>
          <w:p w14:paraId="40A737F4" w14:textId="77777777" w:rsidR="00A54A8A" w:rsidRPr="00E67914" w:rsidRDefault="00000000">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棕紫色泥岩与细粒长石岩屑砂岩不等厚互层，顶有黑色页岩，底部发育厚层砂岩。</w:t>
            </w:r>
          </w:p>
        </w:tc>
        <w:tc>
          <w:tcPr>
            <w:tcW w:w="499" w:type="pct"/>
            <w:shd w:val="clear" w:color="auto" w:fill="auto"/>
            <w:tcMar>
              <w:top w:w="60" w:type="dxa"/>
              <w:left w:w="120" w:type="dxa"/>
              <w:bottom w:w="60" w:type="dxa"/>
              <w:right w:w="120" w:type="dxa"/>
            </w:tcMar>
            <w:vAlign w:val="center"/>
          </w:tcPr>
          <w:p w14:paraId="6A1A707E"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湖泊、</w:t>
            </w:r>
          </w:p>
          <w:p w14:paraId="135A7E59"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河流相</w:t>
            </w:r>
          </w:p>
        </w:tc>
      </w:tr>
      <w:tr w:rsidR="00E67914" w:rsidRPr="00E67914" w14:paraId="66033F72" w14:textId="77777777">
        <w:trPr>
          <w:trHeight w:val="857"/>
          <w:jc w:val="center"/>
        </w:trPr>
        <w:tc>
          <w:tcPr>
            <w:tcW w:w="220" w:type="pct"/>
            <w:vMerge/>
            <w:vAlign w:val="center"/>
          </w:tcPr>
          <w:p w14:paraId="552C5CCF" w14:textId="77777777" w:rsidR="00A54A8A" w:rsidRPr="00E67914" w:rsidRDefault="00A54A8A">
            <w:pPr>
              <w:jc w:val="center"/>
              <w:rPr>
                <w:rFonts w:ascii="Times New Roman" w:hAnsi="Times New Roman"/>
                <w:sz w:val="21"/>
                <w:szCs w:val="21"/>
              </w:rPr>
            </w:pPr>
          </w:p>
        </w:tc>
        <w:tc>
          <w:tcPr>
            <w:tcW w:w="220" w:type="pct"/>
            <w:vMerge/>
            <w:vAlign w:val="center"/>
          </w:tcPr>
          <w:p w14:paraId="21F1505C" w14:textId="77777777" w:rsidR="00A54A8A" w:rsidRPr="00E67914" w:rsidRDefault="00A54A8A">
            <w:pPr>
              <w:jc w:val="center"/>
              <w:rPr>
                <w:rFonts w:ascii="Times New Roman" w:hAnsi="Times New Roman"/>
                <w:sz w:val="21"/>
                <w:szCs w:val="21"/>
              </w:rPr>
            </w:pPr>
          </w:p>
        </w:tc>
        <w:tc>
          <w:tcPr>
            <w:tcW w:w="220" w:type="pct"/>
            <w:vMerge/>
            <w:shd w:val="clear" w:color="auto" w:fill="auto"/>
            <w:vAlign w:val="center"/>
          </w:tcPr>
          <w:p w14:paraId="41A4A71F" w14:textId="77777777" w:rsidR="00A54A8A" w:rsidRPr="00E67914" w:rsidRDefault="00A54A8A">
            <w:pPr>
              <w:jc w:val="center"/>
              <w:rPr>
                <w:rFonts w:ascii="Times New Roman" w:hAnsi="Times New Roman"/>
                <w:sz w:val="21"/>
                <w:szCs w:val="21"/>
              </w:rPr>
            </w:pPr>
          </w:p>
        </w:tc>
        <w:tc>
          <w:tcPr>
            <w:tcW w:w="447" w:type="pct"/>
            <w:shd w:val="clear" w:color="auto" w:fill="auto"/>
            <w:tcMar>
              <w:top w:w="60" w:type="dxa"/>
              <w:left w:w="120" w:type="dxa"/>
              <w:bottom w:w="60" w:type="dxa"/>
              <w:right w:w="120" w:type="dxa"/>
            </w:tcMar>
            <w:vAlign w:val="center"/>
          </w:tcPr>
          <w:p w14:paraId="64AC37F6"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千佛</w:t>
            </w:r>
          </w:p>
          <w:p w14:paraId="3DEBC131"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崖组</w:t>
            </w:r>
          </w:p>
        </w:tc>
        <w:tc>
          <w:tcPr>
            <w:tcW w:w="226" w:type="pct"/>
            <w:shd w:val="clear" w:color="auto" w:fill="auto"/>
            <w:tcMar>
              <w:top w:w="60" w:type="dxa"/>
              <w:left w:w="120" w:type="dxa"/>
              <w:bottom w:w="60" w:type="dxa"/>
              <w:right w:w="120" w:type="dxa"/>
            </w:tcMar>
            <w:vAlign w:val="center"/>
          </w:tcPr>
          <w:p w14:paraId="185F5310" w14:textId="77777777" w:rsidR="00A54A8A" w:rsidRPr="00E67914" w:rsidRDefault="00A54A8A">
            <w:pPr>
              <w:jc w:val="center"/>
              <w:rPr>
                <w:rFonts w:ascii="Times New Roman" w:hAnsi="Times New Roman"/>
                <w:sz w:val="21"/>
                <w:szCs w:val="21"/>
              </w:rPr>
            </w:pPr>
          </w:p>
        </w:tc>
        <w:tc>
          <w:tcPr>
            <w:tcW w:w="304" w:type="pct"/>
            <w:shd w:val="clear" w:color="auto" w:fill="auto"/>
            <w:tcMar>
              <w:top w:w="60" w:type="dxa"/>
              <w:left w:w="120" w:type="dxa"/>
              <w:bottom w:w="60" w:type="dxa"/>
              <w:right w:w="120" w:type="dxa"/>
            </w:tcMar>
            <w:vAlign w:val="center"/>
          </w:tcPr>
          <w:p w14:paraId="1C02539F"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J</w:t>
            </w:r>
            <w:r w:rsidRPr="00E67914">
              <w:rPr>
                <w:rFonts w:ascii="Times New Roman" w:hAnsi="Times New Roman"/>
                <w:sz w:val="21"/>
                <w:szCs w:val="21"/>
                <w:vertAlign w:val="subscript"/>
              </w:rPr>
              <w:t>2</w:t>
            </w:r>
            <w:r w:rsidRPr="00E67914">
              <w:rPr>
                <w:rFonts w:ascii="Times New Roman" w:hAnsi="Times New Roman"/>
                <w:sz w:val="21"/>
                <w:szCs w:val="21"/>
              </w:rPr>
              <w:t>q</w:t>
            </w:r>
          </w:p>
        </w:tc>
        <w:tc>
          <w:tcPr>
            <w:tcW w:w="514" w:type="pct"/>
            <w:shd w:val="clear" w:color="auto" w:fill="auto"/>
            <w:tcMar>
              <w:top w:w="60" w:type="dxa"/>
              <w:left w:w="120" w:type="dxa"/>
              <w:bottom w:w="60" w:type="dxa"/>
              <w:right w:w="120" w:type="dxa"/>
            </w:tcMar>
            <w:vAlign w:val="center"/>
          </w:tcPr>
          <w:p w14:paraId="204EC731"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430-600</w:t>
            </w:r>
          </w:p>
        </w:tc>
        <w:tc>
          <w:tcPr>
            <w:tcW w:w="2349" w:type="pct"/>
            <w:shd w:val="clear" w:color="auto" w:fill="auto"/>
            <w:tcMar>
              <w:top w:w="60" w:type="dxa"/>
              <w:left w:w="120" w:type="dxa"/>
              <w:bottom w:w="60" w:type="dxa"/>
              <w:right w:w="120" w:type="dxa"/>
            </w:tcMar>
            <w:vAlign w:val="center"/>
          </w:tcPr>
          <w:p w14:paraId="093C60C5" w14:textId="77777777" w:rsidR="00A54A8A" w:rsidRPr="00E67914" w:rsidRDefault="00000000">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底部发育薄层状灰绿色粉砂岩、紫红色泥岩；下部以深灰色</w:t>
            </w:r>
            <w:r w:rsidRPr="00E67914">
              <w:rPr>
                <w:rFonts w:ascii="Times New Roman" w:hAnsi="Times New Roman"/>
                <w:sz w:val="21"/>
                <w:szCs w:val="21"/>
                <w:lang w:eastAsia="zh-CN"/>
              </w:rPr>
              <w:t>-</w:t>
            </w:r>
            <w:r w:rsidRPr="00E67914">
              <w:rPr>
                <w:rFonts w:ascii="Times New Roman" w:hAnsi="Times New Roman"/>
                <w:sz w:val="21"/>
                <w:szCs w:val="21"/>
                <w:lang w:eastAsia="zh-CN"/>
              </w:rPr>
              <w:t>灰黑色泥页岩为主，夹灰色泥质粉砂岩、泥质粉砂岩；中部灰色泥岩与灰色粉砂岩、细砂岩呈不等厚互层，夹灰色粉砂质泥岩、泥质粉砂岩；上部为灰色、紫红色泥岩与灰色粉砂岩、细砂岩呈不等厚互层，夹灰色粉砂质泥岩。</w:t>
            </w:r>
          </w:p>
        </w:tc>
        <w:tc>
          <w:tcPr>
            <w:tcW w:w="499" w:type="pct"/>
            <w:shd w:val="clear" w:color="auto" w:fill="auto"/>
            <w:tcMar>
              <w:top w:w="60" w:type="dxa"/>
              <w:left w:w="120" w:type="dxa"/>
              <w:bottom w:w="60" w:type="dxa"/>
              <w:right w:w="120" w:type="dxa"/>
            </w:tcMar>
            <w:vAlign w:val="center"/>
          </w:tcPr>
          <w:p w14:paraId="6C59215B" w14:textId="77777777" w:rsidR="00A54A8A" w:rsidRPr="00E67914" w:rsidRDefault="00000000">
            <w:pPr>
              <w:ind w:left="-55"/>
              <w:jc w:val="center"/>
              <w:rPr>
                <w:rFonts w:ascii="Times New Roman" w:hAnsi="Times New Roman"/>
                <w:sz w:val="21"/>
                <w:szCs w:val="21"/>
                <w:lang w:eastAsia="zh-CN"/>
              </w:rPr>
            </w:pPr>
            <w:r w:rsidRPr="00E67914">
              <w:rPr>
                <w:rFonts w:ascii="Times New Roman" w:hAnsi="Times New Roman"/>
                <w:sz w:val="21"/>
                <w:szCs w:val="21"/>
                <w:lang w:eastAsia="zh-CN"/>
              </w:rPr>
              <w:t>浅湖、半深湖、</w:t>
            </w:r>
          </w:p>
          <w:p w14:paraId="32619E50" w14:textId="77777777" w:rsidR="00A54A8A" w:rsidRPr="00E67914" w:rsidRDefault="00000000">
            <w:pPr>
              <w:ind w:left="-55"/>
              <w:jc w:val="center"/>
              <w:rPr>
                <w:rFonts w:ascii="Times New Roman" w:hAnsi="Times New Roman"/>
                <w:sz w:val="21"/>
                <w:szCs w:val="21"/>
                <w:lang w:eastAsia="zh-CN"/>
              </w:rPr>
            </w:pPr>
            <w:r w:rsidRPr="00E67914">
              <w:rPr>
                <w:rFonts w:ascii="Times New Roman" w:hAnsi="Times New Roman"/>
                <w:sz w:val="21"/>
                <w:szCs w:val="21"/>
                <w:lang w:eastAsia="zh-CN"/>
              </w:rPr>
              <w:t>滨湖相</w:t>
            </w:r>
          </w:p>
        </w:tc>
      </w:tr>
      <w:tr w:rsidR="00E67914" w:rsidRPr="00E67914" w14:paraId="20DBECFE" w14:textId="77777777">
        <w:trPr>
          <w:trHeight w:val="888"/>
          <w:jc w:val="center"/>
        </w:trPr>
        <w:tc>
          <w:tcPr>
            <w:tcW w:w="220" w:type="pct"/>
            <w:vMerge/>
            <w:vAlign w:val="center"/>
          </w:tcPr>
          <w:p w14:paraId="25A5F732" w14:textId="77777777" w:rsidR="00A54A8A" w:rsidRPr="00E67914" w:rsidRDefault="00A54A8A">
            <w:pPr>
              <w:jc w:val="center"/>
              <w:rPr>
                <w:rFonts w:ascii="Times New Roman" w:hAnsi="Times New Roman"/>
                <w:sz w:val="21"/>
                <w:szCs w:val="21"/>
                <w:lang w:eastAsia="zh-CN"/>
              </w:rPr>
            </w:pPr>
          </w:p>
        </w:tc>
        <w:tc>
          <w:tcPr>
            <w:tcW w:w="220" w:type="pct"/>
            <w:vMerge/>
            <w:vAlign w:val="center"/>
          </w:tcPr>
          <w:p w14:paraId="6B08F986" w14:textId="77777777" w:rsidR="00A54A8A" w:rsidRPr="00E67914" w:rsidRDefault="00A54A8A">
            <w:pPr>
              <w:jc w:val="center"/>
              <w:rPr>
                <w:rFonts w:ascii="Times New Roman" w:hAnsi="Times New Roman"/>
                <w:sz w:val="21"/>
                <w:szCs w:val="21"/>
                <w:lang w:eastAsia="zh-CN"/>
              </w:rPr>
            </w:pPr>
          </w:p>
        </w:tc>
        <w:tc>
          <w:tcPr>
            <w:tcW w:w="220" w:type="pct"/>
            <w:shd w:val="clear" w:color="auto" w:fill="auto"/>
            <w:tcMar>
              <w:top w:w="60" w:type="dxa"/>
              <w:left w:w="120" w:type="dxa"/>
              <w:bottom w:w="60" w:type="dxa"/>
              <w:right w:w="120" w:type="dxa"/>
            </w:tcMar>
            <w:vAlign w:val="center"/>
          </w:tcPr>
          <w:p w14:paraId="52598B01"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下</w:t>
            </w:r>
          </w:p>
          <w:p w14:paraId="503692FC"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统</w:t>
            </w:r>
          </w:p>
        </w:tc>
        <w:tc>
          <w:tcPr>
            <w:tcW w:w="447" w:type="pct"/>
            <w:shd w:val="clear" w:color="auto" w:fill="auto"/>
            <w:tcMar>
              <w:top w:w="60" w:type="dxa"/>
              <w:left w:w="120" w:type="dxa"/>
              <w:bottom w:w="60" w:type="dxa"/>
              <w:right w:w="120" w:type="dxa"/>
            </w:tcMar>
            <w:vAlign w:val="center"/>
          </w:tcPr>
          <w:p w14:paraId="58B19D6B"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自流</w:t>
            </w:r>
          </w:p>
          <w:p w14:paraId="30F103D7"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井组</w:t>
            </w:r>
          </w:p>
        </w:tc>
        <w:tc>
          <w:tcPr>
            <w:tcW w:w="226" w:type="pct"/>
            <w:shd w:val="clear" w:color="auto" w:fill="auto"/>
            <w:tcMar>
              <w:top w:w="60" w:type="dxa"/>
              <w:left w:w="120" w:type="dxa"/>
              <w:bottom w:w="60" w:type="dxa"/>
              <w:right w:w="120" w:type="dxa"/>
            </w:tcMar>
            <w:vAlign w:val="center"/>
          </w:tcPr>
          <w:p w14:paraId="292D0D26" w14:textId="77777777" w:rsidR="00A54A8A" w:rsidRPr="00E67914" w:rsidRDefault="00A54A8A">
            <w:pPr>
              <w:jc w:val="center"/>
              <w:rPr>
                <w:rFonts w:ascii="Times New Roman" w:hAnsi="Times New Roman"/>
                <w:sz w:val="21"/>
                <w:szCs w:val="21"/>
              </w:rPr>
            </w:pPr>
          </w:p>
        </w:tc>
        <w:tc>
          <w:tcPr>
            <w:tcW w:w="304" w:type="pct"/>
            <w:shd w:val="clear" w:color="auto" w:fill="auto"/>
            <w:tcMar>
              <w:top w:w="60" w:type="dxa"/>
              <w:left w:w="120" w:type="dxa"/>
              <w:bottom w:w="60" w:type="dxa"/>
              <w:right w:w="120" w:type="dxa"/>
            </w:tcMar>
            <w:vAlign w:val="center"/>
          </w:tcPr>
          <w:p w14:paraId="405E2D91"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J</w:t>
            </w:r>
            <w:r w:rsidRPr="00E67914">
              <w:rPr>
                <w:rFonts w:ascii="Times New Roman" w:hAnsi="Times New Roman"/>
                <w:sz w:val="21"/>
                <w:szCs w:val="21"/>
                <w:vertAlign w:val="subscript"/>
              </w:rPr>
              <w:t>1</w:t>
            </w:r>
            <w:r w:rsidRPr="00E67914">
              <w:rPr>
                <w:rFonts w:ascii="Times New Roman" w:hAnsi="Times New Roman"/>
                <w:sz w:val="21"/>
                <w:szCs w:val="21"/>
              </w:rPr>
              <w:t>z</w:t>
            </w:r>
          </w:p>
        </w:tc>
        <w:tc>
          <w:tcPr>
            <w:tcW w:w="514" w:type="pct"/>
            <w:shd w:val="clear" w:color="auto" w:fill="auto"/>
            <w:tcMar>
              <w:top w:w="60" w:type="dxa"/>
              <w:left w:w="120" w:type="dxa"/>
              <w:bottom w:w="60" w:type="dxa"/>
              <w:right w:w="120" w:type="dxa"/>
            </w:tcMar>
            <w:vAlign w:val="center"/>
          </w:tcPr>
          <w:p w14:paraId="7806E771" w14:textId="77777777" w:rsidR="00A54A8A" w:rsidRPr="00E67914" w:rsidRDefault="00000000">
            <w:pPr>
              <w:ind w:left="-63" w:firstLine="75"/>
              <w:jc w:val="center"/>
              <w:rPr>
                <w:rFonts w:ascii="Times New Roman" w:hAnsi="Times New Roman"/>
                <w:sz w:val="21"/>
                <w:szCs w:val="21"/>
              </w:rPr>
            </w:pPr>
            <w:r w:rsidRPr="00E67914">
              <w:rPr>
                <w:rFonts w:ascii="Times New Roman" w:hAnsi="Times New Roman"/>
                <w:sz w:val="21"/>
                <w:szCs w:val="21"/>
              </w:rPr>
              <w:t>289-568</w:t>
            </w:r>
          </w:p>
        </w:tc>
        <w:tc>
          <w:tcPr>
            <w:tcW w:w="2349" w:type="pct"/>
            <w:shd w:val="clear" w:color="auto" w:fill="auto"/>
            <w:tcMar>
              <w:top w:w="60" w:type="dxa"/>
              <w:left w:w="120" w:type="dxa"/>
              <w:bottom w:w="60" w:type="dxa"/>
              <w:right w:w="120" w:type="dxa"/>
            </w:tcMar>
            <w:vAlign w:val="center"/>
          </w:tcPr>
          <w:p w14:paraId="3BE9DD1A" w14:textId="77777777" w:rsidR="00A54A8A" w:rsidRPr="00E67914" w:rsidRDefault="00000000">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顶部以灰色泥岩为主，夹灰褐色介壳灰岩及薄层灰色泥质粉砂岩；中部灰绿色、灰色泥岩与灰色岩屑砂岩互层。下部灰色、深灰色厚层细</w:t>
            </w:r>
            <w:r w:rsidRPr="00E67914">
              <w:rPr>
                <w:rFonts w:ascii="Times New Roman" w:hAnsi="Times New Roman"/>
                <w:sz w:val="21"/>
                <w:szCs w:val="21"/>
                <w:lang w:eastAsia="zh-CN"/>
              </w:rPr>
              <w:t>-</w:t>
            </w:r>
            <w:r w:rsidRPr="00E67914">
              <w:rPr>
                <w:rFonts w:ascii="Times New Roman" w:hAnsi="Times New Roman"/>
                <w:sz w:val="21"/>
                <w:szCs w:val="21"/>
                <w:lang w:eastAsia="zh-CN"/>
              </w:rPr>
              <w:t>中砂岩、粉砂岩夹泥岩、碳质泥岩、煤。</w:t>
            </w:r>
          </w:p>
        </w:tc>
        <w:tc>
          <w:tcPr>
            <w:tcW w:w="499" w:type="pct"/>
            <w:shd w:val="clear" w:color="auto" w:fill="auto"/>
            <w:tcMar>
              <w:top w:w="60" w:type="dxa"/>
              <w:left w:w="120" w:type="dxa"/>
              <w:bottom w:w="60" w:type="dxa"/>
              <w:right w:w="120" w:type="dxa"/>
            </w:tcMar>
            <w:vAlign w:val="center"/>
          </w:tcPr>
          <w:p w14:paraId="15D3FC73" w14:textId="77777777" w:rsidR="00A54A8A" w:rsidRPr="00E67914" w:rsidRDefault="00000000">
            <w:pPr>
              <w:ind w:left="-55"/>
              <w:jc w:val="center"/>
              <w:rPr>
                <w:rFonts w:ascii="Times New Roman" w:hAnsi="Times New Roman"/>
                <w:sz w:val="21"/>
                <w:szCs w:val="21"/>
                <w:lang w:eastAsia="zh-CN"/>
              </w:rPr>
            </w:pPr>
            <w:r w:rsidRPr="00E67914">
              <w:rPr>
                <w:rFonts w:ascii="Times New Roman" w:hAnsi="Times New Roman"/>
                <w:sz w:val="21"/>
                <w:szCs w:val="21"/>
                <w:lang w:eastAsia="zh-CN"/>
              </w:rPr>
              <w:t>湖相、</w:t>
            </w:r>
          </w:p>
          <w:p w14:paraId="00887EA1" w14:textId="77777777" w:rsidR="00A54A8A" w:rsidRPr="00E67914" w:rsidRDefault="00000000">
            <w:pPr>
              <w:ind w:left="-55"/>
              <w:jc w:val="center"/>
              <w:rPr>
                <w:rFonts w:ascii="Times New Roman" w:hAnsi="Times New Roman"/>
                <w:sz w:val="21"/>
                <w:szCs w:val="21"/>
                <w:lang w:eastAsia="zh-CN"/>
              </w:rPr>
            </w:pPr>
            <w:r w:rsidRPr="00E67914">
              <w:rPr>
                <w:rFonts w:ascii="Times New Roman" w:hAnsi="Times New Roman"/>
                <w:sz w:val="21"/>
                <w:szCs w:val="21"/>
                <w:lang w:eastAsia="zh-CN"/>
              </w:rPr>
              <w:t>河流相、</w:t>
            </w:r>
          </w:p>
          <w:p w14:paraId="0F6E9878" w14:textId="77777777" w:rsidR="00A54A8A" w:rsidRPr="00E67914" w:rsidRDefault="00000000">
            <w:pPr>
              <w:ind w:left="-55"/>
              <w:jc w:val="center"/>
              <w:rPr>
                <w:rFonts w:ascii="Times New Roman" w:hAnsi="Times New Roman"/>
                <w:sz w:val="21"/>
                <w:szCs w:val="21"/>
                <w:lang w:eastAsia="zh-CN"/>
              </w:rPr>
            </w:pPr>
            <w:r w:rsidRPr="00E67914">
              <w:rPr>
                <w:rFonts w:ascii="Times New Roman" w:hAnsi="Times New Roman"/>
                <w:sz w:val="21"/>
                <w:szCs w:val="21"/>
                <w:lang w:eastAsia="zh-CN"/>
              </w:rPr>
              <w:t>辫状河三角洲</w:t>
            </w:r>
          </w:p>
        </w:tc>
      </w:tr>
      <w:tr w:rsidR="00E67914" w:rsidRPr="00E67914" w14:paraId="3EBA68E8" w14:textId="77777777">
        <w:trPr>
          <w:trHeight w:val="598"/>
          <w:jc w:val="center"/>
        </w:trPr>
        <w:tc>
          <w:tcPr>
            <w:tcW w:w="220" w:type="pct"/>
            <w:vMerge/>
            <w:vAlign w:val="center"/>
          </w:tcPr>
          <w:p w14:paraId="301F907F" w14:textId="77777777" w:rsidR="00A54A8A" w:rsidRPr="00E67914" w:rsidRDefault="00A54A8A">
            <w:pPr>
              <w:jc w:val="center"/>
              <w:rPr>
                <w:rFonts w:ascii="Times New Roman" w:hAnsi="Times New Roman"/>
                <w:sz w:val="21"/>
                <w:szCs w:val="21"/>
                <w:lang w:eastAsia="zh-CN"/>
              </w:rPr>
            </w:pPr>
          </w:p>
        </w:tc>
        <w:tc>
          <w:tcPr>
            <w:tcW w:w="220" w:type="pct"/>
            <w:vMerge w:val="restart"/>
            <w:tcMar>
              <w:top w:w="60" w:type="dxa"/>
              <w:left w:w="120" w:type="dxa"/>
              <w:bottom w:w="60" w:type="dxa"/>
              <w:right w:w="120" w:type="dxa"/>
            </w:tcMar>
            <w:vAlign w:val="center"/>
          </w:tcPr>
          <w:p w14:paraId="45F72D84"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三</w:t>
            </w:r>
          </w:p>
          <w:p w14:paraId="369A0D30"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叠</w:t>
            </w:r>
          </w:p>
          <w:p w14:paraId="4EF8BFB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系</w:t>
            </w:r>
          </w:p>
        </w:tc>
        <w:tc>
          <w:tcPr>
            <w:tcW w:w="220" w:type="pct"/>
            <w:vMerge w:val="restart"/>
            <w:shd w:val="clear" w:color="auto" w:fill="auto"/>
            <w:tcMar>
              <w:top w:w="60" w:type="dxa"/>
              <w:left w:w="120" w:type="dxa"/>
              <w:bottom w:w="60" w:type="dxa"/>
              <w:right w:w="120" w:type="dxa"/>
            </w:tcMar>
            <w:vAlign w:val="center"/>
          </w:tcPr>
          <w:p w14:paraId="37DF515B"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上</w:t>
            </w:r>
          </w:p>
          <w:p w14:paraId="0D40D84B"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统</w:t>
            </w:r>
          </w:p>
        </w:tc>
        <w:tc>
          <w:tcPr>
            <w:tcW w:w="447" w:type="pct"/>
            <w:vMerge w:val="restart"/>
            <w:shd w:val="clear" w:color="auto" w:fill="auto"/>
            <w:tcMar>
              <w:top w:w="60" w:type="dxa"/>
              <w:left w:w="120" w:type="dxa"/>
              <w:bottom w:w="60" w:type="dxa"/>
              <w:right w:w="120" w:type="dxa"/>
            </w:tcMar>
            <w:vAlign w:val="center"/>
          </w:tcPr>
          <w:p w14:paraId="0BB66C9F"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须家</w:t>
            </w:r>
          </w:p>
          <w:p w14:paraId="7071CC27"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河组</w:t>
            </w:r>
          </w:p>
        </w:tc>
        <w:tc>
          <w:tcPr>
            <w:tcW w:w="226" w:type="pct"/>
            <w:shd w:val="clear" w:color="auto" w:fill="auto"/>
            <w:tcMar>
              <w:top w:w="60" w:type="dxa"/>
              <w:left w:w="120" w:type="dxa"/>
              <w:bottom w:w="60" w:type="dxa"/>
              <w:right w:w="120" w:type="dxa"/>
            </w:tcMar>
            <w:vAlign w:val="center"/>
          </w:tcPr>
          <w:p w14:paraId="58B1DD71"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五段</w:t>
            </w:r>
          </w:p>
        </w:tc>
        <w:tc>
          <w:tcPr>
            <w:tcW w:w="304" w:type="pct"/>
            <w:shd w:val="clear" w:color="auto" w:fill="auto"/>
            <w:tcMar>
              <w:top w:w="60" w:type="dxa"/>
              <w:left w:w="120" w:type="dxa"/>
              <w:bottom w:w="60" w:type="dxa"/>
              <w:right w:w="120" w:type="dxa"/>
            </w:tcMar>
            <w:vAlign w:val="center"/>
          </w:tcPr>
          <w:p w14:paraId="3A8919D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T</w:t>
            </w:r>
            <w:r w:rsidRPr="00E67914">
              <w:rPr>
                <w:rFonts w:ascii="Times New Roman" w:hAnsi="Times New Roman"/>
                <w:sz w:val="21"/>
                <w:szCs w:val="21"/>
                <w:vertAlign w:val="subscript"/>
              </w:rPr>
              <w:t>3</w:t>
            </w:r>
            <w:r w:rsidRPr="00E67914">
              <w:rPr>
                <w:rFonts w:ascii="Times New Roman" w:hAnsi="Times New Roman"/>
                <w:sz w:val="21"/>
                <w:szCs w:val="21"/>
              </w:rPr>
              <w:t>x</w:t>
            </w:r>
            <w:r w:rsidRPr="00E67914">
              <w:rPr>
                <w:rFonts w:ascii="Times New Roman" w:hAnsi="Times New Roman"/>
                <w:sz w:val="21"/>
                <w:szCs w:val="21"/>
                <w:vertAlign w:val="subscript"/>
              </w:rPr>
              <w:t>5</w:t>
            </w:r>
          </w:p>
        </w:tc>
        <w:tc>
          <w:tcPr>
            <w:tcW w:w="514" w:type="pct"/>
            <w:shd w:val="clear" w:color="auto" w:fill="auto"/>
            <w:tcMar>
              <w:top w:w="60" w:type="dxa"/>
              <w:left w:w="120" w:type="dxa"/>
              <w:bottom w:w="60" w:type="dxa"/>
              <w:right w:w="120" w:type="dxa"/>
            </w:tcMar>
            <w:vAlign w:val="center"/>
          </w:tcPr>
          <w:p w14:paraId="38B0DBCB"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40-60</w:t>
            </w:r>
          </w:p>
        </w:tc>
        <w:tc>
          <w:tcPr>
            <w:tcW w:w="2349" w:type="pct"/>
            <w:shd w:val="clear" w:color="auto" w:fill="auto"/>
            <w:tcMar>
              <w:top w:w="60" w:type="dxa"/>
              <w:left w:w="120" w:type="dxa"/>
              <w:bottom w:w="60" w:type="dxa"/>
              <w:right w:w="120" w:type="dxa"/>
            </w:tcMar>
            <w:vAlign w:val="center"/>
          </w:tcPr>
          <w:p w14:paraId="73ECC54C" w14:textId="77777777" w:rsidR="00A54A8A" w:rsidRPr="00E67914" w:rsidRDefault="00000000">
            <w:pPr>
              <w:ind w:left="-63" w:firstLine="75"/>
              <w:jc w:val="center"/>
              <w:rPr>
                <w:rFonts w:ascii="Times New Roman" w:hAnsi="Times New Roman"/>
                <w:sz w:val="21"/>
                <w:szCs w:val="21"/>
                <w:lang w:eastAsia="zh-CN"/>
              </w:rPr>
            </w:pPr>
            <w:bookmarkStart w:id="62" w:name="_Hlk117294198"/>
            <w:r w:rsidRPr="00E67914">
              <w:rPr>
                <w:rFonts w:ascii="Times New Roman" w:hAnsi="Times New Roman"/>
                <w:sz w:val="21"/>
                <w:szCs w:val="21"/>
                <w:lang w:eastAsia="zh-CN"/>
              </w:rPr>
              <w:t>大段黑灰色泥岩、碳质泥岩为主夹灰色、深灰色粉砂岩、泥质粉砂岩、煤岩</w:t>
            </w:r>
            <w:bookmarkEnd w:id="62"/>
          </w:p>
        </w:tc>
        <w:tc>
          <w:tcPr>
            <w:tcW w:w="499" w:type="pct"/>
            <w:shd w:val="clear" w:color="auto" w:fill="auto"/>
            <w:tcMar>
              <w:top w:w="60" w:type="dxa"/>
              <w:left w:w="120" w:type="dxa"/>
              <w:bottom w:w="60" w:type="dxa"/>
              <w:right w:w="120" w:type="dxa"/>
            </w:tcMar>
            <w:vAlign w:val="center"/>
          </w:tcPr>
          <w:p w14:paraId="5D59EA8C"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浅湖、</w:t>
            </w:r>
          </w:p>
          <w:p w14:paraId="5D87D31A"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辫状河三角洲</w:t>
            </w:r>
          </w:p>
        </w:tc>
      </w:tr>
      <w:tr w:rsidR="00E67914" w:rsidRPr="00E67914" w14:paraId="410FE33E" w14:textId="77777777">
        <w:trPr>
          <w:trHeight w:val="864"/>
          <w:jc w:val="center"/>
        </w:trPr>
        <w:tc>
          <w:tcPr>
            <w:tcW w:w="220" w:type="pct"/>
            <w:vMerge/>
            <w:vAlign w:val="center"/>
          </w:tcPr>
          <w:p w14:paraId="10576BAB" w14:textId="77777777" w:rsidR="00A54A8A" w:rsidRPr="00E67914" w:rsidRDefault="00A54A8A">
            <w:pPr>
              <w:jc w:val="center"/>
              <w:rPr>
                <w:rFonts w:ascii="Times New Roman" w:hAnsi="Times New Roman"/>
                <w:sz w:val="21"/>
                <w:szCs w:val="21"/>
              </w:rPr>
            </w:pPr>
          </w:p>
        </w:tc>
        <w:tc>
          <w:tcPr>
            <w:tcW w:w="220" w:type="pct"/>
            <w:vMerge/>
            <w:vAlign w:val="center"/>
          </w:tcPr>
          <w:p w14:paraId="04CA3B5E" w14:textId="77777777" w:rsidR="00A54A8A" w:rsidRPr="00E67914" w:rsidRDefault="00A54A8A">
            <w:pPr>
              <w:jc w:val="center"/>
              <w:rPr>
                <w:rFonts w:ascii="Times New Roman" w:hAnsi="Times New Roman"/>
                <w:sz w:val="21"/>
                <w:szCs w:val="21"/>
              </w:rPr>
            </w:pPr>
          </w:p>
        </w:tc>
        <w:tc>
          <w:tcPr>
            <w:tcW w:w="220" w:type="pct"/>
            <w:vMerge/>
            <w:vAlign w:val="center"/>
          </w:tcPr>
          <w:p w14:paraId="5D543A1F" w14:textId="77777777" w:rsidR="00A54A8A" w:rsidRPr="00E67914" w:rsidRDefault="00A54A8A">
            <w:pPr>
              <w:jc w:val="center"/>
              <w:rPr>
                <w:rFonts w:ascii="Times New Roman" w:hAnsi="Times New Roman"/>
                <w:sz w:val="21"/>
                <w:szCs w:val="21"/>
              </w:rPr>
            </w:pPr>
          </w:p>
        </w:tc>
        <w:tc>
          <w:tcPr>
            <w:tcW w:w="447" w:type="pct"/>
            <w:vMerge/>
            <w:vAlign w:val="center"/>
          </w:tcPr>
          <w:p w14:paraId="0346A137" w14:textId="77777777" w:rsidR="00A54A8A" w:rsidRPr="00E67914" w:rsidRDefault="00A54A8A">
            <w:pPr>
              <w:jc w:val="center"/>
              <w:rPr>
                <w:rFonts w:ascii="Times New Roman" w:hAnsi="Times New Roman"/>
                <w:sz w:val="21"/>
                <w:szCs w:val="21"/>
              </w:rPr>
            </w:pPr>
          </w:p>
        </w:tc>
        <w:tc>
          <w:tcPr>
            <w:tcW w:w="226" w:type="pct"/>
            <w:shd w:val="clear" w:color="auto" w:fill="FFFFFF"/>
            <w:tcMar>
              <w:top w:w="60" w:type="dxa"/>
              <w:left w:w="120" w:type="dxa"/>
              <w:bottom w:w="60" w:type="dxa"/>
              <w:right w:w="120" w:type="dxa"/>
            </w:tcMar>
            <w:vAlign w:val="center"/>
          </w:tcPr>
          <w:p w14:paraId="47A36850" w14:textId="77777777" w:rsidR="00A54A8A" w:rsidRPr="00E67914" w:rsidRDefault="00000000">
            <w:pPr>
              <w:ind w:left="-45"/>
              <w:jc w:val="center"/>
              <w:rPr>
                <w:rFonts w:ascii="Times New Roman" w:hAnsi="Times New Roman"/>
                <w:sz w:val="21"/>
                <w:szCs w:val="21"/>
              </w:rPr>
            </w:pPr>
            <w:r w:rsidRPr="00E67914">
              <w:rPr>
                <w:rFonts w:ascii="Times New Roman" w:hAnsi="Times New Roman"/>
                <w:sz w:val="21"/>
                <w:szCs w:val="21"/>
                <w:shd w:val="clear" w:color="auto" w:fill="FFFFFF"/>
              </w:rPr>
              <w:t>四段</w:t>
            </w:r>
          </w:p>
        </w:tc>
        <w:tc>
          <w:tcPr>
            <w:tcW w:w="304" w:type="pct"/>
            <w:shd w:val="clear" w:color="auto" w:fill="FFFFFF"/>
            <w:tcMar>
              <w:top w:w="60" w:type="dxa"/>
              <w:left w:w="120" w:type="dxa"/>
              <w:bottom w:w="60" w:type="dxa"/>
              <w:right w:w="120" w:type="dxa"/>
            </w:tcMar>
            <w:vAlign w:val="center"/>
          </w:tcPr>
          <w:p w14:paraId="62E59AC8"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shd w:val="clear" w:color="auto" w:fill="FFFFFF"/>
              </w:rPr>
              <w:t>T</w:t>
            </w:r>
            <w:r w:rsidRPr="00E67914">
              <w:rPr>
                <w:rFonts w:ascii="Times New Roman" w:hAnsi="Times New Roman"/>
                <w:sz w:val="21"/>
                <w:szCs w:val="21"/>
                <w:shd w:val="clear" w:color="auto" w:fill="FFFFFF"/>
                <w:vertAlign w:val="subscript"/>
              </w:rPr>
              <w:t>3</w:t>
            </w:r>
            <w:r w:rsidRPr="00E67914">
              <w:rPr>
                <w:rFonts w:ascii="Times New Roman" w:hAnsi="Times New Roman"/>
                <w:sz w:val="21"/>
                <w:szCs w:val="21"/>
                <w:shd w:val="clear" w:color="auto" w:fill="FFFFFF"/>
              </w:rPr>
              <w:t>x</w:t>
            </w:r>
            <w:r w:rsidRPr="00E67914">
              <w:rPr>
                <w:rFonts w:ascii="Times New Roman" w:hAnsi="Times New Roman"/>
                <w:sz w:val="21"/>
                <w:szCs w:val="21"/>
                <w:shd w:val="clear" w:color="auto" w:fill="FFFFFF"/>
                <w:vertAlign w:val="subscript"/>
              </w:rPr>
              <w:t>4</w:t>
            </w:r>
          </w:p>
        </w:tc>
        <w:tc>
          <w:tcPr>
            <w:tcW w:w="514" w:type="pct"/>
            <w:shd w:val="clear" w:color="auto" w:fill="FFFFFF"/>
            <w:tcMar>
              <w:top w:w="60" w:type="dxa"/>
              <w:left w:w="120" w:type="dxa"/>
              <w:bottom w:w="60" w:type="dxa"/>
              <w:right w:w="120" w:type="dxa"/>
            </w:tcMar>
            <w:vAlign w:val="center"/>
          </w:tcPr>
          <w:p w14:paraId="1D6FD3B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shd w:val="clear" w:color="auto" w:fill="FFFFFF"/>
              </w:rPr>
              <w:t>180-240</w:t>
            </w:r>
          </w:p>
        </w:tc>
        <w:tc>
          <w:tcPr>
            <w:tcW w:w="2349" w:type="pct"/>
            <w:shd w:val="clear" w:color="auto" w:fill="FFFFFF"/>
            <w:tcMar>
              <w:top w:w="60" w:type="dxa"/>
              <w:left w:w="120" w:type="dxa"/>
              <w:bottom w:w="60" w:type="dxa"/>
              <w:right w:w="120" w:type="dxa"/>
            </w:tcMar>
            <w:vAlign w:val="center"/>
          </w:tcPr>
          <w:p w14:paraId="6619938E" w14:textId="77777777" w:rsidR="00A54A8A" w:rsidRPr="00E67914" w:rsidRDefault="00000000">
            <w:pPr>
              <w:ind w:left="-63" w:firstLine="75"/>
              <w:jc w:val="center"/>
              <w:rPr>
                <w:rFonts w:ascii="Times New Roman" w:hAnsi="Times New Roman"/>
                <w:sz w:val="21"/>
                <w:szCs w:val="21"/>
                <w:lang w:eastAsia="zh-CN"/>
              </w:rPr>
            </w:pPr>
            <w:r w:rsidRPr="00E67914">
              <w:rPr>
                <w:rFonts w:ascii="Times New Roman" w:hAnsi="Times New Roman"/>
                <w:sz w:val="21"/>
                <w:szCs w:val="21"/>
                <w:shd w:val="clear" w:color="auto" w:fill="FFFFFF"/>
                <w:lang w:eastAsia="zh-CN"/>
              </w:rPr>
              <w:t>以厚层状灰色细砂岩、粉砂岩为主，夹深灰色泥岩、粉砂质泥岩及黑色碳质泥岩、煤岩；底部发育厚层状杂色砾岩、灰白色含砾细砂岩、灰色细砂岩、中砂岩。</w:t>
            </w:r>
          </w:p>
        </w:tc>
        <w:tc>
          <w:tcPr>
            <w:tcW w:w="499" w:type="pct"/>
            <w:shd w:val="clear" w:color="auto" w:fill="FFFFFF"/>
            <w:tcMar>
              <w:top w:w="60" w:type="dxa"/>
              <w:left w:w="120" w:type="dxa"/>
              <w:bottom w:w="60" w:type="dxa"/>
              <w:right w:w="120" w:type="dxa"/>
            </w:tcMar>
            <w:vAlign w:val="center"/>
          </w:tcPr>
          <w:p w14:paraId="7E3E8F64"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shd w:val="clear" w:color="auto" w:fill="FFFFFF"/>
              </w:rPr>
              <w:t>辫状河三角洲</w:t>
            </w:r>
          </w:p>
        </w:tc>
      </w:tr>
      <w:tr w:rsidR="00E67914" w:rsidRPr="00E67914" w14:paraId="24416917" w14:textId="77777777">
        <w:trPr>
          <w:trHeight w:val="522"/>
          <w:jc w:val="center"/>
        </w:trPr>
        <w:tc>
          <w:tcPr>
            <w:tcW w:w="220" w:type="pct"/>
            <w:vMerge/>
            <w:vAlign w:val="center"/>
          </w:tcPr>
          <w:p w14:paraId="198D9B5D" w14:textId="77777777" w:rsidR="00A54A8A" w:rsidRPr="00E67914" w:rsidRDefault="00A54A8A">
            <w:pPr>
              <w:jc w:val="center"/>
              <w:rPr>
                <w:rFonts w:ascii="Times New Roman" w:hAnsi="Times New Roman"/>
                <w:sz w:val="21"/>
                <w:szCs w:val="21"/>
              </w:rPr>
            </w:pPr>
          </w:p>
        </w:tc>
        <w:tc>
          <w:tcPr>
            <w:tcW w:w="220" w:type="pct"/>
            <w:vMerge/>
            <w:vAlign w:val="center"/>
          </w:tcPr>
          <w:p w14:paraId="688E1074" w14:textId="77777777" w:rsidR="00A54A8A" w:rsidRPr="00E67914" w:rsidRDefault="00A54A8A">
            <w:pPr>
              <w:jc w:val="center"/>
              <w:rPr>
                <w:rFonts w:ascii="Times New Roman" w:hAnsi="Times New Roman"/>
                <w:sz w:val="21"/>
                <w:szCs w:val="21"/>
              </w:rPr>
            </w:pPr>
          </w:p>
        </w:tc>
        <w:tc>
          <w:tcPr>
            <w:tcW w:w="220" w:type="pct"/>
            <w:vMerge/>
            <w:vAlign w:val="center"/>
          </w:tcPr>
          <w:p w14:paraId="2D1A31E5" w14:textId="77777777" w:rsidR="00A54A8A" w:rsidRPr="00E67914" w:rsidRDefault="00A54A8A">
            <w:pPr>
              <w:jc w:val="center"/>
              <w:rPr>
                <w:rFonts w:ascii="Times New Roman" w:hAnsi="Times New Roman"/>
                <w:sz w:val="21"/>
                <w:szCs w:val="21"/>
              </w:rPr>
            </w:pPr>
          </w:p>
        </w:tc>
        <w:tc>
          <w:tcPr>
            <w:tcW w:w="447" w:type="pct"/>
            <w:vMerge/>
            <w:vAlign w:val="center"/>
          </w:tcPr>
          <w:p w14:paraId="60F8EC6A" w14:textId="77777777" w:rsidR="00A54A8A" w:rsidRPr="00E67914" w:rsidRDefault="00A54A8A">
            <w:pPr>
              <w:jc w:val="center"/>
              <w:rPr>
                <w:rFonts w:ascii="Times New Roman" w:hAnsi="Times New Roman"/>
                <w:sz w:val="21"/>
                <w:szCs w:val="21"/>
              </w:rPr>
            </w:pPr>
          </w:p>
        </w:tc>
        <w:tc>
          <w:tcPr>
            <w:tcW w:w="226" w:type="pct"/>
            <w:shd w:val="clear" w:color="auto" w:fill="FFFFFF"/>
            <w:tcMar>
              <w:top w:w="60" w:type="dxa"/>
              <w:left w:w="120" w:type="dxa"/>
              <w:bottom w:w="60" w:type="dxa"/>
              <w:right w:w="120" w:type="dxa"/>
            </w:tcMar>
            <w:vAlign w:val="center"/>
          </w:tcPr>
          <w:p w14:paraId="489290A0" w14:textId="77777777" w:rsidR="00A54A8A" w:rsidRPr="00E67914" w:rsidRDefault="00000000">
            <w:pPr>
              <w:ind w:left="-45"/>
              <w:jc w:val="center"/>
              <w:rPr>
                <w:rFonts w:ascii="Times New Roman" w:hAnsi="Times New Roman"/>
                <w:sz w:val="21"/>
                <w:szCs w:val="21"/>
              </w:rPr>
            </w:pPr>
            <w:r w:rsidRPr="00E67914">
              <w:rPr>
                <w:rFonts w:ascii="Times New Roman" w:hAnsi="Times New Roman"/>
                <w:sz w:val="21"/>
                <w:szCs w:val="21"/>
              </w:rPr>
              <w:t>三段</w:t>
            </w:r>
          </w:p>
        </w:tc>
        <w:tc>
          <w:tcPr>
            <w:tcW w:w="304" w:type="pct"/>
            <w:shd w:val="clear" w:color="auto" w:fill="FFFFFF"/>
            <w:tcMar>
              <w:top w:w="60" w:type="dxa"/>
              <w:left w:w="120" w:type="dxa"/>
              <w:bottom w:w="60" w:type="dxa"/>
              <w:right w:w="120" w:type="dxa"/>
            </w:tcMar>
            <w:vAlign w:val="center"/>
          </w:tcPr>
          <w:p w14:paraId="39C3161A"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T</w:t>
            </w:r>
            <w:r w:rsidRPr="00E67914">
              <w:rPr>
                <w:rFonts w:ascii="Times New Roman" w:hAnsi="Times New Roman"/>
                <w:sz w:val="21"/>
                <w:szCs w:val="21"/>
                <w:vertAlign w:val="subscript"/>
              </w:rPr>
              <w:t>3</w:t>
            </w:r>
            <w:r w:rsidRPr="00E67914">
              <w:rPr>
                <w:rFonts w:ascii="Times New Roman" w:hAnsi="Times New Roman"/>
                <w:sz w:val="21"/>
                <w:szCs w:val="21"/>
              </w:rPr>
              <w:t>x</w:t>
            </w:r>
            <w:r w:rsidRPr="00E67914">
              <w:rPr>
                <w:rFonts w:ascii="Times New Roman" w:hAnsi="Times New Roman"/>
                <w:sz w:val="21"/>
                <w:szCs w:val="21"/>
                <w:vertAlign w:val="subscript"/>
              </w:rPr>
              <w:t>3</w:t>
            </w:r>
          </w:p>
        </w:tc>
        <w:tc>
          <w:tcPr>
            <w:tcW w:w="514" w:type="pct"/>
            <w:shd w:val="clear" w:color="auto" w:fill="FFFFFF"/>
            <w:tcMar>
              <w:top w:w="60" w:type="dxa"/>
              <w:left w:w="120" w:type="dxa"/>
              <w:bottom w:w="60" w:type="dxa"/>
              <w:right w:w="120" w:type="dxa"/>
            </w:tcMar>
            <w:vAlign w:val="center"/>
          </w:tcPr>
          <w:p w14:paraId="0C33C455" w14:textId="77777777" w:rsidR="00A54A8A" w:rsidRPr="00E67914" w:rsidRDefault="00000000">
            <w:pPr>
              <w:ind w:left="-55"/>
              <w:jc w:val="center"/>
              <w:rPr>
                <w:rFonts w:ascii="Times New Roman" w:hAnsi="Times New Roman"/>
                <w:sz w:val="21"/>
                <w:szCs w:val="21"/>
              </w:rPr>
            </w:pPr>
            <w:bookmarkStart w:id="63" w:name="_Hlk117294413"/>
            <w:r w:rsidRPr="00E67914">
              <w:rPr>
                <w:rFonts w:ascii="Times New Roman" w:hAnsi="Times New Roman"/>
                <w:sz w:val="21"/>
                <w:szCs w:val="21"/>
              </w:rPr>
              <w:t>90-170</w:t>
            </w:r>
            <w:bookmarkEnd w:id="63"/>
          </w:p>
        </w:tc>
        <w:tc>
          <w:tcPr>
            <w:tcW w:w="2349" w:type="pct"/>
            <w:shd w:val="clear" w:color="auto" w:fill="FFFFFF"/>
            <w:tcMar>
              <w:top w:w="60" w:type="dxa"/>
              <w:left w:w="120" w:type="dxa"/>
              <w:bottom w:w="60" w:type="dxa"/>
              <w:right w:w="120" w:type="dxa"/>
            </w:tcMar>
            <w:vAlign w:val="center"/>
          </w:tcPr>
          <w:p w14:paraId="38FF9F09" w14:textId="77777777" w:rsidR="00A54A8A" w:rsidRPr="00E67914" w:rsidRDefault="00000000">
            <w:pPr>
              <w:ind w:left="-63"/>
              <w:jc w:val="center"/>
              <w:rPr>
                <w:rFonts w:ascii="Times New Roman" w:hAnsi="Times New Roman"/>
                <w:sz w:val="21"/>
                <w:szCs w:val="21"/>
                <w:lang w:eastAsia="zh-CN"/>
              </w:rPr>
            </w:pPr>
            <w:bookmarkStart w:id="64" w:name="_Hlk117294447"/>
            <w:r w:rsidRPr="00E67914">
              <w:rPr>
                <w:rFonts w:ascii="Times New Roman" w:hAnsi="Times New Roman"/>
                <w:sz w:val="21"/>
                <w:szCs w:val="21"/>
                <w:lang w:eastAsia="zh-CN"/>
              </w:rPr>
              <w:t>上部主要以厚层状深灰色泥岩、粉砂质泥岩为主，夹灰白色细砂岩；中部为厚</w:t>
            </w:r>
            <w:r w:rsidRPr="00E67914">
              <w:rPr>
                <w:rFonts w:ascii="Times New Roman" w:hAnsi="Times New Roman"/>
                <w:sz w:val="21"/>
                <w:szCs w:val="21"/>
                <w:lang w:eastAsia="zh-CN"/>
              </w:rPr>
              <w:lastRenderedPageBreak/>
              <w:t>层状浅灰色、灰色细砂岩夹薄层状黑色碳质泥岩；下部以黑色碳质泥岩为主</w:t>
            </w:r>
            <w:bookmarkEnd w:id="64"/>
            <w:r w:rsidRPr="00E67914">
              <w:rPr>
                <w:rFonts w:ascii="Times New Roman" w:hAnsi="Times New Roman"/>
                <w:sz w:val="21"/>
                <w:szCs w:val="21"/>
                <w:lang w:eastAsia="zh-CN"/>
              </w:rPr>
              <w:t>。</w:t>
            </w:r>
          </w:p>
        </w:tc>
        <w:tc>
          <w:tcPr>
            <w:tcW w:w="499" w:type="pct"/>
            <w:shd w:val="clear" w:color="auto" w:fill="FFFFFF"/>
            <w:tcMar>
              <w:top w:w="60" w:type="dxa"/>
              <w:left w:w="120" w:type="dxa"/>
              <w:bottom w:w="60" w:type="dxa"/>
              <w:right w:w="120" w:type="dxa"/>
            </w:tcMar>
            <w:vAlign w:val="center"/>
          </w:tcPr>
          <w:p w14:paraId="4184F1EA"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lastRenderedPageBreak/>
              <w:t>浅湖、</w:t>
            </w:r>
            <w:r w:rsidRPr="00E67914">
              <w:rPr>
                <w:rFonts w:ascii="Times New Roman" w:hAnsi="Times New Roman"/>
                <w:sz w:val="21"/>
                <w:szCs w:val="21"/>
                <w:shd w:val="clear" w:color="auto" w:fill="FFFFFF"/>
              </w:rPr>
              <w:lastRenderedPageBreak/>
              <w:t>辫状河三角洲</w:t>
            </w:r>
          </w:p>
        </w:tc>
      </w:tr>
      <w:tr w:rsidR="00E67914" w:rsidRPr="00E67914" w14:paraId="0F0FF407" w14:textId="77777777">
        <w:trPr>
          <w:trHeight w:val="579"/>
          <w:jc w:val="center"/>
        </w:trPr>
        <w:tc>
          <w:tcPr>
            <w:tcW w:w="220" w:type="pct"/>
            <w:vMerge/>
            <w:vAlign w:val="center"/>
          </w:tcPr>
          <w:p w14:paraId="7C694AFA" w14:textId="77777777" w:rsidR="00A54A8A" w:rsidRPr="00E67914" w:rsidRDefault="00A54A8A">
            <w:pPr>
              <w:jc w:val="center"/>
              <w:rPr>
                <w:rFonts w:ascii="Times New Roman" w:hAnsi="Times New Roman"/>
                <w:sz w:val="21"/>
                <w:szCs w:val="21"/>
              </w:rPr>
            </w:pPr>
          </w:p>
        </w:tc>
        <w:tc>
          <w:tcPr>
            <w:tcW w:w="220" w:type="pct"/>
            <w:vMerge/>
            <w:vAlign w:val="center"/>
          </w:tcPr>
          <w:p w14:paraId="6E6E5ECA" w14:textId="77777777" w:rsidR="00A54A8A" w:rsidRPr="00E67914" w:rsidRDefault="00A54A8A">
            <w:pPr>
              <w:jc w:val="center"/>
              <w:rPr>
                <w:rFonts w:ascii="Times New Roman" w:hAnsi="Times New Roman"/>
                <w:sz w:val="21"/>
                <w:szCs w:val="21"/>
              </w:rPr>
            </w:pPr>
          </w:p>
        </w:tc>
        <w:tc>
          <w:tcPr>
            <w:tcW w:w="220" w:type="pct"/>
            <w:vMerge/>
            <w:vAlign w:val="center"/>
          </w:tcPr>
          <w:p w14:paraId="1B3762E5" w14:textId="77777777" w:rsidR="00A54A8A" w:rsidRPr="00E67914" w:rsidRDefault="00A54A8A">
            <w:pPr>
              <w:jc w:val="center"/>
              <w:rPr>
                <w:rFonts w:ascii="Times New Roman" w:hAnsi="Times New Roman"/>
                <w:sz w:val="21"/>
                <w:szCs w:val="21"/>
              </w:rPr>
            </w:pPr>
          </w:p>
        </w:tc>
        <w:tc>
          <w:tcPr>
            <w:tcW w:w="447" w:type="pct"/>
            <w:vMerge/>
            <w:vAlign w:val="center"/>
          </w:tcPr>
          <w:p w14:paraId="36D9BA3E" w14:textId="77777777" w:rsidR="00A54A8A" w:rsidRPr="00E67914" w:rsidRDefault="00A54A8A">
            <w:pPr>
              <w:jc w:val="center"/>
              <w:rPr>
                <w:rFonts w:ascii="Times New Roman" w:hAnsi="Times New Roman"/>
                <w:sz w:val="21"/>
                <w:szCs w:val="21"/>
              </w:rPr>
            </w:pPr>
          </w:p>
        </w:tc>
        <w:tc>
          <w:tcPr>
            <w:tcW w:w="226" w:type="pct"/>
            <w:tcMar>
              <w:top w:w="60" w:type="dxa"/>
              <w:left w:w="120" w:type="dxa"/>
              <w:bottom w:w="60" w:type="dxa"/>
              <w:right w:w="120" w:type="dxa"/>
            </w:tcMar>
            <w:vAlign w:val="center"/>
          </w:tcPr>
          <w:p w14:paraId="59CAA833" w14:textId="77777777" w:rsidR="00A54A8A" w:rsidRPr="00E67914" w:rsidRDefault="00000000">
            <w:pPr>
              <w:ind w:left="-45"/>
              <w:jc w:val="center"/>
              <w:rPr>
                <w:rFonts w:ascii="Times New Roman" w:hAnsi="Times New Roman"/>
                <w:sz w:val="21"/>
                <w:szCs w:val="21"/>
              </w:rPr>
            </w:pPr>
            <w:r w:rsidRPr="00E67914">
              <w:rPr>
                <w:rFonts w:ascii="Times New Roman" w:hAnsi="Times New Roman"/>
                <w:sz w:val="21"/>
                <w:szCs w:val="21"/>
              </w:rPr>
              <w:t>二段</w:t>
            </w:r>
          </w:p>
        </w:tc>
        <w:tc>
          <w:tcPr>
            <w:tcW w:w="304" w:type="pct"/>
            <w:tcMar>
              <w:top w:w="60" w:type="dxa"/>
              <w:left w:w="120" w:type="dxa"/>
              <w:bottom w:w="60" w:type="dxa"/>
              <w:right w:w="120" w:type="dxa"/>
            </w:tcMar>
            <w:vAlign w:val="center"/>
          </w:tcPr>
          <w:p w14:paraId="4EA397E6"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T</w:t>
            </w:r>
            <w:r w:rsidRPr="00E67914">
              <w:rPr>
                <w:rFonts w:ascii="Times New Roman" w:hAnsi="Times New Roman"/>
                <w:sz w:val="21"/>
                <w:szCs w:val="21"/>
                <w:vertAlign w:val="subscript"/>
              </w:rPr>
              <w:t>3</w:t>
            </w:r>
            <w:r w:rsidRPr="00E67914">
              <w:rPr>
                <w:rFonts w:ascii="Times New Roman" w:hAnsi="Times New Roman"/>
                <w:sz w:val="21"/>
                <w:szCs w:val="21"/>
              </w:rPr>
              <w:t>x</w:t>
            </w:r>
            <w:r w:rsidRPr="00E67914">
              <w:rPr>
                <w:rFonts w:ascii="Times New Roman" w:hAnsi="Times New Roman"/>
                <w:sz w:val="21"/>
                <w:szCs w:val="21"/>
                <w:vertAlign w:val="subscript"/>
              </w:rPr>
              <w:t>2</w:t>
            </w:r>
          </w:p>
        </w:tc>
        <w:tc>
          <w:tcPr>
            <w:tcW w:w="514" w:type="pct"/>
            <w:tcMar>
              <w:top w:w="60" w:type="dxa"/>
              <w:left w:w="120" w:type="dxa"/>
              <w:bottom w:w="60" w:type="dxa"/>
              <w:right w:w="120" w:type="dxa"/>
            </w:tcMar>
            <w:vAlign w:val="center"/>
          </w:tcPr>
          <w:p w14:paraId="7507378E"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90-236</w:t>
            </w:r>
          </w:p>
        </w:tc>
        <w:tc>
          <w:tcPr>
            <w:tcW w:w="2349" w:type="pct"/>
            <w:tcMar>
              <w:top w:w="60" w:type="dxa"/>
              <w:left w:w="120" w:type="dxa"/>
              <w:bottom w:w="60" w:type="dxa"/>
              <w:right w:w="120" w:type="dxa"/>
            </w:tcMar>
            <w:vAlign w:val="center"/>
          </w:tcPr>
          <w:p w14:paraId="30EB3D18" w14:textId="77777777" w:rsidR="00A54A8A" w:rsidRPr="00E67914" w:rsidRDefault="00000000">
            <w:pPr>
              <w:ind w:left="-63" w:firstLine="75"/>
              <w:jc w:val="center"/>
              <w:rPr>
                <w:rFonts w:ascii="Times New Roman" w:hAnsi="Times New Roman"/>
                <w:sz w:val="21"/>
                <w:szCs w:val="21"/>
                <w:lang w:eastAsia="zh-CN"/>
              </w:rPr>
            </w:pPr>
            <w:bookmarkStart w:id="65" w:name="_Hlk117294592"/>
            <w:r w:rsidRPr="00E67914">
              <w:rPr>
                <w:rFonts w:ascii="Times New Roman" w:hAnsi="Times New Roman"/>
                <w:sz w:val="21"/>
                <w:szCs w:val="21"/>
                <w:lang w:eastAsia="zh-CN"/>
              </w:rPr>
              <w:t>中上部主要为厚层状浅灰色、灰色细砂岩、中砂岩夹薄层状黑灰色泥岩、碳质泥岩；底部为薄层状灰黑色泥岩。</w:t>
            </w:r>
            <w:bookmarkEnd w:id="65"/>
          </w:p>
        </w:tc>
        <w:tc>
          <w:tcPr>
            <w:tcW w:w="499" w:type="pct"/>
            <w:tcMar>
              <w:top w:w="60" w:type="dxa"/>
              <w:left w:w="120" w:type="dxa"/>
              <w:bottom w:w="60" w:type="dxa"/>
              <w:right w:w="120" w:type="dxa"/>
            </w:tcMar>
            <w:vAlign w:val="center"/>
          </w:tcPr>
          <w:p w14:paraId="4B939AF5"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辫状河三角洲</w:t>
            </w:r>
          </w:p>
          <w:p w14:paraId="78AC8FA7" w14:textId="77777777" w:rsidR="00A54A8A" w:rsidRPr="00E67914" w:rsidRDefault="00000000">
            <w:pPr>
              <w:ind w:left="-55"/>
              <w:jc w:val="center"/>
              <w:rPr>
                <w:rFonts w:ascii="Times New Roman" w:hAnsi="Times New Roman"/>
                <w:sz w:val="21"/>
                <w:szCs w:val="21"/>
              </w:rPr>
            </w:pPr>
            <w:r w:rsidRPr="00E67914">
              <w:rPr>
                <w:rFonts w:ascii="Times New Roman" w:hAnsi="Times New Roman"/>
                <w:sz w:val="21"/>
                <w:szCs w:val="21"/>
              </w:rPr>
              <w:t>滨浅湖</w:t>
            </w:r>
          </w:p>
        </w:tc>
      </w:tr>
    </w:tbl>
    <w:p w14:paraId="72117BD8"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t xml:space="preserve">3.2.2.2 </w:t>
      </w:r>
      <w:r w:rsidRPr="00E67914">
        <w:rPr>
          <w:rFonts w:ascii="Times New Roman" w:eastAsia="黑体" w:hAnsi="Times New Roman"/>
          <w:sz w:val="24"/>
          <w:szCs w:val="24"/>
          <w:lang w:eastAsia="zh-CN"/>
        </w:rPr>
        <w:t>气藏特征</w:t>
      </w:r>
    </w:p>
    <w:p w14:paraId="6414CCBB" w14:textId="0F68C818" w:rsidR="00A54A8A" w:rsidRPr="00E67914" w:rsidRDefault="0066305B" w:rsidP="0066305B">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天然气组分参考</w:t>
      </w:r>
      <w:r w:rsidR="008A26E3" w:rsidRPr="00E67914">
        <w:rPr>
          <w:rFonts w:ascii="Times New Roman" w:hAnsi="Times New Roman"/>
          <w:sz w:val="24"/>
          <w:szCs w:val="24"/>
          <w:lang w:eastAsia="zh-CN"/>
        </w:rPr>
        <w:t>普陆页</w:t>
      </w:r>
      <w:r w:rsidR="008A26E3" w:rsidRPr="00E67914">
        <w:rPr>
          <w:rFonts w:ascii="Times New Roman" w:hAnsi="Times New Roman"/>
          <w:sz w:val="24"/>
          <w:szCs w:val="24"/>
          <w:lang w:eastAsia="zh-CN"/>
        </w:rPr>
        <w:t>1</w:t>
      </w:r>
      <w:r w:rsidR="008A26E3" w:rsidRPr="00E67914">
        <w:rPr>
          <w:rFonts w:ascii="Times New Roman" w:hAnsi="Times New Roman"/>
          <w:sz w:val="24"/>
          <w:szCs w:val="24"/>
          <w:lang w:eastAsia="zh-CN"/>
        </w:rPr>
        <w:t>井、</w:t>
      </w:r>
      <w:r w:rsidRPr="00E67914">
        <w:rPr>
          <w:rFonts w:ascii="Times New Roman" w:hAnsi="Times New Roman"/>
          <w:sz w:val="24"/>
          <w:szCs w:val="24"/>
          <w:lang w:eastAsia="zh-CN"/>
        </w:rPr>
        <w:t>普陆</w:t>
      </w:r>
      <w:r w:rsidRPr="00E67914">
        <w:rPr>
          <w:rFonts w:ascii="Times New Roman" w:hAnsi="Times New Roman"/>
          <w:sz w:val="24"/>
          <w:szCs w:val="24"/>
          <w:lang w:eastAsia="zh-CN"/>
        </w:rPr>
        <w:t>3</w:t>
      </w:r>
      <w:r w:rsidRPr="00E67914">
        <w:rPr>
          <w:rFonts w:ascii="Times New Roman" w:hAnsi="Times New Roman"/>
          <w:sz w:val="24"/>
          <w:szCs w:val="24"/>
          <w:lang w:eastAsia="zh-CN"/>
        </w:rPr>
        <w:t>井的气组分，在普陆</w:t>
      </w:r>
      <w:r w:rsidRPr="00E67914">
        <w:rPr>
          <w:rFonts w:ascii="Times New Roman" w:hAnsi="Times New Roman"/>
          <w:sz w:val="24"/>
          <w:szCs w:val="24"/>
          <w:lang w:eastAsia="zh-CN"/>
        </w:rPr>
        <w:t>3</w:t>
      </w:r>
      <w:r w:rsidRPr="00E67914">
        <w:rPr>
          <w:rFonts w:ascii="Times New Roman" w:hAnsi="Times New Roman"/>
          <w:sz w:val="24"/>
          <w:szCs w:val="24"/>
          <w:lang w:eastAsia="zh-CN"/>
        </w:rPr>
        <w:t>集气站分离器的气相出口取样化验</w:t>
      </w:r>
      <w:r w:rsidR="00B5604E" w:rsidRPr="00E67914">
        <w:rPr>
          <w:rFonts w:ascii="Times New Roman" w:hAnsi="Times New Roman"/>
          <w:sz w:val="24"/>
          <w:szCs w:val="24"/>
          <w:lang w:eastAsia="zh-CN"/>
        </w:rPr>
        <w:t>，天然气甲烷含量较高（</w:t>
      </w:r>
      <w:r w:rsidR="00B5604E" w:rsidRPr="00E67914">
        <w:rPr>
          <w:rFonts w:ascii="Times New Roman" w:hAnsi="Times New Roman"/>
          <w:sz w:val="24"/>
          <w:szCs w:val="24"/>
          <w:lang w:eastAsia="zh-CN"/>
        </w:rPr>
        <w:t>&gt;85%</w:t>
      </w:r>
      <w:r w:rsidR="00B5604E" w:rsidRPr="00E67914">
        <w:rPr>
          <w:rFonts w:ascii="Times New Roman" w:hAnsi="Times New Roman"/>
          <w:sz w:val="24"/>
          <w:szCs w:val="24"/>
          <w:lang w:eastAsia="zh-CN"/>
        </w:rPr>
        <w:t>），为不含硫化氢的气藏</w:t>
      </w:r>
      <w:r w:rsidRPr="00E67914">
        <w:rPr>
          <w:rFonts w:ascii="Times New Roman" w:hAnsi="Times New Roman"/>
          <w:sz w:val="24"/>
          <w:szCs w:val="24"/>
          <w:lang w:eastAsia="zh-CN"/>
        </w:rPr>
        <w:t>，天然气化验组分见下表：</w:t>
      </w:r>
    </w:p>
    <w:p w14:paraId="472432EE" w14:textId="47CCF6A0" w:rsidR="0066305B" w:rsidRPr="00E67914" w:rsidRDefault="0066305B" w:rsidP="0066305B">
      <w:pPr>
        <w:ind w:firstLine="420"/>
        <w:jc w:val="center"/>
        <w:rPr>
          <w:rFonts w:ascii="Times New Roman" w:eastAsia="黑体" w:hAnsi="Times New Roman"/>
          <w:bCs/>
          <w:sz w:val="21"/>
          <w:szCs w:val="21"/>
          <w:lang w:eastAsia="zh-CN"/>
        </w:rPr>
      </w:pPr>
      <w:r w:rsidRPr="00E67914">
        <w:rPr>
          <w:rFonts w:ascii="Times New Roman" w:eastAsia="黑体" w:hAnsi="Times New Roman"/>
          <w:bCs/>
          <w:sz w:val="21"/>
          <w:szCs w:val="21"/>
          <w:lang w:eastAsia="zh-CN"/>
        </w:rPr>
        <w:t>表</w:t>
      </w:r>
      <w:r w:rsidRPr="00E67914">
        <w:rPr>
          <w:rFonts w:ascii="Times New Roman" w:eastAsia="黑体" w:hAnsi="Times New Roman"/>
          <w:bCs/>
          <w:sz w:val="21"/>
          <w:szCs w:val="21"/>
          <w:lang w:eastAsia="zh-CN"/>
        </w:rPr>
        <w:t xml:space="preserve">3.2-2  </w:t>
      </w:r>
      <w:r w:rsidRPr="00E67914">
        <w:rPr>
          <w:rFonts w:ascii="Times New Roman" w:eastAsia="黑体" w:hAnsi="Times New Roman"/>
          <w:bCs/>
          <w:sz w:val="21"/>
          <w:szCs w:val="21"/>
          <w:lang w:eastAsia="zh-CN"/>
        </w:rPr>
        <w:t>天然气组分及物性表</w:t>
      </w:r>
    </w:p>
    <w:tbl>
      <w:tblPr>
        <w:tblStyle w:val="affa"/>
        <w:tblW w:w="0" w:type="auto"/>
        <w:tblLook w:val="04A0" w:firstRow="1" w:lastRow="0" w:firstColumn="1" w:lastColumn="0" w:noHBand="0" w:noVBand="1"/>
      </w:tblPr>
      <w:tblGrid>
        <w:gridCol w:w="2263"/>
        <w:gridCol w:w="1887"/>
        <w:gridCol w:w="2224"/>
        <w:gridCol w:w="1926"/>
      </w:tblGrid>
      <w:tr w:rsidR="00E67914" w:rsidRPr="00E67914" w14:paraId="25050422" w14:textId="77777777" w:rsidTr="0066305B">
        <w:tc>
          <w:tcPr>
            <w:tcW w:w="2263" w:type="dxa"/>
            <w:vAlign w:val="center"/>
          </w:tcPr>
          <w:p w14:paraId="679A0ED8" w14:textId="00A139A7"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组分</w:t>
            </w:r>
          </w:p>
        </w:tc>
        <w:tc>
          <w:tcPr>
            <w:tcW w:w="1887" w:type="dxa"/>
            <w:vAlign w:val="center"/>
          </w:tcPr>
          <w:p w14:paraId="1C38664A" w14:textId="3131F21B"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摩尔含量</w:t>
            </w:r>
            <w:r w:rsidRPr="00E67914">
              <w:rPr>
                <w:rFonts w:ascii="Times New Roman" w:hAnsi="Times New Roman"/>
                <w:sz w:val="21"/>
                <w:szCs w:val="21"/>
                <w:lang w:eastAsia="zh-CN"/>
              </w:rPr>
              <w:t>%</w:t>
            </w:r>
          </w:p>
        </w:tc>
        <w:tc>
          <w:tcPr>
            <w:tcW w:w="2224" w:type="dxa"/>
            <w:vAlign w:val="center"/>
          </w:tcPr>
          <w:p w14:paraId="3AB8E2A0" w14:textId="0058A888"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组分</w:t>
            </w:r>
          </w:p>
        </w:tc>
        <w:tc>
          <w:tcPr>
            <w:tcW w:w="1926" w:type="dxa"/>
            <w:vAlign w:val="center"/>
          </w:tcPr>
          <w:p w14:paraId="61DAE160" w14:textId="644622E0"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摩尔含量</w:t>
            </w:r>
            <w:r w:rsidRPr="00E67914">
              <w:rPr>
                <w:rFonts w:ascii="Times New Roman" w:hAnsi="Times New Roman"/>
                <w:sz w:val="21"/>
                <w:szCs w:val="21"/>
                <w:lang w:eastAsia="zh-CN"/>
              </w:rPr>
              <w:t>%</w:t>
            </w:r>
          </w:p>
        </w:tc>
      </w:tr>
      <w:tr w:rsidR="00E67914" w:rsidRPr="00E67914" w14:paraId="4B41DB6B" w14:textId="77777777" w:rsidTr="0066305B">
        <w:tc>
          <w:tcPr>
            <w:tcW w:w="2263" w:type="dxa"/>
            <w:vAlign w:val="center"/>
          </w:tcPr>
          <w:p w14:paraId="4C7C412D" w14:textId="40D339F5"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H</w:t>
            </w:r>
            <w:r w:rsidRPr="00E67914">
              <w:rPr>
                <w:rFonts w:ascii="Times New Roman" w:hAnsi="Times New Roman"/>
                <w:sz w:val="21"/>
                <w:szCs w:val="21"/>
                <w:vertAlign w:val="subscript"/>
                <w:lang w:eastAsia="zh-CN"/>
              </w:rPr>
              <w:t>2</w:t>
            </w:r>
          </w:p>
        </w:tc>
        <w:tc>
          <w:tcPr>
            <w:tcW w:w="1887" w:type="dxa"/>
            <w:vAlign w:val="center"/>
          </w:tcPr>
          <w:p w14:paraId="55DD375C" w14:textId="722F8B1D"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0.029</w:t>
            </w:r>
          </w:p>
        </w:tc>
        <w:tc>
          <w:tcPr>
            <w:tcW w:w="2224" w:type="dxa"/>
            <w:vAlign w:val="center"/>
          </w:tcPr>
          <w:p w14:paraId="22A1A05C" w14:textId="2FA0C258"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iC</w:t>
            </w:r>
            <w:r w:rsidRPr="00E67914">
              <w:rPr>
                <w:rFonts w:ascii="Times New Roman" w:hAnsi="Times New Roman"/>
                <w:sz w:val="21"/>
                <w:szCs w:val="21"/>
                <w:vertAlign w:val="subscript"/>
                <w:lang w:eastAsia="zh-CN"/>
              </w:rPr>
              <w:t>4</w:t>
            </w:r>
            <w:r w:rsidRPr="00E67914">
              <w:rPr>
                <w:rFonts w:ascii="Times New Roman" w:hAnsi="Times New Roman"/>
                <w:sz w:val="21"/>
                <w:szCs w:val="21"/>
                <w:lang w:eastAsia="zh-CN"/>
              </w:rPr>
              <w:t>H</w:t>
            </w:r>
            <w:r w:rsidRPr="00E67914">
              <w:rPr>
                <w:rFonts w:ascii="Times New Roman" w:hAnsi="Times New Roman"/>
                <w:sz w:val="21"/>
                <w:szCs w:val="21"/>
                <w:vertAlign w:val="subscript"/>
                <w:lang w:eastAsia="zh-CN"/>
              </w:rPr>
              <w:t>10</w:t>
            </w:r>
          </w:p>
        </w:tc>
        <w:tc>
          <w:tcPr>
            <w:tcW w:w="1926" w:type="dxa"/>
            <w:vAlign w:val="center"/>
          </w:tcPr>
          <w:p w14:paraId="2D91BE64" w14:textId="526AE792"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0.668</w:t>
            </w:r>
          </w:p>
        </w:tc>
      </w:tr>
      <w:tr w:rsidR="00E67914" w:rsidRPr="00E67914" w14:paraId="233FBFC0" w14:textId="77777777" w:rsidTr="0066305B">
        <w:tc>
          <w:tcPr>
            <w:tcW w:w="2263" w:type="dxa"/>
            <w:vAlign w:val="center"/>
          </w:tcPr>
          <w:p w14:paraId="388B7096" w14:textId="3786699B"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He</w:t>
            </w:r>
          </w:p>
        </w:tc>
        <w:tc>
          <w:tcPr>
            <w:tcW w:w="1887" w:type="dxa"/>
            <w:vAlign w:val="center"/>
          </w:tcPr>
          <w:p w14:paraId="586B06BA" w14:textId="00E6E7C5"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0.034</w:t>
            </w:r>
          </w:p>
        </w:tc>
        <w:tc>
          <w:tcPr>
            <w:tcW w:w="2224" w:type="dxa"/>
            <w:vAlign w:val="center"/>
          </w:tcPr>
          <w:p w14:paraId="1CEDFE6A" w14:textId="07771191"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nC</w:t>
            </w:r>
            <w:r w:rsidRPr="00E67914">
              <w:rPr>
                <w:rFonts w:ascii="Times New Roman" w:hAnsi="Times New Roman"/>
                <w:sz w:val="21"/>
                <w:szCs w:val="21"/>
                <w:vertAlign w:val="subscript"/>
                <w:lang w:eastAsia="zh-CN"/>
              </w:rPr>
              <w:t>4</w:t>
            </w:r>
            <w:r w:rsidRPr="00E67914">
              <w:rPr>
                <w:rFonts w:ascii="Times New Roman" w:hAnsi="Times New Roman"/>
                <w:sz w:val="21"/>
                <w:szCs w:val="21"/>
                <w:lang w:eastAsia="zh-CN"/>
              </w:rPr>
              <w:t>H</w:t>
            </w:r>
            <w:r w:rsidRPr="00E67914">
              <w:rPr>
                <w:rFonts w:ascii="Times New Roman" w:hAnsi="Times New Roman"/>
                <w:sz w:val="21"/>
                <w:szCs w:val="21"/>
                <w:vertAlign w:val="subscript"/>
                <w:lang w:eastAsia="zh-CN"/>
              </w:rPr>
              <w:t>10</w:t>
            </w:r>
          </w:p>
        </w:tc>
        <w:tc>
          <w:tcPr>
            <w:tcW w:w="1926" w:type="dxa"/>
            <w:vAlign w:val="center"/>
          </w:tcPr>
          <w:p w14:paraId="7145F11C" w14:textId="1A90898B"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1.19</w:t>
            </w:r>
          </w:p>
        </w:tc>
      </w:tr>
      <w:tr w:rsidR="00E67914" w:rsidRPr="00E67914" w14:paraId="2D29EF6A" w14:textId="77777777" w:rsidTr="0066305B">
        <w:tc>
          <w:tcPr>
            <w:tcW w:w="2263" w:type="dxa"/>
            <w:vAlign w:val="center"/>
          </w:tcPr>
          <w:p w14:paraId="5FABF6E6" w14:textId="79F774B9"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N</w:t>
            </w:r>
            <w:r w:rsidRPr="00E67914">
              <w:rPr>
                <w:rFonts w:ascii="Times New Roman" w:hAnsi="Times New Roman"/>
                <w:sz w:val="21"/>
                <w:szCs w:val="21"/>
                <w:vertAlign w:val="subscript"/>
                <w:lang w:eastAsia="zh-CN"/>
              </w:rPr>
              <w:t>2</w:t>
            </w:r>
          </w:p>
        </w:tc>
        <w:tc>
          <w:tcPr>
            <w:tcW w:w="1887" w:type="dxa"/>
            <w:vAlign w:val="center"/>
          </w:tcPr>
          <w:p w14:paraId="632BC0B3" w14:textId="1C688E96"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1.11</w:t>
            </w:r>
          </w:p>
        </w:tc>
        <w:tc>
          <w:tcPr>
            <w:tcW w:w="2224" w:type="dxa"/>
            <w:vAlign w:val="center"/>
          </w:tcPr>
          <w:p w14:paraId="208C897E" w14:textId="23D84B08"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iC</w:t>
            </w:r>
            <w:r w:rsidRPr="00E67914">
              <w:rPr>
                <w:rFonts w:ascii="Times New Roman" w:hAnsi="Times New Roman"/>
                <w:sz w:val="21"/>
                <w:szCs w:val="21"/>
                <w:vertAlign w:val="subscript"/>
                <w:lang w:eastAsia="zh-CN"/>
              </w:rPr>
              <w:t>5</w:t>
            </w:r>
            <w:r w:rsidRPr="00E67914">
              <w:rPr>
                <w:rFonts w:ascii="Times New Roman" w:hAnsi="Times New Roman"/>
                <w:sz w:val="21"/>
                <w:szCs w:val="21"/>
                <w:lang w:eastAsia="zh-CN"/>
              </w:rPr>
              <w:t>H</w:t>
            </w:r>
            <w:r w:rsidRPr="00E67914">
              <w:rPr>
                <w:rFonts w:ascii="Times New Roman" w:hAnsi="Times New Roman"/>
                <w:sz w:val="21"/>
                <w:szCs w:val="21"/>
                <w:vertAlign w:val="subscript"/>
                <w:lang w:eastAsia="zh-CN"/>
              </w:rPr>
              <w:t>12</w:t>
            </w:r>
          </w:p>
        </w:tc>
        <w:tc>
          <w:tcPr>
            <w:tcW w:w="1926" w:type="dxa"/>
            <w:vAlign w:val="center"/>
          </w:tcPr>
          <w:p w14:paraId="4A8360EB" w14:textId="3B8453DB"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0.57</w:t>
            </w:r>
          </w:p>
        </w:tc>
      </w:tr>
      <w:tr w:rsidR="00E67914" w:rsidRPr="00E67914" w14:paraId="5971A63E" w14:textId="77777777" w:rsidTr="0066305B">
        <w:tc>
          <w:tcPr>
            <w:tcW w:w="2263" w:type="dxa"/>
            <w:vAlign w:val="center"/>
          </w:tcPr>
          <w:p w14:paraId="3CD27965" w14:textId="0282CB62"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CO</w:t>
            </w:r>
            <w:r w:rsidRPr="00E67914">
              <w:rPr>
                <w:rFonts w:ascii="Times New Roman" w:hAnsi="Times New Roman"/>
                <w:sz w:val="21"/>
                <w:szCs w:val="21"/>
                <w:vertAlign w:val="subscript"/>
                <w:lang w:eastAsia="zh-CN"/>
              </w:rPr>
              <w:t>2</w:t>
            </w:r>
          </w:p>
        </w:tc>
        <w:tc>
          <w:tcPr>
            <w:tcW w:w="1887" w:type="dxa"/>
            <w:vAlign w:val="center"/>
          </w:tcPr>
          <w:p w14:paraId="7187E0E5" w14:textId="6E112810"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0.037</w:t>
            </w:r>
          </w:p>
        </w:tc>
        <w:tc>
          <w:tcPr>
            <w:tcW w:w="2224" w:type="dxa"/>
            <w:vAlign w:val="center"/>
          </w:tcPr>
          <w:p w14:paraId="04CB9CCB" w14:textId="2D6BB51A"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iC</w:t>
            </w:r>
            <w:r w:rsidRPr="00E67914">
              <w:rPr>
                <w:rFonts w:ascii="Times New Roman" w:hAnsi="Times New Roman"/>
                <w:sz w:val="21"/>
                <w:szCs w:val="21"/>
                <w:vertAlign w:val="subscript"/>
                <w:lang w:eastAsia="zh-CN"/>
              </w:rPr>
              <w:t>5</w:t>
            </w:r>
            <w:r w:rsidRPr="00E67914">
              <w:rPr>
                <w:rFonts w:ascii="Times New Roman" w:hAnsi="Times New Roman"/>
                <w:sz w:val="21"/>
                <w:szCs w:val="21"/>
                <w:lang w:eastAsia="zh-CN"/>
              </w:rPr>
              <w:t>H</w:t>
            </w:r>
            <w:r w:rsidRPr="00E67914">
              <w:rPr>
                <w:rFonts w:ascii="Times New Roman" w:hAnsi="Times New Roman"/>
                <w:sz w:val="21"/>
                <w:szCs w:val="21"/>
                <w:vertAlign w:val="subscript"/>
                <w:lang w:eastAsia="zh-CN"/>
              </w:rPr>
              <w:t>12</w:t>
            </w:r>
          </w:p>
        </w:tc>
        <w:tc>
          <w:tcPr>
            <w:tcW w:w="1926" w:type="dxa"/>
            <w:vAlign w:val="center"/>
          </w:tcPr>
          <w:p w14:paraId="124AC4EE" w14:textId="594093B4"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0.474</w:t>
            </w:r>
          </w:p>
        </w:tc>
      </w:tr>
      <w:tr w:rsidR="00E67914" w:rsidRPr="00E67914" w14:paraId="580D23D6" w14:textId="77777777" w:rsidTr="0066305B">
        <w:tc>
          <w:tcPr>
            <w:tcW w:w="2263" w:type="dxa"/>
            <w:vAlign w:val="center"/>
          </w:tcPr>
          <w:p w14:paraId="780372CF" w14:textId="462DA3C1"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H</w:t>
            </w:r>
            <w:r w:rsidRPr="00E67914">
              <w:rPr>
                <w:rFonts w:ascii="Times New Roman" w:hAnsi="Times New Roman"/>
                <w:sz w:val="21"/>
                <w:szCs w:val="21"/>
                <w:vertAlign w:val="subscript"/>
                <w:lang w:eastAsia="zh-CN"/>
              </w:rPr>
              <w:t>2</w:t>
            </w:r>
            <w:r w:rsidRPr="00E67914">
              <w:rPr>
                <w:rFonts w:ascii="Times New Roman" w:hAnsi="Times New Roman"/>
                <w:sz w:val="21"/>
                <w:szCs w:val="21"/>
                <w:lang w:eastAsia="zh-CN"/>
              </w:rPr>
              <w:t>S</w:t>
            </w:r>
          </w:p>
        </w:tc>
        <w:tc>
          <w:tcPr>
            <w:tcW w:w="1887" w:type="dxa"/>
            <w:vAlign w:val="center"/>
          </w:tcPr>
          <w:p w14:paraId="37586AAF" w14:textId="23D63BDF"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0.000</w:t>
            </w:r>
          </w:p>
        </w:tc>
        <w:tc>
          <w:tcPr>
            <w:tcW w:w="2224" w:type="dxa"/>
            <w:vAlign w:val="center"/>
          </w:tcPr>
          <w:p w14:paraId="56017C3C" w14:textId="24A54E9C"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C6</w:t>
            </w:r>
          </w:p>
        </w:tc>
        <w:tc>
          <w:tcPr>
            <w:tcW w:w="1926" w:type="dxa"/>
            <w:vAlign w:val="center"/>
          </w:tcPr>
          <w:p w14:paraId="120800A3" w14:textId="302C590B"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0.293</w:t>
            </w:r>
          </w:p>
        </w:tc>
      </w:tr>
      <w:tr w:rsidR="00E67914" w:rsidRPr="00E67914" w14:paraId="0F9A2EF1" w14:textId="77777777" w:rsidTr="0066305B">
        <w:tc>
          <w:tcPr>
            <w:tcW w:w="2263" w:type="dxa"/>
            <w:vAlign w:val="center"/>
          </w:tcPr>
          <w:p w14:paraId="0B24B28B" w14:textId="21CDD1E5"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CH</w:t>
            </w:r>
            <w:r w:rsidRPr="00E67914">
              <w:rPr>
                <w:rFonts w:ascii="Times New Roman" w:hAnsi="Times New Roman"/>
                <w:sz w:val="21"/>
                <w:szCs w:val="21"/>
                <w:vertAlign w:val="subscript"/>
                <w:lang w:eastAsia="zh-CN"/>
              </w:rPr>
              <w:t>4</w:t>
            </w:r>
          </w:p>
        </w:tc>
        <w:tc>
          <w:tcPr>
            <w:tcW w:w="1887" w:type="dxa"/>
            <w:vAlign w:val="center"/>
          </w:tcPr>
          <w:p w14:paraId="19E24442" w14:textId="703A8988"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85.427</w:t>
            </w:r>
          </w:p>
        </w:tc>
        <w:tc>
          <w:tcPr>
            <w:tcW w:w="2224" w:type="dxa"/>
            <w:vAlign w:val="center"/>
          </w:tcPr>
          <w:p w14:paraId="18614F93" w14:textId="5640B18F"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C7</w:t>
            </w:r>
          </w:p>
        </w:tc>
        <w:tc>
          <w:tcPr>
            <w:tcW w:w="1926" w:type="dxa"/>
            <w:vAlign w:val="center"/>
          </w:tcPr>
          <w:p w14:paraId="68368BB3" w14:textId="071F272D"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0.162</w:t>
            </w:r>
          </w:p>
        </w:tc>
      </w:tr>
      <w:tr w:rsidR="00E67914" w:rsidRPr="00E67914" w14:paraId="70917309" w14:textId="77777777" w:rsidTr="0066305B">
        <w:tc>
          <w:tcPr>
            <w:tcW w:w="2263" w:type="dxa"/>
            <w:vAlign w:val="center"/>
          </w:tcPr>
          <w:p w14:paraId="7165D660" w14:textId="7103B305"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C</w:t>
            </w:r>
            <w:r w:rsidRPr="00E67914">
              <w:rPr>
                <w:rFonts w:ascii="Times New Roman" w:hAnsi="Times New Roman"/>
                <w:sz w:val="21"/>
                <w:szCs w:val="21"/>
                <w:vertAlign w:val="subscript"/>
                <w:lang w:eastAsia="zh-CN"/>
              </w:rPr>
              <w:t>2</w:t>
            </w:r>
            <w:r w:rsidRPr="00E67914">
              <w:rPr>
                <w:rFonts w:ascii="Times New Roman" w:hAnsi="Times New Roman"/>
                <w:sz w:val="21"/>
                <w:szCs w:val="21"/>
                <w:lang w:eastAsia="zh-CN"/>
              </w:rPr>
              <w:t>H</w:t>
            </w:r>
            <w:r w:rsidRPr="00E67914">
              <w:rPr>
                <w:rFonts w:ascii="Times New Roman" w:hAnsi="Times New Roman"/>
                <w:sz w:val="21"/>
                <w:szCs w:val="21"/>
                <w:vertAlign w:val="subscript"/>
                <w:lang w:eastAsia="zh-CN"/>
              </w:rPr>
              <w:t>6</w:t>
            </w:r>
          </w:p>
        </w:tc>
        <w:tc>
          <w:tcPr>
            <w:tcW w:w="1887" w:type="dxa"/>
            <w:vAlign w:val="center"/>
          </w:tcPr>
          <w:p w14:paraId="6ADE2665" w14:textId="4303D11D"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7.37</w:t>
            </w:r>
          </w:p>
        </w:tc>
        <w:tc>
          <w:tcPr>
            <w:tcW w:w="2224" w:type="dxa"/>
            <w:vAlign w:val="center"/>
          </w:tcPr>
          <w:p w14:paraId="6773E4E7" w14:textId="1A303D92"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C8</w:t>
            </w:r>
          </w:p>
        </w:tc>
        <w:tc>
          <w:tcPr>
            <w:tcW w:w="1926" w:type="dxa"/>
            <w:vAlign w:val="center"/>
          </w:tcPr>
          <w:p w14:paraId="642167A1" w14:textId="0DB02C54"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0.036</w:t>
            </w:r>
          </w:p>
        </w:tc>
      </w:tr>
      <w:tr w:rsidR="00E67914" w:rsidRPr="00E67914" w14:paraId="344BC605" w14:textId="77777777" w:rsidTr="0066305B">
        <w:tc>
          <w:tcPr>
            <w:tcW w:w="2263" w:type="dxa"/>
            <w:vAlign w:val="center"/>
          </w:tcPr>
          <w:p w14:paraId="363F3065" w14:textId="24ECC023"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C</w:t>
            </w:r>
            <w:r w:rsidRPr="00E67914">
              <w:rPr>
                <w:rFonts w:ascii="Times New Roman" w:hAnsi="Times New Roman"/>
                <w:sz w:val="21"/>
                <w:szCs w:val="21"/>
                <w:vertAlign w:val="subscript"/>
                <w:lang w:eastAsia="zh-CN"/>
              </w:rPr>
              <w:t>3</w:t>
            </w:r>
            <w:r w:rsidRPr="00E67914">
              <w:rPr>
                <w:rFonts w:ascii="Times New Roman" w:hAnsi="Times New Roman"/>
                <w:sz w:val="21"/>
                <w:szCs w:val="21"/>
                <w:lang w:eastAsia="zh-CN"/>
              </w:rPr>
              <w:t>H</w:t>
            </w:r>
            <w:r w:rsidRPr="00E67914">
              <w:rPr>
                <w:rFonts w:ascii="Times New Roman" w:hAnsi="Times New Roman"/>
                <w:sz w:val="21"/>
                <w:szCs w:val="21"/>
                <w:vertAlign w:val="subscript"/>
                <w:lang w:eastAsia="zh-CN"/>
              </w:rPr>
              <w:t>8</w:t>
            </w:r>
          </w:p>
        </w:tc>
        <w:tc>
          <w:tcPr>
            <w:tcW w:w="1887" w:type="dxa"/>
            <w:vAlign w:val="center"/>
          </w:tcPr>
          <w:p w14:paraId="313070E1" w14:textId="69E463D4"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2.60</w:t>
            </w:r>
          </w:p>
        </w:tc>
        <w:tc>
          <w:tcPr>
            <w:tcW w:w="2224" w:type="dxa"/>
            <w:vAlign w:val="center"/>
          </w:tcPr>
          <w:p w14:paraId="2A672794" w14:textId="4B6B61C7"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C9</w:t>
            </w:r>
          </w:p>
        </w:tc>
        <w:tc>
          <w:tcPr>
            <w:tcW w:w="1926" w:type="dxa"/>
            <w:vAlign w:val="center"/>
          </w:tcPr>
          <w:p w14:paraId="52662950" w14:textId="160D78B2"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0.000</w:t>
            </w:r>
          </w:p>
        </w:tc>
      </w:tr>
      <w:tr w:rsidR="00E67914" w:rsidRPr="00E67914" w14:paraId="74E03574" w14:textId="77777777" w:rsidTr="0066305B">
        <w:tc>
          <w:tcPr>
            <w:tcW w:w="2263" w:type="dxa"/>
            <w:vAlign w:val="center"/>
          </w:tcPr>
          <w:p w14:paraId="3EA2472F" w14:textId="2993C779"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相对密度</w:t>
            </w:r>
          </w:p>
        </w:tc>
        <w:tc>
          <w:tcPr>
            <w:tcW w:w="1887" w:type="dxa"/>
            <w:vAlign w:val="center"/>
          </w:tcPr>
          <w:p w14:paraId="7291A1F9" w14:textId="12615638"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0.6815</w:t>
            </w:r>
          </w:p>
        </w:tc>
        <w:tc>
          <w:tcPr>
            <w:tcW w:w="2224" w:type="dxa"/>
            <w:vAlign w:val="center"/>
          </w:tcPr>
          <w:p w14:paraId="57FFCDBC" w14:textId="2FD6AB97"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真实密（</w:t>
            </w:r>
            <w:r w:rsidRPr="00E67914">
              <w:rPr>
                <w:rFonts w:ascii="Times New Roman" w:hAnsi="Times New Roman"/>
                <w:sz w:val="21"/>
                <w:szCs w:val="21"/>
                <w:lang w:eastAsia="zh-CN"/>
              </w:rPr>
              <w:t>kg/m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w:t>
            </w:r>
          </w:p>
        </w:tc>
        <w:tc>
          <w:tcPr>
            <w:tcW w:w="1926" w:type="dxa"/>
            <w:vAlign w:val="center"/>
          </w:tcPr>
          <w:p w14:paraId="0B847DF1" w14:textId="4E96DDD2"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0.8208</w:t>
            </w:r>
          </w:p>
        </w:tc>
      </w:tr>
      <w:tr w:rsidR="00E67914" w:rsidRPr="00E67914" w14:paraId="1232C4E5" w14:textId="77777777" w:rsidTr="0066305B">
        <w:tc>
          <w:tcPr>
            <w:tcW w:w="2263" w:type="dxa"/>
            <w:vAlign w:val="center"/>
          </w:tcPr>
          <w:p w14:paraId="57AA8093" w14:textId="59B185FF"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高位发热（</w:t>
            </w:r>
            <w:r w:rsidRPr="00E67914">
              <w:rPr>
                <w:rFonts w:ascii="Times New Roman" w:hAnsi="Times New Roman"/>
                <w:sz w:val="21"/>
                <w:szCs w:val="21"/>
                <w:lang w:eastAsia="zh-CN"/>
              </w:rPr>
              <w:t>MJ/m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w:t>
            </w:r>
          </w:p>
        </w:tc>
        <w:tc>
          <w:tcPr>
            <w:tcW w:w="1887" w:type="dxa"/>
            <w:vAlign w:val="center"/>
          </w:tcPr>
          <w:p w14:paraId="43136E34" w14:textId="3A3F831A"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43.64</w:t>
            </w:r>
          </w:p>
        </w:tc>
        <w:tc>
          <w:tcPr>
            <w:tcW w:w="2224" w:type="dxa"/>
            <w:vAlign w:val="center"/>
          </w:tcPr>
          <w:p w14:paraId="5B77A2D2" w14:textId="1E9BB895"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沃泊指数（</w:t>
            </w:r>
            <w:r w:rsidRPr="00E67914">
              <w:rPr>
                <w:rFonts w:ascii="Times New Roman" w:hAnsi="Times New Roman"/>
                <w:sz w:val="21"/>
                <w:szCs w:val="21"/>
                <w:lang w:eastAsia="zh-CN"/>
              </w:rPr>
              <w:t>MJ/m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w:t>
            </w:r>
          </w:p>
        </w:tc>
        <w:tc>
          <w:tcPr>
            <w:tcW w:w="1926" w:type="dxa"/>
            <w:vAlign w:val="center"/>
          </w:tcPr>
          <w:p w14:paraId="17AE3BA4" w14:textId="707D1A19" w:rsidR="0066305B" w:rsidRPr="00E67914" w:rsidRDefault="0066305B" w:rsidP="0066305B">
            <w:pPr>
              <w:ind w:left="-63" w:firstLine="75"/>
              <w:jc w:val="center"/>
              <w:rPr>
                <w:rFonts w:ascii="Times New Roman" w:hAnsi="Times New Roman"/>
                <w:sz w:val="21"/>
                <w:szCs w:val="21"/>
                <w:lang w:eastAsia="zh-CN"/>
              </w:rPr>
            </w:pPr>
            <w:r w:rsidRPr="00E67914">
              <w:rPr>
                <w:rFonts w:ascii="Times New Roman" w:hAnsi="Times New Roman"/>
                <w:sz w:val="21"/>
                <w:szCs w:val="21"/>
                <w:lang w:eastAsia="zh-CN"/>
              </w:rPr>
              <w:t>52.86</w:t>
            </w:r>
          </w:p>
        </w:tc>
      </w:tr>
    </w:tbl>
    <w:p w14:paraId="0CFF12A1"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t>3.2.2.3</w:t>
      </w:r>
      <w:r w:rsidRPr="00E67914">
        <w:rPr>
          <w:rFonts w:ascii="Times New Roman" w:eastAsia="黑体" w:hAnsi="Times New Roman"/>
          <w:sz w:val="24"/>
          <w:szCs w:val="24"/>
          <w:lang w:eastAsia="zh-CN"/>
        </w:rPr>
        <w:t>井身结构</w:t>
      </w:r>
    </w:p>
    <w:p w14:paraId="307A6529"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井身结构考虑满足安全钻井的同时，能够达到提速提效的目的，依据有利于安全、优质、高效钻井和油气层保护的原则进行设计。其设计思路如下：</w:t>
      </w:r>
    </w:p>
    <w:p w14:paraId="628791FC"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）本井设计三开次井身结构。</w:t>
      </w:r>
    </w:p>
    <w:p w14:paraId="05F86451" w14:textId="57CEDF3F"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w:t>
      </w:r>
      <w:r w:rsidR="00D3043C" w:rsidRPr="00E67914">
        <w:rPr>
          <w:rFonts w:ascii="Times New Roman" w:hAnsi="Times New Roman"/>
          <w:sz w:val="24"/>
          <w:szCs w:val="24"/>
          <w:lang w:eastAsia="zh-CN"/>
        </w:rPr>
        <w:t>导管：</w:t>
      </w:r>
      <w:r w:rsidRPr="00E67914">
        <w:rPr>
          <w:rFonts w:ascii="Times New Roman" w:hAnsi="Times New Roman"/>
          <w:sz w:val="24"/>
          <w:szCs w:val="24"/>
          <w:lang w:eastAsia="zh-CN"/>
        </w:rPr>
        <w:t>设计导管下深</w:t>
      </w:r>
      <w:r w:rsidRPr="00E67914">
        <w:rPr>
          <w:rFonts w:ascii="Times New Roman" w:hAnsi="Times New Roman"/>
          <w:sz w:val="24"/>
          <w:szCs w:val="24"/>
          <w:lang w:eastAsia="zh-CN"/>
        </w:rPr>
        <w:t>30m</w:t>
      </w:r>
      <w:r w:rsidRPr="00E67914">
        <w:rPr>
          <w:rFonts w:ascii="Times New Roman" w:hAnsi="Times New Roman"/>
          <w:sz w:val="24"/>
          <w:szCs w:val="24"/>
          <w:lang w:eastAsia="zh-CN"/>
        </w:rPr>
        <w:t>，封隔地表易漏层，建立钻井液循环，导管钻前施工预埋。</w:t>
      </w:r>
    </w:p>
    <w:p w14:paraId="252D1CE4" w14:textId="67495F82"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3</w:t>
      </w:r>
      <w:r w:rsidRPr="00E67914">
        <w:rPr>
          <w:rFonts w:ascii="Times New Roman" w:hAnsi="Times New Roman"/>
          <w:sz w:val="24"/>
          <w:szCs w:val="24"/>
          <w:lang w:eastAsia="zh-CN"/>
        </w:rPr>
        <w:t>）</w:t>
      </w:r>
      <w:r w:rsidR="00D3043C" w:rsidRPr="00E67914">
        <w:rPr>
          <w:rFonts w:ascii="Times New Roman" w:hAnsi="Times New Roman"/>
          <w:sz w:val="24"/>
          <w:szCs w:val="24"/>
          <w:lang w:eastAsia="zh-CN"/>
        </w:rPr>
        <w:t>一开：</w:t>
      </w:r>
      <w:r w:rsidRPr="00E67914">
        <w:rPr>
          <w:rFonts w:ascii="Times New Roman" w:hAnsi="Times New Roman"/>
          <w:sz w:val="24"/>
          <w:szCs w:val="24"/>
          <w:lang w:eastAsia="zh-CN"/>
        </w:rPr>
        <w:t>开孔地层不稳定，易漏、易坍塌，表层套管必须封隔上部不稳定易垮层段，建立井口，安装防喷器，</w:t>
      </w:r>
      <w:r w:rsidR="00D3043C" w:rsidRPr="00E67914">
        <w:rPr>
          <w:rFonts w:ascii="Times New Roman" w:hAnsi="Times New Roman"/>
          <w:sz w:val="24"/>
          <w:szCs w:val="24"/>
          <w:lang w:eastAsia="zh-CN"/>
        </w:rPr>
        <w:t>一开</w:t>
      </w:r>
      <w:r w:rsidRPr="00E67914">
        <w:rPr>
          <w:rFonts w:ascii="Times New Roman" w:hAnsi="Times New Roman"/>
          <w:sz w:val="24"/>
          <w:szCs w:val="24"/>
          <w:lang w:eastAsia="zh-CN"/>
        </w:rPr>
        <w:t>Φ339.7mm</w:t>
      </w:r>
      <w:r w:rsidRPr="00E67914">
        <w:rPr>
          <w:rFonts w:ascii="Times New Roman" w:hAnsi="Times New Roman"/>
          <w:sz w:val="24"/>
          <w:szCs w:val="24"/>
          <w:lang w:eastAsia="zh-CN"/>
        </w:rPr>
        <w:t>表层套管设计下深为</w:t>
      </w:r>
      <w:r w:rsidR="00D3043C" w:rsidRPr="00E67914">
        <w:rPr>
          <w:rFonts w:ascii="Times New Roman" w:hAnsi="Times New Roman"/>
          <w:sz w:val="24"/>
          <w:szCs w:val="24"/>
          <w:lang w:eastAsia="zh-CN"/>
        </w:rPr>
        <w:t>3</w:t>
      </w:r>
      <w:r w:rsidRPr="00E67914">
        <w:rPr>
          <w:rFonts w:ascii="Times New Roman" w:hAnsi="Times New Roman"/>
          <w:sz w:val="24"/>
          <w:szCs w:val="24"/>
          <w:lang w:eastAsia="zh-CN"/>
        </w:rPr>
        <w:t>00m</w:t>
      </w:r>
      <w:r w:rsidRPr="00E67914">
        <w:rPr>
          <w:rFonts w:ascii="Times New Roman" w:hAnsi="Times New Roman"/>
          <w:sz w:val="24"/>
          <w:szCs w:val="24"/>
          <w:lang w:eastAsia="zh-CN"/>
        </w:rPr>
        <w:t>。</w:t>
      </w:r>
    </w:p>
    <w:p w14:paraId="4EBA29C6" w14:textId="06996C94" w:rsidR="00A54A8A" w:rsidRPr="00E67914" w:rsidRDefault="00000000" w:rsidP="00D3043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4</w:t>
      </w:r>
      <w:r w:rsidRPr="00E67914">
        <w:rPr>
          <w:rFonts w:ascii="Times New Roman" w:hAnsi="Times New Roman"/>
          <w:sz w:val="24"/>
          <w:szCs w:val="24"/>
          <w:lang w:eastAsia="zh-CN"/>
        </w:rPr>
        <w:t>）</w:t>
      </w:r>
      <w:r w:rsidR="00D3043C" w:rsidRPr="00E67914">
        <w:rPr>
          <w:rFonts w:ascii="Times New Roman" w:hAnsi="Times New Roman"/>
          <w:sz w:val="24"/>
          <w:szCs w:val="24"/>
          <w:lang w:eastAsia="zh-CN"/>
        </w:rPr>
        <w:t>二开：二开采用</w:t>
      </w:r>
      <w:r w:rsidR="00D3043C" w:rsidRPr="00E67914">
        <w:rPr>
          <w:rFonts w:ascii="Times New Roman" w:hAnsi="Times New Roman"/>
          <w:sz w:val="24"/>
          <w:szCs w:val="24"/>
          <w:lang w:eastAsia="zh-CN"/>
        </w:rPr>
        <w:t>Φ311.2mm</w:t>
      </w:r>
      <w:r w:rsidR="00D3043C" w:rsidRPr="00E67914">
        <w:rPr>
          <w:rFonts w:ascii="Times New Roman" w:hAnsi="Times New Roman"/>
          <w:sz w:val="24"/>
          <w:szCs w:val="24"/>
          <w:lang w:eastAsia="zh-CN"/>
        </w:rPr>
        <w:t>钻头钻进至井深</w:t>
      </w:r>
      <w:r w:rsidR="00D3043C" w:rsidRPr="00E67914">
        <w:rPr>
          <w:rFonts w:ascii="Times New Roman" w:hAnsi="Times New Roman"/>
          <w:sz w:val="24"/>
          <w:szCs w:val="24"/>
          <w:lang w:eastAsia="zh-CN"/>
        </w:rPr>
        <w:t>3572m</w:t>
      </w:r>
      <w:r w:rsidR="00D3043C" w:rsidRPr="00E67914">
        <w:rPr>
          <w:rFonts w:ascii="Times New Roman" w:hAnsi="Times New Roman"/>
          <w:sz w:val="24"/>
          <w:szCs w:val="24"/>
          <w:lang w:eastAsia="zh-CN"/>
        </w:rPr>
        <w:t>，</w:t>
      </w:r>
      <w:r w:rsidR="00D3043C" w:rsidRPr="00E67914">
        <w:rPr>
          <w:rFonts w:ascii="Times New Roman" w:hAnsi="Times New Roman"/>
          <w:sz w:val="24"/>
          <w:szCs w:val="24"/>
          <w:lang w:eastAsia="zh-CN"/>
        </w:rPr>
        <w:t>Φ244.5mm</w:t>
      </w:r>
      <w:r w:rsidR="00D3043C" w:rsidRPr="00E67914">
        <w:rPr>
          <w:rFonts w:ascii="Times New Roman" w:hAnsi="Times New Roman"/>
          <w:sz w:val="24"/>
          <w:szCs w:val="24"/>
          <w:lang w:eastAsia="zh-CN"/>
        </w:rPr>
        <w:t>套管下深</w:t>
      </w:r>
      <w:r w:rsidR="00D3043C" w:rsidRPr="00E67914">
        <w:rPr>
          <w:rFonts w:ascii="Times New Roman" w:hAnsi="Times New Roman"/>
          <w:sz w:val="24"/>
          <w:szCs w:val="24"/>
          <w:lang w:eastAsia="zh-CN"/>
        </w:rPr>
        <w:t>3570m</w:t>
      </w:r>
      <w:r w:rsidR="00D3043C" w:rsidRPr="00E67914">
        <w:rPr>
          <w:rFonts w:ascii="Times New Roman" w:hAnsi="Times New Roman"/>
          <w:sz w:val="24"/>
          <w:szCs w:val="24"/>
          <w:lang w:eastAsia="zh-CN"/>
        </w:rPr>
        <w:t>，原则为封隔至沙溪庙底部及上部易漏、易塌的褐红色泥岩，同时考虑尽量减少下一开次裸眼段长度，表层套管封至下沙溪庙底部中完。水泥浆返至地面</w:t>
      </w:r>
      <w:r w:rsidRPr="00E67914">
        <w:rPr>
          <w:rFonts w:ascii="Times New Roman" w:hAnsi="Times New Roman"/>
          <w:sz w:val="24"/>
          <w:szCs w:val="24"/>
          <w:lang w:eastAsia="zh-CN"/>
        </w:rPr>
        <w:t>。</w:t>
      </w:r>
    </w:p>
    <w:p w14:paraId="1844DFB8" w14:textId="3CE588AA" w:rsidR="00D3043C" w:rsidRPr="00E67914" w:rsidRDefault="00000000" w:rsidP="00D3043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5</w:t>
      </w:r>
      <w:r w:rsidRPr="00E67914">
        <w:rPr>
          <w:rFonts w:ascii="Times New Roman" w:hAnsi="Times New Roman"/>
          <w:sz w:val="24"/>
          <w:szCs w:val="24"/>
          <w:lang w:eastAsia="zh-CN"/>
        </w:rPr>
        <w:t>）</w:t>
      </w:r>
      <w:r w:rsidR="00D3043C" w:rsidRPr="00E67914">
        <w:rPr>
          <w:rFonts w:ascii="Times New Roman" w:hAnsi="Times New Roman"/>
          <w:sz w:val="24"/>
          <w:szCs w:val="24"/>
          <w:lang w:eastAsia="zh-CN"/>
        </w:rPr>
        <w:t>三开：三开采用</w:t>
      </w:r>
      <w:r w:rsidR="00D3043C" w:rsidRPr="00E67914">
        <w:rPr>
          <w:rFonts w:ascii="Times New Roman" w:hAnsi="Times New Roman"/>
          <w:sz w:val="24"/>
          <w:szCs w:val="24"/>
          <w:lang w:eastAsia="zh-CN"/>
        </w:rPr>
        <w:t>Φ215.9mm</w:t>
      </w:r>
      <w:r w:rsidR="00D3043C" w:rsidRPr="00E67914">
        <w:rPr>
          <w:rFonts w:ascii="Times New Roman" w:hAnsi="Times New Roman"/>
          <w:sz w:val="24"/>
          <w:szCs w:val="24"/>
          <w:lang w:eastAsia="zh-CN"/>
        </w:rPr>
        <w:t>钻头钻至设计井深，下入</w:t>
      </w:r>
      <w:r w:rsidR="00D3043C" w:rsidRPr="00E67914">
        <w:rPr>
          <w:rFonts w:ascii="Times New Roman" w:hAnsi="Times New Roman"/>
          <w:sz w:val="24"/>
          <w:szCs w:val="24"/>
          <w:lang w:eastAsia="zh-CN"/>
        </w:rPr>
        <w:t>Φ139.7mm</w:t>
      </w:r>
      <w:r w:rsidR="00D3043C" w:rsidRPr="00E67914">
        <w:rPr>
          <w:rFonts w:ascii="Times New Roman" w:hAnsi="Times New Roman"/>
          <w:sz w:val="24"/>
          <w:szCs w:val="24"/>
          <w:lang w:eastAsia="zh-CN"/>
        </w:rPr>
        <w:t>套管。</w:t>
      </w:r>
      <w:r w:rsidR="00D3043C" w:rsidRPr="00E67914">
        <w:rPr>
          <w:rFonts w:ascii="Times New Roman" w:hAnsi="Times New Roman"/>
          <w:sz w:val="24"/>
          <w:szCs w:val="24"/>
          <w:lang w:eastAsia="zh-CN"/>
        </w:rPr>
        <w:lastRenderedPageBreak/>
        <w:t>水泥浆返至上层套管鞋以上</w:t>
      </w:r>
      <w:r w:rsidR="00D3043C" w:rsidRPr="00E67914">
        <w:rPr>
          <w:rFonts w:ascii="Times New Roman" w:hAnsi="Times New Roman"/>
          <w:sz w:val="24"/>
          <w:szCs w:val="24"/>
          <w:lang w:eastAsia="zh-CN"/>
        </w:rPr>
        <w:t>500m</w:t>
      </w:r>
      <w:r w:rsidR="00D3043C" w:rsidRPr="00E67914">
        <w:rPr>
          <w:rFonts w:ascii="Times New Roman" w:hAnsi="Times New Roman"/>
          <w:sz w:val="24"/>
          <w:szCs w:val="24"/>
          <w:lang w:eastAsia="zh-CN"/>
        </w:rPr>
        <w:t>。</w:t>
      </w:r>
      <w:r w:rsidR="00D3043C" w:rsidRPr="00E67914">
        <w:rPr>
          <w:rFonts w:ascii="Times New Roman" w:hAnsi="Times New Roman"/>
          <w:sz w:val="24"/>
          <w:szCs w:val="24"/>
          <w:lang w:eastAsia="zh-CN"/>
        </w:rPr>
        <w:t>Φ139.7mm</w:t>
      </w:r>
      <w:r w:rsidR="00D3043C" w:rsidRPr="00E67914">
        <w:rPr>
          <w:rFonts w:ascii="Times New Roman" w:hAnsi="Times New Roman"/>
          <w:sz w:val="24"/>
          <w:szCs w:val="24"/>
          <w:lang w:eastAsia="zh-CN"/>
        </w:rPr>
        <w:t>套管的选择依据后期压裂要求。</w:t>
      </w:r>
    </w:p>
    <w:p w14:paraId="56E16DB1" w14:textId="2547571C" w:rsidR="00A54A8A" w:rsidRPr="00E67914" w:rsidRDefault="00D3043C" w:rsidP="00D3043C">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各层套管的下深按设计原则，以实钻地层深度加以修正。</w:t>
      </w:r>
    </w:p>
    <w:p w14:paraId="2139F432"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井深结构设计如下图所示：</w:t>
      </w:r>
    </w:p>
    <w:p w14:paraId="75F28BEB" w14:textId="09501A5D"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3.2-3  </w:t>
      </w:r>
      <w:r w:rsidRPr="00E67914">
        <w:rPr>
          <w:rFonts w:ascii="Times New Roman" w:eastAsia="黑体" w:hAnsi="Times New Roman"/>
          <w:sz w:val="21"/>
          <w:szCs w:val="21"/>
          <w:lang w:eastAsia="zh-CN"/>
        </w:rPr>
        <w:t>井身结构设计</w:t>
      </w:r>
      <w:r w:rsidR="00466D1D" w:rsidRPr="00E67914">
        <w:rPr>
          <w:rFonts w:ascii="Times New Roman" w:eastAsia="黑体" w:hAnsi="Times New Roman"/>
          <w:sz w:val="21"/>
          <w:szCs w:val="21"/>
          <w:lang w:eastAsia="zh-CN"/>
        </w:rPr>
        <w:t>（以普陆页</w:t>
      </w:r>
      <w:r w:rsidR="00466D1D" w:rsidRPr="00E67914">
        <w:rPr>
          <w:rFonts w:ascii="Times New Roman" w:eastAsia="黑体" w:hAnsi="Times New Roman"/>
          <w:sz w:val="21"/>
          <w:szCs w:val="21"/>
          <w:lang w:eastAsia="zh-CN"/>
        </w:rPr>
        <w:t>2-2</w:t>
      </w:r>
      <w:r w:rsidR="00466D1D" w:rsidRPr="00E67914">
        <w:rPr>
          <w:rFonts w:ascii="Times New Roman" w:eastAsia="黑体" w:hAnsi="Times New Roman"/>
          <w:sz w:val="21"/>
          <w:szCs w:val="21"/>
          <w:lang w:eastAsia="zh-CN"/>
        </w:rPr>
        <w:t>为例）</w:t>
      </w:r>
    </w:p>
    <w:tbl>
      <w:tblPr>
        <w:tblStyle w:val="affa"/>
        <w:tblW w:w="5000" w:type="pct"/>
        <w:tblLook w:val="04A0" w:firstRow="1" w:lastRow="0" w:firstColumn="1" w:lastColumn="0" w:noHBand="0" w:noVBand="1"/>
      </w:tblPr>
      <w:tblGrid>
        <w:gridCol w:w="547"/>
        <w:gridCol w:w="547"/>
        <w:gridCol w:w="438"/>
        <w:gridCol w:w="770"/>
        <w:gridCol w:w="862"/>
        <w:gridCol w:w="711"/>
        <w:gridCol w:w="656"/>
        <w:gridCol w:w="1401"/>
        <w:gridCol w:w="1276"/>
        <w:gridCol w:w="1092"/>
      </w:tblGrid>
      <w:tr w:rsidR="00E67914" w:rsidRPr="00E67914" w14:paraId="3D6B5837" w14:textId="77777777" w:rsidTr="00223052">
        <w:tc>
          <w:tcPr>
            <w:tcW w:w="1467" w:type="pct"/>
            <w:gridSpan w:val="4"/>
            <w:vAlign w:val="center"/>
          </w:tcPr>
          <w:p w14:paraId="452B5821" w14:textId="77777777" w:rsidR="00466D1D" w:rsidRPr="00E67914" w:rsidRDefault="00466D1D" w:rsidP="00223052">
            <w:pPr>
              <w:jc w:val="center"/>
              <w:rPr>
                <w:rFonts w:ascii="Times New Roman" w:hAnsi="Times New Roman"/>
              </w:rPr>
            </w:pPr>
            <w:r w:rsidRPr="00E67914">
              <w:rPr>
                <w:rFonts w:ascii="Times New Roman" w:hAnsi="Times New Roman"/>
              </w:rPr>
              <w:t>地层分层</w:t>
            </w:r>
          </w:p>
        </w:tc>
        <w:tc>
          <w:tcPr>
            <w:tcW w:w="982" w:type="pct"/>
            <w:gridSpan w:val="2"/>
            <w:vAlign w:val="center"/>
          </w:tcPr>
          <w:p w14:paraId="2AE0B1B2" w14:textId="77777777" w:rsidR="00466D1D" w:rsidRPr="00E67914" w:rsidRDefault="00466D1D" w:rsidP="00223052">
            <w:pPr>
              <w:jc w:val="center"/>
              <w:rPr>
                <w:rFonts w:ascii="Times New Roman" w:hAnsi="Times New Roman"/>
              </w:rPr>
            </w:pPr>
            <w:r w:rsidRPr="00E67914">
              <w:rPr>
                <w:rFonts w:ascii="Times New Roman" w:hAnsi="Times New Roman"/>
                <w:sz w:val="21"/>
                <w:szCs w:val="21"/>
              </w:rPr>
              <w:t>设计地层</w:t>
            </w:r>
          </w:p>
        </w:tc>
        <w:tc>
          <w:tcPr>
            <w:tcW w:w="284" w:type="pct"/>
            <w:vMerge w:val="restart"/>
            <w:vAlign w:val="center"/>
          </w:tcPr>
          <w:p w14:paraId="090DCCFD" w14:textId="77777777" w:rsidR="00466D1D" w:rsidRPr="00E67914" w:rsidRDefault="00466D1D" w:rsidP="00223052">
            <w:pPr>
              <w:adjustRightInd w:val="0"/>
              <w:snapToGrid w:val="0"/>
              <w:spacing w:line="312" w:lineRule="auto"/>
              <w:jc w:val="center"/>
              <w:rPr>
                <w:rFonts w:ascii="Times New Roman" w:hAnsi="Times New Roman"/>
                <w:sz w:val="21"/>
                <w:szCs w:val="21"/>
              </w:rPr>
            </w:pPr>
            <w:r w:rsidRPr="00E67914">
              <w:rPr>
                <w:rFonts w:ascii="Times New Roman" w:hAnsi="Times New Roman"/>
                <w:sz w:val="21"/>
                <w:szCs w:val="21"/>
              </w:rPr>
              <w:t>开钻</w:t>
            </w:r>
          </w:p>
          <w:p w14:paraId="717DB8C9" w14:textId="77777777" w:rsidR="00466D1D" w:rsidRPr="00E67914" w:rsidRDefault="00466D1D" w:rsidP="00223052">
            <w:pPr>
              <w:jc w:val="center"/>
              <w:rPr>
                <w:rFonts w:ascii="Times New Roman" w:hAnsi="Times New Roman"/>
              </w:rPr>
            </w:pPr>
            <w:r w:rsidRPr="00E67914">
              <w:rPr>
                <w:rFonts w:ascii="Times New Roman" w:hAnsi="Times New Roman"/>
                <w:sz w:val="21"/>
                <w:szCs w:val="21"/>
              </w:rPr>
              <w:t>次数</w:t>
            </w:r>
          </w:p>
        </w:tc>
        <w:tc>
          <w:tcPr>
            <w:tcW w:w="844" w:type="pct"/>
            <w:vMerge w:val="restart"/>
            <w:vAlign w:val="center"/>
          </w:tcPr>
          <w:p w14:paraId="7F26DDAB" w14:textId="77777777" w:rsidR="00466D1D" w:rsidRPr="00E67914" w:rsidRDefault="00466D1D" w:rsidP="00223052">
            <w:pPr>
              <w:tabs>
                <w:tab w:val="left" w:pos="975"/>
              </w:tabs>
              <w:ind w:left="975" w:hanging="975"/>
              <w:jc w:val="center"/>
              <w:rPr>
                <w:rFonts w:ascii="Times New Roman" w:hAnsi="Times New Roman"/>
                <w:sz w:val="21"/>
                <w:szCs w:val="21"/>
                <w:lang w:eastAsia="zh-CN"/>
              </w:rPr>
            </w:pPr>
            <w:r w:rsidRPr="00E67914">
              <w:rPr>
                <w:rFonts w:ascii="Times New Roman" w:hAnsi="Times New Roman"/>
                <w:sz w:val="21"/>
                <w:szCs w:val="21"/>
                <w:lang w:eastAsia="zh-CN"/>
              </w:rPr>
              <w:t>钻头直径</w:t>
            </w:r>
            <w:r w:rsidRPr="00E67914">
              <w:rPr>
                <w:rFonts w:ascii="Times New Roman" w:hAnsi="Times New Roman"/>
                <w:sz w:val="21"/>
                <w:szCs w:val="21"/>
                <w:lang w:eastAsia="zh-CN"/>
              </w:rPr>
              <w:t>×</w:t>
            </w:r>
          </w:p>
          <w:p w14:paraId="1112E3A2" w14:textId="77777777" w:rsidR="00466D1D" w:rsidRPr="00E67914" w:rsidRDefault="00466D1D" w:rsidP="00223052">
            <w:pPr>
              <w:tabs>
                <w:tab w:val="left" w:pos="975"/>
              </w:tabs>
              <w:ind w:left="975" w:hanging="975"/>
              <w:jc w:val="center"/>
              <w:rPr>
                <w:rFonts w:ascii="Times New Roman" w:hAnsi="Times New Roman"/>
                <w:sz w:val="21"/>
                <w:szCs w:val="21"/>
                <w:lang w:eastAsia="zh-CN"/>
              </w:rPr>
            </w:pPr>
            <w:r w:rsidRPr="00E67914">
              <w:rPr>
                <w:rFonts w:ascii="Times New Roman" w:hAnsi="Times New Roman"/>
                <w:sz w:val="21"/>
                <w:szCs w:val="21"/>
                <w:lang w:eastAsia="zh-CN"/>
              </w:rPr>
              <w:t>钻深</w:t>
            </w:r>
          </w:p>
          <w:p w14:paraId="1CB370BB" w14:textId="77777777" w:rsidR="00466D1D" w:rsidRPr="00E67914" w:rsidRDefault="00466D1D" w:rsidP="00223052">
            <w:pPr>
              <w:jc w:val="center"/>
              <w:rPr>
                <w:rFonts w:ascii="Times New Roman" w:hAnsi="Times New Roman"/>
                <w:lang w:eastAsia="zh-CN"/>
              </w:rPr>
            </w:pPr>
            <w:r w:rsidRPr="00E67914">
              <w:rPr>
                <w:rFonts w:ascii="Times New Roman" w:hAnsi="Times New Roman"/>
                <w:sz w:val="21"/>
                <w:szCs w:val="21"/>
                <w:lang w:eastAsia="zh-CN"/>
              </w:rPr>
              <w:t>mm×m</w:t>
            </w:r>
          </w:p>
        </w:tc>
        <w:tc>
          <w:tcPr>
            <w:tcW w:w="739" w:type="pct"/>
            <w:vMerge w:val="restart"/>
            <w:vAlign w:val="center"/>
          </w:tcPr>
          <w:p w14:paraId="2AF87639" w14:textId="77777777" w:rsidR="00466D1D" w:rsidRPr="00E67914" w:rsidRDefault="00466D1D" w:rsidP="00223052">
            <w:pPr>
              <w:jc w:val="center"/>
              <w:rPr>
                <w:rFonts w:ascii="Times New Roman" w:hAnsi="Times New Roman"/>
                <w:sz w:val="21"/>
                <w:szCs w:val="21"/>
                <w:lang w:eastAsia="zh-CN"/>
              </w:rPr>
            </w:pPr>
            <w:r w:rsidRPr="00E67914">
              <w:rPr>
                <w:rFonts w:ascii="Times New Roman" w:hAnsi="Times New Roman"/>
                <w:sz w:val="21"/>
                <w:szCs w:val="21"/>
                <w:lang w:eastAsia="zh-CN"/>
              </w:rPr>
              <w:t>套管直径</w:t>
            </w:r>
            <w:r w:rsidRPr="00E67914">
              <w:rPr>
                <w:rFonts w:ascii="Times New Roman" w:hAnsi="Times New Roman"/>
                <w:sz w:val="21"/>
                <w:szCs w:val="21"/>
                <w:lang w:eastAsia="zh-CN"/>
              </w:rPr>
              <w:t>×</w:t>
            </w:r>
          </w:p>
          <w:p w14:paraId="18DC3CB4" w14:textId="77777777" w:rsidR="00466D1D" w:rsidRPr="00E67914" w:rsidRDefault="00466D1D" w:rsidP="00223052">
            <w:pPr>
              <w:jc w:val="center"/>
              <w:rPr>
                <w:rFonts w:ascii="Times New Roman" w:hAnsi="Times New Roman"/>
                <w:sz w:val="21"/>
                <w:szCs w:val="21"/>
                <w:lang w:eastAsia="zh-CN"/>
              </w:rPr>
            </w:pPr>
            <w:r w:rsidRPr="00E67914">
              <w:rPr>
                <w:rFonts w:ascii="Times New Roman" w:hAnsi="Times New Roman"/>
                <w:sz w:val="21"/>
                <w:szCs w:val="21"/>
                <w:lang w:eastAsia="zh-CN"/>
              </w:rPr>
              <w:t>下深</w:t>
            </w:r>
          </w:p>
          <w:p w14:paraId="5411909E" w14:textId="77777777" w:rsidR="00466D1D" w:rsidRPr="00E67914" w:rsidRDefault="00466D1D" w:rsidP="00223052">
            <w:pPr>
              <w:jc w:val="center"/>
              <w:rPr>
                <w:rFonts w:ascii="Times New Roman" w:hAnsi="Times New Roman"/>
                <w:lang w:eastAsia="zh-CN"/>
              </w:rPr>
            </w:pPr>
            <w:r w:rsidRPr="00E67914">
              <w:rPr>
                <w:rFonts w:ascii="Times New Roman" w:hAnsi="Times New Roman"/>
                <w:sz w:val="21"/>
                <w:szCs w:val="21"/>
                <w:lang w:eastAsia="zh-CN"/>
              </w:rPr>
              <w:t>mm×m</w:t>
            </w:r>
          </w:p>
        </w:tc>
        <w:tc>
          <w:tcPr>
            <w:tcW w:w="684" w:type="pct"/>
            <w:vMerge w:val="restart"/>
            <w:vAlign w:val="center"/>
          </w:tcPr>
          <w:p w14:paraId="40E5E553" w14:textId="77777777" w:rsidR="00466D1D" w:rsidRPr="00E67914" w:rsidRDefault="00466D1D" w:rsidP="00223052">
            <w:pPr>
              <w:adjustRightInd w:val="0"/>
              <w:snapToGrid w:val="0"/>
              <w:spacing w:line="312" w:lineRule="auto"/>
              <w:jc w:val="center"/>
              <w:rPr>
                <w:rFonts w:ascii="Times New Roman" w:hAnsi="Times New Roman"/>
                <w:sz w:val="21"/>
                <w:szCs w:val="21"/>
              </w:rPr>
            </w:pPr>
            <w:r w:rsidRPr="00E67914">
              <w:rPr>
                <w:rFonts w:ascii="Times New Roman" w:hAnsi="Times New Roman"/>
                <w:sz w:val="21"/>
                <w:szCs w:val="21"/>
              </w:rPr>
              <w:t>井身</w:t>
            </w:r>
          </w:p>
          <w:p w14:paraId="4E9B7885" w14:textId="77777777" w:rsidR="00466D1D" w:rsidRPr="00E67914" w:rsidRDefault="00466D1D" w:rsidP="00223052">
            <w:pPr>
              <w:jc w:val="center"/>
              <w:rPr>
                <w:rFonts w:ascii="Times New Roman" w:hAnsi="Times New Roman"/>
              </w:rPr>
            </w:pPr>
            <w:r w:rsidRPr="00E67914">
              <w:rPr>
                <w:rFonts w:ascii="Times New Roman" w:hAnsi="Times New Roman"/>
                <w:sz w:val="21"/>
                <w:szCs w:val="21"/>
              </w:rPr>
              <w:t>结构</w:t>
            </w:r>
          </w:p>
        </w:tc>
      </w:tr>
      <w:tr w:rsidR="00E67914" w:rsidRPr="00E67914" w14:paraId="68786F64" w14:textId="77777777" w:rsidTr="00223052">
        <w:tc>
          <w:tcPr>
            <w:tcW w:w="350" w:type="pct"/>
            <w:vAlign w:val="center"/>
          </w:tcPr>
          <w:p w14:paraId="5A23FDE9" w14:textId="77777777" w:rsidR="00466D1D" w:rsidRPr="00E67914" w:rsidRDefault="00466D1D" w:rsidP="00223052">
            <w:pPr>
              <w:jc w:val="center"/>
              <w:rPr>
                <w:rFonts w:ascii="Times New Roman" w:hAnsi="Times New Roman"/>
              </w:rPr>
            </w:pPr>
            <w:r w:rsidRPr="00E67914">
              <w:rPr>
                <w:rFonts w:ascii="Times New Roman" w:hAnsi="Times New Roman"/>
                <w:sz w:val="21"/>
                <w:szCs w:val="21"/>
              </w:rPr>
              <w:t>界</w:t>
            </w:r>
          </w:p>
        </w:tc>
        <w:tc>
          <w:tcPr>
            <w:tcW w:w="350" w:type="pct"/>
            <w:vAlign w:val="center"/>
          </w:tcPr>
          <w:p w14:paraId="31D0BBDF" w14:textId="77777777" w:rsidR="00466D1D" w:rsidRPr="00E67914" w:rsidRDefault="00466D1D" w:rsidP="00223052">
            <w:pPr>
              <w:jc w:val="center"/>
              <w:rPr>
                <w:rFonts w:ascii="Times New Roman" w:hAnsi="Times New Roman"/>
              </w:rPr>
            </w:pPr>
            <w:r w:rsidRPr="00E67914">
              <w:rPr>
                <w:rFonts w:ascii="Times New Roman" w:hAnsi="Times New Roman"/>
                <w:sz w:val="21"/>
                <w:szCs w:val="21"/>
              </w:rPr>
              <w:t>系</w:t>
            </w:r>
          </w:p>
        </w:tc>
        <w:tc>
          <w:tcPr>
            <w:tcW w:w="284" w:type="pct"/>
            <w:vAlign w:val="center"/>
          </w:tcPr>
          <w:p w14:paraId="2FC426E4" w14:textId="77777777" w:rsidR="00466D1D" w:rsidRPr="00E67914" w:rsidRDefault="00466D1D" w:rsidP="00223052">
            <w:pPr>
              <w:jc w:val="center"/>
              <w:rPr>
                <w:rFonts w:ascii="Times New Roman" w:hAnsi="Times New Roman"/>
              </w:rPr>
            </w:pPr>
            <w:r w:rsidRPr="00E67914">
              <w:rPr>
                <w:rFonts w:ascii="Times New Roman" w:hAnsi="Times New Roman"/>
                <w:sz w:val="21"/>
                <w:szCs w:val="21"/>
              </w:rPr>
              <w:t>统</w:t>
            </w:r>
          </w:p>
        </w:tc>
        <w:tc>
          <w:tcPr>
            <w:tcW w:w="484" w:type="pct"/>
            <w:vAlign w:val="center"/>
          </w:tcPr>
          <w:p w14:paraId="1314BA3E" w14:textId="77777777" w:rsidR="00466D1D" w:rsidRPr="00E67914" w:rsidRDefault="00466D1D" w:rsidP="00223052">
            <w:pPr>
              <w:jc w:val="center"/>
              <w:rPr>
                <w:rFonts w:ascii="Times New Roman" w:hAnsi="Times New Roman"/>
              </w:rPr>
            </w:pPr>
            <w:r w:rsidRPr="00E67914">
              <w:rPr>
                <w:rFonts w:ascii="Times New Roman" w:hAnsi="Times New Roman"/>
                <w:sz w:val="21"/>
                <w:szCs w:val="21"/>
              </w:rPr>
              <w:t>组</w:t>
            </w:r>
          </w:p>
        </w:tc>
        <w:tc>
          <w:tcPr>
            <w:tcW w:w="539" w:type="pct"/>
            <w:vAlign w:val="center"/>
          </w:tcPr>
          <w:p w14:paraId="1D39A5F5" w14:textId="77777777" w:rsidR="00466D1D" w:rsidRPr="00E67914" w:rsidRDefault="00466D1D" w:rsidP="00223052">
            <w:pPr>
              <w:jc w:val="center"/>
              <w:rPr>
                <w:rFonts w:ascii="Times New Roman" w:hAnsi="Times New Roman"/>
              </w:rPr>
            </w:pPr>
            <w:r w:rsidRPr="00E67914">
              <w:rPr>
                <w:rFonts w:ascii="Times New Roman" w:hAnsi="Times New Roman"/>
                <w:sz w:val="21"/>
                <w:szCs w:val="21"/>
              </w:rPr>
              <w:t>底垂深</w:t>
            </w:r>
            <w:r w:rsidRPr="00E67914">
              <w:rPr>
                <w:rFonts w:ascii="Times New Roman" w:hAnsi="Times New Roman"/>
                <w:sz w:val="21"/>
                <w:szCs w:val="21"/>
              </w:rPr>
              <w:t>m</w:t>
            </w:r>
          </w:p>
        </w:tc>
        <w:tc>
          <w:tcPr>
            <w:tcW w:w="443" w:type="pct"/>
            <w:vAlign w:val="center"/>
          </w:tcPr>
          <w:p w14:paraId="47A05BC7" w14:textId="77777777" w:rsidR="00466D1D" w:rsidRPr="00E67914" w:rsidRDefault="00466D1D" w:rsidP="00223052">
            <w:pPr>
              <w:jc w:val="center"/>
              <w:rPr>
                <w:rFonts w:ascii="Times New Roman" w:hAnsi="Times New Roman"/>
              </w:rPr>
            </w:pPr>
            <w:r w:rsidRPr="00E67914">
              <w:rPr>
                <w:rFonts w:ascii="Times New Roman" w:hAnsi="Times New Roman"/>
                <w:szCs w:val="21"/>
              </w:rPr>
              <w:t>厚度</w:t>
            </w:r>
            <w:r w:rsidRPr="00E67914">
              <w:rPr>
                <w:rFonts w:ascii="Times New Roman" w:hAnsi="Times New Roman"/>
                <w:szCs w:val="21"/>
                <w:lang w:eastAsia="zh-CN"/>
              </w:rPr>
              <w:t>m</w:t>
            </w:r>
          </w:p>
        </w:tc>
        <w:tc>
          <w:tcPr>
            <w:tcW w:w="284" w:type="pct"/>
            <w:vMerge/>
            <w:vAlign w:val="center"/>
          </w:tcPr>
          <w:p w14:paraId="6DEDCED6" w14:textId="77777777" w:rsidR="00466D1D" w:rsidRPr="00E67914" w:rsidRDefault="00466D1D" w:rsidP="00223052">
            <w:pPr>
              <w:jc w:val="center"/>
              <w:rPr>
                <w:rFonts w:ascii="Times New Roman" w:hAnsi="Times New Roman"/>
              </w:rPr>
            </w:pPr>
          </w:p>
        </w:tc>
        <w:tc>
          <w:tcPr>
            <w:tcW w:w="844" w:type="pct"/>
            <w:vMerge/>
            <w:vAlign w:val="center"/>
          </w:tcPr>
          <w:p w14:paraId="5724D702" w14:textId="77777777" w:rsidR="00466D1D" w:rsidRPr="00E67914" w:rsidRDefault="00466D1D" w:rsidP="00223052">
            <w:pPr>
              <w:jc w:val="center"/>
              <w:rPr>
                <w:rFonts w:ascii="Times New Roman" w:hAnsi="Times New Roman"/>
              </w:rPr>
            </w:pPr>
          </w:p>
        </w:tc>
        <w:tc>
          <w:tcPr>
            <w:tcW w:w="739" w:type="pct"/>
            <w:vMerge/>
            <w:vAlign w:val="center"/>
          </w:tcPr>
          <w:p w14:paraId="3B595DE4" w14:textId="77777777" w:rsidR="00466D1D" w:rsidRPr="00E67914" w:rsidRDefault="00466D1D" w:rsidP="00223052">
            <w:pPr>
              <w:jc w:val="center"/>
              <w:rPr>
                <w:rFonts w:ascii="Times New Roman" w:hAnsi="Times New Roman"/>
              </w:rPr>
            </w:pPr>
          </w:p>
        </w:tc>
        <w:tc>
          <w:tcPr>
            <w:tcW w:w="684" w:type="pct"/>
            <w:vMerge/>
            <w:vAlign w:val="center"/>
          </w:tcPr>
          <w:p w14:paraId="6E73B876" w14:textId="77777777" w:rsidR="00466D1D" w:rsidRPr="00E67914" w:rsidRDefault="00466D1D" w:rsidP="00223052">
            <w:pPr>
              <w:jc w:val="center"/>
              <w:rPr>
                <w:rFonts w:ascii="Times New Roman" w:hAnsi="Times New Roman"/>
              </w:rPr>
            </w:pPr>
          </w:p>
        </w:tc>
      </w:tr>
      <w:tr w:rsidR="00E67914" w:rsidRPr="00E67914" w14:paraId="3A6B299B" w14:textId="77777777" w:rsidTr="00223052">
        <w:tc>
          <w:tcPr>
            <w:tcW w:w="350" w:type="pct"/>
            <w:vMerge w:val="restart"/>
            <w:vAlign w:val="center"/>
          </w:tcPr>
          <w:p w14:paraId="6F563826" w14:textId="77777777" w:rsidR="00466D1D" w:rsidRPr="00E67914" w:rsidRDefault="00466D1D" w:rsidP="00223052">
            <w:pPr>
              <w:jc w:val="center"/>
              <w:rPr>
                <w:rFonts w:ascii="Times New Roman" w:hAnsi="Times New Roman"/>
              </w:rPr>
            </w:pPr>
            <w:r w:rsidRPr="00E67914">
              <w:rPr>
                <w:rFonts w:ascii="Times New Roman" w:hAnsi="Times New Roman"/>
              </w:rPr>
              <w:t>中生界</w:t>
            </w:r>
          </w:p>
        </w:tc>
        <w:tc>
          <w:tcPr>
            <w:tcW w:w="350" w:type="pct"/>
            <w:vMerge w:val="restart"/>
            <w:vAlign w:val="center"/>
          </w:tcPr>
          <w:p w14:paraId="59B50E6D" w14:textId="77777777" w:rsidR="00466D1D" w:rsidRPr="00E67914" w:rsidRDefault="00466D1D" w:rsidP="00223052">
            <w:pPr>
              <w:jc w:val="center"/>
              <w:rPr>
                <w:rFonts w:ascii="Times New Roman" w:hAnsi="Times New Roman"/>
              </w:rPr>
            </w:pPr>
            <w:r w:rsidRPr="00E67914">
              <w:rPr>
                <w:rFonts w:ascii="Times New Roman" w:hAnsi="Times New Roman"/>
              </w:rPr>
              <w:t>侏罗系</w:t>
            </w:r>
          </w:p>
        </w:tc>
        <w:tc>
          <w:tcPr>
            <w:tcW w:w="284" w:type="pct"/>
            <w:vAlign w:val="center"/>
          </w:tcPr>
          <w:p w14:paraId="11F758EC" w14:textId="77777777" w:rsidR="00466D1D" w:rsidRPr="00E67914" w:rsidRDefault="00466D1D" w:rsidP="00223052">
            <w:pPr>
              <w:jc w:val="center"/>
              <w:rPr>
                <w:rFonts w:ascii="Times New Roman" w:hAnsi="Times New Roman"/>
              </w:rPr>
            </w:pPr>
            <w:r w:rsidRPr="00E67914">
              <w:rPr>
                <w:rFonts w:ascii="Times New Roman" w:hAnsi="Times New Roman"/>
              </w:rPr>
              <w:t>上统</w:t>
            </w:r>
          </w:p>
        </w:tc>
        <w:tc>
          <w:tcPr>
            <w:tcW w:w="484" w:type="pct"/>
            <w:vAlign w:val="center"/>
          </w:tcPr>
          <w:p w14:paraId="591B09BC" w14:textId="77777777" w:rsidR="00466D1D" w:rsidRPr="00E67914" w:rsidRDefault="00466D1D" w:rsidP="00223052">
            <w:pPr>
              <w:jc w:val="center"/>
              <w:rPr>
                <w:rFonts w:ascii="Times New Roman" w:hAnsi="Times New Roman"/>
              </w:rPr>
            </w:pPr>
            <w:r w:rsidRPr="00E67914">
              <w:rPr>
                <w:rFonts w:ascii="Times New Roman" w:hAnsi="Times New Roman"/>
              </w:rPr>
              <w:t>遂宁组</w:t>
            </w:r>
          </w:p>
        </w:tc>
        <w:tc>
          <w:tcPr>
            <w:tcW w:w="539" w:type="pct"/>
            <w:vAlign w:val="center"/>
          </w:tcPr>
          <w:p w14:paraId="7D514D61" w14:textId="77777777" w:rsidR="00466D1D" w:rsidRPr="00E67914" w:rsidRDefault="00466D1D" w:rsidP="00223052">
            <w:pPr>
              <w:jc w:val="center"/>
              <w:rPr>
                <w:rFonts w:ascii="Times New Roman" w:hAnsi="Times New Roman"/>
              </w:rPr>
            </w:pPr>
          </w:p>
        </w:tc>
        <w:tc>
          <w:tcPr>
            <w:tcW w:w="443" w:type="pct"/>
            <w:vAlign w:val="center"/>
          </w:tcPr>
          <w:p w14:paraId="33128B82" w14:textId="77777777" w:rsidR="00466D1D" w:rsidRPr="00E67914" w:rsidRDefault="00466D1D" w:rsidP="00223052">
            <w:pPr>
              <w:jc w:val="center"/>
              <w:rPr>
                <w:rFonts w:ascii="Times New Roman" w:hAnsi="Times New Roman"/>
              </w:rPr>
            </w:pPr>
          </w:p>
        </w:tc>
        <w:tc>
          <w:tcPr>
            <w:tcW w:w="284" w:type="pct"/>
            <w:vMerge w:val="restart"/>
            <w:vAlign w:val="center"/>
          </w:tcPr>
          <w:p w14:paraId="697ECB12" w14:textId="77777777" w:rsidR="00466D1D" w:rsidRPr="00E67914" w:rsidRDefault="00466D1D" w:rsidP="00223052">
            <w:pPr>
              <w:jc w:val="center"/>
              <w:rPr>
                <w:rFonts w:ascii="Times New Roman" w:hAnsi="Times New Roman"/>
              </w:rPr>
            </w:pPr>
            <w:r w:rsidRPr="00E67914">
              <w:rPr>
                <w:rFonts w:ascii="Times New Roman" w:hAnsi="Times New Roman"/>
              </w:rPr>
              <w:t>0</w:t>
            </w:r>
          </w:p>
          <w:p w14:paraId="4041715E" w14:textId="77777777" w:rsidR="00466D1D" w:rsidRPr="00E67914" w:rsidRDefault="00466D1D" w:rsidP="00223052">
            <w:pPr>
              <w:jc w:val="center"/>
              <w:rPr>
                <w:rFonts w:ascii="Times New Roman" w:hAnsi="Times New Roman"/>
              </w:rPr>
            </w:pPr>
            <w:r w:rsidRPr="00E67914">
              <w:rPr>
                <w:rFonts w:ascii="Times New Roman" w:hAnsi="Times New Roman"/>
              </w:rPr>
              <w:t>1</w:t>
            </w:r>
          </w:p>
          <w:p w14:paraId="29A6F858" w14:textId="77777777" w:rsidR="00466D1D" w:rsidRPr="00E67914" w:rsidRDefault="00466D1D" w:rsidP="00223052">
            <w:pPr>
              <w:jc w:val="center"/>
              <w:rPr>
                <w:rFonts w:ascii="Times New Roman" w:hAnsi="Times New Roman"/>
              </w:rPr>
            </w:pPr>
          </w:p>
          <w:p w14:paraId="05920F9B" w14:textId="77777777" w:rsidR="00466D1D" w:rsidRPr="00E67914" w:rsidRDefault="00466D1D" w:rsidP="00223052">
            <w:pPr>
              <w:jc w:val="center"/>
              <w:rPr>
                <w:rFonts w:ascii="Times New Roman" w:hAnsi="Times New Roman"/>
              </w:rPr>
            </w:pPr>
          </w:p>
          <w:p w14:paraId="4F6D534C" w14:textId="77777777" w:rsidR="00466D1D" w:rsidRPr="00E67914" w:rsidRDefault="00466D1D" w:rsidP="00223052">
            <w:pPr>
              <w:jc w:val="center"/>
              <w:rPr>
                <w:rFonts w:ascii="Times New Roman" w:hAnsi="Times New Roman"/>
              </w:rPr>
            </w:pPr>
          </w:p>
          <w:p w14:paraId="302167F9" w14:textId="77777777" w:rsidR="00466D1D" w:rsidRPr="00E67914" w:rsidRDefault="00466D1D" w:rsidP="00223052">
            <w:pPr>
              <w:jc w:val="center"/>
              <w:rPr>
                <w:rFonts w:ascii="Times New Roman" w:hAnsi="Times New Roman"/>
              </w:rPr>
            </w:pPr>
          </w:p>
          <w:p w14:paraId="2E880561" w14:textId="77777777" w:rsidR="00466D1D" w:rsidRPr="00E67914" w:rsidRDefault="00466D1D" w:rsidP="00466D1D">
            <w:pPr>
              <w:pStyle w:val="2"/>
              <w:ind w:firstLineChars="0" w:firstLine="0"/>
              <w:jc w:val="center"/>
              <w:rPr>
                <w:rFonts w:eastAsia="宋体"/>
                <w:bCs w:val="0"/>
                <w:sz w:val="22"/>
                <w:szCs w:val="22"/>
              </w:rPr>
            </w:pPr>
          </w:p>
          <w:p w14:paraId="0C9E7B60" w14:textId="77777777" w:rsidR="00466D1D" w:rsidRPr="00E67914" w:rsidRDefault="00466D1D" w:rsidP="00223052">
            <w:pPr>
              <w:jc w:val="center"/>
              <w:rPr>
                <w:rFonts w:ascii="Times New Roman" w:hAnsi="Times New Roman"/>
              </w:rPr>
            </w:pPr>
          </w:p>
          <w:p w14:paraId="36EFC307" w14:textId="77777777" w:rsidR="00466D1D" w:rsidRPr="00E67914" w:rsidRDefault="00466D1D" w:rsidP="00223052">
            <w:pPr>
              <w:jc w:val="center"/>
              <w:rPr>
                <w:rFonts w:ascii="Times New Roman" w:hAnsi="Times New Roman"/>
              </w:rPr>
            </w:pPr>
            <w:r w:rsidRPr="00E67914">
              <w:rPr>
                <w:rFonts w:ascii="Times New Roman" w:hAnsi="Times New Roman"/>
              </w:rPr>
              <w:t>2</w:t>
            </w:r>
          </w:p>
          <w:p w14:paraId="2719C361" w14:textId="77777777" w:rsidR="00466D1D" w:rsidRPr="00E67914" w:rsidRDefault="00466D1D" w:rsidP="00223052">
            <w:pPr>
              <w:jc w:val="center"/>
              <w:rPr>
                <w:rFonts w:ascii="Times New Roman" w:hAnsi="Times New Roman"/>
              </w:rPr>
            </w:pPr>
          </w:p>
          <w:p w14:paraId="22691FEE" w14:textId="77777777" w:rsidR="00466D1D" w:rsidRPr="00E67914" w:rsidRDefault="00466D1D" w:rsidP="00223052">
            <w:pPr>
              <w:jc w:val="center"/>
              <w:rPr>
                <w:rFonts w:ascii="Times New Roman" w:hAnsi="Times New Roman"/>
              </w:rPr>
            </w:pPr>
          </w:p>
          <w:p w14:paraId="579F6A42" w14:textId="77777777" w:rsidR="00466D1D" w:rsidRPr="00E67914" w:rsidRDefault="00466D1D" w:rsidP="00466D1D">
            <w:pPr>
              <w:pStyle w:val="2"/>
              <w:ind w:firstLine="440"/>
              <w:rPr>
                <w:rFonts w:eastAsia="宋体"/>
                <w:bCs w:val="0"/>
                <w:sz w:val="22"/>
                <w:szCs w:val="22"/>
              </w:rPr>
            </w:pPr>
          </w:p>
          <w:p w14:paraId="35FAB013" w14:textId="77777777" w:rsidR="00466D1D" w:rsidRPr="00E67914" w:rsidRDefault="00466D1D" w:rsidP="00223052">
            <w:pPr>
              <w:jc w:val="center"/>
              <w:rPr>
                <w:rFonts w:ascii="Times New Roman" w:hAnsi="Times New Roman"/>
              </w:rPr>
            </w:pPr>
          </w:p>
          <w:p w14:paraId="6D418EBC" w14:textId="77777777" w:rsidR="00466D1D" w:rsidRPr="00E67914" w:rsidRDefault="00466D1D" w:rsidP="00223052">
            <w:pPr>
              <w:jc w:val="center"/>
              <w:rPr>
                <w:rFonts w:ascii="Times New Roman" w:hAnsi="Times New Roman"/>
              </w:rPr>
            </w:pPr>
            <w:r w:rsidRPr="00E67914">
              <w:rPr>
                <w:rFonts w:ascii="Times New Roman" w:hAnsi="Times New Roman"/>
              </w:rPr>
              <w:t>3</w:t>
            </w:r>
          </w:p>
        </w:tc>
        <w:tc>
          <w:tcPr>
            <w:tcW w:w="844" w:type="pct"/>
            <w:vMerge w:val="restart"/>
            <w:vAlign w:val="center"/>
          </w:tcPr>
          <w:p w14:paraId="070DA73B" w14:textId="77777777" w:rsidR="00466D1D" w:rsidRPr="00E67914" w:rsidRDefault="00466D1D" w:rsidP="00223052">
            <w:pPr>
              <w:jc w:val="center"/>
              <w:rPr>
                <w:rFonts w:ascii="Times New Roman" w:hAnsi="Times New Roman"/>
              </w:rPr>
            </w:pPr>
            <w:r w:rsidRPr="00E67914">
              <w:rPr>
                <w:rFonts w:ascii="Times New Roman" w:hAnsi="Times New Roman"/>
              </w:rPr>
              <w:t>导管预埋</w:t>
            </w:r>
          </w:p>
          <w:p w14:paraId="31D52953" w14:textId="6D9AAF0D" w:rsidR="00466D1D" w:rsidRPr="00E67914" w:rsidRDefault="00466D1D" w:rsidP="00223052">
            <w:pPr>
              <w:jc w:val="center"/>
              <w:rPr>
                <w:rFonts w:ascii="Times New Roman" w:hAnsi="Times New Roman"/>
              </w:rPr>
            </w:pPr>
            <w:r w:rsidRPr="00E67914">
              <w:rPr>
                <w:rFonts w:ascii="Times New Roman" w:hAnsi="Times New Roman"/>
              </w:rPr>
              <w:t>406.4×301</w:t>
            </w:r>
          </w:p>
          <w:p w14:paraId="599F130B" w14:textId="77777777" w:rsidR="00466D1D" w:rsidRPr="00E67914" w:rsidRDefault="00466D1D" w:rsidP="00223052">
            <w:pPr>
              <w:jc w:val="center"/>
              <w:rPr>
                <w:rFonts w:ascii="Times New Roman" w:hAnsi="Times New Roman"/>
              </w:rPr>
            </w:pPr>
          </w:p>
          <w:p w14:paraId="46AA682F" w14:textId="77777777" w:rsidR="00466D1D" w:rsidRPr="00E67914" w:rsidRDefault="00466D1D" w:rsidP="00223052">
            <w:pPr>
              <w:jc w:val="center"/>
              <w:rPr>
                <w:rFonts w:ascii="Times New Roman" w:hAnsi="Times New Roman"/>
              </w:rPr>
            </w:pPr>
          </w:p>
          <w:p w14:paraId="126BAF17" w14:textId="77777777" w:rsidR="00466D1D" w:rsidRPr="00E67914" w:rsidRDefault="00466D1D" w:rsidP="00223052">
            <w:pPr>
              <w:jc w:val="center"/>
              <w:rPr>
                <w:rFonts w:ascii="Times New Roman" w:hAnsi="Times New Roman"/>
              </w:rPr>
            </w:pPr>
          </w:p>
          <w:p w14:paraId="4828BAEE" w14:textId="77777777" w:rsidR="00466D1D" w:rsidRPr="00E67914" w:rsidRDefault="00466D1D" w:rsidP="00223052">
            <w:pPr>
              <w:jc w:val="center"/>
              <w:rPr>
                <w:rFonts w:ascii="Times New Roman" w:hAnsi="Times New Roman"/>
              </w:rPr>
            </w:pPr>
          </w:p>
          <w:p w14:paraId="3400D723" w14:textId="77777777" w:rsidR="00466D1D" w:rsidRPr="00E67914" w:rsidRDefault="00466D1D" w:rsidP="00466D1D">
            <w:pPr>
              <w:pStyle w:val="2"/>
              <w:ind w:firstLine="440"/>
              <w:rPr>
                <w:rFonts w:eastAsia="宋体"/>
                <w:bCs w:val="0"/>
                <w:sz w:val="22"/>
                <w:szCs w:val="22"/>
              </w:rPr>
            </w:pPr>
          </w:p>
          <w:p w14:paraId="5D98116E" w14:textId="77777777" w:rsidR="00466D1D" w:rsidRPr="00E67914" w:rsidRDefault="00466D1D" w:rsidP="00223052">
            <w:pPr>
              <w:jc w:val="center"/>
              <w:rPr>
                <w:rFonts w:ascii="Times New Roman" w:hAnsi="Times New Roman"/>
              </w:rPr>
            </w:pPr>
          </w:p>
          <w:p w14:paraId="2DE1820D" w14:textId="77777777" w:rsidR="00466D1D" w:rsidRPr="00E67914" w:rsidRDefault="00466D1D" w:rsidP="00223052">
            <w:pPr>
              <w:jc w:val="center"/>
              <w:rPr>
                <w:rFonts w:ascii="Times New Roman" w:hAnsi="Times New Roman"/>
              </w:rPr>
            </w:pPr>
            <w:r w:rsidRPr="00E67914">
              <w:rPr>
                <w:rFonts w:ascii="Times New Roman" w:hAnsi="Times New Roman"/>
              </w:rPr>
              <w:t>311.2×3572</w:t>
            </w:r>
          </w:p>
          <w:p w14:paraId="3F470570" w14:textId="77777777" w:rsidR="00466D1D" w:rsidRPr="00E67914" w:rsidRDefault="00466D1D" w:rsidP="00223052">
            <w:pPr>
              <w:jc w:val="center"/>
              <w:rPr>
                <w:rFonts w:ascii="Times New Roman" w:hAnsi="Times New Roman"/>
              </w:rPr>
            </w:pPr>
          </w:p>
          <w:p w14:paraId="22A875ED" w14:textId="77777777" w:rsidR="00466D1D" w:rsidRPr="00E67914" w:rsidRDefault="00466D1D" w:rsidP="00223052">
            <w:pPr>
              <w:jc w:val="center"/>
              <w:rPr>
                <w:rFonts w:ascii="Times New Roman" w:hAnsi="Times New Roman"/>
              </w:rPr>
            </w:pPr>
          </w:p>
          <w:p w14:paraId="6A0AD701" w14:textId="77777777" w:rsidR="00466D1D" w:rsidRPr="00E67914" w:rsidRDefault="00466D1D" w:rsidP="00466D1D">
            <w:pPr>
              <w:pStyle w:val="2"/>
              <w:ind w:firstLine="440"/>
              <w:rPr>
                <w:rFonts w:eastAsia="宋体"/>
                <w:bCs w:val="0"/>
                <w:sz w:val="22"/>
                <w:szCs w:val="22"/>
              </w:rPr>
            </w:pPr>
          </w:p>
          <w:p w14:paraId="33C0CF94" w14:textId="77777777" w:rsidR="00466D1D" w:rsidRPr="00E67914" w:rsidRDefault="00466D1D" w:rsidP="00223052">
            <w:pPr>
              <w:jc w:val="center"/>
              <w:rPr>
                <w:rFonts w:ascii="Times New Roman" w:hAnsi="Times New Roman"/>
              </w:rPr>
            </w:pPr>
          </w:p>
          <w:p w14:paraId="06E82960" w14:textId="59B2B997" w:rsidR="00466D1D" w:rsidRPr="00E67914" w:rsidRDefault="00466D1D" w:rsidP="00223052">
            <w:pPr>
              <w:jc w:val="center"/>
              <w:rPr>
                <w:rFonts w:ascii="Times New Roman" w:hAnsi="Times New Roman"/>
              </w:rPr>
            </w:pPr>
            <w:r w:rsidRPr="00E67914">
              <w:rPr>
                <w:rFonts w:ascii="Times New Roman" w:hAnsi="Times New Roman"/>
              </w:rPr>
              <w:t>215.9×5527</w:t>
            </w:r>
          </w:p>
        </w:tc>
        <w:tc>
          <w:tcPr>
            <w:tcW w:w="739" w:type="pct"/>
            <w:vMerge w:val="restart"/>
            <w:vAlign w:val="center"/>
          </w:tcPr>
          <w:p w14:paraId="1387FBBA" w14:textId="77777777" w:rsidR="00466D1D" w:rsidRPr="00E67914" w:rsidRDefault="00466D1D" w:rsidP="00223052">
            <w:pPr>
              <w:jc w:val="center"/>
              <w:rPr>
                <w:rFonts w:ascii="Times New Roman" w:hAnsi="Times New Roman"/>
              </w:rPr>
            </w:pPr>
            <w:r w:rsidRPr="00E67914">
              <w:rPr>
                <w:rFonts w:ascii="Times New Roman" w:hAnsi="Times New Roman"/>
              </w:rPr>
              <w:t>508×30</w:t>
            </w:r>
          </w:p>
          <w:p w14:paraId="62D0DCB8" w14:textId="7AAF2127" w:rsidR="00466D1D" w:rsidRPr="00E67914" w:rsidRDefault="00466D1D" w:rsidP="00223052">
            <w:pPr>
              <w:jc w:val="center"/>
              <w:rPr>
                <w:rFonts w:ascii="Times New Roman" w:hAnsi="Times New Roman"/>
              </w:rPr>
            </w:pPr>
            <w:r w:rsidRPr="00E67914">
              <w:rPr>
                <w:rFonts w:ascii="Times New Roman" w:hAnsi="Times New Roman"/>
              </w:rPr>
              <w:t>339.7×300</w:t>
            </w:r>
          </w:p>
          <w:p w14:paraId="01B069FF" w14:textId="77777777" w:rsidR="00466D1D" w:rsidRPr="00E67914" w:rsidRDefault="00466D1D" w:rsidP="00223052">
            <w:pPr>
              <w:jc w:val="center"/>
              <w:rPr>
                <w:rFonts w:ascii="Times New Roman" w:hAnsi="Times New Roman"/>
              </w:rPr>
            </w:pPr>
          </w:p>
          <w:p w14:paraId="67DF055F" w14:textId="77777777" w:rsidR="00466D1D" w:rsidRPr="00E67914" w:rsidRDefault="00466D1D" w:rsidP="00223052">
            <w:pPr>
              <w:jc w:val="center"/>
              <w:rPr>
                <w:rFonts w:ascii="Times New Roman" w:hAnsi="Times New Roman"/>
              </w:rPr>
            </w:pPr>
          </w:p>
          <w:p w14:paraId="71DDEE05" w14:textId="77777777" w:rsidR="00466D1D" w:rsidRPr="00E67914" w:rsidRDefault="00466D1D" w:rsidP="00223052">
            <w:pPr>
              <w:jc w:val="center"/>
              <w:rPr>
                <w:rFonts w:ascii="Times New Roman" w:hAnsi="Times New Roman"/>
              </w:rPr>
            </w:pPr>
          </w:p>
          <w:p w14:paraId="6A0124DC" w14:textId="77777777" w:rsidR="00466D1D" w:rsidRPr="00E67914" w:rsidRDefault="00466D1D" w:rsidP="00223052">
            <w:pPr>
              <w:jc w:val="center"/>
              <w:rPr>
                <w:rFonts w:ascii="Times New Roman" w:hAnsi="Times New Roman"/>
              </w:rPr>
            </w:pPr>
          </w:p>
          <w:p w14:paraId="7B978C8A" w14:textId="77777777" w:rsidR="00466D1D" w:rsidRPr="00E67914" w:rsidRDefault="00466D1D" w:rsidP="00466D1D">
            <w:pPr>
              <w:pStyle w:val="2"/>
              <w:ind w:firstLine="440"/>
              <w:rPr>
                <w:rFonts w:eastAsia="宋体"/>
                <w:bCs w:val="0"/>
                <w:sz w:val="22"/>
                <w:szCs w:val="22"/>
              </w:rPr>
            </w:pPr>
          </w:p>
          <w:p w14:paraId="48EFED41" w14:textId="77777777" w:rsidR="00466D1D" w:rsidRPr="00E67914" w:rsidRDefault="00466D1D" w:rsidP="00223052">
            <w:pPr>
              <w:jc w:val="center"/>
              <w:rPr>
                <w:rFonts w:ascii="Times New Roman" w:hAnsi="Times New Roman"/>
              </w:rPr>
            </w:pPr>
          </w:p>
          <w:p w14:paraId="376DAE94" w14:textId="77777777" w:rsidR="00466D1D" w:rsidRPr="00E67914" w:rsidRDefault="00466D1D" w:rsidP="00223052">
            <w:pPr>
              <w:jc w:val="center"/>
              <w:rPr>
                <w:rFonts w:ascii="Times New Roman" w:hAnsi="Times New Roman"/>
              </w:rPr>
            </w:pPr>
            <w:r w:rsidRPr="00E67914">
              <w:rPr>
                <w:rFonts w:ascii="Times New Roman" w:hAnsi="Times New Roman"/>
              </w:rPr>
              <w:t>244.5×3570</w:t>
            </w:r>
          </w:p>
          <w:p w14:paraId="05CF470D" w14:textId="77777777" w:rsidR="00466D1D" w:rsidRPr="00E67914" w:rsidRDefault="00466D1D" w:rsidP="00223052">
            <w:pPr>
              <w:jc w:val="center"/>
              <w:rPr>
                <w:rFonts w:ascii="Times New Roman" w:hAnsi="Times New Roman"/>
              </w:rPr>
            </w:pPr>
          </w:p>
          <w:p w14:paraId="7BE564AF" w14:textId="77777777" w:rsidR="00466D1D" w:rsidRPr="00E67914" w:rsidRDefault="00466D1D" w:rsidP="00223052">
            <w:pPr>
              <w:jc w:val="center"/>
              <w:rPr>
                <w:rFonts w:ascii="Times New Roman" w:hAnsi="Times New Roman"/>
              </w:rPr>
            </w:pPr>
          </w:p>
          <w:p w14:paraId="0BAC0D4E" w14:textId="77777777" w:rsidR="00466D1D" w:rsidRPr="00E67914" w:rsidRDefault="00466D1D" w:rsidP="00466D1D">
            <w:pPr>
              <w:pStyle w:val="2"/>
              <w:ind w:firstLine="440"/>
              <w:rPr>
                <w:rFonts w:eastAsia="宋体"/>
                <w:bCs w:val="0"/>
                <w:sz w:val="22"/>
                <w:szCs w:val="22"/>
              </w:rPr>
            </w:pPr>
          </w:p>
          <w:p w14:paraId="2A5478CC" w14:textId="77777777" w:rsidR="00466D1D" w:rsidRPr="00E67914" w:rsidRDefault="00466D1D" w:rsidP="00223052">
            <w:pPr>
              <w:jc w:val="center"/>
              <w:rPr>
                <w:rFonts w:ascii="Times New Roman" w:hAnsi="Times New Roman"/>
              </w:rPr>
            </w:pPr>
          </w:p>
          <w:p w14:paraId="05AB0141" w14:textId="7D080243" w:rsidR="00466D1D" w:rsidRPr="00E67914" w:rsidRDefault="00466D1D" w:rsidP="00223052">
            <w:pPr>
              <w:jc w:val="center"/>
              <w:rPr>
                <w:rFonts w:ascii="Times New Roman" w:hAnsi="Times New Roman"/>
              </w:rPr>
            </w:pPr>
            <w:r w:rsidRPr="00E67914">
              <w:rPr>
                <w:rFonts w:ascii="Times New Roman" w:hAnsi="Times New Roman"/>
              </w:rPr>
              <w:t>139.7×5524</w:t>
            </w:r>
          </w:p>
        </w:tc>
        <w:tc>
          <w:tcPr>
            <w:tcW w:w="684" w:type="pct"/>
            <w:vMerge w:val="restart"/>
          </w:tcPr>
          <w:p w14:paraId="0C5BD79C" w14:textId="77777777" w:rsidR="00466D1D" w:rsidRPr="00E67914" w:rsidRDefault="00466D1D" w:rsidP="00223052">
            <w:pPr>
              <w:jc w:val="center"/>
              <w:rPr>
                <w:rFonts w:ascii="Times New Roman" w:hAnsi="Times New Roman"/>
              </w:rPr>
            </w:pPr>
            <w:r w:rsidRPr="00E67914">
              <w:rPr>
                <w:rFonts w:ascii="Times New Roman" w:hAnsi="Times New Roman"/>
                <w:noProof/>
              </w:rPr>
              <mc:AlternateContent>
                <mc:Choice Requires="wps">
                  <w:drawing>
                    <wp:anchor distT="0" distB="0" distL="114300" distR="114300" simplePos="0" relativeHeight="251755520" behindDoc="0" locked="0" layoutInCell="1" allowOverlap="1" wp14:anchorId="2DA18283" wp14:editId="28189583">
                      <wp:simplePos x="0" y="0"/>
                      <wp:positionH relativeFrom="column">
                        <wp:posOffset>308816</wp:posOffset>
                      </wp:positionH>
                      <wp:positionV relativeFrom="paragraph">
                        <wp:posOffset>19685</wp:posOffset>
                      </wp:positionV>
                      <wp:extent cx="0" cy="1468755"/>
                      <wp:effectExtent l="76200" t="0" r="57150" b="55245"/>
                      <wp:wrapNone/>
                      <wp:docPr id="477298221" name="直接箭头连接符 3"/>
                      <wp:cNvGraphicFramePr/>
                      <a:graphic xmlns:a="http://schemas.openxmlformats.org/drawingml/2006/main">
                        <a:graphicData uri="http://schemas.microsoft.com/office/word/2010/wordprocessingShape">
                          <wps:wsp>
                            <wps:cNvCnPr/>
                            <wps:spPr>
                              <a:xfrm>
                                <a:off x="0" y="0"/>
                                <a:ext cx="0" cy="14687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F6977B7" id="_x0000_t32" coordsize="21600,21600" o:spt="32" o:oned="t" path="m,l21600,21600e" filled="f">
                      <v:path arrowok="t" fillok="f" o:connecttype="none"/>
                      <o:lock v:ext="edit" shapetype="t"/>
                    </v:shapetype>
                    <v:shape id="直接箭头连接符 3" o:spid="_x0000_s1026" type="#_x0000_t32" style="position:absolute;left:0;text-align:left;margin-left:24.3pt;margin-top:1.55pt;width:0;height:115.6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" strokecolor="black [3213]" strokeweight=".5pt">
                      <v:stroke endarrow="block" joinstyle="miter"/>
                    </v:shape>
                  </w:pict>
                </mc:Fallback>
              </mc:AlternateContent>
            </w:r>
            <w:r w:rsidRPr="00E67914">
              <w:rPr>
                <w:rFonts w:ascii="Times New Roman" w:hAnsi="Times New Roman"/>
                <w:noProof/>
              </w:rPr>
              <mc:AlternateContent>
                <mc:Choice Requires="wps">
                  <w:drawing>
                    <wp:anchor distT="0" distB="0" distL="114300" distR="114300" simplePos="0" relativeHeight="251756544" behindDoc="0" locked="0" layoutInCell="1" allowOverlap="1" wp14:anchorId="522C85BA" wp14:editId="111300D2">
                      <wp:simplePos x="0" y="0"/>
                      <wp:positionH relativeFrom="column">
                        <wp:posOffset>520773</wp:posOffset>
                      </wp:positionH>
                      <wp:positionV relativeFrom="paragraph">
                        <wp:posOffset>19666</wp:posOffset>
                      </wp:positionV>
                      <wp:extent cx="0" cy="2320356"/>
                      <wp:effectExtent l="76200" t="0" r="57150" b="60960"/>
                      <wp:wrapNone/>
                      <wp:docPr id="1303811177" name="直接箭头连接符 4"/>
                      <wp:cNvGraphicFramePr/>
                      <a:graphic xmlns:a="http://schemas.openxmlformats.org/drawingml/2006/main">
                        <a:graphicData uri="http://schemas.microsoft.com/office/word/2010/wordprocessingShape">
                          <wps:wsp>
                            <wps:cNvCnPr/>
                            <wps:spPr>
                              <a:xfrm>
                                <a:off x="0" y="0"/>
                                <a:ext cx="0" cy="232035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78DE3F" id="直接箭头连接符 4" o:spid="_x0000_s1026" type="#_x0000_t32" style="position:absolute;left:0;text-align:left;margin-left:41pt;margin-top:1.55pt;width:0;height:182.7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" strokecolor="black [3213]" strokeweight=".5pt">
                      <v:stroke endarrow="block" joinstyle="miter"/>
                    </v:shape>
                  </w:pict>
                </mc:Fallback>
              </mc:AlternateContent>
            </w:r>
            <w:r w:rsidRPr="00E67914">
              <w:rPr>
                <w:rFonts w:ascii="Times New Roman" w:hAnsi="Times New Roman"/>
                <w:noProof/>
              </w:rPr>
              <mc:AlternateContent>
                <mc:Choice Requires="wps">
                  <w:drawing>
                    <wp:anchor distT="0" distB="0" distL="114300" distR="114300" simplePos="0" relativeHeight="251754496" behindDoc="0" locked="0" layoutInCell="1" allowOverlap="1" wp14:anchorId="2113405F" wp14:editId="7A994C4F">
                      <wp:simplePos x="0" y="0"/>
                      <wp:positionH relativeFrom="column">
                        <wp:posOffset>119380</wp:posOffset>
                      </wp:positionH>
                      <wp:positionV relativeFrom="paragraph">
                        <wp:posOffset>20547</wp:posOffset>
                      </wp:positionV>
                      <wp:extent cx="0" cy="327660"/>
                      <wp:effectExtent l="76200" t="0" r="76200" b="53340"/>
                      <wp:wrapNone/>
                      <wp:docPr id="995993187" name="直接箭头连接符 2"/>
                      <wp:cNvGraphicFramePr/>
                      <a:graphic xmlns:a="http://schemas.openxmlformats.org/drawingml/2006/main">
                        <a:graphicData uri="http://schemas.microsoft.com/office/word/2010/wordprocessingShape">
                          <wps:wsp>
                            <wps:cNvCnPr/>
                            <wps:spPr>
                              <a:xfrm>
                                <a:off x="0" y="0"/>
                                <a:ext cx="0" cy="3276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9D4DD" id="直接箭头连接符 2" o:spid="_x0000_s1026" type="#_x0000_t32" style="position:absolute;left:0;text-align:left;margin-left:9.4pt;margin-top:1.6pt;width:0;height:25.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" strokecolor="black [3213]" strokeweight=".5pt">
                      <v:stroke endarrow="block" joinstyle="miter"/>
                    </v:shape>
                  </w:pict>
                </mc:Fallback>
              </mc:AlternateContent>
            </w:r>
            <w:r w:rsidRPr="00E67914">
              <w:rPr>
                <w:rFonts w:ascii="Times New Roman" w:hAnsi="Times New Roman"/>
                <w:noProof/>
              </w:rPr>
              <mc:AlternateContent>
                <mc:Choice Requires="wps">
                  <w:drawing>
                    <wp:anchor distT="0" distB="0" distL="114300" distR="114300" simplePos="0" relativeHeight="251753472" behindDoc="0" locked="0" layoutInCell="1" allowOverlap="1" wp14:anchorId="66115DB2" wp14:editId="43445E30">
                      <wp:simplePos x="0" y="0"/>
                      <wp:positionH relativeFrom="column">
                        <wp:posOffset>-8479</wp:posOffset>
                      </wp:positionH>
                      <wp:positionV relativeFrom="paragraph">
                        <wp:posOffset>3215</wp:posOffset>
                      </wp:positionV>
                      <wp:extent cx="0" cy="147955"/>
                      <wp:effectExtent l="76200" t="0" r="57150" b="61595"/>
                      <wp:wrapNone/>
                      <wp:docPr id="1555403903" name="直接箭头连接符 1"/>
                      <wp:cNvGraphicFramePr/>
                      <a:graphic xmlns:a="http://schemas.openxmlformats.org/drawingml/2006/main">
                        <a:graphicData uri="http://schemas.microsoft.com/office/word/2010/wordprocessingShape">
                          <wps:wsp>
                            <wps:cNvCnPr/>
                            <wps:spPr>
                              <a:xfrm>
                                <a:off x="0" y="0"/>
                                <a:ext cx="0" cy="1479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084F27" id="直接箭头连接符 1" o:spid="_x0000_s1026" type="#_x0000_t32" style="position:absolute;left:0;text-align:left;margin-left:-.65pt;margin-top:.25pt;width:0;height:11.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" strokecolor="black [3213]" strokeweight=".5pt">
                      <v:stroke endarrow="block" joinstyle="miter"/>
                    </v:shape>
                  </w:pict>
                </mc:Fallback>
              </mc:AlternateContent>
            </w:r>
          </w:p>
        </w:tc>
      </w:tr>
      <w:tr w:rsidR="00E67914" w:rsidRPr="00E67914" w14:paraId="4D86EBBC" w14:textId="77777777" w:rsidTr="00223052">
        <w:tc>
          <w:tcPr>
            <w:tcW w:w="350" w:type="pct"/>
            <w:vMerge/>
            <w:vAlign w:val="center"/>
          </w:tcPr>
          <w:p w14:paraId="3C27E00C" w14:textId="77777777" w:rsidR="00466D1D" w:rsidRPr="00E67914" w:rsidRDefault="00466D1D" w:rsidP="00223052">
            <w:pPr>
              <w:jc w:val="center"/>
              <w:rPr>
                <w:rFonts w:ascii="Times New Roman" w:hAnsi="Times New Roman"/>
              </w:rPr>
            </w:pPr>
          </w:p>
        </w:tc>
        <w:tc>
          <w:tcPr>
            <w:tcW w:w="350" w:type="pct"/>
            <w:vMerge/>
            <w:vAlign w:val="center"/>
          </w:tcPr>
          <w:p w14:paraId="60CB03CD" w14:textId="77777777" w:rsidR="00466D1D" w:rsidRPr="00E67914" w:rsidRDefault="00466D1D" w:rsidP="00223052">
            <w:pPr>
              <w:jc w:val="center"/>
              <w:rPr>
                <w:rFonts w:ascii="Times New Roman" w:hAnsi="Times New Roman"/>
              </w:rPr>
            </w:pPr>
          </w:p>
        </w:tc>
        <w:tc>
          <w:tcPr>
            <w:tcW w:w="284" w:type="pct"/>
            <w:vMerge w:val="restart"/>
            <w:vAlign w:val="center"/>
          </w:tcPr>
          <w:p w14:paraId="675DA856" w14:textId="77777777" w:rsidR="00466D1D" w:rsidRPr="00E67914" w:rsidRDefault="00466D1D" w:rsidP="00223052">
            <w:pPr>
              <w:jc w:val="center"/>
              <w:rPr>
                <w:rFonts w:ascii="Times New Roman" w:hAnsi="Times New Roman"/>
              </w:rPr>
            </w:pPr>
            <w:r w:rsidRPr="00E67914">
              <w:rPr>
                <w:rFonts w:ascii="Times New Roman" w:hAnsi="Times New Roman"/>
              </w:rPr>
              <w:t>中统</w:t>
            </w:r>
          </w:p>
        </w:tc>
        <w:tc>
          <w:tcPr>
            <w:tcW w:w="484" w:type="pct"/>
            <w:vAlign w:val="center"/>
          </w:tcPr>
          <w:p w14:paraId="0F0FD56B" w14:textId="77777777" w:rsidR="00466D1D" w:rsidRPr="00E67914" w:rsidRDefault="00466D1D" w:rsidP="00223052">
            <w:pPr>
              <w:jc w:val="center"/>
              <w:rPr>
                <w:rFonts w:ascii="Times New Roman" w:hAnsi="Times New Roman"/>
              </w:rPr>
            </w:pPr>
            <w:r w:rsidRPr="00E67914">
              <w:rPr>
                <w:rFonts w:ascii="Times New Roman" w:hAnsi="Times New Roman"/>
              </w:rPr>
              <w:t>上沙溪庙组</w:t>
            </w:r>
          </w:p>
        </w:tc>
        <w:tc>
          <w:tcPr>
            <w:tcW w:w="539" w:type="pct"/>
            <w:vAlign w:val="center"/>
          </w:tcPr>
          <w:p w14:paraId="6D7B2C1B" w14:textId="77777777" w:rsidR="00466D1D" w:rsidRPr="00E67914" w:rsidRDefault="00466D1D" w:rsidP="00223052">
            <w:pPr>
              <w:jc w:val="center"/>
              <w:rPr>
                <w:rFonts w:ascii="Times New Roman" w:hAnsi="Times New Roman"/>
              </w:rPr>
            </w:pPr>
            <w:r w:rsidRPr="00E67914">
              <w:rPr>
                <w:rFonts w:ascii="Times New Roman" w:hAnsi="Times New Roman"/>
              </w:rPr>
              <w:t>3031</w:t>
            </w:r>
          </w:p>
        </w:tc>
        <w:tc>
          <w:tcPr>
            <w:tcW w:w="443" w:type="pct"/>
            <w:vAlign w:val="center"/>
          </w:tcPr>
          <w:p w14:paraId="2957F787" w14:textId="77777777" w:rsidR="00466D1D" w:rsidRPr="00E67914" w:rsidRDefault="00466D1D" w:rsidP="00223052">
            <w:pPr>
              <w:jc w:val="center"/>
              <w:rPr>
                <w:rFonts w:ascii="Times New Roman" w:hAnsi="Times New Roman"/>
              </w:rPr>
            </w:pPr>
            <w:r w:rsidRPr="00E67914">
              <w:rPr>
                <w:rFonts w:ascii="Times New Roman" w:hAnsi="Times New Roman"/>
              </w:rPr>
              <w:t>1260</w:t>
            </w:r>
          </w:p>
        </w:tc>
        <w:tc>
          <w:tcPr>
            <w:tcW w:w="284" w:type="pct"/>
            <w:vMerge/>
            <w:vAlign w:val="center"/>
          </w:tcPr>
          <w:p w14:paraId="2EBFC94A" w14:textId="77777777" w:rsidR="00466D1D" w:rsidRPr="00E67914" w:rsidRDefault="00466D1D" w:rsidP="00223052">
            <w:pPr>
              <w:jc w:val="center"/>
              <w:rPr>
                <w:rFonts w:ascii="Times New Roman" w:hAnsi="Times New Roman"/>
              </w:rPr>
            </w:pPr>
          </w:p>
        </w:tc>
        <w:tc>
          <w:tcPr>
            <w:tcW w:w="844" w:type="pct"/>
            <w:vMerge/>
            <w:vAlign w:val="center"/>
          </w:tcPr>
          <w:p w14:paraId="0E99EE28" w14:textId="77777777" w:rsidR="00466D1D" w:rsidRPr="00E67914" w:rsidRDefault="00466D1D" w:rsidP="00223052">
            <w:pPr>
              <w:jc w:val="center"/>
              <w:rPr>
                <w:rFonts w:ascii="Times New Roman" w:hAnsi="Times New Roman"/>
              </w:rPr>
            </w:pPr>
          </w:p>
        </w:tc>
        <w:tc>
          <w:tcPr>
            <w:tcW w:w="739" w:type="pct"/>
            <w:vMerge/>
            <w:vAlign w:val="center"/>
          </w:tcPr>
          <w:p w14:paraId="425238F1" w14:textId="77777777" w:rsidR="00466D1D" w:rsidRPr="00E67914" w:rsidRDefault="00466D1D" w:rsidP="00223052">
            <w:pPr>
              <w:jc w:val="center"/>
              <w:rPr>
                <w:rFonts w:ascii="Times New Roman" w:hAnsi="Times New Roman"/>
              </w:rPr>
            </w:pPr>
          </w:p>
        </w:tc>
        <w:tc>
          <w:tcPr>
            <w:tcW w:w="684" w:type="pct"/>
            <w:vMerge/>
            <w:vAlign w:val="center"/>
          </w:tcPr>
          <w:p w14:paraId="675F492B" w14:textId="77777777" w:rsidR="00466D1D" w:rsidRPr="00E67914" w:rsidRDefault="00466D1D" w:rsidP="00223052">
            <w:pPr>
              <w:jc w:val="center"/>
              <w:rPr>
                <w:rFonts w:ascii="Times New Roman" w:hAnsi="Times New Roman"/>
              </w:rPr>
            </w:pPr>
          </w:p>
        </w:tc>
      </w:tr>
      <w:tr w:rsidR="00E67914" w:rsidRPr="00E67914" w14:paraId="5A4B7BB4" w14:textId="77777777" w:rsidTr="00223052">
        <w:tc>
          <w:tcPr>
            <w:tcW w:w="350" w:type="pct"/>
            <w:vMerge/>
            <w:vAlign w:val="center"/>
          </w:tcPr>
          <w:p w14:paraId="4C0E6177" w14:textId="77777777" w:rsidR="00466D1D" w:rsidRPr="00E67914" w:rsidRDefault="00466D1D" w:rsidP="00223052">
            <w:pPr>
              <w:jc w:val="center"/>
              <w:rPr>
                <w:rFonts w:ascii="Times New Roman" w:hAnsi="Times New Roman"/>
              </w:rPr>
            </w:pPr>
          </w:p>
        </w:tc>
        <w:tc>
          <w:tcPr>
            <w:tcW w:w="350" w:type="pct"/>
            <w:vMerge/>
            <w:vAlign w:val="center"/>
          </w:tcPr>
          <w:p w14:paraId="5EBDE7B9" w14:textId="77777777" w:rsidR="00466D1D" w:rsidRPr="00E67914" w:rsidRDefault="00466D1D" w:rsidP="00223052">
            <w:pPr>
              <w:jc w:val="center"/>
              <w:rPr>
                <w:rFonts w:ascii="Times New Roman" w:hAnsi="Times New Roman"/>
              </w:rPr>
            </w:pPr>
          </w:p>
        </w:tc>
        <w:tc>
          <w:tcPr>
            <w:tcW w:w="284" w:type="pct"/>
            <w:vMerge/>
            <w:vAlign w:val="center"/>
          </w:tcPr>
          <w:p w14:paraId="366F87B6" w14:textId="77777777" w:rsidR="00466D1D" w:rsidRPr="00E67914" w:rsidRDefault="00466D1D" w:rsidP="00223052">
            <w:pPr>
              <w:jc w:val="center"/>
              <w:rPr>
                <w:rFonts w:ascii="Times New Roman" w:hAnsi="Times New Roman"/>
              </w:rPr>
            </w:pPr>
          </w:p>
        </w:tc>
        <w:tc>
          <w:tcPr>
            <w:tcW w:w="484" w:type="pct"/>
            <w:vAlign w:val="center"/>
          </w:tcPr>
          <w:p w14:paraId="6FB63358" w14:textId="77777777" w:rsidR="00466D1D" w:rsidRPr="00E67914" w:rsidRDefault="00466D1D" w:rsidP="00223052">
            <w:pPr>
              <w:jc w:val="center"/>
              <w:rPr>
                <w:rFonts w:ascii="Times New Roman" w:hAnsi="Times New Roman"/>
              </w:rPr>
            </w:pPr>
            <w:r w:rsidRPr="00E67914">
              <w:rPr>
                <w:rFonts w:ascii="Times New Roman" w:hAnsi="Times New Roman"/>
              </w:rPr>
              <w:t>下沙溪庙组</w:t>
            </w:r>
          </w:p>
        </w:tc>
        <w:tc>
          <w:tcPr>
            <w:tcW w:w="539" w:type="pct"/>
            <w:vAlign w:val="center"/>
          </w:tcPr>
          <w:p w14:paraId="3BDCBC31" w14:textId="77777777" w:rsidR="00466D1D" w:rsidRPr="00E67914" w:rsidRDefault="00466D1D" w:rsidP="00223052">
            <w:pPr>
              <w:jc w:val="center"/>
              <w:rPr>
                <w:rFonts w:ascii="Times New Roman" w:hAnsi="Times New Roman"/>
              </w:rPr>
            </w:pPr>
            <w:r w:rsidRPr="00E67914">
              <w:rPr>
                <w:rFonts w:ascii="Times New Roman" w:hAnsi="Times New Roman"/>
              </w:rPr>
              <w:t>3289.5</w:t>
            </w:r>
          </w:p>
        </w:tc>
        <w:tc>
          <w:tcPr>
            <w:tcW w:w="443" w:type="pct"/>
            <w:vAlign w:val="center"/>
          </w:tcPr>
          <w:p w14:paraId="1E2C7C25" w14:textId="77777777" w:rsidR="00466D1D" w:rsidRPr="00E67914" w:rsidRDefault="00466D1D" w:rsidP="00223052">
            <w:pPr>
              <w:jc w:val="center"/>
              <w:rPr>
                <w:rFonts w:ascii="Times New Roman" w:hAnsi="Times New Roman"/>
              </w:rPr>
            </w:pPr>
            <w:r w:rsidRPr="00E67914">
              <w:rPr>
                <w:rFonts w:ascii="Times New Roman" w:hAnsi="Times New Roman"/>
              </w:rPr>
              <w:t>258.5</w:t>
            </w:r>
          </w:p>
        </w:tc>
        <w:tc>
          <w:tcPr>
            <w:tcW w:w="284" w:type="pct"/>
            <w:vMerge/>
            <w:vAlign w:val="center"/>
          </w:tcPr>
          <w:p w14:paraId="2BA350D7" w14:textId="77777777" w:rsidR="00466D1D" w:rsidRPr="00E67914" w:rsidRDefault="00466D1D" w:rsidP="00223052">
            <w:pPr>
              <w:jc w:val="center"/>
              <w:rPr>
                <w:rFonts w:ascii="Times New Roman" w:hAnsi="Times New Roman"/>
              </w:rPr>
            </w:pPr>
          </w:p>
        </w:tc>
        <w:tc>
          <w:tcPr>
            <w:tcW w:w="844" w:type="pct"/>
            <w:vMerge/>
            <w:vAlign w:val="center"/>
          </w:tcPr>
          <w:p w14:paraId="336100D4" w14:textId="77777777" w:rsidR="00466D1D" w:rsidRPr="00E67914" w:rsidRDefault="00466D1D" w:rsidP="00223052">
            <w:pPr>
              <w:jc w:val="center"/>
              <w:rPr>
                <w:rFonts w:ascii="Times New Roman" w:hAnsi="Times New Roman"/>
              </w:rPr>
            </w:pPr>
          </w:p>
        </w:tc>
        <w:tc>
          <w:tcPr>
            <w:tcW w:w="739" w:type="pct"/>
            <w:vMerge/>
            <w:vAlign w:val="center"/>
          </w:tcPr>
          <w:p w14:paraId="2B698BC0" w14:textId="77777777" w:rsidR="00466D1D" w:rsidRPr="00E67914" w:rsidRDefault="00466D1D" w:rsidP="00223052">
            <w:pPr>
              <w:jc w:val="center"/>
              <w:rPr>
                <w:rFonts w:ascii="Times New Roman" w:hAnsi="Times New Roman"/>
              </w:rPr>
            </w:pPr>
          </w:p>
        </w:tc>
        <w:tc>
          <w:tcPr>
            <w:tcW w:w="684" w:type="pct"/>
            <w:vMerge/>
            <w:vAlign w:val="center"/>
          </w:tcPr>
          <w:p w14:paraId="0B230A36" w14:textId="77777777" w:rsidR="00466D1D" w:rsidRPr="00E67914" w:rsidRDefault="00466D1D" w:rsidP="00223052">
            <w:pPr>
              <w:jc w:val="center"/>
              <w:rPr>
                <w:rFonts w:ascii="Times New Roman" w:hAnsi="Times New Roman"/>
              </w:rPr>
            </w:pPr>
          </w:p>
        </w:tc>
      </w:tr>
      <w:tr w:rsidR="00466D1D" w:rsidRPr="00E67914" w14:paraId="161E90B1" w14:textId="77777777" w:rsidTr="00223052">
        <w:tc>
          <w:tcPr>
            <w:tcW w:w="350" w:type="pct"/>
            <w:vMerge/>
            <w:vAlign w:val="center"/>
          </w:tcPr>
          <w:p w14:paraId="1CD58A2D" w14:textId="77777777" w:rsidR="00466D1D" w:rsidRPr="00E67914" w:rsidRDefault="00466D1D" w:rsidP="00223052">
            <w:pPr>
              <w:jc w:val="center"/>
              <w:rPr>
                <w:rFonts w:ascii="Times New Roman" w:hAnsi="Times New Roman"/>
              </w:rPr>
            </w:pPr>
          </w:p>
        </w:tc>
        <w:tc>
          <w:tcPr>
            <w:tcW w:w="350" w:type="pct"/>
            <w:vMerge/>
            <w:vAlign w:val="center"/>
          </w:tcPr>
          <w:p w14:paraId="47229566" w14:textId="77777777" w:rsidR="00466D1D" w:rsidRPr="00E67914" w:rsidRDefault="00466D1D" w:rsidP="00223052">
            <w:pPr>
              <w:jc w:val="center"/>
              <w:rPr>
                <w:rFonts w:ascii="Times New Roman" w:hAnsi="Times New Roman"/>
              </w:rPr>
            </w:pPr>
          </w:p>
        </w:tc>
        <w:tc>
          <w:tcPr>
            <w:tcW w:w="284" w:type="pct"/>
            <w:vMerge/>
            <w:vAlign w:val="center"/>
          </w:tcPr>
          <w:p w14:paraId="14CA349C" w14:textId="77777777" w:rsidR="00466D1D" w:rsidRPr="00E67914" w:rsidRDefault="00466D1D" w:rsidP="00223052">
            <w:pPr>
              <w:jc w:val="center"/>
              <w:rPr>
                <w:rFonts w:ascii="Times New Roman" w:hAnsi="Times New Roman"/>
              </w:rPr>
            </w:pPr>
          </w:p>
        </w:tc>
        <w:tc>
          <w:tcPr>
            <w:tcW w:w="484" w:type="pct"/>
            <w:vAlign w:val="center"/>
          </w:tcPr>
          <w:p w14:paraId="2C51143F" w14:textId="77777777" w:rsidR="00466D1D" w:rsidRPr="00E67914" w:rsidRDefault="00466D1D" w:rsidP="00223052">
            <w:pPr>
              <w:jc w:val="center"/>
              <w:rPr>
                <w:rFonts w:ascii="Times New Roman" w:hAnsi="Times New Roman"/>
              </w:rPr>
            </w:pPr>
            <w:r w:rsidRPr="00E67914">
              <w:rPr>
                <w:rFonts w:ascii="Times New Roman" w:hAnsi="Times New Roman"/>
              </w:rPr>
              <w:t>千佛崖组</w:t>
            </w:r>
          </w:p>
        </w:tc>
        <w:tc>
          <w:tcPr>
            <w:tcW w:w="539" w:type="pct"/>
            <w:vAlign w:val="center"/>
          </w:tcPr>
          <w:p w14:paraId="3D828AFB" w14:textId="77777777" w:rsidR="00466D1D" w:rsidRPr="00E67914" w:rsidRDefault="00466D1D" w:rsidP="00223052">
            <w:pPr>
              <w:jc w:val="center"/>
              <w:rPr>
                <w:rFonts w:ascii="Times New Roman" w:hAnsi="Times New Roman"/>
              </w:rPr>
            </w:pPr>
            <w:r w:rsidRPr="00E67914">
              <w:rPr>
                <w:rFonts w:ascii="Times New Roman" w:hAnsi="Times New Roman"/>
              </w:rPr>
              <w:t>3824.5</w:t>
            </w:r>
          </w:p>
        </w:tc>
        <w:tc>
          <w:tcPr>
            <w:tcW w:w="443" w:type="pct"/>
            <w:vAlign w:val="center"/>
          </w:tcPr>
          <w:p w14:paraId="541A8DB5" w14:textId="77777777" w:rsidR="00466D1D" w:rsidRPr="00E67914" w:rsidRDefault="00466D1D" w:rsidP="00223052">
            <w:pPr>
              <w:jc w:val="center"/>
              <w:rPr>
                <w:rFonts w:ascii="Times New Roman" w:hAnsi="Times New Roman"/>
              </w:rPr>
            </w:pPr>
            <w:r w:rsidRPr="00E67914">
              <w:rPr>
                <w:rFonts w:ascii="Times New Roman" w:hAnsi="Times New Roman"/>
              </w:rPr>
              <w:t>413.5</w:t>
            </w:r>
          </w:p>
        </w:tc>
        <w:tc>
          <w:tcPr>
            <w:tcW w:w="284" w:type="pct"/>
            <w:vMerge/>
            <w:vAlign w:val="center"/>
          </w:tcPr>
          <w:p w14:paraId="19BB4062" w14:textId="77777777" w:rsidR="00466D1D" w:rsidRPr="00E67914" w:rsidRDefault="00466D1D" w:rsidP="00223052">
            <w:pPr>
              <w:jc w:val="center"/>
              <w:rPr>
                <w:rFonts w:ascii="Times New Roman" w:hAnsi="Times New Roman"/>
              </w:rPr>
            </w:pPr>
          </w:p>
        </w:tc>
        <w:tc>
          <w:tcPr>
            <w:tcW w:w="844" w:type="pct"/>
            <w:vMerge/>
            <w:vAlign w:val="center"/>
          </w:tcPr>
          <w:p w14:paraId="3FA1AB18" w14:textId="77777777" w:rsidR="00466D1D" w:rsidRPr="00E67914" w:rsidRDefault="00466D1D" w:rsidP="00223052">
            <w:pPr>
              <w:jc w:val="center"/>
              <w:rPr>
                <w:rFonts w:ascii="Times New Roman" w:hAnsi="Times New Roman"/>
              </w:rPr>
            </w:pPr>
          </w:p>
        </w:tc>
        <w:tc>
          <w:tcPr>
            <w:tcW w:w="739" w:type="pct"/>
            <w:vMerge/>
            <w:vAlign w:val="center"/>
          </w:tcPr>
          <w:p w14:paraId="382D9A1A" w14:textId="77777777" w:rsidR="00466D1D" w:rsidRPr="00E67914" w:rsidRDefault="00466D1D" w:rsidP="00223052">
            <w:pPr>
              <w:jc w:val="center"/>
              <w:rPr>
                <w:rFonts w:ascii="Times New Roman" w:hAnsi="Times New Roman"/>
              </w:rPr>
            </w:pPr>
          </w:p>
        </w:tc>
        <w:tc>
          <w:tcPr>
            <w:tcW w:w="684" w:type="pct"/>
            <w:vMerge/>
            <w:vAlign w:val="center"/>
          </w:tcPr>
          <w:p w14:paraId="487D9DE1" w14:textId="77777777" w:rsidR="00466D1D" w:rsidRPr="00E67914" w:rsidRDefault="00466D1D" w:rsidP="00223052">
            <w:pPr>
              <w:jc w:val="center"/>
              <w:rPr>
                <w:rFonts w:ascii="Times New Roman" w:hAnsi="Times New Roman"/>
              </w:rPr>
            </w:pPr>
          </w:p>
        </w:tc>
      </w:tr>
    </w:tbl>
    <w:p w14:paraId="6AB5916B" w14:textId="41E3347C" w:rsidR="005650BE" w:rsidRPr="00E67914" w:rsidRDefault="005650BE" w:rsidP="005650BE">
      <w:pPr>
        <w:widowControl w:val="0"/>
        <w:tabs>
          <w:tab w:val="left" w:pos="0"/>
        </w:tabs>
        <w:adjustRightInd w:val="0"/>
        <w:snapToGrid w:val="0"/>
        <w:spacing w:line="360" w:lineRule="auto"/>
        <w:ind w:firstLineChars="200" w:firstLine="480"/>
        <w:jc w:val="both"/>
        <w:rPr>
          <w:rFonts w:ascii="Times New Roman" w:hAnsi="Times New Roman"/>
          <w:bCs/>
          <w:sz w:val="24"/>
        </w:rPr>
      </w:pPr>
    </w:p>
    <w:p w14:paraId="5298B5EC" w14:textId="77777777" w:rsidR="005650BE" w:rsidRPr="00E67914" w:rsidRDefault="005650BE" w:rsidP="005650BE">
      <w:pPr>
        <w:snapToGrid w:val="0"/>
        <w:jc w:val="center"/>
        <w:rPr>
          <w:rFonts w:ascii="Times New Roman" w:hAnsi="Times New Roman"/>
        </w:rPr>
      </w:pPr>
      <w:r w:rsidRPr="00E67914">
        <w:rPr>
          <w:rFonts w:ascii="Times New Roman" w:hAnsi="Times New Roman"/>
          <w:noProof/>
          <w:szCs w:val="24"/>
        </w:rPr>
        <w:lastRenderedPageBreak/>
        <mc:AlternateContent>
          <mc:Choice Requires="wps">
            <w:drawing>
              <wp:anchor distT="0" distB="0" distL="114300" distR="114300" simplePos="0" relativeHeight="251751424" behindDoc="0" locked="0" layoutInCell="1" allowOverlap="1" wp14:anchorId="48C7B503" wp14:editId="4DC3CE30">
                <wp:simplePos x="0" y="0"/>
                <wp:positionH relativeFrom="margin">
                  <wp:posOffset>3207007</wp:posOffset>
                </wp:positionH>
                <wp:positionV relativeFrom="paragraph">
                  <wp:posOffset>364703</wp:posOffset>
                </wp:positionV>
                <wp:extent cx="2257425" cy="4587857"/>
                <wp:effectExtent l="0" t="0" r="28575" b="22860"/>
                <wp:wrapNone/>
                <wp:docPr id="1521" name="文本框 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4587857"/>
                        </a:xfrm>
                        <a:prstGeom prst="rect">
                          <a:avLst/>
                        </a:prstGeom>
                        <a:solidFill>
                          <a:srgbClr val="FFFFFF"/>
                        </a:solidFill>
                        <a:ln w="9525">
                          <a:solidFill>
                            <a:srgbClr val="FFFFFF"/>
                          </a:solidFill>
                          <a:miter lim="800000"/>
                        </a:ln>
                      </wps:spPr>
                      <wps:txbx>
                        <w:txbxContent>
                          <w:p w14:paraId="0204E579" w14:textId="77777777" w:rsidR="005650BE" w:rsidRDefault="005650BE" w:rsidP="005650BE">
                            <w:pPr>
                              <w:rPr>
                                <w:szCs w:val="21"/>
                                <w:lang w:eastAsia="zh-CN"/>
                              </w:rPr>
                            </w:pPr>
                            <w:r>
                              <w:rPr>
                                <w:rFonts w:hAnsi="宋体"/>
                                <w:szCs w:val="21"/>
                                <w:lang w:eastAsia="zh-CN"/>
                              </w:rPr>
                              <w:t>导管：</w:t>
                            </w:r>
                          </w:p>
                          <w:p w14:paraId="10E3F7AD" w14:textId="77777777" w:rsidR="005650BE" w:rsidRDefault="005650BE" w:rsidP="005650BE">
                            <w:pPr>
                              <w:rPr>
                                <w:szCs w:val="21"/>
                                <w:lang w:eastAsia="zh-CN"/>
                              </w:rPr>
                            </w:pPr>
                            <w:r>
                              <w:rPr>
                                <w:rFonts w:hAnsi="宋体"/>
                                <w:szCs w:val="21"/>
                                <w:lang w:eastAsia="zh-CN"/>
                              </w:rPr>
                              <w:t>套管外径</w:t>
                            </w:r>
                            <w:r>
                              <w:rPr>
                                <w:szCs w:val="21"/>
                                <w:lang w:eastAsia="zh-CN"/>
                              </w:rPr>
                              <w:t>(mm):508</w:t>
                            </w:r>
                          </w:p>
                          <w:p w14:paraId="14A17279" w14:textId="77777777" w:rsidR="005650BE" w:rsidRDefault="005650BE" w:rsidP="005650BE">
                            <w:pPr>
                              <w:rPr>
                                <w:szCs w:val="21"/>
                                <w:lang w:eastAsia="zh-CN"/>
                              </w:rPr>
                            </w:pPr>
                            <w:r>
                              <w:rPr>
                                <w:rFonts w:hAnsi="宋体"/>
                                <w:szCs w:val="21"/>
                                <w:lang w:eastAsia="zh-CN"/>
                              </w:rPr>
                              <w:t>套管下深</w:t>
                            </w:r>
                            <w:r>
                              <w:rPr>
                                <w:szCs w:val="21"/>
                                <w:lang w:eastAsia="zh-CN"/>
                              </w:rPr>
                              <w:t>(m):30</w:t>
                            </w:r>
                          </w:p>
                          <w:p w14:paraId="10B15AE1" w14:textId="77777777" w:rsidR="005650BE" w:rsidRDefault="005650BE" w:rsidP="005650BE">
                            <w:pPr>
                              <w:rPr>
                                <w:szCs w:val="21"/>
                                <w:lang w:eastAsia="zh-CN"/>
                              </w:rPr>
                            </w:pPr>
                            <w:r>
                              <w:rPr>
                                <w:rFonts w:hAnsi="宋体" w:hint="eastAsia"/>
                                <w:szCs w:val="21"/>
                                <w:lang w:eastAsia="zh-CN"/>
                              </w:rPr>
                              <w:t>钻前预埋</w:t>
                            </w:r>
                          </w:p>
                          <w:p w14:paraId="7EF81FA0" w14:textId="77777777" w:rsidR="005650BE" w:rsidRDefault="005650BE" w:rsidP="005650BE">
                            <w:pPr>
                              <w:rPr>
                                <w:rFonts w:hAnsi="宋体"/>
                                <w:szCs w:val="21"/>
                                <w:lang w:eastAsia="zh-CN"/>
                              </w:rPr>
                            </w:pPr>
                          </w:p>
                          <w:p w14:paraId="0FE24C7C" w14:textId="77777777" w:rsidR="005650BE" w:rsidRDefault="005650BE" w:rsidP="005650BE">
                            <w:pPr>
                              <w:rPr>
                                <w:szCs w:val="21"/>
                                <w:lang w:eastAsia="zh-CN"/>
                              </w:rPr>
                            </w:pPr>
                            <w:r>
                              <w:rPr>
                                <w:rFonts w:hAnsi="宋体"/>
                                <w:szCs w:val="21"/>
                                <w:lang w:eastAsia="zh-CN"/>
                              </w:rPr>
                              <w:t>一开：</w:t>
                            </w:r>
                          </w:p>
                          <w:p w14:paraId="779CEF29" w14:textId="77777777" w:rsidR="005650BE" w:rsidRDefault="005650BE" w:rsidP="005650BE">
                            <w:pPr>
                              <w:rPr>
                                <w:szCs w:val="21"/>
                                <w:lang w:eastAsia="zh-CN"/>
                              </w:rPr>
                            </w:pPr>
                            <w:r>
                              <w:rPr>
                                <w:rFonts w:hAnsi="宋体"/>
                                <w:szCs w:val="21"/>
                                <w:lang w:eastAsia="zh-CN"/>
                              </w:rPr>
                              <w:t>井眼直径</w:t>
                            </w:r>
                            <w:r>
                              <w:rPr>
                                <w:szCs w:val="21"/>
                                <w:lang w:eastAsia="zh-CN"/>
                              </w:rPr>
                              <w:t>(mm): 406.4</w:t>
                            </w:r>
                          </w:p>
                          <w:p w14:paraId="5A8FE7FC" w14:textId="143786A8" w:rsidR="005650BE" w:rsidRDefault="005650BE" w:rsidP="005650BE">
                            <w:pPr>
                              <w:rPr>
                                <w:szCs w:val="21"/>
                                <w:lang w:eastAsia="zh-CN"/>
                              </w:rPr>
                            </w:pPr>
                            <w:r>
                              <w:rPr>
                                <w:rFonts w:hAnsi="宋体"/>
                                <w:szCs w:val="21"/>
                                <w:lang w:eastAsia="zh-CN"/>
                              </w:rPr>
                              <w:t>所钻深度</w:t>
                            </w:r>
                            <w:r>
                              <w:rPr>
                                <w:szCs w:val="21"/>
                                <w:lang w:eastAsia="zh-CN"/>
                              </w:rPr>
                              <w:t>(m):30</w:t>
                            </w:r>
                            <w:r w:rsidR="00466D1D">
                              <w:rPr>
                                <w:szCs w:val="21"/>
                                <w:lang w:eastAsia="zh-CN"/>
                              </w:rPr>
                              <w:t>1</w:t>
                            </w:r>
                          </w:p>
                          <w:p w14:paraId="5DC3A48F" w14:textId="77777777" w:rsidR="005650BE" w:rsidRDefault="005650BE" w:rsidP="005650BE">
                            <w:pPr>
                              <w:rPr>
                                <w:szCs w:val="21"/>
                                <w:lang w:eastAsia="zh-CN"/>
                              </w:rPr>
                            </w:pPr>
                            <w:r>
                              <w:rPr>
                                <w:rFonts w:hAnsi="宋体"/>
                                <w:szCs w:val="21"/>
                                <w:lang w:eastAsia="zh-CN"/>
                              </w:rPr>
                              <w:t>套管外径</w:t>
                            </w:r>
                            <w:r>
                              <w:rPr>
                                <w:szCs w:val="21"/>
                                <w:lang w:eastAsia="zh-CN"/>
                              </w:rPr>
                              <w:t>(mm):339.7</w:t>
                            </w:r>
                          </w:p>
                          <w:p w14:paraId="358CDF03" w14:textId="77777777" w:rsidR="005650BE" w:rsidRDefault="005650BE" w:rsidP="005650BE">
                            <w:pPr>
                              <w:rPr>
                                <w:szCs w:val="21"/>
                                <w:lang w:eastAsia="zh-CN"/>
                              </w:rPr>
                            </w:pPr>
                            <w:r>
                              <w:rPr>
                                <w:rFonts w:hAnsi="宋体"/>
                                <w:szCs w:val="21"/>
                                <w:lang w:eastAsia="zh-CN"/>
                              </w:rPr>
                              <w:t>套管下深</w:t>
                            </w:r>
                            <w:r>
                              <w:rPr>
                                <w:szCs w:val="21"/>
                                <w:lang w:eastAsia="zh-CN"/>
                              </w:rPr>
                              <w:t>(m):300</w:t>
                            </w:r>
                          </w:p>
                          <w:p w14:paraId="7854407E" w14:textId="77777777" w:rsidR="005650BE" w:rsidRDefault="005650BE" w:rsidP="005650BE">
                            <w:pPr>
                              <w:rPr>
                                <w:color w:val="000000"/>
                                <w:szCs w:val="21"/>
                                <w:lang w:eastAsia="zh-CN"/>
                              </w:rPr>
                            </w:pPr>
                            <w:r>
                              <w:rPr>
                                <w:rFonts w:hAnsi="宋体"/>
                                <w:szCs w:val="21"/>
                                <w:lang w:eastAsia="zh-CN"/>
                              </w:rPr>
                              <w:t>水泥返高</w:t>
                            </w:r>
                            <w:r>
                              <w:rPr>
                                <w:szCs w:val="21"/>
                                <w:lang w:eastAsia="zh-CN"/>
                              </w:rPr>
                              <w:t>(m):</w:t>
                            </w:r>
                            <w:r>
                              <w:rPr>
                                <w:rFonts w:hAnsi="宋体"/>
                                <w:szCs w:val="21"/>
                                <w:lang w:eastAsia="zh-CN"/>
                              </w:rPr>
                              <w:t>地面</w:t>
                            </w:r>
                          </w:p>
                          <w:p w14:paraId="533B09C6" w14:textId="77777777" w:rsidR="005650BE" w:rsidRDefault="005650BE" w:rsidP="005650BE">
                            <w:pPr>
                              <w:rPr>
                                <w:color w:val="000000"/>
                                <w:szCs w:val="21"/>
                                <w:lang w:eastAsia="zh-CN"/>
                              </w:rPr>
                            </w:pPr>
                          </w:p>
                          <w:p w14:paraId="1AF2CF44" w14:textId="77777777" w:rsidR="005650BE" w:rsidRDefault="005650BE" w:rsidP="005650BE">
                            <w:pPr>
                              <w:rPr>
                                <w:szCs w:val="21"/>
                                <w:lang w:eastAsia="zh-CN"/>
                              </w:rPr>
                            </w:pPr>
                            <w:r>
                              <w:rPr>
                                <w:rFonts w:hAnsi="宋体"/>
                                <w:szCs w:val="21"/>
                                <w:lang w:eastAsia="zh-CN"/>
                              </w:rPr>
                              <w:t>二开：</w:t>
                            </w:r>
                          </w:p>
                          <w:p w14:paraId="7006317A" w14:textId="77777777" w:rsidR="005650BE" w:rsidRDefault="005650BE" w:rsidP="005650BE">
                            <w:pPr>
                              <w:rPr>
                                <w:szCs w:val="21"/>
                                <w:lang w:eastAsia="zh-CN"/>
                              </w:rPr>
                            </w:pPr>
                            <w:r>
                              <w:rPr>
                                <w:rFonts w:hAnsi="宋体"/>
                                <w:szCs w:val="21"/>
                                <w:lang w:eastAsia="zh-CN"/>
                              </w:rPr>
                              <w:t>井眼直径</w:t>
                            </w:r>
                            <w:r>
                              <w:rPr>
                                <w:szCs w:val="21"/>
                                <w:lang w:eastAsia="zh-CN"/>
                              </w:rPr>
                              <w:t>(mm):311.2</w:t>
                            </w:r>
                          </w:p>
                          <w:p w14:paraId="38A503FD" w14:textId="37115651" w:rsidR="005650BE" w:rsidRDefault="005650BE" w:rsidP="005650BE">
                            <w:pPr>
                              <w:rPr>
                                <w:szCs w:val="21"/>
                                <w:lang w:eastAsia="zh-CN"/>
                              </w:rPr>
                            </w:pPr>
                            <w:r>
                              <w:rPr>
                                <w:rFonts w:hAnsi="宋体"/>
                                <w:szCs w:val="21"/>
                                <w:lang w:eastAsia="zh-CN"/>
                              </w:rPr>
                              <w:t>所钻深度</w:t>
                            </w:r>
                            <w:r>
                              <w:rPr>
                                <w:szCs w:val="21"/>
                                <w:lang w:eastAsia="zh-CN"/>
                              </w:rPr>
                              <w:t>(m):</w:t>
                            </w:r>
                            <w:r w:rsidR="00466D1D">
                              <w:rPr>
                                <w:szCs w:val="21"/>
                                <w:lang w:eastAsia="zh-CN"/>
                              </w:rPr>
                              <w:t>3572</w:t>
                            </w:r>
                          </w:p>
                          <w:p w14:paraId="2D96E5B1" w14:textId="77777777" w:rsidR="005650BE" w:rsidRDefault="005650BE" w:rsidP="005650BE">
                            <w:pPr>
                              <w:rPr>
                                <w:szCs w:val="21"/>
                                <w:lang w:eastAsia="zh-CN"/>
                              </w:rPr>
                            </w:pPr>
                            <w:r>
                              <w:rPr>
                                <w:rFonts w:hAnsi="宋体"/>
                                <w:szCs w:val="21"/>
                                <w:lang w:eastAsia="zh-CN"/>
                              </w:rPr>
                              <w:t>套管外径</w:t>
                            </w:r>
                            <w:r>
                              <w:rPr>
                                <w:szCs w:val="21"/>
                                <w:lang w:eastAsia="zh-CN"/>
                              </w:rPr>
                              <w:t>(mm):244.5</w:t>
                            </w:r>
                          </w:p>
                          <w:p w14:paraId="10F6768B" w14:textId="7ADDD761" w:rsidR="005650BE" w:rsidRDefault="005650BE" w:rsidP="005650BE">
                            <w:pPr>
                              <w:rPr>
                                <w:color w:val="FF0000"/>
                                <w:szCs w:val="21"/>
                                <w:lang w:eastAsia="zh-CN"/>
                              </w:rPr>
                            </w:pPr>
                            <w:r>
                              <w:rPr>
                                <w:rFonts w:hAnsi="宋体"/>
                                <w:szCs w:val="21"/>
                                <w:lang w:eastAsia="zh-CN"/>
                              </w:rPr>
                              <w:t>套管下深</w:t>
                            </w:r>
                            <w:r>
                              <w:rPr>
                                <w:szCs w:val="21"/>
                                <w:lang w:eastAsia="zh-CN"/>
                              </w:rPr>
                              <w:t>(m):</w:t>
                            </w:r>
                            <w:r w:rsidR="00466D1D">
                              <w:rPr>
                                <w:szCs w:val="21"/>
                                <w:lang w:eastAsia="zh-CN"/>
                              </w:rPr>
                              <w:t>3570</w:t>
                            </w:r>
                          </w:p>
                          <w:p w14:paraId="5A2E71A9" w14:textId="77777777" w:rsidR="005650BE" w:rsidRDefault="005650BE" w:rsidP="005650BE">
                            <w:pPr>
                              <w:rPr>
                                <w:color w:val="000000"/>
                                <w:szCs w:val="21"/>
                                <w:lang w:eastAsia="zh-CN"/>
                              </w:rPr>
                            </w:pPr>
                            <w:r>
                              <w:rPr>
                                <w:rFonts w:hAnsi="宋体"/>
                                <w:szCs w:val="21"/>
                                <w:lang w:eastAsia="zh-CN"/>
                              </w:rPr>
                              <w:t>水泥返高</w:t>
                            </w:r>
                            <w:r>
                              <w:rPr>
                                <w:szCs w:val="21"/>
                                <w:lang w:eastAsia="zh-CN"/>
                              </w:rPr>
                              <w:t>(m):</w:t>
                            </w:r>
                            <w:r>
                              <w:rPr>
                                <w:rFonts w:hAnsi="宋体"/>
                                <w:szCs w:val="21"/>
                                <w:lang w:eastAsia="zh-CN"/>
                              </w:rPr>
                              <w:t>地面</w:t>
                            </w:r>
                          </w:p>
                          <w:p w14:paraId="42CB3EF4" w14:textId="77777777" w:rsidR="005650BE" w:rsidRDefault="005650BE" w:rsidP="005650BE">
                            <w:pPr>
                              <w:rPr>
                                <w:color w:val="FF0000"/>
                                <w:szCs w:val="21"/>
                                <w:lang w:eastAsia="zh-CN"/>
                              </w:rPr>
                            </w:pPr>
                          </w:p>
                          <w:p w14:paraId="0A3AF953" w14:textId="77777777" w:rsidR="005650BE" w:rsidRDefault="005650BE" w:rsidP="005650BE">
                            <w:pPr>
                              <w:rPr>
                                <w:szCs w:val="21"/>
                                <w:lang w:eastAsia="zh-CN"/>
                              </w:rPr>
                            </w:pPr>
                            <w:r>
                              <w:rPr>
                                <w:rFonts w:hAnsi="宋体"/>
                                <w:szCs w:val="21"/>
                                <w:lang w:eastAsia="zh-CN"/>
                              </w:rPr>
                              <w:t>三开：</w:t>
                            </w:r>
                          </w:p>
                          <w:p w14:paraId="137BA119" w14:textId="77777777" w:rsidR="005650BE" w:rsidRDefault="005650BE" w:rsidP="005650BE">
                            <w:pPr>
                              <w:rPr>
                                <w:szCs w:val="21"/>
                                <w:lang w:eastAsia="zh-CN"/>
                              </w:rPr>
                            </w:pPr>
                            <w:r>
                              <w:rPr>
                                <w:rFonts w:hAnsi="宋体"/>
                                <w:szCs w:val="21"/>
                                <w:lang w:eastAsia="zh-CN"/>
                              </w:rPr>
                              <w:t>井眼直径</w:t>
                            </w:r>
                            <w:r>
                              <w:rPr>
                                <w:szCs w:val="21"/>
                                <w:lang w:eastAsia="zh-CN"/>
                              </w:rPr>
                              <w:t>(mm):215.9</w:t>
                            </w:r>
                          </w:p>
                          <w:p w14:paraId="08DFFB8D" w14:textId="5700AEE6" w:rsidR="005650BE" w:rsidRDefault="005650BE" w:rsidP="005650BE">
                            <w:pPr>
                              <w:rPr>
                                <w:szCs w:val="21"/>
                                <w:lang w:eastAsia="zh-CN"/>
                              </w:rPr>
                            </w:pPr>
                            <w:r>
                              <w:rPr>
                                <w:rFonts w:hAnsi="宋体"/>
                                <w:szCs w:val="21"/>
                                <w:lang w:eastAsia="zh-CN"/>
                              </w:rPr>
                              <w:t>所钻深度</w:t>
                            </w:r>
                            <w:r>
                              <w:rPr>
                                <w:szCs w:val="21"/>
                                <w:lang w:eastAsia="zh-CN"/>
                              </w:rPr>
                              <w:t xml:space="preserve">(m): </w:t>
                            </w:r>
                            <w:r w:rsidR="00466D1D">
                              <w:rPr>
                                <w:szCs w:val="21"/>
                                <w:lang w:eastAsia="zh-CN"/>
                              </w:rPr>
                              <w:t>5527</w:t>
                            </w:r>
                          </w:p>
                          <w:p w14:paraId="13C1FDEF" w14:textId="77777777" w:rsidR="005650BE" w:rsidRDefault="005650BE" w:rsidP="005650BE">
                            <w:pPr>
                              <w:rPr>
                                <w:szCs w:val="21"/>
                                <w:lang w:eastAsia="zh-CN"/>
                              </w:rPr>
                            </w:pPr>
                            <w:r>
                              <w:rPr>
                                <w:rFonts w:hAnsi="宋体"/>
                                <w:szCs w:val="21"/>
                                <w:lang w:eastAsia="zh-CN"/>
                              </w:rPr>
                              <w:t>套管外径</w:t>
                            </w:r>
                            <w:r>
                              <w:rPr>
                                <w:szCs w:val="21"/>
                                <w:lang w:eastAsia="zh-CN"/>
                              </w:rPr>
                              <w:t>(mm):139.7</w:t>
                            </w:r>
                          </w:p>
                          <w:p w14:paraId="143765A9" w14:textId="50954223" w:rsidR="005650BE" w:rsidRDefault="005650BE" w:rsidP="005650BE">
                            <w:pPr>
                              <w:rPr>
                                <w:szCs w:val="21"/>
                              </w:rPr>
                            </w:pPr>
                            <w:r>
                              <w:rPr>
                                <w:rFonts w:hAnsi="宋体"/>
                                <w:szCs w:val="21"/>
                              </w:rPr>
                              <w:t>套管下深</w:t>
                            </w:r>
                            <w:r>
                              <w:rPr>
                                <w:szCs w:val="21"/>
                              </w:rPr>
                              <w:t>(m):</w:t>
                            </w:r>
                            <w:r w:rsidR="00466D1D">
                              <w:rPr>
                                <w:szCs w:val="21"/>
                              </w:rPr>
                              <w:t>5524</w:t>
                            </w:r>
                          </w:p>
                          <w:p w14:paraId="2C43C1D6" w14:textId="3E432D6E" w:rsidR="005650BE" w:rsidRDefault="005650BE" w:rsidP="005650BE">
                            <w:pPr>
                              <w:rPr>
                                <w:szCs w:val="21"/>
                              </w:rPr>
                            </w:pPr>
                            <w:r>
                              <w:rPr>
                                <w:rFonts w:hAnsi="宋体"/>
                                <w:szCs w:val="21"/>
                              </w:rPr>
                              <w:t>水泥返高</w:t>
                            </w:r>
                            <w:r>
                              <w:rPr>
                                <w:szCs w:val="21"/>
                              </w:rPr>
                              <w:t>(m):</w:t>
                            </w:r>
                            <w:r w:rsidR="00466D1D">
                              <w:rPr>
                                <w:szCs w:val="21"/>
                              </w:rPr>
                              <w:t>5024</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8C7B503" id="文本框 1521" o:spid="_x0000_s1036" type="#_x0000_t202" style="position:absolute;left:0;text-align:left;margin-left:252.5pt;margin-top:28.7pt;width:177.75pt;height:361.25pt;z-index:251751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" strokecolor="white">
                <v:textbox>
                  <w:txbxContent>
                    <w:p w14:paraId="0204E579" w14:textId="77777777" w:rsidR="005650BE" w:rsidRDefault="005650BE" w:rsidP="005650BE">
                      <w:pPr>
                        <w:rPr>
                          <w:szCs w:val="21"/>
                          <w:lang w:eastAsia="zh-CN"/>
                        </w:rPr>
                      </w:pPr>
                      <w:r>
                        <w:rPr>
                          <w:rFonts w:hAnsi="宋体"/>
                          <w:szCs w:val="21"/>
                          <w:lang w:eastAsia="zh-CN"/>
                        </w:rPr>
                        <w:t>导管：</w:t>
                      </w:r>
                    </w:p>
                    <w:p w14:paraId="10E3F7AD" w14:textId="77777777" w:rsidR="005650BE" w:rsidRDefault="005650BE" w:rsidP="005650BE">
                      <w:pPr>
                        <w:rPr>
                          <w:szCs w:val="21"/>
                          <w:lang w:eastAsia="zh-CN"/>
                        </w:rPr>
                      </w:pPr>
                      <w:r>
                        <w:rPr>
                          <w:rFonts w:hAnsi="宋体"/>
                          <w:szCs w:val="21"/>
                          <w:lang w:eastAsia="zh-CN"/>
                        </w:rPr>
                        <w:t>套管外径</w:t>
                      </w:r>
                      <w:r>
                        <w:rPr>
                          <w:szCs w:val="21"/>
                          <w:lang w:eastAsia="zh-CN"/>
                        </w:rPr>
                        <w:t>(mm):508</w:t>
                      </w:r>
                    </w:p>
                    <w:p w14:paraId="14A17279" w14:textId="77777777" w:rsidR="005650BE" w:rsidRDefault="005650BE" w:rsidP="005650BE">
                      <w:pPr>
                        <w:rPr>
                          <w:szCs w:val="21"/>
                          <w:lang w:eastAsia="zh-CN"/>
                        </w:rPr>
                      </w:pPr>
                      <w:r>
                        <w:rPr>
                          <w:rFonts w:hAnsi="宋体"/>
                          <w:szCs w:val="21"/>
                          <w:lang w:eastAsia="zh-CN"/>
                        </w:rPr>
                        <w:t>套管下深</w:t>
                      </w:r>
                      <w:r>
                        <w:rPr>
                          <w:szCs w:val="21"/>
                          <w:lang w:eastAsia="zh-CN"/>
                        </w:rPr>
                        <w:t>(m):30</w:t>
                      </w:r>
                    </w:p>
                    <w:p w14:paraId="10B15AE1" w14:textId="77777777" w:rsidR="005650BE" w:rsidRDefault="005650BE" w:rsidP="005650BE">
                      <w:pPr>
                        <w:rPr>
                          <w:szCs w:val="21"/>
                          <w:lang w:eastAsia="zh-CN"/>
                        </w:rPr>
                      </w:pPr>
                      <w:r>
                        <w:rPr>
                          <w:rFonts w:hAnsi="宋体" w:hint="eastAsia"/>
                          <w:szCs w:val="21"/>
                          <w:lang w:eastAsia="zh-CN"/>
                        </w:rPr>
                        <w:t>钻前预埋</w:t>
                      </w:r>
                    </w:p>
                    <w:p w14:paraId="7EF81FA0" w14:textId="77777777" w:rsidR="005650BE" w:rsidRDefault="005650BE" w:rsidP="005650BE">
                      <w:pPr>
                        <w:rPr>
                          <w:rFonts w:hAnsi="宋体"/>
                          <w:szCs w:val="21"/>
                          <w:lang w:eastAsia="zh-CN"/>
                        </w:rPr>
                      </w:pPr>
                    </w:p>
                    <w:p w14:paraId="0FE24C7C" w14:textId="77777777" w:rsidR="005650BE" w:rsidRDefault="005650BE" w:rsidP="005650BE">
                      <w:pPr>
                        <w:rPr>
                          <w:szCs w:val="21"/>
                          <w:lang w:eastAsia="zh-CN"/>
                        </w:rPr>
                      </w:pPr>
                      <w:r>
                        <w:rPr>
                          <w:rFonts w:hAnsi="宋体"/>
                          <w:szCs w:val="21"/>
                          <w:lang w:eastAsia="zh-CN"/>
                        </w:rPr>
                        <w:t>一开：</w:t>
                      </w:r>
                    </w:p>
                    <w:p w14:paraId="779CEF29" w14:textId="77777777" w:rsidR="005650BE" w:rsidRDefault="005650BE" w:rsidP="005650BE">
                      <w:pPr>
                        <w:rPr>
                          <w:szCs w:val="21"/>
                          <w:lang w:eastAsia="zh-CN"/>
                        </w:rPr>
                      </w:pPr>
                      <w:r>
                        <w:rPr>
                          <w:rFonts w:hAnsi="宋体"/>
                          <w:szCs w:val="21"/>
                          <w:lang w:eastAsia="zh-CN"/>
                        </w:rPr>
                        <w:t>井眼直径</w:t>
                      </w:r>
                      <w:r>
                        <w:rPr>
                          <w:szCs w:val="21"/>
                          <w:lang w:eastAsia="zh-CN"/>
                        </w:rPr>
                        <w:t>(mm): 406.4</w:t>
                      </w:r>
                    </w:p>
                    <w:p w14:paraId="5A8FE7FC" w14:textId="143786A8" w:rsidR="005650BE" w:rsidRDefault="005650BE" w:rsidP="005650BE">
                      <w:pPr>
                        <w:rPr>
                          <w:szCs w:val="21"/>
                          <w:lang w:eastAsia="zh-CN"/>
                        </w:rPr>
                      </w:pPr>
                      <w:r>
                        <w:rPr>
                          <w:rFonts w:hAnsi="宋体"/>
                          <w:szCs w:val="21"/>
                          <w:lang w:eastAsia="zh-CN"/>
                        </w:rPr>
                        <w:t>所钻深度</w:t>
                      </w:r>
                      <w:r>
                        <w:rPr>
                          <w:szCs w:val="21"/>
                          <w:lang w:eastAsia="zh-CN"/>
                        </w:rPr>
                        <w:t>(m):30</w:t>
                      </w:r>
                      <w:r w:rsidR="00466D1D">
                        <w:rPr>
                          <w:szCs w:val="21"/>
                          <w:lang w:eastAsia="zh-CN"/>
                        </w:rPr>
                        <w:t>1</w:t>
                      </w:r>
                    </w:p>
                    <w:p w14:paraId="5DC3A48F" w14:textId="77777777" w:rsidR="005650BE" w:rsidRDefault="005650BE" w:rsidP="005650BE">
                      <w:pPr>
                        <w:rPr>
                          <w:szCs w:val="21"/>
                          <w:lang w:eastAsia="zh-CN"/>
                        </w:rPr>
                      </w:pPr>
                      <w:r>
                        <w:rPr>
                          <w:rFonts w:hAnsi="宋体"/>
                          <w:szCs w:val="21"/>
                          <w:lang w:eastAsia="zh-CN"/>
                        </w:rPr>
                        <w:t>套管外径</w:t>
                      </w:r>
                      <w:r>
                        <w:rPr>
                          <w:szCs w:val="21"/>
                          <w:lang w:eastAsia="zh-CN"/>
                        </w:rPr>
                        <w:t>(mm):339.7</w:t>
                      </w:r>
                    </w:p>
                    <w:p w14:paraId="358CDF03" w14:textId="77777777" w:rsidR="005650BE" w:rsidRDefault="005650BE" w:rsidP="005650BE">
                      <w:pPr>
                        <w:rPr>
                          <w:szCs w:val="21"/>
                          <w:lang w:eastAsia="zh-CN"/>
                        </w:rPr>
                      </w:pPr>
                      <w:r>
                        <w:rPr>
                          <w:rFonts w:hAnsi="宋体"/>
                          <w:szCs w:val="21"/>
                          <w:lang w:eastAsia="zh-CN"/>
                        </w:rPr>
                        <w:t>套管下深</w:t>
                      </w:r>
                      <w:r>
                        <w:rPr>
                          <w:szCs w:val="21"/>
                          <w:lang w:eastAsia="zh-CN"/>
                        </w:rPr>
                        <w:t>(m):300</w:t>
                      </w:r>
                    </w:p>
                    <w:p w14:paraId="7854407E" w14:textId="77777777" w:rsidR="005650BE" w:rsidRDefault="005650BE" w:rsidP="005650BE">
                      <w:pPr>
                        <w:rPr>
                          <w:color w:val="000000"/>
                          <w:szCs w:val="21"/>
                          <w:lang w:eastAsia="zh-CN"/>
                        </w:rPr>
                      </w:pPr>
                      <w:r>
                        <w:rPr>
                          <w:rFonts w:hAnsi="宋体"/>
                          <w:szCs w:val="21"/>
                          <w:lang w:eastAsia="zh-CN"/>
                        </w:rPr>
                        <w:t>水泥返高</w:t>
                      </w:r>
                      <w:r>
                        <w:rPr>
                          <w:szCs w:val="21"/>
                          <w:lang w:eastAsia="zh-CN"/>
                        </w:rPr>
                        <w:t>(m):</w:t>
                      </w:r>
                      <w:r>
                        <w:rPr>
                          <w:rFonts w:hAnsi="宋体"/>
                          <w:szCs w:val="21"/>
                          <w:lang w:eastAsia="zh-CN"/>
                        </w:rPr>
                        <w:t>地面</w:t>
                      </w:r>
                    </w:p>
                    <w:p w14:paraId="533B09C6" w14:textId="77777777" w:rsidR="005650BE" w:rsidRDefault="005650BE" w:rsidP="005650BE">
                      <w:pPr>
                        <w:rPr>
                          <w:color w:val="000000"/>
                          <w:szCs w:val="21"/>
                          <w:lang w:eastAsia="zh-CN"/>
                        </w:rPr>
                      </w:pPr>
                    </w:p>
                    <w:p w14:paraId="1AF2CF44" w14:textId="77777777" w:rsidR="005650BE" w:rsidRDefault="005650BE" w:rsidP="005650BE">
                      <w:pPr>
                        <w:rPr>
                          <w:szCs w:val="21"/>
                          <w:lang w:eastAsia="zh-CN"/>
                        </w:rPr>
                      </w:pPr>
                      <w:r>
                        <w:rPr>
                          <w:rFonts w:hAnsi="宋体"/>
                          <w:szCs w:val="21"/>
                          <w:lang w:eastAsia="zh-CN"/>
                        </w:rPr>
                        <w:t>二开：</w:t>
                      </w:r>
                    </w:p>
                    <w:p w14:paraId="7006317A" w14:textId="77777777" w:rsidR="005650BE" w:rsidRDefault="005650BE" w:rsidP="005650BE">
                      <w:pPr>
                        <w:rPr>
                          <w:szCs w:val="21"/>
                          <w:lang w:eastAsia="zh-CN"/>
                        </w:rPr>
                      </w:pPr>
                      <w:r>
                        <w:rPr>
                          <w:rFonts w:hAnsi="宋体"/>
                          <w:szCs w:val="21"/>
                          <w:lang w:eastAsia="zh-CN"/>
                        </w:rPr>
                        <w:t>井眼直径</w:t>
                      </w:r>
                      <w:r>
                        <w:rPr>
                          <w:szCs w:val="21"/>
                          <w:lang w:eastAsia="zh-CN"/>
                        </w:rPr>
                        <w:t>(mm):311.2</w:t>
                      </w:r>
                    </w:p>
                    <w:p w14:paraId="38A503FD" w14:textId="37115651" w:rsidR="005650BE" w:rsidRDefault="005650BE" w:rsidP="005650BE">
                      <w:pPr>
                        <w:rPr>
                          <w:szCs w:val="21"/>
                          <w:lang w:eastAsia="zh-CN"/>
                        </w:rPr>
                      </w:pPr>
                      <w:r>
                        <w:rPr>
                          <w:rFonts w:hAnsi="宋体"/>
                          <w:szCs w:val="21"/>
                          <w:lang w:eastAsia="zh-CN"/>
                        </w:rPr>
                        <w:t>所钻深度</w:t>
                      </w:r>
                      <w:r>
                        <w:rPr>
                          <w:szCs w:val="21"/>
                          <w:lang w:eastAsia="zh-CN"/>
                        </w:rPr>
                        <w:t>(m):</w:t>
                      </w:r>
                      <w:r w:rsidR="00466D1D">
                        <w:rPr>
                          <w:szCs w:val="21"/>
                          <w:lang w:eastAsia="zh-CN"/>
                        </w:rPr>
                        <w:t>3572</w:t>
                      </w:r>
                    </w:p>
                    <w:p w14:paraId="2D96E5B1" w14:textId="77777777" w:rsidR="005650BE" w:rsidRDefault="005650BE" w:rsidP="005650BE">
                      <w:pPr>
                        <w:rPr>
                          <w:szCs w:val="21"/>
                          <w:lang w:eastAsia="zh-CN"/>
                        </w:rPr>
                      </w:pPr>
                      <w:r>
                        <w:rPr>
                          <w:rFonts w:hAnsi="宋体"/>
                          <w:szCs w:val="21"/>
                          <w:lang w:eastAsia="zh-CN"/>
                        </w:rPr>
                        <w:t>套管外径</w:t>
                      </w:r>
                      <w:r>
                        <w:rPr>
                          <w:szCs w:val="21"/>
                          <w:lang w:eastAsia="zh-CN"/>
                        </w:rPr>
                        <w:t>(mm):244.5</w:t>
                      </w:r>
                    </w:p>
                    <w:p w14:paraId="10F6768B" w14:textId="7ADDD761" w:rsidR="005650BE" w:rsidRDefault="005650BE" w:rsidP="005650BE">
                      <w:pPr>
                        <w:rPr>
                          <w:color w:val="FF0000"/>
                          <w:szCs w:val="21"/>
                          <w:lang w:eastAsia="zh-CN"/>
                        </w:rPr>
                      </w:pPr>
                      <w:r>
                        <w:rPr>
                          <w:rFonts w:hAnsi="宋体"/>
                          <w:szCs w:val="21"/>
                          <w:lang w:eastAsia="zh-CN"/>
                        </w:rPr>
                        <w:t>套管下深</w:t>
                      </w:r>
                      <w:r>
                        <w:rPr>
                          <w:szCs w:val="21"/>
                          <w:lang w:eastAsia="zh-CN"/>
                        </w:rPr>
                        <w:t>(m):</w:t>
                      </w:r>
                      <w:r w:rsidR="00466D1D">
                        <w:rPr>
                          <w:szCs w:val="21"/>
                          <w:lang w:eastAsia="zh-CN"/>
                        </w:rPr>
                        <w:t>3570</w:t>
                      </w:r>
                    </w:p>
                    <w:p w14:paraId="5A2E71A9" w14:textId="77777777" w:rsidR="005650BE" w:rsidRDefault="005650BE" w:rsidP="005650BE">
                      <w:pPr>
                        <w:rPr>
                          <w:color w:val="000000"/>
                          <w:szCs w:val="21"/>
                          <w:lang w:eastAsia="zh-CN"/>
                        </w:rPr>
                      </w:pPr>
                      <w:r>
                        <w:rPr>
                          <w:rFonts w:hAnsi="宋体"/>
                          <w:szCs w:val="21"/>
                          <w:lang w:eastAsia="zh-CN"/>
                        </w:rPr>
                        <w:t>水泥返高</w:t>
                      </w:r>
                      <w:r>
                        <w:rPr>
                          <w:szCs w:val="21"/>
                          <w:lang w:eastAsia="zh-CN"/>
                        </w:rPr>
                        <w:t>(m):</w:t>
                      </w:r>
                      <w:r>
                        <w:rPr>
                          <w:rFonts w:hAnsi="宋体"/>
                          <w:szCs w:val="21"/>
                          <w:lang w:eastAsia="zh-CN"/>
                        </w:rPr>
                        <w:t>地面</w:t>
                      </w:r>
                    </w:p>
                    <w:p w14:paraId="42CB3EF4" w14:textId="77777777" w:rsidR="005650BE" w:rsidRDefault="005650BE" w:rsidP="005650BE">
                      <w:pPr>
                        <w:rPr>
                          <w:color w:val="FF0000"/>
                          <w:szCs w:val="21"/>
                          <w:lang w:eastAsia="zh-CN"/>
                        </w:rPr>
                      </w:pPr>
                    </w:p>
                    <w:p w14:paraId="0A3AF953" w14:textId="77777777" w:rsidR="005650BE" w:rsidRDefault="005650BE" w:rsidP="005650BE">
                      <w:pPr>
                        <w:rPr>
                          <w:szCs w:val="21"/>
                          <w:lang w:eastAsia="zh-CN"/>
                        </w:rPr>
                      </w:pPr>
                      <w:r>
                        <w:rPr>
                          <w:rFonts w:hAnsi="宋体"/>
                          <w:szCs w:val="21"/>
                          <w:lang w:eastAsia="zh-CN"/>
                        </w:rPr>
                        <w:t>三开：</w:t>
                      </w:r>
                    </w:p>
                    <w:p w14:paraId="137BA119" w14:textId="77777777" w:rsidR="005650BE" w:rsidRDefault="005650BE" w:rsidP="005650BE">
                      <w:pPr>
                        <w:rPr>
                          <w:szCs w:val="21"/>
                          <w:lang w:eastAsia="zh-CN"/>
                        </w:rPr>
                      </w:pPr>
                      <w:r>
                        <w:rPr>
                          <w:rFonts w:hAnsi="宋体"/>
                          <w:szCs w:val="21"/>
                          <w:lang w:eastAsia="zh-CN"/>
                        </w:rPr>
                        <w:t>井眼直径</w:t>
                      </w:r>
                      <w:r>
                        <w:rPr>
                          <w:szCs w:val="21"/>
                          <w:lang w:eastAsia="zh-CN"/>
                        </w:rPr>
                        <w:t>(mm):215.9</w:t>
                      </w:r>
                    </w:p>
                    <w:p w14:paraId="08DFFB8D" w14:textId="5700AEE6" w:rsidR="005650BE" w:rsidRDefault="005650BE" w:rsidP="005650BE">
                      <w:pPr>
                        <w:rPr>
                          <w:szCs w:val="21"/>
                          <w:lang w:eastAsia="zh-CN"/>
                        </w:rPr>
                      </w:pPr>
                      <w:r>
                        <w:rPr>
                          <w:rFonts w:hAnsi="宋体"/>
                          <w:szCs w:val="21"/>
                          <w:lang w:eastAsia="zh-CN"/>
                        </w:rPr>
                        <w:t>所钻深度</w:t>
                      </w:r>
                      <w:r>
                        <w:rPr>
                          <w:szCs w:val="21"/>
                          <w:lang w:eastAsia="zh-CN"/>
                        </w:rPr>
                        <w:t xml:space="preserve">(m): </w:t>
                      </w:r>
                      <w:r w:rsidR="00466D1D">
                        <w:rPr>
                          <w:szCs w:val="21"/>
                          <w:lang w:eastAsia="zh-CN"/>
                        </w:rPr>
                        <w:t>5527</w:t>
                      </w:r>
                    </w:p>
                    <w:p w14:paraId="13C1FDEF" w14:textId="77777777" w:rsidR="005650BE" w:rsidRDefault="005650BE" w:rsidP="005650BE">
                      <w:pPr>
                        <w:rPr>
                          <w:szCs w:val="21"/>
                          <w:lang w:eastAsia="zh-CN"/>
                        </w:rPr>
                      </w:pPr>
                      <w:r>
                        <w:rPr>
                          <w:rFonts w:hAnsi="宋体"/>
                          <w:szCs w:val="21"/>
                          <w:lang w:eastAsia="zh-CN"/>
                        </w:rPr>
                        <w:t>套管外径</w:t>
                      </w:r>
                      <w:r>
                        <w:rPr>
                          <w:szCs w:val="21"/>
                          <w:lang w:eastAsia="zh-CN"/>
                        </w:rPr>
                        <w:t>(mm):139.7</w:t>
                      </w:r>
                    </w:p>
                    <w:p w14:paraId="143765A9" w14:textId="50954223" w:rsidR="005650BE" w:rsidRDefault="005650BE" w:rsidP="005650BE">
                      <w:pPr>
                        <w:rPr>
                          <w:szCs w:val="21"/>
                        </w:rPr>
                      </w:pPr>
                      <w:r>
                        <w:rPr>
                          <w:rFonts w:hAnsi="宋体"/>
                          <w:szCs w:val="21"/>
                        </w:rPr>
                        <w:t>套管下深</w:t>
                      </w:r>
                      <w:r>
                        <w:rPr>
                          <w:szCs w:val="21"/>
                        </w:rPr>
                        <w:t>(m):</w:t>
                      </w:r>
                      <w:r w:rsidR="00466D1D">
                        <w:rPr>
                          <w:szCs w:val="21"/>
                        </w:rPr>
                        <w:t>5524</w:t>
                      </w:r>
                    </w:p>
                    <w:p w14:paraId="2C43C1D6" w14:textId="3E432D6E" w:rsidR="005650BE" w:rsidRDefault="005650BE" w:rsidP="005650BE">
                      <w:pPr>
                        <w:rPr>
                          <w:szCs w:val="21"/>
                        </w:rPr>
                      </w:pPr>
                      <w:r>
                        <w:rPr>
                          <w:rFonts w:hAnsi="宋体"/>
                          <w:szCs w:val="21"/>
                        </w:rPr>
                        <w:t>水泥返高</w:t>
                      </w:r>
                      <w:r>
                        <w:rPr>
                          <w:szCs w:val="21"/>
                        </w:rPr>
                        <w:t>(m):</w:t>
                      </w:r>
                      <w:r w:rsidR="00466D1D">
                        <w:rPr>
                          <w:szCs w:val="21"/>
                        </w:rPr>
                        <w:t>5024</w:t>
                      </w:r>
                    </w:p>
                  </w:txbxContent>
                </v:textbox>
                <w10:wrap anchorx="margin"/>
              </v:shape>
            </w:pict>
          </mc:Fallback>
        </mc:AlternateContent>
      </w:r>
      <w:r w:rsidRPr="00E67914">
        <w:rPr>
          <w:rFonts w:ascii="Times New Roman" w:hAnsi="Times New Roman"/>
          <w:noProof/>
        </w:rPr>
        <w:drawing>
          <wp:inline distT="0" distB="0" distL="114300" distR="114300" wp14:anchorId="06E0EA7A" wp14:editId="7D8FF2C7">
            <wp:extent cx="3684270" cy="7579360"/>
            <wp:effectExtent l="0" t="0" r="11430" b="2540"/>
            <wp:docPr id="354612598" name="图片 354612598" descr="普陆1-6H_井身结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普陆1-6H_井身结构图"/>
                    <pic:cNvPicPr>
                      <a:picLocks noChangeAspect="1"/>
                    </pic:cNvPicPr>
                  </pic:nvPicPr>
                  <pic:blipFill>
                    <a:blip r:embed="rId25"/>
                    <a:stretch>
                      <a:fillRect/>
                    </a:stretch>
                  </pic:blipFill>
                  <pic:spPr>
                    <a:xfrm>
                      <a:off x="0" y="0"/>
                      <a:ext cx="3684270" cy="7579360"/>
                    </a:xfrm>
                    <a:prstGeom prst="rect">
                      <a:avLst/>
                    </a:prstGeom>
                  </pic:spPr>
                </pic:pic>
              </a:graphicData>
            </a:graphic>
          </wp:inline>
        </w:drawing>
      </w:r>
    </w:p>
    <w:p w14:paraId="478808D5" w14:textId="40BC00A2" w:rsidR="005650BE" w:rsidRPr="00E67914" w:rsidRDefault="005650BE" w:rsidP="005650BE">
      <w:pPr>
        <w:pStyle w:val="a6"/>
        <w:ind w:firstLine="0"/>
        <w:jc w:val="center"/>
        <w:rPr>
          <w:rFonts w:eastAsia="黑体"/>
          <w:szCs w:val="21"/>
        </w:rPr>
      </w:pPr>
      <w:r w:rsidRPr="00E67914">
        <w:rPr>
          <w:rFonts w:eastAsia="黑体"/>
          <w:szCs w:val="21"/>
        </w:rPr>
        <w:t>图</w:t>
      </w:r>
      <w:r w:rsidR="00CB4B0C" w:rsidRPr="00E67914">
        <w:rPr>
          <w:rFonts w:eastAsia="黑体"/>
          <w:szCs w:val="21"/>
        </w:rPr>
        <w:t xml:space="preserve">3.2-1  </w:t>
      </w:r>
      <w:r w:rsidRPr="00E67914">
        <w:rPr>
          <w:rFonts w:eastAsia="黑体"/>
          <w:szCs w:val="21"/>
        </w:rPr>
        <w:t>井身结构设计示意图</w:t>
      </w:r>
      <w:r w:rsidR="00466D1D" w:rsidRPr="00E67914">
        <w:rPr>
          <w:rFonts w:eastAsia="黑体"/>
          <w:szCs w:val="21"/>
        </w:rPr>
        <w:t>（以普陆页</w:t>
      </w:r>
      <w:r w:rsidR="00466D1D" w:rsidRPr="00E67914">
        <w:rPr>
          <w:rFonts w:eastAsia="黑体"/>
          <w:szCs w:val="21"/>
        </w:rPr>
        <w:t>2-2</w:t>
      </w:r>
      <w:r w:rsidR="00466D1D" w:rsidRPr="00E67914">
        <w:rPr>
          <w:rFonts w:eastAsia="黑体"/>
          <w:szCs w:val="21"/>
        </w:rPr>
        <w:t>为例）</w:t>
      </w:r>
    </w:p>
    <w:p w14:paraId="6946F283"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4</w:t>
      </w:r>
      <w:r w:rsidRPr="00E67914">
        <w:rPr>
          <w:rFonts w:ascii="Times New Roman" w:hAnsi="Times New Roman"/>
          <w:sz w:val="24"/>
          <w:szCs w:val="24"/>
          <w:lang w:eastAsia="zh-CN"/>
        </w:rPr>
        <w:t>）钻头程序及套管下深</w:t>
      </w:r>
    </w:p>
    <w:p w14:paraId="61D26E32"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bookmarkStart w:id="66" w:name="OLE_LINK5"/>
      <w:r w:rsidRPr="00E67914">
        <w:rPr>
          <w:rFonts w:ascii="Times New Roman" w:eastAsia="黑体" w:hAnsi="Times New Roman"/>
          <w:sz w:val="21"/>
          <w:szCs w:val="21"/>
          <w:lang w:eastAsia="zh-CN"/>
        </w:rPr>
        <w:t>表</w:t>
      </w:r>
      <w:bookmarkEnd w:id="66"/>
      <w:r w:rsidRPr="00E67914">
        <w:rPr>
          <w:rFonts w:ascii="Times New Roman" w:eastAsia="黑体" w:hAnsi="Times New Roman"/>
          <w:sz w:val="21"/>
          <w:szCs w:val="21"/>
          <w:lang w:eastAsia="zh-CN"/>
        </w:rPr>
        <w:t xml:space="preserve">3.2-4  </w:t>
      </w:r>
      <w:r w:rsidRPr="00E67914">
        <w:rPr>
          <w:rFonts w:ascii="Times New Roman" w:eastAsia="黑体" w:hAnsi="Times New Roman"/>
          <w:sz w:val="21"/>
          <w:szCs w:val="21"/>
          <w:lang w:eastAsia="zh-CN"/>
        </w:rPr>
        <w:t>井身结构设计数据表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950"/>
        <w:gridCol w:w="1547"/>
        <w:gridCol w:w="900"/>
        <w:gridCol w:w="1547"/>
        <w:gridCol w:w="1401"/>
        <w:gridCol w:w="1383"/>
      </w:tblGrid>
      <w:tr w:rsidR="00E67914" w:rsidRPr="00E67914" w14:paraId="3470C458" w14:textId="77777777" w:rsidTr="00466D1D">
        <w:trPr>
          <w:trHeight w:val="675"/>
        </w:trPr>
        <w:tc>
          <w:tcPr>
            <w:tcW w:w="917" w:type="pct"/>
            <w:gridSpan w:val="2"/>
            <w:shd w:val="clear" w:color="auto" w:fill="auto"/>
            <w:vAlign w:val="center"/>
          </w:tcPr>
          <w:p w14:paraId="1104C106" w14:textId="75D6F0C8" w:rsidR="00466D1D" w:rsidRPr="00E67914" w:rsidRDefault="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开次</w:t>
            </w:r>
          </w:p>
        </w:tc>
        <w:tc>
          <w:tcPr>
            <w:tcW w:w="932" w:type="pct"/>
            <w:shd w:val="clear" w:color="auto" w:fill="auto"/>
            <w:vAlign w:val="center"/>
          </w:tcPr>
          <w:p w14:paraId="359B43BF" w14:textId="2AEE3F72"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钻头尺寸（</w:t>
            </w:r>
            <w:r w:rsidRPr="00E67914">
              <w:rPr>
                <w:rFonts w:ascii="Times New Roman" w:hAnsi="Times New Roman"/>
                <w:sz w:val="21"/>
                <w:szCs w:val="21"/>
                <w:lang w:bidi="ar"/>
              </w:rPr>
              <w:t>mm</w:t>
            </w:r>
            <w:r w:rsidRPr="00E67914">
              <w:rPr>
                <w:rFonts w:ascii="Times New Roman" w:hAnsi="Times New Roman"/>
                <w:sz w:val="21"/>
                <w:szCs w:val="21"/>
                <w:lang w:bidi="ar"/>
              </w:rPr>
              <w:t>）</w:t>
            </w:r>
          </w:p>
        </w:tc>
        <w:tc>
          <w:tcPr>
            <w:tcW w:w="542" w:type="pct"/>
            <w:shd w:val="clear" w:color="auto" w:fill="auto"/>
            <w:vAlign w:val="center"/>
          </w:tcPr>
          <w:p w14:paraId="2082CAE8"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钻深</w:t>
            </w:r>
            <w:r w:rsidRPr="00E67914">
              <w:rPr>
                <w:rFonts w:ascii="Times New Roman" w:hAnsi="Times New Roman"/>
                <w:sz w:val="21"/>
                <w:szCs w:val="21"/>
                <w:lang w:bidi="ar"/>
              </w:rPr>
              <w:br/>
            </w:r>
            <w:r w:rsidRPr="00E67914">
              <w:rPr>
                <w:rFonts w:ascii="Times New Roman" w:hAnsi="Times New Roman"/>
                <w:sz w:val="21"/>
                <w:szCs w:val="21"/>
                <w:lang w:bidi="ar"/>
              </w:rPr>
              <w:t>（</w:t>
            </w:r>
            <w:r w:rsidRPr="00E67914">
              <w:rPr>
                <w:rFonts w:ascii="Times New Roman" w:hAnsi="Times New Roman"/>
                <w:sz w:val="21"/>
                <w:szCs w:val="21"/>
                <w:lang w:bidi="ar"/>
              </w:rPr>
              <w:t>m</w:t>
            </w:r>
            <w:r w:rsidRPr="00E67914">
              <w:rPr>
                <w:rFonts w:ascii="Times New Roman" w:hAnsi="Times New Roman"/>
                <w:sz w:val="21"/>
                <w:szCs w:val="21"/>
                <w:lang w:bidi="ar"/>
              </w:rPr>
              <w:t>）</w:t>
            </w:r>
          </w:p>
        </w:tc>
        <w:tc>
          <w:tcPr>
            <w:tcW w:w="932" w:type="pct"/>
            <w:shd w:val="clear" w:color="auto" w:fill="auto"/>
            <w:vAlign w:val="center"/>
          </w:tcPr>
          <w:p w14:paraId="54AEFBEC"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套管尺寸（</w:t>
            </w:r>
            <w:r w:rsidRPr="00E67914">
              <w:rPr>
                <w:rFonts w:ascii="Times New Roman" w:hAnsi="Times New Roman"/>
                <w:sz w:val="21"/>
                <w:szCs w:val="21"/>
                <w:lang w:bidi="ar"/>
              </w:rPr>
              <w:t>mm</w:t>
            </w:r>
            <w:r w:rsidRPr="00E67914">
              <w:rPr>
                <w:rFonts w:ascii="Times New Roman" w:hAnsi="Times New Roman"/>
                <w:sz w:val="21"/>
                <w:szCs w:val="21"/>
                <w:lang w:bidi="ar"/>
              </w:rPr>
              <w:t>）</w:t>
            </w:r>
          </w:p>
        </w:tc>
        <w:tc>
          <w:tcPr>
            <w:tcW w:w="844" w:type="pct"/>
            <w:shd w:val="clear" w:color="auto" w:fill="auto"/>
            <w:vAlign w:val="center"/>
          </w:tcPr>
          <w:p w14:paraId="58037E2D"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套管下深（</w:t>
            </w:r>
            <w:r w:rsidRPr="00E67914">
              <w:rPr>
                <w:rFonts w:ascii="Times New Roman" w:hAnsi="Times New Roman"/>
                <w:sz w:val="21"/>
                <w:szCs w:val="21"/>
                <w:lang w:bidi="ar"/>
              </w:rPr>
              <w:t>m</w:t>
            </w:r>
            <w:r w:rsidRPr="00E67914">
              <w:rPr>
                <w:rFonts w:ascii="Times New Roman" w:hAnsi="Times New Roman"/>
                <w:sz w:val="21"/>
                <w:szCs w:val="21"/>
                <w:lang w:bidi="ar"/>
              </w:rPr>
              <w:t>）</w:t>
            </w:r>
          </w:p>
        </w:tc>
        <w:tc>
          <w:tcPr>
            <w:tcW w:w="833" w:type="pct"/>
            <w:shd w:val="clear" w:color="auto" w:fill="auto"/>
            <w:vAlign w:val="center"/>
          </w:tcPr>
          <w:p w14:paraId="190C5E57"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水泥返高（</w:t>
            </w:r>
            <w:r w:rsidRPr="00E67914">
              <w:rPr>
                <w:rFonts w:ascii="Times New Roman" w:hAnsi="Times New Roman"/>
                <w:sz w:val="21"/>
                <w:szCs w:val="21"/>
                <w:lang w:bidi="ar"/>
              </w:rPr>
              <w:t>m</w:t>
            </w:r>
            <w:r w:rsidRPr="00E67914">
              <w:rPr>
                <w:rFonts w:ascii="Times New Roman" w:hAnsi="Times New Roman"/>
                <w:sz w:val="21"/>
                <w:szCs w:val="21"/>
                <w:lang w:bidi="ar"/>
              </w:rPr>
              <w:t>）</w:t>
            </w:r>
          </w:p>
        </w:tc>
      </w:tr>
      <w:tr w:rsidR="00E67914" w:rsidRPr="00E67914" w14:paraId="3CF2112E" w14:textId="77777777" w:rsidTr="00466D1D">
        <w:trPr>
          <w:trHeight w:val="299"/>
        </w:trPr>
        <w:tc>
          <w:tcPr>
            <w:tcW w:w="917" w:type="pct"/>
            <w:gridSpan w:val="2"/>
            <w:shd w:val="clear" w:color="auto" w:fill="auto"/>
            <w:vAlign w:val="center"/>
          </w:tcPr>
          <w:p w14:paraId="01FD7DC5" w14:textId="3EBE5D9C"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导管</w:t>
            </w:r>
          </w:p>
        </w:tc>
        <w:tc>
          <w:tcPr>
            <w:tcW w:w="932" w:type="pct"/>
            <w:shd w:val="clear" w:color="auto" w:fill="auto"/>
            <w:vAlign w:val="center"/>
          </w:tcPr>
          <w:p w14:paraId="5A9A99F7" w14:textId="508B104F" w:rsidR="00466D1D" w:rsidRPr="00E67914" w:rsidRDefault="00466D1D">
            <w:pPr>
              <w:jc w:val="center"/>
              <w:textAlignment w:val="center"/>
              <w:rPr>
                <w:rFonts w:ascii="Times New Roman" w:hAnsi="Times New Roman"/>
                <w:sz w:val="21"/>
                <w:szCs w:val="21"/>
              </w:rPr>
            </w:pPr>
          </w:p>
        </w:tc>
        <w:tc>
          <w:tcPr>
            <w:tcW w:w="542" w:type="pct"/>
            <w:shd w:val="clear" w:color="auto" w:fill="auto"/>
            <w:vAlign w:val="center"/>
          </w:tcPr>
          <w:p w14:paraId="78117796" w14:textId="77777777" w:rsidR="00466D1D" w:rsidRPr="00E67914" w:rsidRDefault="00466D1D">
            <w:pPr>
              <w:jc w:val="center"/>
              <w:textAlignment w:val="center"/>
              <w:rPr>
                <w:rFonts w:ascii="Times New Roman" w:hAnsi="Times New Roman"/>
                <w:sz w:val="21"/>
                <w:szCs w:val="21"/>
              </w:rPr>
            </w:pPr>
          </w:p>
        </w:tc>
        <w:tc>
          <w:tcPr>
            <w:tcW w:w="932" w:type="pct"/>
            <w:shd w:val="clear" w:color="auto" w:fill="auto"/>
            <w:vAlign w:val="center"/>
          </w:tcPr>
          <w:p w14:paraId="5125B40C"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508</w:t>
            </w:r>
          </w:p>
        </w:tc>
        <w:tc>
          <w:tcPr>
            <w:tcW w:w="844" w:type="pct"/>
            <w:shd w:val="clear" w:color="auto" w:fill="auto"/>
            <w:vAlign w:val="center"/>
          </w:tcPr>
          <w:p w14:paraId="2E790242"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30</w:t>
            </w:r>
          </w:p>
        </w:tc>
        <w:tc>
          <w:tcPr>
            <w:tcW w:w="833" w:type="pct"/>
            <w:shd w:val="clear" w:color="auto" w:fill="auto"/>
            <w:vAlign w:val="center"/>
          </w:tcPr>
          <w:p w14:paraId="735865E8" w14:textId="77777777" w:rsidR="00466D1D" w:rsidRPr="00E67914" w:rsidRDefault="00466D1D">
            <w:pPr>
              <w:jc w:val="center"/>
              <w:textAlignment w:val="center"/>
              <w:rPr>
                <w:rFonts w:ascii="Times New Roman" w:hAnsi="Times New Roman"/>
                <w:sz w:val="21"/>
                <w:szCs w:val="21"/>
              </w:rPr>
            </w:pPr>
          </w:p>
        </w:tc>
      </w:tr>
      <w:tr w:rsidR="00E67914" w:rsidRPr="00E67914" w14:paraId="302C9FE4" w14:textId="77777777" w:rsidTr="00466D1D">
        <w:trPr>
          <w:trHeight w:val="299"/>
        </w:trPr>
        <w:tc>
          <w:tcPr>
            <w:tcW w:w="917" w:type="pct"/>
            <w:gridSpan w:val="2"/>
            <w:shd w:val="clear" w:color="auto" w:fill="auto"/>
            <w:vAlign w:val="center"/>
          </w:tcPr>
          <w:p w14:paraId="368D0D46" w14:textId="39C9EE5B" w:rsidR="00466D1D" w:rsidRPr="00E67914" w:rsidRDefault="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lastRenderedPageBreak/>
              <w:t>一开</w:t>
            </w:r>
          </w:p>
        </w:tc>
        <w:tc>
          <w:tcPr>
            <w:tcW w:w="932" w:type="pct"/>
            <w:shd w:val="clear" w:color="auto" w:fill="auto"/>
            <w:vAlign w:val="center"/>
          </w:tcPr>
          <w:p w14:paraId="1C809008" w14:textId="74CEA496"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406.4</w:t>
            </w:r>
          </w:p>
        </w:tc>
        <w:tc>
          <w:tcPr>
            <w:tcW w:w="542" w:type="pct"/>
            <w:shd w:val="clear" w:color="auto" w:fill="auto"/>
            <w:vAlign w:val="center"/>
          </w:tcPr>
          <w:p w14:paraId="0B22370F"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301</w:t>
            </w:r>
          </w:p>
        </w:tc>
        <w:tc>
          <w:tcPr>
            <w:tcW w:w="932" w:type="pct"/>
            <w:shd w:val="clear" w:color="auto" w:fill="auto"/>
            <w:vAlign w:val="center"/>
          </w:tcPr>
          <w:p w14:paraId="3AA6FE1C"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339.7</w:t>
            </w:r>
          </w:p>
        </w:tc>
        <w:tc>
          <w:tcPr>
            <w:tcW w:w="844" w:type="pct"/>
            <w:shd w:val="clear" w:color="auto" w:fill="auto"/>
            <w:vAlign w:val="center"/>
          </w:tcPr>
          <w:p w14:paraId="336F52D6"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0~300</w:t>
            </w:r>
          </w:p>
        </w:tc>
        <w:tc>
          <w:tcPr>
            <w:tcW w:w="833" w:type="pct"/>
            <w:shd w:val="clear" w:color="auto" w:fill="auto"/>
            <w:vAlign w:val="center"/>
          </w:tcPr>
          <w:p w14:paraId="50C9AD57"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地面</w:t>
            </w:r>
          </w:p>
        </w:tc>
      </w:tr>
      <w:tr w:rsidR="00E67914" w:rsidRPr="00E67914" w14:paraId="756F4579" w14:textId="77777777" w:rsidTr="00466D1D">
        <w:trPr>
          <w:trHeight w:val="299"/>
        </w:trPr>
        <w:tc>
          <w:tcPr>
            <w:tcW w:w="345" w:type="pct"/>
            <w:vMerge w:val="restart"/>
            <w:shd w:val="clear" w:color="auto" w:fill="auto"/>
            <w:vAlign w:val="center"/>
          </w:tcPr>
          <w:p w14:paraId="3AFEB935"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二开</w:t>
            </w:r>
          </w:p>
        </w:tc>
        <w:tc>
          <w:tcPr>
            <w:tcW w:w="572" w:type="pct"/>
            <w:vAlign w:val="center"/>
          </w:tcPr>
          <w:p w14:paraId="1377FCE1" w14:textId="48BDA932" w:rsidR="00466D1D" w:rsidRPr="00E67914" w:rsidRDefault="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普陆页</w:t>
            </w:r>
            <w:r w:rsidRPr="00E67914">
              <w:rPr>
                <w:rFonts w:ascii="Times New Roman" w:hAnsi="Times New Roman"/>
                <w:sz w:val="21"/>
                <w:szCs w:val="21"/>
                <w:lang w:bidi="ar"/>
              </w:rPr>
              <w:t>2-1</w:t>
            </w:r>
          </w:p>
        </w:tc>
        <w:tc>
          <w:tcPr>
            <w:tcW w:w="932" w:type="pct"/>
            <w:vMerge w:val="restart"/>
            <w:shd w:val="clear" w:color="auto" w:fill="auto"/>
            <w:vAlign w:val="center"/>
          </w:tcPr>
          <w:p w14:paraId="5913F5C0" w14:textId="5C430DDF"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311.2</w:t>
            </w:r>
          </w:p>
        </w:tc>
        <w:tc>
          <w:tcPr>
            <w:tcW w:w="542" w:type="pct"/>
            <w:shd w:val="clear" w:color="auto" w:fill="auto"/>
            <w:vAlign w:val="center"/>
          </w:tcPr>
          <w:p w14:paraId="6DC7BC3C" w14:textId="3B8EFD8B" w:rsidR="00466D1D" w:rsidRPr="00E67914" w:rsidRDefault="00B70EDA">
            <w:pPr>
              <w:jc w:val="center"/>
              <w:textAlignment w:val="center"/>
              <w:rPr>
                <w:rFonts w:ascii="Times New Roman" w:hAnsi="Times New Roman"/>
                <w:sz w:val="21"/>
                <w:szCs w:val="21"/>
                <w:lang w:eastAsia="zh-CN"/>
              </w:rPr>
            </w:pPr>
            <w:r w:rsidRPr="00E67914">
              <w:rPr>
                <w:rFonts w:ascii="Times New Roman" w:hAnsi="Times New Roman"/>
                <w:sz w:val="21"/>
                <w:szCs w:val="21"/>
                <w:lang w:eastAsia="zh-CN"/>
              </w:rPr>
              <w:t>3</w:t>
            </w:r>
            <w:r w:rsidR="004D22CC" w:rsidRPr="00E67914">
              <w:rPr>
                <w:rFonts w:ascii="Times New Roman" w:hAnsi="Times New Roman"/>
                <w:sz w:val="21"/>
                <w:szCs w:val="21"/>
                <w:lang w:eastAsia="zh-CN"/>
              </w:rPr>
              <w:t>584</w:t>
            </w:r>
          </w:p>
        </w:tc>
        <w:tc>
          <w:tcPr>
            <w:tcW w:w="932" w:type="pct"/>
            <w:vMerge w:val="restart"/>
            <w:shd w:val="clear" w:color="auto" w:fill="auto"/>
            <w:vAlign w:val="center"/>
          </w:tcPr>
          <w:p w14:paraId="228D42CF"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244.5</w:t>
            </w:r>
          </w:p>
        </w:tc>
        <w:tc>
          <w:tcPr>
            <w:tcW w:w="844" w:type="pct"/>
            <w:shd w:val="clear" w:color="auto" w:fill="auto"/>
            <w:vAlign w:val="center"/>
          </w:tcPr>
          <w:p w14:paraId="2048C02A" w14:textId="0D6E2D76"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0</w:t>
            </w:r>
            <w:r w:rsidRPr="00E67914">
              <w:rPr>
                <w:rFonts w:ascii="Times New Roman" w:hAnsi="Times New Roman"/>
                <w:sz w:val="21"/>
                <w:szCs w:val="21"/>
                <w:lang w:bidi="ar"/>
              </w:rPr>
              <w:t>～</w:t>
            </w:r>
            <w:r w:rsidR="00B70EDA" w:rsidRPr="00E67914">
              <w:rPr>
                <w:rFonts w:ascii="Times New Roman" w:hAnsi="Times New Roman"/>
                <w:sz w:val="21"/>
                <w:szCs w:val="21"/>
                <w:lang w:bidi="ar"/>
              </w:rPr>
              <w:t>3</w:t>
            </w:r>
            <w:r w:rsidR="004D22CC" w:rsidRPr="00E67914">
              <w:rPr>
                <w:rFonts w:ascii="Times New Roman" w:hAnsi="Times New Roman"/>
                <w:sz w:val="21"/>
                <w:szCs w:val="21"/>
                <w:lang w:bidi="ar"/>
              </w:rPr>
              <w:t>582</w:t>
            </w:r>
          </w:p>
        </w:tc>
        <w:tc>
          <w:tcPr>
            <w:tcW w:w="833" w:type="pct"/>
            <w:vMerge w:val="restart"/>
            <w:shd w:val="clear" w:color="auto" w:fill="auto"/>
            <w:vAlign w:val="center"/>
          </w:tcPr>
          <w:p w14:paraId="2200D13E" w14:textId="77777777" w:rsidR="00466D1D" w:rsidRPr="00E67914" w:rsidRDefault="00466D1D">
            <w:pPr>
              <w:jc w:val="center"/>
              <w:textAlignment w:val="center"/>
              <w:rPr>
                <w:rFonts w:ascii="Times New Roman" w:hAnsi="Times New Roman"/>
                <w:sz w:val="21"/>
                <w:szCs w:val="21"/>
              </w:rPr>
            </w:pPr>
            <w:r w:rsidRPr="00E67914">
              <w:rPr>
                <w:rFonts w:ascii="Times New Roman" w:hAnsi="Times New Roman"/>
                <w:sz w:val="21"/>
                <w:szCs w:val="21"/>
                <w:lang w:bidi="ar"/>
              </w:rPr>
              <w:t>地面</w:t>
            </w:r>
          </w:p>
        </w:tc>
      </w:tr>
      <w:tr w:rsidR="00E67914" w:rsidRPr="00E67914" w14:paraId="08769721" w14:textId="77777777" w:rsidTr="00466D1D">
        <w:trPr>
          <w:trHeight w:val="299"/>
        </w:trPr>
        <w:tc>
          <w:tcPr>
            <w:tcW w:w="345" w:type="pct"/>
            <w:vMerge/>
            <w:shd w:val="clear" w:color="auto" w:fill="auto"/>
            <w:vAlign w:val="center"/>
          </w:tcPr>
          <w:p w14:paraId="2E342742" w14:textId="77777777" w:rsidR="00466D1D" w:rsidRPr="00E67914" w:rsidRDefault="00466D1D">
            <w:pPr>
              <w:jc w:val="center"/>
              <w:textAlignment w:val="center"/>
              <w:rPr>
                <w:rFonts w:ascii="Times New Roman" w:hAnsi="Times New Roman"/>
                <w:sz w:val="21"/>
                <w:szCs w:val="21"/>
                <w:lang w:bidi="ar"/>
              </w:rPr>
            </w:pPr>
          </w:p>
        </w:tc>
        <w:tc>
          <w:tcPr>
            <w:tcW w:w="572" w:type="pct"/>
            <w:vAlign w:val="center"/>
          </w:tcPr>
          <w:p w14:paraId="43876E76" w14:textId="4167DEAA" w:rsidR="00466D1D" w:rsidRPr="00E67914" w:rsidRDefault="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普陆页</w:t>
            </w:r>
            <w:r w:rsidRPr="00E67914">
              <w:rPr>
                <w:rFonts w:ascii="Times New Roman" w:hAnsi="Times New Roman"/>
                <w:sz w:val="21"/>
                <w:szCs w:val="21"/>
                <w:lang w:bidi="ar"/>
              </w:rPr>
              <w:t>2-2</w:t>
            </w:r>
          </w:p>
        </w:tc>
        <w:tc>
          <w:tcPr>
            <w:tcW w:w="932" w:type="pct"/>
            <w:vMerge/>
            <w:shd w:val="clear" w:color="auto" w:fill="auto"/>
            <w:vAlign w:val="center"/>
          </w:tcPr>
          <w:p w14:paraId="21D2EA04" w14:textId="7D2D078C" w:rsidR="00466D1D" w:rsidRPr="00E67914" w:rsidRDefault="00466D1D">
            <w:pPr>
              <w:jc w:val="center"/>
              <w:textAlignment w:val="center"/>
              <w:rPr>
                <w:rFonts w:ascii="Times New Roman" w:hAnsi="Times New Roman"/>
                <w:sz w:val="21"/>
                <w:szCs w:val="21"/>
                <w:lang w:bidi="ar"/>
              </w:rPr>
            </w:pPr>
          </w:p>
        </w:tc>
        <w:tc>
          <w:tcPr>
            <w:tcW w:w="542" w:type="pct"/>
            <w:shd w:val="clear" w:color="auto" w:fill="auto"/>
            <w:vAlign w:val="center"/>
          </w:tcPr>
          <w:p w14:paraId="33686988" w14:textId="67050B2F" w:rsidR="00466D1D" w:rsidRPr="00E67914" w:rsidRDefault="00B70EDA">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3572</w:t>
            </w:r>
          </w:p>
        </w:tc>
        <w:tc>
          <w:tcPr>
            <w:tcW w:w="932" w:type="pct"/>
            <w:vMerge/>
            <w:shd w:val="clear" w:color="auto" w:fill="auto"/>
            <w:vAlign w:val="center"/>
          </w:tcPr>
          <w:p w14:paraId="47A54439" w14:textId="77777777" w:rsidR="00466D1D" w:rsidRPr="00E67914" w:rsidRDefault="00466D1D">
            <w:pPr>
              <w:jc w:val="center"/>
              <w:textAlignment w:val="center"/>
              <w:rPr>
                <w:rFonts w:ascii="Times New Roman" w:hAnsi="Times New Roman"/>
                <w:sz w:val="21"/>
                <w:szCs w:val="21"/>
                <w:lang w:bidi="ar"/>
              </w:rPr>
            </w:pPr>
          </w:p>
        </w:tc>
        <w:tc>
          <w:tcPr>
            <w:tcW w:w="844" w:type="pct"/>
            <w:shd w:val="clear" w:color="auto" w:fill="auto"/>
            <w:vAlign w:val="center"/>
          </w:tcPr>
          <w:p w14:paraId="2A3712EE" w14:textId="76EE0BC4" w:rsidR="00466D1D" w:rsidRPr="00E67914" w:rsidRDefault="004D22CC">
            <w:pPr>
              <w:jc w:val="center"/>
              <w:textAlignment w:val="center"/>
              <w:rPr>
                <w:rFonts w:ascii="Times New Roman" w:hAnsi="Times New Roman"/>
                <w:sz w:val="21"/>
                <w:szCs w:val="21"/>
                <w:lang w:bidi="ar"/>
              </w:rPr>
            </w:pPr>
            <w:r w:rsidRPr="00E67914">
              <w:rPr>
                <w:rFonts w:ascii="Times New Roman" w:hAnsi="Times New Roman"/>
                <w:sz w:val="21"/>
                <w:szCs w:val="21"/>
                <w:lang w:bidi="ar"/>
              </w:rPr>
              <w:t>0</w:t>
            </w:r>
            <w:r w:rsidRPr="00E67914">
              <w:rPr>
                <w:rFonts w:ascii="Times New Roman" w:hAnsi="Times New Roman"/>
                <w:sz w:val="21"/>
                <w:szCs w:val="21"/>
                <w:lang w:bidi="ar"/>
              </w:rPr>
              <w:t>～</w:t>
            </w:r>
            <w:r w:rsidR="00B70EDA" w:rsidRPr="00E67914">
              <w:rPr>
                <w:rFonts w:ascii="Times New Roman" w:hAnsi="Times New Roman"/>
                <w:sz w:val="21"/>
                <w:szCs w:val="21"/>
                <w:lang w:bidi="ar"/>
              </w:rPr>
              <w:t>3570</w:t>
            </w:r>
          </w:p>
        </w:tc>
        <w:tc>
          <w:tcPr>
            <w:tcW w:w="833" w:type="pct"/>
            <w:vMerge/>
            <w:shd w:val="clear" w:color="auto" w:fill="auto"/>
            <w:vAlign w:val="center"/>
          </w:tcPr>
          <w:p w14:paraId="1DDDEE3C" w14:textId="77777777" w:rsidR="00466D1D" w:rsidRPr="00E67914" w:rsidRDefault="00466D1D">
            <w:pPr>
              <w:jc w:val="center"/>
              <w:textAlignment w:val="center"/>
              <w:rPr>
                <w:rFonts w:ascii="Times New Roman" w:hAnsi="Times New Roman"/>
                <w:sz w:val="21"/>
                <w:szCs w:val="21"/>
                <w:lang w:bidi="ar"/>
              </w:rPr>
            </w:pPr>
          </w:p>
        </w:tc>
      </w:tr>
      <w:tr w:rsidR="00E67914" w:rsidRPr="00E67914" w14:paraId="1E6FCBC9" w14:textId="77777777" w:rsidTr="00466D1D">
        <w:trPr>
          <w:trHeight w:val="299"/>
        </w:trPr>
        <w:tc>
          <w:tcPr>
            <w:tcW w:w="345" w:type="pct"/>
            <w:vMerge/>
            <w:shd w:val="clear" w:color="auto" w:fill="auto"/>
            <w:vAlign w:val="center"/>
          </w:tcPr>
          <w:p w14:paraId="43C480E5" w14:textId="77777777" w:rsidR="00466D1D" w:rsidRPr="00E67914" w:rsidRDefault="00466D1D">
            <w:pPr>
              <w:jc w:val="center"/>
              <w:textAlignment w:val="center"/>
              <w:rPr>
                <w:rFonts w:ascii="Times New Roman" w:hAnsi="Times New Roman"/>
                <w:sz w:val="21"/>
                <w:szCs w:val="21"/>
                <w:lang w:bidi="ar"/>
              </w:rPr>
            </w:pPr>
          </w:p>
        </w:tc>
        <w:tc>
          <w:tcPr>
            <w:tcW w:w="572" w:type="pct"/>
            <w:vAlign w:val="center"/>
          </w:tcPr>
          <w:p w14:paraId="0E8253E1" w14:textId="52B5C130" w:rsidR="00466D1D" w:rsidRPr="00E67914" w:rsidRDefault="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普陆页</w:t>
            </w:r>
            <w:r w:rsidRPr="00E67914">
              <w:rPr>
                <w:rFonts w:ascii="Times New Roman" w:hAnsi="Times New Roman"/>
                <w:sz w:val="21"/>
                <w:szCs w:val="21"/>
                <w:lang w:bidi="ar"/>
              </w:rPr>
              <w:t>2-3</w:t>
            </w:r>
          </w:p>
        </w:tc>
        <w:tc>
          <w:tcPr>
            <w:tcW w:w="932" w:type="pct"/>
            <w:vMerge/>
            <w:shd w:val="clear" w:color="auto" w:fill="auto"/>
            <w:vAlign w:val="center"/>
          </w:tcPr>
          <w:p w14:paraId="6491B2AC" w14:textId="3DA56E39" w:rsidR="00466D1D" w:rsidRPr="00E67914" w:rsidRDefault="00466D1D">
            <w:pPr>
              <w:jc w:val="center"/>
              <w:textAlignment w:val="center"/>
              <w:rPr>
                <w:rFonts w:ascii="Times New Roman" w:hAnsi="Times New Roman"/>
                <w:sz w:val="21"/>
                <w:szCs w:val="21"/>
                <w:lang w:bidi="ar"/>
              </w:rPr>
            </w:pPr>
          </w:p>
        </w:tc>
        <w:tc>
          <w:tcPr>
            <w:tcW w:w="542" w:type="pct"/>
            <w:shd w:val="clear" w:color="auto" w:fill="auto"/>
            <w:vAlign w:val="center"/>
          </w:tcPr>
          <w:p w14:paraId="44805663" w14:textId="6D1F3400" w:rsidR="00466D1D" w:rsidRPr="00E67914" w:rsidRDefault="00B70EDA">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3</w:t>
            </w:r>
            <w:r w:rsidR="004D22CC" w:rsidRPr="00E67914">
              <w:rPr>
                <w:rFonts w:ascii="Times New Roman" w:hAnsi="Times New Roman"/>
                <w:sz w:val="21"/>
                <w:szCs w:val="21"/>
                <w:lang w:eastAsia="zh-CN" w:bidi="ar"/>
              </w:rPr>
              <w:t>579</w:t>
            </w:r>
          </w:p>
        </w:tc>
        <w:tc>
          <w:tcPr>
            <w:tcW w:w="932" w:type="pct"/>
            <w:vMerge/>
            <w:shd w:val="clear" w:color="auto" w:fill="auto"/>
            <w:vAlign w:val="center"/>
          </w:tcPr>
          <w:p w14:paraId="0A7EEF02" w14:textId="77777777" w:rsidR="00466D1D" w:rsidRPr="00E67914" w:rsidRDefault="00466D1D">
            <w:pPr>
              <w:jc w:val="center"/>
              <w:textAlignment w:val="center"/>
              <w:rPr>
                <w:rFonts w:ascii="Times New Roman" w:hAnsi="Times New Roman"/>
                <w:sz w:val="21"/>
                <w:szCs w:val="21"/>
                <w:lang w:bidi="ar"/>
              </w:rPr>
            </w:pPr>
          </w:p>
        </w:tc>
        <w:tc>
          <w:tcPr>
            <w:tcW w:w="844" w:type="pct"/>
            <w:shd w:val="clear" w:color="auto" w:fill="auto"/>
            <w:vAlign w:val="center"/>
          </w:tcPr>
          <w:p w14:paraId="42A3C770" w14:textId="5E6F7F1F" w:rsidR="00466D1D" w:rsidRPr="00E67914" w:rsidRDefault="004D22CC">
            <w:pPr>
              <w:jc w:val="center"/>
              <w:textAlignment w:val="center"/>
              <w:rPr>
                <w:rFonts w:ascii="Times New Roman" w:hAnsi="Times New Roman"/>
                <w:sz w:val="21"/>
                <w:szCs w:val="21"/>
                <w:lang w:bidi="ar"/>
              </w:rPr>
            </w:pPr>
            <w:r w:rsidRPr="00E67914">
              <w:rPr>
                <w:rFonts w:ascii="Times New Roman" w:hAnsi="Times New Roman"/>
                <w:sz w:val="21"/>
                <w:szCs w:val="21"/>
                <w:lang w:bidi="ar"/>
              </w:rPr>
              <w:t>0</w:t>
            </w:r>
            <w:r w:rsidRPr="00E67914">
              <w:rPr>
                <w:rFonts w:ascii="Times New Roman" w:hAnsi="Times New Roman"/>
                <w:sz w:val="21"/>
                <w:szCs w:val="21"/>
                <w:lang w:bidi="ar"/>
              </w:rPr>
              <w:t>～</w:t>
            </w:r>
            <w:r w:rsidR="00B70EDA" w:rsidRPr="00E67914">
              <w:rPr>
                <w:rFonts w:ascii="Times New Roman" w:hAnsi="Times New Roman"/>
                <w:sz w:val="21"/>
                <w:szCs w:val="21"/>
                <w:lang w:bidi="ar"/>
              </w:rPr>
              <w:t>3</w:t>
            </w:r>
            <w:r w:rsidRPr="00E67914">
              <w:rPr>
                <w:rFonts w:ascii="Times New Roman" w:hAnsi="Times New Roman"/>
                <w:sz w:val="21"/>
                <w:szCs w:val="21"/>
                <w:lang w:bidi="ar"/>
              </w:rPr>
              <w:t>577</w:t>
            </w:r>
          </w:p>
        </w:tc>
        <w:tc>
          <w:tcPr>
            <w:tcW w:w="833" w:type="pct"/>
            <w:vMerge/>
            <w:shd w:val="clear" w:color="auto" w:fill="auto"/>
            <w:vAlign w:val="center"/>
          </w:tcPr>
          <w:p w14:paraId="2026F7DE" w14:textId="77777777" w:rsidR="00466D1D" w:rsidRPr="00E67914" w:rsidRDefault="00466D1D">
            <w:pPr>
              <w:jc w:val="center"/>
              <w:textAlignment w:val="center"/>
              <w:rPr>
                <w:rFonts w:ascii="Times New Roman" w:hAnsi="Times New Roman"/>
                <w:sz w:val="21"/>
                <w:szCs w:val="21"/>
                <w:lang w:bidi="ar"/>
              </w:rPr>
            </w:pPr>
          </w:p>
        </w:tc>
      </w:tr>
      <w:tr w:rsidR="00E67914" w:rsidRPr="00E67914" w14:paraId="753D9A9D" w14:textId="77777777" w:rsidTr="00466D1D">
        <w:trPr>
          <w:trHeight w:val="299"/>
        </w:trPr>
        <w:tc>
          <w:tcPr>
            <w:tcW w:w="345" w:type="pct"/>
            <w:vMerge w:val="restart"/>
            <w:shd w:val="clear" w:color="auto" w:fill="auto"/>
            <w:vAlign w:val="center"/>
          </w:tcPr>
          <w:p w14:paraId="48C9375B" w14:textId="77777777" w:rsidR="00466D1D" w:rsidRPr="00E67914" w:rsidRDefault="00466D1D" w:rsidP="00466D1D">
            <w:pPr>
              <w:jc w:val="center"/>
              <w:textAlignment w:val="center"/>
              <w:rPr>
                <w:rFonts w:ascii="Times New Roman" w:hAnsi="Times New Roman"/>
                <w:sz w:val="21"/>
                <w:szCs w:val="21"/>
              </w:rPr>
            </w:pPr>
            <w:r w:rsidRPr="00E67914">
              <w:rPr>
                <w:rFonts w:ascii="Times New Roman" w:hAnsi="Times New Roman"/>
                <w:sz w:val="21"/>
                <w:szCs w:val="21"/>
                <w:lang w:bidi="ar"/>
              </w:rPr>
              <w:t>三开</w:t>
            </w:r>
          </w:p>
        </w:tc>
        <w:tc>
          <w:tcPr>
            <w:tcW w:w="572" w:type="pct"/>
            <w:vAlign w:val="center"/>
          </w:tcPr>
          <w:p w14:paraId="6B003086" w14:textId="079F3DFF" w:rsidR="00466D1D" w:rsidRPr="00E67914" w:rsidRDefault="00466D1D" w:rsidP="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普陆页</w:t>
            </w:r>
            <w:r w:rsidRPr="00E67914">
              <w:rPr>
                <w:rFonts w:ascii="Times New Roman" w:hAnsi="Times New Roman"/>
                <w:sz w:val="21"/>
                <w:szCs w:val="21"/>
                <w:lang w:bidi="ar"/>
              </w:rPr>
              <w:t>2-1</w:t>
            </w:r>
          </w:p>
        </w:tc>
        <w:tc>
          <w:tcPr>
            <w:tcW w:w="932" w:type="pct"/>
            <w:vMerge w:val="restart"/>
            <w:shd w:val="clear" w:color="auto" w:fill="auto"/>
            <w:vAlign w:val="center"/>
          </w:tcPr>
          <w:p w14:paraId="6A5D7666" w14:textId="38D8AA0B" w:rsidR="00466D1D" w:rsidRPr="00E67914" w:rsidRDefault="00466D1D" w:rsidP="00466D1D">
            <w:pPr>
              <w:jc w:val="center"/>
              <w:textAlignment w:val="center"/>
              <w:rPr>
                <w:rFonts w:ascii="Times New Roman" w:hAnsi="Times New Roman"/>
                <w:sz w:val="21"/>
                <w:szCs w:val="21"/>
              </w:rPr>
            </w:pPr>
            <w:r w:rsidRPr="00E67914">
              <w:rPr>
                <w:rFonts w:ascii="Times New Roman" w:hAnsi="Times New Roman"/>
                <w:sz w:val="21"/>
                <w:szCs w:val="21"/>
                <w:lang w:bidi="ar"/>
              </w:rPr>
              <w:t>215.9</w:t>
            </w:r>
          </w:p>
        </w:tc>
        <w:tc>
          <w:tcPr>
            <w:tcW w:w="542" w:type="pct"/>
            <w:shd w:val="clear" w:color="auto" w:fill="auto"/>
            <w:vAlign w:val="center"/>
          </w:tcPr>
          <w:p w14:paraId="1E9406D1" w14:textId="0060A546" w:rsidR="00466D1D" w:rsidRPr="00E67914" w:rsidRDefault="004D22CC" w:rsidP="00466D1D">
            <w:pPr>
              <w:jc w:val="center"/>
              <w:textAlignment w:val="center"/>
              <w:rPr>
                <w:rFonts w:ascii="Times New Roman" w:hAnsi="Times New Roman"/>
                <w:sz w:val="21"/>
                <w:szCs w:val="21"/>
              </w:rPr>
            </w:pPr>
            <w:r w:rsidRPr="00E67914">
              <w:rPr>
                <w:rFonts w:ascii="Times New Roman" w:hAnsi="Times New Roman"/>
                <w:sz w:val="21"/>
                <w:szCs w:val="21"/>
                <w:lang w:bidi="ar"/>
              </w:rPr>
              <w:t>5058</w:t>
            </w:r>
          </w:p>
        </w:tc>
        <w:tc>
          <w:tcPr>
            <w:tcW w:w="932" w:type="pct"/>
            <w:vMerge w:val="restart"/>
            <w:shd w:val="clear" w:color="auto" w:fill="auto"/>
            <w:vAlign w:val="center"/>
          </w:tcPr>
          <w:p w14:paraId="2FD638A6" w14:textId="77777777" w:rsidR="00466D1D" w:rsidRPr="00E67914" w:rsidRDefault="00466D1D" w:rsidP="00466D1D">
            <w:pPr>
              <w:jc w:val="center"/>
              <w:textAlignment w:val="center"/>
              <w:rPr>
                <w:rFonts w:ascii="Times New Roman" w:hAnsi="Times New Roman"/>
                <w:sz w:val="21"/>
                <w:szCs w:val="21"/>
              </w:rPr>
            </w:pPr>
            <w:r w:rsidRPr="00E67914">
              <w:rPr>
                <w:rFonts w:ascii="Times New Roman" w:hAnsi="Times New Roman"/>
                <w:sz w:val="21"/>
                <w:szCs w:val="21"/>
                <w:lang w:bidi="ar"/>
              </w:rPr>
              <w:t>139.7</w:t>
            </w:r>
          </w:p>
        </w:tc>
        <w:tc>
          <w:tcPr>
            <w:tcW w:w="844" w:type="pct"/>
            <w:shd w:val="clear" w:color="auto" w:fill="auto"/>
            <w:vAlign w:val="center"/>
          </w:tcPr>
          <w:p w14:paraId="4847FF09" w14:textId="1977376A" w:rsidR="00466D1D" w:rsidRPr="00E67914" w:rsidRDefault="00466D1D" w:rsidP="00466D1D">
            <w:pPr>
              <w:jc w:val="center"/>
              <w:textAlignment w:val="center"/>
              <w:rPr>
                <w:rFonts w:ascii="Times New Roman" w:hAnsi="Times New Roman"/>
                <w:sz w:val="21"/>
                <w:szCs w:val="21"/>
              </w:rPr>
            </w:pPr>
            <w:r w:rsidRPr="00E67914">
              <w:rPr>
                <w:rFonts w:ascii="Times New Roman" w:hAnsi="Times New Roman"/>
                <w:sz w:val="21"/>
                <w:szCs w:val="21"/>
                <w:lang w:bidi="ar"/>
              </w:rPr>
              <w:t>0~</w:t>
            </w:r>
            <w:r w:rsidR="004D22CC" w:rsidRPr="00E67914">
              <w:rPr>
                <w:rFonts w:ascii="Times New Roman" w:hAnsi="Times New Roman"/>
                <w:sz w:val="21"/>
                <w:szCs w:val="21"/>
                <w:lang w:bidi="ar"/>
              </w:rPr>
              <w:t>5085</w:t>
            </w:r>
          </w:p>
        </w:tc>
        <w:tc>
          <w:tcPr>
            <w:tcW w:w="833" w:type="pct"/>
            <w:shd w:val="clear" w:color="auto" w:fill="auto"/>
            <w:vAlign w:val="center"/>
          </w:tcPr>
          <w:p w14:paraId="0D0FE818" w14:textId="29870B84" w:rsidR="00466D1D" w:rsidRPr="00E67914" w:rsidRDefault="004D22CC" w:rsidP="00466D1D">
            <w:pPr>
              <w:jc w:val="center"/>
              <w:textAlignment w:val="center"/>
              <w:rPr>
                <w:rFonts w:ascii="Times New Roman" w:hAnsi="Times New Roman"/>
                <w:sz w:val="21"/>
                <w:szCs w:val="21"/>
                <w:lang w:eastAsia="zh-CN"/>
              </w:rPr>
            </w:pPr>
            <w:r w:rsidRPr="00E67914">
              <w:rPr>
                <w:rFonts w:ascii="Times New Roman" w:hAnsi="Times New Roman"/>
                <w:sz w:val="21"/>
                <w:szCs w:val="21"/>
                <w:lang w:eastAsia="zh-CN" w:bidi="ar"/>
              </w:rPr>
              <w:t>4585</w:t>
            </w:r>
          </w:p>
        </w:tc>
      </w:tr>
      <w:tr w:rsidR="00E67914" w:rsidRPr="00E67914" w14:paraId="6083CC83" w14:textId="77777777" w:rsidTr="00466D1D">
        <w:trPr>
          <w:trHeight w:val="299"/>
        </w:trPr>
        <w:tc>
          <w:tcPr>
            <w:tcW w:w="345" w:type="pct"/>
            <w:vMerge/>
            <w:shd w:val="clear" w:color="auto" w:fill="auto"/>
            <w:vAlign w:val="center"/>
          </w:tcPr>
          <w:p w14:paraId="0CC24A70" w14:textId="77777777" w:rsidR="00466D1D" w:rsidRPr="00E67914" w:rsidRDefault="00466D1D" w:rsidP="00466D1D">
            <w:pPr>
              <w:jc w:val="center"/>
              <w:textAlignment w:val="center"/>
              <w:rPr>
                <w:rFonts w:ascii="Times New Roman" w:hAnsi="Times New Roman"/>
                <w:sz w:val="21"/>
                <w:szCs w:val="21"/>
                <w:lang w:bidi="ar"/>
              </w:rPr>
            </w:pPr>
          </w:p>
        </w:tc>
        <w:tc>
          <w:tcPr>
            <w:tcW w:w="572" w:type="pct"/>
            <w:vAlign w:val="center"/>
          </w:tcPr>
          <w:p w14:paraId="54C3AF3A" w14:textId="031A1F41" w:rsidR="00466D1D" w:rsidRPr="00E67914" w:rsidRDefault="00466D1D" w:rsidP="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普陆页</w:t>
            </w:r>
            <w:r w:rsidRPr="00E67914">
              <w:rPr>
                <w:rFonts w:ascii="Times New Roman" w:hAnsi="Times New Roman"/>
                <w:sz w:val="21"/>
                <w:szCs w:val="21"/>
                <w:lang w:bidi="ar"/>
              </w:rPr>
              <w:t>2-2</w:t>
            </w:r>
          </w:p>
        </w:tc>
        <w:tc>
          <w:tcPr>
            <w:tcW w:w="932" w:type="pct"/>
            <w:vMerge/>
            <w:shd w:val="clear" w:color="auto" w:fill="auto"/>
            <w:vAlign w:val="center"/>
          </w:tcPr>
          <w:p w14:paraId="14AE601D" w14:textId="01527E4B" w:rsidR="00466D1D" w:rsidRPr="00E67914" w:rsidRDefault="00466D1D" w:rsidP="00466D1D">
            <w:pPr>
              <w:jc w:val="center"/>
              <w:textAlignment w:val="center"/>
              <w:rPr>
                <w:rFonts w:ascii="Times New Roman" w:hAnsi="Times New Roman"/>
                <w:sz w:val="21"/>
                <w:szCs w:val="21"/>
                <w:lang w:bidi="ar"/>
              </w:rPr>
            </w:pPr>
          </w:p>
        </w:tc>
        <w:tc>
          <w:tcPr>
            <w:tcW w:w="542" w:type="pct"/>
            <w:shd w:val="clear" w:color="auto" w:fill="auto"/>
            <w:vAlign w:val="center"/>
          </w:tcPr>
          <w:p w14:paraId="00A9FF92" w14:textId="1E0ECDE7" w:rsidR="00466D1D" w:rsidRPr="00E67914" w:rsidRDefault="004D22CC" w:rsidP="00466D1D">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5527</w:t>
            </w:r>
          </w:p>
        </w:tc>
        <w:tc>
          <w:tcPr>
            <w:tcW w:w="932" w:type="pct"/>
            <w:vMerge/>
            <w:shd w:val="clear" w:color="auto" w:fill="auto"/>
            <w:vAlign w:val="center"/>
          </w:tcPr>
          <w:p w14:paraId="14BE3F03" w14:textId="77777777" w:rsidR="00466D1D" w:rsidRPr="00E67914" w:rsidRDefault="00466D1D" w:rsidP="00466D1D">
            <w:pPr>
              <w:jc w:val="center"/>
              <w:textAlignment w:val="center"/>
              <w:rPr>
                <w:rFonts w:ascii="Times New Roman" w:hAnsi="Times New Roman"/>
                <w:sz w:val="21"/>
                <w:szCs w:val="21"/>
                <w:lang w:bidi="ar"/>
              </w:rPr>
            </w:pPr>
          </w:p>
        </w:tc>
        <w:tc>
          <w:tcPr>
            <w:tcW w:w="844" w:type="pct"/>
            <w:shd w:val="clear" w:color="auto" w:fill="auto"/>
            <w:vAlign w:val="center"/>
          </w:tcPr>
          <w:p w14:paraId="618407B1" w14:textId="4A1BF53B" w:rsidR="00466D1D" w:rsidRPr="00E67914" w:rsidRDefault="004D22CC" w:rsidP="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0~5524</w:t>
            </w:r>
          </w:p>
        </w:tc>
        <w:tc>
          <w:tcPr>
            <w:tcW w:w="833" w:type="pct"/>
            <w:shd w:val="clear" w:color="auto" w:fill="auto"/>
            <w:vAlign w:val="center"/>
          </w:tcPr>
          <w:p w14:paraId="21280016" w14:textId="0ED14BC5" w:rsidR="00466D1D" w:rsidRPr="00E67914" w:rsidRDefault="004D22CC" w:rsidP="00466D1D">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5024</w:t>
            </w:r>
          </w:p>
        </w:tc>
      </w:tr>
      <w:tr w:rsidR="00E67914" w:rsidRPr="00E67914" w14:paraId="0BAB0EB7" w14:textId="77777777" w:rsidTr="00466D1D">
        <w:trPr>
          <w:trHeight w:val="299"/>
        </w:trPr>
        <w:tc>
          <w:tcPr>
            <w:tcW w:w="345" w:type="pct"/>
            <w:vMerge/>
            <w:shd w:val="clear" w:color="auto" w:fill="auto"/>
            <w:vAlign w:val="center"/>
          </w:tcPr>
          <w:p w14:paraId="706B1F86" w14:textId="77777777" w:rsidR="00466D1D" w:rsidRPr="00E67914" w:rsidRDefault="00466D1D" w:rsidP="00466D1D">
            <w:pPr>
              <w:jc w:val="center"/>
              <w:textAlignment w:val="center"/>
              <w:rPr>
                <w:rFonts w:ascii="Times New Roman" w:hAnsi="Times New Roman"/>
                <w:sz w:val="21"/>
                <w:szCs w:val="21"/>
                <w:lang w:bidi="ar"/>
              </w:rPr>
            </w:pPr>
          </w:p>
        </w:tc>
        <w:tc>
          <w:tcPr>
            <w:tcW w:w="572" w:type="pct"/>
            <w:vAlign w:val="center"/>
          </w:tcPr>
          <w:p w14:paraId="3EEB4787" w14:textId="1C2DBC42" w:rsidR="00466D1D" w:rsidRPr="00E67914" w:rsidRDefault="00466D1D" w:rsidP="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普陆页</w:t>
            </w:r>
            <w:r w:rsidRPr="00E67914">
              <w:rPr>
                <w:rFonts w:ascii="Times New Roman" w:hAnsi="Times New Roman"/>
                <w:sz w:val="21"/>
                <w:szCs w:val="21"/>
                <w:lang w:bidi="ar"/>
              </w:rPr>
              <w:t>2-3</w:t>
            </w:r>
          </w:p>
        </w:tc>
        <w:tc>
          <w:tcPr>
            <w:tcW w:w="932" w:type="pct"/>
            <w:vMerge/>
            <w:shd w:val="clear" w:color="auto" w:fill="auto"/>
            <w:vAlign w:val="center"/>
          </w:tcPr>
          <w:p w14:paraId="58A55D80" w14:textId="722635CF" w:rsidR="00466D1D" w:rsidRPr="00E67914" w:rsidRDefault="00466D1D" w:rsidP="00466D1D">
            <w:pPr>
              <w:jc w:val="center"/>
              <w:textAlignment w:val="center"/>
              <w:rPr>
                <w:rFonts w:ascii="Times New Roman" w:hAnsi="Times New Roman"/>
                <w:sz w:val="21"/>
                <w:szCs w:val="21"/>
                <w:lang w:bidi="ar"/>
              </w:rPr>
            </w:pPr>
          </w:p>
        </w:tc>
        <w:tc>
          <w:tcPr>
            <w:tcW w:w="542" w:type="pct"/>
            <w:shd w:val="clear" w:color="auto" w:fill="auto"/>
            <w:vAlign w:val="center"/>
          </w:tcPr>
          <w:p w14:paraId="5B00E139" w14:textId="29E67CE7" w:rsidR="00466D1D" w:rsidRPr="00E67914" w:rsidRDefault="004D22CC" w:rsidP="00466D1D">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5013</w:t>
            </w:r>
          </w:p>
        </w:tc>
        <w:tc>
          <w:tcPr>
            <w:tcW w:w="932" w:type="pct"/>
            <w:vMerge/>
            <w:shd w:val="clear" w:color="auto" w:fill="auto"/>
            <w:vAlign w:val="center"/>
          </w:tcPr>
          <w:p w14:paraId="4BCD2CDC" w14:textId="77777777" w:rsidR="00466D1D" w:rsidRPr="00E67914" w:rsidRDefault="00466D1D" w:rsidP="00466D1D">
            <w:pPr>
              <w:jc w:val="center"/>
              <w:textAlignment w:val="center"/>
              <w:rPr>
                <w:rFonts w:ascii="Times New Roman" w:hAnsi="Times New Roman"/>
                <w:sz w:val="21"/>
                <w:szCs w:val="21"/>
                <w:lang w:bidi="ar"/>
              </w:rPr>
            </w:pPr>
          </w:p>
        </w:tc>
        <w:tc>
          <w:tcPr>
            <w:tcW w:w="844" w:type="pct"/>
            <w:shd w:val="clear" w:color="auto" w:fill="auto"/>
            <w:vAlign w:val="center"/>
          </w:tcPr>
          <w:p w14:paraId="193ED601" w14:textId="471E1941" w:rsidR="00466D1D" w:rsidRPr="00E67914" w:rsidRDefault="004D22CC" w:rsidP="00466D1D">
            <w:pPr>
              <w:jc w:val="center"/>
              <w:textAlignment w:val="center"/>
              <w:rPr>
                <w:rFonts w:ascii="Times New Roman" w:hAnsi="Times New Roman"/>
                <w:sz w:val="21"/>
                <w:szCs w:val="21"/>
                <w:lang w:bidi="ar"/>
              </w:rPr>
            </w:pPr>
            <w:r w:rsidRPr="00E67914">
              <w:rPr>
                <w:rFonts w:ascii="Times New Roman" w:hAnsi="Times New Roman"/>
                <w:sz w:val="21"/>
                <w:szCs w:val="21"/>
                <w:lang w:bidi="ar"/>
              </w:rPr>
              <w:t>0~5010</w:t>
            </w:r>
          </w:p>
        </w:tc>
        <w:tc>
          <w:tcPr>
            <w:tcW w:w="833" w:type="pct"/>
            <w:shd w:val="clear" w:color="auto" w:fill="auto"/>
            <w:vAlign w:val="center"/>
          </w:tcPr>
          <w:p w14:paraId="1AA4B54A" w14:textId="1B071BAC" w:rsidR="00466D1D" w:rsidRPr="00E67914" w:rsidRDefault="004D22CC" w:rsidP="00466D1D">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4510</w:t>
            </w:r>
          </w:p>
        </w:tc>
      </w:tr>
    </w:tbl>
    <w:p w14:paraId="57617ACF"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t>3.2.2.6</w:t>
      </w:r>
      <w:r w:rsidRPr="00E67914">
        <w:rPr>
          <w:rFonts w:ascii="Times New Roman" w:eastAsia="黑体" w:hAnsi="Times New Roman"/>
          <w:sz w:val="24"/>
          <w:szCs w:val="24"/>
          <w:lang w:eastAsia="zh-CN"/>
        </w:rPr>
        <w:t>地层产量预测</w:t>
      </w:r>
    </w:p>
    <w:p w14:paraId="04F7CC86" w14:textId="053C74C4" w:rsidR="00592132" w:rsidRPr="00E67914" w:rsidRDefault="00592132">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根据项目可行性研究报告与其收集的资料可知，新建气井参数如下表</w:t>
      </w:r>
      <w:r w:rsidRPr="00E67914">
        <w:rPr>
          <w:rFonts w:ascii="Times New Roman" w:hAnsi="Times New Roman"/>
          <w:sz w:val="24"/>
          <w:szCs w:val="24"/>
          <w:lang w:eastAsia="zh-CN"/>
        </w:rPr>
        <w:t>3.2-5</w:t>
      </w:r>
      <w:r w:rsidRPr="00E67914">
        <w:rPr>
          <w:rFonts w:ascii="Times New Roman" w:hAnsi="Times New Roman"/>
          <w:sz w:val="24"/>
          <w:szCs w:val="24"/>
          <w:lang w:eastAsia="zh-CN"/>
        </w:rPr>
        <w:t>所示：</w:t>
      </w:r>
    </w:p>
    <w:p w14:paraId="61D36D50" w14:textId="42B5F0A5" w:rsidR="00592132" w:rsidRPr="00E67914" w:rsidRDefault="00592132"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00B5604E" w:rsidRPr="00E67914">
        <w:rPr>
          <w:rFonts w:ascii="Times New Roman" w:eastAsia="黑体" w:hAnsi="Times New Roman"/>
          <w:sz w:val="21"/>
          <w:szCs w:val="21"/>
          <w:lang w:eastAsia="zh-CN"/>
        </w:rPr>
        <w:t>3.2-5</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新建气井配产表</w:t>
      </w:r>
    </w:p>
    <w:tbl>
      <w:tblPr>
        <w:tblStyle w:val="affa"/>
        <w:tblW w:w="5000" w:type="pct"/>
        <w:jc w:val="center"/>
        <w:tblLook w:val="04A0" w:firstRow="1" w:lastRow="0" w:firstColumn="1" w:lastColumn="0" w:noHBand="0" w:noVBand="1"/>
      </w:tblPr>
      <w:tblGrid>
        <w:gridCol w:w="977"/>
        <w:gridCol w:w="976"/>
        <w:gridCol w:w="976"/>
        <w:gridCol w:w="976"/>
        <w:gridCol w:w="1081"/>
        <w:gridCol w:w="1228"/>
        <w:gridCol w:w="1042"/>
        <w:gridCol w:w="1044"/>
      </w:tblGrid>
      <w:tr w:rsidR="00E67914" w:rsidRPr="00E67914" w14:paraId="191116ED" w14:textId="77777777" w:rsidTr="00B70EDA">
        <w:trPr>
          <w:jc w:val="center"/>
        </w:trPr>
        <w:tc>
          <w:tcPr>
            <w:tcW w:w="588" w:type="pct"/>
            <w:vMerge w:val="restart"/>
            <w:vAlign w:val="center"/>
          </w:tcPr>
          <w:p w14:paraId="484AB11F" w14:textId="026189E5"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井号</w:t>
            </w:r>
          </w:p>
        </w:tc>
        <w:tc>
          <w:tcPr>
            <w:tcW w:w="588" w:type="pct"/>
            <w:vAlign w:val="center"/>
          </w:tcPr>
          <w:p w14:paraId="7479D3BE" w14:textId="3F35E795"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产气</w:t>
            </w:r>
          </w:p>
        </w:tc>
        <w:tc>
          <w:tcPr>
            <w:tcW w:w="588" w:type="pct"/>
            <w:vAlign w:val="center"/>
          </w:tcPr>
          <w:p w14:paraId="00BD05EE" w14:textId="12021C31"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产油</w:t>
            </w:r>
          </w:p>
        </w:tc>
        <w:tc>
          <w:tcPr>
            <w:tcW w:w="588" w:type="pct"/>
            <w:vAlign w:val="center"/>
          </w:tcPr>
          <w:p w14:paraId="6E993022" w14:textId="2D606F94"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产水</w:t>
            </w:r>
          </w:p>
        </w:tc>
        <w:tc>
          <w:tcPr>
            <w:tcW w:w="2647" w:type="pct"/>
            <w:gridSpan w:val="4"/>
            <w:vAlign w:val="center"/>
          </w:tcPr>
          <w:p w14:paraId="23AF59B4" w14:textId="485E58C5"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井口压力预测</w:t>
            </w:r>
          </w:p>
        </w:tc>
      </w:tr>
      <w:tr w:rsidR="00E67914" w:rsidRPr="00E67914" w14:paraId="1E8F7B9F" w14:textId="77777777" w:rsidTr="00B70EDA">
        <w:trPr>
          <w:jc w:val="center"/>
        </w:trPr>
        <w:tc>
          <w:tcPr>
            <w:tcW w:w="588" w:type="pct"/>
            <w:vMerge/>
            <w:vAlign w:val="center"/>
          </w:tcPr>
          <w:p w14:paraId="587C2574" w14:textId="77777777"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p>
        </w:tc>
        <w:tc>
          <w:tcPr>
            <w:tcW w:w="588" w:type="pct"/>
            <w:vAlign w:val="center"/>
          </w:tcPr>
          <w:p w14:paraId="2DB5BDEA" w14:textId="0D0E64BD"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10</w:t>
            </w:r>
            <w:r w:rsidRPr="00E67914">
              <w:rPr>
                <w:rFonts w:ascii="Times New Roman" w:eastAsia="黑体" w:hAnsi="Times New Roman"/>
                <w:sz w:val="21"/>
                <w:szCs w:val="21"/>
                <w:vertAlign w:val="superscript"/>
                <w:lang w:eastAsia="zh-CN"/>
              </w:rPr>
              <w:t>4</w:t>
            </w:r>
            <w:r w:rsidRPr="00E67914">
              <w:rPr>
                <w:rFonts w:ascii="Times New Roman" w:eastAsia="黑体" w:hAnsi="Times New Roman"/>
                <w:sz w:val="21"/>
                <w:szCs w:val="21"/>
                <w:lang w:eastAsia="zh-CN"/>
              </w:rPr>
              <w:t>m</w:t>
            </w:r>
            <w:r w:rsidRPr="00E67914">
              <w:rPr>
                <w:rFonts w:ascii="Times New Roman" w:eastAsia="黑体" w:hAnsi="Times New Roman"/>
                <w:sz w:val="21"/>
                <w:szCs w:val="21"/>
                <w:vertAlign w:val="superscript"/>
                <w:lang w:eastAsia="zh-CN"/>
              </w:rPr>
              <w:t>3</w:t>
            </w:r>
            <w:r w:rsidRPr="00E67914">
              <w:rPr>
                <w:rFonts w:ascii="Times New Roman" w:eastAsia="黑体" w:hAnsi="Times New Roman"/>
                <w:sz w:val="21"/>
                <w:szCs w:val="21"/>
                <w:lang w:eastAsia="zh-CN"/>
              </w:rPr>
              <w:t>/d</w:t>
            </w:r>
          </w:p>
        </w:tc>
        <w:tc>
          <w:tcPr>
            <w:tcW w:w="588" w:type="pct"/>
            <w:vAlign w:val="center"/>
          </w:tcPr>
          <w:p w14:paraId="30438DA1" w14:textId="2AB8BADB"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t/d</w:t>
            </w:r>
          </w:p>
        </w:tc>
        <w:tc>
          <w:tcPr>
            <w:tcW w:w="588" w:type="pct"/>
            <w:vAlign w:val="center"/>
          </w:tcPr>
          <w:p w14:paraId="2A9D283D" w14:textId="268679DA"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m</w:t>
            </w:r>
            <w:r w:rsidRPr="00E67914">
              <w:rPr>
                <w:rFonts w:ascii="Times New Roman" w:eastAsia="黑体" w:hAnsi="Times New Roman"/>
                <w:sz w:val="21"/>
                <w:szCs w:val="21"/>
                <w:vertAlign w:val="superscript"/>
                <w:lang w:eastAsia="zh-CN"/>
              </w:rPr>
              <w:t>3</w:t>
            </w:r>
            <w:r w:rsidRPr="00E67914">
              <w:rPr>
                <w:rFonts w:ascii="Times New Roman" w:eastAsia="黑体" w:hAnsi="Times New Roman"/>
                <w:sz w:val="21"/>
                <w:szCs w:val="21"/>
                <w:lang w:eastAsia="zh-CN"/>
              </w:rPr>
              <w:t>/d</w:t>
            </w:r>
          </w:p>
        </w:tc>
        <w:tc>
          <w:tcPr>
            <w:tcW w:w="651" w:type="pct"/>
            <w:vAlign w:val="center"/>
          </w:tcPr>
          <w:p w14:paraId="6A1D8253" w14:textId="6EC2C816"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关井压力（</w:t>
            </w:r>
            <w:r w:rsidRPr="00E67914">
              <w:rPr>
                <w:rFonts w:ascii="Times New Roman" w:eastAsia="黑体" w:hAnsi="Times New Roman"/>
                <w:sz w:val="21"/>
                <w:szCs w:val="21"/>
                <w:lang w:eastAsia="zh-CN"/>
              </w:rPr>
              <w:t>Mpa</w:t>
            </w:r>
            <w:r w:rsidRPr="00E67914">
              <w:rPr>
                <w:rFonts w:ascii="Times New Roman" w:eastAsia="黑体" w:hAnsi="Times New Roman"/>
                <w:sz w:val="21"/>
                <w:szCs w:val="21"/>
                <w:lang w:eastAsia="zh-CN"/>
              </w:rPr>
              <w:t>）</w:t>
            </w:r>
          </w:p>
        </w:tc>
        <w:tc>
          <w:tcPr>
            <w:tcW w:w="740" w:type="pct"/>
            <w:vAlign w:val="center"/>
          </w:tcPr>
          <w:p w14:paraId="091DA603" w14:textId="4DCA3675" w:rsidR="008A26E3" w:rsidRPr="00E67914" w:rsidRDefault="008A26E3" w:rsidP="008A26E3">
            <w:pPr>
              <w:pStyle w:val="af"/>
              <w:tabs>
                <w:tab w:val="left" w:pos="863"/>
              </w:tabs>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生产最大油压进系统处（</w:t>
            </w:r>
            <w:r w:rsidRPr="00E67914">
              <w:rPr>
                <w:rFonts w:ascii="Times New Roman" w:eastAsia="黑体" w:hAnsi="Times New Roman"/>
                <w:sz w:val="21"/>
                <w:szCs w:val="21"/>
                <w:lang w:eastAsia="zh-CN"/>
              </w:rPr>
              <w:t>Mpa</w:t>
            </w:r>
            <w:r w:rsidRPr="00E67914">
              <w:rPr>
                <w:rFonts w:ascii="Times New Roman" w:eastAsia="黑体" w:hAnsi="Times New Roman"/>
                <w:sz w:val="21"/>
                <w:szCs w:val="21"/>
                <w:lang w:eastAsia="zh-CN"/>
              </w:rPr>
              <w:t>）</w:t>
            </w:r>
          </w:p>
        </w:tc>
        <w:tc>
          <w:tcPr>
            <w:tcW w:w="628" w:type="pct"/>
            <w:vAlign w:val="center"/>
          </w:tcPr>
          <w:p w14:paraId="51767E3B" w14:textId="06EFB5D4" w:rsidR="008A26E3" w:rsidRPr="00E67914" w:rsidRDefault="008A26E3" w:rsidP="008A26E3">
            <w:pPr>
              <w:pStyle w:val="af"/>
              <w:tabs>
                <w:tab w:val="left" w:pos="863"/>
              </w:tabs>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井口压力降一半需要时间（月）</w:t>
            </w:r>
          </w:p>
        </w:tc>
        <w:tc>
          <w:tcPr>
            <w:tcW w:w="628" w:type="pct"/>
            <w:vAlign w:val="center"/>
          </w:tcPr>
          <w:p w14:paraId="49D57FAA" w14:textId="7FF1DD01" w:rsidR="008A26E3" w:rsidRPr="00E67914" w:rsidRDefault="008A26E3" w:rsidP="008A26E3">
            <w:pPr>
              <w:pStyle w:val="af"/>
              <w:tabs>
                <w:tab w:val="left" w:pos="863"/>
              </w:tabs>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降到</w:t>
            </w:r>
            <w:r w:rsidRPr="00E67914">
              <w:rPr>
                <w:rFonts w:ascii="Times New Roman" w:eastAsia="黑体" w:hAnsi="Times New Roman"/>
                <w:sz w:val="21"/>
                <w:szCs w:val="21"/>
                <w:lang w:eastAsia="zh-CN"/>
              </w:rPr>
              <w:t>10Mpa</w:t>
            </w:r>
            <w:r w:rsidRPr="00E67914">
              <w:rPr>
                <w:rFonts w:ascii="Times New Roman" w:eastAsia="黑体" w:hAnsi="Times New Roman"/>
                <w:sz w:val="21"/>
                <w:szCs w:val="21"/>
                <w:lang w:eastAsia="zh-CN"/>
              </w:rPr>
              <w:t>所需要时间（月）</w:t>
            </w:r>
          </w:p>
        </w:tc>
      </w:tr>
      <w:tr w:rsidR="00E67914" w:rsidRPr="00E67914" w14:paraId="4B60DC76" w14:textId="77777777" w:rsidTr="00B70EDA">
        <w:trPr>
          <w:jc w:val="center"/>
        </w:trPr>
        <w:tc>
          <w:tcPr>
            <w:tcW w:w="588" w:type="pct"/>
            <w:vAlign w:val="center"/>
          </w:tcPr>
          <w:p w14:paraId="149C56AE" w14:textId="1331E42A" w:rsidR="008A26E3" w:rsidRPr="00E67914" w:rsidRDefault="008A26E3"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普陆页</w:t>
            </w:r>
            <w:r w:rsidRPr="00E67914">
              <w:rPr>
                <w:rFonts w:ascii="Times New Roman" w:eastAsia="黑体" w:hAnsi="Times New Roman"/>
                <w:sz w:val="21"/>
                <w:szCs w:val="21"/>
                <w:lang w:eastAsia="zh-CN"/>
              </w:rPr>
              <w:t>2HF</w:t>
            </w:r>
          </w:p>
        </w:tc>
        <w:tc>
          <w:tcPr>
            <w:tcW w:w="588" w:type="pct"/>
            <w:vAlign w:val="center"/>
          </w:tcPr>
          <w:p w14:paraId="4CB6122D" w14:textId="639D8214"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4</w:t>
            </w:r>
          </w:p>
        </w:tc>
        <w:tc>
          <w:tcPr>
            <w:tcW w:w="588" w:type="pct"/>
            <w:vAlign w:val="center"/>
          </w:tcPr>
          <w:p w14:paraId="7FE419D4" w14:textId="61AB4026" w:rsidR="008A26E3" w:rsidRPr="00E67914" w:rsidRDefault="0030073C"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2.8</w:t>
            </w:r>
          </w:p>
        </w:tc>
        <w:tc>
          <w:tcPr>
            <w:tcW w:w="588" w:type="pct"/>
            <w:vAlign w:val="center"/>
          </w:tcPr>
          <w:p w14:paraId="6CBFDB7D" w14:textId="5F1001D0"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5</w:t>
            </w:r>
          </w:p>
        </w:tc>
        <w:tc>
          <w:tcPr>
            <w:tcW w:w="651" w:type="pct"/>
            <w:vAlign w:val="center"/>
          </w:tcPr>
          <w:p w14:paraId="175445D2" w14:textId="1EDA12A2"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30</w:t>
            </w:r>
          </w:p>
        </w:tc>
        <w:tc>
          <w:tcPr>
            <w:tcW w:w="740" w:type="pct"/>
            <w:vAlign w:val="center"/>
          </w:tcPr>
          <w:p w14:paraId="17074310" w14:textId="676C31F9"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20~22</w:t>
            </w:r>
          </w:p>
        </w:tc>
        <w:tc>
          <w:tcPr>
            <w:tcW w:w="628" w:type="pct"/>
            <w:vAlign w:val="center"/>
          </w:tcPr>
          <w:p w14:paraId="0CA47204" w14:textId="0BA94E1A"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12~13</w:t>
            </w:r>
          </w:p>
        </w:tc>
        <w:tc>
          <w:tcPr>
            <w:tcW w:w="628" w:type="pct"/>
            <w:vAlign w:val="center"/>
          </w:tcPr>
          <w:p w14:paraId="1BB6B595" w14:textId="336253BD"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12~13</w:t>
            </w:r>
          </w:p>
        </w:tc>
      </w:tr>
      <w:tr w:rsidR="00E67914" w:rsidRPr="00E67914" w14:paraId="1CCB5957" w14:textId="77777777" w:rsidTr="00B70EDA">
        <w:trPr>
          <w:jc w:val="center"/>
        </w:trPr>
        <w:tc>
          <w:tcPr>
            <w:tcW w:w="588" w:type="pct"/>
            <w:vAlign w:val="center"/>
          </w:tcPr>
          <w:p w14:paraId="59A9C947" w14:textId="1E342DA8"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普陆页</w:t>
            </w:r>
            <w:r w:rsidRPr="00E67914">
              <w:rPr>
                <w:rFonts w:ascii="Times New Roman" w:eastAsia="黑体" w:hAnsi="Times New Roman"/>
                <w:sz w:val="21"/>
                <w:szCs w:val="21"/>
                <w:lang w:eastAsia="zh-CN"/>
              </w:rPr>
              <w:t>2-1</w:t>
            </w:r>
          </w:p>
        </w:tc>
        <w:tc>
          <w:tcPr>
            <w:tcW w:w="588" w:type="pct"/>
            <w:vAlign w:val="center"/>
          </w:tcPr>
          <w:p w14:paraId="619B84CE" w14:textId="132B2FBD"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5.1</w:t>
            </w:r>
          </w:p>
        </w:tc>
        <w:tc>
          <w:tcPr>
            <w:tcW w:w="588" w:type="pct"/>
            <w:vAlign w:val="center"/>
          </w:tcPr>
          <w:p w14:paraId="2642AEC6" w14:textId="0195BDA8"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3.1</w:t>
            </w:r>
          </w:p>
        </w:tc>
        <w:tc>
          <w:tcPr>
            <w:tcW w:w="588" w:type="pct"/>
            <w:vAlign w:val="center"/>
          </w:tcPr>
          <w:p w14:paraId="6737B6E5" w14:textId="58F32CFD"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12.3</w:t>
            </w:r>
          </w:p>
        </w:tc>
        <w:tc>
          <w:tcPr>
            <w:tcW w:w="651" w:type="pct"/>
            <w:vAlign w:val="center"/>
          </w:tcPr>
          <w:p w14:paraId="5F706EA5" w14:textId="04C6D42C"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25</w:t>
            </w:r>
          </w:p>
        </w:tc>
        <w:tc>
          <w:tcPr>
            <w:tcW w:w="740" w:type="pct"/>
            <w:vAlign w:val="center"/>
          </w:tcPr>
          <w:p w14:paraId="775188A7" w14:textId="3D70FC24"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18~20</w:t>
            </w:r>
          </w:p>
        </w:tc>
        <w:tc>
          <w:tcPr>
            <w:tcW w:w="628" w:type="pct"/>
            <w:vAlign w:val="center"/>
          </w:tcPr>
          <w:p w14:paraId="0DF47145" w14:textId="3657DC3E"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11~12</w:t>
            </w:r>
          </w:p>
        </w:tc>
        <w:tc>
          <w:tcPr>
            <w:tcW w:w="628" w:type="pct"/>
            <w:vAlign w:val="center"/>
          </w:tcPr>
          <w:p w14:paraId="75AA2E9E" w14:textId="752F658E"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11~12</w:t>
            </w:r>
          </w:p>
        </w:tc>
      </w:tr>
      <w:tr w:rsidR="00E67914" w:rsidRPr="00E67914" w14:paraId="6358F69D" w14:textId="77777777" w:rsidTr="00B70EDA">
        <w:trPr>
          <w:jc w:val="center"/>
        </w:trPr>
        <w:tc>
          <w:tcPr>
            <w:tcW w:w="588" w:type="pct"/>
            <w:vAlign w:val="center"/>
          </w:tcPr>
          <w:p w14:paraId="266515CA" w14:textId="549C56AD"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普陆页</w:t>
            </w:r>
            <w:r w:rsidRPr="00E67914">
              <w:rPr>
                <w:rFonts w:ascii="Times New Roman" w:eastAsia="黑体" w:hAnsi="Times New Roman"/>
                <w:sz w:val="21"/>
                <w:szCs w:val="21"/>
                <w:lang w:eastAsia="zh-CN"/>
              </w:rPr>
              <w:t>2-2</w:t>
            </w:r>
          </w:p>
        </w:tc>
        <w:tc>
          <w:tcPr>
            <w:tcW w:w="588" w:type="pct"/>
            <w:vAlign w:val="center"/>
          </w:tcPr>
          <w:p w14:paraId="0F01AD32" w14:textId="6A0C3EC5"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5.8</w:t>
            </w:r>
          </w:p>
        </w:tc>
        <w:tc>
          <w:tcPr>
            <w:tcW w:w="588" w:type="pct"/>
            <w:vAlign w:val="center"/>
          </w:tcPr>
          <w:p w14:paraId="4E5DFD3A" w14:textId="2018642A"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3.5</w:t>
            </w:r>
          </w:p>
        </w:tc>
        <w:tc>
          <w:tcPr>
            <w:tcW w:w="588" w:type="pct"/>
            <w:vAlign w:val="center"/>
          </w:tcPr>
          <w:p w14:paraId="06C87E67" w14:textId="6B1CDCB0"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14.0</w:t>
            </w:r>
          </w:p>
        </w:tc>
        <w:tc>
          <w:tcPr>
            <w:tcW w:w="651" w:type="pct"/>
            <w:vAlign w:val="center"/>
          </w:tcPr>
          <w:p w14:paraId="54A5F136" w14:textId="047038B7"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25</w:t>
            </w:r>
          </w:p>
        </w:tc>
        <w:tc>
          <w:tcPr>
            <w:tcW w:w="740" w:type="pct"/>
            <w:vAlign w:val="center"/>
          </w:tcPr>
          <w:p w14:paraId="7D237C81" w14:textId="0F35F362"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18~20</w:t>
            </w:r>
          </w:p>
        </w:tc>
        <w:tc>
          <w:tcPr>
            <w:tcW w:w="628" w:type="pct"/>
            <w:vAlign w:val="center"/>
          </w:tcPr>
          <w:p w14:paraId="556C638A" w14:textId="63A9007A"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11~12</w:t>
            </w:r>
          </w:p>
        </w:tc>
        <w:tc>
          <w:tcPr>
            <w:tcW w:w="628" w:type="pct"/>
            <w:vAlign w:val="center"/>
          </w:tcPr>
          <w:p w14:paraId="3A337695" w14:textId="65842CDF"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11~12</w:t>
            </w:r>
          </w:p>
        </w:tc>
      </w:tr>
      <w:tr w:rsidR="00E67914" w:rsidRPr="00E67914" w14:paraId="22EFD60A" w14:textId="77777777" w:rsidTr="00B70EDA">
        <w:trPr>
          <w:jc w:val="center"/>
        </w:trPr>
        <w:tc>
          <w:tcPr>
            <w:tcW w:w="588" w:type="pct"/>
            <w:vAlign w:val="center"/>
          </w:tcPr>
          <w:p w14:paraId="52751A99" w14:textId="115421B3"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普陆页</w:t>
            </w:r>
            <w:r w:rsidRPr="00E67914">
              <w:rPr>
                <w:rFonts w:ascii="Times New Roman" w:eastAsia="黑体" w:hAnsi="Times New Roman"/>
                <w:sz w:val="21"/>
                <w:szCs w:val="21"/>
                <w:lang w:eastAsia="zh-CN"/>
              </w:rPr>
              <w:t>2-3</w:t>
            </w:r>
          </w:p>
        </w:tc>
        <w:tc>
          <w:tcPr>
            <w:tcW w:w="588" w:type="pct"/>
            <w:vAlign w:val="center"/>
          </w:tcPr>
          <w:p w14:paraId="718A445C" w14:textId="0F156920"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5.7</w:t>
            </w:r>
          </w:p>
        </w:tc>
        <w:tc>
          <w:tcPr>
            <w:tcW w:w="588" w:type="pct"/>
            <w:vAlign w:val="center"/>
          </w:tcPr>
          <w:p w14:paraId="606D6306" w14:textId="78A034E3"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2.9</w:t>
            </w:r>
          </w:p>
        </w:tc>
        <w:tc>
          <w:tcPr>
            <w:tcW w:w="588" w:type="pct"/>
            <w:vAlign w:val="center"/>
          </w:tcPr>
          <w:p w14:paraId="5F7CC2B5" w14:textId="09936291"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11.4</w:t>
            </w:r>
          </w:p>
        </w:tc>
        <w:tc>
          <w:tcPr>
            <w:tcW w:w="651" w:type="pct"/>
            <w:vAlign w:val="center"/>
          </w:tcPr>
          <w:p w14:paraId="50467850" w14:textId="0C7670CC"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25</w:t>
            </w:r>
          </w:p>
        </w:tc>
        <w:tc>
          <w:tcPr>
            <w:tcW w:w="740" w:type="pct"/>
            <w:vAlign w:val="center"/>
          </w:tcPr>
          <w:p w14:paraId="3A8277BE" w14:textId="23C6A343"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18~20</w:t>
            </w:r>
          </w:p>
        </w:tc>
        <w:tc>
          <w:tcPr>
            <w:tcW w:w="628" w:type="pct"/>
            <w:vAlign w:val="center"/>
          </w:tcPr>
          <w:p w14:paraId="3A389654" w14:textId="1ABA5E13"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11~12</w:t>
            </w:r>
          </w:p>
        </w:tc>
        <w:tc>
          <w:tcPr>
            <w:tcW w:w="628" w:type="pct"/>
            <w:vAlign w:val="center"/>
          </w:tcPr>
          <w:p w14:paraId="27EBFA58" w14:textId="7AB7CA6D" w:rsidR="008A26E3" w:rsidRPr="00E67914" w:rsidRDefault="00B5604E" w:rsidP="00592132">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11~12</w:t>
            </w:r>
          </w:p>
        </w:tc>
      </w:tr>
      <w:tr w:rsidR="00E67914" w:rsidRPr="00E67914" w14:paraId="16C101A3" w14:textId="77777777" w:rsidTr="00B70EDA">
        <w:trPr>
          <w:jc w:val="center"/>
        </w:trPr>
        <w:tc>
          <w:tcPr>
            <w:tcW w:w="5000" w:type="pct"/>
            <w:gridSpan w:val="8"/>
            <w:vAlign w:val="center"/>
          </w:tcPr>
          <w:p w14:paraId="46146059" w14:textId="407922E9" w:rsidR="00B5604E" w:rsidRPr="00E67914" w:rsidRDefault="00B5604E" w:rsidP="00B5604E">
            <w:pPr>
              <w:pStyle w:val="af"/>
              <w:tabs>
                <w:tab w:val="left" w:pos="863"/>
              </w:tabs>
              <w:spacing w:before="0"/>
              <w:ind w:left="0"/>
              <w:rPr>
                <w:rFonts w:ascii="Times New Roman" w:eastAsia="黑体" w:hAnsi="Times New Roman"/>
                <w:sz w:val="21"/>
                <w:szCs w:val="21"/>
                <w:lang w:eastAsia="zh-CN"/>
              </w:rPr>
            </w:pPr>
            <w:r w:rsidRPr="00E67914">
              <w:rPr>
                <w:rFonts w:ascii="Times New Roman" w:eastAsia="黑体" w:hAnsi="Times New Roman"/>
                <w:sz w:val="21"/>
                <w:szCs w:val="21"/>
                <w:lang w:eastAsia="zh-CN"/>
              </w:rPr>
              <w:t>试采初期最大产生量单井可达</w:t>
            </w:r>
            <w:r w:rsidRPr="00E67914">
              <w:rPr>
                <w:rFonts w:ascii="Times New Roman" w:eastAsia="黑体" w:hAnsi="Times New Roman"/>
                <w:sz w:val="21"/>
                <w:szCs w:val="21"/>
                <w:lang w:eastAsia="zh-CN"/>
              </w:rPr>
              <w:t>40m</w:t>
            </w:r>
            <w:r w:rsidRPr="00E67914">
              <w:rPr>
                <w:rFonts w:ascii="Times New Roman" w:eastAsia="黑体" w:hAnsi="Times New Roman"/>
                <w:sz w:val="21"/>
                <w:szCs w:val="21"/>
                <w:vertAlign w:val="superscript"/>
                <w:lang w:eastAsia="zh-CN"/>
              </w:rPr>
              <w:t>3</w:t>
            </w:r>
            <w:r w:rsidRPr="00E67914">
              <w:rPr>
                <w:rFonts w:ascii="Times New Roman" w:eastAsia="黑体" w:hAnsi="Times New Roman"/>
                <w:sz w:val="21"/>
                <w:szCs w:val="21"/>
                <w:lang w:eastAsia="zh-CN"/>
              </w:rPr>
              <w:t>/d</w:t>
            </w:r>
            <w:r w:rsidRPr="00E67914">
              <w:rPr>
                <w:rFonts w:ascii="Times New Roman" w:eastAsia="黑体" w:hAnsi="Times New Roman"/>
                <w:sz w:val="21"/>
                <w:szCs w:val="21"/>
                <w:lang w:eastAsia="zh-CN"/>
              </w:rPr>
              <w:t>。</w:t>
            </w:r>
          </w:p>
        </w:tc>
      </w:tr>
    </w:tbl>
    <w:p w14:paraId="5CB6C23A" w14:textId="77777777" w:rsidR="00592132" w:rsidRPr="00E67914" w:rsidRDefault="00592132" w:rsidP="00592132">
      <w:pPr>
        <w:pStyle w:val="af"/>
        <w:tabs>
          <w:tab w:val="left" w:pos="863"/>
        </w:tabs>
        <w:spacing w:before="0"/>
        <w:ind w:left="0"/>
        <w:jc w:val="center"/>
        <w:rPr>
          <w:rFonts w:ascii="Times New Roman" w:eastAsia="黑体" w:hAnsi="Times New Roman"/>
          <w:sz w:val="21"/>
          <w:szCs w:val="21"/>
          <w:lang w:eastAsia="zh-CN"/>
        </w:rPr>
      </w:pPr>
    </w:p>
    <w:p w14:paraId="5C4D6445" w14:textId="5D8B6502" w:rsidR="00592132" w:rsidRPr="00E67914" w:rsidRDefault="00B5604E">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凝析油组分参考普陆页</w:t>
      </w:r>
      <w:r w:rsidRPr="00E67914">
        <w:rPr>
          <w:rFonts w:ascii="Times New Roman" w:hAnsi="Times New Roman"/>
          <w:sz w:val="24"/>
          <w:szCs w:val="24"/>
          <w:lang w:eastAsia="zh-CN"/>
        </w:rPr>
        <w:t>1</w:t>
      </w:r>
      <w:r w:rsidRPr="00E67914">
        <w:rPr>
          <w:rFonts w:ascii="Times New Roman" w:hAnsi="Times New Roman"/>
          <w:sz w:val="24"/>
          <w:szCs w:val="24"/>
          <w:lang w:eastAsia="zh-CN"/>
        </w:rPr>
        <w:t>井的凝析油组分，析蜡点为</w:t>
      </w:r>
      <w:r w:rsidRPr="00E67914">
        <w:rPr>
          <w:rFonts w:ascii="Times New Roman" w:hAnsi="Times New Roman"/>
          <w:sz w:val="24"/>
          <w:szCs w:val="24"/>
          <w:lang w:eastAsia="zh-CN"/>
        </w:rPr>
        <w:t>28℃</w:t>
      </w:r>
      <w:r w:rsidRPr="00E67914">
        <w:rPr>
          <w:rFonts w:ascii="Times New Roman" w:hAnsi="Times New Roman"/>
          <w:sz w:val="24"/>
          <w:szCs w:val="24"/>
          <w:lang w:eastAsia="zh-CN"/>
        </w:rPr>
        <w:t>，凝析油组分见下表：</w:t>
      </w:r>
    </w:p>
    <w:p w14:paraId="660B1015" w14:textId="2CF2980D" w:rsidR="00B5604E" w:rsidRPr="00E67914" w:rsidRDefault="00B5604E" w:rsidP="00B5604E">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3.2-6  </w:t>
      </w:r>
      <w:r w:rsidRPr="00E67914">
        <w:rPr>
          <w:rFonts w:ascii="Times New Roman" w:eastAsia="黑体" w:hAnsi="Times New Roman"/>
          <w:sz w:val="21"/>
          <w:szCs w:val="21"/>
          <w:lang w:eastAsia="zh-CN"/>
        </w:rPr>
        <w:t>凝析油组分表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5"/>
        <w:gridCol w:w="2075"/>
        <w:gridCol w:w="2075"/>
        <w:gridCol w:w="2075"/>
      </w:tblGrid>
      <w:tr w:rsidR="00E67914" w:rsidRPr="00E67914" w14:paraId="5AD90530" w14:textId="77777777" w:rsidTr="00B5604E">
        <w:trPr>
          <w:jc w:val="center"/>
        </w:trPr>
        <w:tc>
          <w:tcPr>
            <w:tcW w:w="1250" w:type="pct"/>
            <w:shd w:val="clear" w:color="auto" w:fill="auto"/>
          </w:tcPr>
          <w:p w14:paraId="5174E785"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组分</w:t>
            </w:r>
          </w:p>
        </w:tc>
        <w:tc>
          <w:tcPr>
            <w:tcW w:w="1250" w:type="pct"/>
            <w:shd w:val="clear" w:color="auto" w:fill="auto"/>
          </w:tcPr>
          <w:p w14:paraId="0CE2B6C1"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质量含量</w:t>
            </w:r>
            <w:r w:rsidRPr="00E67914">
              <w:rPr>
                <w:rFonts w:ascii="Times New Roman" w:hAnsi="Times New Roman"/>
                <w:sz w:val="21"/>
                <w:szCs w:val="21"/>
              </w:rPr>
              <w:t>%</w:t>
            </w:r>
          </w:p>
        </w:tc>
        <w:tc>
          <w:tcPr>
            <w:tcW w:w="1250" w:type="pct"/>
            <w:shd w:val="clear" w:color="auto" w:fill="auto"/>
          </w:tcPr>
          <w:p w14:paraId="7089D0FE"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组分</w:t>
            </w:r>
          </w:p>
        </w:tc>
        <w:tc>
          <w:tcPr>
            <w:tcW w:w="1250" w:type="pct"/>
            <w:shd w:val="clear" w:color="auto" w:fill="auto"/>
          </w:tcPr>
          <w:p w14:paraId="72239A07"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质量含量</w:t>
            </w:r>
            <w:r w:rsidRPr="00E67914">
              <w:rPr>
                <w:rFonts w:ascii="Times New Roman" w:hAnsi="Times New Roman"/>
                <w:sz w:val="21"/>
                <w:szCs w:val="21"/>
              </w:rPr>
              <w:t>%</w:t>
            </w:r>
          </w:p>
        </w:tc>
      </w:tr>
      <w:tr w:rsidR="00E67914" w:rsidRPr="00E67914" w14:paraId="51216127" w14:textId="77777777" w:rsidTr="00B5604E">
        <w:trPr>
          <w:jc w:val="center"/>
        </w:trPr>
        <w:tc>
          <w:tcPr>
            <w:tcW w:w="1250" w:type="pct"/>
            <w:shd w:val="clear" w:color="auto" w:fill="auto"/>
          </w:tcPr>
          <w:p w14:paraId="52A8EC03"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w:t>
            </w:r>
          </w:p>
        </w:tc>
        <w:tc>
          <w:tcPr>
            <w:tcW w:w="1250" w:type="pct"/>
            <w:shd w:val="clear" w:color="auto" w:fill="auto"/>
          </w:tcPr>
          <w:p w14:paraId="3573064F"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0.000</w:t>
            </w:r>
          </w:p>
        </w:tc>
        <w:tc>
          <w:tcPr>
            <w:tcW w:w="1250" w:type="pct"/>
            <w:shd w:val="clear" w:color="auto" w:fill="auto"/>
          </w:tcPr>
          <w:p w14:paraId="18C5C8A9"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C19</w:t>
            </w:r>
          </w:p>
        </w:tc>
        <w:tc>
          <w:tcPr>
            <w:tcW w:w="1250" w:type="pct"/>
            <w:shd w:val="clear" w:color="auto" w:fill="auto"/>
          </w:tcPr>
          <w:p w14:paraId="76AFCB91"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2.762</w:t>
            </w:r>
          </w:p>
        </w:tc>
      </w:tr>
      <w:tr w:rsidR="00E67914" w:rsidRPr="00E67914" w14:paraId="399A7E6C" w14:textId="77777777" w:rsidTr="00B5604E">
        <w:trPr>
          <w:jc w:val="center"/>
        </w:trPr>
        <w:tc>
          <w:tcPr>
            <w:tcW w:w="1250" w:type="pct"/>
            <w:shd w:val="clear" w:color="auto" w:fill="auto"/>
          </w:tcPr>
          <w:p w14:paraId="0898E92B"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w:t>
            </w:r>
          </w:p>
        </w:tc>
        <w:tc>
          <w:tcPr>
            <w:tcW w:w="1250" w:type="pct"/>
            <w:shd w:val="clear" w:color="auto" w:fill="auto"/>
          </w:tcPr>
          <w:p w14:paraId="6D35BB7C"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0.014</w:t>
            </w:r>
          </w:p>
        </w:tc>
        <w:tc>
          <w:tcPr>
            <w:tcW w:w="1250" w:type="pct"/>
            <w:shd w:val="clear" w:color="auto" w:fill="auto"/>
          </w:tcPr>
          <w:p w14:paraId="41666BF9"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C20</w:t>
            </w:r>
          </w:p>
        </w:tc>
        <w:tc>
          <w:tcPr>
            <w:tcW w:w="1250" w:type="pct"/>
            <w:shd w:val="clear" w:color="auto" w:fill="auto"/>
          </w:tcPr>
          <w:p w14:paraId="114906E7"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2.213</w:t>
            </w:r>
          </w:p>
        </w:tc>
      </w:tr>
      <w:tr w:rsidR="00E67914" w:rsidRPr="00E67914" w14:paraId="3566ABBA" w14:textId="77777777" w:rsidTr="00B5604E">
        <w:trPr>
          <w:jc w:val="center"/>
        </w:trPr>
        <w:tc>
          <w:tcPr>
            <w:tcW w:w="1250" w:type="pct"/>
            <w:shd w:val="clear" w:color="auto" w:fill="auto"/>
          </w:tcPr>
          <w:p w14:paraId="76F0B90B"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C3</w:t>
            </w:r>
          </w:p>
        </w:tc>
        <w:tc>
          <w:tcPr>
            <w:tcW w:w="1250" w:type="pct"/>
            <w:shd w:val="clear" w:color="auto" w:fill="auto"/>
          </w:tcPr>
          <w:p w14:paraId="0BF7C399"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0.141</w:t>
            </w:r>
          </w:p>
        </w:tc>
        <w:tc>
          <w:tcPr>
            <w:tcW w:w="1250" w:type="pct"/>
            <w:shd w:val="clear" w:color="auto" w:fill="auto"/>
          </w:tcPr>
          <w:p w14:paraId="3B178DF0"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C21</w:t>
            </w:r>
          </w:p>
        </w:tc>
        <w:tc>
          <w:tcPr>
            <w:tcW w:w="1250" w:type="pct"/>
            <w:shd w:val="clear" w:color="auto" w:fill="auto"/>
          </w:tcPr>
          <w:p w14:paraId="11AD035C"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1.868</w:t>
            </w:r>
          </w:p>
        </w:tc>
      </w:tr>
      <w:tr w:rsidR="00E67914" w:rsidRPr="00E67914" w14:paraId="7D4AE52E" w14:textId="77777777" w:rsidTr="00B5604E">
        <w:trPr>
          <w:jc w:val="center"/>
        </w:trPr>
        <w:tc>
          <w:tcPr>
            <w:tcW w:w="1250" w:type="pct"/>
            <w:shd w:val="clear" w:color="auto" w:fill="auto"/>
          </w:tcPr>
          <w:p w14:paraId="3ED6C71A"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C4</w:t>
            </w:r>
          </w:p>
        </w:tc>
        <w:tc>
          <w:tcPr>
            <w:tcW w:w="1250" w:type="pct"/>
            <w:shd w:val="clear" w:color="auto" w:fill="auto"/>
          </w:tcPr>
          <w:p w14:paraId="50A103B1"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1.134</w:t>
            </w:r>
          </w:p>
        </w:tc>
        <w:tc>
          <w:tcPr>
            <w:tcW w:w="1250" w:type="pct"/>
            <w:shd w:val="clear" w:color="auto" w:fill="auto"/>
          </w:tcPr>
          <w:p w14:paraId="4C176F92"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C22</w:t>
            </w:r>
          </w:p>
        </w:tc>
        <w:tc>
          <w:tcPr>
            <w:tcW w:w="1250" w:type="pct"/>
            <w:shd w:val="clear" w:color="auto" w:fill="auto"/>
          </w:tcPr>
          <w:p w14:paraId="3A201ED0"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1.459</w:t>
            </w:r>
          </w:p>
        </w:tc>
      </w:tr>
      <w:tr w:rsidR="00E67914" w:rsidRPr="00E67914" w14:paraId="11BE2655" w14:textId="77777777" w:rsidTr="00B5604E">
        <w:trPr>
          <w:jc w:val="center"/>
        </w:trPr>
        <w:tc>
          <w:tcPr>
            <w:tcW w:w="1250" w:type="pct"/>
            <w:shd w:val="clear" w:color="auto" w:fill="auto"/>
          </w:tcPr>
          <w:p w14:paraId="3D470AD3"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C5</w:t>
            </w:r>
          </w:p>
        </w:tc>
        <w:tc>
          <w:tcPr>
            <w:tcW w:w="1250" w:type="pct"/>
            <w:shd w:val="clear" w:color="auto" w:fill="auto"/>
          </w:tcPr>
          <w:p w14:paraId="697716E5"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2.166</w:t>
            </w:r>
          </w:p>
        </w:tc>
        <w:tc>
          <w:tcPr>
            <w:tcW w:w="1250" w:type="pct"/>
            <w:shd w:val="clear" w:color="auto" w:fill="auto"/>
          </w:tcPr>
          <w:p w14:paraId="18B62BA8"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C23</w:t>
            </w:r>
          </w:p>
        </w:tc>
        <w:tc>
          <w:tcPr>
            <w:tcW w:w="1250" w:type="pct"/>
            <w:shd w:val="clear" w:color="auto" w:fill="auto"/>
          </w:tcPr>
          <w:p w14:paraId="1FB5850E"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1.349</w:t>
            </w:r>
          </w:p>
        </w:tc>
      </w:tr>
      <w:tr w:rsidR="00E67914" w:rsidRPr="00E67914" w14:paraId="26AFA75F" w14:textId="77777777" w:rsidTr="00B5604E">
        <w:trPr>
          <w:jc w:val="center"/>
        </w:trPr>
        <w:tc>
          <w:tcPr>
            <w:tcW w:w="1250" w:type="pct"/>
            <w:shd w:val="clear" w:color="auto" w:fill="auto"/>
          </w:tcPr>
          <w:p w14:paraId="46D13FDA"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C6</w:t>
            </w:r>
          </w:p>
        </w:tc>
        <w:tc>
          <w:tcPr>
            <w:tcW w:w="1250" w:type="pct"/>
            <w:shd w:val="clear" w:color="auto" w:fill="auto"/>
          </w:tcPr>
          <w:p w14:paraId="648B7824"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2.961</w:t>
            </w:r>
          </w:p>
        </w:tc>
        <w:tc>
          <w:tcPr>
            <w:tcW w:w="1250" w:type="pct"/>
            <w:shd w:val="clear" w:color="auto" w:fill="auto"/>
          </w:tcPr>
          <w:p w14:paraId="558CF723"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C24</w:t>
            </w:r>
          </w:p>
        </w:tc>
        <w:tc>
          <w:tcPr>
            <w:tcW w:w="1250" w:type="pct"/>
            <w:shd w:val="clear" w:color="auto" w:fill="auto"/>
          </w:tcPr>
          <w:p w14:paraId="1BF1CF6F"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1.218</w:t>
            </w:r>
          </w:p>
        </w:tc>
      </w:tr>
      <w:tr w:rsidR="00E67914" w:rsidRPr="00E67914" w14:paraId="01A4C89F" w14:textId="77777777" w:rsidTr="00B5604E">
        <w:trPr>
          <w:jc w:val="center"/>
        </w:trPr>
        <w:tc>
          <w:tcPr>
            <w:tcW w:w="1250" w:type="pct"/>
            <w:shd w:val="clear" w:color="auto" w:fill="auto"/>
          </w:tcPr>
          <w:p w14:paraId="3BB4BD61"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C7</w:t>
            </w:r>
          </w:p>
        </w:tc>
        <w:tc>
          <w:tcPr>
            <w:tcW w:w="1250" w:type="pct"/>
            <w:shd w:val="clear" w:color="auto" w:fill="auto"/>
          </w:tcPr>
          <w:p w14:paraId="1FD21239"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5.455</w:t>
            </w:r>
          </w:p>
        </w:tc>
        <w:tc>
          <w:tcPr>
            <w:tcW w:w="1250" w:type="pct"/>
            <w:shd w:val="clear" w:color="auto" w:fill="auto"/>
          </w:tcPr>
          <w:p w14:paraId="5911E255"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C25</w:t>
            </w:r>
          </w:p>
        </w:tc>
        <w:tc>
          <w:tcPr>
            <w:tcW w:w="1250" w:type="pct"/>
            <w:shd w:val="clear" w:color="auto" w:fill="auto"/>
          </w:tcPr>
          <w:p w14:paraId="1E24B79D"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0.907</w:t>
            </w:r>
          </w:p>
        </w:tc>
      </w:tr>
      <w:tr w:rsidR="00E67914" w:rsidRPr="00E67914" w14:paraId="374356A4" w14:textId="77777777" w:rsidTr="00B5604E">
        <w:trPr>
          <w:jc w:val="center"/>
        </w:trPr>
        <w:tc>
          <w:tcPr>
            <w:tcW w:w="1250" w:type="pct"/>
            <w:shd w:val="clear" w:color="auto" w:fill="auto"/>
          </w:tcPr>
          <w:p w14:paraId="29B13349"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C8</w:t>
            </w:r>
          </w:p>
        </w:tc>
        <w:tc>
          <w:tcPr>
            <w:tcW w:w="1250" w:type="pct"/>
            <w:shd w:val="clear" w:color="auto" w:fill="auto"/>
          </w:tcPr>
          <w:p w14:paraId="0E0941DA"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10.839</w:t>
            </w:r>
          </w:p>
        </w:tc>
        <w:tc>
          <w:tcPr>
            <w:tcW w:w="1250" w:type="pct"/>
            <w:shd w:val="clear" w:color="auto" w:fill="auto"/>
          </w:tcPr>
          <w:p w14:paraId="14300E5E"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C26</w:t>
            </w:r>
          </w:p>
        </w:tc>
        <w:tc>
          <w:tcPr>
            <w:tcW w:w="1250" w:type="pct"/>
            <w:shd w:val="clear" w:color="auto" w:fill="auto"/>
          </w:tcPr>
          <w:p w14:paraId="12A3F6E4"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0.713</w:t>
            </w:r>
          </w:p>
        </w:tc>
      </w:tr>
      <w:tr w:rsidR="00E67914" w:rsidRPr="00E67914" w14:paraId="58AAC6BA" w14:textId="77777777" w:rsidTr="00B5604E">
        <w:trPr>
          <w:jc w:val="center"/>
        </w:trPr>
        <w:tc>
          <w:tcPr>
            <w:tcW w:w="1250" w:type="pct"/>
            <w:shd w:val="clear" w:color="auto" w:fill="auto"/>
          </w:tcPr>
          <w:p w14:paraId="2D5FB08D"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C9</w:t>
            </w:r>
          </w:p>
        </w:tc>
        <w:tc>
          <w:tcPr>
            <w:tcW w:w="1250" w:type="pct"/>
            <w:shd w:val="clear" w:color="auto" w:fill="auto"/>
          </w:tcPr>
          <w:p w14:paraId="4B04E0A5"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7.847</w:t>
            </w:r>
          </w:p>
        </w:tc>
        <w:tc>
          <w:tcPr>
            <w:tcW w:w="1250" w:type="pct"/>
            <w:shd w:val="clear" w:color="auto" w:fill="auto"/>
          </w:tcPr>
          <w:p w14:paraId="152B0877"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C27</w:t>
            </w:r>
          </w:p>
        </w:tc>
        <w:tc>
          <w:tcPr>
            <w:tcW w:w="1250" w:type="pct"/>
            <w:shd w:val="clear" w:color="auto" w:fill="auto"/>
          </w:tcPr>
          <w:p w14:paraId="2EF06DA3"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0.635</w:t>
            </w:r>
          </w:p>
        </w:tc>
      </w:tr>
      <w:tr w:rsidR="00E67914" w:rsidRPr="00E67914" w14:paraId="309D1355" w14:textId="77777777" w:rsidTr="00B5604E">
        <w:trPr>
          <w:jc w:val="center"/>
        </w:trPr>
        <w:tc>
          <w:tcPr>
            <w:tcW w:w="1250" w:type="pct"/>
            <w:shd w:val="clear" w:color="auto" w:fill="auto"/>
          </w:tcPr>
          <w:p w14:paraId="2A96B679"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C10</w:t>
            </w:r>
          </w:p>
        </w:tc>
        <w:tc>
          <w:tcPr>
            <w:tcW w:w="1250" w:type="pct"/>
            <w:shd w:val="clear" w:color="auto" w:fill="auto"/>
          </w:tcPr>
          <w:p w14:paraId="72E2FED2"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7.139</w:t>
            </w:r>
          </w:p>
        </w:tc>
        <w:tc>
          <w:tcPr>
            <w:tcW w:w="1250" w:type="pct"/>
            <w:shd w:val="clear" w:color="auto" w:fill="auto"/>
          </w:tcPr>
          <w:p w14:paraId="0956A758"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C28</w:t>
            </w:r>
          </w:p>
        </w:tc>
        <w:tc>
          <w:tcPr>
            <w:tcW w:w="1250" w:type="pct"/>
            <w:shd w:val="clear" w:color="auto" w:fill="auto"/>
          </w:tcPr>
          <w:p w14:paraId="5C5E818E"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0.443</w:t>
            </w:r>
          </w:p>
        </w:tc>
      </w:tr>
      <w:tr w:rsidR="00E67914" w:rsidRPr="00E67914" w14:paraId="2C1476D0" w14:textId="77777777" w:rsidTr="00B5604E">
        <w:trPr>
          <w:jc w:val="center"/>
        </w:trPr>
        <w:tc>
          <w:tcPr>
            <w:tcW w:w="1250" w:type="pct"/>
            <w:shd w:val="clear" w:color="auto" w:fill="auto"/>
          </w:tcPr>
          <w:p w14:paraId="14FB6931"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C11</w:t>
            </w:r>
          </w:p>
        </w:tc>
        <w:tc>
          <w:tcPr>
            <w:tcW w:w="1250" w:type="pct"/>
            <w:shd w:val="clear" w:color="auto" w:fill="auto"/>
          </w:tcPr>
          <w:p w14:paraId="0BFF30F4"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7.654</w:t>
            </w:r>
          </w:p>
        </w:tc>
        <w:tc>
          <w:tcPr>
            <w:tcW w:w="1250" w:type="pct"/>
            <w:shd w:val="clear" w:color="auto" w:fill="auto"/>
          </w:tcPr>
          <w:p w14:paraId="5805C44D"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C29</w:t>
            </w:r>
          </w:p>
        </w:tc>
        <w:tc>
          <w:tcPr>
            <w:tcW w:w="1250" w:type="pct"/>
            <w:shd w:val="clear" w:color="auto" w:fill="auto"/>
          </w:tcPr>
          <w:p w14:paraId="704898A2"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0.270</w:t>
            </w:r>
          </w:p>
        </w:tc>
      </w:tr>
      <w:tr w:rsidR="00E67914" w:rsidRPr="00E67914" w14:paraId="0DD7F4A1" w14:textId="77777777" w:rsidTr="00B5604E">
        <w:trPr>
          <w:jc w:val="center"/>
        </w:trPr>
        <w:tc>
          <w:tcPr>
            <w:tcW w:w="1250" w:type="pct"/>
            <w:shd w:val="clear" w:color="auto" w:fill="auto"/>
          </w:tcPr>
          <w:p w14:paraId="281EDC0F"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lastRenderedPageBreak/>
              <w:t>C12</w:t>
            </w:r>
          </w:p>
        </w:tc>
        <w:tc>
          <w:tcPr>
            <w:tcW w:w="1250" w:type="pct"/>
            <w:shd w:val="clear" w:color="auto" w:fill="auto"/>
          </w:tcPr>
          <w:p w14:paraId="42ED04C4"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7.722</w:t>
            </w:r>
          </w:p>
        </w:tc>
        <w:tc>
          <w:tcPr>
            <w:tcW w:w="1250" w:type="pct"/>
            <w:shd w:val="clear" w:color="auto" w:fill="auto"/>
          </w:tcPr>
          <w:p w14:paraId="19DC9A76"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C30+</w:t>
            </w:r>
          </w:p>
        </w:tc>
        <w:tc>
          <w:tcPr>
            <w:tcW w:w="1250" w:type="pct"/>
            <w:shd w:val="clear" w:color="auto" w:fill="auto"/>
          </w:tcPr>
          <w:p w14:paraId="3F1E70BE"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0.356</w:t>
            </w:r>
          </w:p>
        </w:tc>
      </w:tr>
      <w:tr w:rsidR="00E67914" w:rsidRPr="00E67914" w14:paraId="23C13F61" w14:textId="77777777" w:rsidTr="00B5604E">
        <w:trPr>
          <w:jc w:val="center"/>
        </w:trPr>
        <w:tc>
          <w:tcPr>
            <w:tcW w:w="1250" w:type="pct"/>
            <w:shd w:val="clear" w:color="auto" w:fill="auto"/>
          </w:tcPr>
          <w:p w14:paraId="30D08288"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C13</w:t>
            </w:r>
          </w:p>
        </w:tc>
        <w:tc>
          <w:tcPr>
            <w:tcW w:w="1250" w:type="pct"/>
            <w:shd w:val="clear" w:color="auto" w:fill="auto"/>
          </w:tcPr>
          <w:p w14:paraId="4A2C5E2B"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7.375</w:t>
            </w:r>
          </w:p>
        </w:tc>
        <w:tc>
          <w:tcPr>
            <w:tcW w:w="1250" w:type="pct"/>
            <w:shd w:val="clear" w:color="auto" w:fill="auto"/>
          </w:tcPr>
          <w:p w14:paraId="23256B65" w14:textId="77777777" w:rsidR="00B5604E" w:rsidRPr="00E67914" w:rsidRDefault="00B5604E" w:rsidP="00223052">
            <w:pPr>
              <w:jc w:val="center"/>
              <w:rPr>
                <w:rFonts w:ascii="Times New Roman" w:hAnsi="Times New Roman"/>
                <w:sz w:val="21"/>
                <w:szCs w:val="21"/>
              </w:rPr>
            </w:pPr>
          </w:p>
        </w:tc>
        <w:tc>
          <w:tcPr>
            <w:tcW w:w="1250" w:type="pct"/>
            <w:shd w:val="clear" w:color="auto" w:fill="auto"/>
          </w:tcPr>
          <w:p w14:paraId="6D95B803" w14:textId="77777777" w:rsidR="00B5604E" w:rsidRPr="00E67914" w:rsidRDefault="00B5604E" w:rsidP="00223052">
            <w:pPr>
              <w:jc w:val="center"/>
              <w:rPr>
                <w:rFonts w:ascii="Times New Roman" w:hAnsi="Times New Roman"/>
                <w:sz w:val="21"/>
                <w:szCs w:val="21"/>
              </w:rPr>
            </w:pPr>
          </w:p>
        </w:tc>
      </w:tr>
      <w:tr w:rsidR="00E67914" w:rsidRPr="00E67914" w14:paraId="2B102F51" w14:textId="77777777" w:rsidTr="00B5604E">
        <w:trPr>
          <w:jc w:val="center"/>
        </w:trPr>
        <w:tc>
          <w:tcPr>
            <w:tcW w:w="1250" w:type="pct"/>
            <w:shd w:val="clear" w:color="auto" w:fill="auto"/>
          </w:tcPr>
          <w:p w14:paraId="47A9427B"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C14</w:t>
            </w:r>
          </w:p>
        </w:tc>
        <w:tc>
          <w:tcPr>
            <w:tcW w:w="1250" w:type="pct"/>
            <w:shd w:val="clear" w:color="auto" w:fill="auto"/>
          </w:tcPr>
          <w:p w14:paraId="43684525"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7.136</w:t>
            </w:r>
          </w:p>
        </w:tc>
        <w:tc>
          <w:tcPr>
            <w:tcW w:w="1250" w:type="pct"/>
            <w:shd w:val="clear" w:color="auto" w:fill="auto"/>
          </w:tcPr>
          <w:p w14:paraId="12317BD4" w14:textId="77777777" w:rsidR="00B5604E" w:rsidRPr="00E67914" w:rsidRDefault="00B5604E" w:rsidP="00223052">
            <w:pPr>
              <w:jc w:val="center"/>
              <w:rPr>
                <w:rFonts w:ascii="Times New Roman" w:hAnsi="Times New Roman"/>
                <w:sz w:val="21"/>
                <w:szCs w:val="21"/>
              </w:rPr>
            </w:pPr>
          </w:p>
        </w:tc>
        <w:tc>
          <w:tcPr>
            <w:tcW w:w="1250" w:type="pct"/>
            <w:shd w:val="clear" w:color="auto" w:fill="auto"/>
          </w:tcPr>
          <w:p w14:paraId="0F683043" w14:textId="77777777" w:rsidR="00B5604E" w:rsidRPr="00E67914" w:rsidRDefault="00B5604E" w:rsidP="00223052">
            <w:pPr>
              <w:jc w:val="center"/>
              <w:rPr>
                <w:rFonts w:ascii="Times New Roman" w:hAnsi="Times New Roman"/>
                <w:sz w:val="21"/>
                <w:szCs w:val="21"/>
              </w:rPr>
            </w:pPr>
          </w:p>
        </w:tc>
      </w:tr>
      <w:tr w:rsidR="00E67914" w:rsidRPr="00E67914" w14:paraId="7A07159E" w14:textId="77777777" w:rsidTr="00B5604E">
        <w:trPr>
          <w:jc w:val="center"/>
        </w:trPr>
        <w:tc>
          <w:tcPr>
            <w:tcW w:w="1250" w:type="pct"/>
            <w:shd w:val="clear" w:color="auto" w:fill="auto"/>
          </w:tcPr>
          <w:p w14:paraId="26F3FA03"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C15</w:t>
            </w:r>
          </w:p>
        </w:tc>
        <w:tc>
          <w:tcPr>
            <w:tcW w:w="1250" w:type="pct"/>
            <w:shd w:val="clear" w:color="auto" w:fill="auto"/>
          </w:tcPr>
          <w:p w14:paraId="78CB18C8"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5.894</w:t>
            </w:r>
          </w:p>
        </w:tc>
        <w:tc>
          <w:tcPr>
            <w:tcW w:w="1250" w:type="pct"/>
            <w:shd w:val="clear" w:color="auto" w:fill="auto"/>
          </w:tcPr>
          <w:p w14:paraId="2282ACBD" w14:textId="77777777" w:rsidR="00B5604E" w:rsidRPr="00E67914" w:rsidRDefault="00B5604E" w:rsidP="00223052">
            <w:pPr>
              <w:jc w:val="center"/>
              <w:rPr>
                <w:rFonts w:ascii="Times New Roman" w:hAnsi="Times New Roman"/>
                <w:sz w:val="21"/>
                <w:szCs w:val="21"/>
              </w:rPr>
            </w:pPr>
          </w:p>
        </w:tc>
        <w:tc>
          <w:tcPr>
            <w:tcW w:w="1250" w:type="pct"/>
            <w:shd w:val="clear" w:color="auto" w:fill="auto"/>
          </w:tcPr>
          <w:p w14:paraId="0A29A0B6" w14:textId="77777777" w:rsidR="00B5604E" w:rsidRPr="00E67914" w:rsidRDefault="00B5604E" w:rsidP="00223052">
            <w:pPr>
              <w:jc w:val="center"/>
              <w:rPr>
                <w:rFonts w:ascii="Times New Roman" w:hAnsi="Times New Roman"/>
                <w:sz w:val="21"/>
                <w:szCs w:val="21"/>
              </w:rPr>
            </w:pPr>
          </w:p>
        </w:tc>
      </w:tr>
      <w:tr w:rsidR="00E67914" w:rsidRPr="00E67914" w14:paraId="7E7126C6" w14:textId="77777777" w:rsidTr="00B5604E">
        <w:trPr>
          <w:jc w:val="center"/>
        </w:trPr>
        <w:tc>
          <w:tcPr>
            <w:tcW w:w="1250" w:type="pct"/>
            <w:shd w:val="clear" w:color="auto" w:fill="auto"/>
          </w:tcPr>
          <w:p w14:paraId="7CD554BE"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C16</w:t>
            </w:r>
          </w:p>
        </w:tc>
        <w:tc>
          <w:tcPr>
            <w:tcW w:w="1250" w:type="pct"/>
            <w:shd w:val="clear" w:color="auto" w:fill="auto"/>
          </w:tcPr>
          <w:p w14:paraId="1F20F117"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4.706</w:t>
            </w:r>
          </w:p>
        </w:tc>
        <w:tc>
          <w:tcPr>
            <w:tcW w:w="1250" w:type="pct"/>
            <w:shd w:val="clear" w:color="auto" w:fill="auto"/>
          </w:tcPr>
          <w:p w14:paraId="4DCDC0C4" w14:textId="77777777" w:rsidR="00B5604E" w:rsidRPr="00E67914" w:rsidRDefault="00B5604E" w:rsidP="00223052">
            <w:pPr>
              <w:jc w:val="center"/>
              <w:rPr>
                <w:rFonts w:ascii="Times New Roman" w:hAnsi="Times New Roman"/>
                <w:sz w:val="21"/>
                <w:szCs w:val="21"/>
              </w:rPr>
            </w:pPr>
          </w:p>
        </w:tc>
        <w:tc>
          <w:tcPr>
            <w:tcW w:w="1250" w:type="pct"/>
            <w:shd w:val="clear" w:color="auto" w:fill="auto"/>
          </w:tcPr>
          <w:p w14:paraId="69690EFE" w14:textId="77777777" w:rsidR="00B5604E" w:rsidRPr="00E67914" w:rsidRDefault="00B5604E" w:rsidP="00223052">
            <w:pPr>
              <w:jc w:val="center"/>
              <w:rPr>
                <w:rFonts w:ascii="Times New Roman" w:hAnsi="Times New Roman"/>
                <w:sz w:val="21"/>
                <w:szCs w:val="21"/>
              </w:rPr>
            </w:pPr>
          </w:p>
        </w:tc>
      </w:tr>
      <w:tr w:rsidR="00E67914" w:rsidRPr="00E67914" w14:paraId="4D8197B9" w14:textId="77777777" w:rsidTr="00B5604E">
        <w:trPr>
          <w:jc w:val="center"/>
        </w:trPr>
        <w:tc>
          <w:tcPr>
            <w:tcW w:w="1250" w:type="pct"/>
            <w:shd w:val="clear" w:color="auto" w:fill="auto"/>
          </w:tcPr>
          <w:p w14:paraId="55E96779"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C17</w:t>
            </w:r>
          </w:p>
        </w:tc>
        <w:tc>
          <w:tcPr>
            <w:tcW w:w="1250" w:type="pct"/>
            <w:shd w:val="clear" w:color="auto" w:fill="auto"/>
          </w:tcPr>
          <w:p w14:paraId="76337C5F" w14:textId="77777777" w:rsidR="00B5604E" w:rsidRPr="00E67914" w:rsidRDefault="00B5604E" w:rsidP="00223052">
            <w:pPr>
              <w:jc w:val="center"/>
              <w:rPr>
                <w:rFonts w:ascii="Times New Roman" w:hAnsi="Times New Roman"/>
                <w:sz w:val="21"/>
                <w:szCs w:val="21"/>
              </w:rPr>
            </w:pPr>
            <w:r w:rsidRPr="00E67914">
              <w:rPr>
                <w:rFonts w:ascii="Times New Roman" w:hAnsi="Times New Roman"/>
                <w:sz w:val="21"/>
                <w:szCs w:val="21"/>
              </w:rPr>
              <w:t>4.386</w:t>
            </w:r>
          </w:p>
        </w:tc>
        <w:tc>
          <w:tcPr>
            <w:tcW w:w="1250" w:type="pct"/>
            <w:shd w:val="clear" w:color="auto" w:fill="auto"/>
          </w:tcPr>
          <w:p w14:paraId="30374C89" w14:textId="77777777" w:rsidR="00B5604E" w:rsidRPr="00E67914" w:rsidRDefault="00B5604E" w:rsidP="00223052">
            <w:pPr>
              <w:jc w:val="center"/>
              <w:rPr>
                <w:rFonts w:ascii="Times New Roman" w:hAnsi="Times New Roman"/>
                <w:sz w:val="21"/>
                <w:szCs w:val="21"/>
              </w:rPr>
            </w:pPr>
          </w:p>
        </w:tc>
        <w:tc>
          <w:tcPr>
            <w:tcW w:w="1250" w:type="pct"/>
            <w:shd w:val="clear" w:color="auto" w:fill="auto"/>
          </w:tcPr>
          <w:p w14:paraId="547FFFB5" w14:textId="77777777" w:rsidR="00B5604E" w:rsidRPr="00E67914" w:rsidRDefault="00B5604E" w:rsidP="00223052">
            <w:pPr>
              <w:jc w:val="center"/>
              <w:rPr>
                <w:rFonts w:ascii="Times New Roman" w:hAnsi="Times New Roman"/>
                <w:sz w:val="21"/>
                <w:szCs w:val="21"/>
              </w:rPr>
            </w:pPr>
          </w:p>
        </w:tc>
      </w:tr>
    </w:tbl>
    <w:p w14:paraId="573D7160" w14:textId="0C936066" w:rsidR="00B5604E" w:rsidRPr="00E67914" w:rsidRDefault="00B5604E" w:rsidP="00B5604E">
      <w:pPr>
        <w:widowControl w:val="0"/>
        <w:tabs>
          <w:tab w:val="left" w:pos="0"/>
        </w:tabs>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采出水质参考普陆页</w:t>
      </w:r>
      <w:r w:rsidRPr="00E67914">
        <w:rPr>
          <w:rFonts w:ascii="Times New Roman" w:hAnsi="Times New Roman"/>
          <w:sz w:val="24"/>
          <w:szCs w:val="24"/>
          <w:lang w:eastAsia="zh-CN"/>
        </w:rPr>
        <w:t>1</w:t>
      </w:r>
      <w:r w:rsidRPr="00E67914">
        <w:rPr>
          <w:rFonts w:ascii="Times New Roman" w:hAnsi="Times New Roman"/>
          <w:sz w:val="24"/>
          <w:szCs w:val="24"/>
          <w:lang w:eastAsia="zh-CN"/>
        </w:rPr>
        <w:t>井的采出水水质，采出水水质指标见下表：</w:t>
      </w:r>
    </w:p>
    <w:p w14:paraId="18FC62CA" w14:textId="0AD675C9" w:rsidR="00B5604E" w:rsidRPr="00E67914" w:rsidRDefault="00B5604E" w:rsidP="00B5604E">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3.2-7  </w:t>
      </w:r>
      <w:r w:rsidRPr="00E67914">
        <w:rPr>
          <w:rFonts w:ascii="Times New Roman" w:eastAsia="黑体" w:hAnsi="Times New Roman"/>
          <w:sz w:val="21"/>
          <w:szCs w:val="21"/>
          <w:lang w:eastAsia="zh-CN"/>
        </w:rPr>
        <w:t>采出水物性表</w:t>
      </w:r>
    </w:p>
    <w:tbl>
      <w:tblPr>
        <w:tblW w:w="8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
        <w:gridCol w:w="1988"/>
        <w:gridCol w:w="1418"/>
        <w:gridCol w:w="1559"/>
        <w:gridCol w:w="2632"/>
      </w:tblGrid>
      <w:tr w:rsidR="00E67914" w:rsidRPr="00E67914" w14:paraId="74B03FAF" w14:textId="77777777" w:rsidTr="00223052">
        <w:trPr>
          <w:trHeight w:hRule="exact" w:val="284"/>
          <w:jc w:val="center"/>
        </w:trPr>
        <w:tc>
          <w:tcPr>
            <w:tcW w:w="2493" w:type="dxa"/>
            <w:gridSpan w:val="2"/>
            <w:shd w:val="clear" w:color="auto" w:fill="auto"/>
            <w:noWrap/>
            <w:vAlign w:val="center"/>
          </w:tcPr>
          <w:p w14:paraId="2566A0CC"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物理分析</w:t>
            </w:r>
          </w:p>
        </w:tc>
        <w:tc>
          <w:tcPr>
            <w:tcW w:w="5609" w:type="dxa"/>
            <w:gridSpan w:val="3"/>
            <w:shd w:val="clear" w:color="auto" w:fill="auto"/>
            <w:noWrap/>
            <w:vAlign w:val="center"/>
          </w:tcPr>
          <w:p w14:paraId="6D337B89"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密度：</w:t>
            </w:r>
            <w:r w:rsidRPr="00E67914">
              <w:rPr>
                <w:rFonts w:ascii="Times New Roman" w:eastAsiaTheme="minorEastAsia" w:hAnsi="Times New Roman"/>
                <w:sz w:val="21"/>
                <w:szCs w:val="21"/>
              </w:rPr>
              <w:t>1.010g/cm</w:t>
            </w:r>
            <w:r w:rsidRPr="00E67914">
              <w:rPr>
                <w:rFonts w:ascii="Times New Roman" w:eastAsiaTheme="minorEastAsia" w:hAnsi="Times New Roman"/>
                <w:sz w:val="21"/>
                <w:szCs w:val="21"/>
                <w:vertAlign w:val="superscript"/>
              </w:rPr>
              <w:t>3</w:t>
            </w:r>
            <w:r w:rsidRPr="00E67914">
              <w:rPr>
                <w:rFonts w:ascii="Times New Roman" w:eastAsiaTheme="minorEastAsia" w:hAnsi="Times New Roman"/>
                <w:sz w:val="21"/>
                <w:szCs w:val="21"/>
              </w:rPr>
              <w:t>粘度：</w:t>
            </w:r>
            <w:r w:rsidRPr="00E67914">
              <w:rPr>
                <w:rFonts w:ascii="Times New Roman" w:eastAsiaTheme="minorEastAsia" w:hAnsi="Times New Roman"/>
                <w:sz w:val="21"/>
                <w:szCs w:val="21"/>
              </w:rPr>
              <w:t>4mPa</w:t>
            </w:r>
            <w:r w:rsidRPr="00E67914">
              <w:rPr>
                <w:rFonts w:ascii="Times New Roman" w:eastAsia="MS Mincho" w:hAnsi="Times New Roman"/>
                <w:sz w:val="21"/>
                <w:szCs w:val="21"/>
              </w:rPr>
              <w:t>∙</w:t>
            </w:r>
            <w:r w:rsidRPr="00E67914">
              <w:rPr>
                <w:rFonts w:ascii="Times New Roman" w:eastAsiaTheme="minorEastAsia" w:hAnsi="Times New Roman"/>
                <w:sz w:val="21"/>
                <w:szCs w:val="21"/>
              </w:rPr>
              <w:t>spH</w:t>
            </w:r>
            <w:r w:rsidRPr="00E67914">
              <w:rPr>
                <w:rFonts w:ascii="Times New Roman" w:eastAsiaTheme="minorEastAsia" w:hAnsi="Times New Roman"/>
                <w:sz w:val="21"/>
                <w:szCs w:val="21"/>
              </w:rPr>
              <w:t>值：</w:t>
            </w:r>
            <w:r w:rsidRPr="00E67914">
              <w:rPr>
                <w:rFonts w:ascii="Times New Roman" w:eastAsiaTheme="minorEastAsia" w:hAnsi="Times New Roman"/>
                <w:sz w:val="21"/>
                <w:szCs w:val="21"/>
              </w:rPr>
              <w:t>10.22</w:t>
            </w:r>
          </w:p>
          <w:p w14:paraId="6B173745"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含油：</w:t>
            </w:r>
            <w:r w:rsidRPr="00E67914">
              <w:rPr>
                <w:rFonts w:ascii="Times New Roman" w:eastAsiaTheme="minorEastAsia" w:hAnsi="Times New Roman"/>
                <w:sz w:val="21"/>
                <w:szCs w:val="21"/>
              </w:rPr>
              <w:t>16mg/L              CODCr=6360mg/L</w:t>
            </w:r>
          </w:p>
        </w:tc>
      </w:tr>
      <w:tr w:rsidR="00E67914" w:rsidRPr="00E67914" w14:paraId="37C521A9" w14:textId="77777777" w:rsidTr="00223052">
        <w:trPr>
          <w:trHeight w:hRule="exact" w:val="284"/>
          <w:jc w:val="center"/>
        </w:trPr>
        <w:tc>
          <w:tcPr>
            <w:tcW w:w="2493" w:type="dxa"/>
            <w:gridSpan w:val="2"/>
            <w:shd w:val="clear" w:color="auto" w:fill="auto"/>
            <w:noWrap/>
            <w:vAlign w:val="center"/>
          </w:tcPr>
          <w:p w14:paraId="288812E3"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化学分析</w:t>
            </w:r>
          </w:p>
        </w:tc>
        <w:tc>
          <w:tcPr>
            <w:tcW w:w="1418" w:type="dxa"/>
            <w:shd w:val="clear" w:color="auto" w:fill="auto"/>
            <w:noWrap/>
            <w:vAlign w:val="center"/>
          </w:tcPr>
          <w:p w14:paraId="0749611D"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mg/L</w:t>
            </w:r>
          </w:p>
        </w:tc>
        <w:tc>
          <w:tcPr>
            <w:tcW w:w="1559" w:type="dxa"/>
            <w:shd w:val="clear" w:color="auto" w:fill="auto"/>
            <w:noWrap/>
            <w:vAlign w:val="center"/>
          </w:tcPr>
          <w:p w14:paraId="251F566D"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mmol/L</w:t>
            </w:r>
          </w:p>
        </w:tc>
        <w:tc>
          <w:tcPr>
            <w:tcW w:w="2632" w:type="dxa"/>
            <w:shd w:val="clear" w:color="auto" w:fill="auto"/>
            <w:noWrap/>
            <w:vAlign w:val="center"/>
          </w:tcPr>
          <w:p w14:paraId="3E43529D"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mol%</w:t>
            </w:r>
          </w:p>
        </w:tc>
      </w:tr>
      <w:tr w:rsidR="00E67914" w:rsidRPr="00E67914" w14:paraId="3075523E" w14:textId="77777777" w:rsidTr="00223052">
        <w:trPr>
          <w:trHeight w:hRule="exact" w:val="284"/>
          <w:jc w:val="center"/>
        </w:trPr>
        <w:tc>
          <w:tcPr>
            <w:tcW w:w="505" w:type="dxa"/>
            <w:vMerge w:val="restart"/>
            <w:shd w:val="clear" w:color="auto" w:fill="auto"/>
            <w:vAlign w:val="center"/>
          </w:tcPr>
          <w:p w14:paraId="20A914F5"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阳</w:t>
            </w:r>
          </w:p>
          <w:p w14:paraId="1195B633"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离</w:t>
            </w:r>
          </w:p>
          <w:p w14:paraId="377B8909"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子</w:t>
            </w:r>
          </w:p>
        </w:tc>
        <w:tc>
          <w:tcPr>
            <w:tcW w:w="1988" w:type="dxa"/>
            <w:shd w:val="clear" w:color="000000" w:fill="FFFFFF"/>
            <w:vAlign w:val="center"/>
          </w:tcPr>
          <w:p w14:paraId="1944F530"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K</w:t>
            </w:r>
            <w:r w:rsidRPr="00E67914">
              <w:rPr>
                <w:rFonts w:ascii="Times New Roman" w:eastAsiaTheme="minorEastAsia" w:hAnsi="Times New Roman"/>
                <w:sz w:val="21"/>
                <w:szCs w:val="21"/>
                <w:vertAlign w:val="superscript"/>
              </w:rPr>
              <w:t>+</w:t>
            </w:r>
            <w:r w:rsidRPr="00E67914">
              <w:rPr>
                <w:rFonts w:ascii="Times New Roman" w:eastAsiaTheme="minorEastAsia" w:hAnsi="Times New Roman"/>
                <w:sz w:val="21"/>
                <w:szCs w:val="21"/>
              </w:rPr>
              <w:t>+Na</w:t>
            </w:r>
            <w:r w:rsidRPr="00E67914">
              <w:rPr>
                <w:rFonts w:ascii="Times New Roman" w:eastAsiaTheme="minorEastAsia" w:hAnsi="Times New Roman"/>
                <w:sz w:val="21"/>
                <w:szCs w:val="21"/>
                <w:vertAlign w:val="superscript"/>
              </w:rPr>
              <w:t>+</w:t>
            </w:r>
          </w:p>
        </w:tc>
        <w:tc>
          <w:tcPr>
            <w:tcW w:w="1418" w:type="dxa"/>
            <w:shd w:val="clear" w:color="auto" w:fill="auto"/>
            <w:noWrap/>
            <w:vAlign w:val="center"/>
          </w:tcPr>
          <w:p w14:paraId="057F00E4"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5437</w:t>
            </w:r>
          </w:p>
        </w:tc>
        <w:tc>
          <w:tcPr>
            <w:tcW w:w="1559" w:type="dxa"/>
            <w:shd w:val="clear" w:color="auto" w:fill="auto"/>
            <w:noWrap/>
            <w:vAlign w:val="center"/>
          </w:tcPr>
          <w:p w14:paraId="7451E51F"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236.48</w:t>
            </w:r>
          </w:p>
        </w:tc>
        <w:tc>
          <w:tcPr>
            <w:tcW w:w="2632" w:type="dxa"/>
            <w:shd w:val="clear" w:color="auto" w:fill="auto"/>
            <w:noWrap/>
            <w:vAlign w:val="center"/>
          </w:tcPr>
          <w:p w14:paraId="04CFBC3E"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77.07</w:t>
            </w:r>
          </w:p>
        </w:tc>
      </w:tr>
      <w:tr w:rsidR="00E67914" w:rsidRPr="00E67914" w14:paraId="0851D33D" w14:textId="77777777" w:rsidTr="00223052">
        <w:trPr>
          <w:trHeight w:hRule="exact" w:val="284"/>
          <w:jc w:val="center"/>
        </w:trPr>
        <w:tc>
          <w:tcPr>
            <w:tcW w:w="505" w:type="dxa"/>
            <w:vMerge/>
            <w:vAlign w:val="center"/>
          </w:tcPr>
          <w:p w14:paraId="1FE0E573" w14:textId="77777777" w:rsidR="00B5604E" w:rsidRPr="00E67914" w:rsidRDefault="00B5604E" w:rsidP="00223052">
            <w:pPr>
              <w:jc w:val="center"/>
              <w:rPr>
                <w:rFonts w:ascii="Times New Roman" w:eastAsiaTheme="minorEastAsia" w:hAnsi="Times New Roman"/>
                <w:sz w:val="21"/>
                <w:szCs w:val="21"/>
              </w:rPr>
            </w:pPr>
          </w:p>
        </w:tc>
        <w:tc>
          <w:tcPr>
            <w:tcW w:w="1988" w:type="dxa"/>
            <w:shd w:val="clear" w:color="000000" w:fill="FFFFFF"/>
            <w:vAlign w:val="center"/>
          </w:tcPr>
          <w:p w14:paraId="11CF26DA"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Ca</w:t>
            </w:r>
            <w:r w:rsidRPr="00E67914">
              <w:rPr>
                <w:rFonts w:ascii="Times New Roman" w:eastAsiaTheme="minorEastAsia" w:hAnsi="Times New Roman"/>
                <w:sz w:val="21"/>
                <w:szCs w:val="21"/>
                <w:vertAlign w:val="superscript"/>
              </w:rPr>
              <w:t>2+</w:t>
            </w:r>
          </w:p>
        </w:tc>
        <w:tc>
          <w:tcPr>
            <w:tcW w:w="1418" w:type="dxa"/>
            <w:shd w:val="clear" w:color="auto" w:fill="auto"/>
            <w:noWrap/>
            <w:vAlign w:val="center"/>
          </w:tcPr>
          <w:p w14:paraId="531223E7"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1365</w:t>
            </w:r>
          </w:p>
        </w:tc>
        <w:tc>
          <w:tcPr>
            <w:tcW w:w="1559" w:type="dxa"/>
            <w:shd w:val="clear" w:color="auto" w:fill="auto"/>
            <w:noWrap/>
            <w:vAlign w:val="center"/>
          </w:tcPr>
          <w:p w14:paraId="79F84349"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34.05</w:t>
            </w:r>
          </w:p>
        </w:tc>
        <w:tc>
          <w:tcPr>
            <w:tcW w:w="2632" w:type="dxa"/>
            <w:shd w:val="clear" w:color="auto" w:fill="auto"/>
            <w:noWrap/>
            <w:vAlign w:val="center"/>
          </w:tcPr>
          <w:p w14:paraId="443A36B7"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11.10</w:t>
            </w:r>
          </w:p>
        </w:tc>
      </w:tr>
      <w:tr w:rsidR="00E67914" w:rsidRPr="00E67914" w14:paraId="5D73D109" w14:textId="77777777" w:rsidTr="00223052">
        <w:trPr>
          <w:trHeight w:hRule="exact" w:val="284"/>
          <w:jc w:val="center"/>
        </w:trPr>
        <w:tc>
          <w:tcPr>
            <w:tcW w:w="505" w:type="dxa"/>
            <w:vMerge/>
            <w:vAlign w:val="center"/>
          </w:tcPr>
          <w:p w14:paraId="46218CF2" w14:textId="77777777" w:rsidR="00B5604E" w:rsidRPr="00E67914" w:rsidRDefault="00B5604E" w:rsidP="00223052">
            <w:pPr>
              <w:jc w:val="center"/>
              <w:rPr>
                <w:rFonts w:ascii="Times New Roman" w:eastAsiaTheme="minorEastAsia" w:hAnsi="Times New Roman"/>
                <w:sz w:val="21"/>
                <w:szCs w:val="21"/>
              </w:rPr>
            </w:pPr>
          </w:p>
        </w:tc>
        <w:tc>
          <w:tcPr>
            <w:tcW w:w="1988" w:type="dxa"/>
            <w:shd w:val="clear" w:color="000000" w:fill="FFFFFF"/>
            <w:vAlign w:val="center"/>
          </w:tcPr>
          <w:p w14:paraId="10290C30"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Mg</w:t>
            </w:r>
            <w:r w:rsidRPr="00E67914">
              <w:rPr>
                <w:rFonts w:ascii="Times New Roman" w:eastAsiaTheme="minorEastAsia" w:hAnsi="Times New Roman"/>
                <w:sz w:val="21"/>
                <w:szCs w:val="21"/>
                <w:vertAlign w:val="superscript"/>
              </w:rPr>
              <w:t>2+</w:t>
            </w:r>
          </w:p>
        </w:tc>
        <w:tc>
          <w:tcPr>
            <w:tcW w:w="1418" w:type="dxa"/>
            <w:shd w:val="clear" w:color="auto" w:fill="auto"/>
            <w:noWrap/>
            <w:vAlign w:val="center"/>
          </w:tcPr>
          <w:p w14:paraId="11C552F9"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883</w:t>
            </w:r>
          </w:p>
        </w:tc>
        <w:tc>
          <w:tcPr>
            <w:tcW w:w="1559" w:type="dxa"/>
            <w:shd w:val="clear" w:color="auto" w:fill="auto"/>
            <w:noWrap/>
            <w:vAlign w:val="center"/>
          </w:tcPr>
          <w:p w14:paraId="5A0CE383"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36.32</w:t>
            </w:r>
          </w:p>
        </w:tc>
        <w:tc>
          <w:tcPr>
            <w:tcW w:w="2632" w:type="dxa"/>
            <w:shd w:val="clear" w:color="auto" w:fill="auto"/>
            <w:noWrap/>
            <w:vAlign w:val="center"/>
          </w:tcPr>
          <w:p w14:paraId="3B80F640"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11.84</w:t>
            </w:r>
          </w:p>
        </w:tc>
      </w:tr>
      <w:tr w:rsidR="00E67914" w:rsidRPr="00E67914" w14:paraId="4F737582" w14:textId="77777777" w:rsidTr="00223052">
        <w:trPr>
          <w:trHeight w:hRule="exact" w:val="284"/>
          <w:jc w:val="center"/>
        </w:trPr>
        <w:tc>
          <w:tcPr>
            <w:tcW w:w="505" w:type="dxa"/>
            <w:vMerge/>
            <w:vAlign w:val="center"/>
          </w:tcPr>
          <w:p w14:paraId="3F2733AA" w14:textId="77777777" w:rsidR="00B5604E" w:rsidRPr="00E67914" w:rsidRDefault="00B5604E" w:rsidP="00223052">
            <w:pPr>
              <w:jc w:val="center"/>
              <w:rPr>
                <w:rFonts w:ascii="Times New Roman" w:eastAsiaTheme="minorEastAsia" w:hAnsi="Times New Roman"/>
                <w:sz w:val="21"/>
                <w:szCs w:val="21"/>
              </w:rPr>
            </w:pPr>
          </w:p>
        </w:tc>
        <w:tc>
          <w:tcPr>
            <w:tcW w:w="1988" w:type="dxa"/>
            <w:shd w:val="clear" w:color="000000" w:fill="FFFFFF"/>
            <w:vAlign w:val="center"/>
          </w:tcPr>
          <w:p w14:paraId="5DF5E217"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总</w:t>
            </w:r>
            <w:r w:rsidRPr="00E67914">
              <w:rPr>
                <w:rFonts w:ascii="Times New Roman" w:eastAsiaTheme="minorEastAsia" w:hAnsi="Times New Roman"/>
                <w:sz w:val="21"/>
                <w:szCs w:val="21"/>
              </w:rPr>
              <w:t xml:space="preserve"> </w:t>
            </w:r>
            <w:r w:rsidRPr="00E67914">
              <w:rPr>
                <w:rFonts w:ascii="Times New Roman" w:eastAsiaTheme="minorEastAsia" w:hAnsi="Times New Roman"/>
                <w:sz w:val="21"/>
                <w:szCs w:val="21"/>
              </w:rPr>
              <w:t>计</w:t>
            </w:r>
          </w:p>
        </w:tc>
        <w:tc>
          <w:tcPr>
            <w:tcW w:w="1418" w:type="dxa"/>
            <w:shd w:val="clear" w:color="auto" w:fill="auto"/>
            <w:noWrap/>
            <w:vAlign w:val="center"/>
          </w:tcPr>
          <w:p w14:paraId="3CEF6452"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7685</w:t>
            </w:r>
          </w:p>
        </w:tc>
        <w:tc>
          <w:tcPr>
            <w:tcW w:w="1559" w:type="dxa"/>
            <w:shd w:val="clear" w:color="auto" w:fill="auto"/>
            <w:noWrap/>
            <w:vAlign w:val="center"/>
          </w:tcPr>
          <w:p w14:paraId="46E88112"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306.85</w:t>
            </w:r>
          </w:p>
        </w:tc>
        <w:tc>
          <w:tcPr>
            <w:tcW w:w="2632" w:type="dxa"/>
            <w:shd w:val="clear" w:color="auto" w:fill="auto"/>
            <w:noWrap/>
            <w:vAlign w:val="center"/>
          </w:tcPr>
          <w:p w14:paraId="60AC5CDD"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100.00</w:t>
            </w:r>
          </w:p>
        </w:tc>
      </w:tr>
      <w:tr w:rsidR="00E67914" w:rsidRPr="00E67914" w14:paraId="0725899B" w14:textId="77777777" w:rsidTr="00223052">
        <w:trPr>
          <w:trHeight w:hRule="exact" w:val="284"/>
          <w:jc w:val="center"/>
        </w:trPr>
        <w:tc>
          <w:tcPr>
            <w:tcW w:w="505" w:type="dxa"/>
            <w:vMerge w:val="restart"/>
            <w:shd w:val="clear" w:color="auto" w:fill="auto"/>
            <w:vAlign w:val="center"/>
          </w:tcPr>
          <w:p w14:paraId="1B6FD34C" w14:textId="77777777" w:rsidR="00B5604E" w:rsidRPr="00E67914" w:rsidRDefault="00B5604E" w:rsidP="00223052">
            <w:pPr>
              <w:jc w:val="center"/>
              <w:rPr>
                <w:rFonts w:ascii="Times New Roman" w:hAnsi="Times New Roman"/>
                <w:sz w:val="21"/>
                <w:szCs w:val="21"/>
              </w:rPr>
            </w:pPr>
            <w:r w:rsidRPr="00E67914">
              <w:rPr>
                <w:rFonts w:ascii="Times New Roman" w:eastAsiaTheme="minorEastAsia" w:hAnsi="Times New Roman"/>
                <w:sz w:val="21"/>
                <w:szCs w:val="21"/>
              </w:rPr>
              <w:t>阴</w:t>
            </w:r>
          </w:p>
          <w:p w14:paraId="2C09C0A2" w14:textId="77777777" w:rsidR="00B5604E" w:rsidRPr="00E67914" w:rsidRDefault="00B5604E" w:rsidP="00223052">
            <w:pPr>
              <w:jc w:val="center"/>
              <w:rPr>
                <w:rFonts w:ascii="Times New Roman" w:hAnsi="Times New Roman"/>
                <w:sz w:val="21"/>
                <w:szCs w:val="21"/>
              </w:rPr>
            </w:pPr>
            <w:r w:rsidRPr="00E67914">
              <w:rPr>
                <w:rFonts w:ascii="Times New Roman" w:eastAsiaTheme="minorEastAsia" w:hAnsi="Times New Roman"/>
                <w:sz w:val="21"/>
                <w:szCs w:val="21"/>
              </w:rPr>
              <w:t>离</w:t>
            </w:r>
          </w:p>
          <w:p w14:paraId="0D2FDF45"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子</w:t>
            </w:r>
          </w:p>
        </w:tc>
        <w:tc>
          <w:tcPr>
            <w:tcW w:w="1988" w:type="dxa"/>
            <w:shd w:val="clear" w:color="000000" w:fill="FFFFFF"/>
            <w:vAlign w:val="center"/>
          </w:tcPr>
          <w:p w14:paraId="00951A6F"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Cl</w:t>
            </w:r>
            <w:r w:rsidRPr="00E67914">
              <w:rPr>
                <w:rFonts w:ascii="Times New Roman" w:eastAsiaTheme="minorEastAsia" w:hAnsi="Times New Roman"/>
                <w:sz w:val="21"/>
                <w:szCs w:val="21"/>
                <w:vertAlign w:val="superscript"/>
              </w:rPr>
              <w:t>-</w:t>
            </w:r>
          </w:p>
        </w:tc>
        <w:tc>
          <w:tcPr>
            <w:tcW w:w="1418" w:type="dxa"/>
            <w:shd w:val="clear" w:color="auto" w:fill="auto"/>
            <w:noWrap/>
            <w:vAlign w:val="center"/>
          </w:tcPr>
          <w:p w14:paraId="7323C8EC"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11018</w:t>
            </w:r>
          </w:p>
        </w:tc>
        <w:tc>
          <w:tcPr>
            <w:tcW w:w="1559" w:type="dxa"/>
            <w:shd w:val="clear" w:color="auto" w:fill="auto"/>
            <w:noWrap/>
            <w:vAlign w:val="center"/>
          </w:tcPr>
          <w:p w14:paraId="3EDFF335"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310.81</w:t>
            </w:r>
          </w:p>
        </w:tc>
        <w:tc>
          <w:tcPr>
            <w:tcW w:w="2632" w:type="dxa"/>
            <w:shd w:val="clear" w:color="auto" w:fill="auto"/>
            <w:noWrap/>
            <w:vAlign w:val="center"/>
          </w:tcPr>
          <w:p w14:paraId="308205CE"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90.05</w:t>
            </w:r>
          </w:p>
        </w:tc>
      </w:tr>
      <w:tr w:rsidR="00E67914" w:rsidRPr="00E67914" w14:paraId="462649FC" w14:textId="77777777" w:rsidTr="00223052">
        <w:trPr>
          <w:trHeight w:hRule="exact" w:val="284"/>
          <w:jc w:val="center"/>
        </w:trPr>
        <w:tc>
          <w:tcPr>
            <w:tcW w:w="505" w:type="dxa"/>
            <w:vMerge/>
            <w:vAlign w:val="center"/>
          </w:tcPr>
          <w:p w14:paraId="461CA3A6" w14:textId="77777777" w:rsidR="00B5604E" w:rsidRPr="00E67914" w:rsidRDefault="00B5604E" w:rsidP="00223052">
            <w:pPr>
              <w:jc w:val="center"/>
              <w:rPr>
                <w:rFonts w:ascii="Times New Roman" w:eastAsiaTheme="minorEastAsia" w:hAnsi="Times New Roman"/>
                <w:sz w:val="21"/>
                <w:szCs w:val="21"/>
              </w:rPr>
            </w:pPr>
          </w:p>
        </w:tc>
        <w:tc>
          <w:tcPr>
            <w:tcW w:w="1988" w:type="dxa"/>
            <w:shd w:val="clear" w:color="000000" w:fill="FFFFFF"/>
            <w:vAlign w:val="center"/>
          </w:tcPr>
          <w:p w14:paraId="53BEF4D0"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SO</w:t>
            </w:r>
            <w:r w:rsidRPr="00E67914">
              <w:rPr>
                <w:rFonts w:ascii="Times New Roman" w:eastAsiaTheme="minorEastAsia" w:hAnsi="Times New Roman"/>
                <w:sz w:val="21"/>
                <w:szCs w:val="21"/>
                <w:eastAsianLayout w:id="114" w:combine="1"/>
              </w:rPr>
              <w:t>2- 4</w:t>
            </w:r>
          </w:p>
        </w:tc>
        <w:tc>
          <w:tcPr>
            <w:tcW w:w="1418" w:type="dxa"/>
            <w:shd w:val="clear" w:color="auto" w:fill="auto"/>
            <w:noWrap/>
            <w:vAlign w:val="center"/>
          </w:tcPr>
          <w:p w14:paraId="5FC2C3C6"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2568</w:t>
            </w:r>
          </w:p>
        </w:tc>
        <w:tc>
          <w:tcPr>
            <w:tcW w:w="1559" w:type="dxa"/>
            <w:shd w:val="clear" w:color="auto" w:fill="auto"/>
            <w:noWrap/>
            <w:vAlign w:val="center"/>
          </w:tcPr>
          <w:p w14:paraId="4DDD7891"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26.73</w:t>
            </w:r>
          </w:p>
        </w:tc>
        <w:tc>
          <w:tcPr>
            <w:tcW w:w="2632" w:type="dxa"/>
            <w:shd w:val="clear" w:color="auto" w:fill="auto"/>
            <w:noWrap/>
            <w:vAlign w:val="center"/>
          </w:tcPr>
          <w:p w14:paraId="44673342"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7.74</w:t>
            </w:r>
          </w:p>
        </w:tc>
      </w:tr>
      <w:tr w:rsidR="00E67914" w:rsidRPr="00E67914" w14:paraId="16A67252" w14:textId="77777777" w:rsidTr="00223052">
        <w:trPr>
          <w:trHeight w:hRule="exact" w:val="284"/>
          <w:jc w:val="center"/>
        </w:trPr>
        <w:tc>
          <w:tcPr>
            <w:tcW w:w="505" w:type="dxa"/>
            <w:vMerge/>
            <w:vAlign w:val="center"/>
          </w:tcPr>
          <w:p w14:paraId="45F12EAD" w14:textId="77777777" w:rsidR="00B5604E" w:rsidRPr="00E67914" w:rsidRDefault="00B5604E" w:rsidP="00223052">
            <w:pPr>
              <w:jc w:val="center"/>
              <w:rPr>
                <w:rFonts w:ascii="Times New Roman" w:eastAsiaTheme="minorEastAsia" w:hAnsi="Times New Roman"/>
                <w:sz w:val="21"/>
                <w:szCs w:val="21"/>
              </w:rPr>
            </w:pPr>
          </w:p>
        </w:tc>
        <w:tc>
          <w:tcPr>
            <w:tcW w:w="1988" w:type="dxa"/>
            <w:shd w:val="clear" w:color="000000" w:fill="FFFFFF"/>
            <w:vAlign w:val="center"/>
          </w:tcPr>
          <w:p w14:paraId="50986C6D"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HCO</w:t>
            </w:r>
            <w:r w:rsidRPr="00E67914">
              <w:rPr>
                <w:rFonts w:ascii="Times New Roman" w:eastAsiaTheme="minorEastAsia" w:hAnsi="Times New Roman"/>
                <w:sz w:val="21"/>
                <w:szCs w:val="21"/>
                <w:eastAsianLayout w:id="115" w:combine="1"/>
              </w:rPr>
              <w:t>- 3</w:t>
            </w:r>
          </w:p>
        </w:tc>
        <w:tc>
          <w:tcPr>
            <w:tcW w:w="1418" w:type="dxa"/>
            <w:shd w:val="clear" w:color="auto" w:fill="auto"/>
            <w:noWrap/>
            <w:vAlign w:val="center"/>
          </w:tcPr>
          <w:p w14:paraId="028479AD"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139</w:t>
            </w:r>
          </w:p>
        </w:tc>
        <w:tc>
          <w:tcPr>
            <w:tcW w:w="1559" w:type="dxa"/>
            <w:shd w:val="clear" w:color="auto" w:fill="auto"/>
            <w:noWrap/>
            <w:vAlign w:val="center"/>
          </w:tcPr>
          <w:p w14:paraId="2F3CA0CA"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2.27</w:t>
            </w:r>
          </w:p>
        </w:tc>
        <w:tc>
          <w:tcPr>
            <w:tcW w:w="2632" w:type="dxa"/>
            <w:shd w:val="clear" w:color="auto" w:fill="auto"/>
            <w:noWrap/>
            <w:vAlign w:val="center"/>
          </w:tcPr>
          <w:p w14:paraId="43F12F0A"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0.66</w:t>
            </w:r>
          </w:p>
        </w:tc>
      </w:tr>
      <w:tr w:rsidR="00E67914" w:rsidRPr="00E67914" w14:paraId="61657C1C" w14:textId="77777777" w:rsidTr="00223052">
        <w:trPr>
          <w:trHeight w:hRule="exact" w:val="284"/>
          <w:jc w:val="center"/>
        </w:trPr>
        <w:tc>
          <w:tcPr>
            <w:tcW w:w="505" w:type="dxa"/>
            <w:vMerge/>
            <w:vAlign w:val="center"/>
          </w:tcPr>
          <w:p w14:paraId="0A7C658C" w14:textId="77777777" w:rsidR="00B5604E" w:rsidRPr="00E67914" w:rsidRDefault="00B5604E" w:rsidP="00223052">
            <w:pPr>
              <w:jc w:val="center"/>
              <w:rPr>
                <w:rFonts w:ascii="Times New Roman" w:eastAsiaTheme="minorEastAsia" w:hAnsi="Times New Roman"/>
                <w:sz w:val="21"/>
                <w:szCs w:val="21"/>
              </w:rPr>
            </w:pPr>
          </w:p>
        </w:tc>
        <w:tc>
          <w:tcPr>
            <w:tcW w:w="1988" w:type="dxa"/>
            <w:shd w:val="clear" w:color="000000" w:fill="FFFFFF"/>
            <w:vAlign w:val="center"/>
          </w:tcPr>
          <w:p w14:paraId="61505059"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CO</w:t>
            </w:r>
            <w:r w:rsidRPr="00E67914">
              <w:rPr>
                <w:rFonts w:ascii="Times New Roman" w:eastAsiaTheme="minorEastAsia" w:hAnsi="Times New Roman"/>
                <w:sz w:val="21"/>
                <w:szCs w:val="21"/>
                <w:eastAsianLayout w:id="116" w:combine="1"/>
              </w:rPr>
              <w:t>2- 3</w:t>
            </w:r>
          </w:p>
        </w:tc>
        <w:tc>
          <w:tcPr>
            <w:tcW w:w="1418" w:type="dxa"/>
            <w:shd w:val="clear" w:color="auto" w:fill="auto"/>
            <w:noWrap/>
            <w:vAlign w:val="center"/>
          </w:tcPr>
          <w:p w14:paraId="612751C7"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320</w:t>
            </w:r>
          </w:p>
        </w:tc>
        <w:tc>
          <w:tcPr>
            <w:tcW w:w="1559" w:type="dxa"/>
            <w:shd w:val="clear" w:color="auto" w:fill="auto"/>
            <w:noWrap/>
            <w:vAlign w:val="center"/>
          </w:tcPr>
          <w:p w14:paraId="3C792B44"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5.34</w:t>
            </w:r>
          </w:p>
        </w:tc>
        <w:tc>
          <w:tcPr>
            <w:tcW w:w="2632" w:type="dxa"/>
            <w:shd w:val="clear" w:color="auto" w:fill="auto"/>
            <w:noWrap/>
            <w:vAlign w:val="center"/>
          </w:tcPr>
          <w:p w14:paraId="0F7D9FBB"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1.55</w:t>
            </w:r>
          </w:p>
        </w:tc>
      </w:tr>
      <w:tr w:rsidR="00E67914" w:rsidRPr="00E67914" w14:paraId="060E5DD5" w14:textId="77777777" w:rsidTr="00223052">
        <w:trPr>
          <w:trHeight w:hRule="exact" w:val="284"/>
          <w:jc w:val="center"/>
        </w:trPr>
        <w:tc>
          <w:tcPr>
            <w:tcW w:w="505" w:type="dxa"/>
            <w:vMerge/>
            <w:vAlign w:val="center"/>
          </w:tcPr>
          <w:p w14:paraId="0D571A56" w14:textId="77777777" w:rsidR="00B5604E" w:rsidRPr="00E67914" w:rsidRDefault="00B5604E" w:rsidP="00223052">
            <w:pPr>
              <w:jc w:val="center"/>
              <w:rPr>
                <w:rFonts w:ascii="Times New Roman" w:eastAsiaTheme="minorEastAsia" w:hAnsi="Times New Roman"/>
                <w:sz w:val="21"/>
                <w:szCs w:val="21"/>
              </w:rPr>
            </w:pPr>
          </w:p>
        </w:tc>
        <w:tc>
          <w:tcPr>
            <w:tcW w:w="1988" w:type="dxa"/>
            <w:shd w:val="clear" w:color="000000" w:fill="FFFFFF"/>
            <w:vAlign w:val="center"/>
          </w:tcPr>
          <w:p w14:paraId="619A18C0"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OH</w:t>
            </w:r>
            <w:r w:rsidRPr="00E67914">
              <w:rPr>
                <w:rFonts w:ascii="Times New Roman" w:eastAsiaTheme="minorEastAsia" w:hAnsi="Times New Roman"/>
                <w:sz w:val="21"/>
                <w:szCs w:val="21"/>
                <w:vertAlign w:val="superscript"/>
              </w:rPr>
              <w:t>-</w:t>
            </w:r>
          </w:p>
        </w:tc>
        <w:tc>
          <w:tcPr>
            <w:tcW w:w="1418" w:type="dxa"/>
            <w:shd w:val="clear" w:color="auto" w:fill="auto"/>
            <w:noWrap/>
            <w:vAlign w:val="center"/>
          </w:tcPr>
          <w:p w14:paraId="6FB470D6"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0</w:t>
            </w:r>
          </w:p>
        </w:tc>
        <w:tc>
          <w:tcPr>
            <w:tcW w:w="1559" w:type="dxa"/>
            <w:shd w:val="clear" w:color="auto" w:fill="auto"/>
            <w:noWrap/>
            <w:vAlign w:val="center"/>
          </w:tcPr>
          <w:p w14:paraId="7859C1F1"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0.00</w:t>
            </w:r>
          </w:p>
        </w:tc>
        <w:tc>
          <w:tcPr>
            <w:tcW w:w="2632" w:type="dxa"/>
            <w:shd w:val="clear" w:color="auto" w:fill="auto"/>
            <w:noWrap/>
            <w:vAlign w:val="center"/>
          </w:tcPr>
          <w:p w14:paraId="267232AA"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0.00</w:t>
            </w:r>
          </w:p>
        </w:tc>
      </w:tr>
      <w:tr w:rsidR="00E67914" w:rsidRPr="00E67914" w14:paraId="5EB4B65D" w14:textId="77777777" w:rsidTr="00223052">
        <w:trPr>
          <w:trHeight w:hRule="exact" w:val="284"/>
          <w:jc w:val="center"/>
        </w:trPr>
        <w:tc>
          <w:tcPr>
            <w:tcW w:w="505" w:type="dxa"/>
            <w:vMerge/>
            <w:vAlign w:val="center"/>
          </w:tcPr>
          <w:p w14:paraId="70325F16" w14:textId="77777777" w:rsidR="00B5604E" w:rsidRPr="00E67914" w:rsidRDefault="00B5604E" w:rsidP="00223052">
            <w:pPr>
              <w:jc w:val="center"/>
              <w:rPr>
                <w:rFonts w:ascii="Times New Roman" w:eastAsiaTheme="minorEastAsia" w:hAnsi="Times New Roman"/>
                <w:sz w:val="21"/>
                <w:szCs w:val="21"/>
              </w:rPr>
            </w:pPr>
          </w:p>
        </w:tc>
        <w:tc>
          <w:tcPr>
            <w:tcW w:w="1988" w:type="dxa"/>
            <w:shd w:val="clear" w:color="000000" w:fill="FFFFFF"/>
            <w:vAlign w:val="center"/>
          </w:tcPr>
          <w:p w14:paraId="5776BD5C"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总计</w:t>
            </w:r>
          </w:p>
        </w:tc>
        <w:tc>
          <w:tcPr>
            <w:tcW w:w="1418" w:type="dxa"/>
            <w:shd w:val="clear" w:color="auto" w:fill="auto"/>
            <w:noWrap/>
            <w:vAlign w:val="center"/>
          </w:tcPr>
          <w:p w14:paraId="014B61B2"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14045</w:t>
            </w:r>
          </w:p>
        </w:tc>
        <w:tc>
          <w:tcPr>
            <w:tcW w:w="1559" w:type="dxa"/>
            <w:shd w:val="clear" w:color="auto" w:fill="auto"/>
            <w:noWrap/>
            <w:vAlign w:val="center"/>
          </w:tcPr>
          <w:p w14:paraId="43EF9306"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345.15</w:t>
            </w:r>
          </w:p>
        </w:tc>
        <w:tc>
          <w:tcPr>
            <w:tcW w:w="2632" w:type="dxa"/>
            <w:shd w:val="clear" w:color="auto" w:fill="auto"/>
            <w:noWrap/>
            <w:vAlign w:val="center"/>
          </w:tcPr>
          <w:p w14:paraId="58E83135"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100.00</w:t>
            </w:r>
          </w:p>
        </w:tc>
      </w:tr>
      <w:tr w:rsidR="00E67914" w:rsidRPr="00E67914" w14:paraId="76BD85FC" w14:textId="77777777" w:rsidTr="00223052">
        <w:trPr>
          <w:trHeight w:hRule="exact" w:val="284"/>
          <w:jc w:val="center"/>
        </w:trPr>
        <w:tc>
          <w:tcPr>
            <w:tcW w:w="2493" w:type="dxa"/>
            <w:gridSpan w:val="2"/>
            <w:shd w:val="clear" w:color="auto" w:fill="auto"/>
            <w:vAlign w:val="center"/>
          </w:tcPr>
          <w:p w14:paraId="55C4EE24"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总矿化度</w:t>
            </w:r>
            <w:r w:rsidRPr="00E67914">
              <w:rPr>
                <w:rFonts w:ascii="Times New Roman" w:eastAsiaTheme="minorEastAsia" w:hAnsi="Times New Roman"/>
                <w:sz w:val="21"/>
                <w:szCs w:val="21"/>
              </w:rPr>
              <w:t>(mg/L)</w:t>
            </w:r>
          </w:p>
        </w:tc>
        <w:tc>
          <w:tcPr>
            <w:tcW w:w="5609" w:type="dxa"/>
            <w:gridSpan w:val="3"/>
            <w:shd w:val="clear" w:color="auto" w:fill="auto"/>
            <w:noWrap/>
            <w:vAlign w:val="center"/>
          </w:tcPr>
          <w:p w14:paraId="7EF0CB8B"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21730</w:t>
            </w:r>
          </w:p>
        </w:tc>
      </w:tr>
      <w:tr w:rsidR="00E67914" w:rsidRPr="00E67914" w14:paraId="084380DD" w14:textId="77777777" w:rsidTr="00223052">
        <w:trPr>
          <w:trHeight w:hRule="exact" w:val="284"/>
          <w:jc w:val="center"/>
        </w:trPr>
        <w:tc>
          <w:tcPr>
            <w:tcW w:w="2493" w:type="dxa"/>
            <w:gridSpan w:val="2"/>
            <w:shd w:val="clear" w:color="auto" w:fill="auto"/>
            <w:noWrap/>
            <w:vAlign w:val="center"/>
          </w:tcPr>
          <w:p w14:paraId="5FCA035D"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硫化物</w:t>
            </w:r>
            <w:r w:rsidRPr="00E67914">
              <w:rPr>
                <w:rFonts w:ascii="Times New Roman" w:eastAsiaTheme="minorEastAsia" w:hAnsi="Times New Roman"/>
                <w:sz w:val="21"/>
                <w:szCs w:val="21"/>
              </w:rPr>
              <w:t>(mg/L)</w:t>
            </w:r>
          </w:p>
        </w:tc>
        <w:tc>
          <w:tcPr>
            <w:tcW w:w="5609" w:type="dxa"/>
            <w:gridSpan w:val="3"/>
            <w:shd w:val="clear" w:color="auto" w:fill="auto"/>
            <w:noWrap/>
            <w:vAlign w:val="center"/>
          </w:tcPr>
          <w:p w14:paraId="63EFF980"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0.0</w:t>
            </w:r>
          </w:p>
        </w:tc>
      </w:tr>
      <w:tr w:rsidR="00E67914" w:rsidRPr="00E67914" w14:paraId="37225FD5" w14:textId="77777777" w:rsidTr="00223052">
        <w:trPr>
          <w:trHeight w:hRule="exact" w:val="284"/>
          <w:jc w:val="center"/>
        </w:trPr>
        <w:tc>
          <w:tcPr>
            <w:tcW w:w="2493" w:type="dxa"/>
            <w:gridSpan w:val="2"/>
            <w:shd w:val="clear" w:color="auto" w:fill="auto"/>
            <w:noWrap/>
            <w:vAlign w:val="center"/>
          </w:tcPr>
          <w:p w14:paraId="20B35E34"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成</w:t>
            </w:r>
            <w:r w:rsidRPr="00E67914">
              <w:rPr>
                <w:rFonts w:ascii="Times New Roman" w:eastAsiaTheme="minorEastAsia" w:hAnsi="Times New Roman"/>
                <w:sz w:val="21"/>
                <w:szCs w:val="21"/>
              </w:rPr>
              <w:t xml:space="preserve"> </w:t>
            </w:r>
            <w:r w:rsidRPr="00E67914">
              <w:rPr>
                <w:rFonts w:ascii="Times New Roman" w:eastAsiaTheme="minorEastAsia" w:hAnsi="Times New Roman"/>
                <w:sz w:val="21"/>
                <w:szCs w:val="21"/>
              </w:rPr>
              <w:t>因</w:t>
            </w:r>
            <w:r w:rsidRPr="00E67914">
              <w:rPr>
                <w:rFonts w:ascii="Times New Roman" w:eastAsiaTheme="minorEastAsia" w:hAnsi="Times New Roman"/>
                <w:sz w:val="21"/>
                <w:szCs w:val="21"/>
              </w:rPr>
              <w:t xml:space="preserve"> </w:t>
            </w:r>
            <w:r w:rsidRPr="00E67914">
              <w:rPr>
                <w:rFonts w:ascii="Times New Roman" w:eastAsiaTheme="minorEastAsia" w:hAnsi="Times New Roman"/>
                <w:sz w:val="21"/>
                <w:szCs w:val="21"/>
              </w:rPr>
              <w:t>系</w:t>
            </w:r>
            <w:r w:rsidRPr="00E67914">
              <w:rPr>
                <w:rFonts w:ascii="Times New Roman" w:eastAsiaTheme="minorEastAsia" w:hAnsi="Times New Roman"/>
                <w:sz w:val="21"/>
                <w:szCs w:val="21"/>
              </w:rPr>
              <w:t xml:space="preserve"> </w:t>
            </w:r>
            <w:r w:rsidRPr="00E67914">
              <w:rPr>
                <w:rFonts w:ascii="Times New Roman" w:eastAsiaTheme="minorEastAsia" w:hAnsi="Times New Roman"/>
                <w:sz w:val="21"/>
                <w:szCs w:val="21"/>
              </w:rPr>
              <w:t>数</w:t>
            </w:r>
          </w:p>
        </w:tc>
        <w:tc>
          <w:tcPr>
            <w:tcW w:w="5609" w:type="dxa"/>
            <w:gridSpan w:val="3"/>
            <w:shd w:val="clear" w:color="auto" w:fill="auto"/>
            <w:noWrap/>
            <w:vAlign w:val="center"/>
          </w:tcPr>
          <w:p w14:paraId="1C31A20C"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 Cl</w:t>
            </w:r>
            <w:r w:rsidRPr="00E67914">
              <w:rPr>
                <w:rFonts w:ascii="Times New Roman" w:eastAsiaTheme="minorEastAsia" w:hAnsi="Times New Roman"/>
                <w:sz w:val="21"/>
                <w:szCs w:val="21"/>
                <w:vertAlign w:val="superscript"/>
              </w:rPr>
              <w:t>-</w:t>
            </w:r>
            <w:r w:rsidRPr="00E67914">
              <w:rPr>
                <w:rFonts w:ascii="Times New Roman" w:eastAsiaTheme="minorEastAsia" w:hAnsi="Times New Roman"/>
                <w:sz w:val="21"/>
                <w:szCs w:val="21"/>
              </w:rPr>
              <w:t>-Na</w:t>
            </w:r>
            <w:r w:rsidRPr="00E67914">
              <w:rPr>
                <w:rFonts w:ascii="Times New Roman" w:eastAsiaTheme="minorEastAsia" w:hAnsi="Times New Roman"/>
                <w:sz w:val="21"/>
                <w:szCs w:val="21"/>
                <w:vertAlign w:val="superscript"/>
              </w:rPr>
              <w:t>+</w:t>
            </w:r>
            <w:r w:rsidRPr="00E67914">
              <w:rPr>
                <w:rFonts w:ascii="Times New Roman" w:eastAsiaTheme="minorEastAsia" w:hAnsi="Times New Roman"/>
                <w:sz w:val="21"/>
                <w:szCs w:val="21"/>
              </w:rPr>
              <w:t>)/2Mg</w:t>
            </w:r>
            <w:r w:rsidRPr="00E67914">
              <w:rPr>
                <w:rFonts w:ascii="Times New Roman" w:eastAsiaTheme="minorEastAsia" w:hAnsi="Times New Roman"/>
                <w:sz w:val="21"/>
                <w:szCs w:val="21"/>
                <w:vertAlign w:val="superscript"/>
              </w:rPr>
              <w:t>2+</w:t>
            </w:r>
            <w:r w:rsidRPr="00E67914">
              <w:rPr>
                <w:rFonts w:ascii="Times New Roman" w:eastAsiaTheme="minorEastAsia" w:hAnsi="Times New Roman"/>
                <w:sz w:val="21"/>
                <w:szCs w:val="21"/>
              </w:rPr>
              <w:t>=1.02</w:t>
            </w:r>
          </w:p>
        </w:tc>
      </w:tr>
      <w:tr w:rsidR="00E67914" w:rsidRPr="00E67914" w14:paraId="5B433D00" w14:textId="77777777" w:rsidTr="00223052">
        <w:trPr>
          <w:trHeight w:hRule="exact" w:val="284"/>
          <w:jc w:val="center"/>
        </w:trPr>
        <w:tc>
          <w:tcPr>
            <w:tcW w:w="2493" w:type="dxa"/>
            <w:gridSpan w:val="2"/>
            <w:shd w:val="clear" w:color="auto" w:fill="auto"/>
            <w:noWrap/>
            <w:vAlign w:val="center"/>
          </w:tcPr>
          <w:p w14:paraId="3CC32E12"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水</w:t>
            </w:r>
            <w:r w:rsidRPr="00E67914">
              <w:rPr>
                <w:rFonts w:ascii="Times New Roman" w:eastAsiaTheme="minorEastAsia" w:hAnsi="Times New Roman"/>
                <w:sz w:val="21"/>
                <w:szCs w:val="21"/>
              </w:rPr>
              <w:t xml:space="preserve"> </w:t>
            </w:r>
            <w:r w:rsidRPr="00E67914">
              <w:rPr>
                <w:rFonts w:ascii="Times New Roman" w:eastAsiaTheme="minorEastAsia" w:hAnsi="Times New Roman"/>
                <w:sz w:val="21"/>
                <w:szCs w:val="21"/>
              </w:rPr>
              <w:t>型</w:t>
            </w:r>
            <w:r w:rsidRPr="00E67914">
              <w:rPr>
                <w:rFonts w:ascii="Times New Roman" w:eastAsiaTheme="minorEastAsia" w:hAnsi="Times New Roman"/>
                <w:sz w:val="21"/>
                <w:szCs w:val="21"/>
              </w:rPr>
              <w:t xml:space="preserve"> </w:t>
            </w:r>
            <w:r w:rsidRPr="00E67914">
              <w:rPr>
                <w:rFonts w:ascii="Times New Roman" w:eastAsiaTheme="minorEastAsia" w:hAnsi="Times New Roman"/>
                <w:sz w:val="21"/>
                <w:szCs w:val="21"/>
              </w:rPr>
              <w:t>分</w:t>
            </w:r>
            <w:r w:rsidRPr="00E67914">
              <w:rPr>
                <w:rFonts w:ascii="Times New Roman" w:eastAsiaTheme="minorEastAsia" w:hAnsi="Times New Roman"/>
                <w:sz w:val="21"/>
                <w:szCs w:val="21"/>
              </w:rPr>
              <w:t xml:space="preserve"> </w:t>
            </w:r>
            <w:r w:rsidRPr="00E67914">
              <w:rPr>
                <w:rFonts w:ascii="Times New Roman" w:eastAsiaTheme="minorEastAsia" w:hAnsi="Times New Roman"/>
                <w:sz w:val="21"/>
                <w:szCs w:val="21"/>
              </w:rPr>
              <w:t>类</w:t>
            </w:r>
          </w:p>
        </w:tc>
        <w:tc>
          <w:tcPr>
            <w:tcW w:w="5609" w:type="dxa"/>
            <w:gridSpan w:val="3"/>
            <w:shd w:val="clear" w:color="000000" w:fill="FFFFFF"/>
            <w:noWrap/>
            <w:vAlign w:val="center"/>
          </w:tcPr>
          <w:p w14:paraId="26CB2B27" w14:textId="77777777" w:rsidR="00B5604E" w:rsidRPr="00E67914" w:rsidRDefault="00B5604E" w:rsidP="00223052">
            <w:pPr>
              <w:jc w:val="center"/>
              <w:rPr>
                <w:rFonts w:ascii="Times New Roman" w:eastAsiaTheme="minorEastAsia" w:hAnsi="Times New Roman"/>
                <w:sz w:val="21"/>
                <w:szCs w:val="21"/>
              </w:rPr>
            </w:pPr>
            <w:r w:rsidRPr="00E67914">
              <w:rPr>
                <w:rFonts w:ascii="Times New Roman" w:eastAsiaTheme="minorEastAsia" w:hAnsi="Times New Roman"/>
                <w:sz w:val="21"/>
                <w:szCs w:val="21"/>
              </w:rPr>
              <w:t>CaCl</w:t>
            </w:r>
            <w:r w:rsidRPr="00E67914">
              <w:rPr>
                <w:rFonts w:ascii="Times New Roman" w:eastAsiaTheme="minorEastAsia" w:hAnsi="Times New Roman"/>
                <w:sz w:val="21"/>
                <w:szCs w:val="21"/>
                <w:vertAlign w:val="subscript"/>
              </w:rPr>
              <w:t>2</w:t>
            </w:r>
          </w:p>
        </w:tc>
      </w:tr>
    </w:tbl>
    <w:p w14:paraId="4055D60D" w14:textId="77777777" w:rsidR="00A54A8A" w:rsidRPr="00E67914" w:rsidRDefault="00000000">
      <w:pPr>
        <w:widowControl w:val="0"/>
        <w:tabs>
          <w:tab w:val="left" w:pos="0"/>
        </w:tabs>
        <w:adjustRightInd w:val="0"/>
        <w:snapToGrid w:val="0"/>
        <w:spacing w:line="360" w:lineRule="auto"/>
        <w:ind w:firstLineChars="200" w:firstLine="480"/>
        <w:jc w:val="both"/>
        <w:outlineLvl w:val="2"/>
        <w:rPr>
          <w:rFonts w:ascii="Times New Roman" w:eastAsia="黑体" w:hAnsi="Times New Roman"/>
          <w:b/>
          <w:sz w:val="24"/>
          <w:szCs w:val="24"/>
          <w:lang w:eastAsia="zh-CN"/>
        </w:rPr>
      </w:pPr>
      <w:r w:rsidRPr="00E67914">
        <w:rPr>
          <w:rFonts w:ascii="Times New Roman" w:eastAsia="黑体" w:hAnsi="Times New Roman"/>
          <w:sz w:val="24"/>
          <w:szCs w:val="24"/>
          <w:lang w:eastAsia="zh-CN"/>
        </w:rPr>
        <w:t>3.2.3</w:t>
      </w:r>
      <w:r w:rsidRPr="00E67914">
        <w:rPr>
          <w:rFonts w:ascii="Times New Roman" w:eastAsia="黑体" w:hAnsi="Times New Roman"/>
          <w:sz w:val="24"/>
          <w:szCs w:val="24"/>
          <w:lang w:eastAsia="zh-CN"/>
        </w:rPr>
        <w:t>项目组成及建设内容</w:t>
      </w:r>
    </w:p>
    <w:p w14:paraId="38017F40" w14:textId="1BA89EE0"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项目组成包括施工期钻前工程、</w:t>
      </w:r>
      <w:r w:rsidR="00611A35" w:rsidRPr="00E67914">
        <w:rPr>
          <w:rFonts w:ascii="Times New Roman" w:hAnsi="Times New Roman"/>
          <w:sz w:val="24"/>
          <w:lang w:eastAsia="zh-CN"/>
        </w:rPr>
        <w:t>钻井工程</w:t>
      </w:r>
      <w:r w:rsidRPr="00E67914">
        <w:rPr>
          <w:rFonts w:ascii="Times New Roman" w:hAnsi="Times New Roman"/>
          <w:sz w:val="24"/>
          <w:lang w:eastAsia="zh-CN"/>
        </w:rPr>
        <w:t>和地面集输工程。其中钻井工程包括钻井作业、完井测试及测试完成后污染物处置；地面集输工程包括测试放喷完成后试采站的建设与试采</w:t>
      </w:r>
      <w:r w:rsidRPr="00E67914">
        <w:rPr>
          <w:rFonts w:ascii="Times New Roman" w:hAnsi="Times New Roman"/>
          <w:bCs/>
          <w:sz w:val="24"/>
          <w:lang w:eastAsia="zh-CN"/>
        </w:rPr>
        <w:t>。</w:t>
      </w:r>
    </w:p>
    <w:p w14:paraId="2C7B7B84"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lang w:eastAsia="zh-CN"/>
        </w:rPr>
      </w:pPr>
      <w:r w:rsidRPr="00E67914">
        <w:rPr>
          <w:rFonts w:ascii="Times New Roman" w:eastAsia="黑体" w:hAnsi="Times New Roman"/>
          <w:sz w:val="24"/>
          <w:lang w:eastAsia="zh-CN"/>
        </w:rPr>
        <w:t>3.2.3.1</w:t>
      </w:r>
      <w:r w:rsidRPr="00E67914">
        <w:rPr>
          <w:rFonts w:ascii="Times New Roman" w:eastAsia="黑体" w:hAnsi="Times New Roman"/>
          <w:sz w:val="24"/>
          <w:lang w:eastAsia="zh-CN"/>
        </w:rPr>
        <w:t>施工期</w:t>
      </w:r>
    </w:p>
    <w:p w14:paraId="183E3273"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）钻前工程</w:t>
      </w:r>
    </w:p>
    <w:p w14:paraId="252221CC" w14:textId="1B0196A1" w:rsidR="00A54A8A" w:rsidRPr="00E67914" w:rsidRDefault="0016065D">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新建新普陆页</w:t>
      </w:r>
      <w:r w:rsidRPr="00E67914">
        <w:rPr>
          <w:rFonts w:ascii="Times New Roman" w:hAnsi="Times New Roman"/>
          <w:sz w:val="24"/>
          <w:lang w:eastAsia="zh-CN"/>
        </w:rPr>
        <w:t>2</w:t>
      </w:r>
      <w:r w:rsidRPr="00E67914">
        <w:rPr>
          <w:rFonts w:ascii="Times New Roman" w:hAnsi="Times New Roman"/>
          <w:sz w:val="24"/>
          <w:lang w:eastAsia="zh-CN"/>
        </w:rPr>
        <w:t>井场，井场内新建方井</w:t>
      </w:r>
      <w:r w:rsidR="00E33E83" w:rsidRPr="00E67914">
        <w:rPr>
          <w:rFonts w:ascii="Times New Roman" w:hAnsi="Times New Roman"/>
          <w:sz w:val="24"/>
          <w:lang w:eastAsia="zh-CN"/>
        </w:rPr>
        <w:t>3</w:t>
      </w:r>
      <w:r w:rsidRPr="00E67914">
        <w:rPr>
          <w:rFonts w:ascii="Times New Roman" w:hAnsi="Times New Roman"/>
          <w:sz w:val="24"/>
          <w:lang w:eastAsia="zh-CN"/>
        </w:rPr>
        <w:t>座、</w:t>
      </w:r>
      <w:r w:rsidR="007D6A42" w:rsidRPr="00E67914">
        <w:rPr>
          <w:rFonts w:ascii="Times New Roman" w:hAnsi="Times New Roman"/>
          <w:sz w:val="24"/>
          <w:lang w:eastAsia="zh-CN"/>
        </w:rPr>
        <w:t>加长型</w:t>
      </w:r>
      <w:r w:rsidRPr="00E67914">
        <w:rPr>
          <w:rFonts w:ascii="Times New Roman" w:hAnsi="Times New Roman"/>
          <w:sz w:val="24"/>
          <w:lang w:eastAsia="zh-CN"/>
        </w:rPr>
        <w:t>井架基础</w:t>
      </w:r>
      <w:r w:rsidRPr="00E67914">
        <w:rPr>
          <w:rFonts w:ascii="Times New Roman" w:hAnsi="Times New Roman"/>
          <w:sz w:val="24"/>
          <w:lang w:eastAsia="zh-CN"/>
        </w:rPr>
        <w:t>1</w:t>
      </w:r>
      <w:r w:rsidRPr="00E67914">
        <w:rPr>
          <w:rFonts w:ascii="Times New Roman" w:hAnsi="Times New Roman"/>
          <w:sz w:val="24"/>
          <w:lang w:eastAsia="zh-CN"/>
        </w:rPr>
        <w:t>座、泥浆泵、循环罐、储备罐等设备基础及配套设施</w:t>
      </w:r>
      <w:r w:rsidRPr="00E67914">
        <w:rPr>
          <w:rFonts w:ascii="Times New Roman" w:hAnsi="Times New Roman"/>
          <w:sz w:val="24"/>
          <w:lang w:eastAsia="zh-CN"/>
        </w:rPr>
        <w:t>1</w:t>
      </w:r>
      <w:r w:rsidRPr="00E67914">
        <w:rPr>
          <w:rFonts w:ascii="Times New Roman" w:hAnsi="Times New Roman"/>
          <w:sz w:val="24"/>
          <w:lang w:eastAsia="zh-CN"/>
        </w:rPr>
        <w:t>套，新建</w:t>
      </w:r>
      <w:r w:rsidRPr="00E67914">
        <w:rPr>
          <w:rFonts w:ascii="Times New Roman" w:hAnsi="Times New Roman"/>
          <w:sz w:val="24"/>
          <w:lang w:eastAsia="zh-CN"/>
        </w:rPr>
        <w:t>600m</w:t>
      </w:r>
      <w:r w:rsidRPr="00E67914">
        <w:rPr>
          <w:rFonts w:ascii="Times New Roman" w:hAnsi="Times New Roman"/>
          <w:sz w:val="24"/>
          <w:vertAlign w:val="superscript"/>
          <w:lang w:eastAsia="zh-CN"/>
        </w:rPr>
        <w:t>3</w:t>
      </w:r>
      <w:r w:rsidRPr="00E67914">
        <w:rPr>
          <w:rFonts w:ascii="Times New Roman" w:hAnsi="Times New Roman"/>
          <w:sz w:val="24"/>
          <w:lang w:eastAsia="zh-CN"/>
        </w:rPr>
        <w:t>清水池</w:t>
      </w:r>
      <w:r w:rsidRPr="00E67914">
        <w:rPr>
          <w:rFonts w:ascii="Times New Roman" w:hAnsi="Times New Roman"/>
          <w:sz w:val="24"/>
          <w:lang w:eastAsia="zh-CN"/>
        </w:rPr>
        <w:t>1</w:t>
      </w:r>
      <w:r w:rsidRPr="00E67914">
        <w:rPr>
          <w:rFonts w:ascii="Times New Roman" w:hAnsi="Times New Roman"/>
          <w:sz w:val="24"/>
          <w:lang w:eastAsia="zh-CN"/>
        </w:rPr>
        <w:t>座，新建</w:t>
      </w:r>
      <w:r w:rsidRPr="00E67914">
        <w:rPr>
          <w:rFonts w:ascii="Times New Roman" w:hAnsi="Times New Roman"/>
          <w:sz w:val="24"/>
          <w:lang w:eastAsia="zh-CN"/>
        </w:rPr>
        <w:t>110m</w:t>
      </w:r>
      <w:r w:rsidRPr="00E67914">
        <w:rPr>
          <w:rFonts w:ascii="Times New Roman" w:hAnsi="Times New Roman"/>
          <w:sz w:val="24"/>
          <w:lang w:eastAsia="zh-CN"/>
        </w:rPr>
        <w:t>进场道路</w:t>
      </w:r>
      <w:r w:rsidRPr="00E67914">
        <w:rPr>
          <w:rFonts w:ascii="Times New Roman" w:hAnsi="Times New Roman"/>
          <w:sz w:val="24"/>
          <w:lang w:eastAsia="zh-CN"/>
        </w:rPr>
        <w:t>1</w:t>
      </w:r>
      <w:r w:rsidRPr="00E67914">
        <w:rPr>
          <w:rFonts w:ascii="Times New Roman" w:hAnsi="Times New Roman"/>
          <w:sz w:val="24"/>
          <w:lang w:eastAsia="zh-CN"/>
        </w:rPr>
        <w:t>条，利旧放喷池</w:t>
      </w:r>
      <w:r w:rsidRPr="00E67914">
        <w:rPr>
          <w:rFonts w:ascii="Times New Roman" w:hAnsi="Times New Roman"/>
          <w:sz w:val="24"/>
          <w:lang w:eastAsia="zh-CN"/>
        </w:rPr>
        <w:t>1</w:t>
      </w:r>
      <w:r w:rsidRPr="00E67914">
        <w:rPr>
          <w:rFonts w:ascii="Times New Roman" w:hAnsi="Times New Roman"/>
          <w:sz w:val="24"/>
          <w:lang w:eastAsia="zh-CN"/>
        </w:rPr>
        <w:t>座。本项目钻前工程项目组成见表</w:t>
      </w:r>
      <w:r w:rsidRPr="00E67914">
        <w:rPr>
          <w:rFonts w:ascii="Times New Roman" w:hAnsi="Times New Roman"/>
          <w:sz w:val="24"/>
          <w:lang w:eastAsia="zh-CN"/>
        </w:rPr>
        <w:t>3.2-5</w:t>
      </w:r>
      <w:r w:rsidRPr="00E67914">
        <w:rPr>
          <w:rFonts w:ascii="Times New Roman" w:hAnsi="Times New Roman"/>
          <w:sz w:val="24"/>
          <w:lang w:eastAsia="zh-CN"/>
        </w:rPr>
        <w:t>。</w:t>
      </w:r>
    </w:p>
    <w:p w14:paraId="082138FD"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3.2-5  </w:t>
      </w:r>
      <w:r w:rsidRPr="00E67914">
        <w:rPr>
          <w:rFonts w:ascii="Times New Roman" w:eastAsia="黑体" w:hAnsi="Times New Roman"/>
          <w:sz w:val="21"/>
          <w:szCs w:val="21"/>
          <w:lang w:eastAsia="zh-CN"/>
        </w:rPr>
        <w:t>钻前工程项目组成及主要环境影响一览表</w:t>
      </w:r>
    </w:p>
    <w:tbl>
      <w:tblPr>
        <w:tblW w:w="8222" w:type="dxa"/>
        <w:jc w:val="center"/>
        <w:tblBorders>
          <w:top w:val="single" w:sz="8" w:space="0" w:color="000000"/>
          <w:left w:val="single" w:sz="8" w:space="0" w:color="000000"/>
          <w:bottom w:val="single" w:sz="4" w:space="0" w:color="auto"/>
          <w:right w:val="single" w:sz="8" w:space="0" w:color="000000"/>
          <w:insideH w:val="single" w:sz="6" w:space="0" w:color="000000"/>
          <w:insideV w:val="single" w:sz="6" w:space="0" w:color="000000"/>
        </w:tblBorders>
        <w:tblLayout w:type="fixed"/>
        <w:tblCellMar>
          <w:left w:w="57" w:type="dxa"/>
          <w:right w:w="57" w:type="dxa"/>
        </w:tblCellMar>
        <w:tblLook w:val="04A0" w:firstRow="1" w:lastRow="0" w:firstColumn="1" w:lastColumn="0" w:noHBand="0" w:noVBand="1"/>
      </w:tblPr>
      <w:tblGrid>
        <w:gridCol w:w="581"/>
        <w:gridCol w:w="1076"/>
        <w:gridCol w:w="3862"/>
        <w:gridCol w:w="1669"/>
        <w:gridCol w:w="1034"/>
      </w:tblGrid>
      <w:tr w:rsidR="002662E3" w:rsidRPr="00E67914" w14:paraId="062F4F9D" w14:textId="77777777">
        <w:trPr>
          <w:jc w:val="center"/>
        </w:trPr>
        <w:tc>
          <w:tcPr>
            <w:tcW w:w="581" w:type="dxa"/>
            <w:vAlign w:val="center"/>
          </w:tcPr>
          <w:p w14:paraId="7D93FBD4" w14:textId="77777777" w:rsidR="00A54A8A" w:rsidRPr="00E67914" w:rsidRDefault="00000000">
            <w:pPr>
              <w:adjustRightInd w:val="0"/>
              <w:snapToGrid w:val="0"/>
              <w:jc w:val="center"/>
              <w:rPr>
                <w:rFonts w:ascii="Times New Roman" w:hAnsi="Times New Roman"/>
                <w:bCs/>
                <w:sz w:val="21"/>
                <w:szCs w:val="21"/>
              </w:rPr>
            </w:pPr>
            <w:r w:rsidRPr="00E67914">
              <w:rPr>
                <w:rFonts w:ascii="Times New Roman" w:hAnsi="Times New Roman"/>
                <w:bCs/>
                <w:sz w:val="21"/>
                <w:szCs w:val="21"/>
              </w:rPr>
              <w:t>工程分类</w:t>
            </w:r>
          </w:p>
        </w:tc>
        <w:tc>
          <w:tcPr>
            <w:tcW w:w="1076" w:type="dxa"/>
            <w:vAlign w:val="center"/>
          </w:tcPr>
          <w:p w14:paraId="3130DD84" w14:textId="77777777" w:rsidR="00A54A8A" w:rsidRPr="00E67914" w:rsidRDefault="00000000">
            <w:pPr>
              <w:adjustRightInd w:val="0"/>
              <w:snapToGrid w:val="0"/>
              <w:jc w:val="center"/>
              <w:rPr>
                <w:rFonts w:ascii="Times New Roman" w:hAnsi="Times New Roman"/>
                <w:bCs/>
                <w:sz w:val="21"/>
                <w:szCs w:val="21"/>
              </w:rPr>
            </w:pPr>
            <w:r w:rsidRPr="00E67914">
              <w:rPr>
                <w:rFonts w:ascii="Times New Roman" w:hAnsi="Times New Roman"/>
                <w:bCs/>
                <w:sz w:val="21"/>
                <w:szCs w:val="21"/>
              </w:rPr>
              <w:t>项目名称</w:t>
            </w:r>
          </w:p>
        </w:tc>
        <w:tc>
          <w:tcPr>
            <w:tcW w:w="3862" w:type="dxa"/>
            <w:vAlign w:val="center"/>
          </w:tcPr>
          <w:p w14:paraId="3AAEE134" w14:textId="77777777" w:rsidR="00A54A8A" w:rsidRPr="00E67914" w:rsidRDefault="00000000">
            <w:pPr>
              <w:adjustRightInd w:val="0"/>
              <w:snapToGrid w:val="0"/>
              <w:jc w:val="center"/>
              <w:rPr>
                <w:rFonts w:ascii="Times New Roman" w:hAnsi="Times New Roman"/>
                <w:bCs/>
                <w:sz w:val="21"/>
                <w:szCs w:val="21"/>
              </w:rPr>
            </w:pPr>
            <w:r w:rsidRPr="00E67914">
              <w:rPr>
                <w:rFonts w:ascii="Times New Roman" w:hAnsi="Times New Roman"/>
                <w:bCs/>
                <w:sz w:val="21"/>
                <w:szCs w:val="21"/>
              </w:rPr>
              <w:t>主要建设内容</w:t>
            </w:r>
          </w:p>
        </w:tc>
        <w:tc>
          <w:tcPr>
            <w:tcW w:w="1669" w:type="dxa"/>
            <w:vAlign w:val="center"/>
          </w:tcPr>
          <w:p w14:paraId="62024FF8" w14:textId="77777777" w:rsidR="00A54A8A" w:rsidRPr="00E67914" w:rsidRDefault="00000000">
            <w:pPr>
              <w:adjustRightInd w:val="0"/>
              <w:snapToGrid w:val="0"/>
              <w:jc w:val="center"/>
              <w:rPr>
                <w:rFonts w:ascii="Times New Roman" w:hAnsi="Times New Roman"/>
                <w:bCs/>
                <w:sz w:val="21"/>
                <w:szCs w:val="21"/>
              </w:rPr>
            </w:pPr>
            <w:r w:rsidRPr="00E67914">
              <w:rPr>
                <w:rFonts w:ascii="Times New Roman" w:hAnsi="Times New Roman"/>
                <w:bCs/>
                <w:sz w:val="21"/>
                <w:szCs w:val="21"/>
              </w:rPr>
              <w:t>可能存在的环境问题</w:t>
            </w:r>
          </w:p>
        </w:tc>
        <w:tc>
          <w:tcPr>
            <w:tcW w:w="1034" w:type="dxa"/>
            <w:vAlign w:val="center"/>
          </w:tcPr>
          <w:p w14:paraId="0DC2D342" w14:textId="77777777" w:rsidR="00A54A8A" w:rsidRPr="00E67914" w:rsidRDefault="00000000">
            <w:pPr>
              <w:adjustRightInd w:val="0"/>
              <w:snapToGrid w:val="0"/>
              <w:jc w:val="center"/>
              <w:rPr>
                <w:rFonts w:ascii="Times New Roman" w:hAnsi="Times New Roman"/>
                <w:bCs/>
                <w:sz w:val="21"/>
                <w:szCs w:val="21"/>
              </w:rPr>
            </w:pPr>
            <w:r w:rsidRPr="00E67914">
              <w:rPr>
                <w:rFonts w:ascii="Times New Roman" w:hAnsi="Times New Roman"/>
                <w:bCs/>
                <w:sz w:val="21"/>
                <w:szCs w:val="21"/>
              </w:rPr>
              <w:t>备注</w:t>
            </w:r>
          </w:p>
        </w:tc>
      </w:tr>
      <w:tr w:rsidR="002662E3" w:rsidRPr="00E67914" w14:paraId="250244F2" w14:textId="77777777">
        <w:trPr>
          <w:jc w:val="center"/>
        </w:trPr>
        <w:tc>
          <w:tcPr>
            <w:tcW w:w="581" w:type="dxa"/>
            <w:vMerge w:val="restart"/>
            <w:vAlign w:val="center"/>
          </w:tcPr>
          <w:p w14:paraId="600DFC32" w14:textId="77777777" w:rsidR="00AA3211" w:rsidRPr="00E67914" w:rsidRDefault="00AA3211">
            <w:pPr>
              <w:adjustRightInd w:val="0"/>
              <w:snapToGrid w:val="0"/>
              <w:jc w:val="center"/>
              <w:rPr>
                <w:rFonts w:ascii="Times New Roman" w:hAnsi="Times New Roman"/>
                <w:bCs/>
                <w:sz w:val="21"/>
                <w:szCs w:val="21"/>
              </w:rPr>
            </w:pPr>
            <w:r w:rsidRPr="00E67914">
              <w:rPr>
                <w:rFonts w:ascii="Times New Roman" w:hAnsi="Times New Roman"/>
                <w:sz w:val="21"/>
                <w:szCs w:val="21"/>
              </w:rPr>
              <w:t>主体工程</w:t>
            </w:r>
          </w:p>
        </w:tc>
        <w:tc>
          <w:tcPr>
            <w:tcW w:w="1076" w:type="dxa"/>
            <w:vAlign w:val="center"/>
          </w:tcPr>
          <w:p w14:paraId="1390F2EB" w14:textId="77777777" w:rsidR="00AA3211" w:rsidRPr="00E67914" w:rsidRDefault="00AA3211">
            <w:pPr>
              <w:adjustRightInd w:val="0"/>
              <w:snapToGrid w:val="0"/>
              <w:jc w:val="center"/>
              <w:rPr>
                <w:rFonts w:ascii="Times New Roman" w:hAnsi="Times New Roman"/>
                <w:bCs/>
                <w:sz w:val="21"/>
                <w:szCs w:val="21"/>
              </w:rPr>
            </w:pPr>
            <w:r w:rsidRPr="00E67914">
              <w:rPr>
                <w:rFonts w:ascii="Times New Roman" w:hAnsi="Times New Roman"/>
                <w:bCs/>
                <w:sz w:val="21"/>
                <w:szCs w:val="21"/>
              </w:rPr>
              <w:t>场地平整</w:t>
            </w:r>
          </w:p>
        </w:tc>
        <w:tc>
          <w:tcPr>
            <w:tcW w:w="3862" w:type="dxa"/>
            <w:vAlign w:val="center"/>
          </w:tcPr>
          <w:p w14:paraId="3AC3D24D" w14:textId="3B794487" w:rsidR="00AA3211" w:rsidRPr="00E67914" w:rsidRDefault="0016065D">
            <w:pPr>
              <w:adjustRightInd w:val="0"/>
              <w:snapToGrid w:val="0"/>
              <w:jc w:val="center"/>
              <w:rPr>
                <w:rFonts w:ascii="Times New Roman" w:hAnsi="Times New Roman"/>
                <w:bCs/>
                <w:sz w:val="21"/>
                <w:szCs w:val="21"/>
                <w:lang w:eastAsia="zh-CN"/>
              </w:rPr>
            </w:pPr>
            <w:r w:rsidRPr="00E67914">
              <w:rPr>
                <w:rFonts w:ascii="Times New Roman" w:hAnsi="Times New Roman"/>
                <w:sz w:val="21"/>
                <w:szCs w:val="21"/>
                <w:lang w:eastAsia="zh-CN"/>
              </w:rPr>
              <w:t>新建新普陆页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w:t>
            </w:r>
            <w:r w:rsidRPr="00E67914">
              <w:rPr>
                <w:rFonts w:ascii="Times New Roman" w:hAnsi="Times New Roman"/>
                <w:sz w:val="21"/>
                <w:szCs w:val="21"/>
                <w:lang w:eastAsia="zh-CN"/>
              </w:rPr>
              <w:t>6000m</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（长</w:t>
            </w:r>
            <w:r w:rsidRPr="00E67914">
              <w:rPr>
                <w:rFonts w:ascii="Times New Roman" w:hAnsi="Times New Roman"/>
                <w:sz w:val="21"/>
                <w:szCs w:val="21"/>
                <w:lang w:eastAsia="zh-CN"/>
              </w:rPr>
              <w:t>×</w:t>
            </w:r>
            <w:r w:rsidRPr="00E67914">
              <w:rPr>
                <w:rFonts w:ascii="Times New Roman" w:hAnsi="Times New Roman"/>
                <w:sz w:val="21"/>
                <w:szCs w:val="21"/>
                <w:lang w:eastAsia="zh-CN"/>
              </w:rPr>
              <w:t>宽</w:t>
            </w:r>
            <w:r w:rsidRPr="00E67914">
              <w:rPr>
                <w:rFonts w:ascii="Times New Roman" w:hAnsi="Times New Roman"/>
                <w:sz w:val="21"/>
                <w:szCs w:val="21"/>
                <w:lang w:eastAsia="zh-CN"/>
              </w:rPr>
              <w:t>=120m×50m</w:t>
            </w:r>
            <w:r w:rsidRPr="00E67914">
              <w:rPr>
                <w:rFonts w:ascii="Times New Roman" w:hAnsi="Times New Roman"/>
                <w:sz w:val="21"/>
                <w:szCs w:val="21"/>
                <w:lang w:eastAsia="zh-CN"/>
              </w:rPr>
              <w:t>）</w:t>
            </w:r>
            <w:r w:rsidRPr="00E67914">
              <w:rPr>
                <w:rFonts w:ascii="Times New Roman" w:hAnsi="Times New Roman"/>
                <w:sz w:val="21"/>
                <w:szCs w:val="21"/>
                <w:lang w:eastAsia="zh-CN"/>
              </w:rPr>
              <w:t>1</w:t>
            </w:r>
            <w:r w:rsidRPr="00E67914">
              <w:rPr>
                <w:rFonts w:ascii="Times New Roman" w:hAnsi="Times New Roman"/>
                <w:sz w:val="21"/>
                <w:szCs w:val="21"/>
                <w:lang w:eastAsia="zh-CN"/>
              </w:rPr>
              <w:t>座，井场内新建方井</w:t>
            </w:r>
            <w:r w:rsidR="00E33E83" w:rsidRPr="00E67914">
              <w:rPr>
                <w:rFonts w:ascii="Times New Roman" w:hAnsi="Times New Roman"/>
                <w:sz w:val="21"/>
                <w:szCs w:val="21"/>
                <w:lang w:eastAsia="zh-CN"/>
              </w:rPr>
              <w:t>3</w:t>
            </w:r>
            <w:r w:rsidRPr="00E67914">
              <w:rPr>
                <w:rFonts w:ascii="Times New Roman" w:hAnsi="Times New Roman"/>
                <w:sz w:val="21"/>
                <w:szCs w:val="21"/>
                <w:lang w:eastAsia="zh-CN"/>
              </w:rPr>
              <w:t>座、</w:t>
            </w:r>
            <w:r w:rsidR="007D6A42" w:rsidRPr="00E67914">
              <w:rPr>
                <w:rFonts w:ascii="Times New Roman" w:hAnsi="Times New Roman"/>
                <w:sz w:val="21"/>
                <w:szCs w:val="21"/>
                <w:lang w:eastAsia="zh-CN"/>
              </w:rPr>
              <w:t>加长型</w:t>
            </w:r>
            <w:r w:rsidRPr="00E67914">
              <w:rPr>
                <w:rFonts w:ascii="Times New Roman" w:hAnsi="Times New Roman"/>
                <w:sz w:val="21"/>
                <w:szCs w:val="21"/>
                <w:lang w:eastAsia="zh-CN"/>
              </w:rPr>
              <w:t>井架基础</w:t>
            </w:r>
            <w:r w:rsidRPr="00E67914">
              <w:rPr>
                <w:rFonts w:ascii="Times New Roman" w:hAnsi="Times New Roman"/>
                <w:sz w:val="21"/>
                <w:szCs w:val="21"/>
                <w:lang w:eastAsia="zh-CN"/>
              </w:rPr>
              <w:t>1</w:t>
            </w:r>
            <w:r w:rsidRPr="00E67914">
              <w:rPr>
                <w:rFonts w:ascii="Times New Roman" w:hAnsi="Times New Roman"/>
                <w:sz w:val="21"/>
                <w:szCs w:val="21"/>
                <w:lang w:eastAsia="zh-CN"/>
              </w:rPr>
              <w:t>座、泥浆泵、循环罐、储备罐等设备基础及配套设施</w:t>
            </w:r>
            <w:r w:rsidRPr="00E67914">
              <w:rPr>
                <w:rFonts w:ascii="Times New Roman" w:hAnsi="Times New Roman"/>
                <w:sz w:val="21"/>
                <w:szCs w:val="21"/>
                <w:lang w:eastAsia="zh-CN"/>
              </w:rPr>
              <w:t>1</w:t>
            </w:r>
            <w:r w:rsidRPr="00E67914">
              <w:rPr>
                <w:rFonts w:ascii="Times New Roman" w:hAnsi="Times New Roman"/>
                <w:sz w:val="21"/>
                <w:szCs w:val="21"/>
                <w:lang w:eastAsia="zh-CN"/>
              </w:rPr>
              <w:t>套</w:t>
            </w:r>
          </w:p>
        </w:tc>
        <w:tc>
          <w:tcPr>
            <w:tcW w:w="1669" w:type="dxa"/>
            <w:vMerge w:val="restart"/>
            <w:vAlign w:val="center"/>
          </w:tcPr>
          <w:p w14:paraId="05679EE8" w14:textId="669495ED" w:rsidR="00AA3211" w:rsidRPr="00E67914" w:rsidRDefault="00AA3211">
            <w:pPr>
              <w:adjustRightInd w:val="0"/>
              <w:snapToGrid w:val="0"/>
              <w:jc w:val="center"/>
              <w:rPr>
                <w:rFonts w:ascii="Times New Roman" w:hAnsi="Times New Roman"/>
                <w:bCs/>
                <w:sz w:val="21"/>
                <w:szCs w:val="21"/>
                <w:lang w:eastAsia="zh-CN"/>
              </w:rPr>
            </w:pPr>
            <w:r w:rsidRPr="00E67914">
              <w:rPr>
                <w:rFonts w:ascii="Times New Roman" w:hAnsi="Times New Roman"/>
                <w:sz w:val="21"/>
                <w:szCs w:val="21"/>
                <w:lang w:eastAsia="zh-CN"/>
              </w:rPr>
              <w:t>水土流失。施工扬尘、废水和施工人员生活污水、生活垃圾等</w:t>
            </w:r>
          </w:p>
        </w:tc>
        <w:tc>
          <w:tcPr>
            <w:tcW w:w="1034" w:type="dxa"/>
            <w:vAlign w:val="center"/>
          </w:tcPr>
          <w:p w14:paraId="7347CFF8" w14:textId="11AAA9D2" w:rsidR="00AA3211" w:rsidRPr="00E67914" w:rsidRDefault="0016065D">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0CCC7849" w14:textId="77777777">
        <w:trPr>
          <w:jc w:val="center"/>
        </w:trPr>
        <w:tc>
          <w:tcPr>
            <w:tcW w:w="581" w:type="dxa"/>
            <w:vMerge/>
            <w:vAlign w:val="center"/>
          </w:tcPr>
          <w:p w14:paraId="631BC876" w14:textId="77777777" w:rsidR="00AA3211" w:rsidRPr="00E67914" w:rsidRDefault="00AA3211">
            <w:pPr>
              <w:adjustRightInd w:val="0"/>
              <w:snapToGrid w:val="0"/>
              <w:jc w:val="center"/>
              <w:rPr>
                <w:rFonts w:ascii="Times New Roman" w:hAnsi="Times New Roman"/>
                <w:sz w:val="21"/>
                <w:szCs w:val="21"/>
                <w:lang w:eastAsia="zh-CN"/>
              </w:rPr>
            </w:pPr>
          </w:p>
        </w:tc>
        <w:tc>
          <w:tcPr>
            <w:tcW w:w="1076" w:type="dxa"/>
            <w:vAlign w:val="center"/>
          </w:tcPr>
          <w:p w14:paraId="3BE63AD2" w14:textId="77777777" w:rsidR="00AA3211" w:rsidRPr="00E67914" w:rsidRDefault="00AA3211">
            <w:pPr>
              <w:adjustRightInd w:val="0"/>
              <w:snapToGrid w:val="0"/>
              <w:jc w:val="center"/>
              <w:rPr>
                <w:rFonts w:ascii="Times New Roman" w:hAnsi="Times New Roman"/>
                <w:bCs/>
                <w:sz w:val="21"/>
                <w:szCs w:val="21"/>
              </w:rPr>
            </w:pPr>
            <w:r w:rsidRPr="00E67914">
              <w:rPr>
                <w:rFonts w:ascii="Times New Roman" w:hAnsi="Times New Roman"/>
                <w:bCs/>
                <w:sz w:val="21"/>
                <w:szCs w:val="21"/>
              </w:rPr>
              <w:t>井口方井</w:t>
            </w:r>
          </w:p>
        </w:tc>
        <w:tc>
          <w:tcPr>
            <w:tcW w:w="3862" w:type="dxa"/>
            <w:vAlign w:val="center"/>
          </w:tcPr>
          <w:p w14:paraId="0A6B6FF8" w14:textId="4A5DB9EB" w:rsidR="00AA3211" w:rsidRPr="00E67914" w:rsidRDefault="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新建方井</w:t>
            </w:r>
            <w:r w:rsidR="0016065D" w:rsidRPr="00E67914">
              <w:rPr>
                <w:rFonts w:ascii="Times New Roman" w:hAnsi="Times New Roman"/>
                <w:sz w:val="21"/>
                <w:szCs w:val="21"/>
                <w:lang w:eastAsia="zh-CN"/>
              </w:rPr>
              <w:t>3</w:t>
            </w:r>
            <w:r w:rsidRPr="00E67914">
              <w:rPr>
                <w:rFonts w:ascii="Times New Roman" w:hAnsi="Times New Roman"/>
                <w:sz w:val="21"/>
                <w:szCs w:val="21"/>
                <w:lang w:eastAsia="zh-CN"/>
              </w:rPr>
              <w:t>口</w:t>
            </w:r>
          </w:p>
        </w:tc>
        <w:tc>
          <w:tcPr>
            <w:tcW w:w="1669" w:type="dxa"/>
            <w:vMerge/>
            <w:vAlign w:val="center"/>
          </w:tcPr>
          <w:p w14:paraId="56B3433A" w14:textId="77777777" w:rsidR="00AA3211" w:rsidRPr="00E67914" w:rsidRDefault="00AA3211">
            <w:pPr>
              <w:adjustRightInd w:val="0"/>
              <w:snapToGrid w:val="0"/>
              <w:jc w:val="center"/>
              <w:rPr>
                <w:rFonts w:ascii="Times New Roman" w:hAnsi="Times New Roman"/>
                <w:sz w:val="21"/>
                <w:szCs w:val="21"/>
                <w:lang w:eastAsia="zh-CN"/>
              </w:rPr>
            </w:pPr>
          </w:p>
        </w:tc>
        <w:tc>
          <w:tcPr>
            <w:tcW w:w="1034" w:type="dxa"/>
            <w:vAlign w:val="center"/>
          </w:tcPr>
          <w:p w14:paraId="3626E282" w14:textId="77777777" w:rsidR="00AA3211" w:rsidRPr="00E67914" w:rsidRDefault="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新建</w:t>
            </w:r>
          </w:p>
        </w:tc>
      </w:tr>
      <w:tr w:rsidR="002662E3" w:rsidRPr="00E67914" w14:paraId="571B6DCB" w14:textId="77777777">
        <w:trPr>
          <w:jc w:val="center"/>
        </w:trPr>
        <w:tc>
          <w:tcPr>
            <w:tcW w:w="581" w:type="dxa"/>
            <w:vMerge/>
            <w:vAlign w:val="center"/>
          </w:tcPr>
          <w:p w14:paraId="1B2F40F1" w14:textId="77777777" w:rsidR="00AA3211" w:rsidRPr="00E67914" w:rsidRDefault="00AA3211">
            <w:pPr>
              <w:adjustRightInd w:val="0"/>
              <w:snapToGrid w:val="0"/>
              <w:jc w:val="center"/>
              <w:rPr>
                <w:rFonts w:ascii="Times New Roman" w:hAnsi="Times New Roman"/>
                <w:sz w:val="21"/>
                <w:szCs w:val="21"/>
              </w:rPr>
            </w:pPr>
          </w:p>
        </w:tc>
        <w:tc>
          <w:tcPr>
            <w:tcW w:w="1076" w:type="dxa"/>
            <w:vAlign w:val="center"/>
          </w:tcPr>
          <w:p w14:paraId="7EDB2EC5" w14:textId="77777777" w:rsidR="00AA3211" w:rsidRPr="00E67914" w:rsidRDefault="00AA3211">
            <w:pPr>
              <w:adjustRightInd w:val="0"/>
              <w:snapToGrid w:val="0"/>
              <w:jc w:val="center"/>
              <w:rPr>
                <w:rFonts w:ascii="Times New Roman" w:hAnsi="Times New Roman"/>
                <w:bCs/>
                <w:sz w:val="21"/>
                <w:szCs w:val="21"/>
              </w:rPr>
            </w:pPr>
            <w:r w:rsidRPr="00E67914">
              <w:rPr>
                <w:rFonts w:ascii="Times New Roman" w:hAnsi="Times New Roman"/>
                <w:bCs/>
                <w:sz w:val="21"/>
                <w:szCs w:val="21"/>
              </w:rPr>
              <w:t>设备、设施基础</w:t>
            </w:r>
          </w:p>
        </w:tc>
        <w:tc>
          <w:tcPr>
            <w:tcW w:w="3862" w:type="dxa"/>
            <w:vAlign w:val="center"/>
          </w:tcPr>
          <w:p w14:paraId="399E37E0" w14:textId="77777777" w:rsidR="00AA3211" w:rsidRPr="00E67914" w:rsidRDefault="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采用</w:t>
            </w:r>
            <w:r w:rsidRPr="00E67914">
              <w:rPr>
                <w:rFonts w:ascii="Times New Roman" w:hAnsi="Times New Roman"/>
                <w:sz w:val="21"/>
                <w:szCs w:val="21"/>
                <w:lang w:eastAsia="zh-CN"/>
              </w:rPr>
              <w:t>ZJ50</w:t>
            </w:r>
            <w:r w:rsidRPr="00E67914">
              <w:rPr>
                <w:rFonts w:ascii="Times New Roman" w:hAnsi="Times New Roman"/>
                <w:sz w:val="21"/>
                <w:szCs w:val="21"/>
                <w:lang w:eastAsia="zh-CN"/>
              </w:rPr>
              <w:t>钻机设备，共计</w:t>
            </w:r>
            <w:r w:rsidRPr="00E67914">
              <w:rPr>
                <w:rFonts w:ascii="Times New Roman" w:hAnsi="Times New Roman"/>
                <w:sz w:val="21"/>
                <w:szCs w:val="21"/>
                <w:lang w:eastAsia="zh-CN"/>
              </w:rPr>
              <w:t>1</w:t>
            </w:r>
            <w:r w:rsidRPr="00E67914">
              <w:rPr>
                <w:rFonts w:ascii="Times New Roman" w:hAnsi="Times New Roman"/>
                <w:sz w:val="21"/>
                <w:szCs w:val="21"/>
                <w:lang w:eastAsia="zh-CN"/>
              </w:rPr>
              <w:t>套，井架基础以粘土层为持力层，以</w:t>
            </w:r>
            <w:r w:rsidRPr="00E67914">
              <w:rPr>
                <w:rFonts w:ascii="Times New Roman" w:hAnsi="Times New Roman"/>
                <w:sz w:val="21"/>
                <w:szCs w:val="21"/>
                <w:lang w:eastAsia="zh-CN"/>
              </w:rPr>
              <w:t>C25</w:t>
            </w:r>
            <w:r w:rsidRPr="00E67914">
              <w:rPr>
                <w:rFonts w:ascii="Times New Roman" w:hAnsi="Times New Roman"/>
                <w:sz w:val="21"/>
                <w:szCs w:val="21"/>
                <w:lang w:eastAsia="zh-CN"/>
              </w:rPr>
              <w:t>钢筋混凝土基础，重点防渗处理</w:t>
            </w:r>
          </w:p>
        </w:tc>
        <w:tc>
          <w:tcPr>
            <w:tcW w:w="1669" w:type="dxa"/>
            <w:vMerge/>
            <w:vAlign w:val="center"/>
          </w:tcPr>
          <w:p w14:paraId="05D24D0B" w14:textId="77777777" w:rsidR="00AA3211" w:rsidRPr="00E67914" w:rsidRDefault="00AA3211">
            <w:pPr>
              <w:adjustRightInd w:val="0"/>
              <w:snapToGrid w:val="0"/>
              <w:jc w:val="center"/>
              <w:rPr>
                <w:rFonts w:ascii="Times New Roman" w:hAnsi="Times New Roman"/>
                <w:sz w:val="21"/>
                <w:szCs w:val="21"/>
                <w:lang w:eastAsia="zh-CN"/>
              </w:rPr>
            </w:pPr>
          </w:p>
        </w:tc>
        <w:tc>
          <w:tcPr>
            <w:tcW w:w="1034" w:type="dxa"/>
            <w:vAlign w:val="center"/>
          </w:tcPr>
          <w:p w14:paraId="6FE2491A" w14:textId="77777777" w:rsidR="00AA3211" w:rsidRPr="00E67914" w:rsidRDefault="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新建</w:t>
            </w:r>
          </w:p>
        </w:tc>
      </w:tr>
      <w:tr w:rsidR="002662E3" w:rsidRPr="00E67914" w14:paraId="1E331BDA" w14:textId="77777777">
        <w:trPr>
          <w:jc w:val="center"/>
        </w:trPr>
        <w:tc>
          <w:tcPr>
            <w:tcW w:w="581" w:type="dxa"/>
            <w:vMerge/>
            <w:vAlign w:val="center"/>
          </w:tcPr>
          <w:p w14:paraId="524FEE9E" w14:textId="77777777" w:rsidR="00AA3211" w:rsidRPr="00E67914" w:rsidRDefault="00AA3211">
            <w:pPr>
              <w:adjustRightInd w:val="0"/>
              <w:snapToGrid w:val="0"/>
              <w:jc w:val="center"/>
              <w:rPr>
                <w:rFonts w:ascii="Times New Roman" w:hAnsi="Times New Roman"/>
                <w:sz w:val="21"/>
                <w:szCs w:val="21"/>
              </w:rPr>
            </w:pPr>
          </w:p>
        </w:tc>
        <w:tc>
          <w:tcPr>
            <w:tcW w:w="1076" w:type="dxa"/>
            <w:vAlign w:val="center"/>
          </w:tcPr>
          <w:p w14:paraId="5F82167D" w14:textId="77777777" w:rsidR="00AA3211" w:rsidRPr="00E67914" w:rsidRDefault="00AA3211">
            <w:pPr>
              <w:adjustRightInd w:val="0"/>
              <w:snapToGrid w:val="0"/>
              <w:jc w:val="center"/>
              <w:rPr>
                <w:rFonts w:ascii="Times New Roman" w:hAnsi="Times New Roman"/>
                <w:bCs/>
                <w:sz w:val="21"/>
                <w:szCs w:val="21"/>
              </w:rPr>
            </w:pPr>
            <w:r w:rsidRPr="00E67914">
              <w:rPr>
                <w:rFonts w:ascii="Times New Roman" w:hAnsi="Times New Roman"/>
                <w:bCs/>
                <w:sz w:val="21"/>
                <w:szCs w:val="21"/>
              </w:rPr>
              <w:t>放喷池</w:t>
            </w:r>
          </w:p>
        </w:tc>
        <w:tc>
          <w:tcPr>
            <w:tcW w:w="3862" w:type="dxa"/>
            <w:vAlign w:val="center"/>
          </w:tcPr>
          <w:p w14:paraId="1CA59340" w14:textId="4C03AC31" w:rsidR="00AA3211" w:rsidRPr="00E67914" w:rsidRDefault="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个，容积为</w:t>
            </w:r>
            <w:r w:rsidRPr="00E67914">
              <w:rPr>
                <w:rFonts w:ascii="Times New Roman" w:hAnsi="Times New Roman"/>
                <w:sz w:val="21"/>
                <w:szCs w:val="21"/>
                <w:lang w:eastAsia="zh-CN"/>
              </w:rPr>
              <w:t>300m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，用于测试放喷，池内重点防渗</w:t>
            </w:r>
            <w:r w:rsidR="0016065D" w:rsidRPr="00E67914">
              <w:rPr>
                <w:rFonts w:ascii="Times New Roman" w:hAnsi="Times New Roman"/>
                <w:sz w:val="21"/>
                <w:szCs w:val="21"/>
                <w:lang w:eastAsia="zh-CN"/>
              </w:rPr>
              <w:t>，原普陆页</w:t>
            </w:r>
            <w:r w:rsidR="0016065D" w:rsidRPr="00E67914">
              <w:rPr>
                <w:rFonts w:ascii="Times New Roman" w:hAnsi="Times New Roman"/>
                <w:sz w:val="21"/>
                <w:szCs w:val="21"/>
                <w:lang w:eastAsia="zh-CN"/>
              </w:rPr>
              <w:t>2</w:t>
            </w:r>
            <w:r w:rsidR="0016065D" w:rsidRPr="00E67914">
              <w:rPr>
                <w:rFonts w:ascii="Times New Roman" w:hAnsi="Times New Roman"/>
                <w:sz w:val="21"/>
                <w:szCs w:val="21"/>
                <w:lang w:eastAsia="zh-CN"/>
              </w:rPr>
              <w:t>井场已建</w:t>
            </w:r>
          </w:p>
        </w:tc>
        <w:tc>
          <w:tcPr>
            <w:tcW w:w="1669" w:type="dxa"/>
            <w:vMerge/>
            <w:vAlign w:val="center"/>
          </w:tcPr>
          <w:p w14:paraId="170ECFED" w14:textId="77777777" w:rsidR="00AA3211" w:rsidRPr="00E67914" w:rsidRDefault="00AA3211">
            <w:pPr>
              <w:adjustRightInd w:val="0"/>
              <w:snapToGrid w:val="0"/>
              <w:jc w:val="center"/>
              <w:rPr>
                <w:rFonts w:ascii="Times New Roman" w:hAnsi="Times New Roman"/>
                <w:sz w:val="21"/>
                <w:szCs w:val="21"/>
                <w:lang w:eastAsia="zh-CN"/>
              </w:rPr>
            </w:pPr>
          </w:p>
        </w:tc>
        <w:tc>
          <w:tcPr>
            <w:tcW w:w="1034" w:type="dxa"/>
            <w:vAlign w:val="center"/>
          </w:tcPr>
          <w:p w14:paraId="2E4B6A20" w14:textId="08B23AD3" w:rsidR="00AA3211" w:rsidRPr="00E67914" w:rsidRDefault="00AA3211">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利旧</w:t>
            </w:r>
          </w:p>
        </w:tc>
      </w:tr>
      <w:tr w:rsidR="002662E3" w:rsidRPr="00E67914" w14:paraId="7E253AEC" w14:textId="77777777">
        <w:trPr>
          <w:jc w:val="center"/>
        </w:trPr>
        <w:tc>
          <w:tcPr>
            <w:tcW w:w="581" w:type="dxa"/>
            <w:vMerge/>
            <w:vAlign w:val="center"/>
          </w:tcPr>
          <w:p w14:paraId="29C045F3" w14:textId="77777777" w:rsidR="00AA3211" w:rsidRPr="00E67914" w:rsidRDefault="00AA3211">
            <w:pPr>
              <w:adjustRightInd w:val="0"/>
              <w:snapToGrid w:val="0"/>
              <w:jc w:val="center"/>
              <w:rPr>
                <w:rFonts w:ascii="Times New Roman" w:hAnsi="Times New Roman"/>
                <w:sz w:val="21"/>
                <w:szCs w:val="21"/>
              </w:rPr>
            </w:pPr>
          </w:p>
        </w:tc>
        <w:tc>
          <w:tcPr>
            <w:tcW w:w="1076" w:type="dxa"/>
            <w:vAlign w:val="center"/>
          </w:tcPr>
          <w:p w14:paraId="50484741" w14:textId="77777777" w:rsidR="00AA3211" w:rsidRPr="00E67914" w:rsidRDefault="00AA3211">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清水池</w:t>
            </w:r>
          </w:p>
        </w:tc>
        <w:tc>
          <w:tcPr>
            <w:tcW w:w="3862" w:type="dxa"/>
            <w:vAlign w:val="center"/>
          </w:tcPr>
          <w:p w14:paraId="7FE2697E" w14:textId="7F16D74C" w:rsidR="00AA3211" w:rsidRPr="00E67914" w:rsidRDefault="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个，容积为</w:t>
            </w:r>
            <w:r w:rsidR="0016065D" w:rsidRPr="00E67914">
              <w:rPr>
                <w:rFonts w:ascii="Times New Roman" w:hAnsi="Times New Roman"/>
                <w:sz w:val="21"/>
                <w:szCs w:val="21"/>
                <w:lang w:eastAsia="zh-CN"/>
              </w:rPr>
              <w:t>6</w:t>
            </w:r>
            <w:r w:rsidRPr="00E67914">
              <w:rPr>
                <w:rFonts w:ascii="Times New Roman" w:hAnsi="Times New Roman"/>
                <w:sz w:val="21"/>
                <w:szCs w:val="21"/>
                <w:lang w:eastAsia="zh-CN"/>
              </w:rPr>
              <w:t>00m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，池内</w:t>
            </w:r>
            <w:r w:rsidR="0016065D" w:rsidRPr="00E67914">
              <w:rPr>
                <w:rFonts w:ascii="Times New Roman" w:hAnsi="Times New Roman"/>
                <w:sz w:val="21"/>
                <w:szCs w:val="21"/>
                <w:lang w:eastAsia="zh-CN"/>
              </w:rPr>
              <w:t>一般</w:t>
            </w:r>
            <w:r w:rsidRPr="00E67914">
              <w:rPr>
                <w:rFonts w:ascii="Times New Roman" w:hAnsi="Times New Roman"/>
                <w:sz w:val="21"/>
                <w:szCs w:val="21"/>
                <w:lang w:eastAsia="zh-CN"/>
              </w:rPr>
              <w:t>防渗</w:t>
            </w:r>
          </w:p>
        </w:tc>
        <w:tc>
          <w:tcPr>
            <w:tcW w:w="1669" w:type="dxa"/>
            <w:vMerge/>
            <w:vAlign w:val="center"/>
          </w:tcPr>
          <w:p w14:paraId="2BF601A8" w14:textId="77777777" w:rsidR="00AA3211" w:rsidRPr="00E67914" w:rsidRDefault="00AA3211">
            <w:pPr>
              <w:adjustRightInd w:val="0"/>
              <w:snapToGrid w:val="0"/>
              <w:jc w:val="center"/>
              <w:rPr>
                <w:rFonts w:ascii="Times New Roman" w:hAnsi="Times New Roman"/>
                <w:sz w:val="21"/>
                <w:szCs w:val="21"/>
                <w:lang w:eastAsia="zh-CN"/>
              </w:rPr>
            </w:pPr>
          </w:p>
        </w:tc>
        <w:tc>
          <w:tcPr>
            <w:tcW w:w="1034" w:type="dxa"/>
            <w:vAlign w:val="center"/>
          </w:tcPr>
          <w:p w14:paraId="17AA5FAD" w14:textId="373C2ECA" w:rsidR="00AA3211" w:rsidRPr="00E67914" w:rsidRDefault="0016065D">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3F30FEAF" w14:textId="77777777">
        <w:trPr>
          <w:jc w:val="center"/>
        </w:trPr>
        <w:tc>
          <w:tcPr>
            <w:tcW w:w="581" w:type="dxa"/>
            <w:vAlign w:val="center"/>
          </w:tcPr>
          <w:p w14:paraId="5FF3667E" w14:textId="32847E9E" w:rsidR="001B4D84" w:rsidRPr="00E67914" w:rsidRDefault="001B4D84" w:rsidP="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辅助工程</w:t>
            </w:r>
          </w:p>
        </w:tc>
        <w:tc>
          <w:tcPr>
            <w:tcW w:w="1076" w:type="dxa"/>
            <w:vAlign w:val="center"/>
          </w:tcPr>
          <w:p w14:paraId="17AFCC03" w14:textId="33AFF499" w:rsidR="001B4D84" w:rsidRPr="00E67914" w:rsidRDefault="001B4D84" w:rsidP="00AA321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生活区</w:t>
            </w:r>
          </w:p>
        </w:tc>
        <w:tc>
          <w:tcPr>
            <w:tcW w:w="3862" w:type="dxa"/>
            <w:vAlign w:val="center"/>
          </w:tcPr>
          <w:p w14:paraId="4E325991" w14:textId="07DF287B" w:rsidR="001B4D84" w:rsidRPr="00E67914" w:rsidRDefault="009621AA" w:rsidP="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本项目</w:t>
            </w:r>
            <w:r w:rsidR="0016065D" w:rsidRPr="00E67914">
              <w:rPr>
                <w:rFonts w:ascii="Times New Roman" w:hAnsi="Times New Roman"/>
                <w:sz w:val="21"/>
                <w:szCs w:val="21"/>
                <w:lang w:eastAsia="zh-CN"/>
              </w:rPr>
              <w:t>钻井期间生活区设置</w:t>
            </w:r>
            <w:r w:rsidR="00133F4D" w:rsidRPr="00E67914">
              <w:rPr>
                <w:rFonts w:ascii="Times New Roman" w:hAnsi="Times New Roman"/>
                <w:sz w:val="21"/>
                <w:szCs w:val="21"/>
                <w:lang w:eastAsia="zh-CN"/>
              </w:rPr>
              <w:t>于</w:t>
            </w:r>
            <w:r w:rsidR="0016065D" w:rsidRPr="00E67914">
              <w:rPr>
                <w:rFonts w:ascii="Times New Roman" w:hAnsi="Times New Roman"/>
                <w:sz w:val="21"/>
                <w:szCs w:val="21"/>
                <w:lang w:eastAsia="zh-CN"/>
              </w:rPr>
              <w:t>原普陆页</w:t>
            </w:r>
            <w:r w:rsidR="0016065D" w:rsidRPr="00E67914">
              <w:rPr>
                <w:rFonts w:ascii="Times New Roman" w:hAnsi="Times New Roman"/>
                <w:sz w:val="21"/>
                <w:szCs w:val="21"/>
                <w:lang w:eastAsia="zh-CN"/>
              </w:rPr>
              <w:t>2</w:t>
            </w:r>
            <w:r w:rsidR="0016065D" w:rsidRPr="00E67914">
              <w:rPr>
                <w:rFonts w:ascii="Times New Roman" w:hAnsi="Times New Roman"/>
                <w:sz w:val="21"/>
                <w:szCs w:val="21"/>
                <w:lang w:eastAsia="zh-CN"/>
              </w:rPr>
              <w:t>井场内，不新增占地</w:t>
            </w:r>
          </w:p>
        </w:tc>
        <w:tc>
          <w:tcPr>
            <w:tcW w:w="1669" w:type="dxa"/>
            <w:vMerge/>
            <w:vAlign w:val="center"/>
          </w:tcPr>
          <w:p w14:paraId="7CA2FEA4" w14:textId="77777777" w:rsidR="001B4D84" w:rsidRPr="00E67914" w:rsidRDefault="001B4D84" w:rsidP="00AA3211">
            <w:pPr>
              <w:adjustRightInd w:val="0"/>
              <w:snapToGrid w:val="0"/>
              <w:jc w:val="center"/>
              <w:rPr>
                <w:rFonts w:ascii="Times New Roman" w:hAnsi="Times New Roman"/>
                <w:sz w:val="21"/>
                <w:szCs w:val="21"/>
                <w:lang w:eastAsia="zh-CN"/>
              </w:rPr>
            </w:pPr>
          </w:p>
        </w:tc>
        <w:tc>
          <w:tcPr>
            <w:tcW w:w="1034" w:type="dxa"/>
            <w:vAlign w:val="center"/>
          </w:tcPr>
          <w:p w14:paraId="140FDA28" w14:textId="017575AB" w:rsidR="001B4D84" w:rsidRPr="00E67914" w:rsidRDefault="009621AA" w:rsidP="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r>
      <w:tr w:rsidR="002662E3" w:rsidRPr="00E67914" w14:paraId="58B77217" w14:textId="77777777">
        <w:trPr>
          <w:trHeight w:val="822"/>
          <w:jc w:val="center"/>
        </w:trPr>
        <w:tc>
          <w:tcPr>
            <w:tcW w:w="581" w:type="dxa"/>
            <w:vAlign w:val="center"/>
          </w:tcPr>
          <w:p w14:paraId="3279A05F" w14:textId="77777777" w:rsidR="00AA3211" w:rsidRPr="00E67914" w:rsidRDefault="00AA3211" w:rsidP="00AA3211">
            <w:pPr>
              <w:adjustRightInd w:val="0"/>
              <w:snapToGrid w:val="0"/>
              <w:jc w:val="center"/>
              <w:rPr>
                <w:rFonts w:ascii="Times New Roman" w:hAnsi="Times New Roman"/>
                <w:sz w:val="21"/>
                <w:szCs w:val="21"/>
              </w:rPr>
            </w:pPr>
            <w:r w:rsidRPr="00E67914">
              <w:rPr>
                <w:rFonts w:ascii="Times New Roman" w:hAnsi="Times New Roman"/>
                <w:sz w:val="21"/>
                <w:szCs w:val="21"/>
              </w:rPr>
              <w:t>储运工程</w:t>
            </w:r>
          </w:p>
        </w:tc>
        <w:tc>
          <w:tcPr>
            <w:tcW w:w="1076" w:type="dxa"/>
            <w:vAlign w:val="center"/>
          </w:tcPr>
          <w:p w14:paraId="7F0A25F0" w14:textId="77777777" w:rsidR="00AA3211" w:rsidRPr="00E67914" w:rsidRDefault="00AA3211" w:rsidP="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弃土场</w:t>
            </w:r>
          </w:p>
        </w:tc>
        <w:tc>
          <w:tcPr>
            <w:tcW w:w="3862" w:type="dxa"/>
            <w:vAlign w:val="center"/>
          </w:tcPr>
          <w:p w14:paraId="435E68B1" w14:textId="54500EB1" w:rsidR="00AA3211" w:rsidRPr="00E67914" w:rsidRDefault="00AA3211" w:rsidP="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本项目</w:t>
            </w:r>
            <w:r w:rsidR="007D6A42" w:rsidRPr="00E67914">
              <w:rPr>
                <w:rFonts w:ascii="Times New Roman" w:hAnsi="Times New Roman"/>
                <w:sz w:val="21"/>
                <w:szCs w:val="21"/>
                <w:lang w:eastAsia="zh-CN"/>
              </w:rPr>
              <w:t>井场与</w:t>
            </w:r>
            <w:r w:rsidRPr="00E67914">
              <w:rPr>
                <w:rFonts w:ascii="Times New Roman" w:hAnsi="Times New Roman"/>
                <w:sz w:val="21"/>
                <w:szCs w:val="21"/>
                <w:lang w:eastAsia="zh-CN"/>
              </w:rPr>
              <w:t>外输管线施工可做到挖填方平衡，不设置弃土场，临时开挖剥离的少量表土与土石方堆存于</w:t>
            </w:r>
            <w:r w:rsidR="007D6A42" w:rsidRPr="00E67914">
              <w:rPr>
                <w:rFonts w:ascii="Times New Roman" w:hAnsi="Times New Roman"/>
                <w:sz w:val="21"/>
                <w:szCs w:val="21"/>
                <w:lang w:eastAsia="zh-CN"/>
              </w:rPr>
              <w:t>井场进场道路旁与</w:t>
            </w:r>
            <w:r w:rsidRPr="00E67914">
              <w:rPr>
                <w:rFonts w:ascii="Times New Roman" w:hAnsi="Times New Roman"/>
                <w:sz w:val="21"/>
                <w:szCs w:val="21"/>
                <w:lang w:eastAsia="zh-CN"/>
              </w:rPr>
              <w:t>管道沿线临时占地范围内，严格落实水土保持措施</w:t>
            </w:r>
          </w:p>
        </w:tc>
        <w:tc>
          <w:tcPr>
            <w:tcW w:w="1669" w:type="dxa"/>
            <w:vMerge/>
            <w:vAlign w:val="center"/>
          </w:tcPr>
          <w:p w14:paraId="7DBEDED2" w14:textId="77777777" w:rsidR="00AA3211" w:rsidRPr="00E67914" w:rsidRDefault="00AA3211" w:rsidP="00AA3211">
            <w:pPr>
              <w:adjustRightInd w:val="0"/>
              <w:snapToGrid w:val="0"/>
              <w:jc w:val="center"/>
              <w:rPr>
                <w:rFonts w:ascii="Times New Roman" w:hAnsi="Times New Roman"/>
                <w:sz w:val="21"/>
                <w:szCs w:val="21"/>
                <w:lang w:eastAsia="zh-CN"/>
              </w:rPr>
            </w:pPr>
          </w:p>
        </w:tc>
        <w:tc>
          <w:tcPr>
            <w:tcW w:w="1034" w:type="dxa"/>
            <w:vAlign w:val="center"/>
          </w:tcPr>
          <w:p w14:paraId="1E771042" w14:textId="77777777" w:rsidR="00AA3211" w:rsidRPr="00E67914" w:rsidRDefault="00AA3211" w:rsidP="00AA3211">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r>
      <w:tr w:rsidR="002662E3" w:rsidRPr="00E67914" w14:paraId="1DD7EBCD" w14:textId="77777777">
        <w:trPr>
          <w:jc w:val="center"/>
        </w:trPr>
        <w:tc>
          <w:tcPr>
            <w:tcW w:w="581" w:type="dxa"/>
            <w:vAlign w:val="center"/>
          </w:tcPr>
          <w:p w14:paraId="3C3CE329" w14:textId="7F7DEA6A"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附属工程</w:t>
            </w:r>
          </w:p>
        </w:tc>
        <w:tc>
          <w:tcPr>
            <w:tcW w:w="1076" w:type="dxa"/>
            <w:vAlign w:val="center"/>
          </w:tcPr>
          <w:p w14:paraId="06E3663A" w14:textId="64ABD90A" w:rsidR="006956BC" w:rsidRPr="00E67914" w:rsidRDefault="006956BC" w:rsidP="006956BC">
            <w:pPr>
              <w:adjustRightInd w:val="0"/>
              <w:snapToGrid w:val="0"/>
              <w:jc w:val="center"/>
              <w:rPr>
                <w:rFonts w:ascii="Times New Roman" w:hAnsi="Times New Roman"/>
                <w:bCs/>
                <w:sz w:val="21"/>
                <w:szCs w:val="21"/>
              </w:rPr>
            </w:pPr>
            <w:r w:rsidRPr="00E67914">
              <w:rPr>
                <w:rFonts w:ascii="Times New Roman" w:hAnsi="Times New Roman"/>
                <w:bCs/>
                <w:sz w:val="21"/>
                <w:szCs w:val="21"/>
              </w:rPr>
              <w:t>进场道路</w:t>
            </w:r>
          </w:p>
        </w:tc>
        <w:tc>
          <w:tcPr>
            <w:tcW w:w="3862" w:type="dxa"/>
            <w:vAlign w:val="center"/>
          </w:tcPr>
          <w:p w14:paraId="5CD579BD" w14:textId="1699E246" w:rsidR="006956BC" w:rsidRPr="00E67914" w:rsidRDefault="007D6A42" w:rsidP="006956B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新建新</w:t>
            </w:r>
            <w:r w:rsidR="00902A04" w:rsidRPr="00E67914">
              <w:rPr>
                <w:rFonts w:ascii="Times New Roman" w:hAnsi="Times New Roman"/>
                <w:sz w:val="21"/>
                <w:szCs w:val="21"/>
                <w:lang w:eastAsia="zh-CN"/>
              </w:rPr>
              <w:t>普陆页</w:t>
            </w:r>
            <w:r w:rsidR="00902A04" w:rsidRPr="00E67914">
              <w:rPr>
                <w:rFonts w:ascii="Times New Roman" w:hAnsi="Times New Roman"/>
                <w:sz w:val="21"/>
                <w:szCs w:val="21"/>
                <w:lang w:eastAsia="zh-CN"/>
              </w:rPr>
              <w:t>2</w:t>
            </w:r>
            <w:r w:rsidRPr="00E67914">
              <w:rPr>
                <w:rFonts w:ascii="Times New Roman" w:hAnsi="Times New Roman"/>
                <w:sz w:val="21"/>
                <w:szCs w:val="21"/>
                <w:lang w:eastAsia="zh-CN"/>
              </w:rPr>
              <w:t>井场</w:t>
            </w:r>
            <w:r w:rsidR="006956BC" w:rsidRPr="00E67914">
              <w:rPr>
                <w:rFonts w:ascii="Times New Roman" w:hAnsi="Times New Roman"/>
                <w:sz w:val="21"/>
                <w:szCs w:val="21"/>
                <w:lang w:eastAsia="zh-CN"/>
              </w:rPr>
              <w:t>进场道路，长约</w:t>
            </w:r>
            <w:r w:rsidRPr="00E67914">
              <w:rPr>
                <w:rFonts w:ascii="Times New Roman" w:hAnsi="Times New Roman"/>
                <w:sz w:val="21"/>
                <w:szCs w:val="21"/>
                <w:lang w:eastAsia="zh-CN"/>
              </w:rPr>
              <w:t>11</w:t>
            </w:r>
            <w:r w:rsidR="006956BC" w:rsidRPr="00E67914">
              <w:rPr>
                <w:rFonts w:ascii="Times New Roman" w:hAnsi="Times New Roman"/>
                <w:sz w:val="21"/>
                <w:szCs w:val="21"/>
                <w:lang w:eastAsia="zh-CN"/>
              </w:rPr>
              <w:t>0m</w:t>
            </w:r>
            <w:r w:rsidRPr="00E67914">
              <w:rPr>
                <w:rFonts w:ascii="Times New Roman" w:hAnsi="Times New Roman"/>
                <w:sz w:val="21"/>
                <w:szCs w:val="21"/>
                <w:lang w:eastAsia="zh-CN"/>
              </w:rPr>
              <w:t>，宽</w:t>
            </w:r>
            <w:r w:rsidRPr="00E67914">
              <w:rPr>
                <w:rFonts w:ascii="Times New Roman" w:hAnsi="Times New Roman"/>
                <w:sz w:val="21"/>
                <w:szCs w:val="21"/>
                <w:lang w:eastAsia="zh-CN"/>
              </w:rPr>
              <w:t>4.5m</w:t>
            </w:r>
          </w:p>
        </w:tc>
        <w:tc>
          <w:tcPr>
            <w:tcW w:w="1669" w:type="dxa"/>
            <w:vAlign w:val="center"/>
          </w:tcPr>
          <w:p w14:paraId="04AC2A1F" w14:textId="76341F75" w:rsidR="006956BC" w:rsidRPr="00E67914" w:rsidRDefault="006956BC" w:rsidP="006956B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噪声、扬尘等</w:t>
            </w:r>
          </w:p>
        </w:tc>
        <w:tc>
          <w:tcPr>
            <w:tcW w:w="1034" w:type="dxa"/>
            <w:vAlign w:val="center"/>
          </w:tcPr>
          <w:p w14:paraId="5BD88E4C" w14:textId="160A08DD" w:rsidR="006956BC" w:rsidRPr="00E67914" w:rsidRDefault="007D6A42" w:rsidP="006956B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1B5365C8" w14:textId="77777777">
        <w:trPr>
          <w:jc w:val="center"/>
        </w:trPr>
        <w:tc>
          <w:tcPr>
            <w:tcW w:w="581" w:type="dxa"/>
            <w:vMerge w:val="restart"/>
            <w:vAlign w:val="center"/>
          </w:tcPr>
          <w:p w14:paraId="7F882BAA"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rPr>
              <w:t>环保工程</w:t>
            </w:r>
          </w:p>
        </w:tc>
        <w:tc>
          <w:tcPr>
            <w:tcW w:w="1076" w:type="dxa"/>
            <w:vAlign w:val="center"/>
          </w:tcPr>
          <w:p w14:paraId="260023D4"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rPr>
              <w:t>生活污水收集</w:t>
            </w:r>
          </w:p>
        </w:tc>
        <w:tc>
          <w:tcPr>
            <w:tcW w:w="3862" w:type="dxa"/>
            <w:vAlign w:val="center"/>
          </w:tcPr>
          <w:p w14:paraId="6E6B3449"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新建生态厕所</w:t>
            </w:r>
          </w:p>
        </w:tc>
        <w:tc>
          <w:tcPr>
            <w:tcW w:w="1669" w:type="dxa"/>
            <w:vAlign w:val="center"/>
          </w:tcPr>
          <w:p w14:paraId="21C1BE2C"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rPr>
              <w:t>生活污水</w:t>
            </w:r>
          </w:p>
        </w:tc>
        <w:tc>
          <w:tcPr>
            <w:tcW w:w="1034" w:type="dxa"/>
            <w:vAlign w:val="center"/>
          </w:tcPr>
          <w:p w14:paraId="20A955F5"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新建</w:t>
            </w:r>
          </w:p>
        </w:tc>
      </w:tr>
      <w:tr w:rsidR="002662E3" w:rsidRPr="00E67914" w14:paraId="00A98D38" w14:textId="77777777">
        <w:trPr>
          <w:jc w:val="center"/>
        </w:trPr>
        <w:tc>
          <w:tcPr>
            <w:tcW w:w="581" w:type="dxa"/>
            <w:vMerge/>
            <w:vAlign w:val="center"/>
          </w:tcPr>
          <w:p w14:paraId="697471F6" w14:textId="77777777" w:rsidR="006956BC" w:rsidRPr="00E67914" w:rsidRDefault="006956BC" w:rsidP="006956BC">
            <w:pPr>
              <w:adjustRightInd w:val="0"/>
              <w:snapToGrid w:val="0"/>
              <w:jc w:val="center"/>
              <w:rPr>
                <w:rFonts w:ascii="Times New Roman" w:hAnsi="Times New Roman"/>
                <w:sz w:val="21"/>
                <w:szCs w:val="21"/>
              </w:rPr>
            </w:pPr>
          </w:p>
        </w:tc>
        <w:tc>
          <w:tcPr>
            <w:tcW w:w="1076" w:type="dxa"/>
            <w:vAlign w:val="center"/>
          </w:tcPr>
          <w:p w14:paraId="3344CF12"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rPr>
              <w:t>排水、排污沟</w:t>
            </w:r>
          </w:p>
        </w:tc>
        <w:tc>
          <w:tcPr>
            <w:tcW w:w="3862" w:type="dxa"/>
            <w:vAlign w:val="center"/>
          </w:tcPr>
          <w:p w14:paraId="71C8C42C" w14:textId="64822269" w:rsidR="006956BC" w:rsidRPr="00E67914" w:rsidRDefault="006956BC" w:rsidP="006956B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采用雨污分流设计，新建</w:t>
            </w:r>
            <w:r w:rsidRPr="00E67914">
              <w:rPr>
                <w:rFonts w:ascii="Times New Roman" w:hAnsi="Times New Roman"/>
                <w:sz w:val="21"/>
                <w:szCs w:val="21"/>
                <w:lang w:eastAsia="zh-CN"/>
              </w:rPr>
              <w:t>0.3</w:t>
            </w:r>
            <w:r w:rsidR="007D6A42" w:rsidRPr="00E67914">
              <w:rPr>
                <w:rFonts w:ascii="Times New Roman" w:hAnsi="Times New Roman"/>
                <w:sz w:val="21"/>
                <w:szCs w:val="21"/>
                <w:lang w:eastAsia="zh-CN"/>
              </w:rPr>
              <w:t>5</w:t>
            </w:r>
            <w:r w:rsidRPr="00E67914">
              <w:rPr>
                <w:rFonts w:ascii="Times New Roman" w:hAnsi="Times New Roman"/>
                <w:sz w:val="21"/>
                <w:szCs w:val="21"/>
                <w:lang w:eastAsia="zh-CN"/>
              </w:rPr>
              <w:t>m</w:t>
            </w:r>
            <w:r w:rsidRPr="00E67914">
              <w:rPr>
                <w:rFonts w:ascii="Times New Roman" w:hAnsi="Times New Roman"/>
                <w:sz w:val="21"/>
                <w:szCs w:val="21"/>
                <w:lang w:eastAsia="zh-CN"/>
              </w:rPr>
              <w:t>宽环状排污沟</w:t>
            </w:r>
            <w:r w:rsidRPr="00E67914">
              <w:rPr>
                <w:rFonts w:ascii="Times New Roman" w:hAnsi="Times New Roman"/>
                <w:sz w:val="21"/>
                <w:szCs w:val="21"/>
                <w:lang w:eastAsia="zh-CN"/>
              </w:rPr>
              <w:t>3</w:t>
            </w:r>
            <w:r w:rsidR="007D6A42" w:rsidRPr="00E67914">
              <w:rPr>
                <w:rFonts w:ascii="Times New Roman" w:hAnsi="Times New Roman"/>
                <w:sz w:val="21"/>
                <w:szCs w:val="21"/>
                <w:lang w:eastAsia="zh-CN"/>
              </w:rPr>
              <w:t>5</w:t>
            </w:r>
            <w:r w:rsidRPr="00E67914">
              <w:rPr>
                <w:rFonts w:ascii="Times New Roman" w:hAnsi="Times New Roman"/>
                <w:sz w:val="21"/>
                <w:szCs w:val="21"/>
                <w:lang w:eastAsia="zh-CN"/>
              </w:rPr>
              <w:t>0m</w:t>
            </w:r>
            <w:r w:rsidRPr="00E67914">
              <w:rPr>
                <w:rFonts w:ascii="Times New Roman" w:hAnsi="Times New Roman"/>
                <w:sz w:val="21"/>
                <w:szCs w:val="21"/>
                <w:lang w:eastAsia="zh-CN"/>
              </w:rPr>
              <w:t>，</w:t>
            </w:r>
            <w:r w:rsidR="007D6A42" w:rsidRPr="00E67914">
              <w:rPr>
                <w:rFonts w:ascii="Times New Roman" w:hAnsi="Times New Roman"/>
                <w:sz w:val="21"/>
                <w:szCs w:val="21"/>
                <w:lang w:eastAsia="zh-CN"/>
              </w:rPr>
              <w:t>0.7m</w:t>
            </w:r>
            <w:r w:rsidR="007D6A42" w:rsidRPr="00E67914">
              <w:rPr>
                <w:rFonts w:ascii="Times New Roman" w:hAnsi="Times New Roman"/>
                <w:sz w:val="21"/>
                <w:szCs w:val="21"/>
                <w:lang w:eastAsia="zh-CN"/>
              </w:rPr>
              <w:t>宽排水沟</w:t>
            </w:r>
            <w:r w:rsidR="007D6A42" w:rsidRPr="00E67914">
              <w:rPr>
                <w:rFonts w:ascii="Times New Roman" w:hAnsi="Times New Roman"/>
                <w:sz w:val="21"/>
                <w:szCs w:val="21"/>
                <w:lang w:eastAsia="zh-CN"/>
              </w:rPr>
              <w:t>344m</w:t>
            </w:r>
            <w:r w:rsidR="007D6A42" w:rsidRPr="00E67914">
              <w:rPr>
                <w:rFonts w:ascii="Times New Roman" w:hAnsi="Times New Roman"/>
                <w:sz w:val="21"/>
                <w:szCs w:val="21"/>
                <w:lang w:eastAsia="zh-CN"/>
              </w:rPr>
              <w:t>，</w:t>
            </w:r>
            <w:r w:rsidR="007D6A42" w:rsidRPr="00E67914">
              <w:rPr>
                <w:rFonts w:ascii="Times New Roman" w:hAnsi="Times New Roman"/>
                <w:sz w:val="21"/>
                <w:szCs w:val="21"/>
                <w:lang w:eastAsia="zh-CN"/>
              </w:rPr>
              <w:t>1.5m</w:t>
            </w:r>
            <w:r w:rsidR="007D6A42" w:rsidRPr="00E67914">
              <w:rPr>
                <w:rFonts w:ascii="Times New Roman" w:hAnsi="Times New Roman"/>
                <w:sz w:val="21"/>
                <w:szCs w:val="21"/>
                <w:lang w:eastAsia="zh-CN"/>
              </w:rPr>
              <w:t>宽截水沟</w:t>
            </w:r>
            <w:r w:rsidR="007D6A42" w:rsidRPr="00E67914">
              <w:rPr>
                <w:rFonts w:ascii="Times New Roman" w:hAnsi="Times New Roman"/>
                <w:sz w:val="21"/>
                <w:szCs w:val="21"/>
                <w:lang w:eastAsia="zh-CN"/>
              </w:rPr>
              <w:t>160m</w:t>
            </w:r>
          </w:p>
        </w:tc>
        <w:tc>
          <w:tcPr>
            <w:tcW w:w="1669" w:type="dxa"/>
            <w:vAlign w:val="center"/>
          </w:tcPr>
          <w:p w14:paraId="3E1AB5A2" w14:textId="77777777" w:rsidR="006956BC" w:rsidRPr="00E67914" w:rsidRDefault="006956BC" w:rsidP="006956B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场地雨水</w:t>
            </w:r>
          </w:p>
        </w:tc>
        <w:tc>
          <w:tcPr>
            <w:tcW w:w="1034" w:type="dxa"/>
            <w:vAlign w:val="center"/>
          </w:tcPr>
          <w:p w14:paraId="21B6E630" w14:textId="6F6F00C4" w:rsidR="006956BC" w:rsidRPr="00E67914" w:rsidRDefault="006956BC" w:rsidP="006956B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398F7447" w14:textId="77777777">
        <w:trPr>
          <w:jc w:val="center"/>
        </w:trPr>
        <w:tc>
          <w:tcPr>
            <w:tcW w:w="581" w:type="dxa"/>
            <w:vMerge/>
            <w:vAlign w:val="center"/>
          </w:tcPr>
          <w:p w14:paraId="039B3F4A" w14:textId="77777777" w:rsidR="006956BC" w:rsidRPr="00E67914" w:rsidRDefault="006956BC" w:rsidP="006956BC">
            <w:pPr>
              <w:adjustRightInd w:val="0"/>
              <w:snapToGrid w:val="0"/>
              <w:jc w:val="center"/>
              <w:rPr>
                <w:rFonts w:ascii="Times New Roman" w:hAnsi="Times New Roman"/>
                <w:sz w:val="21"/>
                <w:szCs w:val="21"/>
                <w:lang w:eastAsia="zh-CN"/>
              </w:rPr>
            </w:pPr>
          </w:p>
        </w:tc>
        <w:tc>
          <w:tcPr>
            <w:tcW w:w="1076" w:type="dxa"/>
            <w:vAlign w:val="center"/>
          </w:tcPr>
          <w:p w14:paraId="75D7B839"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rPr>
              <w:t>生活垃圾收集</w:t>
            </w:r>
          </w:p>
        </w:tc>
        <w:tc>
          <w:tcPr>
            <w:tcW w:w="3862" w:type="dxa"/>
            <w:vAlign w:val="center"/>
          </w:tcPr>
          <w:p w14:paraId="6FC34CD6" w14:textId="77777777" w:rsidR="006956BC" w:rsidRPr="00E67914" w:rsidRDefault="006956BC" w:rsidP="006956B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生活垃圾设置垃圾桶集中收集，交由当地环卫部门处置</w:t>
            </w:r>
          </w:p>
        </w:tc>
        <w:tc>
          <w:tcPr>
            <w:tcW w:w="1669" w:type="dxa"/>
            <w:vAlign w:val="center"/>
          </w:tcPr>
          <w:p w14:paraId="32679E83"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rPr>
              <w:t>生活垃圾</w:t>
            </w:r>
          </w:p>
        </w:tc>
        <w:tc>
          <w:tcPr>
            <w:tcW w:w="1034" w:type="dxa"/>
            <w:vAlign w:val="center"/>
          </w:tcPr>
          <w:p w14:paraId="4C38C94D" w14:textId="77777777" w:rsidR="006956BC" w:rsidRPr="00E67914" w:rsidRDefault="006956BC" w:rsidP="006956BC">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新建</w:t>
            </w:r>
          </w:p>
        </w:tc>
      </w:tr>
    </w:tbl>
    <w:p w14:paraId="4F6C9172" w14:textId="3500EC3C" w:rsidR="00A54A8A" w:rsidRPr="00E67914" w:rsidRDefault="00000000">
      <w:pPr>
        <w:adjustRightInd w:val="0"/>
        <w:snapToGrid w:val="0"/>
        <w:spacing w:beforeLines="50" w:before="120"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2</w:t>
      </w:r>
      <w:r w:rsidRPr="00E67914">
        <w:rPr>
          <w:rFonts w:ascii="Times New Roman" w:hAnsi="Times New Roman"/>
          <w:b/>
          <w:bCs/>
          <w:sz w:val="24"/>
          <w:lang w:eastAsia="zh-CN"/>
        </w:rPr>
        <w:t>）</w:t>
      </w:r>
      <w:r w:rsidR="00067E4D" w:rsidRPr="00E67914">
        <w:rPr>
          <w:rFonts w:ascii="Times New Roman" w:hAnsi="Times New Roman"/>
          <w:b/>
          <w:bCs/>
          <w:sz w:val="24"/>
          <w:lang w:eastAsia="zh-CN"/>
        </w:rPr>
        <w:t>钻井工程</w:t>
      </w:r>
    </w:p>
    <w:p w14:paraId="1314B176" w14:textId="30C34276"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钻井工程主要包括利用钻前工程构筑的井场以及设备基础对场内布置的普陆</w:t>
      </w:r>
      <w:r w:rsidR="00067E4D" w:rsidRPr="00E67914">
        <w:rPr>
          <w:rFonts w:ascii="Times New Roman" w:hAnsi="Times New Roman"/>
          <w:sz w:val="24"/>
          <w:lang w:eastAsia="zh-CN"/>
        </w:rPr>
        <w:t>页</w:t>
      </w:r>
      <w:r w:rsidR="00067E4D" w:rsidRPr="00E67914">
        <w:rPr>
          <w:rFonts w:ascii="Times New Roman" w:hAnsi="Times New Roman"/>
          <w:sz w:val="24"/>
          <w:lang w:eastAsia="zh-CN"/>
        </w:rPr>
        <w:t>2-1</w:t>
      </w:r>
      <w:r w:rsidR="00067E4D" w:rsidRPr="00E67914">
        <w:rPr>
          <w:rFonts w:ascii="Times New Roman" w:hAnsi="Times New Roman"/>
          <w:sz w:val="24"/>
          <w:lang w:eastAsia="zh-CN"/>
        </w:rPr>
        <w:t>、陆页</w:t>
      </w:r>
      <w:r w:rsidR="00067E4D" w:rsidRPr="00E67914">
        <w:rPr>
          <w:rFonts w:ascii="Times New Roman" w:hAnsi="Times New Roman"/>
          <w:sz w:val="24"/>
          <w:lang w:eastAsia="zh-CN"/>
        </w:rPr>
        <w:t>2-2</w:t>
      </w:r>
      <w:r w:rsidR="00067E4D" w:rsidRPr="00E67914">
        <w:rPr>
          <w:rFonts w:ascii="Times New Roman" w:hAnsi="Times New Roman"/>
          <w:sz w:val="24"/>
          <w:lang w:eastAsia="zh-CN"/>
        </w:rPr>
        <w:t>、陆页</w:t>
      </w:r>
      <w:r w:rsidR="00067E4D" w:rsidRPr="00E67914">
        <w:rPr>
          <w:rFonts w:ascii="Times New Roman" w:hAnsi="Times New Roman"/>
          <w:sz w:val="24"/>
          <w:lang w:eastAsia="zh-CN"/>
        </w:rPr>
        <w:t>2-3</w:t>
      </w:r>
      <w:r w:rsidR="00067E4D" w:rsidRPr="00E67914">
        <w:rPr>
          <w:rFonts w:ascii="Times New Roman" w:hAnsi="Times New Roman"/>
          <w:sz w:val="24"/>
          <w:lang w:eastAsia="zh-CN"/>
        </w:rPr>
        <w:t>三口井</w:t>
      </w:r>
      <w:r w:rsidRPr="00E67914">
        <w:rPr>
          <w:rFonts w:ascii="Times New Roman" w:hAnsi="Times New Roman"/>
          <w:sz w:val="24"/>
          <w:lang w:eastAsia="zh-CN"/>
        </w:rPr>
        <w:t>实施钻井、套管固井及压裂试气作业。主要工程内容和工程量见表</w:t>
      </w:r>
      <w:r w:rsidRPr="00E67914">
        <w:rPr>
          <w:rFonts w:ascii="Times New Roman" w:hAnsi="Times New Roman"/>
          <w:sz w:val="24"/>
          <w:lang w:eastAsia="zh-CN"/>
        </w:rPr>
        <w:t>3.2-6</w:t>
      </w:r>
      <w:r w:rsidRPr="00E67914">
        <w:rPr>
          <w:rFonts w:ascii="Times New Roman" w:hAnsi="Times New Roman"/>
          <w:sz w:val="24"/>
          <w:lang w:eastAsia="zh-CN"/>
        </w:rPr>
        <w:t>。</w:t>
      </w:r>
    </w:p>
    <w:p w14:paraId="1BE8B6B0" w14:textId="0D2AC5F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3.2-6  </w:t>
      </w:r>
      <w:r w:rsidR="00067E4D" w:rsidRPr="00E67914">
        <w:rPr>
          <w:rFonts w:ascii="Times New Roman" w:eastAsia="黑体" w:hAnsi="Times New Roman"/>
          <w:sz w:val="21"/>
          <w:szCs w:val="21"/>
          <w:lang w:eastAsia="zh-CN"/>
        </w:rPr>
        <w:t>钻井工程</w:t>
      </w:r>
      <w:r w:rsidRPr="00E67914">
        <w:rPr>
          <w:rFonts w:ascii="Times New Roman" w:eastAsia="黑体" w:hAnsi="Times New Roman"/>
          <w:sz w:val="21"/>
          <w:szCs w:val="21"/>
          <w:lang w:eastAsia="zh-CN"/>
        </w:rPr>
        <w:t>项目组成及主要环境影响一览表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485"/>
        <w:gridCol w:w="956"/>
        <w:gridCol w:w="3773"/>
        <w:gridCol w:w="1272"/>
        <w:gridCol w:w="1268"/>
      </w:tblGrid>
      <w:tr w:rsidR="00E67914" w:rsidRPr="00E67914" w14:paraId="7222EA16" w14:textId="77777777">
        <w:trPr>
          <w:trHeight w:val="256"/>
          <w:tblHeader/>
          <w:jc w:val="center"/>
        </w:trPr>
        <w:tc>
          <w:tcPr>
            <w:tcW w:w="329" w:type="pct"/>
            <w:vAlign w:val="center"/>
          </w:tcPr>
          <w:p w14:paraId="4A96BA41" w14:textId="77777777" w:rsidR="00A54A8A" w:rsidRPr="00E67914" w:rsidRDefault="00000000">
            <w:pPr>
              <w:jc w:val="center"/>
              <w:rPr>
                <w:rFonts w:ascii="Times New Roman" w:hAnsi="Times New Roman"/>
                <w:b/>
                <w:kern w:val="28"/>
                <w:sz w:val="21"/>
                <w:szCs w:val="21"/>
              </w:rPr>
            </w:pPr>
            <w:r w:rsidRPr="00E67914">
              <w:rPr>
                <w:rFonts w:ascii="Times New Roman" w:hAnsi="Times New Roman"/>
                <w:b/>
                <w:kern w:val="28"/>
                <w:sz w:val="21"/>
                <w:szCs w:val="21"/>
              </w:rPr>
              <w:t>名称</w:t>
            </w:r>
          </w:p>
        </w:tc>
        <w:tc>
          <w:tcPr>
            <w:tcW w:w="868" w:type="pct"/>
            <w:gridSpan w:val="2"/>
            <w:vAlign w:val="center"/>
          </w:tcPr>
          <w:p w14:paraId="13741C31" w14:textId="77777777" w:rsidR="00A54A8A" w:rsidRPr="00E67914" w:rsidRDefault="00000000">
            <w:pPr>
              <w:jc w:val="center"/>
              <w:rPr>
                <w:rFonts w:ascii="Times New Roman" w:hAnsi="Times New Roman"/>
                <w:b/>
                <w:kern w:val="28"/>
                <w:sz w:val="21"/>
                <w:szCs w:val="21"/>
              </w:rPr>
            </w:pPr>
            <w:r w:rsidRPr="00E67914">
              <w:rPr>
                <w:rFonts w:ascii="Times New Roman" w:hAnsi="Times New Roman"/>
                <w:b/>
                <w:kern w:val="28"/>
                <w:sz w:val="21"/>
                <w:szCs w:val="21"/>
              </w:rPr>
              <w:t>建设内容</w:t>
            </w:r>
          </w:p>
        </w:tc>
        <w:tc>
          <w:tcPr>
            <w:tcW w:w="2273" w:type="pct"/>
            <w:vAlign w:val="center"/>
          </w:tcPr>
          <w:p w14:paraId="686A4FB3" w14:textId="77777777" w:rsidR="00A54A8A" w:rsidRPr="00E67914" w:rsidRDefault="00000000">
            <w:pPr>
              <w:jc w:val="center"/>
              <w:rPr>
                <w:rFonts w:ascii="Times New Roman" w:hAnsi="Times New Roman"/>
                <w:b/>
                <w:kern w:val="28"/>
                <w:sz w:val="21"/>
                <w:szCs w:val="21"/>
              </w:rPr>
            </w:pPr>
            <w:r w:rsidRPr="00E67914">
              <w:rPr>
                <w:rFonts w:ascii="Times New Roman" w:hAnsi="Times New Roman"/>
                <w:b/>
                <w:kern w:val="28"/>
                <w:sz w:val="21"/>
                <w:szCs w:val="21"/>
              </w:rPr>
              <w:t>建设规模</w:t>
            </w:r>
          </w:p>
        </w:tc>
        <w:tc>
          <w:tcPr>
            <w:tcW w:w="766" w:type="pct"/>
            <w:vAlign w:val="center"/>
          </w:tcPr>
          <w:p w14:paraId="5180864E" w14:textId="77777777" w:rsidR="00A54A8A" w:rsidRPr="00E67914" w:rsidRDefault="00000000">
            <w:pPr>
              <w:jc w:val="center"/>
              <w:rPr>
                <w:rFonts w:ascii="Times New Roman" w:hAnsi="Times New Roman"/>
                <w:b/>
                <w:kern w:val="28"/>
                <w:sz w:val="21"/>
                <w:szCs w:val="21"/>
              </w:rPr>
            </w:pPr>
            <w:r w:rsidRPr="00E67914">
              <w:rPr>
                <w:rFonts w:ascii="Times New Roman" w:hAnsi="Times New Roman"/>
                <w:b/>
                <w:kern w:val="28"/>
                <w:sz w:val="21"/>
                <w:szCs w:val="21"/>
              </w:rPr>
              <w:t>可能产生的环境影响</w:t>
            </w:r>
          </w:p>
        </w:tc>
        <w:tc>
          <w:tcPr>
            <w:tcW w:w="764" w:type="pct"/>
            <w:vAlign w:val="center"/>
          </w:tcPr>
          <w:p w14:paraId="4AAD36FA" w14:textId="77777777" w:rsidR="00A54A8A" w:rsidRPr="00E67914" w:rsidRDefault="00000000">
            <w:pPr>
              <w:jc w:val="center"/>
              <w:rPr>
                <w:rFonts w:ascii="Times New Roman" w:hAnsi="Times New Roman"/>
                <w:b/>
                <w:kern w:val="28"/>
                <w:sz w:val="21"/>
                <w:szCs w:val="21"/>
              </w:rPr>
            </w:pPr>
            <w:r w:rsidRPr="00E67914">
              <w:rPr>
                <w:rFonts w:ascii="Times New Roman" w:hAnsi="Times New Roman"/>
                <w:b/>
                <w:kern w:val="28"/>
                <w:sz w:val="21"/>
                <w:szCs w:val="21"/>
                <w:lang w:eastAsia="zh-CN"/>
              </w:rPr>
              <w:t>备注</w:t>
            </w:r>
          </w:p>
        </w:tc>
      </w:tr>
      <w:tr w:rsidR="00E67914" w:rsidRPr="00E67914" w14:paraId="499DF6DE" w14:textId="77777777">
        <w:trPr>
          <w:trHeight w:val="397"/>
          <w:jc w:val="center"/>
        </w:trPr>
        <w:tc>
          <w:tcPr>
            <w:tcW w:w="329" w:type="pct"/>
            <w:vMerge w:val="restart"/>
            <w:vAlign w:val="center"/>
          </w:tcPr>
          <w:p w14:paraId="407B42F5" w14:textId="77777777" w:rsidR="00067E4D" w:rsidRPr="00E67914" w:rsidRDefault="00067E4D">
            <w:pPr>
              <w:jc w:val="center"/>
              <w:rPr>
                <w:rFonts w:ascii="Times New Roman" w:hAnsi="Times New Roman"/>
                <w:kern w:val="28"/>
                <w:sz w:val="21"/>
                <w:szCs w:val="21"/>
              </w:rPr>
            </w:pPr>
            <w:r w:rsidRPr="00E67914">
              <w:rPr>
                <w:rFonts w:ascii="Times New Roman" w:hAnsi="Times New Roman"/>
                <w:kern w:val="28"/>
                <w:sz w:val="21"/>
                <w:szCs w:val="21"/>
              </w:rPr>
              <w:t>主体工程</w:t>
            </w:r>
          </w:p>
        </w:tc>
        <w:tc>
          <w:tcPr>
            <w:tcW w:w="868" w:type="pct"/>
            <w:gridSpan w:val="2"/>
            <w:vAlign w:val="center"/>
          </w:tcPr>
          <w:p w14:paraId="53C4794F" w14:textId="77777777" w:rsidR="00067E4D" w:rsidRPr="00E67914" w:rsidRDefault="00067E4D">
            <w:pPr>
              <w:jc w:val="center"/>
              <w:rPr>
                <w:rFonts w:ascii="Times New Roman" w:hAnsi="Times New Roman"/>
                <w:kern w:val="28"/>
                <w:sz w:val="21"/>
                <w:szCs w:val="21"/>
              </w:rPr>
            </w:pPr>
            <w:r w:rsidRPr="00E67914">
              <w:rPr>
                <w:rFonts w:ascii="Times New Roman" w:hAnsi="Times New Roman"/>
                <w:kern w:val="28"/>
                <w:sz w:val="21"/>
                <w:szCs w:val="21"/>
              </w:rPr>
              <w:t>钻井</w:t>
            </w:r>
            <w:r w:rsidRPr="00E67914">
              <w:rPr>
                <w:rFonts w:ascii="Times New Roman" w:hAnsi="Times New Roman"/>
                <w:kern w:val="28"/>
                <w:sz w:val="21"/>
                <w:szCs w:val="21"/>
                <w:lang w:eastAsia="zh-CN"/>
              </w:rPr>
              <w:t>作业</w:t>
            </w:r>
          </w:p>
        </w:tc>
        <w:tc>
          <w:tcPr>
            <w:tcW w:w="2273" w:type="pct"/>
            <w:vAlign w:val="center"/>
          </w:tcPr>
          <w:p w14:paraId="336EB067" w14:textId="2509618C" w:rsidR="00067E4D" w:rsidRPr="00E67914" w:rsidRDefault="00067E4D">
            <w:pPr>
              <w:pStyle w:val="1CharCharCharChar"/>
              <w:jc w:val="center"/>
              <w:rPr>
                <w:szCs w:val="21"/>
              </w:rPr>
            </w:pPr>
            <w:r w:rsidRPr="00E67914">
              <w:rPr>
                <w:szCs w:val="21"/>
              </w:rPr>
              <w:t>设计井深</w:t>
            </w:r>
            <w:r w:rsidRPr="00E67914">
              <w:rPr>
                <w:szCs w:val="21"/>
              </w:rPr>
              <w:t>5013~5527m</w:t>
            </w:r>
            <w:r w:rsidRPr="00E67914">
              <w:rPr>
                <w:szCs w:val="21"/>
              </w:rPr>
              <w:t>，全井采用常规钻井液体系，</w:t>
            </w:r>
            <w:r w:rsidR="00524AE4" w:rsidRPr="00E67914">
              <w:rPr>
                <w:szCs w:val="21"/>
              </w:rPr>
              <w:t>一开膨润土浆或聚合物钻井液，二开采用氯化钾聚合物润滑防塌钻井液，三开采用油基钻井液</w:t>
            </w:r>
          </w:p>
        </w:tc>
        <w:tc>
          <w:tcPr>
            <w:tcW w:w="766" w:type="pct"/>
            <w:vMerge w:val="restart"/>
            <w:vAlign w:val="center"/>
          </w:tcPr>
          <w:p w14:paraId="11C36260" w14:textId="77777777" w:rsidR="00067E4D" w:rsidRPr="00E67914" w:rsidRDefault="00067E4D">
            <w:pPr>
              <w:jc w:val="center"/>
              <w:rPr>
                <w:rFonts w:ascii="Times New Roman" w:hAnsi="Times New Roman"/>
                <w:kern w:val="28"/>
                <w:sz w:val="21"/>
                <w:szCs w:val="21"/>
                <w:lang w:eastAsia="zh-CN"/>
              </w:rPr>
            </w:pPr>
            <w:r w:rsidRPr="00E67914">
              <w:rPr>
                <w:rFonts w:ascii="Times New Roman" w:hAnsi="Times New Roman"/>
                <w:kern w:val="28"/>
                <w:sz w:val="21"/>
                <w:szCs w:val="21"/>
                <w:lang w:eastAsia="zh-CN"/>
              </w:rPr>
              <w:t>作业废水及员工生活污水；岩屑及废泥浆、员工生活垃圾；钻井设备噪声</w:t>
            </w:r>
          </w:p>
        </w:tc>
        <w:tc>
          <w:tcPr>
            <w:tcW w:w="764" w:type="pct"/>
            <w:vAlign w:val="center"/>
          </w:tcPr>
          <w:p w14:paraId="0FA1B4B3" w14:textId="77777777" w:rsidR="00067E4D" w:rsidRPr="00E67914" w:rsidRDefault="00067E4D">
            <w:pPr>
              <w:jc w:val="center"/>
              <w:rPr>
                <w:rFonts w:ascii="Times New Roman" w:hAnsi="Times New Roman"/>
                <w:kern w:val="28"/>
                <w:sz w:val="21"/>
                <w:szCs w:val="21"/>
                <w:lang w:eastAsia="zh-CN"/>
              </w:rPr>
            </w:pPr>
            <w:r w:rsidRPr="00E67914">
              <w:rPr>
                <w:rFonts w:ascii="Times New Roman" w:hAnsi="Times New Roman"/>
                <w:sz w:val="21"/>
                <w:szCs w:val="21"/>
                <w:lang w:eastAsia="zh-CN"/>
              </w:rPr>
              <w:t>新建</w:t>
            </w:r>
          </w:p>
        </w:tc>
      </w:tr>
      <w:tr w:rsidR="00E67914" w:rsidRPr="00E67914" w14:paraId="2FA11B68" w14:textId="77777777">
        <w:trPr>
          <w:trHeight w:val="397"/>
          <w:jc w:val="center"/>
        </w:trPr>
        <w:tc>
          <w:tcPr>
            <w:tcW w:w="329" w:type="pct"/>
            <w:vMerge/>
            <w:vAlign w:val="center"/>
          </w:tcPr>
          <w:p w14:paraId="25CAB007" w14:textId="77777777" w:rsidR="00067E4D" w:rsidRPr="00E67914" w:rsidRDefault="00067E4D">
            <w:pPr>
              <w:jc w:val="center"/>
              <w:rPr>
                <w:rFonts w:ascii="Times New Roman" w:hAnsi="Times New Roman"/>
                <w:kern w:val="28"/>
                <w:sz w:val="21"/>
                <w:szCs w:val="21"/>
              </w:rPr>
            </w:pPr>
          </w:p>
        </w:tc>
        <w:tc>
          <w:tcPr>
            <w:tcW w:w="868" w:type="pct"/>
            <w:gridSpan w:val="2"/>
            <w:vAlign w:val="center"/>
          </w:tcPr>
          <w:p w14:paraId="6BCFC479" w14:textId="287A0A45" w:rsidR="00067E4D" w:rsidRPr="00E67914" w:rsidRDefault="00067E4D">
            <w:pPr>
              <w:jc w:val="center"/>
              <w:rPr>
                <w:rFonts w:ascii="Times New Roman" w:hAnsi="Times New Roman"/>
                <w:kern w:val="28"/>
                <w:sz w:val="21"/>
                <w:szCs w:val="21"/>
              </w:rPr>
            </w:pPr>
            <w:r w:rsidRPr="00E67914">
              <w:rPr>
                <w:rFonts w:ascii="Times New Roman" w:hAnsi="Times New Roman"/>
                <w:kern w:val="28"/>
                <w:sz w:val="21"/>
                <w:szCs w:val="21"/>
                <w:lang w:eastAsia="zh-CN"/>
              </w:rPr>
              <w:t>固井作业</w:t>
            </w:r>
          </w:p>
        </w:tc>
        <w:tc>
          <w:tcPr>
            <w:tcW w:w="2273" w:type="pct"/>
            <w:vAlign w:val="center"/>
          </w:tcPr>
          <w:p w14:paraId="1CB13E2F" w14:textId="03E3CD90" w:rsidR="00067E4D" w:rsidRPr="00E67914" w:rsidRDefault="00067E4D">
            <w:pPr>
              <w:pStyle w:val="1CharCharCharChar"/>
              <w:jc w:val="center"/>
              <w:rPr>
                <w:szCs w:val="21"/>
              </w:rPr>
            </w:pPr>
            <w:r w:rsidRPr="00E67914">
              <w:rPr>
                <w:szCs w:val="21"/>
              </w:rPr>
              <w:t>一开采用常规固井，二开采用变密度固井，领浆采用漂珠低密度水泥浆，尾浆采用增韧防漏水泥浆。三开领浆采用常规低密度水泥浆，尾浆采用增韧防窜水泥浆</w:t>
            </w:r>
          </w:p>
        </w:tc>
        <w:tc>
          <w:tcPr>
            <w:tcW w:w="766" w:type="pct"/>
            <w:vMerge/>
            <w:vAlign w:val="center"/>
          </w:tcPr>
          <w:p w14:paraId="56AB5E06" w14:textId="77777777" w:rsidR="00067E4D" w:rsidRPr="00E67914" w:rsidRDefault="00067E4D">
            <w:pPr>
              <w:jc w:val="center"/>
              <w:rPr>
                <w:rFonts w:ascii="Times New Roman" w:hAnsi="Times New Roman"/>
                <w:kern w:val="28"/>
                <w:sz w:val="21"/>
                <w:szCs w:val="21"/>
                <w:lang w:eastAsia="zh-CN"/>
              </w:rPr>
            </w:pPr>
          </w:p>
        </w:tc>
        <w:tc>
          <w:tcPr>
            <w:tcW w:w="764" w:type="pct"/>
            <w:vAlign w:val="center"/>
          </w:tcPr>
          <w:p w14:paraId="0742FAED" w14:textId="1C365BF8" w:rsidR="00067E4D" w:rsidRPr="00E67914" w:rsidRDefault="00067E4D">
            <w:pPr>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E67914" w:rsidRPr="00E67914" w14:paraId="202C9855" w14:textId="77777777">
        <w:trPr>
          <w:trHeight w:val="397"/>
          <w:jc w:val="center"/>
        </w:trPr>
        <w:tc>
          <w:tcPr>
            <w:tcW w:w="329" w:type="pct"/>
            <w:vMerge/>
            <w:vAlign w:val="center"/>
          </w:tcPr>
          <w:p w14:paraId="4C147332" w14:textId="77777777" w:rsidR="00A54A8A" w:rsidRPr="00E67914" w:rsidRDefault="00A54A8A">
            <w:pPr>
              <w:jc w:val="center"/>
              <w:rPr>
                <w:rFonts w:ascii="Times New Roman" w:hAnsi="Times New Roman"/>
                <w:kern w:val="28"/>
                <w:sz w:val="21"/>
                <w:szCs w:val="21"/>
                <w:lang w:eastAsia="zh-CN"/>
              </w:rPr>
            </w:pPr>
          </w:p>
        </w:tc>
        <w:tc>
          <w:tcPr>
            <w:tcW w:w="868" w:type="pct"/>
            <w:gridSpan w:val="2"/>
            <w:vAlign w:val="center"/>
          </w:tcPr>
          <w:p w14:paraId="4794291E"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完钻测试作业</w:t>
            </w:r>
          </w:p>
        </w:tc>
        <w:tc>
          <w:tcPr>
            <w:tcW w:w="2273" w:type="pct"/>
            <w:vAlign w:val="center"/>
          </w:tcPr>
          <w:p w14:paraId="19FA4994" w14:textId="4E351471" w:rsidR="00A54A8A" w:rsidRPr="00E67914" w:rsidRDefault="00000000">
            <w:pPr>
              <w:jc w:val="center"/>
              <w:rPr>
                <w:rFonts w:ascii="Times New Roman" w:hAnsi="Times New Roman"/>
                <w:kern w:val="28"/>
                <w:sz w:val="21"/>
                <w:szCs w:val="21"/>
                <w:lang w:eastAsia="zh-CN"/>
              </w:rPr>
            </w:pPr>
            <w:r w:rsidRPr="00E67914">
              <w:rPr>
                <w:rFonts w:ascii="Times New Roman" w:hAnsi="Times New Roman"/>
                <w:kern w:val="28"/>
                <w:sz w:val="21"/>
                <w:szCs w:val="21"/>
                <w:lang w:eastAsia="zh-CN"/>
              </w:rPr>
              <w:t>洗井作业、压裂酸化作业、放喷测试</w:t>
            </w:r>
            <w:r w:rsidR="00611A35" w:rsidRPr="00E67914">
              <w:rPr>
                <w:rFonts w:ascii="Times New Roman" w:hAnsi="Times New Roman"/>
                <w:kern w:val="28"/>
                <w:sz w:val="21"/>
                <w:szCs w:val="21"/>
                <w:lang w:eastAsia="zh-CN"/>
              </w:rPr>
              <w:t>，采用</w:t>
            </w:r>
            <w:r w:rsidR="00611A35" w:rsidRPr="00E67914">
              <w:rPr>
                <w:rFonts w:ascii="Times New Roman" w:hAnsi="Times New Roman"/>
                <w:kern w:val="28"/>
                <w:sz w:val="21"/>
                <w:szCs w:val="21"/>
                <w:lang w:eastAsia="zh-CN"/>
              </w:rPr>
              <w:t>“</w:t>
            </w:r>
            <w:r w:rsidR="00611A35" w:rsidRPr="00E67914">
              <w:rPr>
                <w:rFonts w:ascii="Times New Roman" w:hAnsi="Times New Roman"/>
                <w:kern w:val="28"/>
                <w:sz w:val="21"/>
                <w:szCs w:val="21"/>
                <w:lang w:eastAsia="zh-CN"/>
              </w:rPr>
              <w:t>密切割</w:t>
            </w:r>
            <w:r w:rsidR="00611A35" w:rsidRPr="00E67914">
              <w:rPr>
                <w:rFonts w:ascii="Times New Roman" w:hAnsi="Times New Roman"/>
                <w:kern w:val="28"/>
                <w:sz w:val="21"/>
                <w:szCs w:val="21"/>
                <w:lang w:eastAsia="zh-CN"/>
              </w:rPr>
              <w:t>+</w:t>
            </w:r>
            <w:r w:rsidR="00611A35" w:rsidRPr="00E67914">
              <w:rPr>
                <w:rFonts w:ascii="Times New Roman" w:hAnsi="Times New Roman"/>
                <w:kern w:val="28"/>
                <w:sz w:val="21"/>
                <w:szCs w:val="21"/>
                <w:lang w:eastAsia="zh-CN"/>
              </w:rPr>
              <w:t>双暂堵</w:t>
            </w:r>
            <w:r w:rsidR="00611A35" w:rsidRPr="00E67914">
              <w:rPr>
                <w:rFonts w:ascii="Times New Roman" w:hAnsi="Times New Roman"/>
                <w:kern w:val="28"/>
                <w:sz w:val="21"/>
                <w:szCs w:val="21"/>
                <w:lang w:eastAsia="zh-CN"/>
              </w:rPr>
              <w:t>+</w:t>
            </w:r>
            <w:r w:rsidR="00611A35" w:rsidRPr="00E67914">
              <w:rPr>
                <w:rFonts w:ascii="Times New Roman" w:hAnsi="Times New Roman"/>
                <w:kern w:val="28"/>
                <w:sz w:val="21"/>
                <w:szCs w:val="21"/>
                <w:lang w:eastAsia="zh-CN"/>
              </w:rPr>
              <w:t>多尺度裂缝强加砂</w:t>
            </w:r>
            <w:r w:rsidR="00611A35" w:rsidRPr="00E67914">
              <w:rPr>
                <w:rFonts w:ascii="Times New Roman" w:hAnsi="Times New Roman"/>
                <w:kern w:val="28"/>
                <w:sz w:val="21"/>
                <w:szCs w:val="21"/>
                <w:lang w:eastAsia="zh-CN"/>
              </w:rPr>
              <w:t>+</w:t>
            </w:r>
            <w:r w:rsidR="00611A35" w:rsidRPr="00E67914">
              <w:rPr>
                <w:rFonts w:ascii="Times New Roman" w:hAnsi="Times New Roman"/>
                <w:kern w:val="28"/>
                <w:sz w:val="21"/>
                <w:szCs w:val="21"/>
                <w:lang w:eastAsia="zh-CN"/>
              </w:rPr>
              <w:t>穿层扩体</w:t>
            </w:r>
            <w:r w:rsidR="00611A35" w:rsidRPr="00E67914">
              <w:rPr>
                <w:rFonts w:ascii="Times New Roman" w:hAnsi="Times New Roman"/>
                <w:kern w:val="28"/>
                <w:sz w:val="21"/>
                <w:szCs w:val="21"/>
                <w:lang w:eastAsia="zh-CN"/>
              </w:rPr>
              <w:t>”</w:t>
            </w:r>
            <w:r w:rsidR="00611A35" w:rsidRPr="00E67914">
              <w:rPr>
                <w:rFonts w:ascii="Times New Roman" w:hAnsi="Times New Roman"/>
                <w:kern w:val="28"/>
                <w:sz w:val="21"/>
                <w:szCs w:val="21"/>
                <w:lang w:eastAsia="zh-CN"/>
              </w:rPr>
              <w:t>压裂工艺技术，尽可能形成复杂裂缝，增加压裂纵向改造范围，提升压裂裂缝支撑效果</w:t>
            </w:r>
          </w:p>
        </w:tc>
        <w:tc>
          <w:tcPr>
            <w:tcW w:w="766" w:type="pct"/>
            <w:vAlign w:val="center"/>
          </w:tcPr>
          <w:p w14:paraId="31E578E6" w14:textId="56A08360" w:rsidR="00A54A8A" w:rsidRPr="00E67914" w:rsidRDefault="00000000">
            <w:pPr>
              <w:jc w:val="center"/>
              <w:rPr>
                <w:rFonts w:ascii="Times New Roman" w:hAnsi="Times New Roman"/>
                <w:kern w:val="28"/>
                <w:sz w:val="21"/>
                <w:szCs w:val="21"/>
                <w:lang w:eastAsia="zh-CN"/>
              </w:rPr>
            </w:pPr>
            <w:r w:rsidRPr="00E67914">
              <w:rPr>
                <w:rFonts w:ascii="Times New Roman" w:hAnsi="Times New Roman"/>
                <w:kern w:val="28"/>
                <w:sz w:val="21"/>
                <w:szCs w:val="21"/>
                <w:lang w:eastAsia="zh-CN"/>
              </w:rPr>
              <w:t>测试产生废气、放喷气流噪声，洗井废水、</w:t>
            </w:r>
            <w:r w:rsidR="00611A35" w:rsidRPr="00E67914">
              <w:rPr>
                <w:rFonts w:ascii="Times New Roman" w:hAnsi="Times New Roman"/>
                <w:kern w:val="28"/>
                <w:sz w:val="21"/>
                <w:szCs w:val="21"/>
                <w:lang w:eastAsia="zh-CN"/>
              </w:rPr>
              <w:t>压裂返排液</w:t>
            </w:r>
          </w:p>
        </w:tc>
        <w:tc>
          <w:tcPr>
            <w:tcW w:w="764" w:type="pct"/>
            <w:vAlign w:val="center"/>
          </w:tcPr>
          <w:p w14:paraId="4B5BE9FE"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rPr>
              <w:t>新建</w:t>
            </w:r>
          </w:p>
        </w:tc>
      </w:tr>
      <w:tr w:rsidR="00E67914" w:rsidRPr="00E67914" w14:paraId="1D7DE514" w14:textId="77777777">
        <w:trPr>
          <w:trHeight w:val="397"/>
          <w:jc w:val="center"/>
        </w:trPr>
        <w:tc>
          <w:tcPr>
            <w:tcW w:w="329" w:type="pct"/>
            <w:vMerge w:val="restart"/>
            <w:vAlign w:val="center"/>
          </w:tcPr>
          <w:p w14:paraId="69DCAD4C"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辅助</w:t>
            </w:r>
            <w:r w:rsidRPr="00E67914">
              <w:rPr>
                <w:rFonts w:ascii="Times New Roman" w:hAnsi="Times New Roman"/>
                <w:kern w:val="28"/>
                <w:sz w:val="21"/>
                <w:szCs w:val="21"/>
              </w:rPr>
              <w:lastRenderedPageBreak/>
              <w:t>工程</w:t>
            </w:r>
          </w:p>
        </w:tc>
        <w:tc>
          <w:tcPr>
            <w:tcW w:w="868" w:type="pct"/>
            <w:gridSpan w:val="2"/>
            <w:vAlign w:val="center"/>
          </w:tcPr>
          <w:p w14:paraId="51F1343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lastRenderedPageBreak/>
              <w:t>泥浆循环系统</w:t>
            </w:r>
          </w:p>
        </w:tc>
        <w:tc>
          <w:tcPr>
            <w:tcW w:w="2273" w:type="pct"/>
            <w:vAlign w:val="center"/>
          </w:tcPr>
          <w:p w14:paraId="2D6C381C"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含振动筛、除砂器、离心机、液气分离器、除泥砂除泥一体机、除气器等装置，及</w:t>
            </w:r>
            <w:r w:rsidRPr="00E67914">
              <w:rPr>
                <w:rFonts w:ascii="Times New Roman" w:hAnsi="Times New Roman"/>
                <w:sz w:val="21"/>
                <w:szCs w:val="21"/>
                <w:lang w:eastAsia="zh-CN"/>
              </w:rPr>
              <w:t>5</w:t>
            </w:r>
            <w:r w:rsidRPr="00E67914">
              <w:rPr>
                <w:rFonts w:ascii="Times New Roman" w:hAnsi="Times New Roman"/>
                <w:sz w:val="21"/>
                <w:szCs w:val="21"/>
                <w:lang w:eastAsia="zh-CN"/>
              </w:rPr>
              <w:t>个</w:t>
            </w:r>
            <w:r w:rsidRPr="00E67914">
              <w:rPr>
                <w:rFonts w:ascii="Times New Roman" w:hAnsi="Times New Roman"/>
                <w:sz w:val="21"/>
                <w:szCs w:val="21"/>
                <w:lang w:eastAsia="zh-CN"/>
              </w:rPr>
              <w:t>40m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w:t>
            </w:r>
            <w:r w:rsidRPr="00E67914">
              <w:rPr>
                <w:rFonts w:ascii="Times New Roman" w:hAnsi="Times New Roman"/>
                <w:sz w:val="21"/>
                <w:szCs w:val="21"/>
                <w:lang w:eastAsia="zh-CN"/>
              </w:rPr>
              <w:t>个循环罐组成</w:t>
            </w:r>
          </w:p>
        </w:tc>
        <w:tc>
          <w:tcPr>
            <w:tcW w:w="766" w:type="pct"/>
            <w:vAlign w:val="center"/>
          </w:tcPr>
          <w:p w14:paraId="2BB14AC3"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kern w:val="28"/>
                <w:sz w:val="21"/>
                <w:szCs w:val="21"/>
                <w:lang w:eastAsia="zh-CN"/>
              </w:rPr>
              <w:t>设备噪声、岩屑、废泥浆、废水</w:t>
            </w:r>
          </w:p>
        </w:tc>
        <w:tc>
          <w:tcPr>
            <w:tcW w:w="764" w:type="pct"/>
            <w:vAlign w:val="center"/>
          </w:tcPr>
          <w:p w14:paraId="4B8DE458"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rPr>
              <w:t>新建</w:t>
            </w:r>
          </w:p>
        </w:tc>
      </w:tr>
      <w:tr w:rsidR="00E67914" w:rsidRPr="00E67914" w14:paraId="632EACE0" w14:textId="77777777">
        <w:trPr>
          <w:trHeight w:val="60"/>
          <w:jc w:val="center"/>
        </w:trPr>
        <w:tc>
          <w:tcPr>
            <w:tcW w:w="329" w:type="pct"/>
            <w:vMerge/>
            <w:vAlign w:val="center"/>
          </w:tcPr>
          <w:p w14:paraId="01C9F355" w14:textId="77777777" w:rsidR="00A54A8A" w:rsidRPr="00E67914" w:rsidRDefault="00A54A8A">
            <w:pPr>
              <w:jc w:val="center"/>
              <w:rPr>
                <w:rFonts w:ascii="Times New Roman" w:hAnsi="Times New Roman"/>
                <w:kern w:val="28"/>
                <w:sz w:val="21"/>
                <w:szCs w:val="21"/>
                <w:lang w:eastAsia="zh-CN"/>
              </w:rPr>
            </w:pPr>
          </w:p>
        </w:tc>
        <w:tc>
          <w:tcPr>
            <w:tcW w:w="868" w:type="pct"/>
            <w:gridSpan w:val="2"/>
            <w:vAlign w:val="center"/>
          </w:tcPr>
          <w:p w14:paraId="3B88A6C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网电钻机系统</w:t>
            </w:r>
          </w:p>
        </w:tc>
        <w:tc>
          <w:tcPr>
            <w:tcW w:w="2273" w:type="pct"/>
            <w:vAlign w:val="center"/>
          </w:tcPr>
          <w:p w14:paraId="0473AC5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w:t>
            </w:r>
            <w:r w:rsidRPr="00E67914">
              <w:rPr>
                <w:rFonts w:ascii="Times New Roman" w:hAnsi="Times New Roman"/>
                <w:sz w:val="21"/>
                <w:szCs w:val="21"/>
              </w:rPr>
              <w:t>台</w:t>
            </w:r>
            <w:r w:rsidRPr="00E67914">
              <w:rPr>
                <w:rFonts w:ascii="Times New Roman" w:hAnsi="Times New Roman"/>
                <w:sz w:val="21"/>
                <w:szCs w:val="21"/>
              </w:rPr>
              <w:t>882kW</w:t>
            </w:r>
            <w:r w:rsidRPr="00E67914">
              <w:rPr>
                <w:rFonts w:ascii="Times New Roman" w:hAnsi="Times New Roman"/>
                <w:sz w:val="21"/>
                <w:szCs w:val="21"/>
              </w:rPr>
              <w:t>电动化机组</w:t>
            </w:r>
          </w:p>
        </w:tc>
        <w:tc>
          <w:tcPr>
            <w:tcW w:w="766" w:type="pct"/>
            <w:vAlign w:val="center"/>
          </w:tcPr>
          <w:p w14:paraId="64A65F7D" w14:textId="77777777" w:rsidR="00A54A8A" w:rsidRPr="00E67914" w:rsidRDefault="00000000">
            <w:pPr>
              <w:jc w:val="center"/>
              <w:rPr>
                <w:rFonts w:ascii="Times New Roman" w:hAnsi="Times New Roman"/>
                <w:kern w:val="28"/>
                <w:sz w:val="21"/>
                <w:szCs w:val="21"/>
              </w:rPr>
            </w:pPr>
            <w:r w:rsidRPr="00E67914">
              <w:rPr>
                <w:rFonts w:ascii="Times New Roman" w:hAnsi="Times New Roman"/>
                <w:sz w:val="21"/>
                <w:szCs w:val="21"/>
              </w:rPr>
              <w:t>噪声</w:t>
            </w:r>
          </w:p>
        </w:tc>
        <w:tc>
          <w:tcPr>
            <w:tcW w:w="764" w:type="pct"/>
            <w:vAlign w:val="center"/>
          </w:tcPr>
          <w:p w14:paraId="5DAA23D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58DD9DBC" w14:textId="77777777">
        <w:trPr>
          <w:trHeight w:val="60"/>
          <w:jc w:val="center"/>
        </w:trPr>
        <w:tc>
          <w:tcPr>
            <w:tcW w:w="329" w:type="pct"/>
            <w:vMerge/>
            <w:vAlign w:val="center"/>
          </w:tcPr>
          <w:p w14:paraId="10AAF42E" w14:textId="77777777" w:rsidR="00A54A8A" w:rsidRPr="00E67914" w:rsidRDefault="00A54A8A">
            <w:pPr>
              <w:jc w:val="center"/>
              <w:rPr>
                <w:rFonts w:ascii="Times New Roman" w:hAnsi="Times New Roman"/>
                <w:kern w:val="28"/>
                <w:sz w:val="21"/>
                <w:szCs w:val="21"/>
              </w:rPr>
            </w:pPr>
          </w:p>
        </w:tc>
        <w:tc>
          <w:tcPr>
            <w:tcW w:w="868" w:type="pct"/>
            <w:gridSpan w:val="2"/>
            <w:vAlign w:val="center"/>
          </w:tcPr>
          <w:p w14:paraId="0966444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备用发电机</w:t>
            </w:r>
          </w:p>
        </w:tc>
        <w:tc>
          <w:tcPr>
            <w:tcW w:w="2273" w:type="pct"/>
            <w:vAlign w:val="center"/>
          </w:tcPr>
          <w:p w14:paraId="33564125" w14:textId="5D2C052A"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320kW</w:t>
            </w:r>
            <w:r w:rsidRPr="00E67914">
              <w:rPr>
                <w:rFonts w:ascii="Times New Roman" w:hAnsi="Times New Roman"/>
                <w:sz w:val="21"/>
                <w:szCs w:val="21"/>
                <w:lang w:eastAsia="zh-CN"/>
              </w:rPr>
              <w:t>功率</w:t>
            </w:r>
            <w:r w:rsidR="00B239FA" w:rsidRPr="00E67914">
              <w:rPr>
                <w:rFonts w:ascii="Times New Roman" w:hAnsi="Times New Roman"/>
                <w:sz w:val="21"/>
                <w:szCs w:val="21"/>
                <w:lang w:eastAsia="zh-CN"/>
              </w:rPr>
              <w:t>发电机</w:t>
            </w:r>
            <w:r w:rsidRPr="00E67914">
              <w:rPr>
                <w:rFonts w:ascii="Times New Roman" w:hAnsi="Times New Roman"/>
                <w:sz w:val="21"/>
                <w:szCs w:val="21"/>
                <w:lang w:eastAsia="zh-CN"/>
              </w:rPr>
              <w:t>2</w:t>
            </w:r>
            <w:r w:rsidRPr="00E67914">
              <w:rPr>
                <w:rFonts w:ascii="Times New Roman" w:hAnsi="Times New Roman"/>
                <w:sz w:val="21"/>
                <w:szCs w:val="21"/>
                <w:lang w:eastAsia="zh-CN"/>
              </w:rPr>
              <w:t>台</w:t>
            </w:r>
            <w:r w:rsidR="00B239FA" w:rsidRPr="00E67914">
              <w:rPr>
                <w:rFonts w:ascii="Times New Roman" w:hAnsi="Times New Roman"/>
                <w:sz w:val="21"/>
                <w:szCs w:val="21"/>
                <w:lang w:eastAsia="zh-CN"/>
              </w:rPr>
              <w:t>，</w:t>
            </w:r>
            <w:r w:rsidR="00B239FA" w:rsidRPr="00E67914">
              <w:rPr>
                <w:rFonts w:ascii="Times New Roman" w:hAnsi="Times New Roman"/>
                <w:sz w:val="21"/>
                <w:szCs w:val="21"/>
                <w:lang w:eastAsia="zh-CN"/>
              </w:rPr>
              <w:t>882kW</w:t>
            </w:r>
            <w:r w:rsidR="00B239FA" w:rsidRPr="00E67914">
              <w:rPr>
                <w:rFonts w:ascii="Times New Roman" w:hAnsi="Times New Roman"/>
                <w:sz w:val="21"/>
                <w:szCs w:val="21"/>
                <w:lang w:eastAsia="zh-CN"/>
              </w:rPr>
              <w:t>功率柴油机</w:t>
            </w:r>
            <w:r w:rsidR="00B239FA" w:rsidRPr="00E67914">
              <w:rPr>
                <w:rFonts w:ascii="Times New Roman" w:hAnsi="Times New Roman"/>
                <w:sz w:val="21"/>
                <w:szCs w:val="21"/>
                <w:lang w:eastAsia="zh-CN"/>
              </w:rPr>
              <w:t>3</w:t>
            </w:r>
            <w:r w:rsidR="00B239FA" w:rsidRPr="00E67914">
              <w:rPr>
                <w:rFonts w:ascii="Times New Roman" w:hAnsi="Times New Roman"/>
                <w:sz w:val="21"/>
                <w:szCs w:val="21"/>
                <w:lang w:eastAsia="zh-CN"/>
              </w:rPr>
              <w:t>台</w:t>
            </w:r>
          </w:p>
        </w:tc>
        <w:tc>
          <w:tcPr>
            <w:tcW w:w="766" w:type="pct"/>
            <w:vAlign w:val="center"/>
          </w:tcPr>
          <w:p w14:paraId="0F0DEAC2" w14:textId="77777777" w:rsidR="00A54A8A" w:rsidRPr="00E67914" w:rsidRDefault="00000000">
            <w:pPr>
              <w:jc w:val="center"/>
              <w:rPr>
                <w:rFonts w:ascii="Times New Roman" w:hAnsi="Times New Roman"/>
                <w:kern w:val="28"/>
                <w:sz w:val="21"/>
                <w:szCs w:val="21"/>
              </w:rPr>
            </w:pPr>
            <w:r w:rsidRPr="00E67914">
              <w:rPr>
                <w:rFonts w:ascii="Times New Roman" w:hAnsi="Times New Roman"/>
                <w:sz w:val="21"/>
                <w:szCs w:val="21"/>
              </w:rPr>
              <w:t>废气、噪声</w:t>
            </w:r>
          </w:p>
        </w:tc>
        <w:tc>
          <w:tcPr>
            <w:tcW w:w="764" w:type="pct"/>
            <w:vAlign w:val="center"/>
          </w:tcPr>
          <w:p w14:paraId="23F3BE7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58DD1730" w14:textId="77777777">
        <w:trPr>
          <w:trHeight w:val="397"/>
          <w:jc w:val="center"/>
        </w:trPr>
        <w:tc>
          <w:tcPr>
            <w:tcW w:w="329" w:type="pct"/>
            <w:vMerge/>
            <w:vAlign w:val="center"/>
          </w:tcPr>
          <w:p w14:paraId="48F92756" w14:textId="77777777" w:rsidR="00A54A8A" w:rsidRPr="00E67914" w:rsidRDefault="00A54A8A">
            <w:pPr>
              <w:jc w:val="center"/>
              <w:rPr>
                <w:rFonts w:ascii="Times New Roman" w:hAnsi="Times New Roman"/>
                <w:kern w:val="28"/>
                <w:sz w:val="21"/>
                <w:szCs w:val="21"/>
              </w:rPr>
            </w:pPr>
          </w:p>
        </w:tc>
        <w:tc>
          <w:tcPr>
            <w:tcW w:w="868" w:type="pct"/>
            <w:gridSpan w:val="2"/>
            <w:vMerge w:val="restart"/>
            <w:vAlign w:val="center"/>
          </w:tcPr>
          <w:p w14:paraId="1966F99E"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kern w:val="28"/>
                <w:sz w:val="21"/>
                <w:szCs w:val="21"/>
                <w:lang w:eastAsia="zh-CN"/>
              </w:rPr>
              <w:t>清洁生产操作平台（</w:t>
            </w:r>
            <w:r w:rsidRPr="00E67914">
              <w:rPr>
                <w:rFonts w:ascii="Times New Roman" w:hAnsi="Times New Roman"/>
                <w:kern w:val="28"/>
                <w:sz w:val="21"/>
                <w:szCs w:val="21"/>
                <w:lang w:eastAsia="zh-CN"/>
              </w:rPr>
              <w:t>310m</w:t>
            </w:r>
            <w:r w:rsidRPr="00E67914">
              <w:rPr>
                <w:rFonts w:ascii="Times New Roman" w:hAnsi="Times New Roman"/>
                <w:kern w:val="28"/>
                <w:sz w:val="21"/>
                <w:szCs w:val="21"/>
                <w:vertAlign w:val="superscript"/>
                <w:lang w:eastAsia="zh-CN"/>
              </w:rPr>
              <w:t>2</w:t>
            </w:r>
            <w:r w:rsidRPr="00E67914">
              <w:rPr>
                <w:rFonts w:ascii="Times New Roman" w:hAnsi="Times New Roman"/>
                <w:kern w:val="28"/>
                <w:sz w:val="21"/>
                <w:szCs w:val="21"/>
                <w:lang w:eastAsia="zh-CN"/>
              </w:rPr>
              <w:t>）</w:t>
            </w:r>
          </w:p>
        </w:tc>
        <w:tc>
          <w:tcPr>
            <w:tcW w:w="2273" w:type="pct"/>
            <w:vAlign w:val="center"/>
          </w:tcPr>
          <w:p w14:paraId="1E82E10A"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40m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废水罐</w:t>
            </w:r>
            <w:r w:rsidRPr="00E67914">
              <w:rPr>
                <w:rFonts w:ascii="Times New Roman" w:hAnsi="Times New Roman"/>
                <w:sz w:val="21"/>
                <w:szCs w:val="21"/>
                <w:lang w:eastAsia="zh-CN"/>
              </w:rPr>
              <w:t>4</w:t>
            </w:r>
            <w:r w:rsidRPr="00E67914">
              <w:rPr>
                <w:rFonts w:ascii="Times New Roman" w:hAnsi="Times New Roman"/>
                <w:sz w:val="21"/>
                <w:szCs w:val="21"/>
                <w:lang w:eastAsia="zh-CN"/>
              </w:rPr>
              <w:t>个（位于清洁化操作平台废水处理区，分为</w:t>
            </w:r>
            <w:r w:rsidRPr="00E67914">
              <w:rPr>
                <w:rFonts w:ascii="Times New Roman" w:hAnsi="Times New Roman"/>
                <w:sz w:val="21"/>
                <w:szCs w:val="21"/>
                <w:lang w:eastAsia="zh-CN"/>
              </w:rPr>
              <w:t>1</w:t>
            </w:r>
            <w:r w:rsidRPr="00E67914">
              <w:rPr>
                <w:rFonts w:ascii="Times New Roman" w:hAnsi="Times New Roman"/>
                <w:sz w:val="21"/>
                <w:szCs w:val="21"/>
                <w:lang w:eastAsia="zh-CN"/>
              </w:rPr>
              <w:t>个隔油罐、</w:t>
            </w:r>
            <w:r w:rsidRPr="00E67914">
              <w:rPr>
                <w:rFonts w:ascii="Times New Roman" w:hAnsi="Times New Roman"/>
                <w:sz w:val="21"/>
                <w:szCs w:val="21"/>
                <w:lang w:eastAsia="zh-CN"/>
              </w:rPr>
              <w:t>2</w:t>
            </w:r>
            <w:r w:rsidRPr="00E67914">
              <w:rPr>
                <w:rFonts w:ascii="Times New Roman" w:hAnsi="Times New Roman"/>
                <w:sz w:val="21"/>
                <w:szCs w:val="21"/>
                <w:lang w:eastAsia="zh-CN"/>
              </w:rPr>
              <w:t>个沉淀罐、</w:t>
            </w:r>
            <w:r w:rsidRPr="00E67914">
              <w:rPr>
                <w:rFonts w:ascii="Times New Roman" w:hAnsi="Times New Roman"/>
                <w:sz w:val="21"/>
                <w:szCs w:val="21"/>
                <w:lang w:eastAsia="zh-CN"/>
              </w:rPr>
              <w:t>1</w:t>
            </w:r>
            <w:r w:rsidRPr="00E67914">
              <w:rPr>
                <w:rFonts w:ascii="Times New Roman" w:hAnsi="Times New Roman"/>
                <w:sz w:val="21"/>
                <w:szCs w:val="21"/>
                <w:lang w:eastAsia="zh-CN"/>
              </w:rPr>
              <w:t>个回用罐）</w:t>
            </w:r>
          </w:p>
        </w:tc>
        <w:tc>
          <w:tcPr>
            <w:tcW w:w="766" w:type="pct"/>
            <w:vMerge w:val="restart"/>
            <w:vAlign w:val="center"/>
          </w:tcPr>
          <w:p w14:paraId="1E0010C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kern w:val="28"/>
                <w:sz w:val="21"/>
                <w:szCs w:val="21"/>
                <w:lang w:eastAsia="zh-CN"/>
              </w:rPr>
              <w:t>用于暂存钻井泥浆、洗井作业、酸化作业废水，若处置不当或者发生泄漏现象，导致土壤、植被破坏以及地下水、地表水等污染</w:t>
            </w:r>
          </w:p>
        </w:tc>
        <w:tc>
          <w:tcPr>
            <w:tcW w:w="764" w:type="pct"/>
            <w:vAlign w:val="center"/>
          </w:tcPr>
          <w:p w14:paraId="03907B76"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rPr>
              <w:t>新建</w:t>
            </w:r>
          </w:p>
        </w:tc>
      </w:tr>
      <w:tr w:rsidR="00E67914" w:rsidRPr="00E67914" w14:paraId="1A8BC5E4" w14:textId="77777777">
        <w:trPr>
          <w:trHeight w:val="60"/>
          <w:jc w:val="center"/>
        </w:trPr>
        <w:tc>
          <w:tcPr>
            <w:tcW w:w="329" w:type="pct"/>
            <w:vMerge/>
            <w:vAlign w:val="center"/>
          </w:tcPr>
          <w:p w14:paraId="34CF648E" w14:textId="77777777" w:rsidR="00A54A8A" w:rsidRPr="00E67914" w:rsidRDefault="00A54A8A">
            <w:pPr>
              <w:jc w:val="center"/>
              <w:rPr>
                <w:rFonts w:ascii="Times New Roman" w:hAnsi="Times New Roman"/>
                <w:kern w:val="28"/>
                <w:sz w:val="21"/>
                <w:szCs w:val="21"/>
                <w:lang w:eastAsia="zh-CN"/>
              </w:rPr>
            </w:pPr>
          </w:p>
        </w:tc>
        <w:tc>
          <w:tcPr>
            <w:tcW w:w="868" w:type="pct"/>
            <w:gridSpan w:val="2"/>
            <w:vMerge/>
            <w:vAlign w:val="center"/>
          </w:tcPr>
          <w:p w14:paraId="13516671" w14:textId="77777777" w:rsidR="00A54A8A" w:rsidRPr="00E67914" w:rsidRDefault="00A54A8A">
            <w:pPr>
              <w:jc w:val="center"/>
              <w:rPr>
                <w:rFonts w:ascii="Times New Roman" w:hAnsi="Times New Roman"/>
                <w:kern w:val="28"/>
                <w:sz w:val="21"/>
                <w:szCs w:val="21"/>
                <w:lang w:eastAsia="zh-CN"/>
              </w:rPr>
            </w:pPr>
          </w:p>
        </w:tc>
        <w:tc>
          <w:tcPr>
            <w:tcW w:w="2273" w:type="pct"/>
            <w:vAlign w:val="center"/>
          </w:tcPr>
          <w:p w14:paraId="34D3C223"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20m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岩屑固化罐</w:t>
            </w:r>
            <w:r w:rsidRPr="00E67914">
              <w:rPr>
                <w:rFonts w:ascii="Times New Roman" w:hAnsi="Times New Roman"/>
                <w:sz w:val="21"/>
                <w:szCs w:val="21"/>
                <w:lang w:eastAsia="zh-CN"/>
              </w:rPr>
              <w:t>4</w:t>
            </w:r>
            <w:r w:rsidRPr="00E67914">
              <w:rPr>
                <w:rFonts w:ascii="Times New Roman" w:hAnsi="Times New Roman"/>
                <w:sz w:val="21"/>
                <w:szCs w:val="21"/>
                <w:lang w:eastAsia="zh-CN"/>
              </w:rPr>
              <w:t>个（位于清洁化操作平台储备罐区）</w:t>
            </w:r>
          </w:p>
        </w:tc>
        <w:tc>
          <w:tcPr>
            <w:tcW w:w="766" w:type="pct"/>
            <w:vMerge/>
            <w:vAlign w:val="center"/>
          </w:tcPr>
          <w:p w14:paraId="3ACB7E53" w14:textId="77777777" w:rsidR="00A54A8A" w:rsidRPr="00E67914" w:rsidRDefault="00A54A8A">
            <w:pPr>
              <w:jc w:val="center"/>
              <w:rPr>
                <w:rFonts w:ascii="Times New Roman" w:hAnsi="Times New Roman"/>
                <w:sz w:val="21"/>
                <w:szCs w:val="21"/>
                <w:lang w:eastAsia="zh-CN"/>
              </w:rPr>
            </w:pPr>
          </w:p>
        </w:tc>
        <w:tc>
          <w:tcPr>
            <w:tcW w:w="764" w:type="pct"/>
            <w:vAlign w:val="center"/>
          </w:tcPr>
          <w:p w14:paraId="2BBA062D"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rPr>
              <w:t>新建</w:t>
            </w:r>
          </w:p>
        </w:tc>
      </w:tr>
      <w:tr w:rsidR="00E67914" w:rsidRPr="00E67914" w14:paraId="10B01C69" w14:textId="77777777">
        <w:trPr>
          <w:trHeight w:val="60"/>
          <w:jc w:val="center"/>
        </w:trPr>
        <w:tc>
          <w:tcPr>
            <w:tcW w:w="329" w:type="pct"/>
            <w:vMerge/>
            <w:vAlign w:val="center"/>
          </w:tcPr>
          <w:p w14:paraId="7F3371A0" w14:textId="77777777" w:rsidR="00A54A8A" w:rsidRPr="00E67914" w:rsidRDefault="00A54A8A">
            <w:pPr>
              <w:jc w:val="center"/>
              <w:rPr>
                <w:rFonts w:ascii="Times New Roman" w:hAnsi="Times New Roman"/>
                <w:kern w:val="28"/>
                <w:sz w:val="21"/>
                <w:szCs w:val="21"/>
                <w:lang w:eastAsia="zh-CN"/>
              </w:rPr>
            </w:pPr>
          </w:p>
        </w:tc>
        <w:tc>
          <w:tcPr>
            <w:tcW w:w="868" w:type="pct"/>
            <w:gridSpan w:val="2"/>
            <w:vMerge/>
            <w:vAlign w:val="center"/>
          </w:tcPr>
          <w:p w14:paraId="739AF0FF" w14:textId="77777777" w:rsidR="00A54A8A" w:rsidRPr="00E67914" w:rsidRDefault="00A54A8A">
            <w:pPr>
              <w:jc w:val="center"/>
              <w:rPr>
                <w:rFonts w:ascii="Times New Roman" w:hAnsi="Times New Roman"/>
                <w:kern w:val="28"/>
                <w:sz w:val="21"/>
                <w:szCs w:val="21"/>
                <w:lang w:eastAsia="zh-CN"/>
              </w:rPr>
            </w:pPr>
          </w:p>
        </w:tc>
        <w:tc>
          <w:tcPr>
            <w:tcW w:w="2273" w:type="pct"/>
            <w:vAlign w:val="center"/>
          </w:tcPr>
          <w:p w14:paraId="1A1C59C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3m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岩屑收集罐</w:t>
            </w:r>
            <w:r w:rsidRPr="00E67914">
              <w:rPr>
                <w:rFonts w:ascii="Times New Roman" w:hAnsi="Times New Roman"/>
                <w:sz w:val="21"/>
                <w:szCs w:val="21"/>
                <w:lang w:eastAsia="zh-CN"/>
              </w:rPr>
              <w:t>8</w:t>
            </w:r>
            <w:r w:rsidRPr="00E67914">
              <w:rPr>
                <w:rFonts w:ascii="Times New Roman" w:hAnsi="Times New Roman"/>
                <w:sz w:val="21"/>
                <w:szCs w:val="21"/>
                <w:lang w:eastAsia="zh-CN"/>
              </w:rPr>
              <w:t>个（位于清洁化操作平台储备罐区）</w:t>
            </w:r>
          </w:p>
        </w:tc>
        <w:tc>
          <w:tcPr>
            <w:tcW w:w="766" w:type="pct"/>
            <w:vMerge/>
            <w:vAlign w:val="center"/>
          </w:tcPr>
          <w:p w14:paraId="4CADEE5B" w14:textId="77777777" w:rsidR="00A54A8A" w:rsidRPr="00E67914" w:rsidRDefault="00A54A8A">
            <w:pPr>
              <w:jc w:val="center"/>
              <w:rPr>
                <w:rFonts w:ascii="Times New Roman" w:hAnsi="Times New Roman"/>
                <w:sz w:val="21"/>
                <w:szCs w:val="21"/>
                <w:lang w:eastAsia="zh-CN"/>
              </w:rPr>
            </w:pPr>
          </w:p>
        </w:tc>
        <w:tc>
          <w:tcPr>
            <w:tcW w:w="764" w:type="pct"/>
            <w:vAlign w:val="center"/>
          </w:tcPr>
          <w:p w14:paraId="479DED9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rPr>
              <w:t>新建</w:t>
            </w:r>
          </w:p>
        </w:tc>
      </w:tr>
      <w:tr w:rsidR="00E67914" w:rsidRPr="00E67914" w14:paraId="6F811EBB" w14:textId="77777777">
        <w:trPr>
          <w:trHeight w:val="397"/>
          <w:jc w:val="center"/>
        </w:trPr>
        <w:tc>
          <w:tcPr>
            <w:tcW w:w="329" w:type="pct"/>
            <w:vMerge/>
            <w:vAlign w:val="center"/>
          </w:tcPr>
          <w:p w14:paraId="4F3EB339" w14:textId="77777777" w:rsidR="00A54A8A" w:rsidRPr="00E67914" w:rsidRDefault="00A54A8A">
            <w:pPr>
              <w:jc w:val="center"/>
              <w:rPr>
                <w:rFonts w:ascii="Times New Roman" w:hAnsi="Times New Roman"/>
                <w:kern w:val="28"/>
                <w:sz w:val="21"/>
                <w:szCs w:val="21"/>
                <w:lang w:eastAsia="zh-CN"/>
              </w:rPr>
            </w:pPr>
          </w:p>
        </w:tc>
        <w:tc>
          <w:tcPr>
            <w:tcW w:w="868" w:type="pct"/>
            <w:gridSpan w:val="2"/>
            <w:vMerge/>
            <w:vAlign w:val="center"/>
          </w:tcPr>
          <w:p w14:paraId="336E6BB2" w14:textId="77777777" w:rsidR="00A54A8A" w:rsidRPr="00E67914" w:rsidRDefault="00A54A8A">
            <w:pPr>
              <w:jc w:val="center"/>
              <w:rPr>
                <w:rFonts w:ascii="Times New Roman" w:hAnsi="Times New Roman"/>
                <w:kern w:val="28"/>
                <w:sz w:val="21"/>
                <w:szCs w:val="21"/>
                <w:lang w:eastAsia="zh-CN"/>
              </w:rPr>
            </w:pPr>
          </w:p>
        </w:tc>
        <w:tc>
          <w:tcPr>
            <w:tcW w:w="2273" w:type="pct"/>
            <w:vAlign w:val="center"/>
          </w:tcPr>
          <w:p w14:paraId="2E266B4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化学品存放区：固化材料堆放棚（位于材料区），主要摆放固化材料、水处理药剂等</w:t>
            </w:r>
          </w:p>
        </w:tc>
        <w:tc>
          <w:tcPr>
            <w:tcW w:w="766" w:type="pct"/>
            <w:vMerge/>
            <w:vAlign w:val="center"/>
          </w:tcPr>
          <w:p w14:paraId="12EE2D95" w14:textId="77777777" w:rsidR="00A54A8A" w:rsidRPr="00E67914" w:rsidRDefault="00A54A8A">
            <w:pPr>
              <w:jc w:val="center"/>
              <w:rPr>
                <w:rFonts w:ascii="Times New Roman" w:hAnsi="Times New Roman"/>
                <w:sz w:val="21"/>
                <w:szCs w:val="21"/>
                <w:lang w:eastAsia="zh-CN"/>
              </w:rPr>
            </w:pPr>
          </w:p>
        </w:tc>
        <w:tc>
          <w:tcPr>
            <w:tcW w:w="764" w:type="pct"/>
            <w:vAlign w:val="center"/>
          </w:tcPr>
          <w:p w14:paraId="565755BD"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rPr>
              <w:t>新建</w:t>
            </w:r>
          </w:p>
        </w:tc>
      </w:tr>
      <w:tr w:rsidR="00E67914" w:rsidRPr="00E67914" w14:paraId="710F6EFA" w14:textId="77777777">
        <w:trPr>
          <w:trHeight w:val="397"/>
          <w:jc w:val="center"/>
        </w:trPr>
        <w:tc>
          <w:tcPr>
            <w:tcW w:w="329" w:type="pct"/>
            <w:vMerge/>
            <w:vAlign w:val="center"/>
          </w:tcPr>
          <w:p w14:paraId="4784DB6D" w14:textId="77777777" w:rsidR="00A54A8A" w:rsidRPr="00E67914" w:rsidRDefault="00A54A8A">
            <w:pPr>
              <w:jc w:val="center"/>
              <w:rPr>
                <w:rFonts w:ascii="Times New Roman" w:hAnsi="Times New Roman"/>
                <w:kern w:val="28"/>
                <w:sz w:val="21"/>
                <w:szCs w:val="21"/>
                <w:lang w:eastAsia="zh-CN"/>
              </w:rPr>
            </w:pPr>
          </w:p>
        </w:tc>
        <w:tc>
          <w:tcPr>
            <w:tcW w:w="868" w:type="pct"/>
            <w:gridSpan w:val="2"/>
            <w:vAlign w:val="center"/>
          </w:tcPr>
          <w:p w14:paraId="4EE2C93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放喷池及放喷管线</w:t>
            </w:r>
          </w:p>
        </w:tc>
        <w:tc>
          <w:tcPr>
            <w:tcW w:w="2273" w:type="pct"/>
            <w:vAlign w:val="center"/>
          </w:tcPr>
          <w:p w14:paraId="6D4E8DBC" w14:textId="3D29FE61" w:rsidR="00A54A8A" w:rsidRPr="00E67914" w:rsidRDefault="00067E4D">
            <w:pPr>
              <w:jc w:val="center"/>
              <w:rPr>
                <w:rFonts w:ascii="Times New Roman" w:hAnsi="Times New Roman"/>
                <w:kern w:val="28"/>
                <w:sz w:val="21"/>
                <w:szCs w:val="21"/>
                <w:lang w:eastAsia="zh-CN"/>
              </w:rPr>
            </w:pPr>
            <w:r w:rsidRPr="00E67914">
              <w:rPr>
                <w:rFonts w:ascii="Times New Roman" w:hAnsi="Times New Roman"/>
                <w:sz w:val="21"/>
                <w:szCs w:val="21"/>
                <w:lang w:eastAsia="zh-CN"/>
              </w:rPr>
              <w:t>利旧</w:t>
            </w:r>
            <w:r w:rsidRPr="00E67914">
              <w:rPr>
                <w:rFonts w:ascii="Times New Roman" w:hAnsi="Times New Roman"/>
                <w:sz w:val="21"/>
                <w:szCs w:val="21"/>
                <w:lang w:eastAsia="zh-CN"/>
              </w:rPr>
              <w:t>300m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放喷池</w:t>
            </w:r>
            <w:r w:rsidRPr="00E67914">
              <w:rPr>
                <w:rFonts w:ascii="Times New Roman" w:hAnsi="Times New Roman"/>
                <w:sz w:val="21"/>
                <w:szCs w:val="21"/>
                <w:lang w:eastAsia="zh-CN"/>
              </w:rPr>
              <w:t>1</w:t>
            </w:r>
            <w:r w:rsidRPr="00E67914">
              <w:rPr>
                <w:rFonts w:ascii="Times New Roman" w:hAnsi="Times New Roman"/>
                <w:sz w:val="21"/>
                <w:szCs w:val="21"/>
                <w:lang w:eastAsia="zh-CN"/>
              </w:rPr>
              <w:t>座</w:t>
            </w:r>
            <w:r w:rsidRPr="00E67914">
              <w:rPr>
                <w:rFonts w:ascii="Times New Roman" w:hAnsi="Times New Roman"/>
                <w:kern w:val="28"/>
                <w:sz w:val="21"/>
                <w:szCs w:val="21"/>
                <w:lang w:eastAsia="zh-CN"/>
              </w:rPr>
              <w:t>。新建放喷管使用双四通、二条放喷管线</w:t>
            </w:r>
          </w:p>
        </w:tc>
        <w:tc>
          <w:tcPr>
            <w:tcW w:w="766" w:type="pct"/>
            <w:vAlign w:val="center"/>
          </w:tcPr>
          <w:p w14:paraId="169F9110"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lang w:eastAsia="zh-CN"/>
              </w:rPr>
              <w:t>放喷废气、燃烧热辐射</w:t>
            </w:r>
          </w:p>
        </w:tc>
        <w:tc>
          <w:tcPr>
            <w:tcW w:w="764" w:type="pct"/>
            <w:vAlign w:val="center"/>
          </w:tcPr>
          <w:p w14:paraId="028CDD38" w14:textId="4CA9E70B" w:rsidR="00A54A8A" w:rsidRPr="00E67914" w:rsidRDefault="00067E4D">
            <w:pPr>
              <w:jc w:val="center"/>
              <w:rPr>
                <w:rFonts w:ascii="Times New Roman" w:hAnsi="Times New Roman"/>
                <w:sz w:val="21"/>
                <w:szCs w:val="21"/>
                <w:lang w:eastAsia="zh-CN"/>
              </w:rPr>
            </w:pPr>
            <w:r w:rsidRPr="00E67914">
              <w:rPr>
                <w:rFonts w:ascii="Times New Roman" w:hAnsi="Times New Roman"/>
                <w:sz w:val="21"/>
                <w:szCs w:val="21"/>
                <w:lang w:eastAsia="zh-CN"/>
              </w:rPr>
              <w:t>新建</w:t>
            </w:r>
            <w:r w:rsidRPr="00E67914">
              <w:rPr>
                <w:rFonts w:ascii="Times New Roman" w:hAnsi="Times New Roman"/>
                <w:sz w:val="21"/>
                <w:szCs w:val="21"/>
                <w:lang w:eastAsia="zh-CN"/>
              </w:rPr>
              <w:t>+</w:t>
            </w:r>
            <w:r w:rsidRPr="00E67914">
              <w:rPr>
                <w:rFonts w:ascii="Times New Roman" w:hAnsi="Times New Roman"/>
                <w:sz w:val="21"/>
                <w:szCs w:val="21"/>
                <w:lang w:eastAsia="zh-CN"/>
              </w:rPr>
              <w:t>利旧</w:t>
            </w:r>
          </w:p>
        </w:tc>
      </w:tr>
      <w:tr w:rsidR="00E67914" w:rsidRPr="00E67914" w14:paraId="2E989082" w14:textId="77777777">
        <w:trPr>
          <w:trHeight w:val="60"/>
          <w:jc w:val="center"/>
        </w:trPr>
        <w:tc>
          <w:tcPr>
            <w:tcW w:w="329" w:type="pct"/>
            <w:vMerge/>
            <w:vAlign w:val="center"/>
          </w:tcPr>
          <w:p w14:paraId="78217184" w14:textId="77777777" w:rsidR="00A54A8A" w:rsidRPr="00E67914" w:rsidRDefault="00A54A8A">
            <w:pPr>
              <w:jc w:val="center"/>
              <w:rPr>
                <w:rFonts w:ascii="Times New Roman" w:hAnsi="Times New Roman"/>
                <w:kern w:val="28"/>
                <w:sz w:val="21"/>
                <w:szCs w:val="21"/>
                <w:lang w:eastAsia="zh-CN"/>
              </w:rPr>
            </w:pPr>
          </w:p>
        </w:tc>
        <w:tc>
          <w:tcPr>
            <w:tcW w:w="868" w:type="pct"/>
            <w:gridSpan w:val="2"/>
            <w:vAlign w:val="center"/>
          </w:tcPr>
          <w:p w14:paraId="360CE01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放喷点火系统</w:t>
            </w:r>
          </w:p>
        </w:tc>
        <w:tc>
          <w:tcPr>
            <w:tcW w:w="2273" w:type="pct"/>
            <w:vAlign w:val="center"/>
          </w:tcPr>
          <w:p w14:paraId="26FDDE6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自动、手动点火装置各</w:t>
            </w:r>
            <w:r w:rsidRPr="00E67914">
              <w:rPr>
                <w:rFonts w:ascii="Times New Roman" w:hAnsi="Times New Roman"/>
                <w:sz w:val="21"/>
                <w:szCs w:val="21"/>
                <w:lang w:eastAsia="zh-CN"/>
              </w:rPr>
              <w:t>1</w:t>
            </w:r>
            <w:r w:rsidRPr="00E67914">
              <w:rPr>
                <w:rFonts w:ascii="Times New Roman" w:hAnsi="Times New Roman"/>
                <w:sz w:val="21"/>
                <w:szCs w:val="21"/>
                <w:lang w:eastAsia="zh-CN"/>
              </w:rPr>
              <w:t>套</w:t>
            </w:r>
          </w:p>
        </w:tc>
        <w:tc>
          <w:tcPr>
            <w:tcW w:w="766" w:type="pct"/>
            <w:vAlign w:val="center"/>
          </w:tcPr>
          <w:p w14:paraId="7449B52F"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w:t>
            </w:r>
          </w:p>
        </w:tc>
        <w:tc>
          <w:tcPr>
            <w:tcW w:w="764" w:type="pct"/>
            <w:vAlign w:val="center"/>
          </w:tcPr>
          <w:p w14:paraId="4AB8CCE0" w14:textId="77777777" w:rsidR="00A54A8A" w:rsidRPr="00E67914" w:rsidRDefault="00000000">
            <w:pPr>
              <w:jc w:val="center"/>
              <w:rPr>
                <w:rFonts w:ascii="Times New Roman" w:hAnsi="Times New Roman"/>
                <w:kern w:val="28"/>
                <w:sz w:val="21"/>
                <w:szCs w:val="21"/>
              </w:rPr>
            </w:pPr>
            <w:r w:rsidRPr="00E67914">
              <w:rPr>
                <w:rFonts w:ascii="Times New Roman" w:hAnsi="Times New Roman"/>
                <w:sz w:val="21"/>
                <w:szCs w:val="21"/>
              </w:rPr>
              <w:t>新建</w:t>
            </w:r>
          </w:p>
        </w:tc>
      </w:tr>
      <w:tr w:rsidR="00E67914" w:rsidRPr="00E67914" w14:paraId="3C3ACD8A" w14:textId="77777777">
        <w:trPr>
          <w:trHeight w:val="397"/>
          <w:jc w:val="center"/>
        </w:trPr>
        <w:tc>
          <w:tcPr>
            <w:tcW w:w="329" w:type="pct"/>
            <w:vMerge w:val="restart"/>
            <w:vAlign w:val="center"/>
          </w:tcPr>
          <w:p w14:paraId="48714063"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公用工程</w:t>
            </w:r>
          </w:p>
        </w:tc>
        <w:tc>
          <w:tcPr>
            <w:tcW w:w="868" w:type="pct"/>
            <w:gridSpan w:val="2"/>
            <w:vAlign w:val="center"/>
          </w:tcPr>
          <w:p w14:paraId="3BBFE7F0"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给水</w:t>
            </w:r>
          </w:p>
        </w:tc>
        <w:tc>
          <w:tcPr>
            <w:tcW w:w="2273" w:type="pct"/>
            <w:vAlign w:val="center"/>
          </w:tcPr>
          <w:p w14:paraId="4C31B116" w14:textId="678A0AA6" w:rsidR="00A54A8A" w:rsidRPr="00E67914" w:rsidRDefault="00000000">
            <w:pPr>
              <w:jc w:val="center"/>
              <w:rPr>
                <w:rFonts w:ascii="Times New Roman" w:hAnsi="Times New Roman"/>
                <w:kern w:val="28"/>
                <w:sz w:val="21"/>
                <w:szCs w:val="21"/>
                <w:lang w:eastAsia="zh-CN"/>
              </w:rPr>
            </w:pPr>
            <w:r w:rsidRPr="00E67914">
              <w:rPr>
                <w:rFonts w:ascii="宋体" w:hAnsi="宋体" w:cs="宋体" w:hint="eastAsia"/>
                <w:kern w:val="28"/>
                <w:sz w:val="21"/>
                <w:szCs w:val="21"/>
                <w:lang w:eastAsia="zh-CN"/>
              </w:rPr>
              <w:t>①</w:t>
            </w:r>
            <w:r w:rsidRPr="00E67914">
              <w:rPr>
                <w:rFonts w:ascii="Times New Roman" w:hAnsi="Times New Roman"/>
                <w:kern w:val="28"/>
                <w:sz w:val="21"/>
                <w:szCs w:val="21"/>
                <w:lang w:eastAsia="zh-CN"/>
              </w:rPr>
              <w:t>生产用水：采用清洁化生产处理水作为生产用水，不足部分由水罐供给，采用水泵从周边的</w:t>
            </w:r>
            <w:r w:rsidR="000736F8" w:rsidRPr="00E67914">
              <w:rPr>
                <w:rFonts w:ascii="Times New Roman" w:hAnsi="Times New Roman"/>
                <w:kern w:val="28"/>
                <w:sz w:val="21"/>
                <w:szCs w:val="21"/>
                <w:lang w:eastAsia="zh-CN"/>
              </w:rPr>
              <w:t>后</w:t>
            </w:r>
            <w:r w:rsidRPr="00E67914">
              <w:rPr>
                <w:rFonts w:ascii="Times New Roman" w:hAnsi="Times New Roman"/>
                <w:kern w:val="28"/>
                <w:sz w:val="21"/>
                <w:szCs w:val="21"/>
                <w:lang w:eastAsia="zh-CN"/>
              </w:rPr>
              <w:t>河取水，存放于清水池中</w:t>
            </w:r>
          </w:p>
          <w:p w14:paraId="29637D19" w14:textId="77777777" w:rsidR="00A54A8A" w:rsidRPr="00E67914" w:rsidRDefault="00000000">
            <w:pPr>
              <w:jc w:val="center"/>
              <w:rPr>
                <w:rFonts w:ascii="Times New Roman" w:hAnsi="Times New Roman"/>
                <w:kern w:val="28"/>
                <w:sz w:val="21"/>
                <w:szCs w:val="21"/>
                <w:lang w:eastAsia="zh-CN"/>
              </w:rPr>
            </w:pPr>
            <w:r w:rsidRPr="00E67914">
              <w:rPr>
                <w:rFonts w:ascii="宋体" w:hAnsi="宋体" w:cs="宋体" w:hint="eastAsia"/>
                <w:kern w:val="28"/>
                <w:sz w:val="21"/>
                <w:szCs w:val="21"/>
                <w:lang w:eastAsia="zh-CN"/>
              </w:rPr>
              <w:t>②</w:t>
            </w:r>
            <w:r w:rsidRPr="00E67914">
              <w:rPr>
                <w:rFonts w:ascii="Times New Roman" w:hAnsi="Times New Roman"/>
                <w:kern w:val="28"/>
                <w:sz w:val="21"/>
                <w:szCs w:val="21"/>
                <w:lang w:eastAsia="zh-CN"/>
              </w:rPr>
              <w:t>生活用水：车辆拉运桶装水至场地</w:t>
            </w:r>
          </w:p>
        </w:tc>
        <w:tc>
          <w:tcPr>
            <w:tcW w:w="766" w:type="pct"/>
            <w:vAlign w:val="center"/>
          </w:tcPr>
          <w:p w14:paraId="68C2F555"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w:t>
            </w:r>
          </w:p>
        </w:tc>
        <w:tc>
          <w:tcPr>
            <w:tcW w:w="764" w:type="pct"/>
            <w:vAlign w:val="center"/>
          </w:tcPr>
          <w:p w14:paraId="1A4AA223" w14:textId="77777777" w:rsidR="00A54A8A" w:rsidRPr="00E67914" w:rsidRDefault="00000000">
            <w:pPr>
              <w:jc w:val="center"/>
              <w:rPr>
                <w:rFonts w:ascii="Times New Roman" w:hAnsi="Times New Roman"/>
                <w:kern w:val="28"/>
                <w:sz w:val="21"/>
                <w:szCs w:val="21"/>
              </w:rPr>
            </w:pPr>
            <w:r w:rsidRPr="00E67914">
              <w:rPr>
                <w:rFonts w:ascii="Times New Roman" w:hAnsi="Times New Roman"/>
                <w:sz w:val="21"/>
                <w:szCs w:val="21"/>
              </w:rPr>
              <w:t>新建</w:t>
            </w:r>
          </w:p>
        </w:tc>
      </w:tr>
      <w:tr w:rsidR="00E67914" w:rsidRPr="00E67914" w14:paraId="1C634BD0" w14:textId="77777777">
        <w:trPr>
          <w:trHeight w:val="397"/>
          <w:jc w:val="center"/>
        </w:trPr>
        <w:tc>
          <w:tcPr>
            <w:tcW w:w="329" w:type="pct"/>
            <w:vMerge/>
            <w:vAlign w:val="center"/>
          </w:tcPr>
          <w:p w14:paraId="36EC0325" w14:textId="77777777" w:rsidR="00A54A8A" w:rsidRPr="00E67914" w:rsidRDefault="00A54A8A">
            <w:pPr>
              <w:jc w:val="center"/>
              <w:rPr>
                <w:rFonts w:ascii="Times New Roman" w:hAnsi="Times New Roman"/>
                <w:kern w:val="28"/>
                <w:sz w:val="21"/>
                <w:szCs w:val="21"/>
              </w:rPr>
            </w:pPr>
          </w:p>
        </w:tc>
        <w:tc>
          <w:tcPr>
            <w:tcW w:w="868" w:type="pct"/>
            <w:gridSpan w:val="2"/>
            <w:vAlign w:val="center"/>
          </w:tcPr>
          <w:p w14:paraId="17417E62"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场外排水</w:t>
            </w:r>
          </w:p>
        </w:tc>
        <w:tc>
          <w:tcPr>
            <w:tcW w:w="2273" w:type="pct"/>
            <w:vAlign w:val="center"/>
          </w:tcPr>
          <w:p w14:paraId="469A2435" w14:textId="7D8F0CA5"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lang w:eastAsia="zh-CN"/>
              </w:rPr>
              <w:t>边坡坡顶设置截水沟，截水沟与自然水系连通</w:t>
            </w:r>
            <w:r w:rsidR="00067E4D" w:rsidRPr="00E67914">
              <w:rPr>
                <w:rFonts w:ascii="Times New Roman" w:hAnsi="Times New Roman"/>
                <w:sz w:val="21"/>
                <w:szCs w:val="21"/>
                <w:lang w:eastAsia="zh-CN"/>
              </w:rPr>
              <w:t>，设置</w:t>
            </w:r>
            <w:r w:rsidR="00067E4D" w:rsidRPr="00E67914">
              <w:rPr>
                <w:rFonts w:ascii="Times New Roman" w:hAnsi="Times New Roman"/>
                <w:sz w:val="21"/>
                <w:szCs w:val="21"/>
                <w:lang w:eastAsia="zh-CN"/>
              </w:rPr>
              <w:t>0.7m</w:t>
            </w:r>
            <w:r w:rsidR="00067E4D" w:rsidRPr="00E67914">
              <w:rPr>
                <w:rFonts w:ascii="Times New Roman" w:hAnsi="Times New Roman"/>
                <w:sz w:val="21"/>
                <w:szCs w:val="21"/>
                <w:lang w:eastAsia="zh-CN"/>
              </w:rPr>
              <w:t>宽排水沟</w:t>
            </w:r>
            <w:r w:rsidR="00067E4D" w:rsidRPr="00E67914">
              <w:rPr>
                <w:rFonts w:ascii="Times New Roman" w:hAnsi="Times New Roman"/>
                <w:sz w:val="21"/>
                <w:szCs w:val="21"/>
                <w:lang w:eastAsia="zh-CN"/>
              </w:rPr>
              <w:t>344m</w:t>
            </w:r>
            <w:r w:rsidR="00067E4D" w:rsidRPr="00E67914">
              <w:rPr>
                <w:rFonts w:ascii="Times New Roman" w:hAnsi="Times New Roman"/>
                <w:sz w:val="21"/>
                <w:szCs w:val="21"/>
                <w:lang w:eastAsia="zh-CN"/>
              </w:rPr>
              <w:t>，</w:t>
            </w:r>
            <w:r w:rsidR="00067E4D" w:rsidRPr="00E67914">
              <w:rPr>
                <w:rFonts w:ascii="Times New Roman" w:hAnsi="Times New Roman"/>
                <w:sz w:val="21"/>
                <w:szCs w:val="21"/>
                <w:lang w:eastAsia="zh-CN"/>
              </w:rPr>
              <w:t>1.5m</w:t>
            </w:r>
            <w:r w:rsidR="00067E4D" w:rsidRPr="00E67914">
              <w:rPr>
                <w:rFonts w:ascii="Times New Roman" w:hAnsi="Times New Roman"/>
                <w:sz w:val="21"/>
                <w:szCs w:val="21"/>
                <w:lang w:eastAsia="zh-CN"/>
              </w:rPr>
              <w:t>宽截水沟</w:t>
            </w:r>
            <w:r w:rsidR="00067E4D" w:rsidRPr="00E67914">
              <w:rPr>
                <w:rFonts w:ascii="Times New Roman" w:hAnsi="Times New Roman"/>
                <w:sz w:val="21"/>
                <w:szCs w:val="21"/>
                <w:lang w:eastAsia="zh-CN"/>
              </w:rPr>
              <w:t>160m</w:t>
            </w:r>
            <w:r w:rsidR="00067E4D" w:rsidRPr="00E67914">
              <w:rPr>
                <w:rFonts w:ascii="Times New Roman" w:hAnsi="Times New Roman"/>
                <w:sz w:val="21"/>
                <w:szCs w:val="21"/>
                <w:lang w:eastAsia="zh-CN" w:bidi="ar"/>
              </w:rPr>
              <w:t>（钻前工程修建）</w:t>
            </w:r>
          </w:p>
        </w:tc>
        <w:tc>
          <w:tcPr>
            <w:tcW w:w="766" w:type="pct"/>
            <w:vAlign w:val="center"/>
          </w:tcPr>
          <w:p w14:paraId="226BDE59"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w:t>
            </w:r>
          </w:p>
        </w:tc>
        <w:tc>
          <w:tcPr>
            <w:tcW w:w="764" w:type="pct"/>
            <w:vAlign w:val="center"/>
          </w:tcPr>
          <w:p w14:paraId="1F3DAEB0" w14:textId="0B504BAB" w:rsidR="00A54A8A" w:rsidRPr="00E67914" w:rsidRDefault="00067E4D">
            <w:pPr>
              <w:jc w:val="center"/>
              <w:rPr>
                <w:rFonts w:ascii="Times New Roman" w:hAnsi="Times New Roman"/>
                <w:kern w:val="28"/>
                <w:sz w:val="21"/>
                <w:szCs w:val="21"/>
              </w:rPr>
            </w:pPr>
            <w:r w:rsidRPr="00E67914">
              <w:rPr>
                <w:rFonts w:ascii="Times New Roman" w:hAnsi="Times New Roman"/>
                <w:sz w:val="21"/>
                <w:szCs w:val="21"/>
                <w:lang w:eastAsia="zh-CN"/>
              </w:rPr>
              <w:t>新建</w:t>
            </w:r>
          </w:p>
        </w:tc>
      </w:tr>
      <w:tr w:rsidR="00E67914" w:rsidRPr="00E67914" w14:paraId="1BD5588B" w14:textId="77777777">
        <w:trPr>
          <w:trHeight w:val="397"/>
          <w:jc w:val="center"/>
        </w:trPr>
        <w:tc>
          <w:tcPr>
            <w:tcW w:w="329" w:type="pct"/>
            <w:vMerge/>
            <w:vAlign w:val="center"/>
          </w:tcPr>
          <w:p w14:paraId="2860350B" w14:textId="77777777" w:rsidR="00A54A8A" w:rsidRPr="00E67914" w:rsidRDefault="00A54A8A">
            <w:pPr>
              <w:jc w:val="center"/>
              <w:rPr>
                <w:rFonts w:ascii="Times New Roman" w:hAnsi="Times New Roman"/>
                <w:kern w:val="28"/>
                <w:sz w:val="21"/>
                <w:szCs w:val="21"/>
              </w:rPr>
            </w:pPr>
          </w:p>
        </w:tc>
        <w:tc>
          <w:tcPr>
            <w:tcW w:w="868" w:type="pct"/>
            <w:gridSpan w:val="2"/>
            <w:vMerge w:val="restart"/>
            <w:vAlign w:val="center"/>
          </w:tcPr>
          <w:p w14:paraId="0DDFAF9B"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场内排水</w:t>
            </w:r>
          </w:p>
        </w:tc>
        <w:tc>
          <w:tcPr>
            <w:tcW w:w="2273" w:type="pct"/>
            <w:vAlign w:val="center"/>
          </w:tcPr>
          <w:p w14:paraId="59608128" w14:textId="77777777" w:rsidR="00A54A8A" w:rsidRPr="00E67914" w:rsidRDefault="00000000">
            <w:pPr>
              <w:jc w:val="center"/>
              <w:rPr>
                <w:rFonts w:ascii="Times New Roman" w:hAnsi="Times New Roman"/>
                <w:sz w:val="21"/>
                <w:szCs w:val="21"/>
                <w:lang w:eastAsia="zh-CN" w:bidi="ar"/>
              </w:rPr>
            </w:pPr>
            <w:r w:rsidRPr="00E67914">
              <w:rPr>
                <w:rFonts w:ascii="Times New Roman" w:hAnsi="Times New Roman"/>
                <w:sz w:val="21"/>
                <w:szCs w:val="21"/>
                <w:lang w:eastAsia="zh-CN" w:bidi="ar"/>
              </w:rPr>
              <w:t>修建场内排水沟及隔油池，实现井场范围内清水与污水分流（钻前工程修建）</w:t>
            </w:r>
          </w:p>
        </w:tc>
        <w:tc>
          <w:tcPr>
            <w:tcW w:w="766" w:type="pct"/>
            <w:vMerge w:val="restart"/>
            <w:vAlign w:val="center"/>
          </w:tcPr>
          <w:p w14:paraId="6647D00B"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lang w:eastAsia="zh-CN"/>
              </w:rPr>
              <w:t>渗漏污染土壤、地下水环境</w:t>
            </w:r>
          </w:p>
        </w:tc>
        <w:tc>
          <w:tcPr>
            <w:tcW w:w="764" w:type="pct"/>
            <w:vAlign w:val="center"/>
          </w:tcPr>
          <w:p w14:paraId="6C052124" w14:textId="227393F3"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E67914" w:rsidRPr="00E67914" w14:paraId="690F39FE" w14:textId="77777777">
        <w:trPr>
          <w:trHeight w:val="397"/>
          <w:jc w:val="center"/>
        </w:trPr>
        <w:tc>
          <w:tcPr>
            <w:tcW w:w="329" w:type="pct"/>
            <w:vMerge/>
            <w:vAlign w:val="center"/>
          </w:tcPr>
          <w:p w14:paraId="62B286B7" w14:textId="77777777" w:rsidR="00A54A8A" w:rsidRPr="00E67914" w:rsidRDefault="00A54A8A">
            <w:pPr>
              <w:jc w:val="center"/>
              <w:rPr>
                <w:rFonts w:ascii="Times New Roman" w:hAnsi="Times New Roman"/>
                <w:kern w:val="28"/>
                <w:sz w:val="21"/>
                <w:szCs w:val="21"/>
                <w:lang w:eastAsia="zh-CN"/>
              </w:rPr>
            </w:pPr>
          </w:p>
        </w:tc>
        <w:tc>
          <w:tcPr>
            <w:tcW w:w="868" w:type="pct"/>
            <w:gridSpan w:val="2"/>
            <w:vMerge/>
            <w:vAlign w:val="center"/>
          </w:tcPr>
          <w:p w14:paraId="75E6F97D" w14:textId="77777777" w:rsidR="00A54A8A" w:rsidRPr="00E67914" w:rsidRDefault="00A54A8A">
            <w:pPr>
              <w:jc w:val="center"/>
              <w:rPr>
                <w:rFonts w:ascii="Times New Roman" w:hAnsi="Times New Roman"/>
                <w:kern w:val="28"/>
                <w:sz w:val="21"/>
                <w:szCs w:val="21"/>
                <w:lang w:eastAsia="zh-CN"/>
              </w:rPr>
            </w:pPr>
          </w:p>
        </w:tc>
        <w:tc>
          <w:tcPr>
            <w:tcW w:w="2273" w:type="pct"/>
            <w:vAlign w:val="center"/>
          </w:tcPr>
          <w:p w14:paraId="38FE168A"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lang w:eastAsia="zh-CN" w:bidi="ar"/>
              </w:rPr>
              <w:t>产污区的废水经集水坑和井口方井集水坑通过泵入</w:t>
            </w:r>
            <w:r w:rsidRPr="00E67914">
              <w:rPr>
                <w:rFonts w:ascii="Times New Roman" w:hAnsi="Times New Roman"/>
                <w:kern w:val="28"/>
                <w:sz w:val="21"/>
                <w:szCs w:val="21"/>
                <w:lang w:eastAsia="zh-CN"/>
              </w:rPr>
              <w:t>清洁生产操作平台</w:t>
            </w:r>
            <w:r w:rsidRPr="00E67914">
              <w:rPr>
                <w:rFonts w:ascii="Times New Roman" w:hAnsi="Times New Roman"/>
                <w:sz w:val="21"/>
                <w:szCs w:val="21"/>
                <w:lang w:eastAsia="zh-CN"/>
              </w:rPr>
              <w:t>废水罐</w:t>
            </w:r>
            <w:r w:rsidRPr="00E67914">
              <w:rPr>
                <w:rFonts w:ascii="Times New Roman" w:hAnsi="Times New Roman"/>
                <w:kern w:val="28"/>
                <w:sz w:val="21"/>
                <w:szCs w:val="21"/>
                <w:lang w:eastAsia="zh-CN"/>
              </w:rPr>
              <w:t>处理回用</w:t>
            </w:r>
          </w:p>
        </w:tc>
        <w:tc>
          <w:tcPr>
            <w:tcW w:w="766" w:type="pct"/>
            <w:vMerge/>
            <w:vAlign w:val="center"/>
          </w:tcPr>
          <w:p w14:paraId="06B375CB" w14:textId="77777777" w:rsidR="00A54A8A" w:rsidRPr="00E67914" w:rsidRDefault="00A54A8A">
            <w:pPr>
              <w:jc w:val="center"/>
              <w:rPr>
                <w:rFonts w:ascii="Times New Roman" w:hAnsi="Times New Roman"/>
                <w:kern w:val="28"/>
                <w:sz w:val="21"/>
                <w:szCs w:val="21"/>
                <w:lang w:eastAsia="zh-CN"/>
              </w:rPr>
            </w:pPr>
          </w:p>
        </w:tc>
        <w:tc>
          <w:tcPr>
            <w:tcW w:w="764" w:type="pct"/>
            <w:vAlign w:val="center"/>
          </w:tcPr>
          <w:p w14:paraId="2DBA8F11"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rPr>
              <w:t>新建</w:t>
            </w:r>
          </w:p>
        </w:tc>
      </w:tr>
      <w:tr w:rsidR="00E67914" w:rsidRPr="00E67914" w14:paraId="4A2B39B1" w14:textId="77777777">
        <w:trPr>
          <w:trHeight w:val="397"/>
          <w:jc w:val="center"/>
        </w:trPr>
        <w:tc>
          <w:tcPr>
            <w:tcW w:w="329" w:type="pct"/>
            <w:vMerge/>
            <w:vAlign w:val="center"/>
          </w:tcPr>
          <w:p w14:paraId="0830B5AB" w14:textId="77777777" w:rsidR="00A54A8A" w:rsidRPr="00E67914" w:rsidRDefault="00A54A8A">
            <w:pPr>
              <w:jc w:val="center"/>
              <w:rPr>
                <w:rFonts w:ascii="Times New Roman" w:hAnsi="Times New Roman"/>
                <w:kern w:val="28"/>
                <w:sz w:val="21"/>
                <w:szCs w:val="21"/>
                <w:lang w:eastAsia="zh-CN"/>
              </w:rPr>
            </w:pPr>
          </w:p>
        </w:tc>
        <w:tc>
          <w:tcPr>
            <w:tcW w:w="868" w:type="pct"/>
            <w:gridSpan w:val="2"/>
            <w:vMerge/>
            <w:vAlign w:val="center"/>
          </w:tcPr>
          <w:p w14:paraId="4FB62647" w14:textId="77777777" w:rsidR="00A54A8A" w:rsidRPr="00E67914" w:rsidRDefault="00A54A8A">
            <w:pPr>
              <w:jc w:val="center"/>
              <w:rPr>
                <w:rFonts w:ascii="Times New Roman" w:hAnsi="Times New Roman"/>
                <w:kern w:val="28"/>
                <w:sz w:val="21"/>
                <w:szCs w:val="21"/>
                <w:lang w:eastAsia="zh-CN"/>
              </w:rPr>
            </w:pPr>
          </w:p>
        </w:tc>
        <w:tc>
          <w:tcPr>
            <w:tcW w:w="2273" w:type="pct"/>
            <w:vAlign w:val="center"/>
          </w:tcPr>
          <w:p w14:paraId="19E764BC" w14:textId="77777777" w:rsidR="00A54A8A" w:rsidRPr="00E67914" w:rsidRDefault="00000000">
            <w:pPr>
              <w:jc w:val="center"/>
              <w:rPr>
                <w:rFonts w:ascii="Times New Roman" w:hAnsi="Times New Roman"/>
                <w:sz w:val="21"/>
                <w:szCs w:val="21"/>
                <w:lang w:eastAsia="zh-CN" w:bidi="ar"/>
              </w:rPr>
            </w:pPr>
            <w:r w:rsidRPr="00E67914">
              <w:rPr>
                <w:rFonts w:ascii="Times New Roman" w:hAnsi="Times New Roman"/>
                <w:sz w:val="21"/>
                <w:szCs w:val="21"/>
                <w:lang w:eastAsia="zh-CN" w:bidi="ar"/>
              </w:rPr>
              <w:t>井场清洁区雨水通过排水沟和隔油池处理后排入自然水系。排放口出口设置环境监测池</w:t>
            </w:r>
          </w:p>
        </w:tc>
        <w:tc>
          <w:tcPr>
            <w:tcW w:w="766" w:type="pct"/>
            <w:vMerge/>
            <w:vAlign w:val="center"/>
          </w:tcPr>
          <w:p w14:paraId="5D104C33" w14:textId="77777777" w:rsidR="00A54A8A" w:rsidRPr="00E67914" w:rsidRDefault="00A54A8A">
            <w:pPr>
              <w:jc w:val="center"/>
              <w:rPr>
                <w:rFonts w:ascii="Times New Roman" w:hAnsi="Times New Roman"/>
                <w:kern w:val="28"/>
                <w:sz w:val="21"/>
                <w:szCs w:val="21"/>
                <w:lang w:eastAsia="zh-CN"/>
              </w:rPr>
            </w:pPr>
          </w:p>
        </w:tc>
        <w:tc>
          <w:tcPr>
            <w:tcW w:w="764" w:type="pct"/>
            <w:vAlign w:val="center"/>
          </w:tcPr>
          <w:p w14:paraId="55481A71"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rPr>
              <w:t>新建</w:t>
            </w:r>
          </w:p>
        </w:tc>
      </w:tr>
      <w:tr w:rsidR="00E67914" w:rsidRPr="00E67914" w14:paraId="129FC023" w14:textId="77777777">
        <w:trPr>
          <w:trHeight w:val="397"/>
          <w:jc w:val="center"/>
        </w:trPr>
        <w:tc>
          <w:tcPr>
            <w:tcW w:w="329" w:type="pct"/>
            <w:vMerge/>
            <w:vAlign w:val="center"/>
          </w:tcPr>
          <w:p w14:paraId="77511091" w14:textId="77777777" w:rsidR="00A54A8A" w:rsidRPr="00E67914" w:rsidRDefault="00A54A8A">
            <w:pPr>
              <w:jc w:val="center"/>
              <w:rPr>
                <w:rFonts w:ascii="Times New Roman" w:hAnsi="Times New Roman"/>
                <w:kern w:val="28"/>
                <w:sz w:val="21"/>
                <w:szCs w:val="21"/>
                <w:lang w:eastAsia="zh-CN"/>
              </w:rPr>
            </w:pPr>
          </w:p>
        </w:tc>
        <w:tc>
          <w:tcPr>
            <w:tcW w:w="868" w:type="pct"/>
            <w:gridSpan w:val="2"/>
            <w:vMerge/>
            <w:vAlign w:val="center"/>
          </w:tcPr>
          <w:p w14:paraId="7BF57FA3" w14:textId="77777777" w:rsidR="00A54A8A" w:rsidRPr="00E67914" w:rsidRDefault="00A54A8A">
            <w:pPr>
              <w:jc w:val="center"/>
              <w:rPr>
                <w:rFonts w:ascii="Times New Roman" w:hAnsi="Times New Roman"/>
                <w:kern w:val="28"/>
                <w:sz w:val="21"/>
                <w:szCs w:val="21"/>
                <w:lang w:eastAsia="zh-CN"/>
              </w:rPr>
            </w:pPr>
          </w:p>
        </w:tc>
        <w:tc>
          <w:tcPr>
            <w:tcW w:w="2273" w:type="pct"/>
            <w:vAlign w:val="center"/>
          </w:tcPr>
          <w:p w14:paraId="142E7EE3" w14:textId="77777777" w:rsidR="00A54A8A" w:rsidRPr="00E67914" w:rsidRDefault="00000000">
            <w:pPr>
              <w:jc w:val="center"/>
              <w:rPr>
                <w:rFonts w:ascii="Times New Roman" w:hAnsi="Times New Roman"/>
                <w:sz w:val="21"/>
                <w:szCs w:val="21"/>
                <w:lang w:eastAsia="zh-CN" w:bidi="ar"/>
              </w:rPr>
            </w:pPr>
            <w:r w:rsidRPr="00E67914">
              <w:rPr>
                <w:rFonts w:ascii="Times New Roman" w:hAnsi="Times New Roman"/>
                <w:sz w:val="21"/>
                <w:szCs w:val="21"/>
                <w:lang w:eastAsia="zh-CN" w:bidi="ar"/>
              </w:rPr>
              <w:t>水罐区雨水排入自然水系。油罐区设置隔油池</w:t>
            </w:r>
            <w:r w:rsidRPr="00E67914">
              <w:rPr>
                <w:rFonts w:ascii="Times New Roman" w:hAnsi="Times New Roman"/>
                <w:sz w:val="21"/>
                <w:szCs w:val="21"/>
                <w:lang w:eastAsia="zh-CN" w:bidi="ar"/>
              </w:rPr>
              <w:t>1</w:t>
            </w:r>
            <w:r w:rsidRPr="00E67914">
              <w:rPr>
                <w:rFonts w:ascii="Times New Roman" w:hAnsi="Times New Roman"/>
                <w:sz w:val="21"/>
                <w:szCs w:val="21"/>
                <w:lang w:eastAsia="zh-CN" w:bidi="ar"/>
              </w:rPr>
              <w:t>座处理排入自然水系</w:t>
            </w:r>
          </w:p>
        </w:tc>
        <w:tc>
          <w:tcPr>
            <w:tcW w:w="766" w:type="pct"/>
            <w:vMerge/>
            <w:vAlign w:val="center"/>
          </w:tcPr>
          <w:p w14:paraId="56C688E1" w14:textId="77777777" w:rsidR="00A54A8A" w:rsidRPr="00E67914" w:rsidRDefault="00A54A8A">
            <w:pPr>
              <w:jc w:val="center"/>
              <w:rPr>
                <w:rFonts w:ascii="Times New Roman" w:hAnsi="Times New Roman"/>
                <w:kern w:val="28"/>
                <w:sz w:val="21"/>
                <w:szCs w:val="21"/>
                <w:lang w:eastAsia="zh-CN"/>
              </w:rPr>
            </w:pPr>
          </w:p>
        </w:tc>
        <w:tc>
          <w:tcPr>
            <w:tcW w:w="764" w:type="pct"/>
            <w:vAlign w:val="center"/>
          </w:tcPr>
          <w:p w14:paraId="197E0558"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rPr>
              <w:t>新建</w:t>
            </w:r>
          </w:p>
        </w:tc>
      </w:tr>
      <w:tr w:rsidR="00E67914" w:rsidRPr="00E67914" w14:paraId="57E75F79" w14:textId="77777777">
        <w:trPr>
          <w:trHeight w:val="397"/>
          <w:jc w:val="center"/>
        </w:trPr>
        <w:tc>
          <w:tcPr>
            <w:tcW w:w="329" w:type="pct"/>
            <w:vMerge/>
            <w:vAlign w:val="center"/>
          </w:tcPr>
          <w:p w14:paraId="159AB6EA" w14:textId="77777777" w:rsidR="00A54A8A" w:rsidRPr="00E67914" w:rsidRDefault="00A54A8A">
            <w:pPr>
              <w:jc w:val="center"/>
              <w:rPr>
                <w:rFonts w:ascii="Times New Roman" w:hAnsi="Times New Roman"/>
                <w:kern w:val="28"/>
                <w:sz w:val="21"/>
                <w:szCs w:val="21"/>
                <w:lang w:eastAsia="zh-CN"/>
              </w:rPr>
            </w:pPr>
          </w:p>
        </w:tc>
        <w:tc>
          <w:tcPr>
            <w:tcW w:w="868" w:type="pct"/>
            <w:gridSpan w:val="2"/>
            <w:vMerge/>
            <w:vAlign w:val="center"/>
          </w:tcPr>
          <w:p w14:paraId="6B67EB53" w14:textId="77777777" w:rsidR="00A54A8A" w:rsidRPr="00E67914" w:rsidRDefault="00A54A8A">
            <w:pPr>
              <w:jc w:val="center"/>
              <w:rPr>
                <w:rFonts w:ascii="Times New Roman" w:hAnsi="Times New Roman"/>
                <w:kern w:val="28"/>
                <w:sz w:val="21"/>
                <w:szCs w:val="21"/>
                <w:lang w:eastAsia="zh-CN"/>
              </w:rPr>
            </w:pPr>
          </w:p>
        </w:tc>
        <w:tc>
          <w:tcPr>
            <w:tcW w:w="2273" w:type="pct"/>
            <w:vAlign w:val="center"/>
          </w:tcPr>
          <w:p w14:paraId="0CBBB17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生活污水经生态厕所收集后定期由密闭罐车拉运至周边生活污水处理厂处理</w:t>
            </w:r>
          </w:p>
        </w:tc>
        <w:tc>
          <w:tcPr>
            <w:tcW w:w="766" w:type="pct"/>
            <w:vMerge/>
            <w:vAlign w:val="center"/>
          </w:tcPr>
          <w:p w14:paraId="1793BB56" w14:textId="77777777" w:rsidR="00A54A8A" w:rsidRPr="00E67914" w:rsidRDefault="00A54A8A">
            <w:pPr>
              <w:jc w:val="center"/>
              <w:rPr>
                <w:rFonts w:ascii="Times New Roman" w:hAnsi="Times New Roman"/>
                <w:kern w:val="28"/>
                <w:sz w:val="21"/>
                <w:szCs w:val="21"/>
                <w:lang w:eastAsia="zh-CN"/>
              </w:rPr>
            </w:pPr>
          </w:p>
        </w:tc>
        <w:tc>
          <w:tcPr>
            <w:tcW w:w="764" w:type="pct"/>
            <w:vAlign w:val="center"/>
          </w:tcPr>
          <w:p w14:paraId="19867FF3" w14:textId="610923F2" w:rsidR="00A54A8A" w:rsidRPr="00E67914" w:rsidRDefault="00133F4D">
            <w:pPr>
              <w:jc w:val="center"/>
              <w:rPr>
                <w:rFonts w:ascii="Times New Roman" w:hAnsi="Times New Roman"/>
                <w:kern w:val="28"/>
                <w:sz w:val="21"/>
                <w:szCs w:val="21"/>
                <w:lang w:eastAsia="zh-CN"/>
              </w:rPr>
            </w:pPr>
            <w:r w:rsidRPr="00E67914">
              <w:rPr>
                <w:rFonts w:ascii="Times New Roman" w:hAnsi="Times New Roman"/>
                <w:sz w:val="21"/>
                <w:szCs w:val="21"/>
                <w:lang w:eastAsia="zh-CN"/>
              </w:rPr>
              <w:t>新建</w:t>
            </w:r>
            <w:r w:rsidRPr="00E67914">
              <w:rPr>
                <w:rFonts w:ascii="Times New Roman" w:hAnsi="Times New Roman"/>
                <w:sz w:val="21"/>
                <w:szCs w:val="21"/>
                <w:lang w:eastAsia="zh-CN"/>
              </w:rPr>
              <w:t>+</w:t>
            </w:r>
            <w:r w:rsidRPr="00E67914">
              <w:rPr>
                <w:rFonts w:ascii="Times New Roman" w:hAnsi="Times New Roman"/>
                <w:sz w:val="21"/>
                <w:szCs w:val="21"/>
                <w:lang w:eastAsia="zh-CN"/>
              </w:rPr>
              <w:t>依托</w:t>
            </w:r>
          </w:p>
        </w:tc>
      </w:tr>
      <w:tr w:rsidR="00E67914" w:rsidRPr="00E67914" w14:paraId="3588CA4B" w14:textId="77777777">
        <w:trPr>
          <w:trHeight w:val="397"/>
          <w:jc w:val="center"/>
        </w:trPr>
        <w:tc>
          <w:tcPr>
            <w:tcW w:w="329" w:type="pct"/>
            <w:vMerge/>
            <w:vAlign w:val="center"/>
          </w:tcPr>
          <w:p w14:paraId="624688C2" w14:textId="77777777" w:rsidR="00A54A8A" w:rsidRPr="00E67914" w:rsidRDefault="00A54A8A">
            <w:pPr>
              <w:jc w:val="center"/>
              <w:rPr>
                <w:rFonts w:ascii="Times New Roman" w:hAnsi="Times New Roman"/>
                <w:kern w:val="28"/>
                <w:sz w:val="21"/>
                <w:szCs w:val="21"/>
                <w:lang w:eastAsia="zh-CN"/>
              </w:rPr>
            </w:pPr>
          </w:p>
        </w:tc>
        <w:tc>
          <w:tcPr>
            <w:tcW w:w="868" w:type="pct"/>
            <w:gridSpan w:val="2"/>
            <w:vAlign w:val="center"/>
          </w:tcPr>
          <w:p w14:paraId="46F97895"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供电</w:t>
            </w:r>
          </w:p>
        </w:tc>
        <w:tc>
          <w:tcPr>
            <w:tcW w:w="2273" w:type="pct"/>
            <w:vAlign w:val="center"/>
          </w:tcPr>
          <w:p w14:paraId="6B93BA80" w14:textId="73E5194A"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周边已建</w:t>
            </w:r>
            <w:r w:rsidRPr="00E67914">
              <w:rPr>
                <w:rFonts w:ascii="Times New Roman" w:hAnsi="Times New Roman"/>
                <w:sz w:val="21"/>
                <w:szCs w:val="21"/>
                <w:lang w:eastAsia="zh-CN"/>
              </w:rPr>
              <w:t>10kV</w:t>
            </w:r>
            <w:r w:rsidRPr="00E67914">
              <w:rPr>
                <w:rFonts w:ascii="Times New Roman" w:hAnsi="Times New Roman"/>
                <w:sz w:val="21"/>
                <w:szCs w:val="21"/>
                <w:lang w:eastAsia="zh-CN"/>
              </w:rPr>
              <w:t>高压电网供电</w:t>
            </w:r>
          </w:p>
        </w:tc>
        <w:tc>
          <w:tcPr>
            <w:tcW w:w="766" w:type="pct"/>
            <w:vAlign w:val="center"/>
          </w:tcPr>
          <w:p w14:paraId="1D66C08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64" w:type="pct"/>
            <w:vAlign w:val="center"/>
          </w:tcPr>
          <w:p w14:paraId="09F5CB6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依托</w:t>
            </w:r>
          </w:p>
        </w:tc>
      </w:tr>
      <w:tr w:rsidR="00E67914" w:rsidRPr="00E67914" w14:paraId="3F16996A" w14:textId="77777777">
        <w:trPr>
          <w:trHeight w:val="397"/>
          <w:jc w:val="center"/>
        </w:trPr>
        <w:tc>
          <w:tcPr>
            <w:tcW w:w="329" w:type="pct"/>
            <w:vMerge w:val="restart"/>
            <w:vAlign w:val="center"/>
          </w:tcPr>
          <w:p w14:paraId="5BC56899"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仓储</w:t>
            </w:r>
          </w:p>
          <w:p w14:paraId="3F4AAF1E" w14:textId="77777777" w:rsidR="00A54A8A" w:rsidRPr="00E67914" w:rsidRDefault="00000000">
            <w:pPr>
              <w:jc w:val="center"/>
              <w:rPr>
                <w:rFonts w:ascii="Times New Roman" w:hAnsi="Times New Roman"/>
                <w:kern w:val="28"/>
                <w:sz w:val="21"/>
                <w:szCs w:val="21"/>
              </w:rPr>
            </w:pPr>
            <w:r w:rsidRPr="00E67914">
              <w:rPr>
                <w:rFonts w:ascii="Times New Roman" w:hAnsi="Times New Roman"/>
                <w:kern w:val="28"/>
                <w:sz w:val="21"/>
                <w:szCs w:val="21"/>
              </w:rPr>
              <w:t>工程</w:t>
            </w:r>
          </w:p>
        </w:tc>
        <w:tc>
          <w:tcPr>
            <w:tcW w:w="868" w:type="pct"/>
            <w:gridSpan w:val="2"/>
            <w:vAlign w:val="center"/>
          </w:tcPr>
          <w:p w14:paraId="2F2CDD34" w14:textId="77777777" w:rsidR="00A54A8A" w:rsidRPr="00E67914" w:rsidRDefault="00000000">
            <w:pPr>
              <w:jc w:val="center"/>
              <w:rPr>
                <w:rFonts w:ascii="Times New Roman" w:hAnsi="Times New Roman"/>
                <w:kern w:val="28"/>
                <w:sz w:val="21"/>
                <w:szCs w:val="21"/>
              </w:rPr>
            </w:pPr>
            <w:r w:rsidRPr="00E67914">
              <w:rPr>
                <w:rFonts w:ascii="Times New Roman" w:hAnsi="Times New Roman"/>
                <w:sz w:val="21"/>
                <w:szCs w:val="21"/>
              </w:rPr>
              <w:t>柴油罐区</w:t>
            </w:r>
          </w:p>
        </w:tc>
        <w:tc>
          <w:tcPr>
            <w:tcW w:w="2273" w:type="pct"/>
            <w:vAlign w:val="center"/>
          </w:tcPr>
          <w:p w14:paraId="672EDC6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占地</w:t>
            </w:r>
            <w:r w:rsidRPr="00E67914">
              <w:rPr>
                <w:rFonts w:ascii="Times New Roman" w:hAnsi="Times New Roman"/>
                <w:sz w:val="21"/>
                <w:szCs w:val="21"/>
                <w:lang w:eastAsia="zh-CN"/>
              </w:rPr>
              <w:t>25m</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w:t>
            </w:r>
            <w:r w:rsidRPr="00E67914">
              <w:rPr>
                <w:rFonts w:ascii="Times New Roman" w:hAnsi="Times New Roman"/>
                <w:sz w:val="21"/>
                <w:szCs w:val="21"/>
                <w:lang w:eastAsia="zh-CN"/>
              </w:rPr>
              <w:t>2</w:t>
            </w:r>
            <w:r w:rsidRPr="00E67914">
              <w:rPr>
                <w:rFonts w:ascii="Times New Roman" w:hAnsi="Times New Roman"/>
                <w:sz w:val="21"/>
                <w:szCs w:val="21"/>
                <w:lang w:eastAsia="zh-CN"/>
              </w:rPr>
              <w:t>个柴油罐，每个容积</w:t>
            </w:r>
            <w:r w:rsidRPr="00E67914">
              <w:rPr>
                <w:rFonts w:ascii="Times New Roman" w:hAnsi="Times New Roman"/>
                <w:sz w:val="21"/>
                <w:szCs w:val="21"/>
                <w:lang w:eastAsia="zh-CN"/>
              </w:rPr>
              <w:t>20m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。地面硬化，铺设防渗膜并设围堰</w:t>
            </w:r>
          </w:p>
        </w:tc>
        <w:tc>
          <w:tcPr>
            <w:tcW w:w="766" w:type="pct"/>
            <w:vAlign w:val="center"/>
          </w:tcPr>
          <w:p w14:paraId="0BCAEE7C"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lang w:eastAsia="zh-CN"/>
              </w:rPr>
              <w:t>泄漏污染、火灾爆炸环境风险影响</w:t>
            </w:r>
          </w:p>
        </w:tc>
        <w:tc>
          <w:tcPr>
            <w:tcW w:w="764" w:type="pct"/>
            <w:vAlign w:val="center"/>
          </w:tcPr>
          <w:p w14:paraId="032BB6F5" w14:textId="77777777" w:rsidR="00A54A8A" w:rsidRPr="00E67914" w:rsidRDefault="00000000">
            <w:pPr>
              <w:jc w:val="center"/>
              <w:rPr>
                <w:rFonts w:ascii="Times New Roman" w:hAnsi="Times New Roman"/>
                <w:sz w:val="21"/>
                <w:szCs w:val="21"/>
                <w:lang w:bidi="ar"/>
              </w:rPr>
            </w:pPr>
            <w:r w:rsidRPr="00E67914">
              <w:rPr>
                <w:rFonts w:ascii="Times New Roman" w:hAnsi="Times New Roman"/>
                <w:sz w:val="21"/>
                <w:szCs w:val="21"/>
              </w:rPr>
              <w:t>新建</w:t>
            </w:r>
          </w:p>
        </w:tc>
      </w:tr>
      <w:tr w:rsidR="00E67914" w:rsidRPr="00E67914" w14:paraId="2B053573" w14:textId="77777777">
        <w:trPr>
          <w:trHeight w:val="59"/>
          <w:jc w:val="center"/>
        </w:trPr>
        <w:tc>
          <w:tcPr>
            <w:tcW w:w="329" w:type="pct"/>
            <w:vMerge/>
            <w:vAlign w:val="center"/>
          </w:tcPr>
          <w:p w14:paraId="61084B21" w14:textId="77777777" w:rsidR="00A54A8A" w:rsidRPr="00E67914" w:rsidRDefault="00A54A8A">
            <w:pPr>
              <w:jc w:val="center"/>
              <w:rPr>
                <w:rFonts w:ascii="Times New Roman" w:hAnsi="Times New Roman"/>
                <w:kern w:val="28"/>
                <w:sz w:val="21"/>
                <w:szCs w:val="21"/>
                <w:lang w:eastAsia="zh-CN"/>
              </w:rPr>
            </w:pPr>
          </w:p>
        </w:tc>
        <w:tc>
          <w:tcPr>
            <w:tcW w:w="868" w:type="pct"/>
            <w:gridSpan w:val="2"/>
            <w:vAlign w:val="center"/>
          </w:tcPr>
          <w:p w14:paraId="163716BE" w14:textId="77777777" w:rsidR="00A54A8A" w:rsidRPr="00E67914" w:rsidRDefault="00000000">
            <w:pPr>
              <w:jc w:val="center"/>
              <w:rPr>
                <w:rFonts w:ascii="Times New Roman" w:hAnsi="Times New Roman"/>
                <w:kern w:val="28"/>
                <w:sz w:val="21"/>
                <w:szCs w:val="21"/>
              </w:rPr>
            </w:pPr>
            <w:r w:rsidRPr="00E67914">
              <w:rPr>
                <w:rFonts w:ascii="Times New Roman" w:hAnsi="Times New Roman"/>
                <w:sz w:val="21"/>
                <w:szCs w:val="21"/>
              </w:rPr>
              <w:t>泥浆储备罐</w:t>
            </w:r>
          </w:p>
        </w:tc>
        <w:tc>
          <w:tcPr>
            <w:tcW w:w="2273" w:type="pct"/>
            <w:vAlign w:val="center"/>
          </w:tcPr>
          <w:p w14:paraId="5A704420" w14:textId="77777777" w:rsidR="00A54A8A" w:rsidRPr="00E67914" w:rsidRDefault="00000000">
            <w:pPr>
              <w:jc w:val="center"/>
              <w:rPr>
                <w:rFonts w:ascii="Times New Roman" w:hAnsi="Times New Roman"/>
                <w:kern w:val="28"/>
                <w:sz w:val="21"/>
                <w:szCs w:val="21"/>
                <w:lang w:eastAsia="zh-CN"/>
              </w:rPr>
            </w:pPr>
            <w:r w:rsidRPr="00E67914">
              <w:rPr>
                <w:rFonts w:ascii="Times New Roman" w:hAnsi="Times New Roman"/>
                <w:sz w:val="21"/>
                <w:szCs w:val="21"/>
                <w:lang w:eastAsia="zh-CN"/>
              </w:rPr>
              <w:t>储罐</w:t>
            </w:r>
            <w:r w:rsidRPr="00E67914">
              <w:rPr>
                <w:rFonts w:ascii="Times New Roman" w:hAnsi="Times New Roman"/>
                <w:sz w:val="21"/>
                <w:szCs w:val="21"/>
                <w:lang w:eastAsia="zh-CN"/>
              </w:rPr>
              <w:t>2</w:t>
            </w:r>
            <w:r w:rsidRPr="00E67914">
              <w:rPr>
                <w:rFonts w:ascii="Times New Roman" w:hAnsi="Times New Roman"/>
                <w:sz w:val="21"/>
                <w:szCs w:val="21"/>
                <w:lang w:eastAsia="zh-CN"/>
              </w:rPr>
              <w:t>个，每个容积</w:t>
            </w:r>
            <w:r w:rsidRPr="00E67914">
              <w:rPr>
                <w:rFonts w:ascii="Times New Roman" w:hAnsi="Times New Roman"/>
                <w:sz w:val="21"/>
                <w:szCs w:val="21"/>
                <w:lang w:eastAsia="zh-CN"/>
              </w:rPr>
              <w:t>40m</w:t>
            </w:r>
            <w:r w:rsidRPr="00E67914">
              <w:rPr>
                <w:rFonts w:ascii="Times New Roman" w:hAnsi="Times New Roman"/>
                <w:sz w:val="21"/>
                <w:szCs w:val="21"/>
                <w:vertAlign w:val="superscript"/>
                <w:lang w:eastAsia="zh-CN"/>
              </w:rPr>
              <w:t>3</w:t>
            </w:r>
          </w:p>
        </w:tc>
        <w:tc>
          <w:tcPr>
            <w:tcW w:w="766" w:type="pct"/>
            <w:vMerge w:val="restart"/>
            <w:vAlign w:val="center"/>
          </w:tcPr>
          <w:p w14:paraId="1FF255F2" w14:textId="77777777" w:rsidR="00A54A8A" w:rsidRPr="00E67914" w:rsidRDefault="00000000">
            <w:pPr>
              <w:jc w:val="center"/>
              <w:rPr>
                <w:rFonts w:ascii="Times New Roman" w:hAnsi="Times New Roman"/>
                <w:kern w:val="28"/>
                <w:sz w:val="21"/>
                <w:szCs w:val="21"/>
              </w:rPr>
            </w:pPr>
            <w:r w:rsidRPr="00E67914">
              <w:rPr>
                <w:rFonts w:ascii="Times New Roman" w:hAnsi="Times New Roman"/>
                <w:sz w:val="21"/>
                <w:szCs w:val="21"/>
              </w:rPr>
              <w:t>泄漏污染</w:t>
            </w:r>
          </w:p>
        </w:tc>
        <w:tc>
          <w:tcPr>
            <w:tcW w:w="764" w:type="pct"/>
            <w:vAlign w:val="center"/>
          </w:tcPr>
          <w:p w14:paraId="2ED7E1FB" w14:textId="77777777" w:rsidR="00A54A8A" w:rsidRPr="00E67914" w:rsidRDefault="00000000">
            <w:pPr>
              <w:jc w:val="center"/>
              <w:rPr>
                <w:rFonts w:ascii="Times New Roman" w:hAnsi="Times New Roman"/>
                <w:sz w:val="21"/>
                <w:szCs w:val="21"/>
                <w:lang w:bidi="ar"/>
              </w:rPr>
            </w:pPr>
            <w:r w:rsidRPr="00E67914">
              <w:rPr>
                <w:rFonts w:ascii="Times New Roman" w:hAnsi="Times New Roman"/>
                <w:sz w:val="21"/>
                <w:szCs w:val="21"/>
              </w:rPr>
              <w:t>新建</w:t>
            </w:r>
          </w:p>
        </w:tc>
      </w:tr>
      <w:tr w:rsidR="00E67914" w:rsidRPr="00E67914" w14:paraId="2602DADA" w14:textId="77777777">
        <w:trPr>
          <w:trHeight w:val="59"/>
          <w:jc w:val="center"/>
        </w:trPr>
        <w:tc>
          <w:tcPr>
            <w:tcW w:w="329" w:type="pct"/>
            <w:vMerge/>
            <w:vAlign w:val="center"/>
          </w:tcPr>
          <w:p w14:paraId="39E897BD" w14:textId="77777777" w:rsidR="001B4D84" w:rsidRPr="00E67914" w:rsidRDefault="001B4D84">
            <w:pPr>
              <w:jc w:val="center"/>
              <w:rPr>
                <w:rFonts w:ascii="Times New Roman" w:hAnsi="Times New Roman"/>
                <w:kern w:val="28"/>
                <w:sz w:val="21"/>
                <w:szCs w:val="21"/>
                <w:lang w:eastAsia="zh-CN"/>
              </w:rPr>
            </w:pPr>
          </w:p>
        </w:tc>
        <w:tc>
          <w:tcPr>
            <w:tcW w:w="868" w:type="pct"/>
            <w:gridSpan w:val="2"/>
            <w:vAlign w:val="center"/>
          </w:tcPr>
          <w:p w14:paraId="2B121164" w14:textId="503D2D66" w:rsidR="001B4D84" w:rsidRPr="00E67914" w:rsidRDefault="001B4D84">
            <w:pPr>
              <w:jc w:val="center"/>
              <w:rPr>
                <w:rFonts w:ascii="Times New Roman" w:hAnsi="Times New Roman"/>
                <w:sz w:val="21"/>
                <w:szCs w:val="21"/>
                <w:lang w:eastAsia="zh-CN"/>
              </w:rPr>
            </w:pPr>
            <w:r w:rsidRPr="00E67914">
              <w:rPr>
                <w:rFonts w:ascii="Times New Roman" w:hAnsi="Times New Roman"/>
                <w:sz w:val="21"/>
                <w:szCs w:val="21"/>
                <w:lang w:eastAsia="zh-CN"/>
              </w:rPr>
              <w:t>材料棚</w:t>
            </w:r>
          </w:p>
        </w:tc>
        <w:tc>
          <w:tcPr>
            <w:tcW w:w="2273" w:type="pct"/>
            <w:vAlign w:val="center"/>
          </w:tcPr>
          <w:p w14:paraId="6F31FA19" w14:textId="646287EE" w:rsidR="001B4D84" w:rsidRPr="00E67914" w:rsidRDefault="001B4D84">
            <w:pPr>
              <w:jc w:val="center"/>
              <w:rPr>
                <w:rFonts w:ascii="Times New Roman" w:hAnsi="Times New Roman"/>
                <w:sz w:val="21"/>
                <w:szCs w:val="21"/>
                <w:lang w:eastAsia="zh-CN"/>
              </w:rPr>
            </w:pPr>
            <w:r w:rsidRPr="00E67914">
              <w:rPr>
                <w:rFonts w:ascii="Times New Roman" w:hAnsi="Times New Roman"/>
                <w:sz w:val="21"/>
                <w:szCs w:val="21"/>
                <w:lang w:eastAsia="zh-CN"/>
              </w:rPr>
              <w:t>井队设置</w:t>
            </w:r>
            <w:r w:rsidRPr="00E67914">
              <w:rPr>
                <w:rFonts w:ascii="Times New Roman" w:hAnsi="Times New Roman"/>
                <w:sz w:val="21"/>
                <w:szCs w:val="21"/>
                <w:lang w:eastAsia="zh-CN"/>
              </w:rPr>
              <w:t>1</w:t>
            </w:r>
            <w:r w:rsidRPr="00E67914">
              <w:rPr>
                <w:rFonts w:ascii="Times New Roman" w:hAnsi="Times New Roman"/>
                <w:sz w:val="21"/>
                <w:szCs w:val="21"/>
                <w:lang w:eastAsia="zh-CN"/>
              </w:rPr>
              <w:t>处材料棚，用于暂存钻井、固井用的化学药品，药品桶装或袋装，地面硬化，彩钢板顶棚</w:t>
            </w:r>
          </w:p>
        </w:tc>
        <w:tc>
          <w:tcPr>
            <w:tcW w:w="766" w:type="pct"/>
            <w:vMerge/>
            <w:vAlign w:val="center"/>
          </w:tcPr>
          <w:p w14:paraId="6B5489F0" w14:textId="77777777" w:rsidR="001B4D84" w:rsidRPr="00E67914" w:rsidRDefault="001B4D84">
            <w:pPr>
              <w:jc w:val="center"/>
              <w:rPr>
                <w:rFonts w:ascii="Times New Roman" w:hAnsi="Times New Roman"/>
                <w:sz w:val="21"/>
                <w:szCs w:val="21"/>
                <w:lang w:eastAsia="zh-CN"/>
              </w:rPr>
            </w:pPr>
          </w:p>
        </w:tc>
        <w:tc>
          <w:tcPr>
            <w:tcW w:w="764" w:type="pct"/>
            <w:vAlign w:val="center"/>
          </w:tcPr>
          <w:p w14:paraId="253CBBF1" w14:textId="2E46C475" w:rsidR="001B4D84" w:rsidRPr="00E67914" w:rsidRDefault="001B4D84">
            <w:pPr>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E67914" w:rsidRPr="00E67914" w14:paraId="49B33C33" w14:textId="77777777">
        <w:trPr>
          <w:trHeight w:val="397"/>
          <w:jc w:val="center"/>
        </w:trPr>
        <w:tc>
          <w:tcPr>
            <w:tcW w:w="329" w:type="pct"/>
            <w:vMerge/>
            <w:vAlign w:val="center"/>
          </w:tcPr>
          <w:p w14:paraId="01E03966" w14:textId="77777777" w:rsidR="00A54A8A" w:rsidRPr="00E67914" w:rsidRDefault="00A54A8A">
            <w:pPr>
              <w:jc w:val="center"/>
              <w:rPr>
                <w:rFonts w:ascii="Times New Roman" w:hAnsi="Times New Roman"/>
                <w:kern w:val="28"/>
                <w:sz w:val="21"/>
                <w:szCs w:val="21"/>
                <w:lang w:eastAsia="zh-CN"/>
              </w:rPr>
            </w:pPr>
          </w:p>
        </w:tc>
        <w:tc>
          <w:tcPr>
            <w:tcW w:w="868" w:type="pct"/>
            <w:gridSpan w:val="2"/>
            <w:vAlign w:val="center"/>
          </w:tcPr>
          <w:p w14:paraId="1206AF8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压裂</w:t>
            </w:r>
            <w:r w:rsidRPr="00E67914">
              <w:rPr>
                <w:rFonts w:ascii="Times New Roman" w:hAnsi="Times New Roman"/>
                <w:sz w:val="21"/>
                <w:szCs w:val="21"/>
              </w:rPr>
              <w:t>液储藏罐</w:t>
            </w:r>
          </w:p>
        </w:tc>
        <w:tc>
          <w:tcPr>
            <w:tcW w:w="2273" w:type="pct"/>
            <w:vAlign w:val="center"/>
          </w:tcPr>
          <w:p w14:paraId="2587E393"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40</w:t>
            </w:r>
            <w:r w:rsidRPr="00E67914">
              <w:rPr>
                <w:rFonts w:ascii="Times New Roman" w:hAnsi="Times New Roman"/>
                <w:sz w:val="21"/>
                <w:szCs w:val="21"/>
                <w:lang w:eastAsia="zh-CN"/>
              </w:rPr>
              <w:t>个</w:t>
            </w:r>
            <w:r w:rsidRPr="00E67914">
              <w:rPr>
                <w:rFonts w:ascii="Times New Roman" w:hAnsi="Times New Roman"/>
                <w:sz w:val="21"/>
                <w:szCs w:val="21"/>
                <w:lang w:eastAsia="zh-CN"/>
              </w:rPr>
              <w:t>40m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压裂液储罐</w:t>
            </w:r>
          </w:p>
        </w:tc>
        <w:tc>
          <w:tcPr>
            <w:tcW w:w="766" w:type="pct"/>
            <w:vMerge/>
            <w:vAlign w:val="center"/>
          </w:tcPr>
          <w:p w14:paraId="6932449C" w14:textId="77777777" w:rsidR="00A54A8A" w:rsidRPr="00E67914" w:rsidRDefault="00A54A8A">
            <w:pPr>
              <w:jc w:val="center"/>
              <w:rPr>
                <w:rFonts w:ascii="Times New Roman" w:hAnsi="Times New Roman"/>
                <w:sz w:val="21"/>
                <w:szCs w:val="21"/>
                <w:lang w:eastAsia="zh-CN"/>
              </w:rPr>
            </w:pPr>
          </w:p>
        </w:tc>
        <w:tc>
          <w:tcPr>
            <w:tcW w:w="764" w:type="pct"/>
            <w:vAlign w:val="center"/>
          </w:tcPr>
          <w:p w14:paraId="487EF61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rPr>
              <w:t>新建</w:t>
            </w:r>
          </w:p>
        </w:tc>
      </w:tr>
      <w:tr w:rsidR="00E67914" w:rsidRPr="00E67914" w14:paraId="335658EF" w14:textId="77777777">
        <w:trPr>
          <w:trHeight w:val="397"/>
          <w:jc w:val="center"/>
        </w:trPr>
        <w:tc>
          <w:tcPr>
            <w:tcW w:w="329" w:type="pct"/>
            <w:vMerge w:val="restart"/>
            <w:vAlign w:val="center"/>
          </w:tcPr>
          <w:p w14:paraId="7C194FAF" w14:textId="77777777" w:rsidR="00FF0E99" w:rsidRPr="00E67914" w:rsidRDefault="00FF0E99" w:rsidP="00FF0E99">
            <w:pPr>
              <w:jc w:val="center"/>
              <w:rPr>
                <w:rFonts w:ascii="Times New Roman" w:hAnsi="Times New Roman"/>
                <w:kern w:val="28"/>
                <w:sz w:val="21"/>
                <w:szCs w:val="21"/>
              </w:rPr>
            </w:pPr>
            <w:r w:rsidRPr="00E67914">
              <w:rPr>
                <w:rFonts w:ascii="Times New Roman" w:hAnsi="Times New Roman"/>
                <w:kern w:val="28"/>
                <w:sz w:val="21"/>
                <w:szCs w:val="21"/>
              </w:rPr>
              <w:t>环保工程</w:t>
            </w:r>
          </w:p>
        </w:tc>
        <w:tc>
          <w:tcPr>
            <w:tcW w:w="292" w:type="pct"/>
            <w:vMerge w:val="restart"/>
            <w:vAlign w:val="center"/>
          </w:tcPr>
          <w:p w14:paraId="7212E0A3" w14:textId="77777777" w:rsidR="00FF0E99" w:rsidRPr="00E67914" w:rsidRDefault="00FF0E99" w:rsidP="00FF0E99">
            <w:pPr>
              <w:jc w:val="center"/>
              <w:rPr>
                <w:rFonts w:ascii="Times New Roman" w:hAnsi="Times New Roman"/>
                <w:sz w:val="21"/>
                <w:szCs w:val="21"/>
              </w:rPr>
            </w:pPr>
            <w:r w:rsidRPr="00E67914">
              <w:rPr>
                <w:rFonts w:ascii="Times New Roman" w:hAnsi="Times New Roman"/>
                <w:sz w:val="21"/>
                <w:szCs w:val="21"/>
              </w:rPr>
              <w:t>废水处理</w:t>
            </w:r>
          </w:p>
        </w:tc>
        <w:tc>
          <w:tcPr>
            <w:tcW w:w="576" w:type="pct"/>
            <w:vAlign w:val="center"/>
          </w:tcPr>
          <w:p w14:paraId="5940B4FD" w14:textId="308D5FCE" w:rsidR="00FF0E99" w:rsidRPr="00E67914" w:rsidRDefault="00FF0E99" w:rsidP="00FF0E99">
            <w:pPr>
              <w:jc w:val="center"/>
              <w:rPr>
                <w:rFonts w:ascii="Times New Roman" w:hAnsi="Times New Roman"/>
                <w:sz w:val="21"/>
                <w:szCs w:val="21"/>
              </w:rPr>
            </w:pPr>
            <w:r w:rsidRPr="00E67914">
              <w:rPr>
                <w:rFonts w:ascii="Times New Roman" w:hAnsi="Times New Roman"/>
                <w:sz w:val="21"/>
                <w:szCs w:val="21"/>
              </w:rPr>
              <w:t>钻井废水暂存</w:t>
            </w:r>
          </w:p>
        </w:tc>
        <w:tc>
          <w:tcPr>
            <w:tcW w:w="2273" w:type="pct"/>
            <w:vAlign w:val="center"/>
          </w:tcPr>
          <w:p w14:paraId="2D8ADC67" w14:textId="557E38E6" w:rsidR="00FF0E99" w:rsidRPr="00E67914" w:rsidRDefault="00FF0E99" w:rsidP="00FF0E99">
            <w:pPr>
              <w:jc w:val="center"/>
              <w:rPr>
                <w:rFonts w:ascii="Times New Roman" w:hAnsi="Times New Roman"/>
                <w:sz w:val="21"/>
                <w:szCs w:val="21"/>
                <w:lang w:eastAsia="zh-CN"/>
              </w:rPr>
            </w:pPr>
            <w:r w:rsidRPr="00E67914">
              <w:rPr>
                <w:rFonts w:ascii="Times New Roman" w:hAnsi="Times New Roman"/>
                <w:sz w:val="21"/>
                <w:szCs w:val="21"/>
                <w:lang w:eastAsia="zh-CN"/>
              </w:rPr>
              <w:t>钻井废水全部回用于钻井补充泥浆的配置，完钻阶段钻井废水暂存在清洁生产操作平台的废水罐内，定期装车拉运至赵家坝污水处理站达标后管输至普光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w:t>
            </w:r>
          </w:p>
        </w:tc>
        <w:tc>
          <w:tcPr>
            <w:tcW w:w="766" w:type="pct"/>
            <w:vMerge w:val="restart"/>
            <w:vAlign w:val="center"/>
          </w:tcPr>
          <w:p w14:paraId="43361E7B" w14:textId="77777777" w:rsidR="00FF0E99" w:rsidRPr="00E67914" w:rsidRDefault="00FF0E99" w:rsidP="00FF0E99">
            <w:pPr>
              <w:jc w:val="center"/>
              <w:rPr>
                <w:rFonts w:ascii="Times New Roman" w:hAnsi="Times New Roman"/>
                <w:kern w:val="28"/>
                <w:sz w:val="21"/>
                <w:szCs w:val="21"/>
                <w:lang w:eastAsia="zh-CN"/>
              </w:rPr>
            </w:pPr>
            <w:r w:rsidRPr="00E67914">
              <w:rPr>
                <w:rFonts w:ascii="Times New Roman" w:hAnsi="Times New Roman"/>
                <w:sz w:val="21"/>
                <w:szCs w:val="21"/>
                <w:lang w:eastAsia="zh-CN"/>
              </w:rPr>
              <w:t>渗漏污染土壤、地下水、地表水环境</w:t>
            </w:r>
          </w:p>
        </w:tc>
        <w:tc>
          <w:tcPr>
            <w:tcW w:w="764" w:type="pct"/>
            <w:vAlign w:val="center"/>
          </w:tcPr>
          <w:p w14:paraId="0E3C1DF8" w14:textId="1B4DFC23" w:rsidR="00FF0E99" w:rsidRPr="00E67914" w:rsidRDefault="00FF0E99" w:rsidP="00FF0E99">
            <w:pPr>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E67914" w:rsidRPr="00E67914" w14:paraId="28EE5C77" w14:textId="77777777">
        <w:trPr>
          <w:trHeight w:val="397"/>
          <w:jc w:val="center"/>
        </w:trPr>
        <w:tc>
          <w:tcPr>
            <w:tcW w:w="329" w:type="pct"/>
            <w:vMerge/>
            <w:vAlign w:val="center"/>
          </w:tcPr>
          <w:p w14:paraId="5908E0F7" w14:textId="77777777" w:rsidR="00133F4D" w:rsidRPr="00E67914" w:rsidRDefault="00133F4D" w:rsidP="00FF0E99">
            <w:pPr>
              <w:jc w:val="center"/>
              <w:rPr>
                <w:rFonts w:ascii="Times New Roman" w:hAnsi="Times New Roman"/>
                <w:kern w:val="28"/>
                <w:sz w:val="21"/>
                <w:szCs w:val="21"/>
              </w:rPr>
            </w:pPr>
          </w:p>
        </w:tc>
        <w:tc>
          <w:tcPr>
            <w:tcW w:w="292" w:type="pct"/>
            <w:vMerge/>
            <w:vAlign w:val="center"/>
          </w:tcPr>
          <w:p w14:paraId="44AB4942" w14:textId="77777777" w:rsidR="00133F4D" w:rsidRPr="00E67914" w:rsidRDefault="00133F4D" w:rsidP="00FF0E99">
            <w:pPr>
              <w:jc w:val="center"/>
              <w:rPr>
                <w:rFonts w:ascii="Times New Roman" w:hAnsi="Times New Roman"/>
                <w:sz w:val="21"/>
                <w:szCs w:val="21"/>
              </w:rPr>
            </w:pPr>
          </w:p>
        </w:tc>
        <w:tc>
          <w:tcPr>
            <w:tcW w:w="576" w:type="pct"/>
            <w:vAlign w:val="center"/>
          </w:tcPr>
          <w:p w14:paraId="7A264788" w14:textId="4029C1A0" w:rsidR="00133F4D" w:rsidRPr="00E67914" w:rsidRDefault="00133F4D" w:rsidP="00FF0E99">
            <w:pPr>
              <w:jc w:val="center"/>
              <w:rPr>
                <w:rFonts w:ascii="Times New Roman" w:hAnsi="Times New Roman"/>
                <w:sz w:val="21"/>
                <w:szCs w:val="21"/>
              </w:rPr>
            </w:pPr>
            <w:r w:rsidRPr="00E67914">
              <w:rPr>
                <w:rFonts w:ascii="Times New Roman" w:hAnsi="Times New Roman"/>
                <w:sz w:val="21"/>
                <w:szCs w:val="21"/>
                <w:lang w:eastAsia="zh-CN"/>
              </w:rPr>
              <w:t>生活污水</w:t>
            </w:r>
          </w:p>
        </w:tc>
        <w:tc>
          <w:tcPr>
            <w:tcW w:w="2273" w:type="pct"/>
            <w:vAlign w:val="center"/>
          </w:tcPr>
          <w:p w14:paraId="29933574" w14:textId="27FD9C04" w:rsidR="00133F4D" w:rsidRPr="00E67914" w:rsidRDefault="00133F4D" w:rsidP="00FF0E99">
            <w:pPr>
              <w:jc w:val="center"/>
              <w:rPr>
                <w:rFonts w:ascii="Times New Roman" w:hAnsi="Times New Roman"/>
                <w:sz w:val="21"/>
                <w:szCs w:val="21"/>
                <w:lang w:eastAsia="zh-CN"/>
              </w:rPr>
            </w:pPr>
            <w:r w:rsidRPr="00E67914">
              <w:rPr>
                <w:rFonts w:ascii="Times New Roman" w:hAnsi="Times New Roman"/>
                <w:sz w:val="21"/>
                <w:szCs w:val="21"/>
                <w:lang w:eastAsia="zh-CN"/>
              </w:rPr>
              <w:t>生活污水经生态厕所收集后定期由密闭罐车拉运至周边生活污水处理厂处理</w:t>
            </w:r>
          </w:p>
        </w:tc>
        <w:tc>
          <w:tcPr>
            <w:tcW w:w="766" w:type="pct"/>
            <w:vMerge/>
            <w:vAlign w:val="center"/>
          </w:tcPr>
          <w:p w14:paraId="0F765F29" w14:textId="77777777" w:rsidR="00133F4D" w:rsidRPr="00E67914" w:rsidRDefault="00133F4D" w:rsidP="00FF0E99">
            <w:pPr>
              <w:jc w:val="center"/>
              <w:rPr>
                <w:rFonts w:ascii="Times New Roman" w:hAnsi="Times New Roman"/>
                <w:sz w:val="21"/>
                <w:szCs w:val="21"/>
                <w:lang w:eastAsia="zh-CN"/>
              </w:rPr>
            </w:pPr>
          </w:p>
        </w:tc>
        <w:tc>
          <w:tcPr>
            <w:tcW w:w="764" w:type="pct"/>
            <w:vAlign w:val="center"/>
          </w:tcPr>
          <w:p w14:paraId="4B2D6E54" w14:textId="7380BB9D" w:rsidR="00133F4D" w:rsidRPr="00E67914" w:rsidRDefault="00133F4D" w:rsidP="00FF0E99">
            <w:pPr>
              <w:jc w:val="center"/>
              <w:rPr>
                <w:rFonts w:ascii="Times New Roman" w:hAnsi="Times New Roman"/>
                <w:sz w:val="21"/>
                <w:szCs w:val="21"/>
                <w:lang w:eastAsia="zh-CN"/>
              </w:rPr>
            </w:pPr>
            <w:r w:rsidRPr="00E67914">
              <w:rPr>
                <w:rFonts w:ascii="Times New Roman" w:hAnsi="Times New Roman"/>
                <w:sz w:val="21"/>
                <w:szCs w:val="21"/>
                <w:lang w:eastAsia="zh-CN"/>
              </w:rPr>
              <w:t>新建</w:t>
            </w:r>
            <w:r w:rsidRPr="00E67914">
              <w:rPr>
                <w:rFonts w:ascii="Times New Roman" w:hAnsi="Times New Roman"/>
                <w:sz w:val="21"/>
                <w:szCs w:val="21"/>
                <w:lang w:eastAsia="zh-CN"/>
              </w:rPr>
              <w:t>+</w:t>
            </w:r>
            <w:r w:rsidRPr="00E67914">
              <w:rPr>
                <w:rFonts w:ascii="Times New Roman" w:hAnsi="Times New Roman"/>
                <w:sz w:val="21"/>
                <w:szCs w:val="21"/>
                <w:lang w:eastAsia="zh-CN"/>
              </w:rPr>
              <w:t>依托</w:t>
            </w:r>
          </w:p>
        </w:tc>
      </w:tr>
      <w:tr w:rsidR="00E67914" w:rsidRPr="00E67914" w14:paraId="215B3353" w14:textId="77777777">
        <w:trPr>
          <w:trHeight w:val="60"/>
          <w:jc w:val="center"/>
        </w:trPr>
        <w:tc>
          <w:tcPr>
            <w:tcW w:w="329" w:type="pct"/>
            <w:vMerge/>
            <w:vAlign w:val="center"/>
          </w:tcPr>
          <w:p w14:paraId="22A3170B" w14:textId="77777777" w:rsidR="00A54A8A" w:rsidRPr="00E67914" w:rsidRDefault="00A54A8A">
            <w:pPr>
              <w:jc w:val="center"/>
              <w:rPr>
                <w:rFonts w:ascii="Times New Roman" w:hAnsi="Times New Roman"/>
                <w:kern w:val="28"/>
                <w:sz w:val="21"/>
                <w:szCs w:val="21"/>
                <w:lang w:eastAsia="zh-CN"/>
              </w:rPr>
            </w:pPr>
          </w:p>
        </w:tc>
        <w:tc>
          <w:tcPr>
            <w:tcW w:w="292" w:type="pct"/>
            <w:vMerge/>
            <w:vAlign w:val="center"/>
          </w:tcPr>
          <w:p w14:paraId="65B7BB70" w14:textId="77777777" w:rsidR="00A54A8A" w:rsidRPr="00E67914" w:rsidRDefault="00A54A8A">
            <w:pPr>
              <w:jc w:val="center"/>
              <w:rPr>
                <w:rFonts w:ascii="Times New Roman" w:hAnsi="Times New Roman"/>
                <w:sz w:val="21"/>
                <w:szCs w:val="21"/>
                <w:lang w:eastAsia="zh-CN"/>
              </w:rPr>
            </w:pPr>
          </w:p>
        </w:tc>
        <w:tc>
          <w:tcPr>
            <w:tcW w:w="576" w:type="pct"/>
            <w:vAlign w:val="center"/>
          </w:tcPr>
          <w:p w14:paraId="549EAB9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钻井废水完井处置</w:t>
            </w:r>
          </w:p>
        </w:tc>
        <w:tc>
          <w:tcPr>
            <w:tcW w:w="2273" w:type="pct"/>
            <w:vAlign w:val="center"/>
          </w:tcPr>
          <w:p w14:paraId="662A0CB5" w14:textId="19CE9978"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废水储存在废水罐中，</w:t>
            </w:r>
            <w:r w:rsidR="006956BC" w:rsidRPr="00E67914">
              <w:rPr>
                <w:rFonts w:ascii="Times New Roman" w:hAnsi="Times New Roman"/>
                <w:sz w:val="21"/>
                <w:szCs w:val="21"/>
                <w:lang w:eastAsia="zh-CN"/>
              </w:rPr>
              <w:t>定期</w:t>
            </w:r>
            <w:r w:rsidRPr="00E67914">
              <w:rPr>
                <w:rFonts w:ascii="Times New Roman" w:hAnsi="Times New Roman"/>
                <w:sz w:val="21"/>
                <w:szCs w:val="21"/>
                <w:lang w:eastAsia="zh-CN"/>
              </w:rPr>
              <w:t>装车拉运至赵家坝污水处理站（依托）处理达标后管输至普光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井回注站（依托）回注</w:t>
            </w:r>
          </w:p>
        </w:tc>
        <w:tc>
          <w:tcPr>
            <w:tcW w:w="766" w:type="pct"/>
            <w:vMerge/>
            <w:vAlign w:val="center"/>
          </w:tcPr>
          <w:p w14:paraId="76366CD1" w14:textId="77777777" w:rsidR="00A54A8A" w:rsidRPr="00E67914" w:rsidRDefault="00A54A8A">
            <w:pPr>
              <w:jc w:val="center"/>
              <w:rPr>
                <w:rFonts w:ascii="Times New Roman" w:hAnsi="Times New Roman"/>
                <w:sz w:val="21"/>
                <w:szCs w:val="21"/>
                <w:lang w:eastAsia="zh-CN"/>
              </w:rPr>
            </w:pPr>
          </w:p>
        </w:tc>
        <w:tc>
          <w:tcPr>
            <w:tcW w:w="764" w:type="pct"/>
            <w:vAlign w:val="center"/>
          </w:tcPr>
          <w:p w14:paraId="20F991CD" w14:textId="2A014605"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rPr>
              <w:t>新建</w:t>
            </w:r>
            <w:r w:rsidRPr="00E67914">
              <w:rPr>
                <w:rFonts w:ascii="Times New Roman" w:hAnsi="Times New Roman"/>
                <w:sz w:val="21"/>
                <w:szCs w:val="21"/>
                <w:lang w:eastAsia="zh-CN"/>
              </w:rPr>
              <w:t>+</w:t>
            </w:r>
            <w:r w:rsidRPr="00E67914">
              <w:rPr>
                <w:rFonts w:ascii="Times New Roman" w:hAnsi="Times New Roman"/>
                <w:sz w:val="21"/>
                <w:szCs w:val="21"/>
                <w:lang w:eastAsia="zh-CN"/>
              </w:rPr>
              <w:t>依托</w:t>
            </w:r>
          </w:p>
        </w:tc>
      </w:tr>
      <w:tr w:rsidR="00E67914" w:rsidRPr="00E67914" w14:paraId="4D2FBB03" w14:textId="77777777">
        <w:trPr>
          <w:trHeight w:val="60"/>
          <w:jc w:val="center"/>
        </w:trPr>
        <w:tc>
          <w:tcPr>
            <w:tcW w:w="329" w:type="pct"/>
            <w:vMerge/>
            <w:vAlign w:val="center"/>
          </w:tcPr>
          <w:p w14:paraId="42CCC66D" w14:textId="77777777" w:rsidR="00A54A8A" w:rsidRPr="00E67914" w:rsidRDefault="00A54A8A">
            <w:pPr>
              <w:jc w:val="center"/>
              <w:rPr>
                <w:rFonts w:ascii="Times New Roman" w:hAnsi="Times New Roman"/>
                <w:kern w:val="28"/>
                <w:sz w:val="21"/>
                <w:szCs w:val="21"/>
                <w:lang w:eastAsia="zh-CN"/>
              </w:rPr>
            </w:pPr>
          </w:p>
        </w:tc>
        <w:tc>
          <w:tcPr>
            <w:tcW w:w="292" w:type="pct"/>
            <w:vMerge w:val="restart"/>
            <w:vAlign w:val="center"/>
          </w:tcPr>
          <w:p w14:paraId="44E5242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废气处理</w:t>
            </w:r>
          </w:p>
        </w:tc>
        <w:tc>
          <w:tcPr>
            <w:tcW w:w="576" w:type="pct"/>
            <w:vAlign w:val="center"/>
          </w:tcPr>
          <w:p w14:paraId="25A9D7B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施工粉尘</w:t>
            </w:r>
          </w:p>
        </w:tc>
        <w:tc>
          <w:tcPr>
            <w:tcW w:w="2273" w:type="pct"/>
            <w:vAlign w:val="center"/>
          </w:tcPr>
          <w:p w14:paraId="7FC593F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硬化进出口并采取冲洗、洒水等措施控制扬尘</w:t>
            </w:r>
          </w:p>
        </w:tc>
        <w:tc>
          <w:tcPr>
            <w:tcW w:w="766" w:type="pct"/>
            <w:vAlign w:val="center"/>
          </w:tcPr>
          <w:p w14:paraId="59CA810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p>
        </w:tc>
        <w:tc>
          <w:tcPr>
            <w:tcW w:w="764" w:type="pct"/>
            <w:vAlign w:val="center"/>
          </w:tcPr>
          <w:p w14:paraId="48C51E7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1786B300" w14:textId="77777777">
        <w:trPr>
          <w:trHeight w:val="397"/>
          <w:jc w:val="center"/>
        </w:trPr>
        <w:tc>
          <w:tcPr>
            <w:tcW w:w="329" w:type="pct"/>
            <w:vMerge/>
            <w:vAlign w:val="center"/>
          </w:tcPr>
          <w:p w14:paraId="3B2649DE" w14:textId="77777777" w:rsidR="00A54A8A" w:rsidRPr="00E67914" w:rsidRDefault="00A54A8A">
            <w:pPr>
              <w:jc w:val="center"/>
              <w:rPr>
                <w:rFonts w:ascii="Times New Roman" w:hAnsi="Times New Roman"/>
                <w:kern w:val="28"/>
                <w:sz w:val="21"/>
                <w:szCs w:val="21"/>
              </w:rPr>
            </w:pPr>
          </w:p>
        </w:tc>
        <w:tc>
          <w:tcPr>
            <w:tcW w:w="292" w:type="pct"/>
            <w:vMerge/>
            <w:vAlign w:val="center"/>
          </w:tcPr>
          <w:p w14:paraId="46EC9314" w14:textId="77777777" w:rsidR="00A54A8A" w:rsidRPr="00E67914" w:rsidRDefault="00A54A8A">
            <w:pPr>
              <w:jc w:val="center"/>
              <w:rPr>
                <w:rFonts w:ascii="Times New Roman" w:hAnsi="Times New Roman"/>
                <w:sz w:val="21"/>
                <w:szCs w:val="21"/>
              </w:rPr>
            </w:pPr>
          </w:p>
        </w:tc>
        <w:tc>
          <w:tcPr>
            <w:tcW w:w="576" w:type="pct"/>
            <w:vAlign w:val="center"/>
          </w:tcPr>
          <w:p w14:paraId="7CD3406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备用柴油发电机</w:t>
            </w:r>
          </w:p>
        </w:tc>
        <w:tc>
          <w:tcPr>
            <w:tcW w:w="2273" w:type="pct"/>
            <w:vAlign w:val="center"/>
          </w:tcPr>
          <w:p w14:paraId="4F5A9CF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柴油机经自带尾气处理系统后经过自带排气筒排放</w:t>
            </w:r>
          </w:p>
        </w:tc>
        <w:tc>
          <w:tcPr>
            <w:tcW w:w="766" w:type="pct"/>
            <w:vAlign w:val="center"/>
          </w:tcPr>
          <w:p w14:paraId="624478C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p>
        </w:tc>
        <w:tc>
          <w:tcPr>
            <w:tcW w:w="764" w:type="pct"/>
            <w:vAlign w:val="center"/>
          </w:tcPr>
          <w:p w14:paraId="77DA94A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44271944" w14:textId="77777777">
        <w:trPr>
          <w:trHeight w:val="397"/>
          <w:jc w:val="center"/>
        </w:trPr>
        <w:tc>
          <w:tcPr>
            <w:tcW w:w="329" w:type="pct"/>
            <w:vMerge/>
            <w:vAlign w:val="center"/>
          </w:tcPr>
          <w:p w14:paraId="258DCE1C" w14:textId="77777777" w:rsidR="00A54A8A" w:rsidRPr="00E67914" w:rsidRDefault="00A54A8A">
            <w:pPr>
              <w:jc w:val="center"/>
              <w:rPr>
                <w:rFonts w:ascii="Times New Roman" w:hAnsi="Times New Roman"/>
                <w:kern w:val="28"/>
                <w:sz w:val="21"/>
                <w:szCs w:val="21"/>
              </w:rPr>
            </w:pPr>
          </w:p>
        </w:tc>
        <w:tc>
          <w:tcPr>
            <w:tcW w:w="292" w:type="pct"/>
            <w:vMerge/>
            <w:vAlign w:val="center"/>
          </w:tcPr>
          <w:p w14:paraId="4C28CA1C" w14:textId="77777777" w:rsidR="00A54A8A" w:rsidRPr="00E67914" w:rsidRDefault="00A54A8A">
            <w:pPr>
              <w:jc w:val="center"/>
              <w:rPr>
                <w:rFonts w:ascii="Times New Roman" w:hAnsi="Times New Roman"/>
                <w:sz w:val="21"/>
                <w:szCs w:val="21"/>
              </w:rPr>
            </w:pPr>
          </w:p>
        </w:tc>
        <w:tc>
          <w:tcPr>
            <w:tcW w:w="576" w:type="pct"/>
            <w:vAlign w:val="center"/>
          </w:tcPr>
          <w:p w14:paraId="53DE680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测试放喷废气</w:t>
            </w:r>
          </w:p>
        </w:tc>
        <w:tc>
          <w:tcPr>
            <w:tcW w:w="2273" w:type="pct"/>
            <w:vAlign w:val="center"/>
          </w:tcPr>
          <w:p w14:paraId="1649451C" w14:textId="0FD9E62D" w:rsidR="00A54A8A" w:rsidRPr="00E67914" w:rsidRDefault="001B4D84">
            <w:pPr>
              <w:jc w:val="center"/>
              <w:rPr>
                <w:rFonts w:ascii="Times New Roman" w:hAnsi="Times New Roman"/>
                <w:sz w:val="21"/>
                <w:szCs w:val="21"/>
                <w:lang w:eastAsia="zh-CN"/>
              </w:rPr>
            </w:pPr>
            <w:r w:rsidRPr="00E67914">
              <w:rPr>
                <w:rFonts w:ascii="Times New Roman" w:hAnsi="Times New Roman"/>
                <w:sz w:val="21"/>
                <w:szCs w:val="21"/>
                <w:lang w:eastAsia="zh-CN"/>
              </w:rPr>
              <w:t>测试放喷期间应临时撤离放喷口周边</w:t>
            </w:r>
            <w:r w:rsidRPr="00E67914">
              <w:rPr>
                <w:rFonts w:ascii="Times New Roman" w:hAnsi="Times New Roman"/>
                <w:sz w:val="21"/>
                <w:szCs w:val="21"/>
                <w:lang w:eastAsia="zh-CN"/>
              </w:rPr>
              <w:t>500m</w:t>
            </w:r>
            <w:r w:rsidRPr="00E67914">
              <w:rPr>
                <w:rFonts w:ascii="Times New Roman" w:hAnsi="Times New Roman"/>
                <w:sz w:val="21"/>
                <w:szCs w:val="21"/>
                <w:lang w:eastAsia="zh-CN"/>
              </w:rPr>
              <w:t>的居民</w:t>
            </w:r>
          </w:p>
        </w:tc>
        <w:tc>
          <w:tcPr>
            <w:tcW w:w="766" w:type="pct"/>
            <w:vAlign w:val="center"/>
          </w:tcPr>
          <w:p w14:paraId="0817A97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p>
        </w:tc>
        <w:tc>
          <w:tcPr>
            <w:tcW w:w="764" w:type="pct"/>
            <w:vAlign w:val="center"/>
          </w:tcPr>
          <w:p w14:paraId="0ECC06A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3549A2C1" w14:textId="77777777">
        <w:trPr>
          <w:trHeight w:val="397"/>
          <w:jc w:val="center"/>
        </w:trPr>
        <w:tc>
          <w:tcPr>
            <w:tcW w:w="329" w:type="pct"/>
            <w:vMerge/>
            <w:vAlign w:val="center"/>
          </w:tcPr>
          <w:p w14:paraId="2B012A2F" w14:textId="77777777" w:rsidR="00A54A8A" w:rsidRPr="00E67914" w:rsidRDefault="00A54A8A">
            <w:pPr>
              <w:jc w:val="center"/>
              <w:rPr>
                <w:rFonts w:ascii="Times New Roman" w:hAnsi="Times New Roman"/>
                <w:kern w:val="28"/>
                <w:sz w:val="21"/>
                <w:szCs w:val="21"/>
              </w:rPr>
            </w:pPr>
          </w:p>
        </w:tc>
        <w:tc>
          <w:tcPr>
            <w:tcW w:w="292" w:type="pct"/>
            <w:vMerge w:val="restart"/>
            <w:vAlign w:val="center"/>
          </w:tcPr>
          <w:p w14:paraId="66BC16C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固废处理</w:t>
            </w:r>
          </w:p>
        </w:tc>
        <w:tc>
          <w:tcPr>
            <w:tcW w:w="576" w:type="pct"/>
            <w:vAlign w:val="center"/>
          </w:tcPr>
          <w:p w14:paraId="58C3AC7C"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废水基泥浆及岩屑处置</w:t>
            </w:r>
          </w:p>
        </w:tc>
        <w:tc>
          <w:tcPr>
            <w:tcW w:w="2273" w:type="pct"/>
            <w:vAlign w:val="center"/>
          </w:tcPr>
          <w:p w14:paraId="65BCEE1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本项目采用清洁化操作平台，并采取泥浆不落地措施。项目产生的废弃泥浆与常规钻产生的废岩屑暂存于固废临时堆放区，及时转运至达州地区环保手续齐全、环保设施稳定运行固废烧结厂进行烧结后综合利用</w:t>
            </w:r>
          </w:p>
        </w:tc>
        <w:tc>
          <w:tcPr>
            <w:tcW w:w="766" w:type="pct"/>
            <w:vMerge w:val="restart"/>
            <w:vAlign w:val="center"/>
          </w:tcPr>
          <w:p w14:paraId="1C07729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泄漏污染</w:t>
            </w:r>
          </w:p>
        </w:tc>
        <w:tc>
          <w:tcPr>
            <w:tcW w:w="764" w:type="pct"/>
            <w:vAlign w:val="center"/>
          </w:tcPr>
          <w:p w14:paraId="64C35967" w14:textId="77777777" w:rsidR="00A54A8A" w:rsidRPr="00E67914" w:rsidRDefault="00000000">
            <w:pPr>
              <w:jc w:val="center"/>
              <w:rPr>
                <w:rFonts w:ascii="Times New Roman" w:hAnsi="Times New Roman"/>
                <w:sz w:val="21"/>
                <w:szCs w:val="21"/>
                <w:lang w:bidi="ar"/>
              </w:rPr>
            </w:pPr>
            <w:r w:rsidRPr="00E67914">
              <w:rPr>
                <w:rFonts w:ascii="Times New Roman" w:hAnsi="Times New Roman"/>
                <w:sz w:val="21"/>
                <w:szCs w:val="21"/>
              </w:rPr>
              <w:t>新建</w:t>
            </w:r>
          </w:p>
        </w:tc>
      </w:tr>
      <w:tr w:rsidR="00E67914" w:rsidRPr="00E67914" w14:paraId="4796D7CD" w14:textId="77777777">
        <w:trPr>
          <w:trHeight w:val="397"/>
          <w:jc w:val="center"/>
        </w:trPr>
        <w:tc>
          <w:tcPr>
            <w:tcW w:w="329" w:type="pct"/>
            <w:vMerge/>
            <w:vAlign w:val="center"/>
          </w:tcPr>
          <w:p w14:paraId="64F593E3" w14:textId="77777777" w:rsidR="00A54A8A" w:rsidRPr="00E67914" w:rsidRDefault="00A54A8A">
            <w:pPr>
              <w:jc w:val="center"/>
              <w:rPr>
                <w:rFonts w:ascii="Times New Roman" w:hAnsi="Times New Roman"/>
                <w:kern w:val="28"/>
                <w:sz w:val="21"/>
                <w:szCs w:val="21"/>
              </w:rPr>
            </w:pPr>
          </w:p>
        </w:tc>
        <w:tc>
          <w:tcPr>
            <w:tcW w:w="292" w:type="pct"/>
            <w:vMerge/>
            <w:vAlign w:val="center"/>
          </w:tcPr>
          <w:p w14:paraId="3C375A22" w14:textId="77777777" w:rsidR="00A54A8A" w:rsidRPr="00E67914" w:rsidRDefault="00A54A8A">
            <w:pPr>
              <w:jc w:val="center"/>
              <w:rPr>
                <w:rFonts w:ascii="Times New Roman" w:hAnsi="Times New Roman"/>
                <w:sz w:val="21"/>
                <w:szCs w:val="21"/>
              </w:rPr>
            </w:pPr>
          </w:p>
        </w:tc>
        <w:tc>
          <w:tcPr>
            <w:tcW w:w="576" w:type="pct"/>
            <w:vAlign w:val="center"/>
          </w:tcPr>
          <w:p w14:paraId="3289AF0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lang w:eastAsia="zh-CN"/>
              </w:rPr>
              <w:t>油基钻井废泥浆、岩屑</w:t>
            </w:r>
          </w:p>
        </w:tc>
        <w:tc>
          <w:tcPr>
            <w:tcW w:w="2273" w:type="pct"/>
            <w:vAlign w:val="center"/>
          </w:tcPr>
          <w:p w14:paraId="670D8AB8" w14:textId="460DCA39" w:rsidR="00A54A8A" w:rsidRPr="00E67914" w:rsidRDefault="00000000" w:rsidP="0043523D">
            <w:pPr>
              <w:jc w:val="center"/>
              <w:rPr>
                <w:rFonts w:ascii="Times New Roman" w:hAnsi="Times New Roman"/>
                <w:sz w:val="21"/>
                <w:szCs w:val="21"/>
                <w:lang w:eastAsia="zh-CN"/>
              </w:rPr>
            </w:pPr>
            <w:r w:rsidRPr="00E67914">
              <w:rPr>
                <w:rFonts w:ascii="Times New Roman" w:hAnsi="Times New Roman"/>
                <w:lang w:eastAsia="zh-CN"/>
              </w:rPr>
              <w:t>油基钻井废泥浆、岩屑暂存于新建的</w:t>
            </w:r>
            <w:r w:rsidRPr="00E67914">
              <w:rPr>
                <w:rFonts w:ascii="Times New Roman" w:hAnsi="Times New Roman"/>
                <w:lang w:eastAsia="zh-CN"/>
              </w:rPr>
              <w:t>20m</w:t>
            </w:r>
            <w:r w:rsidR="00DA577F" w:rsidRPr="00E67914">
              <w:rPr>
                <w:rFonts w:ascii="Times New Roman" w:hAnsi="Times New Roman"/>
                <w:vertAlign w:val="superscript"/>
                <w:lang w:eastAsia="zh-CN"/>
              </w:rPr>
              <w:t>2</w:t>
            </w:r>
            <w:r w:rsidRPr="00E67914">
              <w:rPr>
                <w:rFonts w:ascii="Times New Roman" w:hAnsi="Times New Roman"/>
                <w:lang w:eastAsia="zh-CN"/>
              </w:rPr>
              <w:t>危险废物</w:t>
            </w:r>
            <w:r w:rsidR="0043523D" w:rsidRPr="00E67914">
              <w:rPr>
                <w:rFonts w:ascii="Times New Roman" w:hAnsi="Times New Roman"/>
                <w:lang w:eastAsia="zh-CN"/>
              </w:rPr>
              <w:t>暂存场所（采取必要的防风、防晒、防雨、防漏、防渗、防腐以及其他环境污染防治措施，不得露天堆放危险废物）</w:t>
            </w:r>
            <w:r w:rsidRPr="00E67914">
              <w:rPr>
                <w:rFonts w:ascii="Times New Roman" w:hAnsi="Times New Roman"/>
                <w:lang w:eastAsia="zh-CN"/>
              </w:rPr>
              <w:t>，</w:t>
            </w:r>
            <w:r w:rsidR="009A7D8C" w:rsidRPr="00E67914">
              <w:rPr>
                <w:rFonts w:ascii="Times New Roman" w:hAnsi="Times New Roman"/>
                <w:lang w:eastAsia="zh-CN"/>
              </w:rPr>
              <w:t>泥浆和油基钻井岩屑及时交由有资质的单位处置</w:t>
            </w:r>
          </w:p>
        </w:tc>
        <w:tc>
          <w:tcPr>
            <w:tcW w:w="766" w:type="pct"/>
            <w:vMerge/>
            <w:vAlign w:val="center"/>
          </w:tcPr>
          <w:p w14:paraId="59C025F5" w14:textId="77777777" w:rsidR="00A54A8A" w:rsidRPr="00E67914" w:rsidRDefault="00A54A8A">
            <w:pPr>
              <w:jc w:val="center"/>
              <w:rPr>
                <w:rFonts w:ascii="Times New Roman" w:hAnsi="Times New Roman"/>
                <w:sz w:val="21"/>
                <w:szCs w:val="21"/>
                <w:lang w:eastAsia="zh-CN"/>
              </w:rPr>
            </w:pPr>
          </w:p>
        </w:tc>
        <w:tc>
          <w:tcPr>
            <w:tcW w:w="764" w:type="pct"/>
            <w:vAlign w:val="center"/>
          </w:tcPr>
          <w:p w14:paraId="3B7D0E35"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E67914" w:rsidRPr="00E67914" w14:paraId="4D179799" w14:textId="77777777">
        <w:trPr>
          <w:trHeight w:val="397"/>
          <w:jc w:val="center"/>
        </w:trPr>
        <w:tc>
          <w:tcPr>
            <w:tcW w:w="329" w:type="pct"/>
            <w:vMerge/>
            <w:vAlign w:val="center"/>
          </w:tcPr>
          <w:p w14:paraId="00E1B76E" w14:textId="77777777" w:rsidR="00A54A8A" w:rsidRPr="00E67914" w:rsidRDefault="00A54A8A">
            <w:pPr>
              <w:jc w:val="center"/>
              <w:rPr>
                <w:rFonts w:ascii="Times New Roman" w:hAnsi="Times New Roman"/>
                <w:kern w:val="28"/>
                <w:sz w:val="21"/>
                <w:szCs w:val="21"/>
                <w:lang w:eastAsia="zh-CN"/>
              </w:rPr>
            </w:pPr>
          </w:p>
        </w:tc>
        <w:tc>
          <w:tcPr>
            <w:tcW w:w="292" w:type="pct"/>
            <w:vMerge/>
            <w:vAlign w:val="center"/>
          </w:tcPr>
          <w:p w14:paraId="6E46B646" w14:textId="77777777" w:rsidR="00A54A8A" w:rsidRPr="00E67914" w:rsidRDefault="00A54A8A">
            <w:pPr>
              <w:jc w:val="center"/>
              <w:rPr>
                <w:rFonts w:ascii="Times New Roman" w:hAnsi="Times New Roman"/>
                <w:sz w:val="21"/>
                <w:szCs w:val="21"/>
                <w:lang w:eastAsia="zh-CN"/>
              </w:rPr>
            </w:pPr>
          </w:p>
        </w:tc>
        <w:tc>
          <w:tcPr>
            <w:tcW w:w="576" w:type="pct"/>
            <w:vAlign w:val="center"/>
          </w:tcPr>
          <w:p w14:paraId="29CB87E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生活垃圾</w:t>
            </w:r>
          </w:p>
        </w:tc>
        <w:tc>
          <w:tcPr>
            <w:tcW w:w="2273" w:type="pct"/>
            <w:vAlign w:val="center"/>
          </w:tcPr>
          <w:p w14:paraId="002A7514" w14:textId="25381E2C"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井场</w:t>
            </w:r>
            <w:r w:rsidR="00FF0E99" w:rsidRPr="00E67914">
              <w:rPr>
                <w:rFonts w:ascii="Times New Roman" w:hAnsi="Times New Roman"/>
                <w:sz w:val="21"/>
                <w:szCs w:val="21"/>
                <w:lang w:eastAsia="zh-CN"/>
              </w:rPr>
              <w:t>与生活</w:t>
            </w:r>
            <w:r w:rsidRPr="00E67914">
              <w:rPr>
                <w:rFonts w:ascii="Times New Roman" w:hAnsi="Times New Roman"/>
                <w:sz w:val="21"/>
                <w:szCs w:val="21"/>
                <w:lang w:eastAsia="zh-CN"/>
              </w:rPr>
              <w:t>区域</w:t>
            </w:r>
            <w:r w:rsidR="00FF0E99" w:rsidRPr="00E67914">
              <w:rPr>
                <w:rFonts w:ascii="Times New Roman" w:hAnsi="Times New Roman"/>
                <w:sz w:val="21"/>
                <w:szCs w:val="21"/>
                <w:lang w:eastAsia="zh-CN"/>
              </w:rPr>
              <w:t>各</w:t>
            </w:r>
            <w:r w:rsidRPr="00E67914">
              <w:rPr>
                <w:rFonts w:ascii="Times New Roman" w:hAnsi="Times New Roman"/>
                <w:sz w:val="21"/>
                <w:szCs w:val="21"/>
                <w:lang w:eastAsia="zh-CN"/>
              </w:rPr>
              <w:t>设</w:t>
            </w:r>
            <w:r w:rsidRPr="00E67914">
              <w:rPr>
                <w:rFonts w:ascii="Times New Roman" w:hAnsi="Times New Roman"/>
                <w:sz w:val="21"/>
                <w:szCs w:val="21"/>
                <w:lang w:eastAsia="zh-CN"/>
              </w:rPr>
              <w:t>1</w:t>
            </w:r>
            <w:r w:rsidRPr="00E67914">
              <w:rPr>
                <w:rFonts w:ascii="Times New Roman" w:hAnsi="Times New Roman"/>
                <w:sz w:val="21"/>
                <w:szCs w:val="21"/>
                <w:lang w:eastAsia="zh-CN"/>
              </w:rPr>
              <w:t>个垃圾箱，完工后外运交由普光镇环卫集中收集卫生填埋处置</w:t>
            </w:r>
          </w:p>
        </w:tc>
        <w:tc>
          <w:tcPr>
            <w:tcW w:w="766" w:type="pct"/>
            <w:vAlign w:val="center"/>
          </w:tcPr>
          <w:p w14:paraId="77DA3BE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p>
        </w:tc>
        <w:tc>
          <w:tcPr>
            <w:tcW w:w="764" w:type="pct"/>
            <w:vAlign w:val="center"/>
          </w:tcPr>
          <w:p w14:paraId="0A39239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7373D66D" w14:textId="77777777">
        <w:trPr>
          <w:trHeight w:val="397"/>
          <w:jc w:val="center"/>
        </w:trPr>
        <w:tc>
          <w:tcPr>
            <w:tcW w:w="329" w:type="pct"/>
            <w:vMerge/>
            <w:vAlign w:val="center"/>
          </w:tcPr>
          <w:p w14:paraId="1D1F9B75" w14:textId="77777777" w:rsidR="00A54A8A" w:rsidRPr="00E67914" w:rsidRDefault="00A54A8A">
            <w:pPr>
              <w:jc w:val="center"/>
              <w:rPr>
                <w:rFonts w:ascii="Times New Roman" w:hAnsi="Times New Roman"/>
                <w:kern w:val="28"/>
                <w:sz w:val="21"/>
                <w:szCs w:val="21"/>
              </w:rPr>
            </w:pPr>
          </w:p>
        </w:tc>
        <w:tc>
          <w:tcPr>
            <w:tcW w:w="292" w:type="pct"/>
            <w:vMerge/>
            <w:vAlign w:val="center"/>
          </w:tcPr>
          <w:p w14:paraId="609B86EF" w14:textId="77777777" w:rsidR="00A54A8A" w:rsidRPr="00E67914" w:rsidRDefault="00A54A8A">
            <w:pPr>
              <w:jc w:val="center"/>
              <w:rPr>
                <w:rFonts w:ascii="Times New Roman" w:hAnsi="Times New Roman"/>
                <w:sz w:val="21"/>
                <w:szCs w:val="21"/>
              </w:rPr>
            </w:pPr>
          </w:p>
        </w:tc>
        <w:tc>
          <w:tcPr>
            <w:tcW w:w="576" w:type="pct"/>
            <w:vAlign w:val="center"/>
          </w:tcPr>
          <w:p w14:paraId="499457D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废油</w:t>
            </w:r>
          </w:p>
        </w:tc>
        <w:tc>
          <w:tcPr>
            <w:tcW w:w="2273" w:type="pct"/>
            <w:vAlign w:val="center"/>
          </w:tcPr>
          <w:p w14:paraId="5AFAA4DA"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钻井机械保养维修产生的废油由回收桶收集，暂存于泥浆不落地装置区临时堆放区内，并采取防扬散、防流失、防渗漏或者其他防止污染环境的措施，设置围堰或托盘，完钻后交由有资质的单位处置</w:t>
            </w:r>
          </w:p>
        </w:tc>
        <w:tc>
          <w:tcPr>
            <w:tcW w:w="766" w:type="pct"/>
            <w:vAlign w:val="center"/>
          </w:tcPr>
          <w:p w14:paraId="5C931F8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泄漏污染</w:t>
            </w:r>
          </w:p>
        </w:tc>
        <w:tc>
          <w:tcPr>
            <w:tcW w:w="764" w:type="pct"/>
            <w:vAlign w:val="center"/>
          </w:tcPr>
          <w:p w14:paraId="132E54B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7A51103A" w14:textId="77777777">
        <w:trPr>
          <w:trHeight w:val="397"/>
          <w:jc w:val="center"/>
        </w:trPr>
        <w:tc>
          <w:tcPr>
            <w:tcW w:w="329" w:type="pct"/>
            <w:vMerge/>
            <w:vAlign w:val="center"/>
          </w:tcPr>
          <w:p w14:paraId="3DF6026B" w14:textId="77777777" w:rsidR="00A54A8A" w:rsidRPr="00E67914" w:rsidRDefault="00A54A8A">
            <w:pPr>
              <w:jc w:val="center"/>
              <w:rPr>
                <w:rFonts w:ascii="Times New Roman" w:hAnsi="Times New Roman"/>
                <w:kern w:val="28"/>
                <w:sz w:val="21"/>
                <w:szCs w:val="21"/>
              </w:rPr>
            </w:pPr>
          </w:p>
        </w:tc>
        <w:tc>
          <w:tcPr>
            <w:tcW w:w="292" w:type="pct"/>
            <w:vAlign w:val="center"/>
          </w:tcPr>
          <w:p w14:paraId="21C78F3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噪声</w:t>
            </w:r>
          </w:p>
        </w:tc>
        <w:tc>
          <w:tcPr>
            <w:tcW w:w="576" w:type="pct"/>
            <w:vAlign w:val="center"/>
          </w:tcPr>
          <w:p w14:paraId="7FCE5B1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噪声治理</w:t>
            </w:r>
          </w:p>
        </w:tc>
        <w:tc>
          <w:tcPr>
            <w:tcW w:w="2273" w:type="pct"/>
            <w:vAlign w:val="center"/>
          </w:tcPr>
          <w:p w14:paraId="2A88817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本项目周边已有完善的供电系统，采用网电，噪声较小；选用低噪声的施工机械和工艺，加强各类施工设备的</w:t>
            </w:r>
            <w:r w:rsidRPr="00E67914">
              <w:rPr>
                <w:rFonts w:ascii="Times New Roman" w:hAnsi="Times New Roman"/>
                <w:sz w:val="21"/>
                <w:szCs w:val="21"/>
                <w:lang w:eastAsia="zh-CN"/>
              </w:rPr>
              <w:lastRenderedPageBreak/>
              <w:t>维护和保养；对振动较大的固定机械设备加装基座减振</w:t>
            </w:r>
          </w:p>
        </w:tc>
        <w:tc>
          <w:tcPr>
            <w:tcW w:w="766" w:type="pct"/>
            <w:vAlign w:val="center"/>
          </w:tcPr>
          <w:p w14:paraId="51DB16B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lastRenderedPageBreak/>
              <w:t>/</w:t>
            </w:r>
          </w:p>
        </w:tc>
        <w:tc>
          <w:tcPr>
            <w:tcW w:w="764" w:type="pct"/>
            <w:vAlign w:val="center"/>
          </w:tcPr>
          <w:p w14:paraId="5D03EAB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529ABF31" w14:textId="77777777">
        <w:trPr>
          <w:trHeight w:val="397"/>
          <w:jc w:val="center"/>
        </w:trPr>
        <w:tc>
          <w:tcPr>
            <w:tcW w:w="329" w:type="pct"/>
            <w:vMerge/>
            <w:vAlign w:val="center"/>
          </w:tcPr>
          <w:p w14:paraId="12E86A6C" w14:textId="77777777" w:rsidR="00A54A8A" w:rsidRPr="00E67914" w:rsidRDefault="00A54A8A">
            <w:pPr>
              <w:jc w:val="center"/>
              <w:rPr>
                <w:rFonts w:ascii="Times New Roman" w:hAnsi="Times New Roman"/>
                <w:kern w:val="28"/>
                <w:sz w:val="21"/>
                <w:szCs w:val="21"/>
              </w:rPr>
            </w:pPr>
          </w:p>
        </w:tc>
        <w:tc>
          <w:tcPr>
            <w:tcW w:w="292" w:type="pct"/>
            <w:vMerge w:val="restart"/>
            <w:vAlign w:val="center"/>
          </w:tcPr>
          <w:p w14:paraId="794773B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生态</w:t>
            </w:r>
          </w:p>
        </w:tc>
        <w:tc>
          <w:tcPr>
            <w:tcW w:w="576" w:type="pct"/>
            <w:vAlign w:val="center"/>
          </w:tcPr>
          <w:p w14:paraId="452E51E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生态保护</w:t>
            </w:r>
          </w:p>
        </w:tc>
        <w:tc>
          <w:tcPr>
            <w:tcW w:w="2273" w:type="pct"/>
            <w:vAlign w:val="center"/>
          </w:tcPr>
          <w:p w14:paraId="1D09B80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依托放喷池，建挡墙较小热辐射影响；对热辐射破坏的植被进行补偿</w:t>
            </w:r>
          </w:p>
        </w:tc>
        <w:tc>
          <w:tcPr>
            <w:tcW w:w="766" w:type="pct"/>
            <w:vAlign w:val="center"/>
          </w:tcPr>
          <w:p w14:paraId="18E6CB7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p>
        </w:tc>
        <w:tc>
          <w:tcPr>
            <w:tcW w:w="764" w:type="pct"/>
            <w:vAlign w:val="center"/>
          </w:tcPr>
          <w:p w14:paraId="6917D6DD" w14:textId="74EA42EA"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依托</w:t>
            </w:r>
          </w:p>
        </w:tc>
      </w:tr>
      <w:tr w:rsidR="00E67914" w:rsidRPr="00E67914" w14:paraId="093DB9BB" w14:textId="77777777">
        <w:trPr>
          <w:trHeight w:val="66"/>
          <w:jc w:val="center"/>
        </w:trPr>
        <w:tc>
          <w:tcPr>
            <w:tcW w:w="329" w:type="pct"/>
            <w:vMerge/>
            <w:vAlign w:val="center"/>
          </w:tcPr>
          <w:p w14:paraId="15A58BA7" w14:textId="77777777" w:rsidR="00A54A8A" w:rsidRPr="00E67914" w:rsidRDefault="00A54A8A">
            <w:pPr>
              <w:jc w:val="center"/>
              <w:rPr>
                <w:rFonts w:ascii="Times New Roman" w:hAnsi="Times New Roman"/>
                <w:kern w:val="28"/>
                <w:sz w:val="21"/>
                <w:szCs w:val="21"/>
              </w:rPr>
            </w:pPr>
          </w:p>
        </w:tc>
        <w:tc>
          <w:tcPr>
            <w:tcW w:w="292" w:type="pct"/>
            <w:vMerge/>
            <w:vAlign w:val="center"/>
          </w:tcPr>
          <w:p w14:paraId="0AEB38C6" w14:textId="77777777" w:rsidR="00A54A8A" w:rsidRPr="00E67914" w:rsidRDefault="00A54A8A">
            <w:pPr>
              <w:jc w:val="center"/>
              <w:rPr>
                <w:rFonts w:ascii="Times New Roman" w:hAnsi="Times New Roman"/>
                <w:sz w:val="21"/>
                <w:szCs w:val="21"/>
              </w:rPr>
            </w:pPr>
          </w:p>
        </w:tc>
        <w:tc>
          <w:tcPr>
            <w:tcW w:w="576" w:type="pct"/>
            <w:vAlign w:val="center"/>
          </w:tcPr>
          <w:p w14:paraId="7CEDB2C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生态恢复</w:t>
            </w:r>
          </w:p>
        </w:tc>
        <w:tc>
          <w:tcPr>
            <w:tcW w:w="2273" w:type="pct"/>
            <w:vAlign w:val="center"/>
          </w:tcPr>
          <w:p w14:paraId="45EFAA7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根据《土地管理法》规定相关地方规定对工程占地进行补偿</w:t>
            </w:r>
          </w:p>
        </w:tc>
        <w:tc>
          <w:tcPr>
            <w:tcW w:w="766" w:type="pct"/>
            <w:vAlign w:val="center"/>
          </w:tcPr>
          <w:p w14:paraId="166BB05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w:t>
            </w:r>
          </w:p>
        </w:tc>
        <w:tc>
          <w:tcPr>
            <w:tcW w:w="764" w:type="pct"/>
            <w:vAlign w:val="center"/>
          </w:tcPr>
          <w:p w14:paraId="3C57A40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新建</w:t>
            </w:r>
          </w:p>
        </w:tc>
      </w:tr>
      <w:tr w:rsidR="00E67914" w:rsidRPr="00E67914" w14:paraId="7E8BAE1C" w14:textId="77777777">
        <w:trPr>
          <w:trHeight w:val="60"/>
          <w:jc w:val="center"/>
        </w:trPr>
        <w:tc>
          <w:tcPr>
            <w:tcW w:w="329" w:type="pct"/>
            <w:vMerge/>
            <w:vAlign w:val="center"/>
          </w:tcPr>
          <w:p w14:paraId="200AEC17" w14:textId="77777777" w:rsidR="00A54A8A" w:rsidRPr="00E67914" w:rsidRDefault="00A54A8A">
            <w:pPr>
              <w:jc w:val="center"/>
              <w:rPr>
                <w:rFonts w:ascii="Times New Roman" w:hAnsi="Times New Roman"/>
                <w:kern w:val="28"/>
                <w:sz w:val="21"/>
                <w:szCs w:val="21"/>
              </w:rPr>
            </w:pPr>
          </w:p>
        </w:tc>
        <w:tc>
          <w:tcPr>
            <w:tcW w:w="868" w:type="pct"/>
            <w:gridSpan w:val="2"/>
            <w:vAlign w:val="center"/>
          </w:tcPr>
          <w:p w14:paraId="5E0FE7D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围堰</w:t>
            </w:r>
          </w:p>
        </w:tc>
        <w:tc>
          <w:tcPr>
            <w:tcW w:w="2273" w:type="pct"/>
            <w:vAlign w:val="center"/>
          </w:tcPr>
          <w:p w14:paraId="233D6FB5" w14:textId="0CAF7128"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泥浆储备罐罐区周边设置</w:t>
            </w:r>
            <w:r w:rsidRPr="00E67914">
              <w:rPr>
                <w:rFonts w:ascii="Times New Roman" w:hAnsi="Times New Roman"/>
                <w:sz w:val="21"/>
                <w:szCs w:val="21"/>
                <w:lang w:eastAsia="zh-CN"/>
              </w:rPr>
              <w:t>0.3m</w:t>
            </w:r>
            <w:r w:rsidRPr="00E67914">
              <w:rPr>
                <w:rFonts w:ascii="Times New Roman" w:hAnsi="Times New Roman"/>
                <w:sz w:val="21"/>
                <w:szCs w:val="21"/>
                <w:lang w:eastAsia="zh-CN"/>
              </w:rPr>
              <w:t>高围堰，容积</w:t>
            </w:r>
            <w:r w:rsidRPr="00E67914">
              <w:rPr>
                <w:rFonts w:ascii="Times New Roman" w:hAnsi="Times New Roman"/>
                <w:sz w:val="21"/>
                <w:szCs w:val="21"/>
                <w:lang w:eastAsia="zh-CN"/>
              </w:rPr>
              <w:t>10m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；柴油罐区周边设置</w:t>
            </w:r>
            <w:r w:rsidRPr="00E67914">
              <w:rPr>
                <w:rFonts w:ascii="Times New Roman" w:hAnsi="Times New Roman"/>
                <w:sz w:val="21"/>
                <w:szCs w:val="21"/>
                <w:lang w:eastAsia="zh-CN"/>
              </w:rPr>
              <w:t>0.3m</w:t>
            </w:r>
            <w:r w:rsidRPr="00E67914">
              <w:rPr>
                <w:rFonts w:ascii="Times New Roman" w:hAnsi="Times New Roman"/>
                <w:sz w:val="21"/>
                <w:szCs w:val="21"/>
                <w:lang w:eastAsia="zh-CN"/>
              </w:rPr>
              <w:t>高围堰，容积</w:t>
            </w:r>
            <w:r w:rsidRPr="00E67914">
              <w:rPr>
                <w:rFonts w:ascii="Times New Roman" w:hAnsi="Times New Roman"/>
                <w:sz w:val="21"/>
                <w:szCs w:val="21"/>
                <w:lang w:eastAsia="zh-CN"/>
              </w:rPr>
              <w:t>20m</w:t>
            </w:r>
            <w:r w:rsidRPr="00E67914">
              <w:rPr>
                <w:rFonts w:ascii="Times New Roman" w:hAnsi="Times New Roman"/>
                <w:sz w:val="21"/>
                <w:szCs w:val="21"/>
                <w:vertAlign w:val="superscript"/>
                <w:lang w:eastAsia="zh-CN"/>
              </w:rPr>
              <w:t>3</w:t>
            </w:r>
            <w:r w:rsidR="006956BC" w:rsidRPr="00E67914">
              <w:rPr>
                <w:rFonts w:ascii="Times New Roman" w:hAnsi="Times New Roman"/>
                <w:sz w:val="21"/>
                <w:szCs w:val="21"/>
                <w:lang w:eastAsia="zh-CN"/>
              </w:rPr>
              <w:t>并设置</w:t>
            </w:r>
            <w:r w:rsidR="006956BC" w:rsidRPr="00E67914">
              <w:rPr>
                <w:rFonts w:ascii="Times New Roman" w:hAnsi="Times New Roman"/>
                <w:sz w:val="21"/>
                <w:szCs w:val="21"/>
                <w:lang w:eastAsia="zh-CN"/>
              </w:rPr>
              <w:t>1m</w:t>
            </w:r>
            <w:r w:rsidR="006956BC" w:rsidRPr="00E67914">
              <w:rPr>
                <w:rFonts w:ascii="Times New Roman" w:hAnsi="Times New Roman"/>
                <w:sz w:val="21"/>
                <w:szCs w:val="21"/>
                <w:vertAlign w:val="superscript"/>
                <w:lang w:eastAsia="zh-CN"/>
              </w:rPr>
              <w:t>3</w:t>
            </w:r>
            <w:r w:rsidR="006956BC" w:rsidRPr="00E67914">
              <w:rPr>
                <w:rFonts w:ascii="Times New Roman" w:hAnsi="Times New Roman"/>
                <w:sz w:val="21"/>
                <w:szCs w:val="21"/>
                <w:lang w:eastAsia="zh-CN"/>
              </w:rPr>
              <w:t>隔油池</w:t>
            </w:r>
            <w:r w:rsidR="006956BC" w:rsidRPr="00E67914">
              <w:rPr>
                <w:rFonts w:ascii="Times New Roman" w:hAnsi="Times New Roman"/>
                <w:sz w:val="21"/>
                <w:szCs w:val="21"/>
                <w:lang w:eastAsia="zh-CN"/>
              </w:rPr>
              <w:t>1</w:t>
            </w:r>
            <w:r w:rsidR="006956BC" w:rsidRPr="00E67914">
              <w:rPr>
                <w:rFonts w:ascii="Times New Roman" w:hAnsi="Times New Roman"/>
                <w:sz w:val="21"/>
                <w:szCs w:val="21"/>
                <w:lang w:eastAsia="zh-CN"/>
              </w:rPr>
              <w:t>个</w:t>
            </w:r>
          </w:p>
        </w:tc>
        <w:tc>
          <w:tcPr>
            <w:tcW w:w="766" w:type="pct"/>
            <w:vAlign w:val="center"/>
          </w:tcPr>
          <w:p w14:paraId="06F3355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渗漏污染土壤、地下水、地表水环境</w:t>
            </w:r>
          </w:p>
        </w:tc>
        <w:tc>
          <w:tcPr>
            <w:tcW w:w="764" w:type="pct"/>
            <w:vAlign w:val="center"/>
          </w:tcPr>
          <w:p w14:paraId="3B531CF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rPr>
              <w:t>新建</w:t>
            </w:r>
          </w:p>
        </w:tc>
      </w:tr>
    </w:tbl>
    <w:p w14:paraId="2FD64F39"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lang w:eastAsia="zh-CN"/>
        </w:rPr>
      </w:pPr>
      <w:r w:rsidRPr="00E67914">
        <w:rPr>
          <w:rFonts w:ascii="Times New Roman" w:eastAsia="黑体" w:hAnsi="Times New Roman"/>
          <w:sz w:val="24"/>
          <w:lang w:eastAsia="zh-CN"/>
        </w:rPr>
        <w:t>3.2.3.2</w:t>
      </w:r>
      <w:r w:rsidRPr="00E67914">
        <w:rPr>
          <w:rFonts w:ascii="Times New Roman" w:eastAsia="黑体" w:hAnsi="Times New Roman"/>
          <w:sz w:val="24"/>
          <w:lang w:eastAsia="zh-CN"/>
        </w:rPr>
        <w:t>试采期</w:t>
      </w:r>
    </w:p>
    <w:p w14:paraId="4BAA05CA" w14:textId="7BC96B10"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钻井完毕后，通过测试并获得天然气产量后，</w:t>
      </w:r>
      <w:r w:rsidR="00193429" w:rsidRPr="00E67914">
        <w:rPr>
          <w:rFonts w:ascii="Times New Roman" w:hAnsi="Times New Roman"/>
          <w:sz w:val="24"/>
          <w:lang w:eastAsia="zh-CN"/>
        </w:rPr>
        <w:t>普陆页</w:t>
      </w:r>
      <w:r w:rsidR="00193429" w:rsidRPr="00E67914">
        <w:rPr>
          <w:rFonts w:ascii="Times New Roman" w:hAnsi="Times New Roman"/>
          <w:sz w:val="24"/>
          <w:lang w:eastAsia="zh-CN"/>
        </w:rPr>
        <w:t>2</w:t>
      </w:r>
      <w:r w:rsidR="00193429" w:rsidRPr="00E67914">
        <w:rPr>
          <w:rFonts w:ascii="Times New Roman" w:hAnsi="Times New Roman"/>
          <w:sz w:val="24"/>
          <w:lang w:eastAsia="zh-CN"/>
        </w:rPr>
        <w:t>试采站</w:t>
      </w:r>
      <w:r w:rsidRPr="00E67914">
        <w:rPr>
          <w:rFonts w:ascii="Times New Roman" w:hAnsi="Times New Roman"/>
          <w:sz w:val="24"/>
          <w:lang w:eastAsia="zh-CN"/>
        </w:rPr>
        <w:t>内</w:t>
      </w:r>
      <w:r w:rsidR="00F37A71" w:rsidRPr="00E67914">
        <w:rPr>
          <w:rFonts w:ascii="Times New Roman" w:hAnsi="Times New Roman"/>
          <w:sz w:val="24"/>
          <w:lang w:eastAsia="zh-CN"/>
        </w:rPr>
        <w:t>配套设置</w:t>
      </w:r>
      <w:r w:rsidR="00F37A71" w:rsidRPr="00E67914">
        <w:rPr>
          <w:rFonts w:ascii="Times New Roman" w:hAnsi="Times New Roman"/>
          <w:sz w:val="24"/>
          <w:lang w:eastAsia="zh-CN"/>
        </w:rPr>
        <w:t>400kW</w:t>
      </w:r>
      <w:r w:rsidR="00F37A71" w:rsidRPr="00E67914">
        <w:rPr>
          <w:rFonts w:ascii="Times New Roman" w:hAnsi="Times New Roman"/>
          <w:sz w:val="24"/>
          <w:lang w:eastAsia="zh-CN"/>
        </w:rPr>
        <w:t>水套加热炉</w:t>
      </w:r>
      <w:r w:rsidR="00F37A71" w:rsidRPr="00E67914">
        <w:rPr>
          <w:rFonts w:ascii="Times New Roman" w:hAnsi="Times New Roman"/>
          <w:sz w:val="24"/>
          <w:lang w:eastAsia="zh-CN"/>
        </w:rPr>
        <w:t>2</w:t>
      </w:r>
      <w:r w:rsidR="00F37A71" w:rsidRPr="00E67914">
        <w:rPr>
          <w:rFonts w:ascii="Times New Roman" w:hAnsi="Times New Roman"/>
          <w:sz w:val="24"/>
          <w:lang w:eastAsia="zh-CN"/>
        </w:rPr>
        <w:t>台、</w:t>
      </w:r>
      <w:r w:rsidR="00F37A71" w:rsidRPr="00E67914">
        <w:rPr>
          <w:rFonts w:ascii="Times New Roman" w:hAnsi="Times New Roman"/>
          <w:sz w:val="24"/>
          <w:lang w:eastAsia="zh-CN"/>
        </w:rPr>
        <w:t>φ1200×6000mm</w:t>
      </w:r>
      <w:r w:rsidR="00F37A71" w:rsidRPr="00E67914">
        <w:rPr>
          <w:rFonts w:ascii="Times New Roman" w:hAnsi="Times New Roman"/>
          <w:sz w:val="24"/>
          <w:lang w:eastAsia="zh-CN"/>
        </w:rPr>
        <w:t>气液两相分离器</w:t>
      </w:r>
      <w:r w:rsidR="00F37A71" w:rsidRPr="00E67914">
        <w:rPr>
          <w:rFonts w:ascii="Times New Roman" w:hAnsi="Times New Roman"/>
          <w:sz w:val="24"/>
          <w:lang w:eastAsia="zh-CN"/>
        </w:rPr>
        <w:t>1</w:t>
      </w:r>
      <w:r w:rsidR="00F37A71" w:rsidRPr="00E67914">
        <w:rPr>
          <w:rFonts w:ascii="Times New Roman" w:hAnsi="Times New Roman"/>
          <w:sz w:val="24"/>
          <w:lang w:eastAsia="zh-CN"/>
        </w:rPr>
        <w:t>台、</w:t>
      </w:r>
      <w:r w:rsidR="00F37A71" w:rsidRPr="00E67914">
        <w:rPr>
          <w:rFonts w:ascii="Times New Roman" w:hAnsi="Times New Roman"/>
          <w:sz w:val="24"/>
          <w:lang w:eastAsia="zh-CN"/>
        </w:rPr>
        <w:t>φ1200×3600mm</w:t>
      </w:r>
      <w:r w:rsidR="00F37A71" w:rsidRPr="00E67914">
        <w:rPr>
          <w:rFonts w:ascii="Times New Roman" w:hAnsi="Times New Roman"/>
          <w:sz w:val="24"/>
          <w:lang w:eastAsia="zh-CN"/>
        </w:rPr>
        <w:t>油气水三相分离器</w:t>
      </w:r>
      <w:r w:rsidR="00F37A71" w:rsidRPr="00E67914">
        <w:rPr>
          <w:rFonts w:ascii="Times New Roman" w:hAnsi="Times New Roman"/>
          <w:sz w:val="24"/>
          <w:lang w:eastAsia="zh-CN"/>
        </w:rPr>
        <w:t>1</w:t>
      </w:r>
      <w:r w:rsidR="00F37A71" w:rsidRPr="00E67914">
        <w:rPr>
          <w:rFonts w:ascii="Times New Roman" w:hAnsi="Times New Roman"/>
          <w:sz w:val="24"/>
          <w:lang w:eastAsia="zh-CN"/>
        </w:rPr>
        <w:t>台、放空分离器撬</w:t>
      </w:r>
      <w:r w:rsidR="00F37A71" w:rsidRPr="00E67914">
        <w:rPr>
          <w:rFonts w:ascii="Times New Roman" w:hAnsi="Times New Roman"/>
          <w:sz w:val="24"/>
          <w:lang w:eastAsia="zh-CN"/>
        </w:rPr>
        <w:t>1</w:t>
      </w:r>
      <w:r w:rsidR="00F37A71" w:rsidRPr="00E67914">
        <w:rPr>
          <w:rFonts w:ascii="Times New Roman" w:hAnsi="Times New Roman"/>
          <w:sz w:val="24"/>
          <w:lang w:eastAsia="zh-CN"/>
        </w:rPr>
        <w:t>台、双筒高效除砂器撬</w:t>
      </w:r>
      <w:r w:rsidR="00F37A71" w:rsidRPr="00E67914">
        <w:rPr>
          <w:rFonts w:ascii="Times New Roman" w:hAnsi="Times New Roman"/>
          <w:sz w:val="24"/>
          <w:lang w:eastAsia="zh-CN"/>
        </w:rPr>
        <w:t>2</w:t>
      </w:r>
      <w:r w:rsidR="00F37A71" w:rsidRPr="00E67914">
        <w:rPr>
          <w:rFonts w:ascii="Times New Roman" w:hAnsi="Times New Roman"/>
          <w:sz w:val="24"/>
          <w:lang w:eastAsia="zh-CN"/>
        </w:rPr>
        <w:t>台（单筒处理量</w:t>
      </w:r>
      <w:r w:rsidR="00F37A71" w:rsidRPr="00E67914">
        <w:rPr>
          <w:rFonts w:ascii="Times New Roman" w:hAnsi="Times New Roman"/>
          <w:sz w:val="24"/>
          <w:lang w:eastAsia="zh-CN"/>
        </w:rPr>
        <w:t>10×10</w:t>
      </w:r>
      <w:r w:rsidR="00F37A71" w:rsidRPr="00E67914">
        <w:rPr>
          <w:rFonts w:ascii="Times New Roman" w:hAnsi="Times New Roman"/>
          <w:sz w:val="24"/>
          <w:vertAlign w:val="superscript"/>
          <w:lang w:eastAsia="zh-CN"/>
        </w:rPr>
        <w:t>4</w:t>
      </w:r>
      <w:r w:rsidR="00F37A71" w:rsidRPr="00E67914">
        <w:rPr>
          <w:rFonts w:ascii="Times New Roman" w:hAnsi="Times New Roman"/>
          <w:sz w:val="24"/>
          <w:lang w:eastAsia="zh-CN"/>
        </w:rPr>
        <w:t>Nm³/d</w:t>
      </w:r>
      <w:r w:rsidR="00F37A71" w:rsidRPr="00E67914">
        <w:rPr>
          <w:rFonts w:ascii="Times New Roman" w:hAnsi="Times New Roman"/>
          <w:sz w:val="24"/>
          <w:lang w:eastAsia="zh-CN"/>
        </w:rPr>
        <w:t>）、</w:t>
      </w:r>
      <w:r w:rsidR="00F37A71" w:rsidRPr="00E67914">
        <w:rPr>
          <w:rFonts w:ascii="Times New Roman" w:hAnsi="Times New Roman"/>
          <w:sz w:val="24"/>
          <w:lang w:eastAsia="zh-CN"/>
        </w:rPr>
        <w:t>8000Nm</w:t>
      </w:r>
      <w:r w:rsidR="00F37A71" w:rsidRPr="00E67914">
        <w:rPr>
          <w:rFonts w:ascii="Times New Roman" w:hAnsi="Times New Roman"/>
          <w:sz w:val="24"/>
          <w:vertAlign w:val="superscript"/>
          <w:lang w:eastAsia="zh-CN"/>
        </w:rPr>
        <w:t>3</w:t>
      </w:r>
      <w:r w:rsidR="00F37A71" w:rsidRPr="00E67914">
        <w:rPr>
          <w:rFonts w:ascii="Times New Roman" w:hAnsi="Times New Roman"/>
          <w:sz w:val="24"/>
          <w:lang w:eastAsia="zh-CN"/>
        </w:rPr>
        <w:t>/d</w:t>
      </w:r>
      <w:r w:rsidR="00F37A71" w:rsidRPr="00E67914">
        <w:rPr>
          <w:rFonts w:ascii="Times New Roman" w:hAnsi="Times New Roman"/>
          <w:sz w:val="24"/>
          <w:lang w:eastAsia="zh-CN"/>
        </w:rPr>
        <w:t>燃料气调压分离器撬</w:t>
      </w:r>
      <w:r w:rsidR="00F37A71" w:rsidRPr="00E67914">
        <w:rPr>
          <w:rFonts w:ascii="Times New Roman" w:hAnsi="Times New Roman"/>
          <w:sz w:val="24"/>
          <w:lang w:eastAsia="zh-CN"/>
        </w:rPr>
        <w:t>1</w:t>
      </w:r>
      <w:r w:rsidR="00F37A71" w:rsidRPr="00E67914">
        <w:rPr>
          <w:rFonts w:ascii="Times New Roman" w:hAnsi="Times New Roman"/>
          <w:sz w:val="24"/>
          <w:lang w:eastAsia="zh-CN"/>
        </w:rPr>
        <w:t>台，设置放空区，新建</w:t>
      </w:r>
      <w:r w:rsidR="00F37A71" w:rsidRPr="00E67914">
        <w:rPr>
          <w:rFonts w:ascii="Times New Roman" w:hAnsi="Times New Roman"/>
          <w:sz w:val="24"/>
          <w:lang w:eastAsia="zh-CN"/>
        </w:rPr>
        <w:t>DN200</w:t>
      </w:r>
      <w:r w:rsidR="00F37A71" w:rsidRPr="00E67914">
        <w:rPr>
          <w:rFonts w:ascii="Times New Roman" w:hAnsi="Times New Roman"/>
          <w:sz w:val="24"/>
          <w:lang w:eastAsia="zh-CN"/>
        </w:rPr>
        <w:t>的</w:t>
      </w:r>
      <w:r w:rsidR="00F37A71" w:rsidRPr="00E67914">
        <w:rPr>
          <w:rFonts w:ascii="Times New Roman" w:hAnsi="Times New Roman"/>
          <w:sz w:val="24"/>
          <w:lang w:eastAsia="zh-CN"/>
        </w:rPr>
        <w:t>25m</w:t>
      </w:r>
      <w:r w:rsidR="00F37A71" w:rsidRPr="00E67914">
        <w:rPr>
          <w:rFonts w:ascii="Times New Roman" w:hAnsi="Times New Roman"/>
          <w:sz w:val="24"/>
          <w:lang w:eastAsia="zh-CN"/>
        </w:rPr>
        <w:t>放空火炬</w:t>
      </w:r>
      <w:r w:rsidR="00F37A71" w:rsidRPr="00E67914">
        <w:rPr>
          <w:rFonts w:ascii="Times New Roman" w:hAnsi="Times New Roman"/>
          <w:sz w:val="24"/>
          <w:lang w:eastAsia="zh-CN"/>
        </w:rPr>
        <w:t>1</w:t>
      </w:r>
      <w:r w:rsidR="00F37A71" w:rsidRPr="00E67914">
        <w:rPr>
          <w:rFonts w:ascii="Times New Roman" w:hAnsi="Times New Roman"/>
          <w:sz w:val="24"/>
          <w:lang w:eastAsia="zh-CN"/>
        </w:rPr>
        <w:t>座、</w:t>
      </w:r>
      <w:r w:rsidR="00F37A71" w:rsidRPr="00E67914">
        <w:rPr>
          <w:rFonts w:ascii="Times New Roman" w:hAnsi="Times New Roman"/>
          <w:sz w:val="24"/>
          <w:lang w:eastAsia="zh-CN"/>
        </w:rPr>
        <w:t>DN100</w:t>
      </w:r>
      <w:r w:rsidR="00F37A71" w:rsidRPr="00E67914">
        <w:rPr>
          <w:rFonts w:ascii="Times New Roman" w:hAnsi="Times New Roman"/>
          <w:sz w:val="24"/>
          <w:lang w:eastAsia="zh-CN"/>
        </w:rPr>
        <w:t>的</w:t>
      </w:r>
      <w:r w:rsidR="00F37A71" w:rsidRPr="00E67914">
        <w:rPr>
          <w:rFonts w:ascii="Times New Roman" w:hAnsi="Times New Roman"/>
          <w:sz w:val="24"/>
          <w:lang w:eastAsia="zh-CN"/>
        </w:rPr>
        <w:t>6m</w:t>
      </w:r>
      <w:r w:rsidR="00F37A71" w:rsidRPr="00E67914">
        <w:rPr>
          <w:rFonts w:ascii="Times New Roman" w:hAnsi="Times New Roman"/>
          <w:sz w:val="24"/>
          <w:lang w:eastAsia="zh-CN"/>
        </w:rPr>
        <w:t>放散管</w:t>
      </w:r>
      <w:r w:rsidR="00F37A71" w:rsidRPr="00E67914">
        <w:rPr>
          <w:rFonts w:ascii="Times New Roman" w:hAnsi="Times New Roman"/>
          <w:sz w:val="24"/>
          <w:lang w:eastAsia="zh-CN"/>
        </w:rPr>
        <w:t>1</w:t>
      </w:r>
      <w:r w:rsidR="00F37A71" w:rsidRPr="00E67914">
        <w:rPr>
          <w:rFonts w:ascii="Times New Roman" w:hAnsi="Times New Roman"/>
          <w:sz w:val="24"/>
          <w:lang w:eastAsia="zh-CN"/>
        </w:rPr>
        <w:t>座，配套</w:t>
      </w:r>
      <w:r w:rsidR="00F37A71" w:rsidRPr="00E67914">
        <w:rPr>
          <w:rFonts w:ascii="Times New Roman" w:hAnsi="Times New Roman"/>
          <w:sz w:val="24"/>
          <w:lang w:eastAsia="zh-CN"/>
        </w:rPr>
        <w:t>φ1200×3600</w:t>
      </w:r>
      <w:r w:rsidR="00F37A71" w:rsidRPr="00E67914">
        <w:rPr>
          <w:rFonts w:ascii="Times New Roman" w:hAnsi="Times New Roman"/>
          <w:sz w:val="24"/>
          <w:lang w:eastAsia="zh-CN"/>
        </w:rPr>
        <w:t>放空分液罐</w:t>
      </w:r>
      <w:r w:rsidR="00F37A71" w:rsidRPr="00E67914">
        <w:rPr>
          <w:rFonts w:ascii="Times New Roman" w:hAnsi="Times New Roman"/>
          <w:sz w:val="24"/>
          <w:lang w:eastAsia="zh-CN"/>
        </w:rPr>
        <w:t>1</w:t>
      </w:r>
      <w:r w:rsidR="00F37A71" w:rsidRPr="00E67914">
        <w:rPr>
          <w:rFonts w:ascii="Times New Roman" w:hAnsi="Times New Roman"/>
          <w:sz w:val="24"/>
          <w:lang w:eastAsia="zh-CN"/>
        </w:rPr>
        <w:t>座；配套</w:t>
      </w:r>
      <w:r w:rsidR="00F37A71" w:rsidRPr="00E67914">
        <w:rPr>
          <w:rFonts w:ascii="Times New Roman" w:hAnsi="Times New Roman"/>
          <w:sz w:val="24"/>
          <w:lang w:eastAsia="zh-CN"/>
        </w:rPr>
        <w:t>50m³</w:t>
      </w:r>
      <w:r w:rsidR="00F37A71" w:rsidRPr="00E67914">
        <w:rPr>
          <w:rFonts w:ascii="Times New Roman" w:hAnsi="Times New Roman"/>
          <w:sz w:val="24"/>
          <w:lang w:eastAsia="zh-CN"/>
        </w:rPr>
        <w:t>采出水罐</w:t>
      </w:r>
      <w:r w:rsidR="00F37A71" w:rsidRPr="00E67914">
        <w:rPr>
          <w:rFonts w:ascii="Times New Roman" w:hAnsi="Times New Roman"/>
          <w:sz w:val="24"/>
          <w:lang w:eastAsia="zh-CN"/>
        </w:rPr>
        <w:t>2</w:t>
      </w:r>
      <w:r w:rsidR="00F37A71" w:rsidRPr="00E67914">
        <w:rPr>
          <w:rFonts w:ascii="Times New Roman" w:hAnsi="Times New Roman"/>
          <w:sz w:val="24"/>
          <w:lang w:eastAsia="zh-CN"/>
        </w:rPr>
        <w:t>座、</w:t>
      </w:r>
      <w:r w:rsidR="00F37A71" w:rsidRPr="00E67914">
        <w:rPr>
          <w:rFonts w:ascii="Times New Roman" w:hAnsi="Times New Roman"/>
          <w:sz w:val="24"/>
          <w:lang w:eastAsia="zh-CN"/>
        </w:rPr>
        <w:t>50m³</w:t>
      </w:r>
      <w:r w:rsidR="00F37A71" w:rsidRPr="00E67914">
        <w:rPr>
          <w:rFonts w:ascii="Times New Roman" w:hAnsi="Times New Roman"/>
          <w:sz w:val="24"/>
          <w:lang w:eastAsia="zh-CN"/>
        </w:rPr>
        <w:t>油罐</w:t>
      </w:r>
      <w:r w:rsidR="00F37A71" w:rsidRPr="00E67914">
        <w:rPr>
          <w:rFonts w:ascii="Times New Roman" w:hAnsi="Times New Roman"/>
          <w:sz w:val="24"/>
          <w:lang w:eastAsia="zh-CN"/>
        </w:rPr>
        <w:t>2</w:t>
      </w:r>
      <w:r w:rsidR="00F37A71" w:rsidRPr="00E67914">
        <w:rPr>
          <w:rFonts w:ascii="Times New Roman" w:hAnsi="Times New Roman"/>
          <w:sz w:val="24"/>
          <w:lang w:eastAsia="zh-CN"/>
        </w:rPr>
        <w:t>座</w:t>
      </w:r>
      <w:r w:rsidR="00EA361A" w:rsidRPr="00E67914">
        <w:rPr>
          <w:rFonts w:ascii="Times New Roman" w:hAnsi="Times New Roman"/>
          <w:sz w:val="24"/>
          <w:lang w:eastAsia="zh-CN"/>
        </w:rPr>
        <w:t>。配套建设自控、电力、结构等设施</w:t>
      </w:r>
      <w:r w:rsidRPr="00E67914">
        <w:rPr>
          <w:rFonts w:ascii="Times New Roman" w:hAnsi="Times New Roman"/>
          <w:sz w:val="24"/>
          <w:lang w:eastAsia="zh-CN"/>
        </w:rPr>
        <w:t>。</w:t>
      </w:r>
      <w:r w:rsidR="007B08D3" w:rsidRPr="00E67914">
        <w:rPr>
          <w:rFonts w:ascii="Times New Roman" w:hAnsi="Times New Roman"/>
          <w:sz w:val="24"/>
          <w:lang w:eastAsia="zh-CN"/>
        </w:rPr>
        <w:t>新建</w:t>
      </w:r>
      <w:r w:rsidR="007B08D3" w:rsidRPr="00E67914">
        <w:rPr>
          <w:rFonts w:ascii="Times New Roman" w:hAnsi="Times New Roman"/>
          <w:sz w:val="24"/>
          <w:lang w:eastAsia="zh-CN"/>
        </w:rPr>
        <w:t>300m</w:t>
      </w:r>
      <w:r w:rsidR="007B08D3" w:rsidRPr="00E67914">
        <w:rPr>
          <w:rFonts w:ascii="Times New Roman" w:hAnsi="Times New Roman"/>
          <w:sz w:val="24"/>
          <w:lang w:eastAsia="zh-CN"/>
        </w:rPr>
        <w:t>长普陆页</w:t>
      </w:r>
      <w:r w:rsidR="007B08D3" w:rsidRPr="00E67914">
        <w:rPr>
          <w:rFonts w:ascii="Times New Roman" w:hAnsi="Times New Roman"/>
          <w:sz w:val="24"/>
          <w:lang w:eastAsia="zh-CN"/>
        </w:rPr>
        <w:t>2</w:t>
      </w:r>
      <w:r w:rsidR="007B08D3" w:rsidRPr="00E67914">
        <w:rPr>
          <w:rFonts w:ascii="Times New Roman" w:hAnsi="Times New Roman"/>
          <w:sz w:val="24"/>
          <w:lang w:eastAsia="zh-CN"/>
        </w:rPr>
        <w:t>井场到普陆页</w:t>
      </w:r>
      <w:r w:rsidR="007B08D3" w:rsidRPr="00E67914">
        <w:rPr>
          <w:rFonts w:ascii="Times New Roman" w:hAnsi="Times New Roman"/>
          <w:sz w:val="24"/>
          <w:lang w:eastAsia="zh-CN"/>
        </w:rPr>
        <w:t>2</w:t>
      </w:r>
      <w:r w:rsidR="007B08D3" w:rsidRPr="00E67914">
        <w:rPr>
          <w:rFonts w:ascii="Times New Roman" w:hAnsi="Times New Roman"/>
          <w:sz w:val="24"/>
          <w:lang w:eastAsia="zh-CN"/>
        </w:rPr>
        <w:t>试采站管线，同沟敷设</w:t>
      </w:r>
      <w:r w:rsidR="007B08D3" w:rsidRPr="00E67914">
        <w:rPr>
          <w:rFonts w:ascii="Times New Roman" w:hAnsi="Times New Roman"/>
          <w:sz w:val="24"/>
          <w:lang w:eastAsia="zh-CN"/>
        </w:rPr>
        <w:t>3</w:t>
      </w:r>
      <w:r w:rsidR="007B08D3" w:rsidRPr="00E67914">
        <w:rPr>
          <w:rFonts w:ascii="Times New Roman" w:hAnsi="Times New Roman"/>
          <w:sz w:val="24"/>
          <w:lang w:eastAsia="zh-CN"/>
        </w:rPr>
        <w:t>条；新建</w:t>
      </w:r>
      <w:r w:rsidR="007B08D3" w:rsidRPr="00E67914">
        <w:rPr>
          <w:rFonts w:ascii="Times New Roman" w:hAnsi="Times New Roman"/>
          <w:sz w:val="24"/>
          <w:lang w:eastAsia="zh-CN"/>
        </w:rPr>
        <w:t>1.2km</w:t>
      </w:r>
      <w:r w:rsidR="007B08D3" w:rsidRPr="00E67914">
        <w:rPr>
          <w:rFonts w:ascii="Times New Roman" w:hAnsi="Times New Roman"/>
          <w:sz w:val="24"/>
          <w:lang w:eastAsia="zh-CN"/>
        </w:rPr>
        <w:t>长普陆页</w:t>
      </w:r>
      <w:r w:rsidR="007B08D3" w:rsidRPr="00E67914">
        <w:rPr>
          <w:rFonts w:ascii="Times New Roman" w:hAnsi="Times New Roman"/>
          <w:sz w:val="24"/>
          <w:lang w:eastAsia="zh-CN"/>
        </w:rPr>
        <w:t>2</w:t>
      </w:r>
      <w:r w:rsidR="007B08D3" w:rsidRPr="00E67914">
        <w:rPr>
          <w:rFonts w:ascii="Times New Roman" w:hAnsi="Times New Roman"/>
          <w:sz w:val="24"/>
          <w:lang w:eastAsia="zh-CN"/>
        </w:rPr>
        <w:t>试采站至</w:t>
      </w:r>
      <w:r w:rsidR="007B08D3" w:rsidRPr="00E67914">
        <w:rPr>
          <w:rFonts w:ascii="Times New Roman" w:hAnsi="Times New Roman"/>
          <w:sz w:val="24"/>
          <w:lang w:eastAsia="zh-CN"/>
        </w:rPr>
        <w:t>P302</w:t>
      </w:r>
      <w:r w:rsidR="007B08D3" w:rsidRPr="00E67914">
        <w:rPr>
          <w:rFonts w:ascii="Times New Roman" w:hAnsi="Times New Roman"/>
          <w:sz w:val="24"/>
          <w:lang w:eastAsia="zh-CN"/>
        </w:rPr>
        <w:t>集气站的外输管线，同沟敷设长度为</w:t>
      </w:r>
      <w:r w:rsidR="007B08D3" w:rsidRPr="00E67914">
        <w:rPr>
          <w:rFonts w:ascii="Times New Roman" w:hAnsi="Times New Roman"/>
          <w:sz w:val="24"/>
          <w:lang w:eastAsia="zh-CN"/>
        </w:rPr>
        <w:t>1.3km</w:t>
      </w:r>
      <w:r w:rsidR="007B08D3" w:rsidRPr="00E67914">
        <w:rPr>
          <w:rFonts w:ascii="Times New Roman" w:hAnsi="Times New Roman"/>
          <w:sz w:val="24"/>
          <w:lang w:eastAsia="zh-CN"/>
        </w:rPr>
        <w:t>的燃料气返输管线与通信光缆</w:t>
      </w:r>
      <w:r w:rsidRPr="00E67914">
        <w:rPr>
          <w:rFonts w:ascii="Times New Roman" w:hAnsi="Times New Roman"/>
          <w:sz w:val="24"/>
          <w:lang w:eastAsia="zh-CN"/>
        </w:rPr>
        <w:t>。本项目地面集输工程项目组成见表</w:t>
      </w:r>
      <w:r w:rsidRPr="00E67914">
        <w:rPr>
          <w:rFonts w:ascii="Times New Roman" w:hAnsi="Times New Roman"/>
          <w:sz w:val="24"/>
          <w:lang w:eastAsia="zh-CN"/>
        </w:rPr>
        <w:t>3.2-7</w:t>
      </w:r>
      <w:r w:rsidRPr="00E67914">
        <w:rPr>
          <w:rFonts w:ascii="Times New Roman" w:hAnsi="Times New Roman"/>
          <w:sz w:val="24"/>
          <w:lang w:eastAsia="zh-CN"/>
        </w:rPr>
        <w:t>。</w:t>
      </w:r>
    </w:p>
    <w:p w14:paraId="54ACE62E"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3.2-7  </w:t>
      </w:r>
      <w:r w:rsidRPr="00E67914">
        <w:rPr>
          <w:rFonts w:ascii="Times New Roman" w:eastAsia="黑体" w:hAnsi="Times New Roman"/>
          <w:sz w:val="21"/>
          <w:szCs w:val="21"/>
          <w:lang w:eastAsia="zh-CN"/>
        </w:rPr>
        <w:t>地面集输工程项目组成及主要环境影响一览表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166"/>
        <w:gridCol w:w="814"/>
        <w:gridCol w:w="3827"/>
        <w:gridCol w:w="1134"/>
        <w:gridCol w:w="1359"/>
      </w:tblGrid>
      <w:tr w:rsidR="002662E3" w:rsidRPr="00E67914" w14:paraId="1C173050" w14:textId="77777777">
        <w:trPr>
          <w:cantSplit/>
          <w:jc w:val="center"/>
        </w:trPr>
        <w:tc>
          <w:tcPr>
            <w:tcW w:w="1166" w:type="dxa"/>
            <w:noWrap/>
            <w:vAlign w:val="center"/>
          </w:tcPr>
          <w:p w14:paraId="08075DB6"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工程类别</w:t>
            </w:r>
          </w:p>
        </w:tc>
        <w:tc>
          <w:tcPr>
            <w:tcW w:w="4641" w:type="dxa"/>
            <w:gridSpan w:val="2"/>
            <w:noWrap/>
            <w:vAlign w:val="center"/>
          </w:tcPr>
          <w:p w14:paraId="1DA2D148"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建设</w:t>
            </w:r>
            <w:r w:rsidRPr="00E67914">
              <w:rPr>
                <w:rFonts w:ascii="Times New Roman" w:hAnsi="Times New Roman"/>
                <w:sz w:val="21"/>
                <w:szCs w:val="21"/>
                <w:lang w:eastAsia="zh-CN"/>
              </w:rPr>
              <w:t>规模</w:t>
            </w:r>
            <w:r w:rsidRPr="00E67914">
              <w:rPr>
                <w:rFonts w:ascii="Times New Roman" w:hAnsi="Times New Roman"/>
                <w:sz w:val="21"/>
                <w:szCs w:val="21"/>
              </w:rPr>
              <w:t>及主要内容</w:t>
            </w:r>
          </w:p>
        </w:tc>
        <w:tc>
          <w:tcPr>
            <w:tcW w:w="1134" w:type="dxa"/>
            <w:noWrap/>
            <w:vAlign w:val="center"/>
          </w:tcPr>
          <w:p w14:paraId="0A43798C"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主要环境问题</w:t>
            </w:r>
          </w:p>
        </w:tc>
        <w:tc>
          <w:tcPr>
            <w:tcW w:w="1359" w:type="dxa"/>
            <w:noWrap/>
            <w:vAlign w:val="center"/>
          </w:tcPr>
          <w:p w14:paraId="599AA0C9"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备注</w:t>
            </w:r>
          </w:p>
        </w:tc>
      </w:tr>
      <w:tr w:rsidR="006810FE" w:rsidRPr="00E67914" w14:paraId="1B8F5665" w14:textId="77777777">
        <w:trPr>
          <w:cantSplit/>
          <w:jc w:val="center"/>
        </w:trPr>
        <w:tc>
          <w:tcPr>
            <w:tcW w:w="1166" w:type="dxa"/>
            <w:vMerge w:val="restart"/>
            <w:noWrap/>
            <w:vAlign w:val="center"/>
          </w:tcPr>
          <w:p w14:paraId="40A5391D" w14:textId="7777777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主体工程</w:t>
            </w:r>
          </w:p>
        </w:tc>
        <w:tc>
          <w:tcPr>
            <w:tcW w:w="4641" w:type="dxa"/>
            <w:gridSpan w:val="2"/>
            <w:noWrap/>
            <w:vAlign w:val="center"/>
          </w:tcPr>
          <w:p w14:paraId="1D8CF563" w14:textId="435212C9"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bCs/>
                <w:sz w:val="21"/>
                <w:szCs w:val="21"/>
                <w:lang w:eastAsia="zh-CN"/>
              </w:rPr>
              <w:t>依托原普陆页</w:t>
            </w:r>
            <w:r w:rsidRPr="00E67914">
              <w:rPr>
                <w:rFonts w:ascii="Times New Roman" w:hAnsi="Times New Roman"/>
                <w:bCs/>
                <w:sz w:val="21"/>
                <w:szCs w:val="21"/>
                <w:lang w:eastAsia="zh-CN"/>
              </w:rPr>
              <w:t>2</w:t>
            </w:r>
            <w:r w:rsidRPr="00E67914">
              <w:rPr>
                <w:rFonts w:ascii="Times New Roman" w:hAnsi="Times New Roman"/>
                <w:bCs/>
                <w:sz w:val="21"/>
                <w:szCs w:val="21"/>
                <w:lang w:eastAsia="zh-CN"/>
              </w:rPr>
              <w:t>井场新建普陆页</w:t>
            </w:r>
            <w:r w:rsidRPr="00E67914">
              <w:rPr>
                <w:rFonts w:ascii="Times New Roman" w:hAnsi="Times New Roman"/>
                <w:bCs/>
                <w:sz w:val="21"/>
                <w:szCs w:val="21"/>
                <w:lang w:eastAsia="zh-CN"/>
              </w:rPr>
              <w:t>2</w:t>
            </w:r>
            <w:r w:rsidRPr="00E67914">
              <w:rPr>
                <w:rFonts w:ascii="Times New Roman" w:hAnsi="Times New Roman"/>
                <w:bCs/>
                <w:sz w:val="21"/>
                <w:szCs w:val="21"/>
                <w:lang w:eastAsia="zh-CN"/>
              </w:rPr>
              <w:t>试采站，</w:t>
            </w:r>
            <w:r w:rsidR="00F37A71" w:rsidRPr="00E67914">
              <w:rPr>
                <w:rFonts w:ascii="Times New Roman" w:hAnsi="Times New Roman"/>
                <w:bCs/>
                <w:sz w:val="21"/>
                <w:szCs w:val="21"/>
                <w:lang w:eastAsia="zh-CN"/>
              </w:rPr>
              <w:t>配套设置</w:t>
            </w:r>
            <w:r w:rsidR="00F37A71" w:rsidRPr="00E67914">
              <w:rPr>
                <w:rFonts w:ascii="Times New Roman" w:hAnsi="Times New Roman"/>
                <w:bCs/>
                <w:sz w:val="21"/>
                <w:szCs w:val="21"/>
                <w:lang w:eastAsia="zh-CN"/>
              </w:rPr>
              <w:t>400kW</w:t>
            </w:r>
            <w:r w:rsidR="00F37A71" w:rsidRPr="00E67914">
              <w:rPr>
                <w:rFonts w:ascii="Times New Roman" w:hAnsi="Times New Roman"/>
                <w:bCs/>
                <w:sz w:val="21"/>
                <w:szCs w:val="21"/>
                <w:lang w:eastAsia="zh-CN"/>
              </w:rPr>
              <w:t>水套加热炉</w:t>
            </w:r>
            <w:r w:rsidR="00F37A71" w:rsidRPr="00E67914">
              <w:rPr>
                <w:rFonts w:ascii="Times New Roman" w:hAnsi="Times New Roman"/>
                <w:bCs/>
                <w:sz w:val="21"/>
                <w:szCs w:val="21"/>
                <w:lang w:eastAsia="zh-CN"/>
              </w:rPr>
              <w:t>2</w:t>
            </w:r>
            <w:r w:rsidR="00F37A71" w:rsidRPr="00E67914">
              <w:rPr>
                <w:rFonts w:ascii="Times New Roman" w:hAnsi="Times New Roman"/>
                <w:bCs/>
                <w:sz w:val="21"/>
                <w:szCs w:val="21"/>
                <w:lang w:eastAsia="zh-CN"/>
              </w:rPr>
              <w:t>台、</w:t>
            </w:r>
            <w:r w:rsidR="00F37A71" w:rsidRPr="00E67914">
              <w:rPr>
                <w:rFonts w:ascii="Times New Roman" w:hAnsi="Times New Roman"/>
                <w:bCs/>
                <w:sz w:val="21"/>
                <w:szCs w:val="21"/>
                <w:lang w:eastAsia="zh-CN"/>
              </w:rPr>
              <w:t>φ1200×6000mm</w:t>
            </w:r>
            <w:r w:rsidR="00F37A71" w:rsidRPr="00E67914">
              <w:rPr>
                <w:rFonts w:ascii="Times New Roman" w:hAnsi="Times New Roman"/>
                <w:bCs/>
                <w:sz w:val="21"/>
                <w:szCs w:val="21"/>
                <w:lang w:eastAsia="zh-CN"/>
              </w:rPr>
              <w:t>气液两相分离器</w:t>
            </w:r>
            <w:r w:rsidR="00F37A71" w:rsidRPr="00E67914">
              <w:rPr>
                <w:rFonts w:ascii="Times New Roman" w:hAnsi="Times New Roman"/>
                <w:bCs/>
                <w:sz w:val="21"/>
                <w:szCs w:val="21"/>
                <w:lang w:eastAsia="zh-CN"/>
              </w:rPr>
              <w:t>1</w:t>
            </w:r>
            <w:r w:rsidR="00F37A71" w:rsidRPr="00E67914">
              <w:rPr>
                <w:rFonts w:ascii="Times New Roman" w:hAnsi="Times New Roman"/>
                <w:bCs/>
                <w:sz w:val="21"/>
                <w:szCs w:val="21"/>
                <w:lang w:eastAsia="zh-CN"/>
              </w:rPr>
              <w:t>台、</w:t>
            </w:r>
            <w:r w:rsidR="00F37A71" w:rsidRPr="00E67914">
              <w:rPr>
                <w:rFonts w:ascii="Times New Roman" w:hAnsi="Times New Roman"/>
                <w:bCs/>
                <w:sz w:val="21"/>
                <w:szCs w:val="21"/>
                <w:lang w:eastAsia="zh-CN"/>
              </w:rPr>
              <w:t>φ1200×3600mm</w:t>
            </w:r>
            <w:r w:rsidR="00F37A71" w:rsidRPr="00E67914">
              <w:rPr>
                <w:rFonts w:ascii="Times New Roman" w:hAnsi="Times New Roman"/>
                <w:bCs/>
                <w:sz w:val="21"/>
                <w:szCs w:val="21"/>
                <w:lang w:eastAsia="zh-CN"/>
              </w:rPr>
              <w:t>油气水三相分离器</w:t>
            </w:r>
            <w:r w:rsidR="00F37A71" w:rsidRPr="00E67914">
              <w:rPr>
                <w:rFonts w:ascii="Times New Roman" w:hAnsi="Times New Roman"/>
                <w:bCs/>
                <w:sz w:val="21"/>
                <w:szCs w:val="21"/>
                <w:lang w:eastAsia="zh-CN"/>
              </w:rPr>
              <w:t>1</w:t>
            </w:r>
            <w:r w:rsidR="00F37A71" w:rsidRPr="00E67914">
              <w:rPr>
                <w:rFonts w:ascii="Times New Roman" w:hAnsi="Times New Roman"/>
                <w:bCs/>
                <w:sz w:val="21"/>
                <w:szCs w:val="21"/>
                <w:lang w:eastAsia="zh-CN"/>
              </w:rPr>
              <w:t>台、放空分离器撬</w:t>
            </w:r>
            <w:r w:rsidR="00F37A71" w:rsidRPr="00E67914">
              <w:rPr>
                <w:rFonts w:ascii="Times New Roman" w:hAnsi="Times New Roman"/>
                <w:bCs/>
                <w:sz w:val="21"/>
                <w:szCs w:val="21"/>
                <w:lang w:eastAsia="zh-CN"/>
              </w:rPr>
              <w:t>1</w:t>
            </w:r>
            <w:r w:rsidR="00F37A71" w:rsidRPr="00E67914">
              <w:rPr>
                <w:rFonts w:ascii="Times New Roman" w:hAnsi="Times New Roman"/>
                <w:bCs/>
                <w:sz w:val="21"/>
                <w:szCs w:val="21"/>
                <w:lang w:eastAsia="zh-CN"/>
              </w:rPr>
              <w:t>台、双筒高效除砂器撬</w:t>
            </w:r>
            <w:r w:rsidR="00F37A71" w:rsidRPr="00E67914">
              <w:rPr>
                <w:rFonts w:ascii="Times New Roman" w:hAnsi="Times New Roman"/>
                <w:bCs/>
                <w:sz w:val="21"/>
                <w:szCs w:val="21"/>
                <w:lang w:eastAsia="zh-CN"/>
              </w:rPr>
              <w:t>2</w:t>
            </w:r>
            <w:r w:rsidR="00F37A71" w:rsidRPr="00E67914">
              <w:rPr>
                <w:rFonts w:ascii="Times New Roman" w:hAnsi="Times New Roman"/>
                <w:bCs/>
                <w:sz w:val="21"/>
                <w:szCs w:val="21"/>
                <w:lang w:eastAsia="zh-CN"/>
              </w:rPr>
              <w:t>台（单筒处理量</w:t>
            </w:r>
            <w:r w:rsidR="00F37A71" w:rsidRPr="00E67914">
              <w:rPr>
                <w:rFonts w:ascii="Times New Roman" w:hAnsi="Times New Roman"/>
                <w:bCs/>
                <w:sz w:val="21"/>
                <w:szCs w:val="21"/>
                <w:lang w:eastAsia="zh-CN"/>
              </w:rPr>
              <w:t>10×10</w:t>
            </w:r>
            <w:r w:rsidR="00F37A71" w:rsidRPr="00E67914">
              <w:rPr>
                <w:rFonts w:ascii="Times New Roman" w:hAnsi="Times New Roman"/>
                <w:bCs/>
                <w:sz w:val="21"/>
                <w:szCs w:val="21"/>
                <w:vertAlign w:val="superscript"/>
                <w:lang w:eastAsia="zh-CN"/>
              </w:rPr>
              <w:t>4</w:t>
            </w:r>
            <w:r w:rsidR="00F37A71" w:rsidRPr="00E67914">
              <w:rPr>
                <w:rFonts w:ascii="Times New Roman" w:hAnsi="Times New Roman"/>
                <w:bCs/>
                <w:sz w:val="21"/>
                <w:szCs w:val="21"/>
                <w:lang w:eastAsia="zh-CN"/>
              </w:rPr>
              <w:t>Nm³/d</w:t>
            </w:r>
            <w:r w:rsidR="00F37A71" w:rsidRPr="00E67914">
              <w:rPr>
                <w:rFonts w:ascii="Times New Roman" w:hAnsi="Times New Roman"/>
                <w:bCs/>
                <w:sz w:val="21"/>
                <w:szCs w:val="21"/>
                <w:lang w:eastAsia="zh-CN"/>
              </w:rPr>
              <w:t>）、</w:t>
            </w:r>
            <w:r w:rsidR="00F37A71" w:rsidRPr="00E67914">
              <w:rPr>
                <w:rFonts w:ascii="Times New Roman" w:hAnsi="Times New Roman"/>
                <w:bCs/>
                <w:sz w:val="21"/>
                <w:szCs w:val="21"/>
                <w:lang w:eastAsia="zh-CN"/>
              </w:rPr>
              <w:t>8000Nm</w:t>
            </w:r>
            <w:r w:rsidR="00F37A71" w:rsidRPr="00E67914">
              <w:rPr>
                <w:rFonts w:ascii="Times New Roman" w:hAnsi="Times New Roman"/>
                <w:bCs/>
                <w:sz w:val="21"/>
                <w:szCs w:val="21"/>
                <w:vertAlign w:val="superscript"/>
                <w:lang w:eastAsia="zh-CN"/>
              </w:rPr>
              <w:t>3</w:t>
            </w:r>
            <w:r w:rsidR="00F37A71" w:rsidRPr="00E67914">
              <w:rPr>
                <w:rFonts w:ascii="Times New Roman" w:hAnsi="Times New Roman"/>
                <w:bCs/>
                <w:sz w:val="21"/>
                <w:szCs w:val="21"/>
                <w:lang w:eastAsia="zh-CN"/>
              </w:rPr>
              <w:t>/d</w:t>
            </w:r>
            <w:r w:rsidR="00F37A71" w:rsidRPr="00E67914">
              <w:rPr>
                <w:rFonts w:ascii="Times New Roman" w:hAnsi="Times New Roman"/>
                <w:bCs/>
                <w:sz w:val="21"/>
                <w:szCs w:val="21"/>
                <w:lang w:eastAsia="zh-CN"/>
              </w:rPr>
              <w:t>燃料气调压分离器撬</w:t>
            </w:r>
            <w:r w:rsidR="00F37A71" w:rsidRPr="00E67914">
              <w:rPr>
                <w:rFonts w:ascii="Times New Roman" w:hAnsi="Times New Roman"/>
                <w:bCs/>
                <w:sz w:val="21"/>
                <w:szCs w:val="21"/>
                <w:lang w:eastAsia="zh-CN"/>
              </w:rPr>
              <w:t>1</w:t>
            </w:r>
            <w:r w:rsidR="00F37A71" w:rsidRPr="00E67914">
              <w:rPr>
                <w:rFonts w:ascii="Times New Roman" w:hAnsi="Times New Roman"/>
                <w:bCs/>
                <w:sz w:val="21"/>
                <w:szCs w:val="21"/>
                <w:lang w:eastAsia="zh-CN"/>
              </w:rPr>
              <w:t>台，设置放空区，新建</w:t>
            </w:r>
            <w:r w:rsidR="00F37A71" w:rsidRPr="00E67914">
              <w:rPr>
                <w:rFonts w:ascii="Times New Roman" w:hAnsi="Times New Roman"/>
                <w:bCs/>
                <w:sz w:val="21"/>
                <w:szCs w:val="21"/>
                <w:lang w:eastAsia="zh-CN"/>
              </w:rPr>
              <w:t>DN200</w:t>
            </w:r>
            <w:r w:rsidR="00F37A71" w:rsidRPr="00E67914">
              <w:rPr>
                <w:rFonts w:ascii="Times New Roman" w:hAnsi="Times New Roman"/>
                <w:bCs/>
                <w:sz w:val="21"/>
                <w:szCs w:val="21"/>
                <w:lang w:eastAsia="zh-CN"/>
              </w:rPr>
              <w:t>的</w:t>
            </w:r>
            <w:r w:rsidR="00F37A71" w:rsidRPr="00E67914">
              <w:rPr>
                <w:rFonts w:ascii="Times New Roman" w:hAnsi="Times New Roman"/>
                <w:bCs/>
                <w:sz w:val="21"/>
                <w:szCs w:val="21"/>
                <w:lang w:eastAsia="zh-CN"/>
              </w:rPr>
              <w:t>25m</w:t>
            </w:r>
            <w:r w:rsidR="00F37A71" w:rsidRPr="00E67914">
              <w:rPr>
                <w:rFonts w:ascii="Times New Roman" w:hAnsi="Times New Roman"/>
                <w:bCs/>
                <w:sz w:val="21"/>
                <w:szCs w:val="21"/>
                <w:lang w:eastAsia="zh-CN"/>
              </w:rPr>
              <w:t>放空火炬</w:t>
            </w:r>
            <w:r w:rsidR="00F37A71" w:rsidRPr="00E67914">
              <w:rPr>
                <w:rFonts w:ascii="Times New Roman" w:hAnsi="Times New Roman"/>
                <w:bCs/>
                <w:sz w:val="21"/>
                <w:szCs w:val="21"/>
                <w:lang w:eastAsia="zh-CN"/>
              </w:rPr>
              <w:t>1</w:t>
            </w:r>
            <w:r w:rsidR="00F37A71" w:rsidRPr="00E67914">
              <w:rPr>
                <w:rFonts w:ascii="Times New Roman" w:hAnsi="Times New Roman"/>
                <w:bCs/>
                <w:sz w:val="21"/>
                <w:szCs w:val="21"/>
                <w:lang w:eastAsia="zh-CN"/>
              </w:rPr>
              <w:t>座、</w:t>
            </w:r>
            <w:r w:rsidR="00F37A71" w:rsidRPr="00E67914">
              <w:rPr>
                <w:rFonts w:ascii="Times New Roman" w:hAnsi="Times New Roman"/>
                <w:bCs/>
                <w:sz w:val="21"/>
                <w:szCs w:val="21"/>
                <w:lang w:eastAsia="zh-CN"/>
              </w:rPr>
              <w:t>DN100</w:t>
            </w:r>
            <w:r w:rsidR="00F37A71" w:rsidRPr="00E67914">
              <w:rPr>
                <w:rFonts w:ascii="Times New Roman" w:hAnsi="Times New Roman"/>
                <w:bCs/>
                <w:sz w:val="21"/>
                <w:szCs w:val="21"/>
                <w:lang w:eastAsia="zh-CN"/>
              </w:rPr>
              <w:t>的</w:t>
            </w:r>
            <w:r w:rsidR="00F37A71" w:rsidRPr="00E67914">
              <w:rPr>
                <w:rFonts w:ascii="Times New Roman" w:hAnsi="Times New Roman"/>
                <w:bCs/>
                <w:sz w:val="21"/>
                <w:szCs w:val="21"/>
                <w:lang w:eastAsia="zh-CN"/>
              </w:rPr>
              <w:t>6m</w:t>
            </w:r>
            <w:r w:rsidR="00F37A71" w:rsidRPr="00E67914">
              <w:rPr>
                <w:rFonts w:ascii="Times New Roman" w:hAnsi="Times New Roman"/>
                <w:bCs/>
                <w:sz w:val="21"/>
                <w:szCs w:val="21"/>
                <w:lang w:eastAsia="zh-CN"/>
              </w:rPr>
              <w:t>放散管</w:t>
            </w:r>
            <w:r w:rsidR="00F37A71" w:rsidRPr="00E67914">
              <w:rPr>
                <w:rFonts w:ascii="Times New Roman" w:hAnsi="Times New Roman"/>
                <w:bCs/>
                <w:sz w:val="21"/>
                <w:szCs w:val="21"/>
                <w:lang w:eastAsia="zh-CN"/>
              </w:rPr>
              <w:t>1</w:t>
            </w:r>
            <w:r w:rsidR="00F37A71" w:rsidRPr="00E67914">
              <w:rPr>
                <w:rFonts w:ascii="Times New Roman" w:hAnsi="Times New Roman"/>
                <w:bCs/>
                <w:sz w:val="21"/>
                <w:szCs w:val="21"/>
                <w:lang w:eastAsia="zh-CN"/>
              </w:rPr>
              <w:t>座，配套</w:t>
            </w:r>
            <w:r w:rsidR="00F37A71" w:rsidRPr="00E67914">
              <w:rPr>
                <w:rFonts w:ascii="Times New Roman" w:hAnsi="Times New Roman"/>
                <w:bCs/>
                <w:sz w:val="21"/>
                <w:szCs w:val="21"/>
                <w:lang w:eastAsia="zh-CN"/>
              </w:rPr>
              <w:t>φ1200×3600</w:t>
            </w:r>
            <w:r w:rsidR="00F37A71" w:rsidRPr="00E67914">
              <w:rPr>
                <w:rFonts w:ascii="Times New Roman" w:hAnsi="Times New Roman"/>
                <w:bCs/>
                <w:sz w:val="21"/>
                <w:szCs w:val="21"/>
                <w:lang w:eastAsia="zh-CN"/>
              </w:rPr>
              <w:t>放空分液罐</w:t>
            </w:r>
            <w:r w:rsidR="00F37A71" w:rsidRPr="00E67914">
              <w:rPr>
                <w:rFonts w:ascii="Times New Roman" w:hAnsi="Times New Roman"/>
                <w:bCs/>
                <w:sz w:val="21"/>
                <w:szCs w:val="21"/>
                <w:lang w:eastAsia="zh-CN"/>
              </w:rPr>
              <w:t>1</w:t>
            </w:r>
            <w:r w:rsidR="00F37A71" w:rsidRPr="00E67914">
              <w:rPr>
                <w:rFonts w:ascii="Times New Roman" w:hAnsi="Times New Roman"/>
                <w:bCs/>
                <w:sz w:val="21"/>
                <w:szCs w:val="21"/>
                <w:lang w:eastAsia="zh-CN"/>
              </w:rPr>
              <w:t>座；配套</w:t>
            </w:r>
            <w:r w:rsidR="00F37A71" w:rsidRPr="00E67914">
              <w:rPr>
                <w:rFonts w:ascii="Times New Roman" w:hAnsi="Times New Roman"/>
                <w:bCs/>
                <w:sz w:val="21"/>
                <w:szCs w:val="21"/>
                <w:lang w:eastAsia="zh-CN"/>
              </w:rPr>
              <w:t>50m³</w:t>
            </w:r>
            <w:r w:rsidR="00F37A71" w:rsidRPr="00E67914">
              <w:rPr>
                <w:rFonts w:ascii="Times New Roman" w:hAnsi="Times New Roman"/>
                <w:bCs/>
                <w:sz w:val="21"/>
                <w:szCs w:val="21"/>
                <w:lang w:eastAsia="zh-CN"/>
              </w:rPr>
              <w:t>采出水罐</w:t>
            </w:r>
            <w:r w:rsidR="00F37A71" w:rsidRPr="00E67914">
              <w:rPr>
                <w:rFonts w:ascii="Times New Roman" w:hAnsi="Times New Roman"/>
                <w:bCs/>
                <w:sz w:val="21"/>
                <w:szCs w:val="21"/>
                <w:lang w:eastAsia="zh-CN"/>
              </w:rPr>
              <w:t>2</w:t>
            </w:r>
            <w:r w:rsidR="00F37A71" w:rsidRPr="00E67914">
              <w:rPr>
                <w:rFonts w:ascii="Times New Roman" w:hAnsi="Times New Roman"/>
                <w:bCs/>
                <w:sz w:val="21"/>
                <w:szCs w:val="21"/>
                <w:lang w:eastAsia="zh-CN"/>
              </w:rPr>
              <w:t>座、</w:t>
            </w:r>
            <w:r w:rsidR="00F37A71" w:rsidRPr="00E67914">
              <w:rPr>
                <w:rFonts w:ascii="Times New Roman" w:hAnsi="Times New Roman"/>
                <w:bCs/>
                <w:sz w:val="21"/>
                <w:szCs w:val="21"/>
                <w:lang w:eastAsia="zh-CN"/>
              </w:rPr>
              <w:t>50m³</w:t>
            </w:r>
            <w:r w:rsidR="00F37A71" w:rsidRPr="00E67914">
              <w:rPr>
                <w:rFonts w:ascii="Times New Roman" w:hAnsi="Times New Roman"/>
                <w:bCs/>
                <w:sz w:val="21"/>
                <w:szCs w:val="21"/>
                <w:lang w:eastAsia="zh-CN"/>
              </w:rPr>
              <w:t>油罐</w:t>
            </w:r>
            <w:r w:rsidR="00F37A71" w:rsidRPr="00E67914">
              <w:rPr>
                <w:rFonts w:ascii="Times New Roman" w:hAnsi="Times New Roman"/>
                <w:bCs/>
                <w:sz w:val="21"/>
                <w:szCs w:val="21"/>
                <w:lang w:eastAsia="zh-CN"/>
              </w:rPr>
              <w:t>2</w:t>
            </w:r>
            <w:r w:rsidR="00F37A71" w:rsidRPr="00E67914">
              <w:rPr>
                <w:rFonts w:ascii="Times New Roman" w:hAnsi="Times New Roman"/>
                <w:bCs/>
                <w:sz w:val="21"/>
                <w:szCs w:val="21"/>
                <w:lang w:eastAsia="zh-CN"/>
              </w:rPr>
              <w:t>座</w:t>
            </w:r>
            <w:r w:rsidR="00121564" w:rsidRPr="00E67914">
              <w:rPr>
                <w:rFonts w:ascii="Times New Roman" w:hAnsi="Times New Roman"/>
                <w:bCs/>
                <w:sz w:val="21"/>
                <w:szCs w:val="21"/>
                <w:lang w:eastAsia="zh-CN"/>
              </w:rPr>
              <w:t>。配套建设自控、电力、结构等设施</w:t>
            </w:r>
            <w:r w:rsidRPr="00E67914">
              <w:rPr>
                <w:rFonts w:ascii="Times New Roman" w:hAnsi="Times New Roman"/>
                <w:bCs/>
                <w:sz w:val="21"/>
                <w:szCs w:val="21"/>
                <w:lang w:eastAsia="zh-CN"/>
              </w:rPr>
              <w:t>进行试采</w:t>
            </w:r>
          </w:p>
        </w:tc>
        <w:tc>
          <w:tcPr>
            <w:tcW w:w="1134" w:type="dxa"/>
            <w:noWrap/>
            <w:vAlign w:val="center"/>
          </w:tcPr>
          <w:p w14:paraId="43AEA75D" w14:textId="7777777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废气、废水、噪声、环境风险</w:t>
            </w:r>
          </w:p>
        </w:tc>
        <w:tc>
          <w:tcPr>
            <w:tcW w:w="1359" w:type="dxa"/>
            <w:noWrap/>
            <w:vAlign w:val="center"/>
          </w:tcPr>
          <w:p w14:paraId="1E5770CE" w14:textId="1FD2C3B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依托</w:t>
            </w:r>
            <w:r w:rsidRPr="00E67914">
              <w:rPr>
                <w:rFonts w:ascii="Times New Roman" w:hAnsi="Times New Roman"/>
                <w:sz w:val="21"/>
                <w:szCs w:val="21"/>
                <w:lang w:eastAsia="zh-CN"/>
              </w:rPr>
              <w:t>+</w:t>
            </w:r>
            <w:r w:rsidRPr="00E67914">
              <w:rPr>
                <w:rFonts w:ascii="Times New Roman" w:hAnsi="Times New Roman"/>
                <w:sz w:val="21"/>
                <w:szCs w:val="21"/>
                <w:lang w:eastAsia="zh-CN"/>
              </w:rPr>
              <w:t>新建</w:t>
            </w:r>
          </w:p>
        </w:tc>
      </w:tr>
      <w:tr w:rsidR="006810FE" w:rsidRPr="00E67914" w14:paraId="4FFAAB74" w14:textId="77777777">
        <w:trPr>
          <w:cantSplit/>
          <w:jc w:val="center"/>
        </w:trPr>
        <w:tc>
          <w:tcPr>
            <w:tcW w:w="1166" w:type="dxa"/>
            <w:vMerge/>
            <w:noWrap/>
            <w:vAlign w:val="center"/>
          </w:tcPr>
          <w:p w14:paraId="64F22613" w14:textId="7777777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38AB8863" w14:textId="57A8A78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lang w:eastAsia="zh-CN"/>
              </w:rPr>
              <w:t>外输管线</w:t>
            </w:r>
            <w:r w:rsidRPr="00E67914">
              <w:rPr>
                <w:rFonts w:ascii="Times New Roman" w:hAnsi="Times New Roman"/>
                <w:sz w:val="21"/>
                <w:szCs w:val="21"/>
                <w:lang w:eastAsia="zh-CN"/>
              </w:rPr>
              <w:t>1</w:t>
            </w:r>
          </w:p>
        </w:tc>
        <w:tc>
          <w:tcPr>
            <w:tcW w:w="3827" w:type="dxa"/>
            <w:noWrap/>
            <w:vAlign w:val="center"/>
          </w:tcPr>
          <w:p w14:paraId="279BFD81" w14:textId="20182684" w:rsidR="006810FE" w:rsidRPr="00E67914" w:rsidRDefault="0014745F" w:rsidP="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新建新普陆页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w:t>
            </w:r>
            <w:r w:rsidR="006810FE" w:rsidRPr="00E67914">
              <w:rPr>
                <w:rFonts w:ascii="Times New Roman" w:hAnsi="Times New Roman"/>
                <w:sz w:val="21"/>
                <w:szCs w:val="21"/>
                <w:lang w:eastAsia="zh-CN"/>
              </w:rPr>
              <w:t>到普陆页</w:t>
            </w:r>
            <w:r w:rsidR="006810FE" w:rsidRPr="00E67914">
              <w:rPr>
                <w:rFonts w:ascii="Times New Roman" w:hAnsi="Times New Roman"/>
                <w:sz w:val="21"/>
                <w:szCs w:val="21"/>
                <w:lang w:eastAsia="zh-CN"/>
              </w:rPr>
              <w:t>2</w:t>
            </w:r>
            <w:r w:rsidR="006810FE" w:rsidRPr="00E67914">
              <w:rPr>
                <w:rFonts w:ascii="Times New Roman" w:hAnsi="Times New Roman"/>
                <w:sz w:val="21"/>
                <w:szCs w:val="21"/>
                <w:lang w:eastAsia="zh-CN"/>
              </w:rPr>
              <w:t>试采站管线规格</w:t>
            </w:r>
            <w:r w:rsidR="006810FE" w:rsidRPr="00E67914">
              <w:rPr>
                <w:rFonts w:ascii="Times New Roman" w:hAnsi="Times New Roman"/>
                <w:sz w:val="21"/>
                <w:szCs w:val="21"/>
                <w:lang w:eastAsia="zh-CN"/>
              </w:rPr>
              <w:t>D76.1×11mm</w:t>
            </w:r>
            <w:r w:rsidR="006810FE" w:rsidRPr="00E67914">
              <w:rPr>
                <w:rFonts w:ascii="Times New Roman" w:hAnsi="Times New Roman"/>
                <w:sz w:val="21"/>
                <w:szCs w:val="21"/>
                <w:lang w:eastAsia="zh-CN"/>
              </w:rPr>
              <w:t>，材质为</w:t>
            </w:r>
            <w:r w:rsidR="006810FE" w:rsidRPr="00E67914">
              <w:rPr>
                <w:rFonts w:ascii="Times New Roman" w:hAnsi="Times New Roman"/>
                <w:sz w:val="21"/>
                <w:szCs w:val="21"/>
                <w:lang w:eastAsia="zh-CN"/>
              </w:rPr>
              <w:t>L245N</w:t>
            </w:r>
            <w:r w:rsidR="006810FE" w:rsidRPr="00E67914">
              <w:rPr>
                <w:rFonts w:ascii="Times New Roman" w:hAnsi="Times New Roman"/>
                <w:sz w:val="21"/>
                <w:szCs w:val="21"/>
                <w:lang w:eastAsia="zh-CN"/>
              </w:rPr>
              <w:t>无缝钢管</w:t>
            </w:r>
            <w:r w:rsidR="006810FE" w:rsidRPr="00E67914">
              <w:rPr>
                <w:rFonts w:ascii="Times New Roman" w:hAnsi="Times New Roman"/>
                <w:sz w:val="21"/>
                <w:szCs w:val="21"/>
                <w:lang w:eastAsia="zh-CN"/>
              </w:rPr>
              <w:t>PSL2</w:t>
            </w:r>
            <w:r w:rsidR="006810FE" w:rsidRPr="00E67914">
              <w:rPr>
                <w:rFonts w:ascii="Times New Roman" w:hAnsi="Times New Roman"/>
                <w:sz w:val="21"/>
                <w:szCs w:val="21"/>
                <w:lang w:eastAsia="zh-CN"/>
              </w:rPr>
              <w:t>，同沟敷设的管线长度有</w:t>
            </w:r>
            <w:r w:rsidR="006810FE" w:rsidRPr="00E67914">
              <w:rPr>
                <w:rFonts w:ascii="Times New Roman" w:hAnsi="Times New Roman"/>
                <w:sz w:val="21"/>
                <w:szCs w:val="21"/>
                <w:lang w:eastAsia="zh-CN"/>
              </w:rPr>
              <w:t>3</w:t>
            </w:r>
            <w:r w:rsidR="006810FE" w:rsidRPr="00E67914">
              <w:rPr>
                <w:rFonts w:ascii="Times New Roman" w:hAnsi="Times New Roman"/>
                <w:sz w:val="21"/>
                <w:szCs w:val="21"/>
                <w:lang w:eastAsia="zh-CN"/>
              </w:rPr>
              <w:t>根，单根长度约</w:t>
            </w:r>
            <w:r w:rsidR="006810FE" w:rsidRPr="00E67914">
              <w:rPr>
                <w:rFonts w:ascii="Times New Roman" w:hAnsi="Times New Roman"/>
                <w:sz w:val="21"/>
                <w:szCs w:val="21"/>
                <w:lang w:eastAsia="zh-CN"/>
              </w:rPr>
              <w:t>300m</w:t>
            </w:r>
            <w:r w:rsidR="006810FE" w:rsidRPr="00E67914">
              <w:rPr>
                <w:rFonts w:ascii="Times New Roman" w:hAnsi="Times New Roman"/>
                <w:sz w:val="21"/>
                <w:szCs w:val="21"/>
                <w:lang w:eastAsia="zh-CN"/>
              </w:rPr>
              <w:t>，设计压力</w:t>
            </w:r>
            <w:r w:rsidR="006810FE" w:rsidRPr="00E67914">
              <w:rPr>
                <w:rFonts w:ascii="Times New Roman" w:hAnsi="Times New Roman"/>
                <w:sz w:val="21"/>
                <w:szCs w:val="21"/>
                <w:lang w:eastAsia="zh-CN"/>
              </w:rPr>
              <w:t>35MPa</w:t>
            </w:r>
            <w:r w:rsidR="006810FE" w:rsidRPr="00E67914">
              <w:rPr>
                <w:rFonts w:ascii="Times New Roman" w:hAnsi="Times New Roman"/>
                <w:sz w:val="21"/>
                <w:szCs w:val="21"/>
                <w:lang w:eastAsia="zh-CN"/>
              </w:rPr>
              <w:t>，埋深</w:t>
            </w:r>
            <w:r w:rsidR="006810FE" w:rsidRPr="00E67914">
              <w:rPr>
                <w:rFonts w:ascii="Times New Roman" w:hAnsi="Times New Roman"/>
                <w:sz w:val="21"/>
                <w:szCs w:val="21"/>
                <w:lang w:eastAsia="zh-CN"/>
              </w:rPr>
              <w:t>1.2m</w:t>
            </w:r>
          </w:p>
        </w:tc>
        <w:tc>
          <w:tcPr>
            <w:tcW w:w="1134" w:type="dxa"/>
            <w:vMerge w:val="restart"/>
            <w:noWrap/>
            <w:vAlign w:val="center"/>
          </w:tcPr>
          <w:p w14:paraId="265918E7" w14:textId="7777777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噪声、环境风险</w:t>
            </w:r>
          </w:p>
        </w:tc>
        <w:tc>
          <w:tcPr>
            <w:tcW w:w="1359" w:type="dxa"/>
            <w:noWrap/>
            <w:vAlign w:val="center"/>
          </w:tcPr>
          <w:p w14:paraId="431D23FE" w14:textId="7777777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新建</w:t>
            </w:r>
          </w:p>
        </w:tc>
      </w:tr>
      <w:tr w:rsidR="006810FE" w:rsidRPr="00E67914" w14:paraId="49666FF3" w14:textId="77777777">
        <w:trPr>
          <w:cantSplit/>
          <w:jc w:val="center"/>
        </w:trPr>
        <w:tc>
          <w:tcPr>
            <w:tcW w:w="1166" w:type="dxa"/>
            <w:vMerge/>
            <w:noWrap/>
            <w:vAlign w:val="center"/>
          </w:tcPr>
          <w:p w14:paraId="247B2507" w14:textId="7777777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23484015" w14:textId="18CD5AAA"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外输管线</w:t>
            </w:r>
            <w:r w:rsidRPr="00E67914">
              <w:rPr>
                <w:rFonts w:ascii="Times New Roman" w:hAnsi="Times New Roman"/>
                <w:sz w:val="21"/>
                <w:szCs w:val="21"/>
                <w:lang w:eastAsia="zh-CN"/>
              </w:rPr>
              <w:t>2</w:t>
            </w:r>
          </w:p>
        </w:tc>
        <w:tc>
          <w:tcPr>
            <w:tcW w:w="3827" w:type="dxa"/>
            <w:noWrap/>
            <w:vAlign w:val="center"/>
          </w:tcPr>
          <w:p w14:paraId="25CF247F" w14:textId="4CF8E5C3"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新建普陆页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试采站至</w:t>
            </w:r>
            <w:r w:rsidRPr="00E67914">
              <w:rPr>
                <w:rFonts w:ascii="Times New Roman" w:hAnsi="Times New Roman"/>
                <w:sz w:val="21"/>
                <w:szCs w:val="21"/>
                <w:lang w:eastAsia="zh-CN"/>
              </w:rPr>
              <w:t>P302</w:t>
            </w:r>
            <w:r w:rsidRPr="00E67914">
              <w:rPr>
                <w:rFonts w:ascii="Times New Roman" w:hAnsi="Times New Roman"/>
                <w:sz w:val="21"/>
                <w:szCs w:val="21"/>
                <w:lang w:eastAsia="zh-CN"/>
              </w:rPr>
              <w:t>集气站的外输管线，普陆页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试采站的天然气经三相分离后，天然气通过新建管线接入附近</w:t>
            </w:r>
            <w:r w:rsidRPr="00E67914">
              <w:rPr>
                <w:rFonts w:ascii="Times New Roman" w:hAnsi="Times New Roman"/>
                <w:sz w:val="21"/>
                <w:szCs w:val="21"/>
                <w:lang w:eastAsia="zh-CN"/>
              </w:rPr>
              <w:t>P302</w:t>
            </w:r>
            <w:r w:rsidRPr="00E67914">
              <w:rPr>
                <w:rFonts w:ascii="Times New Roman" w:hAnsi="Times New Roman"/>
                <w:sz w:val="21"/>
                <w:szCs w:val="21"/>
                <w:lang w:eastAsia="zh-CN"/>
              </w:rPr>
              <w:t>集气站的酸气管网。管线规格为</w:t>
            </w:r>
            <w:r w:rsidRPr="00E67914">
              <w:rPr>
                <w:rFonts w:ascii="Times New Roman" w:hAnsi="Times New Roman"/>
                <w:sz w:val="21"/>
                <w:szCs w:val="21"/>
                <w:lang w:eastAsia="zh-CN"/>
              </w:rPr>
              <w:t>D89×6mm</w:t>
            </w:r>
            <w:r w:rsidRPr="00E67914">
              <w:rPr>
                <w:rFonts w:ascii="Times New Roman" w:hAnsi="Times New Roman"/>
                <w:sz w:val="21"/>
                <w:szCs w:val="21"/>
                <w:lang w:eastAsia="zh-CN"/>
              </w:rPr>
              <w:t>，材质为</w:t>
            </w:r>
            <w:r w:rsidRPr="00E67914">
              <w:rPr>
                <w:rFonts w:ascii="Times New Roman" w:hAnsi="Times New Roman"/>
                <w:sz w:val="21"/>
                <w:szCs w:val="21"/>
                <w:lang w:eastAsia="zh-CN"/>
              </w:rPr>
              <w:t>L245N</w:t>
            </w:r>
            <w:r w:rsidRPr="00E67914">
              <w:rPr>
                <w:rFonts w:ascii="Times New Roman" w:hAnsi="Times New Roman"/>
                <w:sz w:val="21"/>
                <w:szCs w:val="21"/>
                <w:lang w:eastAsia="zh-CN"/>
              </w:rPr>
              <w:t>无缝钢管</w:t>
            </w:r>
            <w:r w:rsidRPr="00E67914">
              <w:rPr>
                <w:rFonts w:ascii="Times New Roman" w:hAnsi="Times New Roman"/>
                <w:sz w:val="21"/>
                <w:szCs w:val="21"/>
                <w:lang w:eastAsia="zh-CN"/>
              </w:rPr>
              <w:t>PSL2</w:t>
            </w:r>
            <w:r w:rsidRPr="00E67914">
              <w:rPr>
                <w:rFonts w:ascii="Times New Roman" w:hAnsi="Times New Roman"/>
                <w:sz w:val="21"/>
                <w:szCs w:val="21"/>
                <w:lang w:eastAsia="zh-CN"/>
              </w:rPr>
              <w:t>，遵循技术标准为</w:t>
            </w:r>
            <w:r w:rsidRPr="00E67914">
              <w:rPr>
                <w:rFonts w:ascii="Times New Roman" w:hAnsi="Times New Roman"/>
                <w:sz w:val="21"/>
                <w:szCs w:val="21"/>
                <w:lang w:eastAsia="zh-CN"/>
              </w:rPr>
              <w:t>GB/T9711-2017</w:t>
            </w:r>
            <w:r w:rsidRPr="00E67914">
              <w:rPr>
                <w:rFonts w:ascii="Times New Roman" w:hAnsi="Times New Roman"/>
                <w:sz w:val="21"/>
                <w:szCs w:val="21"/>
                <w:lang w:eastAsia="zh-CN"/>
              </w:rPr>
              <w:t>，设计压力</w:t>
            </w:r>
            <w:r w:rsidRPr="00E67914">
              <w:rPr>
                <w:rFonts w:ascii="Times New Roman" w:hAnsi="Times New Roman"/>
                <w:sz w:val="21"/>
                <w:szCs w:val="21"/>
                <w:lang w:eastAsia="zh-CN"/>
              </w:rPr>
              <w:t>10MPa</w:t>
            </w:r>
            <w:r w:rsidRPr="00E67914">
              <w:rPr>
                <w:rFonts w:ascii="Times New Roman" w:hAnsi="Times New Roman"/>
                <w:sz w:val="21"/>
                <w:szCs w:val="21"/>
                <w:lang w:eastAsia="zh-CN"/>
              </w:rPr>
              <w:t>，长度为</w:t>
            </w:r>
            <w:r w:rsidRPr="00E67914">
              <w:rPr>
                <w:rFonts w:ascii="Times New Roman" w:hAnsi="Times New Roman"/>
                <w:sz w:val="21"/>
                <w:szCs w:val="21"/>
                <w:lang w:eastAsia="zh-CN"/>
              </w:rPr>
              <w:t>1.3km</w:t>
            </w:r>
            <w:r w:rsidRPr="00E67914">
              <w:rPr>
                <w:rFonts w:ascii="Times New Roman" w:hAnsi="Times New Roman"/>
                <w:sz w:val="21"/>
                <w:szCs w:val="21"/>
                <w:lang w:eastAsia="zh-CN"/>
              </w:rPr>
              <w:t>，埋深</w:t>
            </w:r>
            <w:r w:rsidRPr="00E67914">
              <w:rPr>
                <w:rFonts w:ascii="Times New Roman" w:hAnsi="Times New Roman"/>
                <w:sz w:val="21"/>
                <w:szCs w:val="21"/>
                <w:lang w:eastAsia="zh-CN"/>
              </w:rPr>
              <w:t>1.2m</w:t>
            </w:r>
            <w:r w:rsidRPr="00E67914">
              <w:rPr>
                <w:rFonts w:ascii="Times New Roman" w:hAnsi="Times New Roman"/>
                <w:sz w:val="21"/>
                <w:szCs w:val="21"/>
                <w:lang w:eastAsia="zh-CN"/>
              </w:rPr>
              <w:t>。同沟敷设长度为</w:t>
            </w:r>
            <w:r w:rsidRPr="00E67914">
              <w:rPr>
                <w:rFonts w:ascii="Times New Roman" w:hAnsi="Times New Roman"/>
                <w:sz w:val="21"/>
                <w:szCs w:val="21"/>
                <w:lang w:eastAsia="zh-CN"/>
              </w:rPr>
              <w:t>1.3km</w:t>
            </w:r>
            <w:r w:rsidRPr="00E67914">
              <w:rPr>
                <w:rFonts w:ascii="Times New Roman" w:hAnsi="Times New Roman"/>
                <w:sz w:val="21"/>
                <w:szCs w:val="21"/>
                <w:lang w:eastAsia="zh-CN"/>
              </w:rPr>
              <w:t>的燃料气返输管线与通信光缆，燃料气返输管线规格型号为</w:t>
            </w:r>
            <w:r w:rsidRPr="00E67914">
              <w:rPr>
                <w:rFonts w:ascii="Times New Roman" w:hAnsi="Times New Roman"/>
                <w:sz w:val="21"/>
                <w:szCs w:val="21"/>
                <w:lang w:eastAsia="zh-CN"/>
              </w:rPr>
              <w:t>Φ88.9×5.0 20 SMLS</w:t>
            </w:r>
          </w:p>
        </w:tc>
        <w:tc>
          <w:tcPr>
            <w:tcW w:w="1134" w:type="dxa"/>
            <w:vMerge/>
            <w:noWrap/>
            <w:vAlign w:val="center"/>
          </w:tcPr>
          <w:p w14:paraId="16B7DED3" w14:textId="77777777"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1359" w:type="dxa"/>
            <w:noWrap/>
            <w:vAlign w:val="center"/>
          </w:tcPr>
          <w:p w14:paraId="26EC1175" w14:textId="6325E28A" w:rsidR="006810FE" w:rsidRPr="00E67914" w:rsidRDefault="006810FE">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6B2A8F2C" w14:textId="77777777">
        <w:trPr>
          <w:cantSplit/>
          <w:jc w:val="center"/>
        </w:trPr>
        <w:tc>
          <w:tcPr>
            <w:tcW w:w="1166" w:type="dxa"/>
            <w:vMerge w:val="restart"/>
            <w:noWrap/>
            <w:vAlign w:val="center"/>
          </w:tcPr>
          <w:p w14:paraId="5E90555C"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辅助公用工程</w:t>
            </w:r>
          </w:p>
        </w:tc>
        <w:tc>
          <w:tcPr>
            <w:tcW w:w="814" w:type="dxa"/>
            <w:noWrap/>
            <w:vAlign w:val="center"/>
          </w:tcPr>
          <w:p w14:paraId="62278A8E"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lang w:eastAsia="zh-CN"/>
              </w:rPr>
              <w:t>放散区</w:t>
            </w:r>
          </w:p>
        </w:tc>
        <w:tc>
          <w:tcPr>
            <w:tcW w:w="3827" w:type="dxa"/>
            <w:noWrap/>
            <w:vAlign w:val="center"/>
          </w:tcPr>
          <w:p w14:paraId="21FB4527" w14:textId="03F64C5C" w:rsidR="00A54A8A" w:rsidRPr="00E67914" w:rsidRDefault="001729B7">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设置</w:t>
            </w:r>
            <w:r w:rsidRPr="00E67914">
              <w:rPr>
                <w:rFonts w:ascii="Times New Roman" w:hAnsi="Times New Roman"/>
                <w:sz w:val="21"/>
                <w:szCs w:val="21"/>
                <w:lang w:eastAsia="zh-CN"/>
              </w:rPr>
              <w:t>25m</w:t>
            </w:r>
            <w:r w:rsidRPr="00E67914">
              <w:rPr>
                <w:rFonts w:ascii="Times New Roman" w:hAnsi="Times New Roman"/>
                <w:sz w:val="21"/>
                <w:szCs w:val="21"/>
                <w:lang w:eastAsia="zh-CN"/>
              </w:rPr>
              <w:t>高放空火炬</w:t>
            </w:r>
            <w:r w:rsidRPr="00E67914">
              <w:rPr>
                <w:rFonts w:ascii="Times New Roman" w:hAnsi="Times New Roman"/>
                <w:sz w:val="21"/>
                <w:szCs w:val="21"/>
                <w:lang w:eastAsia="zh-CN"/>
              </w:rPr>
              <w:t>1</w:t>
            </w:r>
            <w:r w:rsidRPr="00E67914">
              <w:rPr>
                <w:rFonts w:ascii="Times New Roman" w:hAnsi="Times New Roman"/>
                <w:sz w:val="21"/>
                <w:szCs w:val="21"/>
                <w:lang w:eastAsia="zh-CN"/>
              </w:rPr>
              <w:t>根与</w:t>
            </w:r>
            <w:r w:rsidRPr="00E67914">
              <w:rPr>
                <w:rFonts w:ascii="Times New Roman" w:hAnsi="Times New Roman"/>
                <w:sz w:val="21"/>
                <w:szCs w:val="21"/>
                <w:lang w:eastAsia="zh-CN"/>
              </w:rPr>
              <w:t>6m</w:t>
            </w:r>
            <w:r w:rsidRPr="00E67914">
              <w:rPr>
                <w:rFonts w:ascii="Times New Roman" w:hAnsi="Times New Roman"/>
                <w:sz w:val="21"/>
                <w:szCs w:val="21"/>
                <w:lang w:eastAsia="zh-CN"/>
              </w:rPr>
              <w:t>高放散管</w:t>
            </w:r>
            <w:r w:rsidRPr="00E67914">
              <w:rPr>
                <w:rFonts w:ascii="Times New Roman" w:hAnsi="Times New Roman"/>
                <w:sz w:val="21"/>
                <w:szCs w:val="21"/>
                <w:lang w:eastAsia="zh-CN"/>
              </w:rPr>
              <w:t>1</w:t>
            </w:r>
            <w:r w:rsidRPr="00E67914">
              <w:rPr>
                <w:rFonts w:ascii="Times New Roman" w:hAnsi="Times New Roman"/>
                <w:sz w:val="21"/>
                <w:szCs w:val="21"/>
                <w:lang w:eastAsia="zh-CN"/>
              </w:rPr>
              <w:t>根，井口高压放空至</w:t>
            </w:r>
            <w:r w:rsidRPr="00E67914">
              <w:rPr>
                <w:rFonts w:ascii="Times New Roman" w:hAnsi="Times New Roman"/>
                <w:sz w:val="21"/>
                <w:szCs w:val="21"/>
                <w:lang w:eastAsia="zh-CN"/>
              </w:rPr>
              <w:t>25m</w:t>
            </w:r>
            <w:r w:rsidRPr="00E67914">
              <w:rPr>
                <w:rFonts w:ascii="Times New Roman" w:hAnsi="Times New Roman"/>
                <w:sz w:val="21"/>
                <w:szCs w:val="21"/>
                <w:lang w:eastAsia="zh-CN"/>
              </w:rPr>
              <w:t>高</w:t>
            </w:r>
            <w:r w:rsidR="00FC2143" w:rsidRPr="00E67914">
              <w:rPr>
                <w:rFonts w:ascii="Times New Roman" w:hAnsi="Times New Roman"/>
                <w:sz w:val="21"/>
                <w:szCs w:val="21"/>
                <w:lang w:eastAsia="zh-CN"/>
              </w:rPr>
              <w:t>火炬燃烧排放</w:t>
            </w:r>
            <w:r w:rsidRPr="00E67914">
              <w:rPr>
                <w:rFonts w:ascii="Times New Roman" w:hAnsi="Times New Roman"/>
                <w:sz w:val="21"/>
                <w:szCs w:val="21"/>
                <w:lang w:eastAsia="zh-CN"/>
              </w:rPr>
              <w:t>，</w:t>
            </w:r>
            <w:r w:rsidR="00EE5D65" w:rsidRPr="00E67914">
              <w:rPr>
                <w:rFonts w:ascii="Times New Roman" w:hAnsi="Times New Roman"/>
                <w:sz w:val="21"/>
                <w:szCs w:val="21"/>
                <w:lang w:eastAsia="zh-CN"/>
              </w:rPr>
              <w:t>工艺设备（含油罐）及站内外输管线气体通过</w:t>
            </w:r>
            <w:r w:rsidR="00EE5D65" w:rsidRPr="00E67914">
              <w:rPr>
                <w:rFonts w:ascii="Times New Roman" w:hAnsi="Times New Roman"/>
                <w:sz w:val="21"/>
                <w:szCs w:val="21"/>
                <w:lang w:eastAsia="zh-CN"/>
              </w:rPr>
              <w:t>6m</w:t>
            </w:r>
            <w:r w:rsidR="00EE5D65" w:rsidRPr="00E67914">
              <w:rPr>
                <w:rFonts w:ascii="Times New Roman" w:hAnsi="Times New Roman"/>
                <w:sz w:val="21"/>
                <w:szCs w:val="21"/>
                <w:lang w:eastAsia="zh-CN"/>
              </w:rPr>
              <w:t>放空立管放空</w:t>
            </w:r>
          </w:p>
        </w:tc>
        <w:tc>
          <w:tcPr>
            <w:tcW w:w="1134" w:type="dxa"/>
            <w:noWrap/>
            <w:vAlign w:val="center"/>
          </w:tcPr>
          <w:p w14:paraId="5C8A79F1"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废气、噪声</w:t>
            </w:r>
          </w:p>
        </w:tc>
        <w:tc>
          <w:tcPr>
            <w:tcW w:w="1359" w:type="dxa"/>
            <w:noWrap/>
            <w:vAlign w:val="center"/>
          </w:tcPr>
          <w:p w14:paraId="4774E964"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lang w:eastAsia="zh-CN"/>
              </w:rPr>
              <w:t>新建</w:t>
            </w:r>
          </w:p>
        </w:tc>
      </w:tr>
      <w:tr w:rsidR="002662E3" w:rsidRPr="00E67914" w14:paraId="4DA8400E" w14:textId="77777777">
        <w:trPr>
          <w:cantSplit/>
          <w:jc w:val="center"/>
        </w:trPr>
        <w:tc>
          <w:tcPr>
            <w:tcW w:w="1166" w:type="dxa"/>
            <w:vMerge/>
            <w:noWrap/>
            <w:vAlign w:val="center"/>
          </w:tcPr>
          <w:p w14:paraId="5AC36FC3" w14:textId="77777777" w:rsidR="00A54A8A" w:rsidRPr="00E67914" w:rsidRDefault="00A54A8A">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16A37185"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供配电</w:t>
            </w:r>
          </w:p>
        </w:tc>
        <w:tc>
          <w:tcPr>
            <w:tcW w:w="3827" w:type="dxa"/>
            <w:noWrap/>
            <w:vAlign w:val="center"/>
          </w:tcPr>
          <w:p w14:paraId="1746C174"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依托现有</w:t>
            </w:r>
            <w:r w:rsidRPr="00E67914">
              <w:rPr>
                <w:rFonts w:ascii="Times New Roman" w:hAnsi="Times New Roman"/>
                <w:sz w:val="21"/>
                <w:szCs w:val="21"/>
                <w:lang w:eastAsia="zh-CN"/>
              </w:rPr>
              <w:t>10kV</w:t>
            </w:r>
            <w:r w:rsidRPr="00E67914">
              <w:rPr>
                <w:rFonts w:ascii="Times New Roman" w:hAnsi="Times New Roman"/>
                <w:sz w:val="21"/>
                <w:szCs w:val="21"/>
                <w:lang w:eastAsia="zh-CN"/>
              </w:rPr>
              <w:t>已建电网</w:t>
            </w:r>
          </w:p>
        </w:tc>
        <w:tc>
          <w:tcPr>
            <w:tcW w:w="1134" w:type="dxa"/>
            <w:noWrap/>
            <w:vAlign w:val="center"/>
          </w:tcPr>
          <w:p w14:paraId="10783338"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w:t>
            </w:r>
          </w:p>
        </w:tc>
        <w:tc>
          <w:tcPr>
            <w:tcW w:w="1359" w:type="dxa"/>
            <w:noWrap/>
            <w:vAlign w:val="center"/>
          </w:tcPr>
          <w:p w14:paraId="6E51A808"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依托</w:t>
            </w:r>
          </w:p>
        </w:tc>
      </w:tr>
      <w:tr w:rsidR="002662E3" w:rsidRPr="00E67914" w14:paraId="7A935B14" w14:textId="77777777">
        <w:trPr>
          <w:cantSplit/>
          <w:jc w:val="center"/>
        </w:trPr>
        <w:tc>
          <w:tcPr>
            <w:tcW w:w="1166" w:type="dxa"/>
            <w:vMerge/>
            <w:noWrap/>
            <w:vAlign w:val="center"/>
          </w:tcPr>
          <w:p w14:paraId="4AAE2A62" w14:textId="77777777" w:rsidR="00A54A8A" w:rsidRPr="00E67914" w:rsidRDefault="00A54A8A">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169CCE84"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通讯工程</w:t>
            </w:r>
          </w:p>
        </w:tc>
        <w:tc>
          <w:tcPr>
            <w:tcW w:w="3827" w:type="dxa"/>
            <w:noWrap/>
            <w:vAlign w:val="center"/>
          </w:tcPr>
          <w:p w14:paraId="18AB5A6C"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新建通讯工程</w:t>
            </w:r>
          </w:p>
        </w:tc>
        <w:tc>
          <w:tcPr>
            <w:tcW w:w="1134" w:type="dxa"/>
            <w:noWrap/>
            <w:vAlign w:val="center"/>
          </w:tcPr>
          <w:p w14:paraId="00B8AB1E"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4789551F"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54EF398E" w14:textId="77777777">
        <w:trPr>
          <w:cantSplit/>
          <w:jc w:val="center"/>
        </w:trPr>
        <w:tc>
          <w:tcPr>
            <w:tcW w:w="1166" w:type="dxa"/>
            <w:vMerge/>
            <w:noWrap/>
            <w:vAlign w:val="center"/>
          </w:tcPr>
          <w:p w14:paraId="021A0B40" w14:textId="77777777" w:rsidR="00A54A8A" w:rsidRPr="00E67914" w:rsidRDefault="00A54A8A">
            <w:pPr>
              <w:widowControl w:val="0"/>
              <w:autoSpaceDE w:val="0"/>
              <w:autoSpaceDN w:val="0"/>
              <w:adjustRightInd w:val="0"/>
              <w:snapToGrid w:val="0"/>
              <w:jc w:val="center"/>
              <w:textAlignment w:val="baseline"/>
              <w:rPr>
                <w:rFonts w:ascii="Times New Roman" w:hAnsi="Times New Roman"/>
                <w:sz w:val="21"/>
                <w:szCs w:val="21"/>
              </w:rPr>
            </w:pPr>
          </w:p>
        </w:tc>
        <w:tc>
          <w:tcPr>
            <w:tcW w:w="814" w:type="dxa"/>
            <w:noWrap/>
            <w:vAlign w:val="center"/>
          </w:tcPr>
          <w:p w14:paraId="3C2E48D4"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rPr>
            </w:pPr>
            <w:r w:rsidRPr="00E67914">
              <w:rPr>
                <w:rFonts w:ascii="Times New Roman" w:hAnsi="Times New Roman"/>
                <w:sz w:val="21"/>
                <w:szCs w:val="21"/>
              </w:rPr>
              <w:t>自动控制</w:t>
            </w:r>
          </w:p>
        </w:tc>
        <w:tc>
          <w:tcPr>
            <w:tcW w:w="3827" w:type="dxa"/>
            <w:noWrap/>
            <w:vAlign w:val="center"/>
          </w:tcPr>
          <w:p w14:paraId="56ACB7CC"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设置</w:t>
            </w:r>
            <w:r w:rsidRPr="00E67914">
              <w:rPr>
                <w:rFonts w:ascii="Times New Roman" w:hAnsi="Times New Roman"/>
                <w:sz w:val="21"/>
                <w:szCs w:val="21"/>
                <w:lang w:eastAsia="zh-CN"/>
              </w:rPr>
              <w:t>RTU</w:t>
            </w:r>
            <w:r w:rsidRPr="00E67914">
              <w:rPr>
                <w:rFonts w:ascii="Times New Roman" w:hAnsi="Times New Roman"/>
                <w:sz w:val="21"/>
                <w:szCs w:val="21"/>
                <w:lang w:eastAsia="zh-CN"/>
              </w:rPr>
              <w:t>系统，安装可燃气体探测器、硫化氢监测装置、摄像头和入侵检测报警装置</w:t>
            </w:r>
          </w:p>
        </w:tc>
        <w:tc>
          <w:tcPr>
            <w:tcW w:w="1134" w:type="dxa"/>
            <w:noWrap/>
            <w:vAlign w:val="center"/>
          </w:tcPr>
          <w:p w14:paraId="3B13E23B"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04DAB21A"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190A7E10" w14:textId="77777777">
        <w:trPr>
          <w:cantSplit/>
          <w:jc w:val="center"/>
        </w:trPr>
        <w:tc>
          <w:tcPr>
            <w:tcW w:w="1166" w:type="dxa"/>
            <w:vMerge/>
            <w:noWrap/>
            <w:vAlign w:val="center"/>
          </w:tcPr>
          <w:p w14:paraId="787FD992" w14:textId="77777777" w:rsidR="00A54A8A" w:rsidRPr="00E67914" w:rsidRDefault="00A54A8A">
            <w:pPr>
              <w:widowControl w:val="0"/>
              <w:autoSpaceDE w:val="0"/>
              <w:autoSpaceDN w:val="0"/>
              <w:adjustRightInd w:val="0"/>
              <w:snapToGrid w:val="0"/>
              <w:jc w:val="center"/>
              <w:textAlignment w:val="baseline"/>
              <w:rPr>
                <w:rFonts w:ascii="Times New Roman" w:hAnsi="Times New Roman"/>
                <w:sz w:val="21"/>
                <w:szCs w:val="21"/>
                <w:lang w:eastAsia="zh-CN"/>
              </w:rPr>
            </w:pPr>
          </w:p>
        </w:tc>
        <w:tc>
          <w:tcPr>
            <w:tcW w:w="814" w:type="dxa"/>
            <w:noWrap/>
            <w:vAlign w:val="center"/>
          </w:tcPr>
          <w:p w14:paraId="5BCA9FD6"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rPr>
              <w:t>消防系统</w:t>
            </w:r>
          </w:p>
        </w:tc>
        <w:tc>
          <w:tcPr>
            <w:tcW w:w="3827" w:type="dxa"/>
            <w:noWrap/>
            <w:vAlign w:val="center"/>
          </w:tcPr>
          <w:p w14:paraId="0762C0DE"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场站内配置</w:t>
            </w:r>
            <w:r w:rsidRPr="00E67914">
              <w:rPr>
                <w:rFonts w:ascii="Times New Roman" w:hAnsi="Times New Roman"/>
                <w:sz w:val="21"/>
                <w:szCs w:val="21"/>
                <w:lang w:eastAsia="zh-CN"/>
              </w:rPr>
              <w:t>4</w:t>
            </w:r>
            <w:r w:rsidRPr="00E67914">
              <w:rPr>
                <w:rFonts w:ascii="Times New Roman" w:hAnsi="Times New Roman"/>
                <w:sz w:val="21"/>
                <w:szCs w:val="21"/>
                <w:lang w:eastAsia="zh-CN"/>
              </w:rPr>
              <w:t>具</w:t>
            </w:r>
            <w:r w:rsidRPr="00E67914">
              <w:rPr>
                <w:rFonts w:ascii="Times New Roman" w:hAnsi="Times New Roman"/>
                <w:sz w:val="21"/>
                <w:szCs w:val="21"/>
                <w:lang w:eastAsia="zh-CN"/>
              </w:rPr>
              <w:t>MF/ABC8</w:t>
            </w:r>
            <w:r w:rsidRPr="00E67914">
              <w:rPr>
                <w:rFonts w:ascii="Times New Roman" w:hAnsi="Times New Roman"/>
                <w:sz w:val="21"/>
                <w:szCs w:val="21"/>
                <w:lang w:eastAsia="zh-CN"/>
              </w:rPr>
              <w:t>手提式干粉灭火器和</w:t>
            </w:r>
            <w:r w:rsidRPr="00E67914">
              <w:rPr>
                <w:rFonts w:ascii="Times New Roman" w:hAnsi="Times New Roman"/>
                <w:sz w:val="21"/>
                <w:szCs w:val="21"/>
                <w:lang w:eastAsia="zh-CN"/>
              </w:rPr>
              <w:t>1</w:t>
            </w:r>
            <w:r w:rsidRPr="00E67914">
              <w:rPr>
                <w:rFonts w:ascii="Times New Roman" w:hAnsi="Times New Roman"/>
                <w:sz w:val="21"/>
                <w:szCs w:val="21"/>
                <w:lang w:eastAsia="zh-CN"/>
              </w:rPr>
              <w:t>台</w:t>
            </w:r>
            <w:r w:rsidRPr="00E67914">
              <w:rPr>
                <w:rFonts w:ascii="Times New Roman" w:hAnsi="Times New Roman"/>
                <w:sz w:val="21"/>
                <w:szCs w:val="21"/>
                <w:lang w:eastAsia="zh-CN"/>
              </w:rPr>
              <w:t>MFT/ABC20</w:t>
            </w:r>
            <w:r w:rsidRPr="00E67914">
              <w:rPr>
                <w:rFonts w:ascii="Times New Roman" w:hAnsi="Times New Roman"/>
                <w:sz w:val="21"/>
                <w:szCs w:val="21"/>
                <w:lang w:eastAsia="zh-CN"/>
              </w:rPr>
              <w:t>推车式干粉灭火器</w:t>
            </w:r>
          </w:p>
        </w:tc>
        <w:tc>
          <w:tcPr>
            <w:tcW w:w="1134" w:type="dxa"/>
            <w:noWrap/>
            <w:vAlign w:val="center"/>
          </w:tcPr>
          <w:p w14:paraId="728DBC3E"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427B8E2F"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142691B6" w14:textId="77777777">
        <w:trPr>
          <w:cantSplit/>
          <w:jc w:val="center"/>
        </w:trPr>
        <w:tc>
          <w:tcPr>
            <w:tcW w:w="1166" w:type="dxa"/>
            <w:noWrap/>
            <w:vAlign w:val="center"/>
          </w:tcPr>
          <w:p w14:paraId="4292EF4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办公生活设施</w:t>
            </w:r>
          </w:p>
        </w:tc>
        <w:tc>
          <w:tcPr>
            <w:tcW w:w="4641" w:type="dxa"/>
            <w:gridSpan w:val="2"/>
            <w:noWrap/>
            <w:vAlign w:val="center"/>
          </w:tcPr>
          <w:p w14:paraId="19F13003" w14:textId="28A024F7" w:rsidR="00A54A8A" w:rsidRPr="00E67914" w:rsidRDefault="00734F48" w:rsidP="0012156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试采期</w:t>
            </w:r>
            <w:r w:rsidR="00121564" w:rsidRPr="00E67914">
              <w:rPr>
                <w:rFonts w:ascii="Times New Roman" w:hAnsi="Times New Roman"/>
                <w:sz w:val="21"/>
                <w:szCs w:val="21"/>
                <w:lang w:eastAsia="zh-CN"/>
              </w:rPr>
              <w:t>按照无人值守进行设计</w:t>
            </w:r>
          </w:p>
        </w:tc>
        <w:tc>
          <w:tcPr>
            <w:tcW w:w="1134" w:type="dxa"/>
            <w:noWrap/>
            <w:vAlign w:val="center"/>
          </w:tcPr>
          <w:p w14:paraId="54CB9AB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1359" w:type="dxa"/>
            <w:noWrap/>
            <w:vAlign w:val="center"/>
          </w:tcPr>
          <w:p w14:paraId="21FA233D" w14:textId="41A41089" w:rsidR="00A54A8A" w:rsidRPr="00E67914" w:rsidRDefault="00734F48">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w:t>
            </w:r>
          </w:p>
        </w:tc>
      </w:tr>
      <w:tr w:rsidR="002662E3" w:rsidRPr="00E67914" w14:paraId="5920DF9F" w14:textId="77777777">
        <w:trPr>
          <w:cantSplit/>
          <w:jc w:val="center"/>
        </w:trPr>
        <w:tc>
          <w:tcPr>
            <w:tcW w:w="1166" w:type="dxa"/>
            <w:vMerge w:val="restart"/>
            <w:noWrap/>
            <w:vAlign w:val="center"/>
          </w:tcPr>
          <w:p w14:paraId="26B0AF9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环保工程</w:t>
            </w:r>
          </w:p>
        </w:tc>
        <w:tc>
          <w:tcPr>
            <w:tcW w:w="814" w:type="dxa"/>
            <w:noWrap/>
            <w:vAlign w:val="center"/>
          </w:tcPr>
          <w:p w14:paraId="634CD75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废气</w:t>
            </w:r>
          </w:p>
        </w:tc>
        <w:tc>
          <w:tcPr>
            <w:tcW w:w="3827" w:type="dxa"/>
            <w:vAlign w:val="center"/>
          </w:tcPr>
          <w:p w14:paraId="15EF351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水套加热炉燃烧废气：通过水套加热炉自带的</w:t>
            </w:r>
            <w:r w:rsidRPr="00E67914">
              <w:rPr>
                <w:rFonts w:ascii="Times New Roman" w:hAnsi="Times New Roman"/>
                <w:sz w:val="21"/>
                <w:szCs w:val="21"/>
                <w:lang w:eastAsia="zh-CN"/>
              </w:rPr>
              <w:t>8m</w:t>
            </w:r>
            <w:r w:rsidRPr="00E67914">
              <w:rPr>
                <w:rFonts w:ascii="Times New Roman" w:hAnsi="Times New Roman"/>
                <w:sz w:val="21"/>
                <w:szCs w:val="21"/>
                <w:lang w:eastAsia="zh-CN"/>
              </w:rPr>
              <w:t>高排气筒外排</w:t>
            </w:r>
          </w:p>
          <w:p w14:paraId="14D4D4E7" w14:textId="476E35EB" w:rsidR="00A54A8A" w:rsidRPr="00E67914" w:rsidRDefault="00000000">
            <w:pPr>
              <w:adjustRightInd w:val="0"/>
              <w:snapToGrid w:val="0"/>
              <w:jc w:val="center"/>
              <w:rPr>
                <w:rFonts w:ascii="Times New Roman" w:hAnsi="Times New Roman"/>
                <w:lang w:eastAsia="zh-CN"/>
              </w:rPr>
            </w:pPr>
            <w:r w:rsidRPr="00E67914">
              <w:rPr>
                <w:rFonts w:ascii="Times New Roman" w:hAnsi="Times New Roman"/>
                <w:sz w:val="21"/>
                <w:szCs w:val="21"/>
                <w:lang w:eastAsia="zh-CN"/>
              </w:rPr>
              <w:t>检修放散废气：</w:t>
            </w:r>
            <w:r w:rsidR="007B08D3" w:rsidRPr="00E67914">
              <w:rPr>
                <w:rFonts w:ascii="Times New Roman" w:hAnsi="Times New Roman"/>
                <w:sz w:val="21"/>
                <w:szCs w:val="21"/>
                <w:lang w:eastAsia="zh-CN"/>
              </w:rPr>
              <w:t>引至放喷池点火燃烧</w:t>
            </w:r>
            <w:r w:rsidRPr="00E67914">
              <w:rPr>
                <w:rFonts w:ascii="Times New Roman" w:hAnsi="Times New Roman"/>
                <w:sz w:val="21"/>
                <w:szCs w:val="21"/>
                <w:lang w:eastAsia="zh-CN"/>
              </w:rPr>
              <w:t>排放</w:t>
            </w:r>
          </w:p>
        </w:tc>
        <w:tc>
          <w:tcPr>
            <w:tcW w:w="1134" w:type="dxa"/>
            <w:noWrap/>
            <w:vAlign w:val="center"/>
          </w:tcPr>
          <w:p w14:paraId="43F86D12"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2C7D2C7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330E590F" w14:textId="77777777">
        <w:trPr>
          <w:cantSplit/>
          <w:jc w:val="center"/>
        </w:trPr>
        <w:tc>
          <w:tcPr>
            <w:tcW w:w="1166" w:type="dxa"/>
            <w:vMerge/>
            <w:noWrap/>
            <w:vAlign w:val="center"/>
          </w:tcPr>
          <w:p w14:paraId="5D2FCEA5" w14:textId="77777777" w:rsidR="00A54A8A" w:rsidRPr="00E67914" w:rsidRDefault="00A54A8A">
            <w:pPr>
              <w:adjustRightInd w:val="0"/>
              <w:snapToGrid w:val="0"/>
              <w:jc w:val="center"/>
              <w:rPr>
                <w:rFonts w:ascii="Times New Roman" w:hAnsi="Times New Roman"/>
                <w:sz w:val="21"/>
                <w:szCs w:val="21"/>
                <w:lang w:eastAsia="zh-CN"/>
              </w:rPr>
            </w:pPr>
          </w:p>
        </w:tc>
        <w:tc>
          <w:tcPr>
            <w:tcW w:w="814" w:type="dxa"/>
            <w:noWrap/>
            <w:vAlign w:val="center"/>
          </w:tcPr>
          <w:p w14:paraId="0E1781C3"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废水</w:t>
            </w:r>
          </w:p>
        </w:tc>
        <w:tc>
          <w:tcPr>
            <w:tcW w:w="3827" w:type="dxa"/>
            <w:vAlign w:val="center"/>
          </w:tcPr>
          <w:p w14:paraId="36D9C5F2" w14:textId="1C6D6730"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分离器分离的气田水进入</w:t>
            </w:r>
            <w:r w:rsidR="00A9536E" w:rsidRPr="00E67914">
              <w:rPr>
                <w:rFonts w:ascii="Times New Roman" w:hAnsi="Times New Roman"/>
                <w:sz w:val="21"/>
                <w:szCs w:val="21"/>
                <w:lang w:eastAsia="zh-CN"/>
              </w:rPr>
              <w:t>放空分液罐、采出水罐</w:t>
            </w:r>
            <w:r w:rsidRPr="00E67914">
              <w:rPr>
                <w:rFonts w:ascii="Times New Roman" w:hAnsi="Times New Roman"/>
                <w:sz w:val="21"/>
                <w:szCs w:val="21"/>
                <w:lang w:eastAsia="zh-CN"/>
              </w:rPr>
              <w:t>暂存，暂存一定量后密闭罐车运至赵家坝污水处理站处理达到《气田水回注方法》（</w:t>
            </w:r>
            <w:r w:rsidRPr="00E67914">
              <w:rPr>
                <w:rFonts w:ascii="Times New Roman" w:hAnsi="Times New Roman"/>
                <w:sz w:val="21"/>
                <w:szCs w:val="21"/>
                <w:lang w:eastAsia="zh-CN"/>
              </w:rPr>
              <w:t>SY/T 6596-2016</w:t>
            </w:r>
            <w:r w:rsidRPr="00E67914">
              <w:rPr>
                <w:rFonts w:ascii="Times New Roman" w:hAnsi="Times New Roman"/>
                <w:sz w:val="21"/>
                <w:szCs w:val="21"/>
                <w:lang w:eastAsia="zh-CN"/>
              </w:rPr>
              <w:t>）中注入水基本要求后管输至普光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井回注站回注处理，不外排</w:t>
            </w:r>
          </w:p>
        </w:tc>
        <w:tc>
          <w:tcPr>
            <w:tcW w:w="1134" w:type="dxa"/>
            <w:noWrap/>
            <w:vAlign w:val="center"/>
          </w:tcPr>
          <w:p w14:paraId="5B8B9FE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1682CD65"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2498A7C8" w14:textId="77777777">
        <w:trPr>
          <w:cantSplit/>
          <w:jc w:val="center"/>
        </w:trPr>
        <w:tc>
          <w:tcPr>
            <w:tcW w:w="1166" w:type="dxa"/>
            <w:vMerge/>
            <w:noWrap/>
            <w:vAlign w:val="center"/>
          </w:tcPr>
          <w:p w14:paraId="487B6539" w14:textId="77777777" w:rsidR="00A54A8A" w:rsidRPr="00E67914" w:rsidRDefault="00A54A8A">
            <w:pPr>
              <w:adjustRightInd w:val="0"/>
              <w:snapToGrid w:val="0"/>
              <w:jc w:val="center"/>
              <w:rPr>
                <w:rFonts w:ascii="Times New Roman" w:hAnsi="Times New Roman"/>
                <w:sz w:val="21"/>
                <w:szCs w:val="21"/>
                <w:lang w:eastAsia="zh-CN"/>
              </w:rPr>
            </w:pPr>
          </w:p>
        </w:tc>
        <w:tc>
          <w:tcPr>
            <w:tcW w:w="814" w:type="dxa"/>
            <w:noWrap/>
            <w:vAlign w:val="center"/>
          </w:tcPr>
          <w:p w14:paraId="40E70E34"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固废</w:t>
            </w:r>
          </w:p>
        </w:tc>
        <w:tc>
          <w:tcPr>
            <w:tcW w:w="3827" w:type="dxa"/>
            <w:vAlign w:val="center"/>
          </w:tcPr>
          <w:p w14:paraId="7B18BA34"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1134" w:type="dxa"/>
            <w:noWrap/>
            <w:vAlign w:val="center"/>
          </w:tcPr>
          <w:p w14:paraId="7EAC4A82"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32B3538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w:t>
            </w:r>
          </w:p>
        </w:tc>
      </w:tr>
      <w:tr w:rsidR="002662E3" w:rsidRPr="00E67914" w14:paraId="787E3F9A" w14:textId="77777777">
        <w:trPr>
          <w:cantSplit/>
          <w:jc w:val="center"/>
        </w:trPr>
        <w:tc>
          <w:tcPr>
            <w:tcW w:w="1166" w:type="dxa"/>
            <w:vMerge/>
            <w:noWrap/>
            <w:vAlign w:val="center"/>
          </w:tcPr>
          <w:p w14:paraId="0F69648C" w14:textId="77777777" w:rsidR="00A54A8A" w:rsidRPr="00E67914" w:rsidRDefault="00A54A8A">
            <w:pPr>
              <w:adjustRightInd w:val="0"/>
              <w:snapToGrid w:val="0"/>
              <w:jc w:val="center"/>
              <w:rPr>
                <w:rFonts w:ascii="Times New Roman" w:hAnsi="Times New Roman"/>
                <w:sz w:val="21"/>
                <w:szCs w:val="21"/>
                <w:lang w:eastAsia="zh-CN"/>
              </w:rPr>
            </w:pPr>
          </w:p>
        </w:tc>
        <w:tc>
          <w:tcPr>
            <w:tcW w:w="814" w:type="dxa"/>
            <w:noWrap/>
            <w:vAlign w:val="center"/>
          </w:tcPr>
          <w:p w14:paraId="59430DD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风险</w:t>
            </w:r>
          </w:p>
        </w:tc>
        <w:tc>
          <w:tcPr>
            <w:tcW w:w="3827" w:type="dxa"/>
            <w:vAlign w:val="center"/>
          </w:tcPr>
          <w:p w14:paraId="7C781AFF" w14:textId="5BD0BE80"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事故放空：事故状态下站场内天然气</w:t>
            </w:r>
            <w:r w:rsidR="007B08D3" w:rsidRPr="00E67914">
              <w:rPr>
                <w:rFonts w:ascii="Times New Roman" w:hAnsi="Times New Roman"/>
                <w:sz w:val="21"/>
                <w:szCs w:val="21"/>
                <w:lang w:eastAsia="zh-CN"/>
              </w:rPr>
              <w:t>引至放喷池点火燃烧排放</w:t>
            </w:r>
          </w:p>
        </w:tc>
        <w:tc>
          <w:tcPr>
            <w:tcW w:w="1134" w:type="dxa"/>
            <w:noWrap/>
            <w:vAlign w:val="center"/>
          </w:tcPr>
          <w:p w14:paraId="26B0939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5F19B694"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新建</w:t>
            </w:r>
          </w:p>
        </w:tc>
      </w:tr>
      <w:tr w:rsidR="002662E3" w:rsidRPr="00E67914" w14:paraId="57FDD138" w14:textId="77777777">
        <w:trPr>
          <w:cantSplit/>
          <w:jc w:val="center"/>
        </w:trPr>
        <w:tc>
          <w:tcPr>
            <w:tcW w:w="1166" w:type="dxa"/>
            <w:vMerge/>
            <w:noWrap/>
            <w:vAlign w:val="center"/>
          </w:tcPr>
          <w:p w14:paraId="1E5AF01B" w14:textId="77777777" w:rsidR="00A54A8A" w:rsidRPr="00E67914" w:rsidRDefault="00A54A8A">
            <w:pPr>
              <w:adjustRightInd w:val="0"/>
              <w:snapToGrid w:val="0"/>
              <w:jc w:val="center"/>
              <w:rPr>
                <w:rFonts w:ascii="Times New Roman" w:hAnsi="Times New Roman"/>
                <w:sz w:val="21"/>
                <w:szCs w:val="21"/>
                <w:lang w:eastAsia="zh-CN"/>
              </w:rPr>
            </w:pPr>
          </w:p>
        </w:tc>
        <w:tc>
          <w:tcPr>
            <w:tcW w:w="814" w:type="dxa"/>
            <w:noWrap/>
            <w:vAlign w:val="center"/>
          </w:tcPr>
          <w:p w14:paraId="21BA0AB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生态保护</w:t>
            </w:r>
          </w:p>
        </w:tc>
        <w:tc>
          <w:tcPr>
            <w:tcW w:w="3827" w:type="dxa"/>
            <w:vAlign w:val="center"/>
          </w:tcPr>
          <w:p w14:paraId="7939A5DB"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站场周边修建排水沟，进行绿化建设</w:t>
            </w:r>
          </w:p>
        </w:tc>
        <w:tc>
          <w:tcPr>
            <w:tcW w:w="1134" w:type="dxa"/>
            <w:noWrap/>
            <w:vAlign w:val="center"/>
          </w:tcPr>
          <w:p w14:paraId="339CB62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1E059A5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依托</w:t>
            </w:r>
            <w:r w:rsidRPr="00E67914">
              <w:rPr>
                <w:rFonts w:ascii="Times New Roman" w:hAnsi="Times New Roman"/>
                <w:sz w:val="21"/>
                <w:szCs w:val="21"/>
                <w:lang w:eastAsia="zh-CN"/>
              </w:rPr>
              <w:t>+</w:t>
            </w:r>
            <w:r w:rsidRPr="00E67914">
              <w:rPr>
                <w:rFonts w:ascii="Times New Roman" w:hAnsi="Times New Roman"/>
                <w:sz w:val="21"/>
                <w:szCs w:val="21"/>
                <w:lang w:eastAsia="zh-CN"/>
              </w:rPr>
              <w:t>新建</w:t>
            </w:r>
          </w:p>
        </w:tc>
      </w:tr>
      <w:tr w:rsidR="002662E3" w:rsidRPr="00E67914" w14:paraId="4B31A4FA" w14:textId="77777777">
        <w:trPr>
          <w:cantSplit/>
          <w:jc w:val="center"/>
        </w:trPr>
        <w:tc>
          <w:tcPr>
            <w:tcW w:w="1166" w:type="dxa"/>
            <w:noWrap/>
            <w:vAlign w:val="center"/>
          </w:tcPr>
          <w:p w14:paraId="3F50293C"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风险防范措施</w:t>
            </w:r>
          </w:p>
        </w:tc>
        <w:tc>
          <w:tcPr>
            <w:tcW w:w="4641" w:type="dxa"/>
            <w:gridSpan w:val="2"/>
            <w:noWrap/>
            <w:vAlign w:val="center"/>
          </w:tcPr>
          <w:p w14:paraId="014ABF1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项目建成后运行过程中风险依托现有设施、设备，应急预案依托项目所属的中国石油化工股份有限公司中原油田普光分公司编制的应急预案</w:t>
            </w:r>
          </w:p>
        </w:tc>
        <w:tc>
          <w:tcPr>
            <w:tcW w:w="1134" w:type="dxa"/>
            <w:noWrap/>
            <w:vAlign w:val="center"/>
          </w:tcPr>
          <w:p w14:paraId="2B92669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w:t>
            </w:r>
          </w:p>
        </w:tc>
        <w:tc>
          <w:tcPr>
            <w:tcW w:w="1359" w:type="dxa"/>
            <w:noWrap/>
            <w:vAlign w:val="center"/>
          </w:tcPr>
          <w:p w14:paraId="2A77A64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r>
    </w:tbl>
    <w:p w14:paraId="4A92E419"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3.2.4</w:t>
      </w:r>
      <w:r w:rsidRPr="00E67914">
        <w:rPr>
          <w:rFonts w:ascii="Times New Roman" w:eastAsia="黑体" w:hAnsi="Times New Roman"/>
          <w:b w:val="0"/>
          <w:sz w:val="24"/>
          <w:szCs w:val="24"/>
          <w:lang w:eastAsia="zh-CN"/>
        </w:rPr>
        <w:t>主要设备</w:t>
      </w:r>
    </w:p>
    <w:p w14:paraId="00456A01" w14:textId="77777777" w:rsidR="00A54A8A" w:rsidRPr="00E67914" w:rsidRDefault="00000000">
      <w:pPr>
        <w:widowControl w:val="0"/>
        <w:autoSpaceDE w:val="0"/>
        <w:autoSpaceDN w:val="0"/>
        <w:adjustRightInd w:val="0"/>
        <w:snapToGrid w:val="0"/>
        <w:spacing w:line="360" w:lineRule="auto"/>
        <w:ind w:firstLineChars="200" w:firstLine="480"/>
        <w:jc w:val="both"/>
        <w:textAlignment w:val="baseline"/>
        <w:rPr>
          <w:rFonts w:ascii="Times New Roman" w:eastAsia="黑体" w:hAnsi="Times New Roman"/>
          <w:sz w:val="24"/>
          <w:szCs w:val="24"/>
          <w:lang w:eastAsia="zh-CN"/>
        </w:rPr>
      </w:pPr>
      <w:bookmarkStart w:id="67" w:name="3.2.3原辅材料及用量"/>
      <w:bookmarkStart w:id="68" w:name="3.2.4总平面布置及其合理性分析"/>
      <w:bookmarkStart w:id="69" w:name="3.2.5公用工程"/>
      <w:bookmarkEnd w:id="67"/>
      <w:bookmarkEnd w:id="68"/>
      <w:bookmarkEnd w:id="69"/>
      <w:r w:rsidRPr="00E67914">
        <w:rPr>
          <w:rFonts w:ascii="Times New Roman" w:eastAsia="黑体" w:hAnsi="Times New Roman"/>
          <w:sz w:val="24"/>
          <w:szCs w:val="24"/>
          <w:lang w:eastAsia="zh-CN"/>
        </w:rPr>
        <w:t>1</w:t>
      </w:r>
      <w:r w:rsidRPr="00E67914">
        <w:rPr>
          <w:rFonts w:ascii="Times New Roman" w:eastAsia="黑体" w:hAnsi="Times New Roman"/>
          <w:sz w:val="24"/>
          <w:szCs w:val="24"/>
          <w:lang w:eastAsia="zh-CN"/>
        </w:rPr>
        <w:t>、施工期</w:t>
      </w:r>
    </w:p>
    <w:p w14:paraId="02005074" w14:textId="4037833D" w:rsidR="00A54A8A" w:rsidRPr="00E67914" w:rsidRDefault="00000000">
      <w:pPr>
        <w:widowControl w:val="0"/>
        <w:autoSpaceDE w:val="0"/>
        <w:autoSpaceDN w:val="0"/>
        <w:adjustRightInd w:val="0"/>
        <w:snapToGrid w:val="0"/>
        <w:spacing w:line="360" w:lineRule="auto"/>
        <w:ind w:firstLineChars="200" w:firstLine="480"/>
        <w:jc w:val="both"/>
        <w:textAlignment w:val="baseline"/>
        <w:rPr>
          <w:rFonts w:ascii="Times New Roman" w:hAnsi="Times New Roman"/>
          <w:sz w:val="24"/>
          <w:szCs w:val="24"/>
          <w:lang w:eastAsia="zh-CN"/>
        </w:rPr>
      </w:pPr>
      <w:r w:rsidRPr="00E67914">
        <w:rPr>
          <w:rFonts w:ascii="Times New Roman" w:hAnsi="Times New Roman"/>
          <w:sz w:val="24"/>
          <w:szCs w:val="24"/>
          <w:lang w:eastAsia="zh-CN"/>
        </w:rPr>
        <w:t>本项目根据项目所在地地层实际情况，本项目采用机械钻机，为</w:t>
      </w:r>
      <w:r w:rsidRPr="00E67914">
        <w:rPr>
          <w:rFonts w:ascii="Times New Roman" w:hAnsi="Times New Roman"/>
          <w:sz w:val="24"/>
          <w:szCs w:val="24"/>
          <w:lang w:eastAsia="zh-CN"/>
        </w:rPr>
        <w:t>ZJ50</w:t>
      </w:r>
      <w:r w:rsidRPr="00E67914">
        <w:rPr>
          <w:rFonts w:ascii="Times New Roman" w:hAnsi="Times New Roman"/>
          <w:sz w:val="24"/>
          <w:szCs w:val="24"/>
          <w:lang w:eastAsia="zh-CN"/>
        </w:rPr>
        <w:t>钻机，并配备顶驱装置。井架设备和井场监控自动化设备共用，泥浆钻井系统（含现</w:t>
      </w:r>
      <w:r w:rsidRPr="00E67914">
        <w:rPr>
          <w:rFonts w:ascii="Times New Roman" w:hAnsi="Times New Roman"/>
          <w:sz w:val="24"/>
          <w:szCs w:val="24"/>
          <w:lang w:eastAsia="zh-CN"/>
        </w:rPr>
        <w:lastRenderedPageBreak/>
        <w:t>场泥浆的调配、储存、循环以及钻井时的井控设施等）独立配置。项目</w:t>
      </w:r>
      <w:r w:rsidR="00067E4D" w:rsidRPr="00E67914">
        <w:rPr>
          <w:rFonts w:ascii="Times New Roman" w:hAnsi="Times New Roman"/>
          <w:sz w:val="24"/>
          <w:szCs w:val="24"/>
          <w:lang w:eastAsia="zh-CN"/>
        </w:rPr>
        <w:t>钻井工程</w:t>
      </w:r>
      <w:r w:rsidRPr="00E67914">
        <w:rPr>
          <w:rFonts w:ascii="Times New Roman" w:hAnsi="Times New Roman"/>
          <w:sz w:val="24"/>
          <w:szCs w:val="24"/>
          <w:lang w:eastAsia="zh-CN"/>
        </w:rPr>
        <w:t>所用设备见表</w:t>
      </w:r>
      <w:r w:rsidRPr="00E67914">
        <w:rPr>
          <w:rFonts w:ascii="Times New Roman" w:hAnsi="Times New Roman"/>
          <w:sz w:val="24"/>
          <w:szCs w:val="24"/>
          <w:lang w:eastAsia="zh-CN"/>
        </w:rPr>
        <w:t>3.2-8</w:t>
      </w:r>
      <w:r w:rsidRPr="00E67914">
        <w:rPr>
          <w:rFonts w:ascii="Times New Roman" w:hAnsi="Times New Roman"/>
          <w:sz w:val="24"/>
          <w:szCs w:val="24"/>
          <w:lang w:eastAsia="zh-CN"/>
        </w:rPr>
        <w:t>。</w:t>
      </w:r>
    </w:p>
    <w:p w14:paraId="611B2C6F"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3.2-8  </w:t>
      </w:r>
      <w:r w:rsidRPr="00E67914">
        <w:rPr>
          <w:rFonts w:ascii="Times New Roman" w:eastAsia="黑体" w:hAnsi="Times New Roman"/>
          <w:sz w:val="21"/>
          <w:szCs w:val="21"/>
          <w:lang w:eastAsia="zh-CN"/>
        </w:rPr>
        <w:t>本项目钻井工程所用主要设施一览表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3"/>
        <w:gridCol w:w="2808"/>
        <w:gridCol w:w="1719"/>
        <w:gridCol w:w="1465"/>
        <w:gridCol w:w="1535"/>
      </w:tblGrid>
      <w:tr w:rsidR="00E67914" w:rsidRPr="00E67914" w14:paraId="77C7315B" w14:textId="77777777">
        <w:trPr>
          <w:cantSplit/>
          <w:trHeight w:val="241"/>
          <w:jc w:val="center"/>
        </w:trPr>
        <w:tc>
          <w:tcPr>
            <w:tcW w:w="0" w:type="auto"/>
            <w:vMerge w:val="restart"/>
            <w:vAlign w:val="center"/>
          </w:tcPr>
          <w:p w14:paraId="6A8492AD" w14:textId="77777777" w:rsidR="00A54A8A" w:rsidRPr="00E67914" w:rsidRDefault="00000000">
            <w:pPr>
              <w:pStyle w:val="affffff"/>
              <w:rPr>
                <w:b/>
                <w:bCs/>
              </w:rPr>
            </w:pPr>
            <w:r w:rsidRPr="00E67914">
              <w:rPr>
                <w:b/>
                <w:bCs/>
              </w:rPr>
              <w:t>序号</w:t>
            </w:r>
          </w:p>
        </w:tc>
        <w:tc>
          <w:tcPr>
            <w:tcW w:w="0" w:type="auto"/>
            <w:vMerge w:val="restart"/>
            <w:vAlign w:val="center"/>
          </w:tcPr>
          <w:p w14:paraId="7AFBD421" w14:textId="77777777" w:rsidR="00A54A8A" w:rsidRPr="00E67914" w:rsidRDefault="00000000">
            <w:pPr>
              <w:pStyle w:val="affffff"/>
              <w:rPr>
                <w:b/>
                <w:bCs/>
              </w:rPr>
            </w:pPr>
            <w:r w:rsidRPr="00E67914">
              <w:rPr>
                <w:b/>
                <w:bCs/>
              </w:rPr>
              <w:t>设备或部件名称</w:t>
            </w:r>
          </w:p>
        </w:tc>
        <w:tc>
          <w:tcPr>
            <w:tcW w:w="0" w:type="auto"/>
            <w:vMerge w:val="restart"/>
            <w:vAlign w:val="center"/>
          </w:tcPr>
          <w:p w14:paraId="2A05FBA9" w14:textId="77777777" w:rsidR="00A54A8A" w:rsidRPr="00E67914" w:rsidRDefault="00000000">
            <w:pPr>
              <w:pStyle w:val="affffff"/>
              <w:rPr>
                <w:b/>
                <w:bCs/>
              </w:rPr>
            </w:pPr>
            <w:r w:rsidRPr="00E67914">
              <w:rPr>
                <w:b/>
                <w:bCs/>
              </w:rPr>
              <w:t>规格型号</w:t>
            </w:r>
          </w:p>
        </w:tc>
        <w:tc>
          <w:tcPr>
            <w:tcW w:w="0" w:type="auto"/>
            <w:vMerge w:val="restart"/>
            <w:vAlign w:val="center"/>
          </w:tcPr>
          <w:p w14:paraId="42945E08" w14:textId="77777777" w:rsidR="00A54A8A" w:rsidRPr="00E67914" w:rsidRDefault="00000000">
            <w:pPr>
              <w:pStyle w:val="affffff"/>
              <w:rPr>
                <w:b/>
                <w:bCs/>
              </w:rPr>
            </w:pPr>
            <w:r w:rsidRPr="00E67914">
              <w:rPr>
                <w:b/>
                <w:bCs/>
              </w:rPr>
              <w:t>主参数</w:t>
            </w:r>
          </w:p>
        </w:tc>
        <w:tc>
          <w:tcPr>
            <w:tcW w:w="0" w:type="auto"/>
            <w:vMerge w:val="restart"/>
            <w:vAlign w:val="center"/>
          </w:tcPr>
          <w:p w14:paraId="50E8385D" w14:textId="77777777" w:rsidR="00A54A8A" w:rsidRPr="00E67914" w:rsidRDefault="00000000">
            <w:pPr>
              <w:pStyle w:val="affffff"/>
              <w:rPr>
                <w:b/>
                <w:bCs/>
              </w:rPr>
            </w:pPr>
            <w:r w:rsidRPr="00E67914">
              <w:rPr>
                <w:b/>
                <w:bCs/>
              </w:rPr>
              <w:t>台</w:t>
            </w:r>
          </w:p>
        </w:tc>
      </w:tr>
      <w:tr w:rsidR="00E67914" w:rsidRPr="00E67914" w14:paraId="18BCF14F" w14:textId="77777777">
        <w:trPr>
          <w:cantSplit/>
          <w:trHeight w:val="241"/>
          <w:jc w:val="center"/>
        </w:trPr>
        <w:tc>
          <w:tcPr>
            <w:tcW w:w="0" w:type="auto"/>
            <w:vMerge/>
            <w:vAlign w:val="center"/>
          </w:tcPr>
          <w:p w14:paraId="2FBD6DA4" w14:textId="77777777" w:rsidR="00A54A8A" w:rsidRPr="00E67914" w:rsidRDefault="00A54A8A">
            <w:pPr>
              <w:pStyle w:val="affffff"/>
              <w:rPr>
                <w:b/>
                <w:bCs/>
              </w:rPr>
            </w:pPr>
          </w:p>
        </w:tc>
        <w:tc>
          <w:tcPr>
            <w:tcW w:w="0" w:type="auto"/>
            <w:vMerge/>
            <w:vAlign w:val="center"/>
          </w:tcPr>
          <w:p w14:paraId="1123F08B" w14:textId="77777777" w:rsidR="00A54A8A" w:rsidRPr="00E67914" w:rsidRDefault="00A54A8A">
            <w:pPr>
              <w:pStyle w:val="affffff"/>
              <w:rPr>
                <w:b/>
                <w:bCs/>
              </w:rPr>
            </w:pPr>
          </w:p>
        </w:tc>
        <w:tc>
          <w:tcPr>
            <w:tcW w:w="0" w:type="auto"/>
            <w:vMerge/>
            <w:vAlign w:val="center"/>
          </w:tcPr>
          <w:p w14:paraId="2ACFAE4F" w14:textId="77777777" w:rsidR="00A54A8A" w:rsidRPr="00E67914" w:rsidRDefault="00A54A8A">
            <w:pPr>
              <w:pStyle w:val="affffff"/>
              <w:rPr>
                <w:b/>
                <w:bCs/>
              </w:rPr>
            </w:pPr>
          </w:p>
        </w:tc>
        <w:tc>
          <w:tcPr>
            <w:tcW w:w="0" w:type="auto"/>
            <w:vMerge/>
            <w:vAlign w:val="center"/>
          </w:tcPr>
          <w:p w14:paraId="7C5ECDCF" w14:textId="77777777" w:rsidR="00A54A8A" w:rsidRPr="00E67914" w:rsidRDefault="00A54A8A">
            <w:pPr>
              <w:pStyle w:val="affffff"/>
              <w:rPr>
                <w:b/>
                <w:bCs/>
              </w:rPr>
            </w:pPr>
          </w:p>
        </w:tc>
        <w:tc>
          <w:tcPr>
            <w:tcW w:w="0" w:type="auto"/>
            <w:vMerge/>
            <w:vAlign w:val="center"/>
          </w:tcPr>
          <w:p w14:paraId="5C0A787B" w14:textId="77777777" w:rsidR="00A54A8A" w:rsidRPr="00E67914" w:rsidRDefault="00A54A8A">
            <w:pPr>
              <w:pStyle w:val="affffff"/>
              <w:rPr>
                <w:b/>
                <w:bCs/>
              </w:rPr>
            </w:pPr>
          </w:p>
        </w:tc>
      </w:tr>
      <w:tr w:rsidR="00E67914" w:rsidRPr="00E67914" w14:paraId="1A7E7BA4" w14:textId="77777777">
        <w:trPr>
          <w:cantSplit/>
          <w:jc w:val="center"/>
        </w:trPr>
        <w:tc>
          <w:tcPr>
            <w:tcW w:w="0" w:type="auto"/>
            <w:vAlign w:val="center"/>
          </w:tcPr>
          <w:p w14:paraId="23822962" w14:textId="77777777" w:rsidR="00A54A8A" w:rsidRPr="00E67914" w:rsidRDefault="00000000">
            <w:pPr>
              <w:pStyle w:val="affffff"/>
            </w:pPr>
            <w:r w:rsidRPr="00E67914">
              <w:t>一</w:t>
            </w:r>
          </w:p>
        </w:tc>
        <w:tc>
          <w:tcPr>
            <w:tcW w:w="0" w:type="auto"/>
            <w:gridSpan w:val="4"/>
            <w:vAlign w:val="center"/>
          </w:tcPr>
          <w:p w14:paraId="537A6B98" w14:textId="77777777" w:rsidR="00A54A8A" w:rsidRPr="00E67914" w:rsidRDefault="00000000">
            <w:pPr>
              <w:pStyle w:val="affffff"/>
            </w:pPr>
            <w:r w:rsidRPr="00E67914">
              <w:t>钻井设备</w:t>
            </w:r>
          </w:p>
        </w:tc>
      </w:tr>
      <w:tr w:rsidR="00E67914" w:rsidRPr="00E67914" w14:paraId="6CDE8DA6" w14:textId="77777777">
        <w:trPr>
          <w:cantSplit/>
          <w:jc w:val="center"/>
        </w:trPr>
        <w:tc>
          <w:tcPr>
            <w:tcW w:w="0" w:type="auto"/>
            <w:vAlign w:val="center"/>
          </w:tcPr>
          <w:p w14:paraId="0159F8C1" w14:textId="77777777" w:rsidR="00A54A8A" w:rsidRPr="00E67914" w:rsidRDefault="00000000">
            <w:pPr>
              <w:pStyle w:val="affffff"/>
            </w:pPr>
            <w:r w:rsidRPr="00E67914">
              <w:t>1</w:t>
            </w:r>
          </w:p>
        </w:tc>
        <w:tc>
          <w:tcPr>
            <w:tcW w:w="0" w:type="auto"/>
            <w:vAlign w:val="center"/>
          </w:tcPr>
          <w:p w14:paraId="73A8C419" w14:textId="77777777" w:rsidR="00A54A8A" w:rsidRPr="00E67914" w:rsidRDefault="00000000">
            <w:pPr>
              <w:pStyle w:val="affffff"/>
            </w:pPr>
            <w:r w:rsidRPr="00E67914">
              <w:t>电动钻机</w:t>
            </w:r>
          </w:p>
        </w:tc>
        <w:tc>
          <w:tcPr>
            <w:tcW w:w="0" w:type="auto"/>
            <w:vAlign w:val="center"/>
          </w:tcPr>
          <w:p w14:paraId="2C77F7EF" w14:textId="77777777" w:rsidR="00A54A8A" w:rsidRPr="00E67914" w:rsidRDefault="00000000">
            <w:pPr>
              <w:pStyle w:val="affffff"/>
            </w:pPr>
            <w:r w:rsidRPr="00E67914">
              <w:t>ZJ50LDB</w:t>
            </w:r>
          </w:p>
        </w:tc>
        <w:tc>
          <w:tcPr>
            <w:tcW w:w="0" w:type="auto"/>
            <w:vAlign w:val="center"/>
          </w:tcPr>
          <w:p w14:paraId="116F4CCA" w14:textId="77777777" w:rsidR="00A54A8A" w:rsidRPr="00E67914" w:rsidRDefault="00000000">
            <w:pPr>
              <w:pStyle w:val="affffff"/>
            </w:pPr>
            <w:r w:rsidRPr="00E67914">
              <w:t>3150kN</w:t>
            </w:r>
          </w:p>
        </w:tc>
        <w:tc>
          <w:tcPr>
            <w:tcW w:w="0" w:type="auto"/>
            <w:vAlign w:val="center"/>
          </w:tcPr>
          <w:p w14:paraId="75E1A75D" w14:textId="77777777" w:rsidR="00A54A8A" w:rsidRPr="00E67914" w:rsidRDefault="00000000">
            <w:pPr>
              <w:pStyle w:val="affffff"/>
            </w:pPr>
            <w:r w:rsidRPr="00E67914">
              <w:t>1</w:t>
            </w:r>
          </w:p>
        </w:tc>
      </w:tr>
      <w:tr w:rsidR="00E67914" w:rsidRPr="00E67914" w14:paraId="078839E3" w14:textId="77777777">
        <w:trPr>
          <w:cantSplit/>
          <w:jc w:val="center"/>
        </w:trPr>
        <w:tc>
          <w:tcPr>
            <w:tcW w:w="0" w:type="auto"/>
            <w:vAlign w:val="center"/>
          </w:tcPr>
          <w:p w14:paraId="30ED04AE" w14:textId="77777777" w:rsidR="00A54A8A" w:rsidRPr="00E67914" w:rsidRDefault="00000000">
            <w:pPr>
              <w:pStyle w:val="affffff"/>
            </w:pPr>
            <w:r w:rsidRPr="00E67914">
              <w:t>2</w:t>
            </w:r>
          </w:p>
        </w:tc>
        <w:tc>
          <w:tcPr>
            <w:tcW w:w="0" w:type="auto"/>
            <w:vAlign w:val="center"/>
          </w:tcPr>
          <w:p w14:paraId="0FD945EE" w14:textId="77777777" w:rsidR="00A54A8A" w:rsidRPr="00E67914" w:rsidRDefault="00000000">
            <w:pPr>
              <w:pStyle w:val="affffff"/>
            </w:pPr>
            <w:r w:rsidRPr="00E67914">
              <w:t>井架</w:t>
            </w:r>
          </w:p>
        </w:tc>
        <w:tc>
          <w:tcPr>
            <w:tcW w:w="0" w:type="auto"/>
            <w:vAlign w:val="center"/>
          </w:tcPr>
          <w:p w14:paraId="1D5C7037" w14:textId="77777777" w:rsidR="00A54A8A" w:rsidRPr="00E67914" w:rsidRDefault="00000000">
            <w:pPr>
              <w:pStyle w:val="affffff"/>
            </w:pPr>
            <w:r w:rsidRPr="00E67914">
              <w:t>JJ315/45-K</w:t>
            </w:r>
          </w:p>
        </w:tc>
        <w:tc>
          <w:tcPr>
            <w:tcW w:w="0" w:type="auto"/>
            <w:vAlign w:val="center"/>
          </w:tcPr>
          <w:p w14:paraId="7E499CA8" w14:textId="77777777" w:rsidR="00A54A8A" w:rsidRPr="00E67914" w:rsidRDefault="00000000">
            <w:pPr>
              <w:pStyle w:val="affffff"/>
            </w:pPr>
            <w:r w:rsidRPr="00E67914">
              <w:t>3150kN</w:t>
            </w:r>
          </w:p>
        </w:tc>
        <w:tc>
          <w:tcPr>
            <w:tcW w:w="0" w:type="auto"/>
            <w:vAlign w:val="center"/>
          </w:tcPr>
          <w:p w14:paraId="690BDF73" w14:textId="77777777" w:rsidR="00A54A8A" w:rsidRPr="00E67914" w:rsidRDefault="00000000">
            <w:pPr>
              <w:pStyle w:val="affffff"/>
            </w:pPr>
            <w:r w:rsidRPr="00E67914">
              <w:t>1</w:t>
            </w:r>
          </w:p>
        </w:tc>
      </w:tr>
      <w:tr w:rsidR="00E67914" w:rsidRPr="00E67914" w14:paraId="26311442" w14:textId="77777777">
        <w:trPr>
          <w:cantSplit/>
          <w:jc w:val="center"/>
        </w:trPr>
        <w:tc>
          <w:tcPr>
            <w:tcW w:w="0" w:type="auto"/>
            <w:vAlign w:val="center"/>
          </w:tcPr>
          <w:p w14:paraId="10217DA7" w14:textId="77777777" w:rsidR="00A54A8A" w:rsidRPr="00E67914" w:rsidRDefault="00000000">
            <w:pPr>
              <w:pStyle w:val="affffff"/>
            </w:pPr>
            <w:r w:rsidRPr="00E67914">
              <w:t>3</w:t>
            </w:r>
          </w:p>
        </w:tc>
        <w:tc>
          <w:tcPr>
            <w:tcW w:w="0" w:type="auto"/>
            <w:vAlign w:val="center"/>
          </w:tcPr>
          <w:p w14:paraId="6FDE2E61" w14:textId="77777777" w:rsidR="00A54A8A" w:rsidRPr="00E67914" w:rsidRDefault="00000000">
            <w:pPr>
              <w:pStyle w:val="affffff"/>
            </w:pPr>
            <w:r w:rsidRPr="00E67914">
              <w:t>底座</w:t>
            </w:r>
          </w:p>
        </w:tc>
        <w:tc>
          <w:tcPr>
            <w:tcW w:w="0" w:type="auto"/>
            <w:vAlign w:val="center"/>
          </w:tcPr>
          <w:p w14:paraId="39A640B7" w14:textId="77777777" w:rsidR="00A54A8A" w:rsidRPr="00E67914" w:rsidRDefault="00000000">
            <w:pPr>
              <w:pStyle w:val="affffff"/>
            </w:pPr>
            <w:r w:rsidRPr="00E67914">
              <w:t>底座</w:t>
            </w:r>
            <w:r w:rsidRPr="00E67914">
              <w:t>9.1m</w:t>
            </w:r>
          </w:p>
        </w:tc>
        <w:tc>
          <w:tcPr>
            <w:tcW w:w="0" w:type="auto"/>
            <w:vAlign w:val="center"/>
          </w:tcPr>
          <w:p w14:paraId="3A0D8186" w14:textId="77777777" w:rsidR="00A54A8A" w:rsidRPr="00E67914" w:rsidRDefault="00000000">
            <w:pPr>
              <w:pStyle w:val="affffff"/>
            </w:pPr>
            <w:r w:rsidRPr="00E67914">
              <w:t>3150kN</w:t>
            </w:r>
          </w:p>
        </w:tc>
        <w:tc>
          <w:tcPr>
            <w:tcW w:w="0" w:type="auto"/>
            <w:vAlign w:val="center"/>
          </w:tcPr>
          <w:p w14:paraId="332ED1BD" w14:textId="77777777" w:rsidR="00A54A8A" w:rsidRPr="00E67914" w:rsidRDefault="00000000">
            <w:pPr>
              <w:pStyle w:val="affffff"/>
            </w:pPr>
            <w:r w:rsidRPr="00E67914">
              <w:t>1</w:t>
            </w:r>
          </w:p>
        </w:tc>
      </w:tr>
      <w:tr w:rsidR="00E67914" w:rsidRPr="00E67914" w14:paraId="3FB6CEB7" w14:textId="77777777">
        <w:trPr>
          <w:cantSplit/>
          <w:jc w:val="center"/>
        </w:trPr>
        <w:tc>
          <w:tcPr>
            <w:tcW w:w="0" w:type="auto"/>
            <w:vAlign w:val="center"/>
          </w:tcPr>
          <w:p w14:paraId="43E2DE3A" w14:textId="77777777" w:rsidR="00A54A8A" w:rsidRPr="00E67914" w:rsidRDefault="00000000">
            <w:pPr>
              <w:pStyle w:val="affffff"/>
            </w:pPr>
            <w:r w:rsidRPr="00E67914">
              <w:t>4</w:t>
            </w:r>
          </w:p>
        </w:tc>
        <w:tc>
          <w:tcPr>
            <w:tcW w:w="0" w:type="auto"/>
            <w:vAlign w:val="center"/>
          </w:tcPr>
          <w:p w14:paraId="71741E06" w14:textId="77777777" w:rsidR="00A54A8A" w:rsidRPr="00E67914" w:rsidRDefault="00000000">
            <w:pPr>
              <w:pStyle w:val="affffff"/>
            </w:pPr>
            <w:r w:rsidRPr="00E67914">
              <w:t>绞车</w:t>
            </w:r>
          </w:p>
        </w:tc>
        <w:tc>
          <w:tcPr>
            <w:tcW w:w="0" w:type="auto"/>
            <w:vAlign w:val="center"/>
          </w:tcPr>
          <w:p w14:paraId="0EB0CCE9" w14:textId="77777777" w:rsidR="00A54A8A" w:rsidRPr="00E67914" w:rsidRDefault="00000000">
            <w:pPr>
              <w:pStyle w:val="affffff"/>
            </w:pPr>
            <w:r w:rsidRPr="00E67914">
              <w:t>JC-50</w:t>
            </w:r>
          </w:p>
        </w:tc>
        <w:tc>
          <w:tcPr>
            <w:tcW w:w="0" w:type="auto"/>
            <w:vAlign w:val="center"/>
          </w:tcPr>
          <w:p w14:paraId="2FB1BC85" w14:textId="77777777" w:rsidR="00A54A8A" w:rsidRPr="00E67914" w:rsidRDefault="00000000">
            <w:pPr>
              <w:pStyle w:val="affffff"/>
            </w:pPr>
            <w:r w:rsidRPr="00E67914">
              <w:t>110kW</w:t>
            </w:r>
          </w:p>
        </w:tc>
        <w:tc>
          <w:tcPr>
            <w:tcW w:w="0" w:type="auto"/>
            <w:vAlign w:val="center"/>
          </w:tcPr>
          <w:p w14:paraId="509A04CB" w14:textId="77777777" w:rsidR="00A54A8A" w:rsidRPr="00E67914" w:rsidRDefault="00000000">
            <w:pPr>
              <w:pStyle w:val="affffff"/>
            </w:pPr>
            <w:r w:rsidRPr="00E67914">
              <w:t>1</w:t>
            </w:r>
          </w:p>
        </w:tc>
      </w:tr>
      <w:tr w:rsidR="00E67914" w:rsidRPr="00E67914" w14:paraId="63419352" w14:textId="77777777">
        <w:trPr>
          <w:cantSplit/>
          <w:jc w:val="center"/>
        </w:trPr>
        <w:tc>
          <w:tcPr>
            <w:tcW w:w="0" w:type="auto"/>
            <w:vAlign w:val="center"/>
          </w:tcPr>
          <w:p w14:paraId="63251CB1" w14:textId="77777777" w:rsidR="00A54A8A" w:rsidRPr="00E67914" w:rsidRDefault="00000000">
            <w:pPr>
              <w:pStyle w:val="affffff"/>
            </w:pPr>
            <w:r w:rsidRPr="00E67914">
              <w:t>5</w:t>
            </w:r>
          </w:p>
        </w:tc>
        <w:tc>
          <w:tcPr>
            <w:tcW w:w="0" w:type="auto"/>
            <w:vAlign w:val="center"/>
          </w:tcPr>
          <w:p w14:paraId="21CAA6D1" w14:textId="77777777" w:rsidR="00A54A8A" w:rsidRPr="00E67914" w:rsidRDefault="00000000">
            <w:pPr>
              <w:pStyle w:val="affffff"/>
            </w:pPr>
            <w:r w:rsidRPr="00E67914">
              <w:t>天车</w:t>
            </w:r>
          </w:p>
        </w:tc>
        <w:tc>
          <w:tcPr>
            <w:tcW w:w="0" w:type="auto"/>
            <w:vAlign w:val="center"/>
          </w:tcPr>
          <w:p w14:paraId="766E64B5" w14:textId="77777777" w:rsidR="00A54A8A" w:rsidRPr="00E67914" w:rsidRDefault="00000000">
            <w:pPr>
              <w:pStyle w:val="affffff"/>
            </w:pPr>
            <w:r w:rsidRPr="00E67914">
              <w:t>TC-315</w:t>
            </w:r>
          </w:p>
        </w:tc>
        <w:tc>
          <w:tcPr>
            <w:tcW w:w="0" w:type="auto"/>
            <w:vAlign w:val="center"/>
          </w:tcPr>
          <w:p w14:paraId="041A6A38" w14:textId="77777777" w:rsidR="00A54A8A" w:rsidRPr="00E67914" w:rsidRDefault="00000000">
            <w:pPr>
              <w:pStyle w:val="affffff"/>
            </w:pPr>
            <w:r w:rsidRPr="00E67914">
              <w:t>3150kN</w:t>
            </w:r>
          </w:p>
        </w:tc>
        <w:tc>
          <w:tcPr>
            <w:tcW w:w="0" w:type="auto"/>
            <w:vAlign w:val="center"/>
          </w:tcPr>
          <w:p w14:paraId="0469A091" w14:textId="77777777" w:rsidR="00A54A8A" w:rsidRPr="00E67914" w:rsidRDefault="00000000">
            <w:pPr>
              <w:pStyle w:val="affffff"/>
            </w:pPr>
            <w:r w:rsidRPr="00E67914">
              <w:t>1</w:t>
            </w:r>
          </w:p>
        </w:tc>
      </w:tr>
      <w:tr w:rsidR="00E67914" w:rsidRPr="00E67914" w14:paraId="3B9464B6" w14:textId="77777777">
        <w:trPr>
          <w:cantSplit/>
          <w:jc w:val="center"/>
        </w:trPr>
        <w:tc>
          <w:tcPr>
            <w:tcW w:w="0" w:type="auto"/>
            <w:vAlign w:val="center"/>
          </w:tcPr>
          <w:p w14:paraId="65BD96EA" w14:textId="77777777" w:rsidR="00A54A8A" w:rsidRPr="00E67914" w:rsidRDefault="00000000">
            <w:pPr>
              <w:pStyle w:val="affffff"/>
            </w:pPr>
            <w:r w:rsidRPr="00E67914">
              <w:t>6</w:t>
            </w:r>
          </w:p>
        </w:tc>
        <w:tc>
          <w:tcPr>
            <w:tcW w:w="0" w:type="auto"/>
            <w:vAlign w:val="center"/>
          </w:tcPr>
          <w:p w14:paraId="35537EF4" w14:textId="77777777" w:rsidR="00A54A8A" w:rsidRPr="00E67914" w:rsidRDefault="00000000">
            <w:pPr>
              <w:pStyle w:val="affffff"/>
            </w:pPr>
            <w:r w:rsidRPr="00E67914">
              <w:t>游车</w:t>
            </w:r>
          </w:p>
        </w:tc>
        <w:tc>
          <w:tcPr>
            <w:tcW w:w="0" w:type="auto"/>
            <w:vAlign w:val="center"/>
          </w:tcPr>
          <w:p w14:paraId="5F3A185A" w14:textId="77777777" w:rsidR="00A54A8A" w:rsidRPr="00E67914" w:rsidRDefault="00000000">
            <w:pPr>
              <w:pStyle w:val="affffff"/>
            </w:pPr>
            <w:r w:rsidRPr="00E67914">
              <w:t>YC-315</w:t>
            </w:r>
          </w:p>
        </w:tc>
        <w:tc>
          <w:tcPr>
            <w:tcW w:w="0" w:type="auto"/>
            <w:vAlign w:val="center"/>
          </w:tcPr>
          <w:p w14:paraId="52C519FF" w14:textId="77777777" w:rsidR="00A54A8A" w:rsidRPr="00E67914" w:rsidRDefault="00000000">
            <w:pPr>
              <w:pStyle w:val="affffff"/>
            </w:pPr>
            <w:r w:rsidRPr="00E67914">
              <w:t>3150kN</w:t>
            </w:r>
          </w:p>
        </w:tc>
        <w:tc>
          <w:tcPr>
            <w:tcW w:w="0" w:type="auto"/>
            <w:vAlign w:val="center"/>
          </w:tcPr>
          <w:p w14:paraId="6E833BA7" w14:textId="77777777" w:rsidR="00A54A8A" w:rsidRPr="00E67914" w:rsidRDefault="00000000">
            <w:pPr>
              <w:pStyle w:val="affffff"/>
            </w:pPr>
            <w:r w:rsidRPr="00E67914">
              <w:t>1</w:t>
            </w:r>
          </w:p>
        </w:tc>
      </w:tr>
      <w:tr w:rsidR="00E67914" w:rsidRPr="00E67914" w14:paraId="052F6BDB" w14:textId="77777777">
        <w:trPr>
          <w:cantSplit/>
          <w:jc w:val="center"/>
        </w:trPr>
        <w:tc>
          <w:tcPr>
            <w:tcW w:w="0" w:type="auto"/>
            <w:vAlign w:val="center"/>
          </w:tcPr>
          <w:p w14:paraId="46E87B73" w14:textId="77777777" w:rsidR="00A54A8A" w:rsidRPr="00E67914" w:rsidRDefault="00000000">
            <w:pPr>
              <w:pStyle w:val="affffff"/>
            </w:pPr>
            <w:r w:rsidRPr="00E67914">
              <w:t>7</w:t>
            </w:r>
          </w:p>
        </w:tc>
        <w:tc>
          <w:tcPr>
            <w:tcW w:w="0" w:type="auto"/>
            <w:vAlign w:val="center"/>
          </w:tcPr>
          <w:p w14:paraId="5FD4C2BE" w14:textId="77777777" w:rsidR="00A54A8A" w:rsidRPr="00E67914" w:rsidRDefault="00000000">
            <w:pPr>
              <w:pStyle w:val="affffff"/>
            </w:pPr>
            <w:r w:rsidRPr="00E67914">
              <w:t>大钩</w:t>
            </w:r>
          </w:p>
        </w:tc>
        <w:tc>
          <w:tcPr>
            <w:tcW w:w="0" w:type="auto"/>
            <w:vAlign w:val="center"/>
          </w:tcPr>
          <w:p w14:paraId="003FD64F" w14:textId="77777777" w:rsidR="00A54A8A" w:rsidRPr="00E67914" w:rsidRDefault="00000000">
            <w:pPr>
              <w:pStyle w:val="affffff"/>
            </w:pPr>
            <w:r w:rsidRPr="00E67914">
              <w:t>DG-315</w:t>
            </w:r>
          </w:p>
        </w:tc>
        <w:tc>
          <w:tcPr>
            <w:tcW w:w="0" w:type="auto"/>
            <w:vAlign w:val="center"/>
          </w:tcPr>
          <w:p w14:paraId="2C0D3BAA" w14:textId="77777777" w:rsidR="00A54A8A" w:rsidRPr="00E67914" w:rsidRDefault="00000000">
            <w:pPr>
              <w:pStyle w:val="affffff"/>
            </w:pPr>
            <w:r w:rsidRPr="00E67914">
              <w:t>3150kN</w:t>
            </w:r>
          </w:p>
        </w:tc>
        <w:tc>
          <w:tcPr>
            <w:tcW w:w="0" w:type="auto"/>
            <w:vAlign w:val="center"/>
          </w:tcPr>
          <w:p w14:paraId="12B6AD9F" w14:textId="77777777" w:rsidR="00A54A8A" w:rsidRPr="00E67914" w:rsidRDefault="00000000">
            <w:pPr>
              <w:pStyle w:val="affffff"/>
            </w:pPr>
            <w:r w:rsidRPr="00E67914">
              <w:t>1</w:t>
            </w:r>
          </w:p>
        </w:tc>
      </w:tr>
      <w:tr w:rsidR="00E67914" w:rsidRPr="00E67914" w14:paraId="4CE65625" w14:textId="77777777">
        <w:trPr>
          <w:cantSplit/>
          <w:jc w:val="center"/>
        </w:trPr>
        <w:tc>
          <w:tcPr>
            <w:tcW w:w="0" w:type="auto"/>
            <w:vAlign w:val="center"/>
          </w:tcPr>
          <w:p w14:paraId="074961CA" w14:textId="77777777" w:rsidR="00A54A8A" w:rsidRPr="00E67914" w:rsidRDefault="00000000">
            <w:pPr>
              <w:pStyle w:val="affffff"/>
            </w:pPr>
            <w:r w:rsidRPr="00E67914">
              <w:t>8</w:t>
            </w:r>
          </w:p>
        </w:tc>
        <w:tc>
          <w:tcPr>
            <w:tcW w:w="0" w:type="auto"/>
            <w:vAlign w:val="center"/>
          </w:tcPr>
          <w:p w14:paraId="253942D3" w14:textId="77777777" w:rsidR="00A54A8A" w:rsidRPr="00E67914" w:rsidRDefault="00000000">
            <w:pPr>
              <w:pStyle w:val="affffff"/>
            </w:pPr>
            <w:r w:rsidRPr="00E67914">
              <w:t>水龙头</w:t>
            </w:r>
          </w:p>
        </w:tc>
        <w:tc>
          <w:tcPr>
            <w:tcW w:w="0" w:type="auto"/>
            <w:vAlign w:val="center"/>
          </w:tcPr>
          <w:p w14:paraId="20C55439" w14:textId="77777777" w:rsidR="00A54A8A" w:rsidRPr="00E67914" w:rsidRDefault="00000000">
            <w:pPr>
              <w:pStyle w:val="affffff"/>
            </w:pPr>
            <w:r w:rsidRPr="00E67914">
              <w:t>SL-450</w:t>
            </w:r>
          </w:p>
        </w:tc>
        <w:tc>
          <w:tcPr>
            <w:tcW w:w="0" w:type="auto"/>
            <w:vAlign w:val="center"/>
          </w:tcPr>
          <w:p w14:paraId="4D3CD1B1" w14:textId="77777777" w:rsidR="00A54A8A" w:rsidRPr="00E67914" w:rsidRDefault="00000000">
            <w:pPr>
              <w:pStyle w:val="affffff"/>
            </w:pPr>
            <w:r w:rsidRPr="00E67914">
              <w:t>4500kN</w:t>
            </w:r>
          </w:p>
        </w:tc>
        <w:tc>
          <w:tcPr>
            <w:tcW w:w="0" w:type="auto"/>
            <w:vAlign w:val="center"/>
          </w:tcPr>
          <w:p w14:paraId="31455BFA" w14:textId="77777777" w:rsidR="00A54A8A" w:rsidRPr="00E67914" w:rsidRDefault="00000000">
            <w:pPr>
              <w:pStyle w:val="affffff"/>
            </w:pPr>
            <w:r w:rsidRPr="00E67914">
              <w:t>1</w:t>
            </w:r>
          </w:p>
        </w:tc>
      </w:tr>
      <w:tr w:rsidR="00E67914" w:rsidRPr="00E67914" w14:paraId="2B8D5C36" w14:textId="77777777">
        <w:trPr>
          <w:cantSplit/>
          <w:jc w:val="center"/>
        </w:trPr>
        <w:tc>
          <w:tcPr>
            <w:tcW w:w="0" w:type="auto"/>
            <w:vAlign w:val="center"/>
          </w:tcPr>
          <w:p w14:paraId="3B83987E" w14:textId="77777777" w:rsidR="00A54A8A" w:rsidRPr="00E67914" w:rsidRDefault="00000000">
            <w:pPr>
              <w:pStyle w:val="affffff"/>
            </w:pPr>
            <w:r w:rsidRPr="00E67914">
              <w:t>9</w:t>
            </w:r>
          </w:p>
        </w:tc>
        <w:tc>
          <w:tcPr>
            <w:tcW w:w="0" w:type="auto"/>
            <w:vAlign w:val="center"/>
          </w:tcPr>
          <w:p w14:paraId="427DE574" w14:textId="77777777" w:rsidR="00A54A8A" w:rsidRPr="00E67914" w:rsidRDefault="00000000">
            <w:pPr>
              <w:pStyle w:val="affffff"/>
            </w:pPr>
            <w:r w:rsidRPr="00E67914">
              <w:t>转盘</w:t>
            </w:r>
          </w:p>
        </w:tc>
        <w:tc>
          <w:tcPr>
            <w:tcW w:w="0" w:type="auto"/>
            <w:vAlign w:val="center"/>
          </w:tcPr>
          <w:p w14:paraId="72D85826" w14:textId="77777777" w:rsidR="00A54A8A" w:rsidRPr="00E67914" w:rsidRDefault="00000000">
            <w:pPr>
              <w:pStyle w:val="affffff"/>
            </w:pPr>
            <w:r w:rsidRPr="00E67914">
              <w:t>ZP275</w:t>
            </w:r>
          </w:p>
        </w:tc>
        <w:tc>
          <w:tcPr>
            <w:tcW w:w="0" w:type="auto"/>
            <w:vAlign w:val="center"/>
          </w:tcPr>
          <w:p w14:paraId="70BA8ECE" w14:textId="77777777" w:rsidR="00A54A8A" w:rsidRPr="00E67914" w:rsidRDefault="00000000">
            <w:pPr>
              <w:pStyle w:val="affffff"/>
            </w:pPr>
            <w:r w:rsidRPr="00E67914">
              <w:t>4500kN</w:t>
            </w:r>
          </w:p>
        </w:tc>
        <w:tc>
          <w:tcPr>
            <w:tcW w:w="0" w:type="auto"/>
            <w:vAlign w:val="center"/>
          </w:tcPr>
          <w:p w14:paraId="40056F58" w14:textId="77777777" w:rsidR="00A54A8A" w:rsidRPr="00E67914" w:rsidRDefault="00000000">
            <w:pPr>
              <w:pStyle w:val="affffff"/>
            </w:pPr>
            <w:r w:rsidRPr="00E67914">
              <w:t>1</w:t>
            </w:r>
          </w:p>
        </w:tc>
      </w:tr>
      <w:tr w:rsidR="00E67914" w:rsidRPr="00E67914" w14:paraId="1AEE473A" w14:textId="77777777">
        <w:trPr>
          <w:cantSplit/>
          <w:jc w:val="center"/>
        </w:trPr>
        <w:tc>
          <w:tcPr>
            <w:tcW w:w="0" w:type="auto"/>
            <w:vAlign w:val="center"/>
          </w:tcPr>
          <w:p w14:paraId="691743E7" w14:textId="77777777" w:rsidR="00A54A8A" w:rsidRPr="00E67914" w:rsidRDefault="00A54A8A">
            <w:pPr>
              <w:pStyle w:val="affffff"/>
            </w:pPr>
          </w:p>
        </w:tc>
        <w:tc>
          <w:tcPr>
            <w:tcW w:w="0" w:type="auto"/>
            <w:vAlign w:val="center"/>
          </w:tcPr>
          <w:p w14:paraId="3C94EF47" w14:textId="77777777" w:rsidR="00A54A8A" w:rsidRPr="00E67914" w:rsidRDefault="00000000">
            <w:pPr>
              <w:pStyle w:val="affffff"/>
            </w:pPr>
            <w:r w:rsidRPr="00E67914">
              <w:t>柴油机</w:t>
            </w:r>
            <w:r w:rsidRPr="00E67914">
              <w:t>1#</w:t>
            </w:r>
          </w:p>
        </w:tc>
        <w:tc>
          <w:tcPr>
            <w:tcW w:w="0" w:type="auto"/>
            <w:vAlign w:val="center"/>
          </w:tcPr>
          <w:p w14:paraId="38AC4206" w14:textId="77777777" w:rsidR="00A54A8A" w:rsidRPr="00E67914" w:rsidRDefault="00000000">
            <w:pPr>
              <w:pStyle w:val="affffff"/>
            </w:pPr>
            <w:r w:rsidRPr="00E67914">
              <w:t>PZ12V190B</w:t>
            </w:r>
          </w:p>
        </w:tc>
        <w:tc>
          <w:tcPr>
            <w:tcW w:w="0" w:type="auto"/>
            <w:vAlign w:val="center"/>
          </w:tcPr>
          <w:p w14:paraId="436DA1BE" w14:textId="77777777" w:rsidR="00A54A8A" w:rsidRPr="00E67914" w:rsidRDefault="00000000">
            <w:pPr>
              <w:pStyle w:val="affffff"/>
            </w:pPr>
            <w:r w:rsidRPr="00E67914">
              <w:t>882kW</w:t>
            </w:r>
          </w:p>
        </w:tc>
        <w:tc>
          <w:tcPr>
            <w:tcW w:w="0" w:type="auto"/>
            <w:vAlign w:val="center"/>
          </w:tcPr>
          <w:p w14:paraId="5FE2CD63" w14:textId="77777777" w:rsidR="00A54A8A" w:rsidRPr="00E67914" w:rsidRDefault="00000000">
            <w:pPr>
              <w:pStyle w:val="affffff"/>
            </w:pPr>
            <w:r w:rsidRPr="00E67914">
              <w:t>1</w:t>
            </w:r>
          </w:p>
        </w:tc>
      </w:tr>
      <w:tr w:rsidR="00E67914" w:rsidRPr="00E67914" w14:paraId="5C2E02F1" w14:textId="77777777">
        <w:trPr>
          <w:cantSplit/>
          <w:jc w:val="center"/>
        </w:trPr>
        <w:tc>
          <w:tcPr>
            <w:tcW w:w="0" w:type="auto"/>
            <w:vAlign w:val="center"/>
          </w:tcPr>
          <w:p w14:paraId="422F4400" w14:textId="77777777" w:rsidR="00A54A8A" w:rsidRPr="00E67914" w:rsidRDefault="00A54A8A">
            <w:pPr>
              <w:pStyle w:val="affffff"/>
            </w:pPr>
          </w:p>
        </w:tc>
        <w:tc>
          <w:tcPr>
            <w:tcW w:w="0" w:type="auto"/>
            <w:vAlign w:val="center"/>
          </w:tcPr>
          <w:p w14:paraId="2A509C3A" w14:textId="77777777" w:rsidR="00A54A8A" w:rsidRPr="00E67914" w:rsidRDefault="00000000">
            <w:pPr>
              <w:pStyle w:val="affffff"/>
            </w:pPr>
            <w:r w:rsidRPr="00E67914">
              <w:t>柴油机</w:t>
            </w:r>
            <w:r w:rsidRPr="00E67914">
              <w:t>2#</w:t>
            </w:r>
          </w:p>
        </w:tc>
        <w:tc>
          <w:tcPr>
            <w:tcW w:w="0" w:type="auto"/>
            <w:vAlign w:val="center"/>
          </w:tcPr>
          <w:p w14:paraId="718629F2" w14:textId="77777777" w:rsidR="00A54A8A" w:rsidRPr="00E67914" w:rsidRDefault="00000000">
            <w:pPr>
              <w:pStyle w:val="affffff"/>
            </w:pPr>
            <w:r w:rsidRPr="00E67914">
              <w:t>PZ12V190B</w:t>
            </w:r>
          </w:p>
        </w:tc>
        <w:tc>
          <w:tcPr>
            <w:tcW w:w="0" w:type="auto"/>
            <w:vAlign w:val="center"/>
          </w:tcPr>
          <w:p w14:paraId="430410B1" w14:textId="77777777" w:rsidR="00A54A8A" w:rsidRPr="00E67914" w:rsidRDefault="00000000">
            <w:pPr>
              <w:pStyle w:val="affffff"/>
            </w:pPr>
            <w:r w:rsidRPr="00E67914">
              <w:t>882kW</w:t>
            </w:r>
          </w:p>
        </w:tc>
        <w:tc>
          <w:tcPr>
            <w:tcW w:w="0" w:type="auto"/>
            <w:vAlign w:val="center"/>
          </w:tcPr>
          <w:p w14:paraId="0E011FCF" w14:textId="77777777" w:rsidR="00A54A8A" w:rsidRPr="00E67914" w:rsidRDefault="00000000">
            <w:pPr>
              <w:pStyle w:val="affffff"/>
            </w:pPr>
            <w:r w:rsidRPr="00E67914">
              <w:t>1</w:t>
            </w:r>
          </w:p>
        </w:tc>
      </w:tr>
      <w:tr w:rsidR="00E67914" w:rsidRPr="00E67914" w14:paraId="4F239B87" w14:textId="77777777">
        <w:trPr>
          <w:cantSplit/>
          <w:jc w:val="center"/>
        </w:trPr>
        <w:tc>
          <w:tcPr>
            <w:tcW w:w="0" w:type="auto"/>
            <w:vAlign w:val="center"/>
          </w:tcPr>
          <w:p w14:paraId="6C33C0F9" w14:textId="77777777" w:rsidR="00A54A8A" w:rsidRPr="00E67914" w:rsidRDefault="00A54A8A">
            <w:pPr>
              <w:pStyle w:val="affffff"/>
            </w:pPr>
          </w:p>
        </w:tc>
        <w:tc>
          <w:tcPr>
            <w:tcW w:w="0" w:type="auto"/>
            <w:vAlign w:val="center"/>
          </w:tcPr>
          <w:p w14:paraId="187F001A" w14:textId="77777777" w:rsidR="00A54A8A" w:rsidRPr="00E67914" w:rsidRDefault="00000000">
            <w:pPr>
              <w:pStyle w:val="affffff"/>
            </w:pPr>
            <w:r w:rsidRPr="00E67914">
              <w:t>柴油机</w:t>
            </w:r>
            <w:r w:rsidRPr="00E67914">
              <w:t>3#</w:t>
            </w:r>
          </w:p>
        </w:tc>
        <w:tc>
          <w:tcPr>
            <w:tcW w:w="0" w:type="auto"/>
            <w:vAlign w:val="center"/>
          </w:tcPr>
          <w:p w14:paraId="5B33B1CC" w14:textId="77777777" w:rsidR="00A54A8A" w:rsidRPr="00E67914" w:rsidRDefault="00000000">
            <w:pPr>
              <w:pStyle w:val="affffff"/>
            </w:pPr>
            <w:r w:rsidRPr="00E67914">
              <w:t>G12V190PZL</w:t>
            </w:r>
          </w:p>
        </w:tc>
        <w:tc>
          <w:tcPr>
            <w:tcW w:w="0" w:type="auto"/>
            <w:vAlign w:val="center"/>
          </w:tcPr>
          <w:p w14:paraId="6938BC78" w14:textId="77777777" w:rsidR="00A54A8A" w:rsidRPr="00E67914" w:rsidRDefault="00000000">
            <w:pPr>
              <w:pStyle w:val="affffff"/>
            </w:pPr>
            <w:r w:rsidRPr="00E67914">
              <w:t>882kW</w:t>
            </w:r>
          </w:p>
        </w:tc>
        <w:tc>
          <w:tcPr>
            <w:tcW w:w="0" w:type="auto"/>
            <w:vAlign w:val="center"/>
          </w:tcPr>
          <w:p w14:paraId="40A32DDF" w14:textId="77777777" w:rsidR="00A54A8A" w:rsidRPr="00E67914" w:rsidRDefault="00000000">
            <w:pPr>
              <w:pStyle w:val="affffff"/>
            </w:pPr>
            <w:r w:rsidRPr="00E67914">
              <w:t>1</w:t>
            </w:r>
          </w:p>
        </w:tc>
      </w:tr>
      <w:tr w:rsidR="00E67914" w:rsidRPr="00E67914" w14:paraId="1793B7A4" w14:textId="77777777">
        <w:trPr>
          <w:cantSplit/>
          <w:jc w:val="center"/>
        </w:trPr>
        <w:tc>
          <w:tcPr>
            <w:tcW w:w="0" w:type="auto"/>
            <w:vAlign w:val="center"/>
          </w:tcPr>
          <w:p w14:paraId="241269E1" w14:textId="77777777" w:rsidR="00A54A8A" w:rsidRPr="00E67914" w:rsidRDefault="00A54A8A">
            <w:pPr>
              <w:pStyle w:val="affffff"/>
            </w:pPr>
          </w:p>
        </w:tc>
        <w:tc>
          <w:tcPr>
            <w:tcW w:w="0" w:type="auto"/>
            <w:vAlign w:val="center"/>
          </w:tcPr>
          <w:p w14:paraId="71749C6D" w14:textId="77777777" w:rsidR="00A54A8A" w:rsidRPr="00E67914" w:rsidRDefault="00000000">
            <w:pPr>
              <w:pStyle w:val="affffff"/>
            </w:pPr>
            <w:r w:rsidRPr="00E67914">
              <w:t>发电机</w:t>
            </w:r>
            <w:r w:rsidRPr="00E67914">
              <w:t>1#</w:t>
            </w:r>
          </w:p>
        </w:tc>
        <w:tc>
          <w:tcPr>
            <w:tcW w:w="0" w:type="auto"/>
            <w:vAlign w:val="center"/>
          </w:tcPr>
          <w:p w14:paraId="21A1EA93" w14:textId="77777777" w:rsidR="00A54A8A" w:rsidRPr="00E67914" w:rsidRDefault="00000000">
            <w:pPr>
              <w:pStyle w:val="affffff"/>
            </w:pPr>
            <w:r w:rsidRPr="00E67914">
              <w:t>8V190B</w:t>
            </w:r>
          </w:p>
        </w:tc>
        <w:tc>
          <w:tcPr>
            <w:tcW w:w="0" w:type="auto"/>
            <w:vAlign w:val="center"/>
          </w:tcPr>
          <w:p w14:paraId="5BB0CF4F" w14:textId="77777777" w:rsidR="00A54A8A" w:rsidRPr="00E67914" w:rsidRDefault="00000000">
            <w:pPr>
              <w:pStyle w:val="affffff"/>
            </w:pPr>
            <w:r w:rsidRPr="00E67914">
              <w:t>320kW</w:t>
            </w:r>
          </w:p>
        </w:tc>
        <w:tc>
          <w:tcPr>
            <w:tcW w:w="0" w:type="auto"/>
            <w:vAlign w:val="center"/>
          </w:tcPr>
          <w:p w14:paraId="290DF599" w14:textId="77777777" w:rsidR="00A54A8A" w:rsidRPr="00E67914" w:rsidRDefault="00000000">
            <w:pPr>
              <w:pStyle w:val="affffff"/>
            </w:pPr>
            <w:r w:rsidRPr="00E67914">
              <w:t>1</w:t>
            </w:r>
          </w:p>
        </w:tc>
      </w:tr>
      <w:tr w:rsidR="00E67914" w:rsidRPr="00E67914" w14:paraId="0A0D3859" w14:textId="77777777">
        <w:trPr>
          <w:cantSplit/>
          <w:jc w:val="center"/>
        </w:trPr>
        <w:tc>
          <w:tcPr>
            <w:tcW w:w="0" w:type="auto"/>
            <w:vAlign w:val="center"/>
          </w:tcPr>
          <w:p w14:paraId="18F8C5E1" w14:textId="77777777" w:rsidR="00A54A8A" w:rsidRPr="00E67914" w:rsidRDefault="00A54A8A">
            <w:pPr>
              <w:pStyle w:val="affffff"/>
            </w:pPr>
          </w:p>
        </w:tc>
        <w:tc>
          <w:tcPr>
            <w:tcW w:w="0" w:type="auto"/>
            <w:vAlign w:val="center"/>
          </w:tcPr>
          <w:p w14:paraId="1ACBFE2A" w14:textId="77777777" w:rsidR="00A54A8A" w:rsidRPr="00E67914" w:rsidRDefault="00000000">
            <w:pPr>
              <w:pStyle w:val="affffff"/>
            </w:pPr>
            <w:r w:rsidRPr="00E67914">
              <w:t>发电机</w:t>
            </w:r>
            <w:r w:rsidRPr="00E67914">
              <w:t>2#</w:t>
            </w:r>
          </w:p>
        </w:tc>
        <w:tc>
          <w:tcPr>
            <w:tcW w:w="0" w:type="auto"/>
            <w:vAlign w:val="center"/>
          </w:tcPr>
          <w:p w14:paraId="1EE2584B" w14:textId="77777777" w:rsidR="00A54A8A" w:rsidRPr="00E67914" w:rsidRDefault="00000000">
            <w:pPr>
              <w:pStyle w:val="affffff"/>
            </w:pPr>
            <w:r w:rsidRPr="00E67914">
              <w:t>8V190B</w:t>
            </w:r>
          </w:p>
        </w:tc>
        <w:tc>
          <w:tcPr>
            <w:tcW w:w="0" w:type="auto"/>
            <w:vAlign w:val="center"/>
          </w:tcPr>
          <w:p w14:paraId="6C61F036" w14:textId="77777777" w:rsidR="00A54A8A" w:rsidRPr="00E67914" w:rsidRDefault="00000000">
            <w:pPr>
              <w:pStyle w:val="affffff"/>
            </w:pPr>
            <w:r w:rsidRPr="00E67914">
              <w:t>320kW</w:t>
            </w:r>
          </w:p>
        </w:tc>
        <w:tc>
          <w:tcPr>
            <w:tcW w:w="0" w:type="auto"/>
            <w:vAlign w:val="center"/>
          </w:tcPr>
          <w:p w14:paraId="044945F3" w14:textId="77777777" w:rsidR="00A54A8A" w:rsidRPr="00E67914" w:rsidRDefault="00000000">
            <w:pPr>
              <w:pStyle w:val="affffff"/>
            </w:pPr>
            <w:r w:rsidRPr="00E67914">
              <w:t>1</w:t>
            </w:r>
          </w:p>
        </w:tc>
      </w:tr>
      <w:tr w:rsidR="00E67914" w:rsidRPr="00E67914" w14:paraId="7DBE7CDC" w14:textId="77777777">
        <w:trPr>
          <w:cantSplit/>
          <w:jc w:val="center"/>
        </w:trPr>
        <w:tc>
          <w:tcPr>
            <w:tcW w:w="0" w:type="auto"/>
            <w:vAlign w:val="center"/>
          </w:tcPr>
          <w:p w14:paraId="3837633B" w14:textId="77777777" w:rsidR="00A54A8A" w:rsidRPr="00E67914" w:rsidRDefault="00A54A8A">
            <w:pPr>
              <w:pStyle w:val="affffff"/>
            </w:pPr>
          </w:p>
        </w:tc>
        <w:tc>
          <w:tcPr>
            <w:tcW w:w="0" w:type="auto"/>
            <w:vAlign w:val="center"/>
          </w:tcPr>
          <w:p w14:paraId="3FE6B16A" w14:textId="77777777" w:rsidR="00A54A8A" w:rsidRPr="00E67914" w:rsidRDefault="00000000">
            <w:pPr>
              <w:pStyle w:val="affffff"/>
            </w:pPr>
            <w:r w:rsidRPr="00E67914">
              <w:t>钻井泵</w:t>
            </w:r>
            <w:r w:rsidRPr="00E67914">
              <w:t>1#</w:t>
            </w:r>
          </w:p>
        </w:tc>
        <w:tc>
          <w:tcPr>
            <w:tcW w:w="0" w:type="auto"/>
            <w:vAlign w:val="center"/>
          </w:tcPr>
          <w:p w14:paraId="10310754" w14:textId="77777777" w:rsidR="00A54A8A" w:rsidRPr="00E67914" w:rsidRDefault="00000000">
            <w:pPr>
              <w:pStyle w:val="affffff"/>
            </w:pPr>
            <w:r w:rsidRPr="00E67914">
              <w:t>F-1600</w:t>
            </w:r>
          </w:p>
        </w:tc>
        <w:tc>
          <w:tcPr>
            <w:tcW w:w="0" w:type="auto"/>
            <w:vAlign w:val="center"/>
          </w:tcPr>
          <w:p w14:paraId="43F2D07F" w14:textId="77777777" w:rsidR="00A54A8A" w:rsidRPr="00E67914" w:rsidRDefault="00000000">
            <w:pPr>
              <w:pStyle w:val="affffff"/>
            </w:pPr>
            <w:r w:rsidRPr="00E67914">
              <w:t>1193kW</w:t>
            </w:r>
          </w:p>
        </w:tc>
        <w:tc>
          <w:tcPr>
            <w:tcW w:w="0" w:type="auto"/>
            <w:vAlign w:val="center"/>
          </w:tcPr>
          <w:p w14:paraId="55356DB4" w14:textId="77777777" w:rsidR="00A54A8A" w:rsidRPr="00E67914" w:rsidRDefault="00000000">
            <w:pPr>
              <w:pStyle w:val="affffff"/>
            </w:pPr>
            <w:r w:rsidRPr="00E67914">
              <w:t>1</w:t>
            </w:r>
          </w:p>
        </w:tc>
      </w:tr>
      <w:tr w:rsidR="00E67914" w:rsidRPr="00E67914" w14:paraId="26012C4C" w14:textId="77777777">
        <w:trPr>
          <w:cantSplit/>
          <w:jc w:val="center"/>
        </w:trPr>
        <w:tc>
          <w:tcPr>
            <w:tcW w:w="0" w:type="auto"/>
            <w:vAlign w:val="center"/>
          </w:tcPr>
          <w:p w14:paraId="0FC90866" w14:textId="77777777" w:rsidR="00A54A8A" w:rsidRPr="00E67914" w:rsidRDefault="00A54A8A">
            <w:pPr>
              <w:pStyle w:val="affffff"/>
            </w:pPr>
          </w:p>
        </w:tc>
        <w:tc>
          <w:tcPr>
            <w:tcW w:w="0" w:type="auto"/>
            <w:vAlign w:val="center"/>
          </w:tcPr>
          <w:p w14:paraId="2E53E9ED" w14:textId="77777777" w:rsidR="00A54A8A" w:rsidRPr="00E67914" w:rsidRDefault="00000000">
            <w:pPr>
              <w:pStyle w:val="affffff"/>
            </w:pPr>
            <w:r w:rsidRPr="00E67914">
              <w:t>钻井泵</w:t>
            </w:r>
            <w:r w:rsidRPr="00E67914">
              <w:t>2#</w:t>
            </w:r>
          </w:p>
        </w:tc>
        <w:tc>
          <w:tcPr>
            <w:tcW w:w="0" w:type="auto"/>
            <w:vAlign w:val="center"/>
          </w:tcPr>
          <w:p w14:paraId="6441FDC4" w14:textId="77777777" w:rsidR="00A54A8A" w:rsidRPr="00E67914" w:rsidRDefault="00000000">
            <w:pPr>
              <w:pStyle w:val="affffff"/>
            </w:pPr>
            <w:r w:rsidRPr="00E67914">
              <w:t>F-1600</w:t>
            </w:r>
          </w:p>
        </w:tc>
        <w:tc>
          <w:tcPr>
            <w:tcW w:w="0" w:type="auto"/>
            <w:vAlign w:val="center"/>
          </w:tcPr>
          <w:p w14:paraId="52B12BC8" w14:textId="77777777" w:rsidR="00A54A8A" w:rsidRPr="00E67914" w:rsidRDefault="00000000">
            <w:pPr>
              <w:pStyle w:val="affffff"/>
            </w:pPr>
            <w:r w:rsidRPr="00E67914">
              <w:t>1193kW</w:t>
            </w:r>
          </w:p>
        </w:tc>
        <w:tc>
          <w:tcPr>
            <w:tcW w:w="0" w:type="auto"/>
            <w:vAlign w:val="center"/>
          </w:tcPr>
          <w:p w14:paraId="71E980DA" w14:textId="77777777" w:rsidR="00A54A8A" w:rsidRPr="00E67914" w:rsidRDefault="00000000">
            <w:pPr>
              <w:pStyle w:val="affffff"/>
            </w:pPr>
            <w:r w:rsidRPr="00E67914">
              <w:t>1</w:t>
            </w:r>
          </w:p>
        </w:tc>
      </w:tr>
      <w:tr w:rsidR="00E67914" w:rsidRPr="00E67914" w14:paraId="369069F8" w14:textId="77777777">
        <w:trPr>
          <w:cantSplit/>
          <w:jc w:val="center"/>
        </w:trPr>
        <w:tc>
          <w:tcPr>
            <w:tcW w:w="0" w:type="auto"/>
            <w:vAlign w:val="center"/>
          </w:tcPr>
          <w:p w14:paraId="160D3841" w14:textId="77777777" w:rsidR="00A54A8A" w:rsidRPr="00E67914" w:rsidRDefault="00A54A8A">
            <w:pPr>
              <w:pStyle w:val="affffff"/>
            </w:pPr>
          </w:p>
        </w:tc>
        <w:tc>
          <w:tcPr>
            <w:tcW w:w="0" w:type="auto"/>
            <w:vAlign w:val="center"/>
          </w:tcPr>
          <w:p w14:paraId="1433C485" w14:textId="77777777" w:rsidR="00A54A8A" w:rsidRPr="00E67914" w:rsidRDefault="00000000">
            <w:pPr>
              <w:pStyle w:val="affffff"/>
            </w:pPr>
            <w:r w:rsidRPr="00E67914">
              <w:t>泥浆循环罐</w:t>
            </w:r>
          </w:p>
        </w:tc>
        <w:tc>
          <w:tcPr>
            <w:tcW w:w="0" w:type="auto"/>
            <w:vAlign w:val="center"/>
          </w:tcPr>
          <w:p w14:paraId="2106F0EB" w14:textId="77777777" w:rsidR="00A54A8A" w:rsidRPr="00E67914" w:rsidRDefault="00000000">
            <w:pPr>
              <w:pStyle w:val="affffff"/>
            </w:pPr>
            <w:r w:rsidRPr="00E67914">
              <w:t>80m</w:t>
            </w:r>
            <w:r w:rsidRPr="00E67914">
              <w:rPr>
                <w:vertAlign w:val="superscript"/>
              </w:rPr>
              <w:t>3</w:t>
            </w:r>
            <w:r w:rsidRPr="00E67914">
              <w:t>/</w:t>
            </w:r>
            <w:r w:rsidRPr="00E67914">
              <w:t>个</w:t>
            </w:r>
          </w:p>
        </w:tc>
        <w:tc>
          <w:tcPr>
            <w:tcW w:w="0" w:type="auto"/>
            <w:vAlign w:val="center"/>
          </w:tcPr>
          <w:p w14:paraId="22552F9B" w14:textId="77777777" w:rsidR="00A54A8A" w:rsidRPr="00E67914" w:rsidRDefault="00000000">
            <w:pPr>
              <w:pStyle w:val="affffff"/>
            </w:pPr>
            <w:r w:rsidRPr="00E67914">
              <w:t>/</w:t>
            </w:r>
          </w:p>
        </w:tc>
        <w:tc>
          <w:tcPr>
            <w:tcW w:w="0" w:type="auto"/>
            <w:vAlign w:val="center"/>
          </w:tcPr>
          <w:p w14:paraId="391004AE" w14:textId="77777777" w:rsidR="00A54A8A" w:rsidRPr="00E67914" w:rsidRDefault="00000000">
            <w:pPr>
              <w:pStyle w:val="affffff"/>
            </w:pPr>
            <w:r w:rsidRPr="00E67914">
              <w:t>5</w:t>
            </w:r>
          </w:p>
        </w:tc>
      </w:tr>
      <w:tr w:rsidR="00E67914" w:rsidRPr="00E67914" w14:paraId="4D2D64E5" w14:textId="77777777">
        <w:trPr>
          <w:cantSplit/>
          <w:jc w:val="center"/>
        </w:trPr>
        <w:tc>
          <w:tcPr>
            <w:tcW w:w="0" w:type="auto"/>
            <w:vAlign w:val="center"/>
          </w:tcPr>
          <w:p w14:paraId="5D3E1201" w14:textId="77777777" w:rsidR="00A54A8A" w:rsidRPr="00E67914" w:rsidRDefault="00A54A8A">
            <w:pPr>
              <w:pStyle w:val="affffff"/>
            </w:pPr>
          </w:p>
        </w:tc>
        <w:tc>
          <w:tcPr>
            <w:tcW w:w="0" w:type="auto"/>
            <w:vAlign w:val="center"/>
          </w:tcPr>
          <w:p w14:paraId="31459212" w14:textId="77777777" w:rsidR="00A54A8A" w:rsidRPr="00E67914" w:rsidRDefault="00000000">
            <w:pPr>
              <w:pStyle w:val="affffff"/>
            </w:pPr>
            <w:r w:rsidRPr="00E67914">
              <w:t>泥浆储备罐</w:t>
            </w:r>
          </w:p>
        </w:tc>
        <w:tc>
          <w:tcPr>
            <w:tcW w:w="0" w:type="auto"/>
            <w:vAlign w:val="center"/>
          </w:tcPr>
          <w:p w14:paraId="550190FB" w14:textId="77777777" w:rsidR="00A54A8A" w:rsidRPr="00E67914" w:rsidRDefault="00000000">
            <w:pPr>
              <w:pStyle w:val="affffff"/>
            </w:pPr>
            <w:r w:rsidRPr="00E67914">
              <w:t>60m</w:t>
            </w:r>
            <w:r w:rsidRPr="00E67914">
              <w:rPr>
                <w:vertAlign w:val="superscript"/>
              </w:rPr>
              <w:t>3</w:t>
            </w:r>
            <w:r w:rsidRPr="00E67914">
              <w:t>/</w:t>
            </w:r>
            <w:r w:rsidRPr="00E67914">
              <w:t>个</w:t>
            </w:r>
          </w:p>
        </w:tc>
        <w:tc>
          <w:tcPr>
            <w:tcW w:w="0" w:type="auto"/>
            <w:vAlign w:val="center"/>
          </w:tcPr>
          <w:p w14:paraId="3823E239" w14:textId="77777777" w:rsidR="00A54A8A" w:rsidRPr="00E67914" w:rsidRDefault="00000000">
            <w:pPr>
              <w:pStyle w:val="affffff"/>
            </w:pPr>
            <w:r w:rsidRPr="00E67914">
              <w:t>/</w:t>
            </w:r>
          </w:p>
        </w:tc>
        <w:tc>
          <w:tcPr>
            <w:tcW w:w="0" w:type="auto"/>
            <w:vAlign w:val="center"/>
          </w:tcPr>
          <w:p w14:paraId="53AA73E8" w14:textId="77777777" w:rsidR="00A54A8A" w:rsidRPr="00E67914" w:rsidRDefault="00000000">
            <w:pPr>
              <w:pStyle w:val="affffff"/>
            </w:pPr>
            <w:r w:rsidRPr="00E67914">
              <w:t>13</w:t>
            </w:r>
          </w:p>
        </w:tc>
      </w:tr>
      <w:tr w:rsidR="00E67914" w:rsidRPr="00E67914" w14:paraId="6347D7E2" w14:textId="77777777">
        <w:trPr>
          <w:cantSplit/>
          <w:jc w:val="center"/>
        </w:trPr>
        <w:tc>
          <w:tcPr>
            <w:tcW w:w="0" w:type="auto"/>
            <w:vAlign w:val="center"/>
          </w:tcPr>
          <w:p w14:paraId="61848852" w14:textId="77777777" w:rsidR="00A54A8A" w:rsidRPr="00E67914" w:rsidRDefault="00A54A8A">
            <w:pPr>
              <w:pStyle w:val="affffff"/>
            </w:pPr>
          </w:p>
        </w:tc>
        <w:tc>
          <w:tcPr>
            <w:tcW w:w="0" w:type="auto"/>
            <w:vAlign w:val="center"/>
          </w:tcPr>
          <w:p w14:paraId="346E978B" w14:textId="77777777" w:rsidR="00A54A8A" w:rsidRPr="00E67914" w:rsidRDefault="00000000">
            <w:pPr>
              <w:pStyle w:val="affffff"/>
            </w:pPr>
            <w:r w:rsidRPr="00E67914">
              <w:t>搅拌器</w:t>
            </w:r>
          </w:p>
        </w:tc>
        <w:tc>
          <w:tcPr>
            <w:tcW w:w="0" w:type="auto"/>
            <w:vAlign w:val="center"/>
          </w:tcPr>
          <w:p w14:paraId="11B87C9A" w14:textId="77777777" w:rsidR="00A54A8A" w:rsidRPr="00E67914" w:rsidRDefault="00000000">
            <w:pPr>
              <w:pStyle w:val="affffff"/>
            </w:pPr>
            <w:r w:rsidRPr="00E67914">
              <w:t>按标准配备</w:t>
            </w:r>
          </w:p>
        </w:tc>
        <w:tc>
          <w:tcPr>
            <w:tcW w:w="0" w:type="auto"/>
            <w:vAlign w:val="center"/>
          </w:tcPr>
          <w:p w14:paraId="6D90CFE6" w14:textId="77777777" w:rsidR="00A54A8A" w:rsidRPr="00E67914" w:rsidRDefault="00000000">
            <w:pPr>
              <w:pStyle w:val="affffff"/>
            </w:pPr>
            <w:r w:rsidRPr="00E67914">
              <w:t>/</w:t>
            </w:r>
          </w:p>
        </w:tc>
        <w:tc>
          <w:tcPr>
            <w:tcW w:w="0" w:type="auto"/>
            <w:vAlign w:val="center"/>
          </w:tcPr>
          <w:p w14:paraId="67848DFC" w14:textId="77777777" w:rsidR="00A54A8A" w:rsidRPr="00E67914" w:rsidRDefault="00000000">
            <w:pPr>
              <w:pStyle w:val="affffff"/>
            </w:pPr>
            <w:r w:rsidRPr="00E67914">
              <w:t>8~10</w:t>
            </w:r>
          </w:p>
        </w:tc>
      </w:tr>
      <w:tr w:rsidR="00E67914" w:rsidRPr="00E67914" w14:paraId="1F184AE0" w14:textId="77777777">
        <w:trPr>
          <w:cantSplit/>
          <w:jc w:val="center"/>
        </w:trPr>
        <w:tc>
          <w:tcPr>
            <w:tcW w:w="0" w:type="auto"/>
            <w:vAlign w:val="center"/>
          </w:tcPr>
          <w:p w14:paraId="5631E30D" w14:textId="77777777" w:rsidR="00A54A8A" w:rsidRPr="00E67914" w:rsidRDefault="00A54A8A">
            <w:pPr>
              <w:pStyle w:val="affffff"/>
            </w:pPr>
          </w:p>
        </w:tc>
        <w:tc>
          <w:tcPr>
            <w:tcW w:w="0" w:type="auto"/>
            <w:vAlign w:val="center"/>
          </w:tcPr>
          <w:p w14:paraId="52E03D6B" w14:textId="77777777" w:rsidR="00A54A8A" w:rsidRPr="00E67914" w:rsidRDefault="00000000">
            <w:pPr>
              <w:pStyle w:val="affffff"/>
            </w:pPr>
            <w:r w:rsidRPr="00E67914">
              <w:t>自动压风机</w:t>
            </w:r>
          </w:p>
        </w:tc>
        <w:tc>
          <w:tcPr>
            <w:tcW w:w="0" w:type="auto"/>
            <w:vAlign w:val="center"/>
          </w:tcPr>
          <w:p w14:paraId="7FA10796" w14:textId="77777777" w:rsidR="00A54A8A" w:rsidRPr="00E67914" w:rsidRDefault="00000000">
            <w:pPr>
              <w:pStyle w:val="affffff"/>
            </w:pPr>
            <w:r w:rsidRPr="00E67914">
              <w:t>2V6.5/12</w:t>
            </w:r>
          </w:p>
        </w:tc>
        <w:tc>
          <w:tcPr>
            <w:tcW w:w="0" w:type="auto"/>
            <w:vAlign w:val="center"/>
          </w:tcPr>
          <w:p w14:paraId="5FACFDE6" w14:textId="77777777" w:rsidR="00A54A8A" w:rsidRPr="00E67914" w:rsidRDefault="00000000">
            <w:pPr>
              <w:pStyle w:val="affffff"/>
            </w:pPr>
            <w:r w:rsidRPr="00E67914">
              <w:t>6.5m</w:t>
            </w:r>
            <w:r w:rsidRPr="00E67914">
              <w:rPr>
                <w:vertAlign w:val="superscript"/>
              </w:rPr>
              <w:t>3</w:t>
            </w:r>
            <w:r w:rsidRPr="00E67914">
              <w:t>/h</w:t>
            </w:r>
          </w:p>
        </w:tc>
        <w:tc>
          <w:tcPr>
            <w:tcW w:w="0" w:type="auto"/>
            <w:vAlign w:val="center"/>
          </w:tcPr>
          <w:p w14:paraId="0A955CDD" w14:textId="77777777" w:rsidR="00A54A8A" w:rsidRPr="00E67914" w:rsidRDefault="00000000">
            <w:pPr>
              <w:pStyle w:val="affffff"/>
            </w:pPr>
            <w:r w:rsidRPr="00E67914">
              <w:t>1</w:t>
            </w:r>
          </w:p>
        </w:tc>
      </w:tr>
      <w:tr w:rsidR="00E67914" w:rsidRPr="00E67914" w14:paraId="434ED7C1" w14:textId="77777777">
        <w:trPr>
          <w:cantSplit/>
          <w:jc w:val="center"/>
        </w:trPr>
        <w:tc>
          <w:tcPr>
            <w:tcW w:w="0" w:type="auto"/>
            <w:vAlign w:val="center"/>
          </w:tcPr>
          <w:p w14:paraId="01FD3CE2" w14:textId="77777777" w:rsidR="00A54A8A" w:rsidRPr="00E67914" w:rsidRDefault="00A54A8A">
            <w:pPr>
              <w:pStyle w:val="affffff"/>
            </w:pPr>
          </w:p>
        </w:tc>
        <w:tc>
          <w:tcPr>
            <w:tcW w:w="0" w:type="auto"/>
            <w:vAlign w:val="center"/>
          </w:tcPr>
          <w:p w14:paraId="6B1564D8" w14:textId="77777777" w:rsidR="00A54A8A" w:rsidRPr="00E67914" w:rsidRDefault="00000000">
            <w:pPr>
              <w:pStyle w:val="affffff"/>
            </w:pPr>
            <w:r w:rsidRPr="00E67914">
              <w:t>电动压风机</w:t>
            </w:r>
          </w:p>
        </w:tc>
        <w:tc>
          <w:tcPr>
            <w:tcW w:w="0" w:type="auto"/>
            <w:vAlign w:val="center"/>
          </w:tcPr>
          <w:p w14:paraId="2ECA9BE6" w14:textId="77777777" w:rsidR="00A54A8A" w:rsidRPr="00E67914" w:rsidRDefault="00000000">
            <w:pPr>
              <w:pStyle w:val="affffff"/>
            </w:pPr>
            <w:r w:rsidRPr="00E67914">
              <w:t>LGD-3/10-X</w:t>
            </w:r>
          </w:p>
        </w:tc>
        <w:tc>
          <w:tcPr>
            <w:tcW w:w="0" w:type="auto"/>
            <w:vAlign w:val="center"/>
          </w:tcPr>
          <w:p w14:paraId="2DCB807A" w14:textId="77777777" w:rsidR="00A54A8A" w:rsidRPr="00E67914" w:rsidRDefault="00000000">
            <w:pPr>
              <w:pStyle w:val="affffff"/>
            </w:pPr>
            <w:r w:rsidRPr="00E67914">
              <w:t>3.5m</w:t>
            </w:r>
            <w:r w:rsidRPr="00E67914">
              <w:rPr>
                <w:vertAlign w:val="superscript"/>
              </w:rPr>
              <w:t>3</w:t>
            </w:r>
            <w:r w:rsidRPr="00E67914">
              <w:t>/h</w:t>
            </w:r>
          </w:p>
        </w:tc>
        <w:tc>
          <w:tcPr>
            <w:tcW w:w="0" w:type="auto"/>
            <w:vAlign w:val="center"/>
          </w:tcPr>
          <w:p w14:paraId="730C8B74" w14:textId="77777777" w:rsidR="00A54A8A" w:rsidRPr="00E67914" w:rsidRDefault="00000000">
            <w:pPr>
              <w:pStyle w:val="affffff"/>
            </w:pPr>
            <w:r w:rsidRPr="00E67914">
              <w:t>1</w:t>
            </w:r>
          </w:p>
        </w:tc>
      </w:tr>
      <w:tr w:rsidR="00E67914" w:rsidRPr="00E67914" w14:paraId="465CB8FA" w14:textId="77777777">
        <w:trPr>
          <w:cantSplit/>
          <w:jc w:val="center"/>
        </w:trPr>
        <w:tc>
          <w:tcPr>
            <w:tcW w:w="0" w:type="auto"/>
            <w:vAlign w:val="center"/>
          </w:tcPr>
          <w:p w14:paraId="42B7CF45" w14:textId="77777777" w:rsidR="00A54A8A" w:rsidRPr="00E67914" w:rsidRDefault="00A54A8A">
            <w:pPr>
              <w:pStyle w:val="affffff"/>
            </w:pPr>
          </w:p>
        </w:tc>
        <w:tc>
          <w:tcPr>
            <w:tcW w:w="0" w:type="auto"/>
            <w:vAlign w:val="center"/>
          </w:tcPr>
          <w:p w14:paraId="209760D6" w14:textId="77777777" w:rsidR="00A54A8A" w:rsidRPr="00E67914" w:rsidRDefault="00000000">
            <w:pPr>
              <w:pStyle w:val="affffff"/>
            </w:pPr>
            <w:r w:rsidRPr="00E67914">
              <w:t>刹车系统</w:t>
            </w:r>
          </w:p>
        </w:tc>
        <w:tc>
          <w:tcPr>
            <w:tcW w:w="0" w:type="auto"/>
            <w:vAlign w:val="center"/>
          </w:tcPr>
          <w:p w14:paraId="6A6AB241" w14:textId="77777777" w:rsidR="00A54A8A" w:rsidRPr="00E67914" w:rsidRDefault="00000000">
            <w:pPr>
              <w:pStyle w:val="affffff"/>
            </w:pPr>
            <w:r w:rsidRPr="00E67914">
              <w:t>按标准配备</w:t>
            </w:r>
          </w:p>
        </w:tc>
        <w:tc>
          <w:tcPr>
            <w:tcW w:w="0" w:type="auto"/>
            <w:vAlign w:val="center"/>
          </w:tcPr>
          <w:p w14:paraId="1A455084" w14:textId="77777777" w:rsidR="00A54A8A" w:rsidRPr="00E67914" w:rsidRDefault="00000000">
            <w:pPr>
              <w:pStyle w:val="affffff"/>
            </w:pPr>
            <w:r w:rsidRPr="00E67914">
              <w:t>/</w:t>
            </w:r>
          </w:p>
        </w:tc>
        <w:tc>
          <w:tcPr>
            <w:tcW w:w="0" w:type="auto"/>
            <w:vAlign w:val="center"/>
          </w:tcPr>
          <w:p w14:paraId="702E96D1" w14:textId="77777777" w:rsidR="00A54A8A" w:rsidRPr="00E67914" w:rsidRDefault="00000000">
            <w:pPr>
              <w:pStyle w:val="affffff"/>
            </w:pPr>
            <w:r w:rsidRPr="00E67914">
              <w:t>1</w:t>
            </w:r>
          </w:p>
        </w:tc>
      </w:tr>
      <w:tr w:rsidR="00E67914" w:rsidRPr="00E67914" w14:paraId="56C2CBD9" w14:textId="77777777">
        <w:trPr>
          <w:cantSplit/>
          <w:jc w:val="center"/>
        </w:trPr>
        <w:tc>
          <w:tcPr>
            <w:tcW w:w="0" w:type="auto"/>
            <w:vAlign w:val="center"/>
          </w:tcPr>
          <w:p w14:paraId="6E311BC5" w14:textId="77777777" w:rsidR="00A54A8A" w:rsidRPr="00E67914" w:rsidRDefault="00A54A8A">
            <w:pPr>
              <w:pStyle w:val="affffff"/>
            </w:pPr>
          </w:p>
        </w:tc>
        <w:tc>
          <w:tcPr>
            <w:tcW w:w="0" w:type="auto"/>
            <w:vAlign w:val="center"/>
          </w:tcPr>
          <w:p w14:paraId="6D03434F" w14:textId="77777777" w:rsidR="00A54A8A" w:rsidRPr="00E67914" w:rsidRDefault="00000000">
            <w:pPr>
              <w:pStyle w:val="affffff"/>
            </w:pPr>
            <w:r w:rsidRPr="00E67914">
              <w:t>辅助刹车</w:t>
            </w:r>
          </w:p>
        </w:tc>
        <w:tc>
          <w:tcPr>
            <w:tcW w:w="0" w:type="auto"/>
            <w:vAlign w:val="center"/>
          </w:tcPr>
          <w:p w14:paraId="313A1986" w14:textId="77777777" w:rsidR="00A54A8A" w:rsidRPr="00E67914" w:rsidRDefault="00000000">
            <w:pPr>
              <w:pStyle w:val="affffff"/>
            </w:pPr>
            <w:r w:rsidRPr="00E67914">
              <w:t>按标准配备</w:t>
            </w:r>
          </w:p>
        </w:tc>
        <w:tc>
          <w:tcPr>
            <w:tcW w:w="0" w:type="auto"/>
            <w:vAlign w:val="center"/>
          </w:tcPr>
          <w:p w14:paraId="1CF1EBD8" w14:textId="77777777" w:rsidR="00A54A8A" w:rsidRPr="00E67914" w:rsidRDefault="00000000">
            <w:pPr>
              <w:pStyle w:val="affffff"/>
            </w:pPr>
            <w:r w:rsidRPr="00E67914">
              <w:t>/</w:t>
            </w:r>
          </w:p>
        </w:tc>
        <w:tc>
          <w:tcPr>
            <w:tcW w:w="0" w:type="auto"/>
            <w:vAlign w:val="center"/>
          </w:tcPr>
          <w:p w14:paraId="07F17FDC" w14:textId="77777777" w:rsidR="00A54A8A" w:rsidRPr="00E67914" w:rsidRDefault="00000000">
            <w:pPr>
              <w:pStyle w:val="affffff"/>
            </w:pPr>
            <w:r w:rsidRPr="00E67914">
              <w:t>1</w:t>
            </w:r>
          </w:p>
        </w:tc>
      </w:tr>
      <w:tr w:rsidR="00E67914" w:rsidRPr="00E67914" w14:paraId="16C88AF5" w14:textId="77777777">
        <w:trPr>
          <w:cantSplit/>
          <w:jc w:val="center"/>
        </w:trPr>
        <w:tc>
          <w:tcPr>
            <w:tcW w:w="0" w:type="auto"/>
            <w:vAlign w:val="center"/>
          </w:tcPr>
          <w:p w14:paraId="0A133521" w14:textId="77777777" w:rsidR="00A54A8A" w:rsidRPr="00E67914" w:rsidRDefault="00A54A8A">
            <w:pPr>
              <w:pStyle w:val="affffff"/>
            </w:pPr>
          </w:p>
        </w:tc>
        <w:tc>
          <w:tcPr>
            <w:tcW w:w="0" w:type="auto"/>
            <w:vAlign w:val="center"/>
          </w:tcPr>
          <w:p w14:paraId="1DE9D8AE" w14:textId="77777777" w:rsidR="00A54A8A" w:rsidRPr="00E67914" w:rsidRDefault="00000000">
            <w:pPr>
              <w:pStyle w:val="affffff"/>
            </w:pPr>
            <w:r w:rsidRPr="00E67914">
              <w:t>振动筛</w:t>
            </w:r>
            <w:r w:rsidRPr="00E67914">
              <w:t>1#</w:t>
            </w:r>
          </w:p>
        </w:tc>
        <w:tc>
          <w:tcPr>
            <w:tcW w:w="0" w:type="auto"/>
            <w:vAlign w:val="center"/>
          </w:tcPr>
          <w:p w14:paraId="2F2A4CB3" w14:textId="77777777" w:rsidR="00A54A8A" w:rsidRPr="00E67914" w:rsidRDefault="00000000">
            <w:pPr>
              <w:pStyle w:val="affffff"/>
            </w:pPr>
            <w:r w:rsidRPr="00E67914">
              <w:t>ZS1*1.15</w:t>
            </w:r>
          </w:p>
        </w:tc>
        <w:tc>
          <w:tcPr>
            <w:tcW w:w="0" w:type="auto"/>
            <w:vAlign w:val="center"/>
          </w:tcPr>
          <w:p w14:paraId="04CD3F6E" w14:textId="77777777" w:rsidR="00A54A8A" w:rsidRPr="00E67914" w:rsidRDefault="00000000">
            <w:pPr>
              <w:pStyle w:val="affffff"/>
            </w:pPr>
            <w:r w:rsidRPr="00E67914">
              <w:t>5.5kW</w:t>
            </w:r>
          </w:p>
        </w:tc>
        <w:tc>
          <w:tcPr>
            <w:tcW w:w="0" w:type="auto"/>
            <w:vAlign w:val="center"/>
          </w:tcPr>
          <w:p w14:paraId="51070E9D" w14:textId="77777777" w:rsidR="00A54A8A" w:rsidRPr="00E67914" w:rsidRDefault="00000000">
            <w:pPr>
              <w:pStyle w:val="affffff"/>
            </w:pPr>
            <w:r w:rsidRPr="00E67914">
              <w:t>1</w:t>
            </w:r>
          </w:p>
        </w:tc>
      </w:tr>
      <w:tr w:rsidR="00E67914" w:rsidRPr="00E67914" w14:paraId="6215CD83" w14:textId="77777777">
        <w:trPr>
          <w:cantSplit/>
          <w:jc w:val="center"/>
        </w:trPr>
        <w:tc>
          <w:tcPr>
            <w:tcW w:w="0" w:type="auto"/>
            <w:vAlign w:val="center"/>
          </w:tcPr>
          <w:p w14:paraId="26879E64" w14:textId="77777777" w:rsidR="00A54A8A" w:rsidRPr="00E67914" w:rsidRDefault="00A54A8A">
            <w:pPr>
              <w:pStyle w:val="affffff"/>
            </w:pPr>
          </w:p>
        </w:tc>
        <w:tc>
          <w:tcPr>
            <w:tcW w:w="0" w:type="auto"/>
            <w:vAlign w:val="center"/>
          </w:tcPr>
          <w:p w14:paraId="3BD41D72" w14:textId="77777777" w:rsidR="00A54A8A" w:rsidRPr="00E67914" w:rsidRDefault="00000000">
            <w:pPr>
              <w:pStyle w:val="affffff"/>
            </w:pPr>
            <w:r w:rsidRPr="00E67914">
              <w:t>振动筛</w:t>
            </w:r>
            <w:r w:rsidRPr="00E67914">
              <w:t>2#</w:t>
            </w:r>
          </w:p>
        </w:tc>
        <w:tc>
          <w:tcPr>
            <w:tcW w:w="0" w:type="auto"/>
            <w:vAlign w:val="center"/>
          </w:tcPr>
          <w:p w14:paraId="537A8451" w14:textId="77777777" w:rsidR="00A54A8A" w:rsidRPr="00E67914" w:rsidRDefault="00000000">
            <w:pPr>
              <w:pStyle w:val="affffff"/>
            </w:pPr>
            <w:r w:rsidRPr="00E67914">
              <w:t>ZS1*1.15</w:t>
            </w:r>
          </w:p>
        </w:tc>
        <w:tc>
          <w:tcPr>
            <w:tcW w:w="0" w:type="auto"/>
            <w:vAlign w:val="center"/>
          </w:tcPr>
          <w:p w14:paraId="1E32F277" w14:textId="77777777" w:rsidR="00A54A8A" w:rsidRPr="00E67914" w:rsidRDefault="00000000">
            <w:pPr>
              <w:pStyle w:val="affffff"/>
            </w:pPr>
            <w:r w:rsidRPr="00E67914">
              <w:t>5.5kW</w:t>
            </w:r>
          </w:p>
        </w:tc>
        <w:tc>
          <w:tcPr>
            <w:tcW w:w="0" w:type="auto"/>
            <w:vAlign w:val="center"/>
          </w:tcPr>
          <w:p w14:paraId="238C8D4F" w14:textId="77777777" w:rsidR="00A54A8A" w:rsidRPr="00E67914" w:rsidRDefault="00000000">
            <w:pPr>
              <w:pStyle w:val="affffff"/>
            </w:pPr>
            <w:r w:rsidRPr="00E67914">
              <w:t>1</w:t>
            </w:r>
          </w:p>
        </w:tc>
      </w:tr>
      <w:tr w:rsidR="00E67914" w:rsidRPr="00E67914" w14:paraId="0D64A42A" w14:textId="77777777">
        <w:trPr>
          <w:cantSplit/>
          <w:jc w:val="center"/>
        </w:trPr>
        <w:tc>
          <w:tcPr>
            <w:tcW w:w="0" w:type="auto"/>
            <w:vAlign w:val="center"/>
          </w:tcPr>
          <w:p w14:paraId="797A152B" w14:textId="77777777" w:rsidR="00A54A8A" w:rsidRPr="00E67914" w:rsidRDefault="00A54A8A">
            <w:pPr>
              <w:pStyle w:val="affffff"/>
            </w:pPr>
          </w:p>
        </w:tc>
        <w:tc>
          <w:tcPr>
            <w:tcW w:w="0" w:type="auto"/>
            <w:vAlign w:val="center"/>
          </w:tcPr>
          <w:p w14:paraId="5B8B191E" w14:textId="77777777" w:rsidR="00A54A8A" w:rsidRPr="00E67914" w:rsidRDefault="00000000">
            <w:pPr>
              <w:pStyle w:val="affffff"/>
            </w:pPr>
            <w:r w:rsidRPr="00E67914">
              <w:t>振动筛</w:t>
            </w:r>
            <w:r w:rsidRPr="00E67914">
              <w:t>3#</w:t>
            </w:r>
          </w:p>
        </w:tc>
        <w:tc>
          <w:tcPr>
            <w:tcW w:w="0" w:type="auto"/>
            <w:vAlign w:val="center"/>
          </w:tcPr>
          <w:p w14:paraId="024F6F8A" w14:textId="77777777" w:rsidR="00A54A8A" w:rsidRPr="00E67914" w:rsidRDefault="00000000">
            <w:pPr>
              <w:pStyle w:val="affffff"/>
            </w:pPr>
            <w:r w:rsidRPr="00E67914">
              <w:t>ZS1*1.15</w:t>
            </w:r>
          </w:p>
        </w:tc>
        <w:tc>
          <w:tcPr>
            <w:tcW w:w="0" w:type="auto"/>
            <w:vAlign w:val="center"/>
          </w:tcPr>
          <w:p w14:paraId="3C76BA3B" w14:textId="77777777" w:rsidR="00A54A8A" w:rsidRPr="00E67914" w:rsidRDefault="00000000">
            <w:pPr>
              <w:pStyle w:val="affffff"/>
            </w:pPr>
            <w:r w:rsidRPr="00E67914">
              <w:t>5.5kW</w:t>
            </w:r>
          </w:p>
        </w:tc>
        <w:tc>
          <w:tcPr>
            <w:tcW w:w="0" w:type="auto"/>
            <w:vAlign w:val="center"/>
          </w:tcPr>
          <w:p w14:paraId="31D32CA6" w14:textId="77777777" w:rsidR="00A54A8A" w:rsidRPr="00E67914" w:rsidRDefault="00000000">
            <w:pPr>
              <w:pStyle w:val="affffff"/>
            </w:pPr>
            <w:r w:rsidRPr="00E67914">
              <w:t>1</w:t>
            </w:r>
          </w:p>
        </w:tc>
      </w:tr>
      <w:tr w:rsidR="00E67914" w:rsidRPr="00E67914" w14:paraId="086BBCCB" w14:textId="77777777">
        <w:trPr>
          <w:cantSplit/>
          <w:jc w:val="center"/>
        </w:trPr>
        <w:tc>
          <w:tcPr>
            <w:tcW w:w="0" w:type="auto"/>
            <w:vAlign w:val="center"/>
          </w:tcPr>
          <w:p w14:paraId="68FA9A26" w14:textId="77777777" w:rsidR="00A54A8A" w:rsidRPr="00E67914" w:rsidRDefault="00A54A8A">
            <w:pPr>
              <w:pStyle w:val="affffff"/>
            </w:pPr>
          </w:p>
        </w:tc>
        <w:tc>
          <w:tcPr>
            <w:tcW w:w="0" w:type="auto"/>
            <w:vAlign w:val="center"/>
          </w:tcPr>
          <w:p w14:paraId="70F89B2A" w14:textId="77777777" w:rsidR="00A54A8A" w:rsidRPr="00E67914" w:rsidRDefault="00000000">
            <w:pPr>
              <w:pStyle w:val="affffff"/>
            </w:pPr>
            <w:r w:rsidRPr="00E67914">
              <w:t>除砂器</w:t>
            </w:r>
          </w:p>
        </w:tc>
        <w:tc>
          <w:tcPr>
            <w:tcW w:w="0" w:type="auto"/>
            <w:vAlign w:val="center"/>
          </w:tcPr>
          <w:p w14:paraId="0C6581AA" w14:textId="77777777" w:rsidR="00A54A8A" w:rsidRPr="00E67914" w:rsidRDefault="00000000">
            <w:pPr>
              <w:pStyle w:val="affffff"/>
            </w:pPr>
            <w:r w:rsidRPr="00E67914">
              <w:t>XQJS300*2F</w:t>
            </w:r>
          </w:p>
        </w:tc>
        <w:tc>
          <w:tcPr>
            <w:tcW w:w="0" w:type="auto"/>
            <w:vAlign w:val="center"/>
          </w:tcPr>
          <w:p w14:paraId="2D2BFD59" w14:textId="77777777" w:rsidR="00A54A8A" w:rsidRPr="00E67914" w:rsidRDefault="00000000">
            <w:pPr>
              <w:pStyle w:val="affffff"/>
            </w:pPr>
            <w:r w:rsidRPr="00E67914">
              <w:t>55kW</w:t>
            </w:r>
          </w:p>
        </w:tc>
        <w:tc>
          <w:tcPr>
            <w:tcW w:w="0" w:type="auto"/>
            <w:vAlign w:val="center"/>
          </w:tcPr>
          <w:p w14:paraId="0BA307B7" w14:textId="77777777" w:rsidR="00A54A8A" w:rsidRPr="00E67914" w:rsidRDefault="00000000">
            <w:pPr>
              <w:pStyle w:val="affffff"/>
            </w:pPr>
            <w:r w:rsidRPr="00E67914">
              <w:t>1</w:t>
            </w:r>
          </w:p>
        </w:tc>
      </w:tr>
      <w:tr w:rsidR="00E67914" w:rsidRPr="00E67914" w14:paraId="73D16EEE" w14:textId="77777777">
        <w:trPr>
          <w:cantSplit/>
          <w:jc w:val="center"/>
        </w:trPr>
        <w:tc>
          <w:tcPr>
            <w:tcW w:w="0" w:type="auto"/>
            <w:vAlign w:val="center"/>
          </w:tcPr>
          <w:p w14:paraId="28366BE6" w14:textId="77777777" w:rsidR="00A54A8A" w:rsidRPr="00E67914" w:rsidRDefault="00A54A8A">
            <w:pPr>
              <w:pStyle w:val="affffff"/>
            </w:pPr>
          </w:p>
        </w:tc>
        <w:tc>
          <w:tcPr>
            <w:tcW w:w="0" w:type="auto"/>
            <w:vAlign w:val="center"/>
          </w:tcPr>
          <w:p w14:paraId="4AD61A37" w14:textId="77777777" w:rsidR="00A54A8A" w:rsidRPr="00E67914" w:rsidRDefault="00000000">
            <w:pPr>
              <w:pStyle w:val="affffff"/>
            </w:pPr>
            <w:r w:rsidRPr="00E67914">
              <w:t>除泥器</w:t>
            </w:r>
          </w:p>
        </w:tc>
        <w:tc>
          <w:tcPr>
            <w:tcW w:w="0" w:type="auto"/>
            <w:vAlign w:val="center"/>
          </w:tcPr>
          <w:p w14:paraId="12B88AA6" w14:textId="77777777" w:rsidR="00A54A8A" w:rsidRPr="00E67914" w:rsidRDefault="00000000">
            <w:pPr>
              <w:pStyle w:val="affffff"/>
            </w:pPr>
            <w:r w:rsidRPr="00E67914">
              <w:t>/</w:t>
            </w:r>
          </w:p>
        </w:tc>
        <w:tc>
          <w:tcPr>
            <w:tcW w:w="0" w:type="auto"/>
            <w:vAlign w:val="center"/>
          </w:tcPr>
          <w:p w14:paraId="4CABAD8A" w14:textId="77777777" w:rsidR="00A54A8A" w:rsidRPr="00E67914" w:rsidRDefault="00000000">
            <w:pPr>
              <w:pStyle w:val="affffff"/>
            </w:pPr>
            <w:r w:rsidRPr="00E67914">
              <w:t>/</w:t>
            </w:r>
          </w:p>
        </w:tc>
        <w:tc>
          <w:tcPr>
            <w:tcW w:w="0" w:type="auto"/>
            <w:vAlign w:val="center"/>
          </w:tcPr>
          <w:p w14:paraId="712D598D" w14:textId="77777777" w:rsidR="00A54A8A" w:rsidRPr="00E67914" w:rsidRDefault="00000000">
            <w:pPr>
              <w:pStyle w:val="affffff"/>
            </w:pPr>
            <w:r w:rsidRPr="00E67914">
              <w:t>1</w:t>
            </w:r>
          </w:p>
        </w:tc>
      </w:tr>
      <w:tr w:rsidR="00E67914" w:rsidRPr="00E67914" w14:paraId="490D33B8" w14:textId="77777777">
        <w:trPr>
          <w:cantSplit/>
          <w:jc w:val="center"/>
        </w:trPr>
        <w:tc>
          <w:tcPr>
            <w:tcW w:w="0" w:type="auto"/>
            <w:vAlign w:val="center"/>
          </w:tcPr>
          <w:p w14:paraId="44999247" w14:textId="77777777" w:rsidR="00A54A8A" w:rsidRPr="00E67914" w:rsidRDefault="00A54A8A">
            <w:pPr>
              <w:pStyle w:val="affffff"/>
            </w:pPr>
          </w:p>
        </w:tc>
        <w:tc>
          <w:tcPr>
            <w:tcW w:w="0" w:type="auto"/>
            <w:vAlign w:val="center"/>
          </w:tcPr>
          <w:p w14:paraId="528D8456" w14:textId="77777777" w:rsidR="00A54A8A" w:rsidRPr="00E67914" w:rsidRDefault="00000000">
            <w:pPr>
              <w:pStyle w:val="affffff"/>
            </w:pPr>
            <w:r w:rsidRPr="00E67914">
              <w:t>除气器</w:t>
            </w:r>
          </w:p>
        </w:tc>
        <w:tc>
          <w:tcPr>
            <w:tcW w:w="0" w:type="auto"/>
            <w:vAlign w:val="center"/>
          </w:tcPr>
          <w:p w14:paraId="1A1AA937" w14:textId="77777777" w:rsidR="00A54A8A" w:rsidRPr="00E67914" w:rsidRDefault="00000000">
            <w:pPr>
              <w:pStyle w:val="affffff"/>
            </w:pPr>
            <w:r w:rsidRPr="00E67914">
              <w:t>/</w:t>
            </w:r>
          </w:p>
        </w:tc>
        <w:tc>
          <w:tcPr>
            <w:tcW w:w="0" w:type="auto"/>
            <w:vAlign w:val="center"/>
          </w:tcPr>
          <w:p w14:paraId="0BDA71E2" w14:textId="77777777" w:rsidR="00A54A8A" w:rsidRPr="00E67914" w:rsidRDefault="00000000">
            <w:pPr>
              <w:pStyle w:val="affffff"/>
            </w:pPr>
            <w:r w:rsidRPr="00E67914">
              <w:t>/</w:t>
            </w:r>
          </w:p>
        </w:tc>
        <w:tc>
          <w:tcPr>
            <w:tcW w:w="0" w:type="auto"/>
            <w:vAlign w:val="center"/>
          </w:tcPr>
          <w:p w14:paraId="564FA8D7" w14:textId="77777777" w:rsidR="00A54A8A" w:rsidRPr="00E67914" w:rsidRDefault="00000000">
            <w:pPr>
              <w:pStyle w:val="affffff"/>
            </w:pPr>
            <w:r w:rsidRPr="00E67914">
              <w:t>1</w:t>
            </w:r>
          </w:p>
        </w:tc>
      </w:tr>
      <w:tr w:rsidR="00E67914" w:rsidRPr="00E67914" w14:paraId="29CB6603" w14:textId="77777777">
        <w:trPr>
          <w:cantSplit/>
          <w:jc w:val="center"/>
        </w:trPr>
        <w:tc>
          <w:tcPr>
            <w:tcW w:w="0" w:type="auto"/>
            <w:vAlign w:val="center"/>
          </w:tcPr>
          <w:p w14:paraId="1A85FE1A" w14:textId="77777777" w:rsidR="00A54A8A" w:rsidRPr="00E67914" w:rsidRDefault="00A54A8A">
            <w:pPr>
              <w:pStyle w:val="affffff"/>
            </w:pPr>
          </w:p>
        </w:tc>
        <w:tc>
          <w:tcPr>
            <w:tcW w:w="0" w:type="auto"/>
            <w:vAlign w:val="center"/>
          </w:tcPr>
          <w:p w14:paraId="2171E046" w14:textId="77777777" w:rsidR="00A54A8A" w:rsidRPr="00E67914" w:rsidRDefault="00000000">
            <w:pPr>
              <w:pStyle w:val="affffff"/>
            </w:pPr>
            <w:r w:rsidRPr="00E67914">
              <w:t>离心机</w:t>
            </w:r>
          </w:p>
        </w:tc>
        <w:tc>
          <w:tcPr>
            <w:tcW w:w="0" w:type="auto"/>
            <w:vAlign w:val="center"/>
          </w:tcPr>
          <w:p w14:paraId="28B59315" w14:textId="77777777" w:rsidR="00A54A8A" w:rsidRPr="00E67914" w:rsidRDefault="00000000">
            <w:pPr>
              <w:pStyle w:val="affffff"/>
            </w:pPr>
            <w:r w:rsidRPr="00E67914">
              <w:t>LW600-945N</w:t>
            </w:r>
          </w:p>
        </w:tc>
        <w:tc>
          <w:tcPr>
            <w:tcW w:w="0" w:type="auto"/>
            <w:vAlign w:val="center"/>
          </w:tcPr>
          <w:p w14:paraId="58D84234" w14:textId="77777777" w:rsidR="00A54A8A" w:rsidRPr="00E67914" w:rsidRDefault="00000000">
            <w:pPr>
              <w:pStyle w:val="affffff"/>
            </w:pPr>
            <w:r w:rsidRPr="00E67914">
              <w:t>60m</w:t>
            </w:r>
            <w:r w:rsidRPr="00E67914">
              <w:rPr>
                <w:vertAlign w:val="superscript"/>
              </w:rPr>
              <w:t>3</w:t>
            </w:r>
            <w:r w:rsidRPr="00E67914">
              <w:t>/h</w:t>
            </w:r>
          </w:p>
        </w:tc>
        <w:tc>
          <w:tcPr>
            <w:tcW w:w="0" w:type="auto"/>
            <w:vAlign w:val="center"/>
          </w:tcPr>
          <w:p w14:paraId="7B7099DB" w14:textId="77777777" w:rsidR="00A54A8A" w:rsidRPr="00E67914" w:rsidRDefault="00000000">
            <w:pPr>
              <w:pStyle w:val="affffff"/>
            </w:pPr>
            <w:r w:rsidRPr="00E67914">
              <w:t>1</w:t>
            </w:r>
          </w:p>
        </w:tc>
      </w:tr>
      <w:tr w:rsidR="00E67914" w:rsidRPr="00E67914" w14:paraId="335AAC8B" w14:textId="77777777">
        <w:trPr>
          <w:cantSplit/>
          <w:jc w:val="center"/>
        </w:trPr>
        <w:tc>
          <w:tcPr>
            <w:tcW w:w="0" w:type="auto"/>
            <w:vAlign w:val="center"/>
          </w:tcPr>
          <w:p w14:paraId="7B1559E0" w14:textId="77777777" w:rsidR="00A54A8A" w:rsidRPr="00E67914" w:rsidRDefault="00A54A8A">
            <w:pPr>
              <w:pStyle w:val="affffff"/>
            </w:pPr>
          </w:p>
        </w:tc>
        <w:tc>
          <w:tcPr>
            <w:tcW w:w="0" w:type="auto"/>
            <w:vAlign w:val="center"/>
          </w:tcPr>
          <w:p w14:paraId="7D25EFF1" w14:textId="77777777" w:rsidR="00A54A8A" w:rsidRPr="00E67914" w:rsidRDefault="00000000">
            <w:pPr>
              <w:pStyle w:val="affffff"/>
            </w:pPr>
            <w:r w:rsidRPr="00E67914">
              <w:t>加重漏斗</w:t>
            </w:r>
          </w:p>
        </w:tc>
        <w:tc>
          <w:tcPr>
            <w:tcW w:w="0" w:type="auto"/>
            <w:vAlign w:val="center"/>
          </w:tcPr>
          <w:p w14:paraId="3372DD46" w14:textId="77777777" w:rsidR="00A54A8A" w:rsidRPr="00E67914" w:rsidRDefault="00000000">
            <w:pPr>
              <w:pStyle w:val="affffff"/>
            </w:pPr>
            <w:r w:rsidRPr="00E67914">
              <w:t>按标准配备</w:t>
            </w:r>
          </w:p>
        </w:tc>
        <w:tc>
          <w:tcPr>
            <w:tcW w:w="0" w:type="auto"/>
            <w:vAlign w:val="center"/>
          </w:tcPr>
          <w:p w14:paraId="589F8F7C" w14:textId="77777777" w:rsidR="00A54A8A" w:rsidRPr="00E67914" w:rsidRDefault="00000000">
            <w:pPr>
              <w:pStyle w:val="affffff"/>
            </w:pPr>
            <w:r w:rsidRPr="00E67914">
              <w:t>/</w:t>
            </w:r>
          </w:p>
        </w:tc>
        <w:tc>
          <w:tcPr>
            <w:tcW w:w="0" w:type="auto"/>
            <w:vAlign w:val="center"/>
          </w:tcPr>
          <w:p w14:paraId="7C5065B4" w14:textId="77777777" w:rsidR="00A54A8A" w:rsidRPr="00E67914" w:rsidRDefault="00000000">
            <w:pPr>
              <w:pStyle w:val="affffff"/>
            </w:pPr>
            <w:r w:rsidRPr="00E67914">
              <w:t>1</w:t>
            </w:r>
          </w:p>
        </w:tc>
      </w:tr>
      <w:tr w:rsidR="00E67914" w:rsidRPr="00E67914" w14:paraId="63C2F803" w14:textId="77777777">
        <w:trPr>
          <w:cantSplit/>
          <w:jc w:val="center"/>
        </w:trPr>
        <w:tc>
          <w:tcPr>
            <w:tcW w:w="0" w:type="auto"/>
            <w:vAlign w:val="center"/>
          </w:tcPr>
          <w:p w14:paraId="389A179B" w14:textId="77777777" w:rsidR="00A54A8A" w:rsidRPr="00E67914" w:rsidRDefault="00A54A8A">
            <w:pPr>
              <w:pStyle w:val="affffff"/>
            </w:pPr>
          </w:p>
        </w:tc>
        <w:tc>
          <w:tcPr>
            <w:tcW w:w="0" w:type="auto"/>
            <w:vAlign w:val="center"/>
          </w:tcPr>
          <w:p w14:paraId="0A885740" w14:textId="77777777" w:rsidR="00A54A8A" w:rsidRPr="00E67914" w:rsidRDefault="00000000">
            <w:pPr>
              <w:pStyle w:val="affffff"/>
            </w:pPr>
            <w:r w:rsidRPr="00E67914">
              <w:t>电动加重泵</w:t>
            </w:r>
          </w:p>
        </w:tc>
        <w:tc>
          <w:tcPr>
            <w:tcW w:w="0" w:type="auto"/>
            <w:vAlign w:val="center"/>
          </w:tcPr>
          <w:p w14:paraId="2B87DFBC" w14:textId="77777777" w:rsidR="00A54A8A" w:rsidRPr="00E67914" w:rsidRDefault="00000000">
            <w:pPr>
              <w:pStyle w:val="affffff"/>
            </w:pPr>
            <w:r w:rsidRPr="00E67914">
              <w:t>PHQ-150</w:t>
            </w:r>
          </w:p>
        </w:tc>
        <w:tc>
          <w:tcPr>
            <w:tcW w:w="0" w:type="auto"/>
            <w:vAlign w:val="center"/>
          </w:tcPr>
          <w:p w14:paraId="169EEC97" w14:textId="77777777" w:rsidR="00A54A8A" w:rsidRPr="00E67914" w:rsidRDefault="00000000">
            <w:pPr>
              <w:pStyle w:val="affffff"/>
            </w:pPr>
            <w:r w:rsidRPr="00E67914">
              <w:t>/</w:t>
            </w:r>
          </w:p>
        </w:tc>
        <w:tc>
          <w:tcPr>
            <w:tcW w:w="0" w:type="auto"/>
            <w:vAlign w:val="center"/>
          </w:tcPr>
          <w:p w14:paraId="69E726A8" w14:textId="77777777" w:rsidR="00A54A8A" w:rsidRPr="00E67914" w:rsidRDefault="00000000">
            <w:pPr>
              <w:pStyle w:val="affffff"/>
            </w:pPr>
            <w:r w:rsidRPr="00E67914">
              <w:t>1</w:t>
            </w:r>
          </w:p>
        </w:tc>
      </w:tr>
      <w:tr w:rsidR="00E67914" w:rsidRPr="00E67914" w14:paraId="7FAE0A76" w14:textId="77777777">
        <w:trPr>
          <w:cantSplit/>
          <w:jc w:val="center"/>
        </w:trPr>
        <w:tc>
          <w:tcPr>
            <w:tcW w:w="0" w:type="auto"/>
            <w:vAlign w:val="center"/>
          </w:tcPr>
          <w:p w14:paraId="49B16408" w14:textId="77777777" w:rsidR="00A54A8A" w:rsidRPr="00E67914" w:rsidRDefault="00A54A8A">
            <w:pPr>
              <w:pStyle w:val="affffff"/>
            </w:pPr>
          </w:p>
        </w:tc>
        <w:tc>
          <w:tcPr>
            <w:tcW w:w="0" w:type="auto"/>
            <w:vAlign w:val="center"/>
          </w:tcPr>
          <w:p w14:paraId="355751B0" w14:textId="77777777" w:rsidR="00A54A8A" w:rsidRPr="00E67914" w:rsidRDefault="00000000">
            <w:pPr>
              <w:pStyle w:val="affffff"/>
            </w:pPr>
            <w:r w:rsidRPr="00E67914">
              <w:t>快速自动配浆加重系统</w:t>
            </w:r>
          </w:p>
        </w:tc>
        <w:tc>
          <w:tcPr>
            <w:tcW w:w="0" w:type="auto"/>
            <w:vAlign w:val="center"/>
          </w:tcPr>
          <w:p w14:paraId="71E58B0D" w14:textId="77777777" w:rsidR="00A54A8A" w:rsidRPr="00E67914" w:rsidRDefault="00000000">
            <w:pPr>
              <w:pStyle w:val="affffff"/>
            </w:pPr>
            <w:r w:rsidRPr="00E67914">
              <w:t>/</w:t>
            </w:r>
          </w:p>
        </w:tc>
        <w:tc>
          <w:tcPr>
            <w:tcW w:w="0" w:type="auto"/>
            <w:vAlign w:val="center"/>
          </w:tcPr>
          <w:p w14:paraId="0E1461D2" w14:textId="77777777" w:rsidR="00A54A8A" w:rsidRPr="00E67914" w:rsidRDefault="00000000">
            <w:pPr>
              <w:pStyle w:val="affffff"/>
            </w:pPr>
            <w:r w:rsidRPr="00E67914">
              <w:t>/</w:t>
            </w:r>
          </w:p>
        </w:tc>
        <w:tc>
          <w:tcPr>
            <w:tcW w:w="0" w:type="auto"/>
            <w:vAlign w:val="center"/>
          </w:tcPr>
          <w:p w14:paraId="3EF95E93" w14:textId="77777777" w:rsidR="00A54A8A" w:rsidRPr="00E67914" w:rsidRDefault="00000000">
            <w:pPr>
              <w:pStyle w:val="affffff"/>
            </w:pPr>
            <w:r w:rsidRPr="00E67914">
              <w:t>1</w:t>
            </w:r>
          </w:p>
        </w:tc>
      </w:tr>
      <w:tr w:rsidR="00E67914" w:rsidRPr="00E67914" w14:paraId="68073B4F" w14:textId="77777777">
        <w:trPr>
          <w:cantSplit/>
          <w:jc w:val="center"/>
        </w:trPr>
        <w:tc>
          <w:tcPr>
            <w:tcW w:w="0" w:type="auto"/>
            <w:vAlign w:val="center"/>
          </w:tcPr>
          <w:p w14:paraId="52D441A2" w14:textId="77777777" w:rsidR="00A54A8A" w:rsidRPr="00E67914" w:rsidRDefault="00A54A8A">
            <w:pPr>
              <w:pStyle w:val="affffff"/>
            </w:pPr>
          </w:p>
        </w:tc>
        <w:tc>
          <w:tcPr>
            <w:tcW w:w="0" w:type="auto"/>
            <w:vAlign w:val="center"/>
          </w:tcPr>
          <w:p w14:paraId="33E6CBEE" w14:textId="77777777" w:rsidR="00A54A8A" w:rsidRPr="00E67914" w:rsidRDefault="00000000">
            <w:pPr>
              <w:pStyle w:val="affffff"/>
            </w:pPr>
            <w:r w:rsidRPr="00E67914">
              <w:t>测斜仪</w:t>
            </w:r>
          </w:p>
        </w:tc>
        <w:tc>
          <w:tcPr>
            <w:tcW w:w="0" w:type="auto"/>
            <w:vAlign w:val="center"/>
          </w:tcPr>
          <w:p w14:paraId="382A2867" w14:textId="77777777" w:rsidR="00A54A8A" w:rsidRPr="00E67914" w:rsidRDefault="00000000">
            <w:pPr>
              <w:pStyle w:val="affffff"/>
            </w:pPr>
            <w:r w:rsidRPr="00E67914">
              <w:t>单点测斜仪</w:t>
            </w:r>
          </w:p>
        </w:tc>
        <w:tc>
          <w:tcPr>
            <w:tcW w:w="0" w:type="auto"/>
            <w:vAlign w:val="center"/>
          </w:tcPr>
          <w:p w14:paraId="445CC113" w14:textId="77777777" w:rsidR="00A54A8A" w:rsidRPr="00E67914" w:rsidRDefault="00000000">
            <w:pPr>
              <w:pStyle w:val="affffff"/>
            </w:pPr>
            <w:r w:rsidRPr="00E67914">
              <w:t>/</w:t>
            </w:r>
          </w:p>
        </w:tc>
        <w:tc>
          <w:tcPr>
            <w:tcW w:w="0" w:type="auto"/>
            <w:vAlign w:val="center"/>
          </w:tcPr>
          <w:p w14:paraId="3567BE95" w14:textId="77777777" w:rsidR="00A54A8A" w:rsidRPr="00E67914" w:rsidRDefault="00000000">
            <w:pPr>
              <w:pStyle w:val="affffff"/>
            </w:pPr>
            <w:r w:rsidRPr="00E67914">
              <w:t>1</w:t>
            </w:r>
          </w:p>
        </w:tc>
      </w:tr>
      <w:tr w:rsidR="00E67914" w:rsidRPr="00E67914" w14:paraId="6FD67ACD" w14:textId="77777777">
        <w:trPr>
          <w:cantSplit/>
          <w:jc w:val="center"/>
        </w:trPr>
        <w:tc>
          <w:tcPr>
            <w:tcW w:w="0" w:type="auto"/>
            <w:vAlign w:val="center"/>
          </w:tcPr>
          <w:p w14:paraId="787B3617" w14:textId="77777777" w:rsidR="00A54A8A" w:rsidRPr="00E67914" w:rsidRDefault="00A54A8A">
            <w:pPr>
              <w:pStyle w:val="affffff"/>
            </w:pPr>
          </w:p>
        </w:tc>
        <w:tc>
          <w:tcPr>
            <w:tcW w:w="0" w:type="auto"/>
            <w:vAlign w:val="center"/>
          </w:tcPr>
          <w:p w14:paraId="29D6FBE1" w14:textId="77777777" w:rsidR="00A54A8A" w:rsidRPr="00E67914" w:rsidRDefault="00000000">
            <w:pPr>
              <w:pStyle w:val="affffff"/>
            </w:pPr>
            <w:r w:rsidRPr="00E67914">
              <w:t>测斜绞车</w:t>
            </w:r>
          </w:p>
        </w:tc>
        <w:tc>
          <w:tcPr>
            <w:tcW w:w="0" w:type="auto"/>
            <w:vAlign w:val="center"/>
          </w:tcPr>
          <w:p w14:paraId="3789B364" w14:textId="77777777" w:rsidR="00A54A8A" w:rsidRPr="00E67914" w:rsidRDefault="00000000">
            <w:pPr>
              <w:pStyle w:val="affffff"/>
            </w:pPr>
            <w:r w:rsidRPr="00E67914">
              <w:t>按标准配备</w:t>
            </w:r>
          </w:p>
        </w:tc>
        <w:tc>
          <w:tcPr>
            <w:tcW w:w="0" w:type="auto"/>
            <w:vAlign w:val="center"/>
          </w:tcPr>
          <w:p w14:paraId="38B3D633" w14:textId="77777777" w:rsidR="00A54A8A" w:rsidRPr="00E67914" w:rsidRDefault="00000000">
            <w:pPr>
              <w:pStyle w:val="affffff"/>
            </w:pPr>
            <w:r w:rsidRPr="00E67914">
              <w:t>/</w:t>
            </w:r>
          </w:p>
        </w:tc>
        <w:tc>
          <w:tcPr>
            <w:tcW w:w="0" w:type="auto"/>
            <w:vAlign w:val="center"/>
          </w:tcPr>
          <w:p w14:paraId="662D3851" w14:textId="77777777" w:rsidR="00A54A8A" w:rsidRPr="00E67914" w:rsidRDefault="00000000">
            <w:pPr>
              <w:pStyle w:val="affffff"/>
            </w:pPr>
            <w:r w:rsidRPr="00E67914">
              <w:t>1</w:t>
            </w:r>
          </w:p>
        </w:tc>
      </w:tr>
      <w:tr w:rsidR="00E67914" w:rsidRPr="00E67914" w14:paraId="1F9980A4" w14:textId="77777777">
        <w:trPr>
          <w:cantSplit/>
          <w:jc w:val="center"/>
        </w:trPr>
        <w:tc>
          <w:tcPr>
            <w:tcW w:w="0" w:type="auto"/>
            <w:vAlign w:val="center"/>
          </w:tcPr>
          <w:p w14:paraId="12320296" w14:textId="77777777" w:rsidR="00A54A8A" w:rsidRPr="00E67914" w:rsidRDefault="00A54A8A">
            <w:pPr>
              <w:pStyle w:val="affffff"/>
            </w:pPr>
          </w:p>
        </w:tc>
        <w:tc>
          <w:tcPr>
            <w:tcW w:w="0" w:type="auto"/>
            <w:vAlign w:val="center"/>
          </w:tcPr>
          <w:p w14:paraId="2399EE90" w14:textId="77777777" w:rsidR="00A54A8A" w:rsidRPr="00E67914" w:rsidRDefault="00000000">
            <w:pPr>
              <w:pStyle w:val="affffff"/>
            </w:pPr>
            <w:r w:rsidRPr="00E67914">
              <w:t>液位报警仪</w:t>
            </w:r>
          </w:p>
        </w:tc>
        <w:tc>
          <w:tcPr>
            <w:tcW w:w="0" w:type="auto"/>
            <w:vAlign w:val="center"/>
          </w:tcPr>
          <w:p w14:paraId="6361DB62" w14:textId="77777777" w:rsidR="00A54A8A" w:rsidRPr="00E67914" w:rsidRDefault="00000000">
            <w:pPr>
              <w:pStyle w:val="affffff"/>
            </w:pPr>
            <w:r w:rsidRPr="00E67914">
              <w:t>/</w:t>
            </w:r>
          </w:p>
        </w:tc>
        <w:tc>
          <w:tcPr>
            <w:tcW w:w="0" w:type="auto"/>
            <w:vAlign w:val="center"/>
          </w:tcPr>
          <w:p w14:paraId="3C2A2CF9" w14:textId="77777777" w:rsidR="00A54A8A" w:rsidRPr="00E67914" w:rsidRDefault="00000000">
            <w:pPr>
              <w:pStyle w:val="affffff"/>
            </w:pPr>
            <w:r w:rsidRPr="00E67914">
              <w:t>/</w:t>
            </w:r>
          </w:p>
        </w:tc>
        <w:tc>
          <w:tcPr>
            <w:tcW w:w="0" w:type="auto"/>
            <w:vAlign w:val="center"/>
          </w:tcPr>
          <w:p w14:paraId="390C154A" w14:textId="77777777" w:rsidR="00A54A8A" w:rsidRPr="00E67914" w:rsidRDefault="00000000">
            <w:pPr>
              <w:pStyle w:val="affffff"/>
            </w:pPr>
            <w:r w:rsidRPr="00E67914">
              <w:t>1</w:t>
            </w:r>
          </w:p>
        </w:tc>
      </w:tr>
      <w:tr w:rsidR="00E67914" w:rsidRPr="00E67914" w14:paraId="0ADA7019" w14:textId="77777777">
        <w:trPr>
          <w:cantSplit/>
          <w:jc w:val="center"/>
        </w:trPr>
        <w:tc>
          <w:tcPr>
            <w:tcW w:w="0" w:type="auto"/>
            <w:vAlign w:val="center"/>
          </w:tcPr>
          <w:p w14:paraId="5EE8D55D" w14:textId="77777777" w:rsidR="00A54A8A" w:rsidRPr="00E67914" w:rsidRDefault="00A54A8A">
            <w:pPr>
              <w:pStyle w:val="affffff"/>
            </w:pPr>
          </w:p>
        </w:tc>
        <w:tc>
          <w:tcPr>
            <w:tcW w:w="0" w:type="auto"/>
            <w:vAlign w:val="center"/>
          </w:tcPr>
          <w:p w14:paraId="254E3D0F" w14:textId="77777777" w:rsidR="00A54A8A" w:rsidRPr="00E67914" w:rsidRDefault="00000000">
            <w:pPr>
              <w:pStyle w:val="affffff"/>
            </w:pPr>
            <w:r w:rsidRPr="00E67914">
              <w:t>液压大钳</w:t>
            </w:r>
          </w:p>
        </w:tc>
        <w:tc>
          <w:tcPr>
            <w:tcW w:w="0" w:type="auto"/>
            <w:vAlign w:val="center"/>
          </w:tcPr>
          <w:p w14:paraId="45892DFC" w14:textId="77777777" w:rsidR="00A54A8A" w:rsidRPr="00E67914" w:rsidRDefault="00000000">
            <w:pPr>
              <w:pStyle w:val="affffff"/>
            </w:pPr>
            <w:r w:rsidRPr="00E67914">
              <w:t>按标准配备</w:t>
            </w:r>
          </w:p>
        </w:tc>
        <w:tc>
          <w:tcPr>
            <w:tcW w:w="0" w:type="auto"/>
            <w:vAlign w:val="center"/>
          </w:tcPr>
          <w:p w14:paraId="3AB5E59A" w14:textId="77777777" w:rsidR="00A54A8A" w:rsidRPr="00E67914" w:rsidRDefault="00000000">
            <w:pPr>
              <w:pStyle w:val="affffff"/>
            </w:pPr>
            <w:r w:rsidRPr="00E67914">
              <w:t>/</w:t>
            </w:r>
          </w:p>
        </w:tc>
        <w:tc>
          <w:tcPr>
            <w:tcW w:w="0" w:type="auto"/>
            <w:vAlign w:val="center"/>
          </w:tcPr>
          <w:p w14:paraId="6F36229A" w14:textId="77777777" w:rsidR="00A54A8A" w:rsidRPr="00E67914" w:rsidRDefault="00000000">
            <w:pPr>
              <w:pStyle w:val="affffff"/>
            </w:pPr>
            <w:r w:rsidRPr="00E67914">
              <w:t>1</w:t>
            </w:r>
          </w:p>
        </w:tc>
      </w:tr>
      <w:tr w:rsidR="00E67914" w:rsidRPr="00E67914" w14:paraId="7EE670F3" w14:textId="77777777">
        <w:trPr>
          <w:cantSplit/>
          <w:jc w:val="center"/>
        </w:trPr>
        <w:tc>
          <w:tcPr>
            <w:tcW w:w="0" w:type="auto"/>
            <w:vAlign w:val="center"/>
          </w:tcPr>
          <w:p w14:paraId="790B3630" w14:textId="77777777" w:rsidR="00A54A8A" w:rsidRPr="00E67914" w:rsidRDefault="00A54A8A">
            <w:pPr>
              <w:pStyle w:val="affffff"/>
            </w:pPr>
          </w:p>
        </w:tc>
        <w:tc>
          <w:tcPr>
            <w:tcW w:w="0" w:type="auto"/>
            <w:vAlign w:val="center"/>
          </w:tcPr>
          <w:p w14:paraId="3E2AB7BD" w14:textId="77777777" w:rsidR="00A54A8A" w:rsidRPr="00E67914" w:rsidRDefault="00000000">
            <w:pPr>
              <w:pStyle w:val="affffff"/>
            </w:pPr>
            <w:r w:rsidRPr="00E67914">
              <w:t>自动点火装置</w:t>
            </w:r>
          </w:p>
        </w:tc>
        <w:tc>
          <w:tcPr>
            <w:tcW w:w="0" w:type="auto"/>
            <w:vAlign w:val="center"/>
          </w:tcPr>
          <w:p w14:paraId="07D7A182" w14:textId="77777777" w:rsidR="00A54A8A" w:rsidRPr="00E67914" w:rsidRDefault="00000000">
            <w:pPr>
              <w:pStyle w:val="affffff"/>
            </w:pPr>
            <w:r w:rsidRPr="00E67914">
              <w:t>按标准配备</w:t>
            </w:r>
          </w:p>
        </w:tc>
        <w:tc>
          <w:tcPr>
            <w:tcW w:w="0" w:type="auto"/>
            <w:vAlign w:val="center"/>
          </w:tcPr>
          <w:p w14:paraId="765BB584" w14:textId="77777777" w:rsidR="00A54A8A" w:rsidRPr="00E67914" w:rsidRDefault="00000000">
            <w:pPr>
              <w:pStyle w:val="affffff"/>
            </w:pPr>
            <w:r w:rsidRPr="00E67914">
              <w:t>/</w:t>
            </w:r>
          </w:p>
        </w:tc>
        <w:tc>
          <w:tcPr>
            <w:tcW w:w="0" w:type="auto"/>
            <w:vAlign w:val="center"/>
          </w:tcPr>
          <w:p w14:paraId="374F791F" w14:textId="77777777" w:rsidR="00A54A8A" w:rsidRPr="00E67914" w:rsidRDefault="00000000">
            <w:pPr>
              <w:pStyle w:val="affffff"/>
            </w:pPr>
            <w:r w:rsidRPr="00E67914">
              <w:t>1</w:t>
            </w:r>
          </w:p>
        </w:tc>
      </w:tr>
      <w:tr w:rsidR="00E67914" w:rsidRPr="00E67914" w14:paraId="26C3F84D" w14:textId="77777777">
        <w:trPr>
          <w:cantSplit/>
          <w:jc w:val="center"/>
        </w:trPr>
        <w:tc>
          <w:tcPr>
            <w:tcW w:w="0" w:type="auto"/>
            <w:vAlign w:val="center"/>
          </w:tcPr>
          <w:p w14:paraId="6988208C" w14:textId="77777777" w:rsidR="00A54A8A" w:rsidRPr="00E67914" w:rsidRDefault="00A54A8A">
            <w:pPr>
              <w:pStyle w:val="affffff"/>
            </w:pPr>
          </w:p>
        </w:tc>
        <w:tc>
          <w:tcPr>
            <w:tcW w:w="0" w:type="auto"/>
            <w:vAlign w:val="center"/>
          </w:tcPr>
          <w:p w14:paraId="265587E2" w14:textId="77777777" w:rsidR="00A54A8A" w:rsidRPr="00E67914" w:rsidRDefault="00000000">
            <w:pPr>
              <w:pStyle w:val="affffff"/>
            </w:pPr>
            <w:r w:rsidRPr="00E67914">
              <w:t>柴油罐</w:t>
            </w:r>
          </w:p>
        </w:tc>
        <w:tc>
          <w:tcPr>
            <w:tcW w:w="0" w:type="auto"/>
            <w:vAlign w:val="center"/>
          </w:tcPr>
          <w:p w14:paraId="3A4AA798" w14:textId="77777777" w:rsidR="00A54A8A" w:rsidRPr="00E67914" w:rsidRDefault="00000000">
            <w:pPr>
              <w:pStyle w:val="affffff"/>
            </w:pPr>
            <w:r w:rsidRPr="00E67914">
              <w:t>20m</w:t>
            </w:r>
            <w:r w:rsidRPr="00E67914">
              <w:rPr>
                <w:vertAlign w:val="superscript"/>
              </w:rPr>
              <w:t>3</w:t>
            </w:r>
            <w:r w:rsidRPr="00E67914">
              <w:t>/</w:t>
            </w:r>
            <w:r w:rsidRPr="00E67914">
              <w:t>个</w:t>
            </w:r>
          </w:p>
        </w:tc>
        <w:tc>
          <w:tcPr>
            <w:tcW w:w="0" w:type="auto"/>
            <w:vAlign w:val="center"/>
          </w:tcPr>
          <w:p w14:paraId="5D0C386D" w14:textId="77777777" w:rsidR="00A54A8A" w:rsidRPr="00E67914" w:rsidRDefault="00000000">
            <w:pPr>
              <w:pStyle w:val="affffff"/>
            </w:pPr>
            <w:r w:rsidRPr="00E67914">
              <w:t>个</w:t>
            </w:r>
          </w:p>
        </w:tc>
        <w:tc>
          <w:tcPr>
            <w:tcW w:w="0" w:type="auto"/>
            <w:vAlign w:val="center"/>
          </w:tcPr>
          <w:p w14:paraId="38DD8F01" w14:textId="77777777" w:rsidR="00A54A8A" w:rsidRPr="00E67914" w:rsidRDefault="00000000">
            <w:pPr>
              <w:pStyle w:val="affffff"/>
            </w:pPr>
            <w:r w:rsidRPr="00E67914">
              <w:t>2</w:t>
            </w:r>
          </w:p>
        </w:tc>
      </w:tr>
      <w:tr w:rsidR="00E67914" w:rsidRPr="00E67914" w14:paraId="2619F2B3" w14:textId="77777777">
        <w:trPr>
          <w:cantSplit/>
          <w:jc w:val="center"/>
        </w:trPr>
        <w:tc>
          <w:tcPr>
            <w:tcW w:w="0" w:type="auto"/>
            <w:vAlign w:val="center"/>
          </w:tcPr>
          <w:p w14:paraId="47195AC5" w14:textId="77777777" w:rsidR="00A54A8A" w:rsidRPr="00E67914" w:rsidRDefault="00A54A8A">
            <w:pPr>
              <w:pStyle w:val="affffff"/>
            </w:pPr>
          </w:p>
        </w:tc>
        <w:tc>
          <w:tcPr>
            <w:tcW w:w="0" w:type="auto"/>
            <w:vAlign w:val="center"/>
          </w:tcPr>
          <w:p w14:paraId="32BC0545" w14:textId="77777777" w:rsidR="00A54A8A" w:rsidRPr="00E67914" w:rsidRDefault="00000000">
            <w:pPr>
              <w:pStyle w:val="affffff"/>
            </w:pPr>
            <w:r w:rsidRPr="00E67914">
              <w:t>生活水罐</w:t>
            </w:r>
          </w:p>
        </w:tc>
        <w:tc>
          <w:tcPr>
            <w:tcW w:w="0" w:type="auto"/>
            <w:vAlign w:val="center"/>
          </w:tcPr>
          <w:p w14:paraId="7222E967" w14:textId="77777777" w:rsidR="00A54A8A" w:rsidRPr="00E67914" w:rsidRDefault="00000000">
            <w:pPr>
              <w:pStyle w:val="affffff"/>
            </w:pPr>
            <w:r w:rsidRPr="00E67914">
              <w:t>10m</w:t>
            </w:r>
            <w:r w:rsidRPr="00E67914">
              <w:rPr>
                <w:vertAlign w:val="superscript"/>
              </w:rPr>
              <w:t>3</w:t>
            </w:r>
            <w:r w:rsidRPr="00E67914">
              <w:t>/</w:t>
            </w:r>
            <w:r w:rsidRPr="00E67914">
              <w:t>个</w:t>
            </w:r>
          </w:p>
        </w:tc>
        <w:tc>
          <w:tcPr>
            <w:tcW w:w="0" w:type="auto"/>
            <w:vAlign w:val="center"/>
          </w:tcPr>
          <w:p w14:paraId="4060FD3E" w14:textId="77777777" w:rsidR="00A54A8A" w:rsidRPr="00E67914" w:rsidRDefault="00000000">
            <w:pPr>
              <w:pStyle w:val="affffff"/>
            </w:pPr>
            <w:r w:rsidRPr="00E67914">
              <w:t>个</w:t>
            </w:r>
          </w:p>
        </w:tc>
        <w:tc>
          <w:tcPr>
            <w:tcW w:w="0" w:type="auto"/>
            <w:vAlign w:val="center"/>
          </w:tcPr>
          <w:p w14:paraId="63E011DB" w14:textId="77777777" w:rsidR="00A54A8A" w:rsidRPr="00E67914" w:rsidRDefault="00000000">
            <w:pPr>
              <w:pStyle w:val="affffff"/>
            </w:pPr>
            <w:r w:rsidRPr="00E67914">
              <w:t>1</w:t>
            </w:r>
          </w:p>
        </w:tc>
      </w:tr>
      <w:tr w:rsidR="00E67914" w:rsidRPr="00E67914" w14:paraId="6F721CC3" w14:textId="77777777">
        <w:trPr>
          <w:cantSplit/>
          <w:jc w:val="center"/>
        </w:trPr>
        <w:tc>
          <w:tcPr>
            <w:tcW w:w="0" w:type="auto"/>
            <w:vAlign w:val="center"/>
          </w:tcPr>
          <w:p w14:paraId="4C808555" w14:textId="77777777" w:rsidR="00A54A8A" w:rsidRPr="00E67914" w:rsidRDefault="00000000">
            <w:pPr>
              <w:pStyle w:val="affffff"/>
            </w:pPr>
            <w:r w:rsidRPr="00E67914">
              <w:t>二</w:t>
            </w:r>
          </w:p>
        </w:tc>
        <w:tc>
          <w:tcPr>
            <w:tcW w:w="0" w:type="auto"/>
            <w:gridSpan w:val="4"/>
            <w:vAlign w:val="center"/>
          </w:tcPr>
          <w:p w14:paraId="7987F294" w14:textId="77777777" w:rsidR="00A54A8A" w:rsidRPr="00E67914" w:rsidRDefault="00000000">
            <w:pPr>
              <w:pStyle w:val="affffff"/>
            </w:pPr>
            <w:r w:rsidRPr="00E67914">
              <w:t>压裂设备</w:t>
            </w:r>
          </w:p>
        </w:tc>
      </w:tr>
      <w:tr w:rsidR="00E67914" w:rsidRPr="00E67914" w14:paraId="6980039F" w14:textId="77777777">
        <w:trPr>
          <w:cantSplit/>
          <w:jc w:val="center"/>
        </w:trPr>
        <w:tc>
          <w:tcPr>
            <w:tcW w:w="0" w:type="auto"/>
            <w:vAlign w:val="center"/>
          </w:tcPr>
          <w:p w14:paraId="07C64E91" w14:textId="77777777" w:rsidR="00A54A8A" w:rsidRPr="00E67914" w:rsidRDefault="00A54A8A">
            <w:pPr>
              <w:pStyle w:val="affffff"/>
            </w:pPr>
          </w:p>
        </w:tc>
        <w:tc>
          <w:tcPr>
            <w:tcW w:w="0" w:type="auto"/>
            <w:vAlign w:val="center"/>
          </w:tcPr>
          <w:p w14:paraId="5DC0CF8A" w14:textId="77777777" w:rsidR="00A54A8A" w:rsidRPr="00E67914" w:rsidRDefault="00000000">
            <w:pPr>
              <w:pStyle w:val="affffff"/>
            </w:pPr>
            <w:r w:rsidRPr="00E67914">
              <w:t>2500</w:t>
            </w:r>
            <w:r w:rsidRPr="00E67914">
              <w:t>型压裂车</w:t>
            </w:r>
          </w:p>
        </w:tc>
        <w:tc>
          <w:tcPr>
            <w:tcW w:w="0" w:type="auto"/>
            <w:vAlign w:val="center"/>
          </w:tcPr>
          <w:p w14:paraId="48E6CA2F" w14:textId="77777777" w:rsidR="00A54A8A" w:rsidRPr="00E67914" w:rsidRDefault="00000000">
            <w:pPr>
              <w:pStyle w:val="affffff"/>
            </w:pPr>
            <w:r w:rsidRPr="00E67914">
              <w:t>YL40-1860</w:t>
            </w:r>
          </w:p>
        </w:tc>
        <w:tc>
          <w:tcPr>
            <w:tcW w:w="0" w:type="auto"/>
            <w:vAlign w:val="center"/>
          </w:tcPr>
          <w:p w14:paraId="58E739E0" w14:textId="77777777" w:rsidR="00A54A8A" w:rsidRPr="00E67914" w:rsidRDefault="00000000">
            <w:pPr>
              <w:pStyle w:val="affffff"/>
            </w:pPr>
            <w:r w:rsidRPr="00E67914">
              <w:t>2500</w:t>
            </w:r>
          </w:p>
        </w:tc>
        <w:tc>
          <w:tcPr>
            <w:tcW w:w="0" w:type="auto"/>
            <w:vAlign w:val="center"/>
          </w:tcPr>
          <w:p w14:paraId="39A4272F" w14:textId="77777777" w:rsidR="00A54A8A" w:rsidRPr="00E67914" w:rsidRDefault="00000000">
            <w:pPr>
              <w:pStyle w:val="affffff"/>
            </w:pPr>
            <w:r w:rsidRPr="00E67914">
              <w:t>10</w:t>
            </w:r>
          </w:p>
        </w:tc>
      </w:tr>
      <w:tr w:rsidR="00E67914" w:rsidRPr="00E67914" w14:paraId="6CD5ED0B" w14:textId="77777777">
        <w:trPr>
          <w:cantSplit/>
          <w:jc w:val="center"/>
        </w:trPr>
        <w:tc>
          <w:tcPr>
            <w:tcW w:w="0" w:type="auto"/>
            <w:vAlign w:val="center"/>
          </w:tcPr>
          <w:p w14:paraId="6F17EAE3" w14:textId="77777777" w:rsidR="00A54A8A" w:rsidRPr="00E67914" w:rsidRDefault="00A54A8A">
            <w:pPr>
              <w:pStyle w:val="affffff"/>
            </w:pPr>
          </w:p>
        </w:tc>
        <w:tc>
          <w:tcPr>
            <w:tcW w:w="0" w:type="auto"/>
            <w:vAlign w:val="center"/>
          </w:tcPr>
          <w:p w14:paraId="039AF789" w14:textId="77777777" w:rsidR="00A54A8A" w:rsidRPr="00E67914" w:rsidRDefault="00000000">
            <w:pPr>
              <w:pStyle w:val="affffff"/>
            </w:pPr>
            <w:r w:rsidRPr="00E67914">
              <w:t>灌注撬</w:t>
            </w:r>
          </w:p>
        </w:tc>
        <w:tc>
          <w:tcPr>
            <w:tcW w:w="0" w:type="auto"/>
            <w:vAlign w:val="center"/>
          </w:tcPr>
          <w:p w14:paraId="6B16F9FD" w14:textId="77777777" w:rsidR="00A54A8A" w:rsidRPr="00E67914" w:rsidRDefault="00000000">
            <w:pPr>
              <w:pStyle w:val="affffff"/>
            </w:pPr>
            <w:r w:rsidRPr="00E67914">
              <w:t>/</w:t>
            </w:r>
          </w:p>
        </w:tc>
        <w:tc>
          <w:tcPr>
            <w:tcW w:w="0" w:type="auto"/>
            <w:vAlign w:val="center"/>
          </w:tcPr>
          <w:p w14:paraId="6B815A17" w14:textId="77777777" w:rsidR="00A54A8A" w:rsidRPr="00E67914" w:rsidRDefault="00000000">
            <w:pPr>
              <w:pStyle w:val="affffff"/>
            </w:pPr>
            <w:r w:rsidRPr="00E67914">
              <w:t>/</w:t>
            </w:r>
          </w:p>
        </w:tc>
        <w:tc>
          <w:tcPr>
            <w:tcW w:w="0" w:type="auto"/>
            <w:vAlign w:val="center"/>
          </w:tcPr>
          <w:p w14:paraId="5C6A15DF" w14:textId="77777777" w:rsidR="00A54A8A" w:rsidRPr="00E67914" w:rsidRDefault="00000000">
            <w:pPr>
              <w:pStyle w:val="affffff"/>
            </w:pPr>
            <w:r w:rsidRPr="00E67914">
              <w:t>2</w:t>
            </w:r>
          </w:p>
        </w:tc>
      </w:tr>
      <w:tr w:rsidR="00E67914" w:rsidRPr="00E67914" w14:paraId="6EC6380B" w14:textId="77777777">
        <w:trPr>
          <w:cantSplit/>
          <w:jc w:val="center"/>
        </w:trPr>
        <w:tc>
          <w:tcPr>
            <w:tcW w:w="0" w:type="auto"/>
            <w:vAlign w:val="center"/>
          </w:tcPr>
          <w:p w14:paraId="65F3A173" w14:textId="77777777" w:rsidR="00A54A8A" w:rsidRPr="00E67914" w:rsidRDefault="00A54A8A">
            <w:pPr>
              <w:pStyle w:val="affffff"/>
            </w:pPr>
          </w:p>
        </w:tc>
        <w:tc>
          <w:tcPr>
            <w:tcW w:w="0" w:type="auto"/>
            <w:vAlign w:val="center"/>
          </w:tcPr>
          <w:p w14:paraId="4E85ACB1" w14:textId="77777777" w:rsidR="00A54A8A" w:rsidRPr="00E67914" w:rsidRDefault="00000000">
            <w:pPr>
              <w:pStyle w:val="affffff"/>
            </w:pPr>
            <w:r w:rsidRPr="00E67914">
              <w:t>混配车</w:t>
            </w:r>
          </w:p>
        </w:tc>
        <w:tc>
          <w:tcPr>
            <w:tcW w:w="0" w:type="auto"/>
            <w:vAlign w:val="center"/>
          </w:tcPr>
          <w:p w14:paraId="793EDC10" w14:textId="77777777" w:rsidR="00A54A8A" w:rsidRPr="00E67914" w:rsidRDefault="00000000">
            <w:pPr>
              <w:pStyle w:val="affffff"/>
            </w:pPr>
            <w:r w:rsidRPr="00E67914">
              <w:t>S</w:t>
            </w:r>
          </w:p>
        </w:tc>
        <w:tc>
          <w:tcPr>
            <w:tcW w:w="0" w:type="auto"/>
            <w:vAlign w:val="center"/>
          </w:tcPr>
          <w:p w14:paraId="7B8D42E0" w14:textId="77777777" w:rsidR="00A54A8A" w:rsidRPr="00E67914" w:rsidRDefault="00000000">
            <w:pPr>
              <w:pStyle w:val="affffff"/>
            </w:pPr>
            <w:r w:rsidRPr="00E67914">
              <w:t>X5292TYC</w:t>
            </w:r>
          </w:p>
        </w:tc>
        <w:tc>
          <w:tcPr>
            <w:tcW w:w="0" w:type="auto"/>
            <w:vAlign w:val="center"/>
          </w:tcPr>
          <w:p w14:paraId="754B8F52" w14:textId="77777777" w:rsidR="00A54A8A" w:rsidRPr="00E67914" w:rsidRDefault="00000000">
            <w:pPr>
              <w:pStyle w:val="affffff"/>
            </w:pPr>
            <w:r w:rsidRPr="00E67914">
              <w:t>/</w:t>
            </w:r>
          </w:p>
        </w:tc>
      </w:tr>
      <w:tr w:rsidR="00E67914" w:rsidRPr="00E67914" w14:paraId="3A60ED48" w14:textId="77777777">
        <w:trPr>
          <w:cantSplit/>
          <w:jc w:val="center"/>
        </w:trPr>
        <w:tc>
          <w:tcPr>
            <w:tcW w:w="0" w:type="auto"/>
            <w:vAlign w:val="center"/>
          </w:tcPr>
          <w:p w14:paraId="4560F68E" w14:textId="77777777" w:rsidR="00A54A8A" w:rsidRPr="00E67914" w:rsidRDefault="00A54A8A">
            <w:pPr>
              <w:pStyle w:val="affffff"/>
            </w:pPr>
          </w:p>
        </w:tc>
        <w:tc>
          <w:tcPr>
            <w:tcW w:w="0" w:type="auto"/>
            <w:vAlign w:val="center"/>
          </w:tcPr>
          <w:p w14:paraId="33DF8977" w14:textId="77777777" w:rsidR="00A54A8A" w:rsidRPr="00E67914" w:rsidRDefault="00000000">
            <w:pPr>
              <w:pStyle w:val="affffff"/>
            </w:pPr>
            <w:r w:rsidRPr="00E67914">
              <w:t>奔驰混砂车</w:t>
            </w:r>
          </w:p>
        </w:tc>
        <w:tc>
          <w:tcPr>
            <w:tcW w:w="0" w:type="auto"/>
            <w:vAlign w:val="center"/>
          </w:tcPr>
          <w:p w14:paraId="21A978F1" w14:textId="77777777" w:rsidR="00A54A8A" w:rsidRPr="00E67914" w:rsidRDefault="00000000">
            <w:pPr>
              <w:pStyle w:val="affffff"/>
            </w:pPr>
            <w:r w:rsidRPr="00E67914">
              <w:t>S1V0010</w:t>
            </w:r>
          </w:p>
        </w:tc>
        <w:tc>
          <w:tcPr>
            <w:tcW w:w="0" w:type="auto"/>
            <w:vAlign w:val="center"/>
          </w:tcPr>
          <w:p w14:paraId="7D917FCD" w14:textId="77777777" w:rsidR="00A54A8A" w:rsidRPr="00E67914" w:rsidRDefault="00000000">
            <w:pPr>
              <w:pStyle w:val="affffff"/>
            </w:pPr>
            <w:r w:rsidRPr="00E67914">
              <w:t>/</w:t>
            </w:r>
          </w:p>
        </w:tc>
        <w:tc>
          <w:tcPr>
            <w:tcW w:w="0" w:type="auto"/>
            <w:vAlign w:val="center"/>
          </w:tcPr>
          <w:p w14:paraId="51E0DBE6" w14:textId="77777777" w:rsidR="00A54A8A" w:rsidRPr="00E67914" w:rsidRDefault="00000000">
            <w:pPr>
              <w:pStyle w:val="affffff"/>
            </w:pPr>
            <w:r w:rsidRPr="00E67914">
              <w:t>2</w:t>
            </w:r>
          </w:p>
        </w:tc>
      </w:tr>
      <w:tr w:rsidR="00E67914" w:rsidRPr="00E67914" w14:paraId="58051CD3" w14:textId="77777777">
        <w:trPr>
          <w:cantSplit/>
          <w:jc w:val="center"/>
        </w:trPr>
        <w:tc>
          <w:tcPr>
            <w:tcW w:w="0" w:type="auto"/>
            <w:vAlign w:val="center"/>
          </w:tcPr>
          <w:p w14:paraId="337BBE1F" w14:textId="77777777" w:rsidR="00A54A8A" w:rsidRPr="00E67914" w:rsidRDefault="00A54A8A">
            <w:pPr>
              <w:pStyle w:val="affffff"/>
            </w:pPr>
          </w:p>
        </w:tc>
        <w:tc>
          <w:tcPr>
            <w:tcW w:w="0" w:type="auto"/>
            <w:vAlign w:val="center"/>
          </w:tcPr>
          <w:p w14:paraId="2D39725F" w14:textId="77777777" w:rsidR="00A54A8A" w:rsidRPr="00E67914" w:rsidRDefault="00000000">
            <w:pPr>
              <w:pStyle w:val="affffff"/>
            </w:pPr>
            <w:r w:rsidRPr="00E67914">
              <w:t>压裂液罐</w:t>
            </w:r>
          </w:p>
        </w:tc>
        <w:tc>
          <w:tcPr>
            <w:tcW w:w="0" w:type="auto"/>
            <w:vAlign w:val="center"/>
          </w:tcPr>
          <w:p w14:paraId="0FE56874" w14:textId="77777777" w:rsidR="00A54A8A" w:rsidRPr="00E67914" w:rsidRDefault="00000000">
            <w:pPr>
              <w:pStyle w:val="affffff"/>
            </w:pPr>
            <w:r w:rsidRPr="00E67914">
              <w:t>/</w:t>
            </w:r>
          </w:p>
        </w:tc>
        <w:tc>
          <w:tcPr>
            <w:tcW w:w="0" w:type="auto"/>
            <w:vAlign w:val="center"/>
          </w:tcPr>
          <w:p w14:paraId="6EE4D79F" w14:textId="41B4AB0D" w:rsidR="00A54A8A" w:rsidRPr="00E67914" w:rsidRDefault="009E08E9">
            <w:pPr>
              <w:pStyle w:val="affffff"/>
            </w:pPr>
            <w:r w:rsidRPr="00E67914">
              <w:t>40m</w:t>
            </w:r>
            <w:r w:rsidRPr="00E67914">
              <w:rPr>
                <w:vertAlign w:val="superscript"/>
              </w:rPr>
              <w:t>3</w:t>
            </w:r>
          </w:p>
        </w:tc>
        <w:tc>
          <w:tcPr>
            <w:tcW w:w="0" w:type="auto"/>
            <w:vAlign w:val="center"/>
          </w:tcPr>
          <w:p w14:paraId="5C30D26A" w14:textId="3056BFD0" w:rsidR="00A54A8A" w:rsidRPr="00E67914" w:rsidRDefault="009E08E9">
            <w:pPr>
              <w:pStyle w:val="affffff"/>
            </w:pPr>
            <w:r w:rsidRPr="00E67914">
              <w:t>40</w:t>
            </w:r>
          </w:p>
        </w:tc>
      </w:tr>
      <w:tr w:rsidR="00E67914" w:rsidRPr="00E67914" w14:paraId="4004E02B" w14:textId="77777777">
        <w:trPr>
          <w:cantSplit/>
          <w:jc w:val="center"/>
        </w:trPr>
        <w:tc>
          <w:tcPr>
            <w:tcW w:w="0" w:type="auto"/>
            <w:vAlign w:val="center"/>
          </w:tcPr>
          <w:p w14:paraId="572FAF34" w14:textId="77777777" w:rsidR="00A54A8A" w:rsidRPr="00E67914" w:rsidRDefault="00000000">
            <w:pPr>
              <w:pStyle w:val="affffff"/>
            </w:pPr>
            <w:r w:rsidRPr="00E67914">
              <w:t>三</w:t>
            </w:r>
          </w:p>
        </w:tc>
        <w:tc>
          <w:tcPr>
            <w:tcW w:w="0" w:type="auto"/>
            <w:gridSpan w:val="4"/>
            <w:vAlign w:val="center"/>
          </w:tcPr>
          <w:p w14:paraId="5B6154F3" w14:textId="77777777" w:rsidR="00A54A8A" w:rsidRPr="00E67914" w:rsidRDefault="00000000">
            <w:pPr>
              <w:pStyle w:val="affffff"/>
            </w:pPr>
            <w:r w:rsidRPr="00E67914">
              <w:t>救生消防</w:t>
            </w:r>
          </w:p>
        </w:tc>
      </w:tr>
      <w:tr w:rsidR="00E67914" w:rsidRPr="00E67914" w14:paraId="037DE4C3" w14:textId="77777777">
        <w:trPr>
          <w:cantSplit/>
          <w:jc w:val="center"/>
        </w:trPr>
        <w:tc>
          <w:tcPr>
            <w:tcW w:w="0" w:type="auto"/>
            <w:vAlign w:val="center"/>
          </w:tcPr>
          <w:p w14:paraId="1618AF0F" w14:textId="77777777" w:rsidR="00A54A8A" w:rsidRPr="00E67914" w:rsidRDefault="00A54A8A">
            <w:pPr>
              <w:pStyle w:val="affffff"/>
            </w:pPr>
          </w:p>
        </w:tc>
        <w:tc>
          <w:tcPr>
            <w:tcW w:w="0" w:type="auto"/>
            <w:vAlign w:val="center"/>
          </w:tcPr>
          <w:p w14:paraId="4C009955" w14:textId="77777777" w:rsidR="00A54A8A" w:rsidRPr="00E67914" w:rsidRDefault="00000000">
            <w:pPr>
              <w:pStyle w:val="affffff"/>
            </w:pPr>
            <w:r w:rsidRPr="00E67914">
              <w:t>消防房及消防工具</w:t>
            </w:r>
          </w:p>
        </w:tc>
        <w:tc>
          <w:tcPr>
            <w:tcW w:w="0" w:type="auto"/>
            <w:vAlign w:val="center"/>
          </w:tcPr>
          <w:p w14:paraId="4E072546" w14:textId="77777777" w:rsidR="00A54A8A" w:rsidRPr="00E67914" w:rsidRDefault="00A54A8A">
            <w:pPr>
              <w:pStyle w:val="affffff"/>
            </w:pPr>
          </w:p>
        </w:tc>
        <w:tc>
          <w:tcPr>
            <w:tcW w:w="0" w:type="auto"/>
            <w:vAlign w:val="center"/>
          </w:tcPr>
          <w:p w14:paraId="032DCEA4" w14:textId="77777777" w:rsidR="00A54A8A" w:rsidRPr="00E67914" w:rsidRDefault="00A54A8A">
            <w:pPr>
              <w:pStyle w:val="affffff"/>
            </w:pPr>
          </w:p>
        </w:tc>
        <w:tc>
          <w:tcPr>
            <w:tcW w:w="0" w:type="auto"/>
            <w:vAlign w:val="center"/>
          </w:tcPr>
          <w:p w14:paraId="0F5D25C0" w14:textId="77777777" w:rsidR="00A54A8A" w:rsidRPr="00E67914" w:rsidRDefault="00000000">
            <w:pPr>
              <w:pStyle w:val="affffff"/>
            </w:pPr>
            <w:r w:rsidRPr="00E67914">
              <w:t>按标准配置</w:t>
            </w:r>
          </w:p>
        </w:tc>
      </w:tr>
      <w:tr w:rsidR="00E67914" w:rsidRPr="00E67914" w14:paraId="4FD44CB1" w14:textId="77777777">
        <w:trPr>
          <w:cantSplit/>
          <w:jc w:val="center"/>
        </w:trPr>
        <w:tc>
          <w:tcPr>
            <w:tcW w:w="0" w:type="auto"/>
            <w:vAlign w:val="center"/>
          </w:tcPr>
          <w:p w14:paraId="0FBDC530" w14:textId="77777777" w:rsidR="00A54A8A" w:rsidRPr="00E67914" w:rsidRDefault="00A54A8A">
            <w:pPr>
              <w:pStyle w:val="affffff"/>
            </w:pPr>
          </w:p>
        </w:tc>
        <w:tc>
          <w:tcPr>
            <w:tcW w:w="0" w:type="auto"/>
            <w:vAlign w:val="center"/>
          </w:tcPr>
          <w:p w14:paraId="7E428CB0" w14:textId="77777777" w:rsidR="00A54A8A" w:rsidRPr="00E67914" w:rsidRDefault="00000000">
            <w:pPr>
              <w:pStyle w:val="affffff"/>
            </w:pPr>
            <w:r w:rsidRPr="00E67914">
              <w:t>二层台逃生装置</w:t>
            </w:r>
          </w:p>
        </w:tc>
        <w:tc>
          <w:tcPr>
            <w:tcW w:w="0" w:type="auto"/>
            <w:vAlign w:val="center"/>
          </w:tcPr>
          <w:p w14:paraId="5A1C3C5D" w14:textId="77777777" w:rsidR="00A54A8A" w:rsidRPr="00E67914" w:rsidRDefault="00A54A8A">
            <w:pPr>
              <w:pStyle w:val="affffff"/>
            </w:pPr>
          </w:p>
        </w:tc>
        <w:tc>
          <w:tcPr>
            <w:tcW w:w="0" w:type="auto"/>
            <w:vAlign w:val="center"/>
          </w:tcPr>
          <w:p w14:paraId="0844A284" w14:textId="77777777" w:rsidR="00A54A8A" w:rsidRPr="00E67914" w:rsidRDefault="00A54A8A">
            <w:pPr>
              <w:pStyle w:val="affffff"/>
            </w:pPr>
          </w:p>
        </w:tc>
        <w:tc>
          <w:tcPr>
            <w:tcW w:w="0" w:type="auto"/>
            <w:vAlign w:val="center"/>
          </w:tcPr>
          <w:p w14:paraId="4C1B568D" w14:textId="77777777" w:rsidR="00A54A8A" w:rsidRPr="00E67914" w:rsidRDefault="00A54A8A">
            <w:pPr>
              <w:pStyle w:val="affffff"/>
            </w:pPr>
          </w:p>
        </w:tc>
      </w:tr>
      <w:tr w:rsidR="00E67914" w:rsidRPr="00E67914" w14:paraId="1F03170F" w14:textId="77777777">
        <w:trPr>
          <w:cantSplit/>
          <w:jc w:val="center"/>
        </w:trPr>
        <w:tc>
          <w:tcPr>
            <w:tcW w:w="0" w:type="auto"/>
            <w:vAlign w:val="center"/>
          </w:tcPr>
          <w:p w14:paraId="1E8F0A9A" w14:textId="77777777" w:rsidR="00A54A8A" w:rsidRPr="00E67914" w:rsidRDefault="00A54A8A">
            <w:pPr>
              <w:pStyle w:val="affffff"/>
            </w:pPr>
          </w:p>
        </w:tc>
        <w:tc>
          <w:tcPr>
            <w:tcW w:w="0" w:type="auto"/>
            <w:vAlign w:val="center"/>
          </w:tcPr>
          <w:p w14:paraId="709689CA" w14:textId="77777777" w:rsidR="00A54A8A" w:rsidRPr="00E67914" w:rsidRDefault="00000000">
            <w:pPr>
              <w:pStyle w:val="affffff"/>
            </w:pPr>
            <w:r w:rsidRPr="00E67914">
              <w:t>钻台紧急滑道</w:t>
            </w:r>
          </w:p>
        </w:tc>
        <w:tc>
          <w:tcPr>
            <w:tcW w:w="0" w:type="auto"/>
            <w:vAlign w:val="center"/>
          </w:tcPr>
          <w:p w14:paraId="5A30EE09" w14:textId="77777777" w:rsidR="00A54A8A" w:rsidRPr="00E67914" w:rsidRDefault="00A54A8A">
            <w:pPr>
              <w:pStyle w:val="affffff"/>
            </w:pPr>
          </w:p>
        </w:tc>
        <w:tc>
          <w:tcPr>
            <w:tcW w:w="0" w:type="auto"/>
            <w:vAlign w:val="center"/>
          </w:tcPr>
          <w:p w14:paraId="2228BF97" w14:textId="77777777" w:rsidR="00A54A8A" w:rsidRPr="00E67914" w:rsidRDefault="00A54A8A">
            <w:pPr>
              <w:pStyle w:val="affffff"/>
            </w:pPr>
          </w:p>
        </w:tc>
        <w:tc>
          <w:tcPr>
            <w:tcW w:w="0" w:type="auto"/>
            <w:vAlign w:val="center"/>
          </w:tcPr>
          <w:p w14:paraId="104AC20D" w14:textId="77777777" w:rsidR="00A54A8A" w:rsidRPr="00E67914" w:rsidRDefault="00A54A8A">
            <w:pPr>
              <w:pStyle w:val="affffff"/>
            </w:pPr>
          </w:p>
        </w:tc>
      </w:tr>
      <w:tr w:rsidR="00E67914" w:rsidRPr="00E67914" w14:paraId="5072DE50" w14:textId="77777777">
        <w:trPr>
          <w:cantSplit/>
          <w:jc w:val="center"/>
        </w:trPr>
        <w:tc>
          <w:tcPr>
            <w:tcW w:w="0" w:type="auto"/>
            <w:vAlign w:val="center"/>
          </w:tcPr>
          <w:p w14:paraId="549865FA" w14:textId="77777777" w:rsidR="00A54A8A" w:rsidRPr="00E67914" w:rsidRDefault="00A54A8A">
            <w:pPr>
              <w:pStyle w:val="affffff"/>
            </w:pPr>
          </w:p>
        </w:tc>
        <w:tc>
          <w:tcPr>
            <w:tcW w:w="0" w:type="auto"/>
            <w:vAlign w:val="center"/>
          </w:tcPr>
          <w:p w14:paraId="758D0541" w14:textId="77777777" w:rsidR="00A54A8A" w:rsidRPr="00E67914" w:rsidRDefault="00000000">
            <w:pPr>
              <w:pStyle w:val="affffff"/>
            </w:pPr>
            <w:r w:rsidRPr="00E67914">
              <w:t>可燃气体监测仪</w:t>
            </w:r>
          </w:p>
        </w:tc>
        <w:tc>
          <w:tcPr>
            <w:tcW w:w="0" w:type="auto"/>
            <w:vAlign w:val="center"/>
          </w:tcPr>
          <w:p w14:paraId="3E0F7BDC" w14:textId="77777777" w:rsidR="00A54A8A" w:rsidRPr="00E67914" w:rsidRDefault="00A54A8A">
            <w:pPr>
              <w:pStyle w:val="affffff"/>
            </w:pPr>
          </w:p>
        </w:tc>
        <w:tc>
          <w:tcPr>
            <w:tcW w:w="0" w:type="auto"/>
            <w:vAlign w:val="center"/>
          </w:tcPr>
          <w:p w14:paraId="730F7A77" w14:textId="77777777" w:rsidR="00A54A8A" w:rsidRPr="00E67914" w:rsidRDefault="00A54A8A">
            <w:pPr>
              <w:pStyle w:val="affffff"/>
            </w:pPr>
          </w:p>
        </w:tc>
        <w:tc>
          <w:tcPr>
            <w:tcW w:w="0" w:type="auto"/>
            <w:vAlign w:val="center"/>
          </w:tcPr>
          <w:p w14:paraId="33DA1560" w14:textId="77777777" w:rsidR="00A54A8A" w:rsidRPr="00E67914" w:rsidRDefault="00A54A8A">
            <w:pPr>
              <w:pStyle w:val="affffff"/>
            </w:pPr>
          </w:p>
        </w:tc>
      </w:tr>
      <w:tr w:rsidR="00E67914" w:rsidRPr="00E67914" w14:paraId="11DA09CD" w14:textId="77777777">
        <w:trPr>
          <w:cantSplit/>
          <w:jc w:val="center"/>
        </w:trPr>
        <w:tc>
          <w:tcPr>
            <w:tcW w:w="0" w:type="auto"/>
            <w:vAlign w:val="center"/>
          </w:tcPr>
          <w:p w14:paraId="61C7861E" w14:textId="77777777" w:rsidR="00A54A8A" w:rsidRPr="00E67914" w:rsidRDefault="00000000">
            <w:pPr>
              <w:pStyle w:val="affffff"/>
            </w:pPr>
            <w:r w:rsidRPr="00E67914">
              <w:t>四</w:t>
            </w:r>
          </w:p>
        </w:tc>
        <w:tc>
          <w:tcPr>
            <w:tcW w:w="0" w:type="auto"/>
            <w:gridSpan w:val="4"/>
            <w:vAlign w:val="center"/>
          </w:tcPr>
          <w:p w14:paraId="3E710BAF" w14:textId="3EB83D94" w:rsidR="00A54A8A" w:rsidRPr="00E67914" w:rsidRDefault="009E08E9">
            <w:pPr>
              <w:pStyle w:val="affffff"/>
            </w:pPr>
            <w:r w:rsidRPr="00E67914">
              <w:t>硫化氢防护设备</w:t>
            </w:r>
          </w:p>
        </w:tc>
      </w:tr>
      <w:tr w:rsidR="00E67914" w:rsidRPr="00E67914" w14:paraId="5E6D433D" w14:textId="77777777">
        <w:trPr>
          <w:cantSplit/>
          <w:jc w:val="center"/>
        </w:trPr>
        <w:tc>
          <w:tcPr>
            <w:tcW w:w="0" w:type="auto"/>
            <w:vAlign w:val="center"/>
          </w:tcPr>
          <w:p w14:paraId="74B6AD0D" w14:textId="77777777" w:rsidR="00A54A8A" w:rsidRPr="00E67914" w:rsidRDefault="00A54A8A">
            <w:pPr>
              <w:pStyle w:val="affffff"/>
            </w:pPr>
          </w:p>
        </w:tc>
        <w:tc>
          <w:tcPr>
            <w:tcW w:w="0" w:type="auto"/>
            <w:vAlign w:val="center"/>
          </w:tcPr>
          <w:p w14:paraId="1F19B2AD" w14:textId="77777777" w:rsidR="00A54A8A" w:rsidRPr="00E67914" w:rsidRDefault="00000000">
            <w:pPr>
              <w:pStyle w:val="affffff"/>
            </w:pPr>
            <w:r w:rsidRPr="00E67914">
              <w:t>固定式</w:t>
            </w:r>
            <w:r w:rsidRPr="00E67914">
              <w:t>H</w:t>
            </w:r>
            <w:r w:rsidRPr="00E67914">
              <w:rPr>
                <w:vertAlign w:val="subscript"/>
              </w:rPr>
              <w:t>2</w:t>
            </w:r>
            <w:r w:rsidRPr="00E67914">
              <w:t>S</w:t>
            </w:r>
            <w:r w:rsidRPr="00E67914">
              <w:t>监测仪</w:t>
            </w:r>
          </w:p>
        </w:tc>
        <w:tc>
          <w:tcPr>
            <w:tcW w:w="0" w:type="auto"/>
            <w:vAlign w:val="center"/>
          </w:tcPr>
          <w:p w14:paraId="37E86081" w14:textId="77777777" w:rsidR="00A54A8A" w:rsidRPr="00E67914" w:rsidRDefault="00A54A8A">
            <w:pPr>
              <w:pStyle w:val="affffff"/>
            </w:pPr>
          </w:p>
        </w:tc>
        <w:tc>
          <w:tcPr>
            <w:tcW w:w="0" w:type="auto"/>
            <w:vAlign w:val="center"/>
          </w:tcPr>
          <w:p w14:paraId="68CAFD8B" w14:textId="77777777" w:rsidR="00A54A8A" w:rsidRPr="00E67914" w:rsidRDefault="00A54A8A">
            <w:pPr>
              <w:pStyle w:val="affffff"/>
            </w:pPr>
          </w:p>
        </w:tc>
        <w:tc>
          <w:tcPr>
            <w:tcW w:w="0" w:type="auto"/>
            <w:vAlign w:val="center"/>
          </w:tcPr>
          <w:p w14:paraId="4E6D9EAD" w14:textId="77777777" w:rsidR="00A54A8A" w:rsidRPr="00E67914" w:rsidRDefault="00A54A8A">
            <w:pPr>
              <w:pStyle w:val="affffff"/>
            </w:pPr>
          </w:p>
        </w:tc>
      </w:tr>
      <w:tr w:rsidR="00E67914" w:rsidRPr="00E67914" w14:paraId="47A153ED" w14:textId="77777777">
        <w:trPr>
          <w:cantSplit/>
          <w:jc w:val="center"/>
        </w:trPr>
        <w:tc>
          <w:tcPr>
            <w:tcW w:w="0" w:type="auto"/>
            <w:vAlign w:val="center"/>
          </w:tcPr>
          <w:p w14:paraId="20B966AF" w14:textId="77777777" w:rsidR="00A54A8A" w:rsidRPr="00E67914" w:rsidRDefault="00A54A8A">
            <w:pPr>
              <w:pStyle w:val="affffff"/>
            </w:pPr>
          </w:p>
        </w:tc>
        <w:tc>
          <w:tcPr>
            <w:tcW w:w="0" w:type="auto"/>
            <w:vAlign w:val="center"/>
          </w:tcPr>
          <w:p w14:paraId="03A51428" w14:textId="77777777" w:rsidR="00A54A8A" w:rsidRPr="00E67914" w:rsidRDefault="00000000">
            <w:pPr>
              <w:pStyle w:val="affffff"/>
            </w:pPr>
            <w:r w:rsidRPr="00E67914">
              <w:t>便携式</w:t>
            </w:r>
            <w:r w:rsidRPr="00E67914">
              <w:t>H</w:t>
            </w:r>
            <w:r w:rsidRPr="00E67914">
              <w:rPr>
                <w:vertAlign w:val="subscript"/>
              </w:rPr>
              <w:t>2</w:t>
            </w:r>
            <w:r w:rsidRPr="00E67914">
              <w:t>S</w:t>
            </w:r>
            <w:r w:rsidRPr="00E67914">
              <w:t>监测仪</w:t>
            </w:r>
          </w:p>
        </w:tc>
        <w:tc>
          <w:tcPr>
            <w:tcW w:w="0" w:type="auto"/>
            <w:vAlign w:val="center"/>
          </w:tcPr>
          <w:p w14:paraId="6F02E811" w14:textId="77777777" w:rsidR="00A54A8A" w:rsidRPr="00E67914" w:rsidRDefault="00A54A8A">
            <w:pPr>
              <w:pStyle w:val="affffff"/>
            </w:pPr>
          </w:p>
        </w:tc>
        <w:tc>
          <w:tcPr>
            <w:tcW w:w="0" w:type="auto"/>
            <w:vAlign w:val="center"/>
          </w:tcPr>
          <w:p w14:paraId="5D8DD474" w14:textId="77777777" w:rsidR="00A54A8A" w:rsidRPr="00E67914" w:rsidRDefault="00A54A8A">
            <w:pPr>
              <w:pStyle w:val="affffff"/>
            </w:pPr>
          </w:p>
        </w:tc>
        <w:tc>
          <w:tcPr>
            <w:tcW w:w="0" w:type="auto"/>
            <w:vAlign w:val="center"/>
          </w:tcPr>
          <w:p w14:paraId="251C3EC8" w14:textId="77777777" w:rsidR="00A54A8A" w:rsidRPr="00E67914" w:rsidRDefault="00A54A8A">
            <w:pPr>
              <w:pStyle w:val="affffff"/>
            </w:pPr>
          </w:p>
        </w:tc>
      </w:tr>
      <w:tr w:rsidR="00E67914" w:rsidRPr="00E67914" w14:paraId="0ACB7D1F" w14:textId="77777777">
        <w:trPr>
          <w:cantSplit/>
          <w:jc w:val="center"/>
        </w:trPr>
        <w:tc>
          <w:tcPr>
            <w:tcW w:w="0" w:type="auto"/>
            <w:vAlign w:val="center"/>
          </w:tcPr>
          <w:p w14:paraId="131D79B3" w14:textId="77777777" w:rsidR="00A54A8A" w:rsidRPr="00E67914" w:rsidRDefault="00A54A8A">
            <w:pPr>
              <w:pStyle w:val="affffff"/>
            </w:pPr>
          </w:p>
        </w:tc>
        <w:tc>
          <w:tcPr>
            <w:tcW w:w="0" w:type="auto"/>
            <w:vAlign w:val="center"/>
          </w:tcPr>
          <w:p w14:paraId="6CD29041" w14:textId="77777777" w:rsidR="00A54A8A" w:rsidRPr="00E67914" w:rsidRDefault="00000000">
            <w:pPr>
              <w:pStyle w:val="affffff"/>
            </w:pPr>
            <w:r w:rsidRPr="00E67914">
              <w:t>空气呼吸器</w:t>
            </w:r>
          </w:p>
        </w:tc>
        <w:tc>
          <w:tcPr>
            <w:tcW w:w="0" w:type="auto"/>
            <w:vAlign w:val="center"/>
          </w:tcPr>
          <w:p w14:paraId="64F511B6" w14:textId="77777777" w:rsidR="00A54A8A" w:rsidRPr="00E67914" w:rsidRDefault="00A54A8A">
            <w:pPr>
              <w:pStyle w:val="affffff"/>
            </w:pPr>
          </w:p>
        </w:tc>
        <w:tc>
          <w:tcPr>
            <w:tcW w:w="0" w:type="auto"/>
            <w:vAlign w:val="center"/>
          </w:tcPr>
          <w:p w14:paraId="28B555F3" w14:textId="77777777" w:rsidR="00A54A8A" w:rsidRPr="00E67914" w:rsidRDefault="00A54A8A">
            <w:pPr>
              <w:pStyle w:val="affffff"/>
            </w:pPr>
          </w:p>
        </w:tc>
        <w:tc>
          <w:tcPr>
            <w:tcW w:w="0" w:type="auto"/>
            <w:vAlign w:val="center"/>
          </w:tcPr>
          <w:p w14:paraId="4FAF1528" w14:textId="77777777" w:rsidR="00A54A8A" w:rsidRPr="00E67914" w:rsidRDefault="00A54A8A">
            <w:pPr>
              <w:pStyle w:val="affffff"/>
            </w:pPr>
          </w:p>
        </w:tc>
      </w:tr>
      <w:tr w:rsidR="00E67914" w:rsidRPr="00E67914" w14:paraId="35446E07" w14:textId="77777777">
        <w:trPr>
          <w:cantSplit/>
          <w:jc w:val="center"/>
        </w:trPr>
        <w:tc>
          <w:tcPr>
            <w:tcW w:w="0" w:type="auto"/>
            <w:vAlign w:val="center"/>
          </w:tcPr>
          <w:p w14:paraId="3B8BBCB8" w14:textId="77777777" w:rsidR="00A54A8A" w:rsidRPr="00E67914" w:rsidRDefault="00A54A8A">
            <w:pPr>
              <w:pStyle w:val="affffff"/>
            </w:pPr>
          </w:p>
        </w:tc>
        <w:tc>
          <w:tcPr>
            <w:tcW w:w="0" w:type="auto"/>
            <w:vAlign w:val="center"/>
          </w:tcPr>
          <w:p w14:paraId="7AD3A9FE" w14:textId="77777777" w:rsidR="00A54A8A" w:rsidRPr="00E67914" w:rsidRDefault="00000000">
            <w:pPr>
              <w:pStyle w:val="affffff"/>
            </w:pPr>
            <w:r w:rsidRPr="00E67914">
              <w:t>空气压缩机</w:t>
            </w:r>
          </w:p>
        </w:tc>
        <w:tc>
          <w:tcPr>
            <w:tcW w:w="0" w:type="auto"/>
            <w:vAlign w:val="center"/>
          </w:tcPr>
          <w:p w14:paraId="252D7C99" w14:textId="77777777" w:rsidR="00A54A8A" w:rsidRPr="00E67914" w:rsidRDefault="00A54A8A">
            <w:pPr>
              <w:pStyle w:val="affffff"/>
            </w:pPr>
          </w:p>
        </w:tc>
        <w:tc>
          <w:tcPr>
            <w:tcW w:w="0" w:type="auto"/>
            <w:vAlign w:val="center"/>
          </w:tcPr>
          <w:p w14:paraId="5D11AEDB" w14:textId="77777777" w:rsidR="00A54A8A" w:rsidRPr="00E67914" w:rsidRDefault="00A54A8A">
            <w:pPr>
              <w:pStyle w:val="affffff"/>
            </w:pPr>
          </w:p>
        </w:tc>
        <w:tc>
          <w:tcPr>
            <w:tcW w:w="0" w:type="auto"/>
            <w:vAlign w:val="center"/>
          </w:tcPr>
          <w:p w14:paraId="0A6DE705" w14:textId="77777777" w:rsidR="00A54A8A" w:rsidRPr="00E67914" w:rsidRDefault="00A54A8A">
            <w:pPr>
              <w:pStyle w:val="affffff"/>
            </w:pPr>
          </w:p>
        </w:tc>
      </w:tr>
      <w:tr w:rsidR="00E67914" w:rsidRPr="00E67914" w14:paraId="2419CE02" w14:textId="77777777">
        <w:trPr>
          <w:cantSplit/>
          <w:jc w:val="center"/>
        </w:trPr>
        <w:tc>
          <w:tcPr>
            <w:tcW w:w="0" w:type="auto"/>
            <w:vAlign w:val="center"/>
          </w:tcPr>
          <w:p w14:paraId="1D3DD9C3" w14:textId="77777777" w:rsidR="00A54A8A" w:rsidRPr="00E67914" w:rsidRDefault="00A54A8A">
            <w:pPr>
              <w:pStyle w:val="affffff"/>
            </w:pPr>
          </w:p>
        </w:tc>
        <w:tc>
          <w:tcPr>
            <w:tcW w:w="0" w:type="auto"/>
            <w:vAlign w:val="center"/>
          </w:tcPr>
          <w:p w14:paraId="68D7D1CC" w14:textId="77777777" w:rsidR="00A54A8A" w:rsidRPr="00E67914" w:rsidRDefault="00000000">
            <w:pPr>
              <w:pStyle w:val="affffff"/>
            </w:pPr>
            <w:r w:rsidRPr="00E67914">
              <w:t>大功率防爆排风扇</w:t>
            </w:r>
          </w:p>
        </w:tc>
        <w:tc>
          <w:tcPr>
            <w:tcW w:w="0" w:type="auto"/>
            <w:vAlign w:val="center"/>
          </w:tcPr>
          <w:p w14:paraId="3A9875A6" w14:textId="77777777" w:rsidR="00A54A8A" w:rsidRPr="00E67914" w:rsidRDefault="00A54A8A">
            <w:pPr>
              <w:pStyle w:val="affffff"/>
            </w:pPr>
          </w:p>
        </w:tc>
        <w:tc>
          <w:tcPr>
            <w:tcW w:w="0" w:type="auto"/>
            <w:vAlign w:val="center"/>
          </w:tcPr>
          <w:p w14:paraId="05E6226C" w14:textId="77777777" w:rsidR="00A54A8A" w:rsidRPr="00E67914" w:rsidRDefault="00A54A8A">
            <w:pPr>
              <w:pStyle w:val="affffff"/>
            </w:pPr>
          </w:p>
        </w:tc>
        <w:tc>
          <w:tcPr>
            <w:tcW w:w="0" w:type="auto"/>
            <w:vAlign w:val="center"/>
          </w:tcPr>
          <w:p w14:paraId="68C336CA" w14:textId="77777777" w:rsidR="00A54A8A" w:rsidRPr="00E67914" w:rsidRDefault="00A54A8A">
            <w:pPr>
              <w:pStyle w:val="affffff"/>
            </w:pPr>
          </w:p>
        </w:tc>
      </w:tr>
      <w:tr w:rsidR="00E67914" w:rsidRPr="00E67914" w14:paraId="08D9F56A" w14:textId="77777777">
        <w:trPr>
          <w:cantSplit/>
          <w:jc w:val="center"/>
        </w:trPr>
        <w:tc>
          <w:tcPr>
            <w:tcW w:w="0" w:type="auto"/>
            <w:vAlign w:val="center"/>
          </w:tcPr>
          <w:p w14:paraId="0D00E86A" w14:textId="77777777" w:rsidR="00A54A8A" w:rsidRPr="00E67914" w:rsidRDefault="00A54A8A">
            <w:pPr>
              <w:pStyle w:val="affffff"/>
            </w:pPr>
          </w:p>
        </w:tc>
        <w:tc>
          <w:tcPr>
            <w:tcW w:w="0" w:type="auto"/>
            <w:vAlign w:val="center"/>
          </w:tcPr>
          <w:p w14:paraId="76E0DB22" w14:textId="77777777" w:rsidR="00A54A8A" w:rsidRPr="00E67914" w:rsidRDefault="00000000">
            <w:pPr>
              <w:pStyle w:val="affffff"/>
            </w:pPr>
            <w:r w:rsidRPr="00E67914">
              <w:t>点火装置</w:t>
            </w:r>
          </w:p>
        </w:tc>
        <w:tc>
          <w:tcPr>
            <w:tcW w:w="0" w:type="auto"/>
            <w:vAlign w:val="center"/>
          </w:tcPr>
          <w:p w14:paraId="2B43A322" w14:textId="77777777" w:rsidR="00A54A8A" w:rsidRPr="00E67914" w:rsidRDefault="00A54A8A">
            <w:pPr>
              <w:pStyle w:val="affffff"/>
            </w:pPr>
          </w:p>
        </w:tc>
        <w:tc>
          <w:tcPr>
            <w:tcW w:w="0" w:type="auto"/>
            <w:vAlign w:val="center"/>
          </w:tcPr>
          <w:p w14:paraId="5CD62BE3" w14:textId="77777777" w:rsidR="00A54A8A" w:rsidRPr="00E67914" w:rsidRDefault="00A54A8A">
            <w:pPr>
              <w:pStyle w:val="affffff"/>
            </w:pPr>
          </w:p>
        </w:tc>
        <w:tc>
          <w:tcPr>
            <w:tcW w:w="0" w:type="auto"/>
            <w:vAlign w:val="center"/>
          </w:tcPr>
          <w:p w14:paraId="1F5E89D2" w14:textId="77777777" w:rsidR="00A54A8A" w:rsidRPr="00E67914" w:rsidRDefault="00A54A8A">
            <w:pPr>
              <w:pStyle w:val="affffff"/>
            </w:pPr>
          </w:p>
        </w:tc>
      </w:tr>
      <w:tr w:rsidR="00E67914" w:rsidRPr="00E67914" w14:paraId="319554F7" w14:textId="77777777">
        <w:trPr>
          <w:cantSplit/>
          <w:jc w:val="center"/>
        </w:trPr>
        <w:tc>
          <w:tcPr>
            <w:tcW w:w="0" w:type="auto"/>
            <w:vAlign w:val="center"/>
          </w:tcPr>
          <w:p w14:paraId="2CA898DC" w14:textId="77777777" w:rsidR="00A54A8A" w:rsidRPr="00E67914" w:rsidRDefault="00A54A8A">
            <w:pPr>
              <w:pStyle w:val="affffff"/>
            </w:pPr>
          </w:p>
        </w:tc>
        <w:tc>
          <w:tcPr>
            <w:tcW w:w="0" w:type="auto"/>
            <w:vAlign w:val="center"/>
          </w:tcPr>
          <w:p w14:paraId="5AFCEFFC" w14:textId="77777777" w:rsidR="00A54A8A" w:rsidRPr="00E67914" w:rsidRDefault="00000000">
            <w:pPr>
              <w:pStyle w:val="affffff"/>
            </w:pPr>
            <w:r w:rsidRPr="00E67914">
              <w:t>小型汽油发电机</w:t>
            </w:r>
          </w:p>
        </w:tc>
        <w:tc>
          <w:tcPr>
            <w:tcW w:w="0" w:type="auto"/>
            <w:vAlign w:val="center"/>
          </w:tcPr>
          <w:p w14:paraId="348F7C00" w14:textId="77777777" w:rsidR="00A54A8A" w:rsidRPr="00E67914" w:rsidRDefault="00A54A8A">
            <w:pPr>
              <w:pStyle w:val="affffff"/>
            </w:pPr>
          </w:p>
        </w:tc>
        <w:tc>
          <w:tcPr>
            <w:tcW w:w="0" w:type="auto"/>
            <w:vAlign w:val="center"/>
          </w:tcPr>
          <w:p w14:paraId="7F94E396" w14:textId="77777777" w:rsidR="00A54A8A" w:rsidRPr="00E67914" w:rsidRDefault="00A54A8A">
            <w:pPr>
              <w:pStyle w:val="affffff"/>
            </w:pPr>
          </w:p>
        </w:tc>
        <w:tc>
          <w:tcPr>
            <w:tcW w:w="0" w:type="auto"/>
            <w:vAlign w:val="center"/>
          </w:tcPr>
          <w:p w14:paraId="0DEBFEA9" w14:textId="77777777" w:rsidR="00A54A8A" w:rsidRPr="00E67914" w:rsidRDefault="00A54A8A">
            <w:pPr>
              <w:pStyle w:val="affffff"/>
            </w:pPr>
          </w:p>
        </w:tc>
      </w:tr>
    </w:tbl>
    <w:p w14:paraId="48E94AB7" w14:textId="77777777" w:rsidR="00A54A8A" w:rsidRPr="00E67914" w:rsidRDefault="00000000">
      <w:pPr>
        <w:widowControl w:val="0"/>
        <w:autoSpaceDE w:val="0"/>
        <w:autoSpaceDN w:val="0"/>
        <w:adjustRightInd w:val="0"/>
        <w:snapToGrid w:val="0"/>
        <w:spacing w:beforeLines="50" w:before="120" w:line="360" w:lineRule="auto"/>
        <w:ind w:firstLineChars="200" w:firstLine="480"/>
        <w:textAlignment w:val="baseline"/>
        <w:rPr>
          <w:rFonts w:ascii="Times New Roman" w:eastAsia="黑体" w:hAnsi="Times New Roman"/>
          <w:sz w:val="24"/>
          <w:szCs w:val="24"/>
        </w:rPr>
      </w:pPr>
      <w:r w:rsidRPr="00E67914">
        <w:rPr>
          <w:rFonts w:ascii="Times New Roman" w:eastAsia="黑体" w:hAnsi="Times New Roman"/>
          <w:sz w:val="24"/>
          <w:szCs w:val="24"/>
          <w:lang w:eastAsia="zh-CN"/>
        </w:rPr>
        <w:t>2</w:t>
      </w:r>
      <w:r w:rsidRPr="00E67914">
        <w:rPr>
          <w:rFonts w:ascii="Times New Roman" w:eastAsia="黑体" w:hAnsi="Times New Roman"/>
          <w:sz w:val="24"/>
          <w:szCs w:val="24"/>
          <w:lang w:eastAsia="zh-CN"/>
        </w:rPr>
        <w:t>、</w:t>
      </w:r>
      <w:r w:rsidRPr="00E67914">
        <w:rPr>
          <w:rFonts w:ascii="Times New Roman" w:eastAsia="黑体" w:hAnsi="Times New Roman"/>
          <w:sz w:val="24"/>
          <w:szCs w:val="24"/>
        </w:rPr>
        <w:t>试采期</w:t>
      </w:r>
    </w:p>
    <w:p w14:paraId="38E43728" w14:textId="2E00EAE9" w:rsidR="00A54A8A" w:rsidRPr="00E67914" w:rsidRDefault="00193429">
      <w:pPr>
        <w:widowControl w:val="0"/>
        <w:autoSpaceDE w:val="0"/>
        <w:autoSpaceDN w:val="0"/>
        <w:adjustRightInd w:val="0"/>
        <w:snapToGrid w:val="0"/>
        <w:spacing w:line="360" w:lineRule="auto"/>
        <w:ind w:firstLine="480"/>
        <w:textAlignment w:val="baseline"/>
        <w:rPr>
          <w:rFonts w:ascii="Times New Roman" w:hAnsi="Times New Roman"/>
          <w:sz w:val="24"/>
          <w:szCs w:val="24"/>
          <w:lang w:eastAsia="zh-CN"/>
        </w:rPr>
      </w:pPr>
      <w:r w:rsidRPr="00E67914">
        <w:rPr>
          <w:rFonts w:ascii="Times New Roman" w:hAnsi="Times New Roman"/>
          <w:sz w:val="24"/>
          <w:szCs w:val="24"/>
          <w:lang w:eastAsia="zh-CN"/>
        </w:rPr>
        <w:t>普陆页</w:t>
      </w:r>
      <w:r w:rsidRPr="00E67914">
        <w:rPr>
          <w:rFonts w:ascii="Times New Roman" w:hAnsi="Times New Roman"/>
          <w:sz w:val="24"/>
          <w:szCs w:val="24"/>
          <w:lang w:eastAsia="zh-CN"/>
        </w:rPr>
        <w:t>2</w:t>
      </w:r>
      <w:r w:rsidRPr="00E67914">
        <w:rPr>
          <w:rFonts w:ascii="Times New Roman" w:hAnsi="Times New Roman"/>
          <w:sz w:val="24"/>
          <w:szCs w:val="24"/>
          <w:lang w:eastAsia="zh-CN"/>
        </w:rPr>
        <w:t>试采站新建主要设备一览表见表</w:t>
      </w:r>
      <w:r w:rsidRPr="00E67914">
        <w:rPr>
          <w:rFonts w:ascii="Times New Roman" w:hAnsi="Times New Roman"/>
          <w:sz w:val="24"/>
          <w:szCs w:val="24"/>
          <w:lang w:eastAsia="zh-CN"/>
        </w:rPr>
        <w:t>3.2-9</w:t>
      </w:r>
      <w:r w:rsidRPr="00E67914">
        <w:rPr>
          <w:rFonts w:ascii="Times New Roman" w:hAnsi="Times New Roman"/>
          <w:sz w:val="24"/>
          <w:szCs w:val="24"/>
          <w:lang w:eastAsia="zh-CN"/>
        </w:rPr>
        <w:t>。</w:t>
      </w:r>
    </w:p>
    <w:p w14:paraId="2624C9DB" w14:textId="71FA6C83"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3.2-9  </w:t>
      </w:r>
      <w:r w:rsidR="00193429" w:rsidRPr="00E67914">
        <w:rPr>
          <w:rFonts w:ascii="Times New Roman" w:eastAsia="黑体" w:hAnsi="Times New Roman"/>
          <w:sz w:val="21"/>
          <w:szCs w:val="21"/>
          <w:lang w:eastAsia="zh-CN"/>
        </w:rPr>
        <w:t>普陆页</w:t>
      </w:r>
      <w:r w:rsidR="00193429" w:rsidRPr="00E67914">
        <w:rPr>
          <w:rFonts w:ascii="Times New Roman" w:eastAsia="黑体" w:hAnsi="Times New Roman"/>
          <w:sz w:val="21"/>
          <w:szCs w:val="21"/>
          <w:lang w:eastAsia="zh-CN"/>
        </w:rPr>
        <w:t>2</w:t>
      </w:r>
      <w:r w:rsidR="00193429" w:rsidRPr="00E67914">
        <w:rPr>
          <w:rFonts w:ascii="Times New Roman" w:eastAsia="黑体" w:hAnsi="Times New Roman"/>
          <w:sz w:val="21"/>
          <w:szCs w:val="21"/>
          <w:lang w:eastAsia="zh-CN"/>
        </w:rPr>
        <w:t>试采站</w:t>
      </w:r>
      <w:r w:rsidRPr="00E67914">
        <w:rPr>
          <w:rFonts w:ascii="Times New Roman" w:eastAsia="黑体" w:hAnsi="Times New Roman"/>
          <w:sz w:val="21"/>
          <w:szCs w:val="21"/>
          <w:lang w:eastAsia="zh-CN"/>
        </w:rPr>
        <w:t>新建主要设备一览表</w:t>
      </w:r>
    </w:p>
    <w:tbl>
      <w:tblPr>
        <w:tblStyle w:val="affa"/>
        <w:tblW w:w="5000" w:type="pct"/>
        <w:tblLook w:val="04A0" w:firstRow="1" w:lastRow="0" w:firstColumn="1" w:lastColumn="0" w:noHBand="0" w:noVBand="1"/>
      </w:tblPr>
      <w:tblGrid>
        <w:gridCol w:w="1057"/>
        <w:gridCol w:w="4688"/>
        <w:gridCol w:w="1277"/>
        <w:gridCol w:w="1278"/>
      </w:tblGrid>
      <w:tr w:rsidR="00E67914" w:rsidRPr="00E67914" w14:paraId="74110A9D" w14:textId="77777777">
        <w:tc>
          <w:tcPr>
            <w:tcW w:w="637" w:type="pct"/>
            <w:vAlign w:val="center"/>
          </w:tcPr>
          <w:p w14:paraId="6C60A59B" w14:textId="77777777" w:rsidR="00A54A8A" w:rsidRPr="00E67914" w:rsidRDefault="00000000">
            <w:pPr>
              <w:pStyle w:val="affffff"/>
            </w:pPr>
            <w:r w:rsidRPr="00E67914">
              <w:t>序号</w:t>
            </w:r>
          </w:p>
        </w:tc>
        <w:tc>
          <w:tcPr>
            <w:tcW w:w="2824" w:type="pct"/>
            <w:vAlign w:val="center"/>
          </w:tcPr>
          <w:p w14:paraId="52BE1D59" w14:textId="77777777" w:rsidR="00A54A8A" w:rsidRPr="00E67914" w:rsidRDefault="00000000">
            <w:pPr>
              <w:pStyle w:val="affffff"/>
            </w:pPr>
            <w:r w:rsidRPr="00E67914">
              <w:t>名称型号及规格</w:t>
            </w:r>
          </w:p>
        </w:tc>
        <w:tc>
          <w:tcPr>
            <w:tcW w:w="769" w:type="pct"/>
            <w:vAlign w:val="center"/>
          </w:tcPr>
          <w:p w14:paraId="6278CADA" w14:textId="77777777" w:rsidR="00A54A8A" w:rsidRPr="00E67914" w:rsidRDefault="00000000">
            <w:pPr>
              <w:pStyle w:val="affffff"/>
            </w:pPr>
            <w:r w:rsidRPr="00E67914">
              <w:t>单位</w:t>
            </w:r>
          </w:p>
        </w:tc>
        <w:tc>
          <w:tcPr>
            <w:tcW w:w="770" w:type="pct"/>
            <w:vAlign w:val="center"/>
          </w:tcPr>
          <w:p w14:paraId="4F0B0022" w14:textId="77777777" w:rsidR="00A54A8A" w:rsidRPr="00E67914" w:rsidRDefault="00000000">
            <w:pPr>
              <w:pStyle w:val="affffff"/>
            </w:pPr>
            <w:r w:rsidRPr="00E67914">
              <w:t>数量</w:t>
            </w:r>
          </w:p>
        </w:tc>
      </w:tr>
      <w:tr w:rsidR="00E67914" w:rsidRPr="00E67914" w14:paraId="036F5BF2" w14:textId="77777777">
        <w:tc>
          <w:tcPr>
            <w:tcW w:w="637" w:type="pct"/>
            <w:vAlign w:val="center"/>
          </w:tcPr>
          <w:p w14:paraId="4CD12950" w14:textId="77777777" w:rsidR="00A54A8A" w:rsidRPr="00E67914" w:rsidRDefault="00000000">
            <w:pPr>
              <w:pStyle w:val="affffff"/>
            </w:pPr>
            <w:r w:rsidRPr="00E67914">
              <w:t>1</w:t>
            </w:r>
          </w:p>
        </w:tc>
        <w:tc>
          <w:tcPr>
            <w:tcW w:w="2824" w:type="pct"/>
            <w:vAlign w:val="center"/>
          </w:tcPr>
          <w:p w14:paraId="0F2ABAB5" w14:textId="77777777" w:rsidR="00A54A8A" w:rsidRPr="00E67914" w:rsidRDefault="00000000">
            <w:pPr>
              <w:pStyle w:val="affffff"/>
            </w:pPr>
            <w:r w:rsidRPr="00E67914">
              <w:t>加热炉撬块（</w:t>
            </w:r>
            <w:r w:rsidRPr="00E67914">
              <w:t>400kW)</w:t>
            </w:r>
          </w:p>
        </w:tc>
        <w:tc>
          <w:tcPr>
            <w:tcW w:w="769" w:type="pct"/>
            <w:vAlign w:val="center"/>
          </w:tcPr>
          <w:p w14:paraId="754960A8" w14:textId="77777777" w:rsidR="00A54A8A" w:rsidRPr="00E67914" w:rsidRDefault="00000000">
            <w:pPr>
              <w:pStyle w:val="affffff"/>
            </w:pPr>
            <w:r w:rsidRPr="00E67914">
              <w:t>座</w:t>
            </w:r>
          </w:p>
        </w:tc>
        <w:tc>
          <w:tcPr>
            <w:tcW w:w="770" w:type="pct"/>
            <w:vAlign w:val="center"/>
          </w:tcPr>
          <w:p w14:paraId="1B0E01FF" w14:textId="16DD8B65" w:rsidR="00A54A8A" w:rsidRPr="00E67914" w:rsidRDefault="002A1867">
            <w:pPr>
              <w:pStyle w:val="affffff"/>
            </w:pPr>
            <w:r w:rsidRPr="00E67914">
              <w:t>2</w:t>
            </w:r>
          </w:p>
        </w:tc>
      </w:tr>
      <w:tr w:rsidR="00E67914" w:rsidRPr="00E67914" w14:paraId="155CBED9" w14:textId="77777777">
        <w:tc>
          <w:tcPr>
            <w:tcW w:w="637" w:type="pct"/>
            <w:vAlign w:val="center"/>
          </w:tcPr>
          <w:p w14:paraId="62271141" w14:textId="77777777" w:rsidR="00A54A8A" w:rsidRPr="00E67914" w:rsidRDefault="00000000">
            <w:pPr>
              <w:pStyle w:val="affffff"/>
            </w:pPr>
            <w:r w:rsidRPr="00E67914">
              <w:t>2</w:t>
            </w:r>
          </w:p>
        </w:tc>
        <w:tc>
          <w:tcPr>
            <w:tcW w:w="2824" w:type="pct"/>
            <w:vAlign w:val="center"/>
          </w:tcPr>
          <w:p w14:paraId="0FCDC940" w14:textId="56C38329" w:rsidR="00A54A8A" w:rsidRPr="00E67914" w:rsidRDefault="002A1867">
            <w:pPr>
              <w:pStyle w:val="affffff"/>
            </w:pPr>
            <w:r w:rsidRPr="00E67914">
              <w:t>φ1200×6000m</w:t>
            </w:r>
            <w:r w:rsidR="00EA361A" w:rsidRPr="00E67914">
              <w:t>m</w:t>
            </w:r>
            <w:r w:rsidRPr="00E67914">
              <w:t>气液两相分离器</w:t>
            </w:r>
          </w:p>
        </w:tc>
        <w:tc>
          <w:tcPr>
            <w:tcW w:w="769" w:type="pct"/>
            <w:vAlign w:val="center"/>
          </w:tcPr>
          <w:p w14:paraId="64AE5F89" w14:textId="77777777" w:rsidR="00A54A8A" w:rsidRPr="00E67914" w:rsidRDefault="00000000">
            <w:pPr>
              <w:pStyle w:val="affffff"/>
            </w:pPr>
            <w:r w:rsidRPr="00E67914">
              <w:t>座</w:t>
            </w:r>
          </w:p>
        </w:tc>
        <w:tc>
          <w:tcPr>
            <w:tcW w:w="770" w:type="pct"/>
            <w:vAlign w:val="center"/>
          </w:tcPr>
          <w:p w14:paraId="1093E8F5" w14:textId="4D1E0E51" w:rsidR="00A54A8A" w:rsidRPr="00E67914" w:rsidRDefault="002A1867">
            <w:pPr>
              <w:pStyle w:val="affffff"/>
            </w:pPr>
            <w:r w:rsidRPr="00E67914">
              <w:t>1</w:t>
            </w:r>
          </w:p>
        </w:tc>
      </w:tr>
      <w:tr w:rsidR="00E67914" w:rsidRPr="00E67914" w14:paraId="0F8C8760" w14:textId="77777777">
        <w:tc>
          <w:tcPr>
            <w:tcW w:w="637" w:type="pct"/>
            <w:vAlign w:val="center"/>
          </w:tcPr>
          <w:p w14:paraId="7F868AA3" w14:textId="676E7573" w:rsidR="002A1867" w:rsidRPr="00E67914" w:rsidRDefault="002A1867">
            <w:pPr>
              <w:pStyle w:val="affffff"/>
            </w:pPr>
            <w:r w:rsidRPr="00E67914">
              <w:t>3</w:t>
            </w:r>
          </w:p>
        </w:tc>
        <w:tc>
          <w:tcPr>
            <w:tcW w:w="2824" w:type="pct"/>
            <w:vAlign w:val="center"/>
          </w:tcPr>
          <w:p w14:paraId="67819A0E" w14:textId="258BAFD0" w:rsidR="002A1867" w:rsidRPr="00E67914" w:rsidRDefault="002A1867">
            <w:pPr>
              <w:pStyle w:val="affffff"/>
            </w:pPr>
            <w:r w:rsidRPr="00E67914">
              <w:t>φ1200×3600m</w:t>
            </w:r>
            <w:r w:rsidR="00EA361A" w:rsidRPr="00E67914">
              <w:t>m</w:t>
            </w:r>
            <w:r w:rsidRPr="00E67914">
              <w:t>油气水三相分离器</w:t>
            </w:r>
          </w:p>
        </w:tc>
        <w:tc>
          <w:tcPr>
            <w:tcW w:w="769" w:type="pct"/>
            <w:vAlign w:val="center"/>
          </w:tcPr>
          <w:p w14:paraId="71FFFB40" w14:textId="12A65C9A" w:rsidR="002A1867" w:rsidRPr="00E67914" w:rsidRDefault="002A1867">
            <w:pPr>
              <w:pStyle w:val="affffff"/>
            </w:pPr>
            <w:r w:rsidRPr="00E67914">
              <w:t>座</w:t>
            </w:r>
          </w:p>
        </w:tc>
        <w:tc>
          <w:tcPr>
            <w:tcW w:w="770" w:type="pct"/>
            <w:vAlign w:val="center"/>
          </w:tcPr>
          <w:p w14:paraId="0456C33C" w14:textId="2EAA353B" w:rsidR="002A1867" w:rsidRPr="00E67914" w:rsidRDefault="002A1867">
            <w:pPr>
              <w:pStyle w:val="affffff"/>
            </w:pPr>
            <w:r w:rsidRPr="00E67914">
              <w:t>1</w:t>
            </w:r>
          </w:p>
        </w:tc>
      </w:tr>
      <w:tr w:rsidR="00E67914" w:rsidRPr="00E67914" w14:paraId="151ED2E5" w14:textId="77777777">
        <w:tc>
          <w:tcPr>
            <w:tcW w:w="637" w:type="pct"/>
            <w:vAlign w:val="center"/>
          </w:tcPr>
          <w:p w14:paraId="1AC9DA7E" w14:textId="139CAF45" w:rsidR="002A1867" w:rsidRPr="00E67914" w:rsidRDefault="002A1867">
            <w:pPr>
              <w:pStyle w:val="affffff"/>
            </w:pPr>
            <w:r w:rsidRPr="00E67914">
              <w:t>4</w:t>
            </w:r>
          </w:p>
        </w:tc>
        <w:tc>
          <w:tcPr>
            <w:tcW w:w="2824" w:type="pct"/>
            <w:vAlign w:val="center"/>
          </w:tcPr>
          <w:p w14:paraId="4CCFC85F" w14:textId="5E9DD12C" w:rsidR="002A1867" w:rsidRPr="00E67914" w:rsidRDefault="002A1867">
            <w:pPr>
              <w:pStyle w:val="affffff"/>
            </w:pPr>
            <w:r w:rsidRPr="00E67914">
              <w:t>放空分离器撬（单筒处理量</w:t>
            </w:r>
            <w:r w:rsidRPr="00E67914">
              <w:t>10×10</w:t>
            </w:r>
            <w:r w:rsidRPr="00E67914">
              <w:rPr>
                <w:vertAlign w:val="superscript"/>
              </w:rPr>
              <w:t>4</w:t>
            </w:r>
            <w:r w:rsidRPr="00E67914">
              <w:t>Nm³/d</w:t>
            </w:r>
            <w:r w:rsidRPr="00E67914">
              <w:t>），含放空分液罐，容积</w:t>
            </w:r>
            <w:r w:rsidRPr="00E67914">
              <w:t>10m</w:t>
            </w:r>
            <w:r w:rsidRPr="00E67914">
              <w:rPr>
                <w:vertAlign w:val="superscript"/>
              </w:rPr>
              <w:t>3</w:t>
            </w:r>
          </w:p>
        </w:tc>
        <w:tc>
          <w:tcPr>
            <w:tcW w:w="769" w:type="pct"/>
            <w:vAlign w:val="center"/>
          </w:tcPr>
          <w:p w14:paraId="5A46D1FB" w14:textId="133B2D5B" w:rsidR="002A1867" w:rsidRPr="00E67914" w:rsidRDefault="002A1867">
            <w:pPr>
              <w:pStyle w:val="affffff"/>
            </w:pPr>
            <w:r w:rsidRPr="00E67914">
              <w:t>座</w:t>
            </w:r>
          </w:p>
        </w:tc>
        <w:tc>
          <w:tcPr>
            <w:tcW w:w="770" w:type="pct"/>
            <w:vAlign w:val="center"/>
          </w:tcPr>
          <w:p w14:paraId="69F2727B" w14:textId="35503EE7" w:rsidR="002A1867" w:rsidRPr="00E67914" w:rsidRDefault="002A1867">
            <w:pPr>
              <w:pStyle w:val="affffff"/>
            </w:pPr>
            <w:r w:rsidRPr="00E67914">
              <w:t>1</w:t>
            </w:r>
          </w:p>
        </w:tc>
      </w:tr>
      <w:tr w:rsidR="00E67914" w:rsidRPr="00E67914" w14:paraId="42D72A48" w14:textId="77777777">
        <w:tc>
          <w:tcPr>
            <w:tcW w:w="637" w:type="pct"/>
            <w:vAlign w:val="center"/>
          </w:tcPr>
          <w:p w14:paraId="67986025" w14:textId="35ABC1AC" w:rsidR="002A1867" w:rsidRPr="00E67914" w:rsidRDefault="00B6179A">
            <w:pPr>
              <w:pStyle w:val="affffff"/>
            </w:pPr>
            <w:r w:rsidRPr="00E67914">
              <w:t>5</w:t>
            </w:r>
          </w:p>
        </w:tc>
        <w:tc>
          <w:tcPr>
            <w:tcW w:w="2824" w:type="pct"/>
            <w:vAlign w:val="center"/>
          </w:tcPr>
          <w:p w14:paraId="5BAD4CC6" w14:textId="1D18FD48" w:rsidR="002A1867" w:rsidRPr="00E67914" w:rsidRDefault="002A1867">
            <w:pPr>
              <w:pStyle w:val="affffff"/>
            </w:pPr>
            <w:r w:rsidRPr="00E67914">
              <w:t>双筒高效除砂器撬</w:t>
            </w:r>
          </w:p>
        </w:tc>
        <w:tc>
          <w:tcPr>
            <w:tcW w:w="769" w:type="pct"/>
            <w:vAlign w:val="center"/>
          </w:tcPr>
          <w:p w14:paraId="22671FE6" w14:textId="6047B261" w:rsidR="002A1867" w:rsidRPr="00E67914" w:rsidRDefault="002A1867">
            <w:pPr>
              <w:pStyle w:val="affffff"/>
            </w:pPr>
            <w:r w:rsidRPr="00E67914">
              <w:t>座</w:t>
            </w:r>
          </w:p>
        </w:tc>
        <w:tc>
          <w:tcPr>
            <w:tcW w:w="770" w:type="pct"/>
            <w:vAlign w:val="center"/>
          </w:tcPr>
          <w:p w14:paraId="693F7778" w14:textId="62B96A74" w:rsidR="002A1867" w:rsidRPr="00E67914" w:rsidRDefault="002A1867">
            <w:pPr>
              <w:pStyle w:val="affffff"/>
            </w:pPr>
            <w:r w:rsidRPr="00E67914">
              <w:t>2</w:t>
            </w:r>
          </w:p>
        </w:tc>
      </w:tr>
      <w:tr w:rsidR="00E67914" w:rsidRPr="00E67914" w14:paraId="7EE6971B" w14:textId="77777777">
        <w:tc>
          <w:tcPr>
            <w:tcW w:w="637" w:type="pct"/>
            <w:vAlign w:val="center"/>
          </w:tcPr>
          <w:p w14:paraId="5609E278" w14:textId="1931AAF8" w:rsidR="002A1867" w:rsidRPr="00E67914" w:rsidRDefault="00B6179A">
            <w:pPr>
              <w:pStyle w:val="affffff"/>
            </w:pPr>
            <w:r w:rsidRPr="00E67914">
              <w:t>6</w:t>
            </w:r>
          </w:p>
        </w:tc>
        <w:tc>
          <w:tcPr>
            <w:tcW w:w="2824" w:type="pct"/>
            <w:vAlign w:val="center"/>
          </w:tcPr>
          <w:p w14:paraId="54420383" w14:textId="1D6E63AB" w:rsidR="002A1867" w:rsidRPr="00E67914" w:rsidRDefault="002A1867">
            <w:pPr>
              <w:pStyle w:val="affffff"/>
            </w:pPr>
            <w:r w:rsidRPr="00E67914">
              <w:t>8000Nm</w:t>
            </w:r>
            <w:r w:rsidRPr="00E67914">
              <w:rPr>
                <w:vertAlign w:val="superscript"/>
              </w:rPr>
              <w:t>3</w:t>
            </w:r>
            <w:r w:rsidRPr="00E67914">
              <w:t>/d</w:t>
            </w:r>
            <w:r w:rsidRPr="00E67914">
              <w:t>燃料气调压分离器撬</w:t>
            </w:r>
          </w:p>
        </w:tc>
        <w:tc>
          <w:tcPr>
            <w:tcW w:w="769" w:type="pct"/>
            <w:vAlign w:val="center"/>
          </w:tcPr>
          <w:p w14:paraId="038DA457" w14:textId="39932787" w:rsidR="002A1867" w:rsidRPr="00E67914" w:rsidRDefault="002A1867">
            <w:pPr>
              <w:pStyle w:val="affffff"/>
            </w:pPr>
            <w:r w:rsidRPr="00E67914">
              <w:t>座</w:t>
            </w:r>
          </w:p>
        </w:tc>
        <w:tc>
          <w:tcPr>
            <w:tcW w:w="770" w:type="pct"/>
            <w:vAlign w:val="center"/>
          </w:tcPr>
          <w:p w14:paraId="6BE658B9" w14:textId="2EF26426" w:rsidR="002A1867" w:rsidRPr="00E67914" w:rsidRDefault="002A1867">
            <w:pPr>
              <w:pStyle w:val="affffff"/>
            </w:pPr>
            <w:r w:rsidRPr="00E67914">
              <w:t>1</w:t>
            </w:r>
          </w:p>
        </w:tc>
      </w:tr>
      <w:tr w:rsidR="00E67914" w:rsidRPr="00E67914" w14:paraId="46014EC1" w14:textId="77777777">
        <w:tc>
          <w:tcPr>
            <w:tcW w:w="637" w:type="pct"/>
            <w:vAlign w:val="center"/>
          </w:tcPr>
          <w:p w14:paraId="12445976" w14:textId="2178AA83" w:rsidR="002A1867" w:rsidRPr="00E67914" w:rsidRDefault="00B6179A">
            <w:pPr>
              <w:pStyle w:val="affffff"/>
            </w:pPr>
            <w:r w:rsidRPr="00E67914">
              <w:t>7</w:t>
            </w:r>
          </w:p>
        </w:tc>
        <w:tc>
          <w:tcPr>
            <w:tcW w:w="2824" w:type="pct"/>
            <w:vAlign w:val="center"/>
          </w:tcPr>
          <w:p w14:paraId="6328C880" w14:textId="17F20DBC" w:rsidR="002A1867" w:rsidRPr="00E67914" w:rsidRDefault="002A1867">
            <w:pPr>
              <w:pStyle w:val="affffff"/>
            </w:pPr>
            <w:r w:rsidRPr="00E67914">
              <w:t>50m³</w:t>
            </w:r>
            <w:r w:rsidRPr="00E67914">
              <w:t>采出水罐</w:t>
            </w:r>
          </w:p>
        </w:tc>
        <w:tc>
          <w:tcPr>
            <w:tcW w:w="769" w:type="pct"/>
            <w:vAlign w:val="center"/>
          </w:tcPr>
          <w:p w14:paraId="2EA0BF07" w14:textId="5D603C49" w:rsidR="002A1867" w:rsidRPr="00E67914" w:rsidRDefault="002A1867">
            <w:pPr>
              <w:pStyle w:val="affffff"/>
            </w:pPr>
            <w:r w:rsidRPr="00E67914">
              <w:t>座</w:t>
            </w:r>
          </w:p>
        </w:tc>
        <w:tc>
          <w:tcPr>
            <w:tcW w:w="770" w:type="pct"/>
            <w:vAlign w:val="center"/>
          </w:tcPr>
          <w:p w14:paraId="67CD31ED" w14:textId="4D4BDFB5" w:rsidR="002A1867" w:rsidRPr="00E67914" w:rsidRDefault="002A1867">
            <w:pPr>
              <w:pStyle w:val="affffff"/>
            </w:pPr>
            <w:r w:rsidRPr="00E67914">
              <w:t>2</w:t>
            </w:r>
          </w:p>
        </w:tc>
      </w:tr>
      <w:tr w:rsidR="00E67914" w:rsidRPr="00E67914" w14:paraId="7B12E547" w14:textId="77777777">
        <w:tc>
          <w:tcPr>
            <w:tcW w:w="637" w:type="pct"/>
            <w:vAlign w:val="center"/>
          </w:tcPr>
          <w:p w14:paraId="7FAB7CBA" w14:textId="2D3222D5" w:rsidR="002A1867" w:rsidRPr="00E67914" w:rsidRDefault="00B6179A">
            <w:pPr>
              <w:pStyle w:val="affffff"/>
            </w:pPr>
            <w:r w:rsidRPr="00E67914">
              <w:t>8</w:t>
            </w:r>
          </w:p>
        </w:tc>
        <w:tc>
          <w:tcPr>
            <w:tcW w:w="2824" w:type="pct"/>
            <w:vAlign w:val="center"/>
          </w:tcPr>
          <w:p w14:paraId="70DCE7B9" w14:textId="4236D9BC" w:rsidR="002A1867" w:rsidRPr="00E67914" w:rsidRDefault="002A1867">
            <w:pPr>
              <w:pStyle w:val="affffff"/>
            </w:pPr>
            <w:r w:rsidRPr="00E67914">
              <w:t>50m³</w:t>
            </w:r>
            <w:r w:rsidRPr="00E67914">
              <w:t>油罐</w:t>
            </w:r>
          </w:p>
        </w:tc>
        <w:tc>
          <w:tcPr>
            <w:tcW w:w="769" w:type="pct"/>
            <w:vAlign w:val="center"/>
          </w:tcPr>
          <w:p w14:paraId="65B2A3A8" w14:textId="4FF598FB" w:rsidR="002A1867" w:rsidRPr="00E67914" w:rsidRDefault="002A1867">
            <w:pPr>
              <w:pStyle w:val="affffff"/>
            </w:pPr>
            <w:r w:rsidRPr="00E67914">
              <w:t>座</w:t>
            </w:r>
          </w:p>
        </w:tc>
        <w:tc>
          <w:tcPr>
            <w:tcW w:w="770" w:type="pct"/>
            <w:vAlign w:val="center"/>
          </w:tcPr>
          <w:p w14:paraId="113D6330" w14:textId="72D1F77F" w:rsidR="002A1867" w:rsidRPr="00E67914" w:rsidRDefault="002A1867">
            <w:pPr>
              <w:pStyle w:val="affffff"/>
            </w:pPr>
            <w:r w:rsidRPr="00E67914">
              <w:t>2</w:t>
            </w:r>
          </w:p>
        </w:tc>
      </w:tr>
      <w:tr w:rsidR="00E67914" w:rsidRPr="00E67914" w14:paraId="029F67C7" w14:textId="77777777">
        <w:tc>
          <w:tcPr>
            <w:tcW w:w="637" w:type="pct"/>
            <w:vAlign w:val="center"/>
          </w:tcPr>
          <w:p w14:paraId="4E79C4D1" w14:textId="776F048A" w:rsidR="002A1867" w:rsidRPr="00E67914" w:rsidRDefault="00B6179A">
            <w:pPr>
              <w:pStyle w:val="affffff"/>
            </w:pPr>
            <w:r w:rsidRPr="00E67914">
              <w:t>9</w:t>
            </w:r>
          </w:p>
        </w:tc>
        <w:tc>
          <w:tcPr>
            <w:tcW w:w="2824" w:type="pct"/>
            <w:vAlign w:val="center"/>
          </w:tcPr>
          <w:p w14:paraId="308058DF" w14:textId="3FE53EFE" w:rsidR="002A1867" w:rsidRPr="00E67914" w:rsidRDefault="002A1867">
            <w:pPr>
              <w:pStyle w:val="affffff"/>
            </w:pPr>
            <w:r w:rsidRPr="00E67914">
              <w:t>放空火炬</w:t>
            </w:r>
            <w:r w:rsidRPr="00E67914">
              <w:t>DN200  H=25m</w:t>
            </w:r>
          </w:p>
        </w:tc>
        <w:tc>
          <w:tcPr>
            <w:tcW w:w="769" w:type="pct"/>
            <w:vAlign w:val="center"/>
          </w:tcPr>
          <w:p w14:paraId="46DE3FC6" w14:textId="16CB7DEE" w:rsidR="002A1867" w:rsidRPr="00E67914" w:rsidRDefault="002A1867">
            <w:pPr>
              <w:pStyle w:val="affffff"/>
            </w:pPr>
            <w:r w:rsidRPr="00E67914">
              <w:t>座</w:t>
            </w:r>
          </w:p>
        </w:tc>
        <w:tc>
          <w:tcPr>
            <w:tcW w:w="770" w:type="pct"/>
            <w:vAlign w:val="center"/>
          </w:tcPr>
          <w:p w14:paraId="574163D3" w14:textId="2AC2524F" w:rsidR="002A1867" w:rsidRPr="00E67914" w:rsidRDefault="002A1867">
            <w:pPr>
              <w:pStyle w:val="affffff"/>
            </w:pPr>
            <w:r w:rsidRPr="00E67914">
              <w:t>1</w:t>
            </w:r>
          </w:p>
        </w:tc>
      </w:tr>
      <w:tr w:rsidR="00E67914" w:rsidRPr="00E67914" w14:paraId="64D8F917" w14:textId="77777777">
        <w:tc>
          <w:tcPr>
            <w:tcW w:w="637" w:type="pct"/>
            <w:vAlign w:val="center"/>
          </w:tcPr>
          <w:p w14:paraId="74002875" w14:textId="2EFD26EB" w:rsidR="002A1867" w:rsidRPr="00E67914" w:rsidRDefault="00B6179A">
            <w:pPr>
              <w:pStyle w:val="affffff"/>
            </w:pPr>
            <w:r w:rsidRPr="00E67914">
              <w:t>10</w:t>
            </w:r>
          </w:p>
        </w:tc>
        <w:tc>
          <w:tcPr>
            <w:tcW w:w="2824" w:type="pct"/>
            <w:vAlign w:val="center"/>
          </w:tcPr>
          <w:p w14:paraId="451D1008" w14:textId="36BC7DF5" w:rsidR="002A1867" w:rsidRPr="00E67914" w:rsidRDefault="002A1867">
            <w:pPr>
              <w:pStyle w:val="affffff"/>
            </w:pPr>
            <w:r w:rsidRPr="00E67914">
              <w:t>放散管</w:t>
            </w:r>
            <w:r w:rsidRPr="00E67914">
              <w:t>DN100  H=6</w:t>
            </w:r>
          </w:p>
        </w:tc>
        <w:tc>
          <w:tcPr>
            <w:tcW w:w="769" w:type="pct"/>
            <w:vAlign w:val="center"/>
          </w:tcPr>
          <w:p w14:paraId="06FCE2BE" w14:textId="17AADB05" w:rsidR="002A1867" w:rsidRPr="00E67914" w:rsidRDefault="002A1867">
            <w:pPr>
              <w:pStyle w:val="affffff"/>
            </w:pPr>
            <w:r w:rsidRPr="00E67914">
              <w:t>座</w:t>
            </w:r>
          </w:p>
        </w:tc>
        <w:tc>
          <w:tcPr>
            <w:tcW w:w="770" w:type="pct"/>
            <w:vAlign w:val="center"/>
          </w:tcPr>
          <w:p w14:paraId="2E9352B7" w14:textId="7023785F" w:rsidR="002A1867" w:rsidRPr="00E67914" w:rsidRDefault="002A1867">
            <w:pPr>
              <w:pStyle w:val="affffff"/>
            </w:pPr>
            <w:r w:rsidRPr="00E67914">
              <w:t>1</w:t>
            </w:r>
          </w:p>
        </w:tc>
      </w:tr>
      <w:tr w:rsidR="00E67914" w:rsidRPr="00E67914" w14:paraId="1B23EDFB" w14:textId="77777777">
        <w:tc>
          <w:tcPr>
            <w:tcW w:w="637" w:type="pct"/>
            <w:vAlign w:val="center"/>
          </w:tcPr>
          <w:p w14:paraId="5133455B" w14:textId="3F8087B5" w:rsidR="002A1867" w:rsidRPr="00E67914" w:rsidRDefault="00B6179A">
            <w:pPr>
              <w:pStyle w:val="affffff"/>
            </w:pPr>
            <w:r w:rsidRPr="00E67914">
              <w:t>11</w:t>
            </w:r>
          </w:p>
        </w:tc>
        <w:tc>
          <w:tcPr>
            <w:tcW w:w="2824" w:type="pct"/>
            <w:vAlign w:val="center"/>
          </w:tcPr>
          <w:p w14:paraId="36F886C8" w14:textId="708615BD" w:rsidR="002A1867" w:rsidRPr="00E67914" w:rsidRDefault="002A1867">
            <w:pPr>
              <w:pStyle w:val="affffff"/>
            </w:pPr>
            <w:r w:rsidRPr="00E67914">
              <w:t>装车泵</w:t>
            </w:r>
            <w:r w:rsidRPr="00E67914">
              <w:t xml:space="preserve"> </w:t>
            </w:r>
            <w:r w:rsidRPr="00E67914">
              <w:t>流量：</w:t>
            </w:r>
            <w:r w:rsidRPr="00E67914">
              <w:t>25m</w:t>
            </w:r>
            <w:r w:rsidRPr="00E67914">
              <w:rPr>
                <w:vertAlign w:val="superscript"/>
              </w:rPr>
              <w:t>3</w:t>
            </w:r>
            <w:r w:rsidRPr="00E67914">
              <w:t>/h</w:t>
            </w:r>
            <w:r w:rsidRPr="00E67914">
              <w:t>，扬程：</w:t>
            </w:r>
            <w:r w:rsidRPr="00E67914">
              <w:t>30m</w:t>
            </w:r>
          </w:p>
        </w:tc>
        <w:tc>
          <w:tcPr>
            <w:tcW w:w="769" w:type="pct"/>
            <w:vAlign w:val="center"/>
          </w:tcPr>
          <w:p w14:paraId="77576E82" w14:textId="094D3139" w:rsidR="002A1867" w:rsidRPr="00E67914" w:rsidRDefault="002A1867">
            <w:pPr>
              <w:pStyle w:val="affffff"/>
            </w:pPr>
            <w:r w:rsidRPr="00E67914">
              <w:t>台</w:t>
            </w:r>
          </w:p>
        </w:tc>
        <w:tc>
          <w:tcPr>
            <w:tcW w:w="770" w:type="pct"/>
            <w:vAlign w:val="center"/>
          </w:tcPr>
          <w:p w14:paraId="703778D8" w14:textId="7165FC1F" w:rsidR="002A1867" w:rsidRPr="00E67914" w:rsidRDefault="002A1867">
            <w:pPr>
              <w:pStyle w:val="affffff"/>
            </w:pPr>
            <w:r w:rsidRPr="00E67914">
              <w:t>2</w:t>
            </w:r>
          </w:p>
        </w:tc>
      </w:tr>
      <w:tr w:rsidR="00E67914" w:rsidRPr="00E67914" w14:paraId="5ADDA7D6" w14:textId="77777777">
        <w:tc>
          <w:tcPr>
            <w:tcW w:w="637" w:type="pct"/>
            <w:vAlign w:val="center"/>
          </w:tcPr>
          <w:p w14:paraId="18A99F98" w14:textId="5ED55CAB" w:rsidR="002A1867" w:rsidRPr="00E67914" w:rsidRDefault="00B6179A">
            <w:pPr>
              <w:pStyle w:val="affffff"/>
            </w:pPr>
            <w:r w:rsidRPr="00E67914">
              <w:t>12</w:t>
            </w:r>
          </w:p>
        </w:tc>
        <w:tc>
          <w:tcPr>
            <w:tcW w:w="2824" w:type="pct"/>
            <w:vAlign w:val="center"/>
          </w:tcPr>
          <w:p w14:paraId="3E5C524D" w14:textId="0F8ECA6D" w:rsidR="002A1867" w:rsidRPr="00E67914" w:rsidRDefault="002A1867">
            <w:pPr>
              <w:pStyle w:val="affffff"/>
            </w:pPr>
            <w:r w:rsidRPr="00E67914">
              <w:t>装车鹤管</w:t>
            </w:r>
            <w:r w:rsidRPr="00E67914">
              <w:t xml:space="preserve"> DN100 PM1</w:t>
            </w:r>
          </w:p>
        </w:tc>
        <w:tc>
          <w:tcPr>
            <w:tcW w:w="769" w:type="pct"/>
            <w:vAlign w:val="center"/>
          </w:tcPr>
          <w:p w14:paraId="76CE23C5" w14:textId="10A11434" w:rsidR="002A1867" w:rsidRPr="00E67914" w:rsidRDefault="002A1867">
            <w:pPr>
              <w:pStyle w:val="affffff"/>
            </w:pPr>
            <w:r w:rsidRPr="00E67914">
              <w:t>座</w:t>
            </w:r>
          </w:p>
        </w:tc>
        <w:tc>
          <w:tcPr>
            <w:tcW w:w="770" w:type="pct"/>
            <w:vAlign w:val="center"/>
          </w:tcPr>
          <w:p w14:paraId="5D3F2790" w14:textId="0E90CA03" w:rsidR="002A1867" w:rsidRPr="00E67914" w:rsidRDefault="002A1867">
            <w:pPr>
              <w:pStyle w:val="affffff"/>
            </w:pPr>
            <w:r w:rsidRPr="00E67914">
              <w:t>1</w:t>
            </w:r>
          </w:p>
        </w:tc>
      </w:tr>
      <w:tr w:rsidR="00E67914" w:rsidRPr="00E67914" w14:paraId="1215ACFD" w14:textId="77777777">
        <w:tc>
          <w:tcPr>
            <w:tcW w:w="637" w:type="pct"/>
            <w:vAlign w:val="center"/>
          </w:tcPr>
          <w:p w14:paraId="3D79528B" w14:textId="3D013186" w:rsidR="002A1867" w:rsidRPr="00E67914" w:rsidRDefault="00B6179A">
            <w:pPr>
              <w:pStyle w:val="affffff"/>
            </w:pPr>
            <w:r w:rsidRPr="00E67914">
              <w:t>1</w:t>
            </w:r>
            <w:r w:rsidR="007D7653" w:rsidRPr="00E67914">
              <w:t>3</w:t>
            </w:r>
          </w:p>
        </w:tc>
        <w:tc>
          <w:tcPr>
            <w:tcW w:w="2824" w:type="pct"/>
            <w:vAlign w:val="center"/>
          </w:tcPr>
          <w:p w14:paraId="72606381" w14:textId="7D31BDCA" w:rsidR="002A1867" w:rsidRPr="00E67914" w:rsidRDefault="002A1867">
            <w:pPr>
              <w:pStyle w:val="affffff"/>
            </w:pPr>
            <w:r w:rsidRPr="00E67914">
              <w:t>电信控一体撬</w:t>
            </w:r>
          </w:p>
        </w:tc>
        <w:tc>
          <w:tcPr>
            <w:tcW w:w="769" w:type="pct"/>
            <w:vAlign w:val="center"/>
          </w:tcPr>
          <w:p w14:paraId="76D630DD" w14:textId="6652BD83" w:rsidR="002A1867" w:rsidRPr="00E67914" w:rsidRDefault="002A1867">
            <w:pPr>
              <w:pStyle w:val="affffff"/>
            </w:pPr>
            <w:r w:rsidRPr="00E67914">
              <w:t>座</w:t>
            </w:r>
          </w:p>
        </w:tc>
        <w:tc>
          <w:tcPr>
            <w:tcW w:w="770" w:type="pct"/>
            <w:vAlign w:val="center"/>
          </w:tcPr>
          <w:p w14:paraId="121D88CC" w14:textId="0F3D2A6D" w:rsidR="002A1867" w:rsidRPr="00E67914" w:rsidRDefault="002A1867">
            <w:pPr>
              <w:pStyle w:val="affffff"/>
            </w:pPr>
            <w:r w:rsidRPr="00E67914">
              <w:t>1</w:t>
            </w:r>
          </w:p>
        </w:tc>
      </w:tr>
      <w:tr w:rsidR="00E67914" w:rsidRPr="00E67914" w14:paraId="2A62C8E9" w14:textId="77777777">
        <w:tc>
          <w:tcPr>
            <w:tcW w:w="637" w:type="pct"/>
            <w:vAlign w:val="center"/>
          </w:tcPr>
          <w:p w14:paraId="67F1307D" w14:textId="2C5753B8" w:rsidR="00F55C9C" w:rsidRPr="00E67914" w:rsidRDefault="00B6179A" w:rsidP="00F55C9C">
            <w:pPr>
              <w:pStyle w:val="affffff"/>
            </w:pPr>
            <w:r w:rsidRPr="00E67914">
              <w:t>1</w:t>
            </w:r>
            <w:r w:rsidR="007D7653" w:rsidRPr="00E67914">
              <w:t>4</w:t>
            </w:r>
          </w:p>
        </w:tc>
        <w:tc>
          <w:tcPr>
            <w:tcW w:w="2824" w:type="pct"/>
            <w:vAlign w:val="center"/>
          </w:tcPr>
          <w:p w14:paraId="2ADE0C4B" w14:textId="61D66ADB" w:rsidR="00F55C9C" w:rsidRPr="00E67914" w:rsidRDefault="00F55C9C" w:rsidP="00F55C9C">
            <w:pPr>
              <w:pStyle w:val="affffff"/>
            </w:pPr>
            <w:r w:rsidRPr="00E67914">
              <w:t>普陆页</w:t>
            </w:r>
            <w:r w:rsidRPr="00E67914">
              <w:t>2</w:t>
            </w:r>
            <w:r w:rsidRPr="00E67914">
              <w:t>井场到普陆页</w:t>
            </w:r>
            <w:r w:rsidRPr="00E67914">
              <w:t>2</w:t>
            </w:r>
            <w:r w:rsidRPr="00E67914">
              <w:t>试采站管线规格</w:t>
            </w:r>
            <w:r w:rsidRPr="00E67914">
              <w:t>D76.1×11mm</w:t>
            </w:r>
            <w:r w:rsidRPr="00E67914">
              <w:t>，材质为</w:t>
            </w:r>
            <w:r w:rsidRPr="00E67914">
              <w:t>L245N</w:t>
            </w:r>
            <w:r w:rsidRPr="00E67914">
              <w:t>无缝钢管</w:t>
            </w:r>
            <w:r w:rsidRPr="00E67914">
              <w:t>PSL2</w:t>
            </w:r>
          </w:p>
        </w:tc>
        <w:tc>
          <w:tcPr>
            <w:tcW w:w="769" w:type="pct"/>
            <w:vAlign w:val="center"/>
          </w:tcPr>
          <w:p w14:paraId="238A6DC4" w14:textId="5414981C" w:rsidR="00F55C9C" w:rsidRPr="00E67914" w:rsidRDefault="00F55C9C" w:rsidP="00F55C9C">
            <w:pPr>
              <w:pStyle w:val="affffff"/>
            </w:pPr>
            <w:r w:rsidRPr="00E67914">
              <w:t>m</w:t>
            </w:r>
          </w:p>
        </w:tc>
        <w:tc>
          <w:tcPr>
            <w:tcW w:w="770" w:type="pct"/>
            <w:vAlign w:val="center"/>
          </w:tcPr>
          <w:p w14:paraId="10A1CDD9" w14:textId="5DA102A3" w:rsidR="00F55C9C" w:rsidRPr="00E67914" w:rsidRDefault="00F55C9C" w:rsidP="00F55C9C">
            <w:pPr>
              <w:pStyle w:val="affffff"/>
            </w:pPr>
            <w:r w:rsidRPr="00E67914">
              <w:t>100×3</w:t>
            </w:r>
          </w:p>
        </w:tc>
      </w:tr>
      <w:tr w:rsidR="00E67914" w:rsidRPr="00E67914" w14:paraId="6BC2A470" w14:textId="77777777">
        <w:tc>
          <w:tcPr>
            <w:tcW w:w="637" w:type="pct"/>
            <w:vAlign w:val="center"/>
          </w:tcPr>
          <w:p w14:paraId="22123505" w14:textId="2BD5935B" w:rsidR="00F55C9C" w:rsidRPr="00E67914" w:rsidRDefault="00B6179A" w:rsidP="00F55C9C">
            <w:pPr>
              <w:pStyle w:val="affffff"/>
            </w:pPr>
            <w:r w:rsidRPr="00E67914">
              <w:t>1</w:t>
            </w:r>
            <w:r w:rsidR="007D7653" w:rsidRPr="00E67914">
              <w:t>5</w:t>
            </w:r>
          </w:p>
        </w:tc>
        <w:tc>
          <w:tcPr>
            <w:tcW w:w="2824" w:type="pct"/>
            <w:vAlign w:val="center"/>
          </w:tcPr>
          <w:p w14:paraId="2F88BE69" w14:textId="667EEE0E" w:rsidR="00F55C9C" w:rsidRPr="00E67914" w:rsidRDefault="00F55C9C" w:rsidP="00F55C9C">
            <w:pPr>
              <w:pStyle w:val="affffff"/>
            </w:pPr>
            <w:r w:rsidRPr="00E67914">
              <w:rPr>
                <w:szCs w:val="21"/>
              </w:rPr>
              <w:t>普陆页</w:t>
            </w:r>
            <w:r w:rsidRPr="00E67914">
              <w:rPr>
                <w:szCs w:val="21"/>
              </w:rPr>
              <w:t>2</w:t>
            </w:r>
            <w:r w:rsidRPr="00E67914">
              <w:rPr>
                <w:szCs w:val="21"/>
              </w:rPr>
              <w:t>试采站至</w:t>
            </w:r>
            <w:r w:rsidRPr="00E67914">
              <w:rPr>
                <w:szCs w:val="21"/>
              </w:rPr>
              <w:t>P302</w:t>
            </w:r>
            <w:r w:rsidRPr="00E67914">
              <w:rPr>
                <w:szCs w:val="21"/>
              </w:rPr>
              <w:t>集气站的外输管线，管线规格为</w:t>
            </w:r>
            <w:r w:rsidRPr="00E67914">
              <w:rPr>
                <w:szCs w:val="21"/>
              </w:rPr>
              <w:t>D89×6mm</w:t>
            </w:r>
            <w:r w:rsidRPr="00E67914">
              <w:rPr>
                <w:szCs w:val="21"/>
              </w:rPr>
              <w:t>，材质为</w:t>
            </w:r>
            <w:r w:rsidRPr="00E67914">
              <w:rPr>
                <w:szCs w:val="21"/>
              </w:rPr>
              <w:t>L245N</w:t>
            </w:r>
            <w:r w:rsidRPr="00E67914">
              <w:rPr>
                <w:szCs w:val="21"/>
              </w:rPr>
              <w:t>无缝钢管</w:t>
            </w:r>
            <w:r w:rsidRPr="00E67914">
              <w:rPr>
                <w:szCs w:val="21"/>
              </w:rPr>
              <w:t>PSL2</w:t>
            </w:r>
            <w:r w:rsidRPr="00E67914">
              <w:rPr>
                <w:szCs w:val="21"/>
              </w:rPr>
              <w:t>，同沟敷设长度燃料气返输管线与通信光缆，燃料气返输管线规格型号为</w:t>
            </w:r>
            <w:r w:rsidRPr="00E67914">
              <w:rPr>
                <w:szCs w:val="21"/>
              </w:rPr>
              <w:t>Φ88.9×5.0 20 SMLS</w:t>
            </w:r>
          </w:p>
        </w:tc>
        <w:tc>
          <w:tcPr>
            <w:tcW w:w="769" w:type="pct"/>
            <w:vAlign w:val="center"/>
          </w:tcPr>
          <w:p w14:paraId="2BFD8176" w14:textId="16EF8C82" w:rsidR="00F55C9C" w:rsidRPr="00E67914" w:rsidRDefault="00B6179A" w:rsidP="00F55C9C">
            <w:pPr>
              <w:pStyle w:val="affffff"/>
            </w:pPr>
            <w:r w:rsidRPr="00E67914">
              <w:t>km</w:t>
            </w:r>
          </w:p>
        </w:tc>
        <w:tc>
          <w:tcPr>
            <w:tcW w:w="770" w:type="pct"/>
            <w:vAlign w:val="center"/>
          </w:tcPr>
          <w:p w14:paraId="375C5200" w14:textId="4489689B" w:rsidR="00F55C9C" w:rsidRPr="00E67914" w:rsidRDefault="00B6179A" w:rsidP="00F55C9C">
            <w:pPr>
              <w:pStyle w:val="affffff"/>
            </w:pPr>
            <w:r w:rsidRPr="00E67914">
              <w:t>1.3</w:t>
            </w:r>
          </w:p>
        </w:tc>
      </w:tr>
    </w:tbl>
    <w:p w14:paraId="47F30243" w14:textId="77777777" w:rsidR="00A54A8A" w:rsidRPr="00E67914" w:rsidRDefault="00000000">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3.2.5</w:t>
      </w:r>
      <w:r w:rsidRPr="00E67914">
        <w:rPr>
          <w:rFonts w:ascii="Times New Roman" w:eastAsia="黑体" w:hAnsi="Times New Roman"/>
          <w:b w:val="0"/>
          <w:sz w:val="24"/>
          <w:szCs w:val="24"/>
          <w:lang w:eastAsia="zh-CN"/>
        </w:rPr>
        <w:t>原辅材料消耗</w:t>
      </w:r>
    </w:p>
    <w:p w14:paraId="50AA9423" w14:textId="77777777" w:rsidR="00A54A8A" w:rsidRPr="00E67914" w:rsidRDefault="00000000">
      <w:pPr>
        <w:widowControl w:val="0"/>
        <w:autoSpaceDE w:val="0"/>
        <w:autoSpaceDN w:val="0"/>
        <w:adjustRightInd w:val="0"/>
        <w:snapToGrid w:val="0"/>
        <w:spacing w:line="360" w:lineRule="auto"/>
        <w:ind w:firstLineChars="200" w:firstLine="480"/>
        <w:jc w:val="both"/>
        <w:textAlignment w:val="baseline"/>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t>3.2.5.1</w:t>
      </w:r>
      <w:r w:rsidRPr="00E67914">
        <w:rPr>
          <w:rFonts w:ascii="Times New Roman" w:eastAsia="黑体" w:hAnsi="Times New Roman"/>
          <w:sz w:val="24"/>
          <w:szCs w:val="24"/>
          <w:lang w:eastAsia="zh-CN"/>
        </w:rPr>
        <w:t>施工期</w:t>
      </w:r>
    </w:p>
    <w:p w14:paraId="3B01EDB7" w14:textId="77777777" w:rsidR="00A54A8A" w:rsidRPr="00E67914" w:rsidRDefault="00000000">
      <w:pPr>
        <w:widowControl w:val="0"/>
        <w:autoSpaceDE w:val="0"/>
        <w:autoSpaceDN w:val="0"/>
        <w:adjustRightInd w:val="0"/>
        <w:snapToGrid w:val="0"/>
        <w:spacing w:line="360" w:lineRule="auto"/>
        <w:ind w:firstLine="480"/>
        <w:textAlignment w:val="baseline"/>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）钻井作业材料消耗</w:t>
      </w:r>
    </w:p>
    <w:p w14:paraId="540947A4" w14:textId="3E7C841C" w:rsidR="00A54A8A" w:rsidRPr="00E67914" w:rsidRDefault="00000000">
      <w:pPr>
        <w:pStyle w:val="0"/>
      </w:pPr>
      <w:r w:rsidRPr="00E67914">
        <w:lastRenderedPageBreak/>
        <w:t>本工程采用常规钻井工艺进行钻井。钻井初期在场地内配备钻井液并储存于钻井泥浆罐中循环使用，调配钻井液原料（如膨润等，分区分类贮存于井场内，贮存区上部设雨篷遮挡，钻井液原料按月需求量贮存于井场内）。储备钻井液压调配好后储存于泥浆罐中（泥浆储备罐区采取防渗措施）。本工程导管段使用清水钻井液钻进</w:t>
      </w:r>
      <w:r w:rsidR="00B6179A" w:rsidRPr="00E67914">
        <w:t>，</w:t>
      </w:r>
      <w:r w:rsidR="000B7369" w:rsidRPr="00E67914">
        <w:t>一开膨润土浆或聚合物钻井液，二开采用氯化钾聚合物润滑防塌钻井液，三开采用油基钻井液</w:t>
      </w:r>
      <w:r w:rsidRPr="00E67914">
        <w:t>，项目钻井液不涉及聚磺体系泥。钻井液初期在场地内配备并储存于钻井泥浆罐中循环使用，调配钻井液原料（如膨润等，分区分类贮存于井场内，贮存区上部设雨篷遮挡，钻井液原料按月需求量贮存于井场内）。储备钻井液压调配好后储存于泥浆罐中（泥浆储备罐区采取防渗措施）。</w:t>
      </w:r>
    </w:p>
    <w:p w14:paraId="030E4755"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3.2-10  </w:t>
      </w:r>
      <w:r w:rsidRPr="00E67914">
        <w:rPr>
          <w:rFonts w:ascii="Times New Roman" w:eastAsia="黑体" w:hAnsi="Times New Roman"/>
          <w:sz w:val="21"/>
          <w:szCs w:val="21"/>
          <w:lang w:eastAsia="zh-CN"/>
        </w:rPr>
        <w:t>钻井液材料计划表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3"/>
        <w:gridCol w:w="3664"/>
        <w:gridCol w:w="1439"/>
        <w:gridCol w:w="2384"/>
      </w:tblGrid>
      <w:tr w:rsidR="00E67914" w:rsidRPr="00E67914" w14:paraId="3B4A07AF" w14:textId="77777777" w:rsidTr="000B7369">
        <w:trPr>
          <w:trHeight w:val="229"/>
        </w:trPr>
        <w:tc>
          <w:tcPr>
            <w:tcW w:w="490" w:type="pct"/>
            <w:vAlign w:val="center"/>
          </w:tcPr>
          <w:p w14:paraId="55D338CE" w14:textId="77777777" w:rsidR="000B7369" w:rsidRPr="00E67914" w:rsidRDefault="000B7369">
            <w:pPr>
              <w:jc w:val="center"/>
              <w:rPr>
                <w:rFonts w:ascii="Times New Roman" w:hAnsi="Times New Roman"/>
                <w:b/>
                <w:bCs/>
                <w:sz w:val="21"/>
                <w:szCs w:val="21"/>
              </w:rPr>
            </w:pPr>
            <w:r w:rsidRPr="00E67914">
              <w:rPr>
                <w:rFonts w:ascii="Times New Roman" w:hAnsi="Times New Roman"/>
                <w:b/>
                <w:bCs/>
                <w:sz w:val="21"/>
                <w:szCs w:val="21"/>
              </w:rPr>
              <w:t>序号</w:t>
            </w:r>
          </w:p>
        </w:tc>
        <w:tc>
          <w:tcPr>
            <w:tcW w:w="2207" w:type="pct"/>
            <w:vAlign w:val="center"/>
          </w:tcPr>
          <w:p w14:paraId="23372822" w14:textId="77777777" w:rsidR="000B7369" w:rsidRPr="00E67914" w:rsidRDefault="000B7369">
            <w:pPr>
              <w:jc w:val="center"/>
              <w:rPr>
                <w:rFonts w:ascii="Times New Roman" w:hAnsi="Times New Roman"/>
                <w:b/>
                <w:bCs/>
                <w:sz w:val="21"/>
                <w:szCs w:val="21"/>
              </w:rPr>
            </w:pPr>
            <w:r w:rsidRPr="00E67914">
              <w:rPr>
                <w:rFonts w:ascii="Times New Roman" w:hAnsi="Times New Roman"/>
                <w:b/>
                <w:bCs/>
                <w:sz w:val="21"/>
                <w:szCs w:val="21"/>
              </w:rPr>
              <w:t>材料名称</w:t>
            </w:r>
          </w:p>
        </w:tc>
        <w:tc>
          <w:tcPr>
            <w:tcW w:w="867" w:type="pct"/>
            <w:vAlign w:val="center"/>
          </w:tcPr>
          <w:p w14:paraId="160B5D0C" w14:textId="77777777" w:rsidR="000B7369" w:rsidRPr="00E67914" w:rsidRDefault="000B7369">
            <w:pPr>
              <w:jc w:val="center"/>
              <w:rPr>
                <w:rFonts w:ascii="Times New Roman" w:hAnsi="Times New Roman"/>
                <w:b/>
                <w:bCs/>
                <w:sz w:val="21"/>
                <w:szCs w:val="21"/>
              </w:rPr>
            </w:pPr>
            <w:r w:rsidRPr="00E67914">
              <w:rPr>
                <w:rFonts w:ascii="Times New Roman" w:hAnsi="Times New Roman"/>
                <w:b/>
                <w:bCs/>
                <w:sz w:val="21"/>
                <w:szCs w:val="21"/>
              </w:rPr>
              <w:t>用量（</w:t>
            </w:r>
            <w:r w:rsidRPr="00E67914">
              <w:rPr>
                <w:rFonts w:ascii="Times New Roman" w:hAnsi="Times New Roman"/>
                <w:b/>
                <w:bCs/>
                <w:sz w:val="21"/>
                <w:szCs w:val="21"/>
              </w:rPr>
              <w:t>t</w:t>
            </w:r>
            <w:r w:rsidRPr="00E67914">
              <w:rPr>
                <w:rFonts w:ascii="Times New Roman" w:hAnsi="Times New Roman"/>
                <w:b/>
                <w:bCs/>
                <w:sz w:val="21"/>
                <w:szCs w:val="21"/>
              </w:rPr>
              <w:t>）</w:t>
            </w:r>
          </w:p>
        </w:tc>
        <w:tc>
          <w:tcPr>
            <w:tcW w:w="1437" w:type="pct"/>
            <w:vAlign w:val="center"/>
          </w:tcPr>
          <w:p w14:paraId="4CFD4DC8" w14:textId="77777777" w:rsidR="000B7369" w:rsidRPr="00E67914" w:rsidRDefault="000B7369">
            <w:pPr>
              <w:jc w:val="center"/>
              <w:rPr>
                <w:rFonts w:ascii="Times New Roman" w:hAnsi="Times New Roman"/>
                <w:b/>
                <w:bCs/>
                <w:sz w:val="21"/>
                <w:szCs w:val="21"/>
              </w:rPr>
            </w:pPr>
            <w:r w:rsidRPr="00E67914">
              <w:rPr>
                <w:rFonts w:ascii="Times New Roman" w:hAnsi="Times New Roman"/>
                <w:b/>
                <w:bCs/>
                <w:sz w:val="21"/>
                <w:szCs w:val="21"/>
              </w:rPr>
              <w:t>现场最大储量（</w:t>
            </w:r>
            <w:r w:rsidRPr="00E67914">
              <w:rPr>
                <w:rFonts w:ascii="Times New Roman" w:hAnsi="Times New Roman"/>
                <w:b/>
                <w:bCs/>
                <w:sz w:val="21"/>
                <w:szCs w:val="21"/>
              </w:rPr>
              <w:t>t</w:t>
            </w:r>
            <w:r w:rsidRPr="00E67914">
              <w:rPr>
                <w:rFonts w:ascii="Times New Roman" w:hAnsi="Times New Roman"/>
                <w:b/>
                <w:bCs/>
                <w:sz w:val="21"/>
                <w:szCs w:val="21"/>
              </w:rPr>
              <w:t>）</w:t>
            </w:r>
          </w:p>
        </w:tc>
      </w:tr>
      <w:tr w:rsidR="00E67914" w:rsidRPr="00E67914" w14:paraId="132361AC" w14:textId="77777777" w:rsidTr="000B7369">
        <w:trPr>
          <w:trHeight w:val="229"/>
        </w:trPr>
        <w:tc>
          <w:tcPr>
            <w:tcW w:w="490" w:type="pct"/>
            <w:vAlign w:val="center"/>
          </w:tcPr>
          <w:p w14:paraId="2215852A"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w:t>
            </w:r>
          </w:p>
        </w:tc>
        <w:tc>
          <w:tcPr>
            <w:tcW w:w="2207" w:type="pct"/>
            <w:vAlign w:val="center"/>
          </w:tcPr>
          <w:p w14:paraId="2EA265C4"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膨润土</w:t>
            </w:r>
          </w:p>
        </w:tc>
        <w:tc>
          <w:tcPr>
            <w:tcW w:w="867" w:type="pct"/>
            <w:vAlign w:val="center"/>
          </w:tcPr>
          <w:p w14:paraId="2726CAF3" w14:textId="3E62312F"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150</w:t>
            </w:r>
          </w:p>
        </w:tc>
        <w:tc>
          <w:tcPr>
            <w:tcW w:w="1437" w:type="pct"/>
            <w:vAlign w:val="center"/>
          </w:tcPr>
          <w:p w14:paraId="16448F57"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5</w:t>
            </w:r>
          </w:p>
        </w:tc>
      </w:tr>
      <w:tr w:rsidR="00E67914" w:rsidRPr="00E67914" w14:paraId="4F808A9F" w14:textId="77777777" w:rsidTr="000B7369">
        <w:trPr>
          <w:trHeight w:val="229"/>
        </w:trPr>
        <w:tc>
          <w:tcPr>
            <w:tcW w:w="490" w:type="pct"/>
            <w:vAlign w:val="center"/>
          </w:tcPr>
          <w:p w14:paraId="4F66AC8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c>
          <w:tcPr>
            <w:tcW w:w="2207" w:type="pct"/>
            <w:vAlign w:val="center"/>
          </w:tcPr>
          <w:p w14:paraId="30F63F04"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纯碱</w:t>
            </w:r>
            <w:r w:rsidRPr="00E67914">
              <w:rPr>
                <w:rFonts w:ascii="Times New Roman" w:hAnsi="Times New Roman"/>
                <w:sz w:val="21"/>
                <w:szCs w:val="21"/>
              </w:rPr>
              <w:t>Na</w:t>
            </w:r>
            <w:r w:rsidRPr="00E67914">
              <w:rPr>
                <w:rFonts w:ascii="Times New Roman" w:hAnsi="Times New Roman"/>
                <w:sz w:val="21"/>
                <w:szCs w:val="21"/>
                <w:vertAlign w:val="subscript"/>
              </w:rPr>
              <w:t>2</w:t>
            </w:r>
            <w:r w:rsidRPr="00E67914">
              <w:rPr>
                <w:rFonts w:ascii="Times New Roman" w:hAnsi="Times New Roman"/>
                <w:sz w:val="21"/>
                <w:szCs w:val="21"/>
              </w:rPr>
              <w:t>CO</w:t>
            </w:r>
            <w:r w:rsidRPr="00E67914">
              <w:rPr>
                <w:rFonts w:ascii="Times New Roman" w:hAnsi="Times New Roman"/>
                <w:sz w:val="21"/>
                <w:szCs w:val="21"/>
                <w:vertAlign w:val="subscript"/>
              </w:rPr>
              <w:t>3</w:t>
            </w:r>
          </w:p>
        </w:tc>
        <w:tc>
          <w:tcPr>
            <w:tcW w:w="867" w:type="pct"/>
            <w:vAlign w:val="center"/>
          </w:tcPr>
          <w:p w14:paraId="71DC5338" w14:textId="6CBB2453"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18</w:t>
            </w:r>
          </w:p>
        </w:tc>
        <w:tc>
          <w:tcPr>
            <w:tcW w:w="1437" w:type="pct"/>
            <w:vAlign w:val="center"/>
          </w:tcPr>
          <w:p w14:paraId="2C717239"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4745ECBA" w14:textId="77777777" w:rsidTr="000B7369">
        <w:trPr>
          <w:trHeight w:val="229"/>
        </w:trPr>
        <w:tc>
          <w:tcPr>
            <w:tcW w:w="490" w:type="pct"/>
            <w:vAlign w:val="center"/>
          </w:tcPr>
          <w:p w14:paraId="1152DAB1"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c>
          <w:tcPr>
            <w:tcW w:w="2207" w:type="pct"/>
            <w:vAlign w:val="center"/>
          </w:tcPr>
          <w:p w14:paraId="329C857A"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氢氧化钠</w:t>
            </w:r>
            <w:r w:rsidRPr="00E67914">
              <w:rPr>
                <w:rFonts w:ascii="Times New Roman" w:hAnsi="Times New Roman"/>
                <w:sz w:val="21"/>
                <w:szCs w:val="21"/>
              </w:rPr>
              <w:t>NaOH</w:t>
            </w:r>
          </w:p>
        </w:tc>
        <w:tc>
          <w:tcPr>
            <w:tcW w:w="867" w:type="pct"/>
            <w:vAlign w:val="center"/>
          </w:tcPr>
          <w:p w14:paraId="39B9769B" w14:textId="1B11901F"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24</w:t>
            </w:r>
          </w:p>
        </w:tc>
        <w:tc>
          <w:tcPr>
            <w:tcW w:w="1437" w:type="pct"/>
            <w:vAlign w:val="center"/>
          </w:tcPr>
          <w:p w14:paraId="1B07F79F"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5E0DA5A3" w14:textId="77777777" w:rsidTr="000B7369">
        <w:trPr>
          <w:trHeight w:val="229"/>
        </w:trPr>
        <w:tc>
          <w:tcPr>
            <w:tcW w:w="490" w:type="pct"/>
            <w:vAlign w:val="center"/>
          </w:tcPr>
          <w:p w14:paraId="60978525"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4</w:t>
            </w:r>
          </w:p>
        </w:tc>
        <w:tc>
          <w:tcPr>
            <w:tcW w:w="2207" w:type="pct"/>
            <w:vAlign w:val="center"/>
          </w:tcPr>
          <w:p w14:paraId="2FDBB3A9" w14:textId="77777777" w:rsidR="000B7369" w:rsidRPr="00E67914" w:rsidRDefault="000B7369" w:rsidP="000B7369">
            <w:pPr>
              <w:jc w:val="center"/>
              <w:rPr>
                <w:rFonts w:ascii="Times New Roman" w:hAnsi="Times New Roman"/>
                <w:sz w:val="21"/>
                <w:szCs w:val="21"/>
                <w:lang w:eastAsia="zh-CN"/>
              </w:rPr>
            </w:pPr>
            <w:r w:rsidRPr="00E67914">
              <w:rPr>
                <w:rFonts w:ascii="Times New Roman" w:hAnsi="Times New Roman"/>
                <w:sz w:val="21"/>
                <w:szCs w:val="21"/>
                <w:lang w:eastAsia="zh-CN"/>
              </w:rPr>
              <w:t>高黏羧甲基纤维素钠盐</w:t>
            </w:r>
            <w:r w:rsidRPr="00E67914">
              <w:rPr>
                <w:rFonts w:ascii="Times New Roman" w:hAnsi="Times New Roman"/>
                <w:sz w:val="21"/>
                <w:szCs w:val="21"/>
                <w:lang w:eastAsia="zh-CN"/>
              </w:rPr>
              <w:t>HV-CMC</w:t>
            </w:r>
          </w:p>
        </w:tc>
        <w:tc>
          <w:tcPr>
            <w:tcW w:w="867" w:type="pct"/>
            <w:vAlign w:val="center"/>
          </w:tcPr>
          <w:p w14:paraId="1A881E5B" w14:textId="306015A1"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15</w:t>
            </w:r>
          </w:p>
        </w:tc>
        <w:tc>
          <w:tcPr>
            <w:tcW w:w="1437" w:type="pct"/>
            <w:vAlign w:val="center"/>
          </w:tcPr>
          <w:p w14:paraId="7301593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w:t>
            </w:r>
          </w:p>
        </w:tc>
      </w:tr>
      <w:tr w:rsidR="00E67914" w:rsidRPr="00E67914" w14:paraId="5D9709B1" w14:textId="77777777" w:rsidTr="000B7369">
        <w:trPr>
          <w:trHeight w:val="229"/>
        </w:trPr>
        <w:tc>
          <w:tcPr>
            <w:tcW w:w="490" w:type="pct"/>
            <w:vAlign w:val="center"/>
          </w:tcPr>
          <w:p w14:paraId="4C984FCE"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5</w:t>
            </w:r>
          </w:p>
        </w:tc>
        <w:tc>
          <w:tcPr>
            <w:tcW w:w="2207" w:type="pct"/>
            <w:vAlign w:val="center"/>
          </w:tcPr>
          <w:p w14:paraId="0A3A79C4"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聚丙烯酰胺干粉</w:t>
            </w:r>
          </w:p>
        </w:tc>
        <w:tc>
          <w:tcPr>
            <w:tcW w:w="867" w:type="pct"/>
            <w:vAlign w:val="center"/>
          </w:tcPr>
          <w:p w14:paraId="005E0536" w14:textId="07FDB511"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15</w:t>
            </w:r>
          </w:p>
        </w:tc>
        <w:tc>
          <w:tcPr>
            <w:tcW w:w="1437" w:type="pct"/>
            <w:vAlign w:val="center"/>
          </w:tcPr>
          <w:p w14:paraId="31FA9427"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w:t>
            </w:r>
          </w:p>
        </w:tc>
      </w:tr>
      <w:tr w:rsidR="00E67914" w:rsidRPr="00E67914" w14:paraId="7E326982" w14:textId="77777777" w:rsidTr="000B7369">
        <w:trPr>
          <w:trHeight w:val="229"/>
        </w:trPr>
        <w:tc>
          <w:tcPr>
            <w:tcW w:w="490" w:type="pct"/>
            <w:vAlign w:val="center"/>
          </w:tcPr>
          <w:p w14:paraId="065BB9D3"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6</w:t>
            </w:r>
          </w:p>
        </w:tc>
        <w:tc>
          <w:tcPr>
            <w:tcW w:w="2207" w:type="pct"/>
            <w:vAlign w:val="center"/>
          </w:tcPr>
          <w:p w14:paraId="07F4840F"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有机高分子絮凝剂</w:t>
            </w:r>
          </w:p>
        </w:tc>
        <w:tc>
          <w:tcPr>
            <w:tcW w:w="867" w:type="pct"/>
            <w:vAlign w:val="center"/>
          </w:tcPr>
          <w:p w14:paraId="4A7AF3F6" w14:textId="51BE6546"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15</w:t>
            </w:r>
          </w:p>
        </w:tc>
        <w:tc>
          <w:tcPr>
            <w:tcW w:w="1437" w:type="pct"/>
            <w:vAlign w:val="center"/>
          </w:tcPr>
          <w:p w14:paraId="69EE0D44"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w:t>
            </w:r>
          </w:p>
        </w:tc>
      </w:tr>
      <w:tr w:rsidR="00E67914" w:rsidRPr="00E67914" w14:paraId="624B7681" w14:textId="77777777" w:rsidTr="000B7369">
        <w:trPr>
          <w:trHeight w:val="229"/>
        </w:trPr>
        <w:tc>
          <w:tcPr>
            <w:tcW w:w="490" w:type="pct"/>
            <w:vAlign w:val="center"/>
          </w:tcPr>
          <w:p w14:paraId="6F06938A"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7</w:t>
            </w:r>
          </w:p>
        </w:tc>
        <w:tc>
          <w:tcPr>
            <w:tcW w:w="2207" w:type="pct"/>
            <w:vAlign w:val="center"/>
          </w:tcPr>
          <w:p w14:paraId="6A5703F3"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胺基聚醇</w:t>
            </w:r>
          </w:p>
        </w:tc>
        <w:tc>
          <w:tcPr>
            <w:tcW w:w="867" w:type="pct"/>
            <w:vAlign w:val="center"/>
          </w:tcPr>
          <w:p w14:paraId="273F73FF" w14:textId="01FD629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30</w:t>
            </w:r>
          </w:p>
        </w:tc>
        <w:tc>
          <w:tcPr>
            <w:tcW w:w="1437" w:type="pct"/>
            <w:vAlign w:val="center"/>
          </w:tcPr>
          <w:p w14:paraId="4851B4A2"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5C1F879E" w14:textId="77777777" w:rsidTr="000B7369">
        <w:trPr>
          <w:trHeight w:val="229"/>
        </w:trPr>
        <w:tc>
          <w:tcPr>
            <w:tcW w:w="490" w:type="pct"/>
            <w:vAlign w:val="center"/>
          </w:tcPr>
          <w:p w14:paraId="040E12B4"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8</w:t>
            </w:r>
          </w:p>
        </w:tc>
        <w:tc>
          <w:tcPr>
            <w:tcW w:w="2207" w:type="pct"/>
            <w:vAlign w:val="center"/>
          </w:tcPr>
          <w:p w14:paraId="2AF0282F"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聚合醇防塌剂</w:t>
            </w:r>
          </w:p>
        </w:tc>
        <w:tc>
          <w:tcPr>
            <w:tcW w:w="867" w:type="pct"/>
            <w:vAlign w:val="center"/>
          </w:tcPr>
          <w:p w14:paraId="5A424DAB" w14:textId="739F10F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75</w:t>
            </w:r>
          </w:p>
        </w:tc>
        <w:tc>
          <w:tcPr>
            <w:tcW w:w="1437" w:type="pct"/>
            <w:vAlign w:val="center"/>
          </w:tcPr>
          <w:p w14:paraId="3CAA749C"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0824A3AC" w14:textId="77777777" w:rsidTr="000B7369">
        <w:trPr>
          <w:trHeight w:val="229"/>
        </w:trPr>
        <w:tc>
          <w:tcPr>
            <w:tcW w:w="490" w:type="pct"/>
            <w:vAlign w:val="center"/>
          </w:tcPr>
          <w:p w14:paraId="40A28EF1"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9</w:t>
            </w:r>
          </w:p>
        </w:tc>
        <w:tc>
          <w:tcPr>
            <w:tcW w:w="2207" w:type="pct"/>
            <w:vAlign w:val="center"/>
          </w:tcPr>
          <w:p w14:paraId="37528586"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改性铵盐</w:t>
            </w:r>
          </w:p>
        </w:tc>
        <w:tc>
          <w:tcPr>
            <w:tcW w:w="867" w:type="pct"/>
            <w:vAlign w:val="center"/>
          </w:tcPr>
          <w:p w14:paraId="73D93494" w14:textId="0EF1900A"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30</w:t>
            </w:r>
          </w:p>
        </w:tc>
        <w:tc>
          <w:tcPr>
            <w:tcW w:w="1437" w:type="pct"/>
            <w:vAlign w:val="center"/>
          </w:tcPr>
          <w:p w14:paraId="6EC2F5DE"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282FBCA3" w14:textId="77777777" w:rsidTr="000B7369">
        <w:trPr>
          <w:trHeight w:val="229"/>
        </w:trPr>
        <w:tc>
          <w:tcPr>
            <w:tcW w:w="490" w:type="pct"/>
            <w:vAlign w:val="center"/>
          </w:tcPr>
          <w:p w14:paraId="00A7B948"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10</w:t>
            </w:r>
          </w:p>
        </w:tc>
        <w:tc>
          <w:tcPr>
            <w:tcW w:w="2207" w:type="pct"/>
            <w:vAlign w:val="center"/>
          </w:tcPr>
          <w:p w14:paraId="3D7BB0AF" w14:textId="77777777" w:rsidR="000B7369" w:rsidRPr="00E67914" w:rsidRDefault="000B7369" w:rsidP="000B7369">
            <w:pPr>
              <w:jc w:val="center"/>
              <w:rPr>
                <w:rFonts w:ascii="Times New Roman" w:hAnsi="Times New Roman"/>
                <w:sz w:val="21"/>
                <w:szCs w:val="21"/>
                <w:lang w:eastAsia="zh-CN"/>
              </w:rPr>
            </w:pPr>
            <w:r w:rsidRPr="00E67914">
              <w:rPr>
                <w:rFonts w:ascii="Times New Roman" w:hAnsi="Times New Roman"/>
                <w:sz w:val="21"/>
                <w:szCs w:val="21"/>
                <w:lang w:eastAsia="zh-CN"/>
              </w:rPr>
              <w:t>低黏羧甲基纤维素钠盐</w:t>
            </w:r>
            <w:r w:rsidRPr="00E67914">
              <w:rPr>
                <w:rFonts w:ascii="Times New Roman" w:hAnsi="Times New Roman"/>
                <w:sz w:val="21"/>
                <w:szCs w:val="21"/>
                <w:lang w:eastAsia="zh-CN"/>
              </w:rPr>
              <w:t>LV-CMC</w:t>
            </w:r>
          </w:p>
        </w:tc>
        <w:tc>
          <w:tcPr>
            <w:tcW w:w="867" w:type="pct"/>
            <w:vAlign w:val="center"/>
          </w:tcPr>
          <w:p w14:paraId="4D3605E3" w14:textId="10E1D706"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36</w:t>
            </w:r>
          </w:p>
        </w:tc>
        <w:tc>
          <w:tcPr>
            <w:tcW w:w="1437" w:type="pct"/>
            <w:vAlign w:val="center"/>
          </w:tcPr>
          <w:p w14:paraId="2C8CB261"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717361EE" w14:textId="77777777" w:rsidTr="000B7369">
        <w:trPr>
          <w:trHeight w:val="229"/>
        </w:trPr>
        <w:tc>
          <w:tcPr>
            <w:tcW w:w="490" w:type="pct"/>
            <w:vAlign w:val="center"/>
          </w:tcPr>
          <w:p w14:paraId="4A647070"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11</w:t>
            </w:r>
          </w:p>
        </w:tc>
        <w:tc>
          <w:tcPr>
            <w:tcW w:w="2207" w:type="pct"/>
            <w:vAlign w:val="center"/>
          </w:tcPr>
          <w:p w14:paraId="0A3A4D83"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天然高分子降滤失剂</w:t>
            </w:r>
          </w:p>
        </w:tc>
        <w:tc>
          <w:tcPr>
            <w:tcW w:w="867" w:type="pct"/>
            <w:vAlign w:val="center"/>
          </w:tcPr>
          <w:p w14:paraId="79BC3F60" w14:textId="5B2F7350"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60</w:t>
            </w:r>
          </w:p>
        </w:tc>
        <w:tc>
          <w:tcPr>
            <w:tcW w:w="1437" w:type="pct"/>
            <w:vAlign w:val="center"/>
          </w:tcPr>
          <w:p w14:paraId="45D84D32"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r>
      <w:tr w:rsidR="00E67914" w:rsidRPr="00E67914" w14:paraId="49A97F37" w14:textId="77777777" w:rsidTr="000B7369">
        <w:trPr>
          <w:trHeight w:val="229"/>
        </w:trPr>
        <w:tc>
          <w:tcPr>
            <w:tcW w:w="490" w:type="pct"/>
            <w:vAlign w:val="center"/>
          </w:tcPr>
          <w:p w14:paraId="7280D108"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12</w:t>
            </w:r>
          </w:p>
        </w:tc>
        <w:tc>
          <w:tcPr>
            <w:tcW w:w="2207" w:type="pct"/>
            <w:vAlign w:val="center"/>
          </w:tcPr>
          <w:p w14:paraId="52E01D8F" w14:textId="77777777" w:rsidR="000B7369" w:rsidRPr="00E67914" w:rsidRDefault="000B7369" w:rsidP="000B7369">
            <w:pPr>
              <w:jc w:val="center"/>
              <w:rPr>
                <w:rFonts w:ascii="Times New Roman" w:hAnsi="Times New Roman"/>
                <w:sz w:val="21"/>
                <w:szCs w:val="21"/>
                <w:lang w:eastAsia="zh-CN"/>
              </w:rPr>
            </w:pPr>
            <w:r w:rsidRPr="00E67914">
              <w:rPr>
                <w:rFonts w:ascii="Times New Roman" w:hAnsi="Times New Roman"/>
                <w:sz w:val="21"/>
                <w:szCs w:val="21"/>
                <w:lang w:eastAsia="zh-CN"/>
              </w:rPr>
              <w:t>抗高温抗盐防塌降滤失剂</w:t>
            </w:r>
          </w:p>
        </w:tc>
        <w:tc>
          <w:tcPr>
            <w:tcW w:w="867" w:type="pct"/>
            <w:vAlign w:val="center"/>
          </w:tcPr>
          <w:p w14:paraId="7ADAE850" w14:textId="114F4B04"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120</w:t>
            </w:r>
          </w:p>
        </w:tc>
        <w:tc>
          <w:tcPr>
            <w:tcW w:w="1437" w:type="pct"/>
            <w:vAlign w:val="center"/>
          </w:tcPr>
          <w:p w14:paraId="3B0F3E72"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r>
      <w:tr w:rsidR="00E67914" w:rsidRPr="00E67914" w14:paraId="1CB50497" w14:textId="77777777" w:rsidTr="000B7369">
        <w:trPr>
          <w:trHeight w:val="229"/>
        </w:trPr>
        <w:tc>
          <w:tcPr>
            <w:tcW w:w="490" w:type="pct"/>
            <w:vAlign w:val="center"/>
          </w:tcPr>
          <w:p w14:paraId="0682337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13</w:t>
            </w:r>
          </w:p>
        </w:tc>
        <w:tc>
          <w:tcPr>
            <w:tcW w:w="2207" w:type="pct"/>
            <w:vAlign w:val="center"/>
          </w:tcPr>
          <w:p w14:paraId="4BFDA8A2"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无荧光防塌剂</w:t>
            </w:r>
          </w:p>
        </w:tc>
        <w:tc>
          <w:tcPr>
            <w:tcW w:w="867" w:type="pct"/>
            <w:vAlign w:val="center"/>
          </w:tcPr>
          <w:p w14:paraId="5D3B3C78" w14:textId="7D41AE66"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60</w:t>
            </w:r>
          </w:p>
        </w:tc>
        <w:tc>
          <w:tcPr>
            <w:tcW w:w="1437" w:type="pct"/>
            <w:vAlign w:val="center"/>
          </w:tcPr>
          <w:p w14:paraId="448BBDD5"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r>
      <w:tr w:rsidR="00E67914" w:rsidRPr="00E67914" w14:paraId="7C30289B" w14:textId="77777777" w:rsidTr="000B7369">
        <w:trPr>
          <w:trHeight w:val="229"/>
        </w:trPr>
        <w:tc>
          <w:tcPr>
            <w:tcW w:w="490" w:type="pct"/>
            <w:vAlign w:val="center"/>
          </w:tcPr>
          <w:p w14:paraId="677DD79D"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14</w:t>
            </w:r>
          </w:p>
        </w:tc>
        <w:tc>
          <w:tcPr>
            <w:tcW w:w="2207" w:type="pct"/>
            <w:vAlign w:val="center"/>
          </w:tcPr>
          <w:p w14:paraId="61C59C2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乳化石蜡</w:t>
            </w:r>
          </w:p>
        </w:tc>
        <w:tc>
          <w:tcPr>
            <w:tcW w:w="867" w:type="pct"/>
            <w:vAlign w:val="center"/>
          </w:tcPr>
          <w:p w14:paraId="7504FA4E" w14:textId="4F323909"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75</w:t>
            </w:r>
          </w:p>
        </w:tc>
        <w:tc>
          <w:tcPr>
            <w:tcW w:w="1437" w:type="pct"/>
            <w:vAlign w:val="center"/>
          </w:tcPr>
          <w:p w14:paraId="5B0376A0"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1E4F4A9A" w14:textId="77777777" w:rsidTr="000B7369">
        <w:trPr>
          <w:trHeight w:val="229"/>
        </w:trPr>
        <w:tc>
          <w:tcPr>
            <w:tcW w:w="490" w:type="pct"/>
            <w:vAlign w:val="center"/>
          </w:tcPr>
          <w:p w14:paraId="5E92C80E"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15</w:t>
            </w:r>
          </w:p>
        </w:tc>
        <w:tc>
          <w:tcPr>
            <w:tcW w:w="2207" w:type="pct"/>
            <w:vAlign w:val="center"/>
          </w:tcPr>
          <w:p w14:paraId="4011A3C4"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井壁稳定剂</w:t>
            </w:r>
          </w:p>
        </w:tc>
        <w:tc>
          <w:tcPr>
            <w:tcW w:w="867" w:type="pct"/>
            <w:vAlign w:val="center"/>
          </w:tcPr>
          <w:p w14:paraId="7FC47881" w14:textId="56185748"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66</w:t>
            </w:r>
          </w:p>
        </w:tc>
        <w:tc>
          <w:tcPr>
            <w:tcW w:w="1437" w:type="pct"/>
            <w:vAlign w:val="center"/>
          </w:tcPr>
          <w:p w14:paraId="2F4FF90E"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1E5D80B2" w14:textId="77777777" w:rsidTr="000B7369">
        <w:trPr>
          <w:trHeight w:val="229"/>
        </w:trPr>
        <w:tc>
          <w:tcPr>
            <w:tcW w:w="490" w:type="pct"/>
            <w:vAlign w:val="center"/>
          </w:tcPr>
          <w:p w14:paraId="62EDAF43"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16</w:t>
            </w:r>
          </w:p>
        </w:tc>
        <w:tc>
          <w:tcPr>
            <w:tcW w:w="2207" w:type="pct"/>
            <w:vAlign w:val="center"/>
          </w:tcPr>
          <w:p w14:paraId="53699BD1"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有机硅稳定剂</w:t>
            </w:r>
          </w:p>
        </w:tc>
        <w:tc>
          <w:tcPr>
            <w:tcW w:w="867" w:type="pct"/>
            <w:vAlign w:val="center"/>
          </w:tcPr>
          <w:p w14:paraId="158B9225" w14:textId="6ECB7462"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60</w:t>
            </w:r>
          </w:p>
        </w:tc>
        <w:tc>
          <w:tcPr>
            <w:tcW w:w="1437" w:type="pct"/>
            <w:vAlign w:val="center"/>
          </w:tcPr>
          <w:p w14:paraId="26725A87"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356ADAB5" w14:textId="77777777" w:rsidTr="000B7369">
        <w:trPr>
          <w:trHeight w:val="229"/>
        </w:trPr>
        <w:tc>
          <w:tcPr>
            <w:tcW w:w="490" w:type="pct"/>
            <w:vAlign w:val="center"/>
          </w:tcPr>
          <w:p w14:paraId="041EDFD8"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17</w:t>
            </w:r>
          </w:p>
        </w:tc>
        <w:tc>
          <w:tcPr>
            <w:tcW w:w="2207" w:type="pct"/>
            <w:vAlign w:val="center"/>
          </w:tcPr>
          <w:p w14:paraId="2F7E1745"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超微细碳酸钙</w:t>
            </w:r>
          </w:p>
        </w:tc>
        <w:tc>
          <w:tcPr>
            <w:tcW w:w="867" w:type="pct"/>
            <w:vAlign w:val="center"/>
          </w:tcPr>
          <w:p w14:paraId="134F7594" w14:textId="4ECFD4FF"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90</w:t>
            </w:r>
          </w:p>
        </w:tc>
        <w:tc>
          <w:tcPr>
            <w:tcW w:w="1437" w:type="pct"/>
            <w:vAlign w:val="center"/>
          </w:tcPr>
          <w:p w14:paraId="6A5E7B7D"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r>
      <w:tr w:rsidR="00E67914" w:rsidRPr="00E67914" w14:paraId="32291F07" w14:textId="77777777" w:rsidTr="000B7369">
        <w:trPr>
          <w:trHeight w:val="229"/>
        </w:trPr>
        <w:tc>
          <w:tcPr>
            <w:tcW w:w="490" w:type="pct"/>
            <w:vAlign w:val="center"/>
          </w:tcPr>
          <w:p w14:paraId="5F552B24"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18</w:t>
            </w:r>
          </w:p>
        </w:tc>
        <w:tc>
          <w:tcPr>
            <w:tcW w:w="2207" w:type="pct"/>
            <w:vAlign w:val="center"/>
          </w:tcPr>
          <w:p w14:paraId="6164F8AA"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纳米封堵剂</w:t>
            </w:r>
          </w:p>
        </w:tc>
        <w:tc>
          <w:tcPr>
            <w:tcW w:w="867" w:type="pct"/>
            <w:vAlign w:val="center"/>
          </w:tcPr>
          <w:p w14:paraId="79A483DF" w14:textId="0DDCFC93"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60</w:t>
            </w:r>
          </w:p>
        </w:tc>
        <w:tc>
          <w:tcPr>
            <w:tcW w:w="1437" w:type="pct"/>
            <w:vAlign w:val="center"/>
          </w:tcPr>
          <w:p w14:paraId="3763F45A"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w:t>
            </w:r>
          </w:p>
        </w:tc>
      </w:tr>
      <w:tr w:rsidR="00E67914" w:rsidRPr="00E67914" w14:paraId="0EEADA57" w14:textId="77777777" w:rsidTr="000B7369">
        <w:trPr>
          <w:trHeight w:val="229"/>
        </w:trPr>
        <w:tc>
          <w:tcPr>
            <w:tcW w:w="490" w:type="pct"/>
            <w:vAlign w:val="center"/>
          </w:tcPr>
          <w:p w14:paraId="6E981CF1"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19</w:t>
            </w:r>
          </w:p>
        </w:tc>
        <w:tc>
          <w:tcPr>
            <w:tcW w:w="2207" w:type="pct"/>
            <w:vAlign w:val="center"/>
          </w:tcPr>
          <w:p w14:paraId="5C9B3BBD"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塑料小球</w:t>
            </w:r>
            <w:r w:rsidRPr="00E67914">
              <w:rPr>
                <w:rFonts w:ascii="Times New Roman" w:hAnsi="Times New Roman"/>
                <w:sz w:val="21"/>
                <w:szCs w:val="21"/>
              </w:rPr>
              <w:t>1</w:t>
            </w:r>
            <w:r w:rsidRPr="00E67914">
              <w:rPr>
                <w:rFonts w:ascii="Times New Roman" w:hAnsi="Times New Roman"/>
                <w:sz w:val="21"/>
                <w:szCs w:val="21"/>
              </w:rPr>
              <w:t>型</w:t>
            </w:r>
          </w:p>
        </w:tc>
        <w:tc>
          <w:tcPr>
            <w:tcW w:w="867" w:type="pct"/>
            <w:vAlign w:val="center"/>
          </w:tcPr>
          <w:p w14:paraId="4A4FBAF8" w14:textId="29D9643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18</w:t>
            </w:r>
          </w:p>
        </w:tc>
        <w:tc>
          <w:tcPr>
            <w:tcW w:w="1437" w:type="pct"/>
            <w:vAlign w:val="center"/>
          </w:tcPr>
          <w:p w14:paraId="6FC498DA"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w:t>
            </w:r>
          </w:p>
        </w:tc>
      </w:tr>
      <w:tr w:rsidR="00E67914" w:rsidRPr="00E67914" w14:paraId="59817A00" w14:textId="77777777" w:rsidTr="000B7369">
        <w:trPr>
          <w:trHeight w:val="229"/>
        </w:trPr>
        <w:tc>
          <w:tcPr>
            <w:tcW w:w="490" w:type="pct"/>
            <w:vAlign w:val="center"/>
          </w:tcPr>
          <w:p w14:paraId="62C6F90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20</w:t>
            </w:r>
          </w:p>
        </w:tc>
        <w:tc>
          <w:tcPr>
            <w:tcW w:w="2207" w:type="pct"/>
            <w:vAlign w:val="center"/>
          </w:tcPr>
          <w:p w14:paraId="064D191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极压润滑剂</w:t>
            </w:r>
          </w:p>
        </w:tc>
        <w:tc>
          <w:tcPr>
            <w:tcW w:w="867" w:type="pct"/>
            <w:vAlign w:val="center"/>
          </w:tcPr>
          <w:p w14:paraId="56C8C8D2" w14:textId="079B41CC"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105</w:t>
            </w:r>
          </w:p>
        </w:tc>
        <w:tc>
          <w:tcPr>
            <w:tcW w:w="1437" w:type="pct"/>
            <w:vAlign w:val="center"/>
          </w:tcPr>
          <w:p w14:paraId="6FCCF9FA"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r>
      <w:tr w:rsidR="00E67914" w:rsidRPr="00E67914" w14:paraId="74BF1FBB" w14:textId="77777777" w:rsidTr="000B7369">
        <w:trPr>
          <w:trHeight w:val="229"/>
        </w:trPr>
        <w:tc>
          <w:tcPr>
            <w:tcW w:w="490" w:type="pct"/>
            <w:vAlign w:val="center"/>
          </w:tcPr>
          <w:p w14:paraId="573245D7"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21</w:t>
            </w:r>
          </w:p>
        </w:tc>
        <w:tc>
          <w:tcPr>
            <w:tcW w:w="2207" w:type="pct"/>
            <w:vAlign w:val="center"/>
          </w:tcPr>
          <w:p w14:paraId="3EAE1BE7"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固体润滑剂</w:t>
            </w:r>
          </w:p>
        </w:tc>
        <w:tc>
          <w:tcPr>
            <w:tcW w:w="867" w:type="pct"/>
            <w:vAlign w:val="center"/>
          </w:tcPr>
          <w:p w14:paraId="38713BBE" w14:textId="7AC33FC4"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30</w:t>
            </w:r>
          </w:p>
        </w:tc>
        <w:tc>
          <w:tcPr>
            <w:tcW w:w="1437" w:type="pct"/>
            <w:vAlign w:val="center"/>
          </w:tcPr>
          <w:p w14:paraId="6B0DC528"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w:t>
            </w:r>
          </w:p>
        </w:tc>
      </w:tr>
      <w:tr w:rsidR="00E67914" w:rsidRPr="00E67914" w14:paraId="160B8A38" w14:textId="77777777" w:rsidTr="000B7369">
        <w:trPr>
          <w:trHeight w:val="229"/>
        </w:trPr>
        <w:tc>
          <w:tcPr>
            <w:tcW w:w="490" w:type="pct"/>
            <w:vAlign w:val="center"/>
          </w:tcPr>
          <w:p w14:paraId="63313594"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22</w:t>
            </w:r>
          </w:p>
        </w:tc>
        <w:tc>
          <w:tcPr>
            <w:tcW w:w="2207" w:type="pct"/>
            <w:vAlign w:val="center"/>
          </w:tcPr>
          <w:p w14:paraId="71E1574A"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硅氟降黏剂</w:t>
            </w:r>
          </w:p>
        </w:tc>
        <w:tc>
          <w:tcPr>
            <w:tcW w:w="867" w:type="pct"/>
            <w:vAlign w:val="center"/>
          </w:tcPr>
          <w:p w14:paraId="6CDE9AA1" w14:textId="4EE5D075"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30</w:t>
            </w:r>
          </w:p>
        </w:tc>
        <w:tc>
          <w:tcPr>
            <w:tcW w:w="1437" w:type="pct"/>
            <w:vAlign w:val="center"/>
          </w:tcPr>
          <w:p w14:paraId="32DF104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w:t>
            </w:r>
          </w:p>
        </w:tc>
      </w:tr>
      <w:tr w:rsidR="00E67914" w:rsidRPr="00E67914" w14:paraId="5216D122" w14:textId="77777777" w:rsidTr="000B7369">
        <w:trPr>
          <w:trHeight w:val="229"/>
        </w:trPr>
        <w:tc>
          <w:tcPr>
            <w:tcW w:w="490" w:type="pct"/>
            <w:vAlign w:val="center"/>
          </w:tcPr>
          <w:p w14:paraId="53C24475"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23</w:t>
            </w:r>
          </w:p>
        </w:tc>
        <w:tc>
          <w:tcPr>
            <w:tcW w:w="2207" w:type="pct"/>
            <w:vAlign w:val="center"/>
          </w:tcPr>
          <w:p w14:paraId="5EC92C98"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NaCl</w:t>
            </w:r>
          </w:p>
        </w:tc>
        <w:tc>
          <w:tcPr>
            <w:tcW w:w="867" w:type="pct"/>
            <w:vAlign w:val="center"/>
          </w:tcPr>
          <w:p w14:paraId="66C0B93B" w14:textId="44A18C4A"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180</w:t>
            </w:r>
          </w:p>
        </w:tc>
        <w:tc>
          <w:tcPr>
            <w:tcW w:w="1437" w:type="pct"/>
            <w:vAlign w:val="center"/>
          </w:tcPr>
          <w:p w14:paraId="0A8EE980"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r>
      <w:tr w:rsidR="00E67914" w:rsidRPr="00E67914" w14:paraId="44253FC1" w14:textId="77777777" w:rsidTr="000B7369">
        <w:trPr>
          <w:trHeight w:val="229"/>
        </w:trPr>
        <w:tc>
          <w:tcPr>
            <w:tcW w:w="490" w:type="pct"/>
            <w:vAlign w:val="center"/>
          </w:tcPr>
          <w:p w14:paraId="5061E3B0"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24</w:t>
            </w:r>
          </w:p>
        </w:tc>
        <w:tc>
          <w:tcPr>
            <w:tcW w:w="2207" w:type="pct"/>
            <w:vAlign w:val="center"/>
          </w:tcPr>
          <w:p w14:paraId="5668A4B6"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KCl</w:t>
            </w:r>
          </w:p>
        </w:tc>
        <w:tc>
          <w:tcPr>
            <w:tcW w:w="867" w:type="pct"/>
            <w:vAlign w:val="center"/>
          </w:tcPr>
          <w:p w14:paraId="0783C8CA" w14:textId="18F3264F"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120</w:t>
            </w:r>
          </w:p>
        </w:tc>
        <w:tc>
          <w:tcPr>
            <w:tcW w:w="1437" w:type="pct"/>
            <w:vAlign w:val="center"/>
          </w:tcPr>
          <w:p w14:paraId="65BAABB9"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r>
      <w:tr w:rsidR="00E67914" w:rsidRPr="00E67914" w14:paraId="3D3DB778" w14:textId="77777777" w:rsidTr="000B7369">
        <w:trPr>
          <w:trHeight w:val="229"/>
        </w:trPr>
        <w:tc>
          <w:tcPr>
            <w:tcW w:w="490" w:type="pct"/>
            <w:vAlign w:val="center"/>
          </w:tcPr>
          <w:p w14:paraId="640BAD4C"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25</w:t>
            </w:r>
          </w:p>
        </w:tc>
        <w:tc>
          <w:tcPr>
            <w:tcW w:w="2207" w:type="pct"/>
            <w:vAlign w:val="center"/>
          </w:tcPr>
          <w:p w14:paraId="2F0422D0"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重晶石粉</w:t>
            </w:r>
          </w:p>
        </w:tc>
        <w:tc>
          <w:tcPr>
            <w:tcW w:w="867" w:type="pct"/>
            <w:vAlign w:val="center"/>
          </w:tcPr>
          <w:p w14:paraId="4CB8561C" w14:textId="0BF7A1F2"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3000</w:t>
            </w:r>
          </w:p>
        </w:tc>
        <w:tc>
          <w:tcPr>
            <w:tcW w:w="1437" w:type="pct"/>
            <w:vAlign w:val="center"/>
          </w:tcPr>
          <w:p w14:paraId="56CC5420" w14:textId="08A3C523"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120</w:t>
            </w:r>
          </w:p>
        </w:tc>
      </w:tr>
      <w:tr w:rsidR="00E67914" w:rsidRPr="00E67914" w14:paraId="54000704" w14:textId="77777777" w:rsidTr="000B7369">
        <w:trPr>
          <w:trHeight w:val="229"/>
        </w:trPr>
        <w:tc>
          <w:tcPr>
            <w:tcW w:w="490" w:type="pct"/>
            <w:vAlign w:val="center"/>
          </w:tcPr>
          <w:p w14:paraId="03B45109"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26</w:t>
            </w:r>
          </w:p>
        </w:tc>
        <w:tc>
          <w:tcPr>
            <w:tcW w:w="2207" w:type="pct"/>
            <w:vAlign w:val="center"/>
          </w:tcPr>
          <w:p w14:paraId="379582F6"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微裂缝随钻堵漏剂</w:t>
            </w:r>
          </w:p>
        </w:tc>
        <w:tc>
          <w:tcPr>
            <w:tcW w:w="867" w:type="pct"/>
            <w:vAlign w:val="center"/>
          </w:tcPr>
          <w:p w14:paraId="7DCDF626" w14:textId="1680D603"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60</w:t>
            </w:r>
          </w:p>
        </w:tc>
        <w:tc>
          <w:tcPr>
            <w:tcW w:w="1437" w:type="pct"/>
            <w:vAlign w:val="center"/>
          </w:tcPr>
          <w:p w14:paraId="61690763" w14:textId="0F69F146"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10</w:t>
            </w:r>
          </w:p>
        </w:tc>
      </w:tr>
      <w:tr w:rsidR="00E67914" w:rsidRPr="00E67914" w14:paraId="33964AEF" w14:textId="77777777" w:rsidTr="000B7369">
        <w:trPr>
          <w:trHeight w:val="229"/>
        </w:trPr>
        <w:tc>
          <w:tcPr>
            <w:tcW w:w="490" w:type="pct"/>
            <w:vAlign w:val="center"/>
          </w:tcPr>
          <w:p w14:paraId="201A1453"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27</w:t>
            </w:r>
          </w:p>
        </w:tc>
        <w:tc>
          <w:tcPr>
            <w:tcW w:w="2207" w:type="pct"/>
            <w:vAlign w:val="center"/>
          </w:tcPr>
          <w:p w14:paraId="238A6EE6" w14:textId="77777777" w:rsidR="000B7369" w:rsidRPr="00E67914" w:rsidRDefault="000B7369" w:rsidP="000B7369">
            <w:pPr>
              <w:jc w:val="center"/>
              <w:rPr>
                <w:rFonts w:ascii="Times New Roman" w:hAnsi="Times New Roman"/>
                <w:sz w:val="21"/>
                <w:szCs w:val="21"/>
                <w:lang w:eastAsia="zh-CN"/>
              </w:rPr>
            </w:pPr>
            <w:r w:rsidRPr="00E67914">
              <w:rPr>
                <w:rFonts w:ascii="Times New Roman" w:hAnsi="Times New Roman"/>
                <w:sz w:val="21"/>
                <w:szCs w:val="21"/>
                <w:lang w:eastAsia="zh-CN"/>
              </w:rPr>
              <w:t>复合堵漏剂、核桃壳、云母</w:t>
            </w:r>
          </w:p>
        </w:tc>
        <w:tc>
          <w:tcPr>
            <w:tcW w:w="867" w:type="pct"/>
            <w:vAlign w:val="center"/>
          </w:tcPr>
          <w:p w14:paraId="10CD309E" w14:textId="5787EB44"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60</w:t>
            </w:r>
          </w:p>
        </w:tc>
        <w:tc>
          <w:tcPr>
            <w:tcW w:w="1437" w:type="pct"/>
            <w:vAlign w:val="center"/>
          </w:tcPr>
          <w:p w14:paraId="2ACEE6AE" w14:textId="13D4913C"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5</w:t>
            </w:r>
          </w:p>
        </w:tc>
      </w:tr>
      <w:tr w:rsidR="00E67914" w:rsidRPr="00E67914" w14:paraId="49D25878" w14:textId="77777777" w:rsidTr="000B7369">
        <w:trPr>
          <w:trHeight w:val="229"/>
        </w:trPr>
        <w:tc>
          <w:tcPr>
            <w:tcW w:w="490" w:type="pct"/>
            <w:vAlign w:val="center"/>
          </w:tcPr>
          <w:p w14:paraId="27C57AF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28</w:t>
            </w:r>
          </w:p>
        </w:tc>
        <w:tc>
          <w:tcPr>
            <w:tcW w:w="2207" w:type="pct"/>
            <w:vAlign w:val="center"/>
          </w:tcPr>
          <w:p w14:paraId="5E0BC5F3"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酸溶性堵漏剂</w:t>
            </w:r>
          </w:p>
        </w:tc>
        <w:tc>
          <w:tcPr>
            <w:tcW w:w="867" w:type="pct"/>
            <w:vAlign w:val="center"/>
          </w:tcPr>
          <w:p w14:paraId="04B5E228" w14:textId="47F30B7C"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30</w:t>
            </w:r>
          </w:p>
        </w:tc>
        <w:tc>
          <w:tcPr>
            <w:tcW w:w="1437" w:type="pct"/>
            <w:vAlign w:val="center"/>
          </w:tcPr>
          <w:p w14:paraId="50B1DB11" w14:textId="14C31EDF"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5</w:t>
            </w:r>
          </w:p>
        </w:tc>
      </w:tr>
      <w:tr w:rsidR="00E67914" w:rsidRPr="00E67914" w14:paraId="6BE698EF" w14:textId="77777777" w:rsidTr="000B7369">
        <w:trPr>
          <w:trHeight w:val="229"/>
        </w:trPr>
        <w:tc>
          <w:tcPr>
            <w:tcW w:w="490" w:type="pct"/>
            <w:vAlign w:val="center"/>
          </w:tcPr>
          <w:p w14:paraId="2598C066"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29</w:t>
            </w:r>
          </w:p>
        </w:tc>
        <w:tc>
          <w:tcPr>
            <w:tcW w:w="2207" w:type="pct"/>
            <w:vAlign w:val="center"/>
          </w:tcPr>
          <w:p w14:paraId="7019C37F"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钻井液用固化剂</w:t>
            </w:r>
            <w:r w:rsidRPr="00E67914">
              <w:rPr>
                <w:rFonts w:ascii="Times New Roman" w:hAnsi="Times New Roman"/>
                <w:sz w:val="21"/>
                <w:szCs w:val="21"/>
              </w:rPr>
              <w:t>HB113</w:t>
            </w:r>
          </w:p>
        </w:tc>
        <w:tc>
          <w:tcPr>
            <w:tcW w:w="867" w:type="pct"/>
            <w:vAlign w:val="center"/>
          </w:tcPr>
          <w:p w14:paraId="276DD30D" w14:textId="3FFAA4FE"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120</w:t>
            </w:r>
          </w:p>
        </w:tc>
        <w:tc>
          <w:tcPr>
            <w:tcW w:w="1437" w:type="pct"/>
            <w:vAlign w:val="center"/>
          </w:tcPr>
          <w:p w14:paraId="3B467390"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w:t>
            </w:r>
          </w:p>
        </w:tc>
      </w:tr>
      <w:tr w:rsidR="00E67914" w:rsidRPr="00E67914" w14:paraId="43EAF1FD" w14:textId="77777777" w:rsidTr="000B7369">
        <w:trPr>
          <w:trHeight w:val="229"/>
        </w:trPr>
        <w:tc>
          <w:tcPr>
            <w:tcW w:w="490" w:type="pct"/>
            <w:vAlign w:val="center"/>
          </w:tcPr>
          <w:p w14:paraId="0885FD6B"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30</w:t>
            </w:r>
          </w:p>
        </w:tc>
        <w:tc>
          <w:tcPr>
            <w:tcW w:w="2207" w:type="pct"/>
            <w:vAlign w:val="center"/>
          </w:tcPr>
          <w:p w14:paraId="17579743"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石灰</w:t>
            </w:r>
          </w:p>
        </w:tc>
        <w:tc>
          <w:tcPr>
            <w:tcW w:w="867" w:type="pct"/>
            <w:vAlign w:val="center"/>
          </w:tcPr>
          <w:p w14:paraId="1652B152" w14:textId="2EFCC6C4"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9</w:t>
            </w:r>
          </w:p>
        </w:tc>
        <w:tc>
          <w:tcPr>
            <w:tcW w:w="1437" w:type="pct"/>
            <w:vAlign w:val="center"/>
          </w:tcPr>
          <w:p w14:paraId="7D69514E"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w:t>
            </w:r>
          </w:p>
        </w:tc>
      </w:tr>
      <w:tr w:rsidR="00E67914" w:rsidRPr="00E67914" w14:paraId="2146CC50" w14:textId="77777777" w:rsidTr="000B7369">
        <w:trPr>
          <w:trHeight w:val="229"/>
        </w:trPr>
        <w:tc>
          <w:tcPr>
            <w:tcW w:w="490" w:type="pct"/>
            <w:vAlign w:val="center"/>
          </w:tcPr>
          <w:p w14:paraId="275241FD"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31</w:t>
            </w:r>
          </w:p>
        </w:tc>
        <w:tc>
          <w:tcPr>
            <w:tcW w:w="2207" w:type="pct"/>
            <w:vAlign w:val="center"/>
          </w:tcPr>
          <w:p w14:paraId="19BA60E7"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白油油基钻井液</w:t>
            </w:r>
          </w:p>
        </w:tc>
        <w:tc>
          <w:tcPr>
            <w:tcW w:w="867" w:type="pct"/>
            <w:vAlign w:val="center"/>
          </w:tcPr>
          <w:p w14:paraId="1E24372A" w14:textId="7B5838F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1650</w:t>
            </w:r>
          </w:p>
        </w:tc>
        <w:tc>
          <w:tcPr>
            <w:tcW w:w="1437" w:type="pct"/>
            <w:vAlign w:val="center"/>
          </w:tcPr>
          <w:p w14:paraId="6E651767" w14:textId="77777777" w:rsidR="000B7369" w:rsidRPr="00E67914" w:rsidRDefault="000B7369" w:rsidP="000B7369">
            <w:pPr>
              <w:jc w:val="center"/>
              <w:rPr>
                <w:rFonts w:ascii="Times New Roman" w:hAnsi="Times New Roman"/>
                <w:sz w:val="21"/>
                <w:szCs w:val="21"/>
              </w:rPr>
            </w:pPr>
            <w:r w:rsidRPr="00E67914">
              <w:rPr>
                <w:rFonts w:ascii="Times New Roman" w:hAnsi="Times New Roman"/>
                <w:sz w:val="21"/>
                <w:szCs w:val="21"/>
              </w:rPr>
              <w:t>20</w:t>
            </w:r>
          </w:p>
        </w:tc>
      </w:tr>
    </w:tbl>
    <w:p w14:paraId="3418CF16" w14:textId="77777777" w:rsidR="00A54A8A" w:rsidRPr="00E67914" w:rsidRDefault="00000000">
      <w:pPr>
        <w:pStyle w:val="afffffe"/>
        <w:ind w:firstLine="482"/>
      </w:pPr>
      <w:r w:rsidRPr="00E67914">
        <w:rPr>
          <w:b/>
          <w:bCs/>
        </w:rPr>
        <w:lastRenderedPageBreak/>
        <w:t>钻井液性质及作用：</w:t>
      </w:r>
      <w:r w:rsidRPr="00E67914">
        <w:t>钻井液是钻探过程中，孔内使用的循环冲洗介质。钻井液是钻井的血液，又称钻孔冲洗液。钻井液按组成成分可分为清水、泥浆、无粘土相冲洗液、乳状液、泡沫和压缩空气等。泥浆是广泛使用的钻井液，主要适用于松散、裂隙发育、易坍塌掉块、遇水膨胀剥落等孔壁不稳定岩层。</w:t>
      </w:r>
    </w:p>
    <w:p w14:paraId="36CD5769" w14:textId="77777777" w:rsidR="00A54A8A" w:rsidRPr="00E67914" w:rsidRDefault="00000000">
      <w:pPr>
        <w:pStyle w:val="afffffe"/>
        <w:ind w:firstLine="482"/>
      </w:pPr>
      <w:r w:rsidRPr="00E67914">
        <w:rPr>
          <w:b/>
          <w:bCs/>
        </w:rPr>
        <w:t>钻井液主要功用：</w:t>
      </w:r>
      <w:r w:rsidRPr="00E67914">
        <w:rPr>
          <w:rFonts w:ascii="宋体" w:hAnsi="宋体" w:cs="宋体" w:hint="eastAsia"/>
        </w:rPr>
        <w:t>①</w:t>
      </w:r>
      <w:r w:rsidRPr="00E67914">
        <w:t>冷却钻头、清净孔底、带出岩屑。</w:t>
      </w:r>
      <w:r w:rsidRPr="00E67914">
        <w:rPr>
          <w:rFonts w:ascii="宋体" w:hAnsi="宋体" w:cs="宋体" w:hint="eastAsia"/>
        </w:rPr>
        <w:t>②</w:t>
      </w:r>
      <w:r w:rsidRPr="00E67914">
        <w:t>润滑钻具。</w:t>
      </w:r>
      <w:r w:rsidRPr="00E67914">
        <w:rPr>
          <w:rFonts w:ascii="宋体" w:hAnsi="宋体" w:cs="宋体" w:hint="eastAsia"/>
        </w:rPr>
        <w:t>③</w:t>
      </w:r>
      <w:r w:rsidRPr="00E67914">
        <w:t>停钻时悬浮岩屑，保护孔壁防止坍塌，平衡地层压力、压住高压油气水层。</w:t>
      </w:r>
      <w:r w:rsidRPr="00E67914">
        <w:rPr>
          <w:rFonts w:ascii="宋体" w:hAnsi="宋体" w:cs="宋体" w:hint="eastAsia"/>
        </w:rPr>
        <w:t>④</w:t>
      </w:r>
      <w:r w:rsidRPr="00E67914">
        <w:t>输送岩心，为孔底动力机传递破碎孔底岩石需要的动力等。钻井中钻井液的循环程序包括：钻井、液罐、经泵</w:t>
      </w:r>
      <w:r w:rsidRPr="00E67914">
        <w:t>→</w:t>
      </w:r>
      <w:r w:rsidRPr="00E67914">
        <w:t>地面、管汇</w:t>
      </w:r>
      <w:r w:rsidRPr="00E67914">
        <w:t>→</w:t>
      </w:r>
      <w:r w:rsidRPr="00E67914">
        <w:t>立管</w:t>
      </w:r>
      <w:r w:rsidRPr="00E67914">
        <w:t>→</w:t>
      </w:r>
      <w:r w:rsidRPr="00E67914">
        <w:t>水龙带、水龙头</w:t>
      </w:r>
      <w:r w:rsidRPr="00E67914">
        <w:t>→</w:t>
      </w:r>
      <w:r w:rsidRPr="00E67914">
        <w:t>钻柱内</w:t>
      </w:r>
      <w:r w:rsidRPr="00E67914">
        <w:t>→</w:t>
      </w:r>
      <w:r w:rsidRPr="00E67914">
        <w:t>钻头</w:t>
      </w:r>
      <w:r w:rsidRPr="00E67914">
        <w:t>→</w:t>
      </w:r>
      <w:r w:rsidRPr="00E67914">
        <w:t>钻柱外环形空间</w:t>
      </w:r>
      <w:r w:rsidRPr="00E67914">
        <w:t>→</w:t>
      </w:r>
      <w:r w:rsidRPr="00E67914">
        <w:t>井口、泥浆（钻井液）槽</w:t>
      </w:r>
      <w:r w:rsidRPr="00E67914">
        <w:t>→</w:t>
      </w:r>
      <w:r w:rsidRPr="00E67914">
        <w:t>钻井液净化设备</w:t>
      </w:r>
      <w:r w:rsidRPr="00E67914">
        <w:t>→</w:t>
      </w:r>
      <w:r w:rsidRPr="00E67914">
        <w:t>钻井液罐。</w:t>
      </w:r>
    </w:p>
    <w:p w14:paraId="7E9F1781" w14:textId="77777777" w:rsidR="00A54A8A" w:rsidRPr="00E67914" w:rsidRDefault="00000000">
      <w:pPr>
        <w:pStyle w:val="afffffe"/>
        <w:ind w:firstLine="482"/>
      </w:pPr>
      <w:r w:rsidRPr="00E67914">
        <w:rPr>
          <w:b/>
          <w:bCs/>
        </w:rPr>
        <w:t>本工程钻井液类型及组成：</w:t>
      </w:r>
      <w:r w:rsidRPr="00E67914">
        <w:t>钻井液的类型较多，根据不同的地层地质情况，选用不同的泥浆。泥浆主要分为水基钻井液和油基钻井液两种基本类型。</w:t>
      </w:r>
    </w:p>
    <w:p w14:paraId="3855B131" w14:textId="77777777" w:rsidR="00A54A8A" w:rsidRPr="00E67914" w:rsidRDefault="00000000">
      <w:pPr>
        <w:pStyle w:val="0"/>
        <w:ind w:firstLine="482"/>
        <w:rPr>
          <w:b/>
          <w:bCs/>
        </w:rPr>
      </w:pPr>
      <w:r w:rsidRPr="00E67914">
        <w:rPr>
          <w:b/>
          <w:bCs/>
        </w:rPr>
        <w:t>钻井液主要成分的物理化学特性：</w:t>
      </w:r>
    </w:p>
    <w:p w14:paraId="4A7B6C0F"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3.2-11  </w:t>
      </w:r>
      <w:r w:rsidRPr="00E67914">
        <w:rPr>
          <w:rFonts w:ascii="Times New Roman" w:eastAsia="黑体" w:hAnsi="Times New Roman"/>
          <w:sz w:val="21"/>
          <w:szCs w:val="21"/>
          <w:lang w:eastAsia="zh-CN"/>
        </w:rPr>
        <w:t>钻井液主要材料物理化学特性</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1523"/>
        <w:gridCol w:w="5998"/>
      </w:tblGrid>
      <w:tr w:rsidR="00E67914" w:rsidRPr="00E67914" w14:paraId="39CCEAF3" w14:textId="77777777">
        <w:tc>
          <w:tcPr>
            <w:tcW w:w="744" w:type="dxa"/>
          </w:tcPr>
          <w:p w14:paraId="7BED4B52"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序号</w:t>
            </w:r>
          </w:p>
        </w:tc>
        <w:tc>
          <w:tcPr>
            <w:tcW w:w="1523" w:type="dxa"/>
          </w:tcPr>
          <w:p w14:paraId="596F7AC1"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材料名称</w:t>
            </w:r>
          </w:p>
        </w:tc>
        <w:tc>
          <w:tcPr>
            <w:tcW w:w="5998" w:type="dxa"/>
          </w:tcPr>
          <w:p w14:paraId="24C52298" w14:textId="77777777" w:rsidR="00A54A8A" w:rsidRPr="00E67914" w:rsidRDefault="00000000">
            <w:pPr>
              <w:jc w:val="center"/>
              <w:rPr>
                <w:rFonts w:ascii="Times New Roman" w:hAnsi="Times New Roman"/>
                <w:b/>
                <w:bCs/>
                <w:sz w:val="21"/>
                <w:szCs w:val="21"/>
              </w:rPr>
            </w:pPr>
            <w:r w:rsidRPr="00E67914">
              <w:rPr>
                <w:rFonts w:ascii="Times New Roman" w:hAnsi="Times New Roman"/>
                <w:b/>
                <w:bCs/>
                <w:sz w:val="21"/>
                <w:szCs w:val="21"/>
              </w:rPr>
              <w:t>物理化学特性</w:t>
            </w:r>
          </w:p>
        </w:tc>
      </w:tr>
      <w:tr w:rsidR="00E67914" w:rsidRPr="00E67914" w14:paraId="09FB6E9D" w14:textId="77777777">
        <w:tc>
          <w:tcPr>
            <w:tcW w:w="744" w:type="dxa"/>
            <w:vAlign w:val="center"/>
          </w:tcPr>
          <w:p w14:paraId="055E3BE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w:t>
            </w:r>
          </w:p>
        </w:tc>
        <w:tc>
          <w:tcPr>
            <w:tcW w:w="1523" w:type="dxa"/>
            <w:vAlign w:val="center"/>
          </w:tcPr>
          <w:p w14:paraId="0B2DD02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乳化石蜡</w:t>
            </w:r>
          </w:p>
        </w:tc>
        <w:tc>
          <w:tcPr>
            <w:tcW w:w="5998" w:type="dxa"/>
            <w:vAlign w:val="center"/>
          </w:tcPr>
          <w:p w14:paraId="77977F4C"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乳化石蜡是灰白色均质半透明液体，用特殊中性非离子乳化剂乳化，避免以前用碱性皂化不稳定、易分层的缺点，密封放置阴凉处可以存放两年不分层、不破乳、不结块。具有抗酸、抗碱、耐硬水、水溶性强、乳液稳定，任意比例水稀释不分层、不破乳、不结块、保质期长、固含量高、分散性好等性能特点。</w:t>
            </w:r>
          </w:p>
        </w:tc>
      </w:tr>
      <w:tr w:rsidR="00E67914" w:rsidRPr="00E67914" w14:paraId="5EFB5253" w14:textId="77777777">
        <w:tc>
          <w:tcPr>
            <w:tcW w:w="744" w:type="dxa"/>
            <w:vAlign w:val="center"/>
          </w:tcPr>
          <w:p w14:paraId="0DCF350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w:t>
            </w:r>
          </w:p>
        </w:tc>
        <w:tc>
          <w:tcPr>
            <w:tcW w:w="1523" w:type="dxa"/>
            <w:vAlign w:val="center"/>
          </w:tcPr>
          <w:p w14:paraId="61315B8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包被絮凝剂</w:t>
            </w:r>
          </w:p>
        </w:tc>
        <w:tc>
          <w:tcPr>
            <w:tcW w:w="5998" w:type="dxa"/>
            <w:vAlign w:val="center"/>
          </w:tcPr>
          <w:p w14:paraId="3D902C2B"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是由含有多种有机阳离子基因、阴离子基因和非离子基因的单体通过共聚而形成的水溶性高分子聚合物，既能增强泥浆的抑制性，抑制泥页岩的水化膨胀，控制地层造浆，又能维持泥浆性能的稳定，改善流变性，降低摩阻和滤失量，有利于钻井。</w:t>
            </w:r>
          </w:p>
        </w:tc>
      </w:tr>
      <w:tr w:rsidR="00E67914" w:rsidRPr="00E67914" w14:paraId="40141C8A" w14:textId="77777777">
        <w:tc>
          <w:tcPr>
            <w:tcW w:w="744" w:type="dxa"/>
            <w:vAlign w:val="center"/>
          </w:tcPr>
          <w:p w14:paraId="6A9218C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3</w:t>
            </w:r>
          </w:p>
        </w:tc>
        <w:tc>
          <w:tcPr>
            <w:tcW w:w="1523" w:type="dxa"/>
            <w:vAlign w:val="center"/>
          </w:tcPr>
          <w:p w14:paraId="01CDC0AC"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低黏羧甲基纤维素</w:t>
            </w:r>
            <w:r w:rsidRPr="00E67914">
              <w:rPr>
                <w:rFonts w:ascii="Times New Roman" w:hAnsi="Times New Roman"/>
                <w:sz w:val="21"/>
                <w:szCs w:val="21"/>
                <w:lang w:eastAsia="zh-CN"/>
              </w:rPr>
              <w:t>LV-CMC</w:t>
            </w:r>
          </w:p>
        </w:tc>
        <w:tc>
          <w:tcPr>
            <w:tcW w:w="5998" w:type="dxa"/>
            <w:vAlign w:val="center"/>
          </w:tcPr>
          <w:p w14:paraId="4D653E4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为白色或微黄色纤维状粉末。具有吸湿性、无臭、无味、无毒、不易发酵、不溶于酸、醇等有机溶剂，易分散于水中成胶体溶液。有一定的抗盐能力和热稳定性，起到控制钻井时的失水量，防止钻井过程中泥浆失水引起的井璧坍塌等事故发生的作用。</w:t>
            </w:r>
          </w:p>
        </w:tc>
      </w:tr>
      <w:tr w:rsidR="00E67914" w:rsidRPr="00E67914" w14:paraId="11869C93" w14:textId="77777777">
        <w:tc>
          <w:tcPr>
            <w:tcW w:w="744" w:type="dxa"/>
            <w:vAlign w:val="center"/>
          </w:tcPr>
          <w:p w14:paraId="5E97C1A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4</w:t>
            </w:r>
          </w:p>
        </w:tc>
        <w:tc>
          <w:tcPr>
            <w:tcW w:w="1523" w:type="dxa"/>
            <w:vAlign w:val="center"/>
          </w:tcPr>
          <w:p w14:paraId="7EEE317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超微细碳酸钙</w:t>
            </w:r>
          </w:p>
        </w:tc>
        <w:tc>
          <w:tcPr>
            <w:tcW w:w="5998" w:type="dxa"/>
            <w:vAlign w:val="center"/>
          </w:tcPr>
          <w:p w14:paraId="12EC625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超细碳酸钙是碳酸钙的一个分类，分子化学式为：</w:t>
            </w:r>
            <w:r w:rsidRPr="00E67914">
              <w:rPr>
                <w:rFonts w:ascii="Times New Roman" w:hAnsi="Times New Roman"/>
                <w:sz w:val="21"/>
                <w:szCs w:val="21"/>
                <w:lang w:eastAsia="zh-CN"/>
              </w:rPr>
              <w:t>CaCO</w:t>
            </w:r>
            <w:r w:rsidRPr="00E67914">
              <w:rPr>
                <w:rFonts w:ascii="Times New Roman" w:hAnsi="Times New Roman"/>
                <w:sz w:val="21"/>
                <w:szCs w:val="21"/>
                <w:vertAlign w:val="subscript"/>
                <w:lang w:eastAsia="zh-CN"/>
              </w:rPr>
              <w:t>3</w:t>
            </w:r>
            <w:r w:rsidRPr="00E67914">
              <w:rPr>
                <w:rFonts w:ascii="Times New Roman" w:hAnsi="Times New Roman"/>
                <w:sz w:val="21"/>
                <w:szCs w:val="21"/>
                <w:lang w:eastAsia="zh-CN"/>
              </w:rPr>
              <w:t>，超细活性碳酸钙是表面经过乳化剂和表面处理剂处理的超细碳酸钙。粒径：</w:t>
            </w:r>
            <w:r w:rsidRPr="00E67914">
              <w:rPr>
                <w:rFonts w:ascii="Times New Roman" w:hAnsi="Times New Roman"/>
                <w:sz w:val="21"/>
                <w:szCs w:val="21"/>
                <w:lang w:eastAsia="zh-CN"/>
              </w:rPr>
              <w:t>0.01~0.08</w:t>
            </w:r>
            <w:r w:rsidRPr="00E67914">
              <w:rPr>
                <w:rFonts w:ascii="Times New Roman" w:hAnsi="Times New Roman"/>
                <w:sz w:val="21"/>
                <w:szCs w:val="21"/>
              </w:rPr>
              <w:t>μ</w:t>
            </w:r>
            <w:r w:rsidRPr="00E67914">
              <w:rPr>
                <w:rFonts w:ascii="Times New Roman" w:hAnsi="Times New Roman"/>
                <w:sz w:val="21"/>
                <w:szCs w:val="21"/>
                <w:lang w:eastAsia="zh-CN"/>
              </w:rPr>
              <w:t>m</w:t>
            </w:r>
            <w:r w:rsidRPr="00E67914">
              <w:rPr>
                <w:rFonts w:ascii="Times New Roman" w:hAnsi="Times New Roman"/>
                <w:sz w:val="21"/>
                <w:szCs w:val="21"/>
                <w:lang w:eastAsia="zh-CN"/>
              </w:rPr>
              <w:t>、比表面积：</w:t>
            </w:r>
            <w:r w:rsidRPr="00E67914">
              <w:rPr>
                <w:rFonts w:ascii="Times New Roman" w:hAnsi="Times New Roman"/>
                <w:sz w:val="21"/>
                <w:szCs w:val="21"/>
                <w:lang w:eastAsia="zh-CN"/>
              </w:rPr>
              <w:t>10~70m</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/g</w:t>
            </w:r>
            <w:r w:rsidRPr="00E67914">
              <w:rPr>
                <w:rFonts w:ascii="Times New Roman" w:hAnsi="Times New Roman"/>
                <w:sz w:val="21"/>
                <w:szCs w:val="21"/>
                <w:lang w:eastAsia="zh-CN"/>
              </w:rPr>
              <w:t>、外观：白色微细粉末、味道：无味、溶解性：几乎不溶于水，不溶于醇、稳定性：在空气中稳定、毒性：无毒。</w:t>
            </w:r>
          </w:p>
        </w:tc>
      </w:tr>
      <w:tr w:rsidR="00E67914" w:rsidRPr="00E67914" w14:paraId="72A344A1" w14:textId="77777777">
        <w:tc>
          <w:tcPr>
            <w:tcW w:w="744" w:type="dxa"/>
            <w:vAlign w:val="center"/>
          </w:tcPr>
          <w:p w14:paraId="7431608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w:t>
            </w:r>
          </w:p>
        </w:tc>
        <w:tc>
          <w:tcPr>
            <w:tcW w:w="1523" w:type="dxa"/>
            <w:vAlign w:val="center"/>
          </w:tcPr>
          <w:p w14:paraId="2550426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KCl</w:t>
            </w:r>
          </w:p>
        </w:tc>
        <w:tc>
          <w:tcPr>
            <w:tcW w:w="5998" w:type="dxa"/>
            <w:vAlign w:val="center"/>
          </w:tcPr>
          <w:p w14:paraId="131047E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氯化钾易溶于水、醚、甘油及碱类，微溶于乙醇，但不溶于无水乙醇，有吸湿性，易结块，在农业上是常用的钾肥，在临床上是常用的电解质平衡调节药，还可用于无机工业和染料工业等。</w:t>
            </w:r>
          </w:p>
        </w:tc>
      </w:tr>
      <w:tr w:rsidR="00E67914" w:rsidRPr="00E67914" w14:paraId="64B82F11" w14:textId="77777777">
        <w:tc>
          <w:tcPr>
            <w:tcW w:w="744" w:type="dxa"/>
            <w:vAlign w:val="center"/>
          </w:tcPr>
          <w:p w14:paraId="7C8CBAE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6</w:t>
            </w:r>
          </w:p>
        </w:tc>
        <w:tc>
          <w:tcPr>
            <w:tcW w:w="1523" w:type="dxa"/>
            <w:vAlign w:val="center"/>
          </w:tcPr>
          <w:p w14:paraId="3DEB888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氢氧化钠</w:t>
            </w:r>
            <w:r w:rsidRPr="00E67914">
              <w:rPr>
                <w:rFonts w:ascii="Times New Roman" w:hAnsi="Times New Roman"/>
                <w:sz w:val="21"/>
                <w:szCs w:val="21"/>
              </w:rPr>
              <w:t>NaOH</w:t>
            </w:r>
          </w:p>
        </w:tc>
        <w:tc>
          <w:tcPr>
            <w:tcW w:w="5998" w:type="dxa"/>
            <w:vAlign w:val="center"/>
          </w:tcPr>
          <w:p w14:paraId="0FE1CE6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氢氧化钠，又称烧碱和苛性钠，化学式为</w:t>
            </w:r>
            <w:r w:rsidRPr="00E67914">
              <w:rPr>
                <w:rFonts w:ascii="Times New Roman" w:hAnsi="Times New Roman"/>
                <w:sz w:val="21"/>
                <w:szCs w:val="21"/>
                <w:lang w:eastAsia="zh-CN"/>
              </w:rPr>
              <w:t>NaOH</w:t>
            </w:r>
            <w:r w:rsidRPr="00E67914">
              <w:rPr>
                <w:rFonts w:ascii="Times New Roman" w:hAnsi="Times New Roman"/>
                <w:sz w:val="21"/>
                <w:szCs w:val="21"/>
                <w:lang w:eastAsia="zh-CN"/>
              </w:rPr>
              <w:t>，是一种具有高腐蚀性的强碱，一般为白色片状或颗粒，能溶于水生成碱性</w:t>
            </w:r>
            <w:r w:rsidRPr="00E67914">
              <w:rPr>
                <w:rFonts w:ascii="Times New Roman" w:hAnsi="Times New Roman"/>
                <w:sz w:val="21"/>
                <w:szCs w:val="21"/>
                <w:lang w:eastAsia="zh-CN"/>
              </w:rPr>
              <w:lastRenderedPageBreak/>
              <w:t>溶液，也能溶于甲醇及乙醇。氢氧化钠具有潮解性，会吸收空气里的水蒸气，也会吸取二氧化碳、二氧化硫等酸性气体。</w:t>
            </w:r>
          </w:p>
        </w:tc>
      </w:tr>
      <w:tr w:rsidR="00E67914" w:rsidRPr="00E67914" w14:paraId="1F0AE471" w14:textId="77777777">
        <w:tc>
          <w:tcPr>
            <w:tcW w:w="744" w:type="dxa"/>
            <w:vAlign w:val="center"/>
          </w:tcPr>
          <w:p w14:paraId="08F27D5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lastRenderedPageBreak/>
              <w:t>7</w:t>
            </w:r>
          </w:p>
        </w:tc>
        <w:tc>
          <w:tcPr>
            <w:tcW w:w="1523" w:type="dxa"/>
            <w:vAlign w:val="center"/>
          </w:tcPr>
          <w:p w14:paraId="59C0189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纯碱</w:t>
            </w:r>
            <w:r w:rsidRPr="00E67914">
              <w:rPr>
                <w:rFonts w:ascii="Times New Roman" w:hAnsi="Times New Roman"/>
                <w:sz w:val="21"/>
                <w:szCs w:val="21"/>
              </w:rPr>
              <w:t>Na</w:t>
            </w:r>
            <w:r w:rsidRPr="00E67914">
              <w:rPr>
                <w:rFonts w:ascii="Times New Roman" w:hAnsi="Times New Roman"/>
                <w:sz w:val="21"/>
                <w:szCs w:val="21"/>
                <w:vertAlign w:val="subscript"/>
              </w:rPr>
              <w:t>2</w:t>
            </w:r>
            <w:r w:rsidRPr="00E67914">
              <w:rPr>
                <w:rFonts w:ascii="Times New Roman" w:hAnsi="Times New Roman"/>
                <w:sz w:val="21"/>
                <w:szCs w:val="21"/>
              </w:rPr>
              <w:t>CO</w:t>
            </w:r>
            <w:r w:rsidRPr="00E67914">
              <w:rPr>
                <w:rFonts w:ascii="Times New Roman" w:hAnsi="Times New Roman"/>
                <w:sz w:val="21"/>
                <w:szCs w:val="21"/>
                <w:vertAlign w:val="subscript"/>
              </w:rPr>
              <w:t>3</w:t>
            </w:r>
          </w:p>
        </w:tc>
        <w:tc>
          <w:tcPr>
            <w:tcW w:w="5998" w:type="dxa"/>
            <w:vAlign w:val="center"/>
          </w:tcPr>
          <w:p w14:paraId="397D82A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碳酸钠（</w:t>
            </w:r>
            <w:r w:rsidRPr="00E67914">
              <w:rPr>
                <w:rFonts w:ascii="Times New Roman" w:hAnsi="Times New Roman"/>
                <w:sz w:val="21"/>
                <w:szCs w:val="21"/>
                <w:lang w:eastAsia="zh-CN"/>
              </w:rPr>
              <w:t>Na</w:t>
            </w:r>
            <w:r w:rsidRPr="00E67914">
              <w:rPr>
                <w:rFonts w:ascii="Times New Roman" w:hAnsi="Times New Roman"/>
                <w:sz w:val="21"/>
                <w:szCs w:val="21"/>
                <w:vertAlign w:val="subscript"/>
                <w:lang w:eastAsia="zh-CN"/>
              </w:rPr>
              <w:t>2</w:t>
            </w:r>
            <w:r w:rsidRPr="00E67914">
              <w:rPr>
                <w:rFonts w:ascii="Times New Roman" w:hAnsi="Times New Roman"/>
                <w:sz w:val="21"/>
                <w:szCs w:val="21"/>
                <w:lang w:eastAsia="zh-CN"/>
              </w:rPr>
              <w:t>CO</w:t>
            </w:r>
            <w:r w:rsidRPr="00E67914">
              <w:rPr>
                <w:rFonts w:ascii="Times New Roman" w:hAnsi="Times New Roman"/>
                <w:sz w:val="21"/>
                <w:szCs w:val="21"/>
                <w:vertAlign w:val="subscript"/>
                <w:lang w:eastAsia="zh-CN"/>
              </w:rPr>
              <w:t>3</w:t>
            </w:r>
            <w:r w:rsidRPr="00E67914">
              <w:rPr>
                <w:rFonts w:ascii="Times New Roman" w:hAnsi="Times New Roman"/>
                <w:sz w:val="21"/>
                <w:szCs w:val="21"/>
                <w:lang w:eastAsia="zh-CN"/>
              </w:rPr>
              <w:t>），分子量</w:t>
            </w:r>
            <w:r w:rsidRPr="00E67914">
              <w:rPr>
                <w:rFonts w:ascii="Times New Roman" w:hAnsi="Times New Roman"/>
                <w:sz w:val="21"/>
                <w:szCs w:val="21"/>
                <w:lang w:eastAsia="zh-CN"/>
              </w:rPr>
              <w:t>105.99</w:t>
            </w:r>
            <w:r w:rsidRPr="00E67914">
              <w:rPr>
                <w:rFonts w:ascii="Times New Roman" w:hAnsi="Times New Roman"/>
                <w:sz w:val="21"/>
                <w:szCs w:val="21"/>
                <w:lang w:eastAsia="zh-CN"/>
              </w:rPr>
              <w:t>。化学品的纯度多在</w:t>
            </w:r>
            <w:r w:rsidRPr="00E67914">
              <w:rPr>
                <w:rFonts w:ascii="Times New Roman" w:hAnsi="Times New Roman"/>
                <w:sz w:val="21"/>
                <w:szCs w:val="21"/>
                <w:lang w:eastAsia="zh-CN"/>
              </w:rPr>
              <w:t>99.5%</w:t>
            </w:r>
            <w:r w:rsidRPr="00E67914">
              <w:rPr>
                <w:rFonts w:ascii="Times New Roman" w:hAnsi="Times New Roman"/>
                <w:sz w:val="21"/>
                <w:szCs w:val="21"/>
                <w:lang w:eastAsia="zh-CN"/>
              </w:rPr>
              <w:t>以上（质量分数），又叫纯碱，但分类属于盐，不属于碱。国际贸易中又名苏打或碱灰。溶解性易溶于水，水溶液呈弱碱性在</w:t>
            </w:r>
            <w:r w:rsidRPr="00E67914">
              <w:rPr>
                <w:rFonts w:ascii="Times New Roman" w:hAnsi="Times New Roman"/>
                <w:sz w:val="21"/>
                <w:szCs w:val="21"/>
                <w:lang w:eastAsia="zh-CN"/>
              </w:rPr>
              <w:t>35.4℃</w:t>
            </w:r>
            <w:r w:rsidRPr="00E67914">
              <w:rPr>
                <w:rFonts w:ascii="Times New Roman" w:hAnsi="Times New Roman"/>
                <w:sz w:val="21"/>
                <w:szCs w:val="21"/>
                <w:lang w:eastAsia="zh-CN"/>
              </w:rPr>
              <w:t>其溶解度最大，每</w:t>
            </w:r>
            <w:r w:rsidRPr="00E67914">
              <w:rPr>
                <w:rFonts w:ascii="Times New Roman" w:hAnsi="Times New Roman"/>
                <w:sz w:val="21"/>
                <w:szCs w:val="21"/>
                <w:lang w:eastAsia="zh-CN"/>
              </w:rPr>
              <w:t>100g</w:t>
            </w:r>
            <w:r w:rsidRPr="00E67914">
              <w:rPr>
                <w:rFonts w:ascii="Times New Roman" w:hAnsi="Times New Roman"/>
                <w:sz w:val="21"/>
                <w:szCs w:val="21"/>
                <w:lang w:eastAsia="zh-CN"/>
              </w:rPr>
              <w:t>水中可溶解</w:t>
            </w:r>
            <w:r w:rsidRPr="00E67914">
              <w:rPr>
                <w:rFonts w:ascii="Times New Roman" w:hAnsi="Times New Roman"/>
                <w:sz w:val="21"/>
                <w:szCs w:val="21"/>
                <w:lang w:eastAsia="zh-CN"/>
              </w:rPr>
              <w:t>49.7g</w:t>
            </w:r>
            <w:r w:rsidRPr="00E67914">
              <w:rPr>
                <w:rFonts w:ascii="Times New Roman" w:hAnsi="Times New Roman"/>
                <w:sz w:val="21"/>
                <w:szCs w:val="21"/>
                <w:lang w:eastAsia="zh-CN"/>
              </w:rPr>
              <w:t>碳酸钠（</w:t>
            </w:r>
            <w:r w:rsidRPr="00E67914">
              <w:rPr>
                <w:rFonts w:ascii="Times New Roman" w:hAnsi="Times New Roman"/>
                <w:sz w:val="21"/>
                <w:szCs w:val="21"/>
                <w:lang w:eastAsia="zh-CN"/>
              </w:rPr>
              <w:t>0℃</w:t>
            </w:r>
            <w:r w:rsidRPr="00E67914">
              <w:rPr>
                <w:rFonts w:ascii="Times New Roman" w:hAnsi="Times New Roman"/>
                <w:sz w:val="21"/>
                <w:szCs w:val="21"/>
                <w:lang w:eastAsia="zh-CN"/>
              </w:rPr>
              <w:t>时为</w:t>
            </w:r>
            <w:r w:rsidRPr="00E67914">
              <w:rPr>
                <w:rFonts w:ascii="Times New Roman" w:hAnsi="Times New Roman"/>
                <w:sz w:val="21"/>
                <w:szCs w:val="21"/>
                <w:lang w:eastAsia="zh-CN"/>
              </w:rPr>
              <w:t>7.0g</w:t>
            </w:r>
            <w:r w:rsidRPr="00E67914">
              <w:rPr>
                <w:rFonts w:ascii="Times New Roman" w:hAnsi="Times New Roman"/>
                <w:sz w:val="21"/>
                <w:szCs w:val="21"/>
                <w:lang w:eastAsia="zh-CN"/>
              </w:rPr>
              <w:t>，</w:t>
            </w:r>
            <w:r w:rsidRPr="00E67914">
              <w:rPr>
                <w:rFonts w:ascii="Times New Roman" w:hAnsi="Times New Roman"/>
                <w:sz w:val="21"/>
                <w:szCs w:val="21"/>
                <w:lang w:eastAsia="zh-CN"/>
              </w:rPr>
              <w:t>100℃</w:t>
            </w:r>
            <w:r w:rsidRPr="00E67914">
              <w:rPr>
                <w:rFonts w:ascii="Times New Roman" w:hAnsi="Times New Roman"/>
                <w:sz w:val="21"/>
                <w:szCs w:val="21"/>
                <w:lang w:eastAsia="zh-CN"/>
              </w:rPr>
              <w:t>为</w:t>
            </w:r>
            <w:r w:rsidRPr="00E67914">
              <w:rPr>
                <w:rFonts w:ascii="Times New Roman" w:hAnsi="Times New Roman"/>
                <w:sz w:val="21"/>
                <w:szCs w:val="21"/>
                <w:lang w:eastAsia="zh-CN"/>
              </w:rPr>
              <w:t>45.5g</w:t>
            </w:r>
            <w:r w:rsidRPr="00E67914">
              <w:rPr>
                <w:rFonts w:ascii="Times New Roman" w:hAnsi="Times New Roman"/>
                <w:sz w:val="21"/>
                <w:szCs w:val="21"/>
                <w:lang w:eastAsia="zh-CN"/>
              </w:rPr>
              <w:t>）。</w:t>
            </w:r>
            <w:r w:rsidRPr="00E67914">
              <w:rPr>
                <w:rFonts w:ascii="Times New Roman" w:hAnsi="Times New Roman"/>
                <w:sz w:val="21"/>
                <w:szCs w:val="21"/>
              </w:rPr>
              <w:t>微溶于无水乙醇，不溶于丙醇。</w:t>
            </w:r>
          </w:p>
        </w:tc>
      </w:tr>
      <w:tr w:rsidR="00E67914" w:rsidRPr="00E67914" w14:paraId="10B98447" w14:textId="77777777">
        <w:tc>
          <w:tcPr>
            <w:tcW w:w="744" w:type="dxa"/>
            <w:vAlign w:val="center"/>
          </w:tcPr>
          <w:p w14:paraId="7FEA825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8</w:t>
            </w:r>
          </w:p>
        </w:tc>
        <w:tc>
          <w:tcPr>
            <w:tcW w:w="1523" w:type="dxa"/>
            <w:vAlign w:val="center"/>
          </w:tcPr>
          <w:p w14:paraId="6298164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复合堵漏剂</w:t>
            </w:r>
          </w:p>
        </w:tc>
        <w:tc>
          <w:tcPr>
            <w:tcW w:w="5998" w:type="dxa"/>
            <w:vAlign w:val="center"/>
          </w:tcPr>
          <w:p w14:paraId="7F9BA297"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堵漏材料有纤维制品（如纸、棉籽壳、），颗粒物（如坚果壳），还有片状物（如片状云母）。把以上材料按比例组合在一起，即为复合堵漏剂。</w:t>
            </w:r>
          </w:p>
        </w:tc>
      </w:tr>
      <w:tr w:rsidR="00E67914" w:rsidRPr="00E67914" w14:paraId="6F84E9CF" w14:textId="77777777">
        <w:tc>
          <w:tcPr>
            <w:tcW w:w="744" w:type="dxa"/>
            <w:vAlign w:val="center"/>
          </w:tcPr>
          <w:p w14:paraId="3814505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9</w:t>
            </w:r>
          </w:p>
        </w:tc>
        <w:tc>
          <w:tcPr>
            <w:tcW w:w="1523" w:type="dxa"/>
            <w:vAlign w:val="center"/>
          </w:tcPr>
          <w:p w14:paraId="7E5BDEF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纳米封堵剂</w:t>
            </w:r>
          </w:p>
        </w:tc>
        <w:tc>
          <w:tcPr>
            <w:tcW w:w="5998" w:type="dxa"/>
            <w:vAlign w:val="center"/>
          </w:tcPr>
          <w:p w14:paraId="2584B79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随钻堵漏剂系该性天然植物高分子复合材料，具有良好的水溶胀桥接封堵动能，粘附性强，与传统的随钻堵漏剂相比，不受粒径</w:t>
            </w:r>
            <w:r w:rsidRPr="00E67914">
              <w:rPr>
                <w:rFonts w:ascii="Times New Roman" w:hAnsi="Times New Roman"/>
                <w:sz w:val="21"/>
                <w:szCs w:val="21"/>
                <w:lang w:eastAsia="zh-CN"/>
              </w:rPr>
              <w:t>“</w:t>
            </w:r>
            <w:r w:rsidRPr="00E67914">
              <w:rPr>
                <w:rFonts w:ascii="Times New Roman" w:hAnsi="Times New Roman"/>
                <w:sz w:val="21"/>
                <w:szCs w:val="21"/>
                <w:lang w:eastAsia="zh-CN"/>
              </w:rPr>
              <w:t>匹配</w:t>
            </w:r>
            <w:r w:rsidRPr="00E67914">
              <w:rPr>
                <w:rFonts w:ascii="Times New Roman" w:hAnsi="Times New Roman"/>
                <w:sz w:val="21"/>
                <w:szCs w:val="21"/>
                <w:lang w:eastAsia="zh-CN"/>
              </w:rPr>
              <w:t>”</w:t>
            </w:r>
            <w:r w:rsidRPr="00E67914">
              <w:rPr>
                <w:rFonts w:ascii="Times New Roman" w:hAnsi="Times New Roman"/>
                <w:sz w:val="21"/>
                <w:szCs w:val="21"/>
                <w:lang w:eastAsia="zh-CN"/>
              </w:rPr>
              <w:t>限制，适用于各种泥浆体系，可用于封堵漏失层，也可保护低压产层（油、气、水等）。理化性能：外观：灰白色粉末</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细度：</w:t>
            </w:r>
            <w:r w:rsidRPr="00E67914">
              <w:rPr>
                <w:rFonts w:ascii="Times New Roman" w:hAnsi="Times New Roman"/>
                <w:sz w:val="21"/>
                <w:szCs w:val="21"/>
                <w:lang w:eastAsia="zh-CN"/>
              </w:rPr>
              <w:t>40</w:t>
            </w:r>
            <w:r w:rsidRPr="00E67914">
              <w:rPr>
                <w:rFonts w:ascii="Times New Roman" w:hAnsi="Times New Roman"/>
                <w:sz w:val="21"/>
                <w:szCs w:val="21"/>
                <w:lang w:eastAsia="zh-CN"/>
              </w:rPr>
              <w:t>目</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水份：</w:t>
            </w:r>
            <w:r w:rsidRPr="00E67914">
              <w:rPr>
                <w:rFonts w:ascii="Times New Roman" w:hAnsi="Times New Roman"/>
                <w:sz w:val="21"/>
                <w:szCs w:val="21"/>
                <w:lang w:eastAsia="zh-CN"/>
              </w:rPr>
              <w:t>≤14%  PH</w:t>
            </w:r>
            <w:r w:rsidRPr="00E67914">
              <w:rPr>
                <w:rFonts w:ascii="Times New Roman" w:hAnsi="Times New Roman"/>
                <w:sz w:val="21"/>
                <w:szCs w:val="21"/>
                <w:lang w:eastAsia="zh-CN"/>
              </w:rPr>
              <w:t>值：</w:t>
            </w:r>
            <w:r w:rsidRPr="00E67914">
              <w:rPr>
                <w:rFonts w:ascii="Times New Roman" w:hAnsi="Times New Roman"/>
                <w:sz w:val="21"/>
                <w:szCs w:val="21"/>
                <w:lang w:eastAsia="zh-CN"/>
              </w:rPr>
              <w:t xml:space="preserve">7-9 </w:t>
            </w:r>
            <w:r w:rsidRPr="00E67914">
              <w:rPr>
                <w:rFonts w:ascii="Times New Roman" w:hAnsi="Times New Roman"/>
                <w:sz w:val="21"/>
                <w:szCs w:val="21"/>
                <w:lang w:eastAsia="zh-CN"/>
              </w:rPr>
              <w:t>。</w:t>
            </w:r>
          </w:p>
        </w:tc>
      </w:tr>
      <w:tr w:rsidR="00E67914" w:rsidRPr="00E67914" w14:paraId="5D1F6B34" w14:textId="77777777">
        <w:tc>
          <w:tcPr>
            <w:tcW w:w="744" w:type="dxa"/>
            <w:vAlign w:val="center"/>
          </w:tcPr>
          <w:p w14:paraId="590A99F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10</w:t>
            </w:r>
          </w:p>
        </w:tc>
        <w:tc>
          <w:tcPr>
            <w:tcW w:w="1523" w:type="dxa"/>
            <w:vAlign w:val="center"/>
          </w:tcPr>
          <w:p w14:paraId="06C27F6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重晶石</w:t>
            </w:r>
          </w:p>
        </w:tc>
        <w:tc>
          <w:tcPr>
            <w:tcW w:w="5998" w:type="dxa"/>
            <w:vAlign w:val="center"/>
          </w:tcPr>
          <w:p w14:paraId="6E9ECCB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重晶石化学组成为</w:t>
            </w:r>
            <w:r w:rsidRPr="00E67914">
              <w:rPr>
                <w:rFonts w:ascii="Times New Roman" w:hAnsi="Times New Roman"/>
                <w:sz w:val="21"/>
                <w:szCs w:val="21"/>
                <w:lang w:eastAsia="zh-CN"/>
              </w:rPr>
              <w:t>Ba[SO</w:t>
            </w:r>
            <w:r w:rsidRPr="00E67914">
              <w:rPr>
                <w:rFonts w:ascii="Times New Roman" w:hAnsi="Times New Roman"/>
                <w:sz w:val="21"/>
                <w:szCs w:val="21"/>
                <w:vertAlign w:val="subscript"/>
                <w:lang w:eastAsia="zh-CN"/>
              </w:rPr>
              <w:t>4</w:t>
            </w:r>
            <w:r w:rsidRPr="00E67914">
              <w:rPr>
                <w:rFonts w:ascii="Times New Roman" w:hAnsi="Times New Roman"/>
                <w:sz w:val="21"/>
                <w:szCs w:val="21"/>
                <w:lang w:eastAsia="zh-CN"/>
              </w:rPr>
              <w:t>]</w:t>
            </w:r>
            <w:r w:rsidRPr="00E67914">
              <w:rPr>
                <w:rFonts w:ascii="Times New Roman" w:hAnsi="Times New Roman"/>
                <w:sz w:val="21"/>
                <w:szCs w:val="21"/>
                <w:lang w:eastAsia="zh-CN"/>
              </w:rPr>
              <w:t>，晶体属正交（斜方）晶系的硫酸盐矿物。常呈厚板状或柱状晶体，多为致密块状或板状、粒状集合体。质纯时无色透明，含杂质时被染成各种颜色，条痕白色，玻璃光泽，透明至半透明。三组解理完全，夹角等于或近于</w:t>
            </w:r>
            <w:r w:rsidRPr="00E67914">
              <w:rPr>
                <w:rFonts w:ascii="Times New Roman" w:hAnsi="Times New Roman"/>
                <w:sz w:val="21"/>
                <w:szCs w:val="21"/>
                <w:lang w:eastAsia="zh-CN"/>
              </w:rPr>
              <w:t>90°</w:t>
            </w:r>
            <w:r w:rsidRPr="00E67914">
              <w:rPr>
                <w:rFonts w:ascii="Times New Roman" w:hAnsi="Times New Roman"/>
                <w:sz w:val="21"/>
                <w:szCs w:val="21"/>
                <w:lang w:eastAsia="zh-CN"/>
              </w:rPr>
              <w:t>。摩氏硬度</w:t>
            </w:r>
            <w:r w:rsidRPr="00E67914">
              <w:rPr>
                <w:rFonts w:ascii="Times New Roman" w:hAnsi="Times New Roman"/>
                <w:sz w:val="21"/>
                <w:szCs w:val="21"/>
                <w:lang w:eastAsia="zh-CN"/>
              </w:rPr>
              <w:t>3-3.5</w:t>
            </w:r>
            <w:r w:rsidRPr="00E67914">
              <w:rPr>
                <w:rFonts w:ascii="Times New Roman" w:hAnsi="Times New Roman"/>
                <w:sz w:val="21"/>
                <w:szCs w:val="21"/>
                <w:lang w:eastAsia="zh-CN"/>
              </w:rPr>
              <w:t>，比重</w:t>
            </w:r>
            <w:r w:rsidRPr="00E67914">
              <w:rPr>
                <w:rFonts w:ascii="Times New Roman" w:hAnsi="Times New Roman"/>
                <w:sz w:val="21"/>
                <w:szCs w:val="21"/>
                <w:lang w:eastAsia="zh-CN"/>
              </w:rPr>
              <w:t>4.0-4.6</w:t>
            </w:r>
            <w:r w:rsidRPr="00E67914">
              <w:rPr>
                <w:rFonts w:ascii="Times New Roman" w:hAnsi="Times New Roman"/>
                <w:sz w:val="21"/>
                <w:szCs w:val="21"/>
                <w:lang w:eastAsia="zh-CN"/>
              </w:rPr>
              <w:t>。</w:t>
            </w:r>
          </w:p>
        </w:tc>
      </w:tr>
      <w:tr w:rsidR="00E67914" w:rsidRPr="00E67914" w14:paraId="71C952E5" w14:textId="77777777">
        <w:tc>
          <w:tcPr>
            <w:tcW w:w="744" w:type="dxa"/>
            <w:vAlign w:val="center"/>
          </w:tcPr>
          <w:p w14:paraId="1960A00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11</w:t>
            </w:r>
          </w:p>
        </w:tc>
        <w:tc>
          <w:tcPr>
            <w:tcW w:w="1523" w:type="dxa"/>
            <w:vAlign w:val="center"/>
          </w:tcPr>
          <w:p w14:paraId="2AE8FDB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白油</w:t>
            </w:r>
          </w:p>
        </w:tc>
        <w:tc>
          <w:tcPr>
            <w:tcW w:w="5998" w:type="dxa"/>
            <w:vAlign w:val="center"/>
          </w:tcPr>
          <w:p w14:paraId="475A645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白油为无色透明油状液体，没有气味。白油为液体类烃类的混合物，主要成分为</w:t>
            </w:r>
            <w:r w:rsidRPr="00E67914">
              <w:rPr>
                <w:rFonts w:ascii="Times New Roman" w:hAnsi="Times New Roman"/>
                <w:sz w:val="21"/>
                <w:szCs w:val="21"/>
                <w:lang w:eastAsia="zh-CN"/>
              </w:rPr>
              <w:t>C16</w:t>
            </w:r>
            <w:r w:rsidRPr="00E67914">
              <w:rPr>
                <w:rFonts w:ascii="Times New Roman" w:hAnsi="Times New Roman"/>
                <w:sz w:val="21"/>
                <w:szCs w:val="21"/>
                <w:lang w:eastAsia="zh-CN"/>
              </w:rPr>
              <w:t>～</w:t>
            </w:r>
            <w:r w:rsidRPr="00E67914">
              <w:rPr>
                <w:rFonts w:ascii="Times New Roman" w:hAnsi="Times New Roman"/>
                <w:sz w:val="21"/>
                <w:szCs w:val="21"/>
                <w:lang w:eastAsia="zh-CN"/>
              </w:rPr>
              <w:t>C31</w:t>
            </w:r>
            <w:r w:rsidRPr="00E67914">
              <w:rPr>
                <w:rFonts w:ascii="Times New Roman" w:hAnsi="Times New Roman"/>
                <w:sz w:val="21"/>
                <w:szCs w:val="21"/>
                <w:lang w:eastAsia="zh-CN"/>
              </w:rPr>
              <w:t>的正异构烷烃的混合物，是自石油分馏的高沸馏分（即润滑油馏分）中经脱蜡、碳化、中和、活性白土精制等处理后而成。白油为化妆品中应用最广的一种油溶性原料，可配制浴油、各类护肤膏霜、蜜、护发制品、唇膏等几乎所有化妆品。多用于辅助脱模；增加产品亮度，橡胶上用的多，还可在冲压模具中作为润滑油。</w:t>
            </w:r>
          </w:p>
        </w:tc>
      </w:tr>
    </w:tbl>
    <w:p w14:paraId="537E18D8" w14:textId="77777777" w:rsidR="00A54A8A" w:rsidRPr="00E67914" w:rsidRDefault="00000000">
      <w:pPr>
        <w:widowControl w:val="0"/>
        <w:autoSpaceDE w:val="0"/>
        <w:autoSpaceDN w:val="0"/>
        <w:adjustRightInd w:val="0"/>
        <w:snapToGrid w:val="0"/>
        <w:spacing w:beforeLines="50" w:before="120" w:line="360" w:lineRule="auto"/>
        <w:ind w:firstLineChars="200" w:firstLine="482"/>
        <w:textAlignment w:val="baseline"/>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2</w:t>
      </w:r>
      <w:r w:rsidRPr="00E67914">
        <w:rPr>
          <w:rFonts w:ascii="Times New Roman" w:hAnsi="Times New Roman"/>
          <w:b/>
          <w:bCs/>
          <w:sz w:val="24"/>
          <w:szCs w:val="24"/>
          <w:lang w:eastAsia="zh-CN"/>
        </w:rPr>
        <w:t>）固井作业材料消耗</w:t>
      </w:r>
    </w:p>
    <w:p w14:paraId="278C07D6" w14:textId="77777777" w:rsidR="00A54A8A" w:rsidRPr="00E67914" w:rsidRDefault="00000000">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E67914">
        <w:rPr>
          <w:rFonts w:ascii="Times New Roman" w:hAnsi="Times New Roman"/>
          <w:sz w:val="24"/>
          <w:szCs w:val="24"/>
          <w:lang w:eastAsia="zh-CN"/>
        </w:rPr>
        <w:t>固井作业主要原辅材料、能源消耗及来源统计如下表</w:t>
      </w:r>
      <w:r w:rsidRPr="00E67914">
        <w:rPr>
          <w:rFonts w:ascii="Times New Roman" w:hAnsi="Times New Roman"/>
          <w:sz w:val="24"/>
          <w:szCs w:val="24"/>
          <w:lang w:eastAsia="zh-CN"/>
        </w:rPr>
        <w:t>3.2-12</w:t>
      </w:r>
      <w:r w:rsidRPr="00E67914">
        <w:rPr>
          <w:rFonts w:ascii="Times New Roman" w:hAnsi="Times New Roman"/>
          <w:sz w:val="24"/>
          <w:szCs w:val="24"/>
          <w:lang w:eastAsia="zh-CN"/>
        </w:rPr>
        <w:t>。</w:t>
      </w:r>
    </w:p>
    <w:p w14:paraId="42156FC3" w14:textId="19706444"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3.2-12  </w:t>
      </w:r>
      <w:r w:rsidR="000B7369" w:rsidRPr="00E67914">
        <w:rPr>
          <w:rFonts w:ascii="Times New Roman" w:eastAsia="黑体" w:hAnsi="Times New Roman"/>
          <w:sz w:val="21"/>
          <w:szCs w:val="21"/>
          <w:lang w:eastAsia="zh-CN"/>
        </w:rPr>
        <w:t>单井平均</w:t>
      </w:r>
      <w:r w:rsidRPr="00E67914">
        <w:rPr>
          <w:rFonts w:ascii="Times New Roman" w:eastAsia="黑体" w:hAnsi="Times New Roman"/>
          <w:sz w:val="21"/>
          <w:szCs w:val="21"/>
          <w:lang w:eastAsia="zh-CN"/>
        </w:rPr>
        <w:t>固井作业主要原辅材料和能源种类及用量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389"/>
        <w:gridCol w:w="2434"/>
        <w:gridCol w:w="807"/>
        <w:gridCol w:w="1225"/>
        <w:gridCol w:w="1223"/>
        <w:gridCol w:w="1222"/>
      </w:tblGrid>
      <w:tr w:rsidR="00E67914" w:rsidRPr="00E67914" w14:paraId="708382C3" w14:textId="77777777">
        <w:trPr>
          <w:jc w:val="center"/>
        </w:trPr>
        <w:tc>
          <w:tcPr>
            <w:tcW w:w="2303" w:type="pct"/>
            <w:gridSpan w:val="2"/>
            <w:vMerge w:val="restart"/>
            <w:vAlign w:val="center"/>
          </w:tcPr>
          <w:p w14:paraId="4B6D6F92"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材料名称</w:t>
            </w:r>
          </w:p>
        </w:tc>
        <w:tc>
          <w:tcPr>
            <w:tcW w:w="1961" w:type="pct"/>
            <w:gridSpan w:val="3"/>
            <w:vAlign w:val="center"/>
          </w:tcPr>
          <w:p w14:paraId="405E04D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用量</w:t>
            </w:r>
          </w:p>
        </w:tc>
        <w:tc>
          <w:tcPr>
            <w:tcW w:w="736" w:type="pct"/>
            <w:vMerge w:val="restart"/>
            <w:vAlign w:val="center"/>
          </w:tcPr>
          <w:p w14:paraId="71EB720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备注</w:t>
            </w:r>
          </w:p>
        </w:tc>
      </w:tr>
      <w:tr w:rsidR="00E67914" w:rsidRPr="00E67914" w14:paraId="0EA7FBC5" w14:textId="77777777">
        <w:trPr>
          <w:jc w:val="center"/>
        </w:trPr>
        <w:tc>
          <w:tcPr>
            <w:tcW w:w="2303" w:type="pct"/>
            <w:gridSpan w:val="2"/>
            <w:vMerge/>
            <w:vAlign w:val="center"/>
          </w:tcPr>
          <w:p w14:paraId="003C6077" w14:textId="77777777" w:rsidR="00A54A8A" w:rsidRPr="00E67914" w:rsidRDefault="00A54A8A">
            <w:pPr>
              <w:adjustRightInd w:val="0"/>
              <w:snapToGrid w:val="0"/>
              <w:jc w:val="center"/>
              <w:rPr>
                <w:rFonts w:ascii="Times New Roman" w:hAnsi="Times New Roman"/>
                <w:sz w:val="21"/>
                <w:szCs w:val="21"/>
                <w:lang w:eastAsia="zh-CN"/>
              </w:rPr>
            </w:pPr>
          </w:p>
        </w:tc>
        <w:tc>
          <w:tcPr>
            <w:tcW w:w="486" w:type="pct"/>
            <w:vAlign w:val="center"/>
          </w:tcPr>
          <w:p w14:paraId="274D5ED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一开</w:t>
            </w:r>
          </w:p>
        </w:tc>
        <w:tc>
          <w:tcPr>
            <w:tcW w:w="738" w:type="pct"/>
            <w:vAlign w:val="center"/>
          </w:tcPr>
          <w:p w14:paraId="5E3B4A7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二开</w:t>
            </w:r>
          </w:p>
        </w:tc>
        <w:tc>
          <w:tcPr>
            <w:tcW w:w="737" w:type="pct"/>
            <w:vAlign w:val="center"/>
          </w:tcPr>
          <w:p w14:paraId="23A5D8C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三开</w:t>
            </w:r>
          </w:p>
        </w:tc>
        <w:tc>
          <w:tcPr>
            <w:tcW w:w="736" w:type="pct"/>
            <w:vMerge/>
            <w:vAlign w:val="center"/>
          </w:tcPr>
          <w:p w14:paraId="2C7B3B8B" w14:textId="77777777" w:rsidR="00A54A8A" w:rsidRPr="00E67914" w:rsidRDefault="00A54A8A">
            <w:pPr>
              <w:jc w:val="center"/>
              <w:rPr>
                <w:rFonts w:ascii="Times New Roman" w:hAnsi="Times New Roman"/>
                <w:sz w:val="21"/>
                <w:szCs w:val="21"/>
              </w:rPr>
            </w:pPr>
          </w:p>
        </w:tc>
      </w:tr>
      <w:tr w:rsidR="00E67914" w:rsidRPr="00E67914" w14:paraId="045981FD" w14:textId="77777777">
        <w:trPr>
          <w:jc w:val="center"/>
        </w:trPr>
        <w:tc>
          <w:tcPr>
            <w:tcW w:w="837" w:type="pct"/>
            <w:vMerge w:val="restart"/>
            <w:vAlign w:val="center"/>
          </w:tcPr>
          <w:p w14:paraId="5D7277D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水泥添加剂</w:t>
            </w:r>
          </w:p>
        </w:tc>
        <w:tc>
          <w:tcPr>
            <w:tcW w:w="1466" w:type="pct"/>
            <w:vAlign w:val="center"/>
          </w:tcPr>
          <w:p w14:paraId="0B6CC46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消泡剂</w:t>
            </w:r>
            <w:r w:rsidRPr="00E67914">
              <w:rPr>
                <w:rFonts w:ascii="Times New Roman" w:hAnsi="Times New Roman"/>
                <w:sz w:val="21"/>
                <w:szCs w:val="21"/>
                <w:lang w:eastAsia="zh-CN"/>
              </w:rPr>
              <w:t>（</w:t>
            </w:r>
            <w:r w:rsidRPr="00E67914">
              <w:rPr>
                <w:rFonts w:ascii="Times New Roman" w:hAnsi="Times New Roman"/>
                <w:sz w:val="21"/>
                <w:szCs w:val="21"/>
                <w:lang w:eastAsia="zh-CN"/>
              </w:rPr>
              <w:t>t</w:t>
            </w:r>
            <w:r w:rsidRPr="00E67914">
              <w:rPr>
                <w:rFonts w:ascii="Times New Roman" w:hAnsi="Times New Roman"/>
                <w:sz w:val="21"/>
                <w:szCs w:val="21"/>
                <w:lang w:eastAsia="zh-CN"/>
              </w:rPr>
              <w:t>）</w:t>
            </w:r>
          </w:p>
        </w:tc>
        <w:tc>
          <w:tcPr>
            <w:tcW w:w="486" w:type="pct"/>
            <w:vAlign w:val="center"/>
          </w:tcPr>
          <w:p w14:paraId="66B6A370"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8" w:type="pct"/>
            <w:vAlign w:val="center"/>
          </w:tcPr>
          <w:p w14:paraId="07A8F69A" w14:textId="4BF1ECE8"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0.</w:t>
            </w:r>
            <w:r w:rsidR="000B7369" w:rsidRPr="00E67914">
              <w:rPr>
                <w:rFonts w:ascii="Times New Roman" w:hAnsi="Times New Roman"/>
                <w:sz w:val="21"/>
                <w:szCs w:val="21"/>
                <w:lang w:eastAsia="zh-CN"/>
              </w:rPr>
              <w:t>60</w:t>
            </w:r>
          </w:p>
        </w:tc>
        <w:tc>
          <w:tcPr>
            <w:tcW w:w="737" w:type="pct"/>
            <w:vAlign w:val="center"/>
          </w:tcPr>
          <w:p w14:paraId="78092F89" w14:textId="42D03A9A" w:rsidR="00A54A8A" w:rsidRPr="00E67914" w:rsidRDefault="000B7369">
            <w:pPr>
              <w:snapToGrid w:val="0"/>
              <w:jc w:val="center"/>
              <w:rPr>
                <w:rFonts w:ascii="Times New Roman" w:hAnsi="Times New Roman"/>
                <w:sz w:val="21"/>
                <w:szCs w:val="21"/>
                <w:lang w:eastAsia="zh-CN"/>
              </w:rPr>
            </w:pPr>
            <w:r w:rsidRPr="00E67914">
              <w:rPr>
                <w:rFonts w:ascii="Times New Roman" w:hAnsi="Times New Roman"/>
                <w:sz w:val="21"/>
                <w:szCs w:val="21"/>
                <w:lang w:eastAsia="zh-CN"/>
              </w:rPr>
              <w:t>1.00</w:t>
            </w:r>
          </w:p>
        </w:tc>
        <w:tc>
          <w:tcPr>
            <w:tcW w:w="736" w:type="pct"/>
            <w:vMerge w:val="restart"/>
            <w:vAlign w:val="center"/>
          </w:tcPr>
          <w:p w14:paraId="13718073"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添加剂加量可根据实际情况进行调整，必须满足水泥浆性能要求和施工要求</w:t>
            </w:r>
          </w:p>
        </w:tc>
      </w:tr>
      <w:tr w:rsidR="00E67914" w:rsidRPr="00E67914" w14:paraId="2C0B12E2" w14:textId="77777777">
        <w:trPr>
          <w:jc w:val="center"/>
        </w:trPr>
        <w:tc>
          <w:tcPr>
            <w:tcW w:w="837" w:type="pct"/>
            <w:vMerge/>
            <w:vAlign w:val="center"/>
          </w:tcPr>
          <w:p w14:paraId="78DC81F3" w14:textId="77777777" w:rsidR="00A54A8A" w:rsidRPr="00E67914" w:rsidRDefault="00A54A8A">
            <w:pPr>
              <w:jc w:val="center"/>
              <w:rPr>
                <w:rFonts w:ascii="Times New Roman" w:hAnsi="Times New Roman"/>
                <w:sz w:val="21"/>
                <w:szCs w:val="21"/>
                <w:lang w:eastAsia="zh-CN"/>
              </w:rPr>
            </w:pPr>
          </w:p>
        </w:tc>
        <w:tc>
          <w:tcPr>
            <w:tcW w:w="1466" w:type="pct"/>
            <w:vAlign w:val="center"/>
          </w:tcPr>
          <w:p w14:paraId="3E724C93" w14:textId="77777777" w:rsidR="00A54A8A" w:rsidRPr="00E67914" w:rsidRDefault="00000000">
            <w:pPr>
              <w:jc w:val="center"/>
              <w:rPr>
                <w:rFonts w:ascii="Times New Roman" w:hAnsi="Times New Roman"/>
                <w:sz w:val="21"/>
                <w:szCs w:val="21"/>
              </w:rPr>
            </w:pPr>
            <w:r w:rsidRPr="00E67914">
              <w:rPr>
                <w:rFonts w:ascii="Times New Roman" w:hAnsi="Times New Roman"/>
              </w:rPr>
              <w:t>降失水剂</w:t>
            </w:r>
            <w:r w:rsidRPr="00E67914">
              <w:rPr>
                <w:rFonts w:ascii="Times New Roman" w:hAnsi="Times New Roman"/>
                <w:sz w:val="21"/>
                <w:szCs w:val="21"/>
                <w:lang w:eastAsia="zh-CN"/>
              </w:rPr>
              <w:t>（</w:t>
            </w:r>
            <w:r w:rsidRPr="00E67914">
              <w:rPr>
                <w:rFonts w:ascii="Times New Roman" w:hAnsi="Times New Roman"/>
                <w:sz w:val="21"/>
                <w:szCs w:val="21"/>
                <w:lang w:eastAsia="zh-CN"/>
              </w:rPr>
              <w:t>t</w:t>
            </w:r>
            <w:r w:rsidRPr="00E67914">
              <w:rPr>
                <w:rFonts w:ascii="Times New Roman" w:hAnsi="Times New Roman"/>
                <w:sz w:val="21"/>
                <w:szCs w:val="21"/>
                <w:lang w:eastAsia="zh-CN"/>
              </w:rPr>
              <w:t>）</w:t>
            </w:r>
          </w:p>
        </w:tc>
        <w:tc>
          <w:tcPr>
            <w:tcW w:w="486" w:type="pct"/>
            <w:vAlign w:val="center"/>
          </w:tcPr>
          <w:p w14:paraId="41F082A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42D07BE2" w14:textId="1166822D" w:rsidR="00A54A8A" w:rsidRPr="00E67914" w:rsidRDefault="000B7369">
            <w:pPr>
              <w:snapToGrid w:val="0"/>
              <w:jc w:val="center"/>
              <w:rPr>
                <w:rFonts w:ascii="Times New Roman" w:hAnsi="Times New Roman"/>
                <w:sz w:val="21"/>
                <w:szCs w:val="21"/>
                <w:lang w:eastAsia="zh-CN"/>
              </w:rPr>
            </w:pPr>
            <w:r w:rsidRPr="00E67914">
              <w:rPr>
                <w:rFonts w:ascii="Times New Roman" w:hAnsi="Times New Roman"/>
                <w:sz w:val="21"/>
                <w:szCs w:val="21"/>
                <w:lang w:eastAsia="zh-CN"/>
              </w:rPr>
              <w:t>3.40</w:t>
            </w:r>
          </w:p>
        </w:tc>
        <w:tc>
          <w:tcPr>
            <w:tcW w:w="737" w:type="pct"/>
            <w:vAlign w:val="center"/>
          </w:tcPr>
          <w:p w14:paraId="532D70AE" w14:textId="4D524159" w:rsidR="00A54A8A" w:rsidRPr="00E67914" w:rsidRDefault="000B7369">
            <w:pPr>
              <w:snapToGrid w:val="0"/>
              <w:jc w:val="center"/>
              <w:rPr>
                <w:rFonts w:ascii="Times New Roman" w:hAnsi="Times New Roman"/>
                <w:sz w:val="21"/>
                <w:szCs w:val="21"/>
                <w:lang w:eastAsia="zh-CN"/>
              </w:rPr>
            </w:pPr>
            <w:r w:rsidRPr="00E67914">
              <w:rPr>
                <w:rFonts w:ascii="Times New Roman" w:hAnsi="Times New Roman"/>
                <w:sz w:val="21"/>
                <w:szCs w:val="21"/>
                <w:lang w:eastAsia="zh-CN"/>
              </w:rPr>
              <w:t>3.10</w:t>
            </w:r>
          </w:p>
        </w:tc>
        <w:tc>
          <w:tcPr>
            <w:tcW w:w="736" w:type="pct"/>
            <w:vMerge/>
            <w:vAlign w:val="center"/>
          </w:tcPr>
          <w:p w14:paraId="1148AC6A" w14:textId="77777777" w:rsidR="00A54A8A" w:rsidRPr="00E67914" w:rsidRDefault="00A54A8A">
            <w:pPr>
              <w:snapToGrid w:val="0"/>
              <w:jc w:val="center"/>
              <w:rPr>
                <w:rFonts w:ascii="Times New Roman" w:hAnsi="Times New Roman"/>
                <w:sz w:val="21"/>
                <w:szCs w:val="21"/>
                <w:lang w:eastAsia="zh-CN"/>
              </w:rPr>
            </w:pPr>
          </w:p>
        </w:tc>
      </w:tr>
      <w:tr w:rsidR="00E67914" w:rsidRPr="00E67914" w14:paraId="40218628" w14:textId="77777777">
        <w:trPr>
          <w:jc w:val="center"/>
        </w:trPr>
        <w:tc>
          <w:tcPr>
            <w:tcW w:w="837" w:type="pct"/>
            <w:vMerge/>
            <w:vAlign w:val="center"/>
          </w:tcPr>
          <w:p w14:paraId="3FE040AB" w14:textId="77777777" w:rsidR="00A54A8A" w:rsidRPr="00E67914" w:rsidRDefault="00A54A8A">
            <w:pPr>
              <w:jc w:val="center"/>
              <w:rPr>
                <w:rFonts w:ascii="Times New Roman" w:hAnsi="Times New Roman"/>
                <w:sz w:val="21"/>
                <w:szCs w:val="21"/>
                <w:lang w:eastAsia="zh-CN"/>
              </w:rPr>
            </w:pPr>
          </w:p>
        </w:tc>
        <w:tc>
          <w:tcPr>
            <w:tcW w:w="1466" w:type="pct"/>
            <w:vAlign w:val="center"/>
          </w:tcPr>
          <w:p w14:paraId="191DAE6D" w14:textId="77777777" w:rsidR="00A54A8A" w:rsidRPr="00E67914" w:rsidRDefault="00000000">
            <w:pPr>
              <w:jc w:val="center"/>
              <w:rPr>
                <w:rFonts w:ascii="Times New Roman" w:hAnsi="Times New Roman"/>
              </w:rPr>
            </w:pPr>
            <w:r w:rsidRPr="00E67914">
              <w:rPr>
                <w:rFonts w:ascii="Times New Roman" w:hAnsi="Times New Roman"/>
              </w:rPr>
              <w:t>晶格膨胀剂</w:t>
            </w:r>
            <w:r w:rsidRPr="00E67914">
              <w:rPr>
                <w:rFonts w:ascii="Times New Roman" w:hAnsi="Times New Roman"/>
                <w:lang w:eastAsia="zh-CN"/>
              </w:rPr>
              <w:t>（</w:t>
            </w:r>
            <w:r w:rsidRPr="00E67914">
              <w:rPr>
                <w:rFonts w:ascii="Times New Roman" w:hAnsi="Times New Roman"/>
                <w:lang w:eastAsia="zh-CN"/>
              </w:rPr>
              <w:t>t</w:t>
            </w:r>
            <w:r w:rsidRPr="00E67914">
              <w:rPr>
                <w:rFonts w:ascii="Times New Roman" w:hAnsi="Times New Roman"/>
                <w:lang w:eastAsia="zh-CN"/>
              </w:rPr>
              <w:t>）</w:t>
            </w:r>
          </w:p>
        </w:tc>
        <w:tc>
          <w:tcPr>
            <w:tcW w:w="486" w:type="pct"/>
            <w:vAlign w:val="center"/>
          </w:tcPr>
          <w:p w14:paraId="22B937F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36A479DC"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2.05</w:t>
            </w:r>
          </w:p>
        </w:tc>
        <w:tc>
          <w:tcPr>
            <w:tcW w:w="737" w:type="pct"/>
            <w:vAlign w:val="center"/>
          </w:tcPr>
          <w:p w14:paraId="5EE3CE2D"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2.10</w:t>
            </w:r>
          </w:p>
        </w:tc>
        <w:tc>
          <w:tcPr>
            <w:tcW w:w="736" w:type="pct"/>
            <w:vMerge/>
            <w:vAlign w:val="center"/>
          </w:tcPr>
          <w:p w14:paraId="64698BB5" w14:textId="77777777" w:rsidR="00A54A8A" w:rsidRPr="00E67914" w:rsidRDefault="00A54A8A">
            <w:pPr>
              <w:snapToGrid w:val="0"/>
              <w:jc w:val="center"/>
              <w:rPr>
                <w:rFonts w:ascii="Times New Roman" w:hAnsi="Times New Roman"/>
                <w:sz w:val="21"/>
                <w:szCs w:val="21"/>
                <w:lang w:eastAsia="zh-CN"/>
              </w:rPr>
            </w:pPr>
          </w:p>
        </w:tc>
      </w:tr>
      <w:tr w:rsidR="00E67914" w:rsidRPr="00E67914" w14:paraId="26FB3CF5" w14:textId="77777777">
        <w:trPr>
          <w:jc w:val="center"/>
        </w:trPr>
        <w:tc>
          <w:tcPr>
            <w:tcW w:w="837" w:type="pct"/>
            <w:vMerge/>
            <w:vAlign w:val="center"/>
          </w:tcPr>
          <w:p w14:paraId="6124797B" w14:textId="77777777" w:rsidR="00A54A8A" w:rsidRPr="00E67914" w:rsidRDefault="00A54A8A">
            <w:pPr>
              <w:jc w:val="center"/>
              <w:rPr>
                <w:rFonts w:ascii="Times New Roman" w:hAnsi="Times New Roman"/>
                <w:sz w:val="21"/>
                <w:szCs w:val="21"/>
                <w:lang w:eastAsia="zh-CN"/>
              </w:rPr>
            </w:pPr>
          </w:p>
        </w:tc>
        <w:tc>
          <w:tcPr>
            <w:tcW w:w="1466" w:type="pct"/>
            <w:vAlign w:val="center"/>
          </w:tcPr>
          <w:p w14:paraId="4F55526D" w14:textId="77777777" w:rsidR="00A54A8A" w:rsidRPr="00E67914" w:rsidRDefault="00000000">
            <w:pPr>
              <w:jc w:val="center"/>
              <w:rPr>
                <w:rFonts w:ascii="Times New Roman" w:hAnsi="Times New Roman"/>
              </w:rPr>
            </w:pPr>
            <w:r w:rsidRPr="00E67914">
              <w:rPr>
                <w:rFonts w:ascii="Times New Roman" w:hAnsi="Times New Roman"/>
                <w:lang w:eastAsia="zh-CN"/>
              </w:rPr>
              <w:t>增韧剂（</w:t>
            </w:r>
            <w:r w:rsidRPr="00E67914">
              <w:rPr>
                <w:rFonts w:ascii="Times New Roman" w:hAnsi="Times New Roman"/>
                <w:lang w:eastAsia="zh-CN"/>
              </w:rPr>
              <w:t>t</w:t>
            </w:r>
            <w:r w:rsidRPr="00E67914">
              <w:rPr>
                <w:rFonts w:ascii="Times New Roman" w:hAnsi="Times New Roman"/>
                <w:lang w:eastAsia="zh-CN"/>
              </w:rPr>
              <w:t>）</w:t>
            </w:r>
          </w:p>
        </w:tc>
        <w:tc>
          <w:tcPr>
            <w:tcW w:w="486" w:type="pct"/>
            <w:vAlign w:val="center"/>
          </w:tcPr>
          <w:p w14:paraId="17480B4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41E53094"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1.80</w:t>
            </w:r>
          </w:p>
        </w:tc>
        <w:tc>
          <w:tcPr>
            <w:tcW w:w="737" w:type="pct"/>
            <w:vAlign w:val="center"/>
          </w:tcPr>
          <w:p w14:paraId="108587CB"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1.85</w:t>
            </w:r>
          </w:p>
        </w:tc>
        <w:tc>
          <w:tcPr>
            <w:tcW w:w="736" w:type="pct"/>
            <w:vMerge/>
            <w:vAlign w:val="center"/>
          </w:tcPr>
          <w:p w14:paraId="6DB72B0B" w14:textId="77777777" w:rsidR="00A54A8A" w:rsidRPr="00E67914" w:rsidRDefault="00A54A8A">
            <w:pPr>
              <w:snapToGrid w:val="0"/>
              <w:jc w:val="center"/>
              <w:rPr>
                <w:rFonts w:ascii="Times New Roman" w:hAnsi="Times New Roman"/>
                <w:sz w:val="21"/>
                <w:szCs w:val="21"/>
                <w:lang w:eastAsia="zh-CN"/>
              </w:rPr>
            </w:pPr>
          </w:p>
        </w:tc>
      </w:tr>
      <w:tr w:rsidR="00E67914" w:rsidRPr="00E67914" w14:paraId="15C00A35" w14:textId="77777777">
        <w:trPr>
          <w:jc w:val="center"/>
        </w:trPr>
        <w:tc>
          <w:tcPr>
            <w:tcW w:w="837" w:type="pct"/>
            <w:vMerge/>
            <w:vAlign w:val="center"/>
          </w:tcPr>
          <w:p w14:paraId="0F5E5581" w14:textId="77777777" w:rsidR="00A54A8A" w:rsidRPr="00E67914" w:rsidRDefault="00A54A8A">
            <w:pPr>
              <w:jc w:val="center"/>
              <w:rPr>
                <w:rFonts w:ascii="Times New Roman" w:hAnsi="Times New Roman"/>
                <w:sz w:val="21"/>
                <w:szCs w:val="21"/>
              </w:rPr>
            </w:pPr>
          </w:p>
        </w:tc>
        <w:tc>
          <w:tcPr>
            <w:tcW w:w="1466" w:type="pct"/>
            <w:vAlign w:val="center"/>
          </w:tcPr>
          <w:p w14:paraId="3102E8D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缓凝剂（</w:t>
            </w:r>
            <w:r w:rsidRPr="00E67914">
              <w:rPr>
                <w:rFonts w:ascii="Times New Roman" w:hAnsi="Times New Roman"/>
                <w:sz w:val="21"/>
                <w:szCs w:val="21"/>
                <w:lang w:eastAsia="zh-CN"/>
              </w:rPr>
              <w:t>t</w:t>
            </w:r>
            <w:r w:rsidRPr="00E67914">
              <w:rPr>
                <w:rFonts w:ascii="Times New Roman" w:hAnsi="Times New Roman"/>
                <w:sz w:val="21"/>
                <w:szCs w:val="21"/>
                <w:lang w:eastAsia="zh-CN"/>
              </w:rPr>
              <w:t>）</w:t>
            </w:r>
          </w:p>
        </w:tc>
        <w:tc>
          <w:tcPr>
            <w:tcW w:w="486" w:type="pct"/>
            <w:vAlign w:val="center"/>
          </w:tcPr>
          <w:p w14:paraId="57AA612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3E5F17F3"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7" w:type="pct"/>
            <w:vAlign w:val="center"/>
          </w:tcPr>
          <w:p w14:paraId="612690E1"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1.60</w:t>
            </w:r>
          </w:p>
        </w:tc>
        <w:tc>
          <w:tcPr>
            <w:tcW w:w="736" w:type="pct"/>
            <w:vMerge/>
            <w:vAlign w:val="center"/>
          </w:tcPr>
          <w:p w14:paraId="1F90EC25" w14:textId="77777777" w:rsidR="00A54A8A" w:rsidRPr="00E67914" w:rsidRDefault="00A54A8A">
            <w:pPr>
              <w:snapToGrid w:val="0"/>
              <w:jc w:val="center"/>
              <w:rPr>
                <w:rFonts w:ascii="Times New Roman" w:hAnsi="Times New Roman"/>
                <w:sz w:val="21"/>
                <w:szCs w:val="21"/>
                <w:lang w:eastAsia="zh-CN"/>
              </w:rPr>
            </w:pPr>
          </w:p>
        </w:tc>
      </w:tr>
      <w:tr w:rsidR="00E67914" w:rsidRPr="00E67914" w14:paraId="3EA0423F" w14:textId="77777777">
        <w:trPr>
          <w:jc w:val="center"/>
        </w:trPr>
        <w:tc>
          <w:tcPr>
            <w:tcW w:w="837" w:type="pct"/>
            <w:vMerge/>
            <w:vAlign w:val="center"/>
          </w:tcPr>
          <w:p w14:paraId="035440AA" w14:textId="77777777" w:rsidR="00A54A8A" w:rsidRPr="00E67914" w:rsidRDefault="00A54A8A">
            <w:pPr>
              <w:jc w:val="center"/>
              <w:rPr>
                <w:rFonts w:ascii="Times New Roman" w:hAnsi="Times New Roman"/>
                <w:sz w:val="21"/>
                <w:szCs w:val="21"/>
              </w:rPr>
            </w:pPr>
          </w:p>
        </w:tc>
        <w:tc>
          <w:tcPr>
            <w:tcW w:w="1466" w:type="pct"/>
            <w:vAlign w:val="center"/>
          </w:tcPr>
          <w:p w14:paraId="5241701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减阻剂（</w:t>
            </w:r>
            <w:r w:rsidRPr="00E67914">
              <w:rPr>
                <w:rFonts w:ascii="Times New Roman" w:hAnsi="Times New Roman"/>
                <w:sz w:val="21"/>
                <w:szCs w:val="21"/>
                <w:lang w:eastAsia="zh-CN"/>
              </w:rPr>
              <w:t>t</w:t>
            </w:r>
            <w:r w:rsidRPr="00E67914">
              <w:rPr>
                <w:rFonts w:ascii="Times New Roman" w:hAnsi="Times New Roman"/>
                <w:sz w:val="21"/>
                <w:szCs w:val="21"/>
                <w:lang w:eastAsia="zh-CN"/>
              </w:rPr>
              <w:t>）</w:t>
            </w:r>
          </w:p>
        </w:tc>
        <w:tc>
          <w:tcPr>
            <w:tcW w:w="486" w:type="pct"/>
            <w:vAlign w:val="center"/>
          </w:tcPr>
          <w:p w14:paraId="3375A38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43106BD5"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1.80</w:t>
            </w:r>
          </w:p>
        </w:tc>
        <w:tc>
          <w:tcPr>
            <w:tcW w:w="737" w:type="pct"/>
            <w:vAlign w:val="center"/>
          </w:tcPr>
          <w:p w14:paraId="68059DC6"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1.85</w:t>
            </w:r>
          </w:p>
        </w:tc>
        <w:tc>
          <w:tcPr>
            <w:tcW w:w="736" w:type="pct"/>
            <w:vMerge/>
            <w:vAlign w:val="center"/>
          </w:tcPr>
          <w:p w14:paraId="3A829523" w14:textId="77777777" w:rsidR="00A54A8A" w:rsidRPr="00E67914" w:rsidRDefault="00A54A8A">
            <w:pPr>
              <w:snapToGrid w:val="0"/>
              <w:jc w:val="center"/>
              <w:rPr>
                <w:rFonts w:ascii="Times New Roman" w:hAnsi="Times New Roman"/>
                <w:sz w:val="21"/>
                <w:szCs w:val="21"/>
                <w:lang w:eastAsia="zh-CN"/>
              </w:rPr>
            </w:pPr>
          </w:p>
        </w:tc>
      </w:tr>
      <w:tr w:rsidR="00E67914" w:rsidRPr="00E67914" w14:paraId="76F22A22" w14:textId="77777777">
        <w:trPr>
          <w:jc w:val="center"/>
        </w:trPr>
        <w:tc>
          <w:tcPr>
            <w:tcW w:w="837" w:type="pct"/>
            <w:vMerge/>
            <w:vAlign w:val="center"/>
          </w:tcPr>
          <w:p w14:paraId="251A3F42" w14:textId="77777777" w:rsidR="00A54A8A" w:rsidRPr="00E67914" w:rsidRDefault="00A54A8A">
            <w:pPr>
              <w:jc w:val="center"/>
              <w:rPr>
                <w:rFonts w:ascii="Times New Roman" w:hAnsi="Times New Roman"/>
                <w:sz w:val="21"/>
                <w:szCs w:val="21"/>
              </w:rPr>
            </w:pPr>
          </w:p>
        </w:tc>
        <w:tc>
          <w:tcPr>
            <w:tcW w:w="1466" w:type="pct"/>
            <w:vAlign w:val="center"/>
          </w:tcPr>
          <w:p w14:paraId="7AF98EA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增强剂（</w:t>
            </w:r>
            <w:r w:rsidRPr="00E67914">
              <w:rPr>
                <w:rFonts w:ascii="Times New Roman" w:hAnsi="Times New Roman"/>
                <w:sz w:val="21"/>
                <w:szCs w:val="21"/>
                <w:lang w:eastAsia="zh-CN"/>
              </w:rPr>
              <w:t>t</w:t>
            </w:r>
            <w:r w:rsidRPr="00E67914">
              <w:rPr>
                <w:rFonts w:ascii="Times New Roman" w:hAnsi="Times New Roman"/>
                <w:sz w:val="21"/>
                <w:szCs w:val="21"/>
                <w:lang w:eastAsia="zh-CN"/>
              </w:rPr>
              <w:t>）</w:t>
            </w:r>
          </w:p>
        </w:tc>
        <w:tc>
          <w:tcPr>
            <w:tcW w:w="486" w:type="pct"/>
            <w:vAlign w:val="center"/>
          </w:tcPr>
          <w:p w14:paraId="52E3A2E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01ED046F"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13.55</w:t>
            </w:r>
          </w:p>
        </w:tc>
        <w:tc>
          <w:tcPr>
            <w:tcW w:w="737" w:type="pct"/>
            <w:vAlign w:val="center"/>
          </w:tcPr>
          <w:p w14:paraId="7CCFD69C"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6" w:type="pct"/>
            <w:vMerge/>
            <w:vAlign w:val="center"/>
          </w:tcPr>
          <w:p w14:paraId="4C691908" w14:textId="77777777" w:rsidR="00A54A8A" w:rsidRPr="00E67914" w:rsidRDefault="00A54A8A">
            <w:pPr>
              <w:snapToGrid w:val="0"/>
              <w:jc w:val="center"/>
              <w:rPr>
                <w:rFonts w:ascii="Times New Roman" w:hAnsi="Times New Roman"/>
                <w:sz w:val="21"/>
                <w:szCs w:val="21"/>
                <w:lang w:eastAsia="zh-CN"/>
              </w:rPr>
            </w:pPr>
          </w:p>
        </w:tc>
      </w:tr>
      <w:tr w:rsidR="00E67914" w:rsidRPr="00E67914" w14:paraId="325F105A" w14:textId="77777777">
        <w:trPr>
          <w:jc w:val="center"/>
        </w:trPr>
        <w:tc>
          <w:tcPr>
            <w:tcW w:w="837" w:type="pct"/>
            <w:vMerge/>
            <w:vAlign w:val="center"/>
          </w:tcPr>
          <w:p w14:paraId="43475F93" w14:textId="77777777" w:rsidR="00A54A8A" w:rsidRPr="00E67914" w:rsidRDefault="00A54A8A">
            <w:pPr>
              <w:jc w:val="center"/>
              <w:rPr>
                <w:rFonts w:ascii="Times New Roman" w:hAnsi="Times New Roman"/>
                <w:sz w:val="21"/>
                <w:szCs w:val="21"/>
              </w:rPr>
            </w:pPr>
          </w:p>
        </w:tc>
        <w:tc>
          <w:tcPr>
            <w:tcW w:w="1466" w:type="pct"/>
            <w:vAlign w:val="center"/>
          </w:tcPr>
          <w:p w14:paraId="242A62B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漂珠（</w:t>
            </w:r>
            <w:r w:rsidRPr="00E67914">
              <w:rPr>
                <w:rFonts w:ascii="Times New Roman" w:hAnsi="Times New Roman"/>
                <w:sz w:val="21"/>
                <w:szCs w:val="21"/>
                <w:lang w:eastAsia="zh-CN"/>
              </w:rPr>
              <w:t>t</w:t>
            </w:r>
            <w:r w:rsidRPr="00E67914">
              <w:rPr>
                <w:rFonts w:ascii="Times New Roman" w:hAnsi="Times New Roman"/>
                <w:sz w:val="21"/>
                <w:szCs w:val="21"/>
                <w:lang w:eastAsia="zh-CN"/>
              </w:rPr>
              <w:t>）</w:t>
            </w:r>
          </w:p>
        </w:tc>
        <w:tc>
          <w:tcPr>
            <w:tcW w:w="486" w:type="pct"/>
            <w:vAlign w:val="center"/>
          </w:tcPr>
          <w:p w14:paraId="091AF2C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69E0C1BD"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20.32</w:t>
            </w:r>
          </w:p>
        </w:tc>
        <w:tc>
          <w:tcPr>
            <w:tcW w:w="737" w:type="pct"/>
            <w:vAlign w:val="center"/>
          </w:tcPr>
          <w:p w14:paraId="6E755CC1"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6" w:type="pct"/>
            <w:vMerge/>
            <w:vAlign w:val="center"/>
          </w:tcPr>
          <w:p w14:paraId="277443F0" w14:textId="77777777" w:rsidR="00A54A8A" w:rsidRPr="00E67914" w:rsidRDefault="00A54A8A">
            <w:pPr>
              <w:snapToGrid w:val="0"/>
              <w:jc w:val="center"/>
              <w:rPr>
                <w:rFonts w:ascii="Times New Roman" w:hAnsi="Times New Roman"/>
                <w:sz w:val="21"/>
                <w:szCs w:val="21"/>
                <w:lang w:eastAsia="zh-CN"/>
              </w:rPr>
            </w:pPr>
          </w:p>
        </w:tc>
      </w:tr>
      <w:tr w:rsidR="00E67914" w:rsidRPr="00E67914" w14:paraId="543F2B5A" w14:textId="77777777">
        <w:trPr>
          <w:jc w:val="center"/>
        </w:trPr>
        <w:tc>
          <w:tcPr>
            <w:tcW w:w="837" w:type="pct"/>
            <w:vMerge/>
            <w:vAlign w:val="center"/>
          </w:tcPr>
          <w:p w14:paraId="04030F16" w14:textId="77777777" w:rsidR="00A54A8A" w:rsidRPr="00E67914" w:rsidRDefault="00A54A8A">
            <w:pPr>
              <w:jc w:val="center"/>
              <w:rPr>
                <w:rFonts w:ascii="Times New Roman" w:hAnsi="Times New Roman"/>
                <w:sz w:val="21"/>
                <w:szCs w:val="21"/>
              </w:rPr>
            </w:pPr>
          </w:p>
        </w:tc>
        <w:tc>
          <w:tcPr>
            <w:tcW w:w="1466" w:type="pct"/>
            <w:vAlign w:val="center"/>
          </w:tcPr>
          <w:p w14:paraId="04666FE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防气窜剂</w:t>
            </w:r>
            <w:r w:rsidRPr="00E67914">
              <w:rPr>
                <w:rFonts w:ascii="Times New Roman" w:hAnsi="Times New Roman"/>
                <w:sz w:val="21"/>
                <w:szCs w:val="21"/>
                <w:lang w:eastAsia="zh-CN"/>
              </w:rPr>
              <w:t>（</w:t>
            </w:r>
            <w:r w:rsidRPr="00E67914">
              <w:rPr>
                <w:rFonts w:ascii="Times New Roman" w:hAnsi="Times New Roman"/>
                <w:sz w:val="21"/>
                <w:szCs w:val="21"/>
                <w:lang w:eastAsia="zh-CN"/>
              </w:rPr>
              <w:t>t</w:t>
            </w:r>
            <w:r w:rsidRPr="00E67914">
              <w:rPr>
                <w:rFonts w:ascii="Times New Roman" w:hAnsi="Times New Roman"/>
                <w:sz w:val="21"/>
                <w:szCs w:val="21"/>
                <w:lang w:eastAsia="zh-CN"/>
              </w:rPr>
              <w:t>）</w:t>
            </w:r>
          </w:p>
        </w:tc>
        <w:tc>
          <w:tcPr>
            <w:tcW w:w="486" w:type="pct"/>
            <w:vAlign w:val="center"/>
          </w:tcPr>
          <w:p w14:paraId="68E07BA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06F4F4D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1.00</w:t>
            </w:r>
          </w:p>
        </w:tc>
        <w:tc>
          <w:tcPr>
            <w:tcW w:w="737" w:type="pct"/>
            <w:vAlign w:val="center"/>
          </w:tcPr>
          <w:p w14:paraId="7E60910C"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2.65</w:t>
            </w:r>
          </w:p>
        </w:tc>
        <w:tc>
          <w:tcPr>
            <w:tcW w:w="736" w:type="pct"/>
            <w:vMerge/>
            <w:vAlign w:val="center"/>
          </w:tcPr>
          <w:p w14:paraId="59A9701F" w14:textId="77777777" w:rsidR="00A54A8A" w:rsidRPr="00E67914" w:rsidRDefault="00A54A8A">
            <w:pPr>
              <w:snapToGrid w:val="0"/>
              <w:jc w:val="center"/>
              <w:rPr>
                <w:rFonts w:ascii="Times New Roman" w:hAnsi="Times New Roman"/>
                <w:sz w:val="21"/>
                <w:szCs w:val="21"/>
                <w:lang w:eastAsia="zh-CN"/>
              </w:rPr>
            </w:pPr>
          </w:p>
        </w:tc>
      </w:tr>
      <w:tr w:rsidR="00E67914" w:rsidRPr="00E67914" w14:paraId="50984A62" w14:textId="77777777">
        <w:trPr>
          <w:jc w:val="center"/>
        </w:trPr>
        <w:tc>
          <w:tcPr>
            <w:tcW w:w="837" w:type="pct"/>
            <w:vMerge/>
            <w:vAlign w:val="center"/>
          </w:tcPr>
          <w:p w14:paraId="166F1096" w14:textId="77777777" w:rsidR="00A54A8A" w:rsidRPr="00E67914" w:rsidRDefault="00A54A8A">
            <w:pPr>
              <w:jc w:val="center"/>
              <w:rPr>
                <w:rFonts w:ascii="Times New Roman" w:hAnsi="Times New Roman"/>
                <w:sz w:val="21"/>
                <w:szCs w:val="21"/>
              </w:rPr>
            </w:pPr>
          </w:p>
        </w:tc>
        <w:tc>
          <w:tcPr>
            <w:tcW w:w="1466" w:type="pct"/>
            <w:vAlign w:val="center"/>
          </w:tcPr>
          <w:p w14:paraId="3DDC0BC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微硅（</w:t>
            </w:r>
            <w:r w:rsidRPr="00E67914">
              <w:rPr>
                <w:rFonts w:ascii="Times New Roman" w:hAnsi="Times New Roman"/>
                <w:sz w:val="21"/>
                <w:szCs w:val="21"/>
              </w:rPr>
              <w:t>t</w:t>
            </w:r>
            <w:r w:rsidRPr="00E67914">
              <w:rPr>
                <w:rFonts w:ascii="Times New Roman" w:hAnsi="Times New Roman"/>
                <w:sz w:val="21"/>
                <w:szCs w:val="21"/>
              </w:rPr>
              <w:t>）</w:t>
            </w:r>
          </w:p>
        </w:tc>
        <w:tc>
          <w:tcPr>
            <w:tcW w:w="486" w:type="pct"/>
            <w:vAlign w:val="center"/>
          </w:tcPr>
          <w:p w14:paraId="3DBBCCF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w:t>
            </w:r>
          </w:p>
        </w:tc>
        <w:tc>
          <w:tcPr>
            <w:tcW w:w="738" w:type="pct"/>
            <w:vAlign w:val="center"/>
          </w:tcPr>
          <w:p w14:paraId="68B32879"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3.39</w:t>
            </w:r>
          </w:p>
        </w:tc>
        <w:tc>
          <w:tcPr>
            <w:tcW w:w="737" w:type="pct"/>
            <w:vAlign w:val="center"/>
          </w:tcPr>
          <w:p w14:paraId="3C2496C1" w14:textId="77777777" w:rsidR="00A54A8A" w:rsidRPr="00E67914" w:rsidRDefault="00A54A8A">
            <w:pPr>
              <w:snapToGrid w:val="0"/>
              <w:jc w:val="center"/>
              <w:rPr>
                <w:rFonts w:ascii="Times New Roman" w:hAnsi="Times New Roman"/>
                <w:sz w:val="21"/>
                <w:szCs w:val="21"/>
                <w:lang w:eastAsia="zh-CN"/>
              </w:rPr>
            </w:pPr>
          </w:p>
        </w:tc>
        <w:tc>
          <w:tcPr>
            <w:tcW w:w="736" w:type="pct"/>
            <w:vMerge/>
            <w:vAlign w:val="center"/>
          </w:tcPr>
          <w:p w14:paraId="62B83A0F" w14:textId="77777777" w:rsidR="00A54A8A" w:rsidRPr="00E67914" w:rsidRDefault="00A54A8A">
            <w:pPr>
              <w:snapToGrid w:val="0"/>
              <w:jc w:val="center"/>
              <w:rPr>
                <w:rFonts w:ascii="Times New Roman" w:hAnsi="Times New Roman"/>
                <w:sz w:val="21"/>
                <w:szCs w:val="21"/>
                <w:lang w:eastAsia="zh-CN"/>
              </w:rPr>
            </w:pPr>
          </w:p>
        </w:tc>
      </w:tr>
      <w:tr w:rsidR="00E67914" w:rsidRPr="00E67914" w14:paraId="18374C77" w14:textId="77777777">
        <w:trPr>
          <w:jc w:val="center"/>
        </w:trPr>
        <w:tc>
          <w:tcPr>
            <w:tcW w:w="2303" w:type="pct"/>
            <w:gridSpan w:val="2"/>
            <w:vAlign w:val="center"/>
          </w:tcPr>
          <w:p w14:paraId="7D6A71E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冲洗液（</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486" w:type="pct"/>
            <w:vAlign w:val="center"/>
          </w:tcPr>
          <w:p w14:paraId="779FD49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8" w:type="pct"/>
            <w:vAlign w:val="center"/>
          </w:tcPr>
          <w:p w14:paraId="49ABE831"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10</w:t>
            </w:r>
          </w:p>
        </w:tc>
        <w:tc>
          <w:tcPr>
            <w:tcW w:w="737" w:type="pct"/>
            <w:vAlign w:val="center"/>
          </w:tcPr>
          <w:p w14:paraId="62F78E51"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15</w:t>
            </w:r>
          </w:p>
        </w:tc>
        <w:tc>
          <w:tcPr>
            <w:tcW w:w="736" w:type="pct"/>
            <w:vMerge/>
            <w:vAlign w:val="center"/>
          </w:tcPr>
          <w:p w14:paraId="4E1BB68E" w14:textId="77777777" w:rsidR="00A54A8A" w:rsidRPr="00E67914" w:rsidRDefault="00A54A8A">
            <w:pPr>
              <w:snapToGrid w:val="0"/>
              <w:jc w:val="center"/>
              <w:rPr>
                <w:rFonts w:ascii="Times New Roman" w:hAnsi="Times New Roman"/>
                <w:sz w:val="21"/>
                <w:szCs w:val="21"/>
                <w:lang w:eastAsia="zh-CN"/>
              </w:rPr>
            </w:pPr>
          </w:p>
        </w:tc>
      </w:tr>
      <w:tr w:rsidR="00E67914" w:rsidRPr="00E67914" w14:paraId="647C64C4" w14:textId="77777777">
        <w:trPr>
          <w:jc w:val="center"/>
        </w:trPr>
        <w:tc>
          <w:tcPr>
            <w:tcW w:w="2303" w:type="pct"/>
            <w:gridSpan w:val="2"/>
            <w:vAlign w:val="center"/>
          </w:tcPr>
          <w:p w14:paraId="1C7D33C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隔离液（</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rPr>
              <w:t>）</w:t>
            </w:r>
          </w:p>
        </w:tc>
        <w:tc>
          <w:tcPr>
            <w:tcW w:w="486" w:type="pct"/>
            <w:vAlign w:val="center"/>
          </w:tcPr>
          <w:p w14:paraId="0A37CB6F" w14:textId="58E2879B" w:rsidR="00A54A8A" w:rsidRPr="00E67914" w:rsidRDefault="000B7369">
            <w:pPr>
              <w:jc w:val="center"/>
              <w:rPr>
                <w:rFonts w:ascii="Times New Roman" w:hAnsi="Times New Roman"/>
                <w:sz w:val="21"/>
                <w:szCs w:val="21"/>
                <w:lang w:eastAsia="zh-CN"/>
              </w:rPr>
            </w:pPr>
            <w:r w:rsidRPr="00E67914">
              <w:rPr>
                <w:rFonts w:ascii="Times New Roman" w:hAnsi="Times New Roman"/>
                <w:sz w:val="21"/>
                <w:szCs w:val="21"/>
                <w:lang w:eastAsia="zh-CN"/>
              </w:rPr>
              <w:t>10</w:t>
            </w:r>
          </w:p>
        </w:tc>
        <w:tc>
          <w:tcPr>
            <w:tcW w:w="738" w:type="pct"/>
            <w:vAlign w:val="center"/>
          </w:tcPr>
          <w:p w14:paraId="19842403"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15</w:t>
            </w:r>
          </w:p>
        </w:tc>
        <w:tc>
          <w:tcPr>
            <w:tcW w:w="737" w:type="pct"/>
            <w:vAlign w:val="center"/>
          </w:tcPr>
          <w:p w14:paraId="7D6653E3"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20</w:t>
            </w:r>
          </w:p>
        </w:tc>
        <w:tc>
          <w:tcPr>
            <w:tcW w:w="736" w:type="pct"/>
            <w:vMerge/>
            <w:vAlign w:val="center"/>
          </w:tcPr>
          <w:p w14:paraId="59AD32A2" w14:textId="77777777" w:rsidR="00A54A8A" w:rsidRPr="00E67914" w:rsidRDefault="00A54A8A">
            <w:pPr>
              <w:snapToGrid w:val="0"/>
              <w:jc w:val="center"/>
              <w:rPr>
                <w:rFonts w:ascii="Times New Roman" w:hAnsi="Times New Roman"/>
                <w:sz w:val="21"/>
                <w:szCs w:val="21"/>
                <w:lang w:eastAsia="zh-CN"/>
              </w:rPr>
            </w:pPr>
          </w:p>
        </w:tc>
      </w:tr>
      <w:tr w:rsidR="00E67914" w:rsidRPr="00E67914" w14:paraId="2E03BDE8" w14:textId="77777777">
        <w:trPr>
          <w:jc w:val="center"/>
        </w:trPr>
        <w:tc>
          <w:tcPr>
            <w:tcW w:w="837" w:type="pct"/>
            <w:vAlign w:val="center"/>
          </w:tcPr>
          <w:p w14:paraId="13328CF8" w14:textId="77777777" w:rsidR="00A54A8A" w:rsidRPr="00E67914" w:rsidRDefault="00000000">
            <w:pPr>
              <w:jc w:val="center"/>
              <w:rPr>
                <w:rFonts w:ascii="Times New Roman" w:hAnsi="Times New Roman"/>
                <w:sz w:val="21"/>
                <w:szCs w:val="21"/>
              </w:rPr>
            </w:pPr>
            <w:r w:rsidRPr="00E67914">
              <w:rPr>
                <w:rFonts w:ascii="Times New Roman" w:hAnsi="Times New Roman"/>
              </w:rPr>
              <w:t>固井附件</w:t>
            </w:r>
          </w:p>
        </w:tc>
        <w:tc>
          <w:tcPr>
            <w:tcW w:w="1466" w:type="pct"/>
            <w:vAlign w:val="center"/>
          </w:tcPr>
          <w:p w14:paraId="1556D0CD" w14:textId="77777777" w:rsidR="00A54A8A" w:rsidRPr="00E67914" w:rsidRDefault="00000000">
            <w:pPr>
              <w:jc w:val="center"/>
              <w:rPr>
                <w:rFonts w:ascii="Times New Roman" w:hAnsi="Times New Roman"/>
                <w:sz w:val="21"/>
                <w:szCs w:val="21"/>
              </w:rPr>
            </w:pPr>
            <w:r w:rsidRPr="00E67914">
              <w:rPr>
                <w:rFonts w:ascii="Times New Roman" w:hAnsi="Times New Roman"/>
              </w:rPr>
              <w:t>常规附件</w:t>
            </w:r>
            <w:r w:rsidRPr="00E67914">
              <w:rPr>
                <w:rFonts w:ascii="Times New Roman" w:hAnsi="Times New Roman"/>
                <w:lang w:eastAsia="zh-CN"/>
              </w:rPr>
              <w:t>（套）</w:t>
            </w:r>
          </w:p>
        </w:tc>
        <w:tc>
          <w:tcPr>
            <w:tcW w:w="486" w:type="pct"/>
            <w:vAlign w:val="center"/>
          </w:tcPr>
          <w:p w14:paraId="3E94FF9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1</w:t>
            </w:r>
          </w:p>
        </w:tc>
        <w:tc>
          <w:tcPr>
            <w:tcW w:w="738" w:type="pct"/>
            <w:vAlign w:val="center"/>
          </w:tcPr>
          <w:p w14:paraId="751F449C"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w:t>
            </w:r>
          </w:p>
        </w:tc>
        <w:tc>
          <w:tcPr>
            <w:tcW w:w="737" w:type="pct"/>
            <w:vAlign w:val="center"/>
          </w:tcPr>
          <w:p w14:paraId="4B980A4F"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w:t>
            </w:r>
          </w:p>
        </w:tc>
        <w:tc>
          <w:tcPr>
            <w:tcW w:w="736" w:type="pct"/>
            <w:vMerge/>
            <w:vAlign w:val="center"/>
          </w:tcPr>
          <w:p w14:paraId="22D0596F" w14:textId="77777777" w:rsidR="00A54A8A" w:rsidRPr="00E67914" w:rsidRDefault="00A54A8A">
            <w:pPr>
              <w:snapToGrid w:val="0"/>
              <w:jc w:val="center"/>
              <w:rPr>
                <w:rFonts w:ascii="Times New Roman" w:hAnsi="Times New Roman"/>
                <w:sz w:val="21"/>
                <w:szCs w:val="21"/>
                <w:lang w:eastAsia="zh-CN"/>
              </w:rPr>
            </w:pPr>
          </w:p>
        </w:tc>
      </w:tr>
      <w:tr w:rsidR="00E67914" w:rsidRPr="00E67914" w14:paraId="455C02D1" w14:textId="77777777">
        <w:trPr>
          <w:jc w:val="center"/>
        </w:trPr>
        <w:tc>
          <w:tcPr>
            <w:tcW w:w="837" w:type="pct"/>
            <w:vMerge w:val="restart"/>
            <w:vAlign w:val="center"/>
          </w:tcPr>
          <w:p w14:paraId="60994B2A" w14:textId="77777777" w:rsidR="00A54A8A" w:rsidRPr="00E67914" w:rsidRDefault="00000000">
            <w:pPr>
              <w:jc w:val="center"/>
              <w:rPr>
                <w:rFonts w:ascii="Times New Roman" w:hAnsi="Times New Roman"/>
                <w:sz w:val="21"/>
                <w:szCs w:val="21"/>
              </w:rPr>
            </w:pPr>
            <w:r w:rsidRPr="00E67914">
              <w:rPr>
                <w:rFonts w:ascii="Times New Roman" w:hAnsi="Times New Roman"/>
              </w:rPr>
              <w:t>套管扶正器</w:t>
            </w:r>
          </w:p>
        </w:tc>
        <w:tc>
          <w:tcPr>
            <w:tcW w:w="1466" w:type="pct"/>
            <w:vAlign w:val="center"/>
          </w:tcPr>
          <w:p w14:paraId="73E57AF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弹性扶正器（只）</w:t>
            </w:r>
          </w:p>
        </w:tc>
        <w:tc>
          <w:tcPr>
            <w:tcW w:w="486" w:type="pct"/>
            <w:vAlign w:val="center"/>
          </w:tcPr>
          <w:p w14:paraId="45AA9D4F" w14:textId="2BBA6964" w:rsidR="00A54A8A" w:rsidRPr="00E67914" w:rsidRDefault="000B7369">
            <w:pPr>
              <w:jc w:val="center"/>
              <w:rPr>
                <w:rFonts w:ascii="Times New Roman" w:hAnsi="Times New Roman"/>
                <w:sz w:val="21"/>
                <w:szCs w:val="21"/>
                <w:lang w:eastAsia="zh-CN"/>
              </w:rPr>
            </w:pPr>
            <w:r w:rsidRPr="00E67914">
              <w:rPr>
                <w:rFonts w:ascii="Times New Roman" w:hAnsi="Times New Roman"/>
                <w:sz w:val="21"/>
                <w:szCs w:val="21"/>
                <w:lang w:eastAsia="zh-CN"/>
              </w:rPr>
              <w:t>5</w:t>
            </w:r>
          </w:p>
        </w:tc>
        <w:tc>
          <w:tcPr>
            <w:tcW w:w="738" w:type="pct"/>
            <w:vAlign w:val="center"/>
          </w:tcPr>
          <w:p w14:paraId="3D61C23B" w14:textId="5EEAC0B4" w:rsidR="00A54A8A" w:rsidRPr="00E67914" w:rsidRDefault="000B7369">
            <w:pPr>
              <w:snapToGrid w:val="0"/>
              <w:jc w:val="center"/>
              <w:rPr>
                <w:rFonts w:ascii="Times New Roman" w:hAnsi="Times New Roman"/>
                <w:sz w:val="21"/>
                <w:szCs w:val="21"/>
                <w:lang w:eastAsia="zh-CN"/>
              </w:rPr>
            </w:pPr>
            <w:r w:rsidRPr="00E67914">
              <w:rPr>
                <w:rFonts w:ascii="Times New Roman" w:hAnsi="Times New Roman"/>
                <w:sz w:val="21"/>
                <w:szCs w:val="21"/>
                <w:lang w:eastAsia="zh-CN"/>
              </w:rPr>
              <w:t>16</w:t>
            </w:r>
          </w:p>
        </w:tc>
        <w:tc>
          <w:tcPr>
            <w:tcW w:w="737" w:type="pct"/>
            <w:vAlign w:val="center"/>
          </w:tcPr>
          <w:p w14:paraId="6A6525CD" w14:textId="2F0C91F5" w:rsidR="00A54A8A" w:rsidRPr="00E67914" w:rsidRDefault="000B7369">
            <w:pPr>
              <w:snapToGrid w:val="0"/>
              <w:jc w:val="center"/>
              <w:rPr>
                <w:rFonts w:ascii="Times New Roman" w:hAnsi="Times New Roman"/>
                <w:sz w:val="21"/>
                <w:szCs w:val="21"/>
                <w:lang w:eastAsia="zh-CN"/>
              </w:rPr>
            </w:pPr>
            <w:r w:rsidRPr="00E67914">
              <w:rPr>
                <w:rFonts w:ascii="Times New Roman" w:hAnsi="Times New Roman"/>
                <w:sz w:val="21"/>
                <w:szCs w:val="21"/>
                <w:lang w:eastAsia="zh-CN"/>
              </w:rPr>
              <w:t>10</w:t>
            </w:r>
          </w:p>
        </w:tc>
        <w:tc>
          <w:tcPr>
            <w:tcW w:w="736" w:type="pct"/>
            <w:vMerge w:val="restart"/>
            <w:vAlign w:val="center"/>
          </w:tcPr>
          <w:p w14:paraId="4568178B"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扶正器规格必须与井眼</w:t>
            </w:r>
            <w:r w:rsidRPr="00E67914">
              <w:rPr>
                <w:rFonts w:ascii="Times New Roman" w:hAnsi="Times New Roman"/>
                <w:sz w:val="21"/>
                <w:szCs w:val="21"/>
                <w:lang w:eastAsia="zh-CN"/>
              </w:rPr>
              <w:lastRenderedPageBreak/>
              <w:t>及套管尺寸匹配</w:t>
            </w:r>
          </w:p>
        </w:tc>
      </w:tr>
      <w:tr w:rsidR="00E67914" w:rsidRPr="00E67914" w14:paraId="6D4F45C2" w14:textId="77777777">
        <w:trPr>
          <w:jc w:val="center"/>
        </w:trPr>
        <w:tc>
          <w:tcPr>
            <w:tcW w:w="837" w:type="pct"/>
            <w:vMerge/>
            <w:vAlign w:val="center"/>
          </w:tcPr>
          <w:p w14:paraId="75E4E52A" w14:textId="77777777" w:rsidR="00A54A8A" w:rsidRPr="00E67914" w:rsidRDefault="00A54A8A">
            <w:pPr>
              <w:jc w:val="center"/>
              <w:rPr>
                <w:rFonts w:ascii="Times New Roman" w:hAnsi="Times New Roman"/>
                <w:lang w:eastAsia="zh-CN"/>
              </w:rPr>
            </w:pPr>
          </w:p>
        </w:tc>
        <w:tc>
          <w:tcPr>
            <w:tcW w:w="1466" w:type="pct"/>
            <w:vAlign w:val="center"/>
          </w:tcPr>
          <w:p w14:paraId="693862E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整体式</w:t>
            </w:r>
            <w:r w:rsidRPr="00E67914">
              <w:rPr>
                <w:rFonts w:ascii="Times New Roman" w:hAnsi="Times New Roman"/>
                <w:sz w:val="21"/>
                <w:szCs w:val="21"/>
              </w:rPr>
              <w:t>扶正器（只）</w:t>
            </w:r>
          </w:p>
        </w:tc>
        <w:tc>
          <w:tcPr>
            <w:tcW w:w="486" w:type="pct"/>
            <w:vAlign w:val="center"/>
          </w:tcPr>
          <w:p w14:paraId="333758CA"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8" w:type="pct"/>
            <w:vAlign w:val="center"/>
          </w:tcPr>
          <w:p w14:paraId="6D56168C" w14:textId="654D308A" w:rsidR="00A54A8A" w:rsidRPr="00E67914" w:rsidRDefault="000B7369">
            <w:pPr>
              <w:snapToGrid w:val="0"/>
              <w:jc w:val="center"/>
              <w:rPr>
                <w:rFonts w:ascii="Times New Roman" w:hAnsi="Times New Roman"/>
                <w:sz w:val="21"/>
                <w:szCs w:val="21"/>
                <w:lang w:eastAsia="zh-CN"/>
              </w:rPr>
            </w:pPr>
            <w:r w:rsidRPr="00E67914">
              <w:rPr>
                <w:rFonts w:ascii="Times New Roman" w:hAnsi="Times New Roman"/>
                <w:sz w:val="21"/>
                <w:szCs w:val="21"/>
                <w:lang w:eastAsia="zh-CN"/>
              </w:rPr>
              <w:t>54</w:t>
            </w:r>
          </w:p>
        </w:tc>
        <w:tc>
          <w:tcPr>
            <w:tcW w:w="737" w:type="pct"/>
            <w:vAlign w:val="center"/>
          </w:tcPr>
          <w:p w14:paraId="1AABD88C" w14:textId="0606CA3A" w:rsidR="00A54A8A" w:rsidRPr="00E67914" w:rsidRDefault="000B7369">
            <w:pPr>
              <w:snapToGrid w:val="0"/>
              <w:jc w:val="center"/>
              <w:rPr>
                <w:rFonts w:ascii="Times New Roman" w:hAnsi="Times New Roman"/>
                <w:sz w:val="21"/>
                <w:szCs w:val="21"/>
                <w:lang w:eastAsia="zh-CN"/>
              </w:rPr>
            </w:pPr>
            <w:r w:rsidRPr="00E67914">
              <w:rPr>
                <w:rFonts w:ascii="Times New Roman" w:hAnsi="Times New Roman"/>
                <w:sz w:val="21"/>
                <w:szCs w:val="21"/>
                <w:lang w:eastAsia="zh-CN"/>
              </w:rPr>
              <w:t>10</w:t>
            </w:r>
          </w:p>
        </w:tc>
        <w:tc>
          <w:tcPr>
            <w:tcW w:w="736" w:type="pct"/>
            <w:vMerge/>
            <w:vAlign w:val="center"/>
          </w:tcPr>
          <w:p w14:paraId="4D9F24B0" w14:textId="77777777" w:rsidR="00A54A8A" w:rsidRPr="00E67914" w:rsidRDefault="00A54A8A">
            <w:pPr>
              <w:snapToGrid w:val="0"/>
              <w:jc w:val="center"/>
              <w:rPr>
                <w:rFonts w:ascii="Times New Roman" w:hAnsi="Times New Roman"/>
                <w:sz w:val="21"/>
                <w:szCs w:val="21"/>
                <w:lang w:eastAsia="zh-CN"/>
              </w:rPr>
            </w:pPr>
          </w:p>
        </w:tc>
      </w:tr>
      <w:tr w:rsidR="00A54A8A" w:rsidRPr="00E67914" w14:paraId="64115DC1" w14:textId="77777777">
        <w:trPr>
          <w:jc w:val="center"/>
        </w:trPr>
        <w:tc>
          <w:tcPr>
            <w:tcW w:w="837" w:type="pct"/>
            <w:vMerge/>
            <w:vAlign w:val="center"/>
          </w:tcPr>
          <w:p w14:paraId="15340ACE" w14:textId="77777777" w:rsidR="00A54A8A" w:rsidRPr="00E67914" w:rsidRDefault="00A54A8A">
            <w:pPr>
              <w:jc w:val="center"/>
              <w:rPr>
                <w:rFonts w:ascii="Times New Roman" w:hAnsi="Times New Roman"/>
              </w:rPr>
            </w:pPr>
          </w:p>
        </w:tc>
        <w:tc>
          <w:tcPr>
            <w:tcW w:w="1466" w:type="pct"/>
            <w:vAlign w:val="center"/>
          </w:tcPr>
          <w:p w14:paraId="088F46E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滚珠刚性扶正器（只）</w:t>
            </w:r>
          </w:p>
        </w:tc>
        <w:tc>
          <w:tcPr>
            <w:tcW w:w="486" w:type="pct"/>
            <w:vAlign w:val="center"/>
          </w:tcPr>
          <w:p w14:paraId="7B9F92A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8" w:type="pct"/>
            <w:vAlign w:val="center"/>
          </w:tcPr>
          <w:p w14:paraId="33CA4492"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737" w:type="pct"/>
            <w:vAlign w:val="center"/>
          </w:tcPr>
          <w:p w14:paraId="71B57385" w14:textId="7D691993"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1</w:t>
            </w:r>
            <w:r w:rsidR="000B7369" w:rsidRPr="00E67914">
              <w:rPr>
                <w:rFonts w:ascii="Times New Roman" w:hAnsi="Times New Roman"/>
                <w:sz w:val="21"/>
                <w:szCs w:val="21"/>
                <w:lang w:eastAsia="zh-CN"/>
              </w:rPr>
              <w:t>81</w:t>
            </w:r>
          </w:p>
        </w:tc>
        <w:tc>
          <w:tcPr>
            <w:tcW w:w="736" w:type="pct"/>
            <w:vMerge/>
            <w:vAlign w:val="center"/>
          </w:tcPr>
          <w:p w14:paraId="591DB764" w14:textId="77777777" w:rsidR="00A54A8A" w:rsidRPr="00E67914" w:rsidRDefault="00A54A8A">
            <w:pPr>
              <w:snapToGrid w:val="0"/>
              <w:jc w:val="center"/>
              <w:rPr>
                <w:rFonts w:ascii="Times New Roman" w:hAnsi="Times New Roman"/>
                <w:sz w:val="21"/>
                <w:szCs w:val="21"/>
                <w:lang w:eastAsia="zh-CN"/>
              </w:rPr>
            </w:pPr>
          </w:p>
        </w:tc>
      </w:tr>
    </w:tbl>
    <w:p w14:paraId="09469A92" w14:textId="77777777" w:rsidR="00A54A8A" w:rsidRPr="00E67914" w:rsidRDefault="00A54A8A">
      <w:pPr>
        <w:widowControl w:val="0"/>
        <w:autoSpaceDE w:val="0"/>
        <w:autoSpaceDN w:val="0"/>
        <w:adjustRightInd w:val="0"/>
        <w:snapToGrid w:val="0"/>
        <w:jc w:val="center"/>
        <w:textAlignment w:val="baseline"/>
        <w:rPr>
          <w:rFonts w:ascii="Times New Roman" w:hAnsi="Times New Roman"/>
          <w:sz w:val="21"/>
          <w:szCs w:val="21"/>
          <w:lang w:eastAsia="zh-CN"/>
        </w:rPr>
      </w:pPr>
    </w:p>
    <w:p w14:paraId="74A48444" w14:textId="77777777" w:rsidR="00A54A8A" w:rsidRPr="00E67914" w:rsidRDefault="00000000">
      <w:pPr>
        <w:widowControl w:val="0"/>
        <w:autoSpaceDE w:val="0"/>
        <w:autoSpaceDN w:val="0"/>
        <w:adjustRightInd w:val="0"/>
        <w:snapToGrid w:val="0"/>
        <w:spacing w:beforeLines="50" w:before="120" w:line="360" w:lineRule="auto"/>
        <w:ind w:firstLine="482"/>
        <w:textAlignment w:val="baseline"/>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4</w:t>
      </w:r>
      <w:r w:rsidRPr="00E67914">
        <w:rPr>
          <w:rFonts w:ascii="Times New Roman" w:hAnsi="Times New Roman"/>
          <w:b/>
          <w:bCs/>
          <w:sz w:val="24"/>
          <w:szCs w:val="24"/>
          <w:lang w:eastAsia="zh-CN"/>
        </w:rPr>
        <w:t>）储层改造</w:t>
      </w:r>
    </w:p>
    <w:p w14:paraId="66730B81" w14:textId="075F6569" w:rsidR="00A54A8A" w:rsidRPr="00E67914" w:rsidRDefault="00000000">
      <w:pPr>
        <w:widowControl w:val="0"/>
        <w:autoSpaceDE w:val="0"/>
        <w:autoSpaceDN w:val="0"/>
        <w:adjustRightInd w:val="0"/>
        <w:snapToGrid w:val="0"/>
        <w:spacing w:line="360" w:lineRule="auto"/>
        <w:ind w:firstLine="482"/>
        <w:textAlignment w:val="baseline"/>
        <w:rPr>
          <w:rFonts w:ascii="Times New Roman" w:hAnsi="Times New Roman"/>
          <w:sz w:val="24"/>
          <w:szCs w:val="24"/>
          <w:lang w:eastAsia="zh-CN"/>
        </w:rPr>
      </w:pPr>
      <w:r w:rsidRPr="00E67914">
        <w:rPr>
          <w:rFonts w:ascii="Times New Roman" w:hAnsi="Times New Roman"/>
          <w:sz w:val="24"/>
          <w:szCs w:val="24"/>
          <w:lang w:eastAsia="zh-CN"/>
        </w:rPr>
        <w:t>借鉴普光陆相千佛崖组及川西须家河组致密砂岩体积压裂经验，采用</w:t>
      </w:r>
      <w:r w:rsidRPr="00E67914">
        <w:rPr>
          <w:rFonts w:ascii="Times New Roman" w:hAnsi="Times New Roman"/>
          <w:sz w:val="24"/>
          <w:szCs w:val="24"/>
          <w:lang w:eastAsia="zh-CN"/>
        </w:rPr>
        <w:t>“</w:t>
      </w:r>
      <w:r w:rsidR="00420EC8" w:rsidRPr="00E67914">
        <w:rPr>
          <w:rFonts w:ascii="Times New Roman" w:hAnsi="Times New Roman"/>
          <w:sz w:val="24"/>
          <w:lang w:eastAsia="zh-CN"/>
        </w:rPr>
        <w:t>密切割</w:t>
      </w:r>
      <w:r w:rsidR="00420EC8" w:rsidRPr="00E67914">
        <w:rPr>
          <w:rFonts w:ascii="Times New Roman" w:hAnsi="Times New Roman"/>
          <w:sz w:val="24"/>
          <w:lang w:eastAsia="zh-CN"/>
        </w:rPr>
        <w:t>+</w:t>
      </w:r>
      <w:r w:rsidR="00420EC8" w:rsidRPr="00E67914">
        <w:rPr>
          <w:rFonts w:ascii="Times New Roman" w:hAnsi="Times New Roman"/>
          <w:sz w:val="24"/>
          <w:lang w:eastAsia="zh-CN"/>
        </w:rPr>
        <w:t>双暂堵</w:t>
      </w:r>
      <w:r w:rsidR="00420EC8" w:rsidRPr="00E67914">
        <w:rPr>
          <w:rFonts w:ascii="Times New Roman" w:hAnsi="Times New Roman"/>
          <w:sz w:val="24"/>
          <w:lang w:eastAsia="zh-CN"/>
        </w:rPr>
        <w:t>+</w:t>
      </w:r>
      <w:r w:rsidR="00420EC8" w:rsidRPr="00E67914">
        <w:rPr>
          <w:rFonts w:ascii="Times New Roman" w:hAnsi="Times New Roman"/>
          <w:sz w:val="24"/>
          <w:lang w:eastAsia="zh-CN"/>
        </w:rPr>
        <w:t>多尺度裂缝强加砂</w:t>
      </w:r>
      <w:r w:rsidR="00420EC8" w:rsidRPr="00E67914">
        <w:rPr>
          <w:rFonts w:ascii="Times New Roman" w:hAnsi="Times New Roman"/>
          <w:sz w:val="24"/>
          <w:lang w:eastAsia="zh-CN"/>
        </w:rPr>
        <w:t>+</w:t>
      </w:r>
      <w:r w:rsidR="00420EC8" w:rsidRPr="00E67914">
        <w:rPr>
          <w:rFonts w:ascii="Times New Roman" w:hAnsi="Times New Roman"/>
          <w:sz w:val="24"/>
          <w:lang w:eastAsia="zh-CN"/>
        </w:rPr>
        <w:t>穿层扩体</w:t>
      </w:r>
      <w:r w:rsidRPr="00E67914">
        <w:rPr>
          <w:rFonts w:ascii="Times New Roman" w:hAnsi="Times New Roman"/>
          <w:sz w:val="24"/>
          <w:szCs w:val="24"/>
          <w:lang w:eastAsia="zh-CN"/>
        </w:rPr>
        <w:t>”</w:t>
      </w:r>
      <w:r w:rsidRPr="00E67914">
        <w:rPr>
          <w:rFonts w:ascii="Times New Roman" w:hAnsi="Times New Roman"/>
          <w:sz w:val="24"/>
          <w:szCs w:val="24"/>
          <w:lang w:eastAsia="zh-CN"/>
        </w:rPr>
        <w:t>压裂工艺模式。</w:t>
      </w:r>
      <w:r w:rsidR="00420EC8" w:rsidRPr="00E67914">
        <w:rPr>
          <w:rFonts w:ascii="Times New Roman" w:hAnsi="Times New Roman"/>
          <w:sz w:val="24"/>
          <w:lang w:eastAsia="zh-CN"/>
        </w:rPr>
        <w:t>尽可能形成复杂裂缝，增加压裂纵向改造范围，提升压裂裂缝支撑效果。设计单段液量</w:t>
      </w:r>
      <w:r w:rsidR="00420EC8" w:rsidRPr="00E67914">
        <w:rPr>
          <w:rFonts w:ascii="Times New Roman" w:hAnsi="Times New Roman"/>
          <w:sz w:val="24"/>
          <w:lang w:eastAsia="zh-CN"/>
        </w:rPr>
        <w:t>1800m</w:t>
      </w:r>
      <w:r w:rsidR="00420EC8" w:rsidRPr="00E67914">
        <w:rPr>
          <w:rFonts w:ascii="Times New Roman" w:hAnsi="Times New Roman"/>
          <w:sz w:val="24"/>
          <w:lang w:eastAsia="zh-CN"/>
        </w:rPr>
        <w:t>，单段砂量</w:t>
      </w:r>
      <w:r w:rsidR="00420EC8" w:rsidRPr="00E67914">
        <w:rPr>
          <w:rFonts w:ascii="Times New Roman" w:hAnsi="Times New Roman"/>
          <w:sz w:val="24"/>
          <w:lang w:eastAsia="zh-CN"/>
        </w:rPr>
        <w:t>150m</w:t>
      </w:r>
      <w:r w:rsidR="00420EC8" w:rsidRPr="00E67914">
        <w:rPr>
          <w:rFonts w:ascii="Times New Roman" w:hAnsi="Times New Roman"/>
          <w:sz w:val="24"/>
          <w:vertAlign w:val="superscript"/>
          <w:lang w:eastAsia="zh-CN"/>
        </w:rPr>
        <w:t>3</w:t>
      </w:r>
      <w:r w:rsidRPr="00E67914">
        <w:rPr>
          <w:rFonts w:ascii="Times New Roman" w:hAnsi="Times New Roman"/>
          <w:sz w:val="24"/>
          <w:szCs w:val="24"/>
          <w:lang w:eastAsia="zh-CN"/>
        </w:rPr>
        <w:t>。</w:t>
      </w:r>
    </w:p>
    <w:p w14:paraId="52559618" w14:textId="368D4094" w:rsidR="00A54A8A" w:rsidRPr="00E67914" w:rsidRDefault="00000000">
      <w:pPr>
        <w:jc w:val="center"/>
        <w:rPr>
          <w:rFonts w:ascii="Times New Roman" w:eastAsia="黑体" w:hAnsi="Times New Roman"/>
          <w:sz w:val="21"/>
          <w:lang w:eastAsia="zh-CN"/>
        </w:rPr>
      </w:pPr>
      <w:r w:rsidRPr="00E67914">
        <w:rPr>
          <w:rFonts w:ascii="Times New Roman" w:eastAsia="黑体" w:hAnsi="Times New Roman"/>
          <w:sz w:val="21"/>
          <w:lang w:eastAsia="zh-CN"/>
        </w:rPr>
        <w:t>表</w:t>
      </w:r>
      <w:r w:rsidRPr="00E67914">
        <w:rPr>
          <w:rFonts w:ascii="Times New Roman" w:eastAsia="黑体" w:hAnsi="Times New Roman"/>
          <w:sz w:val="21"/>
          <w:lang w:eastAsia="zh-CN"/>
        </w:rPr>
        <w:t xml:space="preserve">3.2-13  </w:t>
      </w:r>
      <w:r w:rsidRPr="00E67914">
        <w:rPr>
          <w:rFonts w:ascii="Times New Roman" w:eastAsia="黑体" w:hAnsi="Times New Roman"/>
          <w:sz w:val="21"/>
          <w:lang w:eastAsia="zh-CN"/>
        </w:rPr>
        <w:t>压裂液量统计表</w:t>
      </w:r>
    </w:p>
    <w:tbl>
      <w:tblPr>
        <w:tblStyle w:val="affb"/>
        <w:tblW w:w="5000" w:type="pct"/>
        <w:tblLook w:val="04A0" w:firstRow="1" w:lastRow="0" w:firstColumn="1" w:lastColumn="0" w:noHBand="0" w:noVBand="1"/>
      </w:tblPr>
      <w:tblGrid>
        <w:gridCol w:w="625"/>
        <w:gridCol w:w="636"/>
        <w:gridCol w:w="471"/>
        <w:gridCol w:w="1017"/>
        <w:gridCol w:w="1017"/>
        <w:gridCol w:w="1120"/>
        <w:gridCol w:w="1120"/>
        <w:gridCol w:w="1121"/>
        <w:gridCol w:w="1173"/>
      </w:tblGrid>
      <w:tr w:rsidR="00E67914" w:rsidRPr="00E67914" w14:paraId="4988CA78" w14:textId="77777777" w:rsidTr="00420EC8">
        <w:trPr>
          <w:trHeight w:val="640"/>
        </w:trPr>
        <w:tc>
          <w:tcPr>
            <w:tcW w:w="381" w:type="pct"/>
            <w:vAlign w:val="center"/>
          </w:tcPr>
          <w:p w14:paraId="386BFF65" w14:textId="20C20010"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rPr>
              <w:t>井号</w:t>
            </w:r>
          </w:p>
        </w:tc>
        <w:tc>
          <w:tcPr>
            <w:tcW w:w="350" w:type="pct"/>
            <w:vAlign w:val="center"/>
          </w:tcPr>
          <w:p w14:paraId="22319604" w14:textId="7F1041CA"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lang w:eastAsia="zh-CN"/>
              </w:rPr>
              <w:t>水平段长</w:t>
            </w:r>
          </w:p>
        </w:tc>
        <w:tc>
          <w:tcPr>
            <w:tcW w:w="288" w:type="pct"/>
            <w:vAlign w:val="center"/>
          </w:tcPr>
          <w:p w14:paraId="6354E680" w14:textId="77777777"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段数</w:t>
            </w:r>
          </w:p>
        </w:tc>
        <w:tc>
          <w:tcPr>
            <w:tcW w:w="617" w:type="pct"/>
            <w:vAlign w:val="center"/>
          </w:tcPr>
          <w:p w14:paraId="3508F60B" w14:textId="0C0C0C18"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lang w:eastAsia="zh-CN"/>
              </w:rPr>
              <w:t>前置酸（</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617" w:type="pct"/>
            <w:vAlign w:val="center"/>
          </w:tcPr>
          <w:p w14:paraId="4B1BAE8A" w14:textId="690D0F18"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总液量</w:t>
            </w:r>
            <w:r w:rsidRPr="00E67914">
              <w:rPr>
                <w:rFonts w:ascii="Times New Roman" w:hAnsi="Times New Roman"/>
                <w:sz w:val="21"/>
                <w:szCs w:val="21"/>
                <w:lang w:eastAsia="zh-CN"/>
              </w:rPr>
              <w:t>（</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679" w:type="pct"/>
            <w:vAlign w:val="center"/>
          </w:tcPr>
          <w:p w14:paraId="0003CF82" w14:textId="77777777"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低粘滑溜水</w:t>
            </w:r>
            <w:r w:rsidRPr="00E67914">
              <w:rPr>
                <w:rFonts w:ascii="Times New Roman" w:hAnsi="Times New Roman"/>
                <w:sz w:val="21"/>
                <w:szCs w:val="21"/>
                <w:lang w:eastAsia="zh-CN"/>
              </w:rPr>
              <w:t>（</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679" w:type="pct"/>
            <w:vAlign w:val="center"/>
          </w:tcPr>
          <w:p w14:paraId="2D3C6CDE" w14:textId="77777777"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中粘滑溜水</w:t>
            </w:r>
            <w:r w:rsidRPr="00E67914">
              <w:rPr>
                <w:rFonts w:ascii="Times New Roman" w:hAnsi="Times New Roman"/>
                <w:sz w:val="21"/>
                <w:szCs w:val="21"/>
                <w:lang w:eastAsia="zh-CN"/>
              </w:rPr>
              <w:t>（</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679" w:type="pct"/>
            <w:vAlign w:val="center"/>
          </w:tcPr>
          <w:p w14:paraId="022954CC" w14:textId="77777777"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高粘滑溜水</w:t>
            </w:r>
            <w:r w:rsidRPr="00E67914">
              <w:rPr>
                <w:rFonts w:ascii="Times New Roman" w:hAnsi="Times New Roman"/>
                <w:sz w:val="21"/>
                <w:szCs w:val="21"/>
                <w:lang w:eastAsia="zh-CN"/>
              </w:rPr>
              <w:t>（</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710" w:type="pct"/>
            <w:vAlign w:val="center"/>
          </w:tcPr>
          <w:p w14:paraId="06A6D6BD" w14:textId="5129FB02" w:rsidR="00420EC8" w:rsidRPr="00E67914" w:rsidRDefault="00AE189E" w:rsidP="00420EC8">
            <w:pPr>
              <w:snapToGrid w:val="0"/>
              <w:jc w:val="center"/>
              <w:rPr>
                <w:rFonts w:ascii="Times New Roman" w:hAnsi="Times New Roman"/>
                <w:sz w:val="21"/>
                <w:szCs w:val="21"/>
              </w:rPr>
            </w:pPr>
            <w:r w:rsidRPr="00E67914">
              <w:rPr>
                <w:rFonts w:ascii="Times New Roman" w:hAnsi="Times New Roman"/>
                <w:sz w:val="21"/>
                <w:szCs w:val="21"/>
              </w:rPr>
              <w:t>交联</w:t>
            </w:r>
            <w:r w:rsidR="00420EC8" w:rsidRPr="00E67914">
              <w:rPr>
                <w:rFonts w:ascii="Times New Roman" w:hAnsi="Times New Roman"/>
                <w:sz w:val="21"/>
                <w:szCs w:val="21"/>
              </w:rPr>
              <w:t>滑溜水</w:t>
            </w:r>
            <w:r w:rsidR="00420EC8" w:rsidRPr="00E67914">
              <w:rPr>
                <w:rFonts w:ascii="Times New Roman" w:hAnsi="Times New Roman"/>
                <w:sz w:val="21"/>
                <w:szCs w:val="21"/>
                <w:lang w:eastAsia="zh-CN"/>
              </w:rPr>
              <w:t>（</w:t>
            </w:r>
            <w:r w:rsidR="00420EC8" w:rsidRPr="00E67914">
              <w:rPr>
                <w:rFonts w:ascii="Times New Roman" w:hAnsi="Times New Roman"/>
                <w:sz w:val="21"/>
                <w:szCs w:val="21"/>
              </w:rPr>
              <w:t>m</w:t>
            </w:r>
            <w:r w:rsidR="00420EC8" w:rsidRPr="00E67914">
              <w:rPr>
                <w:rFonts w:ascii="Times New Roman" w:hAnsi="Times New Roman"/>
                <w:sz w:val="21"/>
                <w:szCs w:val="21"/>
                <w:vertAlign w:val="superscript"/>
              </w:rPr>
              <w:t>3</w:t>
            </w:r>
            <w:r w:rsidR="00420EC8" w:rsidRPr="00E67914">
              <w:rPr>
                <w:rFonts w:ascii="Times New Roman" w:hAnsi="Times New Roman"/>
                <w:sz w:val="21"/>
                <w:szCs w:val="21"/>
                <w:lang w:eastAsia="zh-CN"/>
              </w:rPr>
              <w:t>）</w:t>
            </w:r>
          </w:p>
        </w:tc>
      </w:tr>
      <w:tr w:rsidR="00E67914" w:rsidRPr="00E67914" w14:paraId="4AD9B413" w14:textId="77777777" w:rsidTr="00420EC8">
        <w:trPr>
          <w:trHeight w:val="678"/>
        </w:trPr>
        <w:tc>
          <w:tcPr>
            <w:tcW w:w="381" w:type="pct"/>
            <w:vAlign w:val="center"/>
          </w:tcPr>
          <w:p w14:paraId="1FCC4074" w14:textId="24BB13CD"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普陆</w:t>
            </w:r>
            <w:r w:rsidRPr="00E67914">
              <w:rPr>
                <w:rFonts w:ascii="Times New Roman" w:hAnsi="Times New Roman"/>
                <w:sz w:val="21"/>
                <w:szCs w:val="21"/>
                <w:lang w:eastAsia="zh-CN"/>
              </w:rPr>
              <w:t>页</w:t>
            </w:r>
            <w:r w:rsidRPr="00E67914">
              <w:rPr>
                <w:rFonts w:ascii="Times New Roman" w:hAnsi="Times New Roman"/>
                <w:sz w:val="21"/>
                <w:szCs w:val="21"/>
                <w:lang w:eastAsia="zh-CN"/>
              </w:rPr>
              <w:t>2-1</w:t>
            </w:r>
          </w:p>
        </w:tc>
        <w:tc>
          <w:tcPr>
            <w:tcW w:w="350" w:type="pct"/>
            <w:vAlign w:val="center"/>
          </w:tcPr>
          <w:p w14:paraId="79D1736F" w14:textId="25402883"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2000</w:t>
            </w:r>
          </w:p>
        </w:tc>
        <w:tc>
          <w:tcPr>
            <w:tcW w:w="288" w:type="pct"/>
            <w:vAlign w:val="center"/>
          </w:tcPr>
          <w:p w14:paraId="73466C99" w14:textId="51D32C38"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28</w:t>
            </w:r>
          </w:p>
        </w:tc>
        <w:tc>
          <w:tcPr>
            <w:tcW w:w="617" w:type="pct"/>
            <w:vAlign w:val="center"/>
          </w:tcPr>
          <w:p w14:paraId="607F5D18" w14:textId="16D5CB03"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45</w:t>
            </w:r>
          </w:p>
        </w:tc>
        <w:tc>
          <w:tcPr>
            <w:tcW w:w="617" w:type="pct"/>
            <w:vAlign w:val="center"/>
          </w:tcPr>
          <w:p w14:paraId="6FC10C69" w14:textId="7A81A20B"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50400</w:t>
            </w:r>
          </w:p>
        </w:tc>
        <w:tc>
          <w:tcPr>
            <w:tcW w:w="679" w:type="pct"/>
            <w:vAlign w:val="center"/>
          </w:tcPr>
          <w:p w14:paraId="5C060876" w14:textId="51C70B3C"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30240</w:t>
            </w:r>
          </w:p>
        </w:tc>
        <w:tc>
          <w:tcPr>
            <w:tcW w:w="679" w:type="pct"/>
            <w:vAlign w:val="center"/>
          </w:tcPr>
          <w:p w14:paraId="6E7F7B7E" w14:textId="03BACE80"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12600</w:t>
            </w:r>
          </w:p>
        </w:tc>
        <w:tc>
          <w:tcPr>
            <w:tcW w:w="679" w:type="pct"/>
            <w:vAlign w:val="center"/>
          </w:tcPr>
          <w:p w14:paraId="2BB18ECE" w14:textId="1B484996"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5040</w:t>
            </w:r>
          </w:p>
        </w:tc>
        <w:tc>
          <w:tcPr>
            <w:tcW w:w="710" w:type="pct"/>
            <w:vAlign w:val="center"/>
          </w:tcPr>
          <w:p w14:paraId="55C03C64" w14:textId="779C124E"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2520</w:t>
            </w:r>
          </w:p>
        </w:tc>
      </w:tr>
      <w:tr w:rsidR="00E67914" w:rsidRPr="00E67914" w14:paraId="1D90B19B" w14:textId="77777777" w:rsidTr="00420EC8">
        <w:trPr>
          <w:trHeight w:val="678"/>
        </w:trPr>
        <w:tc>
          <w:tcPr>
            <w:tcW w:w="381" w:type="pct"/>
            <w:vAlign w:val="center"/>
          </w:tcPr>
          <w:p w14:paraId="77E600C1" w14:textId="29B19BAC"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普陆</w:t>
            </w:r>
            <w:r w:rsidRPr="00E67914">
              <w:rPr>
                <w:rFonts w:ascii="Times New Roman" w:hAnsi="Times New Roman"/>
                <w:sz w:val="21"/>
                <w:szCs w:val="21"/>
                <w:lang w:eastAsia="zh-CN"/>
              </w:rPr>
              <w:t>页</w:t>
            </w:r>
            <w:r w:rsidRPr="00E67914">
              <w:rPr>
                <w:rFonts w:ascii="Times New Roman" w:hAnsi="Times New Roman"/>
                <w:sz w:val="21"/>
                <w:szCs w:val="21"/>
                <w:lang w:eastAsia="zh-CN"/>
              </w:rPr>
              <w:t>2-2</w:t>
            </w:r>
          </w:p>
        </w:tc>
        <w:tc>
          <w:tcPr>
            <w:tcW w:w="350" w:type="pct"/>
            <w:vAlign w:val="center"/>
          </w:tcPr>
          <w:p w14:paraId="4DB7D862" w14:textId="09B7D841"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2300</w:t>
            </w:r>
          </w:p>
        </w:tc>
        <w:tc>
          <w:tcPr>
            <w:tcW w:w="288" w:type="pct"/>
            <w:vAlign w:val="center"/>
          </w:tcPr>
          <w:p w14:paraId="20F51393" w14:textId="12BEF4F5"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32</w:t>
            </w:r>
          </w:p>
        </w:tc>
        <w:tc>
          <w:tcPr>
            <w:tcW w:w="617" w:type="pct"/>
            <w:vAlign w:val="center"/>
          </w:tcPr>
          <w:p w14:paraId="148D56A0" w14:textId="1B5D07F4"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45</w:t>
            </w:r>
          </w:p>
        </w:tc>
        <w:tc>
          <w:tcPr>
            <w:tcW w:w="617" w:type="pct"/>
            <w:vAlign w:val="center"/>
          </w:tcPr>
          <w:p w14:paraId="74FCBE6C" w14:textId="6DBC4E9D"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57600</w:t>
            </w:r>
          </w:p>
        </w:tc>
        <w:tc>
          <w:tcPr>
            <w:tcW w:w="679" w:type="pct"/>
            <w:vAlign w:val="center"/>
          </w:tcPr>
          <w:p w14:paraId="1F223524" w14:textId="147F2A08"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34560</w:t>
            </w:r>
          </w:p>
        </w:tc>
        <w:tc>
          <w:tcPr>
            <w:tcW w:w="679" w:type="pct"/>
            <w:vAlign w:val="center"/>
          </w:tcPr>
          <w:p w14:paraId="7E5D5BF3" w14:textId="7051D941"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14400</w:t>
            </w:r>
          </w:p>
        </w:tc>
        <w:tc>
          <w:tcPr>
            <w:tcW w:w="679" w:type="pct"/>
            <w:vAlign w:val="center"/>
          </w:tcPr>
          <w:p w14:paraId="5E9D6A1E" w14:textId="3AFB743F"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5760</w:t>
            </w:r>
          </w:p>
        </w:tc>
        <w:tc>
          <w:tcPr>
            <w:tcW w:w="710" w:type="pct"/>
            <w:vAlign w:val="center"/>
          </w:tcPr>
          <w:p w14:paraId="57FCF004" w14:textId="44E50BDA"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2880</w:t>
            </w:r>
          </w:p>
        </w:tc>
      </w:tr>
      <w:tr w:rsidR="00E67914" w:rsidRPr="00E67914" w14:paraId="0BD5914A" w14:textId="77777777" w:rsidTr="00420EC8">
        <w:trPr>
          <w:trHeight w:val="678"/>
        </w:trPr>
        <w:tc>
          <w:tcPr>
            <w:tcW w:w="381" w:type="pct"/>
            <w:vAlign w:val="center"/>
          </w:tcPr>
          <w:p w14:paraId="5B856F17" w14:textId="2FC10E81" w:rsidR="00420EC8" w:rsidRPr="00E67914" w:rsidRDefault="00420EC8" w:rsidP="00420EC8">
            <w:pPr>
              <w:snapToGrid w:val="0"/>
              <w:jc w:val="center"/>
              <w:rPr>
                <w:rFonts w:ascii="Times New Roman" w:hAnsi="Times New Roman"/>
                <w:sz w:val="21"/>
                <w:szCs w:val="21"/>
              </w:rPr>
            </w:pPr>
            <w:r w:rsidRPr="00E67914">
              <w:rPr>
                <w:rFonts w:ascii="Times New Roman" w:hAnsi="Times New Roman"/>
                <w:sz w:val="21"/>
                <w:szCs w:val="21"/>
              </w:rPr>
              <w:t>普陆</w:t>
            </w:r>
            <w:r w:rsidRPr="00E67914">
              <w:rPr>
                <w:rFonts w:ascii="Times New Roman" w:hAnsi="Times New Roman"/>
                <w:sz w:val="21"/>
                <w:szCs w:val="21"/>
                <w:lang w:eastAsia="zh-CN"/>
              </w:rPr>
              <w:t>页</w:t>
            </w:r>
            <w:r w:rsidRPr="00E67914">
              <w:rPr>
                <w:rFonts w:ascii="Times New Roman" w:hAnsi="Times New Roman"/>
                <w:sz w:val="21"/>
                <w:szCs w:val="21"/>
                <w:lang w:eastAsia="zh-CN"/>
              </w:rPr>
              <w:t>2-3</w:t>
            </w:r>
          </w:p>
        </w:tc>
        <w:tc>
          <w:tcPr>
            <w:tcW w:w="350" w:type="pct"/>
            <w:vAlign w:val="center"/>
          </w:tcPr>
          <w:p w14:paraId="2903BAB2" w14:textId="1ECA9104"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1800</w:t>
            </w:r>
          </w:p>
        </w:tc>
        <w:tc>
          <w:tcPr>
            <w:tcW w:w="288" w:type="pct"/>
            <w:vAlign w:val="center"/>
          </w:tcPr>
          <w:p w14:paraId="0F1E0360" w14:textId="10B50CCA"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25</w:t>
            </w:r>
          </w:p>
        </w:tc>
        <w:tc>
          <w:tcPr>
            <w:tcW w:w="617" w:type="pct"/>
            <w:vAlign w:val="center"/>
          </w:tcPr>
          <w:p w14:paraId="1155C532" w14:textId="33D94ECE" w:rsidR="00420EC8" w:rsidRPr="00E67914" w:rsidRDefault="00420EC8"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45</w:t>
            </w:r>
          </w:p>
        </w:tc>
        <w:tc>
          <w:tcPr>
            <w:tcW w:w="617" w:type="pct"/>
            <w:vAlign w:val="center"/>
          </w:tcPr>
          <w:p w14:paraId="0D744302" w14:textId="5F79FBE8"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45000</w:t>
            </w:r>
          </w:p>
        </w:tc>
        <w:tc>
          <w:tcPr>
            <w:tcW w:w="679" w:type="pct"/>
            <w:vAlign w:val="center"/>
          </w:tcPr>
          <w:p w14:paraId="403B61FE" w14:textId="3E91EC8F"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27000</w:t>
            </w:r>
          </w:p>
        </w:tc>
        <w:tc>
          <w:tcPr>
            <w:tcW w:w="679" w:type="pct"/>
            <w:vAlign w:val="center"/>
          </w:tcPr>
          <w:p w14:paraId="412B24F1" w14:textId="6550B9B2"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11250</w:t>
            </w:r>
          </w:p>
        </w:tc>
        <w:tc>
          <w:tcPr>
            <w:tcW w:w="679" w:type="pct"/>
            <w:vAlign w:val="center"/>
          </w:tcPr>
          <w:p w14:paraId="2F34F8F5" w14:textId="4C39B957"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4500</w:t>
            </w:r>
          </w:p>
        </w:tc>
        <w:tc>
          <w:tcPr>
            <w:tcW w:w="710" w:type="pct"/>
            <w:vAlign w:val="center"/>
          </w:tcPr>
          <w:p w14:paraId="1E3FACD1" w14:textId="6A3BFC26" w:rsidR="00420EC8" w:rsidRPr="00E67914" w:rsidRDefault="00AE189E" w:rsidP="00420EC8">
            <w:pPr>
              <w:snapToGrid w:val="0"/>
              <w:jc w:val="center"/>
              <w:rPr>
                <w:rFonts w:ascii="Times New Roman" w:hAnsi="Times New Roman"/>
                <w:sz w:val="21"/>
                <w:szCs w:val="21"/>
                <w:lang w:eastAsia="zh-CN"/>
              </w:rPr>
            </w:pPr>
            <w:r w:rsidRPr="00E67914">
              <w:rPr>
                <w:rFonts w:ascii="Times New Roman" w:hAnsi="Times New Roman"/>
                <w:sz w:val="21"/>
                <w:szCs w:val="21"/>
                <w:lang w:eastAsia="zh-CN"/>
              </w:rPr>
              <w:t>2250</w:t>
            </w:r>
          </w:p>
        </w:tc>
      </w:tr>
    </w:tbl>
    <w:p w14:paraId="766B9325" w14:textId="65C1EA31" w:rsidR="00A54A8A" w:rsidRPr="00E67914" w:rsidRDefault="00000000">
      <w:pPr>
        <w:jc w:val="center"/>
        <w:rPr>
          <w:rFonts w:ascii="Times New Roman" w:eastAsia="黑体" w:hAnsi="Times New Roman"/>
          <w:sz w:val="21"/>
          <w:lang w:eastAsia="zh-CN"/>
        </w:rPr>
      </w:pPr>
      <w:r w:rsidRPr="00E67914">
        <w:rPr>
          <w:rFonts w:ascii="Times New Roman" w:eastAsia="黑体" w:hAnsi="Times New Roman"/>
          <w:sz w:val="21"/>
          <w:lang w:eastAsia="zh-CN"/>
        </w:rPr>
        <w:t>表</w:t>
      </w:r>
      <w:r w:rsidRPr="00E67914">
        <w:rPr>
          <w:rFonts w:ascii="Times New Roman" w:eastAsia="黑体" w:hAnsi="Times New Roman"/>
          <w:sz w:val="21"/>
          <w:lang w:eastAsia="zh-CN"/>
        </w:rPr>
        <w:t xml:space="preserve">3.2-14  </w:t>
      </w:r>
      <w:r w:rsidRPr="00E67914">
        <w:rPr>
          <w:rFonts w:ascii="Times New Roman" w:eastAsia="黑体" w:hAnsi="Times New Roman"/>
          <w:sz w:val="21"/>
          <w:lang w:eastAsia="zh-CN"/>
        </w:rPr>
        <w:t>支撑剂用量统计表</w:t>
      </w:r>
    </w:p>
    <w:tbl>
      <w:tblPr>
        <w:tblStyle w:val="affa"/>
        <w:tblW w:w="5000" w:type="pct"/>
        <w:tblLook w:val="04A0" w:firstRow="1" w:lastRow="0" w:firstColumn="1" w:lastColumn="0" w:noHBand="0" w:noVBand="1"/>
      </w:tblPr>
      <w:tblGrid>
        <w:gridCol w:w="1070"/>
        <w:gridCol w:w="748"/>
        <w:gridCol w:w="959"/>
        <w:gridCol w:w="1197"/>
        <w:gridCol w:w="1021"/>
        <w:gridCol w:w="1137"/>
        <w:gridCol w:w="1021"/>
        <w:gridCol w:w="1147"/>
      </w:tblGrid>
      <w:tr w:rsidR="00E67914" w:rsidRPr="00E67914" w14:paraId="400D9601" w14:textId="77777777" w:rsidTr="00D41AE8">
        <w:tc>
          <w:tcPr>
            <w:tcW w:w="644" w:type="pct"/>
            <w:vAlign w:val="center"/>
          </w:tcPr>
          <w:p w14:paraId="444DB804"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井号</w:t>
            </w:r>
          </w:p>
        </w:tc>
        <w:tc>
          <w:tcPr>
            <w:tcW w:w="450" w:type="pct"/>
            <w:vAlign w:val="center"/>
          </w:tcPr>
          <w:p w14:paraId="74994F43"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段数</w:t>
            </w:r>
          </w:p>
        </w:tc>
        <w:tc>
          <w:tcPr>
            <w:tcW w:w="578" w:type="pct"/>
            <w:vAlign w:val="center"/>
          </w:tcPr>
          <w:p w14:paraId="3882A710"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总砂量</w:t>
            </w:r>
            <w:r w:rsidRPr="00E67914">
              <w:rPr>
                <w:rFonts w:ascii="Times New Roman" w:hAnsi="Times New Roman"/>
                <w:sz w:val="21"/>
                <w:szCs w:val="21"/>
                <w:lang w:eastAsia="zh-CN"/>
              </w:rPr>
              <w:t>（</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721" w:type="pct"/>
            <w:vAlign w:val="center"/>
          </w:tcPr>
          <w:p w14:paraId="074FF60B"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70/140</w:t>
            </w:r>
            <w:r w:rsidRPr="00E67914">
              <w:rPr>
                <w:rFonts w:ascii="Times New Roman" w:hAnsi="Times New Roman"/>
                <w:sz w:val="21"/>
                <w:szCs w:val="21"/>
              </w:rPr>
              <w:t>目</w:t>
            </w:r>
          </w:p>
          <w:p w14:paraId="219EC6AF"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石英砂</w:t>
            </w:r>
            <w:r w:rsidRPr="00E67914">
              <w:rPr>
                <w:rFonts w:ascii="Times New Roman" w:hAnsi="Times New Roman"/>
                <w:sz w:val="21"/>
                <w:szCs w:val="21"/>
                <w:lang w:eastAsia="zh-CN"/>
              </w:rPr>
              <w:t>（</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615" w:type="pct"/>
            <w:vAlign w:val="center"/>
          </w:tcPr>
          <w:p w14:paraId="6338F460"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40/70</w:t>
            </w:r>
            <w:r w:rsidRPr="00E67914">
              <w:rPr>
                <w:rFonts w:ascii="Times New Roman" w:hAnsi="Times New Roman"/>
                <w:sz w:val="21"/>
                <w:szCs w:val="21"/>
              </w:rPr>
              <w:t>目</w:t>
            </w:r>
          </w:p>
          <w:p w14:paraId="1B03E7AF"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石英砂</w:t>
            </w:r>
            <w:r w:rsidRPr="00E67914">
              <w:rPr>
                <w:rFonts w:ascii="Times New Roman" w:hAnsi="Times New Roman"/>
                <w:sz w:val="21"/>
                <w:szCs w:val="21"/>
                <w:lang w:eastAsia="zh-CN"/>
              </w:rPr>
              <w:t>（</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685" w:type="pct"/>
            <w:vAlign w:val="center"/>
          </w:tcPr>
          <w:p w14:paraId="7FDBF21F"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30/50</w:t>
            </w:r>
            <w:r w:rsidRPr="00E67914">
              <w:rPr>
                <w:rFonts w:ascii="Times New Roman" w:hAnsi="Times New Roman"/>
                <w:sz w:val="21"/>
                <w:szCs w:val="21"/>
              </w:rPr>
              <w:t>目</w:t>
            </w:r>
          </w:p>
          <w:p w14:paraId="33E48F64"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陶粒</w:t>
            </w:r>
            <w:r w:rsidRPr="00E67914">
              <w:rPr>
                <w:rFonts w:ascii="Times New Roman" w:hAnsi="Times New Roman"/>
                <w:sz w:val="21"/>
                <w:szCs w:val="21"/>
                <w:lang w:eastAsia="zh-CN"/>
              </w:rPr>
              <w:t>（</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lang w:eastAsia="zh-CN"/>
              </w:rPr>
              <w:t>）</w:t>
            </w:r>
          </w:p>
        </w:tc>
        <w:tc>
          <w:tcPr>
            <w:tcW w:w="615" w:type="pct"/>
            <w:vAlign w:val="center"/>
          </w:tcPr>
          <w:p w14:paraId="625DBA2E"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暂堵球</w:t>
            </w:r>
          </w:p>
          <w:p w14:paraId="40BC6229"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（个）</w:t>
            </w:r>
          </w:p>
        </w:tc>
        <w:tc>
          <w:tcPr>
            <w:tcW w:w="691" w:type="pct"/>
            <w:vAlign w:val="center"/>
          </w:tcPr>
          <w:p w14:paraId="160E8481"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暂堵剂</w:t>
            </w:r>
          </w:p>
          <w:p w14:paraId="45FE18E3" w14:textId="77777777" w:rsidR="00AE189E" w:rsidRPr="00E67914" w:rsidRDefault="00AE189E">
            <w:pPr>
              <w:snapToGrid w:val="0"/>
              <w:jc w:val="center"/>
              <w:rPr>
                <w:rFonts w:ascii="Times New Roman" w:hAnsi="Times New Roman"/>
                <w:sz w:val="21"/>
                <w:szCs w:val="21"/>
              </w:rPr>
            </w:pPr>
            <w:r w:rsidRPr="00E67914">
              <w:rPr>
                <w:rFonts w:ascii="Times New Roman" w:hAnsi="Times New Roman"/>
                <w:sz w:val="21"/>
                <w:szCs w:val="21"/>
              </w:rPr>
              <w:t>（</w:t>
            </w:r>
            <w:r w:rsidRPr="00E67914">
              <w:rPr>
                <w:rFonts w:ascii="Times New Roman" w:hAnsi="Times New Roman"/>
                <w:sz w:val="21"/>
                <w:szCs w:val="21"/>
              </w:rPr>
              <w:t>t</w:t>
            </w:r>
            <w:r w:rsidRPr="00E67914">
              <w:rPr>
                <w:rFonts w:ascii="Times New Roman" w:hAnsi="Times New Roman"/>
                <w:sz w:val="21"/>
                <w:szCs w:val="21"/>
              </w:rPr>
              <w:t>）</w:t>
            </w:r>
          </w:p>
        </w:tc>
      </w:tr>
      <w:tr w:rsidR="00E67914" w:rsidRPr="00E67914" w14:paraId="68DCA67A" w14:textId="77777777" w:rsidTr="00D41AE8">
        <w:tc>
          <w:tcPr>
            <w:tcW w:w="644" w:type="pct"/>
            <w:vAlign w:val="center"/>
          </w:tcPr>
          <w:p w14:paraId="213B123B" w14:textId="6432FB4F" w:rsidR="00AE189E" w:rsidRPr="00E67914" w:rsidRDefault="00AE189E" w:rsidP="00AE189E">
            <w:pPr>
              <w:snapToGrid w:val="0"/>
              <w:jc w:val="center"/>
              <w:rPr>
                <w:rFonts w:ascii="Times New Roman" w:hAnsi="Times New Roman"/>
                <w:sz w:val="21"/>
                <w:szCs w:val="21"/>
              </w:rPr>
            </w:pPr>
            <w:r w:rsidRPr="00E67914">
              <w:rPr>
                <w:rFonts w:ascii="Times New Roman" w:hAnsi="Times New Roman"/>
                <w:sz w:val="21"/>
                <w:szCs w:val="21"/>
              </w:rPr>
              <w:t>普陆</w:t>
            </w:r>
            <w:r w:rsidRPr="00E67914">
              <w:rPr>
                <w:rFonts w:ascii="Times New Roman" w:hAnsi="Times New Roman"/>
                <w:sz w:val="21"/>
                <w:szCs w:val="21"/>
                <w:lang w:eastAsia="zh-CN"/>
              </w:rPr>
              <w:t>页</w:t>
            </w:r>
            <w:r w:rsidRPr="00E67914">
              <w:rPr>
                <w:rFonts w:ascii="Times New Roman" w:hAnsi="Times New Roman"/>
                <w:sz w:val="21"/>
                <w:szCs w:val="21"/>
                <w:lang w:eastAsia="zh-CN"/>
              </w:rPr>
              <w:t>2-1</w:t>
            </w:r>
          </w:p>
        </w:tc>
        <w:tc>
          <w:tcPr>
            <w:tcW w:w="450" w:type="pct"/>
            <w:vAlign w:val="center"/>
          </w:tcPr>
          <w:p w14:paraId="72372D1C" w14:textId="2F17E9D6" w:rsidR="00AE189E" w:rsidRPr="00E67914" w:rsidRDefault="00AE189E" w:rsidP="00AE189E">
            <w:pPr>
              <w:snapToGrid w:val="0"/>
              <w:jc w:val="center"/>
              <w:rPr>
                <w:rFonts w:ascii="Times New Roman" w:hAnsi="Times New Roman"/>
                <w:sz w:val="21"/>
                <w:szCs w:val="21"/>
              </w:rPr>
            </w:pPr>
            <w:r w:rsidRPr="00E67914">
              <w:rPr>
                <w:rFonts w:ascii="Times New Roman" w:hAnsi="Times New Roman"/>
                <w:sz w:val="21"/>
                <w:szCs w:val="21"/>
                <w:lang w:eastAsia="zh-CN"/>
              </w:rPr>
              <w:t>28</w:t>
            </w:r>
          </w:p>
        </w:tc>
        <w:tc>
          <w:tcPr>
            <w:tcW w:w="578" w:type="pct"/>
            <w:vAlign w:val="center"/>
          </w:tcPr>
          <w:p w14:paraId="49CA768B" w14:textId="051F914D"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4200</w:t>
            </w:r>
          </w:p>
        </w:tc>
        <w:tc>
          <w:tcPr>
            <w:tcW w:w="721" w:type="pct"/>
            <w:vAlign w:val="center"/>
          </w:tcPr>
          <w:p w14:paraId="77329792" w14:textId="77F24498"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2520</w:t>
            </w:r>
          </w:p>
        </w:tc>
        <w:tc>
          <w:tcPr>
            <w:tcW w:w="615" w:type="pct"/>
            <w:vAlign w:val="center"/>
          </w:tcPr>
          <w:p w14:paraId="6AEDBD83" w14:textId="2FFB9CF9"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1288</w:t>
            </w:r>
          </w:p>
        </w:tc>
        <w:tc>
          <w:tcPr>
            <w:tcW w:w="685" w:type="pct"/>
            <w:vAlign w:val="center"/>
          </w:tcPr>
          <w:p w14:paraId="3D8C45FF" w14:textId="75938A63"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392</w:t>
            </w:r>
          </w:p>
        </w:tc>
        <w:tc>
          <w:tcPr>
            <w:tcW w:w="615" w:type="pct"/>
            <w:vAlign w:val="center"/>
          </w:tcPr>
          <w:p w14:paraId="496627C5" w14:textId="2E62B261" w:rsidR="00AE189E" w:rsidRPr="00E67914" w:rsidRDefault="000B02B4"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2.8</w:t>
            </w:r>
          </w:p>
        </w:tc>
        <w:tc>
          <w:tcPr>
            <w:tcW w:w="691" w:type="pct"/>
            <w:vAlign w:val="center"/>
          </w:tcPr>
          <w:p w14:paraId="6F108C20" w14:textId="23921673" w:rsidR="00AE189E" w:rsidRPr="00E67914" w:rsidRDefault="000B02B4"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840</w:t>
            </w:r>
          </w:p>
        </w:tc>
      </w:tr>
      <w:tr w:rsidR="00E67914" w:rsidRPr="00E67914" w14:paraId="0E8C5927" w14:textId="77777777" w:rsidTr="00D41AE8">
        <w:trPr>
          <w:trHeight w:val="43"/>
        </w:trPr>
        <w:tc>
          <w:tcPr>
            <w:tcW w:w="644" w:type="pct"/>
            <w:vAlign w:val="center"/>
          </w:tcPr>
          <w:p w14:paraId="69B348E4" w14:textId="12DFE024" w:rsidR="00AE189E" w:rsidRPr="00E67914" w:rsidRDefault="00AE189E" w:rsidP="00AE189E">
            <w:pPr>
              <w:snapToGrid w:val="0"/>
              <w:jc w:val="center"/>
              <w:rPr>
                <w:rFonts w:ascii="Times New Roman" w:hAnsi="Times New Roman"/>
                <w:sz w:val="21"/>
                <w:szCs w:val="21"/>
              </w:rPr>
            </w:pPr>
            <w:r w:rsidRPr="00E67914">
              <w:rPr>
                <w:rFonts w:ascii="Times New Roman" w:hAnsi="Times New Roman"/>
                <w:sz w:val="21"/>
                <w:szCs w:val="21"/>
              </w:rPr>
              <w:t>普陆</w:t>
            </w:r>
            <w:r w:rsidRPr="00E67914">
              <w:rPr>
                <w:rFonts w:ascii="Times New Roman" w:hAnsi="Times New Roman"/>
                <w:sz w:val="21"/>
                <w:szCs w:val="21"/>
                <w:lang w:eastAsia="zh-CN"/>
              </w:rPr>
              <w:t>页</w:t>
            </w:r>
            <w:r w:rsidRPr="00E67914">
              <w:rPr>
                <w:rFonts w:ascii="Times New Roman" w:hAnsi="Times New Roman"/>
                <w:sz w:val="21"/>
                <w:szCs w:val="21"/>
                <w:lang w:eastAsia="zh-CN"/>
              </w:rPr>
              <w:t>2-2</w:t>
            </w:r>
          </w:p>
        </w:tc>
        <w:tc>
          <w:tcPr>
            <w:tcW w:w="450" w:type="pct"/>
            <w:vAlign w:val="center"/>
          </w:tcPr>
          <w:p w14:paraId="1E00361C" w14:textId="437294A1" w:rsidR="00AE189E" w:rsidRPr="00E67914" w:rsidRDefault="00AE189E" w:rsidP="00AE189E">
            <w:pPr>
              <w:snapToGrid w:val="0"/>
              <w:jc w:val="center"/>
              <w:rPr>
                <w:rFonts w:ascii="Times New Roman" w:hAnsi="Times New Roman"/>
                <w:sz w:val="21"/>
                <w:szCs w:val="21"/>
              </w:rPr>
            </w:pPr>
            <w:r w:rsidRPr="00E67914">
              <w:rPr>
                <w:rFonts w:ascii="Times New Roman" w:hAnsi="Times New Roman"/>
                <w:sz w:val="21"/>
                <w:szCs w:val="21"/>
                <w:lang w:eastAsia="zh-CN"/>
              </w:rPr>
              <w:t>32</w:t>
            </w:r>
          </w:p>
        </w:tc>
        <w:tc>
          <w:tcPr>
            <w:tcW w:w="578" w:type="pct"/>
            <w:vAlign w:val="center"/>
          </w:tcPr>
          <w:p w14:paraId="09289D80" w14:textId="03F8BB3E"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4800</w:t>
            </w:r>
          </w:p>
        </w:tc>
        <w:tc>
          <w:tcPr>
            <w:tcW w:w="721" w:type="pct"/>
            <w:vAlign w:val="center"/>
          </w:tcPr>
          <w:p w14:paraId="762EFC5B" w14:textId="68A08EC6"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2880</w:t>
            </w:r>
          </w:p>
        </w:tc>
        <w:tc>
          <w:tcPr>
            <w:tcW w:w="615" w:type="pct"/>
            <w:vAlign w:val="center"/>
          </w:tcPr>
          <w:p w14:paraId="03942C7E" w14:textId="20FA4FE1"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1472</w:t>
            </w:r>
          </w:p>
        </w:tc>
        <w:tc>
          <w:tcPr>
            <w:tcW w:w="685" w:type="pct"/>
            <w:vAlign w:val="center"/>
          </w:tcPr>
          <w:p w14:paraId="667B93F2" w14:textId="654B2612"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448</w:t>
            </w:r>
          </w:p>
        </w:tc>
        <w:tc>
          <w:tcPr>
            <w:tcW w:w="615" w:type="pct"/>
            <w:vAlign w:val="center"/>
          </w:tcPr>
          <w:p w14:paraId="2DE79144" w14:textId="3C2FA393" w:rsidR="00AE189E" w:rsidRPr="00E67914" w:rsidRDefault="000B02B4"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3.2</w:t>
            </w:r>
          </w:p>
        </w:tc>
        <w:tc>
          <w:tcPr>
            <w:tcW w:w="691" w:type="pct"/>
            <w:vAlign w:val="center"/>
          </w:tcPr>
          <w:p w14:paraId="27BCBC31" w14:textId="65AC71AE" w:rsidR="00AE189E" w:rsidRPr="00E67914" w:rsidRDefault="000B02B4"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960</w:t>
            </w:r>
          </w:p>
        </w:tc>
      </w:tr>
      <w:tr w:rsidR="00E67914" w:rsidRPr="00E67914" w14:paraId="6EB0E714" w14:textId="77777777" w:rsidTr="00D41AE8">
        <w:tc>
          <w:tcPr>
            <w:tcW w:w="644" w:type="pct"/>
            <w:vAlign w:val="center"/>
          </w:tcPr>
          <w:p w14:paraId="198F7E8E" w14:textId="5BCD4159" w:rsidR="00AE189E" w:rsidRPr="00E67914" w:rsidRDefault="00AE189E" w:rsidP="00AE189E">
            <w:pPr>
              <w:snapToGrid w:val="0"/>
              <w:jc w:val="center"/>
              <w:rPr>
                <w:rFonts w:ascii="Times New Roman" w:hAnsi="Times New Roman"/>
                <w:sz w:val="21"/>
                <w:szCs w:val="21"/>
              </w:rPr>
            </w:pPr>
            <w:r w:rsidRPr="00E67914">
              <w:rPr>
                <w:rFonts w:ascii="Times New Roman" w:hAnsi="Times New Roman"/>
                <w:sz w:val="21"/>
                <w:szCs w:val="21"/>
              </w:rPr>
              <w:t>普陆</w:t>
            </w:r>
            <w:r w:rsidRPr="00E67914">
              <w:rPr>
                <w:rFonts w:ascii="Times New Roman" w:hAnsi="Times New Roman"/>
                <w:sz w:val="21"/>
                <w:szCs w:val="21"/>
                <w:lang w:eastAsia="zh-CN"/>
              </w:rPr>
              <w:t>页</w:t>
            </w:r>
            <w:r w:rsidRPr="00E67914">
              <w:rPr>
                <w:rFonts w:ascii="Times New Roman" w:hAnsi="Times New Roman"/>
                <w:sz w:val="21"/>
                <w:szCs w:val="21"/>
                <w:lang w:eastAsia="zh-CN"/>
              </w:rPr>
              <w:t>2-3</w:t>
            </w:r>
          </w:p>
        </w:tc>
        <w:tc>
          <w:tcPr>
            <w:tcW w:w="450" w:type="pct"/>
            <w:vAlign w:val="center"/>
          </w:tcPr>
          <w:p w14:paraId="30F6DA50" w14:textId="6A8B68F5" w:rsidR="00AE189E" w:rsidRPr="00E67914" w:rsidRDefault="00AE189E" w:rsidP="00AE189E">
            <w:pPr>
              <w:snapToGrid w:val="0"/>
              <w:jc w:val="center"/>
              <w:rPr>
                <w:rFonts w:ascii="Times New Roman" w:hAnsi="Times New Roman"/>
                <w:sz w:val="21"/>
                <w:szCs w:val="21"/>
              </w:rPr>
            </w:pPr>
            <w:r w:rsidRPr="00E67914">
              <w:rPr>
                <w:rFonts w:ascii="Times New Roman" w:hAnsi="Times New Roman"/>
                <w:sz w:val="21"/>
                <w:szCs w:val="21"/>
                <w:lang w:eastAsia="zh-CN"/>
              </w:rPr>
              <w:t>25</w:t>
            </w:r>
          </w:p>
        </w:tc>
        <w:tc>
          <w:tcPr>
            <w:tcW w:w="578" w:type="pct"/>
            <w:vAlign w:val="center"/>
          </w:tcPr>
          <w:p w14:paraId="092208E8" w14:textId="75230A92"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3750</w:t>
            </w:r>
          </w:p>
        </w:tc>
        <w:tc>
          <w:tcPr>
            <w:tcW w:w="721" w:type="pct"/>
            <w:vAlign w:val="center"/>
          </w:tcPr>
          <w:p w14:paraId="79BC5796" w14:textId="2D826278"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2250</w:t>
            </w:r>
          </w:p>
        </w:tc>
        <w:tc>
          <w:tcPr>
            <w:tcW w:w="615" w:type="pct"/>
            <w:vAlign w:val="center"/>
          </w:tcPr>
          <w:p w14:paraId="4979153F" w14:textId="7916F818"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1150</w:t>
            </w:r>
          </w:p>
        </w:tc>
        <w:tc>
          <w:tcPr>
            <w:tcW w:w="685" w:type="pct"/>
            <w:vAlign w:val="center"/>
          </w:tcPr>
          <w:p w14:paraId="4530E030" w14:textId="32F5E5D2" w:rsidR="00AE189E" w:rsidRPr="00E67914" w:rsidRDefault="00AE189E"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350</w:t>
            </w:r>
          </w:p>
        </w:tc>
        <w:tc>
          <w:tcPr>
            <w:tcW w:w="615" w:type="pct"/>
            <w:vAlign w:val="center"/>
          </w:tcPr>
          <w:p w14:paraId="7F156428" w14:textId="7D334C7E" w:rsidR="00AE189E" w:rsidRPr="00E67914" w:rsidRDefault="000B02B4"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2.5</w:t>
            </w:r>
          </w:p>
        </w:tc>
        <w:tc>
          <w:tcPr>
            <w:tcW w:w="691" w:type="pct"/>
            <w:vAlign w:val="center"/>
          </w:tcPr>
          <w:p w14:paraId="72B040BF" w14:textId="61BB3350" w:rsidR="00AE189E" w:rsidRPr="00E67914" w:rsidRDefault="000B02B4" w:rsidP="00AE189E">
            <w:pPr>
              <w:snapToGrid w:val="0"/>
              <w:jc w:val="center"/>
              <w:rPr>
                <w:rFonts w:ascii="Times New Roman" w:hAnsi="Times New Roman"/>
                <w:sz w:val="21"/>
                <w:szCs w:val="21"/>
                <w:lang w:eastAsia="zh-CN"/>
              </w:rPr>
            </w:pPr>
            <w:r w:rsidRPr="00E67914">
              <w:rPr>
                <w:rFonts w:ascii="Times New Roman" w:hAnsi="Times New Roman"/>
                <w:sz w:val="21"/>
                <w:szCs w:val="21"/>
                <w:lang w:eastAsia="zh-CN"/>
              </w:rPr>
              <w:t>750</w:t>
            </w:r>
          </w:p>
        </w:tc>
      </w:tr>
    </w:tbl>
    <w:p w14:paraId="10429BAC" w14:textId="77777777" w:rsidR="00A54A8A" w:rsidRPr="00E67914" w:rsidRDefault="00000000">
      <w:pPr>
        <w:widowControl w:val="0"/>
        <w:autoSpaceDE w:val="0"/>
        <w:autoSpaceDN w:val="0"/>
        <w:adjustRightInd w:val="0"/>
        <w:snapToGrid w:val="0"/>
        <w:spacing w:line="360" w:lineRule="auto"/>
        <w:ind w:firstLineChars="200" w:firstLine="480"/>
        <w:jc w:val="both"/>
        <w:textAlignment w:val="baseline"/>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t>3.2.5.2</w:t>
      </w:r>
      <w:r w:rsidRPr="00E67914">
        <w:rPr>
          <w:rFonts w:ascii="Times New Roman" w:eastAsia="黑体" w:hAnsi="Times New Roman"/>
          <w:sz w:val="24"/>
          <w:szCs w:val="24"/>
          <w:lang w:eastAsia="zh-CN"/>
        </w:rPr>
        <w:t>试采期</w:t>
      </w:r>
    </w:p>
    <w:p w14:paraId="665ACBA8" w14:textId="1848F67C" w:rsidR="00A54A8A" w:rsidRPr="00E67914" w:rsidRDefault="00000000">
      <w:pPr>
        <w:widowControl w:val="0"/>
        <w:autoSpaceDE w:val="0"/>
        <w:autoSpaceDN w:val="0"/>
        <w:adjustRightInd w:val="0"/>
        <w:snapToGrid w:val="0"/>
        <w:spacing w:line="360" w:lineRule="auto"/>
        <w:ind w:firstLineChars="200" w:firstLine="480"/>
        <w:textAlignment w:val="baseline"/>
        <w:rPr>
          <w:rFonts w:ascii="Times New Roman" w:hAnsi="Times New Roman"/>
          <w:sz w:val="24"/>
          <w:szCs w:val="24"/>
          <w:lang w:eastAsia="zh-CN"/>
        </w:rPr>
      </w:pPr>
      <w:r w:rsidRPr="00E67914">
        <w:rPr>
          <w:rFonts w:ascii="Times New Roman" w:hAnsi="Times New Roman"/>
          <w:sz w:val="24"/>
          <w:szCs w:val="24"/>
          <w:lang w:eastAsia="zh-CN"/>
        </w:rPr>
        <w:t>项目试采期为天然气的试采，控制系统消耗一定的电能，</w:t>
      </w:r>
      <w:r w:rsidR="00DF13D7" w:rsidRPr="00E67914">
        <w:rPr>
          <w:rFonts w:ascii="Times New Roman" w:hAnsi="Times New Roman"/>
          <w:sz w:val="24"/>
          <w:szCs w:val="24"/>
          <w:lang w:eastAsia="zh-CN"/>
        </w:rPr>
        <w:t>水套加热炉加热系统与火炬长明灯消耗一定的天然气，</w:t>
      </w:r>
      <w:r w:rsidRPr="00E67914">
        <w:rPr>
          <w:rFonts w:ascii="Times New Roman" w:hAnsi="Times New Roman"/>
          <w:sz w:val="24"/>
          <w:szCs w:val="24"/>
          <w:lang w:eastAsia="zh-CN"/>
        </w:rPr>
        <w:t>试采工程主要原辅材料消耗情况见下表</w:t>
      </w:r>
      <w:r w:rsidRPr="00E67914">
        <w:rPr>
          <w:rFonts w:ascii="Times New Roman" w:hAnsi="Times New Roman"/>
          <w:sz w:val="24"/>
          <w:szCs w:val="24"/>
          <w:lang w:eastAsia="zh-CN"/>
        </w:rPr>
        <w:t>3.2-15</w:t>
      </w:r>
      <w:r w:rsidRPr="00E67914">
        <w:rPr>
          <w:rFonts w:ascii="Times New Roman" w:hAnsi="Times New Roman"/>
          <w:sz w:val="24"/>
          <w:szCs w:val="24"/>
          <w:lang w:eastAsia="zh-CN"/>
        </w:rPr>
        <w:t>。</w:t>
      </w:r>
    </w:p>
    <w:p w14:paraId="4443D262"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3.2-15  </w:t>
      </w:r>
      <w:r w:rsidRPr="00E67914">
        <w:rPr>
          <w:rFonts w:ascii="Times New Roman" w:eastAsia="黑体" w:hAnsi="Times New Roman"/>
          <w:sz w:val="21"/>
          <w:szCs w:val="21"/>
          <w:lang w:eastAsia="zh-CN"/>
        </w:rPr>
        <w:t>试采工程材料消耗一览表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2209"/>
        <w:gridCol w:w="2223"/>
        <w:gridCol w:w="2208"/>
      </w:tblGrid>
      <w:tr w:rsidR="00E67914" w:rsidRPr="00E67914" w14:paraId="2CB18DD5" w14:textId="77777777">
        <w:trPr>
          <w:jc w:val="center"/>
        </w:trPr>
        <w:tc>
          <w:tcPr>
            <w:tcW w:w="1000" w:type="pct"/>
            <w:vAlign w:val="center"/>
          </w:tcPr>
          <w:p w14:paraId="78EAD81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序号</w:t>
            </w:r>
          </w:p>
        </w:tc>
        <w:tc>
          <w:tcPr>
            <w:tcW w:w="1331" w:type="pct"/>
            <w:vAlign w:val="center"/>
          </w:tcPr>
          <w:p w14:paraId="64709FB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名称</w:t>
            </w:r>
          </w:p>
        </w:tc>
        <w:tc>
          <w:tcPr>
            <w:tcW w:w="1339" w:type="pct"/>
            <w:vAlign w:val="center"/>
          </w:tcPr>
          <w:p w14:paraId="4FABA2D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单位</w:t>
            </w:r>
          </w:p>
        </w:tc>
        <w:tc>
          <w:tcPr>
            <w:tcW w:w="1331" w:type="pct"/>
            <w:vAlign w:val="center"/>
          </w:tcPr>
          <w:p w14:paraId="0692116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数量</w:t>
            </w:r>
          </w:p>
        </w:tc>
      </w:tr>
      <w:tr w:rsidR="00E67914" w:rsidRPr="00E67914" w14:paraId="08BCA95A" w14:textId="77777777">
        <w:trPr>
          <w:jc w:val="center"/>
        </w:trPr>
        <w:tc>
          <w:tcPr>
            <w:tcW w:w="1000" w:type="pct"/>
            <w:vAlign w:val="center"/>
          </w:tcPr>
          <w:p w14:paraId="329AE4D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1331" w:type="pct"/>
            <w:vAlign w:val="center"/>
          </w:tcPr>
          <w:p w14:paraId="7B4907D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天然气</w:t>
            </w:r>
          </w:p>
        </w:tc>
        <w:tc>
          <w:tcPr>
            <w:tcW w:w="1339" w:type="pct"/>
            <w:vAlign w:val="center"/>
          </w:tcPr>
          <w:p w14:paraId="3BBF45E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万</w:t>
            </w:r>
            <w:r w:rsidRPr="00E67914">
              <w:rPr>
                <w:rFonts w:ascii="Times New Roman" w:hAnsi="Times New Roman"/>
                <w:sz w:val="21"/>
                <w:szCs w:val="21"/>
              </w:rPr>
              <w:t>m</w:t>
            </w:r>
            <w:r w:rsidRPr="00E67914">
              <w:rPr>
                <w:rFonts w:ascii="Times New Roman" w:hAnsi="Times New Roman"/>
                <w:sz w:val="21"/>
                <w:szCs w:val="21"/>
                <w:vertAlign w:val="superscript"/>
              </w:rPr>
              <w:t>3</w:t>
            </w:r>
            <w:r w:rsidRPr="00E67914">
              <w:rPr>
                <w:rFonts w:ascii="Times New Roman" w:hAnsi="Times New Roman"/>
                <w:sz w:val="21"/>
                <w:szCs w:val="21"/>
              </w:rPr>
              <w:t>/a</w:t>
            </w:r>
          </w:p>
        </w:tc>
        <w:tc>
          <w:tcPr>
            <w:tcW w:w="1331" w:type="pct"/>
            <w:vAlign w:val="center"/>
          </w:tcPr>
          <w:p w14:paraId="33E9BE1B" w14:textId="2200E41C" w:rsidR="00A54A8A" w:rsidRPr="00E67914" w:rsidRDefault="00CB50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24.9</w:t>
            </w:r>
          </w:p>
        </w:tc>
      </w:tr>
      <w:tr w:rsidR="00E67914" w:rsidRPr="00E67914" w14:paraId="63E534A4" w14:textId="77777777">
        <w:trPr>
          <w:jc w:val="center"/>
        </w:trPr>
        <w:tc>
          <w:tcPr>
            <w:tcW w:w="1000" w:type="pct"/>
            <w:vAlign w:val="center"/>
          </w:tcPr>
          <w:p w14:paraId="48B987C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w:t>
            </w:r>
          </w:p>
        </w:tc>
        <w:tc>
          <w:tcPr>
            <w:tcW w:w="1331" w:type="pct"/>
            <w:vAlign w:val="center"/>
          </w:tcPr>
          <w:p w14:paraId="109A01C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电</w:t>
            </w:r>
          </w:p>
        </w:tc>
        <w:tc>
          <w:tcPr>
            <w:tcW w:w="1339" w:type="pct"/>
            <w:vAlign w:val="center"/>
          </w:tcPr>
          <w:p w14:paraId="7F441DF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万</w:t>
            </w:r>
            <w:r w:rsidRPr="00E67914">
              <w:rPr>
                <w:rFonts w:ascii="Times New Roman" w:hAnsi="Times New Roman"/>
                <w:sz w:val="21"/>
                <w:szCs w:val="21"/>
              </w:rPr>
              <w:t>kw·h/a</w:t>
            </w:r>
          </w:p>
        </w:tc>
        <w:tc>
          <w:tcPr>
            <w:tcW w:w="1331" w:type="pct"/>
            <w:vAlign w:val="center"/>
          </w:tcPr>
          <w:p w14:paraId="733F7129" w14:textId="4648B3F4" w:rsidR="00A54A8A" w:rsidRPr="00E67914" w:rsidRDefault="00DF13D7">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54.7</w:t>
            </w:r>
          </w:p>
        </w:tc>
      </w:tr>
      <w:tr w:rsidR="00E67914" w:rsidRPr="00E67914" w14:paraId="338C4C35" w14:textId="77777777">
        <w:trPr>
          <w:jc w:val="center"/>
        </w:trPr>
        <w:tc>
          <w:tcPr>
            <w:tcW w:w="1000" w:type="pct"/>
            <w:vAlign w:val="center"/>
          </w:tcPr>
          <w:p w14:paraId="6B21766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w:t>
            </w:r>
          </w:p>
        </w:tc>
        <w:tc>
          <w:tcPr>
            <w:tcW w:w="1331" w:type="pct"/>
            <w:vAlign w:val="center"/>
          </w:tcPr>
          <w:p w14:paraId="7DC947A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新鲜水</w:t>
            </w:r>
          </w:p>
        </w:tc>
        <w:tc>
          <w:tcPr>
            <w:tcW w:w="1339" w:type="pct"/>
            <w:vAlign w:val="center"/>
          </w:tcPr>
          <w:p w14:paraId="2DCECEE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/a</w:t>
            </w:r>
          </w:p>
        </w:tc>
        <w:tc>
          <w:tcPr>
            <w:tcW w:w="1331" w:type="pct"/>
            <w:vAlign w:val="center"/>
          </w:tcPr>
          <w:p w14:paraId="71E32EEE" w14:textId="491C46C0" w:rsidR="00A54A8A" w:rsidRPr="00E67914" w:rsidRDefault="003159D6">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50</w:t>
            </w:r>
          </w:p>
        </w:tc>
      </w:tr>
    </w:tbl>
    <w:p w14:paraId="28546EE3" w14:textId="77777777" w:rsidR="00A54A8A" w:rsidRPr="00E67914" w:rsidRDefault="00000000">
      <w:pPr>
        <w:pStyle w:val="3"/>
        <w:adjustRightInd w:val="0"/>
        <w:snapToGrid w:val="0"/>
        <w:spacing w:beforeLines="50" w:before="120" w:after="0" w:line="360" w:lineRule="auto"/>
        <w:ind w:firstLineChars="200" w:firstLine="480"/>
        <w:jc w:val="both"/>
        <w:rPr>
          <w:rFonts w:ascii="Times New Roman" w:eastAsia="黑体" w:hAnsi="Times New Roman"/>
          <w:b w:val="0"/>
          <w:sz w:val="24"/>
          <w:szCs w:val="24"/>
          <w:lang w:eastAsia="zh-CN"/>
        </w:rPr>
      </w:pPr>
      <w:bookmarkStart w:id="70" w:name="_bookmark19"/>
      <w:bookmarkStart w:id="71" w:name="3.3建设项目环境影响因素分析"/>
      <w:bookmarkEnd w:id="70"/>
      <w:bookmarkEnd w:id="71"/>
      <w:r w:rsidRPr="00E67914">
        <w:rPr>
          <w:rFonts w:ascii="Times New Roman" w:eastAsia="黑体" w:hAnsi="Times New Roman"/>
          <w:b w:val="0"/>
          <w:sz w:val="24"/>
          <w:szCs w:val="24"/>
          <w:lang w:eastAsia="zh-CN"/>
        </w:rPr>
        <w:lastRenderedPageBreak/>
        <w:t>3.2.6</w:t>
      </w:r>
      <w:r w:rsidRPr="00E67914">
        <w:rPr>
          <w:rFonts w:ascii="Times New Roman" w:eastAsia="黑体" w:hAnsi="Times New Roman"/>
          <w:b w:val="0"/>
          <w:sz w:val="24"/>
          <w:szCs w:val="24"/>
          <w:lang w:eastAsia="zh-CN"/>
        </w:rPr>
        <w:t>项目给排水及供电</w:t>
      </w:r>
    </w:p>
    <w:p w14:paraId="4A2EC7F1"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1</w:t>
      </w:r>
      <w:r w:rsidRPr="00E67914">
        <w:rPr>
          <w:rFonts w:ascii="Times New Roman" w:eastAsia="黑体" w:hAnsi="Times New Roman"/>
          <w:lang w:eastAsia="zh-CN"/>
        </w:rPr>
        <w:t>、项目给水</w:t>
      </w:r>
    </w:p>
    <w:p w14:paraId="7FB93B58" w14:textId="41AA299D"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本项目施工期的生产用水就近采用周边地表水（可从</w:t>
      </w:r>
      <w:r w:rsidR="000736F8" w:rsidRPr="00E67914">
        <w:rPr>
          <w:rFonts w:ascii="Times New Roman" w:hAnsi="Times New Roman"/>
          <w:lang w:eastAsia="zh-CN"/>
        </w:rPr>
        <w:t>后</w:t>
      </w:r>
      <w:r w:rsidRPr="00E67914">
        <w:rPr>
          <w:rFonts w:ascii="Times New Roman" w:hAnsi="Times New Roman"/>
          <w:lang w:eastAsia="zh-CN"/>
        </w:rPr>
        <w:t>河罐车拉运或水泵抽取），生活用水</w:t>
      </w:r>
      <w:r w:rsidRPr="00E67914">
        <w:rPr>
          <w:rFonts w:ascii="Times New Roman" w:hAnsi="Times New Roman"/>
          <w:kern w:val="28"/>
          <w:szCs w:val="21"/>
          <w:lang w:eastAsia="zh-CN"/>
        </w:rPr>
        <w:t>车辆拉运桶装水至场地</w:t>
      </w:r>
      <w:bookmarkStart w:id="72" w:name="_Hlk91062915"/>
      <w:r w:rsidRPr="00E67914">
        <w:rPr>
          <w:rFonts w:ascii="Times New Roman" w:hAnsi="Times New Roman"/>
          <w:lang w:eastAsia="zh-CN"/>
        </w:rPr>
        <w:t>。试采期用水为</w:t>
      </w:r>
      <w:r w:rsidRPr="00E67914">
        <w:rPr>
          <w:rFonts w:ascii="Times New Roman" w:hAnsi="Times New Roman"/>
          <w:kern w:val="28"/>
          <w:szCs w:val="21"/>
          <w:lang w:eastAsia="zh-CN"/>
        </w:rPr>
        <w:t>车辆拉运桶装水至场地</w:t>
      </w:r>
      <w:r w:rsidRPr="00E67914">
        <w:rPr>
          <w:rFonts w:ascii="Times New Roman" w:hAnsi="Times New Roman"/>
          <w:lang w:eastAsia="zh-CN"/>
        </w:rPr>
        <w:t>。</w:t>
      </w:r>
      <w:bookmarkEnd w:id="72"/>
    </w:p>
    <w:p w14:paraId="00269429"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2</w:t>
      </w:r>
      <w:r w:rsidRPr="00E67914">
        <w:rPr>
          <w:rFonts w:ascii="Times New Roman" w:eastAsia="黑体" w:hAnsi="Times New Roman"/>
          <w:lang w:eastAsia="zh-CN"/>
        </w:rPr>
        <w:t>、项目排水</w:t>
      </w:r>
    </w:p>
    <w:p w14:paraId="630E9FAA"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本项目井场排水采用雨污分流，井场四周设置排水沟，并设置集水坑，场内雨水通过场内排水沟和集水坑（</w:t>
      </w:r>
      <w:r w:rsidRPr="00E67914">
        <w:rPr>
          <w:rFonts w:ascii="Times New Roman" w:hAnsi="Times New Roman"/>
          <w:lang w:eastAsia="zh-CN"/>
        </w:rPr>
        <w:t>4</w:t>
      </w:r>
      <w:r w:rsidRPr="00E67914">
        <w:rPr>
          <w:rFonts w:ascii="Times New Roman" w:hAnsi="Times New Roman"/>
          <w:lang w:eastAsia="zh-CN"/>
        </w:rPr>
        <w:t>个）隔油收集后，初期雨水、井口方井内收集的雨水通过泵提升至泥浆不落地区域暂存，与钻井废水合并处理，后期雨水散排至附近沟渠。若场内雨水被污染流入外环沟，则需封闭外环沟由作业队伍从集水坑抽汲至废水罐或放喷池。</w:t>
      </w:r>
    </w:p>
    <w:p w14:paraId="4310347F" w14:textId="0EFAC085"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经固液分离后的钻井液满足要求的全部在钻井过程中回用，剩余部分和设备冲洗废水、方井雨水、失效泥浆、岩屑等经泥浆不落地装置接收处理后形成钻井废水，部分回用于钻井过程，不可回用于钻井过程的钻井废水、洗井废水（固液分离的上清液）与压裂返排液一起通过密闭罐车拉运至赵家坝污水处理站达标后管输至普光</w:t>
      </w:r>
      <w:r w:rsidRPr="00E67914">
        <w:rPr>
          <w:rFonts w:ascii="Times New Roman" w:hAnsi="Times New Roman"/>
          <w:lang w:eastAsia="zh-CN"/>
        </w:rPr>
        <w:t>11</w:t>
      </w:r>
      <w:r w:rsidRPr="00E67914">
        <w:rPr>
          <w:rFonts w:ascii="Times New Roman" w:hAnsi="Times New Roman"/>
          <w:lang w:eastAsia="zh-CN"/>
        </w:rPr>
        <w:t>井回注站回注，不外排；生活污水经生态厕所收集后定期由密闭罐车拉运至周边生活污水处理厂处理。在井场主要设备基础周边均设置了环状污水沟，用于收集可能产生的污水及雨季时雨水淋滤水，这部分废水通过连接处的集污坑隔油沉淀后最终汇入废水接收罐，接收罐及排污沟围堰上边缘均要高出井场</w:t>
      </w:r>
      <w:r w:rsidRPr="00E67914">
        <w:rPr>
          <w:rFonts w:ascii="Times New Roman" w:hAnsi="Times New Roman"/>
          <w:lang w:eastAsia="zh-CN"/>
        </w:rPr>
        <w:t>20cm</w:t>
      </w:r>
      <w:r w:rsidRPr="00E67914">
        <w:rPr>
          <w:rFonts w:ascii="Times New Roman" w:hAnsi="Times New Roman"/>
          <w:lang w:eastAsia="zh-CN"/>
        </w:rPr>
        <w:t>左右，确保污水不进入雨水排水系统，也防止雨水进入污水系统增加废水量。项目天然气试采产生的</w:t>
      </w:r>
      <w:r w:rsidR="002346F6" w:rsidRPr="00E67914">
        <w:rPr>
          <w:rFonts w:ascii="Times New Roman" w:hAnsi="Times New Roman"/>
          <w:lang w:eastAsia="zh-CN"/>
        </w:rPr>
        <w:t>气田水</w:t>
      </w:r>
      <w:r w:rsidRPr="00E67914">
        <w:rPr>
          <w:rFonts w:ascii="Times New Roman" w:hAnsi="Times New Roman"/>
          <w:lang w:eastAsia="zh-CN"/>
        </w:rPr>
        <w:t>（气田水）用</w:t>
      </w:r>
      <w:r w:rsidR="00A9536E" w:rsidRPr="00E67914">
        <w:rPr>
          <w:rFonts w:ascii="Times New Roman" w:hAnsi="Times New Roman"/>
          <w:lang w:eastAsia="zh-CN"/>
        </w:rPr>
        <w:t>放空分液罐、采出水罐</w:t>
      </w:r>
      <w:r w:rsidRPr="00E67914">
        <w:rPr>
          <w:rFonts w:ascii="Times New Roman" w:hAnsi="Times New Roman"/>
          <w:lang w:eastAsia="zh-CN"/>
        </w:rPr>
        <w:t>收集暂存，暂存一定量后密闭罐车运至赵家坝污水处理站处理达到《气田水回注方法》（</w:t>
      </w:r>
      <w:r w:rsidRPr="00E67914">
        <w:rPr>
          <w:rFonts w:ascii="Times New Roman" w:hAnsi="Times New Roman"/>
          <w:lang w:eastAsia="zh-CN"/>
        </w:rPr>
        <w:t>SY/T 6596-2016</w:t>
      </w:r>
      <w:r w:rsidRPr="00E67914">
        <w:rPr>
          <w:rFonts w:ascii="Times New Roman" w:hAnsi="Times New Roman"/>
          <w:lang w:eastAsia="zh-CN"/>
        </w:rPr>
        <w:t>）中注入水基本要求后管输至普光</w:t>
      </w:r>
      <w:r w:rsidRPr="00E67914">
        <w:rPr>
          <w:rFonts w:ascii="Times New Roman" w:hAnsi="Times New Roman"/>
          <w:lang w:eastAsia="zh-CN"/>
        </w:rPr>
        <w:t>11</w:t>
      </w:r>
      <w:r w:rsidRPr="00E67914">
        <w:rPr>
          <w:rFonts w:ascii="Times New Roman" w:hAnsi="Times New Roman"/>
          <w:lang w:eastAsia="zh-CN"/>
        </w:rPr>
        <w:t>井回注站回注处理，不外排。</w:t>
      </w:r>
    </w:p>
    <w:p w14:paraId="5FBAB80A"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3</w:t>
      </w:r>
      <w:r w:rsidRPr="00E67914">
        <w:rPr>
          <w:rFonts w:ascii="Times New Roman" w:eastAsia="黑体" w:hAnsi="Times New Roman"/>
          <w:lang w:eastAsia="zh-CN"/>
        </w:rPr>
        <w:t>、项目供电</w:t>
      </w:r>
    </w:p>
    <w:p w14:paraId="1933318D"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项目施工期用电优先采用电网接入，在停电等紧急情况下则启用备用柴油发电机组供电。项目试采期，场站内的控制系统计量系统用电等均由地方电网供给。</w:t>
      </w:r>
    </w:p>
    <w:p w14:paraId="5C00A080"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3.2.7</w:t>
      </w:r>
      <w:r w:rsidRPr="00E67914">
        <w:rPr>
          <w:rFonts w:ascii="Times New Roman" w:eastAsia="黑体" w:hAnsi="Times New Roman"/>
          <w:b w:val="0"/>
          <w:sz w:val="24"/>
          <w:szCs w:val="24"/>
          <w:lang w:eastAsia="zh-CN"/>
        </w:rPr>
        <w:t>工程占地及土石方平衡</w:t>
      </w:r>
    </w:p>
    <w:p w14:paraId="48DB0B2A"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1</w:t>
      </w:r>
      <w:r w:rsidRPr="00E67914">
        <w:rPr>
          <w:rFonts w:ascii="Times New Roman" w:eastAsia="黑体" w:hAnsi="Times New Roman"/>
          <w:lang w:eastAsia="zh-CN"/>
        </w:rPr>
        <w:t>、工程占地</w:t>
      </w:r>
    </w:p>
    <w:p w14:paraId="164838DB" w14:textId="463A4166"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lastRenderedPageBreak/>
        <w:t>本项目</w:t>
      </w:r>
      <w:r w:rsidR="00DF13D7" w:rsidRPr="00E67914">
        <w:rPr>
          <w:rFonts w:ascii="Times New Roman" w:hAnsi="Times New Roman"/>
          <w:lang w:eastAsia="zh-CN"/>
        </w:rPr>
        <w:t>占地主要分为四个部分，新普陆页</w:t>
      </w:r>
      <w:r w:rsidR="00DF13D7" w:rsidRPr="00E67914">
        <w:rPr>
          <w:rFonts w:ascii="Times New Roman" w:hAnsi="Times New Roman"/>
          <w:lang w:eastAsia="zh-CN"/>
        </w:rPr>
        <w:t>2</w:t>
      </w:r>
      <w:r w:rsidR="00DF13D7" w:rsidRPr="00E67914">
        <w:rPr>
          <w:rFonts w:ascii="Times New Roman" w:hAnsi="Times New Roman"/>
          <w:lang w:eastAsia="zh-CN"/>
        </w:rPr>
        <w:t>井场、原普陆页</w:t>
      </w:r>
      <w:r w:rsidR="00DF13D7" w:rsidRPr="00E67914">
        <w:rPr>
          <w:rFonts w:ascii="Times New Roman" w:hAnsi="Times New Roman"/>
          <w:lang w:eastAsia="zh-CN"/>
        </w:rPr>
        <w:t>2</w:t>
      </w:r>
      <w:r w:rsidR="00DF13D7" w:rsidRPr="00E67914">
        <w:rPr>
          <w:rFonts w:ascii="Times New Roman" w:hAnsi="Times New Roman"/>
          <w:lang w:eastAsia="zh-CN"/>
        </w:rPr>
        <w:t>井场（普陆页</w:t>
      </w:r>
      <w:r w:rsidR="00DF13D7" w:rsidRPr="00E67914">
        <w:rPr>
          <w:rFonts w:ascii="Times New Roman" w:hAnsi="Times New Roman"/>
          <w:lang w:eastAsia="zh-CN"/>
        </w:rPr>
        <w:t>2</w:t>
      </w:r>
      <w:r w:rsidR="00DF13D7" w:rsidRPr="00E67914">
        <w:rPr>
          <w:rFonts w:ascii="Times New Roman" w:hAnsi="Times New Roman"/>
          <w:lang w:eastAsia="zh-CN"/>
        </w:rPr>
        <w:t>试采站）、普陆页</w:t>
      </w:r>
      <w:r w:rsidR="00DF13D7" w:rsidRPr="00E67914">
        <w:rPr>
          <w:rFonts w:ascii="Times New Roman" w:hAnsi="Times New Roman"/>
          <w:lang w:eastAsia="zh-CN"/>
        </w:rPr>
        <w:t>2</w:t>
      </w:r>
      <w:r w:rsidR="00DF13D7" w:rsidRPr="00E67914">
        <w:rPr>
          <w:rFonts w:ascii="Times New Roman" w:hAnsi="Times New Roman"/>
          <w:lang w:eastAsia="zh-CN"/>
        </w:rPr>
        <w:t>井场到普陆页</w:t>
      </w:r>
      <w:r w:rsidR="00DF13D7" w:rsidRPr="00E67914">
        <w:rPr>
          <w:rFonts w:ascii="Times New Roman" w:hAnsi="Times New Roman"/>
          <w:lang w:eastAsia="zh-CN"/>
        </w:rPr>
        <w:t>2</w:t>
      </w:r>
      <w:r w:rsidR="00DF13D7" w:rsidRPr="00E67914">
        <w:rPr>
          <w:rFonts w:ascii="Times New Roman" w:hAnsi="Times New Roman"/>
          <w:lang w:eastAsia="zh-CN"/>
        </w:rPr>
        <w:t>试采站管线、普陆页</w:t>
      </w:r>
      <w:r w:rsidR="00DF13D7" w:rsidRPr="00E67914">
        <w:rPr>
          <w:rFonts w:ascii="Times New Roman" w:hAnsi="Times New Roman"/>
          <w:lang w:eastAsia="zh-CN"/>
        </w:rPr>
        <w:t>2</w:t>
      </w:r>
      <w:r w:rsidR="00DF13D7" w:rsidRPr="00E67914">
        <w:rPr>
          <w:rFonts w:ascii="Times New Roman" w:hAnsi="Times New Roman"/>
          <w:lang w:eastAsia="zh-CN"/>
        </w:rPr>
        <w:t>试采站至</w:t>
      </w:r>
      <w:r w:rsidR="00DF13D7" w:rsidRPr="00E67914">
        <w:rPr>
          <w:rFonts w:ascii="Times New Roman" w:hAnsi="Times New Roman"/>
          <w:lang w:eastAsia="zh-CN"/>
        </w:rPr>
        <w:t>P302</w:t>
      </w:r>
      <w:r w:rsidR="00DF13D7" w:rsidRPr="00E67914">
        <w:rPr>
          <w:rFonts w:ascii="Times New Roman" w:hAnsi="Times New Roman"/>
          <w:lang w:eastAsia="zh-CN"/>
        </w:rPr>
        <w:t>集气站的外输管线。</w:t>
      </w:r>
      <w:r w:rsidR="009D3B59" w:rsidRPr="00E67914">
        <w:rPr>
          <w:rFonts w:ascii="Times New Roman" w:hAnsi="Times New Roman"/>
          <w:lang w:eastAsia="zh-CN"/>
        </w:rPr>
        <w:t>上述占地均为临时占地，</w:t>
      </w:r>
      <w:r w:rsidR="00394179" w:rsidRPr="00E67914">
        <w:rPr>
          <w:rFonts w:ascii="Times New Roman" w:hAnsi="Times New Roman"/>
          <w:lang w:eastAsia="zh-CN"/>
        </w:rPr>
        <w:t>临时用地手续到期后按要求办理续用或转为永久用地的手续，总占地面积</w:t>
      </w:r>
      <w:r w:rsidR="00394179" w:rsidRPr="00E67914">
        <w:rPr>
          <w:rFonts w:ascii="Times New Roman" w:hAnsi="Times New Roman"/>
          <w:lang w:eastAsia="zh-CN"/>
        </w:rPr>
        <w:t>33988m</w:t>
      </w:r>
      <w:r w:rsidR="00394179" w:rsidRPr="00E67914">
        <w:rPr>
          <w:rFonts w:ascii="Times New Roman" w:hAnsi="Times New Roman"/>
          <w:vertAlign w:val="superscript"/>
          <w:lang w:eastAsia="zh-CN"/>
        </w:rPr>
        <w:t>2</w:t>
      </w:r>
      <w:r w:rsidR="00394179" w:rsidRPr="00E67914">
        <w:rPr>
          <w:rFonts w:ascii="Times New Roman" w:hAnsi="Times New Roman"/>
          <w:lang w:eastAsia="zh-CN"/>
        </w:rPr>
        <w:t>，</w:t>
      </w:r>
      <w:r w:rsidRPr="00E67914">
        <w:rPr>
          <w:rFonts w:ascii="Times New Roman" w:hAnsi="Times New Roman"/>
          <w:lang w:eastAsia="zh-CN"/>
        </w:rPr>
        <w:t>工程的具体占地情况见表</w:t>
      </w:r>
      <w:r w:rsidRPr="00E67914">
        <w:rPr>
          <w:rFonts w:ascii="Times New Roman" w:hAnsi="Times New Roman"/>
          <w:lang w:eastAsia="zh-CN"/>
        </w:rPr>
        <w:t>3.2-16</w:t>
      </w:r>
      <w:r w:rsidRPr="00E67914">
        <w:rPr>
          <w:rFonts w:ascii="Times New Roman" w:hAnsi="Times New Roman"/>
          <w:lang w:eastAsia="zh-CN"/>
        </w:rPr>
        <w:t>。</w:t>
      </w:r>
    </w:p>
    <w:p w14:paraId="54F6ED37"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3.2-16  </w:t>
      </w:r>
      <w:r w:rsidRPr="00E67914">
        <w:rPr>
          <w:rFonts w:ascii="Times New Roman" w:eastAsia="黑体" w:hAnsi="Times New Roman"/>
          <w:sz w:val="21"/>
          <w:szCs w:val="21"/>
          <w:lang w:eastAsia="zh-CN"/>
        </w:rPr>
        <w:t>工程占地类型一览表</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w:t>
      </w:r>
      <w:r w:rsidRPr="00E67914">
        <w:rPr>
          <w:rFonts w:ascii="Times New Roman" w:eastAsia="黑体" w:hAnsi="Times New Roman"/>
          <w:sz w:val="21"/>
          <w:szCs w:val="21"/>
          <w:vertAlign w:val="superscript"/>
          <w:lang w:eastAsia="zh-CN"/>
        </w:rPr>
        <w:t>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2581"/>
        <w:gridCol w:w="1843"/>
        <w:gridCol w:w="1494"/>
        <w:gridCol w:w="1708"/>
      </w:tblGrid>
      <w:tr w:rsidR="00E67914" w:rsidRPr="00E67914" w14:paraId="5BE3DD15" w14:textId="77777777">
        <w:trPr>
          <w:trHeight w:val="340"/>
          <w:jc w:val="center"/>
        </w:trPr>
        <w:tc>
          <w:tcPr>
            <w:tcW w:w="406" w:type="pct"/>
            <w:vAlign w:val="center"/>
          </w:tcPr>
          <w:p w14:paraId="6B6E9F0F" w14:textId="77777777" w:rsidR="00A54A8A" w:rsidRPr="00E67914" w:rsidRDefault="00000000">
            <w:pPr>
              <w:autoSpaceDE w:val="0"/>
              <w:autoSpaceDN w:val="0"/>
              <w:spacing w:line="276" w:lineRule="auto"/>
              <w:jc w:val="center"/>
              <w:rPr>
                <w:rFonts w:ascii="Times New Roman" w:hAnsi="Times New Roman"/>
                <w:b/>
                <w:sz w:val="21"/>
                <w:szCs w:val="21"/>
              </w:rPr>
            </w:pPr>
            <w:r w:rsidRPr="00E67914">
              <w:rPr>
                <w:rFonts w:ascii="Times New Roman" w:hAnsi="Times New Roman"/>
                <w:b/>
                <w:sz w:val="21"/>
                <w:szCs w:val="21"/>
              </w:rPr>
              <w:t>序号</w:t>
            </w:r>
          </w:p>
        </w:tc>
        <w:tc>
          <w:tcPr>
            <w:tcW w:w="1555" w:type="pct"/>
            <w:vAlign w:val="center"/>
          </w:tcPr>
          <w:p w14:paraId="0DD8F505" w14:textId="77777777" w:rsidR="00A54A8A" w:rsidRPr="00E67914" w:rsidRDefault="00000000">
            <w:pPr>
              <w:autoSpaceDE w:val="0"/>
              <w:autoSpaceDN w:val="0"/>
              <w:spacing w:line="276" w:lineRule="auto"/>
              <w:jc w:val="center"/>
              <w:rPr>
                <w:rFonts w:ascii="Times New Roman" w:hAnsi="Times New Roman"/>
                <w:b/>
                <w:sz w:val="21"/>
                <w:szCs w:val="21"/>
              </w:rPr>
            </w:pPr>
            <w:r w:rsidRPr="00E67914">
              <w:rPr>
                <w:rFonts w:ascii="Times New Roman" w:hAnsi="Times New Roman"/>
                <w:b/>
                <w:sz w:val="21"/>
                <w:szCs w:val="21"/>
              </w:rPr>
              <w:t>用地项目</w:t>
            </w:r>
          </w:p>
        </w:tc>
        <w:tc>
          <w:tcPr>
            <w:tcW w:w="1110" w:type="pct"/>
            <w:vAlign w:val="center"/>
          </w:tcPr>
          <w:p w14:paraId="573C69F3" w14:textId="77777777" w:rsidR="00A54A8A" w:rsidRPr="00E67914" w:rsidRDefault="00000000">
            <w:pPr>
              <w:autoSpaceDE w:val="0"/>
              <w:autoSpaceDN w:val="0"/>
              <w:spacing w:line="276" w:lineRule="auto"/>
              <w:jc w:val="center"/>
              <w:rPr>
                <w:rFonts w:ascii="Times New Roman" w:hAnsi="Times New Roman"/>
                <w:b/>
                <w:sz w:val="21"/>
                <w:szCs w:val="21"/>
              </w:rPr>
            </w:pPr>
            <w:r w:rsidRPr="00E67914">
              <w:rPr>
                <w:rFonts w:ascii="Times New Roman" w:hAnsi="Times New Roman"/>
                <w:b/>
                <w:sz w:val="21"/>
                <w:szCs w:val="21"/>
              </w:rPr>
              <w:t>用地面积（</w:t>
            </w:r>
            <w:r w:rsidRPr="00E67914">
              <w:rPr>
                <w:rFonts w:ascii="Times New Roman" w:hAnsi="Times New Roman"/>
                <w:b/>
                <w:bCs/>
                <w:sz w:val="21"/>
                <w:szCs w:val="21"/>
              </w:rPr>
              <w:t>m</w:t>
            </w:r>
            <w:r w:rsidRPr="00E67914">
              <w:rPr>
                <w:rFonts w:ascii="Times New Roman" w:hAnsi="Times New Roman"/>
                <w:b/>
                <w:bCs/>
                <w:sz w:val="21"/>
                <w:szCs w:val="21"/>
                <w:vertAlign w:val="superscript"/>
              </w:rPr>
              <w:t>2</w:t>
            </w:r>
            <w:r w:rsidRPr="00E67914">
              <w:rPr>
                <w:rFonts w:ascii="Times New Roman" w:hAnsi="Times New Roman"/>
                <w:b/>
                <w:sz w:val="21"/>
                <w:szCs w:val="21"/>
              </w:rPr>
              <w:t>）</w:t>
            </w:r>
          </w:p>
        </w:tc>
        <w:tc>
          <w:tcPr>
            <w:tcW w:w="900" w:type="pct"/>
            <w:vAlign w:val="center"/>
          </w:tcPr>
          <w:p w14:paraId="43B984C4" w14:textId="77777777" w:rsidR="00A54A8A" w:rsidRPr="00E67914" w:rsidRDefault="00000000">
            <w:pPr>
              <w:autoSpaceDE w:val="0"/>
              <w:autoSpaceDN w:val="0"/>
              <w:spacing w:line="276" w:lineRule="auto"/>
              <w:jc w:val="center"/>
              <w:rPr>
                <w:rFonts w:ascii="Times New Roman" w:hAnsi="Times New Roman"/>
                <w:b/>
                <w:sz w:val="21"/>
                <w:szCs w:val="21"/>
              </w:rPr>
            </w:pPr>
            <w:r w:rsidRPr="00E67914">
              <w:rPr>
                <w:rFonts w:ascii="Times New Roman" w:hAnsi="Times New Roman"/>
                <w:b/>
                <w:sz w:val="21"/>
                <w:szCs w:val="21"/>
              </w:rPr>
              <w:t>占地类型</w:t>
            </w:r>
          </w:p>
        </w:tc>
        <w:tc>
          <w:tcPr>
            <w:tcW w:w="1029" w:type="pct"/>
            <w:vAlign w:val="center"/>
          </w:tcPr>
          <w:p w14:paraId="3F2725D9" w14:textId="77777777" w:rsidR="00A54A8A" w:rsidRPr="00E67914" w:rsidRDefault="00000000">
            <w:pPr>
              <w:autoSpaceDE w:val="0"/>
              <w:autoSpaceDN w:val="0"/>
              <w:spacing w:line="276" w:lineRule="auto"/>
              <w:jc w:val="center"/>
              <w:rPr>
                <w:rFonts w:ascii="Times New Roman" w:hAnsi="Times New Roman"/>
                <w:b/>
                <w:sz w:val="21"/>
                <w:szCs w:val="21"/>
              </w:rPr>
            </w:pPr>
            <w:r w:rsidRPr="00E67914">
              <w:rPr>
                <w:rFonts w:ascii="Times New Roman" w:hAnsi="Times New Roman"/>
                <w:b/>
                <w:sz w:val="21"/>
                <w:szCs w:val="21"/>
              </w:rPr>
              <w:t>土地类型</w:t>
            </w:r>
          </w:p>
        </w:tc>
      </w:tr>
      <w:tr w:rsidR="00E67914" w:rsidRPr="00E67914" w14:paraId="41AC6BB1" w14:textId="77777777">
        <w:trPr>
          <w:trHeight w:val="340"/>
          <w:jc w:val="center"/>
        </w:trPr>
        <w:tc>
          <w:tcPr>
            <w:tcW w:w="406" w:type="pct"/>
            <w:vAlign w:val="center"/>
          </w:tcPr>
          <w:p w14:paraId="4FA55402" w14:textId="77777777" w:rsidR="00A54A8A" w:rsidRPr="00E67914" w:rsidRDefault="00000000">
            <w:pPr>
              <w:autoSpaceDE w:val="0"/>
              <w:autoSpaceDN w:val="0"/>
              <w:spacing w:line="276" w:lineRule="auto"/>
              <w:jc w:val="center"/>
              <w:rPr>
                <w:rFonts w:ascii="Times New Roman" w:hAnsi="Times New Roman"/>
                <w:sz w:val="21"/>
                <w:szCs w:val="21"/>
              </w:rPr>
            </w:pPr>
            <w:r w:rsidRPr="00E67914">
              <w:rPr>
                <w:rFonts w:ascii="Times New Roman" w:hAnsi="Times New Roman"/>
                <w:sz w:val="21"/>
                <w:szCs w:val="21"/>
              </w:rPr>
              <w:t>1</w:t>
            </w:r>
          </w:p>
        </w:tc>
        <w:tc>
          <w:tcPr>
            <w:tcW w:w="1555" w:type="pct"/>
            <w:vAlign w:val="center"/>
          </w:tcPr>
          <w:p w14:paraId="1494A15A" w14:textId="2B205A67" w:rsidR="00A54A8A" w:rsidRPr="00E67914" w:rsidRDefault="00DF13D7">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新普陆页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w:t>
            </w:r>
          </w:p>
        </w:tc>
        <w:tc>
          <w:tcPr>
            <w:tcW w:w="1110" w:type="pct"/>
            <w:vAlign w:val="center"/>
          </w:tcPr>
          <w:p w14:paraId="24FEBE42" w14:textId="77777777" w:rsidR="00A54A8A" w:rsidRPr="00E67914" w:rsidRDefault="00000000">
            <w:pPr>
              <w:autoSpaceDE w:val="0"/>
              <w:autoSpaceDN w:val="0"/>
              <w:spacing w:line="276" w:lineRule="auto"/>
              <w:jc w:val="center"/>
              <w:rPr>
                <w:rFonts w:ascii="Times New Roman" w:hAnsi="Times New Roman"/>
                <w:sz w:val="21"/>
                <w:szCs w:val="21"/>
              </w:rPr>
            </w:pPr>
            <w:r w:rsidRPr="00E67914">
              <w:rPr>
                <w:rFonts w:ascii="Times New Roman" w:hAnsi="Times New Roman"/>
                <w:sz w:val="21"/>
                <w:szCs w:val="21"/>
              </w:rPr>
              <w:t>6000</w:t>
            </w:r>
          </w:p>
        </w:tc>
        <w:tc>
          <w:tcPr>
            <w:tcW w:w="900" w:type="pct"/>
            <w:vAlign w:val="center"/>
          </w:tcPr>
          <w:p w14:paraId="5BD5A52B" w14:textId="4B8AC8B2" w:rsidR="00A54A8A"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Align w:val="center"/>
          </w:tcPr>
          <w:p w14:paraId="2E2E4F7E" w14:textId="35B33456" w:rsidR="00A54A8A"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耕地</w:t>
            </w:r>
            <w:r w:rsidRPr="00E67914">
              <w:rPr>
                <w:rFonts w:ascii="Times New Roman" w:hAnsi="Times New Roman"/>
                <w:sz w:val="21"/>
                <w:szCs w:val="21"/>
                <w:lang w:eastAsia="zh-CN"/>
              </w:rPr>
              <w:t>+</w:t>
            </w:r>
            <w:r w:rsidRPr="00E67914">
              <w:rPr>
                <w:rFonts w:ascii="Times New Roman" w:hAnsi="Times New Roman"/>
                <w:sz w:val="21"/>
                <w:szCs w:val="21"/>
                <w:lang w:eastAsia="zh-CN"/>
              </w:rPr>
              <w:t>林地</w:t>
            </w:r>
          </w:p>
        </w:tc>
      </w:tr>
      <w:tr w:rsidR="00E67914" w:rsidRPr="00E67914" w14:paraId="71378971" w14:textId="77777777">
        <w:trPr>
          <w:trHeight w:val="340"/>
          <w:jc w:val="center"/>
        </w:trPr>
        <w:tc>
          <w:tcPr>
            <w:tcW w:w="406" w:type="pct"/>
            <w:vAlign w:val="center"/>
          </w:tcPr>
          <w:p w14:paraId="0EAC33C1" w14:textId="77777777" w:rsidR="00A54A8A" w:rsidRPr="00E67914" w:rsidRDefault="0000000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2</w:t>
            </w:r>
          </w:p>
        </w:tc>
        <w:tc>
          <w:tcPr>
            <w:tcW w:w="1555" w:type="pct"/>
            <w:vAlign w:val="center"/>
          </w:tcPr>
          <w:p w14:paraId="7F4A2D67" w14:textId="0A76ADE4" w:rsidR="00A54A8A" w:rsidRPr="00E67914" w:rsidRDefault="0000000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清水池</w:t>
            </w:r>
          </w:p>
        </w:tc>
        <w:tc>
          <w:tcPr>
            <w:tcW w:w="1110" w:type="pct"/>
            <w:vAlign w:val="center"/>
          </w:tcPr>
          <w:p w14:paraId="5BBCD4C2" w14:textId="4B06B240" w:rsidR="00A54A8A"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200</w:t>
            </w:r>
          </w:p>
        </w:tc>
        <w:tc>
          <w:tcPr>
            <w:tcW w:w="900" w:type="pct"/>
            <w:vAlign w:val="center"/>
          </w:tcPr>
          <w:p w14:paraId="763AF88E" w14:textId="55942A4D" w:rsidR="00A54A8A"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Align w:val="center"/>
          </w:tcPr>
          <w:p w14:paraId="4F5E56DF" w14:textId="2E560F96" w:rsidR="00A54A8A"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耕地</w:t>
            </w:r>
          </w:p>
        </w:tc>
      </w:tr>
      <w:tr w:rsidR="00E67914" w:rsidRPr="00E67914" w14:paraId="4D89A14A" w14:textId="77777777">
        <w:trPr>
          <w:trHeight w:val="340"/>
          <w:jc w:val="center"/>
        </w:trPr>
        <w:tc>
          <w:tcPr>
            <w:tcW w:w="406" w:type="pct"/>
            <w:vAlign w:val="center"/>
          </w:tcPr>
          <w:p w14:paraId="15C0CA53" w14:textId="6DEFA693" w:rsidR="009D3B59"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3</w:t>
            </w:r>
          </w:p>
        </w:tc>
        <w:tc>
          <w:tcPr>
            <w:tcW w:w="1555" w:type="pct"/>
            <w:vAlign w:val="center"/>
          </w:tcPr>
          <w:p w14:paraId="201E9FDB" w14:textId="4B71B059" w:rsidR="009D3B59"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新普陆页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井场进场道路</w:t>
            </w:r>
          </w:p>
        </w:tc>
        <w:tc>
          <w:tcPr>
            <w:tcW w:w="1110" w:type="pct"/>
            <w:vAlign w:val="center"/>
          </w:tcPr>
          <w:p w14:paraId="51E755E5" w14:textId="09A2914D" w:rsidR="009D3B59"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495</w:t>
            </w:r>
          </w:p>
        </w:tc>
        <w:tc>
          <w:tcPr>
            <w:tcW w:w="900" w:type="pct"/>
            <w:vAlign w:val="center"/>
          </w:tcPr>
          <w:p w14:paraId="32D71B04" w14:textId="71772B76" w:rsidR="009D3B59"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Align w:val="center"/>
          </w:tcPr>
          <w:p w14:paraId="013446B8" w14:textId="0C09B3BC" w:rsidR="009D3B5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耕地</w:t>
            </w:r>
            <w:r w:rsidRPr="00E67914">
              <w:rPr>
                <w:rFonts w:ascii="Times New Roman" w:hAnsi="Times New Roman"/>
                <w:sz w:val="21"/>
                <w:szCs w:val="21"/>
                <w:lang w:eastAsia="zh-CN"/>
              </w:rPr>
              <w:t>+</w:t>
            </w:r>
            <w:r w:rsidRPr="00E67914">
              <w:rPr>
                <w:rFonts w:ascii="Times New Roman" w:hAnsi="Times New Roman"/>
                <w:sz w:val="21"/>
                <w:szCs w:val="21"/>
                <w:lang w:eastAsia="zh-CN"/>
              </w:rPr>
              <w:t>林地</w:t>
            </w:r>
          </w:p>
        </w:tc>
      </w:tr>
      <w:tr w:rsidR="00E67914" w:rsidRPr="00E67914" w14:paraId="6D78D648" w14:textId="77777777">
        <w:trPr>
          <w:trHeight w:val="340"/>
          <w:jc w:val="center"/>
        </w:trPr>
        <w:tc>
          <w:tcPr>
            <w:tcW w:w="406" w:type="pct"/>
            <w:vAlign w:val="center"/>
          </w:tcPr>
          <w:p w14:paraId="598C7523" w14:textId="1DD63E01" w:rsidR="009D3B59"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4</w:t>
            </w:r>
          </w:p>
        </w:tc>
        <w:tc>
          <w:tcPr>
            <w:tcW w:w="1555" w:type="pct"/>
            <w:vAlign w:val="center"/>
          </w:tcPr>
          <w:p w14:paraId="7C769342" w14:textId="50EB2B73" w:rsidR="009D3B59"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新普陆页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井场边角护坡占地</w:t>
            </w:r>
          </w:p>
        </w:tc>
        <w:tc>
          <w:tcPr>
            <w:tcW w:w="1110" w:type="pct"/>
            <w:vAlign w:val="center"/>
          </w:tcPr>
          <w:p w14:paraId="6BFC391E" w14:textId="00FFD930" w:rsidR="009D3B59"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1874</w:t>
            </w:r>
          </w:p>
        </w:tc>
        <w:tc>
          <w:tcPr>
            <w:tcW w:w="900" w:type="pct"/>
            <w:vAlign w:val="center"/>
          </w:tcPr>
          <w:p w14:paraId="462834B3" w14:textId="4B03F267" w:rsidR="009D3B59"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Align w:val="center"/>
          </w:tcPr>
          <w:p w14:paraId="0F7A9A29" w14:textId="6B40E2F3" w:rsidR="009D3B5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耕地</w:t>
            </w:r>
            <w:r w:rsidRPr="00E67914">
              <w:rPr>
                <w:rFonts w:ascii="Times New Roman" w:hAnsi="Times New Roman"/>
                <w:sz w:val="21"/>
                <w:szCs w:val="21"/>
                <w:lang w:eastAsia="zh-CN"/>
              </w:rPr>
              <w:t>+</w:t>
            </w:r>
            <w:r w:rsidRPr="00E67914">
              <w:rPr>
                <w:rFonts w:ascii="Times New Roman" w:hAnsi="Times New Roman"/>
                <w:sz w:val="21"/>
                <w:szCs w:val="21"/>
                <w:lang w:eastAsia="zh-CN"/>
              </w:rPr>
              <w:t>林地</w:t>
            </w:r>
          </w:p>
        </w:tc>
      </w:tr>
      <w:tr w:rsidR="00E67914" w:rsidRPr="00E67914" w14:paraId="752F386B" w14:textId="77777777">
        <w:trPr>
          <w:trHeight w:val="340"/>
          <w:jc w:val="center"/>
        </w:trPr>
        <w:tc>
          <w:tcPr>
            <w:tcW w:w="406" w:type="pct"/>
            <w:vAlign w:val="center"/>
          </w:tcPr>
          <w:p w14:paraId="33C2565B" w14:textId="3D124766"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5</w:t>
            </w:r>
          </w:p>
        </w:tc>
        <w:tc>
          <w:tcPr>
            <w:tcW w:w="1555" w:type="pct"/>
            <w:vAlign w:val="center"/>
          </w:tcPr>
          <w:p w14:paraId="4177BC3F" w14:textId="505982C4"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w:t>
            </w:r>
          </w:p>
        </w:tc>
        <w:tc>
          <w:tcPr>
            <w:tcW w:w="1110" w:type="pct"/>
            <w:vAlign w:val="center"/>
          </w:tcPr>
          <w:p w14:paraId="297DA6B0" w14:textId="67AC0C66"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7200</w:t>
            </w:r>
          </w:p>
        </w:tc>
        <w:tc>
          <w:tcPr>
            <w:tcW w:w="900" w:type="pct"/>
            <w:vAlign w:val="center"/>
          </w:tcPr>
          <w:p w14:paraId="547073B2" w14:textId="03CB4A1A" w:rsidR="00394179"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Merge w:val="restart"/>
            <w:vAlign w:val="center"/>
          </w:tcPr>
          <w:p w14:paraId="7913519F" w14:textId="463CD9D4"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原有占地</w:t>
            </w:r>
          </w:p>
        </w:tc>
      </w:tr>
      <w:tr w:rsidR="00E67914" w:rsidRPr="00E67914" w14:paraId="5EF3096B" w14:textId="77777777">
        <w:trPr>
          <w:trHeight w:val="340"/>
          <w:jc w:val="center"/>
        </w:trPr>
        <w:tc>
          <w:tcPr>
            <w:tcW w:w="406" w:type="pct"/>
            <w:vAlign w:val="center"/>
          </w:tcPr>
          <w:p w14:paraId="1A53A733" w14:textId="0149DAB7"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6</w:t>
            </w:r>
          </w:p>
        </w:tc>
        <w:tc>
          <w:tcPr>
            <w:tcW w:w="1555" w:type="pct"/>
            <w:vAlign w:val="center"/>
          </w:tcPr>
          <w:p w14:paraId="16421763" w14:textId="59E81EF1"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排污池（污水池</w:t>
            </w:r>
            <w:r w:rsidRPr="00E67914">
              <w:rPr>
                <w:rFonts w:ascii="Times New Roman" w:hAnsi="Times New Roman"/>
                <w:sz w:val="21"/>
                <w:szCs w:val="21"/>
                <w:lang w:eastAsia="zh-CN"/>
              </w:rPr>
              <w:t>+</w:t>
            </w:r>
            <w:r w:rsidRPr="00E67914">
              <w:rPr>
                <w:rFonts w:ascii="Times New Roman" w:hAnsi="Times New Roman"/>
                <w:sz w:val="21"/>
                <w:szCs w:val="21"/>
                <w:lang w:eastAsia="zh-CN"/>
              </w:rPr>
              <w:t>清水池）</w:t>
            </w:r>
          </w:p>
        </w:tc>
        <w:tc>
          <w:tcPr>
            <w:tcW w:w="1110" w:type="pct"/>
            <w:vAlign w:val="center"/>
          </w:tcPr>
          <w:p w14:paraId="0087EBDD" w14:textId="6F8CC25B"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300</w:t>
            </w:r>
          </w:p>
        </w:tc>
        <w:tc>
          <w:tcPr>
            <w:tcW w:w="900" w:type="pct"/>
            <w:vAlign w:val="center"/>
          </w:tcPr>
          <w:p w14:paraId="797027EB" w14:textId="28E68137" w:rsidR="00394179"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Merge/>
            <w:vAlign w:val="center"/>
          </w:tcPr>
          <w:p w14:paraId="5EB849C6" w14:textId="77777777" w:rsidR="00394179" w:rsidRPr="00E67914" w:rsidRDefault="00394179">
            <w:pPr>
              <w:autoSpaceDE w:val="0"/>
              <w:autoSpaceDN w:val="0"/>
              <w:spacing w:line="276" w:lineRule="auto"/>
              <w:jc w:val="center"/>
              <w:rPr>
                <w:rFonts w:ascii="Times New Roman" w:hAnsi="Times New Roman"/>
                <w:sz w:val="21"/>
                <w:szCs w:val="21"/>
                <w:lang w:eastAsia="zh-CN"/>
              </w:rPr>
            </w:pPr>
          </w:p>
        </w:tc>
      </w:tr>
      <w:tr w:rsidR="00E67914" w:rsidRPr="00E67914" w14:paraId="559A34D0" w14:textId="77777777">
        <w:trPr>
          <w:trHeight w:val="340"/>
          <w:jc w:val="center"/>
        </w:trPr>
        <w:tc>
          <w:tcPr>
            <w:tcW w:w="406" w:type="pct"/>
            <w:vAlign w:val="center"/>
          </w:tcPr>
          <w:p w14:paraId="464DE3BA" w14:textId="09585CF9"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7</w:t>
            </w:r>
          </w:p>
        </w:tc>
        <w:tc>
          <w:tcPr>
            <w:tcW w:w="1555" w:type="pct"/>
            <w:vAlign w:val="center"/>
          </w:tcPr>
          <w:p w14:paraId="35264158" w14:textId="68366602"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放喷池</w:t>
            </w:r>
          </w:p>
        </w:tc>
        <w:tc>
          <w:tcPr>
            <w:tcW w:w="1110" w:type="pct"/>
            <w:vAlign w:val="center"/>
          </w:tcPr>
          <w:p w14:paraId="17A5A097" w14:textId="4F36E6B1"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200</w:t>
            </w:r>
          </w:p>
        </w:tc>
        <w:tc>
          <w:tcPr>
            <w:tcW w:w="900" w:type="pct"/>
            <w:vAlign w:val="center"/>
          </w:tcPr>
          <w:p w14:paraId="480E8F9B" w14:textId="2DF7F68B" w:rsidR="00394179"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Merge/>
            <w:vAlign w:val="center"/>
          </w:tcPr>
          <w:p w14:paraId="71A80379" w14:textId="77777777" w:rsidR="00394179" w:rsidRPr="00E67914" w:rsidRDefault="00394179">
            <w:pPr>
              <w:autoSpaceDE w:val="0"/>
              <w:autoSpaceDN w:val="0"/>
              <w:spacing w:line="276" w:lineRule="auto"/>
              <w:jc w:val="center"/>
              <w:rPr>
                <w:rFonts w:ascii="Times New Roman" w:hAnsi="Times New Roman"/>
                <w:sz w:val="21"/>
                <w:szCs w:val="21"/>
                <w:lang w:eastAsia="zh-CN"/>
              </w:rPr>
            </w:pPr>
          </w:p>
        </w:tc>
      </w:tr>
      <w:tr w:rsidR="00E67914" w:rsidRPr="00E67914" w14:paraId="584E6FF0" w14:textId="77777777">
        <w:trPr>
          <w:trHeight w:val="340"/>
          <w:jc w:val="center"/>
        </w:trPr>
        <w:tc>
          <w:tcPr>
            <w:tcW w:w="406" w:type="pct"/>
            <w:vAlign w:val="center"/>
          </w:tcPr>
          <w:p w14:paraId="3B7AB939" w14:textId="1DF382AB"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8</w:t>
            </w:r>
          </w:p>
        </w:tc>
        <w:tc>
          <w:tcPr>
            <w:tcW w:w="1555" w:type="pct"/>
            <w:vAlign w:val="center"/>
          </w:tcPr>
          <w:p w14:paraId="6E20957F" w14:textId="27F00C85"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试采站进场道路</w:t>
            </w:r>
          </w:p>
        </w:tc>
        <w:tc>
          <w:tcPr>
            <w:tcW w:w="1110" w:type="pct"/>
            <w:vAlign w:val="center"/>
          </w:tcPr>
          <w:p w14:paraId="73142883" w14:textId="6CB55FE8"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450</w:t>
            </w:r>
          </w:p>
        </w:tc>
        <w:tc>
          <w:tcPr>
            <w:tcW w:w="900" w:type="pct"/>
            <w:vAlign w:val="center"/>
          </w:tcPr>
          <w:p w14:paraId="676321B3" w14:textId="1CBA0AFD" w:rsidR="00394179"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Merge/>
            <w:vAlign w:val="center"/>
          </w:tcPr>
          <w:p w14:paraId="6110B075" w14:textId="77777777" w:rsidR="00394179" w:rsidRPr="00E67914" w:rsidRDefault="00394179">
            <w:pPr>
              <w:autoSpaceDE w:val="0"/>
              <w:autoSpaceDN w:val="0"/>
              <w:spacing w:line="276" w:lineRule="auto"/>
              <w:jc w:val="center"/>
              <w:rPr>
                <w:rFonts w:ascii="Times New Roman" w:hAnsi="Times New Roman"/>
                <w:sz w:val="21"/>
                <w:szCs w:val="21"/>
                <w:lang w:eastAsia="zh-CN"/>
              </w:rPr>
            </w:pPr>
          </w:p>
        </w:tc>
      </w:tr>
      <w:tr w:rsidR="00E67914" w:rsidRPr="00E67914" w14:paraId="6721306F" w14:textId="77777777">
        <w:trPr>
          <w:trHeight w:val="340"/>
          <w:jc w:val="center"/>
        </w:trPr>
        <w:tc>
          <w:tcPr>
            <w:tcW w:w="406" w:type="pct"/>
            <w:vAlign w:val="center"/>
          </w:tcPr>
          <w:p w14:paraId="205BFAAA" w14:textId="21E8A0AB"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9</w:t>
            </w:r>
          </w:p>
        </w:tc>
        <w:tc>
          <w:tcPr>
            <w:tcW w:w="1555" w:type="pct"/>
            <w:vAlign w:val="center"/>
          </w:tcPr>
          <w:p w14:paraId="03ABFD97" w14:textId="38F1BF3D"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原普陆页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井场边角护坡占地</w:t>
            </w:r>
          </w:p>
        </w:tc>
        <w:tc>
          <w:tcPr>
            <w:tcW w:w="1110" w:type="pct"/>
            <w:vAlign w:val="center"/>
          </w:tcPr>
          <w:p w14:paraId="782C3550" w14:textId="531C5543" w:rsidR="0039417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4069</w:t>
            </w:r>
          </w:p>
        </w:tc>
        <w:tc>
          <w:tcPr>
            <w:tcW w:w="900" w:type="pct"/>
            <w:vAlign w:val="center"/>
          </w:tcPr>
          <w:p w14:paraId="53062563" w14:textId="2844533E" w:rsidR="00394179"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Merge/>
            <w:vAlign w:val="center"/>
          </w:tcPr>
          <w:p w14:paraId="2DD53363" w14:textId="77777777" w:rsidR="00394179" w:rsidRPr="00E67914" w:rsidRDefault="00394179">
            <w:pPr>
              <w:autoSpaceDE w:val="0"/>
              <w:autoSpaceDN w:val="0"/>
              <w:spacing w:line="276" w:lineRule="auto"/>
              <w:jc w:val="center"/>
              <w:rPr>
                <w:rFonts w:ascii="Times New Roman" w:hAnsi="Times New Roman"/>
                <w:sz w:val="21"/>
                <w:szCs w:val="21"/>
                <w:lang w:eastAsia="zh-CN"/>
              </w:rPr>
            </w:pPr>
          </w:p>
        </w:tc>
      </w:tr>
      <w:tr w:rsidR="00E67914" w:rsidRPr="00E67914" w14:paraId="2BC8E713" w14:textId="77777777">
        <w:trPr>
          <w:trHeight w:val="340"/>
          <w:jc w:val="center"/>
        </w:trPr>
        <w:tc>
          <w:tcPr>
            <w:tcW w:w="406" w:type="pct"/>
            <w:vAlign w:val="center"/>
          </w:tcPr>
          <w:p w14:paraId="5C11D5BD" w14:textId="691CF42D" w:rsidR="009D3B5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10</w:t>
            </w:r>
          </w:p>
        </w:tc>
        <w:tc>
          <w:tcPr>
            <w:tcW w:w="1555" w:type="pct"/>
            <w:vAlign w:val="center"/>
          </w:tcPr>
          <w:p w14:paraId="33418A47" w14:textId="76BBBC17" w:rsidR="009D3B59"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放空火炬区</w:t>
            </w:r>
          </w:p>
        </w:tc>
        <w:tc>
          <w:tcPr>
            <w:tcW w:w="1110" w:type="pct"/>
            <w:vAlign w:val="center"/>
          </w:tcPr>
          <w:p w14:paraId="74629EBB" w14:textId="5AB4C981" w:rsidR="009D3B59"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400</w:t>
            </w:r>
          </w:p>
        </w:tc>
        <w:tc>
          <w:tcPr>
            <w:tcW w:w="900" w:type="pct"/>
            <w:vAlign w:val="center"/>
          </w:tcPr>
          <w:p w14:paraId="06705D14" w14:textId="603A485D" w:rsidR="009D3B59"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Align w:val="center"/>
          </w:tcPr>
          <w:p w14:paraId="1FAF8689" w14:textId="09076F5F" w:rsidR="009D3B59"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耕地</w:t>
            </w:r>
          </w:p>
        </w:tc>
      </w:tr>
      <w:tr w:rsidR="00E67914" w:rsidRPr="00E67914" w14:paraId="693B3840" w14:textId="77777777">
        <w:trPr>
          <w:trHeight w:val="340"/>
          <w:jc w:val="center"/>
        </w:trPr>
        <w:tc>
          <w:tcPr>
            <w:tcW w:w="406" w:type="pct"/>
            <w:vAlign w:val="center"/>
          </w:tcPr>
          <w:p w14:paraId="7AA0AB7C" w14:textId="4EB002F4" w:rsidR="00A54A8A"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11</w:t>
            </w:r>
          </w:p>
        </w:tc>
        <w:tc>
          <w:tcPr>
            <w:tcW w:w="1555" w:type="pct"/>
            <w:vAlign w:val="center"/>
          </w:tcPr>
          <w:p w14:paraId="00DFA292" w14:textId="6546A579" w:rsidR="00A54A8A"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井场到普陆页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试采站管线（含管线开挖临时表土堆场与堆土场）</w:t>
            </w:r>
          </w:p>
        </w:tc>
        <w:tc>
          <w:tcPr>
            <w:tcW w:w="1110" w:type="pct"/>
            <w:vAlign w:val="center"/>
          </w:tcPr>
          <w:p w14:paraId="1E6C6B85" w14:textId="02A6F909" w:rsidR="00A54A8A" w:rsidRPr="00E67914" w:rsidRDefault="009D3B5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2400</w:t>
            </w:r>
          </w:p>
        </w:tc>
        <w:tc>
          <w:tcPr>
            <w:tcW w:w="900" w:type="pct"/>
            <w:vAlign w:val="center"/>
          </w:tcPr>
          <w:p w14:paraId="406594CD" w14:textId="36F705A2" w:rsidR="00A54A8A" w:rsidRPr="00E67914" w:rsidRDefault="00F35AE0">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Align w:val="center"/>
          </w:tcPr>
          <w:p w14:paraId="140A4664" w14:textId="5F2F44CF" w:rsidR="00A54A8A" w:rsidRPr="00E67914" w:rsidRDefault="00394179">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耕地</w:t>
            </w:r>
            <w:r w:rsidRPr="00E67914">
              <w:rPr>
                <w:rFonts w:ascii="Times New Roman" w:hAnsi="Times New Roman"/>
                <w:sz w:val="21"/>
                <w:szCs w:val="21"/>
                <w:lang w:eastAsia="zh-CN"/>
              </w:rPr>
              <w:t>+</w:t>
            </w:r>
            <w:r w:rsidRPr="00E67914">
              <w:rPr>
                <w:rFonts w:ascii="Times New Roman" w:hAnsi="Times New Roman"/>
                <w:sz w:val="21"/>
                <w:szCs w:val="21"/>
                <w:lang w:eastAsia="zh-CN"/>
              </w:rPr>
              <w:t>林地</w:t>
            </w:r>
            <w:r w:rsidR="007F6FE5" w:rsidRPr="00E67914">
              <w:rPr>
                <w:rFonts w:ascii="Times New Roman" w:hAnsi="Times New Roman"/>
                <w:sz w:val="21"/>
                <w:szCs w:val="21"/>
                <w:lang w:eastAsia="zh-CN"/>
              </w:rPr>
              <w:t>+</w:t>
            </w:r>
            <w:r w:rsidR="007F6FE5" w:rsidRPr="00E67914">
              <w:rPr>
                <w:rFonts w:ascii="Times New Roman" w:hAnsi="Times New Roman"/>
                <w:sz w:val="21"/>
                <w:szCs w:val="21"/>
                <w:lang w:eastAsia="zh-CN"/>
              </w:rPr>
              <w:t>灌丛</w:t>
            </w:r>
            <w:r w:rsidR="007F6FE5" w:rsidRPr="00E67914">
              <w:rPr>
                <w:rFonts w:ascii="Times New Roman" w:hAnsi="Times New Roman"/>
                <w:sz w:val="21"/>
                <w:szCs w:val="21"/>
                <w:lang w:eastAsia="zh-CN"/>
              </w:rPr>
              <w:t>+</w:t>
            </w:r>
            <w:r w:rsidR="007F6FE5" w:rsidRPr="00E67914">
              <w:rPr>
                <w:rFonts w:ascii="Times New Roman" w:hAnsi="Times New Roman"/>
                <w:sz w:val="21"/>
                <w:szCs w:val="21"/>
                <w:lang w:eastAsia="zh-CN"/>
              </w:rPr>
              <w:t>草丛</w:t>
            </w:r>
          </w:p>
        </w:tc>
      </w:tr>
      <w:tr w:rsidR="00E67914" w:rsidRPr="00E67914" w14:paraId="2A37ABF5" w14:textId="77777777">
        <w:trPr>
          <w:trHeight w:val="340"/>
          <w:jc w:val="center"/>
        </w:trPr>
        <w:tc>
          <w:tcPr>
            <w:tcW w:w="406" w:type="pct"/>
            <w:vAlign w:val="center"/>
          </w:tcPr>
          <w:p w14:paraId="1E3B8C67" w14:textId="08D95B9A" w:rsidR="00C740F7" w:rsidRPr="00E67914" w:rsidRDefault="00394179" w:rsidP="00C740F7">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12</w:t>
            </w:r>
          </w:p>
        </w:tc>
        <w:tc>
          <w:tcPr>
            <w:tcW w:w="1555" w:type="pct"/>
            <w:vAlign w:val="center"/>
          </w:tcPr>
          <w:p w14:paraId="6D8604E3" w14:textId="1DFDE639" w:rsidR="00C740F7" w:rsidRPr="00E67914" w:rsidRDefault="00394179" w:rsidP="00C740F7">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lang w:eastAsia="zh-CN"/>
              </w:rPr>
              <w:t>普陆页</w:t>
            </w:r>
            <w:r w:rsidRPr="00E67914">
              <w:rPr>
                <w:rFonts w:ascii="Times New Roman" w:hAnsi="Times New Roman"/>
                <w:lang w:eastAsia="zh-CN"/>
              </w:rPr>
              <w:t>2</w:t>
            </w:r>
            <w:r w:rsidRPr="00E67914">
              <w:rPr>
                <w:rFonts w:ascii="Times New Roman" w:hAnsi="Times New Roman"/>
                <w:lang w:eastAsia="zh-CN"/>
              </w:rPr>
              <w:t>试采站至</w:t>
            </w:r>
            <w:r w:rsidRPr="00E67914">
              <w:rPr>
                <w:rFonts w:ascii="Times New Roman" w:hAnsi="Times New Roman"/>
                <w:lang w:eastAsia="zh-CN"/>
              </w:rPr>
              <w:t>P302</w:t>
            </w:r>
            <w:r w:rsidRPr="00E67914">
              <w:rPr>
                <w:rFonts w:ascii="Times New Roman" w:hAnsi="Times New Roman"/>
                <w:lang w:eastAsia="zh-CN"/>
              </w:rPr>
              <w:t>集气站的外输管线</w:t>
            </w:r>
            <w:r w:rsidRPr="00E67914">
              <w:rPr>
                <w:rFonts w:ascii="Times New Roman" w:hAnsi="Times New Roman"/>
                <w:sz w:val="21"/>
                <w:szCs w:val="21"/>
                <w:lang w:eastAsia="zh-CN"/>
              </w:rPr>
              <w:t>（含管线开挖临时表土堆场与堆土场）</w:t>
            </w:r>
          </w:p>
        </w:tc>
        <w:tc>
          <w:tcPr>
            <w:tcW w:w="1110" w:type="pct"/>
            <w:vAlign w:val="center"/>
          </w:tcPr>
          <w:p w14:paraId="49765E84" w14:textId="1AA92582" w:rsidR="00C740F7" w:rsidRPr="00E67914" w:rsidRDefault="009D3B59" w:rsidP="00C740F7">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10400</w:t>
            </w:r>
          </w:p>
        </w:tc>
        <w:tc>
          <w:tcPr>
            <w:tcW w:w="900" w:type="pct"/>
            <w:vAlign w:val="center"/>
          </w:tcPr>
          <w:p w14:paraId="5D14D713" w14:textId="3D9FD644" w:rsidR="00C740F7" w:rsidRPr="00E67914" w:rsidRDefault="00F35AE0" w:rsidP="00C740F7">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临时占地</w:t>
            </w:r>
          </w:p>
        </w:tc>
        <w:tc>
          <w:tcPr>
            <w:tcW w:w="1029" w:type="pct"/>
            <w:vAlign w:val="center"/>
          </w:tcPr>
          <w:p w14:paraId="038BEE0A" w14:textId="708793BE" w:rsidR="00C740F7" w:rsidRPr="00E67914" w:rsidRDefault="00394179" w:rsidP="00C740F7">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耕地</w:t>
            </w:r>
            <w:r w:rsidRPr="00E67914">
              <w:rPr>
                <w:rFonts w:ascii="Times New Roman" w:hAnsi="Times New Roman"/>
                <w:sz w:val="21"/>
                <w:szCs w:val="21"/>
                <w:lang w:eastAsia="zh-CN"/>
              </w:rPr>
              <w:t>+</w:t>
            </w:r>
            <w:r w:rsidRPr="00E67914">
              <w:rPr>
                <w:rFonts w:ascii="Times New Roman" w:hAnsi="Times New Roman"/>
                <w:sz w:val="21"/>
                <w:szCs w:val="21"/>
                <w:lang w:eastAsia="zh-CN"/>
              </w:rPr>
              <w:t>林地</w:t>
            </w:r>
            <w:r w:rsidR="007F6FE5" w:rsidRPr="00E67914">
              <w:rPr>
                <w:rFonts w:ascii="Times New Roman" w:hAnsi="Times New Roman"/>
                <w:sz w:val="21"/>
                <w:szCs w:val="21"/>
                <w:lang w:eastAsia="zh-CN"/>
              </w:rPr>
              <w:t>+</w:t>
            </w:r>
            <w:r w:rsidR="007F6FE5" w:rsidRPr="00E67914">
              <w:rPr>
                <w:rFonts w:ascii="Times New Roman" w:hAnsi="Times New Roman"/>
                <w:sz w:val="21"/>
                <w:szCs w:val="21"/>
                <w:lang w:eastAsia="zh-CN"/>
              </w:rPr>
              <w:t>灌丛</w:t>
            </w:r>
            <w:r w:rsidR="007F6FE5" w:rsidRPr="00E67914">
              <w:rPr>
                <w:rFonts w:ascii="Times New Roman" w:hAnsi="Times New Roman"/>
                <w:sz w:val="21"/>
                <w:szCs w:val="21"/>
                <w:lang w:eastAsia="zh-CN"/>
              </w:rPr>
              <w:t>+</w:t>
            </w:r>
            <w:r w:rsidR="007F6FE5" w:rsidRPr="00E67914">
              <w:rPr>
                <w:rFonts w:ascii="Times New Roman" w:hAnsi="Times New Roman"/>
                <w:sz w:val="21"/>
                <w:szCs w:val="21"/>
                <w:lang w:eastAsia="zh-CN"/>
              </w:rPr>
              <w:t>草丛</w:t>
            </w:r>
          </w:p>
        </w:tc>
      </w:tr>
      <w:tr w:rsidR="00E67914" w:rsidRPr="00E67914" w14:paraId="58600159" w14:textId="77777777">
        <w:trPr>
          <w:trHeight w:val="340"/>
          <w:jc w:val="center"/>
        </w:trPr>
        <w:tc>
          <w:tcPr>
            <w:tcW w:w="1961" w:type="pct"/>
            <w:gridSpan w:val="2"/>
            <w:vAlign w:val="center"/>
          </w:tcPr>
          <w:p w14:paraId="4C8B5012" w14:textId="77777777" w:rsidR="00C740F7" w:rsidRPr="00E67914" w:rsidRDefault="00C740F7" w:rsidP="00C740F7">
            <w:pPr>
              <w:autoSpaceDE w:val="0"/>
              <w:autoSpaceDN w:val="0"/>
              <w:spacing w:line="276" w:lineRule="auto"/>
              <w:jc w:val="center"/>
              <w:rPr>
                <w:rFonts w:ascii="Times New Roman" w:hAnsi="Times New Roman"/>
                <w:sz w:val="21"/>
                <w:szCs w:val="21"/>
              </w:rPr>
            </w:pPr>
            <w:r w:rsidRPr="00E67914">
              <w:rPr>
                <w:rFonts w:ascii="Times New Roman" w:hAnsi="Times New Roman"/>
                <w:sz w:val="21"/>
                <w:szCs w:val="21"/>
              </w:rPr>
              <w:t>合计</w:t>
            </w:r>
          </w:p>
        </w:tc>
        <w:tc>
          <w:tcPr>
            <w:tcW w:w="1110" w:type="pct"/>
            <w:vAlign w:val="center"/>
          </w:tcPr>
          <w:p w14:paraId="178BAE10" w14:textId="1CA1C6EF" w:rsidR="00C740F7" w:rsidRPr="00E67914" w:rsidRDefault="00394179" w:rsidP="00C740F7">
            <w:pPr>
              <w:autoSpaceDE w:val="0"/>
              <w:autoSpaceDN w:val="0"/>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33988</w:t>
            </w:r>
          </w:p>
        </w:tc>
        <w:tc>
          <w:tcPr>
            <w:tcW w:w="900" w:type="pct"/>
            <w:vAlign w:val="center"/>
          </w:tcPr>
          <w:p w14:paraId="64A16863" w14:textId="77777777" w:rsidR="00C740F7" w:rsidRPr="00E67914" w:rsidRDefault="00C740F7" w:rsidP="00C740F7">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1029" w:type="pct"/>
            <w:vAlign w:val="center"/>
          </w:tcPr>
          <w:p w14:paraId="1F2E903C" w14:textId="77777777" w:rsidR="00C740F7" w:rsidRPr="00E67914" w:rsidRDefault="00C740F7" w:rsidP="00C740F7">
            <w:pPr>
              <w:spacing w:line="276" w:lineRule="auto"/>
              <w:jc w:val="center"/>
              <w:rPr>
                <w:rFonts w:ascii="Times New Roman" w:hAnsi="Times New Roman"/>
                <w:sz w:val="21"/>
                <w:szCs w:val="21"/>
              </w:rPr>
            </w:pPr>
            <w:r w:rsidRPr="00E67914">
              <w:rPr>
                <w:rFonts w:ascii="Times New Roman" w:hAnsi="Times New Roman"/>
                <w:sz w:val="21"/>
                <w:szCs w:val="21"/>
              </w:rPr>
              <w:t>/</w:t>
            </w:r>
          </w:p>
        </w:tc>
      </w:tr>
      <w:tr w:rsidR="00E67914" w:rsidRPr="00E67914" w14:paraId="40EFE9E1" w14:textId="77777777" w:rsidTr="001B4D84">
        <w:trPr>
          <w:trHeight w:val="340"/>
          <w:jc w:val="center"/>
        </w:trPr>
        <w:tc>
          <w:tcPr>
            <w:tcW w:w="5000" w:type="pct"/>
            <w:gridSpan w:val="5"/>
            <w:vAlign w:val="center"/>
          </w:tcPr>
          <w:p w14:paraId="2EA9BE22" w14:textId="51F0C003" w:rsidR="00C740F7" w:rsidRPr="00E67914" w:rsidRDefault="00C740F7" w:rsidP="00C740F7">
            <w:pPr>
              <w:spacing w:line="276" w:lineRule="auto"/>
              <w:rPr>
                <w:rFonts w:ascii="Times New Roman" w:hAnsi="Times New Roman"/>
                <w:sz w:val="21"/>
                <w:szCs w:val="21"/>
                <w:lang w:eastAsia="zh-CN"/>
              </w:rPr>
            </w:pPr>
            <w:r w:rsidRPr="00E67914">
              <w:rPr>
                <w:rFonts w:ascii="Times New Roman" w:hAnsi="Times New Roman"/>
                <w:sz w:val="21"/>
                <w:szCs w:val="21"/>
                <w:lang w:eastAsia="zh-CN"/>
              </w:rPr>
              <w:t>注：</w:t>
            </w:r>
            <w:r w:rsidR="00394179" w:rsidRPr="00E67914">
              <w:rPr>
                <w:rFonts w:ascii="Times New Roman" w:hAnsi="Times New Roman"/>
                <w:sz w:val="21"/>
                <w:szCs w:val="21"/>
                <w:lang w:eastAsia="zh-CN"/>
              </w:rPr>
              <w:t>钻井施工期生活区布设于原普陆页</w:t>
            </w:r>
            <w:r w:rsidR="00394179" w:rsidRPr="00E67914">
              <w:rPr>
                <w:rFonts w:ascii="Times New Roman" w:hAnsi="Times New Roman"/>
                <w:sz w:val="21"/>
                <w:szCs w:val="21"/>
                <w:lang w:eastAsia="zh-CN"/>
              </w:rPr>
              <w:t>2</w:t>
            </w:r>
            <w:r w:rsidR="00394179" w:rsidRPr="00E67914">
              <w:rPr>
                <w:rFonts w:ascii="Times New Roman" w:hAnsi="Times New Roman"/>
                <w:sz w:val="21"/>
                <w:szCs w:val="21"/>
                <w:lang w:eastAsia="zh-CN"/>
              </w:rPr>
              <w:t>井场内，占地面积约</w:t>
            </w:r>
            <w:r w:rsidR="00394179" w:rsidRPr="00E67914">
              <w:rPr>
                <w:rFonts w:ascii="Times New Roman" w:hAnsi="Times New Roman"/>
                <w:sz w:val="21"/>
                <w:szCs w:val="21"/>
                <w:lang w:eastAsia="zh-CN"/>
              </w:rPr>
              <w:t>1400m</w:t>
            </w:r>
            <w:r w:rsidR="00394179" w:rsidRPr="00E67914">
              <w:rPr>
                <w:rFonts w:ascii="Times New Roman" w:hAnsi="Times New Roman"/>
                <w:sz w:val="21"/>
                <w:szCs w:val="21"/>
                <w:vertAlign w:val="superscript"/>
                <w:lang w:eastAsia="zh-CN"/>
              </w:rPr>
              <w:t>2</w:t>
            </w:r>
            <w:r w:rsidR="00394179" w:rsidRPr="00E67914">
              <w:rPr>
                <w:rFonts w:ascii="Times New Roman" w:hAnsi="Times New Roman"/>
                <w:sz w:val="21"/>
                <w:szCs w:val="21"/>
                <w:lang w:eastAsia="zh-CN"/>
              </w:rPr>
              <w:t>，不再单独列计</w:t>
            </w:r>
            <w:r w:rsidRPr="00E67914">
              <w:rPr>
                <w:rFonts w:ascii="Times New Roman" w:hAnsi="Times New Roman"/>
                <w:sz w:val="21"/>
                <w:szCs w:val="21"/>
                <w:lang w:eastAsia="zh-CN"/>
              </w:rPr>
              <w:t>。</w:t>
            </w:r>
          </w:p>
        </w:tc>
      </w:tr>
    </w:tbl>
    <w:p w14:paraId="76208BF8" w14:textId="77777777" w:rsidR="00A54A8A" w:rsidRPr="00E67914" w:rsidRDefault="00000000">
      <w:pPr>
        <w:pStyle w:val="af"/>
        <w:adjustRightInd w:val="0"/>
        <w:snapToGrid w:val="0"/>
        <w:spacing w:beforeLines="50" w:before="12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2</w:t>
      </w:r>
      <w:r w:rsidRPr="00E67914">
        <w:rPr>
          <w:rFonts w:ascii="Times New Roman" w:eastAsia="黑体" w:hAnsi="Times New Roman"/>
          <w:lang w:eastAsia="zh-CN"/>
        </w:rPr>
        <w:t>、工程土石方工程量</w:t>
      </w:r>
    </w:p>
    <w:p w14:paraId="59A6A4B9" w14:textId="606798C1" w:rsidR="00A54A8A" w:rsidRPr="00E67914" w:rsidRDefault="00EC644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本项目土石方工程主要分为四个部分，新普陆页</w:t>
      </w:r>
      <w:r w:rsidRPr="00E67914">
        <w:rPr>
          <w:rFonts w:ascii="Times New Roman" w:hAnsi="Times New Roman"/>
          <w:lang w:eastAsia="zh-CN"/>
        </w:rPr>
        <w:t>2</w:t>
      </w:r>
      <w:r w:rsidRPr="00E67914">
        <w:rPr>
          <w:rFonts w:ascii="Times New Roman" w:hAnsi="Times New Roman"/>
          <w:lang w:eastAsia="zh-CN"/>
        </w:rPr>
        <w:t>井场、原普陆页</w:t>
      </w:r>
      <w:r w:rsidRPr="00E67914">
        <w:rPr>
          <w:rFonts w:ascii="Times New Roman" w:hAnsi="Times New Roman"/>
          <w:lang w:eastAsia="zh-CN"/>
        </w:rPr>
        <w:t>2</w:t>
      </w:r>
      <w:r w:rsidRPr="00E67914">
        <w:rPr>
          <w:rFonts w:ascii="Times New Roman" w:hAnsi="Times New Roman"/>
          <w:lang w:eastAsia="zh-CN"/>
        </w:rPr>
        <w:t>井场（普陆页</w:t>
      </w:r>
      <w:r w:rsidRPr="00E67914">
        <w:rPr>
          <w:rFonts w:ascii="Times New Roman" w:hAnsi="Times New Roman"/>
          <w:lang w:eastAsia="zh-CN"/>
        </w:rPr>
        <w:t>2</w:t>
      </w:r>
      <w:r w:rsidRPr="00E67914">
        <w:rPr>
          <w:rFonts w:ascii="Times New Roman" w:hAnsi="Times New Roman"/>
          <w:lang w:eastAsia="zh-CN"/>
        </w:rPr>
        <w:t>试采站）、普陆页</w:t>
      </w:r>
      <w:r w:rsidRPr="00E67914">
        <w:rPr>
          <w:rFonts w:ascii="Times New Roman" w:hAnsi="Times New Roman"/>
          <w:lang w:eastAsia="zh-CN"/>
        </w:rPr>
        <w:t>2</w:t>
      </w:r>
      <w:r w:rsidRPr="00E67914">
        <w:rPr>
          <w:rFonts w:ascii="Times New Roman" w:hAnsi="Times New Roman"/>
          <w:lang w:eastAsia="zh-CN"/>
        </w:rPr>
        <w:t>井场到普陆页</w:t>
      </w:r>
      <w:r w:rsidRPr="00E67914">
        <w:rPr>
          <w:rFonts w:ascii="Times New Roman" w:hAnsi="Times New Roman"/>
          <w:lang w:eastAsia="zh-CN"/>
        </w:rPr>
        <w:t>2</w:t>
      </w:r>
      <w:r w:rsidRPr="00E67914">
        <w:rPr>
          <w:rFonts w:ascii="Times New Roman" w:hAnsi="Times New Roman"/>
          <w:lang w:eastAsia="zh-CN"/>
        </w:rPr>
        <w:t>试采站管线、普陆页</w:t>
      </w:r>
      <w:r w:rsidRPr="00E67914">
        <w:rPr>
          <w:rFonts w:ascii="Times New Roman" w:hAnsi="Times New Roman"/>
          <w:lang w:eastAsia="zh-CN"/>
        </w:rPr>
        <w:t>2</w:t>
      </w:r>
      <w:r w:rsidRPr="00E67914">
        <w:rPr>
          <w:rFonts w:ascii="Times New Roman" w:hAnsi="Times New Roman"/>
          <w:lang w:eastAsia="zh-CN"/>
        </w:rPr>
        <w:t>试采站至</w:t>
      </w:r>
      <w:r w:rsidRPr="00E67914">
        <w:rPr>
          <w:rFonts w:ascii="Times New Roman" w:hAnsi="Times New Roman"/>
          <w:lang w:eastAsia="zh-CN"/>
        </w:rPr>
        <w:t>P302</w:t>
      </w:r>
      <w:r w:rsidRPr="00E67914">
        <w:rPr>
          <w:rFonts w:ascii="Times New Roman" w:hAnsi="Times New Roman"/>
          <w:lang w:eastAsia="zh-CN"/>
        </w:rPr>
        <w:t>集气站的外输管线。普陆页</w:t>
      </w:r>
      <w:r w:rsidRPr="00E67914">
        <w:rPr>
          <w:rFonts w:ascii="Times New Roman" w:hAnsi="Times New Roman"/>
          <w:lang w:eastAsia="zh-CN"/>
        </w:rPr>
        <w:t>2</w:t>
      </w:r>
      <w:r w:rsidRPr="00E67914">
        <w:rPr>
          <w:rFonts w:ascii="Times New Roman" w:hAnsi="Times New Roman"/>
          <w:lang w:eastAsia="zh-CN"/>
        </w:rPr>
        <w:t>试采站</w:t>
      </w:r>
      <w:r w:rsidRPr="00E67914">
        <w:rPr>
          <w:rFonts w:ascii="Times New Roman" w:hAnsi="Times New Roman"/>
          <w:bCs/>
          <w:lang w:eastAsia="zh-CN"/>
        </w:rPr>
        <w:t>依托</w:t>
      </w:r>
      <w:r w:rsidRPr="00E67914">
        <w:rPr>
          <w:rFonts w:ascii="Times New Roman" w:hAnsi="Times New Roman"/>
          <w:lang w:eastAsia="zh-CN"/>
        </w:rPr>
        <w:t>原普陆页</w:t>
      </w:r>
      <w:r w:rsidRPr="00E67914">
        <w:rPr>
          <w:rFonts w:ascii="Times New Roman" w:hAnsi="Times New Roman"/>
          <w:lang w:eastAsia="zh-CN"/>
        </w:rPr>
        <w:t>2</w:t>
      </w:r>
      <w:r w:rsidRPr="00E67914">
        <w:rPr>
          <w:rFonts w:ascii="Times New Roman" w:hAnsi="Times New Roman"/>
          <w:lang w:eastAsia="zh-CN"/>
        </w:rPr>
        <w:t>井场</w:t>
      </w:r>
      <w:r w:rsidRPr="00E67914">
        <w:rPr>
          <w:rFonts w:ascii="Times New Roman" w:hAnsi="Times New Roman"/>
          <w:bCs/>
          <w:lang w:eastAsia="zh-CN"/>
        </w:rPr>
        <w:t>建设，该部分土石方工程量较小，</w:t>
      </w:r>
      <w:r w:rsidRPr="00E67914">
        <w:rPr>
          <w:rFonts w:ascii="Times New Roman" w:hAnsi="Times New Roman"/>
          <w:lang w:eastAsia="zh-CN"/>
        </w:rPr>
        <w:t>项目土石方平衡见下表</w:t>
      </w:r>
      <w:r w:rsidRPr="00E67914">
        <w:rPr>
          <w:rFonts w:ascii="Times New Roman" w:hAnsi="Times New Roman"/>
          <w:lang w:eastAsia="zh-CN"/>
        </w:rPr>
        <w:t>3.2-17</w:t>
      </w:r>
      <w:r w:rsidRPr="00E67914">
        <w:rPr>
          <w:rFonts w:ascii="Times New Roman" w:hAnsi="Times New Roman"/>
          <w:lang w:eastAsia="zh-CN"/>
        </w:rPr>
        <w:t>。</w:t>
      </w:r>
    </w:p>
    <w:p w14:paraId="690A4251"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3.2-17  </w:t>
      </w:r>
      <w:r w:rsidRPr="00E67914">
        <w:rPr>
          <w:rFonts w:ascii="Times New Roman" w:eastAsia="黑体" w:hAnsi="Times New Roman"/>
          <w:sz w:val="21"/>
          <w:szCs w:val="21"/>
          <w:lang w:eastAsia="zh-CN"/>
        </w:rPr>
        <w:t>本项目土石方平衡一览表</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57" w:type="dxa"/>
          <w:right w:w="57" w:type="dxa"/>
        </w:tblCellMar>
        <w:tblLook w:val="04A0" w:firstRow="1" w:lastRow="0" w:firstColumn="1" w:lastColumn="0" w:noHBand="0" w:noVBand="1"/>
      </w:tblPr>
      <w:tblGrid>
        <w:gridCol w:w="3014"/>
        <w:gridCol w:w="923"/>
        <w:gridCol w:w="923"/>
        <w:gridCol w:w="863"/>
        <w:gridCol w:w="863"/>
        <w:gridCol w:w="857"/>
        <w:gridCol w:w="857"/>
      </w:tblGrid>
      <w:tr w:rsidR="00E67914" w:rsidRPr="00E67914" w14:paraId="162F052A" w14:textId="77777777" w:rsidTr="00EC6440">
        <w:trPr>
          <w:cantSplit/>
        </w:trPr>
        <w:tc>
          <w:tcPr>
            <w:tcW w:w="1814" w:type="pct"/>
            <w:shd w:val="clear" w:color="auto" w:fill="FFFFFF"/>
            <w:vAlign w:val="center"/>
          </w:tcPr>
          <w:p w14:paraId="499F19F5"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名称</w:t>
            </w:r>
          </w:p>
        </w:tc>
        <w:tc>
          <w:tcPr>
            <w:tcW w:w="556" w:type="pct"/>
            <w:shd w:val="clear" w:color="auto" w:fill="FFFFFF"/>
            <w:vAlign w:val="center"/>
          </w:tcPr>
          <w:p w14:paraId="77B3A17E"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挖方量</w:t>
            </w:r>
            <w:r w:rsidRPr="00E67914">
              <w:rPr>
                <w:rFonts w:ascii="Times New Roman" w:hAnsi="Times New Roman"/>
                <w:sz w:val="21"/>
                <w:szCs w:val="21"/>
              </w:rPr>
              <w:t>/m</w:t>
            </w:r>
            <w:r w:rsidRPr="00E67914">
              <w:rPr>
                <w:rFonts w:ascii="Times New Roman" w:hAnsi="Times New Roman"/>
                <w:sz w:val="21"/>
                <w:szCs w:val="21"/>
                <w:vertAlign w:val="superscript"/>
              </w:rPr>
              <w:t>3</w:t>
            </w:r>
          </w:p>
        </w:tc>
        <w:tc>
          <w:tcPr>
            <w:tcW w:w="556" w:type="pct"/>
            <w:shd w:val="clear" w:color="auto" w:fill="FFFFFF"/>
            <w:vAlign w:val="center"/>
          </w:tcPr>
          <w:p w14:paraId="414768A4"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填方量</w:t>
            </w:r>
            <w:r w:rsidRPr="00E67914">
              <w:rPr>
                <w:rFonts w:ascii="Times New Roman" w:hAnsi="Times New Roman"/>
                <w:sz w:val="21"/>
                <w:szCs w:val="21"/>
              </w:rPr>
              <w:t>/m</w:t>
            </w:r>
            <w:r w:rsidRPr="00E67914">
              <w:rPr>
                <w:rFonts w:ascii="Times New Roman" w:hAnsi="Times New Roman"/>
                <w:sz w:val="21"/>
                <w:szCs w:val="21"/>
                <w:vertAlign w:val="superscript"/>
              </w:rPr>
              <w:t>3</w:t>
            </w:r>
          </w:p>
        </w:tc>
        <w:tc>
          <w:tcPr>
            <w:tcW w:w="520" w:type="pct"/>
            <w:shd w:val="clear" w:color="auto" w:fill="FFFFFF"/>
            <w:vAlign w:val="center"/>
          </w:tcPr>
          <w:p w14:paraId="6B863DCF"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调入量</w:t>
            </w:r>
            <w:r w:rsidRPr="00E67914">
              <w:rPr>
                <w:rFonts w:ascii="Times New Roman" w:hAnsi="Times New Roman"/>
                <w:sz w:val="21"/>
                <w:szCs w:val="21"/>
              </w:rPr>
              <w:t>/m</w:t>
            </w:r>
            <w:r w:rsidRPr="00E67914">
              <w:rPr>
                <w:rFonts w:ascii="Times New Roman" w:hAnsi="Times New Roman"/>
                <w:sz w:val="21"/>
                <w:szCs w:val="21"/>
                <w:vertAlign w:val="superscript"/>
              </w:rPr>
              <w:t>3</w:t>
            </w:r>
          </w:p>
        </w:tc>
        <w:tc>
          <w:tcPr>
            <w:tcW w:w="520" w:type="pct"/>
            <w:shd w:val="clear" w:color="auto" w:fill="FFFFFF"/>
            <w:vAlign w:val="center"/>
          </w:tcPr>
          <w:p w14:paraId="17FE0D10"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调出量</w:t>
            </w:r>
            <w:r w:rsidRPr="00E67914">
              <w:rPr>
                <w:rFonts w:ascii="Times New Roman" w:hAnsi="Times New Roman"/>
                <w:sz w:val="21"/>
                <w:szCs w:val="21"/>
              </w:rPr>
              <w:t>/m</w:t>
            </w:r>
            <w:r w:rsidRPr="00E67914">
              <w:rPr>
                <w:rFonts w:ascii="Times New Roman" w:hAnsi="Times New Roman"/>
                <w:sz w:val="21"/>
                <w:szCs w:val="21"/>
                <w:vertAlign w:val="superscript"/>
              </w:rPr>
              <w:t>3</w:t>
            </w:r>
          </w:p>
        </w:tc>
        <w:tc>
          <w:tcPr>
            <w:tcW w:w="516" w:type="pct"/>
            <w:shd w:val="clear" w:color="auto" w:fill="FFFFFF"/>
            <w:vAlign w:val="center"/>
          </w:tcPr>
          <w:p w14:paraId="0847D0CB"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弃方量</w:t>
            </w:r>
            <w:r w:rsidRPr="00E67914">
              <w:rPr>
                <w:rFonts w:ascii="Times New Roman" w:hAnsi="Times New Roman"/>
                <w:sz w:val="21"/>
                <w:szCs w:val="21"/>
              </w:rPr>
              <w:t>/m</w:t>
            </w:r>
            <w:r w:rsidRPr="00E67914">
              <w:rPr>
                <w:rFonts w:ascii="Times New Roman" w:hAnsi="Times New Roman"/>
                <w:sz w:val="21"/>
                <w:szCs w:val="21"/>
                <w:vertAlign w:val="superscript"/>
              </w:rPr>
              <w:t>3</w:t>
            </w:r>
          </w:p>
        </w:tc>
        <w:tc>
          <w:tcPr>
            <w:tcW w:w="516" w:type="pct"/>
            <w:shd w:val="clear" w:color="auto" w:fill="FFFFFF"/>
            <w:vAlign w:val="center"/>
          </w:tcPr>
          <w:p w14:paraId="4621B524"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借方量</w:t>
            </w:r>
            <w:r w:rsidRPr="00E67914">
              <w:rPr>
                <w:rFonts w:ascii="Times New Roman" w:hAnsi="Times New Roman"/>
                <w:sz w:val="21"/>
                <w:szCs w:val="21"/>
              </w:rPr>
              <w:t>/m</w:t>
            </w:r>
            <w:r w:rsidRPr="00E67914">
              <w:rPr>
                <w:rFonts w:ascii="Times New Roman" w:hAnsi="Times New Roman"/>
                <w:sz w:val="21"/>
                <w:szCs w:val="21"/>
                <w:vertAlign w:val="superscript"/>
              </w:rPr>
              <w:t>3</w:t>
            </w:r>
          </w:p>
        </w:tc>
      </w:tr>
      <w:tr w:rsidR="00E67914" w:rsidRPr="00E67914" w14:paraId="20A1D511" w14:textId="77777777" w:rsidTr="00EC6440">
        <w:trPr>
          <w:cantSplit/>
        </w:trPr>
        <w:tc>
          <w:tcPr>
            <w:tcW w:w="1814" w:type="pct"/>
            <w:shd w:val="clear" w:color="auto" w:fill="FFFFFF"/>
            <w:vAlign w:val="center"/>
          </w:tcPr>
          <w:p w14:paraId="24E5E2FE" w14:textId="67BEA8FD" w:rsidR="00A54A8A" w:rsidRPr="00E67914" w:rsidRDefault="00394179">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新普陆页</w:t>
            </w:r>
            <w:r w:rsidRPr="00E67914">
              <w:rPr>
                <w:rFonts w:ascii="Times New Roman" w:hAnsi="Times New Roman"/>
                <w:sz w:val="21"/>
                <w:szCs w:val="21"/>
              </w:rPr>
              <w:t>2</w:t>
            </w:r>
            <w:r w:rsidRPr="00E67914">
              <w:rPr>
                <w:rFonts w:ascii="Times New Roman" w:hAnsi="Times New Roman"/>
                <w:sz w:val="21"/>
                <w:szCs w:val="21"/>
              </w:rPr>
              <w:t>井场</w:t>
            </w:r>
          </w:p>
        </w:tc>
        <w:tc>
          <w:tcPr>
            <w:tcW w:w="556" w:type="pct"/>
            <w:shd w:val="clear" w:color="auto" w:fill="FFFFFF"/>
            <w:vAlign w:val="center"/>
          </w:tcPr>
          <w:p w14:paraId="2241EFBC" w14:textId="099D721E" w:rsidR="00A54A8A" w:rsidRPr="00E67914" w:rsidRDefault="00394179">
            <w:pPr>
              <w:jc w:val="center"/>
              <w:rPr>
                <w:rFonts w:ascii="Times New Roman" w:hAnsi="Times New Roman"/>
                <w:sz w:val="21"/>
                <w:szCs w:val="21"/>
                <w:lang w:eastAsia="zh-CN"/>
              </w:rPr>
            </w:pPr>
            <w:r w:rsidRPr="00E67914">
              <w:rPr>
                <w:rFonts w:ascii="Times New Roman" w:hAnsi="Times New Roman"/>
                <w:sz w:val="21"/>
                <w:szCs w:val="21"/>
                <w:lang w:eastAsia="zh-CN"/>
              </w:rPr>
              <w:t>19476</w:t>
            </w:r>
          </w:p>
        </w:tc>
        <w:tc>
          <w:tcPr>
            <w:tcW w:w="556" w:type="pct"/>
            <w:shd w:val="clear" w:color="auto" w:fill="FFFFFF"/>
            <w:vAlign w:val="center"/>
          </w:tcPr>
          <w:p w14:paraId="5696C162" w14:textId="7188538F" w:rsidR="00A54A8A" w:rsidRPr="00E67914" w:rsidRDefault="00394179">
            <w:pPr>
              <w:jc w:val="center"/>
              <w:rPr>
                <w:rFonts w:ascii="Times New Roman" w:hAnsi="Times New Roman"/>
                <w:sz w:val="21"/>
                <w:szCs w:val="21"/>
                <w:lang w:eastAsia="zh-CN"/>
              </w:rPr>
            </w:pPr>
            <w:r w:rsidRPr="00E67914">
              <w:rPr>
                <w:rFonts w:ascii="Times New Roman" w:hAnsi="Times New Roman"/>
                <w:sz w:val="21"/>
                <w:szCs w:val="21"/>
                <w:lang w:eastAsia="zh-CN"/>
              </w:rPr>
              <w:t>19</w:t>
            </w:r>
            <w:r w:rsidR="00EC6440" w:rsidRPr="00E67914">
              <w:rPr>
                <w:rFonts w:ascii="Times New Roman" w:hAnsi="Times New Roman"/>
                <w:sz w:val="21"/>
                <w:szCs w:val="21"/>
                <w:lang w:eastAsia="zh-CN"/>
              </w:rPr>
              <w:t>600</w:t>
            </w:r>
          </w:p>
        </w:tc>
        <w:tc>
          <w:tcPr>
            <w:tcW w:w="520" w:type="pct"/>
            <w:shd w:val="clear" w:color="auto" w:fill="FFFFFF"/>
            <w:vAlign w:val="center"/>
          </w:tcPr>
          <w:p w14:paraId="7085AE61" w14:textId="3636C04A" w:rsidR="00A54A8A" w:rsidRPr="00E67914" w:rsidRDefault="00EC6440">
            <w:pPr>
              <w:jc w:val="center"/>
              <w:rPr>
                <w:rFonts w:ascii="Times New Roman" w:hAnsi="Times New Roman"/>
                <w:sz w:val="21"/>
                <w:szCs w:val="21"/>
              </w:rPr>
            </w:pPr>
            <w:r w:rsidRPr="00E67914">
              <w:rPr>
                <w:rFonts w:ascii="Times New Roman" w:hAnsi="Times New Roman"/>
                <w:sz w:val="21"/>
                <w:szCs w:val="21"/>
              </w:rPr>
              <w:t>124</w:t>
            </w:r>
          </w:p>
        </w:tc>
        <w:tc>
          <w:tcPr>
            <w:tcW w:w="520" w:type="pct"/>
            <w:shd w:val="clear" w:color="auto" w:fill="FFFFFF"/>
            <w:vAlign w:val="center"/>
          </w:tcPr>
          <w:p w14:paraId="537FC10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w:t>
            </w:r>
          </w:p>
        </w:tc>
        <w:tc>
          <w:tcPr>
            <w:tcW w:w="516" w:type="pct"/>
            <w:shd w:val="clear" w:color="auto" w:fill="FFFFFF"/>
            <w:vAlign w:val="center"/>
          </w:tcPr>
          <w:p w14:paraId="671C810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w:t>
            </w:r>
          </w:p>
        </w:tc>
        <w:tc>
          <w:tcPr>
            <w:tcW w:w="516" w:type="pct"/>
            <w:shd w:val="clear" w:color="auto" w:fill="FFFFFF"/>
            <w:vAlign w:val="center"/>
          </w:tcPr>
          <w:p w14:paraId="4B8DF94D"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w:t>
            </w:r>
          </w:p>
        </w:tc>
      </w:tr>
      <w:tr w:rsidR="00E67914" w:rsidRPr="00E67914" w14:paraId="489F1FE1" w14:textId="77777777" w:rsidTr="00EC6440">
        <w:trPr>
          <w:cantSplit/>
        </w:trPr>
        <w:tc>
          <w:tcPr>
            <w:tcW w:w="1814" w:type="pct"/>
            <w:shd w:val="clear" w:color="auto" w:fill="FFFFFF"/>
            <w:vAlign w:val="center"/>
          </w:tcPr>
          <w:p w14:paraId="31B5235D" w14:textId="5EA811CB" w:rsidR="00394179" w:rsidRPr="00E67914" w:rsidRDefault="00394179">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lastRenderedPageBreak/>
              <w:t>普陆页</w:t>
            </w:r>
            <w:r w:rsidRPr="00E67914">
              <w:rPr>
                <w:rFonts w:ascii="Times New Roman" w:hAnsi="Times New Roman"/>
                <w:sz w:val="21"/>
                <w:szCs w:val="21"/>
              </w:rPr>
              <w:t>2</w:t>
            </w:r>
            <w:r w:rsidRPr="00E67914">
              <w:rPr>
                <w:rFonts w:ascii="Times New Roman" w:hAnsi="Times New Roman"/>
                <w:sz w:val="21"/>
                <w:szCs w:val="21"/>
              </w:rPr>
              <w:t>试采站</w:t>
            </w:r>
          </w:p>
        </w:tc>
        <w:tc>
          <w:tcPr>
            <w:tcW w:w="556" w:type="pct"/>
            <w:shd w:val="clear" w:color="auto" w:fill="FFFFFF"/>
            <w:vAlign w:val="center"/>
          </w:tcPr>
          <w:p w14:paraId="0D1A656E" w14:textId="05D37609" w:rsidR="00394179" w:rsidRPr="00E67914" w:rsidRDefault="00394179">
            <w:pPr>
              <w:jc w:val="center"/>
              <w:rPr>
                <w:rFonts w:ascii="Times New Roman" w:hAnsi="Times New Roman"/>
                <w:sz w:val="21"/>
                <w:szCs w:val="21"/>
                <w:lang w:eastAsia="zh-CN"/>
              </w:rPr>
            </w:pPr>
            <w:r w:rsidRPr="00E67914">
              <w:rPr>
                <w:rFonts w:ascii="Times New Roman" w:hAnsi="Times New Roman"/>
                <w:sz w:val="21"/>
                <w:szCs w:val="21"/>
                <w:lang w:eastAsia="zh-CN"/>
              </w:rPr>
              <w:t>258</w:t>
            </w:r>
          </w:p>
        </w:tc>
        <w:tc>
          <w:tcPr>
            <w:tcW w:w="556" w:type="pct"/>
            <w:shd w:val="clear" w:color="auto" w:fill="FFFFFF"/>
            <w:vAlign w:val="center"/>
          </w:tcPr>
          <w:p w14:paraId="48B1DABE" w14:textId="6E68321E" w:rsidR="00394179" w:rsidRPr="00E67914" w:rsidRDefault="00EC6440">
            <w:pPr>
              <w:jc w:val="center"/>
              <w:rPr>
                <w:rFonts w:ascii="Times New Roman" w:hAnsi="Times New Roman"/>
                <w:sz w:val="21"/>
                <w:szCs w:val="21"/>
                <w:lang w:eastAsia="zh-CN"/>
              </w:rPr>
            </w:pPr>
            <w:r w:rsidRPr="00E67914">
              <w:rPr>
                <w:rFonts w:ascii="Times New Roman" w:hAnsi="Times New Roman"/>
                <w:sz w:val="21"/>
                <w:szCs w:val="21"/>
                <w:lang w:eastAsia="zh-CN"/>
              </w:rPr>
              <w:t>134</w:t>
            </w:r>
          </w:p>
        </w:tc>
        <w:tc>
          <w:tcPr>
            <w:tcW w:w="520" w:type="pct"/>
            <w:shd w:val="clear" w:color="auto" w:fill="FFFFFF"/>
            <w:vAlign w:val="center"/>
          </w:tcPr>
          <w:p w14:paraId="6A218430" w14:textId="6D7B9E5D" w:rsidR="00394179" w:rsidRPr="00E67914" w:rsidRDefault="00EC6440">
            <w:pPr>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520" w:type="pct"/>
            <w:shd w:val="clear" w:color="auto" w:fill="FFFFFF"/>
            <w:vAlign w:val="center"/>
          </w:tcPr>
          <w:p w14:paraId="22D9051F" w14:textId="56010080" w:rsidR="00394179" w:rsidRPr="00E67914" w:rsidRDefault="00EC6440">
            <w:pPr>
              <w:jc w:val="center"/>
              <w:rPr>
                <w:rFonts w:ascii="Times New Roman" w:hAnsi="Times New Roman"/>
                <w:sz w:val="21"/>
                <w:szCs w:val="21"/>
              </w:rPr>
            </w:pPr>
            <w:r w:rsidRPr="00E67914">
              <w:rPr>
                <w:rFonts w:ascii="Times New Roman" w:hAnsi="Times New Roman"/>
                <w:sz w:val="21"/>
                <w:szCs w:val="21"/>
                <w:lang w:eastAsia="zh-CN"/>
              </w:rPr>
              <w:t>124</w:t>
            </w:r>
          </w:p>
        </w:tc>
        <w:tc>
          <w:tcPr>
            <w:tcW w:w="516" w:type="pct"/>
            <w:shd w:val="clear" w:color="auto" w:fill="FFFFFF"/>
            <w:vAlign w:val="center"/>
          </w:tcPr>
          <w:p w14:paraId="7AA64E60" w14:textId="3A773A90" w:rsidR="00394179" w:rsidRPr="00E67914" w:rsidRDefault="00EC6440">
            <w:pPr>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516" w:type="pct"/>
            <w:shd w:val="clear" w:color="auto" w:fill="FFFFFF"/>
            <w:vAlign w:val="center"/>
          </w:tcPr>
          <w:p w14:paraId="5919AA17" w14:textId="0B0E8BFE" w:rsidR="00394179" w:rsidRPr="00E67914" w:rsidRDefault="00EC6440">
            <w:pPr>
              <w:widowControl w:val="0"/>
              <w:kinsoku w:val="0"/>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w:t>
            </w:r>
          </w:p>
        </w:tc>
      </w:tr>
      <w:tr w:rsidR="00E67914" w:rsidRPr="00E67914" w14:paraId="1431B340" w14:textId="77777777" w:rsidTr="00EC6440">
        <w:trPr>
          <w:cantSplit/>
        </w:trPr>
        <w:tc>
          <w:tcPr>
            <w:tcW w:w="1814" w:type="pct"/>
            <w:shd w:val="clear" w:color="auto" w:fill="FFFFFF"/>
            <w:vAlign w:val="center"/>
          </w:tcPr>
          <w:p w14:paraId="64425E2A" w14:textId="33FAE5F3" w:rsidR="00394179" w:rsidRPr="00E67914" w:rsidRDefault="00394179">
            <w:pPr>
              <w:widowControl w:val="0"/>
              <w:kinsoku w:val="0"/>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井场到普陆页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试采站管线</w:t>
            </w:r>
          </w:p>
        </w:tc>
        <w:tc>
          <w:tcPr>
            <w:tcW w:w="556" w:type="pct"/>
            <w:shd w:val="clear" w:color="auto" w:fill="FFFFFF"/>
            <w:vAlign w:val="center"/>
          </w:tcPr>
          <w:p w14:paraId="61234DCB" w14:textId="6A4DBCB1" w:rsidR="00394179" w:rsidRPr="00E67914" w:rsidRDefault="00394179">
            <w:pPr>
              <w:jc w:val="center"/>
              <w:rPr>
                <w:rFonts w:ascii="Times New Roman" w:hAnsi="Times New Roman"/>
                <w:sz w:val="21"/>
                <w:szCs w:val="21"/>
                <w:lang w:eastAsia="zh-CN"/>
              </w:rPr>
            </w:pPr>
            <w:r w:rsidRPr="00E67914">
              <w:rPr>
                <w:rFonts w:ascii="Times New Roman" w:hAnsi="Times New Roman"/>
                <w:sz w:val="21"/>
                <w:szCs w:val="21"/>
                <w:lang w:eastAsia="zh-CN"/>
              </w:rPr>
              <w:t>1327</w:t>
            </w:r>
          </w:p>
        </w:tc>
        <w:tc>
          <w:tcPr>
            <w:tcW w:w="556" w:type="pct"/>
            <w:shd w:val="clear" w:color="auto" w:fill="FFFFFF"/>
            <w:vAlign w:val="center"/>
          </w:tcPr>
          <w:p w14:paraId="226C4B1A" w14:textId="756B0E13" w:rsidR="00394179" w:rsidRPr="00E67914" w:rsidRDefault="00394179">
            <w:pPr>
              <w:jc w:val="center"/>
              <w:rPr>
                <w:rFonts w:ascii="Times New Roman" w:hAnsi="Times New Roman"/>
                <w:sz w:val="21"/>
                <w:szCs w:val="21"/>
                <w:lang w:eastAsia="zh-CN"/>
              </w:rPr>
            </w:pPr>
            <w:r w:rsidRPr="00E67914">
              <w:rPr>
                <w:rFonts w:ascii="Times New Roman" w:hAnsi="Times New Roman"/>
                <w:sz w:val="21"/>
                <w:szCs w:val="21"/>
                <w:lang w:eastAsia="zh-CN"/>
              </w:rPr>
              <w:t>1327</w:t>
            </w:r>
          </w:p>
        </w:tc>
        <w:tc>
          <w:tcPr>
            <w:tcW w:w="520" w:type="pct"/>
            <w:shd w:val="clear" w:color="auto" w:fill="FFFFFF"/>
            <w:vAlign w:val="center"/>
          </w:tcPr>
          <w:p w14:paraId="2F89DC91" w14:textId="545F8BD7" w:rsidR="00394179" w:rsidRPr="00E67914" w:rsidRDefault="00EC6440">
            <w:pPr>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520" w:type="pct"/>
            <w:shd w:val="clear" w:color="auto" w:fill="FFFFFF"/>
            <w:vAlign w:val="center"/>
          </w:tcPr>
          <w:p w14:paraId="56DF8263" w14:textId="5ED2B466" w:rsidR="00394179" w:rsidRPr="00E67914" w:rsidRDefault="00EC6440">
            <w:pPr>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516" w:type="pct"/>
            <w:shd w:val="clear" w:color="auto" w:fill="FFFFFF"/>
            <w:vAlign w:val="center"/>
          </w:tcPr>
          <w:p w14:paraId="5799F664" w14:textId="28625139" w:rsidR="00394179" w:rsidRPr="00E67914" w:rsidRDefault="00EC6440">
            <w:pPr>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516" w:type="pct"/>
            <w:shd w:val="clear" w:color="auto" w:fill="FFFFFF"/>
            <w:vAlign w:val="center"/>
          </w:tcPr>
          <w:p w14:paraId="488E3FC8" w14:textId="481D5568" w:rsidR="00394179" w:rsidRPr="00E67914" w:rsidRDefault="00EC6440">
            <w:pPr>
              <w:widowControl w:val="0"/>
              <w:kinsoku w:val="0"/>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w:t>
            </w:r>
          </w:p>
        </w:tc>
      </w:tr>
      <w:tr w:rsidR="00E67914" w:rsidRPr="00E67914" w14:paraId="19550041" w14:textId="77777777" w:rsidTr="00EC6440">
        <w:trPr>
          <w:cantSplit/>
        </w:trPr>
        <w:tc>
          <w:tcPr>
            <w:tcW w:w="1814" w:type="pct"/>
            <w:shd w:val="clear" w:color="auto" w:fill="FFFFFF"/>
            <w:vAlign w:val="center"/>
          </w:tcPr>
          <w:p w14:paraId="7B77BBB3" w14:textId="38A4E01A" w:rsidR="00A54A8A" w:rsidRPr="00E67914" w:rsidRDefault="00394179">
            <w:pPr>
              <w:widowControl w:val="0"/>
              <w:kinsoku w:val="0"/>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试采站至</w:t>
            </w:r>
            <w:r w:rsidRPr="00E67914">
              <w:rPr>
                <w:rFonts w:ascii="Times New Roman" w:hAnsi="Times New Roman"/>
                <w:sz w:val="21"/>
                <w:szCs w:val="21"/>
                <w:lang w:eastAsia="zh-CN"/>
              </w:rPr>
              <w:t>P302</w:t>
            </w:r>
            <w:r w:rsidRPr="00E67914">
              <w:rPr>
                <w:rFonts w:ascii="Times New Roman" w:hAnsi="Times New Roman"/>
                <w:sz w:val="21"/>
                <w:szCs w:val="21"/>
                <w:lang w:eastAsia="zh-CN"/>
              </w:rPr>
              <w:t>集气站的外输管线</w:t>
            </w:r>
          </w:p>
        </w:tc>
        <w:tc>
          <w:tcPr>
            <w:tcW w:w="556" w:type="pct"/>
            <w:shd w:val="clear" w:color="auto" w:fill="FFFFFF"/>
            <w:vAlign w:val="center"/>
          </w:tcPr>
          <w:p w14:paraId="3B68A9A7" w14:textId="364EAE31" w:rsidR="00A54A8A" w:rsidRPr="00E67914" w:rsidRDefault="00394179">
            <w:pPr>
              <w:jc w:val="center"/>
              <w:rPr>
                <w:rFonts w:ascii="Times New Roman" w:hAnsi="Times New Roman"/>
                <w:sz w:val="21"/>
                <w:szCs w:val="21"/>
                <w:lang w:eastAsia="zh-CN"/>
              </w:rPr>
            </w:pPr>
            <w:r w:rsidRPr="00E67914">
              <w:rPr>
                <w:rFonts w:ascii="Times New Roman" w:hAnsi="Times New Roman"/>
                <w:sz w:val="21"/>
                <w:szCs w:val="21"/>
                <w:lang w:eastAsia="zh-CN"/>
              </w:rPr>
              <w:t>6482</w:t>
            </w:r>
          </w:p>
        </w:tc>
        <w:tc>
          <w:tcPr>
            <w:tcW w:w="556" w:type="pct"/>
            <w:shd w:val="clear" w:color="auto" w:fill="FFFFFF"/>
            <w:vAlign w:val="center"/>
          </w:tcPr>
          <w:p w14:paraId="39414D9A" w14:textId="29851C3D" w:rsidR="00A54A8A" w:rsidRPr="00E67914" w:rsidRDefault="00394179">
            <w:pPr>
              <w:jc w:val="center"/>
              <w:rPr>
                <w:rFonts w:ascii="Times New Roman" w:hAnsi="Times New Roman"/>
                <w:sz w:val="21"/>
                <w:szCs w:val="21"/>
                <w:lang w:eastAsia="zh-CN"/>
              </w:rPr>
            </w:pPr>
            <w:r w:rsidRPr="00E67914">
              <w:rPr>
                <w:rFonts w:ascii="Times New Roman" w:hAnsi="Times New Roman"/>
                <w:sz w:val="21"/>
                <w:szCs w:val="21"/>
                <w:lang w:eastAsia="zh-CN"/>
              </w:rPr>
              <w:t>6482</w:t>
            </w:r>
          </w:p>
        </w:tc>
        <w:tc>
          <w:tcPr>
            <w:tcW w:w="520" w:type="pct"/>
            <w:shd w:val="clear" w:color="auto" w:fill="FFFFFF"/>
            <w:vAlign w:val="center"/>
          </w:tcPr>
          <w:p w14:paraId="194ACFE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w:t>
            </w:r>
          </w:p>
        </w:tc>
        <w:tc>
          <w:tcPr>
            <w:tcW w:w="520" w:type="pct"/>
            <w:shd w:val="clear" w:color="auto" w:fill="FFFFFF"/>
            <w:vAlign w:val="center"/>
          </w:tcPr>
          <w:p w14:paraId="6617C62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w:t>
            </w:r>
          </w:p>
        </w:tc>
        <w:tc>
          <w:tcPr>
            <w:tcW w:w="516" w:type="pct"/>
            <w:shd w:val="clear" w:color="auto" w:fill="FFFFFF"/>
            <w:vAlign w:val="center"/>
          </w:tcPr>
          <w:p w14:paraId="3918FD0A" w14:textId="276ED476" w:rsidR="00A54A8A" w:rsidRPr="00E67914" w:rsidRDefault="00EC6440">
            <w:pPr>
              <w:jc w:val="center"/>
              <w:rPr>
                <w:rFonts w:ascii="Times New Roman" w:hAnsi="Times New Roman"/>
                <w:sz w:val="21"/>
                <w:szCs w:val="21"/>
              </w:rPr>
            </w:pPr>
            <w:r w:rsidRPr="00E67914">
              <w:rPr>
                <w:rFonts w:ascii="Times New Roman" w:hAnsi="Times New Roman"/>
                <w:sz w:val="21"/>
                <w:szCs w:val="21"/>
              </w:rPr>
              <w:t>0</w:t>
            </w:r>
          </w:p>
        </w:tc>
        <w:tc>
          <w:tcPr>
            <w:tcW w:w="516" w:type="pct"/>
            <w:shd w:val="clear" w:color="auto" w:fill="FFFFFF"/>
            <w:vAlign w:val="center"/>
          </w:tcPr>
          <w:p w14:paraId="0EB037AF" w14:textId="6E31F8E0" w:rsidR="00A54A8A" w:rsidRPr="00E67914" w:rsidRDefault="00EC644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0</w:t>
            </w:r>
          </w:p>
        </w:tc>
      </w:tr>
      <w:tr w:rsidR="00E67914" w:rsidRPr="00E67914" w14:paraId="039774AC" w14:textId="77777777" w:rsidTr="00EC6440">
        <w:trPr>
          <w:cantSplit/>
        </w:trPr>
        <w:tc>
          <w:tcPr>
            <w:tcW w:w="1814" w:type="pct"/>
            <w:shd w:val="clear" w:color="auto" w:fill="FFFFFF"/>
            <w:vAlign w:val="center"/>
          </w:tcPr>
          <w:p w14:paraId="6CF7829F" w14:textId="77777777" w:rsidR="00A54A8A" w:rsidRPr="00E67914" w:rsidRDefault="0000000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合计</w:t>
            </w:r>
          </w:p>
        </w:tc>
        <w:tc>
          <w:tcPr>
            <w:tcW w:w="556" w:type="pct"/>
            <w:shd w:val="clear" w:color="auto" w:fill="FFFFFF"/>
            <w:vAlign w:val="center"/>
          </w:tcPr>
          <w:p w14:paraId="6E5AF2C3" w14:textId="0EA07D39" w:rsidR="00A54A8A" w:rsidRPr="00E67914" w:rsidRDefault="00EC6440">
            <w:pPr>
              <w:jc w:val="center"/>
              <w:rPr>
                <w:rFonts w:ascii="Times New Roman" w:hAnsi="Times New Roman"/>
                <w:sz w:val="21"/>
                <w:szCs w:val="21"/>
                <w:lang w:eastAsia="zh-CN"/>
              </w:rPr>
            </w:pPr>
            <w:r w:rsidRPr="00E67914">
              <w:rPr>
                <w:rFonts w:ascii="Times New Roman" w:hAnsi="Times New Roman"/>
                <w:sz w:val="21"/>
                <w:szCs w:val="21"/>
                <w:lang w:eastAsia="zh-CN"/>
              </w:rPr>
              <w:t>27543</w:t>
            </w:r>
          </w:p>
        </w:tc>
        <w:tc>
          <w:tcPr>
            <w:tcW w:w="556" w:type="pct"/>
            <w:shd w:val="clear" w:color="auto" w:fill="FFFFFF"/>
            <w:vAlign w:val="center"/>
          </w:tcPr>
          <w:p w14:paraId="32201D59" w14:textId="3BBDFB1B" w:rsidR="00A54A8A" w:rsidRPr="00E67914" w:rsidRDefault="00EC6440">
            <w:pPr>
              <w:jc w:val="center"/>
              <w:rPr>
                <w:rFonts w:ascii="Times New Roman" w:hAnsi="Times New Roman"/>
                <w:sz w:val="21"/>
                <w:szCs w:val="21"/>
                <w:lang w:eastAsia="zh-CN"/>
              </w:rPr>
            </w:pPr>
            <w:r w:rsidRPr="00E67914">
              <w:rPr>
                <w:rFonts w:ascii="Times New Roman" w:hAnsi="Times New Roman"/>
                <w:sz w:val="21"/>
                <w:szCs w:val="21"/>
                <w:lang w:eastAsia="zh-CN"/>
              </w:rPr>
              <w:t>27543</w:t>
            </w:r>
          </w:p>
        </w:tc>
        <w:tc>
          <w:tcPr>
            <w:tcW w:w="520" w:type="pct"/>
            <w:shd w:val="clear" w:color="auto" w:fill="FFFFFF"/>
            <w:vAlign w:val="center"/>
          </w:tcPr>
          <w:p w14:paraId="1512B893" w14:textId="59FA73DB" w:rsidR="00A54A8A" w:rsidRPr="00E67914" w:rsidRDefault="00EC6440">
            <w:pPr>
              <w:jc w:val="center"/>
              <w:rPr>
                <w:rFonts w:ascii="Times New Roman" w:hAnsi="Times New Roman"/>
                <w:sz w:val="21"/>
                <w:szCs w:val="21"/>
              </w:rPr>
            </w:pPr>
            <w:r w:rsidRPr="00E67914">
              <w:rPr>
                <w:rFonts w:ascii="Times New Roman" w:hAnsi="Times New Roman"/>
                <w:sz w:val="21"/>
                <w:szCs w:val="21"/>
              </w:rPr>
              <w:t>124</w:t>
            </w:r>
          </w:p>
        </w:tc>
        <w:tc>
          <w:tcPr>
            <w:tcW w:w="520" w:type="pct"/>
            <w:shd w:val="clear" w:color="auto" w:fill="FFFFFF"/>
            <w:vAlign w:val="center"/>
          </w:tcPr>
          <w:p w14:paraId="0A3F9FB2" w14:textId="5CC27475" w:rsidR="00A54A8A" w:rsidRPr="00E67914" w:rsidRDefault="00EC6440">
            <w:pPr>
              <w:jc w:val="center"/>
              <w:rPr>
                <w:rFonts w:ascii="Times New Roman" w:hAnsi="Times New Roman"/>
                <w:sz w:val="21"/>
                <w:szCs w:val="21"/>
              </w:rPr>
            </w:pPr>
            <w:r w:rsidRPr="00E67914">
              <w:rPr>
                <w:rFonts w:ascii="Times New Roman" w:hAnsi="Times New Roman"/>
                <w:sz w:val="21"/>
                <w:szCs w:val="21"/>
              </w:rPr>
              <w:t>124</w:t>
            </w:r>
          </w:p>
        </w:tc>
        <w:tc>
          <w:tcPr>
            <w:tcW w:w="516" w:type="pct"/>
            <w:shd w:val="clear" w:color="auto" w:fill="FFFFFF"/>
            <w:vAlign w:val="center"/>
          </w:tcPr>
          <w:p w14:paraId="45DE1D4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w:t>
            </w:r>
          </w:p>
        </w:tc>
        <w:tc>
          <w:tcPr>
            <w:tcW w:w="516" w:type="pct"/>
            <w:shd w:val="clear" w:color="auto" w:fill="FFFFFF"/>
            <w:vAlign w:val="center"/>
          </w:tcPr>
          <w:p w14:paraId="7516B7D6" w14:textId="56601F14" w:rsidR="00A54A8A" w:rsidRPr="00E67914" w:rsidRDefault="00EC6440">
            <w:pPr>
              <w:widowControl w:val="0"/>
              <w:kinsoku w:val="0"/>
              <w:adjustRightInd w:val="0"/>
              <w:snapToGrid w:val="0"/>
              <w:jc w:val="center"/>
              <w:rPr>
                <w:rFonts w:ascii="Times New Roman" w:hAnsi="Times New Roman"/>
                <w:sz w:val="21"/>
                <w:szCs w:val="21"/>
              </w:rPr>
            </w:pPr>
            <w:r w:rsidRPr="00E67914">
              <w:rPr>
                <w:rFonts w:ascii="Times New Roman" w:hAnsi="Times New Roman"/>
                <w:sz w:val="21"/>
                <w:szCs w:val="21"/>
              </w:rPr>
              <w:t>0</w:t>
            </w:r>
          </w:p>
        </w:tc>
      </w:tr>
    </w:tbl>
    <w:p w14:paraId="64639B8F" w14:textId="77777777" w:rsidR="00A54A8A" w:rsidRPr="00E67914" w:rsidRDefault="00000000">
      <w:pPr>
        <w:pStyle w:val="af"/>
        <w:adjustRightInd w:val="0"/>
        <w:snapToGrid w:val="0"/>
        <w:spacing w:beforeLines="50" w:before="120" w:line="360" w:lineRule="auto"/>
        <w:ind w:left="0" w:firstLineChars="200" w:firstLine="480"/>
        <w:jc w:val="both"/>
        <w:rPr>
          <w:rFonts w:ascii="Times New Roman" w:eastAsia="黑体" w:hAnsi="Times New Roman"/>
          <w:lang w:eastAsia="zh-CN"/>
        </w:rPr>
      </w:pPr>
      <w:r w:rsidRPr="00E67914">
        <w:rPr>
          <w:rFonts w:ascii="Times New Roman" w:hAnsi="Times New Roman"/>
          <w:lang w:eastAsia="zh-CN"/>
        </w:rPr>
        <w:t>从上表可以看出，本项目能做到挖填方平衡，无需设置弃土场。</w:t>
      </w:r>
    </w:p>
    <w:p w14:paraId="5C53BC2D"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3.2.8</w:t>
      </w:r>
      <w:r w:rsidRPr="00E67914">
        <w:rPr>
          <w:rFonts w:ascii="Times New Roman" w:eastAsia="黑体" w:hAnsi="Times New Roman"/>
          <w:b w:val="0"/>
          <w:sz w:val="24"/>
          <w:szCs w:val="24"/>
          <w:lang w:eastAsia="zh-CN"/>
        </w:rPr>
        <w:t>劳动定员及工作制度</w:t>
      </w:r>
    </w:p>
    <w:p w14:paraId="1366F486"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1</w:t>
      </w:r>
      <w:r w:rsidRPr="00E67914">
        <w:rPr>
          <w:rFonts w:ascii="Times New Roman" w:eastAsia="黑体" w:hAnsi="Times New Roman"/>
          <w:lang w:eastAsia="zh-CN"/>
        </w:rPr>
        <w:t>、钻前工程</w:t>
      </w:r>
    </w:p>
    <w:p w14:paraId="6FBF7AEA" w14:textId="4449675C"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为土建施工，由专业施工单位组织当地民工施工作业为主，高峰时每天施工人员约</w:t>
      </w:r>
      <w:r w:rsidRPr="00E67914">
        <w:rPr>
          <w:rFonts w:ascii="Times New Roman" w:hAnsi="Times New Roman"/>
          <w:lang w:eastAsia="zh-CN"/>
        </w:rPr>
        <w:t>30</w:t>
      </w:r>
      <w:r w:rsidRPr="00E67914">
        <w:rPr>
          <w:rFonts w:ascii="Times New Roman" w:hAnsi="Times New Roman"/>
          <w:lang w:eastAsia="zh-CN"/>
        </w:rPr>
        <w:t>人</w:t>
      </w:r>
      <w:r w:rsidR="00EC6440" w:rsidRPr="00E67914">
        <w:rPr>
          <w:rFonts w:ascii="Times New Roman" w:hAnsi="Times New Roman"/>
          <w:lang w:eastAsia="zh-CN"/>
        </w:rPr>
        <w:t>，</w:t>
      </w:r>
      <w:r w:rsidRPr="00E67914">
        <w:rPr>
          <w:rFonts w:ascii="Times New Roman" w:hAnsi="Times New Roman"/>
          <w:lang w:eastAsia="zh-CN"/>
        </w:rPr>
        <w:t>施工工期约</w:t>
      </w:r>
      <w:r w:rsidRPr="00E67914">
        <w:rPr>
          <w:rFonts w:ascii="Times New Roman" w:hAnsi="Times New Roman"/>
          <w:lang w:eastAsia="zh-CN"/>
        </w:rPr>
        <w:t>60</w:t>
      </w:r>
      <w:r w:rsidRPr="00E67914">
        <w:rPr>
          <w:rFonts w:ascii="Times New Roman" w:hAnsi="Times New Roman"/>
          <w:lang w:eastAsia="zh-CN"/>
        </w:rPr>
        <w:t>天，白天施工，夜间不作业。</w:t>
      </w:r>
    </w:p>
    <w:p w14:paraId="1FDB52BA" w14:textId="73C16974"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2</w:t>
      </w:r>
      <w:r w:rsidRPr="00E67914">
        <w:rPr>
          <w:rFonts w:ascii="Times New Roman" w:eastAsia="黑体" w:hAnsi="Times New Roman"/>
          <w:lang w:eastAsia="zh-CN"/>
        </w:rPr>
        <w:t>、</w:t>
      </w:r>
      <w:r w:rsidR="00611A35" w:rsidRPr="00E67914">
        <w:rPr>
          <w:rFonts w:ascii="Times New Roman" w:eastAsia="黑体" w:hAnsi="Times New Roman"/>
          <w:lang w:eastAsia="zh-CN"/>
        </w:rPr>
        <w:t>钻井工程</w:t>
      </w:r>
    </w:p>
    <w:p w14:paraId="3C017CD1" w14:textId="105AF534" w:rsidR="00A54A8A" w:rsidRPr="00E67914" w:rsidRDefault="00810FBB">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钻井及洗井阶段由专业人员组成，钻井队编制约</w:t>
      </w:r>
      <w:r w:rsidRPr="00E67914">
        <w:rPr>
          <w:rFonts w:ascii="Times New Roman" w:hAnsi="Times New Roman"/>
          <w:lang w:eastAsia="zh-CN"/>
        </w:rPr>
        <w:t>45</w:t>
      </w:r>
      <w:r w:rsidRPr="00E67914">
        <w:rPr>
          <w:rFonts w:ascii="Times New Roman" w:hAnsi="Times New Roman"/>
          <w:lang w:eastAsia="zh-CN"/>
        </w:rPr>
        <w:t>人，其中，管理人员有队长、副队长、钻井工程师、地质工程师、泥浆工程师、动力机械师、</w:t>
      </w:r>
      <w:r w:rsidRPr="00E67914">
        <w:rPr>
          <w:rFonts w:ascii="Times New Roman" w:hAnsi="Times New Roman"/>
          <w:lang w:eastAsia="zh-CN"/>
        </w:rPr>
        <w:t>HSE</w:t>
      </w:r>
      <w:r w:rsidRPr="00E67914">
        <w:rPr>
          <w:rFonts w:ascii="Times New Roman" w:hAnsi="Times New Roman"/>
          <w:lang w:eastAsia="zh-CN"/>
        </w:rPr>
        <w:t>管理员；下设</w:t>
      </w:r>
      <w:r w:rsidRPr="00E67914">
        <w:rPr>
          <w:rFonts w:ascii="Times New Roman" w:hAnsi="Times New Roman"/>
          <w:lang w:eastAsia="zh-CN"/>
        </w:rPr>
        <w:t>3</w:t>
      </w:r>
      <w:r w:rsidRPr="00E67914">
        <w:rPr>
          <w:rFonts w:ascii="Times New Roman" w:hAnsi="Times New Roman"/>
          <w:lang w:eastAsia="zh-CN"/>
        </w:rPr>
        <w:t>个钻井班、一个地质资料组、一个后勤组，外加炊事人员、医疗人员、勤杂人员等。施工工期约</w:t>
      </w:r>
      <w:r w:rsidR="00EC6440" w:rsidRPr="00E67914">
        <w:rPr>
          <w:rFonts w:ascii="Times New Roman" w:hAnsi="Times New Roman"/>
          <w:lang w:eastAsia="zh-CN"/>
        </w:rPr>
        <w:t>3</w:t>
      </w:r>
      <w:r w:rsidRPr="00E67914">
        <w:rPr>
          <w:rFonts w:ascii="Times New Roman" w:hAnsi="Times New Roman"/>
          <w:lang w:eastAsia="zh-CN"/>
        </w:rPr>
        <w:t>00</w:t>
      </w:r>
      <w:r w:rsidRPr="00E67914">
        <w:rPr>
          <w:rFonts w:ascii="Times New Roman" w:hAnsi="Times New Roman"/>
          <w:lang w:eastAsia="zh-CN"/>
        </w:rPr>
        <w:t>天。</w:t>
      </w:r>
    </w:p>
    <w:p w14:paraId="412BD8F0" w14:textId="76FEE35B" w:rsidR="00A54A8A" w:rsidRPr="00E67914" w:rsidRDefault="00810FBB" w:rsidP="00810FBB">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压裂试气阶段压裂作业时间约</w:t>
      </w:r>
      <w:r w:rsidR="00EC6440" w:rsidRPr="00E67914">
        <w:rPr>
          <w:rFonts w:ascii="Times New Roman" w:hAnsi="Times New Roman"/>
          <w:lang w:eastAsia="zh-CN"/>
        </w:rPr>
        <w:t>114</w:t>
      </w:r>
      <w:r w:rsidRPr="00E67914">
        <w:rPr>
          <w:rFonts w:ascii="Times New Roman" w:hAnsi="Times New Roman"/>
          <w:lang w:eastAsia="zh-CN"/>
        </w:rPr>
        <w:t>天，作业人员</w:t>
      </w:r>
      <w:r w:rsidRPr="00E67914">
        <w:rPr>
          <w:rFonts w:ascii="Times New Roman" w:hAnsi="Times New Roman"/>
          <w:lang w:eastAsia="zh-CN"/>
        </w:rPr>
        <w:t>40</w:t>
      </w:r>
      <w:r w:rsidRPr="00E67914">
        <w:rPr>
          <w:rFonts w:ascii="Times New Roman" w:hAnsi="Times New Roman"/>
          <w:lang w:eastAsia="zh-CN"/>
        </w:rPr>
        <w:t>人，仅白天施工，夜间不作业。</w:t>
      </w:r>
    </w:p>
    <w:p w14:paraId="4A2E42CF" w14:textId="4F8609D5" w:rsidR="00A54A8A" w:rsidRPr="00E67914" w:rsidRDefault="00810FBB">
      <w:pPr>
        <w:pStyle w:val="af"/>
        <w:adjustRightInd w:val="0"/>
        <w:snapToGrid w:val="0"/>
        <w:spacing w:before="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3</w:t>
      </w:r>
      <w:r w:rsidRPr="00E67914">
        <w:rPr>
          <w:rFonts w:ascii="Times New Roman" w:eastAsia="黑体" w:hAnsi="Times New Roman"/>
          <w:lang w:eastAsia="zh-CN"/>
        </w:rPr>
        <w:t>、油气集输工程</w:t>
      </w:r>
    </w:p>
    <w:p w14:paraId="6BC5CDF2" w14:textId="3C6C6C1E" w:rsidR="00A54A8A" w:rsidRPr="00E67914" w:rsidRDefault="0070312E" w:rsidP="00810FBB">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油气集输工程高峰施工期约</w:t>
      </w:r>
      <w:r w:rsidRPr="00E67914">
        <w:rPr>
          <w:rFonts w:ascii="Times New Roman" w:hAnsi="Times New Roman"/>
          <w:lang w:eastAsia="zh-CN"/>
        </w:rPr>
        <w:t>20</w:t>
      </w:r>
      <w:r w:rsidRPr="00E67914">
        <w:rPr>
          <w:rFonts w:ascii="Times New Roman" w:hAnsi="Times New Roman"/>
          <w:lang w:eastAsia="zh-CN"/>
        </w:rPr>
        <w:t>人，施工工期约</w:t>
      </w:r>
      <w:r w:rsidRPr="00E67914">
        <w:rPr>
          <w:rFonts w:ascii="Times New Roman" w:hAnsi="Times New Roman"/>
          <w:lang w:eastAsia="zh-CN"/>
        </w:rPr>
        <w:t>90</w:t>
      </w:r>
      <w:r w:rsidRPr="00E67914">
        <w:rPr>
          <w:rFonts w:ascii="Times New Roman" w:hAnsi="Times New Roman"/>
          <w:lang w:eastAsia="zh-CN"/>
        </w:rPr>
        <w:t>天，仅白天施工，夜间不作业。</w:t>
      </w:r>
    </w:p>
    <w:p w14:paraId="1E7AB973" w14:textId="3E9AD3EF" w:rsidR="00A54A8A" w:rsidRPr="00E67914" w:rsidRDefault="00810FBB" w:rsidP="00810FBB">
      <w:pPr>
        <w:pStyle w:val="af"/>
        <w:adjustRightInd w:val="0"/>
        <w:snapToGrid w:val="0"/>
        <w:spacing w:before="0" w:line="360" w:lineRule="auto"/>
        <w:ind w:left="0" w:firstLineChars="200" w:firstLine="480"/>
        <w:jc w:val="both"/>
        <w:rPr>
          <w:rFonts w:ascii="Times New Roman" w:eastAsia="黑体" w:hAnsi="Times New Roman"/>
          <w:lang w:eastAsia="zh-CN"/>
        </w:rPr>
      </w:pPr>
      <w:r w:rsidRPr="00E67914">
        <w:rPr>
          <w:rFonts w:ascii="Times New Roman" w:eastAsia="黑体" w:hAnsi="Times New Roman"/>
          <w:lang w:eastAsia="zh-CN"/>
        </w:rPr>
        <w:t>4</w:t>
      </w:r>
      <w:r w:rsidRPr="00E67914">
        <w:rPr>
          <w:rFonts w:ascii="Times New Roman" w:eastAsia="黑体" w:hAnsi="Times New Roman"/>
          <w:lang w:eastAsia="zh-CN"/>
        </w:rPr>
        <w:t>、试采工程</w:t>
      </w:r>
    </w:p>
    <w:p w14:paraId="6529200E" w14:textId="2D7BD508"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项目试采站依托</w:t>
      </w:r>
      <w:r w:rsidR="00EC6440" w:rsidRPr="00E67914">
        <w:rPr>
          <w:rFonts w:ascii="Times New Roman" w:hAnsi="Times New Roman"/>
          <w:lang w:eastAsia="zh-CN"/>
        </w:rPr>
        <w:t>原</w:t>
      </w:r>
      <w:r w:rsidR="00902A04" w:rsidRPr="00E67914">
        <w:rPr>
          <w:rFonts w:ascii="Times New Roman" w:hAnsi="Times New Roman"/>
          <w:lang w:eastAsia="zh-CN"/>
        </w:rPr>
        <w:t>普陆页</w:t>
      </w:r>
      <w:r w:rsidR="00902A04" w:rsidRPr="00E67914">
        <w:rPr>
          <w:rFonts w:ascii="Times New Roman" w:hAnsi="Times New Roman"/>
          <w:lang w:eastAsia="zh-CN"/>
        </w:rPr>
        <w:t>2</w:t>
      </w:r>
      <w:r w:rsidR="00EC6440" w:rsidRPr="00E67914">
        <w:rPr>
          <w:rFonts w:ascii="Times New Roman" w:hAnsi="Times New Roman"/>
          <w:lang w:eastAsia="zh-CN"/>
        </w:rPr>
        <w:t>进场</w:t>
      </w:r>
      <w:r w:rsidRPr="00E67914">
        <w:rPr>
          <w:rFonts w:ascii="Times New Roman" w:hAnsi="Times New Roman"/>
          <w:lang w:eastAsia="zh-CN"/>
        </w:rPr>
        <w:t>进行建设，</w:t>
      </w:r>
      <w:bookmarkStart w:id="73" w:name="_Hlk88749992"/>
      <w:r w:rsidR="00734F48" w:rsidRPr="00E67914">
        <w:rPr>
          <w:rFonts w:ascii="Times New Roman" w:hAnsi="Times New Roman"/>
          <w:lang w:eastAsia="zh-CN"/>
        </w:rPr>
        <w:t>试采期按照无人值守进行设计</w:t>
      </w:r>
      <w:r w:rsidRPr="00E67914">
        <w:rPr>
          <w:rFonts w:ascii="Times New Roman" w:hAnsi="Times New Roman"/>
          <w:lang w:eastAsia="zh-CN"/>
        </w:rPr>
        <w:t>，实行连续</w:t>
      </w:r>
      <w:r w:rsidRPr="00E67914">
        <w:rPr>
          <w:rFonts w:ascii="Times New Roman" w:hAnsi="Times New Roman"/>
          <w:lang w:eastAsia="zh-CN"/>
        </w:rPr>
        <w:t>24h</w:t>
      </w:r>
      <w:r w:rsidRPr="00E67914">
        <w:rPr>
          <w:rFonts w:ascii="Times New Roman" w:hAnsi="Times New Roman"/>
          <w:lang w:eastAsia="zh-CN"/>
        </w:rPr>
        <w:t>不间断生产，年运行</w:t>
      </w:r>
      <w:r w:rsidRPr="00E67914">
        <w:rPr>
          <w:rFonts w:ascii="Times New Roman" w:hAnsi="Times New Roman"/>
          <w:lang w:eastAsia="zh-CN"/>
        </w:rPr>
        <w:t>365</w:t>
      </w:r>
      <w:r w:rsidRPr="00E67914">
        <w:rPr>
          <w:rFonts w:ascii="Times New Roman" w:hAnsi="Times New Roman"/>
          <w:lang w:eastAsia="zh-CN"/>
        </w:rPr>
        <w:t>天。</w:t>
      </w:r>
      <w:bookmarkEnd w:id="73"/>
    </w:p>
    <w:p w14:paraId="75BFAA86" w14:textId="77777777" w:rsidR="00A54A8A" w:rsidRPr="00E67914" w:rsidRDefault="00000000">
      <w:pPr>
        <w:pStyle w:val="2"/>
        <w:ind w:firstLine="480"/>
        <w:rPr>
          <w:szCs w:val="24"/>
          <w:lang w:eastAsia="zh-CN"/>
        </w:rPr>
      </w:pPr>
      <w:bookmarkStart w:id="74" w:name="_Toc148654222"/>
      <w:r w:rsidRPr="00E67914">
        <w:rPr>
          <w:szCs w:val="24"/>
          <w:lang w:eastAsia="zh-CN"/>
        </w:rPr>
        <w:t>3.3</w:t>
      </w:r>
      <w:r w:rsidRPr="00E67914">
        <w:rPr>
          <w:szCs w:val="24"/>
          <w:lang w:eastAsia="zh-CN"/>
        </w:rPr>
        <w:t>建设项目工程分析</w:t>
      </w:r>
      <w:bookmarkEnd w:id="74"/>
    </w:p>
    <w:p w14:paraId="54FDD708" w14:textId="4D33515E"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本项目包含</w:t>
      </w:r>
      <w:r w:rsidR="00810FBB" w:rsidRPr="00E67914">
        <w:rPr>
          <w:rFonts w:ascii="Times New Roman" w:hAnsi="Times New Roman"/>
          <w:sz w:val="24"/>
          <w:lang w:eastAsia="zh-CN"/>
        </w:rPr>
        <w:t>钻前工程、</w:t>
      </w:r>
      <w:r w:rsidR="00611A35" w:rsidRPr="00E67914">
        <w:rPr>
          <w:rFonts w:ascii="Times New Roman" w:hAnsi="Times New Roman"/>
          <w:sz w:val="24"/>
          <w:lang w:eastAsia="zh-CN"/>
        </w:rPr>
        <w:t>钻井工程</w:t>
      </w:r>
      <w:r w:rsidR="00810FBB" w:rsidRPr="00E67914">
        <w:rPr>
          <w:rFonts w:ascii="Times New Roman" w:hAnsi="Times New Roman"/>
          <w:sz w:val="24"/>
          <w:lang w:eastAsia="zh-CN"/>
        </w:rPr>
        <w:t>、地面集输工程及运营期试采工程</w:t>
      </w:r>
      <w:r w:rsidRPr="00E67914">
        <w:rPr>
          <w:rFonts w:ascii="Times New Roman" w:hAnsi="Times New Roman"/>
          <w:sz w:val="24"/>
          <w:lang w:eastAsia="zh-CN"/>
        </w:rPr>
        <w:t>。本项目充分参考了《陆上钻井作业环境保护推荐作法》的相关要求，并结合项目拟建地周边环境情况和中国石油化工股份有限公司多年的钻井工程经验，各项作业均达到该地区行业推荐作业方案的要求。钻井过程主要包括钻前工程（井场平整、道路、</w:t>
      </w:r>
      <w:r w:rsidR="00EC6440" w:rsidRPr="00E67914">
        <w:rPr>
          <w:rFonts w:ascii="Times New Roman" w:hAnsi="Times New Roman"/>
          <w:sz w:val="24"/>
          <w:lang w:eastAsia="zh-CN"/>
        </w:rPr>
        <w:t>清水池</w:t>
      </w:r>
      <w:r w:rsidRPr="00E67914">
        <w:rPr>
          <w:rFonts w:ascii="Times New Roman" w:hAnsi="Times New Roman"/>
          <w:sz w:val="24"/>
          <w:lang w:eastAsia="zh-CN"/>
        </w:rPr>
        <w:t>建设等）、设备搬运及安装、钻井（固井、录井）、洗井、完井作业、设备搬迁及污染物治理等，项目工艺过程见图</w:t>
      </w:r>
      <w:r w:rsidRPr="00E67914">
        <w:rPr>
          <w:rFonts w:ascii="Times New Roman" w:hAnsi="Times New Roman"/>
          <w:sz w:val="24"/>
          <w:lang w:eastAsia="zh-CN"/>
        </w:rPr>
        <w:t>3.3-1</w:t>
      </w:r>
      <w:r w:rsidRPr="00E67914">
        <w:rPr>
          <w:rFonts w:ascii="Times New Roman" w:hAnsi="Times New Roman"/>
          <w:sz w:val="24"/>
          <w:lang w:eastAsia="zh-CN"/>
        </w:rPr>
        <w:t>。</w:t>
      </w:r>
    </w:p>
    <w:p w14:paraId="292F2D9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noProof/>
        </w:rPr>
        <w:lastRenderedPageBreak/>
        <mc:AlternateContent>
          <mc:Choice Requires="wps">
            <w:drawing>
              <wp:anchor distT="0" distB="0" distL="114300" distR="114300" simplePos="0" relativeHeight="251692032" behindDoc="0" locked="0" layoutInCell="1" allowOverlap="1" wp14:anchorId="1D3FDB82" wp14:editId="35D4D66E">
                <wp:simplePos x="0" y="0"/>
                <wp:positionH relativeFrom="margin">
                  <wp:posOffset>3711575</wp:posOffset>
                </wp:positionH>
                <wp:positionV relativeFrom="paragraph">
                  <wp:posOffset>22225</wp:posOffset>
                </wp:positionV>
                <wp:extent cx="1264920" cy="251460"/>
                <wp:effectExtent l="0" t="0" r="0" b="0"/>
                <wp:wrapNone/>
                <wp:docPr id="91925" name="文本框 91925"/>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noFill/>
                          <a:miter lim="800000"/>
                        </a:ln>
                      </wps:spPr>
                      <wps:txbx>
                        <w:txbxContent>
                          <w:p w14:paraId="32D3AA26" w14:textId="77777777" w:rsidR="00A54A8A" w:rsidRDefault="00000000">
                            <w:pPr>
                              <w:rPr>
                                <w:sz w:val="18"/>
                                <w:szCs w:val="18"/>
                                <w:lang w:eastAsia="zh-CN"/>
                              </w:rPr>
                            </w:pPr>
                            <w:r>
                              <w:rPr>
                                <w:rFonts w:hint="eastAsia"/>
                                <w:sz w:val="18"/>
                                <w:szCs w:val="18"/>
                                <w:lang w:eastAsia="zh-CN"/>
                              </w:rPr>
                              <w:t>水土流失</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1D3FDB82" id="文本框 91925" o:spid="_x0000_s1037" type="#_x0000_t202" style="position:absolute;left:0;text-align:left;margin-left:292.25pt;margin-top:1.75pt;width:99.6pt;height:19.8pt;z-index:251692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" stroked="f">
                <v:textbox>
                  <w:txbxContent>
                    <w:p w14:paraId="32D3AA26" w14:textId="77777777" w:rsidR="00A54A8A" w:rsidRDefault="00000000">
                      <w:pPr>
                        <w:rPr>
                          <w:sz w:val="18"/>
                          <w:szCs w:val="18"/>
                          <w:lang w:eastAsia="zh-CN"/>
                        </w:rPr>
                      </w:pPr>
                      <w:r>
                        <w:rPr>
                          <w:rFonts w:hint="eastAsia"/>
                          <w:sz w:val="18"/>
                          <w:szCs w:val="18"/>
                          <w:lang w:eastAsia="zh-CN"/>
                        </w:rPr>
                        <w:t>水土流失</w:t>
                      </w:r>
                    </w:p>
                  </w:txbxContent>
                </v:textbox>
                <w10:wrap anchorx="margin"/>
              </v:shape>
            </w:pict>
          </mc:Fallback>
        </mc:AlternateContent>
      </w:r>
      <w:r w:rsidRPr="00E67914">
        <w:rPr>
          <w:rFonts w:ascii="Times New Roman" w:hAnsi="Times New Roman"/>
          <w:noProof/>
        </w:rPr>
        <mc:AlternateContent>
          <mc:Choice Requires="wps">
            <w:drawing>
              <wp:anchor distT="0" distB="0" distL="114300" distR="114300" simplePos="0" relativeHeight="251691008" behindDoc="0" locked="0" layoutInCell="1" allowOverlap="1" wp14:anchorId="41330963" wp14:editId="5DFBE31F">
                <wp:simplePos x="0" y="0"/>
                <wp:positionH relativeFrom="margin">
                  <wp:posOffset>2075815</wp:posOffset>
                </wp:positionH>
                <wp:positionV relativeFrom="paragraph">
                  <wp:posOffset>2842895</wp:posOffset>
                </wp:positionV>
                <wp:extent cx="1264920" cy="251460"/>
                <wp:effectExtent l="0" t="0" r="11430" b="15240"/>
                <wp:wrapNone/>
                <wp:docPr id="91924" name="文本框 91924"/>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ln>
                      </wps:spPr>
                      <wps:txbx>
                        <w:txbxContent>
                          <w:p w14:paraId="38D379E1" w14:textId="77777777" w:rsidR="00A54A8A" w:rsidRDefault="00000000">
                            <w:pPr>
                              <w:jc w:val="center"/>
                              <w:rPr>
                                <w:sz w:val="18"/>
                                <w:szCs w:val="18"/>
                                <w:lang w:eastAsia="zh-CN"/>
                              </w:rPr>
                            </w:pPr>
                            <w:r>
                              <w:rPr>
                                <w:rFonts w:hint="eastAsia"/>
                                <w:sz w:val="18"/>
                                <w:szCs w:val="18"/>
                                <w:lang w:eastAsia="zh-CN"/>
                              </w:rPr>
                              <w:t>试采站运营</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41330963" id="文本框 91924" o:spid="_x0000_s1038" type="#_x0000_t202" style="position:absolute;left:0;text-align:left;margin-left:163.45pt;margin-top:223.85pt;width:99.6pt;height:19.8pt;z-index:251691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">
                <v:textbox>
                  <w:txbxContent>
                    <w:p w14:paraId="38D379E1" w14:textId="77777777" w:rsidR="00A54A8A" w:rsidRDefault="00000000">
                      <w:pPr>
                        <w:jc w:val="center"/>
                        <w:rPr>
                          <w:sz w:val="18"/>
                          <w:szCs w:val="18"/>
                          <w:lang w:eastAsia="zh-CN"/>
                        </w:rPr>
                      </w:pPr>
                      <w:r>
                        <w:rPr>
                          <w:rFonts w:hint="eastAsia"/>
                          <w:sz w:val="18"/>
                          <w:szCs w:val="18"/>
                          <w:lang w:eastAsia="zh-CN"/>
                        </w:rPr>
                        <w:t>试采站运营</w:t>
                      </w:r>
                    </w:p>
                  </w:txbxContent>
                </v:textbox>
                <w10:wrap anchorx="margin"/>
              </v:shape>
            </w:pict>
          </mc:Fallback>
        </mc:AlternateContent>
      </w:r>
      <w:r w:rsidRPr="00E67914">
        <w:rPr>
          <w:rFonts w:ascii="Times New Roman" w:hAnsi="Times New Roman"/>
          <w:noProof/>
        </w:rPr>
        <mc:AlternateContent>
          <mc:Choice Requires="wps">
            <w:drawing>
              <wp:anchor distT="0" distB="0" distL="114300" distR="114300" simplePos="0" relativeHeight="251670528" behindDoc="0" locked="0" layoutInCell="1" allowOverlap="1" wp14:anchorId="2344F308" wp14:editId="272C3A6C">
                <wp:simplePos x="0" y="0"/>
                <wp:positionH relativeFrom="margin">
                  <wp:posOffset>2066925</wp:posOffset>
                </wp:positionH>
                <wp:positionV relativeFrom="paragraph">
                  <wp:posOffset>2345055</wp:posOffset>
                </wp:positionV>
                <wp:extent cx="1264920" cy="251460"/>
                <wp:effectExtent l="0" t="0" r="11430" b="15240"/>
                <wp:wrapNone/>
                <wp:docPr id="1826" name="文本框 1826"/>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solidFill>
                            <a:srgbClr val="000000"/>
                          </a:solidFill>
                          <a:miter lim="800000"/>
                        </a:ln>
                      </wps:spPr>
                      <wps:txbx>
                        <w:txbxContent>
                          <w:p w14:paraId="5990983D" w14:textId="77777777" w:rsidR="00A54A8A" w:rsidRDefault="00000000">
                            <w:pPr>
                              <w:jc w:val="center"/>
                              <w:rPr>
                                <w:sz w:val="18"/>
                                <w:szCs w:val="18"/>
                                <w:lang w:eastAsia="zh-CN"/>
                              </w:rPr>
                            </w:pPr>
                            <w:r>
                              <w:rPr>
                                <w:rFonts w:hint="eastAsia"/>
                                <w:sz w:val="18"/>
                                <w:szCs w:val="18"/>
                                <w:lang w:eastAsia="zh-CN"/>
                              </w:rPr>
                              <w:t>试采站建设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2344F308" id="文本框 1826" o:spid="_x0000_s1039" type="#_x0000_t202" style="position:absolute;left:0;text-align:left;margin-left:162.75pt;margin-top:184.65pt;width:99.6pt;height:19.8pt;z-index:251670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">
                <v:textbox>
                  <w:txbxContent>
                    <w:p w14:paraId="5990983D" w14:textId="77777777" w:rsidR="00A54A8A" w:rsidRDefault="00000000">
                      <w:pPr>
                        <w:jc w:val="center"/>
                        <w:rPr>
                          <w:sz w:val="18"/>
                          <w:szCs w:val="18"/>
                          <w:lang w:eastAsia="zh-CN"/>
                        </w:rPr>
                      </w:pPr>
                      <w:r>
                        <w:rPr>
                          <w:rFonts w:hint="eastAsia"/>
                          <w:sz w:val="18"/>
                          <w:szCs w:val="18"/>
                          <w:lang w:eastAsia="zh-CN"/>
                        </w:rPr>
                        <w:t>试采站建设</w:t>
                      </w:r>
                    </w:p>
                  </w:txbxContent>
                </v:textbox>
                <w10:wrap anchorx="margin"/>
              </v:shape>
            </w:pict>
          </mc:Fallback>
        </mc:AlternateContent>
      </w:r>
      <w:r w:rsidRPr="00E67914">
        <w:rPr>
          <w:rFonts w:ascii="Times New Roman" w:hAnsi="Times New Roman"/>
          <w:noProof/>
        </w:rPr>
        <w:drawing>
          <wp:inline distT="0" distB="0" distL="0" distR="0" wp14:anchorId="66CA03C5" wp14:editId="6EFF81CB">
            <wp:extent cx="5242560" cy="312991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9139" cy="3151603"/>
                    </a:xfrm>
                    <a:prstGeom prst="rect">
                      <a:avLst/>
                    </a:prstGeom>
                    <a:solidFill>
                      <a:srgbClr val="000000"/>
                    </a:solidFill>
                    <a:ln>
                      <a:noFill/>
                    </a:ln>
                  </pic:spPr>
                </pic:pic>
              </a:graphicData>
            </a:graphic>
          </wp:inline>
        </w:drawing>
      </w:r>
    </w:p>
    <w:p w14:paraId="1B2D32B4"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3.3-1  </w:t>
      </w:r>
      <w:r w:rsidRPr="00E67914">
        <w:rPr>
          <w:rFonts w:ascii="Times New Roman" w:eastAsia="黑体" w:hAnsi="Times New Roman"/>
          <w:sz w:val="21"/>
          <w:szCs w:val="21"/>
          <w:lang w:eastAsia="zh-CN"/>
        </w:rPr>
        <w:t>项目工艺概况图</w:t>
      </w:r>
    </w:p>
    <w:p w14:paraId="2FFEF55D"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75" w:name="_bookmark20"/>
      <w:bookmarkStart w:id="76" w:name="3.3.1施工期污染源"/>
      <w:bookmarkEnd w:id="75"/>
      <w:bookmarkEnd w:id="76"/>
      <w:r w:rsidRPr="00E67914">
        <w:rPr>
          <w:rFonts w:ascii="Times New Roman" w:eastAsia="黑体" w:hAnsi="Times New Roman"/>
          <w:b w:val="0"/>
          <w:sz w:val="24"/>
          <w:szCs w:val="24"/>
          <w:lang w:eastAsia="zh-CN"/>
        </w:rPr>
        <w:t>3.3.1</w:t>
      </w:r>
      <w:r w:rsidRPr="00E67914">
        <w:rPr>
          <w:rFonts w:ascii="Times New Roman" w:eastAsia="黑体" w:hAnsi="Times New Roman"/>
          <w:b w:val="0"/>
          <w:sz w:val="24"/>
          <w:szCs w:val="24"/>
          <w:lang w:eastAsia="zh-CN"/>
        </w:rPr>
        <w:t>施工期工程分析</w:t>
      </w:r>
    </w:p>
    <w:p w14:paraId="212180AE" w14:textId="1B4BFD1E"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施工期主要有</w:t>
      </w:r>
      <w:r w:rsidR="0070312E" w:rsidRPr="00E67914">
        <w:rPr>
          <w:rFonts w:ascii="Times New Roman" w:hAnsi="Times New Roman"/>
          <w:sz w:val="24"/>
          <w:lang w:eastAsia="zh-CN"/>
        </w:rPr>
        <w:t>钻前工程、</w:t>
      </w:r>
      <w:r w:rsidR="00611A35" w:rsidRPr="00E67914">
        <w:rPr>
          <w:rFonts w:ascii="Times New Roman" w:hAnsi="Times New Roman"/>
          <w:sz w:val="24"/>
          <w:lang w:eastAsia="zh-CN"/>
        </w:rPr>
        <w:t>钻井工程</w:t>
      </w:r>
      <w:r w:rsidR="0070312E" w:rsidRPr="00E67914">
        <w:rPr>
          <w:rFonts w:ascii="Times New Roman" w:hAnsi="Times New Roman"/>
          <w:sz w:val="24"/>
          <w:lang w:eastAsia="zh-CN"/>
        </w:rPr>
        <w:t>、地面集输工程</w:t>
      </w:r>
      <w:r w:rsidRPr="00E67914">
        <w:rPr>
          <w:rFonts w:ascii="Times New Roman" w:hAnsi="Times New Roman"/>
          <w:sz w:val="24"/>
          <w:lang w:eastAsia="zh-CN"/>
        </w:rPr>
        <w:t>，总的施工期工艺流程如下图。</w:t>
      </w:r>
    </w:p>
    <w:p w14:paraId="1D526077" w14:textId="77777777" w:rsidR="00A54A8A" w:rsidRPr="00E67914" w:rsidRDefault="00000000">
      <w:pPr>
        <w:adjustRightInd w:val="0"/>
        <w:snapToGrid w:val="0"/>
        <w:spacing w:line="360" w:lineRule="auto"/>
        <w:jc w:val="center"/>
        <w:rPr>
          <w:rFonts w:ascii="Times New Roman" w:eastAsia="黑体" w:hAnsi="Times New Roman"/>
          <w:sz w:val="24"/>
          <w:lang w:eastAsia="zh-CN"/>
        </w:rPr>
      </w:pPr>
      <w:r w:rsidRPr="00E67914">
        <w:rPr>
          <w:rFonts w:ascii="Times New Roman" w:hAnsi="Times New Roman"/>
          <w:noProof/>
        </w:rPr>
        <w:drawing>
          <wp:inline distT="0" distB="0" distL="0" distR="0" wp14:anchorId="5B2331CB" wp14:editId="703A2C0F">
            <wp:extent cx="5039995" cy="370205"/>
            <wp:effectExtent l="0" t="0" r="0" b="0"/>
            <wp:docPr id="1619" name="图片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图片 1619"/>
                    <pic:cNvPicPr>
                      <a:picLocks noChangeAspect="1"/>
                    </pic:cNvPicPr>
                  </pic:nvPicPr>
                  <pic:blipFill>
                    <a:blip r:embed="rId27"/>
                    <a:stretch>
                      <a:fillRect/>
                    </a:stretch>
                  </pic:blipFill>
                  <pic:spPr>
                    <a:xfrm>
                      <a:off x="0" y="0"/>
                      <a:ext cx="5040000" cy="370570"/>
                    </a:xfrm>
                    <a:prstGeom prst="rect">
                      <a:avLst/>
                    </a:prstGeom>
                  </pic:spPr>
                </pic:pic>
              </a:graphicData>
            </a:graphic>
          </wp:inline>
        </w:drawing>
      </w:r>
    </w:p>
    <w:p w14:paraId="7C4B731E"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3.3-2  </w:t>
      </w:r>
      <w:r w:rsidRPr="00E67914">
        <w:rPr>
          <w:rFonts w:ascii="Times New Roman" w:eastAsia="黑体" w:hAnsi="Times New Roman"/>
          <w:sz w:val="21"/>
          <w:szCs w:val="21"/>
          <w:lang w:eastAsia="zh-CN"/>
        </w:rPr>
        <w:t>施工工艺流程示意图</w:t>
      </w:r>
    </w:p>
    <w:p w14:paraId="758C4772" w14:textId="77777777" w:rsidR="00A54A8A" w:rsidRPr="00E67914" w:rsidRDefault="00000000">
      <w:pPr>
        <w:adjustRightInd w:val="0"/>
        <w:snapToGrid w:val="0"/>
        <w:spacing w:line="360" w:lineRule="auto"/>
        <w:ind w:firstLineChars="200" w:firstLine="480"/>
        <w:outlineLvl w:val="3"/>
        <w:rPr>
          <w:rFonts w:ascii="Times New Roman" w:eastAsia="黑体" w:hAnsi="Times New Roman"/>
          <w:sz w:val="24"/>
          <w:lang w:eastAsia="zh-CN"/>
        </w:rPr>
      </w:pPr>
      <w:r w:rsidRPr="00E67914">
        <w:rPr>
          <w:rFonts w:ascii="Times New Roman" w:eastAsia="黑体" w:hAnsi="Times New Roman"/>
          <w:sz w:val="24"/>
          <w:lang w:eastAsia="zh-CN"/>
        </w:rPr>
        <w:t>3.3.1.1</w:t>
      </w:r>
      <w:r w:rsidRPr="00E67914">
        <w:rPr>
          <w:rFonts w:ascii="Times New Roman" w:eastAsia="黑体" w:hAnsi="Times New Roman"/>
          <w:sz w:val="24"/>
          <w:lang w:eastAsia="zh-CN"/>
        </w:rPr>
        <w:t>钻前工程</w:t>
      </w:r>
    </w:p>
    <w:p w14:paraId="41151B44" w14:textId="77777777" w:rsidR="00A54A8A" w:rsidRPr="00E67914" w:rsidRDefault="00000000">
      <w:pPr>
        <w:adjustRightInd w:val="0"/>
        <w:snapToGrid w:val="0"/>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）钻前工程工艺流程简述</w:t>
      </w:r>
    </w:p>
    <w:p w14:paraId="61C3D784" w14:textId="55952C43" w:rsidR="00A54A8A" w:rsidRPr="00E67914" w:rsidRDefault="00E33E83">
      <w:pPr>
        <w:adjustRightInd w:val="0"/>
        <w:snapToGrid w:val="0"/>
        <w:spacing w:line="360" w:lineRule="auto"/>
        <w:ind w:firstLineChars="200" w:firstLine="480"/>
        <w:rPr>
          <w:rFonts w:ascii="Times New Roman" w:hAnsi="Times New Roman"/>
          <w:b/>
          <w:sz w:val="24"/>
          <w:lang w:eastAsia="zh-CN"/>
        </w:rPr>
      </w:pPr>
      <w:r w:rsidRPr="00E67914">
        <w:rPr>
          <w:rFonts w:ascii="Times New Roman" w:hAnsi="Times New Roman"/>
          <w:sz w:val="24"/>
          <w:lang w:eastAsia="zh-CN"/>
        </w:rPr>
        <w:t>新建新普陆页</w:t>
      </w:r>
      <w:r w:rsidRPr="00E67914">
        <w:rPr>
          <w:rFonts w:ascii="Times New Roman" w:hAnsi="Times New Roman"/>
          <w:sz w:val="24"/>
          <w:lang w:eastAsia="zh-CN"/>
        </w:rPr>
        <w:t>2</w:t>
      </w:r>
      <w:r w:rsidRPr="00E67914">
        <w:rPr>
          <w:rFonts w:ascii="Times New Roman" w:hAnsi="Times New Roman"/>
          <w:sz w:val="24"/>
          <w:lang w:eastAsia="zh-CN"/>
        </w:rPr>
        <w:t>井场，井场内新建方井</w:t>
      </w:r>
      <w:r w:rsidRPr="00E67914">
        <w:rPr>
          <w:rFonts w:ascii="Times New Roman" w:hAnsi="Times New Roman"/>
          <w:sz w:val="24"/>
          <w:lang w:eastAsia="zh-CN"/>
        </w:rPr>
        <w:t>3</w:t>
      </w:r>
      <w:r w:rsidRPr="00E67914">
        <w:rPr>
          <w:rFonts w:ascii="Times New Roman" w:hAnsi="Times New Roman"/>
          <w:sz w:val="24"/>
          <w:lang w:eastAsia="zh-CN"/>
        </w:rPr>
        <w:t>座、加长型井架基础</w:t>
      </w:r>
      <w:r w:rsidRPr="00E67914">
        <w:rPr>
          <w:rFonts w:ascii="Times New Roman" w:hAnsi="Times New Roman"/>
          <w:sz w:val="24"/>
          <w:lang w:eastAsia="zh-CN"/>
        </w:rPr>
        <w:t>1</w:t>
      </w:r>
      <w:r w:rsidRPr="00E67914">
        <w:rPr>
          <w:rFonts w:ascii="Times New Roman" w:hAnsi="Times New Roman"/>
          <w:sz w:val="24"/>
          <w:lang w:eastAsia="zh-CN"/>
        </w:rPr>
        <w:t>座、泥浆泵、循环罐、储备罐等设备基础及配套设施</w:t>
      </w:r>
      <w:r w:rsidRPr="00E67914">
        <w:rPr>
          <w:rFonts w:ascii="Times New Roman" w:hAnsi="Times New Roman"/>
          <w:sz w:val="24"/>
          <w:lang w:eastAsia="zh-CN"/>
        </w:rPr>
        <w:t>1</w:t>
      </w:r>
      <w:r w:rsidRPr="00E67914">
        <w:rPr>
          <w:rFonts w:ascii="Times New Roman" w:hAnsi="Times New Roman"/>
          <w:sz w:val="24"/>
          <w:lang w:eastAsia="zh-CN"/>
        </w:rPr>
        <w:t>套，新建</w:t>
      </w:r>
      <w:r w:rsidRPr="00E67914">
        <w:rPr>
          <w:rFonts w:ascii="Times New Roman" w:hAnsi="Times New Roman"/>
          <w:sz w:val="24"/>
          <w:lang w:eastAsia="zh-CN"/>
        </w:rPr>
        <w:t>600m</w:t>
      </w:r>
      <w:r w:rsidRPr="00E67914">
        <w:rPr>
          <w:rFonts w:ascii="Times New Roman" w:hAnsi="Times New Roman"/>
          <w:sz w:val="24"/>
          <w:vertAlign w:val="superscript"/>
          <w:lang w:eastAsia="zh-CN"/>
        </w:rPr>
        <w:t>3</w:t>
      </w:r>
      <w:r w:rsidRPr="00E67914">
        <w:rPr>
          <w:rFonts w:ascii="Times New Roman" w:hAnsi="Times New Roman"/>
          <w:sz w:val="24"/>
          <w:lang w:eastAsia="zh-CN"/>
        </w:rPr>
        <w:t>清水池</w:t>
      </w:r>
      <w:r w:rsidRPr="00E67914">
        <w:rPr>
          <w:rFonts w:ascii="Times New Roman" w:hAnsi="Times New Roman"/>
          <w:sz w:val="24"/>
          <w:lang w:eastAsia="zh-CN"/>
        </w:rPr>
        <w:t>1</w:t>
      </w:r>
      <w:r w:rsidRPr="00E67914">
        <w:rPr>
          <w:rFonts w:ascii="Times New Roman" w:hAnsi="Times New Roman"/>
          <w:sz w:val="24"/>
          <w:lang w:eastAsia="zh-CN"/>
        </w:rPr>
        <w:t>座，新建</w:t>
      </w:r>
      <w:r w:rsidRPr="00E67914">
        <w:rPr>
          <w:rFonts w:ascii="Times New Roman" w:hAnsi="Times New Roman"/>
          <w:sz w:val="24"/>
          <w:lang w:eastAsia="zh-CN"/>
        </w:rPr>
        <w:t>110m</w:t>
      </w:r>
      <w:r w:rsidRPr="00E67914">
        <w:rPr>
          <w:rFonts w:ascii="Times New Roman" w:hAnsi="Times New Roman"/>
          <w:sz w:val="24"/>
          <w:lang w:eastAsia="zh-CN"/>
        </w:rPr>
        <w:t>进场道路</w:t>
      </w:r>
      <w:r w:rsidRPr="00E67914">
        <w:rPr>
          <w:rFonts w:ascii="Times New Roman" w:hAnsi="Times New Roman"/>
          <w:sz w:val="24"/>
          <w:lang w:eastAsia="zh-CN"/>
        </w:rPr>
        <w:t>1</w:t>
      </w:r>
      <w:r w:rsidRPr="00E67914">
        <w:rPr>
          <w:rFonts w:ascii="Times New Roman" w:hAnsi="Times New Roman"/>
          <w:sz w:val="24"/>
          <w:lang w:eastAsia="zh-CN"/>
        </w:rPr>
        <w:t>条，利旧放喷池</w:t>
      </w:r>
      <w:r w:rsidRPr="00E67914">
        <w:rPr>
          <w:rFonts w:ascii="Times New Roman" w:hAnsi="Times New Roman"/>
          <w:sz w:val="24"/>
          <w:lang w:eastAsia="zh-CN"/>
        </w:rPr>
        <w:t>1</w:t>
      </w:r>
      <w:r w:rsidRPr="00E67914">
        <w:rPr>
          <w:rFonts w:ascii="Times New Roman" w:hAnsi="Times New Roman"/>
          <w:sz w:val="24"/>
          <w:lang w:eastAsia="zh-CN"/>
        </w:rPr>
        <w:t>座。</w:t>
      </w:r>
      <w:r w:rsidRPr="00E67914">
        <w:rPr>
          <w:rFonts w:ascii="Times New Roman" w:hAnsi="Times New Roman"/>
          <w:bCs/>
          <w:sz w:val="24"/>
          <w:lang w:eastAsia="zh-CN"/>
        </w:rPr>
        <w:t>钻井设备的搬运及安装、井口设备准备、清污分流系统以及活动房布置等，主要为土建施工，由专业施工单位组织当地民工作业。</w:t>
      </w:r>
    </w:p>
    <w:p w14:paraId="312FDEA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
          <w:lang w:eastAsia="zh-CN"/>
        </w:rPr>
      </w:pPr>
      <w:r w:rsidRPr="00E67914">
        <w:rPr>
          <w:rFonts w:ascii="Times New Roman" w:hAnsi="Times New Roman"/>
          <w:lang w:eastAsia="zh-CN"/>
        </w:rPr>
        <w:t>钻前工程工艺流程及产污环节如图</w:t>
      </w:r>
      <w:r w:rsidRPr="00E67914">
        <w:rPr>
          <w:rFonts w:ascii="Times New Roman" w:hAnsi="Times New Roman"/>
          <w:lang w:eastAsia="zh-CN"/>
        </w:rPr>
        <w:t>3.3-3</w:t>
      </w:r>
      <w:r w:rsidRPr="00E67914">
        <w:rPr>
          <w:rFonts w:ascii="Times New Roman" w:hAnsi="Times New Roman"/>
          <w:lang w:eastAsia="zh-CN"/>
        </w:rPr>
        <w:t>所示。</w:t>
      </w:r>
    </w:p>
    <w:p w14:paraId="147DCEF7" w14:textId="77777777" w:rsidR="00A54A8A" w:rsidRPr="00E67914" w:rsidRDefault="00000000">
      <w:pPr>
        <w:pStyle w:val="af"/>
        <w:adjustRightInd w:val="0"/>
        <w:snapToGrid w:val="0"/>
        <w:spacing w:before="0" w:line="360" w:lineRule="auto"/>
        <w:ind w:left="0"/>
        <w:jc w:val="center"/>
        <w:rPr>
          <w:rFonts w:ascii="Times New Roman" w:eastAsia="黑体" w:hAnsi="Times New Roman"/>
          <w:sz w:val="21"/>
          <w:szCs w:val="21"/>
          <w:lang w:eastAsia="zh-CN"/>
        </w:rPr>
      </w:pPr>
      <w:r w:rsidRPr="00E67914">
        <w:rPr>
          <w:rFonts w:ascii="Times New Roman" w:hAnsi="Times New Roman"/>
          <w:noProof/>
        </w:rPr>
        <w:lastRenderedPageBreak/>
        <w:drawing>
          <wp:inline distT="0" distB="0" distL="0" distR="0" wp14:anchorId="02B92A33" wp14:editId="149485A0">
            <wp:extent cx="4855210" cy="1720850"/>
            <wp:effectExtent l="0" t="0" r="2540" b="0"/>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1622"/>
                    <pic:cNvPicPr>
                      <a:picLocks noChangeAspect="1"/>
                    </pic:cNvPicPr>
                  </pic:nvPicPr>
                  <pic:blipFill>
                    <a:blip r:embed="rId28"/>
                    <a:stretch>
                      <a:fillRect/>
                    </a:stretch>
                  </pic:blipFill>
                  <pic:spPr>
                    <a:xfrm>
                      <a:off x="0" y="0"/>
                      <a:ext cx="4897509" cy="1736229"/>
                    </a:xfrm>
                    <a:prstGeom prst="rect">
                      <a:avLst/>
                    </a:prstGeom>
                  </pic:spPr>
                </pic:pic>
              </a:graphicData>
            </a:graphic>
          </wp:inline>
        </w:drawing>
      </w:r>
    </w:p>
    <w:p w14:paraId="39799DD7" w14:textId="2E4C8CFE"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3.3-3  </w:t>
      </w:r>
      <w:r w:rsidRPr="00E67914">
        <w:rPr>
          <w:rFonts w:ascii="Times New Roman" w:eastAsia="黑体" w:hAnsi="Times New Roman"/>
          <w:sz w:val="21"/>
          <w:szCs w:val="21"/>
          <w:lang w:eastAsia="zh-CN"/>
        </w:rPr>
        <w:t>钻前工程施工过程及主要环境影响示意图</w:t>
      </w:r>
    </w:p>
    <w:p w14:paraId="09A91F3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）道路工程</w:t>
      </w:r>
    </w:p>
    <w:p w14:paraId="381F6037" w14:textId="64867354" w:rsidR="00A54A8A" w:rsidRPr="00E67914" w:rsidRDefault="00000000">
      <w:pPr>
        <w:adjustRightInd w:val="0"/>
        <w:snapToGrid w:val="0"/>
        <w:spacing w:line="360" w:lineRule="auto"/>
        <w:ind w:firstLineChars="200" w:firstLine="480"/>
        <w:jc w:val="both"/>
        <w:rPr>
          <w:rFonts w:ascii="Times New Roman" w:eastAsia="黑体" w:hAnsi="Times New Roman"/>
          <w:sz w:val="21"/>
          <w:szCs w:val="21"/>
          <w:lang w:eastAsia="zh-CN"/>
        </w:rPr>
      </w:pPr>
      <w:r w:rsidRPr="00E67914">
        <w:rPr>
          <w:rFonts w:ascii="Times New Roman" w:hAnsi="Times New Roman"/>
          <w:sz w:val="24"/>
          <w:lang w:eastAsia="zh-CN"/>
        </w:rPr>
        <w:t>本项目</w:t>
      </w:r>
      <w:r w:rsidR="00E33E83" w:rsidRPr="00E67914">
        <w:rPr>
          <w:rFonts w:ascii="Times New Roman" w:hAnsi="Times New Roman"/>
          <w:sz w:val="24"/>
          <w:lang w:eastAsia="zh-CN"/>
        </w:rPr>
        <w:t>新建新</w:t>
      </w:r>
      <w:r w:rsidR="00902A04" w:rsidRPr="00E67914">
        <w:rPr>
          <w:rFonts w:ascii="Times New Roman" w:hAnsi="Times New Roman"/>
          <w:sz w:val="24"/>
          <w:lang w:eastAsia="zh-CN"/>
        </w:rPr>
        <w:t>普陆页</w:t>
      </w:r>
      <w:r w:rsidR="00902A04" w:rsidRPr="00E67914">
        <w:rPr>
          <w:rFonts w:ascii="Times New Roman" w:hAnsi="Times New Roman"/>
          <w:sz w:val="24"/>
          <w:lang w:eastAsia="zh-CN"/>
        </w:rPr>
        <w:t>2</w:t>
      </w:r>
      <w:r w:rsidR="00E33E83" w:rsidRPr="00E67914">
        <w:rPr>
          <w:rFonts w:ascii="Times New Roman" w:hAnsi="Times New Roman"/>
          <w:sz w:val="24"/>
          <w:lang w:eastAsia="zh-CN"/>
        </w:rPr>
        <w:t>井场</w:t>
      </w:r>
      <w:r w:rsidRPr="00E67914">
        <w:rPr>
          <w:rFonts w:ascii="Times New Roman" w:hAnsi="Times New Roman"/>
          <w:sz w:val="24"/>
          <w:lang w:eastAsia="zh-CN"/>
        </w:rPr>
        <w:t>的进场道路，道路路基宽度</w:t>
      </w:r>
      <w:r w:rsidRPr="00E67914">
        <w:rPr>
          <w:rFonts w:ascii="Times New Roman" w:hAnsi="Times New Roman"/>
          <w:sz w:val="24"/>
          <w:lang w:eastAsia="zh-CN"/>
        </w:rPr>
        <w:t>4.5m</w:t>
      </w:r>
      <w:r w:rsidRPr="00E67914">
        <w:rPr>
          <w:rFonts w:ascii="Times New Roman" w:hAnsi="Times New Roman"/>
          <w:sz w:val="24"/>
          <w:lang w:eastAsia="zh-CN"/>
        </w:rPr>
        <w:t>，路面宽度</w:t>
      </w:r>
      <w:r w:rsidRPr="00E67914">
        <w:rPr>
          <w:rFonts w:ascii="Times New Roman" w:hAnsi="Times New Roman"/>
          <w:sz w:val="24"/>
          <w:lang w:eastAsia="zh-CN"/>
        </w:rPr>
        <w:t>4.0m</w:t>
      </w:r>
      <w:r w:rsidRPr="00E67914">
        <w:rPr>
          <w:rFonts w:ascii="Times New Roman" w:hAnsi="Times New Roman"/>
          <w:sz w:val="24"/>
          <w:lang w:eastAsia="zh-CN"/>
        </w:rPr>
        <w:t>，长度约</w:t>
      </w:r>
      <w:r w:rsidR="00E33E83" w:rsidRPr="00E67914">
        <w:rPr>
          <w:rFonts w:ascii="Times New Roman" w:hAnsi="Times New Roman"/>
          <w:sz w:val="24"/>
          <w:lang w:eastAsia="zh-CN"/>
        </w:rPr>
        <w:t>11</w:t>
      </w:r>
      <w:r w:rsidRPr="00E67914">
        <w:rPr>
          <w:rFonts w:ascii="Times New Roman" w:hAnsi="Times New Roman"/>
          <w:sz w:val="24"/>
          <w:lang w:eastAsia="zh-CN"/>
        </w:rPr>
        <w:t>0m</w:t>
      </w:r>
      <w:r w:rsidRPr="00E67914">
        <w:rPr>
          <w:rFonts w:ascii="Times New Roman" w:hAnsi="Times New Roman"/>
          <w:sz w:val="24"/>
          <w:lang w:eastAsia="zh-CN"/>
        </w:rPr>
        <w:t>。</w:t>
      </w:r>
    </w:p>
    <w:p w14:paraId="26BAF2A7"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）井场平整及硬化</w:t>
      </w:r>
    </w:p>
    <w:p w14:paraId="6CFBADE2" w14:textId="3B952B11" w:rsidR="00A54A8A" w:rsidRPr="00E67914" w:rsidRDefault="00000000">
      <w:pPr>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井场平整：</w:t>
      </w:r>
      <w:r w:rsidR="00E33E83" w:rsidRPr="00E67914">
        <w:rPr>
          <w:rFonts w:ascii="Times New Roman" w:hAnsi="Times New Roman"/>
          <w:sz w:val="24"/>
          <w:lang w:eastAsia="zh-CN"/>
        </w:rPr>
        <w:t>井场内新建方井</w:t>
      </w:r>
      <w:r w:rsidR="00E33E83" w:rsidRPr="00E67914">
        <w:rPr>
          <w:rFonts w:ascii="Times New Roman" w:hAnsi="Times New Roman"/>
          <w:sz w:val="24"/>
          <w:lang w:eastAsia="zh-CN"/>
        </w:rPr>
        <w:t>3</w:t>
      </w:r>
      <w:r w:rsidR="00E33E83" w:rsidRPr="00E67914">
        <w:rPr>
          <w:rFonts w:ascii="Times New Roman" w:hAnsi="Times New Roman"/>
          <w:sz w:val="24"/>
          <w:lang w:eastAsia="zh-CN"/>
        </w:rPr>
        <w:t>座、加长型井架基础</w:t>
      </w:r>
      <w:r w:rsidR="00E33E83" w:rsidRPr="00E67914">
        <w:rPr>
          <w:rFonts w:ascii="Times New Roman" w:hAnsi="Times New Roman"/>
          <w:sz w:val="24"/>
          <w:lang w:eastAsia="zh-CN"/>
        </w:rPr>
        <w:t>1</w:t>
      </w:r>
      <w:r w:rsidR="00E33E83" w:rsidRPr="00E67914">
        <w:rPr>
          <w:rFonts w:ascii="Times New Roman" w:hAnsi="Times New Roman"/>
          <w:sz w:val="24"/>
          <w:lang w:eastAsia="zh-CN"/>
        </w:rPr>
        <w:t>座、泥浆泵、循环罐、储备罐等设备基础及配套设施</w:t>
      </w:r>
      <w:r w:rsidR="00E33E83" w:rsidRPr="00E67914">
        <w:rPr>
          <w:rFonts w:ascii="Times New Roman" w:hAnsi="Times New Roman"/>
          <w:sz w:val="24"/>
          <w:lang w:eastAsia="zh-CN"/>
        </w:rPr>
        <w:t>1</w:t>
      </w:r>
      <w:r w:rsidR="00E33E83" w:rsidRPr="00E67914">
        <w:rPr>
          <w:rFonts w:ascii="Times New Roman" w:hAnsi="Times New Roman"/>
          <w:sz w:val="24"/>
          <w:lang w:eastAsia="zh-CN"/>
        </w:rPr>
        <w:t>套</w:t>
      </w:r>
      <w:r w:rsidRPr="00E67914">
        <w:rPr>
          <w:rFonts w:ascii="Times New Roman" w:hAnsi="Times New Roman"/>
          <w:spacing w:val="4"/>
          <w:sz w:val="24"/>
          <w:lang w:eastAsia="zh-CN"/>
        </w:rPr>
        <w:t>；</w:t>
      </w:r>
    </w:p>
    <w:p w14:paraId="0E4AA04E" w14:textId="69D17B77" w:rsidR="00A54A8A" w:rsidRPr="00E67914" w:rsidRDefault="00000000">
      <w:pPr>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硬化区域：</w:t>
      </w:r>
      <w:r w:rsidR="00E33E83" w:rsidRPr="00E67914">
        <w:rPr>
          <w:rFonts w:ascii="Times New Roman" w:hAnsi="Times New Roman"/>
          <w:sz w:val="24"/>
          <w:lang w:eastAsia="zh-CN"/>
        </w:rPr>
        <w:t>除井架基础、方井、厕所不硬化外，其余地方全部硬化</w:t>
      </w:r>
      <w:r w:rsidRPr="00E67914">
        <w:rPr>
          <w:rFonts w:ascii="Times New Roman" w:hAnsi="Times New Roman"/>
          <w:sz w:val="24"/>
          <w:lang w:eastAsia="zh-CN"/>
        </w:rPr>
        <w:t>；</w:t>
      </w:r>
    </w:p>
    <w:p w14:paraId="5FF484B6"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③</w:t>
      </w:r>
      <w:r w:rsidRPr="00E67914">
        <w:rPr>
          <w:rFonts w:ascii="Times New Roman" w:hAnsi="Times New Roman"/>
          <w:sz w:val="24"/>
          <w:lang w:eastAsia="zh-CN"/>
        </w:rPr>
        <w:t>场基结构基层为压实厚度</w:t>
      </w:r>
      <w:r w:rsidRPr="00E67914">
        <w:rPr>
          <w:rFonts w:ascii="Times New Roman" w:hAnsi="Times New Roman"/>
          <w:sz w:val="24"/>
          <w:lang w:eastAsia="zh-CN"/>
        </w:rPr>
        <w:t>400mm</w:t>
      </w:r>
      <w:r w:rsidRPr="00E67914">
        <w:rPr>
          <w:rFonts w:ascii="Times New Roman" w:hAnsi="Times New Roman"/>
          <w:sz w:val="24"/>
          <w:lang w:eastAsia="zh-CN"/>
        </w:rPr>
        <w:t>毛石，面层为压实厚度</w:t>
      </w:r>
      <w:r w:rsidRPr="00E67914">
        <w:rPr>
          <w:rFonts w:ascii="Times New Roman" w:hAnsi="Times New Roman"/>
          <w:sz w:val="24"/>
          <w:lang w:eastAsia="zh-CN"/>
        </w:rPr>
        <w:t>100mm</w:t>
      </w:r>
      <w:r w:rsidRPr="00E67914">
        <w:rPr>
          <w:rFonts w:ascii="Times New Roman" w:hAnsi="Times New Roman"/>
          <w:sz w:val="24"/>
          <w:lang w:eastAsia="zh-CN"/>
        </w:rPr>
        <w:t>碎石（已硬化）；</w:t>
      </w:r>
    </w:p>
    <w:p w14:paraId="429412A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④</w:t>
      </w:r>
      <w:r w:rsidRPr="00E67914">
        <w:rPr>
          <w:rFonts w:ascii="Times New Roman" w:hAnsi="Times New Roman"/>
          <w:sz w:val="24"/>
          <w:lang w:eastAsia="zh-CN"/>
        </w:rPr>
        <w:t>泥浆车道（长</w:t>
      </w:r>
      <w:r w:rsidRPr="00E67914">
        <w:rPr>
          <w:rFonts w:ascii="Times New Roman" w:hAnsi="Times New Roman"/>
          <w:sz w:val="24"/>
          <w:lang w:eastAsia="zh-CN"/>
        </w:rPr>
        <w:t>35m×</w:t>
      </w:r>
      <w:r w:rsidRPr="00E67914">
        <w:rPr>
          <w:rFonts w:ascii="Times New Roman" w:hAnsi="Times New Roman"/>
          <w:sz w:val="24"/>
          <w:lang w:eastAsia="zh-CN"/>
        </w:rPr>
        <w:t>宽</w:t>
      </w:r>
      <w:r w:rsidRPr="00E67914">
        <w:rPr>
          <w:rFonts w:ascii="Times New Roman" w:hAnsi="Times New Roman"/>
          <w:sz w:val="24"/>
          <w:lang w:eastAsia="zh-CN"/>
        </w:rPr>
        <w:t>3.5m</w:t>
      </w:r>
      <w:r w:rsidRPr="00E67914">
        <w:rPr>
          <w:rFonts w:ascii="Times New Roman" w:hAnsi="Times New Roman"/>
          <w:sz w:val="24"/>
          <w:lang w:eastAsia="zh-CN"/>
        </w:rPr>
        <w:t>）在基层上浇注</w:t>
      </w:r>
      <w:r w:rsidRPr="00E67914">
        <w:rPr>
          <w:rFonts w:ascii="Times New Roman" w:hAnsi="Times New Roman"/>
          <w:sz w:val="24"/>
          <w:lang w:eastAsia="zh-CN"/>
        </w:rPr>
        <w:t>200mm</w:t>
      </w:r>
      <w:r w:rsidRPr="00E67914">
        <w:rPr>
          <w:rFonts w:ascii="Times New Roman" w:hAnsi="Times New Roman"/>
          <w:sz w:val="24"/>
          <w:lang w:eastAsia="zh-CN"/>
        </w:rPr>
        <w:t>厚</w:t>
      </w:r>
      <w:r w:rsidRPr="00E67914">
        <w:rPr>
          <w:rFonts w:ascii="Times New Roman" w:hAnsi="Times New Roman"/>
          <w:sz w:val="24"/>
          <w:lang w:eastAsia="zh-CN"/>
        </w:rPr>
        <w:t>C20</w:t>
      </w:r>
      <w:r w:rsidRPr="00E67914">
        <w:rPr>
          <w:rFonts w:ascii="Times New Roman" w:hAnsi="Times New Roman"/>
          <w:sz w:val="24"/>
          <w:lang w:eastAsia="zh-CN"/>
        </w:rPr>
        <w:t>混凝土，泥浆材料台</w:t>
      </w:r>
      <w:r w:rsidRPr="00E67914">
        <w:rPr>
          <w:rFonts w:ascii="Times New Roman" w:hAnsi="Times New Roman"/>
          <w:sz w:val="24"/>
          <w:lang w:eastAsia="zh-CN"/>
        </w:rPr>
        <w:t>80m</w:t>
      </w:r>
      <w:r w:rsidRPr="00E67914">
        <w:rPr>
          <w:rFonts w:ascii="Times New Roman" w:hAnsi="Times New Roman"/>
          <w:sz w:val="24"/>
          <w:vertAlign w:val="superscript"/>
          <w:lang w:eastAsia="zh-CN"/>
        </w:rPr>
        <w:t>2</w:t>
      </w:r>
      <w:r w:rsidRPr="00E67914">
        <w:rPr>
          <w:rFonts w:ascii="Times New Roman" w:hAnsi="Times New Roman"/>
          <w:sz w:val="24"/>
          <w:lang w:eastAsia="zh-CN"/>
        </w:rPr>
        <w:t>在基层上浇筑</w:t>
      </w:r>
      <w:r w:rsidRPr="00E67914">
        <w:rPr>
          <w:rFonts w:ascii="Times New Roman" w:hAnsi="Times New Roman"/>
          <w:sz w:val="24"/>
          <w:lang w:eastAsia="zh-CN"/>
        </w:rPr>
        <w:t>C15</w:t>
      </w:r>
      <w:r w:rsidRPr="00E67914">
        <w:rPr>
          <w:rFonts w:ascii="Times New Roman" w:hAnsi="Times New Roman"/>
          <w:sz w:val="24"/>
          <w:lang w:eastAsia="zh-CN"/>
        </w:rPr>
        <w:t>混凝土厚</w:t>
      </w:r>
      <w:r w:rsidRPr="00E67914">
        <w:rPr>
          <w:rFonts w:ascii="Times New Roman" w:hAnsi="Times New Roman"/>
          <w:sz w:val="24"/>
          <w:lang w:eastAsia="zh-CN"/>
        </w:rPr>
        <w:t>200mm</w:t>
      </w:r>
      <w:r w:rsidRPr="00E67914">
        <w:rPr>
          <w:rFonts w:ascii="Times New Roman" w:hAnsi="Times New Roman"/>
          <w:sz w:val="24"/>
          <w:lang w:eastAsia="zh-CN"/>
        </w:rPr>
        <w:t>，见图</w:t>
      </w:r>
      <w:r w:rsidRPr="00E67914">
        <w:rPr>
          <w:rFonts w:ascii="Times New Roman" w:hAnsi="Times New Roman"/>
          <w:sz w:val="24"/>
          <w:lang w:eastAsia="zh-CN"/>
        </w:rPr>
        <w:t>3.3-4</w:t>
      </w:r>
      <w:r w:rsidRPr="00E67914">
        <w:rPr>
          <w:rFonts w:ascii="Times New Roman" w:hAnsi="Times New Roman"/>
          <w:sz w:val="24"/>
          <w:lang w:eastAsia="zh-CN"/>
        </w:rPr>
        <w:t>。</w:t>
      </w:r>
    </w:p>
    <w:p w14:paraId="459D91E0" w14:textId="77777777" w:rsidR="00A54A8A" w:rsidRPr="00E67914" w:rsidRDefault="00000000">
      <w:pPr>
        <w:jc w:val="center"/>
        <w:rPr>
          <w:rFonts w:ascii="Times New Roman" w:hAnsi="Times New Roman"/>
          <w:sz w:val="24"/>
        </w:rPr>
      </w:pPr>
      <w:r w:rsidRPr="00E67914">
        <w:rPr>
          <w:rFonts w:ascii="Times New Roman" w:hAnsi="Times New Roman"/>
          <w:noProof/>
          <w:sz w:val="24"/>
        </w:rPr>
        <w:drawing>
          <wp:inline distT="0" distB="0" distL="0" distR="0" wp14:anchorId="20D70D37" wp14:editId="7522C966">
            <wp:extent cx="5219700" cy="1530350"/>
            <wp:effectExtent l="0" t="0" r="0" b="0"/>
            <wp:docPr id="141" name="图片 141" descr="井场硬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井场硬化"/>
                    <pic:cNvPicPr>
                      <a:picLocks noChangeAspect="1" noChangeArrowheads="1"/>
                    </pic:cNvPicPr>
                  </pic:nvPicPr>
                  <pic:blipFill>
                    <a:blip r:embed="rId29">
                      <a:extLst>
                        <a:ext uri="{28A0092B-C50C-407E-A947-70E740481C1C}">
                          <a14:useLocalDpi xmlns:a14="http://schemas.microsoft.com/office/drawing/2010/main" val="0"/>
                        </a:ext>
                      </a:extLst>
                    </a:blip>
                    <a:srcRect l="-1540" t="77849" r="2420" b="1460"/>
                    <a:stretch>
                      <a:fillRect/>
                    </a:stretch>
                  </pic:blipFill>
                  <pic:spPr>
                    <a:xfrm>
                      <a:off x="0" y="0"/>
                      <a:ext cx="5220000" cy="1530603"/>
                    </a:xfrm>
                    <a:prstGeom prst="rect">
                      <a:avLst/>
                    </a:prstGeom>
                    <a:noFill/>
                    <a:ln>
                      <a:noFill/>
                    </a:ln>
                  </pic:spPr>
                </pic:pic>
              </a:graphicData>
            </a:graphic>
          </wp:inline>
        </w:drawing>
      </w:r>
    </w:p>
    <w:p w14:paraId="48F21118"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3.3-4  </w:t>
      </w:r>
      <w:r w:rsidRPr="00E67914">
        <w:rPr>
          <w:rFonts w:ascii="Times New Roman" w:eastAsia="黑体" w:hAnsi="Times New Roman"/>
          <w:sz w:val="21"/>
          <w:szCs w:val="21"/>
          <w:lang w:eastAsia="zh-CN"/>
        </w:rPr>
        <w:t>井场场基结构图</w:t>
      </w:r>
    </w:p>
    <w:p w14:paraId="0986B3F1"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）井场建设</w:t>
      </w:r>
    </w:p>
    <w:p w14:paraId="0FB1DF73" w14:textId="547B17B9"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井场基础采用</w:t>
      </w:r>
      <w:r w:rsidRPr="00E67914">
        <w:rPr>
          <w:rFonts w:ascii="Times New Roman" w:hAnsi="Times New Roman"/>
          <w:sz w:val="24"/>
          <w:lang w:eastAsia="zh-CN"/>
        </w:rPr>
        <w:t>C20</w:t>
      </w:r>
      <w:r w:rsidRPr="00E67914">
        <w:rPr>
          <w:rFonts w:ascii="Times New Roman" w:hAnsi="Times New Roman"/>
          <w:sz w:val="24"/>
          <w:lang w:eastAsia="zh-CN"/>
        </w:rPr>
        <w:t>混凝土基础，基础厚度</w:t>
      </w:r>
      <w:r w:rsidRPr="00E67914">
        <w:rPr>
          <w:rFonts w:ascii="Times New Roman" w:hAnsi="Times New Roman"/>
          <w:sz w:val="24"/>
          <w:lang w:eastAsia="zh-CN"/>
        </w:rPr>
        <w:t>1200mm</w:t>
      </w:r>
      <w:r w:rsidRPr="00E67914">
        <w:rPr>
          <w:rFonts w:ascii="Times New Roman" w:hAnsi="Times New Roman"/>
          <w:sz w:val="24"/>
          <w:lang w:eastAsia="zh-CN"/>
        </w:rPr>
        <w:t>，基础置于天然地基持力层上，地基承载力不小于</w:t>
      </w:r>
      <w:r w:rsidRPr="00E67914">
        <w:rPr>
          <w:rFonts w:ascii="Times New Roman" w:hAnsi="Times New Roman"/>
          <w:sz w:val="24"/>
          <w:lang w:eastAsia="zh-CN"/>
        </w:rPr>
        <w:t>0.15MPa</w:t>
      </w:r>
      <w:r w:rsidRPr="00E67914">
        <w:rPr>
          <w:rFonts w:ascii="Times New Roman" w:hAnsi="Times New Roman"/>
          <w:sz w:val="24"/>
          <w:lang w:eastAsia="zh-CN"/>
        </w:rPr>
        <w:t>，基础下先浇筑</w:t>
      </w:r>
      <w:r w:rsidRPr="00E67914">
        <w:rPr>
          <w:rFonts w:ascii="Times New Roman" w:hAnsi="Times New Roman"/>
          <w:sz w:val="24"/>
          <w:lang w:eastAsia="zh-CN"/>
        </w:rPr>
        <w:t>C15</w:t>
      </w:r>
      <w:r w:rsidRPr="00E67914">
        <w:rPr>
          <w:rFonts w:ascii="Times New Roman" w:hAnsi="Times New Roman"/>
          <w:sz w:val="24"/>
          <w:lang w:eastAsia="zh-CN"/>
        </w:rPr>
        <w:t>垫层厚度</w:t>
      </w:r>
      <w:r w:rsidRPr="00E67914">
        <w:rPr>
          <w:rFonts w:ascii="Times New Roman" w:hAnsi="Times New Roman"/>
          <w:sz w:val="24"/>
          <w:lang w:eastAsia="zh-CN"/>
        </w:rPr>
        <w:t>100mm</w:t>
      </w:r>
      <w:r w:rsidRPr="00E67914">
        <w:rPr>
          <w:rFonts w:ascii="Times New Roman" w:hAnsi="Times New Roman"/>
          <w:sz w:val="24"/>
          <w:lang w:eastAsia="zh-CN"/>
        </w:rPr>
        <w:t>，其设计结构图如下。</w:t>
      </w:r>
    </w:p>
    <w:p w14:paraId="35D5E96A" w14:textId="77777777" w:rsidR="00A54A8A" w:rsidRPr="00E67914" w:rsidRDefault="00000000">
      <w:pPr>
        <w:adjustRightInd w:val="0"/>
        <w:snapToGrid w:val="0"/>
        <w:spacing w:line="360" w:lineRule="auto"/>
        <w:jc w:val="center"/>
        <w:rPr>
          <w:rFonts w:ascii="Times New Roman" w:hAnsi="Times New Roman"/>
          <w:sz w:val="24"/>
        </w:rPr>
      </w:pPr>
      <w:r w:rsidRPr="00E67914">
        <w:rPr>
          <w:rFonts w:ascii="Times New Roman" w:hAnsi="Times New Roman"/>
          <w:sz w:val="24"/>
        </w:rPr>
        <w:object w:dxaOrig="3912" w:dyaOrig="2146" w14:anchorId="2AC60B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95pt;height:107.7pt" o:ole="">
            <v:imagedata r:id="rId30" o:title="" croptop="45407f" cropbottom="5124f" cropleft="32204f" cropright="15532f"/>
          </v:shape>
          <o:OLEObject Type="Embed" ProgID="AutoCAD.Drawing.18" ShapeID="_x0000_i1025" DrawAspect="Content" ObjectID="_1759298083" r:id="rId31"/>
        </w:object>
      </w:r>
      <w:r w:rsidRPr="00E67914">
        <w:rPr>
          <w:rFonts w:ascii="Times New Roman" w:hAnsi="Times New Roman"/>
          <w:noProof/>
          <w:sz w:val="24"/>
        </w:rPr>
        <w:drawing>
          <wp:inline distT="0" distB="0" distL="0" distR="0" wp14:anchorId="529546C3" wp14:editId="43C898A8">
            <wp:extent cx="2614930" cy="133477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32" cstate="print">
                      <a:extLst>
                        <a:ext uri="{28A0092B-C50C-407E-A947-70E740481C1C}">
                          <a14:useLocalDpi xmlns:a14="http://schemas.microsoft.com/office/drawing/2010/main" val="0"/>
                        </a:ext>
                      </a:extLst>
                    </a:blip>
                    <a:srcRect l="48778" t="26443" r="20851" b="28958"/>
                    <a:stretch>
                      <a:fillRect/>
                    </a:stretch>
                  </pic:blipFill>
                  <pic:spPr>
                    <a:xfrm>
                      <a:off x="0" y="0"/>
                      <a:ext cx="2639776" cy="1347817"/>
                    </a:xfrm>
                    <a:prstGeom prst="rect">
                      <a:avLst/>
                    </a:prstGeom>
                    <a:noFill/>
                    <a:ln>
                      <a:noFill/>
                    </a:ln>
                  </pic:spPr>
                </pic:pic>
              </a:graphicData>
            </a:graphic>
          </wp:inline>
        </w:drawing>
      </w:r>
    </w:p>
    <w:p w14:paraId="424453C6"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3.3-5  </w:t>
      </w:r>
      <w:r w:rsidRPr="00E67914">
        <w:rPr>
          <w:rFonts w:ascii="Times New Roman" w:eastAsia="黑体" w:hAnsi="Times New Roman"/>
          <w:sz w:val="21"/>
          <w:szCs w:val="21"/>
          <w:lang w:eastAsia="zh-CN"/>
        </w:rPr>
        <w:t>井场基础设计结构图</w:t>
      </w:r>
    </w:p>
    <w:p w14:paraId="524E9E4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）清污分流</w:t>
      </w:r>
    </w:p>
    <w:p w14:paraId="2D1C0C33" w14:textId="6E7C1AAC"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井场采用雨污分流设计，</w:t>
      </w:r>
      <w:r w:rsidR="00634CD3" w:rsidRPr="00E67914">
        <w:rPr>
          <w:rFonts w:ascii="Times New Roman" w:hAnsi="Times New Roman"/>
          <w:sz w:val="24"/>
          <w:lang w:eastAsia="zh-CN"/>
        </w:rPr>
        <w:t>新建</w:t>
      </w:r>
      <w:r w:rsidR="00634CD3" w:rsidRPr="00E67914">
        <w:rPr>
          <w:rFonts w:ascii="Times New Roman" w:hAnsi="Times New Roman"/>
          <w:sz w:val="24"/>
          <w:lang w:eastAsia="zh-CN"/>
        </w:rPr>
        <w:t>0.35m</w:t>
      </w:r>
      <w:r w:rsidR="00634CD3" w:rsidRPr="00E67914">
        <w:rPr>
          <w:rFonts w:ascii="Times New Roman" w:hAnsi="Times New Roman"/>
          <w:sz w:val="24"/>
          <w:lang w:eastAsia="zh-CN"/>
        </w:rPr>
        <w:t>宽环状排污沟</w:t>
      </w:r>
      <w:r w:rsidR="00634CD3" w:rsidRPr="00E67914">
        <w:rPr>
          <w:rFonts w:ascii="Times New Roman" w:hAnsi="Times New Roman"/>
          <w:sz w:val="24"/>
          <w:lang w:eastAsia="zh-CN"/>
        </w:rPr>
        <w:t>350m</w:t>
      </w:r>
      <w:r w:rsidR="00634CD3" w:rsidRPr="00E67914">
        <w:rPr>
          <w:rFonts w:ascii="Times New Roman" w:hAnsi="Times New Roman"/>
          <w:sz w:val="24"/>
          <w:lang w:eastAsia="zh-CN"/>
        </w:rPr>
        <w:t>，</w:t>
      </w:r>
      <w:r w:rsidR="00634CD3" w:rsidRPr="00E67914">
        <w:rPr>
          <w:rFonts w:ascii="Times New Roman" w:hAnsi="Times New Roman"/>
          <w:sz w:val="24"/>
          <w:lang w:eastAsia="zh-CN"/>
        </w:rPr>
        <w:t>0.7m</w:t>
      </w:r>
      <w:r w:rsidR="00634CD3" w:rsidRPr="00E67914">
        <w:rPr>
          <w:rFonts w:ascii="Times New Roman" w:hAnsi="Times New Roman"/>
          <w:sz w:val="24"/>
          <w:lang w:eastAsia="zh-CN"/>
        </w:rPr>
        <w:t>宽排水沟</w:t>
      </w:r>
      <w:r w:rsidR="00634CD3" w:rsidRPr="00E67914">
        <w:rPr>
          <w:rFonts w:ascii="Times New Roman" w:hAnsi="Times New Roman"/>
          <w:sz w:val="24"/>
          <w:lang w:eastAsia="zh-CN"/>
        </w:rPr>
        <w:t>344m</w:t>
      </w:r>
      <w:r w:rsidR="00634CD3" w:rsidRPr="00E67914">
        <w:rPr>
          <w:rFonts w:ascii="Times New Roman" w:hAnsi="Times New Roman"/>
          <w:sz w:val="24"/>
          <w:lang w:eastAsia="zh-CN"/>
        </w:rPr>
        <w:t>，</w:t>
      </w:r>
      <w:r w:rsidR="00634CD3" w:rsidRPr="00E67914">
        <w:rPr>
          <w:rFonts w:ascii="Times New Roman" w:hAnsi="Times New Roman"/>
          <w:sz w:val="24"/>
          <w:lang w:eastAsia="zh-CN"/>
        </w:rPr>
        <w:t>1.5m</w:t>
      </w:r>
      <w:r w:rsidR="00634CD3" w:rsidRPr="00E67914">
        <w:rPr>
          <w:rFonts w:ascii="Times New Roman" w:hAnsi="Times New Roman"/>
          <w:sz w:val="24"/>
          <w:lang w:eastAsia="zh-CN"/>
        </w:rPr>
        <w:t>宽截水沟</w:t>
      </w:r>
      <w:r w:rsidR="00634CD3" w:rsidRPr="00E67914">
        <w:rPr>
          <w:rFonts w:ascii="Times New Roman" w:hAnsi="Times New Roman"/>
          <w:sz w:val="24"/>
          <w:lang w:eastAsia="zh-CN"/>
        </w:rPr>
        <w:t>160m</w:t>
      </w:r>
      <w:r w:rsidRPr="00E67914">
        <w:rPr>
          <w:rFonts w:ascii="Times New Roman" w:hAnsi="Times New Roman"/>
          <w:sz w:val="24"/>
          <w:lang w:eastAsia="zh-CN"/>
        </w:rPr>
        <w:t>，</w:t>
      </w:r>
      <w:r w:rsidR="00634CD3" w:rsidRPr="00E67914">
        <w:rPr>
          <w:rFonts w:ascii="Times New Roman" w:hAnsi="Times New Roman"/>
          <w:sz w:val="24"/>
          <w:lang w:eastAsia="zh-CN"/>
        </w:rPr>
        <w:t>排污沟</w:t>
      </w:r>
      <w:r w:rsidRPr="00E67914">
        <w:rPr>
          <w:rFonts w:ascii="Times New Roman" w:hAnsi="Times New Roman"/>
          <w:sz w:val="24"/>
          <w:lang w:eastAsia="zh-CN"/>
        </w:rPr>
        <w:t>放坡坡度</w:t>
      </w:r>
      <w:r w:rsidRPr="00E67914">
        <w:rPr>
          <w:rFonts w:ascii="Times New Roman" w:hAnsi="Times New Roman"/>
          <w:sz w:val="24"/>
          <w:lang w:eastAsia="zh-CN"/>
        </w:rPr>
        <w:t>i=0.5%</w:t>
      </w:r>
      <w:r w:rsidRPr="00E67914">
        <w:rPr>
          <w:rFonts w:ascii="Times New Roman" w:hAnsi="Times New Roman"/>
          <w:sz w:val="24"/>
          <w:lang w:eastAsia="zh-CN"/>
        </w:rPr>
        <w:t>。</w:t>
      </w:r>
      <w:r w:rsidR="00634CD3" w:rsidRPr="00E67914">
        <w:rPr>
          <w:rFonts w:ascii="Times New Roman" w:hAnsi="Times New Roman"/>
          <w:sz w:val="24"/>
          <w:lang w:eastAsia="zh-CN"/>
        </w:rPr>
        <w:t>排污沟</w:t>
      </w:r>
      <w:r w:rsidRPr="00E67914">
        <w:rPr>
          <w:rFonts w:ascii="Times New Roman" w:hAnsi="Times New Roman"/>
          <w:sz w:val="24"/>
          <w:lang w:eastAsia="zh-CN"/>
        </w:rPr>
        <w:t>放坡开始位置可根据现场做适当调整，但必须满足正常放坡和无倒流。为满足钻井期间污水不渗入井场，井场内泥浆循环系统区域和清洁生产操作平台区域设置排污沟，离</w:t>
      </w:r>
      <w:r w:rsidR="00A9536E" w:rsidRPr="00E67914">
        <w:rPr>
          <w:rFonts w:ascii="Times New Roman" w:hAnsi="Times New Roman"/>
          <w:sz w:val="24"/>
          <w:lang w:eastAsia="zh-CN"/>
        </w:rPr>
        <w:t>放空分液罐、采出水罐</w:t>
      </w:r>
      <w:r w:rsidRPr="00E67914">
        <w:rPr>
          <w:rFonts w:ascii="Times New Roman" w:hAnsi="Times New Roman"/>
          <w:sz w:val="24"/>
          <w:lang w:eastAsia="zh-CN"/>
        </w:rPr>
        <w:t>或放喷池较近区域设置净空</w:t>
      </w:r>
      <w:r w:rsidRPr="00E67914">
        <w:rPr>
          <w:rFonts w:ascii="Times New Roman" w:hAnsi="Times New Roman"/>
          <w:sz w:val="24"/>
          <w:lang w:eastAsia="zh-CN"/>
        </w:rPr>
        <w:t>0.5m×0.5m×0.5m</w:t>
      </w:r>
      <w:r w:rsidRPr="00E67914">
        <w:rPr>
          <w:rFonts w:ascii="Times New Roman" w:hAnsi="Times New Roman"/>
          <w:sz w:val="24"/>
          <w:lang w:eastAsia="zh-CN"/>
        </w:rPr>
        <w:t>的集污坑（共计</w:t>
      </w:r>
      <w:r w:rsidRPr="00E67914">
        <w:rPr>
          <w:rFonts w:ascii="Times New Roman" w:hAnsi="Times New Roman"/>
          <w:sz w:val="24"/>
          <w:lang w:eastAsia="zh-CN"/>
        </w:rPr>
        <w:t>4</w:t>
      </w:r>
      <w:r w:rsidRPr="00E67914">
        <w:rPr>
          <w:rFonts w:ascii="Times New Roman" w:hAnsi="Times New Roman"/>
          <w:sz w:val="24"/>
          <w:lang w:eastAsia="zh-CN"/>
        </w:rPr>
        <w:t>个），若场内雨水被污染流入外环沟，则需封闭沟渠由作业队伍从集水坑抽汲至废水罐或放喷池，集污坑体宽度</w:t>
      </w:r>
      <w:r w:rsidRPr="00E67914">
        <w:rPr>
          <w:rFonts w:ascii="Times New Roman" w:hAnsi="Times New Roman"/>
          <w:sz w:val="24"/>
          <w:lang w:eastAsia="zh-CN"/>
        </w:rPr>
        <w:t>12cm</w:t>
      </w:r>
      <w:r w:rsidRPr="00E67914">
        <w:rPr>
          <w:rFonts w:ascii="Times New Roman" w:hAnsi="Times New Roman"/>
          <w:sz w:val="24"/>
          <w:lang w:eastAsia="zh-CN"/>
        </w:rPr>
        <w:t>，底板浇筑</w:t>
      </w:r>
      <w:r w:rsidRPr="00E67914">
        <w:rPr>
          <w:rFonts w:ascii="Times New Roman" w:hAnsi="Times New Roman"/>
          <w:sz w:val="24"/>
          <w:lang w:eastAsia="zh-CN"/>
        </w:rPr>
        <w:t>10cmC15</w:t>
      </w:r>
      <w:r w:rsidRPr="00E67914">
        <w:rPr>
          <w:rFonts w:ascii="Times New Roman" w:hAnsi="Times New Roman"/>
          <w:sz w:val="24"/>
          <w:lang w:eastAsia="zh-CN"/>
        </w:rPr>
        <w:t>混凝土。井场排水沟结构图见下图</w:t>
      </w:r>
      <w:r w:rsidRPr="00E67914">
        <w:rPr>
          <w:rFonts w:ascii="Times New Roman" w:hAnsi="Times New Roman"/>
          <w:sz w:val="24"/>
          <w:lang w:eastAsia="zh-CN"/>
        </w:rPr>
        <w:t>3.3-6</w:t>
      </w:r>
      <w:r w:rsidRPr="00E67914">
        <w:rPr>
          <w:rFonts w:ascii="Times New Roman" w:hAnsi="Times New Roman"/>
          <w:sz w:val="24"/>
          <w:lang w:eastAsia="zh-CN"/>
        </w:rPr>
        <w:t>。</w:t>
      </w:r>
    </w:p>
    <w:p w14:paraId="280CCFA7" w14:textId="77777777" w:rsidR="00A54A8A" w:rsidRPr="00E67914" w:rsidRDefault="00000000">
      <w:pPr>
        <w:snapToGrid w:val="0"/>
        <w:spacing w:line="360" w:lineRule="auto"/>
        <w:ind w:firstLineChars="200" w:firstLine="480"/>
        <w:jc w:val="center"/>
        <w:rPr>
          <w:rFonts w:ascii="Times New Roman" w:hAnsi="Times New Roman"/>
          <w:sz w:val="24"/>
        </w:rPr>
      </w:pPr>
      <w:r w:rsidRPr="00E67914">
        <w:rPr>
          <w:rFonts w:ascii="Times New Roman" w:hAnsi="Times New Roman"/>
          <w:noProof/>
          <w:sz w:val="24"/>
        </w:rPr>
        <mc:AlternateContent>
          <mc:Choice Requires="wps">
            <w:drawing>
              <wp:anchor distT="0" distB="0" distL="114300" distR="114300" simplePos="0" relativeHeight="251713536" behindDoc="0" locked="0" layoutInCell="1" allowOverlap="1" wp14:anchorId="01953B81" wp14:editId="55186881">
                <wp:simplePos x="0" y="0"/>
                <wp:positionH relativeFrom="column">
                  <wp:posOffset>3244215</wp:posOffset>
                </wp:positionH>
                <wp:positionV relativeFrom="paragraph">
                  <wp:posOffset>1135380</wp:posOffset>
                </wp:positionV>
                <wp:extent cx="250825" cy="125095"/>
                <wp:effectExtent l="0" t="0" r="0" b="8255"/>
                <wp:wrapNone/>
                <wp:docPr id="21" name="文本框 21"/>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ln>
                      </wps:spPr>
                      <wps:txbx>
                        <w:txbxContent>
                          <w:p w14:paraId="34E02271" w14:textId="77777777" w:rsidR="00A54A8A" w:rsidRDefault="00000000">
                            <w:pPr>
                              <w:rPr>
                                <w:rFonts w:ascii="Times New Roman" w:hAnsi="Times New Roman"/>
                                <w:sz w:val="18"/>
                                <w:szCs w:val="18"/>
                                <w:lang w:eastAsia="zh-CN"/>
                              </w:rPr>
                            </w:pPr>
                            <w:r>
                              <w:rPr>
                                <w:rFonts w:ascii="Times New Roman" w:hAnsi="Times New Roman"/>
                                <w:sz w:val="18"/>
                                <w:szCs w:val="18"/>
                                <w:lang w:eastAsia="zh-CN"/>
                              </w:rPr>
                              <w:t>350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w14:anchorId="01953B81" id="文本框 21" o:spid="_x0000_s1040" type="#_x0000_t202" style="position:absolute;left:0;text-align:left;margin-left:255.45pt;margin-top:89.4pt;width:19.75pt;height:9.8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" stroked="f">
                <v:textbox inset="0,0,0,0">
                  <w:txbxContent>
                    <w:p w14:paraId="34E02271" w14:textId="77777777" w:rsidR="00A54A8A" w:rsidRDefault="00000000">
                      <w:pPr>
                        <w:rPr>
                          <w:rFonts w:ascii="Times New Roman" w:hAnsi="Times New Roman"/>
                          <w:sz w:val="18"/>
                          <w:szCs w:val="18"/>
                          <w:lang w:eastAsia="zh-CN"/>
                        </w:rPr>
                      </w:pPr>
                      <w:r>
                        <w:rPr>
                          <w:rFonts w:ascii="Times New Roman" w:hAnsi="Times New Roman"/>
                          <w:sz w:val="18"/>
                          <w:szCs w:val="18"/>
                          <w:lang w:eastAsia="zh-CN"/>
                        </w:rPr>
                        <w:t>350</w:t>
                      </w:r>
                    </w:p>
                  </w:txbxContent>
                </v:textbox>
              </v:shape>
            </w:pict>
          </mc:Fallback>
        </mc:AlternateContent>
      </w:r>
      <w:r w:rsidRPr="00E67914">
        <w:rPr>
          <w:rFonts w:ascii="Times New Roman" w:hAnsi="Times New Roman"/>
          <w:noProof/>
          <w:sz w:val="24"/>
        </w:rPr>
        <mc:AlternateContent>
          <mc:Choice Requires="wps">
            <w:drawing>
              <wp:anchor distT="0" distB="0" distL="114300" distR="114300" simplePos="0" relativeHeight="251712512" behindDoc="0" locked="0" layoutInCell="1" allowOverlap="1" wp14:anchorId="246DEFE3" wp14:editId="2898A04C">
                <wp:simplePos x="0" y="0"/>
                <wp:positionH relativeFrom="column">
                  <wp:posOffset>1423035</wp:posOffset>
                </wp:positionH>
                <wp:positionV relativeFrom="paragraph">
                  <wp:posOffset>1157605</wp:posOffset>
                </wp:positionV>
                <wp:extent cx="250825" cy="125095"/>
                <wp:effectExtent l="0" t="0" r="0" b="8255"/>
                <wp:wrapNone/>
                <wp:docPr id="20" name="文本框 20"/>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ln>
                      </wps:spPr>
                      <wps:txbx>
                        <w:txbxContent>
                          <w:p w14:paraId="0F05CF3B" w14:textId="77777777" w:rsidR="00A54A8A" w:rsidRDefault="00000000">
                            <w:pPr>
                              <w:rPr>
                                <w:rFonts w:ascii="Times New Roman" w:hAnsi="Times New Roman"/>
                                <w:sz w:val="15"/>
                                <w:szCs w:val="15"/>
                                <w:lang w:eastAsia="zh-CN"/>
                              </w:rPr>
                            </w:pPr>
                            <w:r>
                              <w:rPr>
                                <w:rFonts w:ascii="Times New Roman" w:hAnsi="Times New Roman"/>
                                <w:sz w:val="15"/>
                                <w:szCs w:val="15"/>
                                <w:lang w:eastAsia="zh-CN"/>
                              </w:rPr>
                              <w:t>350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w14:anchorId="246DEFE3" id="文本框 20" o:spid="_x0000_s1041" type="#_x0000_t202" style="position:absolute;left:0;text-align:left;margin-left:112.05pt;margin-top:91.15pt;width:19.75pt;height:9.8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" stroked="f">
                <v:textbox inset="0,0,0,0">
                  <w:txbxContent>
                    <w:p w14:paraId="0F05CF3B" w14:textId="77777777" w:rsidR="00A54A8A" w:rsidRDefault="00000000">
                      <w:pPr>
                        <w:rPr>
                          <w:rFonts w:ascii="Times New Roman" w:hAnsi="Times New Roman"/>
                          <w:sz w:val="15"/>
                          <w:szCs w:val="15"/>
                          <w:lang w:eastAsia="zh-CN"/>
                        </w:rPr>
                      </w:pPr>
                      <w:r>
                        <w:rPr>
                          <w:rFonts w:ascii="Times New Roman" w:hAnsi="Times New Roman"/>
                          <w:sz w:val="15"/>
                          <w:szCs w:val="15"/>
                          <w:lang w:eastAsia="zh-CN"/>
                        </w:rPr>
                        <w:t>350</w:t>
                      </w:r>
                    </w:p>
                  </w:txbxContent>
                </v:textbox>
              </v:shape>
            </w:pict>
          </mc:Fallback>
        </mc:AlternateContent>
      </w:r>
      <w:r w:rsidRPr="00E67914">
        <w:rPr>
          <w:rFonts w:ascii="Times New Roman" w:hAnsi="Times New Roman"/>
          <w:noProof/>
          <w:sz w:val="24"/>
        </w:rPr>
        <w:drawing>
          <wp:inline distT="0" distB="0" distL="0" distR="0" wp14:anchorId="024A4C5E" wp14:editId="776073EF">
            <wp:extent cx="2007235" cy="167449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33">
                      <a:extLst>
                        <a:ext uri="{28A0092B-C50C-407E-A947-70E740481C1C}">
                          <a14:useLocalDpi xmlns:a14="http://schemas.microsoft.com/office/drawing/2010/main" val="0"/>
                        </a:ext>
                      </a:extLst>
                    </a:blip>
                    <a:srcRect t="22746" r="60754" b="-15460"/>
                    <a:stretch>
                      <a:fillRect/>
                    </a:stretch>
                  </pic:blipFill>
                  <pic:spPr>
                    <a:xfrm>
                      <a:off x="0" y="0"/>
                      <a:ext cx="2007235" cy="1674495"/>
                    </a:xfrm>
                    <a:prstGeom prst="rect">
                      <a:avLst/>
                    </a:prstGeom>
                    <a:noFill/>
                    <a:ln>
                      <a:noFill/>
                    </a:ln>
                  </pic:spPr>
                </pic:pic>
              </a:graphicData>
            </a:graphic>
          </wp:inline>
        </w:drawing>
      </w:r>
      <w:r w:rsidRPr="00E67914">
        <w:rPr>
          <w:rFonts w:ascii="Times New Roman" w:hAnsi="Times New Roman"/>
          <w:noProof/>
          <w:sz w:val="24"/>
        </w:rPr>
        <w:drawing>
          <wp:inline distT="0" distB="0" distL="0" distR="0" wp14:anchorId="4A4C8419" wp14:editId="74748F9E">
            <wp:extent cx="2731135" cy="1674495"/>
            <wp:effectExtent l="0" t="0" r="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34" cstate="print">
                      <a:extLst>
                        <a:ext uri="{28A0092B-C50C-407E-A947-70E740481C1C}">
                          <a14:useLocalDpi xmlns:a14="http://schemas.microsoft.com/office/drawing/2010/main" val="0"/>
                        </a:ext>
                      </a:extLst>
                    </a:blip>
                    <a:srcRect l="31598" t="43660" r="46407" b="20622"/>
                    <a:stretch>
                      <a:fillRect/>
                    </a:stretch>
                  </pic:blipFill>
                  <pic:spPr>
                    <a:xfrm>
                      <a:off x="0" y="0"/>
                      <a:ext cx="2731135" cy="1674495"/>
                    </a:xfrm>
                    <a:prstGeom prst="rect">
                      <a:avLst/>
                    </a:prstGeom>
                    <a:noFill/>
                    <a:ln>
                      <a:noFill/>
                    </a:ln>
                  </pic:spPr>
                </pic:pic>
              </a:graphicData>
            </a:graphic>
          </wp:inline>
        </w:drawing>
      </w:r>
    </w:p>
    <w:p w14:paraId="6CEBD150" w14:textId="77777777" w:rsidR="00A54A8A" w:rsidRPr="00E67914" w:rsidRDefault="00000000">
      <w:pPr>
        <w:pStyle w:val="af"/>
        <w:tabs>
          <w:tab w:val="left" w:pos="3864"/>
        </w:tabs>
        <w:adjustRightInd w:val="0"/>
        <w:snapToGrid w:val="0"/>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3.3-6  </w:t>
      </w:r>
      <w:r w:rsidRPr="00E67914">
        <w:rPr>
          <w:rFonts w:ascii="Times New Roman" w:eastAsia="黑体" w:hAnsi="Times New Roman"/>
          <w:sz w:val="21"/>
          <w:szCs w:val="21"/>
          <w:lang w:eastAsia="zh-CN"/>
        </w:rPr>
        <w:t>井场排水沟结构图</w:t>
      </w:r>
    </w:p>
    <w:p w14:paraId="2DC9E3D3"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5</w:t>
      </w:r>
      <w:r w:rsidRPr="00E67914">
        <w:rPr>
          <w:rFonts w:ascii="Times New Roman" w:hAnsi="Times New Roman"/>
          <w:sz w:val="24"/>
          <w:lang w:eastAsia="zh-CN"/>
        </w:rPr>
        <w:t>）清洁生产操作平台区</w:t>
      </w:r>
    </w:p>
    <w:p w14:paraId="3535CF93"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清洁生产操作平台区占地面积约</w:t>
      </w:r>
      <w:r w:rsidRPr="00E67914">
        <w:rPr>
          <w:rFonts w:ascii="Times New Roman" w:hAnsi="Times New Roman"/>
          <w:sz w:val="24"/>
          <w:lang w:eastAsia="zh-CN"/>
        </w:rPr>
        <w:t>310m</w:t>
      </w:r>
      <w:r w:rsidRPr="00E67914">
        <w:rPr>
          <w:rFonts w:ascii="Times New Roman" w:hAnsi="Times New Roman"/>
          <w:sz w:val="24"/>
          <w:vertAlign w:val="superscript"/>
          <w:lang w:eastAsia="zh-CN"/>
        </w:rPr>
        <w:t>2</w:t>
      </w:r>
      <w:r w:rsidRPr="00E67914">
        <w:rPr>
          <w:rFonts w:ascii="Times New Roman" w:hAnsi="Times New Roman"/>
          <w:sz w:val="24"/>
          <w:lang w:eastAsia="zh-CN"/>
        </w:rPr>
        <w:t>，采用</w:t>
      </w:r>
      <w:r w:rsidRPr="00E67914">
        <w:rPr>
          <w:rFonts w:ascii="Times New Roman" w:hAnsi="Times New Roman"/>
          <w:bCs/>
          <w:sz w:val="24"/>
          <w:lang w:eastAsia="zh-CN"/>
        </w:rPr>
        <w:t>10cm</w:t>
      </w:r>
      <w:r w:rsidRPr="00E67914">
        <w:rPr>
          <w:rFonts w:ascii="Times New Roman" w:hAnsi="Times New Roman"/>
          <w:bCs/>
          <w:sz w:val="24"/>
          <w:lang w:eastAsia="zh-CN"/>
        </w:rPr>
        <w:t>厚</w:t>
      </w:r>
      <w:r w:rsidRPr="00E67914">
        <w:rPr>
          <w:rFonts w:ascii="Times New Roman" w:hAnsi="Times New Roman"/>
          <w:bCs/>
          <w:sz w:val="24"/>
          <w:lang w:eastAsia="zh-CN"/>
        </w:rPr>
        <w:t>C25</w:t>
      </w:r>
      <w:r w:rsidRPr="00E67914">
        <w:rPr>
          <w:rFonts w:ascii="Times New Roman" w:hAnsi="Times New Roman"/>
          <w:bCs/>
          <w:sz w:val="24"/>
          <w:lang w:eastAsia="zh-CN"/>
        </w:rPr>
        <w:t>钢筋混凝土垫层</w:t>
      </w:r>
      <w:r w:rsidRPr="00E67914">
        <w:rPr>
          <w:rFonts w:ascii="Times New Roman" w:hAnsi="Times New Roman"/>
          <w:bCs/>
          <w:sz w:val="24"/>
          <w:lang w:eastAsia="zh-CN"/>
        </w:rPr>
        <w:t>+30cmC25</w:t>
      </w:r>
      <w:r w:rsidRPr="00E67914">
        <w:rPr>
          <w:rFonts w:ascii="Times New Roman" w:hAnsi="Times New Roman"/>
          <w:bCs/>
          <w:sz w:val="24"/>
          <w:lang w:eastAsia="zh-CN"/>
        </w:rPr>
        <w:t>钢筋混凝土面层</w:t>
      </w:r>
      <w:r w:rsidRPr="00E67914">
        <w:rPr>
          <w:rFonts w:ascii="Times New Roman" w:hAnsi="Times New Roman"/>
          <w:bCs/>
          <w:sz w:val="24"/>
          <w:lang w:eastAsia="zh-CN"/>
        </w:rPr>
        <w:t>+2cm</w:t>
      </w:r>
      <w:r w:rsidRPr="00E67914">
        <w:rPr>
          <w:rFonts w:ascii="Times New Roman" w:hAnsi="Times New Roman"/>
          <w:bCs/>
          <w:sz w:val="24"/>
          <w:lang w:eastAsia="zh-CN"/>
        </w:rPr>
        <w:t>厚</w:t>
      </w:r>
      <w:r w:rsidRPr="00E67914">
        <w:rPr>
          <w:rFonts w:ascii="Times New Roman" w:hAnsi="Times New Roman"/>
          <w:bCs/>
          <w:sz w:val="24"/>
          <w:lang w:eastAsia="zh-CN"/>
        </w:rPr>
        <w:t>1</w:t>
      </w:r>
      <w:r w:rsidRPr="00E67914">
        <w:rPr>
          <w:rFonts w:ascii="Times New Roman" w:hAnsi="Times New Roman"/>
          <w:bCs/>
          <w:sz w:val="24"/>
          <w:lang w:eastAsia="zh-CN"/>
        </w:rPr>
        <w:t>：</w:t>
      </w:r>
      <w:r w:rsidRPr="00E67914">
        <w:rPr>
          <w:rFonts w:ascii="Times New Roman" w:hAnsi="Times New Roman"/>
          <w:bCs/>
          <w:sz w:val="24"/>
          <w:lang w:eastAsia="zh-CN"/>
        </w:rPr>
        <w:t>3</w:t>
      </w:r>
      <w:r w:rsidRPr="00E67914">
        <w:rPr>
          <w:rFonts w:ascii="Times New Roman" w:hAnsi="Times New Roman"/>
          <w:bCs/>
          <w:sz w:val="24"/>
          <w:lang w:eastAsia="zh-CN"/>
        </w:rPr>
        <w:t>水泥砂浆抹面</w:t>
      </w:r>
      <w:r w:rsidRPr="00E67914">
        <w:rPr>
          <w:rFonts w:ascii="Times New Roman" w:hAnsi="Times New Roman"/>
          <w:bCs/>
          <w:sz w:val="24"/>
          <w:lang w:eastAsia="zh-CN"/>
        </w:rPr>
        <w:t>+</w:t>
      </w:r>
      <w:r w:rsidRPr="00E67914">
        <w:rPr>
          <w:rFonts w:ascii="Times New Roman" w:hAnsi="Times New Roman"/>
          <w:bCs/>
          <w:sz w:val="24"/>
          <w:lang w:eastAsia="zh-CN"/>
        </w:rPr>
        <w:t>聚乙烯丙纶防渗层。</w:t>
      </w:r>
    </w:p>
    <w:p w14:paraId="6C68FD8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设置</w:t>
      </w:r>
      <w:r w:rsidRPr="00E67914">
        <w:rPr>
          <w:rFonts w:ascii="Times New Roman" w:hAnsi="Times New Roman"/>
          <w:sz w:val="24"/>
          <w:lang w:eastAsia="zh-CN"/>
        </w:rPr>
        <w:t>40m</w:t>
      </w:r>
      <w:r w:rsidRPr="00E67914">
        <w:rPr>
          <w:rFonts w:ascii="Times New Roman" w:hAnsi="Times New Roman"/>
          <w:sz w:val="24"/>
          <w:vertAlign w:val="superscript"/>
          <w:lang w:eastAsia="zh-CN"/>
        </w:rPr>
        <w:t>3</w:t>
      </w:r>
      <w:r w:rsidRPr="00E67914">
        <w:rPr>
          <w:rFonts w:ascii="Times New Roman" w:hAnsi="Times New Roman"/>
          <w:sz w:val="24"/>
          <w:lang w:eastAsia="zh-CN"/>
        </w:rPr>
        <w:t>废水罐</w:t>
      </w:r>
      <w:r w:rsidRPr="00E67914">
        <w:rPr>
          <w:rFonts w:ascii="Times New Roman" w:hAnsi="Times New Roman"/>
          <w:sz w:val="24"/>
          <w:lang w:eastAsia="zh-CN"/>
        </w:rPr>
        <w:t>4</w:t>
      </w:r>
      <w:r w:rsidRPr="00E67914">
        <w:rPr>
          <w:rFonts w:ascii="Times New Roman" w:hAnsi="Times New Roman"/>
          <w:sz w:val="24"/>
          <w:lang w:eastAsia="zh-CN"/>
        </w:rPr>
        <w:t>个，</w:t>
      </w:r>
      <w:r w:rsidRPr="00E67914">
        <w:rPr>
          <w:rFonts w:ascii="Times New Roman" w:hAnsi="Times New Roman"/>
          <w:sz w:val="24"/>
          <w:lang w:eastAsia="zh-CN"/>
        </w:rPr>
        <w:t>20m</w:t>
      </w:r>
      <w:r w:rsidRPr="00E67914">
        <w:rPr>
          <w:rFonts w:ascii="Times New Roman" w:hAnsi="Times New Roman"/>
          <w:sz w:val="24"/>
          <w:vertAlign w:val="superscript"/>
          <w:lang w:eastAsia="zh-CN"/>
        </w:rPr>
        <w:t>3</w:t>
      </w:r>
      <w:r w:rsidRPr="00E67914">
        <w:rPr>
          <w:rFonts w:ascii="Times New Roman" w:hAnsi="Times New Roman"/>
          <w:sz w:val="24"/>
          <w:lang w:eastAsia="zh-CN"/>
        </w:rPr>
        <w:t>岩屑固化罐</w:t>
      </w:r>
      <w:r w:rsidRPr="00E67914">
        <w:rPr>
          <w:rFonts w:ascii="Times New Roman" w:hAnsi="Times New Roman"/>
          <w:sz w:val="24"/>
          <w:lang w:eastAsia="zh-CN"/>
        </w:rPr>
        <w:t>4</w:t>
      </w:r>
      <w:r w:rsidRPr="00E67914">
        <w:rPr>
          <w:rFonts w:ascii="Times New Roman" w:hAnsi="Times New Roman"/>
          <w:sz w:val="24"/>
          <w:lang w:eastAsia="zh-CN"/>
        </w:rPr>
        <w:t>个，</w:t>
      </w:r>
      <w:r w:rsidRPr="00E67914">
        <w:rPr>
          <w:rFonts w:ascii="Times New Roman" w:hAnsi="Times New Roman"/>
          <w:sz w:val="24"/>
          <w:lang w:eastAsia="zh-CN"/>
        </w:rPr>
        <w:t>3m</w:t>
      </w:r>
      <w:r w:rsidRPr="00E67914">
        <w:rPr>
          <w:rFonts w:ascii="Times New Roman" w:hAnsi="Times New Roman"/>
          <w:sz w:val="24"/>
          <w:vertAlign w:val="superscript"/>
          <w:lang w:eastAsia="zh-CN"/>
        </w:rPr>
        <w:t>3</w:t>
      </w:r>
      <w:r w:rsidRPr="00E67914">
        <w:rPr>
          <w:rFonts w:ascii="Times New Roman" w:hAnsi="Times New Roman"/>
          <w:sz w:val="24"/>
          <w:lang w:eastAsia="zh-CN"/>
        </w:rPr>
        <w:t>岩屑收集罐</w:t>
      </w:r>
      <w:r w:rsidRPr="00E67914">
        <w:rPr>
          <w:rFonts w:ascii="Times New Roman" w:hAnsi="Times New Roman"/>
          <w:sz w:val="24"/>
          <w:lang w:eastAsia="zh-CN"/>
        </w:rPr>
        <w:t>8</w:t>
      </w:r>
      <w:r w:rsidRPr="00E67914">
        <w:rPr>
          <w:rFonts w:ascii="Times New Roman" w:hAnsi="Times New Roman"/>
          <w:sz w:val="24"/>
          <w:lang w:eastAsia="zh-CN"/>
        </w:rPr>
        <w:t>个，化学品存放区</w:t>
      </w:r>
      <w:r w:rsidRPr="00E67914">
        <w:rPr>
          <w:rFonts w:ascii="Times New Roman" w:hAnsi="Times New Roman"/>
          <w:sz w:val="24"/>
          <w:lang w:eastAsia="zh-CN"/>
        </w:rPr>
        <w:t>1</w:t>
      </w:r>
      <w:r w:rsidRPr="00E67914">
        <w:rPr>
          <w:rFonts w:ascii="Times New Roman" w:hAnsi="Times New Roman"/>
          <w:sz w:val="24"/>
          <w:lang w:eastAsia="zh-CN"/>
        </w:rPr>
        <w:t>处。</w:t>
      </w:r>
    </w:p>
    <w:p w14:paraId="12D36762"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6</w:t>
      </w:r>
      <w:r w:rsidRPr="00E67914">
        <w:rPr>
          <w:rFonts w:ascii="Times New Roman" w:hAnsi="Times New Roman"/>
          <w:sz w:val="24"/>
          <w:lang w:eastAsia="zh-CN"/>
        </w:rPr>
        <w:t>）放喷池</w:t>
      </w:r>
    </w:p>
    <w:p w14:paraId="5331E2C2" w14:textId="31E37E90" w:rsidR="00A54A8A" w:rsidRPr="00E67914" w:rsidRDefault="00902A04">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bCs/>
          <w:sz w:val="24"/>
          <w:szCs w:val="24"/>
          <w:lang w:eastAsia="zh-CN"/>
        </w:rPr>
        <w:t>本次</w:t>
      </w:r>
      <w:r w:rsidR="00634CD3" w:rsidRPr="00E67914">
        <w:rPr>
          <w:rFonts w:ascii="Times New Roman" w:hAnsi="Times New Roman"/>
          <w:bCs/>
          <w:sz w:val="24"/>
          <w:szCs w:val="24"/>
          <w:lang w:eastAsia="zh-CN"/>
        </w:rPr>
        <w:t>新建的新普陆页</w:t>
      </w:r>
      <w:r w:rsidR="00634CD3" w:rsidRPr="00E67914">
        <w:rPr>
          <w:rFonts w:ascii="Times New Roman" w:hAnsi="Times New Roman"/>
          <w:bCs/>
          <w:sz w:val="24"/>
          <w:szCs w:val="24"/>
          <w:lang w:eastAsia="zh-CN"/>
        </w:rPr>
        <w:t>2</w:t>
      </w:r>
      <w:r w:rsidR="00634CD3" w:rsidRPr="00E67914">
        <w:rPr>
          <w:rFonts w:ascii="Times New Roman" w:hAnsi="Times New Roman"/>
          <w:bCs/>
          <w:sz w:val="24"/>
          <w:szCs w:val="24"/>
          <w:lang w:eastAsia="zh-CN"/>
        </w:rPr>
        <w:t>井场不单独新建放喷池，依托原普陆页</w:t>
      </w:r>
      <w:r w:rsidR="00634CD3" w:rsidRPr="00E67914">
        <w:rPr>
          <w:rFonts w:ascii="Times New Roman" w:hAnsi="Times New Roman"/>
          <w:bCs/>
          <w:sz w:val="24"/>
          <w:szCs w:val="24"/>
          <w:lang w:eastAsia="zh-CN"/>
        </w:rPr>
        <w:t>2</w:t>
      </w:r>
      <w:r w:rsidR="00634CD3" w:rsidRPr="00E67914">
        <w:rPr>
          <w:rFonts w:ascii="Times New Roman" w:hAnsi="Times New Roman"/>
          <w:bCs/>
          <w:sz w:val="24"/>
          <w:szCs w:val="24"/>
          <w:lang w:eastAsia="zh-CN"/>
        </w:rPr>
        <w:t>井场建设的</w:t>
      </w:r>
      <w:r w:rsidR="00634CD3" w:rsidRPr="00E67914">
        <w:rPr>
          <w:rFonts w:ascii="Times New Roman" w:hAnsi="Times New Roman"/>
          <w:bCs/>
          <w:sz w:val="24"/>
          <w:szCs w:val="24"/>
          <w:lang w:eastAsia="zh-CN"/>
        </w:rPr>
        <w:t>1</w:t>
      </w:r>
      <w:r w:rsidR="00634CD3" w:rsidRPr="00E67914">
        <w:rPr>
          <w:rFonts w:ascii="Times New Roman" w:hAnsi="Times New Roman"/>
          <w:bCs/>
          <w:sz w:val="24"/>
          <w:szCs w:val="24"/>
          <w:lang w:eastAsia="zh-CN"/>
        </w:rPr>
        <w:t>座放喷池，</w:t>
      </w:r>
      <w:r w:rsidRPr="00E67914">
        <w:rPr>
          <w:rFonts w:ascii="Times New Roman" w:hAnsi="Times New Roman"/>
          <w:bCs/>
          <w:kern w:val="2"/>
          <w:sz w:val="24"/>
          <w:szCs w:val="24"/>
          <w:lang w:eastAsia="zh-CN"/>
        </w:rPr>
        <w:t>距离</w:t>
      </w:r>
      <w:r w:rsidR="00634CD3" w:rsidRPr="00E67914">
        <w:rPr>
          <w:rFonts w:ascii="Times New Roman" w:hAnsi="Times New Roman"/>
          <w:bCs/>
          <w:kern w:val="2"/>
          <w:sz w:val="24"/>
          <w:szCs w:val="24"/>
          <w:lang w:eastAsia="zh-CN"/>
        </w:rPr>
        <w:t>本项目</w:t>
      </w:r>
      <w:r w:rsidRPr="00E67914">
        <w:rPr>
          <w:rFonts w:ascii="Times New Roman" w:hAnsi="Times New Roman"/>
          <w:bCs/>
          <w:kern w:val="2"/>
          <w:sz w:val="24"/>
          <w:szCs w:val="24"/>
          <w:lang w:eastAsia="zh-CN"/>
        </w:rPr>
        <w:t>井口约</w:t>
      </w:r>
      <w:r w:rsidR="00634CD3" w:rsidRPr="00E67914">
        <w:rPr>
          <w:rFonts w:ascii="Times New Roman" w:hAnsi="Times New Roman"/>
          <w:bCs/>
          <w:kern w:val="2"/>
          <w:sz w:val="24"/>
          <w:szCs w:val="24"/>
          <w:lang w:eastAsia="zh-CN"/>
        </w:rPr>
        <w:t>188</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处</w:t>
      </w:r>
      <w:r w:rsidRPr="00E67914">
        <w:rPr>
          <w:rFonts w:ascii="Times New Roman" w:hAnsi="Times New Roman"/>
          <w:bCs/>
          <w:sz w:val="24"/>
          <w:szCs w:val="24"/>
          <w:lang w:eastAsia="zh-CN"/>
        </w:rPr>
        <w:t>，容积为</w:t>
      </w:r>
      <w:r w:rsidRPr="00E67914">
        <w:rPr>
          <w:rFonts w:ascii="Times New Roman" w:hAnsi="Times New Roman"/>
          <w:bCs/>
          <w:sz w:val="24"/>
          <w:szCs w:val="24"/>
          <w:lang w:eastAsia="zh-CN"/>
        </w:rPr>
        <w:t>300m</w:t>
      </w:r>
      <w:r w:rsidRPr="00E67914">
        <w:rPr>
          <w:rFonts w:ascii="Times New Roman" w:hAnsi="Times New Roman"/>
          <w:bCs/>
          <w:sz w:val="24"/>
          <w:szCs w:val="24"/>
          <w:vertAlign w:val="superscript"/>
          <w:lang w:eastAsia="zh-CN"/>
        </w:rPr>
        <w:t>3</w:t>
      </w:r>
      <w:r w:rsidRPr="00E67914">
        <w:rPr>
          <w:rFonts w:ascii="Times New Roman" w:hAnsi="Times New Roman"/>
          <w:sz w:val="24"/>
          <w:lang w:eastAsia="zh-CN"/>
        </w:rPr>
        <w:t>。放喷管使用双四通、二条放喷管线，放喷池具体结构图见图</w:t>
      </w:r>
      <w:r w:rsidRPr="00E67914">
        <w:rPr>
          <w:rFonts w:ascii="Times New Roman" w:hAnsi="Times New Roman"/>
          <w:sz w:val="24"/>
          <w:lang w:eastAsia="zh-CN"/>
        </w:rPr>
        <w:t>3.3-7</w:t>
      </w:r>
      <w:r w:rsidRPr="00E67914">
        <w:rPr>
          <w:rFonts w:ascii="Times New Roman" w:hAnsi="Times New Roman"/>
          <w:sz w:val="24"/>
          <w:lang w:eastAsia="zh-CN"/>
        </w:rPr>
        <w:t>。</w:t>
      </w:r>
    </w:p>
    <w:p w14:paraId="75EA4866" w14:textId="77777777" w:rsidR="00A54A8A" w:rsidRPr="00E67914" w:rsidRDefault="00000000">
      <w:pPr>
        <w:snapToGrid w:val="0"/>
        <w:jc w:val="center"/>
        <w:rPr>
          <w:rFonts w:ascii="Times New Roman" w:hAnsi="Times New Roman"/>
          <w:szCs w:val="21"/>
          <w:lang w:eastAsia="zh-CN"/>
        </w:rPr>
      </w:pPr>
      <w:r w:rsidRPr="00E67914">
        <w:rPr>
          <w:rFonts w:ascii="Times New Roman" w:hAnsi="Times New Roman"/>
          <w:szCs w:val="24"/>
        </w:rPr>
        <w:object w:dxaOrig="8341" w:dyaOrig="3627" w14:anchorId="3684AFD3">
          <v:shape id="_x0000_i1026" type="#_x0000_t75" style="width:416.95pt;height:181.55pt" o:ole="">
            <v:imagedata r:id="rId35" o:title=""/>
          </v:shape>
          <o:OLEObject Type="Embed" ProgID="Equation.3" ShapeID="_x0000_i1026" DrawAspect="Content" ObjectID="_1759298084" r:id="rId36"/>
        </w:object>
      </w: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3.3-7  </w:t>
      </w:r>
      <w:r w:rsidRPr="00E67914">
        <w:rPr>
          <w:rFonts w:ascii="Times New Roman" w:eastAsia="黑体" w:hAnsi="Times New Roman"/>
          <w:sz w:val="21"/>
          <w:szCs w:val="21"/>
          <w:lang w:eastAsia="zh-CN"/>
        </w:rPr>
        <w:t>井场放喷池结构图</w:t>
      </w:r>
    </w:p>
    <w:p w14:paraId="66A047A7" w14:textId="77777777" w:rsidR="00A54A8A" w:rsidRPr="00E67914" w:rsidRDefault="00000000">
      <w:pPr>
        <w:overflowPunct w:val="0"/>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7</w:t>
      </w:r>
      <w:r w:rsidRPr="00E67914">
        <w:rPr>
          <w:rFonts w:ascii="Times New Roman" w:hAnsi="Times New Roman"/>
          <w:sz w:val="24"/>
          <w:lang w:eastAsia="zh-CN"/>
        </w:rPr>
        <w:t>）分区防渗</w:t>
      </w:r>
    </w:p>
    <w:p w14:paraId="2DE9C2BC" w14:textId="626DDEAA" w:rsidR="00A54A8A" w:rsidRPr="00E67914" w:rsidRDefault="00000000">
      <w:pPr>
        <w:overflowPunct w:val="0"/>
        <w:adjustRightInd w:val="0"/>
        <w:snapToGrid w:val="0"/>
        <w:spacing w:line="360" w:lineRule="auto"/>
        <w:ind w:firstLineChars="200" w:firstLine="480"/>
        <w:jc w:val="both"/>
        <w:rPr>
          <w:rFonts w:ascii="Times New Roman" w:hAnsi="Times New Roman"/>
          <w:sz w:val="24"/>
          <w:lang w:eastAsia="zh-CN"/>
        </w:rPr>
      </w:pPr>
      <w:bookmarkStart w:id="77" w:name="_Hlk56241817"/>
      <w:r w:rsidRPr="00E67914">
        <w:rPr>
          <w:rFonts w:ascii="Times New Roman" w:hAnsi="Times New Roman"/>
          <w:sz w:val="24"/>
          <w:lang w:eastAsia="zh-CN"/>
        </w:rPr>
        <w:t>本项目井场内除放喷池、清水池外，主要存水和泥浆设备均为罐体，设置于防渗基础上，四周修建防渗沟，能有效防止废水、泥浆都撒漏进入外环境。</w:t>
      </w:r>
      <w:bookmarkEnd w:id="77"/>
      <w:r w:rsidRPr="00E67914">
        <w:rPr>
          <w:rFonts w:ascii="Times New Roman" w:hAnsi="Times New Roman"/>
          <w:sz w:val="24"/>
          <w:szCs w:val="24"/>
          <w:lang w:eastAsia="zh-CN"/>
        </w:rPr>
        <w:t>场地内场地内方井、泥浆循环系统区域、泥浆不落地系统区域（含油桶堆放区）</w:t>
      </w:r>
      <w:r w:rsidR="00634CD3" w:rsidRPr="00E67914">
        <w:rPr>
          <w:rFonts w:ascii="Times New Roman" w:hAnsi="Times New Roman"/>
          <w:sz w:val="24"/>
          <w:szCs w:val="24"/>
          <w:lang w:eastAsia="zh-CN"/>
        </w:rPr>
        <w:t>、危险废物暂存场所</w:t>
      </w:r>
      <w:r w:rsidRPr="00E67914">
        <w:rPr>
          <w:rFonts w:ascii="Times New Roman" w:hAnsi="Times New Roman"/>
          <w:sz w:val="24"/>
          <w:szCs w:val="24"/>
          <w:lang w:eastAsia="zh-CN"/>
        </w:rPr>
        <w:t>、泥浆储备罐区、循环罐区、柴油罐区、放喷池、埋地管道等采取重点防渗措施；井架基础、发电机房、钻井固废暂存区、清水池、气源房、材料棚、雨、污分流区域以及厕所等区域采取一般防渗措施；其他区域等采取简单防渗措施。</w:t>
      </w:r>
    </w:p>
    <w:p w14:paraId="7BE083CE" w14:textId="77777777" w:rsidR="00A54A8A" w:rsidRPr="00E67914" w:rsidRDefault="00000000">
      <w:pPr>
        <w:overflowPunct w:val="0"/>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8</w:t>
      </w:r>
      <w:r w:rsidRPr="00E67914">
        <w:rPr>
          <w:rFonts w:ascii="Times New Roman" w:hAnsi="Times New Roman"/>
          <w:sz w:val="24"/>
          <w:lang w:eastAsia="zh-CN"/>
        </w:rPr>
        <w:t>）设备设施的搬运及安装</w:t>
      </w:r>
    </w:p>
    <w:p w14:paraId="6F2D6A0C" w14:textId="77777777" w:rsidR="00A54A8A" w:rsidRPr="00E67914" w:rsidRDefault="00000000">
      <w:pPr>
        <w:overflowPunct w:val="0"/>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用汽车将钻井设备和泥浆罐、泥浆不落地装置等设施运至进场并安装，通常</w:t>
      </w:r>
      <w:r w:rsidRPr="00E67914">
        <w:rPr>
          <w:rFonts w:ascii="Times New Roman" w:hAnsi="Times New Roman"/>
          <w:sz w:val="24"/>
          <w:lang w:eastAsia="zh-CN"/>
        </w:rPr>
        <w:t>2~5</w:t>
      </w:r>
      <w:r w:rsidRPr="00E67914">
        <w:rPr>
          <w:rFonts w:ascii="Times New Roman" w:hAnsi="Times New Roman"/>
          <w:sz w:val="24"/>
          <w:lang w:eastAsia="zh-CN"/>
        </w:rPr>
        <w:t>天安装完毕。</w:t>
      </w:r>
    </w:p>
    <w:p w14:paraId="3C4A4413" w14:textId="77777777" w:rsidR="00A54A8A" w:rsidRPr="00E67914" w:rsidRDefault="00000000">
      <w:pPr>
        <w:adjustRightInd w:val="0"/>
        <w:snapToGrid w:val="0"/>
        <w:spacing w:line="360" w:lineRule="auto"/>
        <w:ind w:firstLineChars="200" w:firstLine="482"/>
        <w:jc w:val="both"/>
        <w:rPr>
          <w:rFonts w:ascii="Times New Roman" w:hAnsi="Times New Roman"/>
          <w:b/>
          <w:sz w:val="24"/>
          <w:szCs w:val="24"/>
          <w:lang w:eastAsia="zh-CN"/>
        </w:rPr>
      </w:pPr>
      <w:r w:rsidRPr="00E67914">
        <w:rPr>
          <w:rFonts w:ascii="Times New Roman" w:hAnsi="Times New Roman"/>
          <w:b/>
          <w:sz w:val="24"/>
          <w:szCs w:val="24"/>
          <w:lang w:eastAsia="zh-CN"/>
        </w:rPr>
        <w:t>（</w:t>
      </w:r>
      <w:r w:rsidRPr="00E67914">
        <w:rPr>
          <w:rFonts w:ascii="Times New Roman" w:hAnsi="Times New Roman"/>
          <w:b/>
          <w:sz w:val="24"/>
          <w:szCs w:val="24"/>
          <w:lang w:eastAsia="zh-CN"/>
        </w:rPr>
        <w:t>2</w:t>
      </w:r>
      <w:r w:rsidRPr="00E67914">
        <w:rPr>
          <w:rFonts w:ascii="Times New Roman" w:hAnsi="Times New Roman"/>
          <w:b/>
          <w:sz w:val="24"/>
          <w:szCs w:val="24"/>
          <w:lang w:eastAsia="zh-CN"/>
        </w:rPr>
        <w:t>）钻前工程产污环节分析</w:t>
      </w:r>
    </w:p>
    <w:p w14:paraId="08224E2B"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1</w:t>
      </w:r>
      <w:r w:rsidRPr="00E67914">
        <w:rPr>
          <w:rFonts w:ascii="Times New Roman" w:hAnsi="Times New Roman"/>
          <w:bCs/>
          <w:sz w:val="24"/>
          <w:szCs w:val="24"/>
          <w:lang w:eastAsia="zh-CN"/>
        </w:rPr>
        <w:t>）生态影响</w:t>
      </w:r>
    </w:p>
    <w:p w14:paraId="271D831E" w14:textId="7681C69D"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本项目</w:t>
      </w:r>
      <w:r w:rsidR="00634CD3" w:rsidRPr="00E67914">
        <w:rPr>
          <w:rFonts w:ascii="Times New Roman" w:hAnsi="Times New Roman"/>
          <w:bCs/>
          <w:sz w:val="24"/>
          <w:szCs w:val="24"/>
          <w:lang w:eastAsia="zh-CN"/>
        </w:rPr>
        <w:t>施工期将</w:t>
      </w:r>
      <w:r w:rsidRPr="00E67914">
        <w:rPr>
          <w:rFonts w:ascii="Times New Roman" w:hAnsi="Times New Roman"/>
          <w:bCs/>
          <w:sz w:val="24"/>
          <w:szCs w:val="24"/>
          <w:lang w:eastAsia="zh-CN"/>
        </w:rPr>
        <w:t>改变土地使用功能，将造成地表裸露，形成水土流失。</w:t>
      </w:r>
    </w:p>
    <w:p w14:paraId="323BD1EB"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2</w:t>
      </w:r>
      <w:r w:rsidRPr="00E67914">
        <w:rPr>
          <w:rFonts w:ascii="Times New Roman" w:hAnsi="Times New Roman"/>
          <w:bCs/>
          <w:sz w:val="24"/>
          <w:szCs w:val="24"/>
          <w:lang w:eastAsia="zh-CN"/>
        </w:rPr>
        <w:t>）污染影响</w:t>
      </w:r>
    </w:p>
    <w:p w14:paraId="3BF0EACE"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钻前工程污染物有机械废气和施工扬尘、生活污水、施工噪声和生活垃圾。</w:t>
      </w:r>
    </w:p>
    <w:p w14:paraId="246CB0C9" w14:textId="4D71D2EB" w:rsidR="00A54A8A" w:rsidRPr="00E67914" w:rsidRDefault="00000000">
      <w:pPr>
        <w:adjustRightInd w:val="0"/>
        <w:snapToGrid w:val="0"/>
        <w:spacing w:line="360" w:lineRule="auto"/>
        <w:ind w:firstLineChars="200" w:firstLine="480"/>
        <w:outlineLvl w:val="3"/>
        <w:rPr>
          <w:rFonts w:ascii="Times New Roman" w:eastAsia="黑体" w:hAnsi="Times New Roman"/>
          <w:sz w:val="24"/>
          <w:lang w:eastAsia="zh-CN"/>
        </w:rPr>
      </w:pPr>
      <w:r w:rsidRPr="00E67914">
        <w:rPr>
          <w:rFonts w:ascii="Times New Roman" w:eastAsia="黑体" w:hAnsi="Times New Roman"/>
          <w:sz w:val="24"/>
          <w:lang w:eastAsia="zh-CN"/>
        </w:rPr>
        <w:t>3.3.1.2</w:t>
      </w:r>
      <w:r w:rsidR="00611A35" w:rsidRPr="00E67914">
        <w:rPr>
          <w:rFonts w:ascii="Times New Roman" w:eastAsia="黑体" w:hAnsi="Times New Roman"/>
          <w:sz w:val="24"/>
          <w:lang w:eastAsia="zh-CN"/>
        </w:rPr>
        <w:t>钻井工程</w:t>
      </w:r>
    </w:p>
    <w:p w14:paraId="78C6E19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井工程是本项目施工期最主要的施工活动之一，主要包括钻井、固井、完井阶段。钻井工程以网电为动力（备用柴油发电机），通过钻机、转盘，带动钻头切削地层，同时由泥浆泵经钻杆向井内注入高压泥浆，冲刷井底，将切削下的岩屑不断带至地面，整个过程循环进行，直至目的井深；钻井中途需要</w:t>
      </w:r>
      <w:r w:rsidRPr="00E67914">
        <w:rPr>
          <w:rFonts w:ascii="Times New Roman" w:hAnsi="Times New Roman"/>
          <w:sz w:val="24"/>
          <w:lang w:eastAsia="zh-CN"/>
        </w:rPr>
        <w:lastRenderedPageBreak/>
        <w:t>停钻，以便起下钻具更换钻头、下套管、固井、替换洗井液和检修设备；当钻井钻至目的层位后即可进入完井阶段，完井阶段采用的是衬管完井（备用裸眼），然后再进行压裂作业，以实现储层改造。钻井作业</w:t>
      </w:r>
      <w:r w:rsidRPr="00E67914">
        <w:rPr>
          <w:rFonts w:ascii="Times New Roman" w:hAnsi="Times New Roman"/>
          <w:sz w:val="24"/>
          <w:lang w:eastAsia="zh-CN"/>
        </w:rPr>
        <w:t>24</w:t>
      </w:r>
      <w:r w:rsidRPr="00E67914">
        <w:rPr>
          <w:rFonts w:ascii="Times New Roman" w:hAnsi="Times New Roman"/>
          <w:sz w:val="24"/>
          <w:lang w:eastAsia="zh-CN"/>
        </w:rPr>
        <w:t>小时连续作业。</w:t>
      </w:r>
    </w:p>
    <w:p w14:paraId="00C93E24" w14:textId="77777777" w:rsidR="00A54A8A" w:rsidRPr="00E67914" w:rsidRDefault="00000000">
      <w:pPr>
        <w:adjustRightInd w:val="0"/>
        <w:snapToGrid w:val="0"/>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）钻井工程工艺流程简述</w:t>
      </w:r>
    </w:p>
    <w:p w14:paraId="4361AE4A"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本项目钻井方式为泥浆钻井方式，采用水基泥浆钻井，钻井工艺流程及产污环节见图</w:t>
      </w:r>
      <w:r w:rsidRPr="00E67914">
        <w:rPr>
          <w:rFonts w:ascii="Times New Roman" w:hAnsi="Times New Roman"/>
          <w:sz w:val="24"/>
          <w:lang w:eastAsia="zh-CN"/>
        </w:rPr>
        <w:t>3.3-8</w:t>
      </w:r>
      <w:r w:rsidRPr="00E67914">
        <w:rPr>
          <w:rFonts w:ascii="Times New Roman" w:hAnsi="Times New Roman"/>
          <w:sz w:val="24"/>
          <w:lang w:eastAsia="zh-CN"/>
        </w:rPr>
        <w:t>。</w:t>
      </w:r>
    </w:p>
    <w:p w14:paraId="1568241A" w14:textId="77777777" w:rsidR="00A54A8A" w:rsidRPr="00E67914" w:rsidRDefault="00A54A8A">
      <w:pPr>
        <w:snapToGrid w:val="0"/>
        <w:spacing w:line="360" w:lineRule="auto"/>
        <w:jc w:val="center"/>
        <w:rPr>
          <w:rFonts w:ascii="Times New Roman" w:hAnsi="Times New Roman"/>
          <w:szCs w:val="24"/>
          <w:lang w:eastAsia="zh-CN"/>
        </w:rPr>
        <w:sectPr w:rsidR="00A54A8A" w:rsidRPr="00E67914">
          <w:headerReference w:type="default" r:id="rId37"/>
          <w:pgSz w:w="11910" w:h="16840"/>
          <w:pgMar w:top="1440" w:right="1800" w:bottom="1440" w:left="1800" w:header="0" w:footer="632" w:gutter="0"/>
          <w:cols w:space="720"/>
        </w:sectPr>
      </w:pPr>
    </w:p>
    <w:p w14:paraId="573DC8DE" w14:textId="27BC7CF0" w:rsidR="00A54A8A" w:rsidRPr="00E67914" w:rsidRDefault="00B871CD">
      <w:pPr>
        <w:snapToGrid w:val="0"/>
        <w:spacing w:line="360" w:lineRule="auto"/>
        <w:jc w:val="center"/>
        <w:rPr>
          <w:rFonts w:ascii="Times New Roman" w:hAnsi="Times New Roman"/>
          <w:szCs w:val="24"/>
        </w:rPr>
      </w:pPr>
      <w:r w:rsidRPr="00E67914">
        <w:rPr>
          <w:rFonts w:ascii="Times New Roman" w:hAnsi="Times New Roman"/>
          <w:noProof/>
        </w:rPr>
        <w:lastRenderedPageBreak/>
        <mc:AlternateContent>
          <mc:Choice Requires="wps">
            <w:drawing>
              <wp:anchor distT="0" distB="0" distL="114300" distR="114300" simplePos="0" relativeHeight="251768832" behindDoc="0" locked="0" layoutInCell="1" allowOverlap="1" wp14:anchorId="0511C6C7" wp14:editId="30551946">
                <wp:simplePos x="0" y="0"/>
                <wp:positionH relativeFrom="column">
                  <wp:posOffset>5124450</wp:posOffset>
                </wp:positionH>
                <wp:positionV relativeFrom="paragraph">
                  <wp:posOffset>3587750</wp:posOffset>
                </wp:positionV>
                <wp:extent cx="825500" cy="6350"/>
                <wp:effectExtent l="0" t="57150" r="31750" b="88900"/>
                <wp:wrapNone/>
                <wp:docPr id="887316077" name="直接箭头连接符 1"/>
                <wp:cNvGraphicFramePr/>
                <a:graphic xmlns:a="http://schemas.openxmlformats.org/drawingml/2006/main">
                  <a:graphicData uri="http://schemas.microsoft.com/office/word/2010/wordprocessingShape">
                    <wps:wsp>
                      <wps:cNvCnPr/>
                      <wps:spPr>
                        <a:xfrm>
                          <a:off x="0" y="0"/>
                          <a:ext cx="825500" cy="63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C62AE3" id="直接箭头连接符 1" o:spid="_x0000_s1026" type="#_x0000_t32" style="position:absolute;left:0;text-align:left;margin-left:403.5pt;margin-top:282.5pt;width:65pt;height:.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" strokecolor="black [3213]" strokeweight=".5pt">
                <v:stroke endarrow="block" joinstyle="miter"/>
              </v:shape>
            </w:pict>
          </mc:Fallback>
        </mc:AlternateContent>
      </w:r>
      <w:r w:rsidRPr="00E67914">
        <w:rPr>
          <w:rFonts w:ascii="Times New Roman" w:hAnsi="Times New Roman"/>
          <w:noProof/>
        </w:rPr>
        <mc:AlternateContent>
          <mc:Choice Requires="wps">
            <w:drawing>
              <wp:anchor distT="0" distB="0" distL="114300" distR="114300" simplePos="0" relativeHeight="251693056" behindDoc="0" locked="0" layoutInCell="1" allowOverlap="1" wp14:anchorId="36B686C0" wp14:editId="6B92EDC2">
                <wp:simplePos x="0" y="0"/>
                <wp:positionH relativeFrom="column">
                  <wp:posOffset>3575051</wp:posOffset>
                </wp:positionH>
                <wp:positionV relativeFrom="paragraph">
                  <wp:posOffset>3441700</wp:posOffset>
                </wp:positionV>
                <wp:extent cx="1536700" cy="295275"/>
                <wp:effectExtent l="0" t="0" r="25400" b="28575"/>
                <wp:wrapNone/>
                <wp:docPr id="91926" name="文本框 91926"/>
                <wp:cNvGraphicFramePr/>
                <a:graphic xmlns:a="http://schemas.openxmlformats.org/drawingml/2006/main">
                  <a:graphicData uri="http://schemas.microsoft.com/office/word/2010/wordprocessingShape">
                    <wps:wsp>
                      <wps:cNvSpPr txBox="1"/>
                      <wps:spPr bwMode="auto">
                        <a:xfrm>
                          <a:off x="0" y="0"/>
                          <a:ext cx="1536700" cy="295275"/>
                        </a:xfrm>
                        <a:prstGeom prst="rect">
                          <a:avLst/>
                        </a:prstGeom>
                        <a:solidFill>
                          <a:schemeClr val="accent1">
                            <a:lumMod val="40000"/>
                            <a:lumOff val="60000"/>
                          </a:schemeClr>
                        </a:solidFill>
                        <a:ln w="9525">
                          <a:solidFill>
                            <a:srgbClr val="000000"/>
                          </a:solidFill>
                          <a:miter lim="800000"/>
                        </a:ln>
                      </wps:spPr>
                      <wps:txbx>
                        <w:txbxContent>
                          <w:p w14:paraId="1E2ED7FE" w14:textId="4D9A8A14" w:rsidR="00A54A8A" w:rsidRPr="00B871CD" w:rsidRDefault="00B871CD" w:rsidP="00B871CD">
                            <w:pPr>
                              <w:jc w:val="center"/>
                              <w:rPr>
                                <w:rFonts w:ascii="宋体" w:hAnsi="宋体"/>
                              </w:rPr>
                            </w:pPr>
                            <w:r w:rsidRPr="00B871CD">
                              <w:rPr>
                                <w:rStyle w:val="cf01"/>
                                <w:rFonts w:ascii="宋体" w:eastAsia="宋体" w:hAnsi="宋体" w:cs="Arial" w:hint="default"/>
                                <w:sz w:val="22"/>
                                <w:szCs w:val="22"/>
                              </w:rPr>
                              <w:t>赵家坝污水处理站</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14:sizeRelH relativeFrom="margin">
                  <wp14:pctWidth>0</wp14:pctWidth>
                </wp14:sizeRelH>
              </wp:anchor>
            </w:drawing>
          </mc:Choice>
          <mc:Fallback>
            <w:pict>
              <v:shape w14:anchorId="36B686C0" id="文本框 91926" o:spid="_x0000_s1042" type="#_x0000_t202" style="position:absolute;left:0;text-align:left;margin-left:281.5pt;margin-top:271pt;width:121pt;height:23.2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" fillcolor="#b4c6e7 [1300]">
                <v:textbox>
                  <w:txbxContent>
                    <w:p w14:paraId="1E2ED7FE" w14:textId="4D9A8A14" w:rsidR="00A54A8A" w:rsidRPr="00B871CD" w:rsidRDefault="00B871CD" w:rsidP="00B871CD">
                      <w:pPr>
                        <w:jc w:val="center"/>
                        <w:rPr>
                          <w:rFonts w:ascii="宋体" w:hAnsi="宋体"/>
                        </w:rPr>
                      </w:pPr>
                      <w:r w:rsidRPr="00B871CD">
                        <w:rPr>
                          <w:rStyle w:val="cf01"/>
                          <w:rFonts w:ascii="宋体" w:eastAsia="宋体" w:hAnsi="宋体" w:cs="Arial" w:hint="default"/>
                          <w:sz w:val="22"/>
                          <w:szCs w:val="22"/>
                        </w:rPr>
                        <w:t>赵家坝污水处理站</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767808" behindDoc="0" locked="0" layoutInCell="1" allowOverlap="1" wp14:anchorId="1EEC3948" wp14:editId="54F232E5">
                <wp:simplePos x="0" y="0"/>
                <wp:positionH relativeFrom="column">
                  <wp:posOffset>5937250</wp:posOffset>
                </wp:positionH>
                <wp:positionV relativeFrom="paragraph">
                  <wp:posOffset>3454400</wp:posOffset>
                </wp:positionV>
                <wp:extent cx="1553845" cy="295910"/>
                <wp:effectExtent l="0" t="0" r="27940" b="28575"/>
                <wp:wrapNone/>
                <wp:docPr id="1813811886" name="文本框 1813811886"/>
                <wp:cNvGraphicFramePr/>
                <a:graphic xmlns:a="http://schemas.openxmlformats.org/drawingml/2006/main">
                  <a:graphicData uri="http://schemas.microsoft.com/office/word/2010/wordprocessingShape">
                    <wps:wsp>
                      <wps:cNvSpPr txBox="1"/>
                      <wps:spPr bwMode="auto">
                        <a:xfrm>
                          <a:off x="0" y="0"/>
                          <a:ext cx="1553845" cy="295910"/>
                        </a:xfrm>
                        <a:prstGeom prst="rect">
                          <a:avLst/>
                        </a:prstGeom>
                        <a:solidFill>
                          <a:schemeClr val="accent1">
                            <a:lumMod val="40000"/>
                            <a:lumOff val="60000"/>
                          </a:schemeClr>
                        </a:solidFill>
                        <a:ln w="9525">
                          <a:solidFill>
                            <a:srgbClr val="000000"/>
                          </a:solidFill>
                          <a:miter lim="800000"/>
                        </a:ln>
                      </wps:spPr>
                      <wps:txbx>
                        <w:txbxContent>
                          <w:p w14:paraId="7D3B5E6D" w14:textId="77777777" w:rsidR="00B871CD" w:rsidRDefault="00B871CD" w:rsidP="00B871CD">
                            <w:r>
                              <w:rPr>
                                <w:rFonts w:hint="eastAsia"/>
                              </w:rPr>
                              <w:t>普光</w:t>
                            </w:r>
                            <w:r>
                              <w:rPr>
                                <w:rFonts w:hint="eastAsia"/>
                              </w:rPr>
                              <w:t>11</w:t>
                            </w:r>
                            <w:r>
                              <w:rPr>
                                <w:rFonts w:hint="eastAsia"/>
                              </w:rPr>
                              <w:t>井回注站回注</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1EEC3948" id="文本框 1813811886" o:spid="_x0000_s1043" type="#_x0000_t202" style="position:absolute;left:0;text-align:left;margin-left:467.5pt;margin-top:272pt;width:122.35pt;height:23.3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" fillcolor="#b4c6e7 [1300]">
                <v:textbox>
                  <w:txbxContent>
                    <w:p w14:paraId="7D3B5E6D" w14:textId="77777777" w:rsidR="00B871CD" w:rsidRDefault="00B871CD" w:rsidP="00B871CD">
                      <w:r>
                        <w:rPr>
                          <w:rFonts w:hint="eastAsia"/>
                        </w:rPr>
                        <w:t>普光</w:t>
                      </w:r>
                      <w:r>
                        <w:rPr>
                          <w:rFonts w:hint="eastAsia"/>
                        </w:rPr>
                        <w:t>11</w:t>
                      </w:r>
                      <w:r>
                        <w:rPr>
                          <w:rFonts w:hint="eastAsia"/>
                        </w:rPr>
                        <w:t>井回注站回注</w:t>
                      </w:r>
                    </w:p>
                  </w:txbxContent>
                </v:textbox>
              </v:shape>
            </w:pict>
          </mc:Fallback>
        </mc:AlternateContent>
      </w:r>
      <w:r w:rsidRPr="00E67914">
        <w:rPr>
          <w:rFonts w:ascii="Times New Roman" w:hAnsi="Times New Roman"/>
          <w:noProof/>
        </w:rPr>
        <w:drawing>
          <wp:inline distT="0" distB="0" distL="0" distR="0" wp14:anchorId="57D16340" wp14:editId="16D96C70">
            <wp:extent cx="8687435" cy="3858260"/>
            <wp:effectExtent l="0" t="0" r="0" b="889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图片 18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8707422" cy="3867119"/>
                    </a:xfrm>
                    <a:prstGeom prst="rect">
                      <a:avLst/>
                    </a:prstGeom>
                    <a:noFill/>
                    <a:ln>
                      <a:noFill/>
                    </a:ln>
                  </pic:spPr>
                </pic:pic>
              </a:graphicData>
            </a:graphic>
          </wp:inline>
        </w:drawing>
      </w:r>
    </w:p>
    <w:p w14:paraId="0620FBC0"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3.3-8  </w:t>
      </w:r>
      <w:r w:rsidRPr="00E67914">
        <w:rPr>
          <w:rFonts w:ascii="Times New Roman" w:eastAsia="黑体" w:hAnsi="Times New Roman"/>
          <w:sz w:val="21"/>
          <w:szCs w:val="21"/>
          <w:lang w:eastAsia="zh-CN"/>
        </w:rPr>
        <w:t>钻井工程工艺流程及产污环节图</w:t>
      </w:r>
    </w:p>
    <w:p w14:paraId="582E74F6" w14:textId="77777777" w:rsidR="00A54A8A" w:rsidRPr="00E67914" w:rsidRDefault="00A54A8A">
      <w:pPr>
        <w:snapToGrid w:val="0"/>
        <w:spacing w:line="360" w:lineRule="auto"/>
        <w:jc w:val="center"/>
        <w:rPr>
          <w:rFonts w:ascii="Times New Roman" w:hAnsi="Times New Roman"/>
          <w:szCs w:val="24"/>
          <w:lang w:eastAsia="zh-CN"/>
        </w:rPr>
        <w:sectPr w:rsidR="00A54A8A" w:rsidRPr="00E67914">
          <w:headerReference w:type="default" r:id="rId39"/>
          <w:pgSz w:w="16840" w:h="11910" w:orient="landscape"/>
          <w:pgMar w:top="1800" w:right="1440" w:bottom="1800" w:left="1440" w:header="0" w:footer="632" w:gutter="0"/>
          <w:cols w:space="720"/>
          <w:docGrid w:linePitch="299"/>
        </w:sectPr>
      </w:pPr>
    </w:p>
    <w:p w14:paraId="0949F2E3"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lastRenderedPageBreak/>
        <w:t>1</w:t>
      </w:r>
      <w:r w:rsidRPr="00E67914">
        <w:rPr>
          <w:rFonts w:ascii="Times New Roman" w:hAnsi="Times New Roman"/>
          <w:sz w:val="24"/>
          <w:lang w:eastAsia="zh-CN"/>
        </w:rPr>
        <w:t>）钻井</w:t>
      </w:r>
    </w:p>
    <w:p w14:paraId="74F7A90E" w14:textId="77777777" w:rsidR="00A54A8A" w:rsidRPr="00E67914" w:rsidRDefault="00000000">
      <w:pPr>
        <w:adjustRightInd w:val="0"/>
        <w:snapToGrid w:val="0"/>
        <w:spacing w:line="360" w:lineRule="auto"/>
        <w:ind w:firstLineChars="200" w:firstLine="480"/>
        <w:rPr>
          <w:rFonts w:ascii="Times New Roman" w:hAnsi="Times New Roman"/>
          <w:sz w:val="24"/>
        </w:rPr>
      </w:pPr>
      <w:r w:rsidRPr="00E67914">
        <w:rPr>
          <w:rFonts w:ascii="Times New Roman" w:hAnsi="Times New Roman"/>
          <w:sz w:val="24"/>
          <w:lang w:eastAsia="zh-CN"/>
        </w:rPr>
        <w:t>本工程采用常规钻井工艺，单钻机依次钻井，钻井工程作业正常情况下以网电为动力，停电等非正常情况下以柴油机为动力，通过钻机、转盘，带动钻杆切削地层，同时用泥浆泵经钻杆向井内注入高压泥浆，冲刷井底，将切削下的岩屑不断带至地面，整个过程循环进行，使井不断加深，直至目的井深。钻井中途会停钻，以起下钻具更换钻头、下套管、固井、替换洗井液、设备检修等。</w:t>
      </w:r>
      <w:r w:rsidRPr="00E67914">
        <w:rPr>
          <w:rFonts w:ascii="Times New Roman" w:hAnsi="Times New Roman"/>
          <w:sz w:val="24"/>
        </w:rPr>
        <w:t>钻井工艺设备组成示意见图</w:t>
      </w:r>
      <w:r w:rsidRPr="00E67914">
        <w:rPr>
          <w:rFonts w:ascii="Times New Roman" w:hAnsi="Times New Roman"/>
          <w:sz w:val="24"/>
        </w:rPr>
        <w:t>3.3-9</w:t>
      </w:r>
      <w:r w:rsidRPr="00E67914">
        <w:rPr>
          <w:rFonts w:ascii="Times New Roman" w:hAnsi="Times New Roman"/>
          <w:sz w:val="24"/>
        </w:rPr>
        <w:t>。</w:t>
      </w:r>
    </w:p>
    <w:p w14:paraId="5C1D7FEF"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noProof/>
          <w:sz w:val="21"/>
          <w:szCs w:val="21"/>
          <w:lang w:eastAsia="zh-CN"/>
        </w:rPr>
        <w:drawing>
          <wp:inline distT="0" distB="0" distL="0" distR="0" wp14:anchorId="2E21C487" wp14:editId="607D3F97">
            <wp:extent cx="2576830" cy="3432175"/>
            <wp:effectExtent l="0" t="0" r="0" b="0"/>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1631"/>
                    <pic:cNvPicPr>
                      <a:picLocks noChangeAspect="1" noChangeArrowheads="1"/>
                    </pic:cNvPicPr>
                  </pic:nvPicPr>
                  <pic:blipFill>
                    <a:blip r:embed="rId40">
                      <a:extLst>
                        <a:ext uri="{28A0092B-C50C-407E-A947-70E740481C1C}">
                          <a14:useLocalDpi xmlns:a14="http://schemas.microsoft.com/office/drawing/2010/main" val="0"/>
                        </a:ext>
                      </a:extLst>
                    </a:blip>
                    <a:srcRect l="22397"/>
                    <a:stretch>
                      <a:fillRect/>
                    </a:stretch>
                  </pic:blipFill>
                  <pic:spPr>
                    <a:xfrm>
                      <a:off x="0" y="0"/>
                      <a:ext cx="2576830" cy="3432175"/>
                    </a:xfrm>
                    <a:prstGeom prst="rect">
                      <a:avLst/>
                    </a:prstGeom>
                    <a:noFill/>
                    <a:ln>
                      <a:noFill/>
                    </a:ln>
                  </pic:spPr>
                </pic:pic>
              </a:graphicData>
            </a:graphic>
          </wp:inline>
        </w:drawing>
      </w:r>
    </w:p>
    <w:p w14:paraId="72C1EBC8"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3.3-9  </w:t>
      </w:r>
      <w:r w:rsidRPr="00E67914">
        <w:rPr>
          <w:rFonts w:ascii="Times New Roman" w:eastAsia="黑体" w:hAnsi="Times New Roman"/>
          <w:sz w:val="21"/>
          <w:szCs w:val="21"/>
          <w:lang w:eastAsia="zh-CN"/>
        </w:rPr>
        <w:t>钻井工艺设备组成示意图</w:t>
      </w:r>
    </w:p>
    <w:p w14:paraId="147F507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）钻井液循环系统</w:t>
      </w:r>
    </w:p>
    <w:p w14:paraId="733DD16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井泥浆系统是钻井工程的核心部分，钻井泥浆分为可生物降解、水基、油基三种，清洁性能依次减弱。本工程采用的钻井泥浆均为水基钻井泥浆，在三种钻井泥浆体系中属于中等清洁产品，不含重金属物质。泥浆循环系统主要包括钻井液振动筛、真空除气器、除砂器、除泥器，除砂除泥一体机、液气分离器、搅拌器、砂泵、泥浆罐等石油钻井固控设备及成套泥浆循环系统，泥浆循环系统，适用于油井、水井钻探中泥浆循环作业。箱体外壳均用钢板压制成型，外形美观，强度高。</w:t>
      </w:r>
    </w:p>
    <w:p w14:paraId="2597016F" w14:textId="04167623"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井泥浆泵经钻杆向井内注入高压钻井泥浆，通过钻头挤入井底，冲刷井底，将钻头切削下的岩屑不断地带至地面，通过泥浆循环系统实现泥浆与岩屑的分离，回收泥浆进入泥浆罐再利用。全井采用常规钻井液体系，</w:t>
      </w:r>
      <w:r w:rsidR="009C0F04" w:rsidRPr="00E67914">
        <w:rPr>
          <w:rFonts w:ascii="Times New Roman" w:hAnsi="Times New Roman"/>
          <w:sz w:val="24"/>
          <w:lang w:eastAsia="zh-CN"/>
        </w:rPr>
        <w:t>一开膨润土</w:t>
      </w:r>
      <w:r w:rsidR="009C0F04" w:rsidRPr="00E67914">
        <w:rPr>
          <w:rFonts w:ascii="Times New Roman" w:hAnsi="Times New Roman"/>
          <w:sz w:val="24"/>
          <w:lang w:eastAsia="zh-CN"/>
        </w:rPr>
        <w:lastRenderedPageBreak/>
        <w:t>浆或聚合物钻井液，二开采用氯化钾聚合物润滑防塌钻井液，三开采用油基钻井液</w:t>
      </w:r>
      <w:r w:rsidRPr="00E67914">
        <w:rPr>
          <w:rFonts w:ascii="Times New Roman" w:hAnsi="Times New Roman"/>
          <w:sz w:val="24"/>
          <w:lang w:eastAsia="zh-CN"/>
        </w:rPr>
        <w:t>，有利于降低作业成本，减少对地层污染。钻井过程严格按照中国石油化工股份有限公司中原油田普光分公司钻井作业指导书进行，强化泥浆的循环利用率。</w:t>
      </w:r>
      <w:bookmarkStart w:id="78" w:name="_Hlk90917264"/>
      <w:r w:rsidRPr="00E67914">
        <w:rPr>
          <w:rFonts w:ascii="Times New Roman" w:hAnsi="Times New Roman"/>
          <w:sz w:val="24"/>
          <w:lang w:eastAsia="zh-CN"/>
        </w:rPr>
        <w:t>完井后泥浆循环系统中产生的合格泥浆暂存在泥浆储备罐内，用于区域内其他井水基泥浆配置。钻井过程中产生的废弃泥浆通过现场泥浆不落地工艺进行固液分离，回收上清液用于泥浆配置，剩余废水</w:t>
      </w:r>
      <w:r w:rsidR="006956BC" w:rsidRPr="00E67914">
        <w:rPr>
          <w:rFonts w:ascii="Times New Roman" w:hAnsi="Times New Roman"/>
          <w:sz w:val="24"/>
          <w:lang w:eastAsia="zh-CN"/>
        </w:rPr>
        <w:t>定期</w:t>
      </w:r>
      <w:r w:rsidRPr="00E67914">
        <w:rPr>
          <w:rFonts w:ascii="Times New Roman" w:hAnsi="Times New Roman"/>
          <w:sz w:val="24"/>
          <w:lang w:eastAsia="zh-CN"/>
        </w:rPr>
        <w:t>由罐车拉运至赵家坝污水处理站达标后管输至普光</w:t>
      </w:r>
      <w:r w:rsidRPr="00E67914">
        <w:rPr>
          <w:rFonts w:ascii="Times New Roman" w:hAnsi="Times New Roman"/>
          <w:sz w:val="24"/>
          <w:lang w:eastAsia="zh-CN"/>
        </w:rPr>
        <w:t>11</w:t>
      </w:r>
      <w:r w:rsidRPr="00E67914">
        <w:rPr>
          <w:rFonts w:ascii="Times New Roman" w:hAnsi="Times New Roman"/>
          <w:sz w:val="24"/>
          <w:lang w:eastAsia="zh-CN"/>
        </w:rPr>
        <w:t>井回注站回注，不外排；水基钻井固废及时转运至达州地区环保手续齐全、环保设施稳定运行固废烧结厂进行烧结后综合利用。</w:t>
      </w:r>
      <w:bookmarkEnd w:id="78"/>
      <w:r w:rsidRPr="00E67914">
        <w:rPr>
          <w:rFonts w:ascii="Times New Roman" w:hAnsi="Times New Roman"/>
          <w:sz w:val="24"/>
          <w:lang w:eastAsia="zh-CN"/>
        </w:rPr>
        <w:t>油基钻井废泥浆、岩屑暂存于新建的</w:t>
      </w:r>
      <w:r w:rsidRPr="00E67914">
        <w:rPr>
          <w:rFonts w:ascii="Times New Roman" w:hAnsi="Times New Roman"/>
          <w:sz w:val="24"/>
          <w:lang w:eastAsia="zh-CN"/>
        </w:rPr>
        <w:t>20m</w:t>
      </w:r>
      <w:r w:rsidR="00DA577F" w:rsidRPr="00E67914">
        <w:rPr>
          <w:rFonts w:ascii="Times New Roman" w:hAnsi="Times New Roman"/>
          <w:sz w:val="24"/>
          <w:vertAlign w:val="superscript"/>
          <w:lang w:eastAsia="zh-CN"/>
        </w:rPr>
        <w:t>2</w:t>
      </w:r>
      <w:r w:rsidRPr="00E67914">
        <w:rPr>
          <w:rFonts w:ascii="Times New Roman" w:hAnsi="Times New Roman"/>
          <w:sz w:val="24"/>
          <w:lang w:eastAsia="zh-CN"/>
        </w:rPr>
        <w:t>危险废物</w:t>
      </w:r>
      <w:r w:rsidR="00DA577F" w:rsidRPr="00E67914">
        <w:rPr>
          <w:rFonts w:ascii="Times New Roman" w:hAnsi="Times New Roman"/>
          <w:sz w:val="24"/>
          <w:lang w:eastAsia="zh-CN"/>
        </w:rPr>
        <w:t>暂存场所（采取必要的防风、防晒、防雨、防漏、防渗、防腐以及其他环境污染防治措施，不得露天堆放危险废物）</w:t>
      </w:r>
      <w:r w:rsidRPr="00E67914">
        <w:rPr>
          <w:rFonts w:ascii="Times New Roman" w:hAnsi="Times New Roman"/>
          <w:sz w:val="24"/>
          <w:lang w:eastAsia="zh-CN"/>
        </w:rPr>
        <w:t>，</w:t>
      </w:r>
      <w:r w:rsidR="009A7D8C" w:rsidRPr="00E67914">
        <w:rPr>
          <w:rFonts w:ascii="Times New Roman" w:hAnsi="Times New Roman"/>
          <w:sz w:val="24"/>
          <w:lang w:eastAsia="zh-CN"/>
        </w:rPr>
        <w:t>泥浆和油基钻井岩屑及时交由有资质的单位处置</w:t>
      </w:r>
      <w:r w:rsidRPr="00E67914">
        <w:rPr>
          <w:rFonts w:ascii="Times New Roman" w:hAnsi="Times New Roman"/>
          <w:sz w:val="24"/>
          <w:lang w:eastAsia="zh-CN"/>
        </w:rPr>
        <w:t>。</w:t>
      </w:r>
    </w:p>
    <w:p w14:paraId="2D1ECEF9"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）泥浆不落地系统</w:t>
      </w:r>
    </w:p>
    <w:p w14:paraId="11F70385"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bookmarkStart w:id="79" w:name="_Hlk107412190"/>
      <w:r w:rsidRPr="00E67914">
        <w:rPr>
          <w:rFonts w:ascii="Times New Roman" w:hAnsi="Times New Roman"/>
          <w:sz w:val="24"/>
          <w:lang w:eastAsia="zh-CN"/>
        </w:rPr>
        <w:t>随钻不落地处置工艺流程图</w:t>
      </w:r>
      <w:bookmarkEnd w:id="79"/>
      <w:r w:rsidRPr="00E67914">
        <w:rPr>
          <w:rFonts w:ascii="Times New Roman" w:hAnsi="Times New Roman"/>
          <w:sz w:val="24"/>
          <w:lang w:eastAsia="zh-CN"/>
        </w:rPr>
        <w:t>见下：</w:t>
      </w:r>
    </w:p>
    <w:p w14:paraId="4C4ECFB8" w14:textId="5CA4EE00" w:rsidR="00A54A8A" w:rsidRPr="00E67914" w:rsidRDefault="00B871CD">
      <w:pPr>
        <w:adjustRightInd w:val="0"/>
        <w:snapToGrid w:val="0"/>
        <w:spacing w:line="360" w:lineRule="auto"/>
        <w:jc w:val="center"/>
        <w:rPr>
          <w:rFonts w:ascii="Times New Roman" w:hAnsi="Times New Roman"/>
          <w:sz w:val="24"/>
          <w:lang w:eastAsia="zh-CN"/>
        </w:rPr>
      </w:pPr>
      <w:r w:rsidRPr="00E67914">
        <w:rPr>
          <w:rFonts w:ascii="Times New Roman" w:hAnsi="Times New Roman"/>
          <w:noProof/>
        </w:rPr>
        <mc:AlternateContent>
          <mc:Choice Requires="wps">
            <w:drawing>
              <wp:anchor distT="0" distB="0" distL="114300" distR="114300" simplePos="0" relativeHeight="251770880" behindDoc="0" locked="0" layoutInCell="1" allowOverlap="1" wp14:anchorId="2A89909A" wp14:editId="1DD66B8F">
                <wp:simplePos x="0" y="0"/>
                <wp:positionH relativeFrom="column">
                  <wp:posOffset>3327400</wp:posOffset>
                </wp:positionH>
                <wp:positionV relativeFrom="paragraph">
                  <wp:posOffset>1149985</wp:posOffset>
                </wp:positionV>
                <wp:extent cx="654050" cy="577850"/>
                <wp:effectExtent l="0" t="0" r="12700" b="12700"/>
                <wp:wrapNone/>
                <wp:docPr id="1529824754" name="流程图: 过程 1"/>
                <wp:cNvGraphicFramePr/>
                <a:graphic xmlns:a="http://schemas.openxmlformats.org/drawingml/2006/main">
                  <a:graphicData uri="http://schemas.microsoft.com/office/word/2010/wordprocessingShape">
                    <wps:wsp>
                      <wps:cNvSpPr/>
                      <wps:spPr>
                        <a:xfrm>
                          <a:off x="0" y="0"/>
                          <a:ext cx="654050" cy="577850"/>
                        </a:xfrm>
                        <a:prstGeom prst="flowChartProcess">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9CA969" id="_x0000_t109" coordsize="21600,21600" o:spt="109" path="m,l,21600r21600,l21600,xe">
                <v:stroke joinstyle="miter"/>
                <v:path gradientshapeok="t" o:connecttype="rect"/>
              </v:shapetype>
              <v:shape id="流程图: 过程 1" o:spid="_x0000_s1026" type="#_x0000_t109" style="position:absolute;left:0;text-align:left;margin-left:262pt;margin-top:90.55pt;width:51.5pt;height:45.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" fillcolor="white [3212]" strokecolor="white [3212]" strokeweight="1pt"/>
            </w:pict>
          </mc:Fallback>
        </mc:AlternateContent>
      </w:r>
      <w:r w:rsidRPr="00E67914">
        <w:rPr>
          <w:rFonts w:ascii="Times New Roman" w:hAnsi="Times New Roman"/>
          <w:noProof/>
        </w:rPr>
        <mc:AlternateContent>
          <mc:Choice Requires="wps">
            <w:drawing>
              <wp:anchor distT="0" distB="0" distL="114300" distR="114300" simplePos="0" relativeHeight="251772928" behindDoc="0" locked="0" layoutInCell="1" allowOverlap="1" wp14:anchorId="2666669D" wp14:editId="3E4B5828">
                <wp:simplePos x="0" y="0"/>
                <wp:positionH relativeFrom="column">
                  <wp:posOffset>3632200</wp:posOffset>
                </wp:positionH>
                <wp:positionV relativeFrom="paragraph">
                  <wp:posOffset>1016000</wp:posOffset>
                </wp:positionV>
                <wp:extent cx="0" cy="1397000"/>
                <wp:effectExtent l="76200" t="0" r="57150" b="50800"/>
                <wp:wrapNone/>
                <wp:docPr id="1430515787" name="直接箭头连接符 3"/>
                <wp:cNvGraphicFramePr/>
                <a:graphic xmlns:a="http://schemas.openxmlformats.org/drawingml/2006/main">
                  <a:graphicData uri="http://schemas.microsoft.com/office/word/2010/wordprocessingShape">
                    <wps:wsp>
                      <wps:cNvCnPr/>
                      <wps:spPr>
                        <a:xfrm>
                          <a:off x="0" y="0"/>
                          <a:ext cx="0" cy="139700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B91330" id="直接箭头连接符 3" o:spid="_x0000_s1026" type="#_x0000_t32" style="position:absolute;left:0;text-align:left;margin-left:286pt;margin-top:80pt;width:0;height:110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" strokecolor="black [3213]" strokeweight="1pt">
                <v:stroke endarrow="block" joinstyle="miter"/>
              </v:shape>
            </w:pict>
          </mc:Fallback>
        </mc:AlternateContent>
      </w:r>
      <w:r w:rsidRPr="00E67914">
        <w:rPr>
          <w:rFonts w:ascii="Times New Roman" w:hAnsi="Times New Roman"/>
          <w:noProof/>
        </w:rPr>
        <w:drawing>
          <wp:inline distT="0" distB="0" distL="0" distR="0" wp14:anchorId="3FFD67CF" wp14:editId="59BB21AA">
            <wp:extent cx="5276850" cy="3157855"/>
            <wp:effectExtent l="0" t="0" r="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1"/>
                    <a:stretch>
                      <a:fillRect/>
                    </a:stretch>
                  </pic:blipFill>
                  <pic:spPr>
                    <a:xfrm>
                      <a:off x="0" y="0"/>
                      <a:ext cx="5276850" cy="3157855"/>
                    </a:xfrm>
                    <a:prstGeom prst="rect">
                      <a:avLst/>
                    </a:prstGeom>
                  </pic:spPr>
                </pic:pic>
              </a:graphicData>
            </a:graphic>
          </wp:inline>
        </w:drawing>
      </w:r>
    </w:p>
    <w:p w14:paraId="0683ADD9"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3.3-10  </w:t>
      </w:r>
      <w:r w:rsidRPr="00E67914">
        <w:rPr>
          <w:rFonts w:ascii="Times New Roman" w:eastAsia="黑体" w:hAnsi="Times New Roman"/>
          <w:sz w:val="21"/>
          <w:szCs w:val="21"/>
          <w:lang w:eastAsia="zh-CN"/>
        </w:rPr>
        <w:t>随钻不落地处置工艺流程图</w:t>
      </w:r>
    </w:p>
    <w:p w14:paraId="04B115CF" w14:textId="45E900F3"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随钻不落地处理工艺含泥浆不落地装置一套，占地面积</w:t>
      </w:r>
      <w:r w:rsidRPr="00E67914">
        <w:rPr>
          <w:rFonts w:ascii="Times New Roman" w:hAnsi="Times New Roman"/>
          <w:sz w:val="24"/>
          <w:lang w:eastAsia="zh-CN"/>
        </w:rPr>
        <w:t>310m</w:t>
      </w:r>
      <w:r w:rsidR="00B871CD" w:rsidRPr="00E67914">
        <w:rPr>
          <w:rFonts w:ascii="Times New Roman" w:hAnsi="Times New Roman"/>
          <w:sz w:val="24"/>
          <w:vertAlign w:val="superscript"/>
          <w:lang w:eastAsia="zh-CN"/>
        </w:rPr>
        <w:t>2</w:t>
      </w:r>
      <w:r w:rsidRPr="00E67914">
        <w:rPr>
          <w:rFonts w:ascii="Times New Roman" w:hAnsi="Times New Roman"/>
          <w:sz w:val="24"/>
          <w:lang w:eastAsia="zh-CN"/>
        </w:rPr>
        <w:t>。主要包含</w:t>
      </w:r>
      <w:r w:rsidRPr="00E67914">
        <w:rPr>
          <w:rFonts w:ascii="Times New Roman" w:hAnsi="Times New Roman"/>
          <w:sz w:val="24"/>
          <w:lang w:eastAsia="zh-CN"/>
        </w:rPr>
        <w:t>40m</w:t>
      </w:r>
      <w:r w:rsidRPr="00E67914">
        <w:rPr>
          <w:rFonts w:ascii="Times New Roman" w:hAnsi="Times New Roman"/>
          <w:sz w:val="24"/>
          <w:vertAlign w:val="superscript"/>
          <w:lang w:eastAsia="zh-CN"/>
        </w:rPr>
        <w:t>3</w:t>
      </w:r>
      <w:r w:rsidRPr="00E67914">
        <w:rPr>
          <w:rFonts w:ascii="Times New Roman" w:hAnsi="Times New Roman"/>
          <w:sz w:val="24"/>
          <w:lang w:eastAsia="zh-CN"/>
        </w:rPr>
        <w:t>废水罐</w:t>
      </w:r>
      <w:r w:rsidRPr="00E67914">
        <w:rPr>
          <w:rFonts w:ascii="Times New Roman" w:hAnsi="Times New Roman"/>
          <w:sz w:val="24"/>
          <w:lang w:eastAsia="zh-CN"/>
        </w:rPr>
        <w:t>4</w:t>
      </w:r>
      <w:r w:rsidRPr="00E67914">
        <w:rPr>
          <w:rFonts w:ascii="Times New Roman" w:hAnsi="Times New Roman"/>
          <w:sz w:val="24"/>
          <w:lang w:eastAsia="zh-CN"/>
        </w:rPr>
        <w:t>个；</w:t>
      </w:r>
      <w:r w:rsidRPr="00E67914">
        <w:rPr>
          <w:rFonts w:ascii="Times New Roman" w:hAnsi="Times New Roman"/>
          <w:sz w:val="24"/>
          <w:lang w:eastAsia="zh-CN"/>
        </w:rPr>
        <w:t>20m</w:t>
      </w:r>
      <w:r w:rsidRPr="00E67914">
        <w:rPr>
          <w:rFonts w:ascii="Times New Roman" w:hAnsi="Times New Roman"/>
          <w:sz w:val="24"/>
          <w:vertAlign w:val="superscript"/>
          <w:lang w:eastAsia="zh-CN"/>
        </w:rPr>
        <w:t>3</w:t>
      </w:r>
      <w:r w:rsidRPr="00E67914">
        <w:rPr>
          <w:rFonts w:ascii="Times New Roman" w:hAnsi="Times New Roman"/>
          <w:sz w:val="24"/>
          <w:lang w:eastAsia="zh-CN"/>
        </w:rPr>
        <w:t>岩屑固化罐</w:t>
      </w:r>
      <w:r w:rsidRPr="00E67914">
        <w:rPr>
          <w:rFonts w:ascii="Times New Roman" w:hAnsi="Times New Roman"/>
          <w:sz w:val="24"/>
          <w:lang w:eastAsia="zh-CN"/>
        </w:rPr>
        <w:t>4</w:t>
      </w:r>
      <w:r w:rsidRPr="00E67914">
        <w:rPr>
          <w:rFonts w:ascii="Times New Roman" w:hAnsi="Times New Roman"/>
          <w:sz w:val="24"/>
          <w:lang w:eastAsia="zh-CN"/>
        </w:rPr>
        <w:t>个；</w:t>
      </w:r>
      <w:r w:rsidRPr="00E67914">
        <w:rPr>
          <w:rFonts w:ascii="Times New Roman" w:hAnsi="Times New Roman"/>
          <w:sz w:val="24"/>
          <w:lang w:eastAsia="zh-CN"/>
        </w:rPr>
        <w:t>3m</w:t>
      </w:r>
      <w:r w:rsidRPr="00E67914">
        <w:rPr>
          <w:rFonts w:ascii="Times New Roman" w:hAnsi="Times New Roman"/>
          <w:sz w:val="24"/>
          <w:vertAlign w:val="superscript"/>
          <w:lang w:eastAsia="zh-CN"/>
        </w:rPr>
        <w:t>3</w:t>
      </w:r>
      <w:r w:rsidRPr="00E67914">
        <w:rPr>
          <w:rFonts w:ascii="Times New Roman" w:hAnsi="Times New Roman"/>
          <w:sz w:val="24"/>
          <w:lang w:eastAsia="zh-CN"/>
        </w:rPr>
        <w:t>岩屑收集罐</w:t>
      </w:r>
      <w:r w:rsidRPr="00E67914">
        <w:rPr>
          <w:rFonts w:ascii="Times New Roman" w:hAnsi="Times New Roman"/>
          <w:sz w:val="24"/>
          <w:lang w:eastAsia="zh-CN"/>
        </w:rPr>
        <w:t>8</w:t>
      </w:r>
      <w:r w:rsidRPr="00E67914">
        <w:rPr>
          <w:rFonts w:ascii="Times New Roman" w:hAnsi="Times New Roman"/>
          <w:sz w:val="24"/>
          <w:lang w:eastAsia="zh-CN"/>
        </w:rPr>
        <w:t>个；化学品存放区。</w:t>
      </w:r>
    </w:p>
    <w:p w14:paraId="189E4D9D"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随钻不落地处理工艺流程为：钻井循环系统振动筛、除砂除泥器产生的钻井废弃物通过滑槽及螺旋输送机收集暂存于隔油罐，随后泵入沉淀罐处理。泥</w:t>
      </w:r>
      <w:r w:rsidRPr="00E67914">
        <w:rPr>
          <w:rFonts w:ascii="Times New Roman" w:hAnsi="Times New Roman"/>
          <w:sz w:val="24"/>
          <w:lang w:eastAsia="zh-CN"/>
        </w:rPr>
        <w:lastRenderedPageBreak/>
        <w:t>饼卸料后由皮带输送机或螺旋输送机输送到设备岩屑固化罐，处置后泥饼含水率一般保持在</w:t>
      </w:r>
      <w:r w:rsidRPr="00E67914">
        <w:rPr>
          <w:rFonts w:ascii="Times New Roman" w:hAnsi="Times New Roman"/>
          <w:sz w:val="24"/>
          <w:lang w:eastAsia="zh-CN"/>
        </w:rPr>
        <w:t>40%~50%</w:t>
      </w:r>
      <w:r w:rsidRPr="00E67914">
        <w:rPr>
          <w:rFonts w:ascii="Times New Roman" w:hAnsi="Times New Roman"/>
          <w:sz w:val="24"/>
          <w:lang w:eastAsia="zh-CN"/>
        </w:rPr>
        <w:t>的范围内。</w:t>
      </w:r>
    </w:p>
    <w:p w14:paraId="0C144858"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）测井、取心、录井</w:t>
      </w:r>
    </w:p>
    <w:p w14:paraId="01281650"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测井是把利用电、磁、声、热、核等物理原理制造的各种测井仪器，由测井电缆下入井内，使地面电测仪可沿着井筒连续记录随深度变化的各种参数。通过表示这类参数的曲线，来识别地下的岩层，如油、气、水层、煤层、金属矿床等。</w:t>
      </w:r>
    </w:p>
    <w:p w14:paraId="79ECB355"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取心是在钻井过程中使用特殊的取心工具把地下岩石成块地取到地面上来，这种成块的岩石叫做岩心，通过它可以测定岩石的各种性质，直观地研究地下构造和岩石沉积环境，了解其中的流体性质等。</w:t>
      </w:r>
    </w:p>
    <w:p w14:paraId="08A8AD88"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录井是根据</w:t>
      </w:r>
      <w:hyperlink r:id="rId42" w:tgtFrame="_blank" w:history="1">
        <w:r w:rsidRPr="00E67914">
          <w:rPr>
            <w:rFonts w:ascii="Times New Roman" w:hAnsi="Times New Roman"/>
            <w:sz w:val="24"/>
            <w:lang w:eastAsia="zh-CN"/>
          </w:rPr>
          <w:t>测井</w:t>
        </w:r>
      </w:hyperlink>
      <w:r w:rsidRPr="00E67914">
        <w:rPr>
          <w:rFonts w:ascii="Times New Roman" w:hAnsi="Times New Roman"/>
          <w:sz w:val="24"/>
          <w:lang w:eastAsia="zh-CN"/>
        </w:rPr>
        <w:t>数据、现场录井数据及综合分析化验数据进行岩性解释、归位，确定含油、气、水产状。</w:t>
      </w:r>
    </w:p>
    <w:p w14:paraId="4A15FDC4"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测井、取心、录井主要就是取样分析地质等情况，该过程基本不涉及污染物。</w:t>
      </w:r>
    </w:p>
    <w:p w14:paraId="48B52D5B"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5</w:t>
      </w:r>
      <w:r w:rsidRPr="00E67914">
        <w:rPr>
          <w:rFonts w:ascii="Times New Roman" w:hAnsi="Times New Roman"/>
          <w:sz w:val="24"/>
          <w:lang w:eastAsia="zh-CN"/>
        </w:rPr>
        <w:t>）固井作业</w:t>
      </w:r>
    </w:p>
    <w:p w14:paraId="6999DE23"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固井是钻井达到预定深度后，下入套管并注入水泥浆，封固套管和井壁之间的环形空间的作业。固井的主要目的是封隔疏松的易塌、易漏地层；封隔油、气、水层，防止互相窜漏。固井作业的主要设备有水泥车、下灰罐车、混合漏斗和其他附属设备等。</w:t>
      </w:r>
    </w:p>
    <w:p w14:paraId="4EEBDC00"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固井是钻井过程中的重要作业，最上面的固井是</w:t>
      </w:r>
      <w:hyperlink r:id="rId43" w:tgtFrame="_blank" w:history="1">
        <w:r w:rsidRPr="00E67914">
          <w:rPr>
            <w:rFonts w:ascii="Times New Roman" w:hAnsi="Times New Roman"/>
            <w:sz w:val="24"/>
            <w:lang w:eastAsia="zh-CN"/>
          </w:rPr>
          <w:t>表层套管</w:t>
        </w:r>
      </w:hyperlink>
      <w:r w:rsidRPr="00E67914">
        <w:rPr>
          <w:rFonts w:ascii="Times New Roman" w:hAnsi="Times New Roman"/>
          <w:sz w:val="24"/>
          <w:lang w:eastAsia="zh-CN"/>
        </w:rPr>
        <w:t>固井，它起的是</w:t>
      </w:r>
      <w:r w:rsidRPr="00E67914">
        <w:rPr>
          <w:rFonts w:ascii="Times New Roman" w:hAnsi="Times New Roman"/>
          <w:sz w:val="24"/>
          <w:lang w:eastAsia="zh-CN"/>
        </w:rPr>
        <w:t>“</w:t>
      </w:r>
      <w:r w:rsidRPr="00E67914">
        <w:rPr>
          <w:rFonts w:ascii="Times New Roman" w:hAnsi="Times New Roman"/>
          <w:sz w:val="24"/>
          <w:lang w:eastAsia="zh-CN"/>
        </w:rPr>
        <w:t>泥浆通路，油气门户</w:t>
      </w:r>
      <w:r w:rsidRPr="00E67914">
        <w:rPr>
          <w:rFonts w:ascii="Times New Roman" w:hAnsi="Times New Roman"/>
          <w:sz w:val="24"/>
          <w:lang w:eastAsia="zh-CN"/>
        </w:rPr>
        <w:t>”</w:t>
      </w:r>
      <w:r w:rsidRPr="00E67914">
        <w:rPr>
          <w:rFonts w:ascii="Times New Roman" w:hAnsi="Times New Roman"/>
          <w:sz w:val="24"/>
          <w:lang w:eastAsia="zh-CN"/>
        </w:rPr>
        <w:t>的作用。在下一次开钻之前，表层套管上要装防喷器预防井喷。防喷器之上要装泥浆导管，是</w:t>
      </w:r>
      <w:hyperlink r:id="rId44" w:tgtFrame="_blank" w:history="1">
        <w:r w:rsidRPr="00E67914">
          <w:rPr>
            <w:rFonts w:ascii="Times New Roman" w:hAnsi="Times New Roman"/>
            <w:sz w:val="24"/>
            <w:lang w:eastAsia="zh-CN"/>
          </w:rPr>
          <w:t>钻井液</w:t>
        </w:r>
      </w:hyperlink>
      <w:r w:rsidRPr="00E67914">
        <w:rPr>
          <w:rFonts w:ascii="Times New Roman" w:hAnsi="Times New Roman"/>
          <w:sz w:val="24"/>
          <w:lang w:eastAsia="zh-CN"/>
        </w:rPr>
        <w:t>返回泥浆池的通路。钻井过程中往往要下技术套管固井，它起的是</w:t>
      </w:r>
      <w:r w:rsidRPr="00E67914">
        <w:rPr>
          <w:rFonts w:ascii="Times New Roman" w:hAnsi="Times New Roman"/>
          <w:sz w:val="24"/>
          <w:lang w:eastAsia="zh-CN"/>
        </w:rPr>
        <w:t>“</w:t>
      </w:r>
      <w:r w:rsidRPr="00E67914">
        <w:rPr>
          <w:rFonts w:ascii="Times New Roman" w:hAnsi="Times New Roman"/>
          <w:sz w:val="24"/>
          <w:lang w:eastAsia="zh-CN"/>
        </w:rPr>
        <w:t>巩固后方，安全探路</w:t>
      </w:r>
      <w:r w:rsidRPr="00E67914">
        <w:rPr>
          <w:rFonts w:ascii="Times New Roman" w:hAnsi="Times New Roman"/>
          <w:sz w:val="24"/>
          <w:lang w:eastAsia="zh-CN"/>
        </w:rPr>
        <w:t>”</w:t>
      </w:r>
      <w:r w:rsidRPr="00E67914">
        <w:rPr>
          <w:rFonts w:ascii="Times New Roman" w:hAnsi="Times New Roman"/>
          <w:sz w:val="24"/>
          <w:lang w:eastAsia="zh-CN"/>
        </w:rPr>
        <w:t>的作用。和公路的隧道、煤矿中的巷道一样，钻井过程中也会遇到井塌、高压和不稳定的地层，同时也是为了在向前</w:t>
      </w:r>
      <w:r w:rsidRPr="00E67914">
        <w:rPr>
          <w:rFonts w:ascii="Times New Roman" w:hAnsi="Times New Roman"/>
          <w:sz w:val="24"/>
          <w:lang w:eastAsia="zh-CN"/>
        </w:rPr>
        <w:t>“</w:t>
      </w:r>
      <w:r w:rsidRPr="00E67914">
        <w:rPr>
          <w:rFonts w:ascii="Times New Roman" w:hAnsi="Times New Roman"/>
          <w:sz w:val="24"/>
          <w:lang w:eastAsia="zh-CN"/>
        </w:rPr>
        <w:t>探路</w:t>
      </w:r>
      <w:r w:rsidRPr="00E67914">
        <w:rPr>
          <w:rFonts w:ascii="Times New Roman" w:hAnsi="Times New Roman"/>
          <w:sz w:val="24"/>
          <w:lang w:eastAsia="zh-CN"/>
        </w:rPr>
        <w:t>”</w:t>
      </w:r>
      <w:r w:rsidRPr="00E67914">
        <w:rPr>
          <w:rFonts w:ascii="Times New Roman" w:hAnsi="Times New Roman"/>
          <w:sz w:val="24"/>
          <w:lang w:eastAsia="zh-CN"/>
        </w:rPr>
        <w:t>中遇险有个退路，起到</w:t>
      </w:r>
      <w:r w:rsidRPr="00E67914">
        <w:rPr>
          <w:rFonts w:ascii="Times New Roman" w:hAnsi="Times New Roman"/>
          <w:sz w:val="24"/>
          <w:lang w:eastAsia="zh-CN"/>
        </w:rPr>
        <w:t>“</w:t>
      </w:r>
      <w:r w:rsidRPr="00E67914">
        <w:rPr>
          <w:rFonts w:ascii="Times New Roman" w:hAnsi="Times New Roman"/>
          <w:sz w:val="24"/>
          <w:lang w:eastAsia="zh-CN"/>
        </w:rPr>
        <w:t>救助</w:t>
      </w:r>
      <w:r w:rsidRPr="00E67914">
        <w:rPr>
          <w:rFonts w:ascii="Times New Roman" w:hAnsi="Times New Roman"/>
          <w:sz w:val="24"/>
          <w:lang w:eastAsia="zh-CN"/>
        </w:rPr>
        <w:t>”</w:t>
      </w:r>
      <w:r w:rsidRPr="00E67914">
        <w:rPr>
          <w:rFonts w:ascii="Times New Roman" w:hAnsi="Times New Roman"/>
          <w:sz w:val="24"/>
          <w:lang w:eastAsia="zh-CN"/>
        </w:rPr>
        <w:t>的作用。</w:t>
      </w:r>
    </w:p>
    <w:p w14:paraId="4963CC6F"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固井主要是注入水泥，基本无污染物产生，固井过程分为三步如下：</w:t>
      </w:r>
    </w:p>
    <w:p w14:paraId="14A68F66"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下套管：套管有不同的尺寸和钢级。根据用途、地层预测压力和套管下入深度设计套管的强度，确定套管的使用壁厚，钢级和丝扣类型。套管与钻杆不同，是一次性下入的管材，没有加厚部分，长度没有严格规定。为保证固井质量和顺利地下入套管，要做套管柱的结构设计。</w:t>
      </w:r>
      <w:bookmarkStart w:id="80" w:name="4_2"/>
      <w:bookmarkEnd w:id="80"/>
    </w:p>
    <w:p w14:paraId="54D8040F"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lastRenderedPageBreak/>
        <w:t>注水泥：是套管下入井后的关键工序，其作用是将套管和井壁的环形空间封固起来，以封隔油气水层，使套管成为油气通向井中的通道。</w:t>
      </w:r>
      <w:bookmarkStart w:id="81" w:name="4_3"/>
      <w:bookmarkStart w:id="82" w:name="4_5"/>
      <w:bookmarkEnd w:id="81"/>
      <w:bookmarkEnd w:id="82"/>
    </w:p>
    <w:p w14:paraId="7E20A2A4"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井口安装和套管试压，下套管注水泥之后，在水泥凝固期间就要安装井口。表层套管的顶端要安套管头的壳体。各层套管的顶端都挂在套管头内，套管头主要用来支撑技术套管和油层套管的重量，这对</w:t>
      </w:r>
      <w:hyperlink r:id="rId45" w:tgtFrame="_blank" w:history="1">
        <w:r w:rsidRPr="00E67914">
          <w:rPr>
            <w:rFonts w:ascii="Times New Roman" w:hAnsi="Times New Roman"/>
            <w:sz w:val="24"/>
            <w:lang w:eastAsia="zh-CN"/>
          </w:rPr>
          <w:t>固井水泥</w:t>
        </w:r>
      </w:hyperlink>
      <w:r w:rsidRPr="00E67914">
        <w:rPr>
          <w:rFonts w:ascii="Times New Roman" w:hAnsi="Times New Roman"/>
          <w:sz w:val="24"/>
          <w:lang w:eastAsia="zh-CN"/>
        </w:rPr>
        <w:t>未返至地面尤为重要。套管头还用来密封套管间的环形空间，防止压力互窜。套管头还是防喷器、油管头的过渡连接。陆地上使用的套管头上还有两个侧口，可以进行补挤水泥、监控井况、注平衡液等作业。</w:t>
      </w:r>
    </w:p>
    <w:p w14:paraId="450C5CB2"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套管试压是检查固井质量的重要组成部分。安装好套管头和接好防喷器及防喷管线后，要做套管头密封的耐压力检查，和与防喷器联接的密封试压。探套管内水泥塞后要做套管柱的压力检验，钻穿套管鞋</w:t>
      </w:r>
      <w:r w:rsidRPr="00E67914">
        <w:rPr>
          <w:rFonts w:ascii="Times New Roman" w:hAnsi="Times New Roman"/>
          <w:sz w:val="24"/>
          <w:lang w:eastAsia="zh-CN"/>
        </w:rPr>
        <w:t>5</w:t>
      </w:r>
      <w:r w:rsidRPr="00E67914">
        <w:rPr>
          <w:rFonts w:ascii="Times New Roman" w:hAnsi="Times New Roman"/>
          <w:sz w:val="24"/>
          <w:lang w:eastAsia="zh-CN"/>
        </w:rPr>
        <w:t>～</w:t>
      </w:r>
      <w:r w:rsidRPr="00E67914">
        <w:rPr>
          <w:rFonts w:ascii="Times New Roman" w:hAnsi="Times New Roman"/>
          <w:sz w:val="24"/>
          <w:lang w:eastAsia="zh-CN"/>
        </w:rPr>
        <w:t>10m</w:t>
      </w:r>
      <w:r w:rsidRPr="00E67914">
        <w:rPr>
          <w:rFonts w:ascii="Times New Roman" w:hAnsi="Times New Roman"/>
          <w:sz w:val="24"/>
          <w:lang w:eastAsia="zh-CN"/>
        </w:rPr>
        <w:t>后（表层套管）要做地层压裂试验。固井后要用声波检测固井质量。固井质量的全部指标合格后，才能进入到下一个作业程序。</w:t>
      </w:r>
    </w:p>
    <w:p w14:paraId="064D00E5"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6</w:t>
      </w:r>
      <w:r w:rsidRPr="00E67914">
        <w:rPr>
          <w:rFonts w:ascii="Times New Roman" w:hAnsi="Times New Roman"/>
          <w:sz w:val="24"/>
          <w:lang w:eastAsia="zh-CN"/>
        </w:rPr>
        <w:t>）压裂测试作业</w:t>
      </w:r>
    </w:p>
    <w:p w14:paraId="5327F7B4"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完钻后完井测试，按照本项目钻井设计，钻井中途不测试，仅在钻至目的层时测试放喷求产。完井作业包括洗井、射孔、酸化压裂、测试放喷等过程。其中水力压裂和测试放喷是最主要工序，也是主要产生污染物排放的工艺环节。</w:t>
      </w:r>
    </w:p>
    <w:p w14:paraId="3F569C2B"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洗井作业</w:t>
      </w:r>
    </w:p>
    <w:p w14:paraId="78B1E70C"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当钻至目的层后，首先是进行洗井作业，采用碱水或清水进行洗井作业，洗井作业首先在井筒内下入洗井管柱，洗井液由井筒注入清洗井壁，清洗后通过位于井底的返液口经洗井管柱返回地面。该环节的主要污染物为返回地面的洗井废水。</w:t>
      </w:r>
    </w:p>
    <w:p w14:paraId="5BF9B7DC"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射孔作业</w:t>
      </w:r>
    </w:p>
    <w:p w14:paraId="160F608B" w14:textId="3FABA9B4"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洗净作业完成后，将进行射孔作业，射孔完井是指下入油层套管封固产层后再用射孔弹将套管、水泥环、部分产层射穿，形成油气流通通道。射穿产层后油气井的生产能力受产层压力、产层性质和射孔参数及质量影响。首段设计采用连续油管射孔，后续采用泵送桥塞</w:t>
      </w:r>
      <w:r w:rsidRPr="00E67914">
        <w:rPr>
          <w:rFonts w:ascii="Times New Roman" w:hAnsi="Times New Roman"/>
          <w:sz w:val="24"/>
          <w:lang w:eastAsia="zh-CN"/>
        </w:rPr>
        <w:t>+</w:t>
      </w:r>
      <w:r w:rsidRPr="00E67914">
        <w:rPr>
          <w:rFonts w:ascii="Times New Roman" w:hAnsi="Times New Roman"/>
          <w:sz w:val="24"/>
          <w:lang w:eastAsia="zh-CN"/>
        </w:rPr>
        <w:t>电缆射孔联作工艺。</w:t>
      </w:r>
    </w:p>
    <w:p w14:paraId="66F7845E"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③</w:t>
      </w:r>
      <w:r w:rsidRPr="00E67914">
        <w:rPr>
          <w:rFonts w:ascii="Times New Roman" w:hAnsi="Times New Roman"/>
          <w:sz w:val="24"/>
          <w:lang w:eastAsia="zh-CN"/>
        </w:rPr>
        <w:t>下完井管柱</w:t>
      </w:r>
    </w:p>
    <w:p w14:paraId="409DFC1D"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连油扫塞后，采用不压井作业模式，带压下入生产管柱。</w:t>
      </w:r>
    </w:p>
    <w:p w14:paraId="07DDC8F1"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lastRenderedPageBreak/>
        <w:t>④</w:t>
      </w:r>
      <w:r w:rsidRPr="00E67914">
        <w:rPr>
          <w:rFonts w:ascii="Times New Roman" w:hAnsi="Times New Roman"/>
          <w:sz w:val="24"/>
          <w:lang w:eastAsia="zh-CN"/>
        </w:rPr>
        <w:t>压裂作业</w:t>
      </w:r>
    </w:p>
    <w:p w14:paraId="6272884F" w14:textId="3240E30C"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压裂是指在井筒中形成高压迫使地层形成裂缝的施工过程。采用</w:t>
      </w:r>
      <w:r w:rsidRPr="00E67914">
        <w:rPr>
          <w:rFonts w:ascii="Times New Roman" w:hAnsi="Times New Roman"/>
          <w:sz w:val="24"/>
          <w:lang w:eastAsia="zh-CN"/>
        </w:rPr>
        <w:t>“</w:t>
      </w:r>
      <w:r w:rsidR="00420EC8" w:rsidRPr="00E67914">
        <w:rPr>
          <w:rFonts w:ascii="Times New Roman" w:hAnsi="Times New Roman"/>
          <w:sz w:val="24"/>
          <w:lang w:eastAsia="zh-CN"/>
        </w:rPr>
        <w:t>密切割</w:t>
      </w:r>
      <w:r w:rsidR="00420EC8" w:rsidRPr="00E67914">
        <w:rPr>
          <w:rFonts w:ascii="Times New Roman" w:hAnsi="Times New Roman"/>
          <w:sz w:val="24"/>
          <w:lang w:eastAsia="zh-CN"/>
        </w:rPr>
        <w:t>+</w:t>
      </w:r>
      <w:r w:rsidR="00420EC8" w:rsidRPr="00E67914">
        <w:rPr>
          <w:rFonts w:ascii="Times New Roman" w:hAnsi="Times New Roman"/>
          <w:sz w:val="24"/>
          <w:lang w:eastAsia="zh-CN"/>
        </w:rPr>
        <w:t>双暂堵</w:t>
      </w:r>
      <w:r w:rsidR="00420EC8" w:rsidRPr="00E67914">
        <w:rPr>
          <w:rFonts w:ascii="Times New Roman" w:hAnsi="Times New Roman"/>
          <w:sz w:val="24"/>
          <w:lang w:eastAsia="zh-CN"/>
        </w:rPr>
        <w:t>+</w:t>
      </w:r>
      <w:r w:rsidR="00420EC8" w:rsidRPr="00E67914">
        <w:rPr>
          <w:rFonts w:ascii="Times New Roman" w:hAnsi="Times New Roman"/>
          <w:sz w:val="24"/>
          <w:lang w:eastAsia="zh-CN"/>
        </w:rPr>
        <w:t>多尺度裂缝强加砂</w:t>
      </w:r>
      <w:r w:rsidR="00420EC8" w:rsidRPr="00E67914">
        <w:rPr>
          <w:rFonts w:ascii="Times New Roman" w:hAnsi="Times New Roman"/>
          <w:sz w:val="24"/>
          <w:lang w:eastAsia="zh-CN"/>
        </w:rPr>
        <w:t>+</w:t>
      </w:r>
      <w:r w:rsidR="00420EC8" w:rsidRPr="00E67914">
        <w:rPr>
          <w:rFonts w:ascii="Times New Roman" w:hAnsi="Times New Roman"/>
          <w:sz w:val="24"/>
          <w:lang w:eastAsia="zh-CN"/>
        </w:rPr>
        <w:t>穿层扩体</w:t>
      </w:r>
      <w:r w:rsidRPr="00E67914">
        <w:rPr>
          <w:rFonts w:ascii="Times New Roman" w:hAnsi="Times New Roman"/>
          <w:sz w:val="24"/>
          <w:lang w:eastAsia="zh-CN"/>
        </w:rPr>
        <w:t>”</w:t>
      </w:r>
      <w:r w:rsidRPr="00E67914">
        <w:rPr>
          <w:rFonts w:ascii="Times New Roman" w:hAnsi="Times New Roman"/>
          <w:sz w:val="24"/>
          <w:lang w:eastAsia="zh-CN"/>
        </w:rPr>
        <w:t>压裂工艺模式，压裂全过程开展地面微地震监测工作。</w:t>
      </w:r>
    </w:p>
    <w:p w14:paraId="5EE438D5"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压裂作业在白天进行，压裂液泵入时间约</w:t>
      </w:r>
      <w:r w:rsidRPr="00E67914">
        <w:rPr>
          <w:rFonts w:ascii="Times New Roman" w:hAnsi="Times New Roman"/>
          <w:sz w:val="24"/>
          <w:lang w:eastAsia="zh-CN"/>
        </w:rPr>
        <w:t>2~3</w:t>
      </w:r>
      <w:r w:rsidRPr="00E67914">
        <w:rPr>
          <w:rFonts w:ascii="Times New Roman" w:hAnsi="Times New Roman"/>
          <w:sz w:val="24"/>
          <w:lang w:eastAsia="zh-CN"/>
        </w:rPr>
        <w:t>小时，参与作业的压裂车</w:t>
      </w:r>
      <w:r w:rsidRPr="00E67914">
        <w:rPr>
          <w:rFonts w:ascii="Times New Roman" w:hAnsi="Times New Roman"/>
          <w:sz w:val="24"/>
          <w:lang w:eastAsia="zh-CN"/>
        </w:rPr>
        <w:t>6</w:t>
      </w:r>
      <w:r w:rsidRPr="00E67914">
        <w:rPr>
          <w:rFonts w:ascii="Times New Roman" w:hAnsi="Times New Roman"/>
          <w:sz w:val="24"/>
          <w:lang w:eastAsia="zh-CN"/>
        </w:rPr>
        <w:t>台</w:t>
      </w:r>
      <w:r w:rsidRPr="00E67914">
        <w:rPr>
          <w:rFonts w:ascii="Times New Roman" w:hAnsi="Times New Roman"/>
          <w:sz w:val="24"/>
          <w:lang w:eastAsia="zh-CN"/>
        </w:rPr>
        <w:t>(3</w:t>
      </w:r>
      <w:r w:rsidRPr="00E67914">
        <w:rPr>
          <w:rFonts w:ascii="Times New Roman" w:hAnsi="Times New Roman"/>
          <w:sz w:val="24"/>
          <w:lang w:eastAsia="zh-CN"/>
        </w:rPr>
        <w:t>用</w:t>
      </w:r>
      <w:r w:rsidRPr="00E67914">
        <w:rPr>
          <w:rFonts w:ascii="Times New Roman" w:hAnsi="Times New Roman"/>
          <w:sz w:val="24"/>
          <w:lang w:eastAsia="zh-CN"/>
        </w:rPr>
        <w:t>3</w:t>
      </w:r>
      <w:r w:rsidRPr="00E67914">
        <w:rPr>
          <w:rFonts w:ascii="Times New Roman" w:hAnsi="Times New Roman"/>
          <w:sz w:val="24"/>
          <w:lang w:eastAsia="zh-CN"/>
        </w:rPr>
        <w:t>备</w:t>
      </w:r>
      <w:r w:rsidRPr="00E67914">
        <w:rPr>
          <w:rFonts w:ascii="Times New Roman" w:hAnsi="Times New Roman"/>
          <w:sz w:val="24"/>
          <w:lang w:eastAsia="zh-CN"/>
        </w:rPr>
        <w:t>)</w:t>
      </w:r>
      <w:r w:rsidRPr="00E67914">
        <w:rPr>
          <w:rFonts w:ascii="Times New Roman" w:hAnsi="Times New Roman"/>
          <w:sz w:val="24"/>
          <w:lang w:eastAsia="zh-CN"/>
        </w:rPr>
        <w:t>，压裂液的主要原料是清水及一些外加剂如硼砂等。受压力作用，压裂过程会产生压裂返排液，返排周期为</w:t>
      </w:r>
      <w:r w:rsidRPr="00E67914">
        <w:rPr>
          <w:rFonts w:ascii="Times New Roman" w:hAnsi="Times New Roman"/>
          <w:sz w:val="24"/>
          <w:lang w:eastAsia="zh-CN"/>
        </w:rPr>
        <w:t>3</w:t>
      </w:r>
      <w:r w:rsidRPr="00E67914">
        <w:rPr>
          <w:rFonts w:ascii="Times New Roman" w:hAnsi="Times New Roman"/>
          <w:sz w:val="24"/>
          <w:lang w:eastAsia="zh-CN"/>
        </w:rPr>
        <w:t>天～</w:t>
      </w:r>
      <w:r w:rsidRPr="00E67914">
        <w:rPr>
          <w:rFonts w:ascii="Times New Roman" w:hAnsi="Times New Roman"/>
          <w:sz w:val="24"/>
          <w:lang w:eastAsia="zh-CN"/>
        </w:rPr>
        <w:t>5</w:t>
      </w:r>
      <w:r w:rsidRPr="00E67914">
        <w:rPr>
          <w:rFonts w:ascii="Times New Roman" w:hAnsi="Times New Roman"/>
          <w:sz w:val="24"/>
          <w:lang w:eastAsia="zh-CN"/>
        </w:rPr>
        <w:t>天。</w:t>
      </w:r>
    </w:p>
    <w:p w14:paraId="74652010"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该环节产生的污染物主要为压裂作业设备产生的噪声及返排出的压裂液。压裂作业过程及压裂液使用流程见图</w:t>
      </w:r>
      <w:r w:rsidRPr="00E67914">
        <w:rPr>
          <w:rFonts w:ascii="Times New Roman" w:hAnsi="Times New Roman"/>
          <w:sz w:val="24"/>
          <w:lang w:eastAsia="zh-CN"/>
        </w:rPr>
        <w:t>3.3-11</w:t>
      </w:r>
      <w:r w:rsidRPr="00E67914">
        <w:rPr>
          <w:rFonts w:ascii="Times New Roman" w:hAnsi="Times New Roman"/>
          <w:sz w:val="24"/>
          <w:lang w:eastAsia="zh-CN"/>
        </w:rPr>
        <w:t>。</w:t>
      </w:r>
    </w:p>
    <w:p w14:paraId="668BFA19" w14:textId="77777777" w:rsidR="00A54A8A" w:rsidRPr="00E67914" w:rsidRDefault="00000000">
      <w:pPr>
        <w:adjustRightInd w:val="0"/>
        <w:snapToGrid w:val="0"/>
        <w:spacing w:line="360" w:lineRule="auto"/>
        <w:jc w:val="center"/>
        <w:rPr>
          <w:rFonts w:ascii="Times New Roman" w:hAnsi="Times New Roman"/>
          <w:sz w:val="24"/>
        </w:rPr>
      </w:pPr>
      <w:r w:rsidRPr="00E67914">
        <w:rPr>
          <w:rFonts w:ascii="Times New Roman" w:hAnsi="Times New Roman"/>
          <w:noProof/>
          <w:sz w:val="24"/>
        </w:rPr>
        <w:drawing>
          <wp:inline distT="0" distB="0" distL="0" distR="0" wp14:anchorId="2ADF5EDF" wp14:editId="56476B73">
            <wp:extent cx="5045710" cy="1852295"/>
            <wp:effectExtent l="0" t="0" r="254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16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055575" cy="1856060"/>
                    </a:xfrm>
                    <a:prstGeom prst="rect">
                      <a:avLst/>
                    </a:prstGeom>
                    <a:noFill/>
                    <a:ln>
                      <a:noFill/>
                    </a:ln>
                  </pic:spPr>
                </pic:pic>
              </a:graphicData>
            </a:graphic>
          </wp:inline>
        </w:drawing>
      </w:r>
    </w:p>
    <w:p w14:paraId="23068DB1"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3.3-11  </w:t>
      </w:r>
      <w:r w:rsidRPr="00E67914">
        <w:rPr>
          <w:rFonts w:ascii="Times New Roman" w:eastAsia="黑体" w:hAnsi="Times New Roman"/>
          <w:sz w:val="21"/>
          <w:szCs w:val="21"/>
          <w:lang w:eastAsia="zh-CN"/>
        </w:rPr>
        <w:t>压裂作业示意图</w:t>
      </w:r>
    </w:p>
    <w:p w14:paraId="4D767566"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④</w:t>
      </w:r>
      <w:r w:rsidRPr="00E67914">
        <w:rPr>
          <w:rFonts w:ascii="Times New Roman" w:hAnsi="Times New Roman"/>
          <w:sz w:val="24"/>
          <w:lang w:eastAsia="zh-CN"/>
        </w:rPr>
        <w:t>测试放喷</w:t>
      </w:r>
    </w:p>
    <w:p w14:paraId="5482A970"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天然气测试放喷前需换装井口接测试管线，井内天然气经该管线，通过专用产量测试仪器测定天然气产量及气质。为了测试安全和减轻对环境的污染，点火烧掉测试放喷的天然气，测试放喷燃烧筒一般为高度</w:t>
      </w:r>
      <w:r w:rsidRPr="00E67914">
        <w:rPr>
          <w:rFonts w:ascii="Times New Roman" w:hAnsi="Times New Roman"/>
          <w:sz w:val="24"/>
          <w:lang w:eastAsia="zh-CN"/>
        </w:rPr>
        <w:t>1m</w:t>
      </w:r>
      <w:r w:rsidRPr="00E67914">
        <w:rPr>
          <w:rFonts w:ascii="Times New Roman" w:hAnsi="Times New Roman"/>
          <w:sz w:val="24"/>
          <w:lang w:eastAsia="zh-CN"/>
        </w:rPr>
        <w:t>的地面火炬，燃烧池内放喷，燃烧池设有耐火砖挡墙减轻热辐射影响。出于安全操作和有利于燃烧废气污染物大气扩散考虑，测试放喷一般在白天进行。</w:t>
      </w:r>
    </w:p>
    <w:p w14:paraId="33AB104B"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7</w:t>
      </w:r>
      <w:r w:rsidRPr="00E67914">
        <w:rPr>
          <w:rFonts w:ascii="Times New Roman" w:hAnsi="Times New Roman"/>
          <w:sz w:val="24"/>
          <w:lang w:eastAsia="zh-CN"/>
        </w:rPr>
        <w:t>）完井搬迁及恢复</w:t>
      </w:r>
    </w:p>
    <w:p w14:paraId="449CE895"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测试结果若表明气井有工业试采的价值，则在井口装上采气装置采气，其余设备将拆除搬迁，对基础进行拆除，场地进行平整，并对井场废弃物进行无害化治理。若不产天然气或所产气量无工业试采价值且确定无后续开发计划后，则将井口用水泥封固后搬迁。搬迁前钻后污染物应得到妥善处理，做到工完、料净、场地清，放弃的井场应尽可能地恢复其原来的土地利用状况或者按土地承包人的意愿转换土地用途。此过程对环境基本无影响。</w:t>
      </w:r>
    </w:p>
    <w:p w14:paraId="52938614"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lastRenderedPageBreak/>
        <w:t>搬迁前钻后污染物应得到妥善处理，做到工完、料净、场地清，放弃的井场应尽可能恢复其原来的土地利用状况或者按土地承包人的意愿转换土地用途。建设单位依法办理环保手续并按照钻井井场环保标准进行验收，验收合格方可交井，并对后续可能出现的环保问题负责。</w:t>
      </w:r>
    </w:p>
    <w:p w14:paraId="008B80F7" w14:textId="25E890B8" w:rsidR="00A54A8A" w:rsidRPr="00E67914" w:rsidRDefault="00000000">
      <w:pPr>
        <w:adjustRightInd w:val="0"/>
        <w:snapToGrid w:val="0"/>
        <w:spacing w:line="360" w:lineRule="auto"/>
        <w:ind w:firstLineChars="200" w:firstLine="482"/>
        <w:jc w:val="both"/>
        <w:rPr>
          <w:rFonts w:ascii="Times New Roman" w:hAnsi="Times New Roman"/>
          <w:b/>
          <w:sz w:val="24"/>
          <w:szCs w:val="24"/>
          <w:lang w:eastAsia="zh-CN"/>
        </w:rPr>
      </w:pPr>
      <w:r w:rsidRPr="00E67914">
        <w:rPr>
          <w:rFonts w:ascii="Times New Roman" w:hAnsi="Times New Roman"/>
          <w:b/>
          <w:sz w:val="24"/>
          <w:szCs w:val="24"/>
          <w:lang w:eastAsia="zh-CN"/>
        </w:rPr>
        <w:t>（</w:t>
      </w:r>
      <w:r w:rsidRPr="00E67914">
        <w:rPr>
          <w:rFonts w:ascii="Times New Roman" w:hAnsi="Times New Roman"/>
          <w:b/>
          <w:sz w:val="24"/>
          <w:szCs w:val="24"/>
          <w:lang w:eastAsia="zh-CN"/>
        </w:rPr>
        <w:t>2</w:t>
      </w:r>
      <w:r w:rsidRPr="00E67914">
        <w:rPr>
          <w:rFonts w:ascii="Times New Roman" w:hAnsi="Times New Roman"/>
          <w:b/>
          <w:sz w:val="24"/>
          <w:szCs w:val="24"/>
          <w:lang w:eastAsia="zh-CN"/>
        </w:rPr>
        <w:t>）</w:t>
      </w:r>
      <w:r w:rsidR="00611A35" w:rsidRPr="00E67914">
        <w:rPr>
          <w:rFonts w:ascii="Times New Roman" w:hAnsi="Times New Roman"/>
          <w:b/>
          <w:sz w:val="24"/>
          <w:szCs w:val="24"/>
          <w:lang w:eastAsia="zh-CN"/>
        </w:rPr>
        <w:t>钻井工程</w:t>
      </w:r>
      <w:r w:rsidRPr="00E67914">
        <w:rPr>
          <w:rFonts w:ascii="Times New Roman" w:hAnsi="Times New Roman"/>
          <w:b/>
          <w:sz w:val="24"/>
          <w:szCs w:val="24"/>
          <w:lang w:eastAsia="zh-CN"/>
        </w:rPr>
        <w:t>产污环节分析</w:t>
      </w:r>
    </w:p>
    <w:p w14:paraId="02DF3317"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1</w:t>
      </w:r>
      <w:r w:rsidRPr="00E67914">
        <w:rPr>
          <w:rFonts w:ascii="Times New Roman" w:hAnsi="Times New Roman"/>
          <w:bCs/>
          <w:sz w:val="24"/>
          <w:szCs w:val="24"/>
          <w:lang w:eastAsia="zh-CN"/>
        </w:rPr>
        <w:t>）钻井工程</w:t>
      </w:r>
    </w:p>
    <w:p w14:paraId="47B7A50A"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钻井期间主要的环境影响因素是备用柴油机运行产生的废气，钻井、起下钻和固井作业等产生的钻井废水，机械设备运转时产生的噪声，以及钻井固废、废弃泥浆、废油等固体废物。</w:t>
      </w:r>
    </w:p>
    <w:p w14:paraId="6B4351FF"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2</w:t>
      </w:r>
      <w:r w:rsidRPr="00E67914">
        <w:rPr>
          <w:rFonts w:ascii="Times New Roman" w:hAnsi="Times New Roman"/>
          <w:bCs/>
          <w:sz w:val="24"/>
          <w:szCs w:val="24"/>
          <w:lang w:eastAsia="zh-CN"/>
        </w:rPr>
        <w:t>）完井测试</w:t>
      </w:r>
    </w:p>
    <w:p w14:paraId="10ADA1AB"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压裂作业主要污染为压裂过程中会产生噪声、施工人员生活垃圾和生活污水，测试放喷阶段的污染物主要是压裂返排液、天然气点火产生的废气、气流噪声以及热辐射影响。</w:t>
      </w:r>
    </w:p>
    <w:p w14:paraId="701FE4AD" w14:textId="20B11A55"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lang w:eastAsia="zh-CN"/>
        </w:rPr>
      </w:pPr>
      <w:r w:rsidRPr="00E67914">
        <w:rPr>
          <w:rFonts w:ascii="Times New Roman" w:eastAsia="黑体" w:hAnsi="Times New Roman"/>
          <w:sz w:val="24"/>
          <w:lang w:eastAsia="zh-CN"/>
        </w:rPr>
        <w:t>3.3.1.3</w:t>
      </w:r>
      <w:r w:rsidR="0070312E" w:rsidRPr="00E67914">
        <w:rPr>
          <w:rFonts w:ascii="Times New Roman" w:eastAsia="黑体" w:hAnsi="Times New Roman"/>
          <w:sz w:val="24"/>
          <w:lang w:eastAsia="zh-CN"/>
        </w:rPr>
        <w:t>地面集输工程</w:t>
      </w:r>
    </w:p>
    <w:p w14:paraId="023A1C28" w14:textId="5C613D61" w:rsidR="00FB12CB"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钻井完毕后，</w:t>
      </w:r>
      <w:r w:rsidR="00A131B1" w:rsidRPr="00E67914">
        <w:rPr>
          <w:rFonts w:ascii="Times New Roman" w:hAnsi="Times New Roman"/>
          <w:sz w:val="24"/>
          <w:lang w:eastAsia="zh-CN"/>
        </w:rPr>
        <w:t>新普陆页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井场</w:t>
      </w:r>
      <w:r w:rsidR="00A131B1" w:rsidRPr="00E67914">
        <w:rPr>
          <w:rFonts w:ascii="Times New Roman" w:hAnsi="Times New Roman"/>
          <w:sz w:val="24"/>
          <w:lang w:eastAsia="zh-CN"/>
        </w:rPr>
        <w:t>3</w:t>
      </w:r>
      <w:r w:rsidR="00A131B1" w:rsidRPr="00E67914">
        <w:rPr>
          <w:rFonts w:ascii="Times New Roman" w:hAnsi="Times New Roman"/>
          <w:sz w:val="24"/>
          <w:lang w:eastAsia="zh-CN"/>
        </w:rPr>
        <w:t>口井</w:t>
      </w:r>
      <w:r w:rsidRPr="00E67914">
        <w:rPr>
          <w:rFonts w:ascii="Times New Roman" w:hAnsi="Times New Roman"/>
          <w:sz w:val="24"/>
          <w:lang w:eastAsia="zh-CN"/>
        </w:rPr>
        <w:t>通过测试并获得天然气产量后，</w:t>
      </w:r>
      <w:r w:rsidR="00A131B1" w:rsidRPr="00E67914">
        <w:rPr>
          <w:rFonts w:ascii="Times New Roman" w:hAnsi="Times New Roman"/>
          <w:sz w:val="24"/>
          <w:lang w:eastAsia="zh-CN"/>
        </w:rPr>
        <w:t>通过新建的新普陆页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井场到普陆页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试采站管线输送至依托的原普陆页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井场建设的普陆页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试采站，与原普陆页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井场的普陆页</w:t>
      </w:r>
      <w:r w:rsidR="00A131B1" w:rsidRPr="00E67914">
        <w:rPr>
          <w:rFonts w:ascii="Times New Roman" w:hAnsi="Times New Roman"/>
          <w:sz w:val="24"/>
          <w:lang w:eastAsia="zh-CN"/>
        </w:rPr>
        <w:t>2HF</w:t>
      </w:r>
      <w:r w:rsidR="00A131B1" w:rsidRPr="00E67914">
        <w:rPr>
          <w:rFonts w:ascii="Times New Roman" w:hAnsi="Times New Roman"/>
          <w:sz w:val="24"/>
          <w:lang w:eastAsia="zh-CN"/>
        </w:rPr>
        <w:t>井一同采用井口除砂、加热节流、混相轮换计量、气液两相分离、油气水三相闪蒸分离、原料气保温输送、凝析油和采出水分开储存装车工艺，实现气井产物油气水分开计量及天然气外输和污水、凝析油等进行分类回收处置功能。处理后的天然气经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试采站至</w:t>
      </w:r>
      <w:r w:rsidR="00A131B1" w:rsidRPr="00E67914">
        <w:rPr>
          <w:rFonts w:ascii="Times New Roman" w:hAnsi="Times New Roman"/>
          <w:sz w:val="24"/>
          <w:lang w:eastAsia="zh-CN"/>
        </w:rPr>
        <w:t>P302</w:t>
      </w:r>
      <w:r w:rsidR="00A131B1" w:rsidRPr="00E67914">
        <w:rPr>
          <w:rFonts w:ascii="Times New Roman" w:hAnsi="Times New Roman"/>
          <w:sz w:val="24"/>
          <w:lang w:eastAsia="zh-CN"/>
        </w:rPr>
        <w:t>集气站的外输管线外输至</w:t>
      </w:r>
      <w:r w:rsidR="00A131B1" w:rsidRPr="00E67914">
        <w:rPr>
          <w:rFonts w:ascii="Times New Roman" w:hAnsi="Times New Roman"/>
          <w:sz w:val="24"/>
          <w:lang w:eastAsia="zh-CN"/>
        </w:rPr>
        <w:t>P302</w:t>
      </w:r>
      <w:r w:rsidR="00A131B1" w:rsidRPr="00E67914">
        <w:rPr>
          <w:rFonts w:ascii="Times New Roman" w:hAnsi="Times New Roman"/>
          <w:sz w:val="24"/>
          <w:lang w:eastAsia="zh-CN"/>
        </w:rPr>
        <w:t>集气站。</w:t>
      </w:r>
    </w:p>
    <w:p w14:paraId="6CAE24D9" w14:textId="77777777" w:rsidR="00A54A8A" w:rsidRPr="00E67914" w:rsidRDefault="00000000">
      <w:pPr>
        <w:adjustRightInd w:val="0"/>
        <w:snapToGrid w:val="0"/>
        <w:spacing w:line="360" w:lineRule="auto"/>
        <w:jc w:val="center"/>
        <w:rPr>
          <w:rFonts w:ascii="Times New Roman" w:hAnsi="Times New Roman"/>
          <w:sz w:val="24"/>
          <w:lang w:eastAsia="zh-CN"/>
        </w:rPr>
      </w:pPr>
      <w:r w:rsidRPr="00E67914">
        <w:rPr>
          <w:rFonts w:ascii="Times New Roman" w:hAnsi="Times New Roman"/>
          <w:noProof/>
        </w:rPr>
        <w:lastRenderedPageBreak/>
        <w:drawing>
          <wp:inline distT="0" distB="0" distL="0" distR="0" wp14:anchorId="0CF1FDD6" wp14:editId="3AA3B32A">
            <wp:extent cx="5133975" cy="4857750"/>
            <wp:effectExtent l="0" t="0" r="9525" b="0"/>
            <wp:docPr id="991633611" name="图片 99163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633611" name="图片 9916336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133975" cy="4857750"/>
                    </a:xfrm>
                    <a:prstGeom prst="rect">
                      <a:avLst/>
                    </a:prstGeom>
                    <a:noFill/>
                    <a:ln>
                      <a:noFill/>
                    </a:ln>
                  </pic:spPr>
                </pic:pic>
              </a:graphicData>
            </a:graphic>
          </wp:inline>
        </w:drawing>
      </w:r>
    </w:p>
    <w:p w14:paraId="6FC88CAB" w14:textId="77777777" w:rsidR="00A54A8A" w:rsidRPr="00E67914" w:rsidRDefault="00000000">
      <w:pPr>
        <w:adjustRightInd w:val="0"/>
        <w:snapToGrid w:val="0"/>
        <w:spacing w:line="360" w:lineRule="auto"/>
        <w:jc w:val="center"/>
        <w:rPr>
          <w:rFonts w:ascii="Times New Roman" w:hAnsi="Times New Roman"/>
          <w:sz w:val="24"/>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3.3-12  </w:t>
      </w:r>
      <w:r w:rsidRPr="00E67914">
        <w:rPr>
          <w:rFonts w:ascii="Times New Roman" w:eastAsia="黑体" w:hAnsi="Times New Roman"/>
          <w:sz w:val="21"/>
          <w:szCs w:val="21"/>
          <w:lang w:eastAsia="zh-CN"/>
        </w:rPr>
        <w:t>新建站场及管线工艺流程及产污情况</w:t>
      </w:r>
    </w:p>
    <w:p w14:paraId="7AAAD9CB" w14:textId="77777777" w:rsidR="00A54A8A" w:rsidRPr="00E67914" w:rsidRDefault="00000000">
      <w:pPr>
        <w:adjustRightInd w:val="0"/>
        <w:snapToGrid w:val="0"/>
        <w:spacing w:line="360" w:lineRule="auto"/>
        <w:ind w:firstLineChars="200" w:firstLine="482"/>
        <w:jc w:val="both"/>
        <w:rPr>
          <w:rFonts w:ascii="Times New Roman" w:hAnsi="Times New Roman"/>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）站场工程</w:t>
      </w:r>
    </w:p>
    <w:p w14:paraId="0772430D" w14:textId="77777777" w:rsidR="00A54A8A" w:rsidRPr="00E67914" w:rsidRDefault="00000000">
      <w:pPr>
        <w:adjustRightInd w:val="0"/>
        <w:snapToGrid w:val="0"/>
        <w:spacing w:line="360" w:lineRule="auto"/>
        <w:ind w:firstLineChars="200" w:firstLine="482"/>
        <w:jc w:val="both"/>
        <w:rPr>
          <w:rFonts w:ascii="Times New Roman" w:hAnsi="Times New Roman"/>
          <w:bCs/>
          <w:sz w:val="24"/>
          <w:szCs w:val="24"/>
          <w:lang w:eastAsia="zh-CN"/>
        </w:rPr>
      </w:pPr>
      <w:r w:rsidRPr="00E67914">
        <w:rPr>
          <w:rFonts w:ascii="Times New Roman" w:hAnsi="Times New Roman"/>
          <w:b/>
          <w:bCs/>
          <w:sz w:val="24"/>
          <w:lang w:eastAsia="zh-CN"/>
        </w:rPr>
        <w:t>1</w:t>
      </w:r>
      <w:r w:rsidRPr="00E67914">
        <w:rPr>
          <w:rFonts w:ascii="Times New Roman" w:hAnsi="Times New Roman"/>
          <w:b/>
          <w:bCs/>
          <w:sz w:val="24"/>
          <w:lang w:eastAsia="zh-CN"/>
        </w:rPr>
        <w:t>）站场工程工艺流程简述</w:t>
      </w:r>
    </w:p>
    <w:p w14:paraId="4582F867"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试采站站场工程施工工艺如下：场地平整</w:t>
      </w:r>
      <w:r w:rsidRPr="00E67914">
        <w:rPr>
          <w:rFonts w:ascii="Times New Roman" w:hAnsi="Times New Roman"/>
          <w:bCs/>
          <w:sz w:val="24"/>
          <w:szCs w:val="24"/>
          <w:lang w:eastAsia="zh-CN"/>
        </w:rPr>
        <w:t>→</w:t>
      </w:r>
      <w:r w:rsidRPr="00E67914">
        <w:rPr>
          <w:rFonts w:ascii="Times New Roman" w:hAnsi="Times New Roman"/>
          <w:bCs/>
          <w:sz w:val="24"/>
          <w:szCs w:val="24"/>
          <w:lang w:eastAsia="zh-CN"/>
        </w:rPr>
        <w:t>基础施工</w:t>
      </w:r>
      <w:r w:rsidRPr="00E67914">
        <w:rPr>
          <w:rFonts w:ascii="Times New Roman" w:hAnsi="Times New Roman"/>
          <w:bCs/>
          <w:sz w:val="24"/>
          <w:szCs w:val="24"/>
          <w:lang w:eastAsia="zh-CN"/>
        </w:rPr>
        <w:t>→</w:t>
      </w:r>
      <w:r w:rsidRPr="00E67914">
        <w:rPr>
          <w:rFonts w:ascii="Times New Roman" w:hAnsi="Times New Roman"/>
          <w:bCs/>
          <w:sz w:val="24"/>
          <w:szCs w:val="24"/>
          <w:lang w:eastAsia="zh-CN"/>
        </w:rPr>
        <w:t>设备安装</w:t>
      </w:r>
      <w:r w:rsidRPr="00E67914">
        <w:rPr>
          <w:rFonts w:ascii="Times New Roman" w:hAnsi="Times New Roman"/>
          <w:bCs/>
          <w:sz w:val="24"/>
          <w:szCs w:val="24"/>
          <w:lang w:eastAsia="zh-CN"/>
        </w:rPr>
        <w:t>→</w:t>
      </w:r>
      <w:r w:rsidRPr="00E67914">
        <w:rPr>
          <w:rFonts w:ascii="Times New Roman" w:hAnsi="Times New Roman"/>
          <w:bCs/>
          <w:sz w:val="24"/>
          <w:szCs w:val="24"/>
          <w:lang w:eastAsia="zh-CN"/>
        </w:rPr>
        <w:t>地面恢复。施工过程中先采用推土机、挖掘机对场地进行平整，修建（维修）截排水沟，然后对场地进行夯实，敷设管道等。最后采用石子、碎石等对场地进行硬化，安装集气设备。本项目依托已建平台，场地均已平整，只需进行设备安装。</w:t>
      </w:r>
    </w:p>
    <w:p w14:paraId="4C80677A" w14:textId="77777777" w:rsidR="00A54A8A" w:rsidRPr="00E67914" w:rsidRDefault="00000000">
      <w:pPr>
        <w:adjustRightInd w:val="0"/>
        <w:snapToGrid w:val="0"/>
        <w:spacing w:line="360" w:lineRule="auto"/>
        <w:ind w:firstLineChars="200" w:firstLine="482"/>
        <w:jc w:val="both"/>
        <w:rPr>
          <w:rFonts w:ascii="Times New Roman" w:hAnsi="Times New Roman"/>
          <w:bCs/>
          <w:sz w:val="24"/>
          <w:szCs w:val="24"/>
          <w:lang w:eastAsia="zh-CN"/>
        </w:rPr>
      </w:pPr>
      <w:r w:rsidRPr="00E67914">
        <w:rPr>
          <w:rFonts w:ascii="Times New Roman" w:hAnsi="Times New Roman"/>
          <w:b/>
          <w:sz w:val="24"/>
          <w:szCs w:val="24"/>
          <w:lang w:eastAsia="zh-CN"/>
        </w:rPr>
        <w:t>2</w:t>
      </w:r>
      <w:r w:rsidRPr="00E67914">
        <w:rPr>
          <w:rFonts w:ascii="Times New Roman" w:hAnsi="Times New Roman"/>
          <w:b/>
          <w:sz w:val="24"/>
          <w:szCs w:val="24"/>
          <w:lang w:eastAsia="zh-CN"/>
        </w:rPr>
        <w:t>）</w:t>
      </w:r>
      <w:r w:rsidRPr="00E67914">
        <w:rPr>
          <w:rFonts w:ascii="Times New Roman" w:hAnsi="Times New Roman"/>
          <w:b/>
          <w:bCs/>
          <w:sz w:val="24"/>
          <w:lang w:eastAsia="zh-CN"/>
        </w:rPr>
        <w:t>站场工程</w:t>
      </w:r>
      <w:r w:rsidRPr="00E67914">
        <w:rPr>
          <w:rFonts w:ascii="Times New Roman" w:hAnsi="Times New Roman"/>
          <w:b/>
          <w:sz w:val="24"/>
          <w:szCs w:val="24"/>
          <w:lang w:eastAsia="zh-CN"/>
        </w:rPr>
        <w:t>产污环节分析</w:t>
      </w:r>
    </w:p>
    <w:p w14:paraId="750E87E9"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站场建设过程产生扬尘、机械设备噪声、施工队生活污水、混凝土搅拌废水、生活垃圾及建筑垃圾等。这些污染贯穿整个施工过程，但站场部分施工量小，施工时间较短，污染物产生量少。</w:t>
      </w:r>
    </w:p>
    <w:p w14:paraId="4980F89E" w14:textId="77777777" w:rsidR="00A54A8A" w:rsidRPr="00E67914" w:rsidRDefault="00000000">
      <w:pPr>
        <w:adjustRightInd w:val="0"/>
        <w:snapToGrid w:val="0"/>
        <w:spacing w:line="360" w:lineRule="auto"/>
        <w:ind w:firstLineChars="200" w:firstLine="482"/>
        <w:jc w:val="both"/>
        <w:rPr>
          <w:rFonts w:ascii="Times New Roman" w:hAnsi="Times New Roman"/>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2</w:t>
      </w:r>
      <w:r w:rsidRPr="00E67914">
        <w:rPr>
          <w:rFonts w:ascii="Times New Roman" w:hAnsi="Times New Roman"/>
          <w:b/>
          <w:bCs/>
          <w:sz w:val="24"/>
          <w:lang w:eastAsia="zh-CN"/>
        </w:rPr>
        <w:t>）线路工程</w:t>
      </w:r>
    </w:p>
    <w:p w14:paraId="73CEB2B7"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1</w:t>
      </w:r>
      <w:r w:rsidRPr="00E67914">
        <w:rPr>
          <w:rFonts w:ascii="Times New Roman" w:hAnsi="Times New Roman"/>
          <w:b/>
          <w:bCs/>
          <w:sz w:val="24"/>
          <w:lang w:eastAsia="zh-CN"/>
        </w:rPr>
        <w:t>）管道线路施工工艺</w:t>
      </w:r>
    </w:p>
    <w:p w14:paraId="5BAB173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lastRenderedPageBreak/>
        <w:t>①</w:t>
      </w:r>
      <w:r w:rsidRPr="00E67914">
        <w:rPr>
          <w:rFonts w:ascii="Times New Roman" w:hAnsi="Times New Roman"/>
          <w:sz w:val="24"/>
          <w:lang w:eastAsia="zh-CN"/>
        </w:rPr>
        <w:t>施工作业带清理和管沟开挖</w:t>
      </w:r>
    </w:p>
    <w:p w14:paraId="4DA6287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A</w:t>
      </w:r>
      <w:r w:rsidRPr="00E67914">
        <w:rPr>
          <w:rFonts w:ascii="Times New Roman" w:hAnsi="Times New Roman"/>
          <w:sz w:val="24"/>
          <w:lang w:eastAsia="zh-CN"/>
        </w:rPr>
        <w:t>、作业带清理</w:t>
      </w:r>
    </w:p>
    <w:p w14:paraId="7A6C3440" w14:textId="5C38D45D"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一般线路段管道采用沟埋方式敷设，根据管道施工特点并结合本工程实际，在一般地段，施工作业带考虑机械化施工所需要的宽度。本工程输气管道施工作业带宽度为</w:t>
      </w:r>
      <w:r w:rsidR="00A131B1" w:rsidRPr="00E67914">
        <w:rPr>
          <w:rFonts w:ascii="Times New Roman" w:hAnsi="Times New Roman"/>
          <w:sz w:val="24"/>
          <w:lang w:eastAsia="zh-CN"/>
        </w:rPr>
        <w:t>8</w:t>
      </w:r>
      <w:r w:rsidRPr="00E67914">
        <w:rPr>
          <w:rFonts w:ascii="Times New Roman" w:hAnsi="Times New Roman"/>
          <w:sz w:val="24"/>
          <w:lang w:eastAsia="zh-CN"/>
        </w:rPr>
        <w:t>m</w:t>
      </w:r>
      <w:r w:rsidRPr="00E67914">
        <w:rPr>
          <w:rFonts w:ascii="Times New Roman" w:hAnsi="Times New Roman"/>
          <w:sz w:val="24"/>
          <w:lang w:eastAsia="zh-CN"/>
        </w:rPr>
        <w:t>。</w:t>
      </w:r>
    </w:p>
    <w:p w14:paraId="241D6A39" w14:textId="5F030200"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本项目输气管道主要为</w:t>
      </w:r>
      <w:r w:rsidR="00A131B1" w:rsidRPr="00E67914">
        <w:rPr>
          <w:rFonts w:ascii="Times New Roman" w:hAnsi="Times New Roman"/>
          <w:sz w:val="24"/>
          <w:lang w:eastAsia="zh-CN"/>
        </w:rPr>
        <w:t>新普陆页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井场到普陆页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试采站管线（</w:t>
      </w:r>
      <w:r w:rsidR="00A131B1" w:rsidRPr="00E67914">
        <w:rPr>
          <w:rFonts w:ascii="Times New Roman" w:hAnsi="Times New Roman"/>
          <w:sz w:val="24"/>
          <w:lang w:eastAsia="zh-CN"/>
        </w:rPr>
        <w:t>300m</w:t>
      </w:r>
      <w:r w:rsidR="00A131B1" w:rsidRPr="00E67914">
        <w:rPr>
          <w:rFonts w:ascii="Times New Roman" w:hAnsi="Times New Roman"/>
          <w:sz w:val="24"/>
          <w:lang w:eastAsia="zh-CN"/>
        </w:rPr>
        <w:t>）、普陆页</w:t>
      </w:r>
      <w:r w:rsidR="00A131B1" w:rsidRPr="00E67914">
        <w:rPr>
          <w:rFonts w:ascii="Times New Roman" w:hAnsi="Times New Roman"/>
          <w:sz w:val="24"/>
          <w:lang w:eastAsia="zh-CN"/>
        </w:rPr>
        <w:t>2</w:t>
      </w:r>
      <w:r w:rsidR="00A131B1" w:rsidRPr="00E67914">
        <w:rPr>
          <w:rFonts w:ascii="Times New Roman" w:hAnsi="Times New Roman"/>
          <w:sz w:val="24"/>
          <w:lang w:eastAsia="zh-CN"/>
        </w:rPr>
        <w:t>试采站至</w:t>
      </w:r>
      <w:r w:rsidR="00A131B1" w:rsidRPr="00E67914">
        <w:rPr>
          <w:rFonts w:ascii="Times New Roman" w:hAnsi="Times New Roman"/>
          <w:sz w:val="24"/>
          <w:lang w:eastAsia="zh-CN"/>
        </w:rPr>
        <w:t>P302</w:t>
      </w:r>
      <w:r w:rsidR="00A131B1" w:rsidRPr="00E67914">
        <w:rPr>
          <w:rFonts w:ascii="Times New Roman" w:hAnsi="Times New Roman"/>
          <w:sz w:val="24"/>
          <w:lang w:eastAsia="zh-CN"/>
        </w:rPr>
        <w:t>集气站的外输管线（</w:t>
      </w:r>
      <w:r w:rsidR="00A131B1" w:rsidRPr="00E67914">
        <w:rPr>
          <w:rFonts w:ascii="Times New Roman" w:hAnsi="Times New Roman"/>
          <w:sz w:val="24"/>
          <w:lang w:eastAsia="zh-CN"/>
        </w:rPr>
        <w:t>1.3km</w:t>
      </w:r>
      <w:r w:rsidR="00A131B1" w:rsidRPr="00E67914">
        <w:rPr>
          <w:rFonts w:ascii="Times New Roman" w:hAnsi="Times New Roman"/>
          <w:sz w:val="24"/>
          <w:lang w:eastAsia="zh-CN"/>
        </w:rPr>
        <w:t>）</w:t>
      </w:r>
      <w:r w:rsidRPr="00E67914">
        <w:rPr>
          <w:rFonts w:ascii="Times New Roman" w:hAnsi="Times New Roman"/>
          <w:sz w:val="24"/>
          <w:lang w:eastAsia="zh-CN"/>
        </w:rPr>
        <w:t>，施工作业带共清理面积约</w:t>
      </w:r>
      <w:r w:rsidR="00A131B1" w:rsidRPr="00E67914">
        <w:rPr>
          <w:rFonts w:ascii="Times New Roman" w:hAnsi="Times New Roman"/>
          <w:sz w:val="24"/>
          <w:lang w:eastAsia="zh-CN"/>
        </w:rPr>
        <w:t>128</w:t>
      </w:r>
      <w:r w:rsidRPr="00E67914">
        <w:rPr>
          <w:rFonts w:ascii="Times New Roman" w:hAnsi="Times New Roman"/>
          <w:sz w:val="24"/>
          <w:lang w:eastAsia="zh-CN"/>
        </w:rPr>
        <w:t>00m</w:t>
      </w:r>
      <w:r w:rsidRPr="00E67914">
        <w:rPr>
          <w:rFonts w:ascii="Times New Roman" w:hAnsi="Times New Roman"/>
          <w:sz w:val="24"/>
          <w:vertAlign w:val="superscript"/>
          <w:lang w:eastAsia="zh-CN"/>
        </w:rPr>
        <w:t>2</w:t>
      </w:r>
      <w:r w:rsidRPr="00E67914">
        <w:rPr>
          <w:rFonts w:ascii="Times New Roman" w:hAnsi="Times New Roman"/>
          <w:sz w:val="24"/>
          <w:lang w:eastAsia="zh-CN"/>
        </w:rPr>
        <w:t>。在施工作业带范围内，对于影响施工机具通行或施工作业的石块、杂草、树木应清理干净，沟、坎应予以平整。清理和平整施工作业带时，应注意保护标志桩，如果破坏应立即恢复。施工结束后续对</w:t>
      </w:r>
      <w:r w:rsidR="00A131B1" w:rsidRPr="00E67914">
        <w:rPr>
          <w:rFonts w:ascii="Times New Roman" w:hAnsi="Times New Roman"/>
          <w:sz w:val="24"/>
          <w:lang w:eastAsia="zh-CN"/>
        </w:rPr>
        <w:t>临时占地</w:t>
      </w:r>
      <w:r w:rsidRPr="00E67914">
        <w:rPr>
          <w:rFonts w:ascii="Times New Roman" w:hAnsi="Times New Roman"/>
          <w:sz w:val="24"/>
          <w:lang w:eastAsia="zh-CN"/>
        </w:rPr>
        <w:t>进行</w:t>
      </w:r>
      <w:r w:rsidR="00A131B1" w:rsidRPr="00E67914">
        <w:rPr>
          <w:rFonts w:ascii="Times New Roman" w:hAnsi="Times New Roman"/>
          <w:sz w:val="24"/>
          <w:lang w:eastAsia="zh-CN"/>
        </w:rPr>
        <w:t>复垦复植</w:t>
      </w:r>
      <w:r w:rsidRPr="00E67914">
        <w:rPr>
          <w:rFonts w:ascii="Times New Roman" w:hAnsi="Times New Roman"/>
          <w:sz w:val="24"/>
          <w:lang w:eastAsia="zh-CN"/>
        </w:rPr>
        <w:t>。</w:t>
      </w:r>
    </w:p>
    <w:p w14:paraId="1780C0A3"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B</w:t>
      </w:r>
      <w:r w:rsidRPr="00E67914">
        <w:rPr>
          <w:rFonts w:ascii="Times New Roman" w:hAnsi="Times New Roman"/>
          <w:sz w:val="24"/>
          <w:lang w:eastAsia="zh-CN"/>
        </w:rPr>
        <w:t>、管沟开挖</w:t>
      </w:r>
    </w:p>
    <w:p w14:paraId="416ADBF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管沟开挖的方式有人工开挖和机械开挖。</w:t>
      </w:r>
    </w:p>
    <w:p w14:paraId="3B85A01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一般地段管沟开挖时，管顶覆土深度要求不小于</w:t>
      </w:r>
      <w:r w:rsidRPr="00E67914">
        <w:rPr>
          <w:rFonts w:ascii="Times New Roman" w:hAnsi="Times New Roman"/>
          <w:sz w:val="24"/>
          <w:lang w:eastAsia="zh-CN"/>
        </w:rPr>
        <w:t>1.0m</w:t>
      </w:r>
      <w:r w:rsidRPr="00E67914">
        <w:rPr>
          <w:rFonts w:ascii="Times New Roman" w:hAnsi="Times New Roman"/>
          <w:sz w:val="24"/>
          <w:lang w:eastAsia="zh-CN"/>
        </w:rPr>
        <w:t>，管道通过岩石层、卵砾石地段时，管沟应超挖</w:t>
      </w:r>
      <w:r w:rsidRPr="00E67914">
        <w:rPr>
          <w:rFonts w:ascii="Times New Roman" w:hAnsi="Times New Roman"/>
          <w:sz w:val="24"/>
          <w:lang w:eastAsia="zh-CN"/>
        </w:rPr>
        <w:t>0.2m</w:t>
      </w:r>
      <w:r w:rsidRPr="00E67914">
        <w:rPr>
          <w:rFonts w:ascii="Times New Roman" w:hAnsi="Times New Roman"/>
          <w:sz w:val="24"/>
          <w:lang w:eastAsia="zh-CN"/>
        </w:rPr>
        <w:t>，并用细土或砂浆深挖部分垫平后方可下管。管沟回填时，应先用细土回填至管顶以上</w:t>
      </w:r>
      <w:r w:rsidRPr="00E67914">
        <w:rPr>
          <w:rFonts w:ascii="Times New Roman" w:hAnsi="Times New Roman"/>
          <w:sz w:val="24"/>
          <w:lang w:eastAsia="zh-CN"/>
        </w:rPr>
        <w:t>0.3m</w:t>
      </w:r>
      <w:r w:rsidRPr="00E67914">
        <w:rPr>
          <w:rFonts w:ascii="Times New Roman" w:hAnsi="Times New Roman"/>
          <w:sz w:val="24"/>
          <w:lang w:eastAsia="zh-CN"/>
        </w:rPr>
        <w:t>，方可用土、砂或粒径小于</w:t>
      </w:r>
      <w:r w:rsidRPr="00E67914">
        <w:rPr>
          <w:rFonts w:ascii="Times New Roman" w:hAnsi="Times New Roman"/>
          <w:sz w:val="24"/>
          <w:lang w:eastAsia="zh-CN"/>
        </w:rPr>
        <w:t>100mm</w:t>
      </w:r>
      <w:r w:rsidRPr="00E67914">
        <w:rPr>
          <w:rFonts w:ascii="Times New Roman" w:hAnsi="Times New Roman"/>
          <w:sz w:val="24"/>
          <w:lang w:eastAsia="zh-CN"/>
        </w:rPr>
        <w:t>的碎石回填压实。管沟回填土应高出地面</w:t>
      </w:r>
      <w:r w:rsidRPr="00E67914">
        <w:rPr>
          <w:rFonts w:ascii="Times New Roman" w:hAnsi="Times New Roman"/>
          <w:sz w:val="24"/>
          <w:lang w:eastAsia="zh-CN"/>
        </w:rPr>
        <w:t>0.3m</w:t>
      </w:r>
      <w:r w:rsidRPr="00E67914">
        <w:rPr>
          <w:rFonts w:ascii="Times New Roman" w:hAnsi="Times New Roman"/>
          <w:sz w:val="24"/>
          <w:lang w:eastAsia="zh-CN"/>
        </w:rPr>
        <w:t>。在经过陡坡、陡坎时，为满足管道的弹性敷设要求及管道的轴向稳定性，局部地段应适当挖深，管沟宽度适当放大。</w:t>
      </w:r>
    </w:p>
    <w:p w14:paraId="105C95B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C</w:t>
      </w:r>
      <w:r w:rsidRPr="00E67914">
        <w:rPr>
          <w:rFonts w:ascii="Times New Roman" w:hAnsi="Times New Roman"/>
          <w:sz w:val="24"/>
          <w:lang w:eastAsia="zh-CN"/>
        </w:rPr>
        <w:t>、管沟边坡</w:t>
      </w:r>
    </w:p>
    <w:p w14:paraId="4AE92A48"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lang w:eastAsia="zh-CN"/>
        </w:rPr>
        <w:t>根据线路的特点，一般地段管沟边坡坡度执行以下规定：</w:t>
      </w:r>
    </w:p>
    <w:p w14:paraId="6E07F5F4"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3.3-1  </w:t>
      </w:r>
      <w:r w:rsidRPr="00E67914">
        <w:rPr>
          <w:rFonts w:ascii="Times New Roman" w:eastAsia="黑体" w:hAnsi="Times New Roman"/>
          <w:sz w:val="21"/>
          <w:szCs w:val="21"/>
          <w:lang w:eastAsia="zh-CN"/>
        </w:rPr>
        <w:t>深度在</w:t>
      </w:r>
      <w:r w:rsidRPr="00E67914">
        <w:rPr>
          <w:rFonts w:ascii="Times New Roman" w:eastAsia="黑体" w:hAnsi="Times New Roman"/>
          <w:sz w:val="21"/>
          <w:szCs w:val="21"/>
          <w:lang w:eastAsia="zh-CN"/>
        </w:rPr>
        <w:t>5m</w:t>
      </w:r>
      <w:r w:rsidRPr="00E67914">
        <w:rPr>
          <w:rFonts w:ascii="Times New Roman" w:eastAsia="黑体" w:hAnsi="Times New Roman"/>
          <w:sz w:val="21"/>
          <w:szCs w:val="21"/>
          <w:lang w:eastAsia="zh-CN"/>
        </w:rPr>
        <w:t>以内管沟最陡边坡坡度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6"/>
        <w:gridCol w:w="1653"/>
        <w:gridCol w:w="1894"/>
        <w:gridCol w:w="1897"/>
      </w:tblGrid>
      <w:tr w:rsidR="00E67914" w:rsidRPr="00E67914" w14:paraId="6BB28CA3" w14:textId="77777777">
        <w:trPr>
          <w:cantSplit/>
          <w:trHeight w:val="272"/>
          <w:jc w:val="center"/>
        </w:trPr>
        <w:tc>
          <w:tcPr>
            <w:tcW w:w="1720" w:type="pct"/>
            <w:vMerge w:val="restart"/>
            <w:vAlign w:val="center"/>
          </w:tcPr>
          <w:p w14:paraId="42737DC3" w14:textId="77777777" w:rsidR="00A54A8A" w:rsidRPr="00E67914" w:rsidRDefault="00000000">
            <w:pPr>
              <w:tabs>
                <w:tab w:val="left" w:pos="1500"/>
              </w:tabs>
              <w:snapToGrid w:val="0"/>
              <w:jc w:val="center"/>
              <w:rPr>
                <w:rFonts w:ascii="Times New Roman" w:hAnsi="Times New Roman"/>
                <w:b/>
                <w:bCs/>
                <w:sz w:val="21"/>
                <w:szCs w:val="18"/>
              </w:rPr>
            </w:pPr>
            <w:r w:rsidRPr="00E67914">
              <w:rPr>
                <w:rFonts w:ascii="Times New Roman" w:hAnsi="Times New Roman"/>
                <w:b/>
                <w:bCs/>
                <w:sz w:val="21"/>
                <w:szCs w:val="18"/>
              </w:rPr>
              <w:t>土壤类别</w:t>
            </w:r>
          </w:p>
        </w:tc>
        <w:tc>
          <w:tcPr>
            <w:tcW w:w="3280" w:type="pct"/>
            <w:gridSpan w:val="3"/>
            <w:vAlign w:val="center"/>
          </w:tcPr>
          <w:p w14:paraId="63AC7FDF" w14:textId="77777777" w:rsidR="00A54A8A" w:rsidRPr="00E67914" w:rsidRDefault="00000000">
            <w:pPr>
              <w:tabs>
                <w:tab w:val="left" w:pos="1500"/>
              </w:tabs>
              <w:snapToGrid w:val="0"/>
              <w:jc w:val="center"/>
              <w:rPr>
                <w:rFonts w:ascii="Times New Roman" w:hAnsi="Times New Roman"/>
                <w:b/>
                <w:bCs/>
                <w:sz w:val="21"/>
                <w:szCs w:val="18"/>
              </w:rPr>
            </w:pPr>
            <w:r w:rsidRPr="00E67914">
              <w:rPr>
                <w:rFonts w:ascii="Times New Roman" w:hAnsi="Times New Roman"/>
                <w:b/>
                <w:bCs/>
                <w:sz w:val="21"/>
                <w:szCs w:val="18"/>
              </w:rPr>
              <w:t>最陡边坡坡度</w:t>
            </w:r>
          </w:p>
        </w:tc>
      </w:tr>
      <w:tr w:rsidR="00E67914" w:rsidRPr="00E67914" w14:paraId="6564D52A" w14:textId="77777777">
        <w:trPr>
          <w:cantSplit/>
          <w:trHeight w:val="272"/>
          <w:jc w:val="center"/>
        </w:trPr>
        <w:tc>
          <w:tcPr>
            <w:tcW w:w="1720" w:type="pct"/>
            <w:vMerge/>
            <w:vAlign w:val="center"/>
          </w:tcPr>
          <w:p w14:paraId="3BCA485E" w14:textId="77777777" w:rsidR="00A54A8A" w:rsidRPr="00E67914" w:rsidRDefault="00A54A8A">
            <w:pPr>
              <w:tabs>
                <w:tab w:val="left" w:pos="1500"/>
              </w:tabs>
              <w:snapToGrid w:val="0"/>
              <w:jc w:val="center"/>
              <w:rPr>
                <w:rFonts w:ascii="Times New Roman" w:hAnsi="Times New Roman"/>
                <w:b/>
                <w:bCs/>
                <w:sz w:val="21"/>
                <w:szCs w:val="18"/>
              </w:rPr>
            </w:pPr>
          </w:p>
        </w:tc>
        <w:tc>
          <w:tcPr>
            <w:tcW w:w="996" w:type="pct"/>
            <w:vAlign w:val="center"/>
          </w:tcPr>
          <w:p w14:paraId="5A47216D" w14:textId="77777777" w:rsidR="00A54A8A" w:rsidRPr="00E67914" w:rsidRDefault="00000000">
            <w:pPr>
              <w:tabs>
                <w:tab w:val="left" w:pos="1500"/>
              </w:tabs>
              <w:snapToGrid w:val="0"/>
              <w:jc w:val="center"/>
              <w:rPr>
                <w:rFonts w:ascii="Times New Roman" w:hAnsi="Times New Roman"/>
                <w:b/>
                <w:bCs/>
                <w:sz w:val="21"/>
                <w:szCs w:val="18"/>
              </w:rPr>
            </w:pPr>
            <w:r w:rsidRPr="00E67914">
              <w:rPr>
                <w:rFonts w:ascii="Times New Roman" w:hAnsi="Times New Roman"/>
                <w:b/>
                <w:bCs/>
                <w:sz w:val="21"/>
                <w:szCs w:val="18"/>
              </w:rPr>
              <w:t>坡顶无载荷</w:t>
            </w:r>
          </w:p>
        </w:tc>
        <w:tc>
          <w:tcPr>
            <w:tcW w:w="1141" w:type="pct"/>
            <w:vAlign w:val="center"/>
          </w:tcPr>
          <w:p w14:paraId="75DA4649" w14:textId="77777777" w:rsidR="00A54A8A" w:rsidRPr="00E67914" w:rsidRDefault="00000000">
            <w:pPr>
              <w:tabs>
                <w:tab w:val="left" w:pos="1500"/>
              </w:tabs>
              <w:snapToGrid w:val="0"/>
              <w:jc w:val="center"/>
              <w:rPr>
                <w:rFonts w:ascii="Times New Roman" w:hAnsi="Times New Roman"/>
                <w:b/>
                <w:bCs/>
                <w:sz w:val="21"/>
                <w:szCs w:val="18"/>
              </w:rPr>
            </w:pPr>
            <w:r w:rsidRPr="00E67914">
              <w:rPr>
                <w:rFonts w:ascii="Times New Roman" w:hAnsi="Times New Roman"/>
                <w:b/>
                <w:bCs/>
                <w:sz w:val="21"/>
                <w:szCs w:val="18"/>
              </w:rPr>
              <w:t>坡顶有静载荷</w:t>
            </w:r>
          </w:p>
        </w:tc>
        <w:tc>
          <w:tcPr>
            <w:tcW w:w="1143" w:type="pct"/>
            <w:vAlign w:val="center"/>
          </w:tcPr>
          <w:p w14:paraId="51C749BE" w14:textId="77777777" w:rsidR="00A54A8A" w:rsidRPr="00E67914" w:rsidRDefault="00000000">
            <w:pPr>
              <w:tabs>
                <w:tab w:val="left" w:pos="1500"/>
              </w:tabs>
              <w:snapToGrid w:val="0"/>
              <w:jc w:val="center"/>
              <w:rPr>
                <w:rFonts w:ascii="Times New Roman" w:hAnsi="Times New Roman"/>
                <w:b/>
                <w:bCs/>
                <w:sz w:val="21"/>
                <w:szCs w:val="18"/>
              </w:rPr>
            </w:pPr>
            <w:r w:rsidRPr="00E67914">
              <w:rPr>
                <w:rFonts w:ascii="Times New Roman" w:hAnsi="Times New Roman"/>
                <w:b/>
                <w:bCs/>
                <w:sz w:val="21"/>
                <w:szCs w:val="18"/>
              </w:rPr>
              <w:t>坡顶有动载荷</w:t>
            </w:r>
          </w:p>
        </w:tc>
      </w:tr>
      <w:tr w:rsidR="00E67914" w:rsidRPr="00E67914" w14:paraId="7112AFF8" w14:textId="77777777">
        <w:trPr>
          <w:cantSplit/>
          <w:trHeight w:val="272"/>
          <w:jc w:val="center"/>
        </w:trPr>
        <w:tc>
          <w:tcPr>
            <w:tcW w:w="1720" w:type="pct"/>
            <w:vAlign w:val="center"/>
          </w:tcPr>
          <w:p w14:paraId="68528F9C"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中密的沙土</w:t>
            </w:r>
          </w:p>
        </w:tc>
        <w:tc>
          <w:tcPr>
            <w:tcW w:w="996" w:type="pct"/>
            <w:vAlign w:val="center"/>
          </w:tcPr>
          <w:p w14:paraId="425C4E54"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1.00</w:t>
            </w:r>
          </w:p>
        </w:tc>
        <w:tc>
          <w:tcPr>
            <w:tcW w:w="1141" w:type="pct"/>
            <w:vAlign w:val="center"/>
          </w:tcPr>
          <w:p w14:paraId="6A35D39D"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1.25</w:t>
            </w:r>
          </w:p>
        </w:tc>
        <w:tc>
          <w:tcPr>
            <w:tcW w:w="1143" w:type="pct"/>
            <w:vAlign w:val="center"/>
          </w:tcPr>
          <w:p w14:paraId="2E042BD7"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1.5</w:t>
            </w:r>
          </w:p>
        </w:tc>
      </w:tr>
      <w:tr w:rsidR="00E67914" w:rsidRPr="00E67914" w14:paraId="76045570" w14:textId="77777777">
        <w:trPr>
          <w:cantSplit/>
          <w:trHeight w:val="272"/>
          <w:jc w:val="center"/>
        </w:trPr>
        <w:tc>
          <w:tcPr>
            <w:tcW w:w="1720" w:type="pct"/>
            <w:vAlign w:val="center"/>
          </w:tcPr>
          <w:p w14:paraId="74F5A744" w14:textId="77777777" w:rsidR="00A54A8A" w:rsidRPr="00E67914" w:rsidRDefault="00000000">
            <w:pPr>
              <w:tabs>
                <w:tab w:val="left" w:pos="1500"/>
              </w:tabs>
              <w:snapToGrid w:val="0"/>
              <w:jc w:val="center"/>
              <w:rPr>
                <w:rFonts w:ascii="Times New Roman" w:hAnsi="Times New Roman"/>
                <w:sz w:val="21"/>
                <w:szCs w:val="18"/>
                <w:lang w:eastAsia="zh-CN"/>
              </w:rPr>
            </w:pPr>
            <w:r w:rsidRPr="00E67914">
              <w:rPr>
                <w:rFonts w:ascii="Times New Roman" w:hAnsi="Times New Roman"/>
                <w:sz w:val="21"/>
                <w:szCs w:val="18"/>
                <w:lang w:eastAsia="zh-CN"/>
              </w:rPr>
              <w:t>中密的碎石类土</w:t>
            </w:r>
          </w:p>
          <w:p w14:paraId="0F1EC462" w14:textId="77777777" w:rsidR="00A54A8A" w:rsidRPr="00E67914" w:rsidRDefault="00000000">
            <w:pPr>
              <w:tabs>
                <w:tab w:val="left" w:pos="1500"/>
              </w:tabs>
              <w:snapToGrid w:val="0"/>
              <w:jc w:val="center"/>
              <w:rPr>
                <w:rFonts w:ascii="Times New Roman" w:hAnsi="Times New Roman"/>
                <w:sz w:val="21"/>
                <w:szCs w:val="18"/>
                <w:lang w:eastAsia="zh-CN"/>
              </w:rPr>
            </w:pPr>
            <w:r w:rsidRPr="00E67914">
              <w:rPr>
                <w:rFonts w:ascii="Times New Roman" w:hAnsi="Times New Roman"/>
                <w:sz w:val="21"/>
                <w:szCs w:val="18"/>
                <w:lang w:eastAsia="zh-CN"/>
              </w:rPr>
              <w:t>（充填物为沙土）</w:t>
            </w:r>
          </w:p>
        </w:tc>
        <w:tc>
          <w:tcPr>
            <w:tcW w:w="996" w:type="pct"/>
            <w:vAlign w:val="center"/>
          </w:tcPr>
          <w:p w14:paraId="2A608DA3"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0.75</w:t>
            </w:r>
          </w:p>
        </w:tc>
        <w:tc>
          <w:tcPr>
            <w:tcW w:w="1141" w:type="pct"/>
            <w:vAlign w:val="center"/>
          </w:tcPr>
          <w:p w14:paraId="55267C3B"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1.00</w:t>
            </w:r>
          </w:p>
        </w:tc>
        <w:tc>
          <w:tcPr>
            <w:tcW w:w="1143" w:type="pct"/>
            <w:vAlign w:val="center"/>
          </w:tcPr>
          <w:p w14:paraId="4078D15B"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1.25</w:t>
            </w:r>
          </w:p>
        </w:tc>
      </w:tr>
      <w:tr w:rsidR="00E67914" w:rsidRPr="00E67914" w14:paraId="0BC9DDAF" w14:textId="77777777">
        <w:trPr>
          <w:cantSplit/>
          <w:trHeight w:val="272"/>
          <w:jc w:val="center"/>
        </w:trPr>
        <w:tc>
          <w:tcPr>
            <w:tcW w:w="1720" w:type="pct"/>
            <w:vAlign w:val="center"/>
          </w:tcPr>
          <w:p w14:paraId="1F4EB189"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硬塑的粉土</w:t>
            </w:r>
          </w:p>
        </w:tc>
        <w:tc>
          <w:tcPr>
            <w:tcW w:w="996" w:type="pct"/>
            <w:vAlign w:val="center"/>
          </w:tcPr>
          <w:p w14:paraId="28FD9463"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0.67</w:t>
            </w:r>
          </w:p>
        </w:tc>
        <w:tc>
          <w:tcPr>
            <w:tcW w:w="1141" w:type="pct"/>
            <w:vAlign w:val="center"/>
          </w:tcPr>
          <w:p w14:paraId="2332559C"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0.75</w:t>
            </w:r>
          </w:p>
        </w:tc>
        <w:tc>
          <w:tcPr>
            <w:tcW w:w="1143" w:type="pct"/>
            <w:vAlign w:val="center"/>
          </w:tcPr>
          <w:p w14:paraId="5D0B0BA0"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1.00</w:t>
            </w:r>
          </w:p>
        </w:tc>
      </w:tr>
      <w:tr w:rsidR="00E67914" w:rsidRPr="00E67914" w14:paraId="7CDBA873" w14:textId="77777777">
        <w:trPr>
          <w:cantSplit/>
          <w:trHeight w:val="272"/>
          <w:jc w:val="center"/>
        </w:trPr>
        <w:tc>
          <w:tcPr>
            <w:tcW w:w="1720" w:type="pct"/>
            <w:vAlign w:val="center"/>
          </w:tcPr>
          <w:p w14:paraId="5A4A2CE8" w14:textId="77777777" w:rsidR="00A54A8A" w:rsidRPr="00E67914" w:rsidRDefault="00000000">
            <w:pPr>
              <w:tabs>
                <w:tab w:val="left" w:pos="1500"/>
              </w:tabs>
              <w:snapToGrid w:val="0"/>
              <w:jc w:val="center"/>
              <w:rPr>
                <w:rFonts w:ascii="Times New Roman" w:hAnsi="Times New Roman"/>
                <w:sz w:val="21"/>
                <w:szCs w:val="18"/>
                <w:lang w:eastAsia="zh-CN"/>
              </w:rPr>
            </w:pPr>
            <w:r w:rsidRPr="00E67914">
              <w:rPr>
                <w:rFonts w:ascii="Times New Roman" w:hAnsi="Times New Roman"/>
                <w:sz w:val="21"/>
                <w:szCs w:val="18"/>
                <w:lang w:eastAsia="zh-CN"/>
              </w:rPr>
              <w:t>中密的碎石类土</w:t>
            </w:r>
          </w:p>
          <w:p w14:paraId="6AA9B22C" w14:textId="77777777" w:rsidR="00A54A8A" w:rsidRPr="00E67914" w:rsidRDefault="00000000">
            <w:pPr>
              <w:tabs>
                <w:tab w:val="left" w:pos="1500"/>
              </w:tabs>
              <w:snapToGrid w:val="0"/>
              <w:jc w:val="center"/>
              <w:rPr>
                <w:rFonts w:ascii="Times New Roman" w:hAnsi="Times New Roman"/>
                <w:sz w:val="21"/>
                <w:szCs w:val="18"/>
                <w:lang w:eastAsia="zh-CN"/>
              </w:rPr>
            </w:pPr>
            <w:r w:rsidRPr="00E67914">
              <w:rPr>
                <w:rFonts w:ascii="Times New Roman" w:hAnsi="Times New Roman"/>
                <w:sz w:val="21"/>
                <w:szCs w:val="18"/>
                <w:lang w:eastAsia="zh-CN"/>
              </w:rPr>
              <w:t>（充填物为粘性土）</w:t>
            </w:r>
          </w:p>
        </w:tc>
        <w:tc>
          <w:tcPr>
            <w:tcW w:w="996" w:type="pct"/>
            <w:vAlign w:val="center"/>
          </w:tcPr>
          <w:p w14:paraId="0B251F6C"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0.5</w:t>
            </w:r>
          </w:p>
        </w:tc>
        <w:tc>
          <w:tcPr>
            <w:tcW w:w="1141" w:type="pct"/>
            <w:vAlign w:val="center"/>
          </w:tcPr>
          <w:p w14:paraId="2A33391E"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0.67</w:t>
            </w:r>
          </w:p>
        </w:tc>
        <w:tc>
          <w:tcPr>
            <w:tcW w:w="1143" w:type="pct"/>
            <w:vAlign w:val="center"/>
          </w:tcPr>
          <w:p w14:paraId="0A23074C"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0.75</w:t>
            </w:r>
          </w:p>
        </w:tc>
      </w:tr>
      <w:tr w:rsidR="00E67914" w:rsidRPr="00E67914" w14:paraId="0DF3725E" w14:textId="77777777">
        <w:trPr>
          <w:cantSplit/>
          <w:trHeight w:val="272"/>
          <w:jc w:val="center"/>
        </w:trPr>
        <w:tc>
          <w:tcPr>
            <w:tcW w:w="1720" w:type="pct"/>
            <w:vAlign w:val="center"/>
          </w:tcPr>
          <w:p w14:paraId="11DA4CAD" w14:textId="77777777" w:rsidR="00A54A8A" w:rsidRPr="00E67914" w:rsidRDefault="00000000">
            <w:pPr>
              <w:tabs>
                <w:tab w:val="left" w:pos="1500"/>
              </w:tabs>
              <w:snapToGrid w:val="0"/>
              <w:jc w:val="center"/>
              <w:rPr>
                <w:rFonts w:ascii="Times New Roman" w:hAnsi="Times New Roman"/>
                <w:sz w:val="21"/>
                <w:szCs w:val="18"/>
                <w:lang w:eastAsia="zh-CN"/>
              </w:rPr>
            </w:pPr>
            <w:r w:rsidRPr="00E67914">
              <w:rPr>
                <w:rFonts w:ascii="Times New Roman" w:hAnsi="Times New Roman"/>
                <w:sz w:val="21"/>
                <w:szCs w:val="18"/>
                <w:lang w:eastAsia="zh-CN"/>
              </w:rPr>
              <w:t>硬塑的粉质粘土、粘土</w:t>
            </w:r>
          </w:p>
        </w:tc>
        <w:tc>
          <w:tcPr>
            <w:tcW w:w="996" w:type="pct"/>
            <w:vAlign w:val="center"/>
          </w:tcPr>
          <w:p w14:paraId="7EBC36ED"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0.33</w:t>
            </w:r>
          </w:p>
        </w:tc>
        <w:tc>
          <w:tcPr>
            <w:tcW w:w="1141" w:type="pct"/>
            <w:vAlign w:val="center"/>
          </w:tcPr>
          <w:p w14:paraId="15941723"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0.50</w:t>
            </w:r>
          </w:p>
        </w:tc>
        <w:tc>
          <w:tcPr>
            <w:tcW w:w="1143" w:type="pct"/>
            <w:vAlign w:val="center"/>
          </w:tcPr>
          <w:p w14:paraId="6D486910"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0.67</w:t>
            </w:r>
          </w:p>
        </w:tc>
      </w:tr>
      <w:tr w:rsidR="00E67914" w:rsidRPr="00E67914" w14:paraId="24784A3B" w14:textId="77777777">
        <w:trPr>
          <w:cantSplit/>
          <w:trHeight w:val="272"/>
          <w:jc w:val="center"/>
        </w:trPr>
        <w:tc>
          <w:tcPr>
            <w:tcW w:w="1720" w:type="pct"/>
            <w:vAlign w:val="center"/>
          </w:tcPr>
          <w:p w14:paraId="4F7734D3"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老黄土</w:t>
            </w:r>
          </w:p>
        </w:tc>
        <w:tc>
          <w:tcPr>
            <w:tcW w:w="996" w:type="pct"/>
            <w:vAlign w:val="center"/>
          </w:tcPr>
          <w:p w14:paraId="2B3250BB"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0.10</w:t>
            </w:r>
          </w:p>
        </w:tc>
        <w:tc>
          <w:tcPr>
            <w:tcW w:w="1141" w:type="pct"/>
            <w:vAlign w:val="center"/>
          </w:tcPr>
          <w:p w14:paraId="444FD3C0"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0.25</w:t>
            </w:r>
          </w:p>
        </w:tc>
        <w:tc>
          <w:tcPr>
            <w:tcW w:w="1143" w:type="pct"/>
            <w:vAlign w:val="center"/>
          </w:tcPr>
          <w:p w14:paraId="457B40F8"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0.33</w:t>
            </w:r>
          </w:p>
        </w:tc>
      </w:tr>
      <w:tr w:rsidR="00E67914" w:rsidRPr="00E67914" w14:paraId="0F965169" w14:textId="77777777">
        <w:trPr>
          <w:cantSplit/>
          <w:trHeight w:val="272"/>
          <w:jc w:val="center"/>
        </w:trPr>
        <w:tc>
          <w:tcPr>
            <w:tcW w:w="1720" w:type="pct"/>
            <w:vAlign w:val="center"/>
          </w:tcPr>
          <w:p w14:paraId="35C46EA2"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软土（经井点降水）</w:t>
            </w:r>
          </w:p>
        </w:tc>
        <w:tc>
          <w:tcPr>
            <w:tcW w:w="996" w:type="pct"/>
            <w:vAlign w:val="center"/>
          </w:tcPr>
          <w:p w14:paraId="4BD51557"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1.00</w:t>
            </w:r>
          </w:p>
        </w:tc>
        <w:tc>
          <w:tcPr>
            <w:tcW w:w="1141" w:type="pct"/>
            <w:vAlign w:val="center"/>
          </w:tcPr>
          <w:p w14:paraId="48A0984D"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w:t>
            </w:r>
          </w:p>
        </w:tc>
        <w:tc>
          <w:tcPr>
            <w:tcW w:w="1143" w:type="pct"/>
            <w:vAlign w:val="center"/>
          </w:tcPr>
          <w:p w14:paraId="53FF98D0"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w:t>
            </w:r>
          </w:p>
        </w:tc>
      </w:tr>
      <w:tr w:rsidR="00A54A8A" w:rsidRPr="00E67914" w14:paraId="06343962" w14:textId="77777777">
        <w:trPr>
          <w:cantSplit/>
          <w:trHeight w:val="272"/>
          <w:jc w:val="center"/>
        </w:trPr>
        <w:tc>
          <w:tcPr>
            <w:tcW w:w="1720" w:type="pct"/>
            <w:vAlign w:val="center"/>
          </w:tcPr>
          <w:p w14:paraId="14BDE790"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硬质岩</w:t>
            </w:r>
          </w:p>
        </w:tc>
        <w:tc>
          <w:tcPr>
            <w:tcW w:w="996" w:type="pct"/>
            <w:vAlign w:val="center"/>
          </w:tcPr>
          <w:p w14:paraId="54693E8D"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w:t>
            </w:r>
          </w:p>
        </w:tc>
        <w:tc>
          <w:tcPr>
            <w:tcW w:w="1141" w:type="pct"/>
            <w:vAlign w:val="center"/>
          </w:tcPr>
          <w:p w14:paraId="64918CC0"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w:t>
            </w:r>
          </w:p>
        </w:tc>
        <w:tc>
          <w:tcPr>
            <w:tcW w:w="1143" w:type="pct"/>
            <w:vAlign w:val="center"/>
          </w:tcPr>
          <w:p w14:paraId="3ED1804F"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w:t>
            </w:r>
            <w:r w:rsidRPr="00E67914">
              <w:rPr>
                <w:rFonts w:ascii="Times New Roman" w:hAnsi="Times New Roman"/>
                <w:sz w:val="21"/>
                <w:szCs w:val="18"/>
              </w:rPr>
              <w:t>：</w:t>
            </w:r>
            <w:r w:rsidRPr="00E67914">
              <w:rPr>
                <w:rFonts w:ascii="Times New Roman" w:hAnsi="Times New Roman"/>
                <w:sz w:val="21"/>
                <w:szCs w:val="18"/>
              </w:rPr>
              <w:t>0</w:t>
            </w:r>
          </w:p>
        </w:tc>
      </w:tr>
    </w:tbl>
    <w:p w14:paraId="1C8A208C" w14:textId="77777777" w:rsidR="00A54A8A" w:rsidRPr="00E67914" w:rsidRDefault="00A54A8A">
      <w:pPr>
        <w:adjustRightInd w:val="0"/>
        <w:snapToGrid w:val="0"/>
        <w:spacing w:line="360" w:lineRule="auto"/>
        <w:jc w:val="center"/>
        <w:rPr>
          <w:rFonts w:ascii="Times New Roman" w:hAnsi="Times New Roman"/>
          <w:bCs/>
          <w:sz w:val="24"/>
          <w:szCs w:val="24"/>
          <w:lang w:eastAsia="zh-CN"/>
        </w:rPr>
      </w:pPr>
    </w:p>
    <w:p w14:paraId="7A0F5A52"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lastRenderedPageBreak/>
        <w:t>特殊地段、管沟挖深超过</w:t>
      </w:r>
      <w:r w:rsidRPr="00E67914">
        <w:rPr>
          <w:rFonts w:ascii="Times New Roman" w:hAnsi="Times New Roman"/>
          <w:bCs/>
          <w:sz w:val="24"/>
          <w:szCs w:val="24"/>
          <w:lang w:eastAsia="zh-CN"/>
        </w:rPr>
        <w:t>5m</w:t>
      </w:r>
      <w:r w:rsidRPr="00E67914">
        <w:rPr>
          <w:rFonts w:ascii="Times New Roman" w:hAnsi="Times New Roman"/>
          <w:bCs/>
          <w:sz w:val="24"/>
          <w:szCs w:val="24"/>
          <w:lang w:eastAsia="zh-CN"/>
        </w:rPr>
        <w:t>时，可根据实际情况，采取边坡适当放缓，加支撑或采取阶梯式开挖措施。</w:t>
      </w:r>
    </w:p>
    <w:p w14:paraId="3A08F639"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D</w:t>
      </w:r>
      <w:r w:rsidRPr="00E67914">
        <w:rPr>
          <w:rFonts w:ascii="Times New Roman" w:hAnsi="Times New Roman"/>
          <w:bCs/>
          <w:sz w:val="24"/>
          <w:szCs w:val="24"/>
          <w:lang w:eastAsia="zh-CN"/>
        </w:rPr>
        <w:t>、管沟底宽</w:t>
      </w:r>
    </w:p>
    <w:p w14:paraId="04DABB0F"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当管沟深度小于或等于</w:t>
      </w:r>
      <w:r w:rsidRPr="00E67914">
        <w:rPr>
          <w:rFonts w:ascii="Times New Roman" w:hAnsi="Times New Roman"/>
          <w:bCs/>
          <w:sz w:val="24"/>
          <w:szCs w:val="24"/>
          <w:lang w:eastAsia="zh-CN"/>
        </w:rPr>
        <w:t>3m</w:t>
      </w:r>
      <w:r w:rsidRPr="00E67914">
        <w:rPr>
          <w:rFonts w:ascii="Times New Roman" w:hAnsi="Times New Roman"/>
          <w:bCs/>
          <w:sz w:val="24"/>
          <w:szCs w:val="24"/>
          <w:lang w:eastAsia="zh-CN"/>
        </w:rPr>
        <w:t>时，沟底宽度应按下式计算：</w:t>
      </w:r>
    </w:p>
    <w:p w14:paraId="5646D376"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B</w:t>
      </w:r>
      <w:r w:rsidRPr="00E67914">
        <w:rPr>
          <w:rFonts w:ascii="Times New Roman" w:hAnsi="Times New Roman"/>
          <w:bCs/>
          <w:sz w:val="24"/>
          <w:szCs w:val="24"/>
          <w:lang w:eastAsia="zh-CN"/>
        </w:rPr>
        <w:t>＝</w:t>
      </w:r>
      <w:r w:rsidRPr="00E67914">
        <w:rPr>
          <w:rFonts w:ascii="Times New Roman" w:hAnsi="Times New Roman"/>
          <w:bCs/>
          <w:sz w:val="24"/>
          <w:szCs w:val="24"/>
          <w:lang w:eastAsia="zh-CN"/>
        </w:rPr>
        <w:t>D</w:t>
      </w:r>
      <w:r w:rsidRPr="00E67914">
        <w:rPr>
          <w:rFonts w:ascii="Times New Roman" w:hAnsi="Times New Roman"/>
          <w:bCs/>
          <w:sz w:val="24"/>
          <w:szCs w:val="24"/>
          <w:lang w:eastAsia="zh-CN"/>
        </w:rPr>
        <w:t>＋</w:t>
      </w:r>
      <w:r w:rsidRPr="00E67914">
        <w:rPr>
          <w:rFonts w:ascii="Times New Roman" w:hAnsi="Times New Roman"/>
          <w:bCs/>
          <w:sz w:val="24"/>
          <w:szCs w:val="24"/>
          <w:lang w:eastAsia="zh-CN"/>
        </w:rPr>
        <w:t>K</w:t>
      </w:r>
    </w:p>
    <w:p w14:paraId="762B4BBA"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式中：</w:t>
      </w:r>
    </w:p>
    <w:p w14:paraId="7605140E"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B—</w:t>
      </w:r>
      <w:r w:rsidRPr="00E67914">
        <w:rPr>
          <w:rFonts w:ascii="Times New Roman" w:hAnsi="Times New Roman"/>
          <w:bCs/>
          <w:sz w:val="24"/>
          <w:szCs w:val="24"/>
          <w:lang w:eastAsia="zh-CN"/>
        </w:rPr>
        <w:t>沟底宽度（</w:t>
      </w:r>
      <w:r w:rsidRPr="00E67914">
        <w:rPr>
          <w:rFonts w:ascii="Times New Roman" w:hAnsi="Times New Roman"/>
          <w:bCs/>
          <w:sz w:val="24"/>
          <w:szCs w:val="24"/>
          <w:lang w:eastAsia="zh-CN"/>
        </w:rPr>
        <w:t>m</w:t>
      </w:r>
      <w:r w:rsidRPr="00E67914">
        <w:rPr>
          <w:rFonts w:ascii="Times New Roman" w:hAnsi="Times New Roman"/>
          <w:bCs/>
          <w:sz w:val="24"/>
          <w:szCs w:val="24"/>
          <w:lang w:eastAsia="zh-CN"/>
        </w:rPr>
        <w:t>）；</w:t>
      </w:r>
    </w:p>
    <w:p w14:paraId="3BDF5619"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D—</w:t>
      </w:r>
      <w:r w:rsidRPr="00E67914">
        <w:rPr>
          <w:rFonts w:ascii="Times New Roman" w:hAnsi="Times New Roman"/>
          <w:bCs/>
          <w:sz w:val="24"/>
          <w:szCs w:val="24"/>
          <w:lang w:eastAsia="zh-CN"/>
        </w:rPr>
        <w:t>钢管的结构外径（包括防腐、保温层的厚度）（</w:t>
      </w:r>
      <w:r w:rsidRPr="00E67914">
        <w:rPr>
          <w:rFonts w:ascii="Times New Roman" w:hAnsi="Times New Roman"/>
          <w:bCs/>
          <w:sz w:val="24"/>
          <w:szCs w:val="24"/>
          <w:lang w:eastAsia="zh-CN"/>
        </w:rPr>
        <w:t>m</w:t>
      </w:r>
      <w:r w:rsidRPr="00E67914">
        <w:rPr>
          <w:rFonts w:ascii="Times New Roman" w:hAnsi="Times New Roman"/>
          <w:bCs/>
          <w:sz w:val="24"/>
          <w:szCs w:val="24"/>
          <w:lang w:eastAsia="zh-CN"/>
        </w:rPr>
        <w:t>）；</w:t>
      </w:r>
    </w:p>
    <w:p w14:paraId="01F6BE0D"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K—</w:t>
      </w:r>
      <w:r w:rsidRPr="00E67914">
        <w:rPr>
          <w:rFonts w:ascii="Times New Roman" w:hAnsi="Times New Roman"/>
          <w:bCs/>
          <w:sz w:val="24"/>
          <w:szCs w:val="24"/>
          <w:lang w:eastAsia="zh-CN"/>
        </w:rPr>
        <w:t>沟底加宽裕量（</w:t>
      </w:r>
      <w:r w:rsidRPr="00E67914">
        <w:rPr>
          <w:rFonts w:ascii="Times New Roman" w:hAnsi="Times New Roman"/>
          <w:bCs/>
          <w:sz w:val="24"/>
          <w:szCs w:val="24"/>
          <w:lang w:eastAsia="zh-CN"/>
        </w:rPr>
        <w:t>m</w:t>
      </w:r>
      <w:r w:rsidRPr="00E67914">
        <w:rPr>
          <w:rFonts w:ascii="Times New Roman" w:hAnsi="Times New Roman"/>
          <w:bCs/>
          <w:sz w:val="24"/>
          <w:szCs w:val="24"/>
          <w:lang w:eastAsia="zh-CN"/>
        </w:rPr>
        <w:t>）。按表</w:t>
      </w:r>
      <w:r w:rsidRPr="00E67914">
        <w:rPr>
          <w:rFonts w:ascii="Times New Roman" w:hAnsi="Times New Roman"/>
          <w:bCs/>
          <w:sz w:val="24"/>
          <w:szCs w:val="24"/>
          <w:lang w:eastAsia="zh-CN"/>
        </w:rPr>
        <w:t>3.3-2</w:t>
      </w:r>
      <w:r w:rsidRPr="00E67914">
        <w:rPr>
          <w:rFonts w:ascii="Times New Roman" w:hAnsi="Times New Roman"/>
          <w:bCs/>
          <w:sz w:val="24"/>
          <w:szCs w:val="24"/>
          <w:lang w:eastAsia="zh-CN"/>
        </w:rPr>
        <w:t>取值。</w:t>
      </w:r>
    </w:p>
    <w:p w14:paraId="71E59857"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3.3-2  </w:t>
      </w:r>
      <w:r w:rsidRPr="00E67914">
        <w:rPr>
          <w:rFonts w:ascii="Times New Roman" w:eastAsia="黑体" w:hAnsi="Times New Roman"/>
          <w:sz w:val="21"/>
          <w:szCs w:val="21"/>
          <w:lang w:eastAsia="zh-CN"/>
        </w:rPr>
        <w:t>沟底加宽裕量</w:t>
      </w:r>
      <w:r w:rsidRPr="00E67914">
        <w:rPr>
          <w:rFonts w:ascii="Times New Roman" w:eastAsia="黑体" w:hAnsi="Times New Roman"/>
          <w:sz w:val="21"/>
          <w:szCs w:val="21"/>
          <w:lang w:eastAsia="zh-CN"/>
        </w:rPr>
        <w:t>K</w:t>
      </w:r>
      <w:r w:rsidRPr="00E67914">
        <w:rPr>
          <w:rFonts w:ascii="Times New Roman" w:eastAsia="黑体" w:hAnsi="Times New Roman"/>
          <w:sz w:val="21"/>
          <w:szCs w:val="21"/>
          <w:lang w:eastAsia="zh-CN"/>
        </w:rPr>
        <w:t>值</w:t>
      </w:r>
      <w:r w:rsidRPr="00E67914">
        <w:rPr>
          <w:rFonts w:ascii="Times New Roman" w:eastAsia="黑体" w:hAnsi="Times New Roman"/>
          <w:sz w:val="21"/>
          <w:szCs w:val="21"/>
          <w:lang w:eastAsia="zh-CN"/>
        </w:rPr>
        <w:t xml:space="preserve"> (m)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1544"/>
        <w:gridCol w:w="2585"/>
        <w:gridCol w:w="1811"/>
      </w:tblGrid>
      <w:tr w:rsidR="00E67914" w:rsidRPr="00E67914" w14:paraId="69ADE328" w14:textId="77777777">
        <w:trPr>
          <w:cantSplit/>
          <w:trHeight w:val="275"/>
          <w:jc w:val="center"/>
        </w:trPr>
        <w:tc>
          <w:tcPr>
            <w:tcW w:w="1422" w:type="pct"/>
            <w:vAlign w:val="center"/>
          </w:tcPr>
          <w:p w14:paraId="1012347A" w14:textId="77777777" w:rsidR="00A54A8A" w:rsidRPr="00E67914" w:rsidRDefault="00000000">
            <w:pPr>
              <w:tabs>
                <w:tab w:val="left" w:pos="1500"/>
              </w:tabs>
              <w:snapToGrid w:val="0"/>
              <w:jc w:val="center"/>
              <w:rPr>
                <w:rFonts w:ascii="Times New Roman" w:hAnsi="Times New Roman"/>
                <w:b/>
                <w:bCs/>
                <w:sz w:val="21"/>
                <w:szCs w:val="18"/>
              </w:rPr>
            </w:pPr>
            <w:r w:rsidRPr="00E67914">
              <w:rPr>
                <w:rFonts w:ascii="Times New Roman" w:hAnsi="Times New Roman"/>
                <w:b/>
                <w:bCs/>
                <w:sz w:val="21"/>
                <w:szCs w:val="18"/>
              </w:rPr>
              <w:t>施工方法</w:t>
            </w:r>
          </w:p>
        </w:tc>
        <w:tc>
          <w:tcPr>
            <w:tcW w:w="3578" w:type="pct"/>
            <w:gridSpan w:val="3"/>
            <w:vAlign w:val="center"/>
          </w:tcPr>
          <w:p w14:paraId="2573E1E5" w14:textId="77777777" w:rsidR="00A54A8A" w:rsidRPr="00E67914" w:rsidRDefault="00000000">
            <w:pPr>
              <w:tabs>
                <w:tab w:val="left" w:pos="1500"/>
              </w:tabs>
              <w:snapToGrid w:val="0"/>
              <w:jc w:val="center"/>
              <w:rPr>
                <w:rFonts w:ascii="Times New Roman" w:hAnsi="Times New Roman"/>
                <w:b/>
                <w:bCs/>
                <w:sz w:val="21"/>
                <w:szCs w:val="18"/>
              </w:rPr>
            </w:pPr>
            <w:r w:rsidRPr="00E67914">
              <w:rPr>
                <w:rFonts w:ascii="Times New Roman" w:hAnsi="Times New Roman"/>
                <w:b/>
                <w:bCs/>
                <w:sz w:val="21"/>
                <w:szCs w:val="18"/>
              </w:rPr>
              <w:t>沟下组装焊接</w:t>
            </w:r>
          </w:p>
        </w:tc>
      </w:tr>
      <w:tr w:rsidR="00E67914" w:rsidRPr="00E67914" w14:paraId="453D875D" w14:textId="77777777">
        <w:trPr>
          <w:cantSplit/>
          <w:trHeight w:val="275"/>
          <w:jc w:val="center"/>
        </w:trPr>
        <w:tc>
          <w:tcPr>
            <w:tcW w:w="1422" w:type="pct"/>
            <w:vAlign w:val="center"/>
          </w:tcPr>
          <w:p w14:paraId="4EF074FC"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地质条件</w:t>
            </w:r>
          </w:p>
        </w:tc>
        <w:tc>
          <w:tcPr>
            <w:tcW w:w="930" w:type="pct"/>
            <w:vAlign w:val="center"/>
          </w:tcPr>
          <w:p w14:paraId="79C4C042"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旱地</w:t>
            </w:r>
          </w:p>
        </w:tc>
        <w:tc>
          <w:tcPr>
            <w:tcW w:w="1557" w:type="pct"/>
            <w:vAlign w:val="center"/>
          </w:tcPr>
          <w:p w14:paraId="0C10A694"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沟内有积水</w:t>
            </w:r>
          </w:p>
        </w:tc>
        <w:tc>
          <w:tcPr>
            <w:tcW w:w="1091" w:type="pct"/>
            <w:vAlign w:val="center"/>
          </w:tcPr>
          <w:p w14:paraId="75D34651"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岩石</w:t>
            </w:r>
          </w:p>
        </w:tc>
      </w:tr>
      <w:tr w:rsidR="00E67914" w:rsidRPr="00E67914" w14:paraId="5946C38E" w14:textId="77777777">
        <w:trPr>
          <w:cantSplit/>
          <w:trHeight w:val="275"/>
          <w:jc w:val="center"/>
        </w:trPr>
        <w:tc>
          <w:tcPr>
            <w:tcW w:w="1422" w:type="pct"/>
            <w:vAlign w:val="center"/>
          </w:tcPr>
          <w:p w14:paraId="647ED107"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B</w:t>
            </w:r>
            <w:r w:rsidRPr="00E67914">
              <w:rPr>
                <w:rFonts w:ascii="Times New Roman" w:hAnsi="Times New Roman"/>
                <w:sz w:val="21"/>
                <w:szCs w:val="18"/>
              </w:rPr>
              <w:t>（</w:t>
            </w:r>
            <w:r w:rsidRPr="00E67914">
              <w:rPr>
                <w:rFonts w:ascii="Times New Roman" w:hAnsi="Times New Roman"/>
                <w:sz w:val="21"/>
                <w:szCs w:val="18"/>
              </w:rPr>
              <w:t>m</w:t>
            </w:r>
            <w:r w:rsidRPr="00E67914">
              <w:rPr>
                <w:rFonts w:ascii="Times New Roman" w:hAnsi="Times New Roman"/>
                <w:sz w:val="21"/>
                <w:szCs w:val="18"/>
              </w:rPr>
              <w:t>）</w:t>
            </w:r>
          </w:p>
        </w:tc>
        <w:tc>
          <w:tcPr>
            <w:tcW w:w="930" w:type="pct"/>
            <w:vAlign w:val="center"/>
          </w:tcPr>
          <w:p w14:paraId="7025D600"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0.8</w:t>
            </w:r>
          </w:p>
        </w:tc>
        <w:tc>
          <w:tcPr>
            <w:tcW w:w="1557" w:type="pct"/>
            <w:vAlign w:val="center"/>
          </w:tcPr>
          <w:p w14:paraId="768FC3BE"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1.0</w:t>
            </w:r>
          </w:p>
        </w:tc>
        <w:tc>
          <w:tcPr>
            <w:tcW w:w="1091" w:type="pct"/>
            <w:vAlign w:val="center"/>
          </w:tcPr>
          <w:p w14:paraId="04555912" w14:textId="77777777" w:rsidR="00A54A8A" w:rsidRPr="00E67914" w:rsidRDefault="00000000">
            <w:pPr>
              <w:tabs>
                <w:tab w:val="left" w:pos="1500"/>
              </w:tabs>
              <w:snapToGrid w:val="0"/>
              <w:jc w:val="center"/>
              <w:rPr>
                <w:rFonts w:ascii="Times New Roman" w:hAnsi="Times New Roman"/>
                <w:sz w:val="21"/>
                <w:szCs w:val="18"/>
              </w:rPr>
            </w:pPr>
            <w:r w:rsidRPr="00E67914">
              <w:rPr>
                <w:rFonts w:ascii="Times New Roman" w:hAnsi="Times New Roman"/>
                <w:sz w:val="21"/>
                <w:szCs w:val="18"/>
              </w:rPr>
              <w:t>0.9</w:t>
            </w:r>
          </w:p>
        </w:tc>
      </w:tr>
    </w:tbl>
    <w:p w14:paraId="0AC90B63"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当管沟深度大于</w:t>
      </w:r>
      <w:r w:rsidRPr="00E67914">
        <w:rPr>
          <w:rFonts w:ascii="Times New Roman" w:hAnsi="Times New Roman"/>
          <w:bCs/>
          <w:sz w:val="24"/>
          <w:szCs w:val="24"/>
          <w:lang w:eastAsia="zh-CN"/>
        </w:rPr>
        <w:t>3m</w:t>
      </w:r>
      <w:r w:rsidRPr="00E67914">
        <w:rPr>
          <w:rFonts w:ascii="Times New Roman" w:hAnsi="Times New Roman"/>
          <w:bCs/>
          <w:sz w:val="24"/>
          <w:szCs w:val="24"/>
          <w:lang w:eastAsia="zh-CN"/>
        </w:rPr>
        <w:t>而小于</w:t>
      </w:r>
      <w:r w:rsidRPr="00E67914">
        <w:rPr>
          <w:rFonts w:ascii="Times New Roman" w:hAnsi="Times New Roman"/>
          <w:bCs/>
          <w:sz w:val="24"/>
          <w:szCs w:val="24"/>
          <w:lang w:eastAsia="zh-CN"/>
        </w:rPr>
        <w:t>5m</w:t>
      </w:r>
      <w:r w:rsidRPr="00E67914">
        <w:rPr>
          <w:rFonts w:ascii="Times New Roman" w:hAnsi="Times New Roman"/>
          <w:bCs/>
          <w:sz w:val="24"/>
          <w:szCs w:val="24"/>
          <w:lang w:eastAsia="zh-CN"/>
        </w:rPr>
        <w:t>时，管沟沟底宽度应按上式计算值再加宽</w:t>
      </w:r>
      <w:r w:rsidRPr="00E67914">
        <w:rPr>
          <w:rFonts w:ascii="Times New Roman" w:hAnsi="Times New Roman"/>
          <w:bCs/>
          <w:sz w:val="24"/>
          <w:szCs w:val="24"/>
          <w:lang w:eastAsia="zh-CN"/>
        </w:rPr>
        <w:t>0.2m</w:t>
      </w:r>
      <w:r w:rsidRPr="00E67914">
        <w:rPr>
          <w:rFonts w:ascii="Times New Roman" w:hAnsi="Times New Roman"/>
          <w:bCs/>
          <w:sz w:val="24"/>
          <w:szCs w:val="24"/>
          <w:lang w:eastAsia="zh-CN"/>
        </w:rPr>
        <w:t>；当管沟深度超过</w:t>
      </w:r>
      <w:r w:rsidRPr="00E67914">
        <w:rPr>
          <w:rFonts w:ascii="Times New Roman" w:hAnsi="Times New Roman"/>
          <w:bCs/>
          <w:sz w:val="24"/>
          <w:szCs w:val="24"/>
          <w:lang w:eastAsia="zh-CN"/>
        </w:rPr>
        <w:t>5m</w:t>
      </w:r>
      <w:r w:rsidRPr="00E67914">
        <w:rPr>
          <w:rFonts w:ascii="Times New Roman" w:hAnsi="Times New Roman"/>
          <w:bCs/>
          <w:sz w:val="24"/>
          <w:szCs w:val="24"/>
          <w:lang w:eastAsia="zh-CN"/>
        </w:rPr>
        <w:t>时，管沟沟底宽度应根据工程地质情况酌情处理。</w:t>
      </w:r>
    </w:p>
    <w:p w14:paraId="5DC67E8C"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E</w:t>
      </w:r>
      <w:r w:rsidRPr="00E67914">
        <w:rPr>
          <w:rFonts w:ascii="Times New Roman" w:hAnsi="Times New Roman"/>
          <w:bCs/>
          <w:sz w:val="24"/>
          <w:szCs w:val="24"/>
          <w:lang w:eastAsia="zh-CN"/>
        </w:rPr>
        <w:t>、管沟回填</w:t>
      </w:r>
    </w:p>
    <w:p w14:paraId="22F1B9CC"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岩石、砾石区的管沟，应在沟底先铺设</w:t>
      </w:r>
      <w:r w:rsidRPr="00E67914">
        <w:rPr>
          <w:rFonts w:ascii="Times New Roman" w:hAnsi="Times New Roman"/>
          <w:bCs/>
          <w:sz w:val="24"/>
          <w:szCs w:val="24"/>
          <w:lang w:eastAsia="zh-CN"/>
        </w:rPr>
        <w:t>0.2m</w:t>
      </w:r>
      <w:r w:rsidRPr="00E67914">
        <w:rPr>
          <w:rFonts w:ascii="Times New Roman" w:hAnsi="Times New Roman"/>
          <w:bCs/>
          <w:sz w:val="24"/>
          <w:szCs w:val="24"/>
          <w:lang w:eastAsia="zh-CN"/>
        </w:rPr>
        <w:t>厚的细土或细砂垫层且平整后方可管线下沟，对于管沟坡度较大，散土无法固定，细土垫层必须全部用编织袋或草口袋装袋，由下而上堆码回填，在堆码时必须分层交叉；有空隙的地方，再用散土填充。回填岩石、砾石区的管沟时，必须用细土或砂（最大粒径不超过</w:t>
      </w:r>
      <w:r w:rsidRPr="00E67914">
        <w:rPr>
          <w:rFonts w:ascii="Times New Roman" w:hAnsi="Times New Roman"/>
          <w:bCs/>
          <w:sz w:val="24"/>
          <w:szCs w:val="24"/>
          <w:lang w:eastAsia="zh-CN"/>
        </w:rPr>
        <w:t>3mm</w:t>
      </w:r>
      <w:r w:rsidRPr="00E67914">
        <w:rPr>
          <w:rFonts w:ascii="Times New Roman" w:hAnsi="Times New Roman"/>
          <w:bCs/>
          <w:sz w:val="24"/>
          <w:szCs w:val="24"/>
          <w:lang w:eastAsia="zh-CN"/>
        </w:rPr>
        <w:t>）回填至管顶以上</w:t>
      </w:r>
      <w:r w:rsidRPr="00E67914">
        <w:rPr>
          <w:rFonts w:ascii="Times New Roman" w:hAnsi="Times New Roman"/>
          <w:bCs/>
          <w:sz w:val="24"/>
          <w:szCs w:val="24"/>
          <w:lang w:eastAsia="zh-CN"/>
        </w:rPr>
        <w:t>0.3m</w:t>
      </w:r>
      <w:r w:rsidRPr="00E67914">
        <w:rPr>
          <w:rFonts w:ascii="Times New Roman" w:hAnsi="Times New Roman"/>
          <w:bCs/>
          <w:sz w:val="24"/>
          <w:szCs w:val="24"/>
          <w:lang w:eastAsia="zh-CN"/>
        </w:rPr>
        <w:t>后，方可用原土，回填压实，其回填土的岩石和砾石块径不得超过</w:t>
      </w:r>
      <w:r w:rsidRPr="00E67914">
        <w:rPr>
          <w:rFonts w:ascii="Times New Roman" w:hAnsi="Times New Roman"/>
          <w:bCs/>
          <w:sz w:val="24"/>
          <w:szCs w:val="24"/>
          <w:lang w:eastAsia="zh-CN"/>
        </w:rPr>
        <w:t>100mm</w:t>
      </w:r>
      <w:r w:rsidRPr="00E67914">
        <w:rPr>
          <w:rFonts w:ascii="Times New Roman" w:hAnsi="Times New Roman"/>
          <w:bCs/>
          <w:sz w:val="24"/>
          <w:szCs w:val="24"/>
          <w:lang w:eastAsia="zh-CN"/>
        </w:rPr>
        <w:t>。管沟回填应留有沉降裕量，一般高出地面</w:t>
      </w:r>
      <w:r w:rsidRPr="00E67914">
        <w:rPr>
          <w:rFonts w:ascii="Times New Roman" w:hAnsi="Times New Roman"/>
          <w:bCs/>
          <w:sz w:val="24"/>
          <w:szCs w:val="24"/>
          <w:lang w:eastAsia="zh-CN"/>
        </w:rPr>
        <w:t>0.3m</w:t>
      </w:r>
      <w:r w:rsidRPr="00E67914">
        <w:rPr>
          <w:rFonts w:ascii="Times New Roman" w:hAnsi="Times New Roman"/>
          <w:bCs/>
          <w:sz w:val="24"/>
          <w:szCs w:val="24"/>
          <w:lang w:eastAsia="zh-CN"/>
        </w:rPr>
        <w:t>。管道出土端、弯头两侧非嵌固端及稳管墩处，回填土时应分层夯实。管沟回填后，应恢复原地貌，并保护耕植层，防止水土流失和积水。</w:t>
      </w:r>
    </w:p>
    <w:p w14:paraId="2E718108"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②</w:t>
      </w:r>
      <w:r w:rsidRPr="00E67914">
        <w:rPr>
          <w:rFonts w:ascii="Times New Roman" w:hAnsi="Times New Roman"/>
          <w:bCs/>
          <w:sz w:val="24"/>
          <w:szCs w:val="24"/>
          <w:lang w:eastAsia="zh-CN"/>
        </w:rPr>
        <w:t>特殊地段敷设方式</w:t>
      </w:r>
    </w:p>
    <w:p w14:paraId="536FD30B"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为防止陡坡地段雨水冲刷管沟，设计在管沟内每隔适当距离设置截水墙，采用浆砌石砌筑，同时作好导水排水措施。</w:t>
      </w:r>
    </w:p>
    <w:p w14:paraId="04001D4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在侧坡敷设管道时，一般要先开辟一条作业带，然后在作业带靠近山坡一侧挖沟埋设管道，雨季施工时，要作好排水设施，以免冲毁管沟和施工作业带，同时还要注意坡体的稳定。</w:t>
      </w:r>
    </w:p>
    <w:p w14:paraId="136EC1F9"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③</w:t>
      </w:r>
      <w:r w:rsidRPr="00E67914">
        <w:rPr>
          <w:rFonts w:ascii="Times New Roman" w:hAnsi="Times New Roman"/>
          <w:bCs/>
          <w:sz w:val="24"/>
          <w:szCs w:val="24"/>
          <w:lang w:eastAsia="zh-CN"/>
        </w:rPr>
        <w:t>施工作业地带</w:t>
      </w:r>
    </w:p>
    <w:p w14:paraId="1B1416E5" w14:textId="26D8F14C"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lastRenderedPageBreak/>
        <w:t>管道施工作业带在石方段、有地方要求的规划区等特殊地段应在保证施工手段展开的前提下，尽量减小作业带宽度。作业带开拓必须能满足大型车辆和大型施工机械作业要求，本项目新建管道结合线路地形，作业带宽度按</w:t>
      </w:r>
      <w:r w:rsidR="00A131B1" w:rsidRPr="00E67914">
        <w:rPr>
          <w:rFonts w:ascii="Times New Roman" w:hAnsi="Times New Roman"/>
          <w:bCs/>
          <w:sz w:val="24"/>
          <w:szCs w:val="24"/>
          <w:lang w:eastAsia="zh-CN"/>
        </w:rPr>
        <w:t>8</w:t>
      </w:r>
      <w:r w:rsidRPr="00E67914">
        <w:rPr>
          <w:rFonts w:ascii="Times New Roman" w:hAnsi="Times New Roman"/>
          <w:bCs/>
          <w:sz w:val="24"/>
          <w:szCs w:val="24"/>
          <w:lang w:eastAsia="zh-CN"/>
        </w:rPr>
        <w:t>m</w:t>
      </w:r>
      <w:r w:rsidRPr="00E67914">
        <w:rPr>
          <w:rFonts w:ascii="Times New Roman" w:hAnsi="Times New Roman"/>
          <w:bCs/>
          <w:sz w:val="24"/>
          <w:szCs w:val="24"/>
          <w:lang w:eastAsia="zh-CN"/>
        </w:rPr>
        <w:t>考虑。施工作业带清理、平整应遵循保护植被及配套设施，减少或防止产生水土流失的原则。管沟开挖前应弄清施工作业带内是否埋设有管道、电缆、光缆，以及其它建构筑物或设施。探明的地下设施处应设立标志，并在竣工图中注明，施工时采取相应的保护措施。</w:t>
      </w:r>
    </w:p>
    <w:p w14:paraId="6CBF13D3"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按有关法规对管道施工作业带只进行临时性使用土地，施工完毕后应立即还耕复种，并恢复原地貌。本项目管道的施工方式断面下图所示：</w:t>
      </w:r>
    </w:p>
    <w:p w14:paraId="79686E2D" w14:textId="77777777" w:rsidR="00A54A8A" w:rsidRPr="00E67914" w:rsidRDefault="00000000">
      <w:pPr>
        <w:adjustRightInd w:val="0"/>
        <w:snapToGrid w:val="0"/>
        <w:spacing w:line="360" w:lineRule="auto"/>
        <w:jc w:val="center"/>
        <w:rPr>
          <w:rFonts w:ascii="Times New Roman" w:hAnsi="Times New Roman"/>
          <w:bCs/>
          <w:sz w:val="24"/>
          <w:szCs w:val="24"/>
          <w:lang w:eastAsia="zh-CN"/>
        </w:rPr>
      </w:pPr>
      <w:r w:rsidRPr="00E67914">
        <w:rPr>
          <w:rFonts w:ascii="Times New Roman" w:hAnsi="Times New Roman"/>
          <w:b/>
          <w:noProof/>
        </w:rPr>
        <w:drawing>
          <wp:inline distT="0" distB="0" distL="0" distR="0" wp14:anchorId="351D237B" wp14:editId="39E6FBA1">
            <wp:extent cx="5085715" cy="2750820"/>
            <wp:effectExtent l="0" t="0" r="635" b="0"/>
            <wp:docPr id="1923207199" name="图片 1923207199" descr="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07199" name="图片 1923207199" descr="图7.jpg"/>
                    <pic:cNvPicPr>
                      <a:picLocks noChangeAspect="1" noChangeArrowheads="1"/>
                    </pic:cNvPicPr>
                  </pic:nvPicPr>
                  <pic:blipFill>
                    <a:blip r:embed="rId48"/>
                    <a:srcRect t="5027" b="14275"/>
                    <a:stretch>
                      <a:fillRect/>
                    </a:stretch>
                  </pic:blipFill>
                  <pic:spPr>
                    <a:xfrm>
                      <a:off x="0" y="0"/>
                      <a:ext cx="5086350" cy="2751708"/>
                    </a:xfrm>
                    <a:prstGeom prst="rect">
                      <a:avLst/>
                    </a:prstGeom>
                    <a:noFill/>
                    <a:ln>
                      <a:noFill/>
                    </a:ln>
                  </pic:spPr>
                </pic:pic>
              </a:graphicData>
            </a:graphic>
          </wp:inline>
        </w:drawing>
      </w:r>
    </w:p>
    <w:p w14:paraId="36579D2C"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3.3-13  </w:t>
      </w:r>
      <w:r w:rsidRPr="00E67914">
        <w:rPr>
          <w:rFonts w:ascii="Times New Roman" w:eastAsia="黑体" w:hAnsi="Times New Roman"/>
          <w:sz w:val="21"/>
          <w:szCs w:val="21"/>
          <w:lang w:eastAsia="zh-CN"/>
        </w:rPr>
        <w:t>管道施工方式断面示意图</w:t>
      </w:r>
    </w:p>
    <w:p w14:paraId="5A357F51"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宋体" w:hAnsi="宋体" w:cs="宋体" w:hint="eastAsia"/>
          <w:b/>
          <w:bCs/>
          <w:sz w:val="24"/>
          <w:szCs w:val="24"/>
          <w:lang w:eastAsia="zh-CN"/>
        </w:rPr>
        <w:t>④</w:t>
      </w:r>
      <w:r w:rsidRPr="00E67914">
        <w:rPr>
          <w:rFonts w:ascii="Times New Roman" w:hAnsi="Times New Roman"/>
          <w:b/>
          <w:bCs/>
          <w:sz w:val="24"/>
          <w:szCs w:val="24"/>
          <w:lang w:eastAsia="zh-CN"/>
        </w:rPr>
        <w:t>焊接、清管试压干燥置换</w:t>
      </w:r>
    </w:p>
    <w:p w14:paraId="51623A9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A</w:t>
      </w:r>
      <w:r w:rsidRPr="00E67914">
        <w:rPr>
          <w:rFonts w:ascii="Times New Roman" w:hAnsi="Times New Roman"/>
          <w:bCs/>
          <w:sz w:val="24"/>
          <w:szCs w:val="24"/>
          <w:lang w:eastAsia="zh-CN"/>
        </w:rPr>
        <w:t>、管道焊接</w:t>
      </w:r>
    </w:p>
    <w:p w14:paraId="406D94FB"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本工程推荐采用采用氩弧焊打底，手工电弧焊接盖面，施工单位可根据现场情况及自身设备及技术条件调整焊接方式，但必须满足焊接工艺评定相关要求。管道焊缝质量先进行外观检查，外观检查标准应符合《油气长输管道工程施工及验收规范》（</w:t>
      </w:r>
      <w:r w:rsidRPr="00E67914">
        <w:rPr>
          <w:rFonts w:ascii="Times New Roman" w:hAnsi="Times New Roman"/>
          <w:bCs/>
          <w:sz w:val="24"/>
          <w:szCs w:val="24"/>
          <w:lang w:eastAsia="zh-CN"/>
        </w:rPr>
        <w:t>GB50369-2006</w:t>
      </w:r>
      <w:r w:rsidRPr="00E67914">
        <w:rPr>
          <w:rFonts w:ascii="Times New Roman" w:hAnsi="Times New Roman"/>
          <w:bCs/>
          <w:sz w:val="24"/>
          <w:szCs w:val="24"/>
          <w:lang w:eastAsia="zh-CN"/>
        </w:rPr>
        <w:t>）的规定，合格后方可进行无损检测。</w:t>
      </w:r>
    </w:p>
    <w:p w14:paraId="46F945E3"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B</w:t>
      </w:r>
      <w:r w:rsidRPr="00E67914">
        <w:rPr>
          <w:rFonts w:ascii="Times New Roman" w:hAnsi="Times New Roman"/>
          <w:bCs/>
          <w:sz w:val="24"/>
          <w:szCs w:val="24"/>
          <w:lang w:eastAsia="zh-CN"/>
        </w:rPr>
        <w:t>、探伤</w:t>
      </w:r>
    </w:p>
    <w:p w14:paraId="63FAF419"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本项目管道探伤采用</w:t>
      </w:r>
      <w:r w:rsidRPr="00E67914">
        <w:rPr>
          <w:rFonts w:ascii="Times New Roman" w:hAnsi="Times New Roman"/>
          <w:bCs/>
          <w:sz w:val="24"/>
          <w:szCs w:val="24"/>
          <w:lang w:eastAsia="zh-CN"/>
        </w:rPr>
        <w:t>100%</w:t>
      </w:r>
      <w:r w:rsidRPr="00E67914">
        <w:rPr>
          <w:rFonts w:ascii="Times New Roman" w:hAnsi="Times New Roman"/>
          <w:bCs/>
          <w:sz w:val="24"/>
          <w:szCs w:val="24"/>
          <w:lang w:eastAsia="zh-CN"/>
        </w:rPr>
        <w:t>全周长超声波探伤，合格后再进行</w:t>
      </w:r>
      <w:r w:rsidRPr="00E67914">
        <w:rPr>
          <w:rFonts w:ascii="Times New Roman" w:hAnsi="Times New Roman"/>
          <w:bCs/>
          <w:sz w:val="24"/>
          <w:szCs w:val="24"/>
          <w:lang w:eastAsia="zh-CN"/>
        </w:rPr>
        <w:t>100%</w:t>
      </w:r>
      <w:r w:rsidRPr="00E67914">
        <w:rPr>
          <w:rFonts w:ascii="Times New Roman" w:hAnsi="Times New Roman"/>
          <w:bCs/>
          <w:sz w:val="24"/>
          <w:szCs w:val="24"/>
          <w:lang w:eastAsia="zh-CN"/>
        </w:rPr>
        <w:t>的</w:t>
      </w:r>
      <w:r w:rsidRPr="00E67914">
        <w:rPr>
          <w:rFonts w:ascii="Times New Roman" w:hAnsi="Times New Roman"/>
          <w:bCs/>
          <w:sz w:val="24"/>
          <w:szCs w:val="24"/>
          <w:lang w:eastAsia="zh-CN"/>
        </w:rPr>
        <w:t>X</w:t>
      </w:r>
      <w:r w:rsidRPr="00E67914">
        <w:rPr>
          <w:rFonts w:ascii="Times New Roman" w:hAnsi="Times New Roman"/>
          <w:bCs/>
          <w:sz w:val="24"/>
          <w:szCs w:val="24"/>
          <w:lang w:eastAsia="zh-CN"/>
        </w:rPr>
        <w:t>射线探伤检验。工程探伤检验由专业队伍开展，应按照《工业</w:t>
      </w:r>
      <w:r w:rsidRPr="00E67914">
        <w:rPr>
          <w:rFonts w:ascii="Times New Roman" w:hAnsi="Times New Roman"/>
          <w:bCs/>
          <w:sz w:val="24"/>
          <w:szCs w:val="24"/>
          <w:lang w:eastAsia="zh-CN"/>
        </w:rPr>
        <w:t>X</w:t>
      </w:r>
      <w:r w:rsidRPr="00E67914">
        <w:rPr>
          <w:rFonts w:ascii="Times New Roman" w:hAnsi="Times New Roman"/>
          <w:bCs/>
          <w:sz w:val="24"/>
          <w:szCs w:val="24"/>
          <w:lang w:eastAsia="zh-CN"/>
        </w:rPr>
        <w:t>射线探伤放射防护要求》（</w:t>
      </w:r>
      <w:r w:rsidRPr="00E67914">
        <w:rPr>
          <w:rFonts w:ascii="Times New Roman" w:hAnsi="Times New Roman"/>
          <w:bCs/>
          <w:sz w:val="24"/>
          <w:szCs w:val="24"/>
          <w:lang w:eastAsia="zh-CN"/>
        </w:rPr>
        <w:t>GBZ117-2015</w:t>
      </w:r>
      <w:r w:rsidRPr="00E67914">
        <w:rPr>
          <w:rFonts w:ascii="Times New Roman" w:hAnsi="Times New Roman"/>
          <w:bCs/>
          <w:sz w:val="24"/>
          <w:szCs w:val="24"/>
          <w:lang w:eastAsia="zh-CN"/>
        </w:rPr>
        <w:t>）对管道探伤</w:t>
      </w:r>
      <w:r w:rsidRPr="00E67914">
        <w:rPr>
          <w:rFonts w:ascii="Times New Roman" w:hAnsi="Times New Roman"/>
          <w:bCs/>
          <w:sz w:val="24"/>
          <w:szCs w:val="24"/>
          <w:lang w:eastAsia="zh-CN"/>
        </w:rPr>
        <w:t>X</w:t>
      </w:r>
      <w:r w:rsidRPr="00E67914">
        <w:rPr>
          <w:rFonts w:ascii="Times New Roman" w:hAnsi="Times New Roman"/>
          <w:bCs/>
          <w:sz w:val="24"/>
          <w:szCs w:val="24"/>
          <w:lang w:eastAsia="zh-CN"/>
        </w:rPr>
        <w:t>射线复验进行。采用</w:t>
      </w:r>
      <w:r w:rsidRPr="00E67914">
        <w:rPr>
          <w:rFonts w:ascii="Times New Roman" w:hAnsi="Times New Roman"/>
          <w:bCs/>
          <w:sz w:val="24"/>
          <w:szCs w:val="24"/>
          <w:lang w:eastAsia="zh-CN"/>
        </w:rPr>
        <w:t>X</w:t>
      </w:r>
      <w:r w:rsidRPr="00E67914">
        <w:rPr>
          <w:rFonts w:ascii="Times New Roman" w:hAnsi="Times New Roman"/>
          <w:bCs/>
          <w:sz w:val="24"/>
          <w:szCs w:val="24"/>
          <w:lang w:eastAsia="zh-CN"/>
        </w:rPr>
        <w:t>射线探伤设备功率为</w:t>
      </w:r>
      <w:r w:rsidRPr="00E67914">
        <w:rPr>
          <w:rFonts w:ascii="Times New Roman" w:hAnsi="Times New Roman"/>
          <w:bCs/>
          <w:sz w:val="24"/>
          <w:szCs w:val="24"/>
          <w:lang w:eastAsia="zh-CN"/>
        </w:rPr>
        <w:t>700W</w:t>
      </w:r>
      <w:r w:rsidRPr="00E67914">
        <w:rPr>
          <w:rFonts w:ascii="Times New Roman" w:hAnsi="Times New Roman"/>
          <w:bCs/>
          <w:sz w:val="24"/>
          <w:szCs w:val="24"/>
          <w:lang w:eastAsia="zh-CN"/>
        </w:rPr>
        <w:t>，专业队伍在开展探伤工作前，应对项目使用探伤设备到相应环保</w:t>
      </w:r>
      <w:r w:rsidRPr="00E67914">
        <w:rPr>
          <w:rFonts w:ascii="Times New Roman" w:hAnsi="Times New Roman"/>
          <w:bCs/>
          <w:sz w:val="24"/>
          <w:szCs w:val="24"/>
          <w:lang w:eastAsia="zh-CN"/>
        </w:rPr>
        <w:lastRenderedPageBreak/>
        <w:t>部门进行登记，取得《辐射许可证》后方可进行。工程探伤检验由专业队伍开展，应按照《工业</w:t>
      </w:r>
      <w:r w:rsidRPr="00E67914">
        <w:rPr>
          <w:rFonts w:ascii="Times New Roman" w:hAnsi="Times New Roman"/>
          <w:bCs/>
          <w:sz w:val="24"/>
          <w:szCs w:val="24"/>
          <w:lang w:eastAsia="zh-CN"/>
        </w:rPr>
        <w:t>X</w:t>
      </w:r>
      <w:r w:rsidRPr="00E67914">
        <w:rPr>
          <w:rFonts w:ascii="Times New Roman" w:hAnsi="Times New Roman"/>
          <w:bCs/>
          <w:sz w:val="24"/>
          <w:szCs w:val="24"/>
          <w:lang w:eastAsia="zh-CN"/>
        </w:rPr>
        <w:t>射线探伤放射防护要求》（</w:t>
      </w:r>
      <w:r w:rsidRPr="00E67914">
        <w:rPr>
          <w:rFonts w:ascii="Times New Roman" w:hAnsi="Times New Roman"/>
          <w:bCs/>
          <w:sz w:val="24"/>
          <w:szCs w:val="24"/>
          <w:lang w:eastAsia="zh-CN"/>
        </w:rPr>
        <w:t>GBZ117-2015</w:t>
      </w:r>
      <w:r w:rsidRPr="00E67914">
        <w:rPr>
          <w:rFonts w:ascii="Times New Roman" w:hAnsi="Times New Roman"/>
          <w:bCs/>
          <w:sz w:val="24"/>
          <w:szCs w:val="24"/>
          <w:lang w:eastAsia="zh-CN"/>
        </w:rPr>
        <w:t>）对管道探伤</w:t>
      </w:r>
      <w:r w:rsidRPr="00E67914">
        <w:rPr>
          <w:rFonts w:ascii="Times New Roman" w:hAnsi="Times New Roman"/>
          <w:bCs/>
          <w:sz w:val="24"/>
          <w:szCs w:val="24"/>
          <w:lang w:eastAsia="zh-CN"/>
        </w:rPr>
        <w:t>X</w:t>
      </w:r>
      <w:r w:rsidRPr="00E67914">
        <w:rPr>
          <w:rFonts w:ascii="Times New Roman" w:hAnsi="Times New Roman"/>
          <w:bCs/>
          <w:sz w:val="24"/>
          <w:szCs w:val="24"/>
          <w:lang w:eastAsia="zh-CN"/>
        </w:rPr>
        <w:t>射线复验进行。</w:t>
      </w:r>
      <w:r w:rsidRPr="00E67914">
        <w:rPr>
          <w:rFonts w:ascii="Times New Roman" w:hAnsi="Times New Roman"/>
          <w:b/>
          <w:bCs/>
          <w:sz w:val="24"/>
          <w:szCs w:val="24"/>
          <w:lang w:eastAsia="zh-CN"/>
        </w:rPr>
        <w:t>X</w:t>
      </w:r>
      <w:r w:rsidRPr="00E67914">
        <w:rPr>
          <w:rFonts w:ascii="Times New Roman" w:hAnsi="Times New Roman"/>
          <w:b/>
          <w:bCs/>
          <w:sz w:val="24"/>
          <w:szCs w:val="24"/>
          <w:lang w:eastAsia="zh-CN"/>
        </w:rPr>
        <w:t>射线探伤不在本次评价范围内。</w:t>
      </w:r>
    </w:p>
    <w:p w14:paraId="3B53801E"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C</w:t>
      </w:r>
      <w:r w:rsidRPr="00E67914">
        <w:rPr>
          <w:rFonts w:ascii="Times New Roman" w:hAnsi="Times New Roman"/>
          <w:bCs/>
          <w:sz w:val="24"/>
          <w:szCs w:val="24"/>
          <w:lang w:eastAsia="zh-CN"/>
        </w:rPr>
        <w:t>、清管</w:t>
      </w:r>
    </w:p>
    <w:p w14:paraId="0D66E51B"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试压前，应采用清管球（器）进行清管，清管介质应用空气。清管次数不少于</w:t>
      </w:r>
      <w:r w:rsidRPr="00E67914">
        <w:rPr>
          <w:rFonts w:ascii="Times New Roman" w:hAnsi="Times New Roman"/>
          <w:bCs/>
          <w:sz w:val="24"/>
          <w:szCs w:val="24"/>
          <w:lang w:eastAsia="zh-CN"/>
        </w:rPr>
        <w:t>3</w:t>
      </w:r>
      <w:r w:rsidRPr="00E67914">
        <w:rPr>
          <w:rFonts w:ascii="Times New Roman" w:hAnsi="Times New Roman"/>
          <w:bCs/>
          <w:sz w:val="24"/>
          <w:szCs w:val="24"/>
          <w:lang w:eastAsia="zh-CN"/>
        </w:rPr>
        <w:t>次，以开口端不再排除杂物为合格。分段清管应设临时清管器收发装置，清管器接受装置应选择在地势较高且</w:t>
      </w:r>
      <w:r w:rsidRPr="00E67914">
        <w:rPr>
          <w:rFonts w:ascii="Times New Roman" w:hAnsi="Times New Roman"/>
          <w:bCs/>
          <w:sz w:val="24"/>
          <w:szCs w:val="24"/>
          <w:lang w:eastAsia="zh-CN"/>
        </w:rPr>
        <w:t>50m</w:t>
      </w:r>
      <w:r w:rsidRPr="00E67914">
        <w:rPr>
          <w:rFonts w:ascii="Times New Roman" w:hAnsi="Times New Roman"/>
          <w:bCs/>
          <w:sz w:val="24"/>
          <w:szCs w:val="24"/>
          <w:lang w:eastAsia="zh-CN"/>
        </w:rPr>
        <w:t>范围内没有建筑物和人口的区域内，并应设警示标志。清管选用复合式清管器，清管球充水后直径过盈量应为管内径的</w:t>
      </w:r>
      <w:r w:rsidRPr="00E67914">
        <w:rPr>
          <w:rFonts w:ascii="Times New Roman" w:hAnsi="Times New Roman"/>
          <w:bCs/>
          <w:sz w:val="24"/>
          <w:szCs w:val="24"/>
          <w:lang w:eastAsia="zh-CN"/>
        </w:rPr>
        <w:t>5%~8%</w:t>
      </w:r>
      <w:r w:rsidRPr="00E67914">
        <w:rPr>
          <w:rFonts w:ascii="Times New Roman" w:hAnsi="Times New Roman"/>
          <w:bCs/>
          <w:sz w:val="24"/>
          <w:szCs w:val="24"/>
          <w:lang w:eastAsia="zh-CN"/>
        </w:rPr>
        <w:t>。清管时的最大压力不得超过管材最小屈服强度的</w:t>
      </w:r>
      <w:r w:rsidRPr="00E67914">
        <w:rPr>
          <w:rFonts w:ascii="Times New Roman" w:hAnsi="Times New Roman"/>
          <w:bCs/>
          <w:sz w:val="24"/>
          <w:szCs w:val="24"/>
          <w:lang w:eastAsia="zh-CN"/>
        </w:rPr>
        <w:t>30%</w:t>
      </w:r>
      <w:r w:rsidRPr="00E67914">
        <w:rPr>
          <w:rFonts w:ascii="Times New Roman" w:hAnsi="Times New Roman"/>
          <w:bCs/>
          <w:sz w:val="24"/>
          <w:szCs w:val="24"/>
          <w:lang w:eastAsia="zh-CN"/>
        </w:rPr>
        <w:t>。清管器应适用于管线弯管的曲率半径。</w:t>
      </w:r>
    </w:p>
    <w:p w14:paraId="3F6FE6FE"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D</w:t>
      </w:r>
      <w:r w:rsidRPr="00E67914">
        <w:rPr>
          <w:rFonts w:ascii="Times New Roman" w:hAnsi="Times New Roman"/>
          <w:bCs/>
          <w:sz w:val="24"/>
          <w:szCs w:val="24"/>
          <w:lang w:eastAsia="zh-CN"/>
        </w:rPr>
        <w:t>、管道试压</w:t>
      </w:r>
    </w:p>
    <w:p w14:paraId="42FD823A"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本工程线路段管道应进行试压，用洁净水作为试压介质时，每段自然高度应保证最低点管道环向应力不大于</w:t>
      </w:r>
      <w:r w:rsidRPr="00E67914">
        <w:rPr>
          <w:rFonts w:ascii="Times New Roman" w:hAnsi="Times New Roman"/>
          <w:bCs/>
          <w:sz w:val="24"/>
          <w:szCs w:val="24"/>
          <w:lang w:eastAsia="zh-CN"/>
        </w:rPr>
        <w:t>0.95σs</w:t>
      </w:r>
      <w:r w:rsidRPr="00E67914">
        <w:rPr>
          <w:rFonts w:ascii="Times New Roman" w:hAnsi="Times New Roman"/>
          <w:bCs/>
          <w:sz w:val="24"/>
          <w:szCs w:val="24"/>
          <w:lang w:eastAsia="zh-CN"/>
        </w:rPr>
        <w:t>。水质为无腐蚀性洁净水，试压时水温不得低于</w:t>
      </w:r>
      <w:r w:rsidRPr="00E67914">
        <w:rPr>
          <w:rFonts w:ascii="Times New Roman" w:hAnsi="Times New Roman"/>
          <w:bCs/>
          <w:sz w:val="24"/>
          <w:szCs w:val="24"/>
          <w:lang w:eastAsia="zh-CN"/>
        </w:rPr>
        <w:t>5℃</w:t>
      </w:r>
      <w:r w:rsidRPr="00E67914">
        <w:rPr>
          <w:rFonts w:ascii="Times New Roman" w:hAnsi="Times New Roman"/>
          <w:bCs/>
          <w:sz w:val="24"/>
          <w:szCs w:val="24"/>
          <w:lang w:eastAsia="zh-CN"/>
        </w:rPr>
        <w:t>，否则应采取防冻措施。注水宜连续，排除管道内的气体。水试压合格后，必须将管段内积水清扫干净。</w:t>
      </w:r>
    </w:p>
    <w:p w14:paraId="1279D0C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本工程管道试验压力应为：</w:t>
      </w:r>
    </w:p>
    <w:p w14:paraId="664A1BE2"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强度试验压力为管道设计压力的</w:t>
      </w:r>
      <w:r w:rsidRPr="00E67914">
        <w:rPr>
          <w:rFonts w:ascii="Times New Roman" w:hAnsi="Times New Roman"/>
          <w:bCs/>
          <w:sz w:val="24"/>
          <w:szCs w:val="24"/>
          <w:lang w:eastAsia="zh-CN"/>
        </w:rPr>
        <w:t>1.5</w:t>
      </w:r>
      <w:r w:rsidRPr="00E67914">
        <w:rPr>
          <w:rFonts w:ascii="Times New Roman" w:hAnsi="Times New Roman"/>
          <w:bCs/>
          <w:sz w:val="24"/>
          <w:szCs w:val="24"/>
          <w:lang w:eastAsia="zh-CN"/>
        </w:rPr>
        <w:t>倍，严密性试验的压力为管道的设计压力。</w:t>
      </w:r>
    </w:p>
    <w:p w14:paraId="441C878A"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管道强度试验时，应缓慢升压，压力分别升至试验压力的</w:t>
      </w:r>
      <w:r w:rsidRPr="00E67914">
        <w:rPr>
          <w:rFonts w:ascii="Times New Roman" w:hAnsi="Times New Roman"/>
          <w:bCs/>
          <w:sz w:val="24"/>
          <w:szCs w:val="24"/>
          <w:lang w:eastAsia="zh-CN"/>
        </w:rPr>
        <w:t>30%</w:t>
      </w:r>
      <w:r w:rsidRPr="00E67914">
        <w:rPr>
          <w:rFonts w:ascii="Times New Roman" w:hAnsi="Times New Roman"/>
          <w:bCs/>
          <w:sz w:val="24"/>
          <w:szCs w:val="24"/>
          <w:lang w:eastAsia="zh-CN"/>
        </w:rPr>
        <w:t>和</w:t>
      </w:r>
      <w:r w:rsidRPr="00E67914">
        <w:rPr>
          <w:rFonts w:ascii="Times New Roman" w:hAnsi="Times New Roman"/>
          <w:bCs/>
          <w:sz w:val="24"/>
          <w:szCs w:val="24"/>
          <w:lang w:eastAsia="zh-CN"/>
        </w:rPr>
        <w:t>60%</w:t>
      </w:r>
      <w:r w:rsidRPr="00E67914">
        <w:rPr>
          <w:rFonts w:ascii="Times New Roman" w:hAnsi="Times New Roman"/>
          <w:bCs/>
          <w:sz w:val="24"/>
          <w:szCs w:val="24"/>
          <w:lang w:eastAsia="zh-CN"/>
        </w:rPr>
        <w:t>，各稳压</w:t>
      </w:r>
      <w:r w:rsidRPr="00E67914">
        <w:rPr>
          <w:rFonts w:ascii="Times New Roman" w:hAnsi="Times New Roman"/>
          <w:bCs/>
          <w:sz w:val="24"/>
          <w:szCs w:val="24"/>
          <w:lang w:eastAsia="zh-CN"/>
        </w:rPr>
        <w:t>30min</w:t>
      </w:r>
      <w:r w:rsidRPr="00E67914">
        <w:rPr>
          <w:rFonts w:ascii="Times New Roman" w:hAnsi="Times New Roman"/>
          <w:bCs/>
          <w:sz w:val="24"/>
          <w:szCs w:val="24"/>
          <w:lang w:eastAsia="zh-CN"/>
        </w:rPr>
        <w:t>，检查管道无变形、无渗漏后，继续升至强度试验压力，稳压</w:t>
      </w:r>
      <w:r w:rsidRPr="00E67914">
        <w:rPr>
          <w:rFonts w:ascii="Times New Roman" w:hAnsi="Times New Roman"/>
          <w:bCs/>
          <w:sz w:val="24"/>
          <w:szCs w:val="24"/>
          <w:lang w:eastAsia="zh-CN"/>
        </w:rPr>
        <w:t>4h</w:t>
      </w:r>
      <w:r w:rsidRPr="00E67914">
        <w:rPr>
          <w:rFonts w:ascii="Times New Roman" w:hAnsi="Times New Roman"/>
          <w:bCs/>
          <w:sz w:val="24"/>
          <w:szCs w:val="24"/>
          <w:lang w:eastAsia="zh-CN"/>
        </w:rPr>
        <w:t>，管道无断裂，目测无变形、无渗漏、压降小于或等于试验压力的</w:t>
      </w:r>
      <w:r w:rsidRPr="00E67914">
        <w:rPr>
          <w:rFonts w:ascii="Times New Roman" w:hAnsi="Times New Roman"/>
          <w:bCs/>
          <w:sz w:val="24"/>
          <w:szCs w:val="24"/>
          <w:lang w:eastAsia="zh-CN"/>
        </w:rPr>
        <w:t>1%</w:t>
      </w:r>
      <w:r w:rsidRPr="00E67914">
        <w:rPr>
          <w:rFonts w:ascii="Times New Roman" w:hAnsi="Times New Roman"/>
          <w:bCs/>
          <w:sz w:val="24"/>
          <w:szCs w:val="24"/>
          <w:lang w:eastAsia="zh-CN"/>
        </w:rPr>
        <w:t>且不大于</w:t>
      </w:r>
      <w:r w:rsidRPr="00E67914">
        <w:rPr>
          <w:rFonts w:ascii="Times New Roman" w:hAnsi="Times New Roman"/>
          <w:bCs/>
          <w:sz w:val="24"/>
          <w:szCs w:val="24"/>
          <w:lang w:eastAsia="zh-CN"/>
        </w:rPr>
        <w:t>0.1MPa</w:t>
      </w:r>
      <w:r w:rsidRPr="00E67914">
        <w:rPr>
          <w:rFonts w:ascii="Times New Roman" w:hAnsi="Times New Roman"/>
          <w:bCs/>
          <w:sz w:val="24"/>
          <w:szCs w:val="24"/>
          <w:lang w:eastAsia="zh-CN"/>
        </w:rPr>
        <w:t>为合格。强度试压合格后，应对整个管道进行卸压，卸压后应采取如通球等措施将水排除。</w:t>
      </w:r>
    </w:p>
    <w:p w14:paraId="15889C31"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严密性试验应在强度试验合格后进行。</w:t>
      </w:r>
    </w:p>
    <w:p w14:paraId="34DCBC39"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采用无腐蚀性洁净水进行严密性试验时，应将管道内压力值降至设计压力，后稳压</w:t>
      </w:r>
      <w:r w:rsidRPr="00E67914">
        <w:rPr>
          <w:rFonts w:ascii="Times New Roman" w:hAnsi="Times New Roman"/>
          <w:bCs/>
          <w:sz w:val="24"/>
          <w:szCs w:val="24"/>
          <w:lang w:eastAsia="zh-CN"/>
        </w:rPr>
        <w:t>24h</w:t>
      </w:r>
      <w:r w:rsidRPr="00E67914">
        <w:rPr>
          <w:rFonts w:ascii="Times New Roman" w:hAnsi="Times New Roman"/>
          <w:bCs/>
          <w:sz w:val="24"/>
          <w:szCs w:val="24"/>
          <w:lang w:eastAsia="zh-CN"/>
        </w:rPr>
        <w:t>，若巡线检查管道无断裂，目测无变形、无渗漏。压降率不大于试验压力值的</w:t>
      </w:r>
      <w:r w:rsidRPr="00E67914">
        <w:rPr>
          <w:rFonts w:ascii="Times New Roman" w:hAnsi="Times New Roman"/>
          <w:bCs/>
          <w:sz w:val="24"/>
          <w:szCs w:val="24"/>
          <w:lang w:eastAsia="zh-CN"/>
        </w:rPr>
        <w:t>1%</w:t>
      </w:r>
      <w:r w:rsidRPr="00E67914">
        <w:rPr>
          <w:rFonts w:ascii="Times New Roman" w:hAnsi="Times New Roman"/>
          <w:bCs/>
          <w:sz w:val="24"/>
          <w:szCs w:val="24"/>
          <w:lang w:eastAsia="zh-CN"/>
        </w:rPr>
        <w:t>且不大于</w:t>
      </w:r>
      <w:r w:rsidRPr="00E67914">
        <w:rPr>
          <w:rFonts w:ascii="Times New Roman" w:hAnsi="Times New Roman"/>
          <w:bCs/>
          <w:sz w:val="24"/>
          <w:szCs w:val="24"/>
          <w:lang w:eastAsia="zh-CN"/>
        </w:rPr>
        <w:t>0.1MPa</w:t>
      </w:r>
      <w:r w:rsidRPr="00E67914">
        <w:rPr>
          <w:rFonts w:ascii="Times New Roman" w:hAnsi="Times New Roman"/>
          <w:bCs/>
          <w:sz w:val="24"/>
          <w:szCs w:val="24"/>
          <w:lang w:eastAsia="zh-CN"/>
        </w:rPr>
        <w:t>为合格。</w:t>
      </w:r>
    </w:p>
    <w:p w14:paraId="132DA7EF"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E</w:t>
      </w:r>
      <w:r w:rsidRPr="00E67914">
        <w:rPr>
          <w:rFonts w:ascii="Times New Roman" w:hAnsi="Times New Roman"/>
          <w:bCs/>
          <w:sz w:val="24"/>
          <w:szCs w:val="24"/>
          <w:lang w:eastAsia="zh-CN"/>
        </w:rPr>
        <w:t>、管道干燥</w:t>
      </w:r>
    </w:p>
    <w:p w14:paraId="59902B67"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lastRenderedPageBreak/>
        <w:t>燃料气管道在投运前应进行彻底干燥。干燥前，应先用清管器连续三次清扫管道内残余水，后用干燥的空气吹扫干净，当测量管道内空气水露点低于</w:t>
      </w:r>
      <w:r w:rsidRPr="00E67914">
        <w:rPr>
          <w:rFonts w:ascii="Times New Roman" w:hAnsi="Times New Roman"/>
          <w:bCs/>
          <w:sz w:val="24"/>
          <w:szCs w:val="24"/>
          <w:lang w:eastAsia="zh-CN"/>
        </w:rPr>
        <w:t>-15℃</w:t>
      </w:r>
      <w:r w:rsidRPr="00E67914">
        <w:rPr>
          <w:rFonts w:ascii="Times New Roman" w:hAnsi="Times New Roman"/>
          <w:bCs/>
          <w:sz w:val="24"/>
          <w:szCs w:val="24"/>
          <w:lang w:eastAsia="zh-CN"/>
        </w:rPr>
        <w:t>为合格。</w:t>
      </w:r>
    </w:p>
    <w:p w14:paraId="0ADDF55F"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F</w:t>
      </w:r>
      <w:r w:rsidRPr="00E67914">
        <w:rPr>
          <w:rFonts w:ascii="Times New Roman" w:hAnsi="Times New Roman"/>
          <w:bCs/>
          <w:sz w:val="24"/>
          <w:szCs w:val="24"/>
          <w:lang w:eastAsia="zh-CN"/>
        </w:rPr>
        <w:t>、管道置换</w:t>
      </w:r>
    </w:p>
    <w:p w14:paraId="001B0705"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管道及设备投用前需用氮气对天然气系统进行置换。置换氮气压力为</w:t>
      </w:r>
      <w:r w:rsidRPr="00E67914">
        <w:rPr>
          <w:rFonts w:ascii="Times New Roman" w:hAnsi="Times New Roman"/>
          <w:bCs/>
          <w:sz w:val="24"/>
          <w:szCs w:val="24"/>
          <w:lang w:eastAsia="zh-CN"/>
        </w:rPr>
        <w:t>0.2</w:t>
      </w:r>
      <w:r w:rsidRPr="00E67914">
        <w:rPr>
          <w:rFonts w:ascii="Times New Roman" w:hAnsi="Times New Roman"/>
          <w:bCs/>
          <w:sz w:val="24"/>
          <w:szCs w:val="24"/>
          <w:lang w:eastAsia="zh-CN"/>
        </w:rPr>
        <w:t>～</w:t>
      </w:r>
      <w:r w:rsidRPr="00E67914">
        <w:rPr>
          <w:rFonts w:ascii="Times New Roman" w:hAnsi="Times New Roman"/>
          <w:bCs/>
          <w:sz w:val="24"/>
          <w:szCs w:val="24"/>
          <w:lang w:eastAsia="zh-CN"/>
        </w:rPr>
        <w:t>0.3MPa</w:t>
      </w:r>
      <w:r w:rsidRPr="00E67914">
        <w:rPr>
          <w:rFonts w:ascii="Times New Roman" w:hAnsi="Times New Roman"/>
          <w:bCs/>
          <w:sz w:val="24"/>
          <w:szCs w:val="24"/>
          <w:lang w:eastAsia="zh-CN"/>
        </w:rPr>
        <w:t>，置换反复进行，直至置换排气中氧含量小于</w:t>
      </w:r>
      <w:r w:rsidRPr="00E67914">
        <w:rPr>
          <w:rFonts w:ascii="Times New Roman" w:hAnsi="Times New Roman"/>
          <w:bCs/>
          <w:sz w:val="24"/>
          <w:szCs w:val="24"/>
          <w:lang w:eastAsia="zh-CN"/>
        </w:rPr>
        <w:t>2%</w:t>
      </w:r>
      <w:r w:rsidRPr="00E67914">
        <w:rPr>
          <w:rFonts w:ascii="Times New Roman" w:hAnsi="Times New Roman"/>
          <w:bCs/>
          <w:sz w:val="24"/>
          <w:szCs w:val="24"/>
          <w:lang w:eastAsia="zh-CN"/>
        </w:rPr>
        <w:t>为止。氮气置换合格后用天然气进行系统置换。</w:t>
      </w:r>
    </w:p>
    <w:p w14:paraId="27E9059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G</w:t>
      </w:r>
      <w:r w:rsidRPr="00E67914">
        <w:rPr>
          <w:rFonts w:ascii="Times New Roman" w:hAnsi="Times New Roman"/>
          <w:bCs/>
          <w:sz w:val="24"/>
          <w:szCs w:val="24"/>
          <w:lang w:eastAsia="zh-CN"/>
        </w:rPr>
        <w:t>、投运</w:t>
      </w:r>
    </w:p>
    <w:p w14:paraId="3187286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试压合格后，管道管理单位应根据《天然气管道运行规范》（</w:t>
      </w:r>
      <w:r w:rsidRPr="00E67914">
        <w:rPr>
          <w:rFonts w:ascii="Times New Roman" w:hAnsi="Times New Roman"/>
          <w:bCs/>
          <w:sz w:val="24"/>
          <w:szCs w:val="24"/>
          <w:lang w:eastAsia="zh-CN"/>
        </w:rPr>
        <w:t>SY/T5922-2012</w:t>
      </w:r>
      <w:r w:rsidRPr="00E67914">
        <w:rPr>
          <w:rFonts w:ascii="Times New Roman" w:hAnsi="Times New Roman"/>
          <w:bCs/>
          <w:sz w:val="24"/>
          <w:szCs w:val="24"/>
          <w:lang w:eastAsia="zh-CN"/>
        </w:rPr>
        <w:t>）相关规定制定投运方案及相应的安全应急预案，经相关部门审查通过后实施。</w:t>
      </w:r>
    </w:p>
    <w:p w14:paraId="2924C28B"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3" w:name="3.3.2营运期污染源"/>
      <w:bookmarkEnd w:id="83"/>
      <w:r w:rsidRPr="00E67914">
        <w:rPr>
          <w:rFonts w:ascii="Times New Roman" w:eastAsia="黑体" w:hAnsi="Times New Roman"/>
          <w:b w:val="0"/>
          <w:sz w:val="24"/>
          <w:szCs w:val="24"/>
          <w:lang w:eastAsia="zh-CN"/>
        </w:rPr>
        <w:t>3.3.2</w:t>
      </w:r>
      <w:r w:rsidRPr="00E67914">
        <w:rPr>
          <w:rFonts w:ascii="Times New Roman" w:eastAsia="黑体" w:hAnsi="Times New Roman"/>
          <w:b w:val="0"/>
          <w:sz w:val="24"/>
          <w:szCs w:val="24"/>
          <w:lang w:eastAsia="zh-CN"/>
        </w:rPr>
        <w:t>试采期工程分析</w:t>
      </w:r>
    </w:p>
    <w:p w14:paraId="024815E8" w14:textId="0E9E988D"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如钻井完毕并通过测试获得天然气，则进行地面建设工程，本项目新建</w:t>
      </w:r>
      <w:r w:rsidR="00193429" w:rsidRPr="00E67914">
        <w:rPr>
          <w:rFonts w:ascii="Times New Roman" w:hAnsi="Times New Roman"/>
          <w:bCs/>
          <w:sz w:val="24"/>
          <w:szCs w:val="24"/>
          <w:lang w:eastAsia="zh-CN"/>
        </w:rPr>
        <w:t>普陆页</w:t>
      </w:r>
      <w:r w:rsidR="00193429" w:rsidRPr="00E67914">
        <w:rPr>
          <w:rFonts w:ascii="Times New Roman" w:hAnsi="Times New Roman"/>
          <w:bCs/>
          <w:sz w:val="24"/>
          <w:szCs w:val="24"/>
          <w:lang w:eastAsia="zh-CN"/>
        </w:rPr>
        <w:t>2</w:t>
      </w:r>
      <w:r w:rsidR="00193429" w:rsidRPr="00E67914">
        <w:rPr>
          <w:rFonts w:ascii="Times New Roman" w:hAnsi="Times New Roman"/>
          <w:bCs/>
          <w:sz w:val="24"/>
          <w:szCs w:val="24"/>
          <w:lang w:eastAsia="zh-CN"/>
        </w:rPr>
        <w:t>试采站</w:t>
      </w:r>
      <w:r w:rsidRPr="00E67914">
        <w:rPr>
          <w:rFonts w:ascii="Times New Roman" w:hAnsi="Times New Roman"/>
          <w:bCs/>
          <w:sz w:val="24"/>
          <w:szCs w:val="24"/>
          <w:lang w:eastAsia="zh-CN"/>
        </w:rPr>
        <w:t>试采，运营期无需新增占地。若无工业产能且无后续开发计划，则井口采用水泥浆封井，井口焊上钢板和阀门，井站其它装置、房屋搬迁，井口设立标志。</w:t>
      </w:r>
    </w:p>
    <w:p w14:paraId="227D1CBB"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1</w:t>
      </w:r>
      <w:r w:rsidRPr="00E67914">
        <w:rPr>
          <w:rFonts w:ascii="Times New Roman" w:hAnsi="Times New Roman"/>
          <w:b/>
          <w:sz w:val="24"/>
          <w:lang w:eastAsia="zh-CN"/>
        </w:rPr>
        <w:t>、采气试采工艺流程</w:t>
      </w:r>
    </w:p>
    <w:p w14:paraId="34C3F54C" w14:textId="291CF6F8" w:rsidR="00A54A8A" w:rsidRPr="00E67914" w:rsidRDefault="00A47454">
      <w:pPr>
        <w:spacing w:line="360" w:lineRule="auto"/>
        <w:jc w:val="center"/>
        <w:rPr>
          <w:rFonts w:ascii="Times New Roman" w:hAnsi="Times New Roman"/>
          <w:bCs/>
          <w:sz w:val="24"/>
          <w:lang w:eastAsia="zh-CN"/>
        </w:rPr>
      </w:pPr>
      <w:r w:rsidRPr="00E67914">
        <w:rPr>
          <w:rFonts w:ascii="Times New Roman" w:hAnsi="Times New Roman"/>
          <w:noProof/>
        </w:rPr>
        <w:drawing>
          <wp:inline distT="0" distB="0" distL="0" distR="0" wp14:anchorId="19DB47D4" wp14:editId="573B5651">
            <wp:extent cx="5276850" cy="1902460"/>
            <wp:effectExtent l="0" t="0" r="0" b="2540"/>
            <wp:docPr id="2025209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09326" name=""/>
                    <pic:cNvPicPr/>
                  </pic:nvPicPr>
                  <pic:blipFill>
                    <a:blip r:embed="rId49"/>
                    <a:stretch>
                      <a:fillRect/>
                    </a:stretch>
                  </pic:blipFill>
                  <pic:spPr>
                    <a:xfrm>
                      <a:off x="0" y="0"/>
                      <a:ext cx="5276850" cy="1902460"/>
                    </a:xfrm>
                    <a:prstGeom prst="rect">
                      <a:avLst/>
                    </a:prstGeom>
                  </pic:spPr>
                </pic:pic>
              </a:graphicData>
            </a:graphic>
          </wp:inline>
        </w:drawing>
      </w:r>
    </w:p>
    <w:p w14:paraId="30E660F9" w14:textId="1A6B538B"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3.3-14  </w:t>
      </w:r>
      <w:r w:rsidRPr="00E67914">
        <w:rPr>
          <w:rFonts w:ascii="Times New Roman" w:eastAsia="黑体" w:hAnsi="Times New Roman"/>
          <w:sz w:val="21"/>
          <w:szCs w:val="21"/>
          <w:lang w:eastAsia="zh-CN"/>
        </w:rPr>
        <w:t>试采期工艺流程图</w:t>
      </w:r>
    </w:p>
    <w:p w14:paraId="06FE866B" w14:textId="77777777" w:rsidR="00A54A8A" w:rsidRPr="00E67914" w:rsidRDefault="00000000">
      <w:pPr>
        <w:adjustRightInd w:val="0"/>
        <w:snapToGrid w:val="0"/>
        <w:spacing w:line="360" w:lineRule="auto"/>
        <w:ind w:firstLineChars="200" w:firstLine="482"/>
        <w:jc w:val="both"/>
        <w:rPr>
          <w:rFonts w:ascii="Times New Roman" w:hAnsi="Times New Roman"/>
          <w:bCs/>
          <w:sz w:val="24"/>
          <w:szCs w:val="24"/>
          <w:lang w:eastAsia="zh-CN"/>
        </w:rPr>
      </w:pPr>
      <w:r w:rsidRPr="00E67914">
        <w:rPr>
          <w:rFonts w:ascii="Times New Roman" w:hAnsi="Times New Roman"/>
          <w:b/>
          <w:bCs/>
          <w:sz w:val="24"/>
          <w:szCs w:val="24"/>
          <w:lang w:eastAsia="zh-CN"/>
        </w:rPr>
        <w:t>工艺流程描述：</w:t>
      </w:r>
    </w:p>
    <w:p w14:paraId="6D775956" w14:textId="32D0BE20"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天然气</w:t>
      </w:r>
      <w:r w:rsidR="00D36E52" w:rsidRPr="00E67914">
        <w:rPr>
          <w:rFonts w:ascii="Times New Roman" w:hAnsi="Times New Roman"/>
          <w:sz w:val="24"/>
          <w:lang w:eastAsia="zh-CN"/>
        </w:rPr>
        <w:t>采用井口除砂、加热节流、混相轮换计量、气液两相分离、油气水三相闪蒸分离、原料气保温输送、凝析油和采出水分开储存装车工艺，实现气井产物油气水分开计量及天然气外输和污水、凝析油等进行分类回收处置功能</w:t>
      </w:r>
      <w:r w:rsidRPr="00E67914">
        <w:rPr>
          <w:rFonts w:ascii="Times New Roman" w:hAnsi="Times New Roman"/>
          <w:bCs/>
          <w:sz w:val="24"/>
          <w:szCs w:val="24"/>
          <w:lang w:eastAsia="zh-CN"/>
        </w:rPr>
        <w:t>。</w:t>
      </w:r>
    </w:p>
    <w:p w14:paraId="3B74786D" w14:textId="77777777"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）试采总工艺流程</w:t>
      </w:r>
    </w:p>
    <w:p w14:paraId="7867023F" w14:textId="7D2814B9"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试采期，井口采出物输送至试采站水套加热炉加热节流。节流后的采出物进入三相计量撬计量后进入两相分离器进行气液分离，气相通过拟建外输管线外输至</w:t>
      </w:r>
      <w:r w:rsidRPr="00E67914">
        <w:rPr>
          <w:rFonts w:ascii="Times New Roman" w:hAnsi="Times New Roman"/>
          <w:sz w:val="24"/>
          <w:lang w:eastAsia="zh-CN"/>
        </w:rPr>
        <w:t>P302</w:t>
      </w:r>
      <w:r w:rsidRPr="00E67914">
        <w:rPr>
          <w:rFonts w:ascii="Times New Roman" w:hAnsi="Times New Roman"/>
          <w:sz w:val="24"/>
          <w:lang w:eastAsia="zh-CN"/>
        </w:rPr>
        <w:t>集气站；分离出的油水混合物进闪蒸分离器，闪蒸分离器分离出的天然气作为站内自用燃料气供加热炉使用，闪蒸分离后的油进高架油罐，分离出的油产品装车外输销售，闪蒸分离的污水（采出水）排至采出水罐。</w:t>
      </w:r>
    </w:p>
    <w:p w14:paraId="5541DFED" w14:textId="77777777"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）井口工艺</w:t>
      </w:r>
    </w:p>
    <w:p w14:paraId="5B387684" w14:textId="77777777"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井口采出的高压气由采气管线输至试采站，单井井口设紧急切断连锁，井口压力、温度设远传信号。</w:t>
      </w:r>
    </w:p>
    <w:p w14:paraId="2027839E" w14:textId="1FDFE786"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）加热节流工艺</w:t>
      </w:r>
    </w:p>
    <w:p w14:paraId="26F0F9D3" w14:textId="42FE02B3"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井口采出物进水套加热炉撬加热节流，节流后温度</w:t>
      </w:r>
      <w:r w:rsidRPr="00E67914">
        <w:rPr>
          <w:rFonts w:ascii="Times New Roman" w:hAnsi="Times New Roman"/>
          <w:sz w:val="24"/>
          <w:lang w:eastAsia="zh-CN"/>
        </w:rPr>
        <w:t>50℃</w:t>
      </w:r>
      <w:r w:rsidRPr="00E67914">
        <w:rPr>
          <w:rFonts w:ascii="Times New Roman" w:hAnsi="Times New Roman"/>
          <w:sz w:val="24"/>
          <w:lang w:eastAsia="zh-CN"/>
        </w:rPr>
        <w:t>左右。</w:t>
      </w:r>
    </w:p>
    <w:p w14:paraId="05ACDAB0" w14:textId="05AA5A14"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）气液分离工艺</w:t>
      </w:r>
    </w:p>
    <w:p w14:paraId="534E4CE8" w14:textId="04A694E2"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加热炉节流后的采出物进入三相计量撬计量后进入两相分离器进行气液分离，气相通过拟建外输管线外输至</w:t>
      </w:r>
      <w:r w:rsidRPr="00E67914">
        <w:rPr>
          <w:rFonts w:ascii="Times New Roman" w:hAnsi="Times New Roman"/>
          <w:sz w:val="24"/>
          <w:lang w:eastAsia="zh-CN"/>
        </w:rPr>
        <w:t>P302</w:t>
      </w:r>
      <w:r w:rsidRPr="00E67914">
        <w:rPr>
          <w:rFonts w:ascii="Times New Roman" w:hAnsi="Times New Roman"/>
          <w:sz w:val="24"/>
          <w:lang w:eastAsia="zh-CN"/>
        </w:rPr>
        <w:t>集气站；分离出的油水混合物进闪蒸分离器，闪蒸分离器分离出的天然气作为站内自用燃料气供加热炉使用，闪蒸分离后的油进高架油罐，分离出的油产品装车外输销售，闪蒸分离的污水（采出水）排至采出水罐。</w:t>
      </w:r>
    </w:p>
    <w:p w14:paraId="46137C8B" w14:textId="443B53BB"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5</w:t>
      </w:r>
      <w:r w:rsidRPr="00E67914">
        <w:rPr>
          <w:rFonts w:ascii="Times New Roman" w:hAnsi="Times New Roman"/>
          <w:sz w:val="24"/>
          <w:lang w:eastAsia="zh-CN"/>
        </w:rPr>
        <w:t>）原油装车</w:t>
      </w:r>
    </w:p>
    <w:p w14:paraId="749DB922" w14:textId="77777777"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根据《石油库设计规范》（</w:t>
      </w:r>
      <w:r w:rsidRPr="00E67914">
        <w:rPr>
          <w:rFonts w:ascii="Times New Roman" w:hAnsi="Times New Roman"/>
          <w:sz w:val="24"/>
          <w:lang w:eastAsia="zh-CN"/>
        </w:rPr>
        <w:t>GB50074-2014</w:t>
      </w:r>
      <w:r w:rsidRPr="00E67914">
        <w:rPr>
          <w:rFonts w:ascii="Times New Roman" w:hAnsi="Times New Roman"/>
          <w:sz w:val="24"/>
          <w:lang w:eastAsia="zh-CN"/>
        </w:rPr>
        <w:t>），高架油罐利用高差，采用上装鹤管自流装车。装车鹤管采用能插入罐车底部的装车鹤管，鹤管内的液体流速，在鹤管口浸没于液体之前不应大于</w:t>
      </w:r>
      <w:r w:rsidRPr="00E67914">
        <w:rPr>
          <w:rFonts w:ascii="Times New Roman" w:hAnsi="Times New Roman"/>
          <w:sz w:val="24"/>
          <w:lang w:eastAsia="zh-CN"/>
        </w:rPr>
        <w:t>1m/s</w:t>
      </w:r>
      <w:r w:rsidRPr="00E67914">
        <w:rPr>
          <w:rFonts w:ascii="Times New Roman" w:hAnsi="Times New Roman"/>
          <w:sz w:val="24"/>
          <w:lang w:eastAsia="zh-CN"/>
        </w:rPr>
        <w:t>，浸没于液体之后不应大于</w:t>
      </w:r>
      <w:r w:rsidRPr="00E67914">
        <w:rPr>
          <w:rFonts w:ascii="Times New Roman" w:hAnsi="Times New Roman"/>
          <w:sz w:val="24"/>
          <w:lang w:eastAsia="zh-CN"/>
        </w:rPr>
        <w:t>4.5m/s</w:t>
      </w:r>
      <w:r w:rsidRPr="00E67914">
        <w:rPr>
          <w:rFonts w:ascii="Times New Roman" w:hAnsi="Times New Roman"/>
          <w:sz w:val="24"/>
          <w:lang w:eastAsia="zh-CN"/>
        </w:rPr>
        <w:t>，工作半径</w:t>
      </w:r>
      <w:r w:rsidRPr="00E67914">
        <w:rPr>
          <w:rFonts w:ascii="Times New Roman" w:hAnsi="Times New Roman"/>
          <w:sz w:val="24"/>
          <w:lang w:eastAsia="zh-CN"/>
        </w:rPr>
        <w:t>(</w:t>
      </w:r>
      <w:r w:rsidRPr="00E67914">
        <w:rPr>
          <w:rFonts w:ascii="Times New Roman" w:hAnsi="Times New Roman"/>
          <w:sz w:val="24"/>
          <w:lang w:eastAsia="zh-CN"/>
        </w:rPr>
        <w:t>内臂</w:t>
      </w:r>
      <w:r w:rsidRPr="00E67914">
        <w:rPr>
          <w:rFonts w:ascii="Times New Roman" w:hAnsi="Times New Roman"/>
          <w:sz w:val="24"/>
          <w:lang w:eastAsia="zh-CN"/>
        </w:rPr>
        <w:t>+</w:t>
      </w:r>
      <w:r w:rsidRPr="00E67914">
        <w:rPr>
          <w:rFonts w:ascii="Times New Roman" w:hAnsi="Times New Roman"/>
          <w:sz w:val="24"/>
          <w:lang w:eastAsia="zh-CN"/>
        </w:rPr>
        <w:t>外臂</w:t>
      </w:r>
      <w:r w:rsidRPr="00E67914">
        <w:rPr>
          <w:rFonts w:ascii="Times New Roman" w:hAnsi="Times New Roman"/>
          <w:sz w:val="24"/>
          <w:lang w:eastAsia="zh-CN"/>
        </w:rPr>
        <w:t>)</w:t>
      </w:r>
      <w:r w:rsidRPr="00E67914">
        <w:rPr>
          <w:rFonts w:ascii="Times New Roman" w:hAnsi="Times New Roman"/>
          <w:sz w:val="24"/>
          <w:lang w:eastAsia="zh-CN"/>
        </w:rPr>
        <w:t>：</w:t>
      </w:r>
      <w:r w:rsidRPr="00E67914">
        <w:rPr>
          <w:rFonts w:ascii="Times New Roman" w:hAnsi="Times New Roman"/>
          <w:sz w:val="24"/>
          <w:lang w:eastAsia="zh-CN"/>
        </w:rPr>
        <w:t>3-4m</w:t>
      </w:r>
      <w:r w:rsidRPr="00E67914">
        <w:rPr>
          <w:rFonts w:ascii="Times New Roman" w:hAnsi="Times New Roman"/>
          <w:sz w:val="24"/>
          <w:lang w:eastAsia="zh-CN"/>
        </w:rPr>
        <w:t>，可调式垂臂（铝合金）：</w:t>
      </w:r>
      <w:r w:rsidRPr="00E67914">
        <w:rPr>
          <w:rFonts w:ascii="Times New Roman" w:hAnsi="Times New Roman"/>
          <w:sz w:val="24"/>
          <w:lang w:eastAsia="zh-CN"/>
        </w:rPr>
        <w:t>2.5m</w:t>
      </w:r>
      <w:r w:rsidRPr="00E67914">
        <w:rPr>
          <w:rFonts w:ascii="Times New Roman" w:hAnsi="Times New Roman"/>
          <w:sz w:val="24"/>
          <w:lang w:eastAsia="zh-CN"/>
        </w:rPr>
        <w:t>（最大伸长量）。</w:t>
      </w:r>
    </w:p>
    <w:p w14:paraId="435166C9" w14:textId="57BBF74C"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6</w:t>
      </w:r>
      <w:r w:rsidRPr="00E67914">
        <w:rPr>
          <w:rFonts w:ascii="Times New Roman" w:hAnsi="Times New Roman"/>
          <w:sz w:val="24"/>
          <w:lang w:eastAsia="zh-CN"/>
        </w:rPr>
        <w:t>）辅助流程</w:t>
      </w:r>
    </w:p>
    <w:p w14:paraId="24E11087" w14:textId="7D9F3D4C"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燃料气流程</w:t>
      </w:r>
    </w:p>
    <w:p w14:paraId="6943C6E9" w14:textId="51385A56"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定压闪蒸分离出的天然气，作为加热炉燃料气使用，燃料气若不足，</w:t>
      </w:r>
      <w:r w:rsidR="00811B07" w:rsidRPr="00E67914">
        <w:rPr>
          <w:rFonts w:ascii="Times New Roman" w:hAnsi="Times New Roman"/>
          <w:sz w:val="24"/>
          <w:lang w:eastAsia="zh-CN"/>
        </w:rPr>
        <w:t>返输气进行补充</w:t>
      </w:r>
      <w:r w:rsidRPr="00E67914">
        <w:rPr>
          <w:rFonts w:ascii="Times New Roman" w:hAnsi="Times New Roman"/>
          <w:sz w:val="24"/>
          <w:lang w:eastAsia="zh-CN"/>
        </w:rPr>
        <w:t>。</w:t>
      </w:r>
    </w:p>
    <w:p w14:paraId="6832B780" w14:textId="5CE8FACB" w:rsidR="00331B20" w:rsidRPr="00E67914" w:rsidRDefault="00811B07"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②</w:t>
      </w:r>
      <w:r w:rsidR="00331B20" w:rsidRPr="00E67914">
        <w:rPr>
          <w:rFonts w:ascii="Times New Roman" w:hAnsi="Times New Roman"/>
          <w:sz w:val="24"/>
          <w:lang w:eastAsia="zh-CN"/>
        </w:rPr>
        <w:t>放空流程</w:t>
      </w:r>
    </w:p>
    <w:p w14:paraId="7CB6A80D" w14:textId="074411C9"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放空流程的设置主要有：井口放空、工艺设备放空、站内外输管线放空。井口高压放空至</w:t>
      </w:r>
      <w:r w:rsidR="00811B07" w:rsidRPr="00E67914">
        <w:rPr>
          <w:rFonts w:ascii="Times New Roman" w:hAnsi="Times New Roman"/>
          <w:sz w:val="24"/>
          <w:lang w:eastAsia="zh-CN"/>
        </w:rPr>
        <w:t>25m</w:t>
      </w:r>
      <w:r w:rsidR="00811B07" w:rsidRPr="00E67914">
        <w:rPr>
          <w:rFonts w:ascii="Times New Roman" w:hAnsi="Times New Roman"/>
          <w:sz w:val="24"/>
          <w:lang w:eastAsia="zh-CN"/>
        </w:rPr>
        <w:t>高</w:t>
      </w:r>
      <w:r w:rsidR="00FC2143" w:rsidRPr="00E67914">
        <w:rPr>
          <w:rFonts w:ascii="Times New Roman" w:hAnsi="Times New Roman"/>
          <w:sz w:val="24"/>
          <w:lang w:eastAsia="zh-CN"/>
        </w:rPr>
        <w:t>火炬燃烧排放</w:t>
      </w:r>
      <w:r w:rsidRPr="00E67914">
        <w:rPr>
          <w:rFonts w:ascii="Times New Roman" w:hAnsi="Times New Roman"/>
          <w:sz w:val="24"/>
          <w:lang w:eastAsia="zh-CN"/>
        </w:rPr>
        <w:t>，</w:t>
      </w:r>
      <w:r w:rsidR="00EE5D65" w:rsidRPr="00E67914">
        <w:rPr>
          <w:rFonts w:ascii="Times New Roman" w:hAnsi="Times New Roman"/>
          <w:sz w:val="24"/>
          <w:lang w:eastAsia="zh-CN"/>
        </w:rPr>
        <w:t>工艺设备（含油罐）及站内外输管线气体通过</w:t>
      </w:r>
      <w:r w:rsidR="00EE5D65" w:rsidRPr="00E67914">
        <w:rPr>
          <w:rFonts w:ascii="Times New Roman" w:hAnsi="Times New Roman"/>
          <w:sz w:val="24"/>
          <w:lang w:eastAsia="zh-CN"/>
        </w:rPr>
        <w:t>6m</w:t>
      </w:r>
      <w:r w:rsidR="00EE5D65" w:rsidRPr="00E67914">
        <w:rPr>
          <w:rFonts w:ascii="Times New Roman" w:hAnsi="Times New Roman"/>
          <w:sz w:val="24"/>
          <w:lang w:eastAsia="zh-CN"/>
        </w:rPr>
        <w:t>放空立管放空</w:t>
      </w:r>
      <w:r w:rsidRPr="00E67914">
        <w:rPr>
          <w:rFonts w:ascii="Times New Roman" w:hAnsi="Times New Roman"/>
          <w:sz w:val="24"/>
          <w:lang w:eastAsia="zh-CN"/>
        </w:rPr>
        <w:t>。</w:t>
      </w:r>
    </w:p>
    <w:p w14:paraId="0659F2E9" w14:textId="77777777"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lastRenderedPageBreak/>
        <w:t>①</w:t>
      </w:r>
      <w:r w:rsidRPr="00E67914">
        <w:rPr>
          <w:rFonts w:ascii="Times New Roman" w:hAnsi="Times New Roman"/>
          <w:sz w:val="24"/>
          <w:lang w:eastAsia="zh-CN"/>
        </w:rPr>
        <w:t>井口放空：井口设紧急切断阀，当出现事故时可以自动或手动紧急切断，在紧急切断阀前设手动放空阀，当出现事故时，可手动放空泄压。</w:t>
      </w:r>
    </w:p>
    <w:p w14:paraId="43C8959C" w14:textId="20923B85"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工艺设备放空：主要放空设备有水套炉、分离器、</w:t>
      </w:r>
      <w:r w:rsidR="00811B07" w:rsidRPr="00E67914">
        <w:rPr>
          <w:rFonts w:ascii="Times New Roman" w:hAnsi="Times New Roman"/>
          <w:sz w:val="24"/>
          <w:lang w:eastAsia="zh-CN"/>
        </w:rPr>
        <w:t>闪蒸罐</w:t>
      </w:r>
      <w:r w:rsidRPr="00E67914">
        <w:rPr>
          <w:rFonts w:ascii="Times New Roman" w:hAnsi="Times New Roman"/>
          <w:sz w:val="24"/>
          <w:lang w:eastAsia="zh-CN"/>
        </w:rPr>
        <w:t>等。设备设置手动放空及安全阀放空，能够在检修及事故状态下实现放空。</w:t>
      </w:r>
    </w:p>
    <w:p w14:paraId="012047A9" w14:textId="77777777"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③</w:t>
      </w:r>
      <w:r w:rsidRPr="00E67914">
        <w:rPr>
          <w:rFonts w:ascii="Times New Roman" w:hAnsi="Times New Roman"/>
          <w:sz w:val="24"/>
          <w:lang w:eastAsia="zh-CN"/>
        </w:rPr>
        <w:t>站内外输管线放空：站内外输管道设置手动放空，可满足站内管道超压时进行放空。</w:t>
      </w:r>
    </w:p>
    <w:p w14:paraId="4E69C488" w14:textId="77777777" w:rsidR="00331B20" w:rsidRPr="00E67914" w:rsidRDefault="00331B20" w:rsidP="00331B2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④</w:t>
      </w:r>
      <w:r w:rsidRPr="00E67914">
        <w:rPr>
          <w:rFonts w:ascii="Times New Roman" w:hAnsi="Times New Roman"/>
          <w:sz w:val="24"/>
          <w:lang w:eastAsia="zh-CN"/>
        </w:rPr>
        <w:t>油罐气轻烃挥发：通过单独的放散管线直接接至常压放散立管进行放散。</w:t>
      </w:r>
    </w:p>
    <w:p w14:paraId="16AB275D"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2</w:t>
      </w:r>
      <w:r w:rsidRPr="00E67914">
        <w:rPr>
          <w:rFonts w:ascii="Times New Roman" w:hAnsi="Times New Roman"/>
          <w:b/>
          <w:sz w:val="24"/>
          <w:lang w:eastAsia="zh-CN"/>
        </w:rPr>
        <w:t>）采气试采产污环节</w:t>
      </w:r>
    </w:p>
    <w:p w14:paraId="3F11DCA6" w14:textId="57AE981A" w:rsidR="00A54A8A" w:rsidRPr="00E67914" w:rsidRDefault="00902A04">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普陆页</w:t>
      </w:r>
      <w:r w:rsidRPr="00E67914">
        <w:rPr>
          <w:rFonts w:ascii="Times New Roman" w:hAnsi="Times New Roman"/>
          <w:bCs/>
          <w:sz w:val="24"/>
          <w:szCs w:val="24"/>
          <w:lang w:eastAsia="zh-CN"/>
        </w:rPr>
        <w:t>2</w:t>
      </w:r>
      <w:r w:rsidRPr="00E67914">
        <w:rPr>
          <w:rFonts w:ascii="Times New Roman" w:hAnsi="Times New Roman"/>
          <w:bCs/>
          <w:sz w:val="24"/>
          <w:szCs w:val="24"/>
          <w:lang w:eastAsia="zh-CN"/>
        </w:rPr>
        <w:t>试采站正常生产时主要产生气田水以及设备检修废水，气田水为工艺装置分离器分离出的天然气中的游离水，设备检修废水为装置设备检修产生的废水。试采站内水套加热炉以天然气（</w:t>
      </w:r>
      <w:r w:rsidR="00D36E52" w:rsidRPr="00E67914">
        <w:rPr>
          <w:rFonts w:ascii="Times New Roman" w:hAnsi="Times New Roman"/>
          <w:bCs/>
          <w:sz w:val="24"/>
          <w:szCs w:val="24"/>
          <w:lang w:eastAsia="zh-CN"/>
        </w:rPr>
        <w:t>主要</w:t>
      </w:r>
      <w:r w:rsidR="00D36E52" w:rsidRPr="00E67914">
        <w:rPr>
          <w:rFonts w:ascii="Times New Roman" w:hAnsi="Times New Roman"/>
          <w:sz w:val="24"/>
          <w:szCs w:val="24"/>
          <w:lang w:eastAsia="zh-CN"/>
        </w:rPr>
        <w:t>依托净化厂反输燃料气，部分使用闪蒸气</w:t>
      </w:r>
      <w:r w:rsidRPr="00E67914">
        <w:rPr>
          <w:rFonts w:ascii="Times New Roman" w:hAnsi="Times New Roman"/>
          <w:bCs/>
          <w:sz w:val="24"/>
          <w:szCs w:val="24"/>
          <w:lang w:eastAsia="zh-CN"/>
        </w:rPr>
        <w:t>）为燃料，会产生燃烧废气；试采站设备运行时产生设备噪声</w:t>
      </w:r>
      <w:r w:rsidR="00734F48" w:rsidRPr="00E67914">
        <w:rPr>
          <w:rFonts w:ascii="Times New Roman" w:hAnsi="Times New Roman"/>
          <w:bCs/>
          <w:sz w:val="24"/>
          <w:szCs w:val="24"/>
          <w:lang w:eastAsia="zh-CN"/>
        </w:rPr>
        <w:t>；本站为无人值守站场，无生活污水和生活垃圾产生。</w:t>
      </w:r>
    </w:p>
    <w:p w14:paraId="12CA3187" w14:textId="77777777" w:rsidR="00A54A8A" w:rsidRPr="00E67914" w:rsidRDefault="00000000">
      <w:pPr>
        <w:pStyle w:val="2"/>
        <w:ind w:firstLine="480"/>
        <w:rPr>
          <w:szCs w:val="24"/>
          <w:lang w:eastAsia="zh-CN"/>
        </w:rPr>
      </w:pPr>
      <w:bookmarkStart w:id="84" w:name="3.4污染源源强核算"/>
      <w:bookmarkStart w:id="85" w:name="_bookmark21"/>
      <w:bookmarkStart w:id="86" w:name="_Toc148654223"/>
      <w:bookmarkEnd w:id="84"/>
      <w:bookmarkEnd w:id="85"/>
      <w:r w:rsidRPr="00E67914">
        <w:rPr>
          <w:szCs w:val="24"/>
          <w:lang w:eastAsia="zh-CN"/>
        </w:rPr>
        <w:t>3.4</w:t>
      </w:r>
      <w:r w:rsidRPr="00E67914">
        <w:rPr>
          <w:szCs w:val="24"/>
          <w:lang w:eastAsia="zh-CN"/>
        </w:rPr>
        <w:t>污染源源强核算</w:t>
      </w:r>
      <w:bookmarkEnd w:id="86"/>
    </w:p>
    <w:p w14:paraId="71DACF13"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87" w:name="3.4.1施工期污染源强分析"/>
      <w:bookmarkEnd w:id="87"/>
      <w:r w:rsidRPr="00E67914">
        <w:rPr>
          <w:rFonts w:ascii="Times New Roman" w:eastAsia="黑体" w:hAnsi="Times New Roman"/>
          <w:b w:val="0"/>
          <w:sz w:val="24"/>
          <w:szCs w:val="24"/>
          <w:lang w:eastAsia="zh-CN"/>
        </w:rPr>
        <w:t>3.4.1</w:t>
      </w:r>
      <w:r w:rsidRPr="00E67914">
        <w:rPr>
          <w:rFonts w:ascii="Times New Roman" w:eastAsia="黑体" w:hAnsi="Times New Roman"/>
          <w:b w:val="0"/>
          <w:sz w:val="24"/>
          <w:szCs w:val="24"/>
          <w:lang w:eastAsia="zh-CN"/>
        </w:rPr>
        <w:t>施工期污染源强分析</w:t>
      </w:r>
    </w:p>
    <w:p w14:paraId="7246ED3B"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t>3.4.1.1</w:t>
      </w:r>
      <w:r w:rsidRPr="00E67914">
        <w:rPr>
          <w:rFonts w:ascii="Times New Roman" w:eastAsia="黑体" w:hAnsi="Times New Roman"/>
          <w:sz w:val="24"/>
          <w:szCs w:val="24"/>
          <w:lang w:eastAsia="zh-CN"/>
        </w:rPr>
        <w:t>钻前工程</w:t>
      </w:r>
    </w:p>
    <w:p w14:paraId="2607EED7" w14:textId="346D347B"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本项目钻前工程污染源产生及治理情况如下</w:t>
      </w:r>
      <w:r w:rsidR="00D36E52" w:rsidRPr="00E67914">
        <w:rPr>
          <w:rFonts w:ascii="Times New Roman" w:hAnsi="Times New Roman"/>
          <w:sz w:val="24"/>
          <w:lang w:eastAsia="zh-CN"/>
        </w:rPr>
        <w:t>：</w:t>
      </w:r>
    </w:p>
    <w:p w14:paraId="19627211"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）废气</w:t>
      </w:r>
    </w:p>
    <w:p w14:paraId="70BEC659"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钻前施工人员多为当地民工，租住在附近农户家中，不设集中生活营区，无集中生活废气排放。钻前工程大气污染物主要为施工机械尾气和施工粉尘，但属短期影响（钻前施工工期约</w:t>
      </w:r>
      <w:r w:rsidRPr="00E67914">
        <w:rPr>
          <w:rFonts w:ascii="Times New Roman" w:hAnsi="Times New Roman"/>
          <w:sz w:val="24"/>
          <w:szCs w:val="24"/>
          <w:lang w:eastAsia="zh-CN"/>
        </w:rPr>
        <w:t>60</w:t>
      </w:r>
      <w:r w:rsidRPr="00E67914">
        <w:rPr>
          <w:rFonts w:ascii="Times New Roman" w:hAnsi="Times New Roman"/>
          <w:sz w:val="24"/>
          <w:szCs w:val="24"/>
          <w:lang w:eastAsia="zh-CN"/>
        </w:rPr>
        <w:t>天）。施工机械尾气为燃油发电机、车辆排放尾气，主要污染物为</w:t>
      </w:r>
      <w:r w:rsidRPr="00E67914">
        <w:rPr>
          <w:rFonts w:ascii="Times New Roman" w:hAnsi="Times New Roman"/>
          <w:sz w:val="24"/>
          <w:szCs w:val="24"/>
          <w:lang w:eastAsia="zh-CN"/>
        </w:rPr>
        <w:t>NOx</w:t>
      </w:r>
      <w:r w:rsidRPr="00E67914">
        <w:rPr>
          <w:rFonts w:ascii="Times New Roman" w:hAnsi="Times New Roman"/>
          <w:sz w:val="24"/>
          <w:szCs w:val="24"/>
          <w:lang w:eastAsia="zh-CN"/>
        </w:rPr>
        <w:t>和</w:t>
      </w:r>
      <w:r w:rsidRPr="00E67914">
        <w:rPr>
          <w:rFonts w:ascii="Times New Roman" w:hAnsi="Times New Roman"/>
          <w:sz w:val="24"/>
          <w:szCs w:val="24"/>
          <w:lang w:eastAsia="zh-CN"/>
        </w:rPr>
        <w:t>CO</w:t>
      </w:r>
      <w:r w:rsidRPr="00E67914">
        <w:rPr>
          <w:rFonts w:ascii="Times New Roman" w:hAnsi="Times New Roman"/>
          <w:sz w:val="24"/>
          <w:szCs w:val="24"/>
          <w:lang w:eastAsia="zh-CN"/>
        </w:rPr>
        <w:t>，施工机械使用合格燃油、加强设备保养、运输车辆控制车速等。粉尘主要源于水泥搅拌、材料运输及使用过程中的粉尘散落以及修筑钻井场地和井场外道路的挖填方转运工程中的二次扬尘，施工现场设置围栏或部分围栏、遮盖、洒水抑尘等，减少起尘量。</w:t>
      </w:r>
    </w:p>
    <w:p w14:paraId="61CC2BCE"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2</w:t>
      </w:r>
      <w:r w:rsidRPr="00E67914">
        <w:rPr>
          <w:rFonts w:ascii="Times New Roman" w:hAnsi="Times New Roman"/>
          <w:b/>
          <w:bCs/>
          <w:sz w:val="24"/>
          <w:szCs w:val="24"/>
          <w:lang w:eastAsia="zh-CN"/>
        </w:rPr>
        <w:t>）废水</w:t>
      </w:r>
    </w:p>
    <w:p w14:paraId="70B9783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钻前工程的废水主要施工废水</w:t>
      </w:r>
      <w:r w:rsidRPr="00E67914">
        <w:rPr>
          <w:rFonts w:ascii="Times New Roman" w:hAnsi="Times New Roman"/>
          <w:bCs/>
          <w:sz w:val="24"/>
          <w:szCs w:val="24"/>
          <w:lang w:eastAsia="zh-CN"/>
        </w:rPr>
        <w:t>（主要污染物为</w:t>
      </w:r>
      <w:r w:rsidRPr="00E67914">
        <w:rPr>
          <w:rFonts w:ascii="Times New Roman" w:hAnsi="Times New Roman"/>
          <w:bCs/>
          <w:sz w:val="24"/>
          <w:szCs w:val="24"/>
          <w:lang w:eastAsia="zh-CN"/>
        </w:rPr>
        <w:t>SS</w:t>
      </w:r>
      <w:r w:rsidRPr="00E67914">
        <w:rPr>
          <w:rFonts w:ascii="Times New Roman" w:hAnsi="Times New Roman"/>
          <w:bCs/>
          <w:sz w:val="24"/>
          <w:szCs w:val="24"/>
          <w:lang w:eastAsia="zh-CN"/>
        </w:rPr>
        <w:t>）</w:t>
      </w:r>
      <w:r w:rsidRPr="00E67914">
        <w:rPr>
          <w:rFonts w:ascii="Times New Roman" w:hAnsi="Times New Roman"/>
          <w:sz w:val="24"/>
          <w:szCs w:val="24"/>
          <w:lang w:eastAsia="zh-CN"/>
        </w:rPr>
        <w:t>以及施工人员的生活污水（主要污染物为</w:t>
      </w:r>
      <w:r w:rsidRPr="00E67914">
        <w:rPr>
          <w:rFonts w:ascii="Times New Roman" w:hAnsi="Times New Roman"/>
          <w:bCs/>
          <w:sz w:val="24"/>
          <w:szCs w:val="24"/>
          <w:lang w:eastAsia="zh-CN"/>
        </w:rPr>
        <w:t>COD</w:t>
      </w:r>
      <w:r w:rsidRPr="00E67914">
        <w:rPr>
          <w:rFonts w:ascii="Times New Roman" w:hAnsi="Times New Roman"/>
          <w:bCs/>
          <w:sz w:val="24"/>
          <w:szCs w:val="24"/>
          <w:lang w:eastAsia="zh-CN"/>
        </w:rPr>
        <w:t>、</w:t>
      </w:r>
      <w:r w:rsidRPr="00E67914">
        <w:rPr>
          <w:rFonts w:ascii="Times New Roman" w:hAnsi="Times New Roman"/>
          <w:bCs/>
          <w:sz w:val="24"/>
          <w:szCs w:val="24"/>
          <w:lang w:eastAsia="zh-CN"/>
        </w:rPr>
        <w:t>SS</w:t>
      </w:r>
      <w:r w:rsidRPr="00E67914">
        <w:rPr>
          <w:rFonts w:ascii="Times New Roman" w:hAnsi="Times New Roman"/>
          <w:bCs/>
          <w:sz w:val="24"/>
          <w:szCs w:val="24"/>
          <w:lang w:eastAsia="zh-CN"/>
        </w:rPr>
        <w:t>和</w:t>
      </w:r>
      <w:r w:rsidRPr="00E67914">
        <w:rPr>
          <w:rFonts w:ascii="Times New Roman" w:hAnsi="Times New Roman"/>
          <w:bCs/>
          <w:sz w:val="24"/>
          <w:szCs w:val="24"/>
          <w:lang w:eastAsia="zh-CN"/>
        </w:rPr>
        <w:t>NH</w:t>
      </w:r>
      <w:r w:rsidRPr="00E67914">
        <w:rPr>
          <w:rFonts w:ascii="Times New Roman" w:hAnsi="Times New Roman"/>
          <w:bCs/>
          <w:sz w:val="24"/>
          <w:szCs w:val="24"/>
          <w:vertAlign w:val="subscript"/>
          <w:lang w:eastAsia="zh-CN"/>
        </w:rPr>
        <w:t>3</w:t>
      </w:r>
      <w:r w:rsidRPr="00E67914">
        <w:rPr>
          <w:rFonts w:ascii="Times New Roman" w:hAnsi="Times New Roman"/>
          <w:bCs/>
          <w:sz w:val="24"/>
          <w:szCs w:val="24"/>
          <w:lang w:eastAsia="zh-CN"/>
        </w:rPr>
        <w:t>-N</w:t>
      </w:r>
      <w:r w:rsidRPr="00E67914">
        <w:rPr>
          <w:rFonts w:ascii="Times New Roman" w:hAnsi="Times New Roman"/>
          <w:bCs/>
          <w:sz w:val="24"/>
          <w:szCs w:val="24"/>
          <w:lang w:eastAsia="zh-CN"/>
        </w:rPr>
        <w:t>等</w:t>
      </w:r>
      <w:r w:rsidRPr="00E67914">
        <w:rPr>
          <w:rFonts w:ascii="Times New Roman" w:hAnsi="Times New Roman"/>
          <w:sz w:val="24"/>
          <w:szCs w:val="24"/>
          <w:lang w:eastAsia="zh-CN"/>
        </w:rPr>
        <w:t>）。钻前工程高峰时日上工人数约</w:t>
      </w:r>
      <w:r w:rsidRPr="00E67914">
        <w:rPr>
          <w:rFonts w:ascii="Times New Roman" w:hAnsi="Times New Roman"/>
          <w:sz w:val="24"/>
          <w:szCs w:val="24"/>
          <w:lang w:eastAsia="zh-CN"/>
        </w:rPr>
        <w:t>30</w:t>
      </w:r>
      <w:r w:rsidRPr="00E67914">
        <w:rPr>
          <w:rFonts w:ascii="Times New Roman" w:hAnsi="Times New Roman"/>
          <w:sz w:val="24"/>
          <w:szCs w:val="24"/>
          <w:lang w:eastAsia="zh-CN"/>
        </w:rPr>
        <w:t>人，主要为附近民工，上述人员租住在附近农户，其产生的生活污水利用农户已有的设施进行收集处置，施工现场基本不产生生活污水；钻前施工主要为土</w:t>
      </w:r>
      <w:r w:rsidRPr="00E67914">
        <w:rPr>
          <w:rFonts w:ascii="Times New Roman" w:hAnsi="Times New Roman"/>
          <w:sz w:val="24"/>
          <w:szCs w:val="24"/>
          <w:lang w:eastAsia="zh-CN"/>
        </w:rPr>
        <w:lastRenderedPageBreak/>
        <w:t>建施工，还会产生车辆清洗、砂石料拌合及混凝土养护、施工机具保洁废水等，及道路施工遇雨水产生的地表径流，产生地点分散，产生量较小，污染因子以石油类和</w:t>
      </w:r>
      <w:r w:rsidRPr="00E67914">
        <w:rPr>
          <w:rFonts w:ascii="Times New Roman" w:hAnsi="Times New Roman"/>
          <w:sz w:val="24"/>
          <w:szCs w:val="24"/>
          <w:lang w:eastAsia="zh-CN"/>
        </w:rPr>
        <w:t>SS</w:t>
      </w:r>
      <w:r w:rsidRPr="00E67914">
        <w:rPr>
          <w:rFonts w:ascii="Times New Roman" w:hAnsi="Times New Roman"/>
          <w:sz w:val="24"/>
          <w:szCs w:val="24"/>
          <w:lang w:eastAsia="zh-CN"/>
        </w:rPr>
        <w:t>为主。本项目在施工现场设置沉淀池，施工废水经隔油沉淀处理后回用于洒水降尘和混凝土养护用水，不外排。</w:t>
      </w:r>
    </w:p>
    <w:p w14:paraId="1644E165"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3</w:t>
      </w:r>
      <w:r w:rsidRPr="00E67914">
        <w:rPr>
          <w:rFonts w:ascii="Times New Roman" w:hAnsi="Times New Roman"/>
          <w:b/>
          <w:bCs/>
          <w:sz w:val="24"/>
          <w:szCs w:val="24"/>
          <w:lang w:eastAsia="zh-CN"/>
        </w:rPr>
        <w:t>）噪声</w:t>
      </w:r>
    </w:p>
    <w:p w14:paraId="6B87A140" w14:textId="3E10AECA"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钻前工程施工期的噪声主要是推土机、挖掘机、载重汽车等运行中产生的，噪声级见表</w:t>
      </w:r>
      <w:r w:rsidRPr="00E67914">
        <w:rPr>
          <w:rFonts w:ascii="Times New Roman" w:hAnsi="Times New Roman"/>
          <w:sz w:val="24"/>
          <w:szCs w:val="24"/>
          <w:lang w:eastAsia="zh-CN"/>
        </w:rPr>
        <w:t>3.4-1</w:t>
      </w:r>
      <w:r w:rsidRPr="00E67914">
        <w:rPr>
          <w:rFonts w:ascii="Times New Roman" w:hAnsi="Times New Roman"/>
          <w:sz w:val="24"/>
          <w:szCs w:val="24"/>
          <w:lang w:eastAsia="zh-CN"/>
        </w:rPr>
        <w:t>。虽为短期施工，但应采取措施减少其对附近居民的影响。为野外作业，钻前工程夜间不施工作业。</w:t>
      </w:r>
    </w:p>
    <w:p w14:paraId="4D4211FB"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3.4-1  </w:t>
      </w:r>
      <w:r w:rsidRPr="00E67914">
        <w:rPr>
          <w:rFonts w:ascii="Times New Roman" w:eastAsia="黑体" w:hAnsi="Times New Roman"/>
          <w:sz w:val="21"/>
          <w:szCs w:val="21"/>
          <w:lang w:eastAsia="zh-CN"/>
        </w:rPr>
        <w:t>主要施工机具噪声源强表</w:t>
      </w:r>
    </w:p>
    <w:tbl>
      <w:tblPr>
        <w:tblW w:w="8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1418"/>
        <w:gridCol w:w="1701"/>
        <w:gridCol w:w="1842"/>
        <w:gridCol w:w="1282"/>
        <w:gridCol w:w="1275"/>
      </w:tblGrid>
      <w:tr w:rsidR="00E67914" w:rsidRPr="00E67914" w14:paraId="7121C1B5" w14:textId="77777777">
        <w:trPr>
          <w:jc w:val="center"/>
        </w:trPr>
        <w:tc>
          <w:tcPr>
            <w:tcW w:w="704" w:type="dxa"/>
            <w:vAlign w:val="center"/>
          </w:tcPr>
          <w:p w14:paraId="7AB89C3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序号</w:t>
            </w:r>
          </w:p>
        </w:tc>
        <w:tc>
          <w:tcPr>
            <w:tcW w:w="1418" w:type="dxa"/>
            <w:vAlign w:val="center"/>
          </w:tcPr>
          <w:p w14:paraId="174E594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设备名称</w:t>
            </w:r>
          </w:p>
        </w:tc>
        <w:tc>
          <w:tcPr>
            <w:tcW w:w="1701" w:type="dxa"/>
            <w:vAlign w:val="center"/>
          </w:tcPr>
          <w:p w14:paraId="33C4BF1B"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测点距施工机具距离（</w:t>
            </w:r>
            <w:r w:rsidRPr="00E67914">
              <w:rPr>
                <w:rFonts w:ascii="Times New Roman" w:hAnsi="Times New Roman"/>
                <w:sz w:val="21"/>
                <w:szCs w:val="21"/>
                <w:lang w:eastAsia="zh-CN"/>
              </w:rPr>
              <w:t>m</w:t>
            </w:r>
            <w:r w:rsidRPr="00E67914">
              <w:rPr>
                <w:rFonts w:ascii="Times New Roman" w:hAnsi="Times New Roman"/>
                <w:sz w:val="21"/>
                <w:szCs w:val="21"/>
                <w:lang w:eastAsia="zh-CN"/>
              </w:rPr>
              <w:t>）</w:t>
            </w:r>
          </w:p>
        </w:tc>
        <w:tc>
          <w:tcPr>
            <w:tcW w:w="1842" w:type="dxa"/>
            <w:vAlign w:val="center"/>
          </w:tcPr>
          <w:p w14:paraId="1DE44A6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最大声级</w:t>
            </w:r>
          </w:p>
          <w:p w14:paraId="5A05F70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p>
        </w:tc>
        <w:tc>
          <w:tcPr>
            <w:tcW w:w="1282" w:type="dxa"/>
            <w:vAlign w:val="center"/>
          </w:tcPr>
          <w:p w14:paraId="31E1A8B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运行方式</w:t>
            </w:r>
          </w:p>
        </w:tc>
        <w:tc>
          <w:tcPr>
            <w:tcW w:w="0" w:type="auto"/>
            <w:vAlign w:val="center"/>
          </w:tcPr>
          <w:p w14:paraId="39118B8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运行时间</w:t>
            </w:r>
            <w:r w:rsidRPr="00E67914">
              <w:rPr>
                <w:rFonts w:ascii="Times New Roman" w:hAnsi="Times New Roman"/>
                <w:sz w:val="21"/>
                <w:szCs w:val="21"/>
              </w:rPr>
              <w:t>(h)</w:t>
            </w:r>
          </w:p>
        </w:tc>
      </w:tr>
      <w:tr w:rsidR="00E67914" w:rsidRPr="00E67914" w14:paraId="460D968C" w14:textId="77777777">
        <w:trPr>
          <w:jc w:val="center"/>
        </w:trPr>
        <w:tc>
          <w:tcPr>
            <w:tcW w:w="704" w:type="dxa"/>
            <w:vAlign w:val="center"/>
          </w:tcPr>
          <w:p w14:paraId="3711218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1418" w:type="dxa"/>
            <w:vAlign w:val="center"/>
          </w:tcPr>
          <w:p w14:paraId="2740441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推土机</w:t>
            </w:r>
          </w:p>
        </w:tc>
        <w:tc>
          <w:tcPr>
            <w:tcW w:w="1701" w:type="dxa"/>
            <w:vAlign w:val="center"/>
          </w:tcPr>
          <w:p w14:paraId="6780C61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1842" w:type="dxa"/>
            <w:vAlign w:val="center"/>
          </w:tcPr>
          <w:p w14:paraId="523D941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85</w:t>
            </w:r>
          </w:p>
        </w:tc>
        <w:tc>
          <w:tcPr>
            <w:tcW w:w="1282" w:type="dxa"/>
            <w:vAlign w:val="center"/>
          </w:tcPr>
          <w:p w14:paraId="1F660CD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移动设备</w:t>
            </w:r>
          </w:p>
        </w:tc>
        <w:tc>
          <w:tcPr>
            <w:tcW w:w="0" w:type="auto"/>
            <w:vAlign w:val="center"/>
          </w:tcPr>
          <w:p w14:paraId="29087F6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r w:rsidRPr="00E67914">
              <w:rPr>
                <w:rFonts w:ascii="Times New Roman" w:hAnsi="Times New Roman"/>
                <w:sz w:val="21"/>
                <w:szCs w:val="21"/>
              </w:rPr>
              <w:t>&lt;4</w:t>
            </w:r>
          </w:p>
        </w:tc>
      </w:tr>
      <w:tr w:rsidR="00E67914" w:rsidRPr="00E67914" w14:paraId="676DD3E5" w14:textId="77777777">
        <w:trPr>
          <w:jc w:val="center"/>
        </w:trPr>
        <w:tc>
          <w:tcPr>
            <w:tcW w:w="704" w:type="dxa"/>
            <w:vAlign w:val="center"/>
          </w:tcPr>
          <w:p w14:paraId="12554EC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w:t>
            </w:r>
          </w:p>
        </w:tc>
        <w:tc>
          <w:tcPr>
            <w:tcW w:w="1418" w:type="dxa"/>
            <w:vAlign w:val="center"/>
          </w:tcPr>
          <w:p w14:paraId="6DBCF56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挖掘机</w:t>
            </w:r>
          </w:p>
        </w:tc>
        <w:tc>
          <w:tcPr>
            <w:tcW w:w="1701" w:type="dxa"/>
            <w:vAlign w:val="center"/>
          </w:tcPr>
          <w:p w14:paraId="0520201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1842" w:type="dxa"/>
            <w:vAlign w:val="center"/>
          </w:tcPr>
          <w:p w14:paraId="3C7C66A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84</w:t>
            </w:r>
          </w:p>
        </w:tc>
        <w:tc>
          <w:tcPr>
            <w:tcW w:w="1282" w:type="dxa"/>
            <w:vAlign w:val="center"/>
          </w:tcPr>
          <w:p w14:paraId="0B79F88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移动设备</w:t>
            </w:r>
          </w:p>
        </w:tc>
        <w:tc>
          <w:tcPr>
            <w:tcW w:w="0" w:type="auto"/>
            <w:vAlign w:val="center"/>
          </w:tcPr>
          <w:p w14:paraId="613FCB7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r w:rsidRPr="00E67914">
              <w:rPr>
                <w:rFonts w:ascii="Times New Roman" w:hAnsi="Times New Roman"/>
                <w:sz w:val="21"/>
                <w:szCs w:val="21"/>
              </w:rPr>
              <w:t>&lt;2</w:t>
            </w:r>
          </w:p>
        </w:tc>
      </w:tr>
      <w:tr w:rsidR="00E67914" w:rsidRPr="00E67914" w14:paraId="5AA59129" w14:textId="77777777">
        <w:trPr>
          <w:jc w:val="center"/>
        </w:trPr>
        <w:tc>
          <w:tcPr>
            <w:tcW w:w="704" w:type="dxa"/>
            <w:vAlign w:val="center"/>
          </w:tcPr>
          <w:p w14:paraId="7B66EA7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w:t>
            </w:r>
          </w:p>
        </w:tc>
        <w:tc>
          <w:tcPr>
            <w:tcW w:w="1418" w:type="dxa"/>
            <w:vAlign w:val="center"/>
          </w:tcPr>
          <w:p w14:paraId="363D646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载重汽车</w:t>
            </w:r>
          </w:p>
        </w:tc>
        <w:tc>
          <w:tcPr>
            <w:tcW w:w="1701" w:type="dxa"/>
            <w:vAlign w:val="center"/>
          </w:tcPr>
          <w:p w14:paraId="6C42358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1842" w:type="dxa"/>
            <w:vAlign w:val="center"/>
          </w:tcPr>
          <w:p w14:paraId="430BB7D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82</w:t>
            </w:r>
          </w:p>
        </w:tc>
        <w:tc>
          <w:tcPr>
            <w:tcW w:w="1282" w:type="dxa"/>
            <w:vAlign w:val="center"/>
          </w:tcPr>
          <w:p w14:paraId="339941A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移动设备</w:t>
            </w:r>
          </w:p>
        </w:tc>
        <w:tc>
          <w:tcPr>
            <w:tcW w:w="0" w:type="auto"/>
            <w:vAlign w:val="center"/>
          </w:tcPr>
          <w:p w14:paraId="197939A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r w:rsidRPr="00E67914">
              <w:rPr>
                <w:rFonts w:ascii="Times New Roman" w:hAnsi="Times New Roman"/>
                <w:sz w:val="21"/>
                <w:szCs w:val="21"/>
              </w:rPr>
              <w:t>&lt;2</w:t>
            </w:r>
          </w:p>
        </w:tc>
      </w:tr>
      <w:tr w:rsidR="00E67914" w:rsidRPr="00E67914" w14:paraId="741B6187" w14:textId="77777777">
        <w:trPr>
          <w:jc w:val="center"/>
        </w:trPr>
        <w:tc>
          <w:tcPr>
            <w:tcW w:w="704" w:type="dxa"/>
            <w:vAlign w:val="center"/>
          </w:tcPr>
          <w:p w14:paraId="1CBEB56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4</w:t>
            </w:r>
          </w:p>
        </w:tc>
        <w:tc>
          <w:tcPr>
            <w:tcW w:w="1418" w:type="dxa"/>
            <w:vAlign w:val="center"/>
          </w:tcPr>
          <w:p w14:paraId="5B41EC4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钻孔机</w:t>
            </w:r>
          </w:p>
        </w:tc>
        <w:tc>
          <w:tcPr>
            <w:tcW w:w="1701" w:type="dxa"/>
            <w:vAlign w:val="center"/>
          </w:tcPr>
          <w:p w14:paraId="0B128B6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1842" w:type="dxa"/>
            <w:vAlign w:val="center"/>
          </w:tcPr>
          <w:p w14:paraId="6179E06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100</w:t>
            </w:r>
          </w:p>
        </w:tc>
        <w:tc>
          <w:tcPr>
            <w:tcW w:w="1282" w:type="dxa"/>
            <w:vAlign w:val="center"/>
          </w:tcPr>
          <w:p w14:paraId="1BA3ADC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移动设备</w:t>
            </w:r>
          </w:p>
        </w:tc>
        <w:tc>
          <w:tcPr>
            <w:tcW w:w="0" w:type="auto"/>
            <w:vAlign w:val="center"/>
          </w:tcPr>
          <w:p w14:paraId="714EB8F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r w:rsidRPr="00E67914">
              <w:rPr>
                <w:rFonts w:ascii="Times New Roman" w:hAnsi="Times New Roman"/>
                <w:sz w:val="21"/>
                <w:szCs w:val="21"/>
              </w:rPr>
              <w:t>&lt;4</w:t>
            </w:r>
          </w:p>
        </w:tc>
      </w:tr>
      <w:tr w:rsidR="00E67914" w:rsidRPr="00E67914" w14:paraId="71401E1E" w14:textId="77777777">
        <w:trPr>
          <w:jc w:val="center"/>
        </w:trPr>
        <w:tc>
          <w:tcPr>
            <w:tcW w:w="704" w:type="dxa"/>
            <w:vAlign w:val="center"/>
          </w:tcPr>
          <w:p w14:paraId="59796B0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1418" w:type="dxa"/>
            <w:vAlign w:val="center"/>
          </w:tcPr>
          <w:p w14:paraId="220CF16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空压机</w:t>
            </w:r>
          </w:p>
        </w:tc>
        <w:tc>
          <w:tcPr>
            <w:tcW w:w="1701" w:type="dxa"/>
            <w:vAlign w:val="center"/>
          </w:tcPr>
          <w:p w14:paraId="65958C7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1842" w:type="dxa"/>
            <w:vAlign w:val="center"/>
          </w:tcPr>
          <w:p w14:paraId="353A130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101</w:t>
            </w:r>
          </w:p>
        </w:tc>
        <w:tc>
          <w:tcPr>
            <w:tcW w:w="1282" w:type="dxa"/>
            <w:vAlign w:val="center"/>
          </w:tcPr>
          <w:p w14:paraId="0FF9126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移动设备</w:t>
            </w:r>
          </w:p>
        </w:tc>
        <w:tc>
          <w:tcPr>
            <w:tcW w:w="0" w:type="auto"/>
            <w:vAlign w:val="center"/>
          </w:tcPr>
          <w:p w14:paraId="6143632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r w:rsidRPr="00E67914">
              <w:rPr>
                <w:rFonts w:ascii="Times New Roman" w:hAnsi="Times New Roman"/>
                <w:sz w:val="21"/>
                <w:szCs w:val="21"/>
              </w:rPr>
              <w:t>&lt;4</w:t>
            </w:r>
          </w:p>
        </w:tc>
      </w:tr>
      <w:tr w:rsidR="00E67914" w:rsidRPr="00E67914" w14:paraId="2D6BB24A" w14:textId="77777777">
        <w:trPr>
          <w:jc w:val="center"/>
        </w:trPr>
        <w:tc>
          <w:tcPr>
            <w:tcW w:w="704" w:type="dxa"/>
            <w:vAlign w:val="center"/>
          </w:tcPr>
          <w:p w14:paraId="43D0594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6</w:t>
            </w:r>
          </w:p>
        </w:tc>
        <w:tc>
          <w:tcPr>
            <w:tcW w:w="1418" w:type="dxa"/>
            <w:vAlign w:val="center"/>
          </w:tcPr>
          <w:p w14:paraId="2AFD3CA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柴油发电机</w:t>
            </w:r>
          </w:p>
        </w:tc>
        <w:tc>
          <w:tcPr>
            <w:tcW w:w="1701" w:type="dxa"/>
            <w:vAlign w:val="center"/>
          </w:tcPr>
          <w:p w14:paraId="500BA56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1842" w:type="dxa"/>
            <w:vAlign w:val="center"/>
          </w:tcPr>
          <w:p w14:paraId="69D66EF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98</w:t>
            </w:r>
          </w:p>
        </w:tc>
        <w:tc>
          <w:tcPr>
            <w:tcW w:w="1282" w:type="dxa"/>
            <w:vAlign w:val="center"/>
          </w:tcPr>
          <w:p w14:paraId="626BB2D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移动设备</w:t>
            </w:r>
          </w:p>
        </w:tc>
        <w:tc>
          <w:tcPr>
            <w:tcW w:w="0" w:type="auto"/>
            <w:vAlign w:val="center"/>
          </w:tcPr>
          <w:p w14:paraId="58B8323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r w:rsidRPr="00E67914">
              <w:rPr>
                <w:rFonts w:ascii="Times New Roman" w:hAnsi="Times New Roman"/>
                <w:sz w:val="21"/>
                <w:szCs w:val="21"/>
              </w:rPr>
              <w:t>&lt;2</w:t>
            </w:r>
          </w:p>
        </w:tc>
      </w:tr>
      <w:tr w:rsidR="00E67914" w:rsidRPr="00E67914" w14:paraId="4488014E" w14:textId="77777777">
        <w:trPr>
          <w:jc w:val="center"/>
        </w:trPr>
        <w:tc>
          <w:tcPr>
            <w:tcW w:w="704" w:type="dxa"/>
            <w:vAlign w:val="center"/>
          </w:tcPr>
          <w:p w14:paraId="17A384D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7</w:t>
            </w:r>
          </w:p>
        </w:tc>
        <w:tc>
          <w:tcPr>
            <w:tcW w:w="1418" w:type="dxa"/>
            <w:vAlign w:val="center"/>
          </w:tcPr>
          <w:p w14:paraId="772C22A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振动棒</w:t>
            </w:r>
          </w:p>
        </w:tc>
        <w:tc>
          <w:tcPr>
            <w:tcW w:w="1701" w:type="dxa"/>
            <w:vAlign w:val="center"/>
          </w:tcPr>
          <w:p w14:paraId="7339D50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1842" w:type="dxa"/>
            <w:vAlign w:val="center"/>
          </w:tcPr>
          <w:p w14:paraId="0CAF4E1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100</w:t>
            </w:r>
          </w:p>
        </w:tc>
        <w:tc>
          <w:tcPr>
            <w:tcW w:w="1282" w:type="dxa"/>
            <w:vAlign w:val="center"/>
          </w:tcPr>
          <w:p w14:paraId="3C5346E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移动设备</w:t>
            </w:r>
          </w:p>
        </w:tc>
        <w:tc>
          <w:tcPr>
            <w:tcW w:w="0" w:type="auto"/>
            <w:vAlign w:val="center"/>
          </w:tcPr>
          <w:p w14:paraId="61D5075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r w:rsidRPr="00E67914">
              <w:rPr>
                <w:rFonts w:ascii="Times New Roman" w:hAnsi="Times New Roman"/>
                <w:sz w:val="21"/>
                <w:szCs w:val="21"/>
              </w:rPr>
              <w:t>&lt;4</w:t>
            </w:r>
          </w:p>
        </w:tc>
      </w:tr>
    </w:tbl>
    <w:p w14:paraId="30A6DF9C" w14:textId="77777777" w:rsidR="00A54A8A" w:rsidRPr="00E67914" w:rsidRDefault="00000000">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4</w:t>
      </w:r>
      <w:r w:rsidRPr="00E67914">
        <w:rPr>
          <w:rFonts w:ascii="Times New Roman" w:hAnsi="Times New Roman"/>
          <w:b/>
          <w:bCs/>
          <w:sz w:val="24"/>
          <w:szCs w:val="24"/>
          <w:lang w:eastAsia="zh-CN"/>
        </w:rPr>
        <w:t>）固废</w:t>
      </w:r>
    </w:p>
    <w:p w14:paraId="0CDD2816"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施工过程中会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14:paraId="1B578140"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5</w:t>
      </w:r>
      <w:r w:rsidRPr="00E67914">
        <w:rPr>
          <w:rFonts w:ascii="Times New Roman" w:hAnsi="Times New Roman"/>
          <w:b/>
          <w:bCs/>
          <w:sz w:val="24"/>
          <w:szCs w:val="24"/>
          <w:lang w:eastAsia="zh-CN"/>
        </w:rPr>
        <w:t>）生态环境影响</w:t>
      </w:r>
    </w:p>
    <w:p w14:paraId="0706430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拟建项目钻前工程对生态环境的主要影响因素包括场地基础开挖、土石方回填、构筑物建设等活动对土地的扰动作用。通常说来，生态影响效果主要包括改变土地利用性质、造成水土流失等。</w:t>
      </w:r>
    </w:p>
    <w:p w14:paraId="76E2A01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1</w:t>
      </w:r>
      <w:r w:rsidRPr="00E67914">
        <w:rPr>
          <w:rFonts w:ascii="Times New Roman" w:hAnsi="Times New Roman"/>
          <w:sz w:val="24"/>
          <w:szCs w:val="24"/>
          <w:lang w:eastAsia="zh-CN"/>
        </w:rPr>
        <w:t>）土地利用性质改变</w:t>
      </w:r>
    </w:p>
    <w:p w14:paraId="6F255C0A" w14:textId="0731E94D"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工程项目建设对生态环境的影响主要表现为项目占地使土地功能发生改变，即耕地</w:t>
      </w:r>
      <w:r w:rsidR="0040140D" w:rsidRPr="00E67914">
        <w:rPr>
          <w:rFonts w:ascii="Times New Roman" w:hAnsi="Times New Roman"/>
          <w:sz w:val="24"/>
          <w:szCs w:val="24"/>
          <w:lang w:eastAsia="zh-CN"/>
        </w:rPr>
        <w:t>、林地</w:t>
      </w:r>
      <w:r w:rsidRPr="00E67914">
        <w:rPr>
          <w:rFonts w:ascii="Times New Roman" w:hAnsi="Times New Roman"/>
          <w:sz w:val="24"/>
          <w:szCs w:val="24"/>
          <w:lang w:eastAsia="zh-CN"/>
        </w:rPr>
        <w:t>变为工业用地，将导致粮食减产（植被生物量降低）等。对于工程的占地，建设方应按国家相关法律法规办理用地手续。</w:t>
      </w:r>
    </w:p>
    <w:p w14:paraId="0748CDD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2</w:t>
      </w:r>
      <w:r w:rsidRPr="00E67914">
        <w:rPr>
          <w:rFonts w:ascii="Times New Roman" w:hAnsi="Times New Roman"/>
          <w:sz w:val="24"/>
          <w:szCs w:val="24"/>
          <w:lang w:eastAsia="zh-CN"/>
        </w:rPr>
        <w:t>）土壤侵蚀</w:t>
      </w:r>
    </w:p>
    <w:p w14:paraId="0F0E7639"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在井场平整、设备基础开挖过程，将造成地面裸露，形成水土流失。</w:t>
      </w:r>
    </w:p>
    <w:p w14:paraId="38DA2181"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lastRenderedPageBreak/>
        <w:t>3.4.1.2</w:t>
      </w:r>
      <w:r w:rsidRPr="00E67914">
        <w:rPr>
          <w:rFonts w:ascii="Times New Roman" w:eastAsia="黑体" w:hAnsi="Times New Roman"/>
          <w:sz w:val="24"/>
          <w:szCs w:val="24"/>
          <w:lang w:eastAsia="zh-CN"/>
        </w:rPr>
        <w:t>钻井工程</w:t>
      </w:r>
    </w:p>
    <w:p w14:paraId="23441F91"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）废气</w:t>
      </w:r>
    </w:p>
    <w:p w14:paraId="077BBF0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）备用柴油机</w:t>
      </w:r>
      <w:r w:rsidRPr="00E67914">
        <w:rPr>
          <w:rFonts w:ascii="Times New Roman" w:hAnsi="Times New Roman"/>
          <w:sz w:val="24"/>
          <w:lang w:eastAsia="zh-CN"/>
        </w:rPr>
        <w:t>/</w:t>
      </w:r>
      <w:r w:rsidRPr="00E67914">
        <w:rPr>
          <w:rFonts w:ascii="Times New Roman" w:hAnsi="Times New Roman"/>
          <w:sz w:val="24"/>
          <w:lang w:eastAsia="zh-CN"/>
        </w:rPr>
        <w:t>发电机废气</w:t>
      </w:r>
    </w:p>
    <w:p w14:paraId="315BBEEA"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lang w:eastAsia="zh-CN"/>
        </w:rPr>
        <w:t>项目周边供电网已铺设，网电已接入井场，满足本项目钻井及试采期需求，因此本项目优先使用网电作为动力和生产生活用电，正常情况下无燃烧废气产生。</w:t>
      </w:r>
    </w:p>
    <w:p w14:paraId="27B7F54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在停电或者电网供应不能满足使用时，井场同时使用备用</w:t>
      </w:r>
      <w:r w:rsidRPr="00E67914">
        <w:rPr>
          <w:rFonts w:ascii="Times New Roman" w:hAnsi="Times New Roman"/>
          <w:sz w:val="24"/>
          <w:lang w:eastAsia="zh-CN"/>
        </w:rPr>
        <w:t>3</w:t>
      </w:r>
      <w:r w:rsidRPr="00E67914">
        <w:rPr>
          <w:rFonts w:ascii="Times New Roman" w:hAnsi="Times New Roman"/>
          <w:sz w:val="24"/>
          <w:lang w:eastAsia="zh-CN"/>
        </w:rPr>
        <w:t>台（</w:t>
      </w:r>
      <w:r w:rsidRPr="00E67914">
        <w:rPr>
          <w:rFonts w:ascii="Times New Roman" w:hAnsi="Times New Roman"/>
          <w:sz w:val="24"/>
          <w:lang w:eastAsia="zh-CN"/>
        </w:rPr>
        <w:t>2</w:t>
      </w:r>
      <w:r w:rsidRPr="00E67914">
        <w:rPr>
          <w:rFonts w:ascii="Times New Roman" w:hAnsi="Times New Roman"/>
          <w:sz w:val="24"/>
          <w:lang w:eastAsia="zh-CN"/>
        </w:rPr>
        <w:t>用</w:t>
      </w:r>
      <w:r w:rsidRPr="00E67914">
        <w:rPr>
          <w:rFonts w:ascii="Times New Roman" w:hAnsi="Times New Roman"/>
          <w:sz w:val="24"/>
          <w:lang w:eastAsia="zh-CN"/>
        </w:rPr>
        <w:t>1</w:t>
      </w:r>
      <w:r w:rsidRPr="00E67914">
        <w:rPr>
          <w:rFonts w:ascii="Times New Roman" w:hAnsi="Times New Roman"/>
          <w:sz w:val="24"/>
          <w:lang w:eastAsia="zh-CN"/>
        </w:rPr>
        <w:t>备）柴油动力机运行功率</w:t>
      </w:r>
      <w:r w:rsidRPr="00E67914">
        <w:rPr>
          <w:rFonts w:ascii="Times New Roman" w:hAnsi="Times New Roman"/>
          <w:sz w:val="24"/>
          <w:lang w:eastAsia="zh-CN"/>
        </w:rPr>
        <w:t>882kW</w:t>
      </w: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用</w:t>
      </w:r>
      <w:r w:rsidRPr="00E67914">
        <w:rPr>
          <w:rFonts w:ascii="Times New Roman" w:hAnsi="Times New Roman"/>
          <w:sz w:val="24"/>
          <w:lang w:eastAsia="zh-CN"/>
        </w:rPr>
        <w:t>1</w:t>
      </w:r>
      <w:r w:rsidRPr="00E67914">
        <w:rPr>
          <w:rFonts w:ascii="Times New Roman" w:hAnsi="Times New Roman"/>
          <w:sz w:val="24"/>
          <w:lang w:eastAsia="zh-CN"/>
        </w:rPr>
        <w:t>备）和</w:t>
      </w:r>
      <w:r w:rsidRPr="00E67914">
        <w:rPr>
          <w:rFonts w:ascii="Times New Roman" w:hAnsi="Times New Roman"/>
          <w:sz w:val="24"/>
          <w:lang w:eastAsia="zh-CN"/>
        </w:rPr>
        <w:t>2</w:t>
      </w:r>
      <w:r w:rsidRPr="00E67914">
        <w:rPr>
          <w:rFonts w:ascii="Times New Roman" w:hAnsi="Times New Roman"/>
          <w:sz w:val="24"/>
          <w:lang w:eastAsia="zh-CN"/>
        </w:rPr>
        <w:t>台（</w:t>
      </w:r>
      <w:r w:rsidRPr="00E67914">
        <w:rPr>
          <w:rFonts w:ascii="Times New Roman" w:hAnsi="Times New Roman"/>
          <w:sz w:val="24"/>
          <w:lang w:eastAsia="zh-CN"/>
        </w:rPr>
        <w:t>1</w:t>
      </w:r>
      <w:r w:rsidRPr="00E67914">
        <w:rPr>
          <w:rFonts w:ascii="Times New Roman" w:hAnsi="Times New Roman"/>
          <w:sz w:val="24"/>
          <w:lang w:eastAsia="zh-CN"/>
        </w:rPr>
        <w:t>用</w:t>
      </w:r>
      <w:r w:rsidRPr="00E67914">
        <w:rPr>
          <w:rFonts w:ascii="Times New Roman" w:hAnsi="Times New Roman"/>
          <w:sz w:val="24"/>
          <w:lang w:eastAsia="zh-CN"/>
        </w:rPr>
        <w:t>1</w:t>
      </w:r>
      <w:r w:rsidRPr="00E67914">
        <w:rPr>
          <w:rFonts w:ascii="Times New Roman" w:hAnsi="Times New Roman"/>
          <w:sz w:val="24"/>
          <w:lang w:eastAsia="zh-CN"/>
        </w:rPr>
        <w:t>备）</w:t>
      </w:r>
      <w:r w:rsidRPr="00E67914">
        <w:rPr>
          <w:rFonts w:ascii="Times New Roman" w:hAnsi="Times New Roman"/>
          <w:sz w:val="24"/>
          <w:lang w:eastAsia="zh-CN"/>
        </w:rPr>
        <w:t>320kW</w:t>
      </w:r>
      <w:r w:rsidRPr="00E67914">
        <w:rPr>
          <w:rFonts w:ascii="Times New Roman" w:hAnsi="Times New Roman"/>
          <w:sz w:val="24"/>
          <w:lang w:eastAsia="zh-CN"/>
        </w:rPr>
        <w:t>柴油发电机组。柴油动力机组额定油耗</w:t>
      </w:r>
      <w:r w:rsidRPr="00E67914">
        <w:rPr>
          <w:rFonts w:ascii="Times New Roman" w:hAnsi="Times New Roman"/>
          <w:sz w:val="24"/>
          <w:lang w:eastAsia="zh-CN"/>
        </w:rPr>
        <w:t>209g/kW·h</w:t>
      </w:r>
      <w:r w:rsidRPr="00E67914">
        <w:rPr>
          <w:rFonts w:ascii="Times New Roman" w:hAnsi="Times New Roman"/>
          <w:sz w:val="24"/>
          <w:lang w:eastAsia="zh-CN"/>
        </w:rPr>
        <w:t>，发电机额定油耗</w:t>
      </w:r>
      <w:r w:rsidRPr="00E67914">
        <w:rPr>
          <w:rFonts w:ascii="Times New Roman" w:hAnsi="Times New Roman"/>
          <w:sz w:val="24"/>
          <w:lang w:eastAsia="zh-CN"/>
        </w:rPr>
        <w:t>60g/kW·h</w:t>
      </w:r>
      <w:r w:rsidRPr="00E67914">
        <w:rPr>
          <w:rFonts w:ascii="Times New Roman" w:hAnsi="Times New Roman"/>
          <w:sz w:val="24"/>
          <w:lang w:eastAsia="zh-CN"/>
        </w:rPr>
        <w:t>。</w:t>
      </w:r>
    </w:p>
    <w:p w14:paraId="2B3243C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柴油发电机使用符合国六标准的轻质柴油。柴油中硫的含量不大于</w:t>
      </w:r>
      <w:r w:rsidRPr="00E67914">
        <w:rPr>
          <w:rFonts w:ascii="Times New Roman" w:hAnsi="Times New Roman"/>
          <w:sz w:val="24"/>
          <w:lang w:eastAsia="zh-CN"/>
        </w:rPr>
        <w:t>10mg/kg</w:t>
      </w:r>
      <w:r w:rsidRPr="00E67914">
        <w:rPr>
          <w:rFonts w:ascii="Times New Roman" w:hAnsi="Times New Roman"/>
          <w:sz w:val="24"/>
          <w:lang w:eastAsia="zh-CN"/>
        </w:rPr>
        <w:t>，则</w:t>
      </w:r>
      <w:r w:rsidRPr="00E67914">
        <w:rPr>
          <w:rFonts w:ascii="Times New Roman" w:hAnsi="Times New Roman"/>
          <w:sz w:val="24"/>
          <w:lang w:eastAsia="zh-CN"/>
        </w:rPr>
        <w:t>SO</w:t>
      </w:r>
      <w:r w:rsidRPr="00E67914">
        <w:rPr>
          <w:rFonts w:ascii="Times New Roman" w:hAnsi="Times New Roman"/>
          <w:sz w:val="24"/>
          <w:vertAlign w:val="subscript"/>
          <w:lang w:eastAsia="zh-CN"/>
        </w:rPr>
        <w:t>2</w:t>
      </w:r>
      <w:r w:rsidRPr="00E67914">
        <w:rPr>
          <w:rFonts w:ascii="Times New Roman" w:hAnsi="Times New Roman"/>
          <w:sz w:val="24"/>
          <w:lang w:eastAsia="zh-CN"/>
        </w:rPr>
        <w:t>排放系数为</w:t>
      </w:r>
      <w:r w:rsidRPr="00E67914">
        <w:rPr>
          <w:rFonts w:ascii="Times New Roman" w:hAnsi="Times New Roman"/>
          <w:sz w:val="24"/>
          <w:lang w:eastAsia="zh-CN"/>
        </w:rPr>
        <w:t>20g/t</w:t>
      </w:r>
      <w:r w:rsidRPr="00E67914">
        <w:rPr>
          <w:rFonts w:ascii="Times New Roman" w:hAnsi="Times New Roman"/>
          <w:sz w:val="24"/>
          <w:lang w:eastAsia="zh-CN"/>
        </w:rPr>
        <w:t>。</w:t>
      </w:r>
    </w:p>
    <w:p w14:paraId="425FF3C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柴油燃烧废气主要污染物排系数参考《社会区域类环境影响评价》工程师登记培训教材中相关排污系数，柴油机污染物排放系数为：</w:t>
      </w:r>
      <w:r w:rsidRPr="00E67914">
        <w:rPr>
          <w:rFonts w:ascii="Times New Roman" w:hAnsi="Times New Roman"/>
          <w:sz w:val="24"/>
          <w:lang w:eastAsia="zh-CN"/>
        </w:rPr>
        <w:t>NO</w:t>
      </w:r>
      <w:r w:rsidRPr="00E67914">
        <w:rPr>
          <w:rFonts w:ascii="Times New Roman" w:hAnsi="Times New Roman"/>
          <w:sz w:val="24"/>
          <w:vertAlign w:val="subscript"/>
          <w:lang w:eastAsia="zh-CN"/>
        </w:rPr>
        <w:t>x</w:t>
      </w:r>
      <w:r w:rsidRPr="00E67914">
        <w:rPr>
          <w:rFonts w:ascii="Times New Roman" w:hAnsi="Times New Roman"/>
          <w:sz w:val="24"/>
          <w:lang w:eastAsia="zh-CN"/>
        </w:rPr>
        <w:t>2.56g/L</w:t>
      </w:r>
      <w:r w:rsidRPr="00E67914">
        <w:rPr>
          <w:rFonts w:ascii="Times New Roman" w:hAnsi="Times New Roman"/>
          <w:sz w:val="24"/>
          <w:lang w:eastAsia="zh-CN"/>
        </w:rPr>
        <w:t>、烟尘</w:t>
      </w:r>
      <w:r w:rsidRPr="00E67914">
        <w:rPr>
          <w:rFonts w:ascii="Times New Roman" w:hAnsi="Times New Roman"/>
          <w:sz w:val="24"/>
          <w:lang w:eastAsia="zh-CN"/>
        </w:rPr>
        <w:t>0.714g/L</w:t>
      </w:r>
      <w:r w:rsidRPr="00E67914">
        <w:rPr>
          <w:rFonts w:ascii="Times New Roman" w:hAnsi="Times New Roman"/>
          <w:sz w:val="24"/>
          <w:lang w:eastAsia="zh-CN"/>
        </w:rPr>
        <w:t>、烟气量按</w:t>
      </w:r>
      <w:r w:rsidRPr="00E67914">
        <w:rPr>
          <w:rFonts w:ascii="Times New Roman" w:hAnsi="Times New Roman"/>
          <w:sz w:val="24"/>
          <w:lang w:eastAsia="zh-CN"/>
        </w:rPr>
        <w:t>20Nm</w:t>
      </w:r>
      <w:r w:rsidRPr="00E67914">
        <w:rPr>
          <w:rFonts w:ascii="Times New Roman" w:hAnsi="Times New Roman"/>
          <w:sz w:val="24"/>
          <w:vertAlign w:val="superscript"/>
          <w:lang w:eastAsia="zh-CN"/>
        </w:rPr>
        <w:t>3</w:t>
      </w:r>
      <w:r w:rsidRPr="00E67914">
        <w:rPr>
          <w:rFonts w:ascii="Times New Roman" w:hAnsi="Times New Roman"/>
          <w:sz w:val="24"/>
          <w:lang w:eastAsia="zh-CN"/>
        </w:rPr>
        <w:t>/kg</w:t>
      </w:r>
      <w:r w:rsidRPr="00E67914">
        <w:rPr>
          <w:rFonts w:ascii="Times New Roman" w:hAnsi="Times New Roman"/>
          <w:sz w:val="24"/>
          <w:lang w:eastAsia="zh-CN"/>
        </w:rPr>
        <w:t>计。预测项目钻井作业期间采油发电机组主要污染物排放情况见表</w:t>
      </w:r>
      <w:r w:rsidRPr="00E67914">
        <w:rPr>
          <w:rFonts w:ascii="Times New Roman" w:hAnsi="Times New Roman"/>
          <w:sz w:val="24"/>
          <w:lang w:eastAsia="zh-CN"/>
        </w:rPr>
        <w:t>3.4-2</w:t>
      </w:r>
      <w:r w:rsidRPr="00E67914">
        <w:rPr>
          <w:rFonts w:ascii="Times New Roman" w:hAnsi="Times New Roman"/>
          <w:sz w:val="24"/>
          <w:lang w:eastAsia="zh-CN"/>
        </w:rPr>
        <w:t>。</w:t>
      </w:r>
    </w:p>
    <w:p w14:paraId="7618E1A0"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3.4-2  </w:t>
      </w:r>
      <w:r w:rsidRPr="00E67914">
        <w:rPr>
          <w:rFonts w:ascii="Times New Roman" w:eastAsia="黑体" w:hAnsi="Times New Roman"/>
          <w:sz w:val="21"/>
          <w:szCs w:val="21"/>
          <w:lang w:eastAsia="zh-CN"/>
        </w:rPr>
        <w:t>钻井作业期间柴油发电机组废气污染物排放情况</w:t>
      </w: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798"/>
        <w:gridCol w:w="984"/>
        <w:gridCol w:w="1015"/>
        <w:gridCol w:w="1168"/>
        <w:gridCol w:w="1221"/>
        <w:gridCol w:w="997"/>
      </w:tblGrid>
      <w:tr w:rsidR="00E67914" w:rsidRPr="00E67914" w14:paraId="73335373" w14:textId="77777777">
        <w:trPr>
          <w:trHeight w:val="369"/>
          <w:jc w:val="center"/>
        </w:trPr>
        <w:tc>
          <w:tcPr>
            <w:tcW w:w="1169" w:type="pct"/>
            <w:vAlign w:val="center"/>
          </w:tcPr>
          <w:p w14:paraId="3394B561" w14:textId="77777777" w:rsidR="00A54A8A" w:rsidRPr="00E67914" w:rsidRDefault="00000000">
            <w:pPr>
              <w:pStyle w:val="04"/>
              <w:rPr>
                <w:rFonts w:eastAsia="黑体" w:cs="Times New Roman"/>
                <w:b/>
                <w:bCs/>
                <w:snapToGrid w:val="0"/>
              </w:rPr>
            </w:pPr>
            <w:r w:rsidRPr="00E67914">
              <w:rPr>
                <w:rFonts w:eastAsia="黑体" w:cs="Times New Roman"/>
                <w:b/>
                <w:bCs/>
                <w:snapToGrid w:val="0"/>
              </w:rPr>
              <w:t>污染源</w:t>
            </w:r>
          </w:p>
        </w:tc>
        <w:tc>
          <w:tcPr>
            <w:tcW w:w="504" w:type="pct"/>
            <w:vAlign w:val="center"/>
          </w:tcPr>
          <w:p w14:paraId="6AFF269F" w14:textId="77777777" w:rsidR="00A54A8A" w:rsidRPr="00E67914" w:rsidRDefault="00000000">
            <w:pPr>
              <w:pStyle w:val="04"/>
              <w:rPr>
                <w:rFonts w:eastAsia="黑体" w:cs="Times New Roman"/>
                <w:b/>
                <w:bCs/>
                <w:snapToGrid w:val="0"/>
              </w:rPr>
            </w:pPr>
            <w:r w:rsidRPr="00E67914">
              <w:rPr>
                <w:rFonts w:eastAsia="黑体" w:cs="Times New Roman"/>
                <w:b/>
                <w:bCs/>
                <w:snapToGrid w:val="0"/>
              </w:rPr>
              <w:t>油耗</w:t>
            </w:r>
            <w:r w:rsidRPr="00E67914">
              <w:rPr>
                <w:rFonts w:eastAsia="黑体" w:cs="Times New Roman"/>
                <w:b/>
                <w:bCs/>
                <w:snapToGrid w:val="0"/>
              </w:rPr>
              <w:t>kg/h</w:t>
            </w:r>
          </w:p>
        </w:tc>
        <w:tc>
          <w:tcPr>
            <w:tcW w:w="620" w:type="pct"/>
            <w:vAlign w:val="center"/>
          </w:tcPr>
          <w:p w14:paraId="5979A08A" w14:textId="77777777" w:rsidR="00A54A8A" w:rsidRPr="00E67914" w:rsidRDefault="00000000">
            <w:pPr>
              <w:pStyle w:val="04"/>
              <w:rPr>
                <w:rFonts w:eastAsia="黑体" w:cs="Times New Roman"/>
                <w:b/>
                <w:bCs/>
                <w:snapToGrid w:val="0"/>
              </w:rPr>
            </w:pPr>
            <w:r w:rsidRPr="00E67914">
              <w:rPr>
                <w:rFonts w:eastAsia="黑体" w:cs="Times New Roman"/>
                <w:b/>
                <w:bCs/>
                <w:snapToGrid w:val="0"/>
              </w:rPr>
              <w:t>烟气量</w:t>
            </w:r>
            <w:r w:rsidRPr="00E67914">
              <w:rPr>
                <w:rFonts w:eastAsia="黑体" w:cs="Times New Roman"/>
                <w:b/>
                <w:bCs/>
                <w:snapToGrid w:val="0"/>
              </w:rPr>
              <w:t>m</w:t>
            </w:r>
            <w:r w:rsidRPr="00E67914">
              <w:rPr>
                <w:rFonts w:eastAsia="黑体" w:cs="Times New Roman"/>
                <w:b/>
                <w:bCs/>
                <w:snapToGrid w:val="0"/>
                <w:vertAlign w:val="superscript"/>
              </w:rPr>
              <w:t>3</w:t>
            </w:r>
            <w:r w:rsidRPr="00E67914">
              <w:rPr>
                <w:rFonts w:eastAsia="黑体" w:cs="Times New Roman"/>
                <w:b/>
                <w:bCs/>
                <w:snapToGrid w:val="0"/>
              </w:rPr>
              <w:t>/h</w:t>
            </w:r>
          </w:p>
        </w:tc>
        <w:tc>
          <w:tcPr>
            <w:tcW w:w="639" w:type="pct"/>
            <w:vAlign w:val="center"/>
          </w:tcPr>
          <w:p w14:paraId="2A10B4DC" w14:textId="77777777" w:rsidR="00A54A8A" w:rsidRPr="00E67914" w:rsidRDefault="00000000">
            <w:pPr>
              <w:pStyle w:val="04"/>
              <w:rPr>
                <w:rFonts w:eastAsia="黑体" w:cs="Times New Roman"/>
                <w:b/>
                <w:bCs/>
                <w:snapToGrid w:val="0"/>
              </w:rPr>
            </w:pPr>
            <w:r w:rsidRPr="00E67914">
              <w:rPr>
                <w:rFonts w:eastAsia="黑体" w:cs="Times New Roman"/>
                <w:b/>
                <w:bCs/>
                <w:snapToGrid w:val="0"/>
              </w:rPr>
              <w:t>污染物名称</w:t>
            </w:r>
          </w:p>
        </w:tc>
        <w:tc>
          <w:tcPr>
            <w:tcW w:w="734" w:type="pct"/>
            <w:vAlign w:val="center"/>
          </w:tcPr>
          <w:p w14:paraId="5DF736E2" w14:textId="77777777" w:rsidR="00A54A8A" w:rsidRPr="00E67914" w:rsidRDefault="00000000">
            <w:pPr>
              <w:pStyle w:val="04"/>
              <w:rPr>
                <w:rFonts w:eastAsia="黑体" w:cs="Times New Roman"/>
                <w:b/>
                <w:bCs/>
                <w:snapToGrid w:val="0"/>
              </w:rPr>
            </w:pPr>
            <w:r w:rsidRPr="00E67914">
              <w:rPr>
                <w:rFonts w:eastAsia="黑体" w:cs="Times New Roman"/>
                <w:b/>
                <w:bCs/>
                <w:snapToGrid w:val="0"/>
              </w:rPr>
              <w:t>排放速率（</w:t>
            </w:r>
            <w:r w:rsidRPr="00E67914">
              <w:rPr>
                <w:rFonts w:eastAsia="黑体" w:cs="Times New Roman"/>
                <w:b/>
                <w:bCs/>
                <w:snapToGrid w:val="0"/>
              </w:rPr>
              <w:t>kg/h</w:t>
            </w:r>
            <w:r w:rsidRPr="00E67914">
              <w:rPr>
                <w:rFonts w:eastAsia="黑体" w:cs="Times New Roman"/>
                <w:b/>
                <w:bCs/>
                <w:snapToGrid w:val="0"/>
              </w:rPr>
              <w:t>）</w:t>
            </w:r>
          </w:p>
        </w:tc>
        <w:tc>
          <w:tcPr>
            <w:tcW w:w="706" w:type="pct"/>
            <w:vAlign w:val="center"/>
          </w:tcPr>
          <w:p w14:paraId="70016992" w14:textId="77777777" w:rsidR="00A54A8A" w:rsidRPr="00E67914" w:rsidRDefault="00000000">
            <w:pPr>
              <w:pStyle w:val="04"/>
              <w:rPr>
                <w:rFonts w:eastAsia="黑体" w:cs="Times New Roman"/>
                <w:b/>
                <w:bCs/>
                <w:snapToGrid w:val="0"/>
              </w:rPr>
            </w:pPr>
            <w:r w:rsidRPr="00E67914">
              <w:rPr>
                <w:rFonts w:eastAsia="黑体" w:cs="Times New Roman"/>
                <w:b/>
                <w:bCs/>
                <w:snapToGrid w:val="0"/>
              </w:rPr>
              <w:t>排放浓度（</w:t>
            </w:r>
            <w:r w:rsidRPr="00E67914">
              <w:rPr>
                <w:rFonts w:eastAsia="黑体" w:cs="Times New Roman"/>
                <w:b/>
                <w:bCs/>
                <w:snapToGrid w:val="0"/>
              </w:rPr>
              <w:t>mg/m</w:t>
            </w:r>
            <w:r w:rsidRPr="00E67914">
              <w:rPr>
                <w:rFonts w:eastAsia="黑体" w:cs="Times New Roman"/>
                <w:b/>
                <w:bCs/>
                <w:snapToGrid w:val="0"/>
                <w:vertAlign w:val="superscript"/>
              </w:rPr>
              <w:t>3</w:t>
            </w:r>
            <w:r w:rsidRPr="00E67914">
              <w:rPr>
                <w:rFonts w:eastAsia="黑体" w:cs="Times New Roman"/>
                <w:b/>
                <w:bCs/>
                <w:snapToGrid w:val="0"/>
              </w:rPr>
              <w:t>）</w:t>
            </w:r>
          </w:p>
        </w:tc>
        <w:tc>
          <w:tcPr>
            <w:tcW w:w="628" w:type="pct"/>
            <w:vAlign w:val="center"/>
          </w:tcPr>
          <w:p w14:paraId="013BEE58" w14:textId="77777777" w:rsidR="00A54A8A" w:rsidRPr="00E67914" w:rsidRDefault="00000000">
            <w:pPr>
              <w:pStyle w:val="04"/>
              <w:rPr>
                <w:rFonts w:eastAsia="黑体" w:cs="Times New Roman"/>
                <w:b/>
                <w:bCs/>
                <w:snapToGrid w:val="0"/>
              </w:rPr>
            </w:pPr>
            <w:r w:rsidRPr="00E67914">
              <w:rPr>
                <w:rFonts w:eastAsia="黑体" w:cs="Times New Roman"/>
                <w:b/>
                <w:bCs/>
                <w:snapToGrid w:val="0"/>
              </w:rPr>
              <w:t>排气筒高度（</w:t>
            </w:r>
            <w:r w:rsidRPr="00E67914">
              <w:rPr>
                <w:rFonts w:cs="Times New Roman"/>
                <w:snapToGrid w:val="0"/>
              </w:rPr>
              <w:t>m</w:t>
            </w:r>
            <w:r w:rsidRPr="00E67914">
              <w:rPr>
                <w:rFonts w:eastAsia="黑体" w:cs="Times New Roman"/>
                <w:b/>
                <w:bCs/>
                <w:snapToGrid w:val="0"/>
              </w:rPr>
              <w:t>）</w:t>
            </w:r>
          </w:p>
        </w:tc>
      </w:tr>
      <w:tr w:rsidR="00E67914" w:rsidRPr="00E67914" w14:paraId="08E3FD3C" w14:textId="77777777">
        <w:trPr>
          <w:trHeight w:val="369"/>
          <w:jc w:val="center"/>
        </w:trPr>
        <w:tc>
          <w:tcPr>
            <w:tcW w:w="1169" w:type="pct"/>
            <w:vMerge w:val="restart"/>
            <w:vAlign w:val="center"/>
          </w:tcPr>
          <w:p w14:paraId="13154670" w14:textId="77777777" w:rsidR="00A54A8A" w:rsidRPr="00E67914" w:rsidRDefault="00000000">
            <w:pPr>
              <w:pStyle w:val="04"/>
              <w:rPr>
                <w:rFonts w:cs="Times New Roman"/>
                <w:snapToGrid w:val="0"/>
              </w:rPr>
            </w:pPr>
            <w:bookmarkStart w:id="88" w:name="_Hlk332099719"/>
            <w:r w:rsidRPr="00E67914">
              <w:rPr>
                <w:rFonts w:cs="Times New Roman"/>
                <w:snapToGrid w:val="0"/>
              </w:rPr>
              <w:t>2</w:t>
            </w:r>
            <w:r w:rsidRPr="00E67914">
              <w:rPr>
                <w:rFonts w:cs="Times New Roman"/>
                <w:snapToGrid w:val="0"/>
              </w:rPr>
              <w:t>台柴油动力机、</w:t>
            </w:r>
            <w:r w:rsidRPr="00E67914">
              <w:rPr>
                <w:rFonts w:cs="Times New Roman"/>
                <w:snapToGrid w:val="0"/>
              </w:rPr>
              <w:t>1</w:t>
            </w:r>
            <w:r w:rsidRPr="00E67914">
              <w:rPr>
                <w:rFonts w:cs="Times New Roman"/>
                <w:snapToGrid w:val="0"/>
              </w:rPr>
              <w:t>台发电机组</w:t>
            </w:r>
          </w:p>
        </w:tc>
        <w:tc>
          <w:tcPr>
            <w:tcW w:w="504" w:type="pct"/>
            <w:vMerge w:val="restart"/>
            <w:vAlign w:val="center"/>
          </w:tcPr>
          <w:p w14:paraId="323BE5AB" w14:textId="77777777" w:rsidR="00A54A8A" w:rsidRPr="00E67914" w:rsidRDefault="00000000">
            <w:pPr>
              <w:pStyle w:val="04"/>
              <w:rPr>
                <w:rFonts w:cs="Times New Roman"/>
                <w:snapToGrid w:val="0"/>
              </w:rPr>
            </w:pPr>
            <w:r w:rsidRPr="00E67914">
              <w:rPr>
                <w:rFonts w:cs="Times New Roman"/>
                <w:snapToGrid w:val="0"/>
              </w:rPr>
              <w:t>388</w:t>
            </w:r>
          </w:p>
        </w:tc>
        <w:tc>
          <w:tcPr>
            <w:tcW w:w="620" w:type="pct"/>
            <w:vMerge w:val="restart"/>
            <w:vAlign w:val="center"/>
          </w:tcPr>
          <w:p w14:paraId="3EE6A6B1" w14:textId="77777777" w:rsidR="00A54A8A" w:rsidRPr="00E67914" w:rsidRDefault="00000000">
            <w:pPr>
              <w:pStyle w:val="04"/>
              <w:rPr>
                <w:rFonts w:cs="Times New Roman"/>
                <w:snapToGrid w:val="0"/>
              </w:rPr>
            </w:pPr>
            <w:r w:rsidRPr="00E67914">
              <w:rPr>
                <w:rFonts w:cs="Times New Roman"/>
                <w:snapToGrid w:val="0"/>
              </w:rPr>
              <w:t>7760</w:t>
            </w:r>
          </w:p>
        </w:tc>
        <w:tc>
          <w:tcPr>
            <w:tcW w:w="639" w:type="pct"/>
            <w:vAlign w:val="center"/>
          </w:tcPr>
          <w:p w14:paraId="31959869" w14:textId="77777777" w:rsidR="00A54A8A" w:rsidRPr="00E67914" w:rsidRDefault="00000000">
            <w:pPr>
              <w:pStyle w:val="04"/>
              <w:rPr>
                <w:rFonts w:cs="Times New Roman"/>
                <w:snapToGrid w:val="0"/>
              </w:rPr>
            </w:pPr>
            <w:r w:rsidRPr="00E67914">
              <w:rPr>
                <w:rFonts w:cs="Times New Roman"/>
                <w:snapToGrid w:val="0"/>
              </w:rPr>
              <w:t>SO</w:t>
            </w:r>
            <w:r w:rsidRPr="00E67914">
              <w:rPr>
                <w:rFonts w:cs="Times New Roman"/>
                <w:snapToGrid w:val="0"/>
                <w:vertAlign w:val="subscript"/>
              </w:rPr>
              <w:t>2</w:t>
            </w:r>
          </w:p>
        </w:tc>
        <w:tc>
          <w:tcPr>
            <w:tcW w:w="734" w:type="pct"/>
            <w:vAlign w:val="center"/>
          </w:tcPr>
          <w:p w14:paraId="5304D241" w14:textId="77777777" w:rsidR="00A54A8A" w:rsidRPr="00E67914" w:rsidRDefault="00000000">
            <w:pPr>
              <w:pStyle w:val="04"/>
              <w:rPr>
                <w:rFonts w:cs="Times New Roman"/>
                <w:kern w:val="2"/>
              </w:rPr>
            </w:pPr>
            <w:r w:rsidRPr="00E67914">
              <w:rPr>
                <w:rFonts w:cs="Times New Roman"/>
                <w:kern w:val="2"/>
              </w:rPr>
              <w:t>0.008</w:t>
            </w:r>
          </w:p>
        </w:tc>
        <w:tc>
          <w:tcPr>
            <w:tcW w:w="706" w:type="pct"/>
            <w:vAlign w:val="center"/>
          </w:tcPr>
          <w:p w14:paraId="7B02E6D8" w14:textId="77777777" w:rsidR="00A54A8A" w:rsidRPr="00E67914" w:rsidRDefault="00000000">
            <w:pPr>
              <w:pStyle w:val="04"/>
              <w:rPr>
                <w:rFonts w:cs="Times New Roman"/>
                <w:kern w:val="2"/>
              </w:rPr>
            </w:pPr>
            <w:r w:rsidRPr="00E67914">
              <w:rPr>
                <w:rFonts w:cs="Times New Roman"/>
                <w:kern w:val="2"/>
              </w:rPr>
              <w:t>1.0</w:t>
            </w:r>
          </w:p>
        </w:tc>
        <w:tc>
          <w:tcPr>
            <w:tcW w:w="628" w:type="pct"/>
            <w:vAlign w:val="center"/>
          </w:tcPr>
          <w:p w14:paraId="395EE780" w14:textId="77777777" w:rsidR="00A54A8A" w:rsidRPr="00E67914" w:rsidRDefault="00000000">
            <w:pPr>
              <w:pStyle w:val="04"/>
              <w:rPr>
                <w:rFonts w:cs="Times New Roman"/>
                <w:snapToGrid w:val="0"/>
              </w:rPr>
            </w:pPr>
            <w:r w:rsidRPr="00E67914">
              <w:rPr>
                <w:rFonts w:cs="Times New Roman"/>
                <w:snapToGrid w:val="0"/>
              </w:rPr>
              <w:t>6</w:t>
            </w:r>
          </w:p>
        </w:tc>
      </w:tr>
      <w:tr w:rsidR="00E67914" w:rsidRPr="00E67914" w14:paraId="102A03BC" w14:textId="77777777">
        <w:trPr>
          <w:trHeight w:val="369"/>
          <w:jc w:val="center"/>
        </w:trPr>
        <w:tc>
          <w:tcPr>
            <w:tcW w:w="1169" w:type="pct"/>
            <w:vMerge/>
            <w:vAlign w:val="center"/>
          </w:tcPr>
          <w:p w14:paraId="2D769135" w14:textId="77777777" w:rsidR="00A54A8A" w:rsidRPr="00E67914" w:rsidRDefault="00A54A8A">
            <w:pPr>
              <w:pStyle w:val="04"/>
              <w:rPr>
                <w:rFonts w:cs="Times New Roman"/>
                <w:snapToGrid w:val="0"/>
              </w:rPr>
            </w:pPr>
          </w:p>
        </w:tc>
        <w:tc>
          <w:tcPr>
            <w:tcW w:w="504" w:type="pct"/>
            <w:vMerge/>
            <w:vAlign w:val="center"/>
          </w:tcPr>
          <w:p w14:paraId="38AD70C0" w14:textId="77777777" w:rsidR="00A54A8A" w:rsidRPr="00E67914" w:rsidRDefault="00A54A8A">
            <w:pPr>
              <w:pStyle w:val="04"/>
              <w:rPr>
                <w:rFonts w:cs="Times New Roman"/>
                <w:snapToGrid w:val="0"/>
              </w:rPr>
            </w:pPr>
          </w:p>
        </w:tc>
        <w:tc>
          <w:tcPr>
            <w:tcW w:w="620" w:type="pct"/>
            <w:vMerge/>
            <w:vAlign w:val="center"/>
          </w:tcPr>
          <w:p w14:paraId="70CB4F10" w14:textId="77777777" w:rsidR="00A54A8A" w:rsidRPr="00E67914" w:rsidRDefault="00A54A8A">
            <w:pPr>
              <w:pStyle w:val="04"/>
              <w:rPr>
                <w:rFonts w:cs="Times New Roman"/>
                <w:snapToGrid w:val="0"/>
              </w:rPr>
            </w:pPr>
          </w:p>
        </w:tc>
        <w:tc>
          <w:tcPr>
            <w:tcW w:w="639" w:type="pct"/>
            <w:vAlign w:val="center"/>
          </w:tcPr>
          <w:p w14:paraId="42A5066F" w14:textId="77777777" w:rsidR="00A54A8A" w:rsidRPr="00E67914" w:rsidRDefault="00000000">
            <w:pPr>
              <w:pStyle w:val="04"/>
              <w:rPr>
                <w:rFonts w:cs="Times New Roman"/>
                <w:snapToGrid w:val="0"/>
              </w:rPr>
            </w:pPr>
            <w:r w:rsidRPr="00E67914">
              <w:rPr>
                <w:rFonts w:cs="Times New Roman"/>
                <w:snapToGrid w:val="0"/>
              </w:rPr>
              <w:t>NO</w:t>
            </w:r>
            <w:r w:rsidRPr="00E67914">
              <w:rPr>
                <w:rFonts w:cs="Times New Roman"/>
                <w:snapToGrid w:val="0"/>
                <w:vertAlign w:val="subscript"/>
              </w:rPr>
              <w:t>X</w:t>
            </w:r>
          </w:p>
        </w:tc>
        <w:tc>
          <w:tcPr>
            <w:tcW w:w="734" w:type="pct"/>
            <w:vAlign w:val="center"/>
          </w:tcPr>
          <w:p w14:paraId="4FF4A046" w14:textId="77777777" w:rsidR="00A54A8A" w:rsidRPr="00E67914" w:rsidRDefault="00000000">
            <w:pPr>
              <w:pStyle w:val="04"/>
              <w:rPr>
                <w:rFonts w:cs="Times New Roman"/>
                <w:kern w:val="2"/>
              </w:rPr>
            </w:pPr>
            <w:r w:rsidRPr="00E67914">
              <w:rPr>
                <w:rFonts w:cs="Times New Roman"/>
                <w:kern w:val="2"/>
              </w:rPr>
              <w:t>1.17</w:t>
            </w:r>
          </w:p>
        </w:tc>
        <w:tc>
          <w:tcPr>
            <w:tcW w:w="706" w:type="pct"/>
            <w:vAlign w:val="center"/>
          </w:tcPr>
          <w:p w14:paraId="76B56FFF" w14:textId="77777777" w:rsidR="00A54A8A" w:rsidRPr="00E67914" w:rsidRDefault="00000000">
            <w:pPr>
              <w:pStyle w:val="04"/>
              <w:rPr>
                <w:rFonts w:cs="Times New Roman"/>
                <w:kern w:val="2"/>
              </w:rPr>
            </w:pPr>
            <w:r w:rsidRPr="00E67914">
              <w:rPr>
                <w:rFonts w:cs="Times New Roman"/>
                <w:kern w:val="2"/>
              </w:rPr>
              <w:t>150</w:t>
            </w:r>
          </w:p>
        </w:tc>
        <w:tc>
          <w:tcPr>
            <w:tcW w:w="628" w:type="pct"/>
            <w:vAlign w:val="center"/>
          </w:tcPr>
          <w:p w14:paraId="29969049" w14:textId="77777777" w:rsidR="00A54A8A" w:rsidRPr="00E67914" w:rsidRDefault="00000000">
            <w:pPr>
              <w:pStyle w:val="04"/>
              <w:rPr>
                <w:rFonts w:cs="Times New Roman"/>
                <w:snapToGrid w:val="0"/>
              </w:rPr>
            </w:pPr>
            <w:r w:rsidRPr="00E67914">
              <w:rPr>
                <w:rFonts w:cs="Times New Roman"/>
                <w:snapToGrid w:val="0"/>
              </w:rPr>
              <w:t>6</w:t>
            </w:r>
          </w:p>
        </w:tc>
      </w:tr>
      <w:tr w:rsidR="00E67914" w:rsidRPr="00E67914" w14:paraId="3C699014" w14:textId="77777777">
        <w:trPr>
          <w:trHeight w:val="369"/>
          <w:jc w:val="center"/>
        </w:trPr>
        <w:tc>
          <w:tcPr>
            <w:tcW w:w="1169" w:type="pct"/>
            <w:vMerge/>
            <w:vAlign w:val="center"/>
          </w:tcPr>
          <w:p w14:paraId="36DDF427" w14:textId="77777777" w:rsidR="00A54A8A" w:rsidRPr="00E67914" w:rsidRDefault="00A54A8A">
            <w:pPr>
              <w:pStyle w:val="04"/>
              <w:rPr>
                <w:rFonts w:cs="Times New Roman"/>
                <w:snapToGrid w:val="0"/>
              </w:rPr>
            </w:pPr>
          </w:p>
        </w:tc>
        <w:tc>
          <w:tcPr>
            <w:tcW w:w="504" w:type="pct"/>
            <w:vMerge/>
            <w:vAlign w:val="center"/>
          </w:tcPr>
          <w:p w14:paraId="7BEC4020" w14:textId="77777777" w:rsidR="00A54A8A" w:rsidRPr="00E67914" w:rsidRDefault="00A54A8A">
            <w:pPr>
              <w:pStyle w:val="04"/>
              <w:rPr>
                <w:rFonts w:cs="Times New Roman"/>
                <w:snapToGrid w:val="0"/>
              </w:rPr>
            </w:pPr>
          </w:p>
        </w:tc>
        <w:tc>
          <w:tcPr>
            <w:tcW w:w="620" w:type="pct"/>
            <w:vMerge/>
            <w:vAlign w:val="center"/>
          </w:tcPr>
          <w:p w14:paraId="3165022A" w14:textId="77777777" w:rsidR="00A54A8A" w:rsidRPr="00E67914" w:rsidRDefault="00A54A8A">
            <w:pPr>
              <w:pStyle w:val="04"/>
              <w:rPr>
                <w:rFonts w:cs="Times New Roman"/>
                <w:snapToGrid w:val="0"/>
              </w:rPr>
            </w:pPr>
          </w:p>
        </w:tc>
        <w:tc>
          <w:tcPr>
            <w:tcW w:w="639" w:type="pct"/>
            <w:vAlign w:val="center"/>
          </w:tcPr>
          <w:p w14:paraId="0B10C686" w14:textId="77777777" w:rsidR="00A54A8A" w:rsidRPr="00E67914" w:rsidRDefault="00000000">
            <w:pPr>
              <w:pStyle w:val="04"/>
              <w:rPr>
                <w:rFonts w:cs="Times New Roman"/>
                <w:snapToGrid w:val="0"/>
              </w:rPr>
            </w:pPr>
            <w:r w:rsidRPr="00E67914">
              <w:rPr>
                <w:rFonts w:cs="Times New Roman"/>
                <w:snapToGrid w:val="0"/>
              </w:rPr>
              <w:t>烟尘</w:t>
            </w:r>
          </w:p>
        </w:tc>
        <w:tc>
          <w:tcPr>
            <w:tcW w:w="734" w:type="pct"/>
            <w:vAlign w:val="center"/>
          </w:tcPr>
          <w:p w14:paraId="1D9CBE2D" w14:textId="77777777" w:rsidR="00A54A8A" w:rsidRPr="00E67914" w:rsidRDefault="00000000">
            <w:pPr>
              <w:pStyle w:val="04"/>
              <w:rPr>
                <w:rFonts w:cs="Times New Roman"/>
                <w:kern w:val="2"/>
              </w:rPr>
            </w:pPr>
            <w:r w:rsidRPr="00E67914">
              <w:rPr>
                <w:rFonts w:cs="Times New Roman"/>
                <w:kern w:val="2"/>
              </w:rPr>
              <w:t>0.33</w:t>
            </w:r>
          </w:p>
        </w:tc>
        <w:tc>
          <w:tcPr>
            <w:tcW w:w="706" w:type="pct"/>
            <w:vAlign w:val="center"/>
          </w:tcPr>
          <w:p w14:paraId="2138805E" w14:textId="77777777" w:rsidR="00A54A8A" w:rsidRPr="00E67914" w:rsidRDefault="00000000">
            <w:pPr>
              <w:pStyle w:val="04"/>
              <w:rPr>
                <w:rFonts w:cs="Times New Roman"/>
                <w:kern w:val="2"/>
              </w:rPr>
            </w:pPr>
            <w:r w:rsidRPr="00E67914">
              <w:rPr>
                <w:rFonts w:cs="Times New Roman"/>
                <w:kern w:val="2"/>
              </w:rPr>
              <w:t>41</w:t>
            </w:r>
          </w:p>
        </w:tc>
        <w:tc>
          <w:tcPr>
            <w:tcW w:w="628" w:type="pct"/>
            <w:vAlign w:val="center"/>
          </w:tcPr>
          <w:p w14:paraId="0FA15C96" w14:textId="77777777" w:rsidR="00A54A8A" w:rsidRPr="00E67914" w:rsidRDefault="00000000">
            <w:pPr>
              <w:pStyle w:val="04"/>
              <w:rPr>
                <w:rFonts w:cs="Times New Roman"/>
                <w:snapToGrid w:val="0"/>
              </w:rPr>
            </w:pPr>
            <w:r w:rsidRPr="00E67914">
              <w:rPr>
                <w:rFonts w:cs="Times New Roman"/>
                <w:snapToGrid w:val="0"/>
              </w:rPr>
              <w:t>6</w:t>
            </w:r>
          </w:p>
        </w:tc>
      </w:tr>
    </w:tbl>
    <w:bookmarkEnd w:id="88"/>
    <w:p w14:paraId="38C921D6" w14:textId="548274DC"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柴油发电机采用符合国家标准的优质柴油，</w:t>
      </w:r>
      <w:r w:rsidR="00FC2143" w:rsidRPr="00E67914">
        <w:rPr>
          <w:rFonts w:ascii="Times New Roman" w:hAnsi="Times New Roman"/>
          <w:sz w:val="24"/>
          <w:lang w:eastAsia="zh-CN"/>
        </w:rPr>
        <w:t>其污染物排放满足《大气污染物综合排放标准》</w:t>
      </w:r>
      <w:r w:rsidR="00FC2143" w:rsidRPr="00E67914">
        <w:rPr>
          <w:rFonts w:ascii="Times New Roman" w:hAnsi="Times New Roman"/>
          <w:sz w:val="24"/>
          <w:lang w:eastAsia="zh-CN"/>
        </w:rPr>
        <w:t>(GB16297-1996)</w:t>
      </w:r>
      <w:r w:rsidR="00FC2143" w:rsidRPr="00E67914">
        <w:rPr>
          <w:rFonts w:ascii="Times New Roman" w:hAnsi="Times New Roman"/>
          <w:sz w:val="24"/>
          <w:lang w:eastAsia="zh-CN"/>
        </w:rPr>
        <w:t>规定的限值。</w:t>
      </w:r>
    </w:p>
    <w:p w14:paraId="1723EF0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2</w:t>
      </w:r>
      <w:r w:rsidRPr="00E67914">
        <w:rPr>
          <w:rFonts w:ascii="Times New Roman" w:hAnsi="Times New Roman"/>
          <w:sz w:val="24"/>
          <w:szCs w:val="24"/>
          <w:lang w:eastAsia="zh-CN"/>
        </w:rPr>
        <w:t>）事故放喷废气</w:t>
      </w:r>
    </w:p>
    <w:p w14:paraId="7F8EBD7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事故放喷是由于地层高压异常导致的，在石油天然气行业是低概率事件。事故放喷主产物是不含硫天然气燃烧后产生的</w:t>
      </w:r>
      <w:r w:rsidRPr="00E67914">
        <w:rPr>
          <w:rFonts w:ascii="Times New Roman" w:hAnsi="Times New Roman"/>
          <w:sz w:val="24"/>
          <w:lang w:eastAsia="zh-CN"/>
        </w:rPr>
        <w:t>CO</w:t>
      </w:r>
      <w:r w:rsidRPr="00E67914">
        <w:rPr>
          <w:rFonts w:ascii="Times New Roman" w:hAnsi="Times New Roman"/>
          <w:sz w:val="24"/>
          <w:vertAlign w:val="subscript"/>
          <w:lang w:eastAsia="zh-CN"/>
        </w:rPr>
        <w:t>2</w:t>
      </w:r>
      <w:r w:rsidRPr="00E67914">
        <w:rPr>
          <w:rFonts w:ascii="Times New Roman" w:hAnsi="Times New Roman"/>
          <w:sz w:val="24"/>
          <w:lang w:eastAsia="zh-CN"/>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3A04F46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3</w:t>
      </w:r>
      <w:r w:rsidRPr="00E67914">
        <w:rPr>
          <w:rFonts w:ascii="Times New Roman" w:hAnsi="Times New Roman"/>
          <w:sz w:val="24"/>
          <w:szCs w:val="24"/>
          <w:lang w:eastAsia="zh-CN"/>
        </w:rPr>
        <w:t>）压裂作业废气</w:t>
      </w:r>
    </w:p>
    <w:p w14:paraId="6B21A37B"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lastRenderedPageBreak/>
        <w:t>压裂作业废气主要为压裂车施工机械尾气，主要污染物为</w:t>
      </w:r>
      <w:r w:rsidRPr="00E67914">
        <w:rPr>
          <w:rFonts w:ascii="Times New Roman" w:hAnsi="Times New Roman"/>
          <w:sz w:val="24"/>
          <w:szCs w:val="24"/>
          <w:lang w:eastAsia="zh-CN"/>
        </w:rPr>
        <w:t>NO</w:t>
      </w:r>
      <w:r w:rsidRPr="00E67914">
        <w:rPr>
          <w:rFonts w:ascii="Times New Roman" w:hAnsi="Times New Roman"/>
          <w:sz w:val="24"/>
          <w:szCs w:val="24"/>
          <w:vertAlign w:val="subscript"/>
          <w:lang w:eastAsia="zh-CN"/>
        </w:rPr>
        <w:t>X</w:t>
      </w:r>
      <w:r w:rsidRPr="00E67914">
        <w:rPr>
          <w:rFonts w:ascii="Times New Roman" w:hAnsi="Times New Roman"/>
          <w:sz w:val="24"/>
          <w:szCs w:val="24"/>
          <w:lang w:eastAsia="zh-CN"/>
        </w:rPr>
        <w:t>、烟尘及少量</w:t>
      </w:r>
      <w:r w:rsidRPr="00E67914">
        <w:rPr>
          <w:rFonts w:ascii="Times New Roman" w:hAnsi="Times New Roman"/>
          <w:sz w:val="24"/>
          <w:szCs w:val="24"/>
          <w:lang w:eastAsia="zh-CN"/>
        </w:rPr>
        <w:t>CO</w:t>
      </w:r>
      <w:r w:rsidRPr="00E67914">
        <w:rPr>
          <w:rFonts w:ascii="Times New Roman" w:hAnsi="Times New Roman"/>
          <w:sz w:val="24"/>
          <w:szCs w:val="24"/>
          <w:lang w:eastAsia="zh-CN"/>
        </w:rPr>
        <w:t>，采用合格燃油、加强设备保养减少尾气排放量。</w:t>
      </w:r>
    </w:p>
    <w:p w14:paraId="0489942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）无组织挥发性废气</w:t>
      </w:r>
    </w:p>
    <w:p w14:paraId="2D0485F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21931AC3"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5</w:t>
      </w:r>
      <w:r w:rsidRPr="00E67914">
        <w:rPr>
          <w:rFonts w:ascii="Times New Roman" w:hAnsi="Times New Roman"/>
          <w:sz w:val="24"/>
          <w:szCs w:val="24"/>
          <w:lang w:eastAsia="zh-CN"/>
        </w:rPr>
        <w:t>）完井测试放喷废气</w:t>
      </w:r>
    </w:p>
    <w:p w14:paraId="237664C3"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测试放喷天然气经专用放喷管线引至放喷坑后点火燃烧，测试放喷时间一般昼间放喷，每次约</w:t>
      </w:r>
      <w:r w:rsidRPr="00E67914">
        <w:rPr>
          <w:rFonts w:ascii="Times New Roman" w:hAnsi="Times New Roman"/>
          <w:sz w:val="24"/>
          <w:szCs w:val="24"/>
          <w:lang w:eastAsia="zh-CN"/>
        </w:rPr>
        <w:t>3h</w:t>
      </w:r>
      <w:r w:rsidRPr="00E67914">
        <w:rPr>
          <w:rFonts w:ascii="Times New Roman" w:hAnsi="Times New Roman"/>
          <w:sz w:val="24"/>
          <w:szCs w:val="24"/>
          <w:lang w:eastAsia="zh-CN"/>
        </w:rPr>
        <w:t>，废气排放属短期排放。测试放喷的不含硫天然气经点火燃烧，其主要污染物为</w:t>
      </w:r>
      <w:r w:rsidRPr="00E67914">
        <w:rPr>
          <w:rFonts w:ascii="Times New Roman" w:hAnsi="Times New Roman"/>
          <w:sz w:val="24"/>
          <w:szCs w:val="24"/>
          <w:lang w:eastAsia="zh-CN"/>
        </w:rPr>
        <w:t>CO</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w:t>
      </w:r>
    </w:p>
    <w:p w14:paraId="10044FFB" w14:textId="4E17E44F"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拟建项目测试放喷废气为目的层</w:t>
      </w:r>
      <w:r w:rsidR="0040140D" w:rsidRPr="00E67914">
        <w:rPr>
          <w:rFonts w:ascii="Times New Roman" w:hAnsi="Times New Roman"/>
          <w:sz w:val="24"/>
          <w:szCs w:val="24"/>
          <w:lang w:eastAsia="zh-CN"/>
        </w:rPr>
        <w:t>千佛崖组</w:t>
      </w:r>
      <w:r w:rsidRPr="00E67914">
        <w:rPr>
          <w:rFonts w:ascii="Times New Roman" w:hAnsi="Times New Roman"/>
          <w:sz w:val="24"/>
          <w:szCs w:val="24"/>
          <w:lang w:eastAsia="zh-CN"/>
        </w:rPr>
        <w:t>测试放喷废气环境影响，目的层测试放喷量按预测气量估算（</w:t>
      </w:r>
      <w:r w:rsidR="0040140D" w:rsidRPr="00E67914">
        <w:rPr>
          <w:rFonts w:ascii="Times New Roman" w:hAnsi="Times New Roman"/>
          <w:sz w:val="24"/>
          <w:szCs w:val="24"/>
          <w:lang w:eastAsia="zh-CN"/>
        </w:rPr>
        <w:t>本项目属于页岩气，</w:t>
      </w:r>
      <w:r w:rsidRPr="00E67914">
        <w:rPr>
          <w:rFonts w:ascii="Times New Roman" w:hAnsi="Times New Roman"/>
          <w:sz w:val="24"/>
          <w:szCs w:val="24"/>
          <w:lang w:eastAsia="zh-CN"/>
        </w:rPr>
        <w:t>压裂</w:t>
      </w:r>
      <w:r w:rsidR="0040140D" w:rsidRPr="00E67914">
        <w:rPr>
          <w:rFonts w:ascii="Times New Roman" w:hAnsi="Times New Roman"/>
          <w:sz w:val="24"/>
          <w:szCs w:val="24"/>
          <w:lang w:eastAsia="zh-CN"/>
        </w:rPr>
        <w:t>后</w:t>
      </w:r>
      <w:r w:rsidRPr="00E67914">
        <w:rPr>
          <w:rFonts w:ascii="Times New Roman" w:hAnsi="Times New Roman"/>
          <w:sz w:val="24"/>
          <w:szCs w:val="24"/>
          <w:lang w:eastAsia="zh-CN"/>
        </w:rPr>
        <w:t>的无阻流量</w:t>
      </w:r>
      <w:r w:rsidR="0040140D" w:rsidRPr="00E67914">
        <w:rPr>
          <w:rFonts w:ascii="Times New Roman" w:hAnsi="Times New Roman"/>
          <w:sz w:val="24"/>
          <w:szCs w:val="24"/>
          <w:lang w:eastAsia="zh-CN"/>
        </w:rPr>
        <w:t>预计单井＜</w:t>
      </w:r>
      <w:r w:rsidR="0040140D" w:rsidRPr="00E67914">
        <w:rPr>
          <w:rFonts w:ascii="Times New Roman" w:hAnsi="Times New Roman"/>
          <w:sz w:val="24"/>
          <w:szCs w:val="24"/>
          <w:lang w:eastAsia="zh-CN"/>
        </w:rPr>
        <w:t>20</w:t>
      </w:r>
      <w:r w:rsidRPr="00E67914">
        <w:rPr>
          <w:rFonts w:ascii="Times New Roman" w:hAnsi="Times New Roman"/>
          <w:sz w:val="24"/>
          <w:szCs w:val="24"/>
          <w:lang w:eastAsia="zh-CN"/>
        </w:rPr>
        <w:t>×10</w:t>
      </w:r>
      <w:r w:rsidRPr="00E67914">
        <w:rPr>
          <w:rFonts w:ascii="Times New Roman" w:hAnsi="Times New Roman"/>
          <w:sz w:val="24"/>
          <w:szCs w:val="24"/>
          <w:vertAlign w:val="superscript"/>
          <w:lang w:eastAsia="zh-CN"/>
        </w:rPr>
        <w:t>4</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/d</w:t>
      </w:r>
      <w:r w:rsidRPr="00E67914">
        <w:rPr>
          <w:rFonts w:ascii="Times New Roman" w:hAnsi="Times New Roman"/>
          <w:sz w:val="24"/>
          <w:szCs w:val="24"/>
          <w:lang w:eastAsia="zh-CN"/>
        </w:rPr>
        <w:t>）在放喷池内，经排气筒为高度为</w:t>
      </w:r>
      <w:r w:rsidRPr="00E67914">
        <w:rPr>
          <w:rFonts w:ascii="Times New Roman" w:hAnsi="Times New Roman"/>
          <w:sz w:val="24"/>
          <w:szCs w:val="24"/>
          <w:lang w:eastAsia="zh-CN"/>
        </w:rPr>
        <w:t>1m</w:t>
      </w:r>
      <w:r w:rsidRPr="00E67914">
        <w:rPr>
          <w:rFonts w:ascii="Times New Roman" w:hAnsi="Times New Roman"/>
          <w:sz w:val="24"/>
          <w:szCs w:val="24"/>
          <w:lang w:eastAsia="zh-CN"/>
        </w:rPr>
        <w:t>的对空短火焰燃烧器点火燃烧后排放，本项目在放喷前，建设单位会对距离井口</w:t>
      </w:r>
      <w:r w:rsidRPr="00E67914">
        <w:rPr>
          <w:rFonts w:ascii="Times New Roman" w:hAnsi="Times New Roman"/>
          <w:sz w:val="24"/>
          <w:szCs w:val="24"/>
          <w:lang w:eastAsia="zh-CN"/>
        </w:rPr>
        <w:t>500m</w:t>
      </w:r>
      <w:r w:rsidRPr="00E67914">
        <w:rPr>
          <w:rFonts w:ascii="Times New Roman" w:hAnsi="Times New Roman"/>
          <w:sz w:val="24"/>
          <w:szCs w:val="24"/>
          <w:lang w:eastAsia="zh-CN"/>
        </w:rPr>
        <w:t>范围内的居民临时撤离，并建立警戒点进行</w:t>
      </w:r>
      <w:r w:rsidRPr="00E67914">
        <w:rPr>
          <w:rFonts w:ascii="Times New Roman" w:hAnsi="Times New Roman"/>
          <w:sz w:val="24"/>
          <w:szCs w:val="24"/>
          <w:lang w:eastAsia="zh-CN"/>
        </w:rPr>
        <w:t>24</w:t>
      </w:r>
      <w:r w:rsidRPr="00E67914">
        <w:rPr>
          <w:rFonts w:ascii="Times New Roman" w:hAnsi="Times New Roman"/>
          <w:sz w:val="24"/>
          <w:szCs w:val="24"/>
          <w:lang w:eastAsia="zh-CN"/>
        </w:rPr>
        <w:t>小时警戒，严禁居民靠近，以减轻放喷废气对这些居民的影响。同时由于测试放喷时间一般约为</w:t>
      </w:r>
      <w:r w:rsidRPr="00E67914">
        <w:rPr>
          <w:rFonts w:ascii="Times New Roman" w:hAnsi="Times New Roman"/>
          <w:sz w:val="24"/>
          <w:szCs w:val="24"/>
          <w:lang w:eastAsia="zh-CN"/>
        </w:rPr>
        <w:t>3</w:t>
      </w:r>
      <w:r w:rsidRPr="00E67914">
        <w:rPr>
          <w:rFonts w:ascii="Times New Roman" w:hAnsi="Times New Roman"/>
          <w:sz w:val="24"/>
          <w:szCs w:val="24"/>
          <w:lang w:eastAsia="zh-CN"/>
        </w:rPr>
        <w:t>小时，属短期排放，不会形成长期环境影响，短期影响也可控制在周边居民健康安全限值以下，污染物排放随测试放喷的结束而停止，不会长期存在，不会影响区域环境空气功能区划。</w:t>
      </w:r>
    </w:p>
    <w:p w14:paraId="107CFA12"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本项目测试放喷在昼间进行，且时间较短，不含硫天然气燃烧后主要污染物为</w:t>
      </w:r>
      <w:r w:rsidRPr="00E67914">
        <w:rPr>
          <w:rFonts w:ascii="Times New Roman" w:hAnsi="Times New Roman"/>
          <w:sz w:val="24"/>
          <w:szCs w:val="24"/>
          <w:lang w:eastAsia="zh-CN"/>
        </w:rPr>
        <w:t>CO</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，污染物产生量较小，并将随测试放喷的结束而消除，对周边大气环境影响较小。</w:t>
      </w:r>
    </w:p>
    <w:p w14:paraId="25924C9F"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2</w:t>
      </w:r>
      <w:r w:rsidRPr="00E67914">
        <w:rPr>
          <w:rFonts w:ascii="Times New Roman" w:hAnsi="Times New Roman"/>
          <w:b/>
          <w:bCs/>
          <w:sz w:val="24"/>
          <w:szCs w:val="24"/>
          <w:lang w:eastAsia="zh-CN"/>
        </w:rPr>
        <w:t>）废水</w:t>
      </w:r>
    </w:p>
    <w:p w14:paraId="78923F8F" w14:textId="77777777" w:rsidR="00A54A8A" w:rsidRPr="00E67914" w:rsidRDefault="00000000">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从项目产生的废水情况分析，包括钻井废水、洗井废水、压裂返排液、初期雨水和生活污水。</w:t>
      </w:r>
    </w:p>
    <w:p w14:paraId="1D9D3BF3"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）钻井废水</w:t>
      </w:r>
    </w:p>
    <w:p w14:paraId="34119B71" w14:textId="55DBDE90"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在钻井阶段采用常规钻井工艺。钻井作业的配浆过程中会根据泥浆的不同要求加入不等量的水，这些水随钻井液进入井底协助钻井作业，在钻井液返回地面后，大部分水随泥浆进入泥浆净化系统，小部分水随钻屑进入</w:t>
      </w:r>
      <w:r w:rsidR="00A9536E" w:rsidRPr="00E67914">
        <w:rPr>
          <w:rFonts w:ascii="Times New Roman" w:hAnsi="Times New Roman"/>
          <w:bCs/>
          <w:kern w:val="2"/>
          <w:sz w:val="24"/>
          <w:szCs w:val="24"/>
          <w:lang w:eastAsia="zh-CN"/>
        </w:rPr>
        <w:t>放空</w:t>
      </w:r>
      <w:r w:rsidR="00A9536E" w:rsidRPr="00E67914">
        <w:rPr>
          <w:rFonts w:ascii="Times New Roman" w:hAnsi="Times New Roman"/>
          <w:bCs/>
          <w:kern w:val="2"/>
          <w:sz w:val="24"/>
          <w:szCs w:val="24"/>
          <w:lang w:eastAsia="zh-CN"/>
        </w:rPr>
        <w:lastRenderedPageBreak/>
        <w:t>分液罐、采出水罐</w:t>
      </w:r>
      <w:r w:rsidRPr="00E67914">
        <w:rPr>
          <w:rFonts w:ascii="Times New Roman" w:hAnsi="Times New Roman"/>
          <w:bCs/>
          <w:kern w:val="2"/>
          <w:sz w:val="24"/>
          <w:szCs w:val="24"/>
          <w:lang w:eastAsia="zh-CN"/>
        </w:rPr>
        <w:t>，经固液分离后，回收上清液用于泥浆配置，剩余废水</w:t>
      </w:r>
      <w:r w:rsidR="006956BC" w:rsidRPr="00E67914">
        <w:rPr>
          <w:rFonts w:ascii="Times New Roman" w:hAnsi="Times New Roman"/>
          <w:bCs/>
          <w:kern w:val="2"/>
          <w:sz w:val="24"/>
          <w:szCs w:val="24"/>
          <w:lang w:eastAsia="zh-CN"/>
        </w:rPr>
        <w:t>定期</w:t>
      </w:r>
      <w:r w:rsidRPr="00E67914">
        <w:rPr>
          <w:rFonts w:ascii="Times New Roman" w:hAnsi="Times New Roman"/>
          <w:bCs/>
          <w:kern w:val="2"/>
          <w:sz w:val="24"/>
          <w:szCs w:val="24"/>
          <w:lang w:eastAsia="zh-CN"/>
        </w:rPr>
        <w:t>由罐车拉运至赵家坝污水处理站达标后管输至普光</w:t>
      </w:r>
      <w:r w:rsidRPr="00E67914">
        <w:rPr>
          <w:rFonts w:ascii="Times New Roman" w:hAnsi="Times New Roman"/>
          <w:bCs/>
          <w:kern w:val="2"/>
          <w:sz w:val="24"/>
          <w:szCs w:val="24"/>
          <w:lang w:eastAsia="zh-CN"/>
        </w:rPr>
        <w:t>11</w:t>
      </w:r>
      <w:r w:rsidRPr="00E67914">
        <w:rPr>
          <w:rFonts w:ascii="Times New Roman" w:hAnsi="Times New Roman"/>
          <w:bCs/>
          <w:kern w:val="2"/>
          <w:sz w:val="24"/>
          <w:szCs w:val="24"/>
          <w:lang w:eastAsia="zh-CN"/>
        </w:rPr>
        <w:t>井回注站回注，不外排。</w:t>
      </w:r>
    </w:p>
    <w:p w14:paraId="22850070" w14:textId="4DC185A4"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bookmarkStart w:id="89" w:name="_Hlk79335272"/>
      <w:r w:rsidRPr="00E67914">
        <w:rPr>
          <w:rFonts w:ascii="Times New Roman" w:hAnsi="Times New Roman"/>
          <w:bCs/>
          <w:kern w:val="2"/>
          <w:sz w:val="24"/>
          <w:szCs w:val="24"/>
          <w:lang w:eastAsia="zh-CN"/>
        </w:rPr>
        <w:t>根据普光气田钻井工程的类比分析</w:t>
      </w:r>
      <w:r w:rsidRPr="00E67914">
        <w:rPr>
          <w:rFonts w:ascii="Times New Roman" w:hAnsi="Times New Roman"/>
          <w:sz w:val="24"/>
          <w:lang w:eastAsia="zh-CN"/>
        </w:rPr>
        <w:t>（根据普陆</w:t>
      </w:r>
      <w:r w:rsidRPr="00E67914">
        <w:rPr>
          <w:rFonts w:ascii="Times New Roman" w:hAnsi="Times New Roman"/>
          <w:sz w:val="24"/>
          <w:lang w:eastAsia="zh-CN"/>
        </w:rPr>
        <w:t>4</w:t>
      </w:r>
      <w:r w:rsidRPr="00E67914">
        <w:rPr>
          <w:rFonts w:ascii="Times New Roman" w:hAnsi="Times New Roman"/>
          <w:sz w:val="24"/>
          <w:lang w:eastAsia="zh-CN"/>
        </w:rPr>
        <w:t>井钻井工程建设项目（实际井深</w:t>
      </w:r>
      <w:r w:rsidRPr="00E67914">
        <w:rPr>
          <w:rFonts w:ascii="Times New Roman" w:hAnsi="Times New Roman"/>
          <w:sz w:val="24"/>
          <w:lang w:eastAsia="zh-CN"/>
        </w:rPr>
        <w:t>4622m</w:t>
      </w:r>
      <w:r w:rsidRPr="00E67914">
        <w:rPr>
          <w:rFonts w:ascii="Times New Roman" w:hAnsi="Times New Roman"/>
          <w:sz w:val="24"/>
          <w:lang w:eastAsia="zh-CN"/>
        </w:rPr>
        <w:t>）竣工环境保护验收调查表可知其施工期整体作业废水实际产生量约为</w:t>
      </w:r>
      <w:r w:rsidRPr="00E67914">
        <w:rPr>
          <w:rFonts w:ascii="Times New Roman" w:hAnsi="Times New Roman"/>
          <w:sz w:val="24"/>
          <w:lang w:eastAsia="zh-CN"/>
        </w:rPr>
        <w:t>2197m</w:t>
      </w:r>
      <w:r w:rsidRPr="00E67914">
        <w:rPr>
          <w:rFonts w:ascii="Times New Roman" w:hAnsi="Times New Roman"/>
          <w:sz w:val="24"/>
          <w:vertAlign w:val="superscript"/>
          <w:lang w:eastAsia="zh-CN"/>
        </w:rPr>
        <w:t>3</w:t>
      </w:r>
      <w:r w:rsidRPr="00E67914">
        <w:rPr>
          <w:rFonts w:ascii="Times New Roman" w:hAnsi="Times New Roman"/>
          <w:sz w:val="24"/>
          <w:lang w:eastAsia="zh-CN"/>
        </w:rPr>
        <w:t>，根据普陆</w:t>
      </w:r>
      <w:r w:rsidRPr="00E67914">
        <w:rPr>
          <w:rFonts w:ascii="Times New Roman" w:hAnsi="Times New Roman"/>
          <w:sz w:val="24"/>
          <w:lang w:eastAsia="zh-CN"/>
        </w:rPr>
        <w:t>5</w:t>
      </w:r>
      <w:r w:rsidRPr="00E67914">
        <w:rPr>
          <w:rFonts w:ascii="Times New Roman" w:hAnsi="Times New Roman"/>
          <w:sz w:val="24"/>
          <w:lang w:eastAsia="zh-CN"/>
        </w:rPr>
        <w:t>勘探评价井工程建设项目（实际井深</w:t>
      </w:r>
      <w:r w:rsidRPr="00E67914">
        <w:rPr>
          <w:rFonts w:ascii="Times New Roman" w:hAnsi="Times New Roman"/>
          <w:sz w:val="24"/>
          <w:lang w:eastAsia="zh-CN"/>
        </w:rPr>
        <w:t>3310m</w:t>
      </w:r>
      <w:r w:rsidRPr="00E67914">
        <w:rPr>
          <w:rFonts w:ascii="Times New Roman" w:hAnsi="Times New Roman"/>
          <w:sz w:val="24"/>
          <w:lang w:eastAsia="zh-CN"/>
        </w:rPr>
        <w:t>）竣工环境保护验收调查表可知其施工期钻井废水实际产生量约为</w:t>
      </w:r>
      <w:r w:rsidRPr="00E67914">
        <w:rPr>
          <w:rFonts w:ascii="Times New Roman" w:hAnsi="Times New Roman"/>
          <w:sz w:val="24"/>
          <w:lang w:eastAsia="zh-CN"/>
        </w:rPr>
        <w:t>611m</w:t>
      </w:r>
      <w:r w:rsidRPr="00E67914">
        <w:rPr>
          <w:rFonts w:ascii="Times New Roman" w:hAnsi="Times New Roman"/>
          <w:sz w:val="24"/>
          <w:vertAlign w:val="superscript"/>
          <w:lang w:eastAsia="zh-CN"/>
        </w:rPr>
        <w:t>3</w:t>
      </w:r>
      <w:r w:rsidRPr="00E67914">
        <w:rPr>
          <w:rFonts w:ascii="Times New Roman" w:hAnsi="Times New Roman"/>
          <w:sz w:val="24"/>
          <w:lang w:eastAsia="zh-CN"/>
        </w:rPr>
        <w:t>）</w:t>
      </w:r>
      <w:r w:rsidRPr="00E67914">
        <w:rPr>
          <w:rFonts w:ascii="Times New Roman" w:hAnsi="Times New Roman"/>
          <w:bCs/>
          <w:kern w:val="2"/>
          <w:sz w:val="24"/>
          <w:szCs w:val="24"/>
          <w:lang w:eastAsia="zh-CN"/>
        </w:rPr>
        <w:t>，每米进尺产生钻井废水量为</w:t>
      </w:r>
      <w:r w:rsidRPr="00E67914">
        <w:rPr>
          <w:rFonts w:ascii="Times New Roman" w:hAnsi="Times New Roman"/>
          <w:bCs/>
          <w:kern w:val="2"/>
          <w:sz w:val="24"/>
          <w:szCs w:val="24"/>
          <w:lang w:eastAsia="zh-CN"/>
        </w:rPr>
        <w:t>0.2m</w:t>
      </w:r>
      <w:r w:rsidRPr="00E67914">
        <w:rPr>
          <w:rFonts w:ascii="Times New Roman" w:hAnsi="Times New Roman"/>
          <w:bCs/>
          <w:kern w:val="2"/>
          <w:sz w:val="24"/>
          <w:szCs w:val="24"/>
          <w:vertAlign w:val="superscript"/>
          <w:lang w:eastAsia="zh-CN"/>
        </w:rPr>
        <w:t>3</w:t>
      </w:r>
      <w:r w:rsidRPr="00E67914">
        <w:rPr>
          <w:rFonts w:ascii="Times New Roman" w:hAnsi="Times New Roman"/>
          <w:bCs/>
          <w:kern w:val="2"/>
          <w:sz w:val="24"/>
          <w:szCs w:val="24"/>
          <w:lang w:eastAsia="zh-CN"/>
        </w:rPr>
        <w:t>。本项目钻井进尺</w:t>
      </w:r>
      <w:r w:rsidR="002E0662" w:rsidRPr="00E67914">
        <w:rPr>
          <w:rFonts w:ascii="Times New Roman" w:hAnsi="Times New Roman"/>
          <w:sz w:val="24"/>
          <w:lang w:eastAsia="zh-CN"/>
        </w:rPr>
        <w:t>15598</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，产生的钻井废水为</w:t>
      </w:r>
      <w:r w:rsidR="002E0662" w:rsidRPr="00E67914">
        <w:rPr>
          <w:rFonts w:ascii="Times New Roman" w:hAnsi="Times New Roman"/>
          <w:bCs/>
          <w:kern w:val="2"/>
          <w:sz w:val="24"/>
          <w:szCs w:val="24"/>
          <w:lang w:eastAsia="zh-CN"/>
        </w:rPr>
        <w:t>3119.6</w:t>
      </w:r>
      <w:r w:rsidRPr="00E67914">
        <w:rPr>
          <w:rFonts w:ascii="Times New Roman" w:hAnsi="Times New Roman"/>
          <w:bCs/>
          <w:kern w:val="2"/>
          <w:sz w:val="24"/>
          <w:szCs w:val="24"/>
          <w:lang w:eastAsia="zh-CN"/>
        </w:rPr>
        <w:t>m</w:t>
      </w:r>
      <w:r w:rsidRPr="00E67914">
        <w:rPr>
          <w:rFonts w:ascii="Times New Roman" w:hAnsi="Times New Roman"/>
          <w:bCs/>
          <w:kern w:val="2"/>
          <w:sz w:val="24"/>
          <w:szCs w:val="24"/>
          <w:vertAlign w:val="superscript"/>
          <w:lang w:eastAsia="zh-CN"/>
        </w:rPr>
        <w:t>3</w:t>
      </w:r>
      <w:r w:rsidRPr="00E67914">
        <w:rPr>
          <w:rFonts w:ascii="Times New Roman" w:hAnsi="Times New Roman"/>
          <w:bCs/>
          <w:kern w:val="2"/>
          <w:sz w:val="24"/>
          <w:szCs w:val="24"/>
          <w:lang w:eastAsia="zh-CN"/>
        </w:rPr>
        <w:t>。</w:t>
      </w:r>
    </w:p>
    <w:bookmarkEnd w:id="89"/>
    <w:p w14:paraId="636E9FFA" w14:textId="77777777" w:rsidR="00A54A8A" w:rsidRPr="00E67914" w:rsidRDefault="00000000">
      <w:pPr>
        <w:adjustRightInd w:val="0"/>
        <w:snapToGrid w:val="0"/>
        <w:spacing w:line="360" w:lineRule="auto"/>
        <w:ind w:firstLineChars="200" w:firstLine="480"/>
        <w:jc w:val="both"/>
        <w:rPr>
          <w:rFonts w:ascii="Times New Roman" w:hAnsi="Times New Roman"/>
          <w:b/>
          <w:sz w:val="24"/>
          <w:lang w:eastAsia="zh-CN"/>
        </w:rPr>
      </w:pPr>
      <w:r w:rsidRPr="00E67914">
        <w:rPr>
          <w:rFonts w:ascii="Times New Roman" w:hAnsi="Times New Roman"/>
          <w:bCs/>
          <w:kern w:val="2"/>
          <w:sz w:val="24"/>
          <w:szCs w:val="24"/>
          <w:lang w:eastAsia="zh-CN"/>
        </w:rPr>
        <w:t>污水池内废水为钻井废水及雨水的混合废水，其主要污染物浓度根据普光气田钻井工程污水池废水类比，钻井废水水质污染物浓度见表</w:t>
      </w:r>
      <w:r w:rsidRPr="00E67914">
        <w:rPr>
          <w:rFonts w:ascii="Times New Roman" w:hAnsi="Times New Roman"/>
          <w:bCs/>
          <w:kern w:val="2"/>
          <w:sz w:val="24"/>
          <w:szCs w:val="24"/>
          <w:lang w:eastAsia="zh-CN"/>
        </w:rPr>
        <w:t>3.4-3</w:t>
      </w:r>
      <w:r w:rsidRPr="00E67914">
        <w:rPr>
          <w:rFonts w:ascii="Times New Roman" w:hAnsi="Times New Roman"/>
          <w:bCs/>
          <w:kern w:val="2"/>
          <w:sz w:val="24"/>
          <w:szCs w:val="24"/>
          <w:lang w:eastAsia="zh-CN"/>
        </w:rPr>
        <w:t>。</w:t>
      </w:r>
    </w:p>
    <w:p w14:paraId="25FC2B1D"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bookmarkStart w:id="90" w:name="_Ref477986982"/>
      <w:r w:rsidRPr="00E67914">
        <w:rPr>
          <w:rFonts w:ascii="Times New Roman" w:eastAsia="黑体" w:hAnsi="Times New Roman"/>
          <w:sz w:val="21"/>
          <w:szCs w:val="21"/>
          <w:lang w:eastAsia="zh-CN"/>
        </w:rPr>
        <w:t>表</w:t>
      </w:r>
      <w:bookmarkEnd w:id="90"/>
      <w:r w:rsidRPr="00E67914">
        <w:rPr>
          <w:rFonts w:ascii="Times New Roman" w:eastAsia="黑体" w:hAnsi="Times New Roman"/>
          <w:sz w:val="21"/>
          <w:szCs w:val="21"/>
          <w:lang w:eastAsia="zh-CN"/>
        </w:rPr>
        <w:t xml:space="preserve">3.4-3  </w:t>
      </w:r>
      <w:r w:rsidRPr="00E67914">
        <w:rPr>
          <w:rFonts w:ascii="Times New Roman" w:eastAsia="黑体" w:hAnsi="Times New Roman"/>
          <w:sz w:val="21"/>
          <w:szCs w:val="21"/>
          <w:lang w:eastAsia="zh-CN"/>
        </w:rPr>
        <w:t>钻井废水综合水质污染物浓度表（单位：</w:t>
      </w:r>
      <w:r w:rsidRPr="00E67914">
        <w:rPr>
          <w:rFonts w:ascii="Times New Roman" w:eastAsia="黑体" w:hAnsi="Times New Roman"/>
          <w:sz w:val="21"/>
          <w:szCs w:val="21"/>
          <w:lang w:eastAsia="zh-CN"/>
        </w:rPr>
        <w:t>mg/L</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pH</w:t>
      </w:r>
      <w:r w:rsidRPr="00E67914">
        <w:rPr>
          <w:rFonts w:ascii="Times New Roman" w:eastAsia="黑体" w:hAnsi="Times New Roman"/>
          <w:sz w:val="21"/>
          <w:szCs w:val="21"/>
          <w:lang w:eastAsia="zh-CN"/>
        </w:rPr>
        <w:t>值无量纲）</w:t>
      </w:r>
    </w:p>
    <w:tbl>
      <w:tblPr>
        <w:tblW w:w="8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6"/>
        <w:gridCol w:w="1851"/>
        <w:gridCol w:w="1843"/>
        <w:gridCol w:w="2344"/>
      </w:tblGrid>
      <w:tr w:rsidR="002662E3" w:rsidRPr="00E67914" w14:paraId="7110122D" w14:textId="77777777">
        <w:trPr>
          <w:trHeight w:val="255"/>
          <w:jc w:val="center"/>
        </w:trPr>
        <w:tc>
          <w:tcPr>
            <w:tcW w:w="2306" w:type="dxa"/>
            <w:vAlign w:val="center"/>
          </w:tcPr>
          <w:p w14:paraId="560EC396" w14:textId="77777777" w:rsidR="00A54A8A" w:rsidRPr="00E67914" w:rsidRDefault="00000000">
            <w:pPr>
              <w:pStyle w:val="SSEC20150323"/>
              <w:rPr>
                <w:rFonts w:ascii="Times New Roman" w:hAnsi="Times New Roman"/>
                <w:b/>
                <w:bCs/>
              </w:rPr>
            </w:pPr>
            <w:r w:rsidRPr="00E67914">
              <w:rPr>
                <w:rFonts w:ascii="Times New Roman" w:hAnsi="Times New Roman"/>
                <w:b/>
                <w:bCs/>
              </w:rPr>
              <w:t>污染物名称</w:t>
            </w:r>
          </w:p>
        </w:tc>
        <w:tc>
          <w:tcPr>
            <w:tcW w:w="1851" w:type="dxa"/>
            <w:vAlign w:val="center"/>
          </w:tcPr>
          <w:p w14:paraId="0F723959" w14:textId="77777777" w:rsidR="00A54A8A" w:rsidRPr="00E67914" w:rsidRDefault="00000000">
            <w:pPr>
              <w:pStyle w:val="SSEC20150323"/>
              <w:rPr>
                <w:rFonts w:ascii="Times New Roman" w:hAnsi="Times New Roman"/>
                <w:b/>
                <w:bCs/>
              </w:rPr>
            </w:pPr>
            <w:r w:rsidRPr="00E67914">
              <w:rPr>
                <w:rFonts w:ascii="Times New Roman" w:hAnsi="Times New Roman"/>
                <w:b/>
                <w:bCs/>
              </w:rPr>
              <w:t>pH</w:t>
            </w:r>
          </w:p>
        </w:tc>
        <w:tc>
          <w:tcPr>
            <w:tcW w:w="1843" w:type="dxa"/>
            <w:vAlign w:val="center"/>
          </w:tcPr>
          <w:p w14:paraId="2C0EB55E" w14:textId="77777777" w:rsidR="00A54A8A" w:rsidRPr="00E67914" w:rsidRDefault="00000000">
            <w:pPr>
              <w:pStyle w:val="SSEC20150323"/>
              <w:rPr>
                <w:rFonts w:ascii="Times New Roman" w:hAnsi="Times New Roman"/>
                <w:b/>
                <w:bCs/>
              </w:rPr>
            </w:pPr>
            <w:r w:rsidRPr="00E67914">
              <w:rPr>
                <w:rFonts w:ascii="Times New Roman" w:hAnsi="Times New Roman"/>
                <w:b/>
                <w:bCs/>
              </w:rPr>
              <w:t>SS</w:t>
            </w:r>
          </w:p>
        </w:tc>
        <w:tc>
          <w:tcPr>
            <w:tcW w:w="2344" w:type="dxa"/>
            <w:vAlign w:val="center"/>
          </w:tcPr>
          <w:p w14:paraId="4B50AD2A" w14:textId="77777777" w:rsidR="00A54A8A" w:rsidRPr="00E67914" w:rsidRDefault="00000000">
            <w:pPr>
              <w:pStyle w:val="SSEC20150323"/>
              <w:rPr>
                <w:rFonts w:ascii="Times New Roman" w:hAnsi="Times New Roman"/>
                <w:b/>
                <w:bCs/>
              </w:rPr>
            </w:pPr>
            <w:r w:rsidRPr="00E67914">
              <w:rPr>
                <w:rFonts w:ascii="Times New Roman" w:hAnsi="Times New Roman"/>
                <w:b/>
                <w:bCs/>
              </w:rPr>
              <w:t>石油类</w:t>
            </w:r>
          </w:p>
        </w:tc>
      </w:tr>
      <w:tr w:rsidR="002662E3" w:rsidRPr="00E67914" w14:paraId="276EF939" w14:textId="77777777">
        <w:trPr>
          <w:trHeight w:val="255"/>
          <w:jc w:val="center"/>
        </w:trPr>
        <w:tc>
          <w:tcPr>
            <w:tcW w:w="2306" w:type="dxa"/>
            <w:vAlign w:val="center"/>
          </w:tcPr>
          <w:p w14:paraId="10963419" w14:textId="77777777" w:rsidR="00A54A8A" w:rsidRPr="00E67914" w:rsidRDefault="00000000">
            <w:pPr>
              <w:pStyle w:val="SSEC20150323"/>
              <w:rPr>
                <w:rFonts w:ascii="Times New Roman" w:hAnsi="Times New Roman"/>
              </w:rPr>
            </w:pPr>
            <w:r w:rsidRPr="00E67914">
              <w:rPr>
                <w:rFonts w:ascii="Times New Roman" w:hAnsi="Times New Roman"/>
              </w:rPr>
              <w:t>浓度</w:t>
            </w:r>
          </w:p>
        </w:tc>
        <w:tc>
          <w:tcPr>
            <w:tcW w:w="1851" w:type="dxa"/>
            <w:vAlign w:val="center"/>
          </w:tcPr>
          <w:p w14:paraId="6D595E59" w14:textId="77777777" w:rsidR="00A54A8A" w:rsidRPr="00E67914" w:rsidRDefault="00000000">
            <w:pPr>
              <w:pStyle w:val="SSEC20150323"/>
              <w:rPr>
                <w:rFonts w:ascii="Times New Roman" w:hAnsi="Times New Roman"/>
              </w:rPr>
            </w:pPr>
            <w:r w:rsidRPr="00E67914">
              <w:rPr>
                <w:rFonts w:ascii="Times New Roman" w:hAnsi="Times New Roman"/>
              </w:rPr>
              <w:t>8.3</w:t>
            </w:r>
            <w:r w:rsidRPr="00E67914">
              <w:rPr>
                <w:rFonts w:ascii="Times New Roman" w:hAnsi="Times New Roman"/>
              </w:rPr>
              <w:t>～</w:t>
            </w:r>
            <w:r w:rsidRPr="00E67914">
              <w:rPr>
                <w:rFonts w:ascii="Times New Roman" w:hAnsi="Times New Roman"/>
              </w:rPr>
              <w:t>12.5</w:t>
            </w:r>
          </w:p>
        </w:tc>
        <w:tc>
          <w:tcPr>
            <w:tcW w:w="1843" w:type="dxa"/>
            <w:vAlign w:val="center"/>
          </w:tcPr>
          <w:p w14:paraId="1885702D" w14:textId="77777777" w:rsidR="00A54A8A" w:rsidRPr="00E67914" w:rsidRDefault="00000000">
            <w:pPr>
              <w:pStyle w:val="SSEC20150323"/>
              <w:rPr>
                <w:rFonts w:ascii="Times New Roman" w:hAnsi="Times New Roman"/>
              </w:rPr>
            </w:pPr>
            <w:r w:rsidRPr="00E67914">
              <w:rPr>
                <w:rFonts w:ascii="Times New Roman" w:hAnsi="Times New Roman"/>
              </w:rPr>
              <w:t>≤7500</w:t>
            </w:r>
          </w:p>
        </w:tc>
        <w:tc>
          <w:tcPr>
            <w:tcW w:w="2344" w:type="dxa"/>
            <w:vAlign w:val="center"/>
          </w:tcPr>
          <w:p w14:paraId="522D1AEE" w14:textId="77777777" w:rsidR="00A54A8A" w:rsidRPr="00E67914" w:rsidRDefault="00000000">
            <w:pPr>
              <w:pStyle w:val="SSEC20150323"/>
              <w:rPr>
                <w:rFonts w:ascii="Times New Roman" w:hAnsi="Times New Roman"/>
              </w:rPr>
            </w:pPr>
            <w:r w:rsidRPr="00E67914">
              <w:rPr>
                <w:rFonts w:ascii="Times New Roman" w:hAnsi="Times New Roman"/>
              </w:rPr>
              <w:t>≤200</w:t>
            </w:r>
          </w:p>
        </w:tc>
      </w:tr>
    </w:tbl>
    <w:p w14:paraId="675BD499" w14:textId="3E5A050F" w:rsidR="00A54A8A" w:rsidRPr="00E67914" w:rsidRDefault="00000000">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w:t>
      </w:r>
      <w:bookmarkStart w:id="91" w:name="_Hlk106463456"/>
      <w:r w:rsidR="00B61FFE" w:rsidRPr="00E67914">
        <w:rPr>
          <w:rFonts w:ascii="Times New Roman" w:hAnsi="Times New Roman"/>
          <w:bCs/>
          <w:kern w:val="2"/>
          <w:sz w:val="24"/>
          <w:szCs w:val="24"/>
          <w:lang w:eastAsia="zh-CN"/>
        </w:rPr>
        <w:t>洗井废水及</w:t>
      </w:r>
      <w:r w:rsidRPr="00E67914">
        <w:rPr>
          <w:rFonts w:ascii="Times New Roman" w:hAnsi="Times New Roman"/>
          <w:bCs/>
          <w:kern w:val="2"/>
          <w:sz w:val="24"/>
          <w:szCs w:val="24"/>
          <w:lang w:eastAsia="zh-CN"/>
        </w:rPr>
        <w:t>压裂返排液</w:t>
      </w:r>
      <w:bookmarkEnd w:id="91"/>
    </w:p>
    <w:p w14:paraId="48F7EA11" w14:textId="1B9A749C" w:rsidR="00A54A8A" w:rsidRPr="00E67914" w:rsidRDefault="00B61FFE">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完井工程与测试放喷产生的作业废水主要是洗井、压裂等施工时产生的废水。</w:t>
      </w:r>
    </w:p>
    <w:p w14:paraId="54BF9280" w14:textId="77777777" w:rsidR="00B61FFE" w:rsidRPr="00E67914" w:rsidRDefault="00790608">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根据该区域已完钻钻井工程可知，本项目洗井采用碱水，项目</w:t>
      </w:r>
      <w:r w:rsidR="00B61FFE" w:rsidRPr="00E67914">
        <w:rPr>
          <w:rFonts w:ascii="Times New Roman" w:hAnsi="Times New Roman"/>
          <w:sz w:val="24"/>
          <w:lang w:eastAsia="zh-CN"/>
        </w:rPr>
        <w:t>单井</w:t>
      </w:r>
      <w:r w:rsidRPr="00E67914">
        <w:rPr>
          <w:rFonts w:ascii="Times New Roman" w:hAnsi="Times New Roman"/>
          <w:sz w:val="24"/>
          <w:lang w:eastAsia="zh-CN"/>
        </w:rPr>
        <w:t>洗井废水产生约</w:t>
      </w:r>
      <w:r w:rsidRPr="00E67914">
        <w:rPr>
          <w:rFonts w:ascii="Times New Roman" w:hAnsi="Times New Roman"/>
          <w:sz w:val="24"/>
          <w:lang w:eastAsia="zh-CN"/>
        </w:rPr>
        <w:t>100m</w:t>
      </w:r>
      <w:r w:rsidRPr="00E67914">
        <w:rPr>
          <w:rFonts w:ascii="Times New Roman" w:hAnsi="Times New Roman"/>
          <w:sz w:val="24"/>
          <w:vertAlign w:val="superscript"/>
          <w:lang w:eastAsia="zh-CN"/>
        </w:rPr>
        <w:t>3</w:t>
      </w:r>
      <w:r w:rsidR="00B61FFE" w:rsidRPr="00E67914">
        <w:rPr>
          <w:rFonts w:ascii="Times New Roman" w:hAnsi="Times New Roman"/>
          <w:sz w:val="24"/>
          <w:lang w:eastAsia="zh-CN"/>
        </w:rPr>
        <w:t>，则洗井废水总产生量为</w:t>
      </w:r>
      <w:r w:rsidR="00B61FFE" w:rsidRPr="00E67914">
        <w:rPr>
          <w:rFonts w:ascii="Times New Roman" w:hAnsi="Times New Roman"/>
          <w:sz w:val="24"/>
          <w:lang w:eastAsia="zh-CN"/>
        </w:rPr>
        <w:t>300m</w:t>
      </w:r>
      <w:r w:rsidR="00B61FFE" w:rsidRPr="00E67914">
        <w:rPr>
          <w:rFonts w:ascii="Times New Roman" w:hAnsi="Times New Roman"/>
          <w:sz w:val="24"/>
          <w:vertAlign w:val="superscript"/>
          <w:lang w:eastAsia="zh-CN"/>
        </w:rPr>
        <w:t>3</w:t>
      </w:r>
      <w:r w:rsidRPr="00E67914">
        <w:rPr>
          <w:rFonts w:ascii="Times New Roman" w:hAnsi="Times New Roman"/>
          <w:sz w:val="24"/>
          <w:lang w:eastAsia="zh-CN"/>
        </w:rPr>
        <w:t>。</w:t>
      </w:r>
    </w:p>
    <w:p w14:paraId="69DB6B02" w14:textId="37926806" w:rsidR="00A54A8A" w:rsidRPr="00E67914" w:rsidRDefault="00B61FFE">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本项目压裂液总用量约</w:t>
      </w:r>
      <w:r w:rsidRPr="00E67914">
        <w:rPr>
          <w:rFonts w:ascii="Times New Roman" w:hAnsi="Times New Roman"/>
          <w:sz w:val="24"/>
          <w:lang w:eastAsia="zh-CN"/>
        </w:rPr>
        <w:t>153000m</w:t>
      </w:r>
      <w:r w:rsidRPr="00E67914">
        <w:rPr>
          <w:rFonts w:ascii="Times New Roman" w:hAnsi="Times New Roman"/>
          <w:sz w:val="24"/>
          <w:vertAlign w:val="superscript"/>
          <w:lang w:eastAsia="zh-CN"/>
        </w:rPr>
        <w:t>3</w:t>
      </w:r>
      <w:r w:rsidRPr="00E67914">
        <w:rPr>
          <w:rFonts w:ascii="Times New Roman" w:hAnsi="Times New Roman"/>
          <w:sz w:val="24"/>
          <w:lang w:eastAsia="zh-CN"/>
        </w:rPr>
        <w:t>，根据该区域已完钻</w:t>
      </w:r>
      <w:r w:rsidR="00D41AE8" w:rsidRPr="00E67914">
        <w:rPr>
          <w:rFonts w:ascii="Times New Roman" w:hAnsi="Times New Roman"/>
          <w:sz w:val="24"/>
          <w:lang w:eastAsia="zh-CN"/>
        </w:rPr>
        <w:t>页岩气</w:t>
      </w:r>
      <w:r w:rsidRPr="00E67914">
        <w:rPr>
          <w:rFonts w:ascii="Times New Roman" w:hAnsi="Times New Roman"/>
          <w:sz w:val="24"/>
          <w:lang w:eastAsia="zh-CN"/>
        </w:rPr>
        <w:t>钻井工程可知，该区域</w:t>
      </w:r>
      <w:r w:rsidR="00D41AE8" w:rsidRPr="00E67914">
        <w:rPr>
          <w:rFonts w:ascii="Times New Roman" w:hAnsi="Times New Roman"/>
          <w:sz w:val="24"/>
          <w:lang w:eastAsia="zh-CN"/>
        </w:rPr>
        <w:t>页岩气</w:t>
      </w:r>
      <w:r w:rsidRPr="00E67914">
        <w:rPr>
          <w:rFonts w:ascii="Times New Roman" w:hAnsi="Times New Roman"/>
          <w:sz w:val="24"/>
          <w:lang w:eastAsia="zh-CN"/>
        </w:rPr>
        <w:t>钻井工程酸液返排率约</w:t>
      </w:r>
      <w:r w:rsidR="00D41AE8" w:rsidRPr="00E67914">
        <w:rPr>
          <w:rFonts w:ascii="Times New Roman" w:hAnsi="Times New Roman"/>
          <w:sz w:val="24"/>
          <w:lang w:eastAsia="zh-CN"/>
        </w:rPr>
        <w:t>2</w:t>
      </w:r>
      <w:r w:rsidRPr="00E67914">
        <w:rPr>
          <w:rFonts w:ascii="Times New Roman" w:hAnsi="Times New Roman"/>
          <w:sz w:val="24"/>
          <w:lang w:eastAsia="zh-CN"/>
        </w:rPr>
        <w:t>0%</w:t>
      </w:r>
      <w:r w:rsidRPr="00E67914">
        <w:rPr>
          <w:rFonts w:ascii="Times New Roman" w:hAnsi="Times New Roman"/>
          <w:sz w:val="24"/>
          <w:lang w:eastAsia="zh-CN"/>
        </w:rPr>
        <w:t>，</w:t>
      </w:r>
      <w:r w:rsidR="00D41AE8" w:rsidRPr="00E67914">
        <w:rPr>
          <w:rFonts w:ascii="Times New Roman" w:hAnsi="Times New Roman"/>
          <w:bCs/>
          <w:sz w:val="24"/>
          <w:lang w:eastAsia="zh-CN"/>
        </w:rPr>
        <w:t>则本项目压裂返排液总产生量为</w:t>
      </w:r>
      <w:r w:rsidR="00D41AE8" w:rsidRPr="00E67914">
        <w:rPr>
          <w:rFonts w:ascii="Times New Roman" w:hAnsi="Times New Roman"/>
          <w:bCs/>
          <w:sz w:val="24"/>
          <w:lang w:eastAsia="zh-CN"/>
        </w:rPr>
        <w:t>30600m</w:t>
      </w:r>
      <w:r w:rsidR="00D41AE8" w:rsidRPr="00E67914">
        <w:rPr>
          <w:rFonts w:ascii="Times New Roman" w:hAnsi="Times New Roman"/>
          <w:bCs/>
          <w:sz w:val="24"/>
          <w:vertAlign w:val="superscript"/>
          <w:lang w:eastAsia="zh-CN"/>
        </w:rPr>
        <w:t>3</w:t>
      </w:r>
      <w:r w:rsidR="00D41AE8" w:rsidRPr="00E67914">
        <w:rPr>
          <w:rFonts w:ascii="Times New Roman" w:hAnsi="Times New Roman"/>
          <w:bCs/>
          <w:sz w:val="24"/>
          <w:lang w:eastAsia="zh-CN"/>
        </w:rPr>
        <w:t>，其中</w:t>
      </w:r>
      <w:r w:rsidR="00D41AE8" w:rsidRPr="00E67914">
        <w:rPr>
          <w:rFonts w:ascii="Times New Roman" w:hAnsi="Times New Roman"/>
          <w:bCs/>
          <w:sz w:val="24"/>
          <w:lang w:eastAsia="zh-CN"/>
        </w:rPr>
        <w:t>21600m</w:t>
      </w:r>
      <w:r w:rsidR="00D41AE8" w:rsidRPr="00E67914">
        <w:rPr>
          <w:rFonts w:ascii="Times New Roman" w:hAnsi="Times New Roman"/>
          <w:bCs/>
          <w:sz w:val="24"/>
          <w:vertAlign w:val="superscript"/>
          <w:lang w:eastAsia="zh-CN"/>
        </w:rPr>
        <w:t>3</w:t>
      </w:r>
      <w:r w:rsidR="00D41AE8" w:rsidRPr="00E67914">
        <w:rPr>
          <w:rFonts w:ascii="Times New Roman" w:hAnsi="Times New Roman"/>
          <w:bCs/>
          <w:sz w:val="24"/>
          <w:lang w:eastAsia="zh-CN"/>
        </w:rPr>
        <w:t>回用本项目平台压裂，剩余</w:t>
      </w:r>
      <w:r w:rsidR="00D41AE8" w:rsidRPr="00E67914">
        <w:rPr>
          <w:rFonts w:ascii="Times New Roman" w:hAnsi="Times New Roman"/>
          <w:bCs/>
          <w:sz w:val="24"/>
          <w:lang w:eastAsia="zh-CN"/>
        </w:rPr>
        <w:t>9000m</w:t>
      </w:r>
      <w:r w:rsidR="00D41AE8" w:rsidRPr="00E67914">
        <w:rPr>
          <w:rFonts w:ascii="Times New Roman" w:hAnsi="Times New Roman"/>
          <w:bCs/>
          <w:sz w:val="24"/>
          <w:vertAlign w:val="superscript"/>
          <w:lang w:eastAsia="zh-CN"/>
        </w:rPr>
        <w:t>3</w:t>
      </w:r>
      <w:r w:rsidR="00D41AE8" w:rsidRPr="00E67914">
        <w:rPr>
          <w:rFonts w:ascii="Times New Roman" w:hAnsi="Times New Roman"/>
          <w:bCs/>
          <w:sz w:val="24"/>
          <w:lang w:eastAsia="zh-CN"/>
        </w:rPr>
        <w:t>用于其他平台压裂或</w:t>
      </w:r>
      <w:r w:rsidR="007D7653" w:rsidRPr="00E67914">
        <w:rPr>
          <w:rFonts w:ascii="Times New Roman" w:hAnsi="Times New Roman"/>
          <w:bCs/>
          <w:sz w:val="24"/>
          <w:lang w:eastAsia="zh-CN"/>
        </w:rPr>
        <w:t>回注</w:t>
      </w:r>
      <w:r w:rsidRPr="00E67914">
        <w:rPr>
          <w:rFonts w:ascii="Times New Roman" w:hAnsi="Times New Roman"/>
          <w:sz w:val="24"/>
          <w:lang w:eastAsia="zh-CN"/>
        </w:rPr>
        <w:t>。返排液排至经防腐防渗处理的放喷池</w:t>
      </w:r>
      <w:r w:rsidR="00D41AE8" w:rsidRPr="00E67914">
        <w:rPr>
          <w:rFonts w:ascii="Times New Roman" w:hAnsi="Times New Roman"/>
          <w:sz w:val="24"/>
          <w:lang w:eastAsia="zh-CN"/>
        </w:rPr>
        <w:t>、压裂液罐</w:t>
      </w:r>
      <w:r w:rsidRPr="00E67914">
        <w:rPr>
          <w:rFonts w:ascii="Times New Roman" w:hAnsi="Times New Roman"/>
          <w:sz w:val="24"/>
          <w:lang w:eastAsia="zh-CN"/>
        </w:rPr>
        <w:t>或污水池</w:t>
      </w:r>
      <w:r w:rsidR="007D7653" w:rsidRPr="00E67914">
        <w:rPr>
          <w:rFonts w:ascii="Times New Roman" w:hAnsi="Times New Roman"/>
          <w:sz w:val="24"/>
          <w:lang w:eastAsia="zh-CN"/>
        </w:rPr>
        <w:t>（原普陆页</w:t>
      </w:r>
      <w:r w:rsidR="007D7653" w:rsidRPr="00E67914">
        <w:rPr>
          <w:rFonts w:ascii="Times New Roman" w:hAnsi="Times New Roman"/>
          <w:sz w:val="24"/>
          <w:lang w:eastAsia="zh-CN"/>
        </w:rPr>
        <w:t>2</w:t>
      </w:r>
      <w:r w:rsidR="007D7653" w:rsidRPr="00E67914">
        <w:rPr>
          <w:rFonts w:ascii="Times New Roman" w:hAnsi="Times New Roman"/>
          <w:sz w:val="24"/>
          <w:lang w:eastAsia="zh-CN"/>
        </w:rPr>
        <w:t>井场）</w:t>
      </w:r>
      <w:r w:rsidRPr="00E67914">
        <w:rPr>
          <w:rFonts w:ascii="Times New Roman" w:hAnsi="Times New Roman"/>
          <w:sz w:val="24"/>
          <w:lang w:eastAsia="zh-CN"/>
        </w:rPr>
        <w:t>中暂存，</w:t>
      </w:r>
      <w:r w:rsidR="007D7653" w:rsidRPr="00E67914">
        <w:rPr>
          <w:rFonts w:ascii="Times New Roman" w:hAnsi="Times New Roman"/>
          <w:sz w:val="24"/>
          <w:lang w:eastAsia="zh-CN"/>
        </w:rPr>
        <w:t>在返排期间可控制返排速率，若放喷池、压裂液罐或污水池无多余容积时可停止返排，待放喷池、压裂液罐或污水池中压裂返排液用于下一口井压裂后可继续返排，因此在压裂返排期间放喷池、压裂液罐或污水池可满足暂存要求</w:t>
      </w:r>
      <w:r w:rsidRPr="00E67914">
        <w:rPr>
          <w:rFonts w:ascii="Times New Roman" w:hAnsi="Times New Roman"/>
          <w:sz w:val="24"/>
          <w:lang w:eastAsia="zh-CN"/>
        </w:rPr>
        <w:t>。</w:t>
      </w:r>
    </w:p>
    <w:p w14:paraId="45149072" w14:textId="77777777" w:rsidR="00D41AE8" w:rsidRPr="00E67914" w:rsidRDefault="00D41AE8" w:rsidP="00D41AE8">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2.3-5  </w:t>
      </w:r>
      <w:r w:rsidRPr="00E67914">
        <w:rPr>
          <w:rFonts w:ascii="Times New Roman" w:eastAsia="黑体" w:hAnsi="Times New Roman"/>
          <w:sz w:val="21"/>
          <w:szCs w:val="21"/>
          <w:lang w:eastAsia="zh-CN"/>
        </w:rPr>
        <w:t>各井压裂用水、压裂返排液产生及利用情况统计表</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w:t>
      </w:r>
      <w:r w:rsidRPr="00E67914">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76"/>
        <w:gridCol w:w="1081"/>
        <w:gridCol w:w="1290"/>
        <w:gridCol w:w="1921"/>
        <w:gridCol w:w="2432"/>
      </w:tblGrid>
      <w:tr w:rsidR="00E67914" w:rsidRPr="00E67914" w14:paraId="40090598" w14:textId="77777777" w:rsidTr="00772FA7">
        <w:trPr>
          <w:trHeight w:val="46"/>
          <w:jc w:val="center"/>
        </w:trPr>
        <w:tc>
          <w:tcPr>
            <w:tcW w:w="949" w:type="pct"/>
            <w:noWrap/>
            <w:vAlign w:val="center"/>
            <w:hideMark/>
          </w:tcPr>
          <w:p w14:paraId="41E57249" w14:textId="77777777" w:rsidR="00D41AE8" w:rsidRPr="00E67914" w:rsidRDefault="00D41AE8" w:rsidP="00223052">
            <w:pPr>
              <w:pStyle w:val="04"/>
              <w:rPr>
                <w:rFonts w:cs="Times New Roman"/>
              </w:rPr>
            </w:pPr>
            <w:r w:rsidRPr="00E67914">
              <w:rPr>
                <w:rFonts w:cs="Times New Roman"/>
              </w:rPr>
              <w:t>井号</w:t>
            </w:r>
          </w:p>
        </w:tc>
        <w:tc>
          <w:tcPr>
            <w:tcW w:w="651" w:type="pct"/>
            <w:noWrap/>
            <w:vAlign w:val="center"/>
            <w:hideMark/>
          </w:tcPr>
          <w:p w14:paraId="1A5E33E9" w14:textId="77777777" w:rsidR="00D41AE8" w:rsidRPr="00E67914" w:rsidRDefault="00D41AE8" w:rsidP="00223052">
            <w:pPr>
              <w:pStyle w:val="04"/>
              <w:rPr>
                <w:rFonts w:cs="Times New Roman"/>
              </w:rPr>
            </w:pPr>
            <w:r w:rsidRPr="00E67914">
              <w:rPr>
                <w:rFonts w:cs="Times New Roman"/>
              </w:rPr>
              <w:t>水平段长度</w:t>
            </w:r>
          </w:p>
        </w:tc>
        <w:tc>
          <w:tcPr>
            <w:tcW w:w="777" w:type="pct"/>
            <w:noWrap/>
            <w:vAlign w:val="center"/>
            <w:hideMark/>
          </w:tcPr>
          <w:p w14:paraId="2AFA3FDF" w14:textId="77777777" w:rsidR="00D41AE8" w:rsidRPr="00E67914" w:rsidRDefault="00D41AE8" w:rsidP="00223052">
            <w:pPr>
              <w:pStyle w:val="04"/>
              <w:rPr>
                <w:rFonts w:cs="Times New Roman"/>
              </w:rPr>
            </w:pPr>
            <w:r w:rsidRPr="00E67914">
              <w:rPr>
                <w:rFonts w:cs="Times New Roman"/>
              </w:rPr>
              <w:t>压裂液使用量</w:t>
            </w:r>
          </w:p>
        </w:tc>
        <w:tc>
          <w:tcPr>
            <w:tcW w:w="1157" w:type="pct"/>
            <w:noWrap/>
            <w:vAlign w:val="center"/>
            <w:hideMark/>
          </w:tcPr>
          <w:p w14:paraId="5D7119C3" w14:textId="77777777" w:rsidR="00D41AE8" w:rsidRPr="00E67914" w:rsidRDefault="00D41AE8" w:rsidP="00223052">
            <w:pPr>
              <w:pStyle w:val="04"/>
              <w:rPr>
                <w:rFonts w:cs="Times New Roman"/>
              </w:rPr>
            </w:pPr>
            <w:r w:rsidRPr="00E67914">
              <w:rPr>
                <w:rFonts w:cs="Times New Roman"/>
              </w:rPr>
              <w:t>压裂液返排液产生量</w:t>
            </w:r>
          </w:p>
        </w:tc>
        <w:tc>
          <w:tcPr>
            <w:tcW w:w="1465" w:type="pct"/>
            <w:noWrap/>
            <w:vAlign w:val="center"/>
            <w:hideMark/>
          </w:tcPr>
          <w:p w14:paraId="56F6402E" w14:textId="77777777" w:rsidR="00D41AE8" w:rsidRPr="00E67914" w:rsidRDefault="00D41AE8" w:rsidP="00223052">
            <w:pPr>
              <w:pStyle w:val="04"/>
              <w:rPr>
                <w:rFonts w:cs="Times New Roman"/>
              </w:rPr>
            </w:pPr>
            <w:r w:rsidRPr="00E67914">
              <w:rPr>
                <w:rFonts w:cs="Times New Roman"/>
              </w:rPr>
              <w:t>压裂返排液去向</w:t>
            </w:r>
          </w:p>
        </w:tc>
      </w:tr>
      <w:tr w:rsidR="00E67914" w:rsidRPr="00E67914" w14:paraId="5314B126" w14:textId="77777777" w:rsidTr="00D41AE8">
        <w:trPr>
          <w:trHeight w:val="345"/>
          <w:jc w:val="center"/>
        </w:trPr>
        <w:tc>
          <w:tcPr>
            <w:tcW w:w="949" w:type="pct"/>
            <w:noWrap/>
            <w:vAlign w:val="center"/>
          </w:tcPr>
          <w:p w14:paraId="6AE0644D" w14:textId="03CF5631" w:rsidR="00D41AE8" w:rsidRPr="00E67914" w:rsidRDefault="00D41AE8" w:rsidP="00D41AE8">
            <w:pPr>
              <w:snapToGrid w:val="0"/>
              <w:jc w:val="center"/>
              <w:rPr>
                <w:rFonts w:ascii="Times New Roman" w:hAnsi="Times New Roman"/>
                <w:sz w:val="21"/>
                <w:lang w:eastAsia="zh-CN"/>
              </w:rPr>
            </w:pPr>
            <w:r w:rsidRPr="00E67914">
              <w:rPr>
                <w:rFonts w:ascii="Times New Roman" w:hAnsi="Times New Roman"/>
                <w:sz w:val="21"/>
                <w:lang w:eastAsia="zh-CN"/>
              </w:rPr>
              <w:t>普陆页</w:t>
            </w:r>
            <w:r w:rsidRPr="00E67914">
              <w:rPr>
                <w:rFonts w:ascii="Times New Roman" w:hAnsi="Times New Roman"/>
                <w:sz w:val="21"/>
                <w:lang w:eastAsia="zh-CN"/>
              </w:rPr>
              <w:t>2-1</w:t>
            </w:r>
          </w:p>
        </w:tc>
        <w:tc>
          <w:tcPr>
            <w:tcW w:w="651" w:type="pct"/>
            <w:noWrap/>
            <w:vAlign w:val="center"/>
          </w:tcPr>
          <w:p w14:paraId="3D74CF6A" w14:textId="65C00A62" w:rsidR="00D41AE8" w:rsidRPr="00E67914" w:rsidRDefault="00D41AE8" w:rsidP="00D41AE8">
            <w:pPr>
              <w:snapToGrid w:val="0"/>
              <w:jc w:val="center"/>
              <w:rPr>
                <w:rFonts w:ascii="Times New Roman" w:hAnsi="Times New Roman"/>
                <w:sz w:val="21"/>
              </w:rPr>
            </w:pPr>
            <w:r w:rsidRPr="00E67914">
              <w:rPr>
                <w:rFonts w:ascii="Times New Roman" w:hAnsi="Times New Roman"/>
                <w:sz w:val="21"/>
                <w:szCs w:val="21"/>
                <w:lang w:eastAsia="zh-CN"/>
              </w:rPr>
              <w:t>2000</w:t>
            </w:r>
          </w:p>
        </w:tc>
        <w:tc>
          <w:tcPr>
            <w:tcW w:w="777" w:type="pct"/>
            <w:noWrap/>
            <w:vAlign w:val="center"/>
          </w:tcPr>
          <w:p w14:paraId="4545EFA6" w14:textId="2ADAA643" w:rsidR="00D41AE8" w:rsidRPr="00E67914" w:rsidRDefault="00D41AE8" w:rsidP="00D41AE8">
            <w:pPr>
              <w:snapToGrid w:val="0"/>
              <w:jc w:val="center"/>
              <w:rPr>
                <w:rFonts w:ascii="Times New Roman" w:hAnsi="Times New Roman"/>
                <w:sz w:val="21"/>
              </w:rPr>
            </w:pPr>
            <w:r w:rsidRPr="00E67914">
              <w:rPr>
                <w:rFonts w:ascii="Times New Roman" w:hAnsi="Times New Roman"/>
                <w:sz w:val="21"/>
                <w:szCs w:val="21"/>
                <w:lang w:eastAsia="zh-CN"/>
              </w:rPr>
              <w:t>50400</w:t>
            </w:r>
          </w:p>
        </w:tc>
        <w:tc>
          <w:tcPr>
            <w:tcW w:w="115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077A7D" w14:textId="7BD31F7F" w:rsidR="00D41AE8" w:rsidRPr="00E67914" w:rsidRDefault="00D41AE8" w:rsidP="00D41AE8">
            <w:pPr>
              <w:pStyle w:val="04"/>
              <w:rPr>
                <w:rFonts w:cs="Times New Roman"/>
              </w:rPr>
            </w:pPr>
            <w:r w:rsidRPr="00E67914">
              <w:rPr>
                <w:rFonts w:cs="Times New Roman"/>
              </w:rPr>
              <w:t>10080</w:t>
            </w:r>
          </w:p>
        </w:tc>
        <w:tc>
          <w:tcPr>
            <w:tcW w:w="1465" w:type="pct"/>
            <w:noWrap/>
            <w:vAlign w:val="center"/>
            <w:hideMark/>
          </w:tcPr>
          <w:p w14:paraId="64F2D650" w14:textId="1753C03C" w:rsidR="00D41AE8" w:rsidRPr="00E67914" w:rsidRDefault="00D41AE8" w:rsidP="00D41AE8">
            <w:pPr>
              <w:pStyle w:val="04"/>
              <w:rPr>
                <w:rFonts w:cs="Times New Roman"/>
              </w:rPr>
            </w:pPr>
            <w:r w:rsidRPr="00E67914">
              <w:rPr>
                <w:rFonts w:cs="Times New Roman"/>
              </w:rPr>
              <w:t>用于普陆页</w:t>
            </w:r>
            <w:r w:rsidRPr="00E67914">
              <w:rPr>
                <w:rFonts w:cs="Times New Roman"/>
              </w:rPr>
              <w:t>2-2</w:t>
            </w:r>
            <w:r w:rsidRPr="00E67914">
              <w:rPr>
                <w:rFonts w:eastAsia="等线" w:cs="Times New Roman"/>
              </w:rPr>
              <w:t>井</w:t>
            </w:r>
            <w:r w:rsidRPr="00E67914">
              <w:rPr>
                <w:rFonts w:cs="Times New Roman"/>
              </w:rPr>
              <w:t>压裂</w:t>
            </w:r>
          </w:p>
        </w:tc>
      </w:tr>
      <w:tr w:rsidR="00E67914" w:rsidRPr="00E67914" w14:paraId="0129555F" w14:textId="77777777" w:rsidTr="00D41AE8">
        <w:trPr>
          <w:trHeight w:val="345"/>
          <w:jc w:val="center"/>
        </w:trPr>
        <w:tc>
          <w:tcPr>
            <w:tcW w:w="949" w:type="pct"/>
            <w:noWrap/>
            <w:vAlign w:val="center"/>
          </w:tcPr>
          <w:p w14:paraId="43F6F206" w14:textId="646ABAE3" w:rsidR="00D41AE8" w:rsidRPr="00E67914" w:rsidRDefault="00D41AE8" w:rsidP="00D41AE8">
            <w:pPr>
              <w:snapToGrid w:val="0"/>
              <w:jc w:val="center"/>
              <w:rPr>
                <w:rFonts w:ascii="Times New Roman" w:hAnsi="Times New Roman"/>
                <w:sz w:val="21"/>
              </w:rPr>
            </w:pPr>
            <w:r w:rsidRPr="00E67914">
              <w:rPr>
                <w:rFonts w:ascii="Times New Roman" w:hAnsi="Times New Roman"/>
                <w:sz w:val="21"/>
                <w:lang w:eastAsia="zh-CN"/>
              </w:rPr>
              <w:t>普陆页</w:t>
            </w:r>
            <w:r w:rsidRPr="00E67914">
              <w:rPr>
                <w:rFonts w:ascii="Times New Roman" w:hAnsi="Times New Roman"/>
                <w:sz w:val="21"/>
                <w:lang w:eastAsia="zh-CN"/>
              </w:rPr>
              <w:t>2-2</w:t>
            </w:r>
          </w:p>
        </w:tc>
        <w:tc>
          <w:tcPr>
            <w:tcW w:w="651" w:type="pct"/>
            <w:noWrap/>
            <w:vAlign w:val="center"/>
          </w:tcPr>
          <w:p w14:paraId="73AFB88D" w14:textId="2D396D3B" w:rsidR="00D41AE8" w:rsidRPr="00E67914" w:rsidRDefault="00D41AE8" w:rsidP="00D41AE8">
            <w:pPr>
              <w:snapToGrid w:val="0"/>
              <w:jc w:val="center"/>
              <w:rPr>
                <w:rFonts w:ascii="Times New Roman" w:hAnsi="Times New Roman"/>
                <w:sz w:val="21"/>
              </w:rPr>
            </w:pPr>
            <w:r w:rsidRPr="00E67914">
              <w:rPr>
                <w:rFonts w:ascii="Times New Roman" w:hAnsi="Times New Roman"/>
                <w:sz w:val="21"/>
                <w:szCs w:val="21"/>
                <w:lang w:eastAsia="zh-CN"/>
              </w:rPr>
              <w:t>2300</w:t>
            </w:r>
          </w:p>
        </w:tc>
        <w:tc>
          <w:tcPr>
            <w:tcW w:w="777" w:type="pct"/>
            <w:noWrap/>
            <w:vAlign w:val="center"/>
          </w:tcPr>
          <w:p w14:paraId="3747FA66" w14:textId="438E0ADC" w:rsidR="00D41AE8" w:rsidRPr="00E67914" w:rsidRDefault="00D41AE8" w:rsidP="00D41AE8">
            <w:pPr>
              <w:snapToGrid w:val="0"/>
              <w:jc w:val="center"/>
              <w:rPr>
                <w:rFonts w:ascii="Times New Roman" w:eastAsia="等线" w:hAnsi="Times New Roman"/>
                <w:sz w:val="21"/>
              </w:rPr>
            </w:pPr>
            <w:r w:rsidRPr="00E67914">
              <w:rPr>
                <w:rFonts w:ascii="Times New Roman" w:hAnsi="Times New Roman"/>
                <w:sz w:val="21"/>
                <w:szCs w:val="21"/>
                <w:lang w:eastAsia="zh-CN"/>
              </w:rPr>
              <w:t>57600</w:t>
            </w:r>
          </w:p>
        </w:tc>
        <w:tc>
          <w:tcPr>
            <w:tcW w:w="1157" w:type="pct"/>
            <w:tcBorders>
              <w:top w:val="nil"/>
              <w:left w:val="single" w:sz="4" w:space="0" w:color="auto"/>
              <w:bottom w:val="single" w:sz="4" w:space="0" w:color="auto"/>
              <w:right w:val="single" w:sz="4" w:space="0" w:color="auto"/>
            </w:tcBorders>
            <w:shd w:val="clear" w:color="auto" w:fill="auto"/>
            <w:noWrap/>
            <w:vAlign w:val="center"/>
          </w:tcPr>
          <w:p w14:paraId="5F5DFA96" w14:textId="6D6C40FF" w:rsidR="00D41AE8" w:rsidRPr="00E67914" w:rsidRDefault="00D41AE8" w:rsidP="00D41AE8">
            <w:pPr>
              <w:pStyle w:val="04"/>
              <w:rPr>
                <w:rFonts w:cs="Times New Roman"/>
              </w:rPr>
            </w:pPr>
            <w:r w:rsidRPr="00E67914">
              <w:rPr>
                <w:rFonts w:cs="Times New Roman"/>
              </w:rPr>
              <w:t>11520</w:t>
            </w:r>
          </w:p>
        </w:tc>
        <w:tc>
          <w:tcPr>
            <w:tcW w:w="1465" w:type="pct"/>
            <w:noWrap/>
            <w:vAlign w:val="center"/>
          </w:tcPr>
          <w:p w14:paraId="33633D09" w14:textId="1726AA73" w:rsidR="00D41AE8" w:rsidRPr="00E67914" w:rsidRDefault="00D41AE8" w:rsidP="00D41AE8">
            <w:pPr>
              <w:pStyle w:val="04"/>
              <w:rPr>
                <w:rFonts w:cs="Times New Roman"/>
              </w:rPr>
            </w:pPr>
            <w:r w:rsidRPr="00E67914">
              <w:rPr>
                <w:rFonts w:cs="Times New Roman"/>
              </w:rPr>
              <w:t>用于普陆页</w:t>
            </w:r>
            <w:r w:rsidRPr="00E67914">
              <w:rPr>
                <w:rFonts w:cs="Times New Roman"/>
              </w:rPr>
              <w:t>2-3</w:t>
            </w:r>
            <w:r w:rsidRPr="00E67914">
              <w:rPr>
                <w:rFonts w:eastAsia="等线" w:cs="Times New Roman"/>
              </w:rPr>
              <w:t>井</w:t>
            </w:r>
            <w:r w:rsidRPr="00E67914">
              <w:rPr>
                <w:rFonts w:cs="Times New Roman"/>
              </w:rPr>
              <w:t>压裂</w:t>
            </w:r>
          </w:p>
        </w:tc>
      </w:tr>
      <w:tr w:rsidR="00E67914" w:rsidRPr="00E67914" w14:paraId="14098FAA" w14:textId="77777777" w:rsidTr="00D41AE8">
        <w:trPr>
          <w:trHeight w:val="345"/>
          <w:jc w:val="center"/>
        </w:trPr>
        <w:tc>
          <w:tcPr>
            <w:tcW w:w="949" w:type="pct"/>
            <w:noWrap/>
            <w:vAlign w:val="center"/>
          </w:tcPr>
          <w:p w14:paraId="487150B3" w14:textId="6E3DF2C3" w:rsidR="00D41AE8" w:rsidRPr="00E67914" w:rsidRDefault="00D41AE8" w:rsidP="00D41AE8">
            <w:pPr>
              <w:snapToGrid w:val="0"/>
              <w:jc w:val="center"/>
              <w:rPr>
                <w:rFonts w:ascii="Times New Roman" w:hAnsi="Times New Roman"/>
                <w:sz w:val="21"/>
              </w:rPr>
            </w:pPr>
            <w:r w:rsidRPr="00E67914">
              <w:rPr>
                <w:rFonts w:ascii="Times New Roman" w:hAnsi="Times New Roman"/>
                <w:sz w:val="21"/>
                <w:lang w:eastAsia="zh-CN"/>
              </w:rPr>
              <w:t>普陆页</w:t>
            </w:r>
            <w:r w:rsidRPr="00E67914">
              <w:rPr>
                <w:rFonts w:ascii="Times New Roman" w:hAnsi="Times New Roman"/>
                <w:sz w:val="21"/>
                <w:lang w:eastAsia="zh-CN"/>
              </w:rPr>
              <w:t>2-3</w:t>
            </w:r>
          </w:p>
        </w:tc>
        <w:tc>
          <w:tcPr>
            <w:tcW w:w="651" w:type="pct"/>
            <w:noWrap/>
            <w:vAlign w:val="center"/>
          </w:tcPr>
          <w:p w14:paraId="3E31C166" w14:textId="62A929CD" w:rsidR="00D41AE8" w:rsidRPr="00E67914" w:rsidRDefault="00D41AE8" w:rsidP="00D41AE8">
            <w:pPr>
              <w:snapToGrid w:val="0"/>
              <w:jc w:val="center"/>
              <w:rPr>
                <w:rFonts w:ascii="Times New Roman" w:hAnsi="Times New Roman"/>
                <w:sz w:val="21"/>
              </w:rPr>
            </w:pPr>
            <w:r w:rsidRPr="00E67914">
              <w:rPr>
                <w:rFonts w:ascii="Times New Roman" w:hAnsi="Times New Roman"/>
                <w:sz w:val="21"/>
                <w:szCs w:val="21"/>
                <w:lang w:eastAsia="zh-CN"/>
              </w:rPr>
              <w:t>1800</w:t>
            </w:r>
          </w:p>
        </w:tc>
        <w:tc>
          <w:tcPr>
            <w:tcW w:w="777" w:type="pct"/>
            <w:noWrap/>
            <w:vAlign w:val="center"/>
          </w:tcPr>
          <w:p w14:paraId="15D54A76" w14:textId="23F3C614" w:rsidR="00D41AE8" w:rsidRPr="00E67914" w:rsidRDefault="00D41AE8" w:rsidP="00D41AE8">
            <w:pPr>
              <w:snapToGrid w:val="0"/>
              <w:jc w:val="center"/>
              <w:rPr>
                <w:rFonts w:ascii="Times New Roman" w:eastAsia="等线" w:hAnsi="Times New Roman"/>
                <w:sz w:val="21"/>
              </w:rPr>
            </w:pPr>
            <w:r w:rsidRPr="00E67914">
              <w:rPr>
                <w:rFonts w:ascii="Times New Roman" w:hAnsi="Times New Roman"/>
                <w:sz w:val="21"/>
                <w:szCs w:val="21"/>
                <w:lang w:eastAsia="zh-CN"/>
              </w:rPr>
              <w:t>45000</w:t>
            </w:r>
          </w:p>
        </w:tc>
        <w:tc>
          <w:tcPr>
            <w:tcW w:w="1157" w:type="pct"/>
            <w:tcBorders>
              <w:top w:val="nil"/>
              <w:left w:val="single" w:sz="4" w:space="0" w:color="auto"/>
              <w:bottom w:val="single" w:sz="4" w:space="0" w:color="auto"/>
              <w:right w:val="single" w:sz="4" w:space="0" w:color="auto"/>
            </w:tcBorders>
            <w:shd w:val="clear" w:color="auto" w:fill="auto"/>
            <w:noWrap/>
            <w:vAlign w:val="center"/>
          </w:tcPr>
          <w:p w14:paraId="329653A1" w14:textId="6D066C32" w:rsidR="00D41AE8" w:rsidRPr="00E67914" w:rsidRDefault="00D41AE8" w:rsidP="00D41AE8">
            <w:pPr>
              <w:pStyle w:val="04"/>
              <w:rPr>
                <w:rFonts w:cs="Times New Roman"/>
              </w:rPr>
            </w:pPr>
            <w:r w:rsidRPr="00E67914">
              <w:rPr>
                <w:rFonts w:cs="Times New Roman"/>
              </w:rPr>
              <w:t>9000</w:t>
            </w:r>
          </w:p>
        </w:tc>
        <w:tc>
          <w:tcPr>
            <w:tcW w:w="1465" w:type="pct"/>
            <w:noWrap/>
            <w:vAlign w:val="center"/>
          </w:tcPr>
          <w:p w14:paraId="4C131B42" w14:textId="102260E1" w:rsidR="00D41AE8" w:rsidRPr="00E67914" w:rsidRDefault="00D41AE8" w:rsidP="00D41AE8">
            <w:pPr>
              <w:pStyle w:val="04"/>
              <w:rPr>
                <w:rFonts w:cs="Times New Roman"/>
              </w:rPr>
            </w:pPr>
            <w:r w:rsidRPr="00E67914">
              <w:rPr>
                <w:rFonts w:cs="Times New Roman"/>
              </w:rPr>
              <w:t>用于其他平台压裂或回注</w:t>
            </w:r>
          </w:p>
        </w:tc>
      </w:tr>
      <w:tr w:rsidR="00E67914" w:rsidRPr="00E67914" w14:paraId="20DD4D50" w14:textId="77777777" w:rsidTr="00D41AE8">
        <w:trPr>
          <w:trHeight w:val="315"/>
          <w:jc w:val="center"/>
        </w:trPr>
        <w:tc>
          <w:tcPr>
            <w:tcW w:w="949" w:type="pct"/>
            <w:vAlign w:val="center"/>
          </w:tcPr>
          <w:p w14:paraId="59CE4F00" w14:textId="6E064E4A" w:rsidR="00D41AE8" w:rsidRPr="00E67914" w:rsidRDefault="00D41AE8" w:rsidP="00223052">
            <w:pPr>
              <w:pStyle w:val="04"/>
              <w:rPr>
                <w:rFonts w:cs="Times New Roman"/>
              </w:rPr>
            </w:pPr>
            <w:r w:rsidRPr="00E67914">
              <w:rPr>
                <w:rFonts w:cs="Times New Roman"/>
              </w:rPr>
              <w:t>合计</w:t>
            </w:r>
          </w:p>
        </w:tc>
        <w:tc>
          <w:tcPr>
            <w:tcW w:w="651" w:type="pct"/>
            <w:noWrap/>
            <w:vAlign w:val="center"/>
          </w:tcPr>
          <w:p w14:paraId="5AB99BAD" w14:textId="4230BBE1" w:rsidR="00D41AE8" w:rsidRPr="00E67914" w:rsidRDefault="00D41AE8" w:rsidP="00223052">
            <w:pPr>
              <w:pStyle w:val="04"/>
              <w:rPr>
                <w:rFonts w:cs="Times New Roman"/>
              </w:rPr>
            </w:pPr>
            <w:r w:rsidRPr="00E67914">
              <w:rPr>
                <w:rFonts w:cs="Times New Roman"/>
              </w:rPr>
              <w:t>6100</w:t>
            </w:r>
          </w:p>
        </w:tc>
        <w:tc>
          <w:tcPr>
            <w:tcW w:w="777" w:type="pct"/>
            <w:noWrap/>
            <w:vAlign w:val="center"/>
          </w:tcPr>
          <w:p w14:paraId="1D9617A3" w14:textId="5FD488AA" w:rsidR="00D41AE8" w:rsidRPr="00E67914" w:rsidRDefault="00D41AE8" w:rsidP="00223052">
            <w:pPr>
              <w:pStyle w:val="04"/>
              <w:rPr>
                <w:rFonts w:cs="Times New Roman"/>
              </w:rPr>
            </w:pPr>
            <w:r w:rsidRPr="00E67914">
              <w:rPr>
                <w:rFonts w:cs="Times New Roman"/>
              </w:rPr>
              <w:t>15300</w:t>
            </w:r>
          </w:p>
        </w:tc>
        <w:tc>
          <w:tcPr>
            <w:tcW w:w="1157" w:type="pct"/>
            <w:noWrap/>
            <w:vAlign w:val="center"/>
          </w:tcPr>
          <w:p w14:paraId="22158F40" w14:textId="6C49B334" w:rsidR="00D41AE8" w:rsidRPr="00E67914" w:rsidRDefault="00D41AE8" w:rsidP="00223052">
            <w:pPr>
              <w:pStyle w:val="04"/>
              <w:rPr>
                <w:rFonts w:cs="Times New Roman"/>
              </w:rPr>
            </w:pPr>
            <w:r w:rsidRPr="00E67914">
              <w:rPr>
                <w:rFonts w:cs="Times New Roman"/>
              </w:rPr>
              <w:t>30600</w:t>
            </w:r>
          </w:p>
        </w:tc>
        <w:tc>
          <w:tcPr>
            <w:tcW w:w="1465" w:type="pct"/>
            <w:noWrap/>
            <w:vAlign w:val="center"/>
            <w:hideMark/>
          </w:tcPr>
          <w:p w14:paraId="30254538" w14:textId="77777777" w:rsidR="00D41AE8" w:rsidRPr="00E67914" w:rsidRDefault="00D41AE8" w:rsidP="00223052">
            <w:pPr>
              <w:pStyle w:val="04"/>
              <w:rPr>
                <w:rFonts w:cs="Times New Roman"/>
              </w:rPr>
            </w:pPr>
            <w:r w:rsidRPr="00E67914">
              <w:rPr>
                <w:rFonts w:cs="Times New Roman"/>
              </w:rPr>
              <w:t>/</w:t>
            </w:r>
          </w:p>
        </w:tc>
      </w:tr>
    </w:tbl>
    <w:p w14:paraId="21A52DF4" w14:textId="33CD76F5"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lastRenderedPageBreak/>
        <w:t>本项目压裂返排液及洗井废水临时暂存于放喷池</w:t>
      </w:r>
      <w:r w:rsidR="007D7653" w:rsidRPr="00E67914">
        <w:rPr>
          <w:rFonts w:ascii="Times New Roman" w:hAnsi="Times New Roman"/>
          <w:sz w:val="24"/>
          <w:lang w:eastAsia="zh-CN"/>
        </w:rPr>
        <w:t>、压裂液罐</w:t>
      </w:r>
      <w:r w:rsidRPr="00E67914">
        <w:rPr>
          <w:rFonts w:ascii="Times New Roman" w:hAnsi="Times New Roman"/>
          <w:sz w:val="24"/>
          <w:lang w:eastAsia="zh-CN"/>
        </w:rPr>
        <w:t>或者污水池，</w:t>
      </w:r>
      <w:r w:rsidR="007D7653" w:rsidRPr="00E67914">
        <w:rPr>
          <w:rFonts w:ascii="Times New Roman" w:hAnsi="Times New Roman"/>
          <w:sz w:val="24"/>
          <w:lang w:eastAsia="zh-CN"/>
        </w:rPr>
        <w:t>优先回用于本项目压裂工段及周边平台压裂工段</w:t>
      </w:r>
      <w:r w:rsidRPr="00E67914">
        <w:rPr>
          <w:rFonts w:ascii="Times New Roman" w:hAnsi="Times New Roman"/>
          <w:sz w:val="24"/>
          <w:lang w:eastAsia="zh-CN"/>
        </w:rPr>
        <w:t>，不能回用的用罐车拉运至赵家坝污水处理站处理达标后经普光</w:t>
      </w:r>
      <w:r w:rsidRPr="00E67914">
        <w:rPr>
          <w:rFonts w:ascii="Times New Roman" w:hAnsi="Times New Roman"/>
          <w:sz w:val="24"/>
          <w:lang w:eastAsia="zh-CN"/>
        </w:rPr>
        <w:t>11</w:t>
      </w:r>
      <w:r w:rsidRPr="00E67914">
        <w:rPr>
          <w:rFonts w:ascii="Times New Roman" w:hAnsi="Times New Roman"/>
          <w:sz w:val="24"/>
          <w:lang w:eastAsia="zh-CN"/>
        </w:rPr>
        <w:t>井回注站回注。根据普光气田钻井工程类比调查，作业废水污染物浓度情况见表</w:t>
      </w:r>
      <w:r w:rsidRPr="00E67914">
        <w:rPr>
          <w:rFonts w:ascii="Times New Roman" w:hAnsi="Times New Roman"/>
          <w:sz w:val="24"/>
          <w:lang w:eastAsia="zh-CN"/>
        </w:rPr>
        <w:t>3.4-4</w:t>
      </w:r>
      <w:r w:rsidRPr="00E67914">
        <w:rPr>
          <w:rFonts w:ascii="Times New Roman" w:hAnsi="Times New Roman"/>
          <w:sz w:val="24"/>
          <w:lang w:eastAsia="zh-CN"/>
        </w:rPr>
        <w:t>。</w:t>
      </w:r>
    </w:p>
    <w:p w14:paraId="58E0B7A4"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bookmarkStart w:id="92" w:name="_Ref472452376"/>
      <w:r w:rsidRPr="00E67914">
        <w:rPr>
          <w:rFonts w:ascii="Times New Roman" w:eastAsia="黑体" w:hAnsi="Times New Roman"/>
          <w:sz w:val="21"/>
          <w:szCs w:val="21"/>
          <w:lang w:eastAsia="zh-CN"/>
        </w:rPr>
        <w:t>表</w:t>
      </w:r>
      <w:bookmarkEnd w:id="92"/>
      <w:r w:rsidRPr="00E67914">
        <w:rPr>
          <w:rFonts w:ascii="Times New Roman" w:eastAsia="黑体" w:hAnsi="Times New Roman"/>
          <w:sz w:val="21"/>
          <w:szCs w:val="21"/>
          <w:lang w:eastAsia="zh-CN"/>
        </w:rPr>
        <w:t xml:space="preserve">3.4-4  </w:t>
      </w:r>
      <w:r w:rsidRPr="00E67914">
        <w:rPr>
          <w:rFonts w:ascii="Times New Roman" w:eastAsia="黑体" w:hAnsi="Times New Roman"/>
          <w:sz w:val="21"/>
          <w:szCs w:val="21"/>
          <w:lang w:eastAsia="zh-CN"/>
        </w:rPr>
        <w:t>压裂返排液及洗井废水污染物浓度表（单位：</w:t>
      </w:r>
      <w:r w:rsidRPr="00E67914">
        <w:rPr>
          <w:rFonts w:ascii="Times New Roman" w:eastAsia="黑体" w:hAnsi="Times New Roman"/>
          <w:sz w:val="21"/>
          <w:szCs w:val="21"/>
          <w:lang w:eastAsia="zh-CN"/>
        </w:rPr>
        <w:t>mg/L</w:t>
      </w:r>
      <w:r w:rsidRPr="00E67914">
        <w:rPr>
          <w:rFonts w:ascii="Times New Roman" w:eastAsia="黑体" w:hAnsi="Times New Roman"/>
          <w:sz w:val="21"/>
          <w:szCs w:val="21"/>
          <w:lang w:eastAsia="zh-C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4"/>
        <w:gridCol w:w="1610"/>
        <w:gridCol w:w="1081"/>
        <w:gridCol w:w="1081"/>
        <w:gridCol w:w="1081"/>
        <w:gridCol w:w="949"/>
        <w:gridCol w:w="1154"/>
      </w:tblGrid>
      <w:tr w:rsidR="002662E3" w:rsidRPr="00E67914" w14:paraId="49C2A8B9" w14:textId="77777777">
        <w:trPr>
          <w:trHeight w:val="270"/>
          <w:jc w:val="center"/>
        </w:trPr>
        <w:tc>
          <w:tcPr>
            <w:tcW w:w="1469" w:type="dxa"/>
            <w:vAlign w:val="center"/>
          </w:tcPr>
          <w:p w14:paraId="3FF1EBCA" w14:textId="77777777" w:rsidR="00A54A8A" w:rsidRPr="00E67914" w:rsidRDefault="00000000">
            <w:pPr>
              <w:pStyle w:val="SSEC20150323"/>
              <w:rPr>
                <w:rFonts w:ascii="Times New Roman" w:hAnsi="Times New Roman"/>
              </w:rPr>
            </w:pPr>
            <w:r w:rsidRPr="00E67914">
              <w:rPr>
                <w:rFonts w:ascii="Times New Roman" w:hAnsi="Times New Roman"/>
              </w:rPr>
              <w:t>污染物名称</w:t>
            </w:r>
          </w:p>
        </w:tc>
        <w:tc>
          <w:tcPr>
            <w:tcW w:w="1767" w:type="dxa"/>
            <w:vAlign w:val="center"/>
          </w:tcPr>
          <w:p w14:paraId="3EEF7CB9" w14:textId="77777777" w:rsidR="00A54A8A" w:rsidRPr="00E67914" w:rsidRDefault="00000000">
            <w:pPr>
              <w:pStyle w:val="SSEC20150323"/>
              <w:rPr>
                <w:rFonts w:ascii="Times New Roman" w:hAnsi="Times New Roman"/>
              </w:rPr>
            </w:pPr>
            <w:r w:rsidRPr="00E67914">
              <w:rPr>
                <w:rFonts w:ascii="Times New Roman" w:hAnsi="Times New Roman"/>
              </w:rPr>
              <w:t>pH</w:t>
            </w:r>
          </w:p>
        </w:tc>
        <w:tc>
          <w:tcPr>
            <w:tcW w:w="1178" w:type="dxa"/>
            <w:vAlign w:val="center"/>
          </w:tcPr>
          <w:p w14:paraId="0490A4F8" w14:textId="77777777" w:rsidR="00A54A8A" w:rsidRPr="00E67914" w:rsidRDefault="00000000">
            <w:pPr>
              <w:pStyle w:val="SSEC20150323"/>
              <w:rPr>
                <w:rFonts w:ascii="Times New Roman" w:hAnsi="Times New Roman"/>
              </w:rPr>
            </w:pPr>
            <w:r w:rsidRPr="00E67914">
              <w:rPr>
                <w:rFonts w:ascii="Times New Roman" w:hAnsi="Times New Roman"/>
              </w:rPr>
              <w:t>COD</w:t>
            </w:r>
          </w:p>
        </w:tc>
        <w:tc>
          <w:tcPr>
            <w:tcW w:w="1178" w:type="dxa"/>
            <w:vAlign w:val="center"/>
          </w:tcPr>
          <w:p w14:paraId="3C1576D1" w14:textId="77777777" w:rsidR="00A54A8A" w:rsidRPr="00E67914" w:rsidRDefault="00000000">
            <w:pPr>
              <w:pStyle w:val="SSEC20150323"/>
              <w:rPr>
                <w:rFonts w:ascii="Times New Roman" w:hAnsi="Times New Roman"/>
              </w:rPr>
            </w:pPr>
            <w:r w:rsidRPr="00E67914">
              <w:rPr>
                <w:rFonts w:ascii="Times New Roman" w:hAnsi="Times New Roman"/>
              </w:rPr>
              <w:t>SS</w:t>
            </w:r>
          </w:p>
        </w:tc>
        <w:tc>
          <w:tcPr>
            <w:tcW w:w="1178" w:type="dxa"/>
            <w:vAlign w:val="center"/>
          </w:tcPr>
          <w:p w14:paraId="1E7BF6A9" w14:textId="77777777" w:rsidR="00A54A8A" w:rsidRPr="00E67914" w:rsidRDefault="00000000">
            <w:pPr>
              <w:pStyle w:val="SSEC20150323"/>
              <w:rPr>
                <w:rFonts w:ascii="Times New Roman" w:hAnsi="Times New Roman"/>
              </w:rPr>
            </w:pPr>
            <w:r w:rsidRPr="00E67914">
              <w:rPr>
                <w:rFonts w:ascii="Times New Roman" w:hAnsi="Times New Roman"/>
              </w:rPr>
              <w:t>石油类</w:t>
            </w:r>
          </w:p>
        </w:tc>
        <w:tc>
          <w:tcPr>
            <w:tcW w:w="1031" w:type="dxa"/>
            <w:vAlign w:val="center"/>
          </w:tcPr>
          <w:p w14:paraId="14B276DB" w14:textId="77777777" w:rsidR="00A54A8A" w:rsidRPr="00E67914" w:rsidRDefault="00000000">
            <w:pPr>
              <w:pStyle w:val="SSEC20150323"/>
              <w:rPr>
                <w:rFonts w:ascii="Times New Roman" w:hAnsi="Times New Roman"/>
              </w:rPr>
            </w:pPr>
            <w:r w:rsidRPr="00E67914">
              <w:rPr>
                <w:rFonts w:ascii="Times New Roman" w:hAnsi="Times New Roman"/>
              </w:rPr>
              <w:t>挥发酚</w:t>
            </w:r>
          </w:p>
        </w:tc>
        <w:tc>
          <w:tcPr>
            <w:tcW w:w="1259" w:type="dxa"/>
            <w:vAlign w:val="center"/>
          </w:tcPr>
          <w:p w14:paraId="1D8671A6" w14:textId="77777777" w:rsidR="00A54A8A" w:rsidRPr="00E67914" w:rsidRDefault="00000000">
            <w:pPr>
              <w:pStyle w:val="SSEC20150323"/>
              <w:rPr>
                <w:rFonts w:ascii="Times New Roman" w:hAnsi="Times New Roman"/>
              </w:rPr>
            </w:pPr>
            <w:r w:rsidRPr="00E67914">
              <w:rPr>
                <w:rFonts w:ascii="Times New Roman" w:hAnsi="Times New Roman"/>
              </w:rPr>
              <w:t>氯离子</w:t>
            </w:r>
          </w:p>
        </w:tc>
      </w:tr>
      <w:tr w:rsidR="002662E3" w:rsidRPr="00E67914" w14:paraId="4A5B7783" w14:textId="77777777">
        <w:trPr>
          <w:trHeight w:val="70"/>
          <w:jc w:val="center"/>
        </w:trPr>
        <w:tc>
          <w:tcPr>
            <w:tcW w:w="1469" w:type="dxa"/>
            <w:vAlign w:val="center"/>
          </w:tcPr>
          <w:p w14:paraId="4BCF9C9F" w14:textId="77777777" w:rsidR="00A54A8A" w:rsidRPr="00E67914" w:rsidRDefault="00000000">
            <w:pPr>
              <w:pStyle w:val="SSEC20150323"/>
              <w:rPr>
                <w:rFonts w:ascii="Times New Roman" w:hAnsi="Times New Roman"/>
              </w:rPr>
            </w:pPr>
            <w:r w:rsidRPr="00E67914">
              <w:rPr>
                <w:rFonts w:ascii="Times New Roman" w:hAnsi="Times New Roman"/>
              </w:rPr>
              <w:t>浓度</w:t>
            </w:r>
          </w:p>
        </w:tc>
        <w:tc>
          <w:tcPr>
            <w:tcW w:w="1767" w:type="dxa"/>
            <w:vAlign w:val="center"/>
          </w:tcPr>
          <w:p w14:paraId="76B84A50" w14:textId="77777777" w:rsidR="00A54A8A" w:rsidRPr="00E67914" w:rsidRDefault="00000000">
            <w:pPr>
              <w:pStyle w:val="SSEC20150323"/>
              <w:rPr>
                <w:rFonts w:ascii="Times New Roman" w:hAnsi="Times New Roman"/>
              </w:rPr>
            </w:pPr>
            <w:r w:rsidRPr="00E67914">
              <w:rPr>
                <w:rFonts w:ascii="Times New Roman" w:hAnsi="Times New Roman"/>
              </w:rPr>
              <w:t>4</w:t>
            </w:r>
            <w:r w:rsidRPr="00E67914">
              <w:rPr>
                <w:rFonts w:ascii="Times New Roman" w:hAnsi="Times New Roman"/>
              </w:rPr>
              <w:t>～</w:t>
            </w:r>
            <w:r w:rsidRPr="00E67914">
              <w:rPr>
                <w:rFonts w:ascii="Times New Roman" w:hAnsi="Times New Roman"/>
              </w:rPr>
              <w:t>6</w:t>
            </w:r>
          </w:p>
        </w:tc>
        <w:tc>
          <w:tcPr>
            <w:tcW w:w="1178" w:type="dxa"/>
            <w:vAlign w:val="center"/>
          </w:tcPr>
          <w:p w14:paraId="1707D501" w14:textId="77777777" w:rsidR="00A54A8A" w:rsidRPr="00E67914" w:rsidRDefault="00000000">
            <w:pPr>
              <w:pStyle w:val="SSEC20150323"/>
              <w:rPr>
                <w:rFonts w:ascii="Times New Roman" w:hAnsi="Times New Roman"/>
              </w:rPr>
            </w:pPr>
            <w:r w:rsidRPr="00E67914">
              <w:rPr>
                <w:rFonts w:ascii="Times New Roman" w:hAnsi="Times New Roman"/>
              </w:rPr>
              <w:t>≤5000</w:t>
            </w:r>
          </w:p>
        </w:tc>
        <w:tc>
          <w:tcPr>
            <w:tcW w:w="1178" w:type="dxa"/>
            <w:vAlign w:val="center"/>
          </w:tcPr>
          <w:p w14:paraId="2283373F" w14:textId="77777777" w:rsidR="00A54A8A" w:rsidRPr="00E67914" w:rsidRDefault="00000000">
            <w:pPr>
              <w:pStyle w:val="SSEC20150323"/>
              <w:rPr>
                <w:rFonts w:ascii="Times New Roman" w:hAnsi="Times New Roman"/>
              </w:rPr>
            </w:pPr>
            <w:r w:rsidRPr="00E67914">
              <w:rPr>
                <w:rFonts w:ascii="Times New Roman" w:hAnsi="Times New Roman"/>
              </w:rPr>
              <w:t>≤7500</w:t>
            </w:r>
          </w:p>
        </w:tc>
        <w:tc>
          <w:tcPr>
            <w:tcW w:w="1178" w:type="dxa"/>
            <w:vAlign w:val="center"/>
          </w:tcPr>
          <w:p w14:paraId="1EEB21FD" w14:textId="77777777" w:rsidR="00A54A8A" w:rsidRPr="00E67914" w:rsidRDefault="00000000">
            <w:pPr>
              <w:pStyle w:val="SSEC20150323"/>
              <w:rPr>
                <w:rFonts w:ascii="Times New Roman" w:hAnsi="Times New Roman"/>
              </w:rPr>
            </w:pPr>
            <w:r w:rsidRPr="00E67914">
              <w:rPr>
                <w:rFonts w:ascii="Times New Roman" w:hAnsi="Times New Roman"/>
              </w:rPr>
              <w:t>≤200</w:t>
            </w:r>
          </w:p>
        </w:tc>
        <w:tc>
          <w:tcPr>
            <w:tcW w:w="1031" w:type="dxa"/>
            <w:vAlign w:val="center"/>
          </w:tcPr>
          <w:p w14:paraId="3D839FEE" w14:textId="77777777" w:rsidR="00A54A8A" w:rsidRPr="00E67914" w:rsidRDefault="00000000">
            <w:pPr>
              <w:pStyle w:val="SSEC20150323"/>
              <w:rPr>
                <w:rFonts w:ascii="Times New Roman" w:hAnsi="Times New Roman"/>
              </w:rPr>
            </w:pPr>
            <w:r w:rsidRPr="00E67914">
              <w:rPr>
                <w:rFonts w:ascii="Times New Roman" w:hAnsi="Times New Roman"/>
              </w:rPr>
              <w:t>≤7.0</w:t>
            </w:r>
          </w:p>
        </w:tc>
        <w:tc>
          <w:tcPr>
            <w:tcW w:w="1259" w:type="dxa"/>
            <w:vAlign w:val="center"/>
          </w:tcPr>
          <w:p w14:paraId="7D9B5010" w14:textId="77777777" w:rsidR="00A54A8A" w:rsidRPr="00E67914" w:rsidRDefault="00000000">
            <w:pPr>
              <w:pStyle w:val="SSEC20150323"/>
              <w:rPr>
                <w:rFonts w:ascii="Times New Roman" w:hAnsi="Times New Roman"/>
              </w:rPr>
            </w:pPr>
            <w:r w:rsidRPr="00E67914">
              <w:rPr>
                <w:rFonts w:ascii="Times New Roman" w:hAnsi="Times New Roman"/>
              </w:rPr>
              <w:t>≤4000</w:t>
            </w:r>
          </w:p>
        </w:tc>
      </w:tr>
    </w:tbl>
    <w:p w14:paraId="3204C69D" w14:textId="77777777" w:rsidR="00A54A8A" w:rsidRPr="00E67914" w:rsidRDefault="00000000">
      <w:pPr>
        <w:spacing w:beforeLines="50" w:before="120" w:line="360" w:lineRule="auto"/>
        <w:ind w:firstLineChars="200" w:firstLine="480"/>
        <w:rPr>
          <w:rFonts w:ascii="Times New Roman" w:hAnsi="Times New Roman"/>
          <w:bCs/>
          <w:sz w:val="24"/>
        </w:rPr>
      </w:pPr>
      <w:r w:rsidRPr="00E67914">
        <w:rPr>
          <w:rFonts w:ascii="Times New Roman" w:hAnsi="Times New Roman"/>
          <w:bCs/>
          <w:sz w:val="24"/>
          <w:lang w:eastAsia="zh-CN"/>
        </w:rPr>
        <w:t>4</w:t>
      </w:r>
      <w:r w:rsidRPr="00E67914">
        <w:rPr>
          <w:rFonts w:ascii="Times New Roman" w:hAnsi="Times New Roman"/>
          <w:bCs/>
          <w:sz w:val="24"/>
          <w:lang w:eastAsia="zh-CN"/>
        </w:rPr>
        <w:t>）</w:t>
      </w:r>
      <w:r w:rsidRPr="00E67914">
        <w:rPr>
          <w:rFonts w:ascii="Times New Roman" w:hAnsi="Times New Roman"/>
          <w:bCs/>
          <w:sz w:val="24"/>
        </w:rPr>
        <w:t>生活污水</w:t>
      </w:r>
    </w:p>
    <w:p w14:paraId="7C444FB2"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钻井期间，一个钻井队的员工一般为</w:t>
      </w:r>
      <w:r w:rsidRPr="00E67914">
        <w:rPr>
          <w:rFonts w:ascii="Times New Roman" w:hAnsi="Times New Roman"/>
          <w:bCs/>
          <w:sz w:val="24"/>
          <w:lang w:eastAsia="zh-CN"/>
        </w:rPr>
        <w:t>45</w:t>
      </w:r>
      <w:r w:rsidRPr="00E67914">
        <w:rPr>
          <w:rFonts w:ascii="Times New Roman" w:hAnsi="Times New Roman"/>
          <w:bCs/>
          <w:sz w:val="24"/>
          <w:lang w:eastAsia="zh-CN"/>
        </w:rPr>
        <w:t>人，每人每天用水量为</w:t>
      </w:r>
      <w:r w:rsidRPr="00E67914">
        <w:rPr>
          <w:rFonts w:ascii="Times New Roman" w:hAnsi="Times New Roman"/>
          <w:bCs/>
          <w:sz w:val="24"/>
          <w:lang w:eastAsia="zh-CN"/>
        </w:rPr>
        <w:t>80L</w:t>
      </w:r>
      <w:r w:rsidRPr="00E67914">
        <w:rPr>
          <w:rFonts w:ascii="Times New Roman" w:hAnsi="Times New Roman"/>
          <w:bCs/>
          <w:sz w:val="24"/>
          <w:lang w:eastAsia="zh-CN"/>
        </w:rPr>
        <w:t>，排污系数为</w:t>
      </w:r>
      <w:r w:rsidRPr="00E67914">
        <w:rPr>
          <w:rFonts w:ascii="Times New Roman" w:hAnsi="Times New Roman"/>
          <w:bCs/>
          <w:sz w:val="24"/>
          <w:lang w:eastAsia="zh-CN"/>
        </w:rPr>
        <w:t>0.8</w:t>
      </w:r>
      <w:r w:rsidRPr="00E67914">
        <w:rPr>
          <w:rFonts w:ascii="Times New Roman" w:hAnsi="Times New Roman"/>
          <w:bCs/>
          <w:sz w:val="24"/>
          <w:lang w:eastAsia="zh-CN"/>
        </w:rPr>
        <w:t>，则钻井期间井场的生活用水量为</w:t>
      </w:r>
      <w:r w:rsidRPr="00E67914">
        <w:rPr>
          <w:rFonts w:ascii="Times New Roman" w:hAnsi="Times New Roman"/>
          <w:bCs/>
          <w:sz w:val="24"/>
          <w:lang w:eastAsia="zh-CN"/>
        </w:rPr>
        <w:t>3600L/d</w:t>
      </w:r>
      <w:r w:rsidRPr="00E67914">
        <w:rPr>
          <w:rFonts w:ascii="Times New Roman" w:hAnsi="Times New Roman"/>
          <w:bCs/>
          <w:sz w:val="24"/>
          <w:lang w:eastAsia="zh-CN"/>
        </w:rPr>
        <w:t>，污水产生量为</w:t>
      </w:r>
      <w:r w:rsidRPr="00E67914">
        <w:rPr>
          <w:rFonts w:ascii="Times New Roman" w:hAnsi="Times New Roman"/>
          <w:bCs/>
          <w:sz w:val="24"/>
          <w:lang w:eastAsia="zh-CN"/>
        </w:rPr>
        <w:t>2880L/d</w:t>
      </w:r>
      <w:r w:rsidRPr="00E67914">
        <w:rPr>
          <w:rFonts w:ascii="Times New Roman" w:hAnsi="Times New Roman"/>
          <w:bCs/>
          <w:sz w:val="24"/>
          <w:lang w:eastAsia="zh-CN"/>
        </w:rPr>
        <w:t>。生活污水经生态厕所收集后定期由密闭罐车拉运至周边生活污水处理厂处理，环境影响较小。本项目生活污水水质情况见下表</w:t>
      </w:r>
      <w:r w:rsidRPr="00E67914">
        <w:rPr>
          <w:rFonts w:ascii="Times New Roman" w:hAnsi="Times New Roman"/>
          <w:bCs/>
          <w:sz w:val="24"/>
          <w:lang w:eastAsia="zh-CN"/>
        </w:rPr>
        <w:t>3.4-5</w:t>
      </w:r>
      <w:r w:rsidRPr="00E67914">
        <w:rPr>
          <w:rFonts w:ascii="Times New Roman" w:hAnsi="Times New Roman"/>
          <w:bCs/>
          <w:sz w:val="24"/>
          <w:lang w:eastAsia="zh-CN"/>
        </w:rPr>
        <w:t>。</w:t>
      </w:r>
    </w:p>
    <w:p w14:paraId="63B2579F"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3.4-5  </w:t>
      </w:r>
      <w:r w:rsidRPr="00E67914">
        <w:rPr>
          <w:rFonts w:ascii="Times New Roman" w:eastAsia="黑体" w:hAnsi="Times New Roman"/>
          <w:sz w:val="21"/>
          <w:szCs w:val="21"/>
          <w:lang w:eastAsia="zh-CN"/>
        </w:rPr>
        <w:t>项目生活污水水质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
        <w:gridCol w:w="841"/>
        <w:gridCol w:w="1501"/>
        <w:gridCol w:w="1370"/>
        <w:gridCol w:w="1371"/>
        <w:gridCol w:w="1371"/>
      </w:tblGrid>
      <w:tr w:rsidR="002662E3" w:rsidRPr="00E67914" w14:paraId="4A7FFF3B" w14:textId="77777777">
        <w:trPr>
          <w:jc w:val="center"/>
        </w:trPr>
        <w:tc>
          <w:tcPr>
            <w:tcW w:w="1894" w:type="dxa"/>
            <w:vAlign w:val="center"/>
          </w:tcPr>
          <w:p w14:paraId="4BD8679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主要污染物名称</w:t>
            </w:r>
          </w:p>
        </w:tc>
        <w:tc>
          <w:tcPr>
            <w:tcW w:w="891" w:type="dxa"/>
            <w:vAlign w:val="center"/>
          </w:tcPr>
          <w:p w14:paraId="480C181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pH</w:t>
            </w:r>
          </w:p>
        </w:tc>
        <w:tc>
          <w:tcPr>
            <w:tcW w:w="1605" w:type="dxa"/>
            <w:vAlign w:val="center"/>
          </w:tcPr>
          <w:p w14:paraId="13047E8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悬浮物</w:t>
            </w:r>
            <w:r w:rsidRPr="00E67914">
              <w:rPr>
                <w:rFonts w:ascii="Times New Roman" w:hAnsi="Times New Roman"/>
                <w:sz w:val="21"/>
                <w:szCs w:val="21"/>
              </w:rPr>
              <w:t>(mg/L)</w:t>
            </w:r>
          </w:p>
        </w:tc>
        <w:tc>
          <w:tcPr>
            <w:tcW w:w="1463" w:type="dxa"/>
            <w:vAlign w:val="center"/>
          </w:tcPr>
          <w:p w14:paraId="2E76AA8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COD(mg/L)</w:t>
            </w:r>
          </w:p>
        </w:tc>
        <w:tc>
          <w:tcPr>
            <w:tcW w:w="1464" w:type="dxa"/>
            <w:vAlign w:val="center"/>
          </w:tcPr>
          <w:p w14:paraId="1979D53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BOD</w:t>
            </w:r>
            <w:r w:rsidRPr="00E67914">
              <w:rPr>
                <w:rFonts w:ascii="Times New Roman" w:hAnsi="Times New Roman"/>
                <w:sz w:val="21"/>
                <w:szCs w:val="21"/>
                <w:vertAlign w:val="subscript"/>
              </w:rPr>
              <w:t>5</w:t>
            </w:r>
            <w:r w:rsidRPr="00E67914">
              <w:rPr>
                <w:rFonts w:ascii="Times New Roman" w:hAnsi="Times New Roman"/>
                <w:sz w:val="21"/>
                <w:szCs w:val="21"/>
              </w:rPr>
              <w:t>(mg/L)</w:t>
            </w:r>
          </w:p>
        </w:tc>
        <w:tc>
          <w:tcPr>
            <w:tcW w:w="1464" w:type="dxa"/>
            <w:vAlign w:val="center"/>
          </w:tcPr>
          <w:p w14:paraId="71F476D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氨氮</w:t>
            </w:r>
            <w:r w:rsidRPr="00E67914">
              <w:rPr>
                <w:rFonts w:ascii="Times New Roman" w:hAnsi="Times New Roman"/>
                <w:sz w:val="21"/>
                <w:szCs w:val="21"/>
              </w:rPr>
              <w:t>(mg/L)</w:t>
            </w:r>
          </w:p>
        </w:tc>
      </w:tr>
      <w:tr w:rsidR="002662E3" w:rsidRPr="00E67914" w14:paraId="780D16B9" w14:textId="77777777">
        <w:trPr>
          <w:jc w:val="center"/>
        </w:trPr>
        <w:tc>
          <w:tcPr>
            <w:tcW w:w="1894" w:type="dxa"/>
            <w:vAlign w:val="center"/>
          </w:tcPr>
          <w:p w14:paraId="2B6F4E4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水质情况</w:t>
            </w:r>
          </w:p>
        </w:tc>
        <w:tc>
          <w:tcPr>
            <w:tcW w:w="891" w:type="dxa"/>
            <w:vAlign w:val="center"/>
          </w:tcPr>
          <w:p w14:paraId="681ADD7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7.0-9.0</w:t>
            </w:r>
          </w:p>
        </w:tc>
        <w:tc>
          <w:tcPr>
            <w:tcW w:w="1605" w:type="dxa"/>
            <w:vAlign w:val="center"/>
          </w:tcPr>
          <w:p w14:paraId="69AE4E9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250-300</w:t>
            </w:r>
          </w:p>
        </w:tc>
        <w:tc>
          <w:tcPr>
            <w:tcW w:w="1463" w:type="dxa"/>
            <w:vAlign w:val="center"/>
          </w:tcPr>
          <w:p w14:paraId="5F0980B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350-400</w:t>
            </w:r>
          </w:p>
        </w:tc>
        <w:tc>
          <w:tcPr>
            <w:tcW w:w="1464" w:type="dxa"/>
            <w:vAlign w:val="center"/>
          </w:tcPr>
          <w:p w14:paraId="0A9CF85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200-250</w:t>
            </w:r>
          </w:p>
        </w:tc>
        <w:tc>
          <w:tcPr>
            <w:tcW w:w="1464" w:type="dxa"/>
            <w:vAlign w:val="center"/>
          </w:tcPr>
          <w:p w14:paraId="42EF794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30-40</w:t>
            </w:r>
          </w:p>
        </w:tc>
      </w:tr>
    </w:tbl>
    <w:p w14:paraId="292DA74D" w14:textId="77777777" w:rsidR="00A54A8A" w:rsidRPr="00E67914" w:rsidRDefault="00000000">
      <w:pPr>
        <w:spacing w:beforeLines="50" w:before="120" w:line="360" w:lineRule="auto"/>
        <w:ind w:firstLineChars="200" w:firstLine="480"/>
        <w:rPr>
          <w:rFonts w:ascii="Times New Roman" w:hAnsi="Times New Roman"/>
          <w:sz w:val="24"/>
        </w:rPr>
      </w:pPr>
      <w:r w:rsidRPr="00E67914">
        <w:rPr>
          <w:rFonts w:ascii="Times New Roman" w:hAnsi="Times New Roman"/>
          <w:sz w:val="24"/>
          <w:lang w:eastAsia="zh-CN"/>
        </w:rPr>
        <w:t>5</w:t>
      </w:r>
      <w:r w:rsidRPr="00E67914">
        <w:rPr>
          <w:rFonts w:ascii="Times New Roman" w:hAnsi="Times New Roman"/>
          <w:sz w:val="24"/>
          <w:lang w:eastAsia="zh-CN"/>
        </w:rPr>
        <w:t>）</w:t>
      </w:r>
      <w:r w:rsidRPr="00E67914">
        <w:rPr>
          <w:rFonts w:ascii="Times New Roman" w:hAnsi="Times New Roman"/>
          <w:sz w:val="24"/>
        </w:rPr>
        <w:t>初期雨水</w:t>
      </w:r>
    </w:p>
    <w:p w14:paraId="5778049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其中钻井期间污水池收集的初期雨水，与钻井废水一同由罐车拉运至赵家坝污水处理站达标后管输至普光</w:t>
      </w:r>
      <w:r w:rsidRPr="00E67914">
        <w:rPr>
          <w:rFonts w:ascii="Times New Roman" w:hAnsi="Times New Roman"/>
          <w:sz w:val="24"/>
          <w:lang w:eastAsia="zh-CN"/>
        </w:rPr>
        <w:t>11</w:t>
      </w:r>
      <w:r w:rsidRPr="00E67914">
        <w:rPr>
          <w:rFonts w:ascii="Times New Roman" w:hAnsi="Times New Roman"/>
          <w:sz w:val="24"/>
          <w:lang w:eastAsia="zh-CN"/>
        </w:rPr>
        <w:t>井回注站回注，不外排。</w:t>
      </w:r>
    </w:p>
    <w:p w14:paraId="325624D3"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井场内四周设排水边沟，井场雨水随四周排水边沟汇至排放口，排放口设监控池，初期雨水收集进入污水池处理。污水池收集的初期雨水同钻井废水一同由罐车拉运至赵家坝污水处理站达标后管输至普光</w:t>
      </w:r>
      <w:r w:rsidRPr="00E67914">
        <w:rPr>
          <w:rFonts w:ascii="Times New Roman" w:hAnsi="Times New Roman"/>
          <w:sz w:val="24"/>
          <w:lang w:eastAsia="zh-CN"/>
        </w:rPr>
        <w:t>11</w:t>
      </w:r>
      <w:r w:rsidRPr="00E67914">
        <w:rPr>
          <w:rFonts w:ascii="Times New Roman" w:hAnsi="Times New Roman"/>
          <w:sz w:val="24"/>
          <w:lang w:eastAsia="zh-CN"/>
        </w:rPr>
        <w:t>井回注站回注，不外排。</w:t>
      </w:r>
    </w:p>
    <w:p w14:paraId="2DCF7D0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初期雨水量按照如下公示计算：</w:t>
      </w:r>
    </w:p>
    <w:p w14:paraId="0BFD6A17" w14:textId="77777777" w:rsidR="00A54A8A" w:rsidRPr="00E67914" w:rsidRDefault="00000000">
      <w:pPr>
        <w:spacing w:line="360" w:lineRule="auto"/>
        <w:ind w:firstLineChars="200" w:firstLine="480"/>
        <w:rPr>
          <w:rFonts w:ascii="Times New Roman" w:hAnsi="Times New Roman"/>
          <w:sz w:val="24"/>
          <w:lang w:val="de-DE" w:eastAsia="zh-CN"/>
        </w:rPr>
      </w:pPr>
      <w:r w:rsidRPr="00E67914">
        <w:rPr>
          <w:rFonts w:ascii="Times New Roman" w:hAnsi="Times New Roman"/>
          <w:sz w:val="24"/>
          <w:lang w:val="de-DE" w:eastAsia="zh-CN"/>
        </w:rPr>
        <w:t>V=q×</w:t>
      </w:r>
      <w:r w:rsidRPr="00E67914">
        <w:rPr>
          <w:rFonts w:ascii="Times New Roman" w:hAnsi="Times New Roman"/>
          <w:sz w:val="24"/>
          <w:lang w:eastAsia="zh-CN"/>
        </w:rPr>
        <w:t>ψ</w:t>
      </w:r>
      <w:r w:rsidRPr="00E67914">
        <w:rPr>
          <w:rFonts w:ascii="Times New Roman" w:hAnsi="Times New Roman"/>
          <w:sz w:val="24"/>
          <w:lang w:val="de-DE" w:eastAsia="zh-CN"/>
        </w:rPr>
        <w:t>×F×t×60÷1000</w:t>
      </w:r>
    </w:p>
    <w:p w14:paraId="13DBAC54" w14:textId="77777777" w:rsidR="00A54A8A" w:rsidRPr="00E67914" w:rsidRDefault="00000000">
      <w:pPr>
        <w:spacing w:line="360" w:lineRule="auto"/>
        <w:ind w:firstLineChars="200" w:firstLine="480"/>
        <w:rPr>
          <w:rFonts w:ascii="Times New Roman" w:hAnsi="Times New Roman"/>
          <w:sz w:val="24"/>
          <w:lang w:val="de-DE" w:eastAsia="zh-CN"/>
        </w:rPr>
      </w:pPr>
      <w:r w:rsidRPr="00E67914">
        <w:rPr>
          <w:rFonts w:ascii="Times New Roman" w:hAnsi="Times New Roman"/>
          <w:sz w:val="24"/>
          <w:lang w:eastAsia="zh-CN"/>
        </w:rPr>
        <w:t>式中</w:t>
      </w:r>
      <w:r w:rsidRPr="00E67914">
        <w:rPr>
          <w:rFonts w:ascii="Times New Roman" w:hAnsi="Times New Roman"/>
          <w:sz w:val="24"/>
          <w:lang w:val="de-DE" w:eastAsia="zh-CN"/>
        </w:rPr>
        <w:t>：</w:t>
      </w:r>
      <w:r w:rsidRPr="00E67914">
        <w:rPr>
          <w:rFonts w:ascii="Times New Roman" w:hAnsi="Times New Roman"/>
          <w:sz w:val="24"/>
          <w:lang w:val="de-DE" w:eastAsia="zh-CN"/>
        </w:rPr>
        <w:t>V-</w:t>
      </w:r>
      <w:r w:rsidRPr="00E67914">
        <w:rPr>
          <w:rFonts w:ascii="Times New Roman" w:hAnsi="Times New Roman"/>
          <w:sz w:val="24"/>
          <w:lang w:eastAsia="zh-CN"/>
        </w:rPr>
        <w:t>初期雨水最大量</w:t>
      </w:r>
      <w:r w:rsidRPr="00E67914">
        <w:rPr>
          <w:rFonts w:ascii="Times New Roman" w:hAnsi="Times New Roman"/>
          <w:sz w:val="24"/>
          <w:lang w:val="de-DE" w:eastAsia="zh-CN"/>
        </w:rPr>
        <w:t>，</w:t>
      </w:r>
      <w:r w:rsidRPr="00E67914">
        <w:rPr>
          <w:rFonts w:ascii="Times New Roman" w:hAnsi="Times New Roman"/>
          <w:sz w:val="24"/>
          <w:lang w:val="de-DE" w:eastAsia="zh-CN"/>
        </w:rPr>
        <w:t>m</w:t>
      </w:r>
      <w:r w:rsidRPr="00E67914">
        <w:rPr>
          <w:rFonts w:ascii="Times New Roman" w:hAnsi="Times New Roman"/>
          <w:sz w:val="24"/>
          <w:vertAlign w:val="superscript"/>
          <w:lang w:val="de-DE" w:eastAsia="zh-CN"/>
        </w:rPr>
        <w:t>3</w:t>
      </w:r>
      <w:r w:rsidRPr="00E67914">
        <w:rPr>
          <w:rFonts w:ascii="Times New Roman" w:hAnsi="Times New Roman"/>
          <w:sz w:val="24"/>
          <w:lang w:val="de-DE" w:eastAsia="zh-CN"/>
        </w:rPr>
        <w:t>；</w:t>
      </w:r>
    </w:p>
    <w:p w14:paraId="6D6EE04A"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val="de-DE" w:eastAsia="zh-CN"/>
        </w:rPr>
        <w:t xml:space="preserve">      </w:t>
      </w:r>
      <w:r w:rsidRPr="00E67914">
        <w:rPr>
          <w:rFonts w:ascii="Times New Roman" w:hAnsi="Times New Roman"/>
          <w:sz w:val="24"/>
          <w:lang w:eastAsia="zh-CN"/>
        </w:rPr>
        <w:t>t-</w:t>
      </w:r>
      <w:r w:rsidRPr="00E67914">
        <w:rPr>
          <w:rFonts w:ascii="Times New Roman" w:hAnsi="Times New Roman"/>
          <w:sz w:val="24"/>
          <w:lang w:eastAsia="zh-CN"/>
        </w:rPr>
        <w:t>降雨历时，</w:t>
      </w:r>
      <w:r w:rsidRPr="00E67914">
        <w:rPr>
          <w:rFonts w:ascii="Times New Roman" w:hAnsi="Times New Roman"/>
          <w:sz w:val="24"/>
          <w:lang w:eastAsia="zh-CN"/>
        </w:rPr>
        <w:t>min</w:t>
      </w:r>
      <w:r w:rsidRPr="00E67914">
        <w:rPr>
          <w:rFonts w:ascii="Times New Roman" w:hAnsi="Times New Roman"/>
          <w:sz w:val="24"/>
          <w:lang w:eastAsia="zh-CN"/>
        </w:rPr>
        <w:t>；</w:t>
      </w:r>
    </w:p>
    <w:p w14:paraId="519F658D"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ψ-</w:t>
      </w:r>
      <w:r w:rsidRPr="00E67914">
        <w:rPr>
          <w:rFonts w:ascii="Times New Roman" w:hAnsi="Times New Roman"/>
          <w:sz w:val="24"/>
          <w:lang w:eastAsia="zh-CN"/>
        </w:rPr>
        <w:t>径流系数，取</w:t>
      </w:r>
      <w:r w:rsidRPr="00E67914">
        <w:rPr>
          <w:rFonts w:ascii="Times New Roman" w:hAnsi="Times New Roman"/>
          <w:sz w:val="24"/>
          <w:lang w:eastAsia="zh-CN"/>
        </w:rPr>
        <w:t>0.85</w:t>
      </w:r>
      <w:r w:rsidRPr="00E67914">
        <w:rPr>
          <w:rFonts w:ascii="Times New Roman" w:hAnsi="Times New Roman"/>
          <w:sz w:val="24"/>
          <w:lang w:eastAsia="zh-CN"/>
        </w:rPr>
        <w:t>；</w:t>
      </w:r>
    </w:p>
    <w:p w14:paraId="6B07B700"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F-</w:t>
      </w:r>
      <w:r w:rsidRPr="00E67914">
        <w:rPr>
          <w:rFonts w:ascii="Times New Roman" w:hAnsi="Times New Roman"/>
          <w:sz w:val="24"/>
          <w:lang w:eastAsia="zh-CN"/>
        </w:rPr>
        <w:t>汇水面积，</w:t>
      </w:r>
      <w:r w:rsidRPr="00E67914">
        <w:rPr>
          <w:rFonts w:ascii="Times New Roman" w:hAnsi="Times New Roman"/>
          <w:sz w:val="24"/>
          <w:lang w:eastAsia="zh-CN"/>
        </w:rPr>
        <w:t>hm</w:t>
      </w:r>
      <w:r w:rsidRPr="00E67914">
        <w:rPr>
          <w:rFonts w:ascii="Times New Roman" w:hAnsi="Times New Roman"/>
          <w:sz w:val="24"/>
          <w:vertAlign w:val="superscript"/>
          <w:lang w:eastAsia="zh-CN"/>
        </w:rPr>
        <w:t>2</w:t>
      </w:r>
      <w:r w:rsidRPr="00E67914">
        <w:rPr>
          <w:rFonts w:ascii="Times New Roman" w:hAnsi="Times New Roman"/>
          <w:sz w:val="24"/>
          <w:lang w:eastAsia="zh-CN"/>
        </w:rPr>
        <w:t>，本次计算整个施工井场内部占地面积，按</w:t>
      </w:r>
      <w:r w:rsidRPr="00E67914">
        <w:rPr>
          <w:rFonts w:ascii="Times New Roman" w:hAnsi="Times New Roman"/>
          <w:sz w:val="24"/>
          <w:lang w:eastAsia="zh-CN"/>
        </w:rPr>
        <w:t>6000m</w:t>
      </w:r>
      <w:r w:rsidRPr="00E67914">
        <w:rPr>
          <w:rFonts w:ascii="Times New Roman" w:hAnsi="Times New Roman"/>
          <w:sz w:val="24"/>
          <w:vertAlign w:val="superscript"/>
          <w:lang w:eastAsia="zh-CN"/>
        </w:rPr>
        <w:t>2</w:t>
      </w:r>
      <w:r w:rsidRPr="00E67914">
        <w:rPr>
          <w:rFonts w:ascii="Times New Roman" w:hAnsi="Times New Roman"/>
          <w:sz w:val="24"/>
          <w:lang w:eastAsia="zh-CN"/>
        </w:rPr>
        <w:t>计，即</w:t>
      </w:r>
      <w:r w:rsidRPr="00E67914">
        <w:rPr>
          <w:rFonts w:ascii="Times New Roman" w:hAnsi="Times New Roman"/>
          <w:sz w:val="24"/>
          <w:lang w:eastAsia="zh-CN"/>
        </w:rPr>
        <w:t>0.6hm</w:t>
      </w:r>
      <w:r w:rsidRPr="00E67914">
        <w:rPr>
          <w:rFonts w:ascii="Times New Roman" w:hAnsi="Times New Roman"/>
          <w:sz w:val="24"/>
          <w:vertAlign w:val="superscript"/>
          <w:lang w:eastAsia="zh-CN"/>
        </w:rPr>
        <w:t>2</w:t>
      </w:r>
      <w:r w:rsidRPr="00E67914">
        <w:rPr>
          <w:rFonts w:ascii="Times New Roman" w:hAnsi="Times New Roman"/>
          <w:sz w:val="24"/>
          <w:lang w:eastAsia="zh-CN"/>
        </w:rPr>
        <w:t>。</w:t>
      </w:r>
    </w:p>
    <w:p w14:paraId="2204609B"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q-</w:t>
      </w:r>
      <w:r w:rsidRPr="00E67914">
        <w:rPr>
          <w:rFonts w:ascii="Times New Roman" w:hAnsi="Times New Roman"/>
          <w:sz w:val="24"/>
          <w:lang w:eastAsia="zh-CN"/>
        </w:rPr>
        <w:t>设计暴雨强度，</w:t>
      </w:r>
      <w:r w:rsidRPr="00E67914">
        <w:rPr>
          <w:rFonts w:ascii="Times New Roman" w:hAnsi="Times New Roman"/>
          <w:sz w:val="24"/>
          <w:lang w:eastAsia="zh-CN"/>
        </w:rPr>
        <w:t>L/</w:t>
      </w:r>
      <w:r w:rsidRPr="00E67914">
        <w:rPr>
          <w:rFonts w:ascii="Times New Roman" w:hAnsi="Times New Roman"/>
          <w:sz w:val="24"/>
          <w:lang w:eastAsia="zh-CN"/>
        </w:rPr>
        <w:t>（</w:t>
      </w:r>
      <w:r w:rsidRPr="00E67914">
        <w:rPr>
          <w:rFonts w:ascii="Times New Roman" w:hAnsi="Times New Roman"/>
          <w:sz w:val="24"/>
          <w:lang w:eastAsia="zh-CN"/>
        </w:rPr>
        <w:t>s·hm</w:t>
      </w:r>
      <w:r w:rsidRPr="00E67914">
        <w:rPr>
          <w:rFonts w:ascii="Times New Roman" w:hAnsi="Times New Roman"/>
          <w:sz w:val="24"/>
          <w:vertAlign w:val="superscript"/>
          <w:lang w:eastAsia="zh-CN"/>
        </w:rPr>
        <w:t>2</w:t>
      </w:r>
      <w:r w:rsidRPr="00E67914">
        <w:rPr>
          <w:rFonts w:ascii="Times New Roman" w:hAnsi="Times New Roman"/>
          <w:sz w:val="24"/>
          <w:lang w:eastAsia="zh-CN"/>
        </w:rPr>
        <w:t>）。</w:t>
      </w:r>
    </w:p>
    <w:p w14:paraId="1CFAD97A"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设计暴雨强度公式如下：</w:t>
      </w:r>
    </w:p>
    <w:p w14:paraId="5E75D584" w14:textId="77777777" w:rsidR="00A54A8A" w:rsidRPr="00E67914" w:rsidRDefault="00000000">
      <w:pPr>
        <w:spacing w:line="360" w:lineRule="auto"/>
        <w:ind w:firstLineChars="200" w:firstLine="480"/>
        <w:rPr>
          <w:rFonts w:ascii="Times New Roman" w:hAnsi="Times New Roman"/>
          <w:sz w:val="24"/>
          <w:lang w:eastAsia="zh-CN"/>
        </w:rPr>
      </w:pPr>
      <m:oMathPara>
        <m:oMath>
          <m:r>
            <w:rPr>
              <w:rFonts w:ascii="Cambria Math" w:hAnsi="Cambria Math"/>
              <w:sz w:val="24"/>
              <w:lang w:eastAsia="zh-CN"/>
            </w:rPr>
            <w:lastRenderedPageBreak/>
            <m:t>q=</m:t>
          </m:r>
          <m:f>
            <m:fPr>
              <m:ctrlPr>
                <w:rPr>
                  <w:rFonts w:ascii="Cambria Math" w:hAnsi="Cambria Math"/>
                  <w:i/>
                  <w:sz w:val="24"/>
                  <w:lang w:eastAsia="zh-CN"/>
                </w:rPr>
              </m:ctrlPr>
            </m:fPr>
            <m:num>
              <m:r>
                <w:rPr>
                  <w:rFonts w:ascii="Cambria Math" w:hAnsi="Cambria Math"/>
                  <w:sz w:val="24"/>
                  <w:lang w:eastAsia="zh-CN"/>
                </w:rPr>
                <m:t>928.799</m:t>
              </m:r>
              <m:r>
                <w:rPr>
                  <w:rFonts w:ascii="Cambria Math" w:hAnsi="Cambria Math"/>
                  <w:sz w:val="24"/>
                  <w:lang w:eastAsia="zh-CN"/>
                </w:rPr>
                <m:t>（</m:t>
              </m:r>
              <m:r>
                <w:rPr>
                  <w:rFonts w:ascii="Cambria Math" w:hAnsi="Cambria Math"/>
                  <w:sz w:val="24"/>
                  <w:lang w:eastAsia="zh-CN"/>
                </w:rPr>
                <m:t>1+0.818LgP)</m:t>
              </m:r>
            </m:num>
            <m:den>
              <m:r>
                <w:rPr>
                  <w:rFonts w:ascii="Cambria Math" w:hAnsi="Cambria Math"/>
                  <w:sz w:val="24"/>
                  <w:lang w:eastAsia="zh-CN"/>
                </w:rPr>
                <m:t>(t+5.788</m:t>
              </m:r>
              <m:sSup>
                <m:sSupPr>
                  <m:ctrlPr>
                    <w:rPr>
                      <w:rFonts w:ascii="Cambria Math" w:hAnsi="Cambria Math"/>
                      <w:i/>
                      <w:sz w:val="24"/>
                      <w:lang w:eastAsia="zh-CN"/>
                    </w:rPr>
                  </m:ctrlPr>
                </m:sSupPr>
                <m:e>
                  <m:r>
                    <w:rPr>
                      <w:rFonts w:ascii="Cambria Math" w:hAnsi="Cambria Math"/>
                      <w:sz w:val="24"/>
                      <w:lang w:eastAsia="zh-CN"/>
                    </w:rPr>
                    <m:t>)</m:t>
                  </m:r>
                </m:e>
                <m:sup>
                  <m:r>
                    <w:rPr>
                      <w:rFonts w:ascii="Cambria Math" w:hAnsi="Cambria Math"/>
                      <w:sz w:val="24"/>
                      <w:lang w:eastAsia="zh-CN"/>
                    </w:rPr>
                    <m:t>0.565</m:t>
                  </m:r>
                </m:sup>
              </m:sSup>
            </m:den>
          </m:f>
        </m:oMath>
      </m:oMathPara>
    </w:p>
    <w:p w14:paraId="1318BEB4"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式中：</w:t>
      </w:r>
    </w:p>
    <w:p w14:paraId="3758BA0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q-</w:t>
      </w:r>
      <w:r w:rsidRPr="00E67914">
        <w:rPr>
          <w:rFonts w:ascii="Times New Roman" w:hAnsi="Times New Roman"/>
          <w:sz w:val="24"/>
          <w:lang w:eastAsia="zh-CN"/>
        </w:rPr>
        <w:t>设计暴雨强度，</w:t>
      </w:r>
      <w:r w:rsidRPr="00E67914">
        <w:rPr>
          <w:rFonts w:ascii="Times New Roman" w:hAnsi="Times New Roman"/>
          <w:sz w:val="24"/>
          <w:lang w:eastAsia="zh-CN"/>
        </w:rPr>
        <w:t>L/</w:t>
      </w:r>
      <w:r w:rsidRPr="00E67914">
        <w:rPr>
          <w:rFonts w:ascii="Times New Roman" w:hAnsi="Times New Roman"/>
          <w:sz w:val="24"/>
          <w:lang w:eastAsia="zh-CN"/>
        </w:rPr>
        <w:t>（</w:t>
      </w:r>
      <w:r w:rsidRPr="00E67914">
        <w:rPr>
          <w:rFonts w:ascii="Times New Roman" w:hAnsi="Times New Roman"/>
          <w:sz w:val="24"/>
          <w:lang w:eastAsia="zh-CN"/>
        </w:rPr>
        <w:t>s·hm</w:t>
      </w:r>
      <w:r w:rsidRPr="00E67914">
        <w:rPr>
          <w:rFonts w:ascii="Times New Roman" w:hAnsi="Times New Roman"/>
          <w:sz w:val="24"/>
          <w:vertAlign w:val="superscript"/>
          <w:lang w:eastAsia="zh-CN"/>
        </w:rPr>
        <w:t>2</w:t>
      </w:r>
      <w:r w:rsidRPr="00E67914">
        <w:rPr>
          <w:rFonts w:ascii="Times New Roman" w:hAnsi="Times New Roman"/>
          <w:sz w:val="24"/>
          <w:lang w:eastAsia="zh-CN"/>
        </w:rPr>
        <w:t>）；</w:t>
      </w:r>
    </w:p>
    <w:p w14:paraId="61E6B3E7"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 xml:space="preserve">      p-</w:t>
      </w:r>
      <w:r w:rsidRPr="00E67914">
        <w:rPr>
          <w:rFonts w:ascii="Times New Roman" w:hAnsi="Times New Roman"/>
          <w:sz w:val="24"/>
          <w:lang w:eastAsia="zh-CN"/>
        </w:rPr>
        <w:t>设计暴雨重现期（年）：本次取值为</w:t>
      </w:r>
      <w:r w:rsidRPr="00E67914">
        <w:rPr>
          <w:rFonts w:ascii="Times New Roman" w:hAnsi="Times New Roman"/>
          <w:sz w:val="24"/>
          <w:lang w:eastAsia="zh-CN"/>
        </w:rPr>
        <w:t>2</w:t>
      </w:r>
      <w:r w:rsidRPr="00E67914">
        <w:rPr>
          <w:rFonts w:ascii="Times New Roman" w:hAnsi="Times New Roman"/>
          <w:sz w:val="24"/>
          <w:lang w:eastAsia="zh-CN"/>
        </w:rPr>
        <w:t>年；</w:t>
      </w:r>
    </w:p>
    <w:p w14:paraId="6A9098AE"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 xml:space="preserve">      t-</w:t>
      </w:r>
      <w:r w:rsidRPr="00E67914">
        <w:rPr>
          <w:rFonts w:ascii="Times New Roman" w:hAnsi="Times New Roman"/>
          <w:sz w:val="24"/>
          <w:lang w:eastAsia="zh-CN"/>
        </w:rPr>
        <w:t>降雨历时（</w:t>
      </w:r>
      <w:r w:rsidRPr="00E67914">
        <w:rPr>
          <w:rFonts w:ascii="Times New Roman" w:hAnsi="Times New Roman"/>
          <w:sz w:val="24"/>
          <w:lang w:eastAsia="zh-CN"/>
        </w:rPr>
        <w:t>min</w:t>
      </w:r>
      <w:r w:rsidRPr="00E67914">
        <w:rPr>
          <w:rFonts w:ascii="Times New Roman" w:hAnsi="Times New Roman"/>
          <w:sz w:val="24"/>
          <w:lang w:eastAsia="zh-CN"/>
        </w:rPr>
        <w:t>）：取</w:t>
      </w:r>
      <w:r w:rsidRPr="00E67914">
        <w:rPr>
          <w:rFonts w:ascii="Times New Roman" w:hAnsi="Times New Roman"/>
          <w:sz w:val="24"/>
          <w:lang w:eastAsia="zh-CN"/>
        </w:rPr>
        <w:t>15min</w:t>
      </w:r>
      <w:r w:rsidRPr="00E67914">
        <w:rPr>
          <w:rFonts w:ascii="Times New Roman" w:hAnsi="Times New Roman"/>
          <w:sz w:val="24"/>
          <w:lang w:eastAsia="zh-CN"/>
        </w:rPr>
        <w:t>。</w:t>
      </w:r>
    </w:p>
    <w:p w14:paraId="483E3D67"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经计算，本项目</w:t>
      </w:r>
      <w:r w:rsidRPr="00E67914">
        <w:rPr>
          <w:rFonts w:ascii="Times New Roman" w:hAnsi="Times New Roman"/>
          <w:sz w:val="24"/>
          <w:lang w:eastAsia="zh-CN"/>
        </w:rPr>
        <w:t>15min</w:t>
      </w:r>
      <w:r w:rsidRPr="00E67914">
        <w:rPr>
          <w:rFonts w:ascii="Times New Roman" w:hAnsi="Times New Roman"/>
          <w:sz w:val="24"/>
          <w:lang w:eastAsia="zh-CN"/>
        </w:rPr>
        <w:t>初期雨水产生量约为</w:t>
      </w:r>
      <w:r w:rsidRPr="00E67914">
        <w:rPr>
          <w:rFonts w:ascii="Times New Roman" w:hAnsi="Times New Roman"/>
          <w:sz w:val="24"/>
          <w:lang w:eastAsia="zh-CN"/>
        </w:rPr>
        <w:t>195.53m</w:t>
      </w:r>
      <w:r w:rsidRPr="00E67914">
        <w:rPr>
          <w:rFonts w:ascii="Times New Roman" w:hAnsi="Times New Roman"/>
          <w:sz w:val="24"/>
          <w:vertAlign w:val="superscript"/>
          <w:lang w:eastAsia="zh-CN"/>
        </w:rPr>
        <w:t>3</w:t>
      </w:r>
      <w:r w:rsidRPr="00E67914">
        <w:rPr>
          <w:rFonts w:ascii="Times New Roman" w:hAnsi="Times New Roman"/>
          <w:sz w:val="24"/>
          <w:lang w:eastAsia="zh-CN"/>
        </w:rPr>
        <w:t>/</w:t>
      </w:r>
      <w:r w:rsidRPr="00E67914">
        <w:rPr>
          <w:rFonts w:ascii="Times New Roman" w:hAnsi="Times New Roman"/>
          <w:sz w:val="24"/>
          <w:lang w:eastAsia="zh-CN"/>
        </w:rPr>
        <w:t>次。</w:t>
      </w:r>
    </w:p>
    <w:p w14:paraId="16C66B5E"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井场实行雨污分流，井场外四周设排水边沟，井外雨水不得进入井场，井场内四周设内排水边，井场雨水随内排水沟汇至排放口，排放口设监控池，初期雨水收集后同钻井废水一同拉运至赵家坝污水处理站达标后管输至普光</w:t>
      </w:r>
      <w:r w:rsidRPr="00E67914">
        <w:rPr>
          <w:rFonts w:ascii="Times New Roman" w:hAnsi="Times New Roman"/>
          <w:sz w:val="24"/>
          <w:lang w:eastAsia="zh-CN"/>
        </w:rPr>
        <w:t>11</w:t>
      </w:r>
      <w:r w:rsidRPr="00E67914">
        <w:rPr>
          <w:rFonts w:ascii="Times New Roman" w:hAnsi="Times New Roman"/>
          <w:sz w:val="24"/>
          <w:lang w:eastAsia="zh-CN"/>
        </w:rPr>
        <w:t>井回注站回注，不外排，后期雨水水质清洁后可直接外排。</w:t>
      </w:r>
    </w:p>
    <w:p w14:paraId="5511AB8C" w14:textId="77777777" w:rsidR="00A54A8A" w:rsidRPr="00E67914" w:rsidRDefault="00000000">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3</w:t>
      </w:r>
      <w:r w:rsidRPr="00E67914">
        <w:rPr>
          <w:rFonts w:ascii="Times New Roman" w:hAnsi="Times New Roman"/>
          <w:b/>
          <w:bCs/>
          <w:sz w:val="24"/>
          <w:szCs w:val="24"/>
          <w:lang w:eastAsia="zh-CN"/>
        </w:rPr>
        <w:t>）噪声</w:t>
      </w:r>
    </w:p>
    <w:p w14:paraId="21EEEEC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本项目井场噪声分布区域主要分为动力及钻台区、泥浆泵区和泥浆不落地区、压裂作业区等，其主要噪声设备有：</w:t>
      </w:r>
    </w:p>
    <w:p w14:paraId="664A343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机械噪声组：包括柴油机组、发电机组、钻机、泥浆泵以及其他种机械转动所产生的噪声；</w:t>
      </w:r>
    </w:p>
    <w:p w14:paraId="47C2BEA2"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作业噪声：包括固井作业、下套管、起下钻具、钻机气路控制系统操作时快速放气阀放气、跳钻时吊环与水龙头的撞击等所产生的噪声；</w:t>
      </w:r>
    </w:p>
    <w:p w14:paraId="151828B7"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③</w:t>
      </w:r>
      <w:r w:rsidRPr="00E67914">
        <w:rPr>
          <w:rFonts w:ascii="Times New Roman" w:hAnsi="Times New Roman"/>
          <w:sz w:val="24"/>
          <w:lang w:eastAsia="zh-CN"/>
        </w:rPr>
        <w:t>事故放喷噪声：事故放喷时产生的高压气流噪声。</w:t>
      </w:r>
    </w:p>
    <w:p w14:paraId="5ADEC27B"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本项目优先使用网电，备用柴油发电机仅在供电不正常时使用，使用时间短，为偶尔间断使用，但其噪声源强大。因此对声环境影响大的主要为钻井过程中使用备用的柴油动力机、柴油发电机间断运行噪声，以及</w:t>
      </w:r>
      <w:r w:rsidRPr="00E67914">
        <w:rPr>
          <w:rFonts w:ascii="Times New Roman" w:hAnsi="Times New Roman"/>
          <w:sz w:val="24"/>
          <w:lang w:eastAsia="zh-CN"/>
        </w:rPr>
        <w:t>24</w:t>
      </w:r>
      <w:r w:rsidRPr="00E67914">
        <w:rPr>
          <w:rFonts w:ascii="Times New Roman" w:hAnsi="Times New Roman"/>
          <w:sz w:val="24"/>
          <w:lang w:eastAsia="zh-CN"/>
        </w:rPr>
        <w:t>小时钻井时钻机等设备的运行产生较大的连续性噪声，本项目钻井采用</w:t>
      </w:r>
      <w:r w:rsidRPr="00E67914">
        <w:rPr>
          <w:rFonts w:ascii="Times New Roman" w:hAnsi="Times New Roman"/>
          <w:sz w:val="24"/>
          <w:lang w:eastAsia="zh-CN"/>
        </w:rPr>
        <w:t>ZJ50</w:t>
      </w:r>
      <w:r w:rsidRPr="00E67914">
        <w:rPr>
          <w:rFonts w:ascii="Times New Roman" w:hAnsi="Times New Roman"/>
          <w:sz w:val="24"/>
          <w:lang w:eastAsia="zh-CN"/>
        </w:rPr>
        <w:t>型钻机，根据类比调查，钻井工程主要噪声源设备噪声值见表</w:t>
      </w:r>
      <w:r w:rsidRPr="00E67914">
        <w:rPr>
          <w:rFonts w:ascii="Times New Roman" w:hAnsi="Times New Roman"/>
          <w:sz w:val="24"/>
          <w:lang w:eastAsia="zh-CN"/>
        </w:rPr>
        <w:t>3.4-6</w:t>
      </w:r>
      <w:r w:rsidRPr="00E67914">
        <w:rPr>
          <w:rFonts w:ascii="Times New Roman" w:hAnsi="Times New Roman"/>
          <w:sz w:val="24"/>
          <w:lang w:eastAsia="zh-CN"/>
        </w:rPr>
        <w:t>。</w:t>
      </w:r>
    </w:p>
    <w:p w14:paraId="2ED7C5E5"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3.4-6  </w:t>
      </w:r>
      <w:r w:rsidRPr="00E67914">
        <w:rPr>
          <w:rFonts w:ascii="Times New Roman" w:eastAsia="黑体" w:hAnsi="Times New Roman"/>
          <w:sz w:val="21"/>
          <w:szCs w:val="21"/>
          <w:lang w:eastAsia="zh-CN"/>
        </w:rPr>
        <w:t>项目钻井工程主要噪声源设备噪声值表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84"/>
        <w:gridCol w:w="1028"/>
        <w:gridCol w:w="993"/>
        <w:gridCol w:w="992"/>
        <w:gridCol w:w="1134"/>
        <w:gridCol w:w="845"/>
        <w:gridCol w:w="856"/>
        <w:gridCol w:w="993"/>
        <w:gridCol w:w="997"/>
      </w:tblGrid>
      <w:tr w:rsidR="002662E3" w:rsidRPr="00E67914" w14:paraId="11C05145" w14:textId="77777777">
        <w:trPr>
          <w:jc w:val="center"/>
        </w:trPr>
        <w:tc>
          <w:tcPr>
            <w:tcW w:w="384" w:type="dxa"/>
            <w:vAlign w:val="center"/>
          </w:tcPr>
          <w:p w14:paraId="26CFBA8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阶段</w:t>
            </w:r>
          </w:p>
        </w:tc>
        <w:tc>
          <w:tcPr>
            <w:tcW w:w="1028" w:type="dxa"/>
            <w:vAlign w:val="center"/>
          </w:tcPr>
          <w:p w14:paraId="0A33D32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噪声设备</w:t>
            </w:r>
          </w:p>
        </w:tc>
        <w:tc>
          <w:tcPr>
            <w:tcW w:w="993" w:type="dxa"/>
            <w:vAlign w:val="center"/>
          </w:tcPr>
          <w:p w14:paraId="0138D15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数量</w:t>
            </w:r>
          </w:p>
        </w:tc>
        <w:tc>
          <w:tcPr>
            <w:tcW w:w="992" w:type="dxa"/>
            <w:vAlign w:val="center"/>
          </w:tcPr>
          <w:p w14:paraId="7BC3E3B3"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单台源强</w:t>
            </w:r>
            <w:r w:rsidRPr="00E67914">
              <w:rPr>
                <w:rFonts w:ascii="Times New Roman" w:hAnsi="Times New Roman"/>
                <w:sz w:val="21"/>
                <w:szCs w:val="21"/>
                <w:lang w:eastAsia="zh-CN"/>
              </w:rPr>
              <w:t>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r w:rsidRPr="00E67914">
              <w:rPr>
                <w:rFonts w:ascii="Times New Roman" w:hAnsi="Times New Roman"/>
                <w:sz w:val="21"/>
                <w:szCs w:val="21"/>
                <w:lang w:eastAsia="zh-CN"/>
              </w:rPr>
              <w:t>1m</w:t>
            </w:r>
            <w:r w:rsidRPr="00E67914">
              <w:rPr>
                <w:rFonts w:ascii="Times New Roman" w:hAnsi="Times New Roman"/>
                <w:sz w:val="21"/>
                <w:szCs w:val="21"/>
                <w:lang w:eastAsia="zh-CN"/>
              </w:rPr>
              <w:t>处）</w:t>
            </w:r>
          </w:p>
        </w:tc>
        <w:tc>
          <w:tcPr>
            <w:tcW w:w="1134" w:type="dxa"/>
            <w:vAlign w:val="center"/>
          </w:tcPr>
          <w:p w14:paraId="250335D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采取的降噪措施</w:t>
            </w:r>
          </w:p>
        </w:tc>
        <w:tc>
          <w:tcPr>
            <w:tcW w:w="845" w:type="dxa"/>
            <w:vAlign w:val="center"/>
          </w:tcPr>
          <w:p w14:paraId="0735B9E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降噪后源强</w:t>
            </w:r>
          </w:p>
        </w:tc>
        <w:tc>
          <w:tcPr>
            <w:tcW w:w="856" w:type="dxa"/>
            <w:vAlign w:val="center"/>
          </w:tcPr>
          <w:p w14:paraId="33296DE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噪声特征</w:t>
            </w:r>
          </w:p>
        </w:tc>
        <w:tc>
          <w:tcPr>
            <w:tcW w:w="993" w:type="dxa"/>
            <w:vAlign w:val="center"/>
          </w:tcPr>
          <w:p w14:paraId="5769ACA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排放时间</w:t>
            </w:r>
          </w:p>
        </w:tc>
        <w:tc>
          <w:tcPr>
            <w:tcW w:w="997" w:type="dxa"/>
            <w:vAlign w:val="center"/>
          </w:tcPr>
          <w:p w14:paraId="0C1160E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声源种类</w:t>
            </w:r>
          </w:p>
        </w:tc>
      </w:tr>
      <w:tr w:rsidR="002662E3" w:rsidRPr="00E67914" w14:paraId="3FED78D7" w14:textId="77777777">
        <w:trPr>
          <w:jc w:val="center"/>
        </w:trPr>
        <w:tc>
          <w:tcPr>
            <w:tcW w:w="384" w:type="dxa"/>
            <w:vMerge w:val="restart"/>
            <w:vAlign w:val="center"/>
          </w:tcPr>
          <w:p w14:paraId="19FA907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网电工况</w:t>
            </w:r>
          </w:p>
        </w:tc>
        <w:tc>
          <w:tcPr>
            <w:tcW w:w="1028" w:type="dxa"/>
            <w:vAlign w:val="center"/>
          </w:tcPr>
          <w:p w14:paraId="3C86161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钻井设备</w:t>
            </w:r>
          </w:p>
        </w:tc>
        <w:tc>
          <w:tcPr>
            <w:tcW w:w="993" w:type="dxa"/>
            <w:vAlign w:val="center"/>
          </w:tcPr>
          <w:p w14:paraId="7F0AC59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r w:rsidRPr="00E67914">
              <w:rPr>
                <w:rFonts w:ascii="Times New Roman" w:hAnsi="Times New Roman"/>
                <w:sz w:val="21"/>
                <w:szCs w:val="21"/>
              </w:rPr>
              <w:t>套</w:t>
            </w:r>
          </w:p>
        </w:tc>
        <w:tc>
          <w:tcPr>
            <w:tcW w:w="992" w:type="dxa"/>
            <w:vAlign w:val="center"/>
          </w:tcPr>
          <w:p w14:paraId="5B4B7CD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95</w:t>
            </w:r>
            <w:r w:rsidRPr="00E67914">
              <w:rPr>
                <w:rFonts w:ascii="Times New Roman" w:hAnsi="Times New Roman"/>
                <w:sz w:val="21"/>
                <w:szCs w:val="21"/>
              </w:rPr>
              <w:t>～</w:t>
            </w:r>
            <w:r w:rsidRPr="00E67914">
              <w:rPr>
                <w:rFonts w:ascii="Times New Roman" w:hAnsi="Times New Roman"/>
                <w:sz w:val="21"/>
                <w:szCs w:val="21"/>
              </w:rPr>
              <w:t>103</w:t>
            </w:r>
          </w:p>
        </w:tc>
        <w:tc>
          <w:tcPr>
            <w:tcW w:w="1134" w:type="dxa"/>
            <w:vMerge w:val="restart"/>
            <w:vAlign w:val="center"/>
          </w:tcPr>
          <w:p w14:paraId="7A00FA2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置于钻井井场内，基础安装减振垫层</w:t>
            </w:r>
          </w:p>
        </w:tc>
        <w:tc>
          <w:tcPr>
            <w:tcW w:w="845" w:type="dxa"/>
            <w:vAlign w:val="center"/>
          </w:tcPr>
          <w:p w14:paraId="12889C6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93</w:t>
            </w:r>
            <w:r w:rsidRPr="00E67914">
              <w:rPr>
                <w:rFonts w:ascii="Times New Roman" w:hAnsi="Times New Roman"/>
                <w:sz w:val="21"/>
                <w:szCs w:val="21"/>
              </w:rPr>
              <w:t>～</w:t>
            </w:r>
            <w:r w:rsidRPr="00E67914">
              <w:rPr>
                <w:rFonts w:ascii="Times New Roman" w:hAnsi="Times New Roman"/>
                <w:sz w:val="21"/>
                <w:szCs w:val="21"/>
              </w:rPr>
              <w:t>98</w:t>
            </w:r>
          </w:p>
        </w:tc>
        <w:tc>
          <w:tcPr>
            <w:tcW w:w="856" w:type="dxa"/>
            <w:vAlign w:val="center"/>
          </w:tcPr>
          <w:p w14:paraId="1DE5022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机械</w:t>
            </w:r>
          </w:p>
        </w:tc>
        <w:tc>
          <w:tcPr>
            <w:tcW w:w="993" w:type="dxa"/>
            <w:vAlign w:val="center"/>
          </w:tcPr>
          <w:p w14:paraId="7590206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c>
          <w:tcPr>
            <w:tcW w:w="997" w:type="dxa"/>
            <w:vAlign w:val="center"/>
          </w:tcPr>
          <w:p w14:paraId="3537FCE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固定声源</w:t>
            </w:r>
          </w:p>
        </w:tc>
      </w:tr>
      <w:tr w:rsidR="002662E3" w:rsidRPr="00E67914" w14:paraId="62B235CD" w14:textId="77777777">
        <w:trPr>
          <w:jc w:val="center"/>
        </w:trPr>
        <w:tc>
          <w:tcPr>
            <w:tcW w:w="384" w:type="dxa"/>
            <w:vMerge/>
            <w:vAlign w:val="center"/>
          </w:tcPr>
          <w:p w14:paraId="1441AAEC" w14:textId="77777777" w:rsidR="00A54A8A" w:rsidRPr="00E67914" w:rsidRDefault="00A54A8A">
            <w:pPr>
              <w:adjustRightInd w:val="0"/>
              <w:snapToGrid w:val="0"/>
              <w:jc w:val="center"/>
              <w:rPr>
                <w:rFonts w:ascii="Times New Roman" w:hAnsi="Times New Roman"/>
                <w:sz w:val="21"/>
                <w:szCs w:val="21"/>
              </w:rPr>
            </w:pPr>
          </w:p>
        </w:tc>
        <w:tc>
          <w:tcPr>
            <w:tcW w:w="1028" w:type="dxa"/>
            <w:vAlign w:val="center"/>
          </w:tcPr>
          <w:p w14:paraId="3646D8E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泥浆泵</w:t>
            </w:r>
          </w:p>
        </w:tc>
        <w:tc>
          <w:tcPr>
            <w:tcW w:w="993" w:type="dxa"/>
            <w:vAlign w:val="center"/>
          </w:tcPr>
          <w:p w14:paraId="56FC067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泥浆泵</w:t>
            </w:r>
            <w:r w:rsidRPr="00E67914">
              <w:rPr>
                <w:rFonts w:ascii="Times New Roman" w:hAnsi="Times New Roman"/>
                <w:sz w:val="21"/>
                <w:szCs w:val="21"/>
              </w:rPr>
              <w:t>2</w:t>
            </w:r>
            <w:r w:rsidRPr="00E67914">
              <w:rPr>
                <w:rFonts w:ascii="Times New Roman" w:hAnsi="Times New Roman"/>
                <w:sz w:val="21"/>
                <w:szCs w:val="21"/>
              </w:rPr>
              <w:t>台</w:t>
            </w:r>
          </w:p>
        </w:tc>
        <w:tc>
          <w:tcPr>
            <w:tcW w:w="992" w:type="dxa"/>
            <w:vAlign w:val="center"/>
          </w:tcPr>
          <w:p w14:paraId="1D90AFF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85</w:t>
            </w:r>
            <w:r w:rsidRPr="00E67914">
              <w:rPr>
                <w:rFonts w:ascii="Times New Roman" w:hAnsi="Times New Roman"/>
                <w:sz w:val="21"/>
                <w:szCs w:val="21"/>
              </w:rPr>
              <w:t>～</w:t>
            </w:r>
            <w:r w:rsidRPr="00E67914">
              <w:rPr>
                <w:rFonts w:ascii="Times New Roman" w:hAnsi="Times New Roman"/>
                <w:sz w:val="21"/>
                <w:szCs w:val="21"/>
              </w:rPr>
              <w:t>90</w:t>
            </w:r>
          </w:p>
        </w:tc>
        <w:tc>
          <w:tcPr>
            <w:tcW w:w="1134" w:type="dxa"/>
            <w:vMerge/>
            <w:vAlign w:val="center"/>
          </w:tcPr>
          <w:p w14:paraId="52BB5B10" w14:textId="77777777" w:rsidR="00A54A8A" w:rsidRPr="00E67914" w:rsidRDefault="00A54A8A">
            <w:pPr>
              <w:adjustRightInd w:val="0"/>
              <w:snapToGrid w:val="0"/>
              <w:jc w:val="center"/>
              <w:rPr>
                <w:rFonts w:ascii="Times New Roman" w:hAnsi="Times New Roman"/>
                <w:sz w:val="21"/>
                <w:szCs w:val="21"/>
              </w:rPr>
            </w:pPr>
          </w:p>
        </w:tc>
        <w:tc>
          <w:tcPr>
            <w:tcW w:w="845" w:type="dxa"/>
            <w:vAlign w:val="center"/>
          </w:tcPr>
          <w:p w14:paraId="78A167D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80</w:t>
            </w:r>
            <w:r w:rsidRPr="00E67914">
              <w:rPr>
                <w:rFonts w:ascii="Times New Roman" w:hAnsi="Times New Roman"/>
                <w:sz w:val="21"/>
                <w:szCs w:val="21"/>
              </w:rPr>
              <w:t>～</w:t>
            </w:r>
            <w:r w:rsidRPr="00E67914">
              <w:rPr>
                <w:rFonts w:ascii="Times New Roman" w:hAnsi="Times New Roman"/>
                <w:sz w:val="21"/>
                <w:szCs w:val="21"/>
              </w:rPr>
              <w:t>85</w:t>
            </w:r>
          </w:p>
        </w:tc>
        <w:tc>
          <w:tcPr>
            <w:tcW w:w="856" w:type="dxa"/>
            <w:vAlign w:val="center"/>
          </w:tcPr>
          <w:p w14:paraId="631902E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机械</w:t>
            </w:r>
          </w:p>
        </w:tc>
        <w:tc>
          <w:tcPr>
            <w:tcW w:w="993" w:type="dxa"/>
            <w:vAlign w:val="center"/>
          </w:tcPr>
          <w:p w14:paraId="5190946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c>
          <w:tcPr>
            <w:tcW w:w="997" w:type="dxa"/>
            <w:vAlign w:val="center"/>
          </w:tcPr>
          <w:p w14:paraId="329A40B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固定声源</w:t>
            </w:r>
          </w:p>
        </w:tc>
      </w:tr>
      <w:tr w:rsidR="002662E3" w:rsidRPr="00E67914" w14:paraId="58637CDA" w14:textId="77777777">
        <w:trPr>
          <w:jc w:val="center"/>
        </w:trPr>
        <w:tc>
          <w:tcPr>
            <w:tcW w:w="384" w:type="dxa"/>
            <w:vMerge/>
            <w:vAlign w:val="center"/>
          </w:tcPr>
          <w:p w14:paraId="69C6DA94" w14:textId="77777777" w:rsidR="00A54A8A" w:rsidRPr="00E67914" w:rsidRDefault="00A54A8A">
            <w:pPr>
              <w:adjustRightInd w:val="0"/>
              <w:snapToGrid w:val="0"/>
              <w:jc w:val="center"/>
              <w:rPr>
                <w:rFonts w:ascii="Times New Roman" w:hAnsi="Times New Roman"/>
                <w:sz w:val="21"/>
                <w:szCs w:val="21"/>
              </w:rPr>
            </w:pPr>
          </w:p>
        </w:tc>
        <w:tc>
          <w:tcPr>
            <w:tcW w:w="1028" w:type="dxa"/>
            <w:vAlign w:val="center"/>
          </w:tcPr>
          <w:p w14:paraId="0CBC493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振动筛</w:t>
            </w:r>
          </w:p>
        </w:tc>
        <w:tc>
          <w:tcPr>
            <w:tcW w:w="993" w:type="dxa"/>
            <w:vAlign w:val="center"/>
          </w:tcPr>
          <w:p w14:paraId="2E50A61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w:t>
            </w:r>
            <w:r w:rsidRPr="00E67914">
              <w:rPr>
                <w:rFonts w:ascii="Times New Roman" w:hAnsi="Times New Roman"/>
                <w:sz w:val="21"/>
                <w:szCs w:val="21"/>
              </w:rPr>
              <w:t>台</w:t>
            </w:r>
          </w:p>
        </w:tc>
        <w:tc>
          <w:tcPr>
            <w:tcW w:w="992" w:type="dxa"/>
            <w:vAlign w:val="center"/>
          </w:tcPr>
          <w:p w14:paraId="67003FD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75</w:t>
            </w:r>
            <w:r w:rsidRPr="00E67914">
              <w:rPr>
                <w:rFonts w:ascii="Times New Roman" w:hAnsi="Times New Roman"/>
                <w:sz w:val="21"/>
                <w:szCs w:val="21"/>
              </w:rPr>
              <w:t>～</w:t>
            </w:r>
            <w:r w:rsidRPr="00E67914">
              <w:rPr>
                <w:rFonts w:ascii="Times New Roman" w:hAnsi="Times New Roman"/>
                <w:sz w:val="21"/>
                <w:szCs w:val="21"/>
              </w:rPr>
              <w:t>85</w:t>
            </w:r>
          </w:p>
        </w:tc>
        <w:tc>
          <w:tcPr>
            <w:tcW w:w="1134" w:type="dxa"/>
            <w:vMerge/>
            <w:vAlign w:val="center"/>
          </w:tcPr>
          <w:p w14:paraId="0F9D9DCE" w14:textId="77777777" w:rsidR="00A54A8A" w:rsidRPr="00E67914" w:rsidRDefault="00A54A8A">
            <w:pPr>
              <w:adjustRightInd w:val="0"/>
              <w:snapToGrid w:val="0"/>
              <w:jc w:val="center"/>
              <w:rPr>
                <w:rFonts w:ascii="Times New Roman" w:hAnsi="Times New Roman"/>
                <w:sz w:val="21"/>
                <w:szCs w:val="21"/>
              </w:rPr>
            </w:pPr>
          </w:p>
        </w:tc>
        <w:tc>
          <w:tcPr>
            <w:tcW w:w="845" w:type="dxa"/>
            <w:vAlign w:val="center"/>
          </w:tcPr>
          <w:p w14:paraId="2CBBAFF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80</w:t>
            </w:r>
            <w:r w:rsidRPr="00E67914">
              <w:rPr>
                <w:rFonts w:ascii="Times New Roman" w:hAnsi="Times New Roman"/>
                <w:sz w:val="21"/>
                <w:szCs w:val="21"/>
              </w:rPr>
              <w:t>～</w:t>
            </w:r>
            <w:r w:rsidRPr="00E67914">
              <w:rPr>
                <w:rFonts w:ascii="Times New Roman" w:hAnsi="Times New Roman"/>
                <w:sz w:val="21"/>
                <w:szCs w:val="21"/>
              </w:rPr>
              <w:t>85</w:t>
            </w:r>
          </w:p>
        </w:tc>
        <w:tc>
          <w:tcPr>
            <w:tcW w:w="856" w:type="dxa"/>
            <w:vAlign w:val="center"/>
          </w:tcPr>
          <w:p w14:paraId="375B7A0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机械</w:t>
            </w:r>
          </w:p>
        </w:tc>
        <w:tc>
          <w:tcPr>
            <w:tcW w:w="993" w:type="dxa"/>
            <w:vAlign w:val="center"/>
          </w:tcPr>
          <w:p w14:paraId="4B65B88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c>
          <w:tcPr>
            <w:tcW w:w="997" w:type="dxa"/>
            <w:vAlign w:val="center"/>
          </w:tcPr>
          <w:p w14:paraId="18643C2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固定声源</w:t>
            </w:r>
          </w:p>
        </w:tc>
      </w:tr>
      <w:tr w:rsidR="002662E3" w:rsidRPr="00E67914" w14:paraId="783459CB" w14:textId="77777777">
        <w:trPr>
          <w:jc w:val="center"/>
        </w:trPr>
        <w:tc>
          <w:tcPr>
            <w:tcW w:w="384" w:type="dxa"/>
            <w:vMerge/>
            <w:vAlign w:val="center"/>
          </w:tcPr>
          <w:p w14:paraId="7BB9A03E" w14:textId="77777777" w:rsidR="00A54A8A" w:rsidRPr="00E67914" w:rsidRDefault="00A54A8A">
            <w:pPr>
              <w:adjustRightInd w:val="0"/>
              <w:snapToGrid w:val="0"/>
              <w:jc w:val="center"/>
              <w:rPr>
                <w:rFonts w:ascii="Times New Roman" w:hAnsi="Times New Roman"/>
                <w:sz w:val="21"/>
                <w:szCs w:val="21"/>
              </w:rPr>
            </w:pPr>
          </w:p>
        </w:tc>
        <w:tc>
          <w:tcPr>
            <w:tcW w:w="1028" w:type="dxa"/>
            <w:vAlign w:val="center"/>
          </w:tcPr>
          <w:p w14:paraId="1B455DB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泥浆不落地装置</w:t>
            </w:r>
          </w:p>
        </w:tc>
        <w:tc>
          <w:tcPr>
            <w:tcW w:w="993" w:type="dxa"/>
            <w:vAlign w:val="center"/>
          </w:tcPr>
          <w:p w14:paraId="4F2809D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r w:rsidRPr="00E67914">
              <w:rPr>
                <w:rFonts w:ascii="Times New Roman" w:hAnsi="Times New Roman"/>
                <w:sz w:val="21"/>
                <w:szCs w:val="21"/>
              </w:rPr>
              <w:t>套</w:t>
            </w:r>
          </w:p>
        </w:tc>
        <w:tc>
          <w:tcPr>
            <w:tcW w:w="992" w:type="dxa"/>
            <w:vAlign w:val="center"/>
          </w:tcPr>
          <w:p w14:paraId="4E0D91C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85~90</w:t>
            </w:r>
          </w:p>
        </w:tc>
        <w:tc>
          <w:tcPr>
            <w:tcW w:w="1134" w:type="dxa"/>
            <w:vMerge/>
            <w:vAlign w:val="center"/>
          </w:tcPr>
          <w:p w14:paraId="799F87D7" w14:textId="77777777" w:rsidR="00A54A8A" w:rsidRPr="00E67914" w:rsidRDefault="00A54A8A">
            <w:pPr>
              <w:adjustRightInd w:val="0"/>
              <w:snapToGrid w:val="0"/>
              <w:jc w:val="center"/>
              <w:rPr>
                <w:rFonts w:ascii="Times New Roman" w:hAnsi="Times New Roman"/>
                <w:sz w:val="21"/>
                <w:szCs w:val="21"/>
              </w:rPr>
            </w:pPr>
          </w:p>
        </w:tc>
        <w:tc>
          <w:tcPr>
            <w:tcW w:w="845" w:type="dxa"/>
            <w:vAlign w:val="center"/>
          </w:tcPr>
          <w:p w14:paraId="782B348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80</w:t>
            </w:r>
            <w:r w:rsidRPr="00E67914">
              <w:rPr>
                <w:rFonts w:ascii="Times New Roman" w:hAnsi="Times New Roman"/>
                <w:sz w:val="21"/>
                <w:szCs w:val="21"/>
              </w:rPr>
              <w:t>～</w:t>
            </w:r>
            <w:r w:rsidRPr="00E67914">
              <w:rPr>
                <w:rFonts w:ascii="Times New Roman" w:hAnsi="Times New Roman"/>
                <w:sz w:val="21"/>
                <w:szCs w:val="21"/>
              </w:rPr>
              <w:t>85</w:t>
            </w:r>
          </w:p>
        </w:tc>
        <w:tc>
          <w:tcPr>
            <w:tcW w:w="856" w:type="dxa"/>
            <w:vAlign w:val="center"/>
          </w:tcPr>
          <w:p w14:paraId="2C8BB90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机械</w:t>
            </w:r>
          </w:p>
        </w:tc>
        <w:tc>
          <w:tcPr>
            <w:tcW w:w="993" w:type="dxa"/>
            <w:vAlign w:val="center"/>
          </w:tcPr>
          <w:p w14:paraId="0744FC4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昼夜间断</w:t>
            </w:r>
          </w:p>
        </w:tc>
        <w:tc>
          <w:tcPr>
            <w:tcW w:w="997" w:type="dxa"/>
            <w:vAlign w:val="center"/>
          </w:tcPr>
          <w:p w14:paraId="7C8E3FD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固定声源</w:t>
            </w:r>
          </w:p>
        </w:tc>
      </w:tr>
      <w:tr w:rsidR="002662E3" w:rsidRPr="00E67914" w14:paraId="44A374D6" w14:textId="77777777">
        <w:trPr>
          <w:jc w:val="center"/>
        </w:trPr>
        <w:tc>
          <w:tcPr>
            <w:tcW w:w="384" w:type="dxa"/>
            <w:vMerge/>
            <w:vAlign w:val="center"/>
          </w:tcPr>
          <w:p w14:paraId="0B65CB97" w14:textId="77777777" w:rsidR="00A54A8A" w:rsidRPr="00E67914" w:rsidRDefault="00A54A8A">
            <w:pPr>
              <w:adjustRightInd w:val="0"/>
              <w:snapToGrid w:val="0"/>
              <w:jc w:val="center"/>
              <w:rPr>
                <w:rFonts w:ascii="Times New Roman" w:hAnsi="Times New Roman"/>
                <w:sz w:val="21"/>
                <w:szCs w:val="21"/>
              </w:rPr>
            </w:pPr>
          </w:p>
        </w:tc>
        <w:tc>
          <w:tcPr>
            <w:tcW w:w="1028" w:type="dxa"/>
            <w:vAlign w:val="center"/>
          </w:tcPr>
          <w:p w14:paraId="5B4029A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压裂设备</w:t>
            </w:r>
          </w:p>
        </w:tc>
        <w:tc>
          <w:tcPr>
            <w:tcW w:w="993" w:type="dxa"/>
            <w:vAlign w:val="center"/>
          </w:tcPr>
          <w:p w14:paraId="478B0F03"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8</w:t>
            </w:r>
            <w:r w:rsidRPr="00E67914">
              <w:rPr>
                <w:rFonts w:ascii="Times New Roman" w:hAnsi="Times New Roman"/>
                <w:sz w:val="21"/>
                <w:szCs w:val="21"/>
                <w:lang w:eastAsia="zh-CN"/>
              </w:rPr>
              <w:t>台（最多</w:t>
            </w:r>
            <w:r w:rsidRPr="00E67914">
              <w:rPr>
                <w:rFonts w:ascii="Times New Roman" w:hAnsi="Times New Roman"/>
                <w:sz w:val="21"/>
                <w:szCs w:val="21"/>
                <w:lang w:eastAsia="zh-CN"/>
              </w:rPr>
              <w:t>6</w:t>
            </w:r>
            <w:r w:rsidRPr="00E67914">
              <w:rPr>
                <w:rFonts w:ascii="Times New Roman" w:hAnsi="Times New Roman"/>
                <w:sz w:val="21"/>
                <w:szCs w:val="21"/>
                <w:lang w:eastAsia="zh-CN"/>
              </w:rPr>
              <w:t>台同时作业）</w:t>
            </w:r>
          </w:p>
        </w:tc>
        <w:tc>
          <w:tcPr>
            <w:tcW w:w="992" w:type="dxa"/>
            <w:vAlign w:val="center"/>
          </w:tcPr>
          <w:p w14:paraId="3CCBBF0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95</w:t>
            </w:r>
            <w:r w:rsidRPr="00E67914">
              <w:rPr>
                <w:rFonts w:ascii="Times New Roman" w:hAnsi="Times New Roman"/>
                <w:sz w:val="21"/>
                <w:szCs w:val="21"/>
              </w:rPr>
              <w:t>～</w:t>
            </w:r>
            <w:r w:rsidRPr="00E67914">
              <w:rPr>
                <w:rFonts w:ascii="Times New Roman" w:hAnsi="Times New Roman"/>
                <w:sz w:val="21"/>
                <w:szCs w:val="21"/>
              </w:rPr>
              <w:t>100</w:t>
            </w:r>
          </w:p>
        </w:tc>
        <w:tc>
          <w:tcPr>
            <w:tcW w:w="1134" w:type="dxa"/>
            <w:vMerge/>
            <w:vAlign w:val="center"/>
          </w:tcPr>
          <w:p w14:paraId="6F6C60AF" w14:textId="77777777" w:rsidR="00A54A8A" w:rsidRPr="00E67914" w:rsidRDefault="00A54A8A">
            <w:pPr>
              <w:adjustRightInd w:val="0"/>
              <w:snapToGrid w:val="0"/>
              <w:jc w:val="center"/>
              <w:rPr>
                <w:rFonts w:ascii="Times New Roman" w:hAnsi="Times New Roman"/>
                <w:sz w:val="21"/>
                <w:szCs w:val="21"/>
              </w:rPr>
            </w:pPr>
          </w:p>
        </w:tc>
        <w:tc>
          <w:tcPr>
            <w:tcW w:w="845" w:type="dxa"/>
            <w:vAlign w:val="center"/>
          </w:tcPr>
          <w:p w14:paraId="2BC5FE0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95</w:t>
            </w:r>
            <w:r w:rsidRPr="00E67914">
              <w:rPr>
                <w:rFonts w:ascii="Times New Roman" w:hAnsi="Times New Roman"/>
                <w:sz w:val="21"/>
                <w:szCs w:val="21"/>
              </w:rPr>
              <w:t>～</w:t>
            </w:r>
            <w:r w:rsidRPr="00E67914">
              <w:rPr>
                <w:rFonts w:ascii="Times New Roman" w:hAnsi="Times New Roman"/>
                <w:sz w:val="21"/>
                <w:szCs w:val="21"/>
              </w:rPr>
              <w:t>100</w:t>
            </w:r>
          </w:p>
        </w:tc>
        <w:tc>
          <w:tcPr>
            <w:tcW w:w="856" w:type="dxa"/>
            <w:vAlign w:val="center"/>
          </w:tcPr>
          <w:p w14:paraId="65B028E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机械</w:t>
            </w:r>
          </w:p>
        </w:tc>
        <w:tc>
          <w:tcPr>
            <w:tcW w:w="993" w:type="dxa"/>
            <w:vAlign w:val="center"/>
          </w:tcPr>
          <w:p w14:paraId="321D897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昼夜间断</w:t>
            </w:r>
          </w:p>
        </w:tc>
        <w:tc>
          <w:tcPr>
            <w:tcW w:w="997" w:type="dxa"/>
            <w:vAlign w:val="center"/>
          </w:tcPr>
          <w:p w14:paraId="322EB35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固定声源</w:t>
            </w:r>
          </w:p>
        </w:tc>
      </w:tr>
      <w:tr w:rsidR="002662E3" w:rsidRPr="00E67914" w14:paraId="2D26D3F1" w14:textId="77777777">
        <w:trPr>
          <w:jc w:val="center"/>
        </w:trPr>
        <w:tc>
          <w:tcPr>
            <w:tcW w:w="384" w:type="dxa"/>
            <w:vMerge w:val="restart"/>
            <w:vAlign w:val="center"/>
          </w:tcPr>
          <w:p w14:paraId="4DC61A3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柴油机</w:t>
            </w:r>
            <w:r w:rsidRPr="00E67914">
              <w:rPr>
                <w:rFonts w:ascii="Times New Roman" w:hAnsi="Times New Roman"/>
                <w:sz w:val="21"/>
                <w:szCs w:val="21"/>
              </w:rPr>
              <w:t>工况</w:t>
            </w:r>
          </w:p>
        </w:tc>
        <w:tc>
          <w:tcPr>
            <w:tcW w:w="1028" w:type="dxa"/>
            <w:vAlign w:val="center"/>
          </w:tcPr>
          <w:p w14:paraId="43E8C67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放喷高压气流</w:t>
            </w:r>
          </w:p>
        </w:tc>
        <w:tc>
          <w:tcPr>
            <w:tcW w:w="993" w:type="dxa"/>
            <w:vAlign w:val="center"/>
          </w:tcPr>
          <w:p w14:paraId="5411865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992" w:type="dxa"/>
            <w:vAlign w:val="center"/>
          </w:tcPr>
          <w:p w14:paraId="3F5B6E4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110</w:t>
            </w:r>
          </w:p>
        </w:tc>
        <w:tc>
          <w:tcPr>
            <w:tcW w:w="1134" w:type="dxa"/>
            <w:vAlign w:val="center"/>
          </w:tcPr>
          <w:p w14:paraId="31A370B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845" w:type="dxa"/>
            <w:vAlign w:val="center"/>
          </w:tcPr>
          <w:p w14:paraId="6628EAA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105</w:t>
            </w:r>
          </w:p>
        </w:tc>
        <w:tc>
          <w:tcPr>
            <w:tcW w:w="856" w:type="dxa"/>
            <w:vAlign w:val="center"/>
          </w:tcPr>
          <w:p w14:paraId="4ABF33B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空气动力</w:t>
            </w:r>
          </w:p>
        </w:tc>
        <w:tc>
          <w:tcPr>
            <w:tcW w:w="993" w:type="dxa"/>
            <w:vAlign w:val="center"/>
          </w:tcPr>
          <w:p w14:paraId="24305AB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测试</w:t>
            </w:r>
            <w:r w:rsidRPr="00E67914">
              <w:rPr>
                <w:rFonts w:ascii="Times New Roman" w:hAnsi="Times New Roman"/>
                <w:sz w:val="21"/>
                <w:szCs w:val="21"/>
              </w:rPr>
              <w:t>3h</w:t>
            </w:r>
          </w:p>
        </w:tc>
        <w:tc>
          <w:tcPr>
            <w:tcW w:w="997" w:type="dxa"/>
            <w:vAlign w:val="center"/>
          </w:tcPr>
          <w:p w14:paraId="6E14C06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固定声源</w:t>
            </w:r>
          </w:p>
        </w:tc>
      </w:tr>
      <w:tr w:rsidR="002662E3" w:rsidRPr="00E67914" w14:paraId="51A87CCD" w14:textId="77777777">
        <w:trPr>
          <w:jc w:val="center"/>
        </w:trPr>
        <w:tc>
          <w:tcPr>
            <w:tcW w:w="384" w:type="dxa"/>
            <w:vMerge/>
            <w:vAlign w:val="center"/>
          </w:tcPr>
          <w:p w14:paraId="459D7CD2" w14:textId="77777777" w:rsidR="00A54A8A" w:rsidRPr="00E67914" w:rsidRDefault="00A54A8A">
            <w:pPr>
              <w:adjustRightInd w:val="0"/>
              <w:snapToGrid w:val="0"/>
              <w:jc w:val="center"/>
              <w:rPr>
                <w:rFonts w:ascii="Times New Roman" w:hAnsi="Times New Roman"/>
                <w:sz w:val="21"/>
                <w:szCs w:val="21"/>
              </w:rPr>
            </w:pPr>
          </w:p>
        </w:tc>
        <w:tc>
          <w:tcPr>
            <w:tcW w:w="1028" w:type="dxa"/>
            <w:vAlign w:val="center"/>
          </w:tcPr>
          <w:p w14:paraId="45CA6DF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柴油动力机</w:t>
            </w:r>
          </w:p>
        </w:tc>
        <w:tc>
          <w:tcPr>
            <w:tcW w:w="993" w:type="dxa"/>
            <w:vAlign w:val="center"/>
          </w:tcPr>
          <w:p w14:paraId="01E86E6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w:t>
            </w:r>
            <w:r w:rsidRPr="00E67914">
              <w:rPr>
                <w:rFonts w:ascii="Times New Roman" w:hAnsi="Times New Roman"/>
                <w:sz w:val="21"/>
                <w:szCs w:val="21"/>
              </w:rPr>
              <w:t>台</w:t>
            </w:r>
          </w:p>
        </w:tc>
        <w:tc>
          <w:tcPr>
            <w:tcW w:w="992" w:type="dxa"/>
            <w:vAlign w:val="center"/>
          </w:tcPr>
          <w:p w14:paraId="4CDF18B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95</w:t>
            </w:r>
            <w:r w:rsidRPr="00E67914">
              <w:rPr>
                <w:rFonts w:ascii="Times New Roman" w:hAnsi="Times New Roman"/>
                <w:sz w:val="21"/>
                <w:szCs w:val="21"/>
              </w:rPr>
              <w:t>～</w:t>
            </w:r>
            <w:r w:rsidRPr="00E67914">
              <w:rPr>
                <w:rFonts w:ascii="Times New Roman" w:hAnsi="Times New Roman"/>
                <w:sz w:val="21"/>
                <w:szCs w:val="21"/>
              </w:rPr>
              <w:t>100</w:t>
            </w:r>
          </w:p>
        </w:tc>
        <w:tc>
          <w:tcPr>
            <w:tcW w:w="1134" w:type="dxa"/>
            <w:vAlign w:val="center"/>
          </w:tcPr>
          <w:p w14:paraId="25C3F508"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排气筒上自带高质量消声器的柴油机</w:t>
            </w:r>
          </w:p>
        </w:tc>
        <w:tc>
          <w:tcPr>
            <w:tcW w:w="845" w:type="dxa"/>
            <w:vAlign w:val="center"/>
          </w:tcPr>
          <w:p w14:paraId="699C088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90</w:t>
            </w:r>
            <w:r w:rsidRPr="00E67914">
              <w:rPr>
                <w:rFonts w:ascii="Times New Roman" w:hAnsi="Times New Roman"/>
                <w:sz w:val="21"/>
                <w:szCs w:val="21"/>
              </w:rPr>
              <w:t>～</w:t>
            </w:r>
            <w:r w:rsidRPr="00E67914">
              <w:rPr>
                <w:rFonts w:ascii="Times New Roman" w:hAnsi="Times New Roman"/>
                <w:sz w:val="21"/>
                <w:szCs w:val="21"/>
              </w:rPr>
              <w:t>95</w:t>
            </w:r>
          </w:p>
        </w:tc>
        <w:tc>
          <w:tcPr>
            <w:tcW w:w="856" w:type="dxa"/>
            <w:vAlign w:val="center"/>
          </w:tcPr>
          <w:p w14:paraId="21FEF31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机械</w:t>
            </w:r>
          </w:p>
        </w:tc>
        <w:tc>
          <w:tcPr>
            <w:tcW w:w="993" w:type="dxa"/>
            <w:vAlign w:val="center"/>
          </w:tcPr>
          <w:p w14:paraId="4CC1667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p>
        </w:tc>
        <w:tc>
          <w:tcPr>
            <w:tcW w:w="997" w:type="dxa"/>
            <w:vAlign w:val="center"/>
          </w:tcPr>
          <w:p w14:paraId="3285CA2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固定声源</w:t>
            </w:r>
          </w:p>
        </w:tc>
      </w:tr>
      <w:tr w:rsidR="002662E3" w:rsidRPr="00E67914" w14:paraId="1B904793" w14:textId="77777777">
        <w:trPr>
          <w:jc w:val="center"/>
        </w:trPr>
        <w:tc>
          <w:tcPr>
            <w:tcW w:w="384" w:type="dxa"/>
            <w:vMerge/>
            <w:vAlign w:val="center"/>
          </w:tcPr>
          <w:p w14:paraId="47C8A761" w14:textId="77777777" w:rsidR="00A54A8A" w:rsidRPr="00E67914" w:rsidRDefault="00A54A8A">
            <w:pPr>
              <w:adjustRightInd w:val="0"/>
              <w:snapToGrid w:val="0"/>
              <w:jc w:val="center"/>
              <w:rPr>
                <w:rFonts w:ascii="Times New Roman" w:hAnsi="Times New Roman"/>
                <w:sz w:val="21"/>
                <w:szCs w:val="21"/>
              </w:rPr>
            </w:pPr>
          </w:p>
        </w:tc>
        <w:tc>
          <w:tcPr>
            <w:tcW w:w="1028" w:type="dxa"/>
            <w:vAlign w:val="center"/>
          </w:tcPr>
          <w:p w14:paraId="77CA051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柴油发电机</w:t>
            </w:r>
          </w:p>
        </w:tc>
        <w:tc>
          <w:tcPr>
            <w:tcW w:w="993" w:type="dxa"/>
            <w:vAlign w:val="center"/>
          </w:tcPr>
          <w:p w14:paraId="1C31F67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r w:rsidRPr="00E67914">
              <w:rPr>
                <w:rFonts w:ascii="Times New Roman" w:hAnsi="Times New Roman"/>
                <w:sz w:val="21"/>
                <w:szCs w:val="21"/>
              </w:rPr>
              <w:t>台</w:t>
            </w:r>
          </w:p>
        </w:tc>
        <w:tc>
          <w:tcPr>
            <w:tcW w:w="992" w:type="dxa"/>
            <w:vAlign w:val="center"/>
          </w:tcPr>
          <w:p w14:paraId="43C8BBD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90</w:t>
            </w:r>
            <w:r w:rsidRPr="00E67914">
              <w:rPr>
                <w:rFonts w:ascii="Times New Roman" w:hAnsi="Times New Roman"/>
                <w:sz w:val="21"/>
                <w:szCs w:val="21"/>
              </w:rPr>
              <w:t>～</w:t>
            </w:r>
            <w:r w:rsidRPr="00E67914">
              <w:rPr>
                <w:rFonts w:ascii="Times New Roman" w:hAnsi="Times New Roman"/>
                <w:sz w:val="21"/>
                <w:szCs w:val="21"/>
              </w:rPr>
              <w:t>95</w:t>
            </w:r>
          </w:p>
        </w:tc>
        <w:tc>
          <w:tcPr>
            <w:tcW w:w="1134" w:type="dxa"/>
            <w:vAlign w:val="center"/>
          </w:tcPr>
          <w:p w14:paraId="06DB4967"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活动板房隔声，安装减振垫层和阻尼涂料</w:t>
            </w:r>
          </w:p>
        </w:tc>
        <w:tc>
          <w:tcPr>
            <w:tcW w:w="845" w:type="dxa"/>
            <w:vAlign w:val="center"/>
          </w:tcPr>
          <w:p w14:paraId="259BB88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85</w:t>
            </w:r>
            <w:r w:rsidRPr="00E67914">
              <w:rPr>
                <w:rFonts w:ascii="Times New Roman" w:hAnsi="Times New Roman"/>
                <w:sz w:val="21"/>
                <w:szCs w:val="21"/>
              </w:rPr>
              <w:t>～</w:t>
            </w:r>
            <w:r w:rsidRPr="00E67914">
              <w:rPr>
                <w:rFonts w:ascii="Times New Roman" w:hAnsi="Times New Roman"/>
                <w:sz w:val="21"/>
                <w:szCs w:val="21"/>
              </w:rPr>
              <w:t>90</w:t>
            </w:r>
          </w:p>
        </w:tc>
        <w:tc>
          <w:tcPr>
            <w:tcW w:w="856" w:type="dxa"/>
            <w:vAlign w:val="center"/>
          </w:tcPr>
          <w:p w14:paraId="6202F12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机械</w:t>
            </w:r>
          </w:p>
        </w:tc>
        <w:tc>
          <w:tcPr>
            <w:tcW w:w="993" w:type="dxa"/>
            <w:vAlign w:val="center"/>
          </w:tcPr>
          <w:p w14:paraId="25EA446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间断</w:t>
            </w:r>
          </w:p>
        </w:tc>
        <w:tc>
          <w:tcPr>
            <w:tcW w:w="997" w:type="dxa"/>
            <w:vAlign w:val="center"/>
          </w:tcPr>
          <w:p w14:paraId="274EF81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固定声源</w:t>
            </w:r>
          </w:p>
        </w:tc>
      </w:tr>
    </w:tbl>
    <w:p w14:paraId="0916953E" w14:textId="77777777" w:rsidR="00A54A8A" w:rsidRPr="00E67914" w:rsidRDefault="00000000">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4</w:t>
      </w:r>
      <w:r w:rsidRPr="00E67914">
        <w:rPr>
          <w:rFonts w:ascii="Times New Roman" w:hAnsi="Times New Roman"/>
          <w:b/>
          <w:bCs/>
          <w:sz w:val="24"/>
          <w:szCs w:val="24"/>
          <w:lang w:eastAsia="zh-CN"/>
        </w:rPr>
        <w:t>）固废</w:t>
      </w:r>
    </w:p>
    <w:p w14:paraId="42681FE6" w14:textId="00EB7855"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）钻井固废</w:t>
      </w:r>
    </w:p>
    <w:p w14:paraId="2F9C931F" w14:textId="1F9DD1B4"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废水基</w:t>
      </w:r>
      <w:r w:rsidR="00590918" w:rsidRPr="00E67914">
        <w:rPr>
          <w:rFonts w:ascii="Times New Roman" w:hAnsi="Times New Roman"/>
          <w:sz w:val="24"/>
          <w:lang w:eastAsia="zh-CN"/>
        </w:rPr>
        <w:t>、油基</w:t>
      </w:r>
      <w:r w:rsidRPr="00E67914">
        <w:rPr>
          <w:rFonts w:ascii="Times New Roman" w:hAnsi="Times New Roman"/>
          <w:sz w:val="24"/>
          <w:lang w:eastAsia="zh-CN"/>
        </w:rPr>
        <w:t>钻井泥浆：</w:t>
      </w:r>
    </w:p>
    <w:p w14:paraId="24C4DA90"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钻井过程中产生的废钻井泥浆主要来源于：</w:t>
      </w:r>
      <w:r w:rsidRPr="00E67914">
        <w:rPr>
          <w:rFonts w:ascii="宋体" w:hAnsi="宋体" w:cs="宋体" w:hint="eastAsia"/>
          <w:sz w:val="24"/>
          <w:lang w:eastAsia="zh-CN"/>
        </w:rPr>
        <w:t>①</w:t>
      </w:r>
      <w:r w:rsidRPr="00E67914">
        <w:rPr>
          <w:rFonts w:ascii="Times New Roman" w:hAnsi="Times New Roman"/>
          <w:sz w:val="24"/>
          <w:lang w:eastAsia="zh-CN"/>
        </w:rPr>
        <w:t>被更换的不适于钻井工程和地质要求的钻井泥浆；</w:t>
      </w:r>
      <w:r w:rsidRPr="00E67914">
        <w:rPr>
          <w:rFonts w:ascii="宋体" w:hAnsi="宋体" w:cs="宋体" w:hint="eastAsia"/>
          <w:sz w:val="24"/>
          <w:lang w:eastAsia="zh-CN"/>
        </w:rPr>
        <w:t>②</w:t>
      </w:r>
      <w:r w:rsidRPr="00E67914">
        <w:rPr>
          <w:rFonts w:ascii="Times New Roman" w:hAnsi="Times New Roman"/>
          <w:sz w:val="24"/>
          <w:lang w:eastAsia="zh-CN"/>
        </w:rPr>
        <w:t>在钻井过程中，因部分性能不合格而被排放的钻井泥浆；</w:t>
      </w:r>
      <w:r w:rsidRPr="00E67914">
        <w:rPr>
          <w:rFonts w:ascii="宋体" w:hAnsi="宋体" w:cs="宋体" w:hint="eastAsia"/>
          <w:sz w:val="24"/>
          <w:lang w:eastAsia="zh-CN"/>
        </w:rPr>
        <w:t>③</w:t>
      </w:r>
      <w:r w:rsidRPr="00E67914">
        <w:rPr>
          <w:rFonts w:ascii="Times New Roman" w:hAnsi="Times New Roman"/>
          <w:sz w:val="24"/>
          <w:lang w:eastAsia="zh-CN"/>
        </w:rPr>
        <w:t>完井时和洗井时井筒内被清水替出的钻井泥浆；</w:t>
      </w:r>
      <w:r w:rsidRPr="00E67914">
        <w:rPr>
          <w:rFonts w:ascii="宋体" w:hAnsi="宋体" w:cs="宋体" w:hint="eastAsia"/>
          <w:sz w:val="24"/>
          <w:lang w:eastAsia="zh-CN"/>
        </w:rPr>
        <w:t>④</w:t>
      </w:r>
      <w:r w:rsidRPr="00E67914">
        <w:rPr>
          <w:rFonts w:ascii="Times New Roman" w:hAnsi="Times New Roman"/>
          <w:sz w:val="24"/>
          <w:lang w:eastAsia="zh-CN"/>
        </w:rPr>
        <w:t>钻井泥浆循环系统跑、冒、滴、漏而排出的钻井泥浆。主要成分为水、粘土、聚合物、碳酸钠、氢氧化钠、氯化钾、石灰石和重晶石。</w:t>
      </w:r>
    </w:p>
    <w:p w14:paraId="2F019909" w14:textId="7725D1B8"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根据本项目钻井设计，项目</w:t>
      </w:r>
      <w:r w:rsidR="00590918" w:rsidRPr="00E67914">
        <w:rPr>
          <w:rFonts w:ascii="Times New Roman" w:hAnsi="Times New Roman"/>
          <w:sz w:val="24"/>
          <w:lang w:eastAsia="zh-CN"/>
        </w:rPr>
        <w:t>水基</w:t>
      </w:r>
      <w:r w:rsidRPr="00E67914">
        <w:rPr>
          <w:rFonts w:ascii="Times New Roman" w:hAnsi="Times New Roman"/>
          <w:sz w:val="24"/>
          <w:lang w:eastAsia="zh-CN"/>
        </w:rPr>
        <w:t>钻井液总用量约为</w:t>
      </w:r>
      <w:r w:rsidR="001339F7" w:rsidRPr="00E67914">
        <w:rPr>
          <w:rFonts w:ascii="Times New Roman" w:hAnsi="Times New Roman"/>
          <w:sz w:val="24"/>
          <w:lang w:eastAsia="zh-CN"/>
        </w:rPr>
        <w:t>1875</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，根据普光气田统计数据钻井液</w:t>
      </w:r>
      <w:r w:rsidRPr="00E67914">
        <w:rPr>
          <w:rFonts w:ascii="Times New Roman" w:hAnsi="Times New Roman"/>
          <w:bCs/>
          <w:sz w:val="24"/>
          <w:lang w:eastAsia="zh-CN"/>
        </w:rPr>
        <w:t>循环利用率在</w:t>
      </w:r>
      <w:r w:rsidRPr="00E67914">
        <w:rPr>
          <w:rFonts w:ascii="Times New Roman" w:hAnsi="Times New Roman"/>
          <w:bCs/>
          <w:sz w:val="24"/>
          <w:lang w:eastAsia="zh-CN"/>
        </w:rPr>
        <w:t>90%</w:t>
      </w:r>
      <w:r w:rsidRPr="00E67914">
        <w:rPr>
          <w:rFonts w:ascii="Times New Roman" w:hAnsi="Times New Roman"/>
          <w:bCs/>
          <w:sz w:val="24"/>
          <w:lang w:eastAsia="zh-CN"/>
        </w:rPr>
        <w:t>以上，故本项目约产生最大废弃水基钻井泥浆</w:t>
      </w:r>
      <w:r w:rsidRPr="00E67914">
        <w:rPr>
          <w:rFonts w:ascii="Times New Roman" w:hAnsi="Times New Roman"/>
          <w:bCs/>
          <w:sz w:val="24"/>
          <w:lang w:eastAsia="zh-CN"/>
        </w:rPr>
        <w:t>1</w:t>
      </w:r>
      <w:r w:rsidR="001339F7" w:rsidRPr="00E67914">
        <w:rPr>
          <w:rFonts w:ascii="Times New Roman" w:hAnsi="Times New Roman"/>
          <w:bCs/>
          <w:sz w:val="24"/>
          <w:lang w:eastAsia="zh-CN"/>
        </w:rPr>
        <w:t>87.5</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（根据普陆</w:t>
      </w:r>
      <w:r w:rsidRPr="00E67914">
        <w:rPr>
          <w:rFonts w:ascii="Times New Roman" w:hAnsi="Times New Roman"/>
          <w:sz w:val="24"/>
          <w:lang w:eastAsia="zh-CN"/>
        </w:rPr>
        <w:t>4</w:t>
      </w:r>
      <w:r w:rsidRPr="00E67914">
        <w:rPr>
          <w:rFonts w:ascii="Times New Roman" w:hAnsi="Times New Roman"/>
          <w:sz w:val="24"/>
          <w:lang w:eastAsia="zh-CN"/>
        </w:rPr>
        <w:t>井钻井工程建设项目（实际井深</w:t>
      </w:r>
      <w:r w:rsidRPr="00E67914">
        <w:rPr>
          <w:rFonts w:ascii="Times New Roman" w:hAnsi="Times New Roman"/>
          <w:sz w:val="24"/>
          <w:lang w:eastAsia="zh-CN"/>
        </w:rPr>
        <w:t>4622m</w:t>
      </w:r>
      <w:r w:rsidRPr="00E67914">
        <w:rPr>
          <w:rFonts w:ascii="Times New Roman" w:hAnsi="Times New Roman"/>
          <w:sz w:val="24"/>
          <w:lang w:eastAsia="zh-CN"/>
        </w:rPr>
        <w:t>）竣工环境保护验收调查表可知其施工期废泥浆实际产生量约为</w:t>
      </w:r>
      <w:r w:rsidRPr="00E67914">
        <w:rPr>
          <w:rFonts w:ascii="Times New Roman" w:hAnsi="Times New Roman"/>
          <w:sz w:val="24"/>
          <w:lang w:eastAsia="zh-CN"/>
        </w:rPr>
        <w:t>63m</w:t>
      </w:r>
      <w:r w:rsidRPr="00E67914">
        <w:rPr>
          <w:rFonts w:ascii="Times New Roman" w:hAnsi="Times New Roman"/>
          <w:sz w:val="24"/>
          <w:vertAlign w:val="superscript"/>
          <w:lang w:eastAsia="zh-CN"/>
        </w:rPr>
        <w:t>3</w:t>
      </w:r>
      <w:r w:rsidRPr="00E67914">
        <w:rPr>
          <w:rFonts w:ascii="Times New Roman" w:hAnsi="Times New Roman"/>
          <w:sz w:val="24"/>
          <w:lang w:eastAsia="zh-CN"/>
        </w:rPr>
        <w:t>），由于其</w:t>
      </w:r>
      <w:r w:rsidRPr="00E67914">
        <w:rPr>
          <w:rFonts w:ascii="Times New Roman" w:hAnsi="Times New Roman"/>
          <w:sz w:val="24"/>
          <w:lang w:eastAsia="zh-CN"/>
        </w:rPr>
        <w:t>pH</w:t>
      </w:r>
      <w:r w:rsidRPr="00E67914">
        <w:rPr>
          <w:rFonts w:ascii="Times New Roman" w:hAnsi="Times New Roman"/>
          <w:sz w:val="24"/>
          <w:lang w:eastAsia="zh-CN"/>
        </w:rPr>
        <w:t>较高（通常超过</w:t>
      </w:r>
      <w:r w:rsidRPr="00E67914">
        <w:rPr>
          <w:rFonts w:ascii="Times New Roman" w:hAnsi="Times New Roman"/>
          <w:sz w:val="24"/>
          <w:lang w:eastAsia="zh-CN"/>
        </w:rPr>
        <w:t>9</w:t>
      </w:r>
      <w:r w:rsidRPr="00E67914">
        <w:rPr>
          <w:rFonts w:ascii="Times New Roman" w:hAnsi="Times New Roman"/>
          <w:sz w:val="24"/>
          <w:lang w:eastAsia="zh-CN"/>
        </w:rPr>
        <w:t>），含有少量有机物添加剂，根据类比其他项目废弃钻井泥浆成分，确定废弃水基钻井泥浆为第</w:t>
      </w:r>
      <w:r w:rsidRPr="00E67914">
        <w:rPr>
          <w:rFonts w:ascii="Times New Roman" w:hAnsi="Times New Roman"/>
          <w:sz w:val="24"/>
          <w:lang w:eastAsia="zh-CN"/>
        </w:rPr>
        <w:t>Ⅱ</w:t>
      </w:r>
      <w:r w:rsidRPr="00E67914">
        <w:rPr>
          <w:rFonts w:ascii="Times New Roman" w:hAnsi="Times New Roman"/>
          <w:sz w:val="24"/>
          <w:lang w:eastAsia="zh-CN"/>
        </w:rPr>
        <w:t>类一般工业固体废物</w:t>
      </w:r>
      <w:r w:rsidR="007D7653" w:rsidRPr="00E67914">
        <w:rPr>
          <w:rFonts w:ascii="Times New Roman" w:hAnsi="Times New Roman"/>
          <w:sz w:val="24"/>
          <w:lang w:eastAsia="zh-CN"/>
        </w:rPr>
        <w:t>。</w:t>
      </w:r>
    </w:p>
    <w:p w14:paraId="2619F37B" w14:textId="0FBFFC9B" w:rsidR="00590918" w:rsidRPr="00E67914" w:rsidRDefault="00590918" w:rsidP="00590918">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根据本项目钻井设计，项目油基钻井液总用量约为</w:t>
      </w:r>
      <w:r w:rsidRPr="00E67914">
        <w:rPr>
          <w:rFonts w:ascii="Times New Roman" w:hAnsi="Times New Roman"/>
          <w:sz w:val="24"/>
          <w:lang w:eastAsia="zh-CN"/>
        </w:rPr>
        <w:t>870m</w:t>
      </w:r>
      <w:r w:rsidRPr="00E67914">
        <w:rPr>
          <w:rFonts w:ascii="Times New Roman" w:hAnsi="Times New Roman"/>
          <w:sz w:val="24"/>
          <w:vertAlign w:val="superscript"/>
          <w:lang w:eastAsia="zh-CN"/>
        </w:rPr>
        <w:t>3</w:t>
      </w:r>
      <w:r w:rsidRPr="00E67914">
        <w:rPr>
          <w:rFonts w:ascii="Times New Roman" w:hAnsi="Times New Roman"/>
          <w:sz w:val="24"/>
          <w:lang w:eastAsia="zh-CN"/>
        </w:rPr>
        <w:t>，根据普光气田统计数据钻井液</w:t>
      </w:r>
      <w:r w:rsidRPr="00E67914">
        <w:rPr>
          <w:rFonts w:ascii="Times New Roman" w:hAnsi="Times New Roman"/>
          <w:bCs/>
          <w:sz w:val="24"/>
          <w:lang w:eastAsia="zh-CN"/>
        </w:rPr>
        <w:t>循环利用率在</w:t>
      </w:r>
      <w:r w:rsidRPr="00E67914">
        <w:rPr>
          <w:rFonts w:ascii="Times New Roman" w:hAnsi="Times New Roman"/>
          <w:bCs/>
          <w:sz w:val="24"/>
          <w:lang w:eastAsia="zh-CN"/>
        </w:rPr>
        <w:t>90%</w:t>
      </w:r>
      <w:r w:rsidRPr="00E67914">
        <w:rPr>
          <w:rFonts w:ascii="Times New Roman" w:hAnsi="Times New Roman"/>
          <w:bCs/>
          <w:sz w:val="24"/>
          <w:lang w:eastAsia="zh-CN"/>
        </w:rPr>
        <w:t>以上，故本项目约产生最大废弃油基钻井泥浆</w:t>
      </w:r>
      <w:r w:rsidRPr="00E67914">
        <w:rPr>
          <w:rFonts w:ascii="Times New Roman" w:hAnsi="Times New Roman"/>
          <w:bCs/>
          <w:sz w:val="24"/>
          <w:lang w:eastAsia="zh-CN"/>
        </w:rPr>
        <w:t>87</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w:t>
      </w:r>
    </w:p>
    <w:p w14:paraId="6B58B620" w14:textId="245AE889"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钻井岩屑：</w:t>
      </w:r>
    </w:p>
    <w:p w14:paraId="454FCAE2"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钻井岩屑是在钻井过程中钻头切屑地层岩石而产生的碎屑，并通过钻井泥浆和洗井液带出至地面。主要成分为岩石、土壤及钻井液。其产生量与井眼长度、平均井径有关。根据本项目钻井阶段各开次进尺、钻头尺寸，并取一定的</w:t>
      </w:r>
      <w:r w:rsidRPr="00E67914">
        <w:rPr>
          <w:rFonts w:ascii="Times New Roman" w:hAnsi="Times New Roman"/>
          <w:sz w:val="24"/>
          <w:lang w:eastAsia="zh-CN"/>
        </w:rPr>
        <w:lastRenderedPageBreak/>
        <w:t>容积扩大倍数（气体、清水和水基钻井取</w:t>
      </w:r>
      <w:r w:rsidRPr="00E67914">
        <w:rPr>
          <w:rFonts w:ascii="Times New Roman" w:hAnsi="Times New Roman"/>
          <w:sz w:val="24"/>
          <w:lang w:eastAsia="zh-CN"/>
        </w:rPr>
        <w:t>2.5</w:t>
      </w:r>
      <w:r w:rsidRPr="00E67914">
        <w:rPr>
          <w:rFonts w:ascii="Times New Roman" w:hAnsi="Times New Roman"/>
          <w:sz w:val="24"/>
          <w:lang w:eastAsia="zh-CN"/>
        </w:rPr>
        <w:t>倍），本项目钻井岩屑产生量见下表。</w:t>
      </w:r>
    </w:p>
    <w:p w14:paraId="21271140"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计算公示如下：</w:t>
      </w:r>
    </w:p>
    <w:p w14:paraId="72CD9339" w14:textId="77777777" w:rsidR="00A54A8A" w:rsidRPr="00E67914" w:rsidRDefault="00000000">
      <w:pPr>
        <w:spacing w:line="360" w:lineRule="auto"/>
        <w:ind w:firstLine="420"/>
        <w:jc w:val="center"/>
        <w:rPr>
          <w:rFonts w:ascii="Times New Roman" w:hAnsi="Times New Roman"/>
          <w:szCs w:val="21"/>
          <w:lang w:eastAsia="zh-CN"/>
        </w:rPr>
      </w:pPr>
      <w:r w:rsidRPr="00E67914">
        <w:rPr>
          <w:rFonts w:ascii="Times New Roman" w:hAnsi="Times New Roman"/>
          <w:szCs w:val="21"/>
          <w:lang w:eastAsia="zh-CN"/>
        </w:rPr>
        <w:t>V</w:t>
      </w:r>
      <w:r w:rsidRPr="00E67914">
        <w:rPr>
          <w:rFonts w:ascii="Times New Roman" w:hAnsi="Times New Roman"/>
          <w:szCs w:val="21"/>
          <w:vertAlign w:val="subscript"/>
          <w:lang w:eastAsia="zh-CN"/>
        </w:rPr>
        <w:t>气体、清水和水基</w:t>
      </w:r>
      <w:r w:rsidRPr="00E67914">
        <w:rPr>
          <w:rFonts w:ascii="Times New Roman" w:hAnsi="Times New Roman"/>
          <w:szCs w:val="21"/>
          <w:vertAlign w:val="subscript"/>
          <w:lang w:eastAsia="zh-CN"/>
        </w:rPr>
        <w:t>=</w:t>
      </w:r>
      <w:r w:rsidRPr="00E67914">
        <w:rPr>
          <w:rFonts w:ascii="Times New Roman" w:hAnsi="Times New Roman"/>
          <w:szCs w:val="21"/>
        </w:rPr>
        <w:t>π</w:t>
      </w:r>
      <w:r w:rsidRPr="00E67914">
        <w:rPr>
          <w:rFonts w:ascii="Times New Roman" w:hAnsi="Times New Roman"/>
          <w:szCs w:val="21"/>
          <w:lang w:eastAsia="zh-CN"/>
        </w:rPr>
        <w:t>*r</w:t>
      </w:r>
      <w:r w:rsidRPr="00E67914">
        <w:rPr>
          <w:rFonts w:ascii="Times New Roman" w:hAnsi="Times New Roman"/>
          <w:szCs w:val="21"/>
          <w:vertAlign w:val="superscript"/>
          <w:lang w:eastAsia="zh-CN"/>
        </w:rPr>
        <w:t>2</w:t>
      </w:r>
      <w:r w:rsidRPr="00E67914">
        <w:rPr>
          <w:rFonts w:ascii="Times New Roman" w:hAnsi="Times New Roman"/>
          <w:szCs w:val="21"/>
          <w:lang w:eastAsia="zh-CN"/>
        </w:rPr>
        <w:t>*d*2.5</w:t>
      </w:r>
    </w:p>
    <w:p w14:paraId="5395DCC7" w14:textId="77777777" w:rsidR="00A54A8A" w:rsidRPr="00E67914" w:rsidRDefault="00000000">
      <w:pPr>
        <w:spacing w:line="360" w:lineRule="auto"/>
        <w:ind w:firstLine="420"/>
        <w:jc w:val="center"/>
        <w:rPr>
          <w:rFonts w:ascii="Times New Roman" w:hAnsi="Times New Roman"/>
          <w:szCs w:val="21"/>
          <w:lang w:eastAsia="zh-CN"/>
        </w:rPr>
      </w:pPr>
      <w:r w:rsidRPr="00E67914">
        <w:rPr>
          <w:rFonts w:ascii="Times New Roman" w:hAnsi="Times New Roman"/>
          <w:szCs w:val="21"/>
          <w:lang w:eastAsia="zh-CN"/>
        </w:rPr>
        <w:t>V</w:t>
      </w:r>
      <w:r w:rsidRPr="00E67914">
        <w:rPr>
          <w:rFonts w:ascii="Times New Roman" w:hAnsi="Times New Roman"/>
          <w:szCs w:val="21"/>
          <w:vertAlign w:val="subscript"/>
          <w:lang w:eastAsia="zh-CN"/>
        </w:rPr>
        <w:t>油基</w:t>
      </w:r>
      <w:r w:rsidRPr="00E67914">
        <w:rPr>
          <w:rFonts w:ascii="Times New Roman" w:hAnsi="Times New Roman"/>
          <w:szCs w:val="21"/>
          <w:lang w:eastAsia="zh-CN"/>
        </w:rPr>
        <w:t>=</w:t>
      </w:r>
      <w:r w:rsidRPr="00E67914">
        <w:rPr>
          <w:rFonts w:ascii="Times New Roman" w:hAnsi="Times New Roman"/>
          <w:szCs w:val="21"/>
        </w:rPr>
        <w:t>π</w:t>
      </w:r>
      <w:r w:rsidRPr="00E67914">
        <w:rPr>
          <w:rFonts w:ascii="Times New Roman" w:hAnsi="Times New Roman"/>
          <w:szCs w:val="21"/>
          <w:lang w:eastAsia="zh-CN"/>
        </w:rPr>
        <w:t>*r</w:t>
      </w:r>
      <w:r w:rsidRPr="00E67914">
        <w:rPr>
          <w:rFonts w:ascii="Times New Roman" w:hAnsi="Times New Roman"/>
          <w:szCs w:val="21"/>
          <w:vertAlign w:val="superscript"/>
          <w:lang w:eastAsia="zh-CN"/>
        </w:rPr>
        <w:t>2</w:t>
      </w:r>
      <w:r w:rsidRPr="00E67914">
        <w:rPr>
          <w:rFonts w:ascii="Times New Roman" w:hAnsi="Times New Roman"/>
          <w:szCs w:val="21"/>
          <w:lang w:eastAsia="zh-CN"/>
        </w:rPr>
        <w:t>*d*3</w:t>
      </w:r>
    </w:p>
    <w:p w14:paraId="3743ADDD" w14:textId="77777777" w:rsidR="00A54A8A" w:rsidRPr="00E67914" w:rsidRDefault="00000000">
      <w:pPr>
        <w:spacing w:line="360" w:lineRule="auto"/>
        <w:ind w:firstLine="480"/>
        <w:rPr>
          <w:rFonts w:ascii="Times New Roman" w:hAnsi="Times New Roman"/>
          <w:szCs w:val="21"/>
          <w:lang w:eastAsia="zh-CN"/>
        </w:rPr>
      </w:pPr>
      <w:r w:rsidRPr="00E67914">
        <w:rPr>
          <w:rFonts w:ascii="Times New Roman" w:hAnsi="Times New Roman"/>
          <w:szCs w:val="21"/>
          <w:lang w:eastAsia="zh-CN"/>
        </w:rPr>
        <w:t>式中：</w:t>
      </w:r>
    </w:p>
    <w:p w14:paraId="3A71BC85" w14:textId="77777777" w:rsidR="00A54A8A" w:rsidRPr="00E67914" w:rsidRDefault="00000000">
      <w:pPr>
        <w:spacing w:line="360" w:lineRule="auto"/>
        <w:ind w:firstLineChars="400" w:firstLine="880"/>
        <w:rPr>
          <w:rFonts w:ascii="Times New Roman" w:hAnsi="Times New Roman"/>
          <w:szCs w:val="21"/>
          <w:lang w:eastAsia="zh-CN"/>
        </w:rPr>
      </w:pPr>
      <w:r w:rsidRPr="00E67914">
        <w:rPr>
          <w:rFonts w:ascii="Times New Roman" w:hAnsi="Times New Roman"/>
          <w:szCs w:val="21"/>
          <w:lang w:eastAsia="zh-CN"/>
        </w:rPr>
        <w:t>r—</w:t>
      </w:r>
      <w:r w:rsidRPr="00E67914">
        <w:rPr>
          <w:rFonts w:ascii="Times New Roman" w:hAnsi="Times New Roman"/>
          <w:szCs w:val="21"/>
          <w:lang w:eastAsia="zh-CN"/>
        </w:rPr>
        <w:t>钻头尺寸半径；</w:t>
      </w:r>
    </w:p>
    <w:p w14:paraId="385A0DDD" w14:textId="77777777" w:rsidR="00A54A8A" w:rsidRPr="00E67914" w:rsidRDefault="00000000">
      <w:pPr>
        <w:spacing w:line="360" w:lineRule="auto"/>
        <w:ind w:firstLineChars="400" w:firstLine="880"/>
        <w:rPr>
          <w:rFonts w:ascii="Times New Roman" w:hAnsi="Times New Roman"/>
          <w:szCs w:val="21"/>
          <w:lang w:eastAsia="zh-CN"/>
        </w:rPr>
      </w:pPr>
      <w:r w:rsidRPr="00E67914">
        <w:rPr>
          <w:rFonts w:ascii="Times New Roman" w:hAnsi="Times New Roman"/>
          <w:szCs w:val="21"/>
          <w:lang w:eastAsia="zh-CN"/>
        </w:rPr>
        <w:t>d—</w:t>
      </w:r>
      <w:r w:rsidRPr="00E67914">
        <w:rPr>
          <w:rFonts w:ascii="Times New Roman" w:hAnsi="Times New Roman"/>
          <w:szCs w:val="21"/>
          <w:lang w:eastAsia="zh-CN"/>
        </w:rPr>
        <w:t>该段长度。</w:t>
      </w:r>
    </w:p>
    <w:p w14:paraId="71D29F10"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3.4-7  </w:t>
      </w:r>
      <w:r w:rsidRPr="00E67914">
        <w:rPr>
          <w:rFonts w:ascii="Times New Roman" w:eastAsia="黑体" w:hAnsi="Times New Roman"/>
          <w:sz w:val="21"/>
          <w:szCs w:val="21"/>
          <w:lang w:eastAsia="zh-CN"/>
        </w:rPr>
        <w:t>钻井岩屑计算参数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599"/>
        <w:gridCol w:w="1544"/>
        <w:gridCol w:w="1216"/>
        <w:gridCol w:w="1488"/>
        <w:gridCol w:w="1324"/>
      </w:tblGrid>
      <w:tr w:rsidR="00E67914" w:rsidRPr="00E67914" w14:paraId="03860D79" w14:textId="77777777">
        <w:trPr>
          <w:trHeight w:val="369"/>
          <w:tblHeader/>
          <w:jc w:val="center"/>
        </w:trPr>
        <w:tc>
          <w:tcPr>
            <w:tcW w:w="1129" w:type="dxa"/>
            <w:tcBorders>
              <w:top w:val="single" w:sz="4" w:space="0" w:color="auto"/>
              <w:left w:val="single" w:sz="4" w:space="0" w:color="auto"/>
              <w:bottom w:val="single" w:sz="4" w:space="0" w:color="auto"/>
              <w:right w:val="single" w:sz="4" w:space="0" w:color="auto"/>
            </w:tcBorders>
            <w:vAlign w:val="center"/>
          </w:tcPr>
          <w:p w14:paraId="382D2977" w14:textId="77777777" w:rsidR="00A54A8A" w:rsidRPr="00E67914" w:rsidRDefault="00000000">
            <w:pPr>
              <w:pStyle w:val="04"/>
              <w:rPr>
                <w:rFonts w:cs="Times New Roman"/>
                <w:b/>
                <w:bCs/>
              </w:rPr>
            </w:pPr>
            <w:r w:rsidRPr="00E67914">
              <w:rPr>
                <w:rFonts w:cs="Times New Roman"/>
                <w:b/>
                <w:bCs/>
              </w:rPr>
              <w:t>井号</w:t>
            </w:r>
          </w:p>
        </w:tc>
        <w:tc>
          <w:tcPr>
            <w:tcW w:w="1599" w:type="dxa"/>
            <w:tcBorders>
              <w:top w:val="single" w:sz="4" w:space="0" w:color="auto"/>
              <w:left w:val="single" w:sz="4" w:space="0" w:color="auto"/>
              <w:bottom w:val="single" w:sz="4" w:space="0" w:color="auto"/>
              <w:right w:val="single" w:sz="4" w:space="0" w:color="auto"/>
            </w:tcBorders>
            <w:vAlign w:val="center"/>
          </w:tcPr>
          <w:p w14:paraId="379C8F6D" w14:textId="77777777" w:rsidR="00A54A8A" w:rsidRPr="00E67914" w:rsidRDefault="00000000">
            <w:pPr>
              <w:pStyle w:val="04"/>
              <w:rPr>
                <w:rFonts w:cs="Times New Roman"/>
                <w:b/>
                <w:bCs/>
              </w:rPr>
            </w:pPr>
            <w:r w:rsidRPr="00E67914">
              <w:rPr>
                <w:rFonts w:cs="Times New Roman"/>
                <w:b/>
                <w:bCs/>
              </w:rPr>
              <w:t>开次</w:t>
            </w:r>
          </w:p>
        </w:tc>
        <w:tc>
          <w:tcPr>
            <w:tcW w:w="1544" w:type="dxa"/>
            <w:tcBorders>
              <w:top w:val="single" w:sz="4" w:space="0" w:color="auto"/>
              <w:left w:val="single" w:sz="4" w:space="0" w:color="auto"/>
              <w:bottom w:val="single" w:sz="4" w:space="0" w:color="auto"/>
              <w:right w:val="single" w:sz="4" w:space="0" w:color="auto"/>
            </w:tcBorders>
            <w:vAlign w:val="center"/>
          </w:tcPr>
          <w:p w14:paraId="0C37103C" w14:textId="77777777" w:rsidR="00A54A8A" w:rsidRPr="00E67914" w:rsidRDefault="00000000">
            <w:pPr>
              <w:pStyle w:val="04"/>
              <w:rPr>
                <w:rFonts w:cs="Times New Roman"/>
                <w:b/>
                <w:bCs/>
              </w:rPr>
            </w:pPr>
            <w:r w:rsidRPr="00E67914">
              <w:rPr>
                <w:rFonts w:cs="Times New Roman"/>
                <w:b/>
                <w:bCs/>
              </w:rPr>
              <w:t>钻头尺寸</w:t>
            </w:r>
            <w:r w:rsidRPr="00E67914">
              <w:rPr>
                <w:rFonts w:cs="Times New Roman"/>
                <w:b/>
                <w:bCs/>
              </w:rPr>
              <w:t>mm</w:t>
            </w:r>
          </w:p>
        </w:tc>
        <w:tc>
          <w:tcPr>
            <w:tcW w:w="1216" w:type="dxa"/>
            <w:tcBorders>
              <w:top w:val="single" w:sz="4" w:space="0" w:color="auto"/>
              <w:left w:val="single" w:sz="4" w:space="0" w:color="auto"/>
              <w:bottom w:val="single" w:sz="4" w:space="0" w:color="auto"/>
              <w:right w:val="single" w:sz="4" w:space="0" w:color="auto"/>
            </w:tcBorders>
            <w:vAlign w:val="center"/>
          </w:tcPr>
          <w:p w14:paraId="377673C9" w14:textId="77777777" w:rsidR="00A54A8A" w:rsidRPr="00E67914" w:rsidRDefault="00000000">
            <w:pPr>
              <w:pStyle w:val="04"/>
              <w:rPr>
                <w:rFonts w:cs="Times New Roman"/>
                <w:b/>
                <w:bCs/>
              </w:rPr>
            </w:pPr>
            <w:r w:rsidRPr="00E67914">
              <w:rPr>
                <w:rFonts w:cs="Times New Roman"/>
                <w:b/>
                <w:bCs/>
              </w:rPr>
              <w:t>总进尺（</w:t>
            </w:r>
            <w:r w:rsidRPr="00E67914">
              <w:rPr>
                <w:rFonts w:cs="Times New Roman"/>
                <w:b/>
                <w:bCs/>
              </w:rPr>
              <w:t>m</w:t>
            </w:r>
            <w:r w:rsidRPr="00E67914">
              <w:rPr>
                <w:rFonts w:cs="Times New Roman"/>
                <w:b/>
                <w:bCs/>
              </w:rPr>
              <w:t>）</w:t>
            </w:r>
          </w:p>
        </w:tc>
        <w:tc>
          <w:tcPr>
            <w:tcW w:w="1488" w:type="dxa"/>
            <w:tcBorders>
              <w:top w:val="single" w:sz="4" w:space="0" w:color="auto"/>
              <w:left w:val="single" w:sz="4" w:space="0" w:color="auto"/>
              <w:bottom w:val="single" w:sz="4" w:space="0" w:color="auto"/>
              <w:right w:val="single" w:sz="4" w:space="0" w:color="auto"/>
            </w:tcBorders>
            <w:vAlign w:val="center"/>
          </w:tcPr>
          <w:p w14:paraId="5644C361" w14:textId="77777777" w:rsidR="00A54A8A" w:rsidRPr="00E67914" w:rsidRDefault="00000000">
            <w:pPr>
              <w:pStyle w:val="04"/>
              <w:rPr>
                <w:rFonts w:cs="Times New Roman"/>
                <w:b/>
                <w:bCs/>
              </w:rPr>
            </w:pPr>
            <w:r w:rsidRPr="00E67914">
              <w:rPr>
                <w:rFonts w:cs="Times New Roman"/>
                <w:b/>
                <w:bCs/>
              </w:rPr>
              <w:t>计算值（</w:t>
            </w:r>
            <w:r w:rsidRPr="00E67914">
              <w:rPr>
                <w:rFonts w:cs="Times New Roman"/>
                <w:b/>
                <w:bCs/>
              </w:rPr>
              <w:t>m</w:t>
            </w:r>
            <w:r w:rsidRPr="00E67914">
              <w:rPr>
                <w:rFonts w:cs="Times New Roman"/>
                <w:b/>
                <w:bCs/>
                <w:vertAlign w:val="superscript"/>
              </w:rPr>
              <w:t>3</w:t>
            </w:r>
            <w:r w:rsidRPr="00E67914">
              <w:rPr>
                <w:rFonts w:cs="Times New Roman"/>
                <w:b/>
                <w:bCs/>
              </w:rPr>
              <w:t>）</w:t>
            </w:r>
          </w:p>
        </w:tc>
        <w:tc>
          <w:tcPr>
            <w:tcW w:w="1324" w:type="dxa"/>
            <w:tcBorders>
              <w:top w:val="single" w:sz="4" w:space="0" w:color="auto"/>
              <w:left w:val="single" w:sz="4" w:space="0" w:color="auto"/>
              <w:bottom w:val="single" w:sz="4" w:space="0" w:color="auto"/>
              <w:right w:val="single" w:sz="4" w:space="0" w:color="auto"/>
            </w:tcBorders>
            <w:vAlign w:val="center"/>
          </w:tcPr>
          <w:p w14:paraId="27084684" w14:textId="77777777" w:rsidR="00A54A8A" w:rsidRPr="00E67914" w:rsidRDefault="00000000">
            <w:pPr>
              <w:pStyle w:val="04"/>
              <w:rPr>
                <w:rFonts w:cs="Times New Roman"/>
                <w:b/>
                <w:bCs/>
              </w:rPr>
            </w:pPr>
            <w:r w:rsidRPr="00E67914">
              <w:rPr>
                <w:rFonts w:cs="Times New Roman"/>
                <w:b/>
                <w:bCs/>
              </w:rPr>
              <w:t>固废类型</w:t>
            </w:r>
          </w:p>
        </w:tc>
      </w:tr>
      <w:tr w:rsidR="00E67914" w:rsidRPr="00E67914" w14:paraId="57B57DA5" w14:textId="77777777" w:rsidTr="00590918">
        <w:trPr>
          <w:trHeight w:val="369"/>
          <w:jc w:val="center"/>
        </w:trPr>
        <w:tc>
          <w:tcPr>
            <w:tcW w:w="1129" w:type="dxa"/>
            <w:vMerge w:val="restart"/>
            <w:tcBorders>
              <w:top w:val="single" w:sz="4" w:space="0" w:color="auto"/>
              <w:left w:val="single" w:sz="4" w:space="0" w:color="auto"/>
              <w:right w:val="single" w:sz="4" w:space="0" w:color="auto"/>
            </w:tcBorders>
            <w:vAlign w:val="center"/>
          </w:tcPr>
          <w:p w14:paraId="48BF946D" w14:textId="7BEC4858" w:rsidR="00590918" w:rsidRPr="00E67914" w:rsidRDefault="00590918" w:rsidP="00590918">
            <w:pPr>
              <w:pStyle w:val="04"/>
              <w:rPr>
                <w:rFonts w:cs="Times New Roman"/>
              </w:rPr>
            </w:pPr>
            <w:r w:rsidRPr="00E67914">
              <w:rPr>
                <w:rFonts w:cs="Times New Roman"/>
              </w:rPr>
              <w:t>新普陆页</w:t>
            </w:r>
            <w:r w:rsidRPr="00E67914">
              <w:rPr>
                <w:rFonts w:cs="Times New Roman"/>
              </w:rPr>
              <w:t>2</w:t>
            </w:r>
            <w:r w:rsidRPr="00E67914">
              <w:rPr>
                <w:rFonts w:cs="Times New Roman"/>
              </w:rPr>
              <w:t>井场（</w:t>
            </w:r>
            <w:r w:rsidRPr="00E67914">
              <w:rPr>
                <w:rFonts w:cs="Times New Roman"/>
              </w:rPr>
              <w:t>3</w:t>
            </w:r>
            <w:r w:rsidRPr="00E67914">
              <w:rPr>
                <w:rFonts w:cs="Times New Roman"/>
              </w:rPr>
              <w:t>口井）</w:t>
            </w:r>
          </w:p>
        </w:tc>
        <w:tc>
          <w:tcPr>
            <w:tcW w:w="1599" w:type="dxa"/>
            <w:tcBorders>
              <w:top w:val="single" w:sz="4" w:space="0" w:color="auto"/>
              <w:left w:val="single" w:sz="4" w:space="0" w:color="auto"/>
              <w:bottom w:val="single" w:sz="4" w:space="0" w:color="auto"/>
              <w:right w:val="single" w:sz="4" w:space="0" w:color="auto"/>
            </w:tcBorders>
            <w:vAlign w:val="center"/>
          </w:tcPr>
          <w:p w14:paraId="78ADFFA6" w14:textId="77777777" w:rsidR="00590918" w:rsidRPr="00E67914" w:rsidRDefault="00590918" w:rsidP="00590918">
            <w:pPr>
              <w:adjustRightInd w:val="0"/>
              <w:snapToGrid w:val="0"/>
              <w:jc w:val="center"/>
              <w:rPr>
                <w:rFonts w:ascii="Times New Roman" w:hAnsi="Times New Roman"/>
                <w:sz w:val="21"/>
                <w:szCs w:val="21"/>
              </w:rPr>
            </w:pPr>
            <w:r w:rsidRPr="00E67914">
              <w:rPr>
                <w:rFonts w:ascii="Times New Roman" w:hAnsi="Times New Roman"/>
                <w:sz w:val="21"/>
                <w:szCs w:val="21"/>
              </w:rPr>
              <w:t>导管</w:t>
            </w:r>
          </w:p>
        </w:tc>
        <w:tc>
          <w:tcPr>
            <w:tcW w:w="1544" w:type="dxa"/>
            <w:tcBorders>
              <w:top w:val="single" w:sz="4" w:space="0" w:color="auto"/>
              <w:left w:val="single" w:sz="4" w:space="0" w:color="auto"/>
              <w:bottom w:val="single" w:sz="4" w:space="0" w:color="auto"/>
              <w:right w:val="single" w:sz="4" w:space="0" w:color="auto"/>
            </w:tcBorders>
            <w:vAlign w:val="center"/>
          </w:tcPr>
          <w:p w14:paraId="46356C47" w14:textId="77777777" w:rsidR="00590918" w:rsidRPr="00E67914" w:rsidRDefault="00590918" w:rsidP="00590918">
            <w:pPr>
              <w:adjustRightInd w:val="0"/>
              <w:snapToGrid w:val="0"/>
              <w:jc w:val="center"/>
              <w:rPr>
                <w:rFonts w:ascii="Times New Roman" w:hAnsi="Times New Roman"/>
                <w:sz w:val="21"/>
                <w:szCs w:val="21"/>
              </w:rPr>
            </w:pPr>
            <w:r w:rsidRPr="00E67914">
              <w:rPr>
                <w:rFonts w:ascii="Times New Roman" w:hAnsi="Times New Roman"/>
                <w:sz w:val="21"/>
                <w:szCs w:val="21"/>
              </w:rPr>
              <w:t>660.4</w:t>
            </w:r>
          </w:p>
        </w:tc>
        <w:tc>
          <w:tcPr>
            <w:tcW w:w="1216" w:type="dxa"/>
            <w:tcBorders>
              <w:top w:val="single" w:sz="4" w:space="0" w:color="auto"/>
              <w:left w:val="single" w:sz="4" w:space="0" w:color="auto"/>
              <w:bottom w:val="single" w:sz="4" w:space="0" w:color="auto"/>
              <w:right w:val="single" w:sz="4" w:space="0" w:color="auto"/>
            </w:tcBorders>
            <w:vAlign w:val="center"/>
          </w:tcPr>
          <w:p w14:paraId="0A87CC11" w14:textId="4DCAC891" w:rsidR="00590918" w:rsidRPr="00E67914" w:rsidRDefault="00590918" w:rsidP="00590918">
            <w:pPr>
              <w:pStyle w:val="04"/>
              <w:rPr>
                <w:rFonts w:cs="Times New Roman"/>
              </w:rPr>
            </w:pPr>
            <w:r w:rsidRPr="00E67914">
              <w:rPr>
                <w:rFonts w:cs="Times New Roman"/>
              </w:rPr>
              <w:t>90</w:t>
            </w:r>
          </w:p>
        </w:tc>
        <w:tc>
          <w:tcPr>
            <w:tcW w:w="1488" w:type="dxa"/>
            <w:tcBorders>
              <w:top w:val="single" w:sz="4" w:space="0" w:color="auto"/>
              <w:left w:val="single" w:sz="4" w:space="0" w:color="auto"/>
              <w:bottom w:val="single" w:sz="4" w:space="0" w:color="auto"/>
              <w:right w:val="single" w:sz="4" w:space="0" w:color="auto"/>
            </w:tcBorders>
            <w:vAlign w:val="center"/>
          </w:tcPr>
          <w:p w14:paraId="16AC6DB6" w14:textId="3CD09997" w:rsidR="00590918" w:rsidRPr="00E67914" w:rsidRDefault="00590918" w:rsidP="00590918">
            <w:pPr>
              <w:pStyle w:val="04"/>
              <w:rPr>
                <w:rFonts w:eastAsia="方正小标宋_GBK" w:cs="Times New Roman"/>
              </w:rPr>
            </w:pPr>
            <w:r w:rsidRPr="00E67914">
              <w:rPr>
                <w:rFonts w:eastAsia="方正小标宋_GBK" w:cs="Times New Roman"/>
              </w:rPr>
              <w:t xml:space="preserve">77.07 </w:t>
            </w:r>
          </w:p>
        </w:tc>
        <w:tc>
          <w:tcPr>
            <w:tcW w:w="1324" w:type="dxa"/>
            <w:tcBorders>
              <w:top w:val="single" w:sz="4" w:space="0" w:color="auto"/>
              <w:left w:val="single" w:sz="4" w:space="0" w:color="auto"/>
              <w:bottom w:val="single" w:sz="4" w:space="0" w:color="auto"/>
              <w:right w:val="single" w:sz="4" w:space="0" w:color="auto"/>
            </w:tcBorders>
            <w:vAlign w:val="center"/>
          </w:tcPr>
          <w:p w14:paraId="6FF9A82B" w14:textId="77777777" w:rsidR="00590918" w:rsidRPr="00E67914" w:rsidRDefault="00590918" w:rsidP="00590918">
            <w:pPr>
              <w:pStyle w:val="04"/>
              <w:rPr>
                <w:rFonts w:cs="Times New Roman"/>
              </w:rPr>
            </w:pPr>
            <w:r w:rsidRPr="00E67914">
              <w:rPr>
                <w:rFonts w:cs="Times New Roman"/>
              </w:rPr>
              <w:t>清水岩屑</w:t>
            </w:r>
          </w:p>
        </w:tc>
      </w:tr>
      <w:tr w:rsidR="00E67914" w:rsidRPr="00E67914" w14:paraId="2B343C1A" w14:textId="77777777" w:rsidTr="00590918">
        <w:trPr>
          <w:trHeight w:val="285"/>
          <w:jc w:val="center"/>
        </w:trPr>
        <w:tc>
          <w:tcPr>
            <w:tcW w:w="1129" w:type="dxa"/>
            <w:vMerge/>
            <w:tcBorders>
              <w:left w:val="single" w:sz="4" w:space="0" w:color="auto"/>
              <w:right w:val="single" w:sz="4" w:space="0" w:color="auto"/>
            </w:tcBorders>
            <w:vAlign w:val="center"/>
          </w:tcPr>
          <w:p w14:paraId="68A1FEE0" w14:textId="77777777" w:rsidR="00590918" w:rsidRPr="00E67914" w:rsidRDefault="00590918" w:rsidP="00590918">
            <w:pPr>
              <w:pStyle w:val="04"/>
              <w:rPr>
                <w:rFonts w:cs="Times New Roman"/>
              </w:rPr>
            </w:pPr>
          </w:p>
        </w:tc>
        <w:tc>
          <w:tcPr>
            <w:tcW w:w="1599" w:type="dxa"/>
            <w:tcBorders>
              <w:top w:val="single" w:sz="4" w:space="0" w:color="auto"/>
              <w:left w:val="single" w:sz="4" w:space="0" w:color="auto"/>
              <w:bottom w:val="single" w:sz="4" w:space="0" w:color="auto"/>
              <w:right w:val="single" w:sz="4" w:space="0" w:color="auto"/>
            </w:tcBorders>
            <w:vAlign w:val="center"/>
          </w:tcPr>
          <w:p w14:paraId="29BBD2B5" w14:textId="77777777" w:rsidR="00590918" w:rsidRPr="00E67914" w:rsidRDefault="00590918" w:rsidP="00590918">
            <w:pPr>
              <w:adjustRightInd w:val="0"/>
              <w:snapToGrid w:val="0"/>
              <w:jc w:val="center"/>
              <w:rPr>
                <w:rFonts w:ascii="Times New Roman" w:hAnsi="Times New Roman"/>
                <w:sz w:val="21"/>
                <w:szCs w:val="21"/>
              </w:rPr>
            </w:pPr>
            <w:r w:rsidRPr="00E67914">
              <w:rPr>
                <w:rFonts w:ascii="Times New Roman" w:hAnsi="Times New Roman"/>
                <w:sz w:val="21"/>
                <w:szCs w:val="21"/>
              </w:rPr>
              <w:t>一开</w:t>
            </w:r>
          </w:p>
        </w:tc>
        <w:tc>
          <w:tcPr>
            <w:tcW w:w="1544" w:type="dxa"/>
            <w:tcBorders>
              <w:top w:val="single" w:sz="4" w:space="0" w:color="auto"/>
              <w:left w:val="single" w:sz="4" w:space="0" w:color="auto"/>
              <w:bottom w:val="single" w:sz="4" w:space="0" w:color="auto"/>
              <w:right w:val="single" w:sz="4" w:space="0" w:color="auto"/>
            </w:tcBorders>
            <w:vAlign w:val="center"/>
          </w:tcPr>
          <w:p w14:paraId="258F42D8" w14:textId="77777777" w:rsidR="00590918" w:rsidRPr="00E67914" w:rsidRDefault="00590918" w:rsidP="00590918">
            <w:pPr>
              <w:adjustRightInd w:val="0"/>
              <w:snapToGrid w:val="0"/>
              <w:jc w:val="center"/>
              <w:rPr>
                <w:rFonts w:ascii="Times New Roman" w:hAnsi="Times New Roman"/>
                <w:sz w:val="21"/>
                <w:szCs w:val="21"/>
              </w:rPr>
            </w:pPr>
            <w:r w:rsidRPr="00E67914">
              <w:rPr>
                <w:rFonts w:ascii="Times New Roman" w:hAnsi="Times New Roman"/>
                <w:sz w:val="21"/>
                <w:szCs w:val="21"/>
              </w:rPr>
              <w:t>406.4</w:t>
            </w:r>
          </w:p>
        </w:tc>
        <w:tc>
          <w:tcPr>
            <w:tcW w:w="1216" w:type="dxa"/>
            <w:tcBorders>
              <w:top w:val="single" w:sz="4" w:space="0" w:color="auto"/>
              <w:left w:val="single" w:sz="4" w:space="0" w:color="auto"/>
              <w:bottom w:val="single" w:sz="4" w:space="0" w:color="auto"/>
              <w:right w:val="single" w:sz="4" w:space="0" w:color="auto"/>
            </w:tcBorders>
            <w:vAlign w:val="center"/>
          </w:tcPr>
          <w:p w14:paraId="04043130" w14:textId="267AB229" w:rsidR="00590918" w:rsidRPr="00E67914" w:rsidRDefault="00590918" w:rsidP="00590918">
            <w:pPr>
              <w:pStyle w:val="04"/>
              <w:rPr>
                <w:rFonts w:eastAsia="方正小标宋_GBK" w:cs="Times New Roman"/>
              </w:rPr>
            </w:pPr>
            <w:r w:rsidRPr="00E67914">
              <w:rPr>
                <w:rFonts w:eastAsia="方正小标宋_GBK" w:cs="Times New Roman"/>
              </w:rPr>
              <w:t>903</w:t>
            </w:r>
          </w:p>
        </w:tc>
        <w:tc>
          <w:tcPr>
            <w:tcW w:w="1488" w:type="dxa"/>
            <w:tcBorders>
              <w:top w:val="single" w:sz="4" w:space="0" w:color="auto"/>
              <w:left w:val="single" w:sz="4" w:space="0" w:color="auto"/>
              <w:bottom w:val="single" w:sz="4" w:space="0" w:color="auto"/>
              <w:right w:val="single" w:sz="4" w:space="0" w:color="auto"/>
            </w:tcBorders>
            <w:vAlign w:val="center"/>
          </w:tcPr>
          <w:p w14:paraId="2FDFB450" w14:textId="1FE473DE" w:rsidR="00590918" w:rsidRPr="00E67914" w:rsidRDefault="00590918" w:rsidP="00590918">
            <w:pPr>
              <w:pStyle w:val="04"/>
              <w:rPr>
                <w:rFonts w:eastAsia="方正小标宋_GBK" w:cs="Times New Roman"/>
              </w:rPr>
            </w:pPr>
            <w:r w:rsidRPr="00E67914">
              <w:rPr>
                <w:rFonts w:eastAsia="方正小标宋_GBK" w:cs="Times New Roman"/>
              </w:rPr>
              <w:t xml:space="preserve">292.84 </w:t>
            </w:r>
          </w:p>
        </w:tc>
        <w:tc>
          <w:tcPr>
            <w:tcW w:w="1324" w:type="dxa"/>
            <w:tcBorders>
              <w:top w:val="single" w:sz="4" w:space="0" w:color="auto"/>
              <w:left w:val="single" w:sz="4" w:space="0" w:color="auto"/>
              <w:right w:val="single" w:sz="4" w:space="0" w:color="auto"/>
            </w:tcBorders>
            <w:vAlign w:val="center"/>
          </w:tcPr>
          <w:p w14:paraId="34152B8B" w14:textId="5D37EC2D" w:rsidR="00590918" w:rsidRPr="00E67914" w:rsidRDefault="00590918" w:rsidP="00590918">
            <w:pPr>
              <w:pStyle w:val="04"/>
              <w:rPr>
                <w:rFonts w:cs="Times New Roman"/>
              </w:rPr>
            </w:pPr>
            <w:r w:rsidRPr="00E67914">
              <w:rPr>
                <w:rFonts w:cs="Times New Roman"/>
              </w:rPr>
              <w:t>水基岩屑</w:t>
            </w:r>
          </w:p>
        </w:tc>
      </w:tr>
      <w:tr w:rsidR="00E67914" w:rsidRPr="00E67914" w14:paraId="0A02B326" w14:textId="77777777" w:rsidTr="00590918">
        <w:trPr>
          <w:trHeight w:val="369"/>
          <w:jc w:val="center"/>
        </w:trPr>
        <w:tc>
          <w:tcPr>
            <w:tcW w:w="1129" w:type="dxa"/>
            <w:vMerge/>
            <w:tcBorders>
              <w:left w:val="single" w:sz="4" w:space="0" w:color="auto"/>
              <w:right w:val="single" w:sz="4" w:space="0" w:color="auto"/>
            </w:tcBorders>
            <w:vAlign w:val="center"/>
          </w:tcPr>
          <w:p w14:paraId="0DF28BAA" w14:textId="77777777" w:rsidR="00590918" w:rsidRPr="00E67914" w:rsidRDefault="00590918" w:rsidP="00590918">
            <w:pPr>
              <w:pStyle w:val="04"/>
              <w:rPr>
                <w:rFonts w:cs="Times New Roman"/>
              </w:rPr>
            </w:pPr>
          </w:p>
        </w:tc>
        <w:tc>
          <w:tcPr>
            <w:tcW w:w="1599" w:type="dxa"/>
            <w:tcBorders>
              <w:top w:val="single" w:sz="4" w:space="0" w:color="auto"/>
              <w:left w:val="single" w:sz="4" w:space="0" w:color="auto"/>
              <w:bottom w:val="single" w:sz="4" w:space="0" w:color="auto"/>
              <w:right w:val="single" w:sz="4" w:space="0" w:color="auto"/>
            </w:tcBorders>
            <w:vAlign w:val="center"/>
          </w:tcPr>
          <w:p w14:paraId="2CE4A08C" w14:textId="77777777" w:rsidR="00590918" w:rsidRPr="00E67914" w:rsidRDefault="00590918" w:rsidP="00590918">
            <w:pPr>
              <w:adjustRightInd w:val="0"/>
              <w:snapToGrid w:val="0"/>
              <w:jc w:val="center"/>
              <w:rPr>
                <w:rFonts w:ascii="Times New Roman" w:hAnsi="Times New Roman"/>
                <w:sz w:val="21"/>
                <w:szCs w:val="21"/>
              </w:rPr>
            </w:pPr>
            <w:r w:rsidRPr="00E67914">
              <w:rPr>
                <w:rFonts w:ascii="Times New Roman" w:hAnsi="Times New Roman"/>
                <w:sz w:val="21"/>
                <w:szCs w:val="21"/>
              </w:rPr>
              <w:t>二开</w:t>
            </w:r>
          </w:p>
        </w:tc>
        <w:tc>
          <w:tcPr>
            <w:tcW w:w="1544" w:type="dxa"/>
            <w:tcBorders>
              <w:top w:val="single" w:sz="4" w:space="0" w:color="auto"/>
              <w:left w:val="single" w:sz="4" w:space="0" w:color="auto"/>
              <w:bottom w:val="single" w:sz="4" w:space="0" w:color="auto"/>
              <w:right w:val="single" w:sz="4" w:space="0" w:color="auto"/>
            </w:tcBorders>
            <w:vAlign w:val="center"/>
          </w:tcPr>
          <w:p w14:paraId="59EFDFA4" w14:textId="77777777" w:rsidR="00590918" w:rsidRPr="00E67914" w:rsidRDefault="00590918" w:rsidP="00590918">
            <w:pPr>
              <w:adjustRightInd w:val="0"/>
              <w:snapToGrid w:val="0"/>
              <w:jc w:val="center"/>
              <w:rPr>
                <w:rFonts w:ascii="Times New Roman" w:hAnsi="Times New Roman"/>
                <w:sz w:val="21"/>
                <w:szCs w:val="21"/>
              </w:rPr>
            </w:pPr>
            <w:r w:rsidRPr="00E67914">
              <w:rPr>
                <w:rFonts w:ascii="Times New Roman" w:hAnsi="Times New Roman"/>
                <w:sz w:val="21"/>
                <w:szCs w:val="21"/>
              </w:rPr>
              <w:t>311.2</w:t>
            </w:r>
          </w:p>
        </w:tc>
        <w:tc>
          <w:tcPr>
            <w:tcW w:w="1216" w:type="dxa"/>
            <w:tcBorders>
              <w:top w:val="single" w:sz="4" w:space="0" w:color="auto"/>
              <w:left w:val="single" w:sz="4" w:space="0" w:color="auto"/>
              <w:bottom w:val="single" w:sz="4" w:space="0" w:color="auto"/>
              <w:right w:val="single" w:sz="4" w:space="0" w:color="auto"/>
            </w:tcBorders>
            <w:vAlign w:val="center"/>
          </w:tcPr>
          <w:p w14:paraId="62638D0A" w14:textId="1B2AAD65" w:rsidR="00590918" w:rsidRPr="00E67914" w:rsidRDefault="00590918" w:rsidP="00590918">
            <w:pPr>
              <w:pStyle w:val="04"/>
              <w:rPr>
                <w:rFonts w:eastAsia="方正小标宋_GBK" w:cs="Times New Roman"/>
              </w:rPr>
            </w:pPr>
            <w:r w:rsidRPr="00E67914">
              <w:rPr>
                <w:rFonts w:eastAsia="方正小标宋_GBK" w:cs="Times New Roman"/>
              </w:rPr>
              <w:t>9742</w:t>
            </w:r>
          </w:p>
        </w:tc>
        <w:tc>
          <w:tcPr>
            <w:tcW w:w="1488" w:type="dxa"/>
            <w:tcBorders>
              <w:top w:val="single" w:sz="4" w:space="0" w:color="auto"/>
              <w:left w:val="single" w:sz="4" w:space="0" w:color="auto"/>
              <w:bottom w:val="single" w:sz="4" w:space="0" w:color="auto"/>
              <w:right w:val="single" w:sz="4" w:space="0" w:color="auto"/>
            </w:tcBorders>
            <w:vAlign w:val="center"/>
          </w:tcPr>
          <w:p w14:paraId="20269925" w14:textId="51B3F3F0" w:rsidR="00590918" w:rsidRPr="00E67914" w:rsidRDefault="00590918" w:rsidP="00590918">
            <w:pPr>
              <w:pStyle w:val="04"/>
              <w:rPr>
                <w:rFonts w:eastAsia="方正小标宋_GBK" w:cs="Times New Roman"/>
              </w:rPr>
            </w:pPr>
            <w:r w:rsidRPr="00E67914">
              <w:rPr>
                <w:rFonts w:eastAsia="方正小标宋_GBK" w:cs="Times New Roman"/>
              </w:rPr>
              <w:t xml:space="preserve">1852.49 </w:t>
            </w:r>
          </w:p>
        </w:tc>
        <w:tc>
          <w:tcPr>
            <w:tcW w:w="1324" w:type="dxa"/>
            <w:tcBorders>
              <w:left w:val="single" w:sz="4" w:space="0" w:color="auto"/>
              <w:bottom w:val="single" w:sz="4" w:space="0" w:color="auto"/>
              <w:right w:val="single" w:sz="4" w:space="0" w:color="auto"/>
            </w:tcBorders>
            <w:vAlign w:val="center"/>
          </w:tcPr>
          <w:p w14:paraId="03CDD21F" w14:textId="77777777" w:rsidR="00590918" w:rsidRPr="00E67914" w:rsidRDefault="00590918" w:rsidP="00590918">
            <w:pPr>
              <w:pStyle w:val="04"/>
              <w:rPr>
                <w:rFonts w:eastAsia="等线" w:cs="Times New Roman"/>
              </w:rPr>
            </w:pPr>
            <w:r w:rsidRPr="00E67914">
              <w:rPr>
                <w:rFonts w:cs="Times New Roman"/>
              </w:rPr>
              <w:t>水基岩屑</w:t>
            </w:r>
          </w:p>
        </w:tc>
      </w:tr>
      <w:tr w:rsidR="00E67914" w:rsidRPr="00E67914" w14:paraId="3903586A" w14:textId="77777777" w:rsidTr="00590918">
        <w:trPr>
          <w:trHeight w:val="369"/>
          <w:jc w:val="center"/>
        </w:trPr>
        <w:tc>
          <w:tcPr>
            <w:tcW w:w="1129" w:type="dxa"/>
            <w:vMerge/>
            <w:tcBorders>
              <w:left w:val="single" w:sz="4" w:space="0" w:color="auto"/>
              <w:right w:val="single" w:sz="4" w:space="0" w:color="auto"/>
            </w:tcBorders>
            <w:vAlign w:val="center"/>
          </w:tcPr>
          <w:p w14:paraId="2F7694E7" w14:textId="77777777" w:rsidR="00590918" w:rsidRPr="00E67914" w:rsidRDefault="00590918" w:rsidP="00590918">
            <w:pPr>
              <w:pStyle w:val="04"/>
              <w:rPr>
                <w:rFonts w:cs="Times New Roman"/>
              </w:rPr>
            </w:pPr>
          </w:p>
        </w:tc>
        <w:tc>
          <w:tcPr>
            <w:tcW w:w="1599" w:type="dxa"/>
            <w:tcBorders>
              <w:top w:val="single" w:sz="4" w:space="0" w:color="auto"/>
              <w:left w:val="single" w:sz="4" w:space="0" w:color="auto"/>
              <w:bottom w:val="single" w:sz="4" w:space="0" w:color="auto"/>
              <w:right w:val="single" w:sz="4" w:space="0" w:color="auto"/>
            </w:tcBorders>
            <w:vAlign w:val="center"/>
          </w:tcPr>
          <w:p w14:paraId="733B3F47" w14:textId="456C7082" w:rsidR="00590918" w:rsidRPr="00E67914" w:rsidRDefault="00590918" w:rsidP="00590918">
            <w:pPr>
              <w:adjustRightInd w:val="0"/>
              <w:snapToGrid w:val="0"/>
              <w:jc w:val="center"/>
              <w:rPr>
                <w:rFonts w:ascii="Times New Roman" w:hAnsi="Times New Roman"/>
                <w:sz w:val="21"/>
                <w:szCs w:val="21"/>
              </w:rPr>
            </w:pPr>
            <w:r w:rsidRPr="00E67914">
              <w:rPr>
                <w:rFonts w:ascii="Times New Roman" w:hAnsi="Times New Roman"/>
                <w:sz w:val="21"/>
                <w:szCs w:val="21"/>
              </w:rPr>
              <w:t>三开</w:t>
            </w:r>
          </w:p>
        </w:tc>
        <w:tc>
          <w:tcPr>
            <w:tcW w:w="1544" w:type="dxa"/>
            <w:tcBorders>
              <w:top w:val="single" w:sz="4" w:space="0" w:color="auto"/>
              <w:left w:val="single" w:sz="4" w:space="0" w:color="auto"/>
              <w:bottom w:val="single" w:sz="4" w:space="0" w:color="auto"/>
              <w:right w:val="single" w:sz="4" w:space="0" w:color="auto"/>
            </w:tcBorders>
            <w:vAlign w:val="center"/>
          </w:tcPr>
          <w:p w14:paraId="42F76D12" w14:textId="77777777" w:rsidR="00590918" w:rsidRPr="00E67914" w:rsidRDefault="00590918" w:rsidP="00590918">
            <w:pPr>
              <w:adjustRightInd w:val="0"/>
              <w:snapToGrid w:val="0"/>
              <w:jc w:val="center"/>
              <w:rPr>
                <w:rFonts w:ascii="Times New Roman" w:hAnsi="Times New Roman"/>
                <w:sz w:val="21"/>
                <w:szCs w:val="21"/>
              </w:rPr>
            </w:pPr>
            <w:r w:rsidRPr="00E67914">
              <w:rPr>
                <w:rFonts w:ascii="Times New Roman" w:hAnsi="Times New Roman"/>
                <w:sz w:val="21"/>
                <w:szCs w:val="21"/>
              </w:rPr>
              <w:t>215.9</w:t>
            </w:r>
          </w:p>
        </w:tc>
        <w:tc>
          <w:tcPr>
            <w:tcW w:w="1216" w:type="dxa"/>
            <w:tcBorders>
              <w:top w:val="single" w:sz="4" w:space="0" w:color="auto"/>
              <w:left w:val="single" w:sz="4" w:space="0" w:color="auto"/>
              <w:bottom w:val="single" w:sz="4" w:space="0" w:color="auto"/>
              <w:right w:val="single" w:sz="4" w:space="0" w:color="auto"/>
            </w:tcBorders>
            <w:vAlign w:val="center"/>
          </w:tcPr>
          <w:p w14:paraId="29202322" w14:textId="03BDE785" w:rsidR="00590918" w:rsidRPr="00E67914" w:rsidRDefault="00590918" w:rsidP="00590918">
            <w:pPr>
              <w:pStyle w:val="04"/>
              <w:rPr>
                <w:rFonts w:eastAsia="方正小标宋_GBK" w:cs="Times New Roman"/>
              </w:rPr>
            </w:pPr>
            <w:r w:rsidRPr="00E67914">
              <w:rPr>
                <w:rFonts w:eastAsia="方正小标宋_GBK" w:cs="Times New Roman"/>
              </w:rPr>
              <w:t>4863</w:t>
            </w:r>
          </w:p>
        </w:tc>
        <w:tc>
          <w:tcPr>
            <w:tcW w:w="1488" w:type="dxa"/>
            <w:tcBorders>
              <w:top w:val="single" w:sz="4" w:space="0" w:color="auto"/>
              <w:left w:val="single" w:sz="4" w:space="0" w:color="auto"/>
              <w:bottom w:val="single" w:sz="4" w:space="0" w:color="auto"/>
              <w:right w:val="single" w:sz="4" w:space="0" w:color="auto"/>
            </w:tcBorders>
            <w:vAlign w:val="center"/>
          </w:tcPr>
          <w:p w14:paraId="50F08FCA" w14:textId="09526CC7" w:rsidR="00590918" w:rsidRPr="00E67914" w:rsidRDefault="00590918" w:rsidP="00590918">
            <w:pPr>
              <w:pStyle w:val="04"/>
              <w:rPr>
                <w:rFonts w:eastAsia="方正小标宋_GBK" w:cs="Times New Roman"/>
              </w:rPr>
            </w:pPr>
            <w:r w:rsidRPr="00E67914">
              <w:rPr>
                <w:rFonts w:eastAsia="方正小标宋_GBK" w:cs="Times New Roman"/>
              </w:rPr>
              <w:t xml:space="preserve">534.10 </w:t>
            </w:r>
          </w:p>
        </w:tc>
        <w:tc>
          <w:tcPr>
            <w:tcW w:w="1324" w:type="dxa"/>
            <w:tcBorders>
              <w:top w:val="single" w:sz="4" w:space="0" w:color="auto"/>
              <w:left w:val="single" w:sz="4" w:space="0" w:color="auto"/>
              <w:bottom w:val="single" w:sz="4" w:space="0" w:color="auto"/>
              <w:right w:val="single" w:sz="4" w:space="0" w:color="auto"/>
            </w:tcBorders>
            <w:vAlign w:val="center"/>
          </w:tcPr>
          <w:p w14:paraId="37C91A51" w14:textId="77777777" w:rsidR="00590918" w:rsidRPr="00E67914" w:rsidRDefault="00590918" w:rsidP="00590918">
            <w:pPr>
              <w:pStyle w:val="04"/>
              <w:rPr>
                <w:rFonts w:cs="Times New Roman"/>
              </w:rPr>
            </w:pPr>
            <w:r w:rsidRPr="00E67914">
              <w:rPr>
                <w:rFonts w:cs="Times New Roman"/>
              </w:rPr>
              <w:t>油基岩屑</w:t>
            </w:r>
          </w:p>
        </w:tc>
      </w:tr>
    </w:tbl>
    <w:p w14:paraId="50639CD2" w14:textId="6A1DD1FA" w:rsidR="00A54A8A" w:rsidRPr="00E67914" w:rsidRDefault="00000000">
      <w:pPr>
        <w:adjustRightInd w:val="0"/>
        <w:spacing w:beforeLines="50" w:before="120"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本项目清水、水基岩屑产生量约为</w:t>
      </w:r>
      <w:r w:rsidR="00590918" w:rsidRPr="00E67914">
        <w:rPr>
          <w:rFonts w:ascii="Times New Roman" w:hAnsi="Times New Roman"/>
          <w:sz w:val="24"/>
          <w:lang w:eastAsia="zh-CN"/>
        </w:rPr>
        <w:t>2222.40</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，油基岩屑的产生量约为</w:t>
      </w:r>
      <w:r w:rsidR="00590918" w:rsidRPr="00E67914">
        <w:rPr>
          <w:rFonts w:ascii="Times New Roman" w:hAnsi="Times New Roman"/>
          <w:sz w:val="24"/>
          <w:lang w:eastAsia="zh-CN"/>
        </w:rPr>
        <w:t>534.10</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w:t>
      </w:r>
    </w:p>
    <w:p w14:paraId="1883F49D" w14:textId="4A0AAD0A"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根据统计资料经泥浆不落地装置处理后水基钻井固废容重约</w:t>
      </w:r>
      <w:r w:rsidRPr="00E67914">
        <w:rPr>
          <w:rFonts w:ascii="Times New Roman" w:hAnsi="Times New Roman"/>
          <w:szCs w:val="24"/>
        </w:rPr>
        <w:t>1.8t/m</w:t>
      </w:r>
      <w:r w:rsidRPr="00E67914">
        <w:rPr>
          <w:rFonts w:ascii="Times New Roman" w:hAnsi="Times New Roman"/>
          <w:szCs w:val="24"/>
          <w:vertAlign w:val="superscript"/>
        </w:rPr>
        <w:t>3</w:t>
      </w:r>
      <w:r w:rsidRPr="00E67914">
        <w:rPr>
          <w:rFonts w:ascii="Times New Roman" w:hAnsi="Times New Roman"/>
          <w:szCs w:val="24"/>
        </w:rPr>
        <w:t>，故</w:t>
      </w:r>
      <w:r w:rsidR="00590918" w:rsidRPr="00E67914">
        <w:rPr>
          <w:rFonts w:ascii="Times New Roman" w:hAnsi="Times New Roman"/>
          <w:szCs w:val="24"/>
        </w:rPr>
        <w:t>水基</w:t>
      </w:r>
      <w:r w:rsidRPr="00E67914">
        <w:rPr>
          <w:rFonts w:ascii="Times New Roman" w:hAnsi="Times New Roman"/>
          <w:szCs w:val="24"/>
        </w:rPr>
        <w:t>岩屑和废弃</w:t>
      </w:r>
      <w:r w:rsidR="00590918" w:rsidRPr="00E67914">
        <w:rPr>
          <w:rFonts w:ascii="Times New Roman" w:hAnsi="Times New Roman"/>
          <w:szCs w:val="24"/>
        </w:rPr>
        <w:t>水基</w:t>
      </w:r>
      <w:r w:rsidRPr="00E67914">
        <w:rPr>
          <w:rFonts w:ascii="Times New Roman" w:hAnsi="Times New Roman"/>
          <w:szCs w:val="24"/>
        </w:rPr>
        <w:t>泥浆产生量约</w:t>
      </w:r>
      <w:r w:rsidR="00590918" w:rsidRPr="00E67914">
        <w:rPr>
          <w:rFonts w:ascii="Times New Roman" w:hAnsi="Times New Roman"/>
          <w:szCs w:val="24"/>
        </w:rPr>
        <w:t>4337.82</w:t>
      </w:r>
      <w:r w:rsidRPr="00E67914">
        <w:rPr>
          <w:rFonts w:ascii="Times New Roman" w:hAnsi="Times New Roman"/>
          <w:szCs w:val="24"/>
        </w:rPr>
        <w:t>t</w:t>
      </w:r>
      <w:r w:rsidRPr="00E67914">
        <w:rPr>
          <w:rFonts w:ascii="Times New Roman" w:hAnsi="Times New Roman"/>
          <w:szCs w:val="24"/>
        </w:rPr>
        <w:t>，其性质为第</w:t>
      </w:r>
      <w:r w:rsidRPr="00E67914">
        <w:rPr>
          <w:rFonts w:ascii="Times New Roman" w:hAnsi="Times New Roman"/>
          <w:szCs w:val="24"/>
        </w:rPr>
        <w:t>Ⅱ</w:t>
      </w:r>
      <w:r w:rsidRPr="00E67914">
        <w:rPr>
          <w:rFonts w:ascii="Times New Roman" w:hAnsi="Times New Roman"/>
          <w:szCs w:val="24"/>
        </w:rPr>
        <w:t>类一般工业固体废物。</w:t>
      </w:r>
    </w:p>
    <w:p w14:paraId="194BFA16"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废弃泥浆和岩屑在钻井现场经泥浆不落地工艺经脱稳</w:t>
      </w:r>
      <w:r w:rsidRPr="00E67914">
        <w:rPr>
          <w:rFonts w:ascii="Times New Roman" w:hAnsi="Times New Roman"/>
          <w:szCs w:val="24"/>
        </w:rPr>
        <w:t>-</w:t>
      </w:r>
      <w:r w:rsidRPr="00E67914">
        <w:rPr>
          <w:rFonts w:ascii="Times New Roman" w:hAnsi="Times New Roman"/>
          <w:szCs w:val="24"/>
        </w:rPr>
        <w:t>板框压滤进行固液分离后产生的固态</w:t>
      </w:r>
      <w:r w:rsidRPr="00E67914">
        <w:rPr>
          <w:rFonts w:ascii="Times New Roman" w:hAnsi="Times New Roman"/>
          <w:bCs/>
          <w:szCs w:val="24"/>
        </w:rPr>
        <w:t>钻井固废</w:t>
      </w:r>
      <w:r w:rsidRPr="00E67914">
        <w:rPr>
          <w:rFonts w:ascii="Times New Roman" w:hAnsi="Times New Roman"/>
          <w:szCs w:val="24"/>
        </w:rPr>
        <w:t>，主要成分为废钻井泥浆、岩屑、无机盐、普通有机聚合物，本项目钻井泥浆为水基钻井泥浆，不添加重金属等，不具有危险特性，依据《一般工业固体废物贮存和填埋污染控制标准》（</w:t>
      </w:r>
      <w:r w:rsidRPr="00E67914">
        <w:rPr>
          <w:rFonts w:ascii="Times New Roman" w:hAnsi="Times New Roman"/>
          <w:szCs w:val="24"/>
        </w:rPr>
        <w:t>GB18599-2020</w:t>
      </w:r>
      <w:r w:rsidRPr="00E67914">
        <w:rPr>
          <w:rFonts w:ascii="Times New Roman" w:hAnsi="Times New Roman"/>
          <w:szCs w:val="24"/>
        </w:rPr>
        <w:t>）的相关规定，本项目水基岩屑和泥浆属于第</w:t>
      </w:r>
      <w:r w:rsidRPr="00E67914">
        <w:rPr>
          <w:rFonts w:ascii="Times New Roman" w:hAnsi="Times New Roman"/>
          <w:szCs w:val="24"/>
        </w:rPr>
        <w:t>Ⅱ</w:t>
      </w:r>
      <w:r w:rsidRPr="00E67914">
        <w:rPr>
          <w:rFonts w:ascii="Times New Roman" w:hAnsi="Times New Roman"/>
          <w:szCs w:val="24"/>
        </w:rPr>
        <w:t>类一般工业固体废物，废弃泥浆完井后及时转运至达州地区环保手续齐全、环保设施稳定运行固废烧结厂进行烧结后综合利用。同时对固废临时堆放区进行防渗，设置雨棚及排水沟。通过以上措施，</w:t>
      </w:r>
      <w:r w:rsidRPr="00E67914">
        <w:rPr>
          <w:rFonts w:ascii="Times New Roman" w:hAnsi="Times New Roman"/>
        </w:rPr>
        <w:t>水基钻井固废</w:t>
      </w:r>
      <w:r w:rsidRPr="00E67914">
        <w:rPr>
          <w:rFonts w:ascii="Times New Roman" w:hAnsi="Times New Roman"/>
          <w:szCs w:val="24"/>
        </w:rPr>
        <w:t>全部综合利用，完钻后现场无遗留。</w:t>
      </w:r>
    </w:p>
    <w:p w14:paraId="12C5E9AC" w14:textId="6DF75CE7" w:rsidR="00A54A8A" w:rsidRPr="00E67914" w:rsidRDefault="00590918">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油基钻井废泥浆、油基岩屑产生量约为</w:t>
      </w:r>
      <w:r w:rsidRPr="00E67914">
        <w:rPr>
          <w:rFonts w:ascii="Times New Roman" w:hAnsi="Times New Roman"/>
          <w:sz w:val="24"/>
          <w:lang w:eastAsia="zh-CN"/>
        </w:rPr>
        <w:t>621.10m</w:t>
      </w:r>
      <w:r w:rsidRPr="00E67914">
        <w:rPr>
          <w:rFonts w:ascii="Times New Roman" w:hAnsi="Times New Roman"/>
          <w:sz w:val="24"/>
          <w:vertAlign w:val="superscript"/>
          <w:lang w:eastAsia="zh-CN"/>
        </w:rPr>
        <w:t>3</w:t>
      </w:r>
      <w:r w:rsidRPr="00E67914">
        <w:rPr>
          <w:rFonts w:ascii="Times New Roman" w:hAnsi="Times New Roman"/>
          <w:sz w:val="24"/>
          <w:lang w:eastAsia="zh-CN"/>
        </w:rPr>
        <w:t>。油基钻井废泥浆、岩屑暂存于新建的</w:t>
      </w:r>
      <w:r w:rsidR="00DA577F" w:rsidRPr="00E67914">
        <w:rPr>
          <w:rFonts w:ascii="Times New Roman" w:hAnsi="Times New Roman"/>
          <w:sz w:val="24"/>
          <w:lang w:eastAsia="zh-CN"/>
        </w:rPr>
        <w:t>20m</w:t>
      </w:r>
      <w:r w:rsidR="00DA577F" w:rsidRPr="00E67914">
        <w:rPr>
          <w:rFonts w:ascii="Times New Roman" w:hAnsi="Times New Roman"/>
          <w:sz w:val="24"/>
          <w:vertAlign w:val="superscript"/>
          <w:lang w:eastAsia="zh-CN"/>
        </w:rPr>
        <w:t>2</w:t>
      </w:r>
      <w:r w:rsidR="00DA577F" w:rsidRPr="00E67914">
        <w:rPr>
          <w:rFonts w:ascii="Times New Roman" w:hAnsi="Times New Roman"/>
          <w:sz w:val="24"/>
          <w:lang w:eastAsia="zh-CN"/>
        </w:rPr>
        <w:t>危险废物暂存场所（采取必要的防风、防晒、防雨、防漏、防渗、防腐以及其他环境污染防治措施，不得露天堆放危险废物）</w:t>
      </w:r>
      <w:r w:rsidRPr="00E67914">
        <w:rPr>
          <w:rFonts w:ascii="Times New Roman" w:hAnsi="Times New Roman"/>
          <w:sz w:val="24"/>
          <w:lang w:eastAsia="zh-CN"/>
        </w:rPr>
        <w:t>，</w:t>
      </w:r>
      <w:r w:rsidR="009A7D8C" w:rsidRPr="00E67914">
        <w:rPr>
          <w:rFonts w:ascii="Times New Roman" w:hAnsi="Times New Roman"/>
          <w:sz w:val="24"/>
          <w:lang w:eastAsia="zh-CN"/>
        </w:rPr>
        <w:t>泥浆和油基钻井岩屑及时交由有资质的单位处置</w:t>
      </w:r>
      <w:r w:rsidRPr="00E67914">
        <w:rPr>
          <w:rFonts w:ascii="Times New Roman" w:hAnsi="Times New Roman"/>
          <w:sz w:val="24"/>
          <w:lang w:eastAsia="zh-CN"/>
        </w:rPr>
        <w:t>。</w:t>
      </w:r>
    </w:p>
    <w:p w14:paraId="4DA2307E"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）废油及含油固废</w:t>
      </w:r>
    </w:p>
    <w:p w14:paraId="622B36C6" w14:textId="21A3A7FC"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钻井过程废油主要来源为：</w:t>
      </w:r>
      <w:r w:rsidRPr="00E67914">
        <w:rPr>
          <w:rFonts w:ascii="Times New Roman" w:hAnsi="Times New Roman"/>
          <w:sz w:val="24"/>
          <w:lang w:eastAsia="zh-CN"/>
        </w:rPr>
        <w:t>a</w:t>
      </w:r>
      <w:r w:rsidRPr="00E67914">
        <w:rPr>
          <w:rFonts w:ascii="Times New Roman" w:hAnsi="Times New Roman"/>
          <w:sz w:val="24"/>
          <w:lang w:eastAsia="zh-CN"/>
        </w:rPr>
        <w:t>、机械（泥浆泵、转盘、链条等）润滑废油；</w:t>
      </w:r>
      <w:r w:rsidRPr="00E67914">
        <w:rPr>
          <w:rFonts w:ascii="Times New Roman" w:hAnsi="Times New Roman"/>
          <w:sz w:val="24"/>
          <w:lang w:eastAsia="zh-CN"/>
        </w:rPr>
        <w:t>b</w:t>
      </w:r>
      <w:r w:rsidRPr="00E67914">
        <w:rPr>
          <w:rFonts w:ascii="Times New Roman" w:hAnsi="Times New Roman"/>
          <w:sz w:val="24"/>
          <w:lang w:eastAsia="zh-CN"/>
        </w:rPr>
        <w:t>、液压控制管线刺漏，如液压大钳、封井器及液压表传压管线刺漏；</w:t>
      </w:r>
      <w:r w:rsidRPr="00E67914">
        <w:rPr>
          <w:rFonts w:ascii="Times New Roman" w:hAnsi="Times New Roman"/>
          <w:sz w:val="24"/>
          <w:lang w:eastAsia="zh-CN"/>
        </w:rPr>
        <w:t>c</w:t>
      </w:r>
      <w:r w:rsidRPr="00E67914">
        <w:rPr>
          <w:rFonts w:ascii="Times New Roman" w:hAnsi="Times New Roman"/>
          <w:sz w:val="24"/>
          <w:lang w:eastAsia="zh-CN"/>
        </w:rPr>
        <w:t>、清洗、保养产生的废油，如更换柴油机零部件和潜洗钻具、套管时产生的废油。钻井产生的废油用废油桶收集，根据类比和现场调查，单井废油产生总量约</w:t>
      </w:r>
      <w:r w:rsidRPr="00E67914">
        <w:rPr>
          <w:rFonts w:ascii="Times New Roman" w:hAnsi="Times New Roman"/>
          <w:sz w:val="24"/>
          <w:lang w:eastAsia="zh-CN"/>
        </w:rPr>
        <w:t>0.7m</w:t>
      </w:r>
      <w:r w:rsidRPr="00E67914">
        <w:rPr>
          <w:rFonts w:ascii="Times New Roman" w:hAnsi="Times New Roman"/>
          <w:sz w:val="24"/>
          <w:vertAlign w:val="superscript"/>
          <w:lang w:eastAsia="zh-CN"/>
        </w:rPr>
        <w:t>3</w:t>
      </w:r>
      <w:r w:rsidRPr="00E67914">
        <w:rPr>
          <w:rFonts w:ascii="Times New Roman" w:hAnsi="Times New Roman"/>
          <w:sz w:val="24"/>
          <w:lang w:eastAsia="zh-CN"/>
        </w:rPr>
        <w:t>（根据普陆</w:t>
      </w:r>
      <w:r w:rsidRPr="00E67914">
        <w:rPr>
          <w:rFonts w:ascii="Times New Roman" w:hAnsi="Times New Roman"/>
          <w:sz w:val="24"/>
          <w:lang w:eastAsia="zh-CN"/>
        </w:rPr>
        <w:t>4</w:t>
      </w:r>
      <w:r w:rsidRPr="00E67914">
        <w:rPr>
          <w:rFonts w:ascii="Times New Roman" w:hAnsi="Times New Roman"/>
          <w:sz w:val="24"/>
          <w:lang w:eastAsia="zh-CN"/>
        </w:rPr>
        <w:t>井钻井工程建设项目竣工环境保护验收调查表可知其施工期废油实际产生量约为</w:t>
      </w:r>
      <w:r w:rsidRPr="00E67914">
        <w:rPr>
          <w:rFonts w:ascii="Times New Roman" w:hAnsi="Times New Roman"/>
          <w:sz w:val="24"/>
          <w:lang w:eastAsia="zh-CN"/>
        </w:rPr>
        <w:t>0.74m</w:t>
      </w:r>
      <w:r w:rsidRPr="00E67914">
        <w:rPr>
          <w:rFonts w:ascii="Times New Roman" w:hAnsi="Times New Roman"/>
          <w:sz w:val="24"/>
          <w:vertAlign w:val="superscript"/>
          <w:lang w:eastAsia="zh-CN"/>
        </w:rPr>
        <w:t>3</w:t>
      </w:r>
      <w:r w:rsidRPr="00E67914">
        <w:rPr>
          <w:rFonts w:ascii="Times New Roman" w:hAnsi="Times New Roman"/>
          <w:sz w:val="24"/>
          <w:lang w:eastAsia="zh-CN"/>
        </w:rPr>
        <w:t>，根据普陆</w:t>
      </w:r>
      <w:r w:rsidRPr="00E67914">
        <w:rPr>
          <w:rFonts w:ascii="Times New Roman" w:hAnsi="Times New Roman"/>
          <w:sz w:val="24"/>
          <w:lang w:eastAsia="zh-CN"/>
        </w:rPr>
        <w:t>5</w:t>
      </w:r>
      <w:r w:rsidRPr="00E67914">
        <w:rPr>
          <w:rFonts w:ascii="Times New Roman" w:hAnsi="Times New Roman"/>
          <w:sz w:val="24"/>
          <w:lang w:eastAsia="zh-CN"/>
        </w:rPr>
        <w:t>勘探评价井工程建设项目竣工环境保护验收调查表可知其施工期废油实际产生量约为</w:t>
      </w:r>
      <w:r w:rsidRPr="00E67914">
        <w:rPr>
          <w:rFonts w:ascii="Times New Roman" w:hAnsi="Times New Roman"/>
          <w:sz w:val="24"/>
          <w:lang w:eastAsia="zh-CN"/>
        </w:rPr>
        <w:t>0.57m</w:t>
      </w:r>
      <w:r w:rsidRPr="00E67914">
        <w:rPr>
          <w:rFonts w:ascii="Times New Roman" w:hAnsi="Times New Roman"/>
          <w:sz w:val="24"/>
          <w:vertAlign w:val="superscript"/>
          <w:lang w:eastAsia="zh-CN"/>
        </w:rPr>
        <w:t>3</w:t>
      </w:r>
      <w:r w:rsidRPr="00E67914">
        <w:rPr>
          <w:rFonts w:ascii="Times New Roman" w:hAnsi="Times New Roman"/>
          <w:sz w:val="24"/>
          <w:lang w:eastAsia="zh-CN"/>
        </w:rPr>
        <w:t>，综合考虑本项目废油产生总量按</w:t>
      </w:r>
      <w:r w:rsidRPr="00E67914">
        <w:rPr>
          <w:rFonts w:ascii="Times New Roman" w:hAnsi="Times New Roman"/>
          <w:sz w:val="24"/>
          <w:lang w:eastAsia="zh-CN"/>
        </w:rPr>
        <w:t>0.7m</w:t>
      </w:r>
      <w:r w:rsidRPr="00E67914">
        <w:rPr>
          <w:rFonts w:ascii="Times New Roman" w:hAnsi="Times New Roman"/>
          <w:sz w:val="24"/>
          <w:vertAlign w:val="superscript"/>
          <w:lang w:eastAsia="zh-CN"/>
        </w:rPr>
        <w:t>3</w:t>
      </w:r>
      <w:r w:rsidRPr="00E67914">
        <w:rPr>
          <w:rFonts w:ascii="Times New Roman" w:hAnsi="Times New Roman"/>
          <w:sz w:val="24"/>
          <w:lang w:eastAsia="zh-CN"/>
        </w:rPr>
        <w:t>确定）</w:t>
      </w:r>
      <w:r w:rsidR="009A7D8C" w:rsidRPr="00E67914">
        <w:rPr>
          <w:rFonts w:ascii="Times New Roman" w:hAnsi="Times New Roman"/>
          <w:sz w:val="24"/>
          <w:lang w:eastAsia="zh-CN"/>
        </w:rPr>
        <w:t>，则本项目废油产生总量约</w:t>
      </w:r>
      <w:r w:rsidR="009A7D8C" w:rsidRPr="00E67914">
        <w:rPr>
          <w:rFonts w:ascii="Times New Roman" w:hAnsi="Times New Roman"/>
          <w:sz w:val="24"/>
          <w:lang w:eastAsia="zh-CN"/>
        </w:rPr>
        <w:t>2.1m</w:t>
      </w:r>
      <w:r w:rsidR="009A7D8C" w:rsidRPr="00E67914">
        <w:rPr>
          <w:rFonts w:ascii="Times New Roman" w:hAnsi="Times New Roman"/>
          <w:sz w:val="24"/>
          <w:vertAlign w:val="superscript"/>
          <w:lang w:eastAsia="zh-CN"/>
        </w:rPr>
        <w:t>3</w:t>
      </w:r>
      <w:r w:rsidRPr="00E67914">
        <w:rPr>
          <w:rFonts w:ascii="Times New Roman" w:hAnsi="Times New Roman"/>
          <w:sz w:val="24"/>
          <w:lang w:eastAsia="zh-CN"/>
        </w:rPr>
        <w:t>。站内设置废油桶集中收集，废油桶置于暂存于泥浆不落地装置区临时堆放区内，并做好</w:t>
      </w:r>
      <w:bookmarkStart w:id="93" w:name="_Hlk92724012"/>
      <w:r w:rsidRPr="00E67914">
        <w:rPr>
          <w:rFonts w:ascii="Times New Roman" w:hAnsi="Times New Roman"/>
          <w:sz w:val="24"/>
          <w:lang w:eastAsia="zh-CN"/>
        </w:rPr>
        <w:t>“</w:t>
      </w:r>
      <w:r w:rsidRPr="00E67914">
        <w:rPr>
          <w:rFonts w:ascii="Times New Roman" w:hAnsi="Times New Roman"/>
          <w:sz w:val="24"/>
          <w:lang w:eastAsia="zh-CN"/>
        </w:rPr>
        <w:t>防风、防雨、防晒、防渗漏</w:t>
      </w:r>
      <w:r w:rsidRPr="00E67914">
        <w:rPr>
          <w:rFonts w:ascii="Times New Roman" w:hAnsi="Times New Roman"/>
          <w:sz w:val="24"/>
          <w:lang w:eastAsia="zh-CN"/>
        </w:rPr>
        <w:t>”</w:t>
      </w:r>
      <w:r w:rsidRPr="00E67914">
        <w:rPr>
          <w:rFonts w:ascii="Times New Roman" w:hAnsi="Times New Roman"/>
          <w:sz w:val="24"/>
          <w:lang w:eastAsia="zh-CN"/>
        </w:rPr>
        <w:t>四防措施</w:t>
      </w:r>
      <w:bookmarkEnd w:id="93"/>
      <w:r w:rsidRPr="00E67914">
        <w:rPr>
          <w:rFonts w:ascii="Times New Roman" w:hAnsi="Times New Roman"/>
          <w:sz w:val="24"/>
          <w:lang w:eastAsia="zh-CN"/>
        </w:rPr>
        <w:t>，暂存期间做好废油管理记录，通过擦拭站场设备、原料添加、放喷点火等方式回收综合利用，根据类比调查井站产生废油能在井站内全部综合利用。若因为个别特殊情况存在不能综合利用的废油，则和不能继续使用的废油桶以及擦拭站场设备产生的其他含油固废交由有资质的单位处理。</w:t>
      </w:r>
    </w:p>
    <w:p w14:paraId="2EE14470"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）废包装材料</w:t>
      </w:r>
    </w:p>
    <w:p w14:paraId="130B55DB" w14:textId="11E76A69"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w:t>
      </w:r>
      <w:r w:rsidR="009A7D8C" w:rsidRPr="00E67914">
        <w:rPr>
          <w:rFonts w:ascii="Times New Roman" w:hAnsi="Times New Roman"/>
          <w:sz w:val="24"/>
          <w:lang w:eastAsia="zh-CN"/>
        </w:rPr>
        <w:t>单井</w:t>
      </w:r>
      <w:r w:rsidRPr="00E67914">
        <w:rPr>
          <w:rFonts w:ascii="Times New Roman" w:hAnsi="Times New Roman"/>
          <w:sz w:val="24"/>
          <w:lang w:eastAsia="zh-CN"/>
        </w:rPr>
        <w:t>产生的废包装材料约为</w:t>
      </w:r>
      <w:r w:rsidR="009A7D8C" w:rsidRPr="00E67914">
        <w:rPr>
          <w:rFonts w:ascii="Times New Roman" w:hAnsi="Times New Roman"/>
          <w:sz w:val="24"/>
          <w:lang w:eastAsia="zh-CN"/>
        </w:rPr>
        <w:t>2</w:t>
      </w:r>
      <w:r w:rsidRPr="00E67914">
        <w:rPr>
          <w:rFonts w:ascii="Times New Roman" w:hAnsi="Times New Roman"/>
          <w:sz w:val="24"/>
          <w:lang w:eastAsia="zh-CN"/>
        </w:rPr>
        <w:t>.0t</w:t>
      </w:r>
      <w:r w:rsidR="009A7D8C" w:rsidRPr="00E67914">
        <w:rPr>
          <w:rFonts w:ascii="Times New Roman" w:hAnsi="Times New Roman"/>
          <w:sz w:val="24"/>
          <w:lang w:eastAsia="zh-CN"/>
        </w:rPr>
        <w:t>，总废包装材料约为</w:t>
      </w:r>
      <w:r w:rsidR="009A7D8C" w:rsidRPr="00E67914">
        <w:rPr>
          <w:rFonts w:ascii="Times New Roman" w:hAnsi="Times New Roman"/>
          <w:sz w:val="24"/>
          <w:lang w:eastAsia="zh-CN"/>
        </w:rPr>
        <w:t>6.0t</w:t>
      </w:r>
      <w:r w:rsidRPr="00E67914">
        <w:rPr>
          <w:rFonts w:ascii="Times New Roman" w:hAnsi="Times New Roman"/>
          <w:sz w:val="24"/>
          <w:lang w:eastAsia="zh-CN"/>
        </w:rPr>
        <w:t>，集中收集后集中收集后施工队自己回用部分，剩余的送当地废品回收站处理。</w:t>
      </w:r>
    </w:p>
    <w:p w14:paraId="34E96BE1"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）生活垃圾</w:t>
      </w:r>
    </w:p>
    <w:p w14:paraId="79DC6EDA"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lang w:eastAsia="zh-CN"/>
        </w:rPr>
        <w:t>生活垃圾来源于钻井施工作业人员的生活，一个井队按</w:t>
      </w:r>
      <w:r w:rsidRPr="00E67914">
        <w:rPr>
          <w:rFonts w:ascii="Times New Roman" w:hAnsi="Times New Roman"/>
          <w:sz w:val="24"/>
          <w:lang w:eastAsia="zh-CN"/>
        </w:rPr>
        <w:t>45</w:t>
      </w:r>
      <w:r w:rsidRPr="00E67914">
        <w:rPr>
          <w:rFonts w:ascii="Times New Roman" w:hAnsi="Times New Roman"/>
          <w:sz w:val="24"/>
          <w:lang w:eastAsia="zh-CN"/>
        </w:rPr>
        <w:t>人计，每人每天产生的生活垃圾按</w:t>
      </w:r>
      <w:r w:rsidRPr="00E67914">
        <w:rPr>
          <w:rFonts w:ascii="Times New Roman" w:hAnsi="Times New Roman"/>
          <w:sz w:val="24"/>
          <w:lang w:eastAsia="zh-CN"/>
        </w:rPr>
        <w:t>0.5kg/d</w:t>
      </w:r>
      <w:r w:rsidRPr="00E67914">
        <w:rPr>
          <w:rFonts w:ascii="Times New Roman" w:hAnsi="Times New Roman"/>
          <w:sz w:val="24"/>
          <w:lang w:eastAsia="zh-CN"/>
        </w:rPr>
        <w:t>计算，则生活垃圾的产生量约为</w:t>
      </w:r>
      <w:r w:rsidRPr="00E67914">
        <w:rPr>
          <w:rFonts w:ascii="Times New Roman" w:hAnsi="Times New Roman"/>
          <w:sz w:val="24"/>
          <w:lang w:eastAsia="zh-CN"/>
        </w:rPr>
        <w:t>22.5kg/d</w:t>
      </w:r>
      <w:r w:rsidRPr="00E67914">
        <w:rPr>
          <w:rFonts w:ascii="Times New Roman" w:hAnsi="Times New Roman"/>
          <w:sz w:val="24"/>
          <w:lang w:eastAsia="zh-CN"/>
        </w:rPr>
        <w:t>。</w:t>
      </w:r>
      <w:r w:rsidRPr="00E67914">
        <w:rPr>
          <w:rFonts w:ascii="Times New Roman" w:hAnsi="Times New Roman"/>
          <w:sz w:val="24"/>
          <w:szCs w:val="24"/>
          <w:lang w:eastAsia="zh-CN"/>
        </w:rPr>
        <w:t>井场设置垃圾坑收集，定期按井场所在地环卫部门相关要求实施统一妥善处置。</w:t>
      </w:r>
    </w:p>
    <w:p w14:paraId="1895926A"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szCs w:val="24"/>
          <w:lang w:eastAsia="zh-CN"/>
        </w:rPr>
        <w:t>此外，完井搬迁时可能产生少量建筑垃圾，主要如包装袋，废弃建筑材料等，其量小，由施工队伍统一收集清运至政府指定地方。</w:t>
      </w:r>
    </w:p>
    <w:p w14:paraId="3D1EB1AB"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本项目钻井工程危险废物产生量见下表。</w:t>
      </w:r>
    </w:p>
    <w:p w14:paraId="5D92B9B2"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3.4-8  </w:t>
      </w:r>
      <w:r w:rsidRPr="00E67914">
        <w:rPr>
          <w:rFonts w:ascii="Times New Roman" w:eastAsia="黑体" w:hAnsi="Times New Roman"/>
          <w:sz w:val="21"/>
          <w:szCs w:val="21"/>
          <w:lang w:eastAsia="zh-CN"/>
        </w:rPr>
        <w:t>钻井工程危险废物汇总表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567"/>
        <w:gridCol w:w="709"/>
        <w:gridCol w:w="709"/>
        <w:gridCol w:w="850"/>
        <w:gridCol w:w="567"/>
        <w:gridCol w:w="709"/>
        <w:gridCol w:w="709"/>
        <w:gridCol w:w="709"/>
        <w:gridCol w:w="708"/>
        <w:gridCol w:w="1423"/>
      </w:tblGrid>
      <w:tr w:rsidR="002662E3" w:rsidRPr="00E67914" w14:paraId="49737D80" w14:textId="77777777">
        <w:trPr>
          <w:cantSplit/>
          <w:jc w:val="center"/>
        </w:trPr>
        <w:tc>
          <w:tcPr>
            <w:tcW w:w="562" w:type="dxa"/>
            <w:vAlign w:val="center"/>
          </w:tcPr>
          <w:p w14:paraId="60EAD3EE"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名称</w:t>
            </w:r>
          </w:p>
        </w:tc>
        <w:tc>
          <w:tcPr>
            <w:tcW w:w="567" w:type="dxa"/>
            <w:vAlign w:val="center"/>
          </w:tcPr>
          <w:p w14:paraId="2BD12B6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类别</w:t>
            </w:r>
          </w:p>
        </w:tc>
        <w:tc>
          <w:tcPr>
            <w:tcW w:w="709" w:type="dxa"/>
            <w:vAlign w:val="center"/>
          </w:tcPr>
          <w:p w14:paraId="1279DA85"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代码</w:t>
            </w:r>
          </w:p>
        </w:tc>
        <w:tc>
          <w:tcPr>
            <w:tcW w:w="709" w:type="dxa"/>
            <w:vAlign w:val="center"/>
          </w:tcPr>
          <w:p w14:paraId="67C0CF38"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产生量</w:t>
            </w:r>
          </w:p>
        </w:tc>
        <w:tc>
          <w:tcPr>
            <w:tcW w:w="850" w:type="dxa"/>
            <w:vAlign w:val="center"/>
          </w:tcPr>
          <w:p w14:paraId="6ADA8C4E"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产生工序及装置</w:t>
            </w:r>
          </w:p>
        </w:tc>
        <w:tc>
          <w:tcPr>
            <w:tcW w:w="567" w:type="dxa"/>
            <w:vAlign w:val="center"/>
          </w:tcPr>
          <w:p w14:paraId="5D457AEE"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形态</w:t>
            </w:r>
          </w:p>
        </w:tc>
        <w:tc>
          <w:tcPr>
            <w:tcW w:w="709" w:type="dxa"/>
            <w:vAlign w:val="center"/>
          </w:tcPr>
          <w:p w14:paraId="4D89DA32"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主要成分</w:t>
            </w:r>
          </w:p>
        </w:tc>
        <w:tc>
          <w:tcPr>
            <w:tcW w:w="709" w:type="dxa"/>
            <w:vAlign w:val="center"/>
          </w:tcPr>
          <w:p w14:paraId="3C8492EC"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有害成分</w:t>
            </w:r>
          </w:p>
        </w:tc>
        <w:tc>
          <w:tcPr>
            <w:tcW w:w="709" w:type="dxa"/>
            <w:vAlign w:val="center"/>
          </w:tcPr>
          <w:p w14:paraId="45052AA5"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产废周期</w:t>
            </w:r>
          </w:p>
        </w:tc>
        <w:tc>
          <w:tcPr>
            <w:tcW w:w="708" w:type="dxa"/>
            <w:vAlign w:val="center"/>
          </w:tcPr>
          <w:p w14:paraId="7241DDA5"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危险特性</w:t>
            </w:r>
          </w:p>
        </w:tc>
        <w:tc>
          <w:tcPr>
            <w:tcW w:w="1423" w:type="dxa"/>
            <w:vAlign w:val="center"/>
          </w:tcPr>
          <w:p w14:paraId="63E0FDBF"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污染防治措施</w:t>
            </w:r>
          </w:p>
        </w:tc>
      </w:tr>
      <w:tr w:rsidR="009A7D8C" w:rsidRPr="00E67914" w14:paraId="4B06BBAB" w14:textId="77777777">
        <w:trPr>
          <w:cantSplit/>
          <w:jc w:val="center"/>
        </w:trPr>
        <w:tc>
          <w:tcPr>
            <w:tcW w:w="562" w:type="dxa"/>
            <w:tcMar>
              <w:left w:w="0" w:type="dxa"/>
              <w:right w:w="0" w:type="dxa"/>
            </w:tcMar>
            <w:vAlign w:val="center"/>
          </w:tcPr>
          <w:p w14:paraId="6EA26DAA"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废油及其他含油固废</w:t>
            </w:r>
          </w:p>
        </w:tc>
        <w:tc>
          <w:tcPr>
            <w:tcW w:w="567" w:type="dxa"/>
            <w:vMerge w:val="restart"/>
            <w:vAlign w:val="center"/>
          </w:tcPr>
          <w:p w14:paraId="68560E9D"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HW08</w:t>
            </w:r>
          </w:p>
        </w:tc>
        <w:tc>
          <w:tcPr>
            <w:tcW w:w="709" w:type="dxa"/>
            <w:vAlign w:val="center"/>
          </w:tcPr>
          <w:p w14:paraId="487B809D" w14:textId="77777777" w:rsidR="009A7D8C" w:rsidRPr="00E67914" w:rsidRDefault="009A7D8C">
            <w:pPr>
              <w:snapToGrid w:val="0"/>
              <w:jc w:val="center"/>
              <w:rPr>
                <w:rFonts w:ascii="Times New Roman" w:hAnsi="Times New Roman"/>
                <w:sz w:val="21"/>
                <w:szCs w:val="21"/>
              </w:rPr>
            </w:pPr>
            <w:r w:rsidRPr="00E67914">
              <w:rPr>
                <w:rFonts w:ascii="Times New Roman" w:hAnsi="Times New Roman"/>
                <w:sz w:val="21"/>
                <w:szCs w:val="21"/>
              </w:rPr>
              <w:t>900-249-08</w:t>
            </w:r>
          </w:p>
        </w:tc>
        <w:tc>
          <w:tcPr>
            <w:tcW w:w="709" w:type="dxa"/>
            <w:vAlign w:val="center"/>
          </w:tcPr>
          <w:p w14:paraId="4501F03C" w14:textId="6C03B7FE"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2.1m</w:t>
            </w:r>
            <w:r w:rsidRPr="00E67914">
              <w:rPr>
                <w:rFonts w:ascii="Times New Roman" w:hAnsi="Times New Roman"/>
                <w:sz w:val="21"/>
                <w:szCs w:val="21"/>
                <w:vertAlign w:val="superscript"/>
                <w:lang w:eastAsia="zh-CN"/>
              </w:rPr>
              <w:t>3</w:t>
            </w:r>
          </w:p>
        </w:tc>
        <w:tc>
          <w:tcPr>
            <w:tcW w:w="850" w:type="dxa"/>
            <w:vAlign w:val="center"/>
          </w:tcPr>
          <w:p w14:paraId="766A0888"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钻井机具</w:t>
            </w:r>
          </w:p>
        </w:tc>
        <w:tc>
          <w:tcPr>
            <w:tcW w:w="567" w:type="dxa"/>
            <w:vAlign w:val="center"/>
          </w:tcPr>
          <w:p w14:paraId="5CD64855"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rPr>
              <w:t>半固态</w:t>
            </w:r>
          </w:p>
        </w:tc>
        <w:tc>
          <w:tcPr>
            <w:tcW w:w="709" w:type="dxa"/>
            <w:vAlign w:val="center"/>
          </w:tcPr>
          <w:p w14:paraId="23A1D9B2"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废润滑油</w:t>
            </w:r>
          </w:p>
        </w:tc>
        <w:tc>
          <w:tcPr>
            <w:tcW w:w="709" w:type="dxa"/>
            <w:vAlign w:val="center"/>
          </w:tcPr>
          <w:p w14:paraId="13293BF6"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润滑油</w:t>
            </w:r>
          </w:p>
        </w:tc>
        <w:tc>
          <w:tcPr>
            <w:tcW w:w="709" w:type="dxa"/>
            <w:vAlign w:val="center"/>
          </w:tcPr>
          <w:p w14:paraId="2FEE0BFC"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钻井期间</w:t>
            </w:r>
          </w:p>
        </w:tc>
        <w:tc>
          <w:tcPr>
            <w:tcW w:w="708" w:type="dxa"/>
            <w:vAlign w:val="center"/>
          </w:tcPr>
          <w:p w14:paraId="5A4E7E30"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T/I</w:t>
            </w:r>
          </w:p>
        </w:tc>
        <w:tc>
          <w:tcPr>
            <w:tcW w:w="1423" w:type="dxa"/>
            <w:vAlign w:val="center"/>
          </w:tcPr>
          <w:p w14:paraId="104BE7C2"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废油桶收集，暂存于泥浆不落地装置区临时堆放区内，钻井队综合利用，剩余的交由资质单位处置</w:t>
            </w:r>
          </w:p>
        </w:tc>
      </w:tr>
      <w:tr w:rsidR="009A7D8C" w:rsidRPr="00E67914" w14:paraId="20835FF9" w14:textId="77777777">
        <w:trPr>
          <w:cantSplit/>
          <w:jc w:val="center"/>
        </w:trPr>
        <w:tc>
          <w:tcPr>
            <w:tcW w:w="562" w:type="dxa"/>
            <w:tcMar>
              <w:left w:w="0" w:type="dxa"/>
              <w:right w:w="0" w:type="dxa"/>
            </w:tcMar>
            <w:vAlign w:val="center"/>
          </w:tcPr>
          <w:p w14:paraId="055E5392" w14:textId="6BFD9CA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lastRenderedPageBreak/>
              <w:t>油基钻井废泥浆、油基岩屑</w:t>
            </w:r>
          </w:p>
        </w:tc>
        <w:tc>
          <w:tcPr>
            <w:tcW w:w="567" w:type="dxa"/>
            <w:vMerge/>
            <w:vAlign w:val="center"/>
          </w:tcPr>
          <w:p w14:paraId="0EB8CAE1" w14:textId="77777777" w:rsidR="009A7D8C" w:rsidRPr="00E67914" w:rsidRDefault="009A7D8C">
            <w:pPr>
              <w:snapToGrid w:val="0"/>
              <w:jc w:val="center"/>
              <w:rPr>
                <w:rFonts w:ascii="Times New Roman" w:hAnsi="Times New Roman"/>
                <w:sz w:val="21"/>
                <w:szCs w:val="21"/>
                <w:lang w:eastAsia="zh-CN"/>
              </w:rPr>
            </w:pPr>
          </w:p>
        </w:tc>
        <w:tc>
          <w:tcPr>
            <w:tcW w:w="709" w:type="dxa"/>
            <w:vAlign w:val="center"/>
          </w:tcPr>
          <w:p w14:paraId="624BE51B" w14:textId="3347628E"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072-001-08</w:t>
            </w:r>
          </w:p>
        </w:tc>
        <w:tc>
          <w:tcPr>
            <w:tcW w:w="709" w:type="dxa"/>
            <w:vAlign w:val="center"/>
          </w:tcPr>
          <w:p w14:paraId="14A1236D" w14:textId="54B86CA2"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621.10m</w:t>
            </w:r>
            <w:r w:rsidRPr="00E67914">
              <w:rPr>
                <w:rFonts w:ascii="Times New Roman" w:hAnsi="Times New Roman"/>
                <w:sz w:val="21"/>
                <w:szCs w:val="21"/>
                <w:vertAlign w:val="superscript"/>
                <w:lang w:eastAsia="zh-CN"/>
              </w:rPr>
              <w:t>3</w:t>
            </w:r>
          </w:p>
        </w:tc>
        <w:tc>
          <w:tcPr>
            <w:tcW w:w="850" w:type="dxa"/>
            <w:vAlign w:val="center"/>
          </w:tcPr>
          <w:p w14:paraId="04D8C9E5" w14:textId="2541BC76"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钻井工序</w:t>
            </w:r>
          </w:p>
        </w:tc>
        <w:tc>
          <w:tcPr>
            <w:tcW w:w="567" w:type="dxa"/>
            <w:vAlign w:val="center"/>
          </w:tcPr>
          <w:p w14:paraId="0BC5F9A3" w14:textId="2201C1D0"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半固态</w:t>
            </w:r>
          </w:p>
        </w:tc>
        <w:tc>
          <w:tcPr>
            <w:tcW w:w="709" w:type="dxa"/>
            <w:vAlign w:val="center"/>
          </w:tcPr>
          <w:p w14:paraId="45069278" w14:textId="23D39935"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柴油</w:t>
            </w:r>
          </w:p>
        </w:tc>
        <w:tc>
          <w:tcPr>
            <w:tcW w:w="709" w:type="dxa"/>
            <w:vAlign w:val="center"/>
          </w:tcPr>
          <w:p w14:paraId="282DDE89" w14:textId="4940D3B5"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柴油</w:t>
            </w:r>
          </w:p>
        </w:tc>
        <w:tc>
          <w:tcPr>
            <w:tcW w:w="709" w:type="dxa"/>
            <w:vAlign w:val="center"/>
          </w:tcPr>
          <w:p w14:paraId="02BEF88D" w14:textId="59C8A32C"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钻井期间</w:t>
            </w:r>
          </w:p>
        </w:tc>
        <w:tc>
          <w:tcPr>
            <w:tcW w:w="708" w:type="dxa"/>
            <w:vAlign w:val="center"/>
          </w:tcPr>
          <w:p w14:paraId="7351F756" w14:textId="10D1141C"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T</w:t>
            </w:r>
          </w:p>
        </w:tc>
        <w:tc>
          <w:tcPr>
            <w:tcW w:w="1423" w:type="dxa"/>
            <w:vAlign w:val="center"/>
          </w:tcPr>
          <w:p w14:paraId="2A8A8E57" w14:textId="4F2F05BA"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危险废物暂存场所暂存后及时交由有资质的单位处置</w:t>
            </w:r>
          </w:p>
        </w:tc>
      </w:tr>
    </w:tbl>
    <w:p w14:paraId="5C5A5FD1"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平台危险废物贮存场所（设施）基本情况见表</w:t>
      </w:r>
      <w:r w:rsidRPr="00E67914">
        <w:rPr>
          <w:rFonts w:ascii="Times New Roman" w:hAnsi="Times New Roman"/>
          <w:sz w:val="24"/>
          <w:lang w:eastAsia="zh-CN"/>
        </w:rPr>
        <w:t>3.4-9</w:t>
      </w:r>
      <w:r w:rsidRPr="00E67914">
        <w:rPr>
          <w:rFonts w:ascii="Times New Roman" w:hAnsi="Times New Roman"/>
          <w:sz w:val="24"/>
          <w:lang w:eastAsia="zh-CN"/>
        </w:rPr>
        <w:t>。</w:t>
      </w:r>
    </w:p>
    <w:p w14:paraId="3E553FAB"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3.4-9  </w:t>
      </w:r>
      <w:r w:rsidRPr="00E67914">
        <w:rPr>
          <w:rFonts w:ascii="Times New Roman" w:eastAsia="黑体" w:hAnsi="Times New Roman"/>
          <w:sz w:val="21"/>
          <w:szCs w:val="21"/>
          <w:lang w:eastAsia="zh-CN"/>
        </w:rPr>
        <w:t>单个平台危险废物贮存场所（设施）基本情况一览表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1047"/>
        <w:gridCol w:w="735"/>
        <w:gridCol w:w="1132"/>
        <w:gridCol w:w="817"/>
        <w:gridCol w:w="955"/>
        <w:gridCol w:w="817"/>
        <w:gridCol w:w="818"/>
        <w:gridCol w:w="681"/>
        <w:gridCol w:w="714"/>
      </w:tblGrid>
      <w:tr w:rsidR="00E67914" w:rsidRPr="00E67914" w14:paraId="43C1B464" w14:textId="77777777">
        <w:trPr>
          <w:trHeight w:val="864"/>
        </w:trPr>
        <w:tc>
          <w:tcPr>
            <w:tcW w:w="352" w:type="pct"/>
            <w:tcBorders>
              <w:top w:val="single" w:sz="4" w:space="0" w:color="auto"/>
              <w:left w:val="single" w:sz="4" w:space="0" w:color="auto"/>
              <w:bottom w:val="single" w:sz="4" w:space="0" w:color="auto"/>
              <w:right w:val="single" w:sz="4" w:space="0" w:color="auto"/>
            </w:tcBorders>
            <w:vAlign w:val="center"/>
          </w:tcPr>
          <w:p w14:paraId="67785684" w14:textId="77777777" w:rsidR="00A54A8A" w:rsidRPr="00E67914" w:rsidRDefault="00000000">
            <w:pPr>
              <w:pStyle w:val="04"/>
              <w:rPr>
                <w:rFonts w:cs="Times New Roman"/>
              </w:rPr>
            </w:pPr>
            <w:r w:rsidRPr="00E67914">
              <w:rPr>
                <w:rFonts w:cs="Times New Roman"/>
              </w:rPr>
              <w:t>序号</w:t>
            </w:r>
          </w:p>
        </w:tc>
        <w:tc>
          <w:tcPr>
            <w:tcW w:w="631" w:type="pct"/>
            <w:tcBorders>
              <w:top w:val="single" w:sz="4" w:space="0" w:color="auto"/>
              <w:left w:val="single" w:sz="4" w:space="0" w:color="auto"/>
              <w:bottom w:val="single" w:sz="4" w:space="0" w:color="auto"/>
              <w:right w:val="single" w:sz="4" w:space="0" w:color="auto"/>
            </w:tcBorders>
            <w:vAlign w:val="center"/>
          </w:tcPr>
          <w:p w14:paraId="0E9BE62A" w14:textId="77777777" w:rsidR="00A54A8A" w:rsidRPr="00E67914" w:rsidRDefault="00000000">
            <w:pPr>
              <w:pStyle w:val="04"/>
              <w:rPr>
                <w:rFonts w:cs="Times New Roman"/>
              </w:rPr>
            </w:pPr>
            <w:r w:rsidRPr="00E67914">
              <w:rPr>
                <w:rFonts w:cs="Times New Roman"/>
              </w:rPr>
              <w:t>贮存场所（设施）名称</w:t>
            </w:r>
          </w:p>
        </w:tc>
        <w:tc>
          <w:tcPr>
            <w:tcW w:w="443" w:type="pct"/>
            <w:tcBorders>
              <w:top w:val="single" w:sz="4" w:space="0" w:color="auto"/>
              <w:left w:val="single" w:sz="4" w:space="0" w:color="auto"/>
              <w:bottom w:val="single" w:sz="4" w:space="0" w:color="auto"/>
              <w:right w:val="single" w:sz="4" w:space="0" w:color="auto"/>
            </w:tcBorders>
            <w:vAlign w:val="center"/>
          </w:tcPr>
          <w:p w14:paraId="0DD9956E" w14:textId="77777777" w:rsidR="00A54A8A" w:rsidRPr="00E67914" w:rsidRDefault="00000000">
            <w:pPr>
              <w:pStyle w:val="04"/>
              <w:rPr>
                <w:rFonts w:cs="Times New Roman"/>
              </w:rPr>
            </w:pPr>
            <w:r w:rsidRPr="00E67914">
              <w:rPr>
                <w:rFonts w:cs="Times New Roman"/>
              </w:rPr>
              <w:t>危险废物名称</w:t>
            </w:r>
          </w:p>
        </w:tc>
        <w:tc>
          <w:tcPr>
            <w:tcW w:w="682" w:type="pct"/>
            <w:tcBorders>
              <w:top w:val="single" w:sz="4" w:space="0" w:color="auto"/>
              <w:left w:val="single" w:sz="4" w:space="0" w:color="auto"/>
              <w:bottom w:val="single" w:sz="4" w:space="0" w:color="auto"/>
              <w:right w:val="single" w:sz="4" w:space="0" w:color="auto"/>
            </w:tcBorders>
            <w:vAlign w:val="center"/>
          </w:tcPr>
          <w:p w14:paraId="6F464AF7" w14:textId="77777777" w:rsidR="00A54A8A" w:rsidRPr="00E67914" w:rsidRDefault="00000000">
            <w:pPr>
              <w:pStyle w:val="04"/>
              <w:rPr>
                <w:rFonts w:cs="Times New Roman"/>
              </w:rPr>
            </w:pPr>
            <w:r w:rsidRPr="00E67914">
              <w:rPr>
                <w:rFonts w:cs="Times New Roman"/>
              </w:rPr>
              <w:t>危险废物类别</w:t>
            </w:r>
          </w:p>
        </w:tc>
        <w:tc>
          <w:tcPr>
            <w:tcW w:w="492" w:type="pct"/>
            <w:tcBorders>
              <w:top w:val="single" w:sz="4" w:space="0" w:color="auto"/>
              <w:left w:val="single" w:sz="4" w:space="0" w:color="auto"/>
              <w:bottom w:val="single" w:sz="4" w:space="0" w:color="auto"/>
              <w:right w:val="single" w:sz="4" w:space="0" w:color="auto"/>
            </w:tcBorders>
            <w:vAlign w:val="center"/>
          </w:tcPr>
          <w:p w14:paraId="76B6D3CC" w14:textId="77777777" w:rsidR="00A54A8A" w:rsidRPr="00E67914" w:rsidRDefault="00000000">
            <w:pPr>
              <w:pStyle w:val="04"/>
              <w:rPr>
                <w:rFonts w:cs="Times New Roman"/>
              </w:rPr>
            </w:pPr>
            <w:r w:rsidRPr="00E67914">
              <w:rPr>
                <w:rFonts w:cs="Times New Roman"/>
              </w:rPr>
              <w:t>危险废物代码</w:t>
            </w:r>
          </w:p>
        </w:tc>
        <w:tc>
          <w:tcPr>
            <w:tcW w:w="575" w:type="pct"/>
            <w:tcBorders>
              <w:top w:val="single" w:sz="4" w:space="0" w:color="auto"/>
              <w:left w:val="single" w:sz="4" w:space="0" w:color="auto"/>
              <w:bottom w:val="single" w:sz="4" w:space="0" w:color="auto"/>
              <w:right w:val="single" w:sz="4" w:space="0" w:color="auto"/>
            </w:tcBorders>
            <w:vAlign w:val="center"/>
          </w:tcPr>
          <w:p w14:paraId="5EE832DE" w14:textId="77777777" w:rsidR="00A54A8A" w:rsidRPr="00E67914" w:rsidRDefault="00000000">
            <w:pPr>
              <w:pStyle w:val="04"/>
              <w:rPr>
                <w:rFonts w:cs="Times New Roman"/>
              </w:rPr>
            </w:pPr>
            <w:r w:rsidRPr="00E67914">
              <w:rPr>
                <w:rFonts w:cs="Times New Roman"/>
              </w:rPr>
              <w:t>位置</w:t>
            </w:r>
          </w:p>
        </w:tc>
        <w:tc>
          <w:tcPr>
            <w:tcW w:w="492" w:type="pct"/>
            <w:tcBorders>
              <w:top w:val="single" w:sz="4" w:space="0" w:color="auto"/>
              <w:left w:val="single" w:sz="4" w:space="0" w:color="auto"/>
              <w:bottom w:val="single" w:sz="4" w:space="0" w:color="auto"/>
              <w:right w:val="single" w:sz="4" w:space="0" w:color="auto"/>
            </w:tcBorders>
            <w:vAlign w:val="center"/>
          </w:tcPr>
          <w:p w14:paraId="0CF44EEF" w14:textId="77777777" w:rsidR="00A54A8A" w:rsidRPr="00E67914" w:rsidRDefault="00000000">
            <w:pPr>
              <w:pStyle w:val="04"/>
              <w:rPr>
                <w:rFonts w:cs="Times New Roman"/>
              </w:rPr>
            </w:pPr>
            <w:r w:rsidRPr="00E67914">
              <w:rPr>
                <w:rFonts w:cs="Times New Roman"/>
              </w:rPr>
              <w:t>占地</w:t>
            </w:r>
          </w:p>
          <w:p w14:paraId="1384E9F7" w14:textId="77777777" w:rsidR="00A54A8A" w:rsidRPr="00E67914" w:rsidRDefault="00000000">
            <w:pPr>
              <w:pStyle w:val="04"/>
              <w:rPr>
                <w:rFonts w:cs="Times New Roman"/>
              </w:rPr>
            </w:pPr>
            <w:r w:rsidRPr="00E67914">
              <w:rPr>
                <w:rFonts w:cs="Times New Roman"/>
              </w:rPr>
              <w:t>面积</w:t>
            </w:r>
          </w:p>
        </w:tc>
        <w:tc>
          <w:tcPr>
            <w:tcW w:w="493" w:type="pct"/>
            <w:tcBorders>
              <w:top w:val="single" w:sz="4" w:space="0" w:color="auto"/>
              <w:left w:val="single" w:sz="4" w:space="0" w:color="auto"/>
              <w:bottom w:val="single" w:sz="4" w:space="0" w:color="auto"/>
              <w:right w:val="single" w:sz="4" w:space="0" w:color="auto"/>
            </w:tcBorders>
            <w:vAlign w:val="center"/>
          </w:tcPr>
          <w:p w14:paraId="6D10529D" w14:textId="77777777" w:rsidR="00A54A8A" w:rsidRPr="00E67914" w:rsidRDefault="00000000">
            <w:pPr>
              <w:pStyle w:val="04"/>
              <w:rPr>
                <w:rFonts w:cs="Times New Roman"/>
              </w:rPr>
            </w:pPr>
            <w:r w:rsidRPr="00E67914">
              <w:rPr>
                <w:rFonts w:cs="Times New Roman"/>
              </w:rPr>
              <w:t>贮存</w:t>
            </w:r>
          </w:p>
          <w:p w14:paraId="263E3F7B" w14:textId="77777777" w:rsidR="00A54A8A" w:rsidRPr="00E67914" w:rsidRDefault="00000000">
            <w:pPr>
              <w:pStyle w:val="04"/>
              <w:rPr>
                <w:rFonts w:cs="Times New Roman"/>
              </w:rPr>
            </w:pPr>
            <w:r w:rsidRPr="00E67914">
              <w:rPr>
                <w:rFonts w:cs="Times New Roman"/>
              </w:rPr>
              <w:t>方式</w:t>
            </w:r>
          </w:p>
        </w:tc>
        <w:tc>
          <w:tcPr>
            <w:tcW w:w="410" w:type="pct"/>
            <w:tcBorders>
              <w:top w:val="single" w:sz="4" w:space="0" w:color="auto"/>
              <w:left w:val="single" w:sz="4" w:space="0" w:color="auto"/>
              <w:bottom w:val="single" w:sz="4" w:space="0" w:color="auto"/>
              <w:right w:val="single" w:sz="4" w:space="0" w:color="auto"/>
            </w:tcBorders>
            <w:vAlign w:val="center"/>
          </w:tcPr>
          <w:p w14:paraId="3D1621A2" w14:textId="77777777" w:rsidR="00A54A8A" w:rsidRPr="00E67914" w:rsidRDefault="00000000">
            <w:pPr>
              <w:pStyle w:val="04"/>
              <w:rPr>
                <w:rFonts w:cs="Times New Roman"/>
              </w:rPr>
            </w:pPr>
            <w:r w:rsidRPr="00E67914">
              <w:rPr>
                <w:rFonts w:cs="Times New Roman"/>
              </w:rPr>
              <w:t>贮存</w:t>
            </w:r>
          </w:p>
          <w:p w14:paraId="1515166D" w14:textId="77777777" w:rsidR="00A54A8A" w:rsidRPr="00E67914" w:rsidRDefault="00000000">
            <w:pPr>
              <w:pStyle w:val="04"/>
              <w:rPr>
                <w:rFonts w:cs="Times New Roman"/>
              </w:rPr>
            </w:pPr>
            <w:r w:rsidRPr="00E67914">
              <w:rPr>
                <w:rFonts w:cs="Times New Roman"/>
              </w:rPr>
              <w:t>能力</w:t>
            </w:r>
          </w:p>
        </w:tc>
        <w:tc>
          <w:tcPr>
            <w:tcW w:w="430" w:type="pct"/>
            <w:tcBorders>
              <w:top w:val="single" w:sz="4" w:space="0" w:color="auto"/>
              <w:left w:val="single" w:sz="4" w:space="0" w:color="auto"/>
              <w:bottom w:val="single" w:sz="4" w:space="0" w:color="auto"/>
              <w:right w:val="single" w:sz="4" w:space="0" w:color="auto"/>
            </w:tcBorders>
            <w:vAlign w:val="center"/>
          </w:tcPr>
          <w:p w14:paraId="650A0D84" w14:textId="77777777" w:rsidR="00A54A8A" w:rsidRPr="00E67914" w:rsidRDefault="00000000">
            <w:pPr>
              <w:pStyle w:val="04"/>
              <w:rPr>
                <w:rFonts w:cs="Times New Roman"/>
              </w:rPr>
            </w:pPr>
            <w:r w:rsidRPr="00E67914">
              <w:rPr>
                <w:rFonts w:cs="Times New Roman"/>
              </w:rPr>
              <w:t>贮存</w:t>
            </w:r>
          </w:p>
          <w:p w14:paraId="4DB56A74" w14:textId="77777777" w:rsidR="00A54A8A" w:rsidRPr="00E67914" w:rsidRDefault="00000000">
            <w:pPr>
              <w:pStyle w:val="04"/>
              <w:rPr>
                <w:rFonts w:cs="Times New Roman"/>
              </w:rPr>
            </w:pPr>
            <w:r w:rsidRPr="00E67914">
              <w:rPr>
                <w:rFonts w:cs="Times New Roman"/>
              </w:rPr>
              <w:t>周期</w:t>
            </w:r>
          </w:p>
        </w:tc>
      </w:tr>
      <w:tr w:rsidR="00E67914" w:rsidRPr="00E67914" w14:paraId="7F6CF109" w14:textId="77777777">
        <w:trPr>
          <w:trHeight w:val="567"/>
        </w:trPr>
        <w:tc>
          <w:tcPr>
            <w:tcW w:w="352" w:type="pct"/>
            <w:tcBorders>
              <w:top w:val="single" w:sz="4" w:space="0" w:color="auto"/>
              <w:left w:val="single" w:sz="4" w:space="0" w:color="auto"/>
              <w:bottom w:val="single" w:sz="4" w:space="0" w:color="auto"/>
              <w:right w:val="single" w:sz="4" w:space="0" w:color="auto"/>
            </w:tcBorders>
            <w:vAlign w:val="center"/>
          </w:tcPr>
          <w:p w14:paraId="79322868" w14:textId="77777777" w:rsidR="00A54A8A" w:rsidRPr="00E67914" w:rsidRDefault="00000000">
            <w:pPr>
              <w:pStyle w:val="04"/>
              <w:rPr>
                <w:rFonts w:cs="Times New Roman"/>
              </w:rPr>
            </w:pPr>
            <w:r w:rsidRPr="00E67914">
              <w:rPr>
                <w:rFonts w:cs="Times New Roman"/>
              </w:rPr>
              <w:t>1</w:t>
            </w:r>
          </w:p>
        </w:tc>
        <w:tc>
          <w:tcPr>
            <w:tcW w:w="631" w:type="pct"/>
            <w:tcBorders>
              <w:top w:val="single" w:sz="4" w:space="0" w:color="auto"/>
              <w:left w:val="single" w:sz="4" w:space="0" w:color="auto"/>
              <w:bottom w:val="single" w:sz="4" w:space="0" w:color="auto"/>
              <w:right w:val="single" w:sz="4" w:space="0" w:color="auto"/>
            </w:tcBorders>
            <w:vAlign w:val="center"/>
          </w:tcPr>
          <w:p w14:paraId="144513F2" w14:textId="77777777" w:rsidR="00A54A8A" w:rsidRPr="00E67914" w:rsidRDefault="00000000">
            <w:pPr>
              <w:pStyle w:val="04"/>
              <w:rPr>
                <w:rFonts w:cs="Times New Roman"/>
              </w:rPr>
            </w:pPr>
            <w:r w:rsidRPr="00E67914">
              <w:rPr>
                <w:rFonts w:cs="Times New Roman"/>
              </w:rPr>
              <w:t>油桶</w:t>
            </w:r>
          </w:p>
          <w:p w14:paraId="391AEFA0" w14:textId="77777777" w:rsidR="00A54A8A" w:rsidRPr="00E67914" w:rsidRDefault="00000000">
            <w:pPr>
              <w:pStyle w:val="04"/>
              <w:rPr>
                <w:rFonts w:cs="Times New Roman"/>
              </w:rPr>
            </w:pPr>
            <w:r w:rsidRPr="00E67914">
              <w:rPr>
                <w:rFonts w:cs="Times New Roman"/>
              </w:rPr>
              <w:t>（</w:t>
            </w:r>
            <w:r w:rsidRPr="00E67914">
              <w:rPr>
                <w:rFonts w:cs="Times New Roman"/>
              </w:rPr>
              <w:t>2</w:t>
            </w:r>
            <w:r w:rsidRPr="00E67914">
              <w:rPr>
                <w:rFonts w:cs="Times New Roman"/>
              </w:rPr>
              <w:t>个）</w:t>
            </w:r>
          </w:p>
        </w:tc>
        <w:tc>
          <w:tcPr>
            <w:tcW w:w="443" w:type="pct"/>
            <w:tcBorders>
              <w:top w:val="single" w:sz="4" w:space="0" w:color="auto"/>
              <w:left w:val="single" w:sz="4" w:space="0" w:color="auto"/>
              <w:bottom w:val="single" w:sz="4" w:space="0" w:color="auto"/>
              <w:right w:val="single" w:sz="4" w:space="0" w:color="auto"/>
            </w:tcBorders>
            <w:vAlign w:val="center"/>
          </w:tcPr>
          <w:p w14:paraId="59679641" w14:textId="77777777" w:rsidR="00A54A8A" w:rsidRPr="00E67914" w:rsidRDefault="00000000">
            <w:pPr>
              <w:pStyle w:val="04"/>
              <w:rPr>
                <w:rFonts w:cs="Times New Roman"/>
              </w:rPr>
            </w:pPr>
            <w:r w:rsidRPr="00E67914">
              <w:rPr>
                <w:rFonts w:cs="Times New Roman"/>
              </w:rPr>
              <w:t>废油</w:t>
            </w:r>
          </w:p>
        </w:tc>
        <w:tc>
          <w:tcPr>
            <w:tcW w:w="682" w:type="pct"/>
            <w:tcBorders>
              <w:top w:val="single" w:sz="4" w:space="0" w:color="auto"/>
              <w:left w:val="single" w:sz="4" w:space="0" w:color="auto"/>
              <w:bottom w:val="single" w:sz="4" w:space="0" w:color="auto"/>
              <w:right w:val="single" w:sz="4" w:space="0" w:color="auto"/>
            </w:tcBorders>
            <w:vAlign w:val="center"/>
          </w:tcPr>
          <w:p w14:paraId="75FC203D" w14:textId="77777777" w:rsidR="00A54A8A" w:rsidRPr="00E67914" w:rsidRDefault="00000000">
            <w:pPr>
              <w:pStyle w:val="04"/>
              <w:rPr>
                <w:rFonts w:cs="Times New Roman"/>
              </w:rPr>
            </w:pPr>
            <w:r w:rsidRPr="00E67914">
              <w:rPr>
                <w:rFonts w:cs="Times New Roman"/>
              </w:rPr>
              <w:t>废矿物油与含矿物油废物</w:t>
            </w:r>
          </w:p>
        </w:tc>
        <w:tc>
          <w:tcPr>
            <w:tcW w:w="492" w:type="pct"/>
            <w:tcBorders>
              <w:top w:val="single" w:sz="4" w:space="0" w:color="auto"/>
              <w:left w:val="single" w:sz="4" w:space="0" w:color="auto"/>
              <w:bottom w:val="single" w:sz="4" w:space="0" w:color="auto"/>
              <w:right w:val="single" w:sz="4" w:space="0" w:color="auto"/>
            </w:tcBorders>
            <w:vAlign w:val="center"/>
          </w:tcPr>
          <w:p w14:paraId="646DC230" w14:textId="77777777" w:rsidR="00A54A8A" w:rsidRPr="00E67914" w:rsidRDefault="00000000">
            <w:pPr>
              <w:pStyle w:val="04"/>
              <w:rPr>
                <w:rFonts w:cs="Times New Roman"/>
              </w:rPr>
            </w:pPr>
            <w:r w:rsidRPr="00E67914">
              <w:rPr>
                <w:rFonts w:cs="Times New Roman"/>
              </w:rPr>
              <w:t>HW08</w:t>
            </w:r>
          </w:p>
        </w:tc>
        <w:tc>
          <w:tcPr>
            <w:tcW w:w="575" w:type="pct"/>
            <w:tcBorders>
              <w:top w:val="single" w:sz="4" w:space="0" w:color="auto"/>
              <w:left w:val="single" w:sz="4" w:space="0" w:color="auto"/>
              <w:bottom w:val="single" w:sz="4" w:space="0" w:color="auto"/>
              <w:right w:val="single" w:sz="4" w:space="0" w:color="auto"/>
            </w:tcBorders>
            <w:vAlign w:val="center"/>
          </w:tcPr>
          <w:p w14:paraId="61BF995B" w14:textId="77777777" w:rsidR="00A54A8A" w:rsidRPr="00E67914" w:rsidRDefault="00000000">
            <w:pPr>
              <w:pStyle w:val="04"/>
              <w:rPr>
                <w:rFonts w:cs="Times New Roman"/>
              </w:rPr>
            </w:pPr>
            <w:r w:rsidRPr="00E67914">
              <w:rPr>
                <w:rFonts w:cs="Times New Roman"/>
                <w:kern w:val="2"/>
                <w:sz w:val="22"/>
                <w:szCs w:val="22"/>
              </w:rPr>
              <w:t>泥浆不落地装置区临时堆放区内</w:t>
            </w:r>
          </w:p>
        </w:tc>
        <w:tc>
          <w:tcPr>
            <w:tcW w:w="492" w:type="pct"/>
            <w:tcBorders>
              <w:top w:val="single" w:sz="4" w:space="0" w:color="auto"/>
              <w:left w:val="single" w:sz="4" w:space="0" w:color="auto"/>
              <w:bottom w:val="single" w:sz="4" w:space="0" w:color="auto"/>
              <w:right w:val="single" w:sz="4" w:space="0" w:color="auto"/>
            </w:tcBorders>
            <w:vAlign w:val="center"/>
          </w:tcPr>
          <w:p w14:paraId="0E6B23CF" w14:textId="77777777" w:rsidR="00A54A8A" w:rsidRPr="00E67914" w:rsidRDefault="00000000">
            <w:pPr>
              <w:pStyle w:val="04"/>
              <w:rPr>
                <w:rFonts w:cs="Times New Roman"/>
              </w:rPr>
            </w:pPr>
            <w:r w:rsidRPr="00E67914">
              <w:rPr>
                <w:rFonts w:cs="Times New Roman"/>
              </w:rPr>
              <w:t>约</w:t>
            </w:r>
            <w:r w:rsidRPr="00E67914">
              <w:rPr>
                <w:rFonts w:cs="Times New Roman"/>
              </w:rPr>
              <w:t>2m</w:t>
            </w:r>
            <w:r w:rsidRPr="00E67914">
              <w:rPr>
                <w:rFonts w:cs="Times New Roman"/>
                <w:vertAlign w:val="superscript"/>
              </w:rPr>
              <w:t>2</w:t>
            </w:r>
          </w:p>
        </w:tc>
        <w:tc>
          <w:tcPr>
            <w:tcW w:w="493" w:type="pct"/>
            <w:tcBorders>
              <w:top w:val="single" w:sz="4" w:space="0" w:color="auto"/>
              <w:left w:val="single" w:sz="4" w:space="0" w:color="auto"/>
              <w:bottom w:val="single" w:sz="4" w:space="0" w:color="auto"/>
              <w:right w:val="single" w:sz="4" w:space="0" w:color="auto"/>
            </w:tcBorders>
            <w:vAlign w:val="center"/>
          </w:tcPr>
          <w:p w14:paraId="3F497751" w14:textId="77777777" w:rsidR="00A54A8A" w:rsidRPr="00E67914" w:rsidRDefault="00000000">
            <w:pPr>
              <w:pStyle w:val="04"/>
              <w:rPr>
                <w:rFonts w:cs="Times New Roman"/>
              </w:rPr>
            </w:pPr>
            <w:r w:rsidRPr="00E67914">
              <w:rPr>
                <w:rFonts w:cs="Times New Roman"/>
              </w:rPr>
              <w:t>集中</w:t>
            </w:r>
          </w:p>
          <w:p w14:paraId="00734455" w14:textId="77777777" w:rsidR="00A54A8A" w:rsidRPr="00E67914" w:rsidRDefault="00000000">
            <w:pPr>
              <w:pStyle w:val="04"/>
              <w:rPr>
                <w:rFonts w:cs="Times New Roman"/>
              </w:rPr>
            </w:pPr>
            <w:r w:rsidRPr="00E67914">
              <w:rPr>
                <w:rFonts w:cs="Times New Roman"/>
              </w:rPr>
              <w:t>贮存</w:t>
            </w:r>
          </w:p>
        </w:tc>
        <w:tc>
          <w:tcPr>
            <w:tcW w:w="410" w:type="pct"/>
            <w:tcBorders>
              <w:top w:val="single" w:sz="4" w:space="0" w:color="auto"/>
              <w:left w:val="single" w:sz="4" w:space="0" w:color="auto"/>
              <w:bottom w:val="single" w:sz="4" w:space="0" w:color="auto"/>
              <w:right w:val="single" w:sz="4" w:space="0" w:color="auto"/>
            </w:tcBorders>
            <w:vAlign w:val="center"/>
          </w:tcPr>
          <w:p w14:paraId="6111258D" w14:textId="77777777" w:rsidR="00A54A8A" w:rsidRPr="00E67914" w:rsidRDefault="00000000">
            <w:pPr>
              <w:pStyle w:val="04"/>
              <w:rPr>
                <w:rFonts w:cs="Times New Roman"/>
              </w:rPr>
            </w:pPr>
            <w:r w:rsidRPr="00E67914">
              <w:rPr>
                <w:rFonts w:cs="Times New Roman"/>
              </w:rPr>
              <w:t>约</w:t>
            </w:r>
            <w:r w:rsidRPr="00E67914">
              <w:rPr>
                <w:rFonts w:cs="Times New Roman"/>
              </w:rPr>
              <w:t>1m</w:t>
            </w:r>
            <w:r w:rsidRPr="00E67914">
              <w:rPr>
                <w:rFonts w:cs="Times New Roman"/>
                <w:vertAlign w:val="superscript"/>
              </w:rPr>
              <w:t>3</w:t>
            </w:r>
          </w:p>
        </w:tc>
        <w:tc>
          <w:tcPr>
            <w:tcW w:w="430" w:type="pct"/>
            <w:tcBorders>
              <w:top w:val="single" w:sz="4" w:space="0" w:color="auto"/>
              <w:left w:val="single" w:sz="4" w:space="0" w:color="auto"/>
              <w:bottom w:val="single" w:sz="4" w:space="0" w:color="auto"/>
              <w:right w:val="single" w:sz="4" w:space="0" w:color="auto"/>
            </w:tcBorders>
            <w:vAlign w:val="center"/>
          </w:tcPr>
          <w:p w14:paraId="69DA86A9" w14:textId="77777777" w:rsidR="00A54A8A" w:rsidRPr="00E67914" w:rsidRDefault="00000000">
            <w:pPr>
              <w:pStyle w:val="04"/>
              <w:rPr>
                <w:rFonts w:cs="Times New Roman"/>
              </w:rPr>
            </w:pPr>
            <w:r w:rsidRPr="00E67914">
              <w:rPr>
                <w:rFonts w:cs="Times New Roman"/>
              </w:rPr>
              <w:t>60d</w:t>
            </w:r>
          </w:p>
        </w:tc>
      </w:tr>
      <w:tr w:rsidR="00E67914" w:rsidRPr="00E67914" w14:paraId="6FB6E74C" w14:textId="77777777">
        <w:trPr>
          <w:trHeight w:val="567"/>
        </w:trPr>
        <w:tc>
          <w:tcPr>
            <w:tcW w:w="352" w:type="pct"/>
            <w:tcBorders>
              <w:top w:val="single" w:sz="4" w:space="0" w:color="auto"/>
              <w:left w:val="single" w:sz="4" w:space="0" w:color="auto"/>
              <w:bottom w:val="single" w:sz="4" w:space="0" w:color="auto"/>
              <w:right w:val="single" w:sz="4" w:space="0" w:color="auto"/>
            </w:tcBorders>
            <w:vAlign w:val="center"/>
          </w:tcPr>
          <w:p w14:paraId="07FB37AB" w14:textId="56D44D03" w:rsidR="009A7D8C" w:rsidRPr="00E67914" w:rsidRDefault="009A7D8C" w:rsidP="009A7D8C">
            <w:pPr>
              <w:pStyle w:val="04"/>
              <w:rPr>
                <w:rFonts w:cs="Times New Roman"/>
              </w:rPr>
            </w:pPr>
            <w:r w:rsidRPr="00E67914">
              <w:rPr>
                <w:rFonts w:cs="Times New Roman"/>
              </w:rPr>
              <w:t>2</w:t>
            </w:r>
          </w:p>
        </w:tc>
        <w:tc>
          <w:tcPr>
            <w:tcW w:w="631" w:type="pct"/>
            <w:tcBorders>
              <w:top w:val="single" w:sz="4" w:space="0" w:color="auto"/>
              <w:left w:val="single" w:sz="4" w:space="0" w:color="auto"/>
              <w:bottom w:val="single" w:sz="4" w:space="0" w:color="auto"/>
              <w:right w:val="single" w:sz="4" w:space="0" w:color="auto"/>
            </w:tcBorders>
            <w:vAlign w:val="center"/>
          </w:tcPr>
          <w:p w14:paraId="4B934BAD" w14:textId="22A1B189" w:rsidR="009A7D8C" w:rsidRPr="00E67914" w:rsidRDefault="009A7D8C" w:rsidP="009A7D8C">
            <w:pPr>
              <w:pStyle w:val="04"/>
              <w:rPr>
                <w:rFonts w:cs="Times New Roman"/>
              </w:rPr>
            </w:pPr>
            <w:r w:rsidRPr="00E67914">
              <w:rPr>
                <w:rFonts w:cs="Times New Roman"/>
              </w:rPr>
              <w:t>油基岩屑吨桶（</w:t>
            </w:r>
            <w:r w:rsidRPr="00E67914">
              <w:rPr>
                <w:rFonts w:cs="Times New Roman"/>
              </w:rPr>
              <w:t>20</w:t>
            </w:r>
            <w:r w:rsidRPr="00E67914">
              <w:rPr>
                <w:rFonts w:cs="Times New Roman"/>
              </w:rPr>
              <w:t>个）</w:t>
            </w:r>
          </w:p>
        </w:tc>
        <w:tc>
          <w:tcPr>
            <w:tcW w:w="443" w:type="pct"/>
            <w:tcBorders>
              <w:top w:val="single" w:sz="4" w:space="0" w:color="auto"/>
              <w:left w:val="single" w:sz="4" w:space="0" w:color="auto"/>
              <w:bottom w:val="single" w:sz="4" w:space="0" w:color="auto"/>
              <w:right w:val="single" w:sz="4" w:space="0" w:color="auto"/>
            </w:tcBorders>
            <w:vAlign w:val="center"/>
          </w:tcPr>
          <w:p w14:paraId="6CCAFA4C" w14:textId="3B0AD5B0" w:rsidR="009A7D8C" w:rsidRPr="00E67914" w:rsidRDefault="009A7D8C" w:rsidP="009A7D8C">
            <w:pPr>
              <w:pStyle w:val="04"/>
              <w:rPr>
                <w:rFonts w:cs="Times New Roman"/>
              </w:rPr>
            </w:pPr>
            <w:r w:rsidRPr="00E67914">
              <w:rPr>
                <w:rFonts w:cs="Times New Roman"/>
              </w:rPr>
              <w:t>油基钻井废泥浆、油基岩屑</w:t>
            </w:r>
          </w:p>
        </w:tc>
        <w:tc>
          <w:tcPr>
            <w:tcW w:w="682" w:type="pct"/>
            <w:tcBorders>
              <w:top w:val="single" w:sz="4" w:space="0" w:color="auto"/>
              <w:left w:val="single" w:sz="4" w:space="0" w:color="auto"/>
              <w:bottom w:val="single" w:sz="4" w:space="0" w:color="auto"/>
              <w:right w:val="single" w:sz="4" w:space="0" w:color="auto"/>
            </w:tcBorders>
            <w:vAlign w:val="center"/>
          </w:tcPr>
          <w:p w14:paraId="41F11644" w14:textId="061255D1" w:rsidR="009A7D8C" w:rsidRPr="00E67914" w:rsidRDefault="009A7D8C" w:rsidP="009A7D8C">
            <w:pPr>
              <w:pStyle w:val="04"/>
              <w:rPr>
                <w:rFonts w:cs="Times New Roman"/>
              </w:rPr>
            </w:pPr>
            <w:r w:rsidRPr="00E67914">
              <w:rPr>
                <w:rFonts w:cs="Times New Roman"/>
              </w:rPr>
              <w:t>废矿物油与含矿物油废物</w:t>
            </w:r>
          </w:p>
        </w:tc>
        <w:tc>
          <w:tcPr>
            <w:tcW w:w="492" w:type="pct"/>
            <w:tcBorders>
              <w:top w:val="single" w:sz="4" w:space="0" w:color="auto"/>
              <w:left w:val="single" w:sz="4" w:space="0" w:color="auto"/>
              <w:bottom w:val="single" w:sz="4" w:space="0" w:color="auto"/>
              <w:right w:val="single" w:sz="4" w:space="0" w:color="auto"/>
            </w:tcBorders>
            <w:vAlign w:val="center"/>
          </w:tcPr>
          <w:p w14:paraId="58F014D4" w14:textId="0872F65D" w:rsidR="009A7D8C" w:rsidRPr="00E67914" w:rsidRDefault="009A7D8C" w:rsidP="009A7D8C">
            <w:pPr>
              <w:pStyle w:val="04"/>
              <w:rPr>
                <w:rFonts w:cs="Times New Roman"/>
              </w:rPr>
            </w:pPr>
            <w:r w:rsidRPr="00E67914">
              <w:rPr>
                <w:rFonts w:cs="Times New Roman"/>
              </w:rPr>
              <w:t>HW08</w:t>
            </w:r>
          </w:p>
        </w:tc>
        <w:tc>
          <w:tcPr>
            <w:tcW w:w="575" w:type="pct"/>
            <w:tcBorders>
              <w:top w:val="single" w:sz="4" w:space="0" w:color="auto"/>
              <w:left w:val="single" w:sz="4" w:space="0" w:color="auto"/>
              <w:bottom w:val="single" w:sz="4" w:space="0" w:color="auto"/>
              <w:right w:val="single" w:sz="4" w:space="0" w:color="auto"/>
            </w:tcBorders>
            <w:vAlign w:val="center"/>
          </w:tcPr>
          <w:p w14:paraId="0D5BF8F6" w14:textId="3D62138B" w:rsidR="009A7D8C" w:rsidRPr="00E67914" w:rsidRDefault="009A7D8C" w:rsidP="009A7D8C">
            <w:pPr>
              <w:pStyle w:val="04"/>
              <w:rPr>
                <w:rFonts w:cs="Times New Roman"/>
                <w:kern w:val="2"/>
                <w:sz w:val="22"/>
                <w:szCs w:val="22"/>
              </w:rPr>
            </w:pPr>
            <w:r w:rsidRPr="00E67914">
              <w:rPr>
                <w:rFonts w:cs="Times New Roman"/>
                <w:kern w:val="2"/>
                <w:sz w:val="22"/>
                <w:szCs w:val="22"/>
              </w:rPr>
              <w:t>循环罐旁</w:t>
            </w:r>
          </w:p>
        </w:tc>
        <w:tc>
          <w:tcPr>
            <w:tcW w:w="492" w:type="pct"/>
            <w:tcBorders>
              <w:top w:val="single" w:sz="4" w:space="0" w:color="auto"/>
              <w:left w:val="single" w:sz="4" w:space="0" w:color="auto"/>
              <w:bottom w:val="single" w:sz="4" w:space="0" w:color="auto"/>
              <w:right w:val="single" w:sz="4" w:space="0" w:color="auto"/>
            </w:tcBorders>
            <w:vAlign w:val="center"/>
          </w:tcPr>
          <w:p w14:paraId="1C6AB715" w14:textId="23DAF97B" w:rsidR="009A7D8C" w:rsidRPr="00E67914" w:rsidRDefault="009A7D8C" w:rsidP="009A7D8C">
            <w:pPr>
              <w:pStyle w:val="04"/>
              <w:rPr>
                <w:rFonts w:cs="Times New Roman"/>
              </w:rPr>
            </w:pPr>
            <w:r w:rsidRPr="00E67914">
              <w:rPr>
                <w:rFonts w:cs="Times New Roman"/>
              </w:rPr>
              <w:t>约</w:t>
            </w:r>
            <w:r w:rsidRPr="00E67914">
              <w:rPr>
                <w:rFonts w:cs="Times New Roman"/>
              </w:rPr>
              <w:t>20m</w:t>
            </w:r>
            <w:r w:rsidRPr="00E67914">
              <w:rPr>
                <w:rFonts w:cs="Times New Roman"/>
                <w:vertAlign w:val="superscript"/>
              </w:rPr>
              <w:t>2</w:t>
            </w:r>
          </w:p>
        </w:tc>
        <w:tc>
          <w:tcPr>
            <w:tcW w:w="493" w:type="pct"/>
            <w:tcBorders>
              <w:top w:val="single" w:sz="4" w:space="0" w:color="auto"/>
              <w:left w:val="single" w:sz="4" w:space="0" w:color="auto"/>
              <w:bottom w:val="single" w:sz="4" w:space="0" w:color="auto"/>
              <w:right w:val="single" w:sz="4" w:space="0" w:color="auto"/>
            </w:tcBorders>
            <w:vAlign w:val="center"/>
          </w:tcPr>
          <w:p w14:paraId="3DCFEECD" w14:textId="77777777" w:rsidR="009A7D8C" w:rsidRPr="00E67914" w:rsidRDefault="009A7D8C" w:rsidP="009A7D8C">
            <w:pPr>
              <w:pStyle w:val="04"/>
              <w:rPr>
                <w:rFonts w:cs="Times New Roman"/>
              </w:rPr>
            </w:pPr>
            <w:r w:rsidRPr="00E67914">
              <w:rPr>
                <w:rFonts w:cs="Times New Roman"/>
              </w:rPr>
              <w:t>集中</w:t>
            </w:r>
          </w:p>
          <w:p w14:paraId="44FE5F92" w14:textId="6D090B75" w:rsidR="009A7D8C" w:rsidRPr="00E67914" w:rsidRDefault="009A7D8C" w:rsidP="009A7D8C">
            <w:pPr>
              <w:pStyle w:val="04"/>
              <w:rPr>
                <w:rFonts w:cs="Times New Roman"/>
              </w:rPr>
            </w:pPr>
            <w:r w:rsidRPr="00E67914">
              <w:rPr>
                <w:rFonts w:cs="Times New Roman"/>
              </w:rPr>
              <w:t>贮存</w:t>
            </w:r>
          </w:p>
        </w:tc>
        <w:tc>
          <w:tcPr>
            <w:tcW w:w="410" w:type="pct"/>
            <w:tcBorders>
              <w:top w:val="single" w:sz="4" w:space="0" w:color="auto"/>
              <w:left w:val="single" w:sz="4" w:space="0" w:color="auto"/>
              <w:bottom w:val="single" w:sz="4" w:space="0" w:color="auto"/>
              <w:right w:val="single" w:sz="4" w:space="0" w:color="auto"/>
            </w:tcBorders>
            <w:vAlign w:val="center"/>
          </w:tcPr>
          <w:p w14:paraId="6DA52DB1" w14:textId="4D267EC6" w:rsidR="009A7D8C" w:rsidRPr="00E67914" w:rsidRDefault="009A7D8C" w:rsidP="009A7D8C">
            <w:pPr>
              <w:pStyle w:val="04"/>
              <w:rPr>
                <w:rFonts w:cs="Times New Roman"/>
              </w:rPr>
            </w:pPr>
            <w:r w:rsidRPr="00E67914">
              <w:rPr>
                <w:rFonts w:cs="Times New Roman"/>
              </w:rPr>
              <w:t>约</w:t>
            </w:r>
            <w:r w:rsidRPr="00E67914">
              <w:rPr>
                <w:rFonts w:cs="Times New Roman"/>
              </w:rPr>
              <w:t>40m</w:t>
            </w:r>
            <w:r w:rsidRPr="00E67914">
              <w:rPr>
                <w:rFonts w:cs="Times New Roman"/>
                <w:vertAlign w:val="superscript"/>
              </w:rPr>
              <w:t>3</w:t>
            </w:r>
          </w:p>
        </w:tc>
        <w:tc>
          <w:tcPr>
            <w:tcW w:w="430" w:type="pct"/>
            <w:tcBorders>
              <w:top w:val="single" w:sz="4" w:space="0" w:color="auto"/>
              <w:left w:val="single" w:sz="4" w:space="0" w:color="auto"/>
              <w:bottom w:val="single" w:sz="4" w:space="0" w:color="auto"/>
              <w:right w:val="single" w:sz="4" w:space="0" w:color="auto"/>
            </w:tcBorders>
            <w:vAlign w:val="center"/>
          </w:tcPr>
          <w:p w14:paraId="74D6CE57" w14:textId="4B710107" w:rsidR="009A7D8C" w:rsidRPr="00E67914" w:rsidRDefault="009A7D8C" w:rsidP="009A7D8C">
            <w:pPr>
              <w:pStyle w:val="04"/>
              <w:rPr>
                <w:rFonts w:cs="Times New Roman"/>
              </w:rPr>
            </w:pPr>
            <w:r w:rsidRPr="00E67914">
              <w:rPr>
                <w:rFonts w:cs="Times New Roman"/>
              </w:rPr>
              <w:t>2</w:t>
            </w:r>
            <w:r w:rsidRPr="00E67914">
              <w:rPr>
                <w:rFonts w:cs="Times New Roman"/>
              </w:rPr>
              <w:t>天</w:t>
            </w:r>
          </w:p>
        </w:tc>
      </w:tr>
    </w:tbl>
    <w:p w14:paraId="1167D8D7" w14:textId="4941519E" w:rsidR="00A54A8A" w:rsidRPr="00E67914" w:rsidRDefault="00000000">
      <w:pPr>
        <w:adjustRightInd w:val="0"/>
        <w:snapToGrid w:val="0"/>
        <w:spacing w:beforeLines="50" w:before="120"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w:t>
      </w:r>
      <w:r w:rsidR="009A7D8C" w:rsidRPr="00E67914">
        <w:rPr>
          <w:rFonts w:ascii="Times New Roman" w:hAnsi="Times New Roman"/>
          <w:sz w:val="24"/>
          <w:lang w:eastAsia="zh-CN"/>
        </w:rPr>
        <w:t>一般</w:t>
      </w:r>
      <w:r w:rsidRPr="00E67914">
        <w:rPr>
          <w:rFonts w:ascii="Times New Roman" w:hAnsi="Times New Roman"/>
          <w:sz w:val="24"/>
          <w:lang w:eastAsia="zh-CN"/>
        </w:rPr>
        <w:t>固体废物产生量见表</w:t>
      </w:r>
      <w:r w:rsidRPr="00E67914">
        <w:rPr>
          <w:rFonts w:ascii="Times New Roman" w:hAnsi="Times New Roman"/>
          <w:sz w:val="24"/>
          <w:lang w:eastAsia="zh-CN"/>
        </w:rPr>
        <w:t>3.4-10</w:t>
      </w:r>
      <w:r w:rsidRPr="00E67914">
        <w:rPr>
          <w:rFonts w:ascii="Times New Roman" w:hAnsi="Times New Roman"/>
          <w:sz w:val="24"/>
          <w:lang w:eastAsia="zh-CN"/>
        </w:rPr>
        <w:t>。</w:t>
      </w:r>
    </w:p>
    <w:p w14:paraId="57F6593D" w14:textId="10D62DDC"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3.4-10  </w:t>
      </w:r>
      <w:r w:rsidRPr="00E67914">
        <w:rPr>
          <w:rFonts w:ascii="Times New Roman" w:eastAsia="黑体" w:hAnsi="Times New Roman"/>
          <w:sz w:val="21"/>
          <w:szCs w:val="21"/>
          <w:lang w:eastAsia="zh-CN"/>
        </w:rPr>
        <w:t>钻井工程</w:t>
      </w:r>
      <w:r w:rsidR="009A7D8C" w:rsidRPr="00E67914">
        <w:rPr>
          <w:rFonts w:ascii="Times New Roman" w:eastAsia="黑体" w:hAnsi="Times New Roman"/>
          <w:sz w:val="21"/>
          <w:szCs w:val="21"/>
          <w:lang w:eastAsia="zh-CN"/>
        </w:rPr>
        <w:t>一般</w:t>
      </w:r>
      <w:r w:rsidRPr="00E67914">
        <w:rPr>
          <w:rFonts w:ascii="Times New Roman" w:eastAsia="黑体" w:hAnsi="Times New Roman"/>
          <w:sz w:val="21"/>
          <w:szCs w:val="21"/>
          <w:lang w:eastAsia="zh-CN"/>
        </w:rPr>
        <w:t>固体废物产生及处置情况一览表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89"/>
        <w:gridCol w:w="2878"/>
        <w:gridCol w:w="1451"/>
        <w:gridCol w:w="1531"/>
        <w:gridCol w:w="1451"/>
      </w:tblGrid>
      <w:tr w:rsidR="00E67914" w:rsidRPr="00E67914" w14:paraId="2BBE3D08" w14:textId="77777777" w:rsidTr="009A7D8C">
        <w:trPr>
          <w:cantSplit/>
          <w:jc w:val="center"/>
        </w:trPr>
        <w:tc>
          <w:tcPr>
            <w:tcW w:w="595" w:type="pct"/>
            <w:vAlign w:val="center"/>
          </w:tcPr>
          <w:p w14:paraId="20CA6EA6" w14:textId="77777777" w:rsidR="009A7D8C" w:rsidRPr="00E67914" w:rsidRDefault="009A7D8C">
            <w:pPr>
              <w:snapToGrid w:val="0"/>
              <w:jc w:val="center"/>
              <w:rPr>
                <w:rFonts w:ascii="Times New Roman" w:hAnsi="Times New Roman"/>
                <w:sz w:val="21"/>
                <w:szCs w:val="21"/>
              </w:rPr>
            </w:pPr>
            <w:r w:rsidRPr="00E67914">
              <w:rPr>
                <w:rFonts w:ascii="Times New Roman" w:hAnsi="Times New Roman"/>
                <w:sz w:val="21"/>
                <w:szCs w:val="21"/>
              </w:rPr>
              <w:t>固废种类</w:t>
            </w:r>
          </w:p>
        </w:tc>
        <w:tc>
          <w:tcPr>
            <w:tcW w:w="1734" w:type="pct"/>
            <w:vAlign w:val="center"/>
          </w:tcPr>
          <w:p w14:paraId="1103A8F4" w14:textId="77777777" w:rsidR="009A7D8C" w:rsidRPr="00E67914" w:rsidRDefault="009A7D8C">
            <w:pPr>
              <w:snapToGrid w:val="0"/>
              <w:jc w:val="center"/>
              <w:rPr>
                <w:rFonts w:ascii="Times New Roman" w:hAnsi="Times New Roman"/>
                <w:sz w:val="21"/>
                <w:szCs w:val="21"/>
              </w:rPr>
            </w:pPr>
            <w:r w:rsidRPr="00E67914">
              <w:rPr>
                <w:rFonts w:ascii="Times New Roman" w:hAnsi="Times New Roman"/>
                <w:sz w:val="21"/>
                <w:szCs w:val="21"/>
                <w:lang w:eastAsia="zh-CN"/>
              </w:rPr>
              <w:t>水基</w:t>
            </w:r>
            <w:r w:rsidRPr="00E67914">
              <w:rPr>
                <w:rFonts w:ascii="Times New Roman" w:hAnsi="Times New Roman"/>
                <w:sz w:val="21"/>
                <w:szCs w:val="21"/>
              </w:rPr>
              <w:t>钻井固废（</w:t>
            </w:r>
            <w:r w:rsidRPr="00E67914">
              <w:rPr>
                <w:rFonts w:ascii="Times New Roman" w:hAnsi="Times New Roman"/>
                <w:sz w:val="21"/>
                <w:szCs w:val="21"/>
              </w:rPr>
              <w:t>t</w:t>
            </w:r>
            <w:r w:rsidRPr="00E67914">
              <w:rPr>
                <w:rFonts w:ascii="Times New Roman" w:hAnsi="Times New Roman"/>
                <w:sz w:val="21"/>
                <w:szCs w:val="21"/>
              </w:rPr>
              <w:t>）</w:t>
            </w:r>
          </w:p>
        </w:tc>
        <w:tc>
          <w:tcPr>
            <w:tcW w:w="874" w:type="pct"/>
            <w:vAlign w:val="center"/>
          </w:tcPr>
          <w:p w14:paraId="54755987" w14:textId="77777777" w:rsidR="009A7D8C" w:rsidRPr="00E67914" w:rsidRDefault="009A7D8C">
            <w:pPr>
              <w:snapToGrid w:val="0"/>
              <w:jc w:val="center"/>
              <w:rPr>
                <w:rFonts w:ascii="Times New Roman" w:hAnsi="Times New Roman"/>
                <w:sz w:val="21"/>
                <w:szCs w:val="21"/>
              </w:rPr>
            </w:pPr>
            <w:r w:rsidRPr="00E67914">
              <w:rPr>
                <w:rFonts w:ascii="Times New Roman" w:hAnsi="Times New Roman"/>
                <w:sz w:val="21"/>
                <w:szCs w:val="21"/>
              </w:rPr>
              <w:t>生活垃圾</w:t>
            </w:r>
          </w:p>
        </w:tc>
        <w:tc>
          <w:tcPr>
            <w:tcW w:w="922" w:type="pct"/>
            <w:vAlign w:val="center"/>
          </w:tcPr>
          <w:p w14:paraId="34F8756C" w14:textId="77777777" w:rsidR="009A7D8C" w:rsidRPr="00E67914" w:rsidRDefault="009A7D8C">
            <w:pPr>
              <w:snapToGrid w:val="0"/>
              <w:jc w:val="center"/>
              <w:rPr>
                <w:rFonts w:ascii="Times New Roman" w:hAnsi="Times New Roman"/>
                <w:sz w:val="21"/>
                <w:szCs w:val="21"/>
              </w:rPr>
            </w:pPr>
            <w:r w:rsidRPr="00E67914">
              <w:rPr>
                <w:rFonts w:ascii="Times New Roman" w:hAnsi="Times New Roman"/>
                <w:sz w:val="21"/>
                <w:szCs w:val="21"/>
              </w:rPr>
              <w:t>废包装材料</w:t>
            </w:r>
            <w:r w:rsidRPr="00E67914">
              <w:rPr>
                <w:rFonts w:ascii="Times New Roman" w:hAnsi="Times New Roman"/>
                <w:sz w:val="21"/>
                <w:szCs w:val="21"/>
              </w:rPr>
              <w:t>(t)</w:t>
            </w:r>
          </w:p>
        </w:tc>
        <w:tc>
          <w:tcPr>
            <w:tcW w:w="874" w:type="pct"/>
            <w:vAlign w:val="center"/>
          </w:tcPr>
          <w:p w14:paraId="13053C7C"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建筑垃圾</w:t>
            </w:r>
          </w:p>
        </w:tc>
      </w:tr>
      <w:tr w:rsidR="00E67914" w:rsidRPr="00E67914" w14:paraId="2A3F2F13" w14:textId="77777777" w:rsidTr="009A7D8C">
        <w:trPr>
          <w:cantSplit/>
          <w:jc w:val="center"/>
        </w:trPr>
        <w:tc>
          <w:tcPr>
            <w:tcW w:w="595" w:type="pct"/>
            <w:tcMar>
              <w:left w:w="0" w:type="dxa"/>
              <w:right w:w="0" w:type="dxa"/>
            </w:tcMar>
            <w:vAlign w:val="center"/>
          </w:tcPr>
          <w:p w14:paraId="3C3832D3"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产生量</w:t>
            </w:r>
          </w:p>
        </w:tc>
        <w:tc>
          <w:tcPr>
            <w:tcW w:w="1734" w:type="pct"/>
            <w:vAlign w:val="center"/>
          </w:tcPr>
          <w:p w14:paraId="5302971A" w14:textId="365805EF" w:rsidR="009A7D8C" w:rsidRPr="00E67914" w:rsidRDefault="001E35E3">
            <w:pPr>
              <w:snapToGrid w:val="0"/>
              <w:jc w:val="center"/>
              <w:rPr>
                <w:rFonts w:ascii="Times New Roman" w:hAnsi="Times New Roman"/>
                <w:sz w:val="21"/>
                <w:szCs w:val="21"/>
                <w:lang w:eastAsia="zh-CN"/>
              </w:rPr>
            </w:pPr>
            <w:r w:rsidRPr="00E67914">
              <w:rPr>
                <w:rFonts w:ascii="Times New Roman" w:hAnsi="Times New Roman"/>
                <w:sz w:val="21"/>
                <w:szCs w:val="21"/>
                <w:lang w:eastAsia="zh-CN"/>
              </w:rPr>
              <w:t>4337.82</w:t>
            </w:r>
          </w:p>
        </w:tc>
        <w:tc>
          <w:tcPr>
            <w:tcW w:w="874" w:type="pct"/>
            <w:vAlign w:val="center"/>
          </w:tcPr>
          <w:p w14:paraId="256BA11B" w14:textId="77777777" w:rsidR="009A7D8C" w:rsidRPr="00E67914" w:rsidRDefault="009A7D8C">
            <w:pPr>
              <w:snapToGrid w:val="0"/>
              <w:jc w:val="center"/>
              <w:rPr>
                <w:rFonts w:ascii="Times New Roman" w:hAnsi="Times New Roman"/>
                <w:sz w:val="21"/>
                <w:szCs w:val="21"/>
              </w:rPr>
            </w:pPr>
            <w:r w:rsidRPr="00E67914">
              <w:rPr>
                <w:rFonts w:ascii="Times New Roman" w:hAnsi="Times New Roman"/>
                <w:sz w:val="21"/>
                <w:szCs w:val="21"/>
              </w:rPr>
              <w:t>22.5kg/d</w:t>
            </w:r>
          </w:p>
        </w:tc>
        <w:tc>
          <w:tcPr>
            <w:tcW w:w="922" w:type="pct"/>
            <w:vAlign w:val="center"/>
          </w:tcPr>
          <w:p w14:paraId="2D10486D" w14:textId="05438C74" w:rsidR="009A7D8C" w:rsidRPr="00E67914" w:rsidRDefault="001E35E3">
            <w:pPr>
              <w:snapToGrid w:val="0"/>
              <w:jc w:val="center"/>
              <w:rPr>
                <w:rFonts w:ascii="Times New Roman" w:hAnsi="Times New Roman"/>
                <w:sz w:val="21"/>
                <w:szCs w:val="21"/>
              </w:rPr>
            </w:pPr>
            <w:r w:rsidRPr="00E67914">
              <w:rPr>
                <w:rFonts w:ascii="Times New Roman" w:hAnsi="Times New Roman"/>
                <w:sz w:val="21"/>
                <w:szCs w:val="21"/>
              </w:rPr>
              <w:t>6</w:t>
            </w:r>
            <w:r w:rsidR="009A7D8C" w:rsidRPr="00E67914">
              <w:rPr>
                <w:rFonts w:ascii="Times New Roman" w:hAnsi="Times New Roman"/>
                <w:sz w:val="21"/>
                <w:szCs w:val="21"/>
              </w:rPr>
              <w:t>.0</w:t>
            </w:r>
          </w:p>
        </w:tc>
        <w:tc>
          <w:tcPr>
            <w:tcW w:w="874" w:type="pct"/>
            <w:vAlign w:val="center"/>
          </w:tcPr>
          <w:p w14:paraId="641BC97A"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r>
      <w:tr w:rsidR="00E67914" w:rsidRPr="00E67914" w14:paraId="6F1503AD" w14:textId="77777777" w:rsidTr="009A7D8C">
        <w:trPr>
          <w:cantSplit/>
          <w:jc w:val="center"/>
        </w:trPr>
        <w:tc>
          <w:tcPr>
            <w:tcW w:w="595" w:type="pct"/>
            <w:tcMar>
              <w:left w:w="0" w:type="dxa"/>
              <w:right w:w="0" w:type="dxa"/>
            </w:tcMar>
            <w:vAlign w:val="center"/>
          </w:tcPr>
          <w:p w14:paraId="54FDB76E" w14:textId="77777777" w:rsidR="009A7D8C" w:rsidRPr="00E67914" w:rsidRDefault="009A7D8C">
            <w:pPr>
              <w:snapToGrid w:val="0"/>
              <w:jc w:val="center"/>
              <w:rPr>
                <w:rFonts w:ascii="Times New Roman" w:hAnsi="Times New Roman"/>
                <w:sz w:val="21"/>
                <w:szCs w:val="21"/>
              </w:rPr>
            </w:pPr>
            <w:r w:rsidRPr="00E67914">
              <w:rPr>
                <w:rFonts w:ascii="Times New Roman" w:hAnsi="Times New Roman"/>
                <w:sz w:val="21"/>
                <w:szCs w:val="21"/>
              </w:rPr>
              <w:t>处置措施及去向</w:t>
            </w:r>
          </w:p>
        </w:tc>
        <w:tc>
          <w:tcPr>
            <w:tcW w:w="1734" w:type="pct"/>
            <w:vAlign w:val="center"/>
          </w:tcPr>
          <w:p w14:paraId="2472D466"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经泥浆不落地工艺进行固液分离后暂存于固废临时堆放区，定期用密闭罐车及时转运至达州地区环保手续齐全、环保设施稳定运行固废烧结厂进行烧结后综合利用</w:t>
            </w:r>
          </w:p>
        </w:tc>
        <w:tc>
          <w:tcPr>
            <w:tcW w:w="874" w:type="pct"/>
            <w:vAlign w:val="center"/>
          </w:tcPr>
          <w:p w14:paraId="644B13EF"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集中收集，交由当地环卫部门处置</w:t>
            </w:r>
          </w:p>
        </w:tc>
        <w:tc>
          <w:tcPr>
            <w:tcW w:w="922" w:type="pct"/>
            <w:vAlign w:val="center"/>
          </w:tcPr>
          <w:p w14:paraId="2F48B196"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集中收集后部分回用，剩余的送当地废品回收站处理</w:t>
            </w:r>
          </w:p>
        </w:tc>
        <w:tc>
          <w:tcPr>
            <w:tcW w:w="874" w:type="pct"/>
            <w:vAlign w:val="center"/>
          </w:tcPr>
          <w:p w14:paraId="0A5BA2C7" w14:textId="77777777" w:rsidR="009A7D8C" w:rsidRPr="00E67914" w:rsidRDefault="009A7D8C">
            <w:pPr>
              <w:snapToGrid w:val="0"/>
              <w:jc w:val="center"/>
              <w:rPr>
                <w:rFonts w:ascii="Times New Roman" w:hAnsi="Times New Roman"/>
                <w:sz w:val="21"/>
                <w:szCs w:val="21"/>
                <w:lang w:eastAsia="zh-CN"/>
              </w:rPr>
            </w:pPr>
            <w:r w:rsidRPr="00E67914">
              <w:rPr>
                <w:rFonts w:ascii="Times New Roman" w:hAnsi="Times New Roman"/>
                <w:sz w:val="21"/>
                <w:szCs w:val="21"/>
                <w:lang w:eastAsia="zh-CN"/>
              </w:rPr>
              <w:t>施工队伍统一收集清运至政府指定地方</w:t>
            </w:r>
          </w:p>
        </w:tc>
      </w:tr>
    </w:tbl>
    <w:p w14:paraId="143AFD9C" w14:textId="77777777" w:rsidR="00A54A8A" w:rsidRPr="00E67914" w:rsidRDefault="00000000">
      <w:pPr>
        <w:adjustRightInd w:val="0"/>
        <w:snapToGrid w:val="0"/>
        <w:spacing w:beforeLines="50" w:before="120"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5</w:t>
      </w:r>
      <w:r w:rsidRPr="00E67914">
        <w:rPr>
          <w:rFonts w:ascii="Times New Roman" w:hAnsi="Times New Roman"/>
          <w:b/>
          <w:bCs/>
          <w:sz w:val="24"/>
          <w:szCs w:val="24"/>
          <w:lang w:eastAsia="zh-CN"/>
        </w:rPr>
        <w:t>）地下水污染</w:t>
      </w:r>
    </w:p>
    <w:p w14:paraId="36200398"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）地下水污染源类型分析</w:t>
      </w:r>
    </w:p>
    <w:p w14:paraId="0536A15C"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钻井工程对地下水环境可能造成影响的污染源主要是场地内暂存的钻井废水、泥浆、岩屑等的渗滤液以及井下钻井过程滤失的钻井泥浆和压裂过程井筒破裂漏失的压裂液。</w:t>
      </w:r>
    </w:p>
    <w:p w14:paraId="1BD8F04F"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）污染途径分析</w:t>
      </w:r>
    </w:p>
    <w:p w14:paraId="6C87CEC7"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钻井工程对地下水产生污染的途径主要有两种，即渗透污染和穿透污染。</w:t>
      </w:r>
    </w:p>
    <w:p w14:paraId="31149E75"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a</w:t>
      </w:r>
      <w:r w:rsidRPr="00E67914">
        <w:rPr>
          <w:rFonts w:ascii="Times New Roman" w:hAnsi="Times New Roman"/>
          <w:bCs/>
          <w:kern w:val="2"/>
          <w:sz w:val="24"/>
          <w:szCs w:val="24"/>
          <w:lang w:eastAsia="zh-CN"/>
        </w:rPr>
        <w:t>、渗透污染：钻井泥浆循环系统、泥浆不落地处理系统、油罐、放喷池、原辅材料堆存淋溶雨水等产生、暂存、离析或罐体、池体破裂渗露出的废水、废油通过包气带渗透到潜水含水层而污染地下水，是本项目的主要污染形式。</w:t>
      </w:r>
    </w:p>
    <w:p w14:paraId="7F0FB336"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b</w:t>
      </w:r>
      <w:r w:rsidRPr="00E67914">
        <w:rPr>
          <w:rFonts w:ascii="Times New Roman" w:hAnsi="Times New Roman"/>
          <w:bCs/>
          <w:kern w:val="2"/>
          <w:sz w:val="24"/>
          <w:szCs w:val="24"/>
          <w:lang w:eastAsia="zh-CN"/>
        </w:rPr>
        <w:t>、穿透污染：一般发生在钻井过程中的井漏和压裂过程中井筒破裂事故中，在水头压力差的作用下，将有少量钻井泥浆或压裂液滤失，并在含水层中扩散迁移，污染地下水，污染程度与所选用的钻井泥浆体系与压裂方案密切相关。</w:t>
      </w:r>
    </w:p>
    <w:p w14:paraId="185B0E1D"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）地下水污染源源强分析</w:t>
      </w:r>
    </w:p>
    <w:p w14:paraId="78392CCC"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a</w:t>
      </w:r>
      <w:r w:rsidRPr="00E67914">
        <w:rPr>
          <w:rFonts w:ascii="Times New Roman" w:hAnsi="Times New Roman"/>
          <w:bCs/>
          <w:kern w:val="2"/>
          <w:sz w:val="24"/>
          <w:szCs w:val="24"/>
          <w:lang w:eastAsia="zh-CN"/>
        </w:rPr>
        <w:t>：污染物渗滤液：此类废水产生于钻井废水和岩屑等固废在井场内操作区域内暂存中，所含废液经渗露、离析后，向周围岩层渗入、扩散。本项目对井场分区分级防渗处理，正常工况下渗透外泄量极小。</w:t>
      </w:r>
    </w:p>
    <w:p w14:paraId="44788C24"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b</w:t>
      </w:r>
      <w:r w:rsidRPr="00E67914">
        <w:rPr>
          <w:rFonts w:ascii="Times New Roman" w:hAnsi="Times New Roman"/>
          <w:bCs/>
          <w:kern w:val="2"/>
          <w:sz w:val="24"/>
          <w:szCs w:val="24"/>
          <w:lang w:eastAsia="zh-CN"/>
        </w:rPr>
        <w:t>：钻井滤失泥浆：此类影响产生于钻井期间的过平衡钻井阶段，钻井泥浆在压力差的作用下，渗透入井壁岩石的裂隙或孔隙中。钻井泥浆监控系统一般在地层滤失量＜</w:t>
      </w:r>
      <w:r w:rsidRPr="00E67914">
        <w:rPr>
          <w:rFonts w:ascii="Times New Roman" w:hAnsi="Times New Roman"/>
          <w:bCs/>
          <w:kern w:val="2"/>
          <w:sz w:val="24"/>
          <w:szCs w:val="24"/>
          <w:lang w:eastAsia="zh-CN"/>
        </w:rPr>
        <w:t>3m</w:t>
      </w:r>
      <w:r w:rsidRPr="00E67914">
        <w:rPr>
          <w:rFonts w:ascii="Times New Roman" w:hAnsi="Times New Roman"/>
          <w:bCs/>
          <w:kern w:val="2"/>
          <w:sz w:val="24"/>
          <w:szCs w:val="24"/>
          <w:vertAlign w:val="superscript"/>
          <w:lang w:eastAsia="zh-CN"/>
        </w:rPr>
        <w:t>3</w:t>
      </w:r>
      <w:r w:rsidRPr="00E67914">
        <w:rPr>
          <w:rFonts w:ascii="Times New Roman" w:hAnsi="Times New Roman"/>
          <w:bCs/>
          <w:kern w:val="2"/>
          <w:sz w:val="24"/>
          <w:szCs w:val="24"/>
          <w:lang w:eastAsia="zh-CN"/>
        </w:rPr>
        <w:t>/h</w:t>
      </w:r>
      <w:r w:rsidRPr="00E67914">
        <w:rPr>
          <w:rFonts w:ascii="Times New Roman" w:hAnsi="Times New Roman"/>
          <w:bCs/>
          <w:kern w:val="2"/>
          <w:sz w:val="24"/>
          <w:szCs w:val="24"/>
          <w:lang w:eastAsia="zh-CN"/>
        </w:rPr>
        <w:t>时即可发现泥浆漏失，以便及时采取堵漏措施。本项目在每段完钻后及时采用套管水泥固井，从措施上减少井筒内泥浆滤失可能。</w:t>
      </w:r>
    </w:p>
    <w:p w14:paraId="5FA508A2"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6</w:t>
      </w:r>
      <w:r w:rsidRPr="00E67914">
        <w:rPr>
          <w:rFonts w:ascii="Times New Roman" w:hAnsi="Times New Roman"/>
          <w:b/>
          <w:kern w:val="2"/>
          <w:sz w:val="24"/>
          <w:szCs w:val="24"/>
          <w:lang w:eastAsia="zh-CN"/>
        </w:rPr>
        <w:t>）环境风险</w:t>
      </w:r>
    </w:p>
    <w:p w14:paraId="59491A99"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存在一定的环境风险，主要表现为钻井井喷失控或泄漏的天然气导致的火灾爆炸环境风险事故，以及泄漏天然气导致的环境风险事故；此外还表现为井场罐区及放喷池池体渗漏污染地表土壤和浅层地下水；井筒内套管破损导致钻井过程中钻井泥浆漏失，进入地下水环境，污染地下水环境；油罐区存储的柴油泄漏环境风险；污染物外运处理中的运输风险等。</w:t>
      </w:r>
    </w:p>
    <w:p w14:paraId="648E4110"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sz w:val="24"/>
          <w:szCs w:val="24"/>
          <w:lang w:eastAsia="zh-CN"/>
        </w:rPr>
      </w:pPr>
      <w:r w:rsidRPr="00E67914">
        <w:rPr>
          <w:rFonts w:ascii="Times New Roman" w:eastAsia="黑体" w:hAnsi="Times New Roman"/>
          <w:sz w:val="24"/>
          <w:szCs w:val="24"/>
          <w:lang w:eastAsia="zh-CN"/>
        </w:rPr>
        <w:t>3.4.1.3</w:t>
      </w:r>
      <w:r w:rsidRPr="00E67914">
        <w:rPr>
          <w:rFonts w:ascii="Times New Roman" w:eastAsia="黑体" w:hAnsi="Times New Roman"/>
          <w:sz w:val="24"/>
          <w:szCs w:val="24"/>
          <w:lang w:eastAsia="zh-CN"/>
        </w:rPr>
        <w:t>油气集输工程</w:t>
      </w:r>
    </w:p>
    <w:p w14:paraId="4062E8B7" w14:textId="1749A40D" w:rsidR="00A54A8A" w:rsidRPr="00E67914" w:rsidRDefault="001E35E3">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lang w:eastAsia="zh-CN"/>
        </w:rPr>
        <w:t>钻井完毕后，新普陆页</w:t>
      </w:r>
      <w:r w:rsidRPr="00E67914">
        <w:rPr>
          <w:rFonts w:ascii="Times New Roman" w:hAnsi="Times New Roman"/>
          <w:sz w:val="24"/>
          <w:lang w:eastAsia="zh-CN"/>
        </w:rPr>
        <w:t>2</w:t>
      </w:r>
      <w:r w:rsidRPr="00E67914">
        <w:rPr>
          <w:rFonts w:ascii="Times New Roman" w:hAnsi="Times New Roman"/>
          <w:sz w:val="24"/>
          <w:lang w:eastAsia="zh-CN"/>
        </w:rPr>
        <w:t>井场</w:t>
      </w:r>
      <w:r w:rsidRPr="00E67914">
        <w:rPr>
          <w:rFonts w:ascii="Times New Roman" w:hAnsi="Times New Roman"/>
          <w:sz w:val="24"/>
          <w:lang w:eastAsia="zh-CN"/>
        </w:rPr>
        <w:t>3</w:t>
      </w:r>
      <w:r w:rsidRPr="00E67914">
        <w:rPr>
          <w:rFonts w:ascii="Times New Roman" w:hAnsi="Times New Roman"/>
          <w:sz w:val="24"/>
          <w:lang w:eastAsia="zh-CN"/>
        </w:rPr>
        <w:t>口井通过测试并获得天然气产量后，通过新建的新普陆页</w:t>
      </w:r>
      <w:r w:rsidRPr="00E67914">
        <w:rPr>
          <w:rFonts w:ascii="Times New Roman" w:hAnsi="Times New Roman"/>
          <w:sz w:val="24"/>
          <w:lang w:eastAsia="zh-CN"/>
        </w:rPr>
        <w:t>2</w:t>
      </w:r>
      <w:r w:rsidRPr="00E67914">
        <w:rPr>
          <w:rFonts w:ascii="Times New Roman" w:hAnsi="Times New Roman"/>
          <w:sz w:val="24"/>
          <w:lang w:eastAsia="zh-CN"/>
        </w:rPr>
        <w:t>井场到普陆页</w:t>
      </w:r>
      <w:r w:rsidRPr="00E67914">
        <w:rPr>
          <w:rFonts w:ascii="Times New Roman" w:hAnsi="Times New Roman"/>
          <w:sz w:val="24"/>
          <w:lang w:eastAsia="zh-CN"/>
        </w:rPr>
        <w:t>2</w:t>
      </w:r>
      <w:r w:rsidRPr="00E67914">
        <w:rPr>
          <w:rFonts w:ascii="Times New Roman" w:hAnsi="Times New Roman"/>
          <w:sz w:val="24"/>
          <w:lang w:eastAsia="zh-CN"/>
        </w:rPr>
        <w:t>试采站管线输送至依托的原普陆页</w:t>
      </w:r>
      <w:r w:rsidRPr="00E67914">
        <w:rPr>
          <w:rFonts w:ascii="Times New Roman" w:hAnsi="Times New Roman"/>
          <w:sz w:val="24"/>
          <w:lang w:eastAsia="zh-CN"/>
        </w:rPr>
        <w:t>2</w:t>
      </w:r>
      <w:r w:rsidRPr="00E67914">
        <w:rPr>
          <w:rFonts w:ascii="Times New Roman" w:hAnsi="Times New Roman"/>
          <w:sz w:val="24"/>
          <w:lang w:eastAsia="zh-CN"/>
        </w:rPr>
        <w:t>井场建设的普陆页</w:t>
      </w:r>
      <w:r w:rsidRPr="00E67914">
        <w:rPr>
          <w:rFonts w:ascii="Times New Roman" w:hAnsi="Times New Roman"/>
          <w:sz w:val="24"/>
          <w:lang w:eastAsia="zh-CN"/>
        </w:rPr>
        <w:t>2</w:t>
      </w:r>
      <w:r w:rsidRPr="00E67914">
        <w:rPr>
          <w:rFonts w:ascii="Times New Roman" w:hAnsi="Times New Roman"/>
          <w:sz w:val="24"/>
          <w:lang w:eastAsia="zh-CN"/>
        </w:rPr>
        <w:t>试采站，与原普陆页</w:t>
      </w:r>
      <w:r w:rsidRPr="00E67914">
        <w:rPr>
          <w:rFonts w:ascii="Times New Roman" w:hAnsi="Times New Roman"/>
          <w:sz w:val="24"/>
          <w:lang w:eastAsia="zh-CN"/>
        </w:rPr>
        <w:t>2</w:t>
      </w:r>
      <w:r w:rsidRPr="00E67914">
        <w:rPr>
          <w:rFonts w:ascii="Times New Roman" w:hAnsi="Times New Roman"/>
          <w:sz w:val="24"/>
          <w:lang w:eastAsia="zh-CN"/>
        </w:rPr>
        <w:t>井场的普陆页</w:t>
      </w:r>
      <w:r w:rsidRPr="00E67914">
        <w:rPr>
          <w:rFonts w:ascii="Times New Roman" w:hAnsi="Times New Roman"/>
          <w:sz w:val="24"/>
          <w:lang w:eastAsia="zh-CN"/>
        </w:rPr>
        <w:t>2HF</w:t>
      </w:r>
      <w:r w:rsidRPr="00E67914">
        <w:rPr>
          <w:rFonts w:ascii="Times New Roman" w:hAnsi="Times New Roman"/>
          <w:sz w:val="24"/>
          <w:lang w:eastAsia="zh-CN"/>
        </w:rPr>
        <w:t>井一同采用井口除砂、加热节流、混相轮换计量、气液两相分离、油气水三相闪蒸分离、原料气保温输送、凝析油和采出水分开储存装车工艺，实现气井产物油气水分开计量及天然气外输和污水、凝析油等进行分类回收处置功能。处理后的天然气经普陆页</w:t>
      </w:r>
      <w:r w:rsidRPr="00E67914">
        <w:rPr>
          <w:rFonts w:ascii="Times New Roman" w:hAnsi="Times New Roman"/>
          <w:sz w:val="24"/>
          <w:lang w:eastAsia="zh-CN"/>
        </w:rPr>
        <w:t>2</w:t>
      </w:r>
      <w:r w:rsidRPr="00E67914">
        <w:rPr>
          <w:rFonts w:ascii="Times New Roman" w:hAnsi="Times New Roman"/>
          <w:sz w:val="24"/>
          <w:lang w:eastAsia="zh-CN"/>
        </w:rPr>
        <w:t>试采站至</w:t>
      </w:r>
      <w:r w:rsidRPr="00E67914">
        <w:rPr>
          <w:rFonts w:ascii="Times New Roman" w:hAnsi="Times New Roman"/>
          <w:sz w:val="24"/>
          <w:lang w:eastAsia="zh-CN"/>
        </w:rPr>
        <w:t>P302</w:t>
      </w:r>
      <w:r w:rsidRPr="00E67914">
        <w:rPr>
          <w:rFonts w:ascii="Times New Roman" w:hAnsi="Times New Roman"/>
          <w:sz w:val="24"/>
          <w:lang w:eastAsia="zh-CN"/>
        </w:rPr>
        <w:t>集气站的外输管线外输至</w:t>
      </w:r>
      <w:r w:rsidRPr="00E67914">
        <w:rPr>
          <w:rFonts w:ascii="Times New Roman" w:hAnsi="Times New Roman"/>
          <w:sz w:val="24"/>
          <w:lang w:eastAsia="zh-CN"/>
        </w:rPr>
        <w:t>P302</w:t>
      </w:r>
      <w:r w:rsidRPr="00E67914">
        <w:rPr>
          <w:rFonts w:ascii="Times New Roman" w:hAnsi="Times New Roman"/>
          <w:sz w:val="24"/>
          <w:lang w:eastAsia="zh-CN"/>
        </w:rPr>
        <w:t>集气站。</w:t>
      </w:r>
    </w:p>
    <w:p w14:paraId="2D868F85"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bCs/>
          <w:lang w:eastAsia="zh-CN"/>
        </w:rPr>
      </w:pPr>
      <w:r w:rsidRPr="00E67914">
        <w:rPr>
          <w:rFonts w:ascii="Times New Roman" w:hAnsi="Times New Roman"/>
          <w:b/>
          <w:bCs/>
          <w:lang w:eastAsia="zh-CN"/>
        </w:rPr>
        <w:t>（</w:t>
      </w:r>
      <w:r w:rsidRPr="00E67914">
        <w:rPr>
          <w:rFonts w:ascii="Times New Roman" w:hAnsi="Times New Roman"/>
          <w:b/>
          <w:bCs/>
          <w:lang w:eastAsia="zh-CN"/>
        </w:rPr>
        <w:t>1</w:t>
      </w:r>
      <w:r w:rsidRPr="00E67914">
        <w:rPr>
          <w:rFonts w:ascii="Times New Roman" w:hAnsi="Times New Roman"/>
          <w:b/>
          <w:bCs/>
          <w:lang w:eastAsia="zh-CN"/>
        </w:rPr>
        <w:t>）生态环境</w:t>
      </w:r>
    </w:p>
    <w:p w14:paraId="1E3CAF65" w14:textId="22E1DAE8"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lastRenderedPageBreak/>
        <w:t>由于站场施工工作全部在钻井井场内完成，占地均位于原</w:t>
      </w:r>
      <w:r w:rsidR="008835C1" w:rsidRPr="00E67914">
        <w:rPr>
          <w:rFonts w:ascii="Times New Roman" w:hAnsi="Times New Roman"/>
          <w:bCs/>
          <w:sz w:val="24"/>
          <w:lang w:eastAsia="zh-CN"/>
        </w:rPr>
        <w:t>有</w:t>
      </w:r>
      <w:r w:rsidRPr="00E67914">
        <w:rPr>
          <w:rFonts w:ascii="Times New Roman" w:hAnsi="Times New Roman"/>
          <w:bCs/>
          <w:sz w:val="24"/>
          <w:lang w:eastAsia="zh-CN"/>
        </w:rPr>
        <w:t>占地范围内，生态影响主要为部分设备基础建设造成施工区域土地裸露，在雨季极易产生径流，加重土壤侵蚀程度，造成水土流失。本项目在设备安装完毕后及时进行场站内道路硬化和绿化，减少场站施工区水土流失。</w:t>
      </w:r>
      <w:r w:rsidR="008835C1" w:rsidRPr="00E67914">
        <w:rPr>
          <w:rFonts w:ascii="Times New Roman" w:hAnsi="Times New Roman"/>
          <w:bCs/>
          <w:sz w:val="24"/>
          <w:lang w:eastAsia="zh-CN"/>
        </w:rPr>
        <w:t>本项目管线工程施工结束后及时进行复垦以减少对生态环境的影响和水土流失。</w:t>
      </w:r>
    </w:p>
    <w:p w14:paraId="19217383"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2</w:t>
      </w:r>
      <w:r w:rsidRPr="00E67914">
        <w:rPr>
          <w:rFonts w:ascii="Times New Roman" w:hAnsi="Times New Roman"/>
          <w:b/>
          <w:sz w:val="24"/>
          <w:lang w:eastAsia="zh-CN"/>
        </w:rPr>
        <w:t>）废气</w:t>
      </w:r>
    </w:p>
    <w:p w14:paraId="33591672"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施工期废气主要为施工机具作业时产生的尾气，基础开挖、场地平整及物料装卸等施工过程产生的粉尘，车辆运输产生的二次扬尘等，产生量较少，通过自然扩散后对环境影响较小。</w:t>
      </w:r>
    </w:p>
    <w:p w14:paraId="7BBEF38B"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3</w:t>
      </w:r>
      <w:r w:rsidRPr="00E67914">
        <w:rPr>
          <w:rFonts w:ascii="Times New Roman" w:hAnsi="Times New Roman"/>
          <w:b/>
          <w:sz w:val="24"/>
          <w:lang w:eastAsia="zh-CN"/>
        </w:rPr>
        <w:t>）废水</w:t>
      </w:r>
    </w:p>
    <w:p w14:paraId="67921D6B"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sz w:val="24"/>
          <w:szCs w:val="24"/>
          <w:lang w:eastAsia="zh-CN"/>
        </w:rPr>
        <w:t>废水主要施工废水</w:t>
      </w:r>
      <w:r w:rsidRPr="00E67914">
        <w:rPr>
          <w:rFonts w:ascii="Times New Roman" w:hAnsi="Times New Roman"/>
          <w:bCs/>
          <w:sz w:val="24"/>
          <w:szCs w:val="24"/>
          <w:lang w:eastAsia="zh-CN"/>
        </w:rPr>
        <w:t>（主要污染物为</w:t>
      </w:r>
      <w:r w:rsidRPr="00E67914">
        <w:rPr>
          <w:rFonts w:ascii="Times New Roman" w:hAnsi="Times New Roman"/>
          <w:bCs/>
          <w:sz w:val="24"/>
          <w:szCs w:val="24"/>
          <w:lang w:eastAsia="zh-CN"/>
        </w:rPr>
        <w:t>SS</w:t>
      </w:r>
      <w:r w:rsidRPr="00E67914">
        <w:rPr>
          <w:rFonts w:ascii="Times New Roman" w:hAnsi="Times New Roman"/>
          <w:bCs/>
          <w:sz w:val="24"/>
          <w:szCs w:val="24"/>
          <w:lang w:eastAsia="zh-CN"/>
        </w:rPr>
        <w:t>）</w:t>
      </w:r>
      <w:r w:rsidRPr="00E67914">
        <w:rPr>
          <w:rFonts w:ascii="Times New Roman" w:hAnsi="Times New Roman"/>
          <w:sz w:val="24"/>
          <w:szCs w:val="24"/>
          <w:lang w:eastAsia="zh-CN"/>
        </w:rPr>
        <w:t>以及施工人员的生活污水（主要污染物为</w:t>
      </w:r>
      <w:r w:rsidRPr="00E67914">
        <w:rPr>
          <w:rFonts w:ascii="Times New Roman" w:hAnsi="Times New Roman"/>
          <w:bCs/>
          <w:sz w:val="24"/>
          <w:szCs w:val="24"/>
          <w:lang w:eastAsia="zh-CN"/>
        </w:rPr>
        <w:t>COD</w:t>
      </w:r>
      <w:r w:rsidRPr="00E67914">
        <w:rPr>
          <w:rFonts w:ascii="Times New Roman" w:hAnsi="Times New Roman"/>
          <w:bCs/>
          <w:sz w:val="24"/>
          <w:szCs w:val="24"/>
          <w:lang w:eastAsia="zh-CN"/>
        </w:rPr>
        <w:t>、</w:t>
      </w:r>
      <w:r w:rsidRPr="00E67914">
        <w:rPr>
          <w:rFonts w:ascii="Times New Roman" w:hAnsi="Times New Roman"/>
          <w:bCs/>
          <w:sz w:val="24"/>
          <w:szCs w:val="24"/>
          <w:lang w:eastAsia="zh-CN"/>
        </w:rPr>
        <w:t>SS</w:t>
      </w:r>
      <w:r w:rsidRPr="00E67914">
        <w:rPr>
          <w:rFonts w:ascii="Times New Roman" w:hAnsi="Times New Roman"/>
          <w:bCs/>
          <w:sz w:val="24"/>
          <w:szCs w:val="24"/>
          <w:lang w:eastAsia="zh-CN"/>
        </w:rPr>
        <w:t>和</w:t>
      </w:r>
      <w:r w:rsidRPr="00E67914">
        <w:rPr>
          <w:rFonts w:ascii="Times New Roman" w:hAnsi="Times New Roman"/>
          <w:bCs/>
          <w:sz w:val="24"/>
          <w:szCs w:val="24"/>
          <w:lang w:eastAsia="zh-CN"/>
        </w:rPr>
        <w:t>NH</w:t>
      </w:r>
      <w:r w:rsidRPr="00E67914">
        <w:rPr>
          <w:rFonts w:ascii="Times New Roman" w:hAnsi="Times New Roman"/>
          <w:bCs/>
          <w:sz w:val="24"/>
          <w:szCs w:val="24"/>
          <w:vertAlign w:val="subscript"/>
          <w:lang w:eastAsia="zh-CN"/>
        </w:rPr>
        <w:t>3</w:t>
      </w:r>
      <w:r w:rsidRPr="00E67914">
        <w:rPr>
          <w:rFonts w:ascii="Times New Roman" w:hAnsi="Times New Roman"/>
          <w:bCs/>
          <w:sz w:val="24"/>
          <w:szCs w:val="24"/>
          <w:lang w:eastAsia="zh-CN"/>
        </w:rPr>
        <w:t>-N</w:t>
      </w:r>
      <w:r w:rsidRPr="00E67914">
        <w:rPr>
          <w:rFonts w:ascii="Times New Roman" w:hAnsi="Times New Roman"/>
          <w:bCs/>
          <w:sz w:val="24"/>
          <w:szCs w:val="24"/>
          <w:lang w:eastAsia="zh-CN"/>
        </w:rPr>
        <w:t>等</w:t>
      </w:r>
      <w:r w:rsidRPr="00E67914">
        <w:rPr>
          <w:rFonts w:ascii="Times New Roman" w:hAnsi="Times New Roman"/>
          <w:sz w:val="24"/>
          <w:szCs w:val="24"/>
          <w:lang w:eastAsia="zh-CN"/>
        </w:rPr>
        <w:t>）。生活污水经生态厕所收集后定期由密闭罐车拉运至周边生活污水处理厂处理；少量生产废水在施工现场设置沉淀池，施工废水经隔油沉淀处理后回用于洒水降尘，不外排。</w:t>
      </w:r>
    </w:p>
    <w:p w14:paraId="6B7F90DF"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4</w:t>
      </w:r>
      <w:r w:rsidRPr="00E67914">
        <w:rPr>
          <w:rFonts w:ascii="Times New Roman" w:hAnsi="Times New Roman"/>
          <w:b/>
          <w:sz w:val="24"/>
          <w:lang w:eastAsia="zh-CN"/>
        </w:rPr>
        <w:t>）噪声</w:t>
      </w:r>
    </w:p>
    <w:p w14:paraId="17E5B6A5" w14:textId="4FB139A1"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站场</w:t>
      </w:r>
      <w:r w:rsidR="008835C1" w:rsidRPr="00E67914">
        <w:rPr>
          <w:rFonts w:ascii="Times New Roman" w:hAnsi="Times New Roman"/>
          <w:sz w:val="24"/>
          <w:szCs w:val="24"/>
          <w:lang w:eastAsia="zh-CN"/>
        </w:rPr>
        <w:t>与管道</w:t>
      </w:r>
      <w:r w:rsidRPr="00E67914">
        <w:rPr>
          <w:rFonts w:ascii="Times New Roman" w:hAnsi="Times New Roman"/>
          <w:sz w:val="24"/>
          <w:szCs w:val="24"/>
          <w:lang w:eastAsia="zh-CN"/>
        </w:rPr>
        <w:t>建设的噪声主要是推土机、电焊机、载重汽车等运行中产生的，工程量小、时间短，噪声源强小</w:t>
      </w:r>
      <w:r w:rsidR="00BE657C" w:rsidRPr="00E67914">
        <w:rPr>
          <w:rFonts w:ascii="Times New Roman" w:hAnsi="Times New Roman"/>
          <w:sz w:val="24"/>
          <w:szCs w:val="24"/>
          <w:lang w:eastAsia="zh-CN"/>
        </w:rPr>
        <w:t>，源强噪声与钻前工程相似或小于钻前工程</w:t>
      </w:r>
      <w:r w:rsidRPr="00E67914">
        <w:rPr>
          <w:rFonts w:ascii="Times New Roman" w:hAnsi="Times New Roman"/>
          <w:sz w:val="24"/>
          <w:szCs w:val="24"/>
          <w:lang w:eastAsia="zh-CN"/>
        </w:rPr>
        <w:t>，夜间不施工，对环境影响小。</w:t>
      </w:r>
    </w:p>
    <w:p w14:paraId="629CA6B0"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5</w:t>
      </w:r>
      <w:r w:rsidRPr="00E67914">
        <w:rPr>
          <w:rFonts w:ascii="Times New Roman" w:hAnsi="Times New Roman"/>
          <w:b/>
          <w:sz w:val="24"/>
          <w:lang w:eastAsia="zh-CN"/>
        </w:rPr>
        <w:t>）固废</w:t>
      </w:r>
    </w:p>
    <w:p w14:paraId="2EB3AA78" w14:textId="656EB4B8"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szCs w:val="24"/>
          <w:lang w:eastAsia="zh-CN"/>
        </w:rPr>
        <w:t>站场</w:t>
      </w:r>
      <w:r w:rsidR="008835C1" w:rsidRPr="00E67914">
        <w:rPr>
          <w:rFonts w:ascii="Times New Roman" w:hAnsi="Times New Roman"/>
          <w:sz w:val="24"/>
          <w:szCs w:val="24"/>
          <w:lang w:eastAsia="zh-CN"/>
        </w:rPr>
        <w:t>与管线</w:t>
      </w:r>
      <w:r w:rsidRPr="00E67914">
        <w:rPr>
          <w:rFonts w:ascii="Times New Roman" w:hAnsi="Times New Roman"/>
          <w:sz w:val="24"/>
          <w:szCs w:val="24"/>
          <w:lang w:eastAsia="zh-CN"/>
        </w:rPr>
        <w:t>建设产生少量建筑垃圾，如包装袋，废弃建筑材料等，其量小，由施工队伍统一收集清运至政府指定地方。施工人员多为当地民工，租住在附近农户，无集中生活垃圾产生，其产生的生活垃圾利用附近农户现有的设施进行收集处置，无集中生活垃圾产生。</w:t>
      </w:r>
    </w:p>
    <w:p w14:paraId="3D9F9316"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4</w:t>
      </w:r>
      <w:r w:rsidRPr="00E67914">
        <w:rPr>
          <w:rFonts w:ascii="Times New Roman" w:eastAsia="黑体" w:hAnsi="Times New Roman"/>
          <w:sz w:val="24"/>
          <w:szCs w:val="24"/>
          <w:lang w:eastAsia="zh-CN"/>
        </w:rPr>
        <w:t>、施工期</w:t>
      </w:r>
      <w:r w:rsidRPr="00E67914">
        <w:rPr>
          <w:rFonts w:ascii="Times New Roman" w:hAnsi="Times New Roman"/>
          <w:sz w:val="24"/>
          <w:szCs w:val="24"/>
          <w:lang w:eastAsia="zh-CN"/>
        </w:rPr>
        <w:t>“</w:t>
      </w:r>
      <w:r w:rsidRPr="00E67914">
        <w:rPr>
          <w:rFonts w:ascii="Times New Roman" w:eastAsia="黑体" w:hAnsi="Times New Roman"/>
          <w:sz w:val="24"/>
          <w:szCs w:val="24"/>
          <w:lang w:eastAsia="zh-CN"/>
        </w:rPr>
        <w:t>三废</w:t>
      </w:r>
      <w:r w:rsidRPr="00E67914">
        <w:rPr>
          <w:rFonts w:ascii="Times New Roman" w:hAnsi="Times New Roman"/>
          <w:sz w:val="24"/>
          <w:szCs w:val="24"/>
          <w:lang w:eastAsia="zh-CN"/>
        </w:rPr>
        <w:t>”</w:t>
      </w:r>
      <w:r w:rsidRPr="00E67914">
        <w:rPr>
          <w:rFonts w:ascii="Times New Roman" w:eastAsia="黑体" w:hAnsi="Times New Roman"/>
          <w:sz w:val="24"/>
          <w:szCs w:val="24"/>
          <w:lang w:eastAsia="zh-CN"/>
        </w:rPr>
        <w:t>汇总表</w:t>
      </w:r>
    </w:p>
    <w:p w14:paraId="2DDA968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综上所示，本项目施工期污染物产生量及排放状况与生态影响见下表。</w:t>
      </w:r>
    </w:p>
    <w:p w14:paraId="35CC685E"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3.4-11  </w:t>
      </w:r>
      <w:r w:rsidRPr="00E67914">
        <w:rPr>
          <w:rFonts w:ascii="Times New Roman" w:eastAsia="黑体" w:hAnsi="Times New Roman"/>
          <w:sz w:val="21"/>
          <w:szCs w:val="21"/>
          <w:lang w:eastAsia="zh-CN"/>
        </w:rPr>
        <w:t>本项目施工期正常工况下</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三废</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439"/>
        <w:gridCol w:w="971"/>
        <w:gridCol w:w="992"/>
        <w:gridCol w:w="2557"/>
      </w:tblGrid>
      <w:tr w:rsidR="002662E3" w:rsidRPr="00E67914" w14:paraId="6C05E929" w14:textId="77777777">
        <w:trPr>
          <w:cantSplit/>
          <w:jc w:val="center"/>
        </w:trPr>
        <w:tc>
          <w:tcPr>
            <w:tcW w:w="2263" w:type="dxa"/>
            <w:gridSpan w:val="2"/>
            <w:vAlign w:val="center"/>
          </w:tcPr>
          <w:p w14:paraId="7DCCBD01"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lang w:eastAsia="zh-CN"/>
              </w:rPr>
              <w:t>污染源</w:t>
            </w:r>
          </w:p>
        </w:tc>
        <w:tc>
          <w:tcPr>
            <w:tcW w:w="1439" w:type="dxa"/>
            <w:vAlign w:val="center"/>
          </w:tcPr>
          <w:p w14:paraId="327BCDEB"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lang w:eastAsia="zh-CN"/>
              </w:rPr>
              <w:t>主要污染物</w:t>
            </w:r>
          </w:p>
        </w:tc>
        <w:tc>
          <w:tcPr>
            <w:tcW w:w="971" w:type="dxa"/>
            <w:vAlign w:val="center"/>
          </w:tcPr>
          <w:p w14:paraId="52978244"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产生量</w:t>
            </w:r>
          </w:p>
        </w:tc>
        <w:tc>
          <w:tcPr>
            <w:tcW w:w="992" w:type="dxa"/>
            <w:vAlign w:val="center"/>
          </w:tcPr>
          <w:p w14:paraId="196D590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排放量</w:t>
            </w:r>
          </w:p>
        </w:tc>
        <w:tc>
          <w:tcPr>
            <w:tcW w:w="2557" w:type="dxa"/>
            <w:vAlign w:val="center"/>
          </w:tcPr>
          <w:p w14:paraId="12FC16DD"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防治措施</w:t>
            </w:r>
          </w:p>
        </w:tc>
      </w:tr>
      <w:tr w:rsidR="002662E3" w:rsidRPr="00E67914" w14:paraId="4C3564FB" w14:textId="77777777">
        <w:trPr>
          <w:cantSplit/>
          <w:jc w:val="center"/>
        </w:trPr>
        <w:tc>
          <w:tcPr>
            <w:tcW w:w="704" w:type="dxa"/>
            <w:vMerge w:val="restart"/>
            <w:tcMar>
              <w:left w:w="0" w:type="dxa"/>
              <w:right w:w="0" w:type="dxa"/>
            </w:tcMar>
            <w:vAlign w:val="center"/>
          </w:tcPr>
          <w:p w14:paraId="39CEB1AC"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废气</w:t>
            </w:r>
          </w:p>
        </w:tc>
        <w:tc>
          <w:tcPr>
            <w:tcW w:w="1559" w:type="dxa"/>
            <w:vAlign w:val="center"/>
          </w:tcPr>
          <w:p w14:paraId="4982DCFD"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施工扬尘</w:t>
            </w:r>
          </w:p>
        </w:tc>
        <w:tc>
          <w:tcPr>
            <w:tcW w:w="1439" w:type="dxa"/>
            <w:vAlign w:val="center"/>
          </w:tcPr>
          <w:p w14:paraId="3C64B705"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TSP</w:t>
            </w:r>
          </w:p>
        </w:tc>
        <w:tc>
          <w:tcPr>
            <w:tcW w:w="971" w:type="dxa"/>
            <w:vAlign w:val="center"/>
          </w:tcPr>
          <w:p w14:paraId="7ECDFDE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992" w:type="dxa"/>
            <w:vAlign w:val="center"/>
          </w:tcPr>
          <w:p w14:paraId="3F916A05"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2557" w:type="dxa"/>
            <w:vAlign w:val="center"/>
          </w:tcPr>
          <w:p w14:paraId="489D0E2B"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短期排放，定期洒水抑尘</w:t>
            </w:r>
          </w:p>
        </w:tc>
      </w:tr>
      <w:tr w:rsidR="002662E3" w:rsidRPr="00E67914" w14:paraId="58D22940" w14:textId="77777777">
        <w:trPr>
          <w:cantSplit/>
          <w:jc w:val="center"/>
        </w:trPr>
        <w:tc>
          <w:tcPr>
            <w:tcW w:w="704" w:type="dxa"/>
            <w:vMerge/>
            <w:tcMar>
              <w:left w:w="0" w:type="dxa"/>
              <w:right w:w="0" w:type="dxa"/>
            </w:tcMar>
            <w:vAlign w:val="center"/>
          </w:tcPr>
          <w:p w14:paraId="376FD776" w14:textId="77777777" w:rsidR="00A54A8A" w:rsidRPr="00E67914" w:rsidRDefault="00A54A8A">
            <w:pPr>
              <w:snapToGrid w:val="0"/>
              <w:jc w:val="center"/>
              <w:rPr>
                <w:rFonts w:ascii="Times New Roman" w:hAnsi="Times New Roman"/>
                <w:sz w:val="21"/>
                <w:szCs w:val="21"/>
                <w:lang w:eastAsia="zh-CN"/>
              </w:rPr>
            </w:pPr>
          </w:p>
        </w:tc>
        <w:tc>
          <w:tcPr>
            <w:tcW w:w="1559" w:type="dxa"/>
            <w:vAlign w:val="center"/>
          </w:tcPr>
          <w:p w14:paraId="58A9A162"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施工机械和运输车辆尾气、压裂作业废气</w:t>
            </w:r>
          </w:p>
        </w:tc>
        <w:tc>
          <w:tcPr>
            <w:tcW w:w="1439" w:type="dxa"/>
            <w:vAlign w:val="center"/>
          </w:tcPr>
          <w:p w14:paraId="7EA10C6E"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CO</w:t>
            </w:r>
            <w:r w:rsidRPr="00E67914">
              <w:rPr>
                <w:rFonts w:ascii="Times New Roman" w:hAnsi="Times New Roman"/>
                <w:sz w:val="21"/>
                <w:szCs w:val="21"/>
                <w:lang w:eastAsia="zh-CN"/>
              </w:rPr>
              <w:t>、</w:t>
            </w:r>
            <w:r w:rsidRPr="00E67914">
              <w:rPr>
                <w:rFonts w:ascii="Times New Roman" w:hAnsi="Times New Roman"/>
                <w:sz w:val="21"/>
                <w:szCs w:val="21"/>
                <w:lang w:eastAsia="zh-CN"/>
              </w:rPr>
              <w:t>NOx</w:t>
            </w:r>
            <w:r w:rsidRPr="00E67914">
              <w:rPr>
                <w:rFonts w:ascii="Times New Roman" w:hAnsi="Times New Roman"/>
                <w:sz w:val="21"/>
                <w:szCs w:val="21"/>
                <w:lang w:eastAsia="zh-CN"/>
              </w:rPr>
              <w:t>等</w:t>
            </w:r>
          </w:p>
        </w:tc>
        <w:tc>
          <w:tcPr>
            <w:tcW w:w="971" w:type="dxa"/>
            <w:vAlign w:val="center"/>
          </w:tcPr>
          <w:p w14:paraId="0366E461"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992" w:type="dxa"/>
            <w:vAlign w:val="center"/>
          </w:tcPr>
          <w:p w14:paraId="1D54200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2557" w:type="dxa"/>
            <w:vAlign w:val="center"/>
          </w:tcPr>
          <w:p w14:paraId="3F5C73C5"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选用尾气排放达标机械车辆，加强保养维护</w:t>
            </w:r>
          </w:p>
        </w:tc>
      </w:tr>
      <w:tr w:rsidR="002662E3" w:rsidRPr="00E67914" w14:paraId="30A9CE46" w14:textId="77777777">
        <w:trPr>
          <w:cantSplit/>
          <w:jc w:val="center"/>
        </w:trPr>
        <w:tc>
          <w:tcPr>
            <w:tcW w:w="704" w:type="dxa"/>
            <w:vMerge/>
            <w:tcMar>
              <w:left w:w="0" w:type="dxa"/>
              <w:right w:w="0" w:type="dxa"/>
            </w:tcMar>
            <w:vAlign w:val="center"/>
          </w:tcPr>
          <w:p w14:paraId="1185708B" w14:textId="77777777" w:rsidR="00A54A8A" w:rsidRPr="00E67914" w:rsidRDefault="00A54A8A">
            <w:pPr>
              <w:snapToGrid w:val="0"/>
              <w:jc w:val="center"/>
              <w:rPr>
                <w:rFonts w:ascii="Times New Roman" w:hAnsi="Times New Roman"/>
                <w:sz w:val="21"/>
                <w:szCs w:val="21"/>
                <w:lang w:eastAsia="zh-CN"/>
              </w:rPr>
            </w:pPr>
          </w:p>
        </w:tc>
        <w:tc>
          <w:tcPr>
            <w:tcW w:w="1559" w:type="dxa"/>
            <w:vMerge w:val="restart"/>
            <w:vAlign w:val="center"/>
          </w:tcPr>
          <w:p w14:paraId="473B346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备用柴油发电机尾气</w:t>
            </w:r>
          </w:p>
        </w:tc>
        <w:tc>
          <w:tcPr>
            <w:tcW w:w="1439" w:type="dxa"/>
            <w:vAlign w:val="center"/>
          </w:tcPr>
          <w:p w14:paraId="4555235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NOx</w:t>
            </w:r>
          </w:p>
        </w:tc>
        <w:tc>
          <w:tcPr>
            <w:tcW w:w="1963" w:type="dxa"/>
            <w:gridSpan w:val="2"/>
            <w:vAlign w:val="center"/>
          </w:tcPr>
          <w:p w14:paraId="6E3979A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rPr>
              <w:t>1.17kg</w:t>
            </w:r>
            <w:r w:rsidRPr="00E67914">
              <w:rPr>
                <w:rFonts w:ascii="Times New Roman" w:hAnsi="Times New Roman"/>
                <w:sz w:val="21"/>
                <w:szCs w:val="21"/>
                <w:lang w:eastAsia="zh-CN"/>
              </w:rPr>
              <w:t>/h</w:t>
            </w:r>
          </w:p>
        </w:tc>
        <w:tc>
          <w:tcPr>
            <w:tcW w:w="2557" w:type="dxa"/>
            <w:vMerge w:val="restart"/>
            <w:vAlign w:val="center"/>
          </w:tcPr>
          <w:p w14:paraId="2DFBD1BB"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自带消烟除尘装置处理后</w:t>
            </w:r>
            <w:r w:rsidRPr="00E67914">
              <w:rPr>
                <w:rFonts w:ascii="Times New Roman" w:hAnsi="Times New Roman"/>
                <w:sz w:val="21"/>
                <w:szCs w:val="21"/>
                <w:lang w:eastAsia="zh-CN"/>
              </w:rPr>
              <w:t>6m</w:t>
            </w:r>
            <w:r w:rsidRPr="00E67914">
              <w:rPr>
                <w:rFonts w:ascii="Times New Roman" w:hAnsi="Times New Roman"/>
                <w:sz w:val="21"/>
                <w:szCs w:val="21"/>
                <w:lang w:eastAsia="zh-CN"/>
              </w:rPr>
              <w:t>高排气筒排放</w:t>
            </w:r>
          </w:p>
        </w:tc>
      </w:tr>
      <w:tr w:rsidR="002662E3" w:rsidRPr="00E67914" w14:paraId="2E923AE0" w14:textId="77777777">
        <w:trPr>
          <w:cantSplit/>
          <w:jc w:val="center"/>
        </w:trPr>
        <w:tc>
          <w:tcPr>
            <w:tcW w:w="704" w:type="dxa"/>
            <w:vMerge/>
            <w:tcMar>
              <w:left w:w="0" w:type="dxa"/>
              <w:right w:w="0" w:type="dxa"/>
            </w:tcMar>
            <w:vAlign w:val="center"/>
          </w:tcPr>
          <w:p w14:paraId="7D5B1703" w14:textId="77777777" w:rsidR="00A54A8A" w:rsidRPr="00E67914" w:rsidRDefault="00A54A8A">
            <w:pPr>
              <w:snapToGrid w:val="0"/>
              <w:jc w:val="center"/>
              <w:rPr>
                <w:rFonts w:ascii="Times New Roman" w:hAnsi="Times New Roman"/>
                <w:sz w:val="21"/>
                <w:szCs w:val="21"/>
                <w:lang w:eastAsia="zh-CN"/>
              </w:rPr>
            </w:pPr>
          </w:p>
        </w:tc>
        <w:tc>
          <w:tcPr>
            <w:tcW w:w="1559" w:type="dxa"/>
            <w:vMerge/>
            <w:vAlign w:val="center"/>
          </w:tcPr>
          <w:p w14:paraId="2A8EC826" w14:textId="77777777" w:rsidR="00A54A8A" w:rsidRPr="00E67914" w:rsidRDefault="00A54A8A">
            <w:pPr>
              <w:snapToGrid w:val="0"/>
              <w:jc w:val="center"/>
              <w:rPr>
                <w:rFonts w:ascii="Times New Roman" w:hAnsi="Times New Roman"/>
                <w:sz w:val="21"/>
                <w:szCs w:val="21"/>
                <w:lang w:eastAsia="zh-CN"/>
              </w:rPr>
            </w:pPr>
          </w:p>
        </w:tc>
        <w:tc>
          <w:tcPr>
            <w:tcW w:w="1439" w:type="dxa"/>
            <w:vAlign w:val="center"/>
          </w:tcPr>
          <w:p w14:paraId="42A12F9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SO</w:t>
            </w:r>
            <w:r w:rsidRPr="00E67914">
              <w:rPr>
                <w:rFonts w:ascii="Times New Roman" w:hAnsi="Times New Roman"/>
                <w:sz w:val="21"/>
                <w:szCs w:val="21"/>
                <w:vertAlign w:val="subscript"/>
              </w:rPr>
              <w:t>2</w:t>
            </w:r>
          </w:p>
        </w:tc>
        <w:tc>
          <w:tcPr>
            <w:tcW w:w="1963" w:type="dxa"/>
            <w:gridSpan w:val="2"/>
            <w:vAlign w:val="center"/>
          </w:tcPr>
          <w:p w14:paraId="3CABD999"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rPr>
              <w:t>0.008kg</w:t>
            </w:r>
            <w:r w:rsidRPr="00E67914">
              <w:rPr>
                <w:rFonts w:ascii="Times New Roman" w:hAnsi="Times New Roman"/>
                <w:sz w:val="21"/>
                <w:szCs w:val="21"/>
                <w:lang w:eastAsia="zh-CN"/>
              </w:rPr>
              <w:t>/h</w:t>
            </w:r>
          </w:p>
        </w:tc>
        <w:tc>
          <w:tcPr>
            <w:tcW w:w="2557" w:type="dxa"/>
            <w:vMerge/>
            <w:vAlign w:val="center"/>
          </w:tcPr>
          <w:p w14:paraId="27C79455" w14:textId="77777777" w:rsidR="00A54A8A" w:rsidRPr="00E67914" w:rsidRDefault="00A54A8A">
            <w:pPr>
              <w:snapToGrid w:val="0"/>
              <w:jc w:val="center"/>
              <w:rPr>
                <w:rFonts w:ascii="Times New Roman" w:hAnsi="Times New Roman"/>
                <w:sz w:val="21"/>
                <w:szCs w:val="21"/>
                <w:lang w:eastAsia="zh-CN"/>
              </w:rPr>
            </w:pPr>
          </w:p>
        </w:tc>
      </w:tr>
      <w:tr w:rsidR="002662E3" w:rsidRPr="00E67914" w14:paraId="0DF87994" w14:textId="77777777">
        <w:trPr>
          <w:cantSplit/>
          <w:jc w:val="center"/>
        </w:trPr>
        <w:tc>
          <w:tcPr>
            <w:tcW w:w="704" w:type="dxa"/>
            <w:vMerge/>
            <w:tcMar>
              <w:left w:w="0" w:type="dxa"/>
              <w:right w:w="0" w:type="dxa"/>
            </w:tcMar>
            <w:vAlign w:val="center"/>
          </w:tcPr>
          <w:p w14:paraId="3AE96D7B" w14:textId="77777777" w:rsidR="00A54A8A" w:rsidRPr="00E67914" w:rsidRDefault="00A54A8A">
            <w:pPr>
              <w:snapToGrid w:val="0"/>
              <w:jc w:val="center"/>
              <w:rPr>
                <w:rFonts w:ascii="Times New Roman" w:hAnsi="Times New Roman"/>
                <w:sz w:val="21"/>
                <w:szCs w:val="21"/>
                <w:lang w:eastAsia="zh-CN"/>
              </w:rPr>
            </w:pPr>
          </w:p>
        </w:tc>
        <w:tc>
          <w:tcPr>
            <w:tcW w:w="1559" w:type="dxa"/>
            <w:vMerge/>
            <w:vAlign w:val="center"/>
          </w:tcPr>
          <w:p w14:paraId="2819D3D0" w14:textId="77777777" w:rsidR="00A54A8A" w:rsidRPr="00E67914" w:rsidRDefault="00A54A8A">
            <w:pPr>
              <w:snapToGrid w:val="0"/>
              <w:jc w:val="center"/>
              <w:rPr>
                <w:rFonts w:ascii="Times New Roman" w:hAnsi="Times New Roman"/>
                <w:sz w:val="21"/>
                <w:szCs w:val="21"/>
                <w:lang w:eastAsia="zh-CN"/>
              </w:rPr>
            </w:pPr>
          </w:p>
        </w:tc>
        <w:tc>
          <w:tcPr>
            <w:tcW w:w="1439" w:type="dxa"/>
            <w:vAlign w:val="center"/>
          </w:tcPr>
          <w:p w14:paraId="01DF9B0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颗粒物</w:t>
            </w:r>
          </w:p>
        </w:tc>
        <w:tc>
          <w:tcPr>
            <w:tcW w:w="1963" w:type="dxa"/>
            <w:gridSpan w:val="2"/>
            <w:vAlign w:val="center"/>
          </w:tcPr>
          <w:p w14:paraId="7A4ADB17"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rPr>
              <w:t>0.33kg</w:t>
            </w:r>
            <w:r w:rsidRPr="00E67914">
              <w:rPr>
                <w:rFonts w:ascii="Times New Roman" w:hAnsi="Times New Roman"/>
                <w:sz w:val="21"/>
                <w:szCs w:val="21"/>
                <w:lang w:eastAsia="zh-CN"/>
              </w:rPr>
              <w:t>/h</w:t>
            </w:r>
          </w:p>
        </w:tc>
        <w:tc>
          <w:tcPr>
            <w:tcW w:w="2557" w:type="dxa"/>
            <w:vMerge/>
            <w:vAlign w:val="center"/>
          </w:tcPr>
          <w:p w14:paraId="24C3FE1E" w14:textId="77777777" w:rsidR="00A54A8A" w:rsidRPr="00E67914" w:rsidRDefault="00A54A8A">
            <w:pPr>
              <w:snapToGrid w:val="0"/>
              <w:jc w:val="center"/>
              <w:rPr>
                <w:rFonts w:ascii="Times New Roman" w:hAnsi="Times New Roman"/>
                <w:sz w:val="21"/>
                <w:szCs w:val="21"/>
                <w:lang w:eastAsia="zh-CN"/>
              </w:rPr>
            </w:pPr>
          </w:p>
        </w:tc>
      </w:tr>
      <w:tr w:rsidR="002662E3" w:rsidRPr="00E67914" w14:paraId="7C6E1461" w14:textId="77777777">
        <w:trPr>
          <w:cantSplit/>
          <w:jc w:val="center"/>
        </w:trPr>
        <w:tc>
          <w:tcPr>
            <w:tcW w:w="704" w:type="dxa"/>
            <w:vMerge/>
            <w:tcMar>
              <w:left w:w="0" w:type="dxa"/>
              <w:right w:w="0" w:type="dxa"/>
            </w:tcMar>
            <w:vAlign w:val="center"/>
          </w:tcPr>
          <w:p w14:paraId="105CCA7B" w14:textId="77777777" w:rsidR="00A54A8A" w:rsidRPr="00E67914" w:rsidRDefault="00A54A8A">
            <w:pPr>
              <w:snapToGrid w:val="0"/>
              <w:jc w:val="center"/>
              <w:rPr>
                <w:rFonts w:ascii="Times New Roman" w:hAnsi="Times New Roman"/>
                <w:sz w:val="21"/>
                <w:szCs w:val="21"/>
                <w:lang w:eastAsia="zh-CN"/>
              </w:rPr>
            </w:pPr>
          </w:p>
        </w:tc>
        <w:tc>
          <w:tcPr>
            <w:tcW w:w="1559" w:type="dxa"/>
            <w:vAlign w:val="center"/>
          </w:tcPr>
          <w:p w14:paraId="52D08E8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无组织挥发性废气</w:t>
            </w:r>
          </w:p>
        </w:tc>
        <w:tc>
          <w:tcPr>
            <w:tcW w:w="1439" w:type="dxa"/>
            <w:vAlign w:val="center"/>
          </w:tcPr>
          <w:p w14:paraId="25F798B9"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无组织挥发性有机物</w:t>
            </w:r>
          </w:p>
        </w:tc>
        <w:tc>
          <w:tcPr>
            <w:tcW w:w="4520" w:type="dxa"/>
            <w:gridSpan w:val="3"/>
            <w:vAlign w:val="center"/>
          </w:tcPr>
          <w:p w14:paraId="26AAAAFB"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少量，短期排放，自然扩散</w:t>
            </w:r>
          </w:p>
        </w:tc>
      </w:tr>
      <w:tr w:rsidR="002662E3" w:rsidRPr="00E67914" w14:paraId="0151AA84" w14:textId="77777777">
        <w:trPr>
          <w:cantSplit/>
          <w:jc w:val="center"/>
        </w:trPr>
        <w:tc>
          <w:tcPr>
            <w:tcW w:w="704" w:type="dxa"/>
            <w:vMerge/>
            <w:tcMar>
              <w:left w:w="0" w:type="dxa"/>
              <w:right w:w="0" w:type="dxa"/>
            </w:tcMar>
            <w:vAlign w:val="center"/>
          </w:tcPr>
          <w:p w14:paraId="2610CC18" w14:textId="77777777" w:rsidR="00A54A8A" w:rsidRPr="00E67914" w:rsidRDefault="00A54A8A">
            <w:pPr>
              <w:snapToGrid w:val="0"/>
              <w:jc w:val="center"/>
              <w:rPr>
                <w:rFonts w:ascii="Times New Roman" w:hAnsi="Times New Roman"/>
                <w:sz w:val="21"/>
                <w:szCs w:val="21"/>
                <w:lang w:eastAsia="zh-CN"/>
              </w:rPr>
            </w:pPr>
          </w:p>
        </w:tc>
        <w:tc>
          <w:tcPr>
            <w:tcW w:w="1559" w:type="dxa"/>
            <w:vAlign w:val="center"/>
          </w:tcPr>
          <w:p w14:paraId="6D727C1F"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事故放喷废气</w:t>
            </w:r>
          </w:p>
        </w:tc>
        <w:tc>
          <w:tcPr>
            <w:tcW w:w="1439" w:type="dxa"/>
            <w:vAlign w:val="center"/>
          </w:tcPr>
          <w:p w14:paraId="5C10B56F"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NOx</w:t>
            </w:r>
            <w:r w:rsidRPr="00E67914">
              <w:rPr>
                <w:rFonts w:ascii="Times New Roman" w:hAnsi="Times New Roman"/>
                <w:sz w:val="21"/>
                <w:szCs w:val="21"/>
                <w:lang w:eastAsia="zh-CN"/>
              </w:rPr>
              <w:t>、</w:t>
            </w:r>
            <w:r w:rsidRPr="00E67914">
              <w:rPr>
                <w:rFonts w:ascii="Times New Roman" w:hAnsi="Times New Roman"/>
                <w:sz w:val="21"/>
                <w:szCs w:val="21"/>
                <w:lang w:eastAsia="zh-CN"/>
              </w:rPr>
              <w:t>CO</w:t>
            </w:r>
            <w:r w:rsidRPr="00E67914">
              <w:rPr>
                <w:rFonts w:ascii="Times New Roman" w:hAnsi="Times New Roman"/>
                <w:sz w:val="21"/>
                <w:szCs w:val="21"/>
                <w:vertAlign w:val="subscript"/>
                <w:lang w:eastAsia="zh-CN"/>
              </w:rPr>
              <w:t>2</w:t>
            </w:r>
            <w:r w:rsidRPr="00E67914">
              <w:rPr>
                <w:rFonts w:ascii="Times New Roman" w:hAnsi="Times New Roman"/>
                <w:sz w:val="21"/>
                <w:szCs w:val="21"/>
                <w:lang w:eastAsia="zh-CN"/>
              </w:rPr>
              <w:t>、颗粒物、</w:t>
            </w:r>
            <w:r w:rsidRPr="00E67914">
              <w:rPr>
                <w:rFonts w:ascii="Times New Roman" w:hAnsi="Times New Roman"/>
                <w:sz w:val="21"/>
                <w:szCs w:val="21"/>
                <w:lang w:eastAsia="zh-CN"/>
              </w:rPr>
              <w:t>SO</w:t>
            </w:r>
            <w:r w:rsidRPr="00E67914">
              <w:rPr>
                <w:rFonts w:ascii="Times New Roman" w:hAnsi="Times New Roman"/>
                <w:sz w:val="21"/>
                <w:szCs w:val="21"/>
                <w:vertAlign w:val="subscript"/>
                <w:lang w:eastAsia="zh-CN"/>
              </w:rPr>
              <w:t>2</w:t>
            </w:r>
          </w:p>
        </w:tc>
        <w:tc>
          <w:tcPr>
            <w:tcW w:w="4520" w:type="dxa"/>
            <w:gridSpan w:val="3"/>
            <w:vAlign w:val="center"/>
          </w:tcPr>
          <w:p w14:paraId="080D4D0D"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少量，短期排放，点火燃烧处理</w:t>
            </w:r>
          </w:p>
        </w:tc>
      </w:tr>
      <w:tr w:rsidR="002662E3" w:rsidRPr="00E67914" w14:paraId="020E101E" w14:textId="77777777">
        <w:trPr>
          <w:cantSplit/>
          <w:jc w:val="center"/>
        </w:trPr>
        <w:tc>
          <w:tcPr>
            <w:tcW w:w="704" w:type="dxa"/>
            <w:vMerge/>
            <w:tcMar>
              <w:left w:w="0" w:type="dxa"/>
              <w:right w:w="0" w:type="dxa"/>
            </w:tcMar>
            <w:vAlign w:val="center"/>
          </w:tcPr>
          <w:p w14:paraId="350745AC" w14:textId="77777777" w:rsidR="00A54A8A" w:rsidRPr="00E67914" w:rsidRDefault="00A54A8A">
            <w:pPr>
              <w:snapToGrid w:val="0"/>
              <w:jc w:val="center"/>
              <w:rPr>
                <w:rFonts w:ascii="Times New Roman" w:hAnsi="Times New Roman"/>
                <w:sz w:val="21"/>
                <w:szCs w:val="21"/>
                <w:lang w:eastAsia="zh-CN"/>
              </w:rPr>
            </w:pPr>
          </w:p>
        </w:tc>
        <w:tc>
          <w:tcPr>
            <w:tcW w:w="1559" w:type="dxa"/>
            <w:vAlign w:val="center"/>
          </w:tcPr>
          <w:p w14:paraId="7308A868"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测试放喷废气</w:t>
            </w:r>
          </w:p>
        </w:tc>
        <w:tc>
          <w:tcPr>
            <w:tcW w:w="1439" w:type="dxa"/>
            <w:vAlign w:val="center"/>
          </w:tcPr>
          <w:p w14:paraId="2E3189B8"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NOx</w:t>
            </w:r>
            <w:r w:rsidRPr="00E67914">
              <w:rPr>
                <w:rFonts w:ascii="Times New Roman" w:hAnsi="Times New Roman"/>
                <w:sz w:val="21"/>
                <w:szCs w:val="21"/>
                <w:lang w:eastAsia="zh-CN"/>
              </w:rPr>
              <w:t>、</w:t>
            </w:r>
            <w:r w:rsidRPr="00E67914">
              <w:rPr>
                <w:rFonts w:ascii="Times New Roman" w:hAnsi="Times New Roman"/>
                <w:sz w:val="21"/>
                <w:szCs w:val="21"/>
                <w:lang w:eastAsia="zh-CN"/>
              </w:rPr>
              <w:t>CO</w:t>
            </w:r>
            <w:r w:rsidRPr="00E67914">
              <w:rPr>
                <w:rFonts w:ascii="Times New Roman" w:hAnsi="Times New Roman"/>
                <w:sz w:val="21"/>
                <w:szCs w:val="21"/>
                <w:vertAlign w:val="subscript"/>
                <w:lang w:eastAsia="zh-CN"/>
              </w:rPr>
              <w:t>2</w:t>
            </w:r>
            <w:r w:rsidRPr="00E67914">
              <w:rPr>
                <w:rFonts w:ascii="Times New Roman" w:hAnsi="Times New Roman"/>
                <w:sz w:val="21"/>
                <w:szCs w:val="21"/>
                <w:lang w:eastAsia="zh-CN"/>
              </w:rPr>
              <w:t>、颗粒物、</w:t>
            </w:r>
            <w:r w:rsidRPr="00E67914">
              <w:rPr>
                <w:rFonts w:ascii="Times New Roman" w:hAnsi="Times New Roman"/>
                <w:sz w:val="21"/>
                <w:szCs w:val="21"/>
                <w:lang w:eastAsia="zh-CN"/>
              </w:rPr>
              <w:t>SO</w:t>
            </w:r>
            <w:r w:rsidRPr="00E67914">
              <w:rPr>
                <w:rFonts w:ascii="Times New Roman" w:hAnsi="Times New Roman"/>
                <w:sz w:val="21"/>
                <w:szCs w:val="21"/>
                <w:vertAlign w:val="subscript"/>
                <w:lang w:eastAsia="zh-CN"/>
              </w:rPr>
              <w:t>2</w:t>
            </w:r>
          </w:p>
        </w:tc>
        <w:tc>
          <w:tcPr>
            <w:tcW w:w="4520" w:type="dxa"/>
            <w:gridSpan w:val="3"/>
            <w:vAlign w:val="center"/>
          </w:tcPr>
          <w:p w14:paraId="3D7D1150"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少量，短期排放，点火燃烧处理</w:t>
            </w:r>
          </w:p>
        </w:tc>
      </w:tr>
      <w:tr w:rsidR="002E0662" w:rsidRPr="00E67914" w14:paraId="00DBBA92" w14:textId="77777777">
        <w:trPr>
          <w:cantSplit/>
          <w:jc w:val="center"/>
        </w:trPr>
        <w:tc>
          <w:tcPr>
            <w:tcW w:w="704" w:type="dxa"/>
            <w:vMerge w:val="restart"/>
            <w:tcMar>
              <w:left w:w="0" w:type="dxa"/>
              <w:right w:w="0" w:type="dxa"/>
            </w:tcMar>
            <w:vAlign w:val="center"/>
          </w:tcPr>
          <w:p w14:paraId="708D1182" w14:textId="77777777"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废水</w:t>
            </w:r>
          </w:p>
        </w:tc>
        <w:tc>
          <w:tcPr>
            <w:tcW w:w="1559" w:type="dxa"/>
            <w:vAlign w:val="center"/>
          </w:tcPr>
          <w:p w14:paraId="6EE5946C" w14:textId="77777777"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钻井废水</w:t>
            </w:r>
          </w:p>
        </w:tc>
        <w:tc>
          <w:tcPr>
            <w:tcW w:w="1439" w:type="dxa"/>
            <w:vMerge w:val="restart"/>
            <w:vAlign w:val="center"/>
          </w:tcPr>
          <w:p w14:paraId="787BEF3D" w14:textId="77777777"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石油类、悬浮物、</w:t>
            </w:r>
            <w:r w:rsidRPr="00E67914">
              <w:rPr>
                <w:rFonts w:ascii="Times New Roman" w:hAnsi="Times New Roman"/>
                <w:sz w:val="21"/>
                <w:szCs w:val="21"/>
                <w:lang w:eastAsia="zh-CN"/>
              </w:rPr>
              <w:t>COD</w:t>
            </w:r>
            <w:r w:rsidRPr="00E67914">
              <w:rPr>
                <w:rFonts w:ascii="Times New Roman" w:hAnsi="Times New Roman"/>
                <w:sz w:val="21"/>
                <w:szCs w:val="21"/>
                <w:lang w:eastAsia="zh-CN"/>
              </w:rPr>
              <w:t>及氯化物等</w:t>
            </w:r>
          </w:p>
        </w:tc>
        <w:tc>
          <w:tcPr>
            <w:tcW w:w="971" w:type="dxa"/>
            <w:vAlign w:val="center"/>
          </w:tcPr>
          <w:p w14:paraId="4595E8AD" w14:textId="44D55A1E"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3119.6m</w:t>
            </w:r>
            <w:r w:rsidRPr="00E67914">
              <w:rPr>
                <w:rFonts w:ascii="Times New Roman" w:hAnsi="Times New Roman"/>
                <w:sz w:val="21"/>
                <w:szCs w:val="21"/>
                <w:vertAlign w:val="superscript"/>
                <w:lang w:eastAsia="zh-CN"/>
              </w:rPr>
              <w:t>3</w:t>
            </w:r>
          </w:p>
        </w:tc>
        <w:tc>
          <w:tcPr>
            <w:tcW w:w="992" w:type="dxa"/>
            <w:vAlign w:val="center"/>
          </w:tcPr>
          <w:p w14:paraId="230C15E2" w14:textId="77777777"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557" w:type="dxa"/>
            <w:vMerge w:val="restart"/>
            <w:vAlign w:val="center"/>
          </w:tcPr>
          <w:p w14:paraId="21B03B32" w14:textId="77777777"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由罐车拉运至赵家坝污水处理站达标后管输至普光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井回注站回注，不外排</w:t>
            </w:r>
          </w:p>
        </w:tc>
      </w:tr>
      <w:tr w:rsidR="002E0662" w:rsidRPr="00E67914" w14:paraId="73848929" w14:textId="77777777">
        <w:trPr>
          <w:cantSplit/>
          <w:jc w:val="center"/>
        </w:trPr>
        <w:tc>
          <w:tcPr>
            <w:tcW w:w="704" w:type="dxa"/>
            <w:vMerge/>
            <w:tcMar>
              <w:left w:w="0" w:type="dxa"/>
              <w:right w:w="0" w:type="dxa"/>
            </w:tcMar>
            <w:vAlign w:val="center"/>
          </w:tcPr>
          <w:p w14:paraId="08911882" w14:textId="77777777" w:rsidR="002E0662" w:rsidRPr="00E67914" w:rsidRDefault="002E0662">
            <w:pPr>
              <w:snapToGrid w:val="0"/>
              <w:jc w:val="center"/>
              <w:rPr>
                <w:rFonts w:ascii="Times New Roman" w:hAnsi="Times New Roman"/>
                <w:sz w:val="21"/>
                <w:szCs w:val="21"/>
                <w:lang w:eastAsia="zh-CN"/>
              </w:rPr>
            </w:pPr>
          </w:p>
        </w:tc>
        <w:tc>
          <w:tcPr>
            <w:tcW w:w="1559" w:type="dxa"/>
            <w:vAlign w:val="center"/>
          </w:tcPr>
          <w:p w14:paraId="4165DFCF" w14:textId="77777777"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洗井废水</w:t>
            </w:r>
          </w:p>
        </w:tc>
        <w:tc>
          <w:tcPr>
            <w:tcW w:w="1439" w:type="dxa"/>
            <w:vMerge/>
            <w:vAlign w:val="center"/>
          </w:tcPr>
          <w:p w14:paraId="7C47F075" w14:textId="77777777" w:rsidR="002E0662" w:rsidRPr="00E67914" w:rsidRDefault="002E0662">
            <w:pPr>
              <w:snapToGrid w:val="0"/>
              <w:jc w:val="center"/>
              <w:rPr>
                <w:rFonts w:ascii="Times New Roman" w:hAnsi="Times New Roman"/>
                <w:sz w:val="21"/>
                <w:szCs w:val="21"/>
                <w:lang w:eastAsia="zh-CN"/>
              </w:rPr>
            </w:pPr>
          </w:p>
        </w:tc>
        <w:tc>
          <w:tcPr>
            <w:tcW w:w="971" w:type="dxa"/>
            <w:vAlign w:val="center"/>
          </w:tcPr>
          <w:p w14:paraId="6EE0C25F" w14:textId="2739F262"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300m</w:t>
            </w:r>
            <w:r w:rsidRPr="00E67914">
              <w:rPr>
                <w:rFonts w:ascii="Times New Roman" w:hAnsi="Times New Roman"/>
                <w:sz w:val="21"/>
                <w:szCs w:val="21"/>
                <w:vertAlign w:val="superscript"/>
                <w:lang w:eastAsia="zh-CN"/>
              </w:rPr>
              <w:t>3</w:t>
            </w:r>
          </w:p>
        </w:tc>
        <w:tc>
          <w:tcPr>
            <w:tcW w:w="992" w:type="dxa"/>
            <w:vAlign w:val="center"/>
          </w:tcPr>
          <w:p w14:paraId="3F8D98BE" w14:textId="77777777" w:rsidR="002E0662" w:rsidRPr="00E67914" w:rsidRDefault="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557" w:type="dxa"/>
            <w:vMerge/>
            <w:vAlign w:val="center"/>
          </w:tcPr>
          <w:p w14:paraId="36298FF5" w14:textId="77777777" w:rsidR="002E0662" w:rsidRPr="00E67914" w:rsidRDefault="002E0662">
            <w:pPr>
              <w:snapToGrid w:val="0"/>
              <w:jc w:val="center"/>
              <w:rPr>
                <w:rFonts w:ascii="Times New Roman" w:hAnsi="Times New Roman"/>
                <w:sz w:val="21"/>
                <w:szCs w:val="21"/>
                <w:lang w:eastAsia="zh-CN"/>
              </w:rPr>
            </w:pPr>
          </w:p>
        </w:tc>
      </w:tr>
      <w:tr w:rsidR="002E0662" w:rsidRPr="00E67914" w14:paraId="7CB22F02" w14:textId="77777777">
        <w:trPr>
          <w:cantSplit/>
          <w:jc w:val="center"/>
        </w:trPr>
        <w:tc>
          <w:tcPr>
            <w:tcW w:w="704" w:type="dxa"/>
            <w:vMerge/>
            <w:tcMar>
              <w:left w:w="0" w:type="dxa"/>
              <w:right w:w="0" w:type="dxa"/>
            </w:tcMar>
            <w:vAlign w:val="center"/>
          </w:tcPr>
          <w:p w14:paraId="1834115C"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208ABC42" w14:textId="397C6F5D"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初期雨水</w:t>
            </w:r>
          </w:p>
        </w:tc>
        <w:tc>
          <w:tcPr>
            <w:tcW w:w="1439" w:type="dxa"/>
            <w:vAlign w:val="center"/>
          </w:tcPr>
          <w:p w14:paraId="0564EE8C" w14:textId="75C9149B"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石油类、悬浮物、</w:t>
            </w:r>
            <w:r w:rsidRPr="00E67914">
              <w:rPr>
                <w:rFonts w:ascii="Times New Roman" w:hAnsi="Times New Roman"/>
                <w:sz w:val="21"/>
                <w:szCs w:val="21"/>
                <w:lang w:eastAsia="zh-CN"/>
              </w:rPr>
              <w:t>COD</w:t>
            </w:r>
            <w:r w:rsidRPr="00E67914">
              <w:rPr>
                <w:rFonts w:ascii="Times New Roman" w:hAnsi="Times New Roman"/>
                <w:sz w:val="21"/>
                <w:szCs w:val="21"/>
                <w:lang w:eastAsia="zh-CN"/>
              </w:rPr>
              <w:t>等</w:t>
            </w:r>
          </w:p>
        </w:tc>
        <w:tc>
          <w:tcPr>
            <w:tcW w:w="971" w:type="dxa"/>
            <w:vAlign w:val="center"/>
          </w:tcPr>
          <w:p w14:paraId="0C2017AD" w14:textId="3E2865A3"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195.53m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w:t>
            </w:r>
            <w:r w:rsidRPr="00E67914">
              <w:rPr>
                <w:rFonts w:ascii="Times New Roman" w:hAnsi="Times New Roman"/>
                <w:sz w:val="21"/>
                <w:szCs w:val="21"/>
                <w:lang w:eastAsia="zh-CN"/>
              </w:rPr>
              <w:t>次</w:t>
            </w:r>
          </w:p>
        </w:tc>
        <w:tc>
          <w:tcPr>
            <w:tcW w:w="992" w:type="dxa"/>
            <w:vAlign w:val="center"/>
          </w:tcPr>
          <w:p w14:paraId="4638FEC5" w14:textId="2ECFE446"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557" w:type="dxa"/>
            <w:vMerge/>
            <w:vAlign w:val="center"/>
          </w:tcPr>
          <w:p w14:paraId="1392AAE1" w14:textId="77777777" w:rsidR="002E0662" w:rsidRPr="00E67914" w:rsidRDefault="002E0662" w:rsidP="002E0662">
            <w:pPr>
              <w:snapToGrid w:val="0"/>
              <w:jc w:val="center"/>
              <w:rPr>
                <w:rFonts w:ascii="Times New Roman" w:hAnsi="Times New Roman"/>
                <w:sz w:val="21"/>
                <w:szCs w:val="21"/>
                <w:lang w:eastAsia="zh-CN"/>
              </w:rPr>
            </w:pPr>
          </w:p>
        </w:tc>
      </w:tr>
      <w:tr w:rsidR="002E0662" w:rsidRPr="00E67914" w14:paraId="563DDE92" w14:textId="77777777">
        <w:trPr>
          <w:cantSplit/>
          <w:jc w:val="center"/>
        </w:trPr>
        <w:tc>
          <w:tcPr>
            <w:tcW w:w="704" w:type="dxa"/>
            <w:vMerge/>
            <w:tcMar>
              <w:left w:w="0" w:type="dxa"/>
              <w:right w:w="0" w:type="dxa"/>
            </w:tcMar>
            <w:vAlign w:val="center"/>
          </w:tcPr>
          <w:p w14:paraId="3E8EDDF5"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09E5E7C9" w14:textId="5676A628"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剩余压裂返排液</w:t>
            </w:r>
          </w:p>
        </w:tc>
        <w:tc>
          <w:tcPr>
            <w:tcW w:w="1439" w:type="dxa"/>
            <w:vAlign w:val="center"/>
          </w:tcPr>
          <w:p w14:paraId="53F9AD1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石油类、悬浮物、</w:t>
            </w:r>
            <w:r w:rsidRPr="00E67914">
              <w:rPr>
                <w:rFonts w:ascii="Times New Roman" w:hAnsi="Times New Roman"/>
                <w:sz w:val="21"/>
                <w:szCs w:val="21"/>
                <w:lang w:eastAsia="zh-CN"/>
              </w:rPr>
              <w:t>COD</w:t>
            </w:r>
            <w:r w:rsidRPr="00E67914">
              <w:rPr>
                <w:rFonts w:ascii="Times New Roman" w:hAnsi="Times New Roman"/>
                <w:sz w:val="21"/>
                <w:szCs w:val="21"/>
                <w:lang w:eastAsia="zh-CN"/>
              </w:rPr>
              <w:t>等</w:t>
            </w:r>
          </w:p>
        </w:tc>
        <w:tc>
          <w:tcPr>
            <w:tcW w:w="971" w:type="dxa"/>
            <w:vAlign w:val="center"/>
          </w:tcPr>
          <w:p w14:paraId="2C71FF22" w14:textId="68BF05FE"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rPr>
              <w:t>9000</w:t>
            </w:r>
            <w:r w:rsidRPr="00E67914">
              <w:rPr>
                <w:rFonts w:ascii="Times New Roman" w:hAnsi="Times New Roman"/>
                <w:sz w:val="21"/>
                <w:szCs w:val="21"/>
                <w:lang w:eastAsia="zh-CN"/>
              </w:rPr>
              <w:t>m</w:t>
            </w:r>
            <w:r w:rsidRPr="00E67914">
              <w:rPr>
                <w:rFonts w:ascii="Times New Roman" w:hAnsi="Times New Roman"/>
                <w:sz w:val="21"/>
                <w:szCs w:val="21"/>
                <w:vertAlign w:val="superscript"/>
                <w:lang w:eastAsia="zh-CN"/>
              </w:rPr>
              <w:t>3</w:t>
            </w:r>
          </w:p>
        </w:tc>
        <w:tc>
          <w:tcPr>
            <w:tcW w:w="992" w:type="dxa"/>
            <w:vAlign w:val="center"/>
          </w:tcPr>
          <w:p w14:paraId="2C558289"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557" w:type="dxa"/>
            <w:vMerge/>
            <w:vAlign w:val="center"/>
          </w:tcPr>
          <w:p w14:paraId="677D8AAC" w14:textId="77777777" w:rsidR="002E0662" w:rsidRPr="00E67914" w:rsidRDefault="002E0662" w:rsidP="002E0662">
            <w:pPr>
              <w:snapToGrid w:val="0"/>
              <w:jc w:val="center"/>
              <w:rPr>
                <w:rFonts w:ascii="Times New Roman" w:hAnsi="Times New Roman"/>
                <w:sz w:val="21"/>
                <w:szCs w:val="21"/>
                <w:lang w:eastAsia="zh-CN"/>
              </w:rPr>
            </w:pPr>
          </w:p>
        </w:tc>
      </w:tr>
      <w:tr w:rsidR="002E0662" w:rsidRPr="00E67914" w14:paraId="2ACF9BBF" w14:textId="77777777">
        <w:trPr>
          <w:cantSplit/>
          <w:jc w:val="center"/>
        </w:trPr>
        <w:tc>
          <w:tcPr>
            <w:tcW w:w="704" w:type="dxa"/>
            <w:vMerge/>
            <w:tcMar>
              <w:left w:w="0" w:type="dxa"/>
              <w:right w:w="0" w:type="dxa"/>
            </w:tcMar>
            <w:vAlign w:val="center"/>
          </w:tcPr>
          <w:p w14:paraId="43816C68"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57289E6F"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钻井生活污水</w:t>
            </w:r>
          </w:p>
        </w:tc>
        <w:tc>
          <w:tcPr>
            <w:tcW w:w="1439" w:type="dxa"/>
            <w:vMerge w:val="restart"/>
            <w:vAlign w:val="center"/>
          </w:tcPr>
          <w:p w14:paraId="4C52DB32"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COD</w:t>
            </w:r>
            <w:r w:rsidRPr="00E67914">
              <w:rPr>
                <w:rFonts w:ascii="Times New Roman" w:hAnsi="Times New Roman"/>
                <w:sz w:val="21"/>
                <w:szCs w:val="21"/>
                <w:vertAlign w:val="subscript"/>
                <w:lang w:eastAsia="zh-CN"/>
              </w:rPr>
              <w:t>Cr</w:t>
            </w:r>
            <w:r w:rsidRPr="00E67914">
              <w:rPr>
                <w:rFonts w:ascii="Times New Roman" w:hAnsi="Times New Roman"/>
                <w:sz w:val="21"/>
                <w:szCs w:val="21"/>
                <w:lang w:eastAsia="zh-CN"/>
              </w:rPr>
              <w:t>、</w:t>
            </w:r>
            <w:r w:rsidRPr="00E67914">
              <w:rPr>
                <w:rFonts w:ascii="Times New Roman" w:hAnsi="Times New Roman"/>
                <w:sz w:val="21"/>
                <w:szCs w:val="21"/>
                <w:lang w:eastAsia="zh-CN"/>
              </w:rPr>
              <w:t>BOD</w:t>
            </w:r>
            <w:r w:rsidRPr="00E67914">
              <w:rPr>
                <w:rFonts w:ascii="Times New Roman" w:hAnsi="Times New Roman"/>
                <w:sz w:val="21"/>
                <w:szCs w:val="21"/>
                <w:vertAlign w:val="subscript"/>
                <w:lang w:eastAsia="zh-CN"/>
              </w:rPr>
              <w:t>5</w:t>
            </w:r>
            <w:r w:rsidRPr="00E67914">
              <w:rPr>
                <w:rFonts w:ascii="Times New Roman" w:hAnsi="Times New Roman"/>
                <w:sz w:val="21"/>
                <w:szCs w:val="21"/>
                <w:lang w:eastAsia="zh-CN"/>
              </w:rPr>
              <w:t>、</w:t>
            </w:r>
            <w:r w:rsidRPr="00E67914">
              <w:rPr>
                <w:rFonts w:ascii="Times New Roman" w:hAnsi="Times New Roman"/>
                <w:sz w:val="21"/>
                <w:szCs w:val="21"/>
                <w:lang w:eastAsia="zh-CN"/>
              </w:rPr>
              <w:t>SS</w:t>
            </w:r>
            <w:r w:rsidRPr="00E67914">
              <w:rPr>
                <w:rFonts w:ascii="Times New Roman" w:hAnsi="Times New Roman"/>
                <w:sz w:val="21"/>
                <w:szCs w:val="21"/>
                <w:lang w:eastAsia="zh-CN"/>
              </w:rPr>
              <w:t>等</w:t>
            </w:r>
          </w:p>
        </w:tc>
        <w:tc>
          <w:tcPr>
            <w:tcW w:w="971" w:type="dxa"/>
            <w:vAlign w:val="center"/>
          </w:tcPr>
          <w:p w14:paraId="21AFE2F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2.88m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/d</w:t>
            </w:r>
          </w:p>
        </w:tc>
        <w:tc>
          <w:tcPr>
            <w:tcW w:w="992" w:type="dxa"/>
            <w:vAlign w:val="center"/>
          </w:tcPr>
          <w:p w14:paraId="73A2AA04"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557" w:type="dxa"/>
            <w:vAlign w:val="center"/>
          </w:tcPr>
          <w:p w14:paraId="42615390"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bCs/>
                <w:sz w:val="21"/>
                <w:szCs w:val="21"/>
                <w:lang w:eastAsia="zh-CN"/>
              </w:rPr>
              <w:t>经生态厕所收集后定期由密闭罐车拉运至周边生活污水处理厂处理</w:t>
            </w:r>
          </w:p>
        </w:tc>
      </w:tr>
      <w:tr w:rsidR="002E0662" w:rsidRPr="00E67914" w14:paraId="1282BB36" w14:textId="77777777">
        <w:trPr>
          <w:cantSplit/>
          <w:jc w:val="center"/>
        </w:trPr>
        <w:tc>
          <w:tcPr>
            <w:tcW w:w="704" w:type="dxa"/>
            <w:vMerge/>
            <w:tcMar>
              <w:left w:w="0" w:type="dxa"/>
              <w:right w:w="0" w:type="dxa"/>
            </w:tcMar>
            <w:vAlign w:val="center"/>
          </w:tcPr>
          <w:p w14:paraId="7996BF75"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273BD9E0"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钻前生活污水</w:t>
            </w:r>
          </w:p>
        </w:tc>
        <w:tc>
          <w:tcPr>
            <w:tcW w:w="1439" w:type="dxa"/>
            <w:vMerge/>
            <w:vAlign w:val="center"/>
          </w:tcPr>
          <w:p w14:paraId="3E222F48" w14:textId="77777777" w:rsidR="002E0662" w:rsidRPr="00E67914" w:rsidRDefault="002E0662" w:rsidP="002E0662">
            <w:pPr>
              <w:snapToGrid w:val="0"/>
              <w:jc w:val="center"/>
              <w:rPr>
                <w:rFonts w:ascii="Times New Roman" w:hAnsi="Times New Roman"/>
                <w:sz w:val="21"/>
                <w:szCs w:val="21"/>
                <w:lang w:eastAsia="zh-CN"/>
              </w:rPr>
            </w:pPr>
          </w:p>
        </w:tc>
        <w:tc>
          <w:tcPr>
            <w:tcW w:w="971" w:type="dxa"/>
            <w:vAlign w:val="center"/>
          </w:tcPr>
          <w:p w14:paraId="407CACE1"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992" w:type="dxa"/>
            <w:vAlign w:val="center"/>
          </w:tcPr>
          <w:p w14:paraId="0A0117C5"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2557" w:type="dxa"/>
            <w:vAlign w:val="center"/>
          </w:tcPr>
          <w:p w14:paraId="66F9A6D9"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利用农户已有的设施进行收集处置</w:t>
            </w:r>
          </w:p>
        </w:tc>
      </w:tr>
      <w:tr w:rsidR="002E0662" w:rsidRPr="00E67914" w14:paraId="75D27698" w14:textId="77777777">
        <w:trPr>
          <w:cantSplit/>
          <w:jc w:val="center"/>
        </w:trPr>
        <w:tc>
          <w:tcPr>
            <w:tcW w:w="704" w:type="dxa"/>
            <w:vMerge/>
            <w:tcMar>
              <w:left w:w="0" w:type="dxa"/>
              <w:right w:w="0" w:type="dxa"/>
            </w:tcMar>
            <w:vAlign w:val="center"/>
          </w:tcPr>
          <w:p w14:paraId="3C54BB11"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19995AB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钻前施工废水</w:t>
            </w:r>
          </w:p>
        </w:tc>
        <w:tc>
          <w:tcPr>
            <w:tcW w:w="1439" w:type="dxa"/>
            <w:vAlign w:val="center"/>
          </w:tcPr>
          <w:p w14:paraId="2B39C24C"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SS</w:t>
            </w:r>
            <w:r w:rsidRPr="00E67914">
              <w:rPr>
                <w:rFonts w:ascii="Times New Roman" w:hAnsi="Times New Roman"/>
                <w:sz w:val="21"/>
                <w:szCs w:val="21"/>
                <w:lang w:eastAsia="zh-CN"/>
              </w:rPr>
              <w:t>和石油类</w:t>
            </w:r>
          </w:p>
        </w:tc>
        <w:tc>
          <w:tcPr>
            <w:tcW w:w="971" w:type="dxa"/>
            <w:vAlign w:val="center"/>
          </w:tcPr>
          <w:p w14:paraId="61DFB0B4"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992" w:type="dxa"/>
            <w:vAlign w:val="center"/>
          </w:tcPr>
          <w:p w14:paraId="5D8AD41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557" w:type="dxa"/>
            <w:vAlign w:val="center"/>
          </w:tcPr>
          <w:p w14:paraId="31F74302"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经隔油池沉淀处理后回用于洒水降尘</w:t>
            </w:r>
          </w:p>
        </w:tc>
      </w:tr>
      <w:tr w:rsidR="002E0662" w:rsidRPr="00E67914" w14:paraId="6524B225" w14:textId="77777777">
        <w:trPr>
          <w:cantSplit/>
          <w:jc w:val="center"/>
        </w:trPr>
        <w:tc>
          <w:tcPr>
            <w:tcW w:w="704" w:type="dxa"/>
            <w:vMerge w:val="restart"/>
            <w:tcMar>
              <w:left w:w="0" w:type="dxa"/>
              <w:right w:w="0" w:type="dxa"/>
            </w:tcMar>
            <w:vAlign w:val="center"/>
          </w:tcPr>
          <w:p w14:paraId="261CA160"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噪声</w:t>
            </w:r>
          </w:p>
        </w:tc>
        <w:tc>
          <w:tcPr>
            <w:tcW w:w="1559" w:type="dxa"/>
            <w:vAlign w:val="center"/>
          </w:tcPr>
          <w:p w14:paraId="3367B8F7"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钻井设备噪声</w:t>
            </w:r>
          </w:p>
        </w:tc>
        <w:tc>
          <w:tcPr>
            <w:tcW w:w="3402" w:type="dxa"/>
            <w:gridSpan w:val="3"/>
            <w:vAlign w:val="center"/>
          </w:tcPr>
          <w:p w14:paraId="2D2FB472"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75~103dB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p>
        </w:tc>
        <w:tc>
          <w:tcPr>
            <w:tcW w:w="2557" w:type="dxa"/>
            <w:vAlign w:val="center"/>
          </w:tcPr>
          <w:p w14:paraId="1A2A55A7"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选用低噪声设备、加强维护保养，置于钻井井场内，基础安装减振垫层，柴油发电机设置于室内</w:t>
            </w:r>
          </w:p>
        </w:tc>
      </w:tr>
      <w:tr w:rsidR="002E0662" w:rsidRPr="00E67914" w14:paraId="0CF9DE7C" w14:textId="77777777">
        <w:trPr>
          <w:cantSplit/>
          <w:jc w:val="center"/>
        </w:trPr>
        <w:tc>
          <w:tcPr>
            <w:tcW w:w="704" w:type="dxa"/>
            <w:vMerge/>
            <w:tcMar>
              <w:left w:w="0" w:type="dxa"/>
              <w:right w:w="0" w:type="dxa"/>
            </w:tcMar>
            <w:vAlign w:val="center"/>
          </w:tcPr>
          <w:p w14:paraId="4BD32469"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7E28AA5B"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事故放喷噪声</w:t>
            </w:r>
          </w:p>
        </w:tc>
        <w:tc>
          <w:tcPr>
            <w:tcW w:w="3402" w:type="dxa"/>
            <w:gridSpan w:val="3"/>
            <w:vAlign w:val="center"/>
          </w:tcPr>
          <w:p w14:paraId="791C5992"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110dB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p>
        </w:tc>
        <w:tc>
          <w:tcPr>
            <w:tcW w:w="2557" w:type="dxa"/>
            <w:vAlign w:val="center"/>
          </w:tcPr>
          <w:p w14:paraId="4FA52143"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仅事故情况下产生</w:t>
            </w:r>
            <w:r w:rsidRPr="00E67914">
              <w:rPr>
                <w:rFonts w:ascii="Times New Roman" w:hAnsi="Times New Roman"/>
                <w:sz w:val="21"/>
                <w:szCs w:val="21"/>
                <w:lang w:eastAsia="zh-CN"/>
              </w:rPr>
              <w:t xml:space="preserve">  </w:t>
            </w:r>
          </w:p>
        </w:tc>
      </w:tr>
      <w:tr w:rsidR="002E0662" w:rsidRPr="00E67914" w14:paraId="6EF1CBF5" w14:textId="77777777">
        <w:trPr>
          <w:cantSplit/>
          <w:jc w:val="center"/>
        </w:trPr>
        <w:tc>
          <w:tcPr>
            <w:tcW w:w="704" w:type="dxa"/>
            <w:vMerge/>
            <w:tcMar>
              <w:left w:w="0" w:type="dxa"/>
              <w:right w:w="0" w:type="dxa"/>
            </w:tcMar>
            <w:vAlign w:val="center"/>
          </w:tcPr>
          <w:p w14:paraId="68D8F809"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66B06BED" w14:textId="150FC149"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钻前、试采站、管线施工噪声</w:t>
            </w:r>
          </w:p>
        </w:tc>
        <w:tc>
          <w:tcPr>
            <w:tcW w:w="3402" w:type="dxa"/>
            <w:gridSpan w:val="3"/>
            <w:vAlign w:val="center"/>
          </w:tcPr>
          <w:p w14:paraId="19294A34"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82~101dB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p>
        </w:tc>
        <w:tc>
          <w:tcPr>
            <w:tcW w:w="2557" w:type="dxa"/>
            <w:vAlign w:val="center"/>
          </w:tcPr>
          <w:p w14:paraId="60105DF8"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选用低噪声设备、加强维护保养</w:t>
            </w:r>
          </w:p>
        </w:tc>
      </w:tr>
      <w:tr w:rsidR="002E0662" w:rsidRPr="00E67914" w14:paraId="491E38FE" w14:textId="77777777">
        <w:trPr>
          <w:cantSplit/>
          <w:jc w:val="center"/>
        </w:trPr>
        <w:tc>
          <w:tcPr>
            <w:tcW w:w="704" w:type="dxa"/>
            <w:vMerge w:val="restart"/>
            <w:tcMar>
              <w:left w:w="0" w:type="dxa"/>
              <w:right w:w="0" w:type="dxa"/>
            </w:tcMar>
            <w:vAlign w:val="center"/>
          </w:tcPr>
          <w:p w14:paraId="4D2A602D"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固废</w:t>
            </w:r>
          </w:p>
        </w:tc>
        <w:tc>
          <w:tcPr>
            <w:tcW w:w="1559" w:type="dxa"/>
            <w:vAlign w:val="center"/>
          </w:tcPr>
          <w:p w14:paraId="6DB88705"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水基钻井固废</w:t>
            </w:r>
          </w:p>
        </w:tc>
        <w:tc>
          <w:tcPr>
            <w:tcW w:w="1439" w:type="dxa"/>
            <w:vAlign w:val="center"/>
          </w:tcPr>
          <w:p w14:paraId="5B20C180"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废水基泥浆、岩屑</w:t>
            </w:r>
          </w:p>
        </w:tc>
        <w:tc>
          <w:tcPr>
            <w:tcW w:w="971" w:type="dxa"/>
            <w:vAlign w:val="center"/>
          </w:tcPr>
          <w:p w14:paraId="12AC40EA" w14:textId="792C2433"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4337.82t</w:t>
            </w:r>
          </w:p>
        </w:tc>
        <w:tc>
          <w:tcPr>
            <w:tcW w:w="992" w:type="dxa"/>
            <w:vAlign w:val="center"/>
          </w:tcPr>
          <w:p w14:paraId="75431CAF"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2557" w:type="dxa"/>
            <w:vAlign w:val="center"/>
          </w:tcPr>
          <w:p w14:paraId="2AB050F3"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经泥浆不落地工艺进行固液分离后暂存于固废临时堆放区，定期用密闭罐车及时转运至达州地区环保手续齐全、环保设施稳定运行固废烧结厂进行烧结后综合利用</w:t>
            </w:r>
          </w:p>
        </w:tc>
      </w:tr>
      <w:tr w:rsidR="002E0662" w:rsidRPr="00E67914" w14:paraId="6E37CFB3" w14:textId="77777777">
        <w:trPr>
          <w:cantSplit/>
          <w:jc w:val="center"/>
        </w:trPr>
        <w:tc>
          <w:tcPr>
            <w:tcW w:w="704" w:type="dxa"/>
            <w:vMerge/>
            <w:tcMar>
              <w:left w:w="0" w:type="dxa"/>
              <w:right w:w="0" w:type="dxa"/>
            </w:tcMar>
            <w:vAlign w:val="center"/>
          </w:tcPr>
          <w:p w14:paraId="277D4363"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0B8F0203"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油基钻井固废</w:t>
            </w:r>
          </w:p>
        </w:tc>
        <w:tc>
          <w:tcPr>
            <w:tcW w:w="1439" w:type="dxa"/>
            <w:vAlign w:val="center"/>
          </w:tcPr>
          <w:p w14:paraId="084CE6CA"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废油基泥浆、油基岩屑</w:t>
            </w:r>
          </w:p>
        </w:tc>
        <w:tc>
          <w:tcPr>
            <w:tcW w:w="971" w:type="dxa"/>
            <w:vAlign w:val="center"/>
          </w:tcPr>
          <w:p w14:paraId="093E819E" w14:textId="3EB4E738"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621.10m</w:t>
            </w:r>
            <w:r w:rsidRPr="00E67914">
              <w:rPr>
                <w:rFonts w:ascii="Times New Roman" w:hAnsi="Times New Roman"/>
                <w:sz w:val="21"/>
                <w:szCs w:val="21"/>
                <w:vertAlign w:val="superscript"/>
                <w:lang w:eastAsia="zh-CN"/>
              </w:rPr>
              <w:t>3</w:t>
            </w:r>
          </w:p>
        </w:tc>
        <w:tc>
          <w:tcPr>
            <w:tcW w:w="992" w:type="dxa"/>
            <w:vAlign w:val="center"/>
          </w:tcPr>
          <w:p w14:paraId="3DFF40A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2557" w:type="dxa"/>
            <w:vAlign w:val="center"/>
          </w:tcPr>
          <w:p w14:paraId="045FE744" w14:textId="24125A52"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油基钻井废泥浆、岩屑暂存于新建的</w:t>
            </w:r>
            <w:r w:rsidRPr="00E67914">
              <w:rPr>
                <w:rFonts w:ascii="Times New Roman" w:hAnsi="Times New Roman"/>
                <w:sz w:val="21"/>
                <w:szCs w:val="21"/>
                <w:lang w:eastAsia="zh-CN"/>
              </w:rPr>
              <w:t>20m</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危险废物暂存场所（采取必要的防风、防晒、防雨、防漏、防渗、防腐以及其他环境污染防治措施，不得露天堆放危险废物），泥浆和油基钻井岩屑及时交由有资质的单位处置</w:t>
            </w:r>
          </w:p>
        </w:tc>
      </w:tr>
      <w:tr w:rsidR="002E0662" w:rsidRPr="00E67914" w14:paraId="6EEB12C9" w14:textId="77777777">
        <w:trPr>
          <w:cantSplit/>
          <w:jc w:val="center"/>
        </w:trPr>
        <w:tc>
          <w:tcPr>
            <w:tcW w:w="704" w:type="dxa"/>
            <w:vMerge/>
            <w:tcMar>
              <w:left w:w="0" w:type="dxa"/>
              <w:right w:w="0" w:type="dxa"/>
            </w:tcMar>
            <w:vAlign w:val="center"/>
          </w:tcPr>
          <w:p w14:paraId="6E28087A"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10DA134E"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rPr>
              <w:t>废油</w:t>
            </w:r>
          </w:p>
        </w:tc>
        <w:tc>
          <w:tcPr>
            <w:tcW w:w="1439" w:type="dxa"/>
            <w:vAlign w:val="center"/>
          </w:tcPr>
          <w:p w14:paraId="192348DE"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润滑油等</w:t>
            </w:r>
          </w:p>
        </w:tc>
        <w:tc>
          <w:tcPr>
            <w:tcW w:w="971" w:type="dxa"/>
            <w:vAlign w:val="center"/>
          </w:tcPr>
          <w:p w14:paraId="79AF2298" w14:textId="5D6C6382"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2.1m</w:t>
            </w:r>
            <w:r w:rsidRPr="00E67914">
              <w:rPr>
                <w:rFonts w:ascii="Times New Roman" w:hAnsi="Times New Roman"/>
                <w:sz w:val="21"/>
                <w:szCs w:val="21"/>
                <w:vertAlign w:val="superscript"/>
                <w:lang w:eastAsia="zh-CN"/>
              </w:rPr>
              <w:t>3</w:t>
            </w:r>
          </w:p>
        </w:tc>
        <w:tc>
          <w:tcPr>
            <w:tcW w:w="992" w:type="dxa"/>
            <w:vAlign w:val="center"/>
          </w:tcPr>
          <w:p w14:paraId="4ECF1907"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2557" w:type="dxa"/>
            <w:vAlign w:val="center"/>
          </w:tcPr>
          <w:p w14:paraId="7A000C7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设置废油桶集中收集暂存于泥浆不落地装置区临时堆放区内，钻井队综合利用或交由有资质的单位处理</w:t>
            </w:r>
          </w:p>
        </w:tc>
      </w:tr>
      <w:tr w:rsidR="002E0662" w:rsidRPr="00E67914" w14:paraId="5F1F5A66" w14:textId="77777777">
        <w:trPr>
          <w:cantSplit/>
          <w:jc w:val="center"/>
        </w:trPr>
        <w:tc>
          <w:tcPr>
            <w:tcW w:w="704" w:type="dxa"/>
            <w:vMerge/>
            <w:tcMar>
              <w:left w:w="0" w:type="dxa"/>
              <w:right w:w="0" w:type="dxa"/>
            </w:tcMar>
            <w:vAlign w:val="center"/>
          </w:tcPr>
          <w:p w14:paraId="4B3C960A"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6E54E28F"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rPr>
              <w:t>废包装材料</w:t>
            </w:r>
          </w:p>
        </w:tc>
        <w:tc>
          <w:tcPr>
            <w:tcW w:w="1439" w:type="dxa"/>
            <w:vAlign w:val="center"/>
          </w:tcPr>
          <w:p w14:paraId="49847B7D"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包装袋等</w:t>
            </w:r>
          </w:p>
        </w:tc>
        <w:tc>
          <w:tcPr>
            <w:tcW w:w="971" w:type="dxa"/>
            <w:vAlign w:val="center"/>
          </w:tcPr>
          <w:p w14:paraId="7A8247D8" w14:textId="7FDEEB5C"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6.0t</w:t>
            </w:r>
          </w:p>
        </w:tc>
        <w:tc>
          <w:tcPr>
            <w:tcW w:w="992" w:type="dxa"/>
            <w:vAlign w:val="center"/>
          </w:tcPr>
          <w:p w14:paraId="730B16B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2557" w:type="dxa"/>
            <w:vAlign w:val="center"/>
          </w:tcPr>
          <w:p w14:paraId="0B733E07"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集中收集后部分回用，剩余的送当地废品回收站处理</w:t>
            </w:r>
          </w:p>
        </w:tc>
      </w:tr>
      <w:tr w:rsidR="002E0662" w:rsidRPr="00E67914" w14:paraId="5E4431E6" w14:textId="77777777">
        <w:trPr>
          <w:cantSplit/>
          <w:jc w:val="center"/>
        </w:trPr>
        <w:tc>
          <w:tcPr>
            <w:tcW w:w="704" w:type="dxa"/>
            <w:vMerge/>
            <w:tcMar>
              <w:left w:w="0" w:type="dxa"/>
              <w:right w:w="0" w:type="dxa"/>
            </w:tcMar>
            <w:vAlign w:val="center"/>
          </w:tcPr>
          <w:p w14:paraId="50DBDC50"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1D9FBA10"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生活垃圾</w:t>
            </w:r>
          </w:p>
        </w:tc>
        <w:tc>
          <w:tcPr>
            <w:tcW w:w="1439" w:type="dxa"/>
            <w:vAlign w:val="center"/>
          </w:tcPr>
          <w:p w14:paraId="13B1B8DA"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生活垃圾</w:t>
            </w:r>
          </w:p>
        </w:tc>
        <w:tc>
          <w:tcPr>
            <w:tcW w:w="971" w:type="dxa"/>
            <w:vAlign w:val="center"/>
          </w:tcPr>
          <w:p w14:paraId="240D502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rPr>
              <w:t>22.5kg/d</w:t>
            </w:r>
          </w:p>
        </w:tc>
        <w:tc>
          <w:tcPr>
            <w:tcW w:w="992" w:type="dxa"/>
            <w:vAlign w:val="center"/>
          </w:tcPr>
          <w:p w14:paraId="2DC88A30"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0</w:t>
            </w:r>
          </w:p>
        </w:tc>
        <w:tc>
          <w:tcPr>
            <w:tcW w:w="2557" w:type="dxa"/>
            <w:vAlign w:val="center"/>
          </w:tcPr>
          <w:p w14:paraId="016A18C0"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集中收集，交由当地环卫部门处置</w:t>
            </w:r>
          </w:p>
        </w:tc>
      </w:tr>
      <w:tr w:rsidR="002E0662" w:rsidRPr="00E67914" w14:paraId="7A5155BA" w14:textId="77777777">
        <w:trPr>
          <w:cantSplit/>
          <w:jc w:val="center"/>
        </w:trPr>
        <w:tc>
          <w:tcPr>
            <w:tcW w:w="704" w:type="dxa"/>
            <w:vMerge/>
            <w:tcMar>
              <w:left w:w="0" w:type="dxa"/>
              <w:right w:w="0" w:type="dxa"/>
            </w:tcMar>
            <w:vAlign w:val="center"/>
          </w:tcPr>
          <w:p w14:paraId="793B2E94" w14:textId="77777777" w:rsidR="002E0662" w:rsidRPr="00E67914" w:rsidRDefault="002E0662" w:rsidP="002E0662">
            <w:pPr>
              <w:snapToGrid w:val="0"/>
              <w:jc w:val="center"/>
              <w:rPr>
                <w:rFonts w:ascii="Times New Roman" w:hAnsi="Times New Roman"/>
                <w:sz w:val="21"/>
                <w:szCs w:val="21"/>
                <w:lang w:eastAsia="zh-CN"/>
              </w:rPr>
            </w:pPr>
          </w:p>
        </w:tc>
        <w:tc>
          <w:tcPr>
            <w:tcW w:w="1559" w:type="dxa"/>
            <w:vAlign w:val="center"/>
          </w:tcPr>
          <w:p w14:paraId="6E76C9E4"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钻前、完井搬迁与试采站建设建筑垃圾</w:t>
            </w:r>
          </w:p>
        </w:tc>
        <w:tc>
          <w:tcPr>
            <w:tcW w:w="1439" w:type="dxa"/>
            <w:vAlign w:val="center"/>
          </w:tcPr>
          <w:p w14:paraId="5E2C1FD8"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包装袋，废弃建筑材料</w:t>
            </w:r>
          </w:p>
        </w:tc>
        <w:tc>
          <w:tcPr>
            <w:tcW w:w="971" w:type="dxa"/>
            <w:vAlign w:val="center"/>
          </w:tcPr>
          <w:p w14:paraId="5DCE9096"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992" w:type="dxa"/>
            <w:vAlign w:val="center"/>
          </w:tcPr>
          <w:p w14:paraId="588DB2A4"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557" w:type="dxa"/>
            <w:vAlign w:val="center"/>
          </w:tcPr>
          <w:p w14:paraId="4F0B29D9"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施工队伍统一收集清运至政府指定地方</w:t>
            </w:r>
          </w:p>
        </w:tc>
      </w:tr>
      <w:tr w:rsidR="002E0662" w:rsidRPr="00E67914" w14:paraId="1EC337E5" w14:textId="77777777">
        <w:trPr>
          <w:cantSplit/>
          <w:jc w:val="center"/>
        </w:trPr>
        <w:tc>
          <w:tcPr>
            <w:tcW w:w="704" w:type="dxa"/>
            <w:tcMar>
              <w:left w:w="0" w:type="dxa"/>
              <w:right w:w="0" w:type="dxa"/>
            </w:tcMar>
            <w:vAlign w:val="center"/>
          </w:tcPr>
          <w:p w14:paraId="1D52AFFE"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生态</w:t>
            </w:r>
          </w:p>
        </w:tc>
        <w:tc>
          <w:tcPr>
            <w:tcW w:w="1559" w:type="dxa"/>
            <w:vAlign w:val="center"/>
          </w:tcPr>
          <w:p w14:paraId="08365AA6" w14:textId="2E708A7D"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试采站</w:t>
            </w:r>
            <w:r w:rsidR="004B1607" w:rsidRPr="00E67914">
              <w:rPr>
                <w:rFonts w:ascii="Times New Roman" w:hAnsi="Times New Roman"/>
                <w:sz w:val="21"/>
                <w:szCs w:val="21"/>
                <w:lang w:eastAsia="zh-CN"/>
              </w:rPr>
              <w:t>、管线</w:t>
            </w:r>
            <w:r w:rsidRPr="00E67914">
              <w:rPr>
                <w:rFonts w:ascii="Times New Roman" w:hAnsi="Times New Roman"/>
                <w:sz w:val="21"/>
                <w:szCs w:val="21"/>
                <w:lang w:eastAsia="zh-CN"/>
              </w:rPr>
              <w:t>占地</w:t>
            </w:r>
          </w:p>
        </w:tc>
        <w:tc>
          <w:tcPr>
            <w:tcW w:w="3402" w:type="dxa"/>
            <w:gridSpan w:val="3"/>
            <w:vAlign w:val="center"/>
          </w:tcPr>
          <w:p w14:paraId="28404EB3" w14:textId="2E7DB6BA"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试采站利旧普陆页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试采站建设，新增占地为管线施工临时占地，引起地表、植被破坏，水土流失</w:t>
            </w:r>
          </w:p>
        </w:tc>
        <w:tc>
          <w:tcPr>
            <w:tcW w:w="2557" w:type="dxa"/>
            <w:vAlign w:val="center"/>
          </w:tcPr>
          <w:p w14:paraId="4617EBF0"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施工完后，无后续使用需求的临时占地恢复原有使用功能，进行植被恢复工作</w:t>
            </w:r>
          </w:p>
        </w:tc>
      </w:tr>
      <w:tr w:rsidR="002E0662" w:rsidRPr="00E67914" w14:paraId="31948907" w14:textId="77777777">
        <w:trPr>
          <w:cantSplit/>
          <w:jc w:val="center"/>
        </w:trPr>
        <w:tc>
          <w:tcPr>
            <w:tcW w:w="704" w:type="dxa"/>
            <w:tcMar>
              <w:left w:w="0" w:type="dxa"/>
              <w:right w:w="0" w:type="dxa"/>
            </w:tcMar>
            <w:vAlign w:val="center"/>
          </w:tcPr>
          <w:p w14:paraId="424420A3"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sz w:val="21"/>
                <w:szCs w:val="21"/>
                <w:lang w:eastAsia="zh-CN"/>
              </w:rPr>
              <w:t>环境风险</w:t>
            </w:r>
          </w:p>
        </w:tc>
        <w:tc>
          <w:tcPr>
            <w:tcW w:w="7518" w:type="dxa"/>
            <w:gridSpan w:val="5"/>
            <w:vAlign w:val="center"/>
          </w:tcPr>
          <w:p w14:paraId="4AA4DBE4" w14:textId="77777777" w:rsidR="002E0662" w:rsidRPr="00E67914" w:rsidRDefault="002E0662" w:rsidP="002E0662">
            <w:pPr>
              <w:snapToGrid w:val="0"/>
              <w:jc w:val="center"/>
              <w:rPr>
                <w:rFonts w:ascii="Times New Roman" w:hAnsi="Times New Roman"/>
                <w:sz w:val="21"/>
                <w:szCs w:val="21"/>
                <w:lang w:eastAsia="zh-CN"/>
              </w:rPr>
            </w:pPr>
            <w:r w:rsidRPr="00E67914">
              <w:rPr>
                <w:rFonts w:ascii="Times New Roman" w:hAnsi="Times New Roman"/>
                <w:bCs/>
                <w:sz w:val="21"/>
                <w:szCs w:val="21"/>
                <w:lang w:eastAsia="zh-CN"/>
              </w:rPr>
              <w:t>钻井井喷失控或泄漏的天然气导致的火灾爆炸环境风险事故，以及泄漏天然气导致的环境风险事故；污染物渗漏污染地表土壤和浅层地下水；污染物外运处理中的运输风险等</w:t>
            </w:r>
          </w:p>
        </w:tc>
      </w:tr>
    </w:tbl>
    <w:p w14:paraId="2A59AB29" w14:textId="77777777" w:rsidR="00A54A8A" w:rsidRPr="00E67914" w:rsidRDefault="00000000">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94" w:name="3.4.2运营期污染源强分析"/>
      <w:bookmarkEnd w:id="94"/>
      <w:r w:rsidRPr="00E67914">
        <w:rPr>
          <w:rFonts w:ascii="Times New Roman" w:eastAsia="黑体" w:hAnsi="Times New Roman"/>
          <w:b w:val="0"/>
          <w:sz w:val="24"/>
          <w:szCs w:val="24"/>
          <w:lang w:eastAsia="zh-CN"/>
        </w:rPr>
        <w:t>3.4.2</w:t>
      </w:r>
      <w:r w:rsidRPr="00E67914">
        <w:rPr>
          <w:rFonts w:ascii="Times New Roman" w:eastAsia="黑体" w:hAnsi="Times New Roman"/>
          <w:b w:val="0"/>
          <w:sz w:val="24"/>
          <w:szCs w:val="24"/>
          <w:lang w:eastAsia="zh-CN"/>
        </w:rPr>
        <w:t>试采期污染源强分析</w:t>
      </w:r>
    </w:p>
    <w:p w14:paraId="4D0800A9"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sz w:val="24"/>
          <w:lang w:eastAsia="zh-CN"/>
        </w:rPr>
      </w:pPr>
      <w:r w:rsidRPr="00E67914">
        <w:rPr>
          <w:rFonts w:ascii="Times New Roman" w:hAnsi="Times New Roman"/>
          <w:b/>
          <w:sz w:val="24"/>
          <w:lang w:eastAsia="zh-CN"/>
        </w:rPr>
        <w:t>3.4.2.1</w:t>
      </w:r>
      <w:r w:rsidRPr="00E67914">
        <w:rPr>
          <w:rFonts w:ascii="Times New Roman" w:hAnsi="Times New Roman"/>
          <w:b/>
          <w:sz w:val="24"/>
          <w:lang w:eastAsia="zh-CN"/>
        </w:rPr>
        <w:t>废气</w:t>
      </w:r>
    </w:p>
    <w:p w14:paraId="470E3926" w14:textId="4A9B1C2A"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试采期正常情况下主要废气为</w:t>
      </w:r>
      <w:r w:rsidR="00C24829" w:rsidRPr="00E67914">
        <w:rPr>
          <w:rFonts w:ascii="Times New Roman" w:hAnsi="Times New Roman"/>
          <w:bCs/>
          <w:sz w:val="24"/>
          <w:lang w:eastAsia="zh-CN"/>
        </w:rPr>
        <w:t>水套加热炉燃烧废气</w:t>
      </w:r>
      <w:r w:rsidR="001729B7" w:rsidRPr="00E67914">
        <w:rPr>
          <w:rFonts w:ascii="Times New Roman" w:hAnsi="Times New Roman"/>
          <w:bCs/>
          <w:sz w:val="24"/>
          <w:lang w:eastAsia="zh-CN"/>
        </w:rPr>
        <w:t>、</w:t>
      </w:r>
      <w:r w:rsidR="000435F3" w:rsidRPr="00E67914">
        <w:rPr>
          <w:rFonts w:ascii="Times New Roman" w:hAnsi="Times New Roman"/>
          <w:bCs/>
          <w:sz w:val="24"/>
          <w:lang w:eastAsia="zh-CN"/>
        </w:rPr>
        <w:t>油罐挥发气体、凝析油装车挥发气体</w:t>
      </w:r>
      <w:r w:rsidR="004B1607" w:rsidRPr="00E67914">
        <w:rPr>
          <w:rFonts w:ascii="Times New Roman" w:hAnsi="Times New Roman"/>
          <w:bCs/>
          <w:sz w:val="24"/>
          <w:lang w:eastAsia="zh-CN"/>
        </w:rPr>
        <w:t>和火炬长明灯燃烧废气</w:t>
      </w:r>
      <w:r w:rsidRPr="00E67914">
        <w:rPr>
          <w:rFonts w:ascii="Times New Roman" w:hAnsi="Times New Roman"/>
          <w:bCs/>
          <w:sz w:val="24"/>
          <w:lang w:eastAsia="zh-CN"/>
        </w:rPr>
        <w:t>，</w:t>
      </w:r>
      <w:r w:rsidR="001729B7" w:rsidRPr="00E67914">
        <w:rPr>
          <w:rFonts w:ascii="Times New Roman" w:hAnsi="Times New Roman"/>
          <w:bCs/>
          <w:sz w:val="24"/>
          <w:lang w:eastAsia="zh-CN"/>
        </w:rPr>
        <w:t>非正常工况放空废气</w:t>
      </w:r>
      <w:r w:rsidRPr="00E67914">
        <w:rPr>
          <w:rFonts w:ascii="Times New Roman" w:hAnsi="Times New Roman"/>
          <w:bCs/>
          <w:sz w:val="24"/>
          <w:lang w:eastAsia="zh-CN"/>
        </w:rPr>
        <w:t>。</w:t>
      </w:r>
    </w:p>
    <w:p w14:paraId="07B333E9" w14:textId="5BE77ED6"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w:t>
      </w:r>
      <w:r w:rsidRPr="00E67914">
        <w:rPr>
          <w:rFonts w:ascii="Times New Roman" w:hAnsi="Times New Roman"/>
          <w:bCs/>
          <w:sz w:val="24"/>
          <w:lang w:eastAsia="zh-CN"/>
        </w:rPr>
        <w:t>1</w:t>
      </w:r>
      <w:r w:rsidRPr="00E67914">
        <w:rPr>
          <w:rFonts w:ascii="Times New Roman" w:hAnsi="Times New Roman"/>
          <w:bCs/>
          <w:sz w:val="24"/>
          <w:lang w:eastAsia="zh-CN"/>
        </w:rPr>
        <w:t>）</w:t>
      </w:r>
      <w:r w:rsidR="00C24829" w:rsidRPr="00E67914">
        <w:rPr>
          <w:rFonts w:ascii="Times New Roman" w:hAnsi="Times New Roman"/>
          <w:bCs/>
          <w:sz w:val="24"/>
          <w:lang w:eastAsia="zh-CN"/>
        </w:rPr>
        <w:t>水套加热炉燃烧废气</w:t>
      </w:r>
    </w:p>
    <w:p w14:paraId="00DB219A" w14:textId="2415E2B1" w:rsidR="00A54A8A" w:rsidRPr="00E67914" w:rsidRDefault="00000000">
      <w:pPr>
        <w:pStyle w:val="71"/>
        <w:adjustRightInd w:val="0"/>
        <w:snapToGrid w:val="0"/>
        <w:spacing w:line="360" w:lineRule="auto"/>
        <w:ind w:firstLine="480"/>
        <w:jc w:val="both"/>
        <w:rPr>
          <w:rFonts w:ascii="Times New Roman" w:hAnsi="Times New Roman"/>
          <w:sz w:val="24"/>
          <w:szCs w:val="24"/>
        </w:rPr>
      </w:pPr>
      <w:r w:rsidRPr="00E67914">
        <w:rPr>
          <w:rFonts w:ascii="Times New Roman" w:hAnsi="Times New Roman"/>
          <w:bCs/>
          <w:sz w:val="24"/>
          <w:szCs w:val="24"/>
        </w:rPr>
        <w:t>根据可研单位核算，本项目需配套建设</w:t>
      </w:r>
      <w:r w:rsidR="00540247" w:rsidRPr="00E67914">
        <w:rPr>
          <w:rFonts w:ascii="Times New Roman" w:hAnsi="Times New Roman"/>
          <w:bCs/>
          <w:sz w:val="24"/>
          <w:szCs w:val="24"/>
        </w:rPr>
        <w:t>2</w:t>
      </w:r>
      <w:r w:rsidRPr="00E67914">
        <w:rPr>
          <w:rFonts w:ascii="Times New Roman" w:hAnsi="Times New Roman"/>
          <w:bCs/>
          <w:sz w:val="24"/>
          <w:szCs w:val="24"/>
        </w:rPr>
        <w:t>台</w:t>
      </w:r>
      <w:r w:rsidRPr="00E67914">
        <w:rPr>
          <w:rFonts w:ascii="Times New Roman" w:hAnsi="Times New Roman"/>
          <w:bCs/>
          <w:sz w:val="24"/>
          <w:szCs w:val="24"/>
        </w:rPr>
        <w:t>400kW</w:t>
      </w:r>
      <w:r w:rsidRPr="00E67914">
        <w:rPr>
          <w:rFonts w:ascii="Times New Roman" w:hAnsi="Times New Roman"/>
          <w:bCs/>
          <w:sz w:val="24"/>
          <w:szCs w:val="24"/>
        </w:rPr>
        <w:t>水套加热炉，所用的燃料为</w:t>
      </w:r>
      <w:r w:rsidR="00540247" w:rsidRPr="00E67914">
        <w:rPr>
          <w:rFonts w:ascii="Times New Roman" w:hAnsi="Times New Roman"/>
          <w:bCs/>
          <w:sz w:val="24"/>
          <w:szCs w:val="24"/>
        </w:rPr>
        <w:t>净化厂反输燃料气</w:t>
      </w:r>
      <w:r w:rsidR="00FC2143" w:rsidRPr="00E67914">
        <w:rPr>
          <w:rFonts w:ascii="Times New Roman" w:hAnsi="Times New Roman"/>
          <w:bCs/>
          <w:sz w:val="24"/>
          <w:szCs w:val="24"/>
        </w:rPr>
        <w:t>和</w:t>
      </w:r>
      <w:r w:rsidR="00540247" w:rsidRPr="00E67914">
        <w:rPr>
          <w:rFonts w:ascii="Times New Roman" w:hAnsi="Times New Roman"/>
          <w:bCs/>
          <w:sz w:val="24"/>
          <w:szCs w:val="24"/>
        </w:rPr>
        <w:t>本项目闪蒸气</w:t>
      </w:r>
      <w:r w:rsidRPr="00E67914">
        <w:rPr>
          <w:rFonts w:ascii="Times New Roman" w:hAnsi="Times New Roman"/>
          <w:bCs/>
          <w:sz w:val="24"/>
          <w:szCs w:val="24"/>
        </w:rPr>
        <w:t>。</w:t>
      </w:r>
      <w:r w:rsidRPr="00E67914">
        <w:rPr>
          <w:rFonts w:ascii="Times New Roman" w:hAnsi="Times New Roman"/>
          <w:sz w:val="24"/>
          <w:szCs w:val="24"/>
        </w:rPr>
        <w:t>根据可研报告，试采站每年消耗燃料气</w:t>
      </w:r>
      <w:r w:rsidR="00540247" w:rsidRPr="00E67914">
        <w:rPr>
          <w:rFonts w:ascii="Times New Roman" w:hAnsi="Times New Roman"/>
          <w:sz w:val="24"/>
          <w:szCs w:val="24"/>
        </w:rPr>
        <w:t>8.9</w:t>
      </w:r>
      <w:r w:rsidRPr="00E67914">
        <w:rPr>
          <w:rFonts w:ascii="Times New Roman" w:hAnsi="Times New Roman"/>
          <w:sz w:val="24"/>
          <w:szCs w:val="24"/>
        </w:rPr>
        <w:t>×10</w:t>
      </w:r>
      <w:r w:rsidRPr="00E67914">
        <w:rPr>
          <w:rFonts w:ascii="Times New Roman" w:hAnsi="Times New Roman"/>
          <w:sz w:val="24"/>
          <w:szCs w:val="24"/>
          <w:vertAlign w:val="superscript"/>
        </w:rPr>
        <w:t>4</w:t>
      </w:r>
      <w:r w:rsidRPr="00E67914">
        <w:rPr>
          <w:rFonts w:ascii="Times New Roman" w:hAnsi="Times New Roman"/>
          <w:sz w:val="24"/>
          <w:szCs w:val="24"/>
        </w:rPr>
        <w:t>m</w:t>
      </w:r>
      <w:r w:rsidRPr="00E67914">
        <w:rPr>
          <w:rFonts w:ascii="Times New Roman" w:hAnsi="Times New Roman"/>
          <w:sz w:val="24"/>
          <w:szCs w:val="24"/>
          <w:vertAlign w:val="superscript"/>
        </w:rPr>
        <w:t>3</w:t>
      </w:r>
      <w:r w:rsidRPr="00E67914">
        <w:rPr>
          <w:rFonts w:ascii="Times New Roman" w:hAnsi="Times New Roman"/>
          <w:sz w:val="24"/>
          <w:szCs w:val="24"/>
        </w:rPr>
        <w:t>，按年运行</w:t>
      </w:r>
      <w:r w:rsidRPr="00E67914">
        <w:rPr>
          <w:rFonts w:ascii="Times New Roman" w:hAnsi="Times New Roman"/>
          <w:sz w:val="24"/>
          <w:szCs w:val="24"/>
        </w:rPr>
        <w:t>3</w:t>
      </w:r>
      <w:r w:rsidR="0070312E" w:rsidRPr="00E67914">
        <w:rPr>
          <w:rFonts w:ascii="Times New Roman" w:hAnsi="Times New Roman"/>
          <w:sz w:val="24"/>
          <w:szCs w:val="24"/>
        </w:rPr>
        <w:t>65</w:t>
      </w:r>
      <w:r w:rsidRPr="00E67914">
        <w:rPr>
          <w:rFonts w:ascii="Times New Roman" w:hAnsi="Times New Roman"/>
          <w:sz w:val="24"/>
          <w:szCs w:val="24"/>
        </w:rPr>
        <w:t>天计算，则</w:t>
      </w:r>
      <w:r w:rsidR="00540247" w:rsidRPr="00E67914">
        <w:rPr>
          <w:rFonts w:ascii="Times New Roman" w:hAnsi="Times New Roman"/>
          <w:sz w:val="24"/>
          <w:szCs w:val="24"/>
        </w:rPr>
        <w:t>单台</w:t>
      </w:r>
      <w:r w:rsidRPr="00E67914">
        <w:rPr>
          <w:rFonts w:ascii="Times New Roman" w:hAnsi="Times New Roman"/>
          <w:sz w:val="24"/>
          <w:szCs w:val="24"/>
        </w:rPr>
        <w:t>水套加热炉燃气量约为</w:t>
      </w:r>
      <w:r w:rsidRPr="00E67914">
        <w:rPr>
          <w:rFonts w:ascii="Times New Roman" w:hAnsi="Times New Roman"/>
          <w:sz w:val="24"/>
          <w:szCs w:val="24"/>
        </w:rPr>
        <w:t>5.</w:t>
      </w:r>
      <w:r w:rsidR="00F34877" w:rsidRPr="00E67914">
        <w:rPr>
          <w:rFonts w:ascii="Times New Roman" w:hAnsi="Times New Roman"/>
          <w:sz w:val="24"/>
          <w:szCs w:val="24"/>
        </w:rPr>
        <w:t>08</w:t>
      </w:r>
      <w:r w:rsidRPr="00E67914">
        <w:rPr>
          <w:rFonts w:ascii="Times New Roman" w:hAnsi="Times New Roman"/>
          <w:sz w:val="24"/>
          <w:szCs w:val="24"/>
        </w:rPr>
        <w:t>m</w:t>
      </w:r>
      <w:r w:rsidRPr="00E67914">
        <w:rPr>
          <w:rFonts w:ascii="Times New Roman" w:hAnsi="Times New Roman"/>
          <w:sz w:val="24"/>
          <w:szCs w:val="24"/>
          <w:vertAlign w:val="superscript"/>
        </w:rPr>
        <w:t>3</w:t>
      </w:r>
      <w:r w:rsidRPr="00E67914">
        <w:rPr>
          <w:rFonts w:ascii="Times New Roman" w:hAnsi="Times New Roman"/>
          <w:sz w:val="24"/>
          <w:szCs w:val="24"/>
        </w:rPr>
        <w:t>/h</w:t>
      </w:r>
      <w:r w:rsidRPr="00E67914">
        <w:rPr>
          <w:rFonts w:ascii="Times New Roman" w:hAnsi="Times New Roman"/>
          <w:sz w:val="24"/>
          <w:szCs w:val="24"/>
        </w:rPr>
        <w:t>。水套加热炉在运行过程中使用的天然气含硫</w:t>
      </w:r>
      <w:r w:rsidR="00540247" w:rsidRPr="00E67914">
        <w:rPr>
          <w:rFonts w:ascii="Times New Roman" w:hAnsi="Times New Roman"/>
          <w:sz w:val="24"/>
          <w:szCs w:val="24"/>
        </w:rPr>
        <w:t>量极低（其中</w:t>
      </w:r>
      <w:r w:rsidR="00540247" w:rsidRPr="00E67914">
        <w:rPr>
          <w:rFonts w:ascii="Times New Roman" w:hAnsi="Times New Roman"/>
          <w:bCs/>
          <w:sz w:val="24"/>
          <w:szCs w:val="24"/>
        </w:rPr>
        <w:t>闪蒸气不含硫，净化厂反输燃料气硫化氢</w:t>
      </w:r>
      <w:r w:rsidR="00540247" w:rsidRPr="00E67914">
        <w:rPr>
          <w:rFonts w:ascii="Times New Roman" w:hAnsi="Times New Roman"/>
          <w:bCs/>
          <w:sz w:val="24"/>
        </w:rPr>
        <w:t>≤6mg/m</w:t>
      </w:r>
      <w:r w:rsidR="00540247" w:rsidRPr="00E67914">
        <w:rPr>
          <w:rFonts w:ascii="Times New Roman" w:hAnsi="Times New Roman"/>
          <w:bCs/>
          <w:sz w:val="24"/>
          <w:vertAlign w:val="superscript"/>
        </w:rPr>
        <w:t>3</w:t>
      </w:r>
      <w:r w:rsidR="00540247" w:rsidRPr="00E67914">
        <w:rPr>
          <w:rFonts w:ascii="Times New Roman" w:hAnsi="Times New Roman"/>
          <w:bCs/>
          <w:sz w:val="24"/>
        </w:rPr>
        <w:t>，总硫含硫</w:t>
      </w:r>
      <w:r w:rsidR="00540247" w:rsidRPr="00E67914">
        <w:rPr>
          <w:rFonts w:ascii="Times New Roman" w:hAnsi="Times New Roman"/>
          <w:bCs/>
          <w:sz w:val="24"/>
        </w:rPr>
        <w:t>≤200mg/m</w:t>
      </w:r>
      <w:r w:rsidR="00540247" w:rsidRPr="00E67914">
        <w:rPr>
          <w:rFonts w:ascii="Times New Roman" w:hAnsi="Times New Roman"/>
          <w:bCs/>
          <w:sz w:val="24"/>
          <w:vertAlign w:val="superscript"/>
        </w:rPr>
        <w:t>3</w:t>
      </w:r>
      <w:r w:rsidR="00540247" w:rsidRPr="00E67914">
        <w:rPr>
          <w:rFonts w:ascii="Times New Roman" w:hAnsi="Times New Roman"/>
          <w:sz w:val="24"/>
          <w:szCs w:val="24"/>
        </w:rPr>
        <w:t>）</w:t>
      </w:r>
      <w:r w:rsidRPr="00E67914">
        <w:rPr>
          <w:rFonts w:ascii="Times New Roman" w:hAnsi="Times New Roman"/>
          <w:sz w:val="24"/>
          <w:szCs w:val="24"/>
        </w:rPr>
        <w:t>，燃烧后产生的废气通过</w:t>
      </w:r>
      <w:r w:rsidRPr="00E67914">
        <w:rPr>
          <w:rFonts w:ascii="Times New Roman" w:hAnsi="Times New Roman"/>
          <w:sz w:val="24"/>
          <w:szCs w:val="24"/>
        </w:rPr>
        <w:t>8m</w:t>
      </w:r>
      <w:r w:rsidRPr="00E67914">
        <w:rPr>
          <w:rFonts w:ascii="Times New Roman" w:hAnsi="Times New Roman"/>
          <w:sz w:val="24"/>
          <w:szCs w:val="24"/>
        </w:rPr>
        <w:t>高排气筒排放，排放方式为连续排放。水套加热炉的相关设计参数见表</w:t>
      </w:r>
      <w:r w:rsidRPr="00E67914">
        <w:rPr>
          <w:rFonts w:ascii="Times New Roman" w:hAnsi="Times New Roman"/>
          <w:sz w:val="24"/>
          <w:szCs w:val="24"/>
        </w:rPr>
        <w:t>3.4-12</w:t>
      </w:r>
      <w:r w:rsidRPr="00E67914">
        <w:rPr>
          <w:rFonts w:ascii="Times New Roman" w:hAnsi="Times New Roman"/>
          <w:sz w:val="24"/>
          <w:szCs w:val="24"/>
        </w:rPr>
        <w:t>。</w:t>
      </w:r>
    </w:p>
    <w:p w14:paraId="71A4CE02"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3.4-12  </w:t>
      </w:r>
      <w:r w:rsidRPr="00E67914">
        <w:rPr>
          <w:rFonts w:ascii="Times New Roman" w:eastAsia="黑体" w:hAnsi="Times New Roman"/>
          <w:sz w:val="21"/>
          <w:szCs w:val="21"/>
          <w:lang w:eastAsia="zh-CN"/>
        </w:rPr>
        <w:t>单台水套加热炉相关设计参数</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4"/>
        <w:gridCol w:w="1175"/>
        <w:gridCol w:w="1175"/>
        <w:gridCol w:w="1174"/>
        <w:gridCol w:w="1175"/>
        <w:gridCol w:w="1175"/>
        <w:gridCol w:w="1174"/>
      </w:tblGrid>
      <w:tr w:rsidR="002662E3" w:rsidRPr="00E67914" w14:paraId="7B7BD946" w14:textId="77777777">
        <w:trPr>
          <w:jc w:val="center"/>
        </w:trPr>
        <w:tc>
          <w:tcPr>
            <w:tcW w:w="1174" w:type="dxa"/>
            <w:vAlign w:val="center"/>
          </w:tcPr>
          <w:p w14:paraId="5A80245A"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水套加热炉功率</w:t>
            </w:r>
          </w:p>
        </w:tc>
        <w:tc>
          <w:tcPr>
            <w:tcW w:w="1175" w:type="dxa"/>
            <w:vAlign w:val="center"/>
          </w:tcPr>
          <w:p w14:paraId="00FF7F38"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排气筒高度</w:t>
            </w:r>
            <w:r w:rsidRPr="00E67914">
              <w:rPr>
                <w:rFonts w:ascii="Times New Roman" w:hAnsi="Times New Roman"/>
                <w:bCs/>
                <w:sz w:val="21"/>
                <w:szCs w:val="21"/>
              </w:rPr>
              <w:t>(m)</w:t>
            </w:r>
          </w:p>
        </w:tc>
        <w:tc>
          <w:tcPr>
            <w:tcW w:w="1175" w:type="dxa"/>
            <w:vAlign w:val="center"/>
          </w:tcPr>
          <w:p w14:paraId="64C037BF"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排气筒内径</w:t>
            </w:r>
            <w:r w:rsidRPr="00E67914">
              <w:rPr>
                <w:rFonts w:ascii="Times New Roman" w:hAnsi="Times New Roman"/>
                <w:bCs/>
                <w:sz w:val="21"/>
                <w:szCs w:val="21"/>
              </w:rPr>
              <w:t>(m)</w:t>
            </w:r>
          </w:p>
        </w:tc>
        <w:tc>
          <w:tcPr>
            <w:tcW w:w="1174" w:type="dxa"/>
            <w:vAlign w:val="center"/>
          </w:tcPr>
          <w:p w14:paraId="3D278144"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自耗气量</w:t>
            </w:r>
            <w:r w:rsidRPr="00E67914">
              <w:rPr>
                <w:rFonts w:ascii="Times New Roman" w:hAnsi="Times New Roman"/>
                <w:bCs/>
                <w:sz w:val="21"/>
                <w:szCs w:val="21"/>
              </w:rPr>
              <w:t>(m</w:t>
            </w:r>
            <w:r w:rsidRPr="00E67914">
              <w:rPr>
                <w:rFonts w:ascii="Times New Roman" w:hAnsi="Times New Roman"/>
                <w:bCs/>
                <w:sz w:val="21"/>
                <w:szCs w:val="21"/>
                <w:vertAlign w:val="superscript"/>
              </w:rPr>
              <w:t>3</w:t>
            </w:r>
            <w:r w:rsidRPr="00E67914">
              <w:rPr>
                <w:rFonts w:ascii="Times New Roman" w:hAnsi="Times New Roman"/>
                <w:bCs/>
                <w:sz w:val="21"/>
                <w:szCs w:val="21"/>
              </w:rPr>
              <w:t>/h)</w:t>
            </w:r>
          </w:p>
        </w:tc>
        <w:tc>
          <w:tcPr>
            <w:tcW w:w="1175" w:type="dxa"/>
            <w:vAlign w:val="center"/>
          </w:tcPr>
          <w:p w14:paraId="2F96DBB4" w14:textId="77777777" w:rsidR="00A54A8A" w:rsidRPr="00E67914" w:rsidRDefault="00000000">
            <w:pPr>
              <w:snapToGrid w:val="0"/>
              <w:spacing w:beforeLines="5" w:before="12" w:afterLines="5" w:after="12"/>
              <w:ind w:left="-120"/>
              <w:jc w:val="center"/>
              <w:rPr>
                <w:rFonts w:ascii="Times New Roman" w:hAnsi="Times New Roman"/>
                <w:sz w:val="21"/>
                <w:szCs w:val="21"/>
              </w:rPr>
            </w:pPr>
            <w:r w:rsidRPr="00E67914">
              <w:rPr>
                <w:rFonts w:ascii="Times New Roman" w:hAnsi="Times New Roman"/>
                <w:sz w:val="21"/>
                <w:szCs w:val="21"/>
              </w:rPr>
              <w:t>排放时间</w:t>
            </w:r>
            <w:r w:rsidRPr="00E67914">
              <w:rPr>
                <w:rFonts w:ascii="Times New Roman" w:hAnsi="Times New Roman"/>
                <w:sz w:val="21"/>
                <w:szCs w:val="21"/>
              </w:rPr>
              <w:t>(h/</w:t>
            </w:r>
            <w:r w:rsidRPr="00E67914">
              <w:rPr>
                <w:rFonts w:ascii="Times New Roman" w:hAnsi="Times New Roman"/>
                <w:sz w:val="21"/>
                <w:szCs w:val="21"/>
                <w:lang w:eastAsia="zh-CN"/>
              </w:rPr>
              <w:t>a</w:t>
            </w:r>
            <w:r w:rsidRPr="00E67914">
              <w:rPr>
                <w:rFonts w:ascii="Times New Roman" w:hAnsi="Times New Roman"/>
                <w:sz w:val="21"/>
                <w:szCs w:val="21"/>
              </w:rPr>
              <w:t>)</w:t>
            </w:r>
          </w:p>
        </w:tc>
        <w:tc>
          <w:tcPr>
            <w:tcW w:w="1175" w:type="dxa"/>
            <w:vAlign w:val="center"/>
          </w:tcPr>
          <w:p w14:paraId="4977659A" w14:textId="77777777" w:rsidR="00A54A8A" w:rsidRPr="00E67914" w:rsidRDefault="00000000">
            <w:pPr>
              <w:snapToGrid w:val="0"/>
              <w:spacing w:beforeLines="5" w:before="12" w:afterLines="5" w:after="12"/>
              <w:ind w:left="-120"/>
              <w:jc w:val="center"/>
              <w:rPr>
                <w:rFonts w:ascii="Times New Roman" w:hAnsi="Times New Roman"/>
                <w:sz w:val="21"/>
                <w:szCs w:val="21"/>
              </w:rPr>
            </w:pPr>
            <w:r w:rsidRPr="00E67914">
              <w:rPr>
                <w:rFonts w:ascii="Times New Roman" w:hAnsi="Times New Roman"/>
                <w:sz w:val="21"/>
                <w:szCs w:val="21"/>
              </w:rPr>
              <w:t>排放工况</w:t>
            </w:r>
          </w:p>
        </w:tc>
        <w:tc>
          <w:tcPr>
            <w:tcW w:w="1174" w:type="dxa"/>
            <w:vAlign w:val="center"/>
          </w:tcPr>
          <w:p w14:paraId="04819D4A" w14:textId="77777777" w:rsidR="00A54A8A" w:rsidRPr="00E67914" w:rsidRDefault="00000000">
            <w:pPr>
              <w:snapToGrid w:val="0"/>
              <w:spacing w:beforeLines="5" w:before="12" w:afterLines="5" w:after="12"/>
              <w:ind w:left="-120"/>
              <w:jc w:val="center"/>
              <w:rPr>
                <w:rFonts w:ascii="Times New Roman" w:hAnsi="Times New Roman"/>
                <w:sz w:val="21"/>
                <w:szCs w:val="21"/>
              </w:rPr>
            </w:pPr>
            <w:r w:rsidRPr="00E67914">
              <w:rPr>
                <w:rFonts w:ascii="Times New Roman" w:hAnsi="Times New Roman"/>
                <w:sz w:val="21"/>
                <w:szCs w:val="21"/>
              </w:rPr>
              <w:t>烟气出口温度</w:t>
            </w:r>
            <w:r w:rsidRPr="00E67914">
              <w:rPr>
                <w:rFonts w:ascii="Times New Roman" w:hAnsi="Times New Roman"/>
                <w:sz w:val="21"/>
                <w:szCs w:val="21"/>
              </w:rPr>
              <w:t>(K)</w:t>
            </w:r>
          </w:p>
        </w:tc>
      </w:tr>
      <w:tr w:rsidR="002662E3" w:rsidRPr="00E67914" w14:paraId="0C8BAF32" w14:textId="77777777">
        <w:trPr>
          <w:jc w:val="center"/>
        </w:trPr>
        <w:tc>
          <w:tcPr>
            <w:tcW w:w="1174" w:type="dxa"/>
            <w:vAlign w:val="center"/>
          </w:tcPr>
          <w:p w14:paraId="594B57E0"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400kW</w:t>
            </w:r>
          </w:p>
        </w:tc>
        <w:tc>
          <w:tcPr>
            <w:tcW w:w="1175" w:type="dxa"/>
            <w:vAlign w:val="center"/>
          </w:tcPr>
          <w:p w14:paraId="3A77198C"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8</w:t>
            </w:r>
          </w:p>
        </w:tc>
        <w:tc>
          <w:tcPr>
            <w:tcW w:w="1175" w:type="dxa"/>
            <w:vAlign w:val="center"/>
          </w:tcPr>
          <w:p w14:paraId="061BDC4A"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0.2</w:t>
            </w:r>
          </w:p>
        </w:tc>
        <w:tc>
          <w:tcPr>
            <w:tcW w:w="1174" w:type="dxa"/>
            <w:vAlign w:val="center"/>
          </w:tcPr>
          <w:p w14:paraId="75DEC0D8" w14:textId="3767171B"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5.</w:t>
            </w:r>
            <w:r w:rsidR="00F34877" w:rsidRPr="00E67914">
              <w:rPr>
                <w:rFonts w:ascii="Times New Roman" w:hAnsi="Times New Roman"/>
                <w:bCs/>
                <w:sz w:val="21"/>
                <w:szCs w:val="21"/>
              </w:rPr>
              <w:t>08</w:t>
            </w:r>
          </w:p>
        </w:tc>
        <w:tc>
          <w:tcPr>
            <w:tcW w:w="1175" w:type="dxa"/>
            <w:vAlign w:val="center"/>
          </w:tcPr>
          <w:p w14:paraId="7D9926FC" w14:textId="7DCEBA25" w:rsidR="00A54A8A" w:rsidRPr="00E67914" w:rsidRDefault="00F34877">
            <w:pPr>
              <w:snapToGrid w:val="0"/>
              <w:jc w:val="center"/>
              <w:rPr>
                <w:rFonts w:ascii="Times New Roman" w:hAnsi="Times New Roman"/>
                <w:bCs/>
                <w:sz w:val="21"/>
                <w:szCs w:val="21"/>
              </w:rPr>
            </w:pPr>
            <w:r w:rsidRPr="00E67914">
              <w:rPr>
                <w:rFonts w:ascii="Times New Roman" w:hAnsi="Times New Roman"/>
                <w:bCs/>
                <w:sz w:val="21"/>
                <w:szCs w:val="21"/>
              </w:rPr>
              <w:t>8760</w:t>
            </w:r>
          </w:p>
        </w:tc>
        <w:tc>
          <w:tcPr>
            <w:tcW w:w="1175" w:type="dxa"/>
            <w:vAlign w:val="center"/>
          </w:tcPr>
          <w:p w14:paraId="77798FF3"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连续</w:t>
            </w:r>
          </w:p>
        </w:tc>
        <w:tc>
          <w:tcPr>
            <w:tcW w:w="1174" w:type="dxa"/>
            <w:vAlign w:val="center"/>
          </w:tcPr>
          <w:p w14:paraId="0D94479B" w14:textId="77777777" w:rsidR="00A54A8A" w:rsidRPr="00E67914" w:rsidRDefault="00000000">
            <w:pPr>
              <w:snapToGrid w:val="0"/>
              <w:jc w:val="center"/>
              <w:rPr>
                <w:rFonts w:ascii="Times New Roman" w:hAnsi="Times New Roman"/>
                <w:bCs/>
                <w:sz w:val="21"/>
                <w:szCs w:val="21"/>
              </w:rPr>
            </w:pPr>
            <w:r w:rsidRPr="00E67914">
              <w:rPr>
                <w:rFonts w:ascii="Times New Roman" w:hAnsi="Times New Roman"/>
                <w:bCs/>
                <w:sz w:val="21"/>
                <w:szCs w:val="21"/>
              </w:rPr>
              <w:t>150</w:t>
            </w:r>
          </w:p>
        </w:tc>
      </w:tr>
    </w:tbl>
    <w:p w14:paraId="65CCD93E" w14:textId="23738BB6" w:rsidR="00A54A8A" w:rsidRPr="00E67914" w:rsidRDefault="00000000">
      <w:pPr>
        <w:snapToGrid w:val="0"/>
        <w:spacing w:beforeLines="50" w:before="120" w:line="360" w:lineRule="auto"/>
        <w:ind w:firstLineChars="200" w:firstLine="480"/>
        <w:rPr>
          <w:rFonts w:ascii="Times New Roman" w:hAnsi="Times New Roman"/>
          <w:sz w:val="24"/>
          <w:lang w:eastAsia="zh-CN"/>
        </w:rPr>
      </w:pPr>
      <w:r w:rsidRPr="00E67914">
        <w:rPr>
          <w:rFonts w:ascii="Times New Roman" w:hAnsi="Times New Roman"/>
          <w:sz w:val="24"/>
          <w:lang w:eastAsia="zh-CN"/>
        </w:rPr>
        <w:t>烟气量：</w:t>
      </w:r>
      <w:r w:rsidRPr="00E67914">
        <w:rPr>
          <w:rFonts w:ascii="Times New Roman" w:hAnsi="Times New Roman"/>
          <w:sz w:val="24"/>
          <w:lang w:eastAsia="zh-CN"/>
        </w:rPr>
        <w:t>1Nm</w:t>
      </w:r>
      <w:r w:rsidRPr="00E67914">
        <w:rPr>
          <w:rFonts w:ascii="Times New Roman" w:hAnsi="Times New Roman"/>
          <w:sz w:val="24"/>
          <w:vertAlign w:val="superscript"/>
          <w:lang w:eastAsia="zh-CN"/>
        </w:rPr>
        <w:t>3</w:t>
      </w:r>
      <w:r w:rsidRPr="00E67914">
        <w:rPr>
          <w:rFonts w:ascii="Times New Roman" w:hAnsi="Times New Roman"/>
          <w:sz w:val="24"/>
          <w:lang w:eastAsia="zh-CN"/>
        </w:rPr>
        <w:t>天然气燃烧后理论上可以产生</w:t>
      </w:r>
      <w:r w:rsidRPr="00E67914">
        <w:rPr>
          <w:rFonts w:ascii="Times New Roman" w:hAnsi="Times New Roman"/>
          <w:sz w:val="24"/>
          <w:lang w:eastAsia="zh-CN"/>
        </w:rPr>
        <w:t>10.52Nm</w:t>
      </w:r>
      <w:r w:rsidRPr="00E67914">
        <w:rPr>
          <w:rFonts w:ascii="Times New Roman" w:hAnsi="Times New Roman"/>
          <w:sz w:val="24"/>
          <w:vertAlign w:val="superscript"/>
          <w:lang w:eastAsia="zh-CN"/>
        </w:rPr>
        <w:t>3</w:t>
      </w:r>
      <w:r w:rsidRPr="00E67914">
        <w:rPr>
          <w:rFonts w:ascii="Times New Roman" w:hAnsi="Times New Roman"/>
          <w:sz w:val="24"/>
          <w:lang w:eastAsia="zh-CN"/>
        </w:rPr>
        <w:t>的烟气，但是为了保证天然气充分燃烧，在燃烧时通入的空气往往大于</w:t>
      </w:r>
      <w:r w:rsidRPr="00E67914">
        <w:rPr>
          <w:rFonts w:ascii="Times New Roman" w:hAnsi="Times New Roman"/>
          <w:sz w:val="24"/>
          <w:lang w:eastAsia="zh-CN"/>
        </w:rPr>
        <w:t>2</w:t>
      </w:r>
      <w:r w:rsidRPr="00E67914">
        <w:rPr>
          <w:rFonts w:ascii="Times New Roman" w:hAnsi="Times New Roman"/>
          <w:sz w:val="24"/>
          <w:lang w:eastAsia="zh-CN"/>
        </w:rPr>
        <w:t>倍的天然气，这个空气过量值叫做空气过量系数，数值约为</w:t>
      </w:r>
      <w:r w:rsidRPr="00E67914">
        <w:rPr>
          <w:rFonts w:ascii="Times New Roman" w:hAnsi="Times New Roman"/>
          <w:sz w:val="24"/>
          <w:lang w:eastAsia="zh-CN"/>
        </w:rPr>
        <w:t>3.2</w:t>
      </w:r>
      <w:r w:rsidRPr="00E67914">
        <w:rPr>
          <w:rFonts w:ascii="Times New Roman" w:hAnsi="Times New Roman"/>
          <w:sz w:val="24"/>
          <w:lang w:eastAsia="zh-CN"/>
        </w:rPr>
        <w:t>，即</w:t>
      </w:r>
      <w:r w:rsidRPr="00E67914">
        <w:rPr>
          <w:rFonts w:ascii="Times New Roman" w:hAnsi="Times New Roman"/>
          <w:sz w:val="24"/>
          <w:lang w:eastAsia="zh-CN"/>
        </w:rPr>
        <w:t>1</w:t>
      </w:r>
      <w:r w:rsidRPr="00E67914">
        <w:rPr>
          <w:rFonts w:ascii="Times New Roman" w:hAnsi="Times New Roman"/>
          <w:sz w:val="24"/>
          <w:lang w:eastAsia="zh-CN"/>
        </w:rPr>
        <w:t>份天然气在燃烧时实际上需要</w:t>
      </w:r>
      <w:r w:rsidRPr="00E67914">
        <w:rPr>
          <w:rFonts w:ascii="Times New Roman" w:hAnsi="Times New Roman"/>
          <w:sz w:val="24"/>
          <w:lang w:eastAsia="zh-CN"/>
        </w:rPr>
        <w:t>6.4</w:t>
      </w:r>
      <w:r w:rsidRPr="00E67914">
        <w:rPr>
          <w:rFonts w:ascii="Times New Roman" w:hAnsi="Times New Roman"/>
          <w:sz w:val="24"/>
          <w:lang w:eastAsia="zh-CN"/>
        </w:rPr>
        <w:t>份氧气（</w:t>
      </w:r>
      <w:r w:rsidRPr="00E67914">
        <w:rPr>
          <w:rFonts w:ascii="Times New Roman" w:hAnsi="Times New Roman"/>
          <w:sz w:val="24"/>
          <w:lang w:eastAsia="zh-CN"/>
        </w:rPr>
        <w:t>30.48</w:t>
      </w:r>
      <w:r w:rsidRPr="00E67914">
        <w:rPr>
          <w:rFonts w:ascii="Times New Roman" w:hAnsi="Times New Roman"/>
          <w:sz w:val="24"/>
          <w:lang w:eastAsia="zh-CN"/>
        </w:rPr>
        <w:t>份空气），则实际烟气量为</w:t>
      </w:r>
      <w:r w:rsidRPr="00E67914">
        <w:rPr>
          <w:rFonts w:ascii="Times New Roman" w:hAnsi="Times New Roman"/>
          <w:sz w:val="24"/>
          <w:lang w:eastAsia="zh-CN"/>
        </w:rPr>
        <w:t>31.48Nm</w:t>
      </w:r>
      <w:r w:rsidRPr="00E67914">
        <w:rPr>
          <w:rFonts w:ascii="Times New Roman" w:hAnsi="Times New Roman"/>
          <w:sz w:val="24"/>
          <w:vertAlign w:val="superscript"/>
          <w:lang w:eastAsia="zh-CN"/>
        </w:rPr>
        <w:t>3</w:t>
      </w:r>
      <w:r w:rsidRPr="00E67914">
        <w:rPr>
          <w:rFonts w:ascii="Times New Roman" w:hAnsi="Times New Roman"/>
          <w:sz w:val="24"/>
          <w:lang w:eastAsia="zh-CN"/>
        </w:rPr>
        <w:t>，本项目水套加热炉天然气使用量为</w:t>
      </w:r>
      <w:r w:rsidR="00540247" w:rsidRPr="00E67914">
        <w:rPr>
          <w:rFonts w:ascii="Times New Roman" w:hAnsi="Times New Roman"/>
          <w:sz w:val="24"/>
          <w:lang w:eastAsia="zh-CN"/>
        </w:rPr>
        <w:t>8.9</w:t>
      </w:r>
      <w:r w:rsidRPr="00E67914">
        <w:rPr>
          <w:rFonts w:ascii="Times New Roman" w:hAnsi="Times New Roman"/>
          <w:sz w:val="24"/>
          <w:lang w:eastAsia="zh-CN"/>
        </w:rPr>
        <w:t>万</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/a</w:t>
      </w:r>
      <w:r w:rsidRPr="00E67914">
        <w:rPr>
          <w:rFonts w:ascii="Times New Roman" w:hAnsi="Times New Roman"/>
          <w:sz w:val="24"/>
          <w:lang w:eastAsia="zh-CN"/>
        </w:rPr>
        <w:t>，则产生烟气量为</w:t>
      </w:r>
      <w:r w:rsidR="00540247" w:rsidRPr="00E67914">
        <w:rPr>
          <w:rFonts w:ascii="Times New Roman" w:hAnsi="Times New Roman"/>
          <w:sz w:val="24"/>
          <w:lang w:eastAsia="zh-CN"/>
        </w:rPr>
        <w:t>28</w:t>
      </w:r>
      <w:r w:rsidRPr="00E67914">
        <w:rPr>
          <w:rFonts w:ascii="Times New Roman" w:hAnsi="Times New Roman"/>
          <w:sz w:val="24"/>
          <w:lang w:eastAsia="zh-CN"/>
        </w:rPr>
        <w:t>0.0</w:t>
      </w:r>
      <w:r w:rsidR="00540247" w:rsidRPr="00E67914">
        <w:rPr>
          <w:rFonts w:ascii="Times New Roman" w:hAnsi="Times New Roman"/>
          <w:sz w:val="24"/>
          <w:lang w:eastAsia="zh-CN"/>
        </w:rPr>
        <w:t>2</w:t>
      </w:r>
      <w:r w:rsidRPr="00E67914">
        <w:rPr>
          <w:rFonts w:ascii="Times New Roman" w:hAnsi="Times New Roman"/>
          <w:sz w:val="24"/>
          <w:lang w:eastAsia="zh-CN"/>
        </w:rPr>
        <w:t>万</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/a</w:t>
      </w:r>
      <w:r w:rsidRPr="00E67914">
        <w:rPr>
          <w:rFonts w:ascii="Times New Roman" w:hAnsi="Times New Roman"/>
          <w:sz w:val="24"/>
          <w:lang w:eastAsia="zh-CN"/>
        </w:rPr>
        <w:t>。</w:t>
      </w:r>
    </w:p>
    <w:p w14:paraId="7EB715AF" w14:textId="327F413E" w:rsidR="00A54A8A" w:rsidRPr="00E67914" w:rsidRDefault="00000000">
      <w:pPr>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根据《排污许可证申请与核发技术规范</w:t>
      </w:r>
      <w:r w:rsidRPr="00E67914">
        <w:rPr>
          <w:rFonts w:ascii="Times New Roman" w:hAnsi="Times New Roman"/>
          <w:sz w:val="24"/>
          <w:lang w:eastAsia="zh-CN"/>
        </w:rPr>
        <w:t xml:space="preserve">  </w:t>
      </w:r>
      <w:r w:rsidRPr="00E67914">
        <w:rPr>
          <w:rFonts w:ascii="Times New Roman" w:hAnsi="Times New Roman"/>
          <w:sz w:val="24"/>
          <w:lang w:eastAsia="zh-CN"/>
        </w:rPr>
        <w:t>锅炉》（</w:t>
      </w:r>
      <w:r w:rsidRPr="00E67914">
        <w:rPr>
          <w:rFonts w:ascii="Times New Roman" w:hAnsi="Times New Roman"/>
          <w:sz w:val="24"/>
          <w:lang w:eastAsia="zh-CN"/>
        </w:rPr>
        <w:t>HJ953-2018</w:t>
      </w:r>
      <w:r w:rsidRPr="00E67914">
        <w:rPr>
          <w:rFonts w:ascii="Times New Roman" w:hAnsi="Times New Roman"/>
          <w:sz w:val="24"/>
          <w:lang w:eastAsia="zh-CN"/>
        </w:rPr>
        <w:t>），燃气锅炉排污系数为：</w:t>
      </w:r>
      <w:r w:rsidR="00540247" w:rsidRPr="00E67914">
        <w:rPr>
          <w:rFonts w:ascii="Times New Roman" w:hAnsi="Times New Roman"/>
          <w:sz w:val="24"/>
          <w:lang w:eastAsia="zh-CN"/>
        </w:rPr>
        <w:t>二氧化硫</w:t>
      </w:r>
      <w:r w:rsidR="00540247" w:rsidRPr="00E67914">
        <w:rPr>
          <w:rFonts w:ascii="Times New Roman" w:hAnsi="Times New Roman"/>
          <w:sz w:val="24"/>
          <w:lang w:eastAsia="zh-CN"/>
        </w:rPr>
        <w:t>=0.02S</w:t>
      </w:r>
      <w:r w:rsidR="00540247" w:rsidRPr="00E67914">
        <w:rPr>
          <w:rFonts w:ascii="Times New Roman" w:hAnsi="Times New Roman"/>
          <w:sz w:val="24"/>
          <w:lang w:eastAsia="zh-CN"/>
        </w:rPr>
        <w:t>千克</w:t>
      </w:r>
      <w:r w:rsidR="00540247" w:rsidRPr="00E67914">
        <w:rPr>
          <w:rFonts w:ascii="Times New Roman" w:hAnsi="Times New Roman"/>
          <w:sz w:val="24"/>
          <w:lang w:eastAsia="zh-CN"/>
        </w:rPr>
        <w:t>/</w:t>
      </w:r>
      <w:r w:rsidR="00540247" w:rsidRPr="00E67914">
        <w:rPr>
          <w:rFonts w:ascii="Times New Roman" w:hAnsi="Times New Roman"/>
          <w:sz w:val="24"/>
          <w:lang w:eastAsia="zh-CN"/>
        </w:rPr>
        <w:t>万立方米</w:t>
      </w:r>
      <w:r w:rsidR="00540247" w:rsidRPr="00E67914">
        <w:rPr>
          <w:rFonts w:ascii="Times New Roman" w:hAnsi="Times New Roman"/>
          <w:sz w:val="24"/>
          <w:lang w:eastAsia="zh-CN"/>
        </w:rPr>
        <w:t>-</w:t>
      </w:r>
      <w:r w:rsidR="00540247" w:rsidRPr="00E67914">
        <w:rPr>
          <w:rFonts w:ascii="Times New Roman" w:hAnsi="Times New Roman"/>
          <w:sz w:val="24"/>
          <w:lang w:eastAsia="zh-CN"/>
        </w:rPr>
        <w:t>燃料（</w:t>
      </w:r>
      <w:r w:rsidR="00540247" w:rsidRPr="00E67914">
        <w:rPr>
          <w:rFonts w:ascii="Times New Roman" w:hAnsi="Times New Roman"/>
          <w:sz w:val="24"/>
          <w:lang w:eastAsia="zh-CN"/>
        </w:rPr>
        <w:t>S=200</w:t>
      </w:r>
      <w:r w:rsidR="00540247" w:rsidRPr="00E67914">
        <w:rPr>
          <w:rFonts w:ascii="Times New Roman" w:hAnsi="Times New Roman"/>
          <w:sz w:val="24"/>
          <w:lang w:eastAsia="zh-CN"/>
        </w:rPr>
        <w:t>，即天然气硫分含量</w:t>
      </w:r>
      <w:r w:rsidR="00540247" w:rsidRPr="00E67914">
        <w:rPr>
          <w:rFonts w:ascii="Times New Roman" w:hAnsi="Times New Roman"/>
          <w:sz w:val="24"/>
          <w:lang w:eastAsia="zh-CN"/>
        </w:rPr>
        <w:t>S</w:t>
      </w:r>
      <w:r w:rsidR="00540247" w:rsidRPr="00E67914">
        <w:rPr>
          <w:rFonts w:ascii="Times New Roman" w:hAnsi="Times New Roman"/>
          <w:sz w:val="24"/>
          <w:lang w:eastAsia="zh-CN"/>
        </w:rPr>
        <w:t>按</w:t>
      </w:r>
      <w:r w:rsidR="00540247" w:rsidRPr="00E67914">
        <w:rPr>
          <w:rFonts w:ascii="Times New Roman" w:hAnsi="Times New Roman"/>
          <w:sz w:val="24"/>
          <w:lang w:eastAsia="zh-CN"/>
        </w:rPr>
        <w:t>200mg/m</w:t>
      </w:r>
      <w:r w:rsidR="00540247" w:rsidRPr="00E67914">
        <w:rPr>
          <w:rFonts w:ascii="Times New Roman" w:hAnsi="Times New Roman"/>
          <w:sz w:val="24"/>
          <w:vertAlign w:val="superscript"/>
          <w:lang w:eastAsia="zh-CN"/>
        </w:rPr>
        <w:t>3</w:t>
      </w:r>
      <w:r w:rsidR="00540247" w:rsidRPr="00E67914">
        <w:rPr>
          <w:rFonts w:ascii="Times New Roman" w:hAnsi="Times New Roman"/>
          <w:sz w:val="24"/>
          <w:lang w:eastAsia="zh-CN"/>
        </w:rPr>
        <w:t>计）；</w:t>
      </w:r>
      <w:r w:rsidRPr="00E67914">
        <w:rPr>
          <w:rFonts w:ascii="Times New Roman" w:hAnsi="Times New Roman"/>
          <w:sz w:val="24"/>
          <w:lang w:eastAsia="zh-CN"/>
        </w:rPr>
        <w:t>颗粒物</w:t>
      </w:r>
      <w:r w:rsidRPr="00E67914">
        <w:rPr>
          <w:rFonts w:ascii="Times New Roman" w:hAnsi="Times New Roman"/>
          <w:sz w:val="24"/>
          <w:lang w:eastAsia="zh-CN"/>
        </w:rPr>
        <w:t>=2.86</w:t>
      </w:r>
      <w:r w:rsidRPr="00E67914">
        <w:rPr>
          <w:rFonts w:ascii="Times New Roman" w:hAnsi="Times New Roman"/>
          <w:sz w:val="24"/>
          <w:lang w:eastAsia="zh-CN"/>
        </w:rPr>
        <w:t>千克</w:t>
      </w:r>
      <w:r w:rsidRPr="00E67914">
        <w:rPr>
          <w:rFonts w:ascii="Times New Roman" w:hAnsi="Times New Roman"/>
          <w:sz w:val="24"/>
          <w:lang w:eastAsia="zh-CN"/>
        </w:rPr>
        <w:t>/</w:t>
      </w:r>
      <w:r w:rsidRPr="00E67914">
        <w:rPr>
          <w:rFonts w:ascii="Times New Roman" w:hAnsi="Times New Roman"/>
          <w:sz w:val="24"/>
          <w:lang w:eastAsia="zh-CN"/>
        </w:rPr>
        <w:t>万立方米</w:t>
      </w:r>
      <w:r w:rsidRPr="00E67914">
        <w:rPr>
          <w:rFonts w:ascii="Times New Roman" w:hAnsi="Times New Roman"/>
          <w:sz w:val="24"/>
          <w:lang w:eastAsia="zh-CN"/>
        </w:rPr>
        <w:t>-</w:t>
      </w:r>
      <w:r w:rsidRPr="00E67914">
        <w:rPr>
          <w:rFonts w:ascii="Times New Roman" w:hAnsi="Times New Roman"/>
          <w:sz w:val="24"/>
          <w:lang w:eastAsia="zh-CN"/>
        </w:rPr>
        <w:t>燃料；氮氧化物（无低氮燃</w:t>
      </w:r>
      <w:r w:rsidRPr="00E67914">
        <w:rPr>
          <w:rFonts w:ascii="Times New Roman" w:hAnsi="Times New Roman"/>
          <w:sz w:val="24"/>
          <w:lang w:eastAsia="zh-CN"/>
        </w:rPr>
        <w:lastRenderedPageBreak/>
        <w:t>烧）</w:t>
      </w:r>
      <w:r w:rsidRPr="00E67914">
        <w:rPr>
          <w:rFonts w:ascii="Times New Roman" w:hAnsi="Times New Roman"/>
          <w:sz w:val="24"/>
          <w:lang w:eastAsia="zh-CN"/>
        </w:rPr>
        <w:t>=18.71</w:t>
      </w:r>
      <w:r w:rsidRPr="00E67914">
        <w:rPr>
          <w:rFonts w:ascii="Times New Roman" w:hAnsi="Times New Roman"/>
          <w:sz w:val="24"/>
          <w:lang w:eastAsia="zh-CN"/>
        </w:rPr>
        <w:t>千克</w:t>
      </w:r>
      <w:r w:rsidRPr="00E67914">
        <w:rPr>
          <w:rFonts w:ascii="Times New Roman" w:hAnsi="Times New Roman"/>
          <w:sz w:val="24"/>
          <w:lang w:eastAsia="zh-CN"/>
        </w:rPr>
        <w:t>/</w:t>
      </w:r>
      <w:r w:rsidRPr="00E67914">
        <w:rPr>
          <w:rFonts w:ascii="Times New Roman" w:hAnsi="Times New Roman"/>
          <w:sz w:val="24"/>
          <w:lang w:eastAsia="zh-CN"/>
        </w:rPr>
        <w:t>万立方米</w:t>
      </w:r>
      <w:r w:rsidRPr="00E67914">
        <w:rPr>
          <w:rFonts w:ascii="Times New Roman" w:hAnsi="Times New Roman"/>
          <w:sz w:val="24"/>
          <w:lang w:eastAsia="zh-CN"/>
        </w:rPr>
        <w:t>-</w:t>
      </w:r>
      <w:r w:rsidRPr="00E67914">
        <w:rPr>
          <w:rFonts w:ascii="Times New Roman" w:hAnsi="Times New Roman"/>
          <w:sz w:val="24"/>
          <w:lang w:eastAsia="zh-CN"/>
        </w:rPr>
        <w:t>燃料；氮氧化物（低氮燃烧）</w:t>
      </w:r>
      <w:r w:rsidRPr="00E67914">
        <w:rPr>
          <w:rFonts w:ascii="Times New Roman" w:hAnsi="Times New Roman"/>
          <w:sz w:val="24"/>
          <w:lang w:eastAsia="zh-CN"/>
        </w:rPr>
        <w:t>=9.36</w:t>
      </w:r>
      <w:r w:rsidRPr="00E67914">
        <w:rPr>
          <w:rFonts w:ascii="Times New Roman" w:hAnsi="Times New Roman"/>
          <w:sz w:val="24"/>
          <w:lang w:eastAsia="zh-CN"/>
        </w:rPr>
        <w:t>千克</w:t>
      </w:r>
      <w:r w:rsidRPr="00E67914">
        <w:rPr>
          <w:rFonts w:ascii="Times New Roman" w:hAnsi="Times New Roman"/>
          <w:sz w:val="24"/>
          <w:lang w:eastAsia="zh-CN"/>
        </w:rPr>
        <w:t>/</w:t>
      </w:r>
      <w:r w:rsidRPr="00E67914">
        <w:rPr>
          <w:rFonts w:ascii="Times New Roman" w:hAnsi="Times New Roman"/>
          <w:sz w:val="24"/>
          <w:lang w:eastAsia="zh-CN"/>
        </w:rPr>
        <w:t>万立方米</w:t>
      </w:r>
      <w:r w:rsidRPr="00E67914">
        <w:rPr>
          <w:rFonts w:ascii="Times New Roman" w:hAnsi="Times New Roman"/>
          <w:sz w:val="24"/>
          <w:lang w:eastAsia="zh-CN"/>
        </w:rPr>
        <w:t>-</w:t>
      </w:r>
      <w:r w:rsidRPr="00E67914">
        <w:rPr>
          <w:rFonts w:ascii="Times New Roman" w:hAnsi="Times New Roman"/>
          <w:sz w:val="24"/>
          <w:lang w:eastAsia="zh-CN"/>
        </w:rPr>
        <w:t>燃料。则颗粒物排放量为</w:t>
      </w:r>
      <w:r w:rsidRPr="00E67914">
        <w:rPr>
          <w:rFonts w:ascii="Times New Roman" w:hAnsi="Times New Roman"/>
          <w:sz w:val="24"/>
          <w:lang w:eastAsia="zh-CN"/>
        </w:rPr>
        <w:t>0.0</w:t>
      </w:r>
      <w:r w:rsidR="00540247" w:rsidRPr="00E67914">
        <w:rPr>
          <w:rFonts w:ascii="Times New Roman" w:hAnsi="Times New Roman"/>
          <w:sz w:val="24"/>
          <w:lang w:eastAsia="zh-CN"/>
        </w:rPr>
        <w:t>26</w:t>
      </w:r>
      <w:r w:rsidRPr="00E67914">
        <w:rPr>
          <w:rFonts w:ascii="Times New Roman" w:hAnsi="Times New Roman"/>
          <w:sz w:val="24"/>
          <w:lang w:eastAsia="zh-CN"/>
        </w:rPr>
        <w:t>t/a</w:t>
      </w:r>
      <w:r w:rsidRPr="00E67914">
        <w:rPr>
          <w:rFonts w:ascii="Times New Roman" w:hAnsi="Times New Roman"/>
          <w:sz w:val="24"/>
          <w:lang w:eastAsia="zh-CN"/>
        </w:rPr>
        <w:t>（</w:t>
      </w:r>
      <w:r w:rsidRPr="00E67914">
        <w:rPr>
          <w:rFonts w:ascii="Times New Roman" w:hAnsi="Times New Roman"/>
          <w:sz w:val="24"/>
          <w:lang w:eastAsia="zh-CN"/>
        </w:rPr>
        <w:t>0.00</w:t>
      </w:r>
      <w:r w:rsidR="00540247" w:rsidRPr="00E67914">
        <w:rPr>
          <w:rFonts w:ascii="Times New Roman" w:hAnsi="Times New Roman"/>
          <w:sz w:val="24"/>
          <w:lang w:eastAsia="zh-CN"/>
        </w:rPr>
        <w:t>30</w:t>
      </w:r>
      <w:r w:rsidRPr="00E67914">
        <w:rPr>
          <w:rFonts w:ascii="Times New Roman" w:hAnsi="Times New Roman"/>
          <w:sz w:val="24"/>
          <w:lang w:eastAsia="zh-CN"/>
        </w:rPr>
        <w:t>kg/h</w:t>
      </w:r>
      <w:r w:rsidRPr="00E67914">
        <w:rPr>
          <w:rFonts w:ascii="Times New Roman" w:hAnsi="Times New Roman"/>
          <w:sz w:val="24"/>
          <w:lang w:eastAsia="zh-CN"/>
        </w:rPr>
        <w:t>），排放浓度为</w:t>
      </w:r>
      <w:r w:rsidRPr="00E67914">
        <w:rPr>
          <w:rFonts w:ascii="Times New Roman" w:hAnsi="Times New Roman"/>
          <w:sz w:val="24"/>
          <w:lang w:eastAsia="zh-CN"/>
        </w:rPr>
        <w:t>9.09mg/m</w:t>
      </w:r>
      <w:r w:rsidRPr="00E67914">
        <w:rPr>
          <w:rFonts w:ascii="Times New Roman" w:hAnsi="Times New Roman"/>
          <w:sz w:val="24"/>
          <w:vertAlign w:val="superscript"/>
          <w:lang w:eastAsia="zh-CN"/>
        </w:rPr>
        <w:t>3</w:t>
      </w:r>
      <w:r w:rsidRPr="00E67914">
        <w:rPr>
          <w:rFonts w:ascii="Times New Roman" w:hAnsi="Times New Roman"/>
          <w:sz w:val="24"/>
          <w:lang w:eastAsia="zh-CN"/>
        </w:rPr>
        <w:t>；</w:t>
      </w:r>
      <w:r w:rsidRPr="00E67914">
        <w:rPr>
          <w:rFonts w:ascii="Times New Roman" w:hAnsi="Times New Roman"/>
          <w:sz w:val="24"/>
          <w:lang w:eastAsia="zh-CN"/>
        </w:rPr>
        <w:t>NO</w:t>
      </w:r>
      <w:r w:rsidRPr="00E67914">
        <w:rPr>
          <w:rFonts w:ascii="Times New Roman" w:hAnsi="Times New Roman"/>
          <w:sz w:val="24"/>
          <w:vertAlign w:val="subscript"/>
          <w:lang w:eastAsia="zh-CN"/>
        </w:rPr>
        <w:t>X</w:t>
      </w:r>
      <w:r w:rsidRPr="00E67914">
        <w:rPr>
          <w:rFonts w:ascii="Times New Roman" w:hAnsi="Times New Roman"/>
          <w:sz w:val="24"/>
          <w:lang w:eastAsia="zh-CN"/>
        </w:rPr>
        <w:t>排放量为</w:t>
      </w:r>
      <w:r w:rsidRPr="00E67914">
        <w:rPr>
          <w:rFonts w:ascii="Times New Roman" w:hAnsi="Times New Roman"/>
          <w:sz w:val="24"/>
          <w:lang w:eastAsia="zh-CN"/>
        </w:rPr>
        <w:t>0.</w:t>
      </w:r>
      <w:r w:rsidR="00540247" w:rsidRPr="00E67914">
        <w:rPr>
          <w:rFonts w:ascii="Times New Roman" w:hAnsi="Times New Roman"/>
          <w:sz w:val="24"/>
          <w:lang w:eastAsia="zh-CN"/>
        </w:rPr>
        <w:t>170</w:t>
      </w:r>
      <w:r w:rsidRPr="00E67914">
        <w:rPr>
          <w:rFonts w:ascii="Times New Roman" w:hAnsi="Times New Roman"/>
          <w:sz w:val="24"/>
          <w:lang w:eastAsia="zh-CN"/>
        </w:rPr>
        <w:t>t/a</w:t>
      </w:r>
      <w:r w:rsidRPr="00E67914">
        <w:rPr>
          <w:rFonts w:ascii="Times New Roman" w:hAnsi="Times New Roman"/>
          <w:sz w:val="24"/>
          <w:lang w:eastAsia="zh-CN"/>
        </w:rPr>
        <w:t>（</w:t>
      </w:r>
      <w:r w:rsidRPr="00E67914">
        <w:rPr>
          <w:rFonts w:ascii="Times New Roman" w:hAnsi="Times New Roman"/>
          <w:sz w:val="24"/>
          <w:lang w:eastAsia="zh-CN"/>
        </w:rPr>
        <w:t>0.0</w:t>
      </w:r>
      <w:r w:rsidR="005A0E0A" w:rsidRPr="00E67914">
        <w:rPr>
          <w:rFonts w:ascii="Times New Roman" w:hAnsi="Times New Roman"/>
          <w:sz w:val="24"/>
          <w:lang w:eastAsia="zh-CN"/>
        </w:rPr>
        <w:t>194</w:t>
      </w:r>
      <w:r w:rsidRPr="00E67914">
        <w:rPr>
          <w:rFonts w:ascii="Times New Roman" w:hAnsi="Times New Roman"/>
          <w:sz w:val="24"/>
          <w:lang w:eastAsia="zh-CN"/>
        </w:rPr>
        <w:t>kg/h</w:t>
      </w:r>
      <w:r w:rsidRPr="00E67914">
        <w:rPr>
          <w:rFonts w:ascii="Times New Roman" w:hAnsi="Times New Roman"/>
          <w:sz w:val="24"/>
          <w:lang w:eastAsia="zh-CN"/>
        </w:rPr>
        <w:t>），排放浓度为</w:t>
      </w:r>
      <w:r w:rsidRPr="00E67914">
        <w:rPr>
          <w:rFonts w:ascii="Times New Roman" w:hAnsi="Times New Roman"/>
          <w:sz w:val="24"/>
          <w:lang w:eastAsia="zh-CN"/>
        </w:rPr>
        <w:t>59.50mg/m</w:t>
      </w:r>
      <w:r w:rsidRPr="00E67914">
        <w:rPr>
          <w:rFonts w:ascii="Times New Roman" w:hAnsi="Times New Roman"/>
          <w:sz w:val="24"/>
          <w:vertAlign w:val="superscript"/>
          <w:lang w:eastAsia="zh-CN"/>
        </w:rPr>
        <w:t>3</w:t>
      </w:r>
      <w:r w:rsidR="00540247" w:rsidRPr="00E67914">
        <w:rPr>
          <w:rFonts w:ascii="Times New Roman" w:hAnsi="Times New Roman"/>
          <w:sz w:val="24"/>
          <w:lang w:eastAsia="zh-CN"/>
        </w:rPr>
        <w:t>；</w:t>
      </w:r>
      <w:r w:rsidR="00540247" w:rsidRPr="00E67914">
        <w:rPr>
          <w:rFonts w:ascii="Times New Roman" w:hAnsi="Times New Roman"/>
          <w:sz w:val="24"/>
          <w:lang w:eastAsia="zh-CN"/>
        </w:rPr>
        <w:t>SO</w:t>
      </w:r>
      <w:r w:rsidR="00540247" w:rsidRPr="00E67914">
        <w:rPr>
          <w:rFonts w:ascii="Times New Roman" w:hAnsi="Times New Roman"/>
          <w:sz w:val="24"/>
          <w:vertAlign w:val="subscript"/>
          <w:lang w:eastAsia="zh-CN"/>
        </w:rPr>
        <w:t>2</w:t>
      </w:r>
      <w:r w:rsidR="00540247" w:rsidRPr="00E67914">
        <w:rPr>
          <w:rFonts w:ascii="Times New Roman" w:hAnsi="Times New Roman"/>
          <w:sz w:val="24"/>
          <w:lang w:eastAsia="zh-CN"/>
        </w:rPr>
        <w:t>排放量为</w:t>
      </w:r>
      <w:r w:rsidR="00540247" w:rsidRPr="00E67914">
        <w:rPr>
          <w:rFonts w:ascii="Times New Roman" w:hAnsi="Times New Roman"/>
          <w:sz w:val="24"/>
          <w:lang w:eastAsia="zh-CN"/>
        </w:rPr>
        <w:t>0.</w:t>
      </w:r>
      <w:r w:rsidR="005A0E0A" w:rsidRPr="00E67914">
        <w:rPr>
          <w:rFonts w:ascii="Times New Roman" w:hAnsi="Times New Roman"/>
          <w:sz w:val="24"/>
          <w:lang w:eastAsia="zh-CN"/>
        </w:rPr>
        <w:t>036</w:t>
      </w:r>
      <w:r w:rsidR="00540247" w:rsidRPr="00E67914">
        <w:rPr>
          <w:rFonts w:ascii="Times New Roman" w:hAnsi="Times New Roman"/>
          <w:sz w:val="24"/>
          <w:lang w:eastAsia="zh-CN"/>
        </w:rPr>
        <w:t>t/a</w:t>
      </w:r>
      <w:r w:rsidR="00540247" w:rsidRPr="00E67914">
        <w:rPr>
          <w:rFonts w:ascii="Times New Roman" w:hAnsi="Times New Roman"/>
          <w:sz w:val="24"/>
          <w:lang w:eastAsia="zh-CN"/>
        </w:rPr>
        <w:t>（</w:t>
      </w:r>
      <w:r w:rsidR="00540247" w:rsidRPr="00E67914">
        <w:rPr>
          <w:rFonts w:ascii="Times New Roman" w:hAnsi="Times New Roman"/>
          <w:sz w:val="24"/>
          <w:lang w:eastAsia="zh-CN"/>
        </w:rPr>
        <w:t>0.00</w:t>
      </w:r>
      <w:r w:rsidR="005A0E0A" w:rsidRPr="00E67914">
        <w:rPr>
          <w:rFonts w:ascii="Times New Roman" w:hAnsi="Times New Roman"/>
          <w:sz w:val="24"/>
          <w:lang w:eastAsia="zh-CN"/>
        </w:rPr>
        <w:t>42</w:t>
      </w:r>
      <w:r w:rsidR="00540247" w:rsidRPr="00E67914">
        <w:rPr>
          <w:rFonts w:ascii="Times New Roman" w:hAnsi="Times New Roman"/>
          <w:sz w:val="24"/>
          <w:lang w:eastAsia="zh-CN"/>
        </w:rPr>
        <w:t>kg/h</w:t>
      </w:r>
      <w:r w:rsidR="00540247" w:rsidRPr="00E67914">
        <w:rPr>
          <w:rFonts w:ascii="Times New Roman" w:hAnsi="Times New Roman"/>
          <w:sz w:val="24"/>
          <w:lang w:eastAsia="zh-CN"/>
        </w:rPr>
        <w:t>），排放浓度为</w:t>
      </w:r>
      <w:r w:rsidR="00540247" w:rsidRPr="00E67914">
        <w:rPr>
          <w:rFonts w:ascii="Times New Roman" w:hAnsi="Times New Roman"/>
          <w:sz w:val="24"/>
          <w:lang w:eastAsia="zh-CN"/>
        </w:rPr>
        <w:t>1</w:t>
      </w:r>
      <w:r w:rsidR="005A0E0A" w:rsidRPr="00E67914">
        <w:rPr>
          <w:rFonts w:ascii="Times New Roman" w:hAnsi="Times New Roman"/>
          <w:sz w:val="24"/>
          <w:lang w:eastAsia="zh-CN"/>
        </w:rPr>
        <w:t>3.03</w:t>
      </w:r>
      <w:r w:rsidR="00540247" w:rsidRPr="00E67914">
        <w:rPr>
          <w:rFonts w:ascii="Times New Roman" w:hAnsi="Times New Roman"/>
          <w:sz w:val="24"/>
          <w:lang w:eastAsia="zh-CN"/>
        </w:rPr>
        <w:t>mg/m</w:t>
      </w:r>
      <w:r w:rsidR="00540247" w:rsidRPr="00E67914">
        <w:rPr>
          <w:rFonts w:ascii="Times New Roman" w:hAnsi="Times New Roman"/>
          <w:sz w:val="24"/>
          <w:vertAlign w:val="superscript"/>
          <w:lang w:eastAsia="zh-CN"/>
        </w:rPr>
        <w:t>3</w:t>
      </w:r>
      <w:r w:rsidRPr="00E67914">
        <w:rPr>
          <w:rFonts w:ascii="Times New Roman" w:hAnsi="Times New Roman"/>
          <w:sz w:val="24"/>
          <w:lang w:eastAsia="zh-CN"/>
        </w:rPr>
        <w:t>。</w:t>
      </w:r>
    </w:p>
    <w:p w14:paraId="50C7C592" w14:textId="77777777" w:rsidR="00A54A8A" w:rsidRPr="00E67914" w:rsidRDefault="00000000">
      <w:pPr>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水套加热炉的污染物排放情况见表</w:t>
      </w:r>
      <w:r w:rsidRPr="00E67914">
        <w:rPr>
          <w:rFonts w:ascii="Times New Roman" w:hAnsi="Times New Roman"/>
          <w:sz w:val="24"/>
          <w:lang w:eastAsia="zh-CN"/>
        </w:rPr>
        <w:t>3.4-13</w:t>
      </w:r>
      <w:r w:rsidRPr="00E67914">
        <w:rPr>
          <w:rFonts w:ascii="Times New Roman" w:hAnsi="Times New Roman"/>
          <w:sz w:val="24"/>
          <w:lang w:eastAsia="zh-CN"/>
        </w:rPr>
        <w:t>。</w:t>
      </w:r>
    </w:p>
    <w:p w14:paraId="1AF35A91" w14:textId="22C37885"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3.4-13  </w:t>
      </w:r>
      <w:r w:rsidR="00540247" w:rsidRPr="00E67914">
        <w:rPr>
          <w:rFonts w:ascii="Times New Roman" w:eastAsia="黑体" w:hAnsi="Times New Roman"/>
          <w:sz w:val="21"/>
          <w:szCs w:val="21"/>
          <w:lang w:eastAsia="zh-CN"/>
        </w:rPr>
        <w:t>单台</w:t>
      </w:r>
      <w:r w:rsidRPr="00E67914">
        <w:rPr>
          <w:rFonts w:ascii="Times New Roman" w:eastAsia="黑体" w:hAnsi="Times New Roman"/>
          <w:sz w:val="21"/>
          <w:szCs w:val="21"/>
          <w:lang w:eastAsia="zh-CN"/>
        </w:rPr>
        <w:t>水套加热炉污染物排放情况</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4"/>
        <w:gridCol w:w="1006"/>
        <w:gridCol w:w="869"/>
        <w:gridCol w:w="2091"/>
        <w:gridCol w:w="631"/>
        <w:gridCol w:w="735"/>
        <w:gridCol w:w="638"/>
        <w:gridCol w:w="1352"/>
      </w:tblGrid>
      <w:tr w:rsidR="00E67914" w:rsidRPr="00E67914" w14:paraId="04AB86B9" w14:textId="77777777">
        <w:trPr>
          <w:trHeight w:val="197"/>
          <w:jc w:val="center"/>
        </w:trPr>
        <w:tc>
          <w:tcPr>
            <w:tcW w:w="500" w:type="pct"/>
            <w:vMerge w:val="restart"/>
            <w:vAlign w:val="center"/>
          </w:tcPr>
          <w:p w14:paraId="04E62F11" w14:textId="77777777" w:rsidR="00A54A8A" w:rsidRPr="00E67914" w:rsidRDefault="00000000">
            <w:pPr>
              <w:jc w:val="center"/>
              <w:rPr>
                <w:rFonts w:ascii="Times New Roman" w:hAnsi="Times New Roman"/>
                <w:b/>
                <w:kern w:val="2"/>
                <w:sz w:val="21"/>
              </w:rPr>
            </w:pPr>
            <w:r w:rsidRPr="00E67914">
              <w:rPr>
                <w:rFonts w:ascii="Times New Roman" w:hAnsi="Times New Roman"/>
                <w:b/>
                <w:kern w:val="2"/>
                <w:sz w:val="21"/>
              </w:rPr>
              <w:t>废气</w:t>
            </w:r>
          </w:p>
          <w:p w14:paraId="0DA8501B" w14:textId="77777777" w:rsidR="00A54A8A" w:rsidRPr="00E67914" w:rsidRDefault="00000000">
            <w:pPr>
              <w:jc w:val="center"/>
              <w:rPr>
                <w:rFonts w:ascii="Times New Roman" w:hAnsi="Times New Roman"/>
                <w:b/>
                <w:kern w:val="2"/>
                <w:sz w:val="21"/>
              </w:rPr>
            </w:pPr>
            <w:r w:rsidRPr="00E67914">
              <w:rPr>
                <w:rFonts w:ascii="Times New Roman" w:hAnsi="Times New Roman"/>
                <w:b/>
                <w:kern w:val="2"/>
                <w:sz w:val="21"/>
              </w:rPr>
              <w:t>类型</w:t>
            </w:r>
          </w:p>
        </w:tc>
        <w:tc>
          <w:tcPr>
            <w:tcW w:w="2437" w:type="pct"/>
            <w:gridSpan w:val="3"/>
            <w:vAlign w:val="center"/>
          </w:tcPr>
          <w:p w14:paraId="0D15E6BE" w14:textId="77777777" w:rsidR="00A54A8A" w:rsidRPr="00E67914" w:rsidRDefault="00000000">
            <w:pPr>
              <w:jc w:val="center"/>
              <w:rPr>
                <w:rFonts w:ascii="Times New Roman" w:hAnsi="Times New Roman"/>
                <w:b/>
                <w:kern w:val="2"/>
                <w:sz w:val="21"/>
              </w:rPr>
            </w:pPr>
            <w:r w:rsidRPr="00E67914">
              <w:rPr>
                <w:rFonts w:ascii="Times New Roman" w:hAnsi="Times New Roman"/>
                <w:b/>
                <w:kern w:val="2"/>
                <w:sz w:val="21"/>
              </w:rPr>
              <w:t>排放量</w:t>
            </w:r>
          </w:p>
        </w:tc>
        <w:tc>
          <w:tcPr>
            <w:tcW w:w="839" w:type="pct"/>
            <w:gridSpan w:val="2"/>
            <w:vAlign w:val="center"/>
          </w:tcPr>
          <w:p w14:paraId="1C41ACB7" w14:textId="77777777" w:rsidR="00A54A8A" w:rsidRPr="00E67914" w:rsidRDefault="00000000">
            <w:pPr>
              <w:adjustRightInd w:val="0"/>
              <w:snapToGrid w:val="0"/>
              <w:jc w:val="center"/>
              <w:rPr>
                <w:rFonts w:ascii="Times New Roman" w:hAnsi="Times New Roman"/>
                <w:b/>
                <w:kern w:val="2"/>
                <w:sz w:val="21"/>
              </w:rPr>
            </w:pPr>
            <w:r w:rsidRPr="00E67914">
              <w:rPr>
                <w:rFonts w:ascii="Times New Roman" w:hAnsi="Times New Roman"/>
                <w:b/>
                <w:kern w:val="2"/>
                <w:sz w:val="21"/>
              </w:rPr>
              <w:t>排气筒</w:t>
            </w:r>
          </w:p>
        </w:tc>
        <w:tc>
          <w:tcPr>
            <w:tcW w:w="392" w:type="pct"/>
            <w:vMerge w:val="restart"/>
            <w:vAlign w:val="center"/>
          </w:tcPr>
          <w:p w14:paraId="1E8BA9F8" w14:textId="77777777" w:rsidR="00A54A8A" w:rsidRPr="00E67914" w:rsidRDefault="00000000">
            <w:pPr>
              <w:adjustRightInd w:val="0"/>
              <w:snapToGrid w:val="0"/>
              <w:jc w:val="center"/>
              <w:rPr>
                <w:rFonts w:ascii="Times New Roman" w:hAnsi="Times New Roman"/>
                <w:b/>
                <w:kern w:val="2"/>
                <w:sz w:val="21"/>
              </w:rPr>
            </w:pPr>
            <w:r w:rsidRPr="00E67914">
              <w:rPr>
                <w:rFonts w:ascii="Times New Roman" w:hAnsi="Times New Roman"/>
                <w:b/>
                <w:kern w:val="2"/>
                <w:sz w:val="21"/>
              </w:rPr>
              <w:t>排烟</w:t>
            </w:r>
          </w:p>
          <w:p w14:paraId="6F045F7D" w14:textId="77777777" w:rsidR="00A54A8A" w:rsidRPr="00E67914" w:rsidRDefault="00000000">
            <w:pPr>
              <w:adjustRightInd w:val="0"/>
              <w:snapToGrid w:val="0"/>
              <w:jc w:val="center"/>
              <w:rPr>
                <w:rFonts w:ascii="Times New Roman" w:hAnsi="Times New Roman"/>
                <w:b/>
                <w:kern w:val="2"/>
                <w:sz w:val="21"/>
              </w:rPr>
            </w:pPr>
            <w:r w:rsidRPr="00E67914">
              <w:rPr>
                <w:rFonts w:ascii="Times New Roman" w:hAnsi="Times New Roman"/>
                <w:b/>
                <w:kern w:val="2"/>
                <w:sz w:val="21"/>
              </w:rPr>
              <w:t>温度</w:t>
            </w:r>
          </w:p>
        </w:tc>
        <w:tc>
          <w:tcPr>
            <w:tcW w:w="831" w:type="pct"/>
            <w:vMerge w:val="restart"/>
            <w:vAlign w:val="center"/>
          </w:tcPr>
          <w:p w14:paraId="15D03ACB" w14:textId="77777777" w:rsidR="00A54A8A" w:rsidRPr="00E67914" w:rsidRDefault="00000000">
            <w:pPr>
              <w:adjustRightInd w:val="0"/>
              <w:snapToGrid w:val="0"/>
              <w:jc w:val="center"/>
              <w:rPr>
                <w:rFonts w:ascii="Times New Roman" w:hAnsi="Times New Roman"/>
                <w:b/>
                <w:kern w:val="2"/>
                <w:sz w:val="21"/>
              </w:rPr>
            </w:pPr>
            <w:r w:rsidRPr="00E67914">
              <w:rPr>
                <w:rFonts w:ascii="Times New Roman" w:hAnsi="Times New Roman"/>
                <w:b/>
                <w:kern w:val="2"/>
                <w:sz w:val="21"/>
              </w:rPr>
              <w:t>排放</w:t>
            </w:r>
          </w:p>
          <w:p w14:paraId="706C454D" w14:textId="77777777" w:rsidR="00A54A8A" w:rsidRPr="00E67914" w:rsidRDefault="00000000">
            <w:pPr>
              <w:adjustRightInd w:val="0"/>
              <w:snapToGrid w:val="0"/>
              <w:jc w:val="center"/>
              <w:rPr>
                <w:rFonts w:ascii="Times New Roman" w:hAnsi="Times New Roman"/>
                <w:b/>
                <w:kern w:val="2"/>
                <w:sz w:val="21"/>
              </w:rPr>
            </w:pPr>
            <w:r w:rsidRPr="00E67914">
              <w:rPr>
                <w:rFonts w:ascii="Times New Roman" w:hAnsi="Times New Roman"/>
                <w:b/>
                <w:kern w:val="2"/>
                <w:sz w:val="21"/>
              </w:rPr>
              <w:t>方式</w:t>
            </w:r>
          </w:p>
        </w:tc>
      </w:tr>
      <w:tr w:rsidR="00E67914" w:rsidRPr="00E67914" w14:paraId="3B9C633D" w14:textId="77777777">
        <w:trPr>
          <w:trHeight w:val="146"/>
          <w:jc w:val="center"/>
        </w:trPr>
        <w:tc>
          <w:tcPr>
            <w:tcW w:w="500" w:type="pct"/>
            <w:vMerge/>
            <w:vAlign w:val="center"/>
          </w:tcPr>
          <w:p w14:paraId="435C227A" w14:textId="77777777" w:rsidR="00A54A8A" w:rsidRPr="00E67914" w:rsidRDefault="00A54A8A">
            <w:pPr>
              <w:jc w:val="center"/>
              <w:rPr>
                <w:rFonts w:ascii="Times New Roman" w:hAnsi="Times New Roman"/>
                <w:bCs/>
                <w:kern w:val="2"/>
                <w:sz w:val="21"/>
              </w:rPr>
            </w:pPr>
          </w:p>
        </w:tc>
        <w:tc>
          <w:tcPr>
            <w:tcW w:w="618" w:type="pct"/>
            <w:vAlign w:val="center"/>
          </w:tcPr>
          <w:p w14:paraId="40A36FCC" w14:textId="77777777" w:rsidR="00A54A8A" w:rsidRPr="00E67914" w:rsidRDefault="00000000">
            <w:pPr>
              <w:jc w:val="center"/>
              <w:rPr>
                <w:rFonts w:ascii="Times New Roman" w:hAnsi="Times New Roman"/>
                <w:b/>
                <w:kern w:val="2"/>
                <w:sz w:val="21"/>
              </w:rPr>
            </w:pPr>
            <w:r w:rsidRPr="00E67914">
              <w:rPr>
                <w:rFonts w:ascii="Times New Roman" w:hAnsi="Times New Roman"/>
                <w:b/>
                <w:kern w:val="2"/>
                <w:sz w:val="21"/>
              </w:rPr>
              <w:t>项目</w:t>
            </w:r>
          </w:p>
        </w:tc>
        <w:tc>
          <w:tcPr>
            <w:tcW w:w="534" w:type="pct"/>
            <w:vAlign w:val="center"/>
          </w:tcPr>
          <w:p w14:paraId="5904B7E7" w14:textId="77777777" w:rsidR="00A54A8A" w:rsidRPr="00E67914" w:rsidRDefault="00000000">
            <w:pPr>
              <w:jc w:val="center"/>
              <w:rPr>
                <w:rFonts w:ascii="Times New Roman" w:hAnsi="Times New Roman"/>
                <w:b/>
                <w:kern w:val="2"/>
                <w:sz w:val="21"/>
              </w:rPr>
            </w:pPr>
            <w:r w:rsidRPr="00E67914">
              <w:rPr>
                <w:rFonts w:ascii="Times New Roman" w:hAnsi="Times New Roman"/>
                <w:b/>
                <w:kern w:val="2"/>
                <w:sz w:val="21"/>
              </w:rPr>
              <w:t>排放浓度</w:t>
            </w:r>
          </w:p>
        </w:tc>
        <w:tc>
          <w:tcPr>
            <w:tcW w:w="1285" w:type="pct"/>
            <w:vAlign w:val="center"/>
          </w:tcPr>
          <w:p w14:paraId="25100E1C" w14:textId="77777777" w:rsidR="00A54A8A" w:rsidRPr="00E67914" w:rsidRDefault="00000000">
            <w:pPr>
              <w:jc w:val="center"/>
              <w:rPr>
                <w:rFonts w:ascii="Times New Roman" w:hAnsi="Times New Roman"/>
                <w:b/>
                <w:kern w:val="2"/>
                <w:sz w:val="21"/>
              </w:rPr>
            </w:pPr>
            <w:r w:rsidRPr="00E67914">
              <w:rPr>
                <w:rFonts w:ascii="Times New Roman" w:hAnsi="Times New Roman"/>
                <w:b/>
                <w:kern w:val="2"/>
                <w:sz w:val="21"/>
              </w:rPr>
              <w:t>排放强度</w:t>
            </w:r>
          </w:p>
        </w:tc>
        <w:tc>
          <w:tcPr>
            <w:tcW w:w="388" w:type="pct"/>
            <w:vAlign w:val="center"/>
          </w:tcPr>
          <w:p w14:paraId="73F9FEF1" w14:textId="77777777" w:rsidR="00A54A8A" w:rsidRPr="00E67914" w:rsidRDefault="00000000">
            <w:pPr>
              <w:adjustRightInd w:val="0"/>
              <w:snapToGrid w:val="0"/>
              <w:jc w:val="center"/>
              <w:rPr>
                <w:rFonts w:ascii="Times New Roman" w:hAnsi="Times New Roman"/>
                <w:b/>
                <w:kern w:val="2"/>
                <w:sz w:val="21"/>
              </w:rPr>
            </w:pPr>
            <w:r w:rsidRPr="00E67914">
              <w:rPr>
                <w:rFonts w:ascii="Times New Roman" w:hAnsi="Times New Roman"/>
                <w:b/>
                <w:kern w:val="2"/>
                <w:sz w:val="21"/>
              </w:rPr>
              <w:t>高度</w:t>
            </w:r>
          </w:p>
        </w:tc>
        <w:tc>
          <w:tcPr>
            <w:tcW w:w="452" w:type="pct"/>
            <w:vAlign w:val="center"/>
          </w:tcPr>
          <w:p w14:paraId="58B65B49" w14:textId="77777777" w:rsidR="00A54A8A" w:rsidRPr="00E67914" w:rsidRDefault="00000000">
            <w:pPr>
              <w:adjustRightInd w:val="0"/>
              <w:snapToGrid w:val="0"/>
              <w:jc w:val="center"/>
              <w:rPr>
                <w:rFonts w:ascii="Times New Roman" w:hAnsi="Times New Roman"/>
                <w:b/>
                <w:kern w:val="2"/>
                <w:sz w:val="21"/>
              </w:rPr>
            </w:pPr>
            <w:r w:rsidRPr="00E67914">
              <w:rPr>
                <w:rFonts w:ascii="Times New Roman" w:hAnsi="Times New Roman"/>
                <w:b/>
                <w:kern w:val="2"/>
                <w:sz w:val="21"/>
              </w:rPr>
              <w:t>内径</w:t>
            </w:r>
          </w:p>
        </w:tc>
        <w:tc>
          <w:tcPr>
            <w:tcW w:w="392" w:type="pct"/>
            <w:vMerge/>
            <w:vAlign w:val="center"/>
          </w:tcPr>
          <w:p w14:paraId="66D8E38C" w14:textId="77777777" w:rsidR="00A54A8A" w:rsidRPr="00E67914" w:rsidRDefault="00A54A8A">
            <w:pPr>
              <w:jc w:val="center"/>
              <w:rPr>
                <w:rFonts w:ascii="Times New Roman" w:hAnsi="Times New Roman"/>
                <w:bCs/>
                <w:kern w:val="2"/>
                <w:sz w:val="21"/>
              </w:rPr>
            </w:pPr>
          </w:p>
        </w:tc>
        <w:tc>
          <w:tcPr>
            <w:tcW w:w="831" w:type="pct"/>
            <w:vMerge/>
            <w:vAlign w:val="center"/>
          </w:tcPr>
          <w:p w14:paraId="299E5E82" w14:textId="77777777" w:rsidR="00A54A8A" w:rsidRPr="00E67914" w:rsidRDefault="00A54A8A">
            <w:pPr>
              <w:jc w:val="center"/>
              <w:rPr>
                <w:rFonts w:ascii="Times New Roman" w:hAnsi="Times New Roman"/>
                <w:bCs/>
                <w:kern w:val="2"/>
                <w:sz w:val="21"/>
              </w:rPr>
            </w:pPr>
          </w:p>
        </w:tc>
      </w:tr>
      <w:tr w:rsidR="00E67914" w:rsidRPr="00E67914" w14:paraId="022044F4" w14:textId="77777777">
        <w:trPr>
          <w:trHeight w:val="366"/>
          <w:jc w:val="center"/>
        </w:trPr>
        <w:tc>
          <w:tcPr>
            <w:tcW w:w="500" w:type="pct"/>
            <w:vMerge w:val="restart"/>
            <w:vAlign w:val="center"/>
          </w:tcPr>
          <w:p w14:paraId="7997F5F8" w14:textId="77777777" w:rsidR="00A54A8A" w:rsidRPr="00E67914" w:rsidRDefault="00000000">
            <w:pPr>
              <w:jc w:val="center"/>
              <w:rPr>
                <w:rFonts w:ascii="Times New Roman" w:hAnsi="Times New Roman"/>
                <w:bCs/>
                <w:kern w:val="2"/>
                <w:sz w:val="21"/>
              </w:rPr>
            </w:pPr>
            <w:r w:rsidRPr="00E67914">
              <w:rPr>
                <w:rFonts w:ascii="Times New Roman" w:hAnsi="Times New Roman"/>
                <w:kern w:val="2"/>
                <w:sz w:val="21"/>
              </w:rPr>
              <w:t>水套</w:t>
            </w:r>
            <w:r w:rsidRPr="00E67914">
              <w:rPr>
                <w:rFonts w:ascii="Times New Roman" w:hAnsi="Times New Roman"/>
                <w:kern w:val="2"/>
                <w:sz w:val="21"/>
                <w:lang w:eastAsia="zh-CN"/>
              </w:rPr>
              <w:t>加热</w:t>
            </w:r>
            <w:r w:rsidRPr="00E67914">
              <w:rPr>
                <w:rFonts w:ascii="Times New Roman" w:hAnsi="Times New Roman"/>
                <w:kern w:val="2"/>
                <w:sz w:val="21"/>
              </w:rPr>
              <w:t>炉</w:t>
            </w:r>
            <w:r w:rsidRPr="00E67914">
              <w:rPr>
                <w:rFonts w:ascii="Times New Roman" w:hAnsi="Times New Roman"/>
                <w:bCs/>
                <w:kern w:val="2"/>
                <w:sz w:val="21"/>
              </w:rPr>
              <w:t>燃烧废气</w:t>
            </w:r>
          </w:p>
        </w:tc>
        <w:tc>
          <w:tcPr>
            <w:tcW w:w="618" w:type="pct"/>
            <w:vAlign w:val="center"/>
          </w:tcPr>
          <w:p w14:paraId="55C430FD" w14:textId="77777777" w:rsidR="00A54A8A" w:rsidRPr="00E67914" w:rsidRDefault="00000000">
            <w:pPr>
              <w:jc w:val="center"/>
              <w:rPr>
                <w:rFonts w:ascii="Times New Roman" w:hAnsi="Times New Roman"/>
                <w:bCs/>
                <w:kern w:val="2"/>
                <w:sz w:val="21"/>
              </w:rPr>
            </w:pPr>
            <w:r w:rsidRPr="00E67914">
              <w:rPr>
                <w:rFonts w:ascii="Times New Roman" w:hAnsi="Times New Roman"/>
                <w:kern w:val="2"/>
                <w:sz w:val="21"/>
              </w:rPr>
              <w:t>烟气流量</w:t>
            </w:r>
          </w:p>
        </w:tc>
        <w:tc>
          <w:tcPr>
            <w:tcW w:w="534" w:type="pct"/>
            <w:vAlign w:val="center"/>
          </w:tcPr>
          <w:p w14:paraId="62984A87" w14:textId="77777777" w:rsidR="00A54A8A" w:rsidRPr="00E67914" w:rsidRDefault="00000000">
            <w:pPr>
              <w:jc w:val="center"/>
              <w:rPr>
                <w:rFonts w:ascii="Times New Roman" w:hAnsi="Times New Roman"/>
                <w:bCs/>
                <w:kern w:val="2"/>
                <w:sz w:val="21"/>
              </w:rPr>
            </w:pPr>
            <w:r w:rsidRPr="00E67914">
              <w:rPr>
                <w:rFonts w:ascii="Times New Roman" w:hAnsi="Times New Roman"/>
                <w:bCs/>
                <w:kern w:val="2"/>
                <w:sz w:val="21"/>
              </w:rPr>
              <w:t>/</w:t>
            </w:r>
          </w:p>
        </w:tc>
        <w:tc>
          <w:tcPr>
            <w:tcW w:w="1285" w:type="pct"/>
            <w:vAlign w:val="center"/>
          </w:tcPr>
          <w:p w14:paraId="076FF71C" w14:textId="77777777" w:rsidR="00A54A8A" w:rsidRPr="00E67914" w:rsidRDefault="00000000">
            <w:pPr>
              <w:jc w:val="center"/>
              <w:rPr>
                <w:rFonts w:ascii="Times New Roman" w:hAnsi="Times New Roman"/>
                <w:bCs/>
                <w:kern w:val="2"/>
                <w:sz w:val="21"/>
              </w:rPr>
            </w:pPr>
            <w:r w:rsidRPr="00E67914">
              <w:rPr>
                <w:rFonts w:ascii="Times New Roman" w:hAnsi="Times New Roman"/>
                <w:kern w:val="2"/>
                <w:sz w:val="21"/>
              </w:rPr>
              <w:t>140.01</w:t>
            </w:r>
            <w:r w:rsidRPr="00E67914">
              <w:rPr>
                <w:rFonts w:ascii="Times New Roman" w:hAnsi="Times New Roman"/>
                <w:kern w:val="2"/>
                <w:sz w:val="21"/>
              </w:rPr>
              <w:t>万</w:t>
            </w:r>
            <w:r w:rsidRPr="00E67914">
              <w:rPr>
                <w:rFonts w:ascii="Times New Roman" w:hAnsi="Times New Roman"/>
                <w:kern w:val="2"/>
                <w:sz w:val="21"/>
              </w:rPr>
              <w:t>Nm</w:t>
            </w:r>
            <w:r w:rsidRPr="00E67914">
              <w:rPr>
                <w:rFonts w:ascii="Times New Roman" w:hAnsi="Times New Roman"/>
                <w:kern w:val="2"/>
                <w:sz w:val="21"/>
                <w:vertAlign w:val="superscript"/>
              </w:rPr>
              <w:t>3</w:t>
            </w:r>
            <w:r w:rsidRPr="00E67914">
              <w:rPr>
                <w:rFonts w:ascii="Times New Roman" w:hAnsi="Times New Roman"/>
                <w:kern w:val="2"/>
                <w:sz w:val="21"/>
              </w:rPr>
              <w:t>/a</w:t>
            </w:r>
          </w:p>
        </w:tc>
        <w:tc>
          <w:tcPr>
            <w:tcW w:w="388" w:type="pct"/>
            <w:vMerge w:val="restart"/>
            <w:vAlign w:val="center"/>
          </w:tcPr>
          <w:p w14:paraId="6D67AD62" w14:textId="77777777" w:rsidR="00A54A8A" w:rsidRPr="00E67914" w:rsidRDefault="00000000">
            <w:pPr>
              <w:adjustRightInd w:val="0"/>
              <w:snapToGrid w:val="0"/>
              <w:jc w:val="center"/>
              <w:rPr>
                <w:rFonts w:ascii="Times New Roman" w:hAnsi="Times New Roman"/>
                <w:bCs/>
                <w:kern w:val="2"/>
                <w:sz w:val="21"/>
              </w:rPr>
            </w:pPr>
            <w:r w:rsidRPr="00E67914">
              <w:rPr>
                <w:rFonts w:ascii="Times New Roman" w:hAnsi="Times New Roman"/>
                <w:bCs/>
                <w:kern w:val="2"/>
                <w:sz w:val="21"/>
              </w:rPr>
              <w:t>8m</w:t>
            </w:r>
          </w:p>
        </w:tc>
        <w:tc>
          <w:tcPr>
            <w:tcW w:w="452" w:type="pct"/>
            <w:vMerge w:val="restart"/>
            <w:vAlign w:val="center"/>
          </w:tcPr>
          <w:p w14:paraId="3D737BFE" w14:textId="77777777" w:rsidR="00A54A8A" w:rsidRPr="00E67914" w:rsidRDefault="00000000">
            <w:pPr>
              <w:adjustRightInd w:val="0"/>
              <w:snapToGrid w:val="0"/>
              <w:jc w:val="center"/>
              <w:rPr>
                <w:rFonts w:ascii="Times New Roman" w:hAnsi="Times New Roman"/>
                <w:bCs/>
                <w:kern w:val="2"/>
                <w:sz w:val="21"/>
              </w:rPr>
            </w:pPr>
            <w:r w:rsidRPr="00E67914">
              <w:rPr>
                <w:rFonts w:ascii="Times New Roman" w:hAnsi="Times New Roman"/>
                <w:bCs/>
                <w:kern w:val="2"/>
                <w:sz w:val="21"/>
              </w:rPr>
              <w:t>0.20m</w:t>
            </w:r>
          </w:p>
        </w:tc>
        <w:tc>
          <w:tcPr>
            <w:tcW w:w="392" w:type="pct"/>
            <w:vMerge w:val="restart"/>
            <w:vAlign w:val="center"/>
          </w:tcPr>
          <w:p w14:paraId="12688EA0" w14:textId="77777777" w:rsidR="00A54A8A" w:rsidRPr="00E67914" w:rsidRDefault="00000000">
            <w:pPr>
              <w:jc w:val="center"/>
              <w:rPr>
                <w:rFonts w:ascii="Times New Roman" w:hAnsi="Times New Roman"/>
                <w:bCs/>
                <w:kern w:val="2"/>
                <w:sz w:val="21"/>
              </w:rPr>
            </w:pPr>
            <w:r w:rsidRPr="00E67914">
              <w:rPr>
                <w:rFonts w:ascii="Times New Roman" w:hAnsi="Times New Roman"/>
                <w:bCs/>
                <w:kern w:val="2"/>
                <w:sz w:val="21"/>
              </w:rPr>
              <w:t>150</w:t>
            </w:r>
          </w:p>
        </w:tc>
        <w:tc>
          <w:tcPr>
            <w:tcW w:w="831" w:type="pct"/>
            <w:vMerge w:val="restart"/>
            <w:vAlign w:val="center"/>
          </w:tcPr>
          <w:p w14:paraId="50345150" w14:textId="38C82422" w:rsidR="00A54A8A" w:rsidRPr="00E67914" w:rsidRDefault="00000000">
            <w:pPr>
              <w:jc w:val="center"/>
              <w:rPr>
                <w:rFonts w:ascii="Times New Roman" w:hAnsi="Times New Roman"/>
                <w:bCs/>
                <w:kern w:val="2"/>
                <w:sz w:val="21"/>
                <w:lang w:eastAsia="zh-CN"/>
              </w:rPr>
            </w:pPr>
            <w:r w:rsidRPr="00E67914">
              <w:rPr>
                <w:rFonts w:ascii="Times New Roman" w:hAnsi="Times New Roman"/>
                <w:bCs/>
                <w:kern w:val="2"/>
                <w:sz w:val="21"/>
                <w:lang w:eastAsia="zh-CN"/>
              </w:rPr>
              <w:t>有组织排放，连续</w:t>
            </w:r>
            <w:r w:rsidRPr="00E67914">
              <w:rPr>
                <w:rFonts w:ascii="Times New Roman" w:hAnsi="Times New Roman"/>
                <w:bCs/>
                <w:kern w:val="2"/>
                <w:sz w:val="21"/>
                <w:lang w:eastAsia="zh-CN"/>
              </w:rPr>
              <w:t>24</w:t>
            </w:r>
            <w:r w:rsidRPr="00E67914">
              <w:rPr>
                <w:rFonts w:ascii="Times New Roman" w:hAnsi="Times New Roman"/>
                <w:bCs/>
                <w:kern w:val="2"/>
                <w:sz w:val="21"/>
                <w:lang w:eastAsia="zh-CN"/>
              </w:rPr>
              <w:t>小时，年</w:t>
            </w:r>
            <w:r w:rsidRPr="00E67914">
              <w:rPr>
                <w:rFonts w:ascii="Times New Roman" w:hAnsi="Times New Roman"/>
                <w:bCs/>
                <w:kern w:val="2"/>
                <w:sz w:val="21"/>
                <w:lang w:eastAsia="zh-CN"/>
              </w:rPr>
              <w:t>3</w:t>
            </w:r>
            <w:r w:rsidR="0070312E" w:rsidRPr="00E67914">
              <w:rPr>
                <w:rFonts w:ascii="Times New Roman" w:hAnsi="Times New Roman"/>
                <w:bCs/>
                <w:kern w:val="2"/>
                <w:sz w:val="21"/>
                <w:lang w:eastAsia="zh-CN"/>
              </w:rPr>
              <w:t>65</w:t>
            </w:r>
            <w:r w:rsidRPr="00E67914">
              <w:rPr>
                <w:rFonts w:ascii="Times New Roman" w:hAnsi="Times New Roman"/>
                <w:bCs/>
                <w:kern w:val="2"/>
                <w:sz w:val="21"/>
                <w:lang w:eastAsia="zh-CN"/>
              </w:rPr>
              <w:t>天</w:t>
            </w:r>
          </w:p>
        </w:tc>
      </w:tr>
      <w:tr w:rsidR="00E67914" w:rsidRPr="00E67914" w14:paraId="3745428B" w14:textId="77777777">
        <w:trPr>
          <w:trHeight w:val="430"/>
          <w:jc w:val="center"/>
        </w:trPr>
        <w:tc>
          <w:tcPr>
            <w:tcW w:w="500" w:type="pct"/>
            <w:vMerge/>
            <w:vAlign w:val="center"/>
          </w:tcPr>
          <w:p w14:paraId="2B0204C8" w14:textId="77777777" w:rsidR="00A54A8A" w:rsidRPr="00E67914" w:rsidRDefault="00A54A8A">
            <w:pPr>
              <w:jc w:val="center"/>
              <w:rPr>
                <w:rFonts w:ascii="Times New Roman" w:hAnsi="Times New Roman"/>
                <w:kern w:val="2"/>
                <w:sz w:val="21"/>
                <w:lang w:eastAsia="zh-CN"/>
              </w:rPr>
            </w:pPr>
          </w:p>
        </w:tc>
        <w:tc>
          <w:tcPr>
            <w:tcW w:w="618" w:type="pct"/>
            <w:vAlign w:val="center"/>
          </w:tcPr>
          <w:p w14:paraId="077E32B8"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NOx</w:t>
            </w:r>
          </w:p>
        </w:tc>
        <w:tc>
          <w:tcPr>
            <w:tcW w:w="534" w:type="pct"/>
            <w:vAlign w:val="center"/>
          </w:tcPr>
          <w:p w14:paraId="0F6C80F5" w14:textId="77777777" w:rsidR="00A54A8A" w:rsidRPr="00E67914" w:rsidRDefault="00000000">
            <w:pPr>
              <w:jc w:val="center"/>
              <w:rPr>
                <w:rFonts w:ascii="Times New Roman" w:hAnsi="Times New Roman"/>
                <w:bCs/>
                <w:kern w:val="2"/>
                <w:sz w:val="21"/>
              </w:rPr>
            </w:pPr>
            <w:r w:rsidRPr="00E67914">
              <w:rPr>
                <w:rFonts w:ascii="Times New Roman" w:hAnsi="Times New Roman"/>
                <w:kern w:val="2"/>
                <w:sz w:val="21"/>
              </w:rPr>
              <w:t>59.50mg/m</w:t>
            </w:r>
            <w:r w:rsidRPr="00E67914">
              <w:rPr>
                <w:rFonts w:ascii="Times New Roman" w:hAnsi="Times New Roman"/>
                <w:kern w:val="2"/>
                <w:sz w:val="21"/>
                <w:vertAlign w:val="superscript"/>
              </w:rPr>
              <w:t>3</w:t>
            </w:r>
          </w:p>
        </w:tc>
        <w:tc>
          <w:tcPr>
            <w:tcW w:w="1285" w:type="pct"/>
            <w:vAlign w:val="center"/>
          </w:tcPr>
          <w:p w14:paraId="509BEEC0" w14:textId="056A20A7" w:rsidR="00A54A8A" w:rsidRPr="00E67914" w:rsidRDefault="00000000">
            <w:pPr>
              <w:jc w:val="center"/>
              <w:rPr>
                <w:rFonts w:ascii="Times New Roman" w:hAnsi="Times New Roman"/>
                <w:bCs/>
                <w:kern w:val="2"/>
                <w:sz w:val="21"/>
              </w:rPr>
            </w:pPr>
            <w:r w:rsidRPr="00E67914">
              <w:rPr>
                <w:rFonts w:ascii="Times New Roman" w:hAnsi="Times New Roman"/>
                <w:kern w:val="2"/>
                <w:sz w:val="21"/>
              </w:rPr>
              <w:t>0.085t/a</w:t>
            </w:r>
            <w:r w:rsidRPr="00E67914">
              <w:rPr>
                <w:rFonts w:ascii="Times New Roman" w:hAnsi="Times New Roman"/>
                <w:kern w:val="2"/>
                <w:sz w:val="21"/>
              </w:rPr>
              <w:t>；</w:t>
            </w:r>
            <w:r w:rsidRPr="00E67914">
              <w:rPr>
                <w:rFonts w:ascii="Times New Roman" w:hAnsi="Times New Roman"/>
                <w:kern w:val="2"/>
                <w:sz w:val="21"/>
                <w:lang w:eastAsia="zh-CN"/>
              </w:rPr>
              <w:t>0.009</w:t>
            </w:r>
            <w:r w:rsidR="00F34877" w:rsidRPr="00E67914">
              <w:rPr>
                <w:rFonts w:ascii="Times New Roman" w:hAnsi="Times New Roman"/>
                <w:kern w:val="2"/>
                <w:sz w:val="21"/>
                <w:lang w:eastAsia="zh-CN"/>
              </w:rPr>
              <w:t>7</w:t>
            </w:r>
            <w:r w:rsidRPr="00E67914">
              <w:rPr>
                <w:rFonts w:ascii="Times New Roman" w:hAnsi="Times New Roman"/>
                <w:kern w:val="2"/>
                <w:sz w:val="21"/>
              </w:rPr>
              <w:t>kg/h</w:t>
            </w:r>
          </w:p>
        </w:tc>
        <w:tc>
          <w:tcPr>
            <w:tcW w:w="388" w:type="pct"/>
            <w:vMerge/>
            <w:vAlign w:val="center"/>
          </w:tcPr>
          <w:p w14:paraId="09231AFD" w14:textId="77777777" w:rsidR="00A54A8A" w:rsidRPr="00E67914" w:rsidRDefault="00A54A8A">
            <w:pPr>
              <w:adjustRightInd w:val="0"/>
              <w:snapToGrid w:val="0"/>
              <w:jc w:val="center"/>
              <w:rPr>
                <w:rFonts w:ascii="Times New Roman" w:hAnsi="Times New Roman"/>
                <w:bCs/>
                <w:kern w:val="2"/>
                <w:sz w:val="21"/>
              </w:rPr>
            </w:pPr>
          </w:p>
        </w:tc>
        <w:tc>
          <w:tcPr>
            <w:tcW w:w="452" w:type="pct"/>
            <w:vMerge/>
            <w:vAlign w:val="center"/>
          </w:tcPr>
          <w:p w14:paraId="22CF0A38" w14:textId="77777777" w:rsidR="00A54A8A" w:rsidRPr="00E67914" w:rsidRDefault="00A54A8A">
            <w:pPr>
              <w:adjustRightInd w:val="0"/>
              <w:snapToGrid w:val="0"/>
              <w:jc w:val="center"/>
              <w:rPr>
                <w:rFonts w:ascii="Times New Roman" w:hAnsi="Times New Roman"/>
                <w:bCs/>
                <w:kern w:val="2"/>
                <w:sz w:val="21"/>
              </w:rPr>
            </w:pPr>
          </w:p>
        </w:tc>
        <w:tc>
          <w:tcPr>
            <w:tcW w:w="392" w:type="pct"/>
            <w:vMerge/>
            <w:vAlign w:val="center"/>
          </w:tcPr>
          <w:p w14:paraId="7BC7C38F" w14:textId="77777777" w:rsidR="00A54A8A" w:rsidRPr="00E67914" w:rsidRDefault="00A54A8A">
            <w:pPr>
              <w:jc w:val="center"/>
              <w:rPr>
                <w:rFonts w:ascii="Times New Roman" w:hAnsi="Times New Roman"/>
                <w:bCs/>
                <w:kern w:val="2"/>
                <w:sz w:val="21"/>
              </w:rPr>
            </w:pPr>
          </w:p>
        </w:tc>
        <w:tc>
          <w:tcPr>
            <w:tcW w:w="831" w:type="pct"/>
            <w:vMerge/>
            <w:vAlign w:val="center"/>
          </w:tcPr>
          <w:p w14:paraId="39A62E26" w14:textId="77777777" w:rsidR="00A54A8A" w:rsidRPr="00E67914" w:rsidRDefault="00A54A8A">
            <w:pPr>
              <w:jc w:val="center"/>
              <w:rPr>
                <w:rFonts w:ascii="Times New Roman" w:hAnsi="Times New Roman"/>
                <w:bCs/>
                <w:kern w:val="2"/>
                <w:sz w:val="21"/>
              </w:rPr>
            </w:pPr>
          </w:p>
        </w:tc>
      </w:tr>
      <w:tr w:rsidR="00E67914" w:rsidRPr="00E67914" w14:paraId="65D81454" w14:textId="77777777">
        <w:trPr>
          <w:trHeight w:val="430"/>
          <w:jc w:val="center"/>
        </w:trPr>
        <w:tc>
          <w:tcPr>
            <w:tcW w:w="500" w:type="pct"/>
            <w:vMerge/>
            <w:vAlign w:val="center"/>
          </w:tcPr>
          <w:p w14:paraId="10383855" w14:textId="77777777" w:rsidR="005A0E0A" w:rsidRPr="00E67914" w:rsidRDefault="005A0E0A" w:rsidP="005A0E0A">
            <w:pPr>
              <w:jc w:val="center"/>
              <w:rPr>
                <w:rFonts w:ascii="Times New Roman" w:hAnsi="Times New Roman"/>
                <w:kern w:val="2"/>
                <w:sz w:val="21"/>
                <w:lang w:eastAsia="zh-CN"/>
              </w:rPr>
            </w:pPr>
          </w:p>
        </w:tc>
        <w:tc>
          <w:tcPr>
            <w:tcW w:w="618" w:type="pct"/>
            <w:vAlign w:val="center"/>
          </w:tcPr>
          <w:p w14:paraId="57D5C5F5" w14:textId="768AF203" w:rsidR="005A0E0A" w:rsidRPr="00E67914" w:rsidRDefault="005A0E0A" w:rsidP="005A0E0A">
            <w:pPr>
              <w:jc w:val="center"/>
              <w:rPr>
                <w:rFonts w:ascii="Times New Roman" w:hAnsi="Times New Roman"/>
                <w:kern w:val="2"/>
                <w:sz w:val="21"/>
              </w:rPr>
            </w:pPr>
            <w:r w:rsidRPr="00E67914">
              <w:rPr>
                <w:rFonts w:ascii="Times New Roman" w:hAnsi="Times New Roman"/>
                <w:kern w:val="2"/>
                <w:sz w:val="21"/>
              </w:rPr>
              <w:t>烟尘</w:t>
            </w:r>
          </w:p>
        </w:tc>
        <w:tc>
          <w:tcPr>
            <w:tcW w:w="534" w:type="pct"/>
            <w:vAlign w:val="center"/>
          </w:tcPr>
          <w:p w14:paraId="3F1820DF" w14:textId="4B736157" w:rsidR="005A0E0A" w:rsidRPr="00E67914" w:rsidRDefault="005A0E0A" w:rsidP="005A0E0A">
            <w:pPr>
              <w:jc w:val="center"/>
              <w:rPr>
                <w:rFonts w:ascii="Times New Roman" w:hAnsi="Times New Roman"/>
                <w:kern w:val="2"/>
                <w:sz w:val="21"/>
              </w:rPr>
            </w:pPr>
            <w:r w:rsidRPr="00E67914">
              <w:rPr>
                <w:rFonts w:ascii="Times New Roman" w:hAnsi="Times New Roman"/>
                <w:kern w:val="2"/>
                <w:sz w:val="21"/>
              </w:rPr>
              <w:t>9.09mg/m</w:t>
            </w:r>
            <w:r w:rsidRPr="00E67914">
              <w:rPr>
                <w:rFonts w:ascii="Times New Roman" w:hAnsi="Times New Roman"/>
                <w:kern w:val="2"/>
                <w:sz w:val="21"/>
                <w:vertAlign w:val="superscript"/>
              </w:rPr>
              <w:t>3</w:t>
            </w:r>
          </w:p>
        </w:tc>
        <w:tc>
          <w:tcPr>
            <w:tcW w:w="1285" w:type="pct"/>
            <w:vAlign w:val="center"/>
          </w:tcPr>
          <w:p w14:paraId="1BB1CED3" w14:textId="246A1103" w:rsidR="005A0E0A" w:rsidRPr="00E67914" w:rsidRDefault="005A0E0A" w:rsidP="005A0E0A">
            <w:pPr>
              <w:jc w:val="center"/>
              <w:rPr>
                <w:rFonts w:ascii="Times New Roman" w:hAnsi="Times New Roman"/>
                <w:kern w:val="2"/>
                <w:sz w:val="21"/>
              </w:rPr>
            </w:pPr>
            <w:r w:rsidRPr="00E67914">
              <w:rPr>
                <w:rFonts w:ascii="Times New Roman" w:hAnsi="Times New Roman"/>
                <w:kern w:val="2"/>
                <w:sz w:val="21"/>
              </w:rPr>
              <w:t>0.013t/a</w:t>
            </w:r>
            <w:r w:rsidRPr="00E67914">
              <w:rPr>
                <w:rFonts w:ascii="Times New Roman" w:hAnsi="Times New Roman"/>
                <w:kern w:val="2"/>
                <w:sz w:val="21"/>
              </w:rPr>
              <w:t>；</w:t>
            </w:r>
            <w:r w:rsidRPr="00E67914">
              <w:rPr>
                <w:rFonts w:ascii="Times New Roman" w:hAnsi="Times New Roman"/>
                <w:kern w:val="2"/>
                <w:sz w:val="21"/>
              </w:rPr>
              <w:t>0.0015kg/h</w:t>
            </w:r>
          </w:p>
        </w:tc>
        <w:tc>
          <w:tcPr>
            <w:tcW w:w="388" w:type="pct"/>
            <w:vMerge/>
            <w:vAlign w:val="center"/>
          </w:tcPr>
          <w:p w14:paraId="0F5836E4" w14:textId="77777777" w:rsidR="005A0E0A" w:rsidRPr="00E67914" w:rsidRDefault="005A0E0A" w:rsidP="005A0E0A">
            <w:pPr>
              <w:adjustRightInd w:val="0"/>
              <w:snapToGrid w:val="0"/>
              <w:jc w:val="center"/>
              <w:rPr>
                <w:rFonts w:ascii="Times New Roman" w:hAnsi="Times New Roman"/>
                <w:bCs/>
                <w:kern w:val="2"/>
                <w:sz w:val="21"/>
              </w:rPr>
            </w:pPr>
          </w:p>
        </w:tc>
        <w:tc>
          <w:tcPr>
            <w:tcW w:w="452" w:type="pct"/>
            <w:vMerge/>
            <w:vAlign w:val="center"/>
          </w:tcPr>
          <w:p w14:paraId="463E922F" w14:textId="77777777" w:rsidR="005A0E0A" w:rsidRPr="00E67914" w:rsidRDefault="005A0E0A" w:rsidP="005A0E0A">
            <w:pPr>
              <w:adjustRightInd w:val="0"/>
              <w:snapToGrid w:val="0"/>
              <w:jc w:val="center"/>
              <w:rPr>
                <w:rFonts w:ascii="Times New Roman" w:hAnsi="Times New Roman"/>
                <w:bCs/>
                <w:kern w:val="2"/>
                <w:sz w:val="21"/>
              </w:rPr>
            </w:pPr>
          </w:p>
        </w:tc>
        <w:tc>
          <w:tcPr>
            <w:tcW w:w="392" w:type="pct"/>
            <w:vMerge/>
            <w:vAlign w:val="center"/>
          </w:tcPr>
          <w:p w14:paraId="697AE83E" w14:textId="77777777" w:rsidR="005A0E0A" w:rsidRPr="00E67914" w:rsidRDefault="005A0E0A" w:rsidP="005A0E0A">
            <w:pPr>
              <w:jc w:val="center"/>
              <w:rPr>
                <w:rFonts w:ascii="Times New Roman" w:hAnsi="Times New Roman"/>
                <w:bCs/>
                <w:kern w:val="2"/>
                <w:sz w:val="21"/>
              </w:rPr>
            </w:pPr>
          </w:p>
        </w:tc>
        <w:tc>
          <w:tcPr>
            <w:tcW w:w="831" w:type="pct"/>
            <w:vMerge/>
            <w:vAlign w:val="center"/>
          </w:tcPr>
          <w:p w14:paraId="2B2C8431" w14:textId="77777777" w:rsidR="005A0E0A" w:rsidRPr="00E67914" w:rsidRDefault="005A0E0A" w:rsidP="005A0E0A">
            <w:pPr>
              <w:jc w:val="center"/>
              <w:rPr>
                <w:rFonts w:ascii="Times New Roman" w:hAnsi="Times New Roman"/>
                <w:bCs/>
                <w:kern w:val="2"/>
                <w:sz w:val="21"/>
              </w:rPr>
            </w:pPr>
          </w:p>
        </w:tc>
      </w:tr>
      <w:tr w:rsidR="00E67914" w:rsidRPr="00E67914" w14:paraId="416F004E" w14:textId="77777777">
        <w:trPr>
          <w:trHeight w:val="420"/>
          <w:jc w:val="center"/>
        </w:trPr>
        <w:tc>
          <w:tcPr>
            <w:tcW w:w="500" w:type="pct"/>
            <w:vMerge/>
            <w:vAlign w:val="center"/>
          </w:tcPr>
          <w:p w14:paraId="7716A70F" w14:textId="77777777" w:rsidR="005A0E0A" w:rsidRPr="00E67914" w:rsidRDefault="005A0E0A" w:rsidP="005A0E0A">
            <w:pPr>
              <w:jc w:val="center"/>
              <w:rPr>
                <w:rFonts w:ascii="Times New Roman" w:hAnsi="Times New Roman"/>
                <w:kern w:val="2"/>
                <w:sz w:val="21"/>
              </w:rPr>
            </w:pPr>
          </w:p>
        </w:tc>
        <w:tc>
          <w:tcPr>
            <w:tcW w:w="618" w:type="pct"/>
            <w:vAlign w:val="center"/>
          </w:tcPr>
          <w:p w14:paraId="3B13DF1D" w14:textId="79A10757" w:rsidR="005A0E0A" w:rsidRPr="00E67914" w:rsidRDefault="005A0E0A" w:rsidP="005A0E0A">
            <w:pPr>
              <w:jc w:val="center"/>
              <w:rPr>
                <w:rFonts w:ascii="Times New Roman" w:hAnsi="Times New Roman"/>
                <w:kern w:val="2"/>
                <w:sz w:val="21"/>
              </w:rPr>
            </w:pPr>
            <w:r w:rsidRPr="00E67914">
              <w:rPr>
                <w:rFonts w:ascii="Times New Roman" w:hAnsi="Times New Roman"/>
                <w:bCs/>
                <w:kern w:val="2"/>
                <w:sz w:val="21"/>
              </w:rPr>
              <w:t>SO</w:t>
            </w:r>
            <w:r w:rsidRPr="00E67914">
              <w:rPr>
                <w:rFonts w:ascii="Times New Roman" w:hAnsi="Times New Roman"/>
                <w:bCs/>
                <w:kern w:val="2"/>
                <w:sz w:val="21"/>
                <w:vertAlign w:val="subscript"/>
              </w:rPr>
              <w:t>2</w:t>
            </w:r>
          </w:p>
        </w:tc>
        <w:tc>
          <w:tcPr>
            <w:tcW w:w="534" w:type="pct"/>
            <w:vAlign w:val="center"/>
          </w:tcPr>
          <w:p w14:paraId="04632E56" w14:textId="470C567D" w:rsidR="005A0E0A" w:rsidRPr="00E67914" w:rsidRDefault="005A0E0A" w:rsidP="005A0E0A">
            <w:pPr>
              <w:jc w:val="center"/>
              <w:rPr>
                <w:rFonts w:ascii="Times New Roman" w:hAnsi="Times New Roman"/>
                <w:bCs/>
                <w:kern w:val="2"/>
                <w:sz w:val="21"/>
              </w:rPr>
            </w:pPr>
            <w:r w:rsidRPr="00E67914">
              <w:rPr>
                <w:rFonts w:ascii="Times New Roman" w:hAnsi="Times New Roman"/>
                <w:kern w:val="2"/>
                <w:sz w:val="21"/>
              </w:rPr>
              <w:t>13.03mg/m</w:t>
            </w:r>
            <w:r w:rsidRPr="00E67914">
              <w:rPr>
                <w:rFonts w:ascii="Times New Roman" w:hAnsi="Times New Roman"/>
                <w:kern w:val="2"/>
                <w:sz w:val="21"/>
                <w:vertAlign w:val="superscript"/>
              </w:rPr>
              <w:t>3</w:t>
            </w:r>
          </w:p>
        </w:tc>
        <w:tc>
          <w:tcPr>
            <w:tcW w:w="1285" w:type="pct"/>
            <w:vAlign w:val="center"/>
          </w:tcPr>
          <w:p w14:paraId="6BF541B3" w14:textId="52F329B7" w:rsidR="005A0E0A" w:rsidRPr="00E67914" w:rsidRDefault="005A0E0A" w:rsidP="005A0E0A">
            <w:pPr>
              <w:jc w:val="center"/>
              <w:rPr>
                <w:rFonts w:ascii="Times New Roman" w:hAnsi="Times New Roman"/>
                <w:bCs/>
                <w:kern w:val="2"/>
                <w:sz w:val="21"/>
              </w:rPr>
            </w:pPr>
            <w:r w:rsidRPr="00E67914">
              <w:rPr>
                <w:rFonts w:ascii="Times New Roman" w:hAnsi="Times New Roman"/>
                <w:kern w:val="2"/>
                <w:sz w:val="21"/>
              </w:rPr>
              <w:t>0.018t/a</w:t>
            </w:r>
            <w:r w:rsidRPr="00E67914">
              <w:rPr>
                <w:rFonts w:ascii="Times New Roman" w:hAnsi="Times New Roman"/>
                <w:kern w:val="2"/>
                <w:sz w:val="21"/>
              </w:rPr>
              <w:t>；</w:t>
            </w:r>
            <w:r w:rsidRPr="00E67914">
              <w:rPr>
                <w:rFonts w:ascii="Times New Roman" w:hAnsi="Times New Roman"/>
                <w:kern w:val="2"/>
                <w:sz w:val="21"/>
              </w:rPr>
              <w:t>0.0021kg/h</w:t>
            </w:r>
          </w:p>
        </w:tc>
        <w:tc>
          <w:tcPr>
            <w:tcW w:w="388" w:type="pct"/>
            <w:vMerge/>
            <w:vAlign w:val="center"/>
          </w:tcPr>
          <w:p w14:paraId="3AE67387" w14:textId="77777777" w:rsidR="005A0E0A" w:rsidRPr="00E67914" w:rsidRDefault="005A0E0A" w:rsidP="005A0E0A">
            <w:pPr>
              <w:adjustRightInd w:val="0"/>
              <w:snapToGrid w:val="0"/>
              <w:jc w:val="center"/>
              <w:rPr>
                <w:rFonts w:ascii="Times New Roman" w:hAnsi="Times New Roman"/>
                <w:bCs/>
                <w:kern w:val="2"/>
                <w:sz w:val="21"/>
              </w:rPr>
            </w:pPr>
          </w:p>
        </w:tc>
        <w:tc>
          <w:tcPr>
            <w:tcW w:w="452" w:type="pct"/>
            <w:vMerge/>
            <w:vAlign w:val="center"/>
          </w:tcPr>
          <w:p w14:paraId="35EAD37E" w14:textId="77777777" w:rsidR="005A0E0A" w:rsidRPr="00E67914" w:rsidRDefault="005A0E0A" w:rsidP="005A0E0A">
            <w:pPr>
              <w:adjustRightInd w:val="0"/>
              <w:snapToGrid w:val="0"/>
              <w:jc w:val="center"/>
              <w:rPr>
                <w:rFonts w:ascii="Times New Roman" w:hAnsi="Times New Roman"/>
                <w:bCs/>
                <w:kern w:val="2"/>
                <w:sz w:val="21"/>
              </w:rPr>
            </w:pPr>
          </w:p>
        </w:tc>
        <w:tc>
          <w:tcPr>
            <w:tcW w:w="392" w:type="pct"/>
            <w:vMerge/>
            <w:vAlign w:val="center"/>
          </w:tcPr>
          <w:p w14:paraId="0CC04D43" w14:textId="77777777" w:rsidR="005A0E0A" w:rsidRPr="00E67914" w:rsidRDefault="005A0E0A" w:rsidP="005A0E0A">
            <w:pPr>
              <w:jc w:val="center"/>
              <w:rPr>
                <w:rFonts w:ascii="Times New Roman" w:hAnsi="Times New Roman"/>
                <w:bCs/>
                <w:kern w:val="2"/>
                <w:sz w:val="21"/>
              </w:rPr>
            </w:pPr>
          </w:p>
        </w:tc>
        <w:tc>
          <w:tcPr>
            <w:tcW w:w="831" w:type="pct"/>
            <w:vMerge/>
            <w:vAlign w:val="center"/>
          </w:tcPr>
          <w:p w14:paraId="4860B791" w14:textId="77777777" w:rsidR="005A0E0A" w:rsidRPr="00E67914" w:rsidRDefault="005A0E0A" w:rsidP="005A0E0A">
            <w:pPr>
              <w:jc w:val="center"/>
              <w:rPr>
                <w:rFonts w:ascii="Times New Roman" w:hAnsi="Times New Roman"/>
                <w:bCs/>
                <w:kern w:val="2"/>
                <w:sz w:val="21"/>
              </w:rPr>
            </w:pPr>
          </w:p>
        </w:tc>
      </w:tr>
    </w:tbl>
    <w:p w14:paraId="5A6B86E0" w14:textId="396778E5"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lang w:eastAsia="zh-CN"/>
        </w:rPr>
        <w:t>由上表可见本项目水套炉燃烧废气</w:t>
      </w:r>
      <w:r w:rsidRPr="00E67914">
        <w:rPr>
          <w:rFonts w:ascii="Times New Roman" w:hAnsi="Times New Roman"/>
          <w:sz w:val="24"/>
          <w:lang w:eastAsia="zh-CN"/>
        </w:rPr>
        <w:t>通过水套炉自带</w:t>
      </w:r>
      <w:r w:rsidRPr="00E67914">
        <w:rPr>
          <w:rFonts w:ascii="Times New Roman" w:hAnsi="Times New Roman"/>
          <w:sz w:val="24"/>
          <w:lang w:eastAsia="zh-CN"/>
        </w:rPr>
        <w:t>8m</w:t>
      </w:r>
      <w:r w:rsidRPr="00E67914">
        <w:rPr>
          <w:rFonts w:ascii="Times New Roman" w:hAnsi="Times New Roman"/>
          <w:sz w:val="24"/>
          <w:lang w:eastAsia="zh-CN"/>
        </w:rPr>
        <w:t>高排气筒排放，满足《锅炉大气污染物排放标准》（</w:t>
      </w:r>
      <w:r w:rsidRPr="00E67914">
        <w:rPr>
          <w:rFonts w:ascii="Times New Roman" w:hAnsi="Times New Roman"/>
          <w:sz w:val="24"/>
          <w:lang w:eastAsia="zh-CN"/>
        </w:rPr>
        <w:t>GB13271-2014</w:t>
      </w:r>
      <w:r w:rsidRPr="00E67914">
        <w:rPr>
          <w:rFonts w:ascii="Times New Roman" w:hAnsi="Times New Roman"/>
          <w:sz w:val="24"/>
          <w:lang w:eastAsia="zh-CN"/>
        </w:rPr>
        <w:t>）中大气污染物</w:t>
      </w:r>
      <w:r w:rsidRPr="00E67914">
        <w:rPr>
          <w:rFonts w:ascii="Times New Roman" w:hAnsi="Times New Roman"/>
          <w:bCs/>
          <w:sz w:val="24"/>
          <w:lang w:eastAsia="zh-CN"/>
        </w:rPr>
        <w:t>NOx</w:t>
      </w:r>
      <w:r w:rsidRPr="00E67914">
        <w:rPr>
          <w:rFonts w:ascii="Times New Roman" w:hAnsi="Times New Roman"/>
          <w:bCs/>
          <w:sz w:val="24"/>
          <w:lang w:eastAsia="zh-CN"/>
        </w:rPr>
        <w:t>：</w:t>
      </w:r>
      <w:r w:rsidRPr="00E67914">
        <w:rPr>
          <w:rFonts w:ascii="Times New Roman" w:hAnsi="Times New Roman"/>
          <w:bCs/>
          <w:sz w:val="24"/>
          <w:lang w:eastAsia="zh-CN"/>
        </w:rPr>
        <w:t>200</w:t>
      </w:r>
      <w:r w:rsidRPr="00E67914">
        <w:rPr>
          <w:rFonts w:ascii="Times New Roman" w:hAnsi="Times New Roman"/>
          <w:bCs/>
          <w:sz w:val="24"/>
          <w:szCs w:val="24"/>
          <w:lang w:eastAsia="zh-CN"/>
        </w:rPr>
        <w:t>mg/m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w:t>
      </w:r>
      <w:r w:rsidRPr="00E67914">
        <w:rPr>
          <w:rFonts w:ascii="Times New Roman" w:hAnsi="Times New Roman"/>
          <w:bCs/>
          <w:sz w:val="24"/>
          <w:lang w:eastAsia="zh-CN"/>
        </w:rPr>
        <w:t>颗粒物（烟尘）：</w:t>
      </w:r>
      <w:r w:rsidRPr="00E67914">
        <w:rPr>
          <w:rFonts w:ascii="Times New Roman" w:hAnsi="Times New Roman"/>
          <w:bCs/>
          <w:sz w:val="24"/>
          <w:lang w:eastAsia="zh-CN"/>
        </w:rPr>
        <w:t>20</w:t>
      </w:r>
      <w:r w:rsidRPr="00E67914">
        <w:rPr>
          <w:rFonts w:ascii="Times New Roman" w:hAnsi="Times New Roman"/>
          <w:bCs/>
          <w:sz w:val="24"/>
          <w:szCs w:val="24"/>
          <w:lang w:eastAsia="zh-CN"/>
        </w:rPr>
        <w:t>mg/m</w:t>
      </w:r>
      <w:r w:rsidRPr="00E67914">
        <w:rPr>
          <w:rFonts w:ascii="Times New Roman" w:hAnsi="Times New Roman"/>
          <w:bCs/>
          <w:sz w:val="24"/>
          <w:szCs w:val="24"/>
          <w:vertAlign w:val="superscript"/>
          <w:lang w:eastAsia="zh-CN"/>
        </w:rPr>
        <w:t>3</w:t>
      </w:r>
      <w:r w:rsidR="005A0E0A" w:rsidRPr="00E67914">
        <w:rPr>
          <w:rFonts w:ascii="Times New Roman" w:hAnsi="Times New Roman"/>
          <w:bCs/>
          <w:sz w:val="24"/>
          <w:szCs w:val="24"/>
          <w:lang w:eastAsia="zh-CN"/>
        </w:rPr>
        <w:t>、</w:t>
      </w:r>
      <w:r w:rsidR="005A0E0A" w:rsidRPr="00E67914">
        <w:rPr>
          <w:rFonts w:ascii="Times New Roman" w:hAnsi="Times New Roman"/>
          <w:bCs/>
          <w:sz w:val="24"/>
          <w:lang w:eastAsia="zh-CN"/>
        </w:rPr>
        <w:t>SO</w:t>
      </w:r>
      <w:r w:rsidR="005A0E0A" w:rsidRPr="00E67914">
        <w:rPr>
          <w:rFonts w:ascii="Times New Roman" w:hAnsi="Times New Roman"/>
          <w:bCs/>
          <w:sz w:val="24"/>
          <w:vertAlign w:val="subscript"/>
          <w:lang w:eastAsia="zh-CN"/>
        </w:rPr>
        <w:t>2</w:t>
      </w:r>
      <w:r w:rsidR="005A0E0A" w:rsidRPr="00E67914">
        <w:rPr>
          <w:rFonts w:ascii="Times New Roman" w:hAnsi="Times New Roman"/>
          <w:bCs/>
          <w:sz w:val="24"/>
          <w:lang w:eastAsia="zh-CN"/>
        </w:rPr>
        <w:t>：</w:t>
      </w:r>
      <w:r w:rsidR="005A0E0A" w:rsidRPr="00E67914">
        <w:rPr>
          <w:rFonts w:ascii="Times New Roman" w:hAnsi="Times New Roman"/>
          <w:bCs/>
          <w:sz w:val="24"/>
          <w:lang w:eastAsia="zh-CN"/>
        </w:rPr>
        <w:t>50</w:t>
      </w:r>
      <w:r w:rsidR="005A0E0A" w:rsidRPr="00E67914">
        <w:rPr>
          <w:rFonts w:ascii="Times New Roman" w:hAnsi="Times New Roman"/>
          <w:bCs/>
          <w:sz w:val="24"/>
          <w:szCs w:val="24"/>
          <w:lang w:eastAsia="zh-CN"/>
        </w:rPr>
        <w:t>mg/m</w:t>
      </w:r>
      <w:r w:rsidR="005A0E0A"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的</w:t>
      </w:r>
      <w:r w:rsidRPr="00E67914">
        <w:rPr>
          <w:rFonts w:ascii="Times New Roman" w:hAnsi="Times New Roman"/>
          <w:sz w:val="24"/>
          <w:lang w:eastAsia="zh-CN"/>
        </w:rPr>
        <w:t>排放浓度限值要求。</w:t>
      </w:r>
    </w:p>
    <w:p w14:paraId="2B986508" w14:textId="77777777" w:rsidR="002C723E" w:rsidRPr="00E67914" w:rsidRDefault="002C723E" w:rsidP="002C723E">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w:t>
      </w:r>
      <w:r w:rsidRPr="00E67914">
        <w:rPr>
          <w:rFonts w:ascii="Times New Roman" w:hAnsi="Times New Roman"/>
          <w:bCs/>
          <w:sz w:val="24"/>
          <w:lang w:eastAsia="zh-CN"/>
        </w:rPr>
        <w:t>2</w:t>
      </w:r>
      <w:r w:rsidRPr="00E67914">
        <w:rPr>
          <w:rFonts w:ascii="Times New Roman" w:hAnsi="Times New Roman"/>
          <w:bCs/>
          <w:sz w:val="24"/>
          <w:lang w:eastAsia="zh-CN"/>
        </w:rPr>
        <w:t>）</w:t>
      </w:r>
      <w:r w:rsidRPr="00E67914">
        <w:rPr>
          <w:rFonts w:ascii="Times New Roman" w:hAnsi="Times New Roman"/>
          <w:sz w:val="24"/>
          <w:szCs w:val="24"/>
          <w:lang w:eastAsia="zh-CN"/>
        </w:rPr>
        <w:t>火炬及放空系统长明灯燃烧废气</w:t>
      </w:r>
    </w:p>
    <w:p w14:paraId="1068A0C0" w14:textId="4F378AE5" w:rsidR="002C723E" w:rsidRPr="00E67914" w:rsidRDefault="002C723E" w:rsidP="002C723E">
      <w:pPr>
        <w:pStyle w:val="71"/>
        <w:adjustRightInd w:val="0"/>
        <w:snapToGrid w:val="0"/>
        <w:spacing w:line="360" w:lineRule="auto"/>
        <w:ind w:firstLine="480"/>
        <w:jc w:val="both"/>
        <w:rPr>
          <w:rFonts w:ascii="Times New Roman" w:hAnsi="Times New Roman"/>
          <w:sz w:val="24"/>
          <w:szCs w:val="24"/>
        </w:rPr>
      </w:pPr>
      <w:r w:rsidRPr="00E67914">
        <w:rPr>
          <w:rFonts w:ascii="Times New Roman" w:hAnsi="Times New Roman"/>
          <w:bCs/>
          <w:sz w:val="24"/>
        </w:rPr>
        <w:t>本项目运营期</w:t>
      </w:r>
      <w:r w:rsidRPr="00E67914">
        <w:rPr>
          <w:rFonts w:ascii="Times New Roman" w:hAnsi="Times New Roman"/>
          <w:sz w:val="24"/>
          <w:szCs w:val="24"/>
        </w:rPr>
        <w:t>火炬及放空系统设置有长明灯，将产生火炬及放空系统长明灯燃烧废气，根据可研报告核算，火炬及放空系统用气量为</w:t>
      </w:r>
      <w:r w:rsidRPr="00E67914">
        <w:rPr>
          <w:rFonts w:ascii="Times New Roman" w:hAnsi="Times New Roman"/>
          <w:sz w:val="24"/>
          <w:szCs w:val="24"/>
        </w:rPr>
        <w:t>16×10</w:t>
      </w:r>
      <w:r w:rsidRPr="00E67914">
        <w:rPr>
          <w:rFonts w:ascii="Times New Roman" w:hAnsi="Times New Roman"/>
          <w:sz w:val="24"/>
          <w:szCs w:val="24"/>
          <w:vertAlign w:val="superscript"/>
        </w:rPr>
        <w:t>4</w:t>
      </w:r>
      <w:r w:rsidRPr="00E67914">
        <w:rPr>
          <w:rFonts w:ascii="Times New Roman" w:hAnsi="Times New Roman"/>
          <w:sz w:val="24"/>
          <w:szCs w:val="24"/>
        </w:rPr>
        <w:t>m</w:t>
      </w:r>
      <w:r w:rsidRPr="00E67914">
        <w:rPr>
          <w:rFonts w:ascii="Times New Roman" w:hAnsi="Times New Roman"/>
          <w:sz w:val="24"/>
          <w:szCs w:val="24"/>
          <w:vertAlign w:val="superscript"/>
        </w:rPr>
        <w:t>3</w:t>
      </w:r>
      <w:r w:rsidRPr="00E67914">
        <w:rPr>
          <w:rFonts w:ascii="Times New Roman" w:hAnsi="Times New Roman"/>
          <w:sz w:val="24"/>
          <w:szCs w:val="24"/>
        </w:rPr>
        <w:t>/a</w:t>
      </w:r>
      <w:r w:rsidRPr="00E67914">
        <w:rPr>
          <w:rFonts w:ascii="Times New Roman" w:hAnsi="Times New Roman"/>
          <w:sz w:val="24"/>
          <w:szCs w:val="24"/>
        </w:rPr>
        <w:t>，按年燃烧</w:t>
      </w:r>
      <w:r w:rsidRPr="00E67914">
        <w:rPr>
          <w:rFonts w:ascii="Times New Roman" w:hAnsi="Times New Roman"/>
          <w:sz w:val="24"/>
          <w:szCs w:val="24"/>
        </w:rPr>
        <w:t>365</w:t>
      </w:r>
      <w:r w:rsidRPr="00E67914">
        <w:rPr>
          <w:rFonts w:ascii="Times New Roman" w:hAnsi="Times New Roman"/>
          <w:sz w:val="24"/>
          <w:szCs w:val="24"/>
        </w:rPr>
        <w:t>天计算，则火炬及放空系统长明灯燃气量约为</w:t>
      </w:r>
      <w:r w:rsidRPr="00E67914">
        <w:rPr>
          <w:rFonts w:ascii="Times New Roman" w:hAnsi="Times New Roman"/>
          <w:sz w:val="24"/>
          <w:szCs w:val="24"/>
        </w:rPr>
        <w:t>18.3m</w:t>
      </w:r>
      <w:r w:rsidRPr="00E67914">
        <w:rPr>
          <w:rFonts w:ascii="Times New Roman" w:hAnsi="Times New Roman"/>
          <w:sz w:val="24"/>
          <w:szCs w:val="24"/>
          <w:vertAlign w:val="superscript"/>
        </w:rPr>
        <w:t>3</w:t>
      </w:r>
      <w:r w:rsidRPr="00E67914">
        <w:rPr>
          <w:rFonts w:ascii="Times New Roman" w:hAnsi="Times New Roman"/>
          <w:sz w:val="24"/>
          <w:szCs w:val="24"/>
        </w:rPr>
        <w:t>/h</w:t>
      </w:r>
      <w:r w:rsidRPr="00E67914">
        <w:rPr>
          <w:rFonts w:ascii="Times New Roman" w:hAnsi="Times New Roman"/>
          <w:sz w:val="24"/>
          <w:szCs w:val="24"/>
        </w:rPr>
        <w:t>。</w:t>
      </w:r>
    </w:p>
    <w:p w14:paraId="18EBAC1C" w14:textId="77777777" w:rsidR="002C723E" w:rsidRPr="00E67914" w:rsidRDefault="002C723E" w:rsidP="002C723E">
      <w:pPr>
        <w:pStyle w:val="71"/>
        <w:adjustRightInd w:val="0"/>
        <w:snapToGrid w:val="0"/>
        <w:spacing w:line="360" w:lineRule="auto"/>
        <w:ind w:firstLine="480"/>
        <w:jc w:val="both"/>
        <w:rPr>
          <w:rFonts w:ascii="Times New Roman" w:hAnsi="Times New Roman"/>
          <w:sz w:val="24"/>
          <w:szCs w:val="24"/>
        </w:rPr>
      </w:pPr>
      <w:r w:rsidRPr="00E67914">
        <w:rPr>
          <w:rFonts w:ascii="Times New Roman" w:hAnsi="Times New Roman"/>
          <w:sz w:val="24"/>
          <w:szCs w:val="24"/>
        </w:rPr>
        <w:t>火炬及放空系统的相关设计参数见表</w:t>
      </w:r>
      <w:r w:rsidRPr="00E67914">
        <w:rPr>
          <w:rFonts w:ascii="Times New Roman" w:hAnsi="Times New Roman"/>
          <w:sz w:val="24"/>
          <w:szCs w:val="24"/>
        </w:rPr>
        <w:t>3.4-14</w:t>
      </w:r>
      <w:r w:rsidRPr="00E67914">
        <w:rPr>
          <w:rFonts w:ascii="Times New Roman" w:hAnsi="Times New Roman"/>
          <w:sz w:val="24"/>
          <w:szCs w:val="24"/>
        </w:rPr>
        <w:t>。</w:t>
      </w:r>
    </w:p>
    <w:p w14:paraId="24367727" w14:textId="77777777" w:rsidR="002C723E" w:rsidRPr="00E67914" w:rsidRDefault="002C723E" w:rsidP="002C723E">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3.4-14  </w:t>
      </w:r>
      <w:r w:rsidRPr="00E67914">
        <w:rPr>
          <w:rFonts w:ascii="Times New Roman" w:eastAsia="黑体" w:hAnsi="Times New Roman"/>
          <w:sz w:val="21"/>
          <w:szCs w:val="21"/>
          <w:lang w:eastAsia="zh-CN"/>
        </w:rPr>
        <w:t>火炬及放空系统相关设计参数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5"/>
        <w:gridCol w:w="1385"/>
        <w:gridCol w:w="1383"/>
        <w:gridCol w:w="1384"/>
        <w:gridCol w:w="1384"/>
        <w:gridCol w:w="1379"/>
      </w:tblGrid>
      <w:tr w:rsidR="00E67914" w:rsidRPr="00E67914" w14:paraId="06A81ABE" w14:textId="77777777" w:rsidTr="00223052">
        <w:trPr>
          <w:jc w:val="center"/>
        </w:trPr>
        <w:tc>
          <w:tcPr>
            <w:tcW w:w="834" w:type="pct"/>
            <w:vAlign w:val="center"/>
          </w:tcPr>
          <w:p w14:paraId="5885E9DC" w14:textId="77777777" w:rsidR="002C723E" w:rsidRPr="00E67914" w:rsidRDefault="002C723E" w:rsidP="00223052">
            <w:pPr>
              <w:snapToGrid w:val="0"/>
              <w:jc w:val="center"/>
              <w:rPr>
                <w:rFonts w:ascii="Times New Roman" w:hAnsi="Times New Roman"/>
                <w:bCs/>
                <w:sz w:val="21"/>
                <w:szCs w:val="21"/>
              </w:rPr>
            </w:pPr>
            <w:r w:rsidRPr="00E67914">
              <w:rPr>
                <w:rFonts w:ascii="Times New Roman" w:hAnsi="Times New Roman"/>
                <w:bCs/>
                <w:sz w:val="21"/>
                <w:szCs w:val="21"/>
              </w:rPr>
              <w:t>排气筒高度</w:t>
            </w:r>
            <w:r w:rsidRPr="00E67914">
              <w:rPr>
                <w:rFonts w:ascii="Times New Roman" w:hAnsi="Times New Roman"/>
                <w:bCs/>
                <w:sz w:val="21"/>
                <w:szCs w:val="21"/>
              </w:rPr>
              <w:t>(m)</w:t>
            </w:r>
          </w:p>
        </w:tc>
        <w:tc>
          <w:tcPr>
            <w:tcW w:w="834" w:type="pct"/>
            <w:vAlign w:val="center"/>
          </w:tcPr>
          <w:p w14:paraId="24697CD5" w14:textId="77777777" w:rsidR="002C723E" w:rsidRPr="00E67914" w:rsidRDefault="002C723E" w:rsidP="00223052">
            <w:pPr>
              <w:snapToGrid w:val="0"/>
              <w:jc w:val="center"/>
              <w:rPr>
                <w:rFonts w:ascii="Times New Roman" w:hAnsi="Times New Roman"/>
                <w:bCs/>
                <w:sz w:val="21"/>
                <w:szCs w:val="21"/>
              </w:rPr>
            </w:pPr>
            <w:r w:rsidRPr="00E67914">
              <w:rPr>
                <w:rFonts w:ascii="Times New Roman" w:hAnsi="Times New Roman"/>
                <w:bCs/>
                <w:sz w:val="21"/>
                <w:szCs w:val="21"/>
              </w:rPr>
              <w:t>排气筒内径</w:t>
            </w:r>
            <w:r w:rsidRPr="00E67914">
              <w:rPr>
                <w:rFonts w:ascii="Times New Roman" w:hAnsi="Times New Roman"/>
                <w:bCs/>
                <w:sz w:val="21"/>
                <w:szCs w:val="21"/>
              </w:rPr>
              <w:t>(m)</w:t>
            </w:r>
          </w:p>
        </w:tc>
        <w:tc>
          <w:tcPr>
            <w:tcW w:w="833" w:type="pct"/>
            <w:vAlign w:val="center"/>
          </w:tcPr>
          <w:p w14:paraId="7DE6BE08" w14:textId="77777777" w:rsidR="002C723E" w:rsidRPr="00E67914" w:rsidRDefault="002C723E" w:rsidP="00223052">
            <w:pPr>
              <w:snapToGrid w:val="0"/>
              <w:jc w:val="center"/>
              <w:rPr>
                <w:rFonts w:ascii="Times New Roman" w:hAnsi="Times New Roman"/>
                <w:bCs/>
                <w:sz w:val="21"/>
                <w:szCs w:val="21"/>
              </w:rPr>
            </w:pPr>
            <w:r w:rsidRPr="00E67914">
              <w:rPr>
                <w:rFonts w:ascii="Times New Roman" w:hAnsi="Times New Roman"/>
                <w:bCs/>
                <w:sz w:val="21"/>
                <w:szCs w:val="21"/>
              </w:rPr>
              <w:t>自耗气量</w:t>
            </w:r>
            <w:r w:rsidRPr="00E67914">
              <w:rPr>
                <w:rFonts w:ascii="Times New Roman" w:hAnsi="Times New Roman"/>
                <w:bCs/>
                <w:sz w:val="21"/>
                <w:szCs w:val="21"/>
              </w:rPr>
              <w:t>(m</w:t>
            </w:r>
            <w:r w:rsidRPr="00E67914">
              <w:rPr>
                <w:rFonts w:ascii="Times New Roman" w:hAnsi="Times New Roman"/>
                <w:bCs/>
                <w:sz w:val="21"/>
                <w:szCs w:val="21"/>
                <w:vertAlign w:val="superscript"/>
              </w:rPr>
              <w:t>3</w:t>
            </w:r>
            <w:r w:rsidRPr="00E67914">
              <w:rPr>
                <w:rFonts w:ascii="Times New Roman" w:hAnsi="Times New Roman"/>
                <w:bCs/>
                <w:sz w:val="21"/>
                <w:szCs w:val="21"/>
              </w:rPr>
              <w:t>/h)</w:t>
            </w:r>
          </w:p>
        </w:tc>
        <w:tc>
          <w:tcPr>
            <w:tcW w:w="834" w:type="pct"/>
            <w:vAlign w:val="center"/>
          </w:tcPr>
          <w:p w14:paraId="18154420" w14:textId="77777777" w:rsidR="002C723E" w:rsidRPr="00E67914" w:rsidRDefault="002C723E" w:rsidP="00223052">
            <w:pPr>
              <w:snapToGrid w:val="0"/>
              <w:spacing w:beforeLines="5" w:before="12" w:afterLines="5" w:after="12"/>
              <w:ind w:left="-120"/>
              <w:jc w:val="center"/>
              <w:rPr>
                <w:rFonts w:ascii="Times New Roman" w:hAnsi="Times New Roman"/>
                <w:sz w:val="21"/>
                <w:szCs w:val="21"/>
              </w:rPr>
            </w:pPr>
            <w:r w:rsidRPr="00E67914">
              <w:rPr>
                <w:rFonts w:ascii="Times New Roman" w:hAnsi="Times New Roman"/>
                <w:sz w:val="21"/>
                <w:szCs w:val="21"/>
              </w:rPr>
              <w:t>排放时间</w:t>
            </w:r>
            <w:r w:rsidRPr="00E67914">
              <w:rPr>
                <w:rFonts w:ascii="Times New Roman" w:hAnsi="Times New Roman"/>
                <w:sz w:val="21"/>
                <w:szCs w:val="21"/>
              </w:rPr>
              <w:t>(h/</w:t>
            </w:r>
            <w:r w:rsidRPr="00E67914">
              <w:rPr>
                <w:rFonts w:ascii="Times New Roman" w:hAnsi="Times New Roman"/>
                <w:sz w:val="21"/>
                <w:szCs w:val="21"/>
                <w:lang w:eastAsia="zh-CN"/>
              </w:rPr>
              <w:t>a</w:t>
            </w:r>
            <w:r w:rsidRPr="00E67914">
              <w:rPr>
                <w:rFonts w:ascii="Times New Roman" w:hAnsi="Times New Roman"/>
                <w:sz w:val="21"/>
                <w:szCs w:val="21"/>
              </w:rPr>
              <w:t>)</w:t>
            </w:r>
          </w:p>
        </w:tc>
        <w:tc>
          <w:tcPr>
            <w:tcW w:w="834" w:type="pct"/>
            <w:vAlign w:val="center"/>
          </w:tcPr>
          <w:p w14:paraId="02E345FD" w14:textId="77777777" w:rsidR="002C723E" w:rsidRPr="00E67914" w:rsidRDefault="002C723E" w:rsidP="00223052">
            <w:pPr>
              <w:snapToGrid w:val="0"/>
              <w:spacing w:beforeLines="5" w:before="12" w:afterLines="5" w:after="12"/>
              <w:ind w:left="-120"/>
              <w:jc w:val="center"/>
              <w:rPr>
                <w:rFonts w:ascii="Times New Roman" w:hAnsi="Times New Roman"/>
                <w:sz w:val="21"/>
                <w:szCs w:val="21"/>
              </w:rPr>
            </w:pPr>
            <w:r w:rsidRPr="00E67914">
              <w:rPr>
                <w:rFonts w:ascii="Times New Roman" w:hAnsi="Times New Roman"/>
                <w:sz w:val="21"/>
                <w:szCs w:val="21"/>
              </w:rPr>
              <w:t>排放工况</w:t>
            </w:r>
          </w:p>
        </w:tc>
        <w:tc>
          <w:tcPr>
            <w:tcW w:w="831" w:type="pct"/>
            <w:vAlign w:val="center"/>
          </w:tcPr>
          <w:p w14:paraId="64009D86" w14:textId="77777777" w:rsidR="002C723E" w:rsidRPr="00E67914" w:rsidRDefault="002C723E" w:rsidP="00223052">
            <w:pPr>
              <w:snapToGrid w:val="0"/>
              <w:spacing w:beforeLines="5" w:before="12" w:afterLines="5" w:after="12"/>
              <w:ind w:left="-120"/>
              <w:jc w:val="center"/>
              <w:rPr>
                <w:rFonts w:ascii="Times New Roman" w:hAnsi="Times New Roman"/>
                <w:sz w:val="21"/>
                <w:szCs w:val="21"/>
              </w:rPr>
            </w:pPr>
            <w:r w:rsidRPr="00E67914">
              <w:rPr>
                <w:rFonts w:ascii="Times New Roman" w:hAnsi="Times New Roman"/>
                <w:sz w:val="21"/>
                <w:szCs w:val="21"/>
              </w:rPr>
              <w:t>烟气出口温度</w:t>
            </w:r>
            <w:r w:rsidRPr="00E67914">
              <w:rPr>
                <w:rFonts w:ascii="Times New Roman" w:hAnsi="Times New Roman"/>
                <w:sz w:val="21"/>
                <w:szCs w:val="21"/>
              </w:rPr>
              <w:t>(K)</w:t>
            </w:r>
          </w:p>
        </w:tc>
      </w:tr>
      <w:tr w:rsidR="00E67914" w:rsidRPr="00E67914" w14:paraId="4087FE34" w14:textId="77777777" w:rsidTr="00223052">
        <w:trPr>
          <w:jc w:val="center"/>
        </w:trPr>
        <w:tc>
          <w:tcPr>
            <w:tcW w:w="834" w:type="pct"/>
            <w:vAlign w:val="center"/>
          </w:tcPr>
          <w:p w14:paraId="7A169534" w14:textId="6A64BA6E" w:rsidR="002C723E" w:rsidRPr="00E67914" w:rsidRDefault="00CB5094" w:rsidP="00223052">
            <w:pPr>
              <w:snapToGrid w:val="0"/>
              <w:jc w:val="center"/>
              <w:rPr>
                <w:rFonts w:ascii="Times New Roman" w:hAnsi="Times New Roman"/>
                <w:bCs/>
                <w:sz w:val="21"/>
                <w:szCs w:val="21"/>
              </w:rPr>
            </w:pPr>
            <w:r w:rsidRPr="00E67914">
              <w:rPr>
                <w:rFonts w:ascii="Times New Roman" w:hAnsi="Times New Roman"/>
                <w:bCs/>
                <w:sz w:val="21"/>
                <w:szCs w:val="21"/>
              </w:rPr>
              <w:t>2</w:t>
            </w:r>
            <w:r w:rsidR="002C723E" w:rsidRPr="00E67914">
              <w:rPr>
                <w:rFonts w:ascii="Times New Roman" w:hAnsi="Times New Roman"/>
                <w:bCs/>
                <w:sz w:val="21"/>
                <w:szCs w:val="21"/>
              </w:rPr>
              <w:t>5</w:t>
            </w:r>
          </w:p>
        </w:tc>
        <w:tc>
          <w:tcPr>
            <w:tcW w:w="834" w:type="pct"/>
            <w:vAlign w:val="center"/>
          </w:tcPr>
          <w:p w14:paraId="4F66F635" w14:textId="77777777" w:rsidR="002C723E" w:rsidRPr="00E67914" w:rsidRDefault="002C723E" w:rsidP="00223052">
            <w:pPr>
              <w:snapToGrid w:val="0"/>
              <w:jc w:val="center"/>
              <w:rPr>
                <w:rFonts w:ascii="Times New Roman" w:hAnsi="Times New Roman"/>
                <w:bCs/>
                <w:sz w:val="21"/>
                <w:szCs w:val="21"/>
              </w:rPr>
            </w:pPr>
            <w:r w:rsidRPr="00E67914">
              <w:rPr>
                <w:rFonts w:ascii="Times New Roman" w:hAnsi="Times New Roman"/>
                <w:bCs/>
                <w:sz w:val="21"/>
                <w:szCs w:val="21"/>
              </w:rPr>
              <w:t>0.15</w:t>
            </w:r>
          </w:p>
        </w:tc>
        <w:tc>
          <w:tcPr>
            <w:tcW w:w="833" w:type="pct"/>
            <w:vAlign w:val="center"/>
          </w:tcPr>
          <w:p w14:paraId="3C003515" w14:textId="77777777" w:rsidR="002C723E" w:rsidRPr="00E67914" w:rsidRDefault="002C723E" w:rsidP="00223052">
            <w:pPr>
              <w:snapToGrid w:val="0"/>
              <w:jc w:val="center"/>
              <w:rPr>
                <w:rFonts w:ascii="Times New Roman" w:hAnsi="Times New Roman"/>
                <w:bCs/>
                <w:sz w:val="21"/>
                <w:szCs w:val="21"/>
              </w:rPr>
            </w:pPr>
            <w:r w:rsidRPr="00E67914">
              <w:rPr>
                <w:rFonts w:ascii="Times New Roman" w:hAnsi="Times New Roman"/>
                <w:bCs/>
                <w:sz w:val="21"/>
                <w:szCs w:val="21"/>
              </w:rPr>
              <w:t>18.3</w:t>
            </w:r>
          </w:p>
        </w:tc>
        <w:tc>
          <w:tcPr>
            <w:tcW w:w="834" w:type="pct"/>
            <w:vAlign w:val="center"/>
          </w:tcPr>
          <w:p w14:paraId="6F013AB2" w14:textId="77777777" w:rsidR="002C723E" w:rsidRPr="00E67914" w:rsidRDefault="002C723E" w:rsidP="00223052">
            <w:pPr>
              <w:snapToGrid w:val="0"/>
              <w:jc w:val="center"/>
              <w:rPr>
                <w:rFonts w:ascii="Times New Roman" w:hAnsi="Times New Roman"/>
                <w:bCs/>
                <w:sz w:val="21"/>
                <w:szCs w:val="21"/>
              </w:rPr>
            </w:pPr>
            <w:r w:rsidRPr="00E67914">
              <w:rPr>
                <w:rFonts w:ascii="Times New Roman" w:hAnsi="Times New Roman"/>
                <w:bCs/>
                <w:sz w:val="21"/>
                <w:szCs w:val="21"/>
              </w:rPr>
              <w:t>8760</w:t>
            </w:r>
          </w:p>
        </w:tc>
        <w:tc>
          <w:tcPr>
            <w:tcW w:w="834" w:type="pct"/>
            <w:vAlign w:val="center"/>
          </w:tcPr>
          <w:p w14:paraId="1D35B73A" w14:textId="77777777" w:rsidR="002C723E" w:rsidRPr="00E67914" w:rsidRDefault="002C723E" w:rsidP="00223052">
            <w:pPr>
              <w:snapToGrid w:val="0"/>
              <w:jc w:val="center"/>
              <w:rPr>
                <w:rFonts w:ascii="Times New Roman" w:hAnsi="Times New Roman"/>
                <w:bCs/>
                <w:sz w:val="21"/>
                <w:szCs w:val="21"/>
              </w:rPr>
            </w:pPr>
            <w:r w:rsidRPr="00E67914">
              <w:rPr>
                <w:rFonts w:ascii="Times New Roman" w:hAnsi="Times New Roman"/>
                <w:bCs/>
                <w:sz w:val="21"/>
                <w:szCs w:val="21"/>
              </w:rPr>
              <w:t>连续</w:t>
            </w:r>
          </w:p>
        </w:tc>
        <w:tc>
          <w:tcPr>
            <w:tcW w:w="831" w:type="pct"/>
            <w:vAlign w:val="center"/>
          </w:tcPr>
          <w:p w14:paraId="30C2E996" w14:textId="77777777" w:rsidR="002C723E" w:rsidRPr="00E67914" w:rsidRDefault="002C723E" w:rsidP="00223052">
            <w:pPr>
              <w:snapToGrid w:val="0"/>
              <w:jc w:val="center"/>
              <w:rPr>
                <w:rFonts w:ascii="Times New Roman" w:hAnsi="Times New Roman"/>
                <w:bCs/>
                <w:sz w:val="21"/>
                <w:szCs w:val="21"/>
              </w:rPr>
            </w:pPr>
            <w:r w:rsidRPr="00E67914">
              <w:rPr>
                <w:rFonts w:ascii="Times New Roman" w:hAnsi="Times New Roman"/>
                <w:bCs/>
                <w:sz w:val="21"/>
                <w:szCs w:val="21"/>
              </w:rPr>
              <w:t>150</w:t>
            </w:r>
          </w:p>
        </w:tc>
      </w:tr>
    </w:tbl>
    <w:p w14:paraId="3C2FDB25" w14:textId="77777777" w:rsidR="002C723E" w:rsidRPr="00E67914" w:rsidRDefault="002C723E" w:rsidP="002C723E">
      <w:pPr>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烟气量：</w:t>
      </w:r>
      <w:r w:rsidRPr="00E67914">
        <w:rPr>
          <w:rFonts w:ascii="Times New Roman" w:hAnsi="Times New Roman"/>
          <w:sz w:val="24"/>
          <w:lang w:eastAsia="zh-CN"/>
        </w:rPr>
        <w:t>1Nm</w:t>
      </w:r>
      <w:r w:rsidRPr="00E67914">
        <w:rPr>
          <w:rFonts w:ascii="Times New Roman" w:hAnsi="Times New Roman"/>
          <w:sz w:val="24"/>
          <w:vertAlign w:val="superscript"/>
          <w:lang w:eastAsia="zh-CN"/>
        </w:rPr>
        <w:t>3</w:t>
      </w:r>
      <w:r w:rsidRPr="00E67914">
        <w:rPr>
          <w:rFonts w:ascii="Times New Roman" w:hAnsi="Times New Roman"/>
          <w:sz w:val="24"/>
          <w:lang w:eastAsia="zh-CN"/>
        </w:rPr>
        <w:t>天然气燃烧后理论上可以产生</w:t>
      </w:r>
      <w:r w:rsidRPr="00E67914">
        <w:rPr>
          <w:rFonts w:ascii="Times New Roman" w:hAnsi="Times New Roman"/>
          <w:sz w:val="24"/>
          <w:lang w:eastAsia="zh-CN"/>
        </w:rPr>
        <w:t>10.52Nm</w:t>
      </w:r>
      <w:r w:rsidRPr="00E67914">
        <w:rPr>
          <w:rFonts w:ascii="Times New Roman" w:hAnsi="Times New Roman"/>
          <w:sz w:val="24"/>
          <w:vertAlign w:val="superscript"/>
          <w:lang w:eastAsia="zh-CN"/>
        </w:rPr>
        <w:t>3</w:t>
      </w:r>
      <w:r w:rsidRPr="00E67914">
        <w:rPr>
          <w:rFonts w:ascii="Times New Roman" w:hAnsi="Times New Roman"/>
          <w:sz w:val="24"/>
          <w:lang w:eastAsia="zh-CN"/>
        </w:rPr>
        <w:t>的烟气，但是为了保证天然气充分燃烧，在燃烧时通入的空气往往大于</w:t>
      </w:r>
      <w:r w:rsidRPr="00E67914">
        <w:rPr>
          <w:rFonts w:ascii="Times New Roman" w:hAnsi="Times New Roman"/>
          <w:sz w:val="24"/>
          <w:lang w:eastAsia="zh-CN"/>
        </w:rPr>
        <w:t>2</w:t>
      </w:r>
      <w:r w:rsidRPr="00E67914">
        <w:rPr>
          <w:rFonts w:ascii="Times New Roman" w:hAnsi="Times New Roman"/>
          <w:sz w:val="24"/>
          <w:lang w:eastAsia="zh-CN"/>
        </w:rPr>
        <w:t>倍的天然气，这个空气过量值叫做空气过量系数，数值约为</w:t>
      </w:r>
      <w:r w:rsidRPr="00E67914">
        <w:rPr>
          <w:rFonts w:ascii="Times New Roman" w:hAnsi="Times New Roman"/>
          <w:sz w:val="24"/>
          <w:lang w:eastAsia="zh-CN"/>
        </w:rPr>
        <w:t>3.2</w:t>
      </w:r>
      <w:r w:rsidRPr="00E67914">
        <w:rPr>
          <w:rFonts w:ascii="Times New Roman" w:hAnsi="Times New Roman"/>
          <w:sz w:val="24"/>
          <w:lang w:eastAsia="zh-CN"/>
        </w:rPr>
        <w:t>，即</w:t>
      </w:r>
      <w:r w:rsidRPr="00E67914">
        <w:rPr>
          <w:rFonts w:ascii="Times New Roman" w:hAnsi="Times New Roman"/>
          <w:sz w:val="24"/>
          <w:lang w:eastAsia="zh-CN"/>
        </w:rPr>
        <w:t>1</w:t>
      </w:r>
      <w:r w:rsidRPr="00E67914">
        <w:rPr>
          <w:rFonts w:ascii="Times New Roman" w:hAnsi="Times New Roman"/>
          <w:sz w:val="24"/>
          <w:lang w:eastAsia="zh-CN"/>
        </w:rPr>
        <w:t>份天然气在燃烧时实际上需要</w:t>
      </w:r>
      <w:r w:rsidRPr="00E67914">
        <w:rPr>
          <w:rFonts w:ascii="Times New Roman" w:hAnsi="Times New Roman"/>
          <w:sz w:val="24"/>
          <w:lang w:eastAsia="zh-CN"/>
        </w:rPr>
        <w:t>6.4</w:t>
      </w:r>
      <w:r w:rsidRPr="00E67914">
        <w:rPr>
          <w:rFonts w:ascii="Times New Roman" w:hAnsi="Times New Roman"/>
          <w:sz w:val="24"/>
          <w:lang w:eastAsia="zh-CN"/>
        </w:rPr>
        <w:t>份氧气（</w:t>
      </w:r>
      <w:r w:rsidRPr="00E67914">
        <w:rPr>
          <w:rFonts w:ascii="Times New Roman" w:hAnsi="Times New Roman"/>
          <w:sz w:val="24"/>
          <w:lang w:eastAsia="zh-CN"/>
        </w:rPr>
        <w:t>30.48</w:t>
      </w:r>
      <w:r w:rsidRPr="00E67914">
        <w:rPr>
          <w:rFonts w:ascii="Times New Roman" w:hAnsi="Times New Roman"/>
          <w:sz w:val="24"/>
          <w:lang w:eastAsia="zh-CN"/>
        </w:rPr>
        <w:t>份空气），则实际烟气量为</w:t>
      </w:r>
      <w:r w:rsidRPr="00E67914">
        <w:rPr>
          <w:rFonts w:ascii="Times New Roman" w:hAnsi="Times New Roman"/>
          <w:sz w:val="24"/>
          <w:lang w:eastAsia="zh-CN"/>
        </w:rPr>
        <w:t>31.48Nm</w:t>
      </w:r>
      <w:r w:rsidRPr="00E67914">
        <w:rPr>
          <w:rFonts w:ascii="Times New Roman" w:hAnsi="Times New Roman"/>
          <w:sz w:val="24"/>
          <w:vertAlign w:val="superscript"/>
          <w:lang w:eastAsia="zh-CN"/>
        </w:rPr>
        <w:t>3</w:t>
      </w:r>
      <w:r w:rsidRPr="00E67914">
        <w:rPr>
          <w:rFonts w:ascii="Times New Roman" w:hAnsi="Times New Roman"/>
          <w:sz w:val="24"/>
          <w:lang w:eastAsia="zh-CN"/>
        </w:rPr>
        <w:t>，本项目</w:t>
      </w:r>
      <w:r w:rsidRPr="00E67914">
        <w:rPr>
          <w:rFonts w:ascii="Times New Roman" w:hAnsi="Times New Roman"/>
          <w:sz w:val="24"/>
          <w:szCs w:val="24"/>
          <w:lang w:eastAsia="zh-CN"/>
        </w:rPr>
        <w:t>火炬及放空系统长明灯</w:t>
      </w:r>
      <w:r w:rsidRPr="00E67914">
        <w:rPr>
          <w:rFonts w:ascii="Times New Roman" w:hAnsi="Times New Roman"/>
          <w:sz w:val="24"/>
          <w:lang w:eastAsia="zh-CN"/>
        </w:rPr>
        <w:t>天然气使用量为</w:t>
      </w:r>
      <w:r w:rsidRPr="00E67914">
        <w:rPr>
          <w:rFonts w:ascii="Times New Roman" w:hAnsi="Times New Roman"/>
          <w:sz w:val="24"/>
          <w:lang w:eastAsia="zh-CN"/>
        </w:rPr>
        <w:t>16</w:t>
      </w:r>
      <w:r w:rsidRPr="00E67914">
        <w:rPr>
          <w:rFonts w:ascii="Times New Roman" w:hAnsi="Times New Roman"/>
          <w:sz w:val="24"/>
          <w:lang w:eastAsia="zh-CN"/>
        </w:rPr>
        <w:t>万</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/a</w:t>
      </w:r>
      <w:r w:rsidRPr="00E67914">
        <w:rPr>
          <w:rFonts w:ascii="Times New Roman" w:hAnsi="Times New Roman"/>
          <w:sz w:val="24"/>
          <w:lang w:eastAsia="zh-CN"/>
        </w:rPr>
        <w:t>，则产生烟气量为</w:t>
      </w:r>
      <w:r w:rsidRPr="00E67914">
        <w:rPr>
          <w:rFonts w:ascii="Times New Roman" w:hAnsi="Times New Roman"/>
          <w:sz w:val="24"/>
          <w:lang w:eastAsia="zh-CN"/>
        </w:rPr>
        <w:t>503.68</w:t>
      </w:r>
      <w:r w:rsidRPr="00E67914">
        <w:rPr>
          <w:rFonts w:ascii="Times New Roman" w:hAnsi="Times New Roman"/>
          <w:sz w:val="24"/>
          <w:lang w:eastAsia="zh-CN"/>
        </w:rPr>
        <w:t>万</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/a</w:t>
      </w:r>
      <w:r w:rsidRPr="00E67914">
        <w:rPr>
          <w:rFonts w:ascii="Times New Roman" w:hAnsi="Times New Roman"/>
          <w:sz w:val="24"/>
          <w:lang w:eastAsia="zh-CN"/>
        </w:rPr>
        <w:t>。</w:t>
      </w:r>
    </w:p>
    <w:p w14:paraId="12F6F482" w14:textId="77777777" w:rsidR="002C723E" w:rsidRPr="00E67914" w:rsidRDefault="002C723E" w:rsidP="002C723E">
      <w:pPr>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参照《排污许可证申请与核发技术规范</w:t>
      </w:r>
      <w:r w:rsidRPr="00E67914">
        <w:rPr>
          <w:rFonts w:ascii="Times New Roman" w:hAnsi="Times New Roman"/>
          <w:sz w:val="24"/>
          <w:lang w:eastAsia="zh-CN"/>
        </w:rPr>
        <w:t xml:space="preserve">  </w:t>
      </w:r>
      <w:r w:rsidRPr="00E67914">
        <w:rPr>
          <w:rFonts w:ascii="Times New Roman" w:hAnsi="Times New Roman"/>
          <w:sz w:val="24"/>
          <w:lang w:eastAsia="zh-CN"/>
        </w:rPr>
        <w:t>锅炉》（</w:t>
      </w:r>
      <w:r w:rsidRPr="00E67914">
        <w:rPr>
          <w:rFonts w:ascii="Times New Roman" w:hAnsi="Times New Roman"/>
          <w:sz w:val="24"/>
          <w:lang w:eastAsia="zh-CN"/>
        </w:rPr>
        <w:t>HJ953-2018</w:t>
      </w:r>
      <w:r w:rsidRPr="00E67914">
        <w:rPr>
          <w:rFonts w:ascii="Times New Roman" w:hAnsi="Times New Roman"/>
          <w:sz w:val="24"/>
          <w:lang w:eastAsia="zh-CN"/>
        </w:rPr>
        <w:t>），本项目取火炬及放空系统长明灯排污系数为：二氧化硫</w:t>
      </w:r>
      <w:r w:rsidRPr="00E67914">
        <w:rPr>
          <w:rFonts w:ascii="Times New Roman" w:hAnsi="Times New Roman"/>
          <w:sz w:val="24"/>
          <w:lang w:eastAsia="zh-CN"/>
        </w:rPr>
        <w:t>=0.02S</w:t>
      </w:r>
      <w:r w:rsidRPr="00E67914">
        <w:rPr>
          <w:rFonts w:ascii="Times New Roman" w:hAnsi="Times New Roman"/>
          <w:sz w:val="24"/>
          <w:lang w:eastAsia="zh-CN"/>
        </w:rPr>
        <w:t>千克</w:t>
      </w:r>
      <w:r w:rsidRPr="00E67914">
        <w:rPr>
          <w:rFonts w:ascii="Times New Roman" w:hAnsi="Times New Roman"/>
          <w:sz w:val="24"/>
          <w:lang w:eastAsia="zh-CN"/>
        </w:rPr>
        <w:t>/</w:t>
      </w:r>
      <w:r w:rsidRPr="00E67914">
        <w:rPr>
          <w:rFonts w:ascii="Times New Roman" w:hAnsi="Times New Roman"/>
          <w:sz w:val="24"/>
          <w:lang w:eastAsia="zh-CN"/>
        </w:rPr>
        <w:t>万立方米</w:t>
      </w:r>
      <w:r w:rsidRPr="00E67914">
        <w:rPr>
          <w:rFonts w:ascii="Times New Roman" w:hAnsi="Times New Roman"/>
          <w:sz w:val="24"/>
          <w:lang w:eastAsia="zh-CN"/>
        </w:rPr>
        <w:t>-</w:t>
      </w:r>
      <w:r w:rsidRPr="00E67914">
        <w:rPr>
          <w:rFonts w:ascii="Times New Roman" w:hAnsi="Times New Roman"/>
          <w:sz w:val="24"/>
          <w:lang w:eastAsia="zh-CN"/>
        </w:rPr>
        <w:t>燃料（</w:t>
      </w:r>
      <w:r w:rsidRPr="00E67914">
        <w:rPr>
          <w:rFonts w:ascii="Times New Roman" w:hAnsi="Times New Roman"/>
          <w:sz w:val="24"/>
          <w:lang w:eastAsia="zh-CN"/>
        </w:rPr>
        <w:t>S=200</w:t>
      </w:r>
      <w:r w:rsidRPr="00E67914">
        <w:rPr>
          <w:rFonts w:ascii="Times New Roman" w:hAnsi="Times New Roman"/>
          <w:sz w:val="24"/>
          <w:lang w:eastAsia="zh-CN"/>
        </w:rPr>
        <w:t>，即天然气硫分含量</w:t>
      </w:r>
      <w:r w:rsidRPr="00E67914">
        <w:rPr>
          <w:rFonts w:ascii="Times New Roman" w:hAnsi="Times New Roman"/>
          <w:sz w:val="24"/>
          <w:lang w:eastAsia="zh-CN"/>
        </w:rPr>
        <w:t>S</w:t>
      </w:r>
      <w:r w:rsidRPr="00E67914">
        <w:rPr>
          <w:rFonts w:ascii="Times New Roman" w:hAnsi="Times New Roman"/>
          <w:sz w:val="24"/>
          <w:lang w:eastAsia="zh-CN"/>
        </w:rPr>
        <w:t>按</w:t>
      </w:r>
      <w:r w:rsidRPr="00E67914">
        <w:rPr>
          <w:rFonts w:ascii="Times New Roman" w:hAnsi="Times New Roman"/>
          <w:sz w:val="24"/>
          <w:lang w:eastAsia="zh-CN"/>
        </w:rPr>
        <w:t>200mg/m</w:t>
      </w:r>
      <w:r w:rsidRPr="00E67914">
        <w:rPr>
          <w:rFonts w:ascii="Times New Roman" w:hAnsi="Times New Roman"/>
          <w:sz w:val="24"/>
          <w:vertAlign w:val="superscript"/>
          <w:lang w:eastAsia="zh-CN"/>
        </w:rPr>
        <w:t>3</w:t>
      </w:r>
      <w:r w:rsidRPr="00E67914">
        <w:rPr>
          <w:rFonts w:ascii="Times New Roman" w:hAnsi="Times New Roman"/>
          <w:sz w:val="24"/>
          <w:lang w:eastAsia="zh-CN"/>
        </w:rPr>
        <w:t>计）；颗粒物</w:t>
      </w:r>
      <w:r w:rsidRPr="00E67914">
        <w:rPr>
          <w:rFonts w:ascii="Times New Roman" w:hAnsi="Times New Roman"/>
          <w:sz w:val="24"/>
          <w:lang w:eastAsia="zh-CN"/>
        </w:rPr>
        <w:t>=2.86</w:t>
      </w:r>
      <w:r w:rsidRPr="00E67914">
        <w:rPr>
          <w:rFonts w:ascii="Times New Roman" w:hAnsi="Times New Roman"/>
          <w:sz w:val="24"/>
          <w:lang w:eastAsia="zh-CN"/>
        </w:rPr>
        <w:t>千克</w:t>
      </w:r>
      <w:r w:rsidRPr="00E67914">
        <w:rPr>
          <w:rFonts w:ascii="Times New Roman" w:hAnsi="Times New Roman"/>
          <w:sz w:val="24"/>
          <w:lang w:eastAsia="zh-CN"/>
        </w:rPr>
        <w:t>/</w:t>
      </w:r>
      <w:r w:rsidRPr="00E67914">
        <w:rPr>
          <w:rFonts w:ascii="Times New Roman" w:hAnsi="Times New Roman"/>
          <w:sz w:val="24"/>
          <w:lang w:eastAsia="zh-CN"/>
        </w:rPr>
        <w:t>万立方米</w:t>
      </w:r>
      <w:r w:rsidRPr="00E67914">
        <w:rPr>
          <w:rFonts w:ascii="Times New Roman" w:hAnsi="Times New Roman"/>
          <w:sz w:val="24"/>
          <w:lang w:eastAsia="zh-CN"/>
        </w:rPr>
        <w:t>-</w:t>
      </w:r>
      <w:r w:rsidRPr="00E67914">
        <w:rPr>
          <w:rFonts w:ascii="Times New Roman" w:hAnsi="Times New Roman"/>
          <w:sz w:val="24"/>
          <w:lang w:eastAsia="zh-CN"/>
        </w:rPr>
        <w:lastRenderedPageBreak/>
        <w:t>燃料；氮氧化物（无低氮燃烧）</w:t>
      </w:r>
      <w:r w:rsidRPr="00E67914">
        <w:rPr>
          <w:rFonts w:ascii="Times New Roman" w:hAnsi="Times New Roman"/>
          <w:sz w:val="24"/>
          <w:lang w:eastAsia="zh-CN"/>
        </w:rPr>
        <w:t>=18.71</w:t>
      </w:r>
      <w:r w:rsidRPr="00E67914">
        <w:rPr>
          <w:rFonts w:ascii="Times New Roman" w:hAnsi="Times New Roman"/>
          <w:sz w:val="24"/>
          <w:lang w:eastAsia="zh-CN"/>
        </w:rPr>
        <w:t>千克</w:t>
      </w:r>
      <w:r w:rsidRPr="00E67914">
        <w:rPr>
          <w:rFonts w:ascii="Times New Roman" w:hAnsi="Times New Roman"/>
          <w:sz w:val="24"/>
          <w:lang w:eastAsia="zh-CN"/>
        </w:rPr>
        <w:t>/</w:t>
      </w:r>
      <w:r w:rsidRPr="00E67914">
        <w:rPr>
          <w:rFonts w:ascii="Times New Roman" w:hAnsi="Times New Roman"/>
          <w:sz w:val="24"/>
          <w:lang w:eastAsia="zh-CN"/>
        </w:rPr>
        <w:t>万立方米</w:t>
      </w:r>
      <w:r w:rsidRPr="00E67914">
        <w:rPr>
          <w:rFonts w:ascii="Times New Roman" w:hAnsi="Times New Roman"/>
          <w:sz w:val="24"/>
          <w:lang w:eastAsia="zh-CN"/>
        </w:rPr>
        <w:t>-</w:t>
      </w:r>
      <w:r w:rsidRPr="00E67914">
        <w:rPr>
          <w:rFonts w:ascii="Times New Roman" w:hAnsi="Times New Roman"/>
          <w:sz w:val="24"/>
          <w:lang w:eastAsia="zh-CN"/>
        </w:rPr>
        <w:t>燃料；氮氧化物（低氮燃烧）</w:t>
      </w:r>
      <w:r w:rsidRPr="00E67914">
        <w:rPr>
          <w:rFonts w:ascii="Times New Roman" w:hAnsi="Times New Roman"/>
          <w:sz w:val="24"/>
          <w:lang w:eastAsia="zh-CN"/>
        </w:rPr>
        <w:t>=9.36</w:t>
      </w:r>
      <w:r w:rsidRPr="00E67914">
        <w:rPr>
          <w:rFonts w:ascii="Times New Roman" w:hAnsi="Times New Roman"/>
          <w:sz w:val="24"/>
          <w:lang w:eastAsia="zh-CN"/>
        </w:rPr>
        <w:t>千克</w:t>
      </w:r>
      <w:r w:rsidRPr="00E67914">
        <w:rPr>
          <w:rFonts w:ascii="Times New Roman" w:hAnsi="Times New Roman"/>
          <w:sz w:val="24"/>
          <w:lang w:eastAsia="zh-CN"/>
        </w:rPr>
        <w:t>/</w:t>
      </w:r>
      <w:r w:rsidRPr="00E67914">
        <w:rPr>
          <w:rFonts w:ascii="Times New Roman" w:hAnsi="Times New Roman"/>
          <w:sz w:val="24"/>
          <w:lang w:eastAsia="zh-CN"/>
        </w:rPr>
        <w:t>万立方米</w:t>
      </w:r>
      <w:r w:rsidRPr="00E67914">
        <w:rPr>
          <w:rFonts w:ascii="Times New Roman" w:hAnsi="Times New Roman"/>
          <w:sz w:val="24"/>
          <w:lang w:eastAsia="zh-CN"/>
        </w:rPr>
        <w:t>-</w:t>
      </w:r>
      <w:r w:rsidRPr="00E67914">
        <w:rPr>
          <w:rFonts w:ascii="Times New Roman" w:hAnsi="Times New Roman"/>
          <w:sz w:val="24"/>
          <w:lang w:eastAsia="zh-CN"/>
        </w:rPr>
        <w:t>燃料。</w:t>
      </w:r>
    </w:p>
    <w:p w14:paraId="270EDF71" w14:textId="77777777" w:rsidR="002C723E" w:rsidRPr="00E67914" w:rsidRDefault="002C723E" w:rsidP="002C723E">
      <w:pPr>
        <w:pStyle w:val="71"/>
        <w:adjustRightInd w:val="0"/>
        <w:snapToGrid w:val="0"/>
        <w:spacing w:line="360" w:lineRule="auto"/>
        <w:ind w:firstLine="480"/>
        <w:jc w:val="both"/>
        <w:rPr>
          <w:rFonts w:ascii="Times New Roman" w:hAnsi="Times New Roman"/>
          <w:sz w:val="24"/>
          <w:szCs w:val="24"/>
        </w:rPr>
      </w:pPr>
      <w:r w:rsidRPr="00E67914">
        <w:rPr>
          <w:rFonts w:ascii="Times New Roman" w:hAnsi="Times New Roman"/>
          <w:sz w:val="24"/>
        </w:rPr>
        <w:t>天然气硫分含量</w:t>
      </w:r>
      <w:r w:rsidRPr="00E67914">
        <w:rPr>
          <w:rFonts w:ascii="Times New Roman" w:hAnsi="Times New Roman"/>
          <w:sz w:val="24"/>
        </w:rPr>
        <w:t>S</w:t>
      </w:r>
      <w:r w:rsidRPr="00E67914">
        <w:rPr>
          <w:rFonts w:ascii="Times New Roman" w:hAnsi="Times New Roman"/>
          <w:sz w:val="24"/>
        </w:rPr>
        <w:t>按</w:t>
      </w:r>
      <w:r w:rsidRPr="00E67914">
        <w:rPr>
          <w:rFonts w:ascii="Times New Roman" w:hAnsi="Times New Roman"/>
          <w:sz w:val="24"/>
        </w:rPr>
        <w:t>200mg/m</w:t>
      </w:r>
      <w:r w:rsidRPr="00E67914">
        <w:rPr>
          <w:rFonts w:ascii="Times New Roman" w:hAnsi="Times New Roman"/>
          <w:sz w:val="24"/>
          <w:vertAlign w:val="superscript"/>
        </w:rPr>
        <w:t>3</w:t>
      </w:r>
      <w:r w:rsidRPr="00E67914">
        <w:rPr>
          <w:rFonts w:ascii="Times New Roman" w:hAnsi="Times New Roman"/>
          <w:sz w:val="24"/>
        </w:rPr>
        <w:t>计，则颗粒物排放量为</w:t>
      </w:r>
      <w:r w:rsidRPr="00E67914">
        <w:rPr>
          <w:rFonts w:ascii="Times New Roman" w:hAnsi="Times New Roman"/>
          <w:sz w:val="24"/>
        </w:rPr>
        <w:t>0.0458t/a</w:t>
      </w:r>
      <w:r w:rsidRPr="00E67914">
        <w:rPr>
          <w:rFonts w:ascii="Times New Roman" w:hAnsi="Times New Roman"/>
          <w:sz w:val="24"/>
        </w:rPr>
        <w:t>（</w:t>
      </w:r>
      <w:r w:rsidRPr="00E67914">
        <w:rPr>
          <w:rFonts w:ascii="Times New Roman" w:hAnsi="Times New Roman"/>
          <w:sz w:val="24"/>
        </w:rPr>
        <w:t>0.0052kg/h</w:t>
      </w:r>
      <w:r w:rsidRPr="00E67914">
        <w:rPr>
          <w:rFonts w:ascii="Times New Roman" w:hAnsi="Times New Roman"/>
          <w:sz w:val="24"/>
        </w:rPr>
        <w:t>），排放浓度为</w:t>
      </w:r>
      <w:r w:rsidRPr="00E67914">
        <w:rPr>
          <w:rFonts w:ascii="Times New Roman" w:hAnsi="Times New Roman"/>
          <w:sz w:val="24"/>
        </w:rPr>
        <w:t>9.09mg/m</w:t>
      </w:r>
      <w:r w:rsidRPr="00E67914">
        <w:rPr>
          <w:rFonts w:ascii="Times New Roman" w:hAnsi="Times New Roman"/>
          <w:sz w:val="24"/>
          <w:vertAlign w:val="superscript"/>
        </w:rPr>
        <w:t>3</w:t>
      </w:r>
      <w:r w:rsidRPr="00E67914">
        <w:rPr>
          <w:rFonts w:ascii="Times New Roman" w:hAnsi="Times New Roman"/>
          <w:sz w:val="24"/>
        </w:rPr>
        <w:t>；</w:t>
      </w:r>
      <w:r w:rsidRPr="00E67914">
        <w:rPr>
          <w:rFonts w:ascii="Times New Roman" w:hAnsi="Times New Roman"/>
          <w:sz w:val="24"/>
        </w:rPr>
        <w:t>SO</w:t>
      </w:r>
      <w:r w:rsidRPr="00E67914">
        <w:rPr>
          <w:rFonts w:ascii="Times New Roman" w:hAnsi="Times New Roman"/>
          <w:sz w:val="24"/>
          <w:vertAlign w:val="subscript"/>
        </w:rPr>
        <w:t>2</w:t>
      </w:r>
      <w:r w:rsidRPr="00E67914">
        <w:rPr>
          <w:rFonts w:ascii="Times New Roman" w:hAnsi="Times New Roman"/>
          <w:sz w:val="24"/>
        </w:rPr>
        <w:t>排放量为</w:t>
      </w:r>
      <w:r w:rsidRPr="00E67914">
        <w:rPr>
          <w:rFonts w:ascii="Times New Roman" w:hAnsi="Times New Roman"/>
          <w:sz w:val="24"/>
        </w:rPr>
        <w:t>0.064t/a</w:t>
      </w:r>
      <w:r w:rsidRPr="00E67914">
        <w:rPr>
          <w:rFonts w:ascii="Times New Roman" w:hAnsi="Times New Roman"/>
          <w:sz w:val="24"/>
        </w:rPr>
        <w:t>（</w:t>
      </w:r>
      <w:r w:rsidRPr="00E67914">
        <w:rPr>
          <w:rFonts w:ascii="Times New Roman" w:hAnsi="Times New Roman"/>
          <w:sz w:val="24"/>
        </w:rPr>
        <w:t>0.0073kg/h</w:t>
      </w:r>
      <w:r w:rsidRPr="00E67914">
        <w:rPr>
          <w:rFonts w:ascii="Times New Roman" w:hAnsi="Times New Roman"/>
          <w:sz w:val="24"/>
        </w:rPr>
        <w:t>），排放浓度为</w:t>
      </w:r>
      <w:r w:rsidRPr="00E67914">
        <w:rPr>
          <w:rFonts w:ascii="Times New Roman" w:hAnsi="Times New Roman"/>
          <w:sz w:val="24"/>
        </w:rPr>
        <w:t>12.71mg/m</w:t>
      </w:r>
      <w:r w:rsidRPr="00E67914">
        <w:rPr>
          <w:rFonts w:ascii="Times New Roman" w:hAnsi="Times New Roman"/>
          <w:sz w:val="24"/>
          <w:vertAlign w:val="superscript"/>
        </w:rPr>
        <w:t>3</w:t>
      </w:r>
      <w:r w:rsidRPr="00E67914">
        <w:rPr>
          <w:rFonts w:ascii="Times New Roman" w:hAnsi="Times New Roman"/>
          <w:sz w:val="24"/>
        </w:rPr>
        <w:t>；</w:t>
      </w:r>
      <w:r w:rsidRPr="00E67914">
        <w:rPr>
          <w:rFonts w:ascii="Times New Roman" w:hAnsi="Times New Roman"/>
          <w:sz w:val="24"/>
        </w:rPr>
        <w:t>NO</w:t>
      </w:r>
      <w:r w:rsidRPr="00E67914">
        <w:rPr>
          <w:rFonts w:ascii="Times New Roman" w:hAnsi="Times New Roman"/>
          <w:sz w:val="24"/>
          <w:vertAlign w:val="subscript"/>
        </w:rPr>
        <w:t>X</w:t>
      </w:r>
      <w:r w:rsidRPr="00E67914">
        <w:rPr>
          <w:rFonts w:ascii="Times New Roman" w:hAnsi="Times New Roman"/>
          <w:sz w:val="24"/>
        </w:rPr>
        <w:t>排放量为</w:t>
      </w:r>
      <w:r w:rsidRPr="00E67914">
        <w:rPr>
          <w:rFonts w:ascii="Times New Roman" w:hAnsi="Times New Roman"/>
          <w:sz w:val="24"/>
        </w:rPr>
        <w:t>0.1497t/a</w:t>
      </w:r>
      <w:r w:rsidRPr="00E67914">
        <w:rPr>
          <w:rFonts w:ascii="Times New Roman" w:hAnsi="Times New Roman"/>
          <w:sz w:val="24"/>
        </w:rPr>
        <w:t>（</w:t>
      </w:r>
      <w:r w:rsidRPr="00E67914">
        <w:rPr>
          <w:rFonts w:ascii="Times New Roman" w:hAnsi="Times New Roman"/>
          <w:sz w:val="24"/>
        </w:rPr>
        <w:t>0.0171kg/h</w:t>
      </w:r>
      <w:r w:rsidRPr="00E67914">
        <w:rPr>
          <w:rFonts w:ascii="Times New Roman" w:hAnsi="Times New Roman"/>
          <w:sz w:val="24"/>
        </w:rPr>
        <w:t>），排放浓度为</w:t>
      </w:r>
      <w:r w:rsidRPr="00E67914">
        <w:rPr>
          <w:rFonts w:ascii="Times New Roman" w:hAnsi="Times New Roman"/>
          <w:sz w:val="24"/>
        </w:rPr>
        <w:t>29.72mg/m</w:t>
      </w:r>
      <w:r w:rsidRPr="00E67914">
        <w:rPr>
          <w:rFonts w:ascii="Times New Roman" w:hAnsi="Times New Roman"/>
          <w:sz w:val="24"/>
          <w:vertAlign w:val="superscript"/>
        </w:rPr>
        <w:t>3</w:t>
      </w:r>
      <w:r w:rsidRPr="00E67914">
        <w:rPr>
          <w:rFonts w:ascii="Times New Roman" w:hAnsi="Times New Roman"/>
          <w:sz w:val="24"/>
        </w:rPr>
        <w:t>。</w:t>
      </w:r>
    </w:p>
    <w:p w14:paraId="009EBF15" w14:textId="77777777" w:rsidR="002C723E" w:rsidRPr="00E67914" w:rsidRDefault="002C723E" w:rsidP="002C723E">
      <w:pPr>
        <w:snapToGrid w:val="0"/>
        <w:spacing w:line="360" w:lineRule="auto"/>
        <w:ind w:firstLineChars="200" w:firstLine="480"/>
        <w:rPr>
          <w:rFonts w:ascii="Times New Roman" w:hAnsi="Times New Roman"/>
          <w:sz w:val="24"/>
          <w:lang w:eastAsia="zh-CN"/>
        </w:rPr>
      </w:pPr>
      <w:r w:rsidRPr="00E67914">
        <w:rPr>
          <w:rFonts w:ascii="Times New Roman" w:hAnsi="Times New Roman"/>
          <w:sz w:val="24"/>
          <w:szCs w:val="24"/>
          <w:lang w:eastAsia="zh-CN"/>
        </w:rPr>
        <w:t>火炬及放空系统长明灯</w:t>
      </w:r>
      <w:r w:rsidRPr="00E67914">
        <w:rPr>
          <w:rFonts w:ascii="Times New Roman" w:hAnsi="Times New Roman"/>
          <w:sz w:val="24"/>
          <w:lang w:eastAsia="zh-CN"/>
        </w:rPr>
        <w:t>的污染物排放情况见表</w:t>
      </w:r>
      <w:r w:rsidRPr="00E67914">
        <w:rPr>
          <w:rFonts w:ascii="Times New Roman" w:hAnsi="Times New Roman"/>
          <w:sz w:val="24"/>
          <w:lang w:eastAsia="zh-CN"/>
        </w:rPr>
        <w:t>3.4-15</w:t>
      </w:r>
      <w:r w:rsidRPr="00E67914">
        <w:rPr>
          <w:rFonts w:ascii="Times New Roman" w:hAnsi="Times New Roman"/>
          <w:sz w:val="24"/>
          <w:lang w:eastAsia="zh-CN"/>
        </w:rPr>
        <w:t>。</w:t>
      </w:r>
    </w:p>
    <w:p w14:paraId="6515319D" w14:textId="77777777" w:rsidR="002C723E" w:rsidRPr="00E67914" w:rsidRDefault="002C723E" w:rsidP="002C723E">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3.4-15   </w:t>
      </w:r>
      <w:r w:rsidRPr="00E67914">
        <w:rPr>
          <w:rFonts w:ascii="Times New Roman" w:eastAsia="黑体" w:hAnsi="Times New Roman"/>
          <w:sz w:val="21"/>
          <w:szCs w:val="21"/>
          <w:lang w:eastAsia="zh-CN"/>
        </w:rPr>
        <w:t>火炬及放空系统长明灯污染物排放情况</w:t>
      </w: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3"/>
        <w:gridCol w:w="1006"/>
        <w:gridCol w:w="1167"/>
        <w:gridCol w:w="1792"/>
        <w:gridCol w:w="631"/>
        <w:gridCol w:w="735"/>
        <w:gridCol w:w="638"/>
        <w:gridCol w:w="1354"/>
      </w:tblGrid>
      <w:tr w:rsidR="00E67914" w:rsidRPr="00E67914" w14:paraId="3E9669A5" w14:textId="77777777" w:rsidTr="00223052">
        <w:trPr>
          <w:trHeight w:val="197"/>
          <w:jc w:val="center"/>
        </w:trPr>
        <w:tc>
          <w:tcPr>
            <w:tcW w:w="500" w:type="pct"/>
            <w:vMerge w:val="restart"/>
            <w:vAlign w:val="center"/>
          </w:tcPr>
          <w:p w14:paraId="791D3B96" w14:textId="77777777" w:rsidR="002C723E" w:rsidRPr="00E67914" w:rsidRDefault="002C723E" w:rsidP="00223052">
            <w:pPr>
              <w:jc w:val="center"/>
              <w:rPr>
                <w:rFonts w:ascii="Times New Roman" w:hAnsi="Times New Roman"/>
                <w:b/>
                <w:kern w:val="2"/>
                <w:sz w:val="21"/>
              </w:rPr>
            </w:pPr>
            <w:r w:rsidRPr="00E67914">
              <w:rPr>
                <w:rFonts w:ascii="Times New Roman" w:hAnsi="Times New Roman"/>
                <w:b/>
                <w:kern w:val="2"/>
                <w:sz w:val="21"/>
              </w:rPr>
              <w:t>废气</w:t>
            </w:r>
          </w:p>
          <w:p w14:paraId="7183CFD7" w14:textId="77777777" w:rsidR="002C723E" w:rsidRPr="00E67914" w:rsidRDefault="002C723E" w:rsidP="00223052">
            <w:pPr>
              <w:jc w:val="center"/>
              <w:rPr>
                <w:rFonts w:ascii="Times New Roman" w:hAnsi="Times New Roman"/>
                <w:b/>
                <w:kern w:val="2"/>
                <w:sz w:val="21"/>
              </w:rPr>
            </w:pPr>
            <w:r w:rsidRPr="00E67914">
              <w:rPr>
                <w:rFonts w:ascii="Times New Roman" w:hAnsi="Times New Roman"/>
                <w:b/>
                <w:kern w:val="2"/>
                <w:sz w:val="21"/>
              </w:rPr>
              <w:t>类型</w:t>
            </w:r>
          </w:p>
        </w:tc>
        <w:tc>
          <w:tcPr>
            <w:tcW w:w="2436" w:type="pct"/>
            <w:gridSpan w:val="3"/>
            <w:vAlign w:val="center"/>
          </w:tcPr>
          <w:p w14:paraId="68C9701A" w14:textId="77777777" w:rsidR="002C723E" w:rsidRPr="00E67914" w:rsidRDefault="002C723E" w:rsidP="00223052">
            <w:pPr>
              <w:jc w:val="center"/>
              <w:rPr>
                <w:rFonts w:ascii="Times New Roman" w:hAnsi="Times New Roman"/>
                <w:b/>
                <w:kern w:val="2"/>
                <w:sz w:val="21"/>
              </w:rPr>
            </w:pPr>
            <w:r w:rsidRPr="00E67914">
              <w:rPr>
                <w:rFonts w:ascii="Times New Roman" w:hAnsi="Times New Roman"/>
                <w:b/>
                <w:kern w:val="2"/>
                <w:sz w:val="21"/>
              </w:rPr>
              <w:t>排放量</w:t>
            </w:r>
          </w:p>
        </w:tc>
        <w:tc>
          <w:tcPr>
            <w:tcW w:w="840" w:type="pct"/>
            <w:gridSpan w:val="2"/>
            <w:vAlign w:val="center"/>
          </w:tcPr>
          <w:p w14:paraId="12DE7F2C" w14:textId="77777777" w:rsidR="002C723E" w:rsidRPr="00E67914" w:rsidRDefault="002C723E" w:rsidP="00223052">
            <w:pPr>
              <w:adjustRightInd w:val="0"/>
              <w:snapToGrid w:val="0"/>
              <w:jc w:val="center"/>
              <w:rPr>
                <w:rFonts w:ascii="Times New Roman" w:hAnsi="Times New Roman"/>
                <w:b/>
                <w:kern w:val="2"/>
                <w:sz w:val="21"/>
              </w:rPr>
            </w:pPr>
            <w:r w:rsidRPr="00E67914">
              <w:rPr>
                <w:rFonts w:ascii="Times New Roman" w:hAnsi="Times New Roman"/>
                <w:b/>
                <w:kern w:val="2"/>
                <w:sz w:val="21"/>
              </w:rPr>
              <w:t>排气筒</w:t>
            </w:r>
          </w:p>
        </w:tc>
        <w:tc>
          <w:tcPr>
            <w:tcW w:w="392" w:type="pct"/>
            <w:vMerge w:val="restart"/>
            <w:vAlign w:val="center"/>
          </w:tcPr>
          <w:p w14:paraId="7CC179C5" w14:textId="77777777" w:rsidR="002C723E" w:rsidRPr="00E67914" w:rsidRDefault="002C723E" w:rsidP="00223052">
            <w:pPr>
              <w:adjustRightInd w:val="0"/>
              <w:snapToGrid w:val="0"/>
              <w:jc w:val="center"/>
              <w:rPr>
                <w:rFonts w:ascii="Times New Roman" w:hAnsi="Times New Roman"/>
                <w:b/>
                <w:kern w:val="2"/>
                <w:sz w:val="21"/>
              </w:rPr>
            </w:pPr>
            <w:r w:rsidRPr="00E67914">
              <w:rPr>
                <w:rFonts w:ascii="Times New Roman" w:hAnsi="Times New Roman"/>
                <w:b/>
                <w:kern w:val="2"/>
                <w:sz w:val="21"/>
              </w:rPr>
              <w:t>排烟</w:t>
            </w:r>
          </w:p>
          <w:p w14:paraId="25698303" w14:textId="77777777" w:rsidR="002C723E" w:rsidRPr="00E67914" w:rsidRDefault="002C723E" w:rsidP="00223052">
            <w:pPr>
              <w:adjustRightInd w:val="0"/>
              <w:snapToGrid w:val="0"/>
              <w:jc w:val="center"/>
              <w:rPr>
                <w:rFonts w:ascii="Times New Roman" w:hAnsi="Times New Roman"/>
                <w:b/>
                <w:kern w:val="2"/>
                <w:sz w:val="21"/>
              </w:rPr>
            </w:pPr>
            <w:r w:rsidRPr="00E67914">
              <w:rPr>
                <w:rFonts w:ascii="Times New Roman" w:hAnsi="Times New Roman"/>
                <w:b/>
                <w:kern w:val="2"/>
                <w:sz w:val="21"/>
              </w:rPr>
              <w:t>温度</w:t>
            </w:r>
          </w:p>
        </w:tc>
        <w:tc>
          <w:tcPr>
            <w:tcW w:w="833" w:type="pct"/>
            <w:vMerge w:val="restart"/>
            <w:vAlign w:val="center"/>
          </w:tcPr>
          <w:p w14:paraId="5BD3DB16" w14:textId="77777777" w:rsidR="002C723E" w:rsidRPr="00E67914" w:rsidRDefault="002C723E" w:rsidP="00223052">
            <w:pPr>
              <w:adjustRightInd w:val="0"/>
              <w:snapToGrid w:val="0"/>
              <w:jc w:val="center"/>
              <w:rPr>
                <w:rFonts w:ascii="Times New Roman" w:hAnsi="Times New Roman"/>
                <w:b/>
                <w:kern w:val="2"/>
                <w:sz w:val="21"/>
              </w:rPr>
            </w:pPr>
            <w:r w:rsidRPr="00E67914">
              <w:rPr>
                <w:rFonts w:ascii="Times New Roman" w:hAnsi="Times New Roman"/>
                <w:b/>
                <w:kern w:val="2"/>
                <w:sz w:val="21"/>
              </w:rPr>
              <w:t>排放</w:t>
            </w:r>
          </w:p>
          <w:p w14:paraId="6988C264" w14:textId="77777777" w:rsidR="002C723E" w:rsidRPr="00E67914" w:rsidRDefault="002C723E" w:rsidP="00223052">
            <w:pPr>
              <w:adjustRightInd w:val="0"/>
              <w:snapToGrid w:val="0"/>
              <w:jc w:val="center"/>
              <w:rPr>
                <w:rFonts w:ascii="Times New Roman" w:hAnsi="Times New Roman"/>
                <w:b/>
                <w:kern w:val="2"/>
                <w:sz w:val="21"/>
              </w:rPr>
            </w:pPr>
            <w:r w:rsidRPr="00E67914">
              <w:rPr>
                <w:rFonts w:ascii="Times New Roman" w:hAnsi="Times New Roman"/>
                <w:b/>
                <w:kern w:val="2"/>
                <w:sz w:val="21"/>
              </w:rPr>
              <w:t>方式</w:t>
            </w:r>
          </w:p>
        </w:tc>
      </w:tr>
      <w:tr w:rsidR="00E67914" w:rsidRPr="00E67914" w14:paraId="48C26AAE" w14:textId="77777777" w:rsidTr="00223052">
        <w:trPr>
          <w:trHeight w:val="146"/>
          <w:jc w:val="center"/>
        </w:trPr>
        <w:tc>
          <w:tcPr>
            <w:tcW w:w="500" w:type="pct"/>
            <w:vMerge/>
            <w:vAlign w:val="center"/>
          </w:tcPr>
          <w:p w14:paraId="2B5FA753" w14:textId="77777777" w:rsidR="002C723E" w:rsidRPr="00E67914" w:rsidRDefault="002C723E" w:rsidP="00223052">
            <w:pPr>
              <w:jc w:val="center"/>
              <w:rPr>
                <w:rFonts w:ascii="Times New Roman" w:hAnsi="Times New Roman"/>
                <w:bCs/>
                <w:kern w:val="2"/>
                <w:sz w:val="21"/>
              </w:rPr>
            </w:pPr>
          </w:p>
        </w:tc>
        <w:tc>
          <w:tcPr>
            <w:tcW w:w="618" w:type="pct"/>
            <w:vAlign w:val="center"/>
          </w:tcPr>
          <w:p w14:paraId="0FA2E077" w14:textId="77777777" w:rsidR="002C723E" w:rsidRPr="00E67914" w:rsidRDefault="002C723E" w:rsidP="00223052">
            <w:pPr>
              <w:jc w:val="center"/>
              <w:rPr>
                <w:rFonts w:ascii="Times New Roman" w:hAnsi="Times New Roman"/>
                <w:b/>
                <w:kern w:val="2"/>
                <w:sz w:val="21"/>
              </w:rPr>
            </w:pPr>
            <w:r w:rsidRPr="00E67914">
              <w:rPr>
                <w:rFonts w:ascii="Times New Roman" w:hAnsi="Times New Roman"/>
                <w:b/>
                <w:kern w:val="2"/>
                <w:sz w:val="21"/>
              </w:rPr>
              <w:t>项目</w:t>
            </w:r>
          </w:p>
        </w:tc>
        <w:tc>
          <w:tcPr>
            <w:tcW w:w="717" w:type="pct"/>
            <w:vAlign w:val="center"/>
          </w:tcPr>
          <w:p w14:paraId="7689E961" w14:textId="77777777" w:rsidR="002C723E" w:rsidRPr="00E67914" w:rsidRDefault="002C723E" w:rsidP="00223052">
            <w:pPr>
              <w:jc w:val="center"/>
              <w:rPr>
                <w:rFonts w:ascii="Times New Roman" w:hAnsi="Times New Roman"/>
                <w:b/>
                <w:kern w:val="2"/>
                <w:sz w:val="21"/>
              </w:rPr>
            </w:pPr>
            <w:r w:rsidRPr="00E67914">
              <w:rPr>
                <w:rFonts w:ascii="Times New Roman" w:hAnsi="Times New Roman"/>
                <w:b/>
                <w:kern w:val="2"/>
                <w:sz w:val="21"/>
              </w:rPr>
              <w:t>排放浓度</w:t>
            </w:r>
          </w:p>
        </w:tc>
        <w:tc>
          <w:tcPr>
            <w:tcW w:w="1101" w:type="pct"/>
            <w:vAlign w:val="center"/>
          </w:tcPr>
          <w:p w14:paraId="23CB1844" w14:textId="77777777" w:rsidR="002C723E" w:rsidRPr="00E67914" w:rsidRDefault="002C723E" w:rsidP="00223052">
            <w:pPr>
              <w:jc w:val="center"/>
              <w:rPr>
                <w:rFonts w:ascii="Times New Roman" w:hAnsi="Times New Roman"/>
                <w:b/>
                <w:kern w:val="2"/>
                <w:sz w:val="21"/>
              </w:rPr>
            </w:pPr>
            <w:r w:rsidRPr="00E67914">
              <w:rPr>
                <w:rFonts w:ascii="Times New Roman" w:hAnsi="Times New Roman"/>
                <w:b/>
                <w:kern w:val="2"/>
                <w:sz w:val="21"/>
              </w:rPr>
              <w:t>排放强度</w:t>
            </w:r>
          </w:p>
        </w:tc>
        <w:tc>
          <w:tcPr>
            <w:tcW w:w="388" w:type="pct"/>
            <w:vAlign w:val="center"/>
          </w:tcPr>
          <w:p w14:paraId="416E9D14" w14:textId="77777777" w:rsidR="002C723E" w:rsidRPr="00E67914" w:rsidRDefault="002C723E" w:rsidP="00223052">
            <w:pPr>
              <w:adjustRightInd w:val="0"/>
              <w:snapToGrid w:val="0"/>
              <w:jc w:val="center"/>
              <w:rPr>
                <w:rFonts w:ascii="Times New Roman" w:hAnsi="Times New Roman"/>
                <w:b/>
                <w:kern w:val="2"/>
                <w:sz w:val="21"/>
              </w:rPr>
            </w:pPr>
            <w:r w:rsidRPr="00E67914">
              <w:rPr>
                <w:rFonts w:ascii="Times New Roman" w:hAnsi="Times New Roman"/>
                <w:b/>
                <w:kern w:val="2"/>
                <w:sz w:val="21"/>
              </w:rPr>
              <w:t>高度</w:t>
            </w:r>
          </w:p>
        </w:tc>
        <w:tc>
          <w:tcPr>
            <w:tcW w:w="452" w:type="pct"/>
            <w:vAlign w:val="center"/>
          </w:tcPr>
          <w:p w14:paraId="4B8CE0D5" w14:textId="77777777" w:rsidR="002C723E" w:rsidRPr="00E67914" w:rsidRDefault="002C723E" w:rsidP="00223052">
            <w:pPr>
              <w:adjustRightInd w:val="0"/>
              <w:snapToGrid w:val="0"/>
              <w:jc w:val="center"/>
              <w:rPr>
                <w:rFonts w:ascii="Times New Roman" w:hAnsi="Times New Roman"/>
                <w:b/>
                <w:kern w:val="2"/>
                <w:sz w:val="21"/>
              </w:rPr>
            </w:pPr>
            <w:r w:rsidRPr="00E67914">
              <w:rPr>
                <w:rFonts w:ascii="Times New Roman" w:hAnsi="Times New Roman"/>
                <w:b/>
                <w:kern w:val="2"/>
                <w:sz w:val="21"/>
              </w:rPr>
              <w:t>内径</w:t>
            </w:r>
          </w:p>
        </w:tc>
        <w:tc>
          <w:tcPr>
            <w:tcW w:w="392" w:type="pct"/>
            <w:vMerge/>
            <w:vAlign w:val="center"/>
          </w:tcPr>
          <w:p w14:paraId="769A19AD" w14:textId="77777777" w:rsidR="002C723E" w:rsidRPr="00E67914" w:rsidRDefault="002C723E" w:rsidP="00223052">
            <w:pPr>
              <w:jc w:val="center"/>
              <w:rPr>
                <w:rFonts w:ascii="Times New Roman" w:hAnsi="Times New Roman"/>
                <w:bCs/>
                <w:kern w:val="2"/>
                <w:sz w:val="21"/>
              </w:rPr>
            </w:pPr>
          </w:p>
        </w:tc>
        <w:tc>
          <w:tcPr>
            <w:tcW w:w="833" w:type="pct"/>
            <w:vMerge/>
            <w:vAlign w:val="center"/>
          </w:tcPr>
          <w:p w14:paraId="10D7FAEF" w14:textId="77777777" w:rsidR="002C723E" w:rsidRPr="00E67914" w:rsidRDefault="002C723E" w:rsidP="00223052">
            <w:pPr>
              <w:jc w:val="center"/>
              <w:rPr>
                <w:rFonts w:ascii="Times New Roman" w:hAnsi="Times New Roman"/>
                <w:bCs/>
                <w:kern w:val="2"/>
                <w:sz w:val="21"/>
              </w:rPr>
            </w:pPr>
          </w:p>
        </w:tc>
      </w:tr>
      <w:tr w:rsidR="00E67914" w:rsidRPr="00E67914" w14:paraId="45D87196" w14:textId="77777777" w:rsidTr="00223052">
        <w:trPr>
          <w:trHeight w:val="366"/>
          <w:jc w:val="center"/>
        </w:trPr>
        <w:tc>
          <w:tcPr>
            <w:tcW w:w="500" w:type="pct"/>
            <w:vMerge w:val="restart"/>
            <w:vAlign w:val="center"/>
          </w:tcPr>
          <w:p w14:paraId="65837677" w14:textId="77777777" w:rsidR="002C723E" w:rsidRPr="00E67914" w:rsidRDefault="002C723E" w:rsidP="00223052">
            <w:pPr>
              <w:jc w:val="center"/>
              <w:rPr>
                <w:rFonts w:ascii="Times New Roman" w:hAnsi="Times New Roman"/>
                <w:bCs/>
                <w:kern w:val="2"/>
                <w:sz w:val="21"/>
                <w:lang w:eastAsia="zh-CN"/>
              </w:rPr>
            </w:pPr>
            <w:r w:rsidRPr="00E67914">
              <w:rPr>
                <w:rFonts w:ascii="Times New Roman" w:hAnsi="Times New Roman"/>
                <w:bCs/>
                <w:kern w:val="2"/>
                <w:sz w:val="21"/>
                <w:lang w:eastAsia="zh-CN"/>
              </w:rPr>
              <w:t>火炬及放空系统长明灯燃烧废气</w:t>
            </w:r>
          </w:p>
        </w:tc>
        <w:tc>
          <w:tcPr>
            <w:tcW w:w="618" w:type="pct"/>
            <w:vAlign w:val="center"/>
          </w:tcPr>
          <w:p w14:paraId="7F64AA96"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kern w:val="2"/>
                <w:sz w:val="21"/>
              </w:rPr>
              <w:t>烟气流量</w:t>
            </w:r>
          </w:p>
        </w:tc>
        <w:tc>
          <w:tcPr>
            <w:tcW w:w="717" w:type="pct"/>
            <w:vAlign w:val="center"/>
          </w:tcPr>
          <w:p w14:paraId="53F14A41"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bCs/>
                <w:kern w:val="2"/>
                <w:sz w:val="21"/>
              </w:rPr>
              <w:t>/</w:t>
            </w:r>
          </w:p>
        </w:tc>
        <w:tc>
          <w:tcPr>
            <w:tcW w:w="1101" w:type="pct"/>
            <w:vAlign w:val="center"/>
          </w:tcPr>
          <w:p w14:paraId="6ABA92ED"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kern w:val="2"/>
                <w:sz w:val="21"/>
              </w:rPr>
              <w:t>503.68</w:t>
            </w:r>
            <w:r w:rsidRPr="00E67914">
              <w:rPr>
                <w:rFonts w:ascii="Times New Roman" w:hAnsi="Times New Roman"/>
                <w:kern w:val="2"/>
                <w:sz w:val="21"/>
              </w:rPr>
              <w:t>万</w:t>
            </w:r>
            <w:r w:rsidRPr="00E67914">
              <w:rPr>
                <w:rFonts w:ascii="Times New Roman" w:hAnsi="Times New Roman"/>
                <w:kern w:val="2"/>
                <w:sz w:val="21"/>
              </w:rPr>
              <w:t>Nm</w:t>
            </w:r>
            <w:r w:rsidRPr="00E67914">
              <w:rPr>
                <w:rFonts w:ascii="Times New Roman" w:hAnsi="Times New Roman"/>
                <w:kern w:val="2"/>
                <w:sz w:val="21"/>
                <w:vertAlign w:val="superscript"/>
              </w:rPr>
              <w:t>3</w:t>
            </w:r>
            <w:r w:rsidRPr="00E67914">
              <w:rPr>
                <w:rFonts w:ascii="Times New Roman" w:hAnsi="Times New Roman"/>
                <w:kern w:val="2"/>
                <w:sz w:val="21"/>
              </w:rPr>
              <w:t>/a</w:t>
            </w:r>
          </w:p>
        </w:tc>
        <w:tc>
          <w:tcPr>
            <w:tcW w:w="388" w:type="pct"/>
            <w:vMerge w:val="restart"/>
            <w:vAlign w:val="center"/>
          </w:tcPr>
          <w:p w14:paraId="12A37CD8" w14:textId="7F1DEF82" w:rsidR="002C723E" w:rsidRPr="00E67914" w:rsidRDefault="00CB5094" w:rsidP="00223052">
            <w:pPr>
              <w:adjustRightInd w:val="0"/>
              <w:snapToGrid w:val="0"/>
              <w:jc w:val="center"/>
              <w:rPr>
                <w:rFonts w:ascii="Times New Roman" w:hAnsi="Times New Roman"/>
                <w:bCs/>
                <w:kern w:val="2"/>
                <w:sz w:val="21"/>
              </w:rPr>
            </w:pPr>
            <w:r w:rsidRPr="00E67914">
              <w:rPr>
                <w:rFonts w:ascii="Times New Roman" w:hAnsi="Times New Roman"/>
                <w:bCs/>
                <w:kern w:val="2"/>
                <w:sz w:val="21"/>
              </w:rPr>
              <w:t>2</w:t>
            </w:r>
            <w:r w:rsidR="002C723E" w:rsidRPr="00E67914">
              <w:rPr>
                <w:rFonts w:ascii="Times New Roman" w:hAnsi="Times New Roman"/>
                <w:bCs/>
                <w:kern w:val="2"/>
                <w:sz w:val="21"/>
              </w:rPr>
              <w:t>5m</w:t>
            </w:r>
          </w:p>
        </w:tc>
        <w:tc>
          <w:tcPr>
            <w:tcW w:w="452" w:type="pct"/>
            <w:vMerge w:val="restart"/>
            <w:vAlign w:val="center"/>
          </w:tcPr>
          <w:p w14:paraId="24F92FC8" w14:textId="77777777" w:rsidR="002C723E" w:rsidRPr="00E67914" w:rsidRDefault="002C723E" w:rsidP="00223052">
            <w:pPr>
              <w:adjustRightInd w:val="0"/>
              <w:snapToGrid w:val="0"/>
              <w:jc w:val="center"/>
              <w:rPr>
                <w:rFonts w:ascii="Times New Roman" w:hAnsi="Times New Roman"/>
                <w:bCs/>
                <w:kern w:val="2"/>
                <w:sz w:val="21"/>
              </w:rPr>
            </w:pPr>
            <w:r w:rsidRPr="00E67914">
              <w:rPr>
                <w:rFonts w:ascii="Times New Roman" w:hAnsi="Times New Roman"/>
                <w:bCs/>
                <w:kern w:val="2"/>
                <w:sz w:val="21"/>
              </w:rPr>
              <w:t>0.15m</w:t>
            </w:r>
          </w:p>
        </w:tc>
        <w:tc>
          <w:tcPr>
            <w:tcW w:w="392" w:type="pct"/>
            <w:vMerge w:val="restart"/>
            <w:vAlign w:val="center"/>
          </w:tcPr>
          <w:p w14:paraId="06AABFCF"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bCs/>
                <w:kern w:val="2"/>
                <w:sz w:val="21"/>
              </w:rPr>
              <w:t>150</w:t>
            </w:r>
          </w:p>
        </w:tc>
        <w:tc>
          <w:tcPr>
            <w:tcW w:w="833" w:type="pct"/>
            <w:vMerge w:val="restart"/>
            <w:vAlign w:val="center"/>
          </w:tcPr>
          <w:p w14:paraId="5F8D2BDC" w14:textId="77777777" w:rsidR="002C723E" w:rsidRPr="00E67914" w:rsidRDefault="002C723E" w:rsidP="00223052">
            <w:pPr>
              <w:jc w:val="center"/>
              <w:rPr>
                <w:rFonts w:ascii="Times New Roman" w:hAnsi="Times New Roman"/>
                <w:bCs/>
                <w:kern w:val="2"/>
                <w:sz w:val="21"/>
                <w:lang w:eastAsia="zh-CN"/>
              </w:rPr>
            </w:pPr>
            <w:r w:rsidRPr="00E67914">
              <w:rPr>
                <w:rFonts w:ascii="Times New Roman" w:hAnsi="Times New Roman"/>
                <w:bCs/>
                <w:kern w:val="2"/>
                <w:sz w:val="21"/>
                <w:lang w:eastAsia="zh-CN"/>
              </w:rPr>
              <w:t>有组织排放，连续</w:t>
            </w:r>
            <w:r w:rsidRPr="00E67914">
              <w:rPr>
                <w:rFonts w:ascii="Times New Roman" w:hAnsi="Times New Roman"/>
                <w:bCs/>
                <w:kern w:val="2"/>
                <w:sz w:val="21"/>
                <w:lang w:eastAsia="zh-CN"/>
              </w:rPr>
              <w:t>24</w:t>
            </w:r>
            <w:r w:rsidRPr="00E67914">
              <w:rPr>
                <w:rFonts w:ascii="Times New Roman" w:hAnsi="Times New Roman"/>
                <w:bCs/>
                <w:kern w:val="2"/>
                <w:sz w:val="21"/>
                <w:lang w:eastAsia="zh-CN"/>
              </w:rPr>
              <w:t>小时，年</w:t>
            </w:r>
            <w:r w:rsidRPr="00E67914">
              <w:rPr>
                <w:rFonts w:ascii="Times New Roman" w:hAnsi="Times New Roman"/>
                <w:bCs/>
                <w:kern w:val="2"/>
                <w:sz w:val="21"/>
                <w:lang w:eastAsia="zh-CN"/>
              </w:rPr>
              <w:t>365</w:t>
            </w:r>
            <w:r w:rsidRPr="00E67914">
              <w:rPr>
                <w:rFonts w:ascii="Times New Roman" w:hAnsi="Times New Roman"/>
                <w:bCs/>
                <w:kern w:val="2"/>
                <w:sz w:val="21"/>
                <w:lang w:eastAsia="zh-CN"/>
              </w:rPr>
              <w:t>天</w:t>
            </w:r>
          </w:p>
        </w:tc>
      </w:tr>
      <w:tr w:rsidR="00E67914" w:rsidRPr="00E67914" w14:paraId="2BD3F51F" w14:textId="77777777" w:rsidTr="00223052">
        <w:trPr>
          <w:trHeight w:val="366"/>
          <w:jc w:val="center"/>
        </w:trPr>
        <w:tc>
          <w:tcPr>
            <w:tcW w:w="500" w:type="pct"/>
            <w:vMerge/>
            <w:vAlign w:val="center"/>
          </w:tcPr>
          <w:p w14:paraId="1B8A5917" w14:textId="77777777" w:rsidR="002C723E" w:rsidRPr="00E67914" w:rsidRDefault="002C723E" w:rsidP="00223052">
            <w:pPr>
              <w:jc w:val="center"/>
              <w:rPr>
                <w:rFonts w:ascii="Times New Roman" w:hAnsi="Times New Roman"/>
                <w:kern w:val="2"/>
                <w:sz w:val="21"/>
                <w:lang w:eastAsia="zh-CN"/>
              </w:rPr>
            </w:pPr>
          </w:p>
        </w:tc>
        <w:tc>
          <w:tcPr>
            <w:tcW w:w="618" w:type="pct"/>
            <w:vAlign w:val="center"/>
          </w:tcPr>
          <w:p w14:paraId="258899C7" w14:textId="77777777" w:rsidR="002C723E" w:rsidRPr="00E67914" w:rsidRDefault="002C723E" w:rsidP="00223052">
            <w:pPr>
              <w:jc w:val="center"/>
              <w:rPr>
                <w:rFonts w:ascii="Times New Roman" w:hAnsi="Times New Roman"/>
                <w:kern w:val="2"/>
                <w:sz w:val="21"/>
              </w:rPr>
            </w:pPr>
            <w:r w:rsidRPr="00E67914">
              <w:rPr>
                <w:rFonts w:ascii="Times New Roman" w:hAnsi="Times New Roman"/>
                <w:kern w:val="2"/>
                <w:sz w:val="21"/>
              </w:rPr>
              <w:t>SO</w:t>
            </w:r>
            <w:r w:rsidRPr="00E67914">
              <w:rPr>
                <w:rFonts w:ascii="Times New Roman" w:hAnsi="Times New Roman"/>
                <w:kern w:val="2"/>
                <w:sz w:val="21"/>
                <w:vertAlign w:val="subscript"/>
              </w:rPr>
              <w:t>2</w:t>
            </w:r>
          </w:p>
        </w:tc>
        <w:tc>
          <w:tcPr>
            <w:tcW w:w="717" w:type="pct"/>
            <w:vAlign w:val="center"/>
          </w:tcPr>
          <w:p w14:paraId="048039A5"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bCs/>
                <w:kern w:val="2"/>
                <w:sz w:val="21"/>
              </w:rPr>
              <w:t>12.71</w:t>
            </w:r>
            <w:r w:rsidRPr="00E67914">
              <w:rPr>
                <w:rFonts w:ascii="Times New Roman" w:hAnsi="Times New Roman"/>
                <w:kern w:val="2"/>
                <w:sz w:val="21"/>
              </w:rPr>
              <w:t>mg/m</w:t>
            </w:r>
            <w:r w:rsidRPr="00E67914">
              <w:rPr>
                <w:rFonts w:ascii="Times New Roman" w:hAnsi="Times New Roman"/>
                <w:kern w:val="2"/>
                <w:sz w:val="21"/>
                <w:vertAlign w:val="superscript"/>
              </w:rPr>
              <w:t>3</w:t>
            </w:r>
          </w:p>
        </w:tc>
        <w:tc>
          <w:tcPr>
            <w:tcW w:w="1101" w:type="pct"/>
            <w:vAlign w:val="center"/>
          </w:tcPr>
          <w:p w14:paraId="463013F5" w14:textId="77777777" w:rsidR="002C723E" w:rsidRPr="00E67914" w:rsidRDefault="002C723E" w:rsidP="00223052">
            <w:pPr>
              <w:jc w:val="center"/>
              <w:rPr>
                <w:rFonts w:ascii="Times New Roman" w:hAnsi="Times New Roman"/>
                <w:kern w:val="2"/>
                <w:sz w:val="21"/>
              </w:rPr>
            </w:pPr>
            <w:r w:rsidRPr="00E67914">
              <w:rPr>
                <w:rFonts w:ascii="Times New Roman" w:hAnsi="Times New Roman"/>
                <w:kern w:val="2"/>
                <w:sz w:val="21"/>
              </w:rPr>
              <w:t>0.0640t/a</w:t>
            </w:r>
            <w:r w:rsidRPr="00E67914">
              <w:rPr>
                <w:rFonts w:ascii="Times New Roman" w:hAnsi="Times New Roman"/>
                <w:kern w:val="2"/>
                <w:sz w:val="21"/>
              </w:rPr>
              <w:t>；</w:t>
            </w:r>
            <w:r w:rsidRPr="00E67914">
              <w:rPr>
                <w:rFonts w:ascii="Times New Roman" w:hAnsi="Times New Roman"/>
                <w:kern w:val="2"/>
                <w:sz w:val="21"/>
                <w:lang w:eastAsia="zh-CN"/>
              </w:rPr>
              <w:t>0.0073</w:t>
            </w:r>
            <w:r w:rsidRPr="00E67914">
              <w:rPr>
                <w:rFonts w:ascii="Times New Roman" w:hAnsi="Times New Roman"/>
                <w:kern w:val="2"/>
                <w:sz w:val="21"/>
              </w:rPr>
              <w:t>kg/h</w:t>
            </w:r>
          </w:p>
        </w:tc>
        <w:tc>
          <w:tcPr>
            <w:tcW w:w="388" w:type="pct"/>
            <w:vMerge/>
            <w:vAlign w:val="center"/>
          </w:tcPr>
          <w:p w14:paraId="3D7A6D81" w14:textId="77777777" w:rsidR="002C723E" w:rsidRPr="00E67914" w:rsidRDefault="002C723E" w:rsidP="00223052">
            <w:pPr>
              <w:adjustRightInd w:val="0"/>
              <w:snapToGrid w:val="0"/>
              <w:jc w:val="center"/>
              <w:rPr>
                <w:rFonts w:ascii="Times New Roman" w:hAnsi="Times New Roman"/>
                <w:bCs/>
                <w:kern w:val="2"/>
                <w:sz w:val="21"/>
              </w:rPr>
            </w:pPr>
          </w:p>
        </w:tc>
        <w:tc>
          <w:tcPr>
            <w:tcW w:w="452" w:type="pct"/>
            <w:vMerge/>
            <w:vAlign w:val="center"/>
          </w:tcPr>
          <w:p w14:paraId="1CC7BCFD" w14:textId="77777777" w:rsidR="002C723E" w:rsidRPr="00E67914" w:rsidRDefault="002C723E" w:rsidP="00223052">
            <w:pPr>
              <w:adjustRightInd w:val="0"/>
              <w:snapToGrid w:val="0"/>
              <w:jc w:val="center"/>
              <w:rPr>
                <w:rFonts w:ascii="Times New Roman" w:hAnsi="Times New Roman"/>
                <w:bCs/>
                <w:kern w:val="2"/>
                <w:sz w:val="21"/>
              </w:rPr>
            </w:pPr>
          </w:p>
        </w:tc>
        <w:tc>
          <w:tcPr>
            <w:tcW w:w="392" w:type="pct"/>
            <w:vMerge/>
            <w:vAlign w:val="center"/>
          </w:tcPr>
          <w:p w14:paraId="35AA088F" w14:textId="77777777" w:rsidR="002C723E" w:rsidRPr="00E67914" w:rsidRDefault="002C723E" w:rsidP="00223052">
            <w:pPr>
              <w:jc w:val="center"/>
              <w:rPr>
                <w:rFonts w:ascii="Times New Roman" w:hAnsi="Times New Roman"/>
                <w:bCs/>
                <w:kern w:val="2"/>
                <w:sz w:val="21"/>
              </w:rPr>
            </w:pPr>
          </w:p>
        </w:tc>
        <w:tc>
          <w:tcPr>
            <w:tcW w:w="833" w:type="pct"/>
            <w:vMerge/>
            <w:vAlign w:val="center"/>
          </w:tcPr>
          <w:p w14:paraId="571716D6" w14:textId="77777777" w:rsidR="002C723E" w:rsidRPr="00E67914" w:rsidRDefault="002C723E" w:rsidP="00223052">
            <w:pPr>
              <w:jc w:val="center"/>
              <w:rPr>
                <w:rFonts w:ascii="Times New Roman" w:hAnsi="Times New Roman"/>
                <w:bCs/>
                <w:kern w:val="2"/>
                <w:sz w:val="21"/>
              </w:rPr>
            </w:pPr>
          </w:p>
        </w:tc>
      </w:tr>
      <w:tr w:rsidR="00E67914" w:rsidRPr="00E67914" w14:paraId="5ABC9BCC" w14:textId="77777777" w:rsidTr="00223052">
        <w:trPr>
          <w:trHeight w:val="430"/>
          <w:jc w:val="center"/>
        </w:trPr>
        <w:tc>
          <w:tcPr>
            <w:tcW w:w="500" w:type="pct"/>
            <w:vMerge/>
            <w:vAlign w:val="center"/>
          </w:tcPr>
          <w:p w14:paraId="7D6F76E2" w14:textId="77777777" w:rsidR="002C723E" w:rsidRPr="00E67914" w:rsidRDefault="002C723E" w:rsidP="00223052">
            <w:pPr>
              <w:jc w:val="center"/>
              <w:rPr>
                <w:rFonts w:ascii="Times New Roman" w:hAnsi="Times New Roman"/>
                <w:kern w:val="2"/>
                <w:sz w:val="21"/>
              </w:rPr>
            </w:pPr>
          </w:p>
        </w:tc>
        <w:tc>
          <w:tcPr>
            <w:tcW w:w="618" w:type="pct"/>
            <w:vAlign w:val="center"/>
          </w:tcPr>
          <w:p w14:paraId="3830A706" w14:textId="77777777" w:rsidR="002C723E" w:rsidRPr="00E67914" w:rsidRDefault="002C723E" w:rsidP="00223052">
            <w:pPr>
              <w:jc w:val="center"/>
              <w:rPr>
                <w:rFonts w:ascii="Times New Roman" w:hAnsi="Times New Roman"/>
                <w:kern w:val="2"/>
                <w:sz w:val="21"/>
              </w:rPr>
            </w:pPr>
            <w:r w:rsidRPr="00E67914">
              <w:rPr>
                <w:rFonts w:ascii="Times New Roman" w:hAnsi="Times New Roman"/>
                <w:kern w:val="2"/>
                <w:sz w:val="21"/>
              </w:rPr>
              <w:t>NOx</w:t>
            </w:r>
          </w:p>
        </w:tc>
        <w:tc>
          <w:tcPr>
            <w:tcW w:w="717" w:type="pct"/>
            <w:vAlign w:val="center"/>
          </w:tcPr>
          <w:p w14:paraId="3D8472D0"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kern w:val="2"/>
                <w:sz w:val="21"/>
              </w:rPr>
              <w:t>29.72mg/m</w:t>
            </w:r>
            <w:r w:rsidRPr="00E67914">
              <w:rPr>
                <w:rFonts w:ascii="Times New Roman" w:hAnsi="Times New Roman"/>
                <w:kern w:val="2"/>
                <w:sz w:val="21"/>
                <w:vertAlign w:val="superscript"/>
              </w:rPr>
              <w:t>3</w:t>
            </w:r>
          </w:p>
        </w:tc>
        <w:tc>
          <w:tcPr>
            <w:tcW w:w="1101" w:type="pct"/>
            <w:vAlign w:val="center"/>
          </w:tcPr>
          <w:p w14:paraId="1D35630A"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kern w:val="2"/>
                <w:sz w:val="21"/>
              </w:rPr>
              <w:t>0.1497t/a</w:t>
            </w:r>
            <w:r w:rsidRPr="00E67914">
              <w:rPr>
                <w:rFonts w:ascii="Times New Roman" w:hAnsi="Times New Roman"/>
                <w:kern w:val="2"/>
                <w:sz w:val="21"/>
              </w:rPr>
              <w:t>；</w:t>
            </w:r>
            <w:r w:rsidRPr="00E67914">
              <w:rPr>
                <w:rFonts w:ascii="Times New Roman" w:hAnsi="Times New Roman"/>
                <w:kern w:val="2"/>
                <w:sz w:val="21"/>
                <w:lang w:eastAsia="zh-CN"/>
              </w:rPr>
              <w:t>0.0171</w:t>
            </w:r>
            <w:r w:rsidRPr="00E67914">
              <w:rPr>
                <w:rFonts w:ascii="Times New Roman" w:hAnsi="Times New Roman"/>
                <w:kern w:val="2"/>
                <w:sz w:val="21"/>
              </w:rPr>
              <w:t>kg/h</w:t>
            </w:r>
          </w:p>
        </w:tc>
        <w:tc>
          <w:tcPr>
            <w:tcW w:w="388" w:type="pct"/>
            <w:vMerge/>
            <w:vAlign w:val="center"/>
          </w:tcPr>
          <w:p w14:paraId="2425496E" w14:textId="77777777" w:rsidR="002C723E" w:rsidRPr="00E67914" w:rsidRDefault="002C723E" w:rsidP="00223052">
            <w:pPr>
              <w:adjustRightInd w:val="0"/>
              <w:snapToGrid w:val="0"/>
              <w:jc w:val="center"/>
              <w:rPr>
                <w:rFonts w:ascii="Times New Roman" w:hAnsi="Times New Roman"/>
                <w:bCs/>
                <w:kern w:val="2"/>
                <w:sz w:val="21"/>
              </w:rPr>
            </w:pPr>
          </w:p>
        </w:tc>
        <w:tc>
          <w:tcPr>
            <w:tcW w:w="452" w:type="pct"/>
            <w:vMerge/>
            <w:vAlign w:val="center"/>
          </w:tcPr>
          <w:p w14:paraId="457ECFC9" w14:textId="77777777" w:rsidR="002C723E" w:rsidRPr="00E67914" w:rsidRDefault="002C723E" w:rsidP="00223052">
            <w:pPr>
              <w:adjustRightInd w:val="0"/>
              <w:snapToGrid w:val="0"/>
              <w:jc w:val="center"/>
              <w:rPr>
                <w:rFonts w:ascii="Times New Roman" w:hAnsi="Times New Roman"/>
                <w:bCs/>
                <w:kern w:val="2"/>
                <w:sz w:val="21"/>
              </w:rPr>
            </w:pPr>
          </w:p>
        </w:tc>
        <w:tc>
          <w:tcPr>
            <w:tcW w:w="392" w:type="pct"/>
            <w:vMerge/>
            <w:vAlign w:val="center"/>
          </w:tcPr>
          <w:p w14:paraId="2CF62F28" w14:textId="77777777" w:rsidR="002C723E" w:rsidRPr="00E67914" w:rsidRDefault="002C723E" w:rsidP="00223052">
            <w:pPr>
              <w:jc w:val="center"/>
              <w:rPr>
                <w:rFonts w:ascii="Times New Roman" w:hAnsi="Times New Roman"/>
                <w:bCs/>
                <w:kern w:val="2"/>
                <w:sz w:val="21"/>
              </w:rPr>
            </w:pPr>
          </w:p>
        </w:tc>
        <w:tc>
          <w:tcPr>
            <w:tcW w:w="833" w:type="pct"/>
            <w:vMerge/>
            <w:vAlign w:val="center"/>
          </w:tcPr>
          <w:p w14:paraId="7B7BE2E6" w14:textId="77777777" w:rsidR="002C723E" w:rsidRPr="00E67914" w:rsidRDefault="002C723E" w:rsidP="00223052">
            <w:pPr>
              <w:jc w:val="center"/>
              <w:rPr>
                <w:rFonts w:ascii="Times New Roman" w:hAnsi="Times New Roman"/>
                <w:bCs/>
                <w:kern w:val="2"/>
                <w:sz w:val="21"/>
              </w:rPr>
            </w:pPr>
          </w:p>
        </w:tc>
      </w:tr>
      <w:tr w:rsidR="00E67914" w:rsidRPr="00E67914" w14:paraId="16FC9DE8" w14:textId="77777777" w:rsidTr="00223052">
        <w:trPr>
          <w:trHeight w:val="420"/>
          <w:jc w:val="center"/>
        </w:trPr>
        <w:tc>
          <w:tcPr>
            <w:tcW w:w="500" w:type="pct"/>
            <w:vMerge/>
            <w:vAlign w:val="center"/>
          </w:tcPr>
          <w:p w14:paraId="10B1BFE6" w14:textId="77777777" w:rsidR="002C723E" w:rsidRPr="00E67914" w:rsidRDefault="002C723E" w:rsidP="00223052">
            <w:pPr>
              <w:jc w:val="center"/>
              <w:rPr>
                <w:rFonts w:ascii="Times New Roman" w:hAnsi="Times New Roman"/>
                <w:kern w:val="2"/>
                <w:sz w:val="21"/>
              </w:rPr>
            </w:pPr>
          </w:p>
        </w:tc>
        <w:tc>
          <w:tcPr>
            <w:tcW w:w="618" w:type="pct"/>
            <w:vAlign w:val="center"/>
          </w:tcPr>
          <w:p w14:paraId="0E1B856B" w14:textId="77777777" w:rsidR="002C723E" w:rsidRPr="00E67914" w:rsidRDefault="002C723E" w:rsidP="00223052">
            <w:pPr>
              <w:jc w:val="center"/>
              <w:rPr>
                <w:rFonts w:ascii="Times New Roman" w:hAnsi="Times New Roman"/>
                <w:kern w:val="2"/>
                <w:sz w:val="21"/>
              </w:rPr>
            </w:pPr>
            <w:r w:rsidRPr="00E67914">
              <w:rPr>
                <w:rFonts w:ascii="Times New Roman" w:hAnsi="Times New Roman"/>
                <w:kern w:val="2"/>
                <w:sz w:val="21"/>
              </w:rPr>
              <w:t>烟尘</w:t>
            </w:r>
          </w:p>
        </w:tc>
        <w:tc>
          <w:tcPr>
            <w:tcW w:w="717" w:type="pct"/>
            <w:vAlign w:val="center"/>
          </w:tcPr>
          <w:p w14:paraId="50DA0973"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kern w:val="2"/>
                <w:sz w:val="21"/>
              </w:rPr>
              <w:t>9.09mg/m</w:t>
            </w:r>
            <w:r w:rsidRPr="00E67914">
              <w:rPr>
                <w:rFonts w:ascii="Times New Roman" w:hAnsi="Times New Roman"/>
                <w:kern w:val="2"/>
                <w:sz w:val="21"/>
                <w:vertAlign w:val="superscript"/>
              </w:rPr>
              <w:t>3</w:t>
            </w:r>
          </w:p>
        </w:tc>
        <w:tc>
          <w:tcPr>
            <w:tcW w:w="1101" w:type="pct"/>
            <w:vAlign w:val="center"/>
          </w:tcPr>
          <w:p w14:paraId="57A967BA" w14:textId="77777777" w:rsidR="002C723E" w:rsidRPr="00E67914" w:rsidRDefault="002C723E" w:rsidP="00223052">
            <w:pPr>
              <w:jc w:val="center"/>
              <w:rPr>
                <w:rFonts w:ascii="Times New Roman" w:hAnsi="Times New Roman"/>
                <w:bCs/>
                <w:kern w:val="2"/>
                <w:sz w:val="21"/>
              </w:rPr>
            </w:pPr>
            <w:r w:rsidRPr="00E67914">
              <w:rPr>
                <w:rFonts w:ascii="Times New Roman" w:hAnsi="Times New Roman"/>
                <w:kern w:val="2"/>
                <w:sz w:val="21"/>
              </w:rPr>
              <w:t>0.0458t/a</w:t>
            </w:r>
            <w:r w:rsidRPr="00E67914">
              <w:rPr>
                <w:rFonts w:ascii="Times New Roman" w:hAnsi="Times New Roman"/>
                <w:kern w:val="2"/>
                <w:sz w:val="21"/>
              </w:rPr>
              <w:t>；</w:t>
            </w:r>
            <w:r w:rsidRPr="00E67914">
              <w:rPr>
                <w:rFonts w:ascii="Times New Roman" w:hAnsi="Times New Roman"/>
                <w:kern w:val="2"/>
                <w:sz w:val="21"/>
              </w:rPr>
              <w:t>0.0052kg/h</w:t>
            </w:r>
          </w:p>
        </w:tc>
        <w:tc>
          <w:tcPr>
            <w:tcW w:w="388" w:type="pct"/>
            <w:vMerge/>
            <w:vAlign w:val="center"/>
          </w:tcPr>
          <w:p w14:paraId="18FD3A71" w14:textId="77777777" w:rsidR="002C723E" w:rsidRPr="00E67914" w:rsidRDefault="002C723E" w:rsidP="00223052">
            <w:pPr>
              <w:adjustRightInd w:val="0"/>
              <w:snapToGrid w:val="0"/>
              <w:jc w:val="center"/>
              <w:rPr>
                <w:rFonts w:ascii="Times New Roman" w:hAnsi="Times New Roman"/>
                <w:bCs/>
                <w:kern w:val="2"/>
                <w:sz w:val="21"/>
              </w:rPr>
            </w:pPr>
          </w:p>
        </w:tc>
        <w:tc>
          <w:tcPr>
            <w:tcW w:w="452" w:type="pct"/>
            <w:vMerge/>
            <w:vAlign w:val="center"/>
          </w:tcPr>
          <w:p w14:paraId="45B7BBCB" w14:textId="77777777" w:rsidR="002C723E" w:rsidRPr="00E67914" w:rsidRDefault="002C723E" w:rsidP="00223052">
            <w:pPr>
              <w:adjustRightInd w:val="0"/>
              <w:snapToGrid w:val="0"/>
              <w:jc w:val="center"/>
              <w:rPr>
                <w:rFonts w:ascii="Times New Roman" w:hAnsi="Times New Roman"/>
                <w:bCs/>
                <w:kern w:val="2"/>
                <w:sz w:val="21"/>
              </w:rPr>
            </w:pPr>
          </w:p>
        </w:tc>
        <w:tc>
          <w:tcPr>
            <w:tcW w:w="392" w:type="pct"/>
            <w:vMerge/>
            <w:vAlign w:val="center"/>
          </w:tcPr>
          <w:p w14:paraId="34AC442C" w14:textId="77777777" w:rsidR="002C723E" w:rsidRPr="00E67914" w:rsidRDefault="002C723E" w:rsidP="00223052">
            <w:pPr>
              <w:jc w:val="center"/>
              <w:rPr>
                <w:rFonts w:ascii="Times New Roman" w:hAnsi="Times New Roman"/>
                <w:bCs/>
                <w:kern w:val="2"/>
                <w:sz w:val="21"/>
              </w:rPr>
            </w:pPr>
          </w:p>
        </w:tc>
        <w:tc>
          <w:tcPr>
            <w:tcW w:w="833" w:type="pct"/>
            <w:vMerge/>
            <w:vAlign w:val="center"/>
          </w:tcPr>
          <w:p w14:paraId="4FC01543" w14:textId="77777777" w:rsidR="002C723E" w:rsidRPr="00E67914" w:rsidRDefault="002C723E" w:rsidP="00223052">
            <w:pPr>
              <w:jc w:val="center"/>
              <w:rPr>
                <w:rFonts w:ascii="Times New Roman" w:hAnsi="Times New Roman"/>
                <w:bCs/>
                <w:kern w:val="2"/>
                <w:sz w:val="21"/>
              </w:rPr>
            </w:pPr>
          </w:p>
        </w:tc>
      </w:tr>
    </w:tbl>
    <w:p w14:paraId="52B6333D" w14:textId="7F90159B" w:rsidR="002C723E" w:rsidRPr="00E67914" w:rsidRDefault="002C723E">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由上表可见本项目火炬及放空系统长明燃烧废气</w:t>
      </w:r>
      <w:r w:rsidRPr="00E67914">
        <w:rPr>
          <w:rFonts w:ascii="Times New Roman" w:hAnsi="Times New Roman"/>
          <w:sz w:val="24"/>
          <w:lang w:eastAsia="zh-CN"/>
        </w:rPr>
        <w:t>通过</w:t>
      </w:r>
      <w:r w:rsidR="00CB5094" w:rsidRPr="00E67914">
        <w:rPr>
          <w:rFonts w:ascii="Times New Roman" w:hAnsi="Times New Roman"/>
          <w:sz w:val="24"/>
          <w:lang w:eastAsia="zh-CN"/>
        </w:rPr>
        <w:t>2</w:t>
      </w:r>
      <w:r w:rsidRPr="00E67914">
        <w:rPr>
          <w:rFonts w:ascii="Times New Roman" w:hAnsi="Times New Roman"/>
          <w:sz w:val="24"/>
          <w:lang w:eastAsia="zh-CN"/>
        </w:rPr>
        <w:t>5m</w:t>
      </w:r>
      <w:r w:rsidRPr="00E67914">
        <w:rPr>
          <w:rFonts w:ascii="Times New Roman" w:hAnsi="Times New Roman"/>
          <w:sz w:val="24"/>
          <w:lang w:eastAsia="zh-CN"/>
        </w:rPr>
        <w:t>高放空火炬排放，满足《大气污染物综合排放标准》</w:t>
      </w:r>
      <w:r w:rsidRPr="00E67914">
        <w:rPr>
          <w:rFonts w:ascii="Times New Roman" w:hAnsi="Times New Roman"/>
          <w:sz w:val="24"/>
          <w:lang w:eastAsia="zh-CN"/>
        </w:rPr>
        <w:t>(GB16297-1996)</w:t>
      </w:r>
      <w:r w:rsidRPr="00E67914">
        <w:rPr>
          <w:rFonts w:ascii="Times New Roman" w:hAnsi="Times New Roman"/>
          <w:sz w:val="24"/>
          <w:lang w:eastAsia="zh-CN"/>
        </w:rPr>
        <w:t>中相关限值要求。</w:t>
      </w:r>
    </w:p>
    <w:p w14:paraId="50A6ED98" w14:textId="0126FFF6" w:rsidR="009E11EB" w:rsidRPr="00E67914" w:rsidRDefault="009E11EB" w:rsidP="009E11EB">
      <w:pPr>
        <w:pStyle w:val="1f7"/>
        <w:spacing w:line="360" w:lineRule="auto"/>
        <w:ind w:firstLine="480"/>
      </w:pPr>
      <w:r w:rsidRPr="00E67914">
        <w:rPr>
          <w:bCs/>
          <w:lang w:eastAsia="zh-CN"/>
        </w:rPr>
        <w:t>（</w:t>
      </w:r>
      <w:r w:rsidRPr="00E67914">
        <w:rPr>
          <w:bCs/>
          <w:lang w:eastAsia="zh-CN"/>
        </w:rPr>
        <w:t>3</w:t>
      </w:r>
      <w:r w:rsidRPr="00E67914">
        <w:rPr>
          <w:bCs/>
          <w:lang w:eastAsia="zh-CN"/>
        </w:rPr>
        <w:t>）</w:t>
      </w:r>
      <w:r w:rsidRPr="00E67914">
        <w:t>油罐挥发气</w:t>
      </w:r>
      <w:r w:rsidR="00901928" w:rsidRPr="00E67914">
        <w:rPr>
          <w:lang w:eastAsia="zh-CN"/>
        </w:rPr>
        <w:t>体</w:t>
      </w:r>
    </w:p>
    <w:p w14:paraId="2EF5CC1E" w14:textId="53AE5E5A" w:rsidR="009E11EB" w:rsidRPr="00E67914" w:rsidRDefault="009E11EB" w:rsidP="009E11EB">
      <w:pPr>
        <w:pStyle w:val="1f7"/>
        <w:spacing w:line="360" w:lineRule="auto"/>
        <w:ind w:firstLine="480"/>
      </w:pPr>
      <w:r w:rsidRPr="00E67914">
        <w:t>试采期站场设置有</w:t>
      </w:r>
      <w:r w:rsidRPr="00E67914">
        <w:t>2</w:t>
      </w:r>
      <w:r w:rsidRPr="00E67914">
        <w:t>个</w:t>
      </w:r>
      <w:r w:rsidRPr="00E67914">
        <w:t>50m</w:t>
      </w:r>
      <w:r w:rsidRPr="00E67914">
        <w:rPr>
          <w:vertAlign w:val="superscript"/>
        </w:rPr>
        <w:t>3</w:t>
      </w:r>
      <w:r w:rsidRPr="00E67914">
        <w:t>的卧式常压高架油罐，因此，存在储罐的</w:t>
      </w:r>
      <w:r w:rsidRPr="00E67914">
        <w:t>“</w:t>
      </w:r>
      <w:r w:rsidRPr="00E67914">
        <w:t>大小呼吸蒸发损耗</w:t>
      </w:r>
      <w:r w:rsidRPr="00E67914">
        <w:t>”</w:t>
      </w:r>
      <w:r w:rsidRPr="00E67914">
        <w:t>。根据《石化行业</w:t>
      </w:r>
      <w:r w:rsidRPr="00E67914">
        <w:t>VOCs</w:t>
      </w:r>
      <w:r w:rsidRPr="00E67914">
        <w:t>污染源排查工作指南》、《排污许可证申请与核发技术规范</w:t>
      </w:r>
      <w:r w:rsidRPr="00E67914">
        <w:t xml:space="preserve"> </w:t>
      </w:r>
      <w:r w:rsidRPr="00E67914">
        <w:t>石化工业》</w:t>
      </w:r>
      <w:r w:rsidRPr="00E67914">
        <w:t>(HJ 853-2017)</w:t>
      </w:r>
      <w:r w:rsidRPr="00E67914">
        <w:t>等，常压储罐产生的挥发性有机物计算公式如下：</w:t>
      </w:r>
    </w:p>
    <w:p w14:paraId="26A463F5" w14:textId="4B288B11" w:rsidR="009E11EB" w:rsidRPr="00E67914" w:rsidRDefault="009E11EB" w:rsidP="009E11EB">
      <w:pPr>
        <w:adjustRightInd w:val="0"/>
        <w:snapToGrid w:val="0"/>
        <w:spacing w:line="360" w:lineRule="auto"/>
        <w:jc w:val="center"/>
        <w:rPr>
          <w:rFonts w:ascii="Times New Roman" w:hAnsi="Times New Roman"/>
          <w:sz w:val="24"/>
        </w:rPr>
      </w:pPr>
      <w:r w:rsidRPr="00E67914">
        <w:rPr>
          <w:rFonts w:ascii="Times New Roman" w:hAnsi="Times New Roman"/>
          <w:noProof/>
        </w:rPr>
        <w:drawing>
          <wp:inline distT="0" distB="0" distL="0" distR="0" wp14:anchorId="6D2A03C3" wp14:editId="0F97BC89">
            <wp:extent cx="1247140" cy="285115"/>
            <wp:effectExtent l="0" t="0" r="0" b="635"/>
            <wp:docPr id="9312859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47140" cy="285115"/>
                    </a:xfrm>
                    <a:prstGeom prst="rect">
                      <a:avLst/>
                    </a:prstGeom>
                    <a:noFill/>
                    <a:ln>
                      <a:noFill/>
                    </a:ln>
                  </pic:spPr>
                </pic:pic>
              </a:graphicData>
            </a:graphic>
          </wp:inline>
        </w:drawing>
      </w:r>
    </w:p>
    <w:p w14:paraId="0B9B654E" w14:textId="77777777" w:rsidR="009E11EB" w:rsidRPr="00E67914" w:rsidRDefault="009E11EB" w:rsidP="009E11EB">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E</w:t>
      </w:r>
      <w:r w:rsidRPr="00E67914">
        <w:rPr>
          <w:rFonts w:ascii="Times New Roman" w:hAnsi="Times New Roman"/>
          <w:sz w:val="24"/>
          <w:vertAlign w:val="subscript"/>
          <w:lang w:eastAsia="zh-CN"/>
        </w:rPr>
        <w:t>固定顶罐</w:t>
      </w:r>
      <w:r w:rsidRPr="00E67914">
        <w:rPr>
          <w:rFonts w:ascii="Times New Roman" w:hAnsi="Times New Roman"/>
          <w:sz w:val="24"/>
          <w:lang w:eastAsia="zh-CN"/>
        </w:rPr>
        <w:t>：总损失；</w:t>
      </w:r>
    </w:p>
    <w:p w14:paraId="638A16C2" w14:textId="77777777" w:rsidR="009E11EB" w:rsidRPr="00E67914" w:rsidRDefault="009E11EB" w:rsidP="009E11EB">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E</w:t>
      </w:r>
      <w:r w:rsidRPr="00E67914">
        <w:rPr>
          <w:rFonts w:ascii="Times New Roman" w:hAnsi="Times New Roman"/>
          <w:sz w:val="24"/>
          <w:vertAlign w:val="subscript"/>
          <w:lang w:eastAsia="zh-CN"/>
        </w:rPr>
        <w:t>S</w:t>
      </w:r>
      <w:r w:rsidRPr="00E67914">
        <w:rPr>
          <w:rFonts w:ascii="Times New Roman" w:hAnsi="Times New Roman"/>
          <w:sz w:val="24"/>
          <w:lang w:eastAsia="zh-CN"/>
        </w:rPr>
        <w:t>：静置储藏损失，</w:t>
      </w:r>
      <w:r w:rsidRPr="00E67914">
        <w:rPr>
          <w:rFonts w:ascii="Times New Roman" w:hAnsi="Times New Roman"/>
          <w:sz w:val="24"/>
          <w:lang w:eastAsia="zh-CN"/>
        </w:rPr>
        <w:t>lb/a</w:t>
      </w:r>
      <w:r w:rsidRPr="00E67914">
        <w:rPr>
          <w:rFonts w:ascii="Times New Roman" w:hAnsi="Times New Roman"/>
          <w:sz w:val="24"/>
          <w:lang w:eastAsia="zh-CN"/>
        </w:rPr>
        <w:t>，</w:t>
      </w:r>
    </w:p>
    <w:p w14:paraId="4397FDDF" w14:textId="77777777" w:rsidR="009E11EB" w:rsidRPr="00E67914" w:rsidRDefault="009E11EB" w:rsidP="009E11EB">
      <w:pPr>
        <w:adjustRightInd w:val="0"/>
        <w:snapToGrid w:val="0"/>
        <w:spacing w:line="360" w:lineRule="auto"/>
        <w:ind w:firstLineChars="200" w:firstLine="480"/>
        <w:rPr>
          <w:rFonts w:ascii="Times New Roman" w:hAnsi="Times New Roman"/>
          <w:sz w:val="24"/>
        </w:rPr>
      </w:pPr>
      <w:r w:rsidRPr="00E67914">
        <w:rPr>
          <w:rFonts w:ascii="Times New Roman" w:hAnsi="Times New Roman"/>
          <w:sz w:val="24"/>
        </w:rPr>
        <w:t>E</w:t>
      </w:r>
      <w:r w:rsidRPr="00E67914">
        <w:rPr>
          <w:rFonts w:ascii="Times New Roman" w:hAnsi="Times New Roman"/>
          <w:sz w:val="24"/>
          <w:vertAlign w:val="subscript"/>
        </w:rPr>
        <w:t>W</w:t>
      </w:r>
      <w:r w:rsidRPr="00E67914">
        <w:rPr>
          <w:rFonts w:ascii="Times New Roman" w:hAnsi="Times New Roman"/>
          <w:sz w:val="24"/>
        </w:rPr>
        <w:t>：工作损失，</w:t>
      </w:r>
      <w:r w:rsidRPr="00E67914">
        <w:rPr>
          <w:rFonts w:ascii="Times New Roman" w:hAnsi="Times New Roman"/>
          <w:sz w:val="24"/>
        </w:rPr>
        <w:t>lb/a</w:t>
      </w:r>
      <w:r w:rsidRPr="00E67914">
        <w:rPr>
          <w:rFonts w:ascii="Times New Roman" w:hAnsi="Times New Roman"/>
          <w:sz w:val="24"/>
        </w:rPr>
        <w:t>。</w:t>
      </w:r>
    </w:p>
    <w:p w14:paraId="38F33558" w14:textId="469EF231" w:rsidR="009E11EB" w:rsidRPr="00E67914" w:rsidRDefault="009E11EB" w:rsidP="009E11EB">
      <w:pPr>
        <w:adjustRightInd w:val="0"/>
        <w:snapToGrid w:val="0"/>
        <w:spacing w:line="360" w:lineRule="auto"/>
        <w:jc w:val="center"/>
        <w:rPr>
          <w:rFonts w:ascii="Times New Roman" w:hAnsi="Times New Roman"/>
          <w:sz w:val="24"/>
        </w:rPr>
      </w:pPr>
      <w:r w:rsidRPr="00E67914">
        <w:rPr>
          <w:rFonts w:ascii="Times New Roman" w:hAnsi="Times New Roman"/>
          <w:noProof/>
        </w:rPr>
        <w:drawing>
          <wp:inline distT="0" distB="0" distL="0" distR="0" wp14:anchorId="7FDF543C" wp14:editId="2D23FF8B">
            <wp:extent cx="2535555" cy="368300"/>
            <wp:effectExtent l="0" t="0" r="0" b="0"/>
            <wp:docPr id="6967555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35555" cy="368300"/>
                    </a:xfrm>
                    <a:prstGeom prst="rect">
                      <a:avLst/>
                    </a:prstGeom>
                    <a:noFill/>
                    <a:ln>
                      <a:noFill/>
                    </a:ln>
                  </pic:spPr>
                </pic:pic>
              </a:graphicData>
            </a:graphic>
          </wp:inline>
        </w:drawing>
      </w:r>
    </w:p>
    <w:p w14:paraId="655248EF" w14:textId="5BC7F410" w:rsidR="009E11EB" w:rsidRPr="00E67914" w:rsidRDefault="009E11EB" w:rsidP="009E11EB">
      <w:pPr>
        <w:adjustRightInd w:val="0"/>
        <w:snapToGrid w:val="0"/>
        <w:spacing w:line="360" w:lineRule="auto"/>
        <w:jc w:val="center"/>
        <w:rPr>
          <w:rFonts w:ascii="Times New Roman" w:hAnsi="Times New Roman"/>
          <w:sz w:val="24"/>
        </w:rPr>
      </w:pPr>
      <w:r w:rsidRPr="00E67914">
        <w:rPr>
          <w:rFonts w:ascii="Times New Roman" w:hAnsi="Times New Roman"/>
          <w:noProof/>
        </w:rPr>
        <w:drawing>
          <wp:inline distT="0" distB="0" distL="0" distR="0" wp14:anchorId="35AF8080" wp14:editId="20DF2F3D">
            <wp:extent cx="1715770" cy="374015"/>
            <wp:effectExtent l="0" t="0" r="0" b="6985"/>
            <wp:docPr id="3024278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15770" cy="374015"/>
                    </a:xfrm>
                    <a:prstGeom prst="rect">
                      <a:avLst/>
                    </a:prstGeom>
                    <a:noFill/>
                    <a:ln>
                      <a:noFill/>
                    </a:ln>
                  </pic:spPr>
                </pic:pic>
              </a:graphicData>
            </a:graphic>
          </wp:inline>
        </w:drawing>
      </w:r>
    </w:p>
    <w:p w14:paraId="20C4DC1B" w14:textId="77777777" w:rsidR="009E11EB" w:rsidRPr="00E67914" w:rsidRDefault="009E11EB" w:rsidP="009E11EB">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D</w:t>
      </w:r>
      <w:r w:rsidRPr="00E67914">
        <w:rPr>
          <w:rFonts w:ascii="Times New Roman" w:hAnsi="Times New Roman"/>
          <w:sz w:val="24"/>
          <w:lang w:eastAsia="zh-CN"/>
        </w:rPr>
        <w:t>：卧式罐有效直径，</w:t>
      </w:r>
      <w:r w:rsidRPr="00E67914">
        <w:rPr>
          <w:rFonts w:ascii="Times New Roman" w:hAnsi="Times New Roman"/>
          <w:sz w:val="24"/>
          <w:lang w:eastAsia="zh-CN"/>
        </w:rPr>
        <w:t>ft</w:t>
      </w:r>
      <w:r w:rsidRPr="00E67914">
        <w:rPr>
          <w:rFonts w:ascii="Times New Roman" w:hAnsi="Times New Roman"/>
          <w:sz w:val="24"/>
          <w:lang w:eastAsia="zh-CN"/>
        </w:rPr>
        <w:t>；</w:t>
      </w:r>
    </w:p>
    <w:p w14:paraId="3B3CC523" w14:textId="77777777" w:rsidR="009E11EB" w:rsidRPr="00E67914" w:rsidRDefault="009E11EB" w:rsidP="009E11EB">
      <w:pPr>
        <w:adjustRightInd w:val="0"/>
        <w:snapToGrid w:val="0"/>
        <w:spacing w:line="360" w:lineRule="auto"/>
        <w:ind w:firstLineChars="200" w:firstLine="480"/>
        <w:rPr>
          <w:rFonts w:ascii="Times New Roman" w:hAnsi="Times New Roman"/>
          <w:sz w:val="24"/>
        </w:rPr>
      </w:pPr>
      <w:r w:rsidRPr="00E67914">
        <w:rPr>
          <w:rFonts w:ascii="Times New Roman" w:hAnsi="Times New Roman"/>
          <w:sz w:val="24"/>
        </w:rPr>
        <w:lastRenderedPageBreak/>
        <w:t>H</w:t>
      </w:r>
      <w:r w:rsidRPr="00E67914">
        <w:rPr>
          <w:rFonts w:ascii="Times New Roman" w:hAnsi="Times New Roman"/>
          <w:sz w:val="24"/>
          <w:vertAlign w:val="subscript"/>
        </w:rPr>
        <w:t>S</w:t>
      </w:r>
      <w:r w:rsidRPr="00E67914">
        <w:rPr>
          <w:rFonts w:ascii="Times New Roman" w:hAnsi="Times New Roman"/>
          <w:sz w:val="24"/>
        </w:rPr>
        <w:t>：罐体高度，</w:t>
      </w:r>
      <w:r w:rsidRPr="00E67914">
        <w:rPr>
          <w:rFonts w:ascii="Times New Roman" w:hAnsi="Times New Roman"/>
          <w:sz w:val="24"/>
        </w:rPr>
        <w:t>ft</w:t>
      </w:r>
      <w:r w:rsidRPr="00E67914">
        <w:rPr>
          <w:rFonts w:ascii="Times New Roman" w:hAnsi="Times New Roman"/>
          <w:sz w:val="24"/>
        </w:rPr>
        <w:t>；</w:t>
      </w:r>
    </w:p>
    <w:p w14:paraId="25639493" w14:textId="77777777" w:rsidR="009E11EB" w:rsidRPr="00E67914" w:rsidRDefault="009E11EB" w:rsidP="009E11EB">
      <w:pPr>
        <w:adjustRightInd w:val="0"/>
        <w:snapToGrid w:val="0"/>
        <w:spacing w:line="360" w:lineRule="auto"/>
        <w:ind w:firstLineChars="200" w:firstLine="480"/>
        <w:rPr>
          <w:rFonts w:ascii="Times New Roman" w:hAnsi="Times New Roman"/>
          <w:sz w:val="24"/>
        </w:rPr>
      </w:pPr>
      <w:r w:rsidRPr="00E67914">
        <w:rPr>
          <w:rFonts w:ascii="Times New Roman" w:hAnsi="Times New Roman"/>
          <w:sz w:val="24"/>
        </w:rPr>
        <w:t>H</w:t>
      </w:r>
      <w:r w:rsidRPr="00E67914">
        <w:rPr>
          <w:rFonts w:ascii="Times New Roman" w:hAnsi="Times New Roman"/>
          <w:sz w:val="24"/>
          <w:vertAlign w:val="subscript"/>
        </w:rPr>
        <w:t>L</w:t>
      </w:r>
      <w:r w:rsidRPr="00E67914">
        <w:rPr>
          <w:rFonts w:ascii="Times New Roman" w:hAnsi="Times New Roman"/>
          <w:sz w:val="24"/>
        </w:rPr>
        <w:t>：液体高度，</w:t>
      </w:r>
      <w:r w:rsidRPr="00E67914">
        <w:rPr>
          <w:rFonts w:ascii="Times New Roman" w:hAnsi="Times New Roman"/>
          <w:sz w:val="24"/>
        </w:rPr>
        <w:t>ft</w:t>
      </w:r>
      <w:r w:rsidRPr="00E67914">
        <w:rPr>
          <w:rFonts w:ascii="Times New Roman" w:hAnsi="Times New Roman"/>
          <w:sz w:val="24"/>
        </w:rPr>
        <w:t>；</w:t>
      </w:r>
    </w:p>
    <w:p w14:paraId="7847A277" w14:textId="77777777" w:rsidR="009E11EB" w:rsidRPr="00E67914" w:rsidRDefault="009E11EB" w:rsidP="009E11EB">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H</w:t>
      </w:r>
      <w:r w:rsidRPr="00E67914">
        <w:rPr>
          <w:rFonts w:ascii="Times New Roman" w:hAnsi="Times New Roman"/>
          <w:sz w:val="24"/>
          <w:vertAlign w:val="subscript"/>
          <w:lang w:eastAsia="zh-CN"/>
        </w:rPr>
        <w:t>RO</w:t>
      </w:r>
      <w:r w:rsidRPr="00E67914">
        <w:rPr>
          <w:rFonts w:ascii="Times New Roman" w:hAnsi="Times New Roman"/>
          <w:sz w:val="24"/>
          <w:lang w:eastAsia="zh-CN"/>
        </w:rPr>
        <w:t>：罐体计量高度，</w:t>
      </w:r>
      <w:r w:rsidRPr="00E67914">
        <w:rPr>
          <w:rFonts w:ascii="Times New Roman" w:hAnsi="Times New Roman"/>
          <w:sz w:val="24"/>
          <w:lang w:eastAsia="zh-CN"/>
        </w:rPr>
        <w:t>ft</w:t>
      </w:r>
      <w:r w:rsidRPr="00E67914">
        <w:rPr>
          <w:rFonts w:ascii="Times New Roman" w:hAnsi="Times New Roman"/>
          <w:sz w:val="24"/>
          <w:lang w:eastAsia="zh-CN"/>
        </w:rPr>
        <w:t>；</w:t>
      </w:r>
    </w:p>
    <w:p w14:paraId="6F30B1FA" w14:textId="77777777" w:rsidR="009E11EB" w:rsidRPr="00E67914" w:rsidRDefault="009E11EB" w:rsidP="009E11EB">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w:t>
      </w:r>
      <w:r w:rsidRPr="00E67914">
        <w:rPr>
          <w:rFonts w:ascii="Times New Roman" w:hAnsi="Times New Roman"/>
          <w:sz w:val="24"/>
          <w:vertAlign w:val="subscript"/>
          <w:lang w:eastAsia="zh-CN"/>
        </w:rPr>
        <w:t>V</w:t>
      </w:r>
      <w:r w:rsidRPr="00E67914">
        <w:rPr>
          <w:rFonts w:ascii="Times New Roman" w:hAnsi="Times New Roman"/>
          <w:sz w:val="24"/>
          <w:lang w:eastAsia="zh-CN"/>
        </w:rPr>
        <w:t>：储藏气相密度，</w:t>
      </w:r>
      <w:r w:rsidRPr="00E67914">
        <w:rPr>
          <w:rFonts w:ascii="Times New Roman" w:hAnsi="Times New Roman"/>
          <w:sz w:val="24"/>
          <w:lang w:eastAsia="zh-CN"/>
        </w:rPr>
        <w:t>lb/ft</w:t>
      </w:r>
      <w:r w:rsidRPr="00E67914">
        <w:rPr>
          <w:rFonts w:ascii="Times New Roman" w:hAnsi="Times New Roman"/>
          <w:sz w:val="24"/>
          <w:vertAlign w:val="superscript"/>
          <w:lang w:eastAsia="zh-CN"/>
        </w:rPr>
        <w:t>3</w:t>
      </w:r>
      <w:r w:rsidRPr="00E67914">
        <w:rPr>
          <w:rFonts w:ascii="Times New Roman" w:hAnsi="Times New Roman"/>
          <w:sz w:val="24"/>
          <w:lang w:eastAsia="zh-CN"/>
        </w:rPr>
        <w:t>；</w:t>
      </w:r>
    </w:p>
    <w:p w14:paraId="3A28C2AD" w14:textId="77777777" w:rsidR="009E11EB" w:rsidRPr="00E67914" w:rsidRDefault="009E11EB" w:rsidP="009E11EB">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K</w:t>
      </w:r>
      <w:r w:rsidRPr="00E67914">
        <w:rPr>
          <w:rFonts w:ascii="Times New Roman" w:hAnsi="Times New Roman"/>
          <w:sz w:val="24"/>
          <w:vertAlign w:val="subscript"/>
          <w:lang w:eastAsia="zh-CN"/>
        </w:rPr>
        <w:t>E</w:t>
      </w:r>
      <w:r w:rsidRPr="00E67914">
        <w:rPr>
          <w:rFonts w:ascii="Times New Roman" w:hAnsi="Times New Roman"/>
          <w:sz w:val="24"/>
          <w:lang w:eastAsia="zh-CN"/>
        </w:rPr>
        <w:t>：气相空间膨胀因子，无量纲量；</w:t>
      </w:r>
    </w:p>
    <w:p w14:paraId="48C12E41" w14:textId="77777777" w:rsidR="009E11EB" w:rsidRPr="00E67914" w:rsidRDefault="009E11EB" w:rsidP="009E11EB">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K</w:t>
      </w:r>
      <w:r w:rsidRPr="00E67914">
        <w:rPr>
          <w:rFonts w:ascii="Times New Roman" w:hAnsi="Times New Roman"/>
          <w:sz w:val="24"/>
          <w:vertAlign w:val="subscript"/>
          <w:lang w:eastAsia="zh-CN"/>
        </w:rPr>
        <w:t>S</w:t>
      </w:r>
      <w:r w:rsidRPr="00E67914">
        <w:rPr>
          <w:rFonts w:ascii="Times New Roman" w:hAnsi="Times New Roman"/>
          <w:sz w:val="24"/>
          <w:lang w:eastAsia="zh-CN"/>
        </w:rPr>
        <w:t>：排放蒸汽饱和因子，无量纲量；</w:t>
      </w:r>
    </w:p>
    <w:p w14:paraId="3618516D" w14:textId="77777777" w:rsidR="009E11EB" w:rsidRPr="00E67914" w:rsidRDefault="009E11EB" w:rsidP="009E11EB">
      <w:pPr>
        <w:adjustRightInd w:val="0"/>
        <w:snapToGrid w:val="0"/>
        <w:spacing w:line="360" w:lineRule="auto"/>
        <w:ind w:firstLineChars="200" w:firstLine="480"/>
        <w:rPr>
          <w:rFonts w:ascii="Times New Roman" w:hAnsi="Times New Roman"/>
          <w:sz w:val="24"/>
        </w:rPr>
      </w:pPr>
      <w:r w:rsidRPr="00E67914">
        <w:rPr>
          <w:rFonts w:ascii="Times New Roman" w:hAnsi="Times New Roman"/>
          <w:sz w:val="24"/>
        </w:rPr>
        <w:t>T</w:t>
      </w:r>
      <w:r w:rsidRPr="00E67914">
        <w:rPr>
          <w:rFonts w:ascii="Times New Roman" w:hAnsi="Times New Roman"/>
          <w:sz w:val="24"/>
          <w:vertAlign w:val="subscript"/>
        </w:rPr>
        <w:t>LA</w:t>
      </w:r>
      <w:r w:rsidRPr="00E67914">
        <w:rPr>
          <w:rFonts w:ascii="Times New Roman" w:hAnsi="Times New Roman"/>
          <w:sz w:val="24"/>
        </w:rPr>
        <w:t>：日平均液体表面温度，</w:t>
      </w:r>
      <w:r w:rsidRPr="00E67914">
        <w:rPr>
          <w:rFonts w:ascii="Times New Roman" w:hAnsi="Times New Roman"/>
          <w:sz w:val="24"/>
        </w:rPr>
        <w:t>°R</w:t>
      </w:r>
      <w:r w:rsidRPr="00E67914">
        <w:rPr>
          <w:rFonts w:ascii="Times New Roman" w:hAnsi="Times New Roman"/>
          <w:sz w:val="24"/>
        </w:rPr>
        <w:t>；</w:t>
      </w:r>
    </w:p>
    <w:p w14:paraId="5DF885F5" w14:textId="77777777" w:rsidR="009E11EB" w:rsidRPr="00E67914" w:rsidRDefault="009E11EB" w:rsidP="009E11EB">
      <w:pPr>
        <w:pStyle w:val="1f7"/>
        <w:spacing w:line="360" w:lineRule="auto"/>
        <w:ind w:firstLine="480"/>
      </w:pPr>
      <w:r w:rsidRPr="00E67914">
        <w:t>M</w:t>
      </w:r>
      <w:r w:rsidRPr="00E67914">
        <w:rPr>
          <w:vertAlign w:val="subscript"/>
        </w:rPr>
        <w:t>V</w:t>
      </w:r>
      <w:r w:rsidRPr="00E67914">
        <w:t>：气相分子量，</w:t>
      </w:r>
      <w:r w:rsidRPr="00E67914">
        <w:t>lb/lb-mol</w:t>
      </w:r>
      <w:r w:rsidRPr="00E67914">
        <w:t>；</w:t>
      </w:r>
    </w:p>
    <w:p w14:paraId="2237ED29" w14:textId="77777777" w:rsidR="009E11EB" w:rsidRPr="00E67914" w:rsidRDefault="009E11EB" w:rsidP="009E11EB">
      <w:pPr>
        <w:pStyle w:val="1f7"/>
        <w:spacing w:line="360" w:lineRule="auto"/>
        <w:ind w:firstLine="480"/>
      </w:pPr>
      <w:r w:rsidRPr="00E67914">
        <w:t>P</w:t>
      </w:r>
      <w:r w:rsidRPr="00E67914">
        <w:rPr>
          <w:vertAlign w:val="subscript"/>
        </w:rPr>
        <w:t>VA</w:t>
      </w:r>
      <w:r w:rsidRPr="00E67914">
        <w:t>：真实蒸汽压，</w:t>
      </w:r>
      <w:r w:rsidRPr="00E67914">
        <w:t>psia</w:t>
      </w:r>
      <w:r w:rsidRPr="00E67914">
        <w:t>；</w:t>
      </w:r>
    </w:p>
    <w:p w14:paraId="5691F99D" w14:textId="77777777" w:rsidR="009E11EB" w:rsidRPr="00E67914" w:rsidRDefault="009E11EB" w:rsidP="009E11EB">
      <w:pPr>
        <w:pStyle w:val="1f7"/>
        <w:spacing w:line="360" w:lineRule="auto"/>
        <w:ind w:firstLine="480"/>
      </w:pPr>
      <w:r w:rsidRPr="00E67914">
        <w:t>Q</w:t>
      </w:r>
      <w:r w:rsidRPr="00E67914">
        <w:t>：年周转量，</w:t>
      </w:r>
      <w:r w:rsidRPr="00E67914">
        <w:t>bbl/a</w:t>
      </w:r>
      <w:r w:rsidRPr="00E67914">
        <w:t>；</w:t>
      </w:r>
    </w:p>
    <w:p w14:paraId="3921CCF5" w14:textId="77777777" w:rsidR="009E11EB" w:rsidRPr="00E67914" w:rsidRDefault="009E11EB" w:rsidP="009E11EB">
      <w:pPr>
        <w:pStyle w:val="1f7"/>
        <w:spacing w:line="360" w:lineRule="auto"/>
        <w:ind w:firstLine="480"/>
      </w:pPr>
      <w:r w:rsidRPr="00E67914">
        <w:t>K</w:t>
      </w:r>
      <w:r w:rsidRPr="00E67914">
        <w:rPr>
          <w:vertAlign w:val="subscript"/>
        </w:rPr>
        <w:t>P</w:t>
      </w:r>
      <w:r w:rsidRPr="00E67914">
        <w:t>：工作损耗产品因子，无量纲量，原油</w:t>
      </w:r>
      <w:r w:rsidRPr="00E67914">
        <w:t xml:space="preserve"> KP=0.75</w:t>
      </w:r>
      <w:r w:rsidRPr="00E67914">
        <w:t>；</w:t>
      </w:r>
    </w:p>
    <w:p w14:paraId="60C0B36F" w14:textId="77777777" w:rsidR="009E11EB" w:rsidRPr="00E67914" w:rsidRDefault="009E11EB" w:rsidP="009E11EB">
      <w:pPr>
        <w:pStyle w:val="1f7"/>
        <w:spacing w:line="360" w:lineRule="auto"/>
        <w:ind w:firstLine="480"/>
      </w:pPr>
      <w:r w:rsidRPr="00E67914">
        <w:t>K</w:t>
      </w:r>
      <w:r w:rsidRPr="00E67914">
        <w:rPr>
          <w:vertAlign w:val="subscript"/>
        </w:rPr>
        <w:t>N</w:t>
      </w:r>
      <w:r w:rsidRPr="00E67914">
        <w:t>：工作排放周转（饱和）因子，无量纲量；</w:t>
      </w:r>
    </w:p>
    <w:p w14:paraId="5BB0A0C2" w14:textId="77777777" w:rsidR="009E11EB" w:rsidRPr="00E67914" w:rsidRDefault="009E11EB" w:rsidP="009E11EB">
      <w:pPr>
        <w:pStyle w:val="1f7"/>
        <w:spacing w:line="360" w:lineRule="auto"/>
        <w:ind w:firstLine="480"/>
      </w:pPr>
      <w:r w:rsidRPr="00E67914">
        <w:t>K</w:t>
      </w:r>
      <w:r w:rsidRPr="00E67914">
        <w:rPr>
          <w:vertAlign w:val="subscript"/>
        </w:rPr>
        <w:t>B</w:t>
      </w:r>
      <w:r w:rsidRPr="00E67914">
        <w:t>：呼吸阀工作校正因子。</w:t>
      </w:r>
    </w:p>
    <w:p w14:paraId="221420D9" w14:textId="022AEE14" w:rsidR="009E11EB" w:rsidRPr="00E67914" w:rsidRDefault="009E11EB" w:rsidP="009E11EB">
      <w:pPr>
        <w:pStyle w:val="1f7"/>
        <w:spacing w:line="360" w:lineRule="auto"/>
        <w:ind w:firstLine="480"/>
      </w:pPr>
      <w:r w:rsidRPr="00E67914">
        <w:t>根据《石化行业</w:t>
      </w:r>
      <w:r w:rsidRPr="00E67914">
        <w:t>VOCs</w:t>
      </w:r>
      <w:r w:rsidRPr="00E67914">
        <w:t>污染源排查工作指南》有机液体储存调和</w:t>
      </w:r>
      <w:r w:rsidRPr="00E67914">
        <w:t>VOCs</w:t>
      </w:r>
      <w:r w:rsidRPr="00E67914">
        <w:t>排放量参考计算表（参数取值见表</w:t>
      </w:r>
      <w:r w:rsidRPr="00E67914">
        <w:t>4.5-1</w:t>
      </w:r>
      <w:r w:rsidRPr="00E67914">
        <w:t>），单个储罐产生的</w:t>
      </w:r>
      <w:r w:rsidRPr="00E67914">
        <w:t>E</w:t>
      </w:r>
      <w:r w:rsidRPr="00E67914">
        <w:rPr>
          <w:vertAlign w:val="subscript"/>
        </w:rPr>
        <w:t>S</w:t>
      </w:r>
      <w:r w:rsidRPr="00E67914">
        <w:t>=</w:t>
      </w:r>
      <w:r w:rsidRPr="00E67914">
        <w:rPr>
          <w:bCs/>
        </w:rPr>
        <w:t>0.</w:t>
      </w:r>
      <w:r w:rsidR="00CA24A3" w:rsidRPr="00E67914">
        <w:rPr>
          <w:bCs/>
        </w:rPr>
        <w:t>18</w:t>
      </w:r>
      <w:r w:rsidRPr="00E67914">
        <w:rPr>
          <w:bCs/>
        </w:rPr>
        <w:t>t/a</w:t>
      </w:r>
      <w:r w:rsidRPr="00E67914">
        <w:rPr>
          <w:bCs/>
        </w:rPr>
        <w:t>，</w:t>
      </w:r>
      <w:r w:rsidRPr="00E67914">
        <w:t>E</w:t>
      </w:r>
      <w:r w:rsidRPr="00E67914">
        <w:rPr>
          <w:vertAlign w:val="subscript"/>
        </w:rPr>
        <w:t>W</w:t>
      </w:r>
      <w:r w:rsidRPr="00E67914">
        <w:t>=</w:t>
      </w:r>
      <w:r w:rsidR="005549EB" w:rsidRPr="00E67914">
        <w:rPr>
          <w:bCs/>
        </w:rPr>
        <w:t>0</w:t>
      </w:r>
      <w:r w:rsidR="0030073C" w:rsidRPr="00E67914">
        <w:rPr>
          <w:bCs/>
        </w:rPr>
        <w:t>.1</w:t>
      </w:r>
      <w:r w:rsidR="005549EB" w:rsidRPr="00E67914">
        <w:rPr>
          <w:bCs/>
        </w:rPr>
        <w:t>3</w:t>
      </w:r>
      <w:r w:rsidRPr="00E67914">
        <w:rPr>
          <w:bCs/>
        </w:rPr>
        <w:t>t/a</w:t>
      </w:r>
      <w:r w:rsidRPr="00E67914">
        <w:rPr>
          <w:bCs/>
        </w:rPr>
        <w:t>，则</w:t>
      </w:r>
      <w:r w:rsidRPr="00E67914">
        <w:t>E=</w:t>
      </w:r>
      <w:r w:rsidR="005549EB" w:rsidRPr="00E67914">
        <w:t>0.</w:t>
      </w:r>
      <w:r w:rsidR="00CA24A3" w:rsidRPr="00E67914">
        <w:t>31</w:t>
      </w:r>
      <w:r w:rsidRPr="00E67914">
        <w:rPr>
          <w:bCs/>
        </w:rPr>
        <w:t>t/a</w:t>
      </w:r>
      <w:r w:rsidRPr="00E67914">
        <w:t>，试采期站场设置有</w:t>
      </w:r>
      <w:r w:rsidRPr="00E67914">
        <w:t>2</w:t>
      </w:r>
      <w:r w:rsidRPr="00E67914">
        <w:t>个</w:t>
      </w:r>
      <w:r w:rsidRPr="00E67914">
        <w:t>50m</w:t>
      </w:r>
      <w:r w:rsidRPr="00E67914">
        <w:rPr>
          <w:vertAlign w:val="superscript"/>
        </w:rPr>
        <w:t>3</w:t>
      </w:r>
      <w:r w:rsidRPr="00E67914">
        <w:t>的卧式常压高架油罐</w:t>
      </w:r>
      <w:r w:rsidRPr="00E67914">
        <w:rPr>
          <w:bCs/>
        </w:rPr>
        <w:t>，则本项目油</w:t>
      </w:r>
      <w:r w:rsidRPr="00E67914">
        <w:t>罐产生的挥发性有机物为</w:t>
      </w:r>
      <w:r w:rsidR="005549EB" w:rsidRPr="00E67914">
        <w:t>0.</w:t>
      </w:r>
      <w:r w:rsidR="00CA24A3" w:rsidRPr="00E67914">
        <w:t>62</w:t>
      </w:r>
      <w:r w:rsidRPr="00E67914">
        <w:t>t/a</w:t>
      </w:r>
      <w:r w:rsidR="00EE5D65" w:rsidRPr="00E67914">
        <w:rPr>
          <w:lang w:eastAsia="zh-CN"/>
        </w:rPr>
        <w:t>，通过</w:t>
      </w:r>
      <w:r w:rsidR="00EE5D65" w:rsidRPr="00E67914">
        <w:rPr>
          <w:lang w:eastAsia="zh-CN"/>
        </w:rPr>
        <w:t>6m</w:t>
      </w:r>
      <w:r w:rsidR="00EE5D65" w:rsidRPr="00E67914">
        <w:rPr>
          <w:lang w:eastAsia="zh-CN"/>
        </w:rPr>
        <w:t>高常压放散管放散</w:t>
      </w:r>
      <w:r w:rsidRPr="00E67914">
        <w:t>。</w:t>
      </w:r>
    </w:p>
    <w:p w14:paraId="793CEDA9" w14:textId="77777777" w:rsidR="009E11EB" w:rsidRPr="00E67914" w:rsidRDefault="009E11EB" w:rsidP="009E11EB">
      <w:pPr>
        <w:pStyle w:val="1f9"/>
        <w:ind w:firstLine="480"/>
      </w:pPr>
      <w:r w:rsidRPr="00E67914">
        <w:t>表</w:t>
      </w:r>
      <w:r w:rsidRPr="00E67914">
        <w:t xml:space="preserve">4.5-1  </w:t>
      </w:r>
      <w:r w:rsidRPr="00E67914">
        <w:t>计算参数取值一览表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6"/>
        <w:gridCol w:w="2767"/>
        <w:gridCol w:w="2767"/>
      </w:tblGrid>
      <w:tr w:rsidR="00E67914" w:rsidRPr="00E67914" w14:paraId="667056CD" w14:textId="77777777" w:rsidTr="00223052">
        <w:tc>
          <w:tcPr>
            <w:tcW w:w="3333" w:type="pct"/>
            <w:gridSpan w:val="2"/>
            <w:shd w:val="clear" w:color="auto" w:fill="auto"/>
            <w:vAlign w:val="center"/>
          </w:tcPr>
          <w:p w14:paraId="31765B84" w14:textId="77777777" w:rsidR="009E11EB" w:rsidRPr="00E67914" w:rsidRDefault="009E11EB" w:rsidP="00223052">
            <w:pPr>
              <w:pStyle w:val="1f9"/>
              <w:rPr>
                <w:szCs w:val="21"/>
              </w:rPr>
            </w:pPr>
            <w:r w:rsidRPr="00E67914">
              <w:rPr>
                <w:szCs w:val="21"/>
              </w:rPr>
              <w:t>因子</w:t>
            </w:r>
          </w:p>
        </w:tc>
        <w:tc>
          <w:tcPr>
            <w:tcW w:w="1667" w:type="pct"/>
            <w:shd w:val="clear" w:color="auto" w:fill="auto"/>
            <w:vAlign w:val="center"/>
          </w:tcPr>
          <w:p w14:paraId="24A198D1" w14:textId="77777777" w:rsidR="009E11EB" w:rsidRPr="00E67914" w:rsidRDefault="009E11EB" w:rsidP="00223052">
            <w:pPr>
              <w:pStyle w:val="1f9"/>
              <w:rPr>
                <w:szCs w:val="21"/>
              </w:rPr>
            </w:pPr>
            <w:r w:rsidRPr="00E67914">
              <w:rPr>
                <w:szCs w:val="21"/>
              </w:rPr>
              <w:t>数值</w:t>
            </w:r>
          </w:p>
        </w:tc>
      </w:tr>
      <w:tr w:rsidR="00E67914" w:rsidRPr="00E67914" w14:paraId="3A0812F4" w14:textId="77777777" w:rsidTr="00223052">
        <w:tc>
          <w:tcPr>
            <w:tcW w:w="1666" w:type="pct"/>
            <w:vMerge w:val="restart"/>
            <w:shd w:val="clear" w:color="auto" w:fill="auto"/>
            <w:vAlign w:val="center"/>
          </w:tcPr>
          <w:p w14:paraId="7EBEDE3F" w14:textId="77777777" w:rsidR="009E11EB" w:rsidRPr="00E67914" w:rsidRDefault="009E11EB" w:rsidP="00223052">
            <w:pPr>
              <w:pStyle w:val="1f9"/>
              <w:rPr>
                <w:szCs w:val="21"/>
              </w:rPr>
            </w:pPr>
            <w:r w:rsidRPr="00E67914">
              <w:rPr>
                <w:szCs w:val="21"/>
              </w:rPr>
              <w:t>油品理化参数</w:t>
            </w:r>
          </w:p>
        </w:tc>
        <w:tc>
          <w:tcPr>
            <w:tcW w:w="1667" w:type="pct"/>
            <w:shd w:val="clear" w:color="auto" w:fill="auto"/>
            <w:vAlign w:val="center"/>
          </w:tcPr>
          <w:p w14:paraId="7B6106AD" w14:textId="77777777" w:rsidR="009E11EB" w:rsidRPr="00E67914" w:rsidRDefault="009E11EB" w:rsidP="00223052">
            <w:pPr>
              <w:pStyle w:val="1f9"/>
              <w:rPr>
                <w:szCs w:val="21"/>
              </w:rPr>
            </w:pPr>
            <w:r w:rsidRPr="00E67914">
              <w:rPr>
                <w:szCs w:val="21"/>
              </w:rPr>
              <w:t>油品密度</w:t>
            </w:r>
            <w:r w:rsidRPr="00E67914">
              <w:rPr>
                <w:szCs w:val="21"/>
              </w:rPr>
              <w:t>(t/m</w:t>
            </w:r>
            <w:r w:rsidRPr="00E67914">
              <w:rPr>
                <w:szCs w:val="21"/>
                <w:vertAlign w:val="superscript"/>
              </w:rPr>
              <w:t>3</w:t>
            </w:r>
            <w:r w:rsidRPr="00E67914">
              <w:rPr>
                <w:szCs w:val="21"/>
              </w:rPr>
              <w:t>)</w:t>
            </w:r>
          </w:p>
        </w:tc>
        <w:tc>
          <w:tcPr>
            <w:tcW w:w="1667" w:type="pct"/>
            <w:shd w:val="clear" w:color="auto" w:fill="auto"/>
            <w:vAlign w:val="center"/>
          </w:tcPr>
          <w:p w14:paraId="544A1B59" w14:textId="77777777" w:rsidR="009E11EB" w:rsidRPr="00E67914" w:rsidRDefault="009E11EB" w:rsidP="00223052">
            <w:pPr>
              <w:pStyle w:val="1f9"/>
              <w:rPr>
                <w:szCs w:val="21"/>
              </w:rPr>
            </w:pPr>
            <w:r w:rsidRPr="00E67914">
              <w:rPr>
                <w:szCs w:val="21"/>
              </w:rPr>
              <w:t>0.812</w:t>
            </w:r>
          </w:p>
        </w:tc>
      </w:tr>
      <w:tr w:rsidR="00E67914" w:rsidRPr="00E67914" w14:paraId="29E46F09" w14:textId="77777777" w:rsidTr="00223052">
        <w:tc>
          <w:tcPr>
            <w:tcW w:w="1666" w:type="pct"/>
            <w:vMerge/>
            <w:shd w:val="clear" w:color="auto" w:fill="auto"/>
            <w:vAlign w:val="center"/>
          </w:tcPr>
          <w:p w14:paraId="62CBEA83" w14:textId="77777777" w:rsidR="009E11EB" w:rsidRPr="00E67914" w:rsidRDefault="009E11EB" w:rsidP="00223052">
            <w:pPr>
              <w:pStyle w:val="1f9"/>
              <w:rPr>
                <w:szCs w:val="21"/>
              </w:rPr>
            </w:pPr>
          </w:p>
        </w:tc>
        <w:tc>
          <w:tcPr>
            <w:tcW w:w="1667" w:type="pct"/>
            <w:shd w:val="clear" w:color="auto" w:fill="auto"/>
            <w:vAlign w:val="center"/>
          </w:tcPr>
          <w:p w14:paraId="43F0958E" w14:textId="77777777" w:rsidR="009E11EB" w:rsidRPr="00E67914" w:rsidRDefault="009E11EB" w:rsidP="00223052">
            <w:pPr>
              <w:pStyle w:val="1f9"/>
              <w:rPr>
                <w:szCs w:val="21"/>
              </w:rPr>
            </w:pPr>
            <w:r w:rsidRPr="00E67914">
              <w:rPr>
                <w:szCs w:val="21"/>
              </w:rPr>
              <w:t>油品雷德蒸气压</w:t>
            </w:r>
            <w:r w:rsidRPr="00E67914">
              <w:rPr>
                <w:szCs w:val="21"/>
              </w:rPr>
              <w:t>(psia)</w:t>
            </w:r>
          </w:p>
        </w:tc>
        <w:tc>
          <w:tcPr>
            <w:tcW w:w="1667" w:type="pct"/>
            <w:shd w:val="clear" w:color="auto" w:fill="auto"/>
            <w:vAlign w:val="center"/>
          </w:tcPr>
          <w:p w14:paraId="7FA64CFC" w14:textId="77777777" w:rsidR="009E11EB" w:rsidRPr="00E67914" w:rsidRDefault="009E11EB" w:rsidP="00223052">
            <w:pPr>
              <w:pStyle w:val="1f9"/>
              <w:rPr>
                <w:szCs w:val="21"/>
              </w:rPr>
            </w:pPr>
            <w:r w:rsidRPr="00E67914">
              <w:rPr>
                <w:szCs w:val="21"/>
              </w:rPr>
              <w:t>5.74</w:t>
            </w:r>
          </w:p>
        </w:tc>
      </w:tr>
      <w:tr w:rsidR="00E67914" w:rsidRPr="00E67914" w14:paraId="59C4A9ED" w14:textId="77777777" w:rsidTr="00223052">
        <w:tc>
          <w:tcPr>
            <w:tcW w:w="1666" w:type="pct"/>
            <w:vMerge/>
            <w:shd w:val="clear" w:color="auto" w:fill="auto"/>
            <w:vAlign w:val="center"/>
          </w:tcPr>
          <w:p w14:paraId="3B84801D" w14:textId="77777777" w:rsidR="009E11EB" w:rsidRPr="00E67914" w:rsidRDefault="009E11EB" w:rsidP="00223052">
            <w:pPr>
              <w:pStyle w:val="1f9"/>
              <w:rPr>
                <w:szCs w:val="21"/>
              </w:rPr>
            </w:pPr>
          </w:p>
        </w:tc>
        <w:tc>
          <w:tcPr>
            <w:tcW w:w="1667" w:type="pct"/>
            <w:shd w:val="clear" w:color="auto" w:fill="auto"/>
            <w:vAlign w:val="center"/>
          </w:tcPr>
          <w:p w14:paraId="6533BC30" w14:textId="77777777" w:rsidR="009E11EB" w:rsidRPr="00E67914" w:rsidRDefault="009E11EB" w:rsidP="00223052">
            <w:pPr>
              <w:pStyle w:val="1f9"/>
              <w:rPr>
                <w:szCs w:val="21"/>
              </w:rPr>
            </w:pPr>
            <w:r w:rsidRPr="00E67914">
              <w:rPr>
                <w:szCs w:val="21"/>
              </w:rPr>
              <w:t>年平均储存温度</w:t>
            </w:r>
            <w:r w:rsidRPr="00E67914">
              <w:rPr>
                <w:szCs w:val="21"/>
              </w:rPr>
              <w:t>(℃)</w:t>
            </w:r>
          </w:p>
        </w:tc>
        <w:tc>
          <w:tcPr>
            <w:tcW w:w="1667" w:type="pct"/>
            <w:shd w:val="clear" w:color="auto" w:fill="auto"/>
            <w:vAlign w:val="center"/>
          </w:tcPr>
          <w:p w14:paraId="0CC76D9C" w14:textId="77777777" w:rsidR="009E11EB" w:rsidRPr="00E67914" w:rsidRDefault="009E11EB" w:rsidP="00223052">
            <w:pPr>
              <w:pStyle w:val="1f9"/>
              <w:rPr>
                <w:szCs w:val="21"/>
              </w:rPr>
            </w:pPr>
            <w:r w:rsidRPr="00E67914">
              <w:rPr>
                <w:szCs w:val="21"/>
              </w:rPr>
              <w:t>40</w:t>
            </w:r>
          </w:p>
        </w:tc>
      </w:tr>
      <w:tr w:rsidR="00E67914" w:rsidRPr="00E67914" w14:paraId="364BC7EE" w14:textId="77777777" w:rsidTr="00223052">
        <w:tc>
          <w:tcPr>
            <w:tcW w:w="1666" w:type="pct"/>
            <w:vMerge w:val="restart"/>
            <w:shd w:val="clear" w:color="auto" w:fill="auto"/>
            <w:vAlign w:val="center"/>
          </w:tcPr>
          <w:p w14:paraId="68B7C209" w14:textId="77777777" w:rsidR="009E11EB" w:rsidRPr="00E67914" w:rsidRDefault="009E11EB" w:rsidP="00223052">
            <w:pPr>
              <w:pStyle w:val="1f9"/>
              <w:rPr>
                <w:szCs w:val="21"/>
              </w:rPr>
            </w:pPr>
            <w:r w:rsidRPr="00E67914">
              <w:rPr>
                <w:szCs w:val="21"/>
              </w:rPr>
              <w:t>气象参数</w:t>
            </w:r>
          </w:p>
        </w:tc>
        <w:tc>
          <w:tcPr>
            <w:tcW w:w="1667" w:type="pct"/>
            <w:shd w:val="clear" w:color="auto" w:fill="auto"/>
            <w:vAlign w:val="center"/>
          </w:tcPr>
          <w:p w14:paraId="6C9BC469" w14:textId="77777777" w:rsidR="009E11EB" w:rsidRPr="00E67914" w:rsidRDefault="009E11EB" w:rsidP="00223052">
            <w:pPr>
              <w:pStyle w:val="1f9"/>
              <w:rPr>
                <w:szCs w:val="21"/>
              </w:rPr>
            </w:pPr>
            <w:r w:rsidRPr="00E67914">
              <w:rPr>
                <w:szCs w:val="21"/>
              </w:rPr>
              <w:t>大气压</w:t>
            </w:r>
            <w:r w:rsidRPr="00E67914">
              <w:rPr>
                <w:szCs w:val="21"/>
              </w:rPr>
              <w:t>(kPa)</w:t>
            </w:r>
          </w:p>
        </w:tc>
        <w:tc>
          <w:tcPr>
            <w:tcW w:w="1667" w:type="pct"/>
            <w:shd w:val="clear" w:color="auto" w:fill="auto"/>
            <w:vAlign w:val="center"/>
          </w:tcPr>
          <w:p w14:paraId="2ECAD4A0" w14:textId="77777777" w:rsidR="009E11EB" w:rsidRPr="00E67914" w:rsidRDefault="009E11EB" w:rsidP="00223052">
            <w:pPr>
              <w:pStyle w:val="1f9"/>
              <w:rPr>
                <w:szCs w:val="21"/>
              </w:rPr>
            </w:pPr>
            <w:r w:rsidRPr="00E67914">
              <w:rPr>
                <w:szCs w:val="21"/>
              </w:rPr>
              <w:t>101.3</w:t>
            </w:r>
          </w:p>
        </w:tc>
      </w:tr>
      <w:tr w:rsidR="00E67914" w:rsidRPr="00E67914" w14:paraId="100FF763" w14:textId="77777777" w:rsidTr="00223052">
        <w:tc>
          <w:tcPr>
            <w:tcW w:w="1666" w:type="pct"/>
            <w:vMerge/>
            <w:shd w:val="clear" w:color="auto" w:fill="auto"/>
            <w:vAlign w:val="center"/>
          </w:tcPr>
          <w:p w14:paraId="1441CC15" w14:textId="77777777" w:rsidR="009E11EB" w:rsidRPr="00E67914" w:rsidRDefault="009E11EB" w:rsidP="00223052">
            <w:pPr>
              <w:pStyle w:val="1f9"/>
              <w:rPr>
                <w:szCs w:val="21"/>
              </w:rPr>
            </w:pPr>
          </w:p>
        </w:tc>
        <w:tc>
          <w:tcPr>
            <w:tcW w:w="1667" w:type="pct"/>
            <w:shd w:val="clear" w:color="auto" w:fill="auto"/>
            <w:vAlign w:val="center"/>
          </w:tcPr>
          <w:p w14:paraId="3B3EF435" w14:textId="77777777" w:rsidR="009E11EB" w:rsidRPr="00E67914" w:rsidRDefault="009E11EB" w:rsidP="00223052">
            <w:pPr>
              <w:pStyle w:val="1f9"/>
              <w:rPr>
                <w:szCs w:val="21"/>
              </w:rPr>
            </w:pPr>
            <w:r w:rsidRPr="00E67914">
              <w:rPr>
                <w:szCs w:val="21"/>
              </w:rPr>
              <w:t>日平均最高环境温度</w:t>
            </w:r>
            <w:r w:rsidRPr="00E67914">
              <w:rPr>
                <w:szCs w:val="21"/>
              </w:rPr>
              <w:t>(℃)</w:t>
            </w:r>
          </w:p>
        </w:tc>
        <w:tc>
          <w:tcPr>
            <w:tcW w:w="1667" w:type="pct"/>
            <w:shd w:val="clear" w:color="auto" w:fill="auto"/>
            <w:vAlign w:val="center"/>
          </w:tcPr>
          <w:p w14:paraId="792B6007" w14:textId="77777777" w:rsidR="009E11EB" w:rsidRPr="00E67914" w:rsidRDefault="009E11EB" w:rsidP="00223052">
            <w:pPr>
              <w:jc w:val="center"/>
              <w:rPr>
                <w:rFonts w:ascii="Times New Roman" w:hAnsi="Times New Roman"/>
                <w:sz w:val="21"/>
                <w:szCs w:val="21"/>
              </w:rPr>
            </w:pPr>
            <w:r w:rsidRPr="00E67914">
              <w:rPr>
                <w:rFonts w:ascii="Times New Roman" w:hAnsi="Times New Roman"/>
                <w:sz w:val="21"/>
                <w:szCs w:val="21"/>
              </w:rPr>
              <w:t>22</w:t>
            </w:r>
          </w:p>
        </w:tc>
      </w:tr>
      <w:tr w:rsidR="00E67914" w:rsidRPr="00E67914" w14:paraId="3579363C" w14:textId="77777777" w:rsidTr="00223052">
        <w:tc>
          <w:tcPr>
            <w:tcW w:w="1666" w:type="pct"/>
            <w:vMerge/>
            <w:shd w:val="clear" w:color="auto" w:fill="auto"/>
            <w:vAlign w:val="center"/>
          </w:tcPr>
          <w:p w14:paraId="4F925AC5" w14:textId="77777777" w:rsidR="009E11EB" w:rsidRPr="00E67914" w:rsidRDefault="009E11EB" w:rsidP="00223052">
            <w:pPr>
              <w:pStyle w:val="1f9"/>
              <w:rPr>
                <w:szCs w:val="21"/>
              </w:rPr>
            </w:pPr>
          </w:p>
        </w:tc>
        <w:tc>
          <w:tcPr>
            <w:tcW w:w="1667" w:type="pct"/>
            <w:shd w:val="clear" w:color="auto" w:fill="auto"/>
            <w:vAlign w:val="center"/>
          </w:tcPr>
          <w:p w14:paraId="3CB10E2F" w14:textId="77777777" w:rsidR="009E11EB" w:rsidRPr="00E67914" w:rsidRDefault="009E11EB" w:rsidP="00223052">
            <w:pPr>
              <w:pStyle w:val="1f9"/>
              <w:rPr>
                <w:szCs w:val="21"/>
              </w:rPr>
            </w:pPr>
            <w:r w:rsidRPr="00E67914">
              <w:rPr>
                <w:szCs w:val="21"/>
              </w:rPr>
              <w:t>日平均最低环境温度</w:t>
            </w:r>
            <w:r w:rsidRPr="00E67914">
              <w:rPr>
                <w:szCs w:val="21"/>
              </w:rPr>
              <w:t>(℃)</w:t>
            </w:r>
          </w:p>
        </w:tc>
        <w:tc>
          <w:tcPr>
            <w:tcW w:w="1667" w:type="pct"/>
            <w:shd w:val="clear" w:color="auto" w:fill="auto"/>
            <w:vAlign w:val="center"/>
          </w:tcPr>
          <w:p w14:paraId="6F79FA03" w14:textId="77777777" w:rsidR="009E11EB" w:rsidRPr="00E67914" w:rsidRDefault="009E11EB" w:rsidP="00223052">
            <w:pPr>
              <w:jc w:val="center"/>
              <w:rPr>
                <w:rFonts w:ascii="Times New Roman" w:hAnsi="Times New Roman"/>
                <w:sz w:val="21"/>
                <w:szCs w:val="21"/>
              </w:rPr>
            </w:pPr>
            <w:r w:rsidRPr="00E67914">
              <w:rPr>
                <w:rFonts w:ascii="Times New Roman" w:hAnsi="Times New Roman"/>
                <w:sz w:val="21"/>
                <w:szCs w:val="21"/>
              </w:rPr>
              <w:t>14</w:t>
            </w:r>
          </w:p>
        </w:tc>
      </w:tr>
      <w:tr w:rsidR="00E67914" w:rsidRPr="00E67914" w14:paraId="3C66953E" w14:textId="77777777" w:rsidTr="00223052">
        <w:tc>
          <w:tcPr>
            <w:tcW w:w="1666" w:type="pct"/>
            <w:vMerge/>
            <w:shd w:val="clear" w:color="auto" w:fill="auto"/>
            <w:vAlign w:val="center"/>
          </w:tcPr>
          <w:p w14:paraId="06225A11" w14:textId="77777777" w:rsidR="009E11EB" w:rsidRPr="00E67914" w:rsidRDefault="009E11EB" w:rsidP="00223052">
            <w:pPr>
              <w:pStyle w:val="1f9"/>
              <w:rPr>
                <w:szCs w:val="21"/>
              </w:rPr>
            </w:pPr>
          </w:p>
        </w:tc>
        <w:tc>
          <w:tcPr>
            <w:tcW w:w="1667" w:type="pct"/>
            <w:shd w:val="clear" w:color="auto" w:fill="auto"/>
            <w:vAlign w:val="center"/>
          </w:tcPr>
          <w:p w14:paraId="6EE5EF7A" w14:textId="77777777" w:rsidR="009E11EB" w:rsidRPr="00E67914" w:rsidRDefault="009E11EB" w:rsidP="00223052">
            <w:pPr>
              <w:pStyle w:val="1f9"/>
              <w:rPr>
                <w:szCs w:val="21"/>
              </w:rPr>
            </w:pPr>
            <w:r w:rsidRPr="00E67914">
              <w:rPr>
                <w:szCs w:val="21"/>
              </w:rPr>
              <w:t>水平面太阳能总辐射</w:t>
            </w:r>
            <w:r w:rsidRPr="00E67914">
              <w:rPr>
                <w:szCs w:val="21"/>
              </w:rPr>
              <w:t>(Btu/ft</w:t>
            </w:r>
            <w:r w:rsidRPr="00E67914">
              <w:rPr>
                <w:szCs w:val="21"/>
                <w:vertAlign w:val="superscript"/>
              </w:rPr>
              <w:t>2</w:t>
            </w:r>
            <w:r w:rsidRPr="00E67914">
              <w:rPr>
                <w:szCs w:val="21"/>
              </w:rPr>
              <w:t>.day)</w:t>
            </w:r>
          </w:p>
        </w:tc>
        <w:tc>
          <w:tcPr>
            <w:tcW w:w="1667" w:type="pct"/>
            <w:shd w:val="clear" w:color="auto" w:fill="auto"/>
            <w:vAlign w:val="center"/>
          </w:tcPr>
          <w:p w14:paraId="06210918" w14:textId="77777777" w:rsidR="009E11EB" w:rsidRPr="00E67914" w:rsidRDefault="009E11EB" w:rsidP="00223052">
            <w:pPr>
              <w:jc w:val="center"/>
              <w:rPr>
                <w:rFonts w:ascii="Times New Roman" w:hAnsi="Times New Roman"/>
                <w:sz w:val="21"/>
                <w:szCs w:val="21"/>
              </w:rPr>
            </w:pPr>
            <w:r w:rsidRPr="00E67914">
              <w:rPr>
                <w:rFonts w:ascii="Times New Roman" w:hAnsi="Times New Roman"/>
                <w:sz w:val="21"/>
                <w:szCs w:val="21"/>
              </w:rPr>
              <w:t>533</w:t>
            </w:r>
          </w:p>
        </w:tc>
      </w:tr>
      <w:tr w:rsidR="00E67914" w:rsidRPr="00E67914" w14:paraId="09A96473" w14:textId="77777777" w:rsidTr="00223052">
        <w:tc>
          <w:tcPr>
            <w:tcW w:w="1666" w:type="pct"/>
            <w:vMerge w:val="restart"/>
            <w:shd w:val="clear" w:color="auto" w:fill="auto"/>
            <w:vAlign w:val="center"/>
          </w:tcPr>
          <w:p w14:paraId="467835DA" w14:textId="77777777" w:rsidR="009E11EB" w:rsidRPr="00E67914" w:rsidRDefault="009E11EB" w:rsidP="00223052">
            <w:pPr>
              <w:pStyle w:val="1f9"/>
              <w:rPr>
                <w:szCs w:val="21"/>
              </w:rPr>
            </w:pPr>
            <w:r w:rsidRPr="00E67914">
              <w:rPr>
                <w:szCs w:val="21"/>
              </w:rPr>
              <w:t>储罐构造参数</w:t>
            </w:r>
          </w:p>
        </w:tc>
        <w:tc>
          <w:tcPr>
            <w:tcW w:w="1667" w:type="pct"/>
            <w:shd w:val="clear" w:color="auto" w:fill="auto"/>
            <w:vAlign w:val="center"/>
          </w:tcPr>
          <w:p w14:paraId="0CB6CD3B" w14:textId="77777777" w:rsidR="009E11EB" w:rsidRPr="00E67914" w:rsidRDefault="009E11EB" w:rsidP="00223052">
            <w:pPr>
              <w:pStyle w:val="1f9"/>
              <w:rPr>
                <w:szCs w:val="21"/>
              </w:rPr>
            </w:pPr>
            <w:r w:rsidRPr="00E67914">
              <w:rPr>
                <w:szCs w:val="21"/>
              </w:rPr>
              <w:t>容积（</w:t>
            </w:r>
            <w:r w:rsidRPr="00E67914">
              <w:rPr>
                <w:szCs w:val="21"/>
              </w:rPr>
              <w:t>m</w:t>
            </w:r>
            <w:r w:rsidRPr="00E67914">
              <w:rPr>
                <w:szCs w:val="21"/>
                <w:vertAlign w:val="superscript"/>
              </w:rPr>
              <w:t>3</w:t>
            </w:r>
            <w:r w:rsidRPr="00E67914">
              <w:rPr>
                <w:szCs w:val="21"/>
              </w:rPr>
              <w:t>）</w:t>
            </w:r>
          </w:p>
        </w:tc>
        <w:tc>
          <w:tcPr>
            <w:tcW w:w="1667" w:type="pct"/>
            <w:shd w:val="clear" w:color="auto" w:fill="auto"/>
            <w:vAlign w:val="center"/>
          </w:tcPr>
          <w:p w14:paraId="5BEC0C86" w14:textId="77777777" w:rsidR="009E11EB" w:rsidRPr="00E67914" w:rsidRDefault="009E11EB" w:rsidP="00223052">
            <w:pPr>
              <w:pStyle w:val="1f9"/>
              <w:rPr>
                <w:szCs w:val="21"/>
              </w:rPr>
            </w:pPr>
            <w:r w:rsidRPr="00E67914">
              <w:rPr>
                <w:szCs w:val="21"/>
              </w:rPr>
              <w:t>50</w:t>
            </w:r>
          </w:p>
        </w:tc>
      </w:tr>
      <w:tr w:rsidR="00E67914" w:rsidRPr="00E67914" w14:paraId="2108BDF4" w14:textId="77777777" w:rsidTr="00223052">
        <w:tc>
          <w:tcPr>
            <w:tcW w:w="1666" w:type="pct"/>
            <w:vMerge/>
            <w:shd w:val="clear" w:color="auto" w:fill="auto"/>
            <w:vAlign w:val="center"/>
          </w:tcPr>
          <w:p w14:paraId="427F353E" w14:textId="77777777" w:rsidR="009E11EB" w:rsidRPr="00E67914" w:rsidRDefault="009E11EB" w:rsidP="00223052">
            <w:pPr>
              <w:pStyle w:val="1f9"/>
              <w:rPr>
                <w:szCs w:val="21"/>
              </w:rPr>
            </w:pPr>
          </w:p>
        </w:tc>
        <w:tc>
          <w:tcPr>
            <w:tcW w:w="1667" w:type="pct"/>
            <w:shd w:val="clear" w:color="auto" w:fill="auto"/>
            <w:vAlign w:val="center"/>
          </w:tcPr>
          <w:p w14:paraId="252A5E79" w14:textId="77777777" w:rsidR="009E11EB" w:rsidRPr="00E67914" w:rsidRDefault="009E11EB" w:rsidP="00223052">
            <w:pPr>
              <w:pStyle w:val="1f9"/>
              <w:rPr>
                <w:szCs w:val="21"/>
              </w:rPr>
            </w:pPr>
            <w:r w:rsidRPr="00E67914">
              <w:rPr>
                <w:szCs w:val="21"/>
              </w:rPr>
              <w:t>直径</w:t>
            </w:r>
            <w:r w:rsidRPr="00E67914">
              <w:rPr>
                <w:szCs w:val="21"/>
              </w:rPr>
              <w:t>(m)</w:t>
            </w:r>
          </w:p>
        </w:tc>
        <w:tc>
          <w:tcPr>
            <w:tcW w:w="1667" w:type="pct"/>
            <w:shd w:val="clear" w:color="auto" w:fill="auto"/>
            <w:vAlign w:val="center"/>
          </w:tcPr>
          <w:p w14:paraId="6576FE5A" w14:textId="77777777" w:rsidR="009E11EB" w:rsidRPr="00E67914" w:rsidRDefault="009E11EB" w:rsidP="00223052">
            <w:pPr>
              <w:pStyle w:val="1f9"/>
              <w:rPr>
                <w:szCs w:val="21"/>
              </w:rPr>
            </w:pPr>
            <w:r w:rsidRPr="00E67914">
              <w:rPr>
                <w:szCs w:val="21"/>
              </w:rPr>
              <w:t>2.8</w:t>
            </w:r>
          </w:p>
        </w:tc>
      </w:tr>
      <w:tr w:rsidR="00E67914" w:rsidRPr="00E67914" w14:paraId="492E701E" w14:textId="77777777" w:rsidTr="00223052">
        <w:tc>
          <w:tcPr>
            <w:tcW w:w="1666" w:type="pct"/>
            <w:vMerge/>
            <w:shd w:val="clear" w:color="auto" w:fill="auto"/>
            <w:vAlign w:val="center"/>
          </w:tcPr>
          <w:p w14:paraId="676C0BC3" w14:textId="77777777" w:rsidR="009E11EB" w:rsidRPr="00E67914" w:rsidRDefault="009E11EB" w:rsidP="00223052">
            <w:pPr>
              <w:pStyle w:val="1f9"/>
              <w:rPr>
                <w:szCs w:val="21"/>
              </w:rPr>
            </w:pPr>
          </w:p>
        </w:tc>
        <w:tc>
          <w:tcPr>
            <w:tcW w:w="1667" w:type="pct"/>
            <w:shd w:val="clear" w:color="auto" w:fill="auto"/>
            <w:vAlign w:val="center"/>
          </w:tcPr>
          <w:p w14:paraId="370C14AD" w14:textId="77777777" w:rsidR="009E11EB" w:rsidRPr="00E67914" w:rsidRDefault="009E11EB" w:rsidP="00223052">
            <w:pPr>
              <w:pStyle w:val="1f9"/>
              <w:rPr>
                <w:szCs w:val="21"/>
              </w:rPr>
            </w:pPr>
            <w:r w:rsidRPr="00E67914">
              <w:rPr>
                <w:szCs w:val="21"/>
              </w:rPr>
              <w:t>罐壁</w:t>
            </w:r>
            <w:r w:rsidRPr="00E67914">
              <w:rPr>
                <w:szCs w:val="21"/>
              </w:rPr>
              <w:t>/</w:t>
            </w:r>
            <w:r w:rsidRPr="00E67914">
              <w:rPr>
                <w:szCs w:val="21"/>
              </w:rPr>
              <w:t>顶颜色</w:t>
            </w:r>
          </w:p>
        </w:tc>
        <w:tc>
          <w:tcPr>
            <w:tcW w:w="1667" w:type="pct"/>
            <w:shd w:val="clear" w:color="auto" w:fill="auto"/>
            <w:vAlign w:val="center"/>
          </w:tcPr>
          <w:p w14:paraId="65820CB5" w14:textId="77777777" w:rsidR="009E11EB" w:rsidRPr="00E67914" w:rsidRDefault="009E11EB" w:rsidP="00223052">
            <w:pPr>
              <w:pStyle w:val="1f9"/>
              <w:rPr>
                <w:szCs w:val="21"/>
              </w:rPr>
            </w:pPr>
            <w:r w:rsidRPr="00E67914">
              <w:rPr>
                <w:szCs w:val="21"/>
              </w:rPr>
              <w:t>白色</w:t>
            </w:r>
          </w:p>
        </w:tc>
      </w:tr>
      <w:tr w:rsidR="00E67914" w:rsidRPr="00E67914" w14:paraId="6D02286A" w14:textId="77777777" w:rsidTr="00223052">
        <w:tc>
          <w:tcPr>
            <w:tcW w:w="1666" w:type="pct"/>
            <w:vMerge/>
            <w:shd w:val="clear" w:color="auto" w:fill="auto"/>
            <w:vAlign w:val="center"/>
          </w:tcPr>
          <w:p w14:paraId="15900C1D" w14:textId="77777777" w:rsidR="009E11EB" w:rsidRPr="00E67914" w:rsidRDefault="009E11EB" w:rsidP="00223052">
            <w:pPr>
              <w:pStyle w:val="1f9"/>
              <w:rPr>
                <w:szCs w:val="21"/>
              </w:rPr>
            </w:pPr>
          </w:p>
        </w:tc>
        <w:tc>
          <w:tcPr>
            <w:tcW w:w="1667" w:type="pct"/>
            <w:shd w:val="clear" w:color="auto" w:fill="auto"/>
            <w:vAlign w:val="center"/>
          </w:tcPr>
          <w:p w14:paraId="522D6683" w14:textId="77777777" w:rsidR="009E11EB" w:rsidRPr="00E67914" w:rsidRDefault="009E11EB" w:rsidP="00223052">
            <w:pPr>
              <w:pStyle w:val="1f9"/>
              <w:rPr>
                <w:szCs w:val="21"/>
              </w:rPr>
            </w:pPr>
            <w:r w:rsidRPr="00E67914">
              <w:rPr>
                <w:szCs w:val="21"/>
              </w:rPr>
              <w:t>呼吸阀压力设定</w:t>
            </w:r>
            <w:r w:rsidRPr="00E67914">
              <w:rPr>
                <w:szCs w:val="21"/>
              </w:rPr>
              <w:t>(pa)</w:t>
            </w:r>
          </w:p>
        </w:tc>
        <w:tc>
          <w:tcPr>
            <w:tcW w:w="1667" w:type="pct"/>
            <w:shd w:val="clear" w:color="auto" w:fill="auto"/>
            <w:vAlign w:val="center"/>
          </w:tcPr>
          <w:p w14:paraId="32C28F59" w14:textId="77777777" w:rsidR="009E11EB" w:rsidRPr="00E67914" w:rsidRDefault="009E11EB" w:rsidP="00223052">
            <w:pPr>
              <w:pStyle w:val="1f9"/>
              <w:rPr>
                <w:szCs w:val="21"/>
              </w:rPr>
            </w:pPr>
            <w:r w:rsidRPr="00E67914">
              <w:rPr>
                <w:szCs w:val="21"/>
              </w:rPr>
              <w:t>355</w:t>
            </w:r>
          </w:p>
        </w:tc>
      </w:tr>
      <w:tr w:rsidR="00E67914" w:rsidRPr="00E67914" w14:paraId="66B49D73" w14:textId="77777777" w:rsidTr="00223052">
        <w:tc>
          <w:tcPr>
            <w:tcW w:w="1666" w:type="pct"/>
            <w:vMerge/>
            <w:shd w:val="clear" w:color="auto" w:fill="auto"/>
            <w:vAlign w:val="center"/>
          </w:tcPr>
          <w:p w14:paraId="06D5579B" w14:textId="77777777" w:rsidR="009E11EB" w:rsidRPr="00E67914" w:rsidRDefault="009E11EB" w:rsidP="00223052">
            <w:pPr>
              <w:pStyle w:val="1f9"/>
              <w:rPr>
                <w:szCs w:val="21"/>
              </w:rPr>
            </w:pPr>
          </w:p>
        </w:tc>
        <w:tc>
          <w:tcPr>
            <w:tcW w:w="1667" w:type="pct"/>
            <w:shd w:val="clear" w:color="auto" w:fill="auto"/>
            <w:vAlign w:val="center"/>
          </w:tcPr>
          <w:p w14:paraId="418E9AC4" w14:textId="77777777" w:rsidR="009E11EB" w:rsidRPr="00E67914" w:rsidRDefault="009E11EB" w:rsidP="00223052">
            <w:pPr>
              <w:pStyle w:val="1f9"/>
              <w:rPr>
                <w:szCs w:val="21"/>
              </w:rPr>
            </w:pPr>
            <w:r w:rsidRPr="00E67914">
              <w:rPr>
                <w:szCs w:val="21"/>
              </w:rPr>
              <w:t>呼吸阀真空设定</w:t>
            </w:r>
            <w:r w:rsidRPr="00E67914">
              <w:rPr>
                <w:szCs w:val="21"/>
              </w:rPr>
              <w:t>(pa)</w:t>
            </w:r>
          </w:p>
        </w:tc>
        <w:tc>
          <w:tcPr>
            <w:tcW w:w="1667" w:type="pct"/>
            <w:shd w:val="clear" w:color="auto" w:fill="auto"/>
            <w:vAlign w:val="center"/>
          </w:tcPr>
          <w:p w14:paraId="16D439A8" w14:textId="77777777" w:rsidR="009E11EB" w:rsidRPr="00E67914" w:rsidRDefault="009E11EB" w:rsidP="00223052">
            <w:pPr>
              <w:pStyle w:val="1f9"/>
              <w:rPr>
                <w:szCs w:val="21"/>
              </w:rPr>
            </w:pPr>
            <w:r w:rsidRPr="00E67914">
              <w:rPr>
                <w:szCs w:val="21"/>
              </w:rPr>
              <w:t>-295</w:t>
            </w:r>
          </w:p>
        </w:tc>
      </w:tr>
      <w:tr w:rsidR="00E67914" w:rsidRPr="00E67914" w14:paraId="01C2D8F3" w14:textId="77777777" w:rsidTr="00223052">
        <w:tc>
          <w:tcPr>
            <w:tcW w:w="1666" w:type="pct"/>
            <w:vMerge/>
            <w:shd w:val="clear" w:color="auto" w:fill="auto"/>
            <w:vAlign w:val="center"/>
          </w:tcPr>
          <w:p w14:paraId="3A092031" w14:textId="77777777" w:rsidR="009E11EB" w:rsidRPr="00E67914" w:rsidRDefault="009E11EB" w:rsidP="00223052">
            <w:pPr>
              <w:pStyle w:val="1f9"/>
              <w:rPr>
                <w:szCs w:val="21"/>
              </w:rPr>
            </w:pPr>
          </w:p>
        </w:tc>
        <w:tc>
          <w:tcPr>
            <w:tcW w:w="1667" w:type="pct"/>
            <w:shd w:val="clear" w:color="auto" w:fill="auto"/>
            <w:vAlign w:val="center"/>
          </w:tcPr>
          <w:p w14:paraId="0B24C25C" w14:textId="77777777" w:rsidR="009E11EB" w:rsidRPr="00E67914" w:rsidRDefault="009E11EB" w:rsidP="00223052">
            <w:pPr>
              <w:pStyle w:val="1f9"/>
              <w:rPr>
                <w:szCs w:val="21"/>
              </w:rPr>
            </w:pPr>
            <w:r w:rsidRPr="00E67914">
              <w:rPr>
                <w:szCs w:val="21"/>
              </w:rPr>
              <w:t>罐体长度（</w:t>
            </w:r>
            <w:r w:rsidRPr="00E67914">
              <w:rPr>
                <w:szCs w:val="21"/>
              </w:rPr>
              <w:t>m</w:t>
            </w:r>
            <w:r w:rsidRPr="00E67914">
              <w:rPr>
                <w:szCs w:val="21"/>
              </w:rPr>
              <w:t>）</w:t>
            </w:r>
          </w:p>
        </w:tc>
        <w:tc>
          <w:tcPr>
            <w:tcW w:w="1667" w:type="pct"/>
            <w:shd w:val="clear" w:color="auto" w:fill="auto"/>
            <w:vAlign w:val="center"/>
          </w:tcPr>
          <w:p w14:paraId="1C40ECA3" w14:textId="77777777" w:rsidR="009E11EB" w:rsidRPr="00E67914" w:rsidRDefault="009E11EB" w:rsidP="00223052">
            <w:pPr>
              <w:pStyle w:val="1f9"/>
              <w:rPr>
                <w:szCs w:val="21"/>
              </w:rPr>
            </w:pPr>
            <w:r w:rsidRPr="00E67914">
              <w:rPr>
                <w:szCs w:val="21"/>
              </w:rPr>
              <w:t>7.2</w:t>
            </w:r>
          </w:p>
        </w:tc>
      </w:tr>
      <w:tr w:rsidR="009E11EB" w:rsidRPr="00E67914" w14:paraId="28613FEC" w14:textId="77777777" w:rsidTr="00223052">
        <w:tc>
          <w:tcPr>
            <w:tcW w:w="3333" w:type="pct"/>
            <w:gridSpan w:val="2"/>
            <w:shd w:val="clear" w:color="auto" w:fill="auto"/>
            <w:vAlign w:val="center"/>
          </w:tcPr>
          <w:p w14:paraId="2B098A71" w14:textId="77777777" w:rsidR="009E11EB" w:rsidRPr="00E67914" w:rsidRDefault="009E11EB" w:rsidP="00223052">
            <w:pPr>
              <w:pStyle w:val="1f9"/>
              <w:rPr>
                <w:szCs w:val="21"/>
              </w:rPr>
            </w:pPr>
            <w:r w:rsidRPr="00E67914">
              <w:rPr>
                <w:szCs w:val="21"/>
              </w:rPr>
              <w:t>单罐年周转量（</w:t>
            </w:r>
            <w:r w:rsidRPr="00E67914">
              <w:rPr>
                <w:szCs w:val="21"/>
              </w:rPr>
              <w:t>m</w:t>
            </w:r>
            <w:r w:rsidRPr="00E67914">
              <w:rPr>
                <w:szCs w:val="21"/>
                <w:vertAlign w:val="superscript"/>
              </w:rPr>
              <w:t>3</w:t>
            </w:r>
            <w:r w:rsidRPr="00E67914">
              <w:rPr>
                <w:szCs w:val="21"/>
              </w:rPr>
              <w:t>）</w:t>
            </w:r>
          </w:p>
        </w:tc>
        <w:tc>
          <w:tcPr>
            <w:tcW w:w="1667" w:type="pct"/>
            <w:shd w:val="clear" w:color="auto" w:fill="auto"/>
            <w:vAlign w:val="center"/>
          </w:tcPr>
          <w:p w14:paraId="2810D251" w14:textId="2B524425" w:rsidR="009E11EB" w:rsidRPr="00E67914" w:rsidRDefault="0030073C" w:rsidP="00223052">
            <w:pPr>
              <w:pStyle w:val="1f9"/>
              <w:rPr>
                <w:szCs w:val="21"/>
              </w:rPr>
            </w:pPr>
            <w:r w:rsidRPr="00E67914">
              <w:rPr>
                <w:szCs w:val="21"/>
              </w:rPr>
              <w:t>2245</w:t>
            </w:r>
          </w:p>
        </w:tc>
      </w:tr>
    </w:tbl>
    <w:p w14:paraId="35DE1A0D" w14:textId="77777777" w:rsidR="009E11EB" w:rsidRPr="00E67914" w:rsidRDefault="009E11EB" w:rsidP="009E11EB">
      <w:pPr>
        <w:pStyle w:val="1f9"/>
        <w:ind w:firstLine="480"/>
        <w:rPr>
          <w:sz w:val="24"/>
        </w:rPr>
      </w:pPr>
    </w:p>
    <w:p w14:paraId="249A2BFB" w14:textId="461C6DDA" w:rsidR="009E11EB" w:rsidRPr="00E67914" w:rsidRDefault="00901928" w:rsidP="009E11EB">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4</w:t>
      </w:r>
      <w:r w:rsidRPr="00E67914">
        <w:rPr>
          <w:rFonts w:ascii="Times New Roman" w:hAnsi="Times New Roman"/>
          <w:sz w:val="24"/>
          <w:szCs w:val="24"/>
          <w:lang w:eastAsia="zh-CN"/>
        </w:rPr>
        <w:t>）</w:t>
      </w:r>
      <w:r w:rsidR="009E11EB" w:rsidRPr="00E67914">
        <w:rPr>
          <w:rFonts w:ascii="Times New Roman" w:hAnsi="Times New Roman"/>
          <w:sz w:val="24"/>
          <w:szCs w:val="24"/>
          <w:lang w:eastAsia="zh-CN"/>
        </w:rPr>
        <w:t>凝析油装车挥发</w:t>
      </w:r>
      <w:r w:rsidRPr="00E67914">
        <w:rPr>
          <w:rFonts w:ascii="Times New Roman" w:hAnsi="Times New Roman"/>
          <w:sz w:val="24"/>
          <w:szCs w:val="24"/>
          <w:lang w:eastAsia="zh-CN"/>
        </w:rPr>
        <w:t>气体</w:t>
      </w:r>
    </w:p>
    <w:p w14:paraId="49960C0F" w14:textId="77777777" w:rsidR="009E11EB" w:rsidRPr="00E67914" w:rsidRDefault="009E11EB" w:rsidP="009E11EB">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lastRenderedPageBreak/>
        <w:t>根据《排污许可证申请与核发技术规范</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石化工业》</w:t>
      </w:r>
      <w:r w:rsidRPr="00E67914">
        <w:rPr>
          <w:rFonts w:ascii="Times New Roman" w:hAnsi="Times New Roman"/>
          <w:sz w:val="24"/>
          <w:szCs w:val="24"/>
          <w:lang w:eastAsia="zh-CN"/>
        </w:rPr>
        <w:t>(HJ 853-2017)</w:t>
      </w:r>
      <w:r w:rsidRPr="00E67914">
        <w:rPr>
          <w:rFonts w:ascii="Times New Roman" w:hAnsi="Times New Roman"/>
          <w:sz w:val="24"/>
          <w:szCs w:val="24"/>
          <w:lang w:eastAsia="zh-CN"/>
        </w:rPr>
        <w:t>，装载过程产生的挥发性有机物计算公式如下：</w:t>
      </w:r>
    </w:p>
    <w:p w14:paraId="1C59670E" w14:textId="106D7E6A" w:rsidR="009E11EB" w:rsidRPr="00E67914" w:rsidRDefault="009E11EB" w:rsidP="009E11EB">
      <w:pPr>
        <w:adjustRightInd w:val="0"/>
        <w:snapToGrid w:val="0"/>
        <w:spacing w:line="360" w:lineRule="auto"/>
        <w:jc w:val="center"/>
        <w:rPr>
          <w:rFonts w:ascii="Times New Roman" w:hAnsi="Times New Roman"/>
          <w:sz w:val="24"/>
          <w:szCs w:val="24"/>
        </w:rPr>
      </w:pPr>
      <w:r w:rsidRPr="00E67914">
        <w:rPr>
          <w:rFonts w:ascii="Times New Roman" w:hAnsi="Times New Roman"/>
          <w:noProof/>
          <w:sz w:val="24"/>
          <w:szCs w:val="24"/>
        </w:rPr>
        <w:drawing>
          <wp:inline distT="0" distB="0" distL="0" distR="0" wp14:anchorId="28E18E56" wp14:editId="13932E8C">
            <wp:extent cx="1621155" cy="445135"/>
            <wp:effectExtent l="0" t="0" r="0" b="0"/>
            <wp:docPr id="12185565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21155" cy="445135"/>
                    </a:xfrm>
                    <a:prstGeom prst="rect">
                      <a:avLst/>
                    </a:prstGeom>
                    <a:noFill/>
                    <a:ln>
                      <a:noFill/>
                    </a:ln>
                  </pic:spPr>
                </pic:pic>
              </a:graphicData>
            </a:graphic>
          </wp:inline>
        </w:drawing>
      </w:r>
    </w:p>
    <w:p w14:paraId="2CD34221" w14:textId="52F2245D" w:rsidR="009E11EB" w:rsidRPr="00E67914" w:rsidRDefault="009E11EB" w:rsidP="009E11EB">
      <w:pPr>
        <w:adjustRightInd w:val="0"/>
        <w:snapToGrid w:val="0"/>
        <w:jc w:val="center"/>
        <w:rPr>
          <w:rFonts w:ascii="Times New Roman" w:hAnsi="Times New Roman"/>
          <w:sz w:val="24"/>
          <w:szCs w:val="24"/>
        </w:rPr>
      </w:pPr>
      <w:r w:rsidRPr="00E67914">
        <w:rPr>
          <w:rFonts w:ascii="Times New Roman" w:hAnsi="Times New Roman"/>
          <w:noProof/>
          <w:sz w:val="24"/>
          <w:szCs w:val="24"/>
        </w:rPr>
        <w:drawing>
          <wp:inline distT="0" distB="0" distL="0" distR="0" wp14:anchorId="701E38EE" wp14:editId="3B4EA3E4">
            <wp:extent cx="1924050" cy="433705"/>
            <wp:effectExtent l="0" t="0" r="0" b="4445"/>
            <wp:docPr id="15583471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4050" cy="433705"/>
                    </a:xfrm>
                    <a:prstGeom prst="rect">
                      <a:avLst/>
                    </a:prstGeom>
                    <a:noFill/>
                    <a:ln>
                      <a:noFill/>
                    </a:ln>
                  </pic:spPr>
                </pic:pic>
              </a:graphicData>
            </a:graphic>
          </wp:inline>
        </w:drawing>
      </w:r>
    </w:p>
    <w:p w14:paraId="3F9CAEC0" w14:textId="77777777" w:rsidR="009E11EB" w:rsidRPr="00E67914" w:rsidRDefault="009E11EB" w:rsidP="009E11EB">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L</w:t>
      </w:r>
      <w:r w:rsidRPr="00E67914">
        <w:rPr>
          <w:rFonts w:ascii="Times New Roman" w:hAnsi="Times New Roman"/>
          <w:sz w:val="24"/>
          <w:szCs w:val="24"/>
          <w:vertAlign w:val="subscript"/>
          <w:lang w:eastAsia="zh-CN"/>
        </w:rPr>
        <w:t>L</w:t>
      </w:r>
      <w:r w:rsidRPr="00E67914">
        <w:rPr>
          <w:rFonts w:ascii="Times New Roman" w:hAnsi="Times New Roman"/>
          <w:sz w:val="24"/>
          <w:szCs w:val="24"/>
          <w:lang w:eastAsia="zh-CN"/>
        </w:rPr>
        <w:t>：挥发性有机液体装载过程排放系数；</w:t>
      </w:r>
    </w:p>
    <w:p w14:paraId="78E8CF84" w14:textId="4FCCF633" w:rsidR="009E11EB" w:rsidRPr="00E67914" w:rsidRDefault="009E11EB" w:rsidP="009E11EB">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i/>
          <w:iCs/>
          <w:sz w:val="24"/>
          <w:szCs w:val="24"/>
          <w:lang w:eastAsia="zh-CN"/>
        </w:rPr>
        <w:t>Q</w:t>
      </w:r>
      <w:r w:rsidRPr="00E67914">
        <w:rPr>
          <w:rFonts w:ascii="Times New Roman" w:hAnsi="Times New Roman"/>
          <w:sz w:val="24"/>
          <w:szCs w:val="24"/>
          <w:lang w:eastAsia="zh-CN"/>
        </w:rPr>
        <w:t>：排污单位设计物料装载量，取</w:t>
      </w:r>
      <w:r w:rsidR="0030073C" w:rsidRPr="00E67914">
        <w:rPr>
          <w:rFonts w:ascii="Times New Roman" w:hAnsi="Times New Roman"/>
          <w:sz w:val="24"/>
          <w:szCs w:val="24"/>
          <w:lang w:eastAsia="zh-CN"/>
        </w:rPr>
        <w:t>4490</w:t>
      </w:r>
      <w:r w:rsidRPr="00E67914">
        <w:rPr>
          <w:rFonts w:ascii="Times New Roman" w:hAnsi="Times New Roman"/>
          <w:sz w:val="24"/>
          <w:szCs w:val="24"/>
          <w:lang w:eastAsia="zh-CN"/>
        </w:rPr>
        <w:t>m³/a</w:t>
      </w:r>
      <w:r w:rsidRPr="00E67914">
        <w:rPr>
          <w:rFonts w:ascii="Times New Roman" w:hAnsi="Times New Roman"/>
          <w:sz w:val="24"/>
          <w:szCs w:val="24"/>
          <w:lang w:eastAsia="zh-CN"/>
        </w:rPr>
        <w:t>；</w:t>
      </w:r>
    </w:p>
    <w:p w14:paraId="166DFE01" w14:textId="77777777" w:rsidR="009E11EB" w:rsidRPr="00E67914" w:rsidRDefault="009E11EB" w:rsidP="009E11EB">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rPr>
        <w:sym w:font="Symbol" w:char="F068"/>
      </w:r>
      <w:r w:rsidRPr="00E67914">
        <w:rPr>
          <w:rFonts w:ascii="Times New Roman" w:hAnsi="Times New Roman"/>
          <w:sz w:val="24"/>
          <w:szCs w:val="24"/>
          <w:vertAlign w:val="subscript"/>
          <w:lang w:eastAsia="zh-CN"/>
        </w:rPr>
        <w:t>去除</w:t>
      </w:r>
      <w:r w:rsidRPr="00E67914">
        <w:rPr>
          <w:rFonts w:ascii="Times New Roman" w:hAnsi="Times New Roman"/>
          <w:sz w:val="24"/>
          <w:szCs w:val="24"/>
          <w:lang w:eastAsia="zh-CN"/>
        </w:rPr>
        <w:t>：去除效率，</w:t>
      </w:r>
      <w:r w:rsidRPr="00E67914">
        <w:rPr>
          <w:rFonts w:ascii="Times New Roman" w:hAnsi="Times New Roman"/>
          <w:sz w:val="24"/>
          <w:szCs w:val="24"/>
          <w:lang w:eastAsia="zh-CN"/>
        </w:rPr>
        <w:t>%</w:t>
      </w:r>
      <w:r w:rsidRPr="00E67914">
        <w:rPr>
          <w:rFonts w:ascii="Times New Roman" w:hAnsi="Times New Roman"/>
          <w:sz w:val="24"/>
          <w:szCs w:val="24"/>
          <w:lang w:eastAsia="zh-CN"/>
        </w:rPr>
        <w:t>，一般控制区取</w:t>
      </w:r>
      <w:r w:rsidRPr="00E67914">
        <w:rPr>
          <w:rFonts w:ascii="Times New Roman" w:hAnsi="Times New Roman"/>
          <w:sz w:val="24"/>
          <w:szCs w:val="24"/>
          <w:lang w:eastAsia="zh-CN"/>
        </w:rPr>
        <w:t>95%</w:t>
      </w:r>
      <w:r w:rsidRPr="00E67914">
        <w:rPr>
          <w:rFonts w:ascii="Times New Roman" w:hAnsi="Times New Roman"/>
          <w:sz w:val="24"/>
          <w:szCs w:val="24"/>
          <w:lang w:eastAsia="zh-CN"/>
        </w:rPr>
        <w:t>；</w:t>
      </w:r>
    </w:p>
    <w:p w14:paraId="14B63A5E" w14:textId="77777777" w:rsidR="009E11EB" w:rsidRPr="00E67914" w:rsidRDefault="009E11EB" w:rsidP="009E11EB">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S—</w:t>
      </w:r>
      <w:r w:rsidRPr="00E67914">
        <w:rPr>
          <w:rFonts w:ascii="Times New Roman" w:hAnsi="Times New Roman"/>
          <w:sz w:val="24"/>
          <w:szCs w:val="24"/>
          <w:lang w:eastAsia="zh-CN"/>
        </w:rPr>
        <w:t>饱和系数，无量纲，取</w:t>
      </w:r>
      <w:r w:rsidRPr="00E67914">
        <w:rPr>
          <w:rFonts w:ascii="Times New Roman" w:hAnsi="Times New Roman"/>
          <w:sz w:val="24"/>
          <w:szCs w:val="24"/>
          <w:lang w:eastAsia="zh-CN"/>
        </w:rPr>
        <w:t>0.6</w:t>
      </w:r>
      <w:r w:rsidRPr="00E67914">
        <w:rPr>
          <w:rFonts w:ascii="Times New Roman" w:hAnsi="Times New Roman"/>
          <w:sz w:val="24"/>
          <w:szCs w:val="24"/>
          <w:lang w:eastAsia="zh-CN"/>
        </w:rPr>
        <w:t>；</w:t>
      </w:r>
    </w:p>
    <w:p w14:paraId="2DE9DEFF" w14:textId="77777777" w:rsidR="009E11EB" w:rsidRPr="00E67914" w:rsidRDefault="009E11EB" w:rsidP="009E11EB">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P</w:t>
      </w:r>
      <w:r w:rsidRPr="00E67914">
        <w:rPr>
          <w:rFonts w:ascii="Times New Roman" w:hAnsi="Times New Roman"/>
          <w:sz w:val="24"/>
          <w:szCs w:val="24"/>
          <w:vertAlign w:val="subscript"/>
          <w:lang w:eastAsia="zh-CN"/>
        </w:rPr>
        <w:t>T</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温度</w:t>
      </w:r>
      <w:r w:rsidRPr="00E67914">
        <w:rPr>
          <w:rFonts w:ascii="Times New Roman" w:hAnsi="Times New Roman"/>
          <w:sz w:val="24"/>
          <w:szCs w:val="24"/>
          <w:lang w:eastAsia="zh-CN"/>
        </w:rPr>
        <w:t>T</w:t>
      </w:r>
      <w:r w:rsidRPr="00E67914">
        <w:rPr>
          <w:rFonts w:ascii="Times New Roman" w:hAnsi="Times New Roman"/>
          <w:sz w:val="24"/>
          <w:szCs w:val="24"/>
          <w:lang w:eastAsia="zh-CN"/>
        </w:rPr>
        <w:t>时装载物料的真实蒸气压，取</w:t>
      </w:r>
      <w:r w:rsidRPr="00E67914">
        <w:rPr>
          <w:rFonts w:ascii="Times New Roman" w:hAnsi="Times New Roman"/>
          <w:sz w:val="24"/>
          <w:szCs w:val="24"/>
          <w:lang w:eastAsia="zh-CN"/>
        </w:rPr>
        <w:t>44742.9Pa</w:t>
      </w:r>
      <w:r w:rsidRPr="00E67914">
        <w:rPr>
          <w:rFonts w:ascii="Times New Roman" w:hAnsi="Times New Roman"/>
          <w:sz w:val="24"/>
          <w:szCs w:val="24"/>
          <w:lang w:eastAsia="zh-CN"/>
        </w:rPr>
        <w:t>；</w:t>
      </w:r>
    </w:p>
    <w:p w14:paraId="001CB4FB" w14:textId="77777777" w:rsidR="009E11EB" w:rsidRPr="00E67914" w:rsidRDefault="009E11EB" w:rsidP="009E11EB">
      <w:pPr>
        <w:adjustRightInd w:val="0"/>
        <w:snapToGrid w:val="0"/>
        <w:spacing w:line="360" w:lineRule="auto"/>
        <w:ind w:firstLineChars="200" w:firstLine="480"/>
        <w:rPr>
          <w:rFonts w:ascii="Times New Roman" w:hAnsi="Times New Roman"/>
          <w:sz w:val="24"/>
          <w:szCs w:val="24"/>
        </w:rPr>
      </w:pPr>
      <w:r w:rsidRPr="00E67914">
        <w:rPr>
          <w:rFonts w:ascii="Times New Roman" w:hAnsi="Times New Roman"/>
          <w:i/>
          <w:iCs/>
          <w:sz w:val="24"/>
          <w:szCs w:val="24"/>
        </w:rPr>
        <w:t>M</w:t>
      </w:r>
      <w:r w:rsidRPr="00E67914">
        <w:rPr>
          <w:rFonts w:ascii="Times New Roman" w:hAnsi="Times New Roman"/>
          <w:i/>
          <w:iCs/>
          <w:sz w:val="24"/>
          <w:szCs w:val="24"/>
          <w:vertAlign w:val="subscript"/>
        </w:rPr>
        <w:t>VAP</w:t>
      </w:r>
      <w:r w:rsidRPr="00E67914">
        <w:rPr>
          <w:rFonts w:ascii="Times New Roman" w:hAnsi="Times New Roman"/>
          <w:i/>
          <w:iCs/>
          <w:sz w:val="24"/>
          <w:szCs w:val="24"/>
        </w:rPr>
        <w:t xml:space="preserve"> </w:t>
      </w:r>
      <w:r w:rsidRPr="00E67914">
        <w:rPr>
          <w:rFonts w:ascii="Times New Roman" w:hAnsi="Times New Roman"/>
          <w:sz w:val="24"/>
          <w:szCs w:val="24"/>
        </w:rPr>
        <w:t>—</w:t>
      </w:r>
      <w:r w:rsidRPr="00E67914">
        <w:rPr>
          <w:rFonts w:ascii="Times New Roman" w:hAnsi="Times New Roman"/>
          <w:sz w:val="24"/>
          <w:szCs w:val="24"/>
        </w:rPr>
        <w:t>油气分子量，取</w:t>
      </w:r>
      <w:r w:rsidRPr="00E67914">
        <w:rPr>
          <w:rFonts w:ascii="Times New Roman" w:hAnsi="Times New Roman"/>
          <w:sz w:val="24"/>
          <w:szCs w:val="24"/>
        </w:rPr>
        <w:t>50g/mol</w:t>
      </w:r>
      <w:r w:rsidRPr="00E67914">
        <w:rPr>
          <w:rFonts w:ascii="Times New Roman" w:hAnsi="Times New Roman"/>
          <w:sz w:val="24"/>
          <w:szCs w:val="24"/>
        </w:rPr>
        <w:t>；</w:t>
      </w:r>
    </w:p>
    <w:p w14:paraId="6857BA94" w14:textId="77777777" w:rsidR="009E11EB" w:rsidRPr="00E67914" w:rsidRDefault="009E11EB" w:rsidP="009E11EB">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i/>
          <w:iCs/>
          <w:sz w:val="24"/>
          <w:szCs w:val="24"/>
          <w:lang w:eastAsia="zh-CN"/>
        </w:rPr>
        <w:t xml:space="preserve">T </w:t>
      </w:r>
      <w:r w:rsidRPr="00E67914">
        <w:rPr>
          <w:rFonts w:ascii="Times New Roman" w:hAnsi="Times New Roman"/>
          <w:sz w:val="24"/>
          <w:szCs w:val="24"/>
          <w:lang w:eastAsia="zh-CN"/>
        </w:rPr>
        <w:t>—</w:t>
      </w:r>
      <w:r w:rsidRPr="00E67914">
        <w:rPr>
          <w:rFonts w:ascii="Times New Roman" w:hAnsi="Times New Roman"/>
          <w:sz w:val="24"/>
          <w:szCs w:val="24"/>
          <w:lang w:eastAsia="zh-CN"/>
        </w:rPr>
        <w:t>装载物料温度，取</w:t>
      </w:r>
      <w:r w:rsidRPr="00E67914">
        <w:rPr>
          <w:rFonts w:ascii="Times New Roman" w:hAnsi="Times New Roman"/>
          <w:sz w:val="24"/>
          <w:szCs w:val="24"/>
          <w:lang w:eastAsia="zh-CN"/>
        </w:rPr>
        <w:t>35℃</w:t>
      </w:r>
      <w:r w:rsidRPr="00E67914">
        <w:rPr>
          <w:rFonts w:ascii="Times New Roman" w:hAnsi="Times New Roman"/>
          <w:sz w:val="24"/>
          <w:szCs w:val="24"/>
          <w:lang w:eastAsia="zh-CN"/>
        </w:rPr>
        <w:t>。</w:t>
      </w:r>
    </w:p>
    <w:p w14:paraId="089D9EDB" w14:textId="0BE9E1D7" w:rsidR="009E11EB" w:rsidRPr="00E67914" w:rsidRDefault="009E11EB" w:rsidP="009E11EB">
      <w:pPr>
        <w:pStyle w:val="1f7"/>
        <w:spacing w:line="360" w:lineRule="auto"/>
        <w:ind w:firstLine="480"/>
      </w:pPr>
      <w:r w:rsidRPr="00E67914">
        <w:t>由上式计算，本项目装车产生的挥发性有机物产生量为</w:t>
      </w:r>
      <w:r w:rsidRPr="00E67914">
        <w:t>0.</w:t>
      </w:r>
      <w:r w:rsidR="0030073C" w:rsidRPr="00E67914">
        <w:t>12</w:t>
      </w:r>
      <w:r w:rsidRPr="00E67914">
        <w:t>t/a</w:t>
      </w:r>
      <w:r w:rsidRPr="00E67914">
        <w:t>。</w:t>
      </w:r>
    </w:p>
    <w:p w14:paraId="6A2237B5" w14:textId="6F078B8E" w:rsidR="00A54A8A" w:rsidRPr="00E67914" w:rsidRDefault="00000000">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w:t>
      </w:r>
      <w:r w:rsidR="00901928" w:rsidRPr="00E67914">
        <w:rPr>
          <w:rFonts w:ascii="Times New Roman" w:hAnsi="Times New Roman"/>
          <w:bCs/>
          <w:sz w:val="24"/>
          <w:lang w:eastAsia="zh-CN"/>
        </w:rPr>
        <w:t>5</w:t>
      </w:r>
      <w:r w:rsidRPr="00E67914">
        <w:rPr>
          <w:rFonts w:ascii="Times New Roman" w:hAnsi="Times New Roman"/>
          <w:bCs/>
          <w:sz w:val="24"/>
          <w:lang w:eastAsia="zh-CN"/>
        </w:rPr>
        <w:t>）</w:t>
      </w:r>
      <w:r w:rsidR="001729B7" w:rsidRPr="00E67914">
        <w:rPr>
          <w:rFonts w:ascii="Times New Roman" w:hAnsi="Times New Roman"/>
          <w:bCs/>
          <w:sz w:val="24"/>
          <w:lang w:eastAsia="zh-CN"/>
        </w:rPr>
        <w:t>非正常工况放空废气</w:t>
      </w:r>
    </w:p>
    <w:p w14:paraId="3DC01004" w14:textId="77574E23" w:rsidR="00A54A8A" w:rsidRPr="00E67914" w:rsidRDefault="00000000">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本项目</w:t>
      </w:r>
      <w:r w:rsidR="007B08D3" w:rsidRPr="00E67914">
        <w:rPr>
          <w:rFonts w:ascii="Times New Roman" w:hAnsi="Times New Roman"/>
          <w:bCs/>
          <w:sz w:val="24"/>
          <w:lang w:eastAsia="zh-CN"/>
        </w:rPr>
        <w:t>试采期</w:t>
      </w:r>
      <w:r w:rsidR="001729B7" w:rsidRPr="00E67914">
        <w:rPr>
          <w:rFonts w:ascii="Times New Roman" w:hAnsi="Times New Roman"/>
          <w:bCs/>
          <w:sz w:val="24"/>
          <w:lang w:eastAsia="zh-CN"/>
        </w:rPr>
        <w:t>井口高压放空至</w:t>
      </w:r>
      <w:r w:rsidR="001729B7" w:rsidRPr="00E67914">
        <w:rPr>
          <w:rFonts w:ascii="Times New Roman" w:hAnsi="Times New Roman"/>
          <w:bCs/>
          <w:sz w:val="24"/>
          <w:lang w:eastAsia="zh-CN"/>
        </w:rPr>
        <w:t>25m</w:t>
      </w:r>
      <w:r w:rsidR="001729B7" w:rsidRPr="00E67914">
        <w:rPr>
          <w:rFonts w:ascii="Times New Roman" w:hAnsi="Times New Roman"/>
          <w:bCs/>
          <w:sz w:val="24"/>
          <w:lang w:eastAsia="zh-CN"/>
        </w:rPr>
        <w:t>高</w:t>
      </w:r>
      <w:r w:rsidR="00FC2143" w:rsidRPr="00E67914">
        <w:rPr>
          <w:rFonts w:ascii="Times New Roman" w:hAnsi="Times New Roman"/>
          <w:bCs/>
          <w:sz w:val="24"/>
          <w:lang w:eastAsia="zh-CN"/>
        </w:rPr>
        <w:t>火炬燃烧排放</w:t>
      </w:r>
      <w:r w:rsidR="001729B7" w:rsidRPr="00E67914">
        <w:rPr>
          <w:rFonts w:ascii="Times New Roman" w:hAnsi="Times New Roman"/>
          <w:bCs/>
          <w:sz w:val="24"/>
          <w:lang w:eastAsia="zh-CN"/>
        </w:rPr>
        <w:t>，</w:t>
      </w:r>
      <w:r w:rsidR="00EE5D65" w:rsidRPr="00E67914">
        <w:rPr>
          <w:rFonts w:ascii="Times New Roman" w:hAnsi="Times New Roman"/>
          <w:bCs/>
          <w:sz w:val="24"/>
          <w:lang w:eastAsia="zh-CN"/>
        </w:rPr>
        <w:t>工艺设备（含油罐）及站内外输管线气体通过</w:t>
      </w:r>
      <w:r w:rsidR="00EE5D65" w:rsidRPr="00E67914">
        <w:rPr>
          <w:rFonts w:ascii="Times New Roman" w:hAnsi="Times New Roman"/>
          <w:bCs/>
          <w:sz w:val="24"/>
          <w:lang w:eastAsia="zh-CN"/>
        </w:rPr>
        <w:t>6m</w:t>
      </w:r>
      <w:r w:rsidR="00EE5D65" w:rsidRPr="00E67914">
        <w:rPr>
          <w:rFonts w:ascii="Times New Roman" w:hAnsi="Times New Roman"/>
          <w:bCs/>
          <w:sz w:val="24"/>
          <w:lang w:eastAsia="zh-CN"/>
        </w:rPr>
        <w:t>放空立管放空</w:t>
      </w:r>
      <w:r w:rsidRPr="00E67914">
        <w:rPr>
          <w:rFonts w:ascii="Times New Roman" w:hAnsi="Times New Roman"/>
          <w:bCs/>
          <w:sz w:val="24"/>
          <w:lang w:eastAsia="zh-CN"/>
        </w:rPr>
        <w:t>，频率约</w:t>
      </w:r>
      <w:r w:rsidRPr="00E67914">
        <w:rPr>
          <w:rFonts w:ascii="Times New Roman" w:hAnsi="Times New Roman"/>
          <w:bCs/>
          <w:sz w:val="24"/>
          <w:lang w:eastAsia="zh-CN"/>
        </w:rPr>
        <w:t>2~5Nm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w:t>
      </w:r>
      <w:r w:rsidRPr="00E67914">
        <w:rPr>
          <w:rFonts w:ascii="Times New Roman" w:hAnsi="Times New Roman"/>
          <w:bCs/>
          <w:sz w:val="24"/>
          <w:lang w:eastAsia="zh-CN"/>
        </w:rPr>
        <w:t>次，每次持续时间</w:t>
      </w:r>
      <w:r w:rsidRPr="00E67914">
        <w:rPr>
          <w:rFonts w:ascii="Times New Roman" w:hAnsi="Times New Roman"/>
          <w:bCs/>
          <w:sz w:val="24"/>
          <w:lang w:eastAsia="zh-CN"/>
        </w:rPr>
        <w:t>2~5min</w:t>
      </w:r>
      <w:r w:rsidRPr="00E67914">
        <w:rPr>
          <w:rFonts w:ascii="Times New Roman" w:hAnsi="Times New Roman"/>
          <w:bCs/>
          <w:sz w:val="24"/>
          <w:lang w:eastAsia="zh-CN"/>
        </w:rPr>
        <w:t>，废气产生量较小。</w:t>
      </w:r>
    </w:p>
    <w:p w14:paraId="1603589E" w14:textId="77777777" w:rsidR="006655B0" w:rsidRPr="00E67914" w:rsidRDefault="006655B0" w:rsidP="00EE5D65">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4.5-2  </w:t>
      </w:r>
      <w:r w:rsidRPr="00E67914">
        <w:rPr>
          <w:rFonts w:ascii="Times New Roman" w:eastAsia="黑体" w:hAnsi="Times New Roman"/>
          <w:sz w:val="21"/>
          <w:szCs w:val="21"/>
          <w:lang w:eastAsia="zh-CN"/>
        </w:rPr>
        <w:t>试采期废气排放情况一览表</w:t>
      </w:r>
    </w:p>
    <w:tbl>
      <w:tblPr>
        <w:tblW w:w="48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6"/>
        <w:gridCol w:w="932"/>
        <w:gridCol w:w="1322"/>
        <w:gridCol w:w="1339"/>
        <w:gridCol w:w="729"/>
        <w:gridCol w:w="790"/>
        <w:gridCol w:w="784"/>
        <w:gridCol w:w="1116"/>
      </w:tblGrid>
      <w:tr w:rsidR="00E67914" w:rsidRPr="00E67914" w14:paraId="4FA6621C" w14:textId="77777777" w:rsidTr="00854861">
        <w:trPr>
          <w:trHeight w:val="20"/>
          <w:jc w:val="center"/>
        </w:trPr>
        <w:tc>
          <w:tcPr>
            <w:tcW w:w="660" w:type="pct"/>
            <w:vMerge w:val="restart"/>
            <w:vAlign w:val="center"/>
            <w:hideMark/>
          </w:tcPr>
          <w:p w14:paraId="196B4FA9" w14:textId="77777777" w:rsidR="00854861" w:rsidRPr="00E67914" w:rsidRDefault="00854861" w:rsidP="006655B0">
            <w:pPr>
              <w:pStyle w:val="afffffffff7"/>
              <w:spacing w:line="240" w:lineRule="auto"/>
              <w:rPr>
                <w:sz w:val="21"/>
                <w:szCs w:val="21"/>
              </w:rPr>
            </w:pPr>
            <w:r w:rsidRPr="00E67914">
              <w:rPr>
                <w:sz w:val="21"/>
                <w:szCs w:val="21"/>
              </w:rPr>
              <w:t>废气</w:t>
            </w:r>
          </w:p>
          <w:p w14:paraId="44DBCAF4" w14:textId="77777777" w:rsidR="00854861" w:rsidRPr="00E67914" w:rsidRDefault="00854861" w:rsidP="006655B0">
            <w:pPr>
              <w:pStyle w:val="afffffffff7"/>
              <w:spacing w:line="240" w:lineRule="auto"/>
              <w:rPr>
                <w:sz w:val="21"/>
                <w:szCs w:val="21"/>
              </w:rPr>
            </w:pPr>
            <w:r w:rsidRPr="00E67914">
              <w:rPr>
                <w:sz w:val="21"/>
                <w:szCs w:val="21"/>
              </w:rPr>
              <w:t>类型</w:t>
            </w:r>
          </w:p>
        </w:tc>
        <w:tc>
          <w:tcPr>
            <w:tcW w:w="2224" w:type="pct"/>
            <w:gridSpan w:val="3"/>
            <w:vAlign w:val="center"/>
            <w:hideMark/>
          </w:tcPr>
          <w:p w14:paraId="3F05D433" w14:textId="77777777" w:rsidR="00854861" w:rsidRPr="00E67914" w:rsidRDefault="00854861" w:rsidP="006655B0">
            <w:pPr>
              <w:pStyle w:val="afffffffff7"/>
              <w:spacing w:line="240" w:lineRule="auto"/>
              <w:rPr>
                <w:sz w:val="21"/>
                <w:szCs w:val="21"/>
              </w:rPr>
            </w:pPr>
            <w:r w:rsidRPr="00E67914">
              <w:rPr>
                <w:sz w:val="21"/>
                <w:szCs w:val="21"/>
              </w:rPr>
              <w:t>产生、排放量</w:t>
            </w:r>
          </w:p>
        </w:tc>
        <w:tc>
          <w:tcPr>
            <w:tcW w:w="940" w:type="pct"/>
            <w:gridSpan w:val="2"/>
            <w:vAlign w:val="center"/>
            <w:hideMark/>
          </w:tcPr>
          <w:p w14:paraId="5DAA6F09" w14:textId="77777777" w:rsidR="00854861" w:rsidRPr="00E67914" w:rsidRDefault="00854861" w:rsidP="006655B0">
            <w:pPr>
              <w:pStyle w:val="afffffffff7"/>
              <w:spacing w:line="240" w:lineRule="auto"/>
              <w:rPr>
                <w:sz w:val="21"/>
                <w:szCs w:val="21"/>
              </w:rPr>
            </w:pPr>
            <w:r w:rsidRPr="00E67914">
              <w:rPr>
                <w:sz w:val="21"/>
                <w:szCs w:val="21"/>
              </w:rPr>
              <w:t>排气筒</w:t>
            </w:r>
          </w:p>
        </w:tc>
        <w:tc>
          <w:tcPr>
            <w:tcW w:w="485" w:type="pct"/>
            <w:vMerge w:val="restart"/>
            <w:vAlign w:val="center"/>
          </w:tcPr>
          <w:p w14:paraId="6E72832F" w14:textId="77777777" w:rsidR="00854861" w:rsidRPr="00E67914" w:rsidRDefault="00854861" w:rsidP="006655B0">
            <w:pPr>
              <w:pStyle w:val="afffffffff7"/>
              <w:spacing w:line="240" w:lineRule="auto"/>
              <w:rPr>
                <w:sz w:val="21"/>
                <w:szCs w:val="21"/>
              </w:rPr>
            </w:pPr>
            <w:r w:rsidRPr="00E67914">
              <w:rPr>
                <w:sz w:val="21"/>
                <w:szCs w:val="21"/>
              </w:rPr>
              <w:t>烟气温度</w:t>
            </w:r>
          </w:p>
        </w:tc>
        <w:tc>
          <w:tcPr>
            <w:tcW w:w="691" w:type="pct"/>
            <w:vMerge w:val="restart"/>
            <w:vAlign w:val="center"/>
          </w:tcPr>
          <w:p w14:paraId="3A1F96E3" w14:textId="77777777" w:rsidR="00854861" w:rsidRPr="00E67914" w:rsidRDefault="00854861" w:rsidP="006655B0">
            <w:pPr>
              <w:pStyle w:val="afffffffff7"/>
              <w:spacing w:line="240" w:lineRule="auto"/>
              <w:rPr>
                <w:sz w:val="21"/>
                <w:szCs w:val="21"/>
              </w:rPr>
            </w:pPr>
            <w:r w:rsidRPr="00E67914">
              <w:rPr>
                <w:sz w:val="21"/>
                <w:szCs w:val="21"/>
              </w:rPr>
              <w:t>排放</w:t>
            </w:r>
          </w:p>
          <w:p w14:paraId="68EC6332" w14:textId="77777777" w:rsidR="00854861" w:rsidRPr="00E67914" w:rsidRDefault="00854861" w:rsidP="006655B0">
            <w:pPr>
              <w:pStyle w:val="afffffffff7"/>
              <w:spacing w:line="240" w:lineRule="auto"/>
              <w:rPr>
                <w:sz w:val="21"/>
                <w:szCs w:val="21"/>
              </w:rPr>
            </w:pPr>
            <w:r w:rsidRPr="00E67914">
              <w:rPr>
                <w:sz w:val="21"/>
                <w:szCs w:val="21"/>
              </w:rPr>
              <w:t>方式</w:t>
            </w:r>
          </w:p>
        </w:tc>
      </w:tr>
      <w:tr w:rsidR="00E67914" w:rsidRPr="00E67914" w14:paraId="305D704D" w14:textId="77777777" w:rsidTr="00854861">
        <w:trPr>
          <w:trHeight w:val="20"/>
          <w:jc w:val="center"/>
        </w:trPr>
        <w:tc>
          <w:tcPr>
            <w:tcW w:w="660" w:type="pct"/>
            <w:vMerge/>
            <w:vAlign w:val="center"/>
            <w:hideMark/>
          </w:tcPr>
          <w:p w14:paraId="3D0EAA0F" w14:textId="77777777" w:rsidR="00854861" w:rsidRPr="00E67914" w:rsidRDefault="00854861" w:rsidP="006655B0">
            <w:pPr>
              <w:pStyle w:val="afffffffff7"/>
              <w:spacing w:line="240" w:lineRule="auto"/>
              <w:rPr>
                <w:sz w:val="21"/>
                <w:szCs w:val="21"/>
              </w:rPr>
            </w:pPr>
          </w:p>
        </w:tc>
        <w:tc>
          <w:tcPr>
            <w:tcW w:w="577" w:type="pct"/>
            <w:vAlign w:val="center"/>
            <w:hideMark/>
          </w:tcPr>
          <w:p w14:paraId="769ECBC6" w14:textId="77777777" w:rsidR="00854861" w:rsidRPr="00E67914" w:rsidRDefault="00854861" w:rsidP="006655B0">
            <w:pPr>
              <w:pStyle w:val="afffffffff7"/>
              <w:spacing w:line="240" w:lineRule="auto"/>
              <w:rPr>
                <w:sz w:val="21"/>
                <w:szCs w:val="21"/>
              </w:rPr>
            </w:pPr>
            <w:r w:rsidRPr="00E67914">
              <w:rPr>
                <w:sz w:val="21"/>
                <w:szCs w:val="21"/>
              </w:rPr>
              <w:t>项目</w:t>
            </w:r>
          </w:p>
        </w:tc>
        <w:tc>
          <w:tcPr>
            <w:tcW w:w="818" w:type="pct"/>
            <w:vAlign w:val="center"/>
            <w:hideMark/>
          </w:tcPr>
          <w:p w14:paraId="44FC7253" w14:textId="77777777" w:rsidR="00854861" w:rsidRPr="00E67914" w:rsidRDefault="00854861" w:rsidP="006655B0">
            <w:pPr>
              <w:pStyle w:val="afffffffff7"/>
              <w:spacing w:line="240" w:lineRule="auto"/>
              <w:rPr>
                <w:sz w:val="21"/>
                <w:szCs w:val="21"/>
              </w:rPr>
            </w:pPr>
            <w:r w:rsidRPr="00E67914">
              <w:rPr>
                <w:sz w:val="21"/>
                <w:szCs w:val="21"/>
              </w:rPr>
              <w:t>浓度</w:t>
            </w:r>
          </w:p>
        </w:tc>
        <w:tc>
          <w:tcPr>
            <w:tcW w:w="829" w:type="pct"/>
            <w:vAlign w:val="center"/>
          </w:tcPr>
          <w:p w14:paraId="23BABCAF" w14:textId="77777777" w:rsidR="00854861" w:rsidRPr="00E67914" w:rsidRDefault="00854861" w:rsidP="006655B0">
            <w:pPr>
              <w:pStyle w:val="afffffffff7"/>
              <w:spacing w:line="240" w:lineRule="auto"/>
              <w:rPr>
                <w:sz w:val="21"/>
                <w:szCs w:val="21"/>
              </w:rPr>
            </w:pPr>
            <w:r w:rsidRPr="00E67914">
              <w:rPr>
                <w:sz w:val="21"/>
                <w:szCs w:val="21"/>
              </w:rPr>
              <w:t>产生排放量</w:t>
            </w:r>
          </w:p>
        </w:tc>
        <w:tc>
          <w:tcPr>
            <w:tcW w:w="451" w:type="pct"/>
            <w:vAlign w:val="center"/>
            <w:hideMark/>
          </w:tcPr>
          <w:p w14:paraId="4DE559F1" w14:textId="77777777" w:rsidR="00854861" w:rsidRPr="00E67914" w:rsidRDefault="00854861" w:rsidP="006655B0">
            <w:pPr>
              <w:pStyle w:val="afffffffff7"/>
              <w:spacing w:line="240" w:lineRule="auto"/>
              <w:rPr>
                <w:sz w:val="21"/>
                <w:szCs w:val="21"/>
              </w:rPr>
            </w:pPr>
            <w:r w:rsidRPr="00E67914">
              <w:rPr>
                <w:sz w:val="21"/>
                <w:szCs w:val="21"/>
              </w:rPr>
              <w:t>高度</w:t>
            </w:r>
          </w:p>
        </w:tc>
        <w:tc>
          <w:tcPr>
            <w:tcW w:w="489" w:type="pct"/>
            <w:vAlign w:val="center"/>
          </w:tcPr>
          <w:p w14:paraId="72B8609E" w14:textId="77777777" w:rsidR="00854861" w:rsidRPr="00E67914" w:rsidRDefault="00854861" w:rsidP="006655B0">
            <w:pPr>
              <w:pStyle w:val="afffffffff7"/>
              <w:spacing w:line="240" w:lineRule="auto"/>
              <w:rPr>
                <w:sz w:val="21"/>
                <w:szCs w:val="21"/>
              </w:rPr>
            </w:pPr>
            <w:r w:rsidRPr="00E67914">
              <w:rPr>
                <w:sz w:val="21"/>
                <w:szCs w:val="21"/>
              </w:rPr>
              <w:t>内径</w:t>
            </w:r>
          </w:p>
        </w:tc>
        <w:tc>
          <w:tcPr>
            <w:tcW w:w="485" w:type="pct"/>
            <w:vMerge/>
            <w:vAlign w:val="center"/>
          </w:tcPr>
          <w:p w14:paraId="265F8715" w14:textId="77777777" w:rsidR="00854861" w:rsidRPr="00E67914" w:rsidRDefault="00854861" w:rsidP="006655B0">
            <w:pPr>
              <w:pStyle w:val="afffffffff7"/>
              <w:spacing w:line="240" w:lineRule="auto"/>
              <w:rPr>
                <w:sz w:val="21"/>
                <w:szCs w:val="21"/>
              </w:rPr>
            </w:pPr>
          </w:p>
        </w:tc>
        <w:tc>
          <w:tcPr>
            <w:tcW w:w="691" w:type="pct"/>
            <w:vMerge/>
            <w:vAlign w:val="center"/>
          </w:tcPr>
          <w:p w14:paraId="39CE09DF" w14:textId="77777777" w:rsidR="00854861" w:rsidRPr="00E67914" w:rsidRDefault="00854861" w:rsidP="006655B0">
            <w:pPr>
              <w:pStyle w:val="afffffffff7"/>
              <w:spacing w:line="240" w:lineRule="auto"/>
              <w:rPr>
                <w:sz w:val="21"/>
                <w:szCs w:val="21"/>
              </w:rPr>
            </w:pPr>
          </w:p>
        </w:tc>
      </w:tr>
      <w:tr w:rsidR="00E67914" w:rsidRPr="00E67914" w14:paraId="18721C55" w14:textId="77777777" w:rsidTr="00854861">
        <w:trPr>
          <w:trHeight w:val="20"/>
          <w:jc w:val="center"/>
        </w:trPr>
        <w:tc>
          <w:tcPr>
            <w:tcW w:w="660" w:type="pct"/>
            <w:vMerge w:val="restart"/>
            <w:vAlign w:val="center"/>
            <w:hideMark/>
          </w:tcPr>
          <w:p w14:paraId="0BAA0DF9" w14:textId="77777777" w:rsidR="00854861" w:rsidRPr="00E67914" w:rsidRDefault="00854861" w:rsidP="006655B0">
            <w:pPr>
              <w:pStyle w:val="afffffffff7"/>
              <w:spacing w:line="240" w:lineRule="auto"/>
              <w:rPr>
                <w:sz w:val="21"/>
                <w:szCs w:val="21"/>
              </w:rPr>
            </w:pPr>
            <w:r w:rsidRPr="00E67914">
              <w:rPr>
                <w:sz w:val="21"/>
                <w:szCs w:val="21"/>
              </w:rPr>
              <w:t>水套炉燃烧废气</w:t>
            </w:r>
          </w:p>
        </w:tc>
        <w:tc>
          <w:tcPr>
            <w:tcW w:w="577" w:type="pct"/>
            <w:vAlign w:val="center"/>
            <w:hideMark/>
          </w:tcPr>
          <w:p w14:paraId="15E6AE53" w14:textId="5475CA55" w:rsidR="00854861" w:rsidRPr="00E67914" w:rsidRDefault="00854861" w:rsidP="006655B0">
            <w:pPr>
              <w:pStyle w:val="afffffffff7"/>
              <w:spacing w:line="240" w:lineRule="auto"/>
              <w:rPr>
                <w:sz w:val="21"/>
                <w:szCs w:val="21"/>
              </w:rPr>
            </w:pPr>
            <w:r w:rsidRPr="00E67914">
              <w:rPr>
                <w:sz w:val="21"/>
              </w:rPr>
              <w:t>烟气流量</w:t>
            </w:r>
          </w:p>
        </w:tc>
        <w:tc>
          <w:tcPr>
            <w:tcW w:w="818" w:type="pct"/>
            <w:vAlign w:val="center"/>
            <w:hideMark/>
          </w:tcPr>
          <w:p w14:paraId="4DBA67B7" w14:textId="40187131" w:rsidR="00854861" w:rsidRPr="00E67914" w:rsidRDefault="00854861" w:rsidP="006655B0">
            <w:pPr>
              <w:pStyle w:val="afffffffff7"/>
              <w:spacing w:line="240" w:lineRule="auto"/>
              <w:rPr>
                <w:sz w:val="21"/>
                <w:szCs w:val="21"/>
              </w:rPr>
            </w:pPr>
            <w:r w:rsidRPr="00E67914">
              <w:rPr>
                <w:bCs/>
                <w:sz w:val="21"/>
              </w:rPr>
              <w:t>/</w:t>
            </w:r>
          </w:p>
        </w:tc>
        <w:tc>
          <w:tcPr>
            <w:tcW w:w="829" w:type="pct"/>
            <w:shd w:val="clear" w:color="auto" w:fill="auto"/>
            <w:vAlign w:val="center"/>
          </w:tcPr>
          <w:p w14:paraId="0329AEDA" w14:textId="1E61CB1F" w:rsidR="00854861" w:rsidRPr="00E67914" w:rsidRDefault="00854861" w:rsidP="006655B0">
            <w:pPr>
              <w:pStyle w:val="afffffffff7"/>
              <w:spacing w:line="240" w:lineRule="auto"/>
              <w:rPr>
                <w:sz w:val="21"/>
                <w:szCs w:val="21"/>
              </w:rPr>
            </w:pPr>
            <w:r w:rsidRPr="00E67914">
              <w:rPr>
                <w:sz w:val="21"/>
              </w:rPr>
              <w:t>140.01</w:t>
            </w:r>
            <w:r w:rsidRPr="00E67914">
              <w:rPr>
                <w:sz w:val="21"/>
              </w:rPr>
              <w:t>万</w:t>
            </w:r>
            <w:r w:rsidRPr="00E67914">
              <w:rPr>
                <w:sz w:val="21"/>
              </w:rPr>
              <w:t>Nm</w:t>
            </w:r>
            <w:r w:rsidRPr="00E67914">
              <w:rPr>
                <w:sz w:val="21"/>
                <w:vertAlign w:val="superscript"/>
              </w:rPr>
              <w:t>3</w:t>
            </w:r>
            <w:r w:rsidRPr="00E67914">
              <w:rPr>
                <w:sz w:val="21"/>
              </w:rPr>
              <w:t>/a</w:t>
            </w:r>
          </w:p>
        </w:tc>
        <w:tc>
          <w:tcPr>
            <w:tcW w:w="451" w:type="pct"/>
            <w:vMerge w:val="restart"/>
            <w:vAlign w:val="center"/>
            <w:hideMark/>
          </w:tcPr>
          <w:p w14:paraId="71258CBA" w14:textId="1251FE00" w:rsidR="00854861" w:rsidRPr="00E67914" w:rsidRDefault="00854861" w:rsidP="006655B0">
            <w:pPr>
              <w:pStyle w:val="afffffffff7"/>
              <w:spacing w:line="240" w:lineRule="auto"/>
              <w:rPr>
                <w:sz w:val="21"/>
                <w:szCs w:val="21"/>
              </w:rPr>
            </w:pPr>
            <w:r w:rsidRPr="00E67914">
              <w:rPr>
                <w:sz w:val="21"/>
                <w:szCs w:val="21"/>
              </w:rPr>
              <w:t>8m</w:t>
            </w:r>
          </w:p>
        </w:tc>
        <w:tc>
          <w:tcPr>
            <w:tcW w:w="489" w:type="pct"/>
            <w:vMerge w:val="restart"/>
            <w:vAlign w:val="center"/>
          </w:tcPr>
          <w:p w14:paraId="4894A9DE" w14:textId="77777777" w:rsidR="00854861" w:rsidRPr="00E67914" w:rsidRDefault="00854861" w:rsidP="006655B0">
            <w:pPr>
              <w:pStyle w:val="afffffffff7"/>
              <w:spacing w:line="240" w:lineRule="auto"/>
              <w:rPr>
                <w:sz w:val="21"/>
                <w:szCs w:val="21"/>
              </w:rPr>
            </w:pPr>
            <w:r w:rsidRPr="00E67914">
              <w:rPr>
                <w:sz w:val="21"/>
                <w:szCs w:val="21"/>
              </w:rPr>
              <w:t>0.2m</w:t>
            </w:r>
          </w:p>
        </w:tc>
        <w:tc>
          <w:tcPr>
            <w:tcW w:w="485" w:type="pct"/>
            <w:vMerge w:val="restart"/>
            <w:vAlign w:val="center"/>
          </w:tcPr>
          <w:p w14:paraId="0A458298" w14:textId="77777777" w:rsidR="00854861" w:rsidRPr="00E67914" w:rsidRDefault="00854861" w:rsidP="006655B0">
            <w:pPr>
              <w:pStyle w:val="afffffffff7"/>
              <w:spacing w:line="240" w:lineRule="auto"/>
              <w:rPr>
                <w:sz w:val="21"/>
                <w:szCs w:val="21"/>
                <w:lang w:eastAsia="ja-JP"/>
              </w:rPr>
            </w:pPr>
            <w:r w:rsidRPr="00E67914">
              <w:rPr>
                <w:sz w:val="21"/>
                <w:szCs w:val="21"/>
              </w:rPr>
              <w:t>150</w:t>
            </w:r>
            <w:r w:rsidRPr="00E67914">
              <w:rPr>
                <w:sz w:val="21"/>
                <w:szCs w:val="21"/>
                <w:lang w:eastAsia="ja-JP"/>
              </w:rPr>
              <w:t>℃</w:t>
            </w:r>
          </w:p>
        </w:tc>
        <w:tc>
          <w:tcPr>
            <w:tcW w:w="691" w:type="pct"/>
            <w:vMerge w:val="restart"/>
            <w:vAlign w:val="center"/>
          </w:tcPr>
          <w:p w14:paraId="27AFA5A3" w14:textId="77777777" w:rsidR="00854861" w:rsidRPr="00E67914" w:rsidRDefault="00854861" w:rsidP="006655B0">
            <w:pPr>
              <w:pStyle w:val="afffffffff7"/>
              <w:spacing w:line="240" w:lineRule="auto"/>
              <w:rPr>
                <w:sz w:val="21"/>
                <w:szCs w:val="21"/>
              </w:rPr>
            </w:pPr>
            <w:r w:rsidRPr="00E67914">
              <w:rPr>
                <w:sz w:val="21"/>
                <w:szCs w:val="21"/>
              </w:rPr>
              <w:t>有组织排放，连续排放</w:t>
            </w:r>
          </w:p>
        </w:tc>
      </w:tr>
      <w:tr w:rsidR="00E67914" w:rsidRPr="00E67914" w14:paraId="27AD3BC4" w14:textId="77777777" w:rsidTr="00854861">
        <w:trPr>
          <w:trHeight w:val="20"/>
          <w:jc w:val="center"/>
        </w:trPr>
        <w:tc>
          <w:tcPr>
            <w:tcW w:w="660" w:type="pct"/>
            <w:vMerge/>
            <w:vAlign w:val="center"/>
            <w:hideMark/>
          </w:tcPr>
          <w:p w14:paraId="6CB5B29B" w14:textId="77777777" w:rsidR="00854861" w:rsidRPr="00E67914" w:rsidRDefault="00854861" w:rsidP="006655B0">
            <w:pPr>
              <w:pStyle w:val="afffffffff7"/>
              <w:spacing w:line="240" w:lineRule="auto"/>
              <w:rPr>
                <w:sz w:val="21"/>
                <w:szCs w:val="21"/>
              </w:rPr>
            </w:pPr>
          </w:p>
        </w:tc>
        <w:tc>
          <w:tcPr>
            <w:tcW w:w="577" w:type="pct"/>
            <w:vAlign w:val="center"/>
            <w:hideMark/>
          </w:tcPr>
          <w:p w14:paraId="1191DA53" w14:textId="0B3DE502" w:rsidR="00854861" w:rsidRPr="00E67914" w:rsidRDefault="00854861" w:rsidP="006655B0">
            <w:pPr>
              <w:pStyle w:val="afffffffff7"/>
              <w:spacing w:line="240" w:lineRule="auto"/>
              <w:rPr>
                <w:sz w:val="21"/>
                <w:szCs w:val="21"/>
              </w:rPr>
            </w:pPr>
            <w:r w:rsidRPr="00E67914">
              <w:rPr>
                <w:sz w:val="21"/>
              </w:rPr>
              <w:t>NOx</w:t>
            </w:r>
          </w:p>
        </w:tc>
        <w:tc>
          <w:tcPr>
            <w:tcW w:w="818" w:type="pct"/>
            <w:vAlign w:val="center"/>
            <w:hideMark/>
          </w:tcPr>
          <w:p w14:paraId="237158ED" w14:textId="4093A5BD" w:rsidR="00854861" w:rsidRPr="00E67914" w:rsidRDefault="00854861" w:rsidP="006655B0">
            <w:pPr>
              <w:pStyle w:val="afffffffff7"/>
              <w:spacing w:line="240" w:lineRule="auto"/>
              <w:rPr>
                <w:sz w:val="21"/>
                <w:szCs w:val="21"/>
              </w:rPr>
            </w:pPr>
            <w:r w:rsidRPr="00E67914">
              <w:rPr>
                <w:sz w:val="21"/>
              </w:rPr>
              <w:t>59.50mg/m</w:t>
            </w:r>
            <w:r w:rsidRPr="00E67914">
              <w:rPr>
                <w:sz w:val="21"/>
                <w:vertAlign w:val="superscript"/>
              </w:rPr>
              <w:t>3</w:t>
            </w:r>
          </w:p>
        </w:tc>
        <w:tc>
          <w:tcPr>
            <w:tcW w:w="829" w:type="pct"/>
            <w:shd w:val="clear" w:color="auto" w:fill="auto"/>
            <w:vAlign w:val="center"/>
          </w:tcPr>
          <w:p w14:paraId="4E6D4D78" w14:textId="66B099C8" w:rsidR="00854861" w:rsidRPr="00E67914" w:rsidRDefault="00854861" w:rsidP="006655B0">
            <w:pPr>
              <w:pStyle w:val="afffffffff7"/>
              <w:spacing w:line="240" w:lineRule="auto"/>
              <w:rPr>
                <w:sz w:val="21"/>
                <w:szCs w:val="21"/>
              </w:rPr>
            </w:pPr>
            <w:r w:rsidRPr="00E67914">
              <w:rPr>
                <w:sz w:val="21"/>
              </w:rPr>
              <w:t>0.085t/a</w:t>
            </w:r>
            <w:r w:rsidRPr="00E67914">
              <w:rPr>
                <w:sz w:val="21"/>
              </w:rPr>
              <w:t>；</w:t>
            </w:r>
            <w:r w:rsidRPr="00E67914">
              <w:rPr>
                <w:sz w:val="21"/>
              </w:rPr>
              <w:t>0.0097kg/h</w:t>
            </w:r>
          </w:p>
        </w:tc>
        <w:tc>
          <w:tcPr>
            <w:tcW w:w="451" w:type="pct"/>
            <w:vMerge/>
            <w:vAlign w:val="center"/>
            <w:hideMark/>
          </w:tcPr>
          <w:p w14:paraId="5241D879" w14:textId="77777777" w:rsidR="00854861" w:rsidRPr="00E67914" w:rsidRDefault="00854861" w:rsidP="006655B0">
            <w:pPr>
              <w:pStyle w:val="afffffffff7"/>
              <w:spacing w:line="240" w:lineRule="auto"/>
              <w:rPr>
                <w:sz w:val="21"/>
                <w:szCs w:val="21"/>
              </w:rPr>
            </w:pPr>
          </w:p>
        </w:tc>
        <w:tc>
          <w:tcPr>
            <w:tcW w:w="489" w:type="pct"/>
            <w:vMerge/>
            <w:vAlign w:val="center"/>
          </w:tcPr>
          <w:p w14:paraId="431A78AB" w14:textId="77777777" w:rsidR="00854861" w:rsidRPr="00E67914" w:rsidRDefault="00854861" w:rsidP="006655B0">
            <w:pPr>
              <w:pStyle w:val="afffffffff7"/>
              <w:spacing w:line="240" w:lineRule="auto"/>
              <w:rPr>
                <w:sz w:val="21"/>
                <w:szCs w:val="21"/>
              </w:rPr>
            </w:pPr>
          </w:p>
        </w:tc>
        <w:tc>
          <w:tcPr>
            <w:tcW w:w="485" w:type="pct"/>
            <w:vMerge/>
            <w:vAlign w:val="center"/>
          </w:tcPr>
          <w:p w14:paraId="6994025F" w14:textId="77777777" w:rsidR="00854861" w:rsidRPr="00E67914" w:rsidRDefault="00854861" w:rsidP="006655B0">
            <w:pPr>
              <w:pStyle w:val="afffffffff7"/>
              <w:spacing w:line="240" w:lineRule="auto"/>
              <w:rPr>
                <w:sz w:val="21"/>
                <w:szCs w:val="21"/>
              </w:rPr>
            </w:pPr>
          </w:p>
        </w:tc>
        <w:tc>
          <w:tcPr>
            <w:tcW w:w="691" w:type="pct"/>
            <w:vMerge/>
            <w:vAlign w:val="center"/>
          </w:tcPr>
          <w:p w14:paraId="6E2BF6F0" w14:textId="77777777" w:rsidR="00854861" w:rsidRPr="00E67914" w:rsidRDefault="00854861" w:rsidP="006655B0">
            <w:pPr>
              <w:pStyle w:val="afffffffff7"/>
              <w:spacing w:line="240" w:lineRule="auto"/>
              <w:rPr>
                <w:sz w:val="21"/>
                <w:szCs w:val="21"/>
              </w:rPr>
            </w:pPr>
          </w:p>
        </w:tc>
      </w:tr>
      <w:tr w:rsidR="00E67914" w:rsidRPr="00E67914" w14:paraId="237A21B7" w14:textId="77777777" w:rsidTr="00854861">
        <w:trPr>
          <w:trHeight w:val="20"/>
          <w:jc w:val="center"/>
        </w:trPr>
        <w:tc>
          <w:tcPr>
            <w:tcW w:w="660" w:type="pct"/>
            <w:vMerge/>
            <w:vAlign w:val="center"/>
            <w:hideMark/>
          </w:tcPr>
          <w:p w14:paraId="3BDA9B4E" w14:textId="77777777" w:rsidR="00854861" w:rsidRPr="00E67914" w:rsidRDefault="00854861" w:rsidP="006655B0">
            <w:pPr>
              <w:pStyle w:val="afffffffff7"/>
              <w:spacing w:line="240" w:lineRule="auto"/>
              <w:rPr>
                <w:sz w:val="21"/>
                <w:szCs w:val="21"/>
              </w:rPr>
            </w:pPr>
          </w:p>
        </w:tc>
        <w:tc>
          <w:tcPr>
            <w:tcW w:w="577" w:type="pct"/>
            <w:vAlign w:val="center"/>
            <w:hideMark/>
          </w:tcPr>
          <w:p w14:paraId="4C84D5A7" w14:textId="7EA7F719" w:rsidR="00854861" w:rsidRPr="00E67914" w:rsidRDefault="00854861" w:rsidP="006655B0">
            <w:pPr>
              <w:pStyle w:val="afffffffff7"/>
              <w:spacing w:line="240" w:lineRule="auto"/>
              <w:rPr>
                <w:sz w:val="21"/>
                <w:szCs w:val="21"/>
              </w:rPr>
            </w:pPr>
            <w:r w:rsidRPr="00E67914">
              <w:rPr>
                <w:sz w:val="21"/>
              </w:rPr>
              <w:t>烟尘</w:t>
            </w:r>
          </w:p>
        </w:tc>
        <w:tc>
          <w:tcPr>
            <w:tcW w:w="818" w:type="pct"/>
            <w:vAlign w:val="center"/>
            <w:hideMark/>
          </w:tcPr>
          <w:p w14:paraId="1F054B1A" w14:textId="2678AEA7" w:rsidR="00854861" w:rsidRPr="00E67914" w:rsidRDefault="00854861" w:rsidP="006655B0">
            <w:pPr>
              <w:pStyle w:val="afffffffff7"/>
              <w:spacing w:line="240" w:lineRule="auto"/>
              <w:rPr>
                <w:sz w:val="21"/>
                <w:szCs w:val="21"/>
              </w:rPr>
            </w:pPr>
            <w:r w:rsidRPr="00E67914">
              <w:rPr>
                <w:sz w:val="21"/>
              </w:rPr>
              <w:t>9.09mg/m</w:t>
            </w:r>
            <w:r w:rsidRPr="00E67914">
              <w:rPr>
                <w:sz w:val="21"/>
                <w:vertAlign w:val="superscript"/>
              </w:rPr>
              <w:t>3</w:t>
            </w:r>
          </w:p>
        </w:tc>
        <w:tc>
          <w:tcPr>
            <w:tcW w:w="829" w:type="pct"/>
            <w:shd w:val="clear" w:color="auto" w:fill="auto"/>
            <w:vAlign w:val="center"/>
          </w:tcPr>
          <w:p w14:paraId="291ED959" w14:textId="3115278E" w:rsidR="00854861" w:rsidRPr="00E67914" w:rsidRDefault="00854861" w:rsidP="006655B0">
            <w:pPr>
              <w:pStyle w:val="afffffffff7"/>
              <w:spacing w:line="240" w:lineRule="auto"/>
              <w:rPr>
                <w:sz w:val="21"/>
                <w:szCs w:val="21"/>
              </w:rPr>
            </w:pPr>
            <w:r w:rsidRPr="00E67914">
              <w:rPr>
                <w:sz w:val="21"/>
              </w:rPr>
              <w:t>0.013t/a</w:t>
            </w:r>
            <w:r w:rsidRPr="00E67914">
              <w:rPr>
                <w:sz w:val="21"/>
              </w:rPr>
              <w:t>；</w:t>
            </w:r>
            <w:r w:rsidRPr="00E67914">
              <w:rPr>
                <w:sz w:val="21"/>
              </w:rPr>
              <w:t>0.0015kg/h</w:t>
            </w:r>
          </w:p>
        </w:tc>
        <w:tc>
          <w:tcPr>
            <w:tcW w:w="451" w:type="pct"/>
            <w:vMerge/>
            <w:vAlign w:val="center"/>
            <w:hideMark/>
          </w:tcPr>
          <w:p w14:paraId="1F84E7F4" w14:textId="77777777" w:rsidR="00854861" w:rsidRPr="00E67914" w:rsidRDefault="00854861" w:rsidP="006655B0">
            <w:pPr>
              <w:pStyle w:val="afffffffff7"/>
              <w:spacing w:line="240" w:lineRule="auto"/>
              <w:rPr>
                <w:sz w:val="21"/>
                <w:szCs w:val="21"/>
              </w:rPr>
            </w:pPr>
          </w:p>
        </w:tc>
        <w:tc>
          <w:tcPr>
            <w:tcW w:w="489" w:type="pct"/>
            <w:vMerge/>
            <w:vAlign w:val="center"/>
          </w:tcPr>
          <w:p w14:paraId="48C32D18" w14:textId="77777777" w:rsidR="00854861" w:rsidRPr="00E67914" w:rsidRDefault="00854861" w:rsidP="006655B0">
            <w:pPr>
              <w:pStyle w:val="afffffffff7"/>
              <w:spacing w:line="240" w:lineRule="auto"/>
              <w:rPr>
                <w:sz w:val="21"/>
                <w:szCs w:val="21"/>
              </w:rPr>
            </w:pPr>
          </w:p>
        </w:tc>
        <w:tc>
          <w:tcPr>
            <w:tcW w:w="485" w:type="pct"/>
            <w:vMerge/>
            <w:vAlign w:val="center"/>
          </w:tcPr>
          <w:p w14:paraId="02A5C711" w14:textId="77777777" w:rsidR="00854861" w:rsidRPr="00E67914" w:rsidRDefault="00854861" w:rsidP="006655B0">
            <w:pPr>
              <w:pStyle w:val="afffffffff7"/>
              <w:spacing w:line="240" w:lineRule="auto"/>
              <w:rPr>
                <w:sz w:val="21"/>
                <w:szCs w:val="21"/>
              </w:rPr>
            </w:pPr>
          </w:p>
        </w:tc>
        <w:tc>
          <w:tcPr>
            <w:tcW w:w="691" w:type="pct"/>
            <w:vMerge/>
            <w:vAlign w:val="center"/>
          </w:tcPr>
          <w:p w14:paraId="2CD28662" w14:textId="77777777" w:rsidR="00854861" w:rsidRPr="00E67914" w:rsidRDefault="00854861" w:rsidP="006655B0">
            <w:pPr>
              <w:pStyle w:val="afffffffff7"/>
              <w:spacing w:line="240" w:lineRule="auto"/>
              <w:rPr>
                <w:sz w:val="21"/>
                <w:szCs w:val="21"/>
              </w:rPr>
            </w:pPr>
          </w:p>
        </w:tc>
      </w:tr>
      <w:tr w:rsidR="00E67914" w:rsidRPr="00E67914" w14:paraId="4D709A60" w14:textId="77777777" w:rsidTr="00854861">
        <w:trPr>
          <w:trHeight w:val="20"/>
          <w:jc w:val="center"/>
        </w:trPr>
        <w:tc>
          <w:tcPr>
            <w:tcW w:w="660" w:type="pct"/>
            <w:vMerge/>
            <w:vAlign w:val="center"/>
            <w:hideMark/>
          </w:tcPr>
          <w:p w14:paraId="1F6C383B" w14:textId="77777777" w:rsidR="00854861" w:rsidRPr="00E67914" w:rsidRDefault="00854861" w:rsidP="006655B0">
            <w:pPr>
              <w:pStyle w:val="afffffffff7"/>
              <w:spacing w:line="240" w:lineRule="auto"/>
              <w:rPr>
                <w:sz w:val="21"/>
                <w:szCs w:val="21"/>
              </w:rPr>
            </w:pPr>
          </w:p>
        </w:tc>
        <w:tc>
          <w:tcPr>
            <w:tcW w:w="577" w:type="pct"/>
            <w:vAlign w:val="center"/>
            <w:hideMark/>
          </w:tcPr>
          <w:p w14:paraId="15B6059B" w14:textId="44322CEA" w:rsidR="00854861" w:rsidRPr="00E67914" w:rsidRDefault="00854861" w:rsidP="006655B0">
            <w:pPr>
              <w:pStyle w:val="afffffffff7"/>
              <w:spacing w:line="240" w:lineRule="auto"/>
              <w:rPr>
                <w:sz w:val="21"/>
                <w:szCs w:val="21"/>
              </w:rPr>
            </w:pPr>
            <w:r w:rsidRPr="00E67914">
              <w:rPr>
                <w:bCs/>
                <w:sz w:val="21"/>
              </w:rPr>
              <w:t>SO</w:t>
            </w:r>
            <w:r w:rsidRPr="00E67914">
              <w:rPr>
                <w:bCs/>
                <w:sz w:val="21"/>
                <w:vertAlign w:val="subscript"/>
              </w:rPr>
              <w:t>2</w:t>
            </w:r>
          </w:p>
        </w:tc>
        <w:tc>
          <w:tcPr>
            <w:tcW w:w="818" w:type="pct"/>
            <w:vAlign w:val="center"/>
            <w:hideMark/>
          </w:tcPr>
          <w:p w14:paraId="0301BA71" w14:textId="7FC5006F" w:rsidR="00854861" w:rsidRPr="00E67914" w:rsidRDefault="00854861" w:rsidP="006655B0">
            <w:pPr>
              <w:pStyle w:val="afffffffff7"/>
              <w:spacing w:line="240" w:lineRule="auto"/>
              <w:rPr>
                <w:sz w:val="21"/>
                <w:szCs w:val="21"/>
              </w:rPr>
            </w:pPr>
            <w:r w:rsidRPr="00E67914">
              <w:rPr>
                <w:sz w:val="21"/>
              </w:rPr>
              <w:t>13.03mg/m</w:t>
            </w:r>
            <w:r w:rsidRPr="00E67914">
              <w:rPr>
                <w:sz w:val="21"/>
                <w:vertAlign w:val="superscript"/>
              </w:rPr>
              <w:t>3</w:t>
            </w:r>
          </w:p>
        </w:tc>
        <w:tc>
          <w:tcPr>
            <w:tcW w:w="829" w:type="pct"/>
            <w:shd w:val="clear" w:color="auto" w:fill="auto"/>
            <w:vAlign w:val="center"/>
          </w:tcPr>
          <w:p w14:paraId="745A3E30" w14:textId="1EB79A1E" w:rsidR="00854861" w:rsidRPr="00E67914" w:rsidRDefault="00854861" w:rsidP="006655B0">
            <w:pPr>
              <w:pStyle w:val="afffffffff7"/>
              <w:spacing w:line="240" w:lineRule="auto"/>
              <w:rPr>
                <w:sz w:val="21"/>
                <w:szCs w:val="21"/>
              </w:rPr>
            </w:pPr>
            <w:r w:rsidRPr="00E67914">
              <w:rPr>
                <w:sz w:val="21"/>
              </w:rPr>
              <w:t>0.018t/a</w:t>
            </w:r>
            <w:r w:rsidRPr="00E67914">
              <w:rPr>
                <w:sz w:val="21"/>
              </w:rPr>
              <w:t>；</w:t>
            </w:r>
            <w:r w:rsidRPr="00E67914">
              <w:rPr>
                <w:sz w:val="21"/>
              </w:rPr>
              <w:t>0.0021kg/h</w:t>
            </w:r>
          </w:p>
        </w:tc>
        <w:tc>
          <w:tcPr>
            <w:tcW w:w="451" w:type="pct"/>
            <w:vMerge/>
            <w:vAlign w:val="center"/>
            <w:hideMark/>
          </w:tcPr>
          <w:p w14:paraId="4510C009" w14:textId="77777777" w:rsidR="00854861" w:rsidRPr="00E67914" w:rsidRDefault="00854861" w:rsidP="006655B0">
            <w:pPr>
              <w:pStyle w:val="afffffffff7"/>
              <w:spacing w:line="240" w:lineRule="auto"/>
              <w:rPr>
                <w:sz w:val="21"/>
                <w:szCs w:val="21"/>
              </w:rPr>
            </w:pPr>
          </w:p>
        </w:tc>
        <w:tc>
          <w:tcPr>
            <w:tcW w:w="489" w:type="pct"/>
            <w:vMerge/>
            <w:vAlign w:val="center"/>
          </w:tcPr>
          <w:p w14:paraId="2EA3E8C5" w14:textId="77777777" w:rsidR="00854861" w:rsidRPr="00E67914" w:rsidRDefault="00854861" w:rsidP="006655B0">
            <w:pPr>
              <w:pStyle w:val="afffffffff7"/>
              <w:spacing w:line="240" w:lineRule="auto"/>
              <w:rPr>
                <w:sz w:val="21"/>
                <w:szCs w:val="21"/>
              </w:rPr>
            </w:pPr>
          </w:p>
        </w:tc>
        <w:tc>
          <w:tcPr>
            <w:tcW w:w="485" w:type="pct"/>
            <w:vMerge/>
            <w:vAlign w:val="center"/>
          </w:tcPr>
          <w:p w14:paraId="61259CB0" w14:textId="77777777" w:rsidR="00854861" w:rsidRPr="00E67914" w:rsidRDefault="00854861" w:rsidP="006655B0">
            <w:pPr>
              <w:pStyle w:val="afffffffff7"/>
              <w:spacing w:line="240" w:lineRule="auto"/>
              <w:rPr>
                <w:sz w:val="21"/>
                <w:szCs w:val="21"/>
              </w:rPr>
            </w:pPr>
          </w:p>
        </w:tc>
        <w:tc>
          <w:tcPr>
            <w:tcW w:w="691" w:type="pct"/>
            <w:vMerge/>
            <w:vAlign w:val="center"/>
          </w:tcPr>
          <w:p w14:paraId="7AF904F2" w14:textId="77777777" w:rsidR="00854861" w:rsidRPr="00E67914" w:rsidRDefault="00854861" w:rsidP="006655B0">
            <w:pPr>
              <w:pStyle w:val="afffffffff7"/>
              <w:spacing w:line="240" w:lineRule="auto"/>
              <w:rPr>
                <w:sz w:val="21"/>
                <w:szCs w:val="21"/>
              </w:rPr>
            </w:pPr>
          </w:p>
        </w:tc>
      </w:tr>
      <w:tr w:rsidR="00E67914" w:rsidRPr="00E67914" w14:paraId="5C693445" w14:textId="77777777" w:rsidTr="00854861">
        <w:trPr>
          <w:trHeight w:val="20"/>
          <w:jc w:val="center"/>
        </w:trPr>
        <w:tc>
          <w:tcPr>
            <w:tcW w:w="660" w:type="pct"/>
            <w:vMerge w:val="restart"/>
            <w:vAlign w:val="center"/>
          </w:tcPr>
          <w:p w14:paraId="67CA3577" w14:textId="7AFEA0E7" w:rsidR="00854861" w:rsidRPr="00E67914" w:rsidRDefault="00854861" w:rsidP="00EE5D65">
            <w:pPr>
              <w:pStyle w:val="afffffffff7"/>
              <w:spacing w:line="240" w:lineRule="auto"/>
              <w:rPr>
                <w:sz w:val="21"/>
                <w:szCs w:val="21"/>
              </w:rPr>
            </w:pPr>
            <w:r w:rsidRPr="00E67914">
              <w:rPr>
                <w:bCs/>
                <w:sz w:val="21"/>
              </w:rPr>
              <w:t>火炬及放空系统长明灯燃烧废气</w:t>
            </w:r>
          </w:p>
        </w:tc>
        <w:tc>
          <w:tcPr>
            <w:tcW w:w="577" w:type="pct"/>
            <w:vAlign w:val="center"/>
          </w:tcPr>
          <w:p w14:paraId="5371FC5B" w14:textId="156FAF10" w:rsidR="00854861" w:rsidRPr="00E67914" w:rsidRDefault="00854861" w:rsidP="00EE5D65">
            <w:pPr>
              <w:pStyle w:val="afffffffff7"/>
              <w:spacing w:line="240" w:lineRule="auto"/>
              <w:rPr>
                <w:bCs/>
                <w:sz w:val="21"/>
              </w:rPr>
            </w:pPr>
            <w:r w:rsidRPr="00E67914">
              <w:rPr>
                <w:sz w:val="21"/>
              </w:rPr>
              <w:t>烟气流量</w:t>
            </w:r>
          </w:p>
        </w:tc>
        <w:tc>
          <w:tcPr>
            <w:tcW w:w="818" w:type="pct"/>
            <w:vAlign w:val="center"/>
          </w:tcPr>
          <w:p w14:paraId="56EB1F00" w14:textId="789BB713" w:rsidR="00854861" w:rsidRPr="00E67914" w:rsidRDefault="00854861" w:rsidP="00EE5D65">
            <w:pPr>
              <w:pStyle w:val="afffffffff7"/>
              <w:spacing w:line="240" w:lineRule="auto"/>
              <w:rPr>
                <w:sz w:val="21"/>
              </w:rPr>
            </w:pPr>
            <w:r w:rsidRPr="00E67914">
              <w:rPr>
                <w:bCs/>
                <w:sz w:val="21"/>
              </w:rPr>
              <w:t>/</w:t>
            </w:r>
          </w:p>
        </w:tc>
        <w:tc>
          <w:tcPr>
            <w:tcW w:w="829" w:type="pct"/>
            <w:shd w:val="clear" w:color="auto" w:fill="auto"/>
            <w:vAlign w:val="center"/>
          </w:tcPr>
          <w:p w14:paraId="15112B14" w14:textId="08CB51EF" w:rsidR="00854861" w:rsidRPr="00E67914" w:rsidRDefault="00854861" w:rsidP="00EE5D65">
            <w:pPr>
              <w:pStyle w:val="afffffffff7"/>
              <w:spacing w:line="240" w:lineRule="auto"/>
              <w:rPr>
                <w:sz w:val="21"/>
              </w:rPr>
            </w:pPr>
            <w:r w:rsidRPr="00E67914">
              <w:rPr>
                <w:sz w:val="21"/>
              </w:rPr>
              <w:t>503.68</w:t>
            </w:r>
            <w:r w:rsidRPr="00E67914">
              <w:rPr>
                <w:sz w:val="21"/>
              </w:rPr>
              <w:t>万</w:t>
            </w:r>
            <w:r w:rsidRPr="00E67914">
              <w:rPr>
                <w:sz w:val="21"/>
              </w:rPr>
              <w:t>Nm</w:t>
            </w:r>
            <w:r w:rsidRPr="00E67914">
              <w:rPr>
                <w:sz w:val="21"/>
                <w:vertAlign w:val="superscript"/>
              </w:rPr>
              <w:t>3</w:t>
            </w:r>
            <w:r w:rsidRPr="00E67914">
              <w:rPr>
                <w:sz w:val="21"/>
              </w:rPr>
              <w:t>/a</w:t>
            </w:r>
          </w:p>
        </w:tc>
        <w:tc>
          <w:tcPr>
            <w:tcW w:w="451" w:type="pct"/>
            <w:vMerge w:val="restart"/>
            <w:vAlign w:val="center"/>
          </w:tcPr>
          <w:p w14:paraId="4EAE5D34" w14:textId="7FDF396D" w:rsidR="00854861" w:rsidRPr="00E67914" w:rsidRDefault="00854861" w:rsidP="00EE5D65">
            <w:pPr>
              <w:pStyle w:val="afffffffff7"/>
              <w:spacing w:line="240" w:lineRule="auto"/>
              <w:rPr>
                <w:sz w:val="21"/>
                <w:szCs w:val="21"/>
              </w:rPr>
            </w:pPr>
            <w:r w:rsidRPr="00E67914">
              <w:rPr>
                <w:sz w:val="21"/>
                <w:szCs w:val="21"/>
              </w:rPr>
              <w:t>25m</w:t>
            </w:r>
          </w:p>
        </w:tc>
        <w:tc>
          <w:tcPr>
            <w:tcW w:w="489" w:type="pct"/>
            <w:vMerge w:val="restart"/>
            <w:vAlign w:val="center"/>
          </w:tcPr>
          <w:p w14:paraId="123A83E9" w14:textId="63CF00BB" w:rsidR="00854861" w:rsidRPr="00E67914" w:rsidRDefault="00854861" w:rsidP="00EE5D65">
            <w:pPr>
              <w:pStyle w:val="afffffffff7"/>
              <w:spacing w:line="240" w:lineRule="auto"/>
              <w:rPr>
                <w:sz w:val="21"/>
                <w:szCs w:val="21"/>
              </w:rPr>
            </w:pPr>
            <w:r w:rsidRPr="00E67914">
              <w:rPr>
                <w:sz w:val="21"/>
                <w:szCs w:val="21"/>
              </w:rPr>
              <w:t>0.2m</w:t>
            </w:r>
          </w:p>
        </w:tc>
        <w:tc>
          <w:tcPr>
            <w:tcW w:w="485" w:type="pct"/>
            <w:vMerge w:val="restart"/>
            <w:vAlign w:val="center"/>
          </w:tcPr>
          <w:p w14:paraId="69E34A53" w14:textId="35CB7935" w:rsidR="00854861" w:rsidRPr="00E67914" w:rsidRDefault="00854861" w:rsidP="00EE5D65">
            <w:pPr>
              <w:pStyle w:val="afffffffff7"/>
              <w:spacing w:line="240" w:lineRule="auto"/>
              <w:rPr>
                <w:sz w:val="21"/>
                <w:szCs w:val="21"/>
              </w:rPr>
            </w:pPr>
            <w:r w:rsidRPr="00E67914">
              <w:rPr>
                <w:sz w:val="21"/>
                <w:szCs w:val="21"/>
              </w:rPr>
              <w:t>150</w:t>
            </w:r>
            <w:r w:rsidRPr="00E67914">
              <w:rPr>
                <w:sz w:val="21"/>
                <w:szCs w:val="21"/>
                <w:lang w:eastAsia="ja-JP"/>
              </w:rPr>
              <w:t>℃</w:t>
            </w:r>
          </w:p>
        </w:tc>
        <w:tc>
          <w:tcPr>
            <w:tcW w:w="691" w:type="pct"/>
            <w:vMerge w:val="restart"/>
            <w:vAlign w:val="center"/>
          </w:tcPr>
          <w:p w14:paraId="4FA73355" w14:textId="7E2E7AFC" w:rsidR="00854861" w:rsidRPr="00E67914" w:rsidRDefault="00854861" w:rsidP="00EE5D65">
            <w:pPr>
              <w:pStyle w:val="afffffffff7"/>
              <w:spacing w:line="240" w:lineRule="auto"/>
              <w:rPr>
                <w:sz w:val="21"/>
                <w:szCs w:val="21"/>
              </w:rPr>
            </w:pPr>
            <w:r w:rsidRPr="00E67914">
              <w:rPr>
                <w:sz w:val="21"/>
                <w:szCs w:val="21"/>
              </w:rPr>
              <w:t>有组织排放，连续排放</w:t>
            </w:r>
          </w:p>
        </w:tc>
      </w:tr>
      <w:tr w:rsidR="00E67914" w:rsidRPr="00E67914" w14:paraId="519FFBDE" w14:textId="77777777" w:rsidTr="00854861">
        <w:trPr>
          <w:trHeight w:val="20"/>
          <w:jc w:val="center"/>
        </w:trPr>
        <w:tc>
          <w:tcPr>
            <w:tcW w:w="660" w:type="pct"/>
            <w:vMerge/>
            <w:vAlign w:val="center"/>
          </w:tcPr>
          <w:p w14:paraId="0C5B639D" w14:textId="77777777" w:rsidR="00854861" w:rsidRPr="00E67914" w:rsidRDefault="00854861" w:rsidP="00EE5D65">
            <w:pPr>
              <w:pStyle w:val="afffffffff7"/>
              <w:spacing w:line="240" w:lineRule="auto"/>
              <w:rPr>
                <w:sz w:val="21"/>
                <w:szCs w:val="21"/>
              </w:rPr>
            </w:pPr>
          </w:p>
        </w:tc>
        <w:tc>
          <w:tcPr>
            <w:tcW w:w="577" w:type="pct"/>
            <w:vAlign w:val="center"/>
          </w:tcPr>
          <w:p w14:paraId="29092CCB" w14:textId="7B130561" w:rsidR="00854861" w:rsidRPr="00E67914" w:rsidRDefault="00854861" w:rsidP="00EE5D65">
            <w:pPr>
              <w:pStyle w:val="afffffffff7"/>
              <w:spacing w:line="240" w:lineRule="auto"/>
              <w:rPr>
                <w:bCs/>
                <w:sz w:val="21"/>
              </w:rPr>
            </w:pPr>
            <w:r w:rsidRPr="00E67914">
              <w:rPr>
                <w:sz w:val="21"/>
              </w:rPr>
              <w:t>SO</w:t>
            </w:r>
            <w:r w:rsidRPr="00E67914">
              <w:rPr>
                <w:sz w:val="21"/>
                <w:vertAlign w:val="subscript"/>
              </w:rPr>
              <w:t>2</w:t>
            </w:r>
          </w:p>
        </w:tc>
        <w:tc>
          <w:tcPr>
            <w:tcW w:w="818" w:type="pct"/>
            <w:vAlign w:val="center"/>
          </w:tcPr>
          <w:p w14:paraId="60082868" w14:textId="23C245FD" w:rsidR="00854861" w:rsidRPr="00E67914" w:rsidRDefault="00854861" w:rsidP="00EE5D65">
            <w:pPr>
              <w:pStyle w:val="afffffffff7"/>
              <w:spacing w:line="240" w:lineRule="auto"/>
              <w:rPr>
                <w:sz w:val="21"/>
              </w:rPr>
            </w:pPr>
            <w:r w:rsidRPr="00E67914">
              <w:rPr>
                <w:bCs/>
                <w:sz w:val="21"/>
              </w:rPr>
              <w:t>12.71</w:t>
            </w:r>
            <w:r w:rsidRPr="00E67914">
              <w:rPr>
                <w:sz w:val="21"/>
              </w:rPr>
              <w:t>mg/m</w:t>
            </w:r>
            <w:r w:rsidRPr="00E67914">
              <w:rPr>
                <w:sz w:val="21"/>
                <w:vertAlign w:val="superscript"/>
              </w:rPr>
              <w:t>3</w:t>
            </w:r>
          </w:p>
        </w:tc>
        <w:tc>
          <w:tcPr>
            <w:tcW w:w="829" w:type="pct"/>
            <w:shd w:val="clear" w:color="auto" w:fill="auto"/>
            <w:vAlign w:val="center"/>
          </w:tcPr>
          <w:p w14:paraId="3403149E" w14:textId="6F03B62D" w:rsidR="00854861" w:rsidRPr="00E67914" w:rsidRDefault="00854861" w:rsidP="00EE5D65">
            <w:pPr>
              <w:pStyle w:val="afffffffff7"/>
              <w:spacing w:line="240" w:lineRule="auto"/>
              <w:rPr>
                <w:sz w:val="21"/>
              </w:rPr>
            </w:pPr>
            <w:r w:rsidRPr="00E67914">
              <w:rPr>
                <w:sz w:val="21"/>
              </w:rPr>
              <w:t>0.0640t/a</w:t>
            </w:r>
            <w:r w:rsidRPr="00E67914">
              <w:rPr>
                <w:sz w:val="21"/>
              </w:rPr>
              <w:t>；</w:t>
            </w:r>
            <w:r w:rsidRPr="00E67914">
              <w:rPr>
                <w:sz w:val="21"/>
              </w:rPr>
              <w:t>0.0073kg/h</w:t>
            </w:r>
          </w:p>
        </w:tc>
        <w:tc>
          <w:tcPr>
            <w:tcW w:w="451" w:type="pct"/>
            <w:vMerge/>
            <w:vAlign w:val="center"/>
          </w:tcPr>
          <w:p w14:paraId="753ACE62" w14:textId="77777777" w:rsidR="00854861" w:rsidRPr="00E67914" w:rsidRDefault="00854861" w:rsidP="00EE5D65">
            <w:pPr>
              <w:pStyle w:val="afffffffff7"/>
              <w:spacing w:line="240" w:lineRule="auto"/>
              <w:rPr>
                <w:sz w:val="21"/>
                <w:szCs w:val="21"/>
              </w:rPr>
            </w:pPr>
          </w:p>
        </w:tc>
        <w:tc>
          <w:tcPr>
            <w:tcW w:w="489" w:type="pct"/>
            <w:vMerge/>
            <w:vAlign w:val="center"/>
          </w:tcPr>
          <w:p w14:paraId="6C0C6F66" w14:textId="77777777" w:rsidR="00854861" w:rsidRPr="00E67914" w:rsidRDefault="00854861" w:rsidP="00EE5D65">
            <w:pPr>
              <w:pStyle w:val="afffffffff7"/>
              <w:spacing w:line="240" w:lineRule="auto"/>
              <w:rPr>
                <w:sz w:val="21"/>
                <w:szCs w:val="21"/>
              </w:rPr>
            </w:pPr>
          </w:p>
        </w:tc>
        <w:tc>
          <w:tcPr>
            <w:tcW w:w="485" w:type="pct"/>
            <w:vMerge/>
            <w:vAlign w:val="center"/>
          </w:tcPr>
          <w:p w14:paraId="341A882D" w14:textId="77777777" w:rsidR="00854861" w:rsidRPr="00E67914" w:rsidRDefault="00854861" w:rsidP="00EE5D65">
            <w:pPr>
              <w:pStyle w:val="afffffffff7"/>
              <w:spacing w:line="240" w:lineRule="auto"/>
              <w:rPr>
                <w:sz w:val="21"/>
                <w:szCs w:val="21"/>
              </w:rPr>
            </w:pPr>
          </w:p>
        </w:tc>
        <w:tc>
          <w:tcPr>
            <w:tcW w:w="691" w:type="pct"/>
            <w:vMerge/>
            <w:vAlign w:val="center"/>
          </w:tcPr>
          <w:p w14:paraId="78E70461" w14:textId="77777777" w:rsidR="00854861" w:rsidRPr="00E67914" w:rsidRDefault="00854861" w:rsidP="00EE5D65">
            <w:pPr>
              <w:pStyle w:val="afffffffff7"/>
              <w:spacing w:line="240" w:lineRule="auto"/>
              <w:rPr>
                <w:sz w:val="21"/>
                <w:szCs w:val="21"/>
              </w:rPr>
            </w:pPr>
          </w:p>
        </w:tc>
      </w:tr>
      <w:tr w:rsidR="00E67914" w:rsidRPr="00E67914" w14:paraId="0343F5A6" w14:textId="77777777" w:rsidTr="00854861">
        <w:trPr>
          <w:trHeight w:val="20"/>
          <w:jc w:val="center"/>
        </w:trPr>
        <w:tc>
          <w:tcPr>
            <w:tcW w:w="660" w:type="pct"/>
            <w:vMerge/>
            <w:vAlign w:val="center"/>
          </w:tcPr>
          <w:p w14:paraId="16C70227" w14:textId="77777777" w:rsidR="00854861" w:rsidRPr="00E67914" w:rsidRDefault="00854861" w:rsidP="00EE5D65">
            <w:pPr>
              <w:pStyle w:val="afffffffff7"/>
              <w:spacing w:line="240" w:lineRule="auto"/>
              <w:rPr>
                <w:sz w:val="21"/>
                <w:szCs w:val="21"/>
              </w:rPr>
            </w:pPr>
          </w:p>
        </w:tc>
        <w:tc>
          <w:tcPr>
            <w:tcW w:w="577" w:type="pct"/>
            <w:vAlign w:val="center"/>
          </w:tcPr>
          <w:p w14:paraId="6BAA6257" w14:textId="7C70D02F" w:rsidR="00854861" w:rsidRPr="00E67914" w:rsidRDefault="00854861" w:rsidP="00EE5D65">
            <w:pPr>
              <w:pStyle w:val="afffffffff7"/>
              <w:spacing w:line="240" w:lineRule="auto"/>
              <w:rPr>
                <w:bCs/>
                <w:sz w:val="21"/>
              </w:rPr>
            </w:pPr>
            <w:r w:rsidRPr="00E67914">
              <w:rPr>
                <w:sz w:val="21"/>
              </w:rPr>
              <w:t>NOx</w:t>
            </w:r>
          </w:p>
        </w:tc>
        <w:tc>
          <w:tcPr>
            <w:tcW w:w="818" w:type="pct"/>
            <w:vAlign w:val="center"/>
          </w:tcPr>
          <w:p w14:paraId="028B8B16" w14:textId="0EEF9463" w:rsidR="00854861" w:rsidRPr="00E67914" w:rsidRDefault="00854861" w:rsidP="00EE5D65">
            <w:pPr>
              <w:pStyle w:val="afffffffff7"/>
              <w:spacing w:line="240" w:lineRule="auto"/>
              <w:rPr>
                <w:sz w:val="21"/>
              </w:rPr>
            </w:pPr>
            <w:r w:rsidRPr="00E67914">
              <w:rPr>
                <w:sz w:val="21"/>
              </w:rPr>
              <w:t>29.72mg/m</w:t>
            </w:r>
            <w:r w:rsidRPr="00E67914">
              <w:rPr>
                <w:sz w:val="21"/>
                <w:vertAlign w:val="superscript"/>
              </w:rPr>
              <w:t>3</w:t>
            </w:r>
          </w:p>
        </w:tc>
        <w:tc>
          <w:tcPr>
            <w:tcW w:w="829" w:type="pct"/>
            <w:shd w:val="clear" w:color="auto" w:fill="auto"/>
            <w:vAlign w:val="center"/>
          </w:tcPr>
          <w:p w14:paraId="3E6378A0" w14:textId="181C5071" w:rsidR="00854861" w:rsidRPr="00E67914" w:rsidRDefault="00854861" w:rsidP="00EE5D65">
            <w:pPr>
              <w:pStyle w:val="afffffffff7"/>
              <w:spacing w:line="240" w:lineRule="auto"/>
              <w:rPr>
                <w:sz w:val="21"/>
              </w:rPr>
            </w:pPr>
            <w:r w:rsidRPr="00E67914">
              <w:rPr>
                <w:sz w:val="21"/>
              </w:rPr>
              <w:t>0.1497t/a</w:t>
            </w:r>
            <w:r w:rsidRPr="00E67914">
              <w:rPr>
                <w:sz w:val="21"/>
              </w:rPr>
              <w:t>；</w:t>
            </w:r>
            <w:r w:rsidRPr="00E67914">
              <w:rPr>
                <w:sz w:val="21"/>
              </w:rPr>
              <w:t>0.0171kg/h</w:t>
            </w:r>
          </w:p>
        </w:tc>
        <w:tc>
          <w:tcPr>
            <w:tcW w:w="451" w:type="pct"/>
            <w:vMerge/>
            <w:vAlign w:val="center"/>
          </w:tcPr>
          <w:p w14:paraId="09175D5C" w14:textId="77777777" w:rsidR="00854861" w:rsidRPr="00E67914" w:rsidRDefault="00854861" w:rsidP="00EE5D65">
            <w:pPr>
              <w:pStyle w:val="afffffffff7"/>
              <w:spacing w:line="240" w:lineRule="auto"/>
              <w:rPr>
                <w:sz w:val="21"/>
                <w:szCs w:val="21"/>
              </w:rPr>
            </w:pPr>
          </w:p>
        </w:tc>
        <w:tc>
          <w:tcPr>
            <w:tcW w:w="489" w:type="pct"/>
            <w:vMerge/>
            <w:vAlign w:val="center"/>
          </w:tcPr>
          <w:p w14:paraId="6065449F" w14:textId="77777777" w:rsidR="00854861" w:rsidRPr="00E67914" w:rsidRDefault="00854861" w:rsidP="00EE5D65">
            <w:pPr>
              <w:pStyle w:val="afffffffff7"/>
              <w:spacing w:line="240" w:lineRule="auto"/>
              <w:rPr>
                <w:sz w:val="21"/>
                <w:szCs w:val="21"/>
              </w:rPr>
            </w:pPr>
          </w:p>
        </w:tc>
        <w:tc>
          <w:tcPr>
            <w:tcW w:w="485" w:type="pct"/>
            <w:vMerge/>
            <w:vAlign w:val="center"/>
          </w:tcPr>
          <w:p w14:paraId="28067C6D" w14:textId="77777777" w:rsidR="00854861" w:rsidRPr="00E67914" w:rsidRDefault="00854861" w:rsidP="00EE5D65">
            <w:pPr>
              <w:pStyle w:val="afffffffff7"/>
              <w:spacing w:line="240" w:lineRule="auto"/>
              <w:rPr>
                <w:sz w:val="21"/>
                <w:szCs w:val="21"/>
              </w:rPr>
            </w:pPr>
          </w:p>
        </w:tc>
        <w:tc>
          <w:tcPr>
            <w:tcW w:w="691" w:type="pct"/>
            <w:vMerge/>
            <w:vAlign w:val="center"/>
          </w:tcPr>
          <w:p w14:paraId="1BE03452" w14:textId="77777777" w:rsidR="00854861" w:rsidRPr="00E67914" w:rsidRDefault="00854861" w:rsidP="00EE5D65">
            <w:pPr>
              <w:pStyle w:val="afffffffff7"/>
              <w:spacing w:line="240" w:lineRule="auto"/>
              <w:rPr>
                <w:sz w:val="21"/>
                <w:szCs w:val="21"/>
              </w:rPr>
            </w:pPr>
          </w:p>
        </w:tc>
      </w:tr>
      <w:tr w:rsidR="00E67914" w:rsidRPr="00E67914" w14:paraId="539AC89C" w14:textId="77777777" w:rsidTr="00854861">
        <w:trPr>
          <w:trHeight w:val="20"/>
          <w:jc w:val="center"/>
        </w:trPr>
        <w:tc>
          <w:tcPr>
            <w:tcW w:w="660" w:type="pct"/>
            <w:vMerge/>
            <w:vAlign w:val="center"/>
          </w:tcPr>
          <w:p w14:paraId="59EB7963" w14:textId="77777777" w:rsidR="00854861" w:rsidRPr="00E67914" w:rsidRDefault="00854861" w:rsidP="00EE5D65">
            <w:pPr>
              <w:pStyle w:val="afffffffff7"/>
              <w:spacing w:line="240" w:lineRule="auto"/>
              <w:rPr>
                <w:sz w:val="21"/>
                <w:szCs w:val="21"/>
              </w:rPr>
            </w:pPr>
          </w:p>
        </w:tc>
        <w:tc>
          <w:tcPr>
            <w:tcW w:w="577" w:type="pct"/>
            <w:vAlign w:val="center"/>
          </w:tcPr>
          <w:p w14:paraId="399CA388" w14:textId="1146B48E" w:rsidR="00854861" w:rsidRPr="00E67914" w:rsidRDefault="00854861" w:rsidP="00EE5D65">
            <w:pPr>
              <w:pStyle w:val="afffffffff7"/>
              <w:spacing w:line="240" w:lineRule="auto"/>
              <w:rPr>
                <w:bCs/>
                <w:sz w:val="21"/>
              </w:rPr>
            </w:pPr>
            <w:r w:rsidRPr="00E67914">
              <w:rPr>
                <w:sz w:val="21"/>
              </w:rPr>
              <w:t>烟尘</w:t>
            </w:r>
          </w:p>
        </w:tc>
        <w:tc>
          <w:tcPr>
            <w:tcW w:w="818" w:type="pct"/>
            <w:vAlign w:val="center"/>
          </w:tcPr>
          <w:p w14:paraId="493A66B5" w14:textId="60895339" w:rsidR="00854861" w:rsidRPr="00E67914" w:rsidRDefault="00854861" w:rsidP="00EE5D65">
            <w:pPr>
              <w:pStyle w:val="afffffffff7"/>
              <w:spacing w:line="240" w:lineRule="auto"/>
              <w:rPr>
                <w:sz w:val="21"/>
              </w:rPr>
            </w:pPr>
            <w:r w:rsidRPr="00E67914">
              <w:rPr>
                <w:sz w:val="21"/>
              </w:rPr>
              <w:t>9.09mg/m</w:t>
            </w:r>
            <w:r w:rsidRPr="00E67914">
              <w:rPr>
                <w:sz w:val="21"/>
                <w:vertAlign w:val="superscript"/>
              </w:rPr>
              <w:t>3</w:t>
            </w:r>
          </w:p>
        </w:tc>
        <w:tc>
          <w:tcPr>
            <w:tcW w:w="829" w:type="pct"/>
            <w:shd w:val="clear" w:color="auto" w:fill="auto"/>
            <w:vAlign w:val="center"/>
          </w:tcPr>
          <w:p w14:paraId="60830079" w14:textId="0F4A8EEC" w:rsidR="00854861" w:rsidRPr="00E67914" w:rsidRDefault="00854861" w:rsidP="00EE5D65">
            <w:pPr>
              <w:pStyle w:val="afffffffff7"/>
              <w:spacing w:line="240" w:lineRule="auto"/>
              <w:rPr>
                <w:sz w:val="21"/>
              </w:rPr>
            </w:pPr>
            <w:r w:rsidRPr="00E67914">
              <w:rPr>
                <w:sz w:val="21"/>
              </w:rPr>
              <w:t>0.0458t/a</w:t>
            </w:r>
            <w:r w:rsidRPr="00E67914">
              <w:rPr>
                <w:sz w:val="21"/>
              </w:rPr>
              <w:t>；</w:t>
            </w:r>
            <w:r w:rsidRPr="00E67914">
              <w:rPr>
                <w:sz w:val="21"/>
              </w:rPr>
              <w:t>0.0052kg/h</w:t>
            </w:r>
          </w:p>
        </w:tc>
        <w:tc>
          <w:tcPr>
            <w:tcW w:w="451" w:type="pct"/>
            <w:vMerge/>
            <w:vAlign w:val="center"/>
          </w:tcPr>
          <w:p w14:paraId="1CB6102E" w14:textId="77777777" w:rsidR="00854861" w:rsidRPr="00E67914" w:rsidRDefault="00854861" w:rsidP="00EE5D65">
            <w:pPr>
              <w:pStyle w:val="afffffffff7"/>
              <w:spacing w:line="240" w:lineRule="auto"/>
              <w:rPr>
                <w:sz w:val="21"/>
                <w:szCs w:val="21"/>
              </w:rPr>
            </w:pPr>
          </w:p>
        </w:tc>
        <w:tc>
          <w:tcPr>
            <w:tcW w:w="489" w:type="pct"/>
            <w:vMerge/>
            <w:vAlign w:val="center"/>
          </w:tcPr>
          <w:p w14:paraId="0F976F9C" w14:textId="77777777" w:rsidR="00854861" w:rsidRPr="00E67914" w:rsidRDefault="00854861" w:rsidP="00EE5D65">
            <w:pPr>
              <w:pStyle w:val="afffffffff7"/>
              <w:spacing w:line="240" w:lineRule="auto"/>
              <w:rPr>
                <w:sz w:val="21"/>
                <w:szCs w:val="21"/>
              </w:rPr>
            </w:pPr>
          </w:p>
        </w:tc>
        <w:tc>
          <w:tcPr>
            <w:tcW w:w="485" w:type="pct"/>
            <w:vMerge/>
            <w:vAlign w:val="center"/>
          </w:tcPr>
          <w:p w14:paraId="3FA15E4E" w14:textId="77777777" w:rsidR="00854861" w:rsidRPr="00E67914" w:rsidRDefault="00854861" w:rsidP="00EE5D65">
            <w:pPr>
              <w:pStyle w:val="afffffffff7"/>
              <w:spacing w:line="240" w:lineRule="auto"/>
              <w:rPr>
                <w:sz w:val="21"/>
                <w:szCs w:val="21"/>
              </w:rPr>
            </w:pPr>
          </w:p>
        </w:tc>
        <w:tc>
          <w:tcPr>
            <w:tcW w:w="691" w:type="pct"/>
            <w:vMerge/>
            <w:vAlign w:val="center"/>
          </w:tcPr>
          <w:p w14:paraId="2CABBDBD" w14:textId="77777777" w:rsidR="00854861" w:rsidRPr="00E67914" w:rsidRDefault="00854861" w:rsidP="00EE5D65">
            <w:pPr>
              <w:pStyle w:val="afffffffff7"/>
              <w:spacing w:line="240" w:lineRule="auto"/>
              <w:rPr>
                <w:sz w:val="21"/>
                <w:szCs w:val="21"/>
              </w:rPr>
            </w:pPr>
          </w:p>
        </w:tc>
      </w:tr>
      <w:tr w:rsidR="00E67914" w:rsidRPr="00E67914" w14:paraId="7EB4B063" w14:textId="77777777" w:rsidTr="00854861">
        <w:trPr>
          <w:trHeight w:val="20"/>
          <w:jc w:val="center"/>
        </w:trPr>
        <w:tc>
          <w:tcPr>
            <w:tcW w:w="660" w:type="pct"/>
            <w:vAlign w:val="center"/>
          </w:tcPr>
          <w:p w14:paraId="29C9F3CA" w14:textId="77777777" w:rsidR="00854861" w:rsidRPr="00E67914" w:rsidRDefault="00854861" w:rsidP="00EE5D65">
            <w:pPr>
              <w:pStyle w:val="afffffffff7"/>
              <w:spacing w:line="240" w:lineRule="auto"/>
              <w:rPr>
                <w:sz w:val="21"/>
                <w:szCs w:val="21"/>
              </w:rPr>
            </w:pPr>
            <w:r w:rsidRPr="00E67914">
              <w:rPr>
                <w:sz w:val="21"/>
                <w:szCs w:val="21"/>
              </w:rPr>
              <w:t>油罐挥发气体</w:t>
            </w:r>
          </w:p>
        </w:tc>
        <w:tc>
          <w:tcPr>
            <w:tcW w:w="577" w:type="pct"/>
            <w:vAlign w:val="center"/>
          </w:tcPr>
          <w:p w14:paraId="439A4494" w14:textId="77777777" w:rsidR="00854861" w:rsidRPr="00E67914" w:rsidRDefault="00854861" w:rsidP="00EE5D65">
            <w:pPr>
              <w:pStyle w:val="afffffffff7"/>
              <w:spacing w:line="240" w:lineRule="auto"/>
              <w:rPr>
                <w:sz w:val="21"/>
                <w:szCs w:val="21"/>
              </w:rPr>
            </w:pPr>
            <w:r w:rsidRPr="00E67914">
              <w:rPr>
                <w:sz w:val="21"/>
                <w:szCs w:val="21"/>
              </w:rPr>
              <w:t>挥发性有机物</w:t>
            </w:r>
          </w:p>
        </w:tc>
        <w:tc>
          <w:tcPr>
            <w:tcW w:w="818" w:type="pct"/>
            <w:vAlign w:val="center"/>
          </w:tcPr>
          <w:p w14:paraId="1045C473" w14:textId="77777777" w:rsidR="00854861" w:rsidRPr="00E67914" w:rsidRDefault="00854861" w:rsidP="00EE5D65">
            <w:pPr>
              <w:pStyle w:val="afffffffff7"/>
              <w:spacing w:line="240" w:lineRule="auto"/>
              <w:rPr>
                <w:sz w:val="21"/>
                <w:szCs w:val="21"/>
              </w:rPr>
            </w:pPr>
            <w:r w:rsidRPr="00E67914">
              <w:rPr>
                <w:sz w:val="21"/>
                <w:szCs w:val="21"/>
              </w:rPr>
              <w:t>/</w:t>
            </w:r>
          </w:p>
        </w:tc>
        <w:tc>
          <w:tcPr>
            <w:tcW w:w="829" w:type="pct"/>
            <w:shd w:val="clear" w:color="auto" w:fill="auto"/>
            <w:vAlign w:val="center"/>
          </w:tcPr>
          <w:p w14:paraId="5F8E2BB8" w14:textId="675DC308" w:rsidR="00854861" w:rsidRPr="00E67914" w:rsidRDefault="005549EB" w:rsidP="00EE5D65">
            <w:pPr>
              <w:pStyle w:val="afffffffff7"/>
              <w:spacing w:line="240" w:lineRule="auto"/>
              <w:rPr>
                <w:sz w:val="21"/>
                <w:szCs w:val="21"/>
              </w:rPr>
            </w:pPr>
            <w:r w:rsidRPr="00E67914">
              <w:rPr>
                <w:sz w:val="21"/>
                <w:szCs w:val="21"/>
              </w:rPr>
              <w:t>0.</w:t>
            </w:r>
            <w:r w:rsidR="00CA24A3" w:rsidRPr="00E67914">
              <w:rPr>
                <w:sz w:val="21"/>
                <w:szCs w:val="21"/>
              </w:rPr>
              <w:t>62</w:t>
            </w:r>
            <w:r w:rsidR="00854861" w:rsidRPr="00E67914">
              <w:rPr>
                <w:sz w:val="21"/>
                <w:szCs w:val="21"/>
              </w:rPr>
              <w:t>t/a</w:t>
            </w:r>
          </w:p>
        </w:tc>
        <w:tc>
          <w:tcPr>
            <w:tcW w:w="451" w:type="pct"/>
            <w:vAlign w:val="center"/>
          </w:tcPr>
          <w:p w14:paraId="6C3017AB" w14:textId="3CE086DE" w:rsidR="00854861" w:rsidRPr="00E67914" w:rsidRDefault="00854861" w:rsidP="00EE5D65">
            <w:pPr>
              <w:pStyle w:val="afffffffff7"/>
              <w:spacing w:line="240" w:lineRule="auto"/>
              <w:rPr>
                <w:sz w:val="21"/>
                <w:szCs w:val="21"/>
              </w:rPr>
            </w:pPr>
            <w:r w:rsidRPr="00E67914">
              <w:rPr>
                <w:sz w:val="21"/>
                <w:szCs w:val="21"/>
              </w:rPr>
              <w:t>6m</w:t>
            </w:r>
          </w:p>
        </w:tc>
        <w:tc>
          <w:tcPr>
            <w:tcW w:w="489" w:type="pct"/>
            <w:vAlign w:val="center"/>
          </w:tcPr>
          <w:p w14:paraId="0C08F58F" w14:textId="5FD1A0E2" w:rsidR="00854861" w:rsidRPr="00E67914" w:rsidRDefault="00854861" w:rsidP="00EE5D65">
            <w:pPr>
              <w:pStyle w:val="afffffffff7"/>
              <w:spacing w:line="240" w:lineRule="auto"/>
              <w:rPr>
                <w:sz w:val="21"/>
                <w:szCs w:val="21"/>
              </w:rPr>
            </w:pPr>
            <w:r w:rsidRPr="00E67914">
              <w:rPr>
                <w:sz w:val="21"/>
                <w:szCs w:val="21"/>
              </w:rPr>
              <w:t>0.1m</w:t>
            </w:r>
          </w:p>
        </w:tc>
        <w:tc>
          <w:tcPr>
            <w:tcW w:w="485" w:type="pct"/>
            <w:vAlign w:val="center"/>
          </w:tcPr>
          <w:p w14:paraId="4EC11AEE" w14:textId="77777777" w:rsidR="00854861" w:rsidRPr="00E67914" w:rsidRDefault="00854861" w:rsidP="00EE5D65">
            <w:pPr>
              <w:pStyle w:val="afffffffff7"/>
              <w:spacing w:line="240" w:lineRule="auto"/>
              <w:rPr>
                <w:sz w:val="21"/>
                <w:szCs w:val="21"/>
              </w:rPr>
            </w:pPr>
            <w:r w:rsidRPr="00E67914">
              <w:rPr>
                <w:sz w:val="21"/>
                <w:szCs w:val="21"/>
              </w:rPr>
              <w:t>常温</w:t>
            </w:r>
          </w:p>
        </w:tc>
        <w:tc>
          <w:tcPr>
            <w:tcW w:w="691" w:type="pct"/>
            <w:vAlign w:val="center"/>
          </w:tcPr>
          <w:p w14:paraId="61330E33" w14:textId="0D83B684" w:rsidR="00854861" w:rsidRPr="00E67914" w:rsidRDefault="00854861" w:rsidP="00EE5D65">
            <w:pPr>
              <w:pStyle w:val="afffffffff7"/>
              <w:spacing w:line="240" w:lineRule="auto"/>
              <w:rPr>
                <w:sz w:val="21"/>
                <w:szCs w:val="21"/>
              </w:rPr>
            </w:pPr>
            <w:r w:rsidRPr="00E67914">
              <w:rPr>
                <w:sz w:val="21"/>
                <w:szCs w:val="21"/>
              </w:rPr>
              <w:t>有组织排放，连续</w:t>
            </w:r>
            <w:r w:rsidRPr="00E67914">
              <w:rPr>
                <w:sz w:val="21"/>
                <w:szCs w:val="21"/>
              </w:rPr>
              <w:lastRenderedPageBreak/>
              <w:t>排放</w:t>
            </w:r>
          </w:p>
        </w:tc>
      </w:tr>
      <w:tr w:rsidR="00E67914" w:rsidRPr="00E67914" w14:paraId="3A6A60BC" w14:textId="77777777" w:rsidTr="00854861">
        <w:trPr>
          <w:trHeight w:val="20"/>
          <w:jc w:val="center"/>
        </w:trPr>
        <w:tc>
          <w:tcPr>
            <w:tcW w:w="660" w:type="pct"/>
            <w:vAlign w:val="center"/>
          </w:tcPr>
          <w:p w14:paraId="74DFBB73" w14:textId="77777777" w:rsidR="00854861" w:rsidRPr="00E67914" w:rsidRDefault="00854861" w:rsidP="00EE5D65">
            <w:pPr>
              <w:pStyle w:val="afffffffff7"/>
              <w:spacing w:line="240" w:lineRule="auto"/>
              <w:rPr>
                <w:sz w:val="21"/>
                <w:szCs w:val="21"/>
              </w:rPr>
            </w:pPr>
            <w:r w:rsidRPr="00E67914">
              <w:rPr>
                <w:sz w:val="21"/>
                <w:szCs w:val="21"/>
              </w:rPr>
              <w:lastRenderedPageBreak/>
              <w:t>凝析油装车挥发气体</w:t>
            </w:r>
          </w:p>
        </w:tc>
        <w:tc>
          <w:tcPr>
            <w:tcW w:w="577" w:type="pct"/>
            <w:vAlign w:val="center"/>
          </w:tcPr>
          <w:p w14:paraId="462723C9" w14:textId="77777777" w:rsidR="00854861" w:rsidRPr="00E67914" w:rsidRDefault="00854861" w:rsidP="00EE5D65">
            <w:pPr>
              <w:pStyle w:val="afffffffff7"/>
              <w:spacing w:line="240" w:lineRule="auto"/>
              <w:rPr>
                <w:sz w:val="21"/>
                <w:szCs w:val="21"/>
              </w:rPr>
            </w:pPr>
            <w:r w:rsidRPr="00E67914">
              <w:rPr>
                <w:sz w:val="21"/>
                <w:szCs w:val="21"/>
              </w:rPr>
              <w:t>挥发性有机物</w:t>
            </w:r>
          </w:p>
        </w:tc>
        <w:tc>
          <w:tcPr>
            <w:tcW w:w="818" w:type="pct"/>
            <w:vAlign w:val="center"/>
          </w:tcPr>
          <w:p w14:paraId="6694BD58" w14:textId="77777777" w:rsidR="00854861" w:rsidRPr="00E67914" w:rsidRDefault="00854861" w:rsidP="00EE5D65">
            <w:pPr>
              <w:pStyle w:val="afffffffff7"/>
              <w:spacing w:line="240" w:lineRule="auto"/>
              <w:rPr>
                <w:sz w:val="21"/>
                <w:szCs w:val="21"/>
              </w:rPr>
            </w:pPr>
            <w:r w:rsidRPr="00E67914">
              <w:rPr>
                <w:sz w:val="21"/>
                <w:szCs w:val="21"/>
              </w:rPr>
              <w:t>/</w:t>
            </w:r>
          </w:p>
        </w:tc>
        <w:tc>
          <w:tcPr>
            <w:tcW w:w="829" w:type="pct"/>
            <w:shd w:val="clear" w:color="auto" w:fill="auto"/>
            <w:vAlign w:val="center"/>
          </w:tcPr>
          <w:p w14:paraId="7330C550" w14:textId="406D4114" w:rsidR="00854861" w:rsidRPr="00E67914" w:rsidRDefault="00854861" w:rsidP="00EE5D65">
            <w:pPr>
              <w:pStyle w:val="afffffffff7"/>
              <w:spacing w:line="240" w:lineRule="auto"/>
              <w:rPr>
                <w:sz w:val="21"/>
                <w:szCs w:val="21"/>
              </w:rPr>
            </w:pPr>
            <w:r w:rsidRPr="00E67914">
              <w:rPr>
                <w:sz w:val="21"/>
                <w:szCs w:val="21"/>
              </w:rPr>
              <w:t>0.12t/a</w:t>
            </w:r>
          </w:p>
        </w:tc>
        <w:tc>
          <w:tcPr>
            <w:tcW w:w="451" w:type="pct"/>
            <w:vAlign w:val="center"/>
          </w:tcPr>
          <w:p w14:paraId="310E80EE" w14:textId="6BA16DA0" w:rsidR="00854861" w:rsidRPr="00E67914" w:rsidRDefault="00854861" w:rsidP="00EE5D65">
            <w:pPr>
              <w:pStyle w:val="afffffffff7"/>
              <w:spacing w:line="240" w:lineRule="auto"/>
              <w:rPr>
                <w:sz w:val="21"/>
                <w:szCs w:val="21"/>
              </w:rPr>
            </w:pPr>
            <w:r w:rsidRPr="00E67914">
              <w:rPr>
                <w:sz w:val="21"/>
                <w:szCs w:val="21"/>
              </w:rPr>
              <w:t>/</w:t>
            </w:r>
          </w:p>
        </w:tc>
        <w:tc>
          <w:tcPr>
            <w:tcW w:w="489" w:type="pct"/>
            <w:vAlign w:val="center"/>
          </w:tcPr>
          <w:p w14:paraId="1474EF79" w14:textId="11085DC2" w:rsidR="00854861" w:rsidRPr="00E67914" w:rsidRDefault="00854861" w:rsidP="00EE5D65">
            <w:pPr>
              <w:pStyle w:val="afffffffff7"/>
              <w:spacing w:line="240" w:lineRule="auto"/>
              <w:rPr>
                <w:sz w:val="21"/>
                <w:szCs w:val="21"/>
              </w:rPr>
            </w:pPr>
            <w:r w:rsidRPr="00E67914">
              <w:rPr>
                <w:sz w:val="21"/>
                <w:szCs w:val="21"/>
              </w:rPr>
              <w:t>/</w:t>
            </w:r>
          </w:p>
        </w:tc>
        <w:tc>
          <w:tcPr>
            <w:tcW w:w="485" w:type="pct"/>
            <w:vAlign w:val="center"/>
          </w:tcPr>
          <w:p w14:paraId="6513B398" w14:textId="77777777" w:rsidR="00854861" w:rsidRPr="00E67914" w:rsidRDefault="00854861" w:rsidP="00EE5D65">
            <w:pPr>
              <w:pStyle w:val="afffffffff7"/>
              <w:spacing w:line="240" w:lineRule="auto"/>
              <w:rPr>
                <w:sz w:val="21"/>
                <w:szCs w:val="21"/>
              </w:rPr>
            </w:pPr>
            <w:r w:rsidRPr="00E67914">
              <w:rPr>
                <w:sz w:val="21"/>
                <w:szCs w:val="21"/>
              </w:rPr>
              <w:t>常温</w:t>
            </w:r>
          </w:p>
        </w:tc>
        <w:tc>
          <w:tcPr>
            <w:tcW w:w="691" w:type="pct"/>
            <w:vAlign w:val="center"/>
          </w:tcPr>
          <w:p w14:paraId="3FDDC8BA" w14:textId="77777777" w:rsidR="00854861" w:rsidRPr="00E67914" w:rsidRDefault="00854861" w:rsidP="00EE5D65">
            <w:pPr>
              <w:pStyle w:val="afffffffff7"/>
              <w:spacing w:line="240" w:lineRule="auto"/>
              <w:rPr>
                <w:sz w:val="21"/>
                <w:szCs w:val="21"/>
              </w:rPr>
            </w:pPr>
            <w:r w:rsidRPr="00E67914">
              <w:rPr>
                <w:sz w:val="21"/>
                <w:szCs w:val="21"/>
              </w:rPr>
              <w:t>装车时，无组织排放</w:t>
            </w:r>
          </w:p>
        </w:tc>
      </w:tr>
      <w:tr w:rsidR="00E67914" w:rsidRPr="00E67914" w14:paraId="3A6F0CAB" w14:textId="77777777" w:rsidTr="00854861">
        <w:trPr>
          <w:trHeight w:val="20"/>
          <w:jc w:val="center"/>
        </w:trPr>
        <w:tc>
          <w:tcPr>
            <w:tcW w:w="660" w:type="pct"/>
            <w:vAlign w:val="center"/>
            <w:hideMark/>
          </w:tcPr>
          <w:p w14:paraId="1E0DEBFC" w14:textId="77777777" w:rsidR="00854861" w:rsidRPr="00E67914" w:rsidRDefault="00854861" w:rsidP="00EE5D65">
            <w:pPr>
              <w:pStyle w:val="afffffffff7"/>
              <w:spacing w:line="240" w:lineRule="auto"/>
              <w:rPr>
                <w:sz w:val="21"/>
                <w:szCs w:val="21"/>
              </w:rPr>
            </w:pPr>
            <w:r w:rsidRPr="00E67914">
              <w:rPr>
                <w:sz w:val="21"/>
                <w:szCs w:val="21"/>
              </w:rPr>
              <w:t>非正常放空废气</w:t>
            </w:r>
          </w:p>
        </w:tc>
        <w:tc>
          <w:tcPr>
            <w:tcW w:w="577" w:type="pct"/>
            <w:vAlign w:val="center"/>
            <w:hideMark/>
          </w:tcPr>
          <w:p w14:paraId="1722D44D" w14:textId="77777777" w:rsidR="00854861" w:rsidRPr="00E67914" w:rsidRDefault="00854861" w:rsidP="00EE5D65">
            <w:pPr>
              <w:pStyle w:val="afffffffff7"/>
              <w:spacing w:line="240" w:lineRule="auto"/>
              <w:rPr>
                <w:sz w:val="21"/>
                <w:szCs w:val="21"/>
              </w:rPr>
            </w:pPr>
            <w:r w:rsidRPr="00E67914">
              <w:rPr>
                <w:sz w:val="21"/>
                <w:szCs w:val="21"/>
              </w:rPr>
              <w:t>页岩气</w:t>
            </w:r>
          </w:p>
        </w:tc>
        <w:tc>
          <w:tcPr>
            <w:tcW w:w="818" w:type="pct"/>
            <w:vAlign w:val="center"/>
            <w:hideMark/>
          </w:tcPr>
          <w:p w14:paraId="2E3758D4" w14:textId="77777777" w:rsidR="00854861" w:rsidRPr="00E67914" w:rsidRDefault="00854861" w:rsidP="00EE5D65">
            <w:pPr>
              <w:pStyle w:val="afffffffff7"/>
              <w:spacing w:line="240" w:lineRule="auto"/>
              <w:rPr>
                <w:sz w:val="21"/>
                <w:szCs w:val="21"/>
              </w:rPr>
            </w:pPr>
            <w:r w:rsidRPr="00E67914">
              <w:rPr>
                <w:sz w:val="21"/>
                <w:szCs w:val="21"/>
              </w:rPr>
              <w:t>/</w:t>
            </w:r>
          </w:p>
        </w:tc>
        <w:tc>
          <w:tcPr>
            <w:tcW w:w="829" w:type="pct"/>
            <w:vAlign w:val="center"/>
          </w:tcPr>
          <w:p w14:paraId="1C57821A" w14:textId="77777777" w:rsidR="00854861" w:rsidRPr="00E67914" w:rsidRDefault="00854861" w:rsidP="00EE5D65">
            <w:pPr>
              <w:pStyle w:val="afffffffff7"/>
              <w:spacing w:line="240" w:lineRule="auto"/>
              <w:rPr>
                <w:sz w:val="21"/>
                <w:szCs w:val="21"/>
              </w:rPr>
            </w:pPr>
            <w:r w:rsidRPr="00E67914">
              <w:rPr>
                <w:sz w:val="21"/>
                <w:szCs w:val="21"/>
              </w:rPr>
              <w:t>每次</w:t>
            </w:r>
            <w:r w:rsidRPr="00E67914">
              <w:rPr>
                <w:sz w:val="21"/>
                <w:szCs w:val="21"/>
              </w:rPr>
              <w:t>2~5min</w:t>
            </w:r>
          </w:p>
        </w:tc>
        <w:tc>
          <w:tcPr>
            <w:tcW w:w="451" w:type="pct"/>
            <w:vAlign w:val="center"/>
            <w:hideMark/>
          </w:tcPr>
          <w:p w14:paraId="6426E50D" w14:textId="1F49731B" w:rsidR="00854861" w:rsidRPr="00E67914" w:rsidRDefault="00854861" w:rsidP="00EE5D65">
            <w:pPr>
              <w:pStyle w:val="afffffffff7"/>
              <w:spacing w:line="240" w:lineRule="auto"/>
              <w:rPr>
                <w:sz w:val="21"/>
                <w:szCs w:val="21"/>
              </w:rPr>
            </w:pPr>
            <w:r w:rsidRPr="00E67914">
              <w:rPr>
                <w:sz w:val="21"/>
                <w:szCs w:val="21"/>
              </w:rPr>
              <w:t>6m</w:t>
            </w:r>
          </w:p>
        </w:tc>
        <w:tc>
          <w:tcPr>
            <w:tcW w:w="489" w:type="pct"/>
            <w:vAlign w:val="center"/>
          </w:tcPr>
          <w:p w14:paraId="432E1A1C" w14:textId="77777777" w:rsidR="00854861" w:rsidRPr="00E67914" w:rsidRDefault="00854861" w:rsidP="00EE5D65">
            <w:pPr>
              <w:pStyle w:val="afffffffff7"/>
              <w:spacing w:line="240" w:lineRule="auto"/>
              <w:rPr>
                <w:sz w:val="21"/>
                <w:szCs w:val="21"/>
              </w:rPr>
            </w:pPr>
            <w:r w:rsidRPr="00E67914">
              <w:rPr>
                <w:sz w:val="21"/>
                <w:szCs w:val="21"/>
              </w:rPr>
              <w:t>0.1m</w:t>
            </w:r>
          </w:p>
        </w:tc>
        <w:tc>
          <w:tcPr>
            <w:tcW w:w="485" w:type="pct"/>
            <w:vAlign w:val="center"/>
          </w:tcPr>
          <w:p w14:paraId="5AAC7DB6" w14:textId="77777777" w:rsidR="00854861" w:rsidRPr="00E67914" w:rsidRDefault="00854861" w:rsidP="00EE5D65">
            <w:pPr>
              <w:pStyle w:val="afffffffff7"/>
              <w:spacing w:line="240" w:lineRule="auto"/>
              <w:rPr>
                <w:sz w:val="21"/>
                <w:szCs w:val="21"/>
              </w:rPr>
            </w:pPr>
            <w:r w:rsidRPr="00E67914">
              <w:rPr>
                <w:sz w:val="21"/>
                <w:szCs w:val="21"/>
              </w:rPr>
              <w:t>/</w:t>
            </w:r>
          </w:p>
        </w:tc>
        <w:tc>
          <w:tcPr>
            <w:tcW w:w="691" w:type="pct"/>
            <w:vAlign w:val="center"/>
          </w:tcPr>
          <w:p w14:paraId="265F8B48" w14:textId="77777777" w:rsidR="00854861" w:rsidRPr="00E67914" w:rsidRDefault="00854861" w:rsidP="00EE5D65">
            <w:pPr>
              <w:pStyle w:val="afffffffff7"/>
              <w:spacing w:line="240" w:lineRule="auto"/>
              <w:rPr>
                <w:sz w:val="21"/>
                <w:szCs w:val="21"/>
              </w:rPr>
            </w:pPr>
            <w:r w:rsidRPr="00E67914">
              <w:rPr>
                <w:sz w:val="21"/>
                <w:szCs w:val="21"/>
              </w:rPr>
              <w:t>非正常工况排放</w:t>
            </w:r>
          </w:p>
        </w:tc>
      </w:tr>
    </w:tbl>
    <w:p w14:paraId="0C334D90" w14:textId="660E9667" w:rsidR="00A54A8A" w:rsidRPr="00E67914" w:rsidRDefault="00000000">
      <w:pPr>
        <w:adjustRightInd w:val="0"/>
        <w:snapToGrid w:val="0"/>
        <w:spacing w:line="360" w:lineRule="auto"/>
        <w:ind w:firstLineChars="200" w:firstLine="482"/>
        <w:jc w:val="both"/>
        <w:outlineLvl w:val="3"/>
        <w:rPr>
          <w:rFonts w:ascii="Times New Roman" w:hAnsi="Times New Roman"/>
          <w:b/>
          <w:sz w:val="24"/>
          <w:lang w:eastAsia="zh-CN"/>
        </w:rPr>
      </w:pPr>
      <w:r w:rsidRPr="00E67914">
        <w:rPr>
          <w:rFonts w:ascii="Times New Roman" w:hAnsi="Times New Roman"/>
          <w:b/>
          <w:sz w:val="24"/>
          <w:lang w:eastAsia="zh-CN"/>
        </w:rPr>
        <w:t>3.4.2.2</w:t>
      </w:r>
      <w:r w:rsidRPr="00E67914">
        <w:rPr>
          <w:rFonts w:ascii="Times New Roman" w:hAnsi="Times New Roman"/>
          <w:b/>
          <w:sz w:val="24"/>
          <w:lang w:eastAsia="zh-CN"/>
        </w:rPr>
        <w:t>废水</w:t>
      </w:r>
    </w:p>
    <w:p w14:paraId="27333434" w14:textId="241604CA" w:rsidR="00A54A8A" w:rsidRPr="00E67914" w:rsidRDefault="00000000">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本项目试采期无人值守，因此无生活污水产生，主要废水为</w:t>
      </w:r>
      <w:r w:rsidR="002346F6" w:rsidRPr="00E67914">
        <w:rPr>
          <w:rFonts w:ascii="Times New Roman" w:hAnsi="Times New Roman"/>
          <w:bCs/>
          <w:sz w:val="24"/>
          <w:lang w:eastAsia="zh-CN"/>
        </w:rPr>
        <w:t>气田水</w:t>
      </w:r>
      <w:r w:rsidRPr="00E67914">
        <w:rPr>
          <w:rFonts w:ascii="Times New Roman" w:hAnsi="Times New Roman"/>
          <w:bCs/>
          <w:sz w:val="24"/>
          <w:lang w:eastAsia="zh-CN"/>
        </w:rPr>
        <w:t>与非正常工况井下作业废水。</w:t>
      </w:r>
    </w:p>
    <w:p w14:paraId="72666CC7" w14:textId="7BC27A0B" w:rsidR="00A54A8A" w:rsidRPr="00E67914" w:rsidRDefault="00000000">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1</w:t>
      </w:r>
      <w:r w:rsidRPr="00E67914">
        <w:rPr>
          <w:rFonts w:ascii="Times New Roman" w:hAnsi="Times New Roman"/>
          <w:bCs/>
          <w:sz w:val="24"/>
          <w:lang w:eastAsia="zh-CN"/>
        </w:rPr>
        <w:t>）</w:t>
      </w:r>
      <w:r w:rsidR="002346F6" w:rsidRPr="00E67914">
        <w:rPr>
          <w:rFonts w:ascii="Times New Roman" w:hAnsi="Times New Roman"/>
          <w:bCs/>
          <w:sz w:val="24"/>
          <w:lang w:eastAsia="zh-CN"/>
        </w:rPr>
        <w:t>气田水</w:t>
      </w:r>
    </w:p>
    <w:p w14:paraId="5E680FD8" w14:textId="63D1C1E7" w:rsidR="00A54A8A" w:rsidRPr="00E67914" w:rsidRDefault="003B2A2F">
      <w:pPr>
        <w:spacing w:line="360" w:lineRule="auto"/>
        <w:ind w:firstLineChars="200" w:firstLine="480"/>
        <w:rPr>
          <w:rFonts w:ascii="Times New Roman" w:hAnsi="Times New Roman"/>
          <w:b/>
          <w:bCs/>
          <w:sz w:val="24"/>
          <w:lang w:eastAsia="zh-CN"/>
        </w:rPr>
      </w:pPr>
      <w:r w:rsidRPr="00E67914">
        <w:rPr>
          <w:rFonts w:ascii="Times New Roman" w:hAnsi="Times New Roman"/>
          <w:bCs/>
          <w:sz w:val="24"/>
          <w:lang w:eastAsia="zh-CN"/>
        </w:rPr>
        <w:t>本项目试采期</w:t>
      </w:r>
      <w:r w:rsidRPr="00E67914">
        <w:rPr>
          <w:rFonts w:ascii="Times New Roman" w:hAnsi="Times New Roman"/>
          <w:bCs/>
          <w:sz w:val="24"/>
          <w:lang w:eastAsia="zh-CN"/>
        </w:rPr>
        <w:t>2</w:t>
      </w:r>
      <w:r w:rsidRPr="00E67914">
        <w:rPr>
          <w:rFonts w:ascii="Times New Roman" w:hAnsi="Times New Roman"/>
          <w:bCs/>
          <w:sz w:val="24"/>
          <w:lang w:eastAsia="zh-CN"/>
        </w:rPr>
        <w:t>年，根据可研报告核算，并类比区块同地层多个已建天然气井日产气田水情况，预估本项目</w:t>
      </w:r>
      <w:r w:rsidR="00D86FD3" w:rsidRPr="00E67914">
        <w:rPr>
          <w:rFonts w:ascii="Times New Roman" w:hAnsi="Times New Roman"/>
          <w:bCs/>
          <w:sz w:val="24"/>
          <w:lang w:eastAsia="zh-CN"/>
        </w:rPr>
        <w:t>4</w:t>
      </w:r>
      <w:r w:rsidR="00D86FD3" w:rsidRPr="00E67914">
        <w:rPr>
          <w:rFonts w:ascii="Times New Roman" w:hAnsi="Times New Roman"/>
          <w:bCs/>
          <w:sz w:val="24"/>
          <w:lang w:eastAsia="zh-CN"/>
        </w:rPr>
        <w:t>口井</w:t>
      </w:r>
      <w:r w:rsidRPr="00E67914">
        <w:rPr>
          <w:rFonts w:ascii="Times New Roman" w:hAnsi="Times New Roman"/>
          <w:bCs/>
          <w:sz w:val="24"/>
          <w:lang w:eastAsia="zh-CN"/>
        </w:rPr>
        <w:t>气田水产生量约为</w:t>
      </w:r>
      <w:r w:rsidR="00D86FD3" w:rsidRPr="00E67914">
        <w:rPr>
          <w:rFonts w:ascii="Times New Roman" w:hAnsi="Times New Roman"/>
          <w:bCs/>
          <w:sz w:val="24"/>
          <w:lang w:eastAsia="zh-CN"/>
        </w:rPr>
        <w:t>42.7</w:t>
      </w:r>
      <w:r w:rsidRPr="00E67914">
        <w:rPr>
          <w:rFonts w:ascii="Times New Roman" w:hAnsi="Times New Roman"/>
          <w:bCs/>
          <w:sz w:val="24"/>
          <w:lang w:eastAsia="zh-CN"/>
        </w:rPr>
        <w:t>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/d</w:t>
      </w:r>
      <w:r w:rsidRPr="00E67914">
        <w:rPr>
          <w:rFonts w:ascii="Times New Roman" w:hAnsi="Times New Roman"/>
          <w:bCs/>
          <w:sz w:val="24"/>
          <w:lang w:eastAsia="zh-CN"/>
        </w:rPr>
        <w:t>（试采初期压裂返排液未完全返排，</w:t>
      </w:r>
      <w:r w:rsidR="00D86FD3" w:rsidRPr="00E67914">
        <w:rPr>
          <w:rFonts w:ascii="Times New Roman" w:hAnsi="Times New Roman"/>
          <w:bCs/>
          <w:sz w:val="24"/>
          <w:lang w:eastAsia="zh-CN"/>
        </w:rPr>
        <w:t>单井</w:t>
      </w:r>
      <w:r w:rsidRPr="00E67914">
        <w:rPr>
          <w:rFonts w:ascii="Times New Roman" w:hAnsi="Times New Roman"/>
          <w:bCs/>
          <w:sz w:val="24"/>
          <w:lang w:eastAsia="zh-CN"/>
        </w:rPr>
        <w:t>含压裂返排液的气田水可达</w:t>
      </w:r>
      <w:r w:rsidR="00D86FD3" w:rsidRPr="00E67914">
        <w:rPr>
          <w:rFonts w:ascii="Times New Roman" w:hAnsi="Times New Roman"/>
          <w:bCs/>
          <w:sz w:val="24"/>
          <w:lang w:eastAsia="zh-CN"/>
        </w:rPr>
        <w:t>40</w:t>
      </w:r>
      <w:r w:rsidRPr="00E67914">
        <w:rPr>
          <w:rFonts w:ascii="Times New Roman" w:hAnsi="Times New Roman"/>
          <w:bCs/>
          <w:sz w:val="24"/>
          <w:lang w:eastAsia="zh-CN"/>
        </w:rPr>
        <w:t>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/d</w:t>
      </w:r>
      <w:r w:rsidRPr="00E67914">
        <w:rPr>
          <w:rFonts w:ascii="Times New Roman" w:hAnsi="Times New Roman"/>
          <w:bCs/>
          <w:sz w:val="24"/>
          <w:lang w:eastAsia="zh-CN"/>
        </w:rPr>
        <w:t>，本项目确定为试采初期气田水产生量为</w:t>
      </w:r>
      <w:r w:rsidR="00EE5D65" w:rsidRPr="00E67914">
        <w:rPr>
          <w:rFonts w:ascii="Times New Roman" w:hAnsi="Times New Roman"/>
          <w:bCs/>
          <w:sz w:val="24"/>
          <w:lang w:eastAsia="zh-CN"/>
        </w:rPr>
        <w:t>16</w:t>
      </w:r>
      <w:r w:rsidRPr="00E67914">
        <w:rPr>
          <w:rFonts w:ascii="Times New Roman" w:hAnsi="Times New Roman"/>
          <w:bCs/>
          <w:sz w:val="24"/>
          <w:lang w:eastAsia="zh-CN"/>
        </w:rPr>
        <w:t>0m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/d</w:t>
      </w:r>
      <w:r w:rsidRPr="00E67914">
        <w:rPr>
          <w:rFonts w:ascii="Times New Roman" w:hAnsi="Times New Roman"/>
          <w:bCs/>
          <w:sz w:val="24"/>
          <w:lang w:eastAsia="zh-CN"/>
        </w:rPr>
        <w:t>，此阶段不超过半年）。分离气田水进入</w:t>
      </w:r>
      <w:r w:rsidR="00902A04" w:rsidRPr="00E67914">
        <w:rPr>
          <w:rFonts w:ascii="Times New Roman" w:hAnsi="Times New Roman"/>
          <w:bCs/>
          <w:sz w:val="24"/>
          <w:lang w:eastAsia="zh-CN"/>
        </w:rPr>
        <w:t>普陆页</w:t>
      </w:r>
      <w:r w:rsidR="00902A04" w:rsidRPr="00E67914">
        <w:rPr>
          <w:rFonts w:ascii="Times New Roman" w:hAnsi="Times New Roman"/>
          <w:bCs/>
          <w:sz w:val="24"/>
          <w:lang w:eastAsia="zh-CN"/>
        </w:rPr>
        <w:t>2</w:t>
      </w:r>
      <w:r w:rsidR="00902A04" w:rsidRPr="00E67914">
        <w:rPr>
          <w:rFonts w:ascii="Times New Roman" w:hAnsi="Times New Roman"/>
          <w:bCs/>
          <w:sz w:val="24"/>
          <w:lang w:eastAsia="zh-CN"/>
        </w:rPr>
        <w:t>试采站</w:t>
      </w:r>
      <w:r w:rsidRPr="00E67914">
        <w:rPr>
          <w:rFonts w:ascii="Times New Roman" w:hAnsi="Times New Roman"/>
          <w:bCs/>
          <w:sz w:val="24"/>
          <w:lang w:eastAsia="zh-CN"/>
        </w:rPr>
        <w:t>的</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暂存（初期水量较大时可依托污水池暂存），暂存一定量后用密闭罐车拉运至赵家坝污水处理站处理达到《气田水回注方法》（</w:t>
      </w:r>
      <w:r w:rsidRPr="00E67914">
        <w:rPr>
          <w:rFonts w:ascii="Times New Roman" w:hAnsi="Times New Roman"/>
          <w:bCs/>
          <w:sz w:val="24"/>
          <w:lang w:eastAsia="zh-CN"/>
        </w:rPr>
        <w:t>SY/T6596-2016</w:t>
      </w:r>
      <w:r w:rsidRPr="00E67914">
        <w:rPr>
          <w:rFonts w:ascii="Times New Roman" w:hAnsi="Times New Roman"/>
          <w:bCs/>
          <w:sz w:val="24"/>
          <w:lang w:eastAsia="zh-CN"/>
        </w:rPr>
        <w:t>）中注入水基本要求后管输至普光</w:t>
      </w:r>
      <w:r w:rsidRPr="00E67914">
        <w:rPr>
          <w:rFonts w:ascii="Times New Roman" w:hAnsi="Times New Roman"/>
          <w:bCs/>
          <w:sz w:val="24"/>
          <w:lang w:eastAsia="zh-CN"/>
        </w:rPr>
        <w:t>11</w:t>
      </w:r>
      <w:r w:rsidRPr="00E67914">
        <w:rPr>
          <w:rFonts w:ascii="Times New Roman" w:hAnsi="Times New Roman"/>
          <w:bCs/>
          <w:sz w:val="24"/>
          <w:lang w:eastAsia="zh-CN"/>
        </w:rPr>
        <w:t>井回注站回注处理，不外排。气田水水质情况参照</w:t>
      </w:r>
      <w:r w:rsidRPr="00E67914">
        <w:rPr>
          <w:rFonts w:ascii="Times New Roman" w:hAnsi="Times New Roman"/>
          <w:bCs/>
          <w:sz w:val="24"/>
          <w:lang w:eastAsia="zh-CN"/>
        </w:rPr>
        <w:t>2021</w:t>
      </w:r>
      <w:r w:rsidRPr="00E67914">
        <w:rPr>
          <w:rFonts w:ascii="Times New Roman" w:hAnsi="Times New Roman"/>
          <w:bCs/>
          <w:sz w:val="24"/>
          <w:lang w:eastAsia="zh-CN"/>
        </w:rPr>
        <w:t>年</w:t>
      </w:r>
      <w:r w:rsidRPr="00E67914">
        <w:rPr>
          <w:rFonts w:ascii="Times New Roman" w:hAnsi="Times New Roman"/>
          <w:bCs/>
          <w:sz w:val="24"/>
          <w:lang w:eastAsia="zh-CN"/>
        </w:rPr>
        <w:t>12</w:t>
      </w:r>
      <w:r w:rsidRPr="00E67914">
        <w:rPr>
          <w:rFonts w:ascii="Times New Roman" w:hAnsi="Times New Roman"/>
          <w:bCs/>
          <w:sz w:val="24"/>
          <w:lang w:eastAsia="zh-CN"/>
        </w:rPr>
        <w:t>月</w:t>
      </w:r>
      <w:r w:rsidRPr="00E67914">
        <w:rPr>
          <w:rFonts w:ascii="Times New Roman" w:hAnsi="Times New Roman"/>
          <w:bCs/>
          <w:sz w:val="24"/>
          <w:lang w:eastAsia="zh-CN"/>
        </w:rPr>
        <w:t>31</w:t>
      </w:r>
      <w:r w:rsidRPr="00E67914">
        <w:rPr>
          <w:rFonts w:ascii="Times New Roman" w:hAnsi="Times New Roman"/>
          <w:bCs/>
          <w:sz w:val="24"/>
          <w:lang w:eastAsia="zh-CN"/>
        </w:rPr>
        <w:t>日</w:t>
      </w:r>
      <w:r w:rsidRPr="00E67914">
        <w:rPr>
          <w:rFonts w:ascii="Times New Roman" w:hAnsi="Times New Roman"/>
          <w:bCs/>
          <w:sz w:val="24"/>
          <w:lang w:eastAsia="zh-CN"/>
        </w:rPr>
        <w:t>D403</w:t>
      </w:r>
      <w:r w:rsidRPr="00E67914">
        <w:rPr>
          <w:rFonts w:ascii="Times New Roman" w:hAnsi="Times New Roman"/>
          <w:sz w:val="24"/>
          <w:lang w:eastAsia="zh-CN"/>
        </w:rPr>
        <w:t>集气站</w:t>
      </w:r>
      <w:r w:rsidRPr="00E67914">
        <w:rPr>
          <w:rFonts w:ascii="Times New Roman" w:hAnsi="Times New Roman"/>
          <w:bCs/>
          <w:sz w:val="24"/>
          <w:lang w:eastAsia="zh-CN"/>
        </w:rPr>
        <w:t>外输污水管道监测数据，详见下表。</w:t>
      </w:r>
    </w:p>
    <w:p w14:paraId="5934AD8E" w14:textId="5BD78D40"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3.4-1</w:t>
      </w:r>
      <w:r w:rsidR="008752B7" w:rsidRPr="00E67914">
        <w:rPr>
          <w:rFonts w:ascii="Times New Roman" w:eastAsia="黑体" w:hAnsi="Times New Roman"/>
          <w:sz w:val="21"/>
          <w:szCs w:val="21"/>
          <w:lang w:eastAsia="zh-CN"/>
        </w:rPr>
        <w:t>5</w:t>
      </w:r>
      <w:r w:rsidRPr="00E67914">
        <w:rPr>
          <w:rFonts w:ascii="Times New Roman" w:eastAsia="黑体" w:hAnsi="Times New Roman"/>
          <w:sz w:val="21"/>
          <w:szCs w:val="21"/>
          <w:lang w:eastAsia="zh-CN"/>
        </w:rPr>
        <w:t xml:space="preserve">  </w:t>
      </w:r>
      <w:r w:rsidR="002346F6" w:rsidRPr="00E67914">
        <w:rPr>
          <w:rFonts w:ascii="Times New Roman" w:eastAsia="黑体" w:hAnsi="Times New Roman"/>
          <w:sz w:val="21"/>
          <w:szCs w:val="21"/>
          <w:lang w:eastAsia="zh-CN"/>
        </w:rPr>
        <w:t>气田水</w:t>
      </w:r>
      <w:r w:rsidRPr="00E67914">
        <w:rPr>
          <w:rFonts w:ascii="Times New Roman" w:eastAsia="黑体" w:hAnsi="Times New Roman"/>
          <w:sz w:val="21"/>
          <w:szCs w:val="21"/>
          <w:lang w:eastAsia="zh-CN"/>
        </w:rPr>
        <w:t>水质一览表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29"/>
        <w:gridCol w:w="698"/>
        <w:gridCol w:w="822"/>
        <w:gridCol w:w="704"/>
        <w:gridCol w:w="704"/>
        <w:gridCol w:w="1291"/>
        <w:gridCol w:w="958"/>
        <w:gridCol w:w="1067"/>
        <w:gridCol w:w="1227"/>
      </w:tblGrid>
      <w:tr w:rsidR="00E67914" w:rsidRPr="00E67914" w14:paraId="2CA83FB5" w14:textId="77777777">
        <w:trPr>
          <w:trHeight w:val="208"/>
          <w:jc w:val="center"/>
        </w:trPr>
        <w:tc>
          <w:tcPr>
            <w:tcW w:w="499" w:type="pct"/>
            <w:shd w:val="clear" w:color="auto" w:fill="FFFFFF"/>
            <w:tcMar>
              <w:top w:w="15" w:type="dxa"/>
              <w:left w:w="46" w:type="dxa"/>
              <w:bottom w:w="0" w:type="dxa"/>
              <w:right w:w="46" w:type="dxa"/>
            </w:tcMar>
            <w:vAlign w:val="center"/>
          </w:tcPr>
          <w:p w14:paraId="54F3037E" w14:textId="77777777" w:rsidR="00A54A8A" w:rsidRPr="00E67914" w:rsidRDefault="00000000">
            <w:pPr>
              <w:pStyle w:val="affffff"/>
              <w:rPr>
                <w:b/>
                <w:bCs/>
              </w:rPr>
            </w:pPr>
            <w:r w:rsidRPr="00E67914">
              <w:rPr>
                <w:b/>
                <w:bCs/>
              </w:rPr>
              <w:t>项目</w:t>
            </w:r>
          </w:p>
        </w:tc>
        <w:tc>
          <w:tcPr>
            <w:tcW w:w="420" w:type="pct"/>
            <w:shd w:val="clear" w:color="auto" w:fill="FFFFFF"/>
            <w:tcMar>
              <w:top w:w="15" w:type="dxa"/>
              <w:left w:w="46" w:type="dxa"/>
              <w:bottom w:w="0" w:type="dxa"/>
              <w:right w:w="46" w:type="dxa"/>
            </w:tcMar>
            <w:vAlign w:val="center"/>
          </w:tcPr>
          <w:p w14:paraId="09D9C9A0" w14:textId="77777777" w:rsidR="00A54A8A" w:rsidRPr="00E67914" w:rsidRDefault="00000000">
            <w:pPr>
              <w:pStyle w:val="affffff"/>
              <w:rPr>
                <w:b/>
                <w:bCs/>
              </w:rPr>
            </w:pPr>
            <w:r w:rsidRPr="00E67914">
              <w:rPr>
                <w:b/>
                <w:bCs/>
              </w:rPr>
              <w:t>pH</w:t>
            </w:r>
            <w:r w:rsidRPr="00E67914">
              <w:rPr>
                <w:b/>
                <w:bCs/>
              </w:rPr>
              <w:t>值</w:t>
            </w:r>
          </w:p>
        </w:tc>
        <w:tc>
          <w:tcPr>
            <w:tcW w:w="495" w:type="pct"/>
            <w:shd w:val="clear" w:color="auto" w:fill="FFFFFF"/>
            <w:vAlign w:val="center"/>
          </w:tcPr>
          <w:p w14:paraId="0318B23B" w14:textId="77777777" w:rsidR="00A54A8A" w:rsidRPr="00E67914" w:rsidRDefault="00000000">
            <w:pPr>
              <w:pStyle w:val="affffff"/>
              <w:rPr>
                <w:b/>
                <w:bCs/>
              </w:rPr>
            </w:pPr>
            <w:r w:rsidRPr="00E67914">
              <w:rPr>
                <w:b/>
                <w:bCs/>
              </w:rPr>
              <w:t>溶解氧</w:t>
            </w:r>
          </w:p>
        </w:tc>
        <w:tc>
          <w:tcPr>
            <w:tcW w:w="424" w:type="pct"/>
            <w:shd w:val="clear" w:color="auto" w:fill="FFFFFF"/>
            <w:vAlign w:val="center"/>
          </w:tcPr>
          <w:p w14:paraId="657A3043" w14:textId="77777777" w:rsidR="00A54A8A" w:rsidRPr="00E67914" w:rsidRDefault="00000000">
            <w:pPr>
              <w:pStyle w:val="affffff"/>
              <w:rPr>
                <w:b/>
                <w:bCs/>
              </w:rPr>
            </w:pPr>
            <w:r w:rsidRPr="00E67914">
              <w:rPr>
                <w:b/>
                <w:bCs/>
              </w:rPr>
              <w:t>硫化物</w:t>
            </w:r>
          </w:p>
        </w:tc>
        <w:tc>
          <w:tcPr>
            <w:tcW w:w="424" w:type="pct"/>
            <w:shd w:val="clear" w:color="auto" w:fill="FFFFFF"/>
            <w:tcMar>
              <w:top w:w="15" w:type="dxa"/>
              <w:left w:w="46" w:type="dxa"/>
              <w:bottom w:w="0" w:type="dxa"/>
              <w:right w:w="46" w:type="dxa"/>
            </w:tcMar>
            <w:vAlign w:val="center"/>
          </w:tcPr>
          <w:p w14:paraId="1B9A6857" w14:textId="77777777" w:rsidR="00A54A8A" w:rsidRPr="00E67914" w:rsidRDefault="00000000">
            <w:pPr>
              <w:pStyle w:val="affffff"/>
              <w:rPr>
                <w:b/>
                <w:bCs/>
              </w:rPr>
            </w:pPr>
            <w:r w:rsidRPr="00E67914">
              <w:rPr>
                <w:b/>
                <w:bCs/>
              </w:rPr>
              <w:t>含油量</w:t>
            </w:r>
          </w:p>
        </w:tc>
        <w:tc>
          <w:tcPr>
            <w:tcW w:w="778" w:type="pct"/>
            <w:shd w:val="clear" w:color="auto" w:fill="FFFFFF"/>
            <w:tcMar>
              <w:top w:w="15" w:type="dxa"/>
              <w:left w:w="46" w:type="dxa"/>
              <w:bottom w:w="0" w:type="dxa"/>
              <w:right w:w="46" w:type="dxa"/>
            </w:tcMar>
            <w:vAlign w:val="center"/>
          </w:tcPr>
          <w:p w14:paraId="0DA18E9A" w14:textId="77777777" w:rsidR="00A54A8A" w:rsidRPr="00E67914" w:rsidRDefault="00000000">
            <w:pPr>
              <w:pStyle w:val="affffff"/>
              <w:rPr>
                <w:b/>
                <w:bCs/>
              </w:rPr>
            </w:pPr>
            <w:r w:rsidRPr="00E67914">
              <w:rPr>
                <w:b/>
                <w:bCs/>
              </w:rPr>
              <w:t>悬浮固体含量</w:t>
            </w:r>
          </w:p>
        </w:tc>
        <w:tc>
          <w:tcPr>
            <w:tcW w:w="577" w:type="pct"/>
            <w:shd w:val="clear" w:color="auto" w:fill="FFFFFF"/>
            <w:tcMar>
              <w:top w:w="15" w:type="dxa"/>
              <w:left w:w="46" w:type="dxa"/>
              <w:bottom w:w="0" w:type="dxa"/>
              <w:right w:w="46" w:type="dxa"/>
            </w:tcMar>
            <w:vAlign w:val="center"/>
          </w:tcPr>
          <w:p w14:paraId="09E857E1" w14:textId="77777777" w:rsidR="00A54A8A" w:rsidRPr="00E67914" w:rsidRDefault="00000000">
            <w:pPr>
              <w:pStyle w:val="affffff"/>
              <w:rPr>
                <w:b/>
                <w:bCs/>
              </w:rPr>
            </w:pPr>
            <w:r w:rsidRPr="00E67914">
              <w:rPr>
                <w:b/>
                <w:bCs/>
              </w:rPr>
              <w:t>二价铁含量</w:t>
            </w:r>
          </w:p>
        </w:tc>
        <w:tc>
          <w:tcPr>
            <w:tcW w:w="643" w:type="pct"/>
            <w:shd w:val="clear" w:color="auto" w:fill="FFFFFF"/>
            <w:vAlign w:val="center"/>
          </w:tcPr>
          <w:p w14:paraId="3180137A" w14:textId="77777777" w:rsidR="00A54A8A" w:rsidRPr="00E67914" w:rsidRDefault="00000000">
            <w:pPr>
              <w:pStyle w:val="affffff"/>
              <w:rPr>
                <w:b/>
                <w:bCs/>
              </w:rPr>
            </w:pPr>
            <w:r w:rsidRPr="00E67914">
              <w:rPr>
                <w:b/>
                <w:bCs/>
              </w:rPr>
              <w:t>总铁含量</w:t>
            </w:r>
          </w:p>
        </w:tc>
        <w:tc>
          <w:tcPr>
            <w:tcW w:w="739" w:type="pct"/>
            <w:shd w:val="clear" w:color="auto" w:fill="FFFFFF"/>
          </w:tcPr>
          <w:p w14:paraId="197806C4" w14:textId="77777777" w:rsidR="00A54A8A" w:rsidRPr="00E67914" w:rsidRDefault="00000000">
            <w:pPr>
              <w:pStyle w:val="affffff"/>
              <w:rPr>
                <w:b/>
                <w:bCs/>
              </w:rPr>
            </w:pPr>
            <w:r w:rsidRPr="00E67914">
              <w:rPr>
                <w:b/>
                <w:bCs/>
              </w:rPr>
              <w:t>悬浮物颗粒直径中值</w:t>
            </w:r>
          </w:p>
        </w:tc>
      </w:tr>
      <w:tr w:rsidR="00E67914" w:rsidRPr="00E67914" w14:paraId="3F8BFCF0" w14:textId="77777777">
        <w:trPr>
          <w:trHeight w:val="164"/>
          <w:jc w:val="center"/>
        </w:trPr>
        <w:tc>
          <w:tcPr>
            <w:tcW w:w="499" w:type="pct"/>
            <w:shd w:val="clear" w:color="auto" w:fill="FFFFFF"/>
            <w:tcMar>
              <w:top w:w="15" w:type="dxa"/>
              <w:left w:w="46" w:type="dxa"/>
              <w:bottom w:w="0" w:type="dxa"/>
              <w:right w:w="46" w:type="dxa"/>
            </w:tcMar>
            <w:vAlign w:val="center"/>
          </w:tcPr>
          <w:p w14:paraId="4DA0C690" w14:textId="77777777" w:rsidR="00A54A8A" w:rsidRPr="00E67914" w:rsidRDefault="00000000">
            <w:pPr>
              <w:pStyle w:val="affffff"/>
              <w:rPr>
                <w:bCs/>
              </w:rPr>
            </w:pPr>
            <w:r w:rsidRPr="00E67914">
              <w:rPr>
                <w:bCs/>
              </w:rPr>
              <w:t>浓度</w:t>
            </w:r>
          </w:p>
        </w:tc>
        <w:tc>
          <w:tcPr>
            <w:tcW w:w="420" w:type="pct"/>
            <w:shd w:val="clear" w:color="auto" w:fill="FFFFFF"/>
            <w:tcMar>
              <w:top w:w="15" w:type="dxa"/>
              <w:left w:w="15" w:type="dxa"/>
              <w:bottom w:w="0" w:type="dxa"/>
              <w:right w:w="15" w:type="dxa"/>
            </w:tcMar>
            <w:vAlign w:val="center"/>
          </w:tcPr>
          <w:p w14:paraId="2BEE6AEA" w14:textId="77777777" w:rsidR="00A54A8A" w:rsidRPr="00E67914" w:rsidRDefault="00000000">
            <w:pPr>
              <w:pStyle w:val="affffff"/>
              <w:rPr>
                <w:bCs/>
              </w:rPr>
            </w:pPr>
            <w:r w:rsidRPr="00E67914">
              <w:rPr>
                <w:bCs/>
              </w:rPr>
              <w:t>7.0</w:t>
            </w:r>
          </w:p>
        </w:tc>
        <w:tc>
          <w:tcPr>
            <w:tcW w:w="495" w:type="pct"/>
            <w:shd w:val="clear" w:color="auto" w:fill="FFFFFF"/>
            <w:vAlign w:val="center"/>
          </w:tcPr>
          <w:p w14:paraId="74885C5C" w14:textId="77777777" w:rsidR="00A54A8A" w:rsidRPr="00E67914" w:rsidRDefault="00000000">
            <w:pPr>
              <w:pStyle w:val="affffff"/>
              <w:rPr>
                <w:bCs/>
              </w:rPr>
            </w:pPr>
            <w:r w:rsidRPr="00E67914">
              <w:rPr>
                <w:bCs/>
              </w:rPr>
              <w:t>0.20</w:t>
            </w:r>
          </w:p>
        </w:tc>
        <w:tc>
          <w:tcPr>
            <w:tcW w:w="424" w:type="pct"/>
            <w:shd w:val="clear" w:color="auto" w:fill="FFFFFF"/>
            <w:vAlign w:val="center"/>
          </w:tcPr>
          <w:p w14:paraId="2E4C2EF5" w14:textId="77777777" w:rsidR="00A54A8A" w:rsidRPr="00E67914" w:rsidRDefault="00000000">
            <w:pPr>
              <w:pStyle w:val="affffff"/>
              <w:rPr>
                <w:bCs/>
              </w:rPr>
            </w:pPr>
            <w:r w:rsidRPr="00E67914">
              <w:rPr>
                <w:bCs/>
              </w:rPr>
              <w:t>0.0</w:t>
            </w:r>
          </w:p>
        </w:tc>
        <w:tc>
          <w:tcPr>
            <w:tcW w:w="424" w:type="pct"/>
            <w:shd w:val="clear" w:color="auto" w:fill="FFFFFF"/>
            <w:tcMar>
              <w:top w:w="15" w:type="dxa"/>
              <w:left w:w="46" w:type="dxa"/>
              <w:bottom w:w="0" w:type="dxa"/>
              <w:right w:w="46" w:type="dxa"/>
            </w:tcMar>
            <w:vAlign w:val="center"/>
          </w:tcPr>
          <w:p w14:paraId="3BB23875" w14:textId="77777777" w:rsidR="00A54A8A" w:rsidRPr="00E67914" w:rsidRDefault="00000000">
            <w:pPr>
              <w:pStyle w:val="affffff"/>
              <w:rPr>
                <w:bCs/>
              </w:rPr>
            </w:pPr>
            <w:r w:rsidRPr="00E67914">
              <w:rPr>
                <w:bCs/>
              </w:rPr>
              <w:t>2.3</w:t>
            </w:r>
          </w:p>
        </w:tc>
        <w:tc>
          <w:tcPr>
            <w:tcW w:w="778" w:type="pct"/>
            <w:shd w:val="clear" w:color="auto" w:fill="FFFFFF"/>
            <w:tcMar>
              <w:top w:w="15" w:type="dxa"/>
              <w:left w:w="46" w:type="dxa"/>
              <w:bottom w:w="0" w:type="dxa"/>
              <w:right w:w="46" w:type="dxa"/>
            </w:tcMar>
            <w:vAlign w:val="center"/>
          </w:tcPr>
          <w:p w14:paraId="3F2CB6F9" w14:textId="77777777" w:rsidR="00A54A8A" w:rsidRPr="00E67914" w:rsidRDefault="00000000">
            <w:pPr>
              <w:pStyle w:val="affffff"/>
              <w:rPr>
                <w:bCs/>
              </w:rPr>
            </w:pPr>
            <w:r w:rsidRPr="00E67914">
              <w:rPr>
                <w:bCs/>
              </w:rPr>
              <w:t>1.0</w:t>
            </w:r>
          </w:p>
        </w:tc>
        <w:tc>
          <w:tcPr>
            <w:tcW w:w="577" w:type="pct"/>
            <w:shd w:val="clear" w:color="auto" w:fill="FFFFFF"/>
            <w:tcMar>
              <w:top w:w="15" w:type="dxa"/>
              <w:left w:w="46" w:type="dxa"/>
              <w:bottom w:w="0" w:type="dxa"/>
              <w:right w:w="46" w:type="dxa"/>
            </w:tcMar>
            <w:vAlign w:val="center"/>
          </w:tcPr>
          <w:p w14:paraId="31743976" w14:textId="77777777" w:rsidR="00A54A8A" w:rsidRPr="00E67914" w:rsidRDefault="00000000">
            <w:pPr>
              <w:pStyle w:val="affffff"/>
              <w:rPr>
                <w:bCs/>
              </w:rPr>
            </w:pPr>
            <w:r w:rsidRPr="00E67914">
              <w:rPr>
                <w:bCs/>
              </w:rPr>
              <w:t>/</w:t>
            </w:r>
          </w:p>
        </w:tc>
        <w:tc>
          <w:tcPr>
            <w:tcW w:w="643" w:type="pct"/>
            <w:shd w:val="clear" w:color="auto" w:fill="FFFFFF"/>
            <w:vAlign w:val="center"/>
          </w:tcPr>
          <w:p w14:paraId="52CD36E3" w14:textId="77777777" w:rsidR="00A54A8A" w:rsidRPr="00E67914" w:rsidRDefault="00000000">
            <w:pPr>
              <w:pStyle w:val="affffff"/>
              <w:rPr>
                <w:bCs/>
              </w:rPr>
            </w:pPr>
            <w:r w:rsidRPr="00E67914">
              <w:rPr>
                <w:bCs/>
              </w:rPr>
              <w:t>/</w:t>
            </w:r>
          </w:p>
        </w:tc>
        <w:tc>
          <w:tcPr>
            <w:tcW w:w="739" w:type="pct"/>
            <w:shd w:val="clear" w:color="auto" w:fill="FFFFFF"/>
            <w:vAlign w:val="center"/>
          </w:tcPr>
          <w:p w14:paraId="25BF8632" w14:textId="77777777" w:rsidR="00A54A8A" w:rsidRPr="00E67914" w:rsidRDefault="00000000">
            <w:pPr>
              <w:pStyle w:val="affffff"/>
              <w:rPr>
                <w:bCs/>
              </w:rPr>
            </w:pPr>
            <w:r w:rsidRPr="00E67914">
              <w:rPr>
                <w:bCs/>
              </w:rPr>
              <w:t>1.6</w:t>
            </w:r>
          </w:p>
        </w:tc>
      </w:tr>
    </w:tbl>
    <w:p w14:paraId="787355AE" w14:textId="77777777" w:rsidR="00A54A8A" w:rsidRPr="00E67914" w:rsidRDefault="00000000">
      <w:pPr>
        <w:autoSpaceDE w:val="0"/>
        <w:autoSpaceDN w:val="0"/>
        <w:spacing w:line="360" w:lineRule="auto"/>
        <w:ind w:firstLineChars="200" w:firstLine="480"/>
        <w:textAlignment w:val="baseline"/>
        <w:rPr>
          <w:rFonts w:ascii="Times New Roman" w:hAnsi="Times New Roman"/>
          <w:bCs/>
          <w:sz w:val="24"/>
          <w:lang w:eastAsia="zh-CN"/>
        </w:rPr>
      </w:pPr>
      <w:r w:rsidRPr="00E67914">
        <w:rPr>
          <w:rFonts w:ascii="Times New Roman" w:hAnsi="Times New Roman"/>
          <w:bCs/>
          <w:sz w:val="24"/>
          <w:lang w:eastAsia="zh-CN"/>
        </w:rPr>
        <w:t>2</w:t>
      </w:r>
      <w:r w:rsidRPr="00E67914">
        <w:rPr>
          <w:rFonts w:ascii="Times New Roman" w:hAnsi="Times New Roman"/>
          <w:bCs/>
          <w:sz w:val="24"/>
          <w:lang w:eastAsia="zh-CN"/>
        </w:rPr>
        <w:t>）非正常工况井下作业废水</w:t>
      </w:r>
    </w:p>
    <w:p w14:paraId="7BAAF3E3" w14:textId="142340C3" w:rsidR="00A54A8A" w:rsidRPr="00E67914" w:rsidRDefault="00000000">
      <w:pPr>
        <w:autoSpaceDE w:val="0"/>
        <w:autoSpaceDN w:val="0"/>
        <w:spacing w:line="360" w:lineRule="auto"/>
        <w:ind w:firstLineChars="200" w:firstLine="480"/>
        <w:textAlignment w:val="baseline"/>
        <w:rPr>
          <w:rFonts w:ascii="Times New Roman" w:hAnsi="Times New Roman"/>
          <w:bCs/>
          <w:sz w:val="24"/>
          <w:lang w:eastAsia="zh-CN"/>
        </w:rPr>
      </w:pPr>
      <w:r w:rsidRPr="00E67914">
        <w:rPr>
          <w:rFonts w:ascii="Times New Roman" w:hAnsi="Times New Roman"/>
          <w:bCs/>
          <w:sz w:val="24"/>
          <w:lang w:eastAsia="zh-CN"/>
        </w:rPr>
        <w:t>正常试采期，当地层堵塞时，为提高地层渗透率，需进行压裂酸化等作业，属于试采期非正常工况。根据类比调查，作业频次为</w:t>
      </w:r>
      <w:r w:rsidRPr="00E67914">
        <w:rPr>
          <w:rFonts w:ascii="Times New Roman" w:hAnsi="Times New Roman"/>
          <w:bCs/>
          <w:sz w:val="24"/>
          <w:lang w:eastAsia="zh-CN"/>
        </w:rPr>
        <w:t>1</w:t>
      </w:r>
      <w:r w:rsidRPr="00E67914">
        <w:rPr>
          <w:rFonts w:ascii="Times New Roman" w:hAnsi="Times New Roman"/>
          <w:bCs/>
          <w:sz w:val="24"/>
          <w:lang w:eastAsia="zh-CN"/>
        </w:rPr>
        <w:t>次</w:t>
      </w:r>
      <w:r w:rsidRPr="00E67914">
        <w:rPr>
          <w:rFonts w:ascii="Times New Roman" w:hAnsi="Times New Roman"/>
          <w:bCs/>
          <w:sz w:val="24"/>
          <w:lang w:eastAsia="zh-CN"/>
        </w:rPr>
        <w:t>/a</w:t>
      </w:r>
      <w:r w:rsidRPr="00E67914">
        <w:rPr>
          <w:rFonts w:ascii="Times New Roman" w:hAnsi="Times New Roman"/>
          <w:bCs/>
          <w:sz w:val="24"/>
          <w:lang w:eastAsia="zh-CN"/>
        </w:rPr>
        <w:t>，单井排放量为</w:t>
      </w:r>
      <w:r w:rsidRPr="00E67914">
        <w:rPr>
          <w:rFonts w:ascii="Times New Roman" w:hAnsi="Times New Roman"/>
          <w:bCs/>
          <w:sz w:val="24"/>
          <w:lang w:eastAsia="zh-CN"/>
        </w:rPr>
        <w:t>50m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/a</w:t>
      </w:r>
      <w:r w:rsidR="00D86FD3" w:rsidRPr="00E67914">
        <w:rPr>
          <w:rFonts w:ascii="Times New Roman" w:hAnsi="Times New Roman"/>
          <w:bCs/>
          <w:sz w:val="24"/>
          <w:lang w:eastAsia="zh-CN"/>
        </w:rPr>
        <w:t>，则本项目排放量为</w:t>
      </w:r>
      <w:r w:rsidR="00D86FD3" w:rsidRPr="00E67914">
        <w:rPr>
          <w:rFonts w:ascii="Times New Roman" w:hAnsi="Times New Roman"/>
          <w:bCs/>
          <w:sz w:val="24"/>
          <w:lang w:eastAsia="zh-CN"/>
        </w:rPr>
        <w:t>200m</w:t>
      </w:r>
      <w:r w:rsidR="00D86FD3" w:rsidRPr="00E67914">
        <w:rPr>
          <w:rFonts w:ascii="Times New Roman" w:hAnsi="Times New Roman"/>
          <w:bCs/>
          <w:sz w:val="24"/>
          <w:vertAlign w:val="superscript"/>
          <w:lang w:eastAsia="zh-CN"/>
        </w:rPr>
        <w:t>3</w:t>
      </w:r>
      <w:r w:rsidR="00D86FD3" w:rsidRPr="00E67914">
        <w:rPr>
          <w:rFonts w:ascii="Times New Roman" w:hAnsi="Times New Roman"/>
          <w:bCs/>
          <w:sz w:val="24"/>
          <w:lang w:eastAsia="zh-CN"/>
        </w:rPr>
        <w:t>/a</w:t>
      </w:r>
      <w:r w:rsidRPr="00E67914">
        <w:rPr>
          <w:rFonts w:ascii="Times New Roman" w:hAnsi="Times New Roman"/>
          <w:bCs/>
          <w:sz w:val="24"/>
          <w:lang w:eastAsia="zh-CN"/>
        </w:rPr>
        <w:t>，将废水用密闭罐车拉运至赵家坝污水处理站处理达标后经普光</w:t>
      </w:r>
      <w:r w:rsidRPr="00E67914">
        <w:rPr>
          <w:rFonts w:ascii="Times New Roman" w:hAnsi="Times New Roman"/>
          <w:bCs/>
          <w:sz w:val="24"/>
          <w:lang w:eastAsia="zh-CN"/>
        </w:rPr>
        <w:t>11</w:t>
      </w:r>
      <w:r w:rsidRPr="00E67914">
        <w:rPr>
          <w:rFonts w:ascii="Times New Roman" w:hAnsi="Times New Roman"/>
          <w:bCs/>
          <w:sz w:val="24"/>
          <w:lang w:eastAsia="zh-CN"/>
        </w:rPr>
        <w:t>井回注站回注。</w:t>
      </w:r>
    </w:p>
    <w:p w14:paraId="685B3915" w14:textId="77777777" w:rsidR="00A54A8A" w:rsidRPr="00E67914" w:rsidRDefault="00000000">
      <w:pPr>
        <w:autoSpaceDE w:val="0"/>
        <w:autoSpaceDN w:val="0"/>
        <w:spacing w:line="360" w:lineRule="auto"/>
        <w:ind w:firstLineChars="200" w:firstLine="480"/>
        <w:textAlignment w:val="baseline"/>
        <w:rPr>
          <w:rFonts w:ascii="Times New Roman" w:hAnsi="Times New Roman"/>
          <w:bCs/>
          <w:sz w:val="24"/>
          <w:lang w:eastAsia="zh-CN"/>
        </w:rPr>
      </w:pPr>
      <w:r w:rsidRPr="00E67914">
        <w:rPr>
          <w:rFonts w:ascii="Times New Roman" w:hAnsi="Times New Roman"/>
          <w:bCs/>
          <w:sz w:val="24"/>
          <w:lang w:eastAsia="zh-CN"/>
        </w:rPr>
        <w:t>3</w:t>
      </w:r>
      <w:r w:rsidRPr="00E67914">
        <w:rPr>
          <w:rFonts w:ascii="Times New Roman" w:hAnsi="Times New Roman"/>
          <w:bCs/>
          <w:sz w:val="24"/>
          <w:lang w:eastAsia="zh-CN"/>
        </w:rPr>
        <w:t>）生活污水</w:t>
      </w:r>
    </w:p>
    <w:p w14:paraId="0EA9D0F2" w14:textId="24BD6E81" w:rsidR="00A54A8A" w:rsidRPr="00E67914" w:rsidRDefault="00000000">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本项目</w:t>
      </w:r>
      <w:r w:rsidR="0030073C" w:rsidRPr="00E67914">
        <w:rPr>
          <w:rFonts w:ascii="Times New Roman" w:hAnsi="Times New Roman"/>
          <w:bCs/>
          <w:sz w:val="24"/>
          <w:lang w:eastAsia="zh-CN"/>
        </w:rPr>
        <w:t>试采</w:t>
      </w:r>
      <w:r w:rsidRPr="00E67914">
        <w:rPr>
          <w:rFonts w:ascii="Times New Roman" w:hAnsi="Times New Roman"/>
          <w:bCs/>
          <w:sz w:val="24"/>
          <w:lang w:eastAsia="zh-CN"/>
        </w:rPr>
        <w:t>期无人值守，无生活污水产生。</w:t>
      </w:r>
    </w:p>
    <w:p w14:paraId="23C18020"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sz w:val="24"/>
          <w:lang w:eastAsia="zh-CN"/>
        </w:rPr>
      </w:pPr>
      <w:r w:rsidRPr="00E67914">
        <w:rPr>
          <w:rFonts w:ascii="Times New Roman" w:hAnsi="Times New Roman"/>
          <w:b/>
          <w:sz w:val="24"/>
          <w:lang w:eastAsia="zh-CN"/>
        </w:rPr>
        <w:t>3.4.2.3</w:t>
      </w:r>
      <w:r w:rsidRPr="00E67914">
        <w:rPr>
          <w:rFonts w:ascii="Times New Roman" w:hAnsi="Times New Roman"/>
          <w:b/>
          <w:sz w:val="24"/>
          <w:lang w:eastAsia="zh-CN"/>
        </w:rPr>
        <w:t>噪声</w:t>
      </w:r>
    </w:p>
    <w:p w14:paraId="515D058B" w14:textId="5065856F"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本项目试采站噪声主要来自水套加热炉、分离器等设备的气流摩擦噪声，气流摩擦噪声大小与天然气产量及气质组分有关。通过大量钻井项目的试采期气流噪声源类比调查结果，预计本项目试采期单井噪声级约</w:t>
      </w:r>
      <w:r w:rsidRPr="00E67914">
        <w:rPr>
          <w:rFonts w:ascii="Times New Roman" w:hAnsi="Times New Roman"/>
          <w:bCs/>
          <w:sz w:val="24"/>
          <w:lang w:eastAsia="zh-CN"/>
        </w:rPr>
        <w:t>60dB</w:t>
      </w:r>
      <w:r w:rsidRPr="00E67914">
        <w:rPr>
          <w:rFonts w:ascii="Times New Roman" w:hAnsi="Times New Roman"/>
          <w:bCs/>
          <w:sz w:val="24"/>
          <w:lang w:eastAsia="zh-CN"/>
        </w:rPr>
        <w:t>（</w:t>
      </w:r>
      <w:r w:rsidRPr="00E67914">
        <w:rPr>
          <w:rFonts w:ascii="Times New Roman" w:hAnsi="Times New Roman"/>
          <w:bCs/>
          <w:sz w:val="24"/>
          <w:lang w:eastAsia="zh-CN"/>
        </w:rPr>
        <w:t>A</w:t>
      </w:r>
      <w:r w:rsidRPr="00E67914">
        <w:rPr>
          <w:rFonts w:ascii="Times New Roman" w:hAnsi="Times New Roman"/>
          <w:bCs/>
          <w:sz w:val="24"/>
          <w:lang w:eastAsia="zh-CN"/>
        </w:rPr>
        <w:t>）。为有</w:t>
      </w:r>
      <w:r w:rsidRPr="00E67914">
        <w:rPr>
          <w:rFonts w:ascii="Times New Roman" w:hAnsi="Times New Roman"/>
          <w:bCs/>
          <w:sz w:val="24"/>
          <w:lang w:eastAsia="zh-CN"/>
        </w:rPr>
        <w:lastRenderedPageBreak/>
        <w:t>效控制噪声，首先在平面布置时进行合理布局，控制气流速度，减少站场工艺管线的弯头、三通等管件，降低试采站内噪声；其次，选用高效低噪声的水套加热炉、分离器和调压设备。通过采取这些噪声控制措施后，单井噪声源的声级值约</w:t>
      </w:r>
      <w:r w:rsidRPr="00E67914">
        <w:rPr>
          <w:rFonts w:ascii="Times New Roman" w:hAnsi="Times New Roman"/>
          <w:bCs/>
          <w:sz w:val="24"/>
          <w:lang w:eastAsia="zh-CN"/>
        </w:rPr>
        <w:t>55dB</w:t>
      </w:r>
      <w:r w:rsidRPr="00E67914">
        <w:rPr>
          <w:rFonts w:ascii="Times New Roman" w:hAnsi="Times New Roman"/>
          <w:bCs/>
          <w:sz w:val="24"/>
          <w:lang w:eastAsia="zh-CN"/>
        </w:rPr>
        <w:t>（</w:t>
      </w:r>
      <w:r w:rsidRPr="00E67914">
        <w:rPr>
          <w:rFonts w:ascii="Times New Roman" w:hAnsi="Times New Roman"/>
          <w:bCs/>
          <w:sz w:val="24"/>
          <w:lang w:eastAsia="zh-CN"/>
        </w:rPr>
        <w:t>A</w:t>
      </w:r>
      <w:r w:rsidRPr="00E67914">
        <w:rPr>
          <w:rFonts w:ascii="Times New Roman" w:hAnsi="Times New Roman"/>
          <w:bCs/>
          <w:sz w:val="24"/>
          <w:lang w:eastAsia="zh-CN"/>
        </w:rPr>
        <w:t>）以下。</w:t>
      </w:r>
    </w:p>
    <w:p w14:paraId="78AA8EFE"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事故状况下，安全放空阀、放空管的放空噪声可达</w:t>
      </w:r>
      <w:r w:rsidRPr="00E67914">
        <w:rPr>
          <w:rFonts w:ascii="Times New Roman" w:hAnsi="Times New Roman"/>
          <w:bCs/>
          <w:sz w:val="24"/>
          <w:lang w:eastAsia="zh-CN"/>
        </w:rPr>
        <w:t>80dB</w:t>
      </w:r>
      <w:r w:rsidRPr="00E67914">
        <w:rPr>
          <w:rFonts w:ascii="Times New Roman" w:hAnsi="Times New Roman"/>
          <w:bCs/>
          <w:sz w:val="24"/>
          <w:lang w:eastAsia="zh-CN"/>
        </w:rPr>
        <w:t>左右，持续时间在</w:t>
      </w:r>
      <w:r w:rsidRPr="00E67914">
        <w:rPr>
          <w:rFonts w:ascii="Times New Roman" w:hAnsi="Times New Roman"/>
          <w:bCs/>
          <w:sz w:val="24"/>
          <w:lang w:eastAsia="zh-CN"/>
        </w:rPr>
        <w:t>2~5min</w:t>
      </w:r>
      <w:r w:rsidRPr="00E67914">
        <w:rPr>
          <w:rFonts w:ascii="Times New Roman" w:hAnsi="Times New Roman"/>
          <w:bCs/>
          <w:sz w:val="24"/>
          <w:lang w:eastAsia="zh-CN"/>
        </w:rPr>
        <w:t>。</w:t>
      </w:r>
    </w:p>
    <w:p w14:paraId="423C9CE3"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sz w:val="24"/>
          <w:lang w:eastAsia="zh-CN"/>
        </w:rPr>
      </w:pPr>
      <w:r w:rsidRPr="00E67914">
        <w:rPr>
          <w:rFonts w:ascii="Times New Roman" w:hAnsi="Times New Roman"/>
          <w:b/>
          <w:sz w:val="24"/>
          <w:lang w:eastAsia="zh-CN"/>
        </w:rPr>
        <w:t>3.4.2.4</w:t>
      </w:r>
      <w:r w:rsidRPr="00E67914">
        <w:rPr>
          <w:rFonts w:ascii="Times New Roman" w:hAnsi="Times New Roman"/>
          <w:b/>
          <w:sz w:val="24"/>
          <w:lang w:eastAsia="zh-CN"/>
        </w:rPr>
        <w:t>固废</w:t>
      </w:r>
    </w:p>
    <w:p w14:paraId="2A5B789F" w14:textId="00506E12"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w:t>
      </w:r>
      <w:r w:rsidR="0030073C" w:rsidRPr="00E67914">
        <w:rPr>
          <w:rFonts w:ascii="Times New Roman" w:hAnsi="Times New Roman"/>
          <w:bCs/>
          <w:sz w:val="24"/>
          <w:lang w:eastAsia="zh-CN"/>
        </w:rPr>
        <w:t>试采</w:t>
      </w:r>
      <w:r w:rsidRPr="00E67914">
        <w:rPr>
          <w:rFonts w:ascii="Times New Roman" w:hAnsi="Times New Roman"/>
          <w:bCs/>
          <w:sz w:val="24"/>
          <w:lang w:eastAsia="zh-CN"/>
        </w:rPr>
        <w:t>期无人值守，无生活垃圾产生。</w:t>
      </w:r>
    </w:p>
    <w:p w14:paraId="249CBFE7" w14:textId="77777777" w:rsidR="0030073C" w:rsidRPr="00E67914" w:rsidRDefault="0030073C" w:rsidP="0030073C">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试采结束后对油罐进行清罐会产生清罐油泥。</w:t>
      </w:r>
    </w:p>
    <w:p w14:paraId="2C7AD237" w14:textId="5E38E06A" w:rsidR="0030073C" w:rsidRPr="00E67914" w:rsidRDefault="0030073C" w:rsidP="0030073C">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根据类比调查，油泥产生量约为</w:t>
      </w:r>
      <w:r w:rsidRPr="00E67914">
        <w:rPr>
          <w:rFonts w:ascii="Times New Roman" w:hAnsi="Times New Roman"/>
          <w:bCs/>
          <w:sz w:val="24"/>
          <w:lang w:eastAsia="zh-CN"/>
        </w:rPr>
        <w:t>0.5~0.75t/</w:t>
      </w:r>
      <w:r w:rsidRPr="00E67914">
        <w:rPr>
          <w:rFonts w:ascii="Times New Roman" w:hAnsi="Times New Roman"/>
          <w:bCs/>
          <w:sz w:val="24"/>
          <w:lang w:eastAsia="zh-CN"/>
        </w:rPr>
        <w:t>万吨油，本项目凝析油产量按</w:t>
      </w:r>
      <w:r w:rsidRPr="00E67914">
        <w:rPr>
          <w:rFonts w:ascii="Times New Roman" w:hAnsi="Times New Roman"/>
          <w:bCs/>
          <w:sz w:val="24"/>
          <w:lang w:eastAsia="zh-CN"/>
        </w:rPr>
        <w:t>12.3m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/d</w:t>
      </w:r>
      <w:r w:rsidRPr="00E67914">
        <w:rPr>
          <w:rFonts w:ascii="Times New Roman" w:hAnsi="Times New Roman"/>
          <w:bCs/>
          <w:sz w:val="24"/>
          <w:lang w:eastAsia="zh-CN"/>
        </w:rPr>
        <w:t>，凝析油密度</w:t>
      </w:r>
      <w:r w:rsidRPr="00E67914">
        <w:rPr>
          <w:rFonts w:ascii="Times New Roman" w:hAnsi="Times New Roman"/>
          <w:bCs/>
          <w:sz w:val="24"/>
          <w:lang w:eastAsia="zh-CN"/>
        </w:rPr>
        <w:t>0.812t/m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按计算，则本项目油泥最大产生量约为</w:t>
      </w:r>
      <w:r w:rsidRPr="00E67914">
        <w:rPr>
          <w:rFonts w:ascii="Times New Roman" w:hAnsi="Times New Roman"/>
          <w:bCs/>
          <w:sz w:val="24"/>
          <w:lang w:eastAsia="zh-CN"/>
        </w:rPr>
        <w:t>0.27t/a</w:t>
      </w:r>
      <w:r w:rsidRPr="00E67914">
        <w:rPr>
          <w:rFonts w:ascii="Times New Roman" w:hAnsi="Times New Roman"/>
          <w:bCs/>
          <w:sz w:val="24"/>
          <w:lang w:eastAsia="zh-CN"/>
        </w:rPr>
        <w:t>。油泥属危险废物，</w:t>
      </w:r>
      <w:r w:rsidR="00725496" w:rsidRPr="00E67914">
        <w:rPr>
          <w:rFonts w:ascii="Times New Roman" w:hAnsi="Times New Roman"/>
          <w:bCs/>
          <w:sz w:val="24"/>
          <w:lang w:eastAsia="zh-CN"/>
        </w:rPr>
        <w:t>由专业单位清理，清理后立即</w:t>
      </w:r>
      <w:r w:rsidRPr="00E67914">
        <w:rPr>
          <w:rFonts w:ascii="Times New Roman" w:hAnsi="Times New Roman"/>
          <w:bCs/>
          <w:sz w:val="24"/>
          <w:lang w:eastAsia="zh-CN"/>
        </w:rPr>
        <w:t>交有资质单位处置。</w:t>
      </w:r>
    </w:p>
    <w:p w14:paraId="7EDF64E3" w14:textId="77777777" w:rsidR="0030073C" w:rsidRPr="00E67914" w:rsidRDefault="0030073C" w:rsidP="00EE5D65">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4.5-6  </w:t>
      </w:r>
      <w:r w:rsidRPr="00E67914">
        <w:rPr>
          <w:rFonts w:ascii="Times New Roman" w:eastAsia="黑体" w:hAnsi="Times New Roman"/>
          <w:sz w:val="21"/>
          <w:szCs w:val="21"/>
          <w:lang w:eastAsia="zh-CN"/>
        </w:rPr>
        <w:t>试采期危险废物汇总一览表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11"/>
        <w:gridCol w:w="958"/>
        <w:gridCol w:w="687"/>
        <w:gridCol w:w="1028"/>
        <w:gridCol w:w="782"/>
        <w:gridCol w:w="549"/>
        <w:gridCol w:w="686"/>
        <w:gridCol w:w="686"/>
        <w:gridCol w:w="465"/>
        <w:gridCol w:w="2048"/>
      </w:tblGrid>
      <w:tr w:rsidR="00E67914" w:rsidRPr="00E67914" w14:paraId="260AB464" w14:textId="77777777" w:rsidTr="0030073C">
        <w:trPr>
          <w:trHeight w:val="369"/>
          <w:tblHeader/>
          <w:jc w:val="center"/>
        </w:trPr>
        <w:tc>
          <w:tcPr>
            <w:tcW w:w="248" w:type="pct"/>
            <w:tcBorders>
              <w:top w:val="single" w:sz="4" w:space="0" w:color="auto"/>
              <w:left w:val="single" w:sz="4" w:space="0" w:color="auto"/>
              <w:bottom w:val="single" w:sz="4" w:space="0" w:color="auto"/>
              <w:right w:val="single" w:sz="4" w:space="0" w:color="auto"/>
            </w:tcBorders>
            <w:vAlign w:val="center"/>
            <w:hideMark/>
          </w:tcPr>
          <w:p w14:paraId="5B2E61A8" w14:textId="77777777" w:rsidR="0030073C" w:rsidRPr="00E67914" w:rsidRDefault="0030073C" w:rsidP="00854861">
            <w:pPr>
              <w:pStyle w:val="affffff"/>
              <w:rPr>
                <w:b/>
                <w:bCs/>
              </w:rPr>
            </w:pPr>
            <w:r w:rsidRPr="00E67914">
              <w:rPr>
                <w:b/>
                <w:bCs/>
              </w:rPr>
              <w:t>序号</w:t>
            </w:r>
          </w:p>
        </w:tc>
        <w:tc>
          <w:tcPr>
            <w:tcW w:w="577" w:type="pct"/>
            <w:tcBorders>
              <w:top w:val="single" w:sz="4" w:space="0" w:color="auto"/>
              <w:left w:val="single" w:sz="4" w:space="0" w:color="auto"/>
              <w:bottom w:val="single" w:sz="4" w:space="0" w:color="auto"/>
              <w:right w:val="single" w:sz="4" w:space="0" w:color="auto"/>
            </w:tcBorders>
            <w:vAlign w:val="center"/>
            <w:hideMark/>
          </w:tcPr>
          <w:p w14:paraId="1D655A5A" w14:textId="77777777" w:rsidR="0030073C" w:rsidRPr="00E67914" w:rsidRDefault="0030073C" w:rsidP="00854861">
            <w:pPr>
              <w:pStyle w:val="affffff"/>
              <w:rPr>
                <w:b/>
                <w:bCs/>
              </w:rPr>
            </w:pPr>
            <w:r w:rsidRPr="00E67914">
              <w:rPr>
                <w:b/>
                <w:bCs/>
              </w:rPr>
              <w:t>危险废物名称</w:t>
            </w:r>
          </w:p>
        </w:tc>
        <w:tc>
          <w:tcPr>
            <w:tcW w:w="414" w:type="pct"/>
            <w:tcBorders>
              <w:top w:val="single" w:sz="4" w:space="0" w:color="auto"/>
              <w:left w:val="single" w:sz="4" w:space="0" w:color="auto"/>
              <w:bottom w:val="single" w:sz="4" w:space="0" w:color="auto"/>
              <w:right w:val="single" w:sz="4" w:space="0" w:color="auto"/>
            </w:tcBorders>
            <w:vAlign w:val="center"/>
            <w:hideMark/>
          </w:tcPr>
          <w:p w14:paraId="5447ECE3" w14:textId="77777777" w:rsidR="0030073C" w:rsidRPr="00E67914" w:rsidRDefault="0030073C" w:rsidP="00854861">
            <w:pPr>
              <w:pStyle w:val="affffff"/>
              <w:rPr>
                <w:b/>
                <w:bCs/>
              </w:rPr>
            </w:pPr>
            <w:r w:rsidRPr="00E67914">
              <w:rPr>
                <w:b/>
                <w:bCs/>
              </w:rPr>
              <w:t>危险废</w:t>
            </w:r>
          </w:p>
          <w:p w14:paraId="66579129" w14:textId="77777777" w:rsidR="0030073C" w:rsidRPr="00E67914" w:rsidRDefault="0030073C" w:rsidP="00854861">
            <w:pPr>
              <w:pStyle w:val="affffff"/>
              <w:rPr>
                <w:b/>
                <w:bCs/>
              </w:rPr>
            </w:pPr>
            <w:r w:rsidRPr="00E67914">
              <w:rPr>
                <w:b/>
                <w:bCs/>
              </w:rPr>
              <w:t>物类别</w:t>
            </w:r>
          </w:p>
        </w:tc>
        <w:tc>
          <w:tcPr>
            <w:tcW w:w="619" w:type="pct"/>
            <w:tcBorders>
              <w:top w:val="single" w:sz="4" w:space="0" w:color="auto"/>
              <w:left w:val="single" w:sz="4" w:space="0" w:color="auto"/>
              <w:bottom w:val="single" w:sz="4" w:space="0" w:color="auto"/>
              <w:right w:val="single" w:sz="4" w:space="0" w:color="auto"/>
            </w:tcBorders>
            <w:vAlign w:val="center"/>
            <w:hideMark/>
          </w:tcPr>
          <w:p w14:paraId="4868C3C9" w14:textId="77777777" w:rsidR="0030073C" w:rsidRPr="00E67914" w:rsidRDefault="0030073C" w:rsidP="00854861">
            <w:pPr>
              <w:pStyle w:val="affffff"/>
              <w:rPr>
                <w:b/>
                <w:bCs/>
              </w:rPr>
            </w:pPr>
            <w:r w:rsidRPr="00E67914">
              <w:rPr>
                <w:b/>
                <w:bCs/>
              </w:rPr>
              <w:t>危险废物代码</w:t>
            </w:r>
          </w:p>
        </w:tc>
        <w:tc>
          <w:tcPr>
            <w:tcW w:w="471" w:type="pct"/>
            <w:tcBorders>
              <w:top w:val="single" w:sz="4" w:space="0" w:color="auto"/>
              <w:left w:val="single" w:sz="4" w:space="0" w:color="auto"/>
              <w:bottom w:val="single" w:sz="4" w:space="0" w:color="auto"/>
              <w:right w:val="single" w:sz="4" w:space="0" w:color="auto"/>
            </w:tcBorders>
            <w:vAlign w:val="center"/>
          </w:tcPr>
          <w:p w14:paraId="762BD374" w14:textId="77777777" w:rsidR="0030073C" w:rsidRPr="00E67914" w:rsidRDefault="0030073C" w:rsidP="00854861">
            <w:pPr>
              <w:pStyle w:val="affffff"/>
              <w:rPr>
                <w:b/>
                <w:bCs/>
              </w:rPr>
            </w:pPr>
            <w:r w:rsidRPr="00E67914">
              <w:rPr>
                <w:b/>
                <w:bCs/>
              </w:rPr>
              <w:t>产生量</w:t>
            </w:r>
            <w:r w:rsidRPr="00E67914">
              <w:rPr>
                <w:b/>
                <w:bCs/>
              </w:rPr>
              <w:t>(t)</w:t>
            </w:r>
          </w:p>
        </w:tc>
        <w:tc>
          <w:tcPr>
            <w:tcW w:w="331" w:type="pct"/>
            <w:tcBorders>
              <w:top w:val="single" w:sz="4" w:space="0" w:color="auto"/>
              <w:left w:val="single" w:sz="4" w:space="0" w:color="auto"/>
              <w:bottom w:val="single" w:sz="4" w:space="0" w:color="auto"/>
              <w:right w:val="single" w:sz="4" w:space="0" w:color="auto"/>
            </w:tcBorders>
            <w:vAlign w:val="center"/>
            <w:hideMark/>
          </w:tcPr>
          <w:p w14:paraId="0A5BF664" w14:textId="77777777" w:rsidR="0030073C" w:rsidRPr="00E67914" w:rsidRDefault="0030073C" w:rsidP="00854861">
            <w:pPr>
              <w:pStyle w:val="affffff"/>
              <w:rPr>
                <w:b/>
                <w:bCs/>
              </w:rPr>
            </w:pPr>
            <w:r w:rsidRPr="00E67914">
              <w:rPr>
                <w:b/>
                <w:bCs/>
              </w:rPr>
              <w:t>形态</w:t>
            </w:r>
          </w:p>
        </w:tc>
        <w:tc>
          <w:tcPr>
            <w:tcW w:w="413" w:type="pct"/>
            <w:tcBorders>
              <w:top w:val="single" w:sz="4" w:space="0" w:color="auto"/>
              <w:left w:val="single" w:sz="4" w:space="0" w:color="auto"/>
              <w:bottom w:val="single" w:sz="4" w:space="0" w:color="auto"/>
              <w:right w:val="single" w:sz="4" w:space="0" w:color="auto"/>
            </w:tcBorders>
            <w:vAlign w:val="center"/>
            <w:hideMark/>
          </w:tcPr>
          <w:p w14:paraId="05080784" w14:textId="77777777" w:rsidR="0030073C" w:rsidRPr="00E67914" w:rsidRDefault="0030073C" w:rsidP="00854861">
            <w:pPr>
              <w:pStyle w:val="affffff"/>
              <w:rPr>
                <w:b/>
                <w:bCs/>
              </w:rPr>
            </w:pPr>
            <w:r w:rsidRPr="00E67914">
              <w:rPr>
                <w:b/>
                <w:bCs/>
              </w:rPr>
              <w:t>主要成分</w:t>
            </w:r>
          </w:p>
        </w:tc>
        <w:tc>
          <w:tcPr>
            <w:tcW w:w="413" w:type="pct"/>
            <w:tcBorders>
              <w:top w:val="single" w:sz="4" w:space="0" w:color="auto"/>
              <w:left w:val="single" w:sz="4" w:space="0" w:color="auto"/>
              <w:bottom w:val="single" w:sz="4" w:space="0" w:color="auto"/>
              <w:right w:val="single" w:sz="4" w:space="0" w:color="auto"/>
            </w:tcBorders>
            <w:vAlign w:val="center"/>
            <w:hideMark/>
          </w:tcPr>
          <w:p w14:paraId="2014F460" w14:textId="77777777" w:rsidR="0030073C" w:rsidRPr="00E67914" w:rsidRDefault="0030073C" w:rsidP="00854861">
            <w:pPr>
              <w:pStyle w:val="affffff"/>
              <w:rPr>
                <w:b/>
                <w:bCs/>
              </w:rPr>
            </w:pPr>
            <w:r w:rsidRPr="00E67914">
              <w:rPr>
                <w:b/>
                <w:bCs/>
              </w:rPr>
              <w:t>有害</w:t>
            </w:r>
          </w:p>
          <w:p w14:paraId="5EEFBACC" w14:textId="77777777" w:rsidR="0030073C" w:rsidRPr="00E67914" w:rsidRDefault="0030073C" w:rsidP="00854861">
            <w:pPr>
              <w:pStyle w:val="affffff"/>
              <w:rPr>
                <w:b/>
                <w:bCs/>
              </w:rPr>
            </w:pPr>
            <w:r w:rsidRPr="00E67914">
              <w:rPr>
                <w:b/>
                <w:bCs/>
              </w:rPr>
              <w:t>成分</w:t>
            </w:r>
          </w:p>
        </w:tc>
        <w:tc>
          <w:tcPr>
            <w:tcW w:w="280" w:type="pct"/>
            <w:tcBorders>
              <w:top w:val="single" w:sz="4" w:space="0" w:color="auto"/>
              <w:left w:val="single" w:sz="4" w:space="0" w:color="auto"/>
              <w:bottom w:val="single" w:sz="4" w:space="0" w:color="auto"/>
              <w:right w:val="single" w:sz="4" w:space="0" w:color="auto"/>
            </w:tcBorders>
            <w:vAlign w:val="center"/>
            <w:hideMark/>
          </w:tcPr>
          <w:p w14:paraId="2DDE1F98" w14:textId="77777777" w:rsidR="0030073C" w:rsidRPr="00E67914" w:rsidRDefault="0030073C" w:rsidP="00854861">
            <w:pPr>
              <w:pStyle w:val="affffff"/>
              <w:rPr>
                <w:b/>
                <w:bCs/>
              </w:rPr>
            </w:pPr>
            <w:r w:rsidRPr="00E67914">
              <w:rPr>
                <w:b/>
                <w:bCs/>
              </w:rPr>
              <w:t>危险</w:t>
            </w:r>
          </w:p>
          <w:p w14:paraId="3D6ECAE2" w14:textId="77777777" w:rsidR="0030073C" w:rsidRPr="00E67914" w:rsidRDefault="0030073C" w:rsidP="00854861">
            <w:pPr>
              <w:pStyle w:val="affffff"/>
              <w:rPr>
                <w:b/>
                <w:bCs/>
              </w:rPr>
            </w:pPr>
            <w:r w:rsidRPr="00E67914">
              <w:rPr>
                <w:b/>
                <w:bCs/>
              </w:rPr>
              <w:t>特性</w:t>
            </w:r>
          </w:p>
        </w:tc>
        <w:tc>
          <w:tcPr>
            <w:tcW w:w="1234" w:type="pct"/>
            <w:tcBorders>
              <w:top w:val="single" w:sz="4" w:space="0" w:color="auto"/>
              <w:left w:val="single" w:sz="4" w:space="0" w:color="auto"/>
              <w:bottom w:val="single" w:sz="4" w:space="0" w:color="auto"/>
              <w:right w:val="single" w:sz="4" w:space="0" w:color="auto"/>
            </w:tcBorders>
            <w:vAlign w:val="center"/>
            <w:hideMark/>
          </w:tcPr>
          <w:p w14:paraId="5E6A1093" w14:textId="77777777" w:rsidR="0030073C" w:rsidRPr="00E67914" w:rsidRDefault="0030073C" w:rsidP="00854861">
            <w:pPr>
              <w:pStyle w:val="affffff"/>
              <w:rPr>
                <w:b/>
                <w:bCs/>
              </w:rPr>
            </w:pPr>
            <w:r w:rsidRPr="00E67914">
              <w:rPr>
                <w:b/>
                <w:bCs/>
              </w:rPr>
              <w:t>污染防治措施</w:t>
            </w:r>
          </w:p>
        </w:tc>
      </w:tr>
      <w:tr w:rsidR="00E67914" w:rsidRPr="00E67914" w14:paraId="47A4C2CB" w14:textId="77777777" w:rsidTr="0030073C">
        <w:trPr>
          <w:trHeight w:val="369"/>
          <w:jc w:val="center"/>
        </w:trPr>
        <w:tc>
          <w:tcPr>
            <w:tcW w:w="248" w:type="pct"/>
            <w:tcBorders>
              <w:top w:val="single" w:sz="4" w:space="0" w:color="auto"/>
              <w:left w:val="single" w:sz="4" w:space="0" w:color="auto"/>
              <w:bottom w:val="single" w:sz="4" w:space="0" w:color="auto"/>
              <w:right w:val="single" w:sz="4" w:space="0" w:color="auto"/>
            </w:tcBorders>
            <w:vAlign w:val="center"/>
            <w:hideMark/>
          </w:tcPr>
          <w:p w14:paraId="03B723C5" w14:textId="77777777" w:rsidR="0030073C" w:rsidRPr="00E67914" w:rsidRDefault="0030073C" w:rsidP="00854861">
            <w:pPr>
              <w:pStyle w:val="affffff"/>
              <w:rPr>
                <w:bCs/>
              </w:rPr>
            </w:pPr>
            <w:r w:rsidRPr="00E67914">
              <w:rPr>
                <w:bCs/>
              </w:rPr>
              <w:t>1</w:t>
            </w:r>
          </w:p>
        </w:tc>
        <w:tc>
          <w:tcPr>
            <w:tcW w:w="577" w:type="pct"/>
            <w:tcBorders>
              <w:top w:val="single" w:sz="4" w:space="0" w:color="auto"/>
              <w:left w:val="single" w:sz="4" w:space="0" w:color="auto"/>
              <w:bottom w:val="single" w:sz="4" w:space="0" w:color="auto"/>
              <w:right w:val="single" w:sz="4" w:space="0" w:color="auto"/>
            </w:tcBorders>
            <w:vAlign w:val="center"/>
            <w:hideMark/>
          </w:tcPr>
          <w:p w14:paraId="23E3DBF7" w14:textId="77777777" w:rsidR="0030073C" w:rsidRPr="00E67914" w:rsidRDefault="0030073C" w:rsidP="00854861">
            <w:pPr>
              <w:pStyle w:val="affffff"/>
              <w:rPr>
                <w:bCs/>
              </w:rPr>
            </w:pPr>
            <w:r w:rsidRPr="00E67914">
              <w:rPr>
                <w:bCs/>
              </w:rPr>
              <w:t>油泥</w:t>
            </w:r>
          </w:p>
        </w:tc>
        <w:tc>
          <w:tcPr>
            <w:tcW w:w="414" w:type="pct"/>
            <w:tcBorders>
              <w:top w:val="single" w:sz="4" w:space="0" w:color="auto"/>
              <w:left w:val="single" w:sz="4" w:space="0" w:color="auto"/>
              <w:bottom w:val="single" w:sz="4" w:space="0" w:color="auto"/>
              <w:right w:val="single" w:sz="4" w:space="0" w:color="auto"/>
            </w:tcBorders>
            <w:vAlign w:val="center"/>
            <w:hideMark/>
          </w:tcPr>
          <w:p w14:paraId="777A4A53" w14:textId="77777777" w:rsidR="0030073C" w:rsidRPr="00E67914" w:rsidRDefault="0030073C" w:rsidP="00854861">
            <w:pPr>
              <w:pStyle w:val="affffff"/>
              <w:rPr>
                <w:bCs/>
              </w:rPr>
            </w:pPr>
            <w:r w:rsidRPr="00E67914">
              <w:rPr>
                <w:bCs/>
              </w:rPr>
              <w:t>HW08</w:t>
            </w:r>
          </w:p>
        </w:tc>
        <w:tc>
          <w:tcPr>
            <w:tcW w:w="619" w:type="pct"/>
            <w:tcBorders>
              <w:top w:val="single" w:sz="4" w:space="0" w:color="auto"/>
              <w:left w:val="single" w:sz="4" w:space="0" w:color="auto"/>
              <w:bottom w:val="single" w:sz="4" w:space="0" w:color="auto"/>
              <w:right w:val="single" w:sz="4" w:space="0" w:color="auto"/>
            </w:tcBorders>
            <w:vAlign w:val="center"/>
            <w:hideMark/>
          </w:tcPr>
          <w:p w14:paraId="298249D1" w14:textId="77777777" w:rsidR="0030073C" w:rsidRPr="00E67914" w:rsidRDefault="0030073C" w:rsidP="00854861">
            <w:pPr>
              <w:pStyle w:val="affffff"/>
              <w:rPr>
                <w:bCs/>
              </w:rPr>
            </w:pPr>
            <w:r w:rsidRPr="00E67914">
              <w:rPr>
                <w:bCs/>
              </w:rPr>
              <w:t>071-001-08</w:t>
            </w:r>
          </w:p>
        </w:tc>
        <w:tc>
          <w:tcPr>
            <w:tcW w:w="471" w:type="pct"/>
            <w:tcBorders>
              <w:top w:val="single" w:sz="4" w:space="0" w:color="auto"/>
              <w:left w:val="single" w:sz="4" w:space="0" w:color="auto"/>
              <w:bottom w:val="single" w:sz="4" w:space="0" w:color="auto"/>
              <w:right w:val="single" w:sz="4" w:space="0" w:color="auto"/>
            </w:tcBorders>
            <w:vAlign w:val="center"/>
          </w:tcPr>
          <w:p w14:paraId="06568D8D" w14:textId="5629B77B" w:rsidR="0030073C" w:rsidRPr="00E67914" w:rsidRDefault="0030073C" w:rsidP="00854861">
            <w:pPr>
              <w:pStyle w:val="affffff"/>
              <w:rPr>
                <w:bCs/>
              </w:rPr>
            </w:pPr>
            <w:r w:rsidRPr="00E67914">
              <w:rPr>
                <w:bCs/>
              </w:rPr>
              <w:t>0.27</w:t>
            </w:r>
          </w:p>
        </w:tc>
        <w:tc>
          <w:tcPr>
            <w:tcW w:w="331" w:type="pct"/>
            <w:tcBorders>
              <w:top w:val="single" w:sz="4" w:space="0" w:color="auto"/>
              <w:left w:val="single" w:sz="4" w:space="0" w:color="auto"/>
              <w:bottom w:val="single" w:sz="4" w:space="0" w:color="auto"/>
              <w:right w:val="single" w:sz="4" w:space="0" w:color="auto"/>
            </w:tcBorders>
            <w:vAlign w:val="center"/>
            <w:hideMark/>
          </w:tcPr>
          <w:p w14:paraId="41811DA9" w14:textId="77777777" w:rsidR="0030073C" w:rsidRPr="00E67914" w:rsidRDefault="0030073C" w:rsidP="00854861">
            <w:pPr>
              <w:pStyle w:val="affffff"/>
              <w:rPr>
                <w:bCs/>
              </w:rPr>
            </w:pPr>
            <w:r w:rsidRPr="00E67914">
              <w:rPr>
                <w:bCs/>
              </w:rPr>
              <w:t>半固体</w:t>
            </w:r>
          </w:p>
        </w:tc>
        <w:tc>
          <w:tcPr>
            <w:tcW w:w="413" w:type="pct"/>
            <w:tcBorders>
              <w:top w:val="single" w:sz="4" w:space="0" w:color="auto"/>
              <w:left w:val="single" w:sz="4" w:space="0" w:color="auto"/>
              <w:bottom w:val="single" w:sz="4" w:space="0" w:color="auto"/>
              <w:right w:val="single" w:sz="4" w:space="0" w:color="auto"/>
            </w:tcBorders>
            <w:vAlign w:val="center"/>
            <w:hideMark/>
          </w:tcPr>
          <w:p w14:paraId="115BA228" w14:textId="77777777" w:rsidR="0030073C" w:rsidRPr="00E67914" w:rsidRDefault="0030073C" w:rsidP="00854861">
            <w:pPr>
              <w:pStyle w:val="affffff"/>
              <w:rPr>
                <w:bCs/>
              </w:rPr>
            </w:pPr>
            <w:r w:rsidRPr="00E67914">
              <w:rPr>
                <w:bCs/>
              </w:rPr>
              <w:t>废矿物油</w:t>
            </w:r>
          </w:p>
        </w:tc>
        <w:tc>
          <w:tcPr>
            <w:tcW w:w="413" w:type="pct"/>
            <w:tcBorders>
              <w:top w:val="single" w:sz="4" w:space="0" w:color="auto"/>
              <w:left w:val="single" w:sz="4" w:space="0" w:color="auto"/>
              <w:bottom w:val="single" w:sz="4" w:space="0" w:color="auto"/>
              <w:right w:val="single" w:sz="4" w:space="0" w:color="auto"/>
            </w:tcBorders>
            <w:vAlign w:val="center"/>
            <w:hideMark/>
          </w:tcPr>
          <w:p w14:paraId="03689022" w14:textId="77777777" w:rsidR="0030073C" w:rsidRPr="00E67914" w:rsidRDefault="0030073C" w:rsidP="00854861">
            <w:pPr>
              <w:pStyle w:val="affffff"/>
              <w:rPr>
                <w:bCs/>
              </w:rPr>
            </w:pPr>
            <w:r w:rsidRPr="00E67914">
              <w:rPr>
                <w:bCs/>
              </w:rPr>
              <w:t>废矿物油</w:t>
            </w:r>
          </w:p>
        </w:tc>
        <w:tc>
          <w:tcPr>
            <w:tcW w:w="280" w:type="pct"/>
            <w:tcBorders>
              <w:top w:val="single" w:sz="4" w:space="0" w:color="auto"/>
              <w:left w:val="single" w:sz="4" w:space="0" w:color="auto"/>
              <w:bottom w:val="single" w:sz="4" w:space="0" w:color="auto"/>
              <w:right w:val="single" w:sz="4" w:space="0" w:color="auto"/>
            </w:tcBorders>
            <w:vAlign w:val="center"/>
            <w:hideMark/>
          </w:tcPr>
          <w:p w14:paraId="5D6E1349" w14:textId="77777777" w:rsidR="0030073C" w:rsidRPr="00E67914" w:rsidRDefault="0030073C" w:rsidP="00854861">
            <w:pPr>
              <w:pStyle w:val="affffff"/>
              <w:rPr>
                <w:bCs/>
              </w:rPr>
            </w:pPr>
            <w:r w:rsidRPr="00E67914">
              <w:rPr>
                <w:bCs/>
              </w:rPr>
              <w:t>T</w:t>
            </w:r>
            <w:r w:rsidRPr="00E67914">
              <w:rPr>
                <w:bCs/>
              </w:rPr>
              <w:t>，</w:t>
            </w:r>
            <w:r w:rsidRPr="00E67914">
              <w:rPr>
                <w:bCs/>
              </w:rPr>
              <w:t>I</w:t>
            </w:r>
          </w:p>
        </w:tc>
        <w:tc>
          <w:tcPr>
            <w:tcW w:w="1234" w:type="pct"/>
            <w:tcBorders>
              <w:top w:val="single" w:sz="4" w:space="0" w:color="auto"/>
              <w:left w:val="single" w:sz="4" w:space="0" w:color="auto"/>
              <w:bottom w:val="single" w:sz="4" w:space="0" w:color="auto"/>
              <w:right w:val="single" w:sz="4" w:space="0" w:color="auto"/>
            </w:tcBorders>
            <w:vAlign w:val="center"/>
            <w:hideMark/>
          </w:tcPr>
          <w:p w14:paraId="62E6B46E" w14:textId="77777777" w:rsidR="0030073C" w:rsidRPr="00E67914" w:rsidRDefault="0030073C" w:rsidP="00854861">
            <w:pPr>
              <w:pStyle w:val="affffff"/>
              <w:rPr>
                <w:bCs/>
              </w:rPr>
            </w:pPr>
            <w:r w:rsidRPr="00E67914">
              <w:rPr>
                <w:bCs/>
              </w:rPr>
              <w:t>交由有危废处置资质的单位处置</w:t>
            </w:r>
          </w:p>
        </w:tc>
      </w:tr>
    </w:tbl>
    <w:p w14:paraId="122F4288"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sz w:val="24"/>
          <w:lang w:eastAsia="zh-CN"/>
        </w:rPr>
      </w:pPr>
      <w:r w:rsidRPr="00E67914">
        <w:rPr>
          <w:rFonts w:ascii="Times New Roman" w:hAnsi="Times New Roman"/>
          <w:b/>
          <w:sz w:val="24"/>
          <w:lang w:eastAsia="zh-CN"/>
        </w:rPr>
        <w:t>3.4.2.5</w:t>
      </w:r>
      <w:r w:rsidRPr="00E67914">
        <w:rPr>
          <w:rFonts w:ascii="Times New Roman" w:hAnsi="Times New Roman"/>
          <w:b/>
          <w:sz w:val="24"/>
          <w:lang w:eastAsia="zh-CN"/>
        </w:rPr>
        <w:t>生态环境</w:t>
      </w:r>
    </w:p>
    <w:p w14:paraId="3A181BEC"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本项目试采期不涉及新增占地（运营期仅增加该部分用地占地时长）。</w:t>
      </w:r>
    </w:p>
    <w:p w14:paraId="49F3EF45"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sz w:val="24"/>
          <w:lang w:eastAsia="zh-CN"/>
        </w:rPr>
      </w:pPr>
      <w:r w:rsidRPr="00E67914">
        <w:rPr>
          <w:rFonts w:ascii="Times New Roman" w:hAnsi="Times New Roman"/>
          <w:b/>
          <w:sz w:val="24"/>
          <w:lang w:eastAsia="zh-CN"/>
        </w:rPr>
        <w:t>3.4.2.6</w:t>
      </w:r>
      <w:r w:rsidRPr="00E67914">
        <w:rPr>
          <w:rFonts w:ascii="Times New Roman" w:hAnsi="Times New Roman"/>
          <w:b/>
          <w:sz w:val="24"/>
          <w:lang w:eastAsia="zh-CN"/>
        </w:rPr>
        <w:t>土壤环境</w:t>
      </w:r>
    </w:p>
    <w:p w14:paraId="2E2F0F4C" w14:textId="0FE7911F"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试采期若废水未妥善处置转运，发生泄露后可能会对区域土壤环境造成污染影响。试采期水套加热炉燃烧烟气</w:t>
      </w:r>
      <w:r w:rsidR="00854861" w:rsidRPr="00E67914">
        <w:rPr>
          <w:rFonts w:ascii="Times New Roman" w:hAnsi="Times New Roman"/>
          <w:bCs/>
          <w:sz w:val="24"/>
          <w:lang w:eastAsia="zh-CN"/>
        </w:rPr>
        <w:t>、火炬及放空系统长明灯燃烧废气、</w:t>
      </w:r>
      <w:r w:rsidR="00901928" w:rsidRPr="00E67914">
        <w:rPr>
          <w:rFonts w:ascii="Times New Roman" w:hAnsi="Times New Roman"/>
          <w:bCs/>
          <w:sz w:val="24"/>
          <w:lang w:eastAsia="zh-CN"/>
        </w:rPr>
        <w:t>油罐挥发气体、凝析油装车挥发气体</w:t>
      </w:r>
      <w:r w:rsidR="00854861" w:rsidRPr="00E67914">
        <w:rPr>
          <w:rFonts w:ascii="Times New Roman" w:hAnsi="Times New Roman"/>
          <w:bCs/>
          <w:sz w:val="24"/>
          <w:lang w:eastAsia="zh-CN"/>
        </w:rPr>
        <w:t>等</w:t>
      </w:r>
      <w:r w:rsidRPr="00E67914">
        <w:rPr>
          <w:rFonts w:ascii="Times New Roman" w:hAnsi="Times New Roman"/>
          <w:bCs/>
          <w:sz w:val="24"/>
          <w:lang w:eastAsia="zh-CN"/>
        </w:rPr>
        <w:t>沉降后也会对周边土壤环境造成一定的影响。</w:t>
      </w:r>
    </w:p>
    <w:p w14:paraId="5E6A994B"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sz w:val="24"/>
          <w:lang w:eastAsia="zh-CN"/>
        </w:rPr>
      </w:pPr>
      <w:r w:rsidRPr="00E67914">
        <w:rPr>
          <w:rFonts w:ascii="Times New Roman" w:hAnsi="Times New Roman"/>
          <w:b/>
          <w:sz w:val="24"/>
          <w:lang w:eastAsia="zh-CN"/>
        </w:rPr>
        <w:t>3.4.2.7</w:t>
      </w:r>
      <w:r w:rsidRPr="00E67914">
        <w:rPr>
          <w:rFonts w:ascii="Times New Roman" w:hAnsi="Times New Roman"/>
          <w:b/>
          <w:sz w:val="24"/>
          <w:lang w:eastAsia="zh-CN"/>
        </w:rPr>
        <w:t>环境风险</w:t>
      </w:r>
    </w:p>
    <w:p w14:paraId="3A87C569" w14:textId="3BB7DB5A"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本项目试采期环境风险主要表现为采气管线或设备发生破裂造成天然气</w:t>
      </w:r>
      <w:r w:rsidR="00854861" w:rsidRPr="00E67914">
        <w:rPr>
          <w:rFonts w:ascii="Times New Roman" w:hAnsi="Times New Roman"/>
          <w:bCs/>
          <w:kern w:val="2"/>
          <w:sz w:val="24"/>
          <w:szCs w:val="24"/>
          <w:lang w:eastAsia="zh-CN"/>
        </w:rPr>
        <w:t>、凝析油</w:t>
      </w:r>
      <w:r w:rsidRPr="00E67914">
        <w:rPr>
          <w:rFonts w:ascii="Times New Roman" w:hAnsi="Times New Roman"/>
          <w:bCs/>
          <w:kern w:val="2"/>
          <w:sz w:val="24"/>
          <w:szCs w:val="24"/>
          <w:lang w:eastAsia="zh-CN"/>
        </w:rPr>
        <w:t>泄漏事故以及泄露气体</w:t>
      </w:r>
      <w:r w:rsidR="00854861" w:rsidRPr="00E67914">
        <w:rPr>
          <w:rFonts w:ascii="Times New Roman" w:hAnsi="Times New Roman"/>
          <w:bCs/>
          <w:kern w:val="2"/>
          <w:sz w:val="24"/>
          <w:szCs w:val="24"/>
          <w:lang w:eastAsia="zh-CN"/>
        </w:rPr>
        <w:t>、凝析油</w:t>
      </w:r>
      <w:r w:rsidRPr="00E67914">
        <w:rPr>
          <w:rFonts w:ascii="Times New Roman" w:hAnsi="Times New Roman"/>
          <w:bCs/>
          <w:kern w:val="2"/>
          <w:sz w:val="24"/>
          <w:szCs w:val="24"/>
          <w:lang w:eastAsia="zh-CN"/>
        </w:rPr>
        <w:t>遇明火引起火灾或爆炸对附近人群生命财产造成伤害与损失，试采站事故时的天然气放空，对附近人群生命财产造成伤害与损失。</w:t>
      </w:r>
      <w:r w:rsidR="00A9536E" w:rsidRPr="00E67914">
        <w:rPr>
          <w:rFonts w:ascii="Times New Roman" w:hAnsi="Times New Roman"/>
          <w:bCs/>
          <w:sz w:val="24"/>
          <w:lang w:eastAsia="zh-CN"/>
        </w:rPr>
        <w:t>放空分液罐、采出水罐</w:t>
      </w:r>
      <w:r w:rsidRPr="00E67914">
        <w:rPr>
          <w:rFonts w:ascii="Times New Roman" w:hAnsi="Times New Roman"/>
          <w:bCs/>
          <w:kern w:val="2"/>
          <w:sz w:val="24"/>
          <w:szCs w:val="24"/>
          <w:lang w:eastAsia="zh-CN"/>
        </w:rPr>
        <w:t>存储的</w:t>
      </w:r>
      <w:r w:rsidR="002346F6" w:rsidRPr="00E67914">
        <w:rPr>
          <w:rFonts w:ascii="Times New Roman" w:hAnsi="Times New Roman"/>
          <w:bCs/>
          <w:kern w:val="2"/>
          <w:sz w:val="24"/>
          <w:szCs w:val="24"/>
          <w:lang w:eastAsia="zh-CN"/>
        </w:rPr>
        <w:t>气田水</w:t>
      </w:r>
      <w:r w:rsidRPr="00E67914">
        <w:rPr>
          <w:rFonts w:ascii="Times New Roman" w:hAnsi="Times New Roman"/>
          <w:bCs/>
          <w:kern w:val="2"/>
          <w:sz w:val="24"/>
          <w:szCs w:val="24"/>
          <w:lang w:eastAsia="zh-CN"/>
        </w:rPr>
        <w:t>泄漏环境风险；污染物外运处理中的运输风险等。</w:t>
      </w:r>
    </w:p>
    <w:p w14:paraId="05AD2DF5"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sz w:val="24"/>
          <w:lang w:eastAsia="zh-CN"/>
        </w:rPr>
      </w:pPr>
      <w:r w:rsidRPr="00E67914">
        <w:rPr>
          <w:rFonts w:ascii="Times New Roman" w:hAnsi="Times New Roman"/>
          <w:b/>
          <w:sz w:val="24"/>
          <w:lang w:eastAsia="zh-CN"/>
        </w:rPr>
        <w:t>3.4.2.8</w:t>
      </w:r>
      <w:r w:rsidRPr="00E67914">
        <w:rPr>
          <w:rFonts w:ascii="Times New Roman" w:hAnsi="Times New Roman"/>
          <w:b/>
          <w:sz w:val="24"/>
          <w:lang w:eastAsia="zh-CN"/>
        </w:rPr>
        <w:t>试采期</w:t>
      </w:r>
      <w:r w:rsidRPr="00E67914">
        <w:rPr>
          <w:rFonts w:ascii="Times New Roman" w:hAnsi="Times New Roman"/>
          <w:b/>
          <w:sz w:val="24"/>
          <w:lang w:eastAsia="zh-CN"/>
        </w:rPr>
        <w:t>“</w:t>
      </w:r>
      <w:r w:rsidRPr="00E67914">
        <w:rPr>
          <w:rFonts w:ascii="Times New Roman" w:hAnsi="Times New Roman"/>
          <w:b/>
          <w:sz w:val="24"/>
          <w:lang w:eastAsia="zh-CN"/>
        </w:rPr>
        <w:t>三废</w:t>
      </w:r>
      <w:r w:rsidRPr="00E67914">
        <w:rPr>
          <w:rFonts w:ascii="Times New Roman" w:hAnsi="Times New Roman"/>
          <w:b/>
          <w:sz w:val="24"/>
          <w:lang w:eastAsia="zh-CN"/>
        </w:rPr>
        <w:t>”</w:t>
      </w:r>
      <w:r w:rsidRPr="00E67914">
        <w:rPr>
          <w:rFonts w:ascii="Times New Roman" w:hAnsi="Times New Roman"/>
          <w:b/>
          <w:sz w:val="24"/>
          <w:lang w:eastAsia="zh-CN"/>
        </w:rPr>
        <w:t>汇总表</w:t>
      </w:r>
    </w:p>
    <w:p w14:paraId="5FC8B731"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综上所述，本项目试采期污染物产生量及排放状况与生态影响见下表。</w:t>
      </w:r>
    </w:p>
    <w:p w14:paraId="3228AC91" w14:textId="38992E6F"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lastRenderedPageBreak/>
        <w:t>表</w:t>
      </w:r>
      <w:r w:rsidRPr="00E67914">
        <w:rPr>
          <w:rFonts w:ascii="Times New Roman" w:eastAsia="黑体" w:hAnsi="Times New Roman"/>
          <w:sz w:val="21"/>
          <w:szCs w:val="21"/>
          <w:lang w:eastAsia="zh-CN"/>
        </w:rPr>
        <w:t>3.4-1</w:t>
      </w:r>
      <w:r w:rsidR="008752B7" w:rsidRPr="00E67914">
        <w:rPr>
          <w:rFonts w:ascii="Times New Roman" w:eastAsia="黑体" w:hAnsi="Times New Roman"/>
          <w:sz w:val="21"/>
          <w:szCs w:val="21"/>
          <w:lang w:eastAsia="zh-CN"/>
        </w:rPr>
        <w:t>6</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本项目试采期正常工况下</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三废</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及生态影响汇总表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559"/>
        <w:gridCol w:w="1134"/>
        <w:gridCol w:w="1276"/>
        <w:gridCol w:w="10"/>
        <w:gridCol w:w="1124"/>
        <w:gridCol w:w="2415"/>
      </w:tblGrid>
      <w:tr w:rsidR="002662E3" w:rsidRPr="00E67914" w14:paraId="0430641C" w14:textId="77777777">
        <w:trPr>
          <w:cantSplit/>
          <w:jc w:val="center"/>
        </w:trPr>
        <w:tc>
          <w:tcPr>
            <w:tcW w:w="2263" w:type="dxa"/>
            <w:gridSpan w:val="2"/>
            <w:vAlign w:val="center"/>
          </w:tcPr>
          <w:p w14:paraId="5D710161" w14:textId="77777777" w:rsidR="00A54A8A" w:rsidRPr="00E67914" w:rsidRDefault="00000000" w:rsidP="007B08D3">
            <w:pPr>
              <w:snapToGrid w:val="0"/>
              <w:jc w:val="center"/>
              <w:rPr>
                <w:rFonts w:ascii="Times New Roman" w:hAnsi="Times New Roman"/>
                <w:sz w:val="21"/>
                <w:szCs w:val="21"/>
              </w:rPr>
            </w:pPr>
            <w:r w:rsidRPr="00E67914">
              <w:rPr>
                <w:rFonts w:ascii="Times New Roman" w:hAnsi="Times New Roman"/>
                <w:sz w:val="21"/>
                <w:szCs w:val="21"/>
                <w:lang w:eastAsia="zh-CN"/>
              </w:rPr>
              <w:t>污染源</w:t>
            </w:r>
          </w:p>
        </w:tc>
        <w:tc>
          <w:tcPr>
            <w:tcW w:w="1134" w:type="dxa"/>
            <w:vAlign w:val="center"/>
          </w:tcPr>
          <w:p w14:paraId="534EC3BF" w14:textId="77777777" w:rsidR="00A54A8A" w:rsidRPr="00E67914" w:rsidRDefault="00000000" w:rsidP="007B08D3">
            <w:pPr>
              <w:snapToGrid w:val="0"/>
              <w:jc w:val="center"/>
              <w:rPr>
                <w:rFonts w:ascii="Times New Roman" w:hAnsi="Times New Roman"/>
                <w:sz w:val="21"/>
                <w:szCs w:val="21"/>
              </w:rPr>
            </w:pPr>
            <w:r w:rsidRPr="00E67914">
              <w:rPr>
                <w:rFonts w:ascii="Times New Roman" w:hAnsi="Times New Roman"/>
                <w:sz w:val="21"/>
                <w:szCs w:val="21"/>
                <w:lang w:eastAsia="zh-CN"/>
              </w:rPr>
              <w:t>主要污染物</w:t>
            </w:r>
          </w:p>
        </w:tc>
        <w:tc>
          <w:tcPr>
            <w:tcW w:w="1276" w:type="dxa"/>
            <w:vAlign w:val="center"/>
          </w:tcPr>
          <w:p w14:paraId="0FB86A9B" w14:textId="77777777" w:rsidR="00A54A8A" w:rsidRPr="00E67914" w:rsidRDefault="00000000" w:rsidP="007B08D3">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产生量</w:t>
            </w:r>
          </w:p>
        </w:tc>
        <w:tc>
          <w:tcPr>
            <w:tcW w:w="1134" w:type="dxa"/>
            <w:gridSpan w:val="2"/>
            <w:vAlign w:val="center"/>
          </w:tcPr>
          <w:p w14:paraId="30DE6538" w14:textId="77777777" w:rsidR="00A54A8A" w:rsidRPr="00E67914" w:rsidRDefault="00000000" w:rsidP="007B08D3">
            <w:pPr>
              <w:snapToGrid w:val="0"/>
              <w:jc w:val="center"/>
              <w:rPr>
                <w:rFonts w:ascii="Times New Roman" w:hAnsi="Times New Roman"/>
                <w:sz w:val="21"/>
                <w:szCs w:val="21"/>
                <w:lang w:eastAsia="zh-CN"/>
              </w:rPr>
            </w:pPr>
            <w:r w:rsidRPr="00E67914">
              <w:rPr>
                <w:rFonts w:ascii="Times New Roman" w:hAnsi="Times New Roman"/>
                <w:sz w:val="21"/>
                <w:szCs w:val="21"/>
                <w:lang w:eastAsia="zh-CN"/>
              </w:rPr>
              <w:t>排放量</w:t>
            </w:r>
          </w:p>
        </w:tc>
        <w:tc>
          <w:tcPr>
            <w:tcW w:w="2415" w:type="dxa"/>
            <w:vAlign w:val="center"/>
          </w:tcPr>
          <w:p w14:paraId="5EDDF5ED" w14:textId="77777777" w:rsidR="00A54A8A" w:rsidRPr="00E67914" w:rsidRDefault="00000000" w:rsidP="007B08D3">
            <w:pPr>
              <w:snapToGrid w:val="0"/>
              <w:jc w:val="center"/>
              <w:rPr>
                <w:rFonts w:ascii="Times New Roman" w:hAnsi="Times New Roman"/>
                <w:sz w:val="21"/>
                <w:szCs w:val="21"/>
                <w:lang w:eastAsia="zh-CN"/>
              </w:rPr>
            </w:pPr>
            <w:r w:rsidRPr="00E67914">
              <w:rPr>
                <w:rFonts w:ascii="Times New Roman" w:hAnsi="Times New Roman"/>
                <w:sz w:val="21"/>
                <w:szCs w:val="21"/>
                <w:lang w:eastAsia="zh-CN"/>
              </w:rPr>
              <w:t>防治措施</w:t>
            </w:r>
          </w:p>
        </w:tc>
      </w:tr>
      <w:tr w:rsidR="00854861" w:rsidRPr="00E67914" w14:paraId="426DA2CA" w14:textId="77777777">
        <w:trPr>
          <w:cantSplit/>
          <w:jc w:val="center"/>
        </w:trPr>
        <w:tc>
          <w:tcPr>
            <w:tcW w:w="704" w:type="dxa"/>
            <w:vMerge w:val="restart"/>
            <w:tcMar>
              <w:left w:w="0" w:type="dxa"/>
              <w:right w:w="0" w:type="dxa"/>
            </w:tcMar>
            <w:vAlign w:val="center"/>
          </w:tcPr>
          <w:p w14:paraId="4F7D45EF" w14:textId="77777777"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废气</w:t>
            </w:r>
          </w:p>
        </w:tc>
        <w:tc>
          <w:tcPr>
            <w:tcW w:w="1559" w:type="dxa"/>
            <w:vMerge w:val="restart"/>
            <w:vAlign w:val="center"/>
          </w:tcPr>
          <w:p w14:paraId="13F0D1C5" w14:textId="77777777"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lang w:eastAsia="zh-CN"/>
              </w:rPr>
              <w:t>水套加热炉烟气</w:t>
            </w:r>
          </w:p>
        </w:tc>
        <w:tc>
          <w:tcPr>
            <w:tcW w:w="1134" w:type="dxa"/>
            <w:vAlign w:val="center"/>
          </w:tcPr>
          <w:p w14:paraId="18AC3448" w14:textId="6A1E1660"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kern w:val="2"/>
                <w:sz w:val="21"/>
                <w:szCs w:val="21"/>
              </w:rPr>
              <w:t>烟气流量</w:t>
            </w:r>
          </w:p>
        </w:tc>
        <w:tc>
          <w:tcPr>
            <w:tcW w:w="1276" w:type="dxa"/>
            <w:vAlign w:val="center"/>
          </w:tcPr>
          <w:p w14:paraId="215E6D19" w14:textId="71C8CD75"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140.01</w:t>
            </w:r>
            <w:r w:rsidRPr="00E67914">
              <w:rPr>
                <w:rFonts w:ascii="Times New Roman" w:hAnsi="Times New Roman"/>
                <w:sz w:val="21"/>
                <w:szCs w:val="21"/>
              </w:rPr>
              <w:t>万</w:t>
            </w:r>
            <w:r w:rsidRPr="00E67914">
              <w:rPr>
                <w:rFonts w:ascii="Times New Roman" w:hAnsi="Times New Roman"/>
                <w:sz w:val="21"/>
                <w:szCs w:val="21"/>
              </w:rPr>
              <w:t>Nm</w:t>
            </w:r>
            <w:r w:rsidRPr="00E67914">
              <w:rPr>
                <w:rFonts w:ascii="Times New Roman" w:hAnsi="Times New Roman"/>
                <w:sz w:val="21"/>
                <w:szCs w:val="21"/>
                <w:vertAlign w:val="superscript"/>
              </w:rPr>
              <w:t>3</w:t>
            </w:r>
            <w:r w:rsidRPr="00E67914">
              <w:rPr>
                <w:rFonts w:ascii="Times New Roman" w:hAnsi="Times New Roman"/>
                <w:sz w:val="21"/>
                <w:szCs w:val="21"/>
              </w:rPr>
              <w:t>/a</w:t>
            </w:r>
          </w:p>
        </w:tc>
        <w:tc>
          <w:tcPr>
            <w:tcW w:w="1134" w:type="dxa"/>
            <w:gridSpan w:val="2"/>
            <w:vAlign w:val="center"/>
          </w:tcPr>
          <w:p w14:paraId="3E8C21BD" w14:textId="00DE9D52"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140.01</w:t>
            </w:r>
            <w:r w:rsidRPr="00E67914">
              <w:rPr>
                <w:rFonts w:ascii="Times New Roman" w:hAnsi="Times New Roman"/>
                <w:sz w:val="21"/>
                <w:szCs w:val="21"/>
              </w:rPr>
              <w:t>万</w:t>
            </w:r>
            <w:r w:rsidRPr="00E67914">
              <w:rPr>
                <w:rFonts w:ascii="Times New Roman" w:hAnsi="Times New Roman"/>
                <w:sz w:val="21"/>
                <w:szCs w:val="21"/>
              </w:rPr>
              <w:t>Nm</w:t>
            </w:r>
            <w:r w:rsidRPr="00E67914">
              <w:rPr>
                <w:rFonts w:ascii="Times New Roman" w:hAnsi="Times New Roman"/>
                <w:sz w:val="21"/>
                <w:szCs w:val="21"/>
                <w:vertAlign w:val="superscript"/>
              </w:rPr>
              <w:t>3</w:t>
            </w:r>
            <w:r w:rsidRPr="00E67914">
              <w:rPr>
                <w:rFonts w:ascii="Times New Roman" w:hAnsi="Times New Roman"/>
                <w:sz w:val="21"/>
                <w:szCs w:val="21"/>
              </w:rPr>
              <w:t>/a</w:t>
            </w:r>
          </w:p>
        </w:tc>
        <w:tc>
          <w:tcPr>
            <w:tcW w:w="2415" w:type="dxa"/>
            <w:vMerge w:val="restart"/>
            <w:vAlign w:val="center"/>
          </w:tcPr>
          <w:p w14:paraId="20F71858" w14:textId="1F9BCFF3"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lang w:eastAsia="zh-CN"/>
              </w:rPr>
              <w:t>通过自带</w:t>
            </w:r>
            <w:r w:rsidRPr="00E67914">
              <w:rPr>
                <w:rFonts w:ascii="Times New Roman" w:hAnsi="Times New Roman"/>
                <w:sz w:val="21"/>
                <w:szCs w:val="21"/>
                <w:lang w:eastAsia="zh-CN"/>
              </w:rPr>
              <w:t>8m</w:t>
            </w:r>
            <w:r w:rsidRPr="00E67914">
              <w:rPr>
                <w:rFonts w:ascii="Times New Roman" w:hAnsi="Times New Roman"/>
                <w:sz w:val="21"/>
                <w:szCs w:val="21"/>
                <w:lang w:eastAsia="zh-CN"/>
              </w:rPr>
              <w:t>高排气筒排放</w:t>
            </w:r>
          </w:p>
        </w:tc>
      </w:tr>
      <w:tr w:rsidR="00854861" w:rsidRPr="00E67914" w14:paraId="00FC262D" w14:textId="77777777">
        <w:trPr>
          <w:cantSplit/>
          <w:jc w:val="center"/>
        </w:trPr>
        <w:tc>
          <w:tcPr>
            <w:tcW w:w="704" w:type="dxa"/>
            <w:vMerge/>
            <w:tcMar>
              <w:left w:w="0" w:type="dxa"/>
              <w:right w:w="0" w:type="dxa"/>
            </w:tcMar>
            <w:vAlign w:val="center"/>
          </w:tcPr>
          <w:p w14:paraId="221A227F" w14:textId="77777777" w:rsidR="00854861" w:rsidRPr="00E67914" w:rsidRDefault="00854861" w:rsidP="00854861">
            <w:pPr>
              <w:snapToGrid w:val="0"/>
              <w:jc w:val="center"/>
              <w:rPr>
                <w:rFonts w:ascii="Times New Roman" w:hAnsi="Times New Roman"/>
                <w:sz w:val="21"/>
                <w:szCs w:val="21"/>
                <w:lang w:eastAsia="zh-CN"/>
              </w:rPr>
            </w:pPr>
          </w:p>
        </w:tc>
        <w:tc>
          <w:tcPr>
            <w:tcW w:w="1559" w:type="dxa"/>
            <w:vMerge/>
            <w:vAlign w:val="center"/>
          </w:tcPr>
          <w:p w14:paraId="5FAA1829" w14:textId="77777777" w:rsidR="00854861" w:rsidRPr="00E67914" w:rsidRDefault="00854861" w:rsidP="00854861">
            <w:pPr>
              <w:snapToGrid w:val="0"/>
              <w:jc w:val="center"/>
              <w:rPr>
                <w:rFonts w:ascii="Times New Roman" w:hAnsi="Times New Roman"/>
                <w:sz w:val="21"/>
                <w:szCs w:val="21"/>
                <w:lang w:eastAsia="zh-CN"/>
              </w:rPr>
            </w:pPr>
          </w:p>
        </w:tc>
        <w:tc>
          <w:tcPr>
            <w:tcW w:w="1134" w:type="dxa"/>
            <w:vAlign w:val="center"/>
          </w:tcPr>
          <w:p w14:paraId="1B6DB550" w14:textId="1F4D4E0C" w:rsidR="00854861" w:rsidRPr="00E67914" w:rsidRDefault="00854861" w:rsidP="00854861">
            <w:pPr>
              <w:snapToGrid w:val="0"/>
              <w:jc w:val="center"/>
              <w:rPr>
                <w:rFonts w:ascii="Times New Roman" w:hAnsi="Times New Roman"/>
                <w:kern w:val="2"/>
                <w:sz w:val="21"/>
                <w:szCs w:val="21"/>
              </w:rPr>
            </w:pPr>
            <w:r w:rsidRPr="00E67914">
              <w:rPr>
                <w:rFonts w:ascii="Times New Roman" w:hAnsi="Times New Roman"/>
                <w:kern w:val="2"/>
                <w:sz w:val="21"/>
                <w:szCs w:val="21"/>
              </w:rPr>
              <w:t>SO</w:t>
            </w:r>
            <w:r w:rsidRPr="00E67914">
              <w:rPr>
                <w:rFonts w:ascii="Times New Roman" w:hAnsi="Times New Roman"/>
                <w:kern w:val="2"/>
                <w:sz w:val="21"/>
                <w:szCs w:val="21"/>
                <w:vertAlign w:val="subscript"/>
              </w:rPr>
              <w:t>2</w:t>
            </w:r>
          </w:p>
        </w:tc>
        <w:tc>
          <w:tcPr>
            <w:tcW w:w="1276" w:type="dxa"/>
            <w:vAlign w:val="center"/>
          </w:tcPr>
          <w:p w14:paraId="5AD17E6D" w14:textId="3F7EF56B" w:rsidR="00854861" w:rsidRPr="00E67914" w:rsidRDefault="00854861" w:rsidP="00854861">
            <w:pPr>
              <w:snapToGrid w:val="0"/>
              <w:jc w:val="center"/>
              <w:rPr>
                <w:rFonts w:ascii="Times New Roman" w:hAnsi="Times New Roman"/>
                <w:kern w:val="2"/>
                <w:sz w:val="21"/>
                <w:szCs w:val="21"/>
              </w:rPr>
            </w:pPr>
            <w:r w:rsidRPr="00E67914">
              <w:rPr>
                <w:rFonts w:ascii="Times New Roman" w:hAnsi="Times New Roman"/>
                <w:sz w:val="21"/>
                <w:szCs w:val="21"/>
              </w:rPr>
              <w:t>0.085t/a</w:t>
            </w:r>
            <w:r w:rsidRPr="00E67914">
              <w:rPr>
                <w:rFonts w:ascii="Times New Roman" w:hAnsi="Times New Roman"/>
                <w:sz w:val="21"/>
                <w:szCs w:val="21"/>
              </w:rPr>
              <w:t>；</w:t>
            </w:r>
            <w:r w:rsidRPr="00E67914">
              <w:rPr>
                <w:rFonts w:ascii="Times New Roman" w:hAnsi="Times New Roman"/>
                <w:sz w:val="21"/>
                <w:szCs w:val="21"/>
              </w:rPr>
              <w:t>0.0097kg/h</w:t>
            </w:r>
          </w:p>
        </w:tc>
        <w:tc>
          <w:tcPr>
            <w:tcW w:w="1134" w:type="dxa"/>
            <w:gridSpan w:val="2"/>
            <w:vAlign w:val="center"/>
          </w:tcPr>
          <w:p w14:paraId="31EBF690" w14:textId="774601C4" w:rsidR="00854861" w:rsidRPr="00E67914" w:rsidRDefault="00854861" w:rsidP="00854861">
            <w:pPr>
              <w:snapToGrid w:val="0"/>
              <w:jc w:val="center"/>
              <w:rPr>
                <w:rFonts w:ascii="Times New Roman" w:hAnsi="Times New Roman"/>
                <w:kern w:val="2"/>
                <w:sz w:val="21"/>
                <w:szCs w:val="21"/>
              </w:rPr>
            </w:pPr>
            <w:r w:rsidRPr="00E67914">
              <w:rPr>
                <w:rFonts w:ascii="Times New Roman" w:hAnsi="Times New Roman"/>
                <w:sz w:val="21"/>
                <w:szCs w:val="21"/>
              </w:rPr>
              <w:t>0.085t/a</w:t>
            </w:r>
            <w:r w:rsidRPr="00E67914">
              <w:rPr>
                <w:rFonts w:ascii="Times New Roman" w:hAnsi="Times New Roman"/>
                <w:sz w:val="21"/>
                <w:szCs w:val="21"/>
              </w:rPr>
              <w:t>；</w:t>
            </w:r>
            <w:r w:rsidRPr="00E67914">
              <w:rPr>
                <w:rFonts w:ascii="Times New Roman" w:hAnsi="Times New Roman"/>
                <w:sz w:val="21"/>
                <w:szCs w:val="21"/>
              </w:rPr>
              <w:t>0.0097kg/h</w:t>
            </w:r>
          </w:p>
        </w:tc>
        <w:tc>
          <w:tcPr>
            <w:tcW w:w="2415" w:type="dxa"/>
            <w:vMerge/>
            <w:vAlign w:val="center"/>
          </w:tcPr>
          <w:p w14:paraId="445EB96B" w14:textId="77777777" w:rsidR="00854861" w:rsidRPr="00E67914" w:rsidRDefault="00854861" w:rsidP="00854861">
            <w:pPr>
              <w:snapToGrid w:val="0"/>
              <w:jc w:val="center"/>
              <w:rPr>
                <w:rFonts w:ascii="Times New Roman" w:hAnsi="Times New Roman"/>
                <w:sz w:val="21"/>
                <w:szCs w:val="21"/>
                <w:lang w:eastAsia="zh-CN"/>
              </w:rPr>
            </w:pPr>
          </w:p>
        </w:tc>
      </w:tr>
      <w:tr w:rsidR="00854861" w:rsidRPr="00E67914" w14:paraId="7F17D741" w14:textId="77777777">
        <w:trPr>
          <w:cantSplit/>
          <w:jc w:val="center"/>
        </w:trPr>
        <w:tc>
          <w:tcPr>
            <w:tcW w:w="704" w:type="dxa"/>
            <w:vMerge/>
            <w:tcMar>
              <w:left w:w="0" w:type="dxa"/>
              <w:right w:w="0" w:type="dxa"/>
            </w:tcMar>
            <w:vAlign w:val="center"/>
          </w:tcPr>
          <w:p w14:paraId="1A2A1B38" w14:textId="77777777" w:rsidR="00854861" w:rsidRPr="00E67914" w:rsidRDefault="00854861" w:rsidP="00854861">
            <w:pPr>
              <w:snapToGrid w:val="0"/>
              <w:jc w:val="center"/>
              <w:rPr>
                <w:rFonts w:ascii="Times New Roman" w:hAnsi="Times New Roman"/>
                <w:sz w:val="21"/>
                <w:szCs w:val="21"/>
                <w:lang w:eastAsia="zh-CN"/>
              </w:rPr>
            </w:pPr>
          </w:p>
        </w:tc>
        <w:tc>
          <w:tcPr>
            <w:tcW w:w="1559" w:type="dxa"/>
            <w:vMerge/>
            <w:vAlign w:val="center"/>
          </w:tcPr>
          <w:p w14:paraId="5C62F08F" w14:textId="77777777" w:rsidR="00854861" w:rsidRPr="00E67914" w:rsidRDefault="00854861" w:rsidP="00854861">
            <w:pPr>
              <w:snapToGrid w:val="0"/>
              <w:jc w:val="center"/>
              <w:rPr>
                <w:rFonts w:ascii="Times New Roman" w:hAnsi="Times New Roman"/>
                <w:sz w:val="21"/>
                <w:szCs w:val="21"/>
                <w:lang w:eastAsia="zh-CN"/>
              </w:rPr>
            </w:pPr>
          </w:p>
        </w:tc>
        <w:tc>
          <w:tcPr>
            <w:tcW w:w="1134" w:type="dxa"/>
            <w:vAlign w:val="center"/>
          </w:tcPr>
          <w:p w14:paraId="5AB38726" w14:textId="73B7EEC9" w:rsidR="00854861" w:rsidRPr="00E67914" w:rsidRDefault="00854861" w:rsidP="00854861">
            <w:pPr>
              <w:snapToGrid w:val="0"/>
              <w:jc w:val="center"/>
              <w:rPr>
                <w:rFonts w:ascii="Times New Roman" w:hAnsi="Times New Roman"/>
                <w:kern w:val="2"/>
                <w:sz w:val="21"/>
                <w:szCs w:val="21"/>
              </w:rPr>
            </w:pPr>
            <w:r w:rsidRPr="00E67914">
              <w:rPr>
                <w:rFonts w:ascii="Times New Roman" w:hAnsi="Times New Roman"/>
                <w:kern w:val="2"/>
                <w:sz w:val="21"/>
                <w:szCs w:val="21"/>
              </w:rPr>
              <w:t>NOx</w:t>
            </w:r>
          </w:p>
        </w:tc>
        <w:tc>
          <w:tcPr>
            <w:tcW w:w="1276" w:type="dxa"/>
            <w:vAlign w:val="center"/>
          </w:tcPr>
          <w:p w14:paraId="3454978B" w14:textId="0499E3B7" w:rsidR="00854861" w:rsidRPr="00E67914" w:rsidRDefault="00854861" w:rsidP="00854861">
            <w:pPr>
              <w:snapToGrid w:val="0"/>
              <w:jc w:val="center"/>
              <w:rPr>
                <w:rFonts w:ascii="Times New Roman" w:hAnsi="Times New Roman"/>
                <w:kern w:val="2"/>
                <w:sz w:val="21"/>
                <w:szCs w:val="21"/>
              </w:rPr>
            </w:pPr>
            <w:r w:rsidRPr="00E67914">
              <w:rPr>
                <w:rFonts w:ascii="Times New Roman" w:hAnsi="Times New Roman"/>
                <w:sz w:val="21"/>
                <w:szCs w:val="21"/>
              </w:rPr>
              <w:t>0.013t/a</w:t>
            </w:r>
            <w:r w:rsidRPr="00E67914">
              <w:rPr>
                <w:rFonts w:ascii="Times New Roman" w:hAnsi="Times New Roman"/>
                <w:sz w:val="21"/>
                <w:szCs w:val="21"/>
              </w:rPr>
              <w:t>；</w:t>
            </w:r>
            <w:r w:rsidRPr="00E67914">
              <w:rPr>
                <w:rFonts w:ascii="Times New Roman" w:hAnsi="Times New Roman"/>
                <w:sz w:val="21"/>
                <w:szCs w:val="21"/>
              </w:rPr>
              <w:t>0.0015kg/h</w:t>
            </w:r>
          </w:p>
        </w:tc>
        <w:tc>
          <w:tcPr>
            <w:tcW w:w="1134" w:type="dxa"/>
            <w:gridSpan w:val="2"/>
            <w:vAlign w:val="center"/>
          </w:tcPr>
          <w:p w14:paraId="2C468810" w14:textId="53BEB823" w:rsidR="00854861" w:rsidRPr="00E67914" w:rsidRDefault="00854861" w:rsidP="00854861">
            <w:pPr>
              <w:snapToGrid w:val="0"/>
              <w:jc w:val="center"/>
              <w:rPr>
                <w:rFonts w:ascii="Times New Roman" w:hAnsi="Times New Roman"/>
                <w:kern w:val="2"/>
                <w:sz w:val="21"/>
                <w:szCs w:val="21"/>
              </w:rPr>
            </w:pPr>
            <w:r w:rsidRPr="00E67914">
              <w:rPr>
                <w:rFonts w:ascii="Times New Roman" w:hAnsi="Times New Roman"/>
                <w:sz w:val="21"/>
                <w:szCs w:val="21"/>
              </w:rPr>
              <w:t>0.013t/a</w:t>
            </w:r>
            <w:r w:rsidRPr="00E67914">
              <w:rPr>
                <w:rFonts w:ascii="Times New Roman" w:hAnsi="Times New Roman"/>
                <w:sz w:val="21"/>
                <w:szCs w:val="21"/>
              </w:rPr>
              <w:t>；</w:t>
            </w:r>
            <w:r w:rsidRPr="00E67914">
              <w:rPr>
                <w:rFonts w:ascii="Times New Roman" w:hAnsi="Times New Roman"/>
                <w:sz w:val="21"/>
                <w:szCs w:val="21"/>
              </w:rPr>
              <w:t>0.0015kg/h</w:t>
            </w:r>
          </w:p>
        </w:tc>
        <w:tc>
          <w:tcPr>
            <w:tcW w:w="2415" w:type="dxa"/>
            <w:vMerge/>
            <w:vAlign w:val="center"/>
          </w:tcPr>
          <w:p w14:paraId="28DE9C1D" w14:textId="77777777" w:rsidR="00854861" w:rsidRPr="00E67914" w:rsidRDefault="00854861" w:rsidP="00854861">
            <w:pPr>
              <w:snapToGrid w:val="0"/>
              <w:jc w:val="center"/>
              <w:rPr>
                <w:rFonts w:ascii="Times New Roman" w:hAnsi="Times New Roman"/>
                <w:sz w:val="21"/>
                <w:szCs w:val="21"/>
                <w:lang w:eastAsia="zh-CN"/>
              </w:rPr>
            </w:pPr>
          </w:p>
        </w:tc>
      </w:tr>
      <w:tr w:rsidR="00854861" w:rsidRPr="00E67914" w14:paraId="4B6A7C78" w14:textId="77777777">
        <w:trPr>
          <w:cantSplit/>
          <w:jc w:val="center"/>
        </w:trPr>
        <w:tc>
          <w:tcPr>
            <w:tcW w:w="704" w:type="dxa"/>
            <w:vMerge/>
            <w:tcMar>
              <w:left w:w="0" w:type="dxa"/>
              <w:right w:w="0" w:type="dxa"/>
            </w:tcMar>
            <w:vAlign w:val="center"/>
          </w:tcPr>
          <w:p w14:paraId="030AE96A" w14:textId="77777777" w:rsidR="00854861" w:rsidRPr="00E67914" w:rsidRDefault="00854861" w:rsidP="00854861">
            <w:pPr>
              <w:snapToGrid w:val="0"/>
              <w:jc w:val="center"/>
              <w:rPr>
                <w:rFonts w:ascii="Times New Roman" w:hAnsi="Times New Roman"/>
                <w:sz w:val="21"/>
                <w:szCs w:val="21"/>
                <w:lang w:eastAsia="zh-CN"/>
              </w:rPr>
            </w:pPr>
          </w:p>
        </w:tc>
        <w:tc>
          <w:tcPr>
            <w:tcW w:w="1559" w:type="dxa"/>
            <w:vMerge/>
            <w:vAlign w:val="center"/>
          </w:tcPr>
          <w:p w14:paraId="54A94CAA" w14:textId="77777777" w:rsidR="00854861" w:rsidRPr="00E67914" w:rsidRDefault="00854861" w:rsidP="00854861">
            <w:pPr>
              <w:snapToGrid w:val="0"/>
              <w:jc w:val="center"/>
              <w:rPr>
                <w:rFonts w:ascii="Times New Roman" w:hAnsi="Times New Roman"/>
                <w:sz w:val="21"/>
                <w:szCs w:val="21"/>
                <w:lang w:eastAsia="zh-CN"/>
              </w:rPr>
            </w:pPr>
          </w:p>
        </w:tc>
        <w:tc>
          <w:tcPr>
            <w:tcW w:w="1134" w:type="dxa"/>
            <w:vAlign w:val="center"/>
          </w:tcPr>
          <w:p w14:paraId="7DEF08B2" w14:textId="72507959"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kern w:val="2"/>
                <w:sz w:val="21"/>
                <w:szCs w:val="21"/>
              </w:rPr>
              <w:t>烟尘</w:t>
            </w:r>
          </w:p>
        </w:tc>
        <w:tc>
          <w:tcPr>
            <w:tcW w:w="1276" w:type="dxa"/>
            <w:vAlign w:val="center"/>
          </w:tcPr>
          <w:p w14:paraId="562D9DEF" w14:textId="1EC18ECB"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0.018t/a</w:t>
            </w:r>
            <w:r w:rsidRPr="00E67914">
              <w:rPr>
                <w:rFonts w:ascii="Times New Roman" w:hAnsi="Times New Roman"/>
                <w:sz w:val="21"/>
                <w:szCs w:val="21"/>
              </w:rPr>
              <w:t>；</w:t>
            </w:r>
            <w:r w:rsidRPr="00E67914">
              <w:rPr>
                <w:rFonts w:ascii="Times New Roman" w:hAnsi="Times New Roman"/>
                <w:sz w:val="21"/>
                <w:szCs w:val="21"/>
              </w:rPr>
              <w:t>0.0021kg/h</w:t>
            </w:r>
          </w:p>
        </w:tc>
        <w:tc>
          <w:tcPr>
            <w:tcW w:w="1134" w:type="dxa"/>
            <w:gridSpan w:val="2"/>
            <w:vAlign w:val="center"/>
          </w:tcPr>
          <w:p w14:paraId="2F10AAAC" w14:textId="56AAE65D"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0.018t/a</w:t>
            </w:r>
            <w:r w:rsidRPr="00E67914">
              <w:rPr>
                <w:rFonts w:ascii="Times New Roman" w:hAnsi="Times New Roman"/>
                <w:sz w:val="21"/>
                <w:szCs w:val="21"/>
              </w:rPr>
              <w:t>；</w:t>
            </w:r>
            <w:r w:rsidRPr="00E67914">
              <w:rPr>
                <w:rFonts w:ascii="Times New Roman" w:hAnsi="Times New Roman"/>
                <w:sz w:val="21"/>
                <w:szCs w:val="21"/>
              </w:rPr>
              <w:t>0.0021kg/h</w:t>
            </w:r>
          </w:p>
        </w:tc>
        <w:tc>
          <w:tcPr>
            <w:tcW w:w="2415" w:type="dxa"/>
            <w:vMerge/>
            <w:vAlign w:val="center"/>
          </w:tcPr>
          <w:p w14:paraId="2D7061F3" w14:textId="77777777" w:rsidR="00854861" w:rsidRPr="00E67914" w:rsidRDefault="00854861" w:rsidP="00854861">
            <w:pPr>
              <w:snapToGrid w:val="0"/>
              <w:jc w:val="center"/>
              <w:rPr>
                <w:rFonts w:ascii="Times New Roman" w:hAnsi="Times New Roman"/>
                <w:sz w:val="21"/>
                <w:szCs w:val="21"/>
                <w:lang w:eastAsia="zh-CN"/>
              </w:rPr>
            </w:pPr>
          </w:p>
        </w:tc>
      </w:tr>
      <w:tr w:rsidR="00854861" w:rsidRPr="00E67914" w14:paraId="53C4F7B4" w14:textId="77777777">
        <w:trPr>
          <w:cantSplit/>
          <w:jc w:val="center"/>
        </w:trPr>
        <w:tc>
          <w:tcPr>
            <w:tcW w:w="704" w:type="dxa"/>
            <w:vMerge/>
            <w:tcMar>
              <w:left w:w="0" w:type="dxa"/>
              <w:right w:w="0" w:type="dxa"/>
            </w:tcMar>
            <w:vAlign w:val="center"/>
          </w:tcPr>
          <w:p w14:paraId="308185BB" w14:textId="77777777" w:rsidR="00854861" w:rsidRPr="00E67914" w:rsidRDefault="00854861" w:rsidP="00854861">
            <w:pPr>
              <w:snapToGrid w:val="0"/>
              <w:jc w:val="center"/>
              <w:rPr>
                <w:rFonts w:ascii="Times New Roman" w:hAnsi="Times New Roman"/>
                <w:sz w:val="21"/>
                <w:szCs w:val="21"/>
                <w:lang w:eastAsia="zh-CN"/>
              </w:rPr>
            </w:pPr>
          </w:p>
        </w:tc>
        <w:tc>
          <w:tcPr>
            <w:tcW w:w="1559" w:type="dxa"/>
            <w:vMerge w:val="restart"/>
            <w:vAlign w:val="center"/>
          </w:tcPr>
          <w:p w14:paraId="73F42648" w14:textId="267B4D1E"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bCs/>
                <w:sz w:val="21"/>
                <w:szCs w:val="21"/>
                <w:lang w:eastAsia="zh-CN"/>
              </w:rPr>
              <w:t>火炬及放空系统长明灯燃烧废气</w:t>
            </w:r>
          </w:p>
        </w:tc>
        <w:tc>
          <w:tcPr>
            <w:tcW w:w="1134" w:type="dxa"/>
            <w:vAlign w:val="center"/>
          </w:tcPr>
          <w:p w14:paraId="786D7FB4" w14:textId="04A2E85C" w:rsidR="00854861" w:rsidRPr="00E67914" w:rsidRDefault="00854861" w:rsidP="00854861">
            <w:pPr>
              <w:snapToGrid w:val="0"/>
              <w:jc w:val="center"/>
              <w:rPr>
                <w:rFonts w:ascii="Times New Roman" w:hAnsi="Times New Roman"/>
                <w:kern w:val="2"/>
                <w:sz w:val="21"/>
                <w:szCs w:val="21"/>
                <w:lang w:eastAsia="zh-CN"/>
              </w:rPr>
            </w:pPr>
            <w:r w:rsidRPr="00E67914">
              <w:rPr>
                <w:rFonts w:ascii="Times New Roman" w:hAnsi="Times New Roman"/>
                <w:kern w:val="2"/>
                <w:sz w:val="21"/>
                <w:szCs w:val="21"/>
              </w:rPr>
              <w:t>烟气流量</w:t>
            </w:r>
          </w:p>
        </w:tc>
        <w:tc>
          <w:tcPr>
            <w:tcW w:w="1276" w:type="dxa"/>
            <w:vAlign w:val="center"/>
          </w:tcPr>
          <w:p w14:paraId="1BC91DCB" w14:textId="6B789FA9"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503.68</w:t>
            </w:r>
            <w:r w:rsidRPr="00E67914">
              <w:rPr>
                <w:rFonts w:ascii="Times New Roman" w:hAnsi="Times New Roman"/>
                <w:sz w:val="21"/>
                <w:szCs w:val="21"/>
              </w:rPr>
              <w:t>万</w:t>
            </w:r>
            <w:r w:rsidRPr="00E67914">
              <w:rPr>
                <w:rFonts w:ascii="Times New Roman" w:hAnsi="Times New Roman"/>
                <w:sz w:val="21"/>
                <w:szCs w:val="21"/>
              </w:rPr>
              <w:t>Nm</w:t>
            </w:r>
            <w:r w:rsidRPr="00E67914">
              <w:rPr>
                <w:rFonts w:ascii="Times New Roman" w:hAnsi="Times New Roman"/>
                <w:sz w:val="21"/>
                <w:szCs w:val="21"/>
                <w:vertAlign w:val="superscript"/>
              </w:rPr>
              <w:t>3</w:t>
            </w:r>
            <w:r w:rsidRPr="00E67914">
              <w:rPr>
                <w:rFonts w:ascii="Times New Roman" w:hAnsi="Times New Roman"/>
                <w:sz w:val="21"/>
                <w:szCs w:val="21"/>
              </w:rPr>
              <w:t>/a</w:t>
            </w:r>
          </w:p>
        </w:tc>
        <w:tc>
          <w:tcPr>
            <w:tcW w:w="1134" w:type="dxa"/>
            <w:gridSpan w:val="2"/>
            <w:vAlign w:val="center"/>
          </w:tcPr>
          <w:p w14:paraId="0D88C2E6" w14:textId="42359743"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503.68</w:t>
            </w:r>
            <w:r w:rsidRPr="00E67914">
              <w:rPr>
                <w:rFonts w:ascii="Times New Roman" w:hAnsi="Times New Roman"/>
                <w:sz w:val="21"/>
                <w:szCs w:val="21"/>
              </w:rPr>
              <w:t>万</w:t>
            </w:r>
            <w:r w:rsidRPr="00E67914">
              <w:rPr>
                <w:rFonts w:ascii="Times New Roman" w:hAnsi="Times New Roman"/>
                <w:sz w:val="21"/>
                <w:szCs w:val="21"/>
              </w:rPr>
              <w:t>Nm</w:t>
            </w:r>
            <w:r w:rsidRPr="00E67914">
              <w:rPr>
                <w:rFonts w:ascii="Times New Roman" w:hAnsi="Times New Roman"/>
                <w:sz w:val="21"/>
                <w:szCs w:val="21"/>
                <w:vertAlign w:val="superscript"/>
              </w:rPr>
              <w:t>3</w:t>
            </w:r>
            <w:r w:rsidRPr="00E67914">
              <w:rPr>
                <w:rFonts w:ascii="Times New Roman" w:hAnsi="Times New Roman"/>
                <w:sz w:val="21"/>
                <w:szCs w:val="21"/>
              </w:rPr>
              <w:t>/a</w:t>
            </w:r>
          </w:p>
        </w:tc>
        <w:tc>
          <w:tcPr>
            <w:tcW w:w="2415" w:type="dxa"/>
            <w:vMerge w:val="restart"/>
            <w:vAlign w:val="center"/>
          </w:tcPr>
          <w:p w14:paraId="52A9B657" w14:textId="7C9A75FB" w:rsidR="00854861" w:rsidRPr="00E67914" w:rsidRDefault="00C660C1" w:rsidP="00854861">
            <w:pPr>
              <w:snapToGrid w:val="0"/>
              <w:jc w:val="center"/>
              <w:rPr>
                <w:rFonts w:ascii="Times New Roman" w:hAnsi="Times New Roman"/>
                <w:sz w:val="21"/>
                <w:szCs w:val="21"/>
                <w:lang w:eastAsia="zh-CN"/>
              </w:rPr>
            </w:pPr>
            <w:r w:rsidRPr="00E67914">
              <w:rPr>
                <w:rFonts w:ascii="Times New Roman" w:hAnsi="Times New Roman"/>
                <w:sz w:val="21"/>
                <w:szCs w:val="21"/>
                <w:lang w:eastAsia="zh-CN"/>
              </w:rPr>
              <w:t>通过</w:t>
            </w:r>
            <w:r w:rsidR="00854861" w:rsidRPr="00E67914">
              <w:rPr>
                <w:rFonts w:ascii="Times New Roman" w:hAnsi="Times New Roman"/>
                <w:sz w:val="21"/>
                <w:szCs w:val="21"/>
                <w:lang w:eastAsia="zh-CN"/>
              </w:rPr>
              <w:t>25m</w:t>
            </w:r>
            <w:r w:rsidR="00854861" w:rsidRPr="00E67914">
              <w:rPr>
                <w:rFonts w:ascii="Times New Roman" w:hAnsi="Times New Roman"/>
                <w:sz w:val="21"/>
                <w:szCs w:val="21"/>
                <w:lang w:eastAsia="zh-CN"/>
              </w:rPr>
              <w:t>高</w:t>
            </w:r>
            <w:r w:rsidR="00FC2143" w:rsidRPr="00E67914">
              <w:rPr>
                <w:rFonts w:ascii="Times New Roman" w:hAnsi="Times New Roman"/>
                <w:sz w:val="21"/>
                <w:szCs w:val="21"/>
                <w:lang w:eastAsia="zh-CN"/>
              </w:rPr>
              <w:t>火炬燃烧排放</w:t>
            </w:r>
          </w:p>
        </w:tc>
      </w:tr>
      <w:tr w:rsidR="00854861" w:rsidRPr="00E67914" w14:paraId="3DBED4BC" w14:textId="77777777">
        <w:trPr>
          <w:cantSplit/>
          <w:jc w:val="center"/>
        </w:trPr>
        <w:tc>
          <w:tcPr>
            <w:tcW w:w="704" w:type="dxa"/>
            <w:vMerge/>
            <w:tcMar>
              <w:left w:w="0" w:type="dxa"/>
              <w:right w:w="0" w:type="dxa"/>
            </w:tcMar>
            <w:vAlign w:val="center"/>
          </w:tcPr>
          <w:p w14:paraId="7DDB7D1B" w14:textId="77777777" w:rsidR="00854861" w:rsidRPr="00E67914" w:rsidRDefault="00854861" w:rsidP="00854861">
            <w:pPr>
              <w:snapToGrid w:val="0"/>
              <w:jc w:val="center"/>
              <w:rPr>
                <w:rFonts w:ascii="Times New Roman" w:hAnsi="Times New Roman"/>
                <w:sz w:val="21"/>
                <w:szCs w:val="21"/>
                <w:lang w:eastAsia="zh-CN"/>
              </w:rPr>
            </w:pPr>
          </w:p>
        </w:tc>
        <w:tc>
          <w:tcPr>
            <w:tcW w:w="1559" w:type="dxa"/>
            <w:vMerge/>
            <w:vAlign w:val="center"/>
          </w:tcPr>
          <w:p w14:paraId="685B6486" w14:textId="77777777" w:rsidR="00854861" w:rsidRPr="00E67914" w:rsidRDefault="00854861" w:rsidP="00854861">
            <w:pPr>
              <w:snapToGrid w:val="0"/>
              <w:jc w:val="center"/>
              <w:rPr>
                <w:rFonts w:ascii="Times New Roman" w:hAnsi="Times New Roman"/>
                <w:sz w:val="21"/>
                <w:szCs w:val="21"/>
                <w:lang w:eastAsia="zh-CN"/>
              </w:rPr>
            </w:pPr>
          </w:p>
        </w:tc>
        <w:tc>
          <w:tcPr>
            <w:tcW w:w="1134" w:type="dxa"/>
            <w:vAlign w:val="center"/>
          </w:tcPr>
          <w:p w14:paraId="152C624B" w14:textId="78B8D5D4" w:rsidR="00854861" w:rsidRPr="00E67914" w:rsidRDefault="00854861" w:rsidP="00854861">
            <w:pPr>
              <w:snapToGrid w:val="0"/>
              <w:jc w:val="center"/>
              <w:rPr>
                <w:rFonts w:ascii="Times New Roman" w:hAnsi="Times New Roman"/>
                <w:kern w:val="2"/>
                <w:sz w:val="21"/>
                <w:szCs w:val="21"/>
                <w:lang w:eastAsia="zh-CN"/>
              </w:rPr>
            </w:pPr>
            <w:r w:rsidRPr="00E67914">
              <w:rPr>
                <w:rFonts w:ascii="Times New Roman" w:hAnsi="Times New Roman"/>
                <w:kern w:val="2"/>
                <w:sz w:val="21"/>
                <w:szCs w:val="21"/>
              </w:rPr>
              <w:t>SO</w:t>
            </w:r>
            <w:r w:rsidRPr="00E67914">
              <w:rPr>
                <w:rFonts w:ascii="Times New Roman" w:hAnsi="Times New Roman"/>
                <w:kern w:val="2"/>
                <w:sz w:val="21"/>
                <w:szCs w:val="21"/>
                <w:vertAlign w:val="subscript"/>
              </w:rPr>
              <w:t>2</w:t>
            </w:r>
          </w:p>
        </w:tc>
        <w:tc>
          <w:tcPr>
            <w:tcW w:w="1276" w:type="dxa"/>
            <w:vAlign w:val="center"/>
          </w:tcPr>
          <w:p w14:paraId="62C38327" w14:textId="0D9209F0"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0.0640t/a</w:t>
            </w:r>
            <w:r w:rsidRPr="00E67914">
              <w:rPr>
                <w:rFonts w:ascii="Times New Roman" w:hAnsi="Times New Roman"/>
                <w:sz w:val="21"/>
                <w:szCs w:val="21"/>
              </w:rPr>
              <w:t>；</w:t>
            </w:r>
            <w:r w:rsidRPr="00E67914">
              <w:rPr>
                <w:rFonts w:ascii="Times New Roman" w:hAnsi="Times New Roman"/>
                <w:sz w:val="21"/>
                <w:szCs w:val="21"/>
              </w:rPr>
              <w:t>0.0073kg/h</w:t>
            </w:r>
          </w:p>
        </w:tc>
        <w:tc>
          <w:tcPr>
            <w:tcW w:w="1134" w:type="dxa"/>
            <w:gridSpan w:val="2"/>
            <w:vAlign w:val="center"/>
          </w:tcPr>
          <w:p w14:paraId="018B59F2" w14:textId="1CF8B8AA"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0.0640t/a</w:t>
            </w:r>
            <w:r w:rsidRPr="00E67914">
              <w:rPr>
                <w:rFonts w:ascii="Times New Roman" w:hAnsi="Times New Roman"/>
                <w:sz w:val="21"/>
                <w:szCs w:val="21"/>
              </w:rPr>
              <w:t>；</w:t>
            </w:r>
            <w:r w:rsidRPr="00E67914">
              <w:rPr>
                <w:rFonts w:ascii="Times New Roman" w:hAnsi="Times New Roman"/>
                <w:sz w:val="21"/>
                <w:szCs w:val="21"/>
              </w:rPr>
              <w:t>0.0073kg/h</w:t>
            </w:r>
          </w:p>
        </w:tc>
        <w:tc>
          <w:tcPr>
            <w:tcW w:w="2415" w:type="dxa"/>
            <w:vMerge/>
            <w:vAlign w:val="center"/>
          </w:tcPr>
          <w:p w14:paraId="5A06462B" w14:textId="77777777" w:rsidR="00854861" w:rsidRPr="00E67914" w:rsidRDefault="00854861" w:rsidP="00854861">
            <w:pPr>
              <w:snapToGrid w:val="0"/>
              <w:jc w:val="center"/>
              <w:rPr>
                <w:rFonts w:ascii="Times New Roman" w:hAnsi="Times New Roman"/>
                <w:sz w:val="21"/>
                <w:szCs w:val="21"/>
                <w:lang w:eastAsia="zh-CN"/>
              </w:rPr>
            </w:pPr>
          </w:p>
        </w:tc>
      </w:tr>
      <w:tr w:rsidR="00854861" w:rsidRPr="00E67914" w14:paraId="4D2CFAB6" w14:textId="77777777">
        <w:trPr>
          <w:cantSplit/>
          <w:jc w:val="center"/>
        </w:trPr>
        <w:tc>
          <w:tcPr>
            <w:tcW w:w="704" w:type="dxa"/>
            <w:vMerge/>
            <w:tcMar>
              <w:left w:w="0" w:type="dxa"/>
              <w:right w:w="0" w:type="dxa"/>
            </w:tcMar>
            <w:vAlign w:val="center"/>
          </w:tcPr>
          <w:p w14:paraId="08D598D7" w14:textId="77777777" w:rsidR="00854861" w:rsidRPr="00E67914" w:rsidRDefault="00854861" w:rsidP="00854861">
            <w:pPr>
              <w:snapToGrid w:val="0"/>
              <w:jc w:val="center"/>
              <w:rPr>
                <w:rFonts w:ascii="Times New Roman" w:hAnsi="Times New Roman"/>
                <w:sz w:val="21"/>
                <w:szCs w:val="21"/>
                <w:lang w:eastAsia="zh-CN"/>
              </w:rPr>
            </w:pPr>
          </w:p>
        </w:tc>
        <w:tc>
          <w:tcPr>
            <w:tcW w:w="1559" w:type="dxa"/>
            <w:vMerge/>
            <w:vAlign w:val="center"/>
          </w:tcPr>
          <w:p w14:paraId="055524A2" w14:textId="77777777" w:rsidR="00854861" w:rsidRPr="00E67914" w:rsidRDefault="00854861" w:rsidP="00854861">
            <w:pPr>
              <w:snapToGrid w:val="0"/>
              <w:jc w:val="center"/>
              <w:rPr>
                <w:rFonts w:ascii="Times New Roman" w:hAnsi="Times New Roman"/>
                <w:sz w:val="21"/>
                <w:szCs w:val="21"/>
                <w:lang w:eastAsia="zh-CN"/>
              </w:rPr>
            </w:pPr>
          </w:p>
        </w:tc>
        <w:tc>
          <w:tcPr>
            <w:tcW w:w="1134" w:type="dxa"/>
            <w:vAlign w:val="center"/>
          </w:tcPr>
          <w:p w14:paraId="2E6B1AFE" w14:textId="65F01FFF" w:rsidR="00854861" w:rsidRPr="00E67914" w:rsidRDefault="00854861" w:rsidP="00854861">
            <w:pPr>
              <w:snapToGrid w:val="0"/>
              <w:jc w:val="center"/>
              <w:rPr>
                <w:rFonts w:ascii="Times New Roman" w:hAnsi="Times New Roman"/>
                <w:kern w:val="2"/>
                <w:sz w:val="21"/>
                <w:szCs w:val="21"/>
                <w:lang w:eastAsia="zh-CN"/>
              </w:rPr>
            </w:pPr>
            <w:r w:rsidRPr="00E67914">
              <w:rPr>
                <w:rFonts w:ascii="Times New Roman" w:hAnsi="Times New Roman"/>
                <w:kern w:val="2"/>
                <w:sz w:val="21"/>
                <w:szCs w:val="21"/>
              </w:rPr>
              <w:t>NOx</w:t>
            </w:r>
          </w:p>
        </w:tc>
        <w:tc>
          <w:tcPr>
            <w:tcW w:w="1276" w:type="dxa"/>
            <w:vAlign w:val="center"/>
          </w:tcPr>
          <w:p w14:paraId="5DF74854" w14:textId="3693F343"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0.1497t/a</w:t>
            </w:r>
            <w:r w:rsidRPr="00E67914">
              <w:rPr>
                <w:rFonts w:ascii="Times New Roman" w:hAnsi="Times New Roman"/>
                <w:sz w:val="21"/>
                <w:szCs w:val="21"/>
              </w:rPr>
              <w:t>；</w:t>
            </w:r>
            <w:r w:rsidRPr="00E67914">
              <w:rPr>
                <w:rFonts w:ascii="Times New Roman" w:hAnsi="Times New Roman"/>
                <w:sz w:val="21"/>
                <w:szCs w:val="21"/>
              </w:rPr>
              <w:t>0.0171kg/h</w:t>
            </w:r>
          </w:p>
        </w:tc>
        <w:tc>
          <w:tcPr>
            <w:tcW w:w="1134" w:type="dxa"/>
            <w:gridSpan w:val="2"/>
            <w:vAlign w:val="center"/>
          </w:tcPr>
          <w:p w14:paraId="729EB859" w14:textId="0CD104A3"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0.1497t/a</w:t>
            </w:r>
            <w:r w:rsidRPr="00E67914">
              <w:rPr>
                <w:rFonts w:ascii="Times New Roman" w:hAnsi="Times New Roman"/>
                <w:sz w:val="21"/>
                <w:szCs w:val="21"/>
              </w:rPr>
              <w:t>；</w:t>
            </w:r>
            <w:r w:rsidRPr="00E67914">
              <w:rPr>
                <w:rFonts w:ascii="Times New Roman" w:hAnsi="Times New Roman"/>
                <w:sz w:val="21"/>
                <w:szCs w:val="21"/>
              </w:rPr>
              <w:t>0.0171kg/h</w:t>
            </w:r>
          </w:p>
        </w:tc>
        <w:tc>
          <w:tcPr>
            <w:tcW w:w="2415" w:type="dxa"/>
            <w:vMerge/>
            <w:vAlign w:val="center"/>
          </w:tcPr>
          <w:p w14:paraId="4E131582" w14:textId="77777777" w:rsidR="00854861" w:rsidRPr="00E67914" w:rsidRDefault="00854861" w:rsidP="00854861">
            <w:pPr>
              <w:snapToGrid w:val="0"/>
              <w:jc w:val="center"/>
              <w:rPr>
                <w:rFonts w:ascii="Times New Roman" w:hAnsi="Times New Roman"/>
                <w:sz w:val="21"/>
                <w:szCs w:val="21"/>
                <w:lang w:eastAsia="zh-CN"/>
              </w:rPr>
            </w:pPr>
          </w:p>
        </w:tc>
      </w:tr>
      <w:tr w:rsidR="00854861" w:rsidRPr="00E67914" w14:paraId="5CD889BA" w14:textId="77777777">
        <w:trPr>
          <w:cantSplit/>
          <w:jc w:val="center"/>
        </w:trPr>
        <w:tc>
          <w:tcPr>
            <w:tcW w:w="704" w:type="dxa"/>
            <w:vMerge/>
            <w:tcMar>
              <w:left w:w="0" w:type="dxa"/>
              <w:right w:w="0" w:type="dxa"/>
            </w:tcMar>
            <w:vAlign w:val="center"/>
          </w:tcPr>
          <w:p w14:paraId="617EB4E1" w14:textId="77777777" w:rsidR="00854861" w:rsidRPr="00E67914" w:rsidRDefault="00854861" w:rsidP="00854861">
            <w:pPr>
              <w:snapToGrid w:val="0"/>
              <w:jc w:val="center"/>
              <w:rPr>
                <w:rFonts w:ascii="Times New Roman" w:hAnsi="Times New Roman"/>
                <w:sz w:val="21"/>
                <w:szCs w:val="21"/>
                <w:lang w:eastAsia="zh-CN"/>
              </w:rPr>
            </w:pPr>
          </w:p>
        </w:tc>
        <w:tc>
          <w:tcPr>
            <w:tcW w:w="1559" w:type="dxa"/>
            <w:vMerge/>
            <w:vAlign w:val="center"/>
          </w:tcPr>
          <w:p w14:paraId="54EE0C21" w14:textId="77777777" w:rsidR="00854861" w:rsidRPr="00E67914" w:rsidRDefault="00854861" w:rsidP="00854861">
            <w:pPr>
              <w:snapToGrid w:val="0"/>
              <w:jc w:val="center"/>
              <w:rPr>
                <w:rFonts w:ascii="Times New Roman" w:hAnsi="Times New Roman"/>
                <w:sz w:val="21"/>
                <w:szCs w:val="21"/>
                <w:lang w:eastAsia="zh-CN"/>
              </w:rPr>
            </w:pPr>
          </w:p>
        </w:tc>
        <w:tc>
          <w:tcPr>
            <w:tcW w:w="1134" w:type="dxa"/>
            <w:vAlign w:val="center"/>
          </w:tcPr>
          <w:p w14:paraId="4B543983" w14:textId="48086EC0" w:rsidR="00854861" w:rsidRPr="00E67914" w:rsidRDefault="00854861" w:rsidP="00854861">
            <w:pPr>
              <w:snapToGrid w:val="0"/>
              <w:jc w:val="center"/>
              <w:rPr>
                <w:rFonts w:ascii="Times New Roman" w:hAnsi="Times New Roman"/>
                <w:kern w:val="2"/>
                <w:sz w:val="21"/>
                <w:szCs w:val="21"/>
                <w:lang w:eastAsia="zh-CN"/>
              </w:rPr>
            </w:pPr>
            <w:r w:rsidRPr="00E67914">
              <w:rPr>
                <w:rFonts w:ascii="Times New Roman" w:hAnsi="Times New Roman"/>
                <w:kern w:val="2"/>
                <w:sz w:val="21"/>
                <w:szCs w:val="21"/>
              </w:rPr>
              <w:t>烟尘</w:t>
            </w:r>
          </w:p>
        </w:tc>
        <w:tc>
          <w:tcPr>
            <w:tcW w:w="1276" w:type="dxa"/>
            <w:vAlign w:val="center"/>
          </w:tcPr>
          <w:p w14:paraId="792F232A" w14:textId="64E81838"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0.0458t/a</w:t>
            </w:r>
            <w:r w:rsidRPr="00E67914">
              <w:rPr>
                <w:rFonts w:ascii="Times New Roman" w:hAnsi="Times New Roman"/>
                <w:sz w:val="21"/>
                <w:szCs w:val="21"/>
              </w:rPr>
              <w:t>；</w:t>
            </w:r>
            <w:r w:rsidRPr="00E67914">
              <w:rPr>
                <w:rFonts w:ascii="Times New Roman" w:hAnsi="Times New Roman"/>
                <w:sz w:val="21"/>
                <w:szCs w:val="21"/>
              </w:rPr>
              <w:t>0.0052kg/h</w:t>
            </w:r>
          </w:p>
        </w:tc>
        <w:tc>
          <w:tcPr>
            <w:tcW w:w="1134" w:type="dxa"/>
            <w:gridSpan w:val="2"/>
            <w:vAlign w:val="center"/>
          </w:tcPr>
          <w:p w14:paraId="2064F487" w14:textId="49ABA181" w:rsidR="00854861" w:rsidRPr="00E67914" w:rsidRDefault="00854861" w:rsidP="00854861">
            <w:pPr>
              <w:snapToGrid w:val="0"/>
              <w:jc w:val="center"/>
              <w:rPr>
                <w:rFonts w:ascii="Times New Roman" w:hAnsi="Times New Roman"/>
                <w:sz w:val="21"/>
                <w:szCs w:val="21"/>
                <w:lang w:eastAsia="zh-CN"/>
              </w:rPr>
            </w:pPr>
            <w:r w:rsidRPr="00E67914">
              <w:rPr>
                <w:rFonts w:ascii="Times New Roman" w:hAnsi="Times New Roman"/>
                <w:sz w:val="21"/>
                <w:szCs w:val="21"/>
              </w:rPr>
              <w:t>0.0458t/a</w:t>
            </w:r>
            <w:r w:rsidRPr="00E67914">
              <w:rPr>
                <w:rFonts w:ascii="Times New Roman" w:hAnsi="Times New Roman"/>
                <w:sz w:val="21"/>
                <w:szCs w:val="21"/>
              </w:rPr>
              <w:t>；</w:t>
            </w:r>
            <w:r w:rsidRPr="00E67914">
              <w:rPr>
                <w:rFonts w:ascii="Times New Roman" w:hAnsi="Times New Roman"/>
                <w:sz w:val="21"/>
                <w:szCs w:val="21"/>
              </w:rPr>
              <w:t>0.0052kg/h</w:t>
            </w:r>
          </w:p>
        </w:tc>
        <w:tc>
          <w:tcPr>
            <w:tcW w:w="2415" w:type="dxa"/>
            <w:vMerge/>
            <w:vAlign w:val="center"/>
          </w:tcPr>
          <w:p w14:paraId="5C0592AB" w14:textId="77777777" w:rsidR="00854861" w:rsidRPr="00E67914" w:rsidRDefault="00854861" w:rsidP="00854861">
            <w:pPr>
              <w:snapToGrid w:val="0"/>
              <w:jc w:val="center"/>
              <w:rPr>
                <w:rFonts w:ascii="Times New Roman" w:hAnsi="Times New Roman"/>
                <w:sz w:val="21"/>
                <w:szCs w:val="21"/>
                <w:lang w:eastAsia="zh-CN"/>
              </w:rPr>
            </w:pPr>
          </w:p>
        </w:tc>
      </w:tr>
      <w:tr w:rsidR="00C660C1" w:rsidRPr="00E67914" w14:paraId="23730AF1" w14:textId="77777777">
        <w:trPr>
          <w:cantSplit/>
          <w:jc w:val="center"/>
        </w:trPr>
        <w:tc>
          <w:tcPr>
            <w:tcW w:w="704" w:type="dxa"/>
            <w:vMerge/>
            <w:tcMar>
              <w:left w:w="0" w:type="dxa"/>
              <w:right w:w="0" w:type="dxa"/>
            </w:tcMar>
            <w:vAlign w:val="center"/>
          </w:tcPr>
          <w:p w14:paraId="1DC051E1" w14:textId="77777777" w:rsidR="00C660C1" w:rsidRPr="00E67914" w:rsidRDefault="00C660C1" w:rsidP="00C660C1">
            <w:pPr>
              <w:snapToGrid w:val="0"/>
              <w:jc w:val="center"/>
              <w:rPr>
                <w:rFonts w:ascii="Times New Roman" w:hAnsi="Times New Roman"/>
                <w:sz w:val="21"/>
                <w:szCs w:val="21"/>
                <w:lang w:eastAsia="zh-CN"/>
              </w:rPr>
            </w:pPr>
          </w:p>
        </w:tc>
        <w:tc>
          <w:tcPr>
            <w:tcW w:w="1559" w:type="dxa"/>
            <w:vAlign w:val="center"/>
          </w:tcPr>
          <w:p w14:paraId="7611E52C" w14:textId="3461D399"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rPr>
              <w:t>油罐挥发气体</w:t>
            </w:r>
          </w:p>
        </w:tc>
        <w:tc>
          <w:tcPr>
            <w:tcW w:w="1134" w:type="dxa"/>
            <w:vAlign w:val="center"/>
          </w:tcPr>
          <w:p w14:paraId="2791D148" w14:textId="27FF510D" w:rsidR="00C660C1" w:rsidRPr="00E67914" w:rsidRDefault="00C660C1" w:rsidP="00C660C1">
            <w:pPr>
              <w:snapToGrid w:val="0"/>
              <w:jc w:val="center"/>
              <w:rPr>
                <w:rFonts w:ascii="Times New Roman" w:hAnsi="Times New Roman"/>
                <w:kern w:val="2"/>
                <w:sz w:val="21"/>
                <w:szCs w:val="21"/>
              </w:rPr>
            </w:pPr>
            <w:r w:rsidRPr="00E67914">
              <w:rPr>
                <w:rFonts w:ascii="Times New Roman" w:hAnsi="Times New Roman"/>
                <w:sz w:val="21"/>
                <w:szCs w:val="21"/>
              </w:rPr>
              <w:t>挥发性有机物</w:t>
            </w:r>
          </w:p>
        </w:tc>
        <w:tc>
          <w:tcPr>
            <w:tcW w:w="1276" w:type="dxa"/>
            <w:vAlign w:val="center"/>
          </w:tcPr>
          <w:p w14:paraId="20167A38" w14:textId="0716DAF6" w:rsidR="00C660C1" w:rsidRPr="00E67914" w:rsidRDefault="005549EB" w:rsidP="00C660C1">
            <w:pPr>
              <w:snapToGrid w:val="0"/>
              <w:jc w:val="center"/>
              <w:rPr>
                <w:rFonts w:ascii="Times New Roman" w:hAnsi="Times New Roman"/>
                <w:sz w:val="21"/>
                <w:szCs w:val="21"/>
              </w:rPr>
            </w:pPr>
            <w:r w:rsidRPr="00E67914">
              <w:rPr>
                <w:rFonts w:ascii="Times New Roman" w:hAnsi="Times New Roman"/>
                <w:sz w:val="21"/>
                <w:szCs w:val="21"/>
              </w:rPr>
              <w:t>0.</w:t>
            </w:r>
            <w:r w:rsidR="00CA24A3" w:rsidRPr="00E67914">
              <w:rPr>
                <w:rFonts w:ascii="Times New Roman" w:hAnsi="Times New Roman"/>
                <w:sz w:val="21"/>
                <w:szCs w:val="21"/>
              </w:rPr>
              <w:t>62</w:t>
            </w:r>
            <w:r w:rsidR="00C660C1" w:rsidRPr="00E67914">
              <w:rPr>
                <w:rFonts w:ascii="Times New Roman" w:hAnsi="Times New Roman"/>
                <w:sz w:val="21"/>
                <w:szCs w:val="21"/>
              </w:rPr>
              <w:t>t/a</w:t>
            </w:r>
          </w:p>
        </w:tc>
        <w:tc>
          <w:tcPr>
            <w:tcW w:w="1134" w:type="dxa"/>
            <w:gridSpan w:val="2"/>
            <w:vAlign w:val="center"/>
          </w:tcPr>
          <w:p w14:paraId="195B7FA0" w14:textId="1700B5F9" w:rsidR="00C660C1" w:rsidRPr="00E67914" w:rsidRDefault="005549EB" w:rsidP="00C660C1">
            <w:pPr>
              <w:snapToGrid w:val="0"/>
              <w:jc w:val="center"/>
              <w:rPr>
                <w:rFonts w:ascii="Times New Roman" w:hAnsi="Times New Roman"/>
                <w:sz w:val="21"/>
                <w:szCs w:val="21"/>
              </w:rPr>
            </w:pPr>
            <w:r w:rsidRPr="00E67914">
              <w:rPr>
                <w:rFonts w:ascii="Times New Roman" w:hAnsi="Times New Roman"/>
                <w:sz w:val="21"/>
                <w:szCs w:val="21"/>
              </w:rPr>
              <w:t>0.</w:t>
            </w:r>
            <w:r w:rsidR="00CA24A3" w:rsidRPr="00E67914">
              <w:rPr>
                <w:rFonts w:ascii="Times New Roman" w:hAnsi="Times New Roman"/>
                <w:sz w:val="21"/>
                <w:szCs w:val="21"/>
              </w:rPr>
              <w:t>62</w:t>
            </w:r>
            <w:r w:rsidR="00C660C1" w:rsidRPr="00E67914">
              <w:rPr>
                <w:rFonts w:ascii="Times New Roman" w:hAnsi="Times New Roman"/>
                <w:sz w:val="21"/>
                <w:szCs w:val="21"/>
              </w:rPr>
              <w:t>t/a</w:t>
            </w:r>
          </w:p>
        </w:tc>
        <w:tc>
          <w:tcPr>
            <w:tcW w:w="2415" w:type="dxa"/>
            <w:vAlign w:val="center"/>
          </w:tcPr>
          <w:p w14:paraId="663BE953" w14:textId="3A2C1B8F"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通过</w:t>
            </w:r>
            <w:r w:rsidRPr="00E67914">
              <w:rPr>
                <w:rFonts w:ascii="Times New Roman" w:hAnsi="Times New Roman"/>
                <w:sz w:val="21"/>
                <w:szCs w:val="21"/>
                <w:lang w:eastAsia="zh-CN"/>
              </w:rPr>
              <w:t>6m</w:t>
            </w:r>
            <w:r w:rsidRPr="00E67914">
              <w:rPr>
                <w:rFonts w:ascii="Times New Roman" w:hAnsi="Times New Roman"/>
                <w:sz w:val="21"/>
                <w:szCs w:val="21"/>
                <w:lang w:eastAsia="zh-CN"/>
              </w:rPr>
              <w:t>放空立管放空</w:t>
            </w:r>
          </w:p>
        </w:tc>
      </w:tr>
      <w:tr w:rsidR="00C660C1" w:rsidRPr="00E67914" w14:paraId="0A6B6E1F" w14:textId="77777777">
        <w:trPr>
          <w:cantSplit/>
          <w:jc w:val="center"/>
        </w:trPr>
        <w:tc>
          <w:tcPr>
            <w:tcW w:w="704" w:type="dxa"/>
            <w:vMerge/>
            <w:tcMar>
              <w:left w:w="0" w:type="dxa"/>
              <w:right w:w="0" w:type="dxa"/>
            </w:tcMar>
            <w:vAlign w:val="center"/>
          </w:tcPr>
          <w:p w14:paraId="37E27E93" w14:textId="77777777" w:rsidR="00C660C1" w:rsidRPr="00E67914" w:rsidRDefault="00C660C1" w:rsidP="00C660C1">
            <w:pPr>
              <w:snapToGrid w:val="0"/>
              <w:jc w:val="center"/>
              <w:rPr>
                <w:rFonts w:ascii="Times New Roman" w:hAnsi="Times New Roman"/>
                <w:sz w:val="21"/>
                <w:szCs w:val="21"/>
                <w:lang w:eastAsia="zh-CN"/>
              </w:rPr>
            </w:pPr>
          </w:p>
        </w:tc>
        <w:tc>
          <w:tcPr>
            <w:tcW w:w="1559" w:type="dxa"/>
            <w:vAlign w:val="center"/>
          </w:tcPr>
          <w:p w14:paraId="071EB1E3" w14:textId="08D5299B"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rPr>
              <w:t>凝析油装车挥发气体</w:t>
            </w:r>
          </w:p>
        </w:tc>
        <w:tc>
          <w:tcPr>
            <w:tcW w:w="1134" w:type="dxa"/>
            <w:vAlign w:val="center"/>
          </w:tcPr>
          <w:p w14:paraId="3F9AF4D5" w14:textId="74A9D687" w:rsidR="00C660C1" w:rsidRPr="00E67914" w:rsidRDefault="00C660C1" w:rsidP="00C660C1">
            <w:pPr>
              <w:snapToGrid w:val="0"/>
              <w:jc w:val="center"/>
              <w:rPr>
                <w:rFonts w:ascii="Times New Roman" w:hAnsi="Times New Roman"/>
                <w:kern w:val="2"/>
                <w:sz w:val="21"/>
                <w:szCs w:val="21"/>
              </w:rPr>
            </w:pPr>
            <w:r w:rsidRPr="00E67914">
              <w:rPr>
                <w:rFonts w:ascii="Times New Roman" w:hAnsi="Times New Roman"/>
                <w:sz w:val="21"/>
                <w:szCs w:val="21"/>
              </w:rPr>
              <w:t>挥发性有机物</w:t>
            </w:r>
          </w:p>
        </w:tc>
        <w:tc>
          <w:tcPr>
            <w:tcW w:w="1276" w:type="dxa"/>
            <w:vAlign w:val="center"/>
          </w:tcPr>
          <w:p w14:paraId="36AF5F07" w14:textId="7AD4E003" w:rsidR="00C660C1" w:rsidRPr="00E67914" w:rsidRDefault="00C660C1" w:rsidP="00C660C1">
            <w:pPr>
              <w:snapToGrid w:val="0"/>
              <w:jc w:val="center"/>
              <w:rPr>
                <w:rFonts w:ascii="Times New Roman" w:hAnsi="Times New Roman"/>
                <w:sz w:val="21"/>
                <w:szCs w:val="21"/>
              </w:rPr>
            </w:pPr>
            <w:r w:rsidRPr="00E67914">
              <w:rPr>
                <w:rFonts w:ascii="Times New Roman" w:hAnsi="Times New Roman"/>
                <w:sz w:val="21"/>
                <w:szCs w:val="21"/>
              </w:rPr>
              <w:t>0.12t/a</w:t>
            </w:r>
          </w:p>
        </w:tc>
        <w:tc>
          <w:tcPr>
            <w:tcW w:w="1134" w:type="dxa"/>
            <w:gridSpan w:val="2"/>
            <w:vAlign w:val="center"/>
          </w:tcPr>
          <w:p w14:paraId="00DD6C9C" w14:textId="66917F3F" w:rsidR="00C660C1" w:rsidRPr="00E67914" w:rsidRDefault="00C660C1" w:rsidP="00C660C1">
            <w:pPr>
              <w:snapToGrid w:val="0"/>
              <w:jc w:val="center"/>
              <w:rPr>
                <w:rFonts w:ascii="Times New Roman" w:hAnsi="Times New Roman"/>
                <w:sz w:val="21"/>
                <w:szCs w:val="21"/>
              </w:rPr>
            </w:pPr>
            <w:r w:rsidRPr="00E67914">
              <w:rPr>
                <w:rFonts w:ascii="Times New Roman" w:hAnsi="Times New Roman"/>
                <w:sz w:val="21"/>
                <w:szCs w:val="21"/>
              </w:rPr>
              <w:t>0.12t/a</w:t>
            </w:r>
          </w:p>
        </w:tc>
        <w:tc>
          <w:tcPr>
            <w:tcW w:w="2415" w:type="dxa"/>
            <w:vAlign w:val="center"/>
          </w:tcPr>
          <w:p w14:paraId="499C40B6" w14:textId="702BE45E"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无组织排放</w:t>
            </w:r>
          </w:p>
        </w:tc>
      </w:tr>
      <w:tr w:rsidR="00C660C1" w:rsidRPr="00E67914" w14:paraId="16B925A3" w14:textId="77777777">
        <w:trPr>
          <w:cantSplit/>
          <w:jc w:val="center"/>
        </w:trPr>
        <w:tc>
          <w:tcPr>
            <w:tcW w:w="704" w:type="dxa"/>
            <w:vMerge/>
            <w:tcMar>
              <w:left w:w="0" w:type="dxa"/>
              <w:right w:w="0" w:type="dxa"/>
            </w:tcMar>
            <w:vAlign w:val="center"/>
          </w:tcPr>
          <w:p w14:paraId="4F35F596" w14:textId="77777777" w:rsidR="00C660C1" w:rsidRPr="00E67914" w:rsidRDefault="00C660C1" w:rsidP="00C660C1">
            <w:pPr>
              <w:snapToGrid w:val="0"/>
              <w:jc w:val="center"/>
              <w:rPr>
                <w:rFonts w:ascii="Times New Roman" w:hAnsi="Times New Roman"/>
                <w:sz w:val="21"/>
                <w:szCs w:val="21"/>
                <w:lang w:eastAsia="zh-CN"/>
              </w:rPr>
            </w:pPr>
          </w:p>
        </w:tc>
        <w:tc>
          <w:tcPr>
            <w:tcW w:w="1559" w:type="dxa"/>
            <w:vAlign w:val="center"/>
          </w:tcPr>
          <w:p w14:paraId="641B6E35" w14:textId="1FCE7762"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非正常工况放空废气</w:t>
            </w:r>
          </w:p>
        </w:tc>
        <w:tc>
          <w:tcPr>
            <w:tcW w:w="1134" w:type="dxa"/>
            <w:vAlign w:val="center"/>
          </w:tcPr>
          <w:p w14:paraId="0B5FC49E"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CH</w:t>
            </w:r>
            <w:r w:rsidRPr="00E67914">
              <w:rPr>
                <w:rFonts w:ascii="Times New Roman" w:hAnsi="Times New Roman"/>
                <w:sz w:val="21"/>
                <w:szCs w:val="21"/>
                <w:vertAlign w:val="subscript"/>
                <w:lang w:eastAsia="zh-CN"/>
              </w:rPr>
              <w:t>4</w:t>
            </w:r>
          </w:p>
        </w:tc>
        <w:tc>
          <w:tcPr>
            <w:tcW w:w="1276" w:type="dxa"/>
            <w:vAlign w:val="center"/>
          </w:tcPr>
          <w:p w14:paraId="7406A14F" w14:textId="77777777" w:rsidR="00C660C1" w:rsidRPr="00E67914" w:rsidRDefault="00C660C1" w:rsidP="00C660C1">
            <w:pPr>
              <w:pStyle w:val="2"/>
              <w:spacing w:line="240" w:lineRule="auto"/>
              <w:ind w:firstLineChars="0" w:firstLine="0"/>
              <w:jc w:val="center"/>
              <w:rPr>
                <w:rFonts w:eastAsia="宋体"/>
                <w:bCs w:val="0"/>
                <w:sz w:val="21"/>
                <w:szCs w:val="21"/>
                <w:lang w:eastAsia="zh-CN"/>
              </w:rPr>
            </w:pPr>
            <w:bookmarkStart w:id="95" w:name="_Toc142754574"/>
            <w:bookmarkStart w:id="96" w:name="_Toc148654224"/>
            <w:r w:rsidRPr="00E67914">
              <w:rPr>
                <w:rFonts w:eastAsia="宋体"/>
                <w:bCs w:val="0"/>
                <w:sz w:val="21"/>
                <w:szCs w:val="21"/>
                <w:lang w:eastAsia="zh-CN"/>
              </w:rPr>
              <w:t>少量</w:t>
            </w:r>
            <w:bookmarkEnd w:id="95"/>
            <w:bookmarkEnd w:id="96"/>
          </w:p>
        </w:tc>
        <w:tc>
          <w:tcPr>
            <w:tcW w:w="1134" w:type="dxa"/>
            <w:gridSpan w:val="2"/>
            <w:vAlign w:val="center"/>
          </w:tcPr>
          <w:p w14:paraId="3D675194"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bCs/>
                <w:sz w:val="21"/>
                <w:szCs w:val="21"/>
                <w:lang w:eastAsia="zh-CN"/>
              </w:rPr>
              <w:t>少量</w:t>
            </w:r>
          </w:p>
        </w:tc>
        <w:tc>
          <w:tcPr>
            <w:tcW w:w="2415" w:type="dxa"/>
            <w:vAlign w:val="center"/>
          </w:tcPr>
          <w:p w14:paraId="3FB17A99" w14:textId="292005F4"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井口高压放空至</w:t>
            </w:r>
            <w:r w:rsidRPr="00E67914">
              <w:rPr>
                <w:rFonts w:ascii="Times New Roman" w:hAnsi="Times New Roman"/>
                <w:sz w:val="21"/>
                <w:szCs w:val="21"/>
                <w:lang w:eastAsia="zh-CN"/>
              </w:rPr>
              <w:t>25m</w:t>
            </w:r>
            <w:r w:rsidRPr="00E67914">
              <w:rPr>
                <w:rFonts w:ascii="Times New Roman" w:hAnsi="Times New Roman"/>
                <w:sz w:val="21"/>
                <w:szCs w:val="21"/>
                <w:lang w:eastAsia="zh-CN"/>
              </w:rPr>
              <w:t>高</w:t>
            </w:r>
            <w:r w:rsidR="00FC2143" w:rsidRPr="00E67914">
              <w:rPr>
                <w:rFonts w:ascii="Times New Roman" w:hAnsi="Times New Roman"/>
                <w:sz w:val="21"/>
                <w:szCs w:val="21"/>
                <w:lang w:eastAsia="zh-CN"/>
              </w:rPr>
              <w:t>火炬燃烧排放</w:t>
            </w:r>
            <w:r w:rsidRPr="00E67914">
              <w:rPr>
                <w:rFonts w:ascii="Times New Roman" w:hAnsi="Times New Roman"/>
                <w:sz w:val="21"/>
                <w:szCs w:val="21"/>
                <w:lang w:eastAsia="zh-CN"/>
              </w:rPr>
              <w:t>，工艺设备（含油罐）及站内外输管线气体通过</w:t>
            </w:r>
            <w:r w:rsidRPr="00E67914">
              <w:rPr>
                <w:rFonts w:ascii="Times New Roman" w:hAnsi="Times New Roman"/>
                <w:sz w:val="21"/>
                <w:szCs w:val="21"/>
                <w:lang w:eastAsia="zh-CN"/>
              </w:rPr>
              <w:t>6m</w:t>
            </w:r>
            <w:r w:rsidRPr="00E67914">
              <w:rPr>
                <w:rFonts w:ascii="Times New Roman" w:hAnsi="Times New Roman"/>
                <w:sz w:val="21"/>
                <w:szCs w:val="21"/>
                <w:lang w:eastAsia="zh-CN"/>
              </w:rPr>
              <w:t>放空立管放空</w:t>
            </w:r>
          </w:p>
        </w:tc>
      </w:tr>
      <w:tr w:rsidR="00C660C1" w:rsidRPr="00E67914" w14:paraId="24AA7DF2" w14:textId="77777777">
        <w:trPr>
          <w:cantSplit/>
          <w:jc w:val="center"/>
        </w:trPr>
        <w:tc>
          <w:tcPr>
            <w:tcW w:w="704" w:type="dxa"/>
            <w:vMerge w:val="restart"/>
            <w:tcMar>
              <w:left w:w="0" w:type="dxa"/>
              <w:right w:w="0" w:type="dxa"/>
            </w:tcMar>
            <w:vAlign w:val="center"/>
          </w:tcPr>
          <w:p w14:paraId="57E5A0D3"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废水</w:t>
            </w:r>
          </w:p>
        </w:tc>
        <w:tc>
          <w:tcPr>
            <w:tcW w:w="1559" w:type="dxa"/>
            <w:vAlign w:val="center"/>
          </w:tcPr>
          <w:p w14:paraId="1F57AADA" w14:textId="73D61F66"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气田水</w:t>
            </w:r>
          </w:p>
        </w:tc>
        <w:tc>
          <w:tcPr>
            <w:tcW w:w="1134" w:type="dxa"/>
            <w:vMerge w:val="restart"/>
            <w:vAlign w:val="center"/>
          </w:tcPr>
          <w:p w14:paraId="01422BC4"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石油类、悬浮物、</w:t>
            </w:r>
            <w:r w:rsidRPr="00E67914">
              <w:rPr>
                <w:rFonts w:ascii="Times New Roman" w:hAnsi="Times New Roman"/>
                <w:sz w:val="21"/>
                <w:szCs w:val="21"/>
                <w:lang w:eastAsia="zh-CN"/>
              </w:rPr>
              <w:t>COD</w:t>
            </w:r>
            <w:r w:rsidRPr="00E67914">
              <w:rPr>
                <w:rFonts w:ascii="Times New Roman" w:hAnsi="Times New Roman"/>
                <w:sz w:val="21"/>
                <w:szCs w:val="21"/>
                <w:lang w:eastAsia="zh-CN"/>
              </w:rPr>
              <w:t>及氯化物等</w:t>
            </w:r>
          </w:p>
        </w:tc>
        <w:tc>
          <w:tcPr>
            <w:tcW w:w="1276" w:type="dxa"/>
            <w:vAlign w:val="center"/>
          </w:tcPr>
          <w:p w14:paraId="6295A504" w14:textId="56C00F46" w:rsidR="00C660C1" w:rsidRPr="00E67914" w:rsidRDefault="00725496" w:rsidP="00C660C1">
            <w:pPr>
              <w:snapToGrid w:val="0"/>
              <w:jc w:val="center"/>
              <w:rPr>
                <w:rFonts w:ascii="Times New Roman" w:hAnsi="Times New Roman"/>
                <w:sz w:val="21"/>
                <w:szCs w:val="21"/>
                <w:lang w:eastAsia="zh-CN"/>
              </w:rPr>
            </w:pPr>
            <w:r w:rsidRPr="00E67914">
              <w:rPr>
                <w:rFonts w:ascii="Times New Roman" w:hAnsi="Times New Roman"/>
                <w:bCs/>
                <w:sz w:val="21"/>
                <w:szCs w:val="21"/>
                <w:lang w:eastAsia="zh-CN"/>
              </w:rPr>
              <w:t>42.7</w:t>
            </w:r>
            <w:r w:rsidR="00C660C1" w:rsidRPr="00E67914">
              <w:rPr>
                <w:rFonts w:ascii="Times New Roman" w:hAnsi="Times New Roman"/>
                <w:sz w:val="21"/>
                <w:szCs w:val="21"/>
                <w:lang w:eastAsia="zh-CN"/>
              </w:rPr>
              <w:t>m</w:t>
            </w:r>
            <w:r w:rsidR="00C660C1" w:rsidRPr="00E67914">
              <w:rPr>
                <w:rFonts w:ascii="Times New Roman" w:hAnsi="Times New Roman"/>
                <w:sz w:val="21"/>
                <w:szCs w:val="21"/>
                <w:vertAlign w:val="superscript"/>
                <w:lang w:eastAsia="zh-CN"/>
              </w:rPr>
              <w:t>3</w:t>
            </w:r>
            <w:r w:rsidR="00C660C1" w:rsidRPr="00E67914">
              <w:rPr>
                <w:rFonts w:ascii="Times New Roman" w:hAnsi="Times New Roman"/>
                <w:sz w:val="21"/>
                <w:szCs w:val="21"/>
                <w:lang w:eastAsia="zh-CN"/>
              </w:rPr>
              <w:t>/d</w:t>
            </w:r>
            <w:r w:rsidR="00C660C1" w:rsidRPr="00E67914">
              <w:rPr>
                <w:rFonts w:ascii="Times New Roman" w:hAnsi="Times New Roman"/>
                <w:sz w:val="21"/>
                <w:szCs w:val="21"/>
                <w:lang w:eastAsia="zh-CN"/>
              </w:rPr>
              <w:t>（初期可达</w:t>
            </w:r>
            <w:r w:rsidRPr="00E67914">
              <w:rPr>
                <w:rFonts w:ascii="Times New Roman" w:hAnsi="Times New Roman"/>
                <w:sz w:val="21"/>
                <w:szCs w:val="21"/>
                <w:lang w:eastAsia="zh-CN"/>
              </w:rPr>
              <w:t>16</w:t>
            </w:r>
            <w:r w:rsidR="00C660C1" w:rsidRPr="00E67914">
              <w:rPr>
                <w:rFonts w:ascii="Times New Roman" w:hAnsi="Times New Roman"/>
                <w:sz w:val="21"/>
                <w:szCs w:val="21"/>
                <w:lang w:eastAsia="zh-CN"/>
              </w:rPr>
              <w:t>0m</w:t>
            </w:r>
            <w:r w:rsidR="00C660C1" w:rsidRPr="00E67914">
              <w:rPr>
                <w:rFonts w:ascii="Times New Roman" w:hAnsi="Times New Roman"/>
                <w:sz w:val="21"/>
                <w:szCs w:val="21"/>
                <w:vertAlign w:val="superscript"/>
                <w:lang w:eastAsia="zh-CN"/>
              </w:rPr>
              <w:t>3</w:t>
            </w:r>
            <w:r w:rsidR="00C660C1" w:rsidRPr="00E67914">
              <w:rPr>
                <w:rFonts w:ascii="Times New Roman" w:hAnsi="Times New Roman"/>
                <w:sz w:val="21"/>
                <w:szCs w:val="21"/>
                <w:lang w:eastAsia="zh-CN"/>
              </w:rPr>
              <w:t>/d</w:t>
            </w:r>
            <w:r w:rsidR="00C660C1" w:rsidRPr="00E67914">
              <w:rPr>
                <w:rFonts w:ascii="Times New Roman" w:hAnsi="Times New Roman"/>
                <w:sz w:val="21"/>
                <w:szCs w:val="21"/>
                <w:lang w:eastAsia="zh-CN"/>
              </w:rPr>
              <w:t>）</w:t>
            </w:r>
          </w:p>
        </w:tc>
        <w:tc>
          <w:tcPr>
            <w:tcW w:w="1134" w:type="dxa"/>
            <w:gridSpan w:val="2"/>
            <w:vAlign w:val="center"/>
          </w:tcPr>
          <w:p w14:paraId="21E867BE"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415" w:type="dxa"/>
            <w:vMerge w:val="restart"/>
            <w:vAlign w:val="center"/>
          </w:tcPr>
          <w:p w14:paraId="6BE0A86E"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将废水用密闭罐车拉运至</w:t>
            </w:r>
            <w:r w:rsidRPr="00E67914">
              <w:rPr>
                <w:rFonts w:ascii="Times New Roman" w:hAnsi="Times New Roman"/>
                <w:bCs/>
                <w:sz w:val="21"/>
                <w:szCs w:val="21"/>
                <w:lang w:eastAsia="zh-CN"/>
              </w:rPr>
              <w:t>赵家坝污水处理站</w:t>
            </w:r>
            <w:r w:rsidRPr="00E67914">
              <w:rPr>
                <w:rFonts w:ascii="Times New Roman" w:hAnsi="Times New Roman"/>
                <w:sz w:val="21"/>
                <w:szCs w:val="21"/>
                <w:lang w:eastAsia="zh-CN"/>
              </w:rPr>
              <w:t>处理达标后经普光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w:t>
            </w:r>
          </w:p>
        </w:tc>
      </w:tr>
      <w:tr w:rsidR="00C660C1" w:rsidRPr="00E67914" w14:paraId="73A0EA3B" w14:textId="77777777">
        <w:trPr>
          <w:cantSplit/>
          <w:jc w:val="center"/>
        </w:trPr>
        <w:tc>
          <w:tcPr>
            <w:tcW w:w="704" w:type="dxa"/>
            <w:vMerge/>
            <w:tcMar>
              <w:left w:w="0" w:type="dxa"/>
              <w:right w:w="0" w:type="dxa"/>
            </w:tcMar>
            <w:vAlign w:val="center"/>
          </w:tcPr>
          <w:p w14:paraId="3BAE7BAA" w14:textId="77777777" w:rsidR="00C660C1" w:rsidRPr="00E67914" w:rsidRDefault="00C660C1" w:rsidP="00C660C1">
            <w:pPr>
              <w:snapToGrid w:val="0"/>
              <w:jc w:val="center"/>
              <w:rPr>
                <w:rFonts w:ascii="Times New Roman" w:hAnsi="Times New Roman"/>
                <w:sz w:val="21"/>
                <w:szCs w:val="21"/>
                <w:lang w:eastAsia="zh-CN"/>
              </w:rPr>
            </w:pPr>
          </w:p>
        </w:tc>
        <w:tc>
          <w:tcPr>
            <w:tcW w:w="1559" w:type="dxa"/>
            <w:vAlign w:val="center"/>
          </w:tcPr>
          <w:p w14:paraId="2FCAFEED"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非正常工况井下作业废水</w:t>
            </w:r>
          </w:p>
        </w:tc>
        <w:tc>
          <w:tcPr>
            <w:tcW w:w="1134" w:type="dxa"/>
            <w:vMerge/>
            <w:vAlign w:val="center"/>
          </w:tcPr>
          <w:p w14:paraId="19A29F98" w14:textId="77777777" w:rsidR="00C660C1" w:rsidRPr="00E67914" w:rsidRDefault="00C660C1" w:rsidP="00C660C1">
            <w:pPr>
              <w:snapToGrid w:val="0"/>
              <w:jc w:val="center"/>
              <w:rPr>
                <w:rFonts w:ascii="Times New Roman" w:hAnsi="Times New Roman"/>
                <w:sz w:val="21"/>
                <w:szCs w:val="21"/>
                <w:lang w:eastAsia="zh-CN"/>
              </w:rPr>
            </w:pPr>
          </w:p>
        </w:tc>
        <w:tc>
          <w:tcPr>
            <w:tcW w:w="1286" w:type="dxa"/>
            <w:gridSpan w:val="2"/>
            <w:vAlign w:val="center"/>
          </w:tcPr>
          <w:p w14:paraId="0ED1475D" w14:textId="4D2A26DA" w:rsidR="00C660C1" w:rsidRPr="00E67914" w:rsidRDefault="00725496" w:rsidP="00C660C1">
            <w:pPr>
              <w:snapToGrid w:val="0"/>
              <w:jc w:val="center"/>
              <w:rPr>
                <w:rFonts w:ascii="Times New Roman" w:hAnsi="Times New Roman"/>
                <w:sz w:val="21"/>
                <w:szCs w:val="21"/>
                <w:lang w:eastAsia="zh-CN"/>
              </w:rPr>
            </w:pPr>
            <w:r w:rsidRPr="00E67914">
              <w:rPr>
                <w:rFonts w:ascii="Times New Roman" w:hAnsi="Times New Roman"/>
                <w:bCs/>
                <w:sz w:val="21"/>
                <w:szCs w:val="21"/>
                <w:lang w:eastAsia="zh-CN"/>
              </w:rPr>
              <w:t>20</w:t>
            </w:r>
            <w:r w:rsidR="00C660C1" w:rsidRPr="00E67914">
              <w:rPr>
                <w:rFonts w:ascii="Times New Roman" w:hAnsi="Times New Roman"/>
                <w:bCs/>
                <w:sz w:val="21"/>
                <w:szCs w:val="21"/>
                <w:lang w:eastAsia="zh-CN"/>
              </w:rPr>
              <w:t>0m</w:t>
            </w:r>
            <w:r w:rsidR="00C660C1" w:rsidRPr="00E67914">
              <w:rPr>
                <w:rFonts w:ascii="Times New Roman" w:hAnsi="Times New Roman"/>
                <w:bCs/>
                <w:sz w:val="21"/>
                <w:szCs w:val="21"/>
                <w:vertAlign w:val="superscript"/>
                <w:lang w:eastAsia="zh-CN"/>
              </w:rPr>
              <w:t>3</w:t>
            </w:r>
            <w:r w:rsidR="00C660C1" w:rsidRPr="00E67914">
              <w:rPr>
                <w:rFonts w:ascii="Times New Roman" w:hAnsi="Times New Roman"/>
                <w:bCs/>
                <w:sz w:val="21"/>
                <w:szCs w:val="21"/>
                <w:lang w:eastAsia="zh-CN"/>
              </w:rPr>
              <w:t>/a</w:t>
            </w:r>
          </w:p>
        </w:tc>
        <w:tc>
          <w:tcPr>
            <w:tcW w:w="1124" w:type="dxa"/>
            <w:vAlign w:val="center"/>
          </w:tcPr>
          <w:p w14:paraId="0DAB76A8"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2415" w:type="dxa"/>
            <w:vMerge/>
            <w:vAlign w:val="center"/>
          </w:tcPr>
          <w:p w14:paraId="05F3C388" w14:textId="77777777" w:rsidR="00C660C1" w:rsidRPr="00E67914" w:rsidRDefault="00C660C1" w:rsidP="00C660C1">
            <w:pPr>
              <w:snapToGrid w:val="0"/>
              <w:jc w:val="center"/>
              <w:rPr>
                <w:rFonts w:ascii="Times New Roman" w:hAnsi="Times New Roman"/>
                <w:sz w:val="21"/>
                <w:szCs w:val="21"/>
                <w:lang w:eastAsia="zh-CN"/>
              </w:rPr>
            </w:pPr>
          </w:p>
        </w:tc>
      </w:tr>
      <w:tr w:rsidR="00C660C1" w:rsidRPr="00E67914" w14:paraId="510D2DF5" w14:textId="77777777">
        <w:trPr>
          <w:cantSplit/>
          <w:jc w:val="center"/>
        </w:trPr>
        <w:tc>
          <w:tcPr>
            <w:tcW w:w="704" w:type="dxa"/>
            <w:tcMar>
              <w:left w:w="0" w:type="dxa"/>
              <w:right w:w="0" w:type="dxa"/>
            </w:tcMar>
            <w:vAlign w:val="center"/>
          </w:tcPr>
          <w:p w14:paraId="7F46D19D"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噪声</w:t>
            </w:r>
          </w:p>
        </w:tc>
        <w:tc>
          <w:tcPr>
            <w:tcW w:w="1559" w:type="dxa"/>
            <w:vAlign w:val="center"/>
          </w:tcPr>
          <w:p w14:paraId="5AE481B9"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设备噪声</w:t>
            </w:r>
          </w:p>
        </w:tc>
        <w:tc>
          <w:tcPr>
            <w:tcW w:w="5959" w:type="dxa"/>
            <w:gridSpan w:val="5"/>
            <w:vAlign w:val="center"/>
          </w:tcPr>
          <w:p w14:paraId="0B5182A2"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设备选型时选择低噪声设备，设置减震基础；工艺管道的设计考虑合理的流速，减少气流噪声；站内设备合理布局。</w:t>
            </w:r>
          </w:p>
        </w:tc>
      </w:tr>
      <w:tr w:rsidR="00C660C1" w:rsidRPr="00E67914" w14:paraId="3D98A8AC" w14:textId="77777777">
        <w:trPr>
          <w:cantSplit/>
          <w:jc w:val="center"/>
        </w:trPr>
        <w:tc>
          <w:tcPr>
            <w:tcW w:w="704" w:type="dxa"/>
            <w:tcMar>
              <w:left w:w="0" w:type="dxa"/>
              <w:right w:w="0" w:type="dxa"/>
            </w:tcMar>
            <w:vAlign w:val="center"/>
          </w:tcPr>
          <w:p w14:paraId="01A8F72F"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固废</w:t>
            </w:r>
          </w:p>
        </w:tc>
        <w:tc>
          <w:tcPr>
            <w:tcW w:w="1559" w:type="dxa"/>
            <w:vAlign w:val="center"/>
          </w:tcPr>
          <w:p w14:paraId="4A1F7E1F" w14:textId="382CB093" w:rsidR="00C660C1" w:rsidRPr="00E67914" w:rsidRDefault="00725496"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清罐油泥</w:t>
            </w:r>
          </w:p>
        </w:tc>
        <w:tc>
          <w:tcPr>
            <w:tcW w:w="1134" w:type="dxa"/>
            <w:vAlign w:val="center"/>
          </w:tcPr>
          <w:p w14:paraId="35364002" w14:textId="760880FF" w:rsidR="00C660C1" w:rsidRPr="00E67914" w:rsidRDefault="00725496"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油泥</w:t>
            </w:r>
          </w:p>
        </w:tc>
        <w:tc>
          <w:tcPr>
            <w:tcW w:w="1276" w:type="dxa"/>
            <w:vAlign w:val="center"/>
          </w:tcPr>
          <w:p w14:paraId="7D425C5F" w14:textId="79E8DCB8" w:rsidR="00C660C1" w:rsidRPr="00E67914" w:rsidRDefault="00725496" w:rsidP="00C660C1">
            <w:pPr>
              <w:snapToGrid w:val="0"/>
              <w:jc w:val="center"/>
              <w:rPr>
                <w:rFonts w:ascii="Times New Roman" w:hAnsi="Times New Roman"/>
                <w:sz w:val="21"/>
                <w:szCs w:val="21"/>
                <w:lang w:eastAsia="zh-CN"/>
              </w:rPr>
            </w:pPr>
            <w:r w:rsidRPr="00E67914">
              <w:rPr>
                <w:rFonts w:ascii="Times New Roman" w:hAnsi="Times New Roman"/>
                <w:bCs/>
                <w:sz w:val="21"/>
                <w:szCs w:val="21"/>
                <w:lang w:eastAsia="zh-CN"/>
              </w:rPr>
              <w:t>0.27t/a</w:t>
            </w:r>
          </w:p>
        </w:tc>
        <w:tc>
          <w:tcPr>
            <w:tcW w:w="1134" w:type="dxa"/>
            <w:gridSpan w:val="2"/>
            <w:vAlign w:val="center"/>
          </w:tcPr>
          <w:p w14:paraId="75DEABEF" w14:textId="737EF5D1" w:rsidR="00C660C1" w:rsidRPr="00E67914" w:rsidRDefault="00725496" w:rsidP="00C660C1">
            <w:pPr>
              <w:snapToGrid w:val="0"/>
              <w:jc w:val="center"/>
              <w:rPr>
                <w:rFonts w:ascii="Times New Roman" w:hAnsi="Times New Roman"/>
                <w:sz w:val="21"/>
                <w:szCs w:val="21"/>
                <w:lang w:eastAsia="zh-CN"/>
              </w:rPr>
            </w:pPr>
            <w:r w:rsidRPr="00E67914">
              <w:rPr>
                <w:rFonts w:ascii="Times New Roman" w:hAnsi="Times New Roman"/>
                <w:bCs/>
                <w:sz w:val="21"/>
                <w:szCs w:val="21"/>
                <w:lang w:eastAsia="zh-CN"/>
              </w:rPr>
              <w:t>0.27t/a</w:t>
            </w:r>
          </w:p>
        </w:tc>
        <w:tc>
          <w:tcPr>
            <w:tcW w:w="2415" w:type="dxa"/>
            <w:vAlign w:val="center"/>
          </w:tcPr>
          <w:p w14:paraId="7A76E0BD" w14:textId="3A5B9ABB" w:rsidR="00C660C1" w:rsidRPr="00E67914" w:rsidRDefault="00725496"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由专业单位清理，清理后立即交有资质单位处置</w:t>
            </w:r>
          </w:p>
        </w:tc>
      </w:tr>
      <w:tr w:rsidR="00C660C1" w:rsidRPr="00E67914" w14:paraId="469723B2" w14:textId="77777777">
        <w:trPr>
          <w:cantSplit/>
          <w:jc w:val="center"/>
        </w:trPr>
        <w:tc>
          <w:tcPr>
            <w:tcW w:w="704" w:type="dxa"/>
            <w:tcMar>
              <w:left w:w="0" w:type="dxa"/>
              <w:right w:w="0" w:type="dxa"/>
            </w:tcMar>
            <w:vAlign w:val="center"/>
          </w:tcPr>
          <w:p w14:paraId="248BAB9F"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生态</w:t>
            </w:r>
          </w:p>
        </w:tc>
        <w:tc>
          <w:tcPr>
            <w:tcW w:w="1559" w:type="dxa"/>
            <w:vAlign w:val="center"/>
          </w:tcPr>
          <w:p w14:paraId="1D43C423" w14:textId="674BC3FC"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试采站等占地</w:t>
            </w:r>
          </w:p>
        </w:tc>
        <w:tc>
          <w:tcPr>
            <w:tcW w:w="3544" w:type="dxa"/>
            <w:gridSpan w:val="4"/>
            <w:vAlign w:val="center"/>
          </w:tcPr>
          <w:p w14:paraId="4BC8303B"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改变土地利用类型</w:t>
            </w:r>
          </w:p>
        </w:tc>
        <w:tc>
          <w:tcPr>
            <w:tcW w:w="2415" w:type="dxa"/>
            <w:vAlign w:val="center"/>
          </w:tcPr>
          <w:p w14:paraId="59EF2624"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加强站场绿化</w:t>
            </w:r>
          </w:p>
        </w:tc>
      </w:tr>
      <w:tr w:rsidR="00C660C1" w:rsidRPr="00E67914" w14:paraId="10D8F220" w14:textId="77777777">
        <w:trPr>
          <w:cantSplit/>
          <w:jc w:val="center"/>
        </w:trPr>
        <w:tc>
          <w:tcPr>
            <w:tcW w:w="704" w:type="dxa"/>
            <w:tcMar>
              <w:left w:w="0" w:type="dxa"/>
              <w:right w:w="0" w:type="dxa"/>
            </w:tcMar>
            <w:vAlign w:val="center"/>
          </w:tcPr>
          <w:p w14:paraId="2F413DBB" w14:textId="77777777" w:rsidR="00C660C1" w:rsidRPr="00E67914" w:rsidRDefault="00C660C1" w:rsidP="00C660C1">
            <w:pPr>
              <w:snapToGrid w:val="0"/>
              <w:jc w:val="center"/>
              <w:rPr>
                <w:rFonts w:ascii="Times New Roman" w:hAnsi="Times New Roman"/>
                <w:sz w:val="21"/>
                <w:szCs w:val="21"/>
                <w:lang w:eastAsia="zh-CN"/>
              </w:rPr>
            </w:pPr>
            <w:r w:rsidRPr="00E67914">
              <w:rPr>
                <w:rFonts w:ascii="Times New Roman" w:hAnsi="Times New Roman"/>
                <w:sz w:val="21"/>
                <w:szCs w:val="21"/>
                <w:lang w:eastAsia="zh-CN"/>
              </w:rPr>
              <w:t>环境风险</w:t>
            </w:r>
          </w:p>
        </w:tc>
        <w:tc>
          <w:tcPr>
            <w:tcW w:w="7518" w:type="dxa"/>
            <w:gridSpan w:val="6"/>
            <w:vAlign w:val="center"/>
          </w:tcPr>
          <w:p w14:paraId="74E9EF25" w14:textId="5EC66F73" w:rsidR="00C660C1" w:rsidRPr="00E67914" w:rsidRDefault="00C660C1" w:rsidP="00C660C1">
            <w:pPr>
              <w:snapToGrid w:val="0"/>
              <w:rPr>
                <w:rFonts w:ascii="Times New Roman" w:hAnsi="Times New Roman"/>
                <w:bCs/>
                <w:sz w:val="21"/>
                <w:szCs w:val="21"/>
                <w:lang w:eastAsia="zh-CN"/>
              </w:rPr>
            </w:pPr>
            <w:r w:rsidRPr="00E67914">
              <w:rPr>
                <w:rFonts w:ascii="Times New Roman" w:hAnsi="Times New Roman"/>
                <w:bCs/>
                <w:sz w:val="21"/>
                <w:szCs w:val="21"/>
                <w:lang w:eastAsia="zh-CN"/>
              </w:rPr>
              <w:t>1</w:t>
            </w:r>
            <w:r w:rsidRPr="00E67914">
              <w:rPr>
                <w:rFonts w:ascii="Times New Roman" w:hAnsi="Times New Roman"/>
                <w:bCs/>
                <w:sz w:val="21"/>
                <w:szCs w:val="21"/>
                <w:lang w:eastAsia="zh-CN"/>
              </w:rPr>
              <w:t>、试采期环境风险主要是</w:t>
            </w:r>
            <w:r w:rsidR="00725496" w:rsidRPr="00E67914">
              <w:rPr>
                <w:rFonts w:ascii="Times New Roman" w:hAnsi="Times New Roman"/>
                <w:bCs/>
                <w:sz w:val="21"/>
                <w:szCs w:val="21"/>
                <w:lang w:eastAsia="zh-CN"/>
              </w:rPr>
              <w:t>设备、</w:t>
            </w:r>
            <w:r w:rsidRPr="00E67914">
              <w:rPr>
                <w:rFonts w:ascii="Times New Roman" w:hAnsi="Times New Roman"/>
                <w:bCs/>
                <w:sz w:val="21"/>
                <w:szCs w:val="21"/>
                <w:lang w:eastAsia="zh-CN"/>
              </w:rPr>
              <w:t>采气管线发生破裂造成天然气</w:t>
            </w:r>
            <w:r w:rsidR="00725496" w:rsidRPr="00E67914">
              <w:rPr>
                <w:rFonts w:ascii="Times New Roman" w:hAnsi="Times New Roman"/>
                <w:bCs/>
                <w:sz w:val="21"/>
                <w:szCs w:val="21"/>
                <w:lang w:eastAsia="zh-CN"/>
              </w:rPr>
              <w:t>、凝析油</w:t>
            </w:r>
            <w:r w:rsidRPr="00E67914">
              <w:rPr>
                <w:rFonts w:ascii="Times New Roman" w:hAnsi="Times New Roman"/>
                <w:bCs/>
                <w:sz w:val="21"/>
                <w:szCs w:val="21"/>
                <w:lang w:eastAsia="zh-CN"/>
              </w:rPr>
              <w:t>泄漏事故以及泄露气体遇明火引起火灾或爆炸对附近人群生命财产造成伤害与损失。</w:t>
            </w:r>
          </w:p>
          <w:p w14:paraId="4D8851D5" w14:textId="77777777" w:rsidR="00C660C1" w:rsidRPr="00E67914" w:rsidRDefault="00C660C1" w:rsidP="00C660C1">
            <w:pPr>
              <w:snapToGrid w:val="0"/>
              <w:rPr>
                <w:rFonts w:ascii="Times New Roman" w:hAnsi="Times New Roman"/>
                <w:bCs/>
                <w:sz w:val="21"/>
                <w:szCs w:val="21"/>
                <w:lang w:eastAsia="zh-CN"/>
              </w:rPr>
            </w:pPr>
            <w:r w:rsidRPr="00E67914">
              <w:rPr>
                <w:rFonts w:ascii="Times New Roman" w:hAnsi="Times New Roman"/>
                <w:bCs/>
                <w:sz w:val="21"/>
                <w:szCs w:val="21"/>
                <w:lang w:eastAsia="zh-CN"/>
              </w:rPr>
              <w:t>2</w:t>
            </w:r>
            <w:r w:rsidRPr="00E67914">
              <w:rPr>
                <w:rFonts w:ascii="Times New Roman" w:hAnsi="Times New Roman"/>
                <w:bCs/>
                <w:sz w:val="21"/>
                <w:szCs w:val="21"/>
                <w:lang w:eastAsia="zh-CN"/>
              </w:rPr>
              <w:t>、试采站事故时的天然气放空，对附近人群生命财产造成伤害与损失。</w:t>
            </w:r>
          </w:p>
          <w:p w14:paraId="01B827BB" w14:textId="22F99EA9" w:rsidR="00C660C1" w:rsidRPr="00E67914" w:rsidRDefault="00C660C1" w:rsidP="00C660C1">
            <w:pPr>
              <w:snapToGrid w:val="0"/>
              <w:rPr>
                <w:rFonts w:ascii="Times New Roman" w:hAnsi="Times New Roman"/>
                <w:sz w:val="21"/>
                <w:szCs w:val="21"/>
                <w:lang w:eastAsia="zh-CN"/>
              </w:rPr>
            </w:pPr>
            <w:r w:rsidRPr="00E67914">
              <w:rPr>
                <w:rFonts w:ascii="Times New Roman" w:hAnsi="Times New Roman"/>
                <w:bCs/>
                <w:sz w:val="21"/>
                <w:szCs w:val="21"/>
                <w:lang w:eastAsia="zh-CN"/>
              </w:rPr>
              <w:t>3</w:t>
            </w:r>
            <w:r w:rsidRPr="00E67914">
              <w:rPr>
                <w:rFonts w:ascii="Times New Roman" w:hAnsi="Times New Roman"/>
                <w:bCs/>
                <w:sz w:val="21"/>
                <w:szCs w:val="21"/>
                <w:lang w:eastAsia="zh-CN"/>
              </w:rPr>
              <w:t>、放空分液罐、采出水罐存储的气田水泄漏环境风险；污染物外运处理中的运输风险等</w:t>
            </w:r>
          </w:p>
        </w:tc>
      </w:tr>
    </w:tbl>
    <w:p w14:paraId="613FD43C" w14:textId="77777777" w:rsidR="00A54A8A" w:rsidRPr="00E67914" w:rsidRDefault="00A54A8A">
      <w:pPr>
        <w:adjustRightInd w:val="0"/>
        <w:snapToGrid w:val="0"/>
        <w:spacing w:line="360" w:lineRule="auto"/>
        <w:ind w:firstLineChars="200" w:firstLine="480"/>
        <w:jc w:val="both"/>
        <w:rPr>
          <w:rFonts w:ascii="Times New Roman" w:hAnsi="Times New Roman"/>
          <w:sz w:val="24"/>
          <w:szCs w:val="24"/>
          <w:lang w:eastAsia="zh-CN"/>
        </w:rPr>
      </w:pPr>
    </w:p>
    <w:p w14:paraId="3C807698" w14:textId="77777777" w:rsidR="00A54A8A" w:rsidRPr="00E67914" w:rsidRDefault="00A54A8A">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A54A8A" w:rsidRPr="00E67914">
          <w:headerReference w:type="default" r:id="rId55"/>
          <w:footerReference w:type="default" r:id="rId56"/>
          <w:pgSz w:w="11910" w:h="16840"/>
          <w:pgMar w:top="1440" w:right="1800" w:bottom="1440" w:left="1800" w:header="1213" w:footer="635" w:gutter="0"/>
          <w:cols w:space="720"/>
          <w:docGrid w:linePitch="299"/>
        </w:sectPr>
      </w:pPr>
      <w:bookmarkStart w:id="97" w:name="_bookmark22"/>
      <w:bookmarkStart w:id="98" w:name="第四章__环境现状调查与评价"/>
      <w:bookmarkStart w:id="99" w:name="3.4.4污染物排放情况汇总"/>
      <w:bookmarkEnd w:id="97"/>
      <w:bookmarkEnd w:id="98"/>
      <w:bookmarkEnd w:id="99"/>
    </w:p>
    <w:p w14:paraId="27527B17"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100" w:name="_Toc148654225"/>
      <w:r w:rsidRPr="00E67914">
        <w:rPr>
          <w:rFonts w:ascii="Times New Roman" w:eastAsia="黑体" w:hAnsi="Times New Roman"/>
          <w:b w:val="0"/>
          <w:sz w:val="28"/>
          <w:szCs w:val="28"/>
          <w:lang w:eastAsia="zh-CN"/>
        </w:rPr>
        <w:lastRenderedPageBreak/>
        <w:t>4</w:t>
      </w:r>
      <w:r w:rsidRPr="00E67914">
        <w:rPr>
          <w:rFonts w:ascii="Times New Roman" w:eastAsia="黑体" w:hAnsi="Times New Roman"/>
          <w:b w:val="0"/>
          <w:sz w:val="28"/>
          <w:szCs w:val="28"/>
          <w:lang w:eastAsia="zh-CN"/>
        </w:rPr>
        <w:t>环境现状调查与评价</w:t>
      </w:r>
      <w:bookmarkEnd w:id="100"/>
    </w:p>
    <w:p w14:paraId="2248DAFA" w14:textId="77777777" w:rsidR="00A54A8A" w:rsidRPr="00E67914" w:rsidRDefault="00000000">
      <w:pPr>
        <w:pStyle w:val="2"/>
        <w:ind w:firstLine="480"/>
        <w:rPr>
          <w:szCs w:val="24"/>
          <w:lang w:eastAsia="zh-CN"/>
        </w:rPr>
      </w:pPr>
      <w:bookmarkStart w:id="101" w:name="_bookmark23"/>
      <w:bookmarkStart w:id="102" w:name="4.1自然环境现状"/>
      <w:bookmarkStart w:id="103" w:name="_Toc148654226"/>
      <w:bookmarkEnd w:id="101"/>
      <w:bookmarkEnd w:id="102"/>
      <w:r w:rsidRPr="00E67914">
        <w:rPr>
          <w:szCs w:val="24"/>
          <w:lang w:eastAsia="zh-CN"/>
        </w:rPr>
        <w:t>4.1</w:t>
      </w:r>
      <w:r w:rsidRPr="00E67914">
        <w:rPr>
          <w:szCs w:val="24"/>
          <w:lang w:eastAsia="zh-CN"/>
        </w:rPr>
        <w:t>自然环境现状</w:t>
      </w:r>
      <w:bookmarkEnd w:id="103"/>
    </w:p>
    <w:p w14:paraId="60057672"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04" w:name="4.1.1地理位置"/>
      <w:bookmarkEnd w:id="104"/>
      <w:r w:rsidRPr="00E67914">
        <w:rPr>
          <w:rFonts w:ascii="Times New Roman" w:eastAsia="黑体" w:hAnsi="Times New Roman"/>
          <w:b w:val="0"/>
          <w:sz w:val="24"/>
          <w:szCs w:val="24"/>
          <w:lang w:eastAsia="zh-CN"/>
        </w:rPr>
        <w:t>4.1.1</w:t>
      </w:r>
      <w:r w:rsidRPr="00E67914">
        <w:rPr>
          <w:rFonts w:ascii="Times New Roman" w:eastAsia="黑体" w:hAnsi="Times New Roman"/>
          <w:b w:val="0"/>
          <w:sz w:val="24"/>
          <w:szCs w:val="24"/>
          <w:lang w:eastAsia="zh-CN"/>
        </w:rPr>
        <w:t>地理位置</w:t>
      </w:r>
    </w:p>
    <w:p w14:paraId="4C9DD42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宣汉县介于东经</w:t>
      </w:r>
      <w:r w:rsidRPr="00E67914">
        <w:rPr>
          <w:rFonts w:ascii="Times New Roman" w:hAnsi="Times New Roman"/>
          <w:sz w:val="24"/>
          <w:szCs w:val="24"/>
          <w:lang w:eastAsia="zh-CN"/>
        </w:rPr>
        <w:t>107°22′</w:t>
      </w:r>
      <w:r w:rsidRPr="00E67914">
        <w:rPr>
          <w:rFonts w:ascii="Times New Roman" w:hAnsi="Times New Roman"/>
          <w:sz w:val="24"/>
          <w:szCs w:val="24"/>
          <w:lang w:eastAsia="zh-CN"/>
        </w:rPr>
        <w:t>至</w:t>
      </w:r>
      <w:r w:rsidRPr="00E67914">
        <w:rPr>
          <w:rFonts w:ascii="Times New Roman" w:hAnsi="Times New Roman"/>
          <w:sz w:val="24"/>
          <w:szCs w:val="24"/>
          <w:lang w:eastAsia="zh-CN"/>
        </w:rPr>
        <w:t>108°32′</w:t>
      </w:r>
      <w:r w:rsidRPr="00E67914">
        <w:rPr>
          <w:rFonts w:ascii="Times New Roman" w:hAnsi="Times New Roman"/>
          <w:sz w:val="24"/>
          <w:szCs w:val="24"/>
          <w:lang w:eastAsia="zh-CN"/>
        </w:rPr>
        <w:t>和北纬</w:t>
      </w:r>
      <w:r w:rsidRPr="00E67914">
        <w:rPr>
          <w:rFonts w:ascii="Times New Roman" w:hAnsi="Times New Roman"/>
          <w:sz w:val="24"/>
          <w:szCs w:val="24"/>
          <w:lang w:eastAsia="zh-CN"/>
        </w:rPr>
        <w:t>31°06′</w:t>
      </w:r>
      <w:r w:rsidRPr="00E67914">
        <w:rPr>
          <w:rFonts w:ascii="Times New Roman" w:hAnsi="Times New Roman"/>
          <w:sz w:val="24"/>
          <w:szCs w:val="24"/>
          <w:lang w:eastAsia="zh-CN"/>
        </w:rPr>
        <w:t>～</w:t>
      </w:r>
      <w:r w:rsidRPr="00E67914">
        <w:rPr>
          <w:rFonts w:ascii="Times New Roman" w:hAnsi="Times New Roman"/>
          <w:sz w:val="24"/>
          <w:szCs w:val="24"/>
          <w:lang w:eastAsia="zh-CN"/>
        </w:rPr>
        <w:t>31°49′</w:t>
      </w:r>
      <w:r w:rsidRPr="00E67914">
        <w:rPr>
          <w:rFonts w:ascii="Times New Roman" w:hAnsi="Times New Roman"/>
          <w:sz w:val="24"/>
          <w:szCs w:val="24"/>
          <w:lang w:eastAsia="zh-CN"/>
        </w:rPr>
        <w:t>之间。东北与城口接壤，东与开县相邻，南连开江，西接达川、通川和平昌，北与万源交界，是北通陕西、东达湖北的要口。境内地形地貌复杂、山势逶迤，由东北向西南倾斜绵延，呈</w:t>
      </w:r>
      <w:r w:rsidRPr="00E67914">
        <w:rPr>
          <w:rFonts w:ascii="Times New Roman" w:hAnsi="Times New Roman"/>
          <w:sz w:val="24"/>
          <w:szCs w:val="24"/>
          <w:lang w:eastAsia="zh-CN"/>
        </w:rPr>
        <w:t>“</w:t>
      </w:r>
      <w:r w:rsidRPr="00E67914">
        <w:rPr>
          <w:rFonts w:ascii="Times New Roman" w:hAnsi="Times New Roman"/>
          <w:sz w:val="24"/>
          <w:szCs w:val="24"/>
          <w:lang w:eastAsia="zh-CN"/>
        </w:rPr>
        <w:t>七山一水两分田</w:t>
      </w:r>
      <w:r w:rsidRPr="00E67914">
        <w:rPr>
          <w:rFonts w:ascii="Times New Roman" w:hAnsi="Times New Roman"/>
          <w:sz w:val="24"/>
          <w:szCs w:val="24"/>
          <w:lang w:eastAsia="zh-CN"/>
        </w:rPr>
        <w:t>”</w:t>
      </w:r>
      <w:r w:rsidRPr="00E67914">
        <w:rPr>
          <w:rFonts w:ascii="Times New Roman" w:hAnsi="Times New Roman"/>
          <w:sz w:val="24"/>
          <w:szCs w:val="24"/>
          <w:lang w:eastAsia="zh-CN"/>
        </w:rPr>
        <w:t>总体地貌。县境东西最长</w:t>
      </w:r>
      <w:r w:rsidRPr="00E67914">
        <w:rPr>
          <w:rFonts w:ascii="Times New Roman" w:hAnsi="Times New Roman"/>
          <w:sz w:val="24"/>
          <w:szCs w:val="24"/>
          <w:lang w:eastAsia="zh-CN"/>
        </w:rPr>
        <w:t>110.6km</w:t>
      </w:r>
      <w:r w:rsidRPr="00E67914">
        <w:rPr>
          <w:rFonts w:ascii="Times New Roman" w:hAnsi="Times New Roman"/>
          <w:sz w:val="24"/>
          <w:szCs w:val="24"/>
          <w:lang w:eastAsia="zh-CN"/>
        </w:rPr>
        <w:t>，南北最</w:t>
      </w:r>
      <w:r w:rsidRPr="00E67914">
        <w:rPr>
          <w:rFonts w:ascii="Times New Roman" w:hAnsi="Times New Roman"/>
          <w:sz w:val="24"/>
          <w:szCs w:val="24"/>
          <w:lang w:eastAsia="zh-CN"/>
        </w:rPr>
        <w:t>78.8km</w:t>
      </w:r>
      <w:r w:rsidRPr="00E67914">
        <w:rPr>
          <w:rFonts w:ascii="Times New Roman" w:hAnsi="Times New Roman"/>
          <w:sz w:val="24"/>
          <w:szCs w:val="24"/>
          <w:lang w:eastAsia="zh-CN"/>
        </w:rPr>
        <w:t>，边界线总长</w:t>
      </w:r>
      <w:r w:rsidRPr="00E67914">
        <w:rPr>
          <w:rFonts w:ascii="Times New Roman" w:hAnsi="Times New Roman"/>
          <w:sz w:val="24"/>
          <w:szCs w:val="24"/>
          <w:lang w:eastAsia="zh-CN"/>
        </w:rPr>
        <w:t>590.6km</w:t>
      </w:r>
      <w:r w:rsidRPr="00E67914">
        <w:rPr>
          <w:rFonts w:ascii="Times New Roman" w:hAnsi="Times New Roman"/>
          <w:sz w:val="24"/>
          <w:szCs w:val="24"/>
          <w:lang w:eastAsia="zh-CN"/>
        </w:rPr>
        <w:t>。</w:t>
      </w:r>
    </w:p>
    <w:p w14:paraId="5DE07C63" w14:textId="4F388BE0"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本项目位于</w:t>
      </w:r>
      <w:r w:rsidR="00DD2AA7" w:rsidRPr="00E67914">
        <w:rPr>
          <w:rFonts w:ascii="Times New Roman" w:hAnsi="Times New Roman"/>
          <w:sz w:val="24"/>
          <w:szCs w:val="24"/>
          <w:lang w:eastAsia="zh-CN"/>
        </w:rPr>
        <w:t>达州市宣汉县普光镇</w:t>
      </w:r>
      <w:r w:rsidR="00AE0282" w:rsidRPr="00E67914">
        <w:rPr>
          <w:rFonts w:ascii="Times New Roman" w:hAnsi="Times New Roman"/>
          <w:sz w:val="24"/>
          <w:szCs w:val="24"/>
          <w:lang w:eastAsia="zh-CN"/>
        </w:rPr>
        <w:t>陡梯村</w:t>
      </w:r>
      <w:r w:rsidRPr="00E67914">
        <w:rPr>
          <w:rFonts w:ascii="Times New Roman" w:hAnsi="Times New Roman"/>
          <w:sz w:val="24"/>
          <w:szCs w:val="24"/>
          <w:lang w:eastAsia="zh-CN"/>
        </w:rPr>
        <w:t>。项目地理位置见附图</w:t>
      </w:r>
      <w:r w:rsidRPr="00E67914">
        <w:rPr>
          <w:rFonts w:ascii="Times New Roman" w:hAnsi="Times New Roman"/>
          <w:sz w:val="24"/>
          <w:szCs w:val="24"/>
          <w:lang w:eastAsia="zh-CN"/>
        </w:rPr>
        <w:t>1</w:t>
      </w:r>
      <w:r w:rsidRPr="00E67914">
        <w:rPr>
          <w:rFonts w:ascii="Times New Roman" w:hAnsi="Times New Roman"/>
          <w:sz w:val="24"/>
          <w:szCs w:val="24"/>
          <w:lang w:eastAsia="zh-CN"/>
        </w:rPr>
        <w:t>。</w:t>
      </w:r>
    </w:p>
    <w:p w14:paraId="0810BFDB"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05" w:name="4.1.2地形、地貌"/>
      <w:bookmarkEnd w:id="105"/>
      <w:r w:rsidRPr="00E67914">
        <w:rPr>
          <w:rFonts w:ascii="Times New Roman" w:eastAsia="黑体" w:hAnsi="Times New Roman"/>
          <w:b w:val="0"/>
          <w:sz w:val="24"/>
          <w:szCs w:val="24"/>
          <w:lang w:eastAsia="zh-CN"/>
        </w:rPr>
        <w:t>4.1.2</w:t>
      </w:r>
      <w:r w:rsidRPr="00E67914">
        <w:rPr>
          <w:rFonts w:ascii="Times New Roman" w:eastAsia="黑体" w:hAnsi="Times New Roman"/>
          <w:b w:val="0"/>
          <w:sz w:val="24"/>
          <w:szCs w:val="24"/>
          <w:lang w:eastAsia="zh-CN"/>
        </w:rPr>
        <w:t>地形、地貌</w:t>
      </w:r>
    </w:p>
    <w:p w14:paraId="059CD88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宣汉县按地形、地貌形态可分为</w:t>
      </w:r>
      <w:r w:rsidRPr="00E67914">
        <w:rPr>
          <w:rFonts w:ascii="Times New Roman" w:hAnsi="Times New Roman"/>
          <w:sz w:val="24"/>
          <w:szCs w:val="24"/>
          <w:lang w:eastAsia="zh-CN"/>
        </w:rPr>
        <w:t>3</w:t>
      </w:r>
      <w:r w:rsidRPr="00E67914">
        <w:rPr>
          <w:rFonts w:ascii="Times New Roman" w:hAnsi="Times New Roman"/>
          <w:sz w:val="24"/>
          <w:szCs w:val="24"/>
          <w:lang w:eastAsia="zh-CN"/>
        </w:rPr>
        <w:t>区：一、丘陵河谷区，约占县境内四川地貌区划中属米仓山大巴山中山区和盆北低山区、盆东平行岭谷区的一部分，以低山和低中山为主。低山、中山面积占全县总幅员的</w:t>
      </w:r>
      <w:r w:rsidRPr="00E67914">
        <w:rPr>
          <w:rFonts w:ascii="Times New Roman" w:hAnsi="Times New Roman"/>
          <w:sz w:val="24"/>
          <w:szCs w:val="24"/>
          <w:lang w:eastAsia="zh-CN"/>
        </w:rPr>
        <w:t>90.2%</w:t>
      </w:r>
      <w:r w:rsidRPr="00E67914">
        <w:rPr>
          <w:rFonts w:ascii="Times New Roman" w:hAnsi="Times New Roman"/>
          <w:sz w:val="24"/>
          <w:szCs w:val="24"/>
          <w:lang w:eastAsia="zh-CN"/>
        </w:rPr>
        <w:t>；二、低山区，约占</w:t>
      </w:r>
      <w:r w:rsidRPr="00E67914">
        <w:rPr>
          <w:rFonts w:ascii="Times New Roman" w:hAnsi="Times New Roman"/>
          <w:sz w:val="24"/>
          <w:szCs w:val="24"/>
          <w:lang w:eastAsia="zh-CN"/>
        </w:rPr>
        <w:t>25%</w:t>
      </w:r>
      <w:r w:rsidRPr="00E67914">
        <w:rPr>
          <w:rFonts w:ascii="Times New Roman" w:hAnsi="Times New Roman"/>
          <w:sz w:val="24"/>
          <w:szCs w:val="24"/>
          <w:lang w:eastAsia="zh-CN"/>
        </w:rPr>
        <w:t>；三、低中山区，约占</w:t>
      </w:r>
      <w:r w:rsidRPr="00E67914">
        <w:rPr>
          <w:rFonts w:ascii="Times New Roman" w:hAnsi="Times New Roman"/>
          <w:sz w:val="24"/>
          <w:szCs w:val="24"/>
          <w:lang w:eastAsia="zh-CN"/>
        </w:rPr>
        <w:t>65.2%</w:t>
      </w:r>
      <w:r w:rsidRPr="00E67914">
        <w:rPr>
          <w:rFonts w:ascii="Times New Roman" w:hAnsi="Times New Roman"/>
          <w:sz w:val="24"/>
          <w:szCs w:val="24"/>
          <w:lang w:eastAsia="zh-CN"/>
        </w:rPr>
        <w:t>，可分为平坝、台地或高阶台地、浅丘陵、深丘陵、低山。</w:t>
      </w:r>
    </w:p>
    <w:p w14:paraId="6D2B6DB6"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06" w:name="4.1.3水文水系"/>
      <w:bookmarkEnd w:id="106"/>
      <w:r w:rsidRPr="00E67914">
        <w:rPr>
          <w:rFonts w:ascii="Times New Roman" w:eastAsia="黑体" w:hAnsi="Times New Roman"/>
          <w:b w:val="0"/>
          <w:sz w:val="24"/>
          <w:szCs w:val="24"/>
          <w:lang w:eastAsia="zh-CN"/>
        </w:rPr>
        <w:t>4.1.3</w:t>
      </w:r>
      <w:r w:rsidRPr="00E67914">
        <w:rPr>
          <w:rFonts w:ascii="Times New Roman" w:eastAsia="黑体" w:hAnsi="Times New Roman"/>
          <w:b w:val="0"/>
          <w:sz w:val="24"/>
          <w:szCs w:val="24"/>
          <w:lang w:eastAsia="zh-CN"/>
        </w:rPr>
        <w:t>水文水系</w:t>
      </w:r>
    </w:p>
    <w:p w14:paraId="361CC193"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1</w:t>
      </w:r>
      <w:r w:rsidRPr="00E67914">
        <w:rPr>
          <w:rFonts w:ascii="Times New Roman" w:hAnsi="Times New Roman"/>
          <w:lang w:eastAsia="zh-CN"/>
        </w:rPr>
        <w:t>、地表水</w:t>
      </w:r>
    </w:p>
    <w:p w14:paraId="7747CC22" w14:textId="2A742937" w:rsidR="000736F8" w:rsidRPr="00E67914" w:rsidRDefault="000736F8" w:rsidP="000736F8">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本工程建设区域属渠江流域。渠江流域位于四川盆地东北部，是四川省五大水系（嘉、涪、渠、岷、乌）之一，是嘉陵江右岸的最大支流。渠江源出流域北、东北部的大巴山南麓，流域面积为</w:t>
      </w:r>
      <w:r w:rsidRPr="00E67914">
        <w:rPr>
          <w:rFonts w:ascii="Times New Roman" w:hAnsi="Times New Roman"/>
          <w:lang w:eastAsia="zh-CN"/>
        </w:rPr>
        <w:t>39220km2</w:t>
      </w:r>
      <w:r w:rsidRPr="00E67914">
        <w:rPr>
          <w:rFonts w:ascii="Times New Roman" w:hAnsi="Times New Roman"/>
          <w:lang w:eastAsia="zh-CN"/>
        </w:rPr>
        <w:t>。渠江为多源头河流，其主要支流有前河、中河、后河；南江河、恩阳河、通江河。前三支流在宣汉汇而为州河；正流由南江、巴河、渠江三段自然河段组成。本工程建设区域内主要河流为后河及其支流三斗沟。后河于宣汉县城东汇入州河，并在渠县三汇镇汇入渠江，南流至合川后注入嘉陵江。</w:t>
      </w:r>
    </w:p>
    <w:p w14:paraId="083AF1F5" w14:textId="1BD06A7B" w:rsidR="00A54A8A" w:rsidRPr="00E67914" w:rsidRDefault="000736F8" w:rsidP="000736F8">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后河均属山溪性河流，河谷狭窄，河道弯曲，落差大。河道开阔段与峡谷段相间出现，滩沱交错，水量丰富。项目区后河属河道开阔段。</w:t>
      </w:r>
    </w:p>
    <w:p w14:paraId="5860F76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bookmarkStart w:id="107" w:name="_Toc19816012"/>
      <w:r w:rsidRPr="00E67914">
        <w:rPr>
          <w:rFonts w:ascii="Times New Roman" w:hAnsi="Times New Roman"/>
          <w:lang w:eastAsia="zh-CN"/>
        </w:rPr>
        <w:t>2</w:t>
      </w:r>
      <w:r w:rsidRPr="00E67914">
        <w:rPr>
          <w:rFonts w:ascii="Times New Roman" w:hAnsi="Times New Roman"/>
          <w:lang w:eastAsia="zh-CN"/>
        </w:rPr>
        <w:t>、</w:t>
      </w:r>
      <w:bookmarkEnd w:id="107"/>
      <w:r w:rsidRPr="00E67914">
        <w:rPr>
          <w:rFonts w:ascii="Times New Roman" w:hAnsi="Times New Roman"/>
          <w:lang w:eastAsia="zh-CN"/>
        </w:rPr>
        <w:t>地下水</w:t>
      </w:r>
    </w:p>
    <w:p w14:paraId="1B001B7D"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lastRenderedPageBreak/>
        <w:t>普光气田开发区内地下水类型包括松散堆积层孔隙水、碎屑岩裂隙孔隙水和基岩裂隙水，其中本项目所在区域以基岩裂隙水与碎屑岩类裂隙水为主。沟谷地段为地下水的排泄区。岩性变化地段和结构松散的卸荷岩体具有较强的透水性能，岩体的透水性具有随着深度的增加、卸荷的减弱而递减的一般规律。地层富水性差、水量较小，水位埋深一般小于</w:t>
      </w:r>
      <w:r w:rsidRPr="00E67914">
        <w:rPr>
          <w:rFonts w:ascii="Times New Roman" w:hAnsi="Times New Roman"/>
          <w:lang w:eastAsia="zh-CN"/>
        </w:rPr>
        <w:t>20m</w:t>
      </w:r>
      <w:r w:rsidRPr="00E67914">
        <w:rPr>
          <w:rFonts w:ascii="Times New Roman" w:hAnsi="Times New Roman"/>
          <w:lang w:eastAsia="zh-CN"/>
        </w:rPr>
        <w:t>，含水层顶板埋深一般小于</w:t>
      </w:r>
      <w:r w:rsidRPr="00E67914">
        <w:rPr>
          <w:rFonts w:ascii="Times New Roman" w:hAnsi="Times New Roman"/>
          <w:lang w:eastAsia="zh-CN"/>
        </w:rPr>
        <w:t>50m</w:t>
      </w:r>
      <w:r w:rsidRPr="00E67914">
        <w:rPr>
          <w:rFonts w:ascii="Times New Roman" w:hAnsi="Times New Roman"/>
          <w:lang w:eastAsia="zh-CN"/>
        </w:rPr>
        <w:t>。</w:t>
      </w:r>
    </w:p>
    <w:p w14:paraId="6E2B418E"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08" w:name="4.1.4气候气象"/>
      <w:bookmarkEnd w:id="108"/>
      <w:r w:rsidRPr="00E67914">
        <w:rPr>
          <w:rFonts w:ascii="Times New Roman" w:eastAsia="黑体" w:hAnsi="Times New Roman"/>
          <w:b w:val="0"/>
          <w:sz w:val="24"/>
          <w:szCs w:val="24"/>
          <w:lang w:eastAsia="zh-CN"/>
        </w:rPr>
        <w:t>4.1.4</w:t>
      </w:r>
      <w:r w:rsidRPr="00E67914">
        <w:rPr>
          <w:rFonts w:ascii="Times New Roman" w:eastAsia="黑体" w:hAnsi="Times New Roman"/>
          <w:b w:val="0"/>
          <w:sz w:val="24"/>
          <w:szCs w:val="24"/>
          <w:lang w:eastAsia="zh-CN"/>
        </w:rPr>
        <w:t>气候气象</w:t>
      </w:r>
    </w:p>
    <w:p w14:paraId="0C7ED8C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境内气象属中亚热带湿润季风气候区，由于地处四川盆地东北缘，北有秦岭、大巴山的天然屏障，因此气候温和，热量丰富，四季分明，雨量充沛，季风气候明显，立体气候突出。冬季属大陆性气候，常受西北冷空气影响，气候干冷；夏季属海洋性季风气候，常受东南及西南暖湿空气影响，湿热多雷雨。受海拔高度影响区内立体气候明显，海拔</w:t>
      </w:r>
      <w:r w:rsidRPr="00E67914">
        <w:rPr>
          <w:rFonts w:ascii="Times New Roman" w:hAnsi="Times New Roman"/>
          <w:lang w:eastAsia="zh-CN"/>
        </w:rPr>
        <w:t>500m</w:t>
      </w:r>
      <w:r w:rsidRPr="00E67914">
        <w:rPr>
          <w:rFonts w:ascii="Times New Roman" w:hAnsi="Times New Roman"/>
          <w:lang w:eastAsia="zh-CN"/>
        </w:rPr>
        <w:t>以下地区春早夏热，雨水集中，旱涝交错，多风雹，秋雨，冬暖霜雪少，属四川盆地亚热带气候；海拔</w:t>
      </w:r>
      <w:r w:rsidRPr="00E67914">
        <w:rPr>
          <w:rFonts w:ascii="Times New Roman" w:hAnsi="Times New Roman"/>
          <w:lang w:eastAsia="zh-CN"/>
        </w:rPr>
        <w:t>800m</w:t>
      </w:r>
      <w:r w:rsidRPr="00E67914">
        <w:rPr>
          <w:rFonts w:ascii="Times New Roman" w:hAnsi="Times New Roman"/>
          <w:lang w:eastAsia="zh-CN"/>
        </w:rPr>
        <w:t>以上地区春迟秋早，夏短冬长，具有盆缘同地温带气候特征。低山、高丘云雾较多，日照较浅丘平坝少。</w:t>
      </w:r>
    </w:p>
    <w:p w14:paraId="794FFFD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灾害性天气主要有干旱，暴雨山洪，雷电，低温冷害，冰雹及大风等，其中暴雨山洪、大风等对管道及试采站建设构成一定危害。</w:t>
      </w:r>
    </w:p>
    <w:p w14:paraId="0D1602D8"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宣汉县多年平均降水量</w:t>
      </w:r>
      <w:r w:rsidRPr="00E67914">
        <w:rPr>
          <w:rFonts w:ascii="Times New Roman" w:hAnsi="Times New Roman"/>
          <w:lang w:eastAsia="zh-CN"/>
        </w:rPr>
        <w:t>1132.69mm</w:t>
      </w:r>
      <w:r w:rsidRPr="00E67914">
        <w:rPr>
          <w:rFonts w:ascii="Times New Roman" w:hAnsi="Times New Roman"/>
          <w:lang w:eastAsia="zh-CN"/>
        </w:rPr>
        <w:t>，多年平均气温</w:t>
      </w:r>
      <w:r w:rsidRPr="00E67914">
        <w:rPr>
          <w:rFonts w:ascii="Times New Roman" w:hAnsi="Times New Roman"/>
          <w:lang w:eastAsia="zh-CN"/>
        </w:rPr>
        <w:t>16.8℃</w:t>
      </w:r>
      <w:r w:rsidRPr="00E67914">
        <w:rPr>
          <w:rFonts w:ascii="Times New Roman" w:hAnsi="Times New Roman"/>
          <w:lang w:eastAsia="zh-CN"/>
        </w:rPr>
        <w:t>，相对湿度</w:t>
      </w:r>
      <w:r w:rsidRPr="00E67914">
        <w:rPr>
          <w:rFonts w:ascii="Times New Roman" w:hAnsi="Times New Roman"/>
          <w:lang w:eastAsia="zh-CN"/>
        </w:rPr>
        <w:t>75%</w:t>
      </w:r>
      <w:r w:rsidRPr="00E67914">
        <w:rPr>
          <w:rFonts w:ascii="Times New Roman" w:hAnsi="Times New Roman"/>
          <w:lang w:eastAsia="zh-CN"/>
        </w:rPr>
        <w:t>，每年</w:t>
      </w:r>
      <w:r w:rsidRPr="00E67914">
        <w:rPr>
          <w:rFonts w:ascii="Times New Roman" w:hAnsi="Times New Roman"/>
          <w:lang w:eastAsia="zh-CN"/>
        </w:rPr>
        <w:t>5~10</w:t>
      </w:r>
      <w:r w:rsidRPr="00E67914">
        <w:rPr>
          <w:rFonts w:ascii="Times New Roman" w:hAnsi="Times New Roman"/>
          <w:lang w:eastAsia="zh-CN"/>
        </w:rPr>
        <w:t>月份为多雨季，降水量占全年总降水量约</w:t>
      </w:r>
      <w:r w:rsidRPr="00E67914">
        <w:rPr>
          <w:rFonts w:ascii="Times New Roman" w:hAnsi="Times New Roman"/>
          <w:lang w:eastAsia="zh-CN"/>
        </w:rPr>
        <w:t>80%</w:t>
      </w:r>
      <w:r w:rsidRPr="00E67914">
        <w:rPr>
          <w:rFonts w:ascii="Times New Roman" w:hAnsi="Times New Roman"/>
          <w:lang w:eastAsia="zh-CN"/>
        </w:rPr>
        <w:t>，</w:t>
      </w:r>
      <w:r w:rsidRPr="00E67914">
        <w:rPr>
          <w:rFonts w:ascii="Times New Roman" w:hAnsi="Times New Roman"/>
          <w:lang w:eastAsia="zh-CN"/>
        </w:rPr>
        <w:t>3</w:t>
      </w:r>
      <w:r w:rsidRPr="00E67914">
        <w:rPr>
          <w:rFonts w:ascii="Times New Roman" w:hAnsi="Times New Roman"/>
          <w:lang w:eastAsia="zh-CN"/>
        </w:rPr>
        <w:t>月份为旱季，降水量约占全年降水量</w:t>
      </w:r>
      <w:r w:rsidRPr="00E67914">
        <w:rPr>
          <w:rFonts w:ascii="Times New Roman" w:hAnsi="Times New Roman"/>
          <w:lang w:eastAsia="zh-CN"/>
        </w:rPr>
        <w:t>8~12%</w:t>
      </w:r>
      <w:r w:rsidRPr="00E67914">
        <w:rPr>
          <w:rFonts w:ascii="Times New Roman" w:hAnsi="Times New Roman"/>
          <w:lang w:eastAsia="zh-CN"/>
        </w:rPr>
        <w:t>，无霜期长达</w:t>
      </w:r>
      <w:r w:rsidRPr="00E67914">
        <w:rPr>
          <w:rFonts w:ascii="Times New Roman" w:hAnsi="Times New Roman"/>
          <w:lang w:eastAsia="zh-CN"/>
        </w:rPr>
        <w:t>10</w:t>
      </w:r>
      <w:r w:rsidRPr="00E67914">
        <w:rPr>
          <w:rFonts w:ascii="Times New Roman" w:hAnsi="Times New Roman"/>
          <w:lang w:eastAsia="zh-CN"/>
        </w:rPr>
        <w:t>个月，冬季多雾，雨季多暴雨，雨后往往形成洪流。</w:t>
      </w:r>
    </w:p>
    <w:p w14:paraId="2077CD2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宣汉县主要气象要素见下表：</w:t>
      </w:r>
    </w:p>
    <w:p w14:paraId="2F05D285"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4.1-1  </w:t>
      </w:r>
      <w:r w:rsidRPr="00E67914">
        <w:rPr>
          <w:rFonts w:ascii="Times New Roman" w:eastAsia="黑体" w:hAnsi="Times New Roman"/>
          <w:sz w:val="21"/>
          <w:szCs w:val="21"/>
          <w:lang w:eastAsia="zh-CN"/>
        </w:rPr>
        <w:t>宣汉县主要气象资料一览表</w:t>
      </w:r>
    </w:p>
    <w:tbl>
      <w:tblPr>
        <w:tblW w:w="5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6"/>
        <w:gridCol w:w="1853"/>
        <w:gridCol w:w="2599"/>
        <w:gridCol w:w="2863"/>
      </w:tblGrid>
      <w:tr w:rsidR="00E67914" w:rsidRPr="00E67914" w14:paraId="7CE9AA8B" w14:textId="77777777">
        <w:trPr>
          <w:trHeight w:val="15"/>
          <w:jc w:val="center"/>
        </w:trPr>
        <w:tc>
          <w:tcPr>
            <w:tcW w:w="1810" w:type="pct"/>
            <w:gridSpan w:val="2"/>
            <w:vAlign w:val="center"/>
          </w:tcPr>
          <w:p w14:paraId="0D69F623" w14:textId="77777777" w:rsidR="00A54A8A" w:rsidRPr="00E67914" w:rsidRDefault="00000000">
            <w:pPr>
              <w:autoSpaceDE w:val="0"/>
              <w:autoSpaceDN w:val="0"/>
              <w:snapToGrid w:val="0"/>
              <w:jc w:val="center"/>
              <w:rPr>
                <w:rFonts w:ascii="Times New Roman" w:hAnsi="Times New Roman"/>
                <w:b/>
                <w:kern w:val="2"/>
                <w:sz w:val="21"/>
                <w:szCs w:val="21"/>
              </w:rPr>
            </w:pPr>
            <w:r w:rsidRPr="00E67914">
              <w:rPr>
                <w:rFonts w:ascii="Times New Roman" w:hAnsi="Times New Roman"/>
                <w:b/>
                <w:kern w:val="2"/>
                <w:sz w:val="21"/>
                <w:szCs w:val="21"/>
              </w:rPr>
              <w:t>气象要素</w:t>
            </w:r>
          </w:p>
        </w:tc>
        <w:tc>
          <w:tcPr>
            <w:tcW w:w="1518" w:type="pct"/>
          </w:tcPr>
          <w:p w14:paraId="35144A92" w14:textId="77777777" w:rsidR="00A54A8A" w:rsidRPr="00E67914" w:rsidRDefault="00000000">
            <w:pPr>
              <w:autoSpaceDE w:val="0"/>
              <w:autoSpaceDN w:val="0"/>
              <w:snapToGrid w:val="0"/>
              <w:jc w:val="center"/>
              <w:rPr>
                <w:rFonts w:ascii="Times New Roman" w:hAnsi="Times New Roman"/>
                <w:b/>
                <w:kern w:val="2"/>
                <w:sz w:val="21"/>
                <w:szCs w:val="21"/>
              </w:rPr>
            </w:pPr>
            <w:r w:rsidRPr="00E67914">
              <w:rPr>
                <w:rFonts w:ascii="Times New Roman" w:hAnsi="Times New Roman"/>
                <w:b/>
                <w:kern w:val="2"/>
                <w:sz w:val="21"/>
                <w:szCs w:val="21"/>
              </w:rPr>
              <w:t>单位</w:t>
            </w:r>
          </w:p>
        </w:tc>
        <w:tc>
          <w:tcPr>
            <w:tcW w:w="1672" w:type="pct"/>
            <w:vAlign w:val="center"/>
          </w:tcPr>
          <w:p w14:paraId="667DA32C" w14:textId="77777777" w:rsidR="00A54A8A" w:rsidRPr="00E67914" w:rsidRDefault="00000000">
            <w:pPr>
              <w:autoSpaceDE w:val="0"/>
              <w:autoSpaceDN w:val="0"/>
              <w:snapToGrid w:val="0"/>
              <w:jc w:val="center"/>
              <w:rPr>
                <w:rFonts w:ascii="Times New Roman" w:hAnsi="Times New Roman"/>
                <w:b/>
                <w:kern w:val="2"/>
                <w:sz w:val="21"/>
                <w:szCs w:val="21"/>
              </w:rPr>
            </w:pPr>
            <w:r w:rsidRPr="00E67914">
              <w:rPr>
                <w:rFonts w:ascii="Times New Roman" w:hAnsi="Times New Roman"/>
                <w:b/>
                <w:kern w:val="2"/>
                <w:sz w:val="21"/>
                <w:szCs w:val="21"/>
              </w:rPr>
              <w:t>数值</w:t>
            </w:r>
          </w:p>
        </w:tc>
      </w:tr>
      <w:tr w:rsidR="00E67914" w:rsidRPr="00E67914" w14:paraId="708E8765" w14:textId="77777777">
        <w:trPr>
          <w:trHeight w:val="15"/>
          <w:jc w:val="center"/>
        </w:trPr>
        <w:tc>
          <w:tcPr>
            <w:tcW w:w="728" w:type="pct"/>
            <w:vMerge w:val="restart"/>
            <w:vAlign w:val="center"/>
          </w:tcPr>
          <w:p w14:paraId="2B40955A"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气温</w:t>
            </w:r>
          </w:p>
        </w:tc>
        <w:tc>
          <w:tcPr>
            <w:tcW w:w="1082" w:type="pct"/>
            <w:vAlign w:val="center"/>
          </w:tcPr>
          <w:p w14:paraId="67AE651A"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年平均气温</w:t>
            </w:r>
          </w:p>
        </w:tc>
        <w:tc>
          <w:tcPr>
            <w:tcW w:w="1518" w:type="pct"/>
          </w:tcPr>
          <w:p w14:paraId="28697442"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w:t>
            </w:r>
          </w:p>
        </w:tc>
        <w:tc>
          <w:tcPr>
            <w:tcW w:w="1672" w:type="pct"/>
            <w:vAlign w:val="center"/>
          </w:tcPr>
          <w:p w14:paraId="709DCB56"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16.8</w:t>
            </w:r>
          </w:p>
        </w:tc>
      </w:tr>
      <w:tr w:rsidR="00E67914" w:rsidRPr="00E67914" w14:paraId="248F7601" w14:textId="77777777">
        <w:trPr>
          <w:trHeight w:val="15"/>
          <w:jc w:val="center"/>
        </w:trPr>
        <w:tc>
          <w:tcPr>
            <w:tcW w:w="0" w:type="auto"/>
            <w:vMerge/>
            <w:vAlign w:val="center"/>
          </w:tcPr>
          <w:p w14:paraId="26ED0FED" w14:textId="77777777" w:rsidR="00A54A8A" w:rsidRPr="00E67914" w:rsidRDefault="00A54A8A">
            <w:pPr>
              <w:rPr>
                <w:rFonts w:ascii="Times New Roman" w:hAnsi="Times New Roman"/>
                <w:kern w:val="2"/>
                <w:sz w:val="21"/>
                <w:szCs w:val="21"/>
              </w:rPr>
            </w:pPr>
          </w:p>
        </w:tc>
        <w:tc>
          <w:tcPr>
            <w:tcW w:w="1082" w:type="pct"/>
            <w:vAlign w:val="center"/>
          </w:tcPr>
          <w:p w14:paraId="6F88AFAA"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极端最高气温</w:t>
            </w:r>
          </w:p>
        </w:tc>
        <w:tc>
          <w:tcPr>
            <w:tcW w:w="1518" w:type="pct"/>
          </w:tcPr>
          <w:p w14:paraId="69C81247"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w:t>
            </w:r>
          </w:p>
        </w:tc>
        <w:tc>
          <w:tcPr>
            <w:tcW w:w="1672" w:type="pct"/>
            <w:vAlign w:val="center"/>
          </w:tcPr>
          <w:p w14:paraId="3B722202"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41.3</w:t>
            </w:r>
          </w:p>
        </w:tc>
      </w:tr>
      <w:tr w:rsidR="00E67914" w:rsidRPr="00E67914" w14:paraId="6BDBA8EF" w14:textId="77777777">
        <w:trPr>
          <w:trHeight w:val="15"/>
          <w:jc w:val="center"/>
        </w:trPr>
        <w:tc>
          <w:tcPr>
            <w:tcW w:w="0" w:type="auto"/>
            <w:vMerge/>
            <w:vAlign w:val="center"/>
          </w:tcPr>
          <w:p w14:paraId="2EAEBE95" w14:textId="77777777" w:rsidR="00A54A8A" w:rsidRPr="00E67914" w:rsidRDefault="00A54A8A">
            <w:pPr>
              <w:rPr>
                <w:rFonts w:ascii="Times New Roman" w:hAnsi="Times New Roman"/>
                <w:kern w:val="2"/>
                <w:sz w:val="21"/>
                <w:szCs w:val="21"/>
              </w:rPr>
            </w:pPr>
          </w:p>
        </w:tc>
        <w:tc>
          <w:tcPr>
            <w:tcW w:w="1082" w:type="pct"/>
            <w:vAlign w:val="center"/>
          </w:tcPr>
          <w:p w14:paraId="00D23924"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极端最低气温</w:t>
            </w:r>
          </w:p>
        </w:tc>
        <w:tc>
          <w:tcPr>
            <w:tcW w:w="1518" w:type="pct"/>
          </w:tcPr>
          <w:p w14:paraId="1BE6D9D8"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w:t>
            </w:r>
          </w:p>
        </w:tc>
        <w:tc>
          <w:tcPr>
            <w:tcW w:w="1672" w:type="pct"/>
            <w:vAlign w:val="center"/>
          </w:tcPr>
          <w:p w14:paraId="023FFD0E"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-5.3</w:t>
            </w:r>
          </w:p>
        </w:tc>
      </w:tr>
      <w:tr w:rsidR="00E67914" w:rsidRPr="00E67914" w14:paraId="1B206823" w14:textId="77777777">
        <w:trPr>
          <w:trHeight w:val="15"/>
          <w:jc w:val="center"/>
        </w:trPr>
        <w:tc>
          <w:tcPr>
            <w:tcW w:w="728" w:type="pct"/>
            <w:vMerge w:val="restart"/>
            <w:vAlign w:val="center"/>
          </w:tcPr>
          <w:p w14:paraId="64ECCCC7"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年降水量</w:t>
            </w:r>
          </w:p>
        </w:tc>
        <w:tc>
          <w:tcPr>
            <w:tcW w:w="1082" w:type="pct"/>
            <w:vAlign w:val="center"/>
          </w:tcPr>
          <w:p w14:paraId="6B78CF79"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平均</w:t>
            </w:r>
          </w:p>
        </w:tc>
        <w:tc>
          <w:tcPr>
            <w:tcW w:w="1518" w:type="pct"/>
          </w:tcPr>
          <w:p w14:paraId="14BC455A"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mm</w:t>
            </w:r>
          </w:p>
        </w:tc>
        <w:tc>
          <w:tcPr>
            <w:tcW w:w="1672" w:type="pct"/>
            <w:vAlign w:val="center"/>
          </w:tcPr>
          <w:p w14:paraId="15BD52DB"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1132.69</w:t>
            </w:r>
          </w:p>
        </w:tc>
      </w:tr>
      <w:tr w:rsidR="00E67914" w:rsidRPr="00E67914" w14:paraId="734229F0" w14:textId="77777777">
        <w:trPr>
          <w:trHeight w:val="15"/>
          <w:jc w:val="center"/>
        </w:trPr>
        <w:tc>
          <w:tcPr>
            <w:tcW w:w="0" w:type="auto"/>
            <w:vMerge/>
            <w:vAlign w:val="center"/>
          </w:tcPr>
          <w:p w14:paraId="4547D29E" w14:textId="77777777" w:rsidR="00A54A8A" w:rsidRPr="00E67914" w:rsidRDefault="00A54A8A">
            <w:pPr>
              <w:rPr>
                <w:rFonts w:ascii="Times New Roman" w:hAnsi="Times New Roman"/>
                <w:kern w:val="2"/>
                <w:sz w:val="21"/>
                <w:szCs w:val="21"/>
              </w:rPr>
            </w:pPr>
          </w:p>
        </w:tc>
        <w:tc>
          <w:tcPr>
            <w:tcW w:w="1082" w:type="pct"/>
            <w:vAlign w:val="center"/>
          </w:tcPr>
          <w:p w14:paraId="6F67D14F"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最大</w:t>
            </w:r>
          </w:p>
        </w:tc>
        <w:tc>
          <w:tcPr>
            <w:tcW w:w="1518" w:type="pct"/>
          </w:tcPr>
          <w:p w14:paraId="7CD5C2B3"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mm</w:t>
            </w:r>
          </w:p>
        </w:tc>
        <w:tc>
          <w:tcPr>
            <w:tcW w:w="1672" w:type="pct"/>
            <w:vAlign w:val="center"/>
          </w:tcPr>
          <w:p w14:paraId="2F9B48BC"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1698</w:t>
            </w:r>
          </w:p>
        </w:tc>
      </w:tr>
      <w:tr w:rsidR="00E67914" w:rsidRPr="00E67914" w14:paraId="1A865D0E" w14:textId="77777777">
        <w:trPr>
          <w:trHeight w:val="15"/>
          <w:jc w:val="center"/>
        </w:trPr>
        <w:tc>
          <w:tcPr>
            <w:tcW w:w="0" w:type="auto"/>
            <w:vMerge/>
            <w:vAlign w:val="center"/>
          </w:tcPr>
          <w:p w14:paraId="4C4FCDA1" w14:textId="77777777" w:rsidR="00A54A8A" w:rsidRPr="00E67914" w:rsidRDefault="00A54A8A">
            <w:pPr>
              <w:rPr>
                <w:rFonts w:ascii="Times New Roman" w:hAnsi="Times New Roman"/>
                <w:kern w:val="2"/>
                <w:sz w:val="21"/>
                <w:szCs w:val="21"/>
              </w:rPr>
            </w:pPr>
          </w:p>
        </w:tc>
        <w:tc>
          <w:tcPr>
            <w:tcW w:w="1082" w:type="pct"/>
            <w:vAlign w:val="center"/>
          </w:tcPr>
          <w:p w14:paraId="2C9073A1"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最小</w:t>
            </w:r>
          </w:p>
        </w:tc>
        <w:tc>
          <w:tcPr>
            <w:tcW w:w="1518" w:type="pct"/>
          </w:tcPr>
          <w:p w14:paraId="3CB0AEAC"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mm</w:t>
            </w:r>
          </w:p>
        </w:tc>
        <w:tc>
          <w:tcPr>
            <w:tcW w:w="1672" w:type="pct"/>
            <w:vAlign w:val="center"/>
          </w:tcPr>
          <w:p w14:paraId="6129C563"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865.9</w:t>
            </w:r>
          </w:p>
        </w:tc>
      </w:tr>
      <w:tr w:rsidR="00E67914" w:rsidRPr="00E67914" w14:paraId="7BD9C371" w14:textId="77777777">
        <w:trPr>
          <w:trHeight w:val="15"/>
          <w:jc w:val="center"/>
        </w:trPr>
        <w:tc>
          <w:tcPr>
            <w:tcW w:w="728" w:type="pct"/>
            <w:vMerge w:val="restart"/>
            <w:vAlign w:val="center"/>
          </w:tcPr>
          <w:p w14:paraId="2FAC9FC1"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风速</w:t>
            </w:r>
          </w:p>
        </w:tc>
        <w:tc>
          <w:tcPr>
            <w:tcW w:w="1082" w:type="pct"/>
            <w:vAlign w:val="center"/>
          </w:tcPr>
          <w:p w14:paraId="0C797566"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平均</w:t>
            </w:r>
          </w:p>
        </w:tc>
        <w:tc>
          <w:tcPr>
            <w:tcW w:w="1518" w:type="pct"/>
          </w:tcPr>
          <w:p w14:paraId="2A998C11"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m/s</w:t>
            </w:r>
          </w:p>
        </w:tc>
        <w:tc>
          <w:tcPr>
            <w:tcW w:w="1672" w:type="pct"/>
            <w:vAlign w:val="center"/>
          </w:tcPr>
          <w:p w14:paraId="5F9F42FD"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1.5</w:t>
            </w:r>
          </w:p>
        </w:tc>
      </w:tr>
      <w:tr w:rsidR="00E67914" w:rsidRPr="00E67914" w14:paraId="190486F1" w14:textId="77777777">
        <w:trPr>
          <w:trHeight w:val="15"/>
          <w:jc w:val="center"/>
        </w:trPr>
        <w:tc>
          <w:tcPr>
            <w:tcW w:w="0" w:type="auto"/>
            <w:vMerge/>
            <w:vAlign w:val="center"/>
          </w:tcPr>
          <w:p w14:paraId="6C2BB697" w14:textId="77777777" w:rsidR="00A54A8A" w:rsidRPr="00E67914" w:rsidRDefault="00A54A8A">
            <w:pPr>
              <w:rPr>
                <w:rFonts w:ascii="Times New Roman" w:hAnsi="Times New Roman"/>
                <w:kern w:val="2"/>
                <w:sz w:val="21"/>
                <w:szCs w:val="21"/>
              </w:rPr>
            </w:pPr>
          </w:p>
        </w:tc>
        <w:tc>
          <w:tcPr>
            <w:tcW w:w="1082" w:type="pct"/>
            <w:vAlign w:val="center"/>
          </w:tcPr>
          <w:p w14:paraId="6408B876"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最大</w:t>
            </w:r>
          </w:p>
        </w:tc>
        <w:tc>
          <w:tcPr>
            <w:tcW w:w="1518" w:type="pct"/>
          </w:tcPr>
          <w:p w14:paraId="3D997F94"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m/s</w:t>
            </w:r>
          </w:p>
        </w:tc>
        <w:tc>
          <w:tcPr>
            <w:tcW w:w="1672" w:type="pct"/>
            <w:vAlign w:val="center"/>
          </w:tcPr>
          <w:p w14:paraId="44C01C25"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32</w:t>
            </w:r>
          </w:p>
        </w:tc>
      </w:tr>
      <w:tr w:rsidR="00E67914" w:rsidRPr="00E67914" w14:paraId="61174392" w14:textId="77777777">
        <w:trPr>
          <w:trHeight w:val="15"/>
          <w:jc w:val="center"/>
        </w:trPr>
        <w:tc>
          <w:tcPr>
            <w:tcW w:w="0" w:type="auto"/>
            <w:vMerge/>
            <w:vAlign w:val="center"/>
          </w:tcPr>
          <w:p w14:paraId="5DB99AAC" w14:textId="77777777" w:rsidR="00A54A8A" w:rsidRPr="00E67914" w:rsidRDefault="00A54A8A">
            <w:pPr>
              <w:rPr>
                <w:rFonts w:ascii="Times New Roman" w:hAnsi="Times New Roman"/>
                <w:kern w:val="2"/>
                <w:sz w:val="21"/>
                <w:szCs w:val="21"/>
              </w:rPr>
            </w:pPr>
          </w:p>
        </w:tc>
        <w:tc>
          <w:tcPr>
            <w:tcW w:w="1082" w:type="pct"/>
            <w:vAlign w:val="center"/>
          </w:tcPr>
          <w:p w14:paraId="346FB17F"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主导风向</w:t>
            </w:r>
          </w:p>
        </w:tc>
        <w:tc>
          <w:tcPr>
            <w:tcW w:w="1518" w:type="pct"/>
          </w:tcPr>
          <w:p w14:paraId="3BF91606"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m/s</w:t>
            </w:r>
          </w:p>
        </w:tc>
        <w:tc>
          <w:tcPr>
            <w:tcW w:w="1672" w:type="pct"/>
            <w:vAlign w:val="center"/>
          </w:tcPr>
          <w:p w14:paraId="5DCEC98E"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NE</w:t>
            </w:r>
          </w:p>
        </w:tc>
      </w:tr>
      <w:tr w:rsidR="00E67914" w:rsidRPr="00E67914" w14:paraId="0E7C3E86" w14:textId="77777777">
        <w:trPr>
          <w:trHeight w:val="15"/>
          <w:jc w:val="center"/>
        </w:trPr>
        <w:tc>
          <w:tcPr>
            <w:tcW w:w="728" w:type="pct"/>
            <w:vMerge w:val="restart"/>
            <w:vAlign w:val="center"/>
          </w:tcPr>
          <w:p w14:paraId="548822F6"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多年平均地温</w:t>
            </w:r>
          </w:p>
        </w:tc>
        <w:tc>
          <w:tcPr>
            <w:tcW w:w="1082" w:type="pct"/>
            <w:vAlign w:val="center"/>
          </w:tcPr>
          <w:p w14:paraId="05B218ED"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地面</w:t>
            </w:r>
          </w:p>
        </w:tc>
        <w:tc>
          <w:tcPr>
            <w:tcW w:w="1518" w:type="pct"/>
          </w:tcPr>
          <w:p w14:paraId="1C73029C"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w:t>
            </w:r>
          </w:p>
        </w:tc>
        <w:tc>
          <w:tcPr>
            <w:tcW w:w="1672" w:type="pct"/>
            <w:vAlign w:val="center"/>
          </w:tcPr>
          <w:p w14:paraId="0337CB3B"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18.1</w:t>
            </w:r>
          </w:p>
        </w:tc>
      </w:tr>
      <w:tr w:rsidR="00E67914" w:rsidRPr="00E67914" w14:paraId="69DDF22E" w14:textId="77777777">
        <w:trPr>
          <w:trHeight w:val="15"/>
          <w:jc w:val="center"/>
        </w:trPr>
        <w:tc>
          <w:tcPr>
            <w:tcW w:w="0" w:type="auto"/>
            <w:vMerge/>
            <w:vAlign w:val="center"/>
          </w:tcPr>
          <w:p w14:paraId="4F7754FA" w14:textId="77777777" w:rsidR="00A54A8A" w:rsidRPr="00E67914" w:rsidRDefault="00A54A8A">
            <w:pPr>
              <w:rPr>
                <w:rFonts w:ascii="Times New Roman" w:hAnsi="Times New Roman"/>
                <w:kern w:val="2"/>
                <w:sz w:val="21"/>
                <w:szCs w:val="21"/>
              </w:rPr>
            </w:pPr>
          </w:p>
        </w:tc>
        <w:tc>
          <w:tcPr>
            <w:tcW w:w="1082" w:type="pct"/>
            <w:vAlign w:val="center"/>
          </w:tcPr>
          <w:p w14:paraId="3003D170"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-0.2m</w:t>
            </w:r>
          </w:p>
        </w:tc>
        <w:tc>
          <w:tcPr>
            <w:tcW w:w="1518" w:type="pct"/>
          </w:tcPr>
          <w:p w14:paraId="1D868EA1"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w:t>
            </w:r>
          </w:p>
        </w:tc>
        <w:tc>
          <w:tcPr>
            <w:tcW w:w="1672" w:type="pct"/>
            <w:vAlign w:val="center"/>
          </w:tcPr>
          <w:p w14:paraId="4E1A8144"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20.2</w:t>
            </w:r>
          </w:p>
        </w:tc>
      </w:tr>
      <w:tr w:rsidR="00E67914" w:rsidRPr="00E67914" w14:paraId="42BED1A7" w14:textId="77777777">
        <w:trPr>
          <w:trHeight w:val="15"/>
          <w:jc w:val="center"/>
        </w:trPr>
        <w:tc>
          <w:tcPr>
            <w:tcW w:w="1810" w:type="pct"/>
            <w:gridSpan w:val="2"/>
            <w:vAlign w:val="center"/>
          </w:tcPr>
          <w:p w14:paraId="02A0BECF"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lastRenderedPageBreak/>
              <w:t>年平均日照时数</w:t>
            </w:r>
          </w:p>
        </w:tc>
        <w:tc>
          <w:tcPr>
            <w:tcW w:w="1518" w:type="pct"/>
          </w:tcPr>
          <w:p w14:paraId="6BC4B47B"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h</w:t>
            </w:r>
          </w:p>
        </w:tc>
        <w:tc>
          <w:tcPr>
            <w:tcW w:w="1672" w:type="pct"/>
            <w:vAlign w:val="center"/>
          </w:tcPr>
          <w:p w14:paraId="744CD61B"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1596.3</w:t>
            </w:r>
          </w:p>
        </w:tc>
      </w:tr>
      <w:tr w:rsidR="00E67914" w:rsidRPr="00E67914" w14:paraId="12A08FFE" w14:textId="77777777">
        <w:trPr>
          <w:trHeight w:val="15"/>
          <w:jc w:val="center"/>
        </w:trPr>
        <w:tc>
          <w:tcPr>
            <w:tcW w:w="1810" w:type="pct"/>
            <w:gridSpan w:val="2"/>
            <w:vAlign w:val="center"/>
          </w:tcPr>
          <w:p w14:paraId="2D7DD9A6"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年平均蒸发量</w:t>
            </w:r>
          </w:p>
        </w:tc>
        <w:tc>
          <w:tcPr>
            <w:tcW w:w="1518" w:type="pct"/>
          </w:tcPr>
          <w:p w14:paraId="501370F2"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mm</w:t>
            </w:r>
          </w:p>
        </w:tc>
        <w:tc>
          <w:tcPr>
            <w:tcW w:w="1672" w:type="pct"/>
            <w:vAlign w:val="center"/>
          </w:tcPr>
          <w:p w14:paraId="14E0E43C"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1215.9</w:t>
            </w:r>
          </w:p>
        </w:tc>
      </w:tr>
      <w:tr w:rsidR="00E67914" w:rsidRPr="00E67914" w14:paraId="7A98949C" w14:textId="77777777">
        <w:trPr>
          <w:trHeight w:val="15"/>
          <w:jc w:val="center"/>
        </w:trPr>
        <w:tc>
          <w:tcPr>
            <w:tcW w:w="1810" w:type="pct"/>
            <w:gridSpan w:val="2"/>
            <w:vAlign w:val="center"/>
          </w:tcPr>
          <w:p w14:paraId="34C0AD9C"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年均无霜期</w:t>
            </w:r>
          </w:p>
        </w:tc>
        <w:tc>
          <w:tcPr>
            <w:tcW w:w="1518" w:type="pct"/>
          </w:tcPr>
          <w:p w14:paraId="5ED10533"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d</w:t>
            </w:r>
          </w:p>
        </w:tc>
        <w:tc>
          <w:tcPr>
            <w:tcW w:w="1672" w:type="pct"/>
            <w:vAlign w:val="center"/>
          </w:tcPr>
          <w:p w14:paraId="13C152F7"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296</w:t>
            </w:r>
          </w:p>
        </w:tc>
      </w:tr>
      <w:tr w:rsidR="00E67914" w:rsidRPr="00E67914" w14:paraId="6EF26C6D" w14:textId="77777777">
        <w:trPr>
          <w:trHeight w:val="15"/>
          <w:jc w:val="center"/>
        </w:trPr>
        <w:tc>
          <w:tcPr>
            <w:tcW w:w="1810" w:type="pct"/>
            <w:gridSpan w:val="2"/>
            <w:vAlign w:val="center"/>
          </w:tcPr>
          <w:p w14:paraId="4A8A1E6E"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相对湿度</w:t>
            </w:r>
          </w:p>
        </w:tc>
        <w:tc>
          <w:tcPr>
            <w:tcW w:w="1518" w:type="pct"/>
          </w:tcPr>
          <w:p w14:paraId="2FBE423F"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w:t>
            </w:r>
          </w:p>
        </w:tc>
        <w:tc>
          <w:tcPr>
            <w:tcW w:w="1672" w:type="pct"/>
            <w:vAlign w:val="center"/>
          </w:tcPr>
          <w:p w14:paraId="31002E06" w14:textId="77777777" w:rsidR="00A54A8A" w:rsidRPr="00E67914" w:rsidRDefault="00000000">
            <w:pPr>
              <w:autoSpaceDE w:val="0"/>
              <w:autoSpaceDN w:val="0"/>
              <w:snapToGrid w:val="0"/>
              <w:jc w:val="center"/>
              <w:rPr>
                <w:rFonts w:ascii="Times New Roman" w:hAnsi="Times New Roman"/>
                <w:kern w:val="2"/>
                <w:sz w:val="21"/>
                <w:szCs w:val="21"/>
              </w:rPr>
            </w:pPr>
            <w:r w:rsidRPr="00E67914">
              <w:rPr>
                <w:rFonts w:ascii="Times New Roman" w:hAnsi="Times New Roman"/>
                <w:kern w:val="2"/>
                <w:sz w:val="21"/>
                <w:szCs w:val="21"/>
              </w:rPr>
              <w:t>77</w:t>
            </w:r>
          </w:p>
        </w:tc>
      </w:tr>
    </w:tbl>
    <w:p w14:paraId="6536800A"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09" w:name="4.1.5动植物及生物多样性"/>
      <w:bookmarkEnd w:id="109"/>
      <w:r w:rsidRPr="00E67914">
        <w:rPr>
          <w:rFonts w:ascii="Times New Roman" w:eastAsia="黑体" w:hAnsi="Times New Roman"/>
          <w:b w:val="0"/>
          <w:sz w:val="24"/>
          <w:szCs w:val="24"/>
          <w:lang w:eastAsia="zh-CN"/>
        </w:rPr>
        <w:t>4.1.5</w:t>
      </w:r>
      <w:r w:rsidRPr="00E67914">
        <w:rPr>
          <w:rFonts w:ascii="Times New Roman" w:eastAsia="黑体" w:hAnsi="Times New Roman"/>
          <w:b w:val="0"/>
          <w:sz w:val="24"/>
          <w:szCs w:val="24"/>
          <w:lang w:eastAsia="zh-CN"/>
        </w:rPr>
        <w:t>地质构造与地震</w:t>
      </w:r>
    </w:p>
    <w:p w14:paraId="76DAF5F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1</w:t>
      </w:r>
      <w:r w:rsidRPr="00E67914">
        <w:rPr>
          <w:rFonts w:ascii="Times New Roman" w:hAnsi="Times New Roman"/>
          <w:lang w:eastAsia="zh-CN"/>
        </w:rPr>
        <w:t>、地质构造</w:t>
      </w:r>
    </w:p>
    <w:p w14:paraId="491A177C" w14:textId="05C3F290"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本项目区位于</w:t>
      </w:r>
      <w:r w:rsidR="00DD2AA7" w:rsidRPr="00E67914">
        <w:rPr>
          <w:rFonts w:ascii="Times New Roman" w:hAnsi="Times New Roman"/>
          <w:lang w:eastAsia="zh-CN"/>
        </w:rPr>
        <w:t>宣汉县普光镇</w:t>
      </w:r>
      <w:r w:rsidR="00AE0282" w:rsidRPr="00E67914">
        <w:rPr>
          <w:rFonts w:ascii="Times New Roman" w:hAnsi="Times New Roman"/>
          <w:lang w:eastAsia="zh-CN"/>
        </w:rPr>
        <w:t>陡梯村</w:t>
      </w:r>
      <w:r w:rsidRPr="00E67914">
        <w:rPr>
          <w:rFonts w:ascii="Times New Roman" w:hAnsi="Times New Roman"/>
          <w:lang w:eastAsia="zh-CN"/>
        </w:rPr>
        <w:t>，区域构造上位于四川盆地川东北褶皱带的东北段，华蓥山断裂带北端黄金口构造带，因受燕山、喜山运动影响，断裂发育，但构造变形强度较弱，平面上分两组，即：北西向断层和北东向断层。其中，北东向断层数量少，仅在西部高部位有少量发育，北西向断层较为发育但断距通常较小，断距为</w:t>
      </w:r>
      <w:r w:rsidRPr="00E67914">
        <w:rPr>
          <w:rFonts w:ascii="Times New Roman" w:hAnsi="Times New Roman"/>
          <w:lang w:eastAsia="zh-CN"/>
        </w:rPr>
        <w:t>50</w:t>
      </w:r>
      <w:r w:rsidRPr="00E67914">
        <w:rPr>
          <w:rFonts w:ascii="Times New Roman" w:hAnsi="Times New Roman"/>
          <w:lang w:eastAsia="zh-CN"/>
        </w:rPr>
        <w:t>～</w:t>
      </w:r>
      <w:r w:rsidRPr="00E67914">
        <w:rPr>
          <w:rFonts w:ascii="Times New Roman" w:hAnsi="Times New Roman"/>
          <w:lang w:eastAsia="zh-CN"/>
        </w:rPr>
        <w:t>100m</w:t>
      </w:r>
      <w:r w:rsidRPr="00E67914">
        <w:rPr>
          <w:rFonts w:ascii="Times New Roman" w:hAnsi="Times New Roman"/>
          <w:lang w:eastAsia="zh-CN"/>
        </w:rPr>
        <w:t>，断层一般消失于千佛崖组。须家河组顶、自流井组顶、千佛崖组顶和下沙溪庙组顶部构造形态是相似的，地层均呈西高东低、南高北低的大斜坡，沿普光</w:t>
      </w:r>
      <w:r w:rsidRPr="00E67914">
        <w:rPr>
          <w:rFonts w:ascii="Times New Roman" w:hAnsi="Times New Roman"/>
          <w:lang w:eastAsia="zh-CN"/>
        </w:rPr>
        <w:t>302-1—</w:t>
      </w:r>
      <w:r w:rsidRPr="00E67914">
        <w:rPr>
          <w:rFonts w:ascii="Times New Roman" w:hAnsi="Times New Roman"/>
          <w:lang w:eastAsia="zh-CN"/>
        </w:rPr>
        <w:t>普光</w:t>
      </w:r>
      <w:r w:rsidRPr="00E67914">
        <w:rPr>
          <w:rFonts w:ascii="Times New Roman" w:hAnsi="Times New Roman"/>
          <w:lang w:eastAsia="zh-CN"/>
        </w:rPr>
        <w:t>9—</w:t>
      </w:r>
      <w:r w:rsidRPr="00E67914">
        <w:rPr>
          <w:rFonts w:ascii="Times New Roman" w:hAnsi="Times New Roman"/>
          <w:lang w:eastAsia="zh-CN"/>
        </w:rPr>
        <w:t>普光</w:t>
      </w:r>
      <w:r w:rsidRPr="00E67914">
        <w:rPr>
          <w:rFonts w:ascii="Times New Roman" w:hAnsi="Times New Roman"/>
          <w:lang w:eastAsia="zh-CN"/>
        </w:rPr>
        <w:t>3</w:t>
      </w:r>
      <w:r w:rsidRPr="00E67914">
        <w:rPr>
          <w:rFonts w:ascii="Times New Roman" w:hAnsi="Times New Roman"/>
          <w:lang w:eastAsia="zh-CN"/>
        </w:rPr>
        <w:t>井以东一线，构造相对较低。在普光</w:t>
      </w:r>
      <w:r w:rsidRPr="00E67914">
        <w:rPr>
          <w:rFonts w:ascii="Times New Roman" w:hAnsi="Times New Roman"/>
          <w:lang w:eastAsia="zh-CN"/>
        </w:rPr>
        <w:t>1—</w:t>
      </w:r>
      <w:r w:rsidRPr="00E67914">
        <w:rPr>
          <w:rFonts w:ascii="Times New Roman" w:hAnsi="Times New Roman"/>
          <w:lang w:eastAsia="zh-CN"/>
        </w:rPr>
        <w:t>普光</w:t>
      </w:r>
      <w:r w:rsidRPr="00E67914">
        <w:rPr>
          <w:rFonts w:ascii="Times New Roman" w:hAnsi="Times New Roman"/>
          <w:lang w:eastAsia="zh-CN"/>
        </w:rPr>
        <w:t>3—</w:t>
      </w:r>
      <w:r w:rsidRPr="00E67914">
        <w:rPr>
          <w:rFonts w:ascii="Times New Roman" w:hAnsi="Times New Roman"/>
          <w:lang w:eastAsia="zh-CN"/>
        </w:rPr>
        <w:t>普光</w:t>
      </w:r>
      <w:r w:rsidRPr="00E67914">
        <w:rPr>
          <w:rFonts w:ascii="Times New Roman" w:hAnsi="Times New Roman"/>
          <w:lang w:eastAsia="zh-CN"/>
        </w:rPr>
        <w:t>7</w:t>
      </w:r>
      <w:r w:rsidRPr="00E67914">
        <w:rPr>
          <w:rFonts w:ascii="Times New Roman" w:hAnsi="Times New Roman"/>
          <w:lang w:eastAsia="zh-CN"/>
        </w:rPr>
        <w:t>井一线以西，地层很陡，而在普光</w:t>
      </w:r>
      <w:r w:rsidRPr="00E67914">
        <w:rPr>
          <w:rFonts w:ascii="Times New Roman" w:hAnsi="Times New Roman"/>
          <w:lang w:eastAsia="zh-CN"/>
        </w:rPr>
        <w:t>3</w:t>
      </w:r>
      <w:r w:rsidRPr="00E67914">
        <w:rPr>
          <w:rFonts w:ascii="Times New Roman" w:hAnsi="Times New Roman"/>
          <w:lang w:eastAsia="zh-CN"/>
        </w:rPr>
        <w:t>井以东构造非常平缓。此外，工区内地面海拔</w:t>
      </w:r>
      <w:r w:rsidRPr="00E67914">
        <w:rPr>
          <w:rFonts w:ascii="Times New Roman" w:hAnsi="Times New Roman"/>
          <w:lang w:eastAsia="zh-CN"/>
        </w:rPr>
        <w:t>300-1200m</w:t>
      </w:r>
      <w:r w:rsidRPr="00E67914">
        <w:rPr>
          <w:rFonts w:ascii="Times New Roman" w:hAnsi="Times New Roman"/>
          <w:lang w:eastAsia="zh-CN"/>
        </w:rPr>
        <w:t>，属中－低山区，相对高差</w:t>
      </w:r>
      <w:r w:rsidRPr="00E67914">
        <w:rPr>
          <w:rFonts w:ascii="Times New Roman" w:hAnsi="Times New Roman"/>
          <w:lang w:eastAsia="zh-CN"/>
        </w:rPr>
        <w:t>20</w:t>
      </w:r>
      <w:r w:rsidRPr="00E67914">
        <w:rPr>
          <w:rFonts w:ascii="Times New Roman" w:hAnsi="Times New Roman"/>
          <w:lang w:eastAsia="zh-CN"/>
        </w:rPr>
        <w:t>～</w:t>
      </w:r>
      <w:r w:rsidRPr="00E67914">
        <w:rPr>
          <w:rFonts w:ascii="Times New Roman" w:hAnsi="Times New Roman"/>
          <w:lang w:eastAsia="zh-CN"/>
        </w:rPr>
        <w:t>600m</w:t>
      </w:r>
      <w:r w:rsidRPr="00E67914">
        <w:rPr>
          <w:rFonts w:ascii="Times New Roman" w:hAnsi="Times New Roman"/>
          <w:lang w:eastAsia="zh-CN"/>
        </w:rPr>
        <w:t>。全区乡村公路纵横交错，交通较为便利。</w:t>
      </w:r>
    </w:p>
    <w:p w14:paraId="0903D07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2</w:t>
      </w:r>
      <w:r w:rsidRPr="00E67914">
        <w:rPr>
          <w:rFonts w:ascii="Times New Roman" w:hAnsi="Times New Roman"/>
          <w:lang w:eastAsia="zh-CN"/>
        </w:rPr>
        <w:t>、地震</w:t>
      </w:r>
    </w:p>
    <w:p w14:paraId="7261CFC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根据《建筑抗震设计规范》（</w:t>
      </w:r>
      <w:r w:rsidRPr="00E67914">
        <w:rPr>
          <w:rFonts w:ascii="Times New Roman" w:hAnsi="Times New Roman"/>
          <w:lang w:eastAsia="zh-CN"/>
        </w:rPr>
        <w:t>GB50011-2010</w:t>
      </w:r>
      <w:r w:rsidRPr="00E67914">
        <w:rPr>
          <w:rFonts w:ascii="Times New Roman" w:hAnsi="Times New Roman"/>
          <w:lang w:eastAsia="zh-CN"/>
        </w:rPr>
        <w:t>），宣汉抗震设防烈度为</w:t>
      </w:r>
      <w:r w:rsidRPr="00E67914">
        <w:rPr>
          <w:rFonts w:ascii="Times New Roman" w:hAnsi="Times New Roman"/>
          <w:lang w:eastAsia="zh-CN"/>
        </w:rPr>
        <w:t>6</w:t>
      </w:r>
      <w:r w:rsidRPr="00E67914">
        <w:rPr>
          <w:rFonts w:ascii="Times New Roman" w:hAnsi="Times New Roman"/>
          <w:lang w:eastAsia="zh-CN"/>
        </w:rPr>
        <w:t>度，设计基本地震加速度值为</w:t>
      </w:r>
      <w:r w:rsidRPr="00E67914">
        <w:rPr>
          <w:rFonts w:ascii="Times New Roman" w:hAnsi="Times New Roman"/>
          <w:lang w:eastAsia="zh-CN"/>
        </w:rPr>
        <w:t>0.05g</w:t>
      </w:r>
      <w:r w:rsidRPr="00E67914">
        <w:rPr>
          <w:rFonts w:ascii="Times New Roman" w:hAnsi="Times New Roman"/>
          <w:lang w:eastAsia="zh-CN"/>
        </w:rPr>
        <w:t>，属第一组，可不考虑地震液化问题。另查阅县志，整个宣汉县境尚无地震活动的记载。因此总体上区域稳定性良好，适宜工程修建。</w:t>
      </w:r>
    </w:p>
    <w:p w14:paraId="2D6C0D7C"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4.1.6</w:t>
      </w:r>
      <w:r w:rsidRPr="00E67914">
        <w:rPr>
          <w:rFonts w:ascii="Times New Roman" w:eastAsia="黑体" w:hAnsi="Times New Roman"/>
          <w:b w:val="0"/>
          <w:sz w:val="24"/>
          <w:szCs w:val="24"/>
          <w:lang w:eastAsia="zh-CN"/>
        </w:rPr>
        <w:t>土壤</w:t>
      </w:r>
    </w:p>
    <w:p w14:paraId="254E16F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项目所在地面（区域硬化前）以残坡积和崩坡积之砂质粘土夹碎块石为主，局部有小卵石混杂其中。区内土壤多由灰岩和砂页岩发育而成的砾石土、砾质土为主。土壤质地与母岩和地形关系密切，一般由砂岩发育的多为沙质土；由砂页岩互层发育的多为壤质土；泥岩和灰岩发育的多为粘质土，陡坡地和二迭系以前母岩发育的多为砾石土和砾质土。土壤剖面各发生层的质地上下变化较小，仅少数土壤剖面物粘含量有随深度增加而增加的趋势。</w:t>
      </w:r>
    </w:p>
    <w:p w14:paraId="3FD35E5D"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土壤以中性和微碱性为主，其次是微酸性，少数酸性。</w:t>
      </w:r>
      <w:r w:rsidRPr="00E67914">
        <w:rPr>
          <w:rFonts w:ascii="Times New Roman" w:hAnsi="Times New Roman"/>
          <w:lang w:eastAsia="zh-CN"/>
        </w:rPr>
        <w:t>pH</w:t>
      </w:r>
      <w:r w:rsidRPr="00E67914">
        <w:rPr>
          <w:rFonts w:ascii="Times New Roman" w:hAnsi="Times New Roman"/>
          <w:lang w:eastAsia="zh-CN"/>
        </w:rPr>
        <w:t>值在</w:t>
      </w:r>
      <w:r w:rsidRPr="00E67914">
        <w:rPr>
          <w:rFonts w:ascii="Times New Roman" w:hAnsi="Times New Roman"/>
          <w:lang w:eastAsia="zh-CN"/>
        </w:rPr>
        <w:t>4.5</w:t>
      </w:r>
      <w:r w:rsidRPr="00E67914">
        <w:rPr>
          <w:rFonts w:ascii="Times New Roman" w:hAnsi="Times New Roman"/>
          <w:lang w:eastAsia="zh-CN"/>
        </w:rPr>
        <w:t>～</w:t>
      </w:r>
      <w:r w:rsidRPr="00E67914">
        <w:rPr>
          <w:rFonts w:ascii="Times New Roman" w:hAnsi="Times New Roman"/>
          <w:lang w:eastAsia="zh-CN"/>
        </w:rPr>
        <w:t>5.4</w:t>
      </w:r>
      <w:r w:rsidRPr="00E67914">
        <w:rPr>
          <w:rFonts w:ascii="Times New Roman" w:hAnsi="Times New Roman"/>
          <w:lang w:eastAsia="zh-CN"/>
        </w:rPr>
        <w:t>之间的占</w:t>
      </w:r>
      <w:r w:rsidRPr="00E67914">
        <w:rPr>
          <w:rFonts w:ascii="Times New Roman" w:hAnsi="Times New Roman"/>
          <w:lang w:eastAsia="zh-CN"/>
        </w:rPr>
        <w:t>6.4%</w:t>
      </w:r>
      <w:r w:rsidRPr="00E67914">
        <w:rPr>
          <w:rFonts w:ascii="Times New Roman" w:hAnsi="Times New Roman"/>
          <w:lang w:eastAsia="zh-CN"/>
        </w:rPr>
        <w:t>；</w:t>
      </w:r>
      <w:r w:rsidRPr="00E67914">
        <w:rPr>
          <w:rFonts w:ascii="Times New Roman" w:hAnsi="Times New Roman"/>
          <w:lang w:eastAsia="zh-CN"/>
        </w:rPr>
        <w:t>5.5</w:t>
      </w:r>
      <w:r w:rsidRPr="00E67914">
        <w:rPr>
          <w:rFonts w:ascii="Times New Roman" w:hAnsi="Times New Roman"/>
          <w:lang w:eastAsia="zh-CN"/>
        </w:rPr>
        <w:t>～</w:t>
      </w:r>
      <w:r w:rsidRPr="00E67914">
        <w:rPr>
          <w:rFonts w:ascii="Times New Roman" w:hAnsi="Times New Roman"/>
          <w:lang w:eastAsia="zh-CN"/>
        </w:rPr>
        <w:t>6.4</w:t>
      </w:r>
      <w:r w:rsidRPr="00E67914">
        <w:rPr>
          <w:rFonts w:ascii="Times New Roman" w:hAnsi="Times New Roman"/>
          <w:lang w:eastAsia="zh-CN"/>
        </w:rPr>
        <w:t>之间的占</w:t>
      </w:r>
      <w:r w:rsidRPr="00E67914">
        <w:rPr>
          <w:rFonts w:ascii="Times New Roman" w:hAnsi="Times New Roman"/>
          <w:lang w:eastAsia="zh-CN"/>
        </w:rPr>
        <w:t>34%</w:t>
      </w:r>
      <w:r w:rsidRPr="00E67914">
        <w:rPr>
          <w:rFonts w:ascii="Times New Roman" w:hAnsi="Times New Roman"/>
          <w:lang w:eastAsia="zh-CN"/>
        </w:rPr>
        <w:t>；</w:t>
      </w:r>
      <w:r w:rsidRPr="00E67914">
        <w:rPr>
          <w:rFonts w:ascii="Times New Roman" w:hAnsi="Times New Roman"/>
          <w:lang w:eastAsia="zh-CN"/>
        </w:rPr>
        <w:t>6.5</w:t>
      </w:r>
      <w:r w:rsidRPr="00E67914">
        <w:rPr>
          <w:rFonts w:ascii="Times New Roman" w:hAnsi="Times New Roman"/>
          <w:lang w:eastAsia="zh-CN"/>
        </w:rPr>
        <w:t>～</w:t>
      </w:r>
      <w:r w:rsidRPr="00E67914">
        <w:rPr>
          <w:rFonts w:ascii="Times New Roman" w:hAnsi="Times New Roman"/>
          <w:lang w:eastAsia="zh-CN"/>
        </w:rPr>
        <w:t>7.5</w:t>
      </w:r>
      <w:r w:rsidRPr="00E67914">
        <w:rPr>
          <w:rFonts w:ascii="Times New Roman" w:hAnsi="Times New Roman"/>
          <w:lang w:eastAsia="zh-CN"/>
        </w:rPr>
        <w:t>之间的占</w:t>
      </w:r>
      <w:r w:rsidRPr="00E67914">
        <w:rPr>
          <w:rFonts w:ascii="Times New Roman" w:hAnsi="Times New Roman"/>
          <w:lang w:eastAsia="zh-CN"/>
        </w:rPr>
        <w:t>34.2%</w:t>
      </w:r>
      <w:r w:rsidRPr="00E67914">
        <w:rPr>
          <w:rFonts w:ascii="Times New Roman" w:hAnsi="Times New Roman"/>
          <w:lang w:eastAsia="zh-CN"/>
        </w:rPr>
        <w:t>；</w:t>
      </w:r>
      <w:r w:rsidRPr="00E67914">
        <w:rPr>
          <w:rFonts w:ascii="Times New Roman" w:hAnsi="Times New Roman"/>
          <w:lang w:eastAsia="zh-CN"/>
        </w:rPr>
        <w:t>7.6</w:t>
      </w:r>
      <w:r w:rsidRPr="00E67914">
        <w:rPr>
          <w:rFonts w:ascii="Times New Roman" w:hAnsi="Times New Roman"/>
          <w:lang w:eastAsia="zh-CN"/>
        </w:rPr>
        <w:t>～</w:t>
      </w:r>
      <w:r w:rsidRPr="00E67914">
        <w:rPr>
          <w:rFonts w:ascii="Times New Roman" w:hAnsi="Times New Roman"/>
          <w:lang w:eastAsia="zh-CN"/>
        </w:rPr>
        <w:t>8.5</w:t>
      </w:r>
      <w:r w:rsidRPr="00E67914">
        <w:rPr>
          <w:rFonts w:ascii="Times New Roman" w:hAnsi="Times New Roman"/>
          <w:lang w:eastAsia="zh-CN"/>
        </w:rPr>
        <w:t>之间的占</w:t>
      </w:r>
      <w:r w:rsidRPr="00E67914">
        <w:rPr>
          <w:rFonts w:ascii="Times New Roman" w:hAnsi="Times New Roman"/>
          <w:lang w:eastAsia="zh-CN"/>
        </w:rPr>
        <w:t>25.3%</w:t>
      </w:r>
      <w:r w:rsidRPr="00E67914">
        <w:rPr>
          <w:rFonts w:ascii="Times New Roman" w:hAnsi="Times New Roman"/>
          <w:lang w:eastAsia="zh-CN"/>
        </w:rPr>
        <w:t>。</w:t>
      </w:r>
    </w:p>
    <w:p w14:paraId="2AD7F9D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lastRenderedPageBreak/>
        <w:t>工程区域地层岩性较为单一，上部主要为第四系松散覆盖层，包括残坡积层、崩坡积层，下伏基岩为侏罗系中统沙溪庙组（</w:t>
      </w:r>
      <w:r w:rsidRPr="00E67914">
        <w:rPr>
          <w:rFonts w:ascii="Times New Roman" w:hAnsi="Times New Roman"/>
          <w:lang w:eastAsia="zh-CN"/>
        </w:rPr>
        <w:t>J</w:t>
      </w:r>
      <w:r w:rsidRPr="00E67914">
        <w:rPr>
          <w:rFonts w:ascii="Times New Roman" w:hAnsi="Times New Roman"/>
          <w:vertAlign w:val="subscript"/>
          <w:lang w:eastAsia="zh-CN"/>
        </w:rPr>
        <w:t>2</w:t>
      </w:r>
      <w:r w:rsidRPr="00E67914">
        <w:rPr>
          <w:rFonts w:ascii="Times New Roman" w:hAnsi="Times New Roman"/>
          <w:lang w:eastAsia="zh-CN"/>
        </w:rPr>
        <w:t>S</w:t>
      </w:r>
      <w:r w:rsidRPr="00E67914">
        <w:rPr>
          <w:rFonts w:ascii="Times New Roman" w:hAnsi="Times New Roman"/>
          <w:lang w:eastAsia="zh-CN"/>
        </w:rPr>
        <w:t>）。沿线出露地层由上至下分别为：</w:t>
      </w:r>
    </w:p>
    <w:p w14:paraId="3A978D36"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1</w:t>
      </w:r>
      <w:r w:rsidRPr="00E67914">
        <w:rPr>
          <w:rFonts w:ascii="Times New Roman" w:hAnsi="Times New Roman"/>
          <w:lang w:eastAsia="zh-CN"/>
        </w:rPr>
        <w:t>）第四系残坡积层：</w:t>
      </w:r>
    </w:p>
    <w:p w14:paraId="631112A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主要为砂土、砂质粘土、粘土，干燥，松散，分布很广。坡体及坡体上覆盖层厚度很薄，一般</w:t>
      </w:r>
      <w:r w:rsidRPr="00E67914">
        <w:rPr>
          <w:rFonts w:ascii="Times New Roman" w:hAnsi="Times New Roman"/>
          <w:lang w:eastAsia="zh-CN"/>
        </w:rPr>
        <w:t>0.2</w:t>
      </w:r>
      <w:r w:rsidRPr="00E67914">
        <w:rPr>
          <w:rFonts w:ascii="Times New Roman" w:hAnsi="Times New Roman"/>
          <w:lang w:eastAsia="zh-CN"/>
        </w:rPr>
        <w:t>～</w:t>
      </w:r>
      <w:r w:rsidRPr="00E67914">
        <w:rPr>
          <w:rFonts w:ascii="Times New Roman" w:hAnsi="Times New Roman"/>
          <w:lang w:eastAsia="zh-CN"/>
        </w:rPr>
        <w:t>0.5m</w:t>
      </w:r>
      <w:r w:rsidRPr="00E67914">
        <w:rPr>
          <w:rFonts w:ascii="Times New Roman" w:hAnsi="Times New Roman"/>
          <w:lang w:eastAsia="zh-CN"/>
        </w:rPr>
        <w:t>。沟谷中为砂质粘土、粘土。厚度较大，一般为</w:t>
      </w:r>
      <w:r w:rsidRPr="00E67914">
        <w:rPr>
          <w:rFonts w:ascii="Times New Roman" w:hAnsi="Times New Roman"/>
          <w:lang w:eastAsia="zh-CN"/>
        </w:rPr>
        <w:t>1.0</w:t>
      </w:r>
      <w:r w:rsidRPr="00E67914">
        <w:rPr>
          <w:rFonts w:ascii="Times New Roman" w:hAnsi="Times New Roman"/>
          <w:lang w:eastAsia="zh-CN"/>
        </w:rPr>
        <w:t>～</w:t>
      </w:r>
      <w:r w:rsidRPr="00E67914">
        <w:rPr>
          <w:rFonts w:ascii="Times New Roman" w:hAnsi="Times New Roman"/>
          <w:lang w:eastAsia="zh-CN"/>
        </w:rPr>
        <w:t>2.5m</w:t>
      </w:r>
      <w:r w:rsidRPr="00E67914">
        <w:rPr>
          <w:rFonts w:ascii="Times New Roman" w:hAnsi="Times New Roman"/>
          <w:lang w:eastAsia="zh-CN"/>
        </w:rPr>
        <w:t>左右，为可塑状。</w:t>
      </w:r>
    </w:p>
    <w:p w14:paraId="2104854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2</w:t>
      </w:r>
      <w:r w:rsidRPr="00E67914">
        <w:rPr>
          <w:rFonts w:ascii="Times New Roman" w:hAnsi="Times New Roman"/>
          <w:lang w:eastAsia="zh-CN"/>
        </w:rPr>
        <w:t>）第四系崩坡积层：</w:t>
      </w:r>
    </w:p>
    <w:p w14:paraId="457ABA8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主要分布于陡坡下部，为含碎块石土，厚度一般为</w:t>
      </w:r>
      <w:r w:rsidRPr="00E67914">
        <w:rPr>
          <w:rFonts w:ascii="Times New Roman" w:hAnsi="Times New Roman"/>
          <w:lang w:eastAsia="zh-CN"/>
        </w:rPr>
        <w:t>1.0</w:t>
      </w:r>
      <w:r w:rsidRPr="00E67914">
        <w:rPr>
          <w:rFonts w:ascii="Times New Roman" w:hAnsi="Times New Roman"/>
          <w:lang w:eastAsia="zh-CN"/>
        </w:rPr>
        <w:t>～</w:t>
      </w:r>
      <w:r w:rsidRPr="00E67914">
        <w:rPr>
          <w:rFonts w:ascii="Times New Roman" w:hAnsi="Times New Roman"/>
          <w:lang w:eastAsia="zh-CN"/>
        </w:rPr>
        <w:t>3.0m</w:t>
      </w:r>
      <w:r w:rsidRPr="00E67914">
        <w:rPr>
          <w:rFonts w:ascii="Times New Roman" w:hAnsi="Times New Roman"/>
          <w:lang w:eastAsia="zh-CN"/>
        </w:rPr>
        <w:t>。碎块石成份主要为砂岩碎块石，另外可见巨大孤石。</w:t>
      </w:r>
    </w:p>
    <w:p w14:paraId="1051D76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3</w:t>
      </w:r>
      <w:r w:rsidRPr="00E67914">
        <w:rPr>
          <w:rFonts w:ascii="Times New Roman" w:hAnsi="Times New Roman"/>
          <w:lang w:eastAsia="zh-CN"/>
        </w:rPr>
        <w:t>）基岩</w:t>
      </w:r>
    </w:p>
    <w:p w14:paraId="2EC183E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侏罗系中统沙溪庙组为含钙质结核的紫红色砂质泥岩、粉砂岩、泥质粉砂岩与黄灰色块状长石岩屑石英砂岩不等厚互层。砂岩坚硬性脆，常形成陡坎陡崖，泥岩易风化剥落，多形成缓坡。</w:t>
      </w:r>
    </w:p>
    <w:p w14:paraId="50ED1312"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4.1.7</w:t>
      </w:r>
      <w:r w:rsidRPr="00E67914">
        <w:rPr>
          <w:rFonts w:ascii="Times New Roman" w:eastAsia="黑体" w:hAnsi="Times New Roman"/>
          <w:b w:val="0"/>
          <w:sz w:val="24"/>
          <w:szCs w:val="24"/>
          <w:lang w:eastAsia="zh-CN"/>
        </w:rPr>
        <w:t>矿产资源</w:t>
      </w:r>
    </w:p>
    <w:p w14:paraId="32018C8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截至</w:t>
      </w:r>
      <w:r w:rsidRPr="00E67914">
        <w:rPr>
          <w:rFonts w:ascii="Times New Roman" w:hAnsi="Times New Roman"/>
          <w:lang w:eastAsia="zh-CN"/>
        </w:rPr>
        <w:t>2018</w:t>
      </w:r>
      <w:r w:rsidRPr="00E67914">
        <w:rPr>
          <w:rFonts w:ascii="Times New Roman" w:hAnsi="Times New Roman"/>
          <w:lang w:eastAsia="zh-CN"/>
        </w:rPr>
        <w:t>年，宣汉县共探测到的资源达</w:t>
      </w:r>
      <w:r w:rsidRPr="00E67914">
        <w:rPr>
          <w:rFonts w:ascii="Times New Roman" w:hAnsi="Times New Roman"/>
          <w:lang w:eastAsia="zh-CN"/>
        </w:rPr>
        <w:t>28</w:t>
      </w:r>
      <w:r w:rsidRPr="00E67914">
        <w:rPr>
          <w:rFonts w:ascii="Times New Roman" w:hAnsi="Times New Roman"/>
          <w:lang w:eastAsia="zh-CN"/>
        </w:rPr>
        <w:t>种，主要矿产资源概括为：一煤（煤炭），二气（石油、天然气），三土（粘土、高岭土、膨润土），五石（滑石、长石、大理石、石英石、石灰石），八矿（铁、砷、硅、硫磺、石膏、铝、卤钾、岩盐）。天然气预测储量高达</w:t>
      </w:r>
      <w:r w:rsidRPr="00E67914">
        <w:rPr>
          <w:rFonts w:ascii="Times New Roman" w:hAnsi="Times New Roman"/>
          <w:lang w:eastAsia="zh-CN"/>
        </w:rPr>
        <w:t>1.5</w:t>
      </w:r>
      <w:r w:rsidRPr="00E67914">
        <w:rPr>
          <w:rFonts w:ascii="Times New Roman" w:hAnsi="Times New Roman"/>
          <w:lang w:eastAsia="zh-CN"/>
        </w:rPr>
        <w:t>万亿立方米，居中国第</w:t>
      </w:r>
      <w:r w:rsidRPr="00E67914">
        <w:rPr>
          <w:rFonts w:ascii="Times New Roman" w:hAnsi="Times New Roman"/>
          <w:lang w:eastAsia="zh-CN"/>
        </w:rPr>
        <w:t>2</w:t>
      </w:r>
      <w:r w:rsidRPr="00E67914">
        <w:rPr>
          <w:rFonts w:ascii="Times New Roman" w:hAnsi="Times New Roman"/>
          <w:lang w:eastAsia="zh-CN"/>
        </w:rPr>
        <w:t>位，已探明开发储量达</w:t>
      </w:r>
      <w:r w:rsidRPr="00E67914">
        <w:rPr>
          <w:rFonts w:ascii="Times New Roman" w:hAnsi="Times New Roman"/>
          <w:lang w:eastAsia="zh-CN"/>
        </w:rPr>
        <w:t>3000-6000</w:t>
      </w:r>
      <w:r w:rsidRPr="00E67914">
        <w:rPr>
          <w:rFonts w:ascii="Times New Roman" w:hAnsi="Times New Roman"/>
          <w:lang w:eastAsia="zh-CN"/>
        </w:rPr>
        <w:t>亿立方米，系西南地区天然气气田中心、国家</w:t>
      </w:r>
      <w:r w:rsidRPr="00E67914">
        <w:rPr>
          <w:rFonts w:ascii="Times New Roman" w:hAnsi="Times New Roman"/>
          <w:lang w:eastAsia="zh-CN"/>
        </w:rPr>
        <w:t>“</w:t>
      </w:r>
      <w:r w:rsidRPr="00E67914">
        <w:rPr>
          <w:rFonts w:ascii="Times New Roman" w:hAnsi="Times New Roman"/>
          <w:lang w:eastAsia="zh-CN"/>
        </w:rPr>
        <w:t>西气东输工程</w:t>
      </w:r>
      <w:r w:rsidRPr="00E67914">
        <w:rPr>
          <w:rFonts w:ascii="Times New Roman" w:hAnsi="Times New Roman"/>
          <w:lang w:eastAsia="zh-CN"/>
        </w:rPr>
        <w:t>”</w:t>
      </w:r>
      <w:r w:rsidRPr="00E67914">
        <w:rPr>
          <w:rFonts w:ascii="Times New Roman" w:hAnsi="Times New Roman"/>
          <w:lang w:eastAsia="zh-CN"/>
        </w:rPr>
        <w:t>重要基地。原煤储量达</w:t>
      </w:r>
      <w:r w:rsidRPr="00E67914">
        <w:rPr>
          <w:rFonts w:ascii="Times New Roman" w:hAnsi="Times New Roman"/>
          <w:lang w:eastAsia="zh-CN"/>
        </w:rPr>
        <w:t>1.6</w:t>
      </w:r>
      <w:r w:rsidRPr="00E67914">
        <w:rPr>
          <w:rFonts w:ascii="Times New Roman" w:hAnsi="Times New Roman"/>
          <w:lang w:eastAsia="zh-CN"/>
        </w:rPr>
        <w:t>亿吨，发热量</w:t>
      </w:r>
      <w:r w:rsidRPr="00E67914">
        <w:rPr>
          <w:rFonts w:ascii="Times New Roman" w:hAnsi="Times New Roman"/>
          <w:lang w:eastAsia="zh-CN"/>
        </w:rPr>
        <w:t>6000</w:t>
      </w:r>
      <w:r w:rsidRPr="00E67914">
        <w:rPr>
          <w:rFonts w:ascii="Times New Roman" w:hAnsi="Times New Roman"/>
          <w:lang w:eastAsia="zh-CN"/>
        </w:rPr>
        <w:t>大卡以上。富钾卤水储量达</w:t>
      </w:r>
      <w:r w:rsidRPr="00E67914">
        <w:rPr>
          <w:rFonts w:ascii="Times New Roman" w:hAnsi="Times New Roman"/>
          <w:lang w:eastAsia="zh-CN"/>
        </w:rPr>
        <w:t>1.3</w:t>
      </w:r>
      <w:r w:rsidRPr="00E67914">
        <w:rPr>
          <w:rFonts w:ascii="Times New Roman" w:hAnsi="Times New Roman"/>
          <w:lang w:eastAsia="zh-CN"/>
        </w:rPr>
        <w:t>亿立方米，是国家盐化工业基地自贡黑卤的</w:t>
      </w:r>
      <w:r w:rsidRPr="00E67914">
        <w:rPr>
          <w:rFonts w:ascii="Times New Roman" w:hAnsi="Times New Roman"/>
          <w:lang w:eastAsia="zh-CN"/>
        </w:rPr>
        <w:t>10</w:t>
      </w:r>
      <w:r w:rsidRPr="00E67914">
        <w:rPr>
          <w:rFonts w:ascii="Times New Roman" w:hAnsi="Times New Roman"/>
          <w:lang w:eastAsia="zh-CN"/>
        </w:rPr>
        <w:t>倍。此外，还有大理石</w:t>
      </w:r>
      <w:r w:rsidRPr="00E67914">
        <w:rPr>
          <w:rFonts w:ascii="Times New Roman" w:hAnsi="Times New Roman"/>
          <w:lang w:eastAsia="zh-CN"/>
        </w:rPr>
        <w:t>30</w:t>
      </w:r>
      <w:r w:rsidRPr="00E67914">
        <w:rPr>
          <w:rFonts w:ascii="Times New Roman" w:hAnsi="Times New Roman"/>
          <w:lang w:eastAsia="zh-CN"/>
        </w:rPr>
        <w:t>亿立方米，石灰石</w:t>
      </w:r>
      <w:r w:rsidRPr="00E67914">
        <w:rPr>
          <w:rFonts w:ascii="Times New Roman" w:hAnsi="Times New Roman"/>
          <w:lang w:eastAsia="zh-CN"/>
        </w:rPr>
        <w:t>30</w:t>
      </w:r>
      <w:r w:rsidRPr="00E67914">
        <w:rPr>
          <w:rFonts w:ascii="Times New Roman" w:hAnsi="Times New Roman"/>
          <w:lang w:eastAsia="zh-CN"/>
        </w:rPr>
        <w:t>亿立方米，石英石</w:t>
      </w:r>
      <w:r w:rsidRPr="00E67914">
        <w:rPr>
          <w:rFonts w:ascii="Times New Roman" w:hAnsi="Times New Roman"/>
          <w:lang w:eastAsia="zh-CN"/>
        </w:rPr>
        <w:t>3000</w:t>
      </w:r>
      <w:r w:rsidRPr="00E67914">
        <w:rPr>
          <w:rFonts w:ascii="Times New Roman" w:hAnsi="Times New Roman"/>
          <w:lang w:eastAsia="zh-CN"/>
        </w:rPr>
        <w:t>万立方米，硫磺矿</w:t>
      </w:r>
      <w:r w:rsidRPr="00E67914">
        <w:rPr>
          <w:rFonts w:ascii="Times New Roman" w:hAnsi="Times New Roman"/>
          <w:lang w:eastAsia="zh-CN"/>
        </w:rPr>
        <w:t>867</w:t>
      </w:r>
      <w:r w:rsidRPr="00E67914">
        <w:rPr>
          <w:rFonts w:ascii="Times New Roman" w:hAnsi="Times New Roman"/>
          <w:lang w:eastAsia="zh-CN"/>
        </w:rPr>
        <w:t>万吨，铁矿</w:t>
      </w:r>
      <w:r w:rsidRPr="00E67914">
        <w:rPr>
          <w:rFonts w:ascii="Times New Roman" w:hAnsi="Times New Roman"/>
          <w:lang w:eastAsia="zh-CN"/>
        </w:rPr>
        <w:t>1800</w:t>
      </w:r>
      <w:r w:rsidRPr="00E67914">
        <w:rPr>
          <w:rFonts w:ascii="Times New Roman" w:hAnsi="Times New Roman"/>
          <w:lang w:eastAsia="zh-CN"/>
        </w:rPr>
        <w:t>万吨等。</w:t>
      </w:r>
    </w:p>
    <w:p w14:paraId="0079F676"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4.1.8</w:t>
      </w:r>
      <w:r w:rsidRPr="00E67914">
        <w:rPr>
          <w:rFonts w:ascii="Times New Roman" w:eastAsia="黑体" w:hAnsi="Times New Roman"/>
          <w:b w:val="0"/>
          <w:sz w:val="24"/>
          <w:szCs w:val="24"/>
          <w:lang w:eastAsia="zh-CN"/>
        </w:rPr>
        <w:t>周边自然遗迹、自然保护区的分布情况</w:t>
      </w:r>
    </w:p>
    <w:p w14:paraId="61F0BC4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评价区域无自然保护区、风景名胜区、自然遗迹、文物古迹等，在项目建设过程中如果发现有保护价值的文物遗迹，建设单位应保护好现场，并报告文物主管部门。</w:t>
      </w:r>
    </w:p>
    <w:p w14:paraId="6B74889F" w14:textId="77777777" w:rsidR="00A54A8A" w:rsidRPr="00E67914" w:rsidRDefault="00000000">
      <w:pPr>
        <w:pStyle w:val="2"/>
        <w:ind w:firstLine="480"/>
        <w:rPr>
          <w:szCs w:val="24"/>
          <w:lang w:eastAsia="zh-CN"/>
        </w:rPr>
      </w:pPr>
      <w:bookmarkStart w:id="110" w:name="4.3环境质量现状评价"/>
      <w:bookmarkStart w:id="111" w:name="4.2项目周边环境概况"/>
      <w:bookmarkStart w:id="112" w:name="_bookmark25"/>
      <w:bookmarkStart w:id="113" w:name="_bookmark24"/>
      <w:bookmarkStart w:id="114" w:name="_Toc148654227"/>
      <w:bookmarkEnd w:id="110"/>
      <w:bookmarkEnd w:id="111"/>
      <w:bookmarkEnd w:id="112"/>
      <w:bookmarkEnd w:id="113"/>
      <w:r w:rsidRPr="00E67914">
        <w:rPr>
          <w:szCs w:val="24"/>
          <w:lang w:eastAsia="zh-CN"/>
        </w:rPr>
        <w:lastRenderedPageBreak/>
        <w:t>4.2</w:t>
      </w:r>
      <w:r w:rsidRPr="00E67914">
        <w:rPr>
          <w:szCs w:val="24"/>
          <w:lang w:eastAsia="zh-CN"/>
        </w:rPr>
        <w:t>环境质量现状评价</w:t>
      </w:r>
      <w:bookmarkEnd w:id="114"/>
    </w:p>
    <w:p w14:paraId="70AA3F55"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4.2.1</w:t>
      </w:r>
      <w:r w:rsidRPr="00E67914">
        <w:rPr>
          <w:rFonts w:ascii="Times New Roman" w:eastAsia="黑体" w:hAnsi="Times New Roman"/>
          <w:b w:val="0"/>
          <w:sz w:val="24"/>
          <w:szCs w:val="24"/>
          <w:lang w:eastAsia="zh-CN"/>
        </w:rPr>
        <w:t>环境空气质量现状</w:t>
      </w:r>
    </w:p>
    <w:p w14:paraId="4E4C9E95" w14:textId="77777777" w:rsidR="00A54A8A" w:rsidRPr="00E67914" w:rsidRDefault="00000000">
      <w:pPr>
        <w:pStyle w:val="afffffe"/>
        <w:ind w:firstLine="480"/>
        <w:rPr>
          <w:szCs w:val="24"/>
        </w:rPr>
      </w:pPr>
      <w:bookmarkStart w:id="115" w:name="_Hlk84604118"/>
      <w:r w:rsidRPr="00E67914">
        <w:rPr>
          <w:szCs w:val="24"/>
        </w:rPr>
        <w:t>本次评价采用了现场实测和资料复用相结合的方法。</w:t>
      </w:r>
    </w:p>
    <w:p w14:paraId="6C6C99F6" w14:textId="44D80528" w:rsidR="00A54A8A" w:rsidRPr="00E67914" w:rsidRDefault="00000000">
      <w:pPr>
        <w:pStyle w:val="afffffe"/>
        <w:ind w:firstLine="480"/>
        <w:rPr>
          <w:szCs w:val="24"/>
        </w:rPr>
      </w:pPr>
      <w:r w:rsidRPr="00E67914">
        <w:rPr>
          <w:szCs w:val="24"/>
        </w:rPr>
        <w:t>根据项目工程特点和各工艺站场的具体情况，以项目涉及区域作为本项目大气环境质量现状调查、评价的对象。本评价对</w:t>
      </w:r>
      <w:r w:rsidR="00902A04" w:rsidRPr="00E67914">
        <w:rPr>
          <w:szCs w:val="24"/>
        </w:rPr>
        <w:t>普陆页</w:t>
      </w:r>
      <w:r w:rsidR="00902A04" w:rsidRPr="00E67914">
        <w:rPr>
          <w:szCs w:val="24"/>
        </w:rPr>
        <w:t>2</w:t>
      </w:r>
      <w:r w:rsidR="00902A04" w:rsidRPr="00E67914">
        <w:rPr>
          <w:szCs w:val="24"/>
        </w:rPr>
        <w:t>试采站</w:t>
      </w:r>
      <w:r w:rsidRPr="00E67914">
        <w:rPr>
          <w:szCs w:val="24"/>
        </w:rPr>
        <w:t>所在地进行大气环境质量现状监测数据以及引用《</w:t>
      </w:r>
      <w:r w:rsidR="008B39C0" w:rsidRPr="00E67914">
        <w:t>达州市</w:t>
      </w:r>
      <w:r w:rsidR="008B39C0" w:rsidRPr="00E67914">
        <w:t>2022</w:t>
      </w:r>
      <w:r w:rsidR="008B39C0" w:rsidRPr="00E67914">
        <w:t>年环境空气质量状况</w:t>
      </w:r>
      <w:r w:rsidRPr="00E67914">
        <w:rPr>
          <w:szCs w:val="24"/>
        </w:rPr>
        <w:t>》环境空气质量公报数据。</w:t>
      </w:r>
    </w:p>
    <w:p w14:paraId="545BE9FF" w14:textId="77777777" w:rsidR="00A54A8A" w:rsidRPr="00E67914" w:rsidRDefault="00000000">
      <w:pPr>
        <w:pStyle w:val="af"/>
        <w:spacing w:before="0" w:line="360" w:lineRule="auto"/>
        <w:ind w:left="0" w:firstLine="200"/>
        <w:rPr>
          <w:rFonts w:ascii="Times New Roman" w:hAnsi="Times New Roman"/>
          <w:b/>
          <w:bCs/>
          <w:lang w:eastAsia="zh-CN"/>
        </w:rPr>
      </w:pPr>
      <w:r w:rsidRPr="00E67914">
        <w:rPr>
          <w:rFonts w:ascii="Times New Roman" w:hAnsi="Times New Roman"/>
          <w:b/>
          <w:bCs/>
          <w:lang w:eastAsia="zh-CN"/>
        </w:rPr>
        <w:t>1</w:t>
      </w:r>
      <w:r w:rsidRPr="00E67914">
        <w:rPr>
          <w:rFonts w:ascii="Times New Roman" w:hAnsi="Times New Roman"/>
          <w:b/>
          <w:bCs/>
          <w:lang w:eastAsia="zh-CN"/>
        </w:rPr>
        <w:t>、达标判断</w:t>
      </w:r>
    </w:p>
    <w:p w14:paraId="652CAF68" w14:textId="635D18CE" w:rsidR="00A54A8A" w:rsidRPr="00E67914" w:rsidRDefault="00000000">
      <w:pPr>
        <w:pStyle w:val="afffffe"/>
        <w:ind w:firstLine="480"/>
        <w:rPr>
          <w:szCs w:val="24"/>
        </w:rPr>
      </w:pPr>
      <w:r w:rsidRPr="00E67914">
        <w:rPr>
          <w:szCs w:val="24"/>
        </w:rPr>
        <w:t>本项目位于达州市宣汉县，项目所在区环境空气功能分区为二类区。根据《环境影响评价技术导则</w:t>
      </w:r>
      <w:r w:rsidRPr="00E67914">
        <w:rPr>
          <w:szCs w:val="24"/>
        </w:rPr>
        <w:t xml:space="preserve"> </w:t>
      </w:r>
      <w:r w:rsidRPr="00E67914">
        <w:rPr>
          <w:szCs w:val="24"/>
        </w:rPr>
        <w:t>总纲》（</w:t>
      </w:r>
      <w:r w:rsidRPr="00E67914">
        <w:rPr>
          <w:szCs w:val="24"/>
        </w:rPr>
        <w:t>HJ2.1-2016</w:t>
      </w:r>
      <w:r w:rsidRPr="00E67914">
        <w:rPr>
          <w:szCs w:val="24"/>
        </w:rPr>
        <w:t>）与《环境影响评价技术导则</w:t>
      </w:r>
      <w:r w:rsidRPr="00E67914">
        <w:rPr>
          <w:szCs w:val="24"/>
        </w:rPr>
        <w:t xml:space="preserve"> </w:t>
      </w:r>
      <w:r w:rsidRPr="00E67914">
        <w:rPr>
          <w:szCs w:val="24"/>
        </w:rPr>
        <w:t>大气环境》（</w:t>
      </w:r>
      <w:r w:rsidRPr="00E67914">
        <w:rPr>
          <w:szCs w:val="24"/>
        </w:rPr>
        <w:t>HJ2.2-2018</w:t>
      </w:r>
      <w:r w:rsidRPr="00E67914">
        <w:rPr>
          <w:szCs w:val="24"/>
        </w:rPr>
        <w:t>）的要求，本次评价收集了《</w:t>
      </w:r>
      <w:r w:rsidR="008B39C0" w:rsidRPr="00E67914">
        <w:t>达州市</w:t>
      </w:r>
      <w:r w:rsidR="008B39C0" w:rsidRPr="00E67914">
        <w:t>2022</w:t>
      </w:r>
      <w:r w:rsidR="008B39C0" w:rsidRPr="00E67914">
        <w:t>年环境空气质量状况</w:t>
      </w:r>
      <w:r w:rsidRPr="00E67914">
        <w:rPr>
          <w:szCs w:val="24"/>
        </w:rPr>
        <w:t>》，</w:t>
      </w:r>
      <w:r w:rsidRPr="00E67914">
        <w:rPr>
          <w:szCs w:val="24"/>
        </w:rPr>
        <w:t>“</w:t>
      </w:r>
      <w:r w:rsidRPr="00E67914">
        <w:rPr>
          <w:szCs w:val="24"/>
        </w:rPr>
        <w:t>宣汉县</w:t>
      </w:r>
      <w:r w:rsidR="008B39C0" w:rsidRPr="00E67914">
        <w:rPr>
          <w:szCs w:val="24"/>
        </w:rPr>
        <w:t>2022</w:t>
      </w:r>
      <w:r w:rsidRPr="00E67914">
        <w:rPr>
          <w:szCs w:val="24"/>
        </w:rPr>
        <w:t>年</w:t>
      </w:r>
      <w:r w:rsidRPr="00E67914">
        <w:rPr>
          <w:szCs w:val="24"/>
        </w:rPr>
        <w:t>1</w:t>
      </w:r>
      <w:r w:rsidRPr="00E67914">
        <w:rPr>
          <w:szCs w:val="24"/>
        </w:rPr>
        <w:t>月</w:t>
      </w:r>
      <w:r w:rsidRPr="00E67914">
        <w:rPr>
          <w:szCs w:val="24"/>
        </w:rPr>
        <w:t>1</w:t>
      </w:r>
      <w:r w:rsidRPr="00E67914">
        <w:rPr>
          <w:szCs w:val="24"/>
        </w:rPr>
        <w:t>日至</w:t>
      </w:r>
      <w:r w:rsidRPr="00E67914">
        <w:rPr>
          <w:szCs w:val="24"/>
        </w:rPr>
        <w:t>12</w:t>
      </w:r>
      <w:r w:rsidRPr="00E67914">
        <w:rPr>
          <w:szCs w:val="24"/>
        </w:rPr>
        <w:t>月</w:t>
      </w:r>
      <w:r w:rsidRPr="00E67914">
        <w:rPr>
          <w:szCs w:val="24"/>
        </w:rPr>
        <w:t>31</w:t>
      </w:r>
      <w:r w:rsidRPr="00E67914">
        <w:rPr>
          <w:szCs w:val="24"/>
        </w:rPr>
        <w:t>日对城区环境空气质量进行了连续自动监测。全年有效监测天数</w:t>
      </w:r>
      <w:r w:rsidRPr="00E67914">
        <w:rPr>
          <w:szCs w:val="24"/>
        </w:rPr>
        <w:t>365</w:t>
      </w:r>
      <w:r w:rsidRPr="00E67914">
        <w:rPr>
          <w:szCs w:val="24"/>
        </w:rPr>
        <w:t>天，达标天数</w:t>
      </w:r>
      <w:r w:rsidR="008B39C0" w:rsidRPr="00E67914">
        <w:rPr>
          <w:szCs w:val="24"/>
        </w:rPr>
        <w:t>355</w:t>
      </w:r>
      <w:r w:rsidRPr="00E67914">
        <w:rPr>
          <w:szCs w:val="24"/>
        </w:rPr>
        <w:t>天，达标率为</w:t>
      </w:r>
      <w:r w:rsidRPr="00E67914">
        <w:rPr>
          <w:szCs w:val="24"/>
        </w:rPr>
        <w:t>9</w:t>
      </w:r>
      <w:r w:rsidR="008B39C0" w:rsidRPr="00E67914">
        <w:rPr>
          <w:szCs w:val="24"/>
        </w:rPr>
        <w:t>7.3</w:t>
      </w:r>
      <w:r w:rsidRPr="00E67914">
        <w:rPr>
          <w:szCs w:val="24"/>
        </w:rPr>
        <w:t>%</w:t>
      </w:r>
      <w:r w:rsidRPr="00E67914">
        <w:rPr>
          <w:szCs w:val="24"/>
        </w:rPr>
        <w:t>。其中：优</w:t>
      </w:r>
      <w:r w:rsidR="00815497" w:rsidRPr="00E67914">
        <w:rPr>
          <w:szCs w:val="24"/>
        </w:rPr>
        <w:t>194</w:t>
      </w:r>
      <w:r w:rsidRPr="00E67914">
        <w:rPr>
          <w:szCs w:val="24"/>
        </w:rPr>
        <w:t>天，良</w:t>
      </w:r>
      <w:r w:rsidR="00815497" w:rsidRPr="00E67914">
        <w:rPr>
          <w:szCs w:val="24"/>
        </w:rPr>
        <w:t>161</w:t>
      </w:r>
      <w:r w:rsidRPr="00E67914">
        <w:rPr>
          <w:szCs w:val="24"/>
        </w:rPr>
        <w:t>天，轻度污染</w:t>
      </w:r>
      <w:r w:rsidR="00815497" w:rsidRPr="00E67914">
        <w:rPr>
          <w:szCs w:val="24"/>
        </w:rPr>
        <w:t>9</w:t>
      </w:r>
      <w:r w:rsidRPr="00E67914">
        <w:rPr>
          <w:szCs w:val="24"/>
        </w:rPr>
        <w:t>天，中度污染</w:t>
      </w:r>
      <w:r w:rsidR="00815497" w:rsidRPr="00E67914">
        <w:rPr>
          <w:szCs w:val="24"/>
        </w:rPr>
        <w:t>1</w:t>
      </w:r>
      <w:r w:rsidRPr="00E67914">
        <w:rPr>
          <w:szCs w:val="24"/>
        </w:rPr>
        <w:t>天，</w:t>
      </w:r>
      <w:r w:rsidR="00815497" w:rsidRPr="00E67914">
        <w:rPr>
          <w:szCs w:val="24"/>
        </w:rPr>
        <w:t>无</w:t>
      </w:r>
      <w:r w:rsidRPr="00E67914">
        <w:rPr>
          <w:szCs w:val="24"/>
        </w:rPr>
        <w:t>重度污染。县城区二氧化硫年均值为</w:t>
      </w:r>
      <w:r w:rsidR="00815497" w:rsidRPr="00E67914">
        <w:rPr>
          <w:szCs w:val="24"/>
        </w:rPr>
        <w:t>5</w:t>
      </w:r>
      <w:r w:rsidRPr="00E67914">
        <w:rPr>
          <w:szCs w:val="24"/>
        </w:rPr>
        <w:t>微克</w:t>
      </w:r>
      <w:r w:rsidRPr="00E67914">
        <w:rPr>
          <w:szCs w:val="24"/>
        </w:rPr>
        <w:t>/</w:t>
      </w:r>
      <w:r w:rsidRPr="00E67914">
        <w:rPr>
          <w:szCs w:val="24"/>
        </w:rPr>
        <w:t>立方米，二氧化氮年均值为</w:t>
      </w:r>
      <w:r w:rsidRPr="00E67914">
        <w:rPr>
          <w:szCs w:val="24"/>
        </w:rPr>
        <w:t>19</w:t>
      </w:r>
      <w:r w:rsidRPr="00E67914">
        <w:rPr>
          <w:szCs w:val="24"/>
        </w:rPr>
        <w:t>微克</w:t>
      </w:r>
      <w:r w:rsidRPr="00E67914">
        <w:rPr>
          <w:szCs w:val="24"/>
        </w:rPr>
        <w:t>/</w:t>
      </w:r>
      <w:r w:rsidRPr="00E67914">
        <w:rPr>
          <w:szCs w:val="24"/>
        </w:rPr>
        <w:t>立方米，可吸入颗粒物年均值为</w:t>
      </w:r>
      <w:r w:rsidR="00815497" w:rsidRPr="00E67914">
        <w:rPr>
          <w:szCs w:val="24"/>
        </w:rPr>
        <w:t>27</w:t>
      </w:r>
      <w:r w:rsidRPr="00E67914">
        <w:rPr>
          <w:szCs w:val="24"/>
        </w:rPr>
        <w:t>微克</w:t>
      </w:r>
      <w:r w:rsidRPr="00E67914">
        <w:rPr>
          <w:szCs w:val="24"/>
        </w:rPr>
        <w:t>/</w:t>
      </w:r>
      <w:r w:rsidRPr="00E67914">
        <w:rPr>
          <w:szCs w:val="24"/>
        </w:rPr>
        <w:t>立方米，细颗粒物年均值为</w:t>
      </w:r>
      <w:r w:rsidR="00815497" w:rsidRPr="00E67914">
        <w:rPr>
          <w:szCs w:val="24"/>
        </w:rPr>
        <w:t>50</w:t>
      </w:r>
      <w:r w:rsidRPr="00E67914">
        <w:rPr>
          <w:szCs w:val="24"/>
        </w:rPr>
        <w:t>微克</w:t>
      </w:r>
      <w:r w:rsidRPr="00E67914">
        <w:rPr>
          <w:szCs w:val="24"/>
        </w:rPr>
        <w:t>/</w:t>
      </w:r>
      <w:r w:rsidRPr="00E67914">
        <w:rPr>
          <w:szCs w:val="24"/>
        </w:rPr>
        <w:t>立方米，臭氧年均值为</w:t>
      </w:r>
      <w:r w:rsidR="00815497" w:rsidRPr="00E67914">
        <w:rPr>
          <w:szCs w:val="24"/>
        </w:rPr>
        <w:t>99</w:t>
      </w:r>
      <w:r w:rsidRPr="00E67914">
        <w:rPr>
          <w:szCs w:val="24"/>
        </w:rPr>
        <w:t>微克</w:t>
      </w:r>
      <w:r w:rsidRPr="00E67914">
        <w:rPr>
          <w:szCs w:val="24"/>
        </w:rPr>
        <w:t>/</w:t>
      </w:r>
      <w:r w:rsidRPr="00E67914">
        <w:rPr>
          <w:szCs w:val="24"/>
        </w:rPr>
        <w:t>立方米，一氧化碳年均值为</w:t>
      </w:r>
      <w:r w:rsidRPr="00E67914">
        <w:rPr>
          <w:szCs w:val="24"/>
        </w:rPr>
        <w:t>1.</w:t>
      </w:r>
      <w:r w:rsidR="00815497" w:rsidRPr="00E67914">
        <w:rPr>
          <w:szCs w:val="24"/>
        </w:rPr>
        <w:t>1</w:t>
      </w:r>
      <w:r w:rsidRPr="00E67914">
        <w:rPr>
          <w:szCs w:val="24"/>
        </w:rPr>
        <w:t>毫克</w:t>
      </w:r>
      <w:r w:rsidRPr="00E67914">
        <w:rPr>
          <w:szCs w:val="24"/>
        </w:rPr>
        <w:t>/</w:t>
      </w:r>
      <w:r w:rsidRPr="00E67914">
        <w:rPr>
          <w:szCs w:val="24"/>
        </w:rPr>
        <w:t>立方米，宣汉县城区环境空气质量年均值达到《环境空气质量标准》（</w:t>
      </w:r>
      <w:r w:rsidRPr="00E67914">
        <w:rPr>
          <w:szCs w:val="24"/>
        </w:rPr>
        <w:t>GB3095—2012</w:t>
      </w:r>
      <w:r w:rsidRPr="00E67914">
        <w:rPr>
          <w:szCs w:val="24"/>
        </w:rPr>
        <w:t>）中二级标准。</w:t>
      </w:r>
      <w:r w:rsidRPr="00E67914">
        <w:rPr>
          <w:szCs w:val="24"/>
        </w:rPr>
        <w:t>”</w:t>
      </w:r>
      <w:r w:rsidRPr="00E67914">
        <w:rPr>
          <w:szCs w:val="24"/>
        </w:rPr>
        <w:t>具体见下表：</w:t>
      </w:r>
    </w:p>
    <w:p w14:paraId="2BA89A85"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4.2-1  2021</w:t>
      </w:r>
      <w:r w:rsidRPr="00E67914">
        <w:rPr>
          <w:rFonts w:ascii="Times New Roman" w:eastAsia="黑体" w:hAnsi="Times New Roman"/>
          <w:sz w:val="21"/>
          <w:szCs w:val="21"/>
          <w:lang w:eastAsia="zh-CN"/>
        </w:rPr>
        <w:t>年宣汉县环境空气质量状况统计表</w:t>
      </w:r>
    </w:p>
    <w:tbl>
      <w:tblPr>
        <w:tblW w:w="8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6"/>
        <w:gridCol w:w="2007"/>
        <w:gridCol w:w="2126"/>
        <w:gridCol w:w="1850"/>
        <w:gridCol w:w="1240"/>
      </w:tblGrid>
      <w:tr w:rsidR="002662E3" w:rsidRPr="00E67914" w14:paraId="652C2AF9" w14:textId="77777777">
        <w:trPr>
          <w:trHeight w:val="231"/>
          <w:jc w:val="center"/>
        </w:trPr>
        <w:tc>
          <w:tcPr>
            <w:tcW w:w="1046" w:type="dxa"/>
            <w:vAlign w:val="center"/>
          </w:tcPr>
          <w:p w14:paraId="7E3CB68E" w14:textId="77777777" w:rsidR="00A54A8A" w:rsidRPr="00E67914" w:rsidRDefault="00000000">
            <w:pPr>
              <w:jc w:val="center"/>
              <w:rPr>
                <w:rFonts w:ascii="Times New Roman" w:hAnsi="Times New Roman"/>
                <w:b/>
                <w:bCs/>
                <w:szCs w:val="21"/>
              </w:rPr>
            </w:pPr>
            <w:r w:rsidRPr="00E67914">
              <w:rPr>
                <w:rFonts w:ascii="Times New Roman" w:hAnsi="Times New Roman"/>
                <w:b/>
                <w:bCs/>
                <w:szCs w:val="21"/>
              </w:rPr>
              <w:t>污染物</w:t>
            </w:r>
          </w:p>
        </w:tc>
        <w:tc>
          <w:tcPr>
            <w:tcW w:w="2007" w:type="dxa"/>
            <w:vAlign w:val="center"/>
          </w:tcPr>
          <w:p w14:paraId="7A346868" w14:textId="77777777" w:rsidR="00A54A8A" w:rsidRPr="00E67914" w:rsidRDefault="00000000">
            <w:pPr>
              <w:jc w:val="center"/>
              <w:rPr>
                <w:rFonts w:ascii="Times New Roman" w:hAnsi="Times New Roman"/>
                <w:b/>
                <w:bCs/>
                <w:szCs w:val="21"/>
              </w:rPr>
            </w:pPr>
            <w:r w:rsidRPr="00E67914">
              <w:rPr>
                <w:rFonts w:ascii="Times New Roman" w:hAnsi="Times New Roman"/>
                <w:b/>
                <w:bCs/>
                <w:szCs w:val="21"/>
              </w:rPr>
              <w:t>评价指标</w:t>
            </w:r>
          </w:p>
        </w:tc>
        <w:tc>
          <w:tcPr>
            <w:tcW w:w="2126" w:type="dxa"/>
            <w:vAlign w:val="center"/>
          </w:tcPr>
          <w:p w14:paraId="479663AE" w14:textId="77777777" w:rsidR="00A54A8A" w:rsidRPr="00E67914" w:rsidRDefault="00000000">
            <w:pPr>
              <w:jc w:val="center"/>
              <w:rPr>
                <w:rFonts w:ascii="Times New Roman" w:hAnsi="Times New Roman"/>
                <w:b/>
                <w:bCs/>
                <w:szCs w:val="21"/>
              </w:rPr>
            </w:pPr>
            <w:r w:rsidRPr="00E67914">
              <w:rPr>
                <w:rFonts w:ascii="Times New Roman" w:hAnsi="Times New Roman"/>
                <w:b/>
                <w:bCs/>
                <w:szCs w:val="21"/>
              </w:rPr>
              <w:t>现状浓度（</w:t>
            </w:r>
            <w:r w:rsidRPr="00E67914">
              <w:rPr>
                <w:rFonts w:ascii="Times New Roman" w:hAnsi="Times New Roman"/>
                <w:b/>
                <w:bCs/>
                <w:szCs w:val="21"/>
              </w:rPr>
              <w:t>ug/ m</w:t>
            </w:r>
            <w:r w:rsidRPr="00E67914">
              <w:rPr>
                <w:rFonts w:ascii="Times New Roman" w:hAnsi="Times New Roman"/>
                <w:b/>
                <w:bCs/>
                <w:szCs w:val="21"/>
                <w:vertAlign w:val="superscript"/>
              </w:rPr>
              <w:t>3</w:t>
            </w:r>
            <w:r w:rsidRPr="00E67914">
              <w:rPr>
                <w:rFonts w:ascii="Times New Roman" w:hAnsi="Times New Roman"/>
                <w:b/>
                <w:bCs/>
                <w:szCs w:val="21"/>
              </w:rPr>
              <w:t>）</w:t>
            </w:r>
          </w:p>
        </w:tc>
        <w:tc>
          <w:tcPr>
            <w:tcW w:w="1850" w:type="dxa"/>
            <w:vAlign w:val="center"/>
          </w:tcPr>
          <w:p w14:paraId="6F7AD476" w14:textId="77777777" w:rsidR="00A54A8A" w:rsidRPr="00E67914" w:rsidRDefault="00000000">
            <w:pPr>
              <w:jc w:val="center"/>
              <w:rPr>
                <w:rFonts w:ascii="Times New Roman" w:hAnsi="Times New Roman"/>
                <w:b/>
                <w:bCs/>
                <w:szCs w:val="21"/>
              </w:rPr>
            </w:pPr>
            <w:r w:rsidRPr="00E67914">
              <w:rPr>
                <w:rFonts w:ascii="Times New Roman" w:hAnsi="Times New Roman"/>
                <w:b/>
                <w:bCs/>
                <w:szCs w:val="21"/>
              </w:rPr>
              <w:t>标准值（</w:t>
            </w:r>
            <w:r w:rsidRPr="00E67914">
              <w:rPr>
                <w:rFonts w:ascii="Times New Roman" w:hAnsi="Times New Roman"/>
                <w:b/>
                <w:bCs/>
                <w:szCs w:val="21"/>
              </w:rPr>
              <w:t>ug/ m</w:t>
            </w:r>
            <w:r w:rsidRPr="00E67914">
              <w:rPr>
                <w:rFonts w:ascii="Times New Roman" w:hAnsi="Times New Roman"/>
                <w:b/>
                <w:bCs/>
                <w:szCs w:val="21"/>
                <w:vertAlign w:val="superscript"/>
              </w:rPr>
              <w:t>3</w:t>
            </w:r>
            <w:r w:rsidRPr="00E67914">
              <w:rPr>
                <w:rFonts w:ascii="Times New Roman" w:hAnsi="Times New Roman"/>
                <w:b/>
                <w:bCs/>
                <w:szCs w:val="21"/>
              </w:rPr>
              <w:t>）</w:t>
            </w:r>
          </w:p>
        </w:tc>
        <w:tc>
          <w:tcPr>
            <w:tcW w:w="1240" w:type="dxa"/>
            <w:vAlign w:val="center"/>
          </w:tcPr>
          <w:p w14:paraId="5635B34B" w14:textId="77777777" w:rsidR="00A54A8A" w:rsidRPr="00E67914" w:rsidRDefault="00000000">
            <w:pPr>
              <w:jc w:val="center"/>
              <w:rPr>
                <w:rFonts w:ascii="Times New Roman" w:hAnsi="Times New Roman"/>
                <w:b/>
                <w:bCs/>
                <w:szCs w:val="21"/>
              </w:rPr>
            </w:pPr>
            <w:r w:rsidRPr="00E67914">
              <w:rPr>
                <w:rFonts w:ascii="Times New Roman" w:hAnsi="Times New Roman"/>
                <w:b/>
                <w:bCs/>
                <w:szCs w:val="21"/>
              </w:rPr>
              <w:t>达标情况</w:t>
            </w:r>
          </w:p>
        </w:tc>
      </w:tr>
      <w:tr w:rsidR="002662E3" w:rsidRPr="00E67914" w14:paraId="40F2F2F6" w14:textId="77777777">
        <w:trPr>
          <w:trHeight w:val="248"/>
          <w:jc w:val="center"/>
        </w:trPr>
        <w:tc>
          <w:tcPr>
            <w:tcW w:w="1046" w:type="dxa"/>
            <w:vAlign w:val="center"/>
          </w:tcPr>
          <w:p w14:paraId="6A796D6B" w14:textId="77777777" w:rsidR="00A54A8A" w:rsidRPr="00E67914" w:rsidRDefault="00000000">
            <w:pPr>
              <w:jc w:val="center"/>
              <w:rPr>
                <w:rFonts w:ascii="Times New Roman" w:hAnsi="Times New Roman"/>
                <w:szCs w:val="21"/>
              </w:rPr>
            </w:pPr>
            <w:r w:rsidRPr="00E67914">
              <w:rPr>
                <w:rFonts w:ascii="Times New Roman" w:hAnsi="Times New Roman"/>
                <w:szCs w:val="21"/>
              </w:rPr>
              <w:t>SO</w:t>
            </w:r>
            <w:r w:rsidRPr="00E67914">
              <w:rPr>
                <w:rFonts w:ascii="Times New Roman" w:hAnsi="Times New Roman"/>
                <w:szCs w:val="21"/>
                <w:vertAlign w:val="subscript"/>
              </w:rPr>
              <w:t>2</w:t>
            </w:r>
          </w:p>
        </w:tc>
        <w:tc>
          <w:tcPr>
            <w:tcW w:w="2007" w:type="dxa"/>
            <w:vMerge w:val="restart"/>
            <w:vAlign w:val="center"/>
          </w:tcPr>
          <w:p w14:paraId="4F678F57" w14:textId="77777777" w:rsidR="00A54A8A" w:rsidRPr="00E67914" w:rsidRDefault="00000000">
            <w:pPr>
              <w:jc w:val="center"/>
              <w:rPr>
                <w:rFonts w:ascii="Times New Roman" w:hAnsi="Times New Roman"/>
                <w:szCs w:val="21"/>
              </w:rPr>
            </w:pPr>
            <w:r w:rsidRPr="00E67914">
              <w:rPr>
                <w:rFonts w:ascii="Times New Roman" w:hAnsi="Times New Roman"/>
                <w:szCs w:val="21"/>
              </w:rPr>
              <w:t>年评价质量浓度</w:t>
            </w:r>
          </w:p>
        </w:tc>
        <w:tc>
          <w:tcPr>
            <w:tcW w:w="2126" w:type="dxa"/>
            <w:vAlign w:val="center"/>
          </w:tcPr>
          <w:p w14:paraId="52F2E4E8" w14:textId="058D7493" w:rsidR="00A54A8A" w:rsidRPr="00E67914" w:rsidRDefault="00815497">
            <w:pPr>
              <w:jc w:val="center"/>
              <w:rPr>
                <w:rFonts w:ascii="Times New Roman" w:hAnsi="Times New Roman"/>
                <w:szCs w:val="21"/>
              </w:rPr>
            </w:pPr>
            <w:r w:rsidRPr="00E67914">
              <w:rPr>
                <w:rFonts w:ascii="Times New Roman" w:hAnsi="Times New Roman"/>
                <w:szCs w:val="21"/>
              </w:rPr>
              <w:t>5</w:t>
            </w:r>
          </w:p>
        </w:tc>
        <w:tc>
          <w:tcPr>
            <w:tcW w:w="1850" w:type="dxa"/>
            <w:vAlign w:val="center"/>
          </w:tcPr>
          <w:p w14:paraId="4B446C20" w14:textId="77777777" w:rsidR="00A54A8A" w:rsidRPr="00E67914" w:rsidRDefault="00000000">
            <w:pPr>
              <w:jc w:val="center"/>
              <w:rPr>
                <w:rFonts w:ascii="Times New Roman" w:hAnsi="Times New Roman"/>
                <w:szCs w:val="21"/>
              </w:rPr>
            </w:pPr>
            <w:r w:rsidRPr="00E67914">
              <w:rPr>
                <w:rFonts w:ascii="Times New Roman" w:hAnsi="Times New Roman"/>
                <w:szCs w:val="21"/>
              </w:rPr>
              <w:t>60</w:t>
            </w:r>
          </w:p>
        </w:tc>
        <w:tc>
          <w:tcPr>
            <w:tcW w:w="1240" w:type="dxa"/>
            <w:vAlign w:val="center"/>
          </w:tcPr>
          <w:p w14:paraId="1AF4EB48" w14:textId="77777777" w:rsidR="00A54A8A" w:rsidRPr="00E67914" w:rsidRDefault="00000000">
            <w:pPr>
              <w:jc w:val="center"/>
              <w:rPr>
                <w:rFonts w:ascii="Times New Roman" w:hAnsi="Times New Roman"/>
                <w:szCs w:val="21"/>
              </w:rPr>
            </w:pPr>
            <w:r w:rsidRPr="00E67914">
              <w:rPr>
                <w:rFonts w:ascii="Times New Roman" w:hAnsi="Times New Roman"/>
                <w:szCs w:val="21"/>
              </w:rPr>
              <w:t>达标</w:t>
            </w:r>
          </w:p>
        </w:tc>
      </w:tr>
      <w:tr w:rsidR="002662E3" w:rsidRPr="00E67914" w14:paraId="551FE218" w14:textId="77777777">
        <w:trPr>
          <w:trHeight w:val="231"/>
          <w:jc w:val="center"/>
        </w:trPr>
        <w:tc>
          <w:tcPr>
            <w:tcW w:w="1046" w:type="dxa"/>
            <w:vAlign w:val="center"/>
          </w:tcPr>
          <w:p w14:paraId="435F9DFC" w14:textId="77777777" w:rsidR="00A54A8A" w:rsidRPr="00E67914" w:rsidRDefault="00000000">
            <w:pPr>
              <w:jc w:val="center"/>
              <w:rPr>
                <w:rFonts w:ascii="Times New Roman" w:hAnsi="Times New Roman"/>
                <w:szCs w:val="21"/>
              </w:rPr>
            </w:pPr>
            <w:r w:rsidRPr="00E67914">
              <w:rPr>
                <w:rFonts w:ascii="Times New Roman" w:hAnsi="Times New Roman"/>
                <w:szCs w:val="21"/>
              </w:rPr>
              <w:t>NO</w:t>
            </w:r>
            <w:r w:rsidRPr="00E67914">
              <w:rPr>
                <w:rFonts w:ascii="Times New Roman" w:hAnsi="Times New Roman"/>
                <w:szCs w:val="21"/>
                <w:vertAlign w:val="subscript"/>
              </w:rPr>
              <w:t>2</w:t>
            </w:r>
          </w:p>
        </w:tc>
        <w:tc>
          <w:tcPr>
            <w:tcW w:w="2007" w:type="dxa"/>
            <w:vMerge/>
            <w:vAlign w:val="center"/>
          </w:tcPr>
          <w:p w14:paraId="463CA57D" w14:textId="77777777" w:rsidR="00A54A8A" w:rsidRPr="00E67914" w:rsidRDefault="00A54A8A">
            <w:pPr>
              <w:jc w:val="center"/>
              <w:rPr>
                <w:rFonts w:ascii="Times New Roman" w:hAnsi="Times New Roman"/>
                <w:szCs w:val="21"/>
              </w:rPr>
            </w:pPr>
          </w:p>
        </w:tc>
        <w:tc>
          <w:tcPr>
            <w:tcW w:w="2126" w:type="dxa"/>
            <w:vAlign w:val="center"/>
          </w:tcPr>
          <w:p w14:paraId="1FA57731" w14:textId="77777777" w:rsidR="00A54A8A" w:rsidRPr="00E67914" w:rsidRDefault="00000000">
            <w:pPr>
              <w:jc w:val="center"/>
              <w:rPr>
                <w:rFonts w:ascii="Times New Roman" w:hAnsi="Times New Roman"/>
                <w:szCs w:val="21"/>
              </w:rPr>
            </w:pPr>
            <w:r w:rsidRPr="00E67914">
              <w:rPr>
                <w:rFonts w:ascii="Times New Roman" w:hAnsi="Times New Roman"/>
                <w:szCs w:val="21"/>
              </w:rPr>
              <w:t>19</w:t>
            </w:r>
          </w:p>
        </w:tc>
        <w:tc>
          <w:tcPr>
            <w:tcW w:w="1850" w:type="dxa"/>
            <w:vAlign w:val="center"/>
          </w:tcPr>
          <w:p w14:paraId="29DA50EB" w14:textId="77777777" w:rsidR="00A54A8A" w:rsidRPr="00E67914" w:rsidRDefault="00000000">
            <w:pPr>
              <w:jc w:val="center"/>
              <w:rPr>
                <w:rFonts w:ascii="Times New Roman" w:hAnsi="Times New Roman"/>
                <w:szCs w:val="21"/>
              </w:rPr>
            </w:pPr>
            <w:r w:rsidRPr="00E67914">
              <w:rPr>
                <w:rFonts w:ascii="Times New Roman" w:hAnsi="Times New Roman"/>
                <w:szCs w:val="21"/>
              </w:rPr>
              <w:t>40</w:t>
            </w:r>
          </w:p>
        </w:tc>
        <w:tc>
          <w:tcPr>
            <w:tcW w:w="1240" w:type="dxa"/>
            <w:vAlign w:val="center"/>
          </w:tcPr>
          <w:p w14:paraId="375F111A" w14:textId="77777777" w:rsidR="00A54A8A" w:rsidRPr="00E67914" w:rsidRDefault="00000000">
            <w:pPr>
              <w:jc w:val="center"/>
              <w:rPr>
                <w:rFonts w:ascii="Times New Roman" w:hAnsi="Times New Roman"/>
                <w:szCs w:val="21"/>
              </w:rPr>
            </w:pPr>
            <w:r w:rsidRPr="00E67914">
              <w:rPr>
                <w:rFonts w:ascii="Times New Roman" w:hAnsi="Times New Roman"/>
                <w:szCs w:val="21"/>
              </w:rPr>
              <w:t>达标</w:t>
            </w:r>
          </w:p>
        </w:tc>
      </w:tr>
      <w:tr w:rsidR="002662E3" w:rsidRPr="00E67914" w14:paraId="76D35684" w14:textId="77777777">
        <w:trPr>
          <w:trHeight w:val="231"/>
          <w:jc w:val="center"/>
        </w:trPr>
        <w:tc>
          <w:tcPr>
            <w:tcW w:w="1046" w:type="dxa"/>
            <w:vAlign w:val="center"/>
          </w:tcPr>
          <w:p w14:paraId="43318FC8" w14:textId="77777777" w:rsidR="00A54A8A" w:rsidRPr="00E67914" w:rsidRDefault="00000000">
            <w:pPr>
              <w:jc w:val="center"/>
              <w:rPr>
                <w:rFonts w:ascii="Times New Roman" w:hAnsi="Times New Roman"/>
                <w:szCs w:val="21"/>
              </w:rPr>
            </w:pPr>
            <w:r w:rsidRPr="00E67914">
              <w:rPr>
                <w:rFonts w:ascii="Times New Roman" w:hAnsi="Times New Roman"/>
                <w:szCs w:val="21"/>
              </w:rPr>
              <w:t>PM</w:t>
            </w:r>
            <w:r w:rsidRPr="00E67914">
              <w:rPr>
                <w:rFonts w:ascii="Times New Roman" w:hAnsi="Times New Roman"/>
                <w:szCs w:val="21"/>
                <w:vertAlign w:val="subscript"/>
              </w:rPr>
              <w:t>10</w:t>
            </w:r>
          </w:p>
        </w:tc>
        <w:tc>
          <w:tcPr>
            <w:tcW w:w="2007" w:type="dxa"/>
            <w:vMerge/>
            <w:vAlign w:val="center"/>
          </w:tcPr>
          <w:p w14:paraId="5F65B60F" w14:textId="77777777" w:rsidR="00A54A8A" w:rsidRPr="00E67914" w:rsidRDefault="00A54A8A">
            <w:pPr>
              <w:jc w:val="center"/>
              <w:rPr>
                <w:rFonts w:ascii="Times New Roman" w:hAnsi="Times New Roman"/>
                <w:szCs w:val="21"/>
              </w:rPr>
            </w:pPr>
          </w:p>
        </w:tc>
        <w:tc>
          <w:tcPr>
            <w:tcW w:w="2126" w:type="dxa"/>
            <w:vAlign w:val="center"/>
          </w:tcPr>
          <w:p w14:paraId="5C064573" w14:textId="1EBDE7CC" w:rsidR="00A54A8A" w:rsidRPr="00E67914" w:rsidRDefault="00815497">
            <w:pPr>
              <w:jc w:val="center"/>
              <w:rPr>
                <w:rFonts w:ascii="Times New Roman" w:hAnsi="Times New Roman"/>
                <w:szCs w:val="21"/>
              </w:rPr>
            </w:pPr>
            <w:r w:rsidRPr="00E67914">
              <w:rPr>
                <w:rFonts w:ascii="Times New Roman" w:hAnsi="Times New Roman"/>
                <w:szCs w:val="21"/>
              </w:rPr>
              <w:t>50</w:t>
            </w:r>
          </w:p>
        </w:tc>
        <w:tc>
          <w:tcPr>
            <w:tcW w:w="1850" w:type="dxa"/>
            <w:vAlign w:val="center"/>
          </w:tcPr>
          <w:p w14:paraId="77A32B1C" w14:textId="77777777" w:rsidR="00A54A8A" w:rsidRPr="00E67914" w:rsidRDefault="00000000">
            <w:pPr>
              <w:jc w:val="center"/>
              <w:rPr>
                <w:rFonts w:ascii="Times New Roman" w:hAnsi="Times New Roman"/>
                <w:szCs w:val="21"/>
              </w:rPr>
            </w:pPr>
            <w:r w:rsidRPr="00E67914">
              <w:rPr>
                <w:rFonts w:ascii="Times New Roman" w:hAnsi="Times New Roman"/>
                <w:szCs w:val="21"/>
              </w:rPr>
              <w:t>70</w:t>
            </w:r>
          </w:p>
        </w:tc>
        <w:tc>
          <w:tcPr>
            <w:tcW w:w="1240" w:type="dxa"/>
            <w:vAlign w:val="center"/>
          </w:tcPr>
          <w:p w14:paraId="49B9C54F" w14:textId="77777777" w:rsidR="00A54A8A" w:rsidRPr="00E67914" w:rsidRDefault="00000000">
            <w:pPr>
              <w:jc w:val="center"/>
              <w:rPr>
                <w:rFonts w:ascii="Times New Roman" w:hAnsi="Times New Roman"/>
                <w:szCs w:val="21"/>
              </w:rPr>
            </w:pPr>
            <w:r w:rsidRPr="00E67914">
              <w:rPr>
                <w:rFonts w:ascii="Times New Roman" w:hAnsi="Times New Roman"/>
                <w:szCs w:val="21"/>
              </w:rPr>
              <w:t>达标</w:t>
            </w:r>
          </w:p>
        </w:tc>
      </w:tr>
      <w:tr w:rsidR="002662E3" w:rsidRPr="00E67914" w14:paraId="1C5A68B6" w14:textId="77777777">
        <w:trPr>
          <w:trHeight w:val="248"/>
          <w:jc w:val="center"/>
        </w:trPr>
        <w:tc>
          <w:tcPr>
            <w:tcW w:w="1046" w:type="dxa"/>
            <w:vAlign w:val="center"/>
          </w:tcPr>
          <w:p w14:paraId="24AAF898" w14:textId="77777777" w:rsidR="00A54A8A" w:rsidRPr="00E67914" w:rsidRDefault="00000000">
            <w:pPr>
              <w:jc w:val="center"/>
              <w:rPr>
                <w:rFonts w:ascii="Times New Roman" w:hAnsi="Times New Roman"/>
                <w:bCs/>
                <w:szCs w:val="21"/>
              </w:rPr>
            </w:pPr>
            <w:r w:rsidRPr="00E67914">
              <w:rPr>
                <w:rFonts w:ascii="Times New Roman" w:hAnsi="Times New Roman"/>
                <w:bCs/>
                <w:szCs w:val="21"/>
              </w:rPr>
              <w:t>PM</w:t>
            </w:r>
            <w:r w:rsidRPr="00E67914">
              <w:rPr>
                <w:rFonts w:ascii="Times New Roman" w:hAnsi="Times New Roman"/>
                <w:bCs/>
                <w:szCs w:val="21"/>
                <w:vertAlign w:val="subscript"/>
              </w:rPr>
              <w:t>2.5</w:t>
            </w:r>
          </w:p>
        </w:tc>
        <w:tc>
          <w:tcPr>
            <w:tcW w:w="2007" w:type="dxa"/>
            <w:vMerge/>
            <w:vAlign w:val="center"/>
          </w:tcPr>
          <w:p w14:paraId="4E0FB5C3" w14:textId="77777777" w:rsidR="00A54A8A" w:rsidRPr="00E67914" w:rsidRDefault="00A54A8A">
            <w:pPr>
              <w:jc w:val="center"/>
              <w:rPr>
                <w:rFonts w:ascii="Times New Roman" w:hAnsi="Times New Roman"/>
                <w:b/>
                <w:bCs/>
                <w:szCs w:val="21"/>
              </w:rPr>
            </w:pPr>
          </w:p>
        </w:tc>
        <w:tc>
          <w:tcPr>
            <w:tcW w:w="2126" w:type="dxa"/>
            <w:vAlign w:val="center"/>
          </w:tcPr>
          <w:p w14:paraId="4BBCCBD0" w14:textId="76724004" w:rsidR="00A54A8A" w:rsidRPr="00E67914" w:rsidRDefault="00815497">
            <w:pPr>
              <w:jc w:val="center"/>
              <w:rPr>
                <w:rFonts w:ascii="Times New Roman" w:hAnsi="Times New Roman"/>
                <w:szCs w:val="21"/>
              </w:rPr>
            </w:pPr>
            <w:r w:rsidRPr="00E67914">
              <w:rPr>
                <w:rFonts w:ascii="Times New Roman" w:hAnsi="Times New Roman"/>
                <w:szCs w:val="21"/>
              </w:rPr>
              <w:t>27</w:t>
            </w:r>
          </w:p>
        </w:tc>
        <w:tc>
          <w:tcPr>
            <w:tcW w:w="1850" w:type="dxa"/>
            <w:vAlign w:val="center"/>
          </w:tcPr>
          <w:p w14:paraId="24E3B977" w14:textId="77777777" w:rsidR="00A54A8A" w:rsidRPr="00E67914" w:rsidRDefault="00000000">
            <w:pPr>
              <w:jc w:val="center"/>
              <w:rPr>
                <w:rFonts w:ascii="Times New Roman" w:hAnsi="Times New Roman"/>
                <w:szCs w:val="21"/>
              </w:rPr>
            </w:pPr>
            <w:r w:rsidRPr="00E67914">
              <w:rPr>
                <w:rFonts w:ascii="Times New Roman" w:hAnsi="Times New Roman"/>
                <w:szCs w:val="21"/>
              </w:rPr>
              <w:t>35</w:t>
            </w:r>
          </w:p>
        </w:tc>
        <w:tc>
          <w:tcPr>
            <w:tcW w:w="1240" w:type="dxa"/>
            <w:vAlign w:val="center"/>
          </w:tcPr>
          <w:p w14:paraId="4F4EC7F9" w14:textId="77777777" w:rsidR="00A54A8A" w:rsidRPr="00E67914" w:rsidRDefault="00000000">
            <w:pPr>
              <w:jc w:val="center"/>
              <w:rPr>
                <w:rFonts w:ascii="Times New Roman" w:hAnsi="Times New Roman"/>
                <w:szCs w:val="21"/>
              </w:rPr>
            </w:pPr>
            <w:r w:rsidRPr="00E67914">
              <w:rPr>
                <w:rFonts w:ascii="Times New Roman" w:hAnsi="Times New Roman"/>
                <w:szCs w:val="21"/>
              </w:rPr>
              <w:t>达标</w:t>
            </w:r>
          </w:p>
        </w:tc>
      </w:tr>
      <w:tr w:rsidR="002662E3" w:rsidRPr="00E67914" w14:paraId="2E469B04" w14:textId="77777777">
        <w:trPr>
          <w:trHeight w:val="261"/>
          <w:jc w:val="center"/>
        </w:trPr>
        <w:tc>
          <w:tcPr>
            <w:tcW w:w="1046" w:type="dxa"/>
            <w:vAlign w:val="center"/>
          </w:tcPr>
          <w:p w14:paraId="536FCC02" w14:textId="77777777" w:rsidR="00A54A8A" w:rsidRPr="00E67914" w:rsidRDefault="00000000">
            <w:pPr>
              <w:jc w:val="center"/>
              <w:rPr>
                <w:rFonts w:ascii="Times New Roman" w:hAnsi="Times New Roman"/>
                <w:szCs w:val="21"/>
              </w:rPr>
            </w:pPr>
            <w:r w:rsidRPr="00E67914">
              <w:rPr>
                <w:rFonts w:ascii="Times New Roman" w:hAnsi="Times New Roman"/>
                <w:szCs w:val="21"/>
              </w:rPr>
              <w:t>CO</w:t>
            </w:r>
          </w:p>
        </w:tc>
        <w:tc>
          <w:tcPr>
            <w:tcW w:w="2007" w:type="dxa"/>
            <w:vAlign w:val="center"/>
          </w:tcPr>
          <w:p w14:paraId="02F243EB" w14:textId="77777777" w:rsidR="00A54A8A" w:rsidRPr="00E67914" w:rsidRDefault="00000000">
            <w:pPr>
              <w:jc w:val="center"/>
              <w:rPr>
                <w:rFonts w:ascii="Times New Roman" w:hAnsi="Times New Roman"/>
                <w:szCs w:val="21"/>
                <w:lang w:eastAsia="zh-CN"/>
              </w:rPr>
            </w:pPr>
            <w:r w:rsidRPr="00E67914">
              <w:rPr>
                <w:rFonts w:ascii="Times New Roman" w:hAnsi="Times New Roman"/>
                <w:szCs w:val="21"/>
                <w:lang w:eastAsia="zh-CN"/>
              </w:rPr>
              <w:t>日均浓度的第</w:t>
            </w:r>
            <w:r w:rsidRPr="00E67914">
              <w:rPr>
                <w:rFonts w:ascii="Times New Roman" w:hAnsi="Times New Roman"/>
                <w:szCs w:val="21"/>
                <w:lang w:eastAsia="zh-CN"/>
              </w:rPr>
              <w:t>95</w:t>
            </w:r>
            <w:r w:rsidRPr="00E67914">
              <w:rPr>
                <w:rFonts w:ascii="Times New Roman" w:hAnsi="Times New Roman"/>
                <w:szCs w:val="21"/>
                <w:lang w:eastAsia="zh-CN"/>
              </w:rPr>
              <w:t>百分位数</w:t>
            </w:r>
          </w:p>
        </w:tc>
        <w:tc>
          <w:tcPr>
            <w:tcW w:w="2126" w:type="dxa"/>
            <w:vAlign w:val="center"/>
          </w:tcPr>
          <w:p w14:paraId="23244406" w14:textId="180EE187" w:rsidR="00A54A8A" w:rsidRPr="00E67914" w:rsidRDefault="00815497">
            <w:pPr>
              <w:jc w:val="center"/>
              <w:rPr>
                <w:rFonts w:ascii="Times New Roman" w:hAnsi="Times New Roman"/>
                <w:szCs w:val="21"/>
              </w:rPr>
            </w:pPr>
            <w:r w:rsidRPr="00E67914">
              <w:rPr>
                <w:rFonts w:ascii="Times New Roman" w:hAnsi="Times New Roman"/>
                <w:szCs w:val="21"/>
              </w:rPr>
              <w:t>1100</w:t>
            </w:r>
          </w:p>
        </w:tc>
        <w:tc>
          <w:tcPr>
            <w:tcW w:w="1850" w:type="dxa"/>
            <w:vAlign w:val="center"/>
          </w:tcPr>
          <w:p w14:paraId="41524FC2" w14:textId="77777777" w:rsidR="00A54A8A" w:rsidRPr="00E67914" w:rsidRDefault="00000000">
            <w:pPr>
              <w:jc w:val="center"/>
              <w:rPr>
                <w:rFonts w:ascii="Times New Roman" w:hAnsi="Times New Roman"/>
                <w:szCs w:val="21"/>
              </w:rPr>
            </w:pPr>
            <w:r w:rsidRPr="00E67914">
              <w:rPr>
                <w:rFonts w:ascii="Times New Roman" w:hAnsi="Times New Roman"/>
                <w:szCs w:val="21"/>
              </w:rPr>
              <w:t>4000</w:t>
            </w:r>
          </w:p>
        </w:tc>
        <w:tc>
          <w:tcPr>
            <w:tcW w:w="1240" w:type="dxa"/>
            <w:vAlign w:val="center"/>
          </w:tcPr>
          <w:p w14:paraId="0DCA8B17" w14:textId="77777777" w:rsidR="00A54A8A" w:rsidRPr="00E67914" w:rsidRDefault="00000000">
            <w:pPr>
              <w:jc w:val="center"/>
              <w:rPr>
                <w:rFonts w:ascii="Times New Roman" w:hAnsi="Times New Roman"/>
                <w:szCs w:val="21"/>
              </w:rPr>
            </w:pPr>
            <w:r w:rsidRPr="00E67914">
              <w:rPr>
                <w:rFonts w:ascii="Times New Roman" w:hAnsi="Times New Roman"/>
                <w:szCs w:val="21"/>
              </w:rPr>
              <w:t>达标</w:t>
            </w:r>
          </w:p>
        </w:tc>
      </w:tr>
      <w:tr w:rsidR="002662E3" w:rsidRPr="00E67914" w14:paraId="79B0DCE2" w14:textId="77777777">
        <w:trPr>
          <w:trHeight w:val="479"/>
          <w:jc w:val="center"/>
        </w:trPr>
        <w:tc>
          <w:tcPr>
            <w:tcW w:w="1046" w:type="dxa"/>
            <w:vAlign w:val="center"/>
          </w:tcPr>
          <w:p w14:paraId="65B5C1FE" w14:textId="77777777" w:rsidR="00A54A8A" w:rsidRPr="00E67914" w:rsidRDefault="00000000">
            <w:pPr>
              <w:jc w:val="center"/>
              <w:rPr>
                <w:rFonts w:ascii="Times New Roman" w:hAnsi="Times New Roman"/>
                <w:szCs w:val="21"/>
              </w:rPr>
            </w:pPr>
            <w:r w:rsidRPr="00E67914">
              <w:rPr>
                <w:rFonts w:ascii="Times New Roman" w:hAnsi="Times New Roman"/>
                <w:szCs w:val="21"/>
              </w:rPr>
              <w:t>O</w:t>
            </w:r>
            <w:r w:rsidRPr="00E67914">
              <w:rPr>
                <w:rFonts w:ascii="Times New Roman" w:hAnsi="Times New Roman"/>
                <w:szCs w:val="21"/>
                <w:vertAlign w:val="subscript"/>
              </w:rPr>
              <w:t>3</w:t>
            </w:r>
          </w:p>
        </w:tc>
        <w:tc>
          <w:tcPr>
            <w:tcW w:w="2007" w:type="dxa"/>
            <w:vAlign w:val="center"/>
          </w:tcPr>
          <w:p w14:paraId="08E00970" w14:textId="77777777" w:rsidR="00A54A8A" w:rsidRPr="00E67914" w:rsidRDefault="00000000">
            <w:pPr>
              <w:jc w:val="center"/>
              <w:rPr>
                <w:rFonts w:ascii="Times New Roman" w:hAnsi="Times New Roman"/>
                <w:szCs w:val="21"/>
                <w:lang w:eastAsia="zh-CN"/>
              </w:rPr>
            </w:pPr>
            <w:r w:rsidRPr="00E67914">
              <w:rPr>
                <w:rFonts w:ascii="Times New Roman" w:hAnsi="Times New Roman"/>
                <w:szCs w:val="21"/>
                <w:lang w:eastAsia="zh-CN"/>
              </w:rPr>
              <w:t>日最大</w:t>
            </w:r>
            <w:r w:rsidRPr="00E67914">
              <w:rPr>
                <w:rFonts w:ascii="Times New Roman" w:hAnsi="Times New Roman"/>
                <w:szCs w:val="21"/>
                <w:lang w:eastAsia="zh-CN"/>
              </w:rPr>
              <w:t>8h</w:t>
            </w:r>
            <w:r w:rsidRPr="00E67914">
              <w:rPr>
                <w:rFonts w:ascii="Times New Roman" w:hAnsi="Times New Roman"/>
                <w:szCs w:val="21"/>
                <w:lang w:eastAsia="zh-CN"/>
              </w:rPr>
              <w:t>平均浓度的第</w:t>
            </w:r>
            <w:r w:rsidRPr="00E67914">
              <w:rPr>
                <w:rFonts w:ascii="Times New Roman" w:hAnsi="Times New Roman"/>
                <w:szCs w:val="21"/>
                <w:lang w:eastAsia="zh-CN"/>
              </w:rPr>
              <w:t>90</w:t>
            </w:r>
            <w:r w:rsidRPr="00E67914">
              <w:rPr>
                <w:rFonts w:ascii="Times New Roman" w:hAnsi="Times New Roman"/>
                <w:szCs w:val="21"/>
                <w:lang w:eastAsia="zh-CN"/>
              </w:rPr>
              <w:t>百分位数</w:t>
            </w:r>
          </w:p>
        </w:tc>
        <w:tc>
          <w:tcPr>
            <w:tcW w:w="2126" w:type="dxa"/>
            <w:vAlign w:val="center"/>
          </w:tcPr>
          <w:p w14:paraId="15D6D133" w14:textId="0DEEA621" w:rsidR="00A54A8A" w:rsidRPr="00E67914" w:rsidRDefault="00815497">
            <w:pPr>
              <w:jc w:val="center"/>
              <w:rPr>
                <w:rFonts w:ascii="Times New Roman" w:hAnsi="Times New Roman"/>
                <w:szCs w:val="21"/>
              </w:rPr>
            </w:pPr>
            <w:r w:rsidRPr="00E67914">
              <w:rPr>
                <w:rFonts w:ascii="Times New Roman" w:hAnsi="Times New Roman"/>
                <w:szCs w:val="21"/>
              </w:rPr>
              <w:t>99</w:t>
            </w:r>
          </w:p>
        </w:tc>
        <w:tc>
          <w:tcPr>
            <w:tcW w:w="1850" w:type="dxa"/>
            <w:vAlign w:val="center"/>
          </w:tcPr>
          <w:p w14:paraId="6D245E40" w14:textId="77777777" w:rsidR="00A54A8A" w:rsidRPr="00E67914" w:rsidRDefault="00000000">
            <w:pPr>
              <w:jc w:val="center"/>
              <w:rPr>
                <w:rFonts w:ascii="Times New Roman" w:hAnsi="Times New Roman"/>
                <w:szCs w:val="21"/>
              </w:rPr>
            </w:pPr>
            <w:r w:rsidRPr="00E67914">
              <w:rPr>
                <w:rFonts w:ascii="Times New Roman" w:hAnsi="Times New Roman"/>
                <w:szCs w:val="21"/>
              </w:rPr>
              <w:t>160</w:t>
            </w:r>
          </w:p>
        </w:tc>
        <w:tc>
          <w:tcPr>
            <w:tcW w:w="1240" w:type="dxa"/>
            <w:vAlign w:val="center"/>
          </w:tcPr>
          <w:p w14:paraId="2740BD74" w14:textId="77777777" w:rsidR="00A54A8A" w:rsidRPr="00E67914" w:rsidRDefault="00000000">
            <w:pPr>
              <w:jc w:val="center"/>
              <w:rPr>
                <w:rFonts w:ascii="Times New Roman" w:hAnsi="Times New Roman"/>
                <w:szCs w:val="21"/>
              </w:rPr>
            </w:pPr>
            <w:r w:rsidRPr="00E67914">
              <w:rPr>
                <w:rFonts w:ascii="Times New Roman" w:hAnsi="Times New Roman"/>
                <w:szCs w:val="21"/>
              </w:rPr>
              <w:t>达标</w:t>
            </w:r>
          </w:p>
        </w:tc>
      </w:tr>
    </w:tbl>
    <w:p w14:paraId="1116D0D3" w14:textId="0847A12D" w:rsidR="00A54A8A" w:rsidRPr="00E67914" w:rsidRDefault="00000000">
      <w:pPr>
        <w:pStyle w:val="afffffe"/>
        <w:ind w:firstLine="480"/>
        <w:rPr>
          <w:szCs w:val="24"/>
        </w:rPr>
      </w:pPr>
      <w:r w:rsidRPr="00E67914">
        <w:rPr>
          <w:szCs w:val="24"/>
        </w:rPr>
        <w:t>根据公告内容，宣汉县</w:t>
      </w:r>
      <w:r w:rsidR="00815497" w:rsidRPr="00E67914">
        <w:rPr>
          <w:szCs w:val="24"/>
        </w:rPr>
        <w:t>2022</w:t>
      </w:r>
      <w:r w:rsidRPr="00E67914">
        <w:rPr>
          <w:szCs w:val="24"/>
        </w:rPr>
        <w:t>年度主要污染物</w:t>
      </w:r>
      <w:r w:rsidRPr="00E67914">
        <w:rPr>
          <w:szCs w:val="24"/>
        </w:rPr>
        <w:t>SO</w:t>
      </w:r>
      <w:r w:rsidRPr="00E67914">
        <w:rPr>
          <w:szCs w:val="24"/>
          <w:vertAlign w:val="subscript"/>
        </w:rPr>
        <w:t>2</w:t>
      </w:r>
      <w:r w:rsidRPr="00E67914">
        <w:rPr>
          <w:szCs w:val="24"/>
        </w:rPr>
        <w:t>、</w:t>
      </w:r>
      <w:r w:rsidRPr="00E67914">
        <w:rPr>
          <w:szCs w:val="24"/>
        </w:rPr>
        <w:t>NO</w:t>
      </w:r>
      <w:r w:rsidRPr="00E67914">
        <w:rPr>
          <w:szCs w:val="24"/>
          <w:vertAlign w:val="subscript"/>
        </w:rPr>
        <w:t>2</w:t>
      </w:r>
      <w:r w:rsidRPr="00E67914">
        <w:rPr>
          <w:szCs w:val="24"/>
        </w:rPr>
        <w:t>、</w:t>
      </w:r>
      <w:r w:rsidRPr="00E67914">
        <w:rPr>
          <w:szCs w:val="24"/>
        </w:rPr>
        <w:t>PM</w:t>
      </w:r>
      <w:r w:rsidRPr="00E67914">
        <w:rPr>
          <w:szCs w:val="24"/>
          <w:vertAlign w:val="subscript"/>
        </w:rPr>
        <w:t>10</w:t>
      </w:r>
      <w:r w:rsidRPr="00E67914">
        <w:rPr>
          <w:szCs w:val="24"/>
        </w:rPr>
        <w:t>、</w:t>
      </w:r>
      <w:r w:rsidRPr="00E67914">
        <w:rPr>
          <w:szCs w:val="24"/>
        </w:rPr>
        <w:t>PM</w:t>
      </w:r>
      <w:r w:rsidRPr="00E67914">
        <w:rPr>
          <w:szCs w:val="24"/>
          <w:vertAlign w:val="subscript"/>
        </w:rPr>
        <w:t>2.5</w:t>
      </w:r>
      <w:r w:rsidRPr="00E67914">
        <w:rPr>
          <w:szCs w:val="24"/>
        </w:rPr>
        <w:t>、</w:t>
      </w:r>
      <w:r w:rsidRPr="00E67914">
        <w:rPr>
          <w:szCs w:val="24"/>
        </w:rPr>
        <w:t>CO</w:t>
      </w:r>
      <w:r w:rsidRPr="00E67914">
        <w:rPr>
          <w:szCs w:val="24"/>
        </w:rPr>
        <w:t>、</w:t>
      </w:r>
      <w:r w:rsidRPr="00E67914">
        <w:rPr>
          <w:szCs w:val="24"/>
        </w:rPr>
        <w:t>O</w:t>
      </w:r>
      <w:r w:rsidRPr="00E67914">
        <w:rPr>
          <w:szCs w:val="24"/>
          <w:vertAlign w:val="subscript"/>
        </w:rPr>
        <w:t>3</w:t>
      </w:r>
      <w:r w:rsidRPr="00E67914">
        <w:rPr>
          <w:szCs w:val="24"/>
        </w:rPr>
        <w:t>均满足《环境空气质量标准》（</w:t>
      </w:r>
      <w:r w:rsidRPr="00E67914">
        <w:rPr>
          <w:szCs w:val="24"/>
        </w:rPr>
        <w:t>GB3095-2012</w:t>
      </w:r>
      <w:r w:rsidRPr="00E67914">
        <w:rPr>
          <w:szCs w:val="24"/>
        </w:rPr>
        <w:t>）二级标准要求，按《环境影响评价技术导则</w:t>
      </w:r>
      <w:r w:rsidRPr="00E67914">
        <w:rPr>
          <w:szCs w:val="24"/>
        </w:rPr>
        <w:t xml:space="preserve"> </w:t>
      </w:r>
      <w:r w:rsidRPr="00E67914">
        <w:rPr>
          <w:szCs w:val="24"/>
        </w:rPr>
        <w:t>大气环境》（</w:t>
      </w:r>
      <w:r w:rsidRPr="00E67914">
        <w:rPr>
          <w:szCs w:val="24"/>
        </w:rPr>
        <w:t>HJ2.2-2018</w:t>
      </w:r>
      <w:r w:rsidRPr="00E67914">
        <w:rPr>
          <w:szCs w:val="24"/>
        </w:rPr>
        <w:t>）区域达标判断标准，宣汉县</w:t>
      </w:r>
      <w:r w:rsidR="00815497" w:rsidRPr="00E67914">
        <w:rPr>
          <w:szCs w:val="24"/>
        </w:rPr>
        <w:t>2022</w:t>
      </w:r>
      <w:r w:rsidRPr="00E67914">
        <w:rPr>
          <w:szCs w:val="24"/>
        </w:rPr>
        <w:t>年</w:t>
      </w:r>
      <w:r w:rsidRPr="00E67914">
        <w:rPr>
          <w:szCs w:val="24"/>
        </w:rPr>
        <w:lastRenderedPageBreak/>
        <w:t>度区域环境空气质量为</w:t>
      </w:r>
      <w:r w:rsidRPr="00E67914">
        <w:rPr>
          <w:b/>
          <w:bCs/>
          <w:szCs w:val="24"/>
        </w:rPr>
        <w:t>达标区。</w:t>
      </w:r>
    </w:p>
    <w:p w14:paraId="3355F8E8" w14:textId="77777777" w:rsidR="00A54A8A" w:rsidRPr="00E67914" w:rsidRDefault="00000000">
      <w:pPr>
        <w:pStyle w:val="afffffe"/>
        <w:ind w:firstLine="482"/>
        <w:rPr>
          <w:b/>
          <w:bCs/>
          <w:szCs w:val="24"/>
        </w:rPr>
      </w:pPr>
      <w:r w:rsidRPr="00E67914">
        <w:rPr>
          <w:b/>
          <w:bCs/>
          <w:szCs w:val="24"/>
        </w:rPr>
        <w:t>2</w:t>
      </w:r>
      <w:r w:rsidRPr="00E67914">
        <w:rPr>
          <w:b/>
          <w:bCs/>
          <w:szCs w:val="24"/>
        </w:rPr>
        <w:t>、特征污染物</w:t>
      </w:r>
    </w:p>
    <w:p w14:paraId="043AB659" w14:textId="77777777" w:rsidR="00A54A8A" w:rsidRPr="00E67914" w:rsidRDefault="00000000">
      <w:pPr>
        <w:pStyle w:val="afffffe"/>
        <w:ind w:firstLine="480"/>
        <w:rPr>
          <w:szCs w:val="24"/>
        </w:rPr>
      </w:pPr>
      <w:r w:rsidRPr="00E67914">
        <w:rPr>
          <w:szCs w:val="24"/>
        </w:rPr>
        <w:t>（</w:t>
      </w:r>
      <w:r w:rsidRPr="00E67914">
        <w:rPr>
          <w:szCs w:val="24"/>
        </w:rPr>
        <w:t>1</w:t>
      </w:r>
      <w:r w:rsidRPr="00E67914">
        <w:rPr>
          <w:szCs w:val="24"/>
        </w:rPr>
        <w:t>）监测点布设</w:t>
      </w:r>
    </w:p>
    <w:p w14:paraId="5B72348B" w14:textId="39919D5C" w:rsidR="00A54A8A" w:rsidRPr="00E67914" w:rsidRDefault="00000000">
      <w:pPr>
        <w:pStyle w:val="afffffe"/>
        <w:ind w:firstLine="480"/>
        <w:rPr>
          <w:szCs w:val="24"/>
        </w:rPr>
      </w:pPr>
      <w:r w:rsidRPr="00E67914">
        <w:rPr>
          <w:szCs w:val="24"/>
        </w:rPr>
        <w:t>根据项目工程特点的具体情况，共布设</w:t>
      </w:r>
      <w:r w:rsidRPr="00E67914">
        <w:rPr>
          <w:szCs w:val="24"/>
        </w:rPr>
        <w:t>1</w:t>
      </w:r>
      <w:r w:rsidRPr="00E67914">
        <w:rPr>
          <w:szCs w:val="24"/>
        </w:rPr>
        <w:t>个大气环境监测点，位于场界外南侧</w:t>
      </w:r>
      <w:r w:rsidRPr="00E67914">
        <w:rPr>
          <w:szCs w:val="24"/>
        </w:rPr>
        <w:t>2</w:t>
      </w:r>
      <w:r w:rsidR="00106E6B" w:rsidRPr="00E67914">
        <w:rPr>
          <w:szCs w:val="24"/>
        </w:rPr>
        <w:t>2</w:t>
      </w:r>
      <w:r w:rsidRPr="00E67914">
        <w:rPr>
          <w:szCs w:val="24"/>
        </w:rPr>
        <w:t>0m</w:t>
      </w:r>
      <w:r w:rsidRPr="00E67914">
        <w:rPr>
          <w:szCs w:val="24"/>
        </w:rPr>
        <w:t>居民点处。</w:t>
      </w:r>
    </w:p>
    <w:p w14:paraId="4756ABE3" w14:textId="77777777" w:rsidR="00A54A8A" w:rsidRPr="00E67914" w:rsidRDefault="00000000">
      <w:pPr>
        <w:pStyle w:val="afffffe"/>
        <w:ind w:firstLine="480"/>
        <w:rPr>
          <w:szCs w:val="24"/>
        </w:rPr>
      </w:pPr>
      <w:r w:rsidRPr="00E67914">
        <w:rPr>
          <w:szCs w:val="24"/>
        </w:rPr>
        <w:t>（</w:t>
      </w:r>
      <w:r w:rsidRPr="00E67914">
        <w:rPr>
          <w:szCs w:val="24"/>
        </w:rPr>
        <w:t>2</w:t>
      </w:r>
      <w:r w:rsidRPr="00E67914">
        <w:rPr>
          <w:szCs w:val="24"/>
        </w:rPr>
        <w:t>）监测项目：非甲烷总烃。</w:t>
      </w:r>
    </w:p>
    <w:p w14:paraId="630CF2D0" w14:textId="77777777" w:rsidR="00A54A8A" w:rsidRPr="00E67914" w:rsidRDefault="00000000">
      <w:pPr>
        <w:pStyle w:val="afffffe"/>
        <w:ind w:firstLine="480"/>
        <w:rPr>
          <w:szCs w:val="24"/>
        </w:rPr>
      </w:pPr>
      <w:r w:rsidRPr="00E67914">
        <w:rPr>
          <w:szCs w:val="24"/>
        </w:rPr>
        <w:t>（</w:t>
      </w:r>
      <w:r w:rsidRPr="00E67914">
        <w:rPr>
          <w:szCs w:val="24"/>
        </w:rPr>
        <w:t>3</w:t>
      </w:r>
      <w:r w:rsidRPr="00E67914">
        <w:rPr>
          <w:szCs w:val="24"/>
        </w:rPr>
        <w:t>）监测频次：连续采样</w:t>
      </w:r>
      <w:r w:rsidRPr="00E67914">
        <w:rPr>
          <w:szCs w:val="24"/>
        </w:rPr>
        <w:t>7</w:t>
      </w:r>
      <w:r w:rsidRPr="00E67914">
        <w:rPr>
          <w:szCs w:val="24"/>
        </w:rPr>
        <w:t>天。</w:t>
      </w:r>
    </w:p>
    <w:p w14:paraId="02CBFD1E" w14:textId="77777777" w:rsidR="00A54A8A" w:rsidRPr="00E67914" w:rsidRDefault="00000000">
      <w:pPr>
        <w:pStyle w:val="afffffe"/>
        <w:ind w:firstLine="480"/>
        <w:rPr>
          <w:szCs w:val="24"/>
        </w:rPr>
      </w:pPr>
      <w:r w:rsidRPr="00E67914">
        <w:rPr>
          <w:szCs w:val="24"/>
        </w:rPr>
        <w:t>（</w:t>
      </w:r>
      <w:r w:rsidRPr="00E67914">
        <w:rPr>
          <w:szCs w:val="24"/>
        </w:rPr>
        <w:t>4</w:t>
      </w:r>
      <w:r w:rsidRPr="00E67914">
        <w:rPr>
          <w:szCs w:val="24"/>
        </w:rPr>
        <w:t>）采样及分析方法</w:t>
      </w:r>
    </w:p>
    <w:p w14:paraId="66BA1C6C" w14:textId="77777777" w:rsidR="00A54A8A" w:rsidRPr="00E67914" w:rsidRDefault="00000000">
      <w:pPr>
        <w:pStyle w:val="afffffe"/>
        <w:ind w:firstLine="480"/>
        <w:rPr>
          <w:szCs w:val="24"/>
        </w:rPr>
      </w:pPr>
      <w:r w:rsidRPr="00E67914">
        <w:rPr>
          <w:szCs w:val="24"/>
        </w:rPr>
        <w:t>采样及分析方法按国家有关规定进行。</w:t>
      </w:r>
    </w:p>
    <w:p w14:paraId="0CE141BE" w14:textId="77777777" w:rsidR="00A54A8A" w:rsidRPr="00E67914" w:rsidRDefault="00000000">
      <w:pPr>
        <w:pStyle w:val="afffffe"/>
        <w:ind w:firstLine="480"/>
        <w:rPr>
          <w:szCs w:val="24"/>
        </w:rPr>
      </w:pPr>
      <w:r w:rsidRPr="00E67914">
        <w:rPr>
          <w:szCs w:val="24"/>
        </w:rPr>
        <w:t>（</w:t>
      </w:r>
      <w:r w:rsidRPr="00E67914">
        <w:rPr>
          <w:szCs w:val="24"/>
        </w:rPr>
        <w:t>5</w:t>
      </w:r>
      <w:r w:rsidRPr="00E67914">
        <w:rPr>
          <w:szCs w:val="24"/>
        </w:rPr>
        <w:t>）评价标准</w:t>
      </w:r>
    </w:p>
    <w:p w14:paraId="38A3CCB9" w14:textId="77777777" w:rsidR="00A54A8A" w:rsidRPr="00E67914" w:rsidRDefault="00000000">
      <w:pPr>
        <w:pStyle w:val="afffffe"/>
        <w:ind w:firstLine="480"/>
        <w:rPr>
          <w:szCs w:val="24"/>
        </w:rPr>
      </w:pPr>
      <w:r w:rsidRPr="00E67914">
        <w:rPr>
          <w:szCs w:val="24"/>
        </w:rPr>
        <w:t>本次非甲烷总烃环境质量现状评价，执行标准采用《大气污染物综合排放标准详解》浓度限值</w:t>
      </w:r>
      <w:r w:rsidRPr="00E67914">
        <w:rPr>
          <w:szCs w:val="24"/>
        </w:rPr>
        <w:t>2.0mg/m</w:t>
      </w:r>
      <w:r w:rsidRPr="00E67914">
        <w:rPr>
          <w:szCs w:val="24"/>
          <w:vertAlign w:val="superscript"/>
        </w:rPr>
        <w:t>3</w:t>
      </w:r>
      <w:r w:rsidRPr="00E67914">
        <w:rPr>
          <w:szCs w:val="24"/>
        </w:rPr>
        <w:t>。</w:t>
      </w:r>
    </w:p>
    <w:p w14:paraId="7EF19F9B" w14:textId="77777777" w:rsidR="00A54A8A" w:rsidRPr="00E67914" w:rsidRDefault="00000000">
      <w:pPr>
        <w:pStyle w:val="afffffe"/>
        <w:ind w:firstLine="480"/>
        <w:rPr>
          <w:szCs w:val="24"/>
        </w:rPr>
      </w:pPr>
      <w:r w:rsidRPr="00E67914">
        <w:rPr>
          <w:szCs w:val="24"/>
        </w:rPr>
        <w:t>（</w:t>
      </w:r>
      <w:r w:rsidRPr="00E67914">
        <w:rPr>
          <w:szCs w:val="24"/>
        </w:rPr>
        <w:t>6</w:t>
      </w:r>
      <w:r w:rsidRPr="00E67914">
        <w:rPr>
          <w:szCs w:val="24"/>
        </w:rPr>
        <w:t>）评价方法</w:t>
      </w:r>
    </w:p>
    <w:p w14:paraId="16850BAD" w14:textId="77777777" w:rsidR="00A54A8A" w:rsidRPr="00E67914" w:rsidRDefault="00000000">
      <w:pPr>
        <w:pStyle w:val="afffffe"/>
        <w:ind w:firstLine="480"/>
        <w:rPr>
          <w:szCs w:val="24"/>
        </w:rPr>
      </w:pPr>
      <w:r w:rsidRPr="00E67914">
        <w:rPr>
          <w:szCs w:val="24"/>
        </w:rPr>
        <w:t>根据《环境影响评价技术导则大气环境》（</w:t>
      </w:r>
      <w:r w:rsidRPr="00E67914">
        <w:rPr>
          <w:szCs w:val="24"/>
        </w:rPr>
        <w:t>HJ2.2-2018</w:t>
      </w:r>
      <w:r w:rsidRPr="00E67914">
        <w:rPr>
          <w:szCs w:val="24"/>
        </w:rPr>
        <w:t>），采用最大监测浓度占标率对评价区域大气环境质量现状进行评价，评价模式如下：</w:t>
      </w:r>
    </w:p>
    <w:p w14:paraId="091DA3D3" w14:textId="77777777" w:rsidR="00A54A8A" w:rsidRPr="00E67914" w:rsidRDefault="00000000">
      <w:pPr>
        <w:pStyle w:val="afffffe"/>
        <w:ind w:firstLine="480"/>
        <w:rPr>
          <w:szCs w:val="24"/>
        </w:rPr>
      </w:pPr>
      <m:oMathPara>
        <m:oMath>
          <m:sSub>
            <m:sSubPr>
              <m:ctrlPr>
                <w:rPr>
                  <w:rFonts w:ascii="Cambria Math" w:hAnsi="Cambria Math"/>
                  <w:kern w:val="2"/>
                  <w:szCs w:val="24"/>
                </w:rPr>
              </m:ctrlPr>
            </m:sSubPr>
            <m:e>
              <m:r>
                <m:rPr>
                  <m:sty m:val="p"/>
                </m:rPr>
                <w:rPr>
                  <w:rFonts w:ascii="Cambria Math" w:hAnsi="Cambria Math"/>
                  <w:szCs w:val="24"/>
                </w:rPr>
                <m:t>P</m:t>
              </m:r>
            </m:e>
            <m:sub>
              <m:r>
                <m:rPr>
                  <m:sty m:val="p"/>
                </m:rPr>
                <w:rPr>
                  <w:rFonts w:ascii="Cambria Math" w:hAnsi="Cambria Math"/>
                  <w:szCs w:val="24"/>
                </w:rPr>
                <m:t>i</m:t>
              </m:r>
            </m:sub>
          </m:sSub>
          <m:r>
            <m:rPr>
              <m:sty m:val="p"/>
            </m:rPr>
            <w:rPr>
              <w:rFonts w:ascii="Cambria Math" w:hAnsi="Cambria Math"/>
              <w:szCs w:val="24"/>
            </w:rPr>
            <m:t>=</m:t>
          </m:r>
          <m:f>
            <m:fPr>
              <m:ctrlPr>
                <w:rPr>
                  <w:rFonts w:ascii="Cambria Math" w:hAnsi="Cambria Math"/>
                  <w:kern w:val="2"/>
                  <w:szCs w:val="24"/>
                </w:rPr>
              </m:ctrlPr>
            </m:fPr>
            <m:num>
              <m:sSub>
                <m:sSubPr>
                  <m:ctrlPr>
                    <w:rPr>
                      <w:rFonts w:ascii="Cambria Math" w:hAnsi="Cambria Math"/>
                      <w:kern w:val="2"/>
                      <w:szCs w:val="24"/>
                    </w:rPr>
                  </m:ctrlPr>
                </m:sSubPr>
                <m:e>
                  <m:r>
                    <m:rPr>
                      <m:sty m:val="p"/>
                    </m:rPr>
                    <w:rPr>
                      <w:rFonts w:ascii="Cambria Math" w:hAnsi="Cambria Math"/>
                      <w:szCs w:val="24"/>
                    </w:rPr>
                    <m:t>C</m:t>
                  </m:r>
                </m:e>
                <m:sub>
                  <m:r>
                    <m:rPr>
                      <m:sty m:val="p"/>
                    </m:rPr>
                    <w:rPr>
                      <w:rFonts w:ascii="Cambria Math" w:hAnsi="Cambria Math"/>
                      <w:szCs w:val="24"/>
                    </w:rPr>
                    <m:t>i</m:t>
                  </m:r>
                </m:sub>
              </m:sSub>
            </m:num>
            <m:den>
              <m:sSub>
                <m:sSubPr>
                  <m:ctrlPr>
                    <w:rPr>
                      <w:rFonts w:ascii="Cambria Math" w:hAnsi="Cambria Math"/>
                      <w:kern w:val="2"/>
                      <w:szCs w:val="24"/>
                    </w:rPr>
                  </m:ctrlPr>
                </m:sSubPr>
                <m:e>
                  <m:r>
                    <m:rPr>
                      <m:sty m:val="p"/>
                    </m:rPr>
                    <w:rPr>
                      <w:rFonts w:ascii="Cambria Math" w:hAnsi="Cambria Math"/>
                      <w:szCs w:val="24"/>
                    </w:rPr>
                    <m:t>C</m:t>
                  </m:r>
                </m:e>
                <m:sub>
                  <m:r>
                    <m:rPr>
                      <m:sty m:val="p"/>
                    </m:rPr>
                    <w:rPr>
                      <w:rFonts w:ascii="Cambria Math" w:hAnsi="Cambria Math"/>
                      <w:szCs w:val="24"/>
                    </w:rPr>
                    <m:t>oi</m:t>
                  </m:r>
                </m:sub>
              </m:sSub>
              <m:ctrlPr>
                <w:rPr>
                  <w:rFonts w:ascii="Cambria Math" w:hAnsi="Cambria Math"/>
                  <w:i/>
                  <w:kern w:val="2"/>
                  <w:szCs w:val="24"/>
                </w:rPr>
              </m:ctrlPr>
            </m:den>
          </m:f>
          <m:r>
            <m:rPr>
              <m:sty m:val="p"/>
            </m:rPr>
            <w:rPr>
              <w:rFonts w:ascii="Cambria Math" w:hAnsi="Cambria Math"/>
              <w:szCs w:val="24"/>
            </w:rPr>
            <m:t>×100%</m:t>
          </m:r>
        </m:oMath>
      </m:oMathPara>
    </w:p>
    <w:p w14:paraId="60381806" w14:textId="77777777" w:rsidR="00A54A8A" w:rsidRPr="00E67914" w:rsidRDefault="00000000">
      <w:pPr>
        <w:pStyle w:val="afffffe"/>
        <w:ind w:firstLine="480"/>
        <w:rPr>
          <w:szCs w:val="24"/>
        </w:rPr>
      </w:pPr>
      <w:r w:rsidRPr="00E67914">
        <w:rPr>
          <w:szCs w:val="24"/>
        </w:rPr>
        <w:t>Pi——</w:t>
      </w:r>
      <w:r w:rsidRPr="00E67914">
        <w:rPr>
          <w:szCs w:val="24"/>
        </w:rPr>
        <w:t>为第</w:t>
      </w:r>
      <w:r w:rsidRPr="00E67914">
        <w:rPr>
          <w:szCs w:val="24"/>
        </w:rPr>
        <w:t>i</w:t>
      </w:r>
      <w:r w:rsidRPr="00E67914">
        <w:rPr>
          <w:szCs w:val="24"/>
        </w:rPr>
        <w:t>个污染物的最大监测浓度占标率，</w:t>
      </w:r>
      <w:r w:rsidRPr="00E67914">
        <w:rPr>
          <w:szCs w:val="24"/>
        </w:rPr>
        <w:t>%</w:t>
      </w:r>
      <w:r w:rsidRPr="00E67914">
        <w:rPr>
          <w:szCs w:val="24"/>
        </w:rPr>
        <w:t>；</w:t>
      </w:r>
    </w:p>
    <w:p w14:paraId="62FE7C83" w14:textId="77777777" w:rsidR="00A54A8A" w:rsidRPr="00E67914" w:rsidRDefault="00000000">
      <w:pPr>
        <w:pStyle w:val="afffffe"/>
        <w:ind w:firstLine="480"/>
        <w:rPr>
          <w:szCs w:val="24"/>
        </w:rPr>
      </w:pPr>
      <w:r w:rsidRPr="00E67914">
        <w:rPr>
          <w:szCs w:val="24"/>
        </w:rPr>
        <w:t>Ci——</w:t>
      </w:r>
      <w:r w:rsidRPr="00E67914">
        <w:rPr>
          <w:szCs w:val="24"/>
        </w:rPr>
        <w:t>为第</w:t>
      </w:r>
      <w:r w:rsidRPr="00E67914">
        <w:rPr>
          <w:szCs w:val="24"/>
        </w:rPr>
        <w:t>i</w:t>
      </w:r>
      <w:r w:rsidRPr="00E67914">
        <w:rPr>
          <w:szCs w:val="24"/>
        </w:rPr>
        <w:t>个污染因子的最大实测浓度（</w:t>
      </w:r>
      <w:r w:rsidRPr="00E67914">
        <w:rPr>
          <w:szCs w:val="24"/>
        </w:rPr>
        <w:t>mg/m</w:t>
      </w:r>
      <w:r w:rsidRPr="00E67914">
        <w:rPr>
          <w:szCs w:val="24"/>
          <w:vertAlign w:val="superscript"/>
        </w:rPr>
        <w:t>3</w:t>
      </w:r>
      <w:r w:rsidRPr="00E67914">
        <w:rPr>
          <w:szCs w:val="24"/>
        </w:rPr>
        <w:t>）；</w:t>
      </w:r>
    </w:p>
    <w:p w14:paraId="57FBA1BA" w14:textId="77777777" w:rsidR="00A54A8A" w:rsidRPr="00E67914" w:rsidRDefault="00000000">
      <w:pPr>
        <w:pStyle w:val="afffffe"/>
        <w:ind w:firstLine="480"/>
        <w:rPr>
          <w:szCs w:val="24"/>
        </w:rPr>
      </w:pPr>
      <w:r w:rsidRPr="00E67914">
        <w:rPr>
          <w:szCs w:val="24"/>
        </w:rPr>
        <w:t>Coi——</w:t>
      </w:r>
      <w:r w:rsidRPr="00E67914">
        <w:rPr>
          <w:szCs w:val="24"/>
        </w:rPr>
        <w:t>为第</w:t>
      </w:r>
      <w:r w:rsidRPr="00E67914">
        <w:rPr>
          <w:szCs w:val="24"/>
        </w:rPr>
        <w:t>i</w:t>
      </w:r>
      <w:r w:rsidRPr="00E67914">
        <w:rPr>
          <w:szCs w:val="24"/>
        </w:rPr>
        <w:t>个污染物相对应的评价标准（</w:t>
      </w:r>
      <w:r w:rsidRPr="00E67914">
        <w:rPr>
          <w:szCs w:val="24"/>
        </w:rPr>
        <w:t>mg/m</w:t>
      </w:r>
      <w:r w:rsidRPr="00E67914">
        <w:rPr>
          <w:szCs w:val="24"/>
          <w:vertAlign w:val="superscript"/>
        </w:rPr>
        <w:t>3</w:t>
      </w:r>
      <w:r w:rsidRPr="00E67914">
        <w:rPr>
          <w:szCs w:val="24"/>
        </w:rPr>
        <w:t>）。</w:t>
      </w:r>
    </w:p>
    <w:p w14:paraId="6B784B3D" w14:textId="77777777" w:rsidR="00A54A8A" w:rsidRPr="00E67914" w:rsidRDefault="00000000">
      <w:pPr>
        <w:pStyle w:val="afffffe"/>
        <w:ind w:firstLine="480"/>
        <w:rPr>
          <w:szCs w:val="24"/>
        </w:rPr>
      </w:pPr>
      <w:r w:rsidRPr="00E67914">
        <w:rPr>
          <w:szCs w:val="24"/>
        </w:rPr>
        <w:t>根据</w:t>
      </w:r>
      <w:r w:rsidRPr="00E67914">
        <w:rPr>
          <w:szCs w:val="24"/>
        </w:rPr>
        <w:t>HJ2.2-2018</w:t>
      </w:r>
      <w:r w:rsidRPr="00E67914">
        <w:rPr>
          <w:szCs w:val="24"/>
        </w:rPr>
        <w:t>，现状监测结果以列表的方式给出各监测点大气污染物的不同取值时间的变化范围，并给出各取值时间最大浓度值占相应标准浓度限值的百分比和超标率，并评价达标情况。</w:t>
      </w:r>
    </w:p>
    <w:p w14:paraId="00EB47DE" w14:textId="77777777" w:rsidR="00A54A8A" w:rsidRPr="00E67914" w:rsidRDefault="00000000">
      <w:pPr>
        <w:pStyle w:val="af"/>
        <w:spacing w:before="0" w:line="360" w:lineRule="auto"/>
        <w:ind w:left="0" w:firstLine="200"/>
        <w:rPr>
          <w:rFonts w:ascii="Times New Roman" w:hAnsi="Times New Roman"/>
          <w:lang w:eastAsia="zh-CN"/>
        </w:rPr>
      </w:pPr>
      <w:r w:rsidRPr="00E67914">
        <w:rPr>
          <w:rFonts w:ascii="Times New Roman" w:hAnsi="Times New Roman"/>
          <w:lang w:eastAsia="zh-CN"/>
        </w:rPr>
        <w:t>（</w:t>
      </w:r>
      <w:r w:rsidRPr="00E67914">
        <w:rPr>
          <w:rFonts w:ascii="Times New Roman" w:hAnsi="Times New Roman"/>
          <w:lang w:eastAsia="zh-CN"/>
        </w:rPr>
        <w:t>7</w:t>
      </w:r>
      <w:r w:rsidRPr="00E67914">
        <w:rPr>
          <w:rFonts w:ascii="Times New Roman" w:hAnsi="Times New Roman"/>
          <w:lang w:eastAsia="zh-CN"/>
        </w:rPr>
        <w:t>）监测结果及评价结论</w:t>
      </w:r>
    </w:p>
    <w:p w14:paraId="5D30C7EB" w14:textId="73217BB8"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4.2-2  </w:t>
      </w:r>
      <w:r w:rsidRPr="00E67914">
        <w:rPr>
          <w:rFonts w:ascii="Times New Roman" w:eastAsia="黑体" w:hAnsi="Times New Roman"/>
          <w:sz w:val="21"/>
          <w:szCs w:val="21"/>
          <w:lang w:eastAsia="zh-CN"/>
        </w:rPr>
        <w:t>环境空气质量现状监测结果</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mg/m</w:t>
      </w:r>
      <w:r w:rsidRPr="00E67914">
        <w:rPr>
          <w:rFonts w:ascii="Times New Roman" w:eastAsia="黑体" w:hAnsi="Times New Roman"/>
          <w:sz w:val="21"/>
          <w:szCs w:val="21"/>
          <w:vertAlign w:val="superscript"/>
          <w:lang w:eastAsia="zh-CN"/>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5"/>
        <w:gridCol w:w="1438"/>
        <w:gridCol w:w="1313"/>
        <w:gridCol w:w="1011"/>
        <w:gridCol w:w="1011"/>
      </w:tblGrid>
      <w:tr w:rsidR="00E67914" w:rsidRPr="00E67914" w14:paraId="0B18C652" w14:textId="77777777">
        <w:trPr>
          <w:trHeight w:val="164"/>
          <w:jc w:val="center"/>
        </w:trPr>
        <w:tc>
          <w:tcPr>
            <w:tcW w:w="708" w:type="pct"/>
            <w:shd w:val="clear" w:color="auto" w:fill="auto"/>
            <w:vAlign w:val="center"/>
          </w:tcPr>
          <w:p w14:paraId="33726C06" w14:textId="77777777" w:rsidR="00A54A8A" w:rsidRPr="00E67914" w:rsidRDefault="00000000">
            <w:pPr>
              <w:pStyle w:val="affffff"/>
              <w:rPr>
                <w:b/>
                <w:bCs/>
                <w:szCs w:val="21"/>
              </w:rPr>
            </w:pPr>
            <w:r w:rsidRPr="00E67914">
              <w:rPr>
                <w:b/>
                <w:bCs/>
                <w:szCs w:val="21"/>
              </w:rPr>
              <w:t>监测点位</w:t>
            </w:r>
          </w:p>
        </w:tc>
        <w:tc>
          <w:tcPr>
            <w:tcW w:w="708" w:type="pct"/>
            <w:shd w:val="clear" w:color="auto" w:fill="auto"/>
            <w:vAlign w:val="center"/>
          </w:tcPr>
          <w:p w14:paraId="47A6E577" w14:textId="77777777" w:rsidR="00A54A8A" w:rsidRPr="00E67914" w:rsidRDefault="00000000">
            <w:pPr>
              <w:pStyle w:val="affffff"/>
              <w:rPr>
                <w:b/>
                <w:bCs/>
                <w:szCs w:val="21"/>
              </w:rPr>
            </w:pPr>
            <w:r w:rsidRPr="00E67914">
              <w:rPr>
                <w:b/>
                <w:bCs/>
                <w:szCs w:val="21"/>
              </w:rPr>
              <w:t>监测日期</w:t>
            </w:r>
          </w:p>
        </w:tc>
        <w:tc>
          <w:tcPr>
            <w:tcW w:w="708" w:type="pct"/>
            <w:shd w:val="clear" w:color="auto" w:fill="auto"/>
            <w:vAlign w:val="center"/>
          </w:tcPr>
          <w:p w14:paraId="68BDE46A" w14:textId="77777777" w:rsidR="00A54A8A" w:rsidRPr="00E67914" w:rsidRDefault="00000000">
            <w:pPr>
              <w:pStyle w:val="affffff"/>
              <w:rPr>
                <w:b/>
                <w:bCs/>
                <w:szCs w:val="21"/>
              </w:rPr>
            </w:pPr>
            <w:r w:rsidRPr="00E67914">
              <w:rPr>
                <w:b/>
                <w:bCs/>
                <w:szCs w:val="21"/>
              </w:rPr>
              <w:t>项目</w:t>
            </w:r>
          </w:p>
        </w:tc>
        <w:tc>
          <w:tcPr>
            <w:tcW w:w="866" w:type="pct"/>
            <w:shd w:val="clear" w:color="auto" w:fill="auto"/>
            <w:vAlign w:val="center"/>
          </w:tcPr>
          <w:p w14:paraId="57F09CB5" w14:textId="77777777" w:rsidR="00A54A8A" w:rsidRPr="00E67914" w:rsidRDefault="00000000">
            <w:pPr>
              <w:pStyle w:val="affffff"/>
              <w:rPr>
                <w:b/>
                <w:bCs/>
                <w:szCs w:val="21"/>
              </w:rPr>
            </w:pPr>
            <w:r w:rsidRPr="00E67914">
              <w:rPr>
                <w:b/>
                <w:bCs/>
                <w:szCs w:val="21"/>
              </w:rPr>
              <w:t>第一次</w:t>
            </w:r>
          </w:p>
        </w:tc>
        <w:tc>
          <w:tcPr>
            <w:tcW w:w="791" w:type="pct"/>
            <w:shd w:val="clear" w:color="auto" w:fill="auto"/>
            <w:vAlign w:val="center"/>
          </w:tcPr>
          <w:p w14:paraId="44B8C2AA" w14:textId="77777777" w:rsidR="00A54A8A" w:rsidRPr="00E67914" w:rsidRDefault="00000000">
            <w:pPr>
              <w:pStyle w:val="affffff"/>
              <w:rPr>
                <w:b/>
                <w:bCs/>
                <w:szCs w:val="21"/>
              </w:rPr>
            </w:pPr>
            <w:r w:rsidRPr="00E67914">
              <w:rPr>
                <w:b/>
                <w:bCs/>
                <w:szCs w:val="21"/>
              </w:rPr>
              <w:t>第二次</w:t>
            </w:r>
          </w:p>
        </w:tc>
        <w:tc>
          <w:tcPr>
            <w:tcW w:w="609" w:type="pct"/>
            <w:shd w:val="clear" w:color="auto" w:fill="auto"/>
            <w:vAlign w:val="center"/>
          </w:tcPr>
          <w:p w14:paraId="7F10D7B5" w14:textId="77777777" w:rsidR="00A54A8A" w:rsidRPr="00E67914" w:rsidRDefault="00000000">
            <w:pPr>
              <w:pStyle w:val="affffff"/>
              <w:rPr>
                <w:b/>
                <w:bCs/>
                <w:szCs w:val="21"/>
              </w:rPr>
            </w:pPr>
            <w:r w:rsidRPr="00E67914">
              <w:rPr>
                <w:b/>
                <w:bCs/>
                <w:szCs w:val="21"/>
              </w:rPr>
              <w:t>第三次</w:t>
            </w:r>
          </w:p>
        </w:tc>
        <w:tc>
          <w:tcPr>
            <w:tcW w:w="609" w:type="pct"/>
            <w:shd w:val="clear" w:color="auto" w:fill="auto"/>
            <w:vAlign w:val="center"/>
          </w:tcPr>
          <w:p w14:paraId="443046CC" w14:textId="77777777" w:rsidR="00A54A8A" w:rsidRPr="00E67914" w:rsidRDefault="00000000">
            <w:pPr>
              <w:pStyle w:val="affffff"/>
              <w:rPr>
                <w:b/>
                <w:bCs/>
                <w:szCs w:val="21"/>
              </w:rPr>
            </w:pPr>
            <w:r w:rsidRPr="00E67914">
              <w:rPr>
                <w:b/>
                <w:bCs/>
                <w:szCs w:val="21"/>
              </w:rPr>
              <w:t>第四次</w:t>
            </w:r>
          </w:p>
        </w:tc>
      </w:tr>
      <w:tr w:rsidR="00E67914" w:rsidRPr="00E67914" w14:paraId="23F8AF38" w14:textId="77777777">
        <w:trPr>
          <w:trHeight w:val="259"/>
          <w:jc w:val="center"/>
        </w:trPr>
        <w:tc>
          <w:tcPr>
            <w:tcW w:w="708" w:type="pct"/>
            <w:vMerge w:val="restart"/>
            <w:shd w:val="clear" w:color="auto" w:fill="auto"/>
            <w:vAlign w:val="center"/>
          </w:tcPr>
          <w:p w14:paraId="507CF2D5" w14:textId="53B3E520" w:rsidR="00106E6B" w:rsidRPr="00E67914" w:rsidRDefault="00106E6B" w:rsidP="00106E6B">
            <w:pPr>
              <w:pStyle w:val="affffff"/>
              <w:rPr>
                <w:szCs w:val="21"/>
              </w:rPr>
            </w:pPr>
            <w:r w:rsidRPr="00E67914">
              <w:rPr>
                <w:szCs w:val="21"/>
              </w:rPr>
              <w:t>场界外南侧</w:t>
            </w:r>
            <w:r w:rsidRPr="00E67914">
              <w:rPr>
                <w:szCs w:val="21"/>
              </w:rPr>
              <w:t>220m</w:t>
            </w:r>
            <w:r w:rsidRPr="00E67914">
              <w:rPr>
                <w:szCs w:val="21"/>
              </w:rPr>
              <w:t>居民点处</w:t>
            </w:r>
          </w:p>
        </w:tc>
        <w:tc>
          <w:tcPr>
            <w:tcW w:w="708" w:type="pct"/>
            <w:shd w:val="clear" w:color="auto" w:fill="auto"/>
            <w:vAlign w:val="center"/>
          </w:tcPr>
          <w:p w14:paraId="647CB450" w14:textId="11A98BE1" w:rsidR="00106E6B" w:rsidRPr="00E67914" w:rsidRDefault="00106E6B" w:rsidP="00106E6B">
            <w:pPr>
              <w:pStyle w:val="affffff"/>
              <w:rPr>
                <w:szCs w:val="21"/>
              </w:rPr>
            </w:pPr>
            <w:r w:rsidRPr="00E67914">
              <w:rPr>
                <w:szCs w:val="21"/>
              </w:rPr>
              <w:t>2023.08.07</w:t>
            </w:r>
          </w:p>
        </w:tc>
        <w:tc>
          <w:tcPr>
            <w:tcW w:w="708" w:type="pct"/>
            <w:vMerge w:val="restart"/>
            <w:shd w:val="clear" w:color="auto" w:fill="auto"/>
            <w:vAlign w:val="center"/>
          </w:tcPr>
          <w:p w14:paraId="1F1E4039" w14:textId="77777777" w:rsidR="00106E6B" w:rsidRPr="00E67914" w:rsidRDefault="00106E6B" w:rsidP="00106E6B">
            <w:pPr>
              <w:pStyle w:val="affffff"/>
              <w:rPr>
                <w:szCs w:val="21"/>
              </w:rPr>
            </w:pPr>
            <w:r w:rsidRPr="00E67914">
              <w:rPr>
                <w:szCs w:val="21"/>
              </w:rPr>
              <w:t>非甲烷总烃</w:t>
            </w:r>
          </w:p>
        </w:tc>
        <w:tc>
          <w:tcPr>
            <w:tcW w:w="866" w:type="pct"/>
            <w:shd w:val="clear" w:color="auto" w:fill="auto"/>
            <w:vAlign w:val="center"/>
          </w:tcPr>
          <w:p w14:paraId="66929868" w14:textId="4E1221D3" w:rsidR="00106E6B" w:rsidRPr="00E67914" w:rsidRDefault="00106E6B" w:rsidP="00106E6B">
            <w:pPr>
              <w:pStyle w:val="affffff"/>
              <w:rPr>
                <w:szCs w:val="21"/>
              </w:rPr>
            </w:pPr>
            <w:r w:rsidRPr="00E67914">
              <w:rPr>
                <w:szCs w:val="21"/>
              </w:rPr>
              <w:t>1.08</w:t>
            </w:r>
          </w:p>
        </w:tc>
        <w:tc>
          <w:tcPr>
            <w:tcW w:w="791" w:type="pct"/>
            <w:shd w:val="clear" w:color="auto" w:fill="auto"/>
            <w:vAlign w:val="center"/>
          </w:tcPr>
          <w:p w14:paraId="20EDB57C" w14:textId="625CACAF" w:rsidR="00106E6B" w:rsidRPr="00E67914" w:rsidRDefault="00106E6B" w:rsidP="00106E6B">
            <w:pPr>
              <w:pStyle w:val="affffff"/>
              <w:rPr>
                <w:szCs w:val="21"/>
              </w:rPr>
            </w:pPr>
            <w:r w:rsidRPr="00E67914">
              <w:rPr>
                <w:szCs w:val="21"/>
              </w:rPr>
              <w:t>1.08</w:t>
            </w:r>
          </w:p>
        </w:tc>
        <w:tc>
          <w:tcPr>
            <w:tcW w:w="609" w:type="pct"/>
            <w:shd w:val="clear" w:color="auto" w:fill="auto"/>
            <w:vAlign w:val="center"/>
          </w:tcPr>
          <w:p w14:paraId="5A581882" w14:textId="41FEC33A" w:rsidR="00106E6B" w:rsidRPr="00E67914" w:rsidRDefault="00106E6B" w:rsidP="00106E6B">
            <w:pPr>
              <w:pStyle w:val="affffff"/>
              <w:rPr>
                <w:szCs w:val="21"/>
              </w:rPr>
            </w:pPr>
            <w:r w:rsidRPr="00E67914">
              <w:rPr>
                <w:szCs w:val="21"/>
              </w:rPr>
              <w:t>1.07</w:t>
            </w:r>
          </w:p>
        </w:tc>
        <w:tc>
          <w:tcPr>
            <w:tcW w:w="609" w:type="pct"/>
            <w:shd w:val="clear" w:color="auto" w:fill="auto"/>
            <w:vAlign w:val="center"/>
          </w:tcPr>
          <w:p w14:paraId="00B1117E" w14:textId="0934F10B" w:rsidR="00106E6B" w:rsidRPr="00E67914" w:rsidRDefault="00106E6B" w:rsidP="00106E6B">
            <w:pPr>
              <w:pStyle w:val="affffff"/>
              <w:rPr>
                <w:szCs w:val="21"/>
              </w:rPr>
            </w:pPr>
            <w:r w:rsidRPr="00E67914">
              <w:rPr>
                <w:szCs w:val="21"/>
              </w:rPr>
              <w:t>1.01</w:t>
            </w:r>
          </w:p>
        </w:tc>
      </w:tr>
      <w:tr w:rsidR="00E67914" w:rsidRPr="00E67914" w14:paraId="5DB8916B" w14:textId="77777777">
        <w:trPr>
          <w:trHeight w:val="218"/>
          <w:jc w:val="center"/>
        </w:trPr>
        <w:tc>
          <w:tcPr>
            <w:tcW w:w="708" w:type="pct"/>
            <w:vMerge/>
            <w:shd w:val="clear" w:color="auto" w:fill="auto"/>
            <w:vAlign w:val="center"/>
          </w:tcPr>
          <w:p w14:paraId="1666C3C6" w14:textId="77777777" w:rsidR="00106E6B" w:rsidRPr="00E67914" w:rsidRDefault="00106E6B" w:rsidP="00106E6B">
            <w:pPr>
              <w:pStyle w:val="affffff"/>
              <w:rPr>
                <w:szCs w:val="21"/>
              </w:rPr>
            </w:pPr>
          </w:p>
        </w:tc>
        <w:tc>
          <w:tcPr>
            <w:tcW w:w="708" w:type="pct"/>
            <w:shd w:val="clear" w:color="auto" w:fill="auto"/>
            <w:vAlign w:val="center"/>
          </w:tcPr>
          <w:p w14:paraId="7F714C65" w14:textId="1DA8109F" w:rsidR="00106E6B" w:rsidRPr="00E67914" w:rsidRDefault="00106E6B" w:rsidP="00106E6B">
            <w:pPr>
              <w:pStyle w:val="affffff"/>
              <w:rPr>
                <w:szCs w:val="21"/>
              </w:rPr>
            </w:pPr>
            <w:r w:rsidRPr="00E67914">
              <w:rPr>
                <w:szCs w:val="21"/>
              </w:rPr>
              <w:t>2023.08.08</w:t>
            </w:r>
          </w:p>
        </w:tc>
        <w:tc>
          <w:tcPr>
            <w:tcW w:w="708" w:type="pct"/>
            <w:vMerge/>
            <w:shd w:val="clear" w:color="auto" w:fill="auto"/>
            <w:vAlign w:val="center"/>
          </w:tcPr>
          <w:p w14:paraId="388CAF7F" w14:textId="77777777" w:rsidR="00106E6B" w:rsidRPr="00E67914" w:rsidRDefault="00106E6B" w:rsidP="00106E6B">
            <w:pPr>
              <w:pStyle w:val="affffff"/>
              <w:rPr>
                <w:szCs w:val="21"/>
              </w:rPr>
            </w:pPr>
          </w:p>
        </w:tc>
        <w:tc>
          <w:tcPr>
            <w:tcW w:w="866" w:type="pct"/>
            <w:shd w:val="clear" w:color="auto" w:fill="auto"/>
            <w:vAlign w:val="center"/>
          </w:tcPr>
          <w:p w14:paraId="0835737B" w14:textId="30B03A21" w:rsidR="00106E6B" w:rsidRPr="00E67914" w:rsidRDefault="00106E6B" w:rsidP="00106E6B">
            <w:pPr>
              <w:pStyle w:val="affffff"/>
              <w:rPr>
                <w:szCs w:val="21"/>
              </w:rPr>
            </w:pPr>
            <w:r w:rsidRPr="00E67914">
              <w:rPr>
                <w:szCs w:val="21"/>
              </w:rPr>
              <w:t>1.02</w:t>
            </w:r>
          </w:p>
        </w:tc>
        <w:tc>
          <w:tcPr>
            <w:tcW w:w="791" w:type="pct"/>
            <w:shd w:val="clear" w:color="auto" w:fill="auto"/>
            <w:vAlign w:val="center"/>
          </w:tcPr>
          <w:p w14:paraId="059BEF15" w14:textId="2E906FBA" w:rsidR="00106E6B" w:rsidRPr="00E67914" w:rsidRDefault="00106E6B" w:rsidP="00106E6B">
            <w:pPr>
              <w:pStyle w:val="affffff"/>
              <w:rPr>
                <w:szCs w:val="21"/>
              </w:rPr>
            </w:pPr>
            <w:r w:rsidRPr="00E67914">
              <w:rPr>
                <w:szCs w:val="21"/>
              </w:rPr>
              <w:t>1.01</w:t>
            </w:r>
          </w:p>
        </w:tc>
        <w:tc>
          <w:tcPr>
            <w:tcW w:w="609" w:type="pct"/>
            <w:shd w:val="clear" w:color="auto" w:fill="auto"/>
            <w:vAlign w:val="center"/>
          </w:tcPr>
          <w:p w14:paraId="4A2FB159" w14:textId="02C41758" w:rsidR="00106E6B" w:rsidRPr="00E67914" w:rsidRDefault="00106E6B" w:rsidP="00106E6B">
            <w:pPr>
              <w:pStyle w:val="affffff"/>
              <w:rPr>
                <w:szCs w:val="21"/>
              </w:rPr>
            </w:pPr>
            <w:r w:rsidRPr="00E67914">
              <w:rPr>
                <w:szCs w:val="21"/>
              </w:rPr>
              <w:t>1.01</w:t>
            </w:r>
          </w:p>
        </w:tc>
        <w:tc>
          <w:tcPr>
            <w:tcW w:w="609" w:type="pct"/>
            <w:shd w:val="clear" w:color="auto" w:fill="auto"/>
            <w:vAlign w:val="center"/>
          </w:tcPr>
          <w:p w14:paraId="22B3906E" w14:textId="6408FA05" w:rsidR="00106E6B" w:rsidRPr="00E67914" w:rsidRDefault="00106E6B" w:rsidP="00106E6B">
            <w:pPr>
              <w:pStyle w:val="affffff"/>
              <w:rPr>
                <w:szCs w:val="21"/>
              </w:rPr>
            </w:pPr>
            <w:r w:rsidRPr="00E67914">
              <w:rPr>
                <w:szCs w:val="21"/>
              </w:rPr>
              <w:t>0.98</w:t>
            </w:r>
          </w:p>
        </w:tc>
      </w:tr>
      <w:tr w:rsidR="00E67914" w:rsidRPr="00E67914" w14:paraId="3FA0D957" w14:textId="77777777">
        <w:trPr>
          <w:trHeight w:val="218"/>
          <w:jc w:val="center"/>
        </w:trPr>
        <w:tc>
          <w:tcPr>
            <w:tcW w:w="708" w:type="pct"/>
            <w:vMerge/>
            <w:shd w:val="clear" w:color="auto" w:fill="auto"/>
            <w:vAlign w:val="center"/>
          </w:tcPr>
          <w:p w14:paraId="0CAF9E53" w14:textId="77777777" w:rsidR="00106E6B" w:rsidRPr="00E67914" w:rsidRDefault="00106E6B" w:rsidP="00106E6B">
            <w:pPr>
              <w:pStyle w:val="affffff"/>
              <w:rPr>
                <w:szCs w:val="21"/>
              </w:rPr>
            </w:pPr>
          </w:p>
        </w:tc>
        <w:tc>
          <w:tcPr>
            <w:tcW w:w="708" w:type="pct"/>
            <w:shd w:val="clear" w:color="auto" w:fill="auto"/>
            <w:vAlign w:val="center"/>
          </w:tcPr>
          <w:p w14:paraId="48599192" w14:textId="30E7484C" w:rsidR="00106E6B" w:rsidRPr="00E67914" w:rsidRDefault="00106E6B" w:rsidP="00106E6B">
            <w:pPr>
              <w:pStyle w:val="affffff"/>
              <w:rPr>
                <w:szCs w:val="21"/>
              </w:rPr>
            </w:pPr>
            <w:r w:rsidRPr="00E67914">
              <w:rPr>
                <w:szCs w:val="21"/>
              </w:rPr>
              <w:t>2023.08.09</w:t>
            </w:r>
          </w:p>
        </w:tc>
        <w:tc>
          <w:tcPr>
            <w:tcW w:w="708" w:type="pct"/>
            <w:vMerge/>
            <w:shd w:val="clear" w:color="auto" w:fill="auto"/>
            <w:vAlign w:val="center"/>
          </w:tcPr>
          <w:p w14:paraId="2F326974" w14:textId="77777777" w:rsidR="00106E6B" w:rsidRPr="00E67914" w:rsidRDefault="00106E6B" w:rsidP="00106E6B">
            <w:pPr>
              <w:pStyle w:val="affffff"/>
              <w:rPr>
                <w:szCs w:val="21"/>
              </w:rPr>
            </w:pPr>
          </w:p>
        </w:tc>
        <w:tc>
          <w:tcPr>
            <w:tcW w:w="866" w:type="pct"/>
            <w:shd w:val="clear" w:color="auto" w:fill="auto"/>
            <w:vAlign w:val="center"/>
          </w:tcPr>
          <w:p w14:paraId="3C0451B2" w14:textId="2750A7D9" w:rsidR="00106E6B" w:rsidRPr="00E67914" w:rsidRDefault="00106E6B" w:rsidP="00106E6B">
            <w:pPr>
              <w:pStyle w:val="affffff"/>
              <w:rPr>
                <w:szCs w:val="21"/>
              </w:rPr>
            </w:pPr>
            <w:r w:rsidRPr="00E67914">
              <w:rPr>
                <w:szCs w:val="21"/>
              </w:rPr>
              <w:t>0.82</w:t>
            </w:r>
          </w:p>
        </w:tc>
        <w:tc>
          <w:tcPr>
            <w:tcW w:w="791" w:type="pct"/>
            <w:shd w:val="clear" w:color="auto" w:fill="auto"/>
            <w:vAlign w:val="center"/>
          </w:tcPr>
          <w:p w14:paraId="0CBEE93E" w14:textId="383F8826" w:rsidR="00106E6B" w:rsidRPr="00E67914" w:rsidRDefault="00106E6B" w:rsidP="00106E6B">
            <w:pPr>
              <w:pStyle w:val="affffff"/>
              <w:rPr>
                <w:szCs w:val="21"/>
              </w:rPr>
            </w:pPr>
            <w:r w:rsidRPr="00E67914">
              <w:rPr>
                <w:szCs w:val="21"/>
              </w:rPr>
              <w:t>0.83</w:t>
            </w:r>
          </w:p>
        </w:tc>
        <w:tc>
          <w:tcPr>
            <w:tcW w:w="609" w:type="pct"/>
            <w:shd w:val="clear" w:color="auto" w:fill="auto"/>
            <w:vAlign w:val="center"/>
          </w:tcPr>
          <w:p w14:paraId="13069F41" w14:textId="3B7D2ABA" w:rsidR="00106E6B" w:rsidRPr="00E67914" w:rsidRDefault="00106E6B" w:rsidP="00106E6B">
            <w:pPr>
              <w:pStyle w:val="affffff"/>
              <w:rPr>
                <w:szCs w:val="21"/>
              </w:rPr>
            </w:pPr>
            <w:r w:rsidRPr="00E67914">
              <w:rPr>
                <w:szCs w:val="21"/>
              </w:rPr>
              <w:t>0.84</w:t>
            </w:r>
          </w:p>
        </w:tc>
        <w:tc>
          <w:tcPr>
            <w:tcW w:w="609" w:type="pct"/>
            <w:shd w:val="clear" w:color="auto" w:fill="auto"/>
            <w:vAlign w:val="center"/>
          </w:tcPr>
          <w:p w14:paraId="00184F24" w14:textId="7469E20F" w:rsidR="00106E6B" w:rsidRPr="00E67914" w:rsidRDefault="00106E6B" w:rsidP="00106E6B">
            <w:pPr>
              <w:pStyle w:val="affffff"/>
              <w:rPr>
                <w:szCs w:val="21"/>
              </w:rPr>
            </w:pPr>
            <w:r w:rsidRPr="00E67914">
              <w:rPr>
                <w:szCs w:val="21"/>
              </w:rPr>
              <w:t>0.86</w:t>
            </w:r>
          </w:p>
        </w:tc>
      </w:tr>
      <w:tr w:rsidR="00E67914" w:rsidRPr="00E67914" w14:paraId="4485C5F7" w14:textId="77777777">
        <w:trPr>
          <w:trHeight w:val="218"/>
          <w:jc w:val="center"/>
        </w:trPr>
        <w:tc>
          <w:tcPr>
            <w:tcW w:w="708" w:type="pct"/>
            <w:vMerge/>
            <w:shd w:val="clear" w:color="auto" w:fill="auto"/>
            <w:vAlign w:val="center"/>
          </w:tcPr>
          <w:p w14:paraId="18BEC077" w14:textId="77777777" w:rsidR="00106E6B" w:rsidRPr="00E67914" w:rsidRDefault="00106E6B" w:rsidP="00106E6B">
            <w:pPr>
              <w:pStyle w:val="affffff"/>
              <w:rPr>
                <w:szCs w:val="21"/>
              </w:rPr>
            </w:pPr>
          </w:p>
        </w:tc>
        <w:tc>
          <w:tcPr>
            <w:tcW w:w="708" w:type="pct"/>
            <w:shd w:val="clear" w:color="auto" w:fill="auto"/>
            <w:vAlign w:val="center"/>
          </w:tcPr>
          <w:p w14:paraId="68EA5EE2" w14:textId="6924452C" w:rsidR="00106E6B" w:rsidRPr="00E67914" w:rsidRDefault="00106E6B" w:rsidP="00106E6B">
            <w:pPr>
              <w:pStyle w:val="affffff"/>
              <w:rPr>
                <w:szCs w:val="21"/>
              </w:rPr>
            </w:pPr>
            <w:r w:rsidRPr="00E67914">
              <w:rPr>
                <w:szCs w:val="21"/>
              </w:rPr>
              <w:t>2023.08.10</w:t>
            </w:r>
          </w:p>
        </w:tc>
        <w:tc>
          <w:tcPr>
            <w:tcW w:w="708" w:type="pct"/>
            <w:vMerge/>
            <w:shd w:val="clear" w:color="auto" w:fill="auto"/>
            <w:vAlign w:val="center"/>
          </w:tcPr>
          <w:p w14:paraId="0246F326" w14:textId="77777777" w:rsidR="00106E6B" w:rsidRPr="00E67914" w:rsidRDefault="00106E6B" w:rsidP="00106E6B">
            <w:pPr>
              <w:pStyle w:val="affffff"/>
              <w:rPr>
                <w:szCs w:val="21"/>
              </w:rPr>
            </w:pPr>
          </w:p>
        </w:tc>
        <w:tc>
          <w:tcPr>
            <w:tcW w:w="866" w:type="pct"/>
            <w:shd w:val="clear" w:color="auto" w:fill="auto"/>
            <w:vAlign w:val="center"/>
          </w:tcPr>
          <w:p w14:paraId="76EAB39F" w14:textId="6398F254" w:rsidR="00106E6B" w:rsidRPr="00E67914" w:rsidRDefault="00106E6B" w:rsidP="00106E6B">
            <w:pPr>
              <w:pStyle w:val="affffff"/>
              <w:rPr>
                <w:szCs w:val="21"/>
              </w:rPr>
            </w:pPr>
            <w:r w:rsidRPr="00E67914">
              <w:rPr>
                <w:szCs w:val="21"/>
              </w:rPr>
              <w:t>1.03</w:t>
            </w:r>
          </w:p>
        </w:tc>
        <w:tc>
          <w:tcPr>
            <w:tcW w:w="791" w:type="pct"/>
            <w:shd w:val="clear" w:color="auto" w:fill="auto"/>
            <w:vAlign w:val="center"/>
          </w:tcPr>
          <w:p w14:paraId="24F9CB29" w14:textId="672AF60C" w:rsidR="00106E6B" w:rsidRPr="00E67914" w:rsidRDefault="00106E6B" w:rsidP="00106E6B">
            <w:pPr>
              <w:pStyle w:val="affffff"/>
              <w:rPr>
                <w:szCs w:val="21"/>
              </w:rPr>
            </w:pPr>
            <w:r w:rsidRPr="00E67914">
              <w:rPr>
                <w:szCs w:val="21"/>
              </w:rPr>
              <w:t>1.03</w:t>
            </w:r>
          </w:p>
        </w:tc>
        <w:tc>
          <w:tcPr>
            <w:tcW w:w="609" w:type="pct"/>
            <w:shd w:val="clear" w:color="auto" w:fill="auto"/>
            <w:vAlign w:val="center"/>
          </w:tcPr>
          <w:p w14:paraId="1DF399C5" w14:textId="5F276167" w:rsidR="00106E6B" w:rsidRPr="00E67914" w:rsidRDefault="00106E6B" w:rsidP="00106E6B">
            <w:pPr>
              <w:pStyle w:val="affffff"/>
              <w:rPr>
                <w:szCs w:val="21"/>
              </w:rPr>
            </w:pPr>
            <w:r w:rsidRPr="00E67914">
              <w:rPr>
                <w:szCs w:val="21"/>
              </w:rPr>
              <w:t>1.04</w:t>
            </w:r>
          </w:p>
        </w:tc>
        <w:tc>
          <w:tcPr>
            <w:tcW w:w="609" w:type="pct"/>
            <w:shd w:val="clear" w:color="auto" w:fill="auto"/>
            <w:vAlign w:val="center"/>
          </w:tcPr>
          <w:p w14:paraId="255EE50C" w14:textId="52AF3620" w:rsidR="00106E6B" w:rsidRPr="00E67914" w:rsidRDefault="00106E6B" w:rsidP="00106E6B">
            <w:pPr>
              <w:pStyle w:val="affffff"/>
              <w:rPr>
                <w:szCs w:val="21"/>
              </w:rPr>
            </w:pPr>
            <w:r w:rsidRPr="00E67914">
              <w:rPr>
                <w:szCs w:val="21"/>
              </w:rPr>
              <w:t>1.02</w:t>
            </w:r>
          </w:p>
        </w:tc>
      </w:tr>
      <w:tr w:rsidR="00E67914" w:rsidRPr="00E67914" w14:paraId="1B505CBD" w14:textId="77777777">
        <w:trPr>
          <w:trHeight w:val="218"/>
          <w:jc w:val="center"/>
        </w:trPr>
        <w:tc>
          <w:tcPr>
            <w:tcW w:w="708" w:type="pct"/>
            <w:vMerge/>
            <w:shd w:val="clear" w:color="auto" w:fill="auto"/>
            <w:vAlign w:val="center"/>
          </w:tcPr>
          <w:p w14:paraId="5B086EF1" w14:textId="77777777" w:rsidR="00106E6B" w:rsidRPr="00E67914" w:rsidRDefault="00106E6B" w:rsidP="00106E6B">
            <w:pPr>
              <w:pStyle w:val="affffff"/>
              <w:rPr>
                <w:szCs w:val="21"/>
              </w:rPr>
            </w:pPr>
          </w:p>
        </w:tc>
        <w:tc>
          <w:tcPr>
            <w:tcW w:w="708" w:type="pct"/>
            <w:shd w:val="clear" w:color="auto" w:fill="auto"/>
            <w:vAlign w:val="center"/>
          </w:tcPr>
          <w:p w14:paraId="6D950810" w14:textId="26BAC44E" w:rsidR="00106E6B" w:rsidRPr="00E67914" w:rsidRDefault="00106E6B" w:rsidP="00106E6B">
            <w:pPr>
              <w:pStyle w:val="affffff"/>
              <w:rPr>
                <w:szCs w:val="21"/>
              </w:rPr>
            </w:pPr>
            <w:r w:rsidRPr="00E67914">
              <w:rPr>
                <w:szCs w:val="21"/>
              </w:rPr>
              <w:t>2023.08.11</w:t>
            </w:r>
          </w:p>
        </w:tc>
        <w:tc>
          <w:tcPr>
            <w:tcW w:w="708" w:type="pct"/>
            <w:vMerge/>
            <w:shd w:val="clear" w:color="auto" w:fill="auto"/>
            <w:vAlign w:val="center"/>
          </w:tcPr>
          <w:p w14:paraId="096338F7" w14:textId="77777777" w:rsidR="00106E6B" w:rsidRPr="00E67914" w:rsidRDefault="00106E6B" w:rsidP="00106E6B">
            <w:pPr>
              <w:pStyle w:val="affffff"/>
              <w:rPr>
                <w:szCs w:val="21"/>
              </w:rPr>
            </w:pPr>
          </w:p>
        </w:tc>
        <w:tc>
          <w:tcPr>
            <w:tcW w:w="866" w:type="pct"/>
            <w:shd w:val="clear" w:color="auto" w:fill="auto"/>
            <w:vAlign w:val="center"/>
          </w:tcPr>
          <w:p w14:paraId="3E8D059E" w14:textId="2077B244" w:rsidR="00106E6B" w:rsidRPr="00E67914" w:rsidRDefault="00106E6B" w:rsidP="00106E6B">
            <w:pPr>
              <w:pStyle w:val="affffff"/>
              <w:rPr>
                <w:szCs w:val="21"/>
              </w:rPr>
            </w:pPr>
            <w:r w:rsidRPr="00E67914">
              <w:rPr>
                <w:szCs w:val="21"/>
              </w:rPr>
              <w:t>0.62</w:t>
            </w:r>
          </w:p>
        </w:tc>
        <w:tc>
          <w:tcPr>
            <w:tcW w:w="791" w:type="pct"/>
            <w:shd w:val="clear" w:color="auto" w:fill="auto"/>
            <w:vAlign w:val="center"/>
          </w:tcPr>
          <w:p w14:paraId="431D467B" w14:textId="0478B72D" w:rsidR="00106E6B" w:rsidRPr="00E67914" w:rsidRDefault="00106E6B" w:rsidP="00106E6B">
            <w:pPr>
              <w:pStyle w:val="affffff"/>
              <w:rPr>
                <w:szCs w:val="21"/>
              </w:rPr>
            </w:pPr>
            <w:r w:rsidRPr="00E67914">
              <w:rPr>
                <w:szCs w:val="21"/>
              </w:rPr>
              <w:t>0.62</w:t>
            </w:r>
          </w:p>
        </w:tc>
        <w:tc>
          <w:tcPr>
            <w:tcW w:w="609" w:type="pct"/>
            <w:shd w:val="clear" w:color="auto" w:fill="auto"/>
            <w:vAlign w:val="center"/>
          </w:tcPr>
          <w:p w14:paraId="5525AC7B" w14:textId="010753C2" w:rsidR="00106E6B" w:rsidRPr="00E67914" w:rsidRDefault="00106E6B" w:rsidP="00106E6B">
            <w:pPr>
              <w:pStyle w:val="affffff"/>
              <w:rPr>
                <w:szCs w:val="21"/>
              </w:rPr>
            </w:pPr>
            <w:r w:rsidRPr="00E67914">
              <w:rPr>
                <w:szCs w:val="21"/>
              </w:rPr>
              <w:t>0.61</w:t>
            </w:r>
          </w:p>
        </w:tc>
        <w:tc>
          <w:tcPr>
            <w:tcW w:w="609" w:type="pct"/>
            <w:shd w:val="clear" w:color="auto" w:fill="auto"/>
            <w:vAlign w:val="center"/>
          </w:tcPr>
          <w:p w14:paraId="2156D5AF" w14:textId="4E363A3F" w:rsidR="00106E6B" w:rsidRPr="00E67914" w:rsidRDefault="00106E6B" w:rsidP="00106E6B">
            <w:pPr>
              <w:pStyle w:val="affffff"/>
              <w:rPr>
                <w:szCs w:val="21"/>
              </w:rPr>
            </w:pPr>
            <w:r w:rsidRPr="00E67914">
              <w:rPr>
                <w:szCs w:val="21"/>
              </w:rPr>
              <w:t>0.60</w:t>
            </w:r>
          </w:p>
        </w:tc>
      </w:tr>
      <w:tr w:rsidR="00E67914" w:rsidRPr="00E67914" w14:paraId="0912DD41" w14:textId="77777777">
        <w:trPr>
          <w:trHeight w:val="218"/>
          <w:jc w:val="center"/>
        </w:trPr>
        <w:tc>
          <w:tcPr>
            <w:tcW w:w="708" w:type="pct"/>
            <w:vMerge/>
            <w:shd w:val="clear" w:color="auto" w:fill="auto"/>
            <w:vAlign w:val="center"/>
          </w:tcPr>
          <w:p w14:paraId="7502810B" w14:textId="77777777" w:rsidR="00106E6B" w:rsidRPr="00E67914" w:rsidRDefault="00106E6B" w:rsidP="00106E6B">
            <w:pPr>
              <w:pStyle w:val="affffff"/>
              <w:rPr>
                <w:szCs w:val="21"/>
              </w:rPr>
            </w:pPr>
          </w:p>
        </w:tc>
        <w:tc>
          <w:tcPr>
            <w:tcW w:w="708" w:type="pct"/>
            <w:shd w:val="clear" w:color="auto" w:fill="auto"/>
            <w:vAlign w:val="center"/>
          </w:tcPr>
          <w:p w14:paraId="7C1D80A6" w14:textId="1B67BD56" w:rsidR="00106E6B" w:rsidRPr="00E67914" w:rsidRDefault="00106E6B" w:rsidP="00106E6B">
            <w:pPr>
              <w:pStyle w:val="affffff"/>
              <w:rPr>
                <w:szCs w:val="21"/>
              </w:rPr>
            </w:pPr>
            <w:r w:rsidRPr="00E67914">
              <w:rPr>
                <w:szCs w:val="21"/>
              </w:rPr>
              <w:t>2023.08.12</w:t>
            </w:r>
          </w:p>
        </w:tc>
        <w:tc>
          <w:tcPr>
            <w:tcW w:w="708" w:type="pct"/>
            <w:vMerge/>
            <w:shd w:val="clear" w:color="auto" w:fill="auto"/>
            <w:vAlign w:val="center"/>
          </w:tcPr>
          <w:p w14:paraId="12DD51AD" w14:textId="77777777" w:rsidR="00106E6B" w:rsidRPr="00E67914" w:rsidRDefault="00106E6B" w:rsidP="00106E6B">
            <w:pPr>
              <w:pStyle w:val="affffff"/>
              <w:rPr>
                <w:szCs w:val="21"/>
              </w:rPr>
            </w:pPr>
          </w:p>
        </w:tc>
        <w:tc>
          <w:tcPr>
            <w:tcW w:w="866" w:type="pct"/>
            <w:shd w:val="clear" w:color="auto" w:fill="auto"/>
            <w:vAlign w:val="center"/>
          </w:tcPr>
          <w:p w14:paraId="4F930694" w14:textId="7B760CC0" w:rsidR="00106E6B" w:rsidRPr="00E67914" w:rsidRDefault="00106E6B" w:rsidP="00106E6B">
            <w:pPr>
              <w:pStyle w:val="affffff"/>
              <w:rPr>
                <w:szCs w:val="21"/>
              </w:rPr>
            </w:pPr>
            <w:r w:rsidRPr="00E67914">
              <w:rPr>
                <w:szCs w:val="21"/>
              </w:rPr>
              <w:t>0.68</w:t>
            </w:r>
          </w:p>
        </w:tc>
        <w:tc>
          <w:tcPr>
            <w:tcW w:w="791" w:type="pct"/>
            <w:shd w:val="clear" w:color="auto" w:fill="auto"/>
            <w:vAlign w:val="center"/>
          </w:tcPr>
          <w:p w14:paraId="56704676" w14:textId="37835B40" w:rsidR="00106E6B" w:rsidRPr="00E67914" w:rsidRDefault="00106E6B" w:rsidP="00106E6B">
            <w:pPr>
              <w:pStyle w:val="affffff"/>
              <w:rPr>
                <w:szCs w:val="21"/>
              </w:rPr>
            </w:pPr>
            <w:r w:rsidRPr="00E67914">
              <w:rPr>
                <w:szCs w:val="21"/>
              </w:rPr>
              <w:t>0.66</w:t>
            </w:r>
          </w:p>
        </w:tc>
        <w:tc>
          <w:tcPr>
            <w:tcW w:w="609" w:type="pct"/>
            <w:shd w:val="clear" w:color="auto" w:fill="auto"/>
            <w:vAlign w:val="center"/>
          </w:tcPr>
          <w:p w14:paraId="2C4C0FE2" w14:textId="3AC7D59E" w:rsidR="00106E6B" w:rsidRPr="00E67914" w:rsidRDefault="00106E6B" w:rsidP="00106E6B">
            <w:pPr>
              <w:pStyle w:val="affffff"/>
              <w:rPr>
                <w:szCs w:val="21"/>
              </w:rPr>
            </w:pPr>
            <w:r w:rsidRPr="00E67914">
              <w:rPr>
                <w:szCs w:val="21"/>
              </w:rPr>
              <w:t>0.66</w:t>
            </w:r>
          </w:p>
        </w:tc>
        <w:tc>
          <w:tcPr>
            <w:tcW w:w="609" w:type="pct"/>
            <w:shd w:val="clear" w:color="auto" w:fill="auto"/>
            <w:vAlign w:val="center"/>
          </w:tcPr>
          <w:p w14:paraId="7D0A23F8" w14:textId="7B3C1878" w:rsidR="00106E6B" w:rsidRPr="00E67914" w:rsidRDefault="00106E6B" w:rsidP="00106E6B">
            <w:pPr>
              <w:pStyle w:val="affffff"/>
              <w:rPr>
                <w:szCs w:val="21"/>
              </w:rPr>
            </w:pPr>
            <w:r w:rsidRPr="00E67914">
              <w:rPr>
                <w:szCs w:val="21"/>
              </w:rPr>
              <w:t>0.66</w:t>
            </w:r>
          </w:p>
        </w:tc>
      </w:tr>
      <w:tr w:rsidR="00E67914" w:rsidRPr="00E67914" w14:paraId="3FE5C910" w14:textId="77777777">
        <w:trPr>
          <w:trHeight w:val="89"/>
          <w:jc w:val="center"/>
        </w:trPr>
        <w:tc>
          <w:tcPr>
            <w:tcW w:w="708" w:type="pct"/>
            <w:vMerge/>
            <w:shd w:val="clear" w:color="auto" w:fill="auto"/>
            <w:vAlign w:val="center"/>
          </w:tcPr>
          <w:p w14:paraId="33BEB957" w14:textId="77777777" w:rsidR="00106E6B" w:rsidRPr="00E67914" w:rsidRDefault="00106E6B" w:rsidP="00106E6B">
            <w:pPr>
              <w:pStyle w:val="affffff"/>
              <w:rPr>
                <w:szCs w:val="21"/>
              </w:rPr>
            </w:pPr>
          </w:p>
        </w:tc>
        <w:tc>
          <w:tcPr>
            <w:tcW w:w="708" w:type="pct"/>
            <w:shd w:val="clear" w:color="auto" w:fill="auto"/>
            <w:vAlign w:val="center"/>
          </w:tcPr>
          <w:p w14:paraId="36D91752" w14:textId="6168DCD6" w:rsidR="00106E6B" w:rsidRPr="00E67914" w:rsidRDefault="00106E6B" w:rsidP="00106E6B">
            <w:pPr>
              <w:pStyle w:val="affffff"/>
              <w:rPr>
                <w:szCs w:val="21"/>
              </w:rPr>
            </w:pPr>
            <w:r w:rsidRPr="00E67914">
              <w:rPr>
                <w:szCs w:val="21"/>
              </w:rPr>
              <w:t>2023.08.13</w:t>
            </w:r>
          </w:p>
        </w:tc>
        <w:tc>
          <w:tcPr>
            <w:tcW w:w="708" w:type="pct"/>
            <w:vMerge/>
            <w:shd w:val="clear" w:color="auto" w:fill="auto"/>
            <w:vAlign w:val="center"/>
          </w:tcPr>
          <w:p w14:paraId="41608107" w14:textId="77777777" w:rsidR="00106E6B" w:rsidRPr="00E67914" w:rsidRDefault="00106E6B" w:rsidP="00106E6B">
            <w:pPr>
              <w:pStyle w:val="affffff"/>
              <w:rPr>
                <w:szCs w:val="21"/>
              </w:rPr>
            </w:pPr>
          </w:p>
        </w:tc>
        <w:tc>
          <w:tcPr>
            <w:tcW w:w="866" w:type="pct"/>
            <w:shd w:val="clear" w:color="auto" w:fill="auto"/>
            <w:vAlign w:val="center"/>
          </w:tcPr>
          <w:p w14:paraId="2E42B406" w14:textId="1741E319" w:rsidR="00106E6B" w:rsidRPr="00E67914" w:rsidRDefault="00106E6B" w:rsidP="00106E6B">
            <w:pPr>
              <w:pStyle w:val="affffff"/>
              <w:rPr>
                <w:szCs w:val="21"/>
              </w:rPr>
            </w:pPr>
            <w:r w:rsidRPr="00E67914">
              <w:rPr>
                <w:szCs w:val="21"/>
              </w:rPr>
              <w:t>0.66</w:t>
            </w:r>
          </w:p>
        </w:tc>
        <w:tc>
          <w:tcPr>
            <w:tcW w:w="791" w:type="pct"/>
            <w:shd w:val="clear" w:color="auto" w:fill="auto"/>
            <w:vAlign w:val="center"/>
          </w:tcPr>
          <w:p w14:paraId="500112C9" w14:textId="298454A5" w:rsidR="00106E6B" w:rsidRPr="00E67914" w:rsidRDefault="00106E6B" w:rsidP="00106E6B">
            <w:pPr>
              <w:pStyle w:val="affffff"/>
              <w:rPr>
                <w:szCs w:val="21"/>
              </w:rPr>
            </w:pPr>
            <w:r w:rsidRPr="00E67914">
              <w:rPr>
                <w:szCs w:val="21"/>
              </w:rPr>
              <w:t>0.69</w:t>
            </w:r>
          </w:p>
        </w:tc>
        <w:tc>
          <w:tcPr>
            <w:tcW w:w="609" w:type="pct"/>
            <w:shd w:val="clear" w:color="auto" w:fill="auto"/>
            <w:vAlign w:val="center"/>
          </w:tcPr>
          <w:p w14:paraId="543A833B" w14:textId="7D93BE9E" w:rsidR="00106E6B" w:rsidRPr="00E67914" w:rsidRDefault="00106E6B" w:rsidP="00106E6B">
            <w:pPr>
              <w:pStyle w:val="affffff"/>
              <w:rPr>
                <w:szCs w:val="21"/>
              </w:rPr>
            </w:pPr>
            <w:r w:rsidRPr="00E67914">
              <w:rPr>
                <w:szCs w:val="21"/>
              </w:rPr>
              <w:t>0.68</w:t>
            </w:r>
          </w:p>
        </w:tc>
        <w:tc>
          <w:tcPr>
            <w:tcW w:w="609" w:type="pct"/>
            <w:shd w:val="clear" w:color="auto" w:fill="auto"/>
            <w:vAlign w:val="center"/>
          </w:tcPr>
          <w:p w14:paraId="63C962F2" w14:textId="54FB28D4" w:rsidR="00106E6B" w:rsidRPr="00E67914" w:rsidRDefault="00106E6B" w:rsidP="00106E6B">
            <w:pPr>
              <w:pStyle w:val="affffff"/>
              <w:rPr>
                <w:szCs w:val="21"/>
              </w:rPr>
            </w:pPr>
            <w:r w:rsidRPr="00E67914">
              <w:rPr>
                <w:szCs w:val="21"/>
              </w:rPr>
              <w:t>0.66</w:t>
            </w:r>
          </w:p>
        </w:tc>
      </w:tr>
    </w:tbl>
    <w:p w14:paraId="6D5F3AE9"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4.2-3  </w:t>
      </w:r>
      <w:r w:rsidRPr="00E67914">
        <w:rPr>
          <w:rFonts w:ascii="Times New Roman" w:eastAsia="黑体" w:hAnsi="Times New Roman"/>
          <w:sz w:val="21"/>
          <w:szCs w:val="21"/>
          <w:lang w:eastAsia="zh-CN"/>
        </w:rPr>
        <w:t>环境空气质量现状及评价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
        <w:gridCol w:w="1539"/>
        <w:gridCol w:w="1165"/>
        <w:gridCol w:w="616"/>
        <w:gridCol w:w="1672"/>
        <w:gridCol w:w="1066"/>
        <w:gridCol w:w="576"/>
        <w:gridCol w:w="627"/>
      </w:tblGrid>
      <w:tr w:rsidR="00E67914" w:rsidRPr="00E67914" w14:paraId="6A6B11F2" w14:textId="77777777">
        <w:trPr>
          <w:trHeight w:val="192"/>
          <w:jc w:val="center"/>
        </w:trPr>
        <w:tc>
          <w:tcPr>
            <w:tcW w:w="626" w:type="pct"/>
            <w:vAlign w:val="center"/>
          </w:tcPr>
          <w:p w14:paraId="7963DD26" w14:textId="77777777" w:rsidR="00A54A8A" w:rsidRPr="00E67914" w:rsidRDefault="00000000">
            <w:pPr>
              <w:pStyle w:val="affffff"/>
              <w:rPr>
                <w:b/>
                <w:bCs/>
              </w:rPr>
            </w:pPr>
            <w:r w:rsidRPr="00E67914">
              <w:rPr>
                <w:b/>
                <w:bCs/>
              </w:rPr>
              <w:t>监测点</w:t>
            </w:r>
            <w:r w:rsidRPr="00E67914">
              <w:rPr>
                <w:b/>
                <w:bCs/>
              </w:rPr>
              <w:lastRenderedPageBreak/>
              <w:t>位</w:t>
            </w:r>
          </w:p>
        </w:tc>
        <w:tc>
          <w:tcPr>
            <w:tcW w:w="927" w:type="pct"/>
            <w:vAlign w:val="center"/>
          </w:tcPr>
          <w:p w14:paraId="0727F936" w14:textId="77777777" w:rsidR="00A54A8A" w:rsidRPr="00E67914" w:rsidRDefault="00000000">
            <w:pPr>
              <w:pStyle w:val="affffff"/>
              <w:rPr>
                <w:b/>
                <w:bCs/>
              </w:rPr>
            </w:pPr>
            <w:r w:rsidRPr="00E67914">
              <w:rPr>
                <w:b/>
                <w:bCs/>
              </w:rPr>
              <w:lastRenderedPageBreak/>
              <w:t>采样时间</w:t>
            </w:r>
          </w:p>
        </w:tc>
        <w:tc>
          <w:tcPr>
            <w:tcW w:w="702" w:type="pct"/>
            <w:vAlign w:val="center"/>
          </w:tcPr>
          <w:p w14:paraId="23905094" w14:textId="77777777" w:rsidR="00A54A8A" w:rsidRPr="00E67914" w:rsidRDefault="00000000">
            <w:pPr>
              <w:pStyle w:val="affffff"/>
              <w:rPr>
                <w:b/>
                <w:bCs/>
              </w:rPr>
            </w:pPr>
            <w:r w:rsidRPr="00E67914">
              <w:rPr>
                <w:b/>
                <w:bCs/>
              </w:rPr>
              <w:t>监测项目</w:t>
            </w:r>
          </w:p>
        </w:tc>
        <w:tc>
          <w:tcPr>
            <w:tcW w:w="371" w:type="pct"/>
            <w:vAlign w:val="center"/>
          </w:tcPr>
          <w:p w14:paraId="72700DF0" w14:textId="77777777" w:rsidR="00A54A8A" w:rsidRPr="00E67914" w:rsidRDefault="00000000">
            <w:pPr>
              <w:pStyle w:val="affffff"/>
              <w:rPr>
                <w:b/>
                <w:bCs/>
              </w:rPr>
            </w:pPr>
            <w:r w:rsidRPr="00E67914">
              <w:rPr>
                <w:b/>
                <w:bCs/>
              </w:rPr>
              <w:t>采</w:t>
            </w:r>
            <w:r w:rsidRPr="00E67914">
              <w:rPr>
                <w:b/>
                <w:bCs/>
              </w:rPr>
              <w:lastRenderedPageBreak/>
              <w:t>样个数</w:t>
            </w:r>
          </w:p>
        </w:tc>
        <w:tc>
          <w:tcPr>
            <w:tcW w:w="1007" w:type="pct"/>
            <w:vAlign w:val="center"/>
          </w:tcPr>
          <w:p w14:paraId="4FD397AA" w14:textId="77777777" w:rsidR="00A54A8A" w:rsidRPr="00E67914" w:rsidRDefault="00000000">
            <w:pPr>
              <w:pStyle w:val="affffff"/>
              <w:rPr>
                <w:b/>
                <w:bCs/>
              </w:rPr>
            </w:pPr>
            <w:r w:rsidRPr="00E67914">
              <w:rPr>
                <w:b/>
                <w:bCs/>
              </w:rPr>
              <w:lastRenderedPageBreak/>
              <w:t>浓度范围</w:t>
            </w:r>
          </w:p>
          <w:p w14:paraId="036E28C2" w14:textId="77777777" w:rsidR="00A54A8A" w:rsidRPr="00E67914" w:rsidRDefault="00000000">
            <w:pPr>
              <w:pStyle w:val="affffff"/>
              <w:rPr>
                <w:b/>
                <w:bCs/>
              </w:rPr>
            </w:pPr>
            <w:r w:rsidRPr="00E67914">
              <w:rPr>
                <w:b/>
                <w:bCs/>
              </w:rPr>
              <w:lastRenderedPageBreak/>
              <w:t>m</w:t>
            </w:r>
            <w:r w:rsidRPr="00E67914">
              <w:rPr>
                <w:b/>
                <w:bCs/>
                <w:lang w:val="zh-CN"/>
              </w:rPr>
              <w:t>g</w:t>
            </w:r>
            <w:r w:rsidRPr="00E67914">
              <w:rPr>
                <w:b/>
                <w:bCs/>
              </w:rPr>
              <w:t>/m</w:t>
            </w:r>
            <w:r w:rsidRPr="00E67914">
              <w:rPr>
                <w:b/>
                <w:bCs/>
                <w:vertAlign w:val="superscript"/>
              </w:rPr>
              <w:t>3</w:t>
            </w:r>
          </w:p>
        </w:tc>
        <w:tc>
          <w:tcPr>
            <w:tcW w:w="642" w:type="pct"/>
            <w:vAlign w:val="center"/>
          </w:tcPr>
          <w:p w14:paraId="341E3F58" w14:textId="77777777" w:rsidR="00A54A8A" w:rsidRPr="00E67914" w:rsidRDefault="00000000">
            <w:pPr>
              <w:pStyle w:val="affffff"/>
              <w:rPr>
                <w:b/>
                <w:bCs/>
              </w:rPr>
            </w:pPr>
            <w:r w:rsidRPr="00E67914">
              <w:rPr>
                <w:b/>
                <w:bCs/>
              </w:rPr>
              <w:lastRenderedPageBreak/>
              <w:t>最大浓度</w:t>
            </w:r>
            <w:r w:rsidRPr="00E67914">
              <w:rPr>
                <w:b/>
                <w:bCs/>
              </w:rPr>
              <w:lastRenderedPageBreak/>
              <w:t>占标率</w:t>
            </w:r>
            <w:r w:rsidRPr="00E67914">
              <w:rPr>
                <w:b/>
                <w:bCs/>
              </w:rPr>
              <w:t>P</w:t>
            </w:r>
            <w:r w:rsidRPr="00E67914">
              <w:rPr>
                <w:b/>
                <w:bCs/>
                <w:vertAlign w:val="subscript"/>
              </w:rPr>
              <w:t>i</w:t>
            </w:r>
          </w:p>
        </w:tc>
        <w:tc>
          <w:tcPr>
            <w:tcW w:w="347" w:type="pct"/>
            <w:vAlign w:val="center"/>
          </w:tcPr>
          <w:p w14:paraId="0770D489" w14:textId="77777777" w:rsidR="00A54A8A" w:rsidRPr="00E67914" w:rsidRDefault="00000000">
            <w:pPr>
              <w:pStyle w:val="affffff"/>
              <w:rPr>
                <w:b/>
                <w:bCs/>
              </w:rPr>
            </w:pPr>
            <w:r w:rsidRPr="00E67914">
              <w:rPr>
                <w:b/>
                <w:bCs/>
              </w:rPr>
              <w:lastRenderedPageBreak/>
              <w:t>超</w:t>
            </w:r>
            <w:r w:rsidRPr="00E67914">
              <w:rPr>
                <w:b/>
                <w:bCs/>
              </w:rPr>
              <w:lastRenderedPageBreak/>
              <w:t>标率</w:t>
            </w:r>
          </w:p>
        </w:tc>
        <w:tc>
          <w:tcPr>
            <w:tcW w:w="379" w:type="pct"/>
            <w:vAlign w:val="center"/>
          </w:tcPr>
          <w:p w14:paraId="0E963CC7" w14:textId="77777777" w:rsidR="00A54A8A" w:rsidRPr="00E67914" w:rsidRDefault="00000000">
            <w:pPr>
              <w:pStyle w:val="affffff"/>
              <w:rPr>
                <w:b/>
                <w:bCs/>
              </w:rPr>
            </w:pPr>
            <w:r w:rsidRPr="00E67914">
              <w:rPr>
                <w:b/>
                <w:bCs/>
              </w:rPr>
              <w:lastRenderedPageBreak/>
              <w:t>达</w:t>
            </w:r>
            <w:r w:rsidRPr="00E67914">
              <w:rPr>
                <w:b/>
                <w:bCs/>
              </w:rPr>
              <w:lastRenderedPageBreak/>
              <w:t>标</w:t>
            </w:r>
          </w:p>
          <w:p w14:paraId="34A649D4" w14:textId="77777777" w:rsidR="00A54A8A" w:rsidRPr="00E67914" w:rsidRDefault="00000000">
            <w:pPr>
              <w:pStyle w:val="affffff"/>
              <w:rPr>
                <w:b/>
                <w:bCs/>
              </w:rPr>
            </w:pPr>
            <w:r w:rsidRPr="00E67914">
              <w:rPr>
                <w:b/>
                <w:bCs/>
              </w:rPr>
              <w:t>情况</w:t>
            </w:r>
          </w:p>
        </w:tc>
      </w:tr>
      <w:tr w:rsidR="00E67914" w:rsidRPr="00E67914" w14:paraId="55BACCC4" w14:textId="77777777">
        <w:trPr>
          <w:trHeight w:val="392"/>
          <w:jc w:val="center"/>
        </w:trPr>
        <w:tc>
          <w:tcPr>
            <w:tcW w:w="626" w:type="pct"/>
            <w:vAlign w:val="center"/>
          </w:tcPr>
          <w:p w14:paraId="289C5924" w14:textId="11E157AE" w:rsidR="00A54A8A" w:rsidRPr="00E67914" w:rsidRDefault="00000000">
            <w:pPr>
              <w:pStyle w:val="affffff"/>
            </w:pPr>
            <w:r w:rsidRPr="00E67914">
              <w:rPr>
                <w:szCs w:val="21"/>
              </w:rPr>
              <w:lastRenderedPageBreak/>
              <w:t>场界外南侧</w:t>
            </w:r>
            <w:r w:rsidRPr="00E67914">
              <w:rPr>
                <w:szCs w:val="21"/>
              </w:rPr>
              <w:t>2</w:t>
            </w:r>
            <w:r w:rsidR="00106E6B" w:rsidRPr="00E67914">
              <w:rPr>
                <w:szCs w:val="21"/>
              </w:rPr>
              <w:t>2</w:t>
            </w:r>
            <w:r w:rsidRPr="00E67914">
              <w:rPr>
                <w:szCs w:val="21"/>
              </w:rPr>
              <w:t>0m</w:t>
            </w:r>
            <w:r w:rsidRPr="00E67914">
              <w:rPr>
                <w:szCs w:val="21"/>
              </w:rPr>
              <w:t>居民点处</w:t>
            </w:r>
          </w:p>
        </w:tc>
        <w:tc>
          <w:tcPr>
            <w:tcW w:w="927" w:type="pct"/>
            <w:vAlign w:val="center"/>
          </w:tcPr>
          <w:p w14:paraId="111486F5" w14:textId="6DB62F67" w:rsidR="00A54A8A" w:rsidRPr="00E67914" w:rsidRDefault="00000000">
            <w:pPr>
              <w:pStyle w:val="affffff"/>
            </w:pPr>
            <w:r w:rsidRPr="00E67914">
              <w:t>2023.</w:t>
            </w:r>
            <w:r w:rsidR="00106E6B" w:rsidRPr="00E67914">
              <w:t>8</w:t>
            </w:r>
            <w:r w:rsidRPr="00E67914">
              <w:t>.</w:t>
            </w:r>
            <w:r w:rsidR="00106E6B" w:rsidRPr="00E67914">
              <w:t>7</w:t>
            </w:r>
            <w:r w:rsidRPr="00E67914">
              <w:t>~</w:t>
            </w:r>
            <w:r w:rsidR="00106E6B" w:rsidRPr="00E67914">
              <w:t>8</w:t>
            </w:r>
            <w:r w:rsidRPr="00E67914">
              <w:t>.</w:t>
            </w:r>
            <w:r w:rsidR="00106E6B" w:rsidRPr="00E67914">
              <w:t>13</w:t>
            </w:r>
          </w:p>
        </w:tc>
        <w:tc>
          <w:tcPr>
            <w:tcW w:w="702" w:type="pct"/>
            <w:vAlign w:val="center"/>
          </w:tcPr>
          <w:p w14:paraId="5B8A266A" w14:textId="77777777" w:rsidR="00A54A8A" w:rsidRPr="00E67914" w:rsidRDefault="00000000">
            <w:pPr>
              <w:pStyle w:val="affffff"/>
            </w:pPr>
            <w:r w:rsidRPr="00E67914">
              <w:t>非甲烷总烃</w:t>
            </w:r>
          </w:p>
        </w:tc>
        <w:tc>
          <w:tcPr>
            <w:tcW w:w="371" w:type="pct"/>
            <w:vAlign w:val="center"/>
          </w:tcPr>
          <w:p w14:paraId="5DF0A04D" w14:textId="77777777" w:rsidR="00A54A8A" w:rsidRPr="00E67914" w:rsidRDefault="00000000">
            <w:pPr>
              <w:pStyle w:val="affffff"/>
            </w:pPr>
            <w:r w:rsidRPr="00E67914">
              <w:t>28</w:t>
            </w:r>
          </w:p>
        </w:tc>
        <w:tc>
          <w:tcPr>
            <w:tcW w:w="1007" w:type="pct"/>
            <w:vAlign w:val="center"/>
          </w:tcPr>
          <w:p w14:paraId="7342841C" w14:textId="3BBF877C" w:rsidR="00A54A8A" w:rsidRPr="00E67914" w:rsidRDefault="00000000">
            <w:pPr>
              <w:pStyle w:val="affffff"/>
            </w:pPr>
            <w:r w:rsidRPr="00E67914">
              <w:t>0.</w:t>
            </w:r>
            <w:r w:rsidR="00106E6B" w:rsidRPr="00E67914">
              <w:t>60</w:t>
            </w:r>
            <w:r w:rsidRPr="00E67914">
              <w:t>~1.</w:t>
            </w:r>
            <w:r w:rsidR="00106E6B" w:rsidRPr="00E67914">
              <w:t>08</w:t>
            </w:r>
          </w:p>
        </w:tc>
        <w:tc>
          <w:tcPr>
            <w:tcW w:w="642" w:type="pct"/>
            <w:vAlign w:val="center"/>
          </w:tcPr>
          <w:p w14:paraId="59D313B7" w14:textId="137C7C04" w:rsidR="00A54A8A" w:rsidRPr="00E67914" w:rsidRDefault="00000000">
            <w:pPr>
              <w:pStyle w:val="affffff"/>
            </w:pPr>
            <w:r w:rsidRPr="00E67914">
              <w:t>0.3</w:t>
            </w:r>
            <w:r w:rsidR="00106E6B" w:rsidRPr="00E67914">
              <w:t>0</w:t>
            </w:r>
            <w:r w:rsidRPr="00E67914">
              <w:t>~0.</w:t>
            </w:r>
            <w:r w:rsidR="00106E6B" w:rsidRPr="00E67914">
              <w:t>54</w:t>
            </w:r>
          </w:p>
        </w:tc>
        <w:tc>
          <w:tcPr>
            <w:tcW w:w="347" w:type="pct"/>
            <w:vAlign w:val="center"/>
          </w:tcPr>
          <w:p w14:paraId="11A842E7" w14:textId="77777777" w:rsidR="00A54A8A" w:rsidRPr="00E67914" w:rsidRDefault="00000000">
            <w:pPr>
              <w:pStyle w:val="affffff"/>
            </w:pPr>
            <w:r w:rsidRPr="00E67914">
              <w:t>0</w:t>
            </w:r>
          </w:p>
        </w:tc>
        <w:tc>
          <w:tcPr>
            <w:tcW w:w="379" w:type="pct"/>
            <w:vAlign w:val="center"/>
          </w:tcPr>
          <w:p w14:paraId="7F1B4F36" w14:textId="77777777" w:rsidR="00A54A8A" w:rsidRPr="00E67914" w:rsidRDefault="00000000">
            <w:pPr>
              <w:pStyle w:val="affffff"/>
            </w:pPr>
            <w:r w:rsidRPr="00E67914">
              <w:rPr>
                <w:bCs/>
              </w:rPr>
              <w:t>达标</w:t>
            </w:r>
          </w:p>
        </w:tc>
      </w:tr>
    </w:tbl>
    <w:p w14:paraId="7A4E68A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评价结论：本项目所在地环境空气中特征污染物</w:t>
      </w:r>
      <w:bookmarkStart w:id="116" w:name="_Hlk100174264"/>
      <w:bookmarkStart w:id="117" w:name="_Hlk100174299"/>
      <w:r w:rsidRPr="00E67914">
        <w:rPr>
          <w:rFonts w:ascii="Times New Roman" w:hAnsi="Times New Roman"/>
          <w:bCs/>
          <w:kern w:val="2"/>
          <w:lang w:eastAsia="zh-CN"/>
        </w:rPr>
        <w:t>非甲烷总烃</w:t>
      </w:r>
      <w:bookmarkEnd w:id="116"/>
      <w:r w:rsidRPr="00E67914">
        <w:rPr>
          <w:rFonts w:ascii="Times New Roman" w:hAnsi="Times New Roman"/>
          <w:bCs/>
          <w:kern w:val="2"/>
          <w:lang w:eastAsia="zh-CN"/>
        </w:rPr>
        <w:t>现状监测值均低于《大气污染物综合排放标准详解》浓度限值。</w:t>
      </w:r>
      <w:bookmarkEnd w:id="117"/>
    </w:p>
    <w:bookmarkEnd w:id="115"/>
    <w:p w14:paraId="3863D0DD"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4.2.2</w:t>
      </w:r>
      <w:r w:rsidRPr="00E67914">
        <w:rPr>
          <w:rFonts w:ascii="Times New Roman" w:eastAsia="黑体" w:hAnsi="Times New Roman"/>
          <w:b w:val="0"/>
          <w:sz w:val="24"/>
          <w:szCs w:val="24"/>
          <w:lang w:eastAsia="zh-CN"/>
        </w:rPr>
        <w:t>地表水环境质量现状</w:t>
      </w:r>
    </w:p>
    <w:p w14:paraId="685091F0" w14:textId="1DAB4089" w:rsidR="00A54A8A" w:rsidRPr="00E67914" w:rsidRDefault="00000000">
      <w:pPr>
        <w:pStyle w:val="af"/>
        <w:adjustRightInd w:val="0"/>
        <w:snapToGrid w:val="0"/>
        <w:spacing w:line="360" w:lineRule="auto"/>
        <w:ind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本项目位于</w:t>
      </w:r>
      <w:r w:rsidR="000736F8" w:rsidRPr="00E67914">
        <w:rPr>
          <w:rFonts w:ascii="Times New Roman" w:hAnsi="Times New Roman"/>
          <w:bCs/>
          <w:kern w:val="2"/>
          <w:lang w:eastAsia="zh-CN"/>
        </w:rPr>
        <w:t>后</w:t>
      </w:r>
      <w:r w:rsidRPr="00E67914">
        <w:rPr>
          <w:rFonts w:ascii="Times New Roman" w:hAnsi="Times New Roman"/>
          <w:bCs/>
          <w:kern w:val="2"/>
          <w:lang w:eastAsia="zh-CN"/>
        </w:rPr>
        <w:t>河流域，</w:t>
      </w:r>
      <w:r w:rsidR="000736F8" w:rsidRPr="00E67914">
        <w:rPr>
          <w:rFonts w:ascii="Times New Roman" w:hAnsi="Times New Roman"/>
          <w:bCs/>
          <w:kern w:val="2"/>
          <w:lang w:eastAsia="zh-CN"/>
        </w:rPr>
        <w:t>后</w:t>
      </w:r>
      <w:r w:rsidRPr="00E67914">
        <w:rPr>
          <w:rFonts w:ascii="Times New Roman" w:hAnsi="Times New Roman"/>
          <w:bCs/>
          <w:kern w:val="2"/>
          <w:lang w:eastAsia="zh-CN"/>
        </w:rPr>
        <w:t>河属于渠江流域，根据《</w:t>
      </w:r>
      <w:r w:rsidRPr="00E67914">
        <w:rPr>
          <w:rFonts w:ascii="Times New Roman" w:hAnsi="Times New Roman"/>
          <w:bCs/>
          <w:kern w:val="2"/>
          <w:lang w:eastAsia="zh-CN"/>
        </w:rPr>
        <w:t>2023</w:t>
      </w:r>
      <w:r w:rsidRPr="00E67914">
        <w:rPr>
          <w:rFonts w:ascii="Times New Roman" w:hAnsi="Times New Roman"/>
          <w:bCs/>
          <w:kern w:val="2"/>
          <w:lang w:eastAsia="zh-CN"/>
        </w:rPr>
        <w:t>年</w:t>
      </w:r>
      <w:r w:rsidRPr="00E67914">
        <w:rPr>
          <w:rFonts w:ascii="Times New Roman" w:hAnsi="Times New Roman"/>
          <w:bCs/>
          <w:kern w:val="2"/>
          <w:lang w:eastAsia="zh-CN"/>
        </w:rPr>
        <w:t>4</w:t>
      </w:r>
      <w:r w:rsidRPr="00E67914">
        <w:rPr>
          <w:rFonts w:ascii="Times New Roman" w:hAnsi="Times New Roman"/>
          <w:bCs/>
          <w:kern w:val="2"/>
          <w:lang w:eastAsia="zh-CN"/>
        </w:rPr>
        <w:t>月达州市地表水水质月报》：</w:t>
      </w:r>
      <w:r w:rsidRPr="00E67914">
        <w:rPr>
          <w:rFonts w:ascii="Times New Roman" w:hAnsi="Times New Roman"/>
          <w:bCs/>
          <w:kern w:val="2"/>
          <w:lang w:eastAsia="zh-CN"/>
        </w:rPr>
        <w:t>2023</w:t>
      </w:r>
      <w:r w:rsidRPr="00E67914">
        <w:rPr>
          <w:rFonts w:ascii="Times New Roman" w:hAnsi="Times New Roman"/>
          <w:bCs/>
          <w:kern w:val="2"/>
          <w:lang w:eastAsia="zh-CN"/>
        </w:rPr>
        <w:t>年</w:t>
      </w:r>
      <w:r w:rsidRPr="00E67914">
        <w:rPr>
          <w:rFonts w:ascii="Times New Roman" w:hAnsi="Times New Roman"/>
          <w:bCs/>
          <w:kern w:val="2"/>
          <w:lang w:eastAsia="zh-CN"/>
        </w:rPr>
        <w:t>4</w:t>
      </w:r>
      <w:r w:rsidRPr="00E67914">
        <w:rPr>
          <w:rFonts w:ascii="Times New Roman" w:hAnsi="Times New Roman"/>
          <w:bCs/>
          <w:kern w:val="2"/>
          <w:lang w:eastAsia="zh-CN"/>
        </w:rPr>
        <w:t>月全市</w:t>
      </w:r>
      <w:r w:rsidRPr="00E67914">
        <w:rPr>
          <w:rFonts w:ascii="Times New Roman" w:hAnsi="Times New Roman"/>
          <w:bCs/>
          <w:kern w:val="2"/>
          <w:lang w:eastAsia="zh-CN"/>
        </w:rPr>
        <w:t>35</w:t>
      </w:r>
      <w:r w:rsidRPr="00E67914">
        <w:rPr>
          <w:rFonts w:ascii="Times New Roman" w:hAnsi="Times New Roman"/>
          <w:bCs/>
          <w:kern w:val="2"/>
          <w:lang w:eastAsia="zh-CN"/>
        </w:rPr>
        <w:t>个河流断面中，优（</w:t>
      </w:r>
      <w:r w:rsidRPr="00E67914">
        <w:rPr>
          <w:rFonts w:ascii="Times New Roman" w:hAnsi="Times New Roman"/>
          <w:bCs/>
          <w:kern w:val="2"/>
          <w:lang w:eastAsia="zh-CN"/>
        </w:rPr>
        <w:t>Ⅰ~Ⅱ</w:t>
      </w:r>
      <w:r w:rsidRPr="00E67914">
        <w:rPr>
          <w:rFonts w:ascii="Times New Roman" w:hAnsi="Times New Roman"/>
          <w:bCs/>
          <w:kern w:val="2"/>
          <w:lang w:eastAsia="zh-CN"/>
        </w:rPr>
        <w:t>类）良（</w:t>
      </w:r>
      <w:r w:rsidRPr="00E67914">
        <w:rPr>
          <w:rFonts w:ascii="Times New Roman" w:hAnsi="Times New Roman"/>
          <w:bCs/>
          <w:kern w:val="2"/>
          <w:lang w:eastAsia="zh-CN"/>
        </w:rPr>
        <w:t>Ⅲ</w:t>
      </w:r>
      <w:r w:rsidRPr="00E67914">
        <w:rPr>
          <w:rFonts w:ascii="Times New Roman" w:hAnsi="Times New Roman"/>
          <w:bCs/>
          <w:kern w:val="2"/>
          <w:lang w:eastAsia="zh-CN"/>
        </w:rPr>
        <w:t>类）水质断面</w:t>
      </w:r>
      <w:r w:rsidRPr="00E67914">
        <w:rPr>
          <w:rFonts w:ascii="Times New Roman" w:hAnsi="Times New Roman"/>
          <w:bCs/>
          <w:kern w:val="2"/>
          <w:lang w:eastAsia="zh-CN"/>
        </w:rPr>
        <w:t>30</w:t>
      </w:r>
      <w:r w:rsidRPr="00E67914">
        <w:rPr>
          <w:rFonts w:ascii="Times New Roman" w:hAnsi="Times New Roman"/>
          <w:bCs/>
          <w:kern w:val="2"/>
          <w:lang w:eastAsia="zh-CN"/>
        </w:rPr>
        <w:t>个，占比</w:t>
      </w:r>
      <w:r w:rsidRPr="00E67914">
        <w:rPr>
          <w:rFonts w:ascii="Times New Roman" w:hAnsi="Times New Roman"/>
          <w:bCs/>
          <w:kern w:val="2"/>
          <w:lang w:eastAsia="zh-CN"/>
        </w:rPr>
        <w:t>85.7%</w:t>
      </w:r>
      <w:r w:rsidRPr="00E67914">
        <w:rPr>
          <w:rFonts w:ascii="Times New Roman" w:hAnsi="Times New Roman"/>
          <w:bCs/>
          <w:kern w:val="2"/>
          <w:lang w:eastAsia="zh-CN"/>
        </w:rPr>
        <w:t>；轻度污染（</w:t>
      </w:r>
      <w:r w:rsidRPr="00E67914">
        <w:rPr>
          <w:rFonts w:ascii="Times New Roman" w:hAnsi="Times New Roman"/>
          <w:bCs/>
          <w:kern w:val="2"/>
          <w:lang w:eastAsia="zh-CN"/>
        </w:rPr>
        <w:t>Ⅳ</w:t>
      </w:r>
      <w:r w:rsidRPr="00E67914">
        <w:rPr>
          <w:rFonts w:ascii="Times New Roman" w:hAnsi="Times New Roman"/>
          <w:bCs/>
          <w:kern w:val="2"/>
          <w:lang w:eastAsia="zh-CN"/>
        </w:rPr>
        <w:t>类）水质断面</w:t>
      </w:r>
      <w:r w:rsidRPr="00E67914">
        <w:rPr>
          <w:rFonts w:ascii="Times New Roman" w:hAnsi="Times New Roman"/>
          <w:bCs/>
          <w:kern w:val="2"/>
          <w:lang w:eastAsia="zh-CN"/>
        </w:rPr>
        <w:t>5</w:t>
      </w:r>
      <w:r w:rsidRPr="00E67914">
        <w:rPr>
          <w:rFonts w:ascii="Times New Roman" w:hAnsi="Times New Roman"/>
          <w:bCs/>
          <w:kern w:val="2"/>
          <w:lang w:eastAsia="zh-CN"/>
        </w:rPr>
        <w:t>个，占比</w:t>
      </w:r>
      <w:r w:rsidRPr="00E67914">
        <w:rPr>
          <w:rFonts w:ascii="Times New Roman" w:hAnsi="Times New Roman"/>
          <w:bCs/>
          <w:kern w:val="2"/>
          <w:lang w:eastAsia="zh-CN"/>
        </w:rPr>
        <w:t>14.3%</w:t>
      </w:r>
      <w:r w:rsidRPr="00E67914">
        <w:rPr>
          <w:rFonts w:ascii="Times New Roman" w:hAnsi="Times New Roman"/>
          <w:bCs/>
          <w:kern w:val="2"/>
          <w:lang w:eastAsia="zh-CN"/>
        </w:rPr>
        <w:t>。</w:t>
      </w:r>
    </w:p>
    <w:p w14:paraId="75FB945A"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全市河流超标情况为：御临河双河口大桥、任市河联盟桥、袁驿河速建桥、平滩河碧山中学、平滩河牛角滩断面受到轻度污染，主要污染指标为高锰酸盐指数、化学需氧量。</w:t>
      </w:r>
    </w:p>
    <w:p w14:paraId="4F773DAD" w14:textId="16A4F91B"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达州市生态环境局公布的</w:t>
      </w:r>
      <w:r w:rsidRPr="00E67914">
        <w:rPr>
          <w:rFonts w:ascii="Times New Roman" w:hAnsi="Times New Roman"/>
          <w:bCs/>
          <w:kern w:val="2"/>
          <w:lang w:eastAsia="zh-CN"/>
        </w:rPr>
        <w:t>2023</w:t>
      </w:r>
      <w:r w:rsidRPr="00E67914">
        <w:rPr>
          <w:rFonts w:ascii="Times New Roman" w:hAnsi="Times New Roman"/>
          <w:bCs/>
          <w:kern w:val="2"/>
          <w:lang w:eastAsia="zh-CN"/>
        </w:rPr>
        <w:t>年</w:t>
      </w:r>
      <w:r w:rsidRPr="00E67914">
        <w:rPr>
          <w:rFonts w:ascii="Times New Roman" w:hAnsi="Times New Roman"/>
          <w:bCs/>
          <w:kern w:val="2"/>
          <w:lang w:eastAsia="zh-CN"/>
        </w:rPr>
        <w:t>1</w:t>
      </w:r>
      <w:r w:rsidRPr="00E67914">
        <w:rPr>
          <w:rFonts w:ascii="Times New Roman" w:hAnsi="Times New Roman"/>
          <w:bCs/>
          <w:kern w:val="2"/>
          <w:lang w:eastAsia="zh-CN"/>
        </w:rPr>
        <w:t>月</w:t>
      </w:r>
      <w:r w:rsidRPr="00E67914">
        <w:rPr>
          <w:rFonts w:ascii="Times New Roman" w:hAnsi="Times New Roman"/>
          <w:bCs/>
          <w:kern w:val="2"/>
          <w:lang w:eastAsia="zh-CN"/>
        </w:rPr>
        <w:t>~2023</w:t>
      </w:r>
      <w:r w:rsidRPr="00E67914">
        <w:rPr>
          <w:rFonts w:ascii="Times New Roman" w:hAnsi="Times New Roman"/>
          <w:bCs/>
          <w:kern w:val="2"/>
          <w:lang w:eastAsia="zh-CN"/>
        </w:rPr>
        <w:t>年</w:t>
      </w:r>
      <w:r w:rsidR="009D2D1C" w:rsidRPr="00E67914">
        <w:rPr>
          <w:rFonts w:ascii="Times New Roman" w:hAnsi="Times New Roman"/>
          <w:bCs/>
          <w:kern w:val="2"/>
          <w:lang w:eastAsia="zh-CN"/>
        </w:rPr>
        <w:t>7</w:t>
      </w:r>
      <w:r w:rsidRPr="00E67914">
        <w:rPr>
          <w:rFonts w:ascii="Times New Roman" w:hAnsi="Times New Roman"/>
          <w:bCs/>
          <w:kern w:val="2"/>
          <w:lang w:eastAsia="zh-CN"/>
        </w:rPr>
        <w:t>月达州市地表水水质月报，根据月报可知，</w:t>
      </w:r>
      <w:r w:rsidRPr="00E67914">
        <w:rPr>
          <w:rFonts w:ascii="Times New Roman" w:hAnsi="Times New Roman"/>
          <w:bCs/>
          <w:kern w:val="2"/>
          <w:lang w:eastAsia="zh-CN"/>
        </w:rPr>
        <w:t>2023</w:t>
      </w:r>
      <w:r w:rsidRPr="00E67914">
        <w:rPr>
          <w:rFonts w:ascii="Times New Roman" w:hAnsi="Times New Roman"/>
          <w:bCs/>
          <w:kern w:val="2"/>
          <w:lang w:eastAsia="zh-CN"/>
        </w:rPr>
        <w:t>年</w:t>
      </w:r>
      <w:r w:rsidRPr="00E67914">
        <w:rPr>
          <w:rFonts w:ascii="Times New Roman" w:hAnsi="Times New Roman"/>
          <w:bCs/>
          <w:kern w:val="2"/>
          <w:lang w:eastAsia="zh-CN"/>
        </w:rPr>
        <w:t>1</w:t>
      </w:r>
      <w:r w:rsidRPr="00E67914">
        <w:rPr>
          <w:rFonts w:ascii="Times New Roman" w:hAnsi="Times New Roman"/>
          <w:bCs/>
          <w:kern w:val="2"/>
          <w:lang w:eastAsia="zh-CN"/>
        </w:rPr>
        <w:t>月</w:t>
      </w:r>
      <w:r w:rsidRPr="00E67914">
        <w:rPr>
          <w:rFonts w:ascii="Times New Roman" w:hAnsi="Times New Roman"/>
          <w:bCs/>
          <w:kern w:val="2"/>
          <w:lang w:eastAsia="zh-CN"/>
        </w:rPr>
        <w:t>~2023</w:t>
      </w:r>
      <w:r w:rsidRPr="00E67914">
        <w:rPr>
          <w:rFonts w:ascii="Times New Roman" w:hAnsi="Times New Roman"/>
          <w:bCs/>
          <w:kern w:val="2"/>
          <w:lang w:eastAsia="zh-CN"/>
        </w:rPr>
        <w:t>年</w:t>
      </w:r>
      <w:r w:rsidR="009D2D1C" w:rsidRPr="00E67914">
        <w:rPr>
          <w:rFonts w:ascii="Times New Roman" w:hAnsi="Times New Roman"/>
          <w:bCs/>
          <w:kern w:val="2"/>
          <w:lang w:eastAsia="zh-CN"/>
        </w:rPr>
        <w:t>7</w:t>
      </w:r>
      <w:r w:rsidRPr="00E67914">
        <w:rPr>
          <w:rFonts w:ascii="Times New Roman" w:hAnsi="Times New Roman"/>
          <w:bCs/>
          <w:kern w:val="2"/>
          <w:lang w:eastAsia="zh-CN"/>
        </w:rPr>
        <w:t>月州河</w:t>
      </w:r>
      <w:r w:rsidR="009D2D1C" w:rsidRPr="00E67914">
        <w:rPr>
          <w:rFonts w:ascii="Times New Roman" w:hAnsi="Times New Roman"/>
          <w:bCs/>
          <w:kern w:val="2"/>
          <w:lang w:eastAsia="zh-CN"/>
        </w:rPr>
        <w:t>水系后河</w:t>
      </w:r>
      <w:r w:rsidRPr="00E67914">
        <w:rPr>
          <w:rFonts w:ascii="Times New Roman" w:hAnsi="Times New Roman"/>
          <w:bCs/>
          <w:kern w:val="2"/>
          <w:lang w:eastAsia="zh-CN"/>
        </w:rPr>
        <w:t>位于</w:t>
      </w:r>
      <w:r w:rsidR="009D2D1C" w:rsidRPr="00E67914">
        <w:rPr>
          <w:rFonts w:ascii="Times New Roman" w:hAnsi="Times New Roman"/>
          <w:lang w:eastAsia="zh-CN"/>
        </w:rPr>
        <w:t>漩坑坝</w:t>
      </w:r>
      <w:r w:rsidRPr="00E67914">
        <w:rPr>
          <w:rFonts w:ascii="Times New Roman" w:hAnsi="Times New Roman"/>
          <w:lang w:eastAsia="zh-CN"/>
        </w:rPr>
        <w:t>（</w:t>
      </w:r>
      <w:r w:rsidR="009D2D1C" w:rsidRPr="00E67914">
        <w:rPr>
          <w:rFonts w:ascii="Times New Roman" w:hAnsi="Times New Roman"/>
          <w:lang w:eastAsia="zh-CN"/>
        </w:rPr>
        <w:t>万源市</w:t>
      </w:r>
      <w:r w:rsidR="009D2D1C" w:rsidRPr="00E67914">
        <w:rPr>
          <w:rFonts w:ascii="Times New Roman" w:hAnsi="Times New Roman"/>
          <w:lang w:eastAsia="zh-CN"/>
        </w:rPr>
        <w:t>→</w:t>
      </w:r>
      <w:r w:rsidR="009D2D1C" w:rsidRPr="00E67914">
        <w:rPr>
          <w:rFonts w:ascii="Times New Roman" w:hAnsi="Times New Roman"/>
          <w:lang w:eastAsia="zh-CN"/>
        </w:rPr>
        <w:t>宣汉县</w:t>
      </w:r>
      <w:r w:rsidRPr="00E67914">
        <w:rPr>
          <w:rFonts w:ascii="Times New Roman" w:hAnsi="Times New Roman"/>
          <w:lang w:eastAsia="zh-CN"/>
        </w:rPr>
        <w:t>）监测断面的国考断面地表水水质满足</w:t>
      </w:r>
      <w:r w:rsidRPr="00E67914">
        <w:rPr>
          <w:rFonts w:ascii="Times New Roman" w:hAnsi="Times New Roman"/>
          <w:bCs/>
          <w:kern w:val="2"/>
          <w:lang w:eastAsia="zh-CN"/>
        </w:rPr>
        <w:t>《地表水环境质量标准》（</w:t>
      </w:r>
      <w:r w:rsidRPr="00E67914">
        <w:rPr>
          <w:rFonts w:ascii="Times New Roman" w:hAnsi="Times New Roman"/>
          <w:bCs/>
          <w:kern w:val="2"/>
          <w:lang w:eastAsia="zh-CN"/>
        </w:rPr>
        <w:t>GB3838-2002</w:t>
      </w:r>
      <w:r w:rsidRPr="00E67914">
        <w:rPr>
          <w:rFonts w:ascii="Times New Roman" w:hAnsi="Times New Roman"/>
          <w:bCs/>
          <w:kern w:val="2"/>
          <w:lang w:eastAsia="zh-CN"/>
        </w:rPr>
        <w:t>）中</w:t>
      </w:r>
      <w:r w:rsidRPr="00E67914">
        <w:rPr>
          <w:rFonts w:ascii="Times New Roman" w:hAnsi="Times New Roman"/>
          <w:bCs/>
          <w:kern w:val="2"/>
          <w:lang w:eastAsia="zh-CN"/>
        </w:rPr>
        <w:t>Ⅱ</w:t>
      </w:r>
      <w:r w:rsidRPr="00E67914">
        <w:rPr>
          <w:rFonts w:ascii="Times New Roman" w:hAnsi="Times New Roman"/>
          <w:bCs/>
          <w:kern w:val="2"/>
          <w:lang w:eastAsia="zh-CN"/>
        </w:rPr>
        <w:t>类水质标准限值要求，因此满足《地表水环境质量标准》（</w:t>
      </w:r>
      <w:r w:rsidRPr="00E67914">
        <w:rPr>
          <w:rFonts w:ascii="Times New Roman" w:hAnsi="Times New Roman"/>
          <w:bCs/>
          <w:kern w:val="2"/>
          <w:lang w:eastAsia="zh-CN"/>
        </w:rPr>
        <w:t>GB3838-2002</w:t>
      </w:r>
      <w:r w:rsidRPr="00E67914">
        <w:rPr>
          <w:rFonts w:ascii="Times New Roman" w:hAnsi="Times New Roman"/>
          <w:bCs/>
          <w:kern w:val="2"/>
          <w:lang w:eastAsia="zh-CN"/>
        </w:rPr>
        <w:t>）中</w:t>
      </w:r>
      <w:r w:rsidRPr="00E67914">
        <w:rPr>
          <w:rFonts w:ascii="Times New Roman" w:hAnsi="Times New Roman"/>
          <w:bCs/>
          <w:kern w:val="2"/>
          <w:lang w:eastAsia="zh-CN"/>
        </w:rPr>
        <w:t>Ⅲ</w:t>
      </w:r>
      <w:r w:rsidRPr="00E67914">
        <w:rPr>
          <w:rFonts w:ascii="Times New Roman" w:hAnsi="Times New Roman"/>
          <w:bCs/>
          <w:kern w:val="2"/>
          <w:lang w:eastAsia="zh-CN"/>
        </w:rPr>
        <w:t>类水质标准限值要求。</w:t>
      </w:r>
    </w:p>
    <w:p w14:paraId="2C85EECA"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4.2.3</w:t>
      </w:r>
      <w:r w:rsidRPr="00E67914">
        <w:rPr>
          <w:rFonts w:ascii="Times New Roman" w:eastAsia="黑体" w:hAnsi="Times New Roman"/>
          <w:b w:val="0"/>
          <w:sz w:val="24"/>
          <w:szCs w:val="24"/>
          <w:lang w:eastAsia="zh-CN"/>
        </w:rPr>
        <w:t>声环境质量现状监测与评价</w:t>
      </w:r>
    </w:p>
    <w:p w14:paraId="2926862A"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为了了解项目建设对声环境的影响，本次评价对区域声环境质量进行了现状监测。</w:t>
      </w:r>
    </w:p>
    <w:p w14:paraId="45F5B760"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1</w:t>
      </w:r>
      <w:r w:rsidRPr="00E67914">
        <w:rPr>
          <w:rFonts w:ascii="Times New Roman" w:hAnsi="Times New Roman"/>
          <w:b/>
          <w:kern w:val="2"/>
          <w:lang w:eastAsia="zh-CN"/>
        </w:rPr>
        <w:t>）监测方案</w:t>
      </w:r>
    </w:p>
    <w:p w14:paraId="7E88A79A" w14:textId="6A744875"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监测布点：根据项目情况及环境特征，本次环评布设噪声监测点</w:t>
      </w:r>
      <w:r w:rsidR="00FB229B" w:rsidRPr="00E67914">
        <w:rPr>
          <w:rFonts w:ascii="Times New Roman" w:hAnsi="Times New Roman"/>
          <w:bCs/>
          <w:kern w:val="2"/>
          <w:lang w:eastAsia="zh-CN"/>
        </w:rPr>
        <w:t>9</w:t>
      </w:r>
      <w:r w:rsidRPr="00E67914">
        <w:rPr>
          <w:rFonts w:ascii="Times New Roman" w:hAnsi="Times New Roman"/>
          <w:bCs/>
          <w:kern w:val="2"/>
          <w:lang w:eastAsia="zh-CN"/>
        </w:rPr>
        <w:t>个。监测点布置具体见附图</w:t>
      </w:r>
      <w:r w:rsidRPr="00E67914">
        <w:rPr>
          <w:rFonts w:ascii="Times New Roman" w:hAnsi="Times New Roman"/>
          <w:bCs/>
          <w:kern w:val="2"/>
          <w:lang w:eastAsia="zh-CN"/>
        </w:rPr>
        <w:t>2</w:t>
      </w:r>
      <w:r w:rsidRPr="00E67914">
        <w:rPr>
          <w:rFonts w:ascii="Times New Roman" w:hAnsi="Times New Roman"/>
          <w:bCs/>
          <w:kern w:val="2"/>
          <w:lang w:eastAsia="zh-CN"/>
        </w:rPr>
        <w:t>，噪声监测布点统计见表</w:t>
      </w:r>
      <w:r w:rsidRPr="00E67914">
        <w:rPr>
          <w:rFonts w:ascii="Times New Roman" w:hAnsi="Times New Roman"/>
          <w:bCs/>
          <w:kern w:val="2"/>
          <w:lang w:eastAsia="zh-CN"/>
        </w:rPr>
        <w:t>4.2-4</w:t>
      </w:r>
      <w:r w:rsidRPr="00E67914">
        <w:rPr>
          <w:rFonts w:ascii="Times New Roman" w:hAnsi="Times New Roman"/>
          <w:bCs/>
          <w:kern w:val="2"/>
          <w:lang w:eastAsia="zh-CN"/>
        </w:rPr>
        <w:t>。</w:t>
      </w:r>
    </w:p>
    <w:p w14:paraId="5B92B4F5"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4.2-4  </w:t>
      </w:r>
      <w:r w:rsidRPr="00E67914">
        <w:rPr>
          <w:rFonts w:ascii="Times New Roman" w:eastAsia="黑体" w:hAnsi="Times New Roman"/>
          <w:sz w:val="21"/>
          <w:szCs w:val="21"/>
          <w:lang w:eastAsia="zh-CN"/>
        </w:rPr>
        <w:t>项目噪声监测点位一览表</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678"/>
        <w:gridCol w:w="1134"/>
        <w:gridCol w:w="1642"/>
      </w:tblGrid>
      <w:tr w:rsidR="00E67914" w:rsidRPr="00E67914" w14:paraId="5494C0EE" w14:textId="77777777" w:rsidTr="00106E6B">
        <w:trPr>
          <w:jc w:val="center"/>
        </w:trPr>
        <w:tc>
          <w:tcPr>
            <w:tcW w:w="510" w:type="pct"/>
            <w:vAlign w:val="center"/>
          </w:tcPr>
          <w:p w14:paraId="59204E73"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编号</w:t>
            </w:r>
          </w:p>
        </w:tc>
        <w:tc>
          <w:tcPr>
            <w:tcW w:w="2818" w:type="pct"/>
            <w:vAlign w:val="center"/>
          </w:tcPr>
          <w:p w14:paraId="476E75A8"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方位</w:t>
            </w:r>
          </w:p>
        </w:tc>
        <w:tc>
          <w:tcPr>
            <w:tcW w:w="683" w:type="pct"/>
            <w:tcBorders>
              <w:right w:val="single" w:sz="4" w:space="0" w:color="auto"/>
            </w:tcBorders>
            <w:vAlign w:val="center"/>
          </w:tcPr>
          <w:p w14:paraId="73A48CBD"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距离</w:t>
            </w:r>
          </w:p>
        </w:tc>
        <w:tc>
          <w:tcPr>
            <w:tcW w:w="989" w:type="pct"/>
            <w:tcBorders>
              <w:top w:val="single" w:sz="4" w:space="0" w:color="auto"/>
              <w:left w:val="single" w:sz="4" w:space="0" w:color="auto"/>
              <w:right w:val="single" w:sz="4" w:space="0" w:color="auto"/>
            </w:tcBorders>
            <w:vAlign w:val="center"/>
          </w:tcPr>
          <w:p w14:paraId="0AB81F48"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备注</w:t>
            </w:r>
          </w:p>
        </w:tc>
      </w:tr>
      <w:tr w:rsidR="00E67914" w:rsidRPr="00E67914" w14:paraId="635A78AF" w14:textId="77777777" w:rsidTr="00106E6B">
        <w:trPr>
          <w:jc w:val="center"/>
        </w:trPr>
        <w:tc>
          <w:tcPr>
            <w:tcW w:w="510" w:type="pct"/>
            <w:vAlign w:val="center"/>
          </w:tcPr>
          <w:p w14:paraId="2CCF0DA2"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1#</w:t>
            </w:r>
          </w:p>
        </w:tc>
        <w:tc>
          <w:tcPr>
            <w:tcW w:w="2818" w:type="pct"/>
            <w:vAlign w:val="center"/>
          </w:tcPr>
          <w:p w14:paraId="1E4ACF94" w14:textId="0AA7981F" w:rsidR="00106E6B" w:rsidRPr="00E67914" w:rsidRDefault="00AF6E41">
            <w:pPr>
              <w:pStyle w:val="a8"/>
              <w:widowControl/>
              <w:snapToGrid w:val="0"/>
              <w:spacing w:line="240" w:lineRule="auto"/>
              <w:rPr>
                <w:rFonts w:ascii="Times New Roman" w:hAnsi="Times New Roman"/>
                <w:kern w:val="0"/>
                <w:szCs w:val="28"/>
              </w:rPr>
            </w:pPr>
            <w:r w:rsidRPr="00E67914">
              <w:rPr>
                <w:rFonts w:ascii="Times New Roman" w:hAnsi="Times New Roman"/>
                <w:szCs w:val="21"/>
              </w:rPr>
              <w:t>新</w:t>
            </w:r>
            <w:r w:rsidR="00106E6B" w:rsidRPr="00E67914">
              <w:rPr>
                <w:rFonts w:ascii="Times New Roman" w:hAnsi="Times New Roman"/>
                <w:szCs w:val="21"/>
              </w:rPr>
              <w:t>普陆页</w:t>
            </w:r>
            <w:r w:rsidR="00106E6B" w:rsidRPr="00E67914">
              <w:rPr>
                <w:rFonts w:ascii="Times New Roman" w:hAnsi="Times New Roman"/>
                <w:szCs w:val="21"/>
              </w:rPr>
              <w:t>2</w:t>
            </w:r>
            <w:r w:rsidR="00106E6B" w:rsidRPr="00E67914">
              <w:rPr>
                <w:rFonts w:ascii="Times New Roman" w:hAnsi="Times New Roman"/>
                <w:szCs w:val="21"/>
              </w:rPr>
              <w:t>井台拟建厂址中心</w:t>
            </w:r>
          </w:p>
        </w:tc>
        <w:tc>
          <w:tcPr>
            <w:tcW w:w="683" w:type="pct"/>
            <w:tcBorders>
              <w:right w:val="single" w:sz="4" w:space="0" w:color="auto"/>
            </w:tcBorders>
            <w:vAlign w:val="center"/>
          </w:tcPr>
          <w:p w14:paraId="370A1E6F" w14:textId="07D21219"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w:t>
            </w:r>
          </w:p>
        </w:tc>
        <w:tc>
          <w:tcPr>
            <w:tcW w:w="989" w:type="pct"/>
            <w:tcBorders>
              <w:left w:val="single" w:sz="4" w:space="0" w:color="auto"/>
              <w:right w:val="single" w:sz="4" w:space="0" w:color="auto"/>
            </w:tcBorders>
            <w:vAlign w:val="center"/>
          </w:tcPr>
          <w:p w14:paraId="1A3E4E9C" w14:textId="24F517FF"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厂址</w:t>
            </w:r>
          </w:p>
        </w:tc>
      </w:tr>
      <w:tr w:rsidR="00E67914" w:rsidRPr="00E67914" w14:paraId="095DE3ED" w14:textId="77777777" w:rsidTr="00106E6B">
        <w:trPr>
          <w:jc w:val="center"/>
        </w:trPr>
        <w:tc>
          <w:tcPr>
            <w:tcW w:w="510" w:type="pct"/>
            <w:vAlign w:val="center"/>
          </w:tcPr>
          <w:p w14:paraId="19E63180"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2#</w:t>
            </w:r>
          </w:p>
        </w:tc>
        <w:tc>
          <w:tcPr>
            <w:tcW w:w="2818" w:type="pct"/>
            <w:vAlign w:val="center"/>
          </w:tcPr>
          <w:p w14:paraId="2F05C5AE" w14:textId="5A839A54" w:rsidR="00106E6B" w:rsidRPr="00E67914" w:rsidRDefault="00AF6E41">
            <w:pPr>
              <w:pStyle w:val="a8"/>
              <w:widowControl/>
              <w:snapToGrid w:val="0"/>
              <w:spacing w:line="240" w:lineRule="auto"/>
              <w:rPr>
                <w:rFonts w:ascii="Times New Roman" w:hAnsi="Times New Roman"/>
                <w:kern w:val="0"/>
                <w:szCs w:val="28"/>
              </w:rPr>
            </w:pPr>
            <w:r w:rsidRPr="00E67914">
              <w:rPr>
                <w:rFonts w:ascii="Times New Roman" w:hAnsi="Times New Roman"/>
                <w:szCs w:val="21"/>
              </w:rPr>
              <w:t>新</w:t>
            </w:r>
            <w:r w:rsidR="00106E6B" w:rsidRPr="00E67914">
              <w:rPr>
                <w:rFonts w:ascii="Times New Roman" w:hAnsi="Times New Roman"/>
                <w:szCs w:val="21"/>
              </w:rPr>
              <w:t>普陆页</w:t>
            </w:r>
            <w:r w:rsidR="00106E6B" w:rsidRPr="00E67914">
              <w:rPr>
                <w:rFonts w:ascii="Times New Roman" w:hAnsi="Times New Roman"/>
                <w:szCs w:val="21"/>
              </w:rPr>
              <w:t>2</w:t>
            </w:r>
            <w:r w:rsidR="00106E6B" w:rsidRPr="00E67914">
              <w:rPr>
                <w:rFonts w:ascii="Times New Roman" w:hAnsi="Times New Roman"/>
                <w:szCs w:val="21"/>
              </w:rPr>
              <w:t>井台北侧约</w:t>
            </w:r>
            <w:r w:rsidR="00106E6B" w:rsidRPr="00E67914">
              <w:rPr>
                <w:rFonts w:ascii="Times New Roman" w:hAnsi="Times New Roman"/>
                <w:szCs w:val="21"/>
              </w:rPr>
              <w:t>60m</w:t>
            </w:r>
            <w:r w:rsidR="00106E6B" w:rsidRPr="00E67914">
              <w:rPr>
                <w:rFonts w:ascii="Times New Roman" w:hAnsi="Times New Roman"/>
                <w:szCs w:val="21"/>
              </w:rPr>
              <w:t>居民处</w:t>
            </w:r>
          </w:p>
        </w:tc>
        <w:tc>
          <w:tcPr>
            <w:tcW w:w="683" w:type="pct"/>
            <w:tcBorders>
              <w:right w:val="single" w:sz="4" w:space="0" w:color="auto"/>
            </w:tcBorders>
            <w:vAlign w:val="center"/>
          </w:tcPr>
          <w:p w14:paraId="0B7D774F" w14:textId="628B987D"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60m</w:t>
            </w:r>
          </w:p>
        </w:tc>
        <w:tc>
          <w:tcPr>
            <w:tcW w:w="989" w:type="pct"/>
            <w:tcBorders>
              <w:left w:val="single" w:sz="4" w:space="0" w:color="auto"/>
              <w:right w:val="single" w:sz="4" w:space="0" w:color="auto"/>
            </w:tcBorders>
            <w:vAlign w:val="center"/>
          </w:tcPr>
          <w:p w14:paraId="6756D608" w14:textId="5304663E"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居民点</w:t>
            </w:r>
          </w:p>
        </w:tc>
      </w:tr>
      <w:tr w:rsidR="00E67914" w:rsidRPr="00E67914" w14:paraId="627A88FF" w14:textId="77777777" w:rsidTr="00106E6B">
        <w:trPr>
          <w:jc w:val="center"/>
        </w:trPr>
        <w:tc>
          <w:tcPr>
            <w:tcW w:w="510" w:type="pct"/>
            <w:vAlign w:val="center"/>
          </w:tcPr>
          <w:p w14:paraId="2B13BB1A"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3#</w:t>
            </w:r>
          </w:p>
        </w:tc>
        <w:tc>
          <w:tcPr>
            <w:tcW w:w="2818" w:type="pct"/>
            <w:vAlign w:val="center"/>
          </w:tcPr>
          <w:p w14:paraId="2EFDAD89" w14:textId="05C463C8" w:rsidR="00106E6B" w:rsidRPr="00E67914" w:rsidRDefault="00AF6E41">
            <w:pPr>
              <w:pStyle w:val="a8"/>
              <w:widowControl/>
              <w:snapToGrid w:val="0"/>
              <w:spacing w:line="240" w:lineRule="auto"/>
              <w:rPr>
                <w:rFonts w:ascii="Times New Roman" w:hAnsi="Times New Roman"/>
                <w:kern w:val="0"/>
                <w:szCs w:val="28"/>
              </w:rPr>
            </w:pPr>
            <w:r w:rsidRPr="00E67914">
              <w:rPr>
                <w:rFonts w:ascii="Times New Roman" w:hAnsi="Times New Roman"/>
                <w:szCs w:val="21"/>
              </w:rPr>
              <w:t>新</w:t>
            </w:r>
            <w:r w:rsidR="00106E6B" w:rsidRPr="00E67914">
              <w:rPr>
                <w:rFonts w:ascii="Times New Roman" w:hAnsi="Times New Roman"/>
                <w:szCs w:val="21"/>
              </w:rPr>
              <w:t>普陆页</w:t>
            </w:r>
            <w:r w:rsidR="00106E6B" w:rsidRPr="00E67914">
              <w:rPr>
                <w:rFonts w:ascii="Times New Roman" w:hAnsi="Times New Roman"/>
                <w:szCs w:val="21"/>
              </w:rPr>
              <w:t>2</w:t>
            </w:r>
            <w:r w:rsidR="00106E6B" w:rsidRPr="00E67914">
              <w:rPr>
                <w:rFonts w:ascii="Times New Roman" w:hAnsi="Times New Roman"/>
                <w:szCs w:val="21"/>
              </w:rPr>
              <w:t>井台西侧约</w:t>
            </w:r>
            <w:r w:rsidR="00106E6B" w:rsidRPr="00E67914">
              <w:rPr>
                <w:rFonts w:ascii="Times New Roman" w:hAnsi="Times New Roman"/>
                <w:szCs w:val="21"/>
              </w:rPr>
              <w:t>120m</w:t>
            </w:r>
            <w:r w:rsidR="00106E6B" w:rsidRPr="00E67914">
              <w:rPr>
                <w:rFonts w:ascii="Times New Roman" w:hAnsi="Times New Roman"/>
                <w:szCs w:val="21"/>
              </w:rPr>
              <w:t>居民处</w:t>
            </w:r>
          </w:p>
        </w:tc>
        <w:tc>
          <w:tcPr>
            <w:tcW w:w="683" w:type="pct"/>
            <w:tcBorders>
              <w:right w:val="single" w:sz="4" w:space="0" w:color="auto"/>
            </w:tcBorders>
            <w:vAlign w:val="center"/>
          </w:tcPr>
          <w:p w14:paraId="54F7397C" w14:textId="11164BA9"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120m</w:t>
            </w:r>
          </w:p>
        </w:tc>
        <w:tc>
          <w:tcPr>
            <w:tcW w:w="989" w:type="pct"/>
            <w:tcBorders>
              <w:left w:val="single" w:sz="4" w:space="0" w:color="auto"/>
              <w:right w:val="single" w:sz="4" w:space="0" w:color="auto"/>
            </w:tcBorders>
            <w:vAlign w:val="center"/>
          </w:tcPr>
          <w:p w14:paraId="2B652649" w14:textId="3D02BF26"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居民点</w:t>
            </w:r>
          </w:p>
        </w:tc>
      </w:tr>
      <w:tr w:rsidR="00E67914" w:rsidRPr="00E67914" w14:paraId="4DC4C991" w14:textId="77777777" w:rsidTr="00106E6B">
        <w:trPr>
          <w:jc w:val="center"/>
        </w:trPr>
        <w:tc>
          <w:tcPr>
            <w:tcW w:w="510" w:type="pct"/>
            <w:vAlign w:val="center"/>
          </w:tcPr>
          <w:p w14:paraId="54D34D85"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4#</w:t>
            </w:r>
          </w:p>
        </w:tc>
        <w:tc>
          <w:tcPr>
            <w:tcW w:w="2818" w:type="pct"/>
            <w:vAlign w:val="center"/>
          </w:tcPr>
          <w:p w14:paraId="4951DBD4" w14:textId="652490B5"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试采站东侧边界外</w:t>
            </w:r>
            <w:r w:rsidRPr="00E67914">
              <w:rPr>
                <w:rFonts w:ascii="Times New Roman" w:hAnsi="Times New Roman"/>
                <w:szCs w:val="21"/>
              </w:rPr>
              <w:t>1m</w:t>
            </w:r>
            <w:r w:rsidRPr="00E67914">
              <w:rPr>
                <w:rFonts w:ascii="Times New Roman" w:hAnsi="Times New Roman"/>
                <w:szCs w:val="21"/>
              </w:rPr>
              <w:t>处</w:t>
            </w:r>
          </w:p>
        </w:tc>
        <w:tc>
          <w:tcPr>
            <w:tcW w:w="683" w:type="pct"/>
            <w:tcBorders>
              <w:right w:val="single" w:sz="4" w:space="0" w:color="auto"/>
            </w:tcBorders>
            <w:vAlign w:val="center"/>
          </w:tcPr>
          <w:p w14:paraId="646B3F29"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1m</w:t>
            </w:r>
          </w:p>
        </w:tc>
        <w:tc>
          <w:tcPr>
            <w:tcW w:w="989" w:type="pct"/>
            <w:vMerge w:val="restart"/>
            <w:tcBorders>
              <w:left w:val="single" w:sz="4" w:space="0" w:color="auto"/>
              <w:right w:val="single" w:sz="4" w:space="0" w:color="auto"/>
            </w:tcBorders>
            <w:vAlign w:val="center"/>
          </w:tcPr>
          <w:p w14:paraId="0162FE5C" w14:textId="06BABD34"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厂界，监测时未施工，且未涉及运营</w:t>
            </w:r>
          </w:p>
        </w:tc>
      </w:tr>
      <w:tr w:rsidR="00E67914" w:rsidRPr="00E67914" w14:paraId="6C3A75E8" w14:textId="77777777" w:rsidTr="00106E6B">
        <w:trPr>
          <w:jc w:val="center"/>
        </w:trPr>
        <w:tc>
          <w:tcPr>
            <w:tcW w:w="510" w:type="pct"/>
            <w:vAlign w:val="center"/>
          </w:tcPr>
          <w:p w14:paraId="674A3D31"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5#</w:t>
            </w:r>
          </w:p>
        </w:tc>
        <w:tc>
          <w:tcPr>
            <w:tcW w:w="2818" w:type="pct"/>
            <w:vAlign w:val="center"/>
          </w:tcPr>
          <w:p w14:paraId="261A685B" w14:textId="694EEDCB"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试采站南侧边界外</w:t>
            </w:r>
            <w:r w:rsidRPr="00E67914">
              <w:rPr>
                <w:rFonts w:ascii="Times New Roman" w:hAnsi="Times New Roman"/>
                <w:szCs w:val="21"/>
              </w:rPr>
              <w:t>1m</w:t>
            </w:r>
            <w:r w:rsidRPr="00E67914">
              <w:rPr>
                <w:rFonts w:ascii="Times New Roman" w:hAnsi="Times New Roman"/>
                <w:szCs w:val="21"/>
              </w:rPr>
              <w:t>处</w:t>
            </w:r>
          </w:p>
        </w:tc>
        <w:tc>
          <w:tcPr>
            <w:tcW w:w="683" w:type="pct"/>
            <w:tcBorders>
              <w:right w:val="single" w:sz="4" w:space="0" w:color="auto"/>
            </w:tcBorders>
            <w:vAlign w:val="center"/>
          </w:tcPr>
          <w:p w14:paraId="5E221F95" w14:textId="66A10F5A"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1m</w:t>
            </w:r>
          </w:p>
        </w:tc>
        <w:tc>
          <w:tcPr>
            <w:tcW w:w="989" w:type="pct"/>
            <w:vMerge/>
            <w:tcBorders>
              <w:left w:val="single" w:sz="4" w:space="0" w:color="auto"/>
              <w:right w:val="single" w:sz="4" w:space="0" w:color="auto"/>
            </w:tcBorders>
            <w:vAlign w:val="center"/>
          </w:tcPr>
          <w:p w14:paraId="5E227DA1" w14:textId="759B22D3" w:rsidR="00106E6B" w:rsidRPr="00E67914" w:rsidRDefault="00106E6B">
            <w:pPr>
              <w:pStyle w:val="a8"/>
              <w:widowControl/>
              <w:snapToGrid w:val="0"/>
              <w:spacing w:line="240" w:lineRule="auto"/>
              <w:rPr>
                <w:rFonts w:ascii="Times New Roman" w:hAnsi="Times New Roman"/>
                <w:kern w:val="0"/>
                <w:szCs w:val="28"/>
              </w:rPr>
            </w:pPr>
          </w:p>
        </w:tc>
      </w:tr>
      <w:tr w:rsidR="00E67914" w:rsidRPr="00E67914" w14:paraId="5EC7A446" w14:textId="77777777" w:rsidTr="00106E6B">
        <w:trPr>
          <w:jc w:val="center"/>
        </w:trPr>
        <w:tc>
          <w:tcPr>
            <w:tcW w:w="510" w:type="pct"/>
            <w:vAlign w:val="center"/>
          </w:tcPr>
          <w:p w14:paraId="7EE422DC" w14:textId="77777777"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6#</w:t>
            </w:r>
          </w:p>
        </w:tc>
        <w:tc>
          <w:tcPr>
            <w:tcW w:w="2818" w:type="pct"/>
            <w:vAlign w:val="center"/>
          </w:tcPr>
          <w:p w14:paraId="111A3E45" w14:textId="753CF7A0" w:rsidR="00106E6B" w:rsidRPr="00E67914" w:rsidRDefault="00106E6B">
            <w:pPr>
              <w:pStyle w:val="a8"/>
              <w:widowControl/>
              <w:snapToGrid w:val="0"/>
              <w:spacing w:line="240" w:lineRule="auto"/>
              <w:rPr>
                <w:rFonts w:ascii="Times New Roman" w:hAnsi="Times New Roman"/>
                <w:kern w:val="0"/>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试采站西侧边界外</w:t>
            </w:r>
            <w:r w:rsidRPr="00E67914">
              <w:rPr>
                <w:rFonts w:ascii="Times New Roman" w:hAnsi="Times New Roman"/>
                <w:szCs w:val="21"/>
              </w:rPr>
              <w:t>1m</w:t>
            </w:r>
            <w:r w:rsidRPr="00E67914">
              <w:rPr>
                <w:rFonts w:ascii="Times New Roman" w:hAnsi="Times New Roman"/>
                <w:szCs w:val="21"/>
              </w:rPr>
              <w:t>处</w:t>
            </w:r>
          </w:p>
        </w:tc>
        <w:tc>
          <w:tcPr>
            <w:tcW w:w="683" w:type="pct"/>
            <w:tcBorders>
              <w:right w:val="single" w:sz="4" w:space="0" w:color="auto"/>
            </w:tcBorders>
            <w:vAlign w:val="center"/>
          </w:tcPr>
          <w:p w14:paraId="36D3A9B8" w14:textId="0AA7F6D1"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1m</w:t>
            </w:r>
          </w:p>
        </w:tc>
        <w:tc>
          <w:tcPr>
            <w:tcW w:w="989" w:type="pct"/>
            <w:vMerge/>
            <w:tcBorders>
              <w:left w:val="single" w:sz="4" w:space="0" w:color="auto"/>
              <w:right w:val="single" w:sz="4" w:space="0" w:color="auto"/>
            </w:tcBorders>
            <w:vAlign w:val="center"/>
          </w:tcPr>
          <w:p w14:paraId="7122CAB6" w14:textId="68D79842" w:rsidR="00106E6B" w:rsidRPr="00E67914" w:rsidRDefault="00106E6B">
            <w:pPr>
              <w:pStyle w:val="a8"/>
              <w:widowControl/>
              <w:snapToGrid w:val="0"/>
              <w:spacing w:line="240" w:lineRule="auto"/>
              <w:rPr>
                <w:rFonts w:ascii="Times New Roman" w:hAnsi="Times New Roman"/>
                <w:kern w:val="0"/>
                <w:szCs w:val="28"/>
              </w:rPr>
            </w:pPr>
          </w:p>
        </w:tc>
      </w:tr>
      <w:tr w:rsidR="00E67914" w:rsidRPr="00E67914" w14:paraId="5D3B3789" w14:textId="77777777" w:rsidTr="00106E6B">
        <w:trPr>
          <w:jc w:val="center"/>
        </w:trPr>
        <w:tc>
          <w:tcPr>
            <w:tcW w:w="510" w:type="pct"/>
            <w:vAlign w:val="center"/>
          </w:tcPr>
          <w:p w14:paraId="419C51EA" w14:textId="79E177A9"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7#</w:t>
            </w:r>
          </w:p>
        </w:tc>
        <w:tc>
          <w:tcPr>
            <w:tcW w:w="2818" w:type="pct"/>
            <w:vAlign w:val="center"/>
          </w:tcPr>
          <w:p w14:paraId="24FF44E4" w14:textId="43CE7D81" w:rsidR="00106E6B" w:rsidRPr="00E67914" w:rsidRDefault="00106E6B">
            <w:pPr>
              <w:pStyle w:val="a8"/>
              <w:widowControl/>
              <w:snapToGrid w:val="0"/>
              <w:spacing w:line="240" w:lineRule="auto"/>
              <w:rPr>
                <w:rFonts w:ascii="Times New Roman" w:hAnsi="Times New Roman"/>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试采站北侧边界外</w:t>
            </w:r>
            <w:r w:rsidRPr="00E67914">
              <w:rPr>
                <w:rFonts w:ascii="Times New Roman" w:hAnsi="Times New Roman"/>
                <w:szCs w:val="21"/>
              </w:rPr>
              <w:t>1m</w:t>
            </w:r>
            <w:r w:rsidRPr="00E67914">
              <w:rPr>
                <w:rFonts w:ascii="Times New Roman" w:hAnsi="Times New Roman"/>
                <w:szCs w:val="21"/>
              </w:rPr>
              <w:t>处</w:t>
            </w:r>
          </w:p>
        </w:tc>
        <w:tc>
          <w:tcPr>
            <w:tcW w:w="683" w:type="pct"/>
            <w:tcBorders>
              <w:right w:val="single" w:sz="4" w:space="0" w:color="auto"/>
            </w:tcBorders>
            <w:vAlign w:val="center"/>
          </w:tcPr>
          <w:p w14:paraId="7002B239" w14:textId="68B455FD"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1m</w:t>
            </w:r>
          </w:p>
        </w:tc>
        <w:tc>
          <w:tcPr>
            <w:tcW w:w="989" w:type="pct"/>
            <w:vMerge/>
            <w:tcBorders>
              <w:left w:val="single" w:sz="4" w:space="0" w:color="auto"/>
              <w:right w:val="single" w:sz="4" w:space="0" w:color="auto"/>
            </w:tcBorders>
            <w:vAlign w:val="center"/>
          </w:tcPr>
          <w:p w14:paraId="327C14EB" w14:textId="77777777" w:rsidR="00106E6B" w:rsidRPr="00E67914" w:rsidRDefault="00106E6B">
            <w:pPr>
              <w:pStyle w:val="a8"/>
              <w:widowControl/>
              <w:snapToGrid w:val="0"/>
              <w:spacing w:line="240" w:lineRule="auto"/>
              <w:rPr>
                <w:rFonts w:ascii="Times New Roman" w:hAnsi="Times New Roman"/>
                <w:kern w:val="0"/>
                <w:szCs w:val="28"/>
              </w:rPr>
            </w:pPr>
          </w:p>
        </w:tc>
      </w:tr>
      <w:tr w:rsidR="00E67914" w:rsidRPr="00E67914" w14:paraId="5F44F2DB" w14:textId="77777777" w:rsidTr="00106E6B">
        <w:trPr>
          <w:jc w:val="center"/>
        </w:trPr>
        <w:tc>
          <w:tcPr>
            <w:tcW w:w="510" w:type="pct"/>
            <w:vAlign w:val="center"/>
          </w:tcPr>
          <w:p w14:paraId="0B306F62" w14:textId="1793FD4C"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lastRenderedPageBreak/>
              <w:t>8#</w:t>
            </w:r>
          </w:p>
        </w:tc>
        <w:tc>
          <w:tcPr>
            <w:tcW w:w="2818" w:type="pct"/>
            <w:vAlign w:val="center"/>
          </w:tcPr>
          <w:p w14:paraId="5C2DA79D" w14:textId="7C768C52" w:rsidR="00106E6B" w:rsidRPr="00E67914" w:rsidRDefault="00106E6B">
            <w:pPr>
              <w:pStyle w:val="a8"/>
              <w:widowControl/>
              <w:snapToGrid w:val="0"/>
              <w:spacing w:line="240" w:lineRule="auto"/>
              <w:rPr>
                <w:rFonts w:ascii="Times New Roman" w:hAnsi="Times New Roman"/>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试采站东侧约</w:t>
            </w:r>
            <w:r w:rsidRPr="00E67914">
              <w:rPr>
                <w:rFonts w:ascii="Times New Roman" w:hAnsi="Times New Roman"/>
                <w:szCs w:val="21"/>
              </w:rPr>
              <w:t>90m</w:t>
            </w:r>
            <w:r w:rsidRPr="00E67914">
              <w:rPr>
                <w:rFonts w:ascii="Times New Roman" w:hAnsi="Times New Roman"/>
                <w:szCs w:val="21"/>
              </w:rPr>
              <w:t>居民房门外</w:t>
            </w:r>
            <w:r w:rsidRPr="00E67914">
              <w:rPr>
                <w:rFonts w:ascii="Times New Roman" w:hAnsi="Times New Roman"/>
                <w:szCs w:val="21"/>
              </w:rPr>
              <w:t>1m</w:t>
            </w:r>
            <w:r w:rsidRPr="00E67914">
              <w:rPr>
                <w:rFonts w:ascii="Times New Roman" w:hAnsi="Times New Roman"/>
                <w:szCs w:val="21"/>
              </w:rPr>
              <w:t>处</w:t>
            </w:r>
          </w:p>
        </w:tc>
        <w:tc>
          <w:tcPr>
            <w:tcW w:w="683" w:type="pct"/>
            <w:tcBorders>
              <w:right w:val="single" w:sz="4" w:space="0" w:color="auto"/>
            </w:tcBorders>
            <w:vAlign w:val="center"/>
          </w:tcPr>
          <w:p w14:paraId="5E8427E5" w14:textId="1F3511A9"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90m</w:t>
            </w:r>
          </w:p>
        </w:tc>
        <w:tc>
          <w:tcPr>
            <w:tcW w:w="989" w:type="pct"/>
            <w:tcBorders>
              <w:left w:val="single" w:sz="4" w:space="0" w:color="auto"/>
              <w:right w:val="single" w:sz="4" w:space="0" w:color="auto"/>
            </w:tcBorders>
            <w:vAlign w:val="center"/>
          </w:tcPr>
          <w:p w14:paraId="0EFB71AF" w14:textId="10329DAF"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居民点</w:t>
            </w:r>
          </w:p>
        </w:tc>
      </w:tr>
      <w:tr w:rsidR="00E67914" w:rsidRPr="00E67914" w14:paraId="1E0BD1E0" w14:textId="77777777" w:rsidTr="00106E6B">
        <w:trPr>
          <w:jc w:val="center"/>
        </w:trPr>
        <w:tc>
          <w:tcPr>
            <w:tcW w:w="510" w:type="pct"/>
            <w:vAlign w:val="center"/>
          </w:tcPr>
          <w:p w14:paraId="4B702083" w14:textId="0DA84401"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9#</w:t>
            </w:r>
          </w:p>
        </w:tc>
        <w:tc>
          <w:tcPr>
            <w:tcW w:w="2818" w:type="pct"/>
            <w:vAlign w:val="center"/>
          </w:tcPr>
          <w:p w14:paraId="279C0E8B" w14:textId="27F5E0FE" w:rsidR="00106E6B" w:rsidRPr="00E67914" w:rsidRDefault="00106E6B">
            <w:pPr>
              <w:pStyle w:val="a8"/>
              <w:widowControl/>
              <w:snapToGrid w:val="0"/>
              <w:spacing w:line="240" w:lineRule="auto"/>
              <w:rPr>
                <w:rFonts w:ascii="Times New Roman" w:hAnsi="Times New Roman"/>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w:t>
            </w:r>
            <w:r w:rsidRPr="00E67914">
              <w:rPr>
                <w:rFonts w:ascii="Times New Roman" w:hAnsi="Times New Roman"/>
                <w:szCs w:val="21"/>
              </w:rPr>
              <w:t>~P302</w:t>
            </w:r>
            <w:r w:rsidRPr="00E67914">
              <w:rPr>
                <w:rFonts w:ascii="Times New Roman" w:hAnsi="Times New Roman"/>
                <w:szCs w:val="21"/>
              </w:rPr>
              <w:t>集气站外输管线西侧约</w:t>
            </w:r>
            <w:r w:rsidRPr="00E67914">
              <w:rPr>
                <w:rFonts w:ascii="Times New Roman" w:hAnsi="Times New Roman"/>
                <w:szCs w:val="21"/>
              </w:rPr>
              <w:t>180m</w:t>
            </w:r>
            <w:r w:rsidRPr="00E67914">
              <w:rPr>
                <w:rFonts w:ascii="Times New Roman" w:hAnsi="Times New Roman"/>
                <w:szCs w:val="21"/>
              </w:rPr>
              <w:t>居民房门外</w:t>
            </w:r>
            <w:r w:rsidRPr="00E67914">
              <w:rPr>
                <w:rFonts w:ascii="Times New Roman" w:hAnsi="Times New Roman"/>
                <w:szCs w:val="21"/>
              </w:rPr>
              <w:t>1m</w:t>
            </w:r>
            <w:r w:rsidRPr="00E67914">
              <w:rPr>
                <w:rFonts w:ascii="Times New Roman" w:hAnsi="Times New Roman"/>
                <w:szCs w:val="21"/>
              </w:rPr>
              <w:t>处</w:t>
            </w:r>
          </w:p>
        </w:tc>
        <w:tc>
          <w:tcPr>
            <w:tcW w:w="683" w:type="pct"/>
            <w:tcBorders>
              <w:right w:val="single" w:sz="4" w:space="0" w:color="auto"/>
            </w:tcBorders>
            <w:vAlign w:val="center"/>
          </w:tcPr>
          <w:p w14:paraId="28E6B2E1" w14:textId="18350CE0"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180m</w:t>
            </w:r>
          </w:p>
        </w:tc>
        <w:tc>
          <w:tcPr>
            <w:tcW w:w="989" w:type="pct"/>
            <w:tcBorders>
              <w:left w:val="single" w:sz="4" w:space="0" w:color="auto"/>
              <w:right w:val="single" w:sz="4" w:space="0" w:color="auto"/>
            </w:tcBorders>
            <w:vAlign w:val="center"/>
          </w:tcPr>
          <w:p w14:paraId="3569270C" w14:textId="00D7FAC6" w:rsidR="00106E6B" w:rsidRPr="00E67914" w:rsidRDefault="00106E6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居民点</w:t>
            </w:r>
          </w:p>
        </w:tc>
      </w:tr>
    </w:tbl>
    <w:p w14:paraId="2BF5EA85" w14:textId="77777777" w:rsidR="00A54A8A" w:rsidRPr="00E67914" w:rsidRDefault="00000000">
      <w:pPr>
        <w:pStyle w:val="af"/>
        <w:adjustRightInd w:val="0"/>
        <w:snapToGrid w:val="0"/>
        <w:spacing w:beforeLines="50" w:before="12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监测因子：连续</w:t>
      </w:r>
      <w:r w:rsidRPr="00E67914">
        <w:rPr>
          <w:rFonts w:ascii="Times New Roman" w:hAnsi="Times New Roman"/>
          <w:bCs/>
          <w:kern w:val="2"/>
          <w:lang w:eastAsia="zh-CN"/>
        </w:rPr>
        <w:t>A</w:t>
      </w:r>
      <w:r w:rsidRPr="00E67914">
        <w:rPr>
          <w:rFonts w:ascii="Times New Roman" w:hAnsi="Times New Roman"/>
          <w:bCs/>
          <w:kern w:val="2"/>
          <w:lang w:eastAsia="zh-CN"/>
        </w:rPr>
        <w:t>声级。</w:t>
      </w:r>
    </w:p>
    <w:p w14:paraId="1432C909" w14:textId="1B5C8E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监测频率及时间：连续</w:t>
      </w:r>
      <w:r w:rsidRPr="00E67914">
        <w:rPr>
          <w:rFonts w:ascii="Times New Roman" w:hAnsi="Times New Roman"/>
          <w:bCs/>
          <w:kern w:val="2"/>
          <w:lang w:eastAsia="zh-CN"/>
        </w:rPr>
        <w:t>2</w:t>
      </w:r>
      <w:r w:rsidRPr="00E67914">
        <w:rPr>
          <w:rFonts w:ascii="Times New Roman" w:hAnsi="Times New Roman"/>
          <w:bCs/>
          <w:kern w:val="2"/>
          <w:lang w:eastAsia="zh-CN"/>
        </w:rPr>
        <w:t>天，每天昼、夜间各一次，监测时</w:t>
      </w:r>
      <w:r w:rsidR="00FB229B" w:rsidRPr="00E67914">
        <w:rPr>
          <w:rFonts w:ascii="Times New Roman" w:hAnsi="Times New Roman"/>
          <w:bCs/>
          <w:kern w:val="2"/>
          <w:lang w:eastAsia="zh-CN"/>
        </w:rPr>
        <w:t>原普陆页</w:t>
      </w:r>
      <w:r w:rsidR="00FB229B" w:rsidRPr="00E67914">
        <w:rPr>
          <w:rFonts w:ascii="Times New Roman" w:hAnsi="Times New Roman"/>
          <w:bCs/>
          <w:kern w:val="2"/>
          <w:lang w:eastAsia="zh-CN"/>
        </w:rPr>
        <w:t>2</w:t>
      </w:r>
      <w:r w:rsidR="00FB229B" w:rsidRPr="00E67914">
        <w:rPr>
          <w:rFonts w:ascii="Times New Roman" w:hAnsi="Times New Roman"/>
          <w:bCs/>
          <w:kern w:val="2"/>
          <w:lang w:eastAsia="zh-CN"/>
        </w:rPr>
        <w:t>井场（普陆页</w:t>
      </w:r>
      <w:r w:rsidR="00FB229B" w:rsidRPr="00E67914">
        <w:rPr>
          <w:rFonts w:ascii="Times New Roman" w:hAnsi="Times New Roman"/>
          <w:bCs/>
          <w:kern w:val="2"/>
          <w:lang w:eastAsia="zh-CN"/>
        </w:rPr>
        <w:t>2</w:t>
      </w:r>
      <w:r w:rsidR="00FB229B" w:rsidRPr="00E67914">
        <w:rPr>
          <w:rFonts w:ascii="Times New Roman" w:hAnsi="Times New Roman"/>
          <w:bCs/>
          <w:kern w:val="2"/>
          <w:lang w:eastAsia="zh-CN"/>
        </w:rPr>
        <w:t>试采站）未施工</w:t>
      </w:r>
      <w:r w:rsidRPr="00E67914">
        <w:rPr>
          <w:rFonts w:ascii="Times New Roman" w:hAnsi="Times New Roman"/>
          <w:bCs/>
          <w:kern w:val="2"/>
          <w:lang w:eastAsia="zh-CN"/>
        </w:rPr>
        <w:t>，无明显的噪声源，能基本代表区域声环境质量状况，监测方法按《声环境质量标准》（</w:t>
      </w:r>
      <w:r w:rsidRPr="00E67914">
        <w:rPr>
          <w:rFonts w:ascii="Times New Roman" w:hAnsi="Times New Roman"/>
          <w:bCs/>
          <w:kern w:val="2"/>
          <w:lang w:eastAsia="zh-CN"/>
        </w:rPr>
        <w:t>GB3096-2008</w:t>
      </w:r>
      <w:r w:rsidRPr="00E67914">
        <w:rPr>
          <w:rFonts w:ascii="Times New Roman" w:hAnsi="Times New Roman"/>
          <w:bCs/>
          <w:kern w:val="2"/>
          <w:lang w:eastAsia="zh-CN"/>
        </w:rPr>
        <w:t>）中规定测量方法进行。</w:t>
      </w:r>
    </w:p>
    <w:p w14:paraId="7B571424" w14:textId="54D87E05"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监测工况：现场监测时</w:t>
      </w:r>
      <w:r w:rsidR="00FB229B" w:rsidRPr="00E67914">
        <w:rPr>
          <w:rFonts w:ascii="Times New Roman" w:hAnsi="Times New Roman"/>
          <w:bCs/>
          <w:kern w:val="2"/>
          <w:lang w:eastAsia="zh-CN"/>
        </w:rPr>
        <w:t>原普陆页</w:t>
      </w:r>
      <w:r w:rsidR="00FB229B" w:rsidRPr="00E67914">
        <w:rPr>
          <w:rFonts w:ascii="Times New Roman" w:hAnsi="Times New Roman"/>
          <w:bCs/>
          <w:kern w:val="2"/>
          <w:lang w:eastAsia="zh-CN"/>
        </w:rPr>
        <w:t>2</w:t>
      </w:r>
      <w:r w:rsidR="00FB229B" w:rsidRPr="00E67914">
        <w:rPr>
          <w:rFonts w:ascii="Times New Roman" w:hAnsi="Times New Roman"/>
          <w:bCs/>
          <w:kern w:val="2"/>
          <w:lang w:eastAsia="zh-CN"/>
        </w:rPr>
        <w:t>井场（普陆页</w:t>
      </w:r>
      <w:r w:rsidR="00FB229B" w:rsidRPr="00E67914">
        <w:rPr>
          <w:rFonts w:ascii="Times New Roman" w:hAnsi="Times New Roman"/>
          <w:bCs/>
          <w:kern w:val="2"/>
          <w:lang w:eastAsia="zh-CN"/>
        </w:rPr>
        <w:t>2</w:t>
      </w:r>
      <w:r w:rsidR="00FB229B" w:rsidRPr="00E67914">
        <w:rPr>
          <w:rFonts w:ascii="Times New Roman" w:hAnsi="Times New Roman"/>
          <w:bCs/>
          <w:kern w:val="2"/>
          <w:lang w:eastAsia="zh-CN"/>
        </w:rPr>
        <w:t>试采站）</w:t>
      </w:r>
      <w:r w:rsidRPr="00E67914">
        <w:rPr>
          <w:rFonts w:ascii="Times New Roman" w:hAnsi="Times New Roman"/>
          <w:bCs/>
          <w:kern w:val="2"/>
          <w:lang w:eastAsia="zh-CN"/>
        </w:rPr>
        <w:t>内无任何生产、生活与施工活动，站内无各类产噪设施设备，处于当地环境本底值的监测工况。</w:t>
      </w:r>
    </w:p>
    <w:p w14:paraId="56AC99EB"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2</w:t>
      </w:r>
      <w:r w:rsidRPr="00E67914">
        <w:rPr>
          <w:rFonts w:ascii="Times New Roman" w:hAnsi="Times New Roman"/>
          <w:b/>
          <w:kern w:val="2"/>
          <w:lang w:eastAsia="zh-CN"/>
        </w:rPr>
        <w:t>）监测及评价结果</w:t>
      </w:r>
    </w:p>
    <w:p w14:paraId="3699BB7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监测及评价结果见表</w:t>
      </w:r>
      <w:r w:rsidRPr="00E67914">
        <w:rPr>
          <w:rFonts w:ascii="Times New Roman" w:hAnsi="Times New Roman"/>
          <w:bCs/>
          <w:kern w:val="2"/>
          <w:lang w:eastAsia="zh-CN"/>
        </w:rPr>
        <w:t>4.2-5</w:t>
      </w:r>
      <w:r w:rsidRPr="00E67914">
        <w:rPr>
          <w:rFonts w:ascii="Times New Roman" w:hAnsi="Times New Roman"/>
          <w:bCs/>
          <w:kern w:val="2"/>
          <w:lang w:eastAsia="zh-CN"/>
        </w:rPr>
        <w:t>。</w:t>
      </w:r>
    </w:p>
    <w:p w14:paraId="42BA9290"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4.2-5  </w:t>
      </w:r>
      <w:r w:rsidRPr="00E67914">
        <w:rPr>
          <w:rFonts w:ascii="Times New Roman" w:eastAsia="黑体" w:hAnsi="Times New Roman"/>
          <w:sz w:val="21"/>
          <w:szCs w:val="21"/>
          <w:lang w:eastAsia="zh-CN"/>
        </w:rPr>
        <w:t>环境噪声监测结果（单位：</w:t>
      </w:r>
      <w:r w:rsidRPr="00E67914">
        <w:rPr>
          <w:rFonts w:ascii="Times New Roman" w:eastAsia="黑体" w:hAnsi="Times New Roman"/>
          <w:sz w:val="21"/>
          <w:szCs w:val="21"/>
          <w:lang w:eastAsia="zh-CN"/>
        </w:rPr>
        <w:t>dB</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A</w:t>
      </w:r>
      <w:r w:rsidRPr="00E67914">
        <w:rPr>
          <w:rFonts w:ascii="Times New Roman" w:eastAsia="黑体" w:hAnsi="Times New Roman"/>
          <w:sz w:val="21"/>
          <w:szCs w:val="21"/>
          <w:lang w:eastAsia="zh-CN"/>
        </w:rPr>
        <w:t>））</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2268"/>
        <w:gridCol w:w="957"/>
        <w:gridCol w:w="957"/>
        <w:gridCol w:w="957"/>
        <w:gridCol w:w="957"/>
        <w:gridCol w:w="1564"/>
      </w:tblGrid>
      <w:tr w:rsidR="002662E3" w:rsidRPr="00E67914" w14:paraId="2C7D6410" w14:textId="77777777">
        <w:trPr>
          <w:jc w:val="center"/>
        </w:trPr>
        <w:tc>
          <w:tcPr>
            <w:tcW w:w="562" w:type="dxa"/>
            <w:vAlign w:val="center"/>
          </w:tcPr>
          <w:p w14:paraId="0A956439" w14:textId="77777777" w:rsidR="00A54A8A" w:rsidRPr="00E67914" w:rsidRDefault="00000000">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编号</w:t>
            </w:r>
          </w:p>
        </w:tc>
        <w:tc>
          <w:tcPr>
            <w:tcW w:w="2268" w:type="dxa"/>
            <w:vAlign w:val="center"/>
          </w:tcPr>
          <w:p w14:paraId="2032A43E" w14:textId="77777777" w:rsidR="00A54A8A" w:rsidRPr="00E67914" w:rsidRDefault="00000000">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监测日期</w:t>
            </w:r>
          </w:p>
        </w:tc>
        <w:tc>
          <w:tcPr>
            <w:tcW w:w="957" w:type="dxa"/>
            <w:vAlign w:val="center"/>
          </w:tcPr>
          <w:p w14:paraId="51D3A794" w14:textId="3F37A25A" w:rsidR="00A54A8A" w:rsidRPr="00E67914" w:rsidRDefault="00FB229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8.10~8.11</w:t>
            </w:r>
            <w:r w:rsidRPr="00E67914">
              <w:rPr>
                <w:rFonts w:ascii="Times New Roman" w:hAnsi="Times New Roman"/>
                <w:kern w:val="0"/>
                <w:szCs w:val="28"/>
              </w:rPr>
              <w:t>昼间</w:t>
            </w:r>
          </w:p>
        </w:tc>
        <w:tc>
          <w:tcPr>
            <w:tcW w:w="957" w:type="dxa"/>
            <w:vAlign w:val="center"/>
          </w:tcPr>
          <w:p w14:paraId="3FD0B66D" w14:textId="7CA1AEFE" w:rsidR="00A54A8A" w:rsidRPr="00E67914" w:rsidRDefault="00FB229B">
            <w:pPr>
              <w:pStyle w:val="a8"/>
              <w:snapToGrid w:val="0"/>
              <w:spacing w:line="240" w:lineRule="auto"/>
              <w:rPr>
                <w:rFonts w:ascii="Times New Roman" w:hAnsi="Times New Roman"/>
                <w:kern w:val="0"/>
                <w:szCs w:val="28"/>
              </w:rPr>
            </w:pPr>
            <w:r w:rsidRPr="00E67914">
              <w:rPr>
                <w:rFonts w:ascii="Times New Roman" w:hAnsi="Times New Roman"/>
                <w:kern w:val="0"/>
                <w:szCs w:val="28"/>
              </w:rPr>
              <w:t>8.10~8.11</w:t>
            </w:r>
            <w:r w:rsidRPr="00E67914">
              <w:rPr>
                <w:rFonts w:ascii="Times New Roman" w:hAnsi="Times New Roman"/>
                <w:kern w:val="0"/>
                <w:szCs w:val="28"/>
              </w:rPr>
              <w:t>夜间</w:t>
            </w:r>
          </w:p>
        </w:tc>
        <w:tc>
          <w:tcPr>
            <w:tcW w:w="957" w:type="dxa"/>
            <w:vAlign w:val="center"/>
          </w:tcPr>
          <w:p w14:paraId="44F34F63" w14:textId="2CC366C1" w:rsidR="00A54A8A" w:rsidRPr="00E67914" w:rsidRDefault="00FB229B">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8.11~8.12</w:t>
            </w:r>
            <w:r w:rsidRPr="00E67914">
              <w:rPr>
                <w:rFonts w:ascii="Times New Roman" w:hAnsi="Times New Roman"/>
                <w:kern w:val="0"/>
                <w:szCs w:val="28"/>
              </w:rPr>
              <w:t>昼间</w:t>
            </w:r>
          </w:p>
        </w:tc>
        <w:tc>
          <w:tcPr>
            <w:tcW w:w="957" w:type="dxa"/>
            <w:vAlign w:val="center"/>
          </w:tcPr>
          <w:p w14:paraId="45394FFF" w14:textId="0C8C614E" w:rsidR="00A54A8A" w:rsidRPr="00E67914" w:rsidRDefault="00FB229B">
            <w:pPr>
              <w:pStyle w:val="a8"/>
              <w:snapToGrid w:val="0"/>
              <w:spacing w:line="240" w:lineRule="auto"/>
              <w:rPr>
                <w:rFonts w:ascii="Times New Roman" w:hAnsi="Times New Roman"/>
                <w:kern w:val="0"/>
                <w:szCs w:val="28"/>
              </w:rPr>
            </w:pPr>
            <w:r w:rsidRPr="00E67914">
              <w:rPr>
                <w:rFonts w:ascii="Times New Roman" w:hAnsi="Times New Roman"/>
                <w:kern w:val="0"/>
                <w:szCs w:val="28"/>
              </w:rPr>
              <w:t>8.11~8.12</w:t>
            </w:r>
            <w:r w:rsidRPr="00E67914">
              <w:rPr>
                <w:rFonts w:ascii="Times New Roman" w:hAnsi="Times New Roman"/>
                <w:kern w:val="0"/>
                <w:szCs w:val="28"/>
              </w:rPr>
              <w:t>夜间</w:t>
            </w:r>
          </w:p>
        </w:tc>
        <w:tc>
          <w:tcPr>
            <w:tcW w:w="1564" w:type="dxa"/>
            <w:vAlign w:val="center"/>
          </w:tcPr>
          <w:p w14:paraId="42BECAF8" w14:textId="77777777" w:rsidR="00A54A8A" w:rsidRPr="00E67914" w:rsidRDefault="00000000">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执行标准</w:t>
            </w:r>
          </w:p>
        </w:tc>
      </w:tr>
      <w:tr w:rsidR="00AF6E41" w:rsidRPr="00E67914" w14:paraId="36EE16CA" w14:textId="77777777">
        <w:trPr>
          <w:jc w:val="center"/>
        </w:trPr>
        <w:tc>
          <w:tcPr>
            <w:tcW w:w="562" w:type="dxa"/>
            <w:vAlign w:val="center"/>
          </w:tcPr>
          <w:p w14:paraId="617476BA" w14:textId="77777777"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1#</w:t>
            </w:r>
          </w:p>
        </w:tc>
        <w:tc>
          <w:tcPr>
            <w:tcW w:w="2268" w:type="dxa"/>
            <w:vAlign w:val="center"/>
          </w:tcPr>
          <w:p w14:paraId="4BFBB142" w14:textId="2A7D293B"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szCs w:val="21"/>
              </w:rPr>
              <w:t>新普陆页</w:t>
            </w:r>
            <w:r w:rsidRPr="00E67914">
              <w:rPr>
                <w:rFonts w:ascii="Times New Roman" w:hAnsi="Times New Roman"/>
                <w:szCs w:val="21"/>
              </w:rPr>
              <w:t>2</w:t>
            </w:r>
            <w:r w:rsidRPr="00E67914">
              <w:rPr>
                <w:rFonts w:ascii="Times New Roman" w:hAnsi="Times New Roman"/>
                <w:szCs w:val="21"/>
              </w:rPr>
              <w:t>井台拟建厂址中心</w:t>
            </w:r>
          </w:p>
        </w:tc>
        <w:tc>
          <w:tcPr>
            <w:tcW w:w="957" w:type="dxa"/>
            <w:vAlign w:val="center"/>
          </w:tcPr>
          <w:p w14:paraId="11CC1C34" w14:textId="4D086625" w:rsidR="00AF6E41" w:rsidRPr="00E67914" w:rsidRDefault="00AF6E41" w:rsidP="00AF6E41">
            <w:pPr>
              <w:adjustRightInd w:val="0"/>
              <w:snapToGrid w:val="0"/>
              <w:jc w:val="center"/>
              <w:rPr>
                <w:rFonts w:ascii="Times New Roman" w:hAnsi="Times New Roman"/>
                <w:bCs/>
                <w:kern w:val="2"/>
                <w:sz w:val="21"/>
                <w:szCs w:val="21"/>
                <w:lang w:eastAsia="zh-CN"/>
              </w:rPr>
            </w:pPr>
            <w:r w:rsidRPr="00E67914">
              <w:rPr>
                <w:rFonts w:ascii="Times New Roman" w:hAnsi="Times New Roman"/>
                <w:bCs/>
                <w:kern w:val="2"/>
                <w:sz w:val="21"/>
                <w:szCs w:val="21"/>
                <w:lang w:eastAsia="zh-CN"/>
              </w:rPr>
              <w:t>52</w:t>
            </w:r>
          </w:p>
        </w:tc>
        <w:tc>
          <w:tcPr>
            <w:tcW w:w="957" w:type="dxa"/>
            <w:vAlign w:val="center"/>
          </w:tcPr>
          <w:p w14:paraId="5E62A798" w14:textId="7315150F" w:rsidR="00AF6E41" w:rsidRPr="00E67914" w:rsidRDefault="00AF6E41" w:rsidP="00AF6E41">
            <w:pPr>
              <w:adjustRightInd w:val="0"/>
              <w:snapToGrid w:val="0"/>
              <w:jc w:val="center"/>
              <w:rPr>
                <w:rFonts w:ascii="Times New Roman" w:hAnsi="Times New Roman"/>
                <w:bCs/>
                <w:kern w:val="2"/>
                <w:sz w:val="21"/>
                <w:szCs w:val="21"/>
                <w:lang w:eastAsia="zh-CN"/>
              </w:rPr>
            </w:pPr>
            <w:r w:rsidRPr="00E67914">
              <w:rPr>
                <w:rFonts w:ascii="Times New Roman" w:hAnsi="Times New Roman"/>
                <w:bCs/>
                <w:kern w:val="2"/>
                <w:sz w:val="21"/>
                <w:szCs w:val="21"/>
                <w:lang w:eastAsia="zh-CN"/>
              </w:rPr>
              <w:t>45</w:t>
            </w:r>
          </w:p>
        </w:tc>
        <w:tc>
          <w:tcPr>
            <w:tcW w:w="957" w:type="dxa"/>
            <w:vAlign w:val="center"/>
          </w:tcPr>
          <w:p w14:paraId="09C44E9C" w14:textId="38098004" w:rsidR="00AF6E41" w:rsidRPr="00E67914" w:rsidRDefault="00AF6E41" w:rsidP="00AF6E41">
            <w:pPr>
              <w:adjustRightInd w:val="0"/>
              <w:snapToGrid w:val="0"/>
              <w:jc w:val="center"/>
              <w:rPr>
                <w:rFonts w:ascii="Times New Roman" w:hAnsi="Times New Roman"/>
                <w:bCs/>
                <w:kern w:val="2"/>
                <w:sz w:val="21"/>
                <w:szCs w:val="21"/>
                <w:lang w:eastAsia="zh-CN"/>
              </w:rPr>
            </w:pPr>
            <w:r w:rsidRPr="00E67914">
              <w:rPr>
                <w:rFonts w:ascii="Times New Roman" w:hAnsi="Times New Roman"/>
                <w:bCs/>
                <w:kern w:val="2"/>
                <w:sz w:val="21"/>
                <w:szCs w:val="21"/>
                <w:lang w:eastAsia="zh-CN"/>
              </w:rPr>
              <w:t>56</w:t>
            </w:r>
          </w:p>
        </w:tc>
        <w:tc>
          <w:tcPr>
            <w:tcW w:w="957" w:type="dxa"/>
            <w:vAlign w:val="center"/>
          </w:tcPr>
          <w:p w14:paraId="4B0868B9" w14:textId="6E54C4CC" w:rsidR="00AF6E41" w:rsidRPr="00E67914" w:rsidRDefault="00AF6E41" w:rsidP="00AF6E41">
            <w:pPr>
              <w:adjustRightInd w:val="0"/>
              <w:snapToGrid w:val="0"/>
              <w:jc w:val="center"/>
              <w:rPr>
                <w:rFonts w:ascii="Times New Roman" w:hAnsi="Times New Roman"/>
                <w:bCs/>
                <w:kern w:val="2"/>
                <w:sz w:val="21"/>
                <w:szCs w:val="21"/>
                <w:lang w:eastAsia="zh-CN"/>
              </w:rPr>
            </w:pPr>
            <w:r w:rsidRPr="00E67914">
              <w:rPr>
                <w:rFonts w:ascii="Times New Roman" w:hAnsi="Times New Roman"/>
                <w:bCs/>
                <w:kern w:val="2"/>
                <w:sz w:val="21"/>
                <w:szCs w:val="21"/>
                <w:lang w:eastAsia="zh-CN"/>
              </w:rPr>
              <w:t>46</w:t>
            </w:r>
          </w:p>
        </w:tc>
        <w:tc>
          <w:tcPr>
            <w:tcW w:w="1564" w:type="dxa"/>
            <w:vMerge w:val="restart"/>
            <w:vAlign w:val="center"/>
          </w:tcPr>
          <w:p w14:paraId="1CA667F0" w14:textId="77777777"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《声环境质量标准》（</w:t>
            </w:r>
            <w:r w:rsidRPr="00E67914">
              <w:rPr>
                <w:rFonts w:ascii="Times New Roman" w:hAnsi="Times New Roman"/>
                <w:kern w:val="0"/>
                <w:szCs w:val="28"/>
              </w:rPr>
              <w:t>GB3096-2008</w:t>
            </w:r>
            <w:r w:rsidRPr="00E67914">
              <w:rPr>
                <w:rFonts w:ascii="Times New Roman" w:hAnsi="Times New Roman"/>
                <w:kern w:val="0"/>
                <w:szCs w:val="28"/>
              </w:rPr>
              <w:t>）</w:t>
            </w:r>
            <w:r w:rsidRPr="00E67914">
              <w:rPr>
                <w:rFonts w:ascii="Times New Roman" w:hAnsi="Times New Roman"/>
                <w:kern w:val="0"/>
                <w:szCs w:val="28"/>
              </w:rPr>
              <w:t>2</w:t>
            </w:r>
            <w:r w:rsidRPr="00E67914">
              <w:rPr>
                <w:rFonts w:ascii="Times New Roman" w:hAnsi="Times New Roman"/>
                <w:kern w:val="0"/>
                <w:szCs w:val="28"/>
              </w:rPr>
              <w:t>类昼间</w:t>
            </w:r>
            <w:r w:rsidRPr="00E67914">
              <w:rPr>
                <w:rFonts w:ascii="Times New Roman" w:hAnsi="Times New Roman"/>
                <w:kern w:val="0"/>
                <w:szCs w:val="28"/>
              </w:rPr>
              <w:t>60</w:t>
            </w:r>
            <w:r w:rsidRPr="00E67914">
              <w:rPr>
                <w:rFonts w:ascii="Times New Roman" w:hAnsi="Times New Roman"/>
                <w:kern w:val="0"/>
                <w:szCs w:val="28"/>
              </w:rPr>
              <w:t>；夜间</w:t>
            </w:r>
            <w:r w:rsidRPr="00E67914">
              <w:rPr>
                <w:rFonts w:ascii="Times New Roman" w:hAnsi="Times New Roman"/>
                <w:kern w:val="0"/>
                <w:szCs w:val="28"/>
              </w:rPr>
              <w:t>50</w:t>
            </w:r>
          </w:p>
        </w:tc>
      </w:tr>
      <w:tr w:rsidR="00AF6E41" w:rsidRPr="00E67914" w14:paraId="6E31EBB5" w14:textId="77777777">
        <w:trPr>
          <w:jc w:val="center"/>
        </w:trPr>
        <w:tc>
          <w:tcPr>
            <w:tcW w:w="562" w:type="dxa"/>
            <w:vAlign w:val="center"/>
          </w:tcPr>
          <w:p w14:paraId="66ED0A7D" w14:textId="77777777"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2#</w:t>
            </w:r>
          </w:p>
        </w:tc>
        <w:tc>
          <w:tcPr>
            <w:tcW w:w="2268" w:type="dxa"/>
            <w:vAlign w:val="center"/>
          </w:tcPr>
          <w:p w14:paraId="2EB845B6" w14:textId="0322401E"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szCs w:val="21"/>
              </w:rPr>
              <w:t>新普陆页</w:t>
            </w:r>
            <w:r w:rsidRPr="00E67914">
              <w:rPr>
                <w:rFonts w:ascii="Times New Roman" w:hAnsi="Times New Roman"/>
                <w:szCs w:val="21"/>
              </w:rPr>
              <w:t>2</w:t>
            </w:r>
            <w:r w:rsidRPr="00E67914">
              <w:rPr>
                <w:rFonts w:ascii="Times New Roman" w:hAnsi="Times New Roman"/>
                <w:szCs w:val="21"/>
              </w:rPr>
              <w:t>井台北侧约</w:t>
            </w:r>
            <w:r w:rsidRPr="00E67914">
              <w:rPr>
                <w:rFonts w:ascii="Times New Roman" w:hAnsi="Times New Roman"/>
                <w:szCs w:val="21"/>
              </w:rPr>
              <w:t>60m</w:t>
            </w:r>
            <w:r w:rsidRPr="00E67914">
              <w:rPr>
                <w:rFonts w:ascii="Times New Roman" w:hAnsi="Times New Roman"/>
                <w:szCs w:val="21"/>
              </w:rPr>
              <w:t>居民处</w:t>
            </w:r>
          </w:p>
        </w:tc>
        <w:tc>
          <w:tcPr>
            <w:tcW w:w="957" w:type="dxa"/>
            <w:vAlign w:val="center"/>
          </w:tcPr>
          <w:p w14:paraId="6E572AF6" w14:textId="4ADE8F6A" w:rsidR="00AF6E41" w:rsidRPr="00E67914" w:rsidRDefault="00AF6E41" w:rsidP="00AF6E41">
            <w:pPr>
              <w:jc w:val="center"/>
              <w:rPr>
                <w:rFonts w:ascii="Times New Roman" w:hAnsi="Times New Roman"/>
                <w:sz w:val="21"/>
                <w:szCs w:val="21"/>
                <w:lang w:eastAsia="zh-CN"/>
              </w:rPr>
            </w:pPr>
            <w:r w:rsidRPr="00E67914">
              <w:rPr>
                <w:rFonts w:ascii="Times New Roman" w:hAnsi="Times New Roman"/>
                <w:sz w:val="21"/>
                <w:szCs w:val="21"/>
                <w:lang w:eastAsia="zh-CN"/>
              </w:rPr>
              <w:t>53</w:t>
            </w:r>
          </w:p>
        </w:tc>
        <w:tc>
          <w:tcPr>
            <w:tcW w:w="957" w:type="dxa"/>
            <w:vAlign w:val="center"/>
          </w:tcPr>
          <w:p w14:paraId="21180306" w14:textId="0513B4DB" w:rsidR="00AF6E41" w:rsidRPr="00E67914" w:rsidRDefault="00AF6E41" w:rsidP="00AF6E41">
            <w:pPr>
              <w:jc w:val="center"/>
              <w:rPr>
                <w:rFonts w:ascii="Times New Roman" w:hAnsi="Times New Roman"/>
                <w:sz w:val="21"/>
                <w:szCs w:val="21"/>
                <w:lang w:eastAsia="zh-CN"/>
              </w:rPr>
            </w:pPr>
            <w:r w:rsidRPr="00E67914">
              <w:rPr>
                <w:rFonts w:ascii="Times New Roman" w:hAnsi="Times New Roman"/>
                <w:sz w:val="21"/>
                <w:szCs w:val="21"/>
                <w:lang w:eastAsia="zh-CN"/>
              </w:rPr>
              <w:t>42</w:t>
            </w:r>
          </w:p>
        </w:tc>
        <w:tc>
          <w:tcPr>
            <w:tcW w:w="957" w:type="dxa"/>
            <w:vAlign w:val="center"/>
          </w:tcPr>
          <w:p w14:paraId="3138C723" w14:textId="612010B9" w:rsidR="00AF6E41" w:rsidRPr="00E67914" w:rsidRDefault="00AF6E41" w:rsidP="00AF6E41">
            <w:pPr>
              <w:jc w:val="center"/>
              <w:rPr>
                <w:rFonts w:ascii="Times New Roman" w:hAnsi="Times New Roman"/>
                <w:sz w:val="21"/>
                <w:szCs w:val="21"/>
                <w:lang w:eastAsia="zh-CN"/>
              </w:rPr>
            </w:pPr>
            <w:r w:rsidRPr="00E67914">
              <w:rPr>
                <w:rFonts w:ascii="Times New Roman" w:hAnsi="Times New Roman"/>
                <w:sz w:val="21"/>
                <w:szCs w:val="21"/>
                <w:lang w:eastAsia="zh-CN"/>
              </w:rPr>
              <w:t>54</w:t>
            </w:r>
          </w:p>
        </w:tc>
        <w:tc>
          <w:tcPr>
            <w:tcW w:w="957" w:type="dxa"/>
            <w:vAlign w:val="center"/>
          </w:tcPr>
          <w:p w14:paraId="6A3C47E7" w14:textId="60B3C5D3" w:rsidR="00AF6E41" w:rsidRPr="00E67914" w:rsidRDefault="00AF6E41" w:rsidP="00AF6E41">
            <w:pPr>
              <w:jc w:val="center"/>
              <w:rPr>
                <w:rFonts w:ascii="Times New Roman" w:hAnsi="Times New Roman"/>
                <w:sz w:val="21"/>
                <w:szCs w:val="21"/>
                <w:lang w:eastAsia="zh-CN"/>
              </w:rPr>
            </w:pPr>
            <w:r w:rsidRPr="00E67914">
              <w:rPr>
                <w:rFonts w:ascii="Times New Roman" w:hAnsi="Times New Roman"/>
                <w:sz w:val="21"/>
                <w:szCs w:val="21"/>
                <w:lang w:eastAsia="zh-CN"/>
              </w:rPr>
              <w:t>42</w:t>
            </w:r>
          </w:p>
        </w:tc>
        <w:tc>
          <w:tcPr>
            <w:tcW w:w="1564" w:type="dxa"/>
            <w:vMerge/>
            <w:vAlign w:val="center"/>
          </w:tcPr>
          <w:p w14:paraId="259F5FFB" w14:textId="77777777" w:rsidR="00AF6E41" w:rsidRPr="00E67914" w:rsidRDefault="00AF6E41" w:rsidP="00AF6E41">
            <w:pPr>
              <w:pStyle w:val="a8"/>
              <w:widowControl/>
              <w:snapToGrid w:val="0"/>
              <w:spacing w:line="240" w:lineRule="auto"/>
              <w:rPr>
                <w:rFonts w:ascii="Times New Roman" w:hAnsi="Times New Roman"/>
                <w:kern w:val="0"/>
                <w:szCs w:val="28"/>
              </w:rPr>
            </w:pPr>
          </w:p>
        </w:tc>
      </w:tr>
      <w:tr w:rsidR="00AF6E41" w:rsidRPr="00E67914" w14:paraId="6107CB74" w14:textId="77777777">
        <w:trPr>
          <w:jc w:val="center"/>
        </w:trPr>
        <w:tc>
          <w:tcPr>
            <w:tcW w:w="562" w:type="dxa"/>
            <w:vAlign w:val="center"/>
          </w:tcPr>
          <w:p w14:paraId="0C2C828E" w14:textId="77777777"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3#</w:t>
            </w:r>
          </w:p>
        </w:tc>
        <w:tc>
          <w:tcPr>
            <w:tcW w:w="2268" w:type="dxa"/>
            <w:vAlign w:val="center"/>
          </w:tcPr>
          <w:p w14:paraId="2299488C" w14:textId="7BA5CD29"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szCs w:val="21"/>
              </w:rPr>
              <w:t>新普陆页</w:t>
            </w:r>
            <w:r w:rsidRPr="00E67914">
              <w:rPr>
                <w:rFonts w:ascii="Times New Roman" w:hAnsi="Times New Roman"/>
                <w:szCs w:val="21"/>
              </w:rPr>
              <w:t>2</w:t>
            </w:r>
            <w:r w:rsidRPr="00E67914">
              <w:rPr>
                <w:rFonts w:ascii="Times New Roman" w:hAnsi="Times New Roman"/>
                <w:szCs w:val="21"/>
              </w:rPr>
              <w:t>井台西侧约</w:t>
            </w:r>
            <w:r w:rsidRPr="00E67914">
              <w:rPr>
                <w:rFonts w:ascii="Times New Roman" w:hAnsi="Times New Roman"/>
                <w:szCs w:val="21"/>
              </w:rPr>
              <w:t>120m</w:t>
            </w:r>
            <w:r w:rsidRPr="00E67914">
              <w:rPr>
                <w:rFonts w:ascii="Times New Roman" w:hAnsi="Times New Roman"/>
                <w:szCs w:val="21"/>
              </w:rPr>
              <w:t>居民处</w:t>
            </w:r>
          </w:p>
        </w:tc>
        <w:tc>
          <w:tcPr>
            <w:tcW w:w="957" w:type="dxa"/>
            <w:vAlign w:val="center"/>
          </w:tcPr>
          <w:p w14:paraId="6D80D6DB" w14:textId="12699C28"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56</w:t>
            </w:r>
          </w:p>
        </w:tc>
        <w:tc>
          <w:tcPr>
            <w:tcW w:w="957" w:type="dxa"/>
            <w:vAlign w:val="center"/>
          </w:tcPr>
          <w:p w14:paraId="02BF9203" w14:textId="0B88BFCD"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41</w:t>
            </w:r>
          </w:p>
        </w:tc>
        <w:tc>
          <w:tcPr>
            <w:tcW w:w="957" w:type="dxa"/>
            <w:vAlign w:val="center"/>
          </w:tcPr>
          <w:p w14:paraId="0A5139B6" w14:textId="3928E4D8"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53</w:t>
            </w:r>
          </w:p>
        </w:tc>
        <w:tc>
          <w:tcPr>
            <w:tcW w:w="957" w:type="dxa"/>
            <w:vAlign w:val="center"/>
          </w:tcPr>
          <w:p w14:paraId="691FAC92" w14:textId="5F02BBD5"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43</w:t>
            </w:r>
          </w:p>
        </w:tc>
        <w:tc>
          <w:tcPr>
            <w:tcW w:w="1564" w:type="dxa"/>
            <w:vMerge/>
            <w:vAlign w:val="center"/>
          </w:tcPr>
          <w:p w14:paraId="7F2C495F" w14:textId="77777777" w:rsidR="00AF6E41" w:rsidRPr="00E67914" w:rsidRDefault="00AF6E41" w:rsidP="00AF6E41">
            <w:pPr>
              <w:pStyle w:val="a8"/>
              <w:widowControl/>
              <w:snapToGrid w:val="0"/>
              <w:spacing w:line="240" w:lineRule="auto"/>
              <w:rPr>
                <w:rFonts w:ascii="Times New Roman" w:hAnsi="Times New Roman"/>
                <w:kern w:val="0"/>
                <w:szCs w:val="28"/>
              </w:rPr>
            </w:pPr>
          </w:p>
        </w:tc>
      </w:tr>
      <w:tr w:rsidR="00AF6E41" w:rsidRPr="00E67914" w14:paraId="1E1BA597" w14:textId="77777777">
        <w:trPr>
          <w:jc w:val="center"/>
        </w:trPr>
        <w:tc>
          <w:tcPr>
            <w:tcW w:w="562" w:type="dxa"/>
            <w:vAlign w:val="center"/>
          </w:tcPr>
          <w:p w14:paraId="03150A6B" w14:textId="77777777"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4#</w:t>
            </w:r>
          </w:p>
        </w:tc>
        <w:tc>
          <w:tcPr>
            <w:tcW w:w="2268" w:type="dxa"/>
            <w:vAlign w:val="center"/>
          </w:tcPr>
          <w:p w14:paraId="593D6637" w14:textId="377788EF"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试采站东侧边界外</w:t>
            </w:r>
            <w:r w:rsidRPr="00E67914">
              <w:rPr>
                <w:rFonts w:ascii="Times New Roman" w:hAnsi="Times New Roman"/>
                <w:szCs w:val="21"/>
              </w:rPr>
              <w:t>1m</w:t>
            </w:r>
            <w:r w:rsidRPr="00E67914">
              <w:rPr>
                <w:rFonts w:ascii="Times New Roman" w:hAnsi="Times New Roman"/>
                <w:szCs w:val="21"/>
              </w:rPr>
              <w:t>处</w:t>
            </w:r>
          </w:p>
        </w:tc>
        <w:tc>
          <w:tcPr>
            <w:tcW w:w="957" w:type="dxa"/>
            <w:vAlign w:val="center"/>
          </w:tcPr>
          <w:p w14:paraId="2387206E" w14:textId="739E2AE4"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53</w:t>
            </w:r>
          </w:p>
        </w:tc>
        <w:tc>
          <w:tcPr>
            <w:tcW w:w="957" w:type="dxa"/>
            <w:vAlign w:val="center"/>
          </w:tcPr>
          <w:p w14:paraId="11F3DB47" w14:textId="5B28BBA8"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44</w:t>
            </w:r>
          </w:p>
        </w:tc>
        <w:tc>
          <w:tcPr>
            <w:tcW w:w="957" w:type="dxa"/>
            <w:vAlign w:val="center"/>
          </w:tcPr>
          <w:p w14:paraId="532FF8ED" w14:textId="46F4DE87"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57</w:t>
            </w:r>
          </w:p>
        </w:tc>
        <w:tc>
          <w:tcPr>
            <w:tcW w:w="957" w:type="dxa"/>
            <w:vAlign w:val="center"/>
          </w:tcPr>
          <w:p w14:paraId="726D7689" w14:textId="7CE09DF7"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45</w:t>
            </w:r>
          </w:p>
        </w:tc>
        <w:tc>
          <w:tcPr>
            <w:tcW w:w="1564" w:type="dxa"/>
            <w:vMerge/>
            <w:vAlign w:val="center"/>
          </w:tcPr>
          <w:p w14:paraId="6C6948D3" w14:textId="77777777" w:rsidR="00AF6E41" w:rsidRPr="00E67914" w:rsidRDefault="00AF6E41" w:rsidP="00AF6E41">
            <w:pPr>
              <w:pStyle w:val="a8"/>
              <w:widowControl/>
              <w:snapToGrid w:val="0"/>
              <w:spacing w:line="240" w:lineRule="auto"/>
              <w:rPr>
                <w:rFonts w:ascii="Times New Roman" w:hAnsi="Times New Roman"/>
                <w:kern w:val="0"/>
                <w:szCs w:val="28"/>
              </w:rPr>
            </w:pPr>
          </w:p>
        </w:tc>
      </w:tr>
      <w:tr w:rsidR="00AF6E41" w:rsidRPr="00E67914" w14:paraId="6675041D" w14:textId="77777777">
        <w:trPr>
          <w:jc w:val="center"/>
        </w:trPr>
        <w:tc>
          <w:tcPr>
            <w:tcW w:w="562" w:type="dxa"/>
            <w:vAlign w:val="center"/>
          </w:tcPr>
          <w:p w14:paraId="25AC4ABA" w14:textId="77777777"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5#</w:t>
            </w:r>
          </w:p>
        </w:tc>
        <w:tc>
          <w:tcPr>
            <w:tcW w:w="2268" w:type="dxa"/>
            <w:vAlign w:val="center"/>
          </w:tcPr>
          <w:p w14:paraId="5DBB963D" w14:textId="7A856797" w:rsidR="00AF6E41" w:rsidRPr="00E67914" w:rsidRDefault="00AF6E41" w:rsidP="00AF6E41">
            <w:pPr>
              <w:pStyle w:val="a8"/>
              <w:widowControl/>
              <w:snapToGrid w:val="0"/>
              <w:spacing w:line="240" w:lineRule="auto"/>
              <w:rPr>
                <w:rFonts w:ascii="Times New Roman" w:hAnsi="Times New Roman"/>
                <w:kern w:val="0"/>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试采站南侧边界外</w:t>
            </w:r>
            <w:r w:rsidRPr="00E67914">
              <w:rPr>
                <w:rFonts w:ascii="Times New Roman" w:hAnsi="Times New Roman"/>
                <w:szCs w:val="21"/>
              </w:rPr>
              <w:t>1m</w:t>
            </w:r>
            <w:r w:rsidRPr="00E67914">
              <w:rPr>
                <w:rFonts w:ascii="Times New Roman" w:hAnsi="Times New Roman"/>
                <w:szCs w:val="21"/>
              </w:rPr>
              <w:t>处</w:t>
            </w:r>
          </w:p>
        </w:tc>
        <w:tc>
          <w:tcPr>
            <w:tcW w:w="957" w:type="dxa"/>
            <w:vAlign w:val="center"/>
          </w:tcPr>
          <w:p w14:paraId="007F85BE" w14:textId="4773579B"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54</w:t>
            </w:r>
          </w:p>
        </w:tc>
        <w:tc>
          <w:tcPr>
            <w:tcW w:w="957" w:type="dxa"/>
            <w:vAlign w:val="center"/>
          </w:tcPr>
          <w:p w14:paraId="373A8CDC" w14:textId="7B96FA7B"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43</w:t>
            </w:r>
          </w:p>
        </w:tc>
        <w:tc>
          <w:tcPr>
            <w:tcW w:w="957" w:type="dxa"/>
            <w:vAlign w:val="center"/>
          </w:tcPr>
          <w:p w14:paraId="5C3AAEA9" w14:textId="68A825E2"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56</w:t>
            </w:r>
          </w:p>
        </w:tc>
        <w:tc>
          <w:tcPr>
            <w:tcW w:w="957" w:type="dxa"/>
            <w:vAlign w:val="center"/>
          </w:tcPr>
          <w:p w14:paraId="524B6D6C" w14:textId="59696084"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42</w:t>
            </w:r>
          </w:p>
        </w:tc>
        <w:tc>
          <w:tcPr>
            <w:tcW w:w="1564" w:type="dxa"/>
            <w:vMerge/>
            <w:vAlign w:val="center"/>
          </w:tcPr>
          <w:p w14:paraId="32B1B4E2" w14:textId="77777777" w:rsidR="00AF6E41" w:rsidRPr="00E67914" w:rsidRDefault="00AF6E41" w:rsidP="00AF6E41">
            <w:pPr>
              <w:pStyle w:val="a8"/>
              <w:widowControl/>
              <w:snapToGrid w:val="0"/>
              <w:spacing w:line="240" w:lineRule="auto"/>
              <w:rPr>
                <w:rFonts w:ascii="Times New Roman" w:hAnsi="Times New Roman"/>
                <w:kern w:val="0"/>
                <w:szCs w:val="28"/>
              </w:rPr>
            </w:pPr>
          </w:p>
        </w:tc>
      </w:tr>
      <w:tr w:rsidR="00AF6E41" w:rsidRPr="00E67914" w14:paraId="7EF6528B" w14:textId="77777777">
        <w:trPr>
          <w:jc w:val="center"/>
        </w:trPr>
        <w:tc>
          <w:tcPr>
            <w:tcW w:w="562" w:type="dxa"/>
            <w:vAlign w:val="center"/>
          </w:tcPr>
          <w:p w14:paraId="22E48AA2" w14:textId="34AEC134"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6#</w:t>
            </w:r>
          </w:p>
        </w:tc>
        <w:tc>
          <w:tcPr>
            <w:tcW w:w="2268" w:type="dxa"/>
            <w:vAlign w:val="center"/>
          </w:tcPr>
          <w:p w14:paraId="34A71F40" w14:textId="6AE3F8B9" w:rsidR="00AF6E41" w:rsidRPr="00E67914" w:rsidRDefault="00AF6E41" w:rsidP="00AF6E41">
            <w:pPr>
              <w:pStyle w:val="a8"/>
              <w:widowControl/>
              <w:snapToGrid w:val="0"/>
              <w:spacing w:line="240" w:lineRule="auto"/>
              <w:rPr>
                <w:rFonts w:ascii="Times New Roman" w:hAnsi="Times New Roman"/>
                <w:sz w:val="22"/>
                <w:szCs w:val="22"/>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试采站西侧边界外</w:t>
            </w:r>
            <w:r w:rsidRPr="00E67914">
              <w:rPr>
                <w:rFonts w:ascii="Times New Roman" w:hAnsi="Times New Roman"/>
                <w:szCs w:val="21"/>
              </w:rPr>
              <w:t>1m</w:t>
            </w:r>
            <w:r w:rsidRPr="00E67914">
              <w:rPr>
                <w:rFonts w:ascii="Times New Roman" w:hAnsi="Times New Roman"/>
                <w:szCs w:val="21"/>
              </w:rPr>
              <w:t>处</w:t>
            </w:r>
          </w:p>
        </w:tc>
        <w:tc>
          <w:tcPr>
            <w:tcW w:w="957" w:type="dxa"/>
            <w:vAlign w:val="center"/>
          </w:tcPr>
          <w:p w14:paraId="0A66AF26" w14:textId="556B03A5"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54</w:t>
            </w:r>
          </w:p>
        </w:tc>
        <w:tc>
          <w:tcPr>
            <w:tcW w:w="957" w:type="dxa"/>
            <w:vAlign w:val="center"/>
          </w:tcPr>
          <w:p w14:paraId="2059F091" w14:textId="75DA5E92"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45</w:t>
            </w:r>
          </w:p>
        </w:tc>
        <w:tc>
          <w:tcPr>
            <w:tcW w:w="957" w:type="dxa"/>
            <w:vAlign w:val="center"/>
          </w:tcPr>
          <w:p w14:paraId="356EA126" w14:textId="70AFD613"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56</w:t>
            </w:r>
          </w:p>
        </w:tc>
        <w:tc>
          <w:tcPr>
            <w:tcW w:w="957" w:type="dxa"/>
            <w:vAlign w:val="center"/>
          </w:tcPr>
          <w:p w14:paraId="70290AAA" w14:textId="3DF365B1"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45</w:t>
            </w:r>
          </w:p>
        </w:tc>
        <w:tc>
          <w:tcPr>
            <w:tcW w:w="1564" w:type="dxa"/>
            <w:vMerge/>
            <w:vAlign w:val="center"/>
          </w:tcPr>
          <w:p w14:paraId="718B101E" w14:textId="77777777" w:rsidR="00AF6E41" w:rsidRPr="00E67914" w:rsidRDefault="00AF6E41" w:rsidP="00AF6E41">
            <w:pPr>
              <w:pStyle w:val="a8"/>
              <w:widowControl/>
              <w:snapToGrid w:val="0"/>
              <w:spacing w:line="240" w:lineRule="auto"/>
              <w:rPr>
                <w:rFonts w:ascii="Times New Roman" w:hAnsi="Times New Roman"/>
                <w:kern w:val="0"/>
                <w:szCs w:val="28"/>
              </w:rPr>
            </w:pPr>
          </w:p>
        </w:tc>
      </w:tr>
      <w:tr w:rsidR="00AF6E41" w:rsidRPr="00E67914" w14:paraId="712C6E03" w14:textId="77777777">
        <w:trPr>
          <w:jc w:val="center"/>
        </w:trPr>
        <w:tc>
          <w:tcPr>
            <w:tcW w:w="562" w:type="dxa"/>
            <w:vAlign w:val="center"/>
          </w:tcPr>
          <w:p w14:paraId="2CB8BDB2" w14:textId="63F7C5FD"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7#</w:t>
            </w:r>
          </w:p>
        </w:tc>
        <w:tc>
          <w:tcPr>
            <w:tcW w:w="2268" w:type="dxa"/>
            <w:vAlign w:val="center"/>
          </w:tcPr>
          <w:p w14:paraId="46522337" w14:textId="46C9CE90" w:rsidR="00AF6E41" w:rsidRPr="00E67914" w:rsidRDefault="00AF6E41" w:rsidP="00AF6E41">
            <w:pPr>
              <w:pStyle w:val="a8"/>
              <w:widowControl/>
              <w:snapToGrid w:val="0"/>
              <w:spacing w:line="240" w:lineRule="auto"/>
              <w:rPr>
                <w:rFonts w:ascii="Times New Roman" w:hAnsi="Times New Roman"/>
                <w:sz w:val="22"/>
                <w:szCs w:val="22"/>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试采站北侧边界外</w:t>
            </w:r>
            <w:r w:rsidRPr="00E67914">
              <w:rPr>
                <w:rFonts w:ascii="Times New Roman" w:hAnsi="Times New Roman"/>
                <w:szCs w:val="21"/>
              </w:rPr>
              <w:t>1m</w:t>
            </w:r>
            <w:r w:rsidRPr="00E67914">
              <w:rPr>
                <w:rFonts w:ascii="Times New Roman" w:hAnsi="Times New Roman"/>
                <w:szCs w:val="21"/>
              </w:rPr>
              <w:t>处</w:t>
            </w:r>
          </w:p>
        </w:tc>
        <w:tc>
          <w:tcPr>
            <w:tcW w:w="957" w:type="dxa"/>
            <w:vAlign w:val="center"/>
          </w:tcPr>
          <w:p w14:paraId="581DCEBE" w14:textId="5B4707AC"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56</w:t>
            </w:r>
          </w:p>
        </w:tc>
        <w:tc>
          <w:tcPr>
            <w:tcW w:w="957" w:type="dxa"/>
            <w:vAlign w:val="center"/>
          </w:tcPr>
          <w:p w14:paraId="0A914018" w14:textId="58E158CB"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44</w:t>
            </w:r>
          </w:p>
        </w:tc>
        <w:tc>
          <w:tcPr>
            <w:tcW w:w="957" w:type="dxa"/>
            <w:vAlign w:val="center"/>
          </w:tcPr>
          <w:p w14:paraId="01548FDF" w14:textId="03C6F632"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56</w:t>
            </w:r>
          </w:p>
        </w:tc>
        <w:tc>
          <w:tcPr>
            <w:tcW w:w="957" w:type="dxa"/>
            <w:vAlign w:val="center"/>
          </w:tcPr>
          <w:p w14:paraId="24200580" w14:textId="544EA6FE"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43</w:t>
            </w:r>
          </w:p>
        </w:tc>
        <w:tc>
          <w:tcPr>
            <w:tcW w:w="1564" w:type="dxa"/>
            <w:vMerge/>
            <w:vAlign w:val="center"/>
          </w:tcPr>
          <w:p w14:paraId="7B7FCEC6" w14:textId="77777777" w:rsidR="00AF6E41" w:rsidRPr="00E67914" w:rsidRDefault="00AF6E41" w:rsidP="00AF6E41">
            <w:pPr>
              <w:pStyle w:val="a8"/>
              <w:widowControl/>
              <w:snapToGrid w:val="0"/>
              <w:spacing w:line="240" w:lineRule="auto"/>
              <w:rPr>
                <w:rFonts w:ascii="Times New Roman" w:hAnsi="Times New Roman"/>
                <w:kern w:val="0"/>
                <w:szCs w:val="28"/>
              </w:rPr>
            </w:pPr>
          </w:p>
        </w:tc>
      </w:tr>
      <w:tr w:rsidR="00AF6E41" w:rsidRPr="00E67914" w14:paraId="5B8F8B9A" w14:textId="77777777">
        <w:trPr>
          <w:jc w:val="center"/>
        </w:trPr>
        <w:tc>
          <w:tcPr>
            <w:tcW w:w="562" w:type="dxa"/>
            <w:vAlign w:val="center"/>
          </w:tcPr>
          <w:p w14:paraId="127AEDCD" w14:textId="6F69832A"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8#</w:t>
            </w:r>
          </w:p>
        </w:tc>
        <w:tc>
          <w:tcPr>
            <w:tcW w:w="2268" w:type="dxa"/>
            <w:vAlign w:val="center"/>
          </w:tcPr>
          <w:p w14:paraId="11019057" w14:textId="47063FCE" w:rsidR="00AF6E41" w:rsidRPr="00E67914" w:rsidRDefault="00AF6E41" w:rsidP="00AF6E41">
            <w:pPr>
              <w:pStyle w:val="a8"/>
              <w:widowControl/>
              <w:snapToGrid w:val="0"/>
              <w:spacing w:line="240" w:lineRule="auto"/>
              <w:rPr>
                <w:rFonts w:ascii="Times New Roman" w:hAnsi="Times New Roman"/>
                <w:sz w:val="22"/>
                <w:szCs w:val="22"/>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试采站东侧约</w:t>
            </w:r>
            <w:r w:rsidRPr="00E67914">
              <w:rPr>
                <w:rFonts w:ascii="Times New Roman" w:hAnsi="Times New Roman"/>
                <w:szCs w:val="21"/>
              </w:rPr>
              <w:t>90m</w:t>
            </w:r>
            <w:r w:rsidRPr="00E67914">
              <w:rPr>
                <w:rFonts w:ascii="Times New Roman" w:hAnsi="Times New Roman"/>
                <w:szCs w:val="21"/>
              </w:rPr>
              <w:t>居民房门外</w:t>
            </w:r>
            <w:r w:rsidRPr="00E67914">
              <w:rPr>
                <w:rFonts w:ascii="Times New Roman" w:hAnsi="Times New Roman"/>
                <w:szCs w:val="21"/>
              </w:rPr>
              <w:t>1m</w:t>
            </w:r>
            <w:r w:rsidRPr="00E67914">
              <w:rPr>
                <w:rFonts w:ascii="Times New Roman" w:hAnsi="Times New Roman"/>
                <w:szCs w:val="21"/>
              </w:rPr>
              <w:t>处</w:t>
            </w:r>
          </w:p>
        </w:tc>
        <w:tc>
          <w:tcPr>
            <w:tcW w:w="957" w:type="dxa"/>
            <w:vAlign w:val="center"/>
          </w:tcPr>
          <w:p w14:paraId="040B1C4C" w14:textId="34A9390B"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55</w:t>
            </w:r>
          </w:p>
        </w:tc>
        <w:tc>
          <w:tcPr>
            <w:tcW w:w="957" w:type="dxa"/>
            <w:vAlign w:val="center"/>
          </w:tcPr>
          <w:p w14:paraId="3949360C" w14:textId="66743972"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47</w:t>
            </w:r>
          </w:p>
        </w:tc>
        <w:tc>
          <w:tcPr>
            <w:tcW w:w="957" w:type="dxa"/>
            <w:vAlign w:val="center"/>
          </w:tcPr>
          <w:p w14:paraId="48AB4B2B" w14:textId="7A2F90EE"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55</w:t>
            </w:r>
          </w:p>
        </w:tc>
        <w:tc>
          <w:tcPr>
            <w:tcW w:w="957" w:type="dxa"/>
            <w:vAlign w:val="center"/>
          </w:tcPr>
          <w:p w14:paraId="6E6F7E2B" w14:textId="2F81D70F"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43</w:t>
            </w:r>
          </w:p>
        </w:tc>
        <w:tc>
          <w:tcPr>
            <w:tcW w:w="1564" w:type="dxa"/>
            <w:vMerge/>
            <w:vAlign w:val="center"/>
          </w:tcPr>
          <w:p w14:paraId="464837C0" w14:textId="77777777" w:rsidR="00AF6E41" w:rsidRPr="00E67914" w:rsidRDefault="00AF6E41" w:rsidP="00AF6E41">
            <w:pPr>
              <w:pStyle w:val="a8"/>
              <w:widowControl/>
              <w:snapToGrid w:val="0"/>
              <w:spacing w:line="240" w:lineRule="auto"/>
              <w:rPr>
                <w:rFonts w:ascii="Times New Roman" w:hAnsi="Times New Roman"/>
                <w:kern w:val="0"/>
                <w:szCs w:val="28"/>
              </w:rPr>
            </w:pPr>
          </w:p>
        </w:tc>
      </w:tr>
      <w:tr w:rsidR="00AF6E41" w:rsidRPr="00E67914" w14:paraId="4FAB1B27" w14:textId="77777777">
        <w:trPr>
          <w:jc w:val="center"/>
        </w:trPr>
        <w:tc>
          <w:tcPr>
            <w:tcW w:w="562" w:type="dxa"/>
            <w:vAlign w:val="center"/>
          </w:tcPr>
          <w:p w14:paraId="322BA759" w14:textId="66902B8D"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kern w:val="0"/>
                <w:szCs w:val="28"/>
              </w:rPr>
              <w:t>9#</w:t>
            </w:r>
          </w:p>
        </w:tc>
        <w:tc>
          <w:tcPr>
            <w:tcW w:w="2268" w:type="dxa"/>
            <w:vAlign w:val="center"/>
          </w:tcPr>
          <w:p w14:paraId="4FBFE0DD" w14:textId="5A35DCD6" w:rsidR="00AF6E41" w:rsidRPr="00E67914" w:rsidRDefault="00AF6E41" w:rsidP="00AF6E41">
            <w:pPr>
              <w:pStyle w:val="a8"/>
              <w:widowControl/>
              <w:snapToGrid w:val="0"/>
              <w:spacing w:line="240" w:lineRule="auto"/>
              <w:rPr>
                <w:rFonts w:ascii="Times New Roman" w:hAnsi="Times New Roman"/>
                <w:kern w:val="0"/>
                <w:szCs w:val="28"/>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w:t>
            </w:r>
            <w:r w:rsidRPr="00E67914">
              <w:rPr>
                <w:rFonts w:ascii="Times New Roman" w:hAnsi="Times New Roman"/>
                <w:szCs w:val="21"/>
              </w:rPr>
              <w:t>~P302</w:t>
            </w:r>
            <w:r w:rsidRPr="00E67914">
              <w:rPr>
                <w:rFonts w:ascii="Times New Roman" w:hAnsi="Times New Roman"/>
                <w:szCs w:val="21"/>
              </w:rPr>
              <w:t>集气站外输管线西侧约</w:t>
            </w:r>
            <w:r w:rsidRPr="00E67914">
              <w:rPr>
                <w:rFonts w:ascii="Times New Roman" w:hAnsi="Times New Roman"/>
                <w:szCs w:val="21"/>
              </w:rPr>
              <w:t>180m</w:t>
            </w:r>
            <w:r w:rsidRPr="00E67914">
              <w:rPr>
                <w:rFonts w:ascii="Times New Roman" w:hAnsi="Times New Roman"/>
                <w:szCs w:val="21"/>
              </w:rPr>
              <w:t>居民房门外</w:t>
            </w:r>
            <w:r w:rsidRPr="00E67914">
              <w:rPr>
                <w:rFonts w:ascii="Times New Roman" w:hAnsi="Times New Roman"/>
                <w:szCs w:val="21"/>
              </w:rPr>
              <w:t>1m</w:t>
            </w:r>
            <w:r w:rsidRPr="00E67914">
              <w:rPr>
                <w:rFonts w:ascii="Times New Roman" w:hAnsi="Times New Roman"/>
                <w:szCs w:val="21"/>
              </w:rPr>
              <w:t>处</w:t>
            </w:r>
          </w:p>
        </w:tc>
        <w:tc>
          <w:tcPr>
            <w:tcW w:w="957" w:type="dxa"/>
            <w:vAlign w:val="center"/>
          </w:tcPr>
          <w:p w14:paraId="0F226ED5" w14:textId="018321D4"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54</w:t>
            </w:r>
          </w:p>
        </w:tc>
        <w:tc>
          <w:tcPr>
            <w:tcW w:w="957" w:type="dxa"/>
            <w:vAlign w:val="center"/>
          </w:tcPr>
          <w:p w14:paraId="37028E1D" w14:textId="1EB580A8"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45</w:t>
            </w:r>
          </w:p>
        </w:tc>
        <w:tc>
          <w:tcPr>
            <w:tcW w:w="957" w:type="dxa"/>
            <w:vAlign w:val="center"/>
          </w:tcPr>
          <w:p w14:paraId="7812B2DE" w14:textId="3C2B0CC2"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55</w:t>
            </w:r>
          </w:p>
        </w:tc>
        <w:tc>
          <w:tcPr>
            <w:tcW w:w="957" w:type="dxa"/>
            <w:vAlign w:val="center"/>
          </w:tcPr>
          <w:p w14:paraId="0064E1AB" w14:textId="2A800E8F" w:rsidR="00AF6E41" w:rsidRPr="00E67914" w:rsidRDefault="00AF6E41" w:rsidP="00AF6E41">
            <w:pPr>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43</w:t>
            </w:r>
          </w:p>
        </w:tc>
        <w:tc>
          <w:tcPr>
            <w:tcW w:w="1564" w:type="dxa"/>
            <w:vMerge/>
            <w:vAlign w:val="center"/>
          </w:tcPr>
          <w:p w14:paraId="393209B4" w14:textId="77777777" w:rsidR="00AF6E41" w:rsidRPr="00E67914" w:rsidRDefault="00AF6E41" w:rsidP="00AF6E41">
            <w:pPr>
              <w:pStyle w:val="a8"/>
              <w:widowControl/>
              <w:snapToGrid w:val="0"/>
              <w:spacing w:line="240" w:lineRule="auto"/>
              <w:rPr>
                <w:rFonts w:ascii="Times New Roman" w:hAnsi="Times New Roman"/>
                <w:kern w:val="0"/>
                <w:szCs w:val="28"/>
              </w:rPr>
            </w:pPr>
          </w:p>
        </w:tc>
      </w:tr>
    </w:tbl>
    <w:p w14:paraId="723D8A72" w14:textId="77777777" w:rsidR="00A54A8A" w:rsidRPr="00E67914" w:rsidRDefault="00000000">
      <w:pPr>
        <w:pStyle w:val="af"/>
        <w:adjustRightInd w:val="0"/>
        <w:snapToGrid w:val="0"/>
        <w:spacing w:beforeLines="50" w:before="12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由表</w:t>
      </w:r>
      <w:r w:rsidRPr="00E67914">
        <w:rPr>
          <w:rFonts w:ascii="Times New Roman" w:hAnsi="Times New Roman"/>
          <w:bCs/>
          <w:kern w:val="2"/>
          <w:lang w:eastAsia="zh-CN"/>
        </w:rPr>
        <w:t>4.2-5</w:t>
      </w:r>
      <w:r w:rsidRPr="00E67914">
        <w:rPr>
          <w:rFonts w:ascii="Times New Roman" w:hAnsi="Times New Roman"/>
          <w:bCs/>
          <w:kern w:val="2"/>
          <w:lang w:eastAsia="zh-CN"/>
        </w:rPr>
        <w:t>可知，各监测点昼间夜间噪声监测值中，背景点和敏感点噪声满足《声环境质量标准》（</w:t>
      </w:r>
      <w:r w:rsidRPr="00E67914">
        <w:rPr>
          <w:rFonts w:ascii="Times New Roman" w:hAnsi="Times New Roman"/>
          <w:bCs/>
          <w:kern w:val="2"/>
          <w:lang w:eastAsia="zh-CN"/>
        </w:rPr>
        <w:t>GB3096-2008</w:t>
      </w:r>
      <w:r w:rsidRPr="00E67914">
        <w:rPr>
          <w:rFonts w:ascii="Times New Roman" w:hAnsi="Times New Roman"/>
          <w:bCs/>
          <w:kern w:val="2"/>
          <w:lang w:eastAsia="zh-CN"/>
        </w:rPr>
        <w:t>）</w:t>
      </w:r>
      <w:r w:rsidRPr="00E67914">
        <w:rPr>
          <w:rFonts w:ascii="Times New Roman" w:hAnsi="Times New Roman"/>
          <w:bCs/>
          <w:kern w:val="2"/>
          <w:lang w:eastAsia="zh-CN"/>
        </w:rPr>
        <w:t>2</w:t>
      </w:r>
      <w:r w:rsidRPr="00E67914">
        <w:rPr>
          <w:rFonts w:ascii="Times New Roman" w:hAnsi="Times New Roman"/>
          <w:bCs/>
          <w:kern w:val="2"/>
          <w:lang w:eastAsia="zh-CN"/>
        </w:rPr>
        <w:t>类功能区标准，项目拟建地声环境质量良好。</w:t>
      </w:r>
    </w:p>
    <w:p w14:paraId="3DF52B1B"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4.2.4</w:t>
      </w:r>
      <w:r w:rsidRPr="00E67914">
        <w:rPr>
          <w:rFonts w:ascii="Times New Roman" w:eastAsia="黑体" w:hAnsi="Times New Roman"/>
          <w:b w:val="0"/>
          <w:sz w:val="24"/>
          <w:szCs w:val="24"/>
          <w:lang w:eastAsia="zh-CN"/>
        </w:rPr>
        <w:t>地下水质量现状</w:t>
      </w:r>
    </w:p>
    <w:p w14:paraId="01836FA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为了了解项目建设对地下水环境的影响，本次评价对区域地下水质量进行了监测。</w:t>
      </w:r>
    </w:p>
    <w:p w14:paraId="2A5FCA30"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lastRenderedPageBreak/>
        <w:t>（</w:t>
      </w:r>
      <w:r w:rsidRPr="00E67914">
        <w:rPr>
          <w:rFonts w:ascii="Times New Roman" w:hAnsi="Times New Roman"/>
          <w:b/>
          <w:kern w:val="2"/>
          <w:sz w:val="24"/>
          <w:szCs w:val="24"/>
          <w:lang w:eastAsia="zh-CN"/>
        </w:rPr>
        <w:t>1</w:t>
      </w:r>
      <w:r w:rsidRPr="00E67914">
        <w:rPr>
          <w:rFonts w:ascii="Times New Roman" w:hAnsi="Times New Roman"/>
          <w:b/>
          <w:kern w:val="2"/>
          <w:sz w:val="24"/>
          <w:szCs w:val="24"/>
          <w:lang w:eastAsia="zh-CN"/>
        </w:rPr>
        <w:t>）监测布点</w:t>
      </w:r>
    </w:p>
    <w:p w14:paraId="37DC6FD3" w14:textId="6DA4BADD"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本项目为《环境影响评价技术导则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地下水环境》（</w:t>
      </w:r>
      <w:r w:rsidRPr="00E67914">
        <w:rPr>
          <w:rFonts w:ascii="Times New Roman" w:hAnsi="Times New Roman"/>
          <w:bCs/>
          <w:kern w:val="2"/>
          <w:sz w:val="24"/>
          <w:szCs w:val="24"/>
          <w:lang w:eastAsia="zh-CN"/>
        </w:rPr>
        <w:t>HJ610-2016</w:t>
      </w:r>
      <w:r w:rsidRPr="00E67914">
        <w:rPr>
          <w:rFonts w:ascii="Times New Roman" w:hAnsi="Times New Roman"/>
          <w:bCs/>
          <w:kern w:val="2"/>
          <w:sz w:val="24"/>
          <w:szCs w:val="24"/>
          <w:lang w:eastAsia="zh-CN"/>
        </w:rPr>
        <w:t>）中</w:t>
      </w:r>
      <w:r w:rsidRPr="00E67914">
        <w:rPr>
          <w:rFonts w:ascii="Times New Roman" w:hAnsi="Times New Roman"/>
          <w:bCs/>
          <w:kern w:val="2"/>
          <w:sz w:val="24"/>
          <w:szCs w:val="24"/>
          <w:lang w:eastAsia="zh-CN"/>
        </w:rPr>
        <w:fldChar w:fldCharType="begin"/>
      </w:r>
      <w:r w:rsidRPr="00E67914">
        <w:rPr>
          <w:rFonts w:ascii="Times New Roman" w:hAnsi="Times New Roman"/>
          <w:bCs/>
          <w:kern w:val="2"/>
          <w:sz w:val="24"/>
          <w:szCs w:val="24"/>
          <w:lang w:eastAsia="zh-CN"/>
        </w:rPr>
        <w:instrText xml:space="preserve"> = 2 \* ROMAN </w:instrText>
      </w:r>
      <w:r w:rsidRPr="00E67914">
        <w:rPr>
          <w:rFonts w:ascii="Times New Roman" w:hAnsi="Times New Roman"/>
          <w:bCs/>
          <w:kern w:val="2"/>
          <w:sz w:val="24"/>
          <w:szCs w:val="24"/>
          <w:lang w:eastAsia="zh-CN"/>
        </w:rPr>
        <w:fldChar w:fldCharType="separate"/>
      </w:r>
      <w:r w:rsidRPr="00E67914">
        <w:rPr>
          <w:rFonts w:ascii="Times New Roman" w:hAnsi="Times New Roman"/>
          <w:bCs/>
          <w:kern w:val="2"/>
          <w:sz w:val="24"/>
          <w:szCs w:val="24"/>
          <w:lang w:eastAsia="zh-CN"/>
        </w:rPr>
        <w:t>II</w:t>
      </w:r>
      <w:r w:rsidRPr="00E67914">
        <w:rPr>
          <w:rFonts w:ascii="Times New Roman" w:hAnsi="Times New Roman"/>
          <w:bCs/>
          <w:kern w:val="2"/>
          <w:sz w:val="24"/>
          <w:szCs w:val="24"/>
          <w:lang w:eastAsia="zh-CN"/>
        </w:rPr>
        <w:fldChar w:fldCharType="end"/>
      </w:r>
      <w:r w:rsidRPr="00E67914">
        <w:rPr>
          <w:rFonts w:ascii="Times New Roman" w:hAnsi="Times New Roman"/>
          <w:bCs/>
          <w:kern w:val="2"/>
          <w:sz w:val="24"/>
          <w:szCs w:val="24"/>
          <w:lang w:eastAsia="zh-CN"/>
        </w:rPr>
        <w:t>类建设项目，根据外环境调查，周边居民主要采用山泉水为饮用水源。根据本项目的所在位置的特点、地下水环评导则要求以及地下水污染扩散特点等，共布设</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个地下水水质现状监测点，具体监测点位分布见附图</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和表</w:t>
      </w:r>
      <w:r w:rsidRPr="00E67914">
        <w:rPr>
          <w:rFonts w:ascii="Times New Roman" w:hAnsi="Times New Roman"/>
          <w:bCs/>
          <w:kern w:val="2"/>
          <w:sz w:val="24"/>
          <w:szCs w:val="24"/>
          <w:lang w:eastAsia="zh-CN"/>
        </w:rPr>
        <w:t>4.2-6</w:t>
      </w:r>
      <w:r w:rsidRPr="00E67914">
        <w:rPr>
          <w:rFonts w:ascii="Times New Roman" w:hAnsi="Times New Roman"/>
          <w:bCs/>
          <w:kern w:val="2"/>
          <w:sz w:val="24"/>
          <w:szCs w:val="24"/>
          <w:lang w:eastAsia="zh-CN"/>
        </w:rPr>
        <w:t>：</w:t>
      </w:r>
    </w:p>
    <w:p w14:paraId="1EBAD592"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4.2-6  </w:t>
      </w:r>
      <w:r w:rsidRPr="00E67914">
        <w:rPr>
          <w:rFonts w:ascii="Times New Roman" w:eastAsia="黑体" w:hAnsi="Times New Roman"/>
          <w:sz w:val="21"/>
          <w:szCs w:val="21"/>
          <w:lang w:eastAsia="zh-CN"/>
        </w:rPr>
        <w:t>项目井场地下水监测点位统计表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827"/>
        <w:gridCol w:w="1276"/>
        <w:gridCol w:w="2131"/>
      </w:tblGrid>
      <w:tr w:rsidR="002662E3" w:rsidRPr="00E67914" w14:paraId="5381D812" w14:textId="77777777">
        <w:trPr>
          <w:jc w:val="center"/>
        </w:trPr>
        <w:tc>
          <w:tcPr>
            <w:tcW w:w="988" w:type="dxa"/>
            <w:vAlign w:val="center"/>
          </w:tcPr>
          <w:p w14:paraId="00A0110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编号</w:t>
            </w:r>
          </w:p>
        </w:tc>
        <w:tc>
          <w:tcPr>
            <w:tcW w:w="3827" w:type="dxa"/>
            <w:vAlign w:val="center"/>
          </w:tcPr>
          <w:p w14:paraId="17B98B2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方位</w:t>
            </w:r>
          </w:p>
        </w:tc>
        <w:tc>
          <w:tcPr>
            <w:tcW w:w="1276" w:type="dxa"/>
            <w:vAlign w:val="center"/>
          </w:tcPr>
          <w:p w14:paraId="441C936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距离</w:t>
            </w:r>
          </w:p>
        </w:tc>
        <w:tc>
          <w:tcPr>
            <w:tcW w:w="2131" w:type="dxa"/>
            <w:vAlign w:val="center"/>
          </w:tcPr>
          <w:p w14:paraId="174F2D1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备注</w:t>
            </w:r>
          </w:p>
        </w:tc>
      </w:tr>
      <w:tr w:rsidR="0027191C" w:rsidRPr="00E67914" w14:paraId="62EA11C4" w14:textId="77777777">
        <w:trPr>
          <w:jc w:val="center"/>
        </w:trPr>
        <w:tc>
          <w:tcPr>
            <w:tcW w:w="988" w:type="dxa"/>
            <w:vAlign w:val="center"/>
          </w:tcPr>
          <w:p w14:paraId="374B0906" w14:textId="77777777"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w:t>
            </w:r>
          </w:p>
        </w:tc>
        <w:tc>
          <w:tcPr>
            <w:tcW w:w="3827" w:type="dxa"/>
            <w:vAlign w:val="center"/>
          </w:tcPr>
          <w:p w14:paraId="54A606E4" w14:textId="476909E7"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试采站南侧</w:t>
            </w:r>
          </w:p>
        </w:tc>
        <w:tc>
          <w:tcPr>
            <w:tcW w:w="1276" w:type="dxa"/>
            <w:vAlign w:val="center"/>
          </w:tcPr>
          <w:p w14:paraId="00633F42" w14:textId="3468E97C"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500m</w:t>
            </w:r>
          </w:p>
        </w:tc>
        <w:tc>
          <w:tcPr>
            <w:tcW w:w="2131" w:type="dxa"/>
            <w:vAlign w:val="center"/>
          </w:tcPr>
          <w:p w14:paraId="7A7E8610" w14:textId="5AA2567C"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泉水，下游</w:t>
            </w:r>
          </w:p>
        </w:tc>
      </w:tr>
      <w:tr w:rsidR="0027191C" w:rsidRPr="00E67914" w14:paraId="78C1F3BA" w14:textId="77777777">
        <w:trPr>
          <w:jc w:val="center"/>
        </w:trPr>
        <w:tc>
          <w:tcPr>
            <w:tcW w:w="988" w:type="dxa"/>
            <w:vAlign w:val="center"/>
          </w:tcPr>
          <w:p w14:paraId="48B88177" w14:textId="77777777"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w:t>
            </w:r>
          </w:p>
        </w:tc>
        <w:tc>
          <w:tcPr>
            <w:tcW w:w="3827" w:type="dxa"/>
            <w:vAlign w:val="center"/>
          </w:tcPr>
          <w:p w14:paraId="694B9655" w14:textId="359C4753"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试采站南侧</w:t>
            </w:r>
          </w:p>
        </w:tc>
        <w:tc>
          <w:tcPr>
            <w:tcW w:w="1276" w:type="dxa"/>
            <w:vAlign w:val="center"/>
          </w:tcPr>
          <w:p w14:paraId="13D32E7F" w14:textId="5CD8A396"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250m</w:t>
            </w:r>
          </w:p>
        </w:tc>
        <w:tc>
          <w:tcPr>
            <w:tcW w:w="2131" w:type="dxa"/>
            <w:vAlign w:val="center"/>
          </w:tcPr>
          <w:p w14:paraId="27AB7C08" w14:textId="0C943E01"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泉水，下游</w:t>
            </w:r>
          </w:p>
        </w:tc>
      </w:tr>
      <w:tr w:rsidR="0027191C" w:rsidRPr="00E67914" w14:paraId="4EB6060C" w14:textId="77777777">
        <w:trPr>
          <w:jc w:val="center"/>
        </w:trPr>
        <w:tc>
          <w:tcPr>
            <w:tcW w:w="988" w:type="dxa"/>
            <w:vAlign w:val="center"/>
          </w:tcPr>
          <w:p w14:paraId="43B028F2" w14:textId="77777777"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w:t>
            </w:r>
          </w:p>
        </w:tc>
        <w:tc>
          <w:tcPr>
            <w:tcW w:w="3827" w:type="dxa"/>
            <w:vAlign w:val="center"/>
          </w:tcPr>
          <w:p w14:paraId="581FA7DA" w14:textId="4F601F44"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试采站东侧</w:t>
            </w:r>
          </w:p>
        </w:tc>
        <w:tc>
          <w:tcPr>
            <w:tcW w:w="1276" w:type="dxa"/>
            <w:vAlign w:val="center"/>
          </w:tcPr>
          <w:p w14:paraId="51772B2A" w14:textId="12C74035"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240m</w:t>
            </w:r>
          </w:p>
        </w:tc>
        <w:tc>
          <w:tcPr>
            <w:tcW w:w="2131" w:type="dxa"/>
            <w:vAlign w:val="center"/>
          </w:tcPr>
          <w:p w14:paraId="63BFC358" w14:textId="65860F08"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泉水，侧游</w:t>
            </w:r>
          </w:p>
        </w:tc>
      </w:tr>
      <w:tr w:rsidR="0027191C" w:rsidRPr="00E67914" w14:paraId="370EFD25" w14:textId="77777777">
        <w:trPr>
          <w:jc w:val="center"/>
        </w:trPr>
        <w:tc>
          <w:tcPr>
            <w:tcW w:w="988" w:type="dxa"/>
            <w:vAlign w:val="center"/>
          </w:tcPr>
          <w:p w14:paraId="3812D699" w14:textId="77777777"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w:t>
            </w:r>
          </w:p>
        </w:tc>
        <w:tc>
          <w:tcPr>
            <w:tcW w:w="3827" w:type="dxa"/>
            <w:vAlign w:val="center"/>
          </w:tcPr>
          <w:p w14:paraId="45BF7610" w14:textId="609F03C2"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试采站西北侧</w:t>
            </w:r>
          </w:p>
        </w:tc>
        <w:tc>
          <w:tcPr>
            <w:tcW w:w="1276" w:type="dxa"/>
            <w:vAlign w:val="center"/>
          </w:tcPr>
          <w:p w14:paraId="5D210C6B" w14:textId="6A99042C"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700m</w:t>
            </w:r>
          </w:p>
        </w:tc>
        <w:tc>
          <w:tcPr>
            <w:tcW w:w="2131" w:type="dxa"/>
            <w:vAlign w:val="center"/>
          </w:tcPr>
          <w:p w14:paraId="57E63F15" w14:textId="6AF94F9F"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泉水，上游</w:t>
            </w:r>
          </w:p>
        </w:tc>
      </w:tr>
      <w:tr w:rsidR="0027191C" w:rsidRPr="00E67914" w14:paraId="5838C8CA" w14:textId="77777777">
        <w:trPr>
          <w:jc w:val="center"/>
        </w:trPr>
        <w:tc>
          <w:tcPr>
            <w:tcW w:w="988" w:type="dxa"/>
            <w:vAlign w:val="center"/>
          </w:tcPr>
          <w:p w14:paraId="5512393A" w14:textId="77777777"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w:t>
            </w:r>
          </w:p>
        </w:tc>
        <w:tc>
          <w:tcPr>
            <w:tcW w:w="3827" w:type="dxa"/>
            <w:vAlign w:val="center"/>
          </w:tcPr>
          <w:p w14:paraId="372A362B" w14:textId="00949EDC"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普陆页</w:t>
            </w:r>
            <w:r w:rsidRPr="00E67914">
              <w:rPr>
                <w:rFonts w:ascii="Times New Roman" w:hAnsi="Times New Roman"/>
                <w:szCs w:val="21"/>
              </w:rPr>
              <w:t>2</w:t>
            </w:r>
            <w:r w:rsidRPr="00E67914">
              <w:rPr>
                <w:rFonts w:ascii="Times New Roman" w:hAnsi="Times New Roman"/>
                <w:szCs w:val="21"/>
              </w:rPr>
              <w:t>试采站西侧</w:t>
            </w:r>
          </w:p>
        </w:tc>
        <w:tc>
          <w:tcPr>
            <w:tcW w:w="1276" w:type="dxa"/>
            <w:vAlign w:val="center"/>
          </w:tcPr>
          <w:p w14:paraId="696CF020" w14:textId="4D924CAE" w:rsidR="0027191C" w:rsidRPr="00E67914" w:rsidRDefault="0027191C" w:rsidP="0027191C">
            <w:pPr>
              <w:pStyle w:val="a8"/>
              <w:snapToGrid w:val="0"/>
              <w:spacing w:line="240" w:lineRule="auto"/>
              <w:rPr>
                <w:rFonts w:ascii="Times New Roman" w:hAnsi="Times New Roman"/>
                <w:kern w:val="0"/>
                <w:szCs w:val="21"/>
              </w:rPr>
            </w:pPr>
            <w:r w:rsidRPr="00E67914">
              <w:rPr>
                <w:rFonts w:ascii="Times New Roman" w:hAnsi="Times New Roman"/>
                <w:szCs w:val="21"/>
              </w:rPr>
              <w:t>750m</w:t>
            </w:r>
          </w:p>
        </w:tc>
        <w:tc>
          <w:tcPr>
            <w:tcW w:w="2131" w:type="dxa"/>
            <w:vAlign w:val="center"/>
          </w:tcPr>
          <w:p w14:paraId="1344FA08" w14:textId="693C2E69" w:rsidR="0027191C" w:rsidRPr="00E67914" w:rsidRDefault="0027191C" w:rsidP="0027191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泉水，侧游</w:t>
            </w:r>
          </w:p>
        </w:tc>
      </w:tr>
    </w:tbl>
    <w:p w14:paraId="157BDCF4" w14:textId="7D1BD80C" w:rsidR="00A54A8A" w:rsidRPr="00E67914" w:rsidRDefault="00000000">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本项目所设置的</w:t>
      </w:r>
      <w:r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个地下水水质监测点中，</w:t>
      </w:r>
      <w:r w:rsidR="0027191C"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个监测点（</w:t>
      </w:r>
      <w:r w:rsidRPr="00E67914">
        <w:rPr>
          <w:rFonts w:ascii="Times New Roman" w:hAnsi="Times New Roman"/>
          <w:bCs/>
          <w:kern w:val="2"/>
          <w:sz w:val="24"/>
          <w:szCs w:val="24"/>
          <w:lang w:eastAsia="zh-CN"/>
        </w:rPr>
        <w:t>3#</w:t>
      </w:r>
      <w:r w:rsidR="0027191C" w:rsidRPr="00E67914">
        <w:rPr>
          <w:rFonts w:ascii="Times New Roman" w:hAnsi="Times New Roman"/>
          <w:bCs/>
          <w:kern w:val="2"/>
          <w:sz w:val="24"/>
          <w:szCs w:val="24"/>
          <w:lang w:eastAsia="zh-CN"/>
        </w:rPr>
        <w:t>、</w:t>
      </w:r>
      <w:r w:rsidR="0027191C" w:rsidRPr="00E67914">
        <w:rPr>
          <w:rFonts w:ascii="Times New Roman" w:hAnsi="Times New Roman"/>
          <w:bCs/>
          <w:kern w:val="2"/>
          <w:sz w:val="24"/>
          <w:szCs w:val="24"/>
          <w:lang w:eastAsia="zh-CN"/>
        </w:rPr>
        <w:t>5#</w:t>
      </w:r>
      <w:r w:rsidRPr="00E67914">
        <w:rPr>
          <w:rFonts w:ascii="Times New Roman" w:hAnsi="Times New Roman"/>
          <w:bCs/>
          <w:kern w:val="2"/>
          <w:sz w:val="24"/>
          <w:szCs w:val="24"/>
          <w:lang w:eastAsia="zh-CN"/>
        </w:rPr>
        <w:t>）位于项目所在地地下水流向侧游，</w:t>
      </w:r>
      <w:r w:rsidR="0027191C"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个监测点（</w:t>
      </w:r>
      <w:r w:rsidR="0027191C"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）位于地下水流向上游，</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个监测点（</w:t>
      </w:r>
      <w:r w:rsidR="0027191C"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w:t>
      </w:r>
      <w:r w:rsidR="0027191C"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）位于地下水流向下游，该布点符合《环境影响评价导则</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地下水环境》（</w:t>
      </w:r>
      <w:r w:rsidRPr="00E67914">
        <w:rPr>
          <w:rFonts w:ascii="Times New Roman" w:hAnsi="Times New Roman"/>
          <w:bCs/>
          <w:kern w:val="2"/>
          <w:sz w:val="24"/>
          <w:szCs w:val="24"/>
          <w:lang w:eastAsia="zh-CN"/>
        </w:rPr>
        <w:t>HJ 610-2016</w:t>
      </w:r>
      <w:r w:rsidRPr="00E67914">
        <w:rPr>
          <w:rFonts w:ascii="Times New Roman" w:hAnsi="Times New Roman"/>
          <w:bCs/>
          <w:kern w:val="2"/>
          <w:sz w:val="24"/>
          <w:szCs w:val="24"/>
          <w:lang w:eastAsia="zh-CN"/>
        </w:rPr>
        <w:t>）中相关布点原则要求。</w:t>
      </w:r>
    </w:p>
    <w:p w14:paraId="4BD841E0" w14:textId="77777777" w:rsidR="00A54A8A" w:rsidRPr="00E67914" w:rsidRDefault="00000000">
      <w:pPr>
        <w:adjustRightInd w:val="0"/>
        <w:snapToGrid w:val="0"/>
        <w:spacing w:beforeLines="50" w:before="120"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2</w:t>
      </w:r>
      <w:r w:rsidRPr="00E67914">
        <w:rPr>
          <w:rFonts w:ascii="Times New Roman" w:hAnsi="Times New Roman"/>
          <w:b/>
          <w:kern w:val="2"/>
          <w:sz w:val="24"/>
          <w:szCs w:val="24"/>
          <w:lang w:eastAsia="zh-CN"/>
        </w:rPr>
        <w:t>）地下水现状监测因子及监测频率</w:t>
      </w:r>
    </w:p>
    <w:p w14:paraId="426401EC"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背景离子（</w:t>
      </w:r>
      <w:r w:rsidRPr="00E67914">
        <w:rPr>
          <w:rFonts w:ascii="Times New Roman" w:hAnsi="Times New Roman"/>
          <w:bCs/>
          <w:kern w:val="2"/>
          <w:sz w:val="24"/>
          <w:szCs w:val="24"/>
          <w:lang w:eastAsia="zh-CN"/>
        </w:rPr>
        <w:t>K</w:t>
      </w:r>
      <w:r w:rsidRPr="00E67914">
        <w:rPr>
          <w:rFonts w:ascii="Times New Roman" w:hAnsi="Times New Roman"/>
          <w:bCs/>
          <w:kern w:val="2"/>
          <w:sz w:val="24"/>
          <w:szCs w:val="24"/>
          <w:vertAlign w:val="superscript"/>
          <w:lang w:eastAsia="zh-CN"/>
        </w:rPr>
        <w:t>+</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Na</w:t>
      </w:r>
      <w:r w:rsidRPr="00E67914">
        <w:rPr>
          <w:rFonts w:ascii="Times New Roman" w:hAnsi="Times New Roman"/>
          <w:bCs/>
          <w:kern w:val="2"/>
          <w:sz w:val="24"/>
          <w:szCs w:val="24"/>
          <w:vertAlign w:val="superscript"/>
          <w:lang w:eastAsia="zh-CN"/>
        </w:rPr>
        <w:t>+</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Ca</w:t>
      </w:r>
      <w:r w:rsidRPr="00E67914">
        <w:rPr>
          <w:rFonts w:ascii="Times New Roman" w:hAnsi="Times New Roman"/>
          <w:bCs/>
          <w:kern w:val="2"/>
          <w:sz w:val="24"/>
          <w:szCs w:val="24"/>
          <w:vertAlign w:val="superscript"/>
          <w:lang w:eastAsia="zh-CN"/>
        </w:rPr>
        <w:t>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Mg</w:t>
      </w:r>
      <w:r w:rsidRPr="00E67914">
        <w:rPr>
          <w:rFonts w:ascii="Times New Roman" w:hAnsi="Times New Roman"/>
          <w:bCs/>
          <w:kern w:val="2"/>
          <w:sz w:val="24"/>
          <w:szCs w:val="24"/>
          <w:vertAlign w:val="superscript"/>
          <w:lang w:eastAsia="zh-CN"/>
        </w:rPr>
        <w:t>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CO</w:t>
      </w:r>
      <w:r w:rsidRPr="00E67914">
        <w:rPr>
          <w:rFonts w:ascii="Times New Roman" w:hAnsi="Times New Roman"/>
          <w:bCs/>
          <w:kern w:val="2"/>
          <w:sz w:val="24"/>
          <w:szCs w:val="24"/>
          <w:vertAlign w:val="subscript"/>
          <w:lang w:eastAsia="zh-CN"/>
        </w:rPr>
        <w:t>3</w:t>
      </w:r>
      <w:r w:rsidRPr="00E67914">
        <w:rPr>
          <w:rFonts w:ascii="Times New Roman" w:hAnsi="Times New Roman"/>
          <w:bCs/>
          <w:kern w:val="2"/>
          <w:sz w:val="24"/>
          <w:szCs w:val="24"/>
          <w:vertAlign w:val="superscript"/>
          <w:lang w:eastAsia="zh-CN"/>
        </w:rPr>
        <w:t>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HCO</w:t>
      </w:r>
      <w:r w:rsidRPr="00E67914">
        <w:rPr>
          <w:rFonts w:ascii="Times New Roman" w:hAnsi="Times New Roman"/>
          <w:bCs/>
          <w:kern w:val="2"/>
          <w:sz w:val="24"/>
          <w:szCs w:val="24"/>
          <w:vertAlign w:val="subscript"/>
          <w:lang w:eastAsia="zh-CN"/>
        </w:rPr>
        <w:t>3</w:t>
      </w:r>
      <w:r w:rsidRPr="00E67914">
        <w:rPr>
          <w:rFonts w:ascii="Times New Roman" w:hAnsi="Times New Roman"/>
          <w:bCs/>
          <w:kern w:val="2"/>
          <w:sz w:val="24"/>
          <w:szCs w:val="24"/>
          <w:vertAlign w:val="superscript"/>
          <w:lang w:eastAsia="zh-CN"/>
        </w:rPr>
        <w:t>-</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Cl</w:t>
      </w:r>
      <w:r w:rsidRPr="00E67914">
        <w:rPr>
          <w:rFonts w:ascii="Times New Roman" w:hAnsi="Times New Roman"/>
          <w:bCs/>
          <w:kern w:val="2"/>
          <w:sz w:val="24"/>
          <w:szCs w:val="24"/>
          <w:vertAlign w:val="superscript"/>
          <w:lang w:eastAsia="zh-CN"/>
        </w:rPr>
        <w:t>-</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SO</w:t>
      </w:r>
      <w:r w:rsidRPr="00E67914">
        <w:rPr>
          <w:rFonts w:ascii="Times New Roman" w:hAnsi="Times New Roman"/>
          <w:bCs/>
          <w:kern w:val="2"/>
          <w:sz w:val="24"/>
          <w:szCs w:val="24"/>
          <w:vertAlign w:val="subscript"/>
          <w:lang w:eastAsia="zh-CN"/>
        </w:rPr>
        <w:t>4</w:t>
      </w:r>
      <w:r w:rsidRPr="00E67914">
        <w:rPr>
          <w:rFonts w:ascii="Times New Roman" w:hAnsi="Times New Roman"/>
          <w:bCs/>
          <w:kern w:val="2"/>
          <w:sz w:val="24"/>
          <w:szCs w:val="24"/>
          <w:vertAlign w:val="superscript"/>
          <w:lang w:eastAsia="zh-CN"/>
        </w:rPr>
        <w:t>2-</w:t>
      </w:r>
      <w:r w:rsidRPr="00E67914">
        <w:rPr>
          <w:rFonts w:ascii="Times New Roman" w:hAnsi="Times New Roman"/>
          <w:bCs/>
          <w:kern w:val="2"/>
          <w:sz w:val="24"/>
          <w:szCs w:val="24"/>
          <w:lang w:eastAsia="zh-CN"/>
        </w:rPr>
        <w:t>）、基本水质因子（</w:t>
      </w:r>
      <w:r w:rsidRPr="00E67914">
        <w:rPr>
          <w:rFonts w:ascii="Times New Roman" w:hAnsi="Times New Roman"/>
          <w:bCs/>
          <w:kern w:val="2"/>
          <w:sz w:val="24"/>
          <w:szCs w:val="24"/>
          <w:lang w:eastAsia="zh-CN"/>
        </w:rPr>
        <w:t>pH</w:t>
      </w:r>
      <w:r w:rsidRPr="00E67914">
        <w:rPr>
          <w:rFonts w:ascii="Times New Roman" w:hAnsi="Times New Roman"/>
          <w:bCs/>
          <w:kern w:val="2"/>
          <w:sz w:val="24"/>
          <w:szCs w:val="24"/>
          <w:lang w:eastAsia="zh-CN"/>
        </w:rPr>
        <w:t>、氨氮、硝酸盐、亚硝酸盐、挥发性酚类、氰化物、砷、汞、铬（六价）、总硬度、铅、氟、镉、铁、锰、溶解性总固体、耗氧量、硫酸盐、氯化物、总大肠菌群、细菌总数），项目特征因子（石油类）。</w:t>
      </w:r>
    </w:p>
    <w:p w14:paraId="11AA8285"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所有指标监测</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天，每天一次。</w:t>
      </w:r>
    </w:p>
    <w:p w14:paraId="555DDC3E"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3</w:t>
      </w:r>
      <w:r w:rsidRPr="00E67914">
        <w:rPr>
          <w:rFonts w:ascii="Times New Roman" w:hAnsi="Times New Roman"/>
          <w:b/>
          <w:kern w:val="2"/>
          <w:sz w:val="24"/>
          <w:szCs w:val="24"/>
          <w:lang w:eastAsia="zh-CN"/>
        </w:rPr>
        <w:t>）评价方法</w:t>
      </w:r>
    </w:p>
    <w:p w14:paraId="0CD70BA5"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宋体" w:hAnsi="宋体" w:cs="宋体" w:hint="eastAsia"/>
          <w:bCs/>
          <w:kern w:val="2"/>
          <w:sz w:val="24"/>
          <w:szCs w:val="24"/>
          <w:lang w:eastAsia="zh-CN"/>
        </w:rPr>
        <w:t>①</w:t>
      </w:r>
      <w:r w:rsidRPr="00E67914">
        <w:rPr>
          <w:rFonts w:ascii="Times New Roman" w:hAnsi="Times New Roman"/>
          <w:bCs/>
          <w:kern w:val="2"/>
          <w:sz w:val="24"/>
          <w:szCs w:val="24"/>
          <w:lang w:eastAsia="zh-CN"/>
        </w:rPr>
        <w:t>按照《地下水质量标准》（</w:t>
      </w:r>
      <w:r w:rsidRPr="00E67914">
        <w:rPr>
          <w:rFonts w:ascii="Times New Roman" w:hAnsi="Times New Roman"/>
          <w:bCs/>
          <w:kern w:val="2"/>
          <w:sz w:val="24"/>
          <w:szCs w:val="24"/>
          <w:lang w:eastAsia="zh-CN"/>
        </w:rPr>
        <w:t>GB/T14848-2017</w:t>
      </w:r>
      <w:r w:rsidRPr="00E67914">
        <w:rPr>
          <w:rFonts w:ascii="Times New Roman" w:hAnsi="Times New Roman"/>
          <w:bCs/>
          <w:kern w:val="2"/>
          <w:sz w:val="24"/>
          <w:szCs w:val="24"/>
          <w:lang w:eastAsia="zh-CN"/>
        </w:rPr>
        <w:t>）评价方法对基本水质因子和特殊水质因子进行评价。</w:t>
      </w:r>
    </w:p>
    <w:p w14:paraId="30E6799B"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宋体" w:hAnsi="宋体" w:cs="宋体" w:hint="eastAsia"/>
          <w:bCs/>
          <w:kern w:val="2"/>
          <w:sz w:val="24"/>
          <w:szCs w:val="24"/>
          <w:lang w:eastAsia="zh-CN"/>
        </w:rPr>
        <w:t>②</w:t>
      </w:r>
      <w:r w:rsidRPr="00E67914">
        <w:rPr>
          <w:rFonts w:ascii="Times New Roman" w:hAnsi="Times New Roman"/>
          <w:bCs/>
          <w:kern w:val="2"/>
          <w:sz w:val="24"/>
          <w:szCs w:val="24"/>
          <w:lang w:eastAsia="zh-CN"/>
        </w:rPr>
        <w:t>用舒卡列夫分类法对本项目所在区域地下水化学类型进行分类。</w:t>
      </w:r>
    </w:p>
    <w:p w14:paraId="14D3FFC9"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地下水化学类型的舒卡列夫分类是根据地下水中</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种主要离子（钠、钙、镁、重碳酸根、硫酸根、氯离子、钾合并于钠）及矿化度划分的，具体步骤如下：</w:t>
      </w:r>
    </w:p>
    <w:p w14:paraId="240878A5"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a</w:t>
      </w:r>
      <w:r w:rsidRPr="00E67914">
        <w:rPr>
          <w:rFonts w:ascii="Times New Roman" w:hAnsi="Times New Roman"/>
          <w:bCs/>
          <w:kern w:val="2"/>
          <w:sz w:val="24"/>
          <w:szCs w:val="24"/>
          <w:lang w:eastAsia="zh-CN"/>
        </w:rPr>
        <w:t>、根据水质分析结果，将</w:t>
      </w:r>
      <w:r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种主要离子中含量大于</w:t>
      </w:r>
      <w:r w:rsidRPr="00E67914">
        <w:rPr>
          <w:rFonts w:ascii="Times New Roman" w:hAnsi="Times New Roman"/>
          <w:bCs/>
          <w:kern w:val="2"/>
          <w:sz w:val="24"/>
          <w:szCs w:val="24"/>
          <w:lang w:eastAsia="zh-CN"/>
        </w:rPr>
        <w:t>25%</w:t>
      </w:r>
      <w:r w:rsidRPr="00E67914">
        <w:rPr>
          <w:rFonts w:ascii="Times New Roman" w:hAnsi="Times New Roman"/>
          <w:bCs/>
          <w:kern w:val="2"/>
          <w:sz w:val="24"/>
          <w:szCs w:val="24"/>
          <w:lang w:eastAsia="zh-CN"/>
        </w:rPr>
        <w:t>毫克当量的阴离子和阳离子进行组合；</w:t>
      </w:r>
    </w:p>
    <w:p w14:paraId="74091560"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 xml:space="preserve"> b</w:t>
      </w:r>
      <w:r w:rsidRPr="00E67914">
        <w:rPr>
          <w:rFonts w:ascii="Times New Roman" w:hAnsi="Times New Roman"/>
          <w:bCs/>
          <w:kern w:val="2"/>
          <w:sz w:val="24"/>
          <w:szCs w:val="24"/>
          <w:lang w:eastAsia="zh-CN"/>
        </w:rPr>
        <w:t>、按矿化度（</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）的大小分为</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组，</w:t>
      </w:r>
      <w:r w:rsidRPr="00E67914">
        <w:rPr>
          <w:rFonts w:ascii="Times New Roman" w:hAnsi="Times New Roman"/>
          <w:bCs/>
          <w:kern w:val="2"/>
          <w:sz w:val="24"/>
          <w:szCs w:val="24"/>
          <w:lang w:eastAsia="zh-CN"/>
        </w:rPr>
        <w:t>A</w:t>
      </w:r>
      <w:r w:rsidRPr="00E67914">
        <w:rPr>
          <w:rFonts w:ascii="Times New Roman" w:hAnsi="Times New Roman"/>
          <w:bCs/>
          <w:kern w:val="2"/>
          <w:sz w:val="24"/>
          <w:szCs w:val="24"/>
          <w:lang w:eastAsia="zh-CN"/>
        </w:rPr>
        <w:t>组</w:t>
      </w:r>
      <w:r w:rsidRPr="00E67914">
        <w:rPr>
          <w:rFonts w:ascii="Times New Roman" w:hAnsi="Times New Roman"/>
          <w:bCs/>
          <w:kern w:val="2"/>
          <w:sz w:val="24"/>
          <w:szCs w:val="24"/>
          <w:lang w:eastAsia="zh-CN"/>
        </w:rPr>
        <w:t>——M≤1.5g/L</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B</w:t>
      </w:r>
      <w:r w:rsidRPr="00E67914">
        <w:rPr>
          <w:rFonts w:ascii="Times New Roman" w:hAnsi="Times New Roman"/>
          <w:bCs/>
          <w:kern w:val="2"/>
          <w:sz w:val="24"/>
          <w:szCs w:val="24"/>
          <w:lang w:eastAsia="zh-CN"/>
        </w:rPr>
        <w:t>组</w:t>
      </w:r>
      <w:r w:rsidRPr="00E67914">
        <w:rPr>
          <w:rFonts w:ascii="Times New Roman" w:hAnsi="Times New Roman"/>
          <w:bCs/>
          <w:kern w:val="2"/>
          <w:sz w:val="24"/>
          <w:szCs w:val="24"/>
          <w:lang w:eastAsia="zh-CN"/>
        </w:rPr>
        <w:t>——1.5</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M≤10g/L</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C</w:t>
      </w:r>
      <w:r w:rsidRPr="00E67914">
        <w:rPr>
          <w:rFonts w:ascii="Times New Roman" w:hAnsi="Times New Roman"/>
          <w:bCs/>
          <w:kern w:val="2"/>
          <w:sz w:val="24"/>
          <w:szCs w:val="24"/>
          <w:lang w:eastAsia="zh-CN"/>
        </w:rPr>
        <w:t>组</w:t>
      </w:r>
      <w:r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M≤40g/L</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D</w:t>
      </w:r>
      <w:r w:rsidRPr="00E67914">
        <w:rPr>
          <w:rFonts w:ascii="Times New Roman" w:hAnsi="Times New Roman"/>
          <w:bCs/>
          <w:kern w:val="2"/>
          <w:sz w:val="24"/>
          <w:szCs w:val="24"/>
          <w:lang w:eastAsia="zh-CN"/>
        </w:rPr>
        <w:t>组</w:t>
      </w:r>
      <w:r w:rsidRPr="00E67914">
        <w:rPr>
          <w:rFonts w:ascii="Times New Roman" w:hAnsi="Times New Roman"/>
          <w:bCs/>
          <w:kern w:val="2"/>
          <w:sz w:val="24"/>
          <w:szCs w:val="24"/>
          <w:lang w:eastAsia="zh-CN"/>
        </w:rPr>
        <w:t>——M</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40g/L</w:t>
      </w:r>
      <w:r w:rsidRPr="00E67914">
        <w:rPr>
          <w:rFonts w:ascii="Times New Roman" w:hAnsi="Times New Roman"/>
          <w:bCs/>
          <w:kern w:val="2"/>
          <w:sz w:val="24"/>
          <w:szCs w:val="24"/>
          <w:lang w:eastAsia="zh-CN"/>
        </w:rPr>
        <w:t>；</w:t>
      </w:r>
    </w:p>
    <w:p w14:paraId="1B85F000"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c</w:t>
      </w:r>
      <w:r w:rsidRPr="00E67914">
        <w:rPr>
          <w:rFonts w:ascii="Times New Roman" w:hAnsi="Times New Roman"/>
          <w:bCs/>
          <w:kern w:val="2"/>
          <w:sz w:val="24"/>
          <w:szCs w:val="24"/>
          <w:lang w:eastAsia="zh-CN"/>
        </w:rPr>
        <w:t>、矿化度为阴阳离子总和减去重碳酸离子含量的二分之一；</w:t>
      </w:r>
    </w:p>
    <w:p w14:paraId="7C54E7AB"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d</w:t>
      </w:r>
      <w:r w:rsidRPr="00E67914">
        <w:rPr>
          <w:rFonts w:ascii="Times New Roman" w:hAnsi="Times New Roman"/>
          <w:bCs/>
          <w:kern w:val="2"/>
          <w:sz w:val="24"/>
          <w:szCs w:val="24"/>
          <w:lang w:eastAsia="zh-CN"/>
        </w:rPr>
        <w:t>、将地下水化学类型用阿拉伯数字（</w:t>
      </w:r>
      <w:r w:rsidRPr="00E67914">
        <w:rPr>
          <w:rFonts w:ascii="Times New Roman" w:hAnsi="Times New Roman"/>
          <w:bCs/>
          <w:kern w:val="2"/>
          <w:sz w:val="24"/>
          <w:szCs w:val="24"/>
          <w:lang w:eastAsia="zh-CN"/>
        </w:rPr>
        <w:t>1-49</w:t>
      </w:r>
      <w:r w:rsidRPr="00E67914">
        <w:rPr>
          <w:rFonts w:ascii="Times New Roman" w:hAnsi="Times New Roman"/>
          <w:bCs/>
          <w:kern w:val="2"/>
          <w:sz w:val="24"/>
          <w:szCs w:val="24"/>
          <w:lang w:eastAsia="zh-CN"/>
        </w:rPr>
        <w:t>）与字母（</w:t>
      </w:r>
      <w:r w:rsidRPr="00E67914">
        <w:rPr>
          <w:rFonts w:ascii="Times New Roman" w:hAnsi="Times New Roman"/>
          <w:bCs/>
          <w:kern w:val="2"/>
          <w:sz w:val="24"/>
          <w:szCs w:val="24"/>
          <w:lang w:eastAsia="zh-CN"/>
        </w:rPr>
        <w:t>A</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B</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C</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D</w:t>
      </w:r>
      <w:r w:rsidRPr="00E67914">
        <w:rPr>
          <w:rFonts w:ascii="Times New Roman" w:hAnsi="Times New Roman"/>
          <w:bCs/>
          <w:kern w:val="2"/>
          <w:sz w:val="24"/>
          <w:szCs w:val="24"/>
          <w:lang w:eastAsia="zh-CN"/>
        </w:rPr>
        <w:t>）组合在一起表达的表达式表示。</w:t>
      </w:r>
    </w:p>
    <w:p w14:paraId="604889C0"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4</w:t>
      </w:r>
      <w:r w:rsidRPr="00E67914">
        <w:rPr>
          <w:rFonts w:ascii="Times New Roman" w:hAnsi="Times New Roman"/>
          <w:b/>
          <w:kern w:val="2"/>
          <w:sz w:val="24"/>
          <w:szCs w:val="24"/>
          <w:lang w:eastAsia="zh-CN"/>
        </w:rPr>
        <w:t>）评价结果及分析</w:t>
      </w:r>
    </w:p>
    <w:p w14:paraId="59D963B0"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）基本水质因子和特殊水质因子进行评价地下水现状评价，评价结果见表</w:t>
      </w:r>
      <w:r w:rsidRPr="00E67914">
        <w:rPr>
          <w:rFonts w:ascii="Times New Roman" w:hAnsi="Times New Roman"/>
          <w:bCs/>
          <w:kern w:val="2"/>
          <w:sz w:val="24"/>
          <w:szCs w:val="24"/>
          <w:lang w:eastAsia="zh-CN"/>
        </w:rPr>
        <w:t>4.2-7</w:t>
      </w:r>
      <w:r w:rsidRPr="00E67914">
        <w:rPr>
          <w:rFonts w:ascii="Times New Roman" w:hAnsi="Times New Roman"/>
          <w:bCs/>
          <w:kern w:val="2"/>
          <w:sz w:val="24"/>
          <w:szCs w:val="24"/>
          <w:lang w:eastAsia="zh-CN"/>
        </w:rPr>
        <w:t>。</w:t>
      </w:r>
    </w:p>
    <w:p w14:paraId="03D24815"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4.2-7  </w:t>
      </w:r>
      <w:r w:rsidRPr="00E67914">
        <w:rPr>
          <w:rFonts w:ascii="Times New Roman" w:eastAsia="黑体" w:hAnsi="Times New Roman"/>
          <w:sz w:val="21"/>
          <w:szCs w:val="21"/>
          <w:lang w:eastAsia="zh-CN"/>
        </w:rPr>
        <w:t>区域地下水质量现状监测结果</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mg/L</w:t>
      </w:r>
    </w:p>
    <w:tbl>
      <w:tblPr>
        <w:tblStyle w:val="affa"/>
        <w:tblW w:w="0" w:type="auto"/>
        <w:tblLook w:val="04A0" w:firstRow="1" w:lastRow="0" w:firstColumn="1" w:lastColumn="0" w:noHBand="0" w:noVBand="1"/>
      </w:tblPr>
      <w:tblGrid>
        <w:gridCol w:w="1062"/>
        <w:gridCol w:w="977"/>
        <w:gridCol w:w="977"/>
        <w:gridCol w:w="977"/>
        <w:gridCol w:w="977"/>
        <w:gridCol w:w="977"/>
        <w:gridCol w:w="857"/>
        <w:gridCol w:w="597"/>
        <w:gridCol w:w="899"/>
      </w:tblGrid>
      <w:tr w:rsidR="00E67914" w:rsidRPr="00E67914" w14:paraId="65428923" w14:textId="77777777" w:rsidTr="0027191C">
        <w:tc>
          <w:tcPr>
            <w:tcW w:w="5947" w:type="dxa"/>
            <w:gridSpan w:val="6"/>
            <w:vAlign w:val="center"/>
          </w:tcPr>
          <w:p w14:paraId="42E3681E"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监测结果</w:t>
            </w:r>
          </w:p>
        </w:tc>
        <w:tc>
          <w:tcPr>
            <w:tcW w:w="857" w:type="dxa"/>
            <w:vMerge w:val="restart"/>
            <w:vAlign w:val="center"/>
          </w:tcPr>
          <w:p w14:paraId="291E168D"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标准值</w:t>
            </w:r>
          </w:p>
        </w:tc>
        <w:tc>
          <w:tcPr>
            <w:tcW w:w="1496" w:type="dxa"/>
            <w:gridSpan w:val="2"/>
            <w:vAlign w:val="center"/>
          </w:tcPr>
          <w:p w14:paraId="0253D5ED"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单项指数</w:t>
            </w:r>
          </w:p>
        </w:tc>
      </w:tr>
      <w:tr w:rsidR="00E67914" w:rsidRPr="00E67914" w14:paraId="6A206EF4" w14:textId="77777777" w:rsidTr="0027191C">
        <w:tc>
          <w:tcPr>
            <w:tcW w:w="1062" w:type="dxa"/>
            <w:vAlign w:val="center"/>
          </w:tcPr>
          <w:p w14:paraId="4493EBB8"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监测时间</w:t>
            </w:r>
          </w:p>
        </w:tc>
        <w:tc>
          <w:tcPr>
            <w:tcW w:w="4885" w:type="dxa"/>
            <w:gridSpan w:val="5"/>
            <w:vAlign w:val="center"/>
          </w:tcPr>
          <w:p w14:paraId="79C6C0D1" w14:textId="4CE8E346"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2023.</w:t>
            </w:r>
            <w:r w:rsidR="0027191C" w:rsidRPr="00E67914">
              <w:rPr>
                <w:rFonts w:ascii="Times New Roman" w:hAnsi="Times New Roman"/>
                <w:kern w:val="2"/>
                <w:sz w:val="21"/>
                <w:szCs w:val="21"/>
                <w:lang w:eastAsia="zh-CN"/>
              </w:rPr>
              <w:t>08</w:t>
            </w:r>
            <w:r w:rsidRPr="00E67914">
              <w:rPr>
                <w:rFonts w:ascii="Times New Roman" w:hAnsi="Times New Roman"/>
                <w:kern w:val="2"/>
                <w:sz w:val="21"/>
                <w:szCs w:val="21"/>
                <w:lang w:eastAsia="zh-CN"/>
              </w:rPr>
              <w:t>.</w:t>
            </w:r>
            <w:r w:rsidR="0027191C" w:rsidRPr="00E67914">
              <w:rPr>
                <w:rFonts w:ascii="Times New Roman" w:hAnsi="Times New Roman"/>
                <w:kern w:val="2"/>
                <w:sz w:val="21"/>
                <w:szCs w:val="21"/>
                <w:lang w:eastAsia="zh-CN"/>
              </w:rPr>
              <w:t>09</w:t>
            </w:r>
          </w:p>
        </w:tc>
        <w:tc>
          <w:tcPr>
            <w:tcW w:w="857" w:type="dxa"/>
            <w:vMerge/>
            <w:vAlign w:val="center"/>
          </w:tcPr>
          <w:p w14:paraId="58DFFCFF" w14:textId="77777777" w:rsidR="00A54A8A" w:rsidRPr="00E67914" w:rsidRDefault="00A54A8A">
            <w:pPr>
              <w:pStyle w:val="af"/>
              <w:adjustRightInd w:val="0"/>
              <w:snapToGrid w:val="0"/>
              <w:spacing w:before="0"/>
              <w:ind w:left="0"/>
              <w:jc w:val="center"/>
              <w:rPr>
                <w:rFonts w:ascii="Times New Roman" w:hAnsi="Times New Roman"/>
                <w:kern w:val="2"/>
                <w:sz w:val="21"/>
                <w:szCs w:val="21"/>
                <w:lang w:eastAsia="zh-CN"/>
              </w:rPr>
            </w:pPr>
          </w:p>
        </w:tc>
        <w:tc>
          <w:tcPr>
            <w:tcW w:w="597" w:type="dxa"/>
            <w:vMerge w:val="restart"/>
            <w:vAlign w:val="center"/>
          </w:tcPr>
          <w:p w14:paraId="23F9B235"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最小值</w:t>
            </w:r>
          </w:p>
        </w:tc>
        <w:tc>
          <w:tcPr>
            <w:tcW w:w="899" w:type="dxa"/>
            <w:vMerge w:val="restart"/>
            <w:vAlign w:val="center"/>
          </w:tcPr>
          <w:p w14:paraId="3D36607D"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最大值</w:t>
            </w:r>
          </w:p>
        </w:tc>
      </w:tr>
      <w:tr w:rsidR="00E67914" w:rsidRPr="00E67914" w14:paraId="62A345A4" w14:textId="77777777" w:rsidTr="0027191C">
        <w:tc>
          <w:tcPr>
            <w:tcW w:w="1062" w:type="dxa"/>
            <w:vAlign w:val="center"/>
          </w:tcPr>
          <w:p w14:paraId="794D74C8" w14:textId="77777777" w:rsidR="00A54A8A" w:rsidRPr="00E67914" w:rsidRDefault="00000000">
            <w:pPr>
              <w:pStyle w:val="af"/>
              <w:adjustRightInd w:val="0"/>
              <w:snapToGrid w:val="0"/>
              <w:spacing w:before="0"/>
              <w:ind w:left="0"/>
              <w:jc w:val="center"/>
              <w:rPr>
                <w:rFonts w:ascii="Times New Roman" w:hAnsi="Times New Roman"/>
                <w:sz w:val="21"/>
                <w:szCs w:val="21"/>
              </w:rPr>
            </w:pPr>
            <w:r w:rsidRPr="00E67914">
              <w:rPr>
                <w:rFonts w:ascii="Times New Roman" w:hAnsi="Times New Roman"/>
                <w:sz w:val="21"/>
                <w:szCs w:val="21"/>
              </w:rPr>
              <w:t>监测因子</w:t>
            </w:r>
          </w:p>
        </w:tc>
        <w:tc>
          <w:tcPr>
            <w:tcW w:w="977" w:type="dxa"/>
            <w:vAlign w:val="center"/>
          </w:tcPr>
          <w:p w14:paraId="2B861D4F"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w:t>
            </w:r>
          </w:p>
        </w:tc>
        <w:tc>
          <w:tcPr>
            <w:tcW w:w="977" w:type="dxa"/>
            <w:vAlign w:val="center"/>
          </w:tcPr>
          <w:p w14:paraId="531F34E4"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w:t>
            </w:r>
          </w:p>
        </w:tc>
        <w:tc>
          <w:tcPr>
            <w:tcW w:w="977" w:type="dxa"/>
            <w:vAlign w:val="center"/>
          </w:tcPr>
          <w:p w14:paraId="6F3CFCD2"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w:t>
            </w:r>
          </w:p>
        </w:tc>
        <w:tc>
          <w:tcPr>
            <w:tcW w:w="977" w:type="dxa"/>
            <w:vAlign w:val="center"/>
          </w:tcPr>
          <w:p w14:paraId="11BBF702"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w:t>
            </w:r>
          </w:p>
        </w:tc>
        <w:tc>
          <w:tcPr>
            <w:tcW w:w="977" w:type="dxa"/>
            <w:vAlign w:val="center"/>
          </w:tcPr>
          <w:p w14:paraId="72FFBECC" w14:textId="77777777" w:rsidR="00A54A8A" w:rsidRPr="00E67914" w:rsidRDefault="00000000">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w:t>
            </w:r>
          </w:p>
        </w:tc>
        <w:tc>
          <w:tcPr>
            <w:tcW w:w="857" w:type="dxa"/>
            <w:vMerge/>
            <w:vAlign w:val="center"/>
          </w:tcPr>
          <w:p w14:paraId="5847855B" w14:textId="77777777" w:rsidR="00A54A8A" w:rsidRPr="00E67914" w:rsidRDefault="00A54A8A">
            <w:pPr>
              <w:pStyle w:val="af"/>
              <w:adjustRightInd w:val="0"/>
              <w:snapToGrid w:val="0"/>
              <w:spacing w:before="0"/>
              <w:ind w:left="0"/>
              <w:jc w:val="center"/>
              <w:rPr>
                <w:rFonts w:ascii="Times New Roman" w:hAnsi="Times New Roman"/>
                <w:kern w:val="2"/>
                <w:sz w:val="21"/>
                <w:szCs w:val="21"/>
                <w:lang w:eastAsia="zh-CN"/>
              </w:rPr>
            </w:pPr>
          </w:p>
        </w:tc>
        <w:tc>
          <w:tcPr>
            <w:tcW w:w="597" w:type="dxa"/>
            <w:vMerge/>
            <w:vAlign w:val="center"/>
          </w:tcPr>
          <w:p w14:paraId="4AD3C79A" w14:textId="77777777" w:rsidR="00A54A8A" w:rsidRPr="00E67914" w:rsidRDefault="00A54A8A">
            <w:pPr>
              <w:pStyle w:val="af"/>
              <w:adjustRightInd w:val="0"/>
              <w:snapToGrid w:val="0"/>
              <w:spacing w:before="0"/>
              <w:ind w:left="0"/>
              <w:jc w:val="center"/>
              <w:rPr>
                <w:rFonts w:ascii="Times New Roman" w:hAnsi="Times New Roman"/>
                <w:kern w:val="2"/>
                <w:sz w:val="21"/>
                <w:szCs w:val="21"/>
                <w:lang w:eastAsia="zh-CN"/>
              </w:rPr>
            </w:pPr>
          </w:p>
        </w:tc>
        <w:tc>
          <w:tcPr>
            <w:tcW w:w="899" w:type="dxa"/>
            <w:vMerge/>
            <w:vAlign w:val="center"/>
          </w:tcPr>
          <w:p w14:paraId="399D4D17" w14:textId="77777777" w:rsidR="00A54A8A" w:rsidRPr="00E67914" w:rsidRDefault="00A54A8A">
            <w:pPr>
              <w:pStyle w:val="af"/>
              <w:adjustRightInd w:val="0"/>
              <w:snapToGrid w:val="0"/>
              <w:spacing w:before="0"/>
              <w:ind w:left="0"/>
              <w:jc w:val="center"/>
              <w:rPr>
                <w:rFonts w:ascii="Times New Roman" w:hAnsi="Times New Roman"/>
                <w:kern w:val="2"/>
                <w:sz w:val="21"/>
                <w:szCs w:val="21"/>
                <w:lang w:eastAsia="zh-CN"/>
              </w:rPr>
            </w:pPr>
          </w:p>
        </w:tc>
      </w:tr>
      <w:tr w:rsidR="00E67914" w:rsidRPr="00E67914" w14:paraId="22E14877" w14:textId="77777777" w:rsidTr="0027191C">
        <w:tc>
          <w:tcPr>
            <w:tcW w:w="1062" w:type="dxa"/>
            <w:vAlign w:val="center"/>
          </w:tcPr>
          <w:p w14:paraId="2CB3A010"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pH</w:t>
            </w:r>
          </w:p>
        </w:tc>
        <w:tc>
          <w:tcPr>
            <w:tcW w:w="977" w:type="dxa"/>
            <w:vAlign w:val="center"/>
          </w:tcPr>
          <w:p w14:paraId="0210467B" w14:textId="4A19DAA4"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7.4</w:t>
            </w:r>
          </w:p>
        </w:tc>
        <w:tc>
          <w:tcPr>
            <w:tcW w:w="977" w:type="dxa"/>
            <w:vAlign w:val="center"/>
          </w:tcPr>
          <w:p w14:paraId="456C86CB" w14:textId="5CE59DD8"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7.2</w:t>
            </w:r>
          </w:p>
        </w:tc>
        <w:tc>
          <w:tcPr>
            <w:tcW w:w="977" w:type="dxa"/>
            <w:vAlign w:val="center"/>
          </w:tcPr>
          <w:p w14:paraId="6F7BF6BB" w14:textId="6FE55742"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6.8</w:t>
            </w:r>
          </w:p>
        </w:tc>
        <w:tc>
          <w:tcPr>
            <w:tcW w:w="977" w:type="dxa"/>
            <w:vAlign w:val="center"/>
          </w:tcPr>
          <w:p w14:paraId="01B564BD" w14:textId="4C517F7A"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w:t>
            </w:r>
          </w:p>
        </w:tc>
        <w:tc>
          <w:tcPr>
            <w:tcW w:w="977" w:type="dxa"/>
            <w:vAlign w:val="center"/>
          </w:tcPr>
          <w:p w14:paraId="26E6636E" w14:textId="6D9458F0"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7.2</w:t>
            </w:r>
          </w:p>
        </w:tc>
        <w:tc>
          <w:tcPr>
            <w:tcW w:w="857" w:type="dxa"/>
            <w:vAlign w:val="center"/>
          </w:tcPr>
          <w:p w14:paraId="6F81325A"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6.5~8.5</w:t>
            </w:r>
          </w:p>
        </w:tc>
        <w:tc>
          <w:tcPr>
            <w:tcW w:w="597" w:type="dxa"/>
            <w:vAlign w:val="center"/>
          </w:tcPr>
          <w:p w14:paraId="4A758ACD" w14:textId="6AA3CBAB"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0.13</w:t>
            </w:r>
          </w:p>
        </w:tc>
        <w:tc>
          <w:tcPr>
            <w:tcW w:w="899" w:type="dxa"/>
            <w:vAlign w:val="center"/>
          </w:tcPr>
          <w:p w14:paraId="1A5AA7BA" w14:textId="610FA8D9"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0.40</w:t>
            </w:r>
          </w:p>
        </w:tc>
      </w:tr>
      <w:tr w:rsidR="00E67914" w:rsidRPr="00E67914" w14:paraId="3DB8FB6D" w14:textId="77777777" w:rsidTr="0027191C">
        <w:tc>
          <w:tcPr>
            <w:tcW w:w="1062" w:type="dxa"/>
            <w:vAlign w:val="center"/>
          </w:tcPr>
          <w:p w14:paraId="37A5B20E"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lang w:eastAsia="zh-CN"/>
              </w:rPr>
              <w:t>耗氧量</w:t>
            </w:r>
          </w:p>
        </w:tc>
        <w:tc>
          <w:tcPr>
            <w:tcW w:w="977" w:type="dxa"/>
            <w:vAlign w:val="center"/>
          </w:tcPr>
          <w:p w14:paraId="6AAC9F18" w14:textId="684CBA2B"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1.68</w:t>
            </w:r>
          </w:p>
        </w:tc>
        <w:tc>
          <w:tcPr>
            <w:tcW w:w="977" w:type="dxa"/>
            <w:vAlign w:val="center"/>
          </w:tcPr>
          <w:p w14:paraId="7B605E04" w14:textId="628EF0CA"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2.11</w:t>
            </w:r>
          </w:p>
        </w:tc>
        <w:tc>
          <w:tcPr>
            <w:tcW w:w="977" w:type="dxa"/>
            <w:vAlign w:val="center"/>
          </w:tcPr>
          <w:p w14:paraId="3B03BAC9" w14:textId="20B8682D"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1.81</w:t>
            </w:r>
          </w:p>
        </w:tc>
        <w:tc>
          <w:tcPr>
            <w:tcW w:w="977" w:type="dxa"/>
            <w:vAlign w:val="center"/>
          </w:tcPr>
          <w:p w14:paraId="19218A43" w14:textId="5D814450"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2.03</w:t>
            </w:r>
          </w:p>
        </w:tc>
        <w:tc>
          <w:tcPr>
            <w:tcW w:w="977" w:type="dxa"/>
            <w:vAlign w:val="center"/>
          </w:tcPr>
          <w:p w14:paraId="36C1ECA1" w14:textId="43269338"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1.50</w:t>
            </w:r>
          </w:p>
        </w:tc>
        <w:tc>
          <w:tcPr>
            <w:tcW w:w="857" w:type="dxa"/>
            <w:vAlign w:val="center"/>
          </w:tcPr>
          <w:p w14:paraId="489FB07C"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≤3.0</w:t>
            </w:r>
          </w:p>
        </w:tc>
        <w:tc>
          <w:tcPr>
            <w:tcW w:w="597" w:type="dxa"/>
            <w:vAlign w:val="center"/>
          </w:tcPr>
          <w:p w14:paraId="31425047" w14:textId="15D1D749"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0.50</w:t>
            </w:r>
          </w:p>
        </w:tc>
        <w:tc>
          <w:tcPr>
            <w:tcW w:w="899" w:type="dxa"/>
            <w:vAlign w:val="center"/>
          </w:tcPr>
          <w:p w14:paraId="580E755B" w14:textId="69C1C3BE"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0.70</w:t>
            </w:r>
          </w:p>
        </w:tc>
      </w:tr>
      <w:tr w:rsidR="00E67914" w:rsidRPr="00E67914" w14:paraId="637646F8" w14:textId="77777777" w:rsidTr="0027191C">
        <w:tc>
          <w:tcPr>
            <w:tcW w:w="1062" w:type="dxa"/>
            <w:vAlign w:val="center"/>
          </w:tcPr>
          <w:p w14:paraId="7C92567E"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石油类</w:t>
            </w:r>
          </w:p>
        </w:tc>
        <w:tc>
          <w:tcPr>
            <w:tcW w:w="977" w:type="dxa"/>
            <w:vAlign w:val="center"/>
          </w:tcPr>
          <w:p w14:paraId="150D0E12"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30E18A67"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57875E4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7F394B05"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53FFEE9C"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857" w:type="dxa"/>
            <w:vAlign w:val="center"/>
          </w:tcPr>
          <w:p w14:paraId="1C71B0D0"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≤0.05*</w:t>
            </w:r>
          </w:p>
        </w:tc>
        <w:tc>
          <w:tcPr>
            <w:tcW w:w="597" w:type="dxa"/>
            <w:vAlign w:val="center"/>
          </w:tcPr>
          <w:p w14:paraId="5098E2BE"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143F824C"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r>
      <w:tr w:rsidR="00E67914" w:rsidRPr="00E67914" w14:paraId="2A1E8A7F" w14:textId="77777777" w:rsidTr="0027191C">
        <w:tc>
          <w:tcPr>
            <w:tcW w:w="1062" w:type="dxa"/>
            <w:vAlign w:val="center"/>
          </w:tcPr>
          <w:p w14:paraId="4B8D7C1F"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铬</w:t>
            </w:r>
            <w:r w:rsidRPr="00E67914">
              <w:rPr>
                <w:rFonts w:ascii="Times New Roman" w:hAnsi="Times New Roman"/>
                <w:b/>
                <w:bCs/>
                <w:sz w:val="21"/>
                <w:szCs w:val="21"/>
              </w:rPr>
              <w:t>(</w:t>
            </w:r>
            <w:r w:rsidRPr="00E67914">
              <w:rPr>
                <w:rFonts w:ascii="Times New Roman" w:hAnsi="Times New Roman"/>
                <w:b/>
                <w:bCs/>
                <w:sz w:val="21"/>
                <w:szCs w:val="21"/>
              </w:rPr>
              <w:t>六价</w:t>
            </w:r>
            <w:r w:rsidRPr="00E67914">
              <w:rPr>
                <w:rFonts w:ascii="Times New Roman" w:hAnsi="Times New Roman"/>
                <w:b/>
                <w:bCs/>
                <w:sz w:val="21"/>
                <w:szCs w:val="21"/>
              </w:rPr>
              <w:t>)</w:t>
            </w:r>
          </w:p>
        </w:tc>
        <w:tc>
          <w:tcPr>
            <w:tcW w:w="977" w:type="dxa"/>
            <w:vAlign w:val="center"/>
          </w:tcPr>
          <w:p w14:paraId="0DDF9DE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&lt;0.004</w:t>
            </w:r>
          </w:p>
        </w:tc>
        <w:tc>
          <w:tcPr>
            <w:tcW w:w="977" w:type="dxa"/>
            <w:vAlign w:val="center"/>
          </w:tcPr>
          <w:p w14:paraId="56B9B5A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&lt;0.004</w:t>
            </w:r>
          </w:p>
        </w:tc>
        <w:tc>
          <w:tcPr>
            <w:tcW w:w="977" w:type="dxa"/>
            <w:vAlign w:val="center"/>
          </w:tcPr>
          <w:p w14:paraId="2D7AC8D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&lt;0.004</w:t>
            </w:r>
          </w:p>
        </w:tc>
        <w:tc>
          <w:tcPr>
            <w:tcW w:w="977" w:type="dxa"/>
            <w:vAlign w:val="center"/>
          </w:tcPr>
          <w:p w14:paraId="5A77E600"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&lt;0.004</w:t>
            </w:r>
          </w:p>
        </w:tc>
        <w:tc>
          <w:tcPr>
            <w:tcW w:w="977" w:type="dxa"/>
            <w:vAlign w:val="center"/>
          </w:tcPr>
          <w:p w14:paraId="44BF7E8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0.005</w:t>
            </w:r>
          </w:p>
        </w:tc>
        <w:tc>
          <w:tcPr>
            <w:tcW w:w="857" w:type="dxa"/>
            <w:vAlign w:val="center"/>
          </w:tcPr>
          <w:p w14:paraId="01666D9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≤0.05</w:t>
            </w:r>
          </w:p>
        </w:tc>
        <w:tc>
          <w:tcPr>
            <w:tcW w:w="597" w:type="dxa"/>
            <w:vAlign w:val="center"/>
          </w:tcPr>
          <w:p w14:paraId="5187248D"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4892283D" w14:textId="3930A8C0"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0.10</w:t>
            </w:r>
          </w:p>
        </w:tc>
      </w:tr>
      <w:tr w:rsidR="00E67914" w:rsidRPr="00E67914" w14:paraId="2772CA21" w14:textId="77777777" w:rsidTr="0027191C">
        <w:tc>
          <w:tcPr>
            <w:tcW w:w="1062" w:type="dxa"/>
            <w:vAlign w:val="center"/>
          </w:tcPr>
          <w:p w14:paraId="70B3F7E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铁</w:t>
            </w:r>
          </w:p>
        </w:tc>
        <w:tc>
          <w:tcPr>
            <w:tcW w:w="977" w:type="dxa"/>
            <w:vAlign w:val="center"/>
          </w:tcPr>
          <w:p w14:paraId="433A9450"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3958A5D7"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18DF0EB6"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40441B4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0FD777B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857" w:type="dxa"/>
            <w:vAlign w:val="center"/>
          </w:tcPr>
          <w:p w14:paraId="58188A2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≤0.3</w:t>
            </w:r>
          </w:p>
        </w:tc>
        <w:tc>
          <w:tcPr>
            <w:tcW w:w="597" w:type="dxa"/>
            <w:vAlign w:val="center"/>
          </w:tcPr>
          <w:p w14:paraId="40792933"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032E6F5C"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r>
      <w:tr w:rsidR="00E67914" w:rsidRPr="00E67914" w14:paraId="33AFDCBE" w14:textId="77777777" w:rsidTr="0027191C">
        <w:tc>
          <w:tcPr>
            <w:tcW w:w="1062" w:type="dxa"/>
            <w:vAlign w:val="center"/>
          </w:tcPr>
          <w:p w14:paraId="79C1262F"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锰</w:t>
            </w:r>
          </w:p>
        </w:tc>
        <w:tc>
          <w:tcPr>
            <w:tcW w:w="977" w:type="dxa"/>
            <w:vAlign w:val="center"/>
          </w:tcPr>
          <w:p w14:paraId="01E2D3E3"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75E753D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4688A85D"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03AFE45C"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0DD8587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857" w:type="dxa"/>
            <w:vAlign w:val="center"/>
          </w:tcPr>
          <w:p w14:paraId="3FC6AC2A"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≤0.1</w:t>
            </w:r>
          </w:p>
        </w:tc>
        <w:tc>
          <w:tcPr>
            <w:tcW w:w="597" w:type="dxa"/>
            <w:vAlign w:val="center"/>
          </w:tcPr>
          <w:p w14:paraId="43C7A66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5D482492"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r>
      <w:tr w:rsidR="00E67914" w:rsidRPr="00E67914" w14:paraId="07F1641C" w14:textId="77777777" w:rsidTr="0027191C">
        <w:tc>
          <w:tcPr>
            <w:tcW w:w="1062" w:type="dxa"/>
            <w:vAlign w:val="center"/>
          </w:tcPr>
          <w:p w14:paraId="7CB4277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总硬度</w:t>
            </w:r>
          </w:p>
        </w:tc>
        <w:tc>
          <w:tcPr>
            <w:tcW w:w="977" w:type="dxa"/>
            <w:vAlign w:val="center"/>
          </w:tcPr>
          <w:p w14:paraId="265B9E4F" w14:textId="1B522873"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190</w:t>
            </w:r>
          </w:p>
        </w:tc>
        <w:tc>
          <w:tcPr>
            <w:tcW w:w="977" w:type="dxa"/>
            <w:vAlign w:val="center"/>
          </w:tcPr>
          <w:p w14:paraId="23D503A9" w14:textId="39E67D79"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185</w:t>
            </w:r>
          </w:p>
        </w:tc>
        <w:tc>
          <w:tcPr>
            <w:tcW w:w="977" w:type="dxa"/>
            <w:vAlign w:val="center"/>
          </w:tcPr>
          <w:p w14:paraId="3DFA1E65" w14:textId="5A685F8D"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202</w:t>
            </w:r>
          </w:p>
        </w:tc>
        <w:tc>
          <w:tcPr>
            <w:tcW w:w="977" w:type="dxa"/>
            <w:vAlign w:val="center"/>
          </w:tcPr>
          <w:p w14:paraId="3F6CE4C7" w14:textId="712680D5"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225</w:t>
            </w:r>
          </w:p>
        </w:tc>
        <w:tc>
          <w:tcPr>
            <w:tcW w:w="977" w:type="dxa"/>
            <w:vAlign w:val="center"/>
          </w:tcPr>
          <w:p w14:paraId="4F918933" w14:textId="6D2958B2"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230</w:t>
            </w:r>
          </w:p>
        </w:tc>
        <w:tc>
          <w:tcPr>
            <w:tcW w:w="857" w:type="dxa"/>
            <w:vAlign w:val="center"/>
          </w:tcPr>
          <w:p w14:paraId="1D493A61"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≤450</w:t>
            </w:r>
          </w:p>
        </w:tc>
        <w:tc>
          <w:tcPr>
            <w:tcW w:w="597" w:type="dxa"/>
            <w:vAlign w:val="center"/>
          </w:tcPr>
          <w:p w14:paraId="1D514E58" w14:textId="04C9F1B9"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0.41</w:t>
            </w:r>
          </w:p>
        </w:tc>
        <w:tc>
          <w:tcPr>
            <w:tcW w:w="899" w:type="dxa"/>
            <w:vAlign w:val="center"/>
          </w:tcPr>
          <w:p w14:paraId="533734CC" w14:textId="4BB547E8"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0.51</w:t>
            </w:r>
          </w:p>
        </w:tc>
      </w:tr>
      <w:tr w:rsidR="00E67914" w:rsidRPr="00E67914" w14:paraId="635ED917" w14:textId="77777777" w:rsidTr="0027191C">
        <w:tc>
          <w:tcPr>
            <w:tcW w:w="1062" w:type="dxa"/>
            <w:vAlign w:val="center"/>
          </w:tcPr>
          <w:p w14:paraId="529A2C2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氯化物</w:t>
            </w:r>
          </w:p>
        </w:tc>
        <w:tc>
          <w:tcPr>
            <w:tcW w:w="977" w:type="dxa"/>
            <w:vAlign w:val="center"/>
          </w:tcPr>
          <w:p w14:paraId="7F9CFE40" w14:textId="20A92522"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11.2</w:t>
            </w:r>
          </w:p>
        </w:tc>
        <w:tc>
          <w:tcPr>
            <w:tcW w:w="977" w:type="dxa"/>
            <w:vAlign w:val="center"/>
          </w:tcPr>
          <w:p w14:paraId="44D2E9E4" w14:textId="14024F0A"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11.0</w:t>
            </w:r>
          </w:p>
        </w:tc>
        <w:tc>
          <w:tcPr>
            <w:tcW w:w="977" w:type="dxa"/>
            <w:vAlign w:val="center"/>
          </w:tcPr>
          <w:p w14:paraId="6A63A76B" w14:textId="379EE343"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2.09</w:t>
            </w:r>
          </w:p>
        </w:tc>
        <w:tc>
          <w:tcPr>
            <w:tcW w:w="977" w:type="dxa"/>
            <w:vAlign w:val="center"/>
          </w:tcPr>
          <w:p w14:paraId="0C1A9AAD" w14:textId="658156C2"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13.6</w:t>
            </w:r>
          </w:p>
        </w:tc>
        <w:tc>
          <w:tcPr>
            <w:tcW w:w="977" w:type="dxa"/>
            <w:vAlign w:val="center"/>
          </w:tcPr>
          <w:p w14:paraId="73AC9A6A" w14:textId="2DEA2D04"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10.4</w:t>
            </w:r>
          </w:p>
        </w:tc>
        <w:tc>
          <w:tcPr>
            <w:tcW w:w="857" w:type="dxa"/>
            <w:vAlign w:val="center"/>
          </w:tcPr>
          <w:p w14:paraId="3FACBDD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≤250</w:t>
            </w:r>
          </w:p>
        </w:tc>
        <w:tc>
          <w:tcPr>
            <w:tcW w:w="597" w:type="dxa"/>
            <w:vAlign w:val="center"/>
          </w:tcPr>
          <w:p w14:paraId="60FC6362" w14:textId="017A3928"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0.01</w:t>
            </w:r>
          </w:p>
        </w:tc>
        <w:tc>
          <w:tcPr>
            <w:tcW w:w="899" w:type="dxa"/>
            <w:vAlign w:val="center"/>
          </w:tcPr>
          <w:p w14:paraId="4D7D84DC" w14:textId="51D53C03"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0.05</w:t>
            </w:r>
          </w:p>
        </w:tc>
      </w:tr>
      <w:tr w:rsidR="00E67914" w:rsidRPr="00E67914" w14:paraId="66C24B67" w14:textId="77777777" w:rsidTr="0027191C">
        <w:tc>
          <w:tcPr>
            <w:tcW w:w="1062" w:type="dxa"/>
            <w:vAlign w:val="center"/>
          </w:tcPr>
          <w:p w14:paraId="48BB3A25"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lang w:eastAsia="zh-CN"/>
              </w:rPr>
              <w:t>硫酸盐</w:t>
            </w:r>
          </w:p>
        </w:tc>
        <w:tc>
          <w:tcPr>
            <w:tcW w:w="977" w:type="dxa"/>
            <w:vAlign w:val="center"/>
          </w:tcPr>
          <w:p w14:paraId="51B281C5" w14:textId="27FBD7E4"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23.2</w:t>
            </w:r>
          </w:p>
        </w:tc>
        <w:tc>
          <w:tcPr>
            <w:tcW w:w="977" w:type="dxa"/>
            <w:vAlign w:val="center"/>
          </w:tcPr>
          <w:p w14:paraId="482944B9" w14:textId="03961435"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17.3</w:t>
            </w:r>
          </w:p>
        </w:tc>
        <w:tc>
          <w:tcPr>
            <w:tcW w:w="977" w:type="dxa"/>
            <w:vAlign w:val="center"/>
          </w:tcPr>
          <w:p w14:paraId="723E4518" w14:textId="2F91E895"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17.6</w:t>
            </w:r>
          </w:p>
        </w:tc>
        <w:tc>
          <w:tcPr>
            <w:tcW w:w="977" w:type="dxa"/>
            <w:vAlign w:val="center"/>
          </w:tcPr>
          <w:p w14:paraId="59EDAC64" w14:textId="0B945FDE"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14.4</w:t>
            </w:r>
          </w:p>
        </w:tc>
        <w:tc>
          <w:tcPr>
            <w:tcW w:w="977" w:type="dxa"/>
            <w:vAlign w:val="center"/>
          </w:tcPr>
          <w:p w14:paraId="0DFB7024" w14:textId="562E82EA"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12.9</w:t>
            </w:r>
          </w:p>
        </w:tc>
        <w:tc>
          <w:tcPr>
            <w:tcW w:w="857" w:type="dxa"/>
            <w:vAlign w:val="center"/>
          </w:tcPr>
          <w:p w14:paraId="0209D991"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≤250</w:t>
            </w:r>
          </w:p>
        </w:tc>
        <w:tc>
          <w:tcPr>
            <w:tcW w:w="597" w:type="dxa"/>
            <w:vAlign w:val="center"/>
          </w:tcPr>
          <w:p w14:paraId="4EEC43E6" w14:textId="13563206"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0.05</w:t>
            </w:r>
          </w:p>
        </w:tc>
        <w:tc>
          <w:tcPr>
            <w:tcW w:w="899" w:type="dxa"/>
            <w:vAlign w:val="center"/>
          </w:tcPr>
          <w:p w14:paraId="58F5BF8C" w14:textId="661CD116"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0.09</w:t>
            </w:r>
          </w:p>
        </w:tc>
      </w:tr>
      <w:tr w:rsidR="00E67914" w:rsidRPr="00E67914" w14:paraId="2A337CF2" w14:textId="77777777" w:rsidTr="0027191C">
        <w:tc>
          <w:tcPr>
            <w:tcW w:w="1062" w:type="dxa"/>
            <w:vAlign w:val="center"/>
          </w:tcPr>
          <w:p w14:paraId="46D39DB0" w14:textId="27A73851"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挥发酚</w:t>
            </w:r>
          </w:p>
        </w:tc>
        <w:tc>
          <w:tcPr>
            <w:tcW w:w="977" w:type="dxa"/>
            <w:vAlign w:val="center"/>
          </w:tcPr>
          <w:p w14:paraId="3F5538A9" w14:textId="64C314B9"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436B8F6D" w14:textId="2AFEDF71"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0.0003</w:t>
            </w:r>
          </w:p>
        </w:tc>
        <w:tc>
          <w:tcPr>
            <w:tcW w:w="977" w:type="dxa"/>
            <w:vAlign w:val="center"/>
          </w:tcPr>
          <w:p w14:paraId="106A0EE2" w14:textId="0ECEAA8D"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4FC9B61D" w14:textId="2971950D"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0.0004</w:t>
            </w:r>
          </w:p>
        </w:tc>
        <w:tc>
          <w:tcPr>
            <w:tcW w:w="977" w:type="dxa"/>
            <w:vAlign w:val="center"/>
          </w:tcPr>
          <w:p w14:paraId="085C515A" w14:textId="056FE58C"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857" w:type="dxa"/>
            <w:vAlign w:val="center"/>
          </w:tcPr>
          <w:p w14:paraId="58A9A2DD"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≤0.002</w:t>
            </w:r>
          </w:p>
        </w:tc>
        <w:tc>
          <w:tcPr>
            <w:tcW w:w="597" w:type="dxa"/>
            <w:vAlign w:val="center"/>
          </w:tcPr>
          <w:p w14:paraId="7ED9E8D3" w14:textId="71126A86"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0.15</w:t>
            </w:r>
          </w:p>
        </w:tc>
        <w:tc>
          <w:tcPr>
            <w:tcW w:w="899" w:type="dxa"/>
            <w:vAlign w:val="center"/>
          </w:tcPr>
          <w:p w14:paraId="08C5E01D" w14:textId="50454A59"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0.20</w:t>
            </w:r>
          </w:p>
        </w:tc>
      </w:tr>
      <w:tr w:rsidR="00E67914" w:rsidRPr="00E67914" w14:paraId="538A64A2" w14:textId="77777777" w:rsidTr="0027191C">
        <w:tc>
          <w:tcPr>
            <w:tcW w:w="1062" w:type="dxa"/>
            <w:vAlign w:val="center"/>
          </w:tcPr>
          <w:p w14:paraId="144D238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氰化物</w:t>
            </w:r>
          </w:p>
        </w:tc>
        <w:tc>
          <w:tcPr>
            <w:tcW w:w="977" w:type="dxa"/>
            <w:vAlign w:val="center"/>
          </w:tcPr>
          <w:p w14:paraId="6E590D84"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&lt;0.002</w:t>
            </w:r>
          </w:p>
        </w:tc>
        <w:tc>
          <w:tcPr>
            <w:tcW w:w="977" w:type="dxa"/>
            <w:vAlign w:val="center"/>
          </w:tcPr>
          <w:p w14:paraId="69687D7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&lt;0.002</w:t>
            </w:r>
          </w:p>
        </w:tc>
        <w:tc>
          <w:tcPr>
            <w:tcW w:w="977" w:type="dxa"/>
            <w:vAlign w:val="center"/>
          </w:tcPr>
          <w:p w14:paraId="68A2D3B0"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&lt;0.002</w:t>
            </w:r>
          </w:p>
        </w:tc>
        <w:tc>
          <w:tcPr>
            <w:tcW w:w="977" w:type="dxa"/>
            <w:vAlign w:val="center"/>
          </w:tcPr>
          <w:p w14:paraId="499FF861"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&lt;0.002</w:t>
            </w:r>
          </w:p>
        </w:tc>
        <w:tc>
          <w:tcPr>
            <w:tcW w:w="977" w:type="dxa"/>
            <w:vAlign w:val="center"/>
          </w:tcPr>
          <w:p w14:paraId="19087B3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&lt;0.002</w:t>
            </w:r>
          </w:p>
        </w:tc>
        <w:tc>
          <w:tcPr>
            <w:tcW w:w="857" w:type="dxa"/>
            <w:vAlign w:val="center"/>
          </w:tcPr>
          <w:p w14:paraId="756C3FAD"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≤0.05</w:t>
            </w:r>
          </w:p>
        </w:tc>
        <w:tc>
          <w:tcPr>
            <w:tcW w:w="597" w:type="dxa"/>
            <w:vAlign w:val="center"/>
          </w:tcPr>
          <w:p w14:paraId="54D3C75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5B93E37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r>
      <w:tr w:rsidR="00E67914" w:rsidRPr="00E67914" w14:paraId="0C1F7C9A" w14:textId="77777777" w:rsidTr="0027191C">
        <w:tc>
          <w:tcPr>
            <w:tcW w:w="1062" w:type="dxa"/>
            <w:vAlign w:val="center"/>
          </w:tcPr>
          <w:p w14:paraId="7F43863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砷（</w:t>
            </w:r>
            <w:r w:rsidRPr="00E67914">
              <w:rPr>
                <w:rFonts w:ascii="Times New Roman" w:hAnsi="Times New Roman"/>
                <w:b/>
                <w:bCs/>
                <w:sz w:val="21"/>
                <w:szCs w:val="21"/>
              </w:rPr>
              <w:t>μg/L</w:t>
            </w:r>
            <w:r w:rsidRPr="00E67914">
              <w:rPr>
                <w:rFonts w:ascii="Times New Roman" w:hAnsi="Times New Roman"/>
                <w:b/>
                <w:bCs/>
                <w:sz w:val="21"/>
                <w:szCs w:val="21"/>
              </w:rPr>
              <w:t>）</w:t>
            </w:r>
          </w:p>
        </w:tc>
        <w:tc>
          <w:tcPr>
            <w:tcW w:w="977" w:type="dxa"/>
            <w:vAlign w:val="center"/>
          </w:tcPr>
          <w:p w14:paraId="5C811DB5"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605DA343"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034D1A82"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3FFEA68C"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274820F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857" w:type="dxa"/>
            <w:vAlign w:val="center"/>
          </w:tcPr>
          <w:p w14:paraId="1525F8AE"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≤10</w:t>
            </w:r>
          </w:p>
        </w:tc>
        <w:tc>
          <w:tcPr>
            <w:tcW w:w="597" w:type="dxa"/>
            <w:vAlign w:val="center"/>
          </w:tcPr>
          <w:p w14:paraId="6CC1E73A"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65D088DD"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r>
      <w:tr w:rsidR="00E67914" w:rsidRPr="00E67914" w14:paraId="40F83672" w14:textId="77777777" w:rsidTr="0027191C">
        <w:tc>
          <w:tcPr>
            <w:tcW w:w="1062" w:type="dxa"/>
            <w:vAlign w:val="center"/>
          </w:tcPr>
          <w:p w14:paraId="2EFBCC2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汞（</w:t>
            </w:r>
            <w:r w:rsidRPr="00E67914">
              <w:rPr>
                <w:rFonts w:ascii="Times New Roman" w:hAnsi="Times New Roman"/>
                <w:b/>
                <w:bCs/>
                <w:sz w:val="21"/>
                <w:szCs w:val="21"/>
              </w:rPr>
              <w:t>μg/L</w:t>
            </w:r>
            <w:r w:rsidRPr="00E67914">
              <w:rPr>
                <w:rFonts w:ascii="Times New Roman" w:hAnsi="Times New Roman"/>
                <w:b/>
                <w:bCs/>
                <w:sz w:val="21"/>
                <w:szCs w:val="21"/>
              </w:rPr>
              <w:t>）</w:t>
            </w:r>
          </w:p>
        </w:tc>
        <w:tc>
          <w:tcPr>
            <w:tcW w:w="977" w:type="dxa"/>
            <w:vAlign w:val="center"/>
          </w:tcPr>
          <w:p w14:paraId="0CD3D474" w14:textId="26D4CEA4"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358A2947" w14:textId="4D08249F"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105E590B" w14:textId="4C71C6B2"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0E8AC315" w14:textId="29F478F8"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0.14</w:t>
            </w:r>
          </w:p>
        </w:tc>
        <w:tc>
          <w:tcPr>
            <w:tcW w:w="977" w:type="dxa"/>
            <w:vAlign w:val="center"/>
          </w:tcPr>
          <w:p w14:paraId="7C6AA610" w14:textId="15AE615B"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857" w:type="dxa"/>
            <w:vAlign w:val="center"/>
          </w:tcPr>
          <w:p w14:paraId="22719ED0"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≤1.0</w:t>
            </w:r>
          </w:p>
        </w:tc>
        <w:tc>
          <w:tcPr>
            <w:tcW w:w="597" w:type="dxa"/>
            <w:vAlign w:val="center"/>
          </w:tcPr>
          <w:p w14:paraId="7BE653B9"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4E26C8F5" w14:textId="6A48A737" w:rsidR="0027191C" w:rsidRPr="00E67914" w:rsidRDefault="00845A8F"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0.14</w:t>
            </w:r>
          </w:p>
        </w:tc>
      </w:tr>
      <w:tr w:rsidR="00E67914" w:rsidRPr="00E67914" w14:paraId="4C0B05E7" w14:textId="77777777" w:rsidTr="0027191C">
        <w:tc>
          <w:tcPr>
            <w:tcW w:w="1062" w:type="dxa"/>
            <w:vAlign w:val="center"/>
          </w:tcPr>
          <w:p w14:paraId="0D4D8C4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铅</w:t>
            </w:r>
          </w:p>
        </w:tc>
        <w:tc>
          <w:tcPr>
            <w:tcW w:w="977" w:type="dxa"/>
            <w:vAlign w:val="center"/>
          </w:tcPr>
          <w:p w14:paraId="730B69F7"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2×10</w:t>
            </w:r>
            <w:r w:rsidRPr="00E67914">
              <w:rPr>
                <w:rFonts w:ascii="Times New Roman" w:hAnsi="Times New Roman"/>
                <w:kern w:val="2"/>
                <w:sz w:val="21"/>
                <w:szCs w:val="21"/>
                <w:vertAlign w:val="superscript"/>
                <w:lang w:eastAsia="zh-CN"/>
              </w:rPr>
              <w:t>-3</w:t>
            </w:r>
          </w:p>
        </w:tc>
        <w:tc>
          <w:tcPr>
            <w:tcW w:w="977" w:type="dxa"/>
            <w:vAlign w:val="center"/>
          </w:tcPr>
          <w:p w14:paraId="17ED1155"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2×10</w:t>
            </w:r>
            <w:r w:rsidRPr="00E67914">
              <w:rPr>
                <w:rFonts w:ascii="Times New Roman" w:hAnsi="Times New Roman"/>
                <w:kern w:val="2"/>
                <w:sz w:val="21"/>
                <w:szCs w:val="21"/>
                <w:vertAlign w:val="superscript"/>
                <w:lang w:eastAsia="zh-CN"/>
              </w:rPr>
              <w:t>-3</w:t>
            </w:r>
          </w:p>
        </w:tc>
        <w:tc>
          <w:tcPr>
            <w:tcW w:w="977" w:type="dxa"/>
            <w:vAlign w:val="center"/>
          </w:tcPr>
          <w:p w14:paraId="7CBEB33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2×10</w:t>
            </w:r>
            <w:r w:rsidRPr="00E67914">
              <w:rPr>
                <w:rFonts w:ascii="Times New Roman" w:hAnsi="Times New Roman"/>
                <w:kern w:val="2"/>
                <w:sz w:val="21"/>
                <w:szCs w:val="21"/>
                <w:vertAlign w:val="superscript"/>
                <w:lang w:eastAsia="zh-CN"/>
              </w:rPr>
              <w:t>-3</w:t>
            </w:r>
          </w:p>
        </w:tc>
        <w:tc>
          <w:tcPr>
            <w:tcW w:w="977" w:type="dxa"/>
            <w:vAlign w:val="center"/>
          </w:tcPr>
          <w:p w14:paraId="3AEED7F8"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2×10</w:t>
            </w:r>
            <w:r w:rsidRPr="00E67914">
              <w:rPr>
                <w:rFonts w:ascii="Times New Roman" w:hAnsi="Times New Roman"/>
                <w:kern w:val="2"/>
                <w:sz w:val="21"/>
                <w:szCs w:val="21"/>
                <w:vertAlign w:val="superscript"/>
                <w:lang w:eastAsia="zh-CN"/>
              </w:rPr>
              <w:t>-3</w:t>
            </w:r>
          </w:p>
        </w:tc>
        <w:tc>
          <w:tcPr>
            <w:tcW w:w="977" w:type="dxa"/>
            <w:vAlign w:val="center"/>
          </w:tcPr>
          <w:p w14:paraId="77E0108B"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2×10</w:t>
            </w:r>
            <w:r w:rsidRPr="00E67914">
              <w:rPr>
                <w:rFonts w:ascii="Times New Roman" w:hAnsi="Times New Roman"/>
                <w:kern w:val="2"/>
                <w:sz w:val="21"/>
                <w:szCs w:val="21"/>
                <w:vertAlign w:val="superscript"/>
                <w:lang w:eastAsia="zh-CN"/>
              </w:rPr>
              <w:t>-3</w:t>
            </w:r>
          </w:p>
        </w:tc>
        <w:tc>
          <w:tcPr>
            <w:tcW w:w="857" w:type="dxa"/>
            <w:vAlign w:val="center"/>
          </w:tcPr>
          <w:p w14:paraId="69E7A153"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≤0.01</w:t>
            </w:r>
          </w:p>
        </w:tc>
        <w:tc>
          <w:tcPr>
            <w:tcW w:w="597" w:type="dxa"/>
            <w:vAlign w:val="center"/>
          </w:tcPr>
          <w:p w14:paraId="7624DEAA" w14:textId="03DDDB19"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w:t>
            </w:r>
          </w:p>
        </w:tc>
        <w:tc>
          <w:tcPr>
            <w:tcW w:w="899" w:type="dxa"/>
            <w:vAlign w:val="center"/>
          </w:tcPr>
          <w:p w14:paraId="7F7F2713" w14:textId="712B0D78"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w:t>
            </w:r>
          </w:p>
        </w:tc>
      </w:tr>
      <w:tr w:rsidR="00E67914" w:rsidRPr="00E67914" w14:paraId="0FC1BF89" w14:textId="77777777" w:rsidTr="0027191C">
        <w:tc>
          <w:tcPr>
            <w:tcW w:w="1062" w:type="dxa"/>
            <w:vAlign w:val="center"/>
          </w:tcPr>
          <w:p w14:paraId="5DEE4E73"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lang w:eastAsia="zh-CN"/>
              </w:rPr>
              <w:t>硫化物</w:t>
            </w:r>
          </w:p>
        </w:tc>
        <w:tc>
          <w:tcPr>
            <w:tcW w:w="977" w:type="dxa"/>
            <w:vAlign w:val="center"/>
          </w:tcPr>
          <w:p w14:paraId="1A448252"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514856E2"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5F3A06CC"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5023B320"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049BA580"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857" w:type="dxa"/>
            <w:vAlign w:val="center"/>
          </w:tcPr>
          <w:p w14:paraId="6228CEEE"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≤0.02</w:t>
            </w:r>
          </w:p>
        </w:tc>
        <w:tc>
          <w:tcPr>
            <w:tcW w:w="597" w:type="dxa"/>
            <w:vAlign w:val="center"/>
          </w:tcPr>
          <w:p w14:paraId="5297597A"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13506F12" w14:textId="77777777" w:rsidR="0027191C" w:rsidRPr="00E67914" w:rsidRDefault="0027191C" w:rsidP="0027191C">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r>
      <w:tr w:rsidR="00E67914" w:rsidRPr="00E67914" w14:paraId="3E8A3903" w14:textId="77777777" w:rsidTr="0027191C">
        <w:tc>
          <w:tcPr>
            <w:tcW w:w="1062" w:type="dxa"/>
            <w:vAlign w:val="center"/>
          </w:tcPr>
          <w:p w14:paraId="16DDB4E0"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sz w:val="21"/>
                <w:szCs w:val="21"/>
              </w:rPr>
              <w:t>氟化物</w:t>
            </w:r>
          </w:p>
        </w:tc>
        <w:tc>
          <w:tcPr>
            <w:tcW w:w="977" w:type="dxa"/>
            <w:vAlign w:val="center"/>
          </w:tcPr>
          <w:p w14:paraId="5270C180" w14:textId="0E5D5DE8"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0.066</w:t>
            </w:r>
          </w:p>
        </w:tc>
        <w:tc>
          <w:tcPr>
            <w:tcW w:w="977" w:type="dxa"/>
            <w:vAlign w:val="center"/>
          </w:tcPr>
          <w:p w14:paraId="4ABC3A52" w14:textId="2EE83C1D"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0.046</w:t>
            </w:r>
          </w:p>
        </w:tc>
        <w:tc>
          <w:tcPr>
            <w:tcW w:w="977" w:type="dxa"/>
            <w:vAlign w:val="center"/>
          </w:tcPr>
          <w:p w14:paraId="32162811" w14:textId="1E56EC2B"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0.061</w:t>
            </w:r>
          </w:p>
        </w:tc>
        <w:tc>
          <w:tcPr>
            <w:tcW w:w="977" w:type="dxa"/>
            <w:vAlign w:val="center"/>
          </w:tcPr>
          <w:p w14:paraId="170BEA92" w14:textId="07AEF9FA"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0.022</w:t>
            </w:r>
          </w:p>
        </w:tc>
        <w:tc>
          <w:tcPr>
            <w:tcW w:w="977" w:type="dxa"/>
            <w:vAlign w:val="center"/>
          </w:tcPr>
          <w:p w14:paraId="3F32A713" w14:textId="5EB8A2D1"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0.086</w:t>
            </w:r>
          </w:p>
        </w:tc>
        <w:tc>
          <w:tcPr>
            <w:tcW w:w="857" w:type="dxa"/>
            <w:vAlign w:val="center"/>
          </w:tcPr>
          <w:p w14:paraId="15405B0C"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≤1.0</w:t>
            </w:r>
          </w:p>
        </w:tc>
        <w:tc>
          <w:tcPr>
            <w:tcW w:w="597" w:type="dxa"/>
            <w:vAlign w:val="center"/>
          </w:tcPr>
          <w:p w14:paraId="60F19859" w14:textId="3D82D355"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0.02</w:t>
            </w:r>
          </w:p>
        </w:tc>
        <w:tc>
          <w:tcPr>
            <w:tcW w:w="899" w:type="dxa"/>
            <w:vAlign w:val="center"/>
          </w:tcPr>
          <w:p w14:paraId="2F6E88FE" w14:textId="540B8D35"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0.09</w:t>
            </w:r>
          </w:p>
        </w:tc>
      </w:tr>
      <w:tr w:rsidR="00E67914" w:rsidRPr="00E67914" w14:paraId="7F5706AC" w14:textId="77777777" w:rsidTr="0027191C">
        <w:tc>
          <w:tcPr>
            <w:tcW w:w="1062" w:type="dxa"/>
            <w:vAlign w:val="center"/>
          </w:tcPr>
          <w:p w14:paraId="57B9FF88"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镉（</w:t>
            </w:r>
            <w:r w:rsidRPr="00E67914">
              <w:rPr>
                <w:rFonts w:ascii="Times New Roman" w:hAnsi="Times New Roman"/>
                <w:b/>
                <w:bCs/>
                <w:sz w:val="21"/>
                <w:szCs w:val="21"/>
              </w:rPr>
              <w:t>μg/L</w:t>
            </w:r>
            <w:r w:rsidRPr="00E67914">
              <w:rPr>
                <w:rFonts w:ascii="Times New Roman" w:hAnsi="Times New Roman"/>
                <w:b/>
                <w:bCs/>
                <w:sz w:val="21"/>
                <w:szCs w:val="21"/>
              </w:rPr>
              <w:t>）</w:t>
            </w:r>
          </w:p>
        </w:tc>
        <w:tc>
          <w:tcPr>
            <w:tcW w:w="977" w:type="dxa"/>
            <w:vAlign w:val="center"/>
          </w:tcPr>
          <w:p w14:paraId="158CDD46" w14:textId="2AFDBF2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0.90</w:t>
            </w:r>
          </w:p>
        </w:tc>
        <w:tc>
          <w:tcPr>
            <w:tcW w:w="977" w:type="dxa"/>
            <w:vAlign w:val="center"/>
          </w:tcPr>
          <w:p w14:paraId="58118A3D" w14:textId="665BD9CA"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0.20</w:t>
            </w:r>
          </w:p>
        </w:tc>
        <w:tc>
          <w:tcPr>
            <w:tcW w:w="977" w:type="dxa"/>
            <w:vAlign w:val="center"/>
          </w:tcPr>
          <w:p w14:paraId="33F12EC3" w14:textId="1866997A"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0.20</w:t>
            </w:r>
          </w:p>
        </w:tc>
        <w:tc>
          <w:tcPr>
            <w:tcW w:w="977" w:type="dxa"/>
            <w:vAlign w:val="center"/>
          </w:tcPr>
          <w:p w14:paraId="469BB832" w14:textId="09B26864"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0.20</w:t>
            </w:r>
          </w:p>
        </w:tc>
        <w:tc>
          <w:tcPr>
            <w:tcW w:w="977" w:type="dxa"/>
            <w:vAlign w:val="center"/>
          </w:tcPr>
          <w:p w14:paraId="5EF62955" w14:textId="4938FCE0"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0.30</w:t>
            </w:r>
          </w:p>
        </w:tc>
        <w:tc>
          <w:tcPr>
            <w:tcW w:w="857" w:type="dxa"/>
            <w:vAlign w:val="center"/>
          </w:tcPr>
          <w:p w14:paraId="249C938C"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≤5</w:t>
            </w:r>
          </w:p>
        </w:tc>
        <w:tc>
          <w:tcPr>
            <w:tcW w:w="597" w:type="dxa"/>
            <w:vAlign w:val="center"/>
          </w:tcPr>
          <w:p w14:paraId="25D52A64" w14:textId="43A7DE63"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0.04</w:t>
            </w:r>
          </w:p>
        </w:tc>
        <w:tc>
          <w:tcPr>
            <w:tcW w:w="899" w:type="dxa"/>
            <w:vAlign w:val="center"/>
          </w:tcPr>
          <w:p w14:paraId="7DC81192" w14:textId="42B70908"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0.18</w:t>
            </w:r>
          </w:p>
        </w:tc>
      </w:tr>
      <w:tr w:rsidR="00E67914" w:rsidRPr="00E67914" w14:paraId="5FA8DDDA" w14:textId="77777777" w:rsidTr="0027191C">
        <w:tc>
          <w:tcPr>
            <w:tcW w:w="1062" w:type="dxa"/>
            <w:vAlign w:val="center"/>
          </w:tcPr>
          <w:p w14:paraId="48A7DF68"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溶解性总固体</w:t>
            </w:r>
          </w:p>
        </w:tc>
        <w:tc>
          <w:tcPr>
            <w:tcW w:w="977" w:type="dxa"/>
            <w:vAlign w:val="center"/>
          </w:tcPr>
          <w:p w14:paraId="6B327A69" w14:textId="57380B54"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200</w:t>
            </w:r>
          </w:p>
        </w:tc>
        <w:tc>
          <w:tcPr>
            <w:tcW w:w="977" w:type="dxa"/>
            <w:vAlign w:val="center"/>
          </w:tcPr>
          <w:p w14:paraId="0A8F01FD" w14:textId="1C177BA5"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211</w:t>
            </w:r>
          </w:p>
        </w:tc>
        <w:tc>
          <w:tcPr>
            <w:tcW w:w="977" w:type="dxa"/>
            <w:vAlign w:val="center"/>
          </w:tcPr>
          <w:p w14:paraId="2B4BF37E" w14:textId="4BEF3285"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221</w:t>
            </w:r>
          </w:p>
        </w:tc>
        <w:tc>
          <w:tcPr>
            <w:tcW w:w="977" w:type="dxa"/>
            <w:vAlign w:val="center"/>
          </w:tcPr>
          <w:p w14:paraId="1BC9058A" w14:textId="32720065"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240</w:t>
            </w:r>
          </w:p>
        </w:tc>
        <w:tc>
          <w:tcPr>
            <w:tcW w:w="977" w:type="dxa"/>
            <w:vAlign w:val="center"/>
          </w:tcPr>
          <w:p w14:paraId="09E62DAB" w14:textId="5A85E1A1"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242</w:t>
            </w:r>
          </w:p>
        </w:tc>
        <w:tc>
          <w:tcPr>
            <w:tcW w:w="857" w:type="dxa"/>
            <w:vAlign w:val="center"/>
          </w:tcPr>
          <w:p w14:paraId="5E72A4E1"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≤1000</w:t>
            </w:r>
          </w:p>
        </w:tc>
        <w:tc>
          <w:tcPr>
            <w:tcW w:w="597" w:type="dxa"/>
            <w:vAlign w:val="center"/>
          </w:tcPr>
          <w:p w14:paraId="6F2C2892" w14:textId="4144089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0.20</w:t>
            </w:r>
          </w:p>
        </w:tc>
        <w:tc>
          <w:tcPr>
            <w:tcW w:w="899" w:type="dxa"/>
            <w:vAlign w:val="center"/>
          </w:tcPr>
          <w:p w14:paraId="0C1D6B45" w14:textId="2C5F24FF"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0.24</w:t>
            </w:r>
          </w:p>
        </w:tc>
      </w:tr>
      <w:tr w:rsidR="00E67914" w:rsidRPr="00E67914" w14:paraId="5DE775D0" w14:textId="77777777" w:rsidTr="0027191C">
        <w:tc>
          <w:tcPr>
            <w:tcW w:w="1062" w:type="dxa"/>
            <w:vAlign w:val="center"/>
          </w:tcPr>
          <w:p w14:paraId="6C53DF57" w14:textId="69F5A9CC"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硝酸盐</w:t>
            </w:r>
          </w:p>
        </w:tc>
        <w:tc>
          <w:tcPr>
            <w:tcW w:w="977" w:type="dxa"/>
            <w:vAlign w:val="center"/>
          </w:tcPr>
          <w:p w14:paraId="68AC0311" w14:textId="5446CCB3"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1.44</w:t>
            </w:r>
          </w:p>
        </w:tc>
        <w:tc>
          <w:tcPr>
            <w:tcW w:w="977" w:type="dxa"/>
            <w:vAlign w:val="center"/>
          </w:tcPr>
          <w:p w14:paraId="29FE83C3" w14:textId="3B27CD96"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1.01</w:t>
            </w:r>
          </w:p>
        </w:tc>
        <w:tc>
          <w:tcPr>
            <w:tcW w:w="977" w:type="dxa"/>
            <w:vAlign w:val="center"/>
          </w:tcPr>
          <w:p w14:paraId="2411887D" w14:textId="0106D62D"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0.926</w:t>
            </w:r>
          </w:p>
        </w:tc>
        <w:tc>
          <w:tcPr>
            <w:tcW w:w="977" w:type="dxa"/>
            <w:vAlign w:val="center"/>
          </w:tcPr>
          <w:p w14:paraId="4FADE32C" w14:textId="7E533849"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2.98</w:t>
            </w:r>
          </w:p>
        </w:tc>
        <w:tc>
          <w:tcPr>
            <w:tcW w:w="977" w:type="dxa"/>
            <w:vAlign w:val="center"/>
          </w:tcPr>
          <w:p w14:paraId="5CF0FEED" w14:textId="59A354B6"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0.409</w:t>
            </w:r>
          </w:p>
        </w:tc>
        <w:tc>
          <w:tcPr>
            <w:tcW w:w="857" w:type="dxa"/>
            <w:vAlign w:val="center"/>
          </w:tcPr>
          <w:p w14:paraId="2470B22D"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≤20</w:t>
            </w:r>
          </w:p>
        </w:tc>
        <w:tc>
          <w:tcPr>
            <w:tcW w:w="597" w:type="dxa"/>
            <w:vAlign w:val="center"/>
          </w:tcPr>
          <w:p w14:paraId="1270274A" w14:textId="7C7C45BA"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0.02</w:t>
            </w:r>
          </w:p>
        </w:tc>
        <w:tc>
          <w:tcPr>
            <w:tcW w:w="899" w:type="dxa"/>
            <w:vAlign w:val="center"/>
          </w:tcPr>
          <w:p w14:paraId="73A00B89" w14:textId="5EA55401"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0.15</w:t>
            </w:r>
          </w:p>
        </w:tc>
      </w:tr>
      <w:tr w:rsidR="00E67914" w:rsidRPr="00E67914" w14:paraId="7A6DBCA9" w14:textId="77777777" w:rsidTr="0027191C">
        <w:tc>
          <w:tcPr>
            <w:tcW w:w="1062" w:type="dxa"/>
            <w:vAlign w:val="center"/>
          </w:tcPr>
          <w:p w14:paraId="139F8DE6" w14:textId="107FF59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亚硝酸盐</w:t>
            </w:r>
          </w:p>
        </w:tc>
        <w:tc>
          <w:tcPr>
            <w:tcW w:w="977" w:type="dxa"/>
            <w:vAlign w:val="center"/>
          </w:tcPr>
          <w:p w14:paraId="6B136228"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61A97BCF"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3DFFA7F7"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13DB7A90"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977" w:type="dxa"/>
            <w:vAlign w:val="center"/>
          </w:tcPr>
          <w:p w14:paraId="65F992E5"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未检出</w:t>
            </w:r>
          </w:p>
        </w:tc>
        <w:tc>
          <w:tcPr>
            <w:tcW w:w="857" w:type="dxa"/>
            <w:vAlign w:val="center"/>
          </w:tcPr>
          <w:p w14:paraId="328537F4"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≤1.0</w:t>
            </w:r>
          </w:p>
        </w:tc>
        <w:tc>
          <w:tcPr>
            <w:tcW w:w="597" w:type="dxa"/>
            <w:vAlign w:val="center"/>
          </w:tcPr>
          <w:p w14:paraId="3BC06089"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5E4439E4"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r>
      <w:tr w:rsidR="00E67914" w:rsidRPr="00E67914" w14:paraId="790BBD18" w14:textId="77777777" w:rsidTr="0027191C">
        <w:tc>
          <w:tcPr>
            <w:tcW w:w="1062" w:type="dxa"/>
            <w:vAlign w:val="center"/>
          </w:tcPr>
          <w:p w14:paraId="5EEBA19E"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氨氮</w:t>
            </w:r>
          </w:p>
        </w:tc>
        <w:tc>
          <w:tcPr>
            <w:tcW w:w="977" w:type="dxa"/>
            <w:vAlign w:val="center"/>
          </w:tcPr>
          <w:p w14:paraId="10A41EEA" w14:textId="26473CDB"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0.302</w:t>
            </w:r>
          </w:p>
        </w:tc>
        <w:tc>
          <w:tcPr>
            <w:tcW w:w="977" w:type="dxa"/>
            <w:vAlign w:val="center"/>
          </w:tcPr>
          <w:p w14:paraId="0342BBCC" w14:textId="15F6777A"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0.259</w:t>
            </w:r>
          </w:p>
        </w:tc>
        <w:tc>
          <w:tcPr>
            <w:tcW w:w="977" w:type="dxa"/>
            <w:vAlign w:val="center"/>
          </w:tcPr>
          <w:p w14:paraId="322B2AD8" w14:textId="2B523599"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0.391</w:t>
            </w:r>
          </w:p>
        </w:tc>
        <w:tc>
          <w:tcPr>
            <w:tcW w:w="977" w:type="dxa"/>
            <w:vAlign w:val="center"/>
          </w:tcPr>
          <w:p w14:paraId="3D1780FB" w14:textId="0BDF03DB"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0.370</w:t>
            </w:r>
          </w:p>
        </w:tc>
        <w:tc>
          <w:tcPr>
            <w:tcW w:w="977" w:type="dxa"/>
            <w:vAlign w:val="center"/>
          </w:tcPr>
          <w:p w14:paraId="49BBE5DD" w14:textId="05A390CD"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0.402</w:t>
            </w:r>
          </w:p>
        </w:tc>
        <w:tc>
          <w:tcPr>
            <w:tcW w:w="857" w:type="dxa"/>
            <w:vAlign w:val="center"/>
          </w:tcPr>
          <w:p w14:paraId="486E3078"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≤0.5</w:t>
            </w:r>
          </w:p>
        </w:tc>
        <w:tc>
          <w:tcPr>
            <w:tcW w:w="597" w:type="dxa"/>
            <w:vAlign w:val="center"/>
          </w:tcPr>
          <w:p w14:paraId="4646359F" w14:textId="0A57B30A"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0.5</w:t>
            </w:r>
            <w:r w:rsidR="009960F0" w:rsidRPr="00E67914">
              <w:rPr>
                <w:rFonts w:ascii="Times New Roman" w:hAnsi="Times New Roman"/>
                <w:kern w:val="2"/>
                <w:sz w:val="21"/>
                <w:szCs w:val="21"/>
                <w:lang w:eastAsia="zh-CN"/>
              </w:rPr>
              <w:t>2</w:t>
            </w:r>
          </w:p>
        </w:tc>
        <w:tc>
          <w:tcPr>
            <w:tcW w:w="899" w:type="dxa"/>
            <w:vAlign w:val="center"/>
          </w:tcPr>
          <w:p w14:paraId="0E84004A" w14:textId="01BBD698"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0.80</w:t>
            </w:r>
          </w:p>
        </w:tc>
      </w:tr>
      <w:tr w:rsidR="00E67914" w:rsidRPr="00E67914" w14:paraId="0D9DB461" w14:textId="77777777" w:rsidTr="0027191C">
        <w:tc>
          <w:tcPr>
            <w:tcW w:w="1062" w:type="dxa"/>
            <w:vAlign w:val="center"/>
          </w:tcPr>
          <w:p w14:paraId="526233FC"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总大肠菌群</w:t>
            </w:r>
          </w:p>
        </w:tc>
        <w:tc>
          <w:tcPr>
            <w:tcW w:w="977" w:type="dxa"/>
            <w:vAlign w:val="center"/>
          </w:tcPr>
          <w:p w14:paraId="1C71248A"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&lt;2</w:t>
            </w:r>
          </w:p>
        </w:tc>
        <w:tc>
          <w:tcPr>
            <w:tcW w:w="977" w:type="dxa"/>
            <w:vAlign w:val="center"/>
          </w:tcPr>
          <w:p w14:paraId="3B937B61"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&lt;2</w:t>
            </w:r>
          </w:p>
        </w:tc>
        <w:tc>
          <w:tcPr>
            <w:tcW w:w="977" w:type="dxa"/>
            <w:vAlign w:val="center"/>
          </w:tcPr>
          <w:p w14:paraId="23F10963"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&lt;2</w:t>
            </w:r>
          </w:p>
        </w:tc>
        <w:tc>
          <w:tcPr>
            <w:tcW w:w="977" w:type="dxa"/>
            <w:vAlign w:val="center"/>
          </w:tcPr>
          <w:p w14:paraId="7101E9F0"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&lt;2</w:t>
            </w:r>
          </w:p>
        </w:tc>
        <w:tc>
          <w:tcPr>
            <w:tcW w:w="977" w:type="dxa"/>
            <w:vAlign w:val="center"/>
          </w:tcPr>
          <w:p w14:paraId="71788742"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&lt;2</w:t>
            </w:r>
          </w:p>
        </w:tc>
        <w:tc>
          <w:tcPr>
            <w:tcW w:w="857" w:type="dxa"/>
            <w:vAlign w:val="center"/>
          </w:tcPr>
          <w:p w14:paraId="37E9DE8C"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&lt;3</w:t>
            </w:r>
            <w:r w:rsidRPr="00E67914">
              <w:rPr>
                <w:rFonts w:ascii="Times New Roman" w:hAnsi="Times New Roman"/>
                <w:sz w:val="21"/>
                <w:szCs w:val="21"/>
              </w:rPr>
              <w:t>个</w:t>
            </w:r>
            <w:r w:rsidRPr="00E67914">
              <w:rPr>
                <w:rFonts w:ascii="Times New Roman" w:hAnsi="Times New Roman"/>
                <w:sz w:val="21"/>
                <w:szCs w:val="21"/>
              </w:rPr>
              <w:t>/L</w:t>
            </w:r>
          </w:p>
        </w:tc>
        <w:tc>
          <w:tcPr>
            <w:tcW w:w="597" w:type="dxa"/>
            <w:vAlign w:val="center"/>
          </w:tcPr>
          <w:p w14:paraId="220B662C"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c>
          <w:tcPr>
            <w:tcW w:w="899" w:type="dxa"/>
            <w:vAlign w:val="center"/>
          </w:tcPr>
          <w:p w14:paraId="2A5B5A23"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p>
        </w:tc>
      </w:tr>
      <w:tr w:rsidR="00E67914" w:rsidRPr="00E67914" w14:paraId="7E44A36C" w14:textId="77777777" w:rsidTr="0027191C">
        <w:tc>
          <w:tcPr>
            <w:tcW w:w="1062" w:type="dxa"/>
            <w:vAlign w:val="center"/>
          </w:tcPr>
          <w:p w14:paraId="761DA189"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b/>
                <w:bCs/>
                <w:sz w:val="21"/>
                <w:szCs w:val="21"/>
              </w:rPr>
              <w:t>细菌总数</w:t>
            </w:r>
          </w:p>
        </w:tc>
        <w:tc>
          <w:tcPr>
            <w:tcW w:w="977" w:type="dxa"/>
            <w:vAlign w:val="center"/>
          </w:tcPr>
          <w:p w14:paraId="69CAFCBA" w14:textId="10E6DD44"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12</w:t>
            </w:r>
          </w:p>
        </w:tc>
        <w:tc>
          <w:tcPr>
            <w:tcW w:w="977" w:type="dxa"/>
            <w:vAlign w:val="center"/>
          </w:tcPr>
          <w:p w14:paraId="2B4E646E" w14:textId="03C32A8F"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24</w:t>
            </w:r>
          </w:p>
        </w:tc>
        <w:tc>
          <w:tcPr>
            <w:tcW w:w="977" w:type="dxa"/>
            <w:vAlign w:val="center"/>
          </w:tcPr>
          <w:p w14:paraId="796FA946" w14:textId="714473E8"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12</w:t>
            </w:r>
          </w:p>
        </w:tc>
        <w:tc>
          <w:tcPr>
            <w:tcW w:w="977" w:type="dxa"/>
            <w:vAlign w:val="center"/>
          </w:tcPr>
          <w:p w14:paraId="4BBDD00D" w14:textId="6A1F81D1"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w:t>
            </w:r>
          </w:p>
        </w:tc>
        <w:tc>
          <w:tcPr>
            <w:tcW w:w="977" w:type="dxa"/>
            <w:vAlign w:val="center"/>
          </w:tcPr>
          <w:p w14:paraId="4BE352AC" w14:textId="55C4168D"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w:t>
            </w:r>
          </w:p>
        </w:tc>
        <w:tc>
          <w:tcPr>
            <w:tcW w:w="857" w:type="dxa"/>
            <w:vAlign w:val="center"/>
          </w:tcPr>
          <w:p w14:paraId="6AE7630E" w14:textId="77777777"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sz w:val="21"/>
                <w:szCs w:val="21"/>
              </w:rPr>
              <w:t>≤100</w:t>
            </w:r>
            <w:r w:rsidRPr="00E67914">
              <w:rPr>
                <w:rFonts w:ascii="Times New Roman" w:hAnsi="Times New Roman"/>
                <w:sz w:val="21"/>
                <w:szCs w:val="21"/>
              </w:rPr>
              <w:t>个</w:t>
            </w:r>
            <w:r w:rsidRPr="00E67914">
              <w:rPr>
                <w:rFonts w:ascii="Times New Roman" w:hAnsi="Times New Roman"/>
                <w:sz w:val="21"/>
                <w:szCs w:val="21"/>
              </w:rPr>
              <w:t>/L</w:t>
            </w:r>
          </w:p>
        </w:tc>
        <w:tc>
          <w:tcPr>
            <w:tcW w:w="597" w:type="dxa"/>
            <w:vAlign w:val="center"/>
          </w:tcPr>
          <w:p w14:paraId="49CFF05E" w14:textId="11E87024"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r w:rsidR="009960F0" w:rsidRPr="00E67914">
              <w:rPr>
                <w:rFonts w:ascii="Times New Roman" w:hAnsi="Times New Roman"/>
                <w:kern w:val="2"/>
                <w:sz w:val="21"/>
                <w:szCs w:val="21"/>
                <w:lang w:eastAsia="zh-CN"/>
              </w:rPr>
              <w:t>12</w:t>
            </w:r>
          </w:p>
        </w:tc>
        <w:tc>
          <w:tcPr>
            <w:tcW w:w="899" w:type="dxa"/>
            <w:vAlign w:val="center"/>
          </w:tcPr>
          <w:p w14:paraId="49452FB9" w14:textId="655CE39F" w:rsidR="00845A8F" w:rsidRPr="00E67914" w:rsidRDefault="00845A8F" w:rsidP="00845A8F">
            <w:pPr>
              <w:pStyle w:val="af"/>
              <w:adjustRightInd w:val="0"/>
              <w:snapToGrid w:val="0"/>
              <w:spacing w:before="0"/>
              <w:ind w:left="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w:t>
            </w:r>
            <w:r w:rsidR="009960F0" w:rsidRPr="00E67914">
              <w:rPr>
                <w:rFonts w:ascii="Times New Roman" w:hAnsi="Times New Roman"/>
                <w:kern w:val="2"/>
                <w:sz w:val="21"/>
                <w:szCs w:val="21"/>
                <w:lang w:eastAsia="zh-CN"/>
              </w:rPr>
              <w:t>24</w:t>
            </w:r>
          </w:p>
        </w:tc>
      </w:tr>
    </w:tbl>
    <w:p w14:paraId="2A3E508F" w14:textId="3795408D" w:rsidR="00A54A8A" w:rsidRPr="00E67914" w:rsidRDefault="00000000">
      <w:pPr>
        <w:pStyle w:val="a8"/>
        <w:snapToGrid w:val="0"/>
        <w:jc w:val="left"/>
        <w:rPr>
          <w:rFonts w:ascii="Times New Roman" w:hAnsi="Times New Roman"/>
          <w:szCs w:val="21"/>
        </w:rPr>
      </w:pPr>
      <w:r w:rsidRPr="00E67914">
        <w:rPr>
          <w:rFonts w:ascii="Times New Roman" w:hAnsi="Times New Roman"/>
          <w:szCs w:val="21"/>
        </w:rPr>
        <w:t>注：</w:t>
      </w:r>
      <w:r w:rsidRPr="00E67914">
        <w:rPr>
          <w:rFonts w:ascii="Times New Roman" w:hAnsi="Times New Roman"/>
          <w:szCs w:val="21"/>
        </w:rPr>
        <w:t>“*”</w:t>
      </w:r>
      <w:r w:rsidRPr="00E67914">
        <w:rPr>
          <w:rFonts w:ascii="Times New Roman" w:hAnsi="Times New Roman"/>
          <w:szCs w:val="21"/>
        </w:rPr>
        <w:t>为参考地表水标准。</w:t>
      </w:r>
    </w:p>
    <w:p w14:paraId="33A54E33"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由上表可见，项目区域地下水现状监测指标均未超过《地下水质量标准》（</w:t>
      </w:r>
      <w:r w:rsidRPr="00E67914">
        <w:rPr>
          <w:rFonts w:ascii="Times New Roman" w:hAnsi="Times New Roman"/>
          <w:bCs/>
          <w:kern w:val="2"/>
          <w:sz w:val="24"/>
          <w:szCs w:val="24"/>
          <w:lang w:eastAsia="zh-CN"/>
        </w:rPr>
        <w:t>GB/T14848-2017</w:t>
      </w:r>
      <w:r w:rsidRPr="00E67914">
        <w:rPr>
          <w:rFonts w:ascii="Times New Roman" w:hAnsi="Times New Roman"/>
          <w:bCs/>
          <w:kern w:val="2"/>
          <w:sz w:val="24"/>
          <w:szCs w:val="24"/>
          <w:lang w:eastAsia="zh-CN"/>
        </w:rPr>
        <w:t>）中的</w:t>
      </w:r>
      <w:r w:rsidRPr="00E67914">
        <w:rPr>
          <w:rFonts w:ascii="Times New Roman" w:hAnsi="Times New Roman"/>
          <w:bCs/>
          <w:kern w:val="2"/>
          <w:sz w:val="24"/>
          <w:szCs w:val="24"/>
          <w:lang w:eastAsia="zh-CN"/>
        </w:rPr>
        <w:t>Ⅲ</w:t>
      </w:r>
      <w:r w:rsidRPr="00E67914">
        <w:rPr>
          <w:rFonts w:ascii="Times New Roman" w:hAnsi="Times New Roman"/>
          <w:bCs/>
          <w:kern w:val="2"/>
          <w:sz w:val="24"/>
          <w:szCs w:val="24"/>
          <w:lang w:eastAsia="zh-CN"/>
        </w:rPr>
        <w:t>类标准限值要求，可知项目建设未对区域地下水环境造成不利影响。本项目所在地区地下水质量总体上良好，施工期间应加强项目建设期间的水污染管理工作，杜绝跑冒滴漏和做好防渗，避免对项目周围地下水的污染。</w:t>
      </w:r>
    </w:p>
    <w:p w14:paraId="67B5C29B"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）地下水化学类型分类</w:t>
      </w:r>
    </w:p>
    <w:p w14:paraId="42F7AA78"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根据评价方法中介绍的使用舒卡列夫法对地下水类型进行分类，需要找到主要离子中含量大于</w:t>
      </w:r>
      <w:r w:rsidRPr="00E67914">
        <w:rPr>
          <w:rFonts w:ascii="Times New Roman" w:hAnsi="Times New Roman"/>
          <w:bCs/>
          <w:kern w:val="2"/>
          <w:sz w:val="24"/>
          <w:szCs w:val="24"/>
          <w:lang w:eastAsia="zh-CN"/>
        </w:rPr>
        <w:t>25%</w:t>
      </w:r>
      <w:r w:rsidRPr="00E67914">
        <w:rPr>
          <w:rFonts w:ascii="Times New Roman" w:hAnsi="Times New Roman"/>
          <w:bCs/>
          <w:kern w:val="2"/>
          <w:sz w:val="24"/>
          <w:szCs w:val="24"/>
          <w:lang w:eastAsia="zh-CN"/>
        </w:rPr>
        <w:t>毫克当量的阴离子及阳离子进行组合，计算各水样的矿化度，计算结果见表</w:t>
      </w:r>
      <w:r w:rsidRPr="00E67914">
        <w:rPr>
          <w:rFonts w:ascii="Times New Roman" w:hAnsi="Times New Roman"/>
          <w:bCs/>
          <w:kern w:val="2"/>
          <w:sz w:val="24"/>
          <w:szCs w:val="24"/>
          <w:lang w:eastAsia="zh-CN"/>
        </w:rPr>
        <w:t>4.2-8</w:t>
      </w:r>
      <w:r w:rsidRPr="00E67914">
        <w:rPr>
          <w:rFonts w:ascii="Times New Roman" w:hAnsi="Times New Roman"/>
          <w:bCs/>
          <w:kern w:val="2"/>
          <w:sz w:val="24"/>
          <w:szCs w:val="24"/>
          <w:lang w:eastAsia="zh-CN"/>
        </w:rPr>
        <w:t>。</w:t>
      </w:r>
    </w:p>
    <w:p w14:paraId="3253A898"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4.2-8  </w:t>
      </w:r>
      <w:r w:rsidRPr="00E67914">
        <w:rPr>
          <w:rFonts w:ascii="Times New Roman" w:eastAsia="黑体" w:hAnsi="Times New Roman"/>
          <w:sz w:val="21"/>
          <w:szCs w:val="21"/>
          <w:lang w:eastAsia="zh-CN"/>
        </w:rPr>
        <w:t>区域地下水阴阳离子含量比例及各水样矿化度一览表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057"/>
        <w:gridCol w:w="1106"/>
        <w:gridCol w:w="1106"/>
        <w:gridCol w:w="1001"/>
        <w:gridCol w:w="896"/>
        <w:gridCol w:w="1134"/>
      </w:tblGrid>
      <w:tr w:rsidR="00E67914" w:rsidRPr="00E67914" w14:paraId="17DEA734" w14:textId="77777777" w:rsidTr="00166547">
        <w:trPr>
          <w:jc w:val="center"/>
        </w:trPr>
        <w:tc>
          <w:tcPr>
            <w:tcW w:w="1842" w:type="pct"/>
            <w:vMerge w:val="restart"/>
            <w:vAlign w:val="center"/>
          </w:tcPr>
          <w:p w14:paraId="4E77916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监测因子</w:t>
            </w:r>
          </w:p>
        </w:tc>
        <w:tc>
          <w:tcPr>
            <w:tcW w:w="3158" w:type="pct"/>
            <w:gridSpan w:val="5"/>
            <w:vAlign w:val="center"/>
          </w:tcPr>
          <w:p w14:paraId="5C111EF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监测点位及时间、监测结果</w:t>
            </w:r>
          </w:p>
        </w:tc>
      </w:tr>
      <w:tr w:rsidR="00E67914" w:rsidRPr="00E67914" w14:paraId="2D8162D9" w14:textId="77777777" w:rsidTr="00166547">
        <w:trPr>
          <w:jc w:val="center"/>
        </w:trPr>
        <w:tc>
          <w:tcPr>
            <w:tcW w:w="1842" w:type="pct"/>
            <w:vMerge/>
            <w:vAlign w:val="center"/>
          </w:tcPr>
          <w:p w14:paraId="53C140D1" w14:textId="77777777" w:rsidR="00A54A8A" w:rsidRPr="00E67914" w:rsidRDefault="00A54A8A">
            <w:pPr>
              <w:adjustRightInd w:val="0"/>
              <w:snapToGrid w:val="0"/>
              <w:jc w:val="center"/>
              <w:rPr>
                <w:rFonts w:ascii="Times New Roman" w:hAnsi="Times New Roman"/>
                <w:sz w:val="21"/>
                <w:szCs w:val="21"/>
                <w:lang w:eastAsia="zh-CN"/>
              </w:rPr>
            </w:pPr>
          </w:p>
        </w:tc>
        <w:tc>
          <w:tcPr>
            <w:tcW w:w="666" w:type="pct"/>
            <w:vAlign w:val="center"/>
          </w:tcPr>
          <w:p w14:paraId="37E08458"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666" w:type="pct"/>
            <w:vAlign w:val="center"/>
          </w:tcPr>
          <w:p w14:paraId="3B41E57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w:t>
            </w:r>
          </w:p>
        </w:tc>
        <w:tc>
          <w:tcPr>
            <w:tcW w:w="603" w:type="pct"/>
            <w:vAlign w:val="center"/>
          </w:tcPr>
          <w:p w14:paraId="6A0C89E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w:t>
            </w:r>
          </w:p>
        </w:tc>
        <w:tc>
          <w:tcPr>
            <w:tcW w:w="540" w:type="pct"/>
            <w:vAlign w:val="center"/>
          </w:tcPr>
          <w:p w14:paraId="7E1338E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4#</w:t>
            </w:r>
          </w:p>
        </w:tc>
        <w:tc>
          <w:tcPr>
            <w:tcW w:w="683" w:type="pct"/>
            <w:vAlign w:val="center"/>
          </w:tcPr>
          <w:p w14:paraId="427C16B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w:t>
            </w:r>
          </w:p>
        </w:tc>
      </w:tr>
      <w:tr w:rsidR="00E67914" w:rsidRPr="00E67914" w14:paraId="5A92A894" w14:textId="77777777" w:rsidTr="00166547">
        <w:trPr>
          <w:jc w:val="center"/>
        </w:trPr>
        <w:tc>
          <w:tcPr>
            <w:tcW w:w="1842" w:type="pct"/>
            <w:vMerge/>
            <w:vAlign w:val="center"/>
          </w:tcPr>
          <w:p w14:paraId="57B9E0EB" w14:textId="77777777" w:rsidR="00A54A8A" w:rsidRPr="00E67914" w:rsidRDefault="00A54A8A">
            <w:pPr>
              <w:adjustRightInd w:val="0"/>
              <w:snapToGrid w:val="0"/>
              <w:jc w:val="center"/>
              <w:rPr>
                <w:rFonts w:ascii="Times New Roman" w:hAnsi="Times New Roman"/>
                <w:sz w:val="21"/>
                <w:szCs w:val="21"/>
                <w:lang w:eastAsia="zh-CN"/>
              </w:rPr>
            </w:pPr>
          </w:p>
        </w:tc>
        <w:tc>
          <w:tcPr>
            <w:tcW w:w="3158" w:type="pct"/>
            <w:gridSpan w:val="5"/>
            <w:vAlign w:val="center"/>
          </w:tcPr>
          <w:p w14:paraId="10F67928" w14:textId="17B07B93"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202</w:t>
            </w:r>
            <w:r w:rsidR="009960F0" w:rsidRPr="00E67914">
              <w:rPr>
                <w:rFonts w:ascii="Times New Roman" w:hAnsi="Times New Roman"/>
                <w:sz w:val="21"/>
                <w:szCs w:val="21"/>
                <w:lang w:eastAsia="zh-CN"/>
              </w:rPr>
              <w:t>3</w:t>
            </w:r>
            <w:r w:rsidRPr="00E67914">
              <w:rPr>
                <w:rFonts w:ascii="Times New Roman" w:hAnsi="Times New Roman"/>
                <w:sz w:val="21"/>
                <w:szCs w:val="21"/>
                <w:lang w:eastAsia="zh-CN"/>
              </w:rPr>
              <w:t>.</w:t>
            </w:r>
            <w:r w:rsidR="009960F0" w:rsidRPr="00E67914">
              <w:rPr>
                <w:rFonts w:ascii="Times New Roman" w:hAnsi="Times New Roman"/>
                <w:sz w:val="21"/>
                <w:szCs w:val="21"/>
                <w:lang w:eastAsia="zh-CN"/>
              </w:rPr>
              <w:t>08</w:t>
            </w:r>
            <w:r w:rsidRPr="00E67914">
              <w:rPr>
                <w:rFonts w:ascii="Times New Roman" w:hAnsi="Times New Roman"/>
                <w:sz w:val="21"/>
                <w:szCs w:val="21"/>
                <w:lang w:eastAsia="zh-CN"/>
              </w:rPr>
              <w:t>.</w:t>
            </w:r>
            <w:r w:rsidR="009960F0" w:rsidRPr="00E67914">
              <w:rPr>
                <w:rFonts w:ascii="Times New Roman" w:hAnsi="Times New Roman"/>
                <w:sz w:val="21"/>
                <w:szCs w:val="21"/>
                <w:lang w:eastAsia="zh-CN"/>
              </w:rPr>
              <w:t>09</w:t>
            </w:r>
          </w:p>
        </w:tc>
      </w:tr>
      <w:tr w:rsidR="00E67914" w:rsidRPr="00E67914" w14:paraId="688AD725" w14:textId="77777777">
        <w:trPr>
          <w:jc w:val="center"/>
        </w:trPr>
        <w:tc>
          <w:tcPr>
            <w:tcW w:w="5000" w:type="pct"/>
            <w:gridSpan w:val="6"/>
            <w:vAlign w:val="center"/>
          </w:tcPr>
          <w:p w14:paraId="475A26A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监测结果（</w:t>
            </w:r>
            <w:r w:rsidRPr="00E67914">
              <w:rPr>
                <w:rFonts w:ascii="Times New Roman" w:hAnsi="Times New Roman"/>
                <w:sz w:val="21"/>
                <w:szCs w:val="21"/>
                <w:lang w:eastAsia="zh-CN"/>
              </w:rPr>
              <w:t>mg/l</w:t>
            </w:r>
            <w:r w:rsidRPr="00E67914">
              <w:rPr>
                <w:rFonts w:ascii="Times New Roman" w:hAnsi="Times New Roman"/>
                <w:sz w:val="21"/>
                <w:szCs w:val="21"/>
                <w:lang w:eastAsia="zh-CN"/>
              </w:rPr>
              <w:t>）</w:t>
            </w:r>
          </w:p>
        </w:tc>
      </w:tr>
      <w:tr w:rsidR="00E67914" w:rsidRPr="00E67914" w14:paraId="4C80D6A3" w14:textId="77777777" w:rsidTr="00166547">
        <w:trPr>
          <w:jc w:val="center"/>
        </w:trPr>
        <w:tc>
          <w:tcPr>
            <w:tcW w:w="1842" w:type="pct"/>
            <w:vAlign w:val="center"/>
          </w:tcPr>
          <w:p w14:paraId="316CA2E6" w14:textId="77777777"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钾</w:t>
            </w:r>
          </w:p>
        </w:tc>
        <w:tc>
          <w:tcPr>
            <w:tcW w:w="666" w:type="pct"/>
            <w:vAlign w:val="center"/>
          </w:tcPr>
          <w:p w14:paraId="2FB22015" w14:textId="34727B35"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1.72</w:t>
            </w:r>
          </w:p>
        </w:tc>
        <w:tc>
          <w:tcPr>
            <w:tcW w:w="666" w:type="pct"/>
            <w:vAlign w:val="center"/>
          </w:tcPr>
          <w:p w14:paraId="5F8586E4" w14:textId="26ED73A7"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0.79</w:t>
            </w:r>
          </w:p>
        </w:tc>
        <w:tc>
          <w:tcPr>
            <w:tcW w:w="603" w:type="pct"/>
            <w:vAlign w:val="center"/>
          </w:tcPr>
          <w:p w14:paraId="2094BAB0" w14:textId="7E7A9303"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1.04</w:t>
            </w:r>
          </w:p>
        </w:tc>
        <w:tc>
          <w:tcPr>
            <w:tcW w:w="540" w:type="pct"/>
            <w:vAlign w:val="center"/>
          </w:tcPr>
          <w:p w14:paraId="04CAADF6" w14:textId="3F66CB45"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1.40</w:t>
            </w:r>
          </w:p>
        </w:tc>
        <w:tc>
          <w:tcPr>
            <w:tcW w:w="683" w:type="pct"/>
            <w:vAlign w:val="center"/>
          </w:tcPr>
          <w:p w14:paraId="6E80566F" w14:textId="6590EAF5"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2.01</w:t>
            </w:r>
          </w:p>
        </w:tc>
      </w:tr>
      <w:tr w:rsidR="00E67914" w:rsidRPr="00E67914" w14:paraId="0F4BD7CA" w14:textId="77777777" w:rsidTr="00166547">
        <w:trPr>
          <w:jc w:val="center"/>
        </w:trPr>
        <w:tc>
          <w:tcPr>
            <w:tcW w:w="1842" w:type="pct"/>
            <w:vAlign w:val="center"/>
          </w:tcPr>
          <w:p w14:paraId="05B6FDDD"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钠</w:t>
            </w:r>
          </w:p>
        </w:tc>
        <w:tc>
          <w:tcPr>
            <w:tcW w:w="666" w:type="pct"/>
            <w:vAlign w:val="center"/>
          </w:tcPr>
          <w:p w14:paraId="5835C82C" w14:textId="0392B17E"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11.4</w:t>
            </w:r>
          </w:p>
        </w:tc>
        <w:tc>
          <w:tcPr>
            <w:tcW w:w="666" w:type="pct"/>
            <w:vAlign w:val="center"/>
          </w:tcPr>
          <w:p w14:paraId="224D255D" w14:textId="2DAFE53F"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12.1</w:t>
            </w:r>
          </w:p>
        </w:tc>
        <w:tc>
          <w:tcPr>
            <w:tcW w:w="603" w:type="pct"/>
            <w:vAlign w:val="center"/>
          </w:tcPr>
          <w:p w14:paraId="049F3169" w14:textId="4FFA7DC0"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11.3</w:t>
            </w:r>
          </w:p>
        </w:tc>
        <w:tc>
          <w:tcPr>
            <w:tcW w:w="540" w:type="pct"/>
            <w:vAlign w:val="center"/>
          </w:tcPr>
          <w:p w14:paraId="6A374DB4" w14:textId="57B6FCC0"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11.3</w:t>
            </w:r>
          </w:p>
        </w:tc>
        <w:tc>
          <w:tcPr>
            <w:tcW w:w="683" w:type="pct"/>
            <w:vAlign w:val="center"/>
          </w:tcPr>
          <w:p w14:paraId="66ACD3F2" w14:textId="220B2EF7"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11.2</w:t>
            </w:r>
          </w:p>
        </w:tc>
      </w:tr>
      <w:tr w:rsidR="00E67914" w:rsidRPr="00E67914" w14:paraId="468D4A13" w14:textId="77777777" w:rsidTr="00166547">
        <w:trPr>
          <w:jc w:val="center"/>
        </w:trPr>
        <w:tc>
          <w:tcPr>
            <w:tcW w:w="1842" w:type="pct"/>
            <w:vAlign w:val="center"/>
          </w:tcPr>
          <w:p w14:paraId="6BA210EF"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钙</w:t>
            </w:r>
          </w:p>
        </w:tc>
        <w:tc>
          <w:tcPr>
            <w:tcW w:w="666" w:type="pct"/>
            <w:vAlign w:val="center"/>
          </w:tcPr>
          <w:p w14:paraId="437095A3" w14:textId="22156BB6"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25.2</w:t>
            </w:r>
          </w:p>
        </w:tc>
        <w:tc>
          <w:tcPr>
            <w:tcW w:w="666" w:type="pct"/>
            <w:vAlign w:val="center"/>
          </w:tcPr>
          <w:p w14:paraId="51296EF2" w14:textId="2AD1DE84"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25.8</w:t>
            </w:r>
          </w:p>
        </w:tc>
        <w:tc>
          <w:tcPr>
            <w:tcW w:w="603" w:type="pct"/>
            <w:vAlign w:val="center"/>
          </w:tcPr>
          <w:p w14:paraId="3D9226DC" w14:textId="505226AC"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30.9</w:t>
            </w:r>
          </w:p>
        </w:tc>
        <w:tc>
          <w:tcPr>
            <w:tcW w:w="540" w:type="pct"/>
            <w:vAlign w:val="center"/>
          </w:tcPr>
          <w:p w14:paraId="2AE9A3CF" w14:textId="7AA28194"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28.6</w:t>
            </w:r>
          </w:p>
        </w:tc>
        <w:tc>
          <w:tcPr>
            <w:tcW w:w="683" w:type="pct"/>
            <w:vAlign w:val="center"/>
          </w:tcPr>
          <w:p w14:paraId="603E0687" w14:textId="4751F696"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30.0</w:t>
            </w:r>
          </w:p>
        </w:tc>
      </w:tr>
      <w:tr w:rsidR="00E67914" w:rsidRPr="00E67914" w14:paraId="040B4091" w14:textId="77777777" w:rsidTr="00166547">
        <w:trPr>
          <w:jc w:val="center"/>
        </w:trPr>
        <w:tc>
          <w:tcPr>
            <w:tcW w:w="1842" w:type="pct"/>
            <w:vAlign w:val="center"/>
          </w:tcPr>
          <w:p w14:paraId="355F9D5C"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镁</w:t>
            </w:r>
          </w:p>
        </w:tc>
        <w:tc>
          <w:tcPr>
            <w:tcW w:w="666" w:type="pct"/>
            <w:vAlign w:val="center"/>
          </w:tcPr>
          <w:p w14:paraId="30249FD3" w14:textId="2E6DC105"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30.7</w:t>
            </w:r>
          </w:p>
        </w:tc>
        <w:tc>
          <w:tcPr>
            <w:tcW w:w="666" w:type="pct"/>
            <w:vAlign w:val="center"/>
          </w:tcPr>
          <w:p w14:paraId="08142D7C" w14:textId="43929F34"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30.0</w:t>
            </w:r>
          </w:p>
        </w:tc>
        <w:tc>
          <w:tcPr>
            <w:tcW w:w="603" w:type="pct"/>
            <w:vAlign w:val="center"/>
          </w:tcPr>
          <w:p w14:paraId="09219AA2" w14:textId="6AF2652E"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30.3</w:t>
            </w:r>
          </w:p>
        </w:tc>
        <w:tc>
          <w:tcPr>
            <w:tcW w:w="540" w:type="pct"/>
            <w:vAlign w:val="center"/>
          </w:tcPr>
          <w:p w14:paraId="6935EF3F" w14:textId="70208700"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37.2</w:t>
            </w:r>
          </w:p>
        </w:tc>
        <w:tc>
          <w:tcPr>
            <w:tcW w:w="683" w:type="pct"/>
            <w:vAlign w:val="center"/>
          </w:tcPr>
          <w:p w14:paraId="55283F25" w14:textId="2AE7FD6B"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37.9</w:t>
            </w:r>
          </w:p>
        </w:tc>
      </w:tr>
      <w:tr w:rsidR="00E67914" w:rsidRPr="00E67914" w14:paraId="22DCC03C" w14:textId="77777777" w:rsidTr="00166547">
        <w:trPr>
          <w:jc w:val="center"/>
        </w:trPr>
        <w:tc>
          <w:tcPr>
            <w:tcW w:w="1842" w:type="pct"/>
            <w:vAlign w:val="center"/>
          </w:tcPr>
          <w:p w14:paraId="3EB8B126"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碳酸根</w:t>
            </w:r>
          </w:p>
        </w:tc>
        <w:tc>
          <w:tcPr>
            <w:tcW w:w="666" w:type="pct"/>
            <w:vAlign w:val="center"/>
          </w:tcPr>
          <w:p w14:paraId="4E70DAAB"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0</w:t>
            </w:r>
          </w:p>
        </w:tc>
        <w:tc>
          <w:tcPr>
            <w:tcW w:w="666" w:type="pct"/>
            <w:vAlign w:val="center"/>
          </w:tcPr>
          <w:p w14:paraId="5A81A01F"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0</w:t>
            </w:r>
          </w:p>
        </w:tc>
        <w:tc>
          <w:tcPr>
            <w:tcW w:w="603" w:type="pct"/>
            <w:vAlign w:val="center"/>
          </w:tcPr>
          <w:p w14:paraId="39E8A279"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0</w:t>
            </w:r>
          </w:p>
        </w:tc>
        <w:tc>
          <w:tcPr>
            <w:tcW w:w="540" w:type="pct"/>
            <w:vAlign w:val="center"/>
          </w:tcPr>
          <w:p w14:paraId="2CADD44D"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0</w:t>
            </w:r>
          </w:p>
        </w:tc>
        <w:tc>
          <w:tcPr>
            <w:tcW w:w="683" w:type="pct"/>
            <w:vAlign w:val="center"/>
          </w:tcPr>
          <w:p w14:paraId="23B6475F"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0</w:t>
            </w:r>
          </w:p>
        </w:tc>
      </w:tr>
      <w:tr w:rsidR="00E67914" w:rsidRPr="00E67914" w14:paraId="5D88DFC7" w14:textId="77777777" w:rsidTr="00166547">
        <w:trPr>
          <w:jc w:val="center"/>
        </w:trPr>
        <w:tc>
          <w:tcPr>
            <w:tcW w:w="1842" w:type="pct"/>
            <w:vAlign w:val="center"/>
          </w:tcPr>
          <w:p w14:paraId="09C78488"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重碳酸根</w:t>
            </w:r>
          </w:p>
        </w:tc>
        <w:tc>
          <w:tcPr>
            <w:tcW w:w="666" w:type="pct"/>
            <w:vAlign w:val="center"/>
          </w:tcPr>
          <w:p w14:paraId="46341ADD" w14:textId="6DEC0C63"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3.12</w:t>
            </w:r>
          </w:p>
        </w:tc>
        <w:tc>
          <w:tcPr>
            <w:tcW w:w="666" w:type="pct"/>
            <w:vAlign w:val="center"/>
          </w:tcPr>
          <w:p w14:paraId="57F778BC" w14:textId="13A41E50"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3.65</w:t>
            </w:r>
          </w:p>
        </w:tc>
        <w:tc>
          <w:tcPr>
            <w:tcW w:w="603" w:type="pct"/>
            <w:vAlign w:val="center"/>
          </w:tcPr>
          <w:p w14:paraId="4BDFA614" w14:textId="1A2BAFB7"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4.12</w:t>
            </w:r>
          </w:p>
        </w:tc>
        <w:tc>
          <w:tcPr>
            <w:tcW w:w="540" w:type="pct"/>
            <w:vAlign w:val="center"/>
          </w:tcPr>
          <w:p w14:paraId="5DF328AD" w14:textId="1900D25B"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3.89</w:t>
            </w:r>
          </w:p>
        </w:tc>
        <w:tc>
          <w:tcPr>
            <w:tcW w:w="683" w:type="pct"/>
            <w:vAlign w:val="center"/>
          </w:tcPr>
          <w:p w14:paraId="546C65C3" w14:textId="4F929C7D"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4.52</w:t>
            </w:r>
          </w:p>
        </w:tc>
      </w:tr>
      <w:tr w:rsidR="00E67914" w:rsidRPr="00E67914" w14:paraId="63813AD7" w14:textId="77777777" w:rsidTr="00166547">
        <w:trPr>
          <w:jc w:val="center"/>
        </w:trPr>
        <w:tc>
          <w:tcPr>
            <w:tcW w:w="1842" w:type="pct"/>
            <w:vAlign w:val="center"/>
          </w:tcPr>
          <w:p w14:paraId="66FDAB62" w14:textId="1BB0A810"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氯化物</w:t>
            </w:r>
          </w:p>
        </w:tc>
        <w:tc>
          <w:tcPr>
            <w:tcW w:w="666" w:type="pct"/>
            <w:vAlign w:val="center"/>
          </w:tcPr>
          <w:p w14:paraId="2CA4C37E" w14:textId="71237A7A"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11.2</w:t>
            </w:r>
          </w:p>
        </w:tc>
        <w:tc>
          <w:tcPr>
            <w:tcW w:w="666" w:type="pct"/>
            <w:vAlign w:val="center"/>
          </w:tcPr>
          <w:p w14:paraId="47EC7A09" w14:textId="791E94C0"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11.0</w:t>
            </w:r>
          </w:p>
        </w:tc>
        <w:tc>
          <w:tcPr>
            <w:tcW w:w="603" w:type="pct"/>
            <w:vAlign w:val="center"/>
          </w:tcPr>
          <w:p w14:paraId="56128D20" w14:textId="253D8276"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2.09</w:t>
            </w:r>
          </w:p>
        </w:tc>
        <w:tc>
          <w:tcPr>
            <w:tcW w:w="540" w:type="pct"/>
            <w:vAlign w:val="center"/>
          </w:tcPr>
          <w:p w14:paraId="20BCE702" w14:textId="43C2B452"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13.6</w:t>
            </w:r>
          </w:p>
        </w:tc>
        <w:tc>
          <w:tcPr>
            <w:tcW w:w="683" w:type="pct"/>
            <w:vAlign w:val="center"/>
          </w:tcPr>
          <w:p w14:paraId="09F6FE2A" w14:textId="1F8C8442"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10.4</w:t>
            </w:r>
          </w:p>
        </w:tc>
      </w:tr>
      <w:tr w:rsidR="00E67914" w:rsidRPr="00E67914" w14:paraId="3798D2A0" w14:textId="77777777" w:rsidTr="00166547">
        <w:trPr>
          <w:jc w:val="center"/>
        </w:trPr>
        <w:tc>
          <w:tcPr>
            <w:tcW w:w="1842" w:type="pct"/>
            <w:vAlign w:val="center"/>
          </w:tcPr>
          <w:p w14:paraId="6FBB430A" w14:textId="7D9518D0"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硫酸盐</w:t>
            </w:r>
          </w:p>
        </w:tc>
        <w:tc>
          <w:tcPr>
            <w:tcW w:w="666" w:type="pct"/>
            <w:vAlign w:val="center"/>
          </w:tcPr>
          <w:p w14:paraId="7E07B6EA" w14:textId="129EEEAA"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23.2</w:t>
            </w:r>
          </w:p>
        </w:tc>
        <w:tc>
          <w:tcPr>
            <w:tcW w:w="666" w:type="pct"/>
            <w:vAlign w:val="center"/>
          </w:tcPr>
          <w:p w14:paraId="09011896" w14:textId="76369ECF"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17.3</w:t>
            </w:r>
          </w:p>
        </w:tc>
        <w:tc>
          <w:tcPr>
            <w:tcW w:w="603" w:type="pct"/>
            <w:vAlign w:val="center"/>
          </w:tcPr>
          <w:p w14:paraId="0A18E36D" w14:textId="28776E1A"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17.6</w:t>
            </w:r>
          </w:p>
        </w:tc>
        <w:tc>
          <w:tcPr>
            <w:tcW w:w="540" w:type="pct"/>
            <w:vAlign w:val="center"/>
          </w:tcPr>
          <w:p w14:paraId="77D97129" w14:textId="08C79B83"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14.4</w:t>
            </w:r>
          </w:p>
        </w:tc>
        <w:tc>
          <w:tcPr>
            <w:tcW w:w="683" w:type="pct"/>
            <w:vAlign w:val="center"/>
          </w:tcPr>
          <w:p w14:paraId="6BD7244F" w14:textId="6CA5AFAD" w:rsidR="009960F0" w:rsidRPr="00E67914" w:rsidRDefault="009960F0" w:rsidP="009960F0">
            <w:pPr>
              <w:jc w:val="center"/>
              <w:rPr>
                <w:rFonts w:ascii="Times New Roman" w:hAnsi="Times New Roman"/>
                <w:sz w:val="21"/>
                <w:szCs w:val="21"/>
              </w:rPr>
            </w:pPr>
            <w:r w:rsidRPr="00E67914">
              <w:rPr>
                <w:rFonts w:ascii="Times New Roman" w:hAnsi="Times New Roman"/>
                <w:kern w:val="2"/>
                <w:sz w:val="21"/>
                <w:szCs w:val="21"/>
                <w:lang w:eastAsia="zh-CN"/>
              </w:rPr>
              <w:t>12.9</w:t>
            </w:r>
          </w:p>
        </w:tc>
      </w:tr>
      <w:tr w:rsidR="00E67914" w:rsidRPr="00E67914" w14:paraId="168F628B" w14:textId="77777777">
        <w:trPr>
          <w:jc w:val="center"/>
        </w:trPr>
        <w:tc>
          <w:tcPr>
            <w:tcW w:w="5000" w:type="pct"/>
            <w:gridSpan w:val="6"/>
            <w:vAlign w:val="center"/>
          </w:tcPr>
          <w:p w14:paraId="7CD51B90" w14:textId="77777777"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lang w:eastAsia="zh-CN"/>
              </w:rPr>
              <w:t>当量浓度（</w:t>
            </w:r>
            <w:r w:rsidRPr="00E67914">
              <w:rPr>
                <w:rFonts w:ascii="Times New Roman" w:hAnsi="Times New Roman"/>
                <w:sz w:val="21"/>
                <w:szCs w:val="21"/>
                <w:lang w:eastAsia="zh-CN"/>
              </w:rPr>
              <w:t>meq/L</w:t>
            </w:r>
            <w:r w:rsidRPr="00E67914">
              <w:rPr>
                <w:rFonts w:ascii="Times New Roman" w:hAnsi="Times New Roman"/>
                <w:sz w:val="21"/>
                <w:szCs w:val="21"/>
                <w:lang w:eastAsia="zh-CN"/>
              </w:rPr>
              <w:t>）</w:t>
            </w:r>
          </w:p>
        </w:tc>
      </w:tr>
      <w:tr w:rsidR="00E67914" w:rsidRPr="00E67914" w14:paraId="7FC9AB69" w14:textId="77777777" w:rsidTr="00166547">
        <w:trPr>
          <w:jc w:val="center"/>
        </w:trPr>
        <w:tc>
          <w:tcPr>
            <w:tcW w:w="1842" w:type="pct"/>
            <w:vAlign w:val="center"/>
          </w:tcPr>
          <w:p w14:paraId="15C43275"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钠</w:t>
            </w:r>
            <w:r w:rsidRPr="00E67914">
              <w:rPr>
                <w:rFonts w:ascii="Times New Roman" w:hAnsi="Times New Roman"/>
                <w:sz w:val="21"/>
                <w:szCs w:val="21"/>
              </w:rPr>
              <w:t>+</w:t>
            </w:r>
            <w:r w:rsidRPr="00E67914">
              <w:rPr>
                <w:rFonts w:ascii="Times New Roman" w:hAnsi="Times New Roman"/>
                <w:sz w:val="21"/>
                <w:szCs w:val="21"/>
              </w:rPr>
              <w:t>钾</w:t>
            </w:r>
          </w:p>
        </w:tc>
        <w:tc>
          <w:tcPr>
            <w:tcW w:w="666" w:type="pct"/>
            <w:vAlign w:val="center"/>
          </w:tcPr>
          <w:p w14:paraId="22D082AE" w14:textId="2208CC4C"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0.54 </w:t>
            </w:r>
          </w:p>
        </w:tc>
        <w:tc>
          <w:tcPr>
            <w:tcW w:w="666" w:type="pct"/>
            <w:vAlign w:val="center"/>
          </w:tcPr>
          <w:p w14:paraId="34320E53" w14:textId="493C662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0.55 </w:t>
            </w:r>
          </w:p>
        </w:tc>
        <w:tc>
          <w:tcPr>
            <w:tcW w:w="603" w:type="pct"/>
            <w:vAlign w:val="center"/>
          </w:tcPr>
          <w:p w14:paraId="7F5C5A12" w14:textId="2B89F656"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0.52 </w:t>
            </w:r>
          </w:p>
        </w:tc>
        <w:tc>
          <w:tcPr>
            <w:tcW w:w="540" w:type="pct"/>
            <w:vAlign w:val="center"/>
          </w:tcPr>
          <w:p w14:paraId="14F84F2A" w14:textId="14F5465F"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0.53 </w:t>
            </w:r>
          </w:p>
        </w:tc>
        <w:tc>
          <w:tcPr>
            <w:tcW w:w="683" w:type="pct"/>
            <w:vAlign w:val="center"/>
          </w:tcPr>
          <w:p w14:paraId="1501C405" w14:textId="20995838"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0.54 </w:t>
            </w:r>
          </w:p>
        </w:tc>
      </w:tr>
      <w:tr w:rsidR="00E67914" w:rsidRPr="00E67914" w14:paraId="28004C9B" w14:textId="77777777" w:rsidTr="00166547">
        <w:trPr>
          <w:jc w:val="center"/>
        </w:trPr>
        <w:tc>
          <w:tcPr>
            <w:tcW w:w="1842" w:type="pct"/>
            <w:vAlign w:val="center"/>
          </w:tcPr>
          <w:p w14:paraId="76C1D2CD"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钙</w:t>
            </w:r>
          </w:p>
        </w:tc>
        <w:tc>
          <w:tcPr>
            <w:tcW w:w="666" w:type="pct"/>
            <w:vAlign w:val="center"/>
          </w:tcPr>
          <w:p w14:paraId="04C105D3" w14:textId="46923A34"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1.26 </w:t>
            </w:r>
          </w:p>
        </w:tc>
        <w:tc>
          <w:tcPr>
            <w:tcW w:w="666" w:type="pct"/>
            <w:vAlign w:val="center"/>
          </w:tcPr>
          <w:p w14:paraId="7C093329" w14:textId="2D27B36C"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1.29 </w:t>
            </w:r>
          </w:p>
        </w:tc>
        <w:tc>
          <w:tcPr>
            <w:tcW w:w="603" w:type="pct"/>
            <w:vAlign w:val="center"/>
          </w:tcPr>
          <w:p w14:paraId="07FC9EFD" w14:textId="66BC1862"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1.55 </w:t>
            </w:r>
          </w:p>
        </w:tc>
        <w:tc>
          <w:tcPr>
            <w:tcW w:w="540" w:type="pct"/>
            <w:vAlign w:val="center"/>
          </w:tcPr>
          <w:p w14:paraId="016C0364" w14:textId="35DA2E8B"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1.43 </w:t>
            </w:r>
          </w:p>
        </w:tc>
        <w:tc>
          <w:tcPr>
            <w:tcW w:w="683" w:type="pct"/>
            <w:vAlign w:val="center"/>
          </w:tcPr>
          <w:p w14:paraId="27CABEA3" w14:textId="0E3847F1"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1.50 </w:t>
            </w:r>
          </w:p>
        </w:tc>
      </w:tr>
      <w:tr w:rsidR="00E67914" w:rsidRPr="00E67914" w14:paraId="09526BAA" w14:textId="77777777" w:rsidTr="00166547">
        <w:trPr>
          <w:jc w:val="center"/>
        </w:trPr>
        <w:tc>
          <w:tcPr>
            <w:tcW w:w="1842" w:type="pct"/>
            <w:vAlign w:val="center"/>
          </w:tcPr>
          <w:p w14:paraId="2E87B009"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镁</w:t>
            </w:r>
          </w:p>
        </w:tc>
        <w:tc>
          <w:tcPr>
            <w:tcW w:w="666" w:type="pct"/>
            <w:vAlign w:val="center"/>
          </w:tcPr>
          <w:p w14:paraId="267923AC" w14:textId="72CFB860"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2.56 </w:t>
            </w:r>
          </w:p>
        </w:tc>
        <w:tc>
          <w:tcPr>
            <w:tcW w:w="666" w:type="pct"/>
            <w:vAlign w:val="center"/>
          </w:tcPr>
          <w:p w14:paraId="105A49E1" w14:textId="671AF420"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2.50 </w:t>
            </w:r>
          </w:p>
        </w:tc>
        <w:tc>
          <w:tcPr>
            <w:tcW w:w="603" w:type="pct"/>
            <w:vAlign w:val="center"/>
          </w:tcPr>
          <w:p w14:paraId="72D0E409" w14:textId="59004AF5"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2.53 </w:t>
            </w:r>
          </w:p>
        </w:tc>
        <w:tc>
          <w:tcPr>
            <w:tcW w:w="540" w:type="pct"/>
            <w:vAlign w:val="center"/>
          </w:tcPr>
          <w:p w14:paraId="52C924AB" w14:textId="202C99EE"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3.10 </w:t>
            </w:r>
          </w:p>
        </w:tc>
        <w:tc>
          <w:tcPr>
            <w:tcW w:w="683" w:type="pct"/>
            <w:vAlign w:val="center"/>
          </w:tcPr>
          <w:p w14:paraId="09908BDE" w14:textId="6A1A0DD5"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3.16 </w:t>
            </w:r>
          </w:p>
        </w:tc>
      </w:tr>
      <w:tr w:rsidR="00E67914" w:rsidRPr="00E67914" w14:paraId="641879CB" w14:textId="77777777" w:rsidTr="00166547">
        <w:trPr>
          <w:jc w:val="center"/>
        </w:trPr>
        <w:tc>
          <w:tcPr>
            <w:tcW w:w="1842" w:type="pct"/>
            <w:vAlign w:val="center"/>
          </w:tcPr>
          <w:p w14:paraId="39F90C16"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碳酸根</w:t>
            </w:r>
          </w:p>
        </w:tc>
        <w:tc>
          <w:tcPr>
            <w:tcW w:w="666" w:type="pct"/>
            <w:vAlign w:val="center"/>
          </w:tcPr>
          <w:p w14:paraId="22516BBB" w14:textId="25E132C3"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c>
          <w:tcPr>
            <w:tcW w:w="666" w:type="pct"/>
            <w:vAlign w:val="center"/>
          </w:tcPr>
          <w:p w14:paraId="289EA034" w14:textId="10144AD1"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c>
          <w:tcPr>
            <w:tcW w:w="603" w:type="pct"/>
            <w:vAlign w:val="center"/>
          </w:tcPr>
          <w:p w14:paraId="6874B85D" w14:textId="7B486D4C"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c>
          <w:tcPr>
            <w:tcW w:w="540" w:type="pct"/>
            <w:vAlign w:val="center"/>
          </w:tcPr>
          <w:p w14:paraId="60D1C0F1" w14:textId="0491A46F"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c>
          <w:tcPr>
            <w:tcW w:w="683" w:type="pct"/>
            <w:vAlign w:val="center"/>
          </w:tcPr>
          <w:p w14:paraId="69E3D2BD" w14:textId="625DFA0F"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r>
      <w:tr w:rsidR="00E67914" w:rsidRPr="00E67914" w14:paraId="43351E99" w14:textId="77777777" w:rsidTr="00166547">
        <w:trPr>
          <w:jc w:val="center"/>
        </w:trPr>
        <w:tc>
          <w:tcPr>
            <w:tcW w:w="1842" w:type="pct"/>
            <w:vAlign w:val="center"/>
          </w:tcPr>
          <w:p w14:paraId="1A05587C"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重碳酸根</w:t>
            </w:r>
          </w:p>
        </w:tc>
        <w:tc>
          <w:tcPr>
            <w:tcW w:w="666" w:type="pct"/>
            <w:vAlign w:val="center"/>
          </w:tcPr>
          <w:p w14:paraId="5A204A90" w14:textId="4B652E4B"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0.05 </w:t>
            </w:r>
          </w:p>
        </w:tc>
        <w:tc>
          <w:tcPr>
            <w:tcW w:w="666" w:type="pct"/>
            <w:vAlign w:val="center"/>
          </w:tcPr>
          <w:p w14:paraId="23D95506" w14:textId="7586E992"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0.06 </w:t>
            </w:r>
          </w:p>
        </w:tc>
        <w:tc>
          <w:tcPr>
            <w:tcW w:w="603" w:type="pct"/>
            <w:vAlign w:val="center"/>
          </w:tcPr>
          <w:p w14:paraId="639F916F" w14:textId="2495E3B6"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0.07 </w:t>
            </w:r>
          </w:p>
        </w:tc>
        <w:tc>
          <w:tcPr>
            <w:tcW w:w="540" w:type="pct"/>
            <w:vAlign w:val="center"/>
          </w:tcPr>
          <w:p w14:paraId="7B9B2962" w14:textId="4A4EF315"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0.06 </w:t>
            </w:r>
          </w:p>
        </w:tc>
        <w:tc>
          <w:tcPr>
            <w:tcW w:w="683" w:type="pct"/>
            <w:vAlign w:val="center"/>
          </w:tcPr>
          <w:p w14:paraId="0A8FA18C" w14:textId="51D03A1B"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0.07 </w:t>
            </w:r>
          </w:p>
        </w:tc>
      </w:tr>
      <w:tr w:rsidR="00E67914" w:rsidRPr="00E67914" w14:paraId="5E437088" w14:textId="77777777" w:rsidTr="00166547">
        <w:trPr>
          <w:jc w:val="center"/>
        </w:trPr>
        <w:tc>
          <w:tcPr>
            <w:tcW w:w="1842" w:type="pct"/>
            <w:vAlign w:val="center"/>
          </w:tcPr>
          <w:p w14:paraId="67E3A9E6" w14:textId="24CEE3A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氯化物</w:t>
            </w:r>
          </w:p>
        </w:tc>
        <w:tc>
          <w:tcPr>
            <w:tcW w:w="666" w:type="pct"/>
            <w:vAlign w:val="center"/>
          </w:tcPr>
          <w:p w14:paraId="23F9BFFD" w14:textId="03ADC9B8"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0.32 </w:t>
            </w:r>
          </w:p>
        </w:tc>
        <w:tc>
          <w:tcPr>
            <w:tcW w:w="666" w:type="pct"/>
            <w:vAlign w:val="center"/>
          </w:tcPr>
          <w:p w14:paraId="3F4701CF" w14:textId="53BB885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0.31 </w:t>
            </w:r>
          </w:p>
        </w:tc>
        <w:tc>
          <w:tcPr>
            <w:tcW w:w="603" w:type="pct"/>
            <w:vAlign w:val="center"/>
          </w:tcPr>
          <w:p w14:paraId="221D452F" w14:textId="254D948F"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0.06 </w:t>
            </w:r>
          </w:p>
        </w:tc>
        <w:tc>
          <w:tcPr>
            <w:tcW w:w="540" w:type="pct"/>
            <w:vAlign w:val="center"/>
          </w:tcPr>
          <w:p w14:paraId="57F3CD87" w14:textId="3C51F09B"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0.38 </w:t>
            </w:r>
          </w:p>
        </w:tc>
        <w:tc>
          <w:tcPr>
            <w:tcW w:w="683" w:type="pct"/>
            <w:vAlign w:val="center"/>
          </w:tcPr>
          <w:p w14:paraId="3F208963" w14:textId="2E883922"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0.29 </w:t>
            </w:r>
          </w:p>
        </w:tc>
      </w:tr>
      <w:tr w:rsidR="00E67914" w:rsidRPr="00E67914" w14:paraId="1506D3B1" w14:textId="77777777" w:rsidTr="00166547">
        <w:trPr>
          <w:jc w:val="center"/>
        </w:trPr>
        <w:tc>
          <w:tcPr>
            <w:tcW w:w="1842" w:type="pct"/>
            <w:vAlign w:val="center"/>
          </w:tcPr>
          <w:p w14:paraId="5C40FBE1" w14:textId="2AE1D713"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硫酸盐</w:t>
            </w:r>
          </w:p>
        </w:tc>
        <w:tc>
          <w:tcPr>
            <w:tcW w:w="666" w:type="pct"/>
            <w:vAlign w:val="center"/>
          </w:tcPr>
          <w:p w14:paraId="440BC4D9" w14:textId="3D203C7C"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0.48 </w:t>
            </w:r>
          </w:p>
        </w:tc>
        <w:tc>
          <w:tcPr>
            <w:tcW w:w="666" w:type="pct"/>
            <w:vAlign w:val="center"/>
          </w:tcPr>
          <w:p w14:paraId="128B9812" w14:textId="5C6A46A6"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0.36 </w:t>
            </w:r>
          </w:p>
        </w:tc>
        <w:tc>
          <w:tcPr>
            <w:tcW w:w="603" w:type="pct"/>
            <w:vAlign w:val="center"/>
          </w:tcPr>
          <w:p w14:paraId="105598D9" w14:textId="2C490AD1"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0.37 </w:t>
            </w:r>
          </w:p>
        </w:tc>
        <w:tc>
          <w:tcPr>
            <w:tcW w:w="540" w:type="pct"/>
            <w:vAlign w:val="center"/>
          </w:tcPr>
          <w:p w14:paraId="3ED57A0D" w14:textId="3B04AA7D"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0.30 </w:t>
            </w:r>
          </w:p>
        </w:tc>
        <w:tc>
          <w:tcPr>
            <w:tcW w:w="683" w:type="pct"/>
            <w:vAlign w:val="center"/>
          </w:tcPr>
          <w:p w14:paraId="1EB80790" w14:textId="3D0D4EC8"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0.27 </w:t>
            </w:r>
          </w:p>
        </w:tc>
      </w:tr>
      <w:tr w:rsidR="00E67914" w:rsidRPr="00E67914" w14:paraId="608E52F1" w14:textId="77777777" w:rsidTr="00166547">
        <w:trPr>
          <w:jc w:val="center"/>
        </w:trPr>
        <w:tc>
          <w:tcPr>
            <w:tcW w:w="1842" w:type="pct"/>
            <w:vAlign w:val="center"/>
          </w:tcPr>
          <w:p w14:paraId="41F3DF81"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矿化度</w:t>
            </w:r>
            <w:r w:rsidRPr="00E67914">
              <w:rPr>
                <w:rFonts w:ascii="Times New Roman" w:hAnsi="Times New Roman"/>
                <w:sz w:val="21"/>
                <w:szCs w:val="21"/>
              </w:rPr>
              <w:t>mg/L</w:t>
            </w:r>
          </w:p>
        </w:tc>
        <w:tc>
          <w:tcPr>
            <w:tcW w:w="666" w:type="pct"/>
            <w:vAlign w:val="center"/>
          </w:tcPr>
          <w:p w14:paraId="43D2262A" w14:textId="306D8CF7"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lang w:eastAsia="zh-CN"/>
              </w:rPr>
              <w:t>104.98</w:t>
            </w:r>
          </w:p>
        </w:tc>
        <w:tc>
          <w:tcPr>
            <w:tcW w:w="666" w:type="pct"/>
            <w:vAlign w:val="center"/>
          </w:tcPr>
          <w:p w14:paraId="700EEBFA" w14:textId="14ED5835"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lang w:eastAsia="zh-CN"/>
              </w:rPr>
              <w:t>98.82</w:t>
            </w:r>
          </w:p>
        </w:tc>
        <w:tc>
          <w:tcPr>
            <w:tcW w:w="603" w:type="pct"/>
            <w:vAlign w:val="center"/>
          </w:tcPr>
          <w:p w14:paraId="077FC40B" w14:textId="6F761B03"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lang w:eastAsia="zh-CN"/>
              </w:rPr>
              <w:t>95.29</w:t>
            </w:r>
          </w:p>
        </w:tc>
        <w:tc>
          <w:tcPr>
            <w:tcW w:w="540" w:type="pct"/>
            <w:vAlign w:val="center"/>
          </w:tcPr>
          <w:p w14:paraId="4B9094F7" w14:textId="2397C9F7"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lang w:eastAsia="zh-CN"/>
              </w:rPr>
              <w:t>108.45</w:t>
            </w:r>
          </w:p>
        </w:tc>
        <w:tc>
          <w:tcPr>
            <w:tcW w:w="683" w:type="pct"/>
            <w:vAlign w:val="center"/>
          </w:tcPr>
          <w:p w14:paraId="04AF9FB3" w14:textId="2180B75B"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lang w:eastAsia="zh-CN"/>
              </w:rPr>
              <w:t>106.67</w:t>
            </w:r>
          </w:p>
        </w:tc>
      </w:tr>
      <w:tr w:rsidR="00E67914" w:rsidRPr="00E67914" w14:paraId="54B79E62" w14:textId="77777777">
        <w:trPr>
          <w:jc w:val="center"/>
        </w:trPr>
        <w:tc>
          <w:tcPr>
            <w:tcW w:w="5000" w:type="pct"/>
            <w:gridSpan w:val="6"/>
            <w:vAlign w:val="center"/>
          </w:tcPr>
          <w:p w14:paraId="4F10DB3D" w14:textId="7777777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当量浓度比例（</w:t>
            </w:r>
            <w:r w:rsidRPr="00E67914">
              <w:rPr>
                <w:rFonts w:ascii="Times New Roman" w:hAnsi="Times New Roman"/>
                <w:sz w:val="21"/>
                <w:szCs w:val="21"/>
              </w:rPr>
              <w:t>%</w:t>
            </w:r>
            <w:r w:rsidRPr="00E67914">
              <w:rPr>
                <w:rFonts w:ascii="Times New Roman" w:hAnsi="Times New Roman"/>
                <w:sz w:val="21"/>
                <w:szCs w:val="21"/>
              </w:rPr>
              <w:t>）</w:t>
            </w:r>
          </w:p>
        </w:tc>
      </w:tr>
      <w:tr w:rsidR="00E67914" w:rsidRPr="00E67914" w14:paraId="77B67490" w14:textId="77777777" w:rsidTr="00166547">
        <w:trPr>
          <w:jc w:val="center"/>
        </w:trPr>
        <w:tc>
          <w:tcPr>
            <w:tcW w:w="1842" w:type="pct"/>
            <w:vAlign w:val="center"/>
          </w:tcPr>
          <w:p w14:paraId="2343ECAC"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钠</w:t>
            </w:r>
            <w:r w:rsidRPr="00E67914">
              <w:rPr>
                <w:rFonts w:ascii="Times New Roman" w:hAnsi="Times New Roman"/>
                <w:sz w:val="21"/>
                <w:szCs w:val="21"/>
              </w:rPr>
              <w:t>+</w:t>
            </w:r>
            <w:r w:rsidRPr="00E67914">
              <w:rPr>
                <w:rFonts w:ascii="Times New Roman" w:hAnsi="Times New Roman"/>
                <w:sz w:val="21"/>
                <w:szCs w:val="21"/>
              </w:rPr>
              <w:t>钾</w:t>
            </w:r>
          </w:p>
        </w:tc>
        <w:tc>
          <w:tcPr>
            <w:tcW w:w="666" w:type="pct"/>
            <w:vAlign w:val="center"/>
          </w:tcPr>
          <w:p w14:paraId="7FDB3881" w14:textId="1992A97E"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10.36 </w:t>
            </w:r>
          </w:p>
        </w:tc>
        <w:tc>
          <w:tcPr>
            <w:tcW w:w="666" w:type="pct"/>
            <w:vAlign w:val="center"/>
          </w:tcPr>
          <w:p w14:paraId="1813ABA5" w14:textId="2A7D100E"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10.78 </w:t>
            </w:r>
          </w:p>
        </w:tc>
        <w:tc>
          <w:tcPr>
            <w:tcW w:w="603" w:type="pct"/>
            <w:vAlign w:val="center"/>
          </w:tcPr>
          <w:p w14:paraId="45AC994E" w14:textId="1ADDB54A"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10.19 </w:t>
            </w:r>
          </w:p>
        </w:tc>
        <w:tc>
          <w:tcPr>
            <w:tcW w:w="540" w:type="pct"/>
            <w:vAlign w:val="center"/>
          </w:tcPr>
          <w:p w14:paraId="0982204D" w14:textId="0662BEE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9.08 </w:t>
            </w:r>
          </w:p>
        </w:tc>
        <w:tc>
          <w:tcPr>
            <w:tcW w:w="683" w:type="pct"/>
            <w:vAlign w:val="center"/>
          </w:tcPr>
          <w:p w14:paraId="601DF114" w14:textId="154252D3"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9.23 </w:t>
            </w:r>
          </w:p>
        </w:tc>
      </w:tr>
      <w:tr w:rsidR="00E67914" w:rsidRPr="00E67914" w14:paraId="352083C3" w14:textId="77777777" w:rsidTr="00166547">
        <w:trPr>
          <w:jc w:val="center"/>
        </w:trPr>
        <w:tc>
          <w:tcPr>
            <w:tcW w:w="1842" w:type="pct"/>
            <w:vAlign w:val="center"/>
          </w:tcPr>
          <w:p w14:paraId="2DA2B286" w14:textId="77777777" w:rsidR="009960F0" w:rsidRPr="00E67914" w:rsidRDefault="009960F0" w:rsidP="009960F0">
            <w:pPr>
              <w:adjustRightInd w:val="0"/>
              <w:snapToGrid w:val="0"/>
              <w:jc w:val="center"/>
              <w:rPr>
                <w:rFonts w:ascii="Times New Roman" w:hAnsi="Times New Roman"/>
                <w:sz w:val="21"/>
                <w:szCs w:val="21"/>
                <w:shd w:val="pct10" w:color="auto" w:fill="FFFFFF"/>
              </w:rPr>
            </w:pPr>
            <w:r w:rsidRPr="00E67914">
              <w:rPr>
                <w:rFonts w:ascii="Times New Roman" w:hAnsi="Times New Roman"/>
                <w:sz w:val="21"/>
                <w:szCs w:val="21"/>
              </w:rPr>
              <w:t>钙</w:t>
            </w:r>
          </w:p>
        </w:tc>
        <w:tc>
          <w:tcPr>
            <w:tcW w:w="666" w:type="pct"/>
            <w:vAlign w:val="center"/>
          </w:tcPr>
          <w:p w14:paraId="55A77C0C" w14:textId="4680A74F"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24.19 </w:t>
            </w:r>
          </w:p>
        </w:tc>
        <w:tc>
          <w:tcPr>
            <w:tcW w:w="666" w:type="pct"/>
            <w:vAlign w:val="center"/>
          </w:tcPr>
          <w:p w14:paraId="154EA923" w14:textId="509F49DB"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25.46 </w:t>
            </w:r>
          </w:p>
        </w:tc>
        <w:tc>
          <w:tcPr>
            <w:tcW w:w="603" w:type="pct"/>
            <w:vAlign w:val="center"/>
          </w:tcPr>
          <w:p w14:paraId="05BB4FDA" w14:textId="09E12D54"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30.41 </w:t>
            </w:r>
          </w:p>
        </w:tc>
        <w:tc>
          <w:tcPr>
            <w:tcW w:w="540" w:type="pct"/>
            <w:vAlign w:val="center"/>
          </w:tcPr>
          <w:p w14:paraId="7DF31125" w14:textId="2C703741"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24.64 </w:t>
            </w:r>
          </w:p>
        </w:tc>
        <w:tc>
          <w:tcPr>
            <w:tcW w:w="683" w:type="pct"/>
            <w:vAlign w:val="center"/>
          </w:tcPr>
          <w:p w14:paraId="70E5A60F" w14:textId="680480D8"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25.72 </w:t>
            </w:r>
          </w:p>
        </w:tc>
      </w:tr>
      <w:tr w:rsidR="00E67914" w:rsidRPr="00E67914" w14:paraId="1AD1EB6A" w14:textId="77777777" w:rsidTr="00166547">
        <w:trPr>
          <w:jc w:val="center"/>
        </w:trPr>
        <w:tc>
          <w:tcPr>
            <w:tcW w:w="1842" w:type="pct"/>
            <w:vAlign w:val="center"/>
          </w:tcPr>
          <w:p w14:paraId="3B6BA27D"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镁</w:t>
            </w:r>
          </w:p>
        </w:tc>
        <w:tc>
          <w:tcPr>
            <w:tcW w:w="666" w:type="pct"/>
            <w:vAlign w:val="center"/>
          </w:tcPr>
          <w:p w14:paraId="2B45564D" w14:textId="1E94B008"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49.12 </w:t>
            </w:r>
          </w:p>
        </w:tc>
        <w:tc>
          <w:tcPr>
            <w:tcW w:w="666" w:type="pct"/>
            <w:vAlign w:val="center"/>
          </w:tcPr>
          <w:p w14:paraId="1E0C86FD" w14:textId="4931E571"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49.34 </w:t>
            </w:r>
          </w:p>
        </w:tc>
        <w:tc>
          <w:tcPr>
            <w:tcW w:w="603" w:type="pct"/>
            <w:vAlign w:val="center"/>
          </w:tcPr>
          <w:p w14:paraId="61A36888" w14:textId="1A3C0548"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49.69 </w:t>
            </w:r>
          </w:p>
        </w:tc>
        <w:tc>
          <w:tcPr>
            <w:tcW w:w="540" w:type="pct"/>
            <w:vAlign w:val="center"/>
          </w:tcPr>
          <w:p w14:paraId="54EE1454" w14:textId="0FCFBC35"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53.41 </w:t>
            </w:r>
          </w:p>
        </w:tc>
        <w:tc>
          <w:tcPr>
            <w:tcW w:w="683" w:type="pct"/>
            <w:vAlign w:val="center"/>
          </w:tcPr>
          <w:p w14:paraId="4C8EBC12" w14:textId="2F73F9A6"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54.15 </w:t>
            </w:r>
          </w:p>
        </w:tc>
      </w:tr>
      <w:tr w:rsidR="00E67914" w:rsidRPr="00E67914" w14:paraId="767E9D14" w14:textId="77777777" w:rsidTr="00166547">
        <w:trPr>
          <w:jc w:val="center"/>
        </w:trPr>
        <w:tc>
          <w:tcPr>
            <w:tcW w:w="1842" w:type="pct"/>
            <w:vAlign w:val="center"/>
          </w:tcPr>
          <w:p w14:paraId="0240F211" w14:textId="77777777"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碳酸根</w:t>
            </w:r>
          </w:p>
        </w:tc>
        <w:tc>
          <w:tcPr>
            <w:tcW w:w="666" w:type="pct"/>
            <w:vAlign w:val="center"/>
          </w:tcPr>
          <w:p w14:paraId="10931E44" w14:textId="0BA35DD9"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c>
          <w:tcPr>
            <w:tcW w:w="666" w:type="pct"/>
            <w:vAlign w:val="center"/>
          </w:tcPr>
          <w:p w14:paraId="76FCD0FF" w14:textId="1553F446"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c>
          <w:tcPr>
            <w:tcW w:w="603" w:type="pct"/>
            <w:vAlign w:val="center"/>
          </w:tcPr>
          <w:p w14:paraId="5BEAC39E" w14:textId="50CEDBE0"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c>
          <w:tcPr>
            <w:tcW w:w="540" w:type="pct"/>
            <w:vAlign w:val="center"/>
          </w:tcPr>
          <w:p w14:paraId="585F5D56" w14:textId="0F3D1838"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c>
          <w:tcPr>
            <w:tcW w:w="683" w:type="pct"/>
            <w:vAlign w:val="center"/>
          </w:tcPr>
          <w:p w14:paraId="5D8C9D62" w14:textId="35D6D7B0"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0.00 </w:t>
            </w:r>
          </w:p>
        </w:tc>
      </w:tr>
      <w:tr w:rsidR="00E67914" w:rsidRPr="00E67914" w14:paraId="1FA22255" w14:textId="77777777" w:rsidTr="00166547">
        <w:trPr>
          <w:jc w:val="center"/>
        </w:trPr>
        <w:tc>
          <w:tcPr>
            <w:tcW w:w="1842" w:type="pct"/>
            <w:vAlign w:val="center"/>
          </w:tcPr>
          <w:p w14:paraId="725CF85B" w14:textId="77777777" w:rsidR="009960F0" w:rsidRPr="00E67914" w:rsidRDefault="009960F0" w:rsidP="009960F0">
            <w:pPr>
              <w:adjustRightInd w:val="0"/>
              <w:snapToGrid w:val="0"/>
              <w:jc w:val="center"/>
              <w:rPr>
                <w:rFonts w:ascii="Times New Roman" w:hAnsi="Times New Roman"/>
                <w:sz w:val="21"/>
                <w:szCs w:val="21"/>
                <w:shd w:val="pct10" w:color="auto" w:fill="FFFFFF"/>
              </w:rPr>
            </w:pPr>
            <w:r w:rsidRPr="00E67914">
              <w:rPr>
                <w:rFonts w:ascii="Times New Roman" w:hAnsi="Times New Roman"/>
                <w:sz w:val="21"/>
                <w:szCs w:val="21"/>
              </w:rPr>
              <w:t>重碳酸根</w:t>
            </w:r>
          </w:p>
        </w:tc>
        <w:tc>
          <w:tcPr>
            <w:tcW w:w="666" w:type="pct"/>
            <w:vAlign w:val="center"/>
          </w:tcPr>
          <w:p w14:paraId="73B0B111" w14:textId="2AD5EDED"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0.98 </w:t>
            </w:r>
          </w:p>
        </w:tc>
        <w:tc>
          <w:tcPr>
            <w:tcW w:w="666" w:type="pct"/>
            <w:vAlign w:val="center"/>
          </w:tcPr>
          <w:p w14:paraId="5C85DCAC" w14:textId="6C1576DC"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1.18 </w:t>
            </w:r>
          </w:p>
        </w:tc>
        <w:tc>
          <w:tcPr>
            <w:tcW w:w="603" w:type="pct"/>
            <w:vAlign w:val="center"/>
          </w:tcPr>
          <w:p w14:paraId="166FAA4C" w14:textId="0E7DC6FE"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1.33 </w:t>
            </w:r>
          </w:p>
        </w:tc>
        <w:tc>
          <w:tcPr>
            <w:tcW w:w="540" w:type="pct"/>
            <w:vAlign w:val="center"/>
          </w:tcPr>
          <w:p w14:paraId="54E4EA18" w14:textId="0E1D4F63"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1.10 </w:t>
            </w:r>
          </w:p>
        </w:tc>
        <w:tc>
          <w:tcPr>
            <w:tcW w:w="683" w:type="pct"/>
            <w:vAlign w:val="center"/>
          </w:tcPr>
          <w:p w14:paraId="6CF5754E" w14:textId="157B3147" w:rsidR="009960F0" w:rsidRPr="00E67914" w:rsidRDefault="009960F0" w:rsidP="009960F0">
            <w:pPr>
              <w:jc w:val="center"/>
              <w:rPr>
                <w:rFonts w:ascii="Times New Roman" w:hAnsi="Times New Roman"/>
                <w:sz w:val="21"/>
                <w:szCs w:val="21"/>
              </w:rPr>
            </w:pPr>
            <w:r w:rsidRPr="00E67914">
              <w:rPr>
                <w:rFonts w:ascii="Times New Roman" w:hAnsi="Times New Roman"/>
                <w:sz w:val="21"/>
                <w:szCs w:val="21"/>
              </w:rPr>
              <w:t xml:space="preserve">1.27 </w:t>
            </w:r>
          </w:p>
        </w:tc>
      </w:tr>
      <w:tr w:rsidR="00E67914" w:rsidRPr="00E67914" w14:paraId="5919B456" w14:textId="77777777" w:rsidTr="00166547">
        <w:trPr>
          <w:jc w:val="center"/>
        </w:trPr>
        <w:tc>
          <w:tcPr>
            <w:tcW w:w="1842" w:type="pct"/>
            <w:vAlign w:val="center"/>
          </w:tcPr>
          <w:p w14:paraId="2A0BC70F" w14:textId="7BEE0A15"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氯化物</w:t>
            </w:r>
          </w:p>
        </w:tc>
        <w:tc>
          <w:tcPr>
            <w:tcW w:w="666" w:type="pct"/>
            <w:vAlign w:val="center"/>
          </w:tcPr>
          <w:p w14:paraId="20E05C6C" w14:textId="0A47B580"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6.06 </w:t>
            </w:r>
          </w:p>
        </w:tc>
        <w:tc>
          <w:tcPr>
            <w:tcW w:w="666" w:type="pct"/>
            <w:vAlign w:val="center"/>
          </w:tcPr>
          <w:p w14:paraId="5A466A22" w14:textId="7C0A9DF4"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6.12 </w:t>
            </w:r>
          </w:p>
        </w:tc>
        <w:tc>
          <w:tcPr>
            <w:tcW w:w="603" w:type="pct"/>
            <w:vAlign w:val="center"/>
          </w:tcPr>
          <w:p w14:paraId="5A627E74" w14:textId="3E5A8B28"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1.16 </w:t>
            </w:r>
          </w:p>
        </w:tc>
        <w:tc>
          <w:tcPr>
            <w:tcW w:w="540" w:type="pct"/>
            <w:vAlign w:val="center"/>
          </w:tcPr>
          <w:p w14:paraId="0F9A1BC2" w14:textId="321E3FFE"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6.60 </w:t>
            </w:r>
          </w:p>
        </w:tc>
        <w:tc>
          <w:tcPr>
            <w:tcW w:w="683" w:type="pct"/>
            <w:vAlign w:val="center"/>
          </w:tcPr>
          <w:p w14:paraId="26279F5F" w14:textId="4D89CCE3"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5.02 </w:t>
            </w:r>
          </w:p>
        </w:tc>
      </w:tr>
      <w:tr w:rsidR="00E67914" w:rsidRPr="00E67914" w14:paraId="49F7610C" w14:textId="77777777" w:rsidTr="00166547">
        <w:trPr>
          <w:trHeight w:val="141"/>
          <w:jc w:val="center"/>
        </w:trPr>
        <w:tc>
          <w:tcPr>
            <w:tcW w:w="1842" w:type="pct"/>
            <w:vAlign w:val="center"/>
          </w:tcPr>
          <w:p w14:paraId="4A282341" w14:textId="3C90518C" w:rsidR="009960F0" w:rsidRPr="00E67914" w:rsidRDefault="009960F0" w:rsidP="009960F0">
            <w:pPr>
              <w:adjustRightInd w:val="0"/>
              <w:snapToGrid w:val="0"/>
              <w:jc w:val="center"/>
              <w:rPr>
                <w:rFonts w:ascii="Times New Roman" w:hAnsi="Times New Roman"/>
                <w:sz w:val="21"/>
                <w:szCs w:val="21"/>
              </w:rPr>
            </w:pPr>
            <w:r w:rsidRPr="00E67914">
              <w:rPr>
                <w:rFonts w:ascii="Times New Roman" w:hAnsi="Times New Roman"/>
                <w:sz w:val="21"/>
                <w:szCs w:val="21"/>
              </w:rPr>
              <w:t>硫酸盐</w:t>
            </w:r>
          </w:p>
        </w:tc>
        <w:tc>
          <w:tcPr>
            <w:tcW w:w="666" w:type="pct"/>
            <w:vAlign w:val="center"/>
          </w:tcPr>
          <w:p w14:paraId="00DD508E" w14:textId="32995E91"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9.28 </w:t>
            </w:r>
          </w:p>
        </w:tc>
        <w:tc>
          <w:tcPr>
            <w:tcW w:w="666" w:type="pct"/>
            <w:vAlign w:val="center"/>
          </w:tcPr>
          <w:p w14:paraId="45680631" w14:textId="40CD9CC5"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7.11 </w:t>
            </w:r>
          </w:p>
        </w:tc>
        <w:tc>
          <w:tcPr>
            <w:tcW w:w="603" w:type="pct"/>
            <w:vAlign w:val="center"/>
          </w:tcPr>
          <w:p w14:paraId="42C25EE4" w14:textId="2B03FEF8"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7.22 </w:t>
            </w:r>
          </w:p>
        </w:tc>
        <w:tc>
          <w:tcPr>
            <w:tcW w:w="540" w:type="pct"/>
            <w:vAlign w:val="center"/>
          </w:tcPr>
          <w:p w14:paraId="35BF3502" w14:textId="3A860398"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5.17 </w:t>
            </w:r>
          </w:p>
        </w:tc>
        <w:tc>
          <w:tcPr>
            <w:tcW w:w="683" w:type="pct"/>
            <w:vAlign w:val="center"/>
          </w:tcPr>
          <w:p w14:paraId="036161F3" w14:textId="4244C3F9" w:rsidR="009960F0" w:rsidRPr="00E67914" w:rsidRDefault="009960F0" w:rsidP="009960F0">
            <w:pPr>
              <w:jc w:val="center"/>
              <w:rPr>
                <w:rFonts w:ascii="Times New Roman" w:hAnsi="Times New Roman"/>
                <w:sz w:val="21"/>
                <w:szCs w:val="21"/>
                <w:lang w:eastAsia="zh-CN"/>
              </w:rPr>
            </w:pPr>
            <w:r w:rsidRPr="00E67914">
              <w:rPr>
                <w:rFonts w:ascii="Times New Roman" w:hAnsi="Times New Roman"/>
                <w:sz w:val="21"/>
                <w:szCs w:val="21"/>
              </w:rPr>
              <w:t xml:space="preserve">4.61 </w:t>
            </w:r>
          </w:p>
        </w:tc>
      </w:tr>
    </w:tbl>
    <w:p w14:paraId="3252E4EC" w14:textId="47BD921E" w:rsidR="00A54A8A" w:rsidRPr="00E67914" w:rsidRDefault="00000000">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由表</w:t>
      </w:r>
      <w:r w:rsidRPr="00E67914">
        <w:rPr>
          <w:rFonts w:ascii="Times New Roman" w:hAnsi="Times New Roman"/>
          <w:bCs/>
          <w:kern w:val="2"/>
          <w:sz w:val="24"/>
          <w:szCs w:val="24"/>
          <w:lang w:eastAsia="zh-CN"/>
        </w:rPr>
        <w:t>4.2-8</w:t>
      </w:r>
      <w:r w:rsidRPr="00E67914">
        <w:rPr>
          <w:rFonts w:ascii="Times New Roman" w:hAnsi="Times New Roman"/>
          <w:bCs/>
          <w:kern w:val="2"/>
          <w:sz w:val="24"/>
          <w:szCs w:val="24"/>
          <w:lang w:eastAsia="zh-CN"/>
        </w:rPr>
        <w:t>可以看出，本次评价各水样监测结果各水样的矿化度范围在</w:t>
      </w:r>
      <w:r w:rsidR="00166547" w:rsidRPr="00E67914">
        <w:rPr>
          <w:rFonts w:ascii="Times New Roman" w:hAnsi="Times New Roman"/>
          <w:bCs/>
          <w:kern w:val="2"/>
          <w:sz w:val="24"/>
          <w:szCs w:val="24"/>
          <w:lang w:eastAsia="zh-CN"/>
        </w:rPr>
        <w:t>9</w:t>
      </w:r>
      <w:r w:rsidR="009960F0" w:rsidRPr="00E67914">
        <w:rPr>
          <w:rFonts w:ascii="Times New Roman" w:hAnsi="Times New Roman"/>
          <w:bCs/>
          <w:kern w:val="2"/>
          <w:sz w:val="24"/>
          <w:szCs w:val="24"/>
          <w:lang w:eastAsia="zh-CN"/>
        </w:rPr>
        <w:t>5.29</w:t>
      </w:r>
      <w:r w:rsidRPr="00E67914">
        <w:rPr>
          <w:rFonts w:ascii="Times New Roman" w:hAnsi="Times New Roman"/>
          <w:bCs/>
          <w:kern w:val="2"/>
          <w:sz w:val="24"/>
          <w:szCs w:val="24"/>
          <w:lang w:eastAsia="zh-CN"/>
        </w:rPr>
        <w:t>mg/L-</w:t>
      </w:r>
      <w:r w:rsidR="00166547" w:rsidRPr="00E67914">
        <w:rPr>
          <w:rFonts w:ascii="Times New Roman" w:hAnsi="Times New Roman"/>
          <w:bCs/>
          <w:kern w:val="2"/>
          <w:sz w:val="24"/>
          <w:szCs w:val="24"/>
          <w:lang w:eastAsia="zh-CN"/>
        </w:rPr>
        <w:t>1</w:t>
      </w:r>
      <w:r w:rsidR="009960F0" w:rsidRPr="00E67914">
        <w:rPr>
          <w:rFonts w:ascii="Times New Roman" w:hAnsi="Times New Roman"/>
          <w:bCs/>
          <w:kern w:val="2"/>
          <w:sz w:val="24"/>
          <w:szCs w:val="24"/>
          <w:lang w:eastAsia="zh-CN"/>
        </w:rPr>
        <w:t>08.45</w:t>
      </w:r>
      <w:r w:rsidRPr="00E67914">
        <w:rPr>
          <w:rFonts w:ascii="Times New Roman" w:hAnsi="Times New Roman"/>
          <w:bCs/>
          <w:kern w:val="2"/>
          <w:sz w:val="24"/>
          <w:szCs w:val="24"/>
          <w:lang w:eastAsia="zh-CN"/>
        </w:rPr>
        <w:t>mg/L</w:t>
      </w:r>
      <w:r w:rsidRPr="00E67914">
        <w:rPr>
          <w:rFonts w:ascii="Times New Roman" w:hAnsi="Times New Roman"/>
          <w:bCs/>
          <w:kern w:val="2"/>
          <w:sz w:val="24"/>
          <w:szCs w:val="24"/>
          <w:lang w:eastAsia="zh-CN"/>
        </w:rPr>
        <w:t>，小于</w:t>
      </w:r>
      <w:r w:rsidRPr="00E67914">
        <w:rPr>
          <w:rFonts w:ascii="Times New Roman" w:hAnsi="Times New Roman"/>
          <w:bCs/>
          <w:kern w:val="2"/>
          <w:sz w:val="24"/>
          <w:szCs w:val="24"/>
          <w:lang w:eastAsia="zh-CN"/>
        </w:rPr>
        <w:t>1500mg/L</w:t>
      </w:r>
      <w:r w:rsidRPr="00E67914">
        <w:rPr>
          <w:rFonts w:ascii="Times New Roman" w:hAnsi="Times New Roman"/>
          <w:bCs/>
          <w:kern w:val="2"/>
          <w:sz w:val="24"/>
          <w:szCs w:val="24"/>
          <w:lang w:eastAsia="zh-CN"/>
        </w:rPr>
        <w:t>，主要离子的阴离子及阳离子分别为</w:t>
      </w:r>
      <w:r w:rsidR="009D2D1C" w:rsidRPr="00E67914">
        <w:rPr>
          <w:rFonts w:ascii="Times New Roman" w:hAnsi="Times New Roman"/>
          <w:bCs/>
          <w:kern w:val="2"/>
          <w:sz w:val="24"/>
          <w:szCs w:val="24"/>
          <w:lang w:eastAsia="zh-CN"/>
        </w:rPr>
        <w:t>硫</w:t>
      </w:r>
      <w:r w:rsidR="009D2D1C" w:rsidRPr="00E67914">
        <w:rPr>
          <w:rFonts w:ascii="Times New Roman" w:hAnsi="Times New Roman"/>
          <w:bCs/>
          <w:kern w:val="2"/>
          <w:sz w:val="24"/>
          <w:szCs w:val="24"/>
          <w:lang w:eastAsia="zh-CN"/>
        </w:rPr>
        <w:lastRenderedPageBreak/>
        <w:t>酸</w:t>
      </w:r>
      <w:r w:rsidRPr="00E67914">
        <w:rPr>
          <w:rFonts w:ascii="Times New Roman" w:hAnsi="Times New Roman"/>
          <w:bCs/>
          <w:kern w:val="2"/>
          <w:sz w:val="24"/>
          <w:szCs w:val="24"/>
          <w:lang w:eastAsia="zh-CN"/>
        </w:rPr>
        <w:t>根和</w:t>
      </w:r>
      <w:r w:rsidR="00166547" w:rsidRPr="00E67914">
        <w:rPr>
          <w:rFonts w:ascii="Times New Roman" w:hAnsi="Times New Roman"/>
          <w:bCs/>
          <w:kern w:val="2"/>
          <w:sz w:val="24"/>
          <w:szCs w:val="24"/>
          <w:lang w:eastAsia="zh-CN"/>
        </w:rPr>
        <w:t>镁</w:t>
      </w:r>
      <w:r w:rsidRPr="00E67914">
        <w:rPr>
          <w:rFonts w:ascii="Times New Roman" w:hAnsi="Times New Roman"/>
          <w:bCs/>
          <w:kern w:val="2"/>
          <w:sz w:val="24"/>
          <w:szCs w:val="24"/>
          <w:lang w:eastAsia="zh-CN"/>
        </w:rPr>
        <w:t>离子，因此，本项目所在区域地下水化学类型为矿化度不大于</w:t>
      </w:r>
      <w:r w:rsidRPr="00E67914">
        <w:rPr>
          <w:rFonts w:ascii="Times New Roman" w:hAnsi="Times New Roman"/>
          <w:bCs/>
          <w:kern w:val="2"/>
          <w:sz w:val="24"/>
          <w:szCs w:val="24"/>
          <w:lang w:eastAsia="zh-CN"/>
        </w:rPr>
        <w:t>1.5g/L</w:t>
      </w:r>
      <w:r w:rsidRPr="00E67914">
        <w:rPr>
          <w:rFonts w:ascii="Times New Roman" w:hAnsi="Times New Roman"/>
          <w:bCs/>
          <w:kern w:val="2"/>
          <w:sz w:val="24"/>
          <w:szCs w:val="24"/>
          <w:lang w:eastAsia="zh-CN"/>
        </w:rPr>
        <w:t>的</w:t>
      </w:r>
      <w:r w:rsidR="00166547" w:rsidRPr="00E67914">
        <w:rPr>
          <w:rFonts w:ascii="Times New Roman" w:hAnsi="Times New Roman"/>
          <w:bCs/>
          <w:kern w:val="2"/>
          <w:sz w:val="24"/>
          <w:szCs w:val="24"/>
          <w:lang w:eastAsia="zh-CN"/>
        </w:rPr>
        <w:t>SO</w:t>
      </w:r>
      <w:r w:rsidR="00166547" w:rsidRPr="00E67914">
        <w:rPr>
          <w:rFonts w:ascii="Times New Roman" w:hAnsi="Times New Roman"/>
          <w:bCs/>
          <w:kern w:val="2"/>
          <w:sz w:val="24"/>
          <w:szCs w:val="24"/>
          <w:vertAlign w:val="subscript"/>
          <w:lang w:eastAsia="zh-CN"/>
        </w:rPr>
        <w:t>4</w:t>
      </w:r>
      <w:r w:rsidRPr="00E67914">
        <w:rPr>
          <w:rFonts w:ascii="Times New Roman" w:hAnsi="Times New Roman"/>
          <w:bCs/>
          <w:kern w:val="2"/>
          <w:sz w:val="24"/>
          <w:szCs w:val="24"/>
          <w:lang w:eastAsia="zh-CN"/>
        </w:rPr>
        <w:t>-</w:t>
      </w:r>
      <w:r w:rsidR="00166547" w:rsidRPr="00E67914">
        <w:rPr>
          <w:rFonts w:ascii="Times New Roman" w:hAnsi="Times New Roman"/>
          <w:bCs/>
          <w:kern w:val="2"/>
          <w:sz w:val="24"/>
          <w:szCs w:val="24"/>
          <w:lang w:eastAsia="zh-CN"/>
        </w:rPr>
        <w:t>Mg</w:t>
      </w:r>
      <w:r w:rsidRPr="00E67914">
        <w:rPr>
          <w:rFonts w:ascii="Times New Roman" w:hAnsi="Times New Roman"/>
          <w:bCs/>
          <w:kern w:val="2"/>
          <w:sz w:val="24"/>
          <w:szCs w:val="24"/>
          <w:lang w:eastAsia="zh-CN"/>
        </w:rPr>
        <w:t>型水。</w:t>
      </w:r>
    </w:p>
    <w:p w14:paraId="75061A66"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5</w:t>
      </w:r>
      <w:r w:rsidRPr="00E67914">
        <w:rPr>
          <w:rFonts w:ascii="Times New Roman" w:hAnsi="Times New Roman"/>
          <w:b/>
          <w:kern w:val="2"/>
          <w:sz w:val="24"/>
          <w:szCs w:val="24"/>
          <w:lang w:eastAsia="zh-CN"/>
        </w:rPr>
        <w:t>）地下水动态变化特征</w:t>
      </w:r>
    </w:p>
    <w:p w14:paraId="062FB844"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工程区内地下水主要接受大气降水补给，地下水的动态变化同大气降水密切相关，一般随着降雨量的变化而变化，雨季时地下水水位上升，雨季之后地下水水位逐渐下降。同时受地形地貌和河流等蓄水体的蓄水补给影响，靠近丘谷和河流边上水井水位埋深普遍较浅。本项目区域地下水水位统计见表</w:t>
      </w:r>
      <w:r w:rsidRPr="00E67914">
        <w:rPr>
          <w:rFonts w:ascii="Times New Roman" w:hAnsi="Times New Roman"/>
          <w:bCs/>
          <w:kern w:val="2"/>
          <w:sz w:val="24"/>
          <w:szCs w:val="24"/>
          <w:lang w:eastAsia="zh-CN"/>
        </w:rPr>
        <w:t>4.2-9</w:t>
      </w:r>
      <w:r w:rsidRPr="00E67914">
        <w:rPr>
          <w:rFonts w:ascii="Times New Roman" w:hAnsi="Times New Roman"/>
          <w:bCs/>
          <w:kern w:val="2"/>
          <w:sz w:val="24"/>
          <w:szCs w:val="24"/>
          <w:lang w:eastAsia="zh-CN"/>
        </w:rPr>
        <w:t>，点位分布见图附图</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w:t>
      </w:r>
    </w:p>
    <w:p w14:paraId="6FBCA9E5" w14:textId="77777777" w:rsidR="00A54A8A" w:rsidRPr="00E67914" w:rsidRDefault="00000000">
      <w:pPr>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4.2-9  </w:t>
      </w:r>
      <w:r w:rsidRPr="00E67914">
        <w:rPr>
          <w:rFonts w:ascii="Times New Roman" w:eastAsia="黑体" w:hAnsi="Times New Roman"/>
          <w:sz w:val="21"/>
          <w:szCs w:val="21"/>
          <w:lang w:eastAsia="zh-CN"/>
        </w:rPr>
        <w:t>本项目区域地下水水位统计一览表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68"/>
        <w:gridCol w:w="2128"/>
        <w:gridCol w:w="1199"/>
        <w:gridCol w:w="1239"/>
        <w:gridCol w:w="1557"/>
        <w:gridCol w:w="1331"/>
      </w:tblGrid>
      <w:tr w:rsidR="002662E3" w:rsidRPr="00E67914" w14:paraId="3D5983C1" w14:textId="77777777">
        <w:trPr>
          <w:trHeight w:val="231"/>
          <w:jc w:val="center"/>
        </w:trPr>
        <w:tc>
          <w:tcPr>
            <w:tcW w:w="768" w:type="dxa"/>
            <w:vAlign w:val="center"/>
          </w:tcPr>
          <w:p w14:paraId="33CEA1F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编号</w:t>
            </w:r>
          </w:p>
        </w:tc>
        <w:tc>
          <w:tcPr>
            <w:tcW w:w="2128" w:type="dxa"/>
            <w:vAlign w:val="center"/>
          </w:tcPr>
          <w:p w14:paraId="192755D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与井场位置关系</w:t>
            </w:r>
          </w:p>
        </w:tc>
        <w:tc>
          <w:tcPr>
            <w:tcW w:w="1199" w:type="dxa"/>
            <w:vAlign w:val="center"/>
          </w:tcPr>
          <w:p w14:paraId="151426C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高程（</w:t>
            </w:r>
            <w:r w:rsidRPr="00E67914">
              <w:rPr>
                <w:rFonts w:ascii="Times New Roman" w:hAnsi="Times New Roman"/>
                <w:sz w:val="21"/>
                <w:szCs w:val="21"/>
              </w:rPr>
              <w:t>m</w:t>
            </w:r>
            <w:r w:rsidRPr="00E67914">
              <w:rPr>
                <w:rFonts w:ascii="Times New Roman" w:hAnsi="Times New Roman"/>
                <w:sz w:val="21"/>
                <w:szCs w:val="21"/>
              </w:rPr>
              <w:t>）</w:t>
            </w:r>
          </w:p>
        </w:tc>
        <w:tc>
          <w:tcPr>
            <w:tcW w:w="1239" w:type="dxa"/>
            <w:vAlign w:val="center"/>
          </w:tcPr>
          <w:p w14:paraId="4120000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埋深（</w:t>
            </w:r>
            <w:r w:rsidRPr="00E67914">
              <w:rPr>
                <w:rFonts w:ascii="Times New Roman" w:hAnsi="Times New Roman"/>
                <w:sz w:val="21"/>
                <w:szCs w:val="21"/>
              </w:rPr>
              <w:t>m</w:t>
            </w:r>
            <w:r w:rsidRPr="00E67914">
              <w:rPr>
                <w:rFonts w:ascii="Times New Roman" w:hAnsi="Times New Roman"/>
                <w:sz w:val="21"/>
                <w:szCs w:val="21"/>
              </w:rPr>
              <w:t>）</w:t>
            </w:r>
          </w:p>
        </w:tc>
        <w:tc>
          <w:tcPr>
            <w:tcW w:w="1557" w:type="dxa"/>
            <w:vAlign w:val="center"/>
          </w:tcPr>
          <w:p w14:paraId="03ACCED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水位标高（</w:t>
            </w:r>
            <w:r w:rsidRPr="00E67914">
              <w:rPr>
                <w:rFonts w:ascii="Times New Roman" w:hAnsi="Times New Roman"/>
                <w:sz w:val="21"/>
                <w:szCs w:val="21"/>
              </w:rPr>
              <w:t>m</w:t>
            </w:r>
            <w:r w:rsidRPr="00E67914">
              <w:rPr>
                <w:rFonts w:ascii="Times New Roman" w:hAnsi="Times New Roman"/>
                <w:sz w:val="21"/>
                <w:szCs w:val="21"/>
              </w:rPr>
              <w:t>）</w:t>
            </w:r>
          </w:p>
        </w:tc>
        <w:tc>
          <w:tcPr>
            <w:tcW w:w="1331" w:type="dxa"/>
            <w:vAlign w:val="center"/>
          </w:tcPr>
          <w:p w14:paraId="178751C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调查点类型</w:t>
            </w:r>
          </w:p>
        </w:tc>
      </w:tr>
      <w:tr w:rsidR="00E5189B" w:rsidRPr="00E67914" w14:paraId="5C4762C9" w14:textId="77777777">
        <w:trPr>
          <w:trHeight w:val="273"/>
          <w:jc w:val="center"/>
        </w:trPr>
        <w:tc>
          <w:tcPr>
            <w:tcW w:w="768" w:type="dxa"/>
            <w:vAlign w:val="center"/>
          </w:tcPr>
          <w:p w14:paraId="2E2066FE"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rPr>
              <w:t>1#</w:t>
            </w:r>
          </w:p>
        </w:tc>
        <w:tc>
          <w:tcPr>
            <w:tcW w:w="2128" w:type="dxa"/>
            <w:vAlign w:val="center"/>
          </w:tcPr>
          <w:p w14:paraId="2C1BFCFC" w14:textId="42A56044"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试采站南侧约</w:t>
            </w:r>
            <w:r w:rsidRPr="00E67914">
              <w:rPr>
                <w:rFonts w:ascii="Times New Roman" w:hAnsi="Times New Roman"/>
                <w:kern w:val="2"/>
                <w:sz w:val="21"/>
                <w:szCs w:val="21"/>
                <w:lang w:eastAsia="zh-CN"/>
              </w:rPr>
              <w:t>500m</w:t>
            </w:r>
          </w:p>
        </w:tc>
        <w:tc>
          <w:tcPr>
            <w:tcW w:w="1199" w:type="dxa"/>
            <w:vAlign w:val="center"/>
          </w:tcPr>
          <w:p w14:paraId="48C519CD" w14:textId="521944AC"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509</w:t>
            </w:r>
          </w:p>
        </w:tc>
        <w:tc>
          <w:tcPr>
            <w:tcW w:w="1239" w:type="dxa"/>
            <w:vAlign w:val="center"/>
          </w:tcPr>
          <w:p w14:paraId="5CF4385B" w14:textId="0BFF5927"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w:t>
            </w:r>
          </w:p>
        </w:tc>
        <w:tc>
          <w:tcPr>
            <w:tcW w:w="1557" w:type="dxa"/>
            <w:vAlign w:val="center"/>
          </w:tcPr>
          <w:p w14:paraId="2022F0C6" w14:textId="721E1C6E"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509</w:t>
            </w:r>
          </w:p>
        </w:tc>
        <w:tc>
          <w:tcPr>
            <w:tcW w:w="1331" w:type="dxa"/>
            <w:vAlign w:val="center"/>
          </w:tcPr>
          <w:p w14:paraId="777B9D1D" w14:textId="0954E33A"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lang w:eastAsia="zh-CN"/>
              </w:rPr>
              <w:t>泉水</w:t>
            </w:r>
          </w:p>
        </w:tc>
      </w:tr>
      <w:tr w:rsidR="00E5189B" w:rsidRPr="00E67914" w14:paraId="08F18DC6" w14:textId="77777777">
        <w:trPr>
          <w:trHeight w:val="252"/>
          <w:jc w:val="center"/>
        </w:trPr>
        <w:tc>
          <w:tcPr>
            <w:tcW w:w="768" w:type="dxa"/>
            <w:vAlign w:val="center"/>
          </w:tcPr>
          <w:p w14:paraId="39A59F99"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rPr>
              <w:t>2#</w:t>
            </w:r>
          </w:p>
        </w:tc>
        <w:tc>
          <w:tcPr>
            <w:tcW w:w="2128" w:type="dxa"/>
            <w:vAlign w:val="center"/>
          </w:tcPr>
          <w:p w14:paraId="21E87D9C" w14:textId="66DD68E3"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试采站南侧约</w:t>
            </w:r>
            <w:r w:rsidRPr="00E67914">
              <w:rPr>
                <w:rFonts w:ascii="Times New Roman" w:hAnsi="Times New Roman"/>
                <w:kern w:val="2"/>
                <w:sz w:val="21"/>
                <w:szCs w:val="21"/>
                <w:lang w:eastAsia="zh-CN"/>
              </w:rPr>
              <w:t>250m</w:t>
            </w:r>
          </w:p>
        </w:tc>
        <w:tc>
          <w:tcPr>
            <w:tcW w:w="1199" w:type="dxa"/>
            <w:vAlign w:val="center"/>
          </w:tcPr>
          <w:p w14:paraId="6F279905" w14:textId="1461D11E"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551</w:t>
            </w:r>
          </w:p>
        </w:tc>
        <w:tc>
          <w:tcPr>
            <w:tcW w:w="1239" w:type="dxa"/>
            <w:vAlign w:val="center"/>
          </w:tcPr>
          <w:p w14:paraId="5D263C5E" w14:textId="70D4610A"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w:t>
            </w:r>
          </w:p>
        </w:tc>
        <w:tc>
          <w:tcPr>
            <w:tcW w:w="1557" w:type="dxa"/>
            <w:vAlign w:val="center"/>
          </w:tcPr>
          <w:p w14:paraId="1EE6BD30" w14:textId="368D7C68"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551</w:t>
            </w:r>
          </w:p>
        </w:tc>
        <w:tc>
          <w:tcPr>
            <w:tcW w:w="1331" w:type="dxa"/>
            <w:vAlign w:val="center"/>
          </w:tcPr>
          <w:p w14:paraId="14F4A884" w14:textId="5782D13E"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lang w:eastAsia="zh-CN"/>
              </w:rPr>
              <w:t>泉水</w:t>
            </w:r>
          </w:p>
        </w:tc>
      </w:tr>
      <w:tr w:rsidR="00E5189B" w:rsidRPr="00E67914" w14:paraId="570888B5" w14:textId="77777777">
        <w:trPr>
          <w:trHeight w:val="252"/>
          <w:jc w:val="center"/>
        </w:trPr>
        <w:tc>
          <w:tcPr>
            <w:tcW w:w="768" w:type="dxa"/>
            <w:vAlign w:val="center"/>
          </w:tcPr>
          <w:p w14:paraId="35D892C9"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rPr>
              <w:t>3#</w:t>
            </w:r>
          </w:p>
        </w:tc>
        <w:tc>
          <w:tcPr>
            <w:tcW w:w="2128" w:type="dxa"/>
            <w:vAlign w:val="center"/>
          </w:tcPr>
          <w:p w14:paraId="50840927" w14:textId="42A62504"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试采站东侧约</w:t>
            </w:r>
            <w:r w:rsidRPr="00E67914">
              <w:rPr>
                <w:rFonts w:ascii="Times New Roman" w:hAnsi="Times New Roman"/>
                <w:kern w:val="2"/>
                <w:sz w:val="21"/>
                <w:szCs w:val="21"/>
                <w:lang w:eastAsia="zh-CN"/>
              </w:rPr>
              <w:t>240m</w:t>
            </w:r>
          </w:p>
        </w:tc>
        <w:tc>
          <w:tcPr>
            <w:tcW w:w="1199" w:type="dxa"/>
            <w:vAlign w:val="center"/>
          </w:tcPr>
          <w:p w14:paraId="745FF8BA" w14:textId="5DA14A86"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641</w:t>
            </w:r>
          </w:p>
        </w:tc>
        <w:tc>
          <w:tcPr>
            <w:tcW w:w="1239" w:type="dxa"/>
            <w:vAlign w:val="center"/>
          </w:tcPr>
          <w:p w14:paraId="20D5F66D" w14:textId="095F83FD"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w:t>
            </w:r>
          </w:p>
        </w:tc>
        <w:tc>
          <w:tcPr>
            <w:tcW w:w="1557" w:type="dxa"/>
            <w:vAlign w:val="center"/>
          </w:tcPr>
          <w:p w14:paraId="4B5B7B01" w14:textId="0D5E021D"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641</w:t>
            </w:r>
          </w:p>
        </w:tc>
        <w:tc>
          <w:tcPr>
            <w:tcW w:w="1331" w:type="dxa"/>
            <w:vAlign w:val="center"/>
          </w:tcPr>
          <w:p w14:paraId="0F8AB32D" w14:textId="79C029C1"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lang w:eastAsia="zh-CN"/>
              </w:rPr>
              <w:t>泉水</w:t>
            </w:r>
          </w:p>
        </w:tc>
      </w:tr>
      <w:tr w:rsidR="00E5189B" w:rsidRPr="00E67914" w14:paraId="7F073EC7" w14:textId="77777777">
        <w:trPr>
          <w:trHeight w:val="252"/>
          <w:jc w:val="center"/>
        </w:trPr>
        <w:tc>
          <w:tcPr>
            <w:tcW w:w="768" w:type="dxa"/>
            <w:vAlign w:val="center"/>
          </w:tcPr>
          <w:p w14:paraId="7D716CE7"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rPr>
              <w:t>4#</w:t>
            </w:r>
          </w:p>
        </w:tc>
        <w:tc>
          <w:tcPr>
            <w:tcW w:w="2128" w:type="dxa"/>
            <w:vAlign w:val="center"/>
          </w:tcPr>
          <w:p w14:paraId="036BE25E" w14:textId="05FF0C5D"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试采站西北侧约</w:t>
            </w:r>
            <w:r w:rsidRPr="00E67914">
              <w:rPr>
                <w:rFonts w:ascii="Times New Roman" w:hAnsi="Times New Roman"/>
                <w:kern w:val="2"/>
                <w:sz w:val="21"/>
                <w:szCs w:val="21"/>
                <w:lang w:eastAsia="zh-CN"/>
              </w:rPr>
              <w:t>700m</w:t>
            </w:r>
          </w:p>
        </w:tc>
        <w:tc>
          <w:tcPr>
            <w:tcW w:w="1199" w:type="dxa"/>
            <w:vAlign w:val="center"/>
          </w:tcPr>
          <w:p w14:paraId="5CD7DAC8" w14:textId="2F22F197"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747</w:t>
            </w:r>
          </w:p>
        </w:tc>
        <w:tc>
          <w:tcPr>
            <w:tcW w:w="1239" w:type="dxa"/>
            <w:vAlign w:val="center"/>
          </w:tcPr>
          <w:p w14:paraId="5FF1120E" w14:textId="1A7F02CA"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w:t>
            </w:r>
          </w:p>
        </w:tc>
        <w:tc>
          <w:tcPr>
            <w:tcW w:w="1557" w:type="dxa"/>
            <w:vAlign w:val="center"/>
          </w:tcPr>
          <w:p w14:paraId="3E4E9667" w14:textId="1984ED1B"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745</w:t>
            </w:r>
          </w:p>
        </w:tc>
        <w:tc>
          <w:tcPr>
            <w:tcW w:w="1331" w:type="dxa"/>
            <w:vAlign w:val="center"/>
          </w:tcPr>
          <w:p w14:paraId="67ECB5CC" w14:textId="3E616F1B"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lang w:eastAsia="zh-CN"/>
              </w:rPr>
              <w:t>泉水</w:t>
            </w:r>
          </w:p>
        </w:tc>
      </w:tr>
      <w:tr w:rsidR="00E5189B" w:rsidRPr="00E67914" w14:paraId="17BF07EE" w14:textId="77777777">
        <w:trPr>
          <w:trHeight w:val="252"/>
          <w:jc w:val="center"/>
        </w:trPr>
        <w:tc>
          <w:tcPr>
            <w:tcW w:w="768" w:type="dxa"/>
            <w:vAlign w:val="center"/>
          </w:tcPr>
          <w:p w14:paraId="5400592B"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rPr>
              <w:t>5#</w:t>
            </w:r>
          </w:p>
        </w:tc>
        <w:tc>
          <w:tcPr>
            <w:tcW w:w="2128" w:type="dxa"/>
            <w:vAlign w:val="center"/>
          </w:tcPr>
          <w:p w14:paraId="2C69B0A5" w14:textId="5C1B4A22"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试采站西侧约</w:t>
            </w:r>
            <w:r w:rsidRPr="00E67914">
              <w:rPr>
                <w:rFonts w:ascii="Times New Roman" w:hAnsi="Times New Roman"/>
                <w:kern w:val="2"/>
                <w:sz w:val="21"/>
                <w:szCs w:val="21"/>
                <w:lang w:eastAsia="zh-CN"/>
              </w:rPr>
              <w:t>750m</w:t>
            </w:r>
          </w:p>
        </w:tc>
        <w:tc>
          <w:tcPr>
            <w:tcW w:w="1199" w:type="dxa"/>
            <w:vAlign w:val="center"/>
          </w:tcPr>
          <w:p w14:paraId="6DAA849A" w14:textId="1A8FBCFE"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678</w:t>
            </w:r>
          </w:p>
        </w:tc>
        <w:tc>
          <w:tcPr>
            <w:tcW w:w="1239" w:type="dxa"/>
            <w:vAlign w:val="center"/>
          </w:tcPr>
          <w:p w14:paraId="41ADFFE8" w14:textId="6C0B853C"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w:t>
            </w:r>
          </w:p>
        </w:tc>
        <w:tc>
          <w:tcPr>
            <w:tcW w:w="1557" w:type="dxa"/>
            <w:vAlign w:val="center"/>
          </w:tcPr>
          <w:p w14:paraId="4B3F39C7" w14:textId="64E2B102"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677</w:t>
            </w:r>
          </w:p>
        </w:tc>
        <w:tc>
          <w:tcPr>
            <w:tcW w:w="1331" w:type="dxa"/>
            <w:vAlign w:val="center"/>
          </w:tcPr>
          <w:p w14:paraId="5398609B" w14:textId="2C38AFCC"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lang w:eastAsia="zh-CN"/>
              </w:rPr>
              <w:t>泉水</w:t>
            </w:r>
          </w:p>
        </w:tc>
      </w:tr>
      <w:tr w:rsidR="00E5189B" w:rsidRPr="00E67914" w14:paraId="4B1C4239" w14:textId="77777777">
        <w:trPr>
          <w:trHeight w:val="252"/>
          <w:jc w:val="center"/>
        </w:trPr>
        <w:tc>
          <w:tcPr>
            <w:tcW w:w="768" w:type="dxa"/>
            <w:vAlign w:val="center"/>
          </w:tcPr>
          <w:p w14:paraId="16A00556"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rPr>
              <w:t>6#</w:t>
            </w:r>
          </w:p>
        </w:tc>
        <w:tc>
          <w:tcPr>
            <w:tcW w:w="2128" w:type="dxa"/>
            <w:vAlign w:val="center"/>
          </w:tcPr>
          <w:p w14:paraId="13F97FD9" w14:textId="48E19E78"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试采站东侧约</w:t>
            </w:r>
            <w:r w:rsidRPr="00E67914">
              <w:rPr>
                <w:rFonts w:ascii="Times New Roman" w:hAnsi="Times New Roman"/>
                <w:kern w:val="2"/>
                <w:sz w:val="21"/>
                <w:szCs w:val="21"/>
                <w:lang w:eastAsia="zh-CN"/>
              </w:rPr>
              <w:t>800m</w:t>
            </w:r>
          </w:p>
        </w:tc>
        <w:tc>
          <w:tcPr>
            <w:tcW w:w="1199" w:type="dxa"/>
            <w:vAlign w:val="center"/>
          </w:tcPr>
          <w:p w14:paraId="65AA65DF" w14:textId="0D691F4A"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567</w:t>
            </w:r>
          </w:p>
        </w:tc>
        <w:tc>
          <w:tcPr>
            <w:tcW w:w="1239" w:type="dxa"/>
            <w:vAlign w:val="center"/>
          </w:tcPr>
          <w:p w14:paraId="55130523" w14:textId="3CF6644B"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1557" w:type="dxa"/>
            <w:vAlign w:val="center"/>
          </w:tcPr>
          <w:p w14:paraId="55B8E37C" w14:textId="2C1341C2"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565</w:t>
            </w:r>
          </w:p>
        </w:tc>
        <w:tc>
          <w:tcPr>
            <w:tcW w:w="1331" w:type="dxa"/>
            <w:vAlign w:val="center"/>
          </w:tcPr>
          <w:p w14:paraId="30FBE8BC"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lang w:eastAsia="zh-CN"/>
              </w:rPr>
              <w:t>泉水</w:t>
            </w:r>
          </w:p>
        </w:tc>
      </w:tr>
      <w:tr w:rsidR="00E5189B" w:rsidRPr="00E67914" w14:paraId="4D22FC81" w14:textId="77777777">
        <w:trPr>
          <w:trHeight w:val="252"/>
          <w:jc w:val="center"/>
        </w:trPr>
        <w:tc>
          <w:tcPr>
            <w:tcW w:w="768" w:type="dxa"/>
            <w:vAlign w:val="center"/>
          </w:tcPr>
          <w:p w14:paraId="16255AF4"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rPr>
              <w:t>7#</w:t>
            </w:r>
          </w:p>
        </w:tc>
        <w:tc>
          <w:tcPr>
            <w:tcW w:w="2128" w:type="dxa"/>
            <w:vAlign w:val="center"/>
          </w:tcPr>
          <w:p w14:paraId="321EF8BD" w14:textId="38C20014"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试采站东侧约</w:t>
            </w:r>
            <w:r w:rsidRPr="00E67914">
              <w:rPr>
                <w:rFonts w:ascii="Times New Roman" w:hAnsi="Times New Roman"/>
                <w:kern w:val="2"/>
                <w:sz w:val="21"/>
                <w:szCs w:val="21"/>
                <w:lang w:eastAsia="zh-CN"/>
              </w:rPr>
              <w:t>760m</w:t>
            </w:r>
          </w:p>
        </w:tc>
        <w:tc>
          <w:tcPr>
            <w:tcW w:w="1199" w:type="dxa"/>
            <w:vAlign w:val="center"/>
          </w:tcPr>
          <w:p w14:paraId="69394A0B" w14:textId="5922CF46"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569</w:t>
            </w:r>
          </w:p>
        </w:tc>
        <w:tc>
          <w:tcPr>
            <w:tcW w:w="1239" w:type="dxa"/>
            <w:vAlign w:val="center"/>
          </w:tcPr>
          <w:p w14:paraId="55DA6A9A" w14:textId="72961D23"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1557" w:type="dxa"/>
            <w:vAlign w:val="center"/>
          </w:tcPr>
          <w:p w14:paraId="37387149" w14:textId="5CA04059"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570</w:t>
            </w:r>
          </w:p>
        </w:tc>
        <w:tc>
          <w:tcPr>
            <w:tcW w:w="1331" w:type="dxa"/>
            <w:vAlign w:val="center"/>
          </w:tcPr>
          <w:p w14:paraId="0B5EC11C" w14:textId="0FD24798"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lang w:eastAsia="zh-CN"/>
              </w:rPr>
              <w:t>泉水</w:t>
            </w:r>
          </w:p>
        </w:tc>
      </w:tr>
      <w:tr w:rsidR="00E5189B" w:rsidRPr="00E67914" w14:paraId="599B3B54" w14:textId="77777777">
        <w:trPr>
          <w:trHeight w:val="252"/>
          <w:jc w:val="center"/>
        </w:trPr>
        <w:tc>
          <w:tcPr>
            <w:tcW w:w="768" w:type="dxa"/>
            <w:vAlign w:val="center"/>
          </w:tcPr>
          <w:p w14:paraId="523DB695"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rPr>
              <w:t>8#</w:t>
            </w:r>
          </w:p>
        </w:tc>
        <w:tc>
          <w:tcPr>
            <w:tcW w:w="2128" w:type="dxa"/>
            <w:vAlign w:val="center"/>
          </w:tcPr>
          <w:p w14:paraId="2492442D" w14:textId="1443B385"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试采站西侧约</w:t>
            </w:r>
            <w:r w:rsidRPr="00E67914">
              <w:rPr>
                <w:rFonts w:ascii="Times New Roman" w:hAnsi="Times New Roman"/>
                <w:kern w:val="2"/>
                <w:sz w:val="21"/>
                <w:szCs w:val="21"/>
                <w:lang w:eastAsia="zh-CN"/>
              </w:rPr>
              <w:t>550m</w:t>
            </w:r>
          </w:p>
        </w:tc>
        <w:tc>
          <w:tcPr>
            <w:tcW w:w="1199" w:type="dxa"/>
            <w:vAlign w:val="center"/>
          </w:tcPr>
          <w:p w14:paraId="1A4E4838" w14:textId="1FF7A004"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682</w:t>
            </w:r>
          </w:p>
        </w:tc>
        <w:tc>
          <w:tcPr>
            <w:tcW w:w="1239" w:type="dxa"/>
            <w:vAlign w:val="center"/>
          </w:tcPr>
          <w:p w14:paraId="483545F7" w14:textId="62F00171"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1557" w:type="dxa"/>
            <w:vAlign w:val="center"/>
          </w:tcPr>
          <w:p w14:paraId="3EC9E25B" w14:textId="1C0708BF"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683</w:t>
            </w:r>
          </w:p>
        </w:tc>
        <w:tc>
          <w:tcPr>
            <w:tcW w:w="1331" w:type="dxa"/>
            <w:vAlign w:val="center"/>
          </w:tcPr>
          <w:p w14:paraId="61FD9DCA" w14:textId="77777777" w:rsidR="00E5189B" w:rsidRPr="00E67914" w:rsidRDefault="00E5189B" w:rsidP="00E5189B">
            <w:pPr>
              <w:jc w:val="center"/>
              <w:rPr>
                <w:rFonts w:ascii="Times New Roman" w:hAnsi="Times New Roman"/>
                <w:sz w:val="21"/>
                <w:szCs w:val="21"/>
              </w:rPr>
            </w:pPr>
            <w:r w:rsidRPr="00E67914">
              <w:rPr>
                <w:rFonts w:ascii="Times New Roman" w:hAnsi="Times New Roman"/>
                <w:sz w:val="21"/>
                <w:szCs w:val="21"/>
                <w:lang w:eastAsia="zh-CN"/>
              </w:rPr>
              <w:t>泉水</w:t>
            </w:r>
          </w:p>
        </w:tc>
      </w:tr>
      <w:tr w:rsidR="00E5189B" w:rsidRPr="00E67914" w14:paraId="1731507A" w14:textId="77777777">
        <w:trPr>
          <w:trHeight w:val="252"/>
          <w:jc w:val="center"/>
        </w:trPr>
        <w:tc>
          <w:tcPr>
            <w:tcW w:w="768" w:type="dxa"/>
            <w:vAlign w:val="center"/>
          </w:tcPr>
          <w:p w14:paraId="333FE367" w14:textId="77777777"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9#</w:t>
            </w:r>
          </w:p>
        </w:tc>
        <w:tc>
          <w:tcPr>
            <w:tcW w:w="2128" w:type="dxa"/>
            <w:vAlign w:val="center"/>
          </w:tcPr>
          <w:p w14:paraId="3503B0BF" w14:textId="3E5A0F81"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试采站西北侧约</w:t>
            </w:r>
            <w:r w:rsidRPr="00E67914">
              <w:rPr>
                <w:rFonts w:ascii="Times New Roman" w:hAnsi="Times New Roman"/>
                <w:kern w:val="2"/>
                <w:sz w:val="21"/>
                <w:szCs w:val="21"/>
                <w:lang w:eastAsia="zh-CN"/>
              </w:rPr>
              <w:t>580m</w:t>
            </w:r>
          </w:p>
        </w:tc>
        <w:tc>
          <w:tcPr>
            <w:tcW w:w="1199" w:type="dxa"/>
            <w:vAlign w:val="center"/>
          </w:tcPr>
          <w:p w14:paraId="69A0706B" w14:textId="5F67C64D"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716</w:t>
            </w:r>
          </w:p>
        </w:tc>
        <w:tc>
          <w:tcPr>
            <w:tcW w:w="1239" w:type="dxa"/>
            <w:vAlign w:val="center"/>
          </w:tcPr>
          <w:p w14:paraId="4B059B54" w14:textId="6A149ADE"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1557" w:type="dxa"/>
            <w:vAlign w:val="center"/>
          </w:tcPr>
          <w:p w14:paraId="3124B2EB" w14:textId="7E3E76C3"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715</w:t>
            </w:r>
          </w:p>
        </w:tc>
        <w:tc>
          <w:tcPr>
            <w:tcW w:w="1331" w:type="dxa"/>
            <w:vAlign w:val="center"/>
          </w:tcPr>
          <w:p w14:paraId="67F0AD32" w14:textId="3D580D5C"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泉水</w:t>
            </w:r>
          </w:p>
        </w:tc>
      </w:tr>
      <w:tr w:rsidR="00E5189B" w:rsidRPr="00E67914" w14:paraId="3E55F4EF" w14:textId="77777777">
        <w:trPr>
          <w:trHeight w:val="252"/>
          <w:jc w:val="center"/>
        </w:trPr>
        <w:tc>
          <w:tcPr>
            <w:tcW w:w="768" w:type="dxa"/>
            <w:vAlign w:val="center"/>
          </w:tcPr>
          <w:p w14:paraId="59E90EB8" w14:textId="77777777"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10#</w:t>
            </w:r>
          </w:p>
        </w:tc>
        <w:tc>
          <w:tcPr>
            <w:tcW w:w="2128" w:type="dxa"/>
            <w:vAlign w:val="center"/>
          </w:tcPr>
          <w:p w14:paraId="5CE67DBC" w14:textId="6191AFBF"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1</w:t>
            </w: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试采站东北侧约</w:t>
            </w:r>
            <w:r w:rsidRPr="00E67914">
              <w:rPr>
                <w:rFonts w:ascii="Times New Roman" w:hAnsi="Times New Roman"/>
                <w:kern w:val="2"/>
                <w:sz w:val="21"/>
                <w:szCs w:val="21"/>
                <w:lang w:eastAsia="zh-CN"/>
              </w:rPr>
              <w:t>500m</w:t>
            </w:r>
          </w:p>
        </w:tc>
        <w:tc>
          <w:tcPr>
            <w:tcW w:w="1199" w:type="dxa"/>
            <w:vAlign w:val="center"/>
          </w:tcPr>
          <w:p w14:paraId="11728DC9" w14:textId="742AA267"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633</w:t>
            </w:r>
          </w:p>
        </w:tc>
        <w:tc>
          <w:tcPr>
            <w:tcW w:w="1239" w:type="dxa"/>
            <w:vAlign w:val="center"/>
          </w:tcPr>
          <w:p w14:paraId="72B60E7D" w14:textId="47596067" w:rsidR="00E5189B" w:rsidRPr="00E67914" w:rsidRDefault="00E5189B" w:rsidP="00E5189B">
            <w:pPr>
              <w:jc w:val="center"/>
              <w:rPr>
                <w:rFonts w:ascii="Times New Roman" w:hAnsi="Times New Roman"/>
                <w:sz w:val="21"/>
                <w:szCs w:val="21"/>
                <w:lang w:eastAsia="zh-CN"/>
              </w:rPr>
            </w:pPr>
            <w:r w:rsidRPr="00E67914">
              <w:rPr>
                <w:rFonts w:ascii="Times New Roman" w:hAnsi="Times New Roman"/>
                <w:kern w:val="2"/>
                <w:sz w:val="21"/>
                <w:szCs w:val="21"/>
                <w:lang w:eastAsia="zh-CN"/>
              </w:rPr>
              <w:t>/</w:t>
            </w:r>
          </w:p>
        </w:tc>
        <w:tc>
          <w:tcPr>
            <w:tcW w:w="1557" w:type="dxa"/>
            <w:vAlign w:val="center"/>
          </w:tcPr>
          <w:p w14:paraId="4D56D3A3" w14:textId="1B00E2EA" w:rsidR="00E5189B" w:rsidRPr="00E67914" w:rsidRDefault="00D70184" w:rsidP="00E5189B">
            <w:pPr>
              <w:jc w:val="center"/>
              <w:rPr>
                <w:rFonts w:ascii="Times New Roman" w:hAnsi="Times New Roman"/>
                <w:sz w:val="21"/>
                <w:szCs w:val="21"/>
                <w:lang w:eastAsia="zh-CN"/>
              </w:rPr>
            </w:pPr>
            <w:r w:rsidRPr="00E67914">
              <w:rPr>
                <w:rFonts w:ascii="Times New Roman" w:hAnsi="Times New Roman"/>
                <w:sz w:val="21"/>
                <w:szCs w:val="21"/>
                <w:lang w:eastAsia="zh-CN"/>
              </w:rPr>
              <w:t>632</w:t>
            </w:r>
          </w:p>
        </w:tc>
        <w:tc>
          <w:tcPr>
            <w:tcW w:w="1331" w:type="dxa"/>
            <w:vAlign w:val="center"/>
          </w:tcPr>
          <w:p w14:paraId="1701E25E" w14:textId="50B5981E" w:rsidR="00E5189B" w:rsidRPr="00E67914" w:rsidRDefault="00E5189B" w:rsidP="00E5189B">
            <w:pPr>
              <w:jc w:val="center"/>
              <w:rPr>
                <w:rFonts w:ascii="Times New Roman" w:hAnsi="Times New Roman"/>
                <w:sz w:val="21"/>
                <w:szCs w:val="21"/>
                <w:lang w:eastAsia="zh-CN"/>
              </w:rPr>
            </w:pPr>
            <w:r w:rsidRPr="00E67914">
              <w:rPr>
                <w:rFonts w:ascii="Times New Roman" w:hAnsi="Times New Roman"/>
                <w:sz w:val="21"/>
                <w:szCs w:val="21"/>
                <w:lang w:eastAsia="zh-CN"/>
              </w:rPr>
              <w:t>泉水</w:t>
            </w:r>
          </w:p>
        </w:tc>
      </w:tr>
    </w:tbl>
    <w:p w14:paraId="02A244ED"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4.2.5</w:t>
      </w:r>
      <w:r w:rsidRPr="00E67914">
        <w:rPr>
          <w:rFonts w:ascii="Times New Roman" w:eastAsia="黑体" w:hAnsi="Times New Roman"/>
          <w:b w:val="0"/>
          <w:sz w:val="24"/>
          <w:szCs w:val="24"/>
          <w:lang w:eastAsia="zh-CN"/>
        </w:rPr>
        <w:t>土壤环境质量现状</w:t>
      </w:r>
    </w:p>
    <w:p w14:paraId="263AF23E"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kern w:val="2"/>
          <w:sz w:val="24"/>
          <w:szCs w:val="24"/>
          <w:lang w:eastAsia="zh-CN"/>
        </w:rPr>
      </w:pPr>
      <w:r w:rsidRPr="00E67914">
        <w:rPr>
          <w:rFonts w:ascii="Times New Roman" w:hAnsi="Times New Roman"/>
          <w:b/>
          <w:kern w:val="2"/>
          <w:sz w:val="24"/>
          <w:szCs w:val="24"/>
          <w:lang w:eastAsia="zh-CN"/>
        </w:rPr>
        <w:t xml:space="preserve">4.2.5.1 </w:t>
      </w:r>
      <w:r w:rsidRPr="00E67914">
        <w:rPr>
          <w:rFonts w:ascii="Times New Roman" w:hAnsi="Times New Roman"/>
          <w:b/>
          <w:kern w:val="2"/>
          <w:sz w:val="24"/>
          <w:szCs w:val="24"/>
          <w:lang w:eastAsia="zh-CN"/>
        </w:rPr>
        <w:t>土壤理化性质调查、利用状况调查</w:t>
      </w:r>
    </w:p>
    <w:p w14:paraId="3E6C0C91" w14:textId="2B206DA9"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本次评价重点针对平台周边</w:t>
      </w:r>
      <w:r w:rsidRPr="00E67914">
        <w:rPr>
          <w:rFonts w:ascii="Times New Roman" w:hAnsi="Times New Roman"/>
          <w:bCs/>
          <w:kern w:val="2"/>
          <w:sz w:val="24"/>
          <w:szCs w:val="24"/>
          <w:lang w:eastAsia="zh-CN"/>
        </w:rPr>
        <w:t>200m</w:t>
      </w:r>
      <w:r w:rsidRPr="00E67914">
        <w:rPr>
          <w:rFonts w:ascii="Times New Roman" w:hAnsi="Times New Roman"/>
          <w:bCs/>
          <w:kern w:val="2"/>
          <w:sz w:val="24"/>
          <w:szCs w:val="24"/>
          <w:lang w:eastAsia="zh-CN"/>
        </w:rPr>
        <w:t>范围进行调查，通过调查相关资料，并结合国家土壤信息服务平台（中国</w:t>
      </w:r>
      <w:r w:rsidRPr="00E67914">
        <w:rPr>
          <w:rFonts w:ascii="Times New Roman" w:hAnsi="Times New Roman"/>
          <w:bCs/>
          <w:kern w:val="2"/>
          <w:sz w:val="24"/>
          <w:szCs w:val="24"/>
          <w:lang w:eastAsia="zh-CN"/>
        </w:rPr>
        <w:t>1km</w:t>
      </w:r>
      <w:r w:rsidRPr="00E67914">
        <w:rPr>
          <w:rFonts w:ascii="Times New Roman" w:hAnsi="Times New Roman"/>
          <w:bCs/>
          <w:kern w:val="2"/>
          <w:sz w:val="24"/>
          <w:szCs w:val="24"/>
          <w:lang w:eastAsia="zh-CN"/>
        </w:rPr>
        <w:t>土壤类型图），本项目周边土壤类型属棕色</w:t>
      </w:r>
      <w:r w:rsidR="00E5189B" w:rsidRPr="00E67914">
        <w:rPr>
          <w:rFonts w:ascii="Times New Roman" w:hAnsi="Times New Roman"/>
          <w:bCs/>
          <w:kern w:val="2"/>
          <w:sz w:val="24"/>
          <w:szCs w:val="24"/>
          <w:lang w:eastAsia="zh-CN"/>
        </w:rPr>
        <w:t>黏土</w:t>
      </w:r>
      <w:r w:rsidRPr="00E67914">
        <w:rPr>
          <w:rFonts w:ascii="Times New Roman" w:hAnsi="Times New Roman"/>
          <w:bCs/>
          <w:kern w:val="2"/>
          <w:sz w:val="24"/>
          <w:szCs w:val="24"/>
          <w:lang w:eastAsia="zh-CN"/>
        </w:rPr>
        <w:t>。为了解项目所在区域的环境质量现状，本次评价委托四川省允诺信检测技术有限公司对项目所在区域进行了土壤环境现状监测与调查。周边土壤理化特性见表</w:t>
      </w:r>
      <w:r w:rsidRPr="00E67914">
        <w:rPr>
          <w:rFonts w:ascii="Times New Roman" w:hAnsi="Times New Roman"/>
          <w:bCs/>
          <w:kern w:val="2"/>
          <w:sz w:val="24"/>
          <w:szCs w:val="24"/>
          <w:lang w:eastAsia="zh-CN"/>
        </w:rPr>
        <w:t>4.2-10</w:t>
      </w:r>
      <w:r w:rsidRPr="00E67914">
        <w:rPr>
          <w:rFonts w:ascii="Times New Roman" w:hAnsi="Times New Roman"/>
          <w:bCs/>
          <w:kern w:val="2"/>
          <w:sz w:val="24"/>
          <w:szCs w:val="24"/>
          <w:lang w:eastAsia="zh-CN"/>
        </w:rPr>
        <w:t>。</w:t>
      </w:r>
    </w:p>
    <w:p w14:paraId="522AF190"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4.2-10  </w:t>
      </w:r>
      <w:r w:rsidRPr="00E67914">
        <w:rPr>
          <w:rFonts w:ascii="Times New Roman" w:eastAsia="黑体" w:hAnsi="Times New Roman"/>
          <w:sz w:val="21"/>
          <w:szCs w:val="21"/>
          <w:lang w:eastAsia="zh-CN"/>
        </w:rPr>
        <w:t>土壤理化特性调查表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11"/>
        <w:gridCol w:w="2087"/>
        <w:gridCol w:w="1789"/>
        <w:gridCol w:w="1426"/>
        <w:gridCol w:w="1687"/>
      </w:tblGrid>
      <w:tr w:rsidR="00E67914" w:rsidRPr="00E67914" w14:paraId="6B0D37E5" w14:textId="77777777">
        <w:trPr>
          <w:trHeight w:val="454"/>
          <w:jc w:val="center"/>
        </w:trPr>
        <w:tc>
          <w:tcPr>
            <w:tcW w:w="2047" w:type="pct"/>
            <w:gridSpan w:val="2"/>
            <w:shd w:val="clear" w:color="auto" w:fill="auto"/>
            <w:vAlign w:val="center"/>
          </w:tcPr>
          <w:p w14:paraId="548207D0" w14:textId="77777777" w:rsidR="00A54A8A" w:rsidRPr="00E67914" w:rsidRDefault="00000000">
            <w:pPr>
              <w:pStyle w:val="06"/>
              <w:rPr>
                <w:rFonts w:cs="Times New Roman"/>
              </w:rPr>
            </w:pPr>
            <w:r w:rsidRPr="00E67914">
              <w:rPr>
                <w:rFonts w:cs="Times New Roman"/>
              </w:rPr>
              <w:t>点号</w:t>
            </w:r>
          </w:p>
        </w:tc>
        <w:tc>
          <w:tcPr>
            <w:tcW w:w="1078" w:type="pct"/>
            <w:shd w:val="clear" w:color="auto" w:fill="auto"/>
            <w:vAlign w:val="center"/>
          </w:tcPr>
          <w:p w14:paraId="1B72A2FC" w14:textId="15D9A7BC" w:rsidR="00A54A8A" w:rsidRPr="00E67914" w:rsidRDefault="00E5189B">
            <w:pPr>
              <w:pStyle w:val="06"/>
              <w:rPr>
                <w:rFonts w:cs="Times New Roman"/>
              </w:rPr>
            </w:pPr>
            <w:r w:rsidRPr="00E67914">
              <w:rPr>
                <w:rFonts w:cs="Times New Roman"/>
              </w:rPr>
              <w:t>5#</w:t>
            </w:r>
          </w:p>
        </w:tc>
        <w:tc>
          <w:tcPr>
            <w:tcW w:w="859" w:type="pct"/>
            <w:shd w:val="clear" w:color="auto" w:fill="auto"/>
            <w:vAlign w:val="center"/>
          </w:tcPr>
          <w:p w14:paraId="17E37105" w14:textId="77777777" w:rsidR="00A54A8A" w:rsidRPr="00E67914" w:rsidRDefault="00000000">
            <w:pPr>
              <w:pStyle w:val="06"/>
              <w:rPr>
                <w:rFonts w:cs="Times New Roman"/>
              </w:rPr>
            </w:pPr>
            <w:r w:rsidRPr="00E67914">
              <w:rPr>
                <w:rFonts w:cs="Times New Roman"/>
              </w:rPr>
              <w:t>采样时间</w:t>
            </w:r>
          </w:p>
        </w:tc>
        <w:tc>
          <w:tcPr>
            <w:tcW w:w="1016" w:type="pct"/>
            <w:shd w:val="clear" w:color="auto" w:fill="auto"/>
            <w:vAlign w:val="center"/>
          </w:tcPr>
          <w:p w14:paraId="0B738DA2" w14:textId="3AE853E1" w:rsidR="00A54A8A" w:rsidRPr="00E67914" w:rsidRDefault="00000000">
            <w:pPr>
              <w:pStyle w:val="06"/>
              <w:rPr>
                <w:rFonts w:cs="Times New Roman"/>
              </w:rPr>
            </w:pPr>
            <w:r w:rsidRPr="00E67914">
              <w:rPr>
                <w:rFonts w:cs="Times New Roman"/>
              </w:rPr>
              <w:t>2023.</w:t>
            </w:r>
            <w:r w:rsidR="00E5189B" w:rsidRPr="00E67914">
              <w:rPr>
                <w:rFonts w:cs="Times New Roman"/>
              </w:rPr>
              <w:t>8</w:t>
            </w:r>
            <w:r w:rsidRPr="00E67914">
              <w:rPr>
                <w:rFonts w:cs="Times New Roman"/>
              </w:rPr>
              <w:t>.</w:t>
            </w:r>
            <w:r w:rsidR="00E5189B" w:rsidRPr="00E67914">
              <w:rPr>
                <w:rFonts w:cs="Times New Roman"/>
              </w:rPr>
              <w:t>8</w:t>
            </w:r>
          </w:p>
        </w:tc>
      </w:tr>
      <w:tr w:rsidR="00E67914" w:rsidRPr="00E67914" w14:paraId="134ED529" w14:textId="77777777">
        <w:trPr>
          <w:trHeight w:val="454"/>
          <w:jc w:val="center"/>
        </w:trPr>
        <w:tc>
          <w:tcPr>
            <w:tcW w:w="2047" w:type="pct"/>
            <w:gridSpan w:val="2"/>
            <w:shd w:val="clear" w:color="auto" w:fill="auto"/>
            <w:vAlign w:val="center"/>
          </w:tcPr>
          <w:p w14:paraId="7526474C" w14:textId="77777777" w:rsidR="00A54A8A" w:rsidRPr="00E67914" w:rsidRDefault="00000000">
            <w:pPr>
              <w:pStyle w:val="04"/>
              <w:rPr>
                <w:rFonts w:cs="Times New Roman"/>
              </w:rPr>
            </w:pPr>
            <w:r w:rsidRPr="00E67914">
              <w:rPr>
                <w:rFonts w:cs="Times New Roman"/>
              </w:rPr>
              <w:lastRenderedPageBreak/>
              <w:t>经度</w:t>
            </w:r>
          </w:p>
        </w:tc>
        <w:tc>
          <w:tcPr>
            <w:tcW w:w="1078" w:type="pct"/>
            <w:shd w:val="clear" w:color="auto" w:fill="auto"/>
            <w:vAlign w:val="center"/>
          </w:tcPr>
          <w:p w14:paraId="588A193B" w14:textId="11B13315" w:rsidR="00A54A8A" w:rsidRPr="00E67914" w:rsidRDefault="000809BE">
            <w:pPr>
              <w:pStyle w:val="04"/>
              <w:rPr>
                <w:rFonts w:cs="Times New Roman"/>
              </w:rPr>
            </w:pPr>
            <w:r w:rsidRPr="00E67914">
              <w:rPr>
                <w:rFonts w:cs="Times New Roman"/>
              </w:rPr>
              <w:t>107.760109°</w:t>
            </w:r>
            <w:r w:rsidRPr="00E67914">
              <w:rPr>
                <w:rFonts w:cs="Times New Roman"/>
              </w:rPr>
              <w:t>东</w:t>
            </w:r>
          </w:p>
        </w:tc>
        <w:tc>
          <w:tcPr>
            <w:tcW w:w="859" w:type="pct"/>
            <w:shd w:val="clear" w:color="auto" w:fill="auto"/>
            <w:vAlign w:val="center"/>
          </w:tcPr>
          <w:p w14:paraId="44F6D88E" w14:textId="77777777" w:rsidR="00A54A8A" w:rsidRPr="00E67914" w:rsidRDefault="00000000">
            <w:pPr>
              <w:pStyle w:val="04"/>
              <w:rPr>
                <w:rFonts w:cs="Times New Roman"/>
              </w:rPr>
            </w:pPr>
            <w:r w:rsidRPr="00E67914">
              <w:rPr>
                <w:rFonts w:cs="Times New Roman"/>
              </w:rPr>
              <w:t>纬度</w:t>
            </w:r>
          </w:p>
        </w:tc>
        <w:tc>
          <w:tcPr>
            <w:tcW w:w="1016" w:type="pct"/>
            <w:shd w:val="clear" w:color="auto" w:fill="auto"/>
            <w:vAlign w:val="center"/>
          </w:tcPr>
          <w:p w14:paraId="4CDE9D8C" w14:textId="69A56D12" w:rsidR="00A54A8A" w:rsidRPr="00E67914" w:rsidRDefault="000809BE">
            <w:pPr>
              <w:pStyle w:val="04"/>
              <w:rPr>
                <w:rFonts w:cs="Times New Roman"/>
              </w:rPr>
            </w:pPr>
            <w:r w:rsidRPr="00E67914">
              <w:rPr>
                <w:rFonts w:cs="Times New Roman"/>
              </w:rPr>
              <w:t>31.519185°</w:t>
            </w:r>
            <w:r w:rsidRPr="00E67914">
              <w:rPr>
                <w:rFonts w:cs="Times New Roman"/>
              </w:rPr>
              <w:t>北</w:t>
            </w:r>
          </w:p>
        </w:tc>
      </w:tr>
      <w:tr w:rsidR="00E67914" w:rsidRPr="00E67914" w14:paraId="7A78B0FA" w14:textId="77777777">
        <w:trPr>
          <w:trHeight w:val="454"/>
          <w:jc w:val="center"/>
        </w:trPr>
        <w:tc>
          <w:tcPr>
            <w:tcW w:w="2047" w:type="pct"/>
            <w:gridSpan w:val="2"/>
            <w:shd w:val="clear" w:color="auto" w:fill="auto"/>
            <w:vAlign w:val="center"/>
          </w:tcPr>
          <w:p w14:paraId="52543C71" w14:textId="77777777" w:rsidR="00A54A8A" w:rsidRPr="00E67914" w:rsidRDefault="00000000">
            <w:pPr>
              <w:pStyle w:val="04"/>
              <w:rPr>
                <w:rFonts w:cs="Times New Roman"/>
              </w:rPr>
            </w:pPr>
            <w:r w:rsidRPr="00E67914">
              <w:rPr>
                <w:rFonts w:cs="Times New Roman"/>
              </w:rPr>
              <w:t>层次</w:t>
            </w:r>
          </w:p>
        </w:tc>
        <w:tc>
          <w:tcPr>
            <w:tcW w:w="2953" w:type="pct"/>
            <w:gridSpan w:val="3"/>
            <w:shd w:val="clear" w:color="auto" w:fill="auto"/>
            <w:vAlign w:val="center"/>
          </w:tcPr>
          <w:p w14:paraId="049F9DE3" w14:textId="29405C3F" w:rsidR="00A54A8A" w:rsidRPr="00E67914" w:rsidRDefault="00000000">
            <w:pPr>
              <w:pStyle w:val="04"/>
              <w:rPr>
                <w:rFonts w:cs="Times New Roman"/>
              </w:rPr>
            </w:pPr>
            <w:r w:rsidRPr="00E67914">
              <w:rPr>
                <w:rFonts w:cs="Times New Roman"/>
              </w:rPr>
              <w:t>0~0.</w:t>
            </w:r>
            <w:r w:rsidR="000809BE" w:rsidRPr="00E67914">
              <w:rPr>
                <w:rFonts w:cs="Times New Roman"/>
              </w:rPr>
              <w:t>2</w:t>
            </w:r>
            <w:r w:rsidRPr="00E67914">
              <w:rPr>
                <w:rFonts w:cs="Times New Roman"/>
              </w:rPr>
              <w:t>m</w:t>
            </w:r>
          </w:p>
        </w:tc>
      </w:tr>
      <w:tr w:rsidR="00E67914" w:rsidRPr="00E67914" w14:paraId="4B9E19BD" w14:textId="77777777">
        <w:trPr>
          <w:trHeight w:val="454"/>
          <w:jc w:val="center"/>
        </w:trPr>
        <w:tc>
          <w:tcPr>
            <w:tcW w:w="790" w:type="pct"/>
            <w:vMerge w:val="restart"/>
            <w:shd w:val="clear" w:color="auto" w:fill="auto"/>
            <w:vAlign w:val="center"/>
          </w:tcPr>
          <w:p w14:paraId="032A6AC6" w14:textId="77777777" w:rsidR="00A54A8A" w:rsidRPr="00E67914" w:rsidRDefault="00000000">
            <w:pPr>
              <w:pStyle w:val="04"/>
              <w:rPr>
                <w:rFonts w:cs="Times New Roman"/>
              </w:rPr>
            </w:pPr>
            <w:r w:rsidRPr="00E67914">
              <w:rPr>
                <w:rFonts w:cs="Times New Roman"/>
              </w:rPr>
              <w:t>现场记录</w:t>
            </w:r>
          </w:p>
        </w:tc>
        <w:tc>
          <w:tcPr>
            <w:tcW w:w="1257" w:type="pct"/>
            <w:shd w:val="clear" w:color="auto" w:fill="auto"/>
            <w:vAlign w:val="center"/>
          </w:tcPr>
          <w:p w14:paraId="0D4EDC77" w14:textId="77777777" w:rsidR="00A54A8A" w:rsidRPr="00E67914" w:rsidRDefault="00000000">
            <w:pPr>
              <w:pStyle w:val="04"/>
              <w:rPr>
                <w:rFonts w:cs="Times New Roman"/>
              </w:rPr>
            </w:pPr>
            <w:r w:rsidRPr="00E67914">
              <w:rPr>
                <w:rFonts w:cs="Times New Roman"/>
              </w:rPr>
              <w:t>颜色</w:t>
            </w:r>
          </w:p>
        </w:tc>
        <w:tc>
          <w:tcPr>
            <w:tcW w:w="2953" w:type="pct"/>
            <w:gridSpan w:val="3"/>
            <w:shd w:val="clear" w:color="auto" w:fill="auto"/>
            <w:vAlign w:val="center"/>
          </w:tcPr>
          <w:p w14:paraId="256C6CFE" w14:textId="77777777" w:rsidR="00A54A8A" w:rsidRPr="00E67914" w:rsidRDefault="00000000">
            <w:pPr>
              <w:pStyle w:val="04"/>
              <w:rPr>
                <w:rFonts w:cs="Times New Roman"/>
              </w:rPr>
            </w:pPr>
            <w:r w:rsidRPr="00E67914">
              <w:rPr>
                <w:rFonts w:cs="Times New Roman"/>
              </w:rPr>
              <w:t>棕色</w:t>
            </w:r>
          </w:p>
        </w:tc>
      </w:tr>
      <w:tr w:rsidR="00E67914" w:rsidRPr="00E67914" w14:paraId="7AAE81A5" w14:textId="77777777">
        <w:trPr>
          <w:trHeight w:val="454"/>
          <w:jc w:val="center"/>
        </w:trPr>
        <w:tc>
          <w:tcPr>
            <w:tcW w:w="790" w:type="pct"/>
            <w:vMerge/>
            <w:shd w:val="clear" w:color="auto" w:fill="auto"/>
            <w:vAlign w:val="center"/>
          </w:tcPr>
          <w:p w14:paraId="0B4E5193" w14:textId="77777777" w:rsidR="00A54A8A" w:rsidRPr="00E67914" w:rsidRDefault="00A54A8A">
            <w:pPr>
              <w:pStyle w:val="04"/>
              <w:rPr>
                <w:rFonts w:cs="Times New Roman"/>
              </w:rPr>
            </w:pPr>
          </w:p>
        </w:tc>
        <w:tc>
          <w:tcPr>
            <w:tcW w:w="1257" w:type="pct"/>
            <w:shd w:val="clear" w:color="auto" w:fill="auto"/>
            <w:vAlign w:val="center"/>
          </w:tcPr>
          <w:p w14:paraId="569C3165" w14:textId="77777777" w:rsidR="00A54A8A" w:rsidRPr="00E67914" w:rsidRDefault="00000000">
            <w:pPr>
              <w:pStyle w:val="04"/>
              <w:rPr>
                <w:rFonts w:cs="Times New Roman"/>
              </w:rPr>
            </w:pPr>
            <w:r w:rsidRPr="00E67914">
              <w:rPr>
                <w:rFonts w:cs="Times New Roman"/>
              </w:rPr>
              <w:t>结构</w:t>
            </w:r>
          </w:p>
        </w:tc>
        <w:tc>
          <w:tcPr>
            <w:tcW w:w="2953" w:type="pct"/>
            <w:gridSpan w:val="3"/>
            <w:shd w:val="clear" w:color="auto" w:fill="auto"/>
            <w:vAlign w:val="center"/>
          </w:tcPr>
          <w:p w14:paraId="411FC3FC" w14:textId="77777777" w:rsidR="00A54A8A" w:rsidRPr="00E67914" w:rsidRDefault="00000000">
            <w:pPr>
              <w:pStyle w:val="04"/>
              <w:rPr>
                <w:rFonts w:cs="Times New Roman"/>
              </w:rPr>
            </w:pPr>
            <w:r w:rsidRPr="00E67914">
              <w:rPr>
                <w:rFonts w:cs="Times New Roman"/>
              </w:rPr>
              <w:t>团粒结构</w:t>
            </w:r>
          </w:p>
        </w:tc>
      </w:tr>
      <w:tr w:rsidR="00E67914" w:rsidRPr="00E67914" w14:paraId="02F07AE1" w14:textId="77777777">
        <w:trPr>
          <w:trHeight w:val="454"/>
          <w:jc w:val="center"/>
        </w:trPr>
        <w:tc>
          <w:tcPr>
            <w:tcW w:w="790" w:type="pct"/>
            <w:vMerge/>
            <w:shd w:val="clear" w:color="auto" w:fill="auto"/>
            <w:vAlign w:val="center"/>
          </w:tcPr>
          <w:p w14:paraId="13B094C0" w14:textId="77777777" w:rsidR="00A54A8A" w:rsidRPr="00E67914" w:rsidRDefault="00A54A8A">
            <w:pPr>
              <w:pStyle w:val="04"/>
              <w:rPr>
                <w:rFonts w:cs="Times New Roman"/>
              </w:rPr>
            </w:pPr>
          </w:p>
        </w:tc>
        <w:tc>
          <w:tcPr>
            <w:tcW w:w="1257" w:type="pct"/>
            <w:shd w:val="clear" w:color="auto" w:fill="auto"/>
            <w:vAlign w:val="center"/>
          </w:tcPr>
          <w:p w14:paraId="78473C53" w14:textId="77777777" w:rsidR="00A54A8A" w:rsidRPr="00E67914" w:rsidRDefault="00000000">
            <w:pPr>
              <w:pStyle w:val="04"/>
              <w:rPr>
                <w:rFonts w:cs="Times New Roman"/>
              </w:rPr>
            </w:pPr>
            <w:r w:rsidRPr="00E67914">
              <w:rPr>
                <w:rFonts w:cs="Times New Roman"/>
              </w:rPr>
              <w:t>质地</w:t>
            </w:r>
          </w:p>
        </w:tc>
        <w:tc>
          <w:tcPr>
            <w:tcW w:w="2953" w:type="pct"/>
            <w:gridSpan w:val="3"/>
            <w:shd w:val="clear" w:color="auto" w:fill="auto"/>
            <w:vAlign w:val="center"/>
          </w:tcPr>
          <w:p w14:paraId="5FE22D4B" w14:textId="5A7D690F" w:rsidR="00A54A8A" w:rsidRPr="00E67914" w:rsidRDefault="00E5189B">
            <w:pPr>
              <w:pStyle w:val="04"/>
              <w:rPr>
                <w:rFonts w:cs="Times New Roman"/>
              </w:rPr>
            </w:pPr>
            <w:r w:rsidRPr="00E67914">
              <w:rPr>
                <w:rFonts w:cs="Times New Roman"/>
              </w:rPr>
              <w:t>黏土</w:t>
            </w:r>
          </w:p>
        </w:tc>
      </w:tr>
      <w:tr w:rsidR="00E67914" w:rsidRPr="00E67914" w14:paraId="53C7E385" w14:textId="77777777">
        <w:trPr>
          <w:trHeight w:val="454"/>
          <w:jc w:val="center"/>
        </w:trPr>
        <w:tc>
          <w:tcPr>
            <w:tcW w:w="790" w:type="pct"/>
            <w:vMerge/>
            <w:shd w:val="clear" w:color="auto" w:fill="auto"/>
            <w:vAlign w:val="center"/>
          </w:tcPr>
          <w:p w14:paraId="3DD0371D" w14:textId="77777777" w:rsidR="000809BE" w:rsidRPr="00E67914" w:rsidRDefault="000809BE">
            <w:pPr>
              <w:pStyle w:val="04"/>
              <w:rPr>
                <w:rFonts w:cs="Times New Roman"/>
              </w:rPr>
            </w:pPr>
          </w:p>
        </w:tc>
        <w:tc>
          <w:tcPr>
            <w:tcW w:w="1257" w:type="pct"/>
            <w:shd w:val="clear" w:color="auto" w:fill="auto"/>
            <w:vAlign w:val="center"/>
          </w:tcPr>
          <w:p w14:paraId="77DF292D" w14:textId="2019D9EF" w:rsidR="000809BE" w:rsidRPr="00E67914" w:rsidRDefault="000809BE">
            <w:pPr>
              <w:pStyle w:val="04"/>
              <w:rPr>
                <w:rFonts w:cs="Times New Roman"/>
              </w:rPr>
            </w:pPr>
            <w:r w:rsidRPr="00E67914">
              <w:rPr>
                <w:rFonts w:cs="Times New Roman"/>
              </w:rPr>
              <w:t>砂砾含量（</w:t>
            </w:r>
            <w:r w:rsidRPr="00E67914">
              <w:rPr>
                <w:rFonts w:cs="Times New Roman"/>
              </w:rPr>
              <w:t>%</w:t>
            </w:r>
            <w:r w:rsidRPr="00E67914">
              <w:rPr>
                <w:rFonts w:cs="Times New Roman"/>
              </w:rPr>
              <w:t>）</w:t>
            </w:r>
          </w:p>
        </w:tc>
        <w:tc>
          <w:tcPr>
            <w:tcW w:w="2953" w:type="pct"/>
            <w:gridSpan w:val="3"/>
            <w:shd w:val="clear" w:color="auto" w:fill="auto"/>
            <w:vAlign w:val="center"/>
          </w:tcPr>
          <w:p w14:paraId="473B94CA" w14:textId="61D3397E" w:rsidR="000809BE" w:rsidRPr="00E67914" w:rsidRDefault="000809BE">
            <w:pPr>
              <w:pStyle w:val="04"/>
              <w:rPr>
                <w:rFonts w:cs="Times New Roman"/>
              </w:rPr>
            </w:pPr>
            <w:r w:rsidRPr="00E67914">
              <w:rPr>
                <w:rFonts w:cs="Times New Roman"/>
              </w:rPr>
              <w:t>21</w:t>
            </w:r>
          </w:p>
        </w:tc>
      </w:tr>
      <w:tr w:rsidR="00E67914" w:rsidRPr="00E67914" w14:paraId="1F644818" w14:textId="77777777">
        <w:trPr>
          <w:trHeight w:val="454"/>
          <w:jc w:val="center"/>
        </w:trPr>
        <w:tc>
          <w:tcPr>
            <w:tcW w:w="790" w:type="pct"/>
            <w:vMerge/>
            <w:shd w:val="clear" w:color="auto" w:fill="auto"/>
            <w:vAlign w:val="center"/>
          </w:tcPr>
          <w:p w14:paraId="5EA6BB0A" w14:textId="77777777" w:rsidR="00A54A8A" w:rsidRPr="00E67914" w:rsidRDefault="00A54A8A">
            <w:pPr>
              <w:pStyle w:val="04"/>
              <w:rPr>
                <w:rFonts w:cs="Times New Roman"/>
              </w:rPr>
            </w:pPr>
          </w:p>
        </w:tc>
        <w:tc>
          <w:tcPr>
            <w:tcW w:w="1257" w:type="pct"/>
            <w:shd w:val="clear" w:color="auto" w:fill="auto"/>
            <w:vAlign w:val="center"/>
          </w:tcPr>
          <w:p w14:paraId="3D625C68" w14:textId="77777777" w:rsidR="00A54A8A" w:rsidRPr="00E67914" w:rsidRDefault="00000000">
            <w:pPr>
              <w:pStyle w:val="04"/>
              <w:rPr>
                <w:rFonts w:cs="Times New Roman"/>
              </w:rPr>
            </w:pPr>
            <w:r w:rsidRPr="00E67914">
              <w:rPr>
                <w:rFonts w:cs="Times New Roman"/>
              </w:rPr>
              <w:t>其他异物</w:t>
            </w:r>
          </w:p>
        </w:tc>
        <w:tc>
          <w:tcPr>
            <w:tcW w:w="2953" w:type="pct"/>
            <w:gridSpan w:val="3"/>
            <w:shd w:val="clear" w:color="auto" w:fill="auto"/>
            <w:vAlign w:val="center"/>
          </w:tcPr>
          <w:p w14:paraId="017FD03C" w14:textId="77777777" w:rsidR="00A54A8A" w:rsidRPr="00E67914" w:rsidRDefault="00000000">
            <w:pPr>
              <w:pStyle w:val="04"/>
              <w:rPr>
                <w:rFonts w:cs="Times New Roman"/>
              </w:rPr>
            </w:pPr>
            <w:r w:rsidRPr="00E67914">
              <w:rPr>
                <w:rFonts w:cs="Times New Roman"/>
              </w:rPr>
              <w:t>无</w:t>
            </w:r>
          </w:p>
        </w:tc>
      </w:tr>
      <w:tr w:rsidR="00E67914" w:rsidRPr="00E67914" w14:paraId="6D945FB4" w14:textId="77777777">
        <w:trPr>
          <w:trHeight w:val="454"/>
          <w:jc w:val="center"/>
        </w:trPr>
        <w:tc>
          <w:tcPr>
            <w:tcW w:w="790" w:type="pct"/>
            <w:vMerge w:val="restart"/>
            <w:shd w:val="clear" w:color="auto" w:fill="auto"/>
            <w:vAlign w:val="center"/>
          </w:tcPr>
          <w:p w14:paraId="652E8055" w14:textId="77777777" w:rsidR="00A54A8A" w:rsidRPr="00E67914" w:rsidRDefault="00000000">
            <w:pPr>
              <w:pStyle w:val="04"/>
              <w:rPr>
                <w:rFonts w:cs="Times New Roman"/>
              </w:rPr>
            </w:pPr>
            <w:r w:rsidRPr="00E67914">
              <w:rPr>
                <w:rFonts w:cs="Times New Roman"/>
              </w:rPr>
              <w:t>实验室测定</w:t>
            </w:r>
          </w:p>
        </w:tc>
        <w:tc>
          <w:tcPr>
            <w:tcW w:w="1257" w:type="pct"/>
            <w:shd w:val="clear" w:color="auto" w:fill="auto"/>
            <w:vAlign w:val="center"/>
          </w:tcPr>
          <w:p w14:paraId="43FE2A63" w14:textId="77777777" w:rsidR="00A54A8A" w:rsidRPr="00E67914" w:rsidRDefault="00000000">
            <w:pPr>
              <w:pStyle w:val="04"/>
              <w:rPr>
                <w:rFonts w:cs="Times New Roman"/>
              </w:rPr>
            </w:pPr>
            <w:r w:rsidRPr="00E67914">
              <w:rPr>
                <w:rFonts w:cs="Times New Roman"/>
              </w:rPr>
              <w:t>pH</w:t>
            </w:r>
            <w:r w:rsidRPr="00E67914">
              <w:rPr>
                <w:rFonts w:cs="Times New Roman"/>
              </w:rPr>
              <w:t>值</w:t>
            </w:r>
          </w:p>
        </w:tc>
        <w:tc>
          <w:tcPr>
            <w:tcW w:w="2953" w:type="pct"/>
            <w:gridSpan w:val="3"/>
            <w:shd w:val="clear" w:color="auto" w:fill="auto"/>
            <w:vAlign w:val="center"/>
          </w:tcPr>
          <w:p w14:paraId="08ACF089" w14:textId="231ED57E" w:rsidR="00A54A8A" w:rsidRPr="00E67914" w:rsidRDefault="00000000">
            <w:pPr>
              <w:pStyle w:val="04"/>
              <w:rPr>
                <w:rFonts w:cs="Times New Roman"/>
              </w:rPr>
            </w:pPr>
            <w:r w:rsidRPr="00E67914">
              <w:rPr>
                <w:rFonts w:cs="Times New Roman"/>
              </w:rPr>
              <w:t>7.</w:t>
            </w:r>
            <w:r w:rsidR="000809BE" w:rsidRPr="00E67914">
              <w:rPr>
                <w:rFonts w:cs="Times New Roman"/>
              </w:rPr>
              <w:t>73</w:t>
            </w:r>
          </w:p>
        </w:tc>
      </w:tr>
      <w:tr w:rsidR="00E67914" w:rsidRPr="00E67914" w14:paraId="4047872D" w14:textId="77777777">
        <w:trPr>
          <w:trHeight w:val="454"/>
          <w:jc w:val="center"/>
        </w:trPr>
        <w:tc>
          <w:tcPr>
            <w:tcW w:w="790" w:type="pct"/>
            <w:vMerge/>
            <w:shd w:val="clear" w:color="auto" w:fill="auto"/>
            <w:vAlign w:val="center"/>
          </w:tcPr>
          <w:p w14:paraId="70287579" w14:textId="77777777" w:rsidR="00A54A8A" w:rsidRPr="00E67914" w:rsidRDefault="00A54A8A">
            <w:pPr>
              <w:pStyle w:val="04"/>
              <w:rPr>
                <w:rFonts w:cs="Times New Roman"/>
              </w:rPr>
            </w:pPr>
          </w:p>
        </w:tc>
        <w:tc>
          <w:tcPr>
            <w:tcW w:w="1257" w:type="pct"/>
            <w:shd w:val="clear" w:color="auto" w:fill="auto"/>
            <w:vAlign w:val="center"/>
          </w:tcPr>
          <w:p w14:paraId="5B2F912D" w14:textId="77777777" w:rsidR="00A54A8A" w:rsidRPr="00E67914" w:rsidRDefault="00000000">
            <w:pPr>
              <w:pStyle w:val="04"/>
              <w:rPr>
                <w:rFonts w:cs="Times New Roman"/>
              </w:rPr>
            </w:pPr>
            <w:r w:rsidRPr="00E67914">
              <w:rPr>
                <w:rFonts w:cs="Times New Roman"/>
              </w:rPr>
              <w:t>阳离子交换量</w:t>
            </w:r>
          </w:p>
        </w:tc>
        <w:tc>
          <w:tcPr>
            <w:tcW w:w="2953" w:type="pct"/>
            <w:gridSpan w:val="3"/>
            <w:shd w:val="clear" w:color="auto" w:fill="auto"/>
            <w:vAlign w:val="center"/>
          </w:tcPr>
          <w:p w14:paraId="4AE14CAE" w14:textId="17C6AB79" w:rsidR="00A54A8A" w:rsidRPr="00E67914" w:rsidRDefault="000809BE">
            <w:pPr>
              <w:pStyle w:val="04"/>
              <w:rPr>
                <w:rFonts w:cs="Times New Roman"/>
              </w:rPr>
            </w:pPr>
            <w:r w:rsidRPr="00E67914">
              <w:rPr>
                <w:rFonts w:cs="Times New Roman"/>
              </w:rPr>
              <w:t>4.78</w:t>
            </w:r>
          </w:p>
        </w:tc>
      </w:tr>
      <w:tr w:rsidR="00E67914" w:rsidRPr="00E67914" w14:paraId="1D4A6517" w14:textId="77777777">
        <w:trPr>
          <w:trHeight w:val="454"/>
          <w:jc w:val="center"/>
        </w:trPr>
        <w:tc>
          <w:tcPr>
            <w:tcW w:w="790" w:type="pct"/>
            <w:vMerge/>
            <w:shd w:val="clear" w:color="auto" w:fill="auto"/>
            <w:vAlign w:val="center"/>
          </w:tcPr>
          <w:p w14:paraId="1319ACA1" w14:textId="77777777" w:rsidR="00A54A8A" w:rsidRPr="00E67914" w:rsidRDefault="00A54A8A">
            <w:pPr>
              <w:pStyle w:val="04"/>
              <w:rPr>
                <w:rFonts w:cs="Times New Roman"/>
              </w:rPr>
            </w:pPr>
          </w:p>
        </w:tc>
        <w:tc>
          <w:tcPr>
            <w:tcW w:w="1257" w:type="pct"/>
            <w:shd w:val="clear" w:color="auto" w:fill="auto"/>
            <w:vAlign w:val="center"/>
          </w:tcPr>
          <w:p w14:paraId="5B0069D0" w14:textId="77777777" w:rsidR="00A54A8A" w:rsidRPr="00E67914" w:rsidRDefault="00000000">
            <w:pPr>
              <w:pStyle w:val="04"/>
              <w:rPr>
                <w:rFonts w:cs="Times New Roman"/>
              </w:rPr>
            </w:pPr>
            <w:r w:rsidRPr="00E67914">
              <w:rPr>
                <w:rFonts w:cs="Times New Roman"/>
              </w:rPr>
              <w:t>容重</w:t>
            </w:r>
          </w:p>
        </w:tc>
        <w:tc>
          <w:tcPr>
            <w:tcW w:w="2953" w:type="pct"/>
            <w:gridSpan w:val="3"/>
            <w:shd w:val="clear" w:color="auto" w:fill="auto"/>
            <w:vAlign w:val="center"/>
          </w:tcPr>
          <w:p w14:paraId="39E83BC9" w14:textId="5708B6A3" w:rsidR="00A54A8A" w:rsidRPr="00E67914" w:rsidRDefault="00000000">
            <w:pPr>
              <w:pStyle w:val="04"/>
              <w:rPr>
                <w:rFonts w:cs="Times New Roman"/>
              </w:rPr>
            </w:pPr>
            <w:r w:rsidRPr="00E67914">
              <w:rPr>
                <w:rFonts w:cs="Times New Roman"/>
              </w:rPr>
              <w:t>1.</w:t>
            </w:r>
            <w:r w:rsidR="000809BE" w:rsidRPr="00E67914">
              <w:rPr>
                <w:rFonts w:cs="Times New Roman"/>
              </w:rPr>
              <w:t>36</w:t>
            </w:r>
            <w:r w:rsidRPr="00E67914">
              <w:rPr>
                <w:rFonts w:cs="Times New Roman"/>
              </w:rPr>
              <w:t>g/cm</w:t>
            </w:r>
            <w:r w:rsidRPr="00E67914">
              <w:rPr>
                <w:rFonts w:cs="Times New Roman"/>
                <w:vertAlign w:val="superscript"/>
              </w:rPr>
              <w:t>3</w:t>
            </w:r>
          </w:p>
        </w:tc>
      </w:tr>
    </w:tbl>
    <w:p w14:paraId="4A14D961" w14:textId="77777777" w:rsidR="00A54A8A" w:rsidRPr="00E67914" w:rsidRDefault="00000000">
      <w:pPr>
        <w:adjustRightInd w:val="0"/>
        <w:snapToGrid w:val="0"/>
        <w:spacing w:line="360" w:lineRule="auto"/>
        <w:ind w:firstLineChars="200" w:firstLine="482"/>
        <w:jc w:val="both"/>
        <w:outlineLvl w:val="3"/>
        <w:rPr>
          <w:rFonts w:ascii="Times New Roman" w:hAnsi="Times New Roman"/>
          <w:b/>
          <w:kern w:val="2"/>
          <w:sz w:val="24"/>
          <w:szCs w:val="24"/>
          <w:lang w:eastAsia="zh-CN"/>
        </w:rPr>
      </w:pPr>
      <w:r w:rsidRPr="00E67914">
        <w:rPr>
          <w:rFonts w:ascii="Times New Roman" w:hAnsi="Times New Roman"/>
          <w:b/>
          <w:kern w:val="2"/>
          <w:sz w:val="24"/>
          <w:szCs w:val="24"/>
          <w:lang w:eastAsia="zh-CN"/>
        </w:rPr>
        <w:t xml:space="preserve">4.2.5.2 </w:t>
      </w:r>
      <w:r w:rsidRPr="00E67914">
        <w:rPr>
          <w:rFonts w:ascii="Times New Roman" w:hAnsi="Times New Roman"/>
          <w:b/>
          <w:kern w:val="2"/>
          <w:sz w:val="24"/>
          <w:szCs w:val="24"/>
          <w:lang w:eastAsia="zh-CN"/>
        </w:rPr>
        <w:t>土壤环境质量现状调查</w:t>
      </w:r>
    </w:p>
    <w:p w14:paraId="1CE436A8" w14:textId="479FC951"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本次评价委托四川省允诺信检测技术有限公司于</w:t>
      </w:r>
      <w:r w:rsidRPr="00E67914">
        <w:rPr>
          <w:rFonts w:ascii="Times New Roman" w:hAnsi="Times New Roman"/>
          <w:bCs/>
          <w:kern w:val="2"/>
          <w:sz w:val="24"/>
          <w:szCs w:val="24"/>
          <w:lang w:eastAsia="zh-CN"/>
        </w:rPr>
        <w:t>2023</w:t>
      </w:r>
      <w:r w:rsidRPr="00E67914">
        <w:rPr>
          <w:rFonts w:ascii="Times New Roman" w:hAnsi="Times New Roman"/>
          <w:bCs/>
          <w:kern w:val="2"/>
          <w:sz w:val="24"/>
          <w:szCs w:val="24"/>
          <w:lang w:eastAsia="zh-CN"/>
        </w:rPr>
        <w:t>年</w:t>
      </w:r>
      <w:r w:rsidR="000809BE"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月</w:t>
      </w:r>
      <w:r w:rsidR="000809BE"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日对平台厂界内外的</w:t>
      </w:r>
      <w:r w:rsidR="000809BE" w:rsidRPr="00E67914">
        <w:rPr>
          <w:rFonts w:ascii="Times New Roman" w:hAnsi="Times New Roman"/>
          <w:bCs/>
          <w:kern w:val="2"/>
          <w:sz w:val="24"/>
          <w:szCs w:val="24"/>
          <w:lang w:eastAsia="zh-CN"/>
        </w:rPr>
        <w:t>11</w:t>
      </w:r>
      <w:r w:rsidRPr="00E67914">
        <w:rPr>
          <w:rFonts w:ascii="Times New Roman" w:hAnsi="Times New Roman"/>
          <w:bCs/>
          <w:kern w:val="2"/>
          <w:sz w:val="24"/>
          <w:szCs w:val="24"/>
          <w:lang w:eastAsia="zh-CN"/>
        </w:rPr>
        <w:t>处土壤进行了取样监测，平台占地范围内布置</w:t>
      </w:r>
      <w:r w:rsidR="000809BE" w:rsidRPr="00E67914">
        <w:rPr>
          <w:rFonts w:ascii="Times New Roman" w:hAnsi="Times New Roman"/>
          <w:bCs/>
          <w:kern w:val="2"/>
          <w:sz w:val="24"/>
          <w:szCs w:val="24"/>
          <w:lang w:eastAsia="zh-CN"/>
        </w:rPr>
        <w:t>6</w:t>
      </w:r>
      <w:r w:rsidRPr="00E67914">
        <w:rPr>
          <w:rFonts w:ascii="Times New Roman" w:hAnsi="Times New Roman"/>
          <w:bCs/>
          <w:kern w:val="2"/>
          <w:sz w:val="24"/>
          <w:szCs w:val="24"/>
          <w:lang w:eastAsia="zh-CN"/>
        </w:rPr>
        <w:t>个柱状样，</w:t>
      </w:r>
      <w:r w:rsidR="000809BE"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个表层样；场地外布置布置</w:t>
      </w:r>
      <w:r w:rsidR="000809BE"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个表层样，监测点位设置符合《环境影响评价技术导则</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土壤环境（试行）》（</w:t>
      </w:r>
      <w:r w:rsidRPr="00E67914">
        <w:rPr>
          <w:rFonts w:ascii="Times New Roman" w:hAnsi="Times New Roman"/>
          <w:bCs/>
          <w:kern w:val="2"/>
          <w:sz w:val="24"/>
          <w:szCs w:val="24"/>
          <w:lang w:eastAsia="zh-CN"/>
        </w:rPr>
        <w:t>HJ 964-2018</w:t>
      </w:r>
      <w:r w:rsidRPr="00E67914">
        <w:rPr>
          <w:rFonts w:ascii="Times New Roman" w:hAnsi="Times New Roman"/>
          <w:bCs/>
          <w:kern w:val="2"/>
          <w:sz w:val="24"/>
          <w:szCs w:val="24"/>
          <w:lang w:eastAsia="zh-CN"/>
        </w:rPr>
        <w:t>）中的布点原则和现状监测点数量要求，监测布点见附图</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w:t>
      </w:r>
    </w:p>
    <w:p w14:paraId="7A118B64"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）监测点位及监测因子</w:t>
      </w:r>
    </w:p>
    <w:p w14:paraId="0E1D7CA8"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本次评价土壤监测布点情况见表</w:t>
      </w:r>
      <w:r w:rsidRPr="00E67914">
        <w:rPr>
          <w:rFonts w:ascii="Times New Roman" w:hAnsi="Times New Roman"/>
          <w:bCs/>
          <w:kern w:val="2"/>
          <w:sz w:val="24"/>
          <w:szCs w:val="24"/>
          <w:lang w:eastAsia="zh-CN"/>
        </w:rPr>
        <w:t>4.2-11</w:t>
      </w:r>
      <w:r w:rsidRPr="00E67914">
        <w:rPr>
          <w:rFonts w:ascii="Times New Roman" w:hAnsi="Times New Roman"/>
          <w:bCs/>
          <w:kern w:val="2"/>
          <w:sz w:val="24"/>
          <w:szCs w:val="24"/>
          <w:lang w:eastAsia="zh-CN"/>
        </w:rPr>
        <w:t>。</w:t>
      </w:r>
    </w:p>
    <w:p w14:paraId="1C44004A"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4.2-11  </w:t>
      </w:r>
      <w:r w:rsidRPr="00E67914">
        <w:rPr>
          <w:rFonts w:ascii="Times New Roman" w:eastAsia="黑体" w:hAnsi="Times New Roman"/>
          <w:sz w:val="21"/>
          <w:szCs w:val="21"/>
          <w:lang w:eastAsia="zh-CN"/>
        </w:rPr>
        <w:t>本项目土壤环境监测布点情况</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1898"/>
        <w:gridCol w:w="1277"/>
        <w:gridCol w:w="3814"/>
        <w:gridCol w:w="780"/>
      </w:tblGrid>
      <w:tr w:rsidR="00E67914" w:rsidRPr="00E67914" w14:paraId="06DB39ED" w14:textId="77777777" w:rsidTr="000809BE">
        <w:trPr>
          <w:trHeight w:val="379"/>
        </w:trPr>
        <w:tc>
          <w:tcPr>
            <w:tcW w:w="289" w:type="pct"/>
            <w:tcBorders>
              <w:right w:val="single" w:sz="4" w:space="0" w:color="auto"/>
            </w:tcBorders>
            <w:vAlign w:val="center"/>
          </w:tcPr>
          <w:p w14:paraId="77CBE6C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编号</w:t>
            </w:r>
          </w:p>
        </w:tc>
        <w:tc>
          <w:tcPr>
            <w:tcW w:w="1151" w:type="pct"/>
            <w:vAlign w:val="center"/>
          </w:tcPr>
          <w:p w14:paraId="64606C1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坐标</w:t>
            </w:r>
          </w:p>
        </w:tc>
        <w:tc>
          <w:tcPr>
            <w:tcW w:w="777" w:type="pct"/>
            <w:vAlign w:val="center"/>
          </w:tcPr>
          <w:p w14:paraId="621F1FB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方位距离</w:t>
            </w:r>
          </w:p>
        </w:tc>
        <w:tc>
          <w:tcPr>
            <w:tcW w:w="2305" w:type="pct"/>
            <w:vAlign w:val="center"/>
          </w:tcPr>
          <w:p w14:paraId="5F11AC1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监测指标</w:t>
            </w:r>
          </w:p>
        </w:tc>
        <w:tc>
          <w:tcPr>
            <w:tcW w:w="477" w:type="pct"/>
            <w:vAlign w:val="center"/>
          </w:tcPr>
          <w:p w14:paraId="4404CA8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备注</w:t>
            </w:r>
          </w:p>
        </w:tc>
      </w:tr>
      <w:tr w:rsidR="00E67914" w:rsidRPr="00E67914" w14:paraId="7E9F7863" w14:textId="77777777" w:rsidTr="000809BE">
        <w:trPr>
          <w:trHeight w:val="379"/>
        </w:trPr>
        <w:tc>
          <w:tcPr>
            <w:tcW w:w="289" w:type="pct"/>
            <w:tcBorders>
              <w:right w:val="single" w:sz="4" w:space="0" w:color="auto"/>
            </w:tcBorders>
            <w:vAlign w:val="center"/>
          </w:tcPr>
          <w:p w14:paraId="2349DD24"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1#</w:t>
            </w:r>
          </w:p>
        </w:tc>
        <w:tc>
          <w:tcPr>
            <w:tcW w:w="1151" w:type="pct"/>
            <w:vAlign w:val="center"/>
          </w:tcPr>
          <w:p w14:paraId="428B9DD1" w14:textId="514E3BE8"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107.761792</w:t>
            </w:r>
            <w:r w:rsidRPr="00E67914">
              <w:rPr>
                <w:rFonts w:ascii="Times New Roman" w:hAnsi="Times New Roman"/>
                <w:sz w:val="21"/>
                <w:szCs w:val="21"/>
                <w:lang w:eastAsia="zh-CN"/>
              </w:rPr>
              <w:t>，北纬</w:t>
            </w:r>
            <w:r w:rsidRPr="00E67914">
              <w:rPr>
                <w:rFonts w:ascii="Times New Roman" w:hAnsi="Times New Roman"/>
                <w:sz w:val="21"/>
                <w:szCs w:val="21"/>
                <w:lang w:eastAsia="zh-CN"/>
              </w:rPr>
              <w:t>31.525642</w:t>
            </w:r>
          </w:p>
        </w:tc>
        <w:tc>
          <w:tcPr>
            <w:tcW w:w="777" w:type="pct"/>
            <w:vAlign w:val="center"/>
          </w:tcPr>
          <w:p w14:paraId="013228B5" w14:textId="2C3AE355"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井台内北侧</w:t>
            </w:r>
          </w:p>
        </w:tc>
        <w:tc>
          <w:tcPr>
            <w:tcW w:w="2305" w:type="pct"/>
            <w:vAlign w:val="center"/>
          </w:tcPr>
          <w:p w14:paraId="7C5049B1"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2F28165F" w14:textId="77777777" w:rsidR="000809BE" w:rsidRPr="00E67914" w:rsidRDefault="000809BE" w:rsidP="000809BE">
            <w:pPr>
              <w:rPr>
                <w:rFonts w:ascii="Times New Roman" w:hAnsi="Times New Roman"/>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r w:rsidRPr="00E67914">
              <w:rPr>
                <w:rFonts w:ascii="Times New Roman" w:hAnsi="Times New Roman"/>
                <w:sz w:val="21"/>
                <w:szCs w:val="21"/>
                <w:lang w:eastAsia="zh-CN"/>
              </w:rPr>
              <w:t>0~0.5m</w:t>
            </w:r>
            <w:r w:rsidRPr="00E67914">
              <w:rPr>
                <w:rFonts w:ascii="Times New Roman" w:hAnsi="Times New Roman"/>
                <w:sz w:val="21"/>
                <w:szCs w:val="21"/>
                <w:lang w:eastAsia="zh-CN"/>
              </w:rPr>
              <w:t>、</w:t>
            </w:r>
            <w:r w:rsidRPr="00E67914">
              <w:rPr>
                <w:rFonts w:ascii="Times New Roman" w:hAnsi="Times New Roman"/>
                <w:sz w:val="21"/>
                <w:szCs w:val="21"/>
                <w:lang w:eastAsia="zh-CN"/>
              </w:rPr>
              <w:t>0.5~1.5m</w:t>
            </w:r>
            <w:r w:rsidRPr="00E67914">
              <w:rPr>
                <w:rFonts w:ascii="Times New Roman" w:hAnsi="Times New Roman"/>
                <w:sz w:val="21"/>
                <w:szCs w:val="21"/>
                <w:lang w:eastAsia="zh-CN"/>
              </w:rPr>
              <w:t>、</w:t>
            </w:r>
            <w:r w:rsidRPr="00E67914">
              <w:rPr>
                <w:rFonts w:ascii="Times New Roman" w:hAnsi="Times New Roman"/>
                <w:sz w:val="21"/>
                <w:szCs w:val="21"/>
                <w:lang w:eastAsia="zh-CN"/>
              </w:rPr>
              <w:t>1.5~3m</w:t>
            </w:r>
            <w:r w:rsidRPr="00E67914">
              <w:rPr>
                <w:rFonts w:ascii="Times New Roman" w:hAnsi="Times New Roman"/>
                <w:sz w:val="21"/>
                <w:szCs w:val="21"/>
                <w:lang w:eastAsia="zh-CN"/>
              </w:rPr>
              <w:t>分别取样）</w:t>
            </w:r>
          </w:p>
        </w:tc>
        <w:tc>
          <w:tcPr>
            <w:tcW w:w="477" w:type="pct"/>
            <w:vAlign w:val="center"/>
          </w:tcPr>
          <w:p w14:paraId="2FEEFE53"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柱状样点</w:t>
            </w:r>
          </w:p>
        </w:tc>
      </w:tr>
      <w:tr w:rsidR="00E67914" w:rsidRPr="00E67914" w14:paraId="0742F149" w14:textId="77777777" w:rsidTr="000809BE">
        <w:trPr>
          <w:trHeight w:val="379"/>
        </w:trPr>
        <w:tc>
          <w:tcPr>
            <w:tcW w:w="289" w:type="pct"/>
            <w:tcBorders>
              <w:right w:val="single" w:sz="4" w:space="0" w:color="auto"/>
            </w:tcBorders>
            <w:vAlign w:val="center"/>
          </w:tcPr>
          <w:p w14:paraId="46DA5DAF"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2#</w:t>
            </w:r>
          </w:p>
        </w:tc>
        <w:tc>
          <w:tcPr>
            <w:tcW w:w="1151" w:type="pct"/>
            <w:vAlign w:val="center"/>
          </w:tcPr>
          <w:p w14:paraId="7F3FAB8F" w14:textId="415D0122"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107.764238</w:t>
            </w:r>
            <w:r w:rsidRPr="00E67914">
              <w:rPr>
                <w:rFonts w:ascii="Times New Roman" w:hAnsi="Times New Roman"/>
                <w:sz w:val="21"/>
                <w:szCs w:val="21"/>
                <w:lang w:eastAsia="zh-CN"/>
              </w:rPr>
              <w:t>，北纬</w:t>
            </w:r>
            <w:r w:rsidRPr="00E67914">
              <w:rPr>
                <w:rFonts w:ascii="Times New Roman" w:hAnsi="Times New Roman"/>
                <w:sz w:val="21"/>
                <w:szCs w:val="21"/>
                <w:lang w:eastAsia="zh-CN"/>
              </w:rPr>
              <w:t>31.517026</w:t>
            </w:r>
          </w:p>
        </w:tc>
        <w:tc>
          <w:tcPr>
            <w:tcW w:w="777" w:type="pct"/>
            <w:vAlign w:val="center"/>
          </w:tcPr>
          <w:p w14:paraId="48A577B9" w14:textId="6A2FFDFB"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井台内南侧区域</w:t>
            </w:r>
          </w:p>
        </w:tc>
        <w:tc>
          <w:tcPr>
            <w:tcW w:w="2305" w:type="pct"/>
            <w:vAlign w:val="center"/>
          </w:tcPr>
          <w:p w14:paraId="0EEEC7E8"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7977BEA2" w14:textId="77777777" w:rsidR="000809BE" w:rsidRPr="00E67914" w:rsidRDefault="000809BE" w:rsidP="000809BE">
            <w:pPr>
              <w:rPr>
                <w:rFonts w:ascii="Times New Roman" w:hAnsi="Times New Roman"/>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r w:rsidRPr="00E67914">
              <w:rPr>
                <w:rFonts w:ascii="Times New Roman" w:hAnsi="Times New Roman"/>
                <w:sz w:val="21"/>
                <w:szCs w:val="21"/>
                <w:lang w:eastAsia="zh-CN"/>
              </w:rPr>
              <w:t>0~0.5m</w:t>
            </w:r>
            <w:r w:rsidRPr="00E67914">
              <w:rPr>
                <w:rFonts w:ascii="Times New Roman" w:hAnsi="Times New Roman"/>
                <w:sz w:val="21"/>
                <w:szCs w:val="21"/>
                <w:lang w:eastAsia="zh-CN"/>
              </w:rPr>
              <w:t>、</w:t>
            </w:r>
            <w:r w:rsidRPr="00E67914">
              <w:rPr>
                <w:rFonts w:ascii="Times New Roman" w:hAnsi="Times New Roman"/>
                <w:sz w:val="21"/>
                <w:szCs w:val="21"/>
                <w:lang w:eastAsia="zh-CN"/>
              </w:rPr>
              <w:t>0.5~1.5m</w:t>
            </w:r>
            <w:r w:rsidRPr="00E67914">
              <w:rPr>
                <w:rFonts w:ascii="Times New Roman" w:hAnsi="Times New Roman"/>
                <w:sz w:val="21"/>
                <w:szCs w:val="21"/>
                <w:lang w:eastAsia="zh-CN"/>
              </w:rPr>
              <w:t>、</w:t>
            </w:r>
            <w:r w:rsidRPr="00E67914">
              <w:rPr>
                <w:rFonts w:ascii="Times New Roman" w:hAnsi="Times New Roman"/>
                <w:sz w:val="21"/>
                <w:szCs w:val="21"/>
                <w:lang w:eastAsia="zh-CN"/>
              </w:rPr>
              <w:t>1.5~3m</w:t>
            </w:r>
            <w:r w:rsidRPr="00E67914">
              <w:rPr>
                <w:rFonts w:ascii="Times New Roman" w:hAnsi="Times New Roman"/>
                <w:sz w:val="21"/>
                <w:szCs w:val="21"/>
                <w:lang w:eastAsia="zh-CN"/>
              </w:rPr>
              <w:t>分别取样）</w:t>
            </w:r>
          </w:p>
        </w:tc>
        <w:tc>
          <w:tcPr>
            <w:tcW w:w="477" w:type="pct"/>
            <w:vAlign w:val="center"/>
          </w:tcPr>
          <w:p w14:paraId="01D94544"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柱状样点</w:t>
            </w:r>
          </w:p>
        </w:tc>
      </w:tr>
      <w:tr w:rsidR="00E67914" w:rsidRPr="00E67914" w14:paraId="4A614D05" w14:textId="77777777" w:rsidTr="000809BE">
        <w:trPr>
          <w:trHeight w:val="652"/>
        </w:trPr>
        <w:tc>
          <w:tcPr>
            <w:tcW w:w="289" w:type="pct"/>
            <w:tcBorders>
              <w:right w:val="single" w:sz="4" w:space="0" w:color="auto"/>
            </w:tcBorders>
            <w:vAlign w:val="center"/>
          </w:tcPr>
          <w:p w14:paraId="2E2F3E1D"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3#</w:t>
            </w:r>
          </w:p>
        </w:tc>
        <w:tc>
          <w:tcPr>
            <w:tcW w:w="1151" w:type="pct"/>
            <w:vAlign w:val="center"/>
          </w:tcPr>
          <w:p w14:paraId="5EE3C747" w14:textId="280144A1"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107.761792</w:t>
            </w:r>
            <w:r w:rsidRPr="00E67914">
              <w:rPr>
                <w:rFonts w:ascii="Times New Roman" w:hAnsi="Times New Roman"/>
                <w:sz w:val="21"/>
                <w:szCs w:val="21"/>
                <w:lang w:eastAsia="zh-CN"/>
              </w:rPr>
              <w:t>，北纬</w:t>
            </w:r>
            <w:r w:rsidRPr="00E67914">
              <w:rPr>
                <w:rFonts w:ascii="Times New Roman" w:hAnsi="Times New Roman"/>
                <w:sz w:val="21"/>
                <w:szCs w:val="21"/>
                <w:lang w:eastAsia="zh-CN"/>
              </w:rPr>
              <w:t>31.525642</w:t>
            </w:r>
          </w:p>
        </w:tc>
        <w:tc>
          <w:tcPr>
            <w:tcW w:w="777" w:type="pct"/>
            <w:vAlign w:val="center"/>
          </w:tcPr>
          <w:p w14:paraId="6360C735" w14:textId="4E2F842D"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井台东北侧喷池拟建处</w:t>
            </w:r>
          </w:p>
        </w:tc>
        <w:tc>
          <w:tcPr>
            <w:tcW w:w="2305" w:type="pct"/>
            <w:vAlign w:val="center"/>
          </w:tcPr>
          <w:p w14:paraId="12C722FC"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7C95D225" w14:textId="77777777" w:rsidR="000809BE" w:rsidRPr="00E67914" w:rsidRDefault="000809BE" w:rsidP="000809BE">
            <w:pPr>
              <w:rPr>
                <w:rFonts w:ascii="Times New Roman" w:hAnsi="Times New Roman"/>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r w:rsidRPr="00E67914">
              <w:rPr>
                <w:rFonts w:ascii="Times New Roman" w:hAnsi="Times New Roman"/>
                <w:sz w:val="21"/>
                <w:szCs w:val="21"/>
                <w:lang w:eastAsia="zh-CN"/>
              </w:rPr>
              <w:t>0~0.5m</w:t>
            </w:r>
            <w:r w:rsidRPr="00E67914">
              <w:rPr>
                <w:rFonts w:ascii="Times New Roman" w:hAnsi="Times New Roman"/>
                <w:sz w:val="21"/>
                <w:szCs w:val="21"/>
                <w:lang w:eastAsia="zh-CN"/>
              </w:rPr>
              <w:t>、</w:t>
            </w:r>
            <w:r w:rsidRPr="00E67914">
              <w:rPr>
                <w:rFonts w:ascii="Times New Roman" w:hAnsi="Times New Roman"/>
                <w:sz w:val="21"/>
                <w:szCs w:val="21"/>
                <w:lang w:eastAsia="zh-CN"/>
              </w:rPr>
              <w:t>0.5~1.5m</w:t>
            </w:r>
            <w:r w:rsidRPr="00E67914">
              <w:rPr>
                <w:rFonts w:ascii="Times New Roman" w:hAnsi="Times New Roman"/>
                <w:sz w:val="21"/>
                <w:szCs w:val="21"/>
                <w:lang w:eastAsia="zh-CN"/>
              </w:rPr>
              <w:t>、</w:t>
            </w:r>
            <w:r w:rsidRPr="00E67914">
              <w:rPr>
                <w:rFonts w:ascii="Times New Roman" w:hAnsi="Times New Roman"/>
                <w:sz w:val="21"/>
                <w:szCs w:val="21"/>
                <w:lang w:eastAsia="zh-CN"/>
              </w:rPr>
              <w:t>1.5~3m</w:t>
            </w:r>
            <w:r w:rsidRPr="00E67914">
              <w:rPr>
                <w:rFonts w:ascii="Times New Roman" w:hAnsi="Times New Roman"/>
                <w:sz w:val="21"/>
                <w:szCs w:val="21"/>
                <w:lang w:eastAsia="zh-CN"/>
              </w:rPr>
              <w:t>分别取样）</w:t>
            </w:r>
          </w:p>
        </w:tc>
        <w:tc>
          <w:tcPr>
            <w:tcW w:w="477" w:type="pct"/>
            <w:vAlign w:val="center"/>
          </w:tcPr>
          <w:p w14:paraId="1AABC2EA"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柱状样点</w:t>
            </w:r>
          </w:p>
        </w:tc>
      </w:tr>
      <w:tr w:rsidR="00E67914" w:rsidRPr="00E67914" w14:paraId="7FE1B549" w14:textId="77777777" w:rsidTr="000809BE">
        <w:trPr>
          <w:trHeight w:val="983"/>
        </w:trPr>
        <w:tc>
          <w:tcPr>
            <w:tcW w:w="289" w:type="pct"/>
            <w:tcBorders>
              <w:right w:val="single" w:sz="4" w:space="0" w:color="auto"/>
            </w:tcBorders>
            <w:vAlign w:val="center"/>
          </w:tcPr>
          <w:p w14:paraId="11D493A2"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4#</w:t>
            </w:r>
          </w:p>
        </w:tc>
        <w:tc>
          <w:tcPr>
            <w:tcW w:w="1151" w:type="pct"/>
            <w:vAlign w:val="center"/>
          </w:tcPr>
          <w:p w14:paraId="12ED1B5D" w14:textId="53B28EB5"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107.755819</w:t>
            </w:r>
            <w:r w:rsidRPr="00E67914">
              <w:rPr>
                <w:rFonts w:ascii="Times New Roman" w:hAnsi="Times New Roman"/>
                <w:sz w:val="21"/>
                <w:szCs w:val="21"/>
                <w:lang w:eastAsia="zh-CN"/>
              </w:rPr>
              <w:t>，北纬</w:t>
            </w:r>
            <w:r w:rsidRPr="00E67914">
              <w:rPr>
                <w:rFonts w:ascii="Times New Roman" w:hAnsi="Times New Roman"/>
                <w:sz w:val="21"/>
                <w:szCs w:val="21"/>
                <w:lang w:eastAsia="zh-CN"/>
              </w:rPr>
              <w:t>31.539837</w:t>
            </w:r>
          </w:p>
        </w:tc>
        <w:tc>
          <w:tcPr>
            <w:tcW w:w="777" w:type="pct"/>
            <w:vAlign w:val="center"/>
          </w:tcPr>
          <w:p w14:paraId="2D3F6B85" w14:textId="0FEE896B"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井台口拟建区</w:t>
            </w:r>
          </w:p>
        </w:tc>
        <w:tc>
          <w:tcPr>
            <w:tcW w:w="2305" w:type="pct"/>
            <w:vAlign w:val="center"/>
          </w:tcPr>
          <w:p w14:paraId="750C91A6"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基本因子：</w:t>
            </w:r>
            <w:r w:rsidRPr="00E67914">
              <w:rPr>
                <w:rFonts w:ascii="Times New Roman" w:hAnsi="Times New Roman"/>
                <w:sz w:val="21"/>
                <w:szCs w:val="21"/>
                <w:lang w:eastAsia="zh-CN"/>
              </w:rPr>
              <w:t>《土壤环境质量</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建设用地土壤污染风险管控标准（试行）</w:t>
            </w:r>
            <w:r w:rsidRPr="00E67914">
              <w:rPr>
                <w:rFonts w:ascii="Times New Roman" w:hAnsi="Times New Roman"/>
                <w:sz w:val="21"/>
                <w:szCs w:val="21"/>
                <w:lang w:eastAsia="zh-CN"/>
              </w:rPr>
              <w:t>(GB36600—2018)</w:t>
            </w:r>
            <w:r w:rsidRPr="00E67914">
              <w:rPr>
                <w:rFonts w:ascii="Times New Roman" w:hAnsi="Times New Roman"/>
                <w:sz w:val="21"/>
                <w:szCs w:val="21"/>
                <w:lang w:eastAsia="zh-CN"/>
              </w:rPr>
              <w:t>》中表</w:t>
            </w:r>
            <w:r w:rsidRPr="00E67914">
              <w:rPr>
                <w:rFonts w:ascii="Times New Roman" w:hAnsi="Times New Roman"/>
                <w:sz w:val="21"/>
                <w:szCs w:val="21"/>
                <w:lang w:eastAsia="zh-CN"/>
              </w:rPr>
              <w:t>1</w:t>
            </w:r>
            <w:r w:rsidRPr="00E67914">
              <w:rPr>
                <w:rFonts w:ascii="Times New Roman" w:hAnsi="Times New Roman"/>
                <w:sz w:val="21"/>
                <w:szCs w:val="21"/>
                <w:lang w:eastAsia="zh-CN"/>
              </w:rPr>
              <w:t>基本项目，共</w:t>
            </w:r>
            <w:r w:rsidRPr="00E67914">
              <w:rPr>
                <w:rFonts w:ascii="Times New Roman" w:hAnsi="Times New Roman"/>
                <w:sz w:val="21"/>
                <w:szCs w:val="21"/>
                <w:lang w:eastAsia="zh-CN"/>
              </w:rPr>
              <w:t>45</w:t>
            </w:r>
            <w:r w:rsidRPr="00E67914">
              <w:rPr>
                <w:rFonts w:ascii="Times New Roman" w:hAnsi="Times New Roman"/>
                <w:sz w:val="21"/>
                <w:szCs w:val="21"/>
                <w:lang w:eastAsia="zh-CN"/>
              </w:rPr>
              <w:t>个</w:t>
            </w:r>
          </w:p>
          <w:p w14:paraId="7E3C8051" w14:textId="77777777" w:rsidR="000809BE" w:rsidRPr="00E67914" w:rsidRDefault="000809BE" w:rsidP="000809BE">
            <w:pPr>
              <w:rPr>
                <w:rFonts w:ascii="Times New Roman" w:hAnsi="Times New Roman"/>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p>
          <w:p w14:paraId="72139CBB"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r w:rsidRPr="00E67914">
              <w:rPr>
                <w:rFonts w:ascii="Times New Roman" w:hAnsi="Times New Roman"/>
                <w:sz w:val="21"/>
                <w:szCs w:val="21"/>
                <w:lang w:eastAsia="zh-CN"/>
              </w:rPr>
              <w:t>、阳离子交换量、土壤容重</w:t>
            </w:r>
          </w:p>
        </w:tc>
        <w:tc>
          <w:tcPr>
            <w:tcW w:w="477" w:type="pct"/>
            <w:vAlign w:val="center"/>
          </w:tcPr>
          <w:p w14:paraId="7570B521"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表层样点</w:t>
            </w:r>
          </w:p>
        </w:tc>
      </w:tr>
      <w:tr w:rsidR="00E67914" w:rsidRPr="00E67914" w14:paraId="78AD92DF" w14:textId="77777777" w:rsidTr="000809BE">
        <w:trPr>
          <w:trHeight w:val="379"/>
        </w:trPr>
        <w:tc>
          <w:tcPr>
            <w:tcW w:w="289" w:type="pct"/>
            <w:tcBorders>
              <w:right w:val="single" w:sz="4" w:space="0" w:color="auto"/>
            </w:tcBorders>
            <w:vAlign w:val="center"/>
          </w:tcPr>
          <w:p w14:paraId="10F4ACEE"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lastRenderedPageBreak/>
              <w:t>5#</w:t>
            </w:r>
          </w:p>
        </w:tc>
        <w:tc>
          <w:tcPr>
            <w:tcW w:w="1151" w:type="pct"/>
            <w:vAlign w:val="center"/>
          </w:tcPr>
          <w:p w14:paraId="719912FE" w14:textId="041994C4"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107.764753</w:t>
            </w:r>
            <w:r w:rsidRPr="00E67914">
              <w:rPr>
                <w:rFonts w:ascii="Times New Roman" w:hAnsi="Times New Roman"/>
                <w:sz w:val="21"/>
                <w:szCs w:val="21"/>
                <w:lang w:eastAsia="zh-CN"/>
              </w:rPr>
              <w:t>，北纬</w:t>
            </w:r>
            <w:r w:rsidRPr="00E67914">
              <w:rPr>
                <w:rFonts w:ascii="Times New Roman" w:hAnsi="Times New Roman"/>
                <w:sz w:val="21"/>
                <w:szCs w:val="21"/>
                <w:lang w:eastAsia="zh-CN"/>
              </w:rPr>
              <w:t>31.517096</w:t>
            </w:r>
          </w:p>
        </w:tc>
        <w:tc>
          <w:tcPr>
            <w:tcW w:w="777" w:type="pct"/>
            <w:vAlign w:val="center"/>
          </w:tcPr>
          <w:p w14:paraId="187A9921" w14:textId="4D1A83E5"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井台外东南侧约</w:t>
            </w:r>
            <w:r w:rsidRPr="00E67914">
              <w:rPr>
                <w:rFonts w:ascii="Times New Roman" w:hAnsi="Times New Roman"/>
                <w:kern w:val="2"/>
                <w:sz w:val="21"/>
                <w:szCs w:val="21"/>
                <w:lang w:eastAsia="zh-CN"/>
              </w:rPr>
              <w:t>25m</w:t>
            </w:r>
            <w:r w:rsidRPr="00E67914">
              <w:rPr>
                <w:rFonts w:ascii="Times New Roman" w:hAnsi="Times New Roman"/>
                <w:kern w:val="2"/>
                <w:sz w:val="21"/>
                <w:szCs w:val="21"/>
                <w:lang w:eastAsia="zh-CN"/>
              </w:rPr>
              <w:t>耕地内</w:t>
            </w:r>
          </w:p>
        </w:tc>
        <w:tc>
          <w:tcPr>
            <w:tcW w:w="2305" w:type="pct"/>
            <w:vAlign w:val="center"/>
          </w:tcPr>
          <w:p w14:paraId="32514E65"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74395680"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基本因子：</w:t>
            </w:r>
            <w:r w:rsidRPr="00E67914">
              <w:rPr>
                <w:rFonts w:ascii="Times New Roman" w:hAnsi="Times New Roman"/>
                <w:sz w:val="21"/>
                <w:szCs w:val="21"/>
                <w:lang w:eastAsia="zh-CN"/>
              </w:rPr>
              <w:t>《土壤环境质量</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农用地土壤污染风险管控标准（试行）</w:t>
            </w:r>
            <w:r w:rsidRPr="00E67914">
              <w:rPr>
                <w:rFonts w:ascii="Times New Roman" w:hAnsi="Times New Roman"/>
                <w:sz w:val="21"/>
                <w:szCs w:val="21"/>
                <w:lang w:eastAsia="zh-CN"/>
              </w:rPr>
              <w:t>(GB15618—2018)</w:t>
            </w:r>
            <w:r w:rsidRPr="00E67914">
              <w:rPr>
                <w:rFonts w:ascii="Times New Roman" w:hAnsi="Times New Roman"/>
                <w:sz w:val="21"/>
                <w:szCs w:val="21"/>
                <w:lang w:eastAsia="zh-CN"/>
              </w:rPr>
              <w:t>》中表</w:t>
            </w:r>
            <w:r w:rsidRPr="00E67914">
              <w:rPr>
                <w:rFonts w:ascii="Times New Roman" w:hAnsi="Times New Roman"/>
                <w:sz w:val="21"/>
                <w:szCs w:val="21"/>
                <w:lang w:eastAsia="zh-CN"/>
              </w:rPr>
              <w:t>1</w:t>
            </w:r>
            <w:r w:rsidRPr="00E67914">
              <w:rPr>
                <w:rFonts w:ascii="Times New Roman" w:hAnsi="Times New Roman"/>
                <w:sz w:val="21"/>
                <w:szCs w:val="21"/>
                <w:lang w:eastAsia="zh-CN"/>
              </w:rPr>
              <w:t>基本项目，共</w:t>
            </w:r>
            <w:r w:rsidRPr="00E67914">
              <w:rPr>
                <w:rFonts w:ascii="Times New Roman" w:hAnsi="Times New Roman"/>
                <w:sz w:val="21"/>
                <w:szCs w:val="21"/>
                <w:lang w:eastAsia="zh-CN"/>
              </w:rPr>
              <w:t>8</w:t>
            </w:r>
            <w:r w:rsidRPr="00E67914">
              <w:rPr>
                <w:rFonts w:ascii="Times New Roman" w:hAnsi="Times New Roman"/>
                <w:sz w:val="21"/>
                <w:szCs w:val="21"/>
                <w:lang w:eastAsia="zh-CN"/>
              </w:rPr>
              <w:t>个</w:t>
            </w:r>
          </w:p>
          <w:p w14:paraId="56B85639"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p>
        </w:tc>
        <w:tc>
          <w:tcPr>
            <w:tcW w:w="477" w:type="pct"/>
            <w:vAlign w:val="center"/>
          </w:tcPr>
          <w:p w14:paraId="78D0ADEF"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表层样点</w:t>
            </w:r>
          </w:p>
        </w:tc>
      </w:tr>
      <w:tr w:rsidR="00E67914" w:rsidRPr="00E67914" w14:paraId="793A5572" w14:textId="77777777" w:rsidTr="000809BE">
        <w:trPr>
          <w:trHeight w:val="379"/>
        </w:trPr>
        <w:tc>
          <w:tcPr>
            <w:tcW w:w="289" w:type="pct"/>
            <w:tcBorders>
              <w:right w:val="single" w:sz="4" w:space="0" w:color="auto"/>
            </w:tcBorders>
            <w:vAlign w:val="center"/>
          </w:tcPr>
          <w:p w14:paraId="35E86854"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6#</w:t>
            </w:r>
          </w:p>
        </w:tc>
        <w:tc>
          <w:tcPr>
            <w:tcW w:w="1151" w:type="pct"/>
            <w:vAlign w:val="center"/>
          </w:tcPr>
          <w:p w14:paraId="379EEABC" w14:textId="646CE2F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107.763823</w:t>
            </w:r>
            <w:r w:rsidRPr="00E67914">
              <w:rPr>
                <w:rFonts w:ascii="Times New Roman" w:hAnsi="Times New Roman"/>
                <w:sz w:val="21"/>
                <w:szCs w:val="21"/>
                <w:lang w:eastAsia="zh-CN"/>
              </w:rPr>
              <w:t>，北纬</w:t>
            </w:r>
            <w:r w:rsidRPr="00E67914">
              <w:rPr>
                <w:rFonts w:ascii="Times New Roman" w:hAnsi="Times New Roman"/>
                <w:sz w:val="21"/>
                <w:szCs w:val="21"/>
                <w:lang w:eastAsia="zh-CN"/>
              </w:rPr>
              <w:t>31.517656</w:t>
            </w:r>
          </w:p>
        </w:tc>
        <w:tc>
          <w:tcPr>
            <w:tcW w:w="777" w:type="pct"/>
            <w:vAlign w:val="center"/>
          </w:tcPr>
          <w:p w14:paraId="66A004B0" w14:textId="0D42C09C"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井台外西侧约</w:t>
            </w:r>
            <w:r w:rsidRPr="00E67914">
              <w:rPr>
                <w:rFonts w:ascii="Times New Roman" w:hAnsi="Times New Roman"/>
                <w:kern w:val="2"/>
                <w:sz w:val="21"/>
                <w:szCs w:val="21"/>
                <w:lang w:eastAsia="zh-CN"/>
              </w:rPr>
              <w:t>15m</w:t>
            </w:r>
            <w:r w:rsidRPr="00E67914">
              <w:rPr>
                <w:rFonts w:ascii="Times New Roman" w:hAnsi="Times New Roman"/>
                <w:kern w:val="2"/>
                <w:sz w:val="21"/>
                <w:szCs w:val="21"/>
                <w:lang w:eastAsia="zh-CN"/>
              </w:rPr>
              <w:t>耕地内</w:t>
            </w:r>
          </w:p>
        </w:tc>
        <w:tc>
          <w:tcPr>
            <w:tcW w:w="2305" w:type="pct"/>
            <w:vAlign w:val="center"/>
          </w:tcPr>
          <w:p w14:paraId="23E0BE56"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7FF2C061"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p>
        </w:tc>
        <w:tc>
          <w:tcPr>
            <w:tcW w:w="477" w:type="pct"/>
            <w:vAlign w:val="center"/>
          </w:tcPr>
          <w:p w14:paraId="1ECB52F5" w14:textId="77777777"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表层样点</w:t>
            </w:r>
          </w:p>
        </w:tc>
      </w:tr>
      <w:tr w:rsidR="00E67914" w:rsidRPr="00E67914" w14:paraId="63BA5D7F" w14:textId="77777777" w:rsidTr="000809BE">
        <w:trPr>
          <w:trHeight w:val="379"/>
        </w:trPr>
        <w:tc>
          <w:tcPr>
            <w:tcW w:w="289" w:type="pct"/>
            <w:tcBorders>
              <w:right w:val="single" w:sz="4" w:space="0" w:color="auto"/>
            </w:tcBorders>
            <w:vAlign w:val="center"/>
          </w:tcPr>
          <w:p w14:paraId="4A635711" w14:textId="529EEB75"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7#</w:t>
            </w:r>
          </w:p>
        </w:tc>
        <w:tc>
          <w:tcPr>
            <w:tcW w:w="1151" w:type="pct"/>
            <w:vAlign w:val="center"/>
          </w:tcPr>
          <w:p w14:paraId="60100223" w14:textId="404C0DAC"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107.751427</w:t>
            </w:r>
            <w:r w:rsidRPr="00E67914">
              <w:rPr>
                <w:rFonts w:ascii="Times New Roman" w:hAnsi="Times New Roman"/>
                <w:sz w:val="21"/>
                <w:szCs w:val="21"/>
                <w:lang w:eastAsia="zh-CN"/>
              </w:rPr>
              <w:t>，北纬</w:t>
            </w:r>
            <w:r w:rsidRPr="00E67914">
              <w:rPr>
                <w:rFonts w:ascii="Times New Roman" w:hAnsi="Times New Roman"/>
                <w:sz w:val="21"/>
                <w:szCs w:val="21"/>
                <w:lang w:eastAsia="zh-CN"/>
              </w:rPr>
              <w:t>31.538124</w:t>
            </w:r>
          </w:p>
        </w:tc>
        <w:tc>
          <w:tcPr>
            <w:tcW w:w="777" w:type="pct"/>
            <w:vAlign w:val="center"/>
          </w:tcPr>
          <w:p w14:paraId="612EE62F" w14:textId="54E3E109"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试采站西侧</w:t>
            </w:r>
            <w:r w:rsidRPr="00E67914">
              <w:rPr>
                <w:rFonts w:ascii="Times New Roman" w:hAnsi="Times New Roman"/>
                <w:szCs w:val="21"/>
                <w:lang w:eastAsia="zh-CN"/>
              </w:rPr>
              <w:t>已建放喷池处</w:t>
            </w:r>
          </w:p>
        </w:tc>
        <w:tc>
          <w:tcPr>
            <w:tcW w:w="2305" w:type="pct"/>
            <w:vAlign w:val="center"/>
          </w:tcPr>
          <w:p w14:paraId="442313A9"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5F41815F" w14:textId="10B61CA1"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r w:rsidRPr="00E67914">
              <w:rPr>
                <w:rFonts w:ascii="Times New Roman" w:hAnsi="Times New Roman"/>
                <w:sz w:val="21"/>
                <w:szCs w:val="21"/>
                <w:lang w:eastAsia="zh-CN"/>
              </w:rPr>
              <w:t>0~0.5m</w:t>
            </w:r>
            <w:r w:rsidRPr="00E67914">
              <w:rPr>
                <w:rFonts w:ascii="Times New Roman" w:hAnsi="Times New Roman"/>
                <w:sz w:val="21"/>
                <w:szCs w:val="21"/>
                <w:lang w:eastAsia="zh-CN"/>
              </w:rPr>
              <w:t>、</w:t>
            </w:r>
            <w:r w:rsidRPr="00E67914">
              <w:rPr>
                <w:rFonts w:ascii="Times New Roman" w:hAnsi="Times New Roman"/>
                <w:sz w:val="21"/>
                <w:szCs w:val="21"/>
                <w:lang w:eastAsia="zh-CN"/>
              </w:rPr>
              <w:t>0.5~1.5m</w:t>
            </w:r>
            <w:r w:rsidRPr="00E67914">
              <w:rPr>
                <w:rFonts w:ascii="Times New Roman" w:hAnsi="Times New Roman"/>
                <w:sz w:val="21"/>
                <w:szCs w:val="21"/>
                <w:lang w:eastAsia="zh-CN"/>
              </w:rPr>
              <w:t>、</w:t>
            </w:r>
            <w:r w:rsidRPr="00E67914">
              <w:rPr>
                <w:rFonts w:ascii="Times New Roman" w:hAnsi="Times New Roman"/>
                <w:sz w:val="21"/>
                <w:szCs w:val="21"/>
                <w:lang w:eastAsia="zh-CN"/>
              </w:rPr>
              <w:t>1.5~3m</w:t>
            </w:r>
            <w:r w:rsidRPr="00E67914">
              <w:rPr>
                <w:rFonts w:ascii="Times New Roman" w:hAnsi="Times New Roman"/>
                <w:sz w:val="21"/>
                <w:szCs w:val="21"/>
                <w:lang w:eastAsia="zh-CN"/>
              </w:rPr>
              <w:t>分别取样）</w:t>
            </w:r>
          </w:p>
        </w:tc>
        <w:tc>
          <w:tcPr>
            <w:tcW w:w="477" w:type="pct"/>
            <w:vAlign w:val="center"/>
          </w:tcPr>
          <w:p w14:paraId="6F0D13B8" w14:textId="357504FC"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柱状样点</w:t>
            </w:r>
          </w:p>
        </w:tc>
      </w:tr>
      <w:tr w:rsidR="00E67914" w:rsidRPr="00E67914" w14:paraId="0EC55B2E" w14:textId="77777777" w:rsidTr="000809BE">
        <w:trPr>
          <w:trHeight w:val="379"/>
        </w:trPr>
        <w:tc>
          <w:tcPr>
            <w:tcW w:w="289" w:type="pct"/>
            <w:tcBorders>
              <w:right w:val="single" w:sz="4" w:space="0" w:color="auto"/>
            </w:tcBorders>
            <w:vAlign w:val="center"/>
          </w:tcPr>
          <w:p w14:paraId="733AA027" w14:textId="7E31A76E"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8#</w:t>
            </w:r>
          </w:p>
        </w:tc>
        <w:tc>
          <w:tcPr>
            <w:tcW w:w="1151" w:type="pct"/>
            <w:vAlign w:val="center"/>
          </w:tcPr>
          <w:p w14:paraId="2B1EFA53" w14:textId="40B5678F"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107.768107</w:t>
            </w:r>
            <w:r w:rsidRPr="00E67914">
              <w:rPr>
                <w:rFonts w:ascii="Times New Roman" w:hAnsi="Times New Roman"/>
                <w:sz w:val="21"/>
                <w:szCs w:val="21"/>
                <w:lang w:eastAsia="zh-CN"/>
              </w:rPr>
              <w:t>，北纬</w:t>
            </w:r>
            <w:r w:rsidRPr="00E67914">
              <w:rPr>
                <w:rFonts w:ascii="Times New Roman" w:hAnsi="Times New Roman"/>
                <w:sz w:val="21"/>
                <w:szCs w:val="21"/>
                <w:lang w:eastAsia="zh-CN"/>
              </w:rPr>
              <w:t>31.516257</w:t>
            </w:r>
          </w:p>
        </w:tc>
        <w:tc>
          <w:tcPr>
            <w:tcW w:w="777" w:type="pct"/>
            <w:vAlign w:val="center"/>
          </w:tcPr>
          <w:p w14:paraId="5E75F9D3" w14:textId="453CF13C"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试采站东南侧</w:t>
            </w:r>
            <w:r w:rsidRPr="00E67914">
              <w:rPr>
                <w:rFonts w:ascii="Times New Roman" w:hAnsi="Times New Roman"/>
                <w:szCs w:val="21"/>
                <w:lang w:eastAsia="zh-CN"/>
              </w:rPr>
              <w:t>已建排污池处</w:t>
            </w:r>
          </w:p>
        </w:tc>
        <w:tc>
          <w:tcPr>
            <w:tcW w:w="2305" w:type="pct"/>
            <w:vAlign w:val="center"/>
          </w:tcPr>
          <w:p w14:paraId="654D0FBC"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6EFDEBEA" w14:textId="5861977B"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r w:rsidRPr="00E67914">
              <w:rPr>
                <w:rFonts w:ascii="Times New Roman" w:hAnsi="Times New Roman"/>
                <w:sz w:val="21"/>
                <w:szCs w:val="21"/>
                <w:lang w:eastAsia="zh-CN"/>
              </w:rPr>
              <w:t>0~0.5m</w:t>
            </w:r>
            <w:r w:rsidRPr="00E67914">
              <w:rPr>
                <w:rFonts w:ascii="Times New Roman" w:hAnsi="Times New Roman"/>
                <w:sz w:val="21"/>
                <w:szCs w:val="21"/>
                <w:lang w:eastAsia="zh-CN"/>
              </w:rPr>
              <w:t>、</w:t>
            </w:r>
            <w:r w:rsidRPr="00E67914">
              <w:rPr>
                <w:rFonts w:ascii="Times New Roman" w:hAnsi="Times New Roman"/>
                <w:sz w:val="21"/>
                <w:szCs w:val="21"/>
                <w:lang w:eastAsia="zh-CN"/>
              </w:rPr>
              <w:t>0.5~1.5m</w:t>
            </w:r>
            <w:r w:rsidRPr="00E67914">
              <w:rPr>
                <w:rFonts w:ascii="Times New Roman" w:hAnsi="Times New Roman"/>
                <w:sz w:val="21"/>
                <w:szCs w:val="21"/>
                <w:lang w:eastAsia="zh-CN"/>
              </w:rPr>
              <w:t>、</w:t>
            </w:r>
            <w:r w:rsidRPr="00E67914">
              <w:rPr>
                <w:rFonts w:ascii="Times New Roman" w:hAnsi="Times New Roman"/>
                <w:sz w:val="21"/>
                <w:szCs w:val="21"/>
                <w:lang w:eastAsia="zh-CN"/>
              </w:rPr>
              <w:t>1.5~3m</w:t>
            </w:r>
            <w:r w:rsidRPr="00E67914">
              <w:rPr>
                <w:rFonts w:ascii="Times New Roman" w:hAnsi="Times New Roman"/>
                <w:sz w:val="21"/>
                <w:szCs w:val="21"/>
                <w:lang w:eastAsia="zh-CN"/>
              </w:rPr>
              <w:t>分别取样）</w:t>
            </w:r>
          </w:p>
        </w:tc>
        <w:tc>
          <w:tcPr>
            <w:tcW w:w="477" w:type="pct"/>
            <w:vAlign w:val="center"/>
          </w:tcPr>
          <w:p w14:paraId="1E506F2A" w14:textId="32FD3103"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柱状样点</w:t>
            </w:r>
          </w:p>
        </w:tc>
      </w:tr>
      <w:tr w:rsidR="00E67914" w:rsidRPr="00E67914" w14:paraId="57B3CF1B" w14:textId="77777777" w:rsidTr="000809BE">
        <w:trPr>
          <w:trHeight w:val="379"/>
        </w:trPr>
        <w:tc>
          <w:tcPr>
            <w:tcW w:w="289" w:type="pct"/>
            <w:tcBorders>
              <w:right w:val="single" w:sz="4" w:space="0" w:color="auto"/>
            </w:tcBorders>
            <w:vAlign w:val="center"/>
          </w:tcPr>
          <w:p w14:paraId="1A5D85F7" w14:textId="2D27749B"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9#</w:t>
            </w:r>
          </w:p>
        </w:tc>
        <w:tc>
          <w:tcPr>
            <w:tcW w:w="1151" w:type="pct"/>
            <w:vAlign w:val="center"/>
          </w:tcPr>
          <w:p w14:paraId="10E90CB5" w14:textId="0A52BE42"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107.766637</w:t>
            </w:r>
            <w:r w:rsidRPr="00E67914">
              <w:rPr>
                <w:rFonts w:ascii="Times New Roman" w:hAnsi="Times New Roman"/>
                <w:sz w:val="21"/>
                <w:szCs w:val="21"/>
                <w:lang w:eastAsia="zh-CN"/>
              </w:rPr>
              <w:t>，北纬</w:t>
            </w:r>
            <w:r w:rsidRPr="00E67914">
              <w:rPr>
                <w:rFonts w:ascii="Times New Roman" w:hAnsi="Times New Roman"/>
                <w:sz w:val="21"/>
                <w:szCs w:val="21"/>
                <w:lang w:eastAsia="zh-CN"/>
              </w:rPr>
              <w:t>31.517020</w:t>
            </w:r>
          </w:p>
        </w:tc>
        <w:tc>
          <w:tcPr>
            <w:tcW w:w="777" w:type="pct"/>
            <w:vAlign w:val="center"/>
          </w:tcPr>
          <w:p w14:paraId="5799232A" w14:textId="4DFF51E7"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试采站西北侧</w:t>
            </w:r>
            <w:r w:rsidRPr="00E67914">
              <w:rPr>
                <w:rFonts w:ascii="Times New Roman" w:hAnsi="Times New Roman"/>
                <w:szCs w:val="21"/>
                <w:lang w:eastAsia="zh-CN"/>
              </w:rPr>
              <w:t>（外输管线旁）</w:t>
            </w:r>
          </w:p>
        </w:tc>
        <w:tc>
          <w:tcPr>
            <w:tcW w:w="2305" w:type="pct"/>
            <w:vAlign w:val="center"/>
          </w:tcPr>
          <w:p w14:paraId="364E0613"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28E6F0EE" w14:textId="6A4BD36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r w:rsidRPr="00E67914">
              <w:rPr>
                <w:rFonts w:ascii="Times New Roman" w:hAnsi="Times New Roman"/>
                <w:sz w:val="21"/>
                <w:szCs w:val="21"/>
                <w:lang w:eastAsia="zh-CN"/>
              </w:rPr>
              <w:t>0~0.5m</w:t>
            </w:r>
            <w:r w:rsidRPr="00E67914">
              <w:rPr>
                <w:rFonts w:ascii="Times New Roman" w:hAnsi="Times New Roman"/>
                <w:sz w:val="21"/>
                <w:szCs w:val="21"/>
                <w:lang w:eastAsia="zh-CN"/>
              </w:rPr>
              <w:t>、</w:t>
            </w:r>
            <w:r w:rsidRPr="00E67914">
              <w:rPr>
                <w:rFonts w:ascii="Times New Roman" w:hAnsi="Times New Roman"/>
                <w:sz w:val="21"/>
                <w:szCs w:val="21"/>
                <w:lang w:eastAsia="zh-CN"/>
              </w:rPr>
              <w:t>0.5~1.5m</w:t>
            </w:r>
            <w:r w:rsidRPr="00E67914">
              <w:rPr>
                <w:rFonts w:ascii="Times New Roman" w:hAnsi="Times New Roman"/>
                <w:sz w:val="21"/>
                <w:szCs w:val="21"/>
                <w:lang w:eastAsia="zh-CN"/>
              </w:rPr>
              <w:t>、</w:t>
            </w:r>
            <w:r w:rsidRPr="00E67914">
              <w:rPr>
                <w:rFonts w:ascii="Times New Roman" w:hAnsi="Times New Roman"/>
                <w:sz w:val="21"/>
                <w:szCs w:val="21"/>
                <w:lang w:eastAsia="zh-CN"/>
              </w:rPr>
              <w:t>1.5~3m</w:t>
            </w:r>
            <w:r w:rsidRPr="00E67914">
              <w:rPr>
                <w:rFonts w:ascii="Times New Roman" w:hAnsi="Times New Roman"/>
                <w:sz w:val="21"/>
                <w:szCs w:val="21"/>
                <w:lang w:eastAsia="zh-CN"/>
              </w:rPr>
              <w:t>分别取样）</w:t>
            </w:r>
          </w:p>
        </w:tc>
        <w:tc>
          <w:tcPr>
            <w:tcW w:w="477" w:type="pct"/>
            <w:vAlign w:val="center"/>
          </w:tcPr>
          <w:p w14:paraId="3EB598CD" w14:textId="79FA01B6" w:rsidR="000809BE" w:rsidRPr="00E67914" w:rsidRDefault="000809BE" w:rsidP="000809BE">
            <w:pPr>
              <w:jc w:val="center"/>
              <w:rPr>
                <w:rFonts w:ascii="Times New Roman" w:hAnsi="Times New Roman"/>
                <w:sz w:val="21"/>
                <w:szCs w:val="21"/>
              </w:rPr>
            </w:pPr>
            <w:r w:rsidRPr="00E67914">
              <w:rPr>
                <w:rFonts w:ascii="Times New Roman" w:hAnsi="Times New Roman"/>
                <w:sz w:val="21"/>
                <w:szCs w:val="21"/>
              </w:rPr>
              <w:t>柱状样点</w:t>
            </w:r>
          </w:p>
        </w:tc>
      </w:tr>
      <w:tr w:rsidR="00E67914" w:rsidRPr="00E67914" w14:paraId="16F8B47B" w14:textId="77777777" w:rsidTr="000809BE">
        <w:trPr>
          <w:trHeight w:val="379"/>
        </w:trPr>
        <w:tc>
          <w:tcPr>
            <w:tcW w:w="289" w:type="pct"/>
            <w:tcBorders>
              <w:right w:val="single" w:sz="4" w:space="0" w:color="auto"/>
            </w:tcBorders>
            <w:vAlign w:val="center"/>
          </w:tcPr>
          <w:p w14:paraId="7A4118CF" w14:textId="5CC1AF8A"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10#</w:t>
            </w:r>
          </w:p>
        </w:tc>
        <w:tc>
          <w:tcPr>
            <w:tcW w:w="1151" w:type="pct"/>
            <w:vAlign w:val="center"/>
          </w:tcPr>
          <w:p w14:paraId="2E61B83C" w14:textId="23598D45"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107.767841</w:t>
            </w:r>
            <w:r w:rsidRPr="00E67914">
              <w:rPr>
                <w:rFonts w:ascii="Times New Roman" w:hAnsi="Times New Roman"/>
                <w:sz w:val="21"/>
                <w:szCs w:val="21"/>
                <w:lang w:eastAsia="zh-CN"/>
              </w:rPr>
              <w:t>，北纬</w:t>
            </w:r>
            <w:r w:rsidRPr="00E67914">
              <w:rPr>
                <w:rFonts w:ascii="Times New Roman" w:hAnsi="Times New Roman"/>
                <w:sz w:val="21"/>
                <w:szCs w:val="21"/>
                <w:lang w:eastAsia="zh-CN"/>
              </w:rPr>
              <w:t>31.516451</w:t>
            </w:r>
          </w:p>
        </w:tc>
        <w:tc>
          <w:tcPr>
            <w:tcW w:w="777" w:type="pct"/>
            <w:vAlign w:val="center"/>
          </w:tcPr>
          <w:p w14:paraId="75E59329" w14:textId="56F5F338"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试采站内东侧</w:t>
            </w:r>
          </w:p>
        </w:tc>
        <w:tc>
          <w:tcPr>
            <w:tcW w:w="2305" w:type="pct"/>
            <w:vAlign w:val="center"/>
          </w:tcPr>
          <w:p w14:paraId="1AA05C02"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基本因子：</w:t>
            </w:r>
            <w:r w:rsidRPr="00E67914">
              <w:rPr>
                <w:rFonts w:ascii="Times New Roman" w:hAnsi="Times New Roman"/>
                <w:sz w:val="21"/>
                <w:szCs w:val="21"/>
                <w:lang w:eastAsia="zh-CN"/>
              </w:rPr>
              <w:t>《土壤环境质量</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建设用地土壤污染风险管控标准（试行）</w:t>
            </w:r>
            <w:r w:rsidRPr="00E67914">
              <w:rPr>
                <w:rFonts w:ascii="Times New Roman" w:hAnsi="Times New Roman"/>
                <w:sz w:val="21"/>
                <w:szCs w:val="21"/>
                <w:lang w:eastAsia="zh-CN"/>
              </w:rPr>
              <w:t>(GB36600—2018)</w:t>
            </w:r>
            <w:r w:rsidRPr="00E67914">
              <w:rPr>
                <w:rFonts w:ascii="Times New Roman" w:hAnsi="Times New Roman"/>
                <w:sz w:val="21"/>
                <w:szCs w:val="21"/>
                <w:lang w:eastAsia="zh-CN"/>
              </w:rPr>
              <w:t>》中表</w:t>
            </w:r>
            <w:r w:rsidRPr="00E67914">
              <w:rPr>
                <w:rFonts w:ascii="Times New Roman" w:hAnsi="Times New Roman"/>
                <w:sz w:val="21"/>
                <w:szCs w:val="21"/>
                <w:lang w:eastAsia="zh-CN"/>
              </w:rPr>
              <w:t>1</w:t>
            </w:r>
            <w:r w:rsidRPr="00E67914">
              <w:rPr>
                <w:rFonts w:ascii="Times New Roman" w:hAnsi="Times New Roman"/>
                <w:sz w:val="21"/>
                <w:szCs w:val="21"/>
                <w:lang w:eastAsia="zh-CN"/>
              </w:rPr>
              <w:t>基本项目，共</w:t>
            </w:r>
            <w:r w:rsidRPr="00E67914">
              <w:rPr>
                <w:rFonts w:ascii="Times New Roman" w:hAnsi="Times New Roman"/>
                <w:sz w:val="21"/>
                <w:szCs w:val="21"/>
                <w:lang w:eastAsia="zh-CN"/>
              </w:rPr>
              <w:t>45</w:t>
            </w:r>
            <w:r w:rsidRPr="00E67914">
              <w:rPr>
                <w:rFonts w:ascii="Times New Roman" w:hAnsi="Times New Roman"/>
                <w:sz w:val="21"/>
                <w:szCs w:val="21"/>
                <w:lang w:eastAsia="zh-CN"/>
              </w:rPr>
              <w:t>个</w:t>
            </w:r>
          </w:p>
          <w:p w14:paraId="14F67173" w14:textId="77777777" w:rsidR="000809BE" w:rsidRPr="00E67914" w:rsidRDefault="000809BE" w:rsidP="000809BE">
            <w:pPr>
              <w:rPr>
                <w:rFonts w:ascii="Times New Roman" w:hAnsi="Times New Roman"/>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p>
          <w:p w14:paraId="034B8309" w14:textId="77777777" w:rsidR="000809BE" w:rsidRPr="00E67914" w:rsidRDefault="000809BE" w:rsidP="000809BE">
            <w:pPr>
              <w:rPr>
                <w:rFonts w:ascii="Times New Roman" w:hAnsi="Times New Roman"/>
                <w:b/>
                <w:sz w:val="21"/>
                <w:szCs w:val="21"/>
                <w:lang w:eastAsia="zh-CN"/>
              </w:rPr>
            </w:pPr>
          </w:p>
        </w:tc>
        <w:tc>
          <w:tcPr>
            <w:tcW w:w="477" w:type="pct"/>
            <w:vAlign w:val="center"/>
          </w:tcPr>
          <w:p w14:paraId="02EE9C8E" w14:textId="6C2791CB"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rPr>
              <w:t>表层样点</w:t>
            </w:r>
          </w:p>
        </w:tc>
      </w:tr>
      <w:tr w:rsidR="00E67914" w:rsidRPr="00E67914" w14:paraId="2C3357C5" w14:textId="77777777" w:rsidTr="000809BE">
        <w:trPr>
          <w:trHeight w:val="379"/>
        </w:trPr>
        <w:tc>
          <w:tcPr>
            <w:tcW w:w="289" w:type="pct"/>
            <w:tcBorders>
              <w:right w:val="single" w:sz="4" w:space="0" w:color="auto"/>
            </w:tcBorders>
            <w:vAlign w:val="center"/>
          </w:tcPr>
          <w:p w14:paraId="0871429F" w14:textId="1F9F4041"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11#</w:t>
            </w:r>
          </w:p>
        </w:tc>
        <w:tc>
          <w:tcPr>
            <w:tcW w:w="1151" w:type="pct"/>
            <w:vAlign w:val="center"/>
          </w:tcPr>
          <w:p w14:paraId="7C15747F" w14:textId="3D8D58BF"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lang w:eastAsia="zh-CN"/>
              </w:rPr>
              <w:t>东经</w:t>
            </w:r>
            <w:r w:rsidRPr="00E67914">
              <w:rPr>
                <w:rFonts w:ascii="Times New Roman" w:hAnsi="Times New Roman"/>
                <w:sz w:val="21"/>
                <w:szCs w:val="21"/>
                <w:lang w:eastAsia="zh-CN"/>
              </w:rPr>
              <w:t>107.768376</w:t>
            </w:r>
            <w:r w:rsidRPr="00E67914">
              <w:rPr>
                <w:rFonts w:ascii="Times New Roman" w:hAnsi="Times New Roman"/>
                <w:sz w:val="21"/>
                <w:szCs w:val="21"/>
                <w:lang w:eastAsia="zh-CN"/>
              </w:rPr>
              <w:t>，北纬</w:t>
            </w:r>
            <w:r w:rsidRPr="00E67914">
              <w:rPr>
                <w:rFonts w:ascii="Times New Roman" w:hAnsi="Times New Roman"/>
                <w:sz w:val="21"/>
                <w:szCs w:val="21"/>
                <w:lang w:eastAsia="zh-CN"/>
              </w:rPr>
              <w:t>31.516649</w:t>
            </w:r>
          </w:p>
        </w:tc>
        <w:tc>
          <w:tcPr>
            <w:tcW w:w="777" w:type="pct"/>
            <w:vAlign w:val="center"/>
          </w:tcPr>
          <w:p w14:paraId="5E2328D1" w14:textId="34807F31" w:rsidR="000809BE" w:rsidRPr="00E67914" w:rsidRDefault="000809BE" w:rsidP="000809BE">
            <w:pPr>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试采站外东侧约</w:t>
            </w:r>
            <w:r w:rsidRPr="00E67914">
              <w:rPr>
                <w:rFonts w:ascii="Times New Roman" w:hAnsi="Times New Roman"/>
                <w:kern w:val="2"/>
                <w:sz w:val="21"/>
                <w:szCs w:val="21"/>
                <w:lang w:eastAsia="zh-CN"/>
              </w:rPr>
              <w:t>40m</w:t>
            </w:r>
            <w:r w:rsidRPr="00E67914">
              <w:rPr>
                <w:rFonts w:ascii="Times New Roman" w:hAnsi="Times New Roman"/>
                <w:kern w:val="2"/>
                <w:sz w:val="21"/>
                <w:szCs w:val="21"/>
                <w:lang w:eastAsia="zh-CN"/>
              </w:rPr>
              <w:t>耕地内</w:t>
            </w:r>
          </w:p>
        </w:tc>
        <w:tc>
          <w:tcPr>
            <w:tcW w:w="2305" w:type="pct"/>
            <w:vAlign w:val="center"/>
          </w:tcPr>
          <w:p w14:paraId="493FE6CF" w14:textId="77777777"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理化性质：</w:t>
            </w:r>
            <w:r w:rsidRPr="00E67914">
              <w:rPr>
                <w:rFonts w:ascii="Times New Roman" w:hAnsi="Times New Roman"/>
                <w:sz w:val="21"/>
                <w:szCs w:val="21"/>
                <w:lang w:eastAsia="zh-CN"/>
              </w:rPr>
              <w:t>pH</w:t>
            </w:r>
          </w:p>
          <w:p w14:paraId="05E1BD5C" w14:textId="338674FB" w:rsidR="000809BE" w:rsidRPr="00E67914" w:rsidRDefault="000809BE" w:rsidP="000809BE">
            <w:pPr>
              <w:rPr>
                <w:rFonts w:ascii="Times New Roman" w:hAnsi="Times New Roman"/>
                <w:b/>
                <w:sz w:val="21"/>
                <w:szCs w:val="21"/>
                <w:lang w:eastAsia="zh-CN"/>
              </w:rPr>
            </w:pPr>
            <w:r w:rsidRPr="00E67914">
              <w:rPr>
                <w:rFonts w:ascii="Times New Roman" w:hAnsi="Times New Roman"/>
                <w:b/>
                <w:sz w:val="21"/>
                <w:szCs w:val="21"/>
                <w:lang w:eastAsia="zh-CN"/>
              </w:rPr>
              <w:t>特征因子：</w:t>
            </w:r>
            <w:r w:rsidRPr="00E67914">
              <w:rPr>
                <w:rFonts w:ascii="Times New Roman" w:hAnsi="Times New Roman"/>
                <w:sz w:val="21"/>
                <w:szCs w:val="21"/>
                <w:lang w:eastAsia="zh-CN"/>
              </w:rPr>
              <w:t>石油烃、全盐量（</w:t>
            </w:r>
            <w:r w:rsidRPr="00E67914">
              <w:rPr>
                <w:rFonts w:ascii="Times New Roman" w:hAnsi="Times New Roman"/>
                <w:sz w:val="21"/>
                <w:szCs w:val="21"/>
                <w:lang w:eastAsia="zh-CN"/>
              </w:rPr>
              <w:t>0~0.5m</w:t>
            </w:r>
            <w:r w:rsidRPr="00E67914">
              <w:rPr>
                <w:rFonts w:ascii="Times New Roman" w:hAnsi="Times New Roman"/>
                <w:sz w:val="21"/>
                <w:szCs w:val="21"/>
                <w:lang w:eastAsia="zh-CN"/>
              </w:rPr>
              <w:t>、</w:t>
            </w:r>
            <w:r w:rsidRPr="00E67914">
              <w:rPr>
                <w:rFonts w:ascii="Times New Roman" w:hAnsi="Times New Roman"/>
                <w:sz w:val="21"/>
                <w:szCs w:val="21"/>
                <w:lang w:eastAsia="zh-CN"/>
              </w:rPr>
              <w:t>0.5~1.5m</w:t>
            </w:r>
            <w:r w:rsidRPr="00E67914">
              <w:rPr>
                <w:rFonts w:ascii="Times New Roman" w:hAnsi="Times New Roman"/>
                <w:sz w:val="21"/>
                <w:szCs w:val="21"/>
                <w:lang w:eastAsia="zh-CN"/>
              </w:rPr>
              <w:t>、</w:t>
            </w:r>
            <w:r w:rsidRPr="00E67914">
              <w:rPr>
                <w:rFonts w:ascii="Times New Roman" w:hAnsi="Times New Roman"/>
                <w:sz w:val="21"/>
                <w:szCs w:val="21"/>
                <w:lang w:eastAsia="zh-CN"/>
              </w:rPr>
              <w:t>1.5~3m</w:t>
            </w:r>
            <w:r w:rsidRPr="00E67914">
              <w:rPr>
                <w:rFonts w:ascii="Times New Roman" w:hAnsi="Times New Roman"/>
                <w:sz w:val="21"/>
                <w:szCs w:val="21"/>
                <w:lang w:eastAsia="zh-CN"/>
              </w:rPr>
              <w:t>分别取样）</w:t>
            </w:r>
          </w:p>
        </w:tc>
        <w:tc>
          <w:tcPr>
            <w:tcW w:w="477" w:type="pct"/>
            <w:vAlign w:val="center"/>
          </w:tcPr>
          <w:p w14:paraId="402A2752" w14:textId="451100E5" w:rsidR="000809BE" w:rsidRPr="00E67914" w:rsidRDefault="000809BE" w:rsidP="000809BE">
            <w:pPr>
              <w:jc w:val="center"/>
              <w:rPr>
                <w:rFonts w:ascii="Times New Roman" w:hAnsi="Times New Roman"/>
                <w:sz w:val="21"/>
                <w:szCs w:val="21"/>
                <w:lang w:eastAsia="zh-CN"/>
              </w:rPr>
            </w:pPr>
            <w:r w:rsidRPr="00E67914">
              <w:rPr>
                <w:rFonts w:ascii="Times New Roman" w:hAnsi="Times New Roman"/>
                <w:sz w:val="21"/>
                <w:szCs w:val="21"/>
              </w:rPr>
              <w:t>表层样点</w:t>
            </w:r>
          </w:p>
        </w:tc>
      </w:tr>
    </w:tbl>
    <w:p w14:paraId="4DECEB74" w14:textId="77777777" w:rsidR="00A54A8A" w:rsidRPr="00E67914" w:rsidRDefault="00A54A8A">
      <w:pPr>
        <w:rPr>
          <w:rFonts w:ascii="Times New Roman" w:hAnsi="Times New Roman"/>
          <w:lang w:eastAsia="zh-CN"/>
        </w:rPr>
      </w:pPr>
    </w:p>
    <w:p w14:paraId="1511907E"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）评价标准</w:t>
      </w:r>
    </w:p>
    <w:p w14:paraId="5DE0F2F6"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占地范围内执行《土壤环境质量</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建设用地土壤污染风险管控标准（试行）》（</w:t>
      </w:r>
      <w:r w:rsidRPr="00E67914">
        <w:rPr>
          <w:rFonts w:ascii="Times New Roman" w:hAnsi="Times New Roman"/>
          <w:bCs/>
          <w:kern w:val="2"/>
          <w:sz w:val="24"/>
          <w:szCs w:val="24"/>
          <w:lang w:eastAsia="zh-CN"/>
        </w:rPr>
        <w:t>GB36600-2018</w:t>
      </w:r>
      <w:r w:rsidRPr="00E67914">
        <w:rPr>
          <w:rFonts w:ascii="Times New Roman" w:hAnsi="Times New Roman"/>
          <w:bCs/>
          <w:kern w:val="2"/>
          <w:sz w:val="24"/>
          <w:szCs w:val="24"/>
          <w:lang w:eastAsia="zh-CN"/>
        </w:rPr>
        <w:t>）中的第二类用地筛选值标准，用地范围外执行《土壤环境质量</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农用地土壤污染风险管控标准》（</w:t>
      </w:r>
      <w:r w:rsidRPr="00E67914">
        <w:rPr>
          <w:rFonts w:ascii="Times New Roman" w:hAnsi="Times New Roman"/>
          <w:bCs/>
          <w:kern w:val="2"/>
          <w:sz w:val="24"/>
          <w:szCs w:val="24"/>
          <w:lang w:eastAsia="zh-CN"/>
        </w:rPr>
        <w:t>GB15618-2018</w:t>
      </w:r>
      <w:r w:rsidRPr="00E67914">
        <w:rPr>
          <w:rFonts w:ascii="Times New Roman" w:hAnsi="Times New Roman"/>
          <w:bCs/>
          <w:kern w:val="2"/>
          <w:sz w:val="24"/>
          <w:szCs w:val="24"/>
          <w:lang w:eastAsia="zh-CN"/>
        </w:rPr>
        <w:t>）中土壤污染风险筛选值标准。</w:t>
      </w:r>
    </w:p>
    <w:p w14:paraId="19D5A242"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）土壤环境现状监测统计</w:t>
      </w:r>
    </w:p>
    <w:p w14:paraId="33BE7E1E"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土壤环境现状监测及评价结果见表</w:t>
      </w:r>
      <w:r w:rsidRPr="00E67914">
        <w:rPr>
          <w:rFonts w:ascii="Times New Roman" w:hAnsi="Times New Roman"/>
          <w:bCs/>
          <w:kern w:val="2"/>
          <w:sz w:val="24"/>
          <w:szCs w:val="24"/>
          <w:lang w:eastAsia="zh-CN"/>
        </w:rPr>
        <w:t>4.2-12</w:t>
      </w:r>
      <w:r w:rsidRPr="00E67914">
        <w:rPr>
          <w:rFonts w:ascii="Times New Roman" w:hAnsi="Times New Roman"/>
          <w:bCs/>
          <w:kern w:val="2"/>
          <w:sz w:val="24"/>
          <w:szCs w:val="24"/>
          <w:lang w:eastAsia="zh-CN"/>
        </w:rPr>
        <w:t>、表</w:t>
      </w:r>
      <w:r w:rsidRPr="00E67914">
        <w:rPr>
          <w:rFonts w:ascii="Times New Roman" w:hAnsi="Times New Roman"/>
          <w:bCs/>
          <w:kern w:val="2"/>
          <w:sz w:val="24"/>
          <w:szCs w:val="24"/>
          <w:lang w:eastAsia="zh-CN"/>
        </w:rPr>
        <w:t>4.2-13</w:t>
      </w:r>
      <w:r w:rsidRPr="00E67914">
        <w:rPr>
          <w:rFonts w:ascii="Times New Roman" w:hAnsi="Times New Roman"/>
          <w:bCs/>
          <w:kern w:val="2"/>
          <w:sz w:val="24"/>
          <w:szCs w:val="24"/>
          <w:lang w:eastAsia="zh-CN"/>
        </w:rPr>
        <w:t>、表</w:t>
      </w:r>
      <w:r w:rsidRPr="00E67914">
        <w:rPr>
          <w:rFonts w:ascii="Times New Roman" w:hAnsi="Times New Roman"/>
          <w:bCs/>
          <w:kern w:val="2"/>
          <w:sz w:val="24"/>
          <w:szCs w:val="24"/>
          <w:lang w:eastAsia="zh-CN"/>
        </w:rPr>
        <w:t>4.2-14</w:t>
      </w:r>
      <w:r w:rsidRPr="00E67914">
        <w:rPr>
          <w:rFonts w:ascii="Times New Roman" w:hAnsi="Times New Roman"/>
          <w:bCs/>
          <w:kern w:val="2"/>
          <w:sz w:val="24"/>
          <w:szCs w:val="24"/>
          <w:lang w:eastAsia="zh-CN"/>
        </w:rPr>
        <w:t>。</w:t>
      </w:r>
    </w:p>
    <w:p w14:paraId="2DF90AF5"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4.2-12  </w:t>
      </w:r>
      <w:r w:rsidRPr="00E67914">
        <w:rPr>
          <w:rFonts w:ascii="Times New Roman" w:eastAsia="黑体" w:hAnsi="Times New Roman"/>
          <w:sz w:val="21"/>
          <w:szCs w:val="21"/>
          <w:lang w:eastAsia="zh-CN"/>
        </w:rPr>
        <w:t>本项目场外土壤环境现状监测及评价表</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mg/kg</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pH</w:t>
      </w:r>
      <w:r w:rsidRPr="00E67914">
        <w:rPr>
          <w:rFonts w:ascii="Times New Roman" w:eastAsia="黑体" w:hAnsi="Times New Roman"/>
          <w:sz w:val="21"/>
          <w:szCs w:val="21"/>
          <w:lang w:eastAsia="zh-CN"/>
        </w:rPr>
        <w:t>无量纲</w:t>
      </w:r>
    </w:p>
    <w:tbl>
      <w:tblPr>
        <w:tblW w:w="5000" w:type="pct"/>
        <w:jc w:val="center"/>
        <w:tblCellMar>
          <w:top w:w="15" w:type="dxa"/>
          <w:left w:w="15" w:type="dxa"/>
          <w:bottom w:w="15" w:type="dxa"/>
          <w:right w:w="15" w:type="dxa"/>
        </w:tblCellMar>
        <w:tblLook w:val="04A0" w:firstRow="1" w:lastRow="0" w:firstColumn="1" w:lastColumn="0" w:noHBand="0" w:noVBand="1"/>
      </w:tblPr>
      <w:tblGrid>
        <w:gridCol w:w="724"/>
        <w:gridCol w:w="1600"/>
        <w:gridCol w:w="423"/>
        <w:gridCol w:w="477"/>
        <w:gridCol w:w="551"/>
        <w:gridCol w:w="551"/>
        <w:gridCol w:w="551"/>
        <w:gridCol w:w="552"/>
        <w:gridCol w:w="552"/>
        <w:gridCol w:w="552"/>
        <w:gridCol w:w="552"/>
        <w:gridCol w:w="552"/>
        <w:gridCol w:w="663"/>
      </w:tblGrid>
      <w:tr w:rsidR="00E67914" w:rsidRPr="00E67914" w14:paraId="1F620862" w14:textId="77777777">
        <w:trPr>
          <w:trHeight w:val="454"/>
          <w:jc w:val="center"/>
        </w:trPr>
        <w:tc>
          <w:tcPr>
            <w:tcW w:w="1085" w:type="pct"/>
            <w:gridSpan w:val="2"/>
            <w:tcBorders>
              <w:top w:val="single" w:sz="4" w:space="0" w:color="000000"/>
              <w:left w:val="single" w:sz="4" w:space="0" w:color="000000"/>
              <w:bottom w:val="single" w:sz="4" w:space="0" w:color="000000"/>
              <w:right w:val="single" w:sz="4" w:space="0" w:color="000000"/>
              <w:tl2br w:val="single" w:sz="4" w:space="0" w:color="auto"/>
            </w:tcBorders>
            <w:noWrap/>
            <w:vAlign w:val="center"/>
          </w:tcPr>
          <w:p w14:paraId="46262C79" w14:textId="77777777" w:rsidR="00A54A8A" w:rsidRPr="00E67914" w:rsidRDefault="00000000">
            <w:pPr>
              <w:pStyle w:val="04"/>
              <w:jc w:val="right"/>
              <w:rPr>
                <w:rFonts w:eastAsia="黑体" w:cs="Times New Roman"/>
                <w:b/>
                <w:bCs/>
              </w:rPr>
            </w:pPr>
            <w:r w:rsidRPr="00E67914">
              <w:rPr>
                <w:rFonts w:eastAsia="黑体" w:cs="Times New Roman"/>
                <w:b/>
                <w:bCs/>
              </w:rPr>
              <w:t>监测项目</w:t>
            </w:r>
          </w:p>
          <w:p w14:paraId="41850522" w14:textId="77777777" w:rsidR="00A54A8A" w:rsidRPr="00E67914" w:rsidRDefault="00000000">
            <w:pPr>
              <w:pStyle w:val="04"/>
              <w:jc w:val="left"/>
              <w:rPr>
                <w:rFonts w:eastAsia="黑体" w:cs="Times New Roman"/>
                <w:b/>
                <w:bCs/>
              </w:rPr>
            </w:pPr>
            <w:r w:rsidRPr="00E67914">
              <w:rPr>
                <w:rFonts w:eastAsia="黑体" w:cs="Times New Roman"/>
                <w:b/>
                <w:bCs/>
              </w:rPr>
              <w:t>监测点</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2722C7C3" w14:textId="77777777" w:rsidR="00A54A8A" w:rsidRPr="00E67914" w:rsidRDefault="00000000">
            <w:pPr>
              <w:pStyle w:val="04"/>
              <w:rPr>
                <w:rFonts w:eastAsia="黑体" w:cs="Times New Roman"/>
                <w:b/>
                <w:bCs/>
              </w:rPr>
            </w:pPr>
            <w:r w:rsidRPr="00E67914">
              <w:rPr>
                <w:rFonts w:eastAsia="黑体" w:cs="Times New Roman"/>
                <w:b/>
                <w:bCs/>
              </w:rPr>
              <w:t>pH</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7C565895" w14:textId="77777777" w:rsidR="00A54A8A" w:rsidRPr="00E67914" w:rsidRDefault="00000000">
            <w:pPr>
              <w:pStyle w:val="04"/>
              <w:rPr>
                <w:rFonts w:eastAsia="黑体" w:cs="Times New Roman"/>
                <w:b/>
                <w:bCs/>
              </w:rPr>
            </w:pPr>
            <w:r w:rsidRPr="00E67914">
              <w:rPr>
                <w:rFonts w:eastAsia="黑体" w:cs="Times New Roman"/>
                <w:b/>
                <w:bCs/>
              </w:rPr>
              <w:t>砷</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179136AE" w14:textId="77777777" w:rsidR="00A54A8A" w:rsidRPr="00E67914" w:rsidRDefault="00000000">
            <w:pPr>
              <w:pStyle w:val="04"/>
              <w:rPr>
                <w:rFonts w:eastAsia="黑体" w:cs="Times New Roman"/>
                <w:b/>
                <w:bCs/>
              </w:rPr>
            </w:pPr>
            <w:r w:rsidRPr="00E67914">
              <w:rPr>
                <w:rFonts w:eastAsia="黑体" w:cs="Times New Roman"/>
                <w:b/>
                <w:bCs/>
              </w:rPr>
              <w:t>镉</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38EB7014" w14:textId="77777777" w:rsidR="00A54A8A" w:rsidRPr="00E67914" w:rsidRDefault="00000000">
            <w:pPr>
              <w:pStyle w:val="04"/>
              <w:rPr>
                <w:rFonts w:eastAsia="黑体" w:cs="Times New Roman"/>
                <w:b/>
                <w:bCs/>
              </w:rPr>
            </w:pPr>
            <w:r w:rsidRPr="00E67914">
              <w:rPr>
                <w:rFonts w:eastAsia="黑体" w:cs="Times New Roman"/>
                <w:b/>
                <w:bCs/>
              </w:rPr>
              <w:t>铜</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3B3771F4" w14:textId="77777777" w:rsidR="00A54A8A" w:rsidRPr="00E67914" w:rsidRDefault="00000000">
            <w:pPr>
              <w:pStyle w:val="04"/>
              <w:rPr>
                <w:rFonts w:eastAsia="黑体" w:cs="Times New Roman"/>
                <w:b/>
                <w:bCs/>
              </w:rPr>
            </w:pPr>
            <w:r w:rsidRPr="00E67914">
              <w:rPr>
                <w:rFonts w:eastAsia="黑体" w:cs="Times New Roman"/>
                <w:b/>
                <w:bCs/>
              </w:rPr>
              <w:t>铅</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91B6A71" w14:textId="77777777" w:rsidR="00A54A8A" w:rsidRPr="00E67914" w:rsidRDefault="00000000">
            <w:pPr>
              <w:pStyle w:val="04"/>
              <w:rPr>
                <w:rFonts w:eastAsia="黑体" w:cs="Times New Roman"/>
                <w:b/>
                <w:bCs/>
              </w:rPr>
            </w:pPr>
            <w:r w:rsidRPr="00E67914">
              <w:rPr>
                <w:rFonts w:eastAsia="黑体" w:cs="Times New Roman"/>
                <w:b/>
                <w:bCs/>
              </w:rPr>
              <w:t>汞</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BCF51DD" w14:textId="77777777" w:rsidR="00A54A8A" w:rsidRPr="00E67914" w:rsidRDefault="00000000">
            <w:pPr>
              <w:pStyle w:val="04"/>
              <w:rPr>
                <w:rFonts w:eastAsia="黑体" w:cs="Times New Roman"/>
                <w:b/>
                <w:bCs/>
              </w:rPr>
            </w:pPr>
            <w:r w:rsidRPr="00E67914">
              <w:rPr>
                <w:rFonts w:eastAsia="黑体" w:cs="Times New Roman"/>
                <w:b/>
                <w:bCs/>
              </w:rPr>
              <w:t>镍</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B843279" w14:textId="77777777" w:rsidR="00A54A8A" w:rsidRPr="00E67914" w:rsidRDefault="00000000">
            <w:pPr>
              <w:pStyle w:val="04"/>
              <w:rPr>
                <w:rFonts w:eastAsia="黑体" w:cs="Times New Roman"/>
                <w:b/>
                <w:bCs/>
              </w:rPr>
            </w:pPr>
            <w:r w:rsidRPr="00E67914">
              <w:rPr>
                <w:rFonts w:eastAsia="黑体" w:cs="Times New Roman"/>
                <w:b/>
                <w:bCs/>
              </w:rPr>
              <w:t>总铬</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99125BA" w14:textId="77777777" w:rsidR="00A54A8A" w:rsidRPr="00E67914" w:rsidRDefault="00000000">
            <w:pPr>
              <w:pStyle w:val="04"/>
              <w:rPr>
                <w:rFonts w:eastAsia="黑体" w:cs="Times New Roman"/>
                <w:b/>
                <w:bCs/>
              </w:rPr>
            </w:pPr>
            <w:r w:rsidRPr="00E67914">
              <w:rPr>
                <w:rFonts w:eastAsia="黑体" w:cs="Times New Roman"/>
                <w:b/>
                <w:bCs/>
              </w:rPr>
              <w:t>锌</w:t>
            </w:r>
          </w:p>
        </w:tc>
        <w:tc>
          <w:tcPr>
            <w:tcW w:w="367" w:type="pct"/>
            <w:tcBorders>
              <w:top w:val="single" w:sz="4" w:space="0" w:color="000000"/>
              <w:left w:val="single" w:sz="4" w:space="0" w:color="000000"/>
              <w:bottom w:val="single" w:sz="4" w:space="0" w:color="000000"/>
              <w:right w:val="single" w:sz="4" w:space="0" w:color="000000"/>
            </w:tcBorders>
            <w:vAlign w:val="center"/>
          </w:tcPr>
          <w:p w14:paraId="2060F4EA" w14:textId="77777777" w:rsidR="00A54A8A" w:rsidRPr="00E67914" w:rsidRDefault="00000000">
            <w:pPr>
              <w:pStyle w:val="04"/>
              <w:rPr>
                <w:rFonts w:eastAsia="黑体" w:cs="Times New Roman"/>
                <w:b/>
                <w:bCs/>
              </w:rPr>
            </w:pPr>
            <w:r w:rsidRPr="00E67914">
              <w:rPr>
                <w:rFonts w:eastAsia="黑体" w:cs="Times New Roman"/>
                <w:b/>
                <w:bCs/>
              </w:rPr>
              <w:t>石油烃</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2A06C28" w14:textId="77777777" w:rsidR="00A54A8A" w:rsidRPr="00E67914" w:rsidRDefault="00000000">
            <w:pPr>
              <w:pStyle w:val="04"/>
              <w:rPr>
                <w:rFonts w:eastAsia="黑体" w:cs="Times New Roman"/>
                <w:b/>
                <w:bCs/>
              </w:rPr>
            </w:pPr>
            <w:r w:rsidRPr="00E67914">
              <w:rPr>
                <w:rFonts w:eastAsia="黑体" w:cs="Times New Roman"/>
                <w:b/>
                <w:bCs/>
              </w:rPr>
              <w:t>全盐量</w:t>
            </w:r>
          </w:p>
        </w:tc>
      </w:tr>
      <w:tr w:rsidR="00E67914" w:rsidRPr="00E67914" w14:paraId="75248475" w14:textId="77777777">
        <w:trPr>
          <w:trHeight w:val="454"/>
          <w:jc w:val="center"/>
        </w:trPr>
        <w:tc>
          <w:tcPr>
            <w:tcW w:w="471" w:type="pct"/>
            <w:vMerge w:val="restart"/>
            <w:tcBorders>
              <w:top w:val="single" w:sz="4" w:space="0" w:color="000000"/>
              <w:left w:val="single" w:sz="4" w:space="0" w:color="000000"/>
              <w:bottom w:val="single" w:sz="4" w:space="0" w:color="000000"/>
              <w:right w:val="single" w:sz="4" w:space="0" w:color="000000"/>
            </w:tcBorders>
            <w:noWrap/>
            <w:vAlign w:val="center"/>
          </w:tcPr>
          <w:p w14:paraId="0EE866E1" w14:textId="77777777" w:rsidR="00A54A8A" w:rsidRPr="00E67914" w:rsidRDefault="00000000">
            <w:pPr>
              <w:pStyle w:val="04"/>
              <w:rPr>
                <w:rFonts w:cs="Times New Roman"/>
              </w:rPr>
            </w:pPr>
            <w:r w:rsidRPr="00E67914">
              <w:rPr>
                <w:rFonts w:cs="Times New Roman"/>
              </w:rPr>
              <w:t>5#</w:t>
            </w:r>
          </w:p>
        </w:tc>
        <w:tc>
          <w:tcPr>
            <w:tcW w:w="614" w:type="pct"/>
            <w:tcBorders>
              <w:top w:val="single" w:sz="4" w:space="0" w:color="000000"/>
              <w:left w:val="single" w:sz="4" w:space="0" w:color="000000"/>
              <w:bottom w:val="single" w:sz="4" w:space="0" w:color="000000"/>
              <w:right w:val="single" w:sz="4" w:space="0" w:color="000000"/>
            </w:tcBorders>
            <w:noWrap/>
            <w:vAlign w:val="center"/>
          </w:tcPr>
          <w:p w14:paraId="04BF7FF6" w14:textId="77777777" w:rsidR="00A54A8A" w:rsidRPr="00E67914" w:rsidRDefault="00000000">
            <w:pPr>
              <w:pStyle w:val="04"/>
              <w:rPr>
                <w:rFonts w:cs="Times New Roman"/>
              </w:rPr>
            </w:pPr>
            <w:r w:rsidRPr="00E67914">
              <w:rPr>
                <w:rFonts w:cs="Times New Roman"/>
              </w:rPr>
              <w:t>监测值</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419CB903" w14:textId="65A4DE74" w:rsidR="00A54A8A" w:rsidRPr="00E67914" w:rsidRDefault="00806431">
            <w:pPr>
              <w:pStyle w:val="04"/>
              <w:rPr>
                <w:rFonts w:cs="Times New Roman"/>
              </w:rPr>
            </w:pPr>
            <w:r w:rsidRPr="00E67914">
              <w:rPr>
                <w:rFonts w:cs="Times New Roman"/>
              </w:rPr>
              <w:t>7.73</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34728E38" w14:textId="684D3BE8" w:rsidR="00A54A8A" w:rsidRPr="00E67914" w:rsidRDefault="00806431">
            <w:pPr>
              <w:pStyle w:val="04"/>
              <w:rPr>
                <w:rFonts w:cs="Times New Roman"/>
              </w:rPr>
            </w:pPr>
            <w:r w:rsidRPr="00E67914">
              <w:rPr>
                <w:rFonts w:cs="Times New Roman"/>
              </w:rPr>
              <w:t>7.09</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9C6C3ED" w14:textId="7C240259" w:rsidR="00A54A8A" w:rsidRPr="00E67914" w:rsidRDefault="00806431">
            <w:pPr>
              <w:pStyle w:val="04"/>
              <w:rPr>
                <w:rFonts w:cs="Times New Roman"/>
              </w:rPr>
            </w:pPr>
            <w:r w:rsidRPr="00E67914">
              <w:rPr>
                <w:rFonts w:cs="Times New Roman"/>
              </w:rPr>
              <w:t>0.35</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9571CCF" w14:textId="0686E641" w:rsidR="00A54A8A" w:rsidRPr="00E67914" w:rsidRDefault="00806431">
            <w:pPr>
              <w:pStyle w:val="04"/>
              <w:rPr>
                <w:rFonts w:cs="Times New Roman"/>
              </w:rPr>
            </w:pPr>
            <w:r w:rsidRPr="00E67914">
              <w:rPr>
                <w:rFonts w:cs="Times New Roman"/>
              </w:rPr>
              <w:t>12</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DF91681" w14:textId="65F46395" w:rsidR="00A54A8A" w:rsidRPr="00E67914" w:rsidRDefault="00806431">
            <w:pPr>
              <w:pStyle w:val="04"/>
              <w:rPr>
                <w:rFonts w:cs="Times New Roman"/>
              </w:rPr>
            </w:pPr>
            <w:r w:rsidRPr="00E67914">
              <w:rPr>
                <w:rFonts w:cs="Times New Roman"/>
              </w:rPr>
              <w:t>21</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7E11C85" w14:textId="5F7D7A84" w:rsidR="00A54A8A" w:rsidRPr="00E67914" w:rsidRDefault="00806431">
            <w:pPr>
              <w:pStyle w:val="04"/>
              <w:rPr>
                <w:rFonts w:cs="Times New Roman"/>
              </w:rPr>
            </w:pPr>
            <w:r w:rsidRPr="00E67914">
              <w:rPr>
                <w:rFonts w:cs="Times New Roman"/>
              </w:rPr>
              <w:t>1.11</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20FE300" w14:textId="19C9DA9D" w:rsidR="00A54A8A" w:rsidRPr="00E67914" w:rsidRDefault="00806431">
            <w:pPr>
              <w:pStyle w:val="04"/>
              <w:rPr>
                <w:rFonts w:cs="Times New Roman"/>
              </w:rPr>
            </w:pPr>
            <w:r w:rsidRPr="00E67914">
              <w:rPr>
                <w:rFonts w:cs="Times New Roman"/>
              </w:rPr>
              <w:t>25</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68431D1" w14:textId="1C7880B1" w:rsidR="00A54A8A" w:rsidRPr="00E67914" w:rsidRDefault="00806431">
            <w:pPr>
              <w:pStyle w:val="04"/>
              <w:rPr>
                <w:rFonts w:cs="Times New Roman"/>
              </w:rPr>
            </w:pPr>
            <w:r w:rsidRPr="00E67914">
              <w:rPr>
                <w:rFonts w:cs="Times New Roman"/>
              </w:rPr>
              <w:t>34</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8780F52" w14:textId="473650E2" w:rsidR="00A54A8A" w:rsidRPr="00E67914" w:rsidRDefault="00806431">
            <w:pPr>
              <w:pStyle w:val="04"/>
              <w:rPr>
                <w:rFonts w:cs="Times New Roman"/>
              </w:rPr>
            </w:pPr>
            <w:r w:rsidRPr="00E67914">
              <w:rPr>
                <w:rFonts w:cs="Times New Roman"/>
              </w:rPr>
              <w:t>96</w:t>
            </w:r>
          </w:p>
        </w:tc>
        <w:tc>
          <w:tcPr>
            <w:tcW w:w="367" w:type="pct"/>
            <w:tcBorders>
              <w:top w:val="single" w:sz="4" w:space="0" w:color="000000"/>
              <w:left w:val="single" w:sz="4" w:space="0" w:color="000000"/>
              <w:bottom w:val="single" w:sz="4" w:space="0" w:color="000000"/>
              <w:right w:val="single" w:sz="4" w:space="0" w:color="000000"/>
            </w:tcBorders>
            <w:vAlign w:val="center"/>
          </w:tcPr>
          <w:p w14:paraId="20F081F3" w14:textId="6989A2E0" w:rsidR="00A54A8A" w:rsidRPr="00E67914" w:rsidRDefault="00806431">
            <w:pPr>
              <w:pStyle w:val="04"/>
              <w:rPr>
                <w:rFonts w:cs="Times New Roman"/>
              </w:rPr>
            </w:pPr>
            <w:r w:rsidRPr="00E67914">
              <w:rPr>
                <w:rFonts w:cs="Times New Roman"/>
              </w:rPr>
              <w:t>183</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5B613DB" w14:textId="41058E00" w:rsidR="00A54A8A" w:rsidRPr="00E67914" w:rsidRDefault="00806431">
            <w:pPr>
              <w:pStyle w:val="04"/>
              <w:rPr>
                <w:rFonts w:cs="Times New Roman"/>
              </w:rPr>
            </w:pPr>
            <w:r w:rsidRPr="00E67914">
              <w:rPr>
                <w:rFonts w:cs="Times New Roman"/>
              </w:rPr>
              <w:t>1.4</w:t>
            </w:r>
          </w:p>
        </w:tc>
      </w:tr>
      <w:tr w:rsidR="00E67914" w:rsidRPr="00E67914" w14:paraId="31C696B7" w14:textId="77777777">
        <w:trPr>
          <w:trHeight w:val="454"/>
          <w:jc w:val="center"/>
        </w:trPr>
        <w:tc>
          <w:tcPr>
            <w:tcW w:w="471" w:type="pct"/>
            <w:vMerge/>
            <w:tcBorders>
              <w:top w:val="single" w:sz="4" w:space="0" w:color="000000"/>
              <w:left w:val="single" w:sz="4" w:space="0" w:color="000000"/>
              <w:bottom w:val="single" w:sz="4" w:space="0" w:color="000000"/>
              <w:right w:val="single" w:sz="4" w:space="0" w:color="000000"/>
            </w:tcBorders>
            <w:vAlign w:val="center"/>
          </w:tcPr>
          <w:p w14:paraId="14FA7CC9" w14:textId="77777777" w:rsidR="00A54A8A" w:rsidRPr="00E67914" w:rsidRDefault="00A54A8A">
            <w:pPr>
              <w:pStyle w:val="04"/>
              <w:rPr>
                <w:rFonts w:cs="Times New Roman"/>
              </w:rPr>
            </w:pPr>
          </w:p>
        </w:tc>
        <w:tc>
          <w:tcPr>
            <w:tcW w:w="614" w:type="pct"/>
            <w:tcBorders>
              <w:top w:val="single" w:sz="4" w:space="0" w:color="000000"/>
              <w:left w:val="single" w:sz="4" w:space="0" w:color="000000"/>
              <w:bottom w:val="single" w:sz="4" w:space="0" w:color="000000"/>
              <w:right w:val="single" w:sz="4" w:space="0" w:color="000000"/>
            </w:tcBorders>
            <w:noWrap/>
            <w:vAlign w:val="center"/>
          </w:tcPr>
          <w:p w14:paraId="6891DD4B" w14:textId="4A564086" w:rsidR="00A54A8A" w:rsidRPr="00E67914" w:rsidRDefault="00000000">
            <w:pPr>
              <w:pStyle w:val="04"/>
              <w:rPr>
                <w:rFonts w:cs="Times New Roman"/>
              </w:rPr>
            </w:pPr>
            <w:r w:rsidRPr="00E67914">
              <w:rPr>
                <w:rFonts w:cs="Times New Roman"/>
              </w:rPr>
              <w:t>标准值</w:t>
            </w:r>
            <w:r w:rsidRPr="00E67914">
              <w:rPr>
                <w:rFonts w:cs="Times New Roman"/>
              </w:rPr>
              <w:br/>
            </w:r>
            <w:r w:rsidRPr="00E67914">
              <w:rPr>
                <w:rFonts w:cs="Times New Roman"/>
                <w:kern w:val="2"/>
              </w:rPr>
              <w:t>pH</w:t>
            </w:r>
            <w:r w:rsidR="00806431" w:rsidRPr="00E67914">
              <w:rPr>
                <w:rFonts w:cs="Times New Roman"/>
                <w:kern w:val="2"/>
              </w:rPr>
              <w:t>＞</w:t>
            </w:r>
            <w:r w:rsidRPr="00E67914">
              <w:rPr>
                <w:rFonts w:cs="Times New Roman"/>
                <w:kern w:val="2"/>
              </w:rPr>
              <w:t>7.5</w:t>
            </w:r>
            <w:r w:rsidRPr="00E67914">
              <w:rPr>
                <w:rFonts w:cs="Times New Roman"/>
              </w:rPr>
              <w:t>（其他）</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3EE381E1" w14:textId="77777777" w:rsidR="00A54A8A" w:rsidRPr="00E67914" w:rsidRDefault="00000000">
            <w:pPr>
              <w:pStyle w:val="04"/>
              <w:rPr>
                <w:rFonts w:cs="Times New Roman"/>
              </w:rPr>
            </w:pPr>
            <w:r w:rsidRPr="00E67914">
              <w:rPr>
                <w:rFonts w:cs="Times New Roman"/>
              </w:rPr>
              <w:t>/</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38FA6357" w14:textId="664C0527" w:rsidR="00A54A8A" w:rsidRPr="00E67914" w:rsidRDefault="00806431">
            <w:pPr>
              <w:pStyle w:val="04"/>
              <w:rPr>
                <w:rFonts w:cs="Times New Roman"/>
              </w:rPr>
            </w:pPr>
            <w:r w:rsidRPr="00E67914">
              <w:rPr>
                <w:rFonts w:cs="Times New Roman"/>
              </w:rPr>
              <w:t>25</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8C1C8D5" w14:textId="07971EC7" w:rsidR="00A54A8A" w:rsidRPr="00E67914" w:rsidRDefault="00806431">
            <w:pPr>
              <w:pStyle w:val="04"/>
              <w:rPr>
                <w:rFonts w:cs="Times New Roman"/>
              </w:rPr>
            </w:pPr>
            <w:r w:rsidRPr="00E67914">
              <w:rPr>
                <w:rFonts w:cs="Times New Roman"/>
              </w:rPr>
              <w:t>0.6</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3D42977A" w14:textId="429AA726" w:rsidR="00A54A8A" w:rsidRPr="00E67914" w:rsidRDefault="00806431">
            <w:pPr>
              <w:pStyle w:val="04"/>
              <w:rPr>
                <w:rFonts w:cs="Times New Roman"/>
              </w:rPr>
            </w:pPr>
            <w:r w:rsidRPr="00E67914">
              <w:rPr>
                <w:rFonts w:cs="Times New Roman"/>
              </w:rPr>
              <w:t>100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3EBA0627" w14:textId="36E99A5A" w:rsidR="00A54A8A" w:rsidRPr="00E67914" w:rsidRDefault="00806431">
            <w:pPr>
              <w:pStyle w:val="04"/>
              <w:rPr>
                <w:rFonts w:cs="Times New Roman"/>
              </w:rPr>
            </w:pPr>
            <w:r w:rsidRPr="00E67914">
              <w:rPr>
                <w:rFonts w:cs="Times New Roman"/>
              </w:rPr>
              <w:t>170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018AD00D" w14:textId="402C68FE" w:rsidR="00A54A8A" w:rsidRPr="00E67914" w:rsidRDefault="00806431">
            <w:pPr>
              <w:pStyle w:val="04"/>
              <w:rPr>
                <w:rFonts w:cs="Times New Roman"/>
              </w:rPr>
            </w:pPr>
            <w:r w:rsidRPr="00E67914">
              <w:rPr>
                <w:rFonts w:cs="Times New Roman"/>
              </w:rPr>
              <w:t>3.4</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55C39F2" w14:textId="4DAEDB6A" w:rsidR="00A54A8A" w:rsidRPr="00E67914" w:rsidRDefault="00806431">
            <w:pPr>
              <w:pStyle w:val="04"/>
              <w:rPr>
                <w:rFonts w:cs="Times New Roman"/>
              </w:rPr>
            </w:pPr>
            <w:r w:rsidRPr="00E67914">
              <w:rPr>
                <w:rFonts w:cs="Times New Roman"/>
              </w:rPr>
              <w:t>190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E27CDBB" w14:textId="43BEC1F7" w:rsidR="00A54A8A" w:rsidRPr="00E67914" w:rsidRDefault="00806431">
            <w:pPr>
              <w:pStyle w:val="04"/>
              <w:rPr>
                <w:rFonts w:cs="Times New Roman"/>
              </w:rPr>
            </w:pPr>
            <w:r w:rsidRPr="00E67914">
              <w:rPr>
                <w:rFonts w:cs="Times New Roman"/>
              </w:rPr>
              <w:t>250</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80C7BEA" w14:textId="67A71A7A" w:rsidR="00A54A8A" w:rsidRPr="00E67914" w:rsidRDefault="00806431">
            <w:pPr>
              <w:pStyle w:val="04"/>
              <w:rPr>
                <w:rFonts w:cs="Times New Roman"/>
              </w:rPr>
            </w:pPr>
            <w:r w:rsidRPr="00E67914">
              <w:rPr>
                <w:rFonts w:cs="Times New Roman"/>
              </w:rPr>
              <w:t>300</w:t>
            </w:r>
          </w:p>
        </w:tc>
        <w:tc>
          <w:tcPr>
            <w:tcW w:w="367" w:type="pct"/>
            <w:tcBorders>
              <w:top w:val="single" w:sz="4" w:space="0" w:color="000000"/>
              <w:left w:val="single" w:sz="4" w:space="0" w:color="000000"/>
              <w:bottom w:val="single" w:sz="4" w:space="0" w:color="000000"/>
              <w:right w:val="single" w:sz="4" w:space="0" w:color="000000"/>
            </w:tcBorders>
            <w:vAlign w:val="center"/>
          </w:tcPr>
          <w:p w14:paraId="71FA98F2" w14:textId="77777777" w:rsidR="00A54A8A" w:rsidRPr="00E67914" w:rsidRDefault="00000000">
            <w:pPr>
              <w:pStyle w:val="04"/>
              <w:rPr>
                <w:rFonts w:cs="Times New Roman"/>
              </w:rPr>
            </w:pPr>
            <w:r w:rsidRPr="00E67914">
              <w:rPr>
                <w:rFonts w:cs="Times New Roman"/>
              </w:rPr>
              <w:t>/</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35CA6D0F" w14:textId="77777777" w:rsidR="00A54A8A" w:rsidRPr="00E67914" w:rsidRDefault="00000000">
            <w:pPr>
              <w:pStyle w:val="04"/>
              <w:rPr>
                <w:rFonts w:cs="Times New Roman"/>
              </w:rPr>
            </w:pPr>
            <w:r w:rsidRPr="00E67914">
              <w:rPr>
                <w:rFonts w:cs="Times New Roman"/>
              </w:rPr>
              <w:t>/</w:t>
            </w:r>
          </w:p>
        </w:tc>
      </w:tr>
      <w:tr w:rsidR="00E67914" w:rsidRPr="00E67914" w14:paraId="0CF750F4" w14:textId="77777777">
        <w:trPr>
          <w:trHeight w:val="454"/>
          <w:jc w:val="center"/>
        </w:trPr>
        <w:tc>
          <w:tcPr>
            <w:tcW w:w="471" w:type="pct"/>
            <w:vMerge/>
            <w:tcBorders>
              <w:top w:val="single" w:sz="4" w:space="0" w:color="000000"/>
              <w:left w:val="single" w:sz="4" w:space="0" w:color="000000"/>
              <w:bottom w:val="single" w:sz="4" w:space="0" w:color="000000"/>
              <w:right w:val="single" w:sz="4" w:space="0" w:color="000000"/>
            </w:tcBorders>
            <w:vAlign w:val="center"/>
          </w:tcPr>
          <w:p w14:paraId="2A90C226" w14:textId="77777777" w:rsidR="00A54A8A" w:rsidRPr="00E67914" w:rsidRDefault="00A54A8A">
            <w:pPr>
              <w:pStyle w:val="04"/>
              <w:rPr>
                <w:rFonts w:cs="Times New Roman"/>
              </w:rPr>
            </w:pPr>
          </w:p>
        </w:tc>
        <w:tc>
          <w:tcPr>
            <w:tcW w:w="614" w:type="pct"/>
            <w:tcBorders>
              <w:top w:val="single" w:sz="4" w:space="0" w:color="000000"/>
              <w:left w:val="single" w:sz="4" w:space="0" w:color="000000"/>
              <w:bottom w:val="single" w:sz="4" w:space="0" w:color="000000"/>
              <w:right w:val="single" w:sz="4" w:space="0" w:color="000000"/>
            </w:tcBorders>
            <w:noWrap/>
            <w:vAlign w:val="center"/>
          </w:tcPr>
          <w:p w14:paraId="0E74F337" w14:textId="70453B6F" w:rsidR="00A54A8A" w:rsidRPr="00E67914" w:rsidRDefault="009D2D1C">
            <w:pPr>
              <w:pStyle w:val="04"/>
              <w:rPr>
                <w:rFonts w:cs="Times New Roman"/>
              </w:rPr>
            </w:pPr>
            <w:r w:rsidRPr="00E67914">
              <w:rPr>
                <w:rFonts w:cs="Times New Roman"/>
              </w:rPr>
              <w:t>是否满足</w:t>
            </w:r>
          </w:p>
        </w:tc>
        <w:tc>
          <w:tcPr>
            <w:tcW w:w="290" w:type="pct"/>
            <w:tcBorders>
              <w:top w:val="single" w:sz="4" w:space="0" w:color="000000"/>
              <w:left w:val="single" w:sz="4" w:space="0" w:color="000000"/>
              <w:bottom w:val="single" w:sz="4" w:space="0" w:color="000000"/>
              <w:right w:val="single" w:sz="4" w:space="0" w:color="000000"/>
            </w:tcBorders>
            <w:noWrap/>
            <w:vAlign w:val="center"/>
          </w:tcPr>
          <w:p w14:paraId="37A33C6E" w14:textId="77777777" w:rsidR="00A54A8A" w:rsidRPr="00E67914" w:rsidRDefault="00000000">
            <w:pPr>
              <w:pStyle w:val="04"/>
              <w:rPr>
                <w:rFonts w:cs="Times New Roman"/>
              </w:rPr>
            </w:pPr>
            <w:r w:rsidRPr="00E67914">
              <w:rPr>
                <w:rFonts w:cs="Times New Roman"/>
              </w:rPr>
              <w:t>/</w:t>
            </w:r>
          </w:p>
        </w:tc>
        <w:tc>
          <w:tcPr>
            <w:tcW w:w="322" w:type="pct"/>
            <w:tcBorders>
              <w:top w:val="single" w:sz="4" w:space="0" w:color="000000"/>
              <w:left w:val="single" w:sz="4" w:space="0" w:color="000000"/>
              <w:bottom w:val="single" w:sz="4" w:space="0" w:color="000000"/>
              <w:right w:val="single" w:sz="4" w:space="0" w:color="000000"/>
            </w:tcBorders>
            <w:noWrap/>
            <w:vAlign w:val="center"/>
          </w:tcPr>
          <w:p w14:paraId="0C520B53" w14:textId="3B6436BC" w:rsidR="00A54A8A" w:rsidRPr="00E67914" w:rsidRDefault="009D2D1C">
            <w:pPr>
              <w:pStyle w:val="04"/>
              <w:rPr>
                <w:rFonts w:cs="Times New Roman"/>
              </w:rPr>
            </w:pPr>
            <w:r w:rsidRPr="00E67914">
              <w:rPr>
                <w:rFonts w:cs="Times New Roman"/>
              </w:rPr>
              <w:t>满足</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2892DF1" w14:textId="0E94ABDB" w:rsidR="00A54A8A" w:rsidRPr="00E67914" w:rsidRDefault="009D2D1C">
            <w:pPr>
              <w:pStyle w:val="04"/>
              <w:rPr>
                <w:rFonts w:cs="Times New Roman"/>
              </w:rPr>
            </w:pPr>
            <w:r w:rsidRPr="00E67914">
              <w:rPr>
                <w:rFonts w:cs="Times New Roman"/>
              </w:rPr>
              <w:t>满足</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23B458A2" w14:textId="7891B710" w:rsidR="00A54A8A" w:rsidRPr="00E67914" w:rsidRDefault="009D2D1C">
            <w:pPr>
              <w:pStyle w:val="04"/>
              <w:rPr>
                <w:rFonts w:cs="Times New Roman"/>
              </w:rPr>
            </w:pPr>
            <w:r w:rsidRPr="00E67914">
              <w:rPr>
                <w:rFonts w:cs="Times New Roman"/>
              </w:rPr>
              <w:t>满足</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58B90FC6" w14:textId="0928DE19" w:rsidR="00A54A8A" w:rsidRPr="00E67914" w:rsidRDefault="009D2D1C">
            <w:pPr>
              <w:pStyle w:val="04"/>
              <w:rPr>
                <w:rFonts w:cs="Times New Roman"/>
              </w:rPr>
            </w:pPr>
            <w:r w:rsidRPr="00E67914">
              <w:rPr>
                <w:rFonts w:cs="Times New Roman"/>
              </w:rPr>
              <w:t>满足</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E9EFF5D" w14:textId="7FDD0D2A" w:rsidR="00A54A8A" w:rsidRPr="00E67914" w:rsidRDefault="009D2D1C">
            <w:pPr>
              <w:pStyle w:val="04"/>
              <w:rPr>
                <w:rFonts w:cs="Times New Roman"/>
              </w:rPr>
            </w:pPr>
            <w:r w:rsidRPr="00E67914">
              <w:rPr>
                <w:rFonts w:cs="Times New Roman"/>
              </w:rPr>
              <w:t>满足</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4B763DC" w14:textId="5E4F0B47" w:rsidR="00A54A8A" w:rsidRPr="00E67914" w:rsidRDefault="009D2D1C">
            <w:pPr>
              <w:pStyle w:val="04"/>
              <w:rPr>
                <w:rFonts w:cs="Times New Roman"/>
              </w:rPr>
            </w:pPr>
            <w:r w:rsidRPr="00E67914">
              <w:rPr>
                <w:rFonts w:cs="Times New Roman"/>
              </w:rPr>
              <w:t>满足</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4A7EB6ED" w14:textId="197088EC" w:rsidR="00A54A8A" w:rsidRPr="00E67914" w:rsidRDefault="009D2D1C">
            <w:pPr>
              <w:pStyle w:val="04"/>
              <w:rPr>
                <w:rFonts w:cs="Times New Roman"/>
              </w:rPr>
            </w:pPr>
            <w:r w:rsidRPr="00E67914">
              <w:rPr>
                <w:rFonts w:cs="Times New Roman"/>
              </w:rPr>
              <w:t>满足</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7A3C914A" w14:textId="0D418F51" w:rsidR="00A54A8A" w:rsidRPr="00E67914" w:rsidRDefault="009D2D1C">
            <w:pPr>
              <w:pStyle w:val="04"/>
              <w:rPr>
                <w:rFonts w:cs="Times New Roman"/>
              </w:rPr>
            </w:pPr>
            <w:r w:rsidRPr="00E67914">
              <w:rPr>
                <w:rFonts w:cs="Times New Roman"/>
              </w:rPr>
              <w:t>满足</w:t>
            </w:r>
          </w:p>
        </w:tc>
        <w:tc>
          <w:tcPr>
            <w:tcW w:w="367" w:type="pct"/>
            <w:tcBorders>
              <w:top w:val="single" w:sz="4" w:space="0" w:color="000000"/>
              <w:left w:val="single" w:sz="4" w:space="0" w:color="000000"/>
              <w:bottom w:val="single" w:sz="4" w:space="0" w:color="000000"/>
              <w:right w:val="single" w:sz="4" w:space="0" w:color="000000"/>
            </w:tcBorders>
            <w:vAlign w:val="center"/>
          </w:tcPr>
          <w:p w14:paraId="009EB301" w14:textId="77777777" w:rsidR="00A54A8A" w:rsidRPr="00E67914" w:rsidRDefault="00000000">
            <w:pPr>
              <w:pStyle w:val="04"/>
              <w:rPr>
                <w:rFonts w:cs="Times New Roman"/>
              </w:rPr>
            </w:pPr>
            <w:r w:rsidRPr="00E67914">
              <w:rPr>
                <w:rFonts w:cs="Times New Roman"/>
              </w:rPr>
              <w:t>/</w:t>
            </w:r>
          </w:p>
        </w:tc>
        <w:tc>
          <w:tcPr>
            <w:tcW w:w="367" w:type="pct"/>
            <w:tcBorders>
              <w:top w:val="single" w:sz="4" w:space="0" w:color="000000"/>
              <w:left w:val="single" w:sz="4" w:space="0" w:color="000000"/>
              <w:bottom w:val="single" w:sz="4" w:space="0" w:color="000000"/>
              <w:right w:val="single" w:sz="4" w:space="0" w:color="000000"/>
            </w:tcBorders>
            <w:noWrap/>
            <w:vAlign w:val="center"/>
          </w:tcPr>
          <w:p w14:paraId="6345EF39" w14:textId="77777777" w:rsidR="00A54A8A" w:rsidRPr="00E67914" w:rsidRDefault="00000000">
            <w:pPr>
              <w:pStyle w:val="04"/>
              <w:rPr>
                <w:rFonts w:cs="Times New Roman"/>
              </w:rPr>
            </w:pPr>
            <w:r w:rsidRPr="00E67914">
              <w:rPr>
                <w:rFonts w:cs="Times New Roman"/>
              </w:rPr>
              <w:t>/</w:t>
            </w:r>
          </w:p>
        </w:tc>
      </w:tr>
    </w:tbl>
    <w:p w14:paraId="06E94728"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4.2-13  </w:t>
      </w:r>
      <w:r w:rsidRPr="00E67914">
        <w:rPr>
          <w:rFonts w:ascii="Times New Roman" w:eastAsia="黑体" w:hAnsi="Times New Roman"/>
          <w:sz w:val="21"/>
          <w:szCs w:val="21"/>
          <w:lang w:eastAsia="zh-CN"/>
        </w:rPr>
        <w:t>本项目场内外土壤环境现状监测及评价表</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mg/kg</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pH</w:t>
      </w:r>
      <w:r w:rsidRPr="00E67914">
        <w:rPr>
          <w:rFonts w:ascii="Times New Roman" w:eastAsia="黑体" w:hAnsi="Times New Roman"/>
          <w:sz w:val="21"/>
          <w:szCs w:val="21"/>
          <w:lang w:eastAsia="zh-CN"/>
        </w:rPr>
        <w:t>无量纲</w:t>
      </w:r>
    </w:p>
    <w:tbl>
      <w:tblPr>
        <w:tblW w:w="5000" w:type="pct"/>
        <w:jc w:val="center"/>
        <w:tblCellMar>
          <w:left w:w="0" w:type="dxa"/>
          <w:right w:w="0" w:type="dxa"/>
        </w:tblCellMar>
        <w:tblLook w:val="04A0" w:firstRow="1" w:lastRow="0" w:firstColumn="1" w:lastColumn="0" w:noHBand="0" w:noVBand="1"/>
      </w:tblPr>
      <w:tblGrid>
        <w:gridCol w:w="528"/>
        <w:gridCol w:w="1680"/>
        <w:gridCol w:w="1726"/>
        <w:gridCol w:w="2188"/>
        <w:gridCol w:w="2178"/>
      </w:tblGrid>
      <w:tr w:rsidR="00E67914" w:rsidRPr="00E67914" w14:paraId="5B84C474" w14:textId="77777777">
        <w:trPr>
          <w:trHeight w:val="454"/>
          <w:tblHeader/>
          <w:jc w:val="center"/>
        </w:trPr>
        <w:tc>
          <w:tcPr>
            <w:tcW w:w="1330" w:type="pct"/>
            <w:gridSpan w:val="2"/>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tcPr>
          <w:p w14:paraId="3E5B8AF2" w14:textId="77777777" w:rsidR="00A54A8A" w:rsidRPr="00E67914" w:rsidRDefault="00000000">
            <w:pPr>
              <w:adjustRightInd w:val="0"/>
              <w:snapToGrid w:val="0"/>
              <w:jc w:val="right"/>
              <w:rPr>
                <w:rFonts w:ascii="Times New Roman" w:eastAsia="黑体" w:hAnsi="Times New Roman"/>
                <w:b/>
                <w:bCs/>
                <w:kern w:val="2"/>
                <w:sz w:val="21"/>
                <w:szCs w:val="21"/>
              </w:rPr>
            </w:pPr>
            <w:r w:rsidRPr="00E67914">
              <w:rPr>
                <w:rFonts w:ascii="Times New Roman" w:eastAsia="黑体" w:hAnsi="Times New Roman"/>
                <w:b/>
                <w:bCs/>
                <w:kern w:val="2"/>
                <w:sz w:val="21"/>
                <w:szCs w:val="21"/>
              </w:rPr>
              <w:t>监测因子</w:t>
            </w:r>
          </w:p>
          <w:p w14:paraId="58EE2F58" w14:textId="77777777" w:rsidR="00A54A8A" w:rsidRPr="00E67914" w:rsidRDefault="00000000">
            <w:pPr>
              <w:adjustRightInd w:val="0"/>
              <w:snapToGrid w:val="0"/>
              <w:ind w:right="550"/>
              <w:rPr>
                <w:rFonts w:ascii="Times New Roman" w:eastAsia="黑体" w:hAnsi="Times New Roman"/>
                <w:b/>
                <w:bCs/>
                <w:kern w:val="2"/>
                <w:sz w:val="21"/>
                <w:szCs w:val="21"/>
              </w:rPr>
            </w:pPr>
            <w:r w:rsidRPr="00E67914">
              <w:rPr>
                <w:rFonts w:ascii="Times New Roman" w:eastAsia="黑体" w:hAnsi="Times New Roman"/>
                <w:b/>
                <w:bCs/>
                <w:kern w:val="2"/>
                <w:sz w:val="21"/>
                <w:szCs w:val="21"/>
              </w:rPr>
              <w:t>监测点</w:t>
            </w:r>
          </w:p>
        </w:tc>
        <w:tc>
          <w:tcPr>
            <w:tcW w:w="1040" w:type="pct"/>
            <w:tcBorders>
              <w:top w:val="single" w:sz="4" w:space="0" w:color="auto"/>
              <w:left w:val="single" w:sz="4" w:space="0" w:color="auto"/>
              <w:right w:val="single" w:sz="4" w:space="0" w:color="auto"/>
            </w:tcBorders>
            <w:shd w:val="clear" w:color="auto" w:fill="auto"/>
            <w:vAlign w:val="center"/>
          </w:tcPr>
          <w:p w14:paraId="449B1D1C" w14:textId="77777777" w:rsidR="00A54A8A" w:rsidRPr="00E67914" w:rsidRDefault="00000000">
            <w:pPr>
              <w:adjustRightInd w:val="0"/>
              <w:snapToGrid w:val="0"/>
              <w:jc w:val="center"/>
              <w:rPr>
                <w:rFonts w:ascii="Times New Roman" w:eastAsia="黑体" w:hAnsi="Times New Roman"/>
                <w:b/>
                <w:bCs/>
                <w:kern w:val="2"/>
                <w:sz w:val="21"/>
                <w:szCs w:val="21"/>
              </w:rPr>
            </w:pPr>
            <w:r w:rsidRPr="00E67914">
              <w:rPr>
                <w:rFonts w:ascii="Times New Roman" w:eastAsia="黑体" w:hAnsi="Times New Roman"/>
                <w:b/>
                <w:bCs/>
                <w:kern w:val="2"/>
                <w:sz w:val="21"/>
                <w:szCs w:val="21"/>
              </w:rPr>
              <w:t>pH</w:t>
            </w:r>
          </w:p>
        </w:tc>
        <w:tc>
          <w:tcPr>
            <w:tcW w:w="1318" w:type="pct"/>
            <w:tcBorders>
              <w:top w:val="single" w:sz="4" w:space="0" w:color="auto"/>
              <w:left w:val="single" w:sz="4" w:space="0" w:color="auto"/>
              <w:right w:val="single" w:sz="4" w:space="0" w:color="auto"/>
            </w:tcBorders>
            <w:vAlign w:val="center"/>
          </w:tcPr>
          <w:p w14:paraId="0DB8825B" w14:textId="77777777" w:rsidR="00A54A8A" w:rsidRPr="00E67914" w:rsidRDefault="00000000">
            <w:pPr>
              <w:adjustRightInd w:val="0"/>
              <w:snapToGrid w:val="0"/>
              <w:jc w:val="center"/>
              <w:rPr>
                <w:rFonts w:ascii="Times New Roman" w:eastAsia="黑体" w:hAnsi="Times New Roman"/>
                <w:b/>
                <w:bCs/>
                <w:kern w:val="2"/>
                <w:sz w:val="21"/>
                <w:szCs w:val="21"/>
              </w:rPr>
            </w:pPr>
            <w:r w:rsidRPr="00E67914">
              <w:rPr>
                <w:rFonts w:ascii="Times New Roman" w:eastAsia="黑体" w:hAnsi="Times New Roman"/>
                <w:b/>
                <w:bCs/>
                <w:kern w:val="2"/>
                <w:sz w:val="21"/>
                <w:szCs w:val="21"/>
              </w:rPr>
              <w:t>石油烃〔</w:t>
            </w:r>
            <w:r w:rsidRPr="00E67914">
              <w:rPr>
                <w:rFonts w:ascii="Times New Roman" w:eastAsia="黑体" w:hAnsi="Times New Roman"/>
                <w:b/>
                <w:bCs/>
                <w:kern w:val="2"/>
                <w:sz w:val="21"/>
                <w:szCs w:val="21"/>
              </w:rPr>
              <w:t>C</w:t>
            </w:r>
            <w:r w:rsidRPr="00E67914">
              <w:rPr>
                <w:rFonts w:ascii="Times New Roman" w:eastAsia="黑体" w:hAnsi="Times New Roman"/>
                <w:b/>
                <w:bCs/>
                <w:kern w:val="2"/>
                <w:sz w:val="21"/>
                <w:szCs w:val="21"/>
                <w:vertAlign w:val="subscript"/>
              </w:rPr>
              <w:t>10</w:t>
            </w:r>
            <w:r w:rsidRPr="00E67914">
              <w:rPr>
                <w:rFonts w:ascii="Times New Roman" w:eastAsia="黑体" w:hAnsi="Times New Roman"/>
                <w:b/>
                <w:bCs/>
                <w:kern w:val="2"/>
                <w:sz w:val="21"/>
                <w:szCs w:val="21"/>
              </w:rPr>
              <w:t>-C</w:t>
            </w:r>
            <w:r w:rsidRPr="00E67914">
              <w:rPr>
                <w:rFonts w:ascii="Times New Roman" w:eastAsia="黑体" w:hAnsi="Times New Roman"/>
                <w:b/>
                <w:bCs/>
                <w:kern w:val="2"/>
                <w:sz w:val="21"/>
                <w:szCs w:val="21"/>
                <w:vertAlign w:val="subscript"/>
              </w:rPr>
              <w:t>40</w:t>
            </w:r>
            <w:r w:rsidRPr="00E67914">
              <w:rPr>
                <w:rFonts w:ascii="Times New Roman" w:eastAsia="黑体" w:hAnsi="Times New Roman"/>
                <w:b/>
                <w:bCs/>
                <w:kern w:val="2"/>
                <w:sz w:val="21"/>
                <w:szCs w:val="21"/>
              </w:rPr>
              <w:t>〕（</w:t>
            </w:r>
            <w:r w:rsidRPr="00E67914">
              <w:rPr>
                <w:rFonts w:ascii="Times New Roman" w:eastAsia="黑体" w:hAnsi="Times New Roman"/>
                <w:b/>
                <w:bCs/>
                <w:kern w:val="2"/>
                <w:sz w:val="21"/>
                <w:szCs w:val="21"/>
              </w:rPr>
              <w:t>mg/kg</w:t>
            </w:r>
            <w:r w:rsidRPr="00E67914">
              <w:rPr>
                <w:rFonts w:ascii="Times New Roman" w:eastAsia="黑体" w:hAnsi="Times New Roman"/>
                <w:b/>
                <w:bCs/>
                <w:kern w:val="2"/>
                <w:sz w:val="21"/>
                <w:szCs w:val="21"/>
              </w:rPr>
              <w:t>）</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7A6DA5F6" w14:textId="77777777" w:rsidR="00A54A8A" w:rsidRPr="00E67914" w:rsidRDefault="00000000">
            <w:pPr>
              <w:adjustRightInd w:val="0"/>
              <w:snapToGrid w:val="0"/>
              <w:jc w:val="center"/>
              <w:rPr>
                <w:rFonts w:ascii="Times New Roman" w:eastAsia="黑体" w:hAnsi="Times New Roman"/>
                <w:b/>
                <w:bCs/>
                <w:kern w:val="2"/>
                <w:sz w:val="21"/>
                <w:szCs w:val="21"/>
              </w:rPr>
            </w:pPr>
            <w:r w:rsidRPr="00E67914">
              <w:rPr>
                <w:rFonts w:ascii="Times New Roman" w:eastAsia="黑体" w:hAnsi="Times New Roman"/>
                <w:b/>
                <w:bCs/>
                <w:kern w:val="2"/>
                <w:sz w:val="21"/>
                <w:szCs w:val="21"/>
              </w:rPr>
              <w:t>全盐量（</w:t>
            </w:r>
            <w:r w:rsidRPr="00E67914">
              <w:rPr>
                <w:rFonts w:ascii="Times New Roman" w:eastAsia="黑体" w:hAnsi="Times New Roman"/>
                <w:b/>
                <w:bCs/>
                <w:kern w:val="2"/>
                <w:sz w:val="21"/>
                <w:szCs w:val="21"/>
              </w:rPr>
              <w:t>g/kg</w:t>
            </w:r>
            <w:r w:rsidRPr="00E67914">
              <w:rPr>
                <w:rFonts w:ascii="Times New Roman" w:eastAsia="黑体" w:hAnsi="Times New Roman"/>
                <w:b/>
                <w:bCs/>
                <w:kern w:val="2"/>
                <w:sz w:val="21"/>
                <w:szCs w:val="21"/>
              </w:rPr>
              <w:t>）</w:t>
            </w:r>
          </w:p>
        </w:tc>
      </w:tr>
      <w:tr w:rsidR="00E67914" w:rsidRPr="00E67914" w14:paraId="458A7FA7" w14:textId="77777777">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0F717A2C"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1</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0F68B045"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3E3F0914" w14:textId="0ED3F9CD"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7.56</w:t>
            </w:r>
          </w:p>
        </w:tc>
        <w:tc>
          <w:tcPr>
            <w:tcW w:w="1318" w:type="pct"/>
            <w:tcBorders>
              <w:top w:val="single" w:sz="4" w:space="0" w:color="auto"/>
              <w:left w:val="single" w:sz="4" w:space="0" w:color="auto"/>
              <w:bottom w:val="single" w:sz="4" w:space="0" w:color="auto"/>
              <w:right w:val="single" w:sz="4" w:space="0" w:color="auto"/>
            </w:tcBorders>
            <w:vAlign w:val="center"/>
          </w:tcPr>
          <w:p w14:paraId="134C1F15" w14:textId="30D235CA"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44</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A5121CC" w14:textId="2744204D"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0.6</w:t>
            </w:r>
          </w:p>
        </w:tc>
      </w:tr>
      <w:tr w:rsidR="00E67914" w:rsidRPr="00E67914" w14:paraId="436B26C7" w14:textId="77777777">
        <w:trPr>
          <w:trHeight w:val="454"/>
          <w:jc w:val="center"/>
        </w:trPr>
        <w:tc>
          <w:tcPr>
            <w:tcW w:w="318" w:type="pct"/>
            <w:vMerge/>
            <w:tcBorders>
              <w:left w:val="single" w:sz="4" w:space="0" w:color="auto"/>
              <w:right w:val="single" w:sz="4" w:space="0" w:color="auto"/>
            </w:tcBorders>
            <w:shd w:val="clear" w:color="auto" w:fill="auto"/>
            <w:noWrap/>
            <w:vAlign w:val="center"/>
          </w:tcPr>
          <w:p w14:paraId="6D4FFCC3" w14:textId="77777777" w:rsidR="00A54A8A" w:rsidRPr="00E67914" w:rsidRDefault="00A54A8A">
            <w:pPr>
              <w:adjustRightInd w:val="0"/>
              <w:snapToGrid w:val="0"/>
              <w:ind w:firstLine="42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0A0AF8A"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150c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F7B0DC9" w14:textId="788EDD52"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7.62</w:t>
            </w:r>
          </w:p>
        </w:tc>
        <w:tc>
          <w:tcPr>
            <w:tcW w:w="1318" w:type="pct"/>
            <w:tcBorders>
              <w:top w:val="single" w:sz="4" w:space="0" w:color="auto"/>
              <w:left w:val="single" w:sz="4" w:space="0" w:color="auto"/>
              <w:bottom w:val="single" w:sz="4" w:space="0" w:color="auto"/>
              <w:right w:val="single" w:sz="4" w:space="0" w:color="auto"/>
            </w:tcBorders>
            <w:vAlign w:val="center"/>
          </w:tcPr>
          <w:p w14:paraId="4ECCAAE4" w14:textId="71AB9AB2"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37</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1CC4C2A0" w14:textId="5581D3A5"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1.6</w:t>
            </w:r>
          </w:p>
        </w:tc>
      </w:tr>
      <w:tr w:rsidR="00E67914" w:rsidRPr="00E67914" w14:paraId="71CD42CD" w14:textId="77777777">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00BB720B" w14:textId="77777777" w:rsidR="00A54A8A" w:rsidRPr="00E67914" w:rsidRDefault="00A54A8A">
            <w:pPr>
              <w:adjustRightInd w:val="0"/>
              <w:snapToGrid w:val="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212C9FE"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300c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5DBDF62" w14:textId="68B56431"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7.62</w:t>
            </w:r>
          </w:p>
        </w:tc>
        <w:tc>
          <w:tcPr>
            <w:tcW w:w="1318" w:type="pct"/>
            <w:tcBorders>
              <w:top w:val="single" w:sz="4" w:space="0" w:color="auto"/>
              <w:left w:val="single" w:sz="4" w:space="0" w:color="auto"/>
              <w:bottom w:val="single" w:sz="4" w:space="0" w:color="auto"/>
              <w:right w:val="single" w:sz="4" w:space="0" w:color="auto"/>
            </w:tcBorders>
            <w:vAlign w:val="center"/>
          </w:tcPr>
          <w:p w14:paraId="2F1563DE" w14:textId="3034B780"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40</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2A512C0" w14:textId="3EC6C37A" w:rsidR="00A54A8A" w:rsidRPr="00E67914" w:rsidRDefault="00806431">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1.8</w:t>
            </w:r>
          </w:p>
        </w:tc>
      </w:tr>
      <w:tr w:rsidR="00E67914" w:rsidRPr="00E67914" w14:paraId="0EAD3A84" w14:textId="77777777">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6A889BF8"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2</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5D46FB5"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1CE3AD7" w14:textId="17B600AD"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7.58</w:t>
            </w:r>
          </w:p>
        </w:tc>
        <w:tc>
          <w:tcPr>
            <w:tcW w:w="1318" w:type="pct"/>
            <w:tcBorders>
              <w:top w:val="single" w:sz="4" w:space="0" w:color="auto"/>
              <w:left w:val="single" w:sz="4" w:space="0" w:color="auto"/>
              <w:bottom w:val="single" w:sz="4" w:space="0" w:color="auto"/>
              <w:right w:val="single" w:sz="4" w:space="0" w:color="auto"/>
            </w:tcBorders>
            <w:vAlign w:val="center"/>
          </w:tcPr>
          <w:p w14:paraId="2FB3F38B" w14:textId="463FC003"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31</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2592E022" w14:textId="6C2D544D"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0.8</w:t>
            </w:r>
          </w:p>
        </w:tc>
      </w:tr>
      <w:tr w:rsidR="00E67914" w:rsidRPr="00E67914" w14:paraId="3F628E18" w14:textId="77777777">
        <w:trPr>
          <w:trHeight w:val="454"/>
          <w:jc w:val="center"/>
        </w:trPr>
        <w:tc>
          <w:tcPr>
            <w:tcW w:w="318" w:type="pct"/>
            <w:vMerge/>
            <w:tcBorders>
              <w:left w:val="single" w:sz="4" w:space="0" w:color="auto"/>
              <w:right w:val="single" w:sz="4" w:space="0" w:color="auto"/>
            </w:tcBorders>
            <w:shd w:val="clear" w:color="auto" w:fill="auto"/>
            <w:noWrap/>
            <w:vAlign w:val="center"/>
          </w:tcPr>
          <w:p w14:paraId="26AA9C57" w14:textId="77777777" w:rsidR="00A54A8A" w:rsidRPr="00E67914" w:rsidRDefault="00A54A8A">
            <w:pPr>
              <w:adjustRightInd w:val="0"/>
              <w:snapToGrid w:val="0"/>
              <w:ind w:firstLine="42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A3C8CE5"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150c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FF61E7B" w14:textId="02331F16"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7.64</w:t>
            </w:r>
          </w:p>
        </w:tc>
        <w:tc>
          <w:tcPr>
            <w:tcW w:w="1318" w:type="pct"/>
            <w:tcBorders>
              <w:top w:val="single" w:sz="4" w:space="0" w:color="auto"/>
              <w:left w:val="single" w:sz="4" w:space="0" w:color="auto"/>
              <w:bottom w:val="single" w:sz="4" w:space="0" w:color="auto"/>
              <w:right w:val="single" w:sz="4" w:space="0" w:color="auto"/>
            </w:tcBorders>
            <w:vAlign w:val="center"/>
          </w:tcPr>
          <w:p w14:paraId="1FFC471A" w14:textId="5FB0BF6E"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29</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2C407202" w14:textId="61752FCB"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1.3</w:t>
            </w:r>
          </w:p>
        </w:tc>
      </w:tr>
      <w:tr w:rsidR="00E67914" w:rsidRPr="00E67914" w14:paraId="3B91314F" w14:textId="77777777">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42F2009E" w14:textId="77777777" w:rsidR="00A54A8A" w:rsidRPr="00E67914" w:rsidRDefault="00A54A8A">
            <w:pPr>
              <w:adjustRightInd w:val="0"/>
              <w:snapToGrid w:val="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590E7554"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300c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AB7FFBE" w14:textId="1FA475F0"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7.59</w:t>
            </w:r>
          </w:p>
        </w:tc>
        <w:tc>
          <w:tcPr>
            <w:tcW w:w="1318" w:type="pct"/>
            <w:tcBorders>
              <w:top w:val="single" w:sz="4" w:space="0" w:color="auto"/>
              <w:left w:val="single" w:sz="4" w:space="0" w:color="auto"/>
              <w:bottom w:val="single" w:sz="4" w:space="0" w:color="auto"/>
              <w:right w:val="single" w:sz="4" w:space="0" w:color="auto"/>
            </w:tcBorders>
            <w:vAlign w:val="center"/>
          </w:tcPr>
          <w:p w14:paraId="1FDAE8E7" w14:textId="70E0EF22"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39</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2C25A755" w14:textId="5B6CCF3A"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w:t>
            </w:r>
          </w:p>
        </w:tc>
      </w:tr>
      <w:tr w:rsidR="00E67914" w:rsidRPr="00E67914" w14:paraId="7C3F9163" w14:textId="77777777">
        <w:trPr>
          <w:trHeight w:val="454"/>
          <w:jc w:val="center"/>
        </w:trPr>
        <w:tc>
          <w:tcPr>
            <w:tcW w:w="318" w:type="pct"/>
            <w:vMerge w:val="restart"/>
            <w:tcBorders>
              <w:left w:val="single" w:sz="4" w:space="0" w:color="auto"/>
              <w:right w:val="single" w:sz="4" w:space="0" w:color="auto"/>
            </w:tcBorders>
            <w:shd w:val="clear" w:color="auto" w:fill="auto"/>
            <w:noWrap/>
            <w:vAlign w:val="center"/>
          </w:tcPr>
          <w:p w14:paraId="4C1D7DD6"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kern w:val="2"/>
                <w:sz w:val="21"/>
                <w:szCs w:val="21"/>
              </w:rPr>
              <w:t>3</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2271684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3BAA7C9" w14:textId="2348B495"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7.58</w:t>
            </w:r>
          </w:p>
        </w:tc>
        <w:tc>
          <w:tcPr>
            <w:tcW w:w="1318" w:type="pct"/>
            <w:tcBorders>
              <w:top w:val="single" w:sz="4" w:space="0" w:color="auto"/>
              <w:left w:val="single" w:sz="4" w:space="0" w:color="auto"/>
              <w:bottom w:val="single" w:sz="4" w:space="0" w:color="auto"/>
              <w:right w:val="single" w:sz="4" w:space="0" w:color="auto"/>
            </w:tcBorders>
            <w:vAlign w:val="center"/>
          </w:tcPr>
          <w:p w14:paraId="5AC3C01B" w14:textId="241DB6AC"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31</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22ADAFD7" w14:textId="13DAFBD2"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1.9</w:t>
            </w:r>
          </w:p>
        </w:tc>
      </w:tr>
      <w:tr w:rsidR="00E67914" w:rsidRPr="00E67914" w14:paraId="184492CF" w14:textId="77777777">
        <w:trPr>
          <w:trHeight w:val="454"/>
          <w:jc w:val="center"/>
        </w:trPr>
        <w:tc>
          <w:tcPr>
            <w:tcW w:w="318" w:type="pct"/>
            <w:vMerge/>
            <w:tcBorders>
              <w:left w:val="single" w:sz="4" w:space="0" w:color="auto"/>
              <w:right w:val="single" w:sz="4" w:space="0" w:color="auto"/>
            </w:tcBorders>
            <w:shd w:val="clear" w:color="auto" w:fill="auto"/>
            <w:noWrap/>
            <w:vAlign w:val="center"/>
          </w:tcPr>
          <w:p w14:paraId="2DB96B57" w14:textId="77777777" w:rsidR="00A54A8A" w:rsidRPr="00E67914" w:rsidRDefault="00A54A8A">
            <w:pPr>
              <w:adjustRightInd w:val="0"/>
              <w:snapToGrid w:val="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3D57C37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AF39F46" w14:textId="420C6C0B"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7.63</w:t>
            </w:r>
          </w:p>
        </w:tc>
        <w:tc>
          <w:tcPr>
            <w:tcW w:w="1318" w:type="pct"/>
            <w:tcBorders>
              <w:top w:val="single" w:sz="4" w:space="0" w:color="auto"/>
              <w:left w:val="single" w:sz="4" w:space="0" w:color="auto"/>
              <w:bottom w:val="single" w:sz="4" w:space="0" w:color="auto"/>
              <w:right w:val="single" w:sz="4" w:space="0" w:color="auto"/>
            </w:tcBorders>
            <w:vAlign w:val="center"/>
          </w:tcPr>
          <w:p w14:paraId="1F322CDA" w14:textId="473A5758"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29</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62EF7ABD" w14:textId="40E6B227"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w:t>
            </w:r>
          </w:p>
        </w:tc>
      </w:tr>
      <w:tr w:rsidR="00E67914" w:rsidRPr="00E67914" w14:paraId="34C2CC9B" w14:textId="77777777">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19C0C321" w14:textId="77777777" w:rsidR="00A54A8A" w:rsidRPr="00E67914" w:rsidRDefault="00A54A8A">
            <w:pPr>
              <w:adjustRightInd w:val="0"/>
              <w:snapToGrid w:val="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30A77B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300c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3A09B0E" w14:textId="1B712897"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7.66</w:t>
            </w:r>
          </w:p>
        </w:tc>
        <w:tc>
          <w:tcPr>
            <w:tcW w:w="1318" w:type="pct"/>
            <w:tcBorders>
              <w:top w:val="single" w:sz="4" w:space="0" w:color="auto"/>
              <w:left w:val="single" w:sz="4" w:space="0" w:color="auto"/>
              <w:bottom w:val="single" w:sz="4" w:space="0" w:color="auto"/>
              <w:right w:val="single" w:sz="4" w:space="0" w:color="auto"/>
            </w:tcBorders>
            <w:vAlign w:val="center"/>
          </w:tcPr>
          <w:p w14:paraId="13691233" w14:textId="384E32E4"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13</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0EBE526" w14:textId="778CD25B" w:rsidR="00A54A8A" w:rsidRPr="00E67914" w:rsidRDefault="00997F8C">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2.5</w:t>
            </w:r>
          </w:p>
        </w:tc>
      </w:tr>
      <w:tr w:rsidR="00E67914" w:rsidRPr="00E67914" w14:paraId="721A6555" w14:textId="77777777">
        <w:trPr>
          <w:trHeight w:val="454"/>
          <w:jc w:val="center"/>
        </w:trPr>
        <w:tc>
          <w:tcPr>
            <w:tcW w:w="318" w:type="pct"/>
            <w:tcBorders>
              <w:left w:val="single" w:sz="4" w:space="0" w:color="auto"/>
              <w:bottom w:val="single" w:sz="4" w:space="0" w:color="auto"/>
              <w:right w:val="single" w:sz="4" w:space="0" w:color="auto"/>
            </w:tcBorders>
            <w:shd w:val="clear" w:color="auto" w:fill="auto"/>
            <w:noWrap/>
            <w:vAlign w:val="center"/>
          </w:tcPr>
          <w:p w14:paraId="30301C11" w14:textId="77777777" w:rsidR="00A54A8A" w:rsidRPr="00E67914" w:rsidRDefault="00000000">
            <w:pPr>
              <w:adjustRightInd w:val="0"/>
              <w:snapToGrid w:val="0"/>
              <w:jc w:val="center"/>
              <w:rPr>
                <w:rFonts w:ascii="Times New Roman" w:hAnsi="Times New Roman"/>
                <w:kern w:val="2"/>
                <w:sz w:val="21"/>
                <w:szCs w:val="21"/>
              </w:rPr>
            </w:pPr>
            <w:r w:rsidRPr="00E67914">
              <w:rPr>
                <w:rFonts w:ascii="Times New Roman" w:hAnsi="Times New Roman"/>
                <w:sz w:val="21"/>
                <w:szCs w:val="21"/>
              </w:rPr>
              <w:t>6</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0B1962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77D98E02" w14:textId="1173869A" w:rsidR="00A54A8A" w:rsidRPr="00E67914" w:rsidRDefault="008403FB">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7.58</w:t>
            </w:r>
          </w:p>
        </w:tc>
        <w:tc>
          <w:tcPr>
            <w:tcW w:w="1318" w:type="pct"/>
            <w:tcBorders>
              <w:top w:val="single" w:sz="4" w:space="0" w:color="auto"/>
              <w:left w:val="single" w:sz="4" w:space="0" w:color="auto"/>
              <w:bottom w:val="single" w:sz="4" w:space="0" w:color="auto"/>
              <w:right w:val="single" w:sz="4" w:space="0" w:color="auto"/>
            </w:tcBorders>
            <w:vAlign w:val="center"/>
          </w:tcPr>
          <w:p w14:paraId="7029E600" w14:textId="3FC110F7" w:rsidR="00A54A8A" w:rsidRPr="00E67914" w:rsidRDefault="008403FB">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55</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126970D5" w14:textId="67EFD548" w:rsidR="00A54A8A" w:rsidRPr="00E67914" w:rsidRDefault="008403FB">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2.2</w:t>
            </w:r>
          </w:p>
        </w:tc>
      </w:tr>
      <w:tr w:rsidR="00E67914" w:rsidRPr="00E67914" w14:paraId="37D281B3" w14:textId="77777777" w:rsidTr="007467F9">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1AE352DD" w14:textId="3678B700"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7</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DEEB8C3"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A32C776" w14:textId="131BF74C" w:rsidR="00806431" w:rsidRPr="00E67914" w:rsidRDefault="00997F8C"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7.82</w:t>
            </w:r>
          </w:p>
        </w:tc>
        <w:tc>
          <w:tcPr>
            <w:tcW w:w="1318" w:type="pct"/>
            <w:tcBorders>
              <w:top w:val="single" w:sz="4" w:space="0" w:color="auto"/>
              <w:left w:val="single" w:sz="4" w:space="0" w:color="auto"/>
              <w:bottom w:val="single" w:sz="4" w:space="0" w:color="auto"/>
              <w:right w:val="single" w:sz="4" w:space="0" w:color="auto"/>
            </w:tcBorders>
            <w:vAlign w:val="center"/>
          </w:tcPr>
          <w:p w14:paraId="391AE3AB" w14:textId="4303D455"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30</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579CDCE1" w14:textId="3170C842"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1.4</w:t>
            </w:r>
          </w:p>
        </w:tc>
      </w:tr>
      <w:tr w:rsidR="00E67914" w:rsidRPr="00E67914" w14:paraId="44C2D432" w14:textId="77777777" w:rsidTr="007467F9">
        <w:trPr>
          <w:trHeight w:val="454"/>
          <w:jc w:val="center"/>
        </w:trPr>
        <w:tc>
          <w:tcPr>
            <w:tcW w:w="318" w:type="pct"/>
            <w:vMerge/>
            <w:tcBorders>
              <w:left w:val="single" w:sz="4" w:space="0" w:color="auto"/>
              <w:right w:val="single" w:sz="4" w:space="0" w:color="auto"/>
            </w:tcBorders>
            <w:shd w:val="clear" w:color="auto" w:fill="auto"/>
            <w:noWrap/>
            <w:vAlign w:val="center"/>
          </w:tcPr>
          <w:p w14:paraId="21C68154" w14:textId="77777777" w:rsidR="00806431" w:rsidRPr="00E67914" w:rsidRDefault="00806431" w:rsidP="007467F9">
            <w:pPr>
              <w:adjustRightInd w:val="0"/>
              <w:snapToGrid w:val="0"/>
              <w:ind w:firstLine="42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575C2A10"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150c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5C68AA6" w14:textId="1617FC87"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7.58</w:t>
            </w:r>
          </w:p>
        </w:tc>
        <w:tc>
          <w:tcPr>
            <w:tcW w:w="1318" w:type="pct"/>
            <w:tcBorders>
              <w:top w:val="single" w:sz="4" w:space="0" w:color="auto"/>
              <w:left w:val="single" w:sz="4" w:space="0" w:color="auto"/>
              <w:bottom w:val="single" w:sz="4" w:space="0" w:color="auto"/>
              <w:right w:val="single" w:sz="4" w:space="0" w:color="auto"/>
            </w:tcBorders>
            <w:vAlign w:val="center"/>
          </w:tcPr>
          <w:p w14:paraId="2CC1A5D2" w14:textId="5B350DEC"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31</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1C0346E1" w14:textId="3EDB06C5"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2.1</w:t>
            </w:r>
          </w:p>
        </w:tc>
      </w:tr>
      <w:tr w:rsidR="00E67914" w:rsidRPr="00E67914" w14:paraId="6F1DC151" w14:textId="77777777" w:rsidTr="007467F9">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01534D52" w14:textId="77777777" w:rsidR="00806431" w:rsidRPr="00E67914" w:rsidRDefault="00806431" w:rsidP="007467F9">
            <w:pPr>
              <w:adjustRightInd w:val="0"/>
              <w:snapToGrid w:val="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3C9FD61"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300c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270A7418" w14:textId="6BFE444A"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7.63</w:t>
            </w:r>
          </w:p>
        </w:tc>
        <w:tc>
          <w:tcPr>
            <w:tcW w:w="1318" w:type="pct"/>
            <w:tcBorders>
              <w:top w:val="single" w:sz="4" w:space="0" w:color="auto"/>
              <w:left w:val="single" w:sz="4" w:space="0" w:color="auto"/>
              <w:bottom w:val="single" w:sz="4" w:space="0" w:color="auto"/>
              <w:right w:val="single" w:sz="4" w:space="0" w:color="auto"/>
            </w:tcBorders>
            <w:vAlign w:val="center"/>
          </w:tcPr>
          <w:p w14:paraId="5714737E" w14:textId="208C4C7F"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30</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69F7A25" w14:textId="7E7A9CEA"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2.9</w:t>
            </w:r>
          </w:p>
        </w:tc>
      </w:tr>
      <w:tr w:rsidR="00E67914" w:rsidRPr="00E67914" w14:paraId="2FE902FA" w14:textId="77777777" w:rsidTr="007467F9">
        <w:trPr>
          <w:trHeight w:val="454"/>
          <w:jc w:val="center"/>
        </w:trPr>
        <w:tc>
          <w:tcPr>
            <w:tcW w:w="318" w:type="pct"/>
            <w:vMerge w:val="restart"/>
            <w:tcBorders>
              <w:top w:val="single" w:sz="4" w:space="0" w:color="auto"/>
              <w:left w:val="single" w:sz="4" w:space="0" w:color="auto"/>
              <w:right w:val="single" w:sz="4" w:space="0" w:color="auto"/>
            </w:tcBorders>
            <w:shd w:val="clear" w:color="auto" w:fill="auto"/>
            <w:noWrap/>
            <w:vAlign w:val="center"/>
          </w:tcPr>
          <w:p w14:paraId="638E457F" w14:textId="44AE453E"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8</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640D09C1"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633C0B2D" w14:textId="47935ACA" w:rsidR="00806431" w:rsidRPr="00E67914" w:rsidRDefault="00997F8C"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7.67</w:t>
            </w:r>
          </w:p>
        </w:tc>
        <w:tc>
          <w:tcPr>
            <w:tcW w:w="1318" w:type="pct"/>
            <w:tcBorders>
              <w:top w:val="single" w:sz="4" w:space="0" w:color="auto"/>
              <w:left w:val="single" w:sz="4" w:space="0" w:color="auto"/>
              <w:bottom w:val="single" w:sz="4" w:space="0" w:color="auto"/>
              <w:right w:val="single" w:sz="4" w:space="0" w:color="auto"/>
            </w:tcBorders>
            <w:vAlign w:val="center"/>
          </w:tcPr>
          <w:p w14:paraId="1185A3ED" w14:textId="5608AC5C"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25</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EEE8820" w14:textId="6D3CDDBA"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0.9</w:t>
            </w:r>
          </w:p>
        </w:tc>
      </w:tr>
      <w:tr w:rsidR="00E67914" w:rsidRPr="00E67914" w14:paraId="37FFF365" w14:textId="77777777" w:rsidTr="007467F9">
        <w:trPr>
          <w:trHeight w:val="454"/>
          <w:jc w:val="center"/>
        </w:trPr>
        <w:tc>
          <w:tcPr>
            <w:tcW w:w="318" w:type="pct"/>
            <w:vMerge/>
            <w:tcBorders>
              <w:left w:val="single" w:sz="4" w:space="0" w:color="auto"/>
              <w:right w:val="single" w:sz="4" w:space="0" w:color="auto"/>
            </w:tcBorders>
            <w:shd w:val="clear" w:color="auto" w:fill="auto"/>
            <w:noWrap/>
            <w:vAlign w:val="center"/>
          </w:tcPr>
          <w:p w14:paraId="1923F203" w14:textId="77777777" w:rsidR="00806431" w:rsidRPr="00E67914" w:rsidRDefault="00806431" w:rsidP="007467F9">
            <w:pPr>
              <w:adjustRightInd w:val="0"/>
              <w:snapToGrid w:val="0"/>
              <w:ind w:firstLine="42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1308119E"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150c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37989A8A" w14:textId="1CF83CD6"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7.73</w:t>
            </w:r>
          </w:p>
        </w:tc>
        <w:tc>
          <w:tcPr>
            <w:tcW w:w="1318" w:type="pct"/>
            <w:tcBorders>
              <w:top w:val="single" w:sz="4" w:space="0" w:color="auto"/>
              <w:left w:val="single" w:sz="4" w:space="0" w:color="auto"/>
              <w:bottom w:val="single" w:sz="4" w:space="0" w:color="auto"/>
              <w:right w:val="single" w:sz="4" w:space="0" w:color="auto"/>
            </w:tcBorders>
            <w:vAlign w:val="center"/>
          </w:tcPr>
          <w:p w14:paraId="746D6630" w14:textId="317EAAF8"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27</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23F63946" w14:textId="771B0DF2"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1.3</w:t>
            </w:r>
          </w:p>
        </w:tc>
      </w:tr>
      <w:tr w:rsidR="00E67914" w:rsidRPr="00E67914" w14:paraId="6E0867E8" w14:textId="77777777" w:rsidTr="007467F9">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71292FAC" w14:textId="77777777" w:rsidR="00806431" w:rsidRPr="00E67914" w:rsidRDefault="00806431" w:rsidP="007467F9">
            <w:pPr>
              <w:adjustRightInd w:val="0"/>
              <w:snapToGrid w:val="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5416CC59"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300c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9AA5DB5" w14:textId="501AD602"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7.70</w:t>
            </w:r>
          </w:p>
        </w:tc>
        <w:tc>
          <w:tcPr>
            <w:tcW w:w="1318" w:type="pct"/>
            <w:tcBorders>
              <w:top w:val="single" w:sz="4" w:space="0" w:color="auto"/>
              <w:left w:val="single" w:sz="4" w:space="0" w:color="auto"/>
              <w:bottom w:val="single" w:sz="4" w:space="0" w:color="auto"/>
              <w:right w:val="single" w:sz="4" w:space="0" w:color="auto"/>
            </w:tcBorders>
            <w:vAlign w:val="center"/>
          </w:tcPr>
          <w:p w14:paraId="67D9A764" w14:textId="1AF4BF57"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33</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23F7A1D7" w14:textId="21BC3106"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1.5</w:t>
            </w:r>
          </w:p>
        </w:tc>
      </w:tr>
      <w:tr w:rsidR="00E67914" w:rsidRPr="00E67914" w14:paraId="03ED64C7" w14:textId="77777777" w:rsidTr="007467F9">
        <w:trPr>
          <w:trHeight w:val="454"/>
          <w:jc w:val="center"/>
        </w:trPr>
        <w:tc>
          <w:tcPr>
            <w:tcW w:w="318" w:type="pct"/>
            <w:vMerge w:val="restart"/>
            <w:tcBorders>
              <w:left w:val="single" w:sz="4" w:space="0" w:color="auto"/>
              <w:right w:val="single" w:sz="4" w:space="0" w:color="auto"/>
            </w:tcBorders>
            <w:shd w:val="clear" w:color="auto" w:fill="auto"/>
            <w:noWrap/>
            <w:vAlign w:val="center"/>
          </w:tcPr>
          <w:p w14:paraId="53870EF7" w14:textId="4BAD892E"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kern w:val="2"/>
                <w:sz w:val="21"/>
                <w:szCs w:val="21"/>
              </w:rPr>
              <w:t>9</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F55F1EB" w14:textId="77777777" w:rsidR="00806431" w:rsidRPr="00E67914" w:rsidRDefault="00806431" w:rsidP="007467F9">
            <w:pPr>
              <w:adjustRightInd w:val="0"/>
              <w:snapToGrid w:val="0"/>
              <w:jc w:val="center"/>
              <w:rPr>
                <w:rFonts w:ascii="Times New Roman" w:hAnsi="Times New Roman"/>
                <w:sz w:val="21"/>
                <w:szCs w:val="21"/>
              </w:rPr>
            </w:pPr>
            <w:r w:rsidRPr="00E67914">
              <w:rPr>
                <w:rFonts w:ascii="Times New Roman" w:hAnsi="Times New Roman"/>
                <w:sz w:val="21"/>
                <w:szCs w:val="21"/>
              </w:rPr>
              <w:t>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F2EBC8F" w14:textId="3ED0F1AD"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7.93</w:t>
            </w:r>
          </w:p>
        </w:tc>
        <w:tc>
          <w:tcPr>
            <w:tcW w:w="1318" w:type="pct"/>
            <w:tcBorders>
              <w:top w:val="single" w:sz="4" w:space="0" w:color="auto"/>
              <w:left w:val="single" w:sz="4" w:space="0" w:color="auto"/>
              <w:bottom w:val="single" w:sz="4" w:space="0" w:color="auto"/>
              <w:right w:val="single" w:sz="4" w:space="0" w:color="auto"/>
            </w:tcBorders>
            <w:vAlign w:val="center"/>
          </w:tcPr>
          <w:p w14:paraId="5F047AE9" w14:textId="77B95383"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47</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49EC28FE" w14:textId="7DA58FBF"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1.3</w:t>
            </w:r>
          </w:p>
        </w:tc>
      </w:tr>
      <w:tr w:rsidR="00E67914" w:rsidRPr="00E67914" w14:paraId="4B5E2195" w14:textId="77777777" w:rsidTr="007467F9">
        <w:trPr>
          <w:trHeight w:val="454"/>
          <w:jc w:val="center"/>
        </w:trPr>
        <w:tc>
          <w:tcPr>
            <w:tcW w:w="318" w:type="pct"/>
            <w:vMerge/>
            <w:tcBorders>
              <w:left w:val="single" w:sz="4" w:space="0" w:color="auto"/>
              <w:right w:val="single" w:sz="4" w:space="0" w:color="auto"/>
            </w:tcBorders>
            <w:shd w:val="clear" w:color="auto" w:fill="auto"/>
            <w:noWrap/>
            <w:vAlign w:val="center"/>
          </w:tcPr>
          <w:p w14:paraId="453FEB3A" w14:textId="77777777" w:rsidR="00806431" w:rsidRPr="00E67914" w:rsidRDefault="00806431" w:rsidP="007467F9">
            <w:pPr>
              <w:adjustRightInd w:val="0"/>
              <w:snapToGrid w:val="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402FEE1B" w14:textId="77777777" w:rsidR="00806431" w:rsidRPr="00E67914" w:rsidRDefault="00806431" w:rsidP="007467F9">
            <w:pPr>
              <w:adjustRightInd w:val="0"/>
              <w:snapToGrid w:val="0"/>
              <w:jc w:val="center"/>
              <w:rPr>
                <w:rFonts w:ascii="Times New Roman" w:hAnsi="Times New Roman"/>
                <w:sz w:val="21"/>
                <w:szCs w:val="21"/>
              </w:rPr>
            </w:pPr>
            <w:r w:rsidRPr="00E67914">
              <w:rPr>
                <w:rFonts w:ascii="Times New Roman" w:hAnsi="Times New Roman"/>
                <w:sz w:val="21"/>
                <w:szCs w:val="21"/>
              </w:rPr>
              <w:t>150c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9CE5A14" w14:textId="4CBAC86F"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7.67</w:t>
            </w:r>
          </w:p>
        </w:tc>
        <w:tc>
          <w:tcPr>
            <w:tcW w:w="1318" w:type="pct"/>
            <w:tcBorders>
              <w:top w:val="single" w:sz="4" w:space="0" w:color="auto"/>
              <w:left w:val="single" w:sz="4" w:space="0" w:color="auto"/>
              <w:bottom w:val="single" w:sz="4" w:space="0" w:color="auto"/>
              <w:right w:val="single" w:sz="4" w:space="0" w:color="auto"/>
            </w:tcBorders>
            <w:vAlign w:val="center"/>
          </w:tcPr>
          <w:p w14:paraId="4C6263B1" w14:textId="0A22CE9F"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33</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75976081" w14:textId="5CE75B15"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1.4</w:t>
            </w:r>
          </w:p>
        </w:tc>
      </w:tr>
      <w:tr w:rsidR="00E67914" w:rsidRPr="00E67914" w14:paraId="6D2B2BF2" w14:textId="77777777" w:rsidTr="007467F9">
        <w:trPr>
          <w:trHeight w:val="454"/>
          <w:jc w:val="center"/>
        </w:trPr>
        <w:tc>
          <w:tcPr>
            <w:tcW w:w="318" w:type="pct"/>
            <w:vMerge/>
            <w:tcBorders>
              <w:left w:val="single" w:sz="4" w:space="0" w:color="auto"/>
              <w:bottom w:val="single" w:sz="4" w:space="0" w:color="auto"/>
              <w:right w:val="single" w:sz="4" w:space="0" w:color="auto"/>
            </w:tcBorders>
            <w:shd w:val="clear" w:color="auto" w:fill="auto"/>
            <w:noWrap/>
            <w:vAlign w:val="center"/>
          </w:tcPr>
          <w:p w14:paraId="753B408B" w14:textId="77777777" w:rsidR="00806431" w:rsidRPr="00E67914" w:rsidRDefault="00806431" w:rsidP="007467F9">
            <w:pPr>
              <w:adjustRightInd w:val="0"/>
              <w:snapToGrid w:val="0"/>
              <w:jc w:val="center"/>
              <w:rPr>
                <w:rFonts w:ascii="Times New Roman" w:hAnsi="Times New Roman"/>
                <w:kern w:val="2"/>
                <w:sz w:val="21"/>
                <w:szCs w:val="21"/>
              </w:rPr>
            </w:pP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D281884" w14:textId="77777777" w:rsidR="00806431" w:rsidRPr="00E67914" w:rsidRDefault="00806431" w:rsidP="007467F9">
            <w:pPr>
              <w:adjustRightInd w:val="0"/>
              <w:snapToGrid w:val="0"/>
              <w:jc w:val="center"/>
              <w:rPr>
                <w:rFonts w:ascii="Times New Roman" w:hAnsi="Times New Roman"/>
                <w:sz w:val="21"/>
                <w:szCs w:val="21"/>
              </w:rPr>
            </w:pPr>
            <w:r w:rsidRPr="00E67914">
              <w:rPr>
                <w:rFonts w:ascii="Times New Roman" w:hAnsi="Times New Roman"/>
                <w:sz w:val="21"/>
                <w:szCs w:val="21"/>
              </w:rPr>
              <w:t>300c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06418242" w14:textId="0D86013C"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7.85</w:t>
            </w:r>
          </w:p>
        </w:tc>
        <w:tc>
          <w:tcPr>
            <w:tcW w:w="1318" w:type="pct"/>
            <w:tcBorders>
              <w:top w:val="single" w:sz="4" w:space="0" w:color="auto"/>
              <w:left w:val="single" w:sz="4" w:space="0" w:color="auto"/>
              <w:bottom w:val="single" w:sz="4" w:space="0" w:color="auto"/>
              <w:right w:val="single" w:sz="4" w:space="0" w:color="auto"/>
            </w:tcBorders>
            <w:vAlign w:val="center"/>
          </w:tcPr>
          <w:p w14:paraId="1A2ECCA9" w14:textId="3EB488FA"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97</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106E2918" w14:textId="75F131F7" w:rsidR="00806431" w:rsidRPr="00E67914" w:rsidRDefault="008403FB"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2.0</w:t>
            </w:r>
          </w:p>
        </w:tc>
      </w:tr>
      <w:tr w:rsidR="00E67914" w:rsidRPr="00E67914" w14:paraId="08DDBF1A" w14:textId="77777777" w:rsidTr="007467F9">
        <w:trPr>
          <w:trHeight w:val="454"/>
          <w:jc w:val="center"/>
        </w:trPr>
        <w:tc>
          <w:tcPr>
            <w:tcW w:w="318" w:type="pct"/>
            <w:tcBorders>
              <w:left w:val="single" w:sz="4" w:space="0" w:color="auto"/>
              <w:bottom w:val="single" w:sz="4" w:space="0" w:color="auto"/>
              <w:right w:val="single" w:sz="4" w:space="0" w:color="auto"/>
            </w:tcBorders>
            <w:shd w:val="clear" w:color="auto" w:fill="auto"/>
            <w:noWrap/>
            <w:vAlign w:val="center"/>
          </w:tcPr>
          <w:p w14:paraId="2C41E5E4" w14:textId="120C5F38"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sz w:val="21"/>
                <w:szCs w:val="21"/>
              </w:rPr>
              <w:t>11</w:t>
            </w:r>
          </w:p>
        </w:tc>
        <w:tc>
          <w:tcPr>
            <w:tcW w:w="1012" w:type="pct"/>
            <w:tcBorders>
              <w:top w:val="single" w:sz="4" w:space="0" w:color="auto"/>
              <w:left w:val="single" w:sz="4" w:space="0" w:color="auto"/>
              <w:bottom w:val="single" w:sz="4" w:space="0" w:color="auto"/>
              <w:right w:val="single" w:sz="4" w:space="0" w:color="auto"/>
            </w:tcBorders>
            <w:shd w:val="clear" w:color="auto" w:fill="auto"/>
            <w:vAlign w:val="center"/>
          </w:tcPr>
          <w:p w14:paraId="771D22C8" w14:textId="77777777" w:rsidR="00806431" w:rsidRPr="00E67914" w:rsidRDefault="00806431" w:rsidP="007467F9">
            <w:pPr>
              <w:adjustRightInd w:val="0"/>
              <w:snapToGrid w:val="0"/>
              <w:jc w:val="center"/>
              <w:rPr>
                <w:rFonts w:ascii="Times New Roman" w:hAnsi="Times New Roman"/>
                <w:sz w:val="21"/>
                <w:szCs w:val="21"/>
              </w:rPr>
            </w:pPr>
            <w:r w:rsidRPr="00E67914">
              <w:rPr>
                <w:rFonts w:ascii="Times New Roman" w:hAnsi="Times New Roman"/>
                <w:sz w:val="21"/>
                <w:szCs w:val="21"/>
              </w:rPr>
              <w:t>30c</w:t>
            </w:r>
            <w:r w:rsidRPr="00E67914">
              <w:rPr>
                <w:rFonts w:ascii="Times New Roman" w:hAnsi="Times New Roman"/>
                <w:kern w:val="2"/>
                <w:sz w:val="21"/>
                <w:szCs w:val="21"/>
              </w:rPr>
              <w:t>m</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33CC5362" w14:textId="47044E46" w:rsidR="00806431" w:rsidRPr="00E67914" w:rsidRDefault="00997F8C"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7.72</w:t>
            </w:r>
          </w:p>
        </w:tc>
        <w:tc>
          <w:tcPr>
            <w:tcW w:w="1318" w:type="pct"/>
            <w:tcBorders>
              <w:top w:val="single" w:sz="4" w:space="0" w:color="auto"/>
              <w:left w:val="single" w:sz="4" w:space="0" w:color="auto"/>
              <w:bottom w:val="single" w:sz="4" w:space="0" w:color="auto"/>
              <w:right w:val="single" w:sz="4" w:space="0" w:color="auto"/>
            </w:tcBorders>
            <w:vAlign w:val="center"/>
          </w:tcPr>
          <w:p w14:paraId="40A7B2D7" w14:textId="0C6756C0" w:rsidR="00806431" w:rsidRPr="00E67914" w:rsidRDefault="00997F8C"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63</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7C84AC95" w14:textId="454B0978" w:rsidR="00806431" w:rsidRPr="00E67914" w:rsidRDefault="00997F8C" w:rsidP="007467F9">
            <w:pPr>
              <w:adjustRightInd w:val="0"/>
              <w:snapToGrid w:val="0"/>
              <w:jc w:val="center"/>
              <w:rPr>
                <w:rFonts w:ascii="Times New Roman" w:hAnsi="Times New Roman"/>
                <w:kern w:val="2"/>
                <w:sz w:val="21"/>
                <w:szCs w:val="21"/>
                <w:lang w:eastAsia="zh-CN"/>
              </w:rPr>
            </w:pPr>
            <w:r w:rsidRPr="00E67914">
              <w:rPr>
                <w:rFonts w:ascii="Times New Roman" w:hAnsi="Times New Roman"/>
                <w:kern w:val="2"/>
                <w:sz w:val="21"/>
                <w:szCs w:val="21"/>
                <w:lang w:eastAsia="zh-CN"/>
              </w:rPr>
              <w:t>1.0</w:t>
            </w:r>
          </w:p>
        </w:tc>
      </w:tr>
      <w:tr w:rsidR="00E67914" w:rsidRPr="00E67914" w14:paraId="213AFABC" w14:textId="77777777" w:rsidTr="007467F9">
        <w:trPr>
          <w:trHeight w:val="454"/>
          <w:jc w:val="center"/>
        </w:trPr>
        <w:tc>
          <w:tcPr>
            <w:tcW w:w="133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F8FC5F"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kern w:val="2"/>
                <w:sz w:val="21"/>
                <w:szCs w:val="21"/>
              </w:rPr>
              <w:t>标准值</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14:paraId="13F69DA2"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kern w:val="2"/>
                <w:sz w:val="21"/>
                <w:szCs w:val="21"/>
              </w:rPr>
              <w:t>/</w:t>
            </w:r>
          </w:p>
        </w:tc>
        <w:tc>
          <w:tcPr>
            <w:tcW w:w="1318" w:type="pct"/>
            <w:tcBorders>
              <w:top w:val="single" w:sz="4" w:space="0" w:color="auto"/>
              <w:left w:val="single" w:sz="4" w:space="0" w:color="auto"/>
              <w:bottom w:val="single" w:sz="4" w:space="0" w:color="auto"/>
              <w:right w:val="single" w:sz="4" w:space="0" w:color="auto"/>
            </w:tcBorders>
            <w:vAlign w:val="center"/>
          </w:tcPr>
          <w:p w14:paraId="770A1083"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kern w:val="2"/>
                <w:sz w:val="21"/>
                <w:szCs w:val="21"/>
              </w:rPr>
              <w:t>4500</w:t>
            </w:r>
            <w:r w:rsidRPr="00E67914">
              <w:rPr>
                <w:rFonts w:ascii="Times New Roman" w:hAnsi="Times New Roman"/>
                <w:kern w:val="2"/>
                <w:sz w:val="21"/>
                <w:szCs w:val="21"/>
                <w:lang w:eastAsia="zh-CN"/>
              </w:rPr>
              <w:t>（</w:t>
            </w:r>
            <w:r w:rsidRPr="00E67914">
              <w:rPr>
                <w:rFonts w:ascii="Times New Roman" w:hAnsi="Times New Roman"/>
                <w:kern w:val="2"/>
                <w:sz w:val="21"/>
                <w:szCs w:val="21"/>
                <w:lang w:eastAsia="zh-CN"/>
              </w:rPr>
              <w:t>826</w:t>
            </w:r>
            <w:r w:rsidRPr="00E67914">
              <w:rPr>
                <w:rFonts w:ascii="Times New Roman" w:hAnsi="Times New Roman"/>
                <w:kern w:val="2"/>
                <w:sz w:val="21"/>
                <w:szCs w:val="21"/>
                <w:lang w:eastAsia="zh-CN"/>
              </w:rPr>
              <w:t>）</w:t>
            </w:r>
          </w:p>
        </w:tc>
        <w:tc>
          <w:tcPr>
            <w:tcW w:w="1312" w:type="pct"/>
            <w:tcBorders>
              <w:top w:val="single" w:sz="4" w:space="0" w:color="auto"/>
              <w:left w:val="single" w:sz="4" w:space="0" w:color="auto"/>
              <w:bottom w:val="single" w:sz="4" w:space="0" w:color="auto"/>
              <w:right w:val="single" w:sz="4" w:space="0" w:color="auto"/>
            </w:tcBorders>
            <w:shd w:val="clear" w:color="auto" w:fill="auto"/>
            <w:vAlign w:val="center"/>
          </w:tcPr>
          <w:p w14:paraId="5828686D" w14:textId="77777777" w:rsidR="00806431" w:rsidRPr="00E67914" w:rsidRDefault="00806431" w:rsidP="007467F9">
            <w:pPr>
              <w:adjustRightInd w:val="0"/>
              <w:snapToGrid w:val="0"/>
              <w:jc w:val="center"/>
              <w:rPr>
                <w:rFonts w:ascii="Times New Roman" w:hAnsi="Times New Roman"/>
                <w:kern w:val="2"/>
                <w:sz w:val="21"/>
                <w:szCs w:val="21"/>
              </w:rPr>
            </w:pPr>
            <w:r w:rsidRPr="00E67914">
              <w:rPr>
                <w:rFonts w:ascii="Times New Roman" w:hAnsi="Times New Roman"/>
                <w:kern w:val="2"/>
                <w:sz w:val="21"/>
                <w:szCs w:val="21"/>
              </w:rPr>
              <w:t>/</w:t>
            </w:r>
          </w:p>
        </w:tc>
      </w:tr>
    </w:tbl>
    <w:p w14:paraId="791CD8E8" w14:textId="3AC4C7F6"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4.2-14  </w:t>
      </w:r>
      <w:r w:rsidRPr="00E67914">
        <w:rPr>
          <w:rFonts w:ascii="Times New Roman" w:eastAsia="黑体" w:hAnsi="Times New Roman"/>
          <w:sz w:val="21"/>
          <w:szCs w:val="21"/>
          <w:lang w:eastAsia="zh-CN"/>
        </w:rPr>
        <w:t>场内土壤环境现状监测结果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86"/>
        <w:gridCol w:w="755"/>
        <w:gridCol w:w="925"/>
        <w:gridCol w:w="1179"/>
        <w:gridCol w:w="888"/>
        <w:gridCol w:w="1179"/>
        <w:gridCol w:w="888"/>
      </w:tblGrid>
      <w:tr w:rsidR="00E67914" w:rsidRPr="00E67914" w14:paraId="1981E423" w14:textId="77777777" w:rsidTr="0037249B">
        <w:trPr>
          <w:trHeight w:val="454"/>
          <w:tblHeader/>
          <w:jc w:val="center"/>
        </w:trPr>
        <w:tc>
          <w:tcPr>
            <w:tcW w:w="1498" w:type="pct"/>
            <w:vMerge w:val="restart"/>
            <w:shd w:val="clear" w:color="auto" w:fill="auto"/>
            <w:vAlign w:val="center"/>
          </w:tcPr>
          <w:p w14:paraId="62BA3C7B" w14:textId="77777777" w:rsidR="00806431" w:rsidRPr="00E67914" w:rsidRDefault="00806431">
            <w:pPr>
              <w:jc w:val="center"/>
              <w:rPr>
                <w:rFonts w:ascii="Times New Roman" w:eastAsia="黑体" w:hAnsi="Times New Roman"/>
                <w:b/>
                <w:bCs/>
                <w:kern w:val="2"/>
                <w:sz w:val="21"/>
              </w:rPr>
            </w:pPr>
            <w:r w:rsidRPr="00E67914">
              <w:rPr>
                <w:rFonts w:ascii="Times New Roman" w:eastAsia="黑体" w:hAnsi="Times New Roman"/>
                <w:b/>
                <w:bCs/>
                <w:kern w:val="2"/>
                <w:sz w:val="21"/>
              </w:rPr>
              <w:t>监测因子</w:t>
            </w:r>
          </w:p>
        </w:tc>
        <w:tc>
          <w:tcPr>
            <w:tcW w:w="455" w:type="pct"/>
            <w:vMerge w:val="restart"/>
            <w:vAlign w:val="center"/>
          </w:tcPr>
          <w:p w14:paraId="1DAF32CC" w14:textId="77777777" w:rsidR="00806431" w:rsidRPr="00E67914" w:rsidRDefault="00806431">
            <w:pPr>
              <w:jc w:val="center"/>
              <w:rPr>
                <w:rFonts w:ascii="Times New Roman" w:eastAsia="黑体" w:hAnsi="Times New Roman"/>
                <w:b/>
                <w:bCs/>
                <w:kern w:val="2"/>
                <w:sz w:val="21"/>
              </w:rPr>
            </w:pPr>
            <w:r w:rsidRPr="00E67914">
              <w:rPr>
                <w:rFonts w:ascii="Times New Roman" w:eastAsia="黑体" w:hAnsi="Times New Roman"/>
                <w:b/>
                <w:bCs/>
                <w:kern w:val="2"/>
                <w:sz w:val="21"/>
              </w:rPr>
              <w:t>单位</w:t>
            </w:r>
          </w:p>
        </w:tc>
        <w:tc>
          <w:tcPr>
            <w:tcW w:w="1267" w:type="pct"/>
            <w:gridSpan w:val="2"/>
            <w:shd w:val="clear" w:color="auto" w:fill="auto"/>
            <w:vAlign w:val="center"/>
          </w:tcPr>
          <w:p w14:paraId="653C761A" w14:textId="44F6AC9C" w:rsidR="00806431" w:rsidRPr="00E67914" w:rsidRDefault="00806431">
            <w:pPr>
              <w:jc w:val="center"/>
              <w:rPr>
                <w:rFonts w:ascii="Times New Roman" w:eastAsia="黑体" w:hAnsi="Times New Roman"/>
                <w:b/>
                <w:bCs/>
                <w:kern w:val="2"/>
                <w:sz w:val="21"/>
              </w:rPr>
            </w:pPr>
            <w:r w:rsidRPr="00E67914">
              <w:rPr>
                <w:rFonts w:ascii="Times New Roman" w:eastAsia="黑体" w:hAnsi="Times New Roman"/>
                <w:b/>
                <w:bCs/>
                <w:kern w:val="2"/>
                <w:sz w:val="21"/>
              </w:rPr>
              <w:t>4#</w:t>
            </w:r>
            <w:r w:rsidRPr="00E67914">
              <w:rPr>
                <w:rFonts w:ascii="Times New Roman" w:eastAsia="黑体" w:hAnsi="Times New Roman"/>
                <w:b/>
                <w:bCs/>
                <w:kern w:val="2"/>
                <w:sz w:val="21"/>
              </w:rPr>
              <w:t>（</w:t>
            </w:r>
            <w:r w:rsidR="008403FB" w:rsidRPr="00E67914">
              <w:rPr>
                <w:rFonts w:ascii="Times New Roman" w:eastAsia="黑体" w:hAnsi="Times New Roman"/>
                <w:b/>
                <w:bCs/>
                <w:kern w:val="2"/>
                <w:sz w:val="21"/>
              </w:rPr>
              <w:t>20</w:t>
            </w:r>
            <w:r w:rsidRPr="00E67914">
              <w:rPr>
                <w:rFonts w:ascii="Times New Roman" w:eastAsia="黑体" w:hAnsi="Times New Roman"/>
                <w:b/>
                <w:bCs/>
                <w:kern w:val="2"/>
                <w:sz w:val="21"/>
              </w:rPr>
              <w:t>cm</w:t>
            </w:r>
            <w:r w:rsidRPr="00E67914">
              <w:rPr>
                <w:rFonts w:ascii="Times New Roman" w:eastAsia="黑体" w:hAnsi="Times New Roman"/>
                <w:b/>
                <w:bCs/>
                <w:kern w:val="2"/>
                <w:sz w:val="21"/>
              </w:rPr>
              <w:t>）</w:t>
            </w:r>
          </w:p>
        </w:tc>
        <w:tc>
          <w:tcPr>
            <w:tcW w:w="1245" w:type="pct"/>
            <w:gridSpan w:val="2"/>
            <w:vAlign w:val="center"/>
          </w:tcPr>
          <w:p w14:paraId="3E10E69B" w14:textId="6CCE256F" w:rsidR="00806431" w:rsidRPr="00E67914" w:rsidRDefault="00806431">
            <w:pPr>
              <w:jc w:val="center"/>
              <w:rPr>
                <w:rFonts w:ascii="Times New Roman" w:eastAsia="黑体" w:hAnsi="Times New Roman"/>
                <w:b/>
                <w:bCs/>
                <w:kern w:val="2"/>
                <w:sz w:val="21"/>
                <w:lang w:eastAsia="zh-CN"/>
              </w:rPr>
            </w:pPr>
            <w:r w:rsidRPr="00E67914">
              <w:rPr>
                <w:rFonts w:ascii="Times New Roman" w:eastAsia="黑体" w:hAnsi="Times New Roman"/>
                <w:b/>
                <w:bCs/>
                <w:kern w:val="2"/>
                <w:sz w:val="21"/>
              </w:rPr>
              <w:t>10#</w:t>
            </w:r>
            <w:r w:rsidRPr="00E67914">
              <w:rPr>
                <w:rFonts w:ascii="Times New Roman" w:eastAsia="黑体" w:hAnsi="Times New Roman"/>
                <w:b/>
                <w:bCs/>
                <w:kern w:val="2"/>
                <w:sz w:val="21"/>
              </w:rPr>
              <w:t>（</w:t>
            </w:r>
            <w:r w:rsidR="008403FB" w:rsidRPr="00E67914">
              <w:rPr>
                <w:rFonts w:ascii="Times New Roman" w:eastAsia="黑体" w:hAnsi="Times New Roman"/>
                <w:b/>
                <w:bCs/>
                <w:kern w:val="2"/>
                <w:sz w:val="21"/>
              </w:rPr>
              <w:t>2</w:t>
            </w:r>
            <w:r w:rsidRPr="00E67914">
              <w:rPr>
                <w:rFonts w:ascii="Times New Roman" w:eastAsia="黑体" w:hAnsi="Times New Roman"/>
                <w:b/>
                <w:bCs/>
                <w:kern w:val="2"/>
                <w:sz w:val="21"/>
              </w:rPr>
              <w:t>0cm</w:t>
            </w:r>
            <w:r w:rsidRPr="00E67914">
              <w:rPr>
                <w:rFonts w:ascii="Times New Roman" w:eastAsia="黑体" w:hAnsi="Times New Roman"/>
                <w:b/>
                <w:bCs/>
                <w:kern w:val="2"/>
                <w:sz w:val="21"/>
              </w:rPr>
              <w:t>）</w:t>
            </w:r>
          </w:p>
        </w:tc>
        <w:tc>
          <w:tcPr>
            <w:tcW w:w="535" w:type="pct"/>
            <w:shd w:val="clear" w:color="auto" w:fill="auto"/>
            <w:noWrap/>
            <w:vAlign w:val="center"/>
          </w:tcPr>
          <w:p w14:paraId="5B8BB3E9" w14:textId="4640C6A1" w:rsidR="00806431" w:rsidRPr="00E67914" w:rsidRDefault="00806431">
            <w:pPr>
              <w:jc w:val="center"/>
              <w:rPr>
                <w:rFonts w:ascii="Times New Roman" w:eastAsia="黑体" w:hAnsi="Times New Roman"/>
                <w:b/>
                <w:bCs/>
                <w:kern w:val="2"/>
                <w:sz w:val="21"/>
              </w:rPr>
            </w:pPr>
            <w:r w:rsidRPr="00E67914">
              <w:rPr>
                <w:rFonts w:ascii="Times New Roman" w:eastAsia="黑体" w:hAnsi="Times New Roman"/>
                <w:b/>
                <w:bCs/>
                <w:kern w:val="2"/>
                <w:sz w:val="21"/>
              </w:rPr>
              <w:t>标准值</w:t>
            </w:r>
          </w:p>
        </w:tc>
      </w:tr>
      <w:tr w:rsidR="00E67914" w:rsidRPr="00E67914" w14:paraId="53EBA5C9" w14:textId="77777777" w:rsidTr="0037249B">
        <w:trPr>
          <w:trHeight w:val="454"/>
          <w:tblHeader/>
          <w:jc w:val="center"/>
        </w:trPr>
        <w:tc>
          <w:tcPr>
            <w:tcW w:w="1498" w:type="pct"/>
            <w:vMerge/>
            <w:vAlign w:val="center"/>
          </w:tcPr>
          <w:p w14:paraId="2719DB2C" w14:textId="77777777" w:rsidR="00806431" w:rsidRPr="00E67914" w:rsidRDefault="00806431" w:rsidP="00806431">
            <w:pPr>
              <w:jc w:val="center"/>
              <w:rPr>
                <w:rFonts w:ascii="Times New Roman" w:hAnsi="Times New Roman"/>
                <w:kern w:val="2"/>
                <w:sz w:val="21"/>
              </w:rPr>
            </w:pPr>
          </w:p>
        </w:tc>
        <w:tc>
          <w:tcPr>
            <w:tcW w:w="455" w:type="pct"/>
            <w:vMerge/>
            <w:vAlign w:val="center"/>
          </w:tcPr>
          <w:p w14:paraId="25F9F343" w14:textId="77777777" w:rsidR="00806431" w:rsidRPr="00E67914" w:rsidRDefault="00806431" w:rsidP="00806431">
            <w:pPr>
              <w:jc w:val="center"/>
              <w:rPr>
                <w:rFonts w:ascii="Times New Roman" w:hAnsi="Times New Roman"/>
                <w:kern w:val="2"/>
                <w:sz w:val="21"/>
              </w:rPr>
            </w:pPr>
          </w:p>
        </w:tc>
        <w:tc>
          <w:tcPr>
            <w:tcW w:w="557" w:type="pct"/>
            <w:shd w:val="clear" w:color="auto" w:fill="auto"/>
            <w:vAlign w:val="center"/>
          </w:tcPr>
          <w:p w14:paraId="00F627BD" w14:textId="77777777" w:rsidR="00806431" w:rsidRPr="00E67914" w:rsidRDefault="00806431" w:rsidP="00806431">
            <w:pPr>
              <w:jc w:val="center"/>
              <w:rPr>
                <w:rFonts w:ascii="Times New Roman" w:eastAsia="黑体" w:hAnsi="Times New Roman"/>
                <w:b/>
                <w:bCs/>
                <w:kern w:val="2"/>
                <w:sz w:val="21"/>
              </w:rPr>
            </w:pPr>
            <w:r w:rsidRPr="00E67914">
              <w:rPr>
                <w:rFonts w:ascii="Times New Roman" w:eastAsia="黑体" w:hAnsi="Times New Roman"/>
                <w:b/>
                <w:bCs/>
                <w:kern w:val="2"/>
                <w:sz w:val="21"/>
              </w:rPr>
              <w:t>监测值</w:t>
            </w:r>
          </w:p>
        </w:tc>
        <w:tc>
          <w:tcPr>
            <w:tcW w:w="710" w:type="pct"/>
            <w:shd w:val="clear" w:color="auto" w:fill="auto"/>
            <w:vAlign w:val="center"/>
          </w:tcPr>
          <w:p w14:paraId="7E5F1B54" w14:textId="08D4C23D" w:rsidR="00806431" w:rsidRPr="00E67914" w:rsidRDefault="00806431" w:rsidP="00806431">
            <w:pPr>
              <w:jc w:val="center"/>
              <w:rPr>
                <w:rFonts w:ascii="Times New Roman" w:eastAsia="黑体" w:hAnsi="Times New Roman"/>
                <w:b/>
                <w:bCs/>
                <w:kern w:val="2"/>
                <w:sz w:val="21"/>
              </w:rPr>
            </w:pPr>
            <w:r w:rsidRPr="00E67914">
              <w:rPr>
                <w:rFonts w:ascii="Times New Roman" w:eastAsia="黑体" w:hAnsi="Times New Roman"/>
                <w:b/>
                <w:bCs/>
                <w:kern w:val="2"/>
                <w:sz w:val="21"/>
              </w:rPr>
              <w:t>是否</w:t>
            </w:r>
            <w:r w:rsidRPr="00E67914">
              <w:rPr>
                <w:rFonts w:ascii="Times New Roman" w:eastAsia="黑体" w:hAnsi="Times New Roman"/>
                <w:b/>
                <w:bCs/>
                <w:kern w:val="2"/>
                <w:sz w:val="21"/>
                <w:lang w:eastAsia="zh-CN"/>
              </w:rPr>
              <w:t>满足</w:t>
            </w:r>
          </w:p>
        </w:tc>
        <w:tc>
          <w:tcPr>
            <w:tcW w:w="535" w:type="pct"/>
            <w:vAlign w:val="center"/>
          </w:tcPr>
          <w:p w14:paraId="2CAF82D2" w14:textId="0F022E66" w:rsidR="00806431" w:rsidRPr="00E67914" w:rsidRDefault="00806431" w:rsidP="00806431">
            <w:pPr>
              <w:jc w:val="center"/>
              <w:rPr>
                <w:rFonts w:ascii="Times New Roman" w:hAnsi="Times New Roman"/>
                <w:kern w:val="2"/>
                <w:sz w:val="21"/>
              </w:rPr>
            </w:pPr>
            <w:r w:rsidRPr="00E67914">
              <w:rPr>
                <w:rFonts w:ascii="Times New Roman" w:eastAsia="黑体" w:hAnsi="Times New Roman"/>
                <w:b/>
                <w:bCs/>
                <w:kern w:val="2"/>
                <w:sz w:val="21"/>
              </w:rPr>
              <w:t>监测值</w:t>
            </w:r>
          </w:p>
        </w:tc>
        <w:tc>
          <w:tcPr>
            <w:tcW w:w="710" w:type="pct"/>
            <w:vAlign w:val="center"/>
          </w:tcPr>
          <w:p w14:paraId="1EF97758" w14:textId="61BAB5FA" w:rsidR="00806431" w:rsidRPr="00E67914" w:rsidRDefault="00806431" w:rsidP="00806431">
            <w:pPr>
              <w:jc w:val="center"/>
              <w:rPr>
                <w:rFonts w:ascii="Times New Roman" w:hAnsi="Times New Roman"/>
                <w:kern w:val="2"/>
                <w:sz w:val="21"/>
              </w:rPr>
            </w:pPr>
            <w:r w:rsidRPr="00E67914">
              <w:rPr>
                <w:rFonts w:ascii="Times New Roman" w:eastAsia="黑体" w:hAnsi="Times New Roman"/>
                <w:b/>
                <w:bCs/>
                <w:kern w:val="2"/>
                <w:sz w:val="21"/>
              </w:rPr>
              <w:t>是否</w:t>
            </w:r>
            <w:r w:rsidRPr="00E67914">
              <w:rPr>
                <w:rFonts w:ascii="Times New Roman" w:eastAsia="黑体" w:hAnsi="Times New Roman"/>
                <w:b/>
                <w:bCs/>
                <w:kern w:val="2"/>
                <w:sz w:val="21"/>
                <w:lang w:eastAsia="zh-CN"/>
              </w:rPr>
              <w:t>满足</w:t>
            </w:r>
          </w:p>
        </w:tc>
        <w:tc>
          <w:tcPr>
            <w:tcW w:w="535" w:type="pct"/>
            <w:vAlign w:val="center"/>
          </w:tcPr>
          <w:p w14:paraId="21A86306" w14:textId="296B932A" w:rsidR="00806431" w:rsidRPr="00E67914" w:rsidRDefault="00806431" w:rsidP="00806431">
            <w:pPr>
              <w:jc w:val="center"/>
              <w:rPr>
                <w:rFonts w:ascii="Times New Roman" w:hAnsi="Times New Roman"/>
                <w:kern w:val="2"/>
                <w:sz w:val="21"/>
              </w:rPr>
            </w:pPr>
            <w:r w:rsidRPr="00E67914">
              <w:rPr>
                <w:rFonts w:ascii="Times New Roman" w:hAnsi="Times New Roman"/>
                <w:kern w:val="2"/>
                <w:sz w:val="21"/>
              </w:rPr>
              <w:t>/</w:t>
            </w:r>
          </w:p>
        </w:tc>
      </w:tr>
      <w:tr w:rsidR="00E67914" w:rsidRPr="00E67914" w14:paraId="02550ABD" w14:textId="77777777" w:rsidTr="0037249B">
        <w:trPr>
          <w:trHeight w:val="454"/>
          <w:jc w:val="center"/>
        </w:trPr>
        <w:tc>
          <w:tcPr>
            <w:tcW w:w="1498" w:type="pct"/>
            <w:shd w:val="clear" w:color="auto" w:fill="auto"/>
            <w:vAlign w:val="center"/>
          </w:tcPr>
          <w:p w14:paraId="592B5F80"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砷</w:t>
            </w:r>
          </w:p>
        </w:tc>
        <w:tc>
          <w:tcPr>
            <w:tcW w:w="455" w:type="pct"/>
            <w:vAlign w:val="center"/>
          </w:tcPr>
          <w:p w14:paraId="6FFBA111"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235EF4C6" w14:textId="55ED8325"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lang w:eastAsia="zh-CN"/>
              </w:rPr>
              <w:t>7.66</w:t>
            </w:r>
          </w:p>
        </w:tc>
        <w:tc>
          <w:tcPr>
            <w:tcW w:w="710" w:type="pct"/>
            <w:shd w:val="clear" w:color="auto" w:fill="auto"/>
            <w:noWrap/>
            <w:vAlign w:val="center"/>
          </w:tcPr>
          <w:p w14:paraId="0CE1237A" w14:textId="652C49F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3911A30C" w14:textId="68052135"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sz w:val="21"/>
                <w:lang w:eastAsia="zh-CN"/>
              </w:rPr>
              <w:t>7.36</w:t>
            </w:r>
          </w:p>
        </w:tc>
        <w:tc>
          <w:tcPr>
            <w:tcW w:w="710" w:type="pct"/>
            <w:vAlign w:val="center"/>
          </w:tcPr>
          <w:p w14:paraId="0D04B4E6" w14:textId="7895671D"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341AC71A" w14:textId="7988B7EB"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60</w:t>
            </w:r>
          </w:p>
        </w:tc>
      </w:tr>
      <w:tr w:rsidR="00E67914" w:rsidRPr="00E67914" w14:paraId="596A088D" w14:textId="77777777" w:rsidTr="0037249B">
        <w:trPr>
          <w:trHeight w:val="454"/>
          <w:jc w:val="center"/>
        </w:trPr>
        <w:tc>
          <w:tcPr>
            <w:tcW w:w="1498" w:type="pct"/>
            <w:shd w:val="clear" w:color="auto" w:fill="auto"/>
            <w:vAlign w:val="center"/>
          </w:tcPr>
          <w:p w14:paraId="1389A36B"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镉</w:t>
            </w:r>
          </w:p>
        </w:tc>
        <w:tc>
          <w:tcPr>
            <w:tcW w:w="455" w:type="pct"/>
            <w:vAlign w:val="center"/>
          </w:tcPr>
          <w:p w14:paraId="224F008A"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4BD46F3F" w14:textId="0E8F346A" w:rsidR="0037249B" w:rsidRPr="00E67914" w:rsidRDefault="0037249B" w:rsidP="0037249B">
            <w:pPr>
              <w:jc w:val="center"/>
              <w:rPr>
                <w:rFonts w:ascii="Times New Roman" w:hAnsi="Times New Roman"/>
                <w:kern w:val="2"/>
                <w:sz w:val="21"/>
                <w:lang w:eastAsia="zh-CN"/>
              </w:rPr>
            </w:pPr>
            <w:r w:rsidRPr="00E67914">
              <w:rPr>
                <w:rFonts w:ascii="Times New Roman" w:hAnsi="Times New Roman"/>
                <w:lang w:eastAsia="zh-CN"/>
              </w:rPr>
              <w:t>0.28</w:t>
            </w:r>
          </w:p>
        </w:tc>
        <w:tc>
          <w:tcPr>
            <w:tcW w:w="710" w:type="pct"/>
            <w:shd w:val="clear" w:color="auto" w:fill="auto"/>
            <w:noWrap/>
            <w:vAlign w:val="center"/>
          </w:tcPr>
          <w:p w14:paraId="2FBC97CF" w14:textId="6F1F7913"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0C604908" w14:textId="64BC352C"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sz w:val="21"/>
                <w:lang w:eastAsia="zh-CN"/>
              </w:rPr>
              <w:t>0.22</w:t>
            </w:r>
          </w:p>
        </w:tc>
        <w:tc>
          <w:tcPr>
            <w:tcW w:w="710" w:type="pct"/>
            <w:vAlign w:val="center"/>
          </w:tcPr>
          <w:p w14:paraId="7B94DBA4" w14:textId="16A1B727"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118A475" w14:textId="089C9F38"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65</w:t>
            </w:r>
          </w:p>
        </w:tc>
      </w:tr>
      <w:tr w:rsidR="00E67914" w:rsidRPr="00E67914" w14:paraId="6ED0EC13" w14:textId="77777777" w:rsidTr="0037249B">
        <w:trPr>
          <w:trHeight w:val="454"/>
          <w:jc w:val="center"/>
        </w:trPr>
        <w:tc>
          <w:tcPr>
            <w:tcW w:w="1498" w:type="pct"/>
            <w:shd w:val="clear" w:color="auto" w:fill="auto"/>
            <w:vAlign w:val="center"/>
          </w:tcPr>
          <w:p w14:paraId="53D6E05D"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lastRenderedPageBreak/>
              <w:t>六价铬</w:t>
            </w:r>
          </w:p>
        </w:tc>
        <w:tc>
          <w:tcPr>
            <w:tcW w:w="455" w:type="pct"/>
            <w:vAlign w:val="center"/>
          </w:tcPr>
          <w:p w14:paraId="756A3323"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0638C060" w14:textId="77777777"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lang w:eastAsia="zh-CN"/>
              </w:rPr>
              <w:t>未检出</w:t>
            </w:r>
          </w:p>
        </w:tc>
        <w:tc>
          <w:tcPr>
            <w:tcW w:w="710" w:type="pct"/>
            <w:shd w:val="clear" w:color="auto" w:fill="auto"/>
            <w:noWrap/>
            <w:vAlign w:val="center"/>
          </w:tcPr>
          <w:p w14:paraId="4A38E3B0" w14:textId="2574CC0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44B055ED" w14:textId="6F2A5DCC" w:rsidR="0037249B" w:rsidRPr="00E67914" w:rsidRDefault="0037249B" w:rsidP="0037249B">
            <w:pPr>
              <w:jc w:val="center"/>
              <w:rPr>
                <w:rFonts w:ascii="Times New Roman" w:hAnsi="Times New Roman"/>
                <w:kern w:val="2"/>
                <w:sz w:val="21"/>
              </w:rPr>
            </w:pPr>
            <w:r w:rsidRPr="00E67914">
              <w:rPr>
                <w:rFonts w:ascii="Times New Roman" w:hAnsi="Times New Roman"/>
                <w:kern w:val="2"/>
                <w:lang w:eastAsia="zh-CN"/>
              </w:rPr>
              <w:t>未检出</w:t>
            </w:r>
          </w:p>
        </w:tc>
        <w:tc>
          <w:tcPr>
            <w:tcW w:w="710" w:type="pct"/>
            <w:vAlign w:val="center"/>
          </w:tcPr>
          <w:p w14:paraId="5CF5F2A1" w14:textId="48B28A7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0383B55A" w14:textId="18BB1A8B"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5.7</w:t>
            </w:r>
          </w:p>
        </w:tc>
      </w:tr>
      <w:tr w:rsidR="00E67914" w:rsidRPr="00E67914" w14:paraId="79C8F9C6" w14:textId="77777777" w:rsidTr="0037249B">
        <w:trPr>
          <w:trHeight w:val="454"/>
          <w:jc w:val="center"/>
        </w:trPr>
        <w:tc>
          <w:tcPr>
            <w:tcW w:w="1498" w:type="pct"/>
            <w:shd w:val="clear" w:color="auto" w:fill="auto"/>
            <w:vAlign w:val="center"/>
          </w:tcPr>
          <w:p w14:paraId="5FFD7F73"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铜</w:t>
            </w:r>
          </w:p>
        </w:tc>
        <w:tc>
          <w:tcPr>
            <w:tcW w:w="455" w:type="pct"/>
            <w:vAlign w:val="center"/>
          </w:tcPr>
          <w:p w14:paraId="1B0F4402"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33B0C36A" w14:textId="29D0C454" w:rsidR="0037249B" w:rsidRPr="00E67914" w:rsidRDefault="0037249B" w:rsidP="0037249B">
            <w:pPr>
              <w:jc w:val="center"/>
              <w:rPr>
                <w:rFonts w:ascii="Times New Roman" w:hAnsi="Times New Roman"/>
                <w:kern w:val="2"/>
                <w:sz w:val="21"/>
                <w:lang w:eastAsia="zh-CN"/>
              </w:rPr>
            </w:pPr>
            <w:r w:rsidRPr="00E67914">
              <w:rPr>
                <w:rFonts w:ascii="Times New Roman" w:hAnsi="Times New Roman"/>
                <w:lang w:eastAsia="zh-CN"/>
              </w:rPr>
              <w:t>12</w:t>
            </w:r>
          </w:p>
        </w:tc>
        <w:tc>
          <w:tcPr>
            <w:tcW w:w="710" w:type="pct"/>
            <w:shd w:val="clear" w:color="auto" w:fill="auto"/>
            <w:noWrap/>
            <w:vAlign w:val="center"/>
          </w:tcPr>
          <w:p w14:paraId="1F458650" w14:textId="0CC3372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3408F4BD" w14:textId="475D505F"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sz w:val="21"/>
                <w:lang w:eastAsia="zh-CN"/>
              </w:rPr>
              <w:t>8</w:t>
            </w:r>
          </w:p>
        </w:tc>
        <w:tc>
          <w:tcPr>
            <w:tcW w:w="710" w:type="pct"/>
            <w:vAlign w:val="center"/>
          </w:tcPr>
          <w:p w14:paraId="13551D19" w14:textId="0475DBE8"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493E6582" w14:textId="6269E3CD"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18000</w:t>
            </w:r>
          </w:p>
        </w:tc>
      </w:tr>
      <w:tr w:rsidR="00E67914" w:rsidRPr="00E67914" w14:paraId="4C30E542" w14:textId="77777777" w:rsidTr="0037249B">
        <w:trPr>
          <w:trHeight w:val="454"/>
          <w:jc w:val="center"/>
        </w:trPr>
        <w:tc>
          <w:tcPr>
            <w:tcW w:w="1498" w:type="pct"/>
            <w:shd w:val="clear" w:color="auto" w:fill="auto"/>
            <w:vAlign w:val="center"/>
          </w:tcPr>
          <w:p w14:paraId="2E23210F"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铅</w:t>
            </w:r>
          </w:p>
        </w:tc>
        <w:tc>
          <w:tcPr>
            <w:tcW w:w="455" w:type="pct"/>
            <w:vAlign w:val="center"/>
          </w:tcPr>
          <w:p w14:paraId="14B8074E"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2FD006B" w14:textId="335CC88D" w:rsidR="0037249B" w:rsidRPr="00E67914" w:rsidRDefault="0037249B" w:rsidP="0037249B">
            <w:pPr>
              <w:jc w:val="center"/>
              <w:rPr>
                <w:rFonts w:ascii="Times New Roman" w:hAnsi="Times New Roman"/>
                <w:kern w:val="2"/>
                <w:sz w:val="21"/>
                <w:lang w:eastAsia="zh-CN"/>
              </w:rPr>
            </w:pPr>
            <w:r w:rsidRPr="00E67914">
              <w:rPr>
                <w:rFonts w:ascii="Times New Roman" w:hAnsi="Times New Roman"/>
                <w:lang w:eastAsia="zh-CN"/>
              </w:rPr>
              <w:t>30</w:t>
            </w:r>
          </w:p>
        </w:tc>
        <w:tc>
          <w:tcPr>
            <w:tcW w:w="710" w:type="pct"/>
            <w:shd w:val="clear" w:color="auto" w:fill="auto"/>
            <w:noWrap/>
            <w:vAlign w:val="center"/>
          </w:tcPr>
          <w:p w14:paraId="6F05F4D7" w14:textId="38289A0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4B23F40" w14:textId="1715CA86"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sz w:val="21"/>
                <w:lang w:eastAsia="zh-CN"/>
              </w:rPr>
              <w:t>17</w:t>
            </w:r>
          </w:p>
        </w:tc>
        <w:tc>
          <w:tcPr>
            <w:tcW w:w="710" w:type="pct"/>
            <w:vAlign w:val="center"/>
          </w:tcPr>
          <w:p w14:paraId="06C61FD3" w14:textId="3882185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528ED291" w14:textId="4349F198"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800</w:t>
            </w:r>
          </w:p>
        </w:tc>
      </w:tr>
      <w:tr w:rsidR="00E67914" w:rsidRPr="00E67914" w14:paraId="61439109" w14:textId="77777777" w:rsidTr="0037249B">
        <w:trPr>
          <w:trHeight w:val="454"/>
          <w:jc w:val="center"/>
        </w:trPr>
        <w:tc>
          <w:tcPr>
            <w:tcW w:w="1498" w:type="pct"/>
            <w:shd w:val="clear" w:color="auto" w:fill="auto"/>
            <w:vAlign w:val="center"/>
          </w:tcPr>
          <w:p w14:paraId="0AD7F3FD"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汞</w:t>
            </w:r>
          </w:p>
        </w:tc>
        <w:tc>
          <w:tcPr>
            <w:tcW w:w="455" w:type="pct"/>
            <w:vAlign w:val="center"/>
          </w:tcPr>
          <w:p w14:paraId="19B7F0AD"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4098E66D" w14:textId="79004E51"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lang w:eastAsia="zh-CN"/>
              </w:rPr>
              <w:t>0.591</w:t>
            </w:r>
          </w:p>
        </w:tc>
        <w:tc>
          <w:tcPr>
            <w:tcW w:w="710" w:type="pct"/>
            <w:shd w:val="clear" w:color="auto" w:fill="auto"/>
            <w:noWrap/>
            <w:vAlign w:val="center"/>
          </w:tcPr>
          <w:p w14:paraId="44CCCBAC" w14:textId="08A8FE58"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B38444C" w14:textId="45429F6A"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sz w:val="21"/>
                <w:lang w:eastAsia="zh-CN"/>
              </w:rPr>
              <w:t>2.11</w:t>
            </w:r>
          </w:p>
        </w:tc>
        <w:tc>
          <w:tcPr>
            <w:tcW w:w="710" w:type="pct"/>
            <w:vAlign w:val="center"/>
          </w:tcPr>
          <w:p w14:paraId="475E326D" w14:textId="71ED93C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FAE6AC9" w14:textId="79BF9FB1"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38</w:t>
            </w:r>
          </w:p>
        </w:tc>
      </w:tr>
      <w:tr w:rsidR="00E67914" w:rsidRPr="00E67914" w14:paraId="30CC42A7" w14:textId="77777777" w:rsidTr="0037249B">
        <w:trPr>
          <w:trHeight w:val="454"/>
          <w:jc w:val="center"/>
        </w:trPr>
        <w:tc>
          <w:tcPr>
            <w:tcW w:w="1498" w:type="pct"/>
            <w:shd w:val="clear" w:color="auto" w:fill="auto"/>
            <w:vAlign w:val="center"/>
          </w:tcPr>
          <w:p w14:paraId="781FF563"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镍</w:t>
            </w:r>
          </w:p>
        </w:tc>
        <w:tc>
          <w:tcPr>
            <w:tcW w:w="455" w:type="pct"/>
            <w:vAlign w:val="center"/>
          </w:tcPr>
          <w:p w14:paraId="7D15BF1D"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4651A7F5" w14:textId="095F8E51" w:rsidR="0037249B" w:rsidRPr="00E67914" w:rsidRDefault="0037249B" w:rsidP="0037249B">
            <w:pPr>
              <w:jc w:val="center"/>
              <w:rPr>
                <w:rFonts w:ascii="Times New Roman" w:hAnsi="Times New Roman"/>
                <w:kern w:val="2"/>
                <w:sz w:val="21"/>
                <w:lang w:eastAsia="zh-CN"/>
              </w:rPr>
            </w:pPr>
            <w:r w:rsidRPr="00E67914">
              <w:rPr>
                <w:rFonts w:ascii="Times New Roman" w:hAnsi="Times New Roman"/>
                <w:lang w:eastAsia="zh-CN"/>
              </w:rPr>
              <w:t>17</w:t>
            </w:r>
          </w:p>
        </w:tc>
        <w:tc>
          <w:tcPr>
            <w:tcW w:w="710" w:type="pct"/>
            <w:shd w:val="clear" w:color="auto" w:fill="auto"/>
            <w:noWrap/>
            <w:vAlign w:val="center"/>
          </w:tcPr>
          <w:p w14:paraId="45A5358D" w14:textId="5632319C"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2BE0D990" w14:textId="6FADB83A"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sz w:val="21"/>
                <w:lang w:eastAsia="zh-CN"/>
              </w:rPr>
              <w:t>25</w:t>
            </w:r>
          </w:p>
        </w:tc>
        <w:tc>
          <w:tcPr>
            <w:tcW w:w="710" w:type="pct"/>
            <w:vAlign w:val="center"/>
          </w:tcPr>
          <w:p w14:paraId="2AAAF9B5" w14:textId="424A4980"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6E042A00" w14:textId="03C15372"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900</w:t>
            </w:r>
          </w:p>
        </w:tc>
      </w:tr>
      <w:tr w:rsidR="00E67914" w:rsidRPr="00E67914" w14:paraId="53BCED0C" w14:textId="77777777" w:rsidTr="0037249B">
        <w:trPr>
          <w:trHeight w:val="454"/>
          <w:jc w:val="center"/>
        </w:trPr>
        <w:tc>
          <w:tcPr>
            <w:tcW w:w="1498" w:type="pct"/>
            <w:shd w:val="clear" w:color="auto" w:fill="auto"/>
            <w:vAlign w:val="center"/>
          </w:tcPr>
          <w:p w14:paraId="2725D5DD"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rPr>
              <w:t>石油烃〔</w:t>
            </w:r>
            <w:r w:rsidRPr="00E67914">
              <w:rPr>
                <w:rFonts w:ascii="Times New Roman" w:hAnsi="Times New Roman"/>
                <w:sz w:val="21"/>
              </w:rPr>
              <w:t>C</w:t>
            </w:r>
            <w:r w:rsidRPr="00E67914">
              <w:rPr>
                <w:rFonts w:ascii="Times New Roman" w:hAnsi="Times New Roman"/>
                <w:sz w:val="21"/>
                <w:vertAlign w:val="subscript"/>
              </w:rPr>
              <w:t>10</w:t>
            </w:r>
            <w:r w:rsidRPr="00E67914">
              <w:rPr>
                <w:rFonts w:ascii="Times New Roman" w:hAnsi="Times New Roman"/>
                <w:sz w:val="21"/>
              </w:rPr>
              <w:t>-C</w:t>
            </w:r>
            <w:r w:rsidRPr="00E67914">
              <w:rPr>
                <w:rFonts w:ascii="Times New Roman" w:hAnsi="Times New Roman"/>
                <w:sz w:val="21"/>
                <w:vertAlign w:val="subscript"/>
              </w:rPr>
              <w:t>40</w:t>
            </w:r>
            <w:r w:rsidRPr="00E67914">
              <w:rPr>
                <w:rFonts w:ascii="Times New Roman" w:hAnsi="Times New Roman"/>
                <w:sz w:val="21"/>
              </w:rPr>
              <w:t>〕</w:t>
            </w:r>
          </w:p>
        </w:tc>
        <w:tc>
          <w:tcPr>
            <w:tcW w:w="455" w:type="pct"/>
            <w:vAlign w:val="center"/>
          </w:tcPr>
          <w:p w14:paraId="718A46EA"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60CF71B9" w14:textId="68CDCEB8" w:rsidR="0037249B" w:rsidRPr="00E67914" w:rsidRDefault="0037249B" w:rsidP="0037249B">
            <w:pPr>
              <w:jc w:val="center"/>
              <w:rPr>
                <w:rFonts w:ascii="Times New Roman" w:hAnsi="Times New Roman"/>
                <w:sz w:val="21"/>
              </w:rPr>
            </w:pPr>
            <w:r w:rsidRPr="00E67914">
              <w:rPr>
                <w:rFonts w:ascii="Times New Roman" w:hAnsi="Times New Roman"/>
                <w:kern w:val="2"/>
                <w:lang w:eastAsia="zh-CN"/>
              </w:rPr>
              <w:t>64</w:t>
            </w:r>
          </w:p>
        </w:tc>
        <w:tc>
          <w:tcPr>
            <w:tcW w:w="710" w:type="pct"/>
            <w:shd w:val="clear" w:color="auto" w:fill="auto"/>
            <w:noWrap/>
            <w:vAlign w:val="center"/>
          </w:tcPr>
          <w:p w14:paraId="114AA3A5" w14:textId="5EA61DFD"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6A43E7E5" w14:textId="7333A1B4"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sz w:val="21"/>
                <w:lang w:eastAsia="zh-CN"/>
              </w:rPr>
              <w:t>153</w:t>
            </w:r>
          </w:p>
        </w:tc>
        <w:tc>
          <w:tcPr>
            <w:tcW w:w="710" w:type="pct"/>
            <w:vAlign w:val="center"/>
          </w:tcPr>
          <w:p w14:paraId="664A6A90" w14:textId="36F28D0A"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774B7D2" w14:textId="7C3A5E8E"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4500</w:t>
            </w:r>
          </w:p>
        </w:tc>
      </w:tr>
      <w:tr w:rsidR="00E67914" w:rsidRPr="00E67914" w14:paraId="3700FC2D" w14:textId="77777777" w:rsidTr="0037249B">
        <w:trPr>
          <w:trHeight w:val="454"/>
          <w:jc w:val="center"/>
        </w:trPr>
        <w:tc>
          <w:tcPr>
            <w:tcW w:w="1498" w:type="pct"/>
            <w:shd w:val="clear" w:color="auto" w:fill="auto"/>
            <w:vAlign w:val="center"/>
          </w:tcPr>
          <w:p w14:paraId="11DEC5A5" w14:textId="77777777" w:rsidR="0037249B" w:rsidRPr="00E67914" w:rsidRDefault="0037249B" w:rsidP="0037249B">
            <w:pPr>
              <w:jc w:val="center"/>
              <w:rPr>
                <w:rFonts w:ascii="Times New Roman" w:hAnsi="Times New Roman"/>
                <w:sz w:val="21"/>
              </w:rPr>
            </w:pPr>
            <w:r w:rsidRPr="00E67914">
              <w:rPr>
                <w:rFonts w:ascii="Times New Roman" w:hAnsi="Times New Roman"/>
                <w:sz w:val="21"/>
              </w:rPr>
              <w:t>全盐量</w:t>
            </w:r>
          </w:p>
        </w:tc>
        <w:tc>
          <w:tcPr>
            <w:tcW w:w="455" w:type="pct"/>
            <w:vAlign w:val="center"/>
          </w:tcPr>
          <w:p w14:paraId="2A510E14"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g/kg</w:t>
            </w:r>
          </w:p>
        </w:tc>
        <w:tc>
          <w:tcPr>
            <w:tcW w:w="557" w:type="pct"/>
            <w:shd w:val="clear" w:color="auto" w:fill="auto"/>
            <w:vAlign w:val="center"/>
          </w:tcPr>
          <w:p w14:paraId="0295E585" w14:textId="69A1562B" w:rsidR="0037249B" w:rsidRPr="00E67914" w:rsidRDefault="0037249B" w:rsidP="0037249B">
            <w:pPr>
              <w:jc w:val="center"/>
              <w:rPr>
                <w:rFonts w:ascii="Times New Roman" w:hAnsi="Times New Roman"/>
                <w:kern w:val="2"/>
                <w:lang w:eastAsia="zh-CN"/>
              </w:rPr>
            </w:pPr>
            <w:r w:rsidRPr="00E67914">
              <w:rPr>
                <w:rFonts w:ascii="Times New Roman" w:hAnsi="Times New Roman"/>
                <w:kern w:val="2"/>
                <w:lang w:eastAsia="zh-CN"/>
              </w:rPr>
              <w:t>1.1</w:t>
            </w:r>
          </w:p>
        </w:tc>
        <w:tc>
          <w:tcPr>
            <w:tcW w:w="710" w:type="pct"/>
            <w:shd w:val="clear" w:color="auto" w:fill="auto"/>
            <w:noWrap/>
            <w:vAlign w:val="center"/>
          </w:tcPr>
          <w:p w14:paraId="4B92C10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w:t>
            </w:r>
          </w:p>
        </w:tc>
        <w:tc>
          <w:tcPr>
            <w:tcW w:w="535" w:type="pct"/>
            <w:vAlign w:val="center"/>
          </w:tcPr>
          <w:p w14:paraId="67E66620" w14:textId="23694F6E" w:rsidR="0037249B" w:rsidRPr="00E67914" w:rsidRDefault="0037249B" w:rsidP="0037249B">
            <w:pPr>
              <w:jc w:val="center"/>
              <w:rPr>
                <w:rFonts w:ascii="Times New Roman" w:hAnsi="Times New Roman"/>
                <w:kern w:val="2"/>
                <w:sz w:val="21"/>
                <w:lang w:eastAsia="zh-CN"/>
              </w:rPr>
            </w:pPr>
            <w:r w:rsidRPr="00E67914">
              <w:rPr>
                <w:rFonts w:ascii="Times New Roman" w:hAnsi="Times New Roman"/>
                <w:kern w:val="2"/>
                <w:sz w:val="21"/>
                <w:lang w:eastAsia="zh-CN"/>
              </w:rPr>
              <w:t>1.9</w:t>
            </w:r>
          </w:p>
        </w:tc>
        <w:tc>
          <w:tcPr>
            <w:tcW w:w="710" w:type="pct"/>
            <w:vAlign w:val="center"/>
          </w:tcPr>
          <w:p w14:paraId="6F35192D" w14:textId="121994CC"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w:t>
            </w:r>
          </w:p>
        </w:tc>
        <w:tc>
          <w:tcPr>
            <w:tcW w:w="535" w:type="pct"/>
            <w:shd w:val="clear" w:color="auto" w:fill="auto"/>
            <w:noWrap/>
            <w:vAlign w:val="center"/>
          </w:tcPr>
          <w:p w14:paraId="58044612" w14:textId="4FE7159D"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w:t>
            </w:r>
          </w:p>
        </w:tc>
      </w:tr>
      <w:tr w:rsidR="00E67914" w:rsidRPr="00E67914" w14:paraId="40B14F6D" w14:textId="77777777" w:rsidTr="0037249B">
        <w:trPr>
          <w:trHeight w:val="454"/>
          <w:jc w:val="center"/>
        </w:trPr>
        <w:tc>
          <w:tcPr>
            <w:tcW w:w="1498" w:type="pct"/>
            <w:shd w:val="clear" w:color="auto" w:fill="auto"/>
            <w:vAlign w:val="center"/>
          </w:tcPr>
          <w:p w14:paraId="3BD729CF"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四氯化碳</w:t>
            </w:r>
          </w:p>
        </w:tc>
        <w:tc>
          <w:tcPr>
            <w:tcW w:w="455" w:type="pct"/>
            <w:vAlign w:val="center"/>
          </w:tcPr>
          <w:p w14:paraId="486BAD6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65E86C5C"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2091EFBF" w14:textId="71428858"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5844D65D" w14:textId="3DCBD080"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068009D3" w14:textId="7A6E199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19A74290" w14:textId="6313B7D3"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2.8</w:t>
            </w:r>
          </w:p>
        </w:tc>
      </w:tr>
      <w:tr w:rsidR="00E67914" w:rsidRPr="00E67914" w14:paraId="1ADBEB2E" w14:textId="77777777" w:rsidTr="0037249B">
        <w:trPr>
          <w:trHeight w:val="454"/>
          <w:jc w:val="center"/>
        </w:trPr>
        <w:tc>
          <w:tcPr>
            <w:tcW w:w="1498" w:type="pct"/>
            <w:shd w:val="clear" w:color="auto" w:fill="auto"/>
            <w:vAlign w:val="center"/>
          </w:tcPr>
          <w:p w14:paraId="6D40DC84"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氯仿</w:t>
            </w:r>
          </w:p>
        </w:tc>
        <w:tc>
          <w:tcPr>
            <w:tcW w:w="455" w:type="pct"/>
            <w:vAlign w:val="center"/>
          </w:tcPr>
          <w:p w14:paraId="6C589E93"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1EC85987"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071F47B8" w14:textId="57846286"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3A43B9D4" w14:textId="4F0A89E1"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66080438" w14:textId="6CD9B57C"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560F0FBF" w14:textId="790593E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0.9</w:t>
            </w:r>
          </w:p>
        </w:tc>
      </w:tr>
      <w:tr w:rsidR="00E67914" w:rsidRPr="00E67914" w14:paraId="70ACB42E" w14:textId="77777777" w:rsidTr="0037249B">
        <w:trPr>
          <w:trHeight w:val="454"/>
          <w:jc w:val="center"/>
        </w:trPr>
        <w:tc>
          <w:tcPr>
            <w:tcW w:w="1498" w:type="pct"/>
            <w:shd w:val="clear" w:color="auto" w:fill="auto"/>
            <w:vAlign w:val="center"/>
          </w:tcPr>
          <w:p w14:paraId="01DA008F"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氯甲烷</w:t>
            </w:r>
          </w:p>
        </w:tc>
        <w:tc>
          <w:tcPr>
            <w:tcW w:w="455" w:type="pct"/>
            <w:vAlign w:val="center"/>
          </w:tcPr>
          <w:p w14:paraId="23540DF2"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6AA7C5E5"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415FCFE3" w14:textId="12AF852D"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5F2B0F25" w14:textId="62584C3C"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1FBF5E66" w14:textId="7714563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13B70E4F" w14:textId="5C96C98F"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37</w:t>
            </w:r>
          </w:p>
        </w:tc>
      </w:tr>
      <w:tr w:rsidR="00E67914" w:rsidRPr="00E67914" w14:paraId="677C5D1E" w14:textId="77777777" w:rsidTr="0037249B">
        <w:trPr>
          <w:trHeight w:val="454"/>
          <w:jc w:val="center"/>
        </w:trPr>
        <w:tc>
          <w:tcPr>
            <w:tcW w:w="1498" w:type="pct"/>
            <w:shd w:val="clear" w:color="auto" w:fill="auto"/>
            <w:vAlign w:val="center"/>
          </w:tcPr>
          <w:p w14:paraId="2C892D7E"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1,1-</w:t>
            </w:r>
            <w:r w:rsidRPr="00E67914">
              <w:rPr>
                <w:rFonts w:ascii="Times New Roman" w:hAnsi="Times New Roman"/>
                <w:kern w:val="2"/>
                <w:sz w:val="21"/>
              </w:rPr>
              <w:t>二氯乙烷</w:t>
            </w:r>
          </w:p>
        </w:tc>
        <w:tc>
          <w:tcPr>
            <w:tcW w:w="455" w:type="pct"/>
            <w:vAlign w:val="center"/>
          </w:tcPr>
          <w:p w14:paraId="25A2FA17"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8610A7C"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3DDC37D9" w14:textId="02250AB5"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600D8F2C" w14:textId="70718F48"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6122DC7" w14:textId="623DA6F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445762F6" w14:textId="0B9534AB"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9</w:t>
            </w:r>
          </w:p>
        </w:tc>
      </w:tr>
      <w:tr w:rsidR="00E67914" w:rsidRPr="00E67914" w14:paraId="15A7A8D2" w14:textId="77777777" w:rsidTr="0037249B">
        <w:trPr>
          <w:trHeight w:val="454"/>
          <w:jc w:val="center"/>
        </w:trPr>
        <w:tc>
          <w:tcPr>
            <w:tcW w:w="1498" w:type="pct"/>
            <w:shd w:val="clear" w:color="auto" w:fill="auto"/>
            <w:vAlign w:val="center"/>
          </w:tcPr>
          <w:p w14:paraId="290D3B5D"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1,2-</w:t>
            </w:r>
            <w:r w:rsidRPr="00E67914">
              <w:rPr>
                <w:rFonts w:ascii="Times New Roman" w:hAnsi="Times New Roman"/>
                <w:kern w:val="2"/>
                <w:sz w:val="21"/>
              </w:rPr>
              <w:t>二氯乙烷</w:t>
            </w:r>
          </w:p>
        </w:tc>
        <w:tc>
          <w:tcPr>
            <w:tcW w:w="455" w:type="pct"/>
            <w:vAlign w:val="center"/>
          </w:tcPr>
          <w:p w14:paraId="7BAB351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22109DF"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7884B1B6" w14:textId="6218645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72ECFC4E" w14:textId="4F92B62A"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074CF968" w14:textId="723C651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15A27D25" w14:textId="32732B32"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5</w:t>
            </w:r>
          </w:p>
        </w:tc>
      </w:tr>
      <w:tr w:rsidR="00E67914" w:rsidRPr="00E67914" w14:paraId="47B1600C" w14:textId="77777777" w:rsidTr="0037249B">
        <w:trPr>
          <w:trHeight w:val="454"/>
          <w:jc w:val="center"/>
        </w:trPr>
        <w:tc>
          <w:tcPr>
            <w:tcW w:w="1498" w:type="pct"/>
            <w:shd w:val="clear" w:color="auto" w:fill="auto"/>
            <w:vAlign w:val="center"/>
          </w:tcPr>
          <w:p w14:paraId="5C04327D"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1,1-</w:t>
            </w:r>
            <w:r w:rsidRPr="00E67914">
              <w:rPr>
                <w:rFonts w:ascii="Times New Roman" w:hAnsi="Times New Roman"/>
                <w:kern w:val="2"/>
                <w:sz w:val="21"/>
              </w:rPr>
              <w:t>二氯乙烯</w:t>
            </w:r>
          </w:p>
        </w:tc>
        <w:tc>
          <w:tcPr>
            <w:tcW w:w="455" w:type="pct"/>
            <w:vAlign w:val="center"/>
          </w:tcPr>
          <w:p w14:paraId="2811DA13"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4FE7DD9F"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0D2E0AFC" w14:textId="5CCF6734"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4F7A8F4C" w14:textId="4A635095"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B2A7628" w14:textId="11FE349D"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3A682071" w14:textId="2F08AEE6"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66</w:t>
            </w:r>
          </w:p>
        </w:tc>
      </w:tr>
      <w:tr w:rsidR="00E67914" w:rsidRPr="00E67914" w14:paraId="35D88E40" w14:textId="77777777" w:rsidTr="0037249B">
        <w:trPr>
          <w:trHeight w:val="454"/>
          <w:jc w:val="center"/>
        </w:trPr>
        <w:tc>
          <w:tcPr>
            <w:tcW w:w="1498" w:type="pct"/>
            <w:shd w:val="clear" w:color="auto" w:fill="auto"/>
            <w:vAlign w:val="center"/>
          </w:tcPr>
          <w:p w14:paraId="7ABE93C2"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顺</w:t>
            </w:r>
            <w:r w:rsidRPr="00E67914">
              <w:rPr>
                <w:rFonts w:ascii="Times New Roman" w:hAnsi="Times New Roman"/>
                <w:kern w:val="2"/>
                <w:sz w:val="21"/>
              </w:rPr>
              <w:t>-1,2 -</w:t>
            </w:r>
            <w:r w:rsidRPr="00E67914">
              <w:rPr>
                <w:rFonts w:ascii="Times New Roman" w:hAnsi="Times New Roman"/>
                <w:kern w:val="2"/>
                <w:sz w:val="21"/>
              </w:rPr>
              <w:t>二氯乙烯</w:t>
            </w:r>
          </w:p>
        </w:tc>
        <w:tc>
          <w:tcPr>
            <w:tcW w:w="455" w:type="pct"/>
            <w:vAlign w:val="center"/>
          </w:tcPr>
          <w:p w14:paraId="7C376CCA"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5557033"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69BE473E" w14:textId="1BB72CC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E1570FB" w14:textId="5F175079"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5A464952" w14:textId="6035333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43BFF2F6" w14:textId="2703DD1C"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596</w:t>
            </w:r>
          </w:p>
        </w:tc>
      </w:tr>
      <w:tr w:rsidR="00E67914" w:rsidRPr="00E67914" w14:paraId="49FCEF6B" w14:textId="77777777" w:rsidTr="0037249B">
        <w:trPr>
          <w:trHeight w:val="454"/>
          <w:jc w:val="center"/>
        </w:trPr>
        <w:tc>
          <w:tcPr>
            <w:tcW w:w="1498" w:type="pct"/>
            <w:shd w:val="clear" w:color="auto" w:fill="auto"/>
            <w:vAlign w:val="center"/>
          </w:tcPr>
          <w:p w14:paraId="4FD600A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反</w:t>
            </w:r>
            <w:r w:rsidRPr="00E67914">
              <w:rPr>
                <w:rFonts w:ascii="Times New Roman" w:hAnsi="Times New Roman"/>
                <w:kern w:val="2"/>
                <w:sz w:val="21"/>
              </w:rPr>
              <w:t>-1,2 -</w:t>
            </w:r>
            <w:r w:rsidRPr="00E67914">
              <w:rPr>
                <w:rFonts w:ascii="Times New Roman" w:hAnsi="Times New Roman"/>
                <w:kern w:val="2"/>
                <w:sz w:val="21"/>
              </w:rPr>
              <w:t>二氯乙烯</w:t>
            </w:r>
          </w:p>
        </w:tc>
        <w:tc>
          <w:tcPr>
            <w:tcW w:w="455" w:type="pct"/>
            <w:vAlign w:val="center"/>
          </w:tcPr>
          <w:p w14:paraId="5FE39A26"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399D8656"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6B37659C" w14:textId="5D3E986D"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7805B73A" w14:textId="1C7724D3"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6D24FC49" w14:textId="73F9B59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4741FFBE" w14:textId="5577B9EF"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54</w:t>
            </w:r>
          </w:p>
        </w:tc>
      </w:tr>
      <w:tr w:rsidR="00E67914" w:rsidRPr="00E67914" w14:paraId="6C230D8B" w14:textId="77777777" w:rsidTr="0037249B">
        <w:trPr>
          <w:trHeight w:val="454"/>
          <w:jc w:val="center"/>
        </w:trPr>
        <w:tc>
          <w:tcPr>
            <w:tcW w:w="1498" w:type="pct"/>
            <w:shd w:val="clear" w:color="auto" w:fill="auto"/>
            <w:vAlign w:val="center"/>
          </w:tcPr>
          <w:p w14:paraId="0779BC1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二氯甲烷</w:t>
            </w:r>
          </w:p>
        </w:tc>
        <w:tc>
          <w:tcPr>
            <w:tcW w:w="455" w:type="pct"/>
            <w:vAlign w:val="center"/>
          </w:tcPr>
          <w:p w14:paraId="64312DCB"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4DB6BF7A"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76DC9963" w14:textId="456A7346"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24EDCC99" w14:textId="21CC779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FD0AD95" w14:textId="4DB7628D"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07F564A7" w14:textId="3EEF5D0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616</w:t>
            </w:r>
          </w:p>
        </w:tc>
      </w:tr>
      <w:tr w:rsidR="00E67914" w:rsidRPr="00E67914" w14:paraId="1D1EFB4B" w14:textId="77777777" w:rsidTr="0037249B">
        <w:trPr>
          <w:trHeight w:val="454"/>
          <w:jc w:val="center"/>
        </w:trPr>
        <w:tc>
          <w:tcPr>
            <w:tcW w:w="1498" w:type="pct"/>
            <w:shd w:val="clear" w:color="auto" w:fill="auto"/>
            <w:vAlign w:val="center"/>
          </w:tcPr>
          <w:p w14:paraId="17CB7427"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1,2-</w:t>
            </w:r>
            <w:r w:rsidRPr="00E67914">
              <w:rPr>
                <w:rFonts w:ascii="Times New Roman" w:hAnsi="Times New Roman"/>
                <w:kern w:val="2"/>
                <w:sz w:val="21"/>
              </w:rPr>
              <w:t>二氯丙烷</w:t>
            </w:r>
          </w:p>
        </w:tc>
        <w:tc>
          <w:tcPr>
            <w:tcW w:w="455" w:type="pct"/>
            <w:vAlign w:val="center"/>
          </w:tcPr>
          <w:p w14:paraId="7333A9F2"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200BA872"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7A49D6E1" w14:textId="1FD530E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07E0A474" w14:textId="3C14938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2FADAD98" w14:textId="0F4CA433"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DC58227" w14:textId="03A01762"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5</w:t>
            </w:r>
          </w:p>
        </w:tc>
      </w:tr>
      <w:tr w:rsidR="00E67914" w:rsidRPr="00E67914" w14:paraId="359316DC" w14:textId="77777777" w:rsidTr="0037249B">
        <w:trPr>
          <w:trHeight w:val="454"/>
          <w:jc w:val="center"/>
        </w:trPr>
        <w:tc>
          <w:tcPr>
            <w:tcW w:w="1498" w:type="pct"/>
            <w:shd w:val="clear" w:color="auto" w:fill="auto"/>
            <w:vAlign w:val="center"/>
          </w:tcPr>
          <w:p w14:paraId="489B4017"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 xml:space="preserve">1,1,1,2- </w:t>
            </w:r>
            <w:r w:rsidRPr="00E67914">
              <w:rPr>
                <w:rFonts w:ascii="Times New Roman" w:hAnsi="Times New Roman"/>
                <w:kern w:val="2"/>
                <w:sz w:val="21"/>
              </w:rPr>
              <w:t>四氯乙烷</w:t>
            </w:r>
          </w:p>
        </w:tc>
        <w:tc>
          <w:tcPr>
            <w:tcW w:w="455" w:type="pct"/>
            <w:vAlign w:val="center"/>
          </w:tcPr>
          <w:p w14:paraId="06F69604"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3CE5BAE5"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543FB9CF" w14:textId="50C2CE89"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52FDA90A" w14:textId="7C6C7A4E"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AFC8EA1" w14:textId="0A43FE5D"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2BC81324" w14:textId="34E97364"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10</w:t>
            </w:r>
          </w:p>
        </w:tc>
      </w:tr>
      <w:tr w:rsidR="00E67914" w:rsidRPr="00E67914" w14:paraId="49CCCD26" w14:textId="77777777" w:rsidTr="0037249B">
        <w:trPr>
          <w:trHeight w:val="454"/>
          <w:jc w:val="center"/>
        </w:trPr>
        <w:tc>
          <w:tcPr>
            <w:tcW w:w="1498" w:type="pct"/>
            <w:shd w:val="clear" w:color="auto" w:fill="auto"/>
            <w:vAlign w:val="center"/>
          </w:tcPr>
          <w:p w14:paraId="66E0B40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1,1,2,2-</w:t>
            </w:r>
            <w:r w:rsidRPr="00E67914">
              <w:rPr>
                <w:rFonts w:ascii="Times New Roman" w:hAnsi="Times New Roman"/>
                <w:kern w:val="2"/>
                <w:sz w:val="21"/>
              </w:rPr>
              <w:t>四氯乙烷</w:t>
            </w:r>
          </w:p>
        </w:tc>
        <w:tc>
          <w:tcPr>
            <w:tcW w:w="455" w:type="pct"/>
            <w:vAlign w:val="center"/>
          </w:tcPr>
          <w:p w14:paraId="5567AD5C"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05729870"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84EB763" w14:textId="5C7A40D3"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9907611" w14:textId="689D017D"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6EED73D8" w14:textId="6D81F459"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1EDE1B5F" w14:textId="45F8A562"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6.8</w:t>
            </w:r>
          </w:p>
        </w:tc>
      </w:tr>
      <w:tr w:rsidR="00E67914" w:rsidRPr="00E67914" w14:paraId="6FC21C24" w14:textId="77777777" w:rsidTr="0037249B">
        <w:trPr>
          <w:trHeight w:val="454"/>
          <w:jc w:val="center"/>
        </w:trPr>
        <w:tc>
          <w:tcPr>
            <w:tcW w:w="1498" w:type="pct"/>
            <w:shd w:val="clear" w:color="auto" w:fill="auto"/>
            <w:vAlign w:val="center"/>
          </w:tcPr>
          <w:p w14:paraId="50E70924"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四氯乙烯</w:t>
            </w:r>
          </w:p>
        </w:tc>
        <w:tc>
          <w:tcPr>
            <w:tcW w:w="455" w:type="pct"/>
            <w:vAlign w:val="center"/>
          </w:tcPr>
          <w:p w14:paraId="4A5677DA"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240D4DD"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3C3306FD" w14:textId="5915BD6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7926A3B9" w14:textId="6A4EFBB0"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68C9B65E" w14:textId="2D87EDD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0C9FF68C" w14:textId="26821E1B"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53</w:t>
            </w:r>
          </w:p>
        </w:tc>
      </w:tr>
      <w:tr w:rsidR="00E67914" w:rsidRPr="00E67914" w14:paraId="2935549B" w14:textId="77777777" w:rsidTr="0037249B">
        <w:trPr>
          <w:trHeight w:val="454"/>
          <w:jc w:val="center"/>
        </w:trPr>
        <w:tc>
          <w:tcPr>
            <w:tcW w:w="1498" w:type="pct"/>
            <w:shd w:val="clear" w:color="auto" w:fill="auto"/>
            <w:vAlign w:val="center"/>
          </w:tcPr>
          <w:p w14:paraId="04BE95A1"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1,1,1 -</w:t>
            </w:r>
            <w:r w:rsidRPr="00E67914">
              <w:rPr>
                <w:rFonts w:ascii="Times New Roman" w:hAnsi="Times New Roman"/>
                <w:kern w:val="2"/>
                <w:sz w:val="21"/>
              </w:rPr>
              <w:t>三氯乙烷</w:t>
            </w:r>
          </w:p>
        </w:tc>
        <w:tc>
          <w:tcPr>
            <w:tcW w:w="455" w:type="pct"/>
            <w:vAlign w:val="center"/>
          </w:tcPr>
          <w:p w14:paraId="1E7F0168"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0965A3F0"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B4EE7A9" w14:textId="321142E9"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43870672" w14:textId="731A82A0"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05B8742" w14:textId="52BD617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3D19FE16" w14:textId="1D6615B5"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840</w:t>
            </w:r>
          </w:p>
        </w:tc>
      </w:tr>
      <w:tr w:rsidR="00E67914" w:rsidRPr="00E67914" w14:paraId="537C405E" w14:textId="77777777" w:rsidTr="0037249B">
        <w:trPr>
          <w:trHeight w:val="454"/>
          <w:jc w:val="center"/>
        </w:trPr>
        <w:tc>
          <w:tcPr>
            <w:tcW w:w="1498" w:type="pct"/>
            <w:shd w:val="clear" w:color="auto" w:fill="auto"/>
            <w:vAlign w:val="center"/>
          </w:tcPr>
          <w:p w14:paraId="7DFB8423"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1,1,2-</w:t>
            </w:r>
            <w:r w:rsidRPr="00E67914">
              <w:rPr>
                <w:rFonts w:ascii="Times New Roman" w:hAnsi="Times New Roman"/>
                <w:kern w:val="2"/>
                <w:sz w:val="21"/>
              </w:rPr>
              <w:t>三氯乙烷</w:t>
            </w:r>
          </w:p>
        </w:tc>
        <w:tc>
          <w:tcPr>
            <w:tcW w:w="455" w:type="pct"/>
            <w:vAlign w:val="center"/>
          </w:tcPr>
          <w:p w14:paraId="35093E02"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3E9C9FFA"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9B21E14" w14:textId="5B40BA96"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4BCB9F8" w14:textId="5B121F59"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5B546E6D" w14:textId="46503FA9"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61389A17" w14:textId="0260EC43"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2.8</w:t>
            </w:r>
          </w:p>
        </w:tc>
      </w:tr>
      <w:tr w:rsidR="00E67914" w:rsidRPr="00E67914" w14:paraId="4D180080" w14:textId="77777777" w:rsidTr="0037249B">
        <w:trPr>
          <w:trHeight w:val="454"/>
          <w:jc w:val="center"/>
        </w:trPr>
        <w:tc>
          <w:tcPr>
            <w:tcW w:w="1498" w:type="pct"/>
            <w:shd w:val="clear" w:color="auto" w:fill="auto"/>
            <w:vAlign w:val="center"/>
          </w:tcPr>
          <w:p w14:paraId="60BE321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三氯乙烯</w:t>
            </w:r>
          </w:p>
        </w:tc>
        <w:tc>
          <w:tcPr>
            <w:tcW w:w="455" w:type="pct"/>
            <w:vAlign w:val="center"/>
          </w:tcPr>
          <w:p w14:paraId="7B944AF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030C9876"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541994C" w14:textId="5D42F37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0906833D" w14:textId="61497079"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6737B697" w14:textId="0FA709CB"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10A2B575" w14:textId="511D2C42"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2.8</w:t>
            </w:r>
          </w:p>
        </w:tc>
      </w:tr>
      <w:tr w:rsidR="00E67914" w:rsidRPr="00E67914" w14:paraId="2A363DC8" w14:textId="77777777" w:rsidTr="0037249B">
        <w:trPr>
          <w:trHeight w:val="454"/>
          <w:jc w:val="center"/>
        </w:trPr>
        <w:tc>
          <w:tcPr>
            <w:tcW w:w="1498" w:type="pct"/>
            <w:shd w:val="clear" w:color="auto" w:fill="auto"/>
            <w:vAlign w:val="center"/>
          </w:tcPr>
          <w:p w14:paraId="2CD814C7"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1,2,3-</w:t>
            </w:r>
            <w:r w:rsidRPr="00E67914">
              <w:rPr>
                <w:rFonts w:ascii="Times New Roman" w:hAnsi="Times New Roman"/>
                <w:kern w:val="2"/>
                <w:sz w:val="21"/>
              </w:rPr>
              <w:t>三氯丙烷</w:t>
            </w:r>
          </w:p>
        </w:tc>
        <w:tc>
          <w:tcPr>
            <w:tcW w:w="455" w:type="pct"/>
            <w:vAlign w:val="center"/>
          </w:tcPr>
          <w:p w14:paraId="78A1EDCE"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72CFE08"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41A5F09" w14:textId="6C8225EB"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50D26065" w14:textId="596CB550"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36DFF5AD" w14:textId="162F6A98"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52BCA5EC" w14:textId="5F64BE28"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0.5</w:t>
            </w:r>
          </w:p>
        </w:tc>
      </w:tr>
      <w:tr w:rsidR="00E67914" w:rsidRPr="00E67914" w14:paraId="17D9327C" w14:textId="77777777" w:rsidTr="0037249B">
        <w:trPr>
          <w:trHeight w:val="454"/>
          <w:jc w:val="center"/>
        </w:trPr>
        <w:tc>
          <w:tcPr>
            <w:tcW w:w="1498" w:type="pct"/>
            <w:shd w:val="clear" w:color="auto" w:fill="auto"/>
            <w:vAlign w:val="center"/>
          </w:tcPr>
          <w:p w14:paraId="7DECDC7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氯乙烯</w:t>
            </w:r>
          </w:p>
        </w:tc>
        <w:tc>
          <w:tcPr>
            <w:tcW w:w="455" w:type="pct"/>
            <w:vAlign w:val="center"/>
          </w:tcPr>
          <w:p w14:paraId="02D2FE5B"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37487DA"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588CA923" w14:textId="57F5897A"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04E8DABE" w14:textId="3A74925C"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6E31EC75" w14:textId="34190563"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274186B2" w14:textId="48E0ABF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0.43</w:t>
            </w:r>
          </w:p>
        </w:tc>
      </w:tr>
      <w:tr w:rsidR="00E67914" w:rsidRPr="00E67914" w14:paraId="50FA90FA" w14:textId="77777777" w:rsidTr="0037249B">
        <w:trPr>
          <w:trHeight w:val="454"/>
          <w:jc w:val="center"/>
        </w:trPr>
        <w:tc>
          <w:tcPr>
            <w:tcW w:w="1498" w:type="pct"/>
            <w:shd w:val="clear" w:color="auto" w:fill="auto"/>
            <w:vAlign w:val="center"/>
          </w:tcPr>
          <w:p w14:paraId="02726E08"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苯</w:t>
            </w:r>
          </w:p>
        </w:tc>
        <w:tc>
          <w:tcPr>
            <w:tcW w:w="455" w:type="pct"/>
            <w:vAlign w:val="center"/>
          </w:tcPr>
          <w:p w14:paraId="7AF3D81C"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7B694A5"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3271730E" w14:textId="01A7F6C0"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7E3FD33B" w14:textId="251F9429"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056B716" w14:textId="3EF07B56"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4557B654" w14:textId="0C493A85"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4</w:t>
            </w:r>
          </w:p>
        </w:tc>
      </w:tr>
      <w:tr w:rsidR="00E67914" w:rsidRPr="00E67914" w14:paraId="63588E94" w14:textId="77777777" w:rsidTr="0037249B">
        <w:trPr>
          <w:trHeight w:val="454"/>
          <w:jc w:val="center"/>
        </w:trPr>
        <w:tc>
          <w:tcPr>
            <w:tcW w:w="1498" w:type="pct"/>
            <w:shd w:val="clear" w:color="auto" w:fill="auto"/>
            <w:vAlign w:val="center"/>
          </w:tcPr>
          <w:p w14:paraId="3798A634"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氯苯</w:t>
            </w:r>
          </w:p>
        </w:tc>
        <w:tc>
          <w:tcPr>
            <w:tcW w:w="455" w:type="pct"/>
            <w:vAlign w:val="center"/>
          </w:tcPr>
          <w:p w14:paraId="762CFB7E"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36B9127A"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750695FA" w14:textId="23B1C6AB"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5AF64F91" w14:textId="4783C056"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1C33C99A" w14:textId="2AB859F3"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18B498D9" w14:textId="49BABEBA"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270</w:t>
            </w:r>
          </w:p>
        </w:tc>
      </w:tr>
      <w:tr w:rsidR="00E67914" w:rsidRPr="00E67914" w14:paraId="44806E5C" w14:textId="77777777" w:rsidTr="0037249B">
        <w:trPr>
          <w:trHeight w:val="454"/>
          <w:jc w:val="center"/>
        </w:trPr>
        <w:tc>
          <w:tcPr>
            <w:tcW w:w="1498" w:type="pct"/>
            <w:shd w:val="clear" w:color="auto" w:fill="auto"/>
            <w:vAlign w:val="center"/>
          </w:tcPr>
          <w:p w14:paraId="5762A41F"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1,2-</w:t>
            </w:r>
            <w:r w:rsidRPr="00E67914">
              <w:rPr>
                <w:rFonts w:ascii="Times New Roman" w:hAnsi="Times New Roman"/>
                <w:kern w:val="2"/>
                <w:sz w:val="21"/>
              </w:rPr>
              <w:t>二氯苯</w:t>
            </w:r>
          </w:p>
        </w:tc>
        <w:tc>
          <w:tcPr>
            <w:tcW w:w="455" w:type="pct"/>
            <w:vAlign w:val="center"/>
          </w:tcPr>
          <w:p w14:paraId="7E3F29BA"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5830B70F"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5FEBA944" w14:textId="761F5A5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4D42A5EB" w14:textId="24767C1C"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20859C73" w14:textId="7D5F9298"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6EC98857" w14:textId="09C9DF3B"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560</w:t>
            </w:r>
          </w:p>
        </w:tc>
      </w:tr>
      <w:tr w:rsidR="00E67914" w:rsidRPr="00E67914" w14:paraId="780D1142" w14:textId="77777777" w:rsidTr="0037249B">
        <w:trPr>
          <w:trHeight w:val="454"/>
          <w:jc w:val="center"/>
        </w:trPr>
        <w:tc>
          <w:tcPr>
            <w:tcW w:w="1498" w:type="pct"/>
            <w:shd w:val="clear" w:color="auto" w:fill="auto"/>
            <w:vAlign w:val="center"/>
          </w:tcPr>
          <w:p w14:paraId="0E16A9E6"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lastRenderedPageBreak/>
              <w:t>1,4-</w:t>
            </w:r>
            <w:r w:rsidRPr="00E67914">
              <w:rPr>
                <w:rFonts w:ascii="Times New Roman" w:hAnsi="Times New Roman"/>
                <w:kern w:val="2"/>
                <w:sz w:val="21"/>
              </w:rPr>
              <w:t>二氯苯</w:t>
            </w:r>
          </w:p>
        </w:tc>
        <w:tc>
          <w:tcPr>
            <w:tcW w:w="455" w:type="pct"/>
            <w:vAlign w:val="center"/>
          </w:tcPr>
          <w:p w14:paraId="1680944E"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5DC62D34"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6C11EED" w14:textId="2BD8FD14"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6919F27" w14:textId="708401FB"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7A93C9A" w14:textId="5687D0D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09CC2751" w14:textId="40CF9C3A"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20</w:t>
            </w:r>
          </w:p>
        </w:tc>
      </w:tr>
      <w:tr w:rsidR="00E67914" w:rsidRPr="00E67914" w14:paraId="7A7272C4" w14:textId="77777777" w:rsidTr="0037249B">
        <w:trPr>
          <w:trHeight w:val="454"/>
          <w:jc w:val="center"/>
        </w:trPr>
        <w:tc>
          <w:tcPr>
            <w:tcW w:w="1498" w:type="pct"/>
            <w:shd w:val="clear" w:color="auto" w:fill="auto"/>
            <w:vAlign w:val="center"/>
          </w:tcPr>
          <w:p w14:paraId="285C1214"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乙苯</w:t>
            </w:r>
          </w:p>
        </w:tc>
        <w:tc>
          <w:tcPr>
            <w:tcW w:w="455" w:type="pct"/>
            <w:vAlign w:val="center"/>
          </w:tcPr>
          <w:p w14:paraId="6F2E61E7"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616ED68C"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7429ADF8" w14:textId="3E71BF1C"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0677D26" w14:textId="134CE2C9"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8F91EA7" w14:textId="3362EF04"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E03FF9F" w14:textId="3286D07D"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28</w:t>
            </w:r>
          </w:p>
        </w:tc>
      </w:tr>
      <w:tr w:rsidR="00E67914" w:rsidRPr="00E67914" w14:paraId="03091BA6" w14:textId="77777777" w:rsidTr="0037249B">
        <w:trPr>
          <w:trHeight w:val="454"/>
          <w:jc w:val="center"/>
        </w:trPr>
        <w:tc>
          <w:tcPr>
            <w:tcW w:w="1498" w:type="pct"/>
            <w:shd w:val="clear" w:color="auto" w:fill="auto"/>
            <w:vAlign w:val="center"/>
          </w:tcPr>
          <w:p w14:paraId="13A9BAB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苯乙烯</w:t>
            </w:r>
          </w:p>
        </w:tc>
        <w:tc>
          <w:tcPr>
            <w:tcW w:w="455" w:type="pct"/>
            <w:vAlign w:val="center"/>
          </w:tcPr>
          <w:p w14:paraId="716D05E0"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E8744D4"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26686CEE" w14:textId="2CBD5CA8"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358E0601" w14:textId="07A50261"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647EA5E5" w14:textId="7578476A"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0F27C04E" w14:textId="0819E54E"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1290</w:t>
            </w:r>
          </w:p>
        </w:tc>
      </w:tr>
      <w:tr w:rsidR="00E67914" w:rsidRPr="00E67914" w14:paraId="4C8EE4F9" w14:textId="77777777" w:rsidTr="0037249B">
        <w:trPr>
          <w:trHeight w:val="454"/>
          <w:jc w:val="center"/>
        </w:trPr>
        <w:tc>
          <w:tcPr>
            <w:tcW w:w="1498" w:type="pct"/>
            <w:shd w:val="clear" w:color="auto" w:fill="auto"/>
            <w:vAlign w:val="center"/>
          </w:tcPr>
          <w:p w14:paraId="0F766256"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甲苯</w:t>
            </w:r>
          </w:p>
        </w:tc>
        <w:tc>
          <w:tcPr>
            <w:tcW w:w="455" w:type="pct"/>
            <w:vAlign w:val="center"/>
          </w:tcPr>
          <w:p w14:paraId="4BA7251B"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66475F90"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5B2A0096" w14:textId="7798577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3C4E631E" w14:textId="6058F00B"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EFB4341" w14:textId="22589AFB"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5655C32" w14:textId="69AF23BF"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1200</w:t>
            </w:r>
          </w:p>
        </w:tc>
      </w:tr>
      <w:tr w:rsidR="00E67914" w:rsidRPr="00E67914" w14:paraId="199A8337" w14:textId="77777777" w:rsidTr="0037249B">
        <w:trPr>
          <w:trHeight w:val="454"/>
          <w:jc w:val="center"/>
        </w:trPr>
        <w:tc>
          <w:tcPr>
            <w:tcW w:w="1498" w:type="pct"/>
            <w:shd w:val="clear" w:color="auto" w:fill="auto"/>
            <w:vAlign w:val="center"/>
          </w:tcPr>
          <w:p w14:paraId="20F2F33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间，对</w:t>
            </w:r>
            <w:r w:rsidRPr="00E67914">
              <w:rPr>
                <w:rFonts w:ascii="Times New Roman" w:hAnsi="Times New Roman"/>
                <w:kern w:val="2"/>
                <w:sz w:val="21"/>
              </w:rPr>
              <w:t>-</w:t>
            </w:r>
            <w:r w:rsidRPr="00E67914">
              <w:rPr>
                <w:rFonts w:ascii="Times New Roman" w:hAnsi="Times New Roman"/>
                <w:kern w:val="2"/>
                <w:sz w:val="21"/>
              </w:rPr>
              <w:t>二甲苯</w:t>
            </w:r>
          </w:p>
        </w:tc>
        <w:tc>
          <w:tcPr>
            <w:tcW w:w="455" w:type="pct"/>
            <w:vAlign w:val="center"/>
          </w:tcPr>
          <w:p w14:paraId="23690E6C"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105B1ABB"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21D3514" w14:textId="2A5F9605"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7A7A8AA" w14:textId="4EFDC7A9"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02CB4CA5" w14:textId="3C3E513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0589FC23" w14:textId="085011E6"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570</w:t>
            </w:r>
          </w:p>
        </w:tc>
      </w:tr>
      <w:tr w:rsidR="00E67914" w:rsidRPr="00E67914" w14:paraId="729ADF44" w14:textId="77777777" w:rsidTr="0037249B">
        <w:trPr>
          <w:trHeight w:val="454"/>
          <w:jc w:val="center"/>
        </w:trPr>
        <w:tc>
          <w:tcPr>
            <w:tcW w:w="1498" w:type="pct"/>
            <w:shd w:val="clear" w:color="auto" w:fill="auto"/>
            <w:vAlign w:val="center"/>
          </w:tcPr>
          <w:p w14:paraId="57A886CF"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邻</w:t>
            </w:r>
            <w:r w:rsidRPr="00E67914">
              <w:rPr>
                <w:rFonts w:ascii="Times New Roman" w:hAnsi="Times New Roman"/>
                <w:kern w:val="2"/>
                <w:sz w:val="21"/>
              </w:rPr>
              <w:t>-</w:t>
            </w:r>
            <w:r w:rsidRPr="00E67914">
              <w:rPr>
                <w:rFonts w:ascii="Times New Roman" w:hAnsi="Times New Roman"/>
                <w:kern w:val="2"/>
                <w:sz w:val="21"/>
              </w:rPr>
              <w:t>二甲苯</w:t>
            </w:r>
          </w:p>
        </w:tc>
        <w:tc>
          <w:tcPr>
            <w:tcW w:w="455" w:type="pct"/>
            <w:vAlign w:val="center"/>
          </w:tcPr>
          <w:p w14:paraId="7748850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3423F825"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62F3697F" w14:textId="300AFCFB"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5680771F" w14:textId="78E18D49"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03A3B3C8" w14:textId="3DBDC5FA"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2F2326F9" w14:textId="4C48103C"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640</w:t>
            </w:r>
          </w:p>
        </w:tc>
      </w:tr>
      <w:tr w:rsidR="00E67914" w:rsidRPr="00E67914" w14:paraId="411C5414" w14:textId="77777777" w:rsidTr="0037249B">
        <w:trPr>
          <w:trHeight w:val="454"/>
          <w:jc w:val="center"/>
        </w:trPr>
        <w:tc>
          <w:tcPr>
            <w:tcW w:w="1498" w:type="pct"/>
            <w:shd w:val="clear" w:color="auto" w:fill="auto"/>
            <w:vAlign w:val="center"/>
          </w:tcPr>
          <w:p w14:paraId="3A74387A"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硝基苯</w:t>
            </w:r>
          </w:p>
        </w:tc>
        <w:tc>
          <w:tcPr>
            <w:tcW w:w="455" w:type="pct"/>
            <w:vAlign w:val="center"/>
          </w:tcPr>
          <w:p w14:paraId="17A77511"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0E42D15D"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34669B80" w14:textId="309807B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49C8D84" w14:textId="7FF62320"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11B4FD71" w14:textId="3460E75B"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5F68589C" w14:textId="3A34ABF1"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76</w:t>
            </w:r>
          </w:p>
        </w:tc>
      </w:tr>
      <w:tr w:rsidR="00E67914" w:rsidRPr="00E67914" w14:paraId="7C71E39B" w14:textId="77777777" w:rsidTr="0037249B">
        <w:trPr>
          <w:trHeight w:val="454"/>
          <w:jc w:val="center"/>
        </w:trPr>
        <w:tc>
          <w:tcPr>
            <w:tcW w:w="1498" w:type="pct"/>
            <w:shd w:val="clear" w:color="auto" w:fill="auto"/>
            <w:vAlign w:val="center"/>
          </w:tcPr>
          <w:p w14:paraId="76D26352"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苯胺</w:t>
            </w:r>
          </w:p>
        </w:tc>
        <w:tc>
          <w:tcPr>
            <w:tcW w:w="455" w:type="pct"/>
            <w:vAlign w:val="center"/>
          </w:tcPr>
          <w:p w14:paraId="00393BC0"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2EB5EB13"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40805D5" w14:textId="536DE6B4"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41DE8737" w14:textId="20AE7B56"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258F37CD" w14:textId="0498583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12D47AA6" w14:textId="676B9710"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260</w:t>
            </w:r>
          </w:p>
        </w:tc>
      </w:tr>
      <w:tr w:rsidR="00E67914" w:rsidRPr="00E67914" w14:paraId="33D40BAB" w14:textId="77777777" w:rsidTr="0037249B">
        <w:trPr>
          <w:trHeight w:val="454"/>
          <w:jc w:val="center"/>
        </w:trPr>
        <w:tc>
          <w:tcPr>
            <w:tcW w:w="1498" w:type="pct"/>
            <w:shd w:val="clear" w:color="auto" w:fill="auto"/>
            <w:vAlign w:val="center"/>
          </w:tcPr>
          <w:p w14:paraId="38359F14"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w:t>
            </w:r>
            <w:r w:rsidRPr="00E67914">
              <w:rPr>
                <w:rFonts w:ascii="Times New Roman" w:hAnsi="Times New Roman"/>
                <w:kern w:val="2"/>
                <w:sz w:val="21"/>
              </w:rPr>
              <w:t>氯酚</w:t>
            </w:r>
          </w:p>
        </w:tc>
        <w:tc>
          <w:tcPr>
            <w:tcW w:w="455" w:type="pct"/>
            <w:vAlign w:val="center"/>
          </w:tcPr>
          <w:p w14:paraId="7C24A026"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2420C280"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7D2632C" w14:textId="3A3869B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4C387441" w14:textId="60BE5DB1"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3075AC77" w14:textId="637DEF4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D334B13" w14:textId="025C7809"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2256</w:t>
            </w:r>
          </w:p>
        </w:tc>
      </w:tr>
      <w:tr w:rsidR="00E67914" w:rsidRPr="00E67914" w14:paraId="121DBBE5" w14:textId="77777777" w:rsidTr="0037249B">
        <w:trPr>
          <w:trHeight w:val="454"/>
          <w:jc w:val="center"/>
        </w:trPr>
        <w:tc>
          <w:tcPr>
            <w:tcW w:w="1498" w:type="pct"/>
            <w:shd w:val="clear" w:color="auto" w:fill="auto"/>
            <w:vAlign w:val="center"/>
          </w:tcPr>
          <w:p w14:paraId="68D06B0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苯并（</w:t>
            </w:r>
            <w:r w:rsidRPr="00E67914">
              <w:rPr>
                <w:rFonts w:ascii="Times New Roman" w:hAnsi="Times New Roman"/>
                <w:kern w:val="2"/>
                <w:sz w:val="21"/>
              </w:rPr>
              <w:t>a</w:t>
            </w:r>
            <w:r w:rsidRPr="00E67914">
              <w:rPr>
                <w:rFonts w:ascii="Times New Roman" w:hAnsi="Times New Roman"/>
                <w:kern w:val="2"/>
                <w:sz w:val="21"/>
              </w:rPr>
              <w:t>）蒽</w:t>
            </w:r>
          </w:p>
        </w:tc>
        <w:tc>
          <w:tcPr>
            <w:tcW w:w="455" w:type="pct"/>
            <w:vAlign w:val="center"/>
          </w:tcPr>
          <w:p w14:paraId="1EA69F1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932345B"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60F82B1" w14:textId="213BB77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61B68027" w14:textId="021D4C23"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40A99B95" w14:textId="71507B4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6C158F0C" w14:textId="2D6617BE"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15</w:t>
            </w:r>
          </w:p>
        </w:tc>
      </w:tr>
      <w:tr w:rsidR="00E67914" w:rsidRPr="00E67914" w14:paraId="64037B8D" w14:textId="77777777" w:rsidTr="0037249B">
        <w:trPr>
          <w:trHeight w:val="454"/>
          <w:jc w:val="center"/>
        </w:trPr>
        <w:tc>
          <w:tcPr>
            <w:tcW w:w="1498" w:type="pct"/>
            <w:shd w:val="clear" w:color="auto" w:fill="auto"/>
            <w:vAlign w:val="center"/>
          </w:tcPr>
          <w:p w14:paraId="19BDEF7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苯并（</w:t>
            </w:r>
            <w:r w:rsidRPr="00E67914">
              <w:rPr>
                <w:rFonts w:ascii="Times New Roman" w:hAnsi="Times New Roman"/>
                <w:kern w:val="2"/>
                <w:sz w:val="21"/>
              </w:rPr>
              <w:t>a</w:t>
            </w:r>
            <w:r w:rsidRPr="00E67914">
              <w:rPr>
                <w:rFonts w:ascii="Times New Roman" w:hAnsi="Times New Roman"/>
                <w:kern w:val="2"/>
                <w:sz w:val="21"/>
              </w:rPr>
              <w:t>）芘</w:t>
            </w:r>
          </w:p>
        </w:tc>
        <w:tc>
          <w:tcPr>
            <w:tcW w:w="455" w:type="pct"/>
            <w:vAlign w:val="center"/>
          </w:tcPr>
          <w:p w14:paraId="2698C009"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4D0BF342"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5E800A95" w14:textId="0AFB30D9"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2D337B35" w14:textId="38FE7F5B"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4E304B12" w14:textId="379778B7"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122EDA3" w14:textId="45C26883"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1.5</w:t>
            </w:r>
          </w:p>
        </w:tc>
      </w:tr>
      <w:tr w:rsidR="00E67914" w:rsidRPr="00E67914" w14:paraId="479D6885" w14:textId="77777777" w:rsidTr="0037249B">
        <w:trPr>
          <w:trHeight w:val="454"/>
          <w:jc w:val="center"/>
        </w:trPr>
        <w:tc>
          <w:tcPr>
            <w:tcW w:w="1498" w:type="pct"/>
            <w:shd w:val="clear" w:color="auto" w:fill="auto"/>
            <w:vAlign w:val="center"/>
          </w:tcPr>
          <w:p w14:paraId="74A7BB71"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苯并（</w:t>
            </w:r>
            <w:r w:rsidRPr="00E67914">
              <w:rPr>
                <w:rFonts w:ascii="Times New Roman" w:hAnsi="Times New Roman"/>
                <w:kern w:val="2"/>
                <w:sz w:val="21"/>
              </w:rPr>
              <w:t>b</w:t>
            </w:r>
            <w:r w:rsidRPr="00E67914">
              <w:rPr>
                <w:rFonts w:ascii="Times New Roman" w:hAnsi="Times New Roman"/>
                <w:kern w:val="2"/>
                <w:sz w:val="21"/>
              </w:rPr>
              <w:t>）荧蒽</w:t>
            </w:r>
          </w:p>
        </w:tc>
        <w:tc>
          <w:tcPr>
            <w:tcW w:w="455" w:type="pct"/>
            <w:vAlign w:val="center"/>
          </w:tcPr>
          <w:p w14:paraId="61CEDB7B"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57C6DA38"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02AE7CB3" w14:textId="618DA0AA"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4C28BA52" w14:textId="16689916"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40A1E517" w14:textId="48FED76D"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7AF29725" w14:textId="2DBCD771"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15</w:t>
            </w:r>
          </w:p>
        </w:tc>
      </w:tr>
      <w:tr w:rsidR="00E67914" w:rsidRPr="00E67914" w14:paraId="03F901D0" w14:textId="77777777" w:rsidTr="0037249B">
        <w:trPr>
          <w:trHeight w:val="454"/>
          <w:jc w:val="center"/>
        </w:trPr>
        <w:tc>
          <w:tcPr>
            <w:tcW w:w="1498" w:type="pct"/>
            <w:shd w:val="clear" w:color="auto" w:fill="auto"/>
            <w:vAlign w:val="center"/>
          </w:tcPr>
          <w:p w14:paraId="7CBF8D74"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苯并（</w:t>
            </w:r>
            <w:r w:rsidRPr="00E67914">
              <w:rPr>
                <w:rFonts w:ascii="Times New Roman" w:hAnsi="Times New Roman"/>
                <w:kern w:val="2"/>
                <w:sz w:val="21"/>
              </w:rPr>
              <w:t>k</w:t>
            </w:r>
            <w:r w:rsidRPr="00E67914">
              <w:rPr>
                <w:rFonts w:ascii="Times New Roman" w:hAnsi="Times New Roman"/>
                <w:kern w:val="2"/>
                <w:sz w:val="21"/>
              </w:rPr>
              <w:t>）荧蒽</w:t>
            </w:r>
          </w:p>
        </w:tc>
        <w:tc>
          <w:tcPr>
            <w:tcW w:w="455" w:type="pct"/>
            <w:vAlign w:val="center"/>
          </w:tcPr>
          <w:p w14:paraId="5BA2A4DC"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099B605F"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28CCC4D3" w14:textId="11597D9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53516150" w14:textId="45C58F00"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79B26D23" w14:textId="739B4D5B"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52A7A1DA" w14:textId="1DDE716F"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151</w:t>
            </w:r>
          </w:p>
        </w:tc>
      </w:tr>
      <w:tr w:rsidR="00E67914" w:rsidRPr="00E67914" w14:paraId="68AB5E18" w14:textId="77777777" w:rsidTr="0037249B">
        <w:trPr>
          <w:trHeight w:val="454"/>
          <w:jc w:val="center"/>
        </w:trPr>
        <w:tc>
          <w:tcPr>
            <w:tcW w:w="1498" w:type="pct"/>
            <w:shd w:val="clear" w:color="auto" w:fill="auto"/>
            <w:vAlign w:val="center"/>
          </w:tcPr>
          <w:p w14:paraId="02C7455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䓛</w:t>
            </w:r>
          </w:p>
        </w:tc>
        <w:tc>
          <w:tcPr>
            <w:tcW w:w="455" w:type="pct"/>
            <w:vAlign w:val="center"/>
          </w:tcPr>
          <w:p w14:paraId="31BB8D4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03275D2D"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82E27F2" w14:textId="3132D50E"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026CCBBB" w14:textId="470BBAB5"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3FBD8DBE" w14:textId="27F39751"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3DBF22EB" w14:textId="4D11D24C"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1293</w:t>
            </w:r>
          </w:p>
        </w:tc>
      </w:tr>
      <w:tr w:rsidR="00E67914" w:rsidRPr="00E67914" w14:paraId="438B057D" w14:textId="77777777" w:rsidTr="0037249B">
        <w:trPr>
          <w:trHeight w:val="454"/>
          <w:jc w:val="center"/>
        </w:trPr>
        <w:tc>
          <w:tcPr>
            <w:tcW w:w="1498" w:type="pct"/>
            <w:shd w:val="clear" w:color="auto" w:fill="auto"/>
            <w:vAlign w:val="center"/>
          </w:tcPr>
          <w:p w14:paraId="1145BEED"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二苯并（</w:t>
            </w:r>
            <w:r w:rsidRPr="00E67914">
              <w:rPr>
                <w:rFonts w:ascii="Times New Roman" w:hAnsi="Times New Roman"/>
                <w:kern w:val="2"/>
                <w:sz w:val="21"/>
              </w:rPr>
              <w:t>a,h</w:t>
            </w:r>
            <w:r w:rsidRPr="00E67914">
              <w:rPr>
                <w:rFonts w:ascii="Times New Roman" w:hAnsi="Times New Roman"/>
                <w:kern w:val="2"/>
                <w:sz w:val="21"/>
              </w:rPr>
              <w:t>）蒽</w:t>
            </w:r>
          </w:p>
        </w:tc>
        <w:tc>
          <w:tcPr>
            <w:tcW w:w="455" w:type="pct"/>
            <w:vAlign w:val="center"/>
          </w:tcPr>
          <w:p w14:paraId="3BBA3568"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719FB02B"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6365636" w14:textId="06244877"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327A27E4" w14:textId="28068513"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4B8B8BFB" w14:textId="4700D09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3D96215F" w14:textId="65F38D95"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1.5</w:t>
            </w:r>
          </w:p>
        </w:tc>
      </w:tr>
      <w:tr w:rsidR="00E67914" w:rsidRPr="00E67914" w14:paraId="17E42F8A" w14:textId="77777777" w:rsidTr="0037249B">
        <w:trPr>
          <w:trHeight w:val="454"/>
          <w:jc w:val="center"/>
        </w:trPr>
        <w:tc>
          <w:tcPr>
            <w:tcW w:w="1498" w:type="pct"/>
            <w:shd w:val="clear" w:color="auto" w:fill="auto"/>
            <w:vAlign w:val="center"/>
          </w:tcPr>
          <w:p w14:paraId="475E6D4B"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茚并（</w:t>
            </w:r>
            <w:r w:rsidRPr="00E67914">
              <w:rPr>
                <w:rFonts w:ascii="Times New Roman" w:hAnsi="Times New Roman"/>
                <w:kern w:val="2"/>
                <w:sz w:val="21"/>
              </w:rPr>
              <w:t>1,2,3-c,d</w:t>
            </w:r>
            <w:r w:rsidRPr="00E67914">
              <w:rPr>
                <w:rFonts w:ascii="Times New Roman" w:hAnsi="Times New Roman"/>
                <w:kern w:val="2"/>
                <w:sz w:val="21"/>
              </w:rPr>
              <w:t>）芘</w:t>
            </w:r>
          </w:p>
        </w:tc>
        <w:tc>
          <w:tcPr>
            <w:tcW w:w="455" w:type="pct"/>
            <w:vAlign w:val="center"/>
          </w:tcPr>
          <w:p w14:paraId="0C93AAC5"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180AF6D9"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77ACADE8" w14:textId="38FCB08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5B8A12B4" w14:textId="1D2C0325"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0835D395" w14:textId="05504792"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36989DA2" w14:textId="438609E1"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15</w:t>
            </w:r>
          </w:p>
        </w:tc>
      </w:tr>
      <w:tr w:rsidR="00E67914" w:rsidRPr="00E67914" w14:paraId="18427695" w14:textId="77777777" w:rsidTr="0037249B">
        <w:trPr>
          <w:trHeight w:val="454"/>
          <w:jc w:val="center"/>
        </w:trPr>
        <w:tc>
          <w:tcPr>
            <w:tcW w:w="1498" w:type="pct"/>
            <w:shd w:val="clear" w:color="auto" w:fill="auto"/>
            <w:vAlign w:val="center"/>
          </w:tcPr>
          <w:p w14:paraId="280072E3"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萘</w:t>
            </w:r>
          </w:p>
        </w:tc>
        <w:tc>
          <w:tcPr>
            <w:tcW w:w="455" w:type="pct"/>
            <w:vAlign w:val="center"/>
          </w:tcPr>
          <w:p w14:paraId="34443952" w14:textId="77777777"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mg/kg</w:t>
            </w:r>
          </w:p>
        </w:tc>
        <w:tc>
          <w:tcPr>
            <w:tcW w:w="557" w:type="pct"/>
            <w:shd w:val="clear" w:color="auto" w:fill="auto"/>
            <w:vAlign w:val="center"/>
          </w:tcPr>
          <w:p w14:paraId="3857C3E0" w14:textId="77777777"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shd w:val="clear" w:color="auto" w:fill="auto"/>
            <w:noWrap/>
            <w:vAlign w:val="center"/>
          </w:tcPr>
          <w:p w14:paraId="1A022DFC" w14:textId="510E21AF"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vAlign w:val="center"/>
          </w:tcPr>
          <w:p w14:paraId="1F4689F6" w14:textId="3C8162BB" w:rsidR="0037249B" w:rsidRPr="00E67914" w:rsidRDefault="0037249B" w:rsidP="0037249B">
            <w:pPr>
              <w:jc w:val="center"/>
              <w:rPr>
                <w:rFonts w:ascii="Times New Roman" w:hAnsi="Times New Roman"/>
                <w:kern w:val="2"/>
                <w:sz w:val="21"/>
              </w:rPr>
            </w:pPr>
            <w:r w:rsidRPr="00E67914">
              <w:rPr>
                <w:rFonts w:ascii="Times New Roman" w:hAnsi="Times New Roman"/>
                <w:sz w:val="21"/>
                <w:lang w:eastAsia="zh-CN"/>
              </w:rPr>
              <w:t>未检出</w:t>
            </w:r>
          </w:p>
        </w:tc>
        <w:tc>
          <w:tcPr>
            <w:tcW w:w="710" w:type="pct"/>
            <w:vAlign w:val="center"/>
          </w:tcPr>
          <w:p w14:paraId="48F0BF73" w14:textId="73D65D6A" w:rsidR="0037249B" w:rsidRPr="00E67914" w:rsidRDefault="0037249B" w:rsidP="0037249B">
            <w:pPr>
              <w:jc w:val="center"/>
              <w:rPr>
                <w:rFonts w:ascii="Times New Roman" w:hAnsi="Times New Roman"/>
                <w:kern w:val="2"/>
                <w:sz w:val="21"/>
              </w:rPr>
            </w:pPr>
            <w:r w:rsidRPr="00E67914">
              <w:rPr>
                <w:rFonts w:ascii="Times New Roman" w:hAnsi="Times New Roman"/>
              </w:rPr>
              <w:t>满足</w:t>
            </w:r>
          </w:p>
        </w:tc>
        <w:tc>
          <w:tcPr>
            <w:tcW w:w="535" w:type="pct"/>
            <w:shd w:val="clear" w:color="auto" w:fill="auto"/>
            <w:noWrap/>
            <w:vAlign w:val="center"/>
          </w:tcPr>
          <w:p w14:paraId="60AAEC92" w14:textId="1402C29D" w:rsidR="0037249B" w:rsidRPr="00E67914" w:rsidRDefault="0037249B" w:rsidP="0037249B">
            <w:pPr>
              <w:jc w:val="center"/>
              <w:rPr>
                <w:rFonts w:ascii="Times New Roman" w:hAnsi="Times New Roman"/>
                <w:kern w:val="2"/>
                <w:sz w:val="21"/>
              </w:rPr>
            </w:pPr>
            <w:r w:rsidRPr="00E67914">
              <w:rPr>
                <w:rFonts w:ascii="Times New Roman" w:hAnsi="Times New Roman"/>
                <w:kern w:val="2"/>
                <w:sz w:val="21"/>
              </w:rPr>
              <w:t>70</w:t>
            </w:r>
          </w:p>
        </w:tc>
      </w:tr>
    </w:tbl>
    <w:p w14:paraId="48CBE7ED"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由表</w:t>
      </w:r>
      <w:r w:rsidRPr="00E67914">
        <w:rPr>
          <w:rFonts w:ascii="Times New Roman" w:hAnsi="Times New Roman"/>
          <w:bCs/>
          <w:kern w:val="2"/>
          <w:sz w:val="24"/>
          <w:szCs w:val="24"/>
          <w:lang w:eastAsia="zh-CN"/>
        </w:rPr>
        <w:t>4.2-12</w:t>
      </w:r>
      <w:r w:rsidRPr="00E67914">
        <w:rPr>
          <w:rFonts w:ascii="Times New Roman" w:hAnsi="Times New Roman"/>
          <w:bCs/>
          <w:kern w:val="2"/>
          <w:sz w:val="24"/>
          <w:szCs w:val="24"/>
          <w:lang w:eastAsia="zh-CN"/>
        </w:rPr>
        <w:t>、表</w:t>
      </w:r>
      <w:r w:rsidRPr="00E67914">
        <w:rPr>
          <w:rFonts w:ascii="Times New Roman" w:hAnsi="Times New Roman"/>
          <w:bCs/>
          <w:kern w:val="2"/>
          <w:sz w:val="24"/>
          <w:szCs w:val="24"/>
          <w:lang w:eastAsia="zh-CN"/>
        </w:rPr>
        <w:t>4.2-13</w:t>
      </w:r>
      <w:r w:rsidRPr="00E67914">
        <w:rPr>
          <w:rFonts w:ascii="Times New Roman" w:hAnsi="Times New Roman"/>
          <w:bCs/>
          <w:kern w:val="2"/>
          <w:sz w:val="24"/>
          <w:szCs w:val="24"/>
          <w:lang w:eastAsia="zh-CN"/>
        </w:rPr>
        <w:t>、表</w:t>
      </w:r>
      <w:r w:rsidRPr="00E67914">
        <w:rPr>
          <w:rFonts w:ascii="Times New Roman" w:hAnsi="Times New Roman"/>
          <w:bCs/>
          <w:kern w:val="2"/>
          <w:sz w:val="24"/>
          <w:szCs w:val="24"/>
          <w:lang w:eastAsia="zh-CN"/>
        </w:rPr>
        <w:t>4.2-14</w:t>
      </w:r>
      <w:r w:rsidRPr="00E67914">
        <w:rPr>
          <w:rFonts w:ascii="Times New Roman" w:hAnsi="Times New Roman"/>
          <w:bCs/>
          <w:kern w:val="2"/>
          <w:sz w:val="24"/>
          <w:szCs w:val="24"/>
          <w:lang w:eastAsia="zh-CN"/>
        </w:rPr>
        <w:t>可知，平台外土壤监测点监测值均低于《土壤环境质量</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农用地土壤污染风险管控标准（试行）》（</w:t>
      </w:r>
      <w:r w:rsidRPr="00E67914">
        <w:rPr>
          <w:rFonts w:ascii="Times New Roman" w:hAnsi="Times New Roman"/>
          <w:bCs/>
          <w:kern w:val="2"/>
          <w:sz w:val="24"/>
          <w:szCs w:val="24"/>
          <w:lang w:eastAsia="zh-CN"/>
        </w:rPr>
        <w:t>GB15618-2018</w:t>
      </w:r>
      <w:r w:rsidRPr="00E67914">
        <w:rPr>
          <w:rFonts w:ascii="Times New Roman" w:hAnsi="Times New Roman"/>
          <w:bCs/>
          <w:kern w:val="2"/>
          <w:sz w:val="24"/>
          <w:szCs w:val="24"/>
          <w:lang w:eastAsia="zh-CN"/>
        </w:rPr>
        <w:t>）风险筛选值；平台内各土壤监测点监测因子均低于《土壤环境质量</w:t>
      </w:r>
      <w:r w:rsidRPr="00E67914">
        <w:rPr>
          <w:rFonts w:ascii="Times New Roman" w:hAnsi="Times New Roman"/>
          <w:bCs/>
          <w:kern w:val="2"/>
          <w:sz w:val="24"/>
          <w:szCs w:val="24"/>
          <w:lang w:eastAsia="zh-CN"/>
        </w:rPr>
        <w:t xml:space="preserve"> </w:t>
      </w:r>
      <w:r w:rsidRPr="00E67914">
        <w:rPr>
          <w:rFonts w:ascii="Times New Roman" w:hAnsi="Times New Roman"/>
          <w:bCs/>
          <w:kern w:val="2"/>
          <w:sz w:val="24"/>
          <w:szCs w:val="24"/>
          <w:lang w:eastAsia="zh-CN"/>
        </w:rPr>
        <w:t>建设用地土壤污染风险管控标准（试行）》（</w:t>
      </w:r>
      <w:r w:rsidRPr="00E67914">
        <w:rPr>
          <w:rFonts w:ascii="Times New Roman" w:hAnsi="Times New Roman"/>
          <w:bCs/>
          <w:kern w:val="2"/>
          <w:sz w:val="24"/>
          <w:szCs w:val="24"/>
          <w:lang w:eastAsia="zh-CN"/>
        </w:rPr>
        <w:t>GB36600-2018</w:t>
      </w:r>
      <w:r w:rsidRPr="00E67914">
        <w:rPr>
          <w:rFonts w:ascii="Times New Roman" w:hAnsi="Times New Roman"/>
          <w:bCs/>
          <w:kern w:val="2"/>
          <w:sz w:val="24"/>
          <w:szCs w:val="24"/>
          <w:lang w:eastAsia="zh-CN"/>
        </w:rPr>
        <w:t>）中的第二类用地筛选值。</w:t>
      </w:r>
    </w:p>
    <w:p w14:paraId="518D58F8"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18" w:name="_Toc100100054"/>
      <w:r w:rsidRPr="00E67914">
        <w:rPr>
          <w:rFonts w:ascii="Times New Roman" w:eastAsia="黑体" w:hAnsi="Times New Roman"/>
          <w:b w:val="0"/>
          <w:sz w:val="24"/>
          <w:szCs w:val="24"/>
          <w:lang w:eastAsia="zh-CN"/>
        </w:rPr>
        <w:t xml:space="preserve">4.2.6 </w:t>
      </w:r>
      <w:r w:rsidRPr="00E67914">
        <w:rPr>
          <w:rFonts w:ascii="Times New Roman" w:eastAsia="黑体" w:hAnsi="Times New Roman"/>
          <w:b w:val="0"/>
          <w:sz w:val="24"/>
          <w:szCs w:val="24"/>
          <w:lang w:eastAsia="zh-CN"/>
        </w:rPr>
        <w:t>包气带污染情况调查</w:t>
      </w:r>
      <w:bookmarkEnd w:id="118"/>
    </w:p>
    <w:p w14:paraId="369B152F" w14:textId="4AB573EE"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为了解本项目所在区域包气带污染现状，本次评价委托四川省允诺信检测技术有限公司对</w:t>
      </w:r>
      <w:r w:rsidR="00902A04" w:rsidRPr="00E67914">
        <w:rPr>
          <w:rFonts w:ascii="Times New Roman" w:hAnsi="Times New Roman"/>
          <w:bCs/>
          <w:kern w:val="2"/>
          <w:sz w:val="24"/>
          <w:szCs w:val="24"/>
          <w:lang w:eastAsia="zh-CN"/>
        </w:rPr>
        <w:t>普陆页</w:t>
      </w:r>
      <w:r w:rsidR="00902A04" w:rsidRPr="00E67914">
        <w:rPr>
          <w:rFonts w:ascii="Times New Roman" w:hAnsi="Times New Roman"/>
          <w:bCs/>
          <w:kern w:val="2"/>
          <w:sz w:val="24"/>
          <w:szCs w:val="24"/>
          <w:lang w:eastAsia="zh-CN"/>
        </w:rPr>
        <w:t>2</w:t>
      </w:r>
      <w:r w:rsidR="00902A04" w:rsidRPr="00E67914">
        <w:rPr>
          <w:rFonts w:ascii="Times New Roman" w:hAnsi="Times New Roman"/>
          <w:bCs/>
          <w:kern w:val="2"/>
          <w:sz w:val="24"/>
          <w:szCs w:val="24"/>
          <w:lang w:eastAsia="zh-CN"/>
        </w:rPr>
        <w:t>试采站</w:t>
      </w:r>
      <w:r w:rsidRPr="00E67914">
        <w:rPr>
          <w:rFonts w:ascii="Times New Roman" w:hAnsi="Times New Roman"/>
          <w:bCs/>
          <w:kern w:val="2"/>
          <w:sz w:val="24"/>
          <w:szCs w:val="24"/>
          <w:lang w:eastAsia="zh-CN"/>
        </w:rPr>
        <w:t>污水池处包气带</w:t>
      </w:r>
      <w:bookmarkStart w:id="119" w:name="_Hlk112011396"/>
      <w:r w:rsidRPr="00E67914">
        <w:rPr>
          <w:rFonts w:ascii="Times New Roman" w:hAnsi="Times New Roman"/>
          <w:bCs/>
          <w:kern w:val="2"/>
          <w:sz w:val="24"/>
          <w:szCs w:val="24"/>
          <w:lang w:eastAsia="zh-CN"/>
        </w:rPr>
        <w:t>现状进行了监测</w:t>
      </w:r>
      <w:bookmarkEnd w:id="119"/>
      <w:r w:rsidRPr="00E67914">
        <w:rPr>
          <w:rFonts w:ascii="Times New Roman" w:hAnsi="Times New Roman"/>
          <w:bCs/>
          <w:kern w:val="2"/>
          <w:sz w:val="24"/>
          <w:szCs w:val="24"/>
          <w:lang w:eastAsia="zh-CN"/>
        </w:rPr>
        <w:t>。监测布点见附图</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w:t>
      </w:r>
    </w:p>
    <w:p w14:paraId="768885E9"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）监测布点</w:t>
      </w:r>
    </w:p>
    <w:p w14:paraId="6E8633AD" w14:textId="187E13DE"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bookmarkStart w:id="120" w:name="_Hlk93351647"/>
      <w:r w:rsidRPr="00E67914">
        <w:rPr>
          <w:rFonts w:ascii="Times New Roman" w:hAnsi="Times New Roman"/>
          <w:bCs/>
          <w:kern w:val="2"/>
          <w:sz w:val="24"/>
          <w:szCs w:val="24"/>
          <w:lang w:eastAsia="zh-CN"/>
        </w:rPr>
        <w:lastRenderedPageBreak/>
        <w:t>共布设</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个监测点，平台污水池地表径流下游设置一个点位，污水池地表径流上游设置一个点位，分别在</w:t>
      </w:r>
      <w:r w:rsidRPr="00E67914">
        <w:rPr>
          <w:rFonts w:ascii="Times New Roman" w:hAnsi="Times New Roman"/>
          <w:bCs/>
          <w:kern w:val="2"/>
          <w:sz w:val="24"/>
          <w:szCs w:val="24"/>
          <w:lang w:eastAsia="zh-CN"/>
        </w:rPr>
        <w:t>0~20cm</w:t>
      </w:r>
      <w:r w:rsidRPr="00E67914">
        <w:rPr>
          <w:rFonts w:ascii="Times New Roman" w:hAnsi="Times New Roman"/>
          <w:bCs/>
          <w:kern w:val="2"/>
          <w:sz w:val="24"/>
          <w:szCs w:val="24"/>
          <w:lang w:eastAsia="zh-CN"/>
        </w:rPr>
        <w:t>和</w:t>
      </w:r>
      <w:r w:rsidRPr="00E67914">
        <w:rPr>
          <w:rFonts w:ascii="Times New Roman" w:hAnsi="Times New Roman"/>
          <w:bCs/>
          <w:kern w:val="2"/>
          <w:sz w:val="24"/>
          <w:szCs w:val="24"/>
          <w:lang w:eastAsia="zh-CN"/>
        </w:rPr>
        <w:t>20~60cm</w:t>
      </w:r>
      <w:r w:rsidRPr="00E67914">
        <w:rPr>
          <w:rFonts w:ascii="Times New Roman" w:hAnsi="Times New Roman"/>
          <w:bCs/>
          <w:kern w:val="2"/>
          <w:sz w:val="24"/>
          <w:szCs w:val="24"/>
          <w:lang w:eastAsia="zh-CN"/>
        </w:rPr>
        <w:t>处取样，进行浸溶试验，测试分析浸溶液成分。</w:t>
      </w:r>
    </w:p>
    <w:p w14:paraId="2D7973C0"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）监测因子</w:t>
      </w:r>
    </w:p>
    <w:p w14:paraId="275A68FD"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pH</w:t>
      </w:r>
      <w:r w:rsidRPr="00E67914">
        <w:rPr>
          <w:rFonts w:ascii="Times New Roman" w:hAnsi="Times New Roman"/>
          <w:bCs/>
          <w:kern w:val="2"/>
          <w:sz w:val="24"/>
          <w:szCs w:val="24"/>
          <w:lang w:eastAsia="zh-CN"/>
        </w:rPr>
        <w:t>、氨氮、挥发酚、石油类、六价铬、氯化物。</w:t>
      </w:r>
    </w:p>
    <w:p w14:paraId="527A7C63"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）监测时间与频率</w:t>
      </w:r>
    </w:p>
    <w:p w14:paraId="4002D0EF" w14:textId="76084088"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2023</w:t>
      </w:r>
      <w:r w:rsidRPr="00E67914">
        <w:rPr>
          <w:rFonts w:ascii="Times New Roman" w:hAnsi="Times New Roman"/>
          <w:bCs/>
          <w:kern w:val="2"/>
          <w:sz w:val="24"/>
          <w:szCs w:val="24"/>
          <w:lang w:eastAsia="zh-CN"/>
        </w:rPr>
        <w:t>年</w:t>
      </w:r>
      <w:r w:rsidR="0037249B"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月</w:t>
      </w:r>
      <w:r w:rsidR="0037249B" w:rsidRPr="00E67914">
        <w:rPr>
          <w:rFonts w:ascii="Times New Roman" w:hAnsi="Times New Roman"/>
          <w:bCs/>
          <w:kern w:val="2"/>
          <w:sz w:val="24"/>
          <w:szCs w:val="24"/>
          <w:lang w:eastAsia="zh-CN"/>
        </w:rPr>
        <w:t>8</w:t>
      </w:r>
      <w:r w:rsidRPr="00E67914">
        <w:rPr>
          <w:rFonts w:ascii="Times New Roman" w:hAnsi="Times New Roman"/>
          <w:bCs/>
          <w:kern w:val="2"/>
          <w:sz w:val="24"/>
          <w:szCs w:val="24"/>
          <w:lang w:eastAsia="zh-CN"/>
        </w:rPr>
        <w:t>日，监测一次。</w:t>
      </w:r>
    </w:p>
    <w:bookmarkEnd w:id="120"/>
    <w:p w14:paraId="47163B0A"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）监测结果及评价</w:t>
      </w:r>
    </w:p>
    <w:p w14:paraId="3AE3BCC9"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本项目所在地周边包气带监测及评价结果见表</w:t>
      </w:r>
      <w:r w:rsidRPr="00E67914">
        <w:rPr>
          <w:rFonts w:ascii="Times New Roman" w:hAnsi="Times New Roman"/>
          <w:bCs/>
          <w:kern w:val="2"/>
          <w:sz w:val="24"/>
          <w:szCs w:val="24"/>
          <w:lang w:eastAsia="zh-CN"/>
        </w:rPr>
        <w:t>4.2-15</w:t>
      </w:r>
      <w:r w:rsidRPr="00E67914">
        <w:rPr>
          <w:rFonts w:ascii="Times New Roman" w:hAnsi="Times New Roman"/>
          <w:bCs/>
          <w:kern w:val="2"/>
          <w:sz w:val="24"/>
          <w:szCs w:val="24"/>
          <w:lang w:eastAsia="zh-CN"/>
        </w:rPr>
        <w:t>。</w:t>
      </w:r>
    </w:p>
    <w:p w14:paraId="4DCE2FCE"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4.2-15  </w:t>
      </w:r>
      <w:r w:rsidRPr="00E67914">
        <w:rPr>
          <w:rFonts w:ascii="Times New Roman" w:eastAsia="黑体" w:hAnsi="Times New Roman"/>
          <w:sz w:val="21"/>
          <w:szCs w:val="21"/>
          <w:lang w:eastAsia="zh-CN"/>
        </w:rPr>
        <w:t>本项目包气带污染现状监测与评价表</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mg/L</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pH</w:t>
      </w:r>
      <w:r w:rsidRPr="00E67914">
        <w:rPr>
          <w:rFonts w:ascii="Times New Roman" w:eastAsia="黑体" w:hAnsi="Times New Roman"/>
          <w:sz w:val="21"/>
          <w:szCs w:val="21"/>
          <w:lang w:eastAsia="zh-CN"/>
        </w:rPr>
        <w:t>除外）</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57"/>
        <w:gridCol w:w="1647"/>
        <w:gridCol w:w="888"/>
        <w:gridCol w:w="848"/>
        <w:gridCol w:w="900"/>
        <w:gridCol w:w="852"/>
        <w:gridCol w:w="870"/>
        <w:gridCol w:w="838"/>
      </w:tblGrid>
      <w:tr w:rsidR="00E67914" w:rsidRPr="00E67914" w14:paraId="41AA3029" w14:textId="77777777">
        <w:trPr>
          <w:trHeight w:val="454"/>
          <w:jc w:val="center"/>
        </w:trPr>
        <w:tc>
          <w:tcPr>
            <w:tcW w:w="878" w:type="pct"/>
            <w:shd w:val="clear" w:color="auto" w:fill="auto"/>
            <w:vAlign w:val="center"/>
          </w:tcPr>
          <w:p w14:paraId="7A0CC1EE" w14:textId="77777777" w:rsidR="00A54A8A" w:rsidRPr="00E67914" w:rsidRDefault="00000000">
            <w:pPr>
              <w:pStyle w:val="06"/>
              <w:rPr>
                <w:rFonts w:cs="Times New Roman"/>
              </w:rPr>
            </w:pPr>
            <w:bookmarkStart w:id="121" w:name="_Hlk93351731"/>
            <w:r w:rsidRPr="00E67914">
              <w:rPr>
                <w:rFonts w:cs="Times New Roman"/>
              </w:rPr>
              <w:t>点位</w:t>
            </w:r>
          </w:p>
        </w:tc>
        <w:tc>
          <w:tcPr>
            <w:tcW w:w="992" w:type="pct"/>
            <w:shd w:val="clear" w:color="auto" w:fill="auto"/>
            <w:vAlign w:val="center"/>
          </w:tcPr>
          <w:p w14:paraId="5678CE55" w14:textId="77777777" w:rsidR="00A54A8A" w:rsidRPr="00E67914" w:rsidRDefault="00000000">
            <w:pPr>
              <w:pStyle w:val="06"/>
              <w:rPr>
                <w:rFonts w:cs="Times New Roman"/>
              </w:rPr>
            </w:pPr>
            <w:r w:rsidRPr="00E67914">
              <w:rPr>
                <w:rFonts w:cs="Times New Roman"/>
              </w:rPr>
              <w:t>取样深度</w:t>
            </w:r>
          </w:p>
        </w:tc>
        <w:tc>
          <w:tcPr>
            <w:tcW w:w="535" w:type="pct"/>
            <w:shd w:val="clear" w:color="auto" w:fill="auto"/>
            <w:vAlign w:val="center"/>
          </w:tcPr>
          <w:p w14:paraId="73906AEB" w14:textId="77777777" w:rsidR="00A54A8A" w:rsidRPr="00E67914" w:rsidRDefault="00000000">
            <w:pPr>
              <w:pStyle w:val="06"/>
              <w:rPr>
                <w:rFonts w:cs="Times New Roman"/>
              </w:rPr>
            </w:pPr>
            <w:r w:rsidRPr="00E67914">
              <w:rPr>
                <w:rFonts w:cs="Times New Roman"/>
              </w:rPr>
              <w:t>pH</w:t>
            </w:r>
          </w:p>
        </w:tc>
        <w:tc>
          <w:tcPr>
            <w:tcW w:w="511" w:type="pct"/>
            <w:shd w:val="clear" w:color="auto" w:fill="auto"/>
            <w:vAlign w:val="center"/>
          </w:tcPr>
          <w:p w14:paraId="0662A3A0" w14:textId="77777777" w:rsidR="00A54A8A" w:rsidRPr="00E67914" w:rsidRDefault="00000000">
            <w:pPr>
              <w:pStyle w:val="06"/>
              <w:rPr>
                <w:rFonts w:cs="Times New Roman"/>
              </w:rPr>
            </w:pPr>
            <w:r w:rsidRPr="00E67914">
              <w:rPr>
                <w:rFonts w:cs="Times New Roman"/>
              </w:rPr>
              <w:t>氨氮</w:t>
            </w:r>
          </w:p>
        </w:tc>
        <w:tc>
          <w:tcPr>
            <w:tcW w:w="542" w:type="pct"/>
            <w:shd w:val="clear" w:color="auto" w:fill="auto"/>
            <w:vAlign w:val="center"/>
          </w:tcPr>
          <w:p w14:paraId="112BD41F" w14:textId="77777777" w:rsidR="00A54A8A" w:rsidRPr="00E67914" w:rsidRDefault="00000000">
            <w:pPr>
              <w:pStyle w:val="06"/>
              <w:rPr>
                <w:rFonts w:cs="Times New Roman"/>
              </w:rPr>
            </w:pPr>
            <w:r w:rsidRPr="00E67914">
              <w:rPr>
                <w:rFonts w:cs="Times New Roman"/>
              </w:rPr>
              <w:t>挥发酚</w:t>
            </w:r>
          </w:p>
        </w:tc>
        <w:tc>
          <w:tcPr>
            <w:tcW w:w="513" w:type="pct"/>
            <w:shd w:val="clear" w:color="auto" w:fill="auto"/>
            <w:vAlign w:val="center"/>
          </w:tcPr>
          <w:p w14:paraId="59755611" w14:textId="77777777" w:rsidR="00A54A8A" w:rsidRPr="00E67914" w:rsidRDefault="00000000">
            <w:pPr>
              <w:pStyle w:val="06"/>
              <w:rPr>
                <w:rFonts w:cs="Times New Roman"/>
              </w:rPr>
            </w:pPr>
            <w:r w:rsidRPr="00E67914">
              <w:rPr>
                <w:rFonts w:cs="Times New Roman"/>
              </w:rPr>
              <w:t>石油类</w:t>
            </w:r>
          </w:p>
        </w:tc>
        <w:tc>
          <w:tcPr>
            <w:tcW w:w="524" w:type="pct"/>
            <w:vAlign w:val="center"/>
          </w:tcPr>
          <w:p w14:paraId="0573BBD9" w14:textId="77777777" w:rsidR="00A54A8A" w:rsidRPr="00E67914" w:rsidRDefault="00000000">
            <w:pPr>
              <w:pStyle w:val="06"/>
              <w:rPr>
                <w:rFonts w:cs="Times New Roman"/>
              </w:rPr>
            </w:pPr>
            <w:r w:rsidRPr="00E67914">
              <w:rPr>
                <w:rFonts w:cs="Times New Roman"/>
              </w:rPr>
              <w:t>六价铬</w:t>
            </w:r>
          </w:p>
        </w:tc>
        <w:tc>
          <w:tcPr>
            <w:tcW w:w="505" w:type="pct"/>
            <w:vAlign w:val="center"/>
          </w:tcPr>
          <w:p w14:paraId="43FA1600" w14:textId="77777777" w:rsidR="00A54A8A" w:rsidRPr="00E67914" w:rsidRDefault="00000000">
            <w:pPr>
              <w:pStyle w:val="06"/>
              <w:rPr>
                <w:rFonts w:cs="Times New Roman"/>
              </w:rPr>
            </w:pPr>
            <w:r w:rsidRPr="00E67914">
              <w:rPr>
                <w:rFonts w:cs="Times New Roman"/>
              </w:rPr>
              <w:t>氯化物</w:t>
            </w:r>
          </w:p>
        </w:tc>
      </w:tr>
      <w:tr w:rsidR="00E67914" w:rsidRPr="00E67914" w14:paraId="74D21A13" w14:textId="77777777">
        <w:trPr>
          <w:trHeight w:val="454"/>
          <w:jc w:val="center"/>
        </w:trPr>
        <w:tc>
          <w:tcPr>
            <w:tcW w:w="878" w:type="pct"/>
            <w:vMerge w:val="restart"/>
            <w:shd w:val="clear" w:color="auto" w:fill="auto"/>
            <w:vAlign w:val="center"/>
          </w:tcPr>
          <w:p w14:paraId="39065974" w14:textId="2217CD04" w:rsidR="00A54A8A" w:rsidRPr="00E67914" w:rsidRDefault="0037249B">
            <w:pPr>
              <w:pStyle w:val="04"/>
              <w:rPr>
                <w:rFonts w:cs="Times New Roman"/>
              </w:rPr>
            </w:pPr>
            <w:r w:rsidRPr="00E67914">
              <w:rPr>
                <w:rFonts w:cs="Times New Roman"/>
                <w:kern w:val="2"/>
              </w:rPr>
              <w:t>普陆页</w:t>
            </w:r>
            <w:r w:rsidRPr="00E67914">
              <w:rPr>
                <w:rFonts w:cs="Times New Roman"/>
                <w:kern w:val="2"/>
              </w:rPr>
              <w:t>2</w:t>
            </w:r>
            <w:r w:rsidRPr="00E67914">
              <w:rPr>
                <w:rFonts w:cs="Times New Roman"/>
                <w:kern w:val="2"/>
              </w:rPr>
              <w:t>试采站废水池上游</w:t>
            </w:r>
          </w:p>
        </w:tc>
        <w:tc>
          <w:tcPr>
            <w:tcW w:w="992" w:type="pct"/>
            <w:shd w:val="clear" w:color="auto" w:fill="auto"/>
            <w:vAlign w:val="center"/>
          </w:tcPr>
          <w:p w14:paraId="43A298B3" w14:textId="77777777" w:rsidR="00A54A8A" w:rsidRPr="00E67914" w:rsidRDefault="00000000">
            <w:pPr>
              <w:pStyle w:val="04"/>
              <w:rPr>
                <w:rFonts w:cs="Times New Roman"/>
              </w:rPr>
            </w:pPr>
            <w:r w:rsidRPr="00E67914">
              <w:rPr>
                <w:rFonts w:cs="Times New Roman"/>
              </w:rPr>
              <w:t>0~20cm</w:t>
            </w:r>
          </w:p>
        </w:tc>
        <w:tc>
          <w:tcPr>
            <w:tcW w:w="535" w:type="pct"/>
            <w:shd w:val="clear" w:color="auto" w:fill="auto"/>
            <w:vAlign w:val="center"/>
          </w:tcPr>
          <w:p w14:paraId="4FC8D189" w14:textId="7A1D8FC8" w:rsidR="00A54A8A" w:rsidRPr="00E67914" w:rsidRDefault="0037249B">
            <w:pPr>
              <w:pStyle w:val="04"/>
              <w:rPr>
                <w:rFonts w:cs="Times New Roman"/>
              </w:rPr>
            </w:pPr>
            <w:r w:rsidRPr="00E67914">
              <w:rPr>
                <w:rFonts w:cs="Times New Roman"/>
              </w:rPr>
              <w:t>7.5</w:t>
            </w:r>
          </w:p>
        </w:tc>
        <w:tc>
          <w:tcPr>
            <w:tcW w:w="511" w:type="pct"/>
            <w:shd w:val="clear" w:color="auto" w:fill="auto"/>
            <w:vAlign w:val="center"/>
          </w:tcPr>
          <w:p w14:paraId="661B4BAF" w14:textId="37A8837B" w:rsidR="00A54A8A" w:rsidRPr="00E67914" w:rsidRDefault="0037249B">
            <w:pPr>
              <w:pStyle w:val="04"/>
              <w:rPr>
                <w:rFonts w:cs="Times New Roman"/>
              </w:rPr>
            </w:pPr>
            <w:r w:rsidRPr="00E67914">
              <w:rPr>
                <w:rFonts w:cs="Times New Roman"/>
              </w:rPr>
              <w:t>0.579</w:t>
            </w:r>
          </w:p>
        </w:tc>
        <w:tc>
          <w:tcPr>
            <w:tcW w:w="542" w:type="pct"/>
            <w:shd w:val="clear" w:color="auto" w:fill="auto"/>
            <w:vAlign w:val="center"/>
          </w:tcPr>
          <w:p w14:paraId="40336D63" w14:textId="4BF91632" w:rsidR="00A54A8A" w:rsidRPr="00E67914" w:rsidRDefault="0037249B">
            <w:pPr>
              <w:pStyle w:val="04"/>
              <w:rPr>
                <w:rFonts w:cs="Times New Roman"/>
              </w:rPr>
            </w:pPr>
            <w:r w:rsidRPr="00E67914">
              <w:rPr>
                <w:rFonts w:cs="Times New Roman"/>
              </w:rPr>
              <w:t>未检出</w:t>
            </w:r>
          </w:p>
        </w:tc>
        <w:tc>
          <w:tcPr>
            <w:tcW w:w="513" w:type="pct"/>
            <w:shd w:val="clear" w:color="auto" w:fill="auto"/>
            <w:vAlign w:val="center"/>
          </w:tcPr>
          <w:p w14:paraId="0FF84FA0" w14:textId="77777777" w:rsidR="00A54A8A" w:rsidRPr="00E67914" w:rsidRDefault="00000000">
            <w:pPr>
              <w:pStyle w:val="04"/>
              <w:rPr>
                <w:rFonts w:cs="Times New Roman"/>
              </w:rPr>
            </w:pPr>
            <w:r w:rsidRPr="00E67914">
              <w:rPr>
                <w:rFonts w:cs="Times New Roman"/>
              </w:rPr>
              <w:t>未检出</w:t>
            </w:r>
          </w:p>
        </w:tc>
        <w:tc>
          <w:tcPr>
            <w:tcW w:w="524" w:type="pct"/>
            <w:vAlign w:val="center"/>
          </w:tcPr>
          <w:p w14:paraId="44136CBD" w14:textId="77777777" w:rsidR="00A54A8A" w:rsidRPr="00E67914" w:rsidRDefault="00000000">
            <w:pPr>
              <w:pStyle w:val="04"/>
              <w:rPr>
                <w:rFonts w:cs="Times New Roman"/>
              </w:rPr>
            </w:pPr>
            <w:r w:rsidRPr="00E67914">
              <w:rPr>
                <w:rFonts w:cs="Times New Roman"/>
              </w:rPr>
              <w:t>&lt;0.004</w:t>
            </w:r>
          </w:p>
        </w:tc>
        <w:tc>
          <w:tcPr>
            <w:tcW w:w="505" w:type="pct"/>
            <w:vAlign w:val="center"/>
          </w:tcPr>
          <w:p w14:paraId="383F70AB" w14:textId="4692EDB2" w:rsidR="00A54A8A" w:rsidRPr="00E67914" w:rsidRDefault="0037249B">
            <w:pPr>
              <w:pStyle w:val="04"/>
              <w:rPr>
                <w:rFonts w:cs="Times New Roman"/>
              </w:rPr>
            </w:pPr>
            <w:r w:rsidRPr="00E67914">
              <w:rPr>
                <w:rFonts w:cs="Times New Roman"/>
              </w:rPr>
              <w:t>74</w:t>
            </w:r>
          </w:p>
        </w:tc>
      </w:tr>
      <w:tr w:rsidR="00E67914" w:rsidRPr="00E67914" w14:paraId="64B52D22" w14:textId="77777777">
        <w:trPr>
          <w:trHeight w:val="454"/>
          <w:jc w:val="center"/>
        </w:trPr>
        <w:tc>
          <w:tcPr>
            <w:tcW w:w="878" w:type="pct"/>
            <w:vMerge/>
            <w:shd w:val="clear" w:color="auto" w:fill="auto"/>
            <w:vAlign w:val="center"/>
          </w:tcPr>
          <w:p w14:paraId="3B3F2F75" w14:textId="77777777" w:rsidR="00A54A8A" w:rsidRPr="00E67914" w:rsidRDefault="00A54A8A">
            <w:pPr>
              <w:pStyle w:val="04"/>
              <w:rPr>
                <w:rFonts w:cs="Times New Roman"/>
              </w:rPr>
            </w:pPr>
          </w:p>
        </w:tc>
        <w:tc>
          <w:tcPr>
            <w:tcW w:w="992" w:type="pct"/>
            <w:shd w:val="clear" w:color="auto" w:fill="auto"/>
            <w:vAlign w:val="center"/>
          </w:tcPr>
          <w:p w14:paraId="020C6C5B" w14:textId="77777777" w:rsidR="00A54A8A" w:rsidRPr="00E67914" w:rsidRDefault="00000000">
            <w:pPr>
              <w:pStyle w:val="04"/>
              <w:rPr>
                <w:rFonts w:cs="Times New Roman"/>
              </w:rPr>
            </w:pPr>
            <w:r w:rsidRPr="00E67914">
              <w:rPr>
                <w:rFonts w:cs="Times New Roman"/>
              </w:rPr>
              <w:t>20~60cm</w:t>
            </w:r>
          </w:p>
        </w:tc>
        <w:tc>
          <w:tcPr>
            <w:tcW w:w="535" w:type="pct"/>
            <w:shd w:val="clear" w:color="auto" w:fill="auto"/>
            <w:vAlign w:val="center"/>
          </w:tcPr>
          <w:p w14:paraId="31A59229" w14:textId="64FEE592" w:rsidR="00A54A8A" w:rsidRPr="00E67914" w:rsidRDefault="0037249B">
            <w:pPr>
              <w:pStyle w:val="04"/>
              <w:rPr>
                <w:rFonts w:cs="Times New Roman"/>
              </w:rPr>
            </w:pPr>
            <w:r w:rsidRPr="00E67914">
              <w:rPr>
                <w:rFonts w:cs="Times New Roman"/>
              </w:rPr>
              <w:t>7.6</w:t>
            </w:r>
          </w:p>
        </w:tc>
        <w:tc>
          <w:tcPr>
            <w:tcW w:w="511" w:type="pct"/>
            <w:shd w:val="clear" w:color="auto" w:fill="auto"/>
            <w:vAlign w:val="center"/>
          </w:tcPr>
          <w:p w14:paraId="37E50417" w14:textId="51217157" w:rsidR="00A54A8A" w:rsidRPr="00E67914" w:rsidRDefault="0037249B">
            <w:pPr>
              <w:pStyle w:val="04"/>
              <w:rPr>
                <w:rFonts w:cs="Times New Roman"/>
              </w:rPr>
            </w:pPr>
            <w:r w:rsidRPr="00E67914">
              <w:rPr>
                <w:rFonts w:cs="Times New Roman"/>
              </w:rPr>
              <w:t>0.482</w:t>
            </w:r>
          </w:p>
        </w:tc>
        <w:tc>
          <w:tcPr>
            <w:tcW w:w="542" w:type="pct"/>
            <w:shd w:val="clear" w:color="auto" w:fill="auto"/>
            <w:vAlign w:val="center"/>
          </w:tcPr>
          <w:p w14:paraId="67DAC4FD" w14:textId="77777777" w:rsidR="00A54A8A" w:rsidRPr="00E67914" w:rsidRDefault="00000000">
            <w:pPr>
              <w:pStyle w:val="04"/>
              <w:rPr>
                <w:rFonts w:cs="Times New Roman"/>
              </w:rPr>
            </w:pPr>
            <w:r w:rsidRPr="00E67914">
              <w:rPr>
                <w:rFonts w:cs="Times New Roman"/>
              </w:rPr>
              <w:t>未检出</w:t>
            </w:r>
          </w:p>
        </w:tc>
        <w:tc>
          <w:tcPr>
            <w:tcW w:w="513" w:type="pct"/>
            <w:shd w:val="clear" w:color="auto" w:fill="auto"/>
            <w:vAlign w:val="center"/>
          </w:tcPr>
          <w:p w14:paraId="4EC4078F" w14:textId="77777777" w:rsidR="00A54A8A" w:rsidRPr="00E67914" w:rsidRDefault="00000000">
            <w:pPr>
              <w:pStyle w:val="04"/>
              <w:rPr>
                <w:rFonts w:cs="Times New Roman"/>
              </w:rPr>
            </w:pPr>
            <w:r w:rsidRPr="00E67914">
              <w:rPr>
                <w:rFonts w:cs="Times New Roman"/>
              </w:rPr>
              <w:t>未检出</w:t>
            </w:r>
          </w:p>
        </w:tc>
        <w:tc>
          <w:tcPr>
            <w:tcW w:w="524" w:type="pct"/>
            <w:vAlign w:val="center"/>
          </w:tcPr>
          <w:p w14:paraId="5162D722" w14:textId="77777777" w:rsidR="00A54A8A" w:rsidRPr="00E67914" w:rsidRDefault="00000000">
            <w:pPr>
              <w:pStyle w:val="04"/>
              <w:rPr>
                <w:rFonts w:cs="Times New Roman"/>
              </w:rPr>
            </w:pPr>
            <w:r w:rsidRPr="00E67914">
              <w:rPr>
                <w:rFonts w:cs="Times New Roman"/>
              </w:rPr>
              <w:t>&lt;0.004</w:t>
            </w:r>
          </w:p>
        </w:tc>
        <w:tc>
          <w:tcPr>
            <w:tcW w:w="505" w:type="pct"/>
            <w:vAlign w:val="center"/>
          </w:tcPr>
          <w:p w14:paraId="57E4198D" w14:textId="0E41832F" w:rsidR="00A54A8A" w:rsidRPr="00E67914" w:rsidRDefault="0037249B">
            <w:pPr>
              <w:pStyle w:val="04"/>
              <w:rPr>
                <w:rFonts w:cs="Times New Roman"/>
              </w:rPr>
            </w:pPr>
            <w:r w:rsidRPr="00E67914">
              <w:rPr>
                <w:rFonts w:cs="Times New Roman"/>
              </w:rPr>
              <w:t>62</w:t>
            </w:r>
          </w:p>
        </w:tc>
      </w:tr>
      <w:tr w:rsidR="00E67914" w:rsidRPr="00E67914" w14:paraId="01E294F4" w14:textId="77777777">
        <w:trPr>
          <w:trHeight w:val="454"/>
          <w:jc w:val="center"/>
        </w:trPr>
        <w:tc>
          <w:tcPr>
            <w:tcW w:w="878" w:type="pct"/>
            <w:vMerge w:val="restart"/>
            <w:shd w:val="clear" w:color="auto" w:fill="auto"/>
            <w:vAlign w:val="center"/>
          </w:tcPr>
          <w:p w14:paraId="1591554F" w14:textId="61893751" w:rsidR="00A54A8A" w:rsidRPr="00E67914" w:rsidRDefault="0037249B">
            <w:pPr>
              <w:pStyle w:val="04"/>
              <w:rPr>
                <w:rFonts w:cs="Times New Roman"/>
              </w:rPr>
            </w:pPr>
            <w:r w:rsidRPr="00E67914">
              <w:rPr>
                <w:rFonts w:cs="Times New Roman"/>
                <w:kern w:val="2"/>
              </w:rPr>
              <w:t>普陆页</w:t>
            </w:r>
            <w:r w:rsidRPr="00E67914">
              <w:rPr>
                <w:rFonts w:cs="Times New Roman"/>
                <w:kern w:val="2"/>
              </w:rPr>
              <w:t>2</w:t>
            </w:r>
            <w:r w:rsidRPr="00E67914">
              <w:rPr>
                <w:rFonts w:cs="Times New Roman"/>
                <w:kern w:val="2"/>
              </w:rPr>
              <w:t>试采站废水池下游</w:t>
            </w:r>
          </w:p>
        </w:tc>
        <w:tc>
          <w:tcPr>
            <w:tcW w:w="992" w:type="pct"/>
            <w:shd w:val="clear" w:color="auto" w:fill="auto"/>
            <w:vAlign w:val="center"/>
          </w:tcPr>
          <w:p w14:paraId="03827705" w14:textId="77777777" w:rsidR="00A54A8A" w:rsidRPr="00E67914" w:rsidRDefault="00000000">
            <w:pPr>
              <w:pStyle w:val="04"/>
              <w:rPr>
                <w:rFonts w:cs="Times New Roman"/>
              </w:rPr>
            </w:pPr>
            <w:r w:rsidRPr="00E67914">
              <w:rPr>
                <w:rFonts w:cs="Times New Roman"/>
              </w:rPr>
              <w:t>0~20cm</w:t>
            </w:r>
          </w:p>
        </w:tc>
        <w:tc>
          <w:tcPr>
            <w:tcW w:w="535" w:type="pct"/>
            <w:shd w:val="clear" w:color="auto" w:fill="auto"/>
            <w:vAlign w:val="center"/>
          </w:tcPr>
          <w:p w14:paraId="3F1C9A96" w14:textId="669C1796" w:rsidR="00A54A8A" w:rsidRPr="00E67914" w:rsidRDefault="0037249B">
            <w:pPr>
              <w:pStyle w:val="04"/>
              <w:rPr>
                <w:rFonts w:cs="Times New Roman"/>
              </w:rPr>
            </w:pPr>
            <w:r w:rsidRPr="00E67914">
              <w:rPr>
                <w:rFonts w:cs="Times New Roman"/>
              </w:rPr>
              <w:t>7.2</w:t>
            </w:r>
          </w:p>
        </w:tc>
        <w:tc>
          <w:tcPr>
            <w:tcW w:w="511" w:type="pct"/>
            <w:shd w:val="clear" w:color="auto" w:fill="auto"/>
            <w:vAlign w:val="center"/>
          </w:tcPr>
          <w:p w14:paraId="476346EE" w14:textId="40B6A049" w:rsidR="00A54A8A" w:rsidRPr="00E67914" w:rsidRDefault="0037249B">
            <w:pPr>
              <w:pStyle w:val="04"/>
              <w:rPr>
                <w:rFonts w:cs="Times New Roman"/>
              </w:rPr>
            </w:pPr>
            <w:r w:rsidRPr="00E67914">
              <w:rPr>
                <w:rFonts w:cs="Times New Roman"/>
              </w:rPr>
              <w:t>0.694</w:t>
            </w:r>
          </w:p>
        </w:tc>
        <w:tc>
          <w:tcPr>
            <w:tcW w:w="542" w:type="pct"/>
            <w:shd w:val="clear" w:color="auto" w:fill="auto"/>
            <w:vAlign w:val="center"/>
          </w:tcPr>
          <w:p w14:paraId="46A4FB84" w14:textId="31B14B18" w:rsidR="00A54A8A" w:rsidRPr="00E67914" w:rsidRDefault="0037249B">
            <w:pPr>
              <w:pStyle w:val="04"/>
              <w:rPr>
                <w:rFonts w:cs="Times New Roman"/>
              </w:rPr>
            </w:pPr>
            <w:r w:rsidRPr="00E67914">
              <w:rPr>
                <w:rFonts w:cs="Times New Roman"/>
              </w:rPr>
              <w:t>0.0004</w:t>
            </w:r>
          </w:p>
        </w:tc>
        <w:tc>
          <w:tcPr>
            <w:tcW w:w="513" w:type="pct"/>
            <w:shd w:val="clear" w:color="auto" w:fill="auto"/>
            <w:vAlign w:val="center"/>
          </w:tcPr>
          <w:p w14:paraId="4251D5BD" w14:textId="77777777" w:rsidR="00A54A8A" w:rsidRPr="00E67914" w:rsidRDefault="00000000">
            <w:pPr>
              <w:pStyle w:val="04"/>
              <w:rPr>
                <w:rFonts w:cs="Times New Roman"/>
              </w:rPr>
            </w:pPr>
            <w:r w:rsidRPr="00E67914">
              <w:rPr>
                <w:rFonts w:cs="Times New Roman"/>
              </w:rPr>
              <w:t>未检出</w:t>
            </w:r>
          </w:p>
        </w:tc>
        <w:tc>
          <w:tcPr>
            <w:tcW w:w="524" w:type="pct"/>
            <w:vAlign w:val="center"/>
          </w:tcPr>
          <w:p w14:paraId="588184E2" w14:textId="77777777" w:rsidR="00A54A8A" w:rsidRPr="00E67914" w:rsidRDefault="00000000">
            <w:pPr>
              <w:pStyle w:val="04"/>
              <w:rPr>
                <w:rFonts w:cs="Times New Roman"/>
              </w:rPr>
            </w:pPr>
            <w:r w:rsidRPr="00E67914">
              <w:rPr>
                <w:rFonts w:cs="Times New Roman"/>
              </w:rPr>
              <w:t>&lt;0.004</w:t>
            </w:r>
          </w:p>
        </w:tc>
        <w:tc>
          <w:tcPr>
            <w:tcW w:w="505" w:type="pct"/>
            <w:vAlign w:val="center"/>
          </w:tcPr>
          <w:p w14:paraId="7BD3A80A" w14:textId="1C40EDA0" w:rsidR="00A54A8A" w:rsidRPr="00E67914" w:rsidRDefault="0037249B">
            <w:pPr>
              <w:pStyle w:val="04"/>
              <w:rPr>
                <w:rFonts w:cs="Times New Roman"/>
              </w:rPr>
            </w:pPr>
            <w:r w:rsidRPr="00E67914">
              <w:rPr>
                <w:rFonts w:cs="Times New Roman"/>
              </w:rPr>
              <w:t>67</w:t>
            </w:r>
          </w:p>
        </w:tc>
      </w:tr>
      <w:tr w:rsidR="00E67914" w:rsidRPr="00E67914" w14:paraId="0F0C94D0" w14:textId="77777777">
        <w:trPr>
          <w:trHeight w:val="454"/>
          <w:jc w:val="center"/>
        </w:trPr>
        <w:tc>
          <w:tcPr>
            <w:tcW w:w="878" w:type="pct"/>
            <w:vMerge/>
            <w:shd w:val="clear" w:color="auto" w:fill="auto"/>
            <w:vAlign w:val="center"/>
          </w:tcPr>
          <w:p w14:paraId="6C78F7EE" w14:textId="77777777" w:rsidR="00A54A8A" w:rsidRPr="00E67914" w:rsidRDefault="00A54A8A">
            <w:pPr>
              <w:pStyle w:val="04"/>
              <w:rPr>
                <w:rFonts w:cs="Times New Roman"/>
              </w:rPr>
            </w:pPr>
          </w:p>
        </w:tc>
        <w:tc>
          <w:tcPr>
            <w:tcW w:w="992" w:type="pct"/>
            <w:shd w:val="clear" w:color="auto" w:fill="auto"/>
            <w:vAlign w:val="center"/>
          </w:tcPr>
          <w:p w14:paraId="77CC5481" w14:textId="77777777" w:rsidR="00A54A8A" w:rsidRPr="00E67914" w:rsidRDefault="00000000">
            <w:pPr>
              <w:pStyle w:val="04"/>
              <w:rPr>
                <w:rFonts w:cs="Times New Roman"/>
              </w:rPr>
            </w:pPr>
            <w:r w:rsidRPr="00E67914">
              <w:rPr>
                <w:rFonts w:cs="Times New Roman"/>
              </w:rPr>
              <w:t>20~60cm</w:t>
            </w:r>
          </w:p>
        </w:tc>
        <w:tc>
          <w:tcPr>
            <w:tcW w:w="535" w:type="pct"/>
            <w:shd w:val="clear" w:color="auto" w:fill="auto"/>
            <w:vAlign w:val="center"/>
          </w:tcPr>
          <w:p w14:paraId="74D2D11F" w14:textId="58FC7530" w:rsidR="00A54A8A" w:rsidRPr="00E67914" w:rsidRDefault="0037249B">
            <w:pPr>
              <w:pStyle w:val="04"/>
              <w:rPr>
                <w:rFonts w:cs="Times New Roman"/>
              </w:rPr>
            </w:pPr>
            <w:r w:rsidRPr="00E67914">
              <w:rPr>
                <w:rFonts w:cs="Times New Roman"/>
              </w:rPr>
              <w:t>7.3</w:t>
            </w:r>
          </w:p>
        </w:tc>
        <w:tc>
          <w:tcPr>
            <w:tcW w:w="511" w:type="pct"/>
            <w:shd w:val="clear" w:color="auto" w:fill="auto"/>
            <w:vAlign w:val="center"/>
          </w:tcPr>
          <w:p w14:paraId="56AD80A1" w14:textId="7F783DF9" w:rsidR="00A54A8A" w:rsidRPr="00E67914" w:rsidRDefault="0037249B">
            <w:pPr>
              <w:pStyle w:val="04"/>
              <w:rPr>
                <w:rFonts w:cs="Times New Roman"/>
              </w:rPr>
            </w:pPr>
            <w:r w:rsidRPr="00E67914">
              <w:rPr>
                <w:rFonts w:cs="Times New Roman"/>
              </w:rPr>
              <w:t>0.699</w:t>
            </w:r>
          </w:p>
        </w:tc>
        <w:tc>
          <w:tcPr>
            <w:tcW w:w="542" w:type="pct"/>
            <w:shd w:val="clear" w:color="auto" w:fill="auto"/>
            <w:vAlign w:val="center"/>
          </w:tcPr>
          <w:p w14:paraId="592C8FC1" w14:textId="367A2B63" w:rsidR="00A54A8A" w:rsidRPr="00E67914" w:rsidRDefault="00000000">
            <w:pPr>
              <w:pStyle w:val="04"/>
              <w:rPr>
                <w:rFonts w:cs="Times New Roman"/>
              </w:rPr>
            </w:pPr>
            <w:r w:rsidRPr="00E67914">
              <w:rPr>
                <w:rFonts w:cs="Times New Roman"/>
                <w:kern w:val="2"/>
              </w:rPr>
              <w:t>0.000</w:t>
            </w:r>
            <w:r w:rsidR="0037249B" w:rsidRPr="00E67914">
              <w:rPr>
                <w:rFonts w:cs="Times New Roman"/>
                <w:kern w:val="2"/>
              </w:rPr>
              <w:t>3</w:t>
            </w:r>
          </w:p>
        </w:tc>
        <w:tc>
          <w:tcPr>
            <w:tcW w:w="513" w:type="pct"/>
            <w:shd w:val="clear" w:color="auto" w:fill="auto"/>
            <w:vAlign w:val="center"/>
          </w:tcPr>
          <w:p w14:paraId="1D93D534" w14:textId="77777777" w:rsidR="00A54A8A" w:rsidRPr="00E67914" w:rsidRDefault="00000000">
            <w:pPr>
              <w:pStyle w:val="04"/>
              <w:rPr>
                <w:rFonts w:cs="Times New Roman"/>
              </w:rPr>
            </w:pPr>
            <w:r w:rsidRPr="00E67914">
              <w:rPr>
                <w:rFonts w:cs="Times New Roman"/>
              </w:rPr>
              <w:t>未检出</w:t>
            </w:r>
          </w:p>
        </w:tc>
        <w:tc>
          <w:tcPr>
            <w:tcW w:w="524" w:type="pct"/>
            <w:vAlign w:val="center"/>
          </w:tcPr>
          <w:p w14:paraId="4B66E98E" w14:textId="77777777" w:rsidR="00A54A8A" w:rsidRPr="00E67914" w:rsidRDefault="00000000">
            <w:pPr>
              <w:pStyle w:val="04"/>
              <w:rPr>
                <w:rFonts w:cs="Times New Roman"/>
              </w:rPr>
            </w:pPr>
            <w:r w:rsidRPr="00E67914">
              <w:rPr>
                <w:rFonts w:cs="Times New Roman"/>
              </w:rPr>
              <w:t>&lt;0.004</w:t>
            </w:r>
          </w:p>
        </w:tc>
        <w:tc>
          <w:tcPr>
            <w:tcW w:w="505" w:type="pct"/>
            <w:vAlign w:val="center"/>
          </w:tcPr>
          <w:p w14:paraId="461AD93B" w14:textId="597F7A78" w:rsidR="00A54A8A" w:rsidRPr="00E67914" w:rsidRDefault="0037249B">
            <w:pPr>
              <w:pStyle w:val="04"/>
              <w:rPr>
                <w:rFonts w:cs="Times New Roman"/>
              </w:rPr>
            </w:pPr>
            <w:r w:rsidRPr="00E67914">
              <w:rPr>
                <w:rFonts w:cs="Times New Roman"/>
              </w:rPr>
              <w:t>65</w:t>
            </w:r>
          </w:p>
        </w:tc>
      </w:tr>
    </w:tbl>
    <w:bookmarkEnd w:id="121"/>
    <w:p w14:paraId="70B5A402"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通过对比污水池上下游结果可知本项目用地内外包气带未受到污染。</w:t>
      </w:r>
    </w:p>
    <w:p w14:paraId="0361E6A1" w14:textId="77777777" w:rsidR="00A54A8A" w:rsidRPr="00E67914" w:rsidRDefault="00000000">
      <w:pPr>
        <w:pStyle w:val="2"/>
        <w:ind w:firstLine="480"/>
        <w:rPr>
          <w:szCs w:val="24"/>
          <w:lang w:eastAsia="zh-CN"/>
        </w:rPr>
      </w:pPr>
      <w:bookmarkStart w:id="122" w:name="_Toc148654228"/>
      <w:r w:rsidRPr="00E67914">
        <w:rPr>
          <w:szCs w:val="24"/>
          <w:lang w:eastAsia="zh-CN"/>
        </w:rPr>
        <w:t>4.3</w:t>
      </w:r>
      <w:r w:rsidRPr="00E67914">
        <w:rPr>
          <w:szCs w:val="24"/>
          <w:lang w:eastAsia="zh-CN"/>
        </w:rPr>
        <w:t>生态环境调查与评价</w:t>
      </w:r>
      <w:bookmarkEnd w:id="122"/>
    </w:p>
    <w:p w14:paraId="5388AFEB" w14:textId="3DF87AA5" w:rsidR="00D63444" w:rsidRPr="00E67914" w:rsidRDefault="00D63444" w:rsidP="008752B7">
      <w:pPr>
        <w:pStyle w:val="41"/>
        <w:spacing w:line="360" w:lineRule="auto"/>
        <w:ind w:firstLineChars="200" w:firstLine="480"/>
        <w:rPr>
          <w:b/>
          <w:sz w:val="24"/>
          <w:szCs w:val="24"/>
        </w:rPr>
      </w:pPr>
      <w:bookmarkStart w:id="123" w:name="_Hlk84604214"/>
      <w:r w:rsidRPr="00E67914">
        <w:rPr>
          <w:sz w:val="24"/>
          <w:szCs w:val="24"/>
        </w:rPr>
        <w:t>本项目所有生产废水均不外排，不涉及水生生态，因此本项目生态环境现状调查仅针对陆生生态进行调查。</w:t>
      </w:r>
    </w:p>
    <w:p w14:paraId="5DD95261" w14:textId="795BD85F"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4.3.1</w:t>
      </w:r>
      <w:r w:rsidRPr="00E67914">
        <w:rPr>
          <w:rFonts w:ascii="Times New Roman" w:eastAsia="黑体" w:hAnsi="Times New Roman"/>
          <w:b w:val="0"/>
          <w:sz w:val="24"/>
          <w:szCs w:val="24"/>
          <w:lang w:eastAsia="zh-CN"/>
        </w:rPr>
        <w:t>生态功能区划</w:t>
      </w:r>
    </w:p>
    <w:p w14:paraId="753A2D4D" w14:textId="77777777" w:rsidR="00A54A8A" w:rsidRPr="00E67914" w:rsidRDefault="00000000">
      <w:pPr>
        <w:pStyle w:val="41"/>
        <w:spacing w:line="360" w:lineRule="auto"/>
        <w:ind w:firstLineChars="200" w:firstLine="480"/>
        <w:rPr>
          <w:sz w:val="24"/>
          <w:szCs w:val="24"/>
        </w:rPr>
      </w:pPr>
      <w:r w:rsidRPr="00E67914">
        <w:rPr>
          <w:sz w:val="24"/>
          <w:szCs w:val="24"/>
        </w:rPr>
        <w:t>本项目位于四川盆地亚热带湿润气候生态区，属于大巴山水源涵养与土壤保持生态功能区（</w:t>
      </w:r>
      <w:r w:rsidRPr="00E67914">
        <w:rPr>
          <w:sz w:val="24"/>
          <w:szCs w:val="24"/>
        </w:rPr>
        <w:t>I-3-2</w:t>
      </w:r>
      <w:r w:rsidRPr="00E67914">
        <w:rPr>
          <w:sz w:val="24"/>
          <w:szCs w:val="24"/>
        </w:rPr>
        <w:t>），该生态功能区的主导功能是水源涵养功能，土壤保持功能。面临的主要环境问题是多洪灾，滑坡崩塌强烈发育，水土流失严重。项目区的生态功能区划见下表</w:t>
      </w:r>
      <w:r w:rsidRPr="00E67914">
        <w:rPr>
          <w:sz w:val="24"/>
          <w:szCs w:val="24"/>
        </w:rPr>
        <w:t>4.3-1</w:t>
      </w:r>
      <w:r w:rsidRPr="00E67914">
        <w:rPr>
          <w:sz w:val="24"/>
          <w:szCs w:val="24"/>
        </w:rPr>
        <w:t>。</w:t>
      </w:r>
    </w:p>
    <w:p w14:paraId="53E8C98C"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4.3-1 </w:t>
      </w:r>
      <w:r w:rsidRPr="00E67914">
        <w:rPr>
          <w:rFonts w:ascii="Times New Roman" w:eastAsia="黑体" w:hAnsi="Times New Roman"/>
          <w:sz w:val="21"/>
          <w:szCs w:val="21"/>
          <w:lang w:eastAsia="zh-CN"/>
        </w:rPr>
        <w:t>项目区生态功能区划及主要生态环境问题</w:t>
      </w:r>
    </w:p>
    <w:tbl>
      <w:tblPr>
        <w:tblW w:w="50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8"/>
        <w:gridCol w:w="1027"/>
        <w:gridCol w:w="1087"/>
        <w:gridCol w:w="1076"/>
        <w:gridCol w:w="784"/>
        <w:gridCol w:w="3543"/>
      </w:tblGrid>
      <w:tr w:rsidR="00E67914" w:rsidRPr="00E67914" w14:paraId="19C96F8E" w14:textId="77777777">
        <w:trPr>
          <w:trHeight w:val="21"/>
          <w:jc w:val="center"/>
        </w:trPr>
        <w:tc>
          <w:tcPr>
            <w:tcW w:w="485" w:type="pct"/>
            <w:vAlign w:val="center"/>
          </w:tcPr>
          <w:p w14:paraId="2488F353" w14:textId="77777777" w:rsidR="00A54A8A" w:rsidRPr="00E67914" w:rsidRDefault="00000000">
            <w:pPr>
              <w:pStyle w:val="Default"/>
              <w:jc w:val="center"/>
              <w:rPr>
                <w:rFonts w:ascii="Times New Roman" w:eastAsia="宋体" w:cs="Times New Roman"/>
                <w:b/>
                <w:bCs/>
                <w:color w:val="auto"/>
                <w:sz w:val="21"/>
                <w:szCs w:val="21"/>
              </w:rPr>
            </w:pPr>
            <w:r w:rsidRPr="00E67914">
              <w:rPr>
                <w:rFonts w:ascii="Times New Roman" w:eastAsia="宋体" w:cs="Times New Roman"/>
                <w:b/>
                <w:bCs/>
                <w:color w:val="auto"/>
                <w:sz w:val="21"/>
                <w:szCs w:val="21"/>
              </w:rPr>
              <w:t>生态区</w:t>
            </w:r>
          </w:p>
        </w:tc>
        <w:tc>
          <w:tcPr>
            <w:tcW w:w="617" w:type="pct"/>
            <w:vAlign w:val="center"/>
          </w:tcPr>
          <w:p w14:paraId="34EB8D79" w14:textId="77777777" w:rsidR="00A54A8A" w:rsidRPr="00E67914" w:rsidRDefault="00000000">
            <w:pPr>
              <w:pStyle w:val="Default"/>
              <w:jc w:val="center"/>
              <w:rPr>
                <w:rFonts w:ascii="Times New Roman" w:eastAsia="宋体" w:cs="Times New Roman"/>
                <w:b/>
                <w:bCs/>
                <w:color w:val="auto"/>
                <w:sz w:val="21"/>
                <w:szCs w:val="21"/>
              </w:rPr>
            </w:pPr>
            <w:r w:rsidRPr="00E67914">
              <w:rPr>
                <w:rFonts w:ascii="Times New Roman" w:eastAsia="宋体" w:cs="Times New Roman"/>
                <w:b/>
                <w:bCs/>
                <w:color w:val="auto"/>
                <w:sz w:val="21"/>
                <w:szCs w:val="21"/>
              </w:rPr>
              <w:t>生态亚区</w:t>
            </w:r>
          </w:p>
        </w:tc>
        <w:tc>
          <w:tcPr>
            <w:tcW w:w="653" w:type="pct"/>
            <w:vAlign w:val="center"/>
          </w:tcPr>
          <w:p w14:paraId="4B9F1806" w14:textId="77777777" w:rsidR="00A54A8A" w:rsidRPr="00E67914" w:rsidRDefault="00000000">
            <w:pPr>
              <w:pStyle w:val="Default"/>
              <w:jc w:val="center"/>
              <w:rPr>
                <w:rFonts w:ascii="Times New Roman" w:eastAsia="宋体" w:cs="Times New Roman"/>
                <w:b/>
                <w:bCs/>
                <w:color w:val="auto"/>
                <w:sz w:val="21"/>
                <w:szCs w:val="21"/>
              </w:rPr>
            </w:pPr>
            <w:r w:rsidRPr="00E67914">
              <w:rPr>
                <w:rFonts w:ascii="Times New Roman" w:eastAsia="宋体" w:cs="Times New Roman"/>
                <w:b/>
                <w:bCs/>
                <w:color w:val="auto"/>
                <w:sz w:val="21"/>
                <w:szCs w:val="21"/>
              </w:rPr>
              <w:t>生态功能区</w:t>
            </w:r>
          </w:p>
        </w:tc>
        <w:tc>
          <w:tcPr>
            <w:tcW w:w="646" w:type="pct"/>
            <w:vAlign w:val="center"/>
          </w:tcPr>
          <w:p w14:paraId="31697972" w14:textId="77777777" w:rsidR="00A54A8A" w:rsidRPr="00E67914" w:rsidRDefault="00000000">
            <w:pPr>
              <w:pStyle w:val="Default"/>
              <w:jc w:val="center"/>
              <w:rPr>
                <w:rFonts w:ascii="Times New Roman" w:eastAsia="宋体" w:cs="Times New Roman"/>
                <w:b/>
                <w:bCs/>
                <w:color w:val="auto"/>
                <w:sz w:val="21"/>
                <w:szCs w:val="21"/>
              </w:rPr>
            </w:pPr>
            <w:r w:rsidRPr="00E67914">
              <w:rPr>
                <w:rFonts w:ascii="Times New Roman" w:eastAsia="宋体" w:cs="Times New Roman"/>
                <w:b/>
                <w:bCs/>
                <w:color w:val="auto"/>
                <w:sz w:val="21"/>
                <w:szCs w:val="21"/>
              </w:rPr>
              <w:t>主要环境问题</w:t>
            </w:r>
          </w:p>
        </w:tc>
        <w:tc>
          <w:tcPr>
            <w:tcW w:w="471" w:type="pct"/>
            <w:vAlign w:val="center"/>
          </w:tcPr>
          <w:p w14:paraId="3664C708" w14:textId="77777777" w:rsidR="00A54A8A" w:rsidRPr="00E67914" w:rsidRDefault="00000000">
            <w:pPr>
              <w:pStyle w:val="Default"/>
              <w:jc w:val="center"/>
              <w:rPr>
                <w:rFonts w:ascii="Times New Roman" w:eastAsia="宋体" w:cs="Times New Roman"/>
                <w:b/>
                <w:bCs/>
                <w:color w:val="auto"/>
                <w:sz w:val="21"/>
                <w:szCs w:val="21"/>
              </w:rPr>
            </w:pPr>
            <w:r w:rsidRPr="00E67914">
              <w:rPr>
                <w:rFonts w:ascii="Times New Roman" w:eastAsia="宋体" w:cs="Times New Roman"/>
                <w:b/>
                <w:bCs/>
                <w:color w:val="auto"/>
                <w:sz w:val="21"/>
                <w:szCs w:val="21"/>
              </w:rPr>
              <w:t>服务功能</w:t>
            </w:r>
          </w:p>
        </w:tc>
        <w:tc>
          <w:tcPr>
            <w:tcW w:w="2128" w:type="pct"/>
            <w:vAlign w:val="center"/>
          </w:tcPr>
          <w:p w14:paraId="533455B9" w14:textId="77777777" w:rsidR="00A54A8A" w:rsidRPr="00E67914" w:rsidRDefault="00000000">
            <w:pPr>
              <w:pStyle w:val="Default"/>
              <w:jc w:val="center"/>
              <w:rPr>
                <w:rFonts w:ascii="Times New Roman" w:eastAsia="宋体" w:cs="Times New Roman"/>
                <w:b/>
                <w:bCs/>
                <w:color w:val="auto"/>
                <w:sz w:val="21"/>
                <w:szCs w:val="21"/>
              </w:rPr>
            </w:pPr>
            <w:r w:rsidRPr="00E67914">
              <w:rPr>
                <w:rFonts w:ascii="Times New Roman" w:eastAsia="宋体" w:cs="Times New Roman"/>
                <w:b/>
                <w:bCs/>
                <w:color w:val="auto"/>
                <w:sz w:val="21"/>
                <w:szCs w:val="21"/>
              </w:rPr>
              <w:t>保护与发展</w:t>
            </w:r>
          </w:p>
        </w:tc>
      </w:tr>
      <w:tr w:rsidR="00E67914" w:rsidRPr="00E67914" w14:paraId="7C99DF00" w14:textId="77777777">
        <w:trPr>
          <w:trHeight w:val="90"/>
          <w:jc w:val="center"/>
        </w:trPr>
        <w:tc>
          <w:tcPr>
            <w:tcW w:w="485" w:type="pct"/>
            <w:vAlign w:val="center"/>
          </w:tcPr>
          <w:p w14:paraId="5FC949CA" w14:textId="77777777"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I</w:t>
            </w:r>
            <w:r w:rsidRPr="00E67914">
              <w:rPr>
                <w:rFonts w:ascii="Times New Roman" w:eastAsia="宋体" w:cs="Times New Roman"/>
                <w:color w:val="auto"/>
                <w:sz w:val="21"/>
                <w:szCs w:val="21"/>
              </w:rPr>
              <w:t>四川盆地亚热带湿润气候生态区</w:t>
            </w:r>
          </w:p>
        </w:tc>
        <w:tc>
          <w:tcPr>
            <w:tcW w:w="617" w:type="pct"/>
            <w:vAlign w:val="center"/>
          </w:tcPr>
          <w:p w14:paraId="4820B4DB" w14:textId="77777777"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I-3</w:t>
            </w:r>
            <w:r w:rsidRPr="00E67914">
              <w:rPr>
                <w:rFonts w:ascii="Times New Roman" w:eastAsia="宋体" w:cs="Times New Roman"/>
                <w:color w:val="auto"/>
                <w:sz w:val="21"/>
                <w:szCs w:val="21"/>
              </w:rPr>
              <w:t>盆北秦巴山地常绿阔叶林</w:t>
            </w:r>
            <w:r w:rsidRPr="00E67914">
              <w:rPr>
                <w:rFonts w:ascii="Times New Roman" w:eastAsia="宋体" w:cs="Times New Roman"/>
                <w:color w:val="auto"/>
                <w:sz w:val="21"/>
                <w:szCs w:val="21"/>
              </w:rPr>
              <w:t>-</w:t>
            </w:r>
            <w:r w:rsidRPr="00E67914">
              <w:rPr>
                <w:rFonts w:ascii="Times New Roman" w:eastAsia="宋体" w:cs="Times New Roman"/>
                <w:color w:val="auto"/>
                <w:sz w:val="21"/>
                <w:szCs w:val="21"/>
              </w:rPr>
              <w:t>针阔混交林生态亚区</w:t>
            </w:r>
          </w:p>
        </w:tc>
        <w:tc>
          <w:tcPr>
            <w:tcW w:w="653" w:type="pct"/>
            <w:vAlign w:val="center"/>
          </w:tcPr>
          <w:p w14:paraId="29C713AC" w14:textId="77777777"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I-3-2</w:t>
            </w:r>
            <w:r w:rsidRPr="00E67914">
              <w:rPr>
                <w:rFonts w:ascii="Times New Roman" w:eastAsia="宋体" w:cs="Times New Roman"/>
                <w:color w:val="auto"/>
                <w:sz w:val="21"/>
                <w:szCs w:val="21"/>
              </w:rPr>
              <w:t>大巴山水源涵养与土壤保持生态功能区</w:t>
            </w:r>
          </w:p>
        </w:tc>
        <w:tc>
          <w:tcPr>
            <w:tcW w:w="646" w:type="pct"/>
            <w:vAlign w:val="center"/>
          </w:tcPr>
          <w:p w14:paraId="554A665B" w14:textId="77777777"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多洪灾，滑坡崩塌强烈发育，水土流失严重</w:t>
            </w:r>
          </w:p>
        </w:tc>
        <w:tc>
          <w:tcPr>
            <w:tcW w:w="471" w:type="pct"/>
            <w:vAlign w:val="center"/>
          </w:tcPr>
          <w:p w14:paraId="224585BB" w14:textId="77777777"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水源涵养功能，土壤保持功能</w:t>
            </w:r>
          </w:p>
        </w:tc>
        <w:tc>
          <w:tcPr>
            <w:tcW w:w="2128" w:type="pct"/>
            <w:vAlign w:val="center"/>
          </w:tcPr>
          <w:p w14:paraId="60281426" w14:textId="77777777" w:rsidR="00A54A8A" w:rsidRPr="00E67914" w:rsidRDefault="00000000">
            <w:pPr>
              <w:pStyle w:val="Default"/>
              <w:jc w:val="center"/>
              <w:rPr>
                <w:rFonts w:ascii="Times New Roman" w:eastAsia="宋体" w:cs="Times New Roman"/>
                <w:color w:val="auto"/>
                <w:sz w:val="21"/>
                <w:szCs w:val="21"/>
              </w:rPr>
            </w:pPr>
            <w:r w:rsidRPr="00E67914">
              <w:rPr>
                <w:rFonts w:ascii="Times New Roman" w:eastAsia="宋体" w:cs="Times New Roman"/>
                <w:color w:val="auto"/>
                <w:sz w:val="21"/>
                <w:szCs w:val="21"/>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w:t>
            </w:r>
            <w:r w:rsidRPr="00E67914">
              <w:rPr>
                <w:rFonts w:ascii="Times New Roman" w:eastAsia="宋体" w:cs="Times New Roman"/>
                <w:color w:val="auto"/>
                <w:sz w:val="21"/>
                <w:szCs w:val="21"/>
              </w:rPr>
              <w:lastRenderedPageBreak/>
              <w:t>环境和生态系统的不利影响</w:t>
            </w:r>
          </w:p>
        </w:tc>
      </w:tr>
    </w:tbl>
    <w:p w14:paraId="360D041A" w14:textId="09649D0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4.3.2</w:t>
      </w:r>
      <w:r w:rsidRPr="00E67914">
        <w:rPr>
          <w:rFonts w:ascii="Times New Roman" w:eastAsia="黑体" w:hAnsi="Times New Roman"/>
          <w:b w:val="0"/>
          <w:sz w:val="24"/>
          <w:szCs w:val="24"/>
          <w:lang w:eastAsia="zh-CN"/>
        </w:rPr>
        <w:t>生态环境现状</w:t>
      </w:r>
    </w:p>
    <w:p w14:paraId="0C242E41" w14:textId="77594A02" w:rsidR="003F5CE5" w:rsidRPr="00E67914" w:rsidRDefault="003F5CE5">
      <w:pPr>
        <w:spacing w:line="360" w:lineRule="auto"/>
        <w:ind w:firstLineChars="200" w:firstLine="480"/>
        <w:rPr>
          <w:rFonts w:ascii="Times New Roman" w:hAnsi="Times New Roman"/>
          <w:b/>
          <w:bCs/>
          <w:sz w:val="24"/>
          <w:szCs w:val="24"/>
          <w:lang w:eastAsia="zh-CN"/>
        </w:rPr>
      </w:pPr>
      <w:r w:rsidRPr="00E67914">
        <w:rPr>
          <w:rFonts w:ascii="Times New Roman" w:hAnsi="Times New Roman"/>
          <w:sz w:val="24"/>
          <w:szCs w:val="24"/>
          <w:lang w:eastAsia="zh-CN"/>
        </w:rPr>
        <w:t>本项目生态环境影响评价等级为三级，根据《环境影响评价技术导则</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生态影响》（</w:t>
      </w:r>
      <w:r w:rsidRPr="00E67914">
        <w:rPr>
          <w:rFonts w:ascii="Times New Roman" w:hAnsi="Times New Roman"/>
          <w:sz w:val="24"/>
          <w:szCs w:val="24"/>
          <w:lang w:eastAsia="zh-CN"/>
        </w:rPr>
        <w:t>HJ 19-2022</w:t>
      </w:r>
      <w:r w:rsidRPr="00E67914">
        <w:rPr>
          <w:rFonts w:ascii="Times New Roman" w:hAnsi="Times New Roman"/>
          <w:sz w:val="24"/>
          <w:szCs w:val="24"/>
          <w:lang w:eastAsia="zh-CN"/>
        </w:rPr>
        <w:t>），三级评价现状调查以收集有效资料为主，可开展必要的遥感调查或现场校核。因此，本次评价生态环境现状调查以收集有效资料为主，并采样地理信息软件完成了部分植被类型数据分析制作。收集的资料主要有市志、统计年鉴以及林业、环保、水利、农业、国土资源等部门提供的相关资料，并且参考《中国植物志》、《中国高等植物图鉴》、《四川植物志》和《四川资源动物志》系列等专著，《普光</w:t>
      </w:r>
      <w:r w:rsidRPr="00E67914">
        <w:rPr>
          <w:rFonts w:ascii="Times New Roman" w:hAnsi="Times New Roman"/>
          <w:sz w:val="24"/>
          <w:szCs w:val="24"/>
          <w:lang w:eastAsia="zh-CN"/>
        </w:rPr>
        <w:t>203-1</w:t>
      </w:r>
      <w:r w:rsidRPr="00E67914">
        <w:rPr>
          <w:rFonts w:ascii="Times New Roman" w:hAnsi="Times New Roman"/>
          <w:sz w:val="24"/>
          <w:szCs w:val="24"/>
          <w:lang w:eastAsia="zh-CN"/>
        </w:rPr>
        <w:t>井侧钻及试采工程环境影响报告书》（</w:t>
      </w:r>
      <w:r w:rsidRPr="00E67914">
        <w:rPr>
          <w:rFonts w:ascii="Times New Roman" w:hAnsi="Times New Roman"/>
          <w:sz w:val="24"/>
          <w:szCs w:val="24"/>
          <w:lang w:eastAsia="zh-CN"/>
        </w:rPr>
        <w:t>2022</w:t>
      </w:r>
      <w:r w:rsidRPr="00E67914">
        <w:rPr>
          <w:rFonts w:ascii="Times New Roman" w:hAnsi="Times New Roman"/>
          <w:sz w:val="24"/>
          <w:szCs w:val="24"/>
          <w:lang w:eastAsia="zh-CN"/>
        </w:rPr>
        <w:t>年</w:t>
      </w:r>
      <w:r w:rsidRPr="00E67914">
        <w:rPr>
          <w:rFonts w:ascii="Times New Roman" w:hAnsi="Times New Roman"/>
          <w:sz w:val="24"/>
          <w:szCs w:val="24"/>
          <w:lang w:eastAsia="zh-CN"/>
        </w:rPr>
        <w:t>8</w:t>
      </w:r>
      <w:r w:rsidRPr="00E67914">
        <w:rPr>
          <w:rFonts w:ascii="Times New Roman" w:hAnsi="Times New Roman"/>
          <w:sz w:val="24"/>
          <w:szCs w:val="24"/>
          <w:lang w:eastAsia="zh-CN"/>
        </w:rPr>
        <w:t>月）</w:t>
      </w:r>
      <w:r w:rsidR="000F36B8" w:rsidRPr="00E67914">
        <w:rPr>
          <w:rFonts w:ascii="Times New Roman" w:hAnsi="Times New Roman"/>
          <w:sz w:val="24"/>
          <w:szCs w:val="24"/>
          <w:lang w:eastAsia="zh-CN"/>
        </w:rPr>
        <w:t>《普陆</w:t>
      </w:r>
      <w:r w:rsidR="000F36B8" w:rsidRPr="00E67914">
        <w:rPr>
          <w:rFonts w:ascii="Times New Roman" w:hAnsi="Times New Roman"/>
          <w:sz w:val="24"/>
          <w:szCs w:val="24"/>
          <w:lang w:eastAsia="zh-CN"/>
        </w:rPr>
        <w:t>1-6H</w:t>
      </w:r>
      <w:r w:rsidR="000F36B8" w:rsidRPr="00E67914">
        <w:rPr>
          <w:rFonts w:ascii="Times New Roman" w:hAnsi="Times New Roman"/>
          <w:sz w:val="24"/>
          <w:szCs w:val="24"/>
          <w:lang w:eastAsia="zh-CN"/>
        </w:rPr>
        <w:t>井钻井及试采工程环境影响报告书》（</w:t>
      </w:r>
      <w:r w:rsidR="000F36B8" w:rsidRPr="00E67914">
        <w:rPr>
          <w:rFonts w:ascii="Times New Roman" w:hAnsi="Times New Roman"/>
          <w:sz w:val="24"/>
          <w:szCs w:val="24"/>
          <w:lang w:eastAsia="zh-CN"/>
        </w:rPr>
        <w:t>2023</w:t>
      </w:r>
      <w:r w:rsidR="000F36B8" w:rsidRPr="00E67914">
        <w:rPr>
          <w:rFonts w:ascii="Times New Roman" w:hAnsi="Times New Roman"/>
          <w:sz w:val="24"/>
          <w:szCs w:val="24"/>
          <w:lang w:eastAsia="zh-CN"/>
        </w:rPr>
        <w:t>年</w:t>
      </w:r>
      <w:r w:rsidR="000F36B8" w:rsidRPr="00E67914">
        <w:rPr>
          <w:rFonts w:ascii="Times New Roman" w:hAnsi="Times New Roman"/>
          <w:sz w:val="24"/>
          <w:szCs w:val="24"/>
          <w:lang w:eastAsia="zh-CN"/>
        </w:rPr>
        <w:t>9</w:t>
      </w:r>
      <w:r w:rsidR="000F36B8" w:rsidRPr="00E67914">
        <w:rPr>
          <w:rFonts w:ascii="Times New Roman" w:hAnsi="Times New Roman"/>
          <w:sz w:val="24"/>
          <w:szCs w:val="24"/>
          <w:lang w:eastAsia="zh-CN"/>
        </w:rPr>
        <w:t>月）</w:t>
      </w:r>
      <w:r w:rsidRPr="00E67914">
        <w:rPr>
          <w:rFonts w:ascii="Times New Roman" w:hAnsi="Times New Roman"/>
          <w:sz w:val="24"/>
          <w:szCs w:val="24"/>
          <w:lang w:eastAsia="zh-CN"/>
        </w:rPr>
        <w:t>，普光</w:t>
      </w:r>
      <w:r w:rsidRPr="00E67914">
        <w:rPr>
          <w:rFonts w:ascii="Times New Roman" w:hAnsi="Times New Roman"/>
          <w:sz w:val="24"/>
          <w:szCs w:val="24"/>
          <w:lang w:eastAsia="zh-CN"/>
        </w:rPr>
        <w:t>203-1</w:t>
      </w:r>
      <w:r w:rsidRPr="00E67914">
        <w:rPr>
          <w:rFonts w:ascii="Times New Roman" w:hAnsi="Times New Roman"/>
          <w:sz w:val="24"/>
          <w:szCs w:val="24"/>
          <w:lang w:eastAsia="zh-CN"/>
        </w:rPr>
        <w:t>井侧钻及试采工程位于项目东侧约</w:t>
      </w:r>
      <w:r w:rsidRPr="00E67914">
        <w:rPr>
          <w:rFonts w:ascii="Times New Roman" w:hAnsi="Times New Roman"/>
          <w:sz w:val="24"/>
          <w:szCs w:val="24"/>
          <w:lang w:eastAsia="zh-CN"/>
        </w:rPr>
        <w:t>3.1km</w:t>
      </w:r>
      <w:r w:rsidRPr="00E67914">
        <w:rPr>
          <w:rFonts w:ascii="Times New Roman" w:hAnsi="Times New Roman"/>
          <w:sz w:val="24"/>
          <w:szCs w:val="24"/>
          <w:lang w:eastAsia="zh-CN"/>
        </w:rPr>
        <w:t>处</w:t>
      </w:r>
      <w:r w:rsidR="000F36B8" w:rsidRPr="00E67914">
        <w:rPr>
          <w:rFonts w:ascii="Times New Roman" w:hAnsi="Times New Roman"/>
          <w:sz w:val="24"/>
          <w:szCs w:val="24"/>
          <w:lang w:eastAsia="zh-CN"/>
        </w:rPr>
        <w:t>，普陆</w:t>
      </w:r>
      <w:r w:rsidR="000F36B8" w:rsidRPr="00E67914">
        <w:rPr>
          <w:rFonts w:ascii="Times New Roman" w:hAnsi="Times New Roman"/>
          <w:sz w:val="24"/>
          <w:szCs w:val="24"/>
          <w:lang w:eastAsia="zh-CN"/>
        </w:rPr>
        <w:t>1-6H</w:t>
      </w:r>
      <w:r w:rsidR="000F36B8" w:rsidRPr="00E67914">
        <w:rPr>
          <w:rFonts w:ascii="Times New Roman" w:hAnsi="Times New Roman"/>
          <w:sz w:val="24"/>
          <w:szCs w:val="24"/>
          <w:lang w:eastAsia="zh-CN"/>
        </w:rPr>
        <w:t>井钻井及试采工程位于项目东南侧约</w:t>
      </w:r>
      <w:r w:rsidR="000F36B8" w:rsidRPr="00E67914">
        <w:rPr>
          <w:rFonts w:ascii="Times New Roman" w:hAnsi="Times New Roman"/>
          <w:sz w:val="24"/>
          <w:szCs w:val="24"/>
          <w:lang w:eastAsia="zh-CN"/>
        </w:rPr>
        <w:t>4.6km</w:t>
      </w:r>
      <w:r w:rsidR="000F36B8" w:rsidRPr="00E67914">
        <w:rPr>
          <w:rFonts w:ascii="Times New Roman" w:hAnsi="Times New Roman"/>
          <w:sz w:val="24"/>
          <w:szCs w:val="24"/>
          <w:lang w:eastAsia="zh-CN"/>
        </w:rPr>
        <w:t>处</w:t>
      </w:r>
      <w:r w:rsidRPr="00E67914">
        <w:rPr>
          <w:rFonts w:ascii="Times New Roman" w:hAnsi="Times New Roman"/>
          <w:sz w:val="24"/>
          <w:szCs w:val="24"/>
          <w:lang w:eastAsia="zh-CN"/>
        </w:rPr>
        <w:t>，与项目所在区域生态环境相似，因此资料引用有效。本项目生态现状调查具体如下：</w:t>
      </w:r>
    </w:p>
    <w:p w14:paraId="749FBC4E" w14:textId="77777777" w:rsidR="00A54A8A" w:rsidRPr="00E67914" w:rsidRDefault="00000000">
      <w:pPr>
        <w:pStyle w:val="41"/>
        <w:spacing w:line="360" w:lineRule="auto"/>
        <w:ind w:firstLineChars="200" w:firstLine="480"/>
        <w:rPr>
          <w:sz w:val="24"/>
          <w:szCs w:val="24"/>
        </w:rPr>
      </w:pPr>
      <w:bookmarkStart w:id="124" w:name="_Toc280781526"/>
      <w:r w:rsidRPr="00E67914">
        <w:rPr>
          <w:sz w:val="24"/>
          <w:szCs w:val="24"/>
        </w:rPr>
        <w:t>在现场调查和群系样地调查的基础上，采用</w:t>
      </w:r>
      <w:r w:rsidRPr="00E67914">
        <w:rPr>
          <w:sz w:val="24"/>
          <w:szCs w:val="24"/>
        </w:rPr>
        <w:t>GPS</w:t>
      </w:r>
      <w:r w:rsidRPr="00E67914">
        <w:rPr>
          <w:sz w:val="24"/>
          <w:szCs w:val="24"/>
        </w:rPr>
        <w:t>、</w:t>
      </w:r>
      <w:r w:rsidRPr="00E67914">
        <w:rPr>
          <w:sz w:val="24"/>
          <w:szCs w:val="24"/>
        </w:rPr>
        <w:t>RS</w:t>
      </w:r>
      <w:r w:rsidRPr="00E67914">
        <w:rPr>
          <w:sz w:val="24"/>
          <w:szCs w:val="24"/>
        </w:rPr>
        <w:t>和</w:t>
      </w:r>
      <w:r w:rsidRPr="00E67914">
        <w:rPr>
          <w:sz w:val="24"/>
          <w:szCs w:val="24"/>
        </w:rPr>
        <w:t>GIS</w:t>
      </w:r>
      <w:r w:rsidRPr="00E67914">
        <w:rPr>
          <w:sz w:val="24"/>
          <w:szCs w:val="24"/>
        </w:rPr>
        <w:t>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14:paraId="2F07EFA7" w14:textId="77777777" w:rsidR="00A54A8A" w:rsidRPr="00E67914" w:rsidRDefault="00000000">
      <w:pPr>
        <w:pStyle w:val="41"/>
        <w:spacing w:line="360" w:lineRule="auto"/>
        <w:ind w:firstLineChars="200" w:firstLine="480"/>
        <w:rPr>
          <w:sz w:val="24"/>
          <w:szCs w:val="24"/>
        </w:rPr>
      </w:pPr>
      <w:r w:rsidRPr="00E67914">
        <w:rPr>
          <w:sz w:val="24"/>
          <w:szCs w:val="24"/>
        </w:rPr>
        <w:t>本次研究选用国产资源卫星</w:t>
      </w:r>
      <w:r w:rsidRPr="00E67914">
        <w:rPr>
          <w:sz w:val="24"/>
          <w:szCs w:val="24"/>
        </w:rPr>
        <w:t>zy-3</w:t>
      </w:r>
      <w:r w:rsidRPr="00E67914">
        <w:rPr>
          <w:sz w:val="24"/>
          <w:szCs w:val="24"/>
        </w:rPr>
        <w:t>卫片，融合后地面精度为</w:t>
      </w:r>
      <w:r w:rsidRPr="00E67914">
        <w:rPr>
          <w:sz w:val="24"/>
          <w:szCs w:val="24"/>
        </w:rPr>
        <w:t>2.1m</w:t>
      </w:r>
      <w:r w:rsidRPr="00E67914">
        <w:rPr>
          <w:sz w:val="24"/>
          <w:szCs w:val="24"/>
        </w:rPr>
        <w:t>，采用地表植被特征的</w:t>
      </w:r>
      <w:r w:rsidRPr="00E67914">
        <w:rPr>
          <w:sz w:val="24"/>
          <w:szCs w:val="24"/>
        </w:rPr>
        <w:t>“</w:t>
      </w:r>
      <w:r w:rsidRPr="00E67914">
        <w:rPr>
          <w:sz w:val="24"/>
          <w:szCs w:val="24"/>
        </w:rPr>
        <w:t>近红外、红外、绿</w:t>
      </w:r>
      <w:r w:rsidRPr="00E67914">
        <w:rPr>
          <w:sz w:val="24"/>
          <w:szCs w:val="24"/>
        </w:rPr>
        <w:t>”</w:t>
      </w:r>
      <w:r w:rsidRPr="00E67914">
        <w:rPr>
          <w:sz w:val="24"/>
          <w:szCs w:val="24"/>
        </w:rPr>
        <w:t>三个波段，其中植被影响主要反映为红色。植被类型不同，色彩和色调都发生相应变化，因此可区分出植被亚型以上的植被类型以及农田、居民用地等地面类型。同时也参考了美国</w:t>
      </w:r>
      <w:r w:rsidRPr="00E67914">
        <w:rPr>
          <w:sz w:val="24"/>
          <w:szCs w:val="24"/>
        </w:rPr>
        <w:t>wordview</w:t>
      </w:r>
      <w:r w:rsidRPr="00E67914">
        <w:rPr>
          <w:sz w:val="24"/>
          <w:szCs w:val="24"/>
        </w:rPr>
        <w:t>卫片作为参考，分辨率</w:t>
      </w:r>
      <w:r w:rsidRPr="00E67914">
        <w:rPr>
          <w:sz w:val="24"/>
          <w:szCs w:val="24"/>
        </w:rPr>
        <w:t>1.24</w:t>
      </w:r>
      <w:r w:rsidRPr="00E67914">
        <w:rPr>
          <w:sz w:val="24"/>
          <w:szCs w:val="24"/>
        </w:rPr>
        <w:t>米能较好地满足调查需求，但是，植被类型的确定需结合不同植被类型分布的生态学特征，不能单纯依靠色彩进行划分，对监督分类产生的植被初图，结合路线调查记录和等高线、坡度、坡向等信息，对植被图进行目视解译校正，得到符合精度的植被图。在植被图的基础上，进一步合并有关地面类型，得到土地利用类型图。</w:t>
      </w:r>
    </w:p>
    <w:p w14:paraId="5E81A21F" w14:textId="77777777" w:rsidR="00A54A8A" w:rsidRPr="00E67914" w:rsidRDefault="00000000">
      <w:pPr>
        <w:pStyle w:val="41"/>
        <w:numPr>
          <w:ilvl w:val="0"/>
          <w:numId w:val="2"/>
        </w:numPr>
        <w:spacing w:line="360" w:lineRule="auto"/>
        <w:ind w:firstLineChars="200" w:firstLine="482"/>
        <w:rPr>
          <w:b/>
          <w:bCs/>
          <w:sz w:val="24"/>
          <w:szCs w:val="24"/>
        </w:rPr>
      </w:pPr>
      <w:r w:rsidRPr="00E67914">
        <w:rPr>
          <w:b/>
          <w:bCs/>
          <w:sz w:val="24"/>
          <w:szCs w:val="24"/>
        </w:rPr>
        <w:t>评价范围植被资源现状</w:t>
      </w:r>
    </w:p>
    <w:p w14:paraId="2E3571E7" w14:textId="77777777" w:rsidR="00A54A8A" w:rsidRPr="00E67914" w:rsidRDefault="00000000">
      <w:pPr>
        <w:pStyle w:val="41"/>
        <w:spacing w:line="360" w:lineRule="auto"/>
        <w:ind w:firstLineChars="200" w:firstLine="480"/>
        <w:rPr>
          <w:sz w:val="24"/>
          <w:szCs w:val="24"/>
        </w:rPr>
      </w:pPr>
      <w:r w:rsidRPr="00E67914">
        <w:rPr>
          <w:sz w:val="24"/>
          <w:szCs w:val="24"/>
        </w:rPr>
        <w:t>评价范围内植被概况见表</w:t>
      </w:r>
      <w:r w:rsidRPr="00E67914">
        <w:rPr>
          <w:sz w:val="24"/>
          <w:szCs w:val="24"/>
        </w:rPr>
        <w:t>4.3-3</w:t>
      </w:r>
      <w:r w:rsidRPr="00E67914">
        <w:rPr>
          <w:sz w:val="24"/>
          <w:szCs w:val="24"/>
        </w:rPr>
        <w:t>及《附图</w:t>
      </w:r>
      <w:r w:rsidRPr="00E67914">
        <w:rPr>
          <w:sz w:val="24"/>
          <w:szCs w:val="24"/>
        </w:rPr>
        <w:t xml:space="preserve"> </w:t>
      </w:r>
      <w:r w:rsidRPr="00E67914">
        <w:rPr>
          <w:sz w:val="24"/>
          <w:szCs w:val="24"/>
        </w:rPr>
        <w:t>评价区植被类型图》。</w:t>
      </w:r>
    </w:p>
    <w:p w14:paraId="535F814F"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4.3-3 </w:t>
      </w:r>
      <w:r w:rsidRPr="00E67914">
        <w:rPr>
          <w:rFonts w:ascii="Times New Roman" w:eastAsia="黑体" w:hAnsi="Times New Roman"/>
          <w:sz w:val="21"/>
          <w:szCs w:val="21"/>
          <w:lang w:eastAsia="zh-CN"/>
        </w:rPr>
        <w:t>评价范围内主要植被类型面积统计表</w:t>
      </w:r>
    </w:p>
    <w:tbl>
      <w:tblPr>
        <w:tblStyle w:val="TableNormal"/>
        <w:tblW w:w="5072"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
        <w:gridCol w:w="570"/>
        <w:gridCol w:w="946"/>
        <w:gridCol w:w="1870"/>
        <w:gridCol w:w="1874"/>
        <w:gridCol w:w="1442"/>
        <w:gridCol w:w="1325"/>
      </w:tblGrid>
      <w:tr w:rsidR="00E67914" w:rsidRPr="00E67914" w14:paraId="7852A42A" w14:textId="77777777">
        <w:trPr>
          <w:trHeight w:val="332"/>
          <w:jc w:val="center"/>
        </w:trPr>
        <w:tc>
          <w:tcPr>
            <w:tcW w:w="233" w:type="pct"/>
            <w:vAlign w:val="center"/>
          </w:tcPr>
          <w:p w14:paraId="11F09E1A"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rPr>
              <w:t>植被</w:t>
            </w:r>
            <w:r w:rsidRPr="00E67914">
              <w:rPr>
                <w:rFonts w:ascii="Times New Roman" w:hAnsi="Times New Roman"/>
                <w:spacing w:val="-4"/>
                <w:sz w:val="21"/>
                <w:szCs w:val="21"/>
              </w:rPr>
              <w:lastRenderedPageBreak/>
              <w:t>型组</w:t>
            </w:r>
          </w:p>
        </w:tc>
        <w:tc>
          <w:tcPr>
            <w:tcW w:w="338" w:type="pct"/>
            <w:vAlign w:val="center"/>
          </w:tcPr>
          <w:p w14:paraId="56EDFC39"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rPr>
              <w:lastRenderedPageBreak/>
              <w:t>植被型</w:t>
            </w:r>
          </w:p>
        </w:tc>
        <w:tc>
          <w:tcPr>
            <w:tcW w:w="561" w:type="pct"/>
            <w:vAlign w:val="center"/>
          </w:tcPr>
          <w:p w14:paraId="02F1FA11"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rPr>
              <w:t>植被</w:t>
            </w:r>
            <w:r w:rsidRPr="00E67914">
              <w:rPr>
                <w:rFonts w:ascii="Times New Roman" w:hAnsi="Times New Roman"/>
                <w:spacing w:val="-4"/>
                <w:sz w:val="21"/>
                <w:szCs w:val="21"/>
                <w:lang w:eastAsia="zh-CN"/>
              </w:rPr>
              <w:t>亚</w:t>
            </w:r>
            <w:r w:rsidRPr="00E67914">
              <w:rPr>
                <w:rFonts w:ascii="Times New Roman" w:hAnsi="Times New Roman"/>
                <w:spacing w:val="-4"/>
                <w:sz w:val="21"/>
                <w:szCs w:val="21"/>
              </w:rPr>
              <w:t>型</w:t>
            </w:r>
          </w:p>
        </w:tc>
        <w:tc>
          <w:tcPr>
            <w:tcW w:w="1110" w:type="pct"/>
            <w:vAlign w:val="center"/>
          </w:tcPr>
          <w:p w14:paraId="18130C1C" w14:textId="77777777" w:rsidR="00A54A8A" w:rsidRPr="00E67914" w:rsidRDefault="00000000">
            <w:pPr>
              <w:spacing w:before="51" w:line="214" w:lineRule="auto"/>
              <w:jc w:val="center"/>
              <w:rPr>
                <w:rFonts w:ascii="Times New Roman" w:hAnsi="Times New Roman"/>
                <w:spacing w:val="-3"/>
                <w:sz w:val="21"/>
                <w:szCs w:val="21"/>
              </w:rPr>
            </w:pPr>
            <w:r w:rsidRPr="00E67914">
              <w:rPr>
                <w:rFonts w:ascii="Times New Roman" w:hAnsi="Times New Roman"/>
                <w:spacing w:val="-3"/>
                <w:sz w:val="21"/>
                <w:szCs w:val="21"/>
                <w:lang w:eastAsia="zh-CN"/>
              </w:rPr>
              <w:t>群系组</w:t>
            </w:r>
          </w:p>
        </w:tc>
        <w:tc>
          <w:tcPr>
            <w:tcW w:w="1113" w:type="pct"/>
            <w:vAlign w:val="center"/>
          </w:tcPr>
          <w:p w14:paraId="2DC44EEA" w14:textId="77777777" w:rsidR="00A54A8A" w:rsidRPr="00E67914" w:rsidRDefault="00000000">
            <w:pPr>
              <w:spacing w:before="51" w:line="214" w:lineRule="auto"/>
              <w:jc w:val="center"/>
              <w:rPr>
                <w:rFonts w:ascii="Times New Roman" w:hAnsi="Times New Roman"/>
                <w:sz w:val="21"/>
                <w:szCs w:val="21"/>
              </w:rPr>
            </w:pPr>
            <w:r w:rsidRPr="00E67914">
              <w:rPr>
                <w:rFonts w:ascii="Times New Roman" w:hAnsi="Times New Roman"/>
                <w:spacing w:val="-3"/>
                <w:sz w:val="21"/>
                <w:szCs w:val="21"/>
              </w:rPr>
              <w:t>群</w:t>
            </w:r>
            <w:r w:rsidRPr="00E67914">
              <w:rPr>
                <w:rFonts w:ascii="Times New Roman" w:hAnsi="Times New Roman"/>
                <w:spacing w:val="-2"/>
                <w:sz w:val="21"/>
                <w:szCs w:val="21"/>
              </w:rPr>
              <w:t>系</w:t>
            </w:r>
          </w:p>
        </w:tc>
        <w:tc>
          <w:tcPr>
            <w:tcW w:w="856" w:type="pct"/>
            <w:vAlign w:val="center"/>
          </w:tcPr>
          <w:p w14:paraId="5F142F16" w14:textId="77777777" w:rsidR="00A54A8A" w:rsidRPr="00E67914" w:rsidRDefault="00000000">
            <w:pPr>
              <w:jc w:val="center"/>
              <w:rPr>
                <w:rFonts w:ascii="Times New Roman" w:hAnsi="Times New Roman"/>
                <w:spacing w:val="-2"/>
                <w:sz w:val="21"/>
                <w:szCs w:val="21"/>
              </w:rPr>
            </w:pPr>
            <w:r w:rsidRPr="00E67914">
              <w:rPr>
                <w:rFonts w:ascii="Times New Roman" w:hAnsi="Times New Roman"/>
                <w:sz w:val="21"/>
                <w:szCs w:val="21"/>
              </w:rPr>
              <w:t>面积</w:t>
            </w:r>
            <w:r w:rsidRPr="00E67914">
              <w:rPr>
                <w:rFonts w:ascii="Times New Roman" w:hAnsi="Times New Roman"/>
                <w:sz w:val="21"/>
                <w:szCs w:val="21"/>
              </w:rPr>
              <w:t>(hm²)</w:t>
            </w:r>
          </w:p>
        </w:tc>
        <w:tc>
          <w:tcPr>
            <w:tcW w:w="787" w:type="pct"/>
            <w:vAlign w:val="center"/>
          </w:tcPr>
          <w:p w14:paraId="245F5528" w14:textId="77777777" w:rsidR="00A54A8A" w:rsidRPr="00E67914" w:rsidRDefault="00000000">
            <w:pPr>
              <w:jc w:val="center"/>
              <w:rPr>
                <w:rFonts w:ascii="Times New Roman" w:hAnsi="Times New Roman"/>
                <w:spacing w:val="-2"/>
                <w:sz w:val="21"/>
                <w:szCs w:val="21"/>
              </w:rPr>
            </w:pPr>
            <w:r w:rsidRPr="00E67914">
              <w:rPr>
                <w:rFonts w:ascii="Times New Roman" w:hAnsi="Times New Roman"/>
                <w:sz w:val="21"/>
                <w:szCs w:val="21"/>
              </w:rPr>
              <w:t>比例</w:t>
            </w:r>
            <w:r w:rsidRPr="00E67914">
              <w:rPr>
                <w:rFonts w:ascii="Times New Roman" w:hAnsi="Times New Roman"/>
                <w:sz w:val="21"/>
                <w:szCs w:val="21"/>
              </w:rPr>
              <w:t>(%)</w:t>
            </w:r>
          </w:p>
        </w:tc>
      </w:tr>
      <w:tr w:rsidR="00E67914" w:rsidRPr="00E67914" w14:paraId="6955B0D6" w14:textId="77777777">
        <w:trPr>
          <w:trHeight w:val="401"/>
          <w:jc w:val="center"/>
        </w:trPr>
        <w:tc>
          <w:tcPr>
            <w:tcW w:w="233" w:type="pct"/>
            <w:vMerge w:val="restart"/>
            <w:vAlign w:val="center"/>
          </w:tcPr>
          <w:p w14:paraId="1570C7C9"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针叶林</w:t>
            </w:r>
          </w:p>
        </w:tc>
        <w:tc>
          <w:tcPr>
            <w:tcW w:w="338" w:type="pct"/>
            <w:vMerge w:val="restart"/>
            <w:vAlign w:val="center"/>
          </w:tcPr>
          <w:p w14:paraId="22AD2C7C"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暖性</w:t>
            </w:r>
            <w:r w:rsidRPr="00E67914">
              <w:rPr>
                <w:rFonts w:ascii="Times New Roman" w:hAnsi="Times New Roman"/>
                <w:spacing w:val="-4"/>
                <w:sz w:val="21"/>
                <w:szCs w:val="21"/>
              </w:rPr>
              <w:t>针叶林</w:t>
            </w:r>
          </w:p>
        </w:tc>
        <w:tc>
          <w:tcPr>
            <w:tcW w:w="561" w:type="pct"/>
            <w:vMerge w:val="restart"/>
            <w:vAlign w:val="center"/>
          </w:tcPr>
          <w:p w14:paraId="689048F1"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12"/>
                <w:sz w:val="21"/>
                <w:szCs w:val="21"/>
              </w:rPr>
              <w:t>暖性常绿</w:t>
            </w:r>
            <w:r w:rsidRPr="00E67914">
              <w:rPr>
                <w:rFonts w:ascii="Times New Roman" w:hAnsi="Times New Roman"/>
                <w:spacing w:val="-4"/>
                <w:sz w:val="21"/>
                <w:szCs w:val="21"/>
              </w:rPr>
              <w:t>针叶林</w:t>
            </w:r>
          </w:p>
        </w:tc>
        <w:tc>
          <w:tcPr>
            <w:tcW w:w="1110" w:type="pct"/>
            <w:vAlign w:val="center"/>
          </w:tcPr>
          <w:p w14:paraId="024B32BA" w14:textId="77777777" w:rsidR="00A54A8A" w:rsidRPr="00E67914" w:rsidRDefault="00000000">
            <w:pPr>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暖性松林</w:t>
            </w:r>
          </w:p>
        </w:tc>
        <w:tc>
          <w:tcPr>
            <w:tcW w:w="1113" w:type="pct"/>
            <w:vAlign w:val="center"/>
          </w:tcPr>
          <w:p w14:paraId="19E5AFA3" w14:textId="77777777" w:rsidR="00A54A8A" w:rsidRPr="00E67914" w:rsidRDefault="00000000">
            <w:pPr>
              <w:jc w:val="center"/>
              <w:textAlignment w:val="bottom"/>
              <w:rPr>
                <w:rFonts w:ascii="Times New Roman" w:hAnsi="Times New Roman"/>
                <w:spacing w:val="-4"/>
                <w:sz w:val="21"/>
                <w:szCs w:val="21"/>
              </w:rPr>
            </w:pPr>
            <w:r w:rsidRPr="00E67914">
              <w:rPr>
                <w:rFonts w:ascii="Times New Roman" w:hAnsi="Times New Roman"/>
                <w:sz w:val="21"/>
                <w:szCs w:val="21"/>
                <w:lang w:eastAsia="zh-CN" w:bidi="ar"/>
              </w:rPr>
              <w:t>马尾松</w:t>
            </w:r>
            <w:r w:rsidRPr="00E67914">
              <w:rPr>
                <w:rFonts w:ascii="Times New Roman" w:hAnsi="Times New Roman"/>
                <w:spacing w:val="-3"/>
                <w:sz w:val="21"/>
                <w:szCs w:val="21"/>
              </w:rPr>
              <w:t>群</w:t>
            </w:r>
            <w:r w:rsidRPr="00E67914">
              <w:rPr>
                <w:rFonts w:ascii="Times New Roman" w:hAnsi="Times New Roman"/>
                <w:spacing w:val="-2"/>
                <w:sz w:val="21"/>
                <w:szCs w:val="21"/>
              </w:rPr>
              <w:t>系</w:t>
            </w:r>
          </w:p>
        </w:tc>
        <w:tc>
          <w:tcPr>
            <w:tcW w:w="856" w:type="pct"/>
            <w:vMerge w:val="restart"/>
            <w:vAlign w:val="center"/>
          </w:tcPr>
          <w:p w14:paraId="1B8FBE2F" w14:textId="2088F316"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1.38</w:t>
            </w:r>
          </w:p>
        </w:tc>
        <w:tc>
          <w:tcPr>
            <w:tcW w:w="787" w:type="pct"/>
            <w:vMerge w:val="restart"/>
            <w:vAlign w:val="center"/>
          </w:tcPr>
          <w:p w14:paraId="747FE3DE" w14:textId="3F76762D"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1.76</w:t>
            </w:r>
          </w:p>
        </w:tc>
      </w:tr>
      <w:tr w:rsidR="00E67914" w:rsidRPr="00E67914" w14:paraId="4188BB9D" w14:textId="77777777">
        <w:trPr>
          <w:trHeight w:val="401"/>
          <w:jc w:val="center"/>
        </w:trPr>
        <w:tc>
          <w:tcPr>
            <w:tcW w:w="233" w:type="pct"/>
            <w:vMerge/>
            <w:vAlign w:val="center"/>
          </w:tcPr>
          <w:p w14:paraId="176DDEE1" w14:textId="77777777" w:rsidR="00A54A8A" w:rsidRPr="00E67914" w:rsidRDefault="00A54A8A">
            <w:pPr>
              <w:spacing w:before="51" w:line="214" w:lineRule="auto"/>
              <w:jc w:val="center"/>
              <w:rPr>
                <w:rFonts w:ascii="Times New Roman" w:hAnsi="Times New Roman"/>
                <w:spacing w:val="-4"/>
                <w:sz w:val="21"/>
                <w:szCs w:val="21"/>
              </w:rPr>
            </w:pPr>
          </w:p>
        </w:tc>
        <w:tc>
          <w:tcPr>
            <w:tcW w:w="338" w:type="pct"/>
            <w:vMerge/>
            <w:vAlign w:val="center"/>
          </w:tcPr>
          <w:p w14:paraId="6D0C2F1C" w14:textId="77777777" w:rsidR="00A54A8A" w:rsidRPr="00E67914" w:rsidRDefault="00A54A8A">
            <w:pPr>
              <w:spacing w:before="51" w:line="214" w:lineRule="auto"/>
              <w:jc w:val="center"/>
              <w:rPr>
                <w:rFonts w:ascii="Times New Roman" w:hAnsi="Times New Roman"/>
                <w:spacing w:val="-4"/>
                <w:sz w:val="21"/>
                <w:szCs w:val="21"/>
              </w:rPr>
            </w:pPr>
          </w:p>
        </w:tc>
        <w:tc>
          <w:tcPr>
            <w:tcW w:w="561" w:type="pct"/>
            <w:vMerge/>
            <w:vAlign w:val="center"/>
          </w:tcPr>
          <w:p w14:paraId="0778290E" w14:textId="77777777" w:rsidR="00A54A8A" w:rsidRPr="00E67914" w:rsidRDefault="00A54A8A">
            <w:pPr>
              <w:spacing w:before="51" w:line="214" w:lineRule="auto"/>
              <w:jc w:val="center"/>
              <w:rPr>
                <w:rFonts w:ascii="Times New Roman" w:hAnsi="Times New Roman"/>
                <w:spacing w:val="-4"/>
                <w:sz w:val="21"/>
                <w:szCs w:val="21"/>
              </w:rPr>
            </w:pPr>
          </w:p>
        </w:tc>
        <w:tc>
          <w:tcPr>
            <w:tcW w:w="1110" w:type="pct"/>
            <w:vAlign w:val="center"/>
          </w:tcPr>
          <w:p w14:paraId="27CBB682" w14:textId="77777777" w:rsidR="00A54A8A" w:rsidRPr="00E67914" w:rsidRDefault="00000000">
            <w:pPr>
              <w:jc w:val="center"/>
              <w:textAlignment w:val="bottom"/>
              <w:rPr>
                <w:rFonts w:ascii="Times New Roman" w:hAnsi="Times New Roman"/>
                <w:spacing w:val="15"/>
                <w:sz w:val="21"/>
                <w:szCs w:val="21"/>
              </w:rPr>
            </w:pPr>
            <w:r w:rsidRPr="00E67914">
              <w:rPr>
                <w:rFonts w:ascii="Times New Roman" w:hAnsi="Times New Roman"/>
                <w:spacing w:val="15"/>
                <w:sz w:val="21"/>
                <w:szCs w:val="21"/>
                <w:lang w:eastAsia="zh-CN"/>
              </w:rPr>
              <w:t>柏木林</w:t>
            </w:r>
          </w:p>
        </w:tc>
        <w:tc>
          <w:tcPr>
            <w:tcW w:w="1113" w:type="pct"/>
            <w:vAlign w:val="center"/>
          </w:tcPr>
          <w:p w14:paraId="4D256A73" w14:textId="34B60D0A" w:rsidR="00A54A8A" w:rsidRPr="00E67914" w:rsidRDefault="00361C81">
            <w:pPr>
              <w:jc w:val="center"/>
              <w:textAlignment w:val="bottom"/>
              <w:rPr>
                <w:rFonts w:ascii="Times New Roman" w:hAnsi="Times New Roman"/>
                <w:spacing w:val="15"/>
                <w:sz w:val="21"/>
                <w:szCs w:val="21"/>
                <w:lang w:eastAsia="zh-CN"/>
              </w:rPr>
            </w:pPr>
            <w:r w:rsidRPr="00E67914">
              <w:rPr>
                <w:rFonts w:ascii="Times New Roman" w:hAnsi="Times New Roman"/>
                <w:spacing w:val="15"/>
                <w:sz w:val="21"/>
                <w:szCs w:val="21"/>
                <w:lang w:eastAsia="zh-CN"/>
              </w:rPr>
              <w:t>马尾松、杉木、柏木群系</w:t>
            </w:r>
          </w:p>
        </w:tc>
        <w:tc>
          <w:tcPr>
            <w:tcW w:w="856" w:type="pct"/>
            <w:vMerge/>
            <w:vAlign w:val="center"/>
          </w:tcPr>
          <w:p w14:paraId="2F7193B9" w14:textId="77777777" w:rsidR="00A54A8A" w:rsidRPr="00E67914" w:rsidRDefault="00A54A8A">
            <w:pPr>
              <w:jc w:val="center"/>
              <w:textAlignment w:val="bottom"/>
              <w:rPr>
                <w:rFonts w:ascii="Times New Roman" w:hAnsi="Times New Roman"/>
                <w:sz w:val="21"/>
                <w:szCs w:val="21"/>
                <w:lang w:eastAsia="zh-CN"/>
              </w:rPr>
            </w:pPr>
          </w:p>
        </w:tc>
        <w:tc>
          <w:tcPr>
            <w:tcW w:w="787" w:type="pct"/>
            <w:vMerge/>
            <w:vAlign w:val="center"/>
          </w:tcPr>
          <w:p w14:paraId="333CE0CC" w14:textId="77777777" w:rsidR="00A54A8A" w:rsidRPr="00E67914" w:rsidRDefault="00A54A8A">
            <w:pPr>
              <w:jc w:val="center"/>
              <w:textAlignment w:val="bottom"/>
              <w:rPr>
                <w:rFonts w:ascii="Times New Roman" w:hAnsi="Times New Roman"/>
                <w:sz w:val="21"/>
                <w:szCs w:val="21"/>
                <w:lang w:eastAsia="zh-CN"/>
              </w:rPr>
            </w:pPr>
          </w:p>
        </w:tc>
      </w:tr>
      <w:tr w:rsidR="00E67914" w:rsidRPr="00E67914" w14:paraId="26876053" w14:textId="77777777">
        <w:trPr>
          <w:trHeight w:val="619"/>
          <w:jc w:val="center"/>
        </w:trPr>
        <w:tc>
          <w:tcPr>
            <w:tcW w:w="233" w:type="pct"/>
            <w:vAlign w:val="center"/>
          </w:tcPr>
          <w:p w14:paraId="35925725"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阔叶林</w:t>
            </w:r>
          </w:p>
        </w:tc>
        <w:tc>
          <w:tcPr>
            <w:tcW w:w="338" w:type="pct"/>
            <w:vAlign w:val="center"/>
          </w:tcPr>
          <w:p w14:paraId="4A25E980"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落叶</w:t>
            </w:r>
            <w:r w:rsidRPr="00E67914">
              <w:rPr>
                <w:rFonts w:ascii="Times New Roman" w:hAnsi="Times New Roman"/>
                <w:spacing w:val="-4"/>
                <w:sz w:val="21"/>
                <w:szCs w:val="21"/>
              </w:rPr>
              <w:t>阔叶林</w:t>
            </w:r>
          </w:p>
        </w:tc>
        <w:tc>
          <w:tcPr>
            <w:tcW w:w="561" w:type="pct"/>
            <w:vAlign w:val="center"/>
          </w:tcPr>
          <w:p w14:paraId="2B7BC325"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典型</w:t>
            </w:r>
            <w:r w:rsidRPr="00E67914">
              <w:rPr>
                <w:rFonts w:ascii="Times New Roman" w:hAnsi="Times New Roman"/>
                <w:spacing w:val="-4"/>
                <w:sz w:val="21"/>
                <w:szCs w:val="21"/>
              </w:rPr>
              <w:t>落叶阔叶林</w:t>
            </w:r>
          </w:p>
        </w:tc>
        <w:tc>
          <w:tcPr>
            <w:tcW w:w="1110" w:type="pct"/>
            <w:vAlign w:val="center"/>
          </w:tcPr>
          <w:p w14:paraId="45FA2EA5" w14:textId="77777777" w:rsidR="00A54A8A" w:rsidRPr="00E67914" w:rsidRDefault="00000000">
            <w:pPr>
              <w:jc w:val="center"/>
              <w:textAlignment w:val="bottom"/>
              <w:rPr>
                <w:rFonts w:ascii="Times New Roman" w:hAnsi="Times New Roman"/>
                <w:spacing w:val="15"/>
                <w:sz w:val="21"/>
                <w:szCs w:val="21"/>
              </w:rPr>
            </w:pPr>
            <w:r w:rsidRPr="00E67914">
              <w:rPr>
                <w:rFonts w:ascii="Times New Roman" w:hAnsi="Times New Roman"/>
                <w:spacing w:val="15"/>
                <w:sz w:val="21"/>
                <w:szCs w:val="21"/>
                <w:lang w:eastAsia="zh-CN"/>
              </w:rPr>
              <w:t>栎林</w:t>
            </w:r>
          </w:p>
        </w:tc>
        <w:tc>
          <w:tcPr>
            <w:tcW w:w="1113" w:type="pct"/>
            <w:vAlign w:val="center"/>
          </w:tcPr>
          <w:p w14:paraId="29DC3F5E" w14:textId="57B527FD" w:rsidR="00A54A8A" w:rsidRPr="00E67914" w:rsidRDefault="00000000">
            <w:pPr>
              <w:jc w:val="center"/>
              <w:textAlignment w:val="bottom"/>
              <w:rPr>
                <w:rFonts w:ascii="Times New Roman" w:hAnsi="Times New Roman"/>
                <w:spacing w:val="15"/>
                <w:sz w:val="21"/>
                <w:szCs w:val="21"/>
              </w:rPr>
            </w:pPr>
            <w:r w:rsidRPr="00E67914">
              <w:rPr>
                <w:rFonts w:ascii="Times New Roman" w:hAnsi="Times New Roman"/>
                <w:spacing w:val="15"/>
                <w:sz w:val="21"/>
                <w:szCs w:val="21"/>
                <w:lang w:eastAsia="zh-CN"/>
              </w:rPr>
              <w:t>麻栎</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青冈</w:t>
            </w:r>
            <w:r w:rsidR="00361C81" w:rsidRPr="00E67914">
              <w:rPr>
                <w:rFonts w:ascii="Times New Roman" w:hAnsi="Times New Roman"/>
                <w:spacing w:val="15"/>
                <w:sz w:val="21"/>
                <w:szCs w:val="21"/>
                <w:lang w:eastAsia="zh-CN"/>
              </w:rPr>
              <w:t>+</w:t>
            </w:r>
            <w:r w:rsidR="00361C81" w:rsidRPr="00E67914">
              <w:rPr>
                <w:rFonts w:ascii="Times New Roman" w:hAnsi="Times New Roman"/>
                <w:spacing w:val="15"/>
                <w:sz w:val="21"/>
                <w:szCs w:val="21"/>
                <w:lang w:eastAsia="zh-CN"/>
              </w:rPr>
              <w:t>栓皮栎</w:t>
            </w:r>
            <w:r w:rsidRPr="00E67914">
              <w:rPr>
                <w:rFonts w:ascii="Times New Roman" w:hAnsi="Times New Roman"/>
                <w:spacing w:val="15"/>
                <w:sz w:val="21"/>
                <w:szCs w:val="21"/>
              </w:rPr>
              <w:t>群系</w:t>
            </w:r>
          </w:p>
        </w:tc>
        <w:tc>
          <w:tcPr>
            <w:tcW w:w="856" w:type="pct"/>
            <w:vAlign w:val="center"/>
          </w:tcPr>
          <w:p w14:paraId="0177C14F" w14:textId="7AF98F08"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37.79</w:t>
            </w:r>
          </w:p>
        </w:tc>
        <w:tc>
          <w:tcPr>
            <w:tcW w:w="787" w:type="pct"/>
            <w:vAlign w:val="center"/>
          </w:tcPr>
          <w:p w14:paraId="6A3FA41A" w14:textId="2FC3B2B1"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48.17</w:t>
            </w:r>
          </w:p>
        </w:tc>
      </w:tr>
      <w:tr w:rsidR="00E67914" w:rsidRPr="00E67914" w14:paraId="0E4F4765" w14:textId="77777777">
        <w:trPr>
          <w:trHeight w:val="90"/>
          <w:jc w:val="center"/>
        </w:trPr>
        <w:tc>
          <w:tcPr>
            <w:tcW w:w="233" w:type="pct"/>
            <w:vMerge w:val="restart"/>
            <w:vAlign w:val="center"/>
          </w:tcPr>
          <w:p w14:paraId="32871E27"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rPr>
              <w:t>灌丛和灌</w:t>
            </w:r>
            <w:r w:rsidRPr="00E67914">
              <w:rPr>
                <w:rFonts w:ascii="Times New Roman" w:hAnsi="Times New Roman"/>
                <w:spacing w:val="-4"/>
                <w:sz w:val="21"/>
                <w:szCs w:val="21"/>
              </w:rPr>
              <w:t xml:space="preserve"> </w:t>
            </w:r>
            <w:r w:rsidRPr="00E67914">
              <w:rPr>
                <w:rFonts w:ascii="Times New Roman" w:hAnsi="Times New Roman"/>
                <w:spacing w:val="-4"/>
                <w:sz w:val="21"/>
                <w:szCs w:val="21"/>
              </w:rPr>
              <w:t>草丛</w:t>
            </w:r>
          </w:p>
        </w:tc>
        <w:tc>
          <w:tcPr>
            <w:tcW w:w="338" w:type="pct"/>
            <w:vMerge w:val="restart"/>
            <w:vAlign w:val="center"/>
          </w:tcPr>
          <w:p w14:paraId="049C9B62"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落叶阔叶灌丛</w:t>
            </w:r>
          </w:p>
        </w:tc>
        <w:tc>
          <w:tcPr>
            <w:tcW w:w="561" w:type="pct"/>
            <w:vMerge w:val="restart"/>
            <w:vAlign w:val="center"/>
          </w:tcPr>
          <w:p w14:paraId="0701B095"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暖性落叶</w:t>
            </w:r>
            <w:r w:rsidRPr="00E67914">
              <w:rPr>
                <w:rFonts w:ascii="Times New Roman" w:hAnsi="Times New Roman"/>
                <w:spacing w:val="-4"/>
                <w:sz w:val="21"/>
                <w:szCs w:val="21"/>
              </w:rPr>
              <w:t>阔叶灌丛</w:t>
            </w:r>
          </w:p>
        </w:tc>
        <w:tc>
          <w:tcPr>
            <w:tcW w:w="1110" w:type="pct"/>
            <w:vMerge w:val="restart"/>
            <w:vAlign w:val="center"/>
          </w:tcPr>
          <w:p w14:paraId="66DFFD86" w14:textId="77777777" w:rsidR="00A54A8A" w:rsidRPr="00E67914" w:rsidRDefault="00000000">
            <w:pPr>
              <w:jc w:val="center"/>
              <w:textAlignment w:val="bottom"/>
              <w:rPr>
                <w:rFonts w:ascii="Times New Roman" w:hAnsi="Times New Roman"/>
                <w:spacing w:val="15"/>
                <w:sz w:val="21"/>
                <w:szCs w:val="21"/>
                <w:lang w:eastAsia="zh-CN"/>
              </w:rPr>
            </w:pPr>
            <w:r w:rsidRPr="00E67914">
              <w:rPr>
                <w:rFonts w:ascii="Times New Roman" w:hAnsi="Times New Roman"/>
                <w:spacing w:val="15"/>
                <w:sz w:val="21"/>
                <w:szCs w:val="21"/>
                <w:lang w:eastAsia="zh-CN"/>
              </w:rPr>
              <w:t>低山丘陵落叶阔叶灌丛</w:t>
            </w:r>
          </w:p>
        </w:tc>
        <w:tc>
          <w:tcPr>
            <w:tcW w:w="1113" w:type="pct"/>
            <w:vAlign w:val="center"/>
          </w:tcPr>
          <w:p w14:paraId="3A0DDCC4" w14:textId="061F41A8" w:rsidR="00A54A8A" w:rsidRPr="00E67914" w:rsidRDefault="00000000">
            <w:pPr>
              <w:jc w:val="center"/>
              <w:textAlignment w:val="bottom"/>
              <w:rPr>
                <w:rFonts w:ascii="Times New Roman" w:hAnsi="Times New Roman"/>
                <w:spacing w:val="15"/>
                <w:sz w:val="21"/>
                <w:szCs w:val="21"/>
              </w:rPr>
            </w:pPr>
            <w:r w:rsidRPr="00E67914">
              <w:rPr>
                <w:rFonts w:ascii="Times New Roman" w:hAnsi="Times New Roman"/>
                <w:spacing w:val="15"/>
                <w:sz w:val="21"/>
                <w:szCs w:val="21"/>
                <w:lang w:eastAsia="zh-CN"/>
              </w:rPr>
              <w:t>盐肤木灌丛灌丛</w:t>
            </w:r>
          </w:p>
        </w:tc>
        <w:tc>
          <w:tcPr>
            <w:tcW w:w="856" w:type="pct"/>
            <w:vMerge w:val="restart"/>
            <w:vAlign w:val="center"/>
          </w:tcPr>
          <w:p w14:paraId="40DB11F0" w14:textId="21B98B88"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3.74</w:t>
            </w:r>
          </w:p>
        </w:tc>
        <w:tc>
          <w:tcPr>
            <w:tcW w:w="787" w:type="pct"/>
            <w:vMerge w:val="restart"/>
            <w:vAlign w:val="center"/>
          </w:tcPr>
          <w:p w14:paraId="2F4BE9A6" w14:textId="2575D02A"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4.77</w:t>
            </w:r>
          </w:p>
        </w:tc>
      </w:tr>
      <w:tr w:rsidR="00E67914" w:rsidRPr="00E67914" w14:paraId="3857AEAC" w14:textId="77777777">
        <w:trPr>
          <w:trHeight w:val="542"/>
          <w:jc w:val="center"/>
        </w:trPr>
        <w:tc>
          <w:tcPr>
            <w:tcW w:w="233" w:type="pct"/>
            <w:vMerge/>
            <w:vAlign w:val="center"/>
          </w:tcPr>
          <w:p w14:paraId="1272A91D" w14:textId="77777777" w:rsidR="00A54A8A" w:rsidRPr="00E67914" w:rsidRDefault="00A54A8A">
            <w:pPr>
              <w:spacing w:before="51" w:line="214" w:lineRule="auto"/>
              <w:jc w:val="center"/>
              <w:rPr>
                <w:rFonts w:ascii="Times New Roman" w:hAnsi="Times New Roman"/>
                <w:spacing w:val="-4"/>
                <w:sz w:val="21"/>
                <w:szCs w:val="21"/>
              </w:rPr>
            </w:pPr>
          </w:p>
        </w:tc>
        <w:tc>
          <w:tcPr>
            <w:tcW w:w="338" w:type="pct"/>
            <w:vMerge/>
            <w:vAlign w:val="center"/>
          </w:tcPr>
          <w:p w14:paraId="53CE7295" w14:textId="77777777" w:rsidR="00A54A8A" w:rsidRPr="00E67914" w:rsidRDefault="00A54A8A">
            <w:pPr>
              <w:spacing w:before="51" w:line="214" w:lineRule="auto"/>
              <w:jc w:val="center"/>
              <w:rPr>
                <w:rFonts w:ascii="Times New Roman" w:hAnsi="Times New Roman"/>
                <w:spacing w:val="-4"/>
                <w:sz w:val="21"/>
                <w:szCs w:val="21"/>
              </w:rPr>
            </w:pPr>
          </w:p>
        </w:tc>
        <w:tc>
          <w:tcPr>
            <w:tcW w:w="561" w:type="pct"/>
            <w:vMerge/>
            <w:vAlign w:val="center"/>
          </w:tcPr>
          <w:p w14:paraId="320EAF0C" w14:textId="77777777" w:rsidR="00A54A8A" w:rsidRPr="00E67914" w:rsidRDefault="00A54A8A">
            <w:pPr>
              <w:spacing w:before="51" w:line="214" w:lineRule="auto"/>
              <w:jc w:val="center"/>
              <w:rPr>
                <w:rFonts w:ascii="Times New Roman" w:hAnsi="Times New Roman"/>
                <w:spacing w:val="-4"/>
                <w:sz w:val="21"/>
                <w:szCs w:val="21"/>
              </w:rPr>
            </w:pPr>
          </w:p>
        </w:tc>
        <w:tc>
          <w:tcPr>
            <w:tcW w:w="1110" w:type="pct"/>
            <w:vMerge/>
            <w:vAlign w:val="center"/>
          </w:tcPr>
          <w:p w14:paraId="785E2EEE" w14:textId="77777777" w:rsidR="00A54A8A" w:rsidRPr="00E67914" w:rsidRDefault="00A54A8A">
            <w:pPr>
              <w:jc w:val="center"/>
              <w:textAlignment w:val="bottom"/>
              <w:rPr>
                <w:rFonts w:ascii="Times New Roman" w:hAnsi="Times New Roman"/>
                <w:spacing w:val="15"/>
                <w:sz w:val="21"/>
                <w:szCs w:val="21"/>
              </w:rPr>
            </w:pPr>
          </w:p>
        </w:tc>
        <w:tc>
          <w:tcPr>
            <w:tcW w:w="1113" w:type="pct"/>
            <w:vAlign w:val="center"/>
          </w:tcPr>
          <w:p w14:paraId="503B5CEB" w14:textId="342B8F25" w:rsidR="00A54A8A" w:rsidRPr="00E67914" w:rsidRDefault="00000000">
            <w:pPr>
              <w:jc w:val="center"/>
              <w:textAlignment w:val="bottom"/>
              <w:rPr>
                <w:rFonts w:ascii="Times New Roman" w:hAnsi="Times New Roman"/>
                <w:spacing w:val="15"/>
                <w:sz w:val="21"/>
                <w:szCs w:val="21"/>
                <w:lang w:eastAsia="zh-CN"/>
              </w:rPr>
            </w:pPr>
            <w:r w:rsidRPr="00E67914">
              <w:rPr>
                <w:rFonts w:ascii="Times New Roman" w:hAnsi="Times New Roman"/>
                <w:spacing w:val="15"/>
                <w:sz w:val="21"/>
                <w:szCs w:val="21"/>
                <w:lang w:eastAsia="zh-CN"/>
              </w:rPr>
              <w:t>马桑</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黄荆</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火棘灌丛群系</w:t>
            </w:r>
          </w:p>
        </w:tc>
        <w:tc>
          <w:tcPr>
            <w:tcW w:w="856" w:type="pct"/>
            <w:vMerge/>
            <w:vAlign w:val="center"/>
          </w:tcPr>
          <w:p w14:paraId="106871F9" w14:textId="77777777" w:rsidR="00A54A8A" w:rsidRPr="00E67914" w:rsidRDefault="00A54A8A">
            <w:pPr>
              <w:jc w:val="center"/>
              <w:textAlignment w:val="bottom"/>
              <w:rPr>
                <w:rFonts w:ascii="Times New Roman" w:hAnsi="Times New Roman"/>
                <w:sz w:val="21"/>
                <w:szCs w:val="21"/>
                <w:lang w:eastAsia="zh-CN"/>
              </w:rPr>
            </w:pPr>
          </w:p>
        </w:tc>
        <w:tc>
          <w:tcPr>
            <w:tcW w:w="787" w:type="pct"/>
            <w:vMerge/>
            <w:vAlign w:val="center"/>
          </w:tcPr>
          <w:p w14:paraId="11E925B1" w14:textId="77777777" w:rsidR="00A54A8A" w:rsidRPr="00E67914" w:rsidRDefault="00A54A8A">
            <w:pPr>
              <w:jc w:val="center"/>
              <w:textAlignment w:val="bottom"/>
              <w:rPr>
                <w:rFonts w:ascii="Times New Roman" w:hAnsi="Times New Roman"/>
                <w:sz w:val="21"/>
                <w:szCs w:val="21"/>
                <w:lang w:eastAsia="zh-CN"/>
              </w:rPr>
            </w:pPr>
          </w:p>
        </w:tc>
      </w:tr>
      <w:tr w:rsidR="00E67914" w:rsidRPr="00E67914" w14:paraId="4052C110" w14:textId="77777777">
        <w:trPr>
          <w:trHeight w:val="370"/>
          <w:jc w:val="center"/>
        </w:trPr>
        <w:tc>
          <w:tcPr>
            <w:tcW w:w="233" w:type="pct"/>
            <w:vMerge/>
            <w:vAlign w:val="center"/>
          </w:tcPr>
          <w:p w14:paraId="16D4DF3E" w14:textId="77777777" w:rsidR="00A54A8A" w:rsidRPr="00E67914" w:rsidRDefault="00A54A8A">
            <w:pPr>
              <w:spacing w:before="51" w:line="214" w:lineRule="auto"/>
              <w:jc w:val="center"/>
              <w:rPr>
                <w:rFonts w:ascii="Times New Roman" w:hAnsi="Times New Roman"/>
                <w:spacing w:val="-4"/>
                <w:sz w:val="21"/>
                <w:szCs w:val="21"/>
                <w:lang w:eastAsia="zh-CN"/>
              </w:rPr>
            </w:pPr>
          </w:p>
        </w:tc>
        <w:tc>
          <w:tcPr>
            <w:tcW w:w="338" w:type="pct"/>
            <w:vMerge w:val="restart"/>
            <w:vAlign w:val="center"/>
          </w:tcPr>
          <w:p w14:paraId="7F85106E"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灌草丛</w:t>
            </w:r>
          </w:p>
        </w:tc>
        <w:tc>
          <w:tcPr>
            <w:tcW w:w="561" w:type="pct"/>
            <w:vMerge w:val="restart"/>
            <w:vAlign w:val="center"/>
          </w:tcPr>
          <w:p w14:paraId="2ED45408" w14:textId="77777777" w:rsidR="00A54A8A" w:rsidRPr="00E67914" w:rsidRDefault="00000000">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暖热性灌</w:t>
            </w:r>
            <w:r w:rsidRPr="00E67914">
              <w:rPr>
                <w:rFonts w:ascii="Times New Roman" w:hAnsi="Times New Roman"/>
                <w:spacing w:val="-4"/>
                <w:sz w:val="21"/>
                <w:szCs w:val="21"/>
              </w:rPr>
              <w:t>草丛</w:t>
            </w:r>
          </w:p>
        </w:tc>
        <w:tc>
          <w:tcPr>
            <w:tcW w:w="1110" w:type="pct"/>
            <w:vAlign w:val="center"/>
          </w:tcPr>
          <w:p w14:paraId="22A88B5A" w14:textId="77777777" w:rsidR="00A54A8A" w:rsidRPr="00E67914" w:rsidRDefault="00000000">
            <w:pPr>
              <w:jc w:val="center"/>
              <w:textAlignment w:val="bottom"/>
              <w:rPr>
                <w:rFonts w:ascii="Times New Roman" w:hAnsi="Times New Roman"/>
                <w:spacing w:val="15"/>
                <w:sz w:val="21"/>
                <w:szCs w:val="21"/>
              </w:rPr>
            </w:pPr>
            <w:r w:rsidRPr="00E67914">
              <w:rPr>
                <w:rFonts w:ascii="Times New Roman" w:hAnsi="Times New Roman"/>
                <w:spacing w:val="15"/>
                <w:sz w:val="21"/>
                <w:szCs w:val="21"/>
                <w:lang w:eastAsia="zh-CN"/>
              </w:rPr>
              <w:t>禾草灌草丛</w:t>
            </w:r>
          </w:p>
        </w:tc>
        <w:tc>
          <w:tcPr>
            <w:tcW w:w="1113" w:type="pct"/>
            <w:vAlign w:val="center"/>
          </w:tcPr>
          <w:p w14:paraId="36F6CA5F" w14:textId="77777777" w:rsidR="00A54A8A" w:rsidRPr="00E67914" w:rsidRDefault="00000000">
            <w:pPr>
              <w:jc w:val="center"/>
              <w:textAlignment w:val="bottom"/>
              <w:rPr>
                <w:rFonts w:ascii="Times New Roman" w:hAnsi="Times New Roman"/>
                <w:spacing w:val="15"/>
                <w:sz w:val="21"/>
                <w:szCs w:val="21"/>
              </w:rPr>
            </w:pPr>
            <w:r w:rsidRPr="00E67914">
              <w:rPr>
                <w:rFonts w:ascii="Times New Roman" w:hAnsi="Times New Roman"/>
                <w:spacing w:val="15"/>
                <w:sz w:val="21"/>
                <w:szCs w:val="21"/>
                <w:lang w:eastAsia="zh-CN"/>
              </w:rPr>
              <w:t>芒</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白茅草丛群系</w:t>
            </w:r>
          </w:p>
        </w:tc>
        <w:tc>
          <w:tcPr>
            <w:tcW w:w="856" w:type="pct"/>
            <w:vMerge w:val="restart"/>
            <w:vAlign w:val="center"/>
          </w:tcPr>
          <w:p w14:paraId="34BE6DB6" w14:textId="72733777"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1.49</w:t>
            </w:r>
          </w:p>
        </w:tc>
        <w:tc>
          <w:tcPr>
            <w:tcW w:w="787" w:type="pct"/>
            <w:vMerge w:val="restart"/>
            <w:vAlign w:val="center"/>
          </w:tcPr>
          <w:p w14:paraId="0883B8BC" w14:textId="121A0DDE"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1.89</w:t>
            </w:r>
          </w:p>
        </w:tc>
      </w:tr>
      <w:tr w:rsidR="00E67914" w:rsidRPr="00E67914" w14:paraId="57F4B6E1" w14:textId="77777777">
        <w:trPr>
          <w:trHeight w:val="404"/>
          <w:jc w:val="center"/>
        </w:trPr>
        <w:tc>
          <w:tcPr>
            <w:tcW w:w="233" w:type="pct"/>
            <w:vMerge/>
            <w:vAlign w:val="center"/>
          </w:tcPr>
          <w:p w14:paraId="41C56891" w14:textId="77777777" w:rsidR="00A54A8A" w:rsidRPr="00E67914" w:rsidRDefault="00A54A8A">
            <w:pPr>
              <w:spacing w:before="51" w:line="214" w:lineRule="auto"/>
              <w:jc w:val="center"/>
              <w:rPr>
                <w:rFonts w:ascii="Times New Roman" w:hAnsi="Times New Roman"/>
                <w:spacing w:val="-4"/>
                <w:sz w:val="21"/>
                <w:szCs w:val="21"/>
              </w:rPr>
            </w:pPr>
          </w:p>
        </w:tc>
        <w:tc>
          <w:tcPr>
            <w:tcW w:w="338" w:type="pct"/>
            <w:vMerge/>
            <w:vAlign w:val="center"/>
          </w:tcPr>
          <w:p w14:paraId="4D494FC7" w14:textId="77777777" w:rsidR="00A54A8A" w:rsidRPr="00E67914" w:rsidRDefault="00A54A8A">
            <w:pPr>
              <w:spacing w:before="51" w:line="214" w:lineRule="auto"/>
              <w:jc w:val="center"/>
              <w:rPr>
                <w:rFonts w:ascii="Times New Roman" w:hAnsi="Times New Roman"/>
                <w:spacing w:val="-4"/>
                <w:sz w:val="21"/>
                <w:szCs w:val="21"/>
              </w:rPr>
            </w:pPr>
          </w:p>
        </w:tc>
        <w:tc>
          <w:tcPr>
            <w:tcW w:w="561" w:type="pct"/>
            <w:vMerge/>
            <w:vAlign w:val="center"/>
          </w:tcPr>
          <w:p w14:paraId="10865B9D" w14:textId="77777777" w:rsidR="00A54A8A" w:rsidRPr="00E67914" w:rsidRDefault="00A54A8A">
            <w:pPr>
              <w:spacing w:before="51" w:line="214" w:lineRule="auto"/>
              <w:jc w:val="center"/>
              <w:rPr>
                <w:rFonts w:ascii="Times New Roman" w:hAnsi="Times New Roman"/>
                <w:spacing w:val="-4"/>
                <w:sz w:val="21"/>
                <w:szCs w:val="21"/>
              </w:rPr>
            </w:pPr>
          </w:p>
        </w:tc>
        <w:tc>
          <w:tcPr>
            <w:tcW w:w="1110" w:type="pct"/>
            <w:vAlign w:val="center"/>
          </w:tcPr>
          <w:p w14:paraId="0D75531B" w14:textId="77777777" w:rsidR="00A54A8A" w:rsidRPr="00E67914" w:rsidRDefault="00000000">
            <w:pPr>
              <w:jc w:val="center"/>
              <w:textAlignment w:val="bottom"/>
              <w:rPr>
                <w:rFonts w:ascii="Times New Roman" w:hAnsi="Times New Roman"/>
                <w:spacing w:val="15"/>
                <w:sz w:val="21"/>
                <w:szCs w:val="21"/>
              </w:rPr>
            </w:pPr>
            <w:r w:rsidRPr="00E67914">
              <w:rPr>
                <w:rFonts w:ascii="Times New Roman" w:hAnsi="Times New Roman"/>
                <w:spacing w:val="15"/>
                <w:sz w:val="21"/>
                <w:szCs w:val="21"/>
                <w:lang w:eastAsia="zh-CN"/>
              </w:rPr>
              <w:t>蕨类灌草丛</w:t>
            </w:r>
          </w:p>
        </w:tc>
        <w:tc>
          <w:tcPr>
            <w:tcW w:w="1113" w:type="pct"/>
            <w:vAlign w:val="center"/>
          </w:tcPr>
          <w:p w14:paraId="6901E7B5" w14:textId="2DD7357C" w:rsidR="00A54A8A" w:rsidRPr="00E67914" w:rsidRDefault="00000000">
            <w:pPr>
              <w:jc w:val="center"/>
              <w:textAlignment w:val="bottom"/>
              <w:rPr>
                <w:rFonts w:ascii="Times New Roman" w:hAnsi="Times New Roman"/>
                <w:spacing w:val="15"/>
                <w:sz w:val="21"/>
                <w:szCs w:val="21"/>
              </w:rPr>
            </w:pPr>
            <w:r w:rsidRPr="00E67914">
              <w:rPr>
                <w:rFonts w:ascii="Times New Roman" w:hAnsi="Times New Roman"/>
                <w:spacing w:val="15"/>
                <w:sz w:val="21"/>
                <w:szCs w:val="21"/>
                <w:lang w:eastAsia="zh-CN"/>
              </w:rPr>
              <w:t>芒萁群系</w:t>
            </w:r>
          </w:p>
        </w:tc>
        <w:tc>
          <w:tcPr>
            <w:tcW w:w="856" w:type="pct"/>
            <w:vMerge/>
            <w:vAlign w:val="center"/>
          </w:tcPr>
          <w:p w14:paraId="0922EDBD" w14:textId="77777777" w:rsidR="00A54A8A" w:rsidRPr="00E67914" w:rsidRDefault="00A54A8A">
            <w:pPr>
              <w:jc w:val="center"/>
              <w:textAlignment w:val="bottom"/>
              <w:rPr>
                <w:rFonts w:ascii="Times New Roman" w:hAnsi="Times New Roman"/>
                <w:sz w:val="21"/>
                <w:szCs w:val="21"/>
              </w:rPr>
            </w:pPr>
          </w:p>
        </w:tc>
        <w:tc>
          <w:tcPr>
            <w:tcW w:w="787" w:type="pct"/>
            <w:vMerge/>
            <w:vAlign w:val="center"/>
          </w:tcPr>
          <w:p w14:paraId="1C071D1E" w14:textId="77777777" w:rsidR="00A54A8A" w:rsidRPr="00E67914" w:rsidRDefault="00A54A8A">
            <w:pPr>
              <w:jc w:val="center"/>
              <w:textAlignment w:val="bottom"/>
              <w:rPr>
                <w:rFonts w:ascii="Times New Roman" w:hAnsi="Times New Roman"/>
                <w:sz w:val="21"/>
                <w:szCs w:val="21"/>
              </w:rPr>
            </w:pPr>
          </w:p>
        </w:tc>
      </w:tr>
      <w:tr w:rsidR="00E67914" w:rsidRPr="00E67914" w14:paraId="74D26DEE" w14:textId="77777777">
        <w:trPr>
          <w:trHeight w:val="404"/>
          <w:jc w:val="center"/>
        </w:trPr>
        <w:tc>
          <w:tcPr>
            <w:tcW w:w="3355" w:type="pct"/>
            <w:gridSpan w:val="5"/>
            <w:vAlign w:val="center"/>
          </w:tcPr>
          <w:p w14:paraId="6218AB4E" w14:textId="77777777" w:rsidR="00A54A8A" w:rsidRPr="00E67914" w:rsidRDefault="00000000">
            <w:pPr>
              <w:jc w:val="center"/>
              <w:textAlignment w:val="bottom"/>
              <w:rPr>
                <w:rFonts w:ascii="Times New Roman" w:hAnsi="Times New Roman"/>
                <w:spacing w:val="15"/>
                <w:sz w:val="21"/>
                <w:szCs w:val="21"/>
                <w:lang w:eastAsia="zh-CN"/>
              </w:rPr>
            </w:pPr>
            <w:r w:rsidRPr="00E67914">
              <w:rPr>
                <w:rFonts w:ascii="Times New Roman" w:hAnsi="Times New Roman"/>
                <w:sz w:val="21"/>
                <w:szCs w:val="21"/>
                <w:lang w:eastAsia="zh-CN"/>
              </w:rPr>
              <w:t>水稻为主的水田作物植被</w:t>
            </w:r>
          </w:p>
        </w:tc>
        <w:tc>
          <w:tcPr>
            <w:tcW w:w="856" w:type="pct"/>
            <w:vAlign w:val="center"/>
          </w:tcPr>
          <w:p w14:paraId="6770B9CF" w14:textId="72EDD808"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16.44</w:t>
            </w:r>
          </w:p>
        </w:tc>
        <w:tc>
          <w:tcPr>
            <w:tcW w:w="787" w:type="pct"/>
            <w:vAlign w:val="center"/>
          </w:tcPr>
          <w:p w14:paraId="6A95184F" w14:textId="0F3A643B"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20.96</w:t>
            </w:r>
          </w:p>
        </w:tc>
      </w:tr>
      <w:tr w:rsidR="00E67914" w:rsidRPr="00E67914" w14:paraId="283493B6" w14:textId="77777777">
        <w:trPr>
          <w:trHeight w:val="404"/>
          <w:jc w:val="center"/>
        </w:trPr>
        <w:tc>
          <w:tcPr>
            <w:tcW w:w="3355" w:type="pct"/>
            <w:gridSpan w:val="5"/>
            <w:vAlign w:val="center"/>
          </w:tcPr>
          <w:p w14:paraId="47D03E7E" w14:textId="2A0F73B8" w:rsidR="00A54A8A" w:rsidRPr="00E67914" w:rsidRDefault="00361C81">
            <w:pPr>
              <w:jc w:val="center"/>
              <w:textAlignment w:val="bottom"/>
              <w:rPr>
                <w:rFonts w:ascii="Times New Roman" w:hAnsi="Times New Roman"/>
                <w:spacing w:val="15"/>
                <w:sz w:val="21"/>
                <w:szCs w:val="21"/>
                <w:lang w:eastAsia="zh-CN"/>
              </w:rPr>
            </w:pPr>
            <w:r w:rsidRPr="00E67914">
              <w:rPr>
                <w:rFonts w:ascii="Times New Roman" w:hAnsi="Times New Roman"/>
                <w:sz w:val="21"/>
                <w:szCs w:val="21"/>
                <w:lang w:eastAsia="zh-CN"/>
              </w:rPr>
              <w:t>玉米、花生、马铃薯为主的旱地作物植被</w:t>
            </w:r>
          </w:p>
        </w:tc>
        <w:tc>
          <w:tcPr>
            <w:tcW w:w="856" w:type="pct"/>
            <w:vAlign w:val="center"/>
          </w:tcPr>
          <w:p w14:paraId="1AFA4B81" w14:textId="14711323"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11.23</w:t>
            </w:r>
          </w:p>
        </w:tc>
        <w:tc>
          <w:tcPr>
            <w:tcW w:w="787" w:type="pct"/>
            <w:vAlign w:val="center"/>
          </w:tcPr>
          <w:p w14:paraId="0F2F64A4" w14:textId="3B749444"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14.31</w:t>
            </w:r>
          </w:p>
        </w:tc>
      </w:tr>
      <w:tr w:rsidR="00E67914" w:rsidRPr="00E67914" w14:paraId="4CD7151E" w14:textId="77777777">
        <w:trPr>
          <w:trHeight w:val="404"/>
          <w:jc w:val="center"/>
        </w:trPr>
        <w:tc>
          <w:tcPr>
            <w:tcW w:w="3355" w:type="pct"/>
            <w:gridSpan w:val="5"/>
            <w:vAlign w:val="center"/>
          </w:tcPr>
          <w:p w14:paraId="04138670" w14:textId="77777777" w:rsidR="00A54A8A" w:rsidRPr="00E67914" w:rsidRDefault="00000000">
            <w:pPr>
              <w:jc w:val="center"/>
              <w:textAlignment w:val="bottom"/>
              <w:rPr>
                <w:rFonts w:ascii="Times New Roman" w:hAnsi="Times New Roman"/>
                <w:sz w:val="21"/>
                <w:szCs w:val="21"/>
              </w:rPr>
            </w:pPr>
            <w:r w:rsidRPr="00E67914">
              <w:rPr>
                <w:rFonts w:ascii="Times New Roman" w:hAnsi="Times New Roman"/>
                <w:sz w:val="21"/>
                <w:szCs w:val="21"/>
                <w:lang w:eastAsia="zh-CN" w:bidi="ar"/>
              </w:rPr>
              <w:t>水域</w:t>
            </w:r>
          </w:p>
        </w:tc>
        <w:tc>
          <w:tcPr>
            <w:tcW w:w="856" w:type="pct"/>
            <w:vAlign w:val="center"/>
          </w:tcPr>
          <w:p w14:paraId="7C191794" w14:textId="650408EE"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0.37</w:t>
            </w:r>
          </w:p>
        </w:tc>
        <w:tc>
          <w:tcPr>
            <w:tcW w:w="787" w:type="pct"/>
            <w:vAlign w:val="center"/>
          </w:tcPr>
          <w:p w14:paraId="69AA7F00" w14:textId="05BDD474"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0.47</w:t>
            </w:r>
          </w:p>
        </w:tc>
      </w:tr>
      <w:tr w:rsidR="00E67914" w:rsidRPr="00E67914" w14:paraId="6D86AEA6" w14:textId="77777777">
        <w:trPr>
          <w:trHeight w:val="404"/>
          <w:jc w:val="center"/>
        </w:trPr>
        <w:tc>
          <w:tcPr>
            <w:tcW w:w="3355" w:type="pct"/>
            <w:gridSpan w:val="5"/>
            <w:vAlign w:val="center"/>
          </w:tcPr>
          <w:p w14:paraId="7251EBDF" w14:textId="77777777" w:rsidR="00A54A8A" w:rsidRPr="00E67914" w:rsidRDefault="00000000">
            <w:pPr>
              <w:jc w:val="center"/>
              <w:textAlignment w:val="bottom"/>
              <w:rPr>
                <w:rFonts w:ascii="Times New Roman" w:hAnsi="Times New Roman"/>
                <w:sz w:val="21"/>
                <w:szCs w:val="21"/>
              </w:rPr>
            </w:pPr>
            <w:r w:rsidRPr="00E67914">
              <w:rPr>
                <w:rFonts w:ascii="Times New Roman" w:hAnsi="Times New Roman"/>
                <w:sz w:val="21"/>
                <w:szCs w:val="21"/>
                <w:lang w:eastAsia="zh-CN" w:bidi="ar"/>
              </w:rPr>
              <w:t>无植被</w:t>
            </w:r>
          </w:p>
        </w:tc>
        <w:tc>
          <w:tcPr>
            <w:tcW w:w="856" w:type="pct"/>
            <w:vAlign w:val="center"/>
          </w:tcPr>
          <w:p w14:paraId="4BD2D142" w14:textId="2158E26F"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6.01</w:t>
            </w:r>
          </w:p>
        </w:tc>
        <w:tc>
          <w:tcPr>
            <w:tcW w:w="787" w:type="pct"/>
            <w:vAlign w:val="center"/>
          </w:tcPr>
          <w:p w14:paraId="71B2A591" w14:textId="289C2AEF"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7.66</w:t>
            </w:r>
          </w:p>
        </w:tc>
      </w:tr>
      <w:tr w:rsidR="00A54A8A" w:rsidRPr="00E67914" w14:paraId="2293B2EF" w14:textId="77777777">
        <w:trPr>
          <w:trHeight w:val="404"/>
          <w:jc w:val="center"/>
        </w:trPr>
        <w:tc>
          <w:tcPr>
            <w:tcW w:w="3355" w:type="pct"/>
            <w:gridSpan w:val="5"/>
            <w:vAlign w:val="center"/>
          </w:tcPr>
          <w:p w14:paraId="62E703A0" w14:textId="77777777" w:rsidR="00A54A8A" w:rsidRPr="00E67914" w:rsidRDefault="00000000">
            <w:pPr>
              <w:jc w:val="center"/>
              <w:textAlignment w:val="center"/>
              <w:rPr>
                <w:rFonts w:ascii="Times New Roman" w:hAnsi="Times New Roman"/>
                <w:sz w:val="21"/>
                <w:szCs w:val="21"/>
              </w:rPr>
            </w:pPr>
            <w:r w:rsidRPr="00E67914">
              <w:rPr>
                <w:rFonts w:ascii="Times New Roman" w:hAnsi="Times New Roman"/>
                <w:sz w:val="21"/>
                <w:szCs w:val="21"/>
                <w:lang w:eastAsia="zh-CN" w:bidi="ar"/>
              </w:rPr>
              <w:t>合计</w:t>
            </w:r>
          </w:p>
        </w:tc>
        <w:tc>
          <w:tcPr>
            <w:tcW w:w="856" w:type="pct"/>
            <w:vAlign w:val="center"/>
          </w:tcPr>
          <w:p w14:paraId="5382EB90" w14:textId="3C95529A" w:rsidR="00A54A8A" w:rsidRPr="00E67914" w:rsidRDefault="00361C81">
            <w:pPr>
              <w:jc w:val="center"/>
              <w:textAlignment w:val="bottom"/>
              <w:rPr>
                <w:rFonts w:ascii="Times New Roman" w:hAnsi="Times New Roman"/>
                <w:sz w:val="21"/>
                <w:szCs w:val="21"/>
                <w:lang w:eastAsia="zh-CN"/>
              </w:rPr>
            </w:pPr>
            <w:r w:rsidRPr="00E67914">
              <w:rPr>
                <w:rFonts w:ascii="Times New Roman" w:hAnsi="Times New Roman"/>
                <w:sz w:val="21"/>
                <w:szCs w:val="21"/>
                <w:lang w:eastAsia="zh-CN"/>
              </w:rPr>
              <w:t>78.46</w:t>
            </w:r>
          </w:p>
        </w:tc>
        <w:tc>
          <w:tcPr>
            <w:tcW w:w="787" w:type="pct"/>
            <w:vAlign w:val="center"/>
          </w:tcPr>
          <w:p w14:paraId="6093D65E" w14:textId="77777777" w:rsidR="00A54A8A" w:rsidRPr="00E67914" w:rsidRDefault="00000000">
            <w:pPr>
              <w:jc w:val="center"/>
              <w:textAlignment w:val="bottom"/>
              <w:rPr>
                <w:rFonts w:ascii="Times New Roman" w:hAnsi="Times New Roman"/>
                <w:sz w:val="21"/>
                <w:szCs w:val="21"/>
              </w:rPr>
            </w:pPr>
            <w:r w:rsidRPr="00E67914">
              <w:rPr>
                <w:rFonts w:ascii="Times New Roman" w:hAnsi="Times New Roman"/>
                <w:sz w:val="21"/>
                <w:szCs w:val="21"/>
                <w:lang w:eastAsia="zh-CN"/>
              </w:rPr>
              <w:t xml:space="preserve">100.00 </w:t>
            </w:r>
          </w:p>
        </w:tc>
      </w:tr>
    </w:tbl>
    <w:p w14:paraId="17444C0D" w14:textId="77777777" w:rsidR="00A54A8A" w:rsidRPr="00E67914" w:rsidRDefault="00A54A8A">
      <w:pPr>
        <w:snapToGrid w:val="0"/>
        <w:jc w:val="center"/>
        <w:rPr>
          <w:rFonts w:ascii="Times New Roman" w:hAnsi="Times New Roman"/>
          <w:b/>
          <w:szCs w:val="21"/>
        </w:rPr>
      </w:pPr>
    </w:p>
    <w:p w14:paraId="32263E4E" w14:textId="68DEF8F2"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由表</w:t>
      </w:r>
      <w:r w:rsidRPr="00E67914">
        <w:rPr>
          <w:rFonts w:ascii="Times New Roman" w:hAnsi="Times New Roman"/>
          <w:sz w:val="24"/>
          <w:lang w:eastAsia="zh-CN"/>
        </w:rPr>
        <w:t>4.3-3</w:t>
      </w:r>
      <w:r w:rsidRPr="00E67914">
        <w:rPr>
          <w:rFonts w:ascii="Times New Roman" w:hAnsi="Times New Roman"/>
          <w:sz w:val="24"/>
          <w:lang w:eastAsia="zh-CN"/>
        </w:rPr>
        <w:t>可看出，本次评价范围内以</w:t>
      </w:r>
      <w:r w:rsidR="00361C81" w:rsidRPr="00E67914">
        <w:rPr>
          <w:rFonts w:ascii="Times New Roman" w:hAnsi="Times New Roman"/>
          <w:sz w:val="24"/>
          <w:lang w:eastAsia="zh-CN"/>
        </w:rPr>
        <w:t>马尾松、杉木、柏木</w:t>
      </w:r>
      <w:r w:rsidRPr="00E67914">
        <w:rPr>
          <w:rFonts w:ascii="Times New Roman" w:hAnsi="Times New Roman"/>
          <w:sz w:val="24"/>
          <w:lang w:eastAsia="zh-CN"/>
        </w:rPr>
        <w:t>为主的暖性常绿针叶林占比最大，占评价面积的</w:t>
      </w:r>
      <w:r w:rsidR="00361C81" w:rsidRPr="00E67914">
        <w:rPr>
          <w:rFonts w:ascii="Times New Roman" w:hAnsi="Times New Roman"/>
          <w:sz w:val="24"/>
          <w:lang w:eastAsia="zh-CN"/>
        </w:rPr>
        <w:t>48.17</w:t>
      </w:r>
      <w:r w:rsidRPr="00E67914">
        <w:rPr>
          <w:rFonts w:ascii="Times New Roman" w:hAnsi="Times New Roman"/>
          <w:sz w:val="24"/>
          <w:lang w:eastAsia="zh-CN"/>
        </w:rPr>
        <w:t>%</w:t>
      </w:r>
      <w:r w:rsidRPr="00E67914">
        <w:rPr>
          <w:rFonts w:ascii="Times New Roman" w:hAnsi="Times New Roman"/>
          <w:sz w:val="24"/>
          <w:lang w:eastAsia="zh-CN"/>
        </w:rPr>
        <w:t>，其次为以</w:t>
      </w:r>
      <w:r w:rsidR="00361C81" w:rsidRPr="00E67914">
        <w:rPr>
          <w:rFonts w:ascii="Times New Roman" w:hAnsi="Times New Roman"/>
          <w:sz w:val="24"/>
          <w:lang w:eastAsia="zh-CN"/>
        </w:rPr>
        <w:t>水稻</w:t>
      </w:r>
      <w:r w:rsidRPr="00E67914">
        <w:rPr>
          <w:rFonts w:ascii="Times New Roman" w:hAnsi="Times New Roman"/>
          <w:sz w:val="24"/>
          <w:lang w:eastAsia="zh-CN"/>
        </w:rPr>
        <w:t>为主的旱地作物植被，占评价面积的</w:t>
      </w:r>
      <w:r w:rsidR="00361C81" w:rsidRPr="00E67914">
        <w:rPr>
          <w:rFonts w:ascii="Times New Roman" w:hAnsi="Times New Roman"/>
          <w:sz w:val="24"/>
          <w:lang w:eastAsia="zh-CN"/>
        </w:rPr>
        <w:t>20.96</w:t>
      </w:r>
      <w:r w:rsidRPr="00E67914">
        <w:rPr>
          <w:rFonts w:ascii="Times New Roman" w:hAnsi="Times New Roman"/>
          <w:sz w:val="24"/>
          <w:lang w:eastAsia="zh-CN"/>
        </w:rPr>
        <w:t>%</w:t>
      </w:r>
      <w:r w:rsidRPr="00E67914">
        <w:rPr>
          <w:rFonts w:ascii="Times New Roman" w:hAnsi="Times New Roman"/>
          <w:sz w:val="24"/>
          <w:lang w:eastAsia="zh-CN"/>
        </w:rPr>
        <w:t>，以</w:t>
      </w:r>
      <w:r w:rsidR="00361C81" w:rsidRPr="00E67914">
        <w:rPr>
          <w:rFonts w:ascii="Times New Roman" w:hAnsi="Times New Roman"/>
          <w:sz w:val="24"/>
          <w:lang w:eastAsia="zh-CN"/>
        </w:rPr>
        <w:t>玉米、花生、马铃薯为主的旱地作物植被</w:t>
      </w:r>
      <w:r w:rsidRPr="00E67914">
        <w:rPr>
          <w:rFonts w:ascii="Times New Roman" w:hAnsi="Times New Roman"/>
          <w:sz w:val="24"/>
          <w:lang w:eastAsia="zh-CN"/>
        </w:rPr>
        <w:t>，占评价面积的</w:t>
      </w:r>
      <w:r w:rsidR="00361C81" w:rsidRPr="00E67914">
        <w:rPr>
          <w:rFonts w:ascii="Times New Roman" w:hAnsi="Times New Roman"/>
          <w:sz w:val="24"/>
          <w:lang w:eastAsia="zh-CN"/>
        </w:rPr>
        <w:t>14.31</w:t>
      </w:r>
      <w:r w:rsidRPr="00E67914">
        <w:rPr>
          <w:rFonts w:ascii="Times New Roman" w:hAnsi="Times New Roman"/>
          <w:sz w:val="24"/>
          <w:lang w:eastAsia="zh-CN"/>
        </w:rPr>
        <w:t>%</w:t>
      </w:r>
      <w:r w:rsidRPr="00E67914">
        <w:rPr>
          <w:rFonts w:ascii="Times New Roman" w:hAnsi="Times New Roman"/>
          <w:sz w:val="24"/>
          <w:lang w:eastAsia="zh-CN"/>
        </w:rPr>
        <w:t>，其他植被类型所占比例均低于</w:t>
      </w:r>
      <w:r w:rsidRPr="00E67914">
        <w:rPr>
          <w:rFonts w:ascii="Times New Roman" w:hAnsi="Times New Roman"/>
          <w:sz w:val="24"/>
          <w:lang w:eastAsia="zh-CN"/>
        </w:rPr>
        <w:t>10%</w:t>
      </w:r>
      <w:r w:rsidRPr="00E67914">
        <w:rPr>
          <w:rFonts w:ascii="Times New Roman" w:hAnsi="Times New Roman"/>
          <w:sz w:val="24"/>
          <w:lang w:eastAsia="zh-CN"/>
        </w:rPr>
        <w:t>，综上，本项目评价范围植被类型主要以阔叶林植被、</w:t>
      </w:r>
      <w:r w:rsidR="00361C81" w:rsidRPr="00E67914">
        <w:rPr>
          <w:rFonts w:ascii="Times New Roman" w:hAnsi="Times New Roman"/>
          <w:sz w:val="24"/>
          <w:lang w:eastAsia="zh-CN"/>
        </w:rPr>
        <w:t>水田植被</w:t>
      </w:r>
      <w:r w:rsidRPr="00E67914">
        <w:rPr>
          <w:rFonts w:ascii="Times New Roman" w:hAnsi="Times New Roman"/>
          <w:sz w:val="24"/>
          <w:lang w:eastAsia="zh-CN"/>
        </w:rPr>
        <w:t>、旱地植被占优。</w:t>
      </w:r>
    </w:p>
    <w:p w14:paraId="0030F6EE" w14:textId="77777777" w:rsidR="00A54A8A" w:rsidRPr="00E67914" w:rsidRDefault="00000000">
      <w:pPr>
        <w:pStyle w:val="41"/>
        <w:numPr>
          <w:ilvl w:val="0"/>
          <w:numId w:val="3"/>
        </w:numPr>
        <w:spacing w:line="360" w:lineRule="auto"/>
        <w:ind w:firstLineChars="200" w:firstLine="482"/>
        <w:rPr>
          <w:b/>
          <w:bCs/>
          <w:sz w:val="24"/>
          <w:szCs w:val="24"/>
        </w:rPr>
      </w:pPr>
      <w:r w:rsidRPr="00E67914">
        <w:rPr>
          <w:b/>
          <w:bCs/>
          <w:sz w:val="24"/>
          <w:szCs w:val="24"/>
        </w:rPr>
        <w:t>评价范围土地利用现状</w:t>
      </w:r>
    </w:p>
    <w:p w14:paraId="717DAB9A"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评价范围内土地利用概况见表</w:t>
      </w:r>
      <w:r w:rsidRPr="00E67914">
        <w:rPr>
          <w:rFonts w:ascii="Times New Roman" w:hAnsi="Times New Roman"/>
          <w:sz w:val="24"/>
          <w:lang w:eastAsia="zh-CN"/>
        </w:rPr>
        <w:t>4.3-4</w:t>
      </w:r>
      <w:r w:rsidRPr="00E67914">
        <w:rPr>
          <w:rFonts w:ascii="Times New Roman" w:hAnsi="Times New Roman"/>
          <w:sz w:val="24"/>
          <w:lang w:eastAsia="zh-CN"/>
        </w:rPr>
        <w:t>及《附图</w:t>
      </w:r>
      <w:r w:rsidRPr="00E67914">
        <w:rPr>
          <w:rFonts w:ascii="Times New Roman" w:hAnsi="Times New Roman"/>
          <w:sz w:val="24"/>
          <w:lang w:eastAsia="zh-CN"/>
        </w:rPr>
        <w:t xml:space="preserve"> </w:t>
      </w:r>
      <w:r w:rsidRPr="00E67914">
        <w:rPr>
          <w:rFonts w:ascii="Times New Roman" w:hAnsi="Times New Roman"/>
          <w:sz w:val="24"/>
          <w:lang w:eastAsia="zh-CN"/>
        </w:rPr>
        <w:t>评价区土地利用现状图》。</w:t>
      </w:r>
    </w:p>
    <w:p w14:paraId="7D2D140D"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4.3-4 </w:t>
      </w:r>
      <w:r w:rsidRPr="00E67914">
        <w:rPr>
          <w:rFonts w:ascii="Times New Roman" w:eastAsia="黑体" w:hAnsi="Times New Roman"/>
          <w:sz w:val="21"/>
          <w:szCs w:val="21"/>
          <w:lang w:eastAsia="zh-CN"/>
        </w:rPr>
        <w:t>本次评价范围内土地利用现状情况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2"/>
        <w:gridCol w:w="2458"/>
        <w:gridCol w:w="2570"/>
      </w:tblGrid>
      <w:tr w:rsidR="00E67914" w:rsidRPr="00E67914" w14:paraId="3254C969" w14:textId="77777777">
        <w:trPr>
          <w:trHeight w:hRule="exact" w:val="340"/>
          <w:jc w:val="center"/>
        </w:trPr>
        <w:tc>
          <w:tcPr>
            <w:tcW w:w="1971" w:type="pct"/>
            <w:vAlign w:val="center"/>
          </w:tcPr>
          <w:p w14:paraId="45672E88" w14:textId="77777777" w:rsidR="00A54A8A" w:rsidRPr="00E67914" w:rsidRDefault="00000000">
            <w:pPr>
              <w:jc w:val="center"/>
              <w:rPr>
                <w:rFonts w:ascii="Times New Roman" w:hAnsi="Times New Roman"/>
                <w:szCs w:val="21"/>
              </w:rPr>
            </w:pPr>
            <w:r w:rsidRPr="00E67914">
              <w:rPr>
                <w:rFonts w:ascii="Times New Roman" w:hAnsi="Times New Roman"/>
                <w:szCs w:val="21"/>
              </w:rPr>
              <w:t>土地利用类型</w:t>
            </w:r>
          </w:p>
        </w:tc>
        <w:tc>
          <w:tcPr>
            <w:tcW w:w="1481" w:type="pct"/>
            <w:vAlign w:val="center"/>
          </w:tcPr>
          <w:p w14:paraId="22710255" w14:textId="77777777" w:rsidR="00A54A8A" w:rsidRPr="00E67914" w:rsidRDefault="00000000">
            <w:pPr>
              <w:jc w:val="center"/>
              <w:rPr>
                <w:rFonts w:ascii="Times New Roman" w:hAnsi="Times New Roman"/>
                <w:szCs w:val="21"/>
              </w:rPr>
            </w:pPr>
            <w:r w:rsidRPr="00E67914">
              <w:rPr>
                <w:rFonts w:ascii="Times New Roman" w:hAnsi="Times New Roman"/>
                <w:szCs w:val="21"/>
              </w:rPr>
              <w:t>面积</w:t>
            </w:r>
            <w:r w:rsidRPr="00E67914">
              <w:rPr>
                <w:rFonts w:ascii="Times New Roman" w:hAnsi="Times New Roman"/>
                <w:szCs w:val="21"/>
              </w:rPr>
              <w:t>(hm</w:t>
            </w:r>
            <w:r w:rsidRPr="00E67914">
              <w:rPr>
                <w:rFonts w:ascii="Times New Roman" w:hAnsi="Times New Roman"/>
                <w:szCs w:val="21"/>
                <w:vertAlign w:val="superscript"/>
              </w:rPr>
              <w:t>2</w:t>
            </w:r>
            <w:r w:rsidRPr="00E67914">
              <w:rPr>
                <w:rFonts w:ascii="Times New Roman" w:hAnsi="Times New Roman"/>
                <w:szCs w:val="21"/>
              </w:rPr>
              <w:t>)</w:t>
            </w:r>
          </w:p>
        </w:tc>
        <w:tc>
          <w:tcPr>
            <w:tcW w:w="1548" w:type="pct"/>
            <w:vAlign w:val="center"/>
          </w:tcPr>
          <w:p w14:paraId="64733212" w14:textId="77777777" w:rsidR="00A54A8A" w:rsidRPr="00E67914" w:rsidRDefault="00000000">
            <w:pPr>
              <w:jc w:val="center"/>
              <w:rPr>
                <w:rFonts w:ascii="Times New Roman" w:hAnsi="Times New Roman"/>
                <w:szCs w:val="21"/>
              </w:rPr>
            </w:pPr>
            <w:r w:rsidRPr="00E67914">
              <w:rPr>
                <w:rFonts w:ascii="Times New Roman" w:hAnsi="Times New Roman"/>
                <w:szCs w:val="21"/>
              </w:rPr>
              <w:t>百分比</w:t>
            </w:r>
            <w:r w:rsidRPr="00E67914">
              <w:rPr>
                <w:rFonts w:ascii="Times New Roman" w:hAnsi="Times New Roman"/>
                <w:szCs w:val="21"/>
              </w:rPr>
              <w:t>(%)</w:t>
            </w:r>
          </w:p>
        </w:tc>
      </w:tr>
      <w:tr w:rsidR="00E67914" w:rsidRPr="00E67914" w14:paraId="7516CA7B" w14:textId="77777777">
        <w:trPr>
          <w:trHeight w:hRule="exact" w:val="340"/>
          <w:jc w:val="center"/>
        </w:trPr>
        <w:tc>
          <w:tcPr>
            <w:tcW w:w="1971" w:type="pct"/>
            <w:vAlign w:val="center"/>
          </w:tcPr>
          <w:p w14:paraId="79BF980F" w14:textId="77777777" w:rsidR="00A54A8A" w:rsidRPr="00E67914" w:rsidRDefault="00000000">
            <w:pPr>
              <w:jc w:val="center"/>
              <w:textAlignment w:val="center"/>
              <w:rPr>
                <w:rFonts w:ascii="Times New Roman" w:hAnsi="Times New Roman"/>
                <w:szCs w:val="21"/>
              </w:rPr>
            </w:pPr>
            <w:r w:rsidRPr="00E67914">
              <w:rPr>
                <w:rFonts w:ascii="Times New Roman" w:hAnsi="Times New Roman"/>
                <w:lang w:eastAsia="zh-CN" w:bidi="ar"/>
              </w:rPr>
              <w:t>水田</w:t>
            </w:r>
          </w:p>
        </w:tc>
        <w:tc>
          <w:tcPr>
            <w:tcW w:w="1481" w:type="pct"/>
            <w:vAlign w:val="center"/>
          </w:tcPr>
          <w:p w14:paraId="46396C43" w14:textId="7CEF7872" w:rsidR="00A54A8A" w:rsidRPr="00E67914" w:rsidRDefault="00A074D0">
            <w:pPr>
              <w:jc w:val="center"/>
              <w:textAlignment w:val="center"/>
              <w:rPr>
                <w:rFonts w:ascii="Times New Roman" w:hAnsi="Times New Roman"/>
                <w:lang w:eastAsia="zh-CN" w:bidi="ar"/>
              </w:rPr>
            </w:pPr>
            <w:r w:rsidRPr="00E67914">
              <w:rPr>
                <w:rFonts w:ascii="Times New Roman" w:hAnsi="Times New Roman"/>
                <w:lang w:eastAsia="zh-CN" w:bidi="ar"/>
              </w:rPr>
              <w:t>16.44</w:t>
            </w:r>
          </w:p>
        </w:tc>
        <w:tc>
          <w:tcPr>
            <w:tcW w:w="1548" w:type="pct"/>
            <w:vAlign w:val="center"/>
          </w:tcPr>
          <w:p w14:paraId="23FB2713" w14:textId="1DAE43E6" w:rsidR="00A54A8A" w:rsidRPr="00E67914" w:rsidRDefault="00A074D0">
            <w:pPr>
              <w:jc w:val="center"/>
              <w:textAlignment w:val="center"/>
              <w:rPr>
                <w:rFonts w:ascii="Times New Roman" w:hAnsi="Times New Roman"/>
                <w:lang w:eastAsia="zh-CN" w:bidi="ar"/>
              </w:rPr>
            </w:pPr>
            <w:r w:rsidRPr="00E67914">
              <w:rPr>
                <w:rFonts w:ascii="Times New Roman" w:hAnsi="Times New Roman"/>
                <w:lang w:eastAsia="zh-CN" w:bidi="ar"/>
              </w:rPr>
              <w:t>20.96</w:t>
            </w:r>
          </w:p>
        </w:tc>
      </w:tr>
      <w:tr w:rsidR="00E67914" w:rsidRPr="00E67914" w14:paraId="18C4FCE0" w14:textId="77777777">
        <w:trPr>
          <w:trHeight w:hRule="exact" w:val="340"/>
          <w:jc w:val="center"/>
        </w:trPr>
        <w:tc>
          <w:tcPr>
            <w:tcW w:w="1971" w:type="pct"/>
            <w:vAlign w:val="center"/>
          </w:tcPr>
          <w:p w14:paraId="0662D4F0" w14:textId="77777777" w:rsidR="00A074D0" w:rsidRPr="00E67914" w:rsidRDefault="00A074D0" w:rsidP="00A074D0">
            <w:pPr>
              <w:jc w:val="center"/>
              <w:textAlignment w:val="center"/>
              <w:rPr>
                <w:rFonts w:ascii="Times New Roman" w:hAnsi="Times New Roman"/>
                <w:szCs w:val="21"/>
              </w:rPr>
            </w:pPr>
            <w:r w:rsidRPr="00E67914">
              <w:rPr>
                <w:rFonts w:ascii="Times New Roman" w:hAnsi="Times New Roman"/>
                <w:lang w:eastAsia="zh-CN" w:bidi="ar"/>
              </w:rPr>
              <w:t>旱地</w:t>
            </w:r>
          </w:p>
        </w:tc>
        <w:tc>
          <w:tcPr>
            <w:tcW w:w="1481" w:type="pct"/>
            <w:vAlign w:val="center"/>
          </w:tcPr>
          <w:p w14:paraId="188F9F3B" w14:textId="66D8638F"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11.23 </w:t>
            </w:r>
          </w:p>
        </w:tc>
        <w:tc>
          <w:tcPr>
            <w:tcW w:w="1548" w:type="pct"/>
            <w:vAlign w:val="center"/>
          </w:tcPr>
          <w:p w14:paraId="58DC5C12" w14:textId="16705CC3"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14.31 </w:t>
            </w:r>
          </w:p>
        </w:tc>
      </w:tr>
      <w:tr w:rsidR="00E67914" w:rsidRPr="00E67914" w14:paraId="7B649707" w14:textId="77777777">
        <w:trPr>
          <w:trHeight w:hRule="exact" w:val="340"/>
          <w:jc w:val="center"/>
        </w:trPr>
        <w:tc>
          <w:tcPr>
            <w:tcW w:w="1971" w:type="pct"/>
            <w:vAlign w:val="center"/>
          </w:tcPr>
          <w:p w14:paraId="5825EB26" w14:textId="77777777" w:rsidR="00A074D0" w:rsidRPr="00E67914" w:rsidRDefault="00A074D0" w:rsidP="00A074D0">
            <w:pPr>
              <w:jc w:val="center"/>
              <w:textAlignment w:val="center"/>
              <w:rPr>
                <w:rFonts w:ascii="Times New Roman" w:hAnsi="Times New Roman"/>
                <w:szCs w:val="21"/>
              </w:rPr>
            </w:pPr>
            <w:r w:rsidRPr="00E67914">
              <w:rPr>
                <w:rFonts w:ascii="Times New Roman" w:hAnsi="Times New Roman"/>
                <w:lang w:eastAsia="zh-CN" w:bidi="ar"/>
              </w:rPr>
              <w:t>乔木林地</w:t>
            </w:r>
          </w:p>
        </w:tc>
        <w:tc>
          <w:tcPr>
            <w:tcW w:w="1481" w:type="pct"/>
            <w:vAlign w:val="center"/>
          </w:tcPr>
          <w:p w14:paraId="41BAFF79" w14:textId="69E6AAB7"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39.17 </w:t>
            </w:r>
          </w:p>
        </w:tc>
        <w:tc>
          <w:tcPr>
            <w:tcW w:w="1548" w:type="pct"/>
            <w:vAlign w:val="center"/>
          </w:tcPr>
          <w:p w14:paraId="3DE7A9A9" w14:textId="51301236"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49.93 </w:t>
            </w:r>
          </w:p>
        </w:tc>
      </w:tr>
      <w:tr w:rsidR="00E67914" w:rsidRPr="00E67914" w14:paraId="5E888114" w14:textId="77777777">
        <w:trPr>
          <w:trHeight w:hRule="exact" w:val="340"/>
          <w:jc w:val="center"/>
        </w:trPr>
        <w:tc>
          <w:tcPr>
            <w:tcW w:w="1971" w:type="pct"/>
            <w:vAlign w:val="center"/>
          </w:tcPr>
          <w:p w14:paraId="5D02D131" w14:textId="77777777" w:rsidR="00A074D0" w:rsidRPr="00E67914" w:rsidRDefault="00A074D0" w:rsidP="00A074D0">
            <w:pPr>
              <w:jc w:val="center"/>
              <w:textAlignment w:val="center"/>
              <w:rPr>
                <w:rFonts w:ascii="Times New Roman" w:hAnsi="Times New Roman"/>
                <w:szCs w:val="21"/>
              </w:rPr>
            </w:pPr>
            <w:r w:rsidRPr="00E67914">
              <w:rPr>
                <w:rFonts w:ascii="Times New Roman" w:hAnsi="Times New Roman"/>
                <w:lang w:eastAsia="zh-CN" w:bidi="ar"/>
              </w:rPr>
              <w:t>灌木林地</w:t>
            </w:r>
          </w:p>
        </w:tc>
        <w:tc>
          <w:tcPr>
            <w:tcW w:w="1481" w:type="pct"/>
            <w:vAlign w:val="center"/>
          </w:tcPr>
          <w:p w14:paraId="50202323" w14:textId="0BB4F97A"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3.74 </w:t>
            </w:r>
          </w:p>
        </w:tc>
        <w:tc>
          <w:tcPr>
            <w:tcW w:w="1548" w:type="pct"/>
            <w:vAlign w:val="center"/>
          </w:tcPr>
          <w:p w14:paraId="7BF0C37D" w14:textId="38D37657"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4.77 </w:t>
            </w:r>
          </w:p>
        </w:tc>
      </w:tr>
      <w:tr w:rsidR="00E67914" w:rsidRPr="00E67914" w14:paraId="0F389FBC" w14:textId="77777777">
        <w:trPr>
          <w:trHeight w:hRule="exact" w:val="340"/>
          <w:jc w:val="center"/>
        </w:trPr>
        <w:tc>
          <w:tcPr>
            <w:tcW w:w="1971" w:type="pct"/>
            <w:vAlign w:val="center"/>
          </w:tcPr>
          <w:p w14:paraId="35CCC10C" w14:textId="77777777" w:rsidR="00A074D0" w:rsidRPr="00E67914" w:rsidRDefault="00A074D0" w:rsidP="00A074D0">
            <w:pPr>
              <w:jc w:val="center"/>
              <w:textAlignment w:val="center"/>
              <w:rPr>
                <w:rFonts w:ascii="Times New Roman" w:hAnsi="Times New Roman"/>
                <w:szCs w:val="21"/>
              </w:rPr>
            </w:pPr>
            <w:r w:rsidRPr="00E67914">
              <w:rPr>
                <w:rFonts w:ascii="Times New Roman" w:hAnsi="Times New Roman"/>
                <w:lang w:eastAsia="zh-CN" w:bidi="ar"/>
              </w:rPr>
              <w:t>其他草地</w:t>
            </w:r>
          </w:p>
        </w:tc>
        <w:tc>
          <w:tcPr>
            <w:tcW w:w="1481" w:type="pct"/>
            <w:vAlign w:val="center"/>
          </w:tcPr>
          <w:p w14:paraId="0B16A89A" w14:textId="212BA813"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1.49 </w:t>
            </w:r>
          </w:p>
        </w:tc>
        <w:tc>
          <w:tcPr>
            <w:tcW w:w="1548" w:type="pct"/>
            <w:vAlign w:val="center"/>
          </w:tcPr>
          <w:p w14:paraId="7F4EDB1B" w14:textId="22DB938E"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1.89 </w:t>
            </w:r>
          </w:p>
        </w:tc>
      </w:tr>
      <w:tr w:rsidR="00E67914" w:rsidRPr="00E67914" w14:paraId="25F6B1E0" w14:textId="77777777">
        <w:trPr>
          <w:trHeight w:hRule="exact" w:val="340"/>
          <w:jc w:val="center"/>
        </w:trPr>
        <w:tc>
          <w:tcPr>
            <w:tcW w:w="1971" w:type="pct"/>
            <w:vAlign w:val="center"/>
          </w:tcPr>
          <w:p w14:paraId="0A54ABC5" w14:textId="77777777" w:rsidR="00A074D0" w:rsidRPr="00E67914" w:rsidRDefault="00A074D0" w:rsidP="00A074D0">
            <w:pPr>
              <w:jc w:val="center"/>
              <w:textAlignment w:val="center"/>
              <w:rPr>
                <w:rFonts w:ascii="Times New Roman" w:hAnsi="Times New Roman"/>
                <w:szCs w:val="21"/>
              </w:rPr>
            </w:pPr>
            <w:r w:rsidRPr="00E67914">
              <w:rPr>
                <w:rFonts w:ascii="Times New Roman" w:hAnsi="Times New Roman"/>
                <w:lang w:eastAsia="zh-CN" w:bidi="ar"/>
              </w:rPr>
              <w:t>农村宅基地</w:t>
            </w:r>
          </w:p>
        </w:tc>
        <w:tc>
          <w:tcPr>
            <w:tcW w:w="1481" w:type="pct"/>
            <w:vAlign w:val="center"/>
          </w:tcPr>
          <w:p w14:paraId="6D4E4814" w14:textId="624F2AD6"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1.18 </w:t>
            </w:r>
          </w:p>
        </w:tc>
        <w:tc>
          <w:tcPr>
            <w:tcW w:w="1548" w:type="pct"/>
            <w:vAlign w:val="center"/>
          </w:tcPr>
          <w:p w14:paraId="6F302B36" w14:textId="122B4A6F"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1.51 </w:t>
            </w:r>
          </w:p>
        </w:tc>
      </w:tr>
      <w:tr w:rsidR="00E67914" w:rsidRPr="00E67914" w14:paraId="2362D7FF" w14:textId="77777777">
        <w:trPr>
          <w:trHeight w:hRule="exact" w:val="340"/>
          <w:jc w:val="center"/>
        </w:trPr>
        <w:tc>
          <w:tcPr>
            <w:tcW w:w="1971" w:type="pct"/>
            <w:vAlign w:val="center"/>
          </w:tcPr>
          <w:p w14:paraId="0412B093" w14:textId="77777777" w:rsidR="00A074D0" w:rsidRPr="00E67914" w:rsidRDefault="00A074D0" w:rsidP="00A074D0">
            <w:pPr>
              <w:jc w:val="center"/>
              <w:textAlignment w:val="center"/>
              <w:rPr>
                <w:rFonts w:ascii="Times New Roman" w:hAnsi="Times New Roman"/>
                <w:szCs w:val="21"/>
              </w:rPr>
            </w:pPr>
            <w:r w:rsidRPr="00E67914">
              <w:rPr>
                <w:rFonts w:ascii="Times New Roman" w:hAnsi="Times New Roman"/>
                <w:lang w:eastAsia="zh-CN" w:bidi="ar"/>
              </w:rPr>
              <w:t>公路用地</w:t>
            </w:r>
          </w:p>
        </w:tc>
        <w:tc>
          <w:tcPr>
            <w:tcW w:w="1481" w:type="pct"/>
            <w:vAlign w:val="center"/>
          </w:tcPr>
          <w:p w14:paraId="5C0CB4D8" w14:textId="0AF11783"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1.81 </w:t>
            </w:r>
          </w:p>
        </w:tc>
        <w:tc>
          <w:tcPr>
            <w:tcW w:w="1548" w:type="pct"/>
            <w:vAlign w:val="center"/>
          </w:tcPr>
          <w:p w14:paraId="6E829A35" w14:textId="5E1FC39F"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2.31 </w:t>
            </w:r>
          </w:p>
        </w:tc>
      </w:tr>
      <w:tr w:rsidR="00E67914" w:rsidRPr="00E67914" w14:paraId="7F2BFD2A" w14:textId="77777777">
        <w:trPr>
          <w:trHeight w:hRule="exact" w:val="340"/>
          <w:jc w:val="center"/>
        </w:trPr>
        <w:tc>
          <w:tcPr>
            <w:tcW w:w="1971" w:type="pct"/>
            <w:vAlign w:val="center"/>
          </w:tcPr>
          <w:p w14:paraId="2205051D" w14:textId="77777777" w:rsidR="00A074D0" w:rsidRPr="00E67914" w:rsidRDefault="00A074D0" w:rsidP="00A074D0">
            <w:pPr>
              <w:jc w:val="center"/>
              <w:textAlignment w:val="center"/>
              <w:rPr>
                <w:rFonts w:ascii="Times New Roman" w:hAnsi="Times New Roman"/>
                <w:szCs w:val="21"/>
              </w:rPr>
            </w:pPr>
            <w:r w:rsidRPr="00E67914">
              <w:rPr>
                <w:rFonts w:ascii="Times New Roman" w:hAnsi="Times New Roman"/>
                <w:lang w:eastAsia="zh-CN" w:bidi="ar"/>
              </w:rPr>
              <w:t>工业用地</w:t>
            </w:r>
          </w:p>
        </w:tc>
        <w:tc>
          <w:tcPr>
            <w:tcW w:w="1481" w:type="pct"/>
            <w:vAlign w:val="center"/>
          </w:tcPr>
          <w:p w14:paraId="35A1FB35" w14:textId="03A08C19"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3.02 </w:t>
            </w:r>
          </w:p>
        </w:tc>
        <w:tc>
          <w:tcPr>
            <w:tcW w:w="1548" w:type="pct"/>
            <w:vAlign w:val="center"/>
          </w:tcPr>
          <w:p w14:paraId="222EF9A5" w14:textId="412B4CAF"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3.84 </w:t>
            </w:r>
          </w:p>
        </w:tc>
      </w:tr>
      <w:tr w:rsidR="00E67914" w:rsidRPr="00E67914" w14:paraId="1082A7B3" w14:textId="77777777">
        <w:trPr>
          <w:trHeight w:hRule="exact" w:val="340"/>
          <w:jc w:val="center"/>
        </w:trPr>
        <w:tc>
          <w:tcPr>
            <w:tcW w:w="1971" w:type="pct"/>
            <w:vAlign w:val="center"/>
          </w:tcPr>
          <w:p w14:paraId="5CE4C3DD" w14:textId="77777777" w:rsidR="00A074D0" w:rsidRPr="00E67914" w:rsidRDefault="00A074D0" w:rsidP="00A074D0">
            <w:pPr>
              <w:jc w:val="center"/>
              <w:textAlignment w:val="center"/>
              <w:rPr>
                <w:rFonts w:ascii="Times New Roman" w:hAnsi="Times New Roman"/>
                <w:szCs w:val="21"/>
              </w:rPr>
            </w:pPr>
            <w:r w:rsidRPr="00E67914">
              <w:rPr>
                <w:rFonts w:ascii="Times New Roman" w:hAnsi="Times New Roman"/>
                <w:lang w:eastAsia="zh-CN" w:bidi="ar"/>
              </w:rPr>
              <w:t>坑塘水面</w:t>
            </w:r>
          </w:p>
        </w:tc>
        <w:tc>
          <w:tcPr>
            <w:tcW w:w="1481" w:type="pct"/>
            <w:vAlign w:val="center"/>
          </w:tcPr>
          <w:p w14:paraId="4F3AE334" w14:textId="3529B8DB"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0.37 </w:t>
            </w:r>
          </w:p>
        </w:tc>
        <w:tc>
          <w:tcPr>
            <w:tcW w:w="1548" w:type="pct"/>
            <w:vAlign w:val="center"/>
          </w:tcPr>
          <w:p w14:paraId="212B2DA4" w14:textId="1CA576E3" w:rsidR="00A074D0" w:rsidRPr="00E67914" w:rsidRDefault="00A074D0" w:rsidP="00A074D0">
            <w:pPr>
              <w:jc w:val="center"/>
              <w:textAlignment w:val="center"/>
              <w:rPr>
                <w:rFonts w:ascii="Times New Roman" w:hAnsi="Times New Roman"/>
                <w:lang w:eastAsia="zh-CN" w:bidi="ar"/>
              </w:rPr>
            </w:pPr>
            <w:r w:rsidRPr="00E67914">
              <w:rPr>
                <w:rFonts w:ascii="Times New Roman" w:hAnsi="Times New Roman"/>
                <w:lang w:eastAsia="zh-CN" w:bidi="ar"/>
              </w:rPr>
              <w:t xml:space="preserve">0.47 </w:t>
            </w:r>
          </w:p>
        </w:tc>
      </w:tr>
      <w:tr w:rsidR="00E67914" w:rsidRPr="00E67914" w14:paraId="26374BA3" w14:textId="77777777">
        <w:trPr>
          <w:trHeight w:hRule="exact" w:val="340"/>
          <w:jc w:val="center"/>
        </w:trPr>
        <w:tc>
          <w:tcPr>
            <w:tcW w:w="1971" w:type="pct"/>
            <w:vAlign w:val="center"/>
          </w:tcPr>
          <w:p w14:paraId="7F683D90" w14:textId="77777777" w:rsidR="00A54A8A" w:rsidRPr="00E67914" w:rsidRDefault="00000000">
            <w:pPr>
              <w:jc w:val="center"/>
              <w:textAlignment w:val="center"/>
              <w:rPr>
                <w:rFonts w:ascii="Times New Roman" w:hAnsi="Times New Roman"/>
                <w:szCs w:val="21"/>
              </w:rPr>
            </w:pPr>
            <w:r w:rsidRPr="00E67914">
              <w:rPr>
                <w:rFonts w:ascii="Times New Roman" w:hAnsi="Times New Roman"/>
                <w:lang w:eastAsia="zh-CN" w:bidi="ar"/>
              </w:rPr>
              <w:t>合计</w:t>
            </w:r>
          </w:p>
        </w:tc>
        <w:tc>
          <w:tcPr>
            <w:tcW w:w="1481" w:type="pct"/>
            <w:vAlign w:val="center"/>
          </w:tcPr>
          <w:p w14:paraId="5D0EBEB6" w14:textId="137D1147" w:rsidR="00A54A8A" w:rsidRPr="00E67914" w:rsidRDefault="00A074D0">
            <w:pPr>
              <w:jc w:val="center"/>
              <w:textAlignment w:val="center"/>
              <w:rPr>
                <w:rFonts w:ascii="Times New Roman" w:hAnsi="Times New Roman"/>
                <w:szCs w:val="21"/>
              </w:rPr>
            </w:pPr>
            <w:r w:rsidRPr="00E67914">
              <w:rPr>
                <w:rFonts w:ascii="Times New Roman" w:hAnsi="Times New Roman"/>
                <w:lang w:eastAsia="zh-CN" w:bidi="ar"/>
              </w:rPr>
              <w:t>78.46</w:t>
            </w:r>
          </w:p>
        </w:tc>
        <w:tc>
          <w:tcPr>
            <w:tcW w:w="1548" w:type="pct"/>
            <w:vAlign w:val="center"/>
          </w:tcPr>
          <w:p w14:paraId="19B740A2" w14:textId="77777777" w:rsidR="00A54A8A" w:rsidRPr="00E67914" w:rsidRDefault="00000000">
            <w:pPr>
              <w:jc w:val="center"/>
              <w:textAlignment w:val="center"/>
              <w:rPr>
                <w:rFonts w:ascii="Times New Roman" w:hAnsi="Times New Roman"/>
                <w:szCs w:val="21"/>
              </w:rPr>
            </w:pPr>
            <w:r w:rsidRPr="00E67914">
              <w:rPr>
                <w:rFonts w:ascii="Times New Roman" w:hAnsi="Times New Roman"/>
                <w:lang w:eastAsia="zh-CN" w:bidi="ar"/>
              </w:rPr>
              <w:t xml:space="preserve">100.00 </w:t>
            </w:r>
          </w:p>
        </w:tc>
      </w:tr>
    </w:tbl>
    <w:p w14:paraId="325D7C50" w14:textId="354D6801" w:rsidR="00A54A8A" w:rsidRPr="00E67914" w:rsidRDefault="00000000">
      <w:pPr>
        <w:widowControl w:val="0"/>
        <w:adjustRightInd w:val="0"/>
        <w:snapToGrid w:val="0"/>
        <w:spacing w:beforeLines="50" w:before="120"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由表</w:t>
      </w:r>
      <w:r w:rsidRPr="00E67914">
        <w:rPr>
          <w:rFonts w:ascii="Times New Roman" w:hAnsi="Times New Roman"/>
          <w:sz w:val="24"/>
          <w:szCs w:val="24"/>
          <w:lang w:eastAsia="zh-CN"/>
        </w:rPr>
        <w:t>4.3-4</w:t>
      </w:r>
      <w:r w:rsidRPr="00E67914">
        <w:rPr>
          <w:rFonts w:ascii="Times New Roman" w:hAnsi="Times New Roman"/>
          <w:sz w:val="24"/>
          <w:szCs w:val="24"/>
          <w:lang w:eastAsia="zh-CN"/>
        </w:rPr>
        <w:t>看出，本次评价范围内乔木林地</w:t>
      </w:r>
      <w:r w:rsidR="00A074D0" w:rsidRPr="00E67914">
        <w:rPr>
          <w:rFonts w:ascii="Times New Roman" w:hAnsi="Times New Roman"/>
          <w:sz w:val="24"/>
          <w:szCs w:val="24"/>
          <w:lang w:eastAsia="zh-CN"/>
        </w:rPr>
        <w:t>39.17</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，占评价范围的</w:t>
      </w:r>
      <w:r w:rsidR="00A074D0" w:rsidRPr="00E67914">
        <w:rPr>
          <w:rFonts w:ascii="Times New Roman" w:hAnsi="Times New Roman"/>
          <w:sz w:val="24"/>
          <w:szCs w:val="24"/>
          <w:lang w:eastAsia="zh-CN"/>
        </w:rPr>
        <w:t>49.93</w:t>
      </w:r>
      <w:r w:rsidRPr="00E67914">
        <w:rPr>
          <w:rFonts w:ascii="Times New Roman" w:hAnsi="Times New Roman"/>
          <w:sz w:val="24"/>
          <w:szCs w:val="24"/>
          <w:lang w:eastAsia="zh-CN"/>
        </w:rPr>
        <w:t>%</w:t>
      </w:r>
      <w:r w:rsidRPr="00E67914">
        <w:rPr>
          <w:rFonts w:ascii="Times New Roman" w:hAnsi="Times New Roman"/>
          <w:sz w:val="24"/>
          <w:szCs w:val="24"/>
          <w:lang w:eastAsia="zh-CN"/>
        </w:rPr>
        <w:t>，</w:t>
      </w:r>
      <w:r w:rsidR="00A074D0" w:rsidRPr="00E67914">
        <w:rPr>
          <w:rFonts w:ascii="Times New Roman" w:hAnsi="Times New Roman"/>
          <w:sz w:val="24"/>
          <w:szCs w:val="24"/>
          <w:lang w:eastAsia="zh-CN"/>
        </w:rPr>
        <w:lastRenderedPageBreak/>
        <w:t>水田</w:t>
      </w:r>
      <w:r w:rsidR="00A074D0" w:rsidRPr="00E67914">
        <w:rPr>
          <w:rFonts w:ascii="Times New Roman" w:hAnsi="Times New Roman"/>
          <w:sz w:val="24"/>
          <w:szCs w:val="24"/>
          <w:lang w:eastAsia="zh-CN"/>
        </w:rPr>
        <w:t>16.44</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，占评价范围的</w:t>
      </w:r>
      <w:r w:rsidR="00A074D0" w:rsidRPr="00E67914">
        <w:rPr>
          <w:rFonts w:ascii="Times New Roman" w:hAnsi="Times New Roman"/>
          <w:sz w:val="24"/>
          <w:szCs w:val="24"/>
          <w:lang w:eastAsia="zh-CN"/>
        </w:rPr>
        <w:t>20.96</w:t>
      </w:r>
      <w:r w:rsidRPr="00E67914">
        <w:rPr>
          <w:rFonts w:ascii="Times New Roman" w:hAnsi="Times New Roman"/>
          <w:sz w:val="24"/>
          <w:szCs w:val="24"/>
          <w:lang w:eastAsia="zh-CN"/>
        </w:rPr>
        <w:t>%</w:t>
      </w:r>
      <w:r w:rsidRPr="00E67914">
        <w:rPr>
          <w:rFonts w:ascii="Times New Roman" w:hAnsi="Times New Roman"/>
          <w:sz w:val="24"/>
          <w:szCs w:val="24"/>
          <w:lang w:eastAsia="zh-CN"/>
        </w:rPr>
        <w:t>，</w:t>
      </w:r>
      <w:r w:rsidR="00A074D0" w:rsidRPr="00E67914">
        <w:rPr>
          <w:rFonts w:ascii="Times New Roman" w:hAnsi="Times New Roman"/>
          <w:sz w:val="24"/>
          <w:szCs w:val="24"/>
          <w:lang w:eastAsia="zh-CN"/>
        </w:rPr>
        <w:t>旱地</w:t>
      </w:r>
      <w:r w:rsidR="00A074D0" w:rsidRPr="00E67914">
        <w:rPr>
          <w:rFonts w:ascii="Times New Roman" w:hAnsi="Times New Roman"/>
          <w:sz w:val="24"/>
          <w:szCs w:val="24"/>
          <w:lang w:eastAsia="zh-CN"/>
        </w:rPr>
        <w:t>11.23hm</w:t>
      </w:r>
      <w:r w:rsidR="00A074D0" w:rsidRPr="00E67914">
        <w:rPr>
          <w:rFonts w:ascii="Times New Roman" w:hAnsi="Times New Roman"/>
          <w:sz w:val="24"/>
          <w:szCs w:val="24"/>
          <w:vertAlign w:val="superscript"/>
          <w:lang w:eastAsia="zh-CN"/>
        </w:rPr>
        <w:t>2</w:t>
      </w:r>
      <w:r w:rsidR="00A074D0" w:rsidRPr="00E67914">
        <w:rPr>
          <w:rFonts w:ascii="Times New Roman" w:hAnsi="Times New Roman"/>
          <w:sz w:val="24"/>
          <w:szCs w:val="24"/>
          <w:lang w:eastAsia="zh-CN"/>
        </w:rPr>
        <w:t>，占评价范围的</w:t>
      </w:r>
      <w:r w:rsidR="00A074D0" w:rsidRPr="00E67914">
        <w:rPr>
          <w:rFonts w:ascii="Times New Roman" w:hAnsi="Times New Roman"/>
          <w:sz w:val="24"/>
          <w:szCs w:val="24"/>
          <w:lang w:eastAsia="zh-CN"/>
        </w:rPr>
        <w:t>14.31%</w:t>
      </w:r>
      <w:r w:rsidR="00A074D0" w:rsidRPr="00E67914">
        <w:rPr>
          <w:rFonts w:ascii="Times New Roman" w:hAnsi="Times New Roman"/>
          <w:sz w:val="24"/>
          <w:szCs w:val="24"/>
          <w:lang w:eastAsia="zh-CN"/>
        </w:rPr>
        <w:t>，</w:t>
      </w:r>
      <w:r w:rsidRPr="00E67914">
        <w:rPr>
          <w:rFonts w:ascii="Times New Roman" w:hAnsi="Times New Roman"/>
          <w:sz w:val="24"/>
          <w:szCs w:val="24"/>
          <w:lang w:eastAsia="zh-CN"/>
        </w:rPr>
        <w:t>其余地类均低于</w:t>
      </w:r>
      <w:r w:rsidRPr="00E67914">
        <w:rPr>
          <w:rFonts w:ascii="Times New Roman" w:hAnsi="Times New Roman"/>
          <w:sz w:val="24"/>
          <w:szCs w:val="24"/>
          <w:lang w:eastAsia="zh-CN"/>
        </w:rPr>
        <w:t>10%</w:t>
      </w:r>
      <w:r w:rsidRPr="00E67914">
        <w:rPr>
          <w:rFonts w:ascii="Times New Roman" w:hAnsi="Times New Roman"/>
          <w:sz w:val="24"/>
          <w:szCs w:val="24"/>
          <w:lang w:eastAsia="zh-CN"/>
        </w:rPr>
        <w:t>。综上，本次评价范围内土地类型以乔木林地</w:t>
      </w:r>
      <w:r w:rsidR="00A074D0" w:rsidRPr="00E67914">
        <w:rPr>
          <w:rFonts w:ascii="Times New Roman" w:hAnsi="Times New Roman"/>
          <w:sz w:val="24"/>
          <w:szCs w:val="24"/>
          <w:lang w:eastAsia="zh-CN"/>
        </w:rPr>
        <w:t>、水田</w:t>
      </w:r>
      <w:r w:rsidRPr="00E67914">
        <w:rPr>
          <w:rFonts w:ascii="Times New Roman" w:hAnsi="Times New Roman"/>
          <w:sz w:val="24"/>
          <w:szCs w:val="24"/>
          <w:lang w:eastAsia="zh-CN"/>
        </w:rPr>
        <w:t>和旱地为主。</w:t>
      </w:r>
    </w:p>
    <w:p w14:paraId="4776E992" w14:textId="77777777" w:rsidR="00A54A8A" w:rsidRPr="00E67914" w:rsidRDefault="00000000">
      <w:pPr>
        <w:widowControl w:val="0"/>
        <w:adjustRightInd w:val="0"/>
        <w:snapToGrid w:val="0"/>
        <w:spacing w:beforeLines="50" w:before="120"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3</w:t>
      </w:r>
      <w:r w:rsidRPr="00E67914">
        <w:rPr>
          <w:rFonts w:ascii="Times New Roman" w:hAnsi="Times New Roman"/>
          <w:b/>
          <w:bCs/>
          <w:sz w:val="24"/>
          <w:lang w:eastAsia="zh-CN"/>
        </w:rPr>
        <w:t>）植被覆盖度分布特征</w:t>
      </w:r>
    </w:p>
    <w:p w14:paraId="37EB5E15"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lang w:eastAsia="zh-CN"/>
        </w:rPr>
        <w:t>植被覆盖度分析采用基于</w:t>
      </w:r>
      <w:r w:rsidRPr="00E67914">
        <w:rPr>
          <w:rFonts w:ascii="Times New Roman" w:hAnsi="Times New Roman"/>
          <w:sz w:val="24"/>
          <w:lang w:eastAsia="zh-CN"/>
        </w:rPr>
        <w:t>NDVI</w:t>
      </w:r>
      <w:r w:rsidRPr="00E67914">
        <w:rPr>
          <w:rFonts w:ascii="Times New Roman" w:hAnsi="Times New Roman"/>
          <w:sz w:val="24"/>
          <w:lang w:eastAsia="zh-CN"/>
        </w:rPr>
        <w:t>的像元二分模型法反演植被覆盖度。根据象元二分模型原理，可以将每个象元的</w:t>
      </w:r>
      <w:r w:rsidRPr="00E67914">
        <w:rPr>
          <w:rFonts w:ascii="Times New Roman" w:hAnsi="Times New Roman"/>
          <w:sz w:val="24"/>
          <w:lang w:eastAsia="zh-CN"/>
        </w:rPr>
        <w:t>NDVI</w:t>
      </w:r>
      <w:r w:rsidRPr="00E67914">
        <w:rPr>
          <w:rFonts w:ascii="Times New Roman" w:hAnsi="Times New Roman"/>
          <w:sz w:val="24"/>
          <w:lang w:eastAsia="zh-CN"/>
        </w:rPr>
        <w:t>值表示为植被覆盖部分和无植被覆盖部分组</w:t>
      </w:r>
      <w:r w:rsidRPr="00E67914">
        <w:rPr>
          <w:rFonts w:ascii="Times New Roman" w:hAnsi="Times New Roman"/>
          <w:sz w:val="24"/>
          <w:szCs w:val="24"/>
          <w:lang w:eastAsia="zh-CN"/>
        </w:rPr>
        <w:t>成的形式，用公式可表示为：</w:t>
      </w:r>
    </w:p>
    <w:p w14:paraId="5B850F83" w14:textId="77777777" w:rsidR="00A54A8A" w:rsidRPr="00E67914" w:rsidRDefault="00000000">
      <w:pPr>
        <w:widowControl w:val="0"/>
        <w:spacing w:line="360" w:lineRule="auto"/>
        <w:jc w:val="center"/>
        <w:rPr>
          <w:rFonts w:ascii="Times New Roman" w:hAnsi="Times New Roman"/>
          <w:sz w:val="24"/>
          <w:szCs w:val="24"/>
        </w:rPr>
      </w:pPr>
      <w:r w:rsidRPr="00E67914">
        <w:rPr>
          <w:rFonts w:ascii="Times New Roman" w:hAnsi="Times New Roman"/>
          <w:sz w:val="24"/>
          <w:szCs w:val="24"/>
        </w:rPr>
        <w:t>NDVI= NDVI</w:t>
      </w:r>
      <w:r w:rsidRPr="00E67914">
        <w:rPr>
          <w:rFonts w:ascii="Times New Roman" w:hAnsi="Times New Roman"/>
          <w:sz w:val="24"/>
          <w:szCs w:val="24"/>
          <w:vertAlign w:val="subscript"/>
        </w:rPr>
        <w:t>veg</w:t>
      </w:r>
      <w:r w:rsidRPr="00E67914">
        <w:rPr>
          <w:rFonts w:ascii="Times New Roman" w:hAnsi="Times New Roman"/>
          <w:sz w:val="24"/>
          <w:szCs w:val="24"/>
        </w:rPr>
        <w:t>×f</w:t>
      </w:r>
      <w:r w:rsidRPr="00E67914">
        <w:rPr>
          <w:rFonts w:ascii="Times New Roman" w:hAnsi="Times New Roman"/>
          <w:sz w:val="24"/>
          <w:szCs w:val="24"/>
          <w:vertAlign w:val="subscript"/>
        </w:rPr>
        <w:t>c</w:t>
      </w:r>
      <w:r w:rsidRPr="00E67914">
        <w:rPr>
          <w:rFonts w:ascii="Times New Roman" w:hAnsi="Times New Roman"/>
          <w:sz w:val="24"/>
          <w:szCs w:val="24"/>
        </w:rPr>
        <w:t>+ NDVI</w:t>
      </w:r>
      <w:r w:rsidRPr="00E67914">
        <w:rPr>
          <w:rFonts w:ascii="Times New Roman" w:hAnsi="Times New Roman"/>
          <w:sz w:val="24"/>
          <w:szCs w:val="24"/>
          <w:vertAlign w:val="subscript"/>
        </w:rPr>
        <w:t>soil</w:t>
      </w:r>
      <w:r w:rsidRPr="00E67914">
        <w:rPr>
          <w:rFonts w:ascii="Times New Roman" w:hAnsi="Times New Roman"/>
          <w:sz w:val="24"/>
          <w:szCs w:val="24"/>
        </w:rPr>
        <w:t>×</w:t>
      </w:r>
      <w:r w:rsidRPr="00E67914">
        <w:rPr>
          <w:rFonts w:ascii="Times New Roman" w:hAnsi="Times New Roman"/>
          <w:sz w:val="24"/>
          <w:szCs w:val="24"/>
        </w:rPr>
        <w:t>（</w:t>
      </w:r>
      <w:r w:rsidRPr="00E67914">
        <w:rPr>
          <w:rFonts w:ascii="Times New Roman" w:hAnsi="Times New Roman"/>
          <w:sz w:val="24"/>
          <w:szCs w:val="24"/>
        </w:rPr>
        <w:t>1- f</w:t>
      </w:r>
      <w:r w:rsidRPr="00E67914">
        <w:rPr>
          <w:rFonts w:ascii="Times New Roman" w:hAnsi="Times New Roman"/>
          <w:sz w:val="24"/>
          <w:szCs w:val="24"/>
          <w:vertAlign w:val="subscript"/>
        </w:rPr>
        <w:t>c</w:t>
      </w:r>
      <w:r w:rsidRPr="00E67914">
        <w:rPr>
          <w:rFonts w:ascii="Times New Roman" w:hAnsi="Times New Roman"/>
          <w:sz w:val="24"/>
          <w:szCs w:val="24"/>
        </w:rPr>
        <w:t>）</w:t>
      </w:r>
      <w:r w:rsidRPr="00E67914">
        <w:rPr>
          <w:rFonts w:ascii="Times New Roman" w:hAnsi="Times New Roman"/>
          <w:sz w:val="24"/>
          <w:szCs w:val="24"/>
        </w:rPr>
        <w:t xml:space="preserve">       </w:t>
      </w:r>
      <w:r w:rsidRPr="00E67914">
        <w:rPr>
          <w:rFonts w:ascii="Times New Roman" w:hAnsi="Times New Roman"/>
          <w:sz w:val="24"/>
          <w:szCs w:val="24"/>
        </w:rPr>
        <w:t>（</w:t>
      </w:r>
      <w:r w:rsidRPr="00E67914">
        <w:rPr>
          <w:rFonts w:ascii="Times New Roman" w:hAnsi="Times New Roman"/>
          <w:sz w:val="24"/>
          <w:szCs w:val="24"/>
        </w:rPr>
        <w:t>a</w:t>
      </w:r>
      <w:r w:rsidRPr="00E67914">
        <w:rPr>
          <w:rFonts w:ascii="Times New Roman" w:hAnsi="Times New Roman"/>
          <w:sz w:val="24"/>
          <w:szCs w:val="24"/>
        </w:rPr>
        <w:t>）</w:t>
      </w:r>
    </w:p>
    <w:p w14:paraId="1AB10429"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式中：</w:t>
      </w:r>
      <w:r w:rsidRPr="00E67914">
        <w:rPr>
          <w:rFonts w:ascii="Times New Roman" w:hAnsi="Times New Roman"/>
          <w:sz w:val="24"/>
          <w:szCs w:val="24"/>
          <w:lang w:eastAsia="zh-CN"/>
        </w:rPr>
        <w:t>NDVI</w:t>
      </w:r>
      <w:r w:rsidRPr="00E67914">
        <w:rPr>
          <w:rFonts w:ascii="Times New Roman" w:hAnsi="Times New Roman"/>
          <w:sz w:val="24"/>
          <w:szCs w:val="24"/>
          <w:vertAlign w:val="subscript"/>
          <w:lang w:eastAsia="zh-CN"/>
        </w:rPr>
        <w:t>veg</w:t>
      </w:r>
      <w:r w:rsidRPr="00E67914">
        <w:rPr>
          <w:rFonts w:ascii="Times New Roman" w:hAnsi="Times New Roman"/>
          <w:sz w:val="24"/>
          <w:szCs w:val="24"/>
          <w:lang w:eastAsia="zh-CN"/>
        </w:rPr>
        <w:t>代表完全由植被覆盖的象元的</w:t>
      </w:r>
      <w:r w:rsidRPr="00E67914">
        <w:rPr>
          <w:rFonts w:ascii="Times New Roman" w:hAnsi="Times New Roman"/>
          <w:sz w:val="24"/>
          <w:szCs w:val="24"/>
          <w:lang w:eastAsia="zh-CN"/>
        </w:rPr>
        <w:t>NDVI</w:t>
      </w:r>
      <w:r w:rsidRPr="00E67914">
        <w:rPr>
          <w:rFonts w:ascii="Times New Roman" w:hAnsi="Times New Roman"/>
          <w:sz w:val="24"/>
          <w:szCs w:val="24"/>
          <w:lang w:eastAsia="zh-CN"/>
        </w:rPr>
        <w:t>值；</w:t>
      </w:r>
      <w:r w:rsidRPr="00E67914">
        <w:rPr>
          <w:rFonts w:ascii="Times New Roman" w:hAnsi="Times New Roman"/>
          <w:sz w:val="24"/>
          <w:szCs w:val="24"/>
          <w:lang w:eastAsia="zh-CN"/>
        </w:rPr>
        <w:t>NDVI</w:t>
      </w:r>
      <w:r w:rsidRPr="00E67914">
        <w:rPr>
          <w:rFonts w:ascii="Times New Roman" w:hAnsi="Times New Roman"/>
          <w:sz w:val="24"/>
          <w:szCs w:val="24"/>
          <w:vertAlign w:val="subscript"/>
          <w:lang w:eastAsia="zh-CN"/>
        </w:rPr>
        <w:t>soil</w:t>
      </w:r>
      <w:r w:rsidRPr="00E67914">
        <w:rPr>
          <w:rFonts w:ascii="Times New Roman" w:hAnsi="Times New Roman"/>
          <w:sz w:val="24"/>
          <w:szCs w:val="24"/>
          <w:lang w:eastAsia="zh-CN"/>
        </w:rPr>
        <w:t>代表完全无植被覆盖的象元</w:t>
      </w:r>
      <w:r w:rsidRPr="00E67914">
        <w:rPr>
          <w:rFonts w:ascii="Times New Roman" w:hAnsi="Times New Roman"/>
          <w:sz w:val="24"/>
          <w:szCs w:val="24"/>
          <w:lang w:eastAsia="zh-CN"/>
        </w:rPr>
        <w:t>NDVI</w:t>
      </w:r>
      <w:r w:rsidRPr="00E67914">
        <w:rPr>
          <w:rFonts w:ascii="Times New Roman" w:hAnsi="Times New Roman"/>
          <w:sz w:val="24"/>
          <w:szCs w:val="24"/>
          <w:lang w:eastAsia="zh-CN"/>
        </w:rPr>
        <w:t>值；</w:t>
      </w:r>
      <w:r w:rsidRPr="00E67914">
        <w:rPr>
          <w:rFonts w:ascii="Times New Roman" w:hAnsi="Times New Roman"/>
          <w:sz w:val="24"/>
          <w:szCs w:val="24"/>
          <w:lang w:eastAsia="zh-CN"/>
        </w:rPr>
        <w:t>f</w:t>
      </w:r>
      <w:r w:rsidRPr="00E67914">
        <w:rPr>
          <w:rFonts w:ascii="Times New Roman" w:hAnsi="Times New Roman"/>
          <w:sz w:val="24"/>
          <w:szCs w:val="24"/>
          <w:vertAlign w:val="subscript"/>
          <w:lang w:eastAsia="zh-CN"/>
        </w:rPr>
        <w:t>c</w:t>
      </w:r>
      <w:r w:rsidRPr="00E67914">
        <w:rPr>
          <w:rFonts w:ascii="Times New Roman" w:hAnsi="Times New Roman"/>
          <w:sz w:val="24"/>
          <w:szCs w:val="24"/>
          <w:lang w:eastAsia="zh-CN"/>
        </w:rPr>
        <w:t>代表植被覆盖度。</w:t>
      </w:r>
    </w:p>
    <w:p w14:paraId="13F95E22"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公式（</w:t>
      </w:r>
      <w:r w:rsidRPr="00E67914">
        <w:rPr>
          <w:rFonts w:ascii="Times New Roman" w:hAnsi="Times New Roman"/>
          <w:sz w:val="24"/>
          <w:szCs w:val="24"/>
          <w:lang w:eastAsia="zh-CN"/>
        </w:rPr>
        <w:t>a</w:t>
      </w:r>
      <w:r w:rsidRPr="00E67914">
        <w:rPr>
          <w:rFonts w:ascii="Times New Roman" w:hAnsi="Times New Roman"/>
          <w:sz w:val="24"/>
          <w:szCs w:val="24"/>
          <w:lang w:eastAsia="zh-CN"/>
        </w:rPr>
        <w:t>）经变换即可得到植被覆盖度的计算公式：</w:t>
      </w:r>
    </w:p>
    <w:p w14:paraId="609CEB88" w14:textId="77777777" w:rsidR="00A54A8A" w:rsidRPr="00E67914" w:rsidRDefault="00000000">
      <w:pPr>
        <w:widowControl w:val="0"/>
        <w:spacing w:line="360" w:lineRule="auto"/>
        <w:jc w:val="center"/>
        <w:rPr>
          <w:rFonts w:ascii="Times New Roman" w:hAnsi="Times New Roman"/>
          <w:sz w:val="24"/>
          <w:szCs w:val="24"/>
        </w:rPr>
      </w:pPr>
      <w:r w:rsidRPr="00E67914">
        <w:rPr>
          <w:rFonts w:ascii="Times New Roman" w:hAnsi="Times New Roman"/>
          <w:sz w:val="24"/>
          <w:szCs w:val="24"/>
        </w:rPr>
        <w:t>f</w:t>
      </w:r>
      <w:r w:rsidRPr="00E67914">
        <w:rPr>
          <w:rFonts w:ascii="Times New Roman" w:hAnsi="Times New Roman"/>
          <w:sz w:val="24"/>
          <w:szCs w:val="24"/>
          <w:vertAlign w:val="subscript"/>
        </w:rPr>
        <w:t>c</w:t>
      </w:r>
      <w:r w:rsidRPr="00E67914">
        <w:rPr>
          <w:rFonts w:ascii="Times New Roman" w:hAnsi="Times New Roman"/>
          <w:sz w:val="24"/>
          <w:szCs w:val="24"/>
        </w:rPr>
        <w:t xml:space="preserve"> =</w:t>
      </w:r>
      <w:r w:rsidRPr="00E67914">
        <w:rPr>
          <w:rFonts w:ascii="Times New Roman" w:hAnsi="Times New Roman"/>
          <w:sz w:val="24"/>
          <w:szCs w:val="24"/>
        </w:rPr>
        <w:t>（</w:t>
      </w:r>
      <w:r w:rsidRPr="00E67914">
        <w:rPr>
          <w:rFonts w:ascii="Times New Roman" w:hAnsi="Times New Roman"/>
          <w:sz w:val="24"/>
          <w:szCs w:val="24"/>
        </w:rPr>
        <w:t>NDVI-NDVI</w:t>
      </w:r>
      <w:r w:rsidRPr="00E67914">
        <w:rPr>
          <w:rFonts w:ascii="Times New Roman" w:hAnsi="Times New Roman"/>
          <w:sz w:val="24"/>
          <w:szCs w:val="24"/>
          <w:vertAlign w:val="subscript"/>
        </w:rPr>
        <w:t>soil</w:t>
      </w:r>
      <w:r w:rsidRPr="00E67914">
        <w:rPr>
          <w:rFonts w:ascii="Times New Roman" w:hAnsi="Times New Roman"/>
          <w:sz w:val="24"/>
          <w:szCs w:val="24"/>
        </w:rPr>
        <w:t>）</w:t>
      </w:r>
      <w:r w:rsidRPr="00E67914">
        <w:rPr>
          <w:rFonts w:ascii="Times New Roman" w:hAnsi="Times New Roman"/>
          <w:sz w:val="24"/>
          <w:szCs w:val="24"/>
        </w:rPr>
        <w:t>/</w:t>
      </w:r>
      <w:r w:rsidRPr="00E67914">
        <w:rPr>
          <w:rFonts w:ascii="Times New Roman" w:hAnsi="Times New Roman"/>
          <w:sz w:val="24"/>
          <w:szCs w:val="24"/>
        </w:rPr>
        <w:t>（</w:t>
      </w:r>
      <w:r w:rsidRPr="00E67914">
        <w:rPr>
          <w:rFonts w:ascii="Times New Roman" w:hAnsi="Times New Roman"/>
          <w:sz w:val="24"/>
          <w:szCs w:val="24"/>
        </w:rPr>
        <w:t>NDVI</w:t>
      </w:r>
      <w:r w:rsidRPr="00E67914">
        <w:rPr>
          <w:rFonts w:ascii="Times New Roman" w:hAnsi="Times New Roman"/>
          <w:sz w:val="24"/>
          <w:szCs w:val="24"/>
          <w:vertAlign w:val="subscript"/>
        </w:rPr>
        <w:t>veg</w:t>
      </w:r>
      <w:r w:rsidRPr="00E67914">
        <w:rPr>
          <w:rFonts w:ascii="Times New Roman" w:hAnsi="Times New Roman"/>
          <w:sz w:val="24"/>
          <w:szCs w:val="24"/>
        </w:rPr>
        <w:t>-NDVI</w:t>
      </w:r>
      <w:r w:rsidRPr="00E67914">
        <w:rPr>
          <w:rFonts w:ascii="Times New Roman" w:hAnsi="Times New Roman"/>
          <w:sz w:val="24"/>
          <w:szCs w:val="24"/>
          <w:vertAlign w:val="subscript"/>
        </w:rPr>
        <w:t>soil</w:t>
      </w:r>
      <w:r w:rsidRPr="00E67914">
        <w:rPr>
          <w:rFonts w:ascii="Times New Roman" w:hAnsi="Times New Roman"/>
          <w:sz w:val="24"/>
          <w:szCs w:val="24"/>
        </w:rPr>
        <w:t>）（</w:t>
      </w:r>
      <w:r w:rsidRPr="00E67914">
        <w:rPr>
          <w:rFonts w:ascii="Times New Roman" w:hAnsi="Times New Roman"/>
          <w:sz w:val="24"/>
          <w:szCs w:val="24"/>
        </w:rPr>
        <w:t>b</w:t>
      </w:r>
      <w:r w:rsidRPr="00E67914">
        <w:rPr>
          <w:rFonts w:ascii="Times New Roman" w:hAnsi="Times New Roman"/>
          <w:sz w:val="24"/>
          <w:szCs w:val="24"/>
        </w:rPr>
        <w:t>）</w:t>
      </w:r>
    </w:p>
    <w:p w14:paraId="7F04AE8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szCs w:val="24"/>
          <w:lang w:eastAsia="zh-CN"/>
        </w:rPr>
        <w:t>根据公式（</w:t>
      </w:r>
      <w:r w:rsidRPr="00E67914">
        <w:rPr>
          <w:rFonts w:ascii="Times New Roman" w:hAnsi="Times New Roman"/>
          <w:sz w:val="24"/>
          <w:szCs w:val="24"/>
          <w:lang w:eastAsia="zh-CN"/>
        </w:rPr>
        <w:t>b</w:t>
      </w:r>
      <w:r w:rsidRPr="00E67914">
        <w:rPr>
          <w:rFonts w:ascii="Times New Roman" w:hAnsi="Times New Roman"/>
          <w:sz w:val="24"/>
          <w:szCs w:val="24"/>
          <w:lang w:eastAsia="zh-CN"/>
        </w:rPr>
        <w:t>），利用</w:t>
      </w:r>
      <w:r w:rsidRPr="00E67914">
        <w:rPr>
          <w:rFonts w:ascii="Times New Roman" w:hAnsi="Times New Roman"/>
          <w:sz w:val="24"/>
          <w:szCs w:val="24"/>
          <w:lang w:eastAsia="zh-CN"/>
        </w:rPr>
        <w:t>ERDAS IMAGINE</w:t>
      </w:r>
      <w:r w:rsidRPr="00E67914">
        <w:rPr>
          <w:rFonts w:ascii="Times New Roman" w:hAnsi="Times New Roman"/>
          <w:sz w:val="24"/>
          <w:szCs w:val="24"/>
          <w:lang w:eastAsia="zh-CN"/>
        </w:rPr>
        <w:t>中的</w:t>
      </w:r>
      <w:r w:rsidRPr="00E67914">
        <w:rPr>
          <w:rFonts w:ascii="Times New Roman" w:hAnsi="Times New Roman"/>
          <w:sz w:val="24"/>
          <w:szCs w:val="24"/>
          <w:lang w:eastAsia="zh-CN"/>
        </w:rPr>
        <w:t>Modeler</w:t>
      </w:r>
      <w:r w:rsidRPr="00E67914">
        <w:rPr>
          <w:rFonts w:ascii="Times New Roman" w:hAnsi="Times New Roman"/>
          <w:sz w:val="24"/>
          <w:szCs w:val="24"/>
          <w:lang w:eastAsia="zh-CN"/>
        </w:rPr>
        <w:t>模块建模编写程序来计算覆盖度，得到了评价区的植被覆盖度图。根据遥感解译结果，参照《生态环境状况评价技术规范》（</w:t>
      </w:r>
      <w:r w:rsidRPr="00E67914">
        <w:rPr>
          <w:rFonts w:ascii="Times New Roman" w:hAnsi="Times New Roman"/>
          <w:sz w:val="24"/>
          <w:szCs w:val="24"/>
          <w:lang w:eastAsia="zh-CN"/>
        </w:rPr>
        <w:t>HJ192-2015</w:t>
      </w:r>
      <w:r w:rsidRPr="00E67914">
        <w:rPr>
          <w:rFonts w:ascii="Times New Roman" w:hAnsi="Times New Roman"/>
          <w:sz w:val="24"/>
          <w:szCs w:val="24"/>
          <w:lang w:eastAsia="zh-CN"/>
        </w:rPr>
        <w:t>，</w:t>
      </w:r>
      <w:r w:rsidRPr="00E67914">
        <w:rPr>
          <w:rFonts w:ascii="Times New Roman" w:hAnsi="Times New Roman"/>
          <w:sz w:val="24"/>
          <w:szCs w:val="24"/>
          <w:lang w:eastAsia="zh-CN"/>
        </w:rPr>
        <w:t>2015-03-13</w:t>
      </w:r>
      <w:r w:rsidRPr="00E67914">
        <w:rPr>
          <w:rFonts w:ascii="Times New Roman" w:hAnsi="Times New Roman"/>
          <w:sz w:val="24"/>
          <w:szCs w:val="24"/>
          <w:lang w:eastAsia="zh-CN"/>
        </w:rPr>
        <w:t>）、《土壤侵蚀分类分级标准》（</w:t>
      </w:r>
      <w:r w:rsidRPr="00E67914">
        <w:rPr>
          <w:rFonts w:ascii="Times New Roman" w:hAnsi="Times New Roman"/>
          <w:sz w:val="24"/>
          <w:szCs w:val="24"/>
          <w:lang w:eastAsia="zh-CN"/>
        </w:rPr>
        <w:t>SL190-2007</w:t>
      </w:r>
      <w:r w:rsidRPr="00E67914">
        <w:rPr>
          <w:rFonts w:ascii="Times New Roman" w:hAnsi="Times New Roman"/>
          <w:sz w:val="24"/>
          <w:szCs w:val="24"/>
          <w:lang w:eastAsia="zh-CN"/>
        </w:rPr>
        <w:t>，</w:t>
      </w:r>
      <w:r w:rsidRPr="00E67914">
        <w:rPr>
          <w:rFonts w:ascii="Times New Roman" w:hAnsi="Times New Roman"/>
          <w:sz w:val="24"/>
          <w:szCs w:val="24"/>
          <w:lang w:eastAsia="zh-CN"/>
        </w:rPr>
        <w:t>2008-01-04</w:t>
      </w:r>
      <w:r w:rsidRPr="00E67914">
        <w:rPr>
          <w:rFonts w:ascii="Times New Roman" w:hAnsi="Times New Roman"/>
          <w:sz w:val="24"/>
          <w:szCs w:val="24"/>
          <w:lang w:eastAsia="zh-CN"/>
        </w:rPr>
        <w:t>），评价区植被覆盖度划分为高覆盖度（</w:t>
      </w:r>
      <w:r w:rsidRPr="00E67914">
        <w:rPr>
          <w:rFonts w:ascii="Times New Roman" w:hAnsi="Times New Roman"/>
          <w:sz w:val="24"/>
          <w:szCs w:val="24"/>
          <w:lang w:eastAsia="zh-CN"/>
        </w:rPr>
        <w:t>&gt;70%</w:t>
      </w:r>
      <w:r w:rsidRPr="00E67914">
        <w:rPr>
          <w:rFonts w:ascii="Times New Roman" w:hAnsi="Times New Roman"/>
          <w:sz w:val="24"/>
          <w:szCs w:val="24"/>
          <w:lang w:eastAsia="zh-CN"/>
        </w:rPr>
        <w:t>）、中高覆盖度（</w:t>
      </w:r>
      <w:r w:rsidRPr="00E67914">
        <w:rPr>
          <w:rFonts w:ascii="Times New Roman" w:hAnsi="Times New Roman"/>
          <w:sz w:val="24"/>
          <w:szCs w:val="24"/>
          <w:lang w:eastAsia="zh-CN"/>
        </w:rPr>
        <w:t>50%</w:t>
      </w:r>
      <w:r w:rsidRPr="00E67914">
        <w:rPr>
          <w:rFonts w:ascii="Times New Roman" w:hAnsi="Times New Roman"/>
          <w:sz w:val="24"/>
          <w:szCs w:val="24"/>
          <w:lang w:eastAsia="zh-CN"/>
        </w:rPr>
        <w:t>～</w:t>
      </w:r>
      <w:r w:rsidRPr="00E67914">
        <w:rPr>
          <w:rFonts w:ascii="Times New Roman" w:hAnsi="Times New Roman"/>
          <w:sz w:val="24"/>
          <w:szCs w:val="24"/>
          <w:lang w:eastAsia="zh-CN"/>
        </w:rPr>
        <w:t>70%</w:t>
      </w:r>
      <w:r w:rsidRPr="00E67914">
        <w:rPr>
          <w:rFonts w:ascii="Times New Roman" w:hAnsi="Times New Roman"/>
          <w:sz w:val="24"/>
          <w:szCs w:val="24"/>
          <w:lang w:eastAsia="zh-CN"/>
        </w:rPr>
        <w:t>）、中覆盖度（</w:t>
      </w:r>
      <w:r w:rsidRPr="00E67914">
        <w:rPr>
          <w:rFonts w:ascii="Times New Roman" w:hAnsi="Times New Roman"/>
          <w:sz w:val="24"/>
          <w:szCs w:val="24"/>
          <w:lang w:eastAsia="zh-CN"/>
        </w:rPr>
        <w:t>30%</w:t>
      </w:r>
      <w:r w:rsidRPr="00E67914">
        <w:rPr>
          <w:rFonts w:ascii="Times New Roman" w:hAnsi="Times New Roman"/>
          <w:sz w:val="24"/>
          <w:szCs w:val="24"/>
          <w:lang w:eastAsia="zh-CN"/>
        </w:rPr>
        <w:t>～</w:t>
      </w:r>
      <w:r w:rsidRPr="00E67914">
        <w:rPr>
          <w:rFonts w:ascii="Times New Roman" w:hAnsi="Times New Roman"/>
          <w:sz w:val="24"/>
          <w:szCs w:val="24"/>
          <w:lang w:eastAsia="zh-CN"/>
        </w:rPr>
        <w:t>50%</w:t>
      </w:r>
      <w:r w:rsidRPr="00E67914">
        <w:rPr>
          <w:rFonts w:ascii="Times New Roman" w:hAnsi="Times New Roman"/>
          <w:sz w:val="24"/>
          <w:szCs w:val="24"/>
          <w:lang w:eastAsia="zh-CN"/>
        </w:rPr>
        <w:t>）、中低覆盖度（</w:t>
      </w:r>
      <w:r w:rsidRPr="00E67914">
        <w:rPr>
          <w:rFonts w:ascii="Times New Roman" w:hAnsi="Times New Roman"/>
          <w:sz w:val="24"/>
          <w:szCs w:val="24"/>
          <w:lang w:eastAsia="zh-CN"/>
        </w:rPr>
        <w:t>10%-30%</w:t>
      </w:r>
      <w:r w:rsidRPr="00E67914">
        <w:rPr>
          <w:rFonts w:ascii="Times New Roman" w:hAnsi="Times New Roman"/>
          <w:sz w:val="24"/>
          <w:szCs w:val="24"/>
          <w:lang w:eastAsia="zh-CN"/>
        </w:rPr>
        <w:t>）、极低覆盖度（</w:t>
      </w:r>
      <w:r w:rsidRPr="00E67914">
        <w:rPr>
          <w:rFonts w:ascii="Times New Roman" w:hAnsi="Times New Roman"/>
          <w:sz w:val="24"/>
          <w:szCs w:val="24"/>
          <w:lang w:eastAsia="zh-CN"/>
        </w:rPr>
        <w:t>&lt;10%</w:t>
      </w:r>
      <w:r w:rsidRPr="00E67914">
        <w:rPr>
          <w:rFonts w:ascii="Times New Roman" w:hAnsi="Times New Roman"/>
          <w:sz w:val="24"/>
          <w:szCs w:val="24"/>
          <w:lang w:eastAsia="zh-CN"/>
        </w:rPr>
        <w:t>）五个级别，植被覆盖度分布特征及解译结果见下表</w:t>
      </w:r>
      <w:r w:rsidRPr="00E67914">
        <w:rPr>
          <w:rFonts w:ascii="Times New Roman" w:hAnsi="Times New Roman"/>
          <w:sz w:val="24"/>
          <w:lang w:eastAsia="zh-CN"/>
        </w:rPr>
        <w:t>。</w:t>
      </w:r>
    </w:p>
    <w:p w14:paraId="71A93182" w14:textId="1E295B9A"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w:t>
      </w:r>
      <w:r w:rsidR="008752B7" w:rsidRPr="00E67914">
        <w:rPr>
          <w:rFonts w:ascii="Times New Roman" w:eastAsia="黑体" w:hAnsi="Times New Roman"/>
          <w:sz w:val="21"/>
          <w:szCs w:val="21"/>
          <w:lang w:eastAsia="zh-CN"/>
        </w:rPr>
        <w:t>5</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植被覆盖度分布面积统计表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5"/>
        <w:gridCol w:w="3320"/>
        <w:gridCol w:w="1785"/>
      </w:tblGrid>
      <w:tr w:rsidR="00E67914" w:rsidRPr="00E67914" w14:paraId="6F12DBE4" w14:textId="77777777">
        <w:trPr>
          <w:trHeight w:hRule="exact" w:val="397"/>
          <w:jc w:val="center"/>
        </w:trPr>
        <w:tc>
          <w:tcPr>
            <w:tcW w:w="1925" w:type="pct"/>
            <w:vMerge w:val="restart"/>
            <w:shd w:val="clear" w:color="auto" w:fill="auto"/>
            <w:noWrap/>
            <w:vAlign w:val="center"/>
          </w:tcPr>
          <w:p w14:paraId="02DD43CA" w14:textId="77777777" w:rsidR="00A54A8A" w:rsidRPr="00E67914" w:rsidRDefault="00000000">
            <w:pPr>
              <w:adjustRightInd w:val="0"/>
              <w:snapToGrid w:val="0"/>
              <w:spacing w:line="260" w:lineRule="exact"/>
              <w:jc w:val="center"/>
              <w:rPr>
                <w:rFonts w:ascii="Times New Roman" w:hAnsi="Times New Roman"/>
                <w:szCs w:val="21"/>
              </w:rPr>
            </w:pPr>
            <w:r w:rsidRPr="00E67914">
              <w:rPr>
                <w:rFonts w:ascii="Times New Roman" w:hAnsi="Times New Roman"/>
                <w:szCs w:val="21"/>
              </w:rPr>
              <w:t>植被覆盖度类型</w:t>
            </w:r>
          </w:p>
        </w:tc>
        <w:tc>
          <w:tcPr>
            <w:tcW w:w="3075" w:type="pct"/>
            <w:gridSpan w:val="2"/>
            <w:shd w:val="clear" w:color="000000" w:fill="FFFFFF"/>
            <w:noWrap/>
            <w:vAlign w:val="center"/>
          </w:tcPr>
          <w:p w14:paraId="7D7E3DB9" w14:textId="77777777" w:rsidR="00A54A8A" w:rsidRPr="00E67914" w:rsidRDefault="00000000">
            <w:pPr>
              <w:adjustRightInd w:val="0"/>
              <w:snapToGrid w:val="0"/>
              <w:spacing w:line="260" w:lineRule="exact"/>
              <w:jc w:val="center"/>
              <w:rPr>
                <w:rFonts w:ascii="Times New Roman" w:hAnsi="Times New Roman"/>
                <w:szCs w:val="21"/>
              </w:rPr>
            </w:pPr>
            <w:r w:rsidRPr="00E67914">
              <w:rPr>
                <w:rFonts w:ascii="Times New Roman" w:hAnsi="Times New Roman"/>
                <w:szCs w:val="21"/>
              </w:rPr>
              <w:t>评价区范围</w:t>
            </w:r>
          </w:p>
        </w:tc>
      </w:tr>
      <w:tr w:rsidR="00E67914" w:rsidRPr="00E67914" w14:paraId="66E51CCF" w14:textId="77777777">
        <w:trPr>
          <w:trHeight w:hRule="exact" w:val="397"/>
          <w:jc w:val="center"/>
        </w:trPr>
        <w:tc>
          <w:tcPr>
            <w:tcW w:w="1925" w:type="pct"/>
            <w:vMerge/>
            <w:shd w:val="clear" w:color="auto" w:fill="auto"/>
            <w:vAlign w:val="center"/>
          </w:tcPr>
          <w:p w14:paraId="418AAA25" w14:textId="77777777" w:rsidR="00A54A8A" w:rsidRPr="00E67914" w:rsidRDefault="00A54A8A">
            <w:pPr>
              <w:adjustRightInd w:val="0"/>
              <w:snapToGrid w:val="0"/>
              <w:spacing w:line="260" w:lineRule="exact"/>
              <w:jc w:val="center"/>
              <w:rPr>
                <w:rFonts w:ascii="Times New Roman" w:hAnsi="Times New Roman"/>
                <w:szCs w:val="21"/>
              </w:rPr>
            </w:pPr>
          </w:p>
        </w:tc>
        <w:tc>
          <w:tcPr>
            <w:tcW w:w="2000" w:type="pct"/>
            <w:shd w:val="clear" w:color="000000" w:fill="FFFFFF"/>
            <w:noWrap/>
            <w:vAlign w:val="center"/>
          </w:tcPr>
          <w:p w14:paraId="7FAE3211" w14:textId="77777777" w:rsidR="00A54A8A" w:rsidRPr="00E67914" w:rsidRDefault="00000000">
            <w:pPr>
              <w:adjustRightInd w:val="0"/>
              <w:snapToGrid w:val="0"/>
              <w:spacing w:line="260" w:lineRule="exact"/>
              <w:jc w:val="center"/>
              <w:rPr>
                <w:rFonts w:ascii="Times New Roman" w:hAnsi="Times New Roman"/>
                <w:szCs w:val="21"/>
              </w:rPr>
            </w:pPr>
            <w:r w:rsidRPr="00E67914">
              <w:rPr>
                <w:rFonts w:ascii="Times New Roman" w:hAnsi="Times New Roman"/>
                <w:szCs w:val="21"/>
              </w:rPr>
              <w:t>面积（</w:t>
            </w:r>
            <w:r w:rsidRPr="00E67914">
              <w:rPr>
                <w:rFonts w:ascii="Times New Roman" w:hAnsi="Times New Roman"/>
                <w:szCs w:val="21"/>
              </w:rPr>
              <w:t>hm</w:t>
            </w:r>
            <w:r w:rsidRPr="00E67914">
              <w:rPr>
                <w:rFonts w:ascii="Times New Roman" w:hAnsi="Times New Roman"/>
                <w:szCs w:val="21"/>
                <w:vertAlign w:val="superscript"/>
              </w:rPr>
              <w:t>2</w:t>
            </w:r>
            <w:r w:rsidRPr="00E67914">
              <w:rPr>
                <w:rFonts w:ascii="Times New Roman" w:hAnsi="Times New Roman"/>
                <w:szCs w:val="21"/>
              </w:rPr>
              <w:t>）</w:t>
            </w:r>
          </w:p>
        </w:tc>
        <w:tc>
          <w:tcPr>
            <w:tcW w:w="1075" w:type="pct"/>
            <w:shd w:val="clear" w:color="000000" w:fill="FFFFFF"/>
            <w:noWrap/>
            <w:vAlign w:val="center"/>
          </w:tcPr>
          <w:p w14:paraId="58C3B434" w14:textId="77777777" w:rsidR="00A54A8A" w:rsidRPr="00E67914" w:rsidRDefault="00000000">
            <w:pPr>
              <w:adjustRightInd w:val="0"/>
              <w:snapToGrid w:val="0"/>
              <w:spacing w:line="260" w:lineRule="exact"/>
              <w:jc w:val="center"/>
              <w:rPr>
                <w:rFonts w:ascii="Times New Roman" w:hAnsi="Times New Roman"/>
                <w:szCs w:val="21"/>
              </w:rPr>
            </w:pPr>
            <w:r w:rsidRPr="00E67914">
              <w:rPr>
                <w:rFonts w:ascii="Times New Roman" w:hAnsi="Times New Roman"/>
                <w:szCs w:val="21"/>
              </w:rPr>
              <w:t>占比（</w:t>
            </w:r>
            <w:r w:rsidRPr="00E67914">
              <w:rPr>
                <w:rFonts w:ascii="Times New Roman" w:hAnsi="Times New Roman"/>
                <w:szCs w:val="21"/>
              </w:rPr>
              <w:t>%</w:t>
            </w:r>
            <w:r w:rsidRPr="00E67914">
              <w:rPr>
                <w:rFonts w:ascii="Times New Roman" w:hAnsi="Times New Roman"/>
                <w:szCs w:val="21"/>
              </w:rPr>
              <w:t>）</w:t>
            </w:r>
          </w:p>
        </w:tc>
      </w:tr>
      <w:tr w:rsidR="00E67914" w:rsidRPr="00E67914" w14:paraId="35180321" w14:textId="77777777">
        <w:trPr>
          <w:trHeight w:hRule="exact" w:val="397"/>
          <w:jc w:val="center"/>
        </w:trPr>
        <w:tc>
          <w:tcPr>
            <w:tcW w:w="1925" w:type="pct"/>
            <w:shd w:val="clear" w:color="auto" w:fill="FFFFFF"/>
            <w:noWrap/>
            <w:vAlign w:val="center"/>
          </w:tcPr>
          <w:p w14:paraId="7E8F1CF1" w14:textId="77777777" w:rsidR="00A074D0" w:rsidRPr="00E67914" w:rsidRDefault="00A074D0" w:rsidP="00A074D0">
            <w:pPr>
              <w:adjustRightInd w:val="0"/>
              <w:snapToGrid w:val="0"/>
              <w:spacing w:line="260" w:lineRule="exact"/>
              <w:jc w:val="center"/>
              <w:rPr>
                <w:rFonts w:ascii="Times New Roman" w:hAnsi="Times New Roman"/>
                <w:szCs w:val="21"/>
              </w:rPr>
            </w:pPr>
            <w:r w:rsidRPr="00E67914">
              <w:rPr>
                <w:rFonts w:ascii="Times New Roman" w:hAnsi="Times New Roman"/>
                <w:szCs w:val="21"/>
                <w:lang w:eastAsia="zh-CN"/>
              </w:rPr>
              <w:t>极低覆盖度</w:t>
            </w:r>
            <w:r w:rsidRPr="00E67914">
              <w:rPr>
                <w:rFonts w:ascii="Times New Roman" w:hAnsi="Times New Roman"/>
                <w:szCs w:val="21"/>
                <w:lang w:eastAsia="zh-CN"/>
              </w:rPr>
              <w:t>&lt;10%</w:t>
            </w:r>
          </w:p>
        </w:tc>
        <w:tc>
          <w:tcPr>
            <w:tcW w:w="2000" w:type="pct"/>
            <w:shd w:val="clear" w:color="auto" w:fill="FFFFFF"/>
            <w:noWrap/>
            <w:vAlign w:val="center"/>
          </w:tcPr>
          <w:p w14:paraId="53565165" w14:textId="59FD9B8B"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6.38 </w:t>
            </w:r>
          </w:p>
        </w:tc>
        <w:tc>
          <w:tcPr>
            <w:tcW w:w="1075" w:type="pct"/>
            <w:shd w:val="clear" w:color="auto" w:fill="FFFFFF"/>
            <w:noWrap/>
            <w:vAlign w:val="center"/>
          </w:tcPr>
          <w:p w14:paraId="317D75AC" w14:textId="71451276"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8.13 </w:t>
            </w:r>
          </w:p>
        </w:tc>
      </w:tr>
      <w:tr w:rsidR="00E67914" w:rsidRPr="00E67914" w14:paraId="5B229E7F" w14:textId="77777777">
        <w:trPr>
          <w:trHeight w:hRule="exact" w:val="397"/>
          <w:jc w:val="center"/>
        </w:trPr>
        <w:tc>
          <w:tcPr>
            <w:tcW w:w="1925" w:type="pct"/>
            <w:shd w:val="clear" w:color="auto" w:fill="FFFFFF"/>
            <w:noWrap/>
            <w:vAlign w:val="center"/>
          </w:tcPr>
          <w:p w14:paraId="753CD2F1" w14:textId="77777777" w:rsidR="00A074D0" w:rsidRPr="00E67914" w:rsidRDefault="00A074D0" w:rsidP="00A074D0">
            <w:pPr>
              <w:adjustRightInd w:val="0"/>
              <w:snapToGrid w:val="0"/>
              <w:spacing w:line="260" w:lineRule="exact"/>
              <w:jc w:val="center"/>
              <w:rPr>
                <w:rFonts w:ascii="Times New Roman" w:hAnsi="Times New Roman"/>
                <w:szCs w:val="21"/>
              </w:rPr>
            </w:pPr>
            <w:r w:rsidRPr="00E67914">
              <w:rPr>
                <w:rFonts w:ascii="Times New Roman" w:hAnsi="Times New Roman"/>
                <w:szCs w:val="21"/>
                <w:lang w:eastAsia="zh-CN"/>
              </w:rPr>
              <w:t>中低覆盖度</w:t>
            </w:r>
            <w:r w:rsidRPr="00E67914">
              <w:rPr>
                <w:rFonts w:ascii="Times New Roman" w:hAnsi="Times New Roman"/>
                <w:szCs w:val="21"/>
                <w:lang w:eastAsia="zh-CN"/>
              </w:rPr>
              <w:t>10%-30%</w:t>
            </w:r>
          </w:p>
        </w:tc>
        <w:tc>
          <w:tcPr>
            <w:tcW w:w="2000" w:type="pct"/>
            <w:shd w:val="clear" w:color="auto" w:fill="FFFFFF"/>
            <w:noWrap/>
            <w:vAlign w:val="center"/>
          </w:tcPr>
          <w:p w14:paraId="39754C1B" w14:textId="01E23973"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1.49 </w:t>
            </w:r>
          </w:p>
        </w:tc>
        <w:tc>
          <w:tcPr>
            <w:tcW w:w="1075" w:type="pct"/>
            <w:shd w:val="clear" w:color="auto" w:fill="FFFFFF"/>
            <w:noWrap/>
            <w:vAlign w:val="center"/>
          </w:tcPr>
          <w:p w14:paraId="63F578A8" w14:textId="5EC29890"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1.89 </w:t>
            </w:r>
          </w:p>
        </w:tc>
      </w:tr>
      <w:tr w:rsidR="00E67914" w:rsidRPr="00E67914" w14:paraId="07BF86EA" w14:textId="77777777">
        <w:trPr>
          <w:trHeight w:hRule="exact" w:val="397"/>
          <w:jc w:val="center"/>
        </w:trPr>
        <w:tc>
          <w:tcPr>
            <w:tcW w:w="1925" w:type="pct"/>
            <w:shd w:val="clear" w:color="auto" w:fill="FFFFFF"/>
            <w:noWrap/>
            <w:vAlign w:val="center"/>
          </w:tcPr>
          <w:p w14:paraId="5A274354" w14:textId="77777777" w:rsidR="00A074D0" w:rsidRPr="00E67914" w:rsidRDefault="00A074D0" w:rsidP="00A074D0">
            <w:pPr>
              <w:adjustRightInd w:val="0"/>
              <w:snapToGrid w:val="0"/>
              <w:spacing w:line="260" w:lineRule="exact"/>
              <w:jc w:val="center"/>
              <w:rPr>
                <w:rFonts w:ascii="Times New Roman" w:hAnsi="Times New Roman"/>
                <w:szCs w:val="21"/>
              </w:rPr>
            </w:pPr>
            <w:r w:rsidRPr="00E67914">
              <w:rPr>
                <w:rFonts w:ascii="Times New Roman" w:hAnsi="Times New Roman"/>
                <w:szCs w:val="21"/>
                <w:lang w:eastAsia="zh-CN"/>
              </w:rPr>
              <w:t>中覆盖度</w:t>
            </w:r>
            <w:r w:rsidRPr="00E67914">
              <w:rPr>
                <w:rFonts w:ascii="Times New Roman" w:hAnsi="Times New Roman"/>
                <w:szCs w:val="21"/>
                <w:lang w:eastAsia="zh-CN"/>
              </w:rPr>
              <w:t>30%-50%</w:t>
            </w:r>
          </w:p>
        </w:tc>
        <w:tc>
          <w:tcPr>
            <w:tcW w:w="2000" w:type="pct"/>
            <w:shd w:val="clear" w:color="auto" w:fill="FFFFFF"/>
            <w:noWrap/>
            <w:vAlign w:val="center"/>
          </w:tcPr>
          <w:p w14:paraId="2F4EDB83" w14:textId="6A63B776"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27.67 </w:t>
            </w:r>
          </w:p>
        </w:tc>
        <w:tc>
          <w:tcPr>
            <w:tcW w:w="1075" w:type="pct"/>
            <w:shd w:val="clear" w:color="auto" w:fill="FFFFFF"/>
            <w:noWrap/>
            <w:vAlign w:val="center"/>
          </w:tcPr>
          <w:p w14:paraId="7F47FCF0" w14:textId="0E8210F9"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35.27 </w:t>
            </w:r>
          </w:p>
        </w:tc>
      </w:tr>
      <w:tr w:rsidR="00E67914" w:rsidRPr="00E67914" w14:paraId="3E2BFA16" w14:textId="77777777">
        <w:trPr>
          <w:trHeight w:hRule="exact" w:val="397"/>
          <w:jc w:val="center"/>
        </w:trPr>
        <w:tc>
          <w:tcPr>
            <w:tcW w:w="1925" w:type="pct"/>
            <w:shd w:val="clear" w:color="auto" w:fill="FFFFFF"/>
            <w:noWrap/>
            <w:vAlign w:val="center"/>
          </w:tcPr>
          <w:p w14:paraId="59A77F12" w14:textId="77777777" w:rsidR="00A074D0" w:rsidRPr="00E67914" w:rsidRDefault="00A074D0" w:rsidP="00A074D0">
            <w:pPr>
              <w:adjustRightInd w:val="0"/>
              <w:snapToGrid w:val="0"/>
              <w:spacing w:line="260" w:lineRule="exact"/>
              <w:jc w:val="center"/>
              <w:rPr>
                <w:rFonts w:ascii="Times New Roman" w:hAnsi="Times New Roman"/>
                <w:szCs w:val="21"/>
              </w:rPr>
            </w:pPr>
            <w:r w:rsidRPr="00E67914">
              <w:rPr>
                <w:rFonts w:ascii="Times New Roman" w:hAnsi="Times New Roman"/>
                <w:szCs w:val="21"/>
                <w:lang w:eastAsia="zh-CN"/>
              </w:rPr>
              <w:t>中高覆盖度</w:t>
            </w:r>
            <w:r w:rsidRPr="00E67914">
              <w:rPr>
                <w:rFonts w:ascii="Times New Roman" w:hAnsi="Times New Roman"/>
                <w:szCs w:val="21"/>
                <w:lang w:eastAsia="zh-CN"/>
              </w:rPr>
              <w:t>50%-70%</w:t>
            </w:r>
          </w:p>
        </w:tc>
        <w:tc>
          <w:tcPr>
            <w:tcW w:w="2000" w:type="pct"/>
            <w:shd w:val="clear" w:color="auto" w:fill="FFFFFF"/>
            <w:noWrap/>
            <w:vAlign w:val="center"/>
          </w:tcPr>
          <w:p w14:paraId="09C2BAFF" w14:textId="2ED1D189"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3.74 </w:t>
            </w:r>
          </w:p>
        </w:tc>
        <w:tc>
          <w:tcPr>
            <w:tcW w:w="1075" w:type="pct"/>
            <w:shd w:val="clear" w:color="auto" w:fill="FFFFFF"/>
            <w:noWrap/>
            <w:vAlign w:val="center"/>
          </w:tcPr>
          <w:p w14:paraId="0E8C79DE" w14:textId="42604DA2"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4.77 </w:t>
            </w:r>
          </w:p>
        </w:tc>
      </w:tr>
      <w:tr w:rsidR="00E67914" w:rsidRPr="00E67914" w14:paraId="3D4A50A9" w14:textId="77777777">
        <w:trPr>
          <w:trHeight w:hRule="exact" w:val="397"/>
          <w:jc w:val="center"/>
        </w:trPr>
        <w:tc>
          <w:tcPr>
            <w:tcW w:w="1925" w:type="pct"/>
            <w:shd w:val="clear" w:color="auto" w:fill="FFFFFF"/>
            <w:noWrap/>
            <w:vAlign w:val="center"/>
          </w:tcPr>
          <w:p w14:paraId="3825FFED" w14:textId="77777777" w:rsidR="00A074D0" w:rsidRPr="00E67914" w:rsidRDefault="00A074D0" w:rsidP="00A074D0">
            <w:pPr>
              <w:adjustRightInd w:val="0"/>
              <w:snapToGrid w:val="0"/>
              <w:spacing w:line="260" w:lineRule="exact"/>
              <w:jc w:val="center"/>
              <w:rPr>
                <w:rFonts w:ascii="Times New Roman" w:hAnsi="Times New Roman"/>
                <w:szCs w:val="21"/>
              </w:rPr>
            </w:pPr>
            <w:r w:rsidRPr="00E67914">
              <w:rPr>
                <w:rFonts w:ascii="Times New Roman" w:hAnsi="Times New Roman"/>
                <w:szCs w:val="21"/>
                <w:lang w:eastAsia="zh-CN"/>
              </w:rPr>
              <w:t>高覆盖度</w:t>
            </w:r>
            <w:r w:rsidRPr="00E67914">
              <w:rPr>
                <w:rFonts w:ascii="Times New Roman" w:hAnsi="Times New Roman"/>
                <w:szCs w:val="21"/>
                <w:lang w:eastAsia="zh-CN"/>
              </w:rPr>
              <w:t>&gt;70%</w:t>
            </w:r>
          </w:p>
        </w:tc>
        <w:tc>
          <w:tcPr>
            <w:tcW w:w="2000" w:type="pct"/>
            <w:shd w:val="clear" w:color="auto" w:fill="FFFFFF"/>
            <w:noWrap/>
            <w:vAlign w:val="center"/>
          </w:tcPr>
          <w:p w14:paraId="24D7EA16" w14:textId="038F2A07"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39.17 </w:t>
            </w:r>
          </w:p>
        </w:tc>
        <w:tc>
          <w:tcPr>
            <w:tcW w:w="1075" w:type="pct"/>
            <w:shd w:val="clear" w:color="auto" w:fill="FFFFFF"/>
            <w:noWrap/>
            <w:vAlign w:val="center"/>
          </w:tcPr>
          <w:p w14:paraId="0A3C104F" w14:textId="264C10C8"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49.93 </w:t>
            </w:r>
          </w:p>
        </w:tc>
      </w:tr>
      <w:tr w:rsidR="00E67914" w:rsidRPr="00E67914" w14:paraId="6C728967" w14:textId="77777777">
        <w:trPr>
          <w:trHeight w:hRule="exact" w:val="397"/>
          <w:jc w:val="center"/>
        </w:trPr>
        <w:tc>
          <w:tcPr>
            <w:tcW w:w="1925" w:type="pct"/>
            <w:shd w:val="clear" w:color="auto" w:fill="FFFFFF"/>
            <w:noWrap/>
            <w:vAlign w:val="center"/>
          </w:tcPr>
          <w:p w14:paraId="02454B8D" w14:textId="77777777" w:rsidR="00A074D0" w:rsidRPr="00E67914" w:rsidRDefault="00A074D0" w:rsidP="00A074D0">
            <w:pPr>
              <w:adjustRightInd w:val="0"/>
              <w:snapToGrid w:val="0"/>
              <w:spacing w:line="260" w:lineRule="exact"/>
              <w:jc w:val="center"/>
              <w:rPr>
                <w:rFonts w:ascii="Times New Roman" w:hAnsi="Times New Roman"/>
                <w:szCs w:val="21"/>
              </w:rPr>
            </w:pPr>
            <w:r w:rsidRPr="00E67914">
              <w:rPr>
                <w:rFonts w:ascii="Times New Roman" w:hAnsi="Times New Roman"/>
                <w:szCs w:val="21"/>
                <w:lang w:eastAsia="zh-CN"/>
              </w:rPr>
              <w:t>合计</w:t>
            </w:r>
          </w:p>
        </w:tc>
        <w:tc>
          <w:tcPr>
            <w:tcW w:w="2000" w:type="pct"/>
            <w:shd w:val="clear" w:color="auto" w:fill="FFFFFF"/>
            <w:noWrap/>
            <w:vAlign w:val="center"/>
          </w:tcPr>
          <w:p w14:paraId="37701306" w14:textId="4F2C9203"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78.46 </w:t>
            </w:r>
          </w:p>
        </w:tc>
        <w:tc>
          <w:tcPr>
            <w:tcW w:w="1075" w:type="pct"/>
            <w:shd w:val="clear" w:color="auto" w:fill="FFFFFF"/>
            <w:noWrap/>
            <w:vAlign w:val="center"/>
          </w:tcPr>
          <w:p w14:paraId="6196ACDD" w14:textId="7BEA5042" w:rsidR="00A074D0" w:rsidRPr="00E67914" w:rsidRDefault="00A074D0" w:rsidP="00A074D0">
            <w:pPr>
              <w:adjustRightInd w:val="0"/>
              <w:snapToGrid w:val="0"/>
              <w:spacing w:line="260" w:lineRule="exact"/>
              <w:jc w:val="center"/>
              <w:rPr>
                <w:rFonts w:ascii="Times New Roman" w:hAnsi="Times New Roman"/>
                <w:szCs w:val="21"/>
                <w:lang w:eastAsia="zh-CN"/>
              </w:rPr>
            </w:pPr>
            <w:r w:rsidRPr="00E67914">
              <w:rPr>
                <w:rFonts w:ascii="Times New Roman" w:hAnsi="Times New Roman"/>
                <w:szCs w:val="21"/>
                <w:lang w:eastAsia="zh-CN"/>
              </w:rPr>
              <w:t xml:space="preserve">100.00 </w:t>
            </w:r>
          </w:p>
        </w:tc>
      </w:tr>
    </w:tbl>
    <w:p w14:paraId="010E1C93" w14:textId="77777777" w:rsidR="00A54A8A" w:rsidRPr="00E67914" w:rsidRDefault="00000000">
      <w:pPr>
        <w:widowControl w:val="0"/>
        <w:adjustRightInd w:val="0"/>
        <w:snapToGrid w:val="0"/>
        <w:spacing w:beforeLines="50" w:before="120"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项目区属中亚热带湿润季风气候区，植被区划处于亚热带常绿阔叶林区域，水热条件较好，植被总体覆盖度较高。从解译结果看，评价区范围内，高覆盖度植被主要分布在针叶林及阔叶林区，群落多为乔灌草三层，综合覆盖度较高；</w:t>
      </w:r>
      <w:r w:rsidRPr="00E67914">
        <w:rPr>
          <w:rFonts w:ascii="Times New Roman" w:hAnsi="Times New Roman"/>
          <w:sz w:val="24"/>
          <w:lang w:eastAsia="zh-CN"/>
        </w:rPr>
        <w:lastRenderedPageBreak/>
        <w:t>中高覆盖度植被主要为稀疏乔木林及灌丛植被分布区，群落结构多为灌草两层；中覆盖度多为草丛植被分布区。</w:t>
      </w:r>
    </w:p>
    <w:p w14:paraId="156AD31A"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25" w:name="_Toc280781527"/>
      <w:bookmarkEnd w:id="124"/>
      <w:r w:rsidRPr="00E67914">
        <w:rPr>
          <w:rFonts w:ascii="Times New Roman" w:eastAsia="黑体" w:hAnsi="Times New Roman"/>
          <w:b w:val="0"/>
          <w:sz w:val="24"/>
          <w:szCs w:val="24"/>
          <w:lang w:eastAsia="zh-CN"/>
        </w:rPr>
        <w:t>4.3.3</w:t>
      </w:r>
      <w:r w:rsidRPr="00E67914">
        <w:rPr>
          <w:rFonts w:ascii="Times New Roman" w:eastAsia="黑体" w:hAnsi="Times New Roman"/>
          <w:b w:val="0"/>
          <w:sz w:val="24"/>
          <w:szCs w:val="24"/>
          <w:lang w:eastAsia="zh-CN"/>
        </w:rPr>
        <w:t>项目区域植被概况</w:t>
      </w:r>
    </w:p>
    <w:p w14:paraId="3E31398E" w14:textId="77777777" w:rsidR="00A54A8A" w:rsidRPr="00E67914" w:rsidRDefault="00000000">
      <w:pPr>
        <w:pStyle w:val="41"/>
        <w:adjustRightInd w:val="0"/>
        <w:snapToGrid w:val="0"/>
        <w:spacing w:line="360" w:lineRule="auto"/>
        <w:ind w:firstLineChars="200" w:firstLine="482"/>
        <w:rPr>
          <w:b/>
          <w:bCs/>
          <w:sz w:val="24"/>
          <w:szCs w:val="24"/>
        </w:rPr>
      </w:pPr>
      <w:r w:rsidRPr="00E67914">
        <w:rPr>
          <w:b/>
          <w:bCs/>
          <w:sz w:val="24"/>
          <w:szCs w:val="24"/>
        </w:rPr>
        <w:t>（</w:t>
      </w:r>
      <w:r w:rsidRPr="00E67914">
        <w:rPr>
          <w:b/>
          <w:bCs/>
          <w:sz w:val="24"/>
          <w:szCs w:val="24"/>
        </w:rPr>
        <w:t>1</w:t>
      </w:r>
      <w:r w:rsidRPr="00E67914">
        <w:rPr>
          <w:b/>
          <w:bCs/>
          <w:sz w:val="24"/>
          <w:szCs w:val="24"/>
        </w:rPr>
        <w:t>）区系分布</w:t>
      </w:r>
    </w:p>
    <w:p w14:paraId="0179C8E8"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项目区域位于四川省达州市宣汉县。根据《四川植被》中关于四川省内植被区划的描述，项目所在区域属</w:t>
      </w:r>
      <w:r w:rsidRPr="00E67914">
        <w:rPr>
          <w:rFonts w:ascii="Times New Roman" w:hAnsi="Times New Roman"/>
          <w:sz w:val="24"/>
          <w:lang w:eastAsia="zh-CN"/>
        </w:rPr>
        <w:t>IA3(6)</w:t>
      </w:r>
      <w:r w:rsidRPr="00E67914">
        <w:rPr>
          <w:rFonts w:ascii="Times New Roman" w:hAnsi="Times New Roman"/>
          <w:sz w:val="24"/>
          <w:lang w:eastAsia="zh-CN"/>
        </w:rPr>
        <w:t>川北深丘植被小区。</w:t>
      </w:r>
    </w:p>
    <w:p w14:paraId="512BD82C" w14:textId="77777777" w:rsidR="00A074D0" w:rsidRPr="00E67914" w:rsidRDefault="00A074D0" w:rsidP="00A074D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该小区位于盆地中部北侧，是大巴山地区向盆地内部方山丘陵过渡的地带，境内主要属单斜丘陵，海拔高度一般为</w:t>
      </w:r>
      <w:r w:rsidRPr="00E67914">
        <w:rPr>
          <w:rFonts w:ascii="Times New Roman" w:hAnsi="Times New Roman"/>
          <w:sz w:val="24"/>
          <w:lang w:eastAsia="zh-CN"/>
        </w:rPr>
        <w:t>800m</w:t>
      </w:r>
      <w:r w:rsidRPr="00E67914">
        <w:rPr>
          <w:rFonts w:ascii="Times New Roman" w:hAnsi="Times New Roman"/>
          <w:sz w:val="24"/>
          <w:lang w:eastAsia="zh-CN"/>
        </w:rPr>
        <w:t>，相对高度</w:t>
      </w:r>
      <w:r w:rsidRPr="00E67914">
        <w:rPr>
          <w:rFonts w:ascii="Times New Roman" w:hAnsi="Times New Roman"/>
          <w:sz w:val="24"/>
          <w:lang w:eastAsia="zh-CN"/>
        </w:rPr>
        <w:t>100~200m</w:t>
      </w:r>
      <w:r w:rsidRPr="00E67914">
        <w:rPr>
          <w:rFonts w:ascii="Times New Roman" w:hAnsi="Times New Roman"/>
          <w:sz w:val="24"/>
          <w:lang w:eastAsia="zh-CN"/>
        </w:rPr>
        <w:t>，地层多属白垩纪紫色砂岩与页岩互层，在此母质上发育的为紫色土，海拔</w:t>
      </w:r>
      <w:r w:rsidRPr="00E67914">
        <w:rPr>
          <w:rFonts w:ascii="Times New Roman" w:hAnsi="Times New Roman"/>
          <w:sz w:val="24"/>
          <w:lang w:eastAsia="zh-CN"/>
        </w:rPr>
        <w:t>1000m</w:t>
      </w:r>
      <w:r w:rsidRPr="00E67914">
        <w:rPr>
          <w:rFonts w:ascii="Times New Roman" w:hAnsi="Times New Roman"/>
          <w:sz w:val="24"/>
          <w:lang w:eastAsia="zh-CN"/>
        </w:rPr>
        <w:t>以上地区以黄壤为主。年平均温</w:t>
      </w:r>
      <w:r w:rsidRPr="00E67914">
        <w:rPr>
          <w:rFonts w:ascii="Times New Roman" w:hAnsi="Times New Roman"/>
          <w:sz w:val="24"/>
          <w:lang w:eastAsia="zh-CN"/>
        </w:rPr>
        <w:t>16~17℃</w:t>
      </w: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月平均温</w:t>
      </w:r>
      <w:r w:rsidRPr="00E67914">
        <w:rPr>
          <w:rFonts w:ascii="Times New Roman" w:hAnsi="Times New Roman"/>
          <w:sz w:val="24"/>
          <w:lang w:eastAsia="zh-CN"/>
        </w:rPr>
        <w:t>5~6℃</w:t>
      </w:r>
      <w:r w:rsidRPr="00E67914">
        <w:rPr>
          <w:rFonts w:ascii="Times New Roman" w:hAnsi="Times New Roman"/>
          <w:sz w:val="24"/>
          <w:lang w:eastAsia="zh-CN"/>
        </w:rPr>
        <w:t>，比川中方山丘陵区气温低，而年温差较大。年降水量在</w:t>
      </w:r>
      <w:r w:rsidRPr="00E67914">
        <w:rPr>
          <w:rFonts w:ascii="Times New Roman" w:hAnsi="Times New Roman"/>
          <w:sz w:val="24"/>
          <w:lang w:eastAsia="zh-CN"/>
        </w:rPr>
        <w:t>1000</w:t>
      </w:r>
      <w:r w:rsidRPr="00E67914">
        <w:rPr>
          <w:rFonts w:ascii="Times New Roman" w:hAnsi="Times New Roman"/>
          <w:sz w:val="24"/>
          <w:lang w:eastAsia="zh-CN"/>
        </w:rPr>
        <w:t>毫米以上，比川中方山丘陵区多，但季节分配不均匀，雾日较少，无霜期约为</w:t>
      </w:r>
      <w:r w:rsidRPr="00E67914">
        <w:rPr>
          <w:rFonts w:ascii="Times New Roman" w:hAnsi="Times New Roman"/>
          <w:sz w:val="24"/>
          <w:lang w:eastAsia="zh-CN"/>
        </w:rPr>
        <w:t>290</w:t>
      </w:r>
      <w:r w:rsidRPr="00E67914">
        <w:rPr>
          <w:rFonts w:ascii="Times New Roman" w:hAnsi="Times New Roman"/>
          <w:sz w:val="24"/>
          <w:lang w:eastAsia="zh-CN"/>
        </w:rPr>
        <w:t>天，有春早秋千、日照时数较多的特点。</w:t>
      </w:r>
    </w:p>
    <w:p w14:paraId="1A10EE79" w14:textId="77777777" w:rsidR="00A074D0" w:rsidRPr="00E67914" w:rsidRDefault="00A074D0" w:rsidP="00A074D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自然植被主要为马尾松林、柏木林、栎类灌丛、亚热带草丛及其各种过渡类型。在个别海拔</w:t>
      </w:r>
      <w:r w:rsidRPr="00E67914">
        <w:rPr>
          <w:rFonts w:ascii="Times New Roman" w:hAnsi="Times New Roman"/>
          <w:sz w:val="24"/>
          <w:lang w:eastAsia="zh-CN"/>
        </w:rPr>
        <w:t>1200m</w:t>
      </w:r>
      <w:r w:rsidRPr="00E67914">
        <w:rPr>
          <w:rFonts w:ascii="Times New Roman" w:hAnsi="Times New Roman"/>
          <w:sz w:val="24"/>
          <w:lang w:eastAsia="zh-CN"/>
        </w:rPr>
        <w:t>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类灌丛多分布在山项，由麻栎、栓皮栎、烟管荚蓬、火棘、蔷薇、盐肤木、映山红、铁仔、毛黄栌组成，为马尾松林和落叶栎林砍伐后形成的灌丛类型。柏木林再度砍伐后形成以黄茅、白茅、香茅为主的亚热带草丛，并散生着黄荆、牡荆、马桑、铁仔、短柄枹栎等植物。另外，本小区各地还有黑壳楠、红果钓樟、云南樟、宜昌润楠、山合欢、灯台树等植物。</w:t>
      </w:r>
    </w:p>
    <w:p w14:paraId="08BF478B" w14:textId="16994D4F" w:rsidR="00A54A8A" w:rsidRPr="00E67914" w:rsidRDefault="00A074D0" w:rsidP="00A074D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w:t>
      </w:r>
      <w:r w:rsidRPr="00E67914">
        <w:rPr>
          <w:rFonts w:ascii="Times New Roman" w:hAnsi="Times New Roman"/>
          <w:sz w:val="24"/>
          <w:lang w:eastAsia="zh-CN"/>
        </w:rPr>
        <w:t>“</w:t>
      </w:r>
      <w:r w:rsidRPr="00E67914">
        <w:rPr>
          <w:rFonts w:ascii="Times New Roman" w:hAnsi="Times New Roman"/>
          <w:sz w:val="24"/>
          <w:lang w:eastAsia="zh-CN"/>
        </w:rPr>
        <w:t>以粮为纲，全面发展</w:t>
      </w:r>
      <w:r w:rsidRPr="00E67914">
        <w:rPr>
          <w:rFonts w:ascii="Times New Roman" w:hAnsi="Times New Roman"/>
          <w:sz w:val="24"/>
          <w:lang w:eastAsia="zh-CN"/>
        </w:rPr>
        <w:t>”</w:t>
      </w:r>
      <w:r w:rsidRPr="00E67914">
        <w:rPr>
          <w:rFonts w:ascii="Times New Roman" w:hAnsi="Times New Roman"/>
          <w:sz w:val="24"/>
          <w:lang w:eastAsia="zh-CN"/>
        </w:rPr>
        <w:t>方针指导下，要因地制宜地发展棉花、花生等经济作物。经济林水中梨、核桃产量大、质量好、栽培历史长，如苍溪雪梨</w:t>
      </w:r>
      <w:r w:rsidRPr="00E67914">
        <w:rPr>
          <w:rFonts w:ascii="Times New Roman" w:hAnsi="Times New Roman"/>
          <w:sz w:val="24"/>
          <w:lang w:eastAsia="zh-CN"/>
        </w:rPr>
        <w:lastRenderedPageBreak/>
        <w:t>和薄壳核桃都很著名，宜于大量发展。另外桑、油桐也是本小区重要经济林木，发展潜力很大。丘陵荒山要开展植树造林，种植黄荆、马桑、紫穗槐、马尾松、柏木等，增加植被覆盖率。</w:t>
      </w:r>
    </w:p>
    <w:p w14:paraId="2D2852E6" w14:textId="77777777" w:rsidR="00A54A8A" w:rsidRPr="00E67914" w:rsidRDefault="00000000">
      <w:pPr>
        <w:pStyle w:val="41"/>
        <w:adjustRightInd w:val="0"/>
        <w:snapToGrid w:val="0"/>
        <w:spacing w:line="360" w:lineRule="auto"/>
        <w:ind w:firstLineChars="200" w:firstLine="482"/>
        <w:rPr>
          <w:b/>
          <w:bCs/>
          <w:sz w:val="24"/>
          <w:szCs w:val="24"/>
        </w:rPr>
      </w:pPr>
      <w:r w:rsidRPr="00E67914">
        <w:rPr>
          <w:b/>
          <w:bCs/>
          <w:sz w:val="24"/>
          <w:szCs w:val="24"/>
        </w:rPr>
        <w:t>（</w:t>
      </w:r>
      <w:r w:rsidRPr="00E67914">
        <w:rPr>
          <w:b/>
          <w:bCs/>
          <w:sz w:val="24"/>
          <w:szCs w:val="24"/>
        </w:rPr>
        <w:t>2</w:t>
      </w:r>
      <w:r w:rsidRPr="00E67914">
        <w:rPr>
          <w:b/>
          <w:bCs/>
          <w:sz w:val="24"/>
          <w:szCs w:val="24"/>
        </w:rPr>
        <w:t>）维管束植物组成情况</w:t>
      </w:r>
    </w:p>
    <w:p w14:paraId="7F010C41"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评价范围共有维管束植物有</w:t>
      </w:r>
      <w:r w:rsidRPr="00E67914">
        <w:rPr>
          <w:rFonts w:ascii="Times New Roman" w:hAnsi="Times New Roman"/>
          <w:sz w:val="24"/>
          <w:lang w:eastAsia="zh-CN"/>
        </w:rPr>
        <w:t>35</w:t>
      </w:r>
      <w:r w:rsidRPr="00E67914">
        <w:rPr>
          <w:rFonts w:ascii="Times New Roman" w:hAnsi="Times New Roman"/>
          <w:sz w:val="24"/>
          <w:lang w:eastAsia="zh-CN"/>
        </w:rPr>
        <w:t>目，</w:t>
      </w:r>
      <w:r w:rsidRPr="00E67914">
        <w:rPr>
          <w:rFonts w:ascii="Times New Roman" w:hAnsi="Times New Roman"/>
          <w:sz w:val="24"/>
          <w:lang w:eastAsia="zh-CN"/>
        </w:rPr>
        <w:t>78</w:t>
      </w:r>
      <w:r w:rsidRPr="00E67914">
        <w:rPr>
          <w:rFonts w:ascii="Times New Roman" w:hAnsi="Times New Roman"/>
          <w:sz w:val="24"/>
          <w:lang w:eastAsia="zh-CN"/>
        </w:rPr>
        <w:t>科，</w:t>
      </w:r>
      <w:r w:rsidRPr="00E67914">
        <w:rPr>
          <w:rFonts w:ascii="Times New Roman" w:hAnsi="Times New Roman"/>
          <w:sz w:val="24"/>
          <w:lang w:eastAsia="zh-CN"/>
        </w:rPr>
        <w:t>170</w:t>
      </w:r>
      <w:r w:rsidRPr="00E67914">
        <w:rPr>
          <w:rFonts w:ascii="Times New Roman" w:hAnsi="Times New Roman"/>
          <w:sz w:val="24"/>
          <w:lang w:eastAsia="zh-CN"/>
        </w:rPr>
        <w:t>属，</w:t>
      </w:r>
      <w:r w:rsidRPr="00E67914">
        <w:rPr>
          <w:rFonts w:ascii="Times New Roman" w:hAnsi="Times New Roman"/>
          <w:sz w:val="24"/>
          <w:lang w:eastAsia="zh-CN"/>
        </w:rPr>
        <w:t>231</w:t>
      </w:r>
      <w:r w:rsidRPr="00E67914">
        <w:rPr>
          <w:rFonts w:ascii="Times New Roman" w:hAnsi="Times New Roman"/>
          <w:sz w:val="24"/>
          <w:lang w:eastAsia="zh-CN"/>
        </w:rPr>
        <w:t>种。评价范围维管植物科属种情况如下表。</w:t>
      </w:r>
    </w:p>
    <w:p w14:paraId="66401D7C" w14:textId="660AF3D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w:t>
      </w:r>
      <w:r w:rsidR="008752B7" w:rsidRPr="00E67914">
        <w:rPr>
          <w:rFonts w:ascii="Times New Roman" w:eastAsia="黑体" w:hAnsi="Times New Roman"/>
          <w:sz w:val="21"/>
          <w:szCs w:val="21"/>
          <w:lang w:eastAsia="zh-CN"/>
        </w:rPr>
        <w:t>6</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评价区维管植物科属种统计表</w:t>
      </w:r>
    </w:p>
    <w:tbl>
      <w:tblPr>
        <w:tblStyle w:val="TableNormal"/>
        <w:tblW w:w="776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188"/>
        <w:gridCol w:w="741"/>
        <w:gridCol w:w="1335"/>
        <w:gridCol w:w="738"/>
        <w:gridCol w:w="1268"/>
        <w:gridCol w:w="705"/>
        <w:gridCol w:w="1095"/>
      </w:tblGrid>
      <w:tr w:rsidR="002662E3" w:rsidRPr="00E67914" w14:paraId="06C6D21C" w14:textId="77777777">
        <w:trPr>
          <w:jc w:val="center"/>
        </w:trPr>
        <w:tc>
          <w:tcPr>
            <w:tcW w:w="1880" w:type="dxa"/>
            <w:gridSpan w:val="2"/>
            <w:tcBorders>
              <w:tl2br w:val="nil"/>
              <w:tr2bl w:val="nil"/>
            </w:tcBorders>
            <w:vAlign w:val="center"/>
          </w:tcPr>
          <w:p w14:paraId="44B81243" w14:textId="77777777" w:rsidR="00A54A8A" w:rsidRPr="00E67914" w:rsidRDefault="00000000">
            <w:pPr>
              <w:spacing w:before="65"/>
              <w:jc w:val="center"/>
              <w:rPr>
                <w:rFonts w:ascii="Times New Roman" w:hAnsi="Times New Roman"/>
                <w:szCs w:val="21"/>
              </w:rPr>
            </w:pPr>
            <w:r w:rsidRPr="00E67914">
              <w:rPr>
                <w:rFonts w:ascii="Times New Roman" w:hAnsi="Times New Roman"/>
                <w:spacing w:val="-6"/>
                <w:sz w:val="21"/>
                <w:szCs w:val="21"/>
              </w:rPr>
              <w:t>门类</w:t>
            </w:r>
          </w:p>
        </w:tc>
        <w:tc>
          <w:tcPr>
            <w:tcW w:w="741" w:type="dxa"/>
            <w:tcBorders>
              <w:tl2br w:val="nil"/>
              <w:tr2bl w:val="nil"/>
            </w:tcBorders>
            <w:vAlign w:val="center"/>
          </w:tcPr>
          <w:p w14:paraId="64A1639D" w14:textId="77777777" w:rsidR="00A54A8A" w:rsidRPr="00E67914" w:rsidRDefault="00000000">
            <w:pPr>
              <w:spacing w:before="65"/>
              <w:jc w:val="center"/>
              <w:rPr>
                <w:rFonts w:ascii="Times New Roman" w:hAnsi="Times New Roman"/>
                <w:szCs w:val="21"/>
              </w:rPr>
            </w:pPr>
            <w:r w:rsidRPr="00E67914">
              <w:rPr>
                <w:rFonts w:ascii="Times New Roman" w:hAnsi="Times New Roman"/>
                <w:spacing w:val="6"/>
                <w:sz w:val="21"/>
                <w:szCs w:val="21"/>
              </w:rPr>
              <w:t>科数</w:t>
            </w:r>
          </w:p>
        </w:tc>
        <w:tc>
          <w:tcPr>
            <w:tcW w:w="1335" w:type="dxa"/>
            <w:tcBorders>
              <w:tl2br w:val="nil"/>
              <w:tr2bl w:val="nil"/>
            </w:tcBorders>
            <w:vAlign w:val="center"/>
          </w:tcPr>
          <w:p w14:paraId="1E775E9F" w14:textId="77777777" w:rsidR="00A54A8A" w:rsidRPr="00E67914" w:rsidRDefault="00000000">
            <w:pPr>
              <w:spacing w:before="111"/>
              <w:jc w:val="center"/>
              <w:rPr>
                <w:rFonts w:ascii="Times New Roman" w:hAnsi="Times New Roman"/>
                <w:szCs w:val="21"/>
              </w:rPr>
            </w:pPr>
            <w:r w:rsidRPr="00E67914">
              <w:rPr>
                <w:rFonts w:ascii="Times New Roman" w:hAnsi="Times New Roman"/>
                <w:spacing w:val="9"/>
                <w:sz w:val="21"/>
                <w:szCs w:val="21"/>
              </w:rPr>
              <w:t>所占</w:t>
            </w:r>
            <w:r w:rsidRPr="00E67914">
              <w:rPr>
                <w:rFonts w:ascii="Times New Roman" w:hAnsi="Times New Roman"/>
                <w:spacing w:val="8"/>
                <w:sz w:val="21"/>
                <w:szCs w:val="21"/>
              </w:rPr>
              <w:t>比例</w:t>
            </w:r>
          </w:p>
          <w:p w14:paraId="6475B268" w14:textId="77777777" w:rsidR="00A54A8A" w:rsidRPr="00E67914" w:rsidRDefault="00000000">
            <w:pPr>
              <w:spacing w:before="119"/>
              <w:jc w:val="center"/>
              <w:rPr>
                <w:rFonts w:ascii="Times New Roman" w:hAnsi="Times New Roman"/>
                <w:szCs w:val="21"/>
              </w:rPr>
            </w:pPr>
            <w:r w:rsidRPr="00E67914">
              <w:rPr>
                <w:rFonts w:ascii="Times New Roman" w:hAnsi="Times New Roman"/>
                <w:position w:val="1"/>
                <w:sz w:val="21"/>
                <w:szCs w:val="21"/>
              </w:rPr>
              <w:t>（</w:t>
            </w:r>
            <w:r w:rsidRPr="00E67914">
              <w:rPr>
                <w:rFonts w:ascii="Times New Roman" w:hAnsi="Times New Roman"/>
                <w:b/>
                <w:bCs/>
                <w:position w:val="1"/>
                <w:sz w:val="21"/>
                <w:szCs w:val="21"/>
              </w:rPr>
              <w:t>%</w:t>
            </w:r>
            <w:r w:rsidRPr="00E67914">
              <w:rPr>
                <w:rFonts w:ascii="Times New Roman" w:hAnsi="Times New Roman"/>
                <w:spacing w:val="1"/>
                <w:position w:val="1"/>
                <w:sz w:val="21"/>
                <w:szCs w:val="21"/>
              </w:rPr>
              <w:t>）</w:t>
            </w:r>
          </w:p>
        </w:tc>
        <w:tc>
          <w:tcPr>
            <w:tcW w:w="738" w:type="dxa"/>
            <w:tcBorders>
              <w:tl2br w:val="nil"/>
              <w:tr2bl w:val="nil"/>
            </w:tcBorders>
            <w:vAlign w:val="center"/>
          </w:tcPr>
          <w:p w14:paraId="124A25E9" w14:textId="77777777" w:rsidR="00A54A8A" w:rsidRPr="00E67914" w:rsidRDefault="00000000">
            <w:pPr>
              <w:spacing w:before="65"/>
              <w:jc w:val="center"/>
              <w:rPr>
                <w:rFonts w:ascii="Times New Roman" w:hAnsi="Times New Roman"/>
                <w:szCs w:val="21"/>
              </w:rPr>
            </w:pPr>
            <w:r w:rsidRPr="00E67914">
              <w:rPr>
                <w:rFonts w:ascii="Times New Roman" w:hAnsi="Times New Roman"/>
                <w:spacing w:val="5"/>
                <w:sz w:val="21"/>
                <w:szCs w:val="21"/>
              </w:rPr>
              <w:t>属数</w:t>
            </w:r>
          </w:p>
        </w:tc>
        <w:tc>
          <w:tcPr>
            <w:tcW w:w="1268" w:type="dxa"/>
            <w:tcBorders>
              <w:tl2br w:val="nil"/>
              <w:tr2bl w:val="nil"/>
            </w:tcBorders>
            <w:vAlign w:val="center"/>
          </w:tcPr>
          <w:p w14:paraId="419D2539" w14:textId="77777777" w:rsidR="00A54A8A" w:rsidRPr="00E67914" w:rsidRDefault="00000000">
            <w:pPr>
              <w:spacing w:before="111"/>
              <w:jc w:val="center"/>
              <w:rPr>
                <w:rFonts w:ascii="Times New Roman" w:hAnsi="Times New Roman"/>
                <w:szCs w:val="21"/>
              </w:rPr>
            </w:pPr>
            <w:r w:rsidRPr="00E67914">
              <w:rPr>
                <w:rFonts w:ascii="Times New Roman" w:hAnsi="Times New Roman"/>
                <w:spacing w:val="9"/>
                <w:sz w:val="21"/>
                <w:szCs w:val="21"/>
              </w:rPr>
              <w:t>所占</w:t>
            </w:r>
            <w:r w:rsidRPr="00E67914">
              <w:rPr>
                <w:rFonts w:ascii="Times New Roman" w:hAnsi="Times New Roman"/>
                <w:spacing w:val="8"/>
                <w:sz w:val="21"/>
                <w:szCs w:val="21"/>
              </w:rPr>
              <w:t>比例</w:t>
            </w:r>
          </w:p>
          <w:p w14:paraId="44A9E3C8" w14:textId="77777777" w:rsidR="00A54A8A" w:rsidRPr="00E67914" w:rsidRDefault="00000000">
            <w:pPr>
              <w:spacing w:before="119"/>
              <w:ind w:firstLine="332"/>
              <w:jc w:val="center"/>
              <w:rPr>
                <w:rFonts w:ascii="Times New Roman" w:hAnsi="Times New Roman"/>
                <w:szCs w:val="21"/>
              </w:rPr>
            </w:pPr>
            <w:r w:rsidRPr="00E67914">
              <w:rPr>
                <w:rFonts w:ascii="Times New Roman" w:hAnsi="Times New Roman"/>
                <w:position w:val="1"/>
                <w:sz w:val="21"/>
                <w:szCs w:val="21"/>
              </w:rPr>
              <w:t>（</w:t>
            </w:r>
            <w:r w:rsidRPr="00E67914">
              <w:rPr>
                <w:rFonts w:ascii="Times New Roman" w:hAnsi="Times New Roman"/>
                <w:b/>
                <w:bCs/>
                <w:position w:val="1"/>
                <w:sz w:val="21"/>
                <w:szCs w:val="21"/>
              </w:rPr>
              <w:t>%</w:t>
            </w:r>
            <w:r w:rsidRPr="00E67914">
              <w:rPr>
                <w:rFonts w:ascii="Times New Roman" w:hAnsi="Times New Roman"/>
                <w:spacing w:val="1"/>
                <w:position w:val="1"/>
                <w:sz w:val="21"/>
                <w:szCs w:val="21"/>
              </w:rPr>
              <w:t>）</w:t>
            </w:r>
          </w:p>
        </w:tc>
        <w:tc>
          <w:tcPr>
            <w:tcW w:w="705" w:type="dxa"/>
            <w:tcBorders>
              <w:tl2br w:val="nil"/>
              <w:tr2bl w:val="nil"/>
            </w:tcBorders>
            <w:vAlign w:val="center"/>
          </w:tcPr>
          <w:p w14:paraId="449454F6" w14:textId="77777777" w:rsidR="00A54A8A" w:rsidRPr="00E67914" w:rsidRDefault="00000000">
            <w:pPr>
              <w:spacing w:before="65"/>
              <w:jc w:val="center"/>
              <w:rPr>
                <w:rFonts w:ascii="Times New Roman" w:hAnsi="Times New Roman"/>
                <w:szCs w:val="21"/>
              </w:rPr>
            </w:pPr>
            <w:r w:rsidRPr="00E67914">
              <w:rPr>
                <w:rFonts w:ascii="Times New Roman" w:hAnsi="Times New Roman"/>
                <w:spacing w:val="6"/>
                <w:sz w:val="21"/>
                <w:szCs w:val="21"/>
              </w:rPr>
              <w:t>种数</w:t>
            </w:r>
          </w:p>
        </w:tc>
        <w:tc>
          <w:tcPr>
            <w:tcW w:w="1095" w:type="dxa"/>
            <w:tcBorders>
              <w:tl2br w:val="nil"/>
              <w:tr2bl w:val="nil"/>
            </w:tcBorders>
            <w:vAlign w:val="center"/>
          </w:tcPr>
          <w:p w14:paraId="098C2B06" w14:textId="77777777" w:rsidR="00A54A8A" w:rsidRPr="00E67914" w:rsidRDefault="00000000">
            <w:pPr>
              <w:spacing w:before="111"/>
              <w:jc w:val="center"/>
              <w:rPr>
                <w:rFonts w:ascii="Times New Roman" w:hAnsi="Times New Roman"/>
                <w:szCs w:val="21"/>
              </w:rPr>
            </w:pPr>
            <w:r w:rsidRPr="00E67914">
              <w:rPr>
                <w:rFonts w:ascii="Times New Roman" w:hAnsi="Times New Roman"/>
                <w:spacing w:val="9"/>
                <w:sz w:val="21"/>
                <w:szCs w:val="21"/>
              </w:rPr>
              <w:t>所占</w:t>
            </w:r>
            <w:r w:rsidRPr="00E67914">
              <w:rPr>
                <w:rFonts w:ascii="Times New Roman" w:hAnsi="Times New Roman"/>
                <w:spacing w:val="8"/>
                <w:sz w:val="21"/>
                <w:szCs w:val="21"/>
              </w:rPr>
              <w:t>比例</w:t>
            </w:r>
          </w:p>
          <w:p w14:paraId="615B4DDC" w14:textId="77777777" w:rsidR="00A54A8A" w:rsidRPr="00E67914" w:rsidRDefault="00000000">
            <w:pPr>
              <w:spacing w:before="119"/>
              <w:jc w:val="center"/>
              <w:rPr>
                <w:rFonts w:ascii="Times New Roman" w:hAnsi="Times New Roman"/>
                <w:szCs w:val="21"/>
              </w:rPr>
            </w:pPr>
            <w:r w:rsidRPr="00E67914">
              <w:rPr>
                <w:rFonts w:ascii="Times New Roman" w:hAnsi="Times New Roman"/>
                <w:position w:val="1"/>
                <w:sz w:val="21"/>
                <w:szCs w:val="21"/>
              </w:rPr>
              <w:t>（</w:t>
            </w:r>
            <w:r w:rsidRPr="00E67914">
              <w:rPr>
                <w:rFonts w:ascii="Times New Roman" w:hAnsi="Times New Roman"/>
                <w:b/>
                <w:bCs/>
                <w:position w:val="1"/>
                <w:sz w:val="21"/>
                <w:szCs w:val="21"/>
              </w:rPr>
              <w:t>%</w:t>
            </w:r>
            <w:r w:rsidRPr="00E67914">
              <w:rPr>
                <w:rFonts w:ascii="Times New Roman" w:hAnsi="Times New Roman"/>
                <w:spacing w:val="-1"/>
                <w:position w:val="1"/>
                <w:sz w:val="21"/>
                <w:szCs w:val="21"/>
              </w:rPr>
              <w:t>）</w:t>
            </w:r>
          </w:p>
        </w:tc>
      </w:tr>
      <w:tr w:rsidR="002662E3" w:rsidRPr="00E67914" w14:paraId="5A7FC93F" w14:textId="77777777">
        <w:trPr>
          <w:jc w:val="center"/>
        </w:trPr>
        <w:tc>
          <w:tcPr>
            <w:tcW w:w="1880" w:type="dxa"/>
            <w:gridSpan w:val="2"/>
            <w:tcBorders>
              <w:tl2br w:val="nil"/>
              <w:tr2bl w:val="nil"/>
            </w:tcBorders>
            <w:vAlign w:val="center"/>
          </w:tcPr>
          <w:p w14:paraId="14771FD7" w14:textId="77777777" w:rsidR="00A54A8A" w:rsidRPr="00E67914" w:rsidRDefault="00000000">
            <w:pPr>
              <w:spacing w:before="52"/>
              <w:ind w:firstLine="554"/>
              <w:rPr>
                <w:rFonts w:ascii="Times New Roman" w:hAnsi="Times New Roman"/>
                <w:szCs w:val="21"/>
              </w:rPr>
            </w:pPr>
            <w:r w:rsidRPr="00E67914">
              <w:rPr>
                <w:rFonts w:ascii="Times New Roman" w:hAnsi="Times New Roman"/>
                <w:spacing w:val="9"/>
                <w:sz w:val="21"/>
                <w:szCs w:val="21"/>
              </w:rPr>
              <w:t>蕨类</w:t>
            </w:r>
            <w:r w:rsidRPr="00E67914">
              <w:rPr>
                <w:rFonts w:ascii="Times New Roman" w:hAnsi="Times New Roman"/>
                <w:spacing w:val="8"/>
                <w:sz w:val="21"/>
                <w:szCs w:val="21"/>
              </w:rPr>
              <w:t>植物</w:t>
            </w:r>
          </w:p>
        </w:tc>
        <w:tc>
          <w:tcPr>
            <w:tcW w:w="741" w:type="dxa"/>
            <w:tcBorders>
              <w:tl2br w:val="nil"/>
              <w:tr2bl w:val="nil"/>
            </w:tcBorders>
            <w:vAlign w:val="center"/>
          </w:tcPr>
          <w:p w14:paraId="390D4044"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12</w:t>
            </w:r>
          </w:p>
        </w:tc>
        <w:tc>
          <w:tcPr>
            <w:tcW w:w="1335" w:type="dxa"/>
            <w:tcBorders>
              <w:tl2br w:val="nil"/>
              <w:tr2bl w:val="nil"/>
            </w:tcBorders>
            <w:vAlign w:val="center"/>
          </w:tcPr>
          <w:p w14:paraId="4C673D48"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15.38 </w:t>
            </w:r>
          </w:p>
        </w:tc>
        <w:tc>
          <w:tcPr>
            <w:tcW w:w="738" w:type="dxa"/>
            <w:tcBorders>
              <w:tl2br w:val="nil"/>
              <w:tr2bl w:val="nil"/>
            </w:tcBorders>
            <w:vAlign w:val="center"/>
          </w:tcPr>
          <w:p w14:paraId="2FA6BF0F"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14</w:t>
            </w:r>
          </w:p>
        </w:tc>
        <w:tc>
          <w:tcPr>
            <w:tcW w:w="1268" w:type="dxa"/>
            <w:tcBorders>
              <w:tl2br w:val="nil"/>
              <w:tr2bl w:val="nil"/>
            </w:tcBorders>
            <w:vAlign w:val="center"/>
          </w:tcPr>
          <w:p w14:paraId="2AFC7C5D"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8.24 </w:t>
            </w:r>
          </w:p>
        </w:tc>
        <w:tc>
          <w:tcPr>
            <w:tcW w:w="705" w:type="dxa"/>
            <w:tcBorders>
              <w:tl2br w:val="nil"/>
              <w:tr2bl w:val="nil"/>
            </w:tcBorders>
            <w:vAlign w:val="center"/>
          </w:tcPr>
          <w:p w14:paraId="333BD46D"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20</w:t>
            </w:r>
          </w:p>
        </w:tc>
        <w:tc>
          <w:tcPr>
            <w:tcW w:w="1095" w:type="dxa"/>
            <w:tcBorders>
              <w:tl2br w:val="nil"/>
              <w:tr2bl w:val="nil"/>
            </w:tcBorders>
            <w:vAlign w:val="center"/>
          </w:tcPr>
          <w:p w14:paraId="19512EDE"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8.66 </w:t>
            </w:r>
          </w:p>
        </w:tc>
      </w:tr>
      <w:tr w:rsidR="002662E3" w:rsidRPr="00E67914" w14:paraId="29F59F1C" w14:textId="77777777">
        <w:trPr>
          <w:jc w:val="center"/>
        </w:trPr>
        <w:tc>
          <w:tcPr>
            <w:tcW w:w="692" w:type="dxa"/>
            <w:vMerge w:val="restart"/>
            <w:tcBorders>
              <w:tl2br w:val="nil"/>
              <w:tr2bl w:val="nil"/>
            </w:tcBorders>
            <w:vAlign w:val="center"/>
          </w:tcPr>
          <w:p w14:paraId="7358647A" w14:textId="77777777" w:rsidR="00A54A8A" w:rsidRPr="00E67914" w:rsidRDefault="00000000">
            <w:pPr>
              <w:spacing w:before="89"/>
              <w:ind w:firstLine="170"/>
              <w:rPr>
                <w:rFonts w:ascii="Times New Roman" w:hAnsi="Times New Roman"/>
                <w:szCs w:val="21"/>
              </w:rPr>
            </w:pPr>
            <w:r w:rsidRPr="00E67914">
              <w:rPr>
                <w:rFonts w:ascii="Times New Roman" w:hAnsi="Times New Roman"/>
                <w:spacing w:val="6"/>
                <w:position w:val="15"/>
                <w:sz w:val="21"/>
                <w:szCs w:val="21"/>
              </w:rPr>
              <w:t>种子</w:t>
            </w:r>
          </w:p>
          <w:p w14:paraId="2113A06C" w14:textId="77777777" w:rsidR="00A54A8A" w:rsidRPr="00E67914" w:rsidRDefault="00000000">
            <w:pPr>
              <w:ind w:firstLine="170"/>
              <w:rPr>
                <w:rFonts w:ascii="Times New Roman" w:hAnsi="Times New Roman"/>
                <w:szCs w:val="21"/>
              </w:rPr>
            </w:pPr>
            <w:r w:rsidRPr="00E67914">
              <w:rPr>
                <w:rFonts w:ascii="Times New Roman" w:hAnsi="Times New Roman"/>
                <w:spacing w:val="6"/>
                <w:sz w:val="21"/>
                <w:szCs w:val="21"/>
              </w:rPr>
              <w:t>植</w:t>
            </w:r>
            <w:r w:rsidRPr="00E67914">
              <w:rPr>
                <w:rFonts w:ascii="Times New Roman" w:hAnsi="Times New Roman"/>
                <w:spacing w:val="5"/>
                <w:sz w:val="21"/>
                <w:szCs w:val="21"/>
              </w:rPr>
              <w:t>物</w:t>
            </w:r>
          </w:p>
        </w:tc>
        <w:tc>
          <w:tcPr>
            <w:tcW w:w="1188" w:type="dxa"/>
            <w:tcBorders>
              <w:tl2br w:val="nil"/>
              <w:tr2bl w:val="nil"/>
            </w:tcBorders>
            <w:vAlign w:val="center"/>
          </w:tcPr>
          <w:p w14:paraId="08FE0BB5" w14:textId="77777777" w:rsidR="00A54A8A" w:rsidRPr="00E67914" w:rsidRDefault="00000000">
            <w:pPr>
              <w:spacing w:before="51"/>
              <w:ind w:firstLine="176"/>
              <w:rPr>
                <w:rFonts w:ascii="Times New Roman" w:hAnsi="Times New Roman"/>
                <w:szCs w:val="21"/>
              </w:rPr>
            </w:pPr>
            <w:r w:rsidRPr="00E67914">
              <w:rPr>
                <w:rFonts w:ascii="Times New Roman" w:hAnsi="Times New Roman"/>
                <w:spacing w:val="9"/>
                <w:sz w:val="21"/>
                <w:szCs w:val="21"/>
              </w:rPr>
              <w:t>裸子</w:t>
            </w:r>
            <w:r w:rsidRPr="00E67914">
              <w:rPr>
                <w:rFonts w:ascii="Times New Roman" w:hAnsi="Times New Roman"/>
                <w:spacing w:val="8"/>
                <w:sz w:val="21"/>
                <w:szCs w:val="21"/>
              </w:rPr>
              <w:t>植物</w:t>
            </w:r>
          </w:p>
        </w:tc>
        <w:tc>
          <w:tcPr>
            <w:tcW w:w="741" w:type="dxa"/>
            <w:tcBorders>
              <w:tl2br w:val="nil"/>
              <w:tr2bl w:val="nil"/>
            </w:tcBorders>
            <w:vAlign w:val="center"/>
          </w:tcPr>
          <w:p w14:paraId="1513C246"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3</w:t>
            </w:r>
          </w:p>
        </w:tc>
        <w:tc>
          <w:tcPr>
            <w:tcW w:w="1335" w:type="dxa"/>
            <w:tcBorders>
              <w:tl2br w:val="nil"/>
              <w:tr2bl w:val="nil"/>
            </w:tcBorders>
            <w:vAlign w:val="center"/>
          </w:tcPr>
          <w:p w14:paraId="3210AEA7"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3.85 </w:t>
            </w:r>
          </w:p>
        </w:tc>
        <w:tc>
          <w:tcPr>
            <w:tcW w:w="738" w:type="dxa"/>
            <w:tcBorders>
              <w:tl2br w:val="nil"/>
              <w:tr2bl w:val="nil"/>
            </w:tcBorders>
            <w:vAlign w:val="center"/>
          </w:tcPr>
          <w:p w14:paraId="4509117D"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4</w:t>
            </w:r>
          </w:p>
        </w:tc>
        <w:tc>
          <w:tcPr>
            <w:tcW w:w="1268" w:type="dxa"/>
            <w:tcBorders>
              <w:tl2br w:val="nil"/>
              <w:tr2bl w:val="nil"/>
            </w:tcBorders>
            <w:vAlign w:val="center"/>
          </w:tcPr>
          <w:p w14:paraId="07F0B391"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2.35 </w:t>
            </w:r>
          </w:p>
        </w:tc>
        <w:tc>
          <w:tcPr>
            <w:tcW w:w="705" w:type="dxa"/>
            <w:tcBorders>
              <w:tl2br w:val="nil"/>
              <w:tr2bl w:val="nil"/>
            </w:tcBorders>
            <w:vAlign w:val="center"/>
          </w:tcPr>
          <w:p w14:paraId="38257C45"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4</w:t>
            </w:r>
          </w:p>
        </w:tc>
        <w:tc>
          <w:tcPr>
            <w:tcW w:w="1095" w:type="dxa"/>
            <w:tcBorders>
              <w:tl2br w:val="nil"/>
              <w:tr2bl w:val="nil"/>
            </w:tcBorders>
            <w:vAlign w:val="center"/>
          </w:tcPr>
          <w:p w14:paraId="111D3E8F"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1.73 </w:t>
            </w:r>
          </w:p>
        </w:tc>
      </w:tr>
      <w:tr w:rsidR="002662E3" w:rsidRPr="00E67914" w14:paraId="029B2422" w14:textId="77777777">
        <w:trPr>
          <w:jc w:val="center"/>
        </w:trPr>
        <w:tc>
          <w:tcPr>
            <w:tcW w:w="692" w:type="dxa"/>
            <w:vMerge/>
            <w:tcBorders>
              <w:tl2br w:val="nil"/>
              <w:tr2bl w:val="nil"/>
            </w:tcBorders>
            <w:vAlign w:val="center"/>
          </w:tcPr>
          <w:p w14:paraId="4EE5C0A0" w14:textId="77777777" w:rsidR="00A54A8A" w:rsidRPr="00E67914" w:rsidRDefault="00A54A8A">
            <w:pPr>
              <w:rPr>
                <w:rFonts w:ascii="Times New Roman" w:hAnsi="Times New Roman"/>
                <w:szCs w:val="21"/>
              </w:rPr>
            </w:pPr>
          </w:p>
        </w:tc>
        <w:tc>
          <w:tcPr>
            <w:tcW w:w="1188" w:type="dxa"/>
            <w:tcBorders>
              <w:tl2br w:val="nil"/>
              <w:tr2bl w:val="nil"/>
            </w:tcBorders>
            <w:vAlign w:val="center"/>
          </w:tcPr>
          <w:p w14:paraId="5F1B9097" w14:textId="77777777" w:rsidR="00A54A8A" w:rsidRPr="00E67914" w:rsidRDefault="00000000">
            <w:pPr>
              <w:spacing w:before="50"/>
              <w:ind w:firstLine="176"/>
              <w:rPr>
                <w:rFonts w:ascii="Times New Roman" w:hAnsi="Times New Roman"/>
                <w:szCs w:val="21"/>
              </w:rPr>
            </w:pPr>
            <w:r w:rsidRPr="00E67914">
              <w:rPr>
                <w:rFonts w:ascii="Times New Roman" w:hAnsi="Times New Roman"/>
                <w:spacing w:val="9"/>
                <w:sz w:val="21"/>
                <w:szCs w:val="21"/>
              </w:rPr>
              <w:t>被子</w:t>
            </w:r>
            <w:r w:rsidRPr="00E67914">
              <w:rPr>
                <w:rFonts w:ascii="Times New Roman" w:hAnsi="Times New Roman"/>
                <w:spacing w:val="8"/>
                <w:sz w:val="21"/>
                <w:szCs w:val="21"/>
              </w:rPr>
              <w:t>植物</w:t>
            </w:r>
          </w:p>
        </w:tc>
        <w:tc>
          <w:tcPr>
            <w:tcW w:w="741" w:type="dxa"/>
            <w:tcBorders>
              <w:tl2br w:val="nil"/>
              <w:tr2bl w:val="nil"/>
            </w:tcBorders>
            <w:vAlign w:val="center"/>
          </w:tcPr>
          <w:p w14:paraId="3F86E239"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63</w:t>
            </w:r>
          </w:p>
        </w:tc>
        <w:tc>
          <w:tcPr>
            <w:tcW w:w="1335" w:type="dxa"/>
            <w:tcBorders>
              <w:tl2br w:val="nil"/>
              <w:tr2bl w:val="nil"/>
            </w:tcBorders>
            <w:vAlign w:val="center"/>
          </w:tcPr>
          <w:p w14:paraId="34A177BB"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80.77 </w:t>
            </w:r>
          </w:p>
        </w:tc>
        <w:tc>
          <w:tcPr>
            <w:tcW w:w="738" w:type="dxa"/>
            <w:tcBorders>
              <w:tl2br w:val="nil"/>
              <w:tr2bl w:val="nil"/>
            </w:tcBorders>
            <w:vAlign w:val="center"/>
          </w:tcPr>
          <w:p w14:paraId="317AFE4D"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152</w:t>
            </w:r>
          </w:p>
        </w:tc>
        <w:tc>
          <w:tcPr>
            <w:tcW w:w="1268" w:type="dxa"/>
            <w:tcBorders>
              <w:tl2br w:val="nil"/>
              <w:tr2bl w:val="nil"/>
            </w:tcBorders>
            <w:vAlign w:val="center"/>
          </w:tcPr>
          <w:p w14:paraId="567AA0BF"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89.41 </w:t>
            </w:r>
          </w:p>
        </w:tc>
        <w:tc>
          <w:tcPr>
            <w:tcW w:w="705" w:type="dxa"/>
            <w:tcBorders>
              <w:tl2br w:val="nil"/>
              <w:tr2bl w:val="nil"/>
            </w:tcBorders>
            <w:vAlign w:val="center"/>
          </w:tcPr>
          <w:p w14:paraId="397591E2"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207</w:t>
            </w:r>
          </w:p>
        </w:tc>
        <w:tc>
          <w:tcPr>
            <w:tcW w:w="1095" w:type="dxa"/>
            <w:tcBorders>
              <w:tl2br w:val="nil"/>
              <w:tr2bl w:val="nil"/>
            </w:tcBorders>
            <w:vAlign w:val="center"/>
          </w:tcPr>
          <w:p w14:paraId="6E6A646A" w14:textId="77777777" w:rsidR="00A54A8A" w:rsidRPr="00E67914" w:rsidRDefault="0000000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89.61 </w:t>
            </w:r>
          </w:p>
        </w:tc>
      </w:tr>
      <w:tr w:rsidR="00A074D0" w:rsidRPr="00E67914" w14:paraId="6E8E68FA" w14:textId="77777777" w:rsidTr="00020BEF">
        <w:trPr>
          <w:jc w:val="center"/>
        </w:trPr>
        <w:tc>
          <w:tcPr>
            <w:tcW w:w="1880" w:type="dxa"/>
            <w:gridSpan w:val="2"/>
            <w:tcBorders>
              <w:tl2br w:val="nil"/>
              <w:tr2bl w:val="nil"/>
            </w:tcBorders>
            <w:vAlign w:val="center"/>
          </w:tcPr>
          <w:p w14:paraId="04AD2AC4" w14:textId="77777777" w:rsidR="00A074D0" w:rsidRPr="00E67914" w:rsidRDefault="00A074D0">
            <w:pPr>
              <w:spacing w:before="77"/>
              <w:ind w:firstLine="21"/>
              <w:jc w:val="center"/>
              <w:rPr>
                <w:rFonts w:ascii="Times New Roman" w:hAnsi="Times New Roman"/>
                <w:szCs w:val="21"/>
              </w:rPr>
            </w:pPr>
            <w:r w:rsidRPr="00E67914">
              <w:rPr>
                <w:rFonts w:ascii="Times New Roman" w:hAnsi="Times New Roman"/>
                <w:spacing w:val="6"/>
                <w:sz w:val="21"/>
                <w:szCs w:val="21"/>
              </w:rPr>
              <w:t>合</w:t>
            </w:r>
            <w:r w:rsidRPr="00E67914">
              <w:rPr>
                <w:rFonts w:ascii="Times New Roman" w:hAnsi="Times New Roman"/>
                <w:spacing w:val="5"/>
                <w:sz w:val="21"/>
                <w:szCs w:val="21"/>
              </w:rPr>
              <w:t>计</w:t>
            </w:r>
          </w:p>
        </w:tc>
        <w:tc>
          <w:tcPr>
            <w:tcW w:w="741" w:type="dxa"/>
            <w:tcBorders>
              <w:tl2br w:val="nil"/>
              <w:tr2bl w:val="nil"/>
            </w:tcBorders>
            <w:vAlign w:val="center"/>
          </w:tcPr>
          <w:p w14:paraId="024E4BC4" w14:textId="77777777" w:rsidR="00A074D0" w:rsidRPr="00E67914" w:rsidRDefault="00A074D0">
            <w:pPr>
              <w:jc w:val="center"/>
              <w:textAlignment w:val="top"/>
              <w:rPr>
                <w:rFonts w:ascii="Times New Roman" w:hAnsi="Times New Roman"/>
                <w:spacing w:val="-8"/>
                <w:szCs w:val="21"/>
              </w:rPr>
            </w:pPr>
            <w:r w:rsidRPr="00E67914">
              <w:rPr>
                <w:rFonts w:ascii="Times New Roman" w:hAnsi="Times New Roman"/>
                <w:sz w:val="21"/>
                <w:szCs w:val="21"/>
                <w:lang w:eastAsia="zh-CN" w:bidi="ar"/>
              </w:rPr>
              <w:t>78</w:t>
            </w:r>
          </w:p>
        </w:tc>
        <w:tc>
          <w:tcPr>
            <w:tcW w:w="1335" w:type="dxa"/>
            <w:tcBorders>
              <w:tl2br w:val="nil"/>
              <w:tr2bl w:val="nil"/>
            </w:tcBorders>
            <w:vAlign w:val="center"/>
          </w:tcPr>
          <w:p w14:paraId="10BD5847" w14:textId="77777777" w:rsidR="00A074D0" w:rsidRPr="00E67914" w:rsidRDefault="00A074D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100.00 </w:t>
            </w:r>
          </w:p>
        </w:tc>
        <w:tc>
          <w:tcPr>
            <w:tcW w:w="738" w:type="dxa"/>
            <w:tcBorders>
              <w:tl2br w:val="nil"/>
              <w:tr2bl w:val="nil"/>
            </w:tcBorders>
            <w:vAlign w:val="center"/>
          </w:tcPr>
          <w:p w14:paraId="4AF04681" w14:textId="77777777" w:rsidR="00A074D0" w:rsidRPr="00E67914" w:rsidRDefault="00A074D0">
            <w:pPr>
              <w:jc w:val="center"/>
              <w:textAlignment w:val="top"/>
              <w:rPr>
                <w:rFonts w:ascii="Times New Roman" w:hAnsi="Times New Roman"/>
                <w:spacing w:val="-8"/>
                <w:szCs w:val="21"/>
              </w:rPr>
            </w:pPr>
            <w:r w:rsidRPr="00E67914">
              <w:rPr>
                <w:rFonts w:ascii="Times New Roman" w:hAnsi="Times New Roman"/>
                <w:sz w:val="21"/>
                <w:szCs w:val="21"/>
                <w:lang w:eastAsia="zh-CN" w:bidi="ar"/>
              </w:rPr>
              <w:t>170</w:t>
            </w:r>
          </w:p>
        </w:tc>
        <w:tc>
          <w:tcPr>
            <w:tcW w:w="1268" w:type="dxa"/>
            <w:tcBorders>
              <w:tl2br w:val="nil"/>
              <w:tr2bl w:val="nil"/>
            </w:tcBorders>
            <w:vAlign w:val="center"/>
          </w:tcPr>
          <w:p w14:paraId="7ECDA1DE" w14:textId="77777777" w:rsidR="00A074D0" w:rsidRPr="00E67914" w:rsidRDefault="00A074D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100.00 </w:t>
            </w:r>
          </w:p>
        </w:tc>
        <w:tc>
          <w:tcPr>
            <w:tcW w:w="705" w:type="dxa"/>
            <w:tcBorders>
              <w:tl2br w:val="nil"/>
              <w:tr2bl w:val="nil"/>
            </w:tcBorders>
            <w:vAlign w:val="center"/>
          </w:tcPr>
          <w:p w14:paraId="31C7CE24" w14:textId="77777777" w:rsidR="00A074D0" w:rsidRPr="00E67914" w:rsidRDefault="00A074D0">
            <w:pPr>
              <w:jc w:val="center"/>
              <w:textAlignment w:val="top"/>
              <w:rPr>
                <w:rFonts w:ascii="Times New Roman" w:hAnsi="Times New Roman"/>
                <w:spacing w:val="-8"/>
                <w:szCs w:val="21"/>
              </w:rPr>
            </w:pPr>
            <w:r w:rsidRPr="00E67914">
              <w:rPr>
                <w:rFonts w:ascii="Times New Roman" w:hAnsi="Times New Roman"/>
                <w:sz w:val="21"/>
                <w:szCs w:val="21"/>
                <w:lang w:eastAsia="zh-CN" w:bidi="ar"/>
              </w:rPr>
              <w:t>231</w:t>
            </w:r>
          </w:p>
        </w:tc>
        <w:tc>
          <w:tcPr>
            <w:tcW w:w="1095" w:type="dxa"/>
            <w:tcBorders>
              <w:tl2br w:val="nil"/>
              <w:tr2bl w:val="nil"/>
            </w:tcBorders>
            <w:vAlign w:val="center"/>
          </w:tcPr>
          <w:p w14:paraId="593C04BB" w14:textId="77777777" w:rsidR="00A074D0" w:rsidRPr="00E67914" w:rsidRDefault="00A074D0">
            <w:pPr>
              <w:jc w:val="center"/>
              <w:textAlignment w:val="top"/>
              <w:rPr>
                <w:rFonts w:ascii="Times New Roman" w:hAnsi="Times New Roman"/>
                <w:spacing w:val="-8"/>
                <w:szCs w:val="21"/>
              </w:rPr>
            </w:pPr>
            <w:r w:rsidRPr="00E67914">
              <w:rPr>
                <w:rFonts w:ascii="Times New Roman" w:hAnsi="Times New Roman"/>
                <w:sz w:val="21"/>
                <w:szCs w:val="21"/>
                <w:lang w:eastAsia="zh-CN" w:bidi="ar"/>
              </w:rPr>
              <w:t xml:space="preserve">100.00 </w:t>
            </w:r>
          </w:p>
        </w:tc>
      </w:tr>
    </w:tbl>
    <w:p w14:paraId="685E2000" w14:textId="77777777" w:rsidR="00A54A8A" w:rsidRPr="00E67914" w:rsidRDefault="00000000">
      <w:pPr>
        <w:widowControl w:val="0"/>
        <w:adjustRightInd w:val="0"/>
        <w:snapToGrid w:val="0"/>
        <w:spacing w:beforeLines="50" w:before="120" w:line="360" w:lineRule="auto"/>
        <w:ind w:firstLineChars="200" w:firstLine="510"/>
        <w:jc w:val="both"/>
        <w:rPr>
          <w:rFonts w:ascii="Times New Roman" w:hAnsi="Times New Roman"/>
          <w:spacing w:val="-5"/>
          <w:sz w:val="27"/>
          <w:szCs w:val="27"/>
          <w:lang w:eastAsia="zh-CN"/>
        </w:rPr>
      </w:pPr>
      <w:r w:rsidRPr="00E67914">
        <w:rPr>
          <w:rFonts w:ascii="Times New Roman" w:hAnsi="Times New Roman"/>
          <w:spacing w:val="15"/>
          <w:sz w:val="24"/>
          <w:szCs w:val="24"/>
          <w:lang w:eastAsia="zh-CN"/>
        </w:rPr>
        <w:t>评价范围维管植物组成以被子植物为优势，分别占评价区维管植物科属种总数的</w:t>
      </w:r>
      <w:r w:rsidRPr="00E67914">
        <w:rPr>
          <w:rFonts w:ascii="Times New Roman" w:hAnsi="Times New Roman"/>
          <w:spacing w:val="15"/>
          <w:sz w:val="24"/>
          <w:szCs w:val="24"/>
          <w:lang w:eastAsia="zh-CN"/>
        </w:rPr>
        <w:t>80.77%</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89.41%</w:t>
      </w:r>
      <w:r w:rsidRPr="00E67914">
        <w:rPr>
          <w:rFonts w:ascii="Times New Roman" w:hAnsi="Times New Roman"/>
          <w:spacing w:val="15"/>
          <w:sz w:val="24"/>
          <w:szCs w:val="24"/>
          <w:lang w:eastAsia="zh-CN"/>
        </w:rPr>
        <w:t>和</w:t>
      </w:r>
      <w:r w:rsidRPr="00E67914">
        <w:rPr>
          <w:rFonts w:ascii="Times New Roman" w:hAnsi="Times New Roman"/>
          <w:spacing w:val="15"/>
          <w:sz w:val="24"/>
          <w:szCs w:val="24"/>
          <w:lang w:eastAsia="zh-CN"/>
        </w:rPr>
        <w:t>89.61%</w:t>
      </w:r>
      <w:r w:rsidRPr="00E67914">
        <w:rPr>
          <w:rFonts w:ascii="Times New Roman" w:hAnsi="Times New Roman"/>
          <w:spacing w:val="15"/>
          <w:sz w:val="24"/>
          <w:szCs w:val="24"/>
          <w:lang w:eastAsia="zh-CN"/>
        </w:rPr>
        <w:t>。常见的优势物种有马尾松</w:t>
      </w:r>
      <w:r w:rsidRPr="00E67914">
        <w:rPr>
          <w:rFonts w:ascii="Times New Roman" w:hAnsi="Times New Roman"/>
          <w:i/>
          <w:iCs/>
          <w:spacing w:val="15"/>
          <w:sz w:val="24"/>
          <w:szCs w:val="24"/>
          <w:lang w:eastAsia="zh-CN"/>
        </w:rPr>
        <w:t>P.massoniana</w:t>
      </w:r>
      <w:r w:rsidRPr="00E67914">
        <w:rPr>
          <w:rFonts w:ascii="Times New Roman" w:hAnsi="Times New Roman"/>
          <w:spacing w:val="15"/>
          <w:sz w:val="24"/>
          <w:szCs w:val="24"/>
          <w:lang w:eastAsia="zh-CN"/>
        </w:rPr>
        <w:t>、杉木</w:t>
      </w:r>
      <w:r w:rsidRPr="00E67914">
        <w:rPr>
          <w:rFonts w:ascii="Times New Roman" w:hAnsi="Times New Roman"/>
          <w:spacing w:val="15"/>
          <w:sz w:val="24"/>
          <w:szCs w:val="24"/>
          <w:lang w:eastAsia="zh-CN"/>
        </w:rPr>
        <w:t xml:space="preserve">Cunninghamia </w:t>
      </w:r>
      <w:r w:rsidRPr="00E67914">
        <w:rPr>
          <w:rFonts w:ascii="Times New Roman" w:hAnsi="Times New Roman"/>
          <w:i/>
          <w:iCs/>
          <w:spacing w:val="15"/>
          <w:sz w:val="24"/>
          <w:szCs w:val="24"/>
          <w:lang w:eastAsia="zh-CN"/>
        </w:rPr>
        <w:t>lanceolata</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(Lamb.)Hook.</w:t>
      </w:r>
      <w:r w:rsidRPr="00E67914">
        <w:rPr>
          <w:rFonts w:ascii="Times New Roman" w:hAnsi="Times New Roman"/>
          <w:spacing w:val="15"/>
          <w:sz w:val="24"/>
          <w:szCs w:val="24"/>
          <w:lang w:eastAsia="zh-CN"/>
        </w:rPr>
        <w:t>、柏木</w:t>
      </w:r>
      <w:r w:rsidRPr="00E67914">
        <w:rPr>
          <w:rFonts w:ascii="Times New Roman" w:hAnsi="Times New Roman"/>
          <w:i/>
          <w:iCs/>
          <w:spacing w:val="15"/>
          <w:sz w:val="24"/>
          <w:szCs w:val="24"/>
          <w:lang w:eastAsia="zh-CN"/>
        </w:rPr>
        <w:t>Cupressus</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funebris</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Endl.</w:t>
      </w:r>
      <w:r w:rsidRPr="00E67914">
        <w:rPr>
          <w:rFonts w:ascii="Times New Roman" w:hAnsi="Times New Roman"/>
          <w:i/>
          <w:iCs/>
          <w:spacing w:val="15"/>
          <w:sz w:val="24"/>
          <w:szCs w:val="24"/>
          <w:lang w:eastAsia="zh-CN"/>
        </w:rPr>
        <w:t>、</w:t>
      </w:r>
      <w:r w:rsidRPr="00E67914">
        <w:rPr>
          <w:rFonts w:ascii="Times New Roman" w:hAnsi="Times New Roman"/>
          <w:spacing w:val="15"/>
          <w:sz w:val="24"/>
          <w:szCs w:val="24"/>
          <w:lang w:eastAsia="zh-CN"/>
        </w:rPr>
        <w:t>蔷薇</w:t>
      </w:r>
      <w:r w:rsidRPr="00E67914">
        <w:rPr>
          <w:rFonts w:ascii="Times New Roman" w:hAnsi="Times New Roman"/>
          <w:i/>
          <w:iCs/>
          <w:spacing w:val="15"/>
          <w:sz w:val="24"/>
          <w:szCs w:val="24"/>
          <w:lang w:eastAsia="zh-CN"/>
        </w:rPr>
        <w:t>Rosa</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sp.</w:t>
      </w:r>
      <w:r w:rsidRPr="00E67914">
        <w:rPr>
          <w:rFonts w:ascii="Times New Roman" w:hAnsi="Times New Roman"/>
          <w:spacing w:val="15"/>
          <w:sz w:val="24"/>
          <w:szCs w:val="24"/>
          <w:lang w:eastAsia="zh-CN"/>
        </w:rPr>
        <w:t>、白茅</w:t>
      </w:r>
      <w:r w:rsidRPr="00E67914">
        <w:rPr>
          <w:rFonts w:ascii="Times New Roman" w:hAnsi="Times New Roman"/>
          <w:i/>
          <w:iCs/>
          <w:spacing w:val="15"/>
          <w:sz w:val="24"/>
          <w:szCs w:val="24"/>
          <w:lang w:eastAsia="zh-CN"/>
        </w:rPr>
        <w:t>mperata</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cylindric</w:t>
      </w:r>
      <w:r w:rsidRPr="00E67914">
        <w:rPr>
          <w:rFonts w:ascii="Times New Roman" w:hAnsi="Times New Roman"/>
          <w:spacing w:val="15"/>
          <w:sz w:val="24"/>
          <w:szCs w:val="24"/>
          <w:lang w:eastAsia="zh-CN"/>
        </w:rPr>
        <w:t>等</w:t>
      </w:r>
      <w:r w:rsidRPr="00E67914">
        <w:rPr>
          <w:rFonts w:ascii="Times New Roman" w:hAnsi="Times New Roman"/>
          <w:spacing w:val="-5"/>
          <w:sz w:val="27"/>
          <w:szCs w:val="27"/>
          <w:lang w:eastAsia="zh-CN"/>
        </w:rPr>
        <w:t>。</w:t>
      </w:r>
    </w:p>
    <w:p w14:paraId="7DFE9077" w14:textId="77777777" w:rsidR="00A54A8A" w:rsidRPr="00E67914" w:rsidRDefault="00000000">
      <w:pPr>
        <w:pStyle w:val="41"/>
        <w:adjustRightInd w:val="0"/>
        <w:snapToGrid w:val="0"/>
        <w:spacing w:line="360" w:lineRule="auto"/>
        <w:ind w:firstLineChars="200" w:firstLine="482"/>
        <w:rPr>
          <w:b/>
          <w:bCs/>
          <w:sz w:val="24"/>
          <w:szCs w:val="24"/>
        </w:rPr>
      </w:pPr>
      <w:r w:rsidRPr="00E67914">
        <w:rPr>
          <w:b/>
          <w:bCs/>
          <w:sz w:val="24"/>
          <w:szCs w:val="24"/>
        </w:rPr>
        <w:t>（</w:t>
      </w:r>
      <w:r w:rsidRPr="00E67914">
        <w:rPr>
          <w:b/>
          <w:bCs/>
          <w:sz w:val="24"/>
          <w:szCs w:val="24"/>
        </w:rPr>
        <w:t>3</w:t>
      </w:r>
      <w:r w:rsidRPr="00E67914">
        <w:rPr>
          <w:b/>
          <w:bCs/>
          <w:sz w:val="24"/>
          <w:szCs w:val="24"/>
        </w:rPr>
        <w:t>）种子植物按属分类</w:t>
      </w:r>
    </w:p>
    <w:p w14:paraId="29F917B9" w14:textId="3B55CED6" w:rsidR="00A54A8A" w:rsidRPr="00E67914" w:rsidRDefault="00000000">
      <w:pPr>
        <w:adjustRightInd w:val="0"/>
        <w:snapToGrid w:val="0"/>
        <w:spacing w:line="360" w:lineRule="auto"/>
        <w:ind w:firstLineChars="200" w:firstLine="510"/>
        <w:rPr>
          <w:rFonts w:ascii="Times New Roman" w:hAnsi="Times New Roman"/>
          <w:spacing w:val="15"/>
          <w:sz w:val="24"/>
          <w:szCs w:val="24"/>
          <w:lang w:eastAsia="zh-CN"/>
        </w:rPr>
      </w:pPr>
      <w:r w:rsidRPr="00E67914">
        <w:rPr>
          <w:rFonts w:ascii="Times New Roman" w:hAnsi="Times New Roman"/>
          <w:spacing w:val="15"/>
          <w:sz w:val="24"/>
          <w:szCs w:val="24"/>
          <w:lang w:eastAsia="zh-CN"/>
        </w:rPr>
        <w:t>根据吴征镒对中国种子植物属的分布区类型划分方案，对评价范围种子植物属进行归类统计，见表</w:t>
      </w:r>
      <w:r w:rsidRPr="00E67914">
        <w:rPr>
          <w:rFonts w:ascii="Times New Roman" w:hAnsi="Times New Roman"/>
          <w:spacing w:val="15"/>
          <w:sz w:val="24"/>
          <w:szCs w:val="24"/>
          <w:lang w:eastAsia="zh-CN"/>
        </w:rPr>
        <w:t>4.3-</w:t>
      </w:r>
      <w:r w:rsidR="008752B7" w:rsidRPr="00E67914">
        <w:rPr>
          <w:rFonts w:ascii="Times New Roman" w:hAnsi="Times New Roman"/>
          <w:spacing w:val="15"/>
          <w:sz w:val="24"/>
          <w:szCs w:val="24"/>
          <w:lang w:eastAsia="zh-CN"/>
        </w:rPr>
        <w:t>7</w:t>
      </w:r>
      <w:r w:rsidRPr="00E67914">
        <w:rPr>
          <w:rFonts w:ascii="Times New Roman" w:hAnsi="Times New Roman"/>
          <w:spacing w:val="15"/>
          <w:sz w:val="24"/>
          <w:szCs w:val="24"/>
          <w:lang w:eastAsia="zh-CN"/>
        </w:rPr>
        <w:t>。</w:t>
      </w:r>
    </w:p>
    <w:p w14:paraId="540FDCA9" w14:textId="2D551F3B"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w:t>
      </w:r>
      <w:r w:rsidR="008752B7" w:rsidRPr="00E67914">
        <w:rPr>
          <w:rFonts w:ascii="Times New Roman" w:eastAsia="黑体" w:hAnsi="Times New Roman"/>
          <w:sz w:val="21"/>
          <w:szCs w:val="21"/>
          <w:lang w:eastAsia="zh-CN"/>
        </w:rPr>
        <w:t>7</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评价区种子植物属的分布区类型统计</w:t>
      </w:r>
    </w:p>
    <w:tbl>
      <w:tblPr>
        <w:tblStyle w:val="TableNormal"/>
        <w:tblW w:w="5000"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4174"/>
        <w:gridCol w:w="1589"/>
        <w:gridCol w:w="2541"/>
      </w:tblGrid>
      <w:tr w:rsidR="00E67914" w:rsidRPr="00E67914" w14:paraId="0FDC2CC3" w14:textId="77777777">
        <w:trPr>
          <w:trHeight w:val="309"/>
          <w:jc w:val="center"/>
        </w:trPr>
        <w:tc>
          <w:tcPr>
            <w:tcW w:w="2513" w:type="pct"/>
            <w:vAlign w:val="center"/>
          </w:tcPr>
          <w:p w14:paraId="7F913208" w14:textId="77777777" w:rsidR="00A54A8A" w:rsidRPr="00E67914" w:rsidRDefault="00000000">
            <w:pPr>
              <w:spacing w:before="56" w:line="217" w:lineRule="auto"/>
              <w:ind w:left="1116"/>
              <w:rPr>
                <w:rFonts w:ascii="Times New Roman" w:hAnsi="Times New Roman"/>
                <w:szCs w:val="21"/>
              </w:rPr>
            </w:pPr>
            <w:r w:rsidRPr="00E67914">
              <w:rPr>
                <w:rFonts w:ascii="Times New Roman" w:hAnsi="Times New Roman"/>
                <w:spacing w:val="-2"/>
                <w:szCs w:val="21"/>
              </w:rPr>
              <w:t>分</w:t>
            </w:r>
            <w:r w:rsidRPr="00E67914">
              <w:rPr>
                <w:rFonts w:ascii="Times New Roman" w:hAnsi="Times New Roman"/>
                <w:spacing w:val="-1"/>
                <w:szCs w:val="21"/>
              </w:rPr>
              <w:t>布区类型及其变型</w:t>
            </w:r>
          </w:p>
        </w:tc>
        <w:tc>
          <w:tcPr>
            <w:tcW w:w="957" w:type="pct"/>
            <w:vAlign w:val="center"/>
          </w:tcPr>
          <w:p w14:paraId="003959AB" w14:textId="77777777" w:rsidR="00A54A8A" w:rsidRPr="00E67914" w:rsidRDefault="00000000">
            <w:pPr>
              <w:spacing w:before="55" w:line="220" w:lineRule="auto"/>
              <w:ind w:left="559"/>
              <w:rPr>
                <w:rFonts w:ascii="Times New Roman" w:hAnsi="Times New Roman"/>
                <w:szCs w:val="21"/>
              </w:rPr>
            </w:pPr>
            <w:r w:rsidRPr="00E67914">
              <w:rPr>
                <w:rFonts w:ascii="Times New Roman" w:hAnsi="Times New Roman"/>
                <w:spacing w:val="-3"/>
                <w:szCs w:val="21"/>
              </w:rPr>
              <w:t>属</w:t>
            </w:r>
            <w:r w:rsidRPr="00E67914">
              <w:rPr>
                <w:rFonts w:ascii="Times New Roman" w:hAnsi="Times New Roman"/>
                <w:spacing w:val="-2"/>
                <w:szCs w:val="21"/>
              </w:rPr>
              <w:t>数</w:t>
            </w:r>
          </w:p>
        </w:tc>
        <w:tc>
          <w:tcPr>
            <w:tcW w:w="1530" w:type="pct"/>
            <w:vAlign w:val="center"/>
          </w:tcPr>
          <w:p w14:paraId="333192DE" w14:textId="77777777" w:rsidR="00A54A8A" w:rsidRPr="00E67914" w:rsidRDefault="00000000">
            <w:pPr>
              <w:spacing w:before="55" w:line="223" w:lineRule="auto"/>
              <w:ind w:left="473"/>
              <w:rPr>
                <w:rFonts w:ascii="Times New Roman" w:hAnsi="Times New Roman"/>
                <w:szCs w:val="21"/>
              </w:rPr>
            </w:pPr>
            <w:r w:rsidRPr="00E67914">
              <w:rPr>
                <w:rFonts w:ascii="Times New Roman" w:hAnsi="Times New Roman"/>
                <w:spacing w:val="-1"/>
                <w:szCs w:val="21"/>
              </w:rPr>
              <w:t>所占比例</w:t>
            </w:r>
            <w:r w:rsidRPr="00E67914">
              <w:rPr>
                <w:rFonts w:ascii="Times New Roman" w:hAnsi="Times New Roman"/>
                <w:spacing w:val="-1"/>
                <w:szCs w:val="21"/>
              </w:rPr>
              <w:t>%(</w:t>
            </w:r>
            <w:r w:rsidRPr="00E67914">
              <w:rPr>
                <w:rFonts w:ascii="Times New Roman" w:hAnsi="Times New Roman"/>
                <w:szCs w:val="21"/>
              </w:rPr>
              <w:t>*)</w:t>
            </w:r>
          </w:p>
        </w:tc>
      </w:tr>
      <w:tr w:rsidR="00E67914" w:rsidRPr="00E67914" w14:paraId="2087C2B7" w14:textId="77777777">
        <w:trPr>
          <w:trHeight w:val="292"/>
          <w:jc w:val="center"/>
        </w:trPr>
        <w:tc>
          <w:tcPr>
            <w:tcW w:w="2513" w:type="pct"/>
            <w:vAlign w:val="center"/>
          </w:tcPr>
          <w:p w14:paraId="0CADFC1A" w14:textId="77777777" w:rsidR="00A54A8A" w:rsidRPr="00E67914" w:rsidRDefault="00000000">
            <w:pPr>
              <w:spacing w:before="45" w:line="217" w:lineRule="auto"/>
              <w:ind w:left="1523"/>
              <w:rPr>
                <w:rFonts w:ascii="Times New Roman" w:hAnsi="Times New Roman"/>
                <w:szCs w:val="21"/>
              </w:rPr>
            </w:pPr>
            <w:r w:rsidRPr="00E67914">
              <w:rPr>
                <w:rFonts w:ascii="Times New Roman" w:hAnsi="Times New Roman"/>
                <w:spacing w:val="-4"/>
                <w:szCs w:val="21"/>
              </w:rPr>
              <w:t>1.</w:t>
            </w:r>
            <w:r w:rsidRPr="00E67914">
              <w:rPr>
                <w:rFonts w:ascii="Times New Roman" w:hAnsi="Times New Roman"/>
                <w:spacing w:val="-2"/>
                <w:szCs w:val="21"/>
              </w:rPr>
              <w:t>世界分布</w:t>
            </w:r>
          </w:p>
        </w:tc>
        <w:tc>
          <w:tcPr>
            <w:tcW w:w="1592" w:type="dxa"/>
            <w:vAlign w:val="center"/>
          </w:tcPr>
          <w:p w14:paraId="09AD1AF6"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14</w:t>
            </w:r>
          </w:p>
        </w:tc>
        <w:tc>
          <w:tcPr>
            <w:tcW w:w="2545" w:type="dxa"/>
            <w:vAlign w:val="center"/>
          </w:tcPr>
          <w:p w14:paraId="50EFF49B"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w:t>
            </w:r>
          </w:p>
        </w:tc>
      </w:tr>
      <w:tr w:rsidR="00E67914" w:rsidRPr="00E67914" w14:paraId="188F8ED4" w14:textId="77777777">
        <w:trPr>
          <w:trHeight w:val="304"/>
          <w:jc w:val="center"/>
        </w:trPr>
        <w:tc>
          <w:tcPr>
            <w:tcW w:w="2513" w:type="pct"/>
            <w:vAlign w:val="center"/>
          </w:tcPr>
          <w:p w14:paraId="1345A93F" w14:textId="77777777" w:rsidR="00A54A8A" w:rsidRPr="00E67914" w:rsidRDefault="00000000">
            <w:pPr>
              <w:spacing w:before="51" w:line="220" w:lineRule="auto"/>
              <w:ind w:left="1607"/>
              <w:rPr>
                <w:rFonts w:ascii="Times New Roman" w:hAnsi="Times New Roman"/>
                <w:szCs w:val="21"/>
              </w:rPr>
            </w:pPr>
            <w:r w:rsidRPr="00E67914">
              <w:rPr>
                <w:rFonts w:ascii="Times New Roman" w:hAnsi="Times New Roman"/>
                <w:spacing w:val="-1"/>
                <w:szCs w:val="21"/>
              </w:rPr>
              <w:t>2</w:t>
            </w:r>
            <w:r w:rsidRPr="00E67914">
              <w:rPr>
                <w:rFonts w:ascii="Times New Roman" w:hAnsi="Times New Roman"/>
                <w:szCs w:val="21"/>
              </w:rPr>
              <w:t>.</w:t>
            </w:r>
            <w:r w:rsidRPr="00E67914">
              <w:rPr>
                <w:rFonts w:ascii="Times New Roman" w:hAnsi="Times New Roman"/>
                <w:szCs w:val="21"/>
              </w:rPr>
              <w:t>泛热带</w:t>
            </w:r>
          </w:p>
        </w:tc>
        <w:tc>
          <w:tcPr>
            <w:tcW w:w="1592" w:type="dxa"/>
            <w:vAlign w:val="center"/>
          </w:tcPr>
          <w:p w14:paraId="727A834A"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28</w:t>
            </w:r>
          </w:p>
        </w:tc>
        <w:tc>
          <w:tcPr>
            <w:tcW w:w="2545" w:type="dxa"/>
            <w:vAlign w:val="center"/>
          </w:tcPr>
          <w:p w14:paraId="610BB0EE"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17.95 </w:t>
            </w:r>
          </w:p>
        </w:tc>
      </w:tr>
      <w:tr w:rsidR="00E67914" w:rsidRPr="00E67914" w14:paraId="77C70D2F" w14:textId="77777777">
        <w:trPr>
          <w:trHeight w:val="306"/>
          <w:jc w:val="center"/>
        </w:trPr>
        <w:tc>
          <w:tcPr>
            <w:tcW w:w="2513" w:type="pct"/>
            <w:vAlign w:val="center"/>
          </w:tcPr>
          <w:p w14:paraId="566711DD" w14:textId="77777777" w:rsidR="00A54A8A" w:rsidRPr="00E67914" w:rsidRDefault="00000000">
            <w:pPr>
              <w:spacing w:before="53" w:line="219" w:lineRule="auto"/>
              <w:ind w:left="614"/>
              <w:rPr>
                <w:rFonts w:ascii="Times New Roman" w:hAnsi="Times New Roman"/>
                <w:szCs w:val="21"/>
                <w:lang w:eastAsia="zh-CN"/>
              </w:rPr>
            </w:pPr>
            <w:r w:rsidRPr="00E67914">
              <w:rPr>
                <w:rFonts w:ascii="Times New Roman" w:hAnsi="Times New Roman"/>
                <w:spacing w:val="-1"/>
                <w:szCs w:val="21"/>
                <w:lang w:eastAsia="zh-CN"/>
              </w:rPr>
              <w:t>3.</w:t>
            </w:r>
            <w:r w:rsidRPr="00E67914">
              <w:rPr>
                <w:rFonts w:ascii="Times New Roman" w:hAnsi="Times New Roman"/>
                <w:spacing w:val="-1"/>
                <w:szCs w:val="21"/>
                <w:lang w:eastAsia="zh-CN"/>
              </w:rPr>
              <w:t>热带亚洲和热带</w:t>
            </w:r>
            <w:r w:rsidRPr="00E67914">
              <w:rPr>
                <w:rFonts w:ascii="Times New Roman" w:hAnsi="Times New Roman"/>
                <w:szCs w:val="21"/>
                <w:lang w:eastAsia="zh-CN"/>
              </w:rPr>
              <w:t>美洲间断分布</w:t>
            </w:r>
          </w:p>
        </w:tc>
        <w:tc>
          <w:tcPr>
            <w:tcW w:w="1592" w:type="dxa"/>
            <w:vAlign w:val="center"/>
          </w:tcPr>
          <w:p w14:paraId="4B2523A0"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6</w:t>
            </w:r>
          </w:p>
        </w:tc>
        <w:tc>
          <w:tcPr>
            <w:tcW w:w="2545" w:type="dxa"/>
            <w:vAlign w:val="center"/>
          </w:tcPr>
          <w:p w14:paraId="6AD490E2"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3.85 </w:t>
            </w:r>
          </w:p>
        </w:tc>
      </w:tr>
      <w:tr w:rsidR="00E67914" w:rsidRPr="00E67914" w14:paraId="4E315F60" w14:textId="77777777">
        <w:trPr>
          <w:trHeight w:val="304"/>
          <w:jc w:val="center"/>
        </w:trPr>
        <w:tc>
          <w:tcPr>
            <w:tcW w:w="2513" w:type="pct"/>
            <w:vAlign w:val="center"/>
          </w:tcPr>
          <w:p w14:paraId="2A51B13F" w14:textId="77777777" w:rsidR="00A54A8A" w:rsidRPr="00E67914" w:rsidRDefault="00000000">
            <w:pPr>
              <w:spacing w:before="52" w:line="219" w:lineRule="auto"/>
              <w:ind w:left="1239"/>
              <w:rPr>
                <w:rFonts w:ascii="Times New Roman" w:hAnsi="Times New Roman"/>
                <w:szCs w:val="21"/>
              </w:rPr>
            </w:pPr>
            <w:r w:rsidRPr="00E67914">
              <w:rPr>
                <w:rFonts w:ascii="Times New Roman" w:hAnsi="Times New Roman"/>
                <w:spacing w:val="-1"/>
                <w:szCs w:val="21"/>
              </w:rPr>
              <w:t>4.</w:t>
            </w:r>
            <w:r w:rsidRPr="00E67914">
              <w:rPr>
                <w:rFonts w:ascii="Times New Roman" w:hAnsi="Times New Roman"/>
                <w:spacing w:val="-1"/>
                <w:szCs w:val="21"/>
              </w:rPr>
              <w:t>旧世</w:t>
            </w:r>
            <w:r w:rsidRPr="00E67914">
              <w:rPr>
                <w:rFonts w:ascii="Times New Roman" w:hAnsi="Times New Roman"/>
                <w:szCs w:val="21"/>
              </w:rPr>
              <w:t>界热带分布</w:t>
            </w:r>
          </w:p>
        </w:tc>
        <w:tc>
          <w:tcPr>
            <w:tcW w:w="1592" w:type="dxa"/>
            <w:vAlign w:val="center"/>
          </w:tcPr>
          <w:p w14:paraId="1B098A64"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6</w:t>
            </w:r>
          </w:p>
        </w:tc>
        <w:tc>
          <w:tcPr>
            <w:tcW w:w="2545" w:type="dxa"/>
            <w:vAlign w:val="center"/>
          </w:tcPr>
          <w:p w14:paraId="580EE343"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3.85 </w:t>
            </w:r>
          </w:p>
        </w:tc>
      </w:tr>
      <w:tr w:rsidR="00E67914" w:rsidRPr="00E67914" w14:paraId="123E5DEB" w14:textId="77777777">
        <w:trPr>
          <w:trHeight w:val="304"/>
          <w:jc w:val="center"/>
        </w:trPr>
        <w:tc>
          <w:tcPr>
            <w:tcW w:w="2513" w:type="pct"/>
            <w:vAlign w:val="center"/>
          </w:tcPr>
          <w:p w14:paraId="5724BE24" w14:textId="77777777" w:rsidR="00A54A8A" w:rsidRPr="00E67914" w:rsidRDefault="00000000">
            <w:pPr>
              <w:spacing w:before="52" w:line="219" w:lineRule="auto"/>
              <w:ind w:left="721"/>
              <w:rPr>
                <w:rFonts w:ascii="Times New Roman" w:hAnsi="Times New Roman"/>
                <w:szCs w:val="21"/>
                <w:lang w:eastAsia="zh-CN"/>
              </w:rPr>
            </w:pPr>
            <w:r w:rsidRPr="00E67914">
              <w:rPr>
                <w:rFonts w:ascii="Times New Roman" w:hAnsi="Times New Roman"/>
                <w:spacing w:val="-1"/>
                <w:szCs w:val="21"/>
                <w:lang w:eastAsia="zh-CN"/>
              </w:rPr>
              <w:t>5.</w:t>
            </w:r>
            <w:r w:rsidRPr="00E67914">
              <w:rPr>
                <w:rFonts w:ascii="Times New Roman" w:hAnsi="Times New Roman"/>
                <w:spacing w:val="-1"/>
                <w:szCs w:val="21"/>
                <w:lang w:eastAsia="zh-CN"/>
              </w:rPr>
              <w:t>热带亚洲至热带大洋</w:t>
            </w:r>
            <w:r w:rsidRPr="00E67914">
              <w:rPr>
                <w:rFonts w:ascii="Times New Roman" w:hAnsi="Times New Roman"/>
                <w:szCs w:val="21"/>
                <w:lang w:eastAsia="zh-CN"/>
              </w:rPr>
              <w:t>洲分布</w:t>
            </w:r>
          </w:p>
        </w:tc>
        <w:tc>
          <w:tcPr>
            <w:tcW w:w="1592" w:type="dxa"/>
            <w:vAlign w:val="center"/>
          </w:tcPr>
          <w:p w14:paraId="379F43DE"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5</w:t>
            </w:r>
          </w:p>
        </w:tc>
        <w:tc>
          <w:tcPr>
            <w:tcW w:w="2545" w:type="dxa"/>
            <w:vAlign w:val="center"/>
          </w:tcPr>
          <w:p w14:paraId="73FB7EDA"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3.21 </w:t>
            </w:r>
          </w:p>
        </w:tc>
      </w:tr>
      <w:tr w:rsidR="00E67914" w:rsidRPr="00E67914" w14:paraId="5CA640FA" w14:textId="77777777">
        <w:trPr>
          <w:trHeight w:val="306"/>
          <w:jc w:val="center"/>
        </w:trPr>
        <w:tc>
          <w:tcPr>
            <w:tcW w:w="2513" w:type="pct"/>
            <w:vAlign w:val="center"/>
          </w:tcPr>
          <w:p w14:paraId="7DA5C96C" w14:textId="77777777" w:rsidR="00A54A8A" w:rsidRPr="00E67914" w:rsidRDefault="00000000">
            <w:pPr>
              <w:spacing w:before="54" w:line="219" w:lineRule="auto"/>
              <w:ind w:left="825"/>
              <w:rPr>
                <w:rFonts w:ascii="Times New Roman" w:hAnsi="Times New Roman"/>
                <w:szCs w:val="21"/>
                <w:lang w:eastAsia="zh-CN"/>
              </w:rPr>
            </w:pPr>
            <w:r w:rsidRPr="00E67914">
              <w:rPr>
                <w:rFonts w:ascii="Times New Roman" w:hAnsi="Times New Roman"/>
                <w:spacing w:val="-1"/>
                <w:szCs w:val="21"/>
                <w:lang w:eastAsia="zh-CN"/>
              </w:rPr>
              <w:t>6.</w:t>
            </w:r>
            <w:r w:rsidRPr="00E67914">
              <w:rPr>
                <w:rFonts w:ascii="Times New Roman" w:hAnsi="Times New Roman"/>
                <w:spacing w:val="-1"/>
                <w:szCs w:val="21"/>
                <w:lang w:eastAsia="zh-CN"/>
              </w:rPr>
              <w:t>热带亚洲至热带非</w:t>
            </w:r>
            <w:r w:rsidRPr="00E67914">
              <w:rPr>
                <w:rFonts w:ascii="Times New Roman" w:hAnsi="Times New Roman"/>
                <w:szCs w:val="21"/>
                <w:lang w:eastAsia="zh-CN"/>
              </w:rPr>
              <w:t>洲分布</w:t>
            </w:r>
          </w:p>
        </w:tc>
        <w:tc>
          <w:tcPr>
            <w:tcW w:w="1592" w:type="dxa"/>
            <w:vAlign w:val="center"/>
          </w:tcPr>
          <w:p w14:paraId="5C2D3842"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9</w:t>
            </w:r>
          </w:p>
        </w:tc>
        <w:tc>
          <w:tcPr>
            <w:tcW w:w="2545" w:type="dxa"/>
            <w:vAlign w:val="center"/>
          </w:tcPr>
          <w:p w14:paraId="4DD417EA"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5.77 </w:t>
            </w:r>
          </w:p>
        </w:tc>
      </w:tr>
      <w:tr w:rsidR="00E67914" w:rsidRPr="00E67914" w14:paraId="7AF6F4DF" w14:textId="77777777">
        <w:trPr>
          <w:trHeight w:val="304"/>
          <w:jc w:val="center"/>
        </w:trPr>
        <w:tc>
          <w:tcPr>
            <w:tcW w:w="2513" w:type="pct"/>
            <w:vAlign w:val="center"/>
          </w:tcPr>
          <w:p w14:paraId="71178FE8" w14:textId="77777777" w:rsidR="00A54A8A" w:rsidRPr="00E67914" w:rsidRDefault="00000000">
            <w:pPr>
              <w:spacing w:before="52" w:line="220" w:lineRule="auto"/>
              <w:ind w:left="684"/>
              <w:rPr>
                <w:rFonts w:ascii="Times New Roman" w:hAnsi="Times New Roman"/>
                <w:szCs w:val="21"/>
                <w:lang w:eastAsia="zh-CN"/>
              </w:rPr>
            </w:pPr>
            <w:r w:rsidRPr="00E67914">
              <w:rPr>
                <w:rFonts w:ascii="Times New Roman" w:hAnsi="Times New Roman"/>
                <w:spacing w:val="10"/>
                <w:szCs w:val="21"/>
                <w:lang w:eastAsia="zh-CN"/>
              </w:rPr>
              <w:t>7.</w:t>
            </w:r>
            <w:r w:rsidRPr="00E67914">
              <w:rPr>
                <w:rFonts w:ascii="Times New Roman" w:hAnsi="Times New Roman"/>
                <w:spacing w:val="5"/>
                <w:szCs w:val="21"/>
                <w:lang w:eastAsia="zh-CN"/>
              </w:rPr>
              <w:t>热带亚洲</w:t>
            </w:r>
            <w:r w:rsidRPr="00E67914">
              <w:rPr>
                <w:rFonts w:ascii="Times New Roman" w:hAnsi="Times New Roman"/>
                <w:spacing w:val="5"/>
                <w:szCs w:val="21"/>
                <w:lang w:eastAsia="zh-CN"/>
              </w:rPr>
              <w:t>(</w:t>
            </w:r>
            <w:r w:rsidRPr="00E67914">
              <w:rPr>
                <w:rFonts w:ascii="Times New Roman" w:hAnsi="Times New Roman"/>
                <w:spacing w:val="5"/>
                <w:szCs w:val="21"/>
                <w:lang w:eastAsia="zh-CN"/>
              </w:rPr>
              <w:t>印度</w:t>
            </w:r>
            <w:r w:rsidRPr="00E67914">
              <w:rPr>
                <w:rFonts w:ascii="Times New Roman" w:hAnsi="Times New Roman"/>
                <w:spacing w:val="5"/>
                <w:szCs w:val="21"/>
                <w:lang w:eastAsia="zh-CN"/>
              </w:rPr>
              <w:t>-</w:t>
            </w:r>
            <w:r w:rsidRPr="00E67914">
              <w:rPr>
                <w:rFonts w:ascii="Times New Roman" w:hAnsi="Times New Roman"/>
                <w:spacing w:val="5"/>
                <w:szCs w:val="21"/>
                <w:lang w:eastAsia="zh-CN"/>
              </w:rPr>
              <w:t>马来西亚</w:t>
            </w:r>
            <w:r w:rsidRPr="00E67914">
              <w:rPr>
                <w:rFonts w:ascii="Times New Roman" w:hAnsi="Times New Roman"/>
                <w:spacing w:val="5"/>
                <w:szCs w:val="21"/>
                <w:lang w:eastAsia="zh-CN"/>
              </w:rPr>
              <w:t>)</w:t>
            </w:r>
          </w:p>
        </w:tc>
        <w:tc>
          <w:tcPr>
            <w:tcW w:w="1592" w:type="dxa"/>
            <w:vAlign w:val="center"/>
          </w:tcPr>
          <w:p w14:paraId="2FF8B65C"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15</w:t>
            </w:r>
          </w:p>
        </w:tc>
        <w:tc>
          <w:tcPr>
            <w:tcW w:w="2545" w:type="dxa"/>
            <w:vAlign w:val="center"/>
          </w:tcPr>
          <w:p w14:paraId="7378C3A8"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9.62 </w:t>
            </w:r>
          </w:p>
        </w:tc>
      </w:tr>
      <w:tr w:rsidR="00E67914" w:rsidRPr="00E67914" w14:paraId="52485B34" w14:textId="77777777">
        <w:trPr>
          <w:trHeight w:val="304"/>
          <w:jc w:val="center"/>
        </w:trPr>
        <w:tc>
          <w:tcPr>
            <w:tcW w:w="2513" w:type="pct"/>
            <w:vAlign w:val="center"/>
          </w:tcPr>
          <w:p w14:paraId="6F1CFE21" w14:textId="77777777" w:rsidR="00A54A8A" w:rsidRPr="00E67914" w:rsidRDefault="00000000">
            <w:pPr>
              <w:spacing w:before="53" w:line="220" w:lineRule="auto"/>
              <w:ind w:left="1616"/>
              <w:rPr>
                <w:rFonts w:ascii="Times New Roman" w:hAnsi="Times New Roman"/>
                <w:szCs w:val="21"/>
              </w:rPr>
            </w:pPr>
            <w:r w:rsidRPr="00E67914">
              <w:rPr>
                <w:rFonts w:ascii="Times New Roman" w:hAnsi="Times New Roman"/>
                <w:spacing w:val="-2"/>
                <w:szCs w:val="21"/>
              </w:rPr>
              <w:t>8</w:t>
            </w:r>
            <w:r w:rsidRPr="00E67914">
              <w:rPr>
                <w:rFonts w:ascii="Times New Roman" w:hAnsi="Times New Roman"/>
                <w:spacing w:val="-1"/>
                <w:szCs w:val="21"/>
              </w:rPr>
              <w:t>.</w:t>
            </w:r>
            <w:r w:rsidRPr="00E67914">
              <w:rPr>
                <w:rFonts w:ascii="Times New Roman" w:hAnsi="Times New Roman"/>
                <w:spacing w:val="-1"/>
                <w:szCs w:val="21"/>
              </w:rPr>
              <w:t>北温带</w:t>
            </w:r>
          </w:p>
        </w:tc>
        <w:tc>
          <w:tcPr>
            <w:tcW w:w="1592" w:type="dxa"/>
            <w:vAlign w:val="center"/>
          </w:tcPr>
          <w:p w14:paraId="464E2037"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31</w:t>
            </w:r>
          </w:p>
        </w:tc>
        <w:tc>
          <w:tcPr>
            <w:tcW w:w="2545" w:type="dxa"/>
            <w:vAlign w:val="center"/>
          </w:tcPr>
          <w:p w14:paraId="3E36AAEF"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19.87 </w:t>
            </w:r>
          </w:p>
        </w:tc>
      </w:tr>
      <w:tr w:rsidR="00E67914" w:rsidRPr="00E67914" w14:paraId="43096696" w14:textId="77777777">
        <w:trPr>
          <w:trHeight w:val="306"/>
          <w:jc w:val="center"/>
        </w:trPr>
        <w:tc>
          <w:tcPr>
            <w:tcW w:w="2513" w:type="pct"/>
            <w:vAlign w:val="center"/>
          </w:tcPr>
          <w:p w14:paraId="3CDFC590" w14:textId="77777777" w:rsidR="00A54A8A" w:rsidRPr="00E67914" w:rsidRDefault="00000000">
            <w:pPr>
              <w:spacing w:before="55" w:line="219" w:lineRule="auto"/>
              <w:ind w:left="930"/>
              <w:rPr>
                <w:rFonts w:ascii="Times New Roman" w:hAnsi="Times New Roman"/>
                <w:szCs w:val="21"/>
                <w:lang w:eastAsia="zh-CN"/>
              </w:rPr>
            </w:pPr>
            <w:r w:rsidRPr="00E67914">
              <w:rPr>
                <w:rFonts w:ascii="Times New Roman" w:hAnsi="Times New Roman"/>
                <w:spacing w:val="-1"/>
                <w:szCs w:val="21"/>
                <w:lang w:eastAsia="zh-CN"/>
              </w:rPr>
              <w:t>9.</w:t>
            </w:r>
            <w:r w:rsidRPr="00E67914">
              <w:rPr>
                <w:rFonts w:ascii="Times New Roman" w:hAnsi="Times New Roman"/>
                <w:spacing w:val="-1"/>
                <w:szCs w:val="21"/>
                <w:lang w:eastAsia="zh-CN"/>
              </w:rPr>
              <w:t>东亚和北美洲间</w:t>
            </w:r>
            <w:r w:rsidRPr="00E67914">
              <w:rPr>
                <w:rFonts w:ascii="Times New Roman" w:hAnsi="Times New Roman"/>
                <w:szCs w:val="21"/>
                <w:lang w:eastAsia="zh-CN"/>
              </w:rPr>
              <w:t>断分布</w:t>
            </w:r>
          </w:p>
        </w:tc>
        <w:tc>
          <w:tcPr>
            <w:tcW w:w="1592" w:type="dxa"/>
            <w:vAlign w:val="center"/>
          </w:tcPr>
          <w:p w14:paraId="6FAAFFD3"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11</w:t>
            </w:r>
          </w:p>
        </w:tc>
        <w:tc>
          <w:tcPr>
            <w:tcW w:w="2545" w:type="dxa"/>
            <w:vAlign w:val="center"/>
          </w:tcPr>
          <w:p w14:paraId="0E252BAE"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7.05 </w:t>
            </w:r>
          </w:p>
        </w:tc>
      </w:tr>
      <w:tr w:rsidR="00E67914" w:rsidRPr="00E67914" w14:paraId="00743BD1" w14:textId="77777777">
        <w:trPr>
          <w:trHeight w:val="304"/>
          <w:jc w:val="center"/>
        </w:trPr>
        <w:tc>
          <w:tcPr>
            <w:tcW w:w="2513" w:type="pct"/>
            <w:vAlign w:val="center"/>
          </w:tcPr>
          <w:p w14:paraId="5AB1610E" w14:textId="77777777" w:rsidR="00A54A8A" w:rsidRPr="00E67914" w:rsidRDefault="00000000">
            <w:pPr>
              <w:spacing w:before="54" w:line="219" w:lineRule="auto"/>
              <w:ind w:left="1366"/>
              <w:rPr>
                <w:rFonts w:ascii="Times New Roman" w:hAnsi="Times New Roman"/>
                <w:szCs w:val="21"/>
              </w:rPr>
            </w:pPr>
            <w:r w:rsidRPr="00E67914">
              <w:rPr>
                <w:rFonts w:ascii="Times New Roman" w:hAnsi="Times New Roman"/>
                <w:spacing w:val="-4"/>
                <w:szCs w:val="21"/>
              </w:rPr>
              <w:t>10</w:t>
            </w:r>
            <w:r w:rsidRPr="00E67914">
              <w:rPr>
                <w:rFonts w:ascii="Times New Roman" w:hAnsi="Times New Roman"/>
                <w:spacing w:val="-2"/>
                <w:szCs w:val="21"/>
              </w:rPr>
              <w:t>.</w:t>
            </w:r>
            <w:r w:rsidRPr="00E67914">
              <w:rPr>
                <w:rFonts w:ascii="Times New Roman" w:hAnsi="Times New Roman"/>
                <w:spacing w:val="-2"/>
                <w:szCs w:val="21"/>
              </w:rPr>
              <w:t>旧世界温带</w:t>
            </w:r>
          </w:p>
        </w:tc>
        <w:tc>
          <w:tcPr>
            <w:tcW w:w="1592" w:type="dxa"/>
            <w:vAlign w:val="center"/>
          </w:tcPr>
          <w:p w14:paraId="61E54ABF"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12</w:t>
            </w:r>
          </w:p>
        </w:tc>
        <w:tc>
          <w:tcPr>
            <w:tcW w:w="2545" w:type="dxa"/>
            <w:vAlign w:val="center"/>
          </w:tcPr>
          <w:p w14:paraId="34717A79"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7.69 </w:t>
            </w:r>
          </w:p>
        </w:tc>
      </w:tr>
      <w:tr w:rsidR="00E67914" w:rsidRPr="00E67914" w14:paraId="55040BD4" w14:textId="77777777">
        <w:trPr>
          <w:trHeight w:val="304"/>
          <w:jc w:val="center"/>
        </w:trPr>
        <w:tc>
          <w:tcPr>
            <w:tcW w:w="2513" w:type="pct"/>
            <w:vAlign w:val="center"/>
          </w:tcPr>
          <w:p w14:paraId="06277BD3" w14:textId="77777777" w:rsidR="00A54A8A" w:rsidRPr="00E67914" w:rsidRDefault="00000000">
            <w:pPr>
              <w:spacing w:before="54" w:line="219" w:lineRule="auto"/>
              <w:ind w:left="1264"/>
              <w:rPr>
                <w:rFonts w:ascii="Times New Roman" w:hAnsi="Times New Roman"/>
                <w:szCs w:val="21"/>
              </w:rPr>
            </w:pPr>
            <w:r w:rsidRPr="00E67914">
              <w:rPr>
                <w:rFonts w:ascii="Times New Roman" w:hAnsi="Times New Roman"/>
                <w:spacing w:val="-3"/>
                <w:szCs w:val="21"/>
              </w:rPr>
              <w:t>11.</w:t>
            </w:r>
            <w:r w:rsidRPr="00E67914">
              <w:rPr>
                <w:rFonts w:ascii="Times New Roman" w:hAnsi="Times New Roman"/>
                <w:spacing w:val="-3"/>
                <w:szCs w:val="21"/>
              </w:rPr>
              <w:t>温带亚洲分</w:t>
            </w:r>
            <w:r w:rsidRPr="00E67914">
              <w:rPr>
                <w:rFonts w:ascii="Times New Roman" w:hAnsi="Times New Roman"/>
                <w:spacing w:val="-2"/>
                <w:szCs w:val="21"/>
              </w:rPr>
              <w:t>布</w:t>
            </w:r>
          </w:p>
        </w:tc>
        <w:tc>
          <w:tcPr>
            <w:tcW w:w="1592" w:type="dxa"/>
            <w:vAlign w:val="center"/>
          </w:tcPr>
          <w:p w14:paraId="33C5F84A"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3</w:t>
            </w:r>
          </w:p>
        </w:tc>
        <w:tc>
          <w:tcPr>
            <w:tcW w:w="2545" w:type="dxa"/>
            <w:vAlign w:val="center"/>
          </w:tcPr>
          <w:p w14:paraId="4CD2FB6B"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1.92 </w:t>
            </w:r>
          </w:p>
        </w:tc>
      </w:tr>
      <w:tr w:rsidR="00E67914" w:rsidRPr="00E67914" w14:paraId="06DB1BEC" w14:textId="77777777">
        <w:trPr>
          <w:trHeight w:val="306"/>
          <w:jc w:val="center"/>
        </w:trPr>
        <w:tc>
          <w:tcPr>
            <w:tcW w:w="2513" w:type="pct"/>
            <w:vAlign w:val="center"/>
          </w:tcPr>
          <w:p w14:paraId="17469EFB" w14:textId="77777777" w:rsidR="00A54A8A" w:rsidRPr="00E67914" w:rsidRDefault="00000000">
            <w:pPr>
              <w:spacing w:before="56" w:line="219" w:lineRule="auto"/>
              <w:ind w:left="630"/>
              <w:rPr>
                <w:rFonts w:ascii="Times New Roman" w:hAnsi="Times New Roman"/>
                <w:szCs w:val="21"/>
                <w:lang w:eastAsia="zh-CN"/>
              </w:rPr>
            </w:pPr>
            <w:r w:rsidRPr="00E67914">
              <w:rPr>
                <w:rFonts w:ascii="Times New Roman" w:hAnsi="Times New Roman"/>
                <w:spacing w:val="-3"/>
                <w:szCs w:val="21"/>
                <w:lang w:eastAsia="zh-CN"/>
              </w:rPr>
              <w:t>1</w:t>
            </w:r>
            <w:r w:rsidRPr="00E67914">
              <w:rPr>
                <w:rFonts w:ascii="Times New Roman" w:hAnsi="Times New Roman"/>
                <w:spacing w:val="-2"/>
                <w:szCs w:val="21"/>
                <w:lang w:eastAsia="zh-CN"/>
              </w:rPr>
              <w:t>2.</w:t>
            </w:r>
            <w:r w:rsidRPr="00E67914">
              <w:rPr>
                <w:rFonts w:ascii="Times New Roman" w:hAnsi="Times New Roman"/>
                <w:spacing w:val="-2"/>
                <w:szCs w:val="21"/>
                <w:lang w:eastAsia="zh-CN"/>
              </w:rPr>
              <w:t>地中海区、西亚至中亚分布</w:t>
            </w:r>
          </w:p>
        </w:tc>
        <w:tc>
          <w:tcPr>
            <w:tcW w:w="1592" w:type="dxa"/>
            <w:vAlign w:val="center"/>
          </w:tcPr>
          <w:p w14:paraId="0B4DCA4B"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2</w:t>
            </w:r>
          </w:p>
        </w:tc>
        <w:tc>
          <w:tcPr>
            <w:tcW w:w="2545" w:type="dxa"/>
            <w:vAlign w:val="center"/>
          </w:tcPr>
          <w:p w14:paraId="4256612F"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1.28 </w:t>
            </w:r>
          </w:p>
        </w:tc>
      </w:tr>
      <w:tr w:rsidR="00E67914" w:rsidRPr="00E67914" w14:paraId="73DCD737" w14:textId="77777777">
        <w:trPr>
          <w:trHeight w:val="304"/>
          <w:jc w:val="center"/>
        </w:trPr>
        <w:tc>
          <w:tcPr>
            <w:tcW w:w="2513" w:type="pct"/>
            <w:vAlign w:val="center"/>
          </w:tcPr>
          <w:p w14:paraId="1ECAEA07" w14:textId="77777777" w:rsidR="00A54A8A" w:rsidRPr="00E67914" w:rsidRDefault="00000000">
            <w:pPr>
              <w:spacing w:before="54" w:line="219" w:lineRule="auto"/>
              <w:ind w:left="1523"/>
              <w:rPr>
                <w:rFonts w:ascii="Times New Roman" w:hAnsi="Times New Roman"/>
                <w:szCs w:val="21"/>
              </w:rPr>
            </w:pPr>
            <w:r w:rsidRPr="00E67914">
              <w:rPr>
                <w:rFonts w:ascii="Times New Roman" w:hAnsi="Times New Roman"/>
                <w:spacing w:val="-6"/>
                <w:szCs w:val="21"/>
              </w:rPr>
              <w:t>1</w:t>
            </w:r>
            <w:r w:rsidRPr="00E67914">
              <w:rPr>
                <w:rFonts w:ascii="Times New Roman" w:hAnsi="Times New Roman"/>
                <w:spacing w:val="-3"/>
                <w:szCs w:val="21"/>
              </w:rPr>
              <w:t>3.</w:t>
            </w:r>
            <w:r w:rsidRPr="00E67914">
              <w:rPr>
                <w:rFonts w:ascii="Times New Roman" w:hAnsi="Times New Roman"/>
                <w:spacing w:val="-3"/>
                <w:szCs w:val="21"/>
              </w:rPr>
              <w:t>中亚分布</w:t>
            </w:r>
          </w:p>
        </w:tc>
        <w:tc>
          <w:tcPr>
            <w:tcW w:w="1592" w:type="dxa"/>
            <w:vAlign w:val="center"/>
          </w:tcPr>
          <w:p w14:paraId="6980D858"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1</w:t>
            </w:r>
          </w:p>
        </w:tc>
        <w:tc>
          <w:tcPr>
            <w:tcW w:w="2545" w:type="dxa"/>
            <w:vAlign w:val="center"/>
          </w:tcPr>
          <w:p w14:paraId="0EF8A4F4"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0.64 </w:t>
            </w:r>
          </w:p>
        </w:tc>
      </w:tr>
      <w:tr w:rsidR="00E67914" w:rsidRPr="00E67914" w14:paraId="025A6C6C" w14:textId="77777777">
        <w:trPr>
          <w:trHeight w:val="305"/>
          <w:jc w:val="center"/>
        </w:trPr>
        <w:tc>
          <w:tcPr>
            <w:tcW w:w="2513" w:type="pct"/>
            <w:vAlign w:val="center"/>
          </w:tcPr>
          <w:p w14:paraId="7A394A1E" w14:textId="77777777" w:rsidR="00A54A8A" w:rsidRPr="00E67914" w:rsidRDefault="00000000">
            <w:pPr>
              <w:spacing w:before="55" w:line="219" w:lineRule="auto"/>
              <w:ind w:left="1523"/>
              <w:rPr>
                <w:rFonts w:ascii="Times New Roman" w:hAnsi="Times New Roman"/>
                <w:szCs w:val="21"/>
              </w:rPr>
            </w:pPr>
            <w:r w:rsidRPr="00E67914">
              <w:rPr>
                <w:rFonts w:ascii="Times New Roman" w:hAnsi="Times New Roman"/>
                <w:spacing w:val="-6"/>
                <w:szCs w:val="21"/>
              </w:rPr>
              <w:t>1</w:t>
            </w:r>
            <w:r w:rsidRPr="00E67914">
              <w:rPr>
                <w:rFonts w:ascii="Times New Roman" w:hAnsi="Times New Roman"/>
                <w:spacing w:val="-3"/>
                <w:szCs w:val="21"/>
              </w:rPr>
              <w:t>4.</w:t>
            </w:r>
            <w:r w:rsidRPr="00E67914">
              <w:rPr>
                <w:rFonts w:ascii="Times New Roman" w:hAnsi="Times New Roman"/>
                <w:spacing w:val="-3"/>
                <w:szCs w:val="21"/>
              </w:rPr>
              <w:t>东亚分布</w:t>
            </w:r>
          </w:p>
        </w:tc>
        <w:tc>
          <w:tcPr>
            <w:tcW w:w="1592" w:type="dxa"/>
            <w:vAlign w:val="center"/>
          </w:tcPr>
          <w:p w14:paraId="02DD6BE5"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21</w:t>
            </w:r>
          </w:p>
        </w:tc>
        <w:tc>
          <w:tcPr>
            <w:tcW w:w="2545" w:type="dxa"/>
            <w:vAlign w:val="center"/>
          </w:tcPr>
          <w:p w14:paraId="0380E193"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13.46 </w:t>
            </w:r>
          </w:p>
        </w:tc>
      </w:tr>
      <w:tr w:rsidR="00E67914" w:rsidRPr="00E67914" w14:paraId="28787570" w14:textId="77777777">
        <w:trPr>
          <w:trHeight w:val="306"/>
          <w:jc w:val="center"/>
        </w:trPr>
        <w:tc>
          <w:tcPr>
            <w:tcW w:w="2513" w:type="pct"/>
            <w:vAlign w:val="center"/>
          </w:tcPr>
          <w:p w14:paraId="61FE0F30" w14:textId="77777777" w:rsidR="00A54A8A" w:rsidRPr="00E67914" w:rsidRDefault="00000000">
            <w:pPr>
              <w:spacing w:before="56" w:line="219" w:lineRule="auto"/>
              <w:ind w:left="1523"/>
              <w:rPr>
                <w:rFonts w:ascii="Times New Roman" w:hAnsi="Times New Roman"/>
                <w:szCs w:val="21"/>
              </w:rPr>
            </w:pPr>
            <w:r w:rsidRPr="00E67914">
              <w:rPr>
                <w:rFonts w:ascii="Times New Roman" w:hAnsi="Times New Roman"/>
                <w:spacing w:val="-6"/>
                <w:szCs w:val="21"/>
              </w:rPr>
              <w:lastRenderedPageBreak/>
              <w:t>1</w:t>
            </w:r>
            <w:r w:rsidRPr="00E67914">
              <w:rPr>
                <w:rFonts w:ascii="Times New Roman" w:hAnsi="Times New Roman"/>
                <w:spacing w:val="-3"/>
                <w:szCs w:val="21"/>
              </w:rPr>
              <w:t>5.</w:t>
            </w:r>
            <w:r w:rsidRPr="00E67914">
              <w:rPr>
                <w:rFonts w:ascii="Times New Roman" w:hAnsi="Times New Roman"/>
                <w:spacing w:val="-3"/>
                <w:szCs w:val="21"/>
              </w:rPr>
              <w:t>中国特有</w:t>
            </w:r>
          </w:p>
        </w:tc>
        <w:tc>
          <w:tcPr>
            <w:tcW w:w="1592" w:type="dxa"/>
            <w:vAlign w:val="center"/>
          </w:tcPr>
          <w:p w14:paraId="6A999C93"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6</w:t>
            </w:r>
          </w:p>
        </w:tc>
        <w:tc>
          <w:tcPr>
            <w:tcW w:w="2545" w:type="dxa"/>
            <w:vAlign w:val="center"/>
          </w:tcPr>
          <w:p w14:paraId="2218B22F"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 xml:space="preserve">3.85 </w:t>
            </w:r>
          </w:p>
        </w:tc>
      </w:tr>
      <w:tr w:rsidR="00E67914" w:rsidRPr="00E67914" w14:paraId="20E31848" w14:textId="77777777">
        <w:trPr>
          <w:trHeight w:val="309"/>
          <w:jc w:val="center"/>
        </w:trPr>
        <w:tc>
          <w:tcPr>
            <w:tcW w:w="2513" w:type="pct"/>
            <w:vAlign w:val="center"/>
          </w:tcPr>
          <w:p w14:paraId="303E24A7" w14:textId="77777777" w:rsidR="00A54A8A" w:rsidRPr="00E67914" w:rsidRDefault="00000000">
            <w:pPr>
              <w:spacing w:before="55" w:line="221" w:lineRule="auto"/>
              <w:ind w:left="1691"/>
              <w:rPr>
                <w:rFonts w:ascii="Times New Roman" w:hAnsi="Times New Roman"/>
                <w:szCs w:val="21"/>
              </w:rPr>
            </w:pPr>
            <w:r w:rsidRPr="00E67914">
              <w:rPr>
                <w:rFonts w:ascii="Times New Roman" w:hAnsi="Times New Roman"/>
                <w:spacing w:val="-1"/>
                <w:szCs w:val="21"/>
              </w:rPr>
              <w:t>合</w:t>
            </w:r>
            <w:r w:rsidRPr="00E67914">
              <w:rPr>
                <w:rFonts w:ascii="Times New Roman" w:hAnsi="Times New Roman"/>
                <w:szCs w:val="21"/>
              </w:rPr>
              <w:t>计</w:t>
            </w:r>
          </w:p>
        </w:tc>
        <w:tc>
          <w:tcPr>
            <w:tcW w:w="1592" w:type="dxa"/>
            <w:vAlign w:val="center"/>
          </w:tcPr>
          <w:p w14:paraId="5B10E1C6"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170</w:t>
            </w:r>
          </w:p>
        </w:tc>
        <w:tc>
          <w:tcPr>
            <w:tcW w:w="2545" w:type="dxa"/>
            <w:vAlign w:val="center"/>
          </w:tcPr>
          <w:p w14:paraId="31B2513B"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w:t>
            </w:r>
          </w:p>
        </w:tc>
      </w:tr>
      <w:tr w:rsidR="00E67914" w:rsidRPr="00E67914" w14:paraId="446AE254" w14:textId="77777777">
        <w:trPr>
          <w:trHeight w:val="309"/>
          <w:jc w:val="center"/>
        </w:trPr>
        <w:tc>
          <w:tcPr>
            <w:tcW w:w="2513" w:type="pct"/>
            <w:vAlign w:val="center"/>
          </w:tcPr>
          <w:p w14:paraId="43273F73" w14:textId="77777777" w:rsidR="00A54A8A" w:rsidRPr="00E67914" w:rsidRDefault="00000000">
            <w:pPr>
              <w:spacing w:before="55" w:line="221" w:lineRule="auto"/>
              <w:ind w:left="1691"/>
              <w:rPr>
                <w:rFonts w:ascii="Times New Roman" w:hAnsi="Times New Roman"/>
                <w:spacing w:val="-1"/>
                <w:szCs w:val="21"/>
              </w:rPr>
            </w:pPr>
            <w:r w:rsidRPr="00E67914">
              <w:rPr>
                <w:rFonts w:ascii="Times New Roman" w:hAnsi="Times New Roman"/>
                <w:spacing w:val="-1"/>
                <w:szCs w:val="21"/>
                <w:lang w:eastAsia="zh-CN"/>
              </w:rPr>
              <w:t>其中，非世界分布</w:t>
            </w:r>
          </w:p>
        </w:tc>
        <w:tc>
          <w:tcPr>
            <w:tcW w:w="1592" w:type="dxa"/>
            <w:vAlign w:val="center"/>
          </w:tcPr>
          <w:p w14:paraId="53B9E895"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156</w:t>
            </w:r>
          </w:p>
        </w:tc>
        <w:tc>
          <w:tcPr>
            <w:tcW w:w="2545" w:type="dxa"/>
            <w:vAlign w:val="center"/>
          </w:tcPr>
          <w:p w14:paraId="1E1C72C0" w14:textId="77777777" w:rsidR="00A54A8A" w:rsidRPr="00E67914" w:rsidRDefault="00000000">
            <w:pPr>
              <w:jc w:val="center"/>
              <w:textAlignment w:val="top"/>
              <w:rPr>
                <w:rFonts w:ascii="Times New Roman" w:hAnsi="Times New Roman"/>
                <w:spacing w:val="-3"/>
                <w:szCs w:val="21"/>
              </w:rPr>
            </w:pPr>
            <w:r w:rsidRPr="00E67914">
              <w:rPr>
                <w:rFonts w:ascii="Times New Roman" w:hAnsi="Times New Roman"/>
                <w:sz w:val="21"/>
                <w:szCs w:val="21"/>
                <w:lang w:eastAsia="zh-CN" w:bidi="ar"/>
              </w:rPr>
              <w:t>100</w:t>
            </w:r>
          </w:p>
        </w:tc>
      </w:tr>
    </w:tbl>
    <w:p w14:paraId="53797B4B" w14:textId="77777777" w:rsidR="00A54A8A" w:rsidRPr="00E67914" w:rsidRDefault="00000000">
      <w:pPr>
        <w:spacing w:before="29" w:line="233" w:lineRule="auto"/>
        <w:ind w:left="458"/>
        <w:rPr>
          <w:rFonts w:ascii="Times New Roman" w:hAnsi="Times New Roman"/>
          <w:sz w:val="21"/>
          <w:szCs w:val="21"/>
          <w:lang w:eastAsia="zh-CN"/>
        </w:rPr>
      </w:pPr>
      <w:r w:rsidRPr="00E67914">
        <w:rPr>
          <w:rFonts w:ascii="Times New Roman" w:hAnsi="Times New Roman"/>
          <w:spacing w:val="-23"/>
          <w:sz w:val="21"/>
          <w:szCs w:val="21"/>
          <w:lang w:eastAsia="zh-CN"/>
        </w:rPr>
        <w:t>注：</w:t>
      </w:r>
      <w:r w:rsidRPr="00E67914">
        <w:rPr>
          <w:rFonts w:ascii="Times New Roman" w:hAnsi="Times New Roman"/>
          <w:spacing w:val="-14"/>
          <w:sz w:val="21"/>
          <w:szCs w:val="21"/>
          <w:lang w:eastAsia="zh-CN"/>
        </w:rPr>
        <w:t>“*”</w:t>
      </w:r>
      <w:r w:rsidRPr="00E67914">
        <w:rPr>
          <w:rFonts w:ascii="Times New Roman" w:hAnsi="Times New Roman"/>
          <w:spacing w:val="-14"/>
          <w:sz w:val="21"/>
          <w:szCs w:val="21"/>
          <w:lang w:eastAsia="zh-CN"/>
        </w:rPr>
        <w:t>不含世界广布类型</w:t>
      </w:r>
    </w:p>
    <w:p w14:paraId="767BD0B9" w14:textId="77777777" w:rsidR="00A54A8A" w:rsidRPr="00E67914" w:rsidRDefault="00000000">
      <w:pPr>
        <w:adjustRightInd w:val="0"/>
        <w:snapToGrid w:val="0"/>
        <w:spacing w:line="360" w:lineRule="auto"/>
        <w:ind w:firstLineChars="200" w:firstLine="490"/>
        <w:jc w:val="both"/>
        <w:rPr>
          <w:rFonts w:ascii="Times New Roman" w:hAnsi="Times New Roman"/>
          <w:spacing w:val="5"/>
          <w:sz w:val="24"/>
          <w:szCs w:val="24"/>
          <w:lang w:eastAsia="zh-CN"/>
        </w:rPr>
      </w:pPr>
      <w:r w:rsidRPr="00E67914">
        <w:rPr>
          <w:rFonts w:ascii="Times New Roman" w:hAnsi="Times New Roman"/>
          <w:spacing w:val="5"/>
          <w:sz w:val="24"/>
          <w:szCs w:val="24"/>
          <w:lang w:eastAsia="zh-CN"/>
        </w:rPr>
        <w:t>上表的统计结果来看，项目区域热带分布区类型属</w:t>
      </w:r>
      <w:r w:rsidRPr="00E67914">
        <w:rPr>
          <w:rFonts w:ascii="Times New Roman" w:hAnsi="Times New Roman"/>
          <w:spacing w:val="5"/>
          <w:sz w:val="24"/>
          <w:szCs w:val="24"/>
          <w:lang w:eastAsia="zh-CN"/>
        </w:rPr>
        <w:t>(2-7)</w:t>
      </w:r>
      <w:r w:rsidRPr="00E67914">
        <w:rPr>
          <w:rFonts w:ascii="Times New Roman" w:hAnsi="Times New Roman"/>
          <w:spacing w:val="5"/>
          <w:sz w:val="24"/>
          <w:szCs w:val="24"/>
          <w:lang w:eastAsia="zh-CN"/>
        </w:rPr>
        <w:t>含有</w:t>
      </w:r>
      <w:r w:rsidRPr="00E67914">
        <w:rPr>
          <w:rFonts w:ascii="Times New Roman" w:hAnsi="Times New Roman"/>
          <w:spacing w:val="5"/>
          <w:sz w:val="24"/>
          <w:szCs w:val="24"/>
          <w:lang w:eastAsia="zh-CN"/>
        </w:rPr>
        <w:t>69</w:t>
      </w:r>
      <w:r w:rsidRPr="00E67914">
        <w:rPr>
          <w:rFonts w:ascii="Times New Roman" w:hAnsi="Times New Roman"/>
          <w:spacing w:val="5"/>
          <w:sz w:val="24"/>
          <w:szCs w:val="24"/>
          <w:lang w:eastAsia="zh-CN"/>
        </w:rPr>
        <w:t>属，占项目区域非世界分布种子植物总属数的</w:t>
      </w:r>
      <w:r w:rsidRPr="00E67914">
        <w:rPr>
          <w:rFonts w:ascii="Times New Roman" w:hAnsi="Times New Roman"/>
          <w:spacing w:val="5"/>
          <w:sz w:val="24"/>
          <w:szCs w:val="24"/>
          <w:lang w:eastAsia="zh-CN"/>
        </w:rPr>
        <w:t>44.23%</w:t>
      </w:r>
      <w:r w:rsidRPr="00E67914">
        <w:rPr>
          <w:rFonts w:ascii="Times New Roman" w:hAnsi="Times New Roman"/>
          <w:spacing w:val="5"/>
          <w:sz w:val="24"/>
          <w:szCs w:val="24"/>
          <w:lang w:eastAsia="zh-CN"/>
        </w:rPr>
        <w:t>，具有代表性的属有冬青属</w:t>
      </w:r>
      <w:r w:rsidRPr="00E67914">
        <w:rPr>
          <w:rFonts w:ascii="Times New Roman" w:hAnsi="Times New Roman"/>
          <w:i/>
          <w:iCs/>
          <w:spacing w:val="5"/>
          <w:sz w:val="24"/>
          <w:szCs w:val="24"/>
          <w:lang w:eastAsia="zh-CN"/>
        </w:rPr>
        <w:t>Ilex</w:t>
      </w:r>
      <w:r w:rsidRPr="00E67914">
        <w:rPr>
          <w:rFonts w:ascii="Times New Roman" w:hAnsi="Times New Roman"/>
          <w:spacing w:val="5"/>
          <w:sz w:val="24"/>
          <w:szCs w:val="24"/>
          <w:lang w:eastAsia="zh-CN"/>
        </w:rPr>
        <w:t>、柃木属</w:t>
      </w:r>
      <w:r w:rsidRPr="00E67914">
        <w:rPr>
          <w:rFonts w:ascii="Times New Roman" w:hAnsi="Times New Roman"/>
          <w:i/>
          <w:iCs/>
          <w:spacing w:val="5"/>
          <w:sz w:val="24"/>
          <w:szCs w:val="24"/>
          <w:lang w:eastAsia="zh-CN"/>
        </w:rPr>
        <w:t>Eurya</w:t>
      </w:r>
      <w:r w:rsidRPr="00E67914">
        <w:rPr>
          <w:rFonts w:ascii="Times New Roman" w:hAnsi="Times New Roman"/>
          <w:spacing w:val="5"/>
          <w:sz w:val="24"/>
          <w:szCs w:val="24"/>
          <w:lang w:eastAsia="zh-CN"/>
        </w:rPr>
        <w:t>、凤仙花属</w:t>
      </w:r>
      <w:r w:rsidRPr="00E67914">
        <w:rPr>
          <w:rFonts w:ascii="Times New Roman" w:hAnsi="Times New Roman"/>
          <w:i/>
          <w:iCs/>
          <w:spacing w:val="5"/>
          <w:sz w:val="24"/>
          <w:szCs w:val="24"/>
          <w:lang w:eastAsia="zh-CN"/>
        </w:rPr>
        <w:t>Impatiens</w:t>
      </w:r>
      <w:r w:rsidRPr="00E67914">
        <w:rPr>
          <w:rFonts w:ascii="Times New Roman" w:hAnsi="Times New Roman"/>
          <w:spacing w:val="5"/>
          <w:sz w:val="24"/>
          <w:szCs w:val="24"/>
          <w:lang w:eastAsia="zh-CN"/>
        </w:rPr>
        <w:t>、醉鱼草属</w:t>
      </w:r>
      <w:r w:rsidRPr="00E67914">
        <w:rPr>
          <w:rFonts w:ascii="Times New Roman" w:hAnsi="Times New Roman"/>
          <w:i/>
          <w:iCs/>
          <w:spacing w:val="5"/>
          <w:sz w:val="24"/>
          <w:szCs w:val="24"/>
          <w:lang w:eastAsia="zh-CN"/>
        </w:rPr>
        <w:t>Buddleja</w:t>
      </w:r>
      <w:r w:rsidRPr="00E67914">
        <w:rPr>
          <w:rFonts w:ascii="Times New Roman" w:hAnsi="Times New Roman"/>
          <w:spacing w:val="5"/>
          <w:sz w:val="24"/>
          <w:szCs w:val="24"/>
          <w:lang w:eastAsia="zh-CN"/>
        </w:rPr>
        <w:t>等；温带分布区类型</w:t>
      </w:r>
      <w:r w:rsidRPr="00E67914">
        <w:rPr>
          <w:rFonts w:ascii="Times New Roman" w:hAnsi="Times New Roman"/>
          <w:spacing w:val="5"/>
          <w:sz w:val="24"/>
          <w:szCs w:val="24"/>
          <w:lang w:eastAsia="zh-CN"/>
        </w:rPr>
        <w:t>(8-14)</w:t>
      </w:r>
      <w:r w:rsidRPr="00E67914">
        <w:rPr>
          <w:rFonts w:ascii="Times New Roman" w:hAnsi="Times New Roman"/>
          <w:spacing w:val="5"/>
          <w:sz w:val="24"/>
          <w:szCs w:val="24"/>
          <w:lang w:eastAsia="zh-CN"/>
        </w:rPr>
        <w:t>含有</w:t>
      </w:r>
      <w:r w:rsidRPr="00E67914">
        <w:rPr>
          <w:rFonts w:ascii="Times New Roman" w:hAnsi="Times New Roman"/>
          <w:spacing w:val="5"/>
          <w:sz w:val="24"/>
          <w:szCs w:val="24"/>
          <w:lang w:eastAsia="zh-CN"/>
        </w:rPr>
        <w:t>81</w:t>
      </w:r>
      <w:r w:rsidRPr="00E67914">
        <w:rPr>
          <w:rFonts w:ascii="Times New Roman" w:hAnsi="Times New Roman"/>
          <w:spacing w:val="5"/>
          <w:sz w:val="24"/>
          <w:szCs w:val="24"/>
          <w:lang w:eastAsia="zh-CN"/>
        </w:rPr>
        <w:t>属，占评价区非世界分布种子植物总属数的</w:t>
      </w:r>
      <w:r w:rsidRPr="00E67914">
        <w:rPr>
          <w:rFonts w:ascii="Times New Roman" w:hAnsi="Times New Roman"/>
          <w:spacing w:val="5"/>
          <w:sz w:val="24"/>
          <w:szCs w:val="24"/>
          <w:lang w:eastAsia="zh-CN"/>
        </w:rPr>
        <w:t>51.92%</w:t>
      </w:r>
      <w:r w:rsidRPr="00E67914">
        <w:rPr>
          <w:rFonts w:ascii="Times New Roman" w:hAnsi="Times New Roman"/>
          <w:spacing w:val="5"/>
          <w:sz w:val="24"/>
          <w:szCs w:val="24"/>
          <w:lang w:eastAsia="zh-CN"/>
        </w:rPr>
        <w:t>，具有代表性的有胡颓子属</w:t>
      </w:r>
      <w:r w:rsidRPr="00E67914">
        <w:rPr>
          <w:rFonts w:ascii="Times New Roman" w:hAnsi="Times New Roman"/>
          <w:i/>
          <w:iCs/>
          <w:spacing w:val="5"/>
          <w:sz w:val="24"/>
          <w:szCs w:val="24"/>
          <w:lang w:eastAsia="zh-CN"/>
        </w:rPr>
        <w:t>Elaeagnus</w:t>
      </w:r>
      <w:r w:rsidRPr="00E67914">
        <w:rPr>
          <w:rFonts w:ascii="Times New Roman" w:hAnsi="Times New Roman"/>
          <w:spacing w:val="5"/>
          <w:sz w:val="24"/>
          <w:szCs w:val="24"/>
          <w:lang w:eastAsia="zh-CN"/>
        </w:rPr>
        <w:t>、胡桃属</w:t>
      </w:r>
      <w:r w:rsidRPr="00E67914">
        <w:rPr>
          <w:rFonts w:ascii="Times New Roman" w:hAnsi="Times New Roman"/>
          <w:i/>
          <w:iCs/>
          <w:spacing w:val="5"/>
          <w:sz w:val="24"/>
          <w:szCs w:val="24"/>
          <w:lang w:eastAsia="zh-CN"/>
        </w:rPr>
        <w:t>Juglans</w:t>
      </w:r>
      <w:r w:rsidRPr="00E67914">
        <w:rPr>
          <w:rFonts w:ascii="Times New Roman" w:hAnsi="Times New Roman"/>
          <w:spacing w:val="5"/>
          <w:sz w:val="24"/>
          <w:szCs w:val="24"/>
          <w:lang w:eastAsia="zh-CN"/>
        </w:rPr>
        <w:t>、报春花属</w:t>
      </w:r>
      <w:r w:rsidRPr="00E67914">
        <w:rPr>
          <w:rFonts w:ascii="Times New Roman" w:hAnsi="Times New Roman"/>
          <w:i/>
          <w:iCs/>
          <w:spacing w:val="5"/>
          <w:sz w:val="24"/>
          <w:szCs w:val="24"/>
          <w:lang w:eastAsia="zh-CN"/>
        </w:rPr>
        <w:t>Primula</w:t>
      </w:r>
      <w:r w:rsidRPr="00E67914">
        <w:rPr>
          <w:rFonts w:ascii="Times New Roman" w:hAnsi="Times New Roman"/>
          <w:spacing w:val="5"/>
          <w:sz w:val="24"/>
          <w:szCs w:val="24"/>
          <w:lang w:eastAsia="zh-CN"/>
        </w:rPr>
        <w:t>、杜鹃属</w:t>
      </w:r>
      <w:r w:rsidRPr="00E67914">
        <w:rPr>
          <w:rFonts w:ascii="Times New Roman" w:hAnsi="Times New Roman"/>
          <w:i/>
          <w:iCs/>
          <w:spacing w:val="5"/>
          <w:sz w:val="24"/>
          <w:szCs w:val="24"/>
          <w:lang w:eastAsia="zh-CN"/>
        </w:rPr>
        <w:t>Rhododendron</w:t>
      </w:r>
      <w:r w:rsidRPr="00E67914">
        <w:rPr>
          <w:rFonts w:ascii="Times New Roman" w:hAnsi="Times New Roman"/>
          <w:spacing w:val="5"/>
          <w:sz w:val="24"/>
          <w:szCs w:val="24"/>
          <w:lang w:eastAsia="zh-CN"/>
        </w:rPr>
        <w:t>、胡枝子属</w:t>
      </w:r>
      <w:r w:rsidRPr="00E67914">
        <w:rPr>
          <w:rFonts w:ascii="Times New Roman" w:hAnsi="Times New Roman"/>
          <w:i/>
          <w:iCs/>
          <w:spacing w:val="5"/>
          <w:sz w:val="24"/>
          <w:szCs w:val="24"/>
          <w:lang w:eastAsia="zh-CN"/>
        </w:rPr>
        <w:t>Lespedeza</w:t>
      </w:r>
      <w:r w:rsidRPr="00E67914">
        <w:rPr>
          <w:rFonts w:ascii="Times New Roman" w:hAnsi="Times New Roman"/>
          <w:spacing w:val="5"/>
          <w:sz w:val="24"/>
          <w:szCs w:val="24"/>
          <w:lang w:eastAsia="zh-CN"/>
        </w:rPr>
        <w:t>、接骨木属</w:t>
      </w:r>
      <w:r w:rsidRPr="00E67914">
        <w:rPr>
          <w:rFonts w:ascii="Times New Roman" w:hAnsi="Times New Roman"/>
          <w:i/>
          <w:iCs/>
          <w:spacing w:val="5"/>
          <w:sz w:val="24"/>
          <w:szCs w:val="24"/>
          <w:lang w:eastAsia="zh-CN"/>
        </w:rPr>
        <w:t>Sambucus</w:t>
      </w:r>
      <w:r w:rsidRPr="00E67914">
        <w:rPr>
          <w:rFonts w:ascii="Times New Roman" w:hAnsi="Times New Roman"/>
          <w:spacing w:val="5"/>
          <w:sz w:val="24"/>
          <w:szCs w:val="24"/>
          <w:lang w:eastAsia="zh-CN"/>
        </w:rPr>
        <w:t>、楤木属</w:t>
      </w:r>
      <w:r w:rsidRPr="00E67914">
        <w:rPr>
          <w:rFonts w:ascii="Times New Roman" w:hAnsi="Times New Roman"/>
          <w:i/>
          <w:iCs/>
          <w:spacing w:val="5"/>
          <w:sz w:val="24"/>
          <w:szCs w:val="24"/>
          <w:lang w:eastAsia="zh-CN"/>
        </w:rPr>
        <w:t>Aralia</w:t>
      </w:r>
      <w:r w:rsidRPr="00E67914">
        <w:rPr>
          <w:rFonts w:ascii="Times New Roman" w:hAnsi="Times New Roman"/>
          <w:spacing w:val="5"/>
          <w:sz w:val="24"/>
          <w:szCs w:val="24"/>
          <w:lang w:eastAsia="zh-CN"/>
        </w:rPr>
        <w:t>、马桑属</w:t>
      </w:r>
      <w:r w:rsidRPr="00E67914">
        <w:rPr>
          <w:rFonts w:ascii="Times New Roman" w:hAnsi="Times New Roman"/>
          <w:i/>
          <w:iCs/>
          <w:spacing w:val="5"/>
          <w:sz w:val="24"/>
          <w:szCs w:val="24"/>
          <w:lang w:eastAsia="zh-CN"/>
        </w:rPr>
        <w:t>Coriaria</w:t>
      </w:r>
      <w:r w:rsidRPr="00E67914">
        <w:rPr>
          <w:rFonts w:ascii="Times New Roman" w:hAnsi="Times New Roman"/>
          <w:spacing w:val="5"/>
          <w:sz w:val="24"/>
          <w:szCs w:val="24"/>
          <w:lang w:eastAsia="zh-CN"/>
        </w:rPr>
        <w:t>、荚蒾属</w:t>
      </w:r>
      <w:r w:rsidRPr="00E67914">
        <w:rPr>
          <w:rFonts w:ascii="Times New Roman" w:hAnsi="Times New Roman"/>
          <w:i/>
          <w:iCs/>
          <w:spacing w:val="5"/>
          <w:sz w:val="24"/>
          <w:szCs w:val="24"/>
          <w:lang w:eastAsia="zh-CN"/>
        </w:rPr>
        <w:t>Viburnum</w:t>
      </w:r>
      <w:r w:rsidRPr="00E67914">
        <w:rPr>
          <w:rFonts w:ascii="Times New Roman" w:hAnsi="Times New Roman"/>
          <w:spacing w:val="5"/>
          <w:sz w:val="24"/>
          <w:szCs w:val="24"/>
          <w:lang w:eastAsia="zh-CN"/>
        </w:rPr>
        <w:t>、栎属</w:t>
      </w:r>
      <w:r w:rsidRPr="00E67914">
        <w:rPr>
          <w:rFonts w:ascii="Times New Roman" w:hAnsi="Times New Roman"/>
          <w:i/>
          <w:iCs/>
          <w:spacing w:val="5"/>
          <w:sz w:val="24"/>
          <w:szCs w:val="24"/>
          <w:lang w:eastAsia="zh-CN"/>
        </w:rPr>
        <w:t>Quercus</w:t>
      </w:r>
      <w:r w:rsidRPr="00E67914">
        <w:rPr>
          <w:rFonts w:ascii="Times New Roman" w:hAnsi="Times New Roman"/>
          <w:spacing w:val="5"/>
          <w:sz w:val="24"/>
          <w:szCs w:val="24"/>
          <w:lang w:eastAsia="zh-CN"/>
        </w:rPr>
        <w:t>、蔷薇属</w:t>
      </w:r>
      <w:r w:rsidRPr="00E67914">
        <w:rPr>
          <w:rFonts w:ascii="Times New Roman" w:hAnsi="Times New Roman"/>
          <w:i/>
          <w:iCs/>
          <w:spacing w:val="5"/>
          <w:sz w:val="24"/>
          <w:szCs w:val="24"/>
          <w:lang w:eastAsia="zh-CN"/>
        </w:rPr>
        <w:t>Rosa</w:t>
      </w:r>
      <w:r w:rsidRPr="00E67914">
        <w:rPr>
          <w:rFonts w:ascii="Times New Roman" w:hAnsi="Times New Roman"/>
          <w:spacing w:val="5"/>
          <w:sz w:val="24"/>
          <w:szCs w:val="24"/>
          <w:lang w:eastAsia="zh-CN"/>
        </w:rPr>
        <w:t>、忍冬属</w:t>
      </w:r>
      <w:r w:rsidRPr="00E67914">
        <w:rPr>
          <w:rFonts w:ascii="Times New Roman" w:hAnsi="Times New Roman"/>
          <w:i/>
          <w:iCs/>
          <w:spacing w:val="5"/>
          <w:sz w:val="24"/>
          <w:szCs w:val="24"/>
          <w:lang w:eastAsia="zh-CN"/>
        </w:rPr>
        <w:t>Lonicera</w:t>
      </w:r>
      <w:r w:rsidRPr="00E67914">
        <w:rPr>
          <w:rFonts w:ascii="Times New Roman" w:hAnsi="Times New Roman"/>
          <w:spacing w:val="5"/>
          <w:sz w:val="24"/>
          <w:szCs w:val="24"/>
          <w:lang w:eastAsia="zh-CN"/>
        </w:rPr>
        <w:t>、香青属</w:t>
      </w:r>
      <w:r w:rsidRPr="00E67914">
        <w:rPr>
          <w:rFonts w:ascii="Times New Roman" w:hAnsi="Times New Roman"/>
          <w:i/>
          <w:iCs/>
          <w:spacing w:val="5"/>
          <w:sz w:val="24"/>
          <w:szCs w:val="24"/>
          <w:lang w:eastAsia="zh-CN"/>
        </w:rPr>
        <w:t>Anaphalis</w:t>
      </w:r>
      <w:r w:rsidRPr="00E67914">
        <w:rPr>
          <w:rFonts w:ascii="Times New Roman" w:hAnsi="Times New Roman"/>
          <w:spacing w:val="5"/>
          <w:sz w:val="24"/>
          <w:szCs w:val="24"/>
          <w:lang w:eastAsia="zh-CN"/>
        </w:rPr>
        <w:t>等；中国特有植物属</w:t>
      </w:r>
      <w:r w:rsidRPr="00E67914">
        <w:rPr>
          <w:rFonts w:ascii="Times New Roman" w:hAnsi="Times New Roman"/>
          <w:spacing w:val="5"/>
          <w:sz w:val="24"/>
          <w:szCs w:val="24"/>
          <w:lang w:eastAsia="zh-CN"/>
        </w:rPr>
        <w:t>6</w:t>
      </w:r>
      <w:r w:rsidRPr="00E67914">
        <w:rPr>
          <w:rFonts w:ascii="Times New Roman" w:hAnsi="Times New Roman"/>
          <w:spacing w:val="5"/>
          <w:sz w:val="24"/>
          <w:szCs w:val="24"/>
          <w:lang w:eastAsia="zh-CN"/>
        </w:rPr>
        <w:t>属，占</w:t>
      </w:r>
      <w:r w:rsidRPr="00E67914">
        <w:rPr>
          <w:rFonts w:ascii="Times New Roman" w:hAnsi="Times New Roman"/>
          <w:spacing w:val="5"/>
          <w:sz w:val="24"/>
          <w:szCs w:val="24"/>
          <w:lang w:eastAsia="zh-CN"/>
        </w:rPr>
        <w:t>3.85%</w:t>
      </w:r>
      <w:r w:rsidRPr="00E67914">
        <w:rPr>
          <w:rFonts w:ascii="Times New Roman" w:hAnsi="Times New Roman"/>
          <w:spacing w:val="5"/>
          <w:sz w:val="24"/>
          <w:szCs w:val="24"/>
          <w:lang w:eastAsia="zh-CN"/>
        </w:rPr>
        <w:t>，分别是喜树属</w:t>
      </w:r>
      <w:r w:rsidRPr="00E67914">
        <w:rPr>
          <w:rFonts w:ascii="Times New Roman" w:hAnsi="Times New Roman"/>
          <w:i/>
          <w:iCs/>
          <w:spacing w:val="5"/>
          <w:sz w:val="24"/>
          <w:szCs w:val="24"/>
          <w:lang w:eastAsia="zh-CN"/>
        </w:rPr>
        <w:t>Camptotheca</w:t>
      </w:r>
      <w:r w:rsidRPr="00E67914">
        <w:rPr>
          <w:rFonts w:ascii="Times New Roman" w:hAnsi="Times New Roman"/>
          <w:spacing w:val="5"/>
          <w:sz w:val="24"/>
          <w:szCs w:val="24"/>
          <w:lang w:eastAsia="zh-CN"/>
        </w:rPr>
        <w:t>、杉木属</w:t>
      </w:r>
      <w:r w:rsidRPr="00E67914">
        <w:rPr>
          <w:rFonts w:ascii="Times New Roman" w:hAnsi="Times New Roman"/>
          <w:i/>
          <w:iCs/>
          <w:spacing w:val="5"/>
          <w:sz w:val="24"/>
          <w:szCs w:val="24"/>
          <w:lang w:eastAsia="zh-CN"/>
        </w:rPr>
        <w:t>Cunninghamia</w:t>
      </w:r>
      <w:r w:rsidRPr="00E67914">
        <w:rPr>
          <w:rFonts w:ascii="Times New Roman" w:hAnsi="Times New Roman"/>
          <w:spacing w:val="5"/>
          <w:sz w:val="24"/>
          <w:szCs w:val="24"/>
          <w:lang w:eastAsia="zh-CN"/>
        </w:rPr>
        <w:t>、银杏属</w:t>
      </w:r>
      <w:r w:rsidRPr="00E67914">
        <w:rPr>
          <w:rFonts w:ascii="Times New Roman" w:hAnsi="Times New Roman"/>
          <w:i/>
          <w:iCs/>
          <w:spacing w:val="5"/>
          <w:sz w:val="24"/>
          <w:szCs w:val="24"/>
          <w:lang w:eastAsia="zh-CN"/>
        </w:rPr>
        <w:t>Ginkgo</w:t>
      </w:r>
      <w:r w:rsidRPr="00E67914">
        <w:rPr>
          <w:rFonts w:ascii="Times New Roman" w:hAnsi="Times New Roman"/>
          <w:spacing w:val="5"/>
          <w:sz w:val="24"/>
          <w:szCs w:val="24"/>
          <w:lang w:eastAsia="zh-CN"/>
        </w:rPr>
        <w:t>、水杉属</w:t>
      </w:r>
      <w:r w:rsidRPr="00E67914">
        <w:rPr>
          <w:rFonts w:ascii="Times New Roman" w:hAnsi="Times New Roman"/>
          <w:i/>
          <w:iCs/>
          <w:spacing w:val="5"/>
          <w:sz w:val="24"/>
          <w:szCs w:val="24"/>
          <w:lang w:eastAsia="zh-CN"/>
        </w:rPr>
        <w:t>Metasequoia</w:t>
      </w:r>
      <w:r w:rsidRPr="00E67914">
        <w:rPr>
          <w:rFonts w:ascii="Times New Roman" w:hAnsi="Times New Roman"/>
          <w:spacing w:val="5"/>
          <w:sz w:val="24"/>
          <w:szCs w:val="24"/>
          <w:lang w:eastAsia="zh-CN"/>
        </w:rPr>
        <w:t>、慈竹属</w:t>
      </w:r>
      <w:r w:rsidRPr="00E67914">
        <w:rPr>
          <w:rFonts w:ascii="Times New Roman" w:hAnsi="Times New Roman"/>
          <w:i/>
          <w:iCs/>
          <w:spacing w:val="5"/>
          <w:sz w:val="24"/>
          <w:szCs w:val="24"/>
          <w:lang w:eastAsia="zh-CN"/>
        </w:rPr>
        <w:t>Neosinocalamus</w:t>
      </w:r>
      <w:r w:rsidRPr="00E67914">
        <w:rPr>
          <w:rFonts w:ascii="Times New Roman" w:hAnsi="Times New Roman"/>
          <w:spacing w:val="5"/>
          <w:sz w:val="24"/>
          <w:szCs w:val="24"/>
          <w:lang w:eastAsia="zh-CN"/>
        </w:rPr>
        <w:t>、通脱木属</w:t>
      </w:r>
      <w:r w:rsidRPr="00E67914">
        <w:rPr>
          <w:rFonts w:ascii="Times New Roman" w:hAnsi="Times New Roman"/>
          <w:i/>
          <w:iCs/>
          <w:spacing w:val="5"/>
          <w:sz w:val="24"/>
          <w:szCs w:val="24"/>
          <w:lang w:eastAsia="zh-CN"/>
        </w:rPr>
        <w:t>Tetrapanax</w:t>
      </w:r>
      <w:r w:rsidRPr="00E67914">
        <w:rPr>
          <w:rFonts w:ascii="Times New Roman" w:hAnsi="Times New Roman"/>
          <w:spacing w:val="5"/>
          <w:sz w:val="24"/>
          <w:szCs w:val="24"/>
          <w:lang w:eastAsia="zh-CN"/>
        </w:rPr>
        <w:t>。从属的分布区类型来看，区域内种子植物区系成分以北温带分布、东亚分布、泛热带分布、东亚和北美洲间断分布、旧世界温带所代表的温带成分为主，同时热带成分也有近四成的比例，反映出项目区域种子植物在属级水平上区系性质的复杂性，种子植物温带分布属显著多于其他区系成分，因此项目区域种子植物带有极其明显的温带成分性质，这与项目区域所处的</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亚热带常绿阔叶林区域</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川东盆地及川西南山地常绿阔叶林地带</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东部常绿阔叶林亚区域</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川东盆地偏湿性常绿阔叶林亚带</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盆边北部中山植被地区</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北亚热带常绿、落叶阔叶混交林地带</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大巴山植被小区</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秦、巴山地丘陵，栎类林、巴山松、马尾松林区</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气候条件相符。</w:t>
      </w:r>
    </w:p>
    <w:p w14:paraId="0703394E" w14:textId="77777777" w:rsidR="00A54A8A" w:rsidRPr="00E67914" w:rsidRDefault="00000000">
      <w:pPr>
        <w:adjustRightInd w:val="0"/>
        <w:snapToGrid w:val="0"/>
        <w:spacing w:line="360" w:lineRule="auto"/>
        <w:ind w:firstLineChars="200" w:firstLine="492"/>
        <w:jc w:val="both"/>
        <w:rPr>
          <w:rFonts w:ascii="Times New Roman" w:hAnsi="Times New Roman"/>
          <w:b/>
          <w:bCs/>
          <w:spacing w:val="5"/>
          <w:sz w:val="24"/>
          <w:szCs w:val="24"/>
          <w:lang w:eastAsia="zh-CN"/>
        </w:rPr>
      </w:pPr>
      <w:r w:rsidRPr="00E67914">
        <w:rPr>
          <w:rFonts w:ascii="Times New Roman" w:hAnsi="Times New Roman"/>
          <w:b/>
          <w:bCs/>
          <w:spacing w:val="5"/>
          <w:sz w:val="24"/>
          <w:szCs w:val="24"/>
          <w:lang w:eastAsia="zh-CN"/>
        </w:rPr>
        <w:t>（</w:t>
      </w:r>
      <w:r w:rsidRPr="00E67914">
        <w:rPr>
          <w:rFonts w:ascii="Times New Roman" w:hAnsi="Times New Roman"/>
          <w:b/>
          <w:bCs/>
          <w:spacing w:val="5"/>
          <w:sz w:val="24"/>
          <w:szCs w:val="24"/>
          <w:lang w:eastAsia="zh-CN"/>
        </w:rPr>
        <w:t>4</w:t>
      </w:r>
      <w:r w:rsidRPr="00E67914">
        <w:rPr>
          <w:rFonts w:ascii="Times New Roman" w:hAnsi="Times New Roman"/>
          <w:b/>
          <w:bCs/>
          <w:spacing w:val="5"/>
          <w:sz w:val="24"/>
          <w:szCs w:val="24"/>
          <w:lang w:eastAsia="zh-CN"/>
        </w:rPr>
        <w:t>）存在的主要生态问题</w:t>
      </w:r>
    </w:p>
    <w:p w14:paraId="21BA0EA0" w14:textId="77777777" w:rsidR="00A54A8A" w:rsidRPr="00E67914" w:rsidRDefault="00000000">
      <w:pPr>
        <w:adjustRightInd w:val="0"/>
        <w:snapToGrid w:val="0"/>
        <w:spacing w:line="360" w:lineRule="auto"/>
        <w:ind w:firstLineChars="200" w:firstLine="490"/>
        <w:jc w:val="both"/>
        <w:rPr>
          <w:rFonts w:ascii="Times New Roman" w:hAnsi="Times New Roman"/>
          <w:sz w:val="24"/>
          <w:szCs w:val="24"/>
          <w:lang w:eastAsia="zh-CN"/>
        </w:rPr>
      </w:pPr>
      <w:r w:rsidRPr="00E67914">
        <w:rPr>
          <w:rFonts w:ascii="Times New Roman" w:hAnsi="Times New Roman"/>
          <w:spacing w:val="5"/>
          <w:sz w:val="24"/>
          <w:szCs w:val="24"/>
          <w:lang w:eastAsia="zh-CN"/>
        </w:rPr>
        <w:t>项目所在区域宣汉县现有植被以次生性森林为主。过去由于人们对生态效益认识不足，在经济建设过程中对阔叶林资源进行掠夺式的开发利用，经历上</w:t>
      </w:r>
      <w:r w:rsidRPr="00E67914">
        <w:rPr>
          <w:rFonts w:ascii="Times New Roman" w:hAnsi="Times New Roman"/>
          <w:spacing w:val="5"/>
          <w:sz w:val="24"/>
          <w:szCs w:val="24"/>
          <w:lang w:eastAsia="zh-CN"/>
        </w:rPr>
        <w:t>50</w:t>
      </w:r>
      <w:r w:rsidRPr="00E67914">
        <w:rPr>
          <w:rFonts w:ascii="Times New Roman" w:hAnsi="Times New Roman"/>
          <w:spacing w:val="5"/>
          <w:sz w:val="24"/>
          <w:szCs w:val="24"/>
          <w:lang w:eastAsia="zh-CN"/>
        </w:rPr>
        <w:t>年代</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大跃进</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式的毁林开荒，以及</w:t>
      </w:r>
      <w:r w:rsidRPr="00E67914">
        <w:rPr>
          <w:rFonts w:ascii="Times New Roman" w:hAnsi="Times New Roman"/>
          <w:spacing w:val="5"/>
          <w:sz w:val="24"/>
          <w:szCs w:val="24"/>
          <w:lang w:eastAsia="zh-CN"/>
        </w:rPr>
        <w:t>80</w:t>
      </w:r>
      <w:r w:rsidRPr="00E67914">
        <w:rPr>
          <w:rFonts w:ascii="Times New Roman" w:hAnsi="Times New Roman"/>
          <w:spacing w:val="5"/>
          <w:sz w:val="24"/>
          <w:szCs w:val="24"/>
          <w:lang w:eastAsia="zh-CN"/>
        </w:rPr>
        <w:t>年代初期的</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分林到户</w:t>
      </w:r>
      <w:r w:rsidRPr="00E67914">
        <w:rPr>
          <w:rFonts w:ascii="Times New Roman" w:hAnsi="Times New Roman"/>
          <w:spacing w:val="5"/>
          <w:sz w:val="24"/>
          <w:szCs w:val="24"/>
          <w:lang w:eastAsia="zh-CN"/>
        </w:rPr>
        <w:t>”</w:t>
      </w:r>
      <w:r w:rsidRPr="00E67914">
        <w:rPr>
          <w:rFonts w:ascii="Times New Roman" w:hAnsi="Times New Roman"/>
          <w:spacing w:val="5"/>
          <w:sz w:val="24"/>
          <w:szCs w:val="24"/>
          <w:lang w:eastAsia="zh-CN"/>
        </w:rPr>
        <w:t>而引发的乱砍滥伐，宣汉县境内天然阔叶林资源遭到严重破坏，许多天然阔叶林由于强度砍伐目前只留下灌草丛，有的甚至已退化成坡耕地，虽然目前经过退耕还林封山育林，不删区域已经变为乔木林，但多为次生人工幼林，生态效益不高。项目区域周边人口较多，日益增长的人口压力将对山地森林生态系统及其物种资源构成极大的威胁。一旦遭受破坏，极容易引起水土流失，造成</w:t>
      </w:r>
      <w:r w:rsidRPr="00E67914">
        <w:rPr>
          <w:rFonts w:ascii="Times New Roman" w:hAnsi="Times New Roman"/>
          <w:spacing w:val="5"/>
          <w:sz w:val="24"/>
          <w:szCs w:val="24"/>
          <w:lang w:eastAsia="zh-CN"/>
        </w:rPr>
        <w:lastRenderedPageBreak/>
        <w:t>生态环境的恶化。生态系统要想恢复到破坏前的状态，至少也要几十年，乃至上百年的时间。若不采取措施，及时保护，若干年后，将不复存在。由此可见，评价范围的森林生态系统和物种资源是非常脆弱的</w:t>
      </w:r>
      <w:r w:rsidRPr="00E67914">
        <w:rPr>
          <w:rFonts w:ascii="Times New Roman" w:hAnsi="Times New Roman"/>
          <w:sz w:val="24"/>
          <w:szCs w:val="24"/>
          <w:lang w:eastAsia="zh-CN"/>
        </w:rPr>
        <w:t>。</w:t>
      </w:r>
    </w:p>
    <w:p w14:paraId="79CFC6D2"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4.3.4</w:t>
      </w:r>
      <w:r w:rsidRPr="00E67914">
        <w:rPr>
          <w:rFonts w:ascii="Times New Roman" w:eastAsia="黑体" w:hAnsi="Times New Roman"/>
          <w:b w:val="0"/>
          <w:sz w:val="24"/>
          <w:szCs w:val="24"/>
          <w:lang w:eastAsia="zh-CN"/>
        </w:rPr>
        <w:t>评价范围陆生植被现状</w:t>
      </w:r>
      <w:bookmarkEnd w:id="125"/>
      <w:r w:rsidRPr="00E67914">
        <w:rPr>
          <w:rFonts w:ascii="Times New Roman" w:eastAsia="黑体" w:hAnsi="Times New Roman"/>
          <w:b w:val="0"/>
          <w:sz w:val="24"/>
          <w:szCs w:val="24"/>
          <w:lang w:eastAsia="zh-CN"/>
        </w:rPr>
        <w:t>调查</w:t>
      </w:r>
    </w:p>
    <w:p w14:paraId="330B570F" w14:textId="77777777" w:rsidR="00A54A8A" w:rsidRPr="00E67914" w:rsidRDefault="00000000">
      <w:pPr>
        <w:pStyle w:val="41"/>
        <w:adjustRightInd w:val="0"/>
        <w:snapToGrid w:val="0"/>
        <w:spacing w:line="360" w:lineRule="auto"/>
        <w:ind w:firstLineChars="200" w:firstLine="482"/>
        <w:rPr>
          <w:b/>
          <w:bCs/>
          <w:sz w:val="24"/>
          <w:szCs w:val="24"/>
        </w:rPr>
      </w:pPr>
      <w:r w:rsidRPr="00E67914">
        <w:rPr>
          <w:b/>
          <w:bCs/>
          <w:sz w:val="24"/>
          <w:szCs w:val="24"/>
        </w:rPr>
        <w:t>1</w:t>
      </w:r>
      <w:r w:rsidRPr="00E67914">
        <w:rPr>
          <w:b/>
          <w:bCs/>
          <w:sz w:val="24"/>
          <w:szCs w:val="24"/>
        </w:rPr>
        <w:t>、评价范围内植被概况</w:t>
      </w:r>
    </w:p>
    <w:p w14:paraId="55179C29" w14:textId="77777777" w:rsidR="00A54A8A" w:rsidRPr="00E67914" w:rsidRDefault="00000000">
      <w:pPr>
        <w:adjustRightInd w:val="0"/>
        <w:snapToGrid w:val="0"/>
        <w:spacing w:line="360" w:lineRule="auto"/>
        <w:ind w:firstLineChars="200" w:firstLine="476"/>
        <w:rPr>
          <w:rFonts w:ascii="Times New Roman" w:hAnsi="Times New Roman"/>
          <w:spacing w:val="-2"/>
          <w:sz w:val="24"/>
          <w:szCs w:val="24"/>
          <w:lang w:eastAsia="zh-CN"/>
        </w:rPr>
      </w:pPr>
      <w:r w:rsidRPr="00E67914">
        <w:rPr>
          <w:rFonts w:ascii="Times New Roman" w:hAnsi="Times New Roman"/>
          <w:spacing w:val="-2"/>
          <w:sz w:val="24"/>
          <w:szCs w:val="24"/>
          <w:lang w:eastAsia="zh-CN"/>
        </w:rPr>
        <w:t>现场调查情况，评价区地带性植物为亚热带常绿阔叶林，植被覆盖度较高，亚热带针叶林、阔叶林植被，亚热带灌丛、热性草丛植被较常见，有明显的热带特征，评价区内天然植被和人工栽植植被均广泛分布。</w:t>
      </w:r>
    </w:p>
    <w:p w14:paraId="05CEB634" w14:textId="77777777" w:rsidR="00A54A8A" w:rsidRPr="00E67914" w:rsidRDefault="00000000">
      <w:pPr>
        <w:pStyle w:val="41"/>
        <w:numPr>
          <w:ilvl w:val="0"/>
          <w:numId w:val="4"/>
        </w:numPr>
        <w:adjustRightInd w:val="0"/>
        <w:snapToGrid w:val="0"/>
        <w:spacing w:line="360" w:lineRule="auto"/>
        <w:ind w:firstLineChars="200" w:firstLine="482"/>
        <w:rPr>
          <w:b/>
          <w:bCs/>
          <w:sz w:val="24"/>
          <w:szCs w:val="24"/>
        </w:rPr>
      </w:pPr>
      <w:r w:rsidRPr="00E67914">
        <w:rPr>
          <w:b/>
          <w:bCs/>
          <w:sz w:val="24"/>
          <w:szCs w:val="24"/>
        </w:rPr>
        <w:t>植物群落结构及演替规律</w:t>
      </w:r>
    </w:p>
    <w:p w14:paraId="66308C2E" w14:textId="77777777" w:rsidR="00A54A8A" w:rsidRPr="00E67914" w:rsidRDefault="00000000">
      <w:pPr>
        <w:pStyle w:val="HH"/>
        <w:adjustRightInd w:val="0"/>
        <w:snapToGrid w:val="0"/>
        <w:rPr>
          <w:rFonts w:cs="Times New Roman"/>
        </w:rPr>
      </w:pPr>
      <w:r w:rsidRPr="00E67914">
        <w:rPr>
          <w:rFonts w:cs="Times New Roman"/>
        </w:rPr>
        <w:t>评价区植物群落主要为乔木、灌木、草本为主的结构特征，其中乔木群落结构多为乔灌草三层植被，灌木群落结构多为灌草双层植被，草本群落则多为草丛单层植被。群落自然演替规律总体呈现草本</w:t>
      </w:r>
      <w:r w:rsidRPr="00E67914">
        <w:rPr>
          <w:rFonts w:cs="Times New Roman"/>
        </w:rPr>
        <w:t>-</w:t>
      </w:r>
      <w:r w:rsidRPr="00E67914">
        <w:rPr>
          <w:rFonts w:cs="Times New Roman"/>
        </w:rPr>
        <w:t>灌丛</w:t>
      </w:r>
      <w:r w:rsidRPr="00E67914">
        <w:rPr>
          <w:rFonts w:cs="Times New Roman"/>
        </w:rPr>
        <w:t>-</w:t>
      </w:r>
      <w:r w:rsidRPr="00E67914">
        <w:rPr>
          <w:rFonts w:cs="Times New Roman"/>
        </w:rPr>
        <w:t>乔木方向演替。同时，随着近年退耕还林等人为活动影响，还存在草本</w:t>
      </w:r>
      <w:r w:rsidRPr="00E67914">
        <w:rPr>
          <w:rFonts w:cs="Times New Roman"/>
        </w:rPr>
        <w:t>-</w:t>
      </w:r>
      <w:r w:rsidRPr="00E67914">
        <w:rPr>
          <w:rFonts w:cs="Times New Roman"/>
        </w:rPr>
        <w:t>园地、草本</w:t>
      </w:r>
      <w:r w:rsidRPr="00E67914">
        <w:rPr>
          <w:rFonts w:cs="Times New Roman"/>
        </w:rPr>
        <w:t>-</w:t>
      </w:r>
      <w:r w:rsidRPr="00E67914">
        <w:rPr>
          <w:rFonts w:cs="Times New Roman"/>
        </w:rPr>
        <w:t>乔木、灌丛</w:t>
      </w:r>
      <w:r w:rsidRPr="00E67914">
        <w:rPr>
          <w:rFonts w:cs="Times New Roman"/>
        </w:rPr>
        <w:t>-</w:t>
      </w:r>
      <w:r w:rsidRPr="00E67914">
        <w:rPr>
          <w:rFonts w:cs="Times New Roman"/>
        </w:rPr>
        <w:t>乔木、旱地</w:t>
      </w:r>
      <w:r w:rsidRPr="00E67914">
        <w:rPr>
          <w:rFonts w:cs="Times New Roman"/>
        </w:rPr>
        <w:t>-</w:t>
      </w:r>
      <w:r w:rsidRPr="00E67914">
        <w:rPr>
          <w:rFonts w:cs="Times New Roman"/>
        </w:rPr>
        <w:t>园地、旱地</w:t>
      </w:r>
      <w:r w:rsidRPr="00E67914">
        <w:rPr>
          <w:rFonts w:cs="Times New Roman"/>
        </w:rPr>
        <w:t>-</w:t>
      </w:r>
      <w:r w:rsidRPr="00E67914">
        <w:rPr>
          <w:rFonts w:cs="Times New Roman"/>
        </w:rPr>
        <w:t>乔木等结构演替，总之，项目区植物群落总体朝向生物多样性更加复杂、生产力和生物量更加丰富、生态系统结构更加稳定的方向演变。</w:t>
      </w:r>
    </w:p>
    <w:p w14:paraId="6F7EAFC1" w14:textId="77777777" w:rsidR="00A54A8A" w:rsidRPr="00E67914" w:rsidRDefault="00000000">
      <w:pPr>
        <w:pStyle w:val="HH"/>
        <w:adjustRightInd w:val="0"/>
        <w:snapToGrid w:val="0"/>
        <w:ind w:firstLine="482"/>
        <w:rPr>
          <w:rFonts w:cs="Times New Roman"/>
          <w:b/>
          <w:bCs/>
        </w:rPr>
      </w:pPr>
      <w:r w:rsidRPr="00E67914">
        <w:rPr>
          <w:rFonts w:cs="Times New Roman"/>
          <w:b/>
          <w:bCs/>
        </w:rPr>
        <w:t>3</w:t>
      </w:r>
      <w:r w:rsidRPr="00E67914">
        <w:rPr>
          <w:rFonts w:cs="Times New Roman"/>
          <w:b/>
          <w:bCs/>
        </w:rPr>
        <w:t>、评价范围内维管束植物组成</w:t>
      </w:r>
    </w:p>
    <w:p w14:paraId="6A29604B" w14:textId="77777777" w:rsidR="00A54A8A" w:rsidRPr="00E67914" w:rsidRDefault="00000000">
      <w:pPr>
        <w:spacing w:line="360" w:lineRule="auto"/>
        <w:ind w:firstLine="479"/>
        <w:jc w:val="both"/>
        <w:rPr>
          <w:rFonts w:ascii="Times New Roman" w:hAnsi="Times New Roman"/>
          <w:sz w:val="24"/>
          <w:szCs w:val="24"/>
          <w:lang w:eastAsia="zh-CN"/>
        </w:rPr>
      </w:pPr>
      <w:r w:rsidRPr="00E67914">
        <w:rPr>
          <w:rFonts w:ascii="Times New Roman" w:hAnsi="Times New Roman"/>
          <w:spacing w:val="7"/>
          <w:sz w:val="24"/>
          <w:szCs w:val="24"/>
          <w:lang w:eastAsia="zh-CN"/>
        </w:rPr>
        <w:t>评价区共有维管束植物有</w:t>
      </w:r>
      <w:r w:rsidRPr="00E67914">
        <w:rPr>
          <w:rFonts w:ascii="Times New Roman" w:hAnsi="Times New Roman"/>
          <w:spacing w:val="7"/>
          <w:sz w:val="24"/>
          <w:szCs w:val="24"/>
          <w:lang w:eastAsia="zh-CN"/>
        </w:rPr>
        <w:t>35</w:t>
      </w:r>
      <w:r w:rsidRPr="00E67914">
        <w:rPr>
          <w:rFonts w:ascii="Times New Roman" w:hAnsi="Times New Roman"/>
          <w:spacing w:val="7"/>
          <w:sz w:val="24"/>
          <w:szCs w:val="24"/>
          <w:lang w:eastAsia="zh-CN"/>
        </w:rPr>
        <w:t>目，</w:t>
      </w:r>
      <w:r w:rsidRPr="00E67914">
        <w:rPr>
          <w:rFonts w:ascii="Times New Roman" w:hAnsi="Times New Roman"/>
          <w:spacing w:val="4"/>
          <w:sz w:val="24"/>
          <w:szCs w:val="24"/>
          <w:lang w:eastAsia="zh-CN"/>
        </w:rPr>
        <w:t>78</w:t>
      </w:r>
      <w:r w:rsidRPr="00E67914">
        <w:rPr>
          <w:rFonts w:ascii="Times New Roman" w:hAnsi="Times New Roman"/>
          <w:spacing w:val="7"/>
          <w:sz w:val="24"/>
          <w:szCs w:val="24"/>
          <w:lang w:eastAsia="zh-CN"/>
        </w:rPr>
        <w:t>科，</w:t>
      </w:r>
      <w:r w:rsidRPr="00E67914">
        <w:rPr>
          <w:rFonts w:ascii="Times New Roman" w:hAnsi="Times New Roman"/>
          <w:spacing w:val="4"/>
          <w:sz w:val="24"/>
          <w:szCs w:val="24"/>
          <w:lang w:eastAsia="zh-CN"/>
        </w:rPr>
        <w:t>170</w:t>
      </w:r>
      <w:r w:rsidRPr="00E67914">
        <w:rPr>
          <w:rFonts w:ascii="Times New Roman" w:hAnsi="Times New Roman"/>
          <w:spacing w:val="7"/>
          <w:sz w:val="24"/>
          <w:szCs w:val="24"/>
          <w:lang w:eastAsia="zh-CN"/>
        </w:rPr>
        <w:t>属，</w:t>
      </w:r>
      <w:r w:rsidRPr="00E67914">
        <w:rPr>
          <w:rFonts w:ascii="Times New Roman" w:hAnsi="Times New Roman"/>
          <w:spacing w:val="4"/>
          <w:sz w:val="24"/>
          <w:szCs w:val="24"/>
          <w:lang w:eastAsia="zh-CN"/>
        </w:rPr>
        <w:t>231</w:t>
      </w:r>
      <w:r w:rsidRPr="00E67914">
        <w:rPr>
          <w:rFonts w:ascii="Times New Roman" w:hAnsi="Times New Roman"/>
          <w:spacing w:val="7"/>
          <w:sz w:val="24"/>
          <w:szCs w:val="24"/>
          <w:lang w:eastAsia="zh-CN"/>
        </w:rPr>
        <w:t>种：其中蕨类植物共有</w:t>
      </w:r>
      <w:r w:rsidRPr="00E67914">
        <w:rPr>
          <w:rFonts w:ascii="Times New Roman" w:hAnsi="Times New Roman"/>
          <w:spacing w:val="3"/>
          <w:sz w:val="24"/>
          <w:szCs w:val="24"/>
          <w:lang w:eastAsia="zh-CN"/>
        </w:rPr>
        <w:t>12</w:t>
      </w:r>
      <w:r w:rsidRPr="00E67914">
        <w:rPr>
          <w:rFonts w:ascii="Times New Roman" w:hAnsi="Times New Roman"/>
          <w:spacing w:val="6"/>
          <w:sz w:val="24"/>
          <w:szCs w:val="24"/>
          <w:lang w:eastAsia="zh-CN"/>
        </w:rPr>
        <w:t>科</w:t>
      </w:r>
      <w:r w:rsidRPr="00E67914">
        <w:rPr>
          <w:rFonts w:ascii="Times New Roman" w:hAnsi="Times New Roman"/>
          <w:spacing w:val="3"/>
          <w:sz w:val="24"/>
          <w:szCs w:val="24"/>
          <w:lang w:eastAsia="zh-CN"/>
        </w:rPr>
        <w:t>14</w:t>
      </w:r>
      <w:r w:rsidRPr="00E67914">
        <w:rPr>
          <w:rFonts w:ascii="Times New Roman" w:hAnsi="Times New Roman"/>
          <w:spacing w:val="6"/>
          <w:sz w:val="24"/>
          <w:szCs w:val="24"/>
          <w:lang w:eastAsia="zh-CN"/>
        </w:rPr>
        <w:t>属</w:t>
      </w:r>
      <w:r w:rsidRPr="00E67914">
        <w:rPr>
          <w:rFonts w:ascii="Times New Roman" w:hAnsi="Times New Roman"/>
          <w:sz w:val="24"/>
          <w:szCs w:val="24"/>
          <w:lang w:eastAsia="zh-CN"/>
        </w:rPr>
        <w:t>20</w:t>
      </w:r>
      <w:r w:rsidRPr="00E67914">
        <w:rPr>
          <w:rFonts w:ascii="Times New Roman" w:hAnsi="Times New Roman"/>
          <w:sz w:val="24"/>
          <w:szCs w:val="24"/>
          <w:lang w:eastAsia="zh-CN"/>
        </w:rPr>
        <w:t>种</w:t>
      </w:r>
      <w:r w:rsidRPr="00E67914">
        <w:rPr>
          <w:rFonts w:ascii="Times New Roman" w:hAnsi="Times New Roman"/>
          <w:spacing w:val="-59"/>
          <w:sz w:val="24"/>
          <w:szCs w:val="24"/>
          <w:lang w:eastAsia="zh-CN"/>
        </w:rPr>
        <w:t>，</w:t>
      </w:r>
      <w:r w:rsidRPr="00E67914">
        <w:rPr>
          <w:rFonts w:ascii="Times New Roman" w:hAnsi="Times New Roman"/>
          <w:sz w:val="24"/>
          <w:szCs w:val="24"/>
          <w:lang w:eastAsia="zh-CN"/>
        </w:rPr>
        <w:t>占总科数的</w:t>
      </w:r>
      <w:r w:rsidRPr="00E67914">
        <w:rPr>
          <w:rFonts w:ascii="Times New Roman" w:hAnsi="Times New Roman"/>
          <w:sz w:val="24"/>
          <w:szCs w:val="24"/>
          <w:lang w:eastAsia="zh-CN"/>
        </w:rPr>
        <w:t>15.38%</w:t>
      </w:r>
      <w:r w:rsidRPr="00E67914">
        <w:rPr>
          <w:rFonts w:ascii="Times New Roman" w:hAnsi="Times New Roman"/>
          <w:spacing w:val="-59"/>
          <w:sz w:val="24"/>
          <w:szCs w:val="24"/>
          <w:lang w:eastAsia="zh-CN"/>
        </w:rPr>
        <w:t>，</w:t>
      </w:r>
      <w:r w:rsidRPr="00E67914">
        <w:rPr>
          <w:rFonts w:ascii="Times New Roman" w:hAnsi="Times New Roman"/>
          <w:sz w:val="24"/>
          <w:szCs w:val="24"/>
          <w:lang w:eastAsia="zh-CN"/>
        </w:rPr>
        <w:t>总属数的</w:t>
      </w:r>
      <w:r w:rsidRPr="00E67914">
        <w:rPr>
          <w:rFonts w:ascii="Times New Roman" w:hAnsi="Times New Roman"/>
          <w:sz w:val="24"/>
          <w:szCs w:val="24"/>
          <w:lang w:eastAsia="zh-CN"/>
        </w:rPr>
        <w:t>8.24%</w:t>
      </w:r>
      <w:r w:rsidRPr="00E67914">
        <w:rPr>
          <w:rFonts w:ascii="Times New Roman" w:hAnsi="Times New Roman"/>
          <w:spacing w:val="-59"/>
          <w:sz w:val="24"/>
          <w:szCs w:val="24"/>
          <w:lang w:eastAsia="zh-CN"/>
        </w:rPr>
        <w:t>，</w:t>
      </w:r>
      <w:r w:rsidRPr="00E67914">
        <w:rPr>
          <w:rFonts w:ascii="Times New Roman" w:hAnsi="Times New Roman"/>
          <w:sz w:val="24"/>
          <w:szCs w:val="24"/>
          <w:lang w:eastAsia="zh-CN"/>
        </w:rPr>
        <w:t>总种数的</w:t>
      </w:r>
      <w:r w:rsidRPr="00E67914">
        <w:rPr>
          <w:rFonts w:ascii="Times New Roman" w:hAnsi="Times New Roman"/>
          <w:sz w:val="24"/>
          <w:szCs w:val="24"/>
          <w:lang w:eastAsia="zh-CN"/>
        </w:rPr>
        <w:t>8.66%</w:t>
      </w:r>
      <w:r w:rsidRPr="00E67914">
        <w:rPr>
          <w:rFonts w:ascii="Times New Roman" w:hAnsi="Times New Roman"/>
          <w:spacing w:val="-59"/>
          <w:sz w:val="24"/>
          <w:szCs w:val="24"/>
          <w:lang w:eastAsia="zh-CN"/>
        </w:rPr>
        <w:t>；</w:t>
      </w:r>
      <w:r w:rsidRPr="00E67914">
        <w:rPr>
          <w:rFonts w:ascii="Times New Roman" w:hAnsi="Times New Roman"/>
          <w:sz w:val="24"/>
          <w:szCs w:val="24"/>
          <w:lang w:eastAsia="zh-CN"/>
        </w:rPr>
        <w:t>裸子植</w:t>
      </w:r>
      <w:r w:rsidRPr="00E67914">
        <w:rPr>
          <w:rFonts w:ascii="Times New Roman" w:hAnsi="Times New Roman"/>
          <w:sz w:val="24"/>
          <w:szCs w:val="24"/>
          <w:lang w:eastAsia="zh-CN"/>
        </w:rPr>
        <w:t>3</w:t>
      </w:r>
      <w:r w:rsidRPr="00E67914">
        <w:rPr>
          <w:rFonts w:ascii="Times New Roman" w:hAnsi="Times New Roman"/>
          <w:sz w:val="24"/>
          <w:szCs w:val="24"/>
          <w:lang w:eastAsia="zh-CN"/>
        </w:rPr>
        <w:t>科</w:t>
      </w:r>
      <w:r w:rsidRPr="00E67914">
        <w:rPr>
          <w:rFonts w:ascii="Times New Roman" w:hAnsi="Times New Roman"/>
          <w:sz w:val="24"/>
          <w:szCs w:val="24"/>
          <w:lang w:eastAsia="zh-CN"/>
        </w:rPr>
        <w:t>4</w:t>
      </w:r>
      <w:r w:rsidRPr="00E67914">
        <w:rPr>
          <w:rFonts w:ascii="Times New Roman" w:hAnsi="Times New Roman"/>
          <w:sz w:val="24"/>
          <w:szCs w:val="24"/>
          <w:lang w:eastAsia="zh-CN"/>
        </w:rPr>
        <w:t>属</w:t>
      </w:r>
      <w:r w:rsidRPr="00E67914">
        <w:rPr>
          <w:rFonts w:ascii="Times New Roman" w:hAnsi="Times New Roman"/>
          <w:sz w:val="24"/>
          <w:szCs w:val="24"/>
          <w:lang w:eastAsia="zh-CN"/>
        </w:rPr>
        <w:t>4</w:t>
      </w:r>
      <w:r w:rsidRPr="00E67914">
        <w:rPr>
          <w:rFonts w:ascii="Times New Roman" w:hAnsi="Times New Roman"/>
          <w:sz w:val="24"/>
          <w:szCs w:val="24"/>
          <w:lang w:eastAsia="zh-CN"/>
        </w:rPr>
        <w:t>种</w:t>
      </w:r>
      <w:r w:rsidRPr="00E67914">
        <w:rPr>
          <w:rFonts w:ascii="Times New Roman" w:hAnsi="Times New Roman"/>
          <w:spacing w:val="-59"/>
          <w:sz w:val="24"/>
          <w:szCs w:val="24"/>
          <w:lang w:eastAsia="zh-CN"/>
        </w:rPr>
        <w:t>，</w:t>
      </w:r>
      <w:r w:rsidRPr="00E67914">
        <w:rPr>
          <w:rFonts w:ascii="Times New Roman" w:hAnsi="Times New Roman"/>
          <w:spacing w:val="1"/>
          <w:sz w:val="24"/>
          <w:szCs w:val="24"/>
          <w:lang w:eastAsia="zh-CN"/>
        </w:rPr>
        <w:t>占评价区总科数的</w:t>
      </w:r>
      <w:r w:rsidRPr="00E67914">
        <w:rPr>
          <w:rFonts w:ascii="Times New Roman" w:hAnsi="Times New Roman"/>
          <w:spacing w:val="1"/>
          <w:sz w:val="24"/>
          <w:szCs w:val="24"/>
          <w:lang w:eastAsia="zh-CN"/>
        </w:rPr>
        <w:t>3.85%</w:t>
      </w:r>
      <w:r w:rsidRPr="00E67914">
        <w:rPr>
          <w:rFonts w:ascii="Times New Roman" w:hAnsi="Times New Roman"/>
          <w:spacing w:val="1"/>
          <w:sz w:val="24"/>
          <w:szCs w:val="24"/>
          <w:lang w:eastAsia="zh-CN"/>
        </w:rPr>
        <w:t>，总属数的</w:t>
      </w:r>
      <w:r w:rsidRPr="00E67914">
        <w:rPr>
          <w:rFonts w:ascii="Times New Roman" w:hAnsi="Times New Roman"/>
          <w:spacing w:val="1"/>
          <w:sz w:val="24"/>
          <w:szCs w:val="24"/>
          <w:lang w:eastAsia="zh-CN"/>
        </w:rPr>
        <w:t>2.35%</w:t>
      </w:r>
      <w:r w:rsidRPr="00E67914">
        <w:rPr>
          <w:rFonts w:ascii="Times New Roman" w:hAnsi="Times New Roman"/>
          <w:spacing w:val="1"/>
          <w:sz w:val="24"/>
          <w:szCs w:val="24"/>
          <w:lang w:eastAsia="zh-CN"/>
        </w:rPr>
        <w:t>，总种数的</w:t>
      </w:r>
      <w:r w:rsidRPr="00E67914">
        <w:rPr>
          <w:rFonts w:ascii="Times New Roman" w:hAnsi="Times New Roman"/>
          <w:spacing w:val="1"/>
          <w:sz w:val="24"/>
          <w:szCs w:val="24"/>
          <w:lang w:eastAsia="zh-CN"/>
        </w:rPr>
        <w:t>1.73%</w:t>
      </w:r>
      <w:r w:rsidRPr="00E67914">
        <w:rPr>
          <w:rFonts w:ascii="Times New Roman" w:hAnsi="Times New Roman"/>
          <w:spacing w:val="1"/>
          <w:sz w:val="24"/>
          <w:szCs w:val="24"/>
          <w:lang w:eastAsia="zh-CN"/>
        </w:rPr>
        <w:t>；被子植物</w:t>
      </w:r>
      <w:r w:rsidRPr="00E67914">
        <w:rPr>
          <w:rFonts w:ascii="Times New Roman" w:hAnsi="Times New Roman"/>
          <w:sz w:val="24"/>
          <w:szCs w:val="24"/>
          <w:lang w:eastAsia="zh-CN"/>
        </w:rPr>
        <w:t>物种数最多</w:t>
      </w:r>
      <w:r w:rsidRPr="00E67914">
        <w:rPr>
          <w:rFonts w:ascii="Times New Roman" w:hAnsi="Times New Roman"/>
          <w:spacing w:val="-1"/>
          <w:sz w:val="24"/>
          <w:szCs w:val="24"/>
          <w:lang w:eastAsia="zh-CN"/>
        </w:rPr>
        <w:t>，</w:t>
      </w:r>
      <w:r w:rsidRPr="00E67914">
        <w:rPr>
          <w:rFonts w:ascii="Times New Roman" w:hAnsi="Times New Roman"/>
          <w:sz w:val="24"/>
          <w:szCs w:val="24"/>
          <w:lang w:eastAsia="zh-CN"/>
        </w:rPr>
        <w:t>共有</w:t>
      </w:r>
      <w:r w:rsidRPr="00E67914">
        <w:rPr>
          <w:rFonts w:ascii="Times New Roman" w:hAnsi="Times New Roman"/>
          <w:sz w:val="24"/>
          <w:szCs w:val="24"/>
          <w:lang w:eastAsia="zh-CN"/>
        </w:rPr>
        <w:t>63</w:t>
      </w:r>
      <w:r w:rsidRPr="00E67914">
        <w:rPr>
          <w:rFonts w:ascii="Times New Roman" w:hAnsi="Times New Roman"/>
          <w:sz w:val="24"/>
          <w:szCs w:val="24"/>
          <w:lang w:eastAsia="zh-CN"/>
        </w:rPr>
        <w:t>科</w:t>
      </w:r>
      <w:r w:rsidRPr="00E67914">
        <w:rPr>
          <w:rFonts w:ascii="Times New Roman" w:hAnsi="Times New Roman"/>
          <w:sz w:val="24"/>
          <w:szCs w:val="24"/>
          <w:lang w:eastAsia="zh-CN"/>
        </w:rPr>
        <w:t>152</w:t>
      </w:r>
      <w:r w:rsidRPr="00E67914">
        <w:rPr>
          <w:rFonts w:ascii="Times New Roman" w:hAnsi="Times New Roman"/>
          <w:sz w:val="24"/>
          <w:szCs w:val="24"/>
          <w:lang w:eastAsia="zh-CN"/>
        </w:rPr>
        <w:t>属</w:t>
      </w:r>
      <w:r w:rsidRPr="00E67914">
        <w:rPr>
          <w:rFonts w:ascii="Times New Roman" w:hAnsi="Times New Roman"/>
          <w:sz w:val="24"/>
          <w:szCs w:val="24"/>
          <w:lang w:eastAsia="zh-CN"/>
        </w:rPr>
        <w:t>207</w:t>
      </w:r>
      <w:r w:rsidRPr="00E67914">
        <w:rPr>
          <w:rFonts w:ascii="Times New Roman" w:hAnsi="Times New Roman"/>
          <w:sz w:val="24"/>
          <w:szCs w:val="24"/>
          <w:lang w:eastAsia="zh-CN"/>
        </w:rPr>
        <w:t>种，占评价区总科数的</w:t>
      </w:r>
      <w:r w:rsidRPr="00E67914">
        <w:rPr>
          <w:rFonts w:ascii="Times New Roman" w:hAnsi="Times New Roman"/>
          <w:sz w:val="24"/>
          <w:szCs w:val="24"/>
          <w:lang w:eastAsia="zh-CN"/>
        </w:rPr>
        <w:t>80.77%</w:t>
      </w:r>
      <w:r w:rsidRPr="00E67914">
        <w:rPr>
          <w:rFonts w:ascii="Times New Roman" w:hAnsi="Times New Roman"/>
          <w:sz w:val="24"/>
          <w:szCs w:val="24"/>
          <w:lang w:eastAsia="zh-CN"/>
        </w:rPr>
        <w:t>，总属数的</w:t>
      </w:r>
      <w:r w:rsidRPr="00E67914">
        <w:rPr>
          <w:rFonts w:ascii="Times New Roman" w:hAnsi="Times New Roman"/>
          <w:sz w:val="24"/>
          <w:szCs w:val="24"/>
          <w:lang w:eastAsia="zh-CN"/>
        </w:rPr>
        <w:t>89.41%</w:t>
      </w:r>
      <w:r w:rsidRPr="00E67914">
        <w:rPr>
          <w:rFonts w:ascii="Times New Roman" w:hAnsi="Times New Roman"/>
          <w:sz w:val="24"/>
          <w:szCs w:val="24"/>
          <w:lang w:eastAsia="zh-CN"/>
        </w:rPr>
        <w:t>，总种数的</w:t>
      </w:r>
      <w:r w:rsidRPr="00E67914">
        <w:rPr>
          <w:rFonts w:ascii="Times New Roman" w:hAnsi="Times New Roman"/>
          <w:sz w:val="24"/>
          <w:szCs w:val="24"/>
          <w:lang w:eastAsia="zh-CN"/>
        </w:rPr>
        <w:t>89.61%</w:t>
      </w:r>
      <w:r w:rsidRPr="00E67914">
        <w:rPr>
          <w:rFonts w:ascii="Times New Roman" w:hAnsi="Times New Roman"/>
          <w:spacing w:val="-3"/>
          <w:sz w:val="24"/>
          <w:szCs w:val="24"/>
          <w:lang w:eastAsia="zh-CN"/>
        </w:rPr>
        <w:t>。具体名录见附表</w:t>
      </w:r>
      <w:r w:rsidRPr="00E67914">
        <w:rPr>
          <w:rFonts w:ascii="Times New Roman" w:hAnsi="Times New Roman"/>
          <w:spacing w:val="-3"/>
          <w:sz w:val="24"/>
          <w:szCs w:val="24"/>
          <w:lang w:eastAsia="zh-CN"/>
        </w:rPr>
        <w:t>1</w:t>
      </w:r>
      <w:r w:rsidRPr="00E67914">
        <w:rPr>
          <w:rFonts w:ascii="Times New Roman" w:hAnsi="Times New Roman"/>
          <w:spacing w:val="-3"/>
          <w:sz w:val="24"/>
          <w:szCs w:val="24"/>
          <w:lang w:eastAsia="zh-CN"/>
        </w:rPr>
        <w:t>。</w:t>
      </w:r>
    </w:p>
    <w:p w14:paraId="50600DB6" w14:textId="77777777" w:rsidR="00A54A8A" w:rsidRPr="00E67914" w:rsidRDefault="00000000">
      <w:pPr>
        <w:pStyle w:val="41"/>
        <w:adjustRightInd w:val="0"/>
        <w:snapToGrid w:val="0"/>
        <w:spacing w:line="360" w:lineRule="auto"/>
        <w:ind w:firstLineChars="200" w:firstLine="482"/>
        <w:rPr>
          <w:b/>
          <w:bCs/>
          <w:sz w:val="24"/>
          <w:szCs w:val="24"/>
        </w:rPr>
      </w:pPr>
      <w:r w:rsidRPr="00E67914">
        <w:rPr>
          <w:b/>
          <w:bCs/>
          <w:sz w:val="24"/>
          <w:szCs w:val="24"/>
        </w:rPr>
        <w:t>4</w:t>
      </w:r>
      <w:r w:rsidRPr="00E67914">
        <w:rPr>
          <w:b/>
          <w:bCs/>
          <w:sz w:val="24"/>
          <w:szCs w:val="24"/>
        </w:rPr>
        <w:t>、项目评价范围内主要植被类型</w:t>
      </w:r>
    </w:p>
    <w:p w14:paraId="0FFAF19C" w14:textId="44A1C0C5" w:rsidR="00A54A8A" w:rsidRPr="00E67914" w:rsidRDefault="00000000">
      <w:pPr>
        <w:pStyle w:val="HH"/>
        <w:adjustRightInd w:val="0"/>
        <w:snapToGrid w:val="0"/>
        <w:rPr>
          <w:rFonts w:cs="Times New Roman"/>
        </w:rPr>
      </w:pPr>
      <w:r w:rsidRPr="00E67914">
        <w:rPr>
          <w:rFonts w:cs="Times New Roman"/>
        </w:rPr>
        <w:t>采用实地踏勘的方法对评价范围内植被进行实地调查，结合卫星影像解译成果，参考现有的资料和文献，根据各类群落的特征，按照吴征镒等《中国植物志》、《四川植物志》中对四川的自然、人工植被的分类系统，划分出评价区域内不同的植被类型，形成植被分类系统。评价区自然植被涉及</w:t>
      </w:r>
      <w:r w:rsidRPr="00E67914">
        <w:rPr>
          <w:rFonts w:cs="Times New Roman"/>
        </w:rPr>
        <w:t>1</w:t>
      </w:r>
      <w:r w:rsidRPr="00E67914">
        <w:rPr>
          <w:rFonts w:cs="Times New Roman"/>
        </w:rPr>
        <w:t>种植被型组，</w:t>
      </w:r>
      <w:r w:rsidRPr="00E67914">
        <w:rPr>
          <w:rFonts w:cs="Times New Roman"/>
        </w:rPr>
        <w:t>3</w:t>
      </w:r>
      <w:r w:rsidRPr="00E67914">
        <w:rPr>
          <w:rFonts w:cs="Times New Roman"/>
        </w:rPr>
        <w:t>种植被型和</w:t>
      </w:r>
      <w:r w:rsidRPr="00E67914">
        <w:rPr>
          <w:rFonts w:cs="Times New Roman"/>
        </w:rPr>
        <w:t>8</w:t>
      </w:r>
      <w:r w:rsidRPr="00E67914">
        <w:rPr>
          <w:rFonts w:cs="Times New Roman"/>
        </w:rPr>
        <w:t>种群系，自然植被分类见表</w:t>
      </w:r>
      <w:r w:rsidRPr="00E67914">
        <w:rPr>
          <w:rFonts w:cs="Times New Roman"/>
        </w:rPr>
        <w:t>4.3-</w:t>
      </w:r>
      <w:r w:rsidR="008752B7" w:rsidRPr="00E67914">
        <w:rPr>
          <w:rFonts w:cs="Times New Roman"/>
        </w:rPr>
        <w:t>8</w:t>
      </w:r>
      <w:r w:rsidRPr="00E67914">
        <w:rPr>
          <w:rFonts w:cs="Times New Roman"/>
        </w:rPr>
        <w:t>。</w:t>
      </w:r>
    </w:p>
    <w:p w14:paraId="2913B621" w14:textId="2C91882E"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w:t>
      </w:r>
      <w:r w:rsidR="008752B7" w:rsidRPr="00E67914">
        <w:rPr>
          <w:rFonts w:ascii="Times New Roman" w:eastAsia="黑体" w:hAnsi="Times New Roman"/>
          <w:sz w:val="21"/>
          <w:szCs w:val="21"/>
          <w:lang w:eastAsia="zh-CN"/>
        </w:rPr>
        <w:t>8</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工程评价区植被分类系统</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883"/>
        <w:gridCol w:w="1453"/>
        <w:gridCol w:w="2850"/>
        <w:gridCol w:w="2490"/>
      </w:tblGrid>
      <w:tr w:rsidR="00E67914" w:rsidRPr="00E67914" w14:paraId="100D195D" w14:textId="77777777" w:rsidTr="000F36B8">
        <w:trPr>
          <w:trHeight w:val="332"/>
          <w:jc w:val="center"/>
        </w:trPr>
        <w:tc>
          <w:tcPr>
            <w:tcW w:w="376" w:type="pct"/>
            <w:vMerge w:val="restart"/>
            <w:vAlign w:val="center"/>
          </w:tcPr>
          <w:p w14:paraId="743EDC43" w14:textId="77777777" w:rsidR="000F36B8" w:rsidRPr="00E67914" w:rsidRDefault="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rPr>
              <w:t>植被型组</w:t>
            </w:r>
          </w:p>
        </w:tc>
        <w:tc>
          <w:tcPr>
            <w:tcW w:w="532" w:type="pct"/>
            <w:vMerge w:val="restart"/>
            <w:vAlign w:val="center"/>
          </w:tcPr>
          <w:p w14:paraId="2A94F319" w14:textId="77777777" w:rsidR="000F36B8" w:rsidRPr="00E67914" w:rsidRDefault="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rPr>
              <w:t>植被型</w:t>
            </w:r>
          </w:p>
        </w:tc>
        <w:tc>
          <w:tcPr>
            <w:tcW w:w="875" w:type="pct"/>
            <w:vMerge w:val="restart"/>
            <w:vAlign w:val="center"/>
          </w:tcPr>
          <w:p w14:paraId="2F3ECA31" w14:textId="77777777" w:rsidR="000F36B8" w:rsidRPr="00E67914" w:rsidRDefault="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rPr>
              <w:t>植被</w:t>
            </w:r>
            <w:r w:rsidRPr="00E67914">
              <w:rPr>
                <w:rFonts w:ascii="Times New Roman" w:hAnsi="Times New Roman"/>
                <w:spacing w:val="-4"/>
                <w:sz w:val="21"/>
                <w:szCs w:val="21"/>
                <w:lang w:eastAsia="zh-CN"/>
              </w:rPr>
              <w:t>亚</w:t>
            </w:r>
            <w:r w:rsidRPr="00E67914">
              <w:rPr>
                <w:rFonts w:ascii="Times New Roman" w:hAnsi="Times New Roman"/>
                <w:spacing w:val="-4"/>
                <w:sz w:val="21"/>
                <w:szCs w:val="21"/>
              </w:rPr>
              <w:t>型</w:t>
            </w:r>
          </w:p>
        </w:tc>
        <w:tc>
          <w:tcPr>
            <w:tcW w:w="1717" w:type="pct"/>
            <w:vMerge w:val="restart"/>
            <w:vAlign w:val="center"/>
          </w:tcPr>
          <w:p w14:paraId="16DF97EA" w14:textId="77777777" w:rsidR="000F36B8" w:rsidRPr="00E67914" w:rsidRDefault="000F36B8">
            <w:pPr>
              <w:spacing w:before="51" w:line="214" w:lineRule="auto"/>
              <w:jc w:val="center"/>
              <w:rPr>
                <w:rFonts w:ascii="Times New Roman" w:hAnsi="Times New Roman"/>
                <w:sz w:val="21"/>
                <w:szCs w:val="21"/>
              </w:rPr>
            </w:pPr>
            <w:r w:rsidRPr="00E67914">
              <w:rPr>
                <w:rFonts w:ascii="Times New Roman" w:hAnsi="Times New Roman"/>
                <w:spacing w:val="-3"/>
                <w:sz w:val="21"/>
                <w:szCs w:val="21"/>
              </w:rPr>
              <w:t>群</w:t>
            </w:r>
            <w:r w:rsidRPr="00E67914">
              <w:rPr>
                <w:rFonts w:ascii="Times New Roman" w:hAnsi="Times New Roman"/>
                <w:spacing w:val="-2"/>
                <w:sz w:val="21"/>
                <w:szCs w:val="21"/>
              </w:rPr>
              <w:t>系</w:t>
            </w:r>
          </w:p>
        </w:tc>
        <w:tc>
          <w:tcPr>
            <w:tcW w:w="1500" w:type="pct"/>
            <w:vMerge w:val="restart"/>
            <w:vAlign w:val="center"/>
          </w:tcPr>
          <w:p w14:paraId="1AD3A4E2" w14:textId="77777777" w:rsidR="000F36B8" w:rsidRPr="00E67914" w:rsidRDefault="000F36B8">
            <w:pPr>
              <w:spacing w:before="53" w:line="217" w:lineRule="auto"/>
              <w:jc w:val="center"/>
              <w:rPr>
                <w:rFonts w:ascii="Times New Roman" w:hAnsi="Times New Roman"/>
                <w:sz w:val="21"/>
                <w:szCs w:val="21"/>
              </w:rPr>
            </w:pPr>
            <w:r w:rsidRPr="00E67914">
              <w:rPr>
                <w:rFonts w:ascii="Times New Roman" w:hAnsi="Times New Roman"/>
                <w:spacing w:val="-2"/>
                <w:sz w:val="21"/>
                <w:szCs w:val="21"/>
                <w:lang w:eastAsia="zh-CN"/>
              </w:rPr>
              <w:t>分布区域</w:t>
            </w:r>
          </w:p>
        </w:tc>
      </w:tr>
      <w:tr w:rsidR="00E67914" w:rsidRPr="00E67914" w14:paraId="19E37124" w14:textId="77777777" w:rsidTr="000F36B8">
        <w:trPr>
          <w:trHeight w:val="332"/>
          <w:jc w:val="center"/>
        </w:trPr>
        <w:tc>
          <w:tcPr>
            <w:tcW w:w="376" w:type="pct"/>
            <w:vMerge/>
            <w:vAlign w:val="center"/>
          </w:tcPr>
          <w:p w14:paraId="6192C79F" w14:textId="77777777" w:rsidR="000F36B8" w:rsidRPr="00E67914" w:rsidRDefault="000F36B8">
            <w:pPr>
              <w:spacing w:before="53" w:line="217" w:lineRule="auto"/>
              <w:ind w:left="1176"/>
              <w:rPr>
                <w:rFonts w:ascii="Times New Roman" w:hAnsi="Times New Roman"/>
                <w:sz w:val="21"/>
                <w:szCs w:val="21"/>
              </w:rPr>
            </w:pPr>
          </w:p>
        </w:tc>
        <w:tc>
          <w:tcPr>
            <w:tcW w:w="532" w:type="pct"/>
            <w:vMerge/>
            <w:vAlign w:val="center"/>
          </w:tcPr>
          <w:p w14:paraId="5700F980" w14:textId="77777777" w:rsidR="000F36B8" w:rsidRPr="00E67914" w:rsidRDefault="000F36B8">
            <w:pPr>
              <w:spacing w:before="53" w:line="217" w:lineRule="auto"/>
              <w:ind w:left="1176"/>
              <w:rPr>
                <w:rFonts w:ascii="Times New Roman" w:hAnsi="Times New Roman"/>
                <w:sz w:val="21"/>
                <w:szCs w:val="21"/>
              </w:rPr>
            </w:pPr>
          </w:p>
        </w:tc>
        <w:tc>
          <w:tcPr>
            <w:tcW w:w="875" w:type="pct"/>
            <w:vMerge/>
            <w:vAlign w:val="center"/>
          </w:tcPr>
          <w:p w14:paraId="5B707C10" w14:textId="77777777" w:rsidR="000F36B8" w:rsidRPr="00E67914" w:rsidRDefault="000F36B8">
            <w:pPr>
              <w:spacing w:before="53" w:line="217" w:lineRule="auto"/>
              <w:ind w:left="1176"/>
              <w:rPr>
                <w:rFonts w:ascii="Times New Roman" w:hAnsi="Times New Roman"/>
                <w:sz w:val="21"/>
                <w:szCs w:val="21"/>
              </w:rPr>
            </w:pPr>
          </w:p>
        </w:tc>
        <w:tc>
          <w:tcPr>
            <w:tcW w:w="1717" w:type="pct"/>
            <w:vMerge/>
            <w:vAlign w:val="center"/>
          </w:tcPr>
          <w:p w14:paraId="0554667B" w14:textId="77777777" w:rsidR="000F36B8" w:rsidRPr="00E67914" w:rsidRDefault="000F36B8">
            <w:pPr>
              <w:spacing w:before="53" w:line="217" w:lineRule="auto"/>
              <w:ind w:left="1176"/>
              <w:rPr>
                <w:rFonts w:ascii="Times New Roman" w:hAnsi="Times New Roman"/>
                <w:sz w:val="21"/>
                <w:szCs w:val="21"/>
              </w:rPr>
            </w:pPr>
          </w:p>
        </w:tc>
        <w:tc>
          <w:tcPr>
            <w:tcW w:w="1500" w:type="pct"/>
            <w:vMerge/>
            <w:vAlign w:val="center"/>
          </w:tcPr>
          <w:p w14:paraId="11EC290B" w14:textId="77777777" w:rsidR="000F36B8" w:rsidRPr="00E67914" w:rsidRDefault="000F36B8">
            <w:pPr>
              <w:spacing w:before="53" w:line="217" w:lineRule="auto"/>
              <w:ind w:left="1176"/>
              <w:rPr>
                <w:rFonts w:ascii="Times New Roman" w:hAnsi="Times New Roman"/>
                <w:sz w:val="21"/>
                <w:szCs w:val="21"/>
              </w:rPr>
            </w:pPr>
          </w:p>
        </w:tc>
      </w:tr>
      <w:tr w:rsidR="00E67914" w:rsidRPr="00E67914" w14:paraId="37775723" w14:textId="77777777" w:rsidTr="000F36B8">
        <w:trPr>
          <w:trHeight w:val="401"/>
          <w:jc w:val="center"/>
        </w:trPr>
        <w:tc>
          <w:tcPr>
            <w:tcW w:w="376" w:type="pct"/>
            <w:vMerge w:val="restart"/>
            <w:vAlign w:val="center"/>
          </w:tcPr>
          <w:p w14:paraId="4578331E" w14:textId="77777777" w:rsidR="000F36B8" w:rsidRPr="00E67914" w:rsidRDefault="000F36B8" w:rsidP="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lastRenderedPageBreak/>
              <w:t>针叶林</w:t>
            </w:r>
          </w:p>
        </w:tc>
        <w:tc>
          <w:tcPr>
            <w:tcW w:w="532" w:type="pct"/>
            <w:vMerge w:val="restart"/>
            <w:vAlign w:val="center"/>
          </w:tcPr>
          <w:p w14:paraId="2F4DD2DA" w14:textId="77777777" w:rsidR="000F36B8" w:rsidRPr="00E67914" w:rsidRDefault="000F36B8" w:rsidP="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暖性</w:t>
            </w:r>
            <w:r w:rsidRPr="00E67914">
              <w:rPr>
                <w:rFonts w:ascii="Times New Roman" w:hAnsi="Times New Roman"/>
                <w:spacing w:val="-4"/>
                <w:sz w:val="21"/>
                <w:szCs w:val="21"/>
              </w:rPr>
              <w:t>针叶林</w:t>
            </w:r>
          </w:p>
        </w:tc>
        <w:tc>
          <w:tcPr>
            <w:tcW w:w="875" w:type="pct"/>
            <w:vMerge w:val="restart"/>
            <w:vAlign w:val="center"/>
          </w:tcPr>
          <w:p w14:paraId="579EBD93" w14:textId="77777777" w:rsidR="000F36B8" w:rsidRPr="00E67914" w:rsidRDefault="000F36B8" w:rsidP="000F36B8">
            <w:pPr>
              <w:spacing w:before="51" w:line="214" w:lineRule="auto"/>
              <w:jc w:val="center"/>
              <w:rPr>
                <w:rFonts w:ascii="Times New Roman" w:hAnsi="Times New Roman"/>
                <w:spacing w:val="-4"/>
                <w:sz w:val="21"/>
                <w:szCs w:val="21"/>
              </w:rPr>
            </w:pPr>
            <w:r w:rsidRPr="00E67914">
              <w:rPr>
                <w:rFonts w:ascii="Times New Roman" w:hAnsi="Times New Roman"/>
                <w:spacing w:val="-12"/>
                <w:sz w:val="21"/>
                <w:szCs w:val="21"/>
              </w:rPr>
              <w:t>暖性常绿</w:t>
            </w:r>
            <w:r w:rsidRPr="00E67914">
              <w:rPr>
                <w:rFonts w:ascii="Times New Roman" w:hAnsi="Times New Roman"/>
                <w:spacing w:val="-4"/>
                <w:sz w:val="21"/>
                <w:szCs w:val="21"/>
              </w:rPr>
              <w:t>针叶林</w:t>
            </w:r>
          </w:p>
        </w:tc>
        <w:tc>
          <w:tcPr>
            <w:tcW w:w="1717" w:type="pct"/>
            <w:vAlign w:val="center"/>
          </w:tcPr>
          <w:p w14:paraId="7FDB9C12" w14:textId="0D020B9D" w:rsidR="000F36B8" w:rsidRPr="00E67914" w:rsidRDefault="000F36B8" w:rsidP="000F36B8">
            <w:pPr>
              <w:jc w:val="center"/>
              <w:textAlignment w:val="bottom"/>
              <w:rPr>
                <w:rFonts w:ascii="Times New Roman" w:hAnsi="Times New Roman"/>
                <w:spacing w:val="-4"/>
                <w:sz w:val="21"/>
                <w:szCs w:val="21"/>
              </w:rPr>
            </w:pPr>
            <w:r w:rsidRPr="00E67914">
              <w:rPr>
                <w:rFonts w:ascii="Times New Roman" w:hAnsi="Times New Roman"/>
                <w:sz w:val="21"/>
                <w:szCs w:val="21"/>
                <w:lang w:eastAsia="zh-CN" w:bidi="ar"/>
              </w:rPr>
              <w:t>马尾松</w:t>
            </w:r>
            <w:r w:rsidRPr="00E67914">
              <w:rPr>
                <w:rFonts w:ascii="Times New Roman" w:hAnsi="Times New Roman"/>
                <w:spacing w:val="-3"/>
                <w:sz w:val="21"/>
                <w:szCs w:val="21"/>
              </w:rPr>
              <w:t>群</w:t>
            </w:r>
            <w:r w:rsidRPr="00E67914">
              <w:rPr>
                <w:rFonts w:ascii="Times New Roman" w:hAnsi="Times New Roman"/>
                <w:spacing w:val="-2"/>
                <w:sz w:val="21"/>
                <w:szCs w:val="21"/>
              </w:rPr>
              <w:t>系</w:t>
            </w:r>
          </w:p>
        </w:tc>
        <w:tc>
          <w:tcPr>
            <w:tcW w:w="1500" w:type="pct"/>
            <w:vMerge w:val="restart"/>
            <w:vAlign w:val="center"/>
          </w:tcPr>
          <w:p w14:paraId="26FF5F6B" w14:textId="5251CC7A" w:rsidR="000F36B8" w:rsidRPr="00E67914" w:rsidRDefault="000F36B8" w:rsidP="000F36B8">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在评价区北部有小范围成片分布</w:t>
            </w:r>
          </w:p>
        </w:tc>
      </w:tr>
      <w:tr w:rsidR="00E67914" w:rsidRPr="00E67914" w14:paraId="4764BDFB" w14:textId="77777777" w:rsidTr="000F36B8">
        <w:trPr>
          <w:trHeight w:val="401"/>
          <w:jc w:val="center"/>
        </w:trPr>
        <w:tc>
          <w:tcPr>
            <w:tcW w:w="376" w:type="pct"/>
            <w:vMerge/>
            <w:vAlign w:val="center"/>
          </w:tcPr>
          <w:p w14:paraId="7856AC22" w14:textId="77777777" w:rsidR="000F36B8" w:rsidRPr="00E67914" w:rsidRDefault="000F36B8" w:rsidP="000F36B8">
            <w:pPr>
              <w:spacing w:before="51" w:line="214" w:lineRule="auto"/>
              <w:jc w:val="center"/>
              <w:rPr>
                <w:rFonts w:ascii="Times New Roman" w:hAnsi="Times New Roman"/>
                <w:spacing w:val="-4"/>
                <w:sz w:val="21"/>
                <w:szCs w:val="21"/>
                <w:lang w:eastAsia="zh-CN"/>
              </w:rPr>
            </w:pPr>
          </w:p>
        </w:tc>
        <w:tc>
          <w:tcPr>
            <w:tcW w:w="532" w:type="pct"/>
            <w:vMerge/>
            <w:vAlign w:val="center"/>
          </w:tcPr>
          <w:p w14:paraId="30168D10" w14:textId="77777777" w:rsidR="000F36B8" w:rsidRPr="00E67914" w:rsidRDefault="000F36B8" w:rsidP="000F36B8">
            <w:pPr>
              <w:spacing w:before="51" w:line="214" w:lineRule="auto"/>
              <w:jc w:val="center"/>
              <w:rPr>
                <w:rFonts w:ascii="Times New Roman" w:hAnsi="Times New Roman"/>
                <w:spacing w:val="-4"/>
                <w:sz w:val="21"/>
                <w:szCs w:val="21"/>
                <w:lang w:eastAsia="zh-CN"/>
              </w:rPr>
            </w:pPr>
          </w:p>
        </w:tc>
        <w:tc>
          <w:tcPr>
            <w:tcW w:w="875" w:type="pct"/>
            <w:vMerge/>
            <w:vAlign w:val="center"/>
          </w:tcPr>
          <w:p w14:paraId="6C2E6A43" w14:textId="77777777" w:rsidR="000F36B8" w:rsidRPr="00E67914" w:rsidRDefault="000F36B8" w:rsidP="000F36B8">
            <w:pPr>
              <w:spacing w:before="51" w:line="214" w:lineRule="auto"/>
              <w:jc w:val="center"/>
              <w:rPr>
                <w:rFonts w:ascii="Times New Roman" w:hAnsi="Times New Roman"/>
                <w:spacing w:val="-4"/>
                <w:sz w:val="21"/>
                <w:szCs w:val="21"/>
                <w:lang w:eastAsia="zh-CN"/>
              </w:rPr>
            </w:pPr>
          </w:p>
        </w:tc>
        <w:tc>
          <w:tcPr>
            <w:tcW w:w="1717" w:type="pct"/>
            <w:vAlign w:val="center"/>
          </w:tcPr>
          <w:p w14:paraId="4BAF892C" w14:textId="45F28483" w:rsidR="000F36B8" w:rsidRPr="00E67914" w:rsidRDefault="000F36B8" w:rsidP="000F36B8">
            <w:pPr>
              <w:jc w:val="center"/>
              <w:textAlignment w:val="bottom"/>
              <w:rPr>
                <w:rFonts w:ascii="Times New Roman" w:hAnsi="Times New Roman"/>
                <w:spacing w:val="-4"/>
                <w:sz w:val="21"/>
                <w:szCs w:val="21"/>
                <w:lang w:eastAsia="zh-CN"/>
              </w:rPr>
            </w:pPr>
            <w:r w:rsidRPr="00E67914">
              <w:rPr>
                <w:rFonts w:ascii="Times New Roman" w:hAnsi="Times New Roman"/>
                <w:spacing w:val="15"/>
                <w:sz w:val="21"/>
                <w:szCs w:val="21"/>
                <w:lang w:eastAsia="zh-CN"/>
              </w:rPr>
              <w:t>马尾松、杉木、柏木群系</w:t>
            </w:r>
          </w:p>
        </w:tc>
        <w:tc>
          <w:tcPr>
            <w:tcW w:w="1500" w:type="pct"/>
            <w:vMerge/>
            <w:vAlign w:val="center"/>
          </w:tcPr>
          <w:p w14:paraId="282E2824" w14:textId="77777777" w:rsidR="000F36B8" w:rsidRPr="00E67914" w:rsidRDefault="000F36B8" w:rsidP="000F36B8">
            <w:pPr>
              <w:adjustRightInd w:val="0"/>
              <w:jc w:val="center"/>
              <w:textAlignment w:val="baseline"/>
              <w:rPr>
                <w:rFonts w:ascii="Times New Roman" w:hAnsi="Times New Roman"/>
                <w:bCs/>
                <w:sz w:val="21"/>
                <w:szCs w:val="21"/>
                <w:lang w:eastAsia="zh-CN"/>
              </w:rPr>
            </w:pPr>
          </w:p>
        </w:tc>
      </w:tr>
      <w:tr w:rsidR="00E67914" w:rsidRPr="00E67914" w14:paraId="00AC937B" w14:textId="77777777" w:rsidTr="000F36B8">
        <w:trPr>
          <w:trHeight w:val="619"/>
          <w:jc w:val="center"/>
        </w:trPr>
        <w:tc>
          <w:tcPr>
            <w:tcW w:w="376" w:type="pct"/>
            <w:vAlign w:val="center"/>
          </w:tcPr>
          <w:p w14:paraId="7ED911A2" w14:textId="77777777" w:rsidR="000F36B8" w:rsidRPr="00E67914" w:rsidRDefault="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阔叶林</w:t>
            </w:r>
          </w:p>
        </w:tc>
        <w:tc>
          <w:tcPr>
            <w:tcW w:w="532" w:type="pct"/>
            <w:vAlign w:val="center"/>
          </w:tcPr>
          <w:p w14:paraId="688670AE" w14:textId="77777777" w:rsidR="000F36B8" w:rsidRPr="00E67914" w:rsidRDefault="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落叶</w:t>
            </w:r>
            <w:r w:rsidRPr="00E67914">
              <w:rPr>
                <w:rFonts w:ascii="Times New Roman" w:hAnsi="Times New Roman"/>
                <w:spacing w:val="-4"/>
                <w:sz w:val="21"/>
                <w:szCs w:val="21"/>
              </w:rPr>
              <w:t>阔叶林</w:t>
            </w:r>
          </w:p>
        </w:tc>
        <w:tc>
          <w:tcPr>
            <w:tcW w:w="875" w:type="pct"/>
            <w:vAlign w:val="center"/>
          </w:tcPr>
          <w:p w14:paraId="089DB4BB" w14:textId="77777777" w:rsidR="000F36B8" w:rsidRPr="00E67914" w:rsidRDefault="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典型</w:t>
            </w:r>
            <w:r w:rsidRPr="00E67914">
              <w:rPr>
                <w:rFonts w:ascii="Times New Roman" w:hAnsi="Times New Roman"/>
                <w:spacing w:val="-4"/>
                <w:sz w:val="21"/>
                <w:szCs w:val="21"/>
              </w:rPr>
              <w:t>落叶阔叶林</w:t>
            </w:r>
          </w:p>
        </w:tc>
        <w:tc>
          <w:tcPr>
            <w:tcW w:w="1717" w:type="pct"/>
            <w:vAlign w:val="center"/>
          </w:tcPr>
          <w:p w14:paraId="252B2488" w14:textId="4013C9B6" w:rsidR="000F36B8" w:rsidRPr="00E67914" w:rsidRDefault="000F36B8">
            <w:pPr>
              <w:jc w:val="center"/>
              <w:textAlignment w:val="bottom"/>
              <w:rPr>
                <w:rFonts w:ascii="Times New Roman" w:hAnsi="Times New Roman"/>
                <w:sz w:val="21"/>
                <w:szCs w:val="21"/>
              </w:rPr>
            </w:pPr>
            <w:r w:rsidRPr="00E67914">
              <w:rPr>
                <w:rFonts w:ascii="Times New Roman" w:hAnsi="Times New Roman"/>
                <w:spacing w:val="15"/>
                <w:sz w:val="21"/>
                <w:szCs w:val="21"/>
                <w:lang w:eastAsia="zh-CN"/>
              </w:rPr>
              <w:t>麻栎</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青冈</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栓皮栎</w:t>
            </w:r>
            <w:r w:rsidRPr="00E67914">
              <w:rPr>
                <w:rFonts w:ascii="Times New Roman" w:hAnsi="Times New Roman"/>
                <w:spacing w:val="15"/>
                <w:sz w:val="21"/>
                <w:szCs w:val="21"/>
              </w:rPr>
              <w:t>群系</w:t>
            </w:r>
          </w:p>
        </w:tc>
        <w:tc>
          <w:tcPr>
            <w:tcW w:w="1500" w:type="pct"/>
            <w:vAlign w:val="center"/>
          </w:tcPr>
          <w:p w14:paraId="03252A89" w14:textId="330054F0" w:rsidR="000F36B8" w:rsidRPr="00E67914" w:rsidRDefault="000F36B8">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此植被类型广泛分布，在评价区中中部、南部有成片分布</w:t>
            </w:r>
          </w:p>
        </w:tc>
      </w:tr>
      <w:tr w:rsidR="00E67914" w:rsidRPr="00E67914" w14:paraId="64D4F56D" w14:textId="77777777" w:rsidTr="000F36B8">
        <w:trPr>
          <w:trHeight w:val="90"/>
          <w:jc w:val="center"/>
        </w:trPr>
        <w:tc>
          <w:tcPr>
            <w:tcW w:w="376" w:type="pct"/>
            <w:vMerge w:val="restart"/>
            <w:vAlign w:val="center"/>
          </w:tcPr>
          <w:p w14:paraId="77A2979E" w14:textId="77777777" w:rsidR="000F36B8" w:rsidRPr="00E67914" w:rsidRDefault="000F36B8" w:rsidP="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rPr>
              <w:t>灌丛和灌</w:t>
            </w:r>
            <w:r w:rsidRPr="00E67914">
              <w:rPr>
                <w:rFonts w:ascii="Times New Roman" w:hAnsi="Times New Roman"/>
                <w:spacing w:val="-4"/>
                <w:sz w:val="21"/>
                <w:szCs w:val="21"/>
              </w:rPr>
              <w:t xml:space="preserve"> </w:t>
            </w:r>
            <w:r w:rsidRPr="00E67914">
              <w:rPr>
                <w:rFonts w:ascii="Times New Roman" w:hAnsi="Times New Roman"/>
                <w:spacing w:val="-4"/>
                <w:sz w:val="21"/>
                <w:szCs w:val="21"/>
              </w:rPr>
              <w:t>草丛</w:t>
            </w:r>
          </w:p>
        </w:tc>
        <w:tc>
          <w:tcPr>
            <w:tcW w:w="532" w:type="pct"/>
            <w:vMerge w:val="restart"/>
            <w:vAlign w:val="center"/>
          </w:tcPr>
          <w:p w14:paraId="339F829C" w14:textId="77777777" w:rsidR="000F36B8" w:rsidRPr="00E67914" w:rsidRDefault="000F36B8" w:rsidP="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落叶阔叶灌丛</w:t>
            </w:r>
          </w:p>
        </w:tc>
        <w:tc>
          <w:tcPr>
            <w:tcW w:w="875" w:type="pct"/>
            <w:vMerge w:val="restart"/>
            <w:vAlign w:val="center"/>
          </w:tcPr>
          <w:p w14:paraId="09626395" w14:textId="77777777" w:rsidR="000F36B8" w:rsidRPr="00E67914" w:rsidRDefault="000F36B8" w:rsidP="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暖性落叶</w:t>
            </w:r>
            <w:r w:rsidRPr="00E67914">
              <w:rPr>
                <w:rFonts w:ascii="Times New Roman" w:hAnsi="Times New Roman"/>
                <w:spacing w:val="-4"/>
                <w:sz w:val="21"/>
                <w:szCs w:val="21"/>
              </w:rPr>
              <w:t>阔叶灌丛</w:t>
            </w:r>
          </w:p>
        </w:tc>
        <w:tc>
          <w:tcPr>
            <w:tcW w:w="1717" w:type="pct"/>
            <w:vAlign w:val="center"/>
          </w:tcPr>
          <w:p w14:paraId="1E92F47E" w14:textId="6C6602B2" w:rsidR="000F36B8" w:rsidRPr="00E67914" w:rsidRDefault="000F36B8" w:rsidP="000F36B8">
            <w:pPr>
              <w:adjustRightInd w:val="0"/>
              <w:jc w:val="center"/>
              <w:textAlignment w:val="baseline"/>
              <w:rPr>
                <w:rFonts w:ascii="Times New Roman" w:hAnsi="Times New Roman"/>
                <w:sz w:val="21"/>
                <w:szCs w:val="21"/>
              </w:rPr>
            </w:pPr>
            <w:r w:rsidRPr="00E67914">
              <w:rPr>
                <w:rFonts w:ascii="Times New Roman" w:hAnsi="Times New Roman"/>
                <w:spacing w:val="15"/>
                <w:sz w:val="21"/>
                <w:szCs w:val="21"/>
                <w:lang w:eastAsia="zh-CN"/>
              </w:rPr>
              <w:t>盐肤木灌丛灌丛</w:t>
            </w:r>
          </w:p>
        </w:tc>
        <w:tc>
          <w:tcPr>
            <w:tcW w:w="1500" w:type="pct"/>
            <w:vMerge w:val="restart"/>
            <w:vAlign w:val="center"/>
          </w:tcPr>
          <w:p w14:paraId="06BA4371" w14:textId="77777777" w:rsidR="000F36B8" w:rsidRPr="00E67914" w:rsidRDefault="000F36B8" w:rsidP="000F36B8">
            <w:pPr>
              <w:adjustRightInd w:val="0"/>
              <w:jc w:val="center"/>
              <w:textAlignment w:val="baseline"/>
              <w:rPr>
                <w:rFonts w:ascii="Times New Roman" w:hAnsi="Times New Roman"/>
                <w:bCs/>
                <w:sz w:val="21"/>
                <w:szCs w:val="21"/>
                <w:lang w:eastAsia="zh-CN"/>
              </w:rPr>
            </w:pPr>
            <w:r w:rsidRPr="00E67914">
              <w:rPr>
                <w:rFonts w:ascii="Times New Roman" w:hAnsi="Times New Roman"/>
                <w:bCs/>
                <w:sz w:val="21"/>
                <w:szCs w:val="21"/>
                <w:lang w:eastAsia="zh-CN"/>
              </w:rPr>
              <w:t>主要分布在林下、林缘、山脚、路边、农田两旁</w:t>
            </w:r>
          </w:p>
        </w:tc>
      </w:tr>
      <w:tr w:rsidR="00E67914" w:rsidRPr="00E67914" w14:paraId="51E6E41E" w14:textId="77777777" w:rsidTr="000F36B8">
        <w:trPr>
          <w:trHeight w:val="542"/>
          <w:jc w:val="center"/>
        </w:trPr>
        <w:tc>
          <w:tcPr>
            <w:tcW w:w="376" w:type="pct"/>
            <w:vMerge/>
            <w:vAlign w:val="center"/>
          </w:tcPr>
          <w:p w14:paraId="58D83621" w14:textId="77777777" w:rsidR="000F36B8" w:rsidRPr="00E67914" w:rsidRDefault="000F36B8" w:rsidP="000F36B8">
            <w:pPr>
              <w:spacing w:before="51" w:line="214" w:lineRule="auto"/>
              <w:jc w:val="center"/>
              <w:rPr>
                <w:rFonts w:ascii="Times New Roman" w:hAnsi="Times New Roman"/>
                <w:spacing w:val="-4"/>
                <w:sz w:val="21"/>
                <w:szCs w:val="21"/>
                <w:lang w:eastAsia="zh-CN"/>
              </w:rPr>
            </w:pPr>
          </w:p>
        </w:tc>
        <w:tc>
          <w:tcPr>
            <w:tcW w:w="532" w:type="pct"/>
            <w:vMerge/>
            <w:vAlign w:val="center"/>
          </w:tcPr>
          <w:p w14:paraId="79A18087" w14:textId="77777777" w:rsidR="000F36B8" w:rsidRPr="00E67914" w:rsidRDefault="000F36B8" w:rsidP="000F36B8">
            <w:pPr>
              <w:spacing w:before="51" w:line="214" w:lineRule="auto"/>
              <w:jc w:val="center"/>
              <w:rPr>
                <w:rFonts w:ascii="Times New Roman" w:hAnsi="Times New Roman"/>
                <w:spacing w:val="-4"/>
                <w:sz w:val="21"/>
                <w:szCs w:val="21"/>
                <w:lang w:eastAsia="zh-CN"/>
              </w:rPr>
            </w:pPr>
          </w:p>
        </w:tc>
        <w:tc>
          <w:tcPr>
            <w:tcW w:w="875" w:type="pct"/>
            <w:vMerge/>
            <w:vAlign w:val="center"/>
          </w:tcPr>
          <w:p w14:paraId="43CCB480" w14:textId="77777777" w:rsidR="000F36B8" w:rsidRPr="00E67914" w:rsidRDefault="000F36B8" w:rsidP="000F36B8">
            <w:pPr>
              <w:spacing w:before="51" w:line="214" w:lineRule="auto"/>
              <w:jc w:val="center"/>
              <w:rPr>
                <w:rFonts w:ascii="Times New Roman" w:hAnsi="Times New Roman"/>
                <w:spacing w:val="-4"/>
                <w:sz w:val="21"/>
                <w:szCs w:val="21"/>
                <w:lang w:eastAsia="zh-CN"/>
              </w:rPr>
            </w:pPr>
          </w:p>
        </w:tc>
        <w:tc>
          <w:tcPr>
            <w:tcW w:w="1717" w:type="pct"/>
            <w:vAlign w:val="center"/>
          </w:tcPr>
          <w:p w14:paraId="1F357D46" w14:textId="4541095D" w:rsidR="000F36B8" w:rsidRPr="00E67914" w:rsidRDefault="000F36B8" w:rsidP="000F36B8">
            <w:pPr>
              <w:adjustRightInd w:val="0"/>
              <w:jc w:val="center"/>
              <w:textAlignment w:val="baseline"/>
              <w:rPr>
                <w:rFonts w:ascii="Times New Roman" w:hAnsi="Times New Roman"/>
                <w:sz w:val="21"/>
                <w:szCs w:val="21"/>
                <w:lang w:eastAsia="zh-CN" w:bidi="ar"/>
              </w:rPr>
            </w:pPr>
            <w:r w:rsidRPr="00E67914">
              <w:rPr>
                <w:rFonts w:ascii="Times New Roman" w:hAnsi="Times New Roman"/>
                <w:spacing w:val="15"/>
                <w:sz w:val="21"/>
                <w:szCs w:val="21"/>
                <w:lang w:eastAsia="zh-CN"/>
              </w:rPr>
              <w:t>马桑</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黄荆</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火棘灌丛群系</w:t>
            </w:r>
          </w:p>
        </w:tc>
        <w:tc>
          <w:tcPr>
            <w:tcW w:w="1500" w:type="pct"/>
            <w:vMerge/>
            <w:vAlign w:val="center"/>
          </w:tcPr>
          <w:p w14:paraId="6213BA0C" w14:textId="77777777" w:rsidR="000F36B8" w:rsidRPr="00E67914" w:rsidRDefault="000F36B8" w:rsidP="000F36B8">
            <w:pPr>
              <w:adjustRightInd w:val="0"/>
              <w:jc w:val="center"/>
              <w:textAlignment w:val="baseline"/>
              <w:rPr>
                <w:rFonts w:ascii="Times New Roman" w:hAnsi="Times New Roman"/>
                <w:bCs/>
                <w:sz w:val="21"/>
                <w:szCs w:val="21"/>
                <w:lang w:eastAsia="zh-CN"/>
              </w:rPr>
            </w:pPr>
          </w:p>
        </w:tc>
      </w:tr>
      <w:tr w:rsidR="00E67914" w:rsidRPr="00E67914" w14:paraId="44C9FBEA" w14:textId="77777777" w:rsidTr="000F36B8">
        <w:trPr>
          <w:trHeight w:val="370"/>
          <w:jc w:val="center"/>
        </w:trPr>
        <w:tc>
          <w:tcPr>
            <w:tcW w:w="376" w:type="pct"/>
            <w:vMerge/>
            <w:vAlign w:val="center"/>
          </w:tcPr>
          <w:p w14:paraId="21CA367B" w14:textId="77777777" w:rsidR="000F36B8" w:rsidRPr="00E67914" w:rsidRDefault="000F36B8" w:rsidP="000F36B8">
            <w:pPr>
              <w:spacing w:before="51" w:line="214" w:lineRule="auto"/>
              <w:jc w:val="center"/>
              <w:rPr>
                <w:rFonts w:ascii="Times New Roman" w:hAnsi="Times New Roman"/>
                <w:spacing w:val="-4"/>
                <w:sz w:val="21"/>
                <w:szCs w:val="21"/>
                <w:lang w:eastAsia="zh-CN"/>
              </w:rPr>
            </w:pPr>
          </w:p>
        </w:tc>
        <w:tc>
          <w:tcPr>
            <w:tcW w:w="532" w:type="pct"/>
            <w:vMerge w:val="restart"/>
            <w:vAlign w:val="center"/>
          </w:tcPr>
          <w:p w14:paraId="6598CF85" w14:textId="77777777" w:rsidR="000F36B8" w:rsidRPr="00E67914" w:rsidRDefault="000F36B8" w:rsidP="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灌草丛</w:t>
            </w:r>
          </w:p>
        </w:tc>
        <w:tc>
          <w:tcPr>
            <w:tcW w:w="875" w:type="pct"/>
            <w:vMerge w:val="restart"/>
            <w:vAlign w:val="center"/>
          </w:tcPr>
          <w:p w14:paraId="325DFC0E" w14:textId="77777777" w:rsidR="000F36B8" w:rsidRPr="00E67914" w:rsidRDefault="000F36B8" w:rsidP="000F36B8">
            <w:pPr>
              <w:spacing w:before="51" w:line="214" w:lineRule="auto"/>
              <w:jc w:val="center"/>
              <w:rPr>
                <w:rFonts w:ascii="Times New Roman" w:hAnsi="Times New Roman"/>
                <w:spacing w:val="-4"/>
                <w:sz w:val="21"/>
                <w:szCs w:val="21"/>
              </w:rPr>
            </w:pPr>
            <w:r w:rsidRPr="00E67914">
              <w:rPr>
                <w:rFonts w:ascii="Times New Roman" w:hAnsi="Times New Roman"/>
                <w:spacing w:val="-4"/>
                <w:sz w:val="21"/>
                <w:szCs w:val="21"/>
                <w:lang w:eastAsia="zh-CN"/>
              </w:rPr>
              <w:t>暖热性灌</w:t>
            </w:r>
            <w:r w:rsidRPr="00E67914">
              <w:rPr>
                <w:rFonts w:ascii="Times New Roman" w:hAnsi="Times New Roman"/>
                <w:spacing w:val="-4"/>
                <w:sz w:val="21"/>
                <w:szCs w:val="21"/>
              </w:rPr>
              <w:t>草丛</w:t>
            </w:r>
          </w:p>
        </w:tc>
        <w:tc>
          <w:tcPr>
            <w:tcW w:w="1717" w:type="pct"/>
            <w:vAlign w:val="center"/>
          </w:tcPr>
          <w:p w14:paraId="5A9B7DA6" w14:textId="09707608" w:rsidR="000F36B8" w:rsidRPr="00E67914" w:rsidRDefault="000F36B8" w:rsidP="000F36B8">
            <w:pPr>
              <w:adjustRightInd w:val="0"/>
              <w:jc w:val="center"/>
              <w:textAlignment w:val="baseline"/>
              <w:rPr>
                <w:rFonts w:ascii="Times New Roman" w:hAnsi="Times New Roman"/>
                <w:spacing w:val="-4"/>
                <w:sz w:val="21"/>
                <w:szCs w:val="21"/>
              </w:rPr>
            </w:pPr>
            <w:r w:rsidRPr="00E67914">
              <w:rPr>
                <w:rFonts w:ascii="Times New Roman" w:hAnsi="Times New Roman"/>
                <w:spacing w:val="15"/>
                <w:sz w:val="21"/>
                <w:szCs w:val="21"/>
                <w:lang w:eastAsia="zh-CN"/>
              </w:rPr>
              <w:t>芒</w:t>
            </w:r>
            <w:r w:rsidRPr="00E67914">
              <w:rPr>
                <w:rFonts w:ascii="Times New Roman" w:hAnsi="Times New Roman"/>
                <w:spacing w:val="15"/>
                <w:sz w:val="21"/>
                <w:szCs w:val="21"/>
                <w:lang w:eastAsia="zh-CN"/>
              </w:rPr>
              <w:t>+</w:t>
            </w:r>
            <w:r w:rsidRPr="00E67914">
              <w:rPr>
                <w:rFonts w:ascii="Times New Roman" w:hAnsi="Times New Roman"/>
                <w:spacing w:val="15"/>
                <w:sz w:val="21"/>
                <w:szCs w:val="21"/>
                <w:lang w:eastAsia="zh-CN"/>
              </w:rPr>
              <w:t>白茅草丛群系</w:t>
            </w:r>
          </w:p>
        </w:tc>
        <w:tc>
          <w:tcPr>
            <w:tcW w:w="1500" w:type="pct"/>
            <w:vMerge/>
            <w:vAlign w:val="center"/>
          </w:tcPr>
          <w:p w14:paraId="1A303DF8" w14:textId="77777777" w:rsidR="000F36B8" w:rsidRPr="00E67914" w:rsidRDefault="000F36B8" w:rsidP="000F36B8">
            <w:pPr>
              <w:spacing w:before="51" w:line="214" w:lineRule="auto"/>
              <w:jc w:val="center"/>
              <w:rPr>
                <w:rFonts w:ascii="Times New Roman" w:hAnsi="Times New Roman"/>
                <w:spacing w:val="-4"/>
                <w:sz w:val="21"/>
                <w:szCs w:val="21"/>
              </w:rPr>
            </w:pPr>
          </w:p>
        </w:tc>
      </w:tr>
      <w:tr w:rsidR="00E67914" w:rsidRPr="00E67914" w14:paraId="6B0D65A6" w14:textId="77777777" w:rsidTr="000F36B8">
        <w:trPr>
          <w:trHeight w:val="404"/>
          <w:jc w:val="center"/>
        </w:trPr>
        <w:tc>
          <w:tcPr>
            <w:tcW w:w="376" w:type="pct"/>
            <w:vMerge/>
            <w:vAlign w:val="center"/>
          </w:tcPr>
          <w:p w14:paraId="13D21102" w14:textId="77777777" w:rsidR="000F36B8" w:rsidRPr="00E67914" w:rsidRDefault="000F36B8" w:rsidP="000F36B8">
            <w:pPr>
              <w:spacing w:before="51" w:line="214" w:lineRule="auto"/>
              <w:jc w:val="center"/>
              <w:rPr>
                <w:rFonts w:ascii="Times New Roman" w:hAnsi="Times New Roman"/>
                <w:spacing w:val="-4"/>
                <w:sz w:val="21"/>
                <w:szCs w:val="21"/>
              </w:rPr>
            </w:pPr>
          </w:p>
        </w:tc>
        <w:tc>
          <w:tcPr>
            <w:tcW w:w="532" w:type="pct"/>
            <w:vMerge/>
            <w:vAlign w:val="center"/>
          </w:tcPr>
          <w:p w14:paraId="7CE33AC3" w14:textId="77777777" w:rsidR="000F36B8" w:rsidRPr="00E67914" w:rsidRDefault="000F36B8" w:rsidP="000F36B8">
            <w:pPr>
              <w:spacing w:before="51" w:line="214" w:lineRule="auto"/>
              <w:jc w:val="center"/>
              <w:rPr>
                <w:rFonts w:ascii="Times New Roman" w:hAnsi="Times New Roman"/>
                <w:spacing w:val="-4"/>
                <w:sz w:val="21"/>
                <w:szCs w:val="21"/>
              </w:rPr>
            </w:pPr>
          </w:p>
        </w:tc>
        <w:tc>
          <w:tcPr>
            <w:tcW w:w="875" w:type="pct"/>
            <w:vMerge/>
            <w:vAlign w:val="center"/>
          </w:tcPr>
          <w:p w14:paraId="34523E28" w14:textId="77777777" w:rsidR="000F36B8" w:rsidRPr="00E67914" w:rsidRDefault="000F36B8" w:rsidP="000F36B8">
            <w:pPr>
              <w:spacing w:before="51" w:line="214" w:lineRule="auto"/>
              <w:jc w:val="center"/>
              <w:rPr>
                <w:rFonts w:ascii="Times New Roman" w:hAnsi="Times New Roman"/>
                <w:spacing w:val="-4"/>
                <w:sz w:val="21"/>
                <w:szCs w:val="21"/>
              </w:rPr>
            </w:pPr>
          </w:p>
        </w:tc>
        <w:tc>
          <w:tcPr>
            <w:tcW w:w="1717" w:type="pct"/>
            <w:vAlign w:val="center"/>
          </w:tcPr>
          <w:p w14:paraId="52274CFC" w14:textId="7AF2E70B" w:rsidR="000F36B8" w:rsidRPr="00E67914" w:rsidRDefault="000F36B8" w:rsidP="000F36B8">
            <w:pPr>
              <w:adjustRightInd w:val="0"/>
              <w:jc w:val="center"/>
              <w:textAlignment w:val="baseline"/>
              <w:rPr>
                <w:rFonts w:ascii="Times New Roman" w:hAnsi="Times New Roman"/>
                <w:spacing w:val="-4"/>
                <w:sz w:val="21"/>
                <w:szCs w:val="21"/>
              </w:rPr>
            </w:pPr>
            <w:r w:rsidRPr="00E67914">
              <w:rPr>
                <w:rFonts w:ascii="Times New Roman" w:hAnsi="Times New Roman"/>
                <w:spacing w:val="15"/>
                <w:sz w:val="21"/>
                <w:szCs w:val="21"/>
                <w:lang w:eastAsia="zh-CN"/>
              </w:rPr>
              <w:t>芒萁群系</w:t>
            </w:r>
          </w:p>
        </w:tc>
        <w:tc>
          <w:tcPr>
            <w:tcW w:w="1500" w:type="pct"/>
            <w:vMerge/>
            <w:vAlign w:val="center"/>
          </w:tcPr>
          <w:p w14:paraId="48C15230" w14:textId="77777777" w:rsidR="000F36B8" w:rsidRPr="00E67914" w:rsidRDefault="000F36B8" w:rsidP="000F36B8">
            <w:pPr>
              <w:spacing w:before="51" w:line="214" w:lineRule="auto"/>
              <w:jc w:val="center"/>
              <w:rPr>
                <w:rFonts w:ascii="Times New Roman" w:hAnsi="Times New Roman"/>
                <w:i/>
                <w:iCs/>
                <w:spacing w:val="-4"/>
                <w:sz w:val="21"/>
                <w:szCs w:val="21"/>
              </w:rPr>
            </w:pPr>
          </w:p>
        </w:tc>
      </w:tr>
    </w:tbl>
    <w:p w14:paraId="7C0174BB" w14:textId="77777777" w:rsidR="00A54A8A" w:rsidRPr="00E67914" w:rsidRDefault="00000000">
      <w:pPr>
        <w:widowControl w:val="0"/>
        <w:spacing w:beforeLines="50" w:before="120" w:line="360" w:lineRule="auto"/>
        <w:ind w:firstLineChars="200" w:firstLine="482"/>
        <w:rPr>
          <w:rFonts w:ascii="Times New Roman" w:hAnsi="Times New Roman"/>
          <w:b/>
          <w:sz w:val="24"/>
          <w:lang w:eastAsia="zh-CN"/>
        </w:rPr>
      </w:pPr>
      <w:r w:rsidRPr="00E67914">
        <w:rPr>
          <w:rFonts w:ascii="Times New Roman" w:hAnsi="Times New Roman"/>
          <w:b/>
          <w:sz w:val="24"/>
          <w:lang w:eastAsia="zh-CN"/>
        </w:rPr>
        <w:t>Ⅰ</w:t>
      </w:r>
      <w:r w:rsidRPr="00E67914">
        <w:rPr>
          <w:rFonts w:ascii="Times New Roman" w:hAnsi="Times New Roman"/>
          <w:b/>
          <w:sz w:val="24"/>
          <w:lang w:eastAsia="zh-CN"/>
        </w:rPr>
        <w:t>森林植被</w:t>
      </w:r>
    </w:p>
    <w:p w14:paraId="5EE82BA2" w14:textId="77777777" w:rsidR="00A54A8A" w:rsidRPr="00E67914" w:rsidRDefault="00000000">
      <w:pPr>
        <w:widowControl w:val="0"/>
        <w:spacing w:line="360" w:lineRule="auto"/>
        <w:ind w:firstLineChars="200" w:firstLine="510"/>
        <w:jc w:val="both"/>
        <w:rPr>
          <w:rFonts w:ascii="Times New Roman" w:hAnsi="Times New Roman"/>
          <w:spacing w:val="15"/>
          <w:sz w:val="24"/>
          <w:szCs w:val="24"/>
          <w:lang w:eastAsia="zh-CN"/>
        </w:rPr>
      </w:pPr>
      <w:r w:rsidRPr="00E67914">
        <w:rPr>
          <w:rFonts w:ascii="宋体" w:hAnsi="宋体" w:cs="宋体" w:hint="eastAsia"/>
          <w:spacing w:val="15"/>
          <w:sz w:val="24"/>
          <w:szCs w:val="24"/>
          <w:lang w:eastAsia="zh-CN"/>
        </w:rPr>
        <w:t>①</w:t>
      </w:r>
      <w:r w:rsidRPr="00E67914">
        <w:rPr>
          <w:rFonts w:ascii="Times New Roman" w:hAnsi="Times New Roman"/>
          <w:spacing w:val="15"/>
          <w:sz w:val="24"/>
          <w:szCs w:val="24"/>
          <w:lang w:eastAsia="zh-CN"/>
        </w:rPr>
        <w:t>马尾松群系</w:t>
      </w:r>
      <w:r w:rsidRPr="00E67914">
        <w:rPr>
          <w:rFonts w:ascii="Times New Roman" w:hAnsi="Times New Roman"/>
          <w:spacing w:val="15"/>
          <w:sz w:val="24"/>
          <w:szCs w:val="24"/>
          <w:lang w:eastAsia="zh-CN"/>
        </w:rPr>
        <w:t xml:space="preserve">(Form. </w:t>
      </w:r>
      <w:r w:rsidRPr="00E67914">
        <w:rPr>
          <w:rFonts w:ascii="Times New Roman" w:hAnsi="Times New Roman"/>
          <w:i/>
          <w:iCs/>
          <w:spacing w:val="15"/>
          <w:sz w:val="24"/>
          <w:szCs w:val="24"/>
          <w:lang w:eastAsia="zh-CN"/>
        </w:rPr>
        <w:t>P.massoniana</w:t>
      </w:r>
      <w:r w:rsidRPr="00E67914">
        <w:rPr>
          <w:rFonts w:ascii="Times New Roman" w:hAnsi="Times New Roman"/>
          <w:spacing w:val="15"/>
          <w:sz w:val="24"/>
          <w:szCs w:val="24"/>
          <w:lang w:eastAsia="zh-CN"/>
        </w:rPr>
        <w:t>)</w:t>
      </w:r>
    </w:p>
    <w:p w14:paraId="0BDECFE1" w14:textId="77777777" w:rsidR="00A54A8A" w:rsidRPr="00E67914" w:rsidRDefault="00000000">
      <w:pPr>
        <w:widowControl w:val="0"/>
        <w:spacing w:line="360" w:lineRule="auto"/>
        <w:ind w:firstLineChars="200" w:firstLine="510"/>
        <w:jc w:val="both"/>
        <w:rPr>
          <w:rFonts w:ascii="Times New Roman" w:hAnsi="Times New Roman"/>
          <w:spacing w:val="15"/>
          <w:sz w:val="24"/>
          <w:szCs w:val="24"/>
          <w:lang w:eastAsia="zh-CN"/>
        </w:rPr>
      </w:pPr>
      <w:r w:rsidRPr="00E67914">
        <w:rPr>
          <w:rFonts w:ascii="Times New Roman" w:hAnsi="Times New Roman"/>
          <w:spacing w:val="15"/>
          <w:sz w:val="24"/>
          <w:szCs w:val="24"/>
          <w:lang w:eastAsia="zh-CN"/>
        </w:rPr>
        <w:t>评价区的马尾松林为人工起源，马尾松是向阳、喜温暖的树种。多分布于酸性土上。评价区的马尾松（</w:t>
      </w:r>
      <w:r w:rsidRPr="00E67914">
        <w:rPr>
          <w:rFonts w:ascii="Times New Roman" w:hAnsi="Times New Roman"/>
          <w:i/>
          <w:iCs/>
          <w:spacing w:val="15"/>
          <w:sz w:val="24"/>
          <w:szCs w:val="24"/>
          <w:lang w:eastAsia="zh-CN"/>
        </w:rPr>
        <w:t>P.massoniana</w:t>
      </w:r>
      <w:r w:rsidRPr="00E67914">
        <w:rPr>
          <w:rFonts w:ascii="Times New Roman" w:hAnsi="Times New Roman"/>
          <w:spacing w:val="15"/>
          <w:sz w:val="24"/>
          <w:szCs w:val="24"/>
          <w:lang w:eastAsia="zh-CN"/>
        </w:rPr>
        <w:t>）林为人工起源，在评价区中北部广泛分布。群落外貌翠绿色，林冠整齐。多为次生林或人工林。除部分幼林外，一般树龄差异大，树龄一般不超过</w:t>
      </w:r>
      <w:r w:rsidRPr="00E67914">
        <w:rPr>
          <w:rFonts w:ascii="Times New Roman" w:hAnsi="Times New Roman"/>
          <w:spacing w:val="15"/>
          <w:sz w:val="24"/>
          <w:szCs w:val="24"/>
          <w:lang w:eastAsia="zh-CN"/>
        </w:rPr>
        <w:t>30</w:t>
      </w:r>
      <w:r w:rsidRPr="00E67914">
        <w:rPr>
          <w:rFonts w:ascii="Times New Roman" w:hAnsi="Times New Roman"/>
          <w:spacing w:val="15"/>
          <w:sz w:val="24"/>
          <w:szCs w:val="24"/>
          <w:lang w:eastAsia="zh-CN"/>
        </w:rPr>
        <w:t>年。郁闭度</w:t>
      </w:r>
      <w:r w:rsidRPr="00E67914">
        <w:rPr>
          <w:rFonts w:ascii="Times New Roman" w:hAnsi="Times New Roman"/>
          <w:spacing w:val="15"/>
          <w:sz w:val="24"/>
          <w:szCs w:val="24"/>
          <w:lang w:eastAsia="zh-CN"/>
        </w:rPr>
        <w:t>0.6~0.8</w:t>
      </w:r>
      <w:r w:rsidRPr="00E67914">
        <w:rPr>
          <w:rFonts w:ascii="Times New Roman" w:hAnsi="Times New Roman"/>
          <w:spacing w:val="15"/>
          <w:sz w:val="24"/>
          <w:szCs w:val="24"/>
          <w:lang w:eastAsia="zh-CN"/>
        </w:rPr>
        <w:t>。株高</w:t>
      </w:r>
      <w:r w:rsidRPr="00E67914">
        <w:rPr>
          <w:rFonts w:ascii="Times New Roman" w:hAnsi="Times New Roman"/>
          <w:spacing w:val="15"/>
          <w:sz w:val="24"/>
          <w:szCs w:val="24"/>
          <w:lang w:eastAsia="zh-CN"/>
        </w:rPr>
        <w:t>10m~20m</w:t>
      </w:r>
      <w:r w:rsidRPr="00E67914">
        <w:rPr>
          <w:rFonts w:ascii="Times New Roman" w:hAnsi="Times New Roman"/>
          <w:spacing w:val="15"/>
          <w:sz w:val="24"/>
          <w:szCs w:val="24"/>
          <w:lang w:eastAsia="zh-CN"/>
        </w:rPr>
        <w:t>，胸径</w:t>
      </w:r>
      <w:r w:rsidRPr="00E67914">
        <w:rPr>
          <w:rFonts w:ascii="Times New Roman" w:hAnsi="Times New Roman"/>
          <w:spacing w:val="15"/>
          <w:sz w:val="24"/>
          <w:szCs w:val="24"/>
          <w:lang w:eastAsia="zh-CN"/>
        </w:rPr>
        <w:t>6cm~30cm</w:t>
      </w:r>
      <w:r w:rsidRPr="00E67914">
        <w:rPr>
          <w:rFonts w:ascii="Times New Roman" w:hAnsi="Times New Roman"/>
          <w:spacing w:val="15"/>
          <w:sz w:val="24"/>
          <w:szCs w:val="24"/>
          <w:lang w:eastAsia="zh-CN"/>
        </w:rPr>
        <w:t>左右。主要以马尾松纯林和马尾松、杉木混交林为主。乔灌层次分明，乔木层主要有马尾松、杉木、枫香、栓皮栎、麻栎等。灌木层种类较多，常见为多种米饭花、映山红、米碎花、铁仔、柃木、杜鹃、鹅掌柴、山矾</w:t>
      </w:r>
      <w:r w:rsidRPr="00E67914">
        <w:rPr>
          <w:rFonts w:ascii="Times New Roman" w:hAnsi="Times New Roman"/>
          <w:spacing w:val="15"/>
          <w:sz w:val="24"/>
          <w:szCs w:val="24"/>
          <w:lang w:eastAsia="zh-CN"/>
        </w:rPr>
        <w:t>(</w:t>
      </w:r>
      <w:r w:rsidRPr="00E67914">
        <w:rPr>
          <w:rFonts w:ascii="Times New Roman" w:hAnsi="Times New Roman"/>
          <w:i/>
          <w:iCs/>
          <w:spacing w:val="15"/>
          <w:sz w:val="24"/>
          <w:szCs w:val="24"/>
          <w:lang w:eastAsia="zh-CN"/>
        </w:rPr>
        <w:t>Symplocos</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spp.</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、木莓、川莓、悬钩子</w:t>
      </w:r>
      <w:r w:rsidRPr="00E67914">
        <w:rPr>
          <w:rFonts w:ascii="Times New Roman" w:hAnsi="Times New Roman"/>
          <w:spacing w:val="15"/>
          <w:sz w:val="24"/>
          <w:szCs w:val="24"/>
          <w:lang w:eastAsia="zh-CN"/>
        </w:rPr>
        <w:t>(</w:t>
      </w:r>
      <w:r w:rsidRPr="00E67914">
        <w:rPr>
          <w:rFonts w:ascii="Times New Roman" w:hAnsi="Times New Roman"/>
          <w:i/>
          <w:iCs/>
          <w:spacing w:val="15"/>
          <w:sz w:val="24"/>
          <w:szCs w:val="24"/>
          <w:lang w:eastAsia="zh-CN"/>
        </w:rPr>
        <w:t>Rubus</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spp</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、火棘、马桑等。草本层主要有芒萁</w:t>
      </w:r>
      <w:r w:rsidRPr="00E67914">
        <w:rPr>
          <w:rFonts w:ascii="Times New Roman" w:hAnsi="Times New Roman"/>
          <w:spacing w:val="15"/>
          <w:sz w:val="24"/>
          <w:szCs w:val="24"/>
          <w:lang w:eastAsia="zh-CN"/>
        </w:rPr>
        <w:t>(</w:t>
      </w:r>
      <w:r w:rsidRPr="00E67914">
        <w:rPr>
          <w:rFonts w:ascii="Times New Roman" w:hAnsi="Times New Roman"/>
          <w:i/>
          <w:iCs/>
          <w:spacing w:val="15"/>
          <w:sz w:val="24"/>
          <w:szCs w:val="24"/>
          <w:lang w:eastAsia="zh-CN"/>
        </w:rPr>
        <w:t>Dicranopteris</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dichotoma</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、芒、苔草、麦冬</w:t>
      </w:r>
      <w:r w:rsidRPr="00E67914">
        <w:rPr>
          <w:rFonts w:ascii="Times New Roman" w:hAnsi="Times New Roman"/>
          <w:spacing w:val="15"/>
          <w:sz w:val="24"/>
          <w:szCs w:val="24"/>
          <w:lang w:eastAsia="zh-CN"/>
        </w:rPr>
        <w:t xml:space="preserve">(Ophiopogon </w:t>
      </w:r>
      <w:r w:rsidRPr="00E67914">
        <w:rPr>
          <w:rFonts w:ascii="Times New Roman" w:hAnsi="Times New Roman"/>
          <w:i/>
          <w:iCs/>
          <w:spacing w:val="15"/>
          <w:sz w:val="24"/>
          <w:szCs w:val="24"/>
          <w:lang w:eastAsia="zh-CN"/>
        </w:rPr>
        <w:t>japonicus</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、翠云草</w:t>
      </w:r>
      <w:r w:rsidRPr="00E67914">
        <w:rPr>
          <w:rFonts w:ascii="Times New Roman" w:hAnsi="Times New Roman"/>
          <w:spacing w:val="15"/>
          <w:sz w:val="24"/>
          <w:szCs w:val="24"/>
          <w:lang w:eastAsia="zh-CN"/>
        </w:rPr>
        <w:t>(</w:t>
      </w:r>
      <w:r w:rsidRPr="00E67914">
        <w:rPr>
          <w:rFonts w:ascii="Times New Roman" w:hAnsi="Times New Roman"/>
          <w:i/>
          <w:iCs/>
          <w:spacing w:val="15"/>
          <w:sz w:val="24"/>
          <w:szCs w:val="24"/>
          <w:lang w:eastAsia="zh-CN"/>
        </w:rPr>
        <w:t>Selaginella</w:t>
      </w:r>
      <w:r w:rsidRPr="00E67914">
        <w:rPr>
          <w:rFonts w:ascii="Times New Roman" w:hAnsi="Times New Roman"/>
          <w:spacing w:val="15"/>
          <w:sz w:val="24"/>
          <w:szCs w:val="24"/>
          <w:lang w:eastAsia="zh-CN"/>
        </w:rPr>
        <w:t xml:space="preserve"> </w:t>
      </w:r>
      <w:r w:rsidRPr="00E67914">
        <w:rPr>
          <w:rFonts w:ascii="Times New Roman" w:hAnsi="Times New Roman"/>
          <w:i/>
          <w:iCs/>
          <w:spacing w:val="15"/>
          <w:sz w:val="24"/>
          <w:szCs w:val="24"/>
          <w:lang w:eastAsia="zh-CN"/>
        </w:rPr>
        <w:t>uncinata</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、蒿等。</w:t>
      </w:r>
    </w:p>
    <w:p w14:paraId="7DD99F09" w14:textId="77777777" w:rsidR="00A54A8A" w:rsidRPr="00E67914" w:rsidRDefault="00000000">
      <w:pPr>
        <w:widowControl w:val="0"/>
        <w:spacing w:line="360" w:lineRule="auto"/>
        <w:ind w:firstLineChars="200" w:firstLine="510"/>
        <w:jc w:val="both"/>
        <w:rPr>
          <w:rFonts w:ascii="Times New Roman" w:hAnsi="Times New Roman"/>
          <w:spacing w:val="15"/>
          <w:sz w:val="24"/>
          <w:szCs w:val="24"/>
          <w:lang w:eastAsia="zh-CN"/>
        </w:rPr>
      </w:pPr>
      <w:r w:rsidRPr="00E67914">
        <w:rPr>
          <w:rFonts w:ascii="宋体" w:hAnsi="宋体" w:cs="宋体" w:hint="eastAsia"/>
          <w:spacing w:val="15"/>
          <w:sz w:val="24"/>
          <w:szCs w:val="24"/>
          <w:lang w:eastAsia="zh-CN"/>
        </w:rPr>
        <w:t>②</w:t>
      </w:r>
      <w:r w:rsidRPr="00E67914">
        <w:rPr>
          <w:rFonts w:ascii="Times New Roman" w:hAnsi="Times New Roman"/>
          <w:spacing w:val="15"/>
          <w:sz w:val="24"/>
          <w:szCs w:val="24"/>
          <w:lang w:eastAsia="zh-CN"/>
        </w:rPr>
        <w:t>柏木</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慈竹群系（</w:t>
      </w:r>
      <w:r w:rsidRPr="00E67914">
        <w:rPr>
          <w:rFonts w:ascii="Times New Roman" w:hAnsi="Times New Roman"/>
          <w:spacing w:val="15"/>
          <w:sz w:val="24"/>
          <w:szCs w:val="24"/>
          <w:lang w:eastAsia="zh-CN"/>
        </w:rPr>
        <w:t xml:space="preserve">Form. </w:t>
      </w:r>
      <w:r w:rsidRPr="00E67914">
        <w:rPr>
          <w:rFonts w:ascii="Times New Roman" w:hAnsi="Times New Roman"/>
          <w:i/>
          <w:iCs/>
          <w:spacing w:val="15"/>
          <w:sz w:val="24"/>
          <w:szCs w:val="24"/>
          <w:lang w:eastAsia="zh-CN"/>
        </w:rPr>
        <w:t>Cupressusfunebris</w:t>
      </w:r>
      <w:r w:rsidRPr="00E67914">
        <w:rPr>
          <w:rFonts w:ascii="Times New Roman" w:hAnsi="Times New Roman"/>
          <w:spacing w:val="15"/>
          <w:sz w:val="24"/>
          <w:szCs w:val="24"/>
          <w:lang w:eastAsia="zh-CN"/>
        </w:rPr>
        <w:t>+</w:t>
      </w:r>
      <w:r w:rsidRPr="00E67914">
        <w:rPr>
          <w:rFonts w:ascii="Times New Roman" w:hAnsi="Times New Roman"/>
          <w:i/>
          <w:iCs/>
          <w:spacing w:val="15"/>
          <w:sz w:val="24"/>
          <w:szCs w:val="24"/>
          <w:lang w:eastAsia="zh-CN"/>
        </w:rPr>
        <w:t>Neosinocalamus affinis</w:t>
      </w:r>
      <w:r w:rsidRPr="00E67914">
        <w:rPr>
          <w:rFonts w:ascii="Times New Roman" w:hAnsi="Times New Roman"/>
          <w:spacing w:val="15"/>
          <w:sz w:val="24"/>
          <w:szCs w:val="24"/>
          <w:lang w:eastAsia="zh-CN"/>
        </w:rPr>
        <w:t>）</w:t>
      </w:r>
    </w:p>
    <w:p w14:paraId="20B7143B" w14:textId="77777777" w:rsidR="00A54A8A" w:rsidRPr="00E67914" w:rsidRDefault="00000000">
      <w:pPr>
        <w:widowControl w:val="0"/>
        <w:spacing w:line="360" w:lineRule="auto"/>
        <w:ind w:firstLineChars="200" w:firstLine="510"/>
        <w:jc w:val="both"/>
        <w:rPr>
          <w:rFonts w:ascii="Times New Roman" w:hAnsi="Times New Roman"/>
          <w:spacing w:val="15"/>
          <w:sz w:val="24"/>
          <w:szCs w:val="24"/>
          <w:lang w:eastAsia="zh-CN"/>
        </w:rPr>
      </w:pPr>
      <w:r w:rsidRPr="00E67914">
        <w:rPr>
          <w:rFonts w:ascii="Times New Roman" w:hAnsi="Times New Roman"/>
          <w:spacing w:val="15"/>
          <w:sz w:val="24"/>
          <w:szCs w:val="24"/>
          <w:lang w:eastAsia="zh-CN"/>
        </w:rPr>
        <w:t>评价区域内的柏木和慈竹混交林比较常见，多分布于山坡区域，在公路、耕地周边也呈小块片状分布。该群落林冠层平均高度</w:t>
      </w:r>
      <w:r w:rsidRPr="00E67914">
        <w:rPr>
          <w:rFonts w:ascii="Times New Roman" w:hAnsi="Times New Roman"/>
          <w:spacing w:val="15"/>
          <w:sz w:val="24"/>
          <w:szCs w:val="24"/>
          <w:lang w:eastAsia="zh-CN"/>
        </w:rPr>
        <w:t>11m</w:t>
      </w:r>
      <w:r w:rsidRPr="00E67914">
        <w:rPr>
          <w:rFonts w:ascii="Times New Roman" w:hAnsi="Times New Roman"/>
          <w:spacing w:val="15"/>
          <w:sz w:val="24"/>
          <w:szCs w:val="24"/>
          <w:lang w:eastAsia="zh-CN"/>
        </w:rPr>
        <w:t>左右，林冠整齐，林内郁闭度</w:t>
      </w:r>
      <w:r w:rsidRPr="00E67914">
        <w:rPr>
          <w:rFonts w:ascii="Times New Roman" w:hAnsi="Times New Roman"/>
          <w:spacing w:val="15"/>
          <w:sz w:val="24"/>
          <w:szCs w:val="24"/>
          <w:lang w:eastAsia="zh-CN"/>
        </w:rPr>
        <w:t>0.5~0.7</w:t>
      </w:r>
      <w:r w:rsidRPr="00E67914">
        <w:rPr>
          <w:rFonts w:ascii="Times New Roman" w:hAnsi="Times New Roman"/>
          <w:spacing w:val="15"/>
          <w:sz w:val="24"/>
          <w:szCs w:val="24"/>
          <w:lang w:eastAsia="zh-CN"/>
        </w:rPr>
        <w:t>，林下灌木种类丰富。优势柏木的高度</w:t>
      </w:r>
      <w:r w:rsidRPr="00E67914">
        <w:rPr>
          <w:rFonts w:ascii="Times New Roman" w:hAnsi="Times New Roman"/>
          <w:spacing w:val="15"/>
          <w:sz w:val="24"/>
          <w:szCs w:val="24"/>
          <w:lang w:eastAsia="zh-CN"/>
        </w:rPr>
        <w:t>11m</w:t>
      </w:r>
      <w:r w:rsidRPr="00E67914">
        <w:rPr>
          <w:rFonts w:ascii="Times New Roman" w:hAnsi="Times New Roman"/>
          <w:spacing w:val="15"/>
          <w:sz w:val="24"/>
          <w:szCs w:val="24"/>
          <w:lang w:eastAsia="zh-CN"/>
        </w:rPr>
        <w:t>，平均胸径</w:t>
      </w:r>
      <w:r w:rsidRPr="00E67914">
        <w:rPr>
          <w:rFonts w:ascii="Times New Roman" w:hAnsi="Times New Roman"/>
          <w:spacing w:val="15"/>
          <w:sz w:val="24"/>
          <w:szCs w:val="24"/>
          <w:lang w:eastAsia="zh-CN"/>
        </w:rPr>
        <w:t>12cm</w:t>
      </w:r>
      <w:r w:rsidRPr="00E67914">
        <w:rPr>
          <w:rFonts w:ascii="Times New Roman" w:hAnsi="Times New Roman"/>
          <w:spacing w:val="15"/>
          <w:sz w:val="24"/>
          <w:szCs w:val="24"/>
          <w:lang w:eastAsia="zh-CN"/>
        </w:rPr>
        <w:t>，冠盖度达到</w:t>
      </w:r>
      <w:r w:rsidRPr="00E67914">
        <w:rPr>
          <w:rFonts w:ascii="Times New Roman" w:hAnsi="Times New Roman"/>
          <w:spacing w:val="15"/>
          <w:sz w:val="24"/>
          <w:szCs w:val="24"/>
          <w:lang w:eastAsia="zh-CN"/>
        </w:rPr>
        <w:t>40%</w:t>
      </w:r>
      <w:r w:rsidRPr="00E67914">
        <w:rPr>
          <w:rFonts w:ascii="Times New Roman" w:hAnsi="Times New Roman"/>
          <w:spacing w:val="15"/>
          <w:sz w:val="24"/>
          <w:szCs w:val="24"/>
          <w:lang w:eastAsia="zh-CN"/>
        </w:rPr>
        <w:t>，慈竹平均高度</w:t>
      </w:r>
      <w:r w:rsidRPr="00E67914">
        <w:rPr>
          <w:rFonts w:ascii="Times New Roman" w:hAnsi="Times New Roman"/>
          <w:spacing w:val="15"/>
          <w:sz w:val="24"/>
          <w:szCs w:val="24"/>
          <w:lang w:eastAsia="zh-CN"/>
        </w:rPr>
        <w:t>10-12m</w:t>
      </w:r>
      <w:r w:rsidRPr="00E67914">
        <w:rPr>
          <w:rFonts w:ascii="Times New Roman" w:hAnsi="Times New Roman"/>
          <w:spacing w:val="15"/>
          <w:sz w:val="24"/>
          <w:szCs w:val="24"/>
          <w:lang w:eastAsia="zh-CN"/>
        </w:rPr>
        <w:t>左右，杆径</w:t>
      </w:r>
      <w:r w:rsidRPr="00E67914">
        <w:rPr>
          <w:rFonts w:ascii="Times New Roman" w:hAnsi="Times New Roman"/>
          <w:spacing w:val="15"/>
          <w:sz w:val="24"/>
          <w:szCs w:val="24"/>
          <w:lang w:eastAsia="zh-CN"/>
        </w:rPr>
        <w:t>6~8cm</w:t>
      </w:r>
      <w:r w:rsidRPr="00E67914">
        <w:rPr>
          <w:rFonts w:ascii="Times New Roman" w:hAnsi="Times New Roman"/>
          <w:spacing w:val="15"/>
          <w:sz w:val="24"/>
          <w:szCs w:val="24"/>
          <w:lang w:eastAsia="zh-CN"/>
        </w:rPr>
        <w:t>，冠盖度均在</w:t>
      </w:r>
      <w:r w:rsidRPr="00E67914">
        <w:rPr>
          <w:rFonts w:ascii="Times New Roman" w:hAnsi="Times New Roman"/>
          <w:spacing w:val="15"/>
          <w:sz w:val="24"/>
          <w:szCs w:val="24"/>
          <w:lang w:eastAsia="zh-CN"/>
        </w:rPr>
        <w:t>10%</w:t>
      </w:r>
      <w:r w:rsidRPr="00E67914">
        <w:rPr>
          <w:rFonts w:ascii="Times New Roman" w:hAnsi="Times New Roman"/>
          <w:spacing w:val="15"/>
          <w:sz w:val="24"/>
          <w:szCs w:val="24"/>
          <w:lang w:eastAsia="zh-CN"/>
        </w:rPr>
        <w:t>左右。灌木层物种组成较丰富。灌木层物种组成较丰富，优势种主要是麻栎，其平均高度为</w:t>
      </w:r>
      <w:r w:rsidRPr="00E67914">
        <w:rPr>
          <w:rFonts w:ascii="Times New Roman" w:hAnsi="Times New Roman"/>
          <w:spacing w:val="15"/>
          <w:sz w:val="24"/>
          <w:szCs w:val="24"/>
          <w:lang w:eastAsia="zh-CN"/>
        </w:rPr>
        <w:t>1.9m</w:t>
      </w:r>
      <w:r w:rsidRPr="00E67914">
        <w:rPr>
          <w:rFonts w:ascii="Times New Roman" w:hAnsi="Times New Roman"/>
          <w:spacing w:val="15"/>
          <w:sz w:val="24"/>
          <w:szCs w:val="24"/>
          <w:lang w:eastAsia="zh-CN"/>
        </w:rPr>
        <w:t>，盖度为</w:t>
      </w:r>
      <w:r w:rsidRPr="00E67914">
        <w:rPr>
          <w:rFonts w:ascii="Times New Roman" w:hAnsi="Times New Roman"/>
          <w:spacing w:val="15"/>
          <w:sz w:val="24"/>
          <w:szCs w:val="24"/>
          <w:lang w:eastAsia="zh-CN"/>
        </w:rPr>
        <w:t>60%</w:t>
      </w:r>
      <w:r w:rsidRPr="00E67914">
        <w:rPr>
          <w:rFonts w:ascii="Times New Roman" w:hAnsi="Times New Roman"/>
          <w:spacing w:val="15"/>
          <w:sz w:val="24"/>
          <w:szCs w:val="24"/>
          <w:lang w:eastAsia="zh-CN"/>
        </w:rPr>
        <w:t>。常见种有杜鹃、球核荚蒾、马桑、火棘等，其中球核荚蒾的盖度较大，为</w:t>
      </w:r>
      <w:r w:rsidRPr="00E67914">
        <w:rPr>
          <w:rFonts w:ascii="Times New Roman" w:hAnsi="Times New Roman"/>
          <w:spacing w:val="15"/>
          <w:sz w:val="24"/>
          <w:szCs w:val="24"/>
          <w:lang w:eastAsia="zh-CN"/>
        </w:rPr>
        <w:t>18%</w:t>
      </w:r>
      <w:r w:rsidRPr="00E67914">
        <w:rPr>
          <w:rFonts w:ascii="Times New Roman" w:hAnsi="Times New Roman"/>
          <w:spacing w:val="15"/>
          <w:sz w:val="24"/>
          <w:szCs w:val="24"/>
          <w:lang w:eastAsia="zh-CN"/>
        </w:rPr>
        <w:t>，平均高度为</w:t>
      </w:r>
      <w:r w:rsidRPr="00E67914">
        <w:rPr>
          <w:rFonts w:ascii="Times New Roman" w:hAnsi="Times New Roman"/>
          <w:spacing w:val="15"/>
          <w:sz w:val="24"/>
          <w:szCs w:val="24"/>
          <w:lang w:eastAsia="zh-CN"/>
        </w:rPr>
        <w:t>1.3m</w:t>
      </w:r>
      <w:r w:rsidRPr="00E67914">
        <w:rPr>
          <w:rFonts w:ascii="Times New Roman" w:hAnsi="Times New Roman"/>
          <w:spacing w:val="15"/>
          <w:sz w:val="24"/>
          <w:szCs w:val="24"/>
          <w:lang w:eastAsia="zh-CN"/>
        </w:rPr>
        <w:t>，火棘相对较少，其盖度也较小，仅</w:t>
      </w:r>
      <w:r w:rsidRPr="00E67914">
        <w:rPr>
          <w:rFonts w:ascii="Times New Roman" w:hAnsi="Times New Roman"/>
          <w:spacing w:val="15"/>
          <w:sz w:val="24"/>
          <w:szCs w:val="24"/>
          <w:lang w:eastAsia="zh-CN"/>
        </w:rPr>
        <w:t>8%</w:t>
      </w:r>
      <w:r w:rsidRPr="00E67914">
        <w:rPr>
          <w:rFonts w:ascii="Times New Roman" w:hAnsi="Times New Roman"/>
          <w:spacing w:val="15"/>
          <w:sz w:val="24"/>
          <w:szCs w:val="24"/>
          <w:lang w:eastAsia="zh-CN"/>
        </w:rPr>
        <w:t>。另外，偶见种有小果蔷薇、檵木、铁仔等。由于灌木层物种组成较丰富，对林下草本层的影响比较明</w:t>
      </w:r>
      <w:r w:rsidRPr="00E67914">
        <w:rPr>
          <w:rFonts w:ascii="Times New Roman" w:hAnsi="Times New Roman"/>
          <w:spacing w:val="15"/>
          <w:sz w:val="24"/>
          <w:szCs w:val="24"/>
          <w:lang w:eastAsia="zh-CN"/>
        </w:rPr>
        <w:lastRenderedPageBreak/>
        <w:t>显。草本层植物种类欠丰富。</w:t>
      </w:r>
      <w:r w:rsidRPr="00E67914">
        <w:rPr>
          <w:rFonts w:ascii="Times New Roman" w:hAnsi="Times New Roman"/>
          <w:spacing w:val="15"/>
          <w:sz w:val="24"/>
          <w:szCs w:val="24"/>
          <w:lang w:eastAsia="zh-CN"/>
        </w:rPr>
        <w:t>1m</w:t>
      </w:r>
      <w:r w:rsidRPr="00E67914">
        <w:rPr>
          <w:rFonts w:ascii="Times New Roman" w:hAnsi="Times New Roman"/>
          <w:spacing w:val="15"/>
          <w:sz w:val="24"/>
          <w:szCs w:val="24"/>
          <w:vertAlign w:val="superscript"/>
          <w:lang w:eastAsia="zh-CN"/>
        </w:rPr>
        <w:t>2</w:t>
      </w:r>
      <w:r w:rsidRPr="00E67914">
        <w:rPr>
          <w:rFonts w:ascii="Times New Roman" w:hAnsi="Times New Roman"/>
          <w:spacing w:val="15"/>
          <w:sz w:val="24"/>
          <w:szCs w:val="24"/>
          <w:lang w:eastAsia="zh-CN"/>
        </w:rPr>
        <w:t>草本层样方内优势种为芒，其平均高度为</w:t>
      </w:r>
      <w:r w:rsidRPr="00E67914">
        <w:rPr>
          <w:rFonts w:ascii="Times New Roman" w:hAnsi="Times New Roman"/>
          <w:spacing w:val="15"/>
          <w:sz w:val="24"/>
          <w:szCs w:val="24"/>
          <w:lang w:eastAsia="zh-CN"/>
        </w:rPr>
        <w:t>1.5m</w:t>
      </w:r>
      <w:r w:rsidRPr="00E67914">
        <w:rPr>
          <w:rFonts w:ascii="Times New Roman" w:hAnsi="Times New Roman"/>
          <w:spacing w:val="15"/>
          <w:sz w:val="24"/>
          <w:szCs w:val="24"/>
          <w:lang w:eastAsia="zh-CN"/>
        </w:rPr>
        <w:t>，盖度达</w:t>
      </w:r>
      <w:r w:rsidRPr="00E67914">
        <w:rPr>
          <w:rFonts w:ascii="Times New Roman" w:hAnsi="Times New Roman"/>
          <w:spacing w:val="15"/>
          <w:sz w:val="24"/>
          <w:szCs w:val="24"/>
          <w:lang w:eastAsia="zh-CN"/>
        </w:rPr>
        <w:t>15%</w:t>
      </w:r>
      <w:r w:rsidRPr="00E67914">
        <w:rPr>
          <w:rFonts w:ascii="Times New Roman" w:hAnsi="Times New Roman"/>
          <w:spacing w:val="15"/>
          <w:sz w:val="24"/>
          <w:szCs w:val="24"/>
          <w:lang w:eastAsia="zh-CN"/>
        </w:rPr>
        <w:t>。常见种有野青茅、乌蕨等，其盖度都不超过</w:t>
      </w:r>
      <w:r w:rsidRPr="00E67914">
        <w:rPr>
          <w:rFonts w:ascii="Times New Roman" w:hAnsi="Times New Roman"/>
          <w:spacing w:val="15"/>
          <w:sz w:val="24"/>
          <w:szCs w:val="24"/>
          <w:lang w:eastAsia="zh-CN"/>
        </w:rPr>
        <w:t>5%</w:t>
      </w:r>
      <w:r w:rsidRPr="00E67914">
        <w:rPr>
          <w:rFonts w:ascii="Times New Roman" w:hAnsi="Times New Roman"/>
          <w:spacing w:val="15"/>
          <w:sz w:val="24"/>
          <w:szCs w:val="24"/>
          <w:lang w:eastAsia="zh-CN"/>
        </w:rPr>
        <w:t>，平均高度野青茅最高，为</w:t>
      </w:r>
      <w:r w:rsidRPr="00E67914">
        <w:rPr>
          <w:rFonts w:ascii="Times New Roman" w:hAnsi="Times New Roman"/>
          <w:spacing w:val="15"/>
          <w:sz w:val="24"/>
          <w:szCs w:val="24"/>
          <w:lang w:eastAsia="zh-CN"/>
        </w:rPr>
        <w:t>0.7m</w:t>
      </w:r>
      <w:r w:rsidRPr="00E67914">
        <w:rPr>
          <w:rFonts w:ascii="Times New Roman" w:hAnsi="Times New Roman"/>
          <w:spacing w:val="15"/>
          <w:sz w:val="24"/>
          <w:szCs w:val="24"/>
          <w:lang w:eastAsia="zh-CN"/>
        </w:rPr>
        <w:t>，乌蕨最小，仅</w:t>
      </w:r>
      <w:r w:rsidRPr="00E67914">
        <w:rPr>
          <w:rFonts w:ascii="Times New Roman" w:hAnsi="Times New Roman"/>
          <w:spacing w:val="15"/>
          <w:sz w:val="24"/>
          <w:szCs w:val="24"/>
          <w:lang w:eastAsia="zh-CN"/>
        </w:rPr>
        <w:t>0.2m</w:t>
      </w:r>
      <w:r w:rsidRPr="00E67914">
        <w:rPr>
          <w:rFonts w:ascii="Times New Roman" w:hAnsi="Times New Roman"/>
          <w:spacing w:val="15"/>
          <w:sz w:val="24"/>
          <w:szCs w:val="24"/>
          <w:lang w:eastAsia="zh-CN"/>
        </w:rPr>
        <w:t>。偶见种有千里光、地瓜藤、龙牙草等。</w:t>
      </w:r>
    </w:p>
    <w:p w14:paraId="2A8FEDEE" w14:textId="77777777" w:rsidR="00A54A8A" w:rsidRPr="00E67914" w:rsidRDefault="00000000">
      <w:pPr>
        <w:widowControl w:val="0"/>
        <w:spacing w:line="360" w:lineRule="auto"/>
        <w:ind w:firstLineChars="200" w:firstLine="510"/>
        <w:jc w:val="both"/>
        <w:rPr>
          <w:rFonts w:ascii="Times New Roman" w:hAnsi="Times New Roman"/>
          <w:spacing w:val="15"/>
          <w:sz w:val="24"/>
          <w:szCs w:val="24"/>
          <w:lang w:eastAsia="zh-CN"/>
        </w:rPr>
      </w:pPr>
      <w:r w:rsidRPr="00E67914">
        <w:rPr>
          <w:rFonts w:ascii="宋体" w:hAnsi="宋体" w:cs="宋体" w:hint="eastAsia"/>
          <w:spacing w:val="15"/>
          <w:sz w:val="24"/>
          <w:szCs w:val="24"/>
          <w:lang w:eastAsia="zh-CN"/>
        </w:rPr>
        <w:t>③</w:t>
      </w:r>
      <w:r w:rsidRPr="00E67914">
        <w:rPr>
          <w:rFonts w:ascii="Times New Roman" w:hAnsi="Times New Roman"/>
          <w:spacing w:val="15"/>
          <w:sz w:val="24"/>
          <w:szCs w:val="24"/>
          <w:lang w:eastAsia="zh-CN"/>
        </w:rPr>
        <w:t>麻栎</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青冈</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栓皮栎群落</w:t>
      </w:r>
      <w:r w:rsidRPr="00E67914">
        <w:rPr>
          <w:rFonts w:ascii="Times New Roman" w:hAnsi="Times New Roman"/>
          <w:spacing w:val="15"/>
          <w:sz w:val="24"/>
          <w:szCs w:val="24"/>
          <w:lang w:eastAsia="zh-CN"/>
        </w:rPr>
        <w:t>(Form.</w:t>
      </w:r>
      <w:r w:rsidRPr="00E67914">
        <w:rPr>
          <w:rFonts w:ascii="Times New Roman" w:hAnsi="Times New Roman"/>
          <w:i/>
          <w:iCs/>
          <w:spacing w:val="15"/>
          <w:sz w:val="24"/>
          <w:szCs w:val="24"/>
          <w:lang w:eastAsia="zh-CN"/>
        </w:rPr>
        <w:t xml:space="preserve">Quercus acutissima </w:t>
      </w:r>
      <w:r w:rsidRPr="00E67914">
        <w:rPr>
          <w:rFonts w:ascii="Times New Roman" w:hAnsi="Times New Roman"/>
          <w:spacing w:val="15"/>
          <w:sz w:val="24"/>
          <w:szCs w:val="24"/>
          <w:lang w:eastAsia="zh-CN"/>
        </w:rPr>
        <w:t>Carruth.</w:t>
      </w:r>
      <w:r w:rsidRPr="00E67914">
        <w:rPr>
          <w:rFonts w:ascii="Times New Roman" w:hAnsi="Times New Roman"/>
          <w:i/>
          <w:iCs/>
          <w:spacing w:val="15"/>
          <w:sz w:val="24"/>
          <w:szCs w:val="24"/>
          <w:lang w:eastAsia="zh-CN"/>
        </w:rPr>
        <w:t xml:space="preserve">+Quercus variabilis </w:t>
      </w:r>
      <w:r w:rsidRPr="00E67914">
        <w:rPr>
          <w:rFonts w:ascii="Times New Roman" w:hAnsi="Times New Roman"/>
          <w:spacing w:val="15"/>
          <w:sz w:val="24"/>
          <w:szCs w:val="24"/>
          <w:lang w:eastAsia="zh-CN"/>
        </w:rPr>
        <w:t>Bl.</w:t>
      </w:r>
      <w:r w:rsidRPr="00E67914">
        <w:rPr>
          <w:rFonts w:ascii="Times New Roman" w:hAnsi="Times New Roman"/>
          <w:i/>
          <w:iCs/>
          <w:spacing w:val="15"/>
          <w:sz w:val="24"/>
          <w:szCs w:val="24"/>
          <w:lang w:eastAsia="zh-CN"/>
        </w:rPr>
        <w:t xml:space="preserve">+Liquidambar formosana </w:t>
      </w:r>
      <w:r w:rsidRPr="00E67914">
        <w:rPr>
          <w:rFonts w:ascii="Times New Roman" w:hAnsi="Times New Roman"/>
          <w:spacing w:val="15"/>
          <w:sz w:val="24"/>
          <w:szCs w:val="24"/>
          <w:lang w:eastAsia="zh-CN"/>
        </w:rPr>
        <w:t>Hance)</w:t>
      </w:r>
    </w:p>
    <w:p w14:paraId="6EA79CC6" w14:textId="77777777" w:rsidR="00A54A8A" w:rsidRPr="00E67914" w:rsidRDefault="00000000">
      <w:pPr>
        <w:widowControl w:val="0"/>
        <w:spacing w:line="360" w:lineRule="auto"/>
        <w:ind w:firstLineChars="200" w:firstLine="510"/>
        <w:jc w:val="both"/>
        <w:rPr>
          <w:rFonts w:ascii="Times New Roman" w:hAnsi="Times New Roman"/>
          <w:spacing w:val="15"/>
          <w:sz w:val="24"/>
          <w:szCs w:val="24"/>
          <w:lang w:eastAsia="zh-CN"/>
        </w:rPr>
      </w:pPr>
      <w:r w:rsidRPr="00E67914">
        <w:rPr>
          <w:rFonts w:ascii="Times New Roman" w:hAnsi="Times New Roman"/>
          <w:spacing w:val="15"/>
          <w:sz w:val="24"/>
          <w:szCs w:val="24"/>
          <w:lang w:eastAsia="zh-CN"/>
        </w:rPr>
        <w:t>该植被类型是评价区及周边房前屋后分布较广的植被类型，多为人工栽培，是一个生态幅度较大的森林类型，在不同气候类型的影响下，该植被类型生长发育都较好，表现出较强的适应性。这种较强的适应性，也表现在对林地的地形、岩石及土壤等环境无严格的选择上，常混生有枫香、响叶杨等混生，林内平均胸径</w:t>
      </w:r>
      <w:r w:rsidRPr="00E67914">
        <w:rPr>
          <w:rFonts w:ascii="Times New Roman" w:hAnsi="Times New Roman"/>
          <w:spacing w:val="15"/>
          <w:sz w:val="24"/>
          <w:szCs w:val="24"/>
          <w:lang w:eastAsia="zh-CN"/>
        </w:rPr>
        <w:t>25</w:t>
      </w:r>
      <w:r w:rsidRPr="00E67914">
        <w:rPr>
          <w:rFonts w:ascii="Times New Roman" w:hAnsi="Times New Roman"/>
          <w:spacing w:val="15"/>
          <w:sz w:val="24"/>
          <w:szCs w:val="24"/>
          <w:lang w:eastAsia="zh-CN"/>
        </w:rPr>
        <w:t>厘米，树高介于</w:t>
      </w:r>
      <w:r w:rsidRPr="00E67914">
        <w:rPr>
          <w:rFonts w:ascii="Times New Roman" w:hAnsi="Times New Roman"/>
          <w:spacing w:val="15"/>
          <w:sz w:val="24"/>
          <w:szCs w:val="24"/>
          <w:lang w:eastAsia="zh-CN"/>
        </w:rPr>
        <w:t>10-20</w:t>
      </w:r>
      <w:r w:rsidRPr="00E67914">
        <w:rPr>
          <w:rFonts w:ascii="Times New Roman" w:hAnsi="Times New Roman"/>
          <w:spacing w:val="15"/>
          <w:sz w:val="24"/>
          <w:szCs w:val="24"/>
          <w:lang w:eastAsia="zh-CN"/>
        </w:rPr>
        <w:t>米。常受到人类活动地影响，林下灌木极少。林下灌木主要为烟管荚蓬、火棘、蔷薇、盐肤木、映山红、铁仔、毛黄栌等分布。</w:t>
      </w:r>
    </w:p>
    <w:p w14:paraId="2F36458D" w14:textId="77777777" w:rsidR="00A54A8A" w:rsidRPr="00E67914" w:rsidRDefault="00000000">
      <w:pPr>
        <w:widowControl w:val="0"/>
        <w:spacing w:line="360" w:lineRule="auto"/>
        <w:ind w:firstLineChars="200" w:firstLine="510"/>
        <w:jc w:val="both"/>
        <w:rPr>
          <w:rFonts w:ascii="Times New Roman" w:hAnsi="Times New Roman"/>
          <w:sz w:val="24"/>
          <w:szCs w:val="24"/>
        </w:rPr>
      </w:pPr>
      <w:r w:rsidRPr="00E67914">
        <w:rPr>
          <w:rFonts w:ascii="Times New Roman" w:hAnsi="Times New Roman"/>
          <w:spacing w:val="15"/>
          <w:sz w:val="24"/>
          <w:szCs w:val="24"/>
          <w:lang w:eastAsia="zh-CN"/>
        </w:rPr>
        <w:t>草本植物稍多，主要种类有狗牙根（</w:t>
      </w:r>
      <w:r w:rsidRPr="00E67914">
        <w:rPr>
          <w:rFonts w:ascii="Times New Roman" w:hAnsi="Times New Roman"/>
          <w:i/>
          <w:iCs/>
          <w:spacing w:val="15"/>
          <w:sz w:val="24"/>
          <w:szCs w:val="24"/>
          <w:lang w:eastAsia="zh-CN"/>
        </w:rPr>
        <w:t>Cynodon dactylon</w:t>
      </w:r>
      <w:r w:rsidRPr="00E67914">
        <w:rPr>
          <w:rFonts w:ascii="Times New Roman" w:hAnsi="Times New Roman"/>
          <w:spacing w:val="15"/>
          <w:sz w:val="24"/>
          <w:szCs w:val="24"/>
          <w:lang w:eastAsia="zh-CN"/>
        </w:rPr>
        <w:t>）、马唐（</w:t>
      </w:r>
      <w:r w:rsidRPr="00E67914">
        <w:rPr>
          <w:rFonts w:ascii="Times New Roman" w:hAnsi="Times New Roman"/>
          <w:i/>
          <w:iCs/>
          <w:spacing w:val="15"/>
          <w:sz w:val="24"/>
          <w:szCs w:val="24"/>
          <w:lang w:eastAsia="zh-CN"/>
        </w:rPr>
        <w:t>Digitaria sanguinalis</w:t>
      </w:r>
      <w:r w:rsidRPr="00E67914">
        <w:rPr>
          <w:rFonts w:ascii="Times New Roman" w:hAnsi="Times New Roman"/>
          <w:spacing w:val="15"/>
          <w:sz w:val="24"/>
          <w:szCs w:val="24"/>
          <w:lang w:eastAsia="zh-CN"/>
        </w:rPr>
        <w:t>）、酢浆草（</w:t>
      </w:r>
      <w:r w:rsidRPr="00E67914">
        <w:rPr>
          <w:rFonts w:ascii="Times New Roman" w:hAnsi="Times New Roman"/>
          <w:i/>
          <w:iCs/>
          <w:spacing w:val="15"/>
          <w:sz w:val="24"/>
          <w:szCs w:val="24"/>
          <w:lang w:eastAsia="zh-CN"/>
        </w:rPr>
        <w:t>Oxalis corniculata</w:t>
      </w:r>
      <w:r w:rsidRPr="00E67914">
        <w:rPr>
          <w:rFonts w:ascii="Times New Roman" w:hAnsi="Times New Roman"/>
          <w:spacing w:val="15"/>
          <w:sz w:val="24"/>
          <w:szCs w:val="24"/>
          <w:lang w:eastAsia="zh-CN"/>
        </w:rPr>
        <w:t>）、堇菜（</w:t>
      </w:r>
      <w:r w:rsidRPr="00E67914">
        <w:rPr>
          <w:rFonts w:ascii="Times New Roman" w:hAnsi="Times New Roman"/>
          <w:i/>
          <w:iCs/>
          <w:spacing w:val="15"/>
          <w:sz w:val="24"/>
          <w:szCs w:val="24"/>
          <w:lang w:eastAsia="zh-CN"/>
        </w:rPr>
        <w:t>Viola spp.</w:t>
      </w:r>
      <w:r w:rsidRPr="00E67914">
        <w:rPr>
          <w:rFonts w:ascii="Times New Roman" w:hAnsi="Times New Roman"/>
          <w:spacing w:val="15"/>
          <w:sz w:val="24"/>
          <w:szCs w:val="24"/>
          <w:lang w:eastAsia="zh-CN"/>
        </w:rPr>
        <w:t>）、车前（</w:t>
      </w:r>
      <w:r w:rsidRPr="00E67914">
        <w:rPr>
          <w:rFonts w:ascii="Times New Roman" w:hAnsi="Times New Roman"/>
          <w:i/>
          <w:iCs/>
          <w:spacing w:val="15"/>
          <w:sz w:val="24"/>
          <w:szCs w:val="24"/>
          <w:lang w:eastAsia="zh-CN"/>
        </w:rPr>
        <w:t>Plantgo asiatica</w:t>
      </w:r>
      <w:r w:rsidRPr="00E67914">
        <w:rPr>
          <w:rFonts w:ascii="Times New Roman" w:hAnsi="Times New Roman"/>
          <w:spacing w:val="15"/>
          <w:sz w:val="24"/>
          <w:szCs w:val="24"/>
          <w:lang w:eastAsia="zh-CN"/>
        </w:rPr>
        <w:t>）、欧夏枯草（</w:t>
      </w:r>
      <w:r w:rsidRPr="00E67914">
        <w:rPr>
          <w:rFonts w:ascii="Times New Roman" w:hAnsi="Times New Roman"/>
          <w:i/>
          <w:iCs/>
          <w:spacing w:val="15"/>
          <w:sz w:val="24"/>
          <w:szCs w:val="24"/>
          <w:lang w:eastAsia="zh-CN"/>
        </w:rPr>
        <w:t>Prunella vulgaris</w:t>
      </w:r>
      <w:r w:rsidRPr="00E67914">
        <w:rPr>
          <w:rFonts w:ascii="Times New Roman" w:hAnsi="Times New Roman"/>
          <w:spacing w:val="15"/>
          <w:sz w:val="24"/>
          <w:szCs w:val="24"/>
          <w:lang w:eastAsia="zh-CN"/>
        </w:rPr>
        <w:t>）、龙牙草（</w:t>
      </w:r>
      <w:r w:rsidRPr="00E67914">
        <w:rPr>
          <w:rFonts w:ascii="Times New Roman" w:hAnsi="Times New Roman"/>
          <w:i/>
          <w:iCs/>
          <w:spacing w:val="15"/>
          <w:sz w:val="24"/>
          <w:szCs w:val="24"/>
          <w:lang w:eastAsia="zh-CN"/>
        </w:rPr>
        <w:t>Agrimonia pilosa</w:t>
      </w:r>
      <w:r w:rsidRPr="00E67914">
        <w:rPr>
          <w:rFonts w:ascii="Times New Roman" w:hAnsi="Times New Roman"/>
          <w:spacing w:val="15"/>
          <w:sz w:val="24"/>
          <w:szCs w:val="24"/>
          <w:lang w:eastAsia="zh-CN"/>
        </w:rPr>
        <w:t>）、蕺菜（</w:t>
      </w:r>
      <w:r w:rsidRPr="00E67914">
        <w:rPr>
          <w:rFonts w:ascii="Times New Roman" w:hAnsi="Times New Roman"/>
          <w:i/>
          <w:iCs/>
          <w:spacing w:val="15"/>
          <w:sz w:val="24"/>
          <w:szCs w:val="24"/>
          <w:lang w:eastAsia="zh-CN"/>
        </w:rPr>
        <w:t>Houttuynia cordata</w:t>
      </w:r>
      <w:r w:rsidRPr="00E67914">
        <w:rPr>
          <w:rFonts w:ascii="Times New Roman" w:hAnsi="Times New Roman"/>
          <w:spacing w:val="15"/>
          <w:sz w:val="24"/>
          <w:szCs w:val="24"/>
          <w:lang w:eastAsia="zh-CN"/>
        </w:rPr>
        <w:t>）、紫花地丁</w:t>
      </w:r>
      <w:r w:rsidRPr="00E67914">
        <w:rPr>
          <w:rFonts w:ascii="Times New Roman" w:hAnsi="Times New Roman"/>
          <w:spacing w:val="15"/>
          <w:sz w:val="24"/>
          <w:szCs w:val="24"/>
          <w:lang w:eastAsia="zh-CN"/>
        </w:rPr>
        <w:t>(</w:t>
      </w:r>
      <w:r w:rsidRPr="00E67914">
        <w:rPr>
          <w:rFonts w:ascii="Times New Roman" w:hAnsi="Times New Roman"/>
          <w:i/>
          <w:iCs/>
          <w:spacing w:val="15"/>
          <w:sz w:val="24"/>
          <w:szCs w:val="24"/>
          <w:lang w:eastAsia="zh-CN"/>
        </w:rPr>
        <w:t>Viola philippica</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、风轮菜</w:t>
      </w:r>
      <w:r w:rsidRPr="00E67914">
        <w:rPr>
          <w:rFonts w:ascii="Times New Roman" w:hAnsi="Times New Roman"/>
          <w:spacing w:val="15"/>
          <w:sz w:val="24"/>
          <w:szCs w:val="24"/>
          <w:lang w:eastAsia="zh-CN"/>
        </w:rPr>
        <w:t>(</w:t>
      </w:r>
      <w:r w:rsidRPr="00E67914">
        <w:rPr>
          <w:rFonts w:ascii="Times New Roman" w:hAnsi="Times New Roman"/>
          <w:i/>
          <w:iCs/>
          <w:spacing w:val="15"/>
          <w:sz w:val="24"/>
          <w:szCs w:val="24"/>
          <w:lang w:eastAsia="zh-CN"/>
        </w:rPr>
        <w:t>Clinopodium chinensis</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、茅叶荩草</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Arthr</w:t>
      </w:r>
      <w:r w:rsidRPr="00E67914">
        <w:rPr>
          <w:rFonts w:ascii="Times New Roman" w:hAnsi="Times New Roman"/>
          <w:i/>
          <w:iCs/>
          <w:spacing w:val="15"/>
          <w:sz w:val="24"/>
          <w:szCs w:val="24"/>
          <w:lang w:eastAsia="zh-CN"/>
        </w:rPr>
        <w:t>axon lanc</w:t>
      </w:r>
      <w:r w:rsidRPr="00E67914">
        <w:rPr>
          <w:rFonts w:ascii="Times New Roman" w:hAnsi="Times New Roman"/>
          <w:i/>
          <w:spacing w:val="15"/>
          <w:sz w:val="24"/>
          <w:szCs w:val="24"/>
          <w:lang w:eastAsia="zh-CN"/>
        </w:rPr>
        <w:t>eoltus</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、阿拉伯婆婆纳</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Veronica persica</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、问荆</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Equ</w:t>
      </w:r>
      <w:r w:rsidRPr="00E67914">
        <w:rPr>
          <w:rFonts w:ascii="Times New Roman" w:hAnsi="Times New Roman"/>
          <w:i/>
          <w:iCs/>
          <w:spacing w:val="15"/>
          <w:sz w:val="24"/>
          <w:szCs w:val="24"/>
          <w:lang w:eastAsia="zh-CN"/>
        </w:rPr>
        <w:t>isetum arven</w:t>
      </w:r>
      <w:r w:rsidRPr="00E67914">
        <w:rPr>
          <w:rFonts w:ascii="Times New Roman" w:hAnsi="Times New Roman"/>
          <w:i/>
          <w:spacing w:val="15"/>
          <w:sz w:val="24"/>
          <w:szCs w:val="24"/>
          <w:lang w:eastAsia="zh-CN"/>
        </w:rPr>
        <w:t>se</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、马鞭草</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Verbena officinalis</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、狗牙根</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Cynodondactylon</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、稗</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Echinoc</w:t>
      </w:r>
      <w:r w:rsidRPr="00E67914">
        <w:rPr>
          <w:rFonts w:ascii="Times New Roman" w:hAnsi="Times New Roman"/>
          <w:i/>
          <w:iCs/>
          <w:spacing w:val="15"/>
          <w:sz w:val="24"/>
          <w:szCs w:val="24"/>
          <w:lang w:eastAsia="zh-CN"/>
        </w:rPr>
        <w:t>hloa crusgal</w:t>
      </w:r>
      <w:r w:rsidRPr="00E67914">
        <w:rPr>
          <w:rFonts w:ascii="Times New Roman" w:hAnsi="Times New Roman"/>
          <w:i/>
          <w:spacing w:val="15"/>
          <w:sz w:val="24"/>
          <w:szCs w:val="24"/>
          <w:lang w:eastAsia="zh-CN"/>
        </w:rPr>
        <w:t>li</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、蜈蚣草</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Pteris vittata</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、三叶鬼针草</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Bidens pilosa</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、野艾蒿</w:t>
      </w:r>
      <w:r w:rsidRPr="00E67914">
        <w:rPr>
          <w:rFonts w:ascii="Times New Roman" w:hAnsi="Times New Roman"/>
          <w:spacing w:val="15"/>
          <w:sz w:val="24"/>
          <w:szCs w:val="24"/>
          <w:lang w:eastAsia="zh-CN"/>
        </w:rPr>
        <w:t>(</w:t>
      </w:r>
      <w:r w:rsidRPr="00E67914">
        <w:rPr>
          <w:rFonts w:ascii="Times New Roman" w:hAnsi="Times New Roman"/>
          <w:i/>
          <w:spacing w:val="15"/>
          <w:sz w:val="24"/>
          <w:szCs w:val="24"/>
          <w:lang w:eastAsia="zh-CN"/>
        </w:rPr>
        <w:t>Artemisia lavandulaefolia</w:t>
      </w:r>
      <w:r w:rsidRPr="00E67914">
        <w:rPr>
          <w:rFonts w:ascii="Times New Roman" w:hAnsi="Times New Roman"/>
          <w:spacing w:val="15"/>
          <w:sz w:val="24"/>
          <w:szCs w:val="24"/>
          <w:lang w:eastAsia="zh-CN"/>
        </w:rPr>
        <w:t>)</w:t>
      </w:r>
      <w:r w:rsidRPr="00E67914">
        <w:rPr>
          <w:rFonts w:ascii="Times New Roman" w:hAnsi="Times New Roman"/>
          <w:spacing w:val="15"/>
          <w:sz w:val="24"/>
          <w:szCs w:val="24"/>
          <w:lang w:eastAsia="zh-CN"/>
        </w:rPr>
        <w:t>等。</w:t>
      </w:r>
    </w:p>
    <w:p w14:paraId="5017022C" w14:textId="77777777" w:rsidR="00A54A8A" w:rsidRPr="00E67914" w:rsidRDefault="00000000">
      <w:pPr>
        <w:widowControl w:val="0"/>
        <w:spacing w:beforeLines="50" w:before="120" w:line="360" w:lineRule="auto"/>
        <w:ind w:firstLineChars="200" w:firstLine="482"/>
        <w:rPr>
          <w:rFonts w:ascii="Times New Roman" w:hAnsi="Times New Roman"/>
          <w:b/>
          <w:sz w:val="24"/>
          <w:lang w:eastAsia="zh-CN"/>
        </w:rPr>
      </w:pPr>
      <w:r w:rsidRPr="00E67914">
        <w:rPr>
          <w:rFonts w:ascii="Times New Roman" w:hAnsi="Times New Roman"/>
          <w:b/>
          <w:sz w:val="24"/>
          <w:lang w:eastAsia="zh-CN"/>
        </w:rPr>
        <w:t xml:space="preserve">Ⅱ </w:t>
      </w:r>
      <w:r w:rsidRPr="00E67914">
        <w:rPr>
          <w:rFonts w:ascii="Times New Roman" w:hAnsi="Times New Roman"/>
          <w:b/>
          <w:sz w:val="24"/>
          <w:lang w:eastAsia="zh-CN"/>
        </w:rPr>
        <w:t>灌丛植被</w:t>
      </w:r>
    </w:p>
    <w:p w14:paraId="1DBB248F" w14:textId="77777777" w:rsidR="00A54A8A" w:rsidRPr="00E67914" w:rsidRDefault="00000000">
      <w:pPr>
        <w:widowControl w:val="0"/>
        <w:spacing w:line="360" w:lineRule="auto"/>
        <w:ind w:firstLineChars="200" w:firstLine="496"/>
        <w:rPr>
          <w:rFonts w:ascii="Times New Roman" w:hAnsi="Times New Roman"/>
          <w:spacing w:val="8"/>
          <w:sz w:val="24"/>
          <w:szCs w:val="24"/>
          <w:lang w:eastAsia="zh-CN"/>
        </w:rPr>
      </w:pPr>
      <w:r w:rsidRPr="00E67914">
        <w:rPr>
          <w:rFonts w:ascii="宋体" w:hAnsi="宋体" w:cs="宋体" w:hint="eastAsia"/>
          <w:spacing w:val="8"/>
          <w:sz w:val="24"/>
          <w:szCs w:val="24"/>
          <w:lang w:eastAsia="zh-CN"/>
        </w:rPr>
        <w:t>①</w:t>
      </w:r>
      <w:r w:rsidRPr="00E67914">
        <w:rPr>
          <w:rFonts w:ascii="Times New Roman" w:hAnsi="Times New Roman"/>
          <w:spacing w:val="8"/>
          <w:sz w:val="24"/>
          <w:szCs w:val="24"/>
          <w:lang w:eastAsia="zh-CN"/>
        </w:rPr>
        <w:t>野桐</w:t>
      </w:r>
      <w:r w:rsidRPr="00E67914">
        <w:rPr>
          <w:rFonts w:ascii="Times New Roman" w:hAnsi="Times New Roman"/>
          <w:spacing w:val="8"/>
          <w:sz w:val="24"/>
          <w:szCs w:val="24"/>
          <w:lang w:eastAsia="zh-CN"/>
        </w:rPr>
        <w:t>+</w:t>
      </w:r>
      <w:r w:rsidRPr="00E67914">
        <w:rPr>
          <w:rFonts w:ascii="Times New Roman" w:hAnsi="Times New Roman"/>
          <w:spacing w:val="8"/>
          <w:sz w:val="24"/>
          <w:szCs w:val="24"/>
          <w:lang w:eastAsia="zh-CN"/>
        </w:rPr>
        <w:t>盐肤木灌丛群系（</w:t>
      </w:r>
      <w:r w:rsidRPr="00E67914">
        <w:rPr>
          <w:rFonts w:ascii="Times New Roman" w:hAnsi="Times New Roman"/>
          <w:spacing w:val="8"/>
          <w:sz w:val="24"/>
          <w:szCs w:val="24"/>
          <w:lang w:eastAsia="zh-CN"/>
        </w:rPr>
        <w:t xml:space="preserve">Form. </w:t>
      </w:r>
      <w:r w:rsidRPr="00E67914">
        <w:rPr>
          <w:rFonts w:ascii="Times New Roman" w:hAnsi="Times New Roman"/>
          <w:i/>
          <w:iCs/>
          <w:spacing w:val="8"/>
          <w:sz w:val="24"/>
          <w:szCs w:val="24"/>
          <w:lang w:eastAsia="zh-CN"/>
        </w:rPr>
        <w:t>Mallotus japonicus</w:t>
      </w:r>
      <w:r w:rsidRPr="00E67914">
        <w:rPr>
          <w:rFonts w:ascii="Times New Roman" w:hAnsi="Times New Roman"/>
          <w:i/>
          <w:iCs/>
          <w:spacing w:val="8"/>
          <w:sz w:val="24"/>
          <w:szCs w:val="24"/>
          <w:lang w:eastAsia="zh-CN"/>
        </w:rPr>
        <w:t>（</w:t>
      </w:r>
      <w:r w:rsidRPr="00E67914">
        <w:rPr>
          <w:rFonts w:ascii="Times New Roman" w:hAnsi="Times New Roman"/>
          <w:spacing w:val="8"/>
          <w:sz w:val="24"/>
          <w:szCs w:val="24"/>
          <w:lang w:eastAsia="zh-CN"/>
        </w:rPr>
        <w:t>Thunb.</w:t>
      </w:r>
      <w:r w:rsidRPr="00E67914">
        <w:rPr>
          <w:rFonts w:ascii="Times New Roman" w:hAnsi="Times New Roman"/>
          <w:spacing w:val="8"/>
          <w:sz w:val="24"/>
          <w:szCs w:val="24"/>
          <w:lang w:eastAsia="zh-CN"/>
        </w:rPr>
        <w:t>）</w:t>
      </w:r>
      <w:r w:rsidRPr="00E67914">
        <w:rPr>
          <w:rFonts w:ascii="Times New Roman" w:hAnsi="Times New Roman"/>
          <w:spacing w:val="8"/>
          <w:sz w:val="24"/>
          <w:szCs w:val="24"/>
          <w:lang w:eastAsia="zh-CN"/>
        </w:rPr>
        <w:t>Muell</w:t>
      </w:r>
      <w:r w:rsidRPr="00E67914">
        <w:rPr>
          <w:rFonts w:ascii="Times New Roman" w:hAnsi="Times New Roman"/>
          <w:i/>
          <w:iCs/>
          <w:spacing w:val="8"/>
          <w:sz w:val="24"/>
          <w:szCs w:val="24"/>
          <w:lang w:eastAsia="zh-CN"/>
        </w:rPr>
        <w:t xml:space="preserve">.Arg.var.floccosus+Rhus chinensis </w:t>
      </w:r>
      <w:r w:rsidRPr="00E67914">
        <w:rPr>
          <w:rFonts w:ascii="Times New Roman" w:hAnsi="Times New Roman"/>
          <w:spacing w:val="8"/>
          <w:sz w:val="24"/>
          <w:szCs w:val="24"/>
          <w:lang w:eastAsia="zh-CN"/>
        </w:rPr>
        <w:t>Mill.</w:t>
      </w:r>
      <w:r w:rsidRPr="00E67914">
        <w:rPr>
          <w:rFonts w:ascii="Times New Roman" w:hAnsi="Times New Roman"/>
          <w:spacing w:val="8"/>
          <w:sz w:val="24"/>
          <w:szCs w:val="24"/>
          <w:lang w:eastAsia="zh-CN"/>
        </w:rPr>
        <w:t>）</w:t>
      </w:r>
    </w:p>
    <w:p w14:paraId="2F763BDF" w14:textId="77777777" w:rsidR="00A54A8A" w:rsidRPr="00E67914" w:rsidRDefault="00000000">
      <w:pPr>
        <w:widowControl w:val="0"/>
        <w:spacing w:line="360" w:lineRule="auto"/>
        <w:ind w:firstLineChars="200" w:firstLine="496"/>
        <w:jc w:val="both"/>
        <w:rPr>
          <w:rFonts w:ascii="Times New Roman" w:hAnsi="Times New Roman"/>
          <w:spacing w:val="8"/>
          <w:sz w:val="24"/>
          <w:szCs w:val="24"/>
          <w:lang w:eastAsia="zh-CN"/>
        </w:rPr>
      </w:pPr>
      <w:r w:rsidRPr="00E67914">
        <w:rPr>
          <w:rFonts w:ascii="Times New Roman" w:hAnsi="Times New Roman"/>
          <w:spacing w:val="8"/>
          <w:sz w:val="24"/>
          <w:szCs w:val="24"/>
          <w:lang w:eastAsia="zh-CN"/>
        </w:rPr>
        <w:t>该群落类型主要分布于矮丘区的中上部，系人为砍伐后发育的次生类型。群落盖度约</w:t>
      </w:r>
      <w:r w:rsidRPr="00E67914">
        <w:rPr>
          <w:rFonts w:ascii="Times New Roman" w:hAnsi="Times New Roman"/>
          <w:spacing w:val="8"/>
          <w:sz w:val="24"/>
          <w:szCs w:val="24"/>
          <w:lang w:eastAsia="zh-CN"/>
        </w:rPr>
        <w:t>65%</w:t>
      </w:r>
      <w:r w:rsidRPr="00E67914">
        <w:rPr>
          <w:rFonts w:ascii="Times New Roman" w:hAnsi="Times New Roman"/>
          <w:spacing w:val="8"/>
          <w:sz w:val="24"/>
          <w:szCs w:val="24"/>
          <w:lang w:eastAsia="zh-CN"/>
        </w:rPr>
        <w:t>，高度低于</w:t>
      </w:r>
      <w:r w:rsidRPr="00E67914">
        <w:rPr>
          <w:rFonts w:ascii="Times New Roman" w:hAnsi="Times New Roman"/>
          <w:spacing w:val="8"/>
          <w:sz w:val="24"/>
          <w:szCs w:val="24"/>
          <w:lang w:eastAsia="zh-CN"/>
        </w:rPr>
        <w:t>5m</w:t>
      </w:r>
      <w:r w:rsidRPr="00E67914">
        <w:rPr>
          <w:rFonts w:ascii="Times New Roman" w:hAnsi="Times New Roman"/>
          <w:spacing w:val="8"/>
          <w:sz w:val="24"/>
          <w:szCs w:val="24"/>
          <w:lang w:eastAsia="zh-CN"/>
        </w:rPr>
        <w:t>，主要以野桐</w:t>
      </w:r>
      <w:r w:rsidRPr="00E67914">
        <w:rPr>
          <w:rFonts w:ascii="Times New Roman" w:hAnsi="Times New Roman"/>
          <w:i/>
          <w:iCs/>
          <w:spacing w:val="8"/>
          <w:sz w:val="24"/>
          <w:szCs w:val="24"/>
          <w:lang w:eastAsia="zh-CN"/>
        </w:rPr>
        <w:t>Mallotus</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tenuifolius</w:t>
      </w:r>
      <w:r w:rsidRPr="00E67914">
        <w:rPr>
          <w:rFonts w:ascii="Times New Roman" w:hAnsi="Times New Roman"/>
          <w:spacing w:val="8"/>
          <w:sz w:val="24"/>
          <w:szCs w:val="24"/>
          <w:lang w:eastAsia="zh-CN"/>
        </w:rPr>
        <w:t>和盐肤木</w:t>
      </w:r>
      <w:r w:rsidRPr="00E67914">
        <w:rPr>
          <w:rFonts w:ascii="Times New Roman" w:hAnsi="Times New Roman"/>
          <w:i/>
          <w:iCs/>
          <w:spacing w:val="8"/>
          <w:sz w:val="24"/>
          <w:szCs w:val="24"/>
          <w:lang w:eastAsia="zh-CN"/>
        </w:rPr>
        <w:t>Rhus</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chinensis</w:t>
      </w:r>
      <w:r w:rsidRPr="00E67914">
        <w:rPr>
          <w:rFonts w:ascii="Times New Roman" w:hAnsi="Times New Roman"/>
          <w:spacing w:val="8"/>
          <w:sz w:val="24"/>
          <w:szCs w:val="24"/>
          <w:lang w:eastAsia="zh-CN"/>
        </w:rPr>
        <w:t>为优势，其他还有构树幼树</w:t>
      </w:r>
      <w:r w:rsidRPr="00E67914">
        <w:rPr>
          <w:rFonts w:ascii="Times New Roman" w:hAnsi="Times New Roman"/>
          <w:i/>
          <w:iCs/>
          <w:spacing w:val="8"/>
          <w:sz w:val="24"/>
          <w:szCs w:val="24"/>
          <w:lang w:eastAsia="zh-CN"/>
        </w:rPr>
        <w:t>Broussonetiapapyrifera</w:t>
      </w:r>
      <w:r w:rsidRPr="00E67914">
        <w:rPr>
          <w:rFonts w:ascii="Times New Roman" w:hAnsi="Times New Roman"/>
          <w:spacing w:val="8"/>
          <w:sz w:val="24"/>
          <w:szCs w:val="24"/>
          <w:lang w:eastAsia="zh-CN"/>
        </w:rPr>
        <w:t>、皱叶荚蒾</w:t>
      </w:r>
      <w:r w:rsidRPr="00E67914">
        <w:rPr>
          <w:rFonts w:ascii="Times New Roman" w:hAnsi="Times New Roman"/>
          <w:i/>
          <w:iCs/>
          <w:spacing w:val="8"/>
          <w:sz w:val="24"/>
          <w:szCs w:val="24"/>
          <w:lang w:eastAsia="zh-CN"/>
        </w:rPr>
        <w:t>Viburnum</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rhytidophyllum</w:t>
      </w:r>
      <w:r w:rsidRPr="00E67914">
        <w:rPr>
          <w:rFonts w:ascii="Times New Roman" w:hAnsi="Times New Roman"/>
          <w:spacing w:val="8"/>
          <w:sz w:val="24"/>
          <w:szCs w:val="24"/>
          <w:lang w:eastAsia="zh-CN"/>
        </w:rPr>
        <w:t>、宜昌悬钩子</w:t>
      </w:r>
      <w:r w:rsidRPr="00E67914">
        <w:rPr>
          <w:rFonts w:ascii="Times New Roman" w:hAnsi="Times New Roman"/>
          <w:i/>
          <w:iCs/>
          <w:spacing w:val="8"/>
          <w:sz w:val="24"/>
          <w:szCs w:val="24"/>
          <w:lang w:eastAsia="zh-CN"/>
        </w:rPr>
        <w:t>Rubus</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ichangensis</w:t>
      </w:r>
      <w:r w:rsidRPr="00E67914">
        <w:rPr>
          <w:rFonts w:ascii="Times New Roman" w:hAnsi="Times New Roman"/>
          <w:spacing w:val="8"/>
          <w:sz w:val="24"/>
          <w:szCs w:val="24"/>
          <w:lang w:eastAsia="zh-CN"/>
        </w:rPr>
        <w:t>等。</w:t>
      </w:r>
    </w:p>
    <w:p w14:paraId="65E39D25" w14:textId="77777777" w:rsidR="00A54A8A" w:rsidRPr="00E67914" w:rsidRDefault="00000000">
      <w:pPr>
        <w:widowControl w:val="0"/>
        <w:spacing w:line="360" w:lineRule="auto"/>
        <w:ind w:firstLineChars="200" w:firstLine="496"/>
        <w:jc w:val="both"/>
        <w:rPr>
          <w:rFonts w:ascii="Times New Roman" w:hAnsi="Times New Roman"/>
          <w:spacing w:val="8"/>
          <w:sz w:val="24"/>
          <w:szCs w:val="24"/>
          <w:lang w:eastAsia="zh-CN"/>
        </w:rPr>
      </w:pPr>
      <w:r w:rsidRPr="00E67914">
        <w:rPr>
          <w:rFonts w:ascii="Times New Roman" w:hAnsi="Times New Roman"/>
          <w:spacing w:val="8"/>
          <w:sz w:val="24"/>
          <w:szCs w:val="24"/>
          <w:lang w:eastAsia="zh-CN"/>
        </w:rPr>
        <w:t>草本层盖度约</w:t>
      </w:r>
      <w:r w:rsidRPr="00E67914">
        <w:rPr>
          <w:rFonts w:ascii="Times New Roman" w:hAnsi="Times New Roman"/>
          <w:spacing w:val="8"/>
          <w:sz w:val="24"/>
          <w:szCs w:val="24"/>
          <w:lang w:eastAsia="zh-CN"/>
        </w:rPr>
        <w:t>30%</w:t>
      </w:r>
      <w:r w:rsidRPr="00E67914">
        <w:rPr>
          <w:rFonts w:ascii="Times New Roman" w:hAnsi="Times New Roman"/>
          <w:spacing w:val="8"/>
          <w:sz w:val="24"/>
          <w:szCs w:val="24"/>
          <w:lang w:eastAsia="zh-CN"/>
        </w:rPr>
        <w:t>，高度在</w:t>
      </w:r>
      <w:r w:rsidRPr="00E67914">
        <w:rPr>
          <w:rFonts w:ascii="Times New Roman" w:hAnsi="Times New Roman"/>
          <w:spacing w:val="8"/>
          <w:sz w:val="24"/>
          <w:szCs w:val="24"/>
          <w:lang w:eastAsia="zh-CN"/>
        </w:rPr>
        <w:t>0.1~0.5m</w:t>
      </w:r>
      <w:r w:rsidRPr="00E67914">
        <w:rPr>
          <w:rFonts w:ascii="Times New Roman" w:hAnsi="Times New Roman"/>
          <w:spacing w:val="8"/>
          <w:sz w:val="24"/>
          <w:szCs w:val="24"/>
          <w:lang w:eastAsia="zh-CN"/>
        </w:rPr>
        <w:t>之间，优势种有淡竹叶</w:t>
      </w:r>
      <w:r w:rsidRPr="00E67914">
        <w:rPr>
          <w:rFonts w:ascii="Times New Roman" w:hAnsi="Times New Roman"/>
          <w:i/>
          <w:iCs/>
          <w:spacing w:val="8"/>
          <w:sz w:val="24"/>
          <w:szCs w:val="24"/>
          <w:lang w:eastAsia="zh-CN"/>
        </w:rPr>
        <w:lastRenderedPageBreak/>
        <w:t>Lophatherum</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gracile</w:t>
      </w:r>
      <w:r w:rsidRPr="00E67914">
        <w:rPr>
          <w:rFonts w:ascii="Times New Roman" w:hAnsi="Times New Roman"/>
          <w:spacing w:val="8"/>
          <w:sz w:val="24"/>
          <w:szCs w:val="24"/>
          <w:lang w:eastAsia="zh-CN"/>
        </w:rPr>
        <w:t>、荩草</w:t>
      </w:r>
      <w:r w:rsidRPr="00E67914">
        <w:rPr>
          <w:rFonts w:ascii="Times New Roman" w:hAnsi="Times New Roman"/>
          <w:i/>
          <w:iCs/>
          <w:spacing w:val="8"/>
          <w:sz w:val="24"/>
          <w:szCs w:val="24"/>
          <w:lang w:eastAsia="zh-CN"/>
        </w:rPr>
        <w:t>Hedyotis</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acutangular</w:t>
      </w:r>
      <w:r w:rsidRPr="00E67914">
        <w:rPr>
          <w:rFonts w:ascii="Times New Roman" w:hAnsi="Times New Roman"/>
          <w:spacing w:val="8"/>
          <w:sz w:val="24"/>
          <w:szCs w:val="24"/>
          <w:lang w:eastAsia="zh-CN"/>
        </w:rPr>
        <w:t>、乌蕨</w:t>
      </w:r>
      <w:r w:rsidRPr="00E67914">
        <w:rPr>
          <w:rFonts w:ascii="Times New Roman" w:hAnsi="Times New Roman"/>
          <w:i/>
          <w:iCs/>
          <w:spacing w:val="8"/>
          <w:sz w:val="24"/>
          <w:szCs w:val="24"/>
          <w:lang w:eastAsia="zh-CN"/>
        </w:rPr>
        <w:t>Odontosoria</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chinensis</w:t>
      </w:r>
      <w:r w:rsidRPr="00E67914">
        <w:rPr>
          <w:rFonts w:ascii="Times New Roman" w:hAnsi="Times New Roman"/>
          <w:spacing w:val="8"/>
          <w:sz w:val="24"/>
          <w:szCs w:val="24"/>
          <w:lang w:eastAsia="zh-CN"/>
        </w:rPr>
        <w:t>，伴生种有葎草</w:t>
      </w:r>
      <w:r w:rsidRPr="00E67914">
        <w:rPr>
          <w:rFonts w:ascii="Times New Roman" w:hAnsi="Times New Roman"/>
          <w:i/>
          <w:iCs/>
          <w:spacing w:val="8"/>
          <w:sz w:val="24"/>
          <w:szCs w:val="24"/>
          <w:lang w:eastAsia="zh-CN"/>
        </w:rPr>
        <w:t>Humulus</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scandens</w:t>
      </w:r>
      <w:r w:rsidRPr="00E67914">
        <w:rPr>
          <w:rFonts w:ascii="Times New Roman" w:hAnsi="Times New Roman"/>
          <w:spacing w:val="8"/>
          <w:sz w:val="24"/>
          <w:szCs w:val="24"/>
          <w:lang w:eastAsia="zh-CN"/>
        </w:rPr>
        <w:t>、酸模叶蓼</w:t>
      </w:r>
      <w:r w:rsidRPr="00E67914">
        <w:rPr>
          <w:rFonts w:ascii="Times New Roman" w:hAnsi="Times New Roman"/>
          <w:i/>
          <w:iCs/>
          <w:spacing w:val="8"/>
          <w:sz w:val="24"/>
          <w:szCs w:val="24"/>
          <w:lang w:eastAsia="zh-CN"/>
        </w:rPr>
        <w:t>Rumex</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hastatus</w:t>
      </w:r>
      <w:r w:rsidRPr="00E67914">
        <w:rPr>
          <w:rFonts w:ascii="Times New Roman" w:hAnsi="Times New Roman"/>
          <w:spacing w:val="8"/>
          <w:sz w:val="24"/>
          <w:szCs w:val="24"/>
          <w:lang w:eastAsia="zh-CN"/>
        </w:rPr>
        <w:t>、蒲儿根</w:t>
      </w:r>
      <w:r w:rsidRPr="00E67914">
        <w:rPr>
          <w:rFonts w:ascii="Times New Roman" w:hAnsi="Times New Roman"/>
          <w:i/>
          <w:iCs/>
          <w:spacing w:val="8"/>
          <w:sz w:val="24"/>
          <w:szCs w:val="24"/>
          <w:lang w:eastAsia="zh-CN"/>
        </w:rPr>
        <w:t>Sinosenecio</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oldhamianus</w:t>
      </w:r>
      <w:r w:rsidRPr="00E67914">
        <w:rPr>
          <w:rFonts w:ascii="Times New Roman" w:hAnsi="Times New Roman"/>
          <w:spacing w:val="8"/>
          <w:sz w:val="24"/>
          <w:szCs w:val="24"/>
          <w:lang w:eastAsia="zh-CN"/>
        </w:rPr>
        <w:t>、透茎冷水花</w:t>
      </w:r>
      <w:r w:rsidRPr="00E67914">
        <w:rPr>
          <w:rFonts w:ascii="Times New Roman" w:hAnsi="Times New Roman"/>
          <w:i/>
          <w:iCs/>
          <w:spacing w:val="8"/>
          <w:sz w:val="24"/>
          <w:szCs w:val="24"/>
          <w:lang w:eastAsia="zh-CN"/>
        </w:rPr>
        <w:t>Pileapumila</w:t>
      </w:r>
      <w:r w:rsidRPr="00E67914">
        <w:rPr>
          <w:rFonts w:ascii="Times New Roman" w:hAnsi="Times New Roman"/>
          <w:spacing w:val="8"/>
          <w:sz w:val="24"/>
          <w:szCs w:val="24"/>
          <w:lang w:eastAsia="zh-CN"/>
        </w:rPr>
        <w:t>、华南毛蕨</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Cyclosorus</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parasiticus</w:t>
      </w:r>
      <w:r w:rsidRPr="00E67914">
        <w:rPr>
          <w:rFonts w:ascii="Times New Roman" w:hAnsi="Times New Roman"/>
          <w:spacing w:val="8"/>
          <w:sz w:val="24"/>
          <w:szCs w:val="24"/>
          <w:lang w:eastAsia="zh-CN"/>
        </w:rPr>
        <w:t>、刺齿凤尾蕨</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Pteris</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dispar</w:t>
      </w:r>
      <w:r w:rsidRPr="00E67914">
        <w:rPr>
          <w:rFonts w:ascii="Times New Roman" w:hAnsi="Times New Roman"/>
          <w:spacing w:val="8"/>
          <w:sz w:val="24"/>
          <w:szCs w:val="24"/>
          <w:lang w:eastAsia="zh-CN"/>
        </w:rPr>
        <w:t>、异叶黄鹌菜</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Youngia</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heterophylla</w:t>
      </w:r>
      <w:r w:rsidRPr="00E67914">
        <w:rPr>
          <w:rFonts w:ascii="Times New Roman" w:hAnsi="Times New Roman"/>
          <w:spacing w:val="8"/>
          <w:sz w:val="24"/>
          <w:szCs w:val="24"/>
          <w:lang w:eastAsia="zh-CN"/>
        </w:rPr>
        <w:t>、拉拉藤</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Galium</w:t>
      </w:r>
      <w:r w:rsidRPr="00E67914">
        <w:rPr>
          <w:rFonts w:ascii="Times New Roman" w:hAnsi="Times New Roman"/>
          <w:spacing w:val="8"/>
          <w:sz w:val="24"/>
          <w:szCs w:val="24"/>
          <w:lang w:eastAsia="zh-CN"/>
        </w:rPr>
        <w:t xml:space="preserve"> </w:t>
      </w:r>
      <w:r w:rsidRPr="00E67914">
        <w:rPr>
          <w:rFonts w:ascii="Times New Roman" w:hAnsi="Times New Roman"/>
          <w:i/>
          <w:iCs/>
          <w:spacing w:val="8"/>
          <w:sz w:val="24"/>
          <w:szCs w:val="24"/>
          <w:lang w:eastAsia="zh-CN"/>
        </w:rPr>
        <w:t>aparine</w:t>
      </w:r>
      <w:r w:rsidRPr="00E67914">
        <w:rPr>
          <w:rFonts w:ascii="Times New Roman" w:hAnsi="Times New Roman"/>
          <w:spacing w:val="8"/>
          <w:sz w:val="24"/>
          <w:szCs w:val="24"/>
          <w:lang w:eastAsia="zh-CN"/>
        </w:rPr>
        <w:t xml:space="preserve"> var. </w:t>
      </w:r>
      <w:r w:rsidRPr="00E67914">
        <w:rPr>
          <w:rFonts w:ascii="Times New Roman" w:hAnsi="Times New Roman"/>
          <w:i/>
          <w:iCs/>
          <w:spacing w:val="8"/>
          <w:sz w:val="24"/>
          <w:szCs w:val="24"/>
          <w:lang w:eastAsia="zh-CN"/>
        </w:rPr>
        <w:t>Echinospermum</w:t>
      </w:r>
      <w:r w:rsidRPr="00E67914">
        <w:rPr>
          <w:rFonts w:ascii="Times New Roman" w:hAnsi="Times New Roman"/>
          <w:spacing w:val="8"/>
          <w:sz w:val="24"/>
          <w:szCs w:val="24"/>
          <w:lang w:eastAsia="zh-CN"/>
        </w:rPr>
        <w:t xml:space="preserve"> </w:t>
      </w:r>
      <w:r w:rsidRPr="00E67914">
        <w:rPr>
          <w:rFonts w:ascii="Times New Roman" w:hAnsi="Times New Roman"/>
          <w:spacing w:val="8"/>
          <w:sz w:val="24"/>
          <w:szCs w:val="24"/>
          <w:lang w:eastAsia="zh-CN"/>
        </w:rPr>
        <w:t>等。</w:t>
      </w:r>
    </w:p>
    <w:p w14:paraId="68108B0D" w14:textId="77777777" w:rsidR="00A54A8A" w:rsidRPr="00E67914" w:rsidRDefault="00000000">
      <w:pPr>
        <w:widowControl w:val="0"/>
        <w:spacing w:line="360" w:lineRule="auto"/>
        <w:ind w:firstLineChars="200" w:firstLine="496"/>
        <w:rPr>
          <w:rFonts w:ascii="Times New Roman" w:hAnsi="Times New Roman"/>
          <w:spacing w:val="8"/>
          <w:sz w:val="24"/>
          <w:szCs w:val="24"/>
          <w:lang w:eastAsia="zh-CN"/>
        </w:rPr>
      </w:pPr>
      <w:r w:rsidRPr="00E67914">
        <w:rPr>
          <w:rFonts w:ascii="宋体" w:hAnsi="宋体" w:cs="宋体" w:hint="eastAsia"/>
          <w:spacing w:val="8"/>
          <w:sz w:val="24"/>
          <w:szCs w:val="24"/>
          <w:lang w:eastAsia="zh-CN"/>
        </w:rPr>
        <w:t>②</w:t>
      </w:r>
      <w:r w:rsidRPr="00E67914">
        <w:rPr>
          <w:rFonts w:ascii="Times New Roman" w:hAnsi="Times New Roman"/>
          <w:spacing w:val="8"/>
          <w:sz w:val="24"/>
          <w:szCs w:val="24"/>
          <w:lang w:eastAsia="zh-CN"/>
        </w:rPr>
        <w:t>马桑</w:t>
      </w:r>
      <w:r w:rsidRPr="00E67914">
        <w:rPr>
          <w:rFonts w:ascii="Times New Roman" w:hAnsi="Times New Roman"/>
          <w:spacing w:val="8"/>
          <w:sz w:val="24"/>
          <w:szCs w:val="24"/>
          <w:lang w:eastAsia="zh-CN"/>
        </w:rPr>
        <w:t>+</w:t>
      </w:r>
      <w:r w:rsidRPr="00E67914">
        <w:rPr>
          <w:rFonts w:ascii="Times New Roman" w:hAnsi="Times New Roman"/>
          <w:spacing w:val="8"/>
          <w:sz w:val="24"/>
          <w:szCs w:val="24"/>
          <w:lang w:eastAsia="zh-CN"/>
        </w:rPr>
        <w:t>黄荆</w:t>
      </w:r>
      <w:r w:rsidRPr="00E67914">
        <w:rPr>
          <w:rFonts w:ascii="Times New Roman" w:hAnsi="Times New Roman"/>
          <w:spacing w:val="8"/>
          <w:sz w:val="24"/>
          <w:szCs w:val="24"/>
          <w:lang w:eastAsia="zh-CN"/>
        </w:rPr>
        <w:t>+</w:t>
      </w:r>
      <w:r w:rsidRPr="00E67914">
        <w:rPr>
          <w:rFonts w:ascii="Times New Roman" w:hAnsi="Times New Roman"/>
          <w:spacing w:val="8"/>
          <w:sz w:val="24"/>
          <w:szCs w:val="24"/>
          <w:lang w:eastAsia="zh-CN"/>
        </w:rPr>
        <w:t>火棘</w:t>
      </w:r>
      <w:r w:rsidRPr="00E67914">
        <w:rPr>
          <w:rFonts w:ascii="Times New Roman" w:hAnsi="Times New Roman"/>
          <w:spacing w:val="8"/>
          <w:sz w:val="24"/>
          <w:szCs w:val="24"/>
          <w:lang w:eastAsia="zh-CN"/>
        </w:rPr>
        <w:t>+</w:t>
      </w:r>
      <w:r w:rsidRPr="00E67914">
        <w:rPr>
          <w:rFonts w:ascii="Times New Roman" w:hAnsi="Times New Roman"/>
          <w:spacing w:val="8"/>
          <w:sz w:val="24"/>
          <w:szCs w:val="24"/>
          <w:lang w:eastAsia="zh-CN"/>
        </w:rPr>
        <w:t>荚蒾灌丛群系（</w:t>
      </w:r>
      <w:r w:rsidRPr="00E67914">
        <w:rPr>
          <w:rFonts w:ascii="Times New Roman" w:hAnsi="Times New Roman"/>
          <w:spacing w:val="8"/>
          <w:sz w:val="24"/>
          <w:szCs w:val="24"/>
          <w:lang w:eastAsia="zh-CN"/>
        </w:rPr>
        <w:t>Form.</w:t>
      </w:r>
      <w:r w:rsidRPr="00E67914">
        <w:rPr>
          <w:rFonts w:ascii="Times New Roman" w:hAnsi="Times New Roman"/>
          <w:i/>
          <w:iCs/>
          <w:spacing w:val="8"/>
          <w:sz w:val="24"/>
          <w:szCs w:val="24"/>
          <w:lang w:eastAsia="zh-CN"/>
        </w:rPr>
        <w:t>Coriaria nepalensis+Vitex negundo+Pyracantha fortuneana+Viburnum dilatatum</w:t>
      </w:r>
      <w:r w:rsidRPr="00E67914">
        <w:rPr>
          <w:rFonts w:ascii="Times New Roman" w:hAnsi="Times New Roman"/>
          <w:spacing w:val="8"/>
          <w:sz w:val="24"/>
          <w:szCs w:val="24"/>
          <w:lang w:eastAsia="zh-CN"/>
        </w:rPr>
        <w:t>）</w:t>
      </w:r>
    </w:p>
    <w:p w14:paraId="5DB3602A" w14:textId="77777777" w:rsidR="00A54A8A" w:rsidRPr="00E67914" w:rsidRDefault="00000000">
      <w:pPr>
        <w:widowControl w:val="0"/>
        <w:spacing w:line="360" w:lineRule="auto"/>
        <w:ind w:firstLineChars="200" w:firstLine="496"/>
        <w:rPr>
          <w:rFonts w:ascii="Times New Roman" w:hAnsi="Times New Roman"/>
          <w:spacing w:val="8"/>
          <w:sz w:val="24"/>
          <w:szCs w:val="24"/>
          <w:lang w:eastAsia="zh-CN"/>
        </w:rPr>
      </w:pPr>
      <w:r w:rsidRPr="00E67914">
        <w:rPr>
          <w:rFonts w:ascii="Times New Roman" w:hAnsi="Times New Roman"/>
          <w:spacing w:val="8"/>
          <w:sz w:val="24"/>
          <w:szCs w:val="24"/>
          <w:lang w:eastAsia="zh-CN"/>
        </w:rPr>
        <w:t>该群落多在林缘及砍伐迹地上出现，受人类活动干扰影响极大，群落结构不稳定，易向阔叶林演替。马桑、黄荆、火棘、荚蒾灌丛在评价区一些人类活动干扰较大的支沟内及居民点周围较为典型。</w:t>
      </w:r>
    </w:p>
    <w:p w14:paraId="457D216B" w14:textId="77777777" w:rsidR="00A54A8A" w:rsidRPr="00E67914" w:rsidRDefault="00000000">
      <w:pPr>
        <w:widowControl w:val="0"/>
        <w:spacing w:line="360" w:lineRule="auto"/>
        <w:ind w:firstLineChars="200" w:firstLine="496"/>
        <w:jc w:val="both"/>
        <w:rPr>
          <w:rFonts w:ascii="Times New Roman" w:hAnsi="Times New Roman"/>
          <w:spacing w:val="8"/>
          <w:sz w:val="24"/>
          <w:szCs w:val="24"/>
          <w:lang w:eastAsia="zh-CN"/>
        </w:rPr>
      </w:pPr>
      <w:r w:rsidRPr="00E67914">
        <w:rPr>
          <w:rFonts w:ascii="Times New Roman" w:hAnsi="Times New Roman"/>
          <w:spacing w:val="8"/>
          <w:sz w:val="24"/>
          <w:szCs w:val="24"/>
          <w:lang w:eastAsia="zh-CN"/>
        </w:rPr>
        <w:t>群落灌木层组成种类较为庞杂，总盖度达</w:t>
      </w:r>
      <w:r w:rsidRPr="00E67914">
        <w:rPr>
          <w:rFonts w:ascii="Times New Roman" w:hAnsi="Times New Roman"/>
          <w:spacing w:val="8"/>
          <w:sz w:val="24"/>
          <w:szCs w:val="24"/>
          <w:lang w:eastAsia="zh-CN"/>
        </w:rPr>
        <w:t>60%</w:t>
      </w:r>
      <w:r w:rsidRPr="00E67914">
        <w:rPr>
          <w:rFonts w:ascii="Times New Roman" w:hAnsi="Times New Roman"/>
          <w:spacing w:val="8"/>
          <w:sz w:val="24"/>
          <w:szCs w:val="24"/>
          <w:lang w:eastAsia="zh-CN"/>
        </w:rPr>
        <w:t>以上，以马桑、黄荆、火棘、荚蒾为优势种，平均高度</w:t>
      </w:r>
      <w:r w:rsidRPr="00E67914">
        <w:rPr>
          <w:rFonts w:ascii="Times New Roman" w:hAnsi="Times New Roman"/>
          <w:spacing w:val="8"/>
          <w:sz w:val="24"/>
          <w:szCs w:val="24"/>
          <w:lang w:eastAsia="zh-CN"/>
        </w:rPr>
        <w:t>2.5m</w:t>
      </w:r>
      <w:r w:rsidRPr="00E67914">
        <w:rPr>
          <w:rFonts w:ascii="Times New Roman" w:hAnsi="Times New Roman"/>
          <w:spacing w:val="8"/>
          <w:sz w:val="24"/>
          <w:szCs w:val="24"/>
          <w:lang w:eastAsia="zh-CN"/>
        </w:rPr>
        <w:t>。其他灌木种类有杜鹃、盐肤木、野桐（</w:t>
      </w:r>
      <w:r w:rsidRPr="00E67914">
        <w:rPr>
          <w:rFonts w:ascii="Times New Roman" w:hAnsi="Times New Roman"/>
          <w:i/>
          <w:iCs/>
          <w:spacing w:val="8"/>
          <w:sz w:val="24"/>
          <w:szCs w:val="24"/>
          <w:lang w:eastAsia="zh-CN"/>
        </w:rPr>
        <w:t>Mallotus japonicus var. floccosus</w:t>
      </w:r>
      <w:r w:rsidRPr="00E67914">
        <w:rPr>
          <w:rFonts w:ascii="Times New Roman" w:hAnsi="Times New Roman"/>
          <w:spacing w:val="8"/>
          <w:sz w:val="24"/>
          <w:szCs w:val="24"/>
          <w:lang w:eastAsia="zh-CN"/>
        </w:rPr>
        <w:t>）、川莓、山合欢、多种悬钩子、美丽胡枝子（</w:t>
      </w:r>
      <w:r w:rsidRPr="00E67914">
        <w:rPr>
          <w:rFonts w:ascii="Times New Roman" w:hAnsi="Times New Roman"/>
          <w:i/>
          <w:iCs/>
          <w:spacing w:val="8"/>
          <w:sz w:val="24"/>
          <w:szCs w:val="24"/>
          <w:lang w:eastAsia="zh-CN"/>
        </w:rPr>
        <w:t>Lespedeza formosa</w:t>
      </w:r>
      <w:r w:rsidRPr="00E67914">
        <w:rPr>
          <w:rFonts w:ascii="Times New Roman" w:hAnsi="Times New Roman"/>
          <w:spacing w:val="8"/>
          <w:sz w:val="24"/>
          <w:szCs w:val="24"/>
          <w:lang w:eastAsia="zh-CN"/>
        </w:rPr>
        <w:t>）、山胡椒（</w:t>
      </w:r>
      <w:r w:rsidRPr="00E67914">
        <w:rPr>
          <w:rFonts w:ascii="Times New Roman" w:hAnsi="Times New Roman"/>
          <w:i/>
          <w:iCs/>
          <w:spacing w:val="8"/>
          <w:sz w:val="24"/>
          <w:szCs w:val="24"/>
          <w:lang w:eastAsia="zh-CN"/>
        </w:rPr>
        <w:t>Lindera sp.</w:t>
      </w:r>
      <w:r w:rsidRPr="00E67914">
        <w:rPr>
          <w:rFonts w:ascii="Times New Roman" w:hAnsi="Times New Roman"/>
          <w:spacing w:val="8"/>
          <w:sz w:val="24"/>
          <w:szCs w:val="24"/>
          <w:lang w:eastAsia="zh-CN"/>
        </w:rPr>
        <w:t>）等多种灌木类型。</w:t>
      </w:r>
    </w:p>
    <w:p w14:paraId="6C77F0DE" w14:textId="77777777" w:rsidR="00A54A8A" w:rsidRPr="00E67914" w:rsidRDefault="00000000">
      <w:pPr>
        <w:widowControl w:val="0"/>
        <w:spacing w:line="360" w:lineRule="auto"/>
        <w:ind w:firstLineChars="200" w:firstLine="496"/>
        <w:jc w:val="both"/>
        <w:rPr>
          <w:rFonts w:ascii="Times New Roman" w:hAnsi="Times New Roman"/>
          <w:sz w:val="24"/>
          <w:szCs w:val="24"/>
          <w:lang w:eastAsia="zh-CN"/>
        </w:rPr>
      </w:pPr>
      <w:r w:rsidRPr="00E67914">
        <w:rPr>
          <w:rFonts w:ascii="Times New Roman" w:hAnsi="Times New Roman"/>
          <w:spacing w:val="8"/>
          <w:sz w:val="24"/>
          <w:szCs w:val="24"/>
          <w:lang w:eastAsia="zh-CN"/>
        </w:rPr>
        <w:t>草本植物生长茂盛，分层明显。芒居于草本层第</w:t>
      </w:r>
      <w:r w:rsidRPr="00E67914">
        <w:rPr>
          <w:rFonts w:ascii="Times New Roman" w:hAnsi="Times New Roman"/>
          <w:spacing w:val="8"/>
          <w:sz w:val="24"/>
          <w:szCs w:val="24"/>
          <w:lang w:eastAsia="zh-CN"/>
        </w:rPr>
        <w:t>Ⅰ</w:t>
      </w:r>
      <w:r w:rsidRPr="00E67914">
        <w:rPr>
          <w:rFonts w:ascii="Times New Roman" w:hAnsi="Times New Roman"/>
          <w:spacing w:val="8"/>
          <w:sz w:val="24"/>
          <w:szCs w:val="24"/>
          <w:lang w:eastAsia="zh-CN"/>
        </w:rPr>
        <w:t>亚层植物，高度约</w:t>
      </w:r>
      <w:r w:rsidRPr="00E67914">
        <w:rPr>
          <w:rFonts w:ascii="Times New Roman" w:hAnsi="Times New Roman"/>
          <w:spacing w:val="8"/>
          <w:sz w:val="24"/>
          <w:szCs w:val="24"/>
          <w:lang w:eastAsia="zh-CN"/>
        </w:rPr>
        <w:t>1.2m</w:t>
      </w:r>
      <w:r w:rsidRPr="00E67914">
        <w:rPr>
          <w:rFonts w:ascii="Times New Roman" w:hAnsi="Times New Roman"/>
          <w:spacing w:val="8"/>
          <w:sz w:val="24"/>
          <w:szCs w:val="24"/>
          <w:lang w:eastAsia="zh-CN"/>
        </w:rPr>
        <w:t>、千里光（</w:t>
      </w:r>
      <w:r w:rsidRPr="00E67914">
        <w:rPr>
          <w:rFonts w:ascii="Times New Roman" w:hAnsi="Times New Roman"/>
          <w:i/>
          <w:iCs/>
          <w:spacing w:val="8"/>
          <w:sz w:val="24"/>
          <w:szCs w:val="24"/>
          <w:lang w:eastAsia="zh-CN"/>
        </w:rPr>
        <w:t xml:space="preserve">Senecio scandens </w:t>
      </w:r>
      <w:r w:rsidRPr="00E67914">
        <w:rPr>
          <w:rFonts w:ascii="Times New Roman" w:hAnsi="Times New Roman"/>
          <w:spacing w:val="8"/>
          <w:sz w:val="24"/>
          <w:szCs w:val="24"/>
          <w:lang w:eastAsia="zh-CN"/>
        </w:rPr>
        <w:t>Buch.-Ham. ex D.Don</w:t>
      </w:r>
      <w:r w:rsidRPr="00E67914">
        <w:rPr>
          <w:rFonts w:ascii="Times New Roman" w:hAnsi="Times New Roman"/>
          <w:spacing w:val="8"/>
          <w:sz w:val="24"/>
          <w:szCs w:val="24"/>
          <w:lang w:eastAsia="zh-CN"/>
        </w:rPr>
        <w:t>）、糙苏（</w:t>
      </w:r>
      <w:r w:rsidRPr="00E67914">
        <w:rPr>
          <w:rFonts w:ascii="Times New Roman" w:hAnsi="Times New Roman"/>
          <w:i/>
          <w:iCs/>
          <w:spacing w:val="8"/>
          <w:sz w:val="24"/>
          <w:szCs w:val="24"/>
          <w:lang w:eastAsia="zh-CN"/>
        </w:rPr>
        <w:t>Phlomis umbros</w:t>
      </w:r>
      <w:r w:rsidRPr="00E67914">
        <w:rPr>
          <w:rFonts w:ascii="Times New Roman" w:hAnsi="Times New Roman"/>
          <w:spacing w:val="8"/>
          <w:sz w:val="24"/>
          <w:szCs w:val="24"/>
          <w:lang w:eastAsia="zh-CN"/>
        </w:rPr>
        <w:t>a</w:t>
      </w:r>
      <w:r w:rsidRPr="00E67914">
        <w:rPr>
          <w:rFonts w:ascii="Times New Roman" w:hAnsi="Times New Roman"/>
          <w:spacing w:val="8"/>
          <w:sz w:val="24"/>
          <w:szCs w:val="24"/>
          <w:lang w:eastAsia="zh-CN"/>
        </w:rPr>
        <w:t>）、白茅（</w:t>
      </w:r>
      <w:r w:rsidRPr="00E67914">
        <w:rPr>
          <w:rFonts w:ascii="Times New Roman" w:hAnsi="Times New Roman"/>
          <w:i/>
          <w:iCs/>
          <w:spacing w:val="8"/>
          <w:sz w:val="24"/>
          <w:szCs w:val="24"/>
          <w:lang w:eastAsia="zh-CN"/>
        </w:rPr>
        <w:t xml:space="preserve">Imperata cylindrica </w:t>
      </w:r>
      <w:r w:rsidRPr="00E67914">
        <w:rPr>
          <w:rFonts w:ascii="Times New Roman" w:hAnsi="Times New Roman"/>
          <w:i/>
          <w:iCs/>
          <w:spacing w:val="8"/>
          <w:sz w:val="24"/>
          <w:szCs w:val="24"/>
          <w:lang w:eastAsia="zh-CN"/>
        </w:rPr>
        <w:t>（</w:t>
      </w:r>
      <w:r w:rsidRPr="00E67914">
        <w:rPr>
          <w:rFonts w:ascii="Times New Roman" w:hAnsi="Times New Roman"/>
          <w:i/>
          <w:iCs/>
          <w:spacing w:val="8"/>
          <w:sz w:val="24"/>
          <w:szCs w:val="24"/>
          <w:lang w:eastAsia="zh-CN"/>
        </w:rPr>
        <w:t>Linn.</w:t>
      </w:r>
      <w:r w:rsidRPr="00E67914">
        <w:rPr>
          <w:rFonts w:ascii="Times New Roman" w:hAnsi="Times New Roman"/>
          <w:i/>
          <w:iCs/>
          <w:spacing w:val="8"/>
          <w:sz w:val="24"/>
          <w:szCs w:val="24"/>
          <w:lang w:eastAsia="zh-CN"/>
        </w:rPr>
        <w:t>）</w:t>
      </w:r>
      <w:r w:rsidRPr="00E67914">
        <w:rPr>
          <w:rFonts w:ascii="Times New Roman" w:hAnsi="Times New Roman"/>
          <w:i/>
          <w:iCs/>
          <w:spacing w:val="8"/>
          <w:sz w:val="24"/>
          <w:szCs w:val="24"/>
          <w:lang w:eastAsia="zh-CN"/>
        </w:rPr>
        <w:t>Beauv.</w:t>
      </w:r>
      <w:r w:rsidRPr="00E67914">
        <w:rPr>
          <w:rFonts w:ascii="Times New Roman" w:hAnsi="Times New Roman"/>
          <w:spacing w:val="8"/>
          <w:sz w:val="24"/>
          <w:szCs w:val="24"/>
          <w:lang w:eastAsia="zh-CN"/>
        </w:rPr>
        <w:t>）等居于第</w:t>
      </w:r>
      <w:r w:rsidRPr="00E67914">
        <w:rPr>
          <w:rFonts w:ascii="Times New Roman" w:hAnsi="Times New Roman"/>
          <w:spacing w:val="8"/>
          <w:sz w:val="24"/>
          <w:szCs w:val="24"/>
          <w:lang w:eastAsia="zh-CN"/>
        </w:rPr>
        <w:t>Ⅱ</w:t>
      </w:r>
      <w:r w:rsidRPr="00E67914">
        <w:rPr>
          <w:rFonts w:ascii="Times New Roman" w:hAnsi="Times New Roman"/>
          <w:spacing w:val="8"/>
          <w:sz w:val="24"/>
          <w:szCs w:val="24"/>
          <w:lang w:eastAsia="zh-CN"/>
        </w:rPr>
        <w:t>亚层，高度</w:t>
      </w:r>
      <w:r w:rsidRPr="00E67914">
        <w:rPr>
          <w:rFonts w:ascii="Times New Roman" w:hAnsi="Times New Roman"/>
          <w:spacing w:val="8"/>
          <w:sz w:val="24"/>
          <w:szCs w:val="24"/>
          <w:lang w:eastAsia="zh-CN"/>
        </w:rPr>
        <w:t>30~60cm</w:t>
      </w:r>
      <w:r w:rsidRPr="00E67914">
        <w:rPr>
          <w:rFonts w:ascii="Times New Roman" w:hAnsi="Times New Roman"/>
          <w:spacing w:val="8"/>
          <w:sz w:val="24"/>
          <w:szCs w:val="24"/>
          <w:lang w:eastAsia="zh-CN"/>
        </w:rPr>
        <w:t>，车前（</w:t>
      </w:r>
      <w:r w:rsidRPr="00E67914">
        <w:rPr>
          <w:rFonts w:ascii="Times New Roman" w:hAnsi="Times New Roman"/>
          <w:i/>
          <w:iCs/>
          <w:spacing w:val="8"/>
          <w:sz w:val="24"/>
          <w:szCs w:val="24"/>
          <w:lang w:eastAsia="zh-CN"/>
        </w:rPr>
        <w:t xml:space="preserve">Plantago asiatica </w:t>
      </w:r>
      <w:r w:rsidRPr="00E67914">
        <w:rPr>
          <w:rFonts w:ascii="Times New Roman" w:hAnsi="Times New Roman"/>
          <w:spacing w:val="8"/>
          <w:sz w:val="24"/>
          <w:szCs w:val="24"/>
          <w:lang w:eastAsia="zh-CN"/>
        </w:rPr>
        <w:t>L.</w:t>
      </w:r>
      <w:r w:rsidRPr="00E67914">
        <w:rPr>
          <w:rFonts w:ascii="Times New Roman" w:hAnsi="Times New Roman"/>
          <w:spacing w:val="8"/>
          <w:sz w:val="24"/>
          <w:szCs w:val="24"/>
          <w:lang w:eastAsia="zh-CN"/>
        </w:rPr>
        <w:t>）、聚花过路黄（</w:t>
      </w:r>
      <w:r w:rsidRPr="00E67914">
        <w:rPr>
          <w:rFonts w:ascii="Times New Roman" w:hAnsi="Times New Roman"/>
          <w:i/>
          <w:iCs/>
          <w:spacing w:val="8"/>
          <w:sz w:val="24"/>
          <w:szCs w:val="24"/>
          <w:lang w:eastAsia="zh-CN"/>
        </w:rPr>
        <w:t>Lysimachia congestiflora Hemsl.</w:t>
      </w:r>
      <w:r w:rsidRPr="00E67914">
        <w:rPr>
          <w:rFonts w:ascii="Times New Roman" w:hAnsi="Times New Roman"/>
          <w:spacing w:val="8"/>
          <w:sz w:val="24"/>
          <w:szCs w:val="24"/>
          <w:lang w:eastAsia="zh-CN"/>
        </w:rPr>
        <w:t>）、蕺菜（</w:t>
      </w:r>
      <w:r w:rsidRPr="00E67914">
        <w:rPr>
          <w:rFonts w:ascii="Times New Roman" w:hAnsi="Times New Roman"/>
          <w:i/>
          <w:iCs/>
          <w:spacing w:val="8"/>
          <w:sz w:val="24"/>
          <w:szCs w:val="24"/>
          <w:lang w:eastAsia="zh-CN"/>
        </w:rPr>
        <w:t xml:space="preserve">Houttuynia cordata </w:t>
      </w:r>
      <w:r w:rsidRPr="00E67914">
        <w:rPr>
          <w:rFonts w:ascii="Times New Roman" w:hAnsi="Times New Roman"/>
          <w:spacing w:val="8"/>
          <w:sz w:val="24"/>
          <w:szCs w:val="24"/>
          <w:lang w:eastAsia="zh-CN"/>
        </w:rPr>
        <w:t>Thunb</w:t>
      </w:r>
      <w:r w:rsidRPr="00E67914">
        <w:rPr>
          <w:rFonts w:ascii="Times New Roman" w:hAnsi="Times New Roman"/>
          <w:spacing w:val="8"/>
          <w:sz w:val="24"/>
          <w:szCs w:val="24"/>
          <w:lang w:eastAsia="zh-CN"/>
        </w:rPr>
        <w:t>）、葎草（</w:t>
      </w:r>
      <w:r w:rsidRPr="00E67914">
        <w:rPr>
          <w:rFonts w:ascii="Times New Roman" w:hAnsi="Times New Roman"/>
          <w:i/>
          <w:iCs/>
          <w:spacing w:val="8"/>
          <w:sz w:val="24"/>
          <w:szCs w:val="24"/>
          <w:lang w:eastAsia="zh-CN"/>
        </w:rPr>
        <w:t>Humulus scandens</w:t>
      </w:r>
      <w:r w:rsidRPr="00E67914">
        <w:rPr>
          <w:rFonts w:ascii="Times New Roman" w:hAnsi="Times New Roman"/>
          <w:spacing w:val="8"/>
          <w:sz w:val="24"/>
          <w:szCs w:val="24"/>
          <w:lang w:eastAsia="zh-CN"/>
        </w:rPr>
        <w:t>）等居于第</w:t>
      </w:r>
      <w:r w:rsidRPr="00E67914">
        <w:rPr>
          <w:rFonts w:ascii="Times New Roman" w:hAnsi="Times New Roman"/>
          <w:spacing w:val="8"/>
          <w:sz w:val="24"/>
          <w:szCs w:val="24"/>
          <w:lang w:eastAsia="zh-CN"/>
        </w:rPr>
        <w:t>Ⅲ</w:t>
      </w:r>
      <w:r w:rsidRPr="00E67914">
        <w:rPr>
          <w:rFonts w:ascii="Times New Roman" w:hAnsi="Times New Roman"/>
          <w:spacing w:val="8"/>
          <w:sz w:val="24"/>
          <w:szCs w:val="24"/>
          <w:lang w:eastAsia="zh-CN"/>
        </w:rPr>
        <w:t>亚层，高度在</w:t>
      </w:r>
      <w:r w:rsidRPr="00E67914">
        <w:rPr>
          <w:rFonts w:ascii="Times New Roman" w:hAnsi="Times New Roman"/>
          <w:spacing w:val="8"/>
          <w:sz w:val="24"/>
          <w:szCs w:val="24"/>
          <w:lang w:eastAsia="zh-CN"/>
        </w:rPr>
        <w:t>20cm</w:t>
      </w:r>
      <w:r w:rsidRPr="00E67914">
        <w:rPr>
          <w:rFonts w:ascii="Times New Roman" w:hAnsi="Times New Roman"/>
          <w:spacing w:val="8"/>
          <w:sz w:val="24"/>
          <w:szCs w:val="24"/>
          <w:lang w:eastAsia="zh-CN"/>
        </w:rPr>
        <w:t>以下。另外还有多种蕨类植物如毛蕨（</w:t>
      </w:r>
      <w:r w:rsidRPr="00E67914">
        <w:rPr>
          <w:rFonts w:ascii="Times New Roman" w:hAnsi="Times New Roman"/>
          <w:i/>
          <w:iCs/>
          <w:spacing w:val="8"/>
          <w:sz w:val="24"/>
          <w:szCs w:val="24"/>
          <w:lang w:eastAsia="zh-CN"/>
        </w:rPr>
        <w:t xml:space="preserve">Cyclosorus interruptus </w:t>
      </w:r>
      <w:r w:rsidRPr="00E67914">
        <w:rPr>
          <w:rFonts w:ascii="Times New Roman" w:hAnsi="Times New Roman"/>
          <w:spacing w:val="8"/>
          <w:sz w:val="24"/>
          <w:szCs w:val="24"/>
          <w:lang w:eastAsia="zh-CN"/>
        </w:rPr>
        <w:t>（</w:t>
      </w:r>
      <w:r w:rsidRPr="00E67914">
        <w:rPr>
          <w:rFonts w:ascii="Times New Roman" w:hAnsi="Times New Roman"/>
          <w:spacing w:val="8"/>
          <w:sz w:val="24"/>
          <w:szCs w:val="24"/>
          <w:lang w:eastAsia="zh-CN"/>
        </w:rPr>
        <w:t>Willd.</w:t>
      </w:r>
      <w:r w:rsidRPr="00E67914">
        <w:rPr>
          <w:rFonts w:ascii="Times New Roman" w:hAnsi="Times New Roman"/>
          <w:spacing w:val="8"/>
          <w:sz w:val="24"/>
          <w:szCs w:val="24"/>
          <w:lang w:eastAsia="zh-CN"/>
        </w:rPr>
        <w:t>）</w:t>
      </w:r>
      <w:r w:rsidRPr="00E67914">
        <w:rPr>
          <w:rFonts w:ascii="Times New Roman" w:hAnsi="Times New Roman"/>
          <w:spacing w:val="8"/>
          <w:sz w:val="24"/>
          <w:szCs w:val="24"/>
          <w:lang w:eastAsia="zh-CN"/>
        </w:rPr>
        <w:t xml:space="preserve"> H. Ito</w:t>
      </w:r>
      <w:r w:rsidRPr="00E67914">
        <w:rPr>
          <w:rFonts w:ascii="Times New Roman" w:hAnsi="Times New Roman"/>
          <w:spacing w:val="8"/>
          <w:sz w:val="24"/>
          <w:szCs w:val="24"/>
          <w:lang w:eastAsia="zh-CN"/>
        </w:rPr>
        <w:t>）、铁角蕨（</w:t>
      </w:r>
      <w:r w:rsidRPr="00E67914">
        <w:rPr>
          <w:rFonts w:ascii="Times New Roman" w:hAnsi="Times New Roman"/>
          <w:i/>
          <w:iCs/>
          <w:spacing w:val="8"/>
          <w:sz w:val="24"/>
          <w:szCs w:val="24"/>
          <w:lang w:eastAsia="zh-CN"/>
        </w:rPr>
        <w:t>Asplenium trichomanes</w:t>
      </w:r>
      <w:r w:rsidRPr="00E67914">
        <w:rPr>
          <w:rFonts w:ascii="Times New Roman" w:hAnsi="Times New Roman"/>
          <w:spacing w:val="8"/>
          <w:sz w:val="24"/>
          <w:szCs w:val="24"/>
          <w:lang w:eastAsia="zh-CN"/>
        </w:rPr>
        <w:t>）在草本层生长。</w:t>
      </w:r>
    </w:p>
    <w:p w14:paraId="50605D2C" w14:textId="77777777" w:rsidR="00A54A8A" w:rsidRPr="00E67914" w:rsidRDefault="00000000">
      <w:pPr>
        <w:widowControl w:val="0"/>
        <w:spacing w:beforeLines="50" w:before="120" w:line="360" w:lineRule="auto"/>
        <w:ind w:firstLineChars="200" w:firstLine="482"/>
        <w:rPr>
          <w:rFonts w:ascii="Times New Roman" w:hAnsi="Times New Roman"/>
          <w:b/>
          <w:sz w:val="24"/>
          <w:lang w:eastAsia="zh-CN"/>
        </w:rPr>
      </w:pPr>
      <w:r w:rsidRPr="00E67914">
        <w:rPr>
          <w:rFonts w:ascii="Times New Roman" w:hAnsi="Times New Roman"/>
          <w:b/>
          <w:sz w:val="24"/>
          <w:lang w:eastAsia="zh-CN"/>
        </w:rPr>
        <w:t>Ⅲ</w:t>
      </w:r>
      <w:r w:rsidRPr="00E67914">
        <w:rPr>
          <w:rFonts w:ascii="Times New Roman" w:hAnsi="Times New Roman"/>
          <w:b/>
          <w:sz w:val="24"/>
          <w:lang w:eastAsia="zh-CN"/>
        </w:rPr>
        <w:t>草丛植被</w:t>
      </w:r>
    </w:p>
    <w:p w14:paraId="1BE349D0" w14:textId="77777777" w:rsidR="00A54A8A" w:rsidRPr="00E67914" w:rsidRDefault="00000000">
      <w:pPr>
        <w:spacing w:line="500" w:lineRule="exact"/>
        <w:ind w:left="60" w:right="100" w:firstLine="482"/>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芒</w:t>
      </w:r>
      <w:r w:rsidRPr="00E67914">
        <w:rPr>
          <w:rFonts w:ascii="Times New Roman" w:hAnsi="Times New Roman"/>
          <w:sz w:val="24"/>
          <w:szCs w:val="24"/>
          <w:lang w:eastAsia="zh-CN"/>
        </w:rPr>
        <w:t>+</w:t>
      </w:r>
      <w:r w:rsidRPr="00E67914">
        <w:rPr>
          <w:rFonts w:ascii="Times New Roman" w:hAnsi="Times New Roman"/>
          <w:sz w:val="24"/>
          <w:szCs w:val="24"/>
          <w:lang w:eastAsia="zh-CN"/>
        </w:rPr>
        <w:t>白茅群落（</w:t>
      </w:r>
      <w:r w:rsidRPr="00E67914">
        <w:rPr>
          <w:rFonts w:ascii="Times New Roman" w:hAnsi="Times New Roman"/>
          <w:sz w:val="24"/>
          <w:szCs w:val="24"/>
          <w:lang w:eastAsia="zh-CN"/>
        </w:rPr>
        <w:t xml:space="preserve">Form. </w:t>
      </w:r>
      <w:r w:rsidRPr="00E67914">
        <w:rPr>
          <w:rFonts w:ascii="Times New Roman" w:hAnsi="Times New Roman"/>
          <w:i/>
          <w:iCs/>
          <w:sz w:val="24"/>
          <w:szCs w:val="24"/>
          <w:lang w:eastAsia="zh-CN"/>
        </w:rPr>
        <w:t>Miscanthus sinensis+Imperata cylindrica</w:t>
      </w:r>
      <w:r w:rsidRPr="00E67914">
        <w:rPr>
          <w:rFonts w:ascii="Times New Roman" w:hAnsi="Times New Roman"/>
          <w:sz w:val="24"/>
          <w:szCs w:val="24"/>
          <w:lang w:eastAsia="zh-CN"/>
        </w:rPr>
        <w:t>）</w:t>
      </w:r>
    </w:p>
    <w:p w14:paraId="79936875" w14:textId="77777777" w:rsidR="00A54A8A" w:rsidRPr="00E67914" w:rsidRDefault="00000000">
      <w:pPr>
        <w:spacing w:line="500" w:lineRule="exact"/>
        <w:ind w:left="60" w:right="100" w:firstLine="482"/>
        <w:rPr>
          <w:rFonts w:ascii="Times New Roman" w:hAnsi="Times New Roman"/>
          <w:sz w:val="24"/>
          <w:szCs w:val="24"/>
          <w:lang w:eastAsia="zh-CN"/>
        </w:rPr>
      </w:pPr>
      <w:r w:rsidRPr="00E67914">
        <w:rPr>
          <w:rFonts w:ascii="Times New Roman" w:hAnsi="Times New Roman"/>
          <w:sz w:val="24"/>
          <w:szCs w:val="24"/>
          <w:lang w:eastAsia="zh-CN"/>
        </w:rPr>
        <w:t>芒、白茅草丛可出现在河谷、盆地、河漫滩上的阶地、山地、丘陵及海滩地带。在四川各地分布十分广泛。由于芒、白茅的生活力很强，因而可以在不同的生境条件下出现。芒、白茅对土壤的酸碱度要求亦不大严格，因此在石灰岩为基岩发育的石灰土或砂页岩等发育的酸性土上都有分布。在撂荒地上，首先遇到的就是芒、白茅草丛，在一些地段上，白茅生长密集，地下</w:t>
      </w:r>
      <w:r w:rsidRPr="00E67914">
        <w:rPr>
          <w:rFonts w:ascii="Times New Roman" w:hAnsi="Times New Roman"/>
          <w:sz w:val="24"/>
          <w:szCs w:val="24"/>
          <w:lang w:eastAsia="zh-CN"/>
        </w:rPr>
        <w:lastRenderedPageBreak/>
        <w:t>茎很发达，相互交织成网，其他植物很难侵入，可以形成几乎是纯白茅的草丛。</w:t>
      </w:r>
    </w:p>
    <w:p w14:paraId="271B3DAD" w14:textId="77777777" w:rsidR="00A54A8A" w:rsidRPr="00E67914" w:rsidRDefault="00000000">
      <w:pPr>
        <w:spacing w:line="500" w:lineRule="exact"/>
        <w:ind w:left="60" w:right="100" w:firstLine="482"/>
        <w:rPr>
          <w:rFonts w:ascii="Times New Roman" w:hAnsi="Times New Roman"/>
          <w:sz w:val="24"/>
          <w:szCs w:val="24"/>
          <w:lang w:eastAsia="zh-CN"/>
        </w:rPr>
      </w:pPr>
      <w:r w:rsidRPr="00E67914">
        <w:rPr>
          <w:rFonts w:ascii="Times New Roman" w:hAnsi="Times New Roman"/>
          <w:sz w:val="24"/>
          <w:szCs w:val="24"/>
          <w:lang w:eastAsia="zh-CN"/>
        </w:rPr>
        <w:t>评价范围及周边芒、白茅草本层的高度为</w:t>
      </w:r>
      <w:r w:rsidRPr="00E67914">
        <w:rPr>
          <w:rFonts w:ascii="Times New Roman" w:hAnsi="Times New Roman"/>
          <w:sz w:val="24"/>
          <w:szCs w:val="24"/>
          <w:lang w:eastAsia="zh-CN"/>
        </w:rPr>
        <w:t>60—300</w:t>
      </w:r>
      <w:r w:rsidRPr="00E67914">
        <w:rPr>
          <w:rFonts w:ascii="Times New Roman" w:hAnsi="Times New Roman"/>
          <w:sz w:val="24"/>
          <w:szCs w:val="24"/>
          <w:lang w:eastAsia="zh-CN"/>
        </w:rPr>
        <w:t>厘米，层覆盖度在</w:t>
      </w:r>
      <w:r w:rsidRPr="00E67914">
        <w:rPr>
          <w:rFonts w:ascii="Times New Roman" w:hAnsi="Times New Roman"/>
          <w:sz w:val="24"/>
          <w:szCs w:val="24"/>
          <w:lang w:eastAsia="zh-CN"/>
        </w:rPr>
        <w:t>70—90%</w:t>
      </w:r>
      <w:r w:rsidRPr="00E67914">
        <w:rPr>
          <w:rFonts w:ascii="Times New Roman" w:hAnsi="Times New Roman"/>
          <w:sz w:val="24"/>
          <w:szCs w:val="24"/>
          <w:lang w:eastAsia="zh-CN"/>
        </w:rPr>
        <w:t>之间。其伴生植物有五节芒、野古草、斑茅、婆婆针、飞蓬、蛇莓、夏枯草、黄背草、铁扫帚、歪头菜、贯叶连翘等，在群落中散生有少数灌木，如美丽胡枝子、山豆花及麻栎、白栎幼树等。</w:t>
      </w:r>
    </w:p>
    <w:p w14:paraId="5B19E259" w14:textId="77777777" w:rsidR="00A54A8A" w:rsidRPr="00E67914" w:rsidRDefault="00000000">
      <w:pPr>
        <w:spacing w:line="500" w:lineRule="exact"/>
        <w:ind w:left="60" w:right="100" w:firstLine="482"/>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蕨</w:t>
      </w:r>
      <w:r w:rsidRPr="00E67914">
        <w:rPr>
          <w:rFonts w:ascii="Times New Roman" w:hAnsi="Times New Roman"/>
          <w:sz w:val="24"/>
          <w:szCs w:val="24"/>
          <w:lang w:eastAsia="zh-CN"/>
        </w:rPr>
        <w:t>+</w:t>
      </w:r>
      <w:r w:rsidRPr="00E67914">
        <w:rPr>
          <w:rFonts w:ascii="Times New Roman" w:hAnsi="Times New Roman"/>
          <w:sz w:val="24"/>
          <w:szCs w:val="24"/>
          <w:lang w:eastAsia="zh-CN"/>
        </w:rPr>
        <w:t>芒萁群系（</w:t>
      </w:r>
      <w:r w:rsidRPr="00E67914">
        <w:rPr>
          <w:rFonts w:ascii="Times New Roman" w:hAnsi="Times New Roman"/>
          <w:sz w:val="24"/>
          <w:szCs w:val="24"/>
          <w:lang w:eastAsia="zh-CN"/>
        </w:rPr>
        <w:t xml:space="preserve">Form. </w:t>
      </w:r>
      <w:r w:rsidRPr="00E67914">
        <w:rPr>
          <w:rFonts w:ascii="Times New Roman" w:hAnsi="Times New Roman"/>
          <w:i/>
          <w:iCs/>
          <w:sz w:val="24"/>
          <w:szCs w:val="24"/>
          <w:lang w:eastAsia="zh-CN"/>
        </w:rPr>
        <w:t>P.Aquilinum+Dicranopteris dichotoma(Thunb.)Bernh.</w:t>
      </w:r>
      <w:r w:rsidRPr="00E67914">
        <w:rPr>
          <w:rFonts w:ascii="Times New Roman" w:hAnsi="Times New Roman"/>
          <w:sz w:val="24"/>
          <w:szCs w:val="24"/>
          <w:lang w:eastAsia="zh-CN"/>
        </w:rPr>
        <w:t>）</w:t>
      </w:r>
    </w:p>
    <w:p w14:paraId="0B0D5BA2" w14:textId="77777777"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szCs w:val="24"/>
          <w:lang w:eastAsia="zh-CN"/>
        </w:rPr>
        <w:t>本灌草丛在评价区内分布广泛，在大部分酸性土地区均有分布，本群落为植被受到严重破坏，乔木、灌木很难恢复的情况下形成的一类灌草丛，尤其是在强度火烧山后出现。群落的特征主要由蕨类和禾本草为主的草本植物组成，灌木稀少。常见的草本植物有蕨、铁芒萁、牛尾蒿、狗脊、荩草、石松、四脉金茅、野古草、白茅、雀稗、荻等种类。其他草本植物有珍珠菜，毛果一枝黄花、三脉紫菀及野棉花等。</w:t>
      </w:r>
    </w:p>
    <w:p w14:paraId="1A810D87" w14:textId="77777777" w:rsidR="00A54A8A" w:rsidRPr="00E67914" w:rsidRDefault="00000000">
      <w:pPr>
        <w:widowControl w:val="0"/>
        <w:spacing w:beforeLines="50" w:before="120" w:line="360" w:lineRule="auto"/>
        <w:ind w:firstLineChars="200" w:firstLine="482"/>
        <w:rPr>
          <w:rFonts w:ascii="Times New Roman" w:hAnsi="Times New Roman"/>
          <w:b/>
          <w:sz w:val="24"/>
          <w:lang w:eastAsia="zh-CN"/>
        </w:rPr>
      </w:pPr>
      <w:r w:rsidRPr="00E67914">
        <w:rPr>
          <w:rFonts w:ascii="Times New Roman" w:hAnsi="Times New Roman"/>
          <w:b/>
          <w:sz w:val="24"/>
          <w:lang w:eastAsia="zh-CN"/>
        </w:rPr>
        <w:t>Ⅳ</w:t>
      </w:r>
      <w:r w:rsidRPr="00E67914">
        <w:rPr>
          <w:rFonts w:ascii="Times New Roman" w:hAnsi="Times New Roman"/>
          <w:b/>
          <w:sz w:val="24"/>
          <w:lang w:eastAsia="zh-CN"/>
        </w:rPr>
        <w:t>栽培植被</w:t>
      </w:r>
    </w:p>
    <w:p w14:paraId="63F0A5F1"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栽培植被指人类在自然环境中，根据人类生产、生活的需要，通过人为的经营、管理措施而培育形成的植被类型。在评价区域，栽培植被主要为以农业技术措施为主培育形成的农田植被以及具有一定经济效益的经济林木。现分别就各类栽培植被分析如下：</w:t>
      </w:r>
    </w:p>
    <w:p w14:paraId="221B0DB5"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）农田植被</w:t>
      </w:r>
    </w:p>
    <w:p w14:paraId="02E9959A" w14:textId="77777777" w:rsidR="00A54A8A" w:rsidRPr="00E67914" w:rsidRDefault="00000000">
      <w:pPr>
        <w:widowControl w:val="0"/>
        <w:spacing w:line="360" w:lineRule="auto"/>
        <w:ind w:firstLineChars="200" w:firstLine="480"/>
        <w:rPr>
          <w:rFonts w:ascii="Times New Roman" w:hAnsi="Times New Roman"/>
          <w:sz w:val="24"/>
          <w:szCs w:val="24"/>
          <w:lang w:val="de-DE" w:eastAsia="zh-CN"/>
        </w:rPr>
      </w:pPr>
      <w:r w:rsidRPr="00E67914">
        <w:rPr>
          <w:rFonts w:ascii="宋体" w:hAnsi="宋体" w:cs="宋体" w:hint="eastAsia"/>
          <w:sz w:val="24"/>
          <w:szCs w:val="24"/>
          <w:lang w:val="de-DE" w:eastAsia="zh-CN"/>
        </w:rPr>
        <w:t>①</w:t>
      </w:r>
      <w:r w:rsidRPr="00E67914">
        <w:rPr>
          <w:rFonts w:ascii="Times New Roman" w:hAnsi="Times New Roman"/>
          <w:sz w:val="24"/>
          <w:szCs w:val="24"/>
          <w:lang w:val="de-DE" w:eastAsia="zh-CN"/>
        </w:rPr>
        <w:t>一年两熟水稻作物</w:t>
      </w:r>
    </w:p>
    <w:p w14:paraId="561CD4F0"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14:paraId="2B21EA89" w14:textId="77777777" w:rsidR="00A54A8A" w:rsidRPr="00E67914" w:rsidRDefault="00000000">
      <w:pPr>
        <w:widowControl w:val="0"/>
        <w:spacing w:line="360" w:lineRule="auto"/>
        <w:ind w:firstLineChars="200" w:firstLine="480"/>
        <w:rPr>
          <w:rFonts w:ascii="Times New Roman" w:hAnsi="Times New Roman"/>
          <w:sz w:val="24"/>
          <w:szCs w:val="24"/>
          <w:lang w:val="de-DE" w:eastAsia="zh-CN"/>
        </w:rPr>
      </w:pPr>
      <w:r w:rsidRPr="00E67914">
        <w:rPr>
          <w:rFonts w:ascii="宋体" w:hAnsi="宋体" w:cs="宋体" w:hint="eastAsia"/>
          <w:sz w:val="24"/>
          <w:szCs w:val="24"/>
          <w:lang w:val="de-DE" w:eastAsia="zh-CN"/>
        </w:rPr>
        <w:t>②</w:t>
      </w:r>
      <w:r w:rsidRPr="00E67914">
        <w:rPr>
          <w:rFonts w:ascii="Times New Roman" w:hAnsi="Times New Roman"/>
          <w:sz w:val="24"/>
          <w:szCs w:val="24"/>
          <w:lang w:val="de-DE" w:eastAsia="zh-CN"/>
        </w:rPr>
        <w:t>一年</w:t>
      </w:r>
      <w:r w:rsidRPr="00E67914">
        <w:rPr>
          <w:rFonts w:ascii="Times New Roman" w:hAnsi="Times New Roman"/>
          <w:sz w:val="24"/>
          <w:szCs w:val="24"/>
          <w:lang w:eastAsia="zh-CN"/>
        </w:rPr>
        <w:t>两</w:t>
      </w:r>
      <w:r w:rsidRPr="00E67914">
        <w:rPr>
          <w:rFonts w:ascii="Times New Roman" w:hAnsi="Times New Roman"/>
          <w:sz w:val="24"/>
          <w:szCs w:val="24"/>
          <w:lang w:val="de-DE" w:eastAsia="zh-CN"/>
        </w:rPr>
        <w:t>作为主的蔬菜组合</w:t>
      </w:r>
    </w:p>
    <w:p w14:paraId="4F2F511A"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属于草本类型蔬菜作物型旱地作物亚型，本组合型广泛分布于亚热带范围内，对灌溉要求不是很严格，本地组成蔬菜作物的建群种，有白菜、卷心菜、花椰菜、芥菜、等白菜类，大头菜、萝卜、胡萝卜、洋葱、蒜、姜等根茎类、</w:t>
      </w:r>
      <w:r w:rsidRPr="00E67914">
        <w:rPr>
          <w:rFonts w:ascii="Times New Roman" w:hAnsi="Times New Roman"/>
          <w:sz w:val="24"/>
          <w:szCs w:val="24"/>
          <w:lang w:eastAsia="zh-CN"/>
        </w:rPr>
        <w:lastRenderedPageBreak/>
        <w:t>鳞茎类蔬菜，韭菜、葱、蒜、苋菜、芹菜、菠菜、莴笋等绿叶蔬菜，马铃薯、芋头等薯类，茄子、辣椒等茄果类，黄瓜、菜瓜、冬瓜、南瓜、葫芦、苦瓜、丝瓜等瓜类，豇豆、豌豆、蚕豆、大豆、菜豆等豆类，以及花生、油菜等油料作物。</w:t>
      </w:r>
    </w:p>
    <w:p w14:paraId="65472949" w14:textId="77777777" w:rsidR="00A54A8A" w:rsidRPr="00E67914" w:rsidRDefault="00000000">
      <w:pPr>
        <w:widowControl w:val="0"/>
        <w:spacing w:line="360" w:lineRule="auto"/>
        <w:ind w:firstLineChars="200" w:firstLine="480"/>
        <w:rPr>
          <w:rFonts w:ascii="Times New Roman" w:hAnsi="Times New Roman"/>
          <w:sz w:val="24"/>
          <w:szCs w:val="24"/>
          <w:lang w:val="de-DE" w:eastAsia="zh-CN"/>
        </w:rPr>
      </w:pPr>
      <w:r w:rsidRPr="00E67914">
        <w:rPr>
          <w:rFonts w:ascii="宋体" w:hAnsi="宋体" w:cs="宋体" w:hint="eastAsia"/>
          <w:sz w:val="24"/>
          <w:szCs w:val="24"/>
          <w:lang w:val="de-DE" w:eastAsia="zh-CN"/>
        </w:rPr>
        <w:t>③</w:t>
      </w:r>
      <w:r w:rsidRPr="00E67914">
        <w:rPr>
          <w:rFonts w:ascii="Times New Roman" w:hAnsi="Times New Roman"/>
          <w:sz w:val="24"/>
          <w:szCs w:val="24"/>
          <w:lang w:val="de-DE" w:eastAsia="zh-CN"/>
        </w:rPr>
        <w:t>以</w:t>
      </w:r>
      <w:r w:rsidRPr="00E67914">
        <w:rPr>
          <w:rFonts w:ascii="Times New Roman" w:hAnsi="Times New Roman"/>
          <w:sz w:val="24"/>
          <w:szCs w:val="24"/>
          <w:lang w:eastAsia="zh-CN"/>
        </w:rPr>
        <w:t>玉米、红苕、棉花、花生、小麦、马铃薯、豌豆</w:t>
      </w:r>
      <w:r w:rsidRPr="00E67914">
        <w:rPr>
          <w:rFonts w:ascii="Times New Roman" w:hAnsi="Times New Roman"/>
          <w:sz w:val="24"/>
          <w:szCs w:val="24"/>
          <w:lang w:val="de-DE" w:eastAsia="zh-CN"/>
        </w:rPr>
        <w:t>为主的作物组合</w:t>
      </w:r>
    </w:p>
    <w:p w14:paraId="7607C35D"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属于草本类型大田农作物型旱地作物亚型，广泛分布于四川盆地边缘的丘陵地区。小春作物以小麦、豌豆为主，深丘上部种有马铃薯，多为一年两熟类型，调查区域内局部灌溉条件较差的地方实行这种作物组合。</w:t>
      </w:r>
    </w:p>
    <w:p w14:paraId="22DEAB91"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）经济林木</w:t>
      </w:r>
    </w:p>
    <w:p w14:paraId="536898FD" w14:textId="77777777" w:rsidR="00A54A8A" w:rsidRPr="00E67914" w:rsidRDefault="00000000">
      <w:pPr>
        <w:widowControl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常见种植的种类有苹果</w:t>
      </w:r>
      <w:r w:rsidRPr="00E67914">
        <w:rPr>
          <w:rFonts w:ascii="Times New Roman" w:hAnsi="Times New Roman"/>
          <w:sz w:val="24"/>
          <w:szCs w:val="24"/>
          <w:lang w:eastAsia="zh-CN"/>
        </w:rPr>
        <w:t>(</w:t>
      </w:r>
      <w:r w:rsidRPr="00E67914">
        <w:rPr>
          <w:rFonts w:ascii="Times New Roman" w:hAnsi="Times New Roman"/>
          <w:i/>
          <w:sz w:val="24"/>
          <w:szCs w:val="24"/>
          <w:lang w:eastAsia="zh-CN"/>
        </w:rPr>
        <w:t>Malus pumila</w:t>
      </w:r>
      <w:r w:rsidRPr="00E67914">
        <w:rPr>
          <w:rFonts w:ascii="Times New Roman" w:hAnsi="Times New Roman"/>
          <w:sz w:val="24"/>
          <w:szCs w:val="24"/>
          <w:lang w:eastAsia="zh-CN"/>
        </w:rPr>
        <w:t>)</w:t>
      </w:r>
      <w:r w:rsidRPr="00E67914">
        <w:rPr>
          <w:rFonts w:ascii="Times New Roman" w:hAnsi="Times New Roman"/>
          <w:sz w:val="24"/>
          <w:szCs w:val="24"/>
          <w:lang w:eastAsia="zh-CN"/>
        </w:rPr>
        <w:t>、川梨</w:t>
      </w:r>
      <w:r w:rsidRPr="00E67914">
        <w:rPr>
          <w:rFonts w:ascii="Times New Roman" w:hAnsi="Times New Roman"/>
          <w:sz w:val="24"/>
          <w:szCs w:val="24"/>
          <w:lang w:eastAsia="zh-CN"/>
        </w:rPr>
        <w:t>(</w:t>
      </w:r>
      <w:r w:rsidRPr="00E67914">
        <w:rPr>
          <w:rFonts w:ascii="Times New Roman" w:hAnsi="Times New Roman"/>
          <w:i/>
          <w:iCs/>
          <w:sz w:val="24"/>
          <w:szCs w:val="24"/>
          <w:lang w:eastAsia="zh-CN"/>
        </w:rPr>
        <w:t>Pyrus</w:t>
      </w:r>
      <w:r w:rsidRPr="00E67914">
        <w:rPr>
          <w:rFonts w:ascii="Times New Roman" w:hAnsi="Times New Roman"/>
          <w:sz w:val="24"/>
          <w:szCs w:val="24"/>
          <w:lang w:eastAsia="zh-CN"/>
        </w:rPr>
        <w:t xml:space="preserve"> </w:t>
      </w:r>
      <w:r w:rsidRPr="00E67914">
        <w:rPr>
          <w:rFonts w:ascii="Times New Roman" w:hAnsi="Times New Roman"/>
          <w:i/>
          <w:iCs/>
          <w:sz w:val="24"/>
          <w:szCs w:val="24"/>
          <w:lang w:eastAsia="zh-CN"/>
        </w:rPr>
        <w:t>pashia</w:t>
      </w:r>
      <w:r w:rsidRPr="00E67914">
        <w:rPr>
          <w:rFonts w:ascii="Times New Roman" w:hAnsi="Times New Roman"/>
          <w:sz w:val="24"/>
          <w:szCs w:val="24"/>
          <w:lang w:eastAsia="zh-CN"/>
        </w:rPr>
        <w:t>)</w:t>
      </w:r>
      <w:r w:rsidRPr="00E67914">
        <w:rPr>
          <w:rFonts w:ascii="Times New Roman" w:hAnsi="Times New Roman"/>
          <w:sz w:val="24"/>
          <w:szCs w:val="24"/>
          <w:lang w:eastAsia="zh-CN"/>
        </w:rPr>
        <w:t>、枇杷</w:t>
      </w:r>
      <w:r w:rsidRPr="00E67914">
        <w:rPr>
          <w:rFonts w:ascii="Times New Roman" w:hAnsi="Times New Roman"/>
          <w:sz w:val="24"/>
          <w:szCs w:val="24"/>
          <w:lang w:eastAsia="zh-CN"/>
        </w:rPr>
        <w:t>(</w:t>
      </w:r>
      <w:r w:rsidRPr="00E67914">
        <w:rPr>
          <w:rFonts w:ascii="Times New Roman" w:hAnsi="Times New Roman"/>
          <w:i/>
          <w:iCs/>
          <w:sz w:val="24"/>
          <w:szCs w:val="24"/>
          <w:lang w:eastAsia="zh-CN"/>
        </w:rPr>
        <w:t>Eriobotryajaponica</w:t>
      </w:r>
      <w:r w:rsidRPr="00E67914">
        <w:rPr>
          <w:rFonts w:ascii="Times New Roman" w:hAnsi="Times New Roman"/>
          <w:sz w:val="24"/>
          <w:szCs w:val="24"/>
          <w:lang w:eastAsia="zh-CN"/>
        </w:rPr>
        <w:t>)</w:t>
      </w:r>
      <w:r w:rsidRPr="00E67914">
        <w:rPr>
          <w:rFonts w:ascii="Times New Roman" w:hAnsi="Times New Roman"/>
          <w:sz w:val="24"/>
          <w:szCs w:val="24"/>
          <w:lang w:eastAsia="zh-CN"/>
        </w:rPr>
        <w:t>、桃</w:t>
      </w:r>
      <w:r w:rsidRPr="00E67914">
        <w:rPr>
          <w:rFonts w:ascii="Times New Roman" w:hAnsi="Times New Roman"/>
          <w:sz w:val="24"/>
          <w:szCs w:val="24"/>
          <w:lang w:eastAsia="zh-CN"/>
        </w:rPr>
        <w:t>(</w:t>
      </w:r>
      <w:r w:rsidRPr="00E67914">
        <w:rPr>
          <w:rFonts w:ascii="Times New Roman" w:hAnsi="Times New Roman"/>
          <w:i/>
          <w:iCs/>
          <w:sz w:val="24"/>
          <w:szCs w:val="24"/>
          <w:lang w:eastAsia="zh-CN"/>
        </w:rPr>
        <w:t>Amygdalus</w:t>
      </w:r>
      <w:r w:rsidRPr="00E67914">
        <w:rPr>
          <w:rFonts w:ascii="Times New Roman" w:hAnsi="Times New Roman"/>
          <w:sz w:val="24"/>
          <w:szCs w:val="24"/>
          <w:lang w:eastAsia="zh-CN"/>
        </w:rPr>
        <w:t xml:space="preserve"> </w:t>
      </w:r>
      <w:r w:rsidRPr="00E67914">
        <w:rPr>
          <w:rFonts w:ascii="Times New Roman" w:hAnsi="Times New Roman"/>
          <w:i/>
          <w:iCs/>
          <w:sz w:val="24"/>
          <w:szCs w:val="24"/>
          <w:lang w:eastAsia="zh-CN"/>
        </w:rPr>
        <w:t>persica</w:t>
      </w:r>
      <w:r w:rsidRPr="00E67914">
        <w:rPr>
          <w:rFonts w:ascii="Times New Roman" w:hAnsi="Times New Roman"/>
          <w:sz w:val="24"/>
          <w:szCs w:val="24"/>
          <w:lang w:eastAsia="zh-CN"/>
        </w:rPr>
        <w:t>)</w:t>
      </w:r>
      <w:r w:rsidRPr="00E67914">
        <w:rPr>
          <w:rFonts w:ascii="Times New Roman" w:hAnsi="Times New Roman"/>
          <w:sz w:val="24"/>
          <w:szCs w:val="24"/>
          <w:lang w:eastAsia="zh-CN"/>
        </w:rPr>
        <w:t>、木瓜</w:t>
      </w:r>
      <w:r w:rsidRPr="00E67914">
        <w:rPr>
          <w:rFonts w:ascii="Times New Roman" w:hAnsi="Times New Roman"/>
          <w:sz w:val="24"/>
          <w:szCs w:val="24"/>
          <w:lang w:eastAsia="zh-CN"/>
        </w:rPr>
        <w:t>(</w:t>
      </w:r>
      <w:r w:rsidRPr="00E67914">
        <w:rPr>
          <w:rFonts w:ascii="Times New Roman" w:hAnsi="Times New Roman"/>
          <w:i/>
          <w:iCs/>
          <w:sz w:val="24"/>
          <w:szCs w:val="24"/>
          <w:lang w:eastAsia="zh-CN"/>
        </w:rPr>
        <w:t>ChaenomelessinensisKoehne</w:t>
      </w:r>
      <w:r w:rsidRPr="00E67914">
        <w:rPr>
          <w:rFonts w:ascii="Times New Roman" w:hAnsi="Times New Roman"/>
          <w:sz w:val="24"/>
          <w:szCs w:val="24"/>
          <w:lang w:eastAsia="zh-CN"/>
        </w:rPr>
        <w:t>)</w:t>
      </w:r>
      <w:r w:rsidRPr="00E67914">
        <w:rPr>
          <w:rFonts w:ascii="Times New Roman" w:hAnsi="Times New Roman"/>
          <w:sz w:val="24"/>
          <w:szCs w:val="24"/>
          <w:lang w:eastAsia="zh-CN"/>
        </w:rPr>
        <w:t>、樱桃</w:t>
      </w:r>
      <w:r w:rsidRPr="00E67914">
        <w:rPr>
          <w:rFonts w:ascii="Times New Roman" w:hAnsi="Times New Roman"/>
          <w:sz w:val="24"/>
          <w:szCs w:val="24"/>
          <w:lang w:eastAsia="zh-CN"/>
        </w:rPr>
        <w:t>(</w:t>
      </w:r>
      <w:r w:rsidRPr="00E67914">
        <w:rPr>
          <w:rFonts w:ascii="Times New Roman" w:hAnsi="Times New Roman"/>
          <w:i/>
          <w:sz w:val="24"/>
          <w:szCs w:val="24"/>
          <w:lang w:eastAsia="zh-CN"/>
        </w:rPr>
        <w:t>Cerasus pseudocerasus</w:t>
      </w:r>
      <w:r w:rsidRPr="00E67914">
        <w:rPr>
          <w:rFonts w:ascii="Times New Roman" w:hAnsi="Times New Roman"/>
          <w:sz w:val="24"/>
          <w:szCs w:val="24"/>
          <w:lang w:eastAsia="zh-CN"/>
        </w:rPr>
        <w:t>)</w:t>
      </w:r>
      <w:r w:rsidRPr="00E67914">
        <w:rPr>
          <w:rFonts w:ascii="Times New Roman" w:hAnsi="Times New Roman"/>
          <w:sz w:val="24"/>
          <w:szCs w:val="24"/>
          <w:lang w:eastAsia="zh-CN"/>
        </w:rPr>
        <w:t>、李</w:t>
      </w:r>
      <w:r w:rsidRPr="00E67914">
        <w:rPr>
          <w:rFonts w:ascii="Times New Roman" w:hAnsi="Times New Roman"/>
          <w:sz w:val="24"/>
          <w:szCs w:val="24"/>
          <w:lang w:eastAsia="zh-CN"/>
        </w:rPr>
        <w:t>(</w:t>
      </w:r>
      <w:r w:rsidRPr="00E67914">
        <w:rPr>
          <w:rFonts w:ascii="Times New Roman" w:hAnsi="Times New Roman"/>
          <w:i/>
          <w:sz w:val="24"/>
          <w:szCs w:val="24"/>
          <w:lang w:eastAsia="zh-CN"/>
        </w:rPr>
        <w:t>Prunus salicina</w:t>
      </w:r>
      <w:r w:rsidRPr="00E67914">
        <w:rPr>
          <w:rFonts w:ascii="Times New Roman" w:hAnsi="Times New Roman"/>
          <w:sz w:val="24"/>
          <w:szCs w:val="24"/>
          <w:lang w:eastAsia="zh-CN"/>
        </w:rPr>
        <w:t>)</w:t>
      </w:r>
      <w:r w:rsidRPr="00E67914">
        <w:rPr>
          <w:rFonts w:ascii="Times New Roman" w:hAnsi="Times New Roman"/>
          <w:sz w:val="24"/>
          <w:szCs w:val="24"/>
          <w:lang w:eastAsia="zh-CN"/>
        </w:rPr>
        <w:t>、核桃</w:t>
      </w:r>
      <w:r w:rsidRPr="00E67914">
        <w:rPr>
          <w:rFonts w:ascii="Times New Roman" w:hAnsi="Times New Roman"/>
          <w:sz w:val="24"/>
          <w:szCs w:val="24"/>
          <w:lang w:eastAsia="zh-CN"/>
        </w:rPr>
        <w:t>(</w:t>
      </w:r>
      <w:r w:rsidRPr="00E67914">
        <w:rPr>
          <w:rFonts w:ascii="Times New Roman" w:hAnsi="Times New Roman"/>
          <w:i/>
          <w:sz w:val="24"/>
          <w:szCs w:val="24"/>
          <w:lang w:eastAsia="zh-CN"/>
        </w:rPr>
        <w:t>Juglans regia</w:t>
      </w:r>
      <w:r w:rsidRPr="00E67914">
        <w:rPr>
          <w:rFonts w:ascii="Times New Roman" w:hAnsi="Times New Roman"/>
          <w:sz w:val="24"/>
          <w:szCs w:val="24"/>
          <w:lang w:eastAsia="zh-CN"/>
        </w:rPr>
        <w:t>)</w:t>
      </w:r>
      <w:r w:rsidRPr="00E67914">
        <w:rPr>
          <w:rFonts w:ascii="Times New Roman" w:hAnsi="Times New Roman"/>
          <w:sz w:val="24"/>
          <w:szCs w:val="24"/>
          <w:lang w:eastAsia="zh-CN"/>
        </w:rPr>
        <w:t>、柑橘</w:t>
      </w:r>
      <w:r w:rsidRPr="00E67914">
        <w:rPr>
          <w:rFonts w:ascii="Times New Roman" w:hAnsi="Times New Roman"/>
          <w:sz w:val="24"/>
          <w:szCs w:val="24"/>
          <w:lang w:eastAsia="zh-CN"/>
        </w:rPr>
        <w:t>(</w:t>
      </w:r>
      <w:r w:rsidRPr="00E67914">
        <w:rPr>
          <w:rFonts w:ascii="Times New Roman" w:hAnsi="Times New Roman"/>
          <w:i/>
          <w:sz w:val="24"/>
          <w:szCs w:val="24"/>
          <w:lang w:eastAsia="zh-CN"/>
        </w:rPr>
        <w:t>Citrus reticulata</w:t>
      </w:r>
      <w:r w:rsidRPr="00E67914">
        <w:rPr>
          <w:rFonts w:ascii="Times New Roman" w:hAnsi="Times New Roman"/>
          <w:sz w:val="24"/>
          <w:szCs w:val="24"/>
          <w:lang w:eastAsia="zh-CN"/>
        </w:rPr>
        <w:t>)</w:t>
      </w:r>
      <w:r w:rsidRPr="00E67914">
        <w:rPr>
          <w:rFonts w:ascii="Times New Roman" w:hAnsi="Times New Roman"/>
          <w:sz w:val="24"/>
          <w:szCs w:val="24"/>
          <w:lang w:eastAsia="zh-CN"/>
        </w:rPr>
        <w:t>、柚子</w:t>
      </w:r>
      <w:r w:rsidRPr="00E67914">
        <w:rPr>
          <w:rFonts w:ascii="Times New Roman" w:hAnsi="Times New Roman"/>
          <w:sz w:val="24"/>
          <w:szCs w:val="24"/>
          <w:lang w:eastAsia="zh-CN"/>
        </w:rPr>
        <w:t>(</w:t>
      </w:r>
      <w:r w:rsidRPr="00E67914">
        <w:rPr>
          <w:rFonts w:ascii="Times New Roman" w:hAnsi="Times New Roman"/>
          <w:i/>
          <w:sz w:val="24"/>
          <w:szCs w:val="24"/>
          <w:lang w:eastAsia="zh-CN"/>
        </w:rPr>
        <w:t>Citrus grandis</w:t>
      </w:r>
      <w:r w:rsidRPr="00E67914">
        <w:rPr>
          <w:rFonts w:ascii="Times New Roman" w:hAnsi="Times New Roman"/>
          <w:sz w:val="24"/>
          <w:szCs w:val="24"/>
          <w:lang w:eastAsia="zh-CN"/>
        </w:rPr>
        <w:t>)</w:t>
      </w:r>
      <w:r w:rsidRPr="00E67914">
        <w:rPr>
          <w:rFonts w:ascii="Times New Roman" w:hAnsi="Times New Roman"/>
          <w:sz w:val="24"/>
          <w:szCs w:val="24"/>
          <w:lang w:eastAsia="zh-CN"/>
        </w:rPr>
        <w:t>等经济果树。</w:t>
      </w:r>
    </w:p>
    <w:p w14:paraId="6EC20E67" w14:textId="77777777" w:rsidR="00A54A8A" w:rsidRPr="00E67914" w:rsidRDefault="00000000">
      <w:pPr>
        <w:widowControl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与栽培植被共存的还有各种农田杂草及田间灌草丛，它们在农闲，轮作间歇期，或者农田管理不善时，成为栽培植被的主要替代者，此时即为杂草丛生的农田外貌，杂草以禾本科、菊科、莎草科、豆科、蓼科、唇形科植物为主。常见种类有蜈蚣草、三叶鬼针草、艾蒿、土牛膝、打破碗花花、猪殃殃、反枝苋、问荆、繁缕、蒲公英、土牛膝、毛茛、雀稗、光头稗、狗牙根、牛鞭草、空心莲子草、白花碎米荠、醴肠等。</w:t>
      </w:r>
    </w:p>
    <w:p w14:paraId="3A5312EE" w14:textId="77777777" w:rsidR="00A54A8A" w:rsidRPr="00E67914" w:rsidRDefault="00000000">
      <w:pPr>
        <w:pStyle w:val="41"/>
        <w:adjustRightInd w:val="0"/>
        <w:snapToGrid w:val="0"/>
        <w:spacing w:beforeLines="50" w:before="120" w:line="360" w:lineRule="auto"/>
        <w:ind w:firstLineChars="200" w:firstLine="482"/>
        <w:rPr>
          <w:b/>
          <w:bCs/>
          <w:sz w:val="24"/>
          <w:szCs w:val="24"/>
          <w:lang w:val="de-DE"/>
        </w:rPr>
      </w:pPr>
      <w:r w:rsidRPr="00E67914">
        <w:rPr>
          <w:b/>
          <w:bCs/>
          <w:sz w:val="24"/>
          <w:szCs w:val="24"/>
        </w:rPr>
        <w:t>4</w:t>
      </w:r>
      <w:r w:rsidRPr="00E67914">
        <w:rPr>
          <w:b/>
          <w:bCs/>
          <w:sz w:val="24"/>
          <w:szCs w:val="24"/>
        </w:rPr>
        <w:t>、项目评价范围</w:t>
      </w:r>
      <w:r w:rsidRPr="00E67914">
        <w:rPr>
          <w:b/>
          <w:bCs/>
          <w:sz w:val="24"/>
          <w:szCs w:val="24"/>
          <w:lang w:val="de-DE"/>
        </w:rPr>
        <w:t>植被的基本特征</w:t>
      </w:r>
    </w:p>
    <w:p w14:paraId="200A0FA7" w14:textId="4B3681F1" w:rsidR="00A54A8A" w:rsidRPr="00E67914" w:rsidRDefault="00000000">
      <w:pPr>
        <w:widowControl w:val="0"/>
        <w:spacing w:line="480" w:lineRule="exact"/>
        <w:ind w:firstLineChars="200" w:firstLine="480"/>
        <w:rPr>
          <w:rFonts w:ascii="Times New Roman" w:hAnsi="Times New Roman"/>
          <w:sz w:val="24"/>
          <w:szCs w:val="24"/>
          <w:lang w:val="de-DE" w:eastAsia="zh-CN"/>
        </w:rPr>
      </w:pPr>
      <w:r w:rsidRPr="00E67914">
        <w:rPr>
          <w:rFonts w:ascii="Times New Roman" w:hAnsi="Times New Roman"/>
          <w:sz w:val="24"/>
          <w:szCs w:val="24"/>
          <w:lang w:val="de-DE" w:eastAsia="zh-CN"/>
        </w:rPr>
        <w:t>根据对评价范围进行的植被考察可知区域内植被具有以下特征：</w:t>
      </w:r>
    </w:p>
    <w:p w14:paraId="3D072F51" w14:textId="77777777" w:rsidR="00A54A8A" w:rsidRPr="00E67914" w:rsidRDefault="00000000">
      <w:pPr>
        <w:widowControl w:val="0"/>
        <w:numPr>
          <w:ilvl w:val="0"/>
          <w:numId w:val="5"/>
        </w:numPr>
        <w:spacing w:line="480" w:lineRule="exact"/>
        <w:ind w:firstLineChars="200" w:firstLine="480"/>
        <w:rPr>
          <w:rFonts w:ascii="Times New Roman" w:hAnsi="Times New Roman"/>
          <w:sz w:val="24"/>
          <w:szCs w:val="24"/>
          <w:lang w:eastAsia="zh-CN"/>
        </w:rPr>
      </w:pPr>
      <w:r w:rsidRPr="00E67914">
        <w:rPr>
          <w:rFonts w:ascii="Times New Roman" w:hAnsi="Times New Roman"/>
          <w:sz w:val="24"/>
          <w:szCs w:val="24"/>
          <w:lang w:eastAsia="zh-CN"/>
        </w:rPr>
        <w:t>植被次生性明显</w:t>
      </w:r>
    </w:p>
    <w:p w14:paraId="57AF125D" w14:textId="77777777" w:rsidR="00A54A8A" w:rsidRPr="00E67914" w:rsidRDefault="00000000">
      <w:pPr>
        <w:widowControl w:val="0"/>
        <w:spacing w:line="480" w:lineRule="exact"/>
        <w:ind w:firstLineChars="200" w:firstLine="480"/>
        <w:rPr>
          <w:rFonts w:ascii="Times New Roman" w:hAnsi="Times New Roman"/>
          <w:sz w:val="24"/>
          <w:szCs w:val="24"/>
          <w:lang w:eastAsia="zh-CN"/>
        </w:rPr>
      </w:pPr>
      <w:r w:rsidRPr="00E67914">
        <w:rPr>
          <w:rFonts w:ascii="Times New Roman" w:hAnsi="Times New Roman"/>
          <w:sz w:val="24"/>
          <w:szCs w:val="24"/>
          <w:lang w:eastAsia="zh-CN"/>
        </w:rPr>
        <w:t>评价范围在植被带谱上应为常绿阔叶林类型，但现有的常绿阔叶林面积很少，只有在人烟稀少、田头地角有残存的常绿阔叶林。评价区山体中上部经过近年来的人工造林和封山育林等工程，许多地方已经蔚然成林，多为山地针叶林带或者针叶阔叶混交林带，主要是以马尾松、柏木为主的针叶林植被，以麻栎、青冈、栓皮栎等为主的阔叶林植被带，其群落结构大多具备有乔木、灌木、草本、地衣层，覆盖度基本保持在</w:t>
      </w:r>
      <w:r w:rsidRPr="00E67914">
        <w:rPr>
          <w:rFonts w:ascii="Times New Roman" w:hAnsi="Times New Roman"/>
          <w:sz w:val="24"/>
          <w:szCs w:val="24"/>
          <w:lang w:eastAsia="zh-CN"/>
        </w:rPr>
        <w:t>70%</w:t>
      </w:r>
      <w:r w:rsidRPr="00E67914">
        <w:rPr>
          <w:rFonts w:ascii="Times New Roman" w:hAnsi="Times New Roman"/>
          <w:sz w:val="24"/>
          <w:szCs w:val="24"/>
          <w:lang w:eastAsia="zh-CN"/>
        </w:rPr>
        <w:t>左右。次生灌丛则以野桐、盐肤木、马桑、黄荆、火棘、胡枝子、荚蒾、杨桐、蛇莓、算盘子为主要的优势群</w:t>
      </w:r>
      <w:r w:rsidRPr="00E67914">
        <w:rPr>
          <w:rFonts w:ascii="Times New Roman" w:hAnsi="Times New Roman"/>
          <w:sz w:val="24"/>
          <w:szCs w:val="24"/>
          <w:lang w:eastAsia="zh-CN"/>
        </w:rPr>
        <w:lastRenderedPageBreak/>
        <w:t>落，草本优势种群主要是白茅、五节芒、斑茅、野古草、夏枯草、蛇含委陵草、鸡眼草、芒萁、车轴草。在评价区海拔</w:t>
      </w:r>
      <w:r w:rsidRPr="00E67914">
        <w:rPr>
          <w:rFonts w:ascii="Times New Roman" w:hAnsi="Times New Roman"/>
          <w:sz w:val="24"/>
          <w:szCs w:val="24"/>
          <w:lang w:eastAsia="zh-CN"/>
        </w:rPr>
        <w:t>400m</w:t>
      </w:r>
      <w:r w:rsidRPr="00E67914">
        <w:rPr>
          <w:rFonts w:ascii="Times New Roman" w:hAnsi="Times New Roman"/>
          <w:sz w:val="24"/>
          <w:szCs w:val="24"/>
          <w:lang w:eastAsia="zh-CN"/>
        </w:rPr>
        <w:t>以下、坡度较缓的地带均已毁林开荒种植粮食作物，导致水土流失，自然条件发生变化，农业植被或者荒芜逐渐代替自然植被。</w:t>
      </w:r>
    </w:p>
    <w:p w14:paraId="72604EC0" w14:textId="77777777" w:rsidR="00A54A8A" w:rsidRPr="00E67914" w:rsidRDefault="00000000">
      <w:pPr>
        <w:widowControl w:val="0"/>
        <w:spacing w:line="480" w:lineRule="exact"/>
        <w:ind w:firstLineChars="200" w:firstLine="480"/>
        <w:rPr>
          <w:rFonts w:ascii="Times New Roman" w:hAnsi="Times New Roman"/>
          <w:sz w:val="24"/>
          <w:szCs w:val="24"/>
          <w:lang w:val="de-DE" w:eastAsia="zh-CN"/>
        </w:rPr>
      </w:pPr>
      <w:r w:rsidRPr="00E67914">
        <w:rPr>
          <w:rFonts w:ascii="Times New Roman" w:hAnsi="Times New Roman"/>
          <w:sz w:val="24"/>
          <w:szCs w:val="24"/>
          <w:lang w:val="de-DE" w:eastAsia="zh-CN"/>
        </w:rPr>
        <w:t>地带性常绿阔叶林的消失，使蕴藏其中的大部分珍稀动植物失去生存繁衍的环境，同时，植被的明显次生性，大面积人工种植的针叶林、落叶阔叶林以及次生的灌丛及灌草丛在评价区域的广泛分布，致使区内植被的生态效应的有效性、生物物种的多样性及植被生物量的丰富程度都受到一定的影响。</w:t>
      </w:r>
    </w:p>
    <w:p w14:paraId="73BA1B33" w14:textId="77777777" w:rsidR="00A54A8A" w:rsidRPr="00E67914" w:rsidRDefault="00000000">
      <w:pPr>
        <w:widowControl w:val="0"/>
        <w:spacing w:line="480" w:lineRule="exact"/>
        <w:ind w:firstLineChars="200" w:firstLine="480"/>
        <w:rPr>
          <w:rFonts w:ascii="Times New Roman" w:hAnsi="Times New Roman"/>
          <w:sz w:val="24"/>
          <w:szCs w:val="24"/>
          <w:lang w:val="de-DE" w:eastAsia="zh-CN"/>
        </w:rPr>
      </w:pPr>
      <w:r w:rsidRPr="00E67914">
        <w:rPr>
          <w:rFonts w:ascii="Times New Roman" w:hAnsi="Times New Roman"/>
          <w:sz w:val="24"/>
          <w:szCs w:val="24"/>
          <w:lang w:val="de-DE" w:eastAsia="zh-CN"/>
        </w:rPr>
        <w:t>（</w:t>
      </w:r>
      <w:r w:rsidRPr="00E67914">
        <w:rPr>
          <w:rFonts w:ascii="Times New Roman" w:hAnsi="Times New Roman"/>
          <w:sz w:val="24"/>
          <w:szCs w:val="24"/>
          <w:lang w:eastAsia="zh-CN"/>
        </w:rPr>
        <w:t>2</w:t>
      </w:r>
      <w:r w:rsidRPr="00E67914">
        <w:rPr>
          <w:rFonts w:ascii="Times New Roman" w:hAnsi="Times New Roman"/>
          <w:sz w:val="24"/>
          <w:szCs w:val="24"/>
          <w:lang w:val="de-DE" w:eastAsia="zh-CN"/>
        </w:rPr>
        <w:t>）森林植被覆盖率较低，质量欠佳且分布不均</w:t>
      </w:r>
    </w:p>
    <w:p w14:paraId="45B272AE" w14:textId="77777777" w:rsidR="00A54A8A" w:rsidRPr="00E67914" w:rsidRDefault="00000000">
      <w:pPr>
        <w:widowControl w:val="0"/>
        <w:spacing w:line="480" w:lineRule="exact"/>
        <w:ind w:firstLineChars="200" w:firstLine="480"/>
        <w:rPr>
          <w:rFonts w:ascii="Times New Roman" w:hAnsi="Times New Roman"/>
          <w:sz w:val="24"/>
          <w:szCs w:val="24"/>
          <w:lang w:val="de-DE" w:eastAsia="zh-CN"/>
        </w:rPr>
      </w:pPr>
      <w:r w:rsidRPr="00E67914">
        <w:rPr>
          <w:rFonts w:ascii="Times New Roman" w:hAnsi="Times New Roman"/>
          <w:sz w:val="24"/>
          <w:szCs w:val="24"/>
          <w:lang w:val="de-DE" w:eastAsia="zh-CN"/>
        </w:rPr>
        <w:t>评价范围的森林植被分布较为广泛，但多为人工培育中幼龄林，因此森林蓄积量较低，森林群落的结构简单，郁闭度相对较低，生物量及生产力亦较低，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p>
    <w:p w14:paraId="69E6607D" w14:textId="77777777" w:rsidR="00A54A8A" w:rsidRPr="00E67914" w:rsidRDefault="00000000">
      <w:pPr>
        <w:widowControl w:val="0"/>
        <w:spacing w:line="480" w:lineRule="exact"/>
        <w:ind w:firstLineChars="200" w:firstLine="480"/>
        <w:rPr>
          <w:rFonts w:ascii="Times New Roman" w:hAnsi="Times New Roman"/>
          <w:sz w:val="24"/>
          <w:szCs w:val="24"/>
          <w:lang w:val="de-DE" w:eastAsia="zh-CN"/>
        </w:rPr>
      </w:pPr>
      <w:r w:rsidRPr="00E67914">
        <w:rPr>
          <w:rFonts w:ascii="Times New Roman" w:hAnsi="Times New Roman"/>
          <w:sz w:val="24"/>
          <w:szCs w:val="24"/>
          <w:lang w:val="de-DE" w:eastAsia="zh-CN"/>
        </w:rPr>
        <w:t>（</w:t>
      </w:r>
      <w:r w:rsidRPr="00E67914">
        <w:rPr>
          <w:rFonts w:ascii="Times New Roman" w:hAnsi="Times New Roman"/>
          <w:sz w:val="24"/>
          <w:szCs w:val="24"/>
          <w:lang w:val="de-DE" w:eastAsia="zh-CN"/>
        </w:rPr>
        <w:t>3</w:t>
      </w:r>
      <w:r w:rsidRPr="00E67914">
        <w:rPr>
          <w:rFonts w:ascii="Times New Roman" w:hAnsi="Times New Roman"/>
          <w:sz w:val="24"/>
          <w:szCs w:val="24"/>
          <w:lang w:val="de-DE" w:eastAsia="zh-CN"/>
        </w:rPr>
        <w:t>）人工植被分布广泛，尤其旱地植被占明显优势</w:t>
      </w:r>
    </w:p>
    <w:p w14:paraId="46108F19" w14:textId="52C1B807" w:rsidR="00A54A8A" w:rsidRPr="00E67914" w:rsidRDefault="00000000">
      <w:pPr>
        <w:widowControl w:val="0"/>
        <w:spacing w:line="480" w:lineRule="exact"/>
        <w:ind w:firstLineChars="200" w:firstLine="480"/>
        <w:rPr>
          <w:rFonts w:ascii="Times New Roman" w:hAnsi="Times New Roman"/>
          <w:sz w:val="24"/>
          <w:szCs w:val="24"/>
          <w:lang w:val="de-DE" w:eastAsia="zh-CN"/>
        </w:rPr>
      </w:pPr>
      <w:r w:rsidRPr="00E67914">
        <w:rPr>
          <w:rFonts w:ascii="Times New Roman" w:hAnsi="Times New Roman"/>
          <w:sz w:val="24"/>
          <w:szCs w:val="24"/>
          <w:lang w:val="de-DE" w:eastAsia="zh-CN"/>
        </w:rPr>
        <w:t>评价范围地处川东北中低山区域，土地负荷极大。目前评价范围内有农田</w:t>
      </w:r>
      <w:r w:rsidR="000F36B8" w:rsidRPr="00E67914">
        <w:rPr>
          <w:rFonts w:ascii="Times New Roman" w:hAnsi="Times New Roman"/>
          <w:sz w:val="24"/>
          <w:szCs w:val="24"/>
          <w:lang w:val="de-DE" w:eastAsia="zh-CN"/>
        </w:rPr>
        <w:t>、旱地</w:t>
      </w:r>
      <w:r w:rsidRPr="00E67914">
        <w:rPr>
          <w:rFonts w:ascii="Times New Roman" w:hAnsi="Times New Roman"/>
          <w:sz w:val="24"/>
          <w:szCs w:val="24"/>
          <w:lang w:val="de-DE" w:eastAsia="zh-CN"/>
        </w:rPr>
        <w:t>植被</w:t>
      </w:r>
      <w:r w:rsidR="00BF0040" w:rsidRPr="00E67914">
        <w:rPr>
          <w:rFonts w:ascii="Times New Roman" w:hAnsi="Times New Roman"/>
          <w:sz w:val="24"/>
          <w:szCs w:val="24"/>
          <w:lang w:val="de-DE" w:eastAsia="zh-CN"/>
        </w:rPr>
        <w:t>27.67</w:t>
      </w:r>
      <w:r w:rsidRPr="00E67914">
        <w:rPr>
          <w:rFonts w:ascii="Times New Roman" w:hAnsi="Times New Roman"/>
          <w:sz w:val="24"/>
          <w:szCs w:val="24"/>
          <w:lang w:val="de-DE" w:eastAsia="zh-CN"/>
        </w:rPr>
        <w:t>hm²</w:t>
      </w:r>
      <w:r w:rsidRPr="00E67914">
        <w:rPr>
          <w:rFonts w:ascii="Times New Roman" w:hAnsi="Times New Roman"/>
          <w:sz w:val="24"/>
          <w:szCs w:val="24"/>
          <w:lang w:val="de-DE" w:eastAsia="zh-CN"/>
        </w:rPr>
        <w:t>，约占评价区内土地总面积的</w:t>
      </w:r>
      <w:r w:rsidR="00BF0040" w:rsidRPr="00E67914">
        <w:rPr>
          <w:rFonts w:ascii="Times New Roman" w:hAnsi="Times New Roman"/>
          <w:sz w:val="24"/>
          <w:szCs w:val="24"/>
          <w:lang w:val="de-DE" w:eastAsia="zh-CN"/>
        </w:rPr>
        <w:t>35.27</w:t>
      </w:r>
      <w:r w:rsidRPr="00E67914">
        <w:rPr>
          <w:rFonts w:ascii="Times New Roman" w:hAnsi="Times New Roman"/>
          <w:sz w:val="24"/>
          <w:szCs w:val="24"/>
          <w:lang w:val="de-DE" w:eastAsia="zh-CN"/>
        </w:rPr>
        <w:t>%</w:t>
      </w:r>
      <w:r w:rsidRPr="00E67914">
        <w:rPr>
          <w:rFonts w:ascii="Times New Roman" w:hAnsi="Times New Roman"/>
          <w:sz w:val="24"/>
          <w:szCs w:val="24"/>
          <w:lang w:val="de-DE" w:eastAsia="zh-CN"/>
        </w:rPr>
        <w:t>，即垦殖指数达</w:t>
      </w:r>
      <w:r w:rsidR="00BF0040" w:rsidRPr="00E67914">
        <w:rPr>
          <w:rFonts w:ascii="Times New Roman" w:hAnsi="Times New Roman"/>
          <w:sz w:val="24"/>
          <w:szCs w:val="24"/>
          <w:lang w:val="de-DE" w:eastAsia="zh-CN"/>
        </w:rPr>
        <w:t>35.27</w:t>
      </w:r>
      <w:r w:rsidRPr="00E67914">
        <w:rPr>
          <w:rFonts w:ascii="Times New Roman" w:hAnsi="Times New Roman"/>
          <w:sz w:val="24"/>
          <w:szCs w:val="24"/>
          <w:lang w:val="de-DE" w:eastAsia="zh-CN"/>
        </w:rPr>
        <w:t>%</w:t>
      </w:r>
      <w:r w:rsidRPr="00E67914">
        <w:rPr>
          <w:rFonts w:ascii="Times New Roman" w:hAnsi="Times New Roman"/>
          <w:sz w:val="24"/>
          <w:szCs w:val="24"/>
          <w:lang w:val="de-DE" w:eastAsia="zh-CN"/>
        </w:rPr>
        <w:t>。大面积的农田</w:t>
      </w:r>
      <w:r w:rsidR="00BF0040" w:rsidRPr="00E67914">
        <w:rPr>
          <w:rFonts w:ascii="Times New Roman" w:hAnsi="Times New Roman"/>
          <w:sz w:val="24"/>
          <w:szCs w:val="24"/>
          <w:lang w:val="de-DE" w:eastAsia="zh-CN"/>
        </w:rPr>
        <w:t>、旱地</w:t>
      </w:r>
      <w:r w:rsidRPr="00E67914">
        <w:rPr>
          <w:rFonts w:ascii="Times New Roman" w:hAnsi="Times New Roman"/>
          <w:sz w:val="24"/>
          <w:szCs w:val="24"/>
          <w:lang w:val="de-DE" w:eastAsia="zh-CN"/>
        </w:rPr>
        <w:t>植被对于解决区内人口的粮食、蔬菜等起到了重要作用，但是由于不少旱地是在河谷斜坡和丘陵山地的斜坡面上开垦出来的，这种坡耕旱地在人类长期的翻耕种植下，会加速土壤的侵蚀，使山区生态环境进一步退化。</w:t>
      </w:r>
    </w:p>
    <w:p w14:paraId="044E9D4F"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4.3.5</w:t>
      </w:r>
      <w:r w:rsidRPr="00E67914">
        <w:rPr>
          <w:rFonts w:ascii="Times New Roman" w:eastAsia="黑体" w:hAnsi="Times New Roman"/>
          <w:b w:val="0"/>
          <w:sz w:val="24"/>
          <w:szCs w:val="24"/>
          <w:lang w:eastAsia="zh-CN"/>
        </w:rPr>
        <w:t>评价范围植被生产力和生物量分析</w:t>
      </w:r>
    </w:p>
    <w:p w14:paraId="56F59067" w14:textId="77777777" w:rsidR="00A54A8A" w:rsidRPr="00E67914" w:rsidRDefault="00000000">
      <w:pPr>
        <w:widowControl w:val="0"/>
        <w:spacing w:line="480" w:lineRule="exact"/>
        <w:ind w:firstLineChars="200" w:firstLine="482"/>
        <w:rPr>
          <w:rFonts w:ascii="Times New Roman" w:hAnsi="Times New Roman"/>
          <w:b/>
          <w:bCs/>
          <w:sz w:val="24"/>
          <w:szCs w:val="24"/>
          <w:lang w:val="de-DE" w:eastAsia="zh-CN"/>
        </w:rPr>
      </w:pPr>
      <w:r w:rsidRPr="00E67914">
        <w:rPr>
          <w:rFonts w:ascii="Times New Roman" w:hAnsi="Times New Roman"/>
          <w:b/>
          <w:bCs/>
          <w:sz w:val="24"/>
          <w:szCs w:val="24"/>
          <w:lang w:val="de-DE"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val="de-DE" w:eastAsia="zh-CN"/>
        </w:rPr>
        <w:t>）土地自然生产力估算</w:t>
      </w:r>
    </w:p>
    <w:p w14:paraId="25B19BCE" w14:textId="77777777" w:rsidR="00A54A8A" w:rsidRPr="00E67914" w:rsidRDefault="00000000">
      <w:pPr>
        <w:widowControl w:val="0"/>
        <w:spacing w:line="480" w:lineRule="exact"/>
        <w:ind w:firstLineChars="200" w:firstLine="480"/>
        <w:rPr>
          <w:rFonts w:ascii="Times New Roman" w:hAnsi="Times New Roman"/>
          <w:sz w:val="24"/>
          <w:szCs w:val="24"/>
          <w:lang w:val="de-DE" w:eastAsia="zh-CN"/>
        </w:rPr>
      </w:pPr>
      <w:r w:rsidRPr="00E67914">
        <w:rPr>
          <w:rFonts w:ascii="Times New Roman" w:hAnsi="Times New Roman"/>
          <w:sz w:val="24"/>
          <w:szCs w:val="24"/>
          <w:lang w:val="de-DE" w:eastAsia="zh-CN"/>
        </w:rPr>
        <w:t>采用</w:t>
      </w:r>
      <w:r w:rsidRPr="00E67914">
        <w:rPr>
          <w:rFonts w:ascii="Times New Roman" w:hAnsi="Times New Roman"/>
          <w:sz w:val="24"/>
          <w:szCs w:val="24"/>
          <w:lang w:val="de-DE" w:eastAsia="zh-CN"/>
        </w:rPr>
        <w:t>H.lieth</w:t>
      </w:r>
      <w:r w:rsidRPr="00E67914">
        <w:rPr>
          <w:rFonts w:ascii="Times New Roman" w:hAnsi="Times New Roman"/>
          <w:sz w:val="24"/>
          <w:szCs w:val="24"/>
          <w:lang w:val="de-DE" w:eastAsia="zh-CN"/>
        </w:rPr>
        <w:t>生物生产力经验公式计算项目区域土地自然生产力：</w:t>
      </w:r>
    </w:p>
    <w:p w14:paraId="29B30641" w14:textId="77777777" w:rsidR="00A54A8A" w:rsidRPr="00E67914" w:rsidRDefault="00000000">
      <w:pPr>
        <w:jc w:val="center"/>
        <w:rPr>
          <w:rFonts w:ascii="Times New Roman" w:hAnsi="Times New Roman"/>
        </w:rPr>
      </w:pPr>
      <w:r w:rsidRPr="00E67914">
        <w:rPr>
          <w:rFonts w:ascii="Times New Roman" w:hAnsi="Times New Roman"/>
          <w:position w:val="-26"/>
        </w:rPr>
        <w:object w:dxaOrig="2622" w:dyaOrig="720" w14:anchorId="39C431ED">
          <v:shape id="_x0000_i1027" type="#_x0000_t75" style="width:130.85pt;height:36.3pt" o:ole="">
            <v:imagedata r:id="rId57" o:title=""/>
          </v:shape>
          <o:OLEObject Type="Embed" ProgID="Equation.3" ShapeID="_x0000_i1027" DrawAspect="Content" ObjectID="_1759298085" r:id="rId58"/>
        </w:object>
      </w:r>
    </w:p>
    <w:p w14:paraId="6AE21534" w14:textId="77777777" w:rsidR="00A54A8A" w:rsidRPr="00E67914" w:rsidRDefault="00000000">
      <w:pPr>
        <w:jc w:val="center"/>
        <w:rPr>
          <w:rFonts w:ascii="Times New Roman" w:hAnsi="Times New Roman"/>
        </w:rPr>
      </w:pPr>
      <w:r w:rsidRPr="00E67914">
        <w:rPr>
          <w:rFonts w:ascii="Times New Roman" w:hAnsi="Times New Roman"/>
          <w:position w:val="-10"/>
        </w:rPr>
        <w:object w:dxaOrig="2975" w:dyaOrig="435" w14:anchorId="70DCE76B">
          <v:shape id="_x0000_i1028" type="#_x0000_t75" style="width:148.4pt;height:21.9pt" o:ole="">
            <v:imagedata r:id="rId59" o:title=""/>
          </v:shape>
          <o:OLEObject Type="Embed" ProgID="Equation.3" ShapeID="_x0000_i1028" DrawAspect="Content" ObjectID="_1759298086" r:id="rId60"/>
        </w:object>
      </w:r>
    </w:p>
    <w:p w14:paraId="4E0B8FF6" w14:textId="77777777" w:rsidR="00A54A8A" w:rsidRPr="00E67914" w:rsidRDefault="00000000">
      <w:pPr>
        <w:widowControl w:val="0"/>
        <w:spacing w:line="480" w:lineRule="exact"/>
        <w:rPr>
          <w:rFonts w:ascii="Times New Roman" w:hAnsi="Times New Roman"/>
          <w:sz w:val="24"/>
          <w:szCs w:val="24"/>
          <w:lang w:eastAsia="zh-CN"/>
        </w:rPr>
      </w:pPr>
      <w:r w:rsidRPr="00E67914">
        <w:rPr>
          <w:rFonts w:ascii="Times New Roman" w:hAnsi="Times New Roman"/>
          <w:sz w:val="24"/>
          <w:szCs w:val="24"/>
          <w:lang w:val="de-DE" w:eastAsia="zh-CN"/>
        </w:rPr>
        <w:t>式中：</w:t>
      </w:r>
      <w:r w:rsidRPr="00E67914">
        <w:rPr>
          <w:rFonts w:ascii="Times New Roman" w:hAnsi="Times New Roman"/>
          <w:sz w:val="24"/>
          <w:szCs w:val="24"/>
          <w:lang w:val="de-DE" w:eastAsia="zh-CN"/>
        </w:rPr>
        <w:t>Y1——</w:t>
      </w:r>
      <w:r w:rsidRPr="00E67914">
        <w:rPr>
          <w:rFonts w:ascii="Times New Roman" w:hAnsi="Times New Roman"/>
          <w:sz w:val="24"/>
          <w:szCs w:val="24"/>
          <w:lang w:val="de-DE" w:eastAsia="zh-CN"/>
        </w:rPr>
        <w:t>根据年均温度（</w:t>
      </w:r>
      <w:r w:rsidRPr="00E67914">
        <w:rPr>
          <w:rFonts w:ascii="Times New Roman" w:hAnsi="Times New Roman"/>
          <w:sz w:val="24"/>
          <w:szCs w:val="24"/>
          <w:lang w:val="de-DE" w:eastAsia="zh-CN"/>
        </w:rPr>
        <w:t>t</w:t>
      </w:r>
      <w:r w:rsidRPr="00E67914">
        <w:rPr>
          <w:rFonts w:ascii="Times New Roman" w:hAnsi="Times New Roman"/>
          <w:sz w:val="24"/>
          <w:szCs w:val="24"/>
          <w:lang w:val="de-DE" w:eastAsia="zh-CN"/>
        </w:rPr>
        <w:t>）估算的热量</w:t>
      </w:r>
      <w:r w:rsidRPr="00E67914">
        <w:rPr>
          <w:rFonts w:ascii="Times New Roman" w:hAnsi="Times New Roman"/>
          <w:sz w:val="24"/>
          <w:szCs w:val="24"/>
          <w:lang w:eastAsia="zh-CN"/>
        </w:rPr>
        <w:t>生产力（</w:t>
      </w:r>
      <w:r w:rsidRPr="00E67914">
        <w:rPr>
          <w:rFonts w:ascii="Times New Roman" w:hAnsi="Times New Roman"/>
          <w:sz w:val="24"/>
          <w:szCs w:val="24"/>
          <w:lang w:eastAsia="zh-CN"/>
        </w:rPr>
        <w:t>g/m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w:t>
      </w:r>
    </w:p>
    <w:p w14:paraId="2C9EA8A2" w14:textId="77777777" w:rsidR="00A54A8A" w:rsidRPr="00E67914" w:rsidRDefault="00000000">
      <w:pPr>
        <w:widowControl w:val="0"/>
        <w:spacing w:line="480" w:lineRule="exact"/>
        <w:ind w:firstLineChars="300" w:firstLine="720"/>
        <w:rPr>
          <w:rFonts w:ascii="Times New Roman" w:hAnsi="Times New Roman"/>
          <w:sz w:val="24"/>
          <w:szCs w:val="24"/>
          <w:lang w:eastAsia="zh-CN"/>
        </w:rPr>
      </w:pPr>
      <w:bookmarkStart w:id="126" w:name="_Toc295312489"/>
      <w:r w:rsidRPr="00E67914">
        <w:rPr>
          <w:rFonts w:ascii="Times New Roman" w:hAnsi="Times New Roman"/>
          <w:i/>
          <w:sz w:val="24"/>
          <w:szCs w:val="24"/>
          <w:lang w:eastAsia="zh-CN"/>
        </w:rPr>
        <w:lastRenderedPageBreak/>
        <w:t>Y</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w:t>
      </w:r>
      <w:r w:rsidRPr="00E67914">
        <w:rPr>
          <w:rFonts w:ascii="Times New Roman" w:hAnsi="Times New Roman"/>
          <w:sz w:val="24"/>
          <w:szCs w:val="24"/>
          <w:lang w:eastAsia="zh-CN"/>
        </w:rPr>
        <w:t>根据年降水量（</w:t>
      </w:r>
      <w:r w:rsidRPr="00E67914">
        <w:rPr>
          <w:rFonts w:ascii="Times New Roman" w:hAnsi="Times New Roman"/>
          <w:i/>
          <w:sz w:val="24"/>
          <w:szCs w:val="24"/>
          <w:lang w:eastAsia="zh-CN"/>
        </w:rPr>
        <w:t>p</w:t>
      </w:r>
      <w:r w:rsidRPr="00E67914">
        <w:rPr>
          <w:rFonts w:ascii="Times New Roman" w:hAnsi="Times New Roman"/>
          <w:sz w:val="24"/>
          <w:szCs w:val="24"/>
          <w:lang w:eastAsia="zh-CN"/>
        </w:rPr>
        <w:t>，</w:t>
      </w:r>
      <w:r w:rsidRPr="00E67914">
        <w:rPr>
          <w:rFonts w:ascii="Times New Roman" w:hAnsi="Times New Roman"/>
          <w:sz w:val="24"/>
          <w:szCs w:val="24"/>
          <w:lang w:eastAsia="zh-CN"/>
        </w:rPr>
        <w:t>mm</w:t>
      </w:r>
      <w:r w:rsidRPr="00E67914">
        <w:rPr>
          <w:rFonts w:ascii="Times New Roman" w:hAnsi="Times New Roman"/>
          <w:sz w:val="24"/>
          <w:szCs w:val="24"/>
          <w:lang w:eastAsia="zh-CN"/>
        </w:rPr>
        <w:t>）估算的水分生产力（</w:t>
      </w:r>
      <w:r w:rsidRPr="00E67914">
        <w:rPr>
          <w:rFonts w:ascii="Times New Roman" w:hAnsi="Times New Roman"/>
          <w:sz w:val="24"/>
          <w:szCs w:val="24"/>
          <w:lang w:eastAsia="zh-CN"/>
        </w:rPr>
        <w:t>g/m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w:t>
      </w:r>
      <w:bookmarkEnd w:id="126"/>
    </w:p>
    <w:p w14:paraId="5DB827A4" w14:textId="77777777" w:rsidR="00A54A8A" w:rsidRPr="00E67914" w:rsidRDefault="00000000">
      <w:pPr>
        <w:widowControl w:val="0"/>
        <w:spacing w:line="480" w:lineRule="exact"/>
        <w:ind w:firstLineChars="200" w:firstLine="480"/>
        <w:rPr>
          <w:rFonts w:ascii="Times New Roman" w:hAnsi="Times New Roman"/>
          <w:sz w:val="24"/>
          <w:szCs w:val="24"/>
          <w:lang w:val="de-DE" w:eastAsia="zh-CN"/>
        </w:rPr>
      </w:pPr>
      <w:r w:rsidRPr="00E67914">
        <w:rPr>
          <w:rFonts w:ascii="Times New Roman" w:hAnsi="Times New Roman"/>
          <w:sz w:val="24"/>
          <w:szCs w:val="24"/>
          <w:lang w:val="de-DE" w:eastAsia="zh-CN"/>
        </w:rPr>
        <w:t>评价范围地貌类型以中低山为主，区内气候在垂直及水平方向的变化都较小，土地自然生产力计算结果如下表所示：</w:t>
      </w:r>
    </w:p>
    <w:p w14:paraId="7CD5A1C8" w14:textId="5D25868B"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w:t>
      </w:r>
      <w:r w:rsidR="008752B7" w:rsidRPr="00E67914">
        <w:rPr>
          <w:rFonts w:ascii="Times New Roman" w:eastAsia="黑体" w:hAnsi="Times New Roman"/>
          <w:sz w:val="21"/>
          <w:szCs w:val="21"/>
          <w:lang w:eastAsia="zh-CN"/>
        </w:rPr>
        <w:t>9</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评价范围土地自然生产力计算表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1135"/>
        <w:gridCol w:w="1792"/>
        <w:gridCol w:w="1791"/>
        <w:gridCol w:w="1791"/>
        <w:gridCol w:w="1791"/>
      </w:tblGrid>
      <w:tr w:rsidR="00E67914" w:rsidRPr="00E67914" w14:paraId="7A767587" w14:textId="77777777">
        <w:trPr>
          <w:trHeight w:val="855"/>
          <w:jc w:val="center"/>
        </w:trPr>
        <w:tc>
          <w:tcPr>
            <w:tcW w:w="683" w:type="pct"/>
            <w:vAlign w:val="center"/>
          </w:tcPr>
          <w:p w14:paraId="2AAC6261" w14:textId="77777777" w:rsidR="00A54A8A" w:rsidRPr="00E67914" w:rsidRDefault="00000000">
            <w:pPr>
              <w:pStyle w:val="afff3"/>
              <w:rPr>
                <w:sz w:val="21"/>
                <w:szCs w:val="21"/>
              </w:rPr>
            </w:pPr>
            <w:r w:rsidRPr="00E67914">
              <w:rPr>
                <w:sz w:val="21"/>
                <w:szCs w:val="21"/>
              </w:rPr>
              <w:t>区域</w:t>
            </w:r>
          </w:p>
        </w:tc>
        <w:tc>
          <w:tcPr>
            <w:tcW w:w="1079" w:type="pct"/>
            <w:vAlign w:val="center"/>
          </w:tcPr>
          <w:p w14:paraId="3246EC4B" w14:textId="77777777" w:rsidR="00A54A8A" w:rsidRPr="00E67914" w:rsidRDefault="00000000">
            <w:pPr>
              <w:pStyle w:val="afff3"/>
              <w:rPr>
                <w:sz w:val="21"/>
                <w:szCs w:val="21"/>
              </w:rPr>
            </w:pPr>
            <w:r w:rsidRPr="00E67914">
              <w:rPr>
                <w:sz w:val="21"/>
                <w:szCs w:val="21"/>
              </w:rPr>
              <w:t>多年平均气温</w:t>
            </w:r>
          </w:p>
          <w:p w14:paraId="65E3D6E8" w14:textId="77777777" w:rsidR="00A54A8A" w:rsidRPr="00E67914" w:rsidRDefault="00000000">
            <w:pPr>
              <w:pStyle w:val="afff3"/>
              <w:rPr>
                <w:sz w:val="21"/>
                <w:szCs w:val="21"/>
              </w:rPr>
            </w:pPr>
            <w:r w:rsidRPr="00E67914">
              <w:rPr>
                <w:sz w:val="21"/>
                <w:szCs w:val="21"/>
              </w:rPr>
              <w:t>（</w:t>
            </w:r>
            <w:r w:rsidRPr="00E67914">
              <w:rPr>
                <w:sz w:val="21"/>
                <w:szCs w:val="21"/>
              </w:rPr>
              <w:t>℃</w:t>
            </w:r>
            <w:r w:rsidRPr="00E67914">
              <w:rPr>
                <w:sz w:val="21"/>
                <w:szCs w:val="21"/>
              </w:rPr>
              <w:t>）</w:t>
            </w:r>
          </w:p>
        </w:tc>
        <w:tc>
          <w:tcPr>
            <w:tcW w:w="1079" w:type="pct"/>
            <w:vAlign w:val="center"/>
          </w:tcPr>
          <w:p w14:paraId="70B85E11" w14:textId="77777777" w:rsidR="00A54A8A" w:rsidRPr="00E67914" w:rsidRDefault="00000000">
            <w:pPr>
              <w:pStyle w:val="afff3"/>
              <w:rPr>
                <w:sz w:val="21"/>
                <w:szCs w:val="21"/>
              </w:rPr>
            </w:pPr>
            <w:r w:rsidRPr="00E67914">
              <w:rPr>
                <w:sz w:val="21"/>
                <w:szCs w:val="21"/>
              </w:rPr>
              <w:t>多年平均降水量</w:t>
            </w:r>
          </w:p>
          <w:p w14:paraId="6BFD9F92" w14:textId="77777777" w:rsidR="00A54A8A" w:rsidRPr="00E67914" w:rsidRDefault="00000000">
            <w:pPr>
              <w:pStyle w:val="afff3"/>
              <w:rPr>
                <w:sz w:val="21"/>
                <w:szCs w:val="21"/>
              </w:rPr>
            </w:pPr>
            <w:r w:rsidRPr="00E67914">
              <w:rPr>
                <w:sz w:val="21"/>
                <w:szCs w:val="21"/>
              </w:rPr>
              <w:t>（</w:t>
            </w:r>
            <w:r w:rsidRPr="00E67914">
              <w:rPr>
                <w:sz w:val="21"/>
                <w:szCs w:val="21"/>
              </w:rPr>
              <w:t>mm</w:t>
            </w:r>
            <w:r w:rsidRPr="00E67914">
              <w:rPr>
                <w:sz w:val="21"/>
                <w:szCs w:val="21"/>
              </w:rPr>
              <w:t>）</w:t>
            </w:r>
          </w:p>
        </w:tc>
        <w:tc>
          <w:tcPr>
            <w:tcW w:w="1079" w:type="pct"/>
            <w:vAlign w:val="center"/>
          </w:tcPr>
          <w:p w14:paraId="7BDF855E" w14:textId="77777777" w:rsidR="00A54A8A" w:rsidRPr="00E67914" w:rsidRDefault="00000000">
            <w:pPr>
              <w:pStyle w:val="afff3"/>
              <w:rPr>
                <w:sz w:val="21"/>
                <w:szCs w:val="21"/>
              </w:rPr>
            </w:pPr>
            <w:r w:rsidRPr="00E67914">
              <w:rPr>
                <w:sz w:val="21"/>
                <w:szCs w:val="21"/>
              </w:rPr>
              <w:t>热量生产力</w:t>
            </w:r>
          </w:p>
          <w:p w14:paraId="490C658D" w14:textId="77777777" w:rsidR="00A54A8A" w:rsidRPr="00E67914" w:rsidRDefault="00000000">
            <w:pPr>
              <w:pStyle w:val="afff3"/>
              <w:rPr>
                <w:sz w:val="21"/>
                <w:szCs w:val="21"/>
              </w:rPr>
            </w:pPr>
            <w:r w:rsidRPr="00E67914">
              <w:rPr>
                <w:sz w:val="21"/>
                <w:szCs w:val="21"/>
              </w:rPr>
              <w:t>（</w:t>
            </w:r>
            <w:r w:rsidRPr="00E67914">
              <w:rPr>
                <w:sz w:val="21"/>
                <w:szCs w:val="21"/>
              </w:rPr>
              <w:t>g/m</w:t>
            </w:r>
            <w:r w:rsidRPr="00E67914">
              <w:rPr>
                <w:sz w:val="21"/>
                <w:szCs w:val="21"/>
                <w:vertAlign w:val="superscript"/>
              </w:rPr>
              <w:t>2</w:t>
            </w:r>
            <w:r w:rsidRPr="00E67914">
              <w:rPr>
                <w:sz w:val="21"/>
                <w:szCs w:val="21"/>
              </w:rPr>
              <w:t>·a</w:t>
            </w:r>
            <w:r w:rsidRPr="00E67914">
              <w:rPr>
                <w:sz w:val="21"/>
                <w:szCs w:val="21"/>
              </w:rPr>
              <w:t>）</w:t>
            </w:r>
          </w:p>
        </w:tc>
        <w:tc>
          <w:tcPr>
            <w:tcW w:w="1079" w:type="pct"/>
            <w:vAlign w:val="center"/>
          </w:tcPr>
          <w:p w14:paraId="7BA0BC8B" w14:textId="77777777" w:rsidR="00A54A8A" w:rsidRPr="00E67914" w:rsidRDefault="00000000">
            <w:pPr>
              <w:pStyle w:val="afff3"/>
              <w:rPr>
                <w:sz w:val="21"/>
                <w:szCs w:val="21"/>
              </w:rPr>
            </w:pPr>
            <w:r w:rsidRPr="00E67914">
              <w:rPr>
                <w:sz w:val="21"/>
                <w:szCs w:val="21"/>
              </w:rPr>
              <w:t>水分生产力</w:t>
            </w:r>
          </w:p>
          <w:p w14:paraId="606E1708" w14:textId="77777777" w:rsidR="00A54A8A" w:rsidRPr="00E67914" w:rsidRDefault="00000000">
            <w:pPr>
              <w:pStyle w:val="afff3"/>
              <w:rPr>
                <w:sz w:val="21"/>
                <w:szCs w:val="21"/>
              </w:rPr>
            </w:pPr>
            <w:r w:rsidRPr="00E67914">
              <w:rPr>
                <w:sz w:val="21"/>
                <w:szCs w:val="21"/>
              </w:rPr>
              <w:t>（</w:t>
            </w:r>
            <w:r w:rsidRPr="00E67914">
              <w:rPr>
                <w:sz w:val="21"/>
                <w:szCs w:val="21"/>
              </w:rPr>
              <w:t>g/m</w:t>
            </w:r>
            <w:r w:rsidRPr="00E67914">
              <w:rPr>
                <w:sz w:val="21"/>
                <w:szCs w:val="21"/>
                <w:vertAlign w:val="superscript"/>
              </w:rPr>
              <w:t>2</w:t>
            </w:r>
            <w:r w:rsidRPr="00E67914">
              <w:rPr>
                <w:sz w:val="21"/>
                <w:szCs w:val="21"/>
              </w:rPr>
              <w:t>·a</w:t>
            </w:r>
            <w:r w:rsidRPr="00E67914">
              <w:rPr>
                <w:sz w:val="21"/>
                <w:szCs w:val="21"/>
              </w:rPr>
              <w:t>）</w:t>
            </w:r>
          </w:p>
        </w:tc>
      </w:tr>
      <w:tr w:rsidR="00E67914" w:rsidRPr="00E67914" w14:paraId="7415250E" w14:textId="77777777">
        <w:trPr>
          <w:trHeight w:val="476"/>
          <w:jc w:val="center"/>
        </w:trPr>
        <w:tc>
          <w:tcPr>
            <w:tcW w:w="683" w:type="pct"/>
            <w:vAlign w:val="center"/>
          </w:tcPr>
          <w:p w14:paraId="2D87C444" w14:textId="77777777" w:rsidR="00A54A8A" w:rsidRPr="00E67914" w:rsidRDefault="00000000">
            <w:pPr>
              <w:pStyle w:val="afff3"/>
              <w:rPr>
                <w:sz w:val="21"/>
                <w:szCs w:val="21"/>
              </w:rPr>
            </w:pPr>
            <w:r w:rsidRPr="00E67914">
              <w:rPr>
                <w:sz w:val="21"/>
                <w:szCs w:val="21"/>
              </w:rPr>
              <w:t>宣汉县</w:t>
            </w:r>
          </w:p>
        </w:tc>
        <w:tc>
          <w:tcPr>
            <w:tcW w:w="1079" w:type="pct"/>
            <w:vAlign w:val="center"/>
          </w:tcPr>
          <w:p w14:paraId="4C8120DF" w14:textId="77777777" w:rsidR="00A54A8A" w:rsidRPr="00E67914" w:rsidRDefault="00000000">
            <w:pPr>
              <w:pStyle w:val="afff3"/>
              <w:rPr>
                <w:sz w:val="21"/>
                <w:szCs w:val="21"/>
              </w:rPr>
            </w:pPr>
            <w:r w:rsidRPr="00E67914">
              <w:rPr>
                <w:sz w:val="21"/>
                <w:szCs w:val="21"/>
              </w:rPr>
              <w:t>16.8</w:t>
            </w:r>
          </w:p>
        </w:tc>
        <w:tc>
          <w:tcPr>
            <w:tcW w:w="1079" w:type="pct"/>
            <w:vAlign w:val="center"/>
          </w:tcPr>
          <w:p w14:paraId="10D6DF62" w14:textId="77777777" w:rsidR="00A54A8A" w:rsidRPr="00E67914" w:rsidRDefault="00000000">
            <w:pPr>
              <w:pStyle w:val="afff3"/>
              <w:rPr>
                <w:sz w:val="21"/>
                <w:szCs w:val="21"/>
              </w:rPr>
            </w:pPr>
            <w:r w:rsidRPr="00E67914">
              <w:rPr>
                <w:sz w:val="21"/>
                <w:szCs w:val="21"/>
              </w:rPr>
              <w:t>1132.69</w:t>
            </w:r>
          </w:p>
        </w:tc>
        <w:tc>
          <w:tcPr>
            <w:tcW w:w="1079" w:type="pct"/>
            <w:vAlign w:val="center"/>
          </w:tcPr>
          <w:p w14:paraId="1E447A4F" w14:textId="77777777" w:rsidR="00A54A8A" w:rsidRPr="00E67914" w:rsidRDefault="00000000">
            <w:pPr>
              <w:pStyle w:val="afff3"/>
              <w:rPr>
                <w:sz w:val="21"/>
                <w:szCs w:val="21"/>
              </w:rPr>
            </w:pPr>
            <w:r w:rsidRPr="00E67914">
              <w:rPr>
                <w:sz w:val="21"/>
                <w:szCs w:val="21"/>
              </w:rPr>
              <w:t>1994.03</w:t>
            </w:r>
          </w:p>
        </w:tc>
        <w:tc>
          <w:tcPr>
            <w:tcW w:w="1079" w:type="pct"/>
            <w:vAlign w:val="center"/>
          </w:tcPr>
          <w:p w14:paraId="4414FC05" w14:textId="77777777" w:rsidR="00A54A8A" w:rsidRPr="00E67914" w:rsidRDefault="00000000">
            <w:pPr>
              <w:pStyle w:val="afff3"/>
              <w:rPr>
                <w:sz w:val="21"/>
                <w:szCs w:val="21"/>
              </w:rPr>
            </w:pPr>
            <w:r w:rsidRPr="00E67914">
              <w:rPr>
                <w:sz w:val="21"/>
                <w:szCs w:val="21"/>
              </w:rPr>
              <w:t>1585.88</w:t>
            </w:r>
          </w:p>
        </w:tc>
      </w:tr>
    </w:tbl>
    <w:p w14:paraId="6A3B70BC" w14:textId="481DAEF0" w:rsidR="00A54A8A" w:rsidRPr="00E67914" w:rsidRDefault="00000000">
      <w:pPr>
        <w:widowControl w:val="0"/>
        <w:spacing w:line="480" w:lineRule="exact"/>
        <w:ind w:firstLineChars="300" w:firstLine="720"/>
        <w:rPr>
          <w:rFonts w:ascii="Times New Roman" w:hAnsi="Times New Roman"/>
          <w:sz w:val="24"/>
          <w:szCs w:val="24"/>
          <w:lang w:eastAsia="zh-CN"/>
        </w:rPr>
      </w:pPr>
      <w:r w:rsidRPr="00E67914">
        <w:rPr>
          <w:rFonts w:ascii="Times New Roman" w:hAnsi="Times New Roman"/>
          <w:sz w:val="24"/>
          <w:szCs w:val="24"/>
          <w:lang w:eastAsia="zh-CN"/>
        </w:rPr>
        <w:t>从表</w:t>
      </w:r>
      <w:r w:rsidRPr="00E67914">
        <w:rPr>
          <w:rFonts w:ascii="Times New Roman" w:hAnsi="Times New Roman"/>
          <w:sz w:val="24"/>
          <w:szCs w:val="24"/>
          <w:lang w:eastAsia="zh-CN"/>
        </w:rPr>
        <w:t>4.3-</w:t>
      </w:r>
      <w:r w:rsidR="008752B7" w:rsidRPr="00E67914">
        <w:rPr>
          <w:rFonts w:ascii="Times New Roman" w:hAnsi="Times New Roman"/>
          <w:sz w:val="24"/>
          <w:szCs w:val="24"/>
          <w:lang w:eastAsia="zh-CN"/>
        </w:rPr>
        <w:t>9</w:t>
      </w:r>
      <w:r w:rsidRPr="00E67914">
        <w:rPr>
          <w:rFonts w:ascii="Times New Roman" w:hAnsi="Times New Roman"/>
          <w:sz w:val="24"/>
          <w:szCs w:val="24"/>
          <w:lang w:eastAsia="zh-CN"/>
        </w:rPr>
        <w:t>可以看出，项目区域热量条件充足，水分条件不足，土地自然生产力受水分条件限制，根据项目区域降水量计算得出土地自然生产力为</w:t>
      </w:r>
      <w:r w:rsidRPr="00E67914">
        <w:rPr>
          <w:rFonts w:ascii="Times New Roman" w:hAnsi="Times New Roman"/>
          <w:sz w:val="24"/>
          <w:szCs w:val="24"/>
          <w:lang w:eastAsia="zh-CN"/>
        </w:rPr>
        <w:t>1585.88gc/m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w:t>
      </w:r>
    </w:p>
    <w:p w14:paraId="0560D6CF" w14:textId="77777777" w:rsidR="00A54A8A" w:rsidRPr="00E67914" w:rsidRDefault="00000000">
      <w:pPr>
        <w:widowControl w:val="0"/>
        <w:spacing w:line="480" w:lineRule="exact"/>
        <w:ind w:firstLineChars="200" w:firstLine="482"/>
        <w:rPr>
          <w:rFonts w:ascii="Times New Roman" w:hAnsi="Times New Roman"/>
          <w:b/>
          <w:bCs/>
          <w:sz w:val="24"/>
          <w:szCs w:val="24"/>
          <w:lang w:val="de-DE" w:eastAsia="zh-CN"/>
        </w:rPr>
      </w:pPr>
      <w:r w:rsidRPr="00E67914">
        <w:rPr>
          <w:rFonts w:ascii="Times New Roman" w:hAnsi="Times New Roman"/>
          <w:b/>
          <w:bCs/>
          <w:sz w:val="24"/>
          <w:szCs w:val="24"/>
          <w:lang w:val="de-DE" w:eastAsia="zh-CN"/>
        </w:rPr>
        <w:t>（</w:t>
      </w:r>
      <w:r w:rsidRPr="00E67914">
        <w:rPr>
          <w:rFonts w:ascii="Times New Roman" w:hAnsi="Times New Roman"/>
          <w:b/>
          <w:bCs/>
          <w:sz w:val="24"/>
          <w:szCs w:val="24"/>
          <w:lang w:eastAsia="zh-CN"/>
        </w:rPr>
        <w:t>2</w:t>
      </w:r>
      <w:r w:rsidRPr="00E67914">
        <w:rPr>
          <w:rFonts w:ascii="Times New Roman" w:hAnsi="Times New Roman"/>
          <w:b/>
          <w:bCs/>
          <w:sz w:val="24"/>
          <w:szCs w:val="24"/>
          <w:lang w:val="de-DE" w:eastAsia="zh-CN"/>
        </w:rPr>
        <w:t>）植被生产力现状评价</w:t>
      </w:r>
    </w:p>
    <w:p w14:paraId="6F1D7600" w14:textId="77777777" w:rsidR="00A54A8A" w:rsidRPr="00E67914" w:rsidRDefault="00000000">
      <w:pPr>
        <w:widowControl w:val="0"/>
        <w:spacing w:line="480" w:lineRule="exact"/>
        <w:ind w:firstLine="480"/>
        <w:rPr>
          <w:rFonts w:ascii="Times New Roman" w:hAnsi="Times New Roman"/>
          <w:sz w:val="24"/>
          <w:szCs w:val="24"/>
          <w:lang w:eastAsia="zh-CN"/>
        </w:rPr>
      </w:pPr>
      <w:r w:rsidRPr="00E67914">
        <w:rPr>
          <w:rFonts w:ascii="Times New Roman" w:hAnsi="Times New Roman"/>
          <w:sz w:val="24"/>
          <w:szCs w:val="24"/>
          <w:lang w:eastAsia="zh-CN"/>
        </w:rPr>
        <w:t>植被既是重要的自然资源，又是自然条件（如地质、地貌、气候、土壤等）和人类开发利用资源状况的综合反映，植被作为陆地生物圈的主体，在生态系统中的作用也日益受到重视，尤其是对生态系统变化及稳定起决定性作用。植被净初级生产力（</w:t>
      </w:r>
      <w:r w:rsidRPr="00E67914">
        <w:rPr>
          <w:rFonts w:ascii="Times New Roman" w:hAnsi="Times New Roman"/>
          <w:sz w:val="24"/>
          <w:szCs w:val="24"/>
          <w:lang w:eastAsia="zh-CN"/>
        </w:rPr>
        <w:t>NPP</w:t>
      </w:r>
      <w:r w:rsidRPr="00E67914">
        <w:rPr>
          <w:rFonts w:ascii="Times New Roman" w:hAnsi="Times New Roman"/>
          <w:sz w:val="24"/>
          <w:szCs w:val="24"/>
          <w:lang w:eastAsia="zh-CN"/>
        </w:rPr>
        <w:t>）指绿色植物在单位时间和单位面积上所积累的有机干物质总量，它不仅是表征植物活动的重要变量，而且是判定生态系统碳汇和调节生态过程的主要因子，它直接反映植物群落在自然环境条件下的生产能力，也是生态现状质量评价的重要参数。在对评价区进行自然体系生产力评价中，数据主要来源于卫片解译，实地勘察、收集的现状资料（包括项目所在区域生态环境调查成果，各类环境信息图件及统计资料等），并采用了国内关于自然生态系统生产力和植被生物量的研究成果进行分析。</w:t>
      </w:r>
    </w:p>
    <w:p w14:paraId="5844BDAF" w14:textId="77777777" w:rsidR="00A54A8A" w:rsidRPr="00E67914" w:rsidRDefault="00000000">
      <w:pPr>
        <w:widowControl w:val="0"/>
        <w:spacing w:line="480" w:lineRule="exact"/>
        <w:ind w:firstLine="480"/>
        <w:rPr>
          <w:rFonts w:ascii="Times New Roman" w:hAnsi="Times New Roman"/>
          <w:b/>
          <w:bCs/>
          <w:sz w:val="24"/>
          <w:szCs w:val="24"/>
          <w:lang w:eastAsia="zh-CN"/>
        </w:rPr>
      </w:pPr>
      <w:r w:rsidRPr="00E67914">
        <w:rPr>
          <w:rFonts w:ascii="Times New Roman" w:hAnsi="Times New Roman"/>
          <w:sz w:val="24"/>
          <w:szCs w:val="24"/>
          <w:lang w:eastAsia="zh-CN"/>
        </w:rPr>
        <w:t>评价范围植调查是通过实地勘察、卫片解译、室内分析并结合收集的资料经综合分析而完成。卫片信息的提取过程如下：对选取的卫片数据，利用</w:t>
      </w:r>
      <w:r w:rsidRPr="00E67914">
        <w:rPr>
          <w:rFonts w:ascii="Times New Roman" w:hAnsi="Times New Roman"/>
          <w:sz w:val="24"/>
          <w:szCs w:val="24"/>
          <w:lang w:eastAsia="zh-CN"/>
        </w:rPr>
        <w:t>3S</w:t>
      </w:r>
      <w:r w:rsidRPr="00E67914">
        <w:rPr>
          <w:rFonts w:ascii="Times New Roman" w:hAnsi="Times New Roman"/>
          <w:sz w:val="24"/>
          <w:szCs w:val="24"/>
          <w:lang w:eastAsia="zh-CN"/>
        </w:rPr>
        <w:t>技术进行解译，并经几何精校正、图象增强、进行融合，根据各类环境信息数据及相关图像处理软件进行综合分析，得到评价区内生态环境研究所需的相关数据和生态图件。</w:t>
      </w:r>
    </w:p>
    <w:p w14:paraId="602DBAC3" w14:textId="77777777" w:rsidR="00A54A8A" w:rsidRPr="00E67914" w:rsidRDefault="00000000">
      <w:pPr>
        <w:widowControl w:val="0"/>
        <w:spacing w:line="480" w:lineRule="exact"/>
        <w:ind w:firstLine="480"/>
        <w:rPr>
          <w:rFonts w:ascii="Times New Roman" w:hAnsi="Times New Roman"/>
          <w:sz w:val="24"/>
          <w:szCs w:val="24"/>
          <w:lang w:eastAsia="zh-CN"/>
        </w:rPr>
      </w:pPr>
      <w:r w:rsidRPr="00E67914">
        <w:rPr>
          <w:rFonts w:ascii="Times New Roman" w:hAnsi="Times New Roman"/>
          <w:sz w:val="24"/>
          <w:szCs w:val="24"/>
          <w:lang w:eastAsia="zh-CN"/>
        </w:rPr>
        <w:t>根据调查和卫片解译，结合生态评价范围地表植被覆盖现状和植被立地情况，可将评价范围植被类型划分为以下</w:t>
      </w:r>
      <w:r w:rsidRPr="00E67914">
        <w:rPr>
          <w:rFonts w:ascii="Times New Roman" w:hAnsi="Times New Roman"/>
          <w:sz w:val="24"/>
          <w:szCs w:val="24"/>
          <w:lang w:eastAsia="zh-CN"/>
        </w:rPr>
        <w:t>5</w:t>
      </w:r>
      <w:r w:rsidRPr="00E67914">
        <w:rPr>
          <w:rFonts w:ascii="Times New Roman" w:hAnsi="Times New Roman"/>
          <w:sz w:val="24"/>
          <w:szCs w:val="24"/>
          <w:lang w:eastAsia="zh-CN"/>
        </w:rPr>
        <w:t>类：</w:t>
      </w:r>
    </w:p>
    <w:p w14:paraId="5562C306" w14:textId="1D14CF22" w:rsidR="00A54A8A" w:rsidRPr="00E67914" w:rsidRDefault="00000000">
      <w:pPr>
        <w:widowControl w:val="0"/>
        <w:spacing w:line="480" w:lineRule="exact"/>
        <w:ind w:firstLine="480"/>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针叶林植被：主要是马尾松、柏木为主的针叶植被，此植被类型广泛分</w:t>
      </w:r>
      <w:r w:rsidRPr="00E67914">
        <w:rPr>
          <w:rFonts w:ascii="Times New Roman" w:hAnsi="Times New Roman"/>
          <w:sz w:val="24"/>
          <w:szCs w:val="24"/>
          <w:lang w:eastAsia="zh-CN"/>
        </w:rPr>
        <w:lastRenderedPageBreak/>
        <w:t>布，面积为</w:t>
      </w:r>
      <w:r w:rsidR="00BF0040" w:rsidRPr="00E67914">
        <w:rPr>
          <w:rFonts w:ascii="Times New Roman" w:hAnsi="Times New Roman"/>
          <w:sz w:val="24"/>
          <w:szCs w:val="24"/>
          <w:lang w:eastAsia="zh-CN"/>
        </w:rPr>
        <w:t>1.38</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，占评价范围面积的</w:t>
      </w:r>
      <w:r w:rsidR="00BF0040" w:rsidRPr="00E67914">
        <w:rPr>
          <w:rFonts w:ascii="Times New Roman" w:hAnsi="Times New Roman"/>
          <w:sz w:val="24"/>
          <w:szCs w:val="24"/>
          <w:lang w:eastAsia="zh-CN"/>
        </w:rPr>
        <w:t>1.76</w:t>
      </w:r>
      <w:r w:rsidRPr="00E67914">
        <w:rPr>
          <w:rFonts w:ascii="Times New Roman" w:hAnsi="Times New Roman"/>
          <w:sz w:val="24"/>
          <w:szCs w:val="24"/>
          <w:lang w:eastAsia="zh-CN"/>
        </w:rPr>
        <w:t>%</w:t>
      </w:r>
      <w:r w:rsidRPr="00E67914">
        <w:rPr>
          <w:rFonts w:ascii="Times New Roman" w:hAnsi="Times New Roman"/>
          <w:sz w:val="24"/>
          <w:szCs w:val="24"/>
          <w:lang w:eastAsia="zh-CN"/>
        </w:rPr>
        <w:t>，平均净初级生产力（常绿针叶林）为</w:t>
      </w:r>
      <w:r w:rsidRPr="00E67914">
        <w:rPr>
          <w:rFonts w:ascii="Times New Roman" w:hAnsi="Times New Roman"/>
          <w:sz w:val="24"/>
          <w:szCs w:val="24"/>
          <w:lang w:eastAsia="zh-CN"/>
        </w:rPr>
        <w:t>367.1gC/</w:t>
      </w:r>
      <w:r w:rsidRPr="00E67914">
        <w:rPr>
          <w:rFonts w:ascii="Times New Roman" w:hAnsi="Times New Roman"/>
          <w:sz w:val="24"/>
          <w:szCs w:val="24"/>
          <w:lang w:eastAsia="zh-CN"/>
        </w:rPr>
        <w:t>（</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w:t>
      </w:r>
    </w:p>
    <w:p w14:paraId="48E0A481" w14:textId="1AD0511A" w:rsidR="00A54A8A" w:rsidRPr="00E67914" w:rsidRDefault="00000000">
      <w:pPr>
        <w:widowControl w:val="0"/>
        <w:spacing w:line="480" w:lineRule="exact"/>
        <w:ind w:firstLine="480"/>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阔叶林植被：主要有麻栎、青冈、栓皮栎等阔叶树种，此植被类型广泛分布，面积</w:t>
      </w:r>
      <w:r w:rsidR="00BF0040" w:rsidRPr="00E67914">
        <w:rPr>
          <w:rFonts w:ascii="Times New Roman" w:hAnsi="Times New Roman"/>
          <w:sz w:val="24"/>
          <w:szCs w:val="24"/>
          <w:lang w:eastAsia="zh-CN"/>
        </w:rPr>
        <w:t>37.79</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，占评价范围面积的</w:t>
      </w:r>
      <w:r w:rsidR="00BF0040" w:rsidRPr="00E67914">
        <w:rPr>
          <w:rFonts w:ascii="Times New Roman" w:hAnsi="Times New Roman"/>
          <w:sz w:val="24"/>
          <w:szCs w:val="24"/>
          <w:lang w:eastAsia="zh-CN"/>
        </w:rPr>
        <w:t>48.17</w:t>
      </w:r>
      <w:r w:rsidRPr="00E67914">
        <w:rPr>
          <w:rFonts w:ascii="Times New Roman" w:hAnsi="Times New Roman"/>
          <w:sz w:val="24"/>
          <w:szCs w:val="24"/>
          <w:lang w:eastAsia="zh-CN"/>
        </w:rPr>
        <w:t>%</w:t>
      </w:r>
      <w:r w:rsidRPr="00E67914">
        <w:rPr>
          <w:rFonts w:ascii="Times New Roman" w:hAnsi="Times New Roman"/>
          <w:sz w:val="24"/>
          <w:szCs w:val="24"/>
          <w:lang w:eastAsia="zh-CN"/>
        </w:rPr>
        <w:t>，平均净初级生产力（落叶阔叶林）</w:t>
      </w:r>
      <w:r w:rsidRPr="00E67914">
        <w:rPr>
          <w:rFonts w:ascii="Times New Roman" w:hAnsi="Times New Roman"/>
          <w:sz w:val="24"/>
          <w:szCs w:val="24"/>
          <w:lang w:eastAsia="zh-CN"/>
        </w:rPr>
        <w:t>642.9gC/</w:t>
      </w:r>
      <w:r w:rsidRPr="00E67914">
        <w:rPr>
          <w:rFonts w:ascii="Times New Roman" w:hAnsi="Times New Roman"/>
          <w:sz w:val="24"/>
          <w:szCs w:val="24"/>
          <w:lang w:eastAsia="zh-CN"/>
        </w:rPr>
        <w:t>（</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w:t>
      </w:r>
    </w:p>
    <w:p w14:paraId="6D13D535" w14:textId="0E21BE36" w:rsidR="00A54A8A" w:rsidRPr="00E67914" w:rsidRDefault="00000000">
      <w:pPr>
        <w:widowControl w:val="0"/>
        <w:spacing w:line="480" w:lineRule="exact"/>
        <w:ind w:firstLine="480"/>
        <w:rPr>
          <w:rFonts w:ascii="Times New Roman" w:hAnsi="Times New Roman"/>
          <w:sz w:val="24"/>
          <w:szCs w:val="24"/>
          <w:lang w:eastAsia="zh-CN"/>
        </w:rPr>
      </w:pPr>
      <w:r w:rsidRPr="00E67914">
        <w:rPr>
          <w:rFonts w:ascii="宋体" w:hAnsi="宋体" w:cs="宋体" w:hint="eastAsia"/>
          <w:sz w:val="24"/>
          <w:szCs w:val="24"/>
          <w:lang w:eastAsia="zh-CN"/>
        </w:rPr>
        <w:t>③</w:t>
      </w:r>
      <w:r w:rsidRPr="00E67914">
        <w:rPr>
          <w:rFonts w:ascii="Times New Roman" w:hAnsi="Times New Roman"/>
          <w:sz w:val="24"/>
          <w:szCs w:val="24"/>
          <w:lang w:eastAsia="zh-CN"/>
        </w:rPr>
        <w:t>灌丛植被：代表植物有野桐、盐肤木、马桑、黄荆、火棘等。主要分布在林下、林缘、山脚、路边、农田两旁，对保护农田和水土保持起到很重要的作用，此植被类型面积为</w:t>
      </w:r>
      <w:r w:rsidR="00BF0040" w:rsidRPr="00E67914">
        <w:rPr>
          <w:rFonts w:ascii="Times New Roman" w:hAnsi="Times New Roman"/>
          <w:sz w:val="24"/>
          <w:szCs w:val="24"/>
          <w:lang w:eastAsia="zh-CN"/>
        </w:rPr>
        <w:t>3.74</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，占评价范围总面积的</w:t>
      </w:r>
      <w:r w:rsidR="00BF0040" w:rsidRPr="00E67914">
        <w:rPr>
          <w:rFonts w:ascii="Times New Roman" w:hAnsi="Times New Roman"/>
          <w:sz w:val="24"/>
          <w:szCs w:val="24"/>
          <w:lang w:eastAsia="zh-CN"/>
        </w:rPr>
        <w:t>4.77</w:t>
      </w:r>
      <w:r w:rsidRPr="00E67914">
        <w:rPr>
          <w:rFonts w:ascii="Times New Roman" w:hAnsi="Times New Roman"/>
          <w:sz w:val="24"/>
          <w:szCs w:val="24"/>
          <w:lang w:eastAsia="zh-CN"/>
        </w:rPr>
        <w:t>%</w:t>
      </w:r>
      <w:r w:rsidRPr="00E67914">
        <w:rPr>
          <w:rFonts w:ascii="Times New Roman" w:hAnsi="Times New Roman"/>
          <w:sz w:val="24"/>
          <w:szCs w:val="24"/>
          <w:lang w:eastAsia="zh-CN"/>
        </w:rPr>
        <w:t>，平均净初级生产力为（灌木）</w:t>
      </w:r>
      <w:r w:rsidRPr="00E67914">
        <w:rPr>
          <w:rFonts w:ascii="Times New Roman" w:hAnsi="Times New Roman"/>
          <w:sz w:val="24"/>
          <w:szCs w:val="24"/>
          <w:lang w:eastAsia="zh-CN"/>
        </w:rPr>
        <w:t>367.7gC/</w:t>
      </w:r>
      <w:r w:rsidRPr="00E67914">
        <w:rPr>
          <w:rFonts w:ascii="Times New Roman" w:hAnsi="Times New Roman"/>
          <w:sz w:val="24"/>
          <w:szCs w:val="24"/>
          <w:lang w:eastAsia="zh-CN"/>
        </w:rPr>
        <w:t>（</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w:t>
      </w:r>
    </w:p>
    <w:p w14:paraId="2CE7451F" w14:textId="624F4BC7" w:rsidR="00A54A8A" w:rsidRPr="00E67914" w:rsidRDefault="00000000">
      <w:pPr>
        <w:widowControl w:val="0"/>
        <w:spacing w:line="480" w:lineRule="exact"/>
        <w:ind w:firstLine="480"/>
        <w:rPr>
          <w:rFonts w:ascii="Times New Roman" w:hAnsi="Times New Roman"/>
          <w:sz w:val="24"/>
          <w:szCs w:val="24"/>
          <w:lang w:eastAsia="zh-CN"/>
        </w:rPr>
      </w:pPr>
      <w:r w:rsidRPr="00E67914">
        <w:rPr>
          <w:rFonts w:ascii="宋体" w:hAnsi="宋体" w:cs="宋体" w:hint="eastAsia"/>
          <w:sz w:val="24"/>
          <w:szCs w:val="24"/>
          <w:lang w:eastAsia="zh-CN"/>
        </w:rPr>
        <w:t>④</w:t>
      </w:r>
      <w:r w:rsidRPr="00E67914">
        <w:rPr>
          <w:rFonts w:ascii="Times New Roman" w:hAnsi="Times New Roman"/>
          <w:sz w:val="24"/>
          <w:szCs w:val="24"/>
          <w:lang w:eastAsia="zh-CN"/>
        </w:rPr>
        <w:t>草丛植被：代表植物有芒、白茅、蕨、芒萁等。主要分布在分布的林下、林缘、路边、农田两旁，此植被类型面积为</w:t>
      </w:r>
      <w:r w:rsidR="00BF0040" w:rsidRPr="00E67914">
        <w:rPr>
          <w:rFonts w:ascii="Times New Roman" w:hAnsi="Times New Roman"/>
          <w:sz w:val="24"/>
          <w:szCs w:val="24"/>
          <w:lang w:eastAsia="zh-CN"/>
        </w:rPr>
        <w:t>1.49</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，占评价范围总面积的</w:t>
      </w:r>
      <w:r w:rsidR="00BF0040" w:rsidRPr="00E67914">
        <w:rPr>
          <w:rFonts w:ascii="Times New Roman" w:hAnsi="Times New Roman"/>
          <w:sz w:val="24"/>
          <w:szCs w:val="24"/>
          <w:lang w:eastAsia="zh-CN"/>
        </w:rPr>
        <w:t>1.89</w:t>
      </w:r>
      <w:r w:rsidRPr="00E67914">
        <w:rPr>
          <w:rFonts w:ascii="Times New Roman" w:hAnsi="Times New Roman"/>
          <w:sz w:val="24"/>
          <w:szCs w:val="24"/>
          <w:lang w:eastAsia="zh-CN"/>
        </w:rPr>
        <w:t>%</w:t>
      </w:r>
      <w:r w:rsidRPr="00E67914">
        <w:rPr>
          <w:rFonts w:ascii="Times New Roman" w:hAnsi="Times New Roman"/>
          <w:sz w:val="24"/>
          <w:szCs w:val="24"/>
          <w:lang w:eastAsia="zh-CN"/>
        </w:rPr>
        <w:t>，平均净初级生产力（坡面草地）为</w:t>
      </w:r>
      <w:r w:rsidR="00BF0040" w:rsidRPr="00E67914">
        <w:rPr>
          <w:rFonts w:ascii="Times New Roman" w:hAnsi="Times New Roman"/>
          <w:sz w:val="24"/>
          <w:szCs w:val="24"/>
          <w:lang w:eastAsia="zh-CN"/>
        </w:rPr>
        <w:t>1.89</w:t>
      </w:r>
      <w:r w:rsidRPr="00E67914">
        <w:rPr>
          <w:rFonts w:ascii="Times New Roman" w:hAnsi="Times New Roman"/>
          <w:sz w:val="24"/>
          <w:szCs w:val="24"/>
          <w:lang w:eastAsia="zh-CN"/>
        </w:rPr>
        <w:t>gC/(m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w:t>
      </w:r>
    </w:p>
    <w:p w14:paraId="3F537B45" w14:textId="3BD56BF4" w:rsidR="00A54A8A" w:rsidRPr="00E67914" w:rsidRDefault="00000000">
      <w:pPr>
        <w:widowControl w:val="0"/>
        <w:spacing w:line="480" w:lineRule="exact"/>
        <w:ind w:firstLine="480"/>
        <w:rPr>
          <w:rFonts w:ascii="Times New Roman" w:hAnsi="Times New Roman"/>
          <w:sz w:val="24"/>
          <w:szCs w:val="24"/>
          <w:lang w:eastAsia="zh-CN"/>
        </w:rPr>
      </w:pPr>
      <w:r w:rsidRPr="00E67914">
        <w:rPr>
          <w:rFonts w:ascii="宋体" w:hAnsi="宋体" w:cs="宋体" w:hint="eastAsia"/>
          <w:sz w:val="24"/>
          <w:szCs w:val="24"/>
          <w:lang w:eastAsia="zh-CN"/>
        </w:rPr>
        <w:t>⑤</w:t>
      </w:r>
      <w:r w:rsidRPr="00E67914">
        <w:rPr>
          <w:rFonts w:ascii="Times New Roman" w:hAnsi="Times New Roman"/>
          <w:sz w:val="24"/>
          <w:szCs w:val="24"/>
          <w:lang w:eastAsia="zh-CN"/>
        </w:rPr>
        <w:t>农作物植被：该地区的农作物主要有水稻、玉米、红苕、棉花、花生、小麦、马铃薯、豌豆等，主要分布在山谷、河谷两侧等低海拔区；农作物植被面积</w:t>
      </w:r>
      <w:r w:rsidR="00BF0040" w:rsidRPr="00E67914">
        <w:rPr>
          <w:rFonts w:ascii="Times New Roman" w:hAnsi="Times New Roman"/>
          <w:sz w:val="24"/>
          <w:szCs w:val="24"/>
          <w:lang w:val="de-DE" w:eastAsia="zh-CN"/>
        </w:rPr>
        <w:t>27.67</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，占评价范围面积的</w:t>
      </w:r>
      <w:r w:rsidR="00BF0040" w:rsidRPr="00E67914">
        <w:rPr>
          <w:rFonts w:ascii="Times New Roman" w:hAnsi="Times New Roman"/>
          <w:sz w:val="24"/>
          <w:szCs w:val="24"/>
          <w:lang w:eastAsia="zh-CN"/>
        </w:rPr>
        <w:t>35.27</w:t>
      </w:r>
      <w:r w:rsidRPr="00E67914">
        <w:rPr>
          <w:rFonts w:ascii="Times New Roman" w:hAnsi="Times New Roman"/>
          <w:sz w:val="24"/>
          <w:szCs w:val="24"/>
          <w:lang w:eastAsia="zh-CN"/>
        </w:rPr>
        <w:t>%</w:t>
      </w:r>
      <w:r w:rsidRPr="00E67914">
        <w:rPr>
          <w:rFonts w:ascii="Times New Roman" w:hAnsi="Times New Roman"/>
          <w:sz w:val="24"/>
          <w:szCs w:val="24"/>
          <w:lang w:eastAsia="zh-CN"/>
        </w:rPr>
        <w:t>，平均净初级生产力</w:t>
      </w:r>
      <w:r w:rsidRPr="00E67914">
        <w:rPr>
          <w:rFonts w:ascii="Times New Roman" w:hAnsi="Times New Roman"/>
          <w:sz w:val="24"/>
          <w:szCs w:val="24"/>
          <w:lang w:eastAsia="zh-CN"/>
        </w:rPr>
        <w:t>426.5gC/</w:t>
      </w:r>
      <w:r w:rsidRPr="00E67914">
        <w:rPr>
          <w:rFonts w:ascii="Times New Roman" w:hAnsi="Times New Roman"/>
          <w:sz w:val="24"/>
          <w:szCs w:val="24"/>
          <w:lang w:eastAsia="zh-CN"/>
        </w:rPr>
        <w:t>（</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w:t>
      </w:r>
    </w:p>
    <w:p w14:paraId="00ACEB13" w14:textId="77777777" w:rsidR="00A54A8A" w:rsidRPr="00E67914" w:rsidRDefault="00000000">
      <w:pPr>
        <w:widowControl w:val="0"/>
        <w:spacing w:line="480" w:lineRule="exact"/>
        <w:ind w:firstLine="480"/>
        <w:rPr>
          <w:rFonts w:ascii="Times New Roman" w:hAnsi="Times New Roman"/>
          <w:sz w:val="24"/>
          <w:szCs w:val="24"/>
          <w:lang w:eastAsia="zh-CN"/>
        </w:rPr>
      </w:pPr>
      <w:r w:rsidRPr="00E67914">
        <w:rPr>
          <w:rFonts w:ascii="Times New Roman" w:hAnsi="Times New Roman"/>
          <w:sz w:val="24"/>
          <w:szCs w:val="24"/>
          <w:lang w:eastAsia="zh-CN"/>
        </w:rPr>
        <w:t>评价范围内各植被类型净生产力情况见下表。</w:t>
      </w:r>
    </w:p>
    <w:p w14:paraId="04C2E5B0" w14:textId="15E6C578"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4.3-1</w:t>
      </w:r>
      <w:r w:rsidR="008752B7" w:rsidRPr="00E67914">
        <w:rPr>
          <w:rFonts w:ascii="Times New Roman" w:eastAsia="黑体" w:hAnsi="Times New Roman"/>
          <w:sz w:val="21"/>
          <w:szCs w:val="21"/>
          <w:lang w:eastAsia="zh-CN"/>
        </w:rPr>
        <w:t>0</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评价范围植被自然生产力情况表</w:t>
      </w:r>
    </w:p>
    <w:tbl>
      <w:tblPr>
        <w:tblStyle w:val="45"/>
        <w:tblW w:w="5000" w:type="pct"/>
        <w:jc w:val="center"/>
        <w:tblLook w:val="04A0" w:firstRow="1" w:lastRow="0" w:firstColumn="1" w:lastColumn="0" w:noHBand="0" w:noVBand="1"/>
      </w:tblPr>
      <w:tblGrid>
        <w:gridCol w:w="865"/>
        <w:gridCol w:w="2025"/>
        <w:gridCol w:w="1109"/>
        <w:gridCol w:w="840"/>
        <w:gridCol w:w="1204"/>
        <w:gridCol w:w="1122"/>
        <w:gridCol w:w="1135"/>
      </w:tblGrid>
      <w:tr w:rsidR="00E67914" w:rsidRPr="00E67914" w14:paraId="484BAE00" w14:textId="77777777" w:rsidTr="00BF0040">
        <w:trPr>
          <w:jc w:val="center"/>
        </w:trPr>
        <w:tc>
          <w:tcPr>
            <w:tcW w:w="521" w:type="pct"/>
            <w:vAlign w:val="center"/>
          </w:tcPr>
          <w:p w14:paraId="43F243BD" w14:textId="77777777" w:rsidR="00A54A8A" w:rsidRPr="00E67914" w:rsidRDefault="00000000">
            <w:pPr>
              <w:snapToGrid w:val="0"/>
              <w:jc w:val="center"/>
              <w:rPr>
                <w:rFonts w:ascii="Times New Roman" w:hAnsi="Times New Roman"/>
                <w:snapToGrid w:val="0"/>
                <w:sz w:val="21"/>
                <w:szCs w:val="21"/>
              </w:rPr>
            </w:pPr>
            <w:r w:rsidRPr="00E67914">
              <w:rPr>
                <w:rFonts w:ascii="Times New Roman" w:hAnsi="Times New Roman"/>
                <w:snapToGrid w:val="0"/>
                <w:sz w:val="21"/>
                <w:szCs w:val="21"/>
              </w:rPr>
              <w:t>植被</w:t>
            </w:r>
          </w:p>
          <w:p w14:paraId="401D94D7"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napToGrid w:val="0"/>
                <w:sz w:val="21"/>
                <w:szCs w:val="21"/>
              </w:rPr>
              <w:t>类型</w:t>
            </w:r>
          </w:p>
        </w:tc>
        <w:tc>
          <w:tcPr>
            <w:tcW w:w="1220" w:type="pct"/>
            <w:vAlign w:val="center"/>
          </w:tcPr>
          <w:p w14:paraId="49E3DB44"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napToGrid w:val="0"/>
                <w:sz w:val="21"/>
                <w:szCs w:val="21"/>
              </w:rPr>
              <w:t>代表植物</w:t>
            </w:r>
          </w:p>
        </w:tc>
        <w:tc>
          <w:tcPr>
            <w:tcW w:w="668" w:type="pct"/>
            <w:vAlign w:val="center"/>
          </w:tcPr>
          <w:p w14:paraId="455F8D67" w14:textId="77777777" w:rsidR="00A54A8A" w:rsidRPr="00E67914" w:rsidRDefault="00000000">
            <w:pPr>
              <w:snapToGrid w:val="0"/>
              <w:rPr>
                <w:rFonts w:ascii="Times New Roman" w:hAnsi="Times New Roman"/>
                <w:sz w:val="21"/>
                <w:szCs w:val="21"/>
              </w:rPr>
            </w:pPr>
            <w:r w:rsidRPr="00E67914">
              <w:rPr>
                <w:rFonts w:ascii="Times New Roman" w:hAnsi="Times New Roman"/>
                <w:snapToGrid w:val="0"/>
                <w:sz w:val="21"/>
                <w:szCs w:val="21"/>
              </w:rPr>
              <w:t>面积（</w:t>
            </w:r>
            <w:r w:rsidRPr="00E67914">
              <w:rPr>
                <w:rFonts w:ascii="Times New Roman" w:hAnsi="Times New Roman"/>
                <w:snapToGrid w:val="0"/>
                <w:sz w:val="21"/>
                <w:szCs w:val="21"/>
              </w:rPr>
              <w:t>hm</w:t>
            </w:r>
            <w:r w:rsidRPr="00E67914">
              <w:rPr>
                <w:rFonts w:ascii="Times New Roman" w:hAnsi="Times New Roman"/>
                <w:snapToGrid w:val="0"/>
                <w:sz w:val="21"/>
                <w:szCs w:val="21"/>
                <w:vertAlign w:val="superscript"/>
              </w:rPr>
              <w:t>2</w:t>
            </w:r>
            <w:r w:rsidRPr="00E67914">
              <w:rPr>
                <w:rFonts w:ascii="Times New Roman" w:hAnsi="Times New Roman"/>
                <w:snapToGrid w:val="0"/>
                <w:sz w:val="21"/>
                <w:szCs w:val="21"/>
              </w:rPr>
              <w:t>）</w:t>
            </w:r>
          </w:p>
        </w:tc>
        <w:tc>
          <w:tcPr>
            <w:tcW w:w="506" w:type="pct"/>
            <w:vAlign w:val="center"/>
          </w:tcPr>
          <w:p w14:paraId="7DC0901E"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napToGrid w:val="0"/>
                <w:sz w:val="21"/>
                <w:szCs w:val="21"/>
              </w:rPr>
              <w:t>占评价范围（</w:t>
            </w:r>
            <w:r w:rsidRPr="00E67914">
              <w:rPr>
                <w:rFonts w:ascii="Times New Roman" w:hAnsi="Times New Roman"/>
                <w:snapToGrid w:val="0"/>
                <w:sz w:val="21"/>
                <w:szCs w:val="21"/>
              </w:rPr>
              <w:t>%</w:t>
            </w:r>
            <w:r w:rsidRPr="00E67914">
              <w:rPr>
                <w:rFonts w:ascii="Times New Roman" w:hAnsi="Times New Roman"/>
                <w:snapToGrid w:val="0"/>
                <w:sz w:val="21"/>
                <w:szCs w:val="21"/>
              </w:rPr>
              <w:t>）</w:t>
            </w:r>
          </w:p>
        </w:tc>
        <w:tc>
          <w:tcPr>
            <w:tcW w:w="725" w:type="pct"/>
            <w:vAlign w:val="center"/>
          </w:tcPr>
          <w:p w14:paraId="5F65B7B9"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napToGrid w:val="0"/>
                <w:sz w:val="21"/>
                <w:szCs w:val="21"/>
                <w:lang w:eastAsia="zh-CN"/>
              </w:rPr>
              <w:t>平均净生产力</w:t>
            </w:r>
            <w:r w:rsidRPr="00E67914">
              <w:rPr>
                <w:rFonts w:ascii="Times New Roman" w:hAnsi="Times New Roman"/>
                <w:snapToGrid w:val="0"/>
                <w:sz w:val="21"/>
                <w:szCs w:val="21"/>
                <w:lang w:eastAsia="zh-CN"/>
              </w:rPr>
              <w:t>[</w:t>
            </w:r>
            <w:r w:rsidRPr="00E67914">
              <w:rPr>
                <w:rFonts w:ascii="Times New Roman" w:hAnsi="Times New Roman"/>
                <w:sz w:val="21"/>
                <w:szCs w:val="21"/>
                <w:lang w:eastAsia="zh-CN"/>
              </w:rPr>
              <w:t>gC/</w:t>
            </w:r>
            <w:r w:rsidRPr="00E67914">
              <w:rPr>
                <w:rFonts w:ascii="Times New Roman" w:hAnsi="Times New Roman"/>
                <w:sz w:val="21"/>
                <w:szCs w:val="21"/>
                <w:lang w:eastAsia="zh-CN"/>
              </w:rPr>
              <w:t>（</w:t>
            </w:r>
            <w:r w:rsidRPr="00E67914">
              <w:rPr>
                <w:rFonts w:ascii="Times New Roman" w:hAnsi="Times New Roman"/>
                <w:sz w:val="21"/>
                <w:szCs w:val="21"/>
                <w:lang w:eastAsia="zh-CN"/>
              </w:rPr>
              <w:t>m</w:t>
            </w:r>
            <w:r w:rsidRPr="00E67914">
              <w:rPr>
                <w:rFonts w:ascii="Times New Roman" w:hAnsi="Times New Roman"/>
                <w:sz w:val="21"/>
                <w:szCs w:val="21"/>
                <w:vertAlign w:val="superscript"/>
                <w:lang w:eastAsia="zh-CN"/>
              </w:rPr>
              <w:t>2</w:t>
            </w:r>
            <w:r w:rsidRPr="00E67914">
              <w:rPr>
                <w:rFonts w:ascii="Times New Roman" w:hAnsi="Times New Roman"/>
                <w:sz w:val="21"/>
                <w:szCs w:val="21"/>
                <w:lang w:eastAsia="zh-CN"/>
              </w:rPr>
              <w:t>.a</w:t>
            </w:r>
            <w:r w:rsidRPr="00E67914">
              <w:rPr>
                <w:rFonts w:ascii="Times New Roman" w:hAnsi="Times New Roman"/>
                <w:sz w:val="21"/>
                <w:szCs w:val="21"/>
                <w:lang w:eastAsia="zh-CN"/>
              </w:rPr>
              <w:t>）</w:t>
            </w:r>
            <w:r w:rsidRPr="00E67914">
              <w:rPr>
                <w:rFonts w:ascii="Times New Roman" w:hAnsi="Times New Roman"/>
                <w:snapToGrid w:val="0"/>
                <w:sz w:val="21"/>
                <w:szCs w:val="21"/>
                <w:lang w:eastAsia="zh-CN"/>
              </w:rPr>
              <w:t>]</w:t>
            </w:r>
          </w:p>
        </w:tc>
        <w:tc>
          <w:tcPr>
            <w:tcW w:w="676" w:type="pct"/>
            <w:vAlign w:val="center"/>
          </w:tcPr>
          <w:p w14:paraId="5C46128A" w14:textId="77777777" w:rsidR="00A54A8A" w:rsidRPr="00E67914" w:rsidRDefault="00000000">
            <w:pPr>
              <w:snapToGrid w:val="0"/>
              <w:jc w:val="center"/>
              <w:rPr>
                <w:rFonts w:ascii="Times New Roman" w:hAnsi="Times New Roman"/>
                <w:snapToGrid w:val="0"/>
                <w:sz w:val="21"/>
                <w:szCs w:val="21"/>
              </w:rPr>
            </w:pPr>
            <w:r w:rsidRPr="00E67914">
              <w:rPr>
                <w:rFonts w:ascii="Times New Roman" w:hAnsi="Times New Roman"/>
                <w:snapToGrid w:val="0"/>
                <w:sz w:val="21"/>
                <w:szCs w:val="21"/>
              </w:rPr>
              <w:t>总生产力</w:t>
            </w:r>
            <w:r w:rsidRPr="00E67914">
              <w:rPr>
                <w:rFonts w:ascii="Times New Roman" w:hAnsi="Times New Roman"/>
                <w:snapToGrid w:val="0"/>
                <w:sz w:val="21"/>
                <w:szCs w:val="21"/>
              </w:rPr>
              <w:t>[tC/</w:t>
            </w:r>
            <w:r w:rsidRPr="00E67914">
              <w:rPr>
                <w:rFonts w:ascii="Times New Roman" w:hAnsi="Times New Roman"/>
                <w:snapToGrid w:val="0"/>
                <w:sz w:val="21"/>
                <w:szCs w:val="21"/>
              </w:rPr>
              <w:t>（</w:t>
            </w:r>
            <w:r w:rsidRPr="00E67914">
              <w:rPr>
                <w:rFonts w:ascii="Times New Roman" w:hAnsi="Times New Roman"/>
                <w:snapToGrid w:val="0"/>
                <w:sz w:val="21"/>
                <w:szCs w:val="21"/>
              </w:rPr>
              <w:t>a</w:t>
            </w:r>
            <w:r w:rsidRPr="00E67914">
              <w:rPr>
                <w:rFonts w:ascii="Times New Roman" w:hAnsi="Times New Roman"/>
                <w:snapToGrid w:val="0"/>
                <w:sz w:val="21"/>
                <w:szCs w:val="21"/>
              </w:rPr>
              <w:t>）</w:t>
            </w:r>
            <w:r w:rsidRPr="00E67914">
              <w:rPr>
                <w:rFonts w:ascii="Times New Roman" w:hAnsi="Times New Roman"/>
                <w:snapToGrid w:val="0"/>
                <w:sz w:val="21"/>
                <w:szCs w:val="21"/>
              </w:rPr>
              <w:t>]</w:t>
            </w:r>
          </w:p>
        </w:tc>
        <w:tc>
          <w:tcPr>
            <w:tcW w:w="684" w:type="pct"/>
            <w:vAlign w:val="center"/>
          </w:tcPr>
          <w:p w14:paraId="07422C47" w14:textId="77777777" w:rsidR="00A54A8A" w:rsidRPr="00E67914" w:rsidRDefault="00000000">
            <w:pPr>
              <w:snapToGrid w:val="0"/>
              <w:jc w:val="center"/>
              <w:rPr>
                <w:rFonts w:ascii="Times New Roman" w:hAnsi="Times New Roman"/>
                <w:snapToGrid w:val="0"/>
                <w:sz w:val="21"/>
                <w:szCs w:val="21"/>
              </w:rPr>
            </w:pPr>
            <w:r w:rsidRPr="00E67914">
              <w:rPr>
                <w:rFonts w:ascii="Times New Roman" w:hAnsi="Times New Roman"/>
                <w:snapToGrid w:val="0"/>
                <w:sz w:val="21"/>
                <w:szCs w:val="21"/>
              </w:rPr>
              <w:t>生产力比重</w:t>
            </w:r>
          </w:p>
          <w:p w14:paraId="10A941BD" w14:textId="77777777" w:rsidR="00A54A8A" w:rsidRPr="00E67914" w:rsidRDefault="00000000">
            <w:pPr>
              <w:snapToGrid w:val="0"/>
              <w:jc w:val="center"/>
              <w:rPr>
                <w:rFonts w:ascii="Times New Roman" w:hAnsi="Times New Roman"/>
                <w:snapToGrid w:val="0"/>
                <w:sz w:val="21"/>
                <w:szCs w:val="21"/>
              </w:rPr>
            </w:pPr>
            <w:r w:rsidRPr="00E67914">
              <w:rPr>
                <w:rFonts w:ascii="Times New Roman" w:hAnsi="Times New Roman"/>
                <w:snapToGrid w:val="0"/>
                <w:sz w:val="21"/>
                <w:szCs w:val="21"/>
              </w:rPr>
              <w:t>（</w:t>
            </w:r>
            <w:r w:rsidRPr="00E67914">
              <w:rPr>
                <w:rFonts w:ascii="Times New Roman" w:hAnsi="Times New Roman"/>
                <w:snapToGrid w:val="0"/>
                <w:sz w:val="21"/>
                <w:szCs w:val="21"/>
              </w:rPr>
              <w:t>%</w:t>
            </w:r>
            <w:r w:rsidRPr="00E67914">
              <w:rPr>
                <w:rFonts w:ascii="Times New Roman" w:hAnsi="Times New Roman"/>
                <w:snapToGrid w:val="0"/>
                <w:sz w:val="21"/>
                <w:szCs w:val="21"/>
              </w:rPr>
              <w:t>）</w:t>
            </w:r>
          </w:p>
        </w:tc>
      </w:tr>
      <w:tr w:rsidR="00E67914" w:rsidRPr="00E67914" w14:paraId="780B0E1E" w14:textId="77777777" w:rsidTr="00BF0040">
        <w:trPr>
          <w:jc w:val="center"/>
        </w:trPr>
        <w:tc>
          <w:tcPr>
            <w:tcW w:w="521" w:type="pct"/>
            <w:vAlign w:val="center"/>
          </w:tcPr>
          <w:p w14:paraId="1A5F14A3" w14:textId="77777777" w:rsidR="00BF0040" w:rsidRPr="00E67914" w:rsidRDefault="00BF0040" w:rsidP="00BF0040">
            <w:pPr>
              <w:snapToGrid w:val="0"/>
              <w:jc w:val="center"/>
              <w:rPr>
                <w:rFonts w:ascii="Times New Roman" w:hAnsi="Times New Roman"/>
                <w:sz w:val="21"/>
                <w:szCs w:val="21"/>
              </w:rPr>
            </w:pPr>
            <w:r w:rsidRPr="00E67914">
              <w:rPr>
                <w:rFonts w:ascii="Times New Roman" w:hAnsi="Times New Roman"/>
                <w:snapToGrid w:val="0"/>
                <w:sz w:val="21"/>
                <w:szCs w:val="21"/>
              </w:rPr>
              <w:t>针叶林植被</w:t>
            </w:r>
          </w:p>
        </w:tc>
        <w:tc>
          <w:tcPr>
            <w:tcW w:w="1220" w:type="pct"/>
            <w:vAlign w:val="center"/>
          </w:tcPr>
          <w:p w14:paraId="4CA77480"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lang w:eastAsia="zh-CN"/>
              </w:rPr>
              <w:t>马尾松、柏木</w:t>
            </w:r>
          </w:p>
        </w:tc>
        <w:tc>
          <w:tcPr>
            <w:tcW w:w="668" w:type="pct"/>
            <w:vAlign w:val="center"/>
          </w:tcPr>
          <w:p w14:paraId="4F2D30AF" w14:textId="29B16220"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bidi="ar"/>
              </w:rPr>
              <w:t>1.38</w:t>
            </w:r>
          </w:p>
        </w:tc>
        <w:tc>
          <w:tcPr>
            <w:tcW w:w="506" w:type="pct"/>
            <w:vAlign w:val="center"/>
          </w:tcPr>
          <w:p w14:paraId="13B18FC8" w14:textId="5C3A3B70"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 xml:space="preserve">1.76 </w:t>
            </w:r>
          </w:p>
        </w:tc>
        <w:tc>
          <w:tcPr>
            <w:tcW w:w="725" w:type="pct"/>
            <w:vAlign w:val="center"/>
          </w:tcPr>
          <w:p w14:paraId="1DE595D8"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367.1</w:t>
            </w:r>
          </w:p>
        </w:tc>
        <w:tc>
          <w:tcPr>
            <w:tcW w:w="676" w:type="pct"/>
            <w:vAlign w:val="center"/>
          </w:tcPr>
          <w:p w14:paraId="0BB23D10" w14:textId="0796B7B6"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5.07 </w:t>
            </w:r>
          </w:p>
        </w:tc>
        <w:tc>
          <w:tcPr>
            <w:tcW w:w="684" w:type="pct"/>
            <w:vAlign w:val="center"/>
          </w:tcPr>
          <w:p w14:paraId="4FDD4E20" w14:textId="5EF193DF"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1.31 </w:t>
            </w:r>
          </w:p>
        </w:tc>
      </w:tr>
      <w:tr w:rsidR="00E67914" w:rsidRPr="00E67914" w14:paraId="33EE9614" w14:textId="77777777" w:rsidTr="00BF0040">
        <w:trPr>
          <w:jc w:val="center"/>
        </w:trPr>
        <w:tc>
          <w:tcPr>
            <w:tcW w:w="521" w:type="pct"/>
            <w:vAlign w:val="center"/>
          </w:tcPr>
          <w:p w14:paraId="5B2995B3"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阔叶林植被</w:t>
            </w:r>
          </w:p>
        </w:tc>
        <w:tc>
          <w:tcPr>
            <w:tcW w:w="1220" w:type="pct"/>
            <w:vAlign w:val="center"/>
          </w:tcPr>
          <w:p w14:paraId="6560D728"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麻栎、青冈、栓皮栎</w:t>
            </w:r>
          </w:p>
        </w:tc>
        <w:tc>
          <w:tcPr>
            <w:tcW w:w="668" w:type="pct"/>
            <w:vAlign w:val="center"/>
          </w:tcPr>
          <w:p w14:paraId="4F2AFF49" w14:textId="0A47B016"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bidi="ar"/>
              </w:rPr>
              <w:t>37.79</w:t>
            </w:r>
          </w:p>
        </w:tc>
        <w:tc>
          <w:tcPr>
            <w:tcW w:w="506" w:type="pct"/>
            <w:vAlign w:val="center"/>
          </w:tcPr>
          <w:p w14:paraId="3F90609F" w14:textId="60176758"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48.17</w:t>
            </w:r>
          </w:p>
        </w:tc>
        <w:tc>
          <w:tcPr>
            <w:tcW w:w="725" w:type="pct"/>
            <w:vAlign w:val="center"/>
          </w:tcPr>
          <w:p w14:paraId="20D78A15"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642.9</w:t>
            </w:r>
          </w:p>
        </w:tc>
        <w:tc>
          <w:tcPr>
            <w:tcW w:w="676" w:type="pct"/>
            <w:vAlign w:val="center"/>
          </w:tcPr>
          <w:p w14:paraId="07D904B3" w14:textId="28C27767"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242.95 </w:t>
            </w:r>
          </w:p>
        </w:tc>
        <w:tc>
          <w:tcPr>
            <w:tcW w:w="684" w:type="pct"/>
            <w:vAlign w:val="center"/>
          </w:tcPr>
          <w:p w14:paraId="2B95FBEE" w14:textId="6F668C67"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62.72 </w:t>
            </w:r>
          </w:p>
        </w:tc>
      </w:tr>
      <w:tr w:rsidR="00E67914" w:rsidRPr="00E67914" w14:paraId="09B16AB3" w14:textId="77777777" w:rsidTr="00BF0040">
        <w:trPr>
          <w:jc w:val="center"/>
        </w:trPr>
        <w:tc>
          <w:tcPr>
            <w:tcW w:w="521" w:type="pct"/>
            <w:vAlign w:val="center"/>
          </w:tcPr>
          <w:p w14:paraId="63005514"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灌丛植被</w:t>
            </w:r>
          </w:p>
        </w:tc>
        <w:tc>
          <w:tcPr>
            <w:tcW w:w="1220" w:type="pct"/>
            <w:vAlign w:val="center"/>
          </w:tcPr>
          <w:p w14:paraId="1ECCDBF9" w14:textId="77777777" w:rsidR="00BF0040" w:rsidRPr="00E67914" w:rsidRDefault="00BF0040" w:rsidP="00BF0040">
            <w:pPr>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野桐、盐肤木、马桑、黄荆、火棘</w:t>
            </w:r>
          </w:p>
        </w:tc>
        <w:tc>
          <w:tcPr>
            <w:tcW w:w="668" w:type="pct"/>
            <w:vAlign w:val="center"/>
          </w:tcPr>
          <w:p w14:paraId="341FB507" w14:textId="319AC6BB"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bidi="ar"/>
              </w:rPr>
              <w:t>3.74</w:t>
            </w:r>
          </w:p>
        </w:tc>
        <w:tc>
          <w:tcPr>
            <w:tcW w:w="506" w:type="pct"/>
            <w:vAlign w:val="center"/>
          </w:tcPr>
          <w:p w14:paraId="3F7091A7" w14:textId="660754AF"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4.77</w:t>
            </w:r>
          </w:p>
        </w:tc>
        <w:tc>
          <w:tcPr>
            <w:tcW w:w="725" w:type="pct"/>
            <w:vAlign w:val="center"/>
          </w:tcPr>
          <w:p w14:paraId="5C9091C7"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367.7</w:t>
            </w:r>
          </w:p>
        </w:tc>
        <w:tc>
          <w:tcPr>
            <w:tcW w:w="676" w:type="pct"/>
            <w:vAlign w:val="center"/>
          </w:tcPr>
          <w:p w14:paraId="31355E87" w14:textId="02CC0901"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13.75 </w:t>
            </w:r>
          </w:p>
        </w:tc>
        <w:tc>
          <w:tcPr>
            <w:tcW w:w="684" w:type="pct"/>
            <w:vAlign w:val="center"/>
          </w:tcPr>
          <w:p w14:paraId="677835B6" w14:textId="4B54C138"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3.55 </w:t>
            </w:r>
          </w:p>
        </w:tc>
      </w:tr>
      <w:tr w:rsidR="00E67914" w:rsidRPr="00E67914" w14:paraId="38276B22" w14:textId="77777777" w:rsidTr="00BF0040">
        <w:trPr>
          <w:jc w:val="center"/>
        </w:trPr>
        <w:tc>
          <w:tcPr>
            <w:tcW w:w="521" w:type="pct"/>
            <w:vAlign w:val="center"/>
          </w:tcPr>
          <w:p w14:paraId="765717DC"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草丛植被</w:t>
            </w:r>
          </w:p>
        </w:tc>
        <w:tc>
          <w:tcPr>
            <w:tcW w:w="1220" w:type="pct"/>
            <w:vAlign w:val="center"/>
          </w:tcPr>
          <w:p w14:paraId="063B5407"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芒、白茅、蕨、芒萁</w:t>
            </w:r>
          </w:p>
        </w:tc>
        <w:tc>
          <w:tcPr>
            <w:tcW w:w="668" w:type="pct"/>
            <w:vAlign w:val="center"/>
          </w:tcPr>
          <w:p w14:paraId="2D1342D2" w14:textId="14D7ADF6"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bidi="ar"/>
              </w:rPr>
              <w:t>1.49</w:t>
            </w:r>
          </w:p>
        </w:tc>
        <w:tc>
          <w:tcPr>
            <w:tcW w:w="506" w:type="pct"/>
            <w:vAlign w:val="center"/>
          </w:tcPr>
          <w:p w14:paraId="56F7478E" w14:textId="439DA426"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1.89</w:t>
            </w:r>
          </w:p>
        </w:tc>
        <w:tc>
          <w:tcPr>
            <w:tcW w:w="725" w:type="pct"/>
            <w:vAlign w:val="center"/>
          </w:tcPr>
          <w:p w14:paraId="6781078C"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507.4</w:t>
            </w:r>
          </w:p>
        </w:tc>
        <w:tc>
          <w:tcPr>
            <w:tcW w:w="676" w:type="pct"/>
            <w:vAlign w:val="center"/>
          </w:tcPr>
          <w:p w14:paraId="5C0B7474" w14:textId="657DF1E7"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7.56 </w:t>
            </w:r>
          </w:p>
        </w:tc>
        <w:tc>
          <w:tcPr>
            <w:tcW w:w="684" w:type="pct"/>
            <w:vAlign w:val="center"/>
          </w:tcPr>
          <w:p w14:paraId="3E7F63E0" w14:textId="5021CA95"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1.95 </w:t>
            </w:r>
          </w:p>
        </w:tc>
      </w:tr>
      <w:tr w:rsidR="00E67914" w:rsidRPr="00E67914" w14:paraId="09422CDA" w14:textId="77777777" w:rsidTr="00BF0040">
        <w:trPr>
          <w:jc w:val="center"/>
        </w:trPr>
        <w:tc>
          <w:tcPr>
            <w:tcW w:w="521" w:type="pct"/>
            <w:vAlign w:val="center"/>
          </w:tcPr>
          <w:p w14:paraId="5B45BA43" w14:textId="77777777" w:rsidR="00BF0040" w:rsidRPr="00E67914" w:rsidRDefault="00BF0040" w:rsidP="00BF0040">
            <w:pPr>
              <w:snapToGrid w:val="0"/>
              <w:jc w:val="center"/>
              <w:rPr>
                <w:rFonts w:ascii="Times New Roman" w:hAnsi="Times New Roman"/>
                <w:sz w:val="21"/>
                <w:szCs w:val="21"/>
              </w:rPr>
            </w:pPr>
            <w:r w:rsidRPr="00E67914">
              <w:rPr>
                <w:rFonts w:ascii="Times New Roman" w:hAnsi="Times New Roman"/>
                <w:snapToGrid w:val="0"/>
                <w:sz w:val="21"/>
                <w:szCs w:val="21"/>
              </w:rPr>
              <w:t>农作物植被</w:t>
            </w:r>
          </w:p>
        </w:tc>
        <w:tc>
          <w:tcPr>
            <w:tcW w:w="1220" w:type="pct"/>
            <w:vAlign w:val="center"/>
          </w:tcPr>
          <w:p w14:paraId="1D077E0C" w14:textId="77777777" w:rsidR="00BF0040" w:rsidRPr="00E67914" w:rsidRDefault="00BF0040" w:rsidP="00BF0040">
            <w:pPr>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水稻、玉米、红苕、棉花、花生、小麦、马铃薯、豌豆</w:t>
            </w:r>
          </w:p>
        </w:tc>
        <w:tc>
          <w:tcPr>
            <w:tcW w:w="668" w:type="pct"/>
            <w:vAlign w:val="center"/>
          </w:tcPr>
          <w:p w14:paraId="437B66CE" w14:textId="025C2635"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27.67</w:t>
            </w:r>
          </w:p>
        </w:tc>
        <w:tc>
          <w:tcPr>
            <w:tcW w:w="506" w:type="pct"/>
            <w:vAlign w:val="center"/>
          </w:tcPr>
          <w:p w14:paraId="7023BB82" w14:textId="52DF40E3"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bidi="ar"/>
              </w:rPr>
              <w:t>35.27</w:t>
            </w:r>
          </w:p>
        </w:tc>
        <w:tc>
          <w:tcPr>
            <w:tcW w:w="725" w:type="pct"/>
            <w:vAlign w:val="center"/>
          </w:tcPr>
          <w:p w14:paraId="25DD5FCA"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426.5</w:t>
            </w:r>
          </w:p>
        </w:tc>
        <w:tc>
          <w:tcPr>
            <w:tcW w:w="676" w:type="pct"/>
            <w:vAlign w:val="center"/>
          </w:tcPr>
          <w:p w14:paraId="38B0A213" w14:textId="0553A4F0"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118.01 </w:t>
            </w:r>
          </w:p>
        </w:tc>
        <w:tc>
          <w:tcPr>
            <w:tcW w:w="684" w:type="pct"/>
            <w:vAlign w:val="center"/>
          </w:tcPr>
          <w:p w14:paraId="6B4676A3" w14:textId="42708D58"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30.47 </w:t>
            </w:r>
          </w:p>
        </w:tc>
      </w:tr>
      <w:tr w:rsidR="00E67914" w:rsidRPr="00E67914" w14:paraId="29B18B2F" w14:textId="77777777" w:rsidTr="00BF0040">
        <w:trPr>
          <w:jc w:val="center"/>
        </w:trPr>
        <w:tc>
          <w:tcPr>
            <w:tcW w:w="521" w:type="pct"/>
            <w:vAlign w:val="center"/>
          </w:tcPr>
          <w:p w14:paraId="29ADE7B5" w14:textId="1B3542CC"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lang w:eastAsia="zh-CN"/>
              </w:rPr>
              <w:t>水域</w:t>
            </w:r>
          </w:p>
        </w:tc>
        <w:tc>
          <w:tcPr>
            <w:tcW w:w="1220" w:type="pct"/>
            <w:vAlign w:val="center"/>
          </w:tcPr>
          <w:p w14:paraId="0F9EDCE1" w14:textId="42AA2DA4" w:rsidR="00BF0040" w:rsidRPr="00E67914" w:rsidRDefault="00BF0040" w:rsidP="00BF0040">
            <w:pPr>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堰塘</w:t>
            </w:r>
          </w:p>
        </w:tc>
        <w:tc>
          <w:tcPr>
            <w:tcW w:w="668" w:type="pct"/>
            <w:vAlign w:val="center"/>
          </w:tcPr>
          <w:p w14:paraId="5C8C5A36" w14:textId="18E147F3" w:rsidR="00BF0040" w:rsidRPr="00E67914" w:rsidRDefault="00BF0040" w:rsidP="00BF0040">
            <w:pPr>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0.37</w:t>
            </w:r>
          </w:p>
        </w:tc>
        <w:tc>
          <w:tcPr>
            <w:tcW w:w="506" w:type="pct"/>
            <w:vAlign w:val="center"/>
          </w:tcPr>
          <w:p w14:paraId="0F6DA57C" w14:textId="498DA891" w:rsidR="00BF0040" w:rsidRPr="00E67914" w:rsidRDefault="00BF0040" w:rsidP="00BF0040">
            <w:pPr>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0.47</w:t>
            </w:r>
          </w:p>
        </w:tc>
        <w:tc>
          <w:tcPr>
            <w:tcW w:w="725" w:type="pct"/>
            <w:vAlign w:val="center"/>
          </w:tcPr>
          <w:p w14:paraId="7C722DAE" w14:textId="1046F60B" w:rsidR="00BF0040" w:rsidRPr="00E67914" w:rsidRDefault="00BF0040" w:rsidP="00BF0040">
            <w:pPr>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w:t>
            </w:r>
          </w:p>
        </w:tc>
        <w:tc>
          <w:tcPr>
            <w:tcW w:w="676" w:type="pct"/>
            <w:vAlign w:val="center"/>
          </w:tcPr>
          <w:p w14:paraId="434F6FC9" w14:textId="0D59C02B"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0.00 </w:t>
            </w:r>
          </w:p>
        </w:tc>
        <w:tc>
          <w:tcPr>
            <w:tcW w:w="684" w:type="pct"/>
            <w:vAlign w:val="center"/>
          </w:tcPr>
          <w:p w14:paraId="59804A5C" w14:textId="472DDFA1"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0.00 </w:t>
            </w:r>
          </w:p>
        </w:tc>
      </w:tr>
      <w:tr w:rsidR="00E67914" w:rsidRPr="00E67914" w14:paraId="42D95405" w14:textId="77777777" w:rsidTr="00BF0040">
        <w:trPr>
          <w:jc w:val="center"/>
        </w:trPr>
        <w:tc>
          <w:tcPr>
            <w:tcW w:w="521" w:type="pct"/>
            <w:vAlign w:val="center"/>
          </w:tcPr>
          <w:p w14:paraId="4ABF4E62" w14:textId="77777777" w:rsidR="00BF0040" w:rsidRPr="00E67914" w:rsidRDefault="00BF0040" w:rsidP="00BF0040">
            <w:pPr>
              <w:snapToGrid w:val="0"/>
              <w:jc w:val="center"/>
              <w:rPr>
                <w:rFonts w:ascii="Times New Roman" w:hAnsi="Times New Roman"/>
                <w:sz w:val="21"/>
                <w:szCs w:val="21"/>
              </w:rPr>
            </w:pPr>
            <w:r w:rsidRPr="00E67914">
              <w:rPr>
                <w:rFonts w:ascii="Times New Roman" w:hAnsi="Times New Roman"/>
                <w:sz w:val="21"/>
                <w:szCs w:val="21"/>
              </w:rPr>
              <w:t>无植被</w:t>
            </w:r>
          </w:p>
        </w:tc>
        <w:tc>
          <w:tcPr>
            <w:tcW w:w="1220" w:type="pct"/>
            <w:vAlign w:val="center"/>
          </w:tcPr>
          <w:p w14:paraId="282EDF5E"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w:t>
            </w:r>
          </w:p>
        </w:tc>
        <w:tc>
          <w:tcPr>
            <w:tcW w:w="668" w:type="pct"/>
            <w:vAlign w:val="center"/>
          </w:tcPr>
          <w:p w14:paraId="293BE3DB" w14:textId="0AFDF4BF"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napToGrid w:val="0"/>
                <w:sz w:val="21"/>
                <w:szCs w:val="21"/>
              </w:rPr>
              <w:t>-</w:t>
            </w:r>
          </w:p>
        </w:tc>
        <w:tc>
          <w:tcPr>
            <w:tcW w:w="506" w:type="pct"/>
            <w:vAlign w:val="center"/>
          </w:tcPr>
          <w:p w14:paraId="79A0FFB4"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 xml:space="preserve">9.44 </w:t>
            </w:r>
          </w:p>
        </w:tc>
        <w:tc>
          <w:tcPr>
            <w:tcW w:w="725" w:type="pct"/>
            <w:vAlign w:val="center"/>
          </w:tcPr>
          <w:p w14:paraId="307E909B"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w:t>
            </w:r>
          </w:p>
        </w:tc>
        <w:tc>
          <w:tcPr>
            <w:tcW w:w="676" w:type="pct"/>
            <w:vAlign w:val="center"/>
          </w:tcPr>
          <w:p w14:paraId="027E59A9" w14:textId="77777777"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0.00 </w:t>
            </w:r>
          </w:p>
        </w:tc>
        <w:tc>
          <w:tcPr>
            <w:tcW w:w="684" w:type="pct"/>
            <w:vAlign w:val="center"/>
          </w:tcPr>
          <w:p w14:paraId="44426995" w14:textId="77777777"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0.00 </w:t>
            </w:r>
          </w:p>
        </w:tc>
      </w:tr>
      <w:tr w:rsidR="00E67914" w:rsidRPr="00E67914" w14:paraId="0FD222F5" w14:textId="77777777" w:rsidTr="00BF0040">
        <w:trPr>
          <w:jc w:val="center"/>
        </w:trPr>
        <w:tc>
          <w:tcPr>
            <w:tcW w:w="521" w:type="pct"/>
            <w:vAlign w:val="center"/>
          </w:tcPr>
          <w:p w14:paraId="26791AF6" w14:textId="77777777" w:rsidR="00BF0040" w:rsidRPr="00E67914" w:rsidRDefault="00BF0040" w:rsidP="00BF0040">
            <w:pPr>
              <w:snapToGrid w:val="0"/>
              <w:jc w:val="center"/>
              <w:rPr>
                <w:rFonts w:ascii="Times New Roman" w:hAnsi="Times New Roman"/>
                <w:sz w:val="21"/>
                <w:szCs w:val="21"/>
              </w:rPr>
            </w:pPr>
            <w:r w:rsidRPr="00E67914">
              <w:rPr>
                <w:rFonts w:ascii="Times New Roman" w:hAnsi="Times New Roman"/>
                <w:sz w:val="21"/>
                <w:szCs w:val="21"/>
              </w:rPr>
              <w:t>合计</w:t>
            </w:r>
          </w:p>
        </w:tc>
        <w:tc>
          <w:tcPr>
            <w:tcW w:w="1220" w:type="pct"/>
            <w:vAlign w:val="center"/>
          </w:tcPr>
          <w:p w14:paraId="0F0C0C5D"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w:t>
            </w:r>
          </w:p>
        </w:tc>
        <w:tc>
          <w:tcPr>
            <w:tcW w:w="668" w:type="pct"/>
            <w:vAlign w:val="center"/>
          </w:tcPr>
          <w:p w14:paraId="5C42F9B7" w14:textId="4284EC69"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78.46</w:t>
            </w:r>
          </w:p>
        </w:tc>
        <w:tc>
          <w:tcPr>
            <w:tcW w:w="506" w:type="pct"/>
            <w:vAlign w:val="center"/>
          </w:tcPr>
          <w:p w14:paraId="1072C896"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 xml:space="preserve">100.00 </w:t>
            </w:r>
          </w:p>
        </w:tc>
        <w:tc>
          <w:tcPr>
            <w:tcW w:w="725" w:type="pct"/>
            <w:vAlign w:val="center"/>
          </w:tcPr>
          <w:p w14:paraId="1E85D393"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w:t>
            </w:r>
          </w:p>
        </w:tc>
        <w:tc>
          <w:tcPr>
            <w:tcW w:w="676" w:type="pct"/>
            <w:vAlign w:val="center"/>
          </w:tcPr>
          <w:p w14:paraId="0F1260E8" w14:textId="1BBF1899"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387.34</w:t>
            </w:r>
          </w:p>
        </w:tc>
        <w:tc>
          <w:tcPr>
            <w:tcW w:w="684" w:type="pct"/>
            <w:vAlign w:val="center"/>
          </w:tcPr>
          <w:p w14:paraId="4F1C6817" w14:textId="77777777" w:rsidR="00BF0040" w:rsidRPr="00E67914" w:rsidRDefault="00BF0040" w:rsidP="00BF0040">
            <w:pPr>
              <w:widowControl/>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 xml:space="preserve">100.00 </w:t>
            </w:r>
          </w:p>
        </w:tc>
      </w:tr>
      <w:tr w:rsidR="00E67914" w:rsidRPr="00E67914" w14:paraId="635BC7E0" w14:textId="77777777" w:rsidTr="00BF0040">
        <w:trPr>
          <w:jc w:val="center"/>
        </w:trPr>
        <w:tc>
          <w:tcPr>
            <w:tcW w:w="521" w:type="pct"/>
            <w:vAlign w:val="center"/>
          </w:tcPr>
          <w:p w14:paraId="0B93DA5D" w14:textId="77777777" w:rsidR="00BF0040" w:rsidRPr="00E67914" w:rsidRDefault="00BF0040" w:rsidP="00BF0040">
            <w:pPr>
              <w:snapToGrid w:val="0"/>
              <w:jc w:val="center"/>
              <w:rPr>
                <w:rFonts w:ascii="Times New Roman" w:hAnsi="Times New Roman"/>
                <w:sz w:val="21"/>
                <w:szCs w:val="21"/>
              </w:rPr>
            </w:pPr>
            <w:r w:rsidRPr="00E67914">
              <w:rPr>
                <w:rFonts w:ascii="Times New Roman" w:hAnsi="Times New Roman"/>
                <w:snapToGrid w:val="0"/>
                <w:sz w:val="21"/>
                <w:szCs w:val="21"/>
              </w:rPr>
              <w:lastRenderedPageBreak/>
              <w:t>平均</w:t>
            </w:r>
          </w:p>
        </w:tc>
        <w:tc>
          <w:tcPr>
            <w:tcW w:w="1220" w:type="pct"/>
            <w:vAlign w:val="center"/>
          </w:tcPr>
          <w:p w14:paraId="422CCE98"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w:t>
            </w:r>
          </w:p>
        </w:tc>
        <w:tc>
          <w:tcPr>
            <w:tcW w:w="668" w:type="pct"/>
            <w:vAlign w:val="center"/>
          </w:tcPr>
          <w:p w14:paraId="4BFE6885"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w:t>
            </w:r>
          </w:p>
        </w:tc>
        <w:tc>
          <w:tcPr>
            <w:tcW w:w="506" w:type="pct"/>
            <w:vAlign w:val="center"/>
          </w:tcPr>
          <w:p w14:paraId="79FCA535"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w:t>
            </w:r>
          </w:p>
        </w:tc>
        <w:tc>
          <w:tcPr>
            <w:tcW w:w="725" w:type="pct"/>
            <w:vAlign w:val="center"/>
          </w:tcPr>
          <w:p w14:paraId="6C5ADBDC"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 xml:space="preserve">418.80 </w:t>
            </w:r>
          </w:p>
        </w:tc>
        <w:tc>
          <w:tcPr>
            <w:tcW w:w="676" w:type="pct"/>
            <w:vAlign w:val="center"/>
          </w:tcPr>
          <w:p w14:paraId="74B17FA1" w14:textId="77777777" w:rsidR="00BF0040" w:rsidRPr="00E67914" w:rsidRDefault="00BF0040" w:rsidP="00BF0040">
            <w:pPr>
              <w:widowControl/>
              <w:jc w:val="center"/>
              <w:textAlignment w:val="bottom"/>
              <w:rPr>
                <w:rFonts w:ascii="Times New Roman" w:hAnsi="Times New Roman"/>
                <w:sz w:val="21"/>
                <w:szCs w:val="21"/>
                <w:lang w:bidi="ar"/>
              </w:rPr>
            </w:pPr>
          </w:p>
        </w:tc>
        <w:tc>
          <w:tcPr>
            <w:tcW w:w="684" w:type="pct"/>
            <w:vAlign w:val="center"/>
          </w:tcPr>
          <w:p w14:paraId="587A354E" w14:textId="77777777" w:rsidR="00BF0040" w:rsidRPr="00E67914" w:rsidRDefault="00BF0040" w:rsidP="00BF0040">
            <w:pPr>
              <w:widowControl/>
              <w:jc w:val="center"/>
              <w:textAlignment w:val="bottom"/>
              <w:rPr>
                <w:rFonts w:ascii="Times New Roman" w:hAnsi="Times New Roman"/>
                <w:sz w:val="21"/>
                <w:szCs w:val="21"/>
                <w:lang w:bidi="ar"/>
              </w:rPr>
            </w:pPr>
          </w:p>
        </w:tc>
      </w:tr>
      <w:tr w:rsidR="00E67914" w:rsidRPr="00E67914" w14:paraId="472D54D3" w14:textId="77777777" w:rsidTr="00BF0040">
        <w:trPr>
          <w:jc w:val="center"/>
        </w:trPr>
        <w:tc>
          <w:tcPr>
            <w:tcW w:w="521" w:type="pct"/>
            <w:vAlign w:val="center"/>
          </w:tcPr>
          <w:p w14:paraId="530FD4B6" w14:textId="77777777" w:rsidR="00BF0040" w:rsidRPr="00E67914" w:rsidRDefault="00BF0040" w:rsidP="00BF0040">
            <w:pPr>
              <w:snapToGrid w:val="0"/>
              <w:jc w:val="center"/>
              <w:rPr>
                <w:rFonts w:ascii="Times New Roman" w:hAnsi="Times New Roman"/>
                <w:sz w:val="21"/>
                <w:szCs w:val="21"/>
              </w:rPr>
            </w:pPr>
            <w:r w:rsidRPr="00E67914">
              <w:rPr>
                <w:rFonts w:ascii="Times New Roman" w:hAnsi="Times New Roman"/>
                <w:snapToGrid w:val="0"/>
                <w:sz w:val="21"/>
                <w:szCs w:val="21"/>
              </w:rPr>
              <w:t>参考标准</w:t>
            </w:r>
          </w:p>
        </w:tc>
        <w:tc>
          <w:tcPr>
            <w:tcW w:w="1220" w:type="pct"/>
            <w:vAlign w:val="center"/>
          </w:tcPr>
          <w:p w14:paraId="21601905" w14:textId="77777777" w:rsidR="00BF0040" w:rsidRPr="00E67914" w:rsidRDefault="00BF0040" w:rsidP="00BF0040">
            <w:pPr>
              <w:snapToGrid w:val="0"/>
              <w:jc w:val="center"/>
              <w:rPr>
                <w:rFonts w:ascii="Times New Roman" w:hAnsi="Times New Roman"/>
                <w:snapToGrid w:val="0"/>
                <w:sz w:val="21"/>
                <w:szCs w:val="21"/>
              </w:rPr>
            </w:pPr>
            <w:r w:rsidRPr="00E67914">
              <w:rPr>
                <w:rFonts w:ascii="Times New Roman" w:hAnsi="Times New Roman"/>
                <w:snapToGrid w:val="0"/>
                <w:sz w:val="21"/>
                <w:szCs w:val="21"/>
              </w:rPr>
              <w:t>-</w:t>
            </w:r>
          </w:p>
        </w:tc>
        <w:tc>
          <w:tcPr>
            <w:tcW w:w="668" w:type="pct"/>
            <w:vAlign w:val="center"/>
          </w:tcPr>
          <w:p w14:paraId="7EAC928E"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w:t>
            </w:r>
          </w:p>
        </w:tc>
        <w:tc>
          <w:tcPr>
            <w:tcW w:w="506" w:type="pct"/>
            <w:vAlign w:val="center"/>
          </w:tcPr>
          <w:p w14:paraId="3D7F4533"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w:t>
            </w:r>
          </w:p>
        </w:tc>
        <w:tc>
          <w:tcPr>
            <w:tcW w:w="725" w:type="pct"/>
            <w:vAlign w:val="center"/>
          </w:tcPr>
          <w:p w14:paraId="568E99DB"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684</w:t>
            </w:r>
          </w:p>
        </w:tc>
        <w:tc>
          <w:tcPr>
            <w:tcW w:w="676" w:type="pct"/>
            <w:vAlign w:val="center"/>
          </w:tcPr>
          <w:p w14:paraId="37B148B7"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w:t>
            </w:r>
          </w:p>
        </w:tc>
        <w:tc>
          <w:tcPr>
            <w:tcW w:w="684" w:type="pct"/>
            <w:vAlign w:val="center"/>
          </w:tcPr>
          <w:p w14:paraId="273F6C60" w14:textId="77777777" w:rsidR="00BF0040" w:rsidRPr="00E67914" w:rsidRDefault="00BF0040" w:rsidP="00BF0040">
            <w:pPr>
              <w:widowControl/>
              <w:jc w:val="center"/>
              <w:textAlignment w:val="bottom"/>
              <w:rPr>
                <w:rFonts w:ascii="Times New Roman" w:hAnsi="Times New Roman"/>
                <w:sz w:val="21"/>
                <w:szCs w:val="21"/>
                <w:lang w:bidi="ar"/>
              </w:rPr>
            </w:pPr>
            <w:r w:rsidRPr="00E67914">
              <w:rPr>
                <w:rFonts w:ascii="Times New Roman" w:hAnsi="Times New Roman"/>
                <w:sz w:val="21"/>
                <w:szCs w:val="21"/>
                <w:lang w:eastAsia="zh-CN" w:bidi="ar"/>
              </w:rPr>
              <w:t>-</w:t>
            </w:r>
          </w:p>
        </w:tc>
      </w:tr>
    </w:tbl>
    <w:p w14:paraId="311BF41A" w14:textId="77777777" w:rsidR="00A54A8A" w:rsidRPr="00E67914" w:rsidRDefault="00000000">
      <w:pPr>
        <w:widowControl w:val="0"/>
        <w:ind w:firstLine="363"/>
        <w:rPr>
          <w:rFonts w:ascii="Times New Roman" w:hAnsi="Times New Roman"/>
          <w:sz w:val="21"/>
          <w:szCs w:val="21"/>
          <w:lang w:eastAsia="zh-CN"/>
        </w:rPr>
      </w:pPr>
      <w:r w:rsidRPr="00E67914">
        <w:rPr>
          <w:rFonts w:ascii="Times New Roman" w:hAnsi="Times New Roman"/>
          <w:sz w:val="21"/>
          <w:szCs w:val="21"/>
          <w:lang w:eastAsia="zh-CN"/>
        </w:rPr>
        <w:t>注：表中平均生产力值来源于《中国陆地植被净初级生产力遥感估算》等文献，参考标准采用全国</w:t>
      </w:r>
      <w:r w:rsidRPr="00E67914">
        <w:rPr>
          <w:rFonts w:ascii="Times New Roman" w:hAnsi="Times New Roman"/>
          <w:sz w:val="21"/>
          <w:szCs w:val="21"/>
          <w:lang w:eastAsia="zh-CN"/>
        </w:rPr>
        <w:t>1989-1993</w:t>
      </w:r>
      <w:r w:rsidRPr="00E67914">
        <w:rPr>
          <w:rFonts w:ascii="Times New Roman" w:hAnsi="Times New Roman"/>
          <w:sz w:val="21"/>
          <w:szCs w:val="21"/>
          <w:lang w:eastAsia="zh-CN"/>
        </w:rPr>
        <w:t>中国陆地生态系统平均</w:t>
      </w:r>
      <w:r w:rsidRPr="00E67914">
        <w:rPr>
          <w:rFonts w:ascii="Times New Roman" w:hAnsi="Times New Roman"/>
          <w:sz w:val="21"/>
          <w:szCs w:val="21"/>
          <w:lang w:eastAsia="zh-CN"/>
        </w:rPr>
        <w:t>NPP</w:t>
      </w:r>
      <w:r w:rsidRPr="00E67914">
        <w:rPr>
          <w:rFonts w:ascii="Times New Roman" w:hAnsi="Times New Roman"/>
          <w:sz w:val="21"/>
          <w:szCs w:val="21"/>
          <w:lang w:eastAsia="zh-CN"/>
        </w:rPr>
        <w:t>值。</w:t>
      </w:r>
    </w:p>
    <w:p w14:paraId="18704DEF" w14:textId="7B7E40B9" w:rsidR="00A54A8A" w:rsidRPr="00E67914" w:rsidRDefault="00000000">
      <w:pPr>
        <w:widowControl w:val="0"/>
        <w:adjustRightInd w:val="0"/>
        <w:snapToGrid w:val="0"/>
        <w:spacing w:beforeLines="100" w:before="240"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从表</w:t>
      </w:r>
      <w:r w:rsidRPr="00E67914">
        <w:rPr>
          <w:rFonts w:ascii="Times New Roman" w:hAnsi="Times New Roman"/>
          <w:sz w:val="24"/>
          <w:szCs w:val="24"/>
          <w:lang w:eastAsia="zh-CN"/>
        </w:rPr>
        <w:t>4.3-1</w:t>
      </w:r>
      <w:r w:rsidR="008752B7" w:rsidRPr="00E67914">
        <w:rPr>
          <w:rFonts w:ascii="Times New Roman" w:hAnsi="Times New Roman"/>
          <w:sz w:val="24"/>
          <w:szCs w:val="24"/>
          <w:lang w:eastAsia="zh-CN"/>
        </w:rPr>
        <w:t>0</w:t>
      </w:r>
      <w:r w:rsidRPr="00E67914">
        <w:rPr>
          <w:rFonts w:ascii="Times New Roman" w:hAnsi="Times New Roman"/>
          <w:sz w:val="24"/>
          <w:szCs w:val="24"/>
          <w:lang w:eastAsia="zh-CN"/>
        </w:rPr>
        <w:t>中可以看出，评价范围总生产力</w:t>
      </w:r>
      <w:r w:rsidR="00BF0040" w:rsidRPr="00E67914">
        <w:rPr>
          <w:rFonts w:ascii="Times New Roman" w:hAnsi="Times New Roman"/>
          <w:sz w:val="24"/>
          <w:szCs w:val="24"/>
          <w:lang w:eastAsia="zh-CN"/>
        </w:rPr>
        <w:t>387.34</w:t>
      </w:r>
      <w:r w:rsidRPr="00E67914">
        <w:rPr>
          <w:rFonts w:ascii="Times New Roman" w:hAnsi="Times New Roman"/>
          <w:sz w:val="24"/>
          <w:szCs w:val="24"/>
          <w:lang w:eastAsia="zh-CN"/>
        </w:rPr>
        <w:t>tC/</w:t>
      </w:r>
      <w:r w:rsidRPr="00E67914">
        <w:rPr>
          <w:rFonts w:ascii="Times New Roman" w:hAnsi="Times New Roman"/>
          <w:sz w:val="24"/>
          <w:szCs w:val="24"/>
          <w:lang w:eastAsia="zh-CN"/>
        </w:rPr>
        <w:t>（</w:t>
      </w:r>
      <w:r w:rsidRPr="00E67914">
        <w:rPr>
          <w:rFonts w:ascii="Times New Roman" w:hAnsi="Times New Roman"/>
          <w:sz w:val="24"/>
          <w:szCs w:val="24"/>
          <w:lang w:eastAsia="zh-CN"/>
        </w:rPr>
        <w:t>a</w:t>
      </w:r>
      <w:r w:rsidRPr="00E67914">
        <w:rPr>
          <w:rFonts w:ascii="Times New Roman" w:hAnsi="Times New Roman"/>
          <w:sz w:val="24"/>
          <w:szCs w:val="24"/>
          <w:lang w:eastAsia="zh-CN"/>
        </w:rPr>
        <w:t>），平均净生产</w:t>
      </w:r>
      <w:r w:rsidRPr="00E67914">
        <w:rPr>
          <w:rFonts w:ascii="Times New Roman" w:hAnsi="Times New Roman"/>
          <w:sz w:val="24"/>
          <w:szCs w:val="24"/>
          <w:lang w:eastAsia="zh-CN"/>
        </w:rPr>
        <w:t>418.8gC/</w:t>
      </w:r>
      <w:r w:rsidRPr="00E67914">
        <w:rPr>
          <w:rFonts w:ascii="Times New Roman" w:hAnsi="Times New Roman"/>
          <w:sz w:val="24"/>
          <w:szCs w:val="24"/>
          <w:lang w:eastAsia="zh-CN"/>
        </w:rPr>
        <w:t>（</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），比中国陆地生态系统平均值低</w:t>
      </w:r>
      <w:r w:rsidRPr="00E67914">
        <w:rPr>
          <w:rFonts w:ascii="Times New Roman" w:hAnsi="Times New Roman"/>
          <w:sz w:val="24"/>
          <w:szCs w:val="24"/>
          <w:lang w:eastAsia="zh-CN"/>
        </w:rPr>
        <w:t>265.2gC/</w:t>
      </w:r>
      <w:r w:rsidRPr="00E67914">
        <w:rPr>
          <w:rFonts w:ascii="Times New Roman" w:hAnsi="Times New Roman"/>
          <w:sz w:val="24"/>
          <w:szCs w:val="24"/>
          <w:lang w:eastAsia="zh-CN"/>
        </w:rPr>
        <w:t>（</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），远不及评价范围土地自然生产力</w:t>
      </w:r>
      <w:r w:rsidRPr="00E67914">
        <w:rPr>
          <w:rFonts w:ascii="Times New Roman" w:hAnsi="Times New Roman"/>
          <w:sz w:val="24"/>
          <w:szCs w:val="24"/>
          <w:lang w:eastAsia="zh-CN"/>
        </w:rPr>
        <w:t>1585.88t/hm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/a</w:t>
      </w:r>
      <w:r w:rsidRPr="00E67914">
        <w:rPr>
          <w:rFonts w:ascii="Times New Roman" w:hAnsi="Times New Roman"/>
          <w:sz w:val="24"/>
          <w:szCs w:val="24"/>
          <w:lang w:eastAsia="zh-CN"/>
        </w:rPr>
        <w:t>，主要是由于评价范围内平均净生产力水平较高的</w:t>
      </w:r>
      <w:r w:rsidR="00E049A5" w:rsidRPr="00E67914">
        <w:rPr>
          <w:rFonts w:ascii="Times New Roman" w:hAnsi="Times New Roman"/>
          <w:sz w:val="24"/>
          <w:szCs w:val="24"/>
          <w:lang w:eastAsia="zh-CN"/>
        </w:rPr>
        <w:t>草丛</w:t>
      </w:r>
      <w:r w:rsidRPr="00E67914">
        <w:rPr>
          <w:rFonts w:ascii="Times New Roman" w:hAnsi="Times New Roman"/>
          <w:sz w:val="24"/>
          <w:szCs w:val="24"/>
          <w:lang w:eastAsia="zh-CN"/>
        </w:rPr>
        <w:t>植被，因为人为干扰，已经基本不复存在，取而代之的是平均净生产力水平较低的耕地植被。</w:t>
      </w:r>
    </w:p>
    <w:p w14:paraId="2F49CC86"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4.3.6</w:t>
      </w:r>
      <w:r w:rsidRPr="00E67914">
        <w:rPr>
          <w:rFonts w:ascii="Times New Roman" w:eastAsia="黑体" w:hAnsi="Times New Roman"/>
          <w:b w:val="0"/>
          <w:sz w:val="24"/>
          <w:szCs w:val="24"/>
          <w:lang w:eastAsia="zh-CN"/>
        </w:rPr>
        <w:t>景观生态体系现状调查</w:t>
      </w:r>
    </w:p>
    <w:p w14:paraId="3D37F278" w14:textId="77777777" w:rsidR="00A54A8A" w:rsidRPr="00E67914" w:rsidRDefault="00000000" w:rsidP="00E049A5">
      <w:pPr>
        <w:widowControl w:val="0"/>
        <w:adjustRightInd w:val="0"/>
        <w:snapToGrid w:val="0"/>
        <w:spacing w:line="360" w:lineRule="auto"/>
        <w:ind w:firstLine="482"/>
        <w:jc w:val="both"/>
        <w:rPr>
          <w:rFonts w:ascii="Times New Roman" w:hAnsi="Times New Roman"/>
          <w:sz w:val="24"/>
          <w:lang w:eastAsia="zh-CN"/>
        </w:rPr>
      </w:pPr>
      <w:r w:rsidRPr="00E67914">
        <w:rPr>
          <w:rFonts w:ascii="Times New Roman" w:hAnsi="Times New Roman"/>
          <w:sz w:val="24"/>
          <w:szCs w:val="24"/>
          <w:lang w:eastAsia="zh-CN"/>
        </w:rPr>
        <w:t>景观（</w:t>
      </w:r>
      <w:r w:rsidRPr="00E67914">
        <w:rPr>
          <w:rFonts w:ascii="Times New Roman" w:hAnsi="Times New Roman"/>
          <w:sz w:val="24"/>
          <w:szCs w:val="24"/>
          <w:lang w:eastAsia="zh-CN"/>
        </w:rPr>
        <w:t>Landscape</w:t>
      </w:r>
      <w:r w:rsidRPr="00E67914">
        <w:rPr>
          <w:rFonts w:ascii="Times New Roman" w:hAnsi="Times New Roman"/>
          <w:sz w:val="24"/>
          <w:szCs w:val="24"/>
          <w:lang w:eastAsia="zh-CN"/>
        </w:rPr>
        <w:t>）的定义有多种表述，但大部分都是反映内陆地形、地貌或景色的，或是反映某一地理区域的综合地形特征。而景观生态学（</w:t>
      </w:r>
      <w:r w:rsidRPr="00E67914">
        <w:rPr>
          <w:rFonts w:ascii="Times New Roman" w:hAnsi="Times New Roman"/>
          <w:sz w:val="24"/>
          <w:szCs w:val="24"/>
          <w:lang w:eastAsia="zh-CN"/>
        </w:rPr>
        <w:t>LandscapeEcology</w:t>
      </w:r>
      <w:r w:rsidRPr="00E67914">
        <w:rPr>
          <w:rFonts w:ascii="Times New Roman" w:hAnsi="Times New Roman"/>
          <w:sz w:val="24"/>
          <w:szCs w:val="24"/>
          <w:lang w:eastAsia="zh-CN"/>
        </w:rPr>
        <w:t>）将景观定义为：</w:t>
      </w:r>
      <w:r w:rsidRPr="00E67914">
        <w:rPr>
          <w:rFonts w:ascii="Times New Roman" w:hAnsi="Times New Roman"/>
          <w:sz w:val="24"/>
          <w:szCs w:val="24"/>
          <w:lang w:eastAsia="zh-CN"/>
        </w:rPr>
        <w:t>“</w:t>
      </w:r>
      <w:r w:rsidRPr="00E67914">
        <w:rPr>
          <w:rFonts w:ascii="Times New Roman" w:hAnsi="Times New Roman"/>
          <w:sz w:val="24"/>
          <w:szCs w:val="24"/>
          <w:lang w:eastAsia="zh-CN"/>
        </w:rPr>
        <w:t>一个空间异质性的区域，由相互作用的拼块（</w:t>
      </w:r>
      <w:r w:rsidRPr="00E67914">
        <w:rPr>
          <w:rFonts w:ascii="Times New Roman" w:hAnsi="Times New Roman"/>
          <w:sz w:val="24"/>
          <w:szCs w:val="24"/>
          <w:lang w:eastAsia="zh-CN"/>
        </w:rPr>
        <w:t>patch</w:t>
      </w:r>
      <w:r w:rsidRPr="00E67914">
        <w:rPr>
          <w:rFonts w:ascii="Times New Roman" w:hAnsi="Times New Roman"/>
          <w:sz w:val="24"/>
          <w:szCs w:val="24"/>
          <w:lang w:eastAsia="zh-CN"/>
        </w:rPr>
        <w:t>）或生态系统组成，以相似的形式重复出现的生态体系</w:t>
      </w:r>
      <w:r w:rsidRPr="00E67914">
        <w:rPr>
          <w:rFonts w:ascii="Times New Roman" w:hAnsi="Times New Roman"/>
          <w:sz w:val="24"/>
          <w:szCs w:val="24"/>
          <w:lang w:eastAsia="zh-CN"/>
        </w:rPr>
        <w:t>”</w:t>
      </w:r>
      <w:r w:rsidRPr="00E67914">
        <w:rPr>
          <w:rFonts w:ascii="Times New Roman" w:hAnsi="Times New Roman"/>
          <w:sz w:val="24"/>
          <w:szCs w:val="24"/>
          <w:lang w:eastAsia="zh-CN"/>
        </w:rPr>
        <w:t>。为了深入认识评价范围内的环境特征，下面用景观生态学的原理和方法来研究生态体系的组成、特征、生产力及其稳定性</w:t>
      </w:r>
      <w:r w:rsidRPr="00E67914">
        <w:rPr>
          <w:rFonts w:ascii="Times New Roman" w:hAnsi="Times New Roman"/>
          <w:sz w:val="24"/>
          <w:lang w:eastAsia="zh-CN"/>
        </w:rPr>
        <w:t>。</w:t>
      </w:r>
    </w:p>
    <w:p w14:paraId="72893965" w14:textId="77777777"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bookmarkStart w:id="127" w:name="_Hlk118809647"/>
      <w:r w:rsidRPr="00E67914">
        <w:rPr>
          <w:rFonts w:ascii="Times New Roman" w:hAnsi="Times New Roman"/>
          <w:sz w:val="24"/>
          <w:szCs w:val="24"/>
          <w:lang w:eastAsia="zh-CN"/>
        </w:rPr>
        <w:t>按照生态学中景观的概念描述可知，景观生态体系的组成即生态系统或土地利用类型组成，因而可以用评价范围内的主要土地利用类型</w:t>
      </w:r>
      <w:r w:rsidRPr="00E67914">
        <w:rPr>
          <w:rFonts w:ascii="Times New Roman" w:hAnsi="Times New Roman"/>
          <w:sz w:val="24"/>
          <w:szCs w:val="24"/>
          <w:lang w:eastAsia="zh-CN"/>
        </w:rPr>
        <w:t>——</w:t>
      </w:r>
      <w:r w:rsidRPr="00E67914">
        <w:rPr>
          <w:rFonts w:ascii="Times New Roman" w:hAnsi="Times New Roman"/>
          <w:sz w:val="24"/>
          <w:szCs w:val="24"/>
          <w:lang w:eastAsia="zh-CN"/>
        </w:rPr>
        <w:t>森林、灌丛、灌草丛、耕地、河流水面、建设用地等生态系统作为景观体系的基本单元</w:t>
      </w:r>
      <w:r w:rsidRPr="00E67914">
        <w:rPr>
          <w:rFonts w:ascii="Times New Roman" w:hAnsi="Times New Roman"/>
          <w:sz w:val="24"/>
          <w:szCs w:val="24"/>
          <w:lang w:eastAsia="zh-CN"/>
        </w:rPr>
        <w:t>——</w:t>
      </w:r>
      <w:r w:rsidRPr="00E67914">
        <w:rPr>
          <w:rFonts w:ascii="Times New Roman" w:hAnsi="Times New Roman"/>
          <w:sz w:val="24"/>
          <w:szCs w:val="24"/>
          <w:lang w:eastAsia="zh-CN"/>
        </w:rPr>
        <w:t>拼块来进行景观分析。</w:t>
      </w:r>
    </w:p>
    <w:p w14:paraId="156BC71D" w14:textId="77777777"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）马尾松、柏木、麻栎、青冈、栓皮栎及乔木经济树种等为主的森林拼块</w:t>
      </w:r>
    </w:p>
    <w:p w14:paraId="62C25AE8" w14:textId="5AE10197"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属于人工栽培或干预后经过一段时间自然生长发育形成，具有一定人工性，属于环境资源拼块。该拼块广泛分布，连通程度较高。该拼块面积为</w:t>
      </w:r>
      <w:r w:rsidR="00E049A5" w:rsidRPr="00E67914">
        <w:rPr>
          <w:rFonts w:ascii="Times New Roman" w:hAnsi="Times New Roman"/>
          <w:sz w:val="24"/>
          <w:szCs w:val="24"/>
          <w:lang w:eastAsia="zh-CN"/>
        </w:rPr>
        <w:t>39.17</w:t>
      </w:r>
      <w:r w:rsidRPr="00E67914">
        <w:rPr>
          <w:rFonts w:ascii="Times New Roman" w:hAnsi="Times New Roman"/>
          <w:sz w:val="24"/>
          <w:szCs w:val="24"/>
          <w:lang w:eastAsia="zh-CN"/>
        </w:rPr>
        <w:t>hm²</w:t>
      </w:r>
      <w:r w:rsidRPr="00E67914">
        <w:rPr>
          <w:rFonts w:ascii="Times New Roman" w:hAnsi="Times New Roman"/>
          <w:sz w:val="24"/>
          <w:szCs w:val="24"/>
          <w:lang w:eastAsia="zh-CN"/>
        </w:rPr>
        <w:t>，约占评价区域总面积的</w:t>
      </w:r>
      <w:r w:rsidR="00E049A5" w:rsidRPr="00E67914">
        <w:rPr>
          <w:rFonts w:ascii="Times New Roman" w:hAnsi="Times New Roman"/>
          <w:sz w:val="24"/>
          <w:szCs w:val="24"/>
          <w:lang w:eastAsia="zh-CN"/>
        </w:rPr>
        <w:t>49.93</w:t>
      </w:r>
      <w:r w:rsidRPr="00E67914">
        <w:rPr>
          <w:rFonts w:ascii="Times New Roman" w:hAnsi="Times New Roman"/>
          <w:sz w:val="24"/>
          <w:szCs w:val="24"/>
          <w:lang w:eastAsia="zh-CN"/>
        </w:rPr>
        <w:t>%</w:t>
      </w:r>
      <w:r w:rsidRPr="00E67914">
        <w:rPr>
          <w:rFonts w:ascii="Times New Roman" w:hAnsi="Times New Roman"/>
          <w:sz w:val="24"/>
          <w:szCs w:val="24"/>
          <w:lang w:eastAsia="zh-CN"/>
        </w:rPr>
        <w:t>，是评价区内较最重要的景观拼块，对评价区内生态起着绝对作用。</w:t>
      </w:r>
    </w:p>
    <w:p w14:paraId="55265909" w14:textId="44DE8449"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野桐、盐肤木、马桑、黄荆、火棘及灌木经济树种等为主的灌丛拼块属于人类活动影响下形成的干扰拼块，多分布在林地边缘地带或荒坡田坎，由于人类活动频繁，受干扰程度高，水土流失和生物多样性受损较严重。该拼块面积为</w:t>
      </w:r>
      <w:r w:rsidR="00E049A5" w:rsidRPr="00E67914">
        <w:rPr>
          <w:rFonts w:ascii="Times New Roman" w:hAnsi="Times New Roman"/>
          <w:sz w:val="24"/>
          <w:szCs w:val="24"/>
          <w:lang w:eastAsia="zh-CN"/>
        </w:rPr>
        <w:t>3.74</w:t>
      </w:r>
      <w:r w:rsidRPr="00E67914">
        <w:rPr>
          <w:rFonts w:ascii="Times New Roman" w:hAnsi="Times New Roman"/>
          <w:sz w:val="24"/>
          <w:szCs w:val="24"/>
          <w:lang w:eastAsia="zh-CN"/>
        </w:rPr>
        <w:t>hm²</w:t>
      </w:r>
      <w:r w:rsidRPr="00E67914">
        <w:rPr>
          <w:rFonts w:ascii="Times New Roman" w:hAnsi="Times New Roman"/>
          <w:sz w:val="24"/>
          <w:szCs w:val="24"/>
          <w:lang w:eastAsia="zh-CN"/>
        </w:rPr>
        <w:t>，占评价区域总面积的</w:t>
      </w:r>
      <w:r w:rsidR="00E049A5" w:rsidRPr="00E67914">
        <w:rPr>
          <w:rFonts w:ascii="Times New Roman" w:hAnsi="Times New Roman"/>
          <w:sz w:val="24"/>
          <w:szCs w:val="24"/>
          <w:lang w:eastAsia="zh-CN"/>
        </w:rPr>
        <w:t>4.77</w:t>
      </w:r>
      <w:r w:rsidRPr="00E67914">
        <w:rPr>
          <w:rFonts w:ascii="Times New Roman" w:hAnsi="Times New Roman"/>
          <w:sz w:val="24"/>
          <w:szCs w:val="24"/>
          <w:lang w:eastAsia="zh-CN"/>
        </w:rPr>
        <w:t>%</w:t>
      </w:r>
      <w:r w:rsidRPr="00E67914">
        <w:rPr>
          <w:rFonts w:ascii="Times New Roman" w:hAnsi="Times New Roman"/>
          <w:sz w:val="24"/>
          <w:szCs w:val="24"/>
          <w:lang w:eastAsia="zh-CN"/>
        </w:rPr>
        <w:t>，是评价区内重要的拼块之一。</w:t>
      </w:r>
    </w:p>
    <w:p w14:paraId="3B32978B" w14:textId="77777777"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lastRenderedPageBreak/>
        <w:t>（</w:t>
      </w:r>
      <w:r w:rsidRPr="00E67914">
        <w:rPr>
          <w:rFonts w:ascii="Times New Roman" w:hAnsi="Times New Roman"/>
          <w:sz w:val="24"/>
          <w:szCs w:val="24"/>
          <w:lang w:eastAsia="zh-CN"/>
        </w:rPr>
        <w:t>3</w:t>
      </w:r>
      <w:r w:rsidRPr="00E67914">
        <w:rPr>
          <w:rFonts w:ascii="Times New Roman" w:hAnsi="Times New Roman"/>
          <w:sz w:val="24"/>
          <w:szCs w:val="24"/>
          <w:lang w:eastAsia="zh-CN"/>
        </w:rPr>
        <w:t>）芒、白茅、蕨、芒萁等为主的灌草丛拼块</w:t>
      </w:r>
    </w:p>
    <w:p w14:paraId="1EEC9134" w14:textId="33FF7BAE"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属于人类活动影响下形成的干扰拼块，分布广泛，由于人类活动频繁，受干扰程度高，水土流失和生物多样性受损较严重。该拼块面积为</w:t>
      </w:r>
      <w:r w:rsidR="00E049A5" w:rsidRPr="00E67914">
        <w:rPr>
          <w:rFonts w:ascii="Times New Roman" w:hAnsi="Times New Roman"/>
          <w:sz w:val="24"/>
          <w:szCs w:val="24"/>
          <w:lang w:eastAsia="zh-CN"/>
        </w:rPr>
        <w:t>1.49</w:t>
      </w:r>
      <w:r w:rsidRPr="00E67914">
        <w:rPr>
          <w:rFonts w:ascii="Times New Roman" w:hAnsi="Times New Roman"/>
          <w:sz w:val="24"/>
          <w:szCs w:val="24"/>
          <w:lang w:eastAsia="zh-CN"/>
        </w:rPr>
        <w:t>hm²</w:t>
      </w:r>
      <w:r w:rsidRPr="00E67914">
        <w:rPr>
          <w:rFonts w:ascii="Times New Roman" w:hAnsi="Times New Roman"/>
          <w:sz w:val="24"/>
          <w:szCs w:val="24"/>
          <w:lang w:eastAsia="zh-CN"/>
        </w:rPr>
        <w:t>，占评价区总面积的</w:t>
      </w:r>
      <w:r w:rsidR="00E049A5" w:rsidRPr="00E67914">
        <w:rPr>
          <w:rFonts w:ascii="Times New Roman" w:hAnsi="Times New Roman"/>
          <w:sz w:val="24"/>
          <w:szCs w:val="24"/>
          <w:lang w:eastAsia="zh-CN"/>
        </w:rPr>
        <w:t>1.89</w:t>
      </w:r>
      <w:r w:rsidRPr="00E67914">
        <w:rPr>
          <w:rFonts w:ascii="Times New Roman" w:hAnsi="Times New Roman"/>
          <w:sz w:val="24"/>
          <w:szCs w:val="24"/>
          <w:lang w:eastAsia="zh-CN"/>
        </w:rPr>
        <w:t>%</w:t>
      </w:r>
      <w:r w:rsidRPr="00E67914">
        <w:rPr>
          <w:rFonts w:ascii="Times New Roman" w:hAnsi="Times New Roman"/>
          <w:sz w:val="24"/>
          <w:szCs w:val="24"/>
          <w:lang w:eastAsia="zh-CN"/>
        </w:rPr>
        <w:t>。</w:t>
      </w:r>
    </w:p>
    <w:p w14:paraId="748B4C55" w14:textId="77777777"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4</w:t>
      </w:r>
      <w:r w:rsidRPr="00E67914">
        <w:rPr>
          <w:rFonts w:ascii="Times New Roman" w:hAnsi="Times New Roman"/>
          <w:sz w:val="24"/>
          <w:szCs w:val="24"/>
          <w:lang w:eastAsia="zh-CN"/>
        </w:rPr>
        <w:t>）以水稻、玉米、红苕、棉花、花生、小麦、马铃薯、豌豆为主的耕地植被拼块</w:t>
      </w:r>
    </w:p>
    <w:p w14:paraId="1EFC4DEB" w14:textId="0BD2A6D4"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属于人工引进的种植拼块。该拼块的生境、外貌及结构与水田均有明显区别，其生境一般比较干燥，地面具有一定坡度，作物种类比较多样化，并形成多种组合。该拼块面积为</w:t>
      </w:r>
      <w:r w:rsidR="00E049A5" w:rsidRPr="00E67914">
        <w:rPr>
          <w:rFonts w:ascii="Times New Roman" w:hAnsi="Times New Roman"/>
          <w:sz w:val="24"/>
          <w:szCs w:val="24"/>
          <w:lang w:eastAsia="zh-CN"/>
        </w:rPr>
        <w:t>27.67</w:t>
      </w:r>
      <w:r w:rsidRPr="00E67914">
        <w:rPr>
          <w:rFonts w:ascii="Times New Roman" w:hAnsi="Times New Roman"/>
          <w:sz w:val="24"/>
          <w:szCs w:val="24"/>
          <w:lang w:eastAsia="zh-CN"/>
        </w:rPr>
        <w:t>hm²</w:t>
      </w:r>
      <w:r w:rsidRPr="00E67914">
        <w:rPr>
          <w:rFonts w:ascii="Times New Roman" w:hAnsi="Times New Roman"/>
          <w:sz w:val="24"/>
          <w:szCs w:val="24"/>
          <w:lang w:eastAsia="zh-CN"/>
        </w:rPr>
        <w:t>，占评价区面积的</w:t>
      </w:r>
      <w:r w:rsidR="00E049A5" w:rsidRPr="00E67914">
        <w:rPr>
          <w:rFonts w:ascii="Times New Roman" w:hAnsi="Times New Roman"/>
          <w:sz w:val="24"/>
          <w:szCs w:val="24"/>
          <w:lang w:eastAsia="zh-CN"/>
        </w:rPr>
        <w:t>35.27</w:t>
      </w:r>
      <w:r w:rsidRPr="00E67914">
        <w:rPr>
          <w:rFonts w:ascii="Times New Roman" w:hAnsi="Times New Roman"/>
          <w:sz w:val="24"/>
          <w:szCs w:val="24"/>
          <w:lang w:eastAsia="zh-CN"/>
        </w:rPr>
        <w:t>%</w:t>
      </w:r>
      <w:r w:rsidRPr="00E67914">
        <w:rPr>
          <w:rFonts w:ascii="Times New Roman" w:hAnsi="Times New Roman"/>
          <w:sz w:val="24"/>
          <w:szCs w:val="24"/>
          <w:lang w:eastAsia="zh-CN"/>
        </w:rPr>
        <w:t>。</w:t>
      </w:r>
    </w:p>
    <w:p w14:paraId="5045FFB8" w14:textId="77777777"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5</w:t>
      </w:r>
      <w:r w:rsidRPr="00E67914">
        <w:rPr>
          <w:rFonts w:ascii="Times New Roman" w:hAnsi="Times New Roman"/>
          <w:sz w:val="24"/>
          <w:szCs w:val="24"/>
          <w:lang w:eastAsia="zh-CN"/>
        </w:rPr>
        <w:t>）以河流为主的水面拼块</w:t>
      </w:r>
    </w:p>
    <w:p w14:paraId="28701D65" w14:textId="107E5B2A"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为自然或人工形成的水生生态系统，含河流水面</w:t>
      </w:r>
      <w:r w:rsidR="00E049A5" w:rsidRPr="00E67914">
        <w:rPr>
          <w:rFonts w:ascii="Times New Roman" w:hAnsi="Times New Roman"/>
          <w:sz w:val="24"/>
          <w:szCs w:val="24"/>
          <w:lang w:eastAsia="zh-CN"/>
        </w:rPr>
        <w:t>和堰塘</w:t>
      </w:r>
      <w:r w:rsidRPr="00E67914">
        <w:rPr>
          <w:rFonts w:ascii="Times New Roman" w:hAnsi="Times New Roman"/>
          <w:sz w:val="24"/>
          <w:szCs w:val="24"/>
          <w:lang w:eastAsia="zh-CN"/>
        </w:rPr>
        <w:t>，属环境资源拼块。水面拼块总面积为</w:t>
      </w:r>
      <w:r w:rsidR="00E049A5" w:rsidRPr="00E67914">
        <w:rPr>
          <w:rFonts w:ascii="Times New Roman" w:hAnsi="Times New Roman"/>
          <w:sz w:val="24"/>
          <w:szCs w:val="24"/>
          <w:lang w:eastAsia="zh-CN"/>
        </w:rPr>
        <w:t>0.37</w:t>
      </w:r>
      <w:r w:rsidRPr="00E67914">
        <w:rPr>
          <w:rFonts w:ascii="Times New Roman" w:hAnsi="Times New Roman"/>
          <w:sz w:val="24"/>
          <w:szCs w:val="24"/>
          <w:lang w:eastAsia="zh-CN"/>
        </w:rPr>
        <w:t>hm²</w:t>
      </w:r>
      <w:r w:rsidRPr="00E67914">
        <w:rPr>
          <w:rFonts w:ascii="Times New Roman" w:hAnsi="Times New Roman"/>
          <w:sz w:val="24"/>
          <w:szCs w:val="24"/>
          <w:lang w:eastAsia="zh-CN"/>
        </w:rPr>
        <w:t>，占评价区面积的</w:t>
      </w:r>
      <w:r w:rsidR="00E049A5" w:rsidRPr="00E67914">
        <w:rPr>
          <w:rFonts w:ascii="Times New Roman" w:hAnsi="Times New Roman"/>
          <w:sz w:val="24"/>
          <w:szCs w:val="24"/>
          <w:lang w:eastAsia="zh-CN"/>
        </w:rPr>
        <w:t>0.47</w:t>
      </w:r>
      <w:r w:rsidRPr="00E67914">
        <w:rPr>
          <w:rFonts w:ascii="Times New Roman" w:hAnsi="Times New Roman"/>
          <w:sz w:val="24"/>
          <w:szCs w:val="24"/>
          <w:lang w:eastAsia="zh-CN"/>
        </w:rPr>
        <w:t>%</w:t>
      </w:r>
      <w:r w:rsidRPr="00E67914">
        <w:rPr>
          <w:rFonts w:ascii="Times New Roman" w:hAnsi="Times New Roman"/>
          <w:sz w:val="24"/>
          <w:szCs w:val="24"/>
          <w:lang w:eastAsia="zh-CN"/>
        </w:rPr>
        <w:t>。</w:t>
      </w:r>
    </w:p>
    <w:p w14:paraId="70248694" w14:textId="77777777"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6</w:t>
      </w:r>
      <w:r w:rsidRPr="00E67914">
        <w:rPr>
          <w:rFonts w:ascii="Times New Roman" w:hAnsi="Times New Roman"/>
          <w:sz w:val="24"/>
          <w:szCs w:val="24"/>
          <w:lang w:eastAsia="zh-CN"/>
        </w:rPr>
        <w:t>）建设用地为主的人工生态系统拼块</w:t>
      </w:r>
    </w:p>
    <w:p w14:paraId="444BC245" w14:textId="13F48286" w:rsidR="00A54A8A" w:rsidRPr="00E67914" w:rsidRDefault="00000000">
      <w:pPr>
        <w:widowControl w:val="0"/>
        <w:adjustRightInd w:val="0"/>
        <w:snapToGrid w:val="0"/>
        <w:spacing w:line="360" w:lineRule="auto"/>
        <w:ind w:firstLine="482"/>
        <w:rPr>
          <w:rFonts w:ascii="Times New Roman" w:hAnsi="Times New Roman"/>
          <w:sz w:val="24"/>
          <w:szCs w:val="24"/>
          <w:lang w:eastAsia="zh-CN"/>
        </w:rPr>
      </w:pPr>
      <w:r w:rsidRPr="00E67914">
        <w:rPr>
          <w:rFonts w:ascii="Times New Roman" w:hAnsi="Times New Roman"/>
          <w:sz w:val="24"/>
          <w:szCs w:val="24"/>
          <w:lang w:eastAsia="zh-CN"/>
        </w:rPr>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sidR="00E049A5" w:rsidRPr="00E67914">
        <w:rPr>
          <w:rFonts w:ascii="Times New Roman" w:hAnsi="Times New Roman"/>
          <w:sz w:val="24"/>
          <w:szCs w:val="24"/>
          <w:lang w:eastAsia="zh-CN"/>
        </w:rPr>
        <w:t>6.01</w:t>
      </w:r>
      <w:r w:rsidRPr="00E67914">
        <w:rPr>
          <w:rFonts w:ascii="Times New Roman" w:hAnsi="Times New Roman"/>
          <w:sz w:val="24"/>
          <w:szCs w:val="24"/>
          <w:lang w:eastAsia="zh-CN"/>
        </w:rPr>
        <w:t>hm²</w:t>
      </w:r>
      <w:r w:rsidRPr="00E67914">
        <w:rPr>
          <w:rFonts w:ascii="Times New Roman" w:hAnsi="Times New Roman"/>
          <w:sz w:val="24"/>
          <w:szCs w:val="24"/>
          <w:lang w:eastAsia="zh-CN"/>
        </w:rPr>
        <w:t>，占评价区总面积的</w:t>
      </w:r>
      <w:r w:rsidR="00E049A5" w:rsidRPr="00E67914">
        <w:rPr>
          <w:rFonts w:ascii="Times New Roman" w:hAnsi="Times New Roman"/>
          <w:sz w:val="24"/>
          <w:szCs w:val="24"/>
          <w:lang w:eastAsia="zh-CN"/>
        </w:rPr>
        <w:t>7.66</w:t>
      </w:r>
      <w:r w:rsidRPr="00E67914">
        <w:rPr>
          <w:rFonts w:ascii="Times New Roman" w:hAnsi="Times New Roman"/>
          <w:sz w:val="24"/>
          <w:szCs w:val="24"/>
          <w:lang w:eastAsia="zh-CN"/>
        </w:rPr>
        <w:t>%</w:t>
      </w:r>
      <w:r w:rsidRPr="00E67914">
        <w:rPr>
          <w:rFonts w:ascii="Times New Roman" w:hAnsi="Times New Roman"/>
          <w:sz w:val="24"/>
          <w:szCs w:val="24"/>
          <w:lang w:eastAsia="zh-CN"/>
        </w:rPr>
        <w:t>。</w:t>
      </w:r>
    </w:p>
    <w:p w14:paraId="29689720" w14:textId="77777777" w:rsidR="00A54A8A" w:rsidRPr="00E67914" w:rsidRDefault="00000000">
      <w:pPr>
        <w:widowControl w:val="0"/>
        <w:adjustRightInd w:val="0"/>
        <w:snapToGrid w:val="0"/>
        <w:spacing w:line="360" w:lineRule="auto"/>
        <w:ind w:firstLine="482"/>
        <w:jc w:val="both"/>
        <w:rPr>
          <w:rFonts w:ascii="Times New Roman" w:hAnsi="Times New Roman"/>
          <w:sz w:val="24"/>
          <w:szCs w:val="24"/>
          <w:lang w:eastAsia="zh-CN"/>
        </w:rPr>
      </w:pPr>
      <w:r w:rsidRPr="00E67914">
        <w:rPr>
          <w:rFonts w:ascii="Times New Roman" w:hAnsi="Times New Roman"/>
          <w:sz w:val="24"/>
          <w:szCs w:val="24"/>
          <w:lang w:eastAsia="zh-CN"/>
        </w:rPr>
        <w:t>以上拼块类型构成了本区景观生态体系，它们之间既相互联系又相互制约。</w:t>
      </w:r>
    </w:p>
    <w:p w14:paraId="2C7A7A19" w14:textId="19B51B96" w:rsidR="00A54A8A" w:rsidRPr="00E67914" w:rsidRDefault="00000000">
      <w:pPr>
        <w:widowControl w:val="0"/>
        <w:adjustRightInd w:val="0"/>
        <w:snapToGrid w:val="0"/>
        <w:spacing w:line="360" w:lineRule="auto"/>
        <w:ind w:firstLine="482"/>
        <w:jc w:val="both"/>
        <w:rPr>
          <w:rFonts w:ascii="Times New Roman" w:hAnsi="Times New Roman"/>
          <w:sz w:val="24"/>
          <w:lang w:eastAsia="zh-CN"/>
        </w:rPr>
      </w:pPr>
      <w:r w:rsidRPr="00E67914">
        <w:rPr>
          <w:rFonts w:ascii="Times New Roman" w:hAnsi="Times New Roman"/>
          <w:sz w:val="24"/>
          <w:szCs w:val="24"/>
          <w:lang w:eastAsia="zh-CN"/>
        </w:rPr>
        <w:t>以马尾松、柏木、麻栎、青冈、栓皮栎及乔木经济树种的森林拼块，以野桐、盐肤木、马桑、黄荆、火棘及灌木经济树种为主的灌丛拼块等陆地生态系统决定了以河流水面为主的水生生态系统状况，同时对以水稻、玉米、红苕、棉花、花生、小麦、马铃薯、豌豆为主的耕地植被的生产力水平有着重要影响。环境资源拼块自然生产能力和稳定性的维护是决定本区生态环境质量的主导性因素，该类型拼块的总面积为</w:t>
      </w:r>
      <w:r w:rsidR="005C1AD6" w:rsidRPr="00E67914">
        <w:rPr>
          <w:rFonts w:ascii="Times New Roman" w:hAnsi="Times New Roman"/>
          <w:sz w:val="24"/>
          <w:szCs w:val="24"/>
          <w:lang w:eastAsia="zh-CN"/>
        </w:rPr>
        <w:t>44.77</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，占所有拼块总面积的</w:t>
      </w:r>
      <w:r w:rsidR="005C1AD6" w:rsidRPr="00E67914">
        <w:rPr>
          <w:rFonts w:ascii="Times New Roman" w:hAnsi="Times New Roman"/>
          <w:sz w:val="24"/>
          <w:szCs w:val="24"/>
          <w:lang w:eastAsia="zh-CN"/>
        </w:rPr>
        <w:t>57.06</w:t>
      </w:r>
      <w:r w:rsidRPr="00E67914">
        <w:rPr>
          <w:rFonts w:ascii="Times New Roman" w:hAnsi="Times New Roman"/>
          <w:sz w:val="24"/>
          <w:szCs w:val="24"/>
          <w:lang w:eastAsia="zh-CN"/>
        </w:rPr>
        <w:t>%</w:t>
      </w:r>
      <w:r w:rsidRPr="00E67914">
        <w:rPr>
          <w:rFonts w:ascii="Times New Roman" w:hAnsi="Times New Roman"/>
          <w:sz w:val="24"/>
          <w:szCs w:val="24"/>
          <w:lang w:eastAsia="zh-CN"/>
        </w:rPr>
        <w:t>；人为活动影响产生的拼块总面积为</w:t>
      </w:r>
      <w:r w:rsidR="005C1AD6" w:rsidRPr="00E67914">
        <w:rPr>
          <w:rFonts w:ascii="Times New Roman" w:hAnsi="Times New Roman"/>
          <w:sz w:val="24"/>
          <w:szCs w:val="24"/>
          <w:lang w:eastAsia="zh-CN"/>
        </w:rPr>
        <w:t>33.69</w:t>
      </w:r>
      <w:r w:rsidRPr="00E67914">
        <w:rPr>
          <w:rFonts w:ascii="Times New Roman" w:hAnsi="Times New Roman"/>
          <w:sz w:val="24"/>
          <w:szCs w:val="24"/>
          <w:lang w:eastAsia="zh-CN"/>
        </w:rPr>
        <w:t>hm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，占所有拼块总面积的</w:t>
      </w:r>
      <w:r w:rsidR="005C1AD6" w:rsidRPr="00E67914">
        <w:rPr>
          <w:rFonts w:ascii="Times New Roman" w:hAnsi="Times New Roman"/>
          <w:sz w:val="24"/>
          <w:szCs w:val="24"/>
          <w:lang w:eastAsia="zh-CN"/>
        </w:rPr>
        <w:t>42.94</w:t>
      </w:r>
      <w:r w:rsidRPr="00E67914">
        <w:rPr>
          <w:rFonts w:ascii="Times New Roman" w:hAnsi="Times New Roman"/>
          <w:sz w:val="24"/>
          <w:szCs w:val="24"/>
          <w:lang w:eastAsia="zh-CN"/>
        </w:rPr>
        <w:t>%</w:t>
      </w:r>
      <w:r w:rsidRPr="00E67914">
        <w:rPr>
          <w:rFonts w:ascii="Times New Roman" w:hAnsi="Times New Roman"/>
          <w:sz w:val="24"/>
          <w:lang w:eastAsia="zh-CN"/>
        </w:rPr>
        <w:t>。</w:t>
      </w:r>
    </w:p>
    <w:p w14:paraId="71AAD1E4" w14:textId="6C6B114C" w:rsidR="00A54A8A" w:rsidRPr="00E67914" w:rsidRDefault="00000000">
      <w:pPr>
        <w:widowControl w:val="0"/>
        <w:adjustRightInd w:val="0"/>
        <w:snapToGrid w:val="0"/>
        <w:spacing w:line="360" w:lineRule="auto"/>
        <w:ind w:firstLine="482"/>
        <w:rPr>
          <w:rFonts w:ascii="Times New Roman" w:hAnsi="Times New Roman"/>
          <w:sz w:val="24"/>
          <w:lang w:eastAsia="zh-CN"/>
        </w:rPr>
      </w:pPr>
      <w:r w:rsidRPr="00E67914">
        <w:rPr>
          <w:rFonts w:ascii="Times New Roman" w:hAnsi="Times New Roman"/>
          <w:sz w:val="24"/>
          <w:lang w:eastAsia="zh-CN"/>
        </w:rPr>
        <w:t>评价范围内以上各景观拼块相应特征见表</w:t>
      </w:r>
      <w:r w:rsidRPr="00E67914">
        <w:rPr>
          <w:rFonts w:ascii="Times New Roman" w:hAnsi="Times New Roman"/>
          <w:sz w:val="24"/>
          <w:lang w:eastAsia="zh-CN"/>
        </w:rPr>
        <w:t>4.3-1</w:t>
      </w:r>
      <w:bookmarkEnd w:id="127"/>
      <w:r w:rsidR="008752B7" w:rsidRPr="00E67914">
        <w:rPr>
          <w:rFonts w:ascii="Times New Roman" w:hAnsi="Times New Roman"/>
          <w:sz w:val="24"/>
          <w:lang w:eastAsia="zh-CN"/>
        </w:rPr>
        <w:t>2</w:t>
      </w:r>
      <w:r w:rsidRPr="00E67914">
        <w:rPr>
          <w:rFonts w:ascii="Times New Roman" w:hAnsi="Times New Roman"/>
          <w:sz w:val="24"/>
          <w:lang w:eastAsia="zh-CN"/>
        </w:rPr>
        <w:t>。</w:t>
      </w:r>
    </w:p>
    <w:p w14:paraId="41431C9A" w14:textId="6CE9E6C9"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4.3-1</w:t>
      </w:r>
      <w:r w:rsidR="008752B7" w:rsidRPr="00E67914">
        <w:rPr>
          <w:rFonts w:ascii="Times New Roman" w:eastAsia="黑体" w:hAnsi="Times New Roman"/>
          <w:sz w:val="21"/>
          <w:szCs w:val="21"/>
          <w:lang w:eastAsia="zh-CN"/>
        </w:rPr>
        <w:t>2</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评价区域拼块类型、数量及面积表</w:t>
      </w:r>
    </w:p>
    <w:tbl>
      <w:tblPr>
        <w:tblW w:w="5000" w:type="pct"/>
        <w:jc w:val="center"/>
        <w:tblCellMar>
          <w:top w:w="15" w:type="dxa"/>
          <w:left w:w="15" w:type="dxa"/>
          <w:bottom w:w="15" w:type="dxa"/>
          <w:right w:w="15" w:type="dxa"/>
        </w:tblCellMar>
        <w:tblLook w:val="04A0" w:firstRow="1" w:lastRow="0" w:firstColumn="1" w:lastColumn="0" w:noHBand="0" w:noVBand="1"/>
      </w:tblPr>
      <w:tblGrid>
        <w:gridCol w:w="3108"/>
        <w:gridCol w:w="2772"/>
        <w:gridCol w:w="2420"/>
      </w:tblGrid>
      <w:tr w:rsidR="00E67914" w:rsidRPr="00E67914" w14:paraId="401976D0" w14:textId="77777777" w:rsidTr="00E049A5">
        <w:trPr>
          <w:trHeight w:val="31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46AD14B0"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拼块类型</w:t>
            </w:r>
          </w:p>
        </w:tc>
        <w:tc>
          <w:tcPr>
            <w:tcW w:w="1670" w:type="pct"/>
            <w:tcBorders>
              <w:top w:val="single" w:sz="4" w:space="0" w:color="000000"/>
              <w:left w:val="single" w:sz="4" w:space="0" w:color="000000"/>
              <w:bottom w:val="single" w:sz="4" w:space="0" w:color="000000"/>
              <w:right w:val="single" w:sz="4" w:space="0" w:color="000000"/>
            </w:tcBorders>
            <w:vAlign w:val="center"/>
          </w:tcPr>
          <w:p w14:paraId="78FF8E7B"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面积（</w:t>
            </w:r>
            <w:r w:rsidRPr="00E67914">
              <w:rPr>
                <w:rFonts w:ascii="Times New Roman" w:hAnsi="Times New Roman"/>
                <w:sz w:val="21"/>
                <w:szCs w:val="21"/>
                <w:lang w:bidi="ar"/>
              </w:rPr>
              <w:t>hm</w:t>
            </w:r>
            <w:r w:rsidRPr="00E67914">
              <w:rPr>
                <w:rFonts w:ascii="Times New Roman" w:hAnsi="Times New Roman"/>
                <w:sz w:val="21"/>
                <w:szCs w:val="21"/>
                <w:vertAlign w:val="superscript"/>
                <w:lang w:bidi="ar"/>
              </w:rPr>
              <w:t>2</w:t>
            </w:r>
            <w:r w:rsidRPr="00E67914">
              <w:rPr>
                <w:rFonts w:ascii="Times New Roman" w:hAnsi="Times New Roman"/>
                <w:sz w:val="21"/>
                <w:szCs w:val="21"/>
                <w:lang w:bidi="ar"/>
              </w:rPr>
              <w:t>）</w:t>
            </w:r>
          </w:p>
        </w:tc>
        <w:tc>
          <w:tcPr>
            <w:tcW w:w="1458" w:type="pct"/>
            <w:tcBorders>
              <w:top w:val="single" w:sz="4" w:space="0" w:color="000000"/>
              <w:left w:val="single" w:sz="4" w:space="0" w:color="000000"/>
              <w:bottom w:val="single" w:sz="4" w:space="0" w:color="000000"/>
              <w:right w:val="single" w:sz="4" w:space="0" w:color="000000"/>
            </w:tcBorders>
            <w:vAlign w:val="center"/>
          </w:tcPr>
          <w:p w14:paraId="7F0A101F"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百分比（</w:t>
            </w:r>
            <w:r w:rsidRPr="00E67914">
              <w:rPr>
                <w:rFonts w:ascii="Times New Roman" w:hAnsi="Times New Roman"/>
                <w:sz w:val="21"/>
                <w:szCs w:val="21"/>
                <w:lang w:bidi="ar"/>
              </w:rPr>
              <w:t>%</w:t>
            </w:r>
            <w:r w:rsidRPr="00E67914">
              <w:rPr>
                <w:rFonts w:ascii="Times New Roman" w:hAnsi="Times New Roman"/>
                <w:sz w:val="21"/>
                <w:szCs w:val="21"/>
                <w:lang w:bidi="ar"/>
              </w:rPr>
              <w:t>）</w:t>
            </w:r>
          </w:p>
        </w:tc>
      </w:tr>
      <w:tr w:rsidR="00E67914" w:rsidRPr="00E67914" w14:paraId="405B8AB2" w14:textId="77777777" w:rsidTr="00E049A5">
        <w:trPr>
          <w:trHeight w:val="31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2BEFE5A7"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森林拼块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2D49F436" w14:textId="40A6FD92" w:rsidR="00A54A8A" w:rsidRPr="00E67914" w:rsidRDefault="00E049A5" w:rsidP="00E049A5">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39.17</w:t>
            </w:r>
          </w:p>
        </w:tc>
        <w:tc>
          <w:tcPr>
            <w:tcW w:w="1458" w:type="pct"/>
            <w:tcBorders>
              <w:top w:val="single" w:sz="4" w:space="0" w:color="000000"/>
              <w:left w:val="single" w:sz="4" w:space="0" w:color="000000"/>
              <w:bottom w:val="single" w:sz="4" w:space="0" w:color="000000"/>
              <w:right w:val="single" w:sz="4" w:space="0" w:color="000000"/>
            </w:tcBorders>
            <w:vAlign w:val="center"/>
          </w:tcPr>
          <w:p w14:paraId="092A8C78" w14:textId="2072D6DE" w:rsidR="00A54A8A" w:rsidRPr="00E67914" w:rsidRDefault="00E049A5"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49.93</w:t>
            </w:r>
          </w:p>
        </w:tc>
      </w:tr>
      <w:tr w:rsidR="00E67914" w:rsidRPr="00E67914" w14:paraId="7A20E18C" w14:textId="77777777" w:rsidTr="00E049A5">
        <w:trPr>
          <w:trHeight w:val="40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12E4A3DC"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灌丛拼块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686EF68D" w14:textId="2B6CBDF7" w:rsidR="00A54A8A" w:rsidRPr="00E67914" w:rsidRDefault="00E049A5"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3.74</w:t>
            </w:r>
          </w:p>
        </w:tc>
        <w:tc>
          <w:tcPr>
            <w:tcW w:w="1458" w:type="pct"/>
            <w:tcBorders>
              <w:top w:val="single" w:sz="4" w:space="0" w:color="000000"/>
              <w:left w:val="single" w:sz="4" w:space="0" w:color="000000"/>
              <w:bottom w:val="single" w:sz="4" w:space="0" w:color="000000"/>
              <w:right w:val="single" w:sz="4" w:space="0" w:color="000000"/>
            </w:tcBorders>
            <w:vAlign w:val="center"/>
          </w:tcPr>
          <w:p w14:paraId="03F571F1" w14:textId="6EFB19CB" w:rsidR="00A54A8A" w:rsidRPr="00E67914" w:rsidRDefault="00E049A5" w:rsidP="00E049A5">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4.77</w:t>
            </w:r>
          </w:p>
        </w:tc>
      </w:tr>
      <w:tr w:rsidR="00E67914" w:rsidRPr="00E67914" w14:paraId="20AC57A6" w14:textId="77777777" w:rsidTr="00E049A5">
        <w:trPr>
          <w:trHeight w:val="385"/>
          <w:jc w:val="center"/>
        </w:trPr>
        <w:tc>
          <w:tcPr>
            <w:tcW w:w="1872" w:type="pct"/>
            <w:tcBorders>
              <w:top w:val="single" w:sz="4" w:space="0" w:color="000000"/>
              <w:left w:val="single" w:sz="4" w:space="0" w:color="000000"/>
              <w:bottom w:val="single" w:sz="4" w:space="0" w:color="000000"/>
              <w:right w:val="single" w:sz="4" w:space="0" w:color="000000"/>
            </w:tcBorders>
            <w:vAlign w:val="center"/>
          </w:tcPr>
          <w:p w14:paraId="5A799E23"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lastRenderedPageBreak/>
              <w:t>灌草丛拼块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06B47C4F" w14:textId="2118B34F" w:rsidR="00A54A8A" w:rsidRPr="00E67914" w:rsidRDefault="00E049A5"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1.49</w:t>
            </w:r>
          </w:p>
        </w:tc>
        <w:tc>
          <w:tcPr>
            <w:tcW w:w="1458" w:type="pct"/>
            <w:tcBorders>
              <w:top w:val="single" w:sz="4" w:space="0" w:color="000000"/>
              <w:left w:val="single" w:sz="4" w:space="0" w:color="000000"/>
              <w:bottom w:val="single" w:sz="4" w:space="0" w:color="000000"/>
              <w:right w:val="single" w:sz="4" w:space="0" w:color="000000"/>
            </w:tcBorders>
            <w:vAlign w:val="center"/>
          </w:tcPr>
          <w:p w14:paraId="5511A323" w14:textId="7AEFD365" w:rsidR="00A54A8A" w:rsidRPr="00E67914" w:rsidRDefault="00E049A5" w:rsidP="00E049A5">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1.89</w:t>
            </w:r>
          </w:p>
        </w:tc>
      </w:tr>
      <w:tr w:rsidR="00E67914" w:rsidRPr="00E67914" w14:paraId="759E3F7A" w14:textId="77777777" w:rsidTr="00E049A5">
        <w:trPr>
          <w:trHeight w:val="330"/>
          <w:jc w:val="center"/>
        </w:trPr>
        <w:tc>
          <w:tcPr>
            <w:tcW w:w="1872" w:type="pct"/>
            <w:tcBorders>
              <w:top w:val="single" w:sz="4" w:space="0" w:color="000000"/>
              <w:left w:val="single" w:sz="4" w:space="0" w:color="000000"/>
              <w:bottom w:val="single" w:sz="4" w:space="0" w:color="auto"/>
              <w:right w:val="single" w:sz="4" w:space="0" w:color="000000"/>
            </w:tcBorders>
            <w:vAlign w:val="center"/>
          </w:tcPr>
          <w:p w14:paraId="0EAB3E4B"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耕地植被拼块</w:t>
            </w:r>
          </w:p>
        </w:tc>
        <w:tc>
          <w:tcPr>
            <w:tcW w:w="1670" w:type="pct"/>
            <w:tcBorders>
              <w:top w:val="single" w:sz="4" w:space="0" w:color="000000"/>
              <w:left w:val="single" w:sz="4" w:space="0" w:color="000000"/>
              <w:bottom w:val="single" w:sz="4" w:space="0" w:color="000000"/>
              <w:right w:val="single" w:sz="4" w:space="0" w:color="000000"/>
            </w:tcBorders>
            <w:vAlign w:val="center"/>
          </w:tcPr>
          <w:p w14:paraId="5A81858E" w14:textId="534812A3" w:rsidR="00A54A8A" w:rsidRPr="00E67914" w:rsidRDefault="00E049A5"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27.67</w:t>
            </w:r>
          </w:p>
        </w:tc>
        <w:tc>
          <w:tcPr>
            <w:tcW w:w="1458" w:type="pct"/>
            <w:tcBorders>
              <w:top w:val="single" w:sz="4" w:space="0" w:color="000000"/>
              <w:left w:val="single" w:sz="4" w:space="0" w:color="000000"/>
              <w:bottom w:val="single" w:sz="4" w:space="0" w:color="000000"/>
              <w:right w:val="single" w:sz="4" w:space="0" w:color="000000"/>
            </w:tcBorders>
            <w:vAlign w:val="center"/>
          </w:tcPr>
          <w:p w14:paraId="35ED8F46" w14:textId="4BCF6984" w:rsidR="00A54A8A" w:rsidRPr="00E67914" w:rsidRDefault="00E049A5" w:rsidP="00E049A5">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35.27</w:t>
            </w:r>
          </w:p>
        </w:tc>
      </w:tr>
      <w:tr w:rsidR="00E67914" w:rsidRPr="00E67914" w14:paraId="5BA462AD" w14:textId="77777777" w:rsidTr="00E049A5">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52F61D5C"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水面拼块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46D13DF2" w14:textId="0687BF84" w:rsidR="00A54A8A" w:rsidRPr="00E67914" w:rsidRDefault="00E049A5"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0.37</w:t>
            </w:r>
          </w:p>
        </w:tc>
        <w:tc>
          <w:tcPr>
            <w:tcW w:w="1458" w:type="pct"/>
            <w:tcBorders>
              <w:top w:val="single" w:sz="4" w:space="0" w:color="000000"/>
              <w:left w:val="single" w:sz="4" w:space="0" w:color="000000"/>
              <w:bottom w:val="single" w:sz="4" w:space="0" w:color="000000"/>
              <w:right w:val="single" w:sz="4" w:space="0" w:color="000000"/>
            </w:tcBorders>
            <w:vAlign w:val="center"/>
          </w:tcPr>
          <w:p w14:paraId="6442397D" w14:textId="668D77B8" w:rsidR="00A54A8A" w:rsidRPr="00E67914" w:rsidRDefault="00E049A5" w:rsidP="00E049A5">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0.47</w:t>
            </w:r>
          </w:p>
        </w:tc>
      </w:tr>
      <w:tr w:rsidR="00E67914" w:rsidRPr="00E67914" w14:paraId="6426EF3D" w14:textId="77777777" w:rsidTr="00E049A5">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4C6A60C3"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人工生态系统拼块</w:t>
            </w:r>
          </w:p>
        </w:tc>
        <w:tc>
          <w:tcPr>
            <w:tcW w:w="1670" w:type="pct"/>
            <w:tcBorders>
              <w:top w:val="single" w:sz="4" w:space="0" w:color="000000"/>
              <w:left w:val="single" w:sz="4" w:space="0" w:color="auto"/>
              <w:bottom w:val="single" w:sz="4" w:space="0" w:color="000000"/>
              <w:right w:val="single" w:sz="4" w:space="0" w:color="000000"/>
            </w:tcBorders>
            <w:vAlign w:val="center"/>
          </w:tcPr>
          <w:p w14:paraId="280EF17B" w14:textId="2277B416" w:rsidR="00A54A8A" w:rsidRPr="00E67914" w:rsidRDefault="00E049A5" w:rsidP="00E049A5">
            <w:pPr>
              <w:jc w:val="center"/>
              <w:textAlignment w:val="center"/>
              <w:rPr>
                <w:rFonts w:ascii="Times New Roman" w:hAnsi="Times New Roman"/>
                <w:sz w:val="21"/>
                <w:szCs w:val="21"/>
                <w:lang w:eastAsia="zh-CN" w:bidi="ar"/>
              </w:rPr>
            </w:pPr>
            <w:r w:rsidRPr="00E67914">
              <w:rPr>
                <w:rFonts w:ascii="Times New Roman" w:hAnsi="Times New Roman"/>
                <w:sz w:val="21"/>
                <w:szCs w:val="21"/>
                <w:lang w:eastAsia="zh-CN" w:bidi="ar"/>
              </w:rPr>
              <w:t>6.01</w:t>
            </w:r>
          </w:p>
        </w:tc>
        <w:tc>
          <w:tcPr>
            <w:tcW w:w="1458" w:type="pct"/>
            <w:tcBorders>
              <w:top w:val="single" w:sz="4" w:space="0" w:color="000000"/>
              <w:left w:val="single" w:sz="4" w:space="0" w:color="000000"/>
              <w:bottom w:val="single" w:sz="4" w:space="0" w:color="000000"/>
              <w:right w:val="single" w:sz="4" w:space="0" w:color="000000"/>
            </w:tcBorders>
            <w:vAlign w:val="center"/>
          </w:tcPr>
          <w:p w14:paraId="6052D0F3" w14:textId="0B4D7D17" w:rsidR="00A54A8A" w:rsidRPr="00E67914" w:rsidRDefault="00E049A5"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7.66</w:t>
            </w:r>
          </w:p>
        </w:tc>
      </w:tr>
      <w:tr w:rsidR="00A54A8A" w:rsidRPr="00E67914" w14:paraId="459018EB" w14:textId="77777777" w:rsidTr="00E049A5">
        <w:trPr>
          <w:trHeight w:val="330"/>
          <w:jc w:val="center"/>
        </w:trPr>
        <w:tc>
          <w:tcPr>
            <w:tcW w:w="1872" w:type="pct"/>
            <w:tcBorders>
              <w:top w:val="single" w:sz="4" w:space="0" w:color="auto"/>
              <w:left w:val="single" w:sz="4" w:space="0" w:color="auto"/>
              <w:bottom w:val="single" w:sz="4" w:space="0" w:color="auto"/>
              <w:right w:val="single" w:sz="4" w:space="0" w:color="auto"/>
            </w:tcBorders>
            <w:vAlign w:val="center"/>
          </w:tcPr>
          <w:p w14:paraId="44B4E5C1"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bidi="ar"/>
              </w:rPr>
              <w:t>总计</w:t>
            </w:r>
          </w:p>
        </w:tc>
        <w:tc>
          <w:tcPr>
            <w:tcW w:w="1670" w:type="pct"/>
            <w:tcBorders>
              <w:top w:val="single" w:sz="4" w:space="0" w:color="000000"/>
              <w:left w:val="single" w:sz="4" w:space="0" w:color="auto"/>
              <w:bottom w:val="single" w:sz="4" w:space="0" w:color="000000"/>
              <w:right w:val="single" w:sz="4" w:space="0" w:color="000000"/>
            </w:tcBorders>
            <w:vAlign w:val="center"/>
          </w:tcPr>
          <w:p w14:paraId="6ADEFAD9" w14:textId="4B24391A" w:rsidR="00A54A8A" w:rsidRPr="00E67914" w:rsidRDefault="00E049A5" w:rsidP="00E049A5">
            <w:pPr>
              <w:jc w:val="center"/>
              <w:textAlignment w:val="center"/>
              <w:rPr>
                <w:rFonts w:ascii="Times New Roman" w:hAnsi="Times New Roman"/>
                <w:sz w:val="21"/>
                <w:szCs w:val="21"/>
                <w:lang w:bidi="ar"/>
              </w:rPr>
            </w:pPr>
            <w:r w:rsidRPr="00E67914">
              <w:rPr>
                <w:rFonts w:ascii="Times New Roman" w:hAnsi="Times New Roman"/>
                <w:sz w:val="21"/>
                <w:szCs w:val="21"/>
                <w:lang w:eastAsia="zh-CN" w:bidi="ar"/>
              </w:rPr>
              <w:t>78.46</w:t>
            </w:r>
          </w:p>
        </w:tc>
        <w:tc>
          <w:tcPr>
            <w:tcW w:w="1458" w:type="pct"/>
            <w:tcBorders>
              <w:top w:val="single" w:sz="4" w:space="0" w:color="000000"/>
              <w:left w:val="single" w:sz="4" w:space="0" w:color="000000"/>
              <w:bottom w:val="single" w:sz="4" w:space="0" w:color="000000"/>
              <w:right w:val="single" w:sz="4" w:space="0" w:color="000000"/>
            </w:tcBorders>
            <w:vAlign w:val="center"/>
          </w:tcPr>
          <w:p w14:paraId="074A3997" w14:textId="77777777" w:rsidR="00A54A8A" w:rsidRPr="00E67914" w:rsidRDefault="00000000" w:rsidP="00E049A5">
            <w:pPr>
              <w:jc w:val="center"/>
              <w:textAlignment w:val="center"/>
              <w:rPr>
                <w:rFonts w:ascii="Times New Roman" w:hAnsi="Times New Roman"/>
                <w:sz w:val="21"/>
                <w:szCs w:val="21"/>
                <w:lang w:bidi="ar"/>
              </w:rPr>
            </w:pPr>
            <w:r w:rsidRPr="00E67914">
              <w:rPr>
                <w:rFonts w:ascii="Times New Roman" w:hAnsi="Times New Roman"/>
                <w:sz w:val="21"/>
                <w:szCs w:val="21"/>
                <w:lang w:eastAsia="zh-CN" w:bidi="ar"/>
              </w:rPr>
              <w:t xml:space="preserve">100.00 </w:t>
            </w:r>
          </w:p>
        </w:tc>
      </w:tr>
    </w:tbl>
    <w:p w14:paraId="4418B8A7" w14:textId="77777777" w:rsidR="00A54A8A" w:rsidRPr="00E67914" w:rsidRDefault="00A54A8A">
      <w:pPr>
        <w:spacing w:line="154" w:lineRule="exact"/>
        <w:rPr>
          <w:rFonts w:ascii="Times New Roman" w:hAnsi="Times New Roman"/>
        </w:rPr>
      </w:pPr>
    </w:p>
    <w:p w14:paraId="174EC9DD"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4.3.7</w:t>
      </w:r>
      <w:r w:rsidRPr="00E67914">
        <w:rPr>
          <w:rFonts w:ascii="Times New Roman" w:eastAsia="黑体" w:hAnsi="Times New Roman"/>
          <w:b w:val="0"/>
          <w:sz w:val="24"/>
          <w:szCs w:val="24"/>
          <w:lang w:eastAsia="zh-CN"/>
        </w:rPr>
        <w:t>生态系统类型调查与评价</w:t>
      </w:r>
    </w:p>
    <w:p w14:paraId="44A2EE97" w14:textId="77777777" w:rsidR="00A54A8A" w:rsidRPr="00E67914" w:rsidRDefault="00000000">
      <w:pPr>
        <w:spacing w:line="500" w:lineRule="exact"/>
        <w:ind w:left="60" w:right="100" w:firstLine="482"/>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地形地貌、土地利用类型以及植被类型的不同，将评价范围内生态系统划分为不同的类型。调查显示，评价范围内生态系统类型主要包括针叶林生态系统、阔叶林生态系统、阔叶灌丛生态系统、草丛生态系统、河流生态系统、湖泊生态系统、耕地生态系统、居住地生态系统、工矿交通生态系统。生态系统整体开发强度大，区域内森林多为人工林，少量为次生林。</w:t>
      </w:r>
    </w:p>
    <w:p w14:paraId="39A7DF63" w14:textId="49B4BA7F" w:rsidR="00A54A8A" w:rsidRPr="00E67914" w:rsidRDefault="00000000">
      <w:pPr>
        <w:spacing w:line="500" w:lineRule="exact"/>
        <w:ind w:left="60" w:right="100" w:firstLine="482"/>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根据现场调查，评价范围内的森林生态系统占绝对优势，面积</w:t>
      </w:r>
      <w:r w:rsidR="005C1AD6" w:rsidRPr="00E67914">
        <w:rPr>
          <w:rFonts w:ascii="Times New Roman" w:hAnsi="Times New Roman"/>
          <w:bCs/>
          <w:kern w:val="2"/>
          <w:sz w:val="24"/>
          <w:szCs w:val="24"/>
          <w:lang w:eastAsia="zh-CN"/>
        </w:rPr>
        <w:t>39.17</w:t>
      </w:r>
      <w:r w:rsidRPr="00E67914">
        <w:rPr>
          <w:rFonts w:ascii="Times New Roman" w:hAnsi="Times New Roman"/>
          <w:bCs/>
          <w:kern w:val="2"/>
          <w:sz w:val="24"/>
          <w:szCs w:val="24"/>
          <w:lang w:eastAsia="zh-CN"/>
        </w:rPr>
        <w:t>hm</w:t>
      </w:r>
      <w:r w:rsidRPr="00E67914">
        <w:rPr>
          <w:rFonts w:ascii="Times New Roman" w:hAnsi="Times New Roman"/>
          <w:bCs/>
          <w:kern w:val="2"/>
          <w:sz w:val="24"/>
          <w:szCs w:val="24"/>
          <w:vertAlign w:val="superscript"/>
          <w:lang w:eastAsia="zh-CN"/>
        </w:rPr>
        <w:t>2</w:t>
      </w:r>
      <w:r w:rsidRPr="00E67914">
        <w:rPr>
          <w:rFonts w:ascii="Times New Roman" w:hAnsi="Times New Roman"/>
          <w:bCs/>
          <w:kern w:val="2"/>
          <w:sz w:val="24"/>
          <w:szCs w:val="24"/>
          <w:lang w:eastAsia="zh-CN"/>
        </w:rPr>
        <w:t>，占比</w:t>
      </w:r>
      <w:r w:rsidR="005C1AD6" w:rsidRPr="00E67914">
        <w:rPr>
          <w:rFonts w:ascii="Times New Roman" w:hAnsi="Times New Roman"/>
          <w:bCs/>
          <w:kern w:val="2"/>
          <w:sz w:val="24"/>
          <w:szCs w:val="24"/>
          <w:lang w:eastAsia="zh-CN"/>
        </w:rPr>
        <w:t>49.93</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p>
    <w:p w14:paraId="7831AC35" w14:textId="77777777"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bCs/>
          <w:kern w:val="2"/>
          <w:sz w:val="24"/>
          <w:szCs w:val="24"/>
          <w:lang w:eastAsia="zh-CN"/>
        </w:rPr>
        <w:t>评价区生态系统类型分布特征及解译结果见下表</w:t>
      </w:r>
      <w:r w:rsidRPr="00E67914">
        <w:rPr>
          <w:rFonts w:ascii="Times New Roman" w:hAnsi="Times New Roman"/>
          <w:sz w:val="24"/>
          <w:lang w:eastAsia="zh-CN"/>
        </w:rPr>
        <w:t>。</w:t>
      </w:r>
    </w:p>
    <w:p w14:paraId="24A865E4" w14:textId="37F5E098"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4.3-1</w:t>
      </w:r>
      <w:r w:rsidR="008752B7" w:rsidRPr="00E67914">
        <w:rPr>
          <w:rFonts w:ascii="Times New Roman" w:eastAsia="黑体" w:hAnsi="Times New Roman"/>
          <w:sz w:val="21"/>
          <w:szCs w:val="21"/>
          <w:lang w:eastAsia="zh-CN"/>
        </w:rPr>
        <w:t>4</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生态系统类型面积统计表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4"/>
        <w:gridCol w:w="2737"/>
        <w:gridCol w:w="2639"/>
      </w:tblGrid>
      <w:tr w:rsidR="00E67914" w:rsidRPr="00E67914" w14:paraId="65DAF656" w14:textId="77777777">
        <w:trPr>
          <w:trHeight w:hRule="exact" w:val="397"/>
          <w:jc w:val="center"/>
        </w:trPr>
        <w:tc>
          <w:tcPr>
            <w:tcW w:w="1761" w:type="pct"/>
            <w:vMerge w:val="restart"/>
            <w:shd w:val="clear" w:color="auto" w:fill="auto"/>
            <w:noWrap/>
            <w:vAlign w:val="center"/>
          </w:tcPr>
          <w:p w14:paraId="6B59A063" w14:textId="77777777" w:rsidR="00A54A8A" w:rsidRPr="00E67914" w:rsidRDefault="00000000">
            <w:pPr>
              <w:jc w:val="center"/>
              <w:textAlignment w:val="bottom"/>
              <w:rPr>
                <w:rFonts w:ascii="Times New Roman" w:hAnsi="Times New Roman"/>
                <w:szCs w:val="21"/>
                <w:lang w:bidi="ar"/>
              </w:rPr>
            </w:pPr>
            <w:r w:rsidRPr="00E67914">
              <w:rPr>
                <w:rFonts w:ascii="Times New Roman" w:hAnsi="Times New Roman"/>
                <w:szCs w:val="21"/>
                <w:lang w:bidi="ar"/>
              </w:rPr>
              <w:t>生态系统类型</w:t>
            </w:r>
          </w:p>
        </w:tc>
        <w:tc>
          <w:tcPr>
            <w:tcW w:w="3239" w:type="pct"/>
            <w:gridSpan w:val="2"/>
            <w:shd w:val="clear" w:color="000000" w:fill="FFFFFF"/>
            <w:noWrap/>
            <w:vAlign w:val="center"/>
          </w:tcPr>
          <w:p w14:paraId="686AD785" w14:textId="77777777" w:rsidR="00A54A8A" w:rsidRPr="00E67914" w:rsidRDefault="00000000">
            <w:pPr>
              <w:jc w:val="center"/>
              <w:textAlignment w:val="bottom"/>
              <w:rPr>
                <w:rFonts w:ascii="Times New Roman" w:hAnsi="Times New Roman"/>
                <w:szCs w:val="21"/>
                <w:lang w:bidi="ar"/>
              </w:rPr>
            </w:pPr>
            <w:r w:rsidRPr="00E67914">
              <w:rPr>
                <w:rFonts w:ascii="Times New Roman" w:hAnsi="Times New Roman"/>
                <w:szCs w:val="21"/>
                <w:lang w:bidi="ar"/>
              </w:rPr>
              <w:t>评价区范围</w:t>
            </w:r>
          </w:p>
        </w:tc>
      </w:tr>
      <w:tr w:rsidR="00E67914" w:rsidRPr="00E67914" w14:paraId="334438D1" w14:textId="77777777" w:rsidTr="005C1AD6">
        <w:trPr>
          <w:trHeight w:hRule="exact" w:val="397"/>
          <w:jc w:val="center"/>
        </w:trPr>
        <w:tc>
          <w:tcPr>
            <w:tcW w:w="1761" w:type="pct"/>
            <w:vMerge/>
            <w:shd w:val="clear" w:color="auto" w:fill="auto"/>
            <w:vAlign w:val="center"/>
          </w:tcPr>
          <w:p w14:paraId="1C292619" w14:textId="77777777" w:rsidR="00A54A8A" w:rsidRPr="00E67914" w:rsidRDefault="00A54A8A">
            <w:pPr>
              <w:jc w:val="center"/>
              <w:textAlignment w:val="bottom"/>
              <w:rPr>
                <w:rFonts w:ascii="Times New Roman" w:hAnsi="Times New Roman"/>
                <w:szCs w:val="21"/>
                <w:lang w:bidi="ar"/>
              </w:rPr>
            </w:pPr>
          </w:p>
        </w:tc>
        <w:tc>
          <w:tcPr>
            <w:tcW w:w="1649" w:type="pct"/>
            <w:shd w:val="clear" w:color="000000" w:fill="FFFFFF"/>
            <w:noWrap/>
            <w:vAlign w:val="center"/>
          </w:tcPr>
          <w:p w14:paraId="71A7534A" w14:textId="77777777" w:rsidR="00A54A8A" w:rsidRPr="00E67914" w:rsidRDefault="00000000">
            <w:pPr>
              <w:jc w:val="center"/>
              <w:textAlignment w:val="bottom"/>
              <w:rPr>
                <w:rFonts w:ascii="Times New Roman" w:hAnsi="Times New Roman"/>
                <w:szCs w:val="21"/>
                <w:lang w:bidi="ar"/>
              </w:rPr>
            </w:pPr>
            <w:r w:rsidRPr="00E67914">
              <w:rPr>
                <w:rFonts w:ascii="Times New Roman" w:hAnsi="Times New Roman"/>
                <w:szCs w:val="21"/>
                <w:lang w:bidi="ar"/>
              </w:rPr>
              <w:t>面积（</w:t>
            </w:r>
            <w:r w:rsidRPr="00E67914">
              <w:rPr>
                <w:rFonts w:ascii="Times New Roman" w:hAnsi="Times New Roman"/>
                <w:szCs w:val="21"/>
                <w:lang w:bidi="ar"/>
              </w:rPr>
              <w:t>hm</w:t>
            </w:r>
            <w:r w:rsidRPr="00E67914">
              <w:rPr>
                <w:rFonts w:ascii="Times New Roman" w:hAnsi="Times New Roman"/>
                <w:szCs w:val="21"/>
                <w:vertAlign w:val="superscript"/>
                <w:lang w:bidi="ar"/>
              </w:rPr>
              <w:t>2</w:t>
            </w:r>
            <w:r w:rsidRPr="00E67914">
              <w:rPr>
                <w:rFonts w:ascii="Times New Roman" w:hAnsi="Times New Roman"/>
                <w:szCs w:val="21"/>
                <w:lang w:bidi="ar"/>
              </w:rPr>
              <w:t>）</w:t>
            </w:r>
          </w:p>
        </w:tc>
        <w:tc>
          <w:tcPr>
            <w:tcW w:w="1590" w:type="pct"/>
            <w:shd w:val="clear" w:color="000000" w:fill="FFFFFF"/>
            <w:noWrap/>
            <w:vAlign w:val="center"/>
          </w:tcPr>
          <w:p w14:paraId="3B331F4A" w14:textId="77777777" w:rsidR="00A54A8A" w:rsidRPr="00E67914" w:rsidRDefault="00000000">
            <w:pPr>
              <w:jc w:val="center"/>
              <w:textAlignment w:val="bottom"/>
              <w:rPr>
                <w:rFonts w:ascii="Times New Roman" w:hAnsi="Times New Roman"/>
                <w:szCs w:val="21"/>
                <w:lang w:bidi="ar"/>
              </w:rPr>
            </w:pPr>
            <w:r w:rsidRPr="00E67914">
              <w:rPr>
                <w:rFonts w:ascii="Times New Roman" w:hAnsi="Times New Roman"/>
                <w:szCs w:val="21"/>
                <w:lang w:bidi="ar"/>
              </w:rPr>
              <w:t>占比（</w:t>
            </w:r>
            <w:r w:rsidRPr="00E67914">
              <w:rPr>
                <w:rFonts w:ascii="Times New Roman" w:hAnsi="Times New Roman"/>
                <w:szCs w:val="21"/>
                <w:lang w:bidi="ar"/>
              </w:rPr>
              <w:t>%</w:t>
            </w:r>
            <w:r w:rsidRPr="00E67914">
              <w:rPr>
                <w:rFonts w:ascii="Times New Roman" w:hAnsi="Times New Roman"/>
                <w:szCs w:val="21"/>
                <w:lang w:bidi="ar"/>
              </w:rPr>
              <w:t>）</w:t>
            </w:r>
          </w:p>
        </w:tc>
      </w:tr>
      <w:tr w:rsidR="00E67914" w:rsidRPr="00E67914" w14:paraId="5A2B2CD3" w14:textId="77777777" w:rsidTr="005C1AD6">
        <w:trPr>
          <w:trHeight w:hRule="exact" w:val="397"/>
          <w:jc w:val="center"/>
        </w:trPr>
        <w:tc>
          <w:tcPr>
            <w:tcW w:w="1761" w:type="pct"/>
            <w:shd w:val="clear" w:color="auto" w:fill="auto"/>
            <w:noWrap/>
            <w:vAlign w:val="center"/>
          </w:tcPr>
          <w:p w14:paraId="5B448915" w14:textId="560DB8B4"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 w:val="21"/>
                <w:szCs w:val="21"/>
              </w:rPr>
              <w:t>针叶林生态系统</w:t>
            </w:r>
          </w:p>
        </w:tc>
        <w:tc>
          <w:tcPr>
            <w:tcW w:w="1649" w:type="pct"/>
            <w:shd w:val="clear" w:color="000000" w:fill="FFFFFF"/>
            <w:noWrap/>
            <w:vAlign w:val="center"/>
          </w:tcPr>
          <w:p w14:paraId="6F4BDEB1" w14:textId="02F910FD"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1.38 </w:t>
            </w:r>
          </w:p>
        </w:tc>
        <w:tc>
          <w:tcPr>
            <w:tcW w:w="1590" w:type="pct"/>
            <w:shd w:val="clear" w:color="000000" w:fill="FFFFFF"/>
            <w:noWrap/>
            <w:vAlign w:val="center"/>
          </w:tcPr>
          <w:p w14:paraId="4CAB1400" w14:textId="25B745D0"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1.76 </w:t>
            </w:r>
          </w:p>
        </w:tc>
      </w:tr>
      <w:tr w:rsidR="00E67914" w:rsidRPr="00E67914" w14:paraId="12916E07" w14:textId="77777777" w:rsidTr="005C1AD6">
        <w:trPr>
          <w:trHeight w:hRule="exact" w:val="397"/>
          <w:jc w:val="center"/>
        </w:trPr>
        <w:tc>
          <w:tcPr>
            <w:tcW w:w="1761" w:type="pct"/>
            <w:shd w:val="clear" w:color="auto" w:fill="auto"/>
            <w:noWrap/>
            <w:vAlign w:val="center"/>
          </w:tcPr>
          <w:p w14:paraId="456378EA" w14:textId="5A5A752B"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 w:val="21"/>
                <w:szCs w:val="21"/>
              </w:rPr>
              <w:t>阔叶林生态系统</w:t>
            </w:r>
          </w:p>
        </w:tc>
        <w:tc>
          <w:tcPr>
            <w:tcW w:w="1649" w:type="pct"/>
            <w:shd w:val="clear" w:color="000000" w:fill="FFFFFF"/>
            <w:noWrap/>
            <w:vAlign w:val="center"/>
          </w:tcPr>
          <w:p w14:paraId="14226FD1" w14:textId="6804A6B8"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37.79 </w:t>
            </w:r>
          </w:p>
        </w:tc>
        <w:tc>
          <w:tcPr>
            <w:tcW w:w="1590" w:type="pct"/>
            <w:shd w:val="clear" w:color="000000" w:fill="FFFFFF"/>
            <w:noWrap/>
            <w:vAlign w:val="center"/>
          </w:tcPr>
          <w:p w14:paraId="0828715B" w14:textId="6EF2BEA6"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48.17 </w:t>
            </w:r>
          </w:p>
        </w:tc>
      </w:tr>
      <w:tr w:rsidR="00E67914" w:rsidRPr="00E67914" w14:paraId="75AB5826" w14:textId="77777777" w:rsidTr="005C1AD6">
        <w:trPr>
          <w:trHeight w:hRule="exact" w:val="397"/>
          <w:jc w:val="center"/>
        </w:trPr>
        <w:tc>
          <w:tcPr>
            <w:tcW w:w="1761" w:type="pct"/>
            <w:shd w:val="clear" w:color="auto" w:fill="auto"/>
            <w:noWrap/>
            <w:vAlign w:val="center"/>
          </w:tcPr>
          <w:p w14:paraId="7036BE55" w14:textId="51BB0746"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 w:val="21"/>
                <w:szCs w:val="21"/>
              </w:rPr>
              <w:t>阔叶灌丛生态系统</w:t>
            </w:r>
          </w:p>
        </w:tc>
        <w:tc>
          <w:tcPr>
            <w:tcW w:w="1649" w:type="pct"/>
            <w:shd w:val="clear" w:color="000000" w:fill="FFFFFF"/>
            <w:noWrap/>
            <w:vAlign w:val="center"/>
          </w:tcPr>
          <w:p w14:paraId="7F30C121" w14:textId="2AEBE764"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3.74 </w:t>
            </w:r>
          </w:p>
        </w:tc>
        <w:tc>
          <w:tcPr>
            <w:tcW w:w="1590" w:type="pct"/>
            <w:shd w:val="clear" w:color="000000" w:fill="FFFFFF"/>
            <w:noWrap/>
            <w:vAlign w:val="center"/>
          </w:tcPr>
          <w:p w14:paraId="0C6E11BE" w14:textId="48C0826F"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4.77 </w:t>
            </w:r>
          </w:p>
        </w:tc>
      </w:tr>
      <w:tr w:rsidR="00E67914" w:rsidRPr="00E67914" w14:paraId="1AEBBB8F" w14:textId="77777777" w:rsidTr="005C1AD6">
        <w:trPr>
          <w:trHeight w:hRule="exact" w:val="397"/>
          <w:jc w:val="center"/>
        </w:trPr>
        <w:tc>
          <w:tcPr>
            <w:tcW w:w="1761" w:type="pct"/>
            <w:shd w:val="clear" w:color="auto" w:fill="auto"/>
            <w:noWrap/>
            <w:vAlign w:val="center"/>
          </w:tcPr>
          <w:p w14:paraId="49619780" w14:textId="61F26913"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 w:val="21"/>
                <w:szCs w:val="21"/>
              </w:rPr>
              <w:t>草丛生态系统</w:t>
            </w:r>
          </w:p>
        </w:tc>
        <w:tc>
          <w:tcPr>
            <w:tcW w:w="1649" w:type="pct"/>
            <w:shd w:val="clear" w:color="000000" w:fill="FFFFFF"/>
            <w:noWrap/>
            <w:vAlign w:val="center"/>
          </w:tcPr>
          <w:p w14:paraId="3FFDE058" w14:textId="1450E3EA"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1.49 </w:t>
            </w:r>
          </w:p>
        </w:tc>
        <w:tc>
          <w:tcPr>
            <w:tcW w:w="1590" w:type="pct"/>
            <w:shd w:val="clear" w:color="000000" w:fill="FFFFFF"/>
            <w:noWrap/>
            <w:vAlign w:val="center"/>
          </w:tcPr>
          <w:p w14:paraId="09945774" w14:textId="19E75E84"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1.89 </w:t>
            </w:r>
          </w:p>
        </w:tc>
      </w:tr>
      <w:tr w:rsidR="00E67914" w:rsidRPr="00E67914" w14:paraId="6949E590" w14:textId="77777777" w:rsidTr="005C1AD6">
        <w:trPr>
          <w:trHeight w:hRule="exact" w:val="397"/>
          <w:jc w:val="center"/>
        </w:trPr>
        <w:tc>
          <w:tcPr>
            <w:tcW w:w="1761" w:type="pct"/>
            <w:shd w:val="clear" w:color="auto" w:fill="auto"/>
            <w:noWrap/>
            <w:vAlign w:val="center"/>
          </w:tcPr>
          <w:p w14:paraId="60871C30" w14:textId="7B953502"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 w:val="21"/>
                <w:szCs w:val="21"/>
              </w:rPr>
              <w:t>湖泊生态系统</w:t>
            </w:r>
          </w:p>
        </w:tc>
        <w:tc>
          <w:tcPr>
            <w:tcW w:w="1649" w:type="pct"/>
            <w:shd w:val="clear" w:color="000000" w:fill="FFFFFF"/>
            <w:noWrap/>
            <w:vAlign w:val="center"/>
          </w:tcPr>
          <w:p w14:paraId="3A5142F7" w14:textId="12EFB6FA"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0.37 </w:t>
            </w:r>
          </w:p>
        </w:tc>
        <w:tc>
          <w:tcPr>
            <w:tcW w:w="1590" w:type="pct"/>
            <w:shd w:val="clear" w:color="000000" w:fill="FFFFFF"/>
            <w:noWrap/>
            <w:vAlign w:val="center"/>
          </w:tcPr>
          <w:p w14:paraId="5A82DC4A" w14:textId="13ECF192"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0.47 </w:t>
            </w:r>
          </w:p>
        </w:tc>
      </w:tr>
      <w:tr w:rsidR="00E67914" w:rsidRPr="00E67914" w14:paraId="27333647" w14:textId="77777777" w:rsidTr="005C1AD6">
        <w:trPr>
          <w:trHeight w:hRule="exact" w:val="397"/>
          <w:jc w:val="center"/>
        </w:trPr>
        <w:tc>
          <w:tcPr>
            <w:tcW w:w="1761" w:type="pct"/>
            <w:shd w:val="clear" w:color="auto" w:fill="auto"/>
            <w:noWrap/>
            <w:vAlign w:val="center"/>
          </w:tcPr>
          <w:p w14:paraId="52F8A79E" w14:textId="24554C9F"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 w:val="21"/>
                <w:szCs w:val="21"/>
              </w:rPr>
              <w:t>耕地生态系统</w:t>
            </w:r>
          </w:p>
        </w:tc>
        <w:tc>
          <w:tcPr>
            <w:tcW w:w="1649" w:type="pct"/>
            <w:shd w:val="clear" w:color="000000" w:fill="FFFFFF"/>
            <w:noWrap/>
            <w:vAlign w:val="center"/>
          </w:tcPr>
          <w:p w14:paraId="28433E3A" w14:textId="7E86E99E"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27.67 </w:t>
            </w:r>
          </w:p>
        </w:tc>
        <w:tc>
          <w:tcPr>
            <w:tcW w:w="1590" w:type="pct"/>
            <w:shd w:val="clear" w:color="000000" w:fill="FFFFFF"/>
            <w:noWrap/>
            <w:vAlign w:val="center"/>
          </w:tcPr>
          <w:p w14:paraId="36B70B24" w14:textId="2FD209D1"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35.27 </w:t>
            </w:r>
          </w:p>
        </w:tc>
      </w:tr>
      <w:tr w:rsidR="00E67914" w:rsidRPr="00E67914" w14:paraId="55E078C9" w14:textId="77777777" w:rsidTr="005C1AD6">
        <w:trPr>
          <w:trHeight w:hRule="exact" w:val="397"/>
          <w:jc w:val="center"/>
        </w:trPr>
        <w:tc>
          <w:tcPr>
            <w:tcW w:w="1761" w:type="pct"/>
            <w:shd w:val="clear" w:color="auto" w:fill="auto"/>
            <w:noWrap/>
            <w:vAlign w:val="center"/>
          </w:tcPr>
          <w:p w14:paraId="72B5FF3B" w14:textId="185CC29E"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 w:val="21"/>
                <w:szCs w:val="21"/>
              </w:rPr>
              <w:t>居住地生态系统</w:t>
            </w:r>
          </w:p>
        </w:tc>
        <w:tc>
          <w:tcPr>
            <w:tcW w:w="1649" w:type="pct"/>
            <w:shd w:val="clear" w:color="000000" w:fill="FFFFFF"/>
            <w:noWrap/>
            <w:vAlign w:val="center"/>
          </w:tcPr>
          <w:p w14:paraId="4B0D788A" w14:textId="5B65498A"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1.18 </w:t>
            </w:r>
          </w:p>
        </w:tc>
        <w:tc>
          <w:tcPr>
            <w:tcW w:w="1590" w:type="pct"/>
            <w:shd w:val="clear" w:color="000000" w:fill="FFFFFF"/>
            <w:noWrap/>
            <w:vAlign w:val="center"/>
          </w:tcPr>
          <w:p w14:paraId="5ED61495" w14:textId="71E691D7"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1.51 </w:t>
            </w:r>
          </w:p>
        </w:tc>
      </w:tr>
      <w:tr w:rsidR="00E67914" w:rsidRPr="00E67914" w14:paraId="6098B0BE" w14:textId="77777777" w:rsidTr="005C1AD6">
        <w:trPr>
          <w:trHeight w:hRule="exact" w:val="397"/>
          <w:jc w:val="center"/>
        </w:trPr>
        <w:tc>
          <w:tcPr>
            <w:tcW w:w="1761" w:type="pct"/>
            <w:shd w:val="clear" w:color="auto" w:fill="auto"/>
            <w:noWrap/>
            <w:vAlign w:val="center"/>
          </w:tcPr>
          <w:p w14:paraId="1F869D00" w14:textId="3A9933AE"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 w:val="21"/>
                <w:szCs w:val="21"/>
              </w:rPr>
              <w:t>工矿交通生态系统</w:t>
            </w:r>
          </w:p>
        </w:tc>
        <w:tc>
          <w:tcPr>
            <w:tcW w:w="1649" w:type="pct"/>
            <w:shd w:val="clear" w:color="000000" w:fill="FFFFFF"/>
            <w:noWrap/>
            <w:vAlign w:val="center"/>
          </w:tcPr>
          <w:p w14:paraId="0A41C4A6" w14:textId="05ABC7BB"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4.83 </w:t>
            </w:r>
          </w:p>
        </w:tc>
        <w:tc>
          <w:tcPr>
            <w:tcW w:w="1590" w:type="pct"/>
            <w:shd w:val="clear" w:color="000000" w:fill="FFFFFF"/>
            <w:noWrap/>
            <w:vAlign w:val="center"/>
          </w:tcPr>
          <w:p w14:paraId="1821B7E6" w14:textId="42A6A7A3"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6.16 </w:t>
            </w:r>
          </w:p>
        </w:tc>
      </w:tr>
      <w:tr w:rsidR="00E67914" w:rsidRPr="00E67914" w14:paraId="010EF3BD" w14:textId="77777777" w:rsidTr="005C1AD6">
        <w:trPr>
          <w:trHeight w:hRule="exact" w:val="397"/>
          <w:jc w:val="center"/>
        </w:trPr>
        <w:tc>
          <w:tcPr>
            <w:tcW w:w="1761" w:type="pct"/>
            <w:shd w:val="clear" w:color="auto" w:fill="auto"/>
            <w:noWrap/>
            <w:vAlign w:val="center"/>
          </w:tcPr>
          <w:p w14:paraId="372AF589" w14:textId="77777777" w:rsidR="005C1AD6" w:rsidRPr="00E67914" w:rsidRDefault="005C1AD6" w:rsidP="005C1AD6">
            <w:pPr>
              <w:jc w:val="center"/>
              <w:textAlignment w:val="bottom"/>
              <w:rPr>
                <w:rFonts w:ascii="Times New Roman" w:hAnsi="Times New Roman"/>
                <w:szCs w:val="21"/>
                <w:lang w:bidi="ar"/>
              </w:rPr>
            </w:pPr>
            <w:r w:rsidRPr="00E67914">
              <w:rPr>
                <w:rFonts w:ascii="Times New Roman" w:hAnsi="Times New Roman"/>
                <w:szCs w:val="21"/>
                <w:lang w:eastAsia="zh-CN" w:bidi="ar"/>
              </w:rPr>
              <w:t>合计</w:t>
            </w:r>
          </w:p>
        </w:tc>
        <w:tc>
          <w:tcPr>
            <w:tcW w:w="1649" w:type="pct"/>
            <w:shd w:val="clear" w:color="000000" w:fill="FFFFFF"/>
            <w:noWrap/>
            <w:vAlign w:val="center"/>
          </w:tcPr>
          <w:p w14:paraId="061A5144" w14:textId="76424086"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78.46 </w:t>
            </w:r>
          </w:p>
        </w:tc>
        <w:tc>
          <w:tcPr>
            <w:tcW w:w="1590" w:type="pct"/>
            <w:shd w:val="clear" w:color="000000" w:fill="FFFFFF"/>
            <w:noWrap/>
            <w:vAlign w:val="center"/>
          </w:tcPr>
          <w:p w14:paraId="3AAC5A3F" w14:textId="61136392" w:rsidR="005C1AD6" w:rsidRPr="00E67914" w:rsidRDefault="005C1AD6" w:rsidP="005C1AD6">
            <w:pPr>
              <w:jc w:val="center"/>
              <w:textAlignment w:val="bottom"/>
              <w:rPr>
                <w:rFonts w:ascii="Times New Roman" w:hAnsi="Times New Roman"/>
                <w:sz w:val="21"/>
                <w:szCs w:val="21"/>
              </w:rPr>
            </w:pPr>
            <w:r w:rsidRPr="00E67914">
              <w:rPr>
                <w:rFonts w:ascii="Times New Roman" w:hAnsi="Times New Roman"/>
                <w:sz w:val="21"/>
                <w:szCs w:val="21"/>
              </w:rPr>
              <w:t xml:space="preserve">100.00 </w:t>
            </w:r>
          </w:p>
        </w:tc>
      </w:tr>
    </w:tbl>
    <w:p w14:paraId="35A94CC3"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4.3.8</w:t>
      </w:r>
      <w:r w:rsidRPr="00E67914">
        <w:rPr>
          <w:rFonts w:ascii="Times New Roman" w:eastAsia="黑体" w:hAnsi="Times New Roman"/>
          <w:b w:val="0"/>
          <w:sz w:val="24"/>
          <w:szCs w:val="24"/>
          <w:lang w:eastAsia="zh-CN"/>
        </w:rPr>
        <w:t>生态系统服务功能评价</w:t>
      </w:r>
    </w:p>
    <w:p w14:paraId="3AF2AA09" w14:textId="0B74033C" w:rsidR="00A54A8A" w:rsidRPr="00E67914" w:rsidRDefault="00000000">
      <w:pPr>
        <w:widowControl w:val="0"/>
        <w:adjustRightInd w:val="0"/>
        <w:snapToGrid w:val="0"/>
        <w:spacing w:line="360" w:lineRule="auto"/>
        <w:ind w:firstLine="482"/>
        <w:jc w:val="both"/>
        <w:rPr>
          <w:rFonts w:ascii="Times New Roman" w:hAnsi="Times New Roman"/>
          <w:bCs/>
          <w:sz w:val="24"/>
          <w:szCs w:val="24"/>
          <w:lang w:eastAsia="zh-CN"/>
        </w:rPr>
      </w:pPr>
      <w:r w:rsidRPr="00E67914">
        <w:rPr>
          <w:rFonts w:ascii="Times New Roman" w:hAnsi="Times New Roman"/>
          <w:bCs/>
          <w:sz w:val="24"/>
          <w:szCs w:val="24"/>
          <w:lang w:eastAsia="zh-CN"/>
        </w:rPr>
        <w:t>生态系统服务功能主要有水源涵养、土壤保持、生物多样性保护功能等，项目区处于属亚热带季风气候区，水热条件较好，植被总体覆盖度较高，生态系统服务功能主要为土壤保持功能、水源涵养功能、生物多样性保护功能，本次评价基于《生态保护红线划定指南》（环办生态</w:t>
      </w:r>
      <w:r w:rsidRPr="00E67914">
        <w:rPr>
          <w:rFonts w:ascii="Times New Roman" w:hAnsi="Times New Roman"/>
          <w:bCs/>
          <w:sz w:val="24"/>
          <w:szCs w:val="24"/>
          <w:lang w:eastAsia="zh-CN"/>
        </w:rPr>
        <w:t>[2017]48</w:t>
      </w:r>
      <w:r w:rsidRPr="00E67914">
        <w:rPr>
          <w:rFonts w:ascii="Times New Roman" w:hAnsi="Times New Roman"/>
          <w:bCs/>
          <w:sz w:val="24"/>
          <w:szCs w:val="24"/>
          <w:lang w:eastAsia="zh-CN"/>
        </w:rPr>
        <w:t>号）中关于生态系统服务重要性的评估方法，针对土壤保持功能、水源涵养功能、生物多样性保护功能进行分级评价。</w:t>
      </w:r>
    </w:p>
    <w:p w14:paraId="4FD2507B" w14:textId="77777777" w:rsidR="00A54A8A" w:rsidRPr="00E67914" w:rsidRDefault="00000000">
      <w:pPr>
        <w:widowControl w:val="0"/>
        <w:adjustRightInd w:val="0"/>
        <w:snapToGrid w:val="0"/>
        <w:spacing w:line="360" w:lineRule="auto"/>
        <w:ind w:firstLine="482"/>
        <w:rPr>
          <w:rFonts w:ascii="Times New Roman" w:hAnsi="Times New Roman"/>
          <w:bCs/>
          <w:sz w:val="24"/>
          <w:szCs w:val="24"/>
          <w:lang w:eastAsia="zh-CN"/>
        </w:rPr>
      </w:pPr>
      <w:r w:rsidRPr="00E67914">
        <w:rPr>
          <w:rFonts w:ascii="Times New Roman" w:hAnsi="Times New Roman"/>
          <w:bCs/>
          <w:sz w:val="24"/>
          <w:szCs w:val="24"/>
          <w:lang w:eastAsia="zh-CN"/>
        </w:rPr>
        <w:t>将反映土壤保持功能各因素的单因子分布数据，用地理信息系统进行乘积运算，公式如下：</w:t>
      </w:r>
    </w:p>
    <w:p w14:paraId="526671B3" w14:textId="77777777" w:rsidR="00A54A8A" w:rsidRPr="00E67914" w:rsidRDefault="00000000">
      <w:pPr>
        <w:widowControl w:val="0"/>
        <w:adjustRightInd w:val="0"/>
        <w:snapToGrid w:val="0"/>
        <w:spacing w:line="360" w:lineRule="auto"/>
        <w:ind w:firstLine="482"/>
        <w:rPr>
          <w:rFonts w:ascii="Times New Roman" w:hAnsi="Times New Roman"/>
          <w:bCs/>
          <w:sz w:val="24"/>
          <w:szCs w:val="24"/>
          <w:lang w:eastAsia="zh-CN"/>
        </w:rPr>
      </w:pPr>
      <w:r w:rsidRPr="00E67914">
        <w:rPr>
          <w:rFonts w:ascii="Times New Roman" w:hAnsi="Times New Roman"/>
          <w:bCs/>
          <w:noProof/>
          <w:sz w:val="24"/>
          <w:szCs w:val="24"/>
          <w:lang w:eastAsia="zh-CN"/>
        </w:rPr>
        <w:drawing>
          <wp:inline distT="0" distB="0" distL="0" distR="0" wp14:anchorId="201093E5" wp14:editId="37068751">
            <wp:extent cx="1563370" cy="265430"/>
            <wp:effectExtent l="0" t="0" r="0" b="1270"/>
            <wp:docPr id="3820" name="图片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 name="图片 38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563370" cy="265430"/>
                    </a:xfrm>
                    <a:prstGeom prst="rect">
                      <a:avLst/>
                    </a:prstGeom>
                    <a:noFill/>
                    <a:ln>
                      <a:noFill/>
                    </a:ln>
                  </pic:spPr>
                </pic:pic>
              </a:graphicData>
            </a:graphic>
          </wp:inline>
        </w:drawing>
      </w:r>
    </w:p>
    <w:p w14:paraId="3F24B2E6" w14:textId="77777777" w:rsidR="00A54A8A" w:rsidRPr="00E67914" w:rsidRDefault="00000000">
      <w:pPr>
        <w:widowControl w:val="0"/>
        <w:adjustRightInd w:val="0"/>
        <w:snapToGrid w:val="0"/>
        <w:spacing w:line="360" w:lineRule="auto"/>
        <w:ind w:firstLine="482"/>
        <w:jc w:val="both"/>
        <w:rPr>
          <w:rFonts w:ascii="Times New Roman" w:hAnsi="Times New Roman"/>
          <w:bCs/>
          <w:sz w:val="24"/>
          <w:szCs w:val="24"/>
          <w:lang w:eastAsia="zh-CN"/>
        </w:rPr>
      </w:pPr>
      <w:r w:rsidRPr="00E67914">
        <w:rPr>
          <w:rFonts w:ascii="Times New Roman" w:hAnsi="Times New Roman"/>
          <w:bCs/>
          <w:sz w:val="24"/>
          <w:szCs w:val="24"/>
          <w:lang w:eastAsia="zh-CN"/>
        </w:rPr>
        <w:t>式中：</w:t>
      </w:r>
      <w:r w:rsidRPr="00E67914">
        <w:rPr>
          <w:rFonts w:ascii="Times New Roman" w:hAnsi="Times New Roman"/>
          <w:bCs/>
          <w:noProof/>
          <w:sz w:val="24"/>
          <w:szCs w:val="24"/>
          <w:lang w:eastAsia="zh-CN"/>
        </w:rPr>
        <w:drawing>
          <wp:inline distT="0" distB="0" distL="0" distR="0" wp14:anchorId="10820113" wp14:editId="666FF6CA">
            <wp:extent cx="273050" cy="243205"/>
            <wp:effectExtent l="0" t="0" r="0" b="4445"/>
            <wp:docPr id="3819" name="图片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图片 38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73050" cy="243205"/>
                    </a:xfrm>
                    <a:prstGeom prst="rect">
                      <a:avLst/>
                    </a:prstGeom>
                    <a:noFill/>
                    <a:ln>
                      <a:noFill/>
                    </a:ln>
                  </pic:spPr>
                </pic:pic>
              </a:graphicData>
            </a:graphic>
          </wp:inline>
        </w:drawing>
      </w:r>
      <w:r w:rsidRPr="00E67914">
        <w:rPr>
          <w:rFonts w:ascii="Times New Roman" w:hAnsi="Times New Roman"/>
          <w:bCs/>
          <w:sz w:val="24"/>
          <w:szCs w:val="24"/>
          <w:lang w:eastAsia="zh-CN"/>
        </w:rPr>
        <w:t>为土壤保持服务；</w:t>
      </w:r>
      <w:r w:rsidRPr="00E67914">
        <w:rPr>
          <w:rFonts w:ascii="Times New Roman" w:hAnsi="Times New Roman"/>
          <w:bCs/>
          <w:sz w:val="24"/>
          <w:szCs w:val="24"/>
          <w:lang w:eastAsia="zh-CN"/>
        </w:rPr>
        <w:t>NPPmean</w:t>
      </w:r>
      <w:r w:rsidRPr="00E67914">
        <w:rPr>
          <w:rFonts w:ascii="Times New Roman" w:hAnsi="Times New Roman"/>
          <w:bCs/>
          <w:sz w:val="24"/>
          <w:szCs w:val="24"/>
          <w:lang w:eastAsia="zh-CN"/>
        </w:rPr>
        <w:t>为评价区多年生态系统净初级生产力平均值；</w:t>
      </w:r>
      <w:r w:rsidRPr="00E67914">
        <w:rPr>
          <w:rFonts w:ascii="Times New Roman" w:hAnsi="Times New Roman"/>
          <w:bCs/>
          <w:sz w:val="24"/>
          <w:szCs w:val="24"/>
          <w:lang w:eastAsia="zh-CN"/>
        </w:rPr>
        <w:t>Fslo</w:t>
      </w:r>
      <w:r w:rsidRPr="00E67914">
        <w:rPr>
          <w:rFonts w:ascii="Times New Roman" w:hAnsi="Times New Roman"/>
          <w:bCs/>
          <w:sz w:val="24"/>
          <w:szCs w:val="24"/>
          <w:lang w:eastAsia="zh-CN"/>
        </w:rPr>
        <w:t>为根据最大最小值法归一化到</w:t>
      </w:r>
      <w:r w:rsidRPr="00E67914">
        <w:rPr>
          <w:rFonts w:ascii="Times New Roman" w:hAnsi="Times New Roman"/>
          <w:bCs/>
          <w:sz w:val="24"/>
          <w:szCs w:val="24"/>
          <w:lang w:eastAsia="zh-CN"/>
        </w:rPr>
        <w:t>0-1</w:t>
      </w:r>
      <w:r w:rsidRPr="00E67914">
        <w:rPr>
          <w:rFonts w:ascii="Times New Roman" w:hAnsi="Times New Roman"/>
          <w:bCs/>
          <w:sz w:val="24"/>
          <w:szCs w:val="24"/>
          <w:lang w:eastAsia="zh-CN"/>
        </w:rPr>
        <w:t>之间的评价区坡度栅格数据。</w:t>
      </w:r>
    </w:p>
    <w:p w14:paraId="7DEFF758" w14:textId="77777777" w:rsidR="00A54A8A" w:rsidRPr="00E67914" w:rsidRDefault="00000000">
      <w:pPr>
        <w:widowControl w:val="0"/>
        <w:adjustRightInd w:val="0"/>
        <w:snapToGrid w:val="0"/>
        <w:spacing w:line="360" w:lineRule="auto"/>
        <w:ind w:firstLine="482"/>
        <w:rPr>
          <w:rFonts w:ascii="Times New Roman" w:hAnsi="Times New Roman"/>
          <w:bCs/>
          <w:sz w:val="24"/>
          <w:szCs w:val="24"/>
          <w:lang w:eastAsia="zh-CN"/>
        </w:rPr>
      </w:pPr>
      <w:r w:rsidRPr="00E67914">
        <w:rPr>
          <w:rFonts w:ascii="Times New Roman" w:hAnsi="Times New Roman"/>
          <w:bCs/>
          <w:sz w:val="24"/>
          <w:szCs w:val="24"/>
          <w:lang w:eastAsia="zh-CN"/>
        </w:rPr>
        <w:t>分别计算评价区</w:t>
      </w:r>
      <w:r w:rsidRPr="00E67914">
        <w:rPr>
          <w:rFonts w:ascii="Times New Roman" w:hAnsi="Times New Roman"/>
          <w:bCs/>
          <w:sz w:val="24"/>
          <w:szCs w:val="24"/>
          <w:lang w:eastAsia="zh-CN"/>
        </w:rPr>
        <w:t>NPPmean</w:t>
      </w:r>
      <w:r w:rsidRPr="00E67914">
        <w:rPr>
          <w:rFonts w:ascii="Times New Roman" w:hAnsi="Times New Roman"/>
          <w:bCs/>
          <w:sz w:val="24"/>
          <w:szCs w:val="24"/>
          <w:lang w:eastAsia="zh-CN"/>
        </w:rPr>
        <w:t>和</w:t>
      </w:r>
      <w:r w:rsidRPr="00E67914">
        <w:rPr>
          <w:rFonts w:ascii="Times New Roman" w:hAnsi="Times New Roman"/>
          <w:bCs/>
          <w:sz w:val="24"/>
          <w:szCs w:val="24"/>
          <w:lang w:eastAsia="zh-CN"/>
        </w:rPr>
        <w:t>Fslo</w:t>
      </w:r>
      <w:r w:rsidRPr="00E67914">
        <w:rPr>
          <w:rFonts w:ascii="Times New Roman" w:hAnsi="Times New Roman"/>
          <w:bCs/>
          <w:sz w:val="24"/>
          <w:szCs w:val="24"/>
          <w:lang w:eastAsia="zh-CN"/>
        </w:rPr>
        <w:t>等指标后，按照公式</w:t>
      </w:r>
      <w:r w:rsidRPr="00E67914">
        <w:rPr>
          <w:rFonts w:ascii="Times New Roman" w:hAnsi="Times New Roman"/>
          <w:bCs/>
          <w:noProof/>
          <w:sz w:val="24"/>
          <w:szCs w:val="24"/>
          <w:lang w:eastAsia="zh-CN"/>
        </w:rPr>
        <w:drawing>
          <wp:inline distT="0" distB="0" distL="0" distR="0" wp14:anchorId="705B88C2" wp14:editId="029A7177">
            <wp:extent cx="1563370" cy="265430"/>
            <wp:effectExtent l="0" t="0" r="0" b="1270"/>
            <wp:docPr id="3818" name="图片 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 name="图片 38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563370" cy="265430"/>
                    </a:xfrm>
                    <a:prstGeom prst="rect">
                      <a:avLst/>
                    </a:prstGeom>
                    <a:noFill/>
                    <a:ln>
                      <a:noFill/>
                    </a:ln>
                  </pic:spPr>
                </pic:pic>
              </a:graphicData>
            </a:graphic>
          </wp:inline>
        </w:drawing>
      </w:r>
      <w:r w:rsidRPr="00E67914">
        <w:rPr>
          <w:rFonts w:ascii="Times New Roman" w:hAnsi="Times New Roman"/>
          <w:bCs/>
          <w:sz w:val="24"/>
          <w:szCs w:val="24"/>
          <w:lang w:eastAsia="zh-CN"/>
        </w:rPr>
        <w:t>，计算求得评价区内</w:t>
      </w:r>
      <w:r w:rsidRPr="00E67914">
        <w:rPr>
          <w:rFonts w:ascii="Times New Roman" w:hAnsi="Times New Roman"/>
          <w:bCs/>
          <w:noProof/>
          <w:sz w:val="24"/>
          <w:szCs w:val="24"/>
          <w:lang w:eastAsia="zh-CN"/>
        </w:rPr>
        <w:drawing>
          <wp:inline distT="0" distB="0" distL="0" distR="0" wp14:anchorId="79FFA6C9" wp14:editId="5FAE74F1">
            <wp:extent cx="273050" cy="243205"/>
            <wp:effectExtent l="0" t="0" r="0" b="4445"/>
            <wp:docPr id="3817" name="图片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 name="图片 38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73050" cy="243205"/>
                    </a:xfrm>
                    <a:prstGeom prst="rect">
                      <a:avLst/>
                    </a:prstGeom>
                    <a:noFill/>
                    <a:ln>
                      <a:noFill/>
                    </a:ln>
                  </pic:spPr>
                </pic:pic>
              </a:graphicData>
            </a:graphic>
          </wp:inline>
        </w:drawing>
      </w:r>
      <w:r w:rsidRPr="00E67914">
        <w:rPr>
          <w:rFonts w:ascii="Times New Roman" w:hAnsi="Times New Roman"/>
          <w:bCs/>
          <w:sz w:val="24"/>
          <w:szCs w:val="24"/>
          <w:lang w:eastAsia="zh-CN"/>
        </w:rPr>
        <w:t>值分布情况。</w:t>
      </w:r>
    </w:p>
    <w:p w14:paraId="79F0EA58" w14:textId="471EE61A" w:rsidR="00A54A8A" w:rsidRPr="00E67914" w:rsidRDefault="00000000">
      <w:pPr>
        <w:widowControl w:val="0"/>
        <w:adjustRightInd w:val="0"/>
        <w:snapToGrid w:val="0"/>
        <w:spacing w:line="360" w:lineRule="auto"/>
        <w:ind w:firstLine="482"/>
        <w:jc w:val="both"/>
        <w:rPr>
          <w:rFonts w:ascii="Times New Roman" w:hAnsi="Times New Roman"/>
          <w:sz w:val="24"/>
          <w:szCs w:val="24"/>
          <w:lang w:eastAsia="zh-CN"/>
        </w:rPr>
      </w:pPr>
      <w:r w:rsidRPr="00E67914">
        <w:rPr>
          <w:rFonts w:ascii="Times New Roman" w:hAnsi="Times New Roman"/>
          <w:bCs/>
          <w:sz w:val="24"/>
          <w:szCs w:val="24"/>
          <w:lang w:eastAsia="zh-CN"/>
        </w:rPr>
        <w:t>经过计算分析，土壤保持功能重要性等级比例最大的为极重要，面积</w:t>
      </w:r>
      <w:r w:rsidR="005C1AD6" w:rsidRPr="00E67914">
        <w:rPr>
          <w:rFonts w:ascii="Times New Roman" w:hAnsi="Times New Roman"/>
          <w:bCs/>
          <w:sz w:val="24"/>
          <w:szCs w:val="24"/>
          <w:lang w:eastAsia="zh-CN"/>
        </w:rPr>
        <w:t>39.17</w:t>
      </w:r>
      <w:r w:rsidRPr="00E67914">
        <w:rPr>
          <w:rFonts w:ascii="Times New Roman" w:hAnsi="Times New Roman"/>
          <w:bCs/>
          <w:sz w:val="24"/>
          <w:szCs w:val="24"/>
          <w:lang w:eastAsia="zh-CN"/>
        </w:rPr>
        <w:t>hm²</w:t>
      </w:r>
      <w:r w:rsidRPr="00E67914">
        <w:rPr>
          <w:rFonts w:ascii="Times New Roman" w:hAnsi="Times New Roman"/>
          <w:bCs/>
          <w:sz w:val="24"/>
          <w:szCs w:val="24"/>
          <w:lang w:eastAsia="zh-CN"/>
        </w:rPr>
        <w:t>，比例为</w:t>
      </w:r>
      <w:r w:rsidR="005C1AD6" w:rsidRPr="00E67914">
        <w:rPr>
          <w:rFonts w:ascii="Times New Roman" w:hAnsi="Times New Roman"/>
          <w:bCs/>
          <w:sz w:val="24"/>
          <w:szCs w:val="24"/>
          <w:lang w:eastAsia="zh-CN"/>
        </w:rPr>
        <w:t>49.93</w:t>
      </w:r>
      <w:r w:rsidRPr="00E67914">
        <w:rPr>
          <w:rFonts w:ascii="Times New Roman" w:hAnsi="Times New Roman"/>
          <w:bCs/>
          <w:sz w:val="24"/>
          <w:szCs w:val="24"/>
          <w:lang w:eastAsia="zh-CN"/>
        </w:rPr>
        <w:t>%</w:t>
      </w:r>
      <w:r w:rsidRPr="00E67914">
        <w:rPr>
          <w:rFonts w:ascii="Times New Roman" w:hAnsi="Times New Roman"/>
          <w:bCs/>
          <w:sz w:val="24"/>
          <w:szCs w:val="24"/>
          <w:lang w:eastAsia="zh-CN"/>
        </w:rPr>
        <w:t>，主要为森林及高覆盖度灌丛植被区且坡度平缓区，生态系统净初级生产力较高；重要性等级比例最小的为中度重要，面积</w:t>
      </w:r>
      <w:r w:rsidR="005C1AD6" w:rsidRPr="00E67914">
        <w:rPr>
          <w:rFonts w:ascii="Times New Roman" w:hAnsi="Times New Roman"/>
          <w:bCs/>
          <w:sz w:val="24"/>
          <w:szCs w:val="24"/>
          <w:lang w:eastAsia="zh-CN"/>
        </w:rPr>
        <w:t>1.49</w:t>
      </w:r>
      <w:r w:rsidRPr="00E67914">
        <w:rPr>
          <w:rFonts w:ascii="Times New Roman" w:hAnsi="Times New Roman"/>
          <w:bCs/>
          <w:sz w:val="24"/>
          <w:szCs w:val="24"/>
          <w:lang w:eastAsia="zh-CN"/>
        </w:rPr>
        <w:t>hm²</w:t>
      </w:r>
      <w:r w:rsidRPr="00E67914">
        <w:rPr>
          <w:rFonts w:ascii="Times New Roman" w:hAnsi="Times New Roman"/>
          <w:bCs/>
          <w:sz w:val="24"/>
          <w:szCs w:val="24"/>
          <w:lang w:eastAsia="zh-CN"/>
        </w:rPr>
        <w:t>，比例为</w:t>
      </w:r>
      <w:r w:rsidR="005C1AD6" w:rsidRPr="00E67914">
        <w:rPr>
          <w:rFonts w:ascii="Times New Roman" w:hAnsi="Times New Roman"/>
          <w:bCs/>
          <w:sz w:val="24"/>
          <w:szCs w:val="24"/>
          <w:lang w:eastAsia="zh-CN"/>
        </w:rPr>
        <w:t>1.89</w:t>
      </w:r>
      <w:r w:rsidRPr="00E67914">
        <w:rPr>
          <w:rFonts w:ascii="Times New Roman" w:hAnsi="Times New Roman"/>
          <w:bCs/>
          <w:sz w:val="24"/>
          <w:szCs w:val="24"/>
          <w:lang w:eastAsia="zh-CN"/>
        </w:rPr>
        <w:t>%</w:t>
      </w:r>
      <w:r w:rsidRPr="00E67914">
        <w:rPr>
          <w:rFonts w:ascii="Times New Roman" w:hAnsi="Times New Roman"/>
          <w:bCs/>
          <w:sz w:val="24"/>
          <w:szCs w:val="24"/>
          <w:lang w:eastAsia="zh-CN"/>
        </w:rPr>
        <w:t>，主要为中高覆盖度灌丛植被区且坡度陡峭区、草地分布区且有一定坡度地段，详见表</w:t>
      </w:r>
      <w:r w:rsidRPr="00E67914">
        <w:rPr>
          <w:rFonts w:ascii="Times New Roman" w:hAnsi="Times New Roman"/>
          <w:bCs/>
          <w:sz w:val="24"/>
          <w:szCs w:val="24"/>
          <w:lang w:eastAsia="zh-CN"/>
        </w:rPr>
        <w:t>4.3-1</w:t>
      </w:r>
      <w:r w:rsidR="008752B7" w:rsidRPr="00E67914">
        <w:rPr>
          <w:rFonts w:ascii="Times New Roman" w:hAnsi="Times New Roman"/>
          <w:bCs/>
          <w:sz w:val="24"/>
          <w:szCs w:val="24"/>
          <w:lang w:eastAsia="zh-CN"/>
        </w:rPr>
        <w:t>5</w:t>
      </w:r>
      <w:r w:rsidRPr="00E67914">
        <w:rPr>
          <w:rFonts w:ascii="Times New Roman" w:hAnsi="Times New Roman"/>
          <w:sz w:val="24"/>
          <w:szCs w:val="24"/>
          <w:lang w:eastAsia="zh-CN"/>
        </w:rPr>
        <w:t>。</w:t>
      </w:r>
    </w:p>
    <w:p w14:paraId="2A5B2A15" w14:textId="57188212"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4.3-1</w:t>
      </w:r>
      <w:r w:rsidR="008752B7" w:rsidRPr="00E67914">
        <w:rPr>
          <w:rFonts w:ascii="Times New Roman" w:eastAsia="黑体" w:hAnsi="Times New Roman"/>
          <w:sz w:val="21"/>
          <w:szCs w:val="21"/>
          <w:lang w:eastAsia="zh-CN"/>
        </w:rPr>
        <w:t>5</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土壤保持功能重要性评价分布表</w:t>
      </w:r>
    </w:p>
    <w:tbl>
      <w:tblPr>
        <w:tblW w:w="48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2"/>
        <w:gridCol w:w="1431"/>
        <w:gridCol w:w="1369"/>
        <w:gridCol w:w="4122"/>
      </w:tblGrid>
      <w:tr w:rsidR="00E67914" w:rsidRPr="00E67914" w14:paraId="4E065536" w14:textId="77777777">
        <w:trPr>
          <w:trHeight w:hRule="exact" w:val="397"/>
          <w:jc w:val="center"/>
        </w:trPr>
        <w:tc>
          <w:tcPr>
            <w:tcW w:w="697" w:type="pct"/>
            <w:vAlign w:val="center"/>
          </w:tcPr>
          <w:p w14:paraId="066A21B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分级</w:t>
            </w:r>
          </w:p>
        </w:tc>
        <w:tc>
          <w:tcPr>
            <w:tcW w:w="889" w:type="pct"/>
            <w:vAlign w:val="center"/>
          </w:tcPr>
          <w:p w14:paraId="309BA11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面积（</w:t>
            </w:r>
            <w:r w:rsidRPr="00E67914">
              <w:rPr>
                <w:rFonts w:ascii="Times New Roman" w:hAnsi="Times New Roman"/>
                <w:sz w:val="21"/>
                <w:szCs w:val="21"/>
              </w:rPr>
              <w:t>hm²</w:t>
            </w:r>
            <w:r w:rsidRPr="00E67914">
              <w:rPr>
                <w:rFonts w:ascii="Times New Roman" w:hAnsi="Times New Roman"/>
                <w:sz w:val="21"/>
                <w:szCs w:val="21"/>
              </w:rPr>
              <w:t>）</w:t>
            </w:r>
          </w:p>
        </w:tc>
        <w:tc>
          <w:tcPr>
            <w:tcW w:w="851" w:type="pct"/>
            <w:vAlign w:val="center"/>
          </w:tcPr>
          <w:p w14:paraId="5D802A7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比例（</w:t>
            </w:r>
            <w:r w:rsidRPr="00E67914">
              <w:rPr>
                <w:rFonts w:ascii="Times New Roman" w:hAnsi="Times New Roman"/>
                <w:sz w:val="21"/>
                <w:szCs w:val="21"/>
              </w:rPr>
              <w:t>%</w:t>
            </w:r>
            <w:r w:rsidRPr="00E67914">
              <w:rPr>
                <w:rFonts w:ascii="Times New Roman" w:hAnsi="Times New Roman"/>
                <w:sz w:val="21"/>
                <w:szCs w:val="21"/>
              </w:rPr>
              <w:t>）</w:t>
            </w:r>
          </w:p>
        </w:tc>
        <w:tc>
          <w:tcPr>
            <w:tcW w:w="2561" w:type="pct"/>
            <w:vAlign w:val="center"/>
          </w:tcPr>
          <w:p w14:paraId="18E96CF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分布特征</w:t>
            </w:r>
          </w:p>
        </w:tc>
      </w:tr>
      <w:tr w:rsidR="00E67914" w:rsidRPr="00E67914" w14:paraId="24FCE2B3" w14:textId="77777777">
        <w:trPr>
          <w:trHeight w:hRule="exact" w:val="397"/>
          <w:jc w:val="center"/>
        </w:trPr>
        <w:tc>
          <w:tcPr>
            <w:tcW w:w="697" w:type="pct"/>
            <w:vAlign w:val="center"/>
          </w:tcPr>
          <w:p w14:paraId="63FFE0C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一般重要</w:t>
            </w:r>
          </w:p>
        </w:tc>
        <w:tc>
          <w:tcPr>
            <w:tcW w:w="889" w:type="pct"/>
            <w:vAlign w:val="center"/>
          </w:tcPr>
          <w:p w14:paraId="6A5EAB79" w14:textId="7A14A192"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6.38</w:t>
            </w:r>
          </w:p>
        </w:tc>
        <w:tc>
          <w:tcPr>
            <w:tcW w:w="851" w:type="pct"/>
            <w:vAlign w:val="center"/>
          </w:tcPr>
          <w:p w14:paraId="4CE52CDA" w14:textId="7F99639F"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8.13</w:t>
            </w:r>
          </w:p>
        </w:tc>
        <w:tc>
          <w:tcPr>
            <w:tcW w:w="2561" w:type="pct"/>
            <w:vAlign w:val="center"/>
          </w:tcPr>
          <w:p w14:paraId="0EF6969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非植被区</w:t>
            </w:r>
          </w:p>
        </w:tc>
      </w:tr>
      <w:tr w:rsidR="00E67914" w:rsidRPr="00E67914" w14:paraId="17C21EC3" w14:textId="77777777">
        <w:trPr>
          <w:trHeight w:hRule="exact" w:val="397"/>
          <w:jc w:val="center"/>
        </w:trPr>
        <w:tc>
          <w:tcPr>
            <w:tcW w:w="697" w:type="pct"/>
            <w:vAlign w:val="center"/>
          </w:tcPr>
          <w:p w14:paraId="1491A27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较重要</w:t>
            </w:r>
          </w:p>
        </w:tc>
        <w:tc>
          <w:tcPr>
            <w:tcW w:w="889" w:type="pct"/>
            <w:vAlign w:val="center"/>
          </w:tcPr>
          <w:p w14:paraId="3212032C" w14:textId="037A405E"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27.67</w:t>
            </w:r>
          </w:p>
        </w:tc>
        <w:tc>
          <w:tcPr>
            <w:tcW w:w="851" w:type="pct"/>
            <w:vAlign w:val="center"/>
          </w:tcPr>
          <w:p w14:paraId="78109050" w14:textId="7BBD0C31"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35.27</w:t>
            </w:r>
          </w:p>
        </w:tc>
        <w:tc>
          <w:tcPr>
            <w:tcW w:w="2561" w:type="pct"/>
            <w:vAlign w:val="center"/>
          </w:tcPr>
          <w:p w14:paraId="2E7D4B6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耕地区</w:t>
            </w:r>
          </w:p>
        </w:tc>
      </w:tr>
      <w:tr w:rsidR="00E67914" w:rsidRPr="00E67914" w14:paraId="64F095D6" w14:textId="77777777">
        <w:trPr>
          <w:trHeight w:hRule="exact" w:val="902"/>
          <w:jc w:val="center"/>
        </w:trPr>
        <w:tc>
          <w:tcPr>
            <w:tcW w:w="697" w:type="pct"/>
            <w:vAlign w:val="center"/>
          </w:tcPr>
          <w:p w14:paraId="0D22D3B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中度重要</w:t>
            </w:r>
          </w:p>
        </w:tc>
        <w:tc>
          <w:tcPr>
            <w:tcW w:w="889" w:type="pct"/>
            <w:vAlign w:val="center"/>
          </w:tcPr>
          <w:p w14:paraId="0C21DCA5" w14:textId="23520EA3"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1.49</w:t>
            </w:r>
          </w:p>
        </w:tc>
        <w:tc>
          <w:tcPr>
            <w:tcW w:w="851" w:type="pct"/>
            <w:vAlign w:val="center"/>
          </w:tcPr>
          <w:p w14:paraId="0A1A5766" w14:textId="0FD4D1DF"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1.89</w:t>
            </w:r>
          </w:p>
        </w:tc>
        <w:tc>
          <w:tcPr>
            <w:tcW w:w="2561" w:type="pct"/>
            <w:vAlign w:val="center"/>
          </w:tcPr>
          <w:p w14:paraId="2F979309"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中高覆盖度灌丛植被区且坡度陡峭区、草地分布区且有一定坡度地段</w:t>
            </w:r>
          </w:p>
        </w:tc>
      </w:tr>
      <w:tr w:rsidR="00E67914" w:rsidRPr="00E67914" w14:paraId="3D8A4B43" w14:textId="77777777">
        <w:trPr>
          <w:trHeight w:hRule="exact" w:val="782"/>
          <w:jc w:val="center"/>
        </w:trPr>
        <w:tc>
          <w:tcPr>
            <w:tcW w:w="697" w:type="pct"/>
            <w:vAlign w:val="center"/>
          </w:tcPr>
          <w:p w14:paraId="7CB11D3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高度重要</w:t>
            </w:r>
          </w:p>
        </w:tc>
        <w:tc>
          <w:tcPr>
            <w:tcW w:w="889" w:type="pct"/>
            <w:vAlign w:val="center"/>
          </w:tcPr>
          <w:p w14:paraId="31BAA517" w14:textId="5AD1E122"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3.74</w:t>
            </w:r>
          </w:p>
        </w:tc>
        <w:tc>
          <w:tcPr>
            <w:tcW w:w="851" w:type="pct"/>
            <w:vAlign w:val="center"/>
          </w:tcPr>
          <w:p w14:paraId="605C4296" w14:textId="794F8E60"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4.77</w:t>
            </w:r>
          </w:p>
        </w:tc>
        <w:tc>
          <w:tcPr>
            <w:tcW w:w="2561" w:type="pct"/>
            <w:vAlign w:val="center"/>
          </w:tcPr>
          <w:p w14:paraId="4E736F8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森林及高覆盖度灌丛植被区且坡度陡峭区、中高覆盖度灌丛植被区且坡度较缓地段</w:t>
            </w:r>
          </w:p>
        </w:tc>
      </w:tr>
      <w:tr w:rsidR="00E67914" w:rsidRPr="00E67914" w14:paraId="5E12AD03" w14:textId="77777777">
        <w:trPr>
          <w:trHeight w:hRule="exact" w:val="397"/>
          <w:jc w:val="center"/>
        </w:trPr>
        <w:tc>
          <w:tcPr>
            <w:tcW w:w="697" w:type="pct"/>
            <w:vAlign w:val="center"/>
          </w:tcPr>
          <w:p w14:paraId="7D760C2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极重要</w:t>
            </w:r>
          </w:p>
        </w:tc>
        <w:tc>
          <w:tcPr>
            <w:tcW w:w="889" w:type="pct"/>
            <w:vAlign w:val="center"/>
          </w:tcPr>
          <w:p w14:paraId="34BDF516" w14:textId="6301C3D4"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39.17</w:t>
            </w:r>
          </w:p>
        </w:tc>
        <w:tc>
          <w:tcPr>
            <w:tcW w:w="851" w:type="pct"/>
            <w:vAlign w:val="center"/>
          </w:tcPr>
          <w:p w14:paraId="767025A1" w14:textId="3175D459" w:rsidR="00A54A8A" w:rsidRPr="00E67914" w:rsidRDefault="005C1AD6">
            <w:pPr>
              <w:jc w:val="center"/>
              <w:rPr>
                <w:rFonts w:ascii="Times New Roman" w:hAnsi="Times New Roman"/>
                <w:sz w:val="21"/>
                <w:szCs w:val="21"/>
                <w:lang w:eastAsia="zh-CN"/>
              </w:rPr>
            </w:pPr>
            <w:r w:rsidRPr="00E67914">
              <w:rPr>
                <w:rFonts w:ascii="Times New Roman" w:hAnsi="Times New Roman"/>
                <w:sz w:val="21"/>
                <w:szCs w:val="21"/>
                <w:lang w:eastAsia="zh-CN"/>
              </w:rPr>
              <w:t>49.93</w:t>
            </w:r>
          </w:p>
        </w:tc>
        <w:tc>
          <w:tcPr>
            <w:tcW w:w="2561" w:type="pct"/>
            <w:vAlign w:val="center"/>
          </w:tcPr>
          <w:p w14:paraId="47608D1F"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森林及高覆盖度灌丛植被区且坡度平缓区</w:t>
            </w:r>
          </w:p>
        </w:tc>
      </w:tr>
      <w:tr w:rsidR="00E67914" w:rsidRPr="00E67914" w14:paraId="1470CEED" w14:textId="77777777">
        <w:trPr>
          <w:trHeight w:hRule="exact" w:val="397"/>
          <w:jc w:val="center"/>
        </w:trPr>
        <w:tc>
          <w:tcPr>
            <w:tcW w:w="697" w:type="pct"/>
            <w:vAlign w:val="center"/>
          </w:tcPr>
          <w:p w14:paraId="0D84224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总计</w:t>
            </w:r>
          </w:p>
        </w:tc>
        <w:tc>
          <w:tcPr>
            <w:tcW w:w="889" w:type="pct"/>
            <w:vAlign w:val="center"/>
          </w:tcPr>
          <w:p w14:paraId="21231379" w14:textId="531FBAAE" w:rsidR="00A54A8A" w:rsidRPr="00E67914" w:rsidRDefault="005C1AD6">
            <w:pPr>
              <w:jc w:val="center"/>
              <w:rPr>
                <w:rFonts w:ascii="Times New Roman" w:hAnsi="Times New Roman"/>
                <w:sz w:val="21"/>
                <w:szCs w:val="21"/>
              </w:rPr>
            </w:pPr>
            <w:r w:rsidRPr="00E67914">
              <w:rPr>
                <w:rFonts w:ascii="Times New Roman" w:hAnsi="Times New Roman"/>
                <w:sz w:val="21"/>
                <w:szCs w:val="21"/>
                <w:lang w:eastAsia="zh-CN"/>
              </w:rPr>
              <w:t>78.46</w:t>
            </w:r>
          </w:p>
        </w:tc>
        <w:tc>
          <w:tcPr>
            <w:tcW w:w="851" w:type="pct"/>
            <w:vAlign w:val="center"/>
          </w:tcPr>
          <w:p w14:paraId="59AEC61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100</w:t>
            </w:r>
          </w:p>
        </w:tc>
        <w:tc>
          <w:tcPr>
            <w:tcW w:w="2561" w:type="pct"/>
            <w:vAlign w:val="center"/>
          </w:tcPr>
          <w:p w14:paraId="20F28F51" w14:textId="77777777" w:rsidR="00A54A8A" w:rsidRPr="00E67914" w:rsidRDefault="00A54A8A">
            <w:pPr>
              <w:jc w:val="center"/>
              <w:rPr>
                <w:rFonts w:ascii="Times New Roman" w:hAnsi="Times New Roman"/>
                <w:sz w:val="21"/>
                <w:szCs w:val="21"/>
              </w:rPr>
            </w:pPr>
          </w:p>
        </w:tc>
      </w:tr>
    </w:tbl>
    <w:p w14:paraId="5F24414F"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128" w:name="_Toc26940"/>
      <w:r w:rsidRPr="00E67914">
        <w:rPr>
          <w:rFonts w:ascii="Times New Roman" w:eastAsia="黑体" w:hAnsi="Times New Roman"/>
          <w:b w:val="0"/>
          <w:sz w:val="24"/>
          <w:szCs w:val="24"/>
          <w:lang w:eastAsia="zh-CN"/>
        </w:rPr>
        <w:lastRenderedPageBreak/>
        <w:t>4.3.9</w:t>
      </w:r>
      <w:r w:rsidRPr="00E67914">
        <w:rPr>
          <w:rFonts w:ascii="Times New Roman" w:eastAsia="黑体" w:hAnsi="Times New Roman"/>
          <w:b w:val="0"/>
          <w:sz w:val="24"/>
          <w:szCs w:val="24"/>
          <w:lang w:eastAsia="zh-CN"/>
        </w:rPr>
        <w:t>物种多样性分析</w:t>
      </w:r>
      <w:bookmarkEnd w:id="128"/>
    </w:p>
    <w:p w14:paraId="0CEA5D47" w14:textId="77777777"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lang w:eastAsia="zh-CN"/>
        </w:rPr>
        <w:t>评价区地处亚热带常绿阔叶林区域，气候温暖湿润，区内丘陵、低山分布其间，植被类型主要有马尾松、柏木、麻栎、青冈、栓皮栎等森林植被以及野桐、盐肤木、马桑、黄荆、火棘、芒、白茅、蕨、芒萁等为主的灌草丛植被，群落结构和组成相对复杂，但均为当地常见类型，分布较广。</w:t>
      </w:r>
    </w:p>
    <w:p w14:paraId="4D169280" w14:textId="1F94FAC6"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bCs/>
          <w:kern w:val="2"/>
          <w:sz w:val="24"/>
          <w:szCs w:val="24"/>
          <w:lang w:eastAsia="zh-CN"/>
        </w:rPr>
        <w:t>项目处于亚热带常绿阔叶林区域，水热条件较好，植被总体覆盖度较高，评价区主要群落物种丰富度指数介于</w:t>
      </w:r>
      <w:r w:rsidRPr="00E67914">
        <w:rPr>
          <w:rFonts w:ascii="Times New Roman" w:hAnsi="Times New Roman"/>
          <w:bCs/>
          <w:kern w:val="2"/>
          <w:sz w:val="24"/>
          <w:szCs w:val="24"/>
          <w:lang w:eastAsia="zh-CN"/>
        </w:rPr>
        <w:t>0.305-0.798</w:t>
      </w:r>
      <w:r w:rsidRPr="00E67914">
        <w:rPr>
          <w:rFonts w:ascii="Times New Roman" w:hAnsi="Times New Roman"/>
          <w:bCs/>
          <w:kern w:val="2"/>
          <w:sz w:val="24"/>
          <w:szCs w:val="24"/>
          <w:lang w:eastAsia="zh-CN"/>
        </w:rPr>
        <w:t>之间，表明评价区物种多样性水平较高，总体结构较复杂</w:t>
      </w:r>
      <w:r w:rsidRPr="00E67914">
        <w:rPr>
          <w:rFonts w:ascii="Times New Roman" w:hAnsi="Times New Roman"/>
          <w:sz w:val="24"/>
          <w:szCs w:val="24"/>
          <w:lang w:eastAsia="zh-CN"/>
        </w:rPr>
        <w:t>。</w:t>
      </w:r>
    </w:p>
    <w:p w14:paraId="75FF28F7"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4.3.10</w:t>
      </w:r>
      <w:r w:rsidRPr="00E67914">
        <w:rPr>
          <w:rFonts w:ascii="Times New Roman" w:eastAsia="黑体" w:hAnsi="Times New Roman"/>
          <w:b w:val="0"/>
          <w:sz w:val="24"/>
          <w:szCs w:val="24"/>
          <w:lang w:eastAsia="zh-CN"/>
        </w:rPr>
        <w:t>陆生野生动物现状调查</w:t>
      </w:r>
    </w:p>
    <w:p w14:paraId="58D37E38" w14:textId="77777777" w:rsidR="00A54A8A" w:rsidRPr="00E67914" w:rsidRDefault="00000000">
      <w:pPr>
        <w:spacing w:line="480" w:lineRule="exact"/>
        <w:ind w:firstLineChars="200" w:firstLine="482"/>
        <w:rPr>
          <w:rFonts w:ascii="Times New Roman" w:hAnsi="Times New Roman"/>
          <w:b/>
          <w:bCs/>
          <w:sz w:val="24"/>
          <w:lang w:eastAsia="zh-CN"/>
        </w:rPr>
      </w:pPr>
      <w:r w:rsidRPr="00E67914">
        <w:rPr>
          <w:rFonts w:ascii="Times New Roman" w:hAnsi="Times New Roman"/>
          <w:b/>
          <w:bCs/>
          <w:sz w:val="24"/>
          <w:lang w:eastAsia="zh-CN"/>
        </w:rPr>
        <w:t>1</w:t>
      </w:r>
      <w:r w:rsidRPr="00E67914">
        <w:rPr>
          <w:rFonts w:ascii="Times New Roman" w:hAnsi="Times New Roman"/>
          <w:b/>
          <w:bCs/>
          <w:sz w:val="24"/>
          <w:lang w:eastAsia="zh-CN"/>
        </w:rPr>
        <w:t>、项目评价范围内陆生野生脊椎动物现状和特点</w:t>
      </w:r>
    </w:p>
    <w:p w14:paraId="449E192A" w14:textId="31652FE8"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lang w:eastAsia="zh-CN"/>
        </w:rPr>
        <w:t>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w:t>
      </w:r>
      <w:r w:rsidRPr="00E67914">
        <w:rPr>
          <w:rFonts w:ascii="Times New Roman" w:hAnsi="Times New Roman"/>
          <w:sz w:val="24"/>
          <w:lang w:eastAsia="zh-CN"/>
        </w:rPr>
        <w:t>11-</w:t>
      </w:r>
      <w:r w:rsidRPr="00E67914">
        <w:rPr>
          <w:rFonts w:ascii="Times New Roman" w:hAnsi="Times New Roman"/>
          <w:sz w:val="24"/>
          <w:lang w:eastAsia="zh-CN"/>
        </w:rPr>
        <w:t>次年</w:t>
      </w:r>
      <w:r w:rsidRPr="00E67914">
        <w:rPr>
          <w:rFonts w:ascii="Times New Roman" w:hAnsi="Times New Roman"/>
          <w:sz w:val="24"/>
          <w:lang w:eastAsia="zh-CN"/>
        </w:rPr>
        <w:t>4</w:t>
      </w:r>
      <w:r w:rsidRPr="00E67914">
        <w:rPr>
          <w:rFonts w:ascii="Times New Roman" w:hAnsi="Times New Roman"/>
          <w:sz w:val="24"/>
          <w:lang w:eastAsia="zh-CN"/>
        </w:rPr>
        <w:t>月，本次评价以项目所在区域宣汉县陆生野生动物分布情况为准。</w:t>
      </w:r>
    </w:p>
    <w:p w14:paraId="2521A49D" w14:textId="77777777" w:rsidR="00A54A8A" w:rsidRPr="00E67914" w:rsidRDefault="00000000">
      <w:pPr>
        <w:spacing w:line="480" w:lineRule="exact"/>
        <w:ind w:firstLineChars="200" w:firstLine="482"/>
        <w:rPr>
          <w:rFonts w:ascii="Times New Roman" w:hAnsi="Times New Roman"/>
          <w:b/>
          <w:bCs/>
          <w:sz w:val="24"/>
          <w:lang w:eastAsia="zh-CN"/>
        </w:rPr>
      </w:pPr>
      <w:r w:rsidRPr="00E67914">
        <w:rPr>
          <w:rFonts w:ascii="Times New Roman" w:hAnsi="Times New Roman"/>
          <w:b/>
          <w:bCs/>
          <w:sz w:val="24"/>
          <w:lang w:eastAsia="zh-CN"/>
        </w:rPr>
        <w:t>2</w:t>
      </w:r>
      <w:r w:rsidRPr="00E67914">
        <w:rPr>
          <w:rFonts w:ascii="Times New Roman" w:hAnsi="Times New Roman"/>
          <w:b/>
          <w:bCs/>
          <w:sz w:val="24"/>
          <w:lang w:eastAsia="zh-CN"/>
        </w:rPr>
        <w:t>、物种组成</w:t>
      </w:r>
    </w:p>
    <w:p w14:paraId="16B4E165" w14:textId="77777777"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szCs w:val="24"/>
          <w:lang w:eastAsia="zh-CN"/>
        </w:rPr>
        <w:t>根据现场调查、访问，参考保护区科考报告资料，评价区及周边不完全统计有野生脊椎动物</w:t>
      </w:r>
      <w:r w:rsidRPr="00E67914">
        <w:rPr>
          <w:rFonts w:ascii="Times New Roman" w:hAnsi="Times New Roman"/>
          <w:sz w:val="24"/>
          <w:szCs w:val="24"/>
          <w:lang w:eastAsia="zh-CN"/>
        </w:rPr>
        <w:t>19</w:t>
      </w:r>
      <w:r w:rsidRPr="00E67914">
        <w:rPr>
          <w:rFonts w:ascii="Times New Roman" w:hAnsi="Times New Roman"/>
          <w:sz w:val="24"/>
          <w:szCs w:val="24"/>
          <w:lang w:eastAsia="zh-CN"/>
        </w:rPr>
        <w:t>目</w:t>
      </w:r>
      <w:r w:rsidRPr="00E67914">
        <w:rPr>
          <w:rFonts w:ascii="Times New Roman" w:hAnsi="Times New Roman"/>
          <w:sz w:val="24"/>
          <w:szCs w:val="24"/>
          <w:lang w:eastAsia="zh-CN"/>
        </w:rPr>
        <w:t>35</w:t>
      </w:r>
      <w:r w:rsidRPr="00E67914">
        <w:rPr>
          <w:rFonts w:ascii="Times New Roman" w:hAnsi="Times New Roman"/>
          <w:sz w:val="24"/>
          <w:szCs w:val="24"/>
          <w:lang w:eastAsia="zh-CN"/>
        </w:rPr>
        <w:t>科</w:t>
      </w:r>
      <w:r w:rsidRPr="00E67914">
        <w:rPr>
          <w:rFonts w:ascii="Times New Roman" w:hAnsi="Times New Roman"/>
          <w:sz w:val="24"/>
          <w:szCs w:val="24"/>
          <w:lang w:eastAsia="zh-CN"/>
        </w:rPr>
        <w:t>60</w:t>
      </w:r>
      <w:r w:rsidRPr="00E67914">
        <w:rPr>
          <w:rFonts w:ascii="Times New Roman" w:hAnsi="Times New Roman"/>
          <w:sz w:val="24"/>
          <w:szCs w:val="24"/>
          <w:lang w:eastAsia="zh-CN"/>
        </w:rPr>
        <w:t>种，其中两栖类</w:t>
      </w:r>
      <w:r w:rsidRPr="00E67914">
        <w:rPr>
          <w:rFonts w:ascii="Times New Roman" w:hAnsi="Times New Roman"/>
          <w:sz w:val="24"/>
          <w:szCs w:val="24"/>
          <w:lang w:eastAsia="zh-CN"/>
        </w:rPr>
        <w:t>1</w:t>
      </w:r>
      <w:r w:rsidRPr="00E67914">
        <w:rPr>
          <w:rFonts w:ascii="Times New Roman" w:hAnsi="Times New Roman"/>
          <w:sz w:val="24"/>
          <w:szCs w:val="24"/>
          <w:lang w:eastAsia="zh-CN"/>
        </w:rPr>
        <w:t>目</w:t>
      </w:r>
      <w:r w:rsidRPr="00E67914">
        <w:rPr>
          <w:rFonts w:ascii="Times New Roman" w:hAnsi="Times New Roman"/>
          <w:sz w:val="24"/>
          <w:szCs w:val="24"/>
          <w:lang w:eastAsia="zh-CN"/>
        </w:rPr>
        <w:t>3</w:t>
      </w:r>
      <w:r w:rsidRPr="00E67914">
        <w:rPr>
          <w:rFonts w:ascii="Times New Roman" w:hAnsi="Times New Roman"/>
          <w:sz w:val="24"/>
          <w:szCs w:val="24"/>
          <w:lang w:eastAsia="zh-CN"/>
        </w:rPr>
        <w:t>科</w:t>
      </w:r>
      <w:r w:rsidRPr="00E67914">
        <w:rPr>
          <w:rFonts w:ascii="Times New Roman" w:hAnsi="Times New Roman"/>
          <w:sz w:val="24"/>
          <w:szCs w:val="24"/>
          <w:lang w:eastAsia="zh-CN"/>
        </w:rPr>
        <w:t>5</w:t>
      </w:r>
      <w:r w:rsidRPr="00E67914">
        <w:rPr>
          <w:rFonts w:ascii="Times New Roman" w:hAnsi="Times New Roman"/>
          <w:sz w:val="24"/>
          <w:szCs w:val="24"/>
          <w:lang w:eastAsia="zh-CN"/>
        </w:rPr>
        <w:t>种，爬行类</w:t>
      </w:r>
      <w:r w:rsidRPr="00E67914">
        <w:rPr>
          <w:rFonts w:ascii="Times New Roman" w:hAnsi="Times New Roman"/>
          <w:sz w:val="24"/>
          <w:szCs w:val="24"/>
          <w:lang w:eastAsia="zh-CN"/>
        </w:rPr>
        <w:t>1</w:t>
      </w:r>
      <w:r w:rsidRPr="00E67914">
        <w:rPr>
          <w:rFonts w:ascii="Times New Roman" w:hAnsi="Times New Roman"/>
          <w:sz w:val="24"/>
          <w:szCs w:val="24"/>
          <w:lang w:eastAsia="zh-CN"/>
        </w:rPr>
        <w:t>目</w:t>
      </w:r>
      <w:r w:rsidRPr="00E67914">
        <w:rPr>
          <w:rFonts w:ascii="Times New Roman" w:hAnsi="Times New Roman"/>
          <w:sz w:val="24"/>
          <w:szCs w:val="24"/>
          <w:lang w:eastAsia="zh-CN"/>
        </w:rPr>
        <w:t>2</w:t>
      </w:r>
      <w:r w:rsidRPr="00E67914">
        <w:rPr>
          <w:rFonts w:ascii="Times New Roman" w:hAnsi="Times New Roman"/>
          <w:sz w:val="24"/>
          <w:szCs w:val="24"/>
          <w:lang w:eastAsia="zh-CN"/>
        </w:rPr>
        <w:t>科</w:t>
      </w:r>
      <w:r w:rsidRPr="00E67914">
        <w:rPr>
          <w:rFonts w:ascii="Times New Roman" w:hAnsi="Times New Roman"/>
          <w:sz w:val="24"/>
          <w:szCs w:val="24"/>
          <w:lang w:eastAsia="zh-CN"/>
        </w:rPr>
        <w:t>6</w:t>
      </w:r>
      <w:r w:rsidRPr="00E67914">
        <w:rPr>
          <w:rFonts w:ascii="Times New Roman" w:hAnsi="Times New Roman"/>
          <w:sz w:val="24"/>
          <w:szCs w:val="24"/>
          <w:lang w:eastAsia="zh-CN"/>
        </w:rPr>
        <w:t>种，哺乳类</w:t>
      </w:r>
      <w:r w:rsidRPr="00E67914">
        <w:rPr>
          <w:rFonts w:ascii="Times New Roman" w:hAnsi="Times New Roman"/>
          <w:sz w:val="24"/>
          <w:szCs w:val="24"/>
          <w:lang w:eastAsia="zh-CN"/>
        </w:rPr>
        <w:t>6</w:t>
      </w:r>
      <w:r w:rsidRPr="00E67914">
        <w:rPr>
          <w:rFonts w:ascii="Times New Roman" w:hAnsi="Times New Roman"/>
          <w:sz w:val="24"/>
          <w:szCs w:val="24"/>
          <w:lang w:eastAsia="zh-CN"/>
        </w:rPr>
        <w:t>目</w:t>
      </w:r>
      <w:r w:rsidRPr="00E67914">
        <w:rPr>
          <w:rFonts w:ascii="Times New Roman" w:hAnsi="Times New Roman"/>
          <w:sz w:val="24"/>
          <w:szCs w:val="24"/>
          <w:lang w:eastAsia="zh-CN"/>
        </w:rPr>
        <w:t>9</w:t>
      </w:r>
      <w:r w:rsidRPr="00E67914">
        <w:rPr>
          <w:rFonts w:ascii="Times New Roman" w:hAnsi="Times New Roman"/>
          <w:sz w:val="24"/>
          <w:szCs w:val="24"/>
          <w:lang w:eastAsia="zh-CN"/>
        </w:rPr>
        <w:t>科</w:t>
      </w:r>
      <w:r w:rsidRPr="00E67914">
        <w:rPr>
          <w:rFonts w:ascii="Times New Roman" w:hAnsi="Times New Roman"/>
          <w:sz w:val="24"/>
          <w:szCs w:val="24"/>
          <w:lang w:eastAsia="zh-CN"/>
        </w:rPr>
        <w:t>15</w:t>
      </w:r>
      <w:r w:rsidRPr="00E67914">
        <w:rPr>
          <w:rFonts w:ascii="Times New Roman" w:hAnsi="Times New Roman"/>
          <w:sz w:val="24"/>
          <w:szCs w:val="24"/>
          <w:lang w:eastAsia="zh-CN"/>
        </w:rPr>
        <w:t>种，鸟类</w:t>
      </w:r>
      <w:r w:rsidRPr="00E67914">
        <w:rPr>
          <w:rFonts w:ascii="Times New Roman" w:hAnsi="Times New Roman"/>
          <w:sz w:val="24"/>
          <w:szCs w:val="24"/>
          <w:lang w:eastAsia="zh-CN"/>
        </w:rPr>
        <w:t>11</w:t>
      </w:r>
      <w:r w:rsidRPr="00E67914">
        <w:rPr>
          <w:rFonts w:ascii="Times New Roman" w:hAnsi="Times New Roman"/>
          <w:sz w:val="24"/>
          <w:szCs w:val="24"/>
          <w:lang w:eastAsia="zh-CN"/>
        </w:rPr>
        <w:t>目</w:t>
      </w:r>
      <w:r w:rsidRPr="00E67914">
        <w:rPr>
          <w:rFonts w:ascii="Times New Roman" w:hAnsi="Times New Roman"/>
          <w:sz w:val="24"/>
          <w:szCs w:val="24"/>
          <w:lang w:eastAsia="zh-CN"/>
        </w:rPr>
        <w:t>21</w:t>
      </w:r>
      <w:r w:rsidRPr="00E67914">
        <w:rPr>
          <w:rFonts w:ascii="Times New Roman" w:hAnsi="Times New Roman"/>
          <w:sz w:val="24"/>
          <w:szCs w:val="24"/>
          <w:lang w:eastAsia="zh-CN"/>
        </w:rPr>
        <w:t>科</w:t>
      </w:r>
      <w:r w:rsidRPr="00E67914">
        <w:rPr>
          <w:rFonts w:ascii="Times New Roman" w:hAnsi="Times New Roman"/>
          <w:sz w:val="24"/>
          <w:szCs w:val="24"/>
          <w:lang w:eastAsia="zh-CN"/>
        </w:rPr>
        <w:t>34</w:t>
      </w:r>
      <w:r w:rsidRPr="00E67914">
        <w:rPr>
          <w:rFonts w:ascii="Times New Roman" w:hAnsi="Times New Roman"/>
          <w:sz w:val="24"/>
          <w:szCs w:val="24"/>
          <w:lang w:eastAsia="zh-CN"/>
        </w:rPr>
        <w:t>种</w:t>
      </w:r>
      <w:r w:rsidRPr="00E67914">
        <w:rPr>
          <w:rFonts w:ascii="Times New Roman" w:hAnsi="Times New Roman"/>
          <w:sz w:val="24"/>
          <w:lang w:eastAsia="zh-CN"/>
        </w:rPr>
        <w:t>。</w:t>
      </w:r>
    </w:p>
    <w:p w14:paraId="3437A8AC" w14:textId="3180434B"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4.3-2</w:t>
      </w:r>
      <w:r w:rsidR="008752B7" w:rsidRPr="00E67914">
        <w:rPr>
          <w:rFonts w:ascii="Times New Roman" w:eastAsia="黑体" w:hAnsi="Times New Roman"/>
          <w:sz w:val="21"/>
          <w:szCs w:val="21"/>
          <w:lang w:eastAsia="zh-CN"/>
        </w:rPr>
        <w:t>0</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评价区野生脊椎动物物种组成</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5"/>
        <w:gridCol w:w="1140"/>
        <w:gridCol w:w="1140"/>
        <w:gridCol w:w="1300"/>
        <w:gridCol w:w="1355"/>
        <w:gridCol w:w="1230"/>
        <w:gridCol w:w="820"/>
      </w:tblGrid>
      <w:tr w:rsidR="00E67914" w:rsidRPr="00E67914" w14:paraId="58433A71" w14:textId="77777777">
        <w:trPr>
          <w:trHeight w:val="430"/>
          <w:jc w:val="center"/>
        </w:trPr>
        <w:tc>
          <w:tcPr>
            <w:tcW w:w="792" w:type="pct"/>
            <w:vAlign w:val="center"/>
          </w:tcPr>
          <w:p w14:paraId="564EA52D"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类别</w:t>
            </w:r>
          </w:p>
        </w:tc>
        <w:tc>
          <w:tcPr>
            <w:tcW w:w="687" w:type="pct"/>
            <w:vAlign w:val="center"/>
          </w:tcPr>
          <w:p w14:paraId="22238F42"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目数</w:t>
            </w:r>
          </w:p>
        </w:tc>
        <w:tc>
          <w:tcPr>
            <w:tcW w:w="687" w:type="pct"/>
            <w:vAlign w:val="center"/>
          </w:tcPr>
          <w:p w14:paraId="493B9DA2"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科数</w:t>
            </w:r>
          </w:p>
        </w:tc>
        <w:tc>
          <w:tcPr>
            <w:tcW w:w="783" w:type="pct"/>
            <w:vAlign w:val="center"/>
          </w:tcPr>
          <w:p w14:paraId="0F1B34B5"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物种数</w:t>
            </w:r>
          </w:p>
        </w:tc>
        <w:tc>
          <w:tcPr>
            <w:tcW w:w="816" w:type="pct"/>
            <w:vAlign w:val="center"/>
          </w:tcPr>
          <w:p w14:paraId="21C1C9F7"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国家</w:t>
            </w:r>
            <w:r w:rsidRPr="00E67914">
              <w:rPr>
                <w:rFonts w:ascii="Times New Roman" w:hAnsi="Times New Roman"/>
                <w:sz w:val="21"/>
                <w:szCs w:val="21"/>
                <w:lang w:bidi="ar"/>
              </w:rPr>
              <w:t>Ⅰ</w:t>
            </w:r>
            <w:r w:rsidRPr="00E67914">
              <w:rPr>
                <w:rFonts w:ascii="Times New Roman" w:hAnsi="Times New Roman"/>
                <w:sz w:val="21"/>
                <w:szCs w:val="21"/>
                <w:lang w:bidi="ar"/>
              </w:rPr>
              <w:t>级</w:t>
            </w:r>
          </w:p>
        </w:tc>
        <w:tc>
          <w:tcPr>
            <w:tcW w:w="741" w:type="pct"/>
            <w:vAlign w:val="center"/>
          </w:tcPr>
          <w:p w14:paraId="226DC3C7"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国家</w:t>
            </w:r>
            <w:r w:rsidRPr="00E67914">
              <w:rPr>
                <w:rFonts w:ascii="Times New Roman" w:hAnsi="Times New Roman"/>
                <w:sz w:val="21"/>
                <w:szCs w:val="21"/>
                <w:lang w:bidi="ar"/>
              </w:rPr>
              <w:t>Ⅱ</w:t>
            </w:r>
            <w:r w:rsidRPr="00E67914">
              <w:rPr>
                <w:rFonts w:ascii="Times New Roman" w:hAnsi="Times New Roman"/>
                <w:sz w:val="21"/>
                <w:szCs w:val="21"/>
                <w:lang w:bidi="ar"/>
              </w:rPr>
              <w:t>级</w:t>
            </w:r>
          </w:p>
        </w:tc>
        <w:tc>
          <w:tcPr>
            <w:tcW w:w="494" w:type="pct"/>
            <w:vAlign w:val="center"/>
          </w:tcPr>
          <w:p w14:paraId="67FC61DD"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省级</w:t>
            </w:r>
          </w:p>
        </w:tc>
      </w:tr>
      <w:tr w:rsidR="00E67914" w:rsidRPr="00E67914" w14:paraId="3F05E932" w14:textId="77777777">
        <w:trPr>
          <w:trHeight w:val="426"/>
          <w:jc w:val="center"/>
        </w:trPr>
        <w:tc>
          <w:tcPr>
            <w:tcW w:w="792" w:type="pct"/>
            <w:vAlign w:val="center"/>
          </w:tcPr>
          <w:p w14:paraId="2625F51E"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两栖类</w:t>
            </w:r>
          </w:p>
        </w:tc>
        <w:tc>
          <w:tcPr>
            <w:tcW w:w="687" w:type="pct"/>
            <w:vAlign w:val="center"/>
          </w:tcPr>
          <w:p w14:paraId="1939413D"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1</w:t>
            </w:r>
          </w:p>
        </w:tc>
        <w:tc>
          <w:tcPr>
            <w:tcW w:w="687" w:type="pct"/>
            <w:vAlign w:val="center"/>
          </w:tcPr>
          <w:p w14:paraId="4488839F"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3</w:t>
            </w:r>
          </w:p>
        </w:tc>
        <w:tc>
          <w:tcPr>
            <w:tcW w:w="783" w:type="pct"/>
            <w:vAlign w:val="center"/>
          </w:tcPr>
          <w:p w14:paraId="442E4906"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5</w:t>
            </w:r>
          </w:p>
        </w:tc>
        <w:tc>
          <w:tcPr>
            <w:tcW w:w="816" w:type="pct"/>
            <w:vAlign w:val="center"/>
          </w:tcPr>
          <w:p w14:paraId="3EB431FD"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741" w:type="pct"/>
            <w:vAlign w:val="center"/>
          </w:tcPr>
          <w:p w14:paraId="21EE8357"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494" w:type="pct"/>
            <w:vAlign w:val="center"/>
          </w:tcPr>
          <w:p w14:paraId="56315E92"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r>
      <w:tr w:rsidR="00E67914" w:rsidRPr="00E67914" w14:paraId="78DAB7C8" w14:textId="77777777">
        <w:trPr>
          <w:trHeight w:val="426"/>
          <w:jc w:val="center"/>
        </w:trPr>
        <w:tc>
          <w:tcPr>
            <w:tcW w:w="792" w:type="pct"/>
            <w:vAlign w:val="center"/>
          </w:tcPr>
          <w:p w14:paraId="60CFFB0E"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爬行类</w:t>
            </w:r>
          </w:p>
        </w:tc>
        <w:tc>
          <w:tcPr>
            <w:tcW w:w="687" w:type="pct"/>
            <w:vAlign w:val="center"/>
          </w:tcPr>
          <w:p w14:paraId="25DF2466"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1</w:t>
            </w:r>
          </w:p>
        </w:tc>
        <w:tc>
          <w:tcPr>
            <w:tcW w:w="687" w:type="pct"/>
            <w:vAlign w:val="center"/>
          </w:tcPr>
          <w:p w14:paraId="7C842E80"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2</w:t>
            </w:r>
          </w:p>
        </w:tc>
        <w:tc>
          <w:tcPr>
            <w:tcW w:w="783" w:type="pct"/>
            <w:vAlign w:val="center"/>
          </w:tcPr>
          <w:p w14:paraId="75F8CF58"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6</w:t>
            </w:r>
          </w:p>
        </w:tc>
        <w:tc>
          <w:tcPr>
            <w:tcW w:w="816" w:type="pct"/>
            <w:vAlign w:val="center"/>
          </w:tcPr>
          <w:p w14:paraId="65376411"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741" w:type="pct"/>
            <w:vAlign w:val="center"/>
          </w:tcPr>
          <w:p w14:paraId="1906DF2F"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494" w:type="pct"/>
            <w:vAlign w:val="center"/>
          </w:tcPr>
          <w:p w14:paraId="37ACBCFB"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r>
      <w:tr w:rsidR="00E67914" w:rsidRPr="00E67914" w14:paraId="0D3A186F" w14:textId="77777777">
        <w:trPr>
          <w:trHeight w:val="426"/>
          <w:jc w:val="center"/>
        </w:trPr>
        <w:tc>
          <w:tcPr>
            <w:tcW w:w="792" w:type="pct"/>
            <w:vAlign w:val="center"/>
          </w:tcPr>
          <w:p w14:paraId="79C9623F"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鸟类</w:t>
            </w:r>
          </w:p>
        </w:tc>
        <w:tc>
          <w:tcPr>
            <w:tcW w:w="687" w:type="pct"/>
            <w:vAlign w:val="center"/>
          </w:tcPr>
          <w:p w14:paraId="3DCB0EFC"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11</w:t>
            </w:r>
          </w:p>
        </w:tc>
        <w:tc>
          <w:tcPr>
            <w:tcW w:w="687" w:type="pct"/>
            <w:vAlign w:val="center"/>
          </w:tcPr>
          <w:p w14:paraId="320ABC61"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21</w:t>
            </w:r>
          </w:p>
        </w:tc>
        <w:tc>
          <w:tcPr>
            <w:tcW w:w="783" w:type="pct"/>
            <w:vAlign w:val="center"/>
          </w:tcPr>
          <w:p w14:paraId="60E99F1E"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34</w:t>
            </w:r>
          </w:p>
        </w:tc>
        <w:tc>
          <w:tcPr>
            <w:tcW w:w="816" w:type="pct"/>
            <w:vAlign w:val="center"/>
          </w:tcPr>
          <w:p w14:paraId="7D8A1F7B"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741" w:type="pct"/>
            <w:vAlign w:val="center"/>
          </w:tcPr>
          <w:p w14:paraId="36E6ACDE"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494" w:type="pct"/>
            <w:vAlign w:val="center"/>
          </w:tcPr>
          <w:p w14:paraId="4A828BCD"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r>
      <w:tr w:rsidR="00E67914" w:rsidRPr="00E67914" w14:paraId="041545E7" w14:textId="77777777">
        <w:trPr>
          <w:trHeight w:val="447"/>
          <w:jc w:val="center"/>
        </w:trPr>
        <w:tc>
          <w:tcPr>
            <w:tcW w:w="792" w:type="pct"/>
            <w:vAlign w:val="center"/>
          </w:tcPr>
          <w:p w14:paraId="08C80F74"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兽类</w:t>
            </w:r>
          </w:p>
        </w:tc>
        <w:tc>
          <w:tcPr>
            <w:tcW w:w="687" w:type="pct"/>
            <w:vAlign w:val="center"/>
          </w:tcPr>
          <w:p w14:paraId="7E05804C"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6</w:t>
            </w:r>
          </w:p>
        </w:tc>
        <w:tc>
          <w:tcPr>
            <w:tcW w:w="687" w:type="pct"/>
            <w:vAlign w:val="center"/>
          </w:tcPr>
          <w:p w14:paraId="3417D56D"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9</w:t>
            </w:r>
          </w:p>
        </w:tc>
        <w:tc>
          <w:tcPr>
            <w:tcW w:w="783" w:type="pct"/>
            <w:vAlign w:val="center"/>
          </w:tcPr>
          <w:p w14:paraId="11638D25"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15</w:t>
            </w:r>
          </w:p>
        </w:tc>
        <w:tc>
          <w:tcPr>
            <w:tcW w:w="816" w:type="pct"/>
            <w:vAlign w:val="center"/>
          </w:tcPr>
          <w:p w14:paraId="332A700D"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741" w:type="pct"/>
            <w:vAlign w:val="center"/>
          </w:tcPr>
          <w:p w14:paraId="7E19719E"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494" w:type="pct"/>
            <w:vAlign w:val="center"/>
          </w:tcPr>
          <w:p w14:paraId="3128C4DE"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r>
      <w:tr w:rsidR="00E67914" w:rsidRPr="00E67914" w14:paraId="2D1822C9" w14:textId="77777777">
        <w:trPr>
          <w:trHeight w:val="433"/>
          <w:jc w:val="center"/>
        </w:trPr>
        <w:tc>
          <w:tcPr>
            <w:tcW w:w="792" w:type="pct"/>
            <w:vAlign w:val="center"/>
          </w:tcPr>
          <w:p w14:paraId="3F276CCF"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合计</w:t>
            </w:r>
          </w:p>
        </w:tc>
        <w:tc>
          <w:tcPr>
            <w:tcW w:w="687" w:type="pct"/>
            <w:vAlign w:val="center"/>
          </w:tcPr>
          <w:p w14:paraId="66861C63"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19</w:t>
            </w:r>
          </w:p>
        </w:tc>
        <w:tc>
          <w:tcPr>
            <w:tcW w:w="687" w:type="pct"/>
            <w:vAlign w:val="center"/>
          </w:tcPr>
          <w:p w14:paraId="41FBDDFA"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35</w:t>
            </w:r>
          </w:p>
        </w:tc>
        <w:tc>
          <w:tcPr>
            <w:tcW w:w="783" w:type="pct"/>
            <w:vAlign w:val="center"/>
          </w:tcPr>
          <w:p w14:paraId="767F9BC1"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eastAsia="zh-CN" w:bidi="ar"/>
              </w:rPr>
              <w:t>60</w:t>
            </w:r>
          </w:p>
        </w:tc>
        <w:tc>
          <w:tcPr>
            <w:tcW w:w="816" w:type="pct"/>
            <w:vAlign w:val="center"/>
          </w:tcPr>
          <w:p w14:paraId="18873673"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741" w:type="pct"/>
            <w:vAlign w:val="center"/>
          </w:tcPr>
          <w:p w14:paraId="16408CA8"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c>
          <w:tcPr>
            <w:tcW w:w="494" w:type="pct"/>
            <w:vAlign w:val="center"/>
          </w:tcPr>
          <w:p w14:paraId="4560C952" w14:textId="77777777" w:rsidR="00A54A8A" w:rsidRPr="00E67914" w:rsidRDefault="00000000">
            <w:pPr>
              <w:jc w:val="center"/>
              <w:textAlignment w:val="bottom"/>
              <w:rPr>
                <w:rFonts w:ascii="Times New Roman" w:hAnsi="Times New Roman"/>
                <w:sz w:val="21"/>
                <w:szCs w:val="21"/>
                <w:lang w:eastAsia="zh-CN" w:bidi="ar"/>
              </w:rPr>
            </w:pPr>
            <w:r w:rsidRPr="00E67914">
              <w:rPr>
                <w:rFonts w:ascii="Times New Roman" w:hAnsi="Times New Roman"/>
                <w:sz w:val="21"/>
                <w:szCs w:val="21"/>
                <w:lang w:bidi="ar"/>
              </w:rPr>
              <w:t>/</w:t>
            </w:r>
          </w:p>
        </w:tc>
      </w:tr>
    </w:tbl>
    <w:p w14:paraId="11FB4440"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A</w:t>
      </w:r>
      <w:r w:rsidRPr="00E67914">
        <w:rPr>
          <w:rFonts w:ascii="Times New Roman" w:hAnsi="Times New Roman"/>
          <w:b/>
          <w:bCs/>
          <w:sz w:val="24"/>
          <w:lang w:eastAsia="zh-CN"/>
        </w:rPr>
        <w:t>、兽类的组成及分布</w:t>
      </w:r>
    </w:p>
    <w:p w14:paraId="6F760CC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根据野外调查和文献资料核实，评价区共有兽类</w:t>
      </w:r>
      <w:r w:rsidRPr="00E67914">
        <w:rPr>
          <w:rFonts w:ascii="Times New Roman" w:hAnsi="Times New Roman"/>
          <w:sz w:val="24"/>
          <w:lang w:eastAsia="zh-CN"/>
        </w:rPr>
        <w:t>6</w:t>
      </w:r>
      <w:r w:rsidRPr="00E67914">
        <w:rPr>
          <w:rFonts w:ascii="Times New Roman" w:hAnsi="Times New Roman"/>
          <w:sz w:val="24"/>
          <w:lang w:eastAsia="zh-CN"/>
        </w:rPr>
        <w:t>目</w:t>
      </w:r>
      <w:r w:rsidRPr="00E67914">
        <w:rPr>
          <w:rFonts w:ascii="Times New Roman" w:hAnsi="Times New Roman"/>
          <w:sz w:val="24"/>
          <w:lang w:eastAsia="zh-CN"/>
        </w:rPr>
        <w:t>9</w:t>
      </w:r>
      <w:r w:rsidRPr="00E67914">
        <w:rPr>
          <w:rFonts w:ascii="Times New Roman" w:hAnsi="Times New Roman"/>
          <w:sz w:val="24"/>
          <w:lang w:eastAsia="zh-CN"/>
        </w:rPr>
        <w:t>科</w:t>
      </w:r>
      <w:r w:rsidRPr="00E67914">
        <w:rPr>
          <w:rFonts w:ascii="Times New Roman" w:hAnsi="Times New Roman"/>
          <w:sz w:val="24"/>
          <w:lang w:eastAsia="zh-CN"/>
        </w:rPr>
        <w:t>12</w:t>
      </w:r>
      <w:r w:rsidRPr="00E67914">
        <w:rPr>
          <w:rFonts w:ascii="Times New Roman" w:hAnsi="Times New Roman"/>
          <w:sz w:val="24"/>
          <w:lang w:eastAsia="zh-CN"/>
        </w:rPr>
        <w:t>属</w:t>
      </w:r>
      <w:r w:rsidRPr="00E67914">
        <w:rPr>
          <w:rFonts w:ascii="Times New Roman" w:hAnsi="Times New Roman"/>
          <w:sz w:val="24"/>
          <w:lang w:eastAsia="zh-CN"/>
        </w:rPr>
        <w:t>15</w:t>
      </w:r>
      <w:r w:rsidRPr="00E67914">
        <w:rPr>
          <w:rFonts w:ascii="Times New Roman" w:hAnsi="Times New Roman"/>
          <w:sz w:val="24"/>
          <w:lang w:eastAsia="zh-CN"/>
        </w:rPr>
        <w:t>种，即食虫目</w:t>
      </w:r>
      <w:r w:rsidRPr="00E67914">
        <w:rPr>
          <w:rFonts w:ascii="Times New Roman" w:hAnsi="Times New Roman"/>
          <w:sz w:val="24"/>
          <w:lang w:eastAsia="zh-CN"/>
        </w:rPr>
        <w:t>1</w:t>
      </w:r>
      <w:r w:rsidRPr="00E67914">
        <w:rPr>
          <w:rFonts w:ascii="Times New Roman" w:hAnsi="Times New Roman"/>
          <w:sz w:val="24"/>
          <w:lang w:eastAsia="zh-CN"/>
        </w:rPr>
        <w:t>科</w:t>
      </w:r>
      <w:r w:rsidRPr="00E67914">
        <w:rPr>
          <w:rFonts w:ascii="Times New Roman" w:hAnsi="Times New Roman"/>
          <w:sz w:val="24"/>
          <w:lang w:eastAsia="zh-CN"/>
        </w:rPr>
        <w:t>1</w:t>
      </w:r>
      <w:r w:rsidRPr="00E67914">
        <w:rPr>
          <w:rFonts w:ascii="Times New Roman" w:hAnsi="Times New Roman"/>
          <w:sz w:val="24"/>
          <w:lang w:eastAsia="zh-CN"/>
        </w:rPr>
        <w:t>种、翼手目</w:t>
      </w:r>
      <w:r w:rsidRPr="00E67914">
        <w:rPr>
          <w:rFonts w:ascii="Times New Roman" w:hAnsi="Times New Roman"/>
          <w:sz w:val="24"/>
          <w:lang w:eastAsia="zh-CN"/>
        </w:rPr>
        <w:t>1</w:t>
      </w:r>
      <w:r w:rsidRPr="00E67914">
        <w:rPr>
          <w:rFonts w:ascii="Times New Roman" w:hAnsi="Times New Roman"/>
          <w:sz w:val="24"/>
          <w:lang w:eastAsia="zh-CN"/>
        </w:rPr>
        <w:t>科</w:t>
      </w:r>
      <w:r w:rsidRPr="00E67914">
        <w:rPr>
          <w:rFonts w:ascii="Times New Roman" w:hAnsi="Times New Roman"/>
          <w:sz w:val="24"/>
          <w:lang w:eastAsia="zh-CN"/>
        </w:rPr>
        <w:t>1</w:t>
      </w:r>
      <w:r w:rsidRPr="00E67914">
        <w:rPr>
          <w:rFonts w:ascii="Times New Roman" w:hAnsi="Times New Roman"/>
          <w:sz w:val="24"/>
          <w:lang w:eastAsia="zh-CN"/>
        </w:rPr>
        <w:t>种、偶蹄目</w:t>
      </w:r>
      <w:r w:rsidRPr="00E67914">
        <w:rPr>
          <w:rFonts w:ascii="Times New Roman" w:hAnsi="Times New Roman"/>
          <w:sz w:val="24"/>
          <w:lang w:eastAsia="zh-CN"/>
        </w:rPr>
        <w:t>2</w:t>
      </w:r>
      <w:r w:rsidRPr="00E67914">
        <w:rPr>
          <w:rFonts w:ascii="Times New Roman" w:hAnsi="Times New Roman"/>
          <w:sz w:val="24"/>
          <w:lang w:eastAsia="zh-CN"/>
        </w:rPr>
        <w:t>科</w:t>
      </w:r>
      <w:r w:rsidRPr="00E67914">
        <w:rPr>
          <w:rFonts w:ascii="Times New Roman" w:hAnsi="Times New Roman"/>
          <w:sz w:val="24"/>
          <w:lang w:eastAsia="zh-CN"/>
        </w:rPr>
        <w:t>2</w:t>
      </w:r>
      <w:r w:rsidRPr="00E67914">
        <w:rPr>
          <w:rFonts w:ascii="Times New Roman" w:hAnsi="Times New Roman"/>
          <w:sz w:val="24"/>
          <w:lang w:eastAsia="zh-CN"/>
        </w:rPr>
        <w:t>种，食肉目</w:t>
      </w:r>
      <w:r w:rsidRPr="00E67914">
        <w:rPr>
          <w:rFonts w:ascii="Times New Roman" w:hAnsi="Times New Roman"/>
          <w:sz w:val="24"/>
          <w:lang w:eastAsia="zh-CN"/>
        </w:rPr>
        <w:t>1</w:t>
      </w:r>
      <w:r w:rsidRPr="00E67914">
        <w:rPr>
          <w:rFonts w:ascii="Times New Roman" w:hAnsi="Times New Roman"/>
          <w:sz w:val="24"/>
          <w:lang w:eastAsia="zh-CN"/>
        </w:rPr>
        <w:t>科</w:t>
      </w:r>
      <w:r w:rsidRPr="00E67914">
        <w:rPr>
          <w:rFonts w:ascii="Times New Roman" w:hAnsi="Times New Roman"/>
          <w:sz w:val="24"/>
          <w:lang w:eastAsia="zh-CN"/>
        </w:rPr>
        <w:t>1</w:t>
      </w:r>
      <w:r w:rsidRPr="00E67914">
        <w:rPr>
          <w:rFonts w:ascii="Times New Roman" w:hAnsi="Times New Roman"/>
          <w:sz w:val="24"/>
          <w:lang w:eastAsia="zh-CN"/>
        </w:rPr>
        <w:t>种、啮齿目</w:t>
      </w:r>
      <w:r w:rsidRPr="00E67914">
        <w:rPr>
          <w:rFonts w:ascii="Times New Roman" w:hAnsi="Times New Roman"/>
          <w:sz w:val="24"/>
          <w:lang w:eastAsia="zh-CN"/>
        </w:rPr>
        <w:lastRenderedPageBreak/>
        <w:t>3</w:t>
      </w:r>
      <w:r w:rsidRPr="00E67914">
        <w:rPr>
          <w:rFonts w:ascii="Times New Roman" w:hAnsi="Times New Roman"/>
          <w:sz w:val="24"/>
          <w:lang w:eastAsia="zh-CN"/>
        </w:rPr>
        <w:t>科</w:t>
      </w:r>
      <w:r w:rsidRPr="00E67914">
        <w:rPr>
          <w:rFonts w:ascii="Times New Roman" w:hAnsi="Times New Roman"/>
          <w:sz w:val="24"/>
          <w:lang w:eastAsia="zh-CN"/>
        </w:rPr>
        <w:t>9</w:t>
      </w:r>
      <w:r w:rsidRPr="00E67914">
        <w:rPr>
          <w:rFonts w:ascii="Times New Roman" w:hAnsi="Times New Roman"/>
          <w:sz w:val="24"/>
          <w:lang w:eastAsia="zh-CN"/>
        </w:rPr>
        <w:t>种、兔形目</w:t>
      </w:r>
      <w:r w:rsidRPr="00E67914">
        <w:rPr>
          <w:rFonts w:ascii="Times New Roman" w:hAnsi="Times New Roman"/>
          <w:sz w:val="24"/>
          <w:lang w:eastAsia="zh-CN"/>
        </w:rPr>
        <w:t>1</w:t>
      </w:r>
      <w:r w:rsidRPr="00E67914">
        <w:rPr>
          <w:rFonts w:ascii="Times New Roman" w:hAnsi="Times New Roman"/>
          <w:sz w:val="24"/>
          <w:lang w:eastAsia="zh-CN"/>
        </w:rPr>
        <w:t>科</w:t>
      </w:r>
      <w:r w:rsidRPr="00E67914">
        <w:rPr>
          <w:rFonts w:ascii="Times New Roman" w:hAnsi="Times New Roman"/>
          <w:sz w:val="24"/>
          <w:lang w:eastAsia="zh-CN"/>
        </w:rPr>
        <w:t>1</w:t>
      </w:r>
      <w:r w:rsidRPr="00E67914">
        <w:rPr>
          <w:rFonts w:ascii="Times New Roman" w:hAnsi="Times New Roman"/>
          <w:sz w:val="24"/>
          <w:lang w:eastAsia="zh-CN"/>
        </w:rPr>
        <w:t>属</w:t>
      </w:r>
      <w:r w:rsidRPr="00E67914">
        <w:rPr>
          <w:rFonts w:ascii="Times New Roman" w:hAnsi="Times New Roman"/>
          <w:sz w:val="24"/>
          <w:lang w:eastAsia="zh-CN"/>
        </w:rPr>
        <w:t>1</w:t>
      </w:r>
      <w:r w:rsidRPr="00E67914">
        <w:rPr>
          <w:rFonts w:ascii="Times New Roman" w:hAnsi="Times New Roman"/>
          <w:sz w:val="24"/>
          <w:lang w:eastAsia="zh-CN"/>
        </w:rPr>
        <w:t>种。从目一级水平看，啮齿目优势明显。由于人类活动影响，评价区的兽类主要以常见的小型兽类为主，基本难以寻觅大、中型兽类的痕迹，本次调查未发现保护兽类动物的踪迹。</w:t>
      </w:r>
    </w:p>
    <w:p w14:paraId="1ED65EEE"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）区系分析</w:t>
      </w:r>
    </w:p>
    <w:p w14:paraId="2104A282"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区内有分布的</w:t>
      </w:r>
      <w:r w:rsidRPr="00E67914">
        <w:rPr>
          <w:rFonts w:ascii="Times New Roman" w:hAnsi="Times New Roman"/>
          <w:sz w:val="24"/>
          <w:lang w:eastAsia="zh-CN"/>
        </w:rPr>
        <w:t>15</w:t>
      </w:r>
      <w:r w:rsidRPr="00E67914">
        <w:rPr>
          <w:rFonts w:ascii="Times New Roman" w:hAnsi="Times New Roman"/>
          <w:sz w:val="24"/>
          <w:lang w:eastAsia="zh-CN"/>
        </w:rPr>
        <w:t>种兽类中，东洋界种类有</w:t>
      </w:r>
      <w:r w:rsidRPr="00E67914">
        <w:rPr>
          <w:rFonts w:ascii="Times New Roman" w:hAnsi="Times New Roman"/>
          <w:sz w:val="24"/>
          <w:lang w:eastAsia="zh-CN"/>
        </w:rPr>
        <w:t>5</w:t>
      </w:r>
      <w:r w:rsidRPr="00E67914">
        <w:rPr>
          <w:rFonts w:ascii="Times New Roman" w:hAnsi="Times New Roman"/>
          <w:sz w:val="24"/>
          <w:lang w:eastAsia="zh-CN"/>
        </w:rPr>
        <w:t>种，占该区域实际调查到有分布的兽类总种数的</w:t>
      </w:r>
      <w:r w:rsidRPr="00E67914">
        <w:rPr>
          <w:rFonts w:ascii="Times New Roman" w:hAnsi="Times New Roman"/>
          <w:sz w:val="24"/>
          <w:lang w:eastAsia="zh-CN"/>
        </w:rPr>
        <w:t>33.33%</w:t>
      </w:r>
      <w:r w:rsidRPr="00E67914">
        <w:rPr>
          <w:rFonts w:ascii="Times New Roman" w:hAnsi="Times New Roman"/>
          <w:sz w:val="24"/>
          <w:lang w:eastAsia="zh-CN"/>
        </w:rPr>
        <w:t>；古北界种类有</w:t>
      </w:r>
      <w:r w:rsidRPr="00E67914">
        <w:rPr>
          <w:rFonts w:ascii="Times New Roman" w:hAnsi="Times New Roman"/>
          <w:sz w:val="24"/>
          <w:lang w:eastAsia="zh-CN"/>
        </w:rPr>
        <w:t>3</w:t>
      </w:r>
      <w:r w:rsidRPr="00E67914">
        <w:rPr>
          <w:rFonts w:ascii="Times New Roman" w:hAnsi="Times New Roman"/>
          <w:sz w:val="24"/>
          <w:lang w:eastAsia="zh-CN"/>
        </w:rPr>
        <w:t>种，占</w:t>
      </w:r>
      <w:r w:rsidRPr="00E67914">
        <w:rPr>
          <w:rFonts w:ascii="Times New Roman" w:hAnsi="Times New Roman"/>
          <w:sz w:val="24"/>
          <w:lang w:eastAsia="zh-CN"/>
        </w:rPr>
        <w:t>20.00%</w:t>
      </w:r>
      <w:r w:rsidRPr="00E67914">
        <w:rPr>
          <w:rFonts w:ascii="Times New Roman" w:hAnsi="Times New Roman"/>
          <w:sz w:val="24"/>
          <w:lang w:eastAsia="zh-CN"/>
        </w:rPr>
        <w:t>，广布种有</w:t>
      </w:r>
      <w:r w:rsidRPr="00E67914">
        <w:rPr>
          <w:rFonts w:ascii="Times New Roman" w:hAnsi="Times New Roman"/>
          <w:sz w:val="24"/>
          <w:lang w:eastAsia="zh-CN"/>
        </w:rPr>
        <w:t>7</w:t>
      </w:r>
      <w:r w:rsidRPr="00E67914">
        <w:rPr>
          <w:rFonts w:ascii="Times New Roman" w:hAnsi="Times New Roman"/>
          <w:sz w:val="24"/>
          <w:lang w:eastAsia="zh-CN"/>
        </w:rPr>
        <w:t>种，占</w:t>
      </w:r>
      <w:r w:rsidRPr="00E67914">
        <w:rPr>
          <w:rFonts w:ascii="Times New Roman" w:hAnsi="Times New Roman"/>
          <w:sz w:val="24"/>
          <w:lang w:eastAsia="zh-CN"/>
        </w:rPr>
        <w:t>46.67%</w:t>
      </w:r>
      <w:r w:rsidRPr="00E67914">
        <w:rPr>
          <w:rFonts w:ascii="Times New Roman" w:hAnsi="Times New Roman"/>
          <w:sz w:val="24"/>
          <w:lang w:eastAsia="zh-CN"/>
        </w:rPr>
        <w:t>。</w:t>
      </w:r>
    </w:p>
    <w:p w14:paraId="49DB2B18"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）生态分布</w:t>
      </w:r>
    </w:p>
    <w:p w14:paraId="781117B3"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根据该区域的环境特征和兽类的生活特性，该区域兽类主要分为如下几种生态类型：</w:t>
      </w:r>
    </w:p>
    <w:p w14:paraId="42C72204"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溪流区兽类：指生活在评价区内溪流和沿岸的物种，主要包括：黄鼬、草兔、社鼠等。</w:t>
      </w:r>
    </w:p>
    <w:p w14:paraId="6C70D42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林区兽类：主要是指生活在森林环境的物种，森林环境在该区域主要分布于坡地中上部。为该区最广的生境类型，主要分布的兽类有隐纹花松鼠、社鼠等。</w:t>
      </w:r>
    </w:p>
    <w:p w14:paraId="3F88FC05"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灌草丛区兽类：该区域的生境类型主要包括灌丛、草丛和农耕地等，分布海拔相对较低，生活于其中的兽类主要包括：黄鼬、草兔、社鼠等，其中的优势种类为草兔、社鼠等。</w:t>
      </w:r>
    </w:p>
    <w:p w14:paraId="053929DB"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）保护物种</w:t>
      </w:r>
    </w:p>
    <w:p w14:paraId="7D076875"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评价区内未发现国家级重点保护动物，同时评价区的相关资料也未记载相关国家级重点保护动物。</w:t>
      </w:r>
    </w:p>
    <w:p w14:paraId="203F4FA9"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B</w:t>
      </w:r>
      <w:r w:rsidRPr="00E67914">
        <w:rPr>
          <w:rFonts w:ascii="Times New Roman" w:hAnsi="Times New Roman"/>
          <w:b/>
          <w:bCs/>
          <w:sz w:val="24"/>
          <w:lang w:eastAsia="zh-CN"/>
        </w:rPr>
        <w:t>、鸟类的组成及分布</w:t>
      </w:r>
    </w:p>
    <w:p w14:paraId="37DFC350"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根据文献查阅及现场调研，评价范围内共有鸟类</w:t>
      </w:r>
      <w:r w:rsidRPr="00E67914">
        <w:rPr>
          <w:rFonts w:ascii="Times New Roman" w:hAnsi="Times New Roman"/>
          <w:sz w:val="24"/>
          <w:lang w:eastAsia="zh-CN"/>
        </w:rPr>
        <w:t>34</w:t>
      </w:r>
      <w:r w:rsidRPr="00E67914">
        <w:rPr>
          <w:rFonts w:ascii="Times New Roman" w:hAnsi="Times New Roman"/>
          <w:sz w:val="24"/>
          <w:lang w:eastAsia="zh-CN"/>
        </w:rPr>
        <w:t>种，隶</w:t>
      </w:r>
      <w:r w:rsidRPr="00E67914">
        <w:rPr>
          <w:rFonts w:ascii="Times New Roman" w:hAnsi="Times New Roman"/>
          <w:sz w:val="24"/>
          <w:lang w:eastAsia="zh-CN"/>
        </w:rPr>
        <w:t>11</w:t>
      </w:r>
      <w:r w:rsidRPr="00E67914">
        <w:rPr>
          <w:rFonts w:ascii="Times New Roman" w:hAnsi="Times New Roman"/>
          <w:sz w:val="24"/>
          <w:lang w:eastAsia="zh-CN"/>
        </w:rPr>
        <w:t>目</w:t>
      </w:r>
      <w:r w:rsidRPr="00E67914">
        <w:rPr>
          <w:rFonts w:ascii="Times New Roman" w:hAnsi="Times New Roman"/>
          <w:sz w:val="24"/>
          <w:lang w:eastAsia="zh-CN"/>
        </w:rPr>
        <w:t>21</w:t>
      </w:r>
      <w:r w:rsidRPr="00E67914">
        <w:rPr>
          <w:rFonts w:ascii="Times New Roman" w:hAnsi="Times New Roman"/>
          <w:sz w:val="24"/>
          <w:lang w:eastAsia="zh-CN"/>
        </w:rPr>
        <w:t>科。其中，从类群构成看，雀形目鸟类</w:t>
      </w:r>
      <w:r w:rsidRPr="00E67914">
        <w:rPr>
          <w:rFonts w:ascii="Times New Roman" w:hAnsi="Times New Roman"/>
          <w:sz w:val="24"/>
          <w:lang w:eastAsia="zh-CN"/>
        </w:rPr>
        <w:t>19</w:t>
      </w:r>
      <w:r w:rsidRPr="00E67914">
        <w:rPr>
          <w:rFonts w:ascii="Times New Roman" w:hAnsi="Times New Roman"/>
          <w:sz w:val="24"/>
          <w:lang w:eastAsia="zh-CN"/>
        </w:rPr>
        <w:t>种，占评价区鸟类总种数的</w:t>
      </w:r>
      <w:r w:rsidRPr="00E67914">
        <w:rPr>
          <w:rFonts w:ascii="Times New Roman" w:hAnsi="Times New Roman"/>
          <w:sz w:val="24"/>
          <w:lang w:eastAsia="zh-CN"/>
        </w:rPr>
        <w:t>55.88%</w:t>
      </w:r>
      <w:r w:rsidRPr="00E67914">
        <w:rPr>
          <w:rFonts w:ascii="Times New Roman" w:hAnsi="Times New Roman"/>
          <w:sz w:val="24"/>
          <w:lang w:eastAsia="zh-CN"/>
        </w:rPr>
        <w:t>。</w:t>
      </w:r>
    </w:p>
    <w:p w14:paraId="1E54A164"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）区系分析</w:t>
      </w:r>
    </w:p>
    <w:p w14:paraId="2FC03E30"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评价区内鸟类中属古北界的有</w:t>
      </w:r>
      <w:r w:rsidRPr="00E67914">
        <w:rPr>
          <w:rFonts w:ascii="Times New Roman" w:hAnsi="Times New Roman"/>
          <w:sz w:val="24"/>
          <w:lang w:eastAsia="zh-CN"/>
        </w:rPr>
        <w:t>11</w:t>
      </w:r>
      <w:r w:rsidRPr="00E67914">
        <w:rPr>
          <w:rFonts w:ascii="Times New Roman" w:hAnsi="Times New Roman"/>
          <w:sz w:val="24"/>
          <w:lang w:eastAsia="zh-CN"/>
        </w:rPr>
        <w:t>种，占评价区内鸟类总数的</w:t>
      </w:r>
      <w:r w:rsidRPr="00E67914">
        <w:rPr>
          <w:rFonts w:ascii="Times New Roman" w:hAnsi="Times New Roman"/>
          <w:sz w:val="24"/>
          <w:lang w:eastAsia="zh-CN"/>
        </w:rPr>
        <w:t>32.35%</w:t>
      </w:r>
      <w:r w:rsidRPr="00E67914">
        <w:rPr>
          <w:rFonts w:ascii="Times New Roman" w:hAnsi="Times New Roman"/>
          <w:sz w:val="24"/>
          <w:lang w:eastAsia="zh-CN"/>
        </w:rPr>
        <w:t>；属东洋界的有</w:t>
      </w:r>
      <w:r w:rsidRPr="00E67914">
        <w:rPr>
          <w:rFonts w:ascii="Times New Roman" w:hAnsi="Times New Roman"/>
          <w:sz w:val="24"/>
          <w:lang w:eastAsia="zh-CN"/>
        </w:rPr>
        <w:t>9</w:t>
      </w:r>
      <w:r w:rsidRPr="00E67914">
        <w:rPr>
          <w:rFonts w:ascii="Times New Roman" w:hAnsi="Times New Roman"/>
          <w:sz w:val="24"/>
          <w:lang w:eastAsia="zh-CN"/>
        </w:rPr>
        <w:t>种，占评价区内鸟类总数的</w:t>
      </w:r>
      <w:r w:rsidRPr="00E67914">
        <w:rPr>
          <w:rFonts w:ascii="Times New Roman" w:hAnsi="Times New Roman"/>
          <w:sz w:val="24"/>
          <w:lang w:eastAsia="zh-CN"/>
        </w:rPr>
        <w:t>26.47%</w:t>
      </w:r>
      <w:r w:rsidRPr="00E67914">
        <w:rPr>
          <w:rFonts w:ascii="Times New Roman" w:hAnsi="Times New Roman"/>
          <w:sz w:val="24"/>
          <w:lang w:eastAsia="zh-CN"/>
        </w:rPr>
        <w:t>；属广布种的有</w:t>
      </w:r>
      <w:r w:rsidRPr="00E67914">
        <w:rPr>
          <w:rFonts w:ascii="Times New Roman" w:hAnsi="Times New Roman"/>
          <w:sz w:val="24"/>
          <w:lang w:eastAsia="zh-CN"/>
        </w:rPr>
        <w:t>14</w:t>
      </w:r>
      <w:r w:rsidRPr="00E67914">
        <w:rPr>
          <w:rFonts w:ascii="Times New Roman" w:hAnsi="Times New Roman"/>
          <w:sz w:val="24"/>
          <w:lang w:eastAsia="zh-CN"/>
        </w:rPr>
        <w:t>种，占评价区内鸟类总数的</w:t>
      </w:r>
      <w:r w:rsidRPr="00E67914">
        <w:rPr>
          <w:rFonts w:ascii="Times New Roman" w:hAnsi="Times New Roman"/>
          <w:sz w:val="24"/>
          <w:lang w:eastAsia="zh-CN"/>
        </w:rPr>
        <w:t>41.17%</w:t>
      </w:r>
      <w:r w:rsidRPr="00E67914">
        <w:rPr>
          <w:rFonts w:ascii="Times New Roman" w:hAnsi="Times New Roman"/>
          <w:sz w:val="24"/>
          <w:lang w:eastAsia="zh-CN"/>
        </w:rPr>
        <w:t>。调查评价区内鸟类以广布种占优势。</w:t>
      </w:r>
    </w:p>
    <w:p w14:paraId="7D1E8E80"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）居留类型</w:t>
      </w:r>
    </w:p>
    <w:p w14:paraId="184DC741"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评价区内有留鸟</w:t>
      </w:r>
      <w:r w:rsidRPr="00E67914">
        <w:rPr>
          <w:rFonts w:ascii="Times New Roman" w:hAnsi="Times New Roman"/>
          <w:sz w:val="24"/>
          <w:lang w:eastAsia="zh-CN"/>
        </w:rPr>
        <w:t>21</w:t>
      </w:r>
      <w:r w:rsidRPr="00E67914">
        <w:rPr>
          <w:rFonts w:ascii="Times New Roman" w:hAnsi="Times New Roman"/>
          <w:sz w:val="24"/>
          <w:lang w:eastAsia="zh-CN"/>
        </w:rPr>
        <w:t>种，占鸟类总数的</w:t>
      </w:r>
      <w:r w:rsidRPr="00E67914">
        <w:rPr>
          <w:rFonts w:ascii="Times New Roman" w:hAnsi="Times New Roman"/>
          <w:sz w:val="24"/>
          <w:lang w:eastAsia="zh-CN"/>
        </w:rPr>
        <w:t>61.76%</w:t>
      </w:r>
      <w:r w:rsidRPr="00E67914">
        <w:rPr>
          <w:rFonts w:ascii="Times New Roman" w:hAnsi="Times New Roman"/>
          <w:sz w:val="24"/>
          <w:lang w:eastAsia="zh-CN"/>
        </w:rPr>
        <w:t>；夏候鸟</w:t>
      </w:r>
      <w:r w:rsidRPr="00E67914">
        <w:rPr>
          <w:rFonts w:ascii="Times New Roman" w:hAnsi="Times New Roman"/>
          <w:sz w:val="24"/>
          <w:lang w:eastAsia="zh-CN"/>
        </w:rPr>
        <w:t>12</w:t>
      </w:r>
      <w:r w:rsidRPr="00E67914">
        <w:rPr>
          <w:rFonts w:ascii="Times New Roman" w:hAnsi="Times New Roman"/>
          <w:sz w:val="24"/>
          <w:lang w:eastAsia="zh-CN"/>
        </w:rPr>
        <w:t>种，约占</w:t>
      </w:r>
      <w:r w:rsidRPr="00E67914">
        <w:rPr>
          <w:rFonts w:ascii="Times New Roman" w:hAnsi="Times New Roman"/>
          <w:sz w:val="24"/>
          <w:lang w:eastAsia="zh-CN"/>
        </w:rPr>
        <w:t>35.29%</w:t>
      </w:r>
      <w:r w:rsidRPr="00E67914">
        <w:rPr>
          <w:rFonts w:ascii="Times New Roman" w:hAnsi="Times New Roman"/>
          <w:sz w:val="24"/>
          <w:lang w:eastAsia="zh-CN"/>
        </w:rPr>
        <w:t>；冬候鸟</w:t>
      </w:r>
      <w:r w:rsidRPr="00E67914">
        <w:rPr>
          <w:rFonts w:ascii="Times New Roman" w:hAnsi="Times New Roman"/>
          <w:sz w:val="24"/>
          <w:lang w:eastAsia="zh-CN"/>
        </w:rPr>
        <w:t>1</w:t>
      </w:r>
      <w:r w:rsidRPr="00E67914">
        <w:rPr>
          <w:rFonts w:ascii="Times New Roman" w:hAnsi="Times New Roman"/>
          <w:sz w:val="24"/>
          <w:lang w:eastAsia="zh-CN"/>
        </w:rPr>
        <w:t>种，各占</w:t>
      </w:r>
      <w:r w:rsidRPr="00E67914">
        <w:rPr>
          <w:rFonts w:ascii="Times New Roman" w:hAnsi="Times New Roman"/>
          <w:sz w:val="24"/>
          <w:lang w:eastAsia="zh-CN"/>
        </w:rPr>
        <w:t>2.9%</w:t>
      </w:r>
      <w:r w:rsidRPr="00E67914">
        <w:rPr>
          <w:rFonts w:ascii="Times New Roman" w:hAnsi="Times New Roman"/>
          <w:sz w:val="24"/>
          <w:lang w:eastAsia="zh-CN"/>
        </w:rPr>
        <w:t>。调查评价区内鸟类以留鸟为主。</w:t>
      </w:r>
    </w:p>
    <w:p w14:paraId="7AE1BABD"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）生态分布</w:t>
      </w:r>
    </w:p>
    <w:p w14:paraId="40C5D25B"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根据评价区植被分布的特点，将评价区鸟类分布的生境划分为以下几种类型：</w:t>
      </w:r>
    </w:p>
    <w:p w14:paraId="0023C3E8"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溪流区鸟类：该区域的生境类型主要包括水域、草丛、灌丛等基本类型，分布海拔相对较低，活动于其中的鸟类主要包括：鹳形目的种类。该区的优势种类是：白鹭、赤麻鸭等。</w:t>
      </w:r>
    </w:p>
    <w:p w14:paraId="771F3C66"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森林区鸟类：森林环境在该区域较广泛。生活于该区的鸟类较多，主要为雉科、鸦科、雀科等。优势种类有雉鸡、山斑鸠、大杜鹃、树麻雀、噪鹃等。</w:t>
      </w:r>
    </w:p>
    <w:p w14:paraId="045CF9D7"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草灌丛、农区鸟类：该类生境在评价区内分布较狭窄。该区段生活的鸟类主要是鸡形目及雀形目的部分鸟类。其中的优势种类主要有家燕、毛脚燕、普通翠鸟等。</w:t>
      </w:r>
    </w:p>
    <w:p w14:paraId="7DE95470"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）保护物种</w:t>
      </w:r>
    </w:p>
    <w:p w14:paraId="7B595AC0" w14:textId="77777777"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据调查和访问，评价区内有</w:t>
      </w:r>
      <w:r w:rsidRPr="00E67914">
        <w:rPr>
          <w:rFonts w:ascii="Times New Roman" w:hAnsi="Times New Roman"/>
          <w:sz w:val="24"/>
          <w:lang w:eastAsia="zh-CN"/>
        </w:rPr>
        <w:t>2</w:t>
      </w:r>
      <w:r w:rsidRPr="00E67914">
        <w:rPr>
          <w:rFonts w:ascii="Times New Roman" w:hAnsi="Times New Roman"/>
          <w:sz w:val="24"/>
          <w:lang w:eastAsia="zh-CN"/>
        </w:rPr>
        <w:t>种国家</w:t>
      </w:r>
      <w:r w:rsidRPr="00E67914">
        <w:rPr>
          <w:rFonts w:ascii="Times New Roman" w:hAnsi="Times New Roman"/>
          <w:sz w:val="24"/>
          <w:lang w:eastAsia="zh-CN"/>
        </w:rPr>
        <w:t>Ⅱ</w:t>
      </w:r>
      <w:r w:rsidRPr="00E67914">
        <w:rPr>
          <w:rFonts w:ascii="Times New Roman" w:hAnsi="Times New Roman"/>
          <w:sz w:val="24"/>
          <w:lang w:eastAsia="zh-CN"/>
        </w:rPr>
        <w:t>级重点保护鸟类，为雀鹰、画眉，偶见于评价区内的针叶林、阔叶林林。由于评价区人类活动较为频繁，适宜的栖息地相对比较少，因此主要为过境取食及活动，并无栖息地。</w:t>
      </w:r>
    </w:p>
    <w:p w14:paraId="2DFB6093"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C</w:t>
      </w:r>
      <w:r w:rsidRPr="00E67914">
        <w:rPr>
          <w:rFonts w:ascii="Times New Roman" w:hAnsi="Times New Roman"/>
          <w:b/>
          <w:bCs/>
          <w:sz w:val="24"/>
          <w:lang w:eastAsia="zh-CN"/>
        </w:rPr>
        <w:t>、爬行动物的组成及分布</w:t>
      </w:r>
    </w:p>
    <w:p w14:paraId="1FB4C5BD"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根据野外调查和相关资料，确认评价区域内共分布有爬行动物</w:t>
      </w:r>
      <w:r w:rsidRPr="00E67914">
        <w:rPr>
          <w:rFonts w:ascii="Times New Roman" w:hAnsi="Times New Roman"/>
          <w:sz w:val="24"/>
          <w:lang w:eastAsia="zh-CN"/>
        </w:rPr>
        <w:t>6</w:t>
      </w:r>
      <w:r w:rsidRPr="00E67914">
        <w:rPr>
          <w:rFonts w:ascii="Times New Roman" w:hAnsi="Times New Roman"/>
          <w:sz w:val="24"/>
          <w:lang w:eastAsia="zh-CN"/>
        </w:rPr>
        <w:t>种，分属</w:t>
      </w:r>
      <w:r w:rsidRPr="00E67914">
        <w:rPr>
          <w:rFonts w:ascii="Times New Roman" w:hAnsi="Times New Roman"/>
          <w:sz w:val="24"/>
          <w:lang w:eastAsia="zh-CN"/>
        </w:rPr>
        <w:t>1</w:t>
      </w:r>
      <w:r w:rsidRPr="00E67914">
        <w:rPr>
          <w:rFonts w:ascii="Times New Roman" w:hAnsi="Times New Roman"/>
          <w:sz w:val="24"/>
          <w:lang w:eastAsia="zh-CN"/>
        </w:rPr>
        <w:t>目</w:t>
      </w:r>
      <w:r w:rsidRPr="00E67914">
        <w:rPr>
          <w:rFonts w:ascii="Times New Roman" w:hAnsi="Times New Roman"/>
          <w:sz w:val="24"/>
          <w:lang w:eastAsia="zh-CN"/>
        </w:rPr>
        <w:t>2</w:t>
      </w:r>
      <w:r w:rsidRPr="00E67914">
        <w:rPr>
          <w:rFonts w:ascii="Times New Roman" w:hAnsi="Times New Roman"/>
          <w:sz w:val="24"/>
          <w:lang w:eastAsia="zh-CN"/>
        </w:rPr>
        <w:t>科，分别为游蛇科</w:t>
      </w:r>
      <w:r w:rsidRPr="00E67914">
        <w:rPr>
          <w:rFonts w:ascii="Times New Roman" w:hAnsi="Times New Roman"/>
          <w:sz w:val="24"/>
          <w:lang w:eastAsia="zh-CN"/>
        </w:rPr>
        <w:t>5</w:t>
      </w:r>
      <w:r w:rsidRPr="00E67914">
        <w:rPr>
          <w:rFonts w:ascii="Times New Roman" w:hAnsi="Times New Roman"/>
          <w:sz w:val="24"/>
          <w:lang w:eastAsia="zh-CN"/>
        </w:rPr>
        <w:t>种，石龙子科</w:t>
      </w:r>
      <w:r w:rsidRPr="00E67914">
        <w:rPr>
          <w:rFonts w:ascii="Times New Roman" w:hAnsi="Times New Roman"/>
          <w:sz w:val="24"/>
          <w:lang w:eastAsia="zh-CN"/>
        </w:rPr>
        <w:t>1</w:t>
      </w:r>
      <w:r w:rsidRPr="00E67914">
        <w:rPr>
          <w:rFonts w:ascii="Times New Roman" w:hAnsi="Times New Roman"/>
          <w:sz w:val="24"/>
          <w:lang w:eastAsia="zh-CN"/>
        </w:rPr>
        <w:t>种。评价范围内生境较广泛，主要有翠青蛇、赤链蛇、乌梢蛇、王锦蛇等种类。从物种的目级组成看，评价区的爬行类均为有鳞目蛇亚目的种类。从科级组成看，评价区爬行类以游蛇科种类占优势。</w:t>
      </w:r>
    </w:p>
    <w:p w14:paraId="7512B16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）区系分布</w:t>
      </w:r>
    </w:p>
    <w:p w14:paraId="692DDDFE"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评价范围分布的</w:t>
      </w:r>
      <w:r w:rsidRPr="00E67914">
        <w:rPr>
          <w:rFonts w:ascii="Times New Roman" w:hAnsi="Times New Roman"/>
          <w:sz w:val="24"/>
          <w:lang w:eastAsia="zh-CN"/>
        </w:rPr>
        <w:t>6</w:t>
      </w:r>
      <w:r w:rsidRPr="00E67914">
        <w:rPr>
          <w:rFonts w:ascii="Times New Roman" w:hAnsi="Times New Roman"/>
          <w:sz w:val="24"/>
          <w:lang w:eastAsia="zh-CN"/>
        </w:rPr>
        <w:t>种爬行动物东洋界物种有</w:t>
      </w:r>
      <w:r w:rsidRPr="00E67914">
        <w:rPr>
          <w:rFonts w:ascii="Times New Roman" w:hAnsi="Times New Roman"/>
          <w:sz w:val="24"/>
          <w:lang w:eastAsia="zh-CN"/>
        </w:rPr>
        <w:t>3</w:t>
      </w:r>
      <w:r w:rsidRPr="00E67914">
        <w:rPr>
          <w:rFonts w:ascii="Times New Roman" w:hAnsi="Times New Roman"/>
          <w:sz w:val="24"/>
          <w:lang w:eastAsia="zh-CN"/>
        </w:rPr>
        <w:t>种，古北种</w:t>
      </w:r>
      <w:r w:rsidRPr="00E67914">
        <w:rPr>
          <w:rFonts w:ascii="Times New Roman" w:hAnsi="Times New Roman"/>
          <w:sz w:val="24"/>
          <w:lang w:eastAsia="zh-CN"/>
        </w:rPr>
        <w:t>1</w:t>
      </w:r>
      <w:r w:rsidRPr="00E67914">
        <w:rPr>
          <w:rFonts w:ascii="Times New Roman" w:hAnsi="Times New Roman"/>
          <w:sz w:val="24"/>
          <w:lang w:eastAsia="zh-CN"/>
        </w:rPr>
        <w:t>种，广布种</w:t>
      </w:r>
      <w:r w:rsidRPr="00E67914">
        <w:rPr>
          <w:rFonts w:ascii="Times New Roman" w:hAnsi="Times New Roman"/>
          <w:sz w:val="24"/>
          <w:lang w:eastAsia="zh-CN"/>
        </w:rPr>
        <w:t>2</w:t>
      </w:r>
      <w:r w:rsidRPr="00E67914">
        <w:rPr>
          <w:rFonts w:ascii="Times New Roman" w:hAnsi="Times New Roman"/>
          <w:sz w:val="24"/>
          <w:lang w:eastAsia="zh-CN"/>
        </w:rPr>
        <w:t>种。</w:t>
      </w:r>
    </w:p>
    <w:p w14:paraId="1FAA3E0E"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）生态分布</w:t>
      </w:r>
    </w:p>
    <w:p w14:paraId="611B5E53"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评价区的爬行动物大多栖息在灌草丛中。</w:t>
      </w:r>
    </w:p>
    <w:p w14:paraId="71FE7BAD"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）保护物种</w:t>
      </w:r>
    </w:p>
    <w:p w14:paraId="4ADBA0C5"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调查中未发现属于国家级保护和四川省级保护的爬行类物种。</w:t>
      </w:r>
    </w:p>
    <w:p w14:paraId="66B38865"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lastRenderedPageBreak/>
        <w:t>D</w:t>
      </w:r>
      <w:r w:rsidRPr="00E67914">
        <w:rPr>
          <w:rFonts w:ascii="Times New Roman" w:hAnsi="Times New Roman"/>
          <w:b/>
          <w:bCs/>
          <w:sz w:val="24"/>
          <w:lang w:eastAsia="zh-CN"/>
        </w:rPr>
        <w:t>、两栖动物的组成及分布</w:t>
      </w:r>
    </w:p>
    <w:p w14:paraId="10847AF0"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据不完全统计，评价区域内分布有两栖动物</w:t>
      </w:r>
      <w:r w:rsidRPr="00E67914">
        <w:rPr>
          <w:rFonts w:ascii="Times New Roman" w:hAnsi="Times New Roman"/>
          <w:sz w:val="24"/>
          <w:lang w:eastAsia="zh-CN"/>
        </w:rPr>
        <w:t>5</w:t>
      </w:r>
      <w:r w:rsidRPr="00E67914">
        <w:rPr>
          <w:rFonts w:ascii="Times New Roman" w:hAnsi="Times New Roman"/>
          <w:sz w:val="24"/>
          <w:lang w:eastAsia="zh-CN"/>
        </w:rPr>
        <w:t>种，隶属于</w:t>
      </w:r>
      <w:r w:rsidRPr="00E67914">
        <w:rPr>
          <w:rFonts w:ascii="Times New Roman" w:hAnsi="Times New Roman"/>
          <w:sz w:val="24"/>
          <w:lang w:eastAsia="zh-CN"/>
        </w:rPr>
        <w:t>1</w:t>
      </w:r>
      <w:r w:rsidRPr="00E67914">
        <w:rPr>
          <w:rFonts w:ascii="Times New Roman" w:hAnsi="Times New Roman"/>
          <w:sz w:val="24"/>
          <w:lang w:eastAsia="zh-CN"/>
        </w:rPr>
        <w:t>目</w:t>
      </w:r>
      <w:r w:rsidRPr="00E67914">
        <w:rPr>
          <w:rFonts w:ascii="Times New Roman" w:hAnsi="Times New Roman"/>
          <w:sz w:val="24"/>
          <w:lang w:eastAsia="zh-CN"/>
        </w:rPr>
        <w:t>3</w:t>
      </w:r>
      <w:r w:rsidRPr="00E67914">
        <w:rPr>
          <w:rFonts w:ascii="Times New Roman" w:hAnsi="Times New Roman"/>
          <w:sz w:val="24"/>
          <w:lang w:eastAsia="zh-CN"/>
        </w:rPr>
        <w:t>科，分别为蟾蜍科</w:t>
      </w:r>
      <w:r w:rsidRPr="00E67914">
        <w:rPr>
          <w:rFonts w:ascii="Times New Roman" w:hAnsi="Times New Roman"/>
          <w:sz w:val="24"/>
          <w:lang w:eastAsia="zh-CN"/>
        </w:rPr>
        <w:t>2</w:t>
      </w:r>
      <w:r w:rsidRPr="00E67914">
        <w:rPr>
          <w:rFonts w:ascii="Times New Roman" w:hAnsi="Times New Roman"/>
          <w:sz w:val="24"/>
          <w:lang w:eastAsia="zh-CN"/>
        </w:rPr>
        <w:t>种，蛙科</w:t>
      </w:r>
      <w:r w:rsidRPr="00E67914">
        <w:rPr>
          <w:rFonts w:ascii="Times New Roman" w:hAnsi="Times New Roman"/>
          <w:sz w:val="24"/>
          <w:lang w:eastAsia="zh-CN"/>
        </w:rPr>
        <w:t>2</w:t>
      </w:r>
      <w:r w:rsidRPr="00E67914">
        <w:rPr>
          <w:rFonts w:ascii="Times New Roman" w:hAnsi="Times New Roman"/>
          <w:sz w:val="24"/>
          <w:lang w:eastAsia="zh-CN"/>
        </w:rPr>
        <w:t>种，叉舌蛙科</w:t>
      </w:r>
      <w:r w:rsidRPr="00E67914">
        <w:rPr>
          <w:rFonts w:ascii="Times New Roman" w:hAnsi="Times New Roman"/>
          <w:sz w:val="24"/>
          <w:lang w:eastAsia="zh-CN"/>
        </w:rPr>
        <w:t>1</w:t>
      </w:r>
      <w:r w:rsidRPr="00E67914">
        <w:rPr>
          <w:rFonts w:ascii="Times New Roman" w:hAnsi="Times New Roman"/>
          <w:sz w:val="24"/>
          <w:lang w:eastAsia="zh-CN"/>
        </w:rPr>
        <w:t>种。</w:t>
      </w:r>
    </w:p>
    <w:p w14:paraId="456D0069"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）区系分析</w:t>
      </w:r>
    </w:p>
    <w:p w14:paraId="01B590F8"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评价区内的两栖类以东洋界为主，仅有</w:t>
      </w:r>
      <w:r w:rsidRPr="00E67914">
        <w:rPr>
          <w:rFonts w:ascii="Times New Roman" w:hAnsi="Times New Roman"/>
          <w:sz w:val="24"/>
          <w:lang w:eastAsia="zh-CN"/>
        </w:rPr>
        <w:t>1</w:t>
      </w:r>
      <w:r w:rsidRPr="00E67914">
        <w:rPr>
          <w:rFonts w:ascii="Times New Roman" w:hAnsi="Times New Roman"/>
          <w:sz w:val="24"/>
          <w:lang w:eastAsia="zh-CN"/>
        </w:rPr>
        <w:t>个古北种和</w:t>
      </w:r>
      <w:r w:rsidRPr="00E67914">
        <w:rPr>
          <w:rFonts w:ascii="Times New Roman" w:hAnsi="Times New Roman"/>
          <w:sz w:val="24"/>
          <w:lang w:eastAsia="zh-CN"/>
        </w:rPr>
        <w:t>1</w:t>
      </w:r>
      <w:r w:rsidRPr="00E67914">
        <w:rPr>
          <w:rFonts w:ascii="Times New Roman" w:hAnsi="Times New Roman"/>
          <w:sz w:val="24"/>
          <w:lang w:eastAsia="zh-CN"/>
        </w:rPr>
        <w:t>个广布种。</w:t>
      </w:r>
    </w:p>
    <w:p w14:paraId="2D871EE3"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）生态分布</w:t>
      </w:r>
    </w:p>
    <w:p w14:paraId="33B8A510"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中华蟾蜍、黑眶蟾蜍、黑斑侧褶蛙等生活在河沟两侧或其附近环境植被较为茂密、阴湿的灌草丛区域；花臭蛙主要生活在大小溪两岸潮湿的岩石上；泽陆蛙主要在水域地区。</w:t>
      </w:r>
    </w:p>
    <w:p w14:paraId="4DA122F0"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）保护物种</w:t>
      </w:r>
    </w:p>
    <w:p w14:paraId="39C64002"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调查中未发现属于国家级保护和省级保护的两栖类物种。</w:t>
      </w:r>
    </w:p>
    <w:p w14:paraId="05925902"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4.3.11</w:t>
      </w:r>
      <w:r w:rsidRPr="00E67914">
        <w:rPr>
          <w:rFonts w:ascii="Times New Roman" w:eastAsia="黑体" w:hAnsi="Times New Roman"/>
          <w:b w:val="0"/>
          <w:sz w:val="24"/>
          <w:szCs w:val="24"/>
          <w:lang w:eastAsia="zh-CN"/>
        </w:rPr>
        <w:t>重要物种、迁徙物种、重要生境调查</w:t>
      </w:r>
    </w:p>
    <w:p w14:paraId="5A6D51C1" w14:textId="77777777" w:rsidR="00A54A8A" w:rsidRPr="00E67914" w:rsidRDefault="00000000">
      <w:pPr>
        <w:spacing w:line="480" w:lineRule="exact"/>
        <w:ind w:firstLineChars="200" w:firstLine="482"/>
        <w:rPr>
          <w:rFonts w:ascii="Times New Roman" w:hAnsi="Times New Roman"/>
          <w:b/>
          <w:bCs/>
          <w:sz w:val="24"/>
          <w:lang w:eastAsia="zh-CN"/>
        </w:rPr>
      </w:pPr>
      <w:r w:rsidRPr="00E67914">
        <w:rPr>
          <w:rFonts w:ascii="Times New Roman" w:hAnsi="Times New Roman"/>
          <w:b/>
          <w:bCs/>
          <w:sz w:val="24"/>
          <w:lang w:eastAsia="zh-CN"/>
        </w:rPr>
        <w:t>1</w:t>
      </w:r>
      <w:r w:rsidRPr="00E67914">
        <w:rPr>
          <w:rFonts w:ascii="Times New Roman" w:hAnsi="Times New Roman"/>
          <w:b/>
          <w:bCs/>
          <w:sz w:val="24"/>
          <w:lang w:eastAsia="zh-CN"/>
        </w:rPr>
        <w:t>、项目评价范围内重点保护野生植物和古树名木</w:t>
      </w:r>
    </w:p>
    <w:p w14:paraId="2EE64383" w14:textId="77777777" w:rsidR="00A54A8A" w:rsidRPr="00E67914" w:rsidRDefault="00000000">
      <w:pPr>
        <w:spacing w:line="500" w:lineRule="exact"/>
        <w:ind w:left="60" w:right="100" w:firstLine="482"/>
        <w:jc w:val="both"/>
        <w:rPr>
          <w:rFonts w:ascii="Times New Roman" w:hAnsi="Times New Roman"/>
          <w:spacing w:val="-6"/>
          <w:sz w:val="24"/>
          <w:szCs w:val="24"/>
          <w:lang w:eastAsia="zh-CN"/>
        </w:rPr>
      </w:pPr>
      <w:r w:rsidRPr="00E67914">
        <w:rPr>
          <w:rFonts w:ascii="Times New Roman" w:hAnsi="Times New Roman"/>
          <w:spacing w:val="-6"/>
          <w:sz w:val="24"/>
          <w:szCs w:val="24"/>
          <w:lang w:eastAsia="zh-CN"/>
        </w:rPr>
        <w:t>根据现场调查及相关文献资料查阅，本次评价范围内的林地主要为人工林，区域植物种类主要为柏木、马尾松、竹类及其他常见灌草植物和经济林木等。按照现行的《中华人民共和国野生植物保护条例（</w:t>
      </w:r>
      <w:r w:rsidRPr="00E67914">
        <w:rPr>
          <w:rFonts w:ascii="Times New Roman" w:hAnsi="Times New Roman"/>
          <w:spacing w:val="-6"/>
          <w:sz w:val="24"/>
          <w:szCs w:val="24"/>
          <w:lang w:eastAsia="zh-CN"/>
        </w:rPr>
        <w:t>1999</w:t>
      </w:r>
      <w:r w:rsidRPr="00E67914">
        <w:rPr>
          <w:rFonts w:ascii="Times New Roman" w:hAnsi="Times New Roman"/>
          <w:spacing w:val="-6"/>
          <w:sz w:val="24"/>
          <w:szCs w:val="24"/>
          <w:lang w:eastAsia="zh-CN"/>
        </w:rPr>
        <w:t>）》、《国家重点保护野生植物名录》</w:t>
      </w:r>
      <w:r w:rsidRPr="00E67914">
        <w:rPr>
          <w:rFonts w:ascii="Times New Roman" w:hAnsi="Times New Roman"/>
          <w:spacing w:val="-6"/>
          <w:sz w:val="24"/>
          <w:szCs w:val="24"/>
          <w:lang w:eastAsia="zh-CN"/>
        </w:rPr>
        <w:t>(</w:t>
      </w:r>
      <w:r w:rsidRPr="00E67914">
        <w:rPr>
          <w:rFonts w:ascii="Times New Roman" w:hAnsi="Times New Roman"/>
          <w:spacing w:val="-6"/>
          <w:sz w:val="24"/>
          <w:szCs w:val="24"/>
          <w:lang w:eastAsia="zh-CN"/>
        </w:rPr>
        <w:t>国家林业和草原局农业农村部公告</w:t>
      </w:r>
      <w:r w:rsidRPr="00E67914">
        <w:rPr>
          <w:rFonts w:ascii="Times New Roman" w:hAnsi="Times New Roman"/>
          <w:spacing w:val="-6"/>
          <w:sz w:val="24"/>
          <w:szCs w:val="24"/>
          <w:lang w:eastAsia="zh-CN"/>
        </w:rPr>
        <w:t>2021</w:t>
      </w:r>
      <w:r w:rsidRPr="00E67914">
        <w:rPr>
          <w:rFonts w:ascii="Times New Roman" w:hAnsi="Times New Roman"/>
          <w:spacing w:val="-6"/>
          <w:sz w:val="24"/>
          <w:szCs w:val="24"/>
          <w:lang w:eastAsia="zh-CN"/>
        </w:rPr>
        <w:t>年第</w:t>
      </w:r>
      <w:r w:rsidRPr="00E67914">
        <w:rPr>
          <w:rFonts w:ascii="Times New Roman" w:hAnsi="Times New Roman"/>
          <w:spacing w:val="-6"/>
          <w:sz w:val="24"/>
          <w:szCs w:val="24"/>
          <w:lang w:eastAsia="zh-CN"/>
        </w:rPr>
        <w:t>15</w:t>
      </w:r>
      <w:r w:rsidRPr="00E67914">
        <w:rPr>
          <w:rFonts w:ascii="Times New Roman" w:hAnsi="Times New Roman"/>
          <w:spacing w:val="-6"/>
          <w:sz w:val="24"/>
          <w:szCs w:val="24"/>
          <w:lang w:eastAsia="zh-CN"/>
        </w:rPr>
        <w:t>号</w:t>
      </w:r>
      <w:r w:rsidRPr="00E67914">
        <w:rPr>
          <w:rFonts w:ascii="Times New Roman" w:hAnsi="Times New Roman"/>
          <w:spacing w:val="-6"/>
          <w:sz w:val="24"/>
          <w:szCs w:val="24"/>
          <w:lang w:eastAsia="zh-CN"/>
        </w:rPr>
        <w:t>)</w:t>
      </w:r>
      <w:r w:rsidRPr="00E67914">
        <w:rPr>
          <w:rFonts w:ascii="Times New Roman" w:hAnsi="Times New Roman"/>
          <w:spacing w:val="-6"/>
          <w:sz w:val="24"/>
          <w:szCs w:val="24"/>
          <w:lang w:eastAsia="zh-CN"/>
        </w:rPr>
        <w:t>、《四川省重点保护野生植物名录》、《全国古树名木普查建档技术规定（</w:t>
      </w:r>
      <w:r w:rsidRPr="00E67914">
        <w:rPr>
          <w:rFonts w:ascii="Times New Roman" w:hAnsi="Times New Roman"/>
          <w:spacing w:val="-6"/>
          <w:sz w:val="24"/>
          <w:szCs w:val="24"/>
          <w:lang w:eastAsia="zh-CN"/>
        </w:rPr>
        <w:t>2001</w:t>
      </w:r>
      <w:r w:rsidRPr="00E67914">
        <w:rPr>
          <w:rFonts w:ascii="Times New Roman" w:hAnsi="Times New Roman"/>
          <w:spacing w:val="-6"/>
          <w:sz w:val="24"/>
          <w:szCs w:val="24"/>
          <w:lang w:eastAsia="zh-CN"/>
        </w:rPr>
        <w:t>）》以及相关科考资料，评价区无重点保护野生植物和古树名木等重要物种分布。后续应加强评价范围内保护植物的跟踪调查，对及时发现的重点保护植物采取就地保护措施，对发现的名木古树采取挂牌保护。</w:t>
      </w:r>
    </w:p>
    <w:p w14:paraId="52B8CFBB" w14:textId="77777777" w:rsidR="00A54A8A" w:rsidRPr="00E67914" w:rsidRDefault="00000000">
      <w:pPr>
        <w:spacing w:line="480" w:lineRule="exact"/>
        <w:ind w:firstLineChars="200" w:firstLine="482"/>
        <w:rPr>
          <w:rFonts w:ascii="Times New Roman" w:hAnsi="Times New Roman"/>
          <w:b/>
          <w:bCs/>
          <w:sz w:val="24"/>
          <w:lang w:eastAsia="zh-CN"/>
        </w:rPr>
      </w:pPr>
      <w:r w:rsidRPr="00E67914">
        <w:rPr>
          <w:rFonts w:ascii="Times New Roman" w:hAnsi="Times New Roman"/>
          <w:b/>
          <w:bCs/>
          <w:sz w:val="24"/>
          <w:lang w:eastAsia="zh-CN"/>
        </w:rPr>
        <w:t>2</w:t>
      </w:r>
      <w:r w:rsidRPr="00E67914">
        <w:rPr>
          <w:rFonts w:ascii="Times New Roman" w:hAnsi="Times New Roman"/>
          <w:b/>
          <w:bCs/>
          <w:sz w:val="24"/>
          <w:lang w:eastAsia="zh-CN"/>
        </w:rPr>
        <w:t>、项目评价范围内重点保护野生动物</w:t>
      </w:r>
    </w:p>
    <w:p w14:paraId="17061C4B" w14:textId="77777777"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lang w:eastAsia="zh-CN"/>
        </w:rPr>
        <w:t>根据实际调查及现场复核，参照《国家重点保护野生动物名录</w:t>
      </w:r>
      <w:r w:rsidRPr="00E67914">
        <w:rPr>
          <w:rFonts w:ascii="Times New Roman" w:hAnsi="Times New Roman"/>
          <w:sz w:val="24"/>
          <w:lang w:eastAsia="zh-CN"/>
        </w:rPr>
        <w:t>2021</w:t>
      </w:r>
      <w:r w:rsidRPr="00E67914">
        <w:rPr>
          <w:rFonts w:ascii="Times New Roman" w:hAnsi="Times New Roman"/>
          <w:sz w:val="24"/>
          <w:lang w:eastAsia="zh-CN"/>
        </w:rPr>
        <w:t>》、《四川省重点保护野生动物名录》、《四川省新增重点保护野生动物名录》及相关科考资料，在项目评价范围，无迁徙物种和重要生境分布，在评价区上空偶尔出现的保护动物有</w:t>
      </w:r>
      <w:r w:rsidRPr="00E67914">
        <w:rPr>
          <w:rFonts w:ascii="Times New Roman" w:hAnsi="Times New Roman"/>
          <w:sz w:val="24"/>
          <w:lang w:eastAsia="zh-CN"/>
        </w:rPr>
        <w:t>2</w:t>
      </w:r>
      <w:r w:rsidRPr="00E67914">
        <w:rPr>
          <w:rFonts w:ascii="Times New Roman" w:hAnsi="Times New Roman"/>
          <w:sz w:val="24"/>
          <w:lang w:eastAsia="zh-CN"/>
        </w:rPr>
        <w:t>种，为国家二级保护鸟类雀鹰、画眉，偶见于评价区内的针叶林、阔叶林林。由于评价区人类活动较为频繁，适宜的栖息地</w:t>
      </w:r>
      <w:r w:rsidRPr="00E67914">
        <w:rPr>
          <w:rFonts w:ascii="Times New Roman" w:hAnsi="Times New Roman"/>
          <w:sz w:val="24"/>
          <w:lang w:eastAsia="zh-CN"/>
        </w:rPr>
        <w:lastRenderedPageBreak/>
        <w:t>相对比较少，因此主要为过境取食及活动，评价区未分布上述重点保护野生动物栖息地，无分布生境，也无重要野生动物的迁徙通道。</w:t>
      </w:r>
    </w:p>
    <w:p w14:paraId="6078172D" w14:textId="0EB73E16"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lang w:eastAsia="zh-CN"/>
        </w:rPr>
        <w:t>上述国家重点保护动物的调查统计情况见表</w:t>
      </w:r>
      <w:r w:rsidRPr="00E67914">
        <w:rPr>
          <w:rFonts w:ascii="Times New Roman" w:hAnsi="Times New Roman"/>
          <w:sz w:val="24"/>
          <w:lang w:eastAsia="zh-CN"/>
        </w:rPr>
        <w:t>4.3-2</w:t>
      </w:r>
      <w:r w:rsidR="008752B7" w:rsidRPr="00E67914">
        <w:rPr>
          <w:rFonts w:ascii="Times New Roman" w:hAnsi="Times New Roman"/>
          <w:sz w:val="24"/>
          <w:lang w:eastAsia="zh-CN"/>
        </w:rPr>
        <w:t>1</w:t>
      </w:r>
      <w:r w:rsidRPr="00E67914">
        <w:rPr>
          <w:rFonts w:ascii="Times New Roman" w:hAnsi="Times New Roman"/>
          <w:sz w:val="24"/>
          <w:lang w:eastAsia="zh-CN"/>
        </w:rPr>
        <w:t>。</w:t>
      </w:r>
    </w:p>
    <w:p w14:paraId="7A1E0072" w14:textId="1A1A241F"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4.3-2</w:t>
      </w:r>
      <w:r w:rsidR="008752B7" w:rsidRPr="00E67914">
        <w:rPr>
          <w:rFonts w:ascii="Times New Roman" w:eastAsia="黑体" w:hAnsi="Times New Roman"/>
          <w:sz w:val="21"/>
          <w:szCs w:val="21"/>
          <w:lang w:eastAsia="zh-CN"/>
        </w:rPr>
        <w:t>1</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评价区重点保护鸟类分布、栖息情况一览表</w:t>
      </w:r>
    </w:p>
    <w:tbl>
      <w:tblPr>
        <w:tblStyle w:val="45"/>
        <w:tblW w:w="5000" w:type="pct"/>
        <w:tblLook w:val="04A0" w:firstRow="1" w:lastRow="0" w:firstColumn="1" w:lastColumn="0" w:noHBand="0" w:noVBand="1"/>
      </w:tblPr>
      <w:tblGrid>
        <w:gridCol w:w="443"/>
        <w:gridCol w:w="1579"/>
        <w:gridCol w:w="1067"/>
        <w:gridCol w:w="1056"/>
        <w:gridCol w:w="712"/>
        <w:gridCol w:w="1386"/>
        <w:gridCol w:w="1102"/>
        <w:gridCol w:w="955"/>
      </w:tblGrid>
      <w:tr w:rsidR="00E67914" w:rsidRPr="00E67914" w14:paraId="0E4476A4" w14:textId="77777777">
        <w:tc>
          <w:tcPr>
            <w:tcW w:w="266" w:type="pct"/>
            <w:vAlign w:val="center"/>
          </w:tcPr>
          <w:p w14:paraId="73622448"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序号</w:t>
            </w:r>
          </w:p>
        </w:tc>
        <w:tc>
          <w:tcPr>
            <w:tcW w:w="951" w:type="pct"/>
            <w:vAlign w:val="center"/>
          </w:tcPr>
          <w:p w14:paraId="1716CF60"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物种名称</w:t>
            </w:r>
          </w:p>
        </w:tc>
        <w:tc>
          <w:tcPr>
            <w:tcW w:w="643" w:type="pct"/>
            <w:vAlign w:val="center"/>
          </w:tcPr>
          <w:p w14:paraId="611E5B08"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保护级别</w:t>
            </w:r>
          </w:p>
        </w:tc>
        <w:tc>
          <w:tcPr>
            <w:tcW w:w="636" w:type="pct"/>
            <w:vAlign w:val="center"/>
          </w:tcPr>
          <w:p w14:paraId="649734D8"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濒危等级</w:t>
            </w:r>
          </w:p>
        </w:tc>
        <w:tc>
          <w:tcPr>
            <w:tcW w:w="429" w:type="pct"/>
            <w:vAlign w:val="center"/>
          </w:tcPr>
          <w:p w14:paraId="17D334BD"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特有种</w:t>
            </w:r>
          </w:p>
        </w:tc>
        <w:tc>
          <w:tcPr>
            <w:tcW w:w="835" w:type="pct"/>
            <w:vAlign w:val="center"/>
          </w:tcPr>
          <w:p w14:paraId="1C9AEA37"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分布区域</w:t>
            </w:r>
          </w:p>
        </w:tc>
        <w:tc>
          <w:tcPr>
            <w:tcW w:w="664" w:type="pct"/>
            <w:vAlign w:val="center"/>
          </w:tcPr>
          <w:p w14:paraId="7E17F241"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资料来源</w:t>
            </w:r>
          </w:p>
        </w:tc>
        <w:tc>
          <w:tcPr>
            <w:tcW w:w="575" w:type="pct"/>
            <w:vAlign w:val="center"/>
          </w:tcPr>
          <w:p w14:paraId="77B5A33E" w14:textId="0ACB4975"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项目占用情况</w:t>
            </w:r>
          </w:p>
        </w:tc>
      </w:tr>
      <w:tr w:rsidR="00E67914" w:rsidRPr="00E67914" w14:paraId="6E8D2C2F" w14:textId="77777777">
        <w:tc>
          <w:tcPr>
            <w:tcW w:w="266" w:type="pct"/>
            <w:vAlign w:val="center"/>
          </w:tcPr>
          <w:p w14:paraId="73882174"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1</w:t>
            </w:r>
          </w:p>
        </w:tc>
        <w:tc>
          <w:tcPr>
            <w:tcW w:w="951" w:type="pct"/>
            <w:vAlign w:val="center"/>
          </w:tcPr>
          <w:p w14:paraId="487861F7"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雀鹰</w:t>
            </w:r>
            <w:r w:rsidRPr="00E67914">
              <w:rPr>
                <w:rFonts w:ascii="Times New Roman" w:hAnsi="Times New Roman"/>
                <w:szCs w:val="21"/>
              </w:rPr>
              <w:t>Accipiter nisus</w:t>
            </w:r>
          </w:p>
        </w:tc>
        <w:tc>
          <w:tcPr>
            <w:tcW w:w="643" w:type="pct"/>
            <w:vAlign w:val="center"/>
          </w:tcPr>
          <w:p w14:paraId="4D532043"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Ⅱ</w:t>
            </w:r>
          </w:p>
        </w:tc>
        <w:tc>
          <w:tcPr>
            <w:tcW w:w="636" w:type="pct"/>
            <w:vAlign w:val="center"/>
          </w:tcPr>
          <w:p w14:paraId="09099AE3"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无危</w:t>
            </w:r>
          </w:p>
        </w:tc>
        <w:tc>
          <w:tcPr>
            <w:tcW w:w="429" w:type="pct"/>
            <w:vAlign w:val="center"/>
          </w:tcPr>
          <w:p w14:paraId="5087A332"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否</w:t>
            </w:r>
          </w:p>
        </w:tc>
        <w:tc>
          <w:tcPr>
            <w:tcW w:w="835" w:type="pct"/>
            <w:vMerge w:val="restart"/>
            <w:vAlign w:val="center"/>
          </w:tcPr>
          <w:p w14:paraId="7E8C9FDC" w14:textId="77777777" w:rsidR="00A54A8A" w:rsidRPr="00E67914" w:rsidRDefault="00000000">
            <w:pPr>
              <w:widowControl/>
              <w:jc w:val="center"/>
              <w:textAlignment w:val="bottom"/>
              <w:rPr>
                <w:rFonts w:ascii="Times New Roman" w:hAnsi="Times New Roman"/>
                <w:szCs w:val="21"/>
                <w:lang w:eastAsia="zh-CN"/>
              </w:rPr>
            </w:pPr>
            <w:r w:rsidRPr="00E67914">
              <w:rPr>
                <w:rFonts w:ascii="Times New Roman" w:hAnsi="Times New Roman"/>
                <w:szCs w:val="21"/>
                <w:lang w:eastAsia="zh-CN"/>
              </w:rPr>
              <w:t>过境取食及活动，未分布栖息地，无分布生境</w:t>
            </w:r>
          </w:p>
        </w:tc>
        <w:tc>
          <w:tcPr>
            <w:tcW w:w="664" w:type="pct"/>
            <w:vAlign w:val="center"/>
          </w:tcPr>
          <w:p w14:paraId="73DDADEF"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文献记录</w:t>
            </w:r>
          </w:p>
        </w:tc>
        <w:tc>
          <w:tcPr>
            <w:tcW w:w="575" w:type="pct"/>
            <w:vMerge w:val="restart"/>
            <w:vAlign w:val="center"/>
          </w:tcPr>
          <w:p w14:paraId="1A66A323"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否，生境远离占地区</w:t>
            </w:r>
          </w:p>
        </w:tc>
      </w:tr>
      <w:tr w:rsidR="00E67914" w:rsidRPr="00E67914" w14:paraId="3CD2D677" w14:textId="77777777">
        <w:tc>
          <w:tcPr>
            <w:tcW w:w="266" w:type="pct"/>
            <w:vAlign w:val="center"/>
          </w:tcPr>
          <w:p w14:paraId="38E5094D"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2</w:t>
            </w:r>
          </w:p>
        </w:tc>
        <w:tc>
          <w:tcPr>
            <w:tcW w:w="951" w:type="pct"/>
            <w:vAlign w:val="center"/>
          </w:tcPr>
          <w:p w14:paraId="45A29D1F"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画眉</w:t>
            </w:r>
            <w:r w:rsidRPr="00E67914">
              <w:rPr>
                <w:rFonts w:ascii="Times New Roman" w:hAnsi="Times New Roman"/>
                <w:szCs w:val="21"/>
              </w:rPr>
              <w:t>Garrulax canorus</w:t>
            </w:r>
          </w:p>
        </w:tc>
        <w:tc>
          <w:tcPr>
            <w:tcW w:w="643" w:type="pct"/>
            <w:vAlign w:val="center"/>
          </w:tcPr>
          <w:p w14:paraId="0A72996A"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Ⅱ</w:t>
            </w:r>
          </w:p>
        </w:tc>
        <w:tc>
          <w:tcPr>
            <w:tcW w:w="636" w:type="pct"/>
            <w:vAlign w:val="center"/>
          </w:tcPr>
          <w:p w14:paraId="6974213E"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低危</w:t>
            </w:r>
          </w:p>
        </w:tc>
        <w:tc>
          <w:tcPr>
            <w:tcW w:w="429" w:type="pct"/>
            <w:vAlign w:val="center"/>
          </w:tcPr>
          <w:p w14:paraId="272C2808"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否</w:t>
            </w:r>
          </w:p>
        </w:tc>
        <w:tc>
          <w:tcPr>
            <w:tcW w:w="835" w:type="pct"/>
            <w:vMerge/>
            <w:vAlign w:val="center"/>
          </w:tcPr>
          <w:p w14:paraId="640892F2" w14:textId="77777777" w:rsidR="00A54A8A" w:rsidRPr="00E67914" w:rsidRDefault="00A54A8A">
            <w:pPr>
              <w:widowControl/>
              <w:jc w:val="center"/>
              <w:textAlignment w:val="bottom"/>
              <w:rPr>
                <w:rFonts w:ascii="Times New Roman" w:hAnsi="Times New Roman"/>
                <w:szCs w:val="21"/>
              </w:rPr>
            </w:pPr>
          </w:p>
        </w:tc>
        <w:tc>
          <w:tcPr>
            <w:tcW w:w="664" w:type="pct"/>
            <w:vAlign w:val="center"/>
          </w:tcPr>
          <w:p w14:paraId="37FA382A" w14:textId="77777777" w:rsidR="00A54A8A" w:rsidRPr="00E67914" w:rsidRDefault="00000000">
            <w:pPr>
              <w:widowControl/>
              <w:jc w:val="center"/>
              <w:textAlignment w:val="bottom"/>
              <w:rPr>
                <w:rFonts w:ascii="Times New Roman" w:hAnsi="Times New Roman"/>
                <w:szCs w:val="21"/>
              </w:rPr>
            </w:pPr>
            <w:r w:rsidRPr="00E67914">
              <w:rPr>
                <w:rFonts w:ascii="Times New Roman" w:hAnsi="Times New Roman"/>
                <w:szCs w:val="21"/>
              </w:rPr>
              <w:t>文献记录</w:t>
            </w:r>
          </w:p>
        </w:tc>
        <w:tc>
          <w:tcPr>
            <w:tcW w:w="575" w:type="pct"/>
            <w:vMerge/>
            <w:vAlign w:val="center"/>
          </w:tcPr>
          <w:p w14:paraId="15496C77" w14:textId="77777777" w:rsidR="00A54A8A" w:rsidRPr="00E67914" w:rsidRDefault="00A54A8A">
            <w:pPr>
              <w:widowControl/>
              <w:jc w:val="center"/>
              <w:textAlignment w:val="bottom"/>
              <w:rPr>
                <w:rFonts w:ascii="Times New Roman" w:hAnsi="Times New Roman"/>
                <w:szCs w:val="21"/>
              </w:rPr>
            </w:pPr>
          </w:p>
        </w:tc>
      </w:tr>
    </w:tbl>
    <w:p w14:paraId="7F7A66C6" w14:textId="77777777" w:rsidR="00A54A8A" w:rsidRPr="00E67914" w:rsidRDefault="00000000">
      <w:pPr>
        <w:spacing w:before="54" w:line="280" w:lineRule="auto"/>
        <w:ind w:left="137" w:right="176" w:hanging="4"/>
        <w:rPr>
          <w:rFonts w:ascii="Times New Roman" w:hAnsi="Times New Roman"/>
          <w:sz w:val="21"/>
          <w:szCs w:val="21"/>
          <w:lang w:eastAsia="zh-CN"/>
        </w:rPr>
      </w:pPr>
      <w:r w:rsidRPr="00E67914">
        <w:rPr>
          <w:rFonts w:ascii="Times New Roman" w:hAnsi="Times New Roman"/>
          <w:spacing w:val="-8"/>
          <w:sz w:val="21"/>
          <w:szCs w:val="21"/>
          <w:lang w:eastAsia="zh-CN"/>
        </w:rPr>
        <w:t>注：居留</w:t>
      </w:r>
      <w:r w:rsidRPr="00E67914">
        <w:rPr>
          <w:rFonts w:ascii="Times New Roman" w:hAnsi="Times New Roman"/>
          <w:spacing w:val="-7"/>
          <w:sz w:val="21"/>
          <w:szCs w:val="21"/>
          <w:lang w:eastAsia="zh-CN"/>
        </w:rPr>
        <w:t>型</w:t>
      </w:r>
      <w:r w:rsidRPr="00E67914">
        <w:rPr>
          <w:rFonts w:ascii="Times New Roman" w:hAnsi="Times New Roman"/>
          <w:spacing w:val="-4"/>
          <w:sz w:val="21"/>
          <w:szCs w:val="21"/>
          <w:lang w:eastAsia="zh-CN"/>
        </w:rPr>
        <w:t>：</w:t>
      </w:r>
      <w:r w:rsidRPr="00E67914">
        <w:rPr>
          <w:rFonts w:ascii="Times New Roman" w:hAnsi="Times New Roman"/>
          <w:spacing w:val="-4"/>
          <w:sz w:val="21"/>
          <w:szCs w:val="21"/>
          <w:lang w:eastAsia="zh-CN"/>
        </w:rPr>
        <w:t>R-</w:t>
      </w:r>
      <w:r w:rsidRPr="00E67914">
        <w:rPr>
          <w:rFonts w:ascii="Times New Roman" w:hAnsi="Times New Roman"/>
          <w:spacing w:val="-4"/>
          <w:sz w:val="21"/>
          <w:szCs w:val="21"/>
          <w:lang w:eastAsia="zh-CN"/>
        </w:rPr>
        <w:t>留鸟，</w:t>
      </w:r>
      <w:r w:rsidRPr="00E67914">
        <w:rPr>
          <w:rFonts w:ascii="Times New Roman" w:hAnsi="Times New Roman"/>
          <w:spacing w:val="-4"/>
          <w:sz w:val="21"/>
          <w:szCs w:val="21"/>
          <w:lang w:eastAsia="zh-CN"/>
        </w:rPr>
        <w:t>S-</w:t>
      </w:r>
      <w:r w:rsidRPr="00E67914">
        <w:rPr>
          <w:rFonts w:ascii="Times New Roman" w:hAnsi="Times New Roman"/>
          <w:spacing w:val="-4"/>
          <w:sz w:val="21"/>
          <w:szCs w:val="21"/>
          <w:lang w:eastAsia="zh-CN"/>
        </w:rPr>
        <w:t>夏候鸟，</w:t>
      </w:r>
      <w:r w:rsidRPr="00E67914">
        <w:rPr>
          <w:rFonts w:ascii="Times New Roman" w:hAnsi="Times New Roman"/>
          <w:spacing w:val="-4"/>
          <w:sz w:val="21"/>
          <w:szCs w:val="21"/>
          <w:lang w:eastAsia="zh-CN"/>
        </w:rPr>
        <w:t>W-</w:t>
      </w:r>
      <w:r w:rsidRPr="00E67914">
        <w:rPr>
          <w:rFonts w:ascii="Times New Roman" w:hAnsi="Times New Roman"/>
          <w:spacing w:val="-4"/>
          <w:sz w:val="21"/>
          <w:szCs w:val="21"/>
          <w:lang w:eastAsia="zh-CN"/>
        </w:rPr>
        <w:t>冬候鸟，</w:t>
      </w:r>
      <w:r w:rsidRPr="00E67914">
        <w:rPr>
          <w:rFonts w:ascii="Times New Roman" w:hAnsi="Times New Roman"/>
          <w:spacing w:val="-4"/>
          <w:sz w:val="21"/>
          <w:szCs w:val="21"/>
          <w:lang w:eastAsia="zh-CN"/>
        </w:rPr>
        <w:t>P-</w:t>
      </w:r>
      <w:r w:rsidRPr="00E67914">
        <w:rPr>
          <w:rFonts w:ascii="Times New Roman" w:hAnsi="Times New Roman"/>
          <w:spacing w:val="-4"/>
          <w:sz w:val="21"/>
          <w:szCs w:val="21"/>
          <w:lang w:eastAsia="zh-CN"/>
        </w:rPr>
        <w:t>旅鸟。数量：</w:t>
      </w:r>
      <w:r w:rsidRPr="00E67914">
        <w:rPr>
          <w:rFonts w:ascii="Times New Roman" w:hAnsi="Times New Roman"/>
          <w:spacing w:val="-4"/>
          <w:sz w:val="21"/>
          <w:szCs w:val="21"/>
          <w:lang w:eastAsia="zh-CN"/>
        </w:rPr>
        <w:t>“+++”</w:t>
      </w:r>
      <w:r w:rsidRPr="00E67914">
        <w:rPr>
          <w:rFonts w:ascii="Times New Roman" w:hAnsi="Times New Roman"/>
          <w:spacing w:val="-4"/>
          <w:sz w:val="21"/>
          <w:szCs w:val="21"/>
          <w:lang w:eastAsia="zh-CN"/>
        </w:rPr>
        <w:t>优势种，</w:t>
      </w:r>
      <w:r w:rsidRPr="00E67914">
        <w:rPr>
          <w:rFonts w:ascii="Times New Roman" w:hAnsi="Times New Roman"/>
          <w:spacing w:val="-4"/>
          <w:sz w:val="21"/>
          <w:szCs w:val="21"/>
          <w:lang w:eastAsia="zh-CN"/>
        </w:rPr>
        <w:t>“++”</w:t>
      </w:r>
      <w:r w:rsidRPr="00E67914">
        <w:rPr>
          <w:rFonts w:ascii="Times New Roman" w:hAnsi="Times New Roman"/>
          <w:spacing w:val="-4"/>
          <w:sz w:val="21"/>
          <w:szCs w:val="21"/>
          <w:lang w:eastAsia="zh-CN"/>
        </w:rPr>
        <w:t>常见种，</w:t>
      </w:r>
      <w:r w:rsidRPr="00E67914">
        <w:rPr>
          <w:rFonts w:ascii="Times New Roman" w:hAnsi="Times New Roman"/>
          <w:spacing w:val="-4"/>
          <w:sz w:val="21"/>
          <w:szCs w:val="21"/>
          <w:lang w:eastAsia="zh-CN"/>
        </w:rPr>
        <w:t>“+”</w:t>
      </w:r>
      <w:r w:rsidRPr="00E67914">
        <w:rPr>
          <w:rFonts w:ascii="Times New Roman" w:hAnsi="Times New Roman"/>
          <w:spacing w:val="-4"/>
          <w:sz w:val="21"/>
          <w:szCs w:val="21"/>
          <w:lang w:eastAsia="zh-CN"/>
        </w:rPr>
        <w:t>数量较少，</w:t>
      </w:r>
      <w:r w:rsidRPr="00E67914">
        <w:rPr>
          <w:rFonts w:ascii="Times New Roman" w:hAnsi="Times New Roman"/>
          <w:spacing w:val="-4"/>
          <w:sz w:val="21"/>
          <w:szCs w:val="21"/>
          <w:lang w:eastAsia="zh-CN"/>
        </w:rPr>
        <w:t>“-”</w:t>
      </w:r>
      <w:r w:rsidRPr="00E67914">
        <w:rPr>
          <w:rFonts w:ascii="Times New Roman" w:hAnsi="Times New Roman"/>
          <w:spacing w:val="-4"/>
          <w:sz w:val="21"/>
          <w:szCs w:val="21"/>
          <w:lang w:eastAsia="zh-CN"/>
        </w:rPr>
        <w:t>稀少（偶见）</w:t>
      </w:r>
      <w:r w:rsidRPr="00E67914">
        <w:rPr>
          <w:rFonts w:ascii="Times New Roman" w:hAnsi="Times New Roman"/>
          <w:sz w:val="21"/>
          <w:szCs w:val="21"/>
          <w:lang w:eastAsia="zh-CN"/>
        </w:rPr>
        <w:t>。</w:t>
      </w:r>
    </w:p>
    <w:p w14:paraId="15C5A814" w14:textId="77777777"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lang w:eastAsia="zh-CN"/>
        </w:rPr>
        <w:t>重点保护鸟类及其栖息地状况</w:t>
      </w:r>
    </w:p>
    <w:p w14:paraId="5ACDBB57" w14:textId="77777777" w:rsidR="00A54A8A" w:rsidRPr="00E67914" w:rsidRDefault="00000000">
      <w:pPr>
        <w:spacing w:line="500" w:lineRule="exact"/>
        <w:ind w:left="60" w:right="100" w:firstLine="482"/>
        <w:rPr>
          <w:rFonts w:ascii="Times New Roman" w:hAnsi="Times New Roman"/>
          <w:sz w:val="24"/>
          <w:szCs w:val="24"/>
        </w:rPr>
      </w:pPr>
      <w:r w:rsidRPr="00E67914">
        <w:rPr>
          <w:rFonts w:ascii="宋体" w:hAnsi="宋体" w:cs="宋体" w:hint="eastAsia"/>
          <w:sz w:val="24"/>
          <w:szCs w:val="24"/>
        </w:rPr>
        <w:t>①</w:t>
      </w:r>
      <w:r w:rsidRPr="00E67914">
        <w:rPr>
          <w:rFonts w:ascii="Times New Roman" w:hAnsi="Times New Roman"/>
          <w:sz w:val="24"/>
          <w:szCs w:val="24"/>
        </w:rPr>
        <w:t>雀鹰</w:t>
      </w:r>
      <w:r w:rsidRPr="00E67914">
        <w:rPr>
          <w:rFonts w:ascii="Times New Roman" w:hAnsi="Times New Roman"/>
          <w:i/>
          <w:iCs/>
          <w:sz w:val="24"/>
          <w:szCs w:val="24"/>
        </w:rPr>
        <w:t>Accipiter nisus</w:t>
      </w:r>
    </w:p>
    <w:p w14:paraId="2198DBAA" w14:textId="77E87C05" w:rsidR="00A54A8A" w:rsidRPr="00E67914" w:rsidRDefault="005C1AD6">
      <w:pPr>
        <w:spacing w:line="500" w:lineRule="exact"/>
        <w:ind w:left="60" w:right="100" w:firstLine="482"/>
        <w:rPr>
          <w:rFonts w:ascii="Times New Roman" w:hAnsi="Times New Roman"/>
          <w:sz w:val="24"/>
          <w:szCs w:val="24"/>
          <w:lang w:eastAsia="zh-CN"/>
        </w:rPr>
      </w:pPr>
      <w:r w:rsidRPr="00E67914">
        <w:rPr>
          <w:rFonts w:ascii="Times New Roman" w:hAnsi="Times New Roman"/>
          <w:noProof/>
          <w:sz w:val="24"/>
          <w:szCs w:val="24"/>
        </w:rPr>
        <w:drawing>
          <wp:anchor distT="0" distB="0" distL="0" distR="0" simplePos="0" relativeHeight="251727872" behindDoc="1" locked="0" layoutInCell="0" allowOverlap="1" wp14:anchorId="2C5090ED" wp14:editId="0920E543">
            <wp:simplePos x="0" y="0"/>
            <wp:positionH relativeFrom="margin">
              <wp:posOffset>4017010</wp:posOffset>
            </wp:positionH>
            <wp:positionV relativeFrom="page">
              <wp:posOffset>4348480</wp:posOffset>
            </wp:positionV>
            <wp:extent cx="1583690" cy="2194560"/>
            <wp:effectExtent l="0" t="0" r="0" b="0"/>
            <wp:wrapTight wrapText="bothSides">
              <wp:wrapPolygon edited="0">
                <wp:start x="0" y="0"/>
                <wp:lineTo x="0" y="21375"/>
                <wp:lineTo x="21306" y="21375"/>
                <wp:lineTo x="21306" y="0"/>
                <wp:lineTo x="0" y="0"/>
              </wp:wrapPolygon>
            </wp:wrapTight>
            <wp:docPr id="65" name="图片 65"/>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583690" cy="2194560"/>
                    </a:xfrm>
                    <a:prstGeom prst="rect">
                      <a:avLst/>
                    </a:prstGeom>
                    <a:noFill/>
                    <a:ln>
                      <a:noFill/>
                    </a:ln>
                    <a:effectLst/>
                  </pic:spPr>
                </pic:pic>
              </a:graphicData>
            </a:graphic>
          </wp:anchor>
        </w:drawing>
      </w:r>
      <w:r w:rsidRPr="00E67914">
        <w:rPr>
          <w:rFonts w:ascii="Times New Roman" w:hAnsi="Times New Roman"/>
          <w:sz w:val="24"/>
          <w:szCs w:val="24"/>
          <w:lang w:eastAsia="zh-CN"/>
        </w:rPr>
        <w:t>雀鹰</w:t>
      </w:r>
      <w:r w:rsidRPr="00E67914">
        <w:rPr>
          <w:rFonts w:ascii="Times New Roman" w:hAnsi="Times New Roman"/>
          <w:sz w:val="24"/>
          <w:szCs w:val="24"/>
          <w:lang w:eastAsia="zh-CN"/>
        </w:rPr>
        <w:t>(</w:t>
      </w:r>
      <w:r w:rsidRPr="00E67914">
        <w:rPr>
          <w:rFonts w:ascii="Times New Roman" w:hAnsi="Times New Roman"/>
          <w:sz w:val="24"/>
          <w:szCs w:val="24"/>
          <w:lang w:eastAsia="zh-CN"/>
        </w:rPr>
        <w:t>学名：</w:t>
      </w:r>
      <w:r w:rsidRPr="00E67914">
        <w:rPr>
          <w:rFonts w:ascii="Times New Roman" w:hAnsi="Times New Roman"/>
          <w:sz w:val="24"/>
          <w:szCs w:val="24"/>
          <w:lang w:eastAsia="zh-CN"/>
        </w:rPr>
        <w:t>Accipiter nisus)</w:t>
      </w:r>
      <w:r w:rsidRPr="00E67914">
        <w:rPr>
          <w:rFonts w:ascii="Times New Roman" w:hAnsi="Times New Roman"/>
          <w:sz w:val="24"/>
          <w:szCs w:val="24"/>
          <w:lang w:eastAsia="zh-CN"/>
        </w:rPr>
        <w:t>属小型猛禽，为中国国家二级保护动物，体长</w:t>
      </w:r>
      <w:r w:rsidRPr="00E67914">
        <w:rPr>
          <w:rFonts w:ascii="Times New Roman" w:hAnsi="Times New Roman"/>
          <w:sz w:val="24"/>
          <w:szCs w:val="24"/>
          <w:lang w:eastAsia="zh-CN"/>
        </w:rPr>
        <w:t>30-41</w:t>
      </w:r>
      <w:r w:rsidRPr="00E67914">
        <w:rPr>
          <w:rFonts w:ascii="Times New Roman" w:hAnsi="Times New Roman"/>
          <w:sz w:val="24"/>
          <w:szCs w:val="24"/>
          <w:lang w:eastAsia="zh-CN"/>
        </w:rPr>
        <w:t>厘米。雌较雄略大，翅阔而圆，尾较长。雄鸟上体暗灰色，雌鸟灰褐色，头后杂有少许白色。下体白色或淡灰白色，雄鸟具细密的红褐色横斑，雌鸟具褐色横斑。尾具</w:t>
      </w:r>
      <w:r w:rsidRPr="00E67914">
        <w:rPr>
          <w:rFonts w:ascii="Times New Roman" w:hAnsi="Times New Roman"/>
          <w:sz w:val="24"/>
          <w:szCs w:val="24"/>
          <w:lang w:eastAsia="zh-CN"/>
        </w:rPr>
        <w:t>4-5</w:t>
      </w:r>
      <w:r w:rsidRPr="00E67914">
        <w:rPr>
          <w:rFonts w:ascii="Times New Roman" w:hAnsi="Times New Roman"/>
          <w:sz w:val="24"/>
          <w:szCs w:val="24"/>
          <w:lang w:eastAsia="zh-CN"/>
        </w:rPr>
        <w:t>道黑褐色横斑，飞翔时翼后缘略为突出，翼下飞羽具数道黑褐色横带，通常快速鼓动两翅飞一阵后接着又滑翔一会。栖息于针叶林、混交林、阔叶林等山地森林和林缘地带。日出性。常单独生活。或飞翔于空中，或栖于树上和电柱上。以雀形目小鸟、昆虫和鼠类为食，也捕食鸽形目鸟类和榛鸡等小的鸡形目鸟类，有时亦捕食野兔、蛇、昆虫幼虫。</w:t>
      </w:r>
    </w:p>
    <w:p w14:paraId="002FC12F" w14:textId="77777777" w:rsidR="00A54A8A" w:rsidRPr="00E67914" w:rsidRDefault="00000000">
      <w:pPr>
        <w:spacing w:line="500" w:lineRule="exact"/>
        <w:ind w:left="60" w:right="100" w:firstLine="482"/>
        <w:rPr>
          <w:rFonts w:ascii="Times New Roman" w:hAnsi="Times New Roman"/>
          <w:sz w:val="24"/>
          <w:szCs w:val="24"/>
          <w:lang w:eastAsia="zh-CN"/>
        </w:rPr>
      </w:pPr>
      <w:r w:rsidRPr="00E67914">
        <w:rPr>
          <w:rFonts w:ascii="Times New Roman" w:hAnsi="Times New Roman"/>
          <w:sz w:val="24"/>
          <w:szCs w:val="24"/>
          <w:lang w:eastAsia="zh-CN"/>
        </w:rPr>
        <w:t>雀鹰的分布广泛，数量较多，特别是捕食大量的鼠类和害虫，对于农业、林业和牧业均十分有益，对维持生态平衡也起到了积极的作用。</w:t>
      </w:r>
    </w:p>
    <w:p w14:paraId="4312D2EF" w14:textId="77777777" w:rsidR="00A54A8A" w:rsidRPr="00E67914" w:rsidRDefault="00000000">
      <w:pPr>
        <w:spacing w:line="500" w:lineRule="exact"/>
        <w:ind w:left="60" w:right="100" w:firstLine="482"/>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画眉</w:t>
      </w:r>
      <w:r w:rsidRPr="00E67914">
        <w:rPr>
          <w:rFonts w:ascii="Times New Roman" w:hAnsi="Times New Roman"/>
          <w:i/>
          <w:iCs/>
          <w:sz w:val="24"/>
          <w:szCs w:val="24"/>
          <w:lang w:eastAsia="zh-CN"/>
        </w:rPr>
        <w:t>Garrulax canorus</w:t>
      </w:r>
    </w:p>
    <w:p w14:paraId="4432F0C5" w14:textId="77777777" w:rsidR="00A54A8A" w:rsidRPr="00E67914" w:rsidRDefault="00000000">
      <w:pPr>
        <w:spacing w:line="500" w:lineRule="exact"/>
        <w:ind w:left="60" w:right="100" w:firstLine="482"/>
        <w:rPr>
          <w:rFonts w:ascii="Times New Roman" w:hAnsi="Times New Roman"/>
          <w:sz w:val="24"/>
          <w:szCs w:val="24"/>
          <w:lang w:eastAsia="zh-CN"/>
        </w:rPr>
      </w:pPr>
      <w:r w:rsidRPr="00E67914">
        <w:rPr>
          <w:rFonts w:ascii="Times New Roman" w:hAnsi="Times New Roman"/>
          <w:noProof/>
          <w:sz w:val="24"/>
          <w:szCs w:val="24"/>
        </w:rPr>
        <w:drawing>
          <wp:anchor distT="0" distB="0" distL="0" distR="0" simplePos="0" relativeHeight="251728896" behindDoc="1" locked="0" layoutInCell="0" allowOverlap="1" wp14:anchorId="5A72F7C9" wp14:editId="0798D1E9">
            <wp:simplePos x="0" y="0"/>
            <wp:positionH relativeFrom="page">
              <wp:posOffset>5173980</wp:posOffset>
            </wp:positionH>
            <wp:positionV relativeFrom="page">
              <wp:posOffset>7299325</wp:posOffset>
            </wp:positionV>
            <wp:extent cx="1488440" cy="1926590"/>
            <wp:effectExtent l="0" t="0" r="0" b="0"/>
            <wp:wrapTight wrapText="bothSides">
              <wp:wrapPolygon edited="0">
                <wp:start x="0" y="0"/>
                <wp:lineTo x="0" y="21358"/>
                <wp:lineTo x="21287" y="21358"/>
                <wp:lineTo x="21287" y="0"/>
                <wp:lineTo x="0" y="0"/>
              </wp:wrapPolygon>
            </wp:wrapTight>
            <wp:docPr id="64" name="图片 64"/>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488440" cy="1926590"/>
                    </a:xfrm>
                    <a:prstGeom prst="rect">
                      <a:avLst/>
                    </a:prstGeom>
                    <a:noFill/>
                    <a:ln>
                      <a:noFill/>
                    </a:ln>
                  </pic:spPr>
                </pic:pic>
              </a:graphicData>
            </a:graphic>
          </wp:anchor>
        </w:drawing>
      </w:r>
      <w:r w:rsidRPr="00E67914">
        <w:rPr>
          <w:rFonts w:ascii="Times New Roman" w:hAnsi="Times New Roman"/>
          <w:sz w:val="24"/>
          <w:szCs w:val="24"/>
          <w:lang w:eastAsia="zh-CN"/>
        </w:rPr>
        <w:t>画眉鸟：是鸟纲、画眉科的中型鸟类。体长约</w:t>
      </w:r>
      <w:r w:rsidRPr="00E67914">
        <w:rPr>
          <w:rFonts w:ascii="Times New Roman" w:hAnsi="Times New Roman"/>
          <w:sz w:val="24"/>
          <w:szCs w:val="24"/>
          <w:lang w:eastAsia="zh-CN"/>
        </w:rPr>
        <w:t>23</w:t>
      </w:r>
      <w:r w:rsidRPr="00E67914">
        <w:rPr>
          <w:rFonts w:ascii="Times New Roman" w:hAnsi="Times New Roman"/>
          <w:sz w:val="24"/>
          <w:szCs w:val="24"/>
          <w:lang w:eastAsia="zh-CN"/>
        </w:rPr>
        <w:t>厘米。上体橄榄色，头顶至上背棕褐色具黑色纵纹，眼圈白色，并沿上缘形成一窄纹向后延伸至枕侧，形成清</w:t>
      </w:r>
    </w:p>
    <w:p w14:paraId="714B848A" w14:textId="77777777" w:rsidR="00A54A8A" w:rsidRPr="00E67914" w:rsidRDefault="00000000">
      <w:pPr>
        <w:spacing w:line="500" w:lineRule="exact"/>
        <w:ind w:right="100"/>
        <w:rPr>
          <w:rFonts w:ascii="Times New Roman" w:hAnsi="Times New Roman"/>
          <w:sz w:val="24"/>
          <w:szCs w:val="24"/>
          <w:lang w:eastAsia="zh-CN"/>
        </w:rPr>
      </w:pPr>
      <w:r w:rsidRPr="00E67914">
        <w:rPr>
          <w:rFonts w:ascii="Times New Roman" w:hAnsi="Times New Roman"/>
          <w:sz w:val="24"/>
          <w:szCs w:val="24"/>
          <w:lang w:eastAsia="zh-CN"/>
        </w:rPr>
        <w:lastRenderedPageBreak/>
        <w:t>晰的眉纹，极为醒目。下体棕黄色，喉至上胸杂有黑色纵纹，腹中部灰色。虹膜橙黄色或黄色，上嘴橘色，下嘴橄榄黄色，跗蹠和趾黄褐色或浅角色。</w:t>
      </w:r>
    </w:p>
    <w:p w14:paraId="79288D34" w14:textId="77777777"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szCs w:val="24"/>
          <w:lang w:eastAsia="zh-CN"/>
        </w:rPr>
        <w:t>栖息于山丘的灌丛和村落附近的灌丛或竹林中，机敏而胆怯，常在林下的草丛中觅食，不善作远距离飞翔。雄鸟在繁殖期常单独藏匿在杂草及树枝间极善鸣啭，声音十分洪亮，歌声悠扬婉转，非常动听。杂食性，主要取食昆虫，特别在繁殖季节嗜食昆虫；兼食草籽、野果</w:t>
      </w:r>
      <w:r w:rsidRPr="00E67914">
        <w:rPr>
          <w:rFonts w:ascii="Times New Roman" w:hAnsi="Times New Roman"/>
          <w:sz w:val="24"/>
          <w:lang w:eastAsia="zh-CN"/>
        </w:rPr>
        <w:t>。</w:t>
      </w:r>
    </w:p>
    <w:p w14:paraId="23BDF376" w14:textId="77777777" w:rsidR="00A54A8A" w:rsidRPr="00E67914" w:rsidRDefault="00000000" w:rsidP="008752B7">
      <w:pPr>
        <w:spacing w:line="480" w:lineRule="exact"/>
        <w:ind w:firstLineChars="200" w:firstLine="482"/>
        <w:rPr>
          <w:rFonts w:ascii="Times New Roman" w:hAnsi="Times New Roman"/>
          <w:b/>
          <w:bCs/>
          <w:sz w:val="24"/>
          <w:lang w:eastAsia="zh-CN"/>
        </w:rPr>
      </w:pPr>
      <w:r w:rsidRPr="00E67914">
        <w:rPr>
          <w:rFonts w:ascii="Times New Roman" w:hAnsi="Times New Roman"/>
          <w:b/>
          <w:bCs/>
          <w:sz w:val="24"/>
          <w:lang w:eastAsia="zh-CN"/>
        </w:rPr>
        <w:t>3</w:t>
      </w:r>
      <w:r w:rsidRPr="00E67914">
        <w:rPr>
          <w:rFonts w:ascii="Times New Roman" w:hAnsi="Times New Roman"/>
          <w:b/>
          <w:bCs/>
          <w:sz w:val="24"/>
          <w:lang w:eastAsia="zh-CN"/>
        </w:rPr>
        <w:t>、项目评价范围内重要生境</w:t>
      </w:r>
    </w:p>
    <w:p w14:paraId="4931BB2D" w14:textId="77777777" w:rsidR="00A54A8A" w:rsidRPr="00E67914" w:rsidRDefault="00000000">
      <w:pPr>
        <w:spacing w:line="500" w:lineRule="exact"/>
        <w:ind w:left="60" w:right="100" w:firstLine="482"/>
        <w:rPr>
          <w:rFonts w:ascii="Times New Roman" w:hAnsi="Times New Roman"/>
          <w:sz w:val="24"/>
          <w:lang w:eastAsia="zh-CN"/>
        </w:rPr>
      </w:pPr>
      <w:r w:rsidRPr="00E67914">
        <w:rPr>
          <w:rFonts w:ascii="Times New Roman" w:hAnsi="Times New Roman"/>
          <w:sz w:val="24"/>
          <w:lang w:eastAsia="zh-CN"/>
        </w:rPr>
        <w:t>项目评价范围无重要生境分布。</w:t>
      </w:r>
    </w:p>
    <w:p w14:paraId="13E687DD" w14:textId="77777777" w:rsidR="00A54A8A" w:rsidRPr="00E67914" w:rsidRDefault="00000000" w:rsidP="008752B7">
      <w:pPr>
        <w:spacing w:line="480" w:lineRule="exact"/>
        <w:ind w:firstLineChars="200" w:firstLine="482"/>
        <w:rPr>
          <w:rFonts w:ascii="Times New Roman" w:hAnsi="Times New Roman"/>
          <w:b/>
          <w:bCs/>
          <w:sz w:val="24"/>
          <w:lang w:eastAsia="zh-CN"/>
        </w:rPr>
      </w:pPr>
      <w:r w:rsidRPr="00E67914">
        <w:rPr>
          <w:rFonts w:ascii="Times New Roman" w:hAnsi="Times New Roman"/>
          <w:b/>
          <w:bCs/>
          <w:sz w:val="24"/>
          <w:lang w:eastAsia="zh-CN"/>
        </w:rPr>
        <w:t>4</w:t>
      </w:r>
      <w:r w:rsidRPr="00E67914">
        <w:rPr>
          <w:rFonts w:ascii="Times New Roman" w:hAnsi="Times New Roman"/>
          <w:b/>
          <w:bCs/>
          <w:sz w:val="24"/>
          <w:lang w:eastAsia="zh-CN"/>
        </w:rPr>
        <w:t>、公益林分布情况</w:t>
      </w:r>
    </w:p>
    <w:p w14:paraId="0DF6ECF3" w14:textId="3B4A5E51" w:rsidR="00A54A8A" w:rsidRPr="00E67914" w:rsidRDefault="00000000">
      <w:pPr>
        <w:spacing w:line="500" w:lineRule="exact"/>
        <w:ind w:left="60" w:right="100" w:firstLine="482"/>
        <w:rPr>
          <w:rFonts w:ascii="Times New Roman" w:hAnsi="Times New Roman"/>
          <w:sz w:val="24"/>
          <w:szCs w:val="24"/>
          <w:lang w:eastAsia="zh-CN"/>
        </w:rPr>
      </w:pPr>
      <w:r w:rsidRPr="00E67914">
        <w:rPr>
          <w:rFonts w:ascii="Times New Roman" w:hAnsi="Times New Roman"/>
          <w:sz w:val="24"/>
          <w:szCs w:val="24"/>
          <w:lang w:eastAsia="zh-CN"/>
        </w:rPr>
        <w:t>根据项目评价范围与宣汉县林第一张图叠加分析，项目占地范围不涉及公益林，</w:t>
      </w:r>
      <w:r w:rsidR="005C1AD6" w:rsidRPr="00E67914">
        <w:rPr>
          <w:rFonts w:ascii="Times New Roman" w:hAnsi="Times New Roman"/>
          <w:sz w:val="24"/>
          <w:szCs w:val="24"/>
          <w:lang w:eastAsia="zh-CN"/>
        </w:rPr>
        <w:t>项目井场、</w:t>
      </w:r>
      <w:r w:rsidR="00E83AD7" w:rsidRPr="00E67914">
        <w:rPr>
          <w:rFonts w:ascii="Times New Roman" w:hAnsi="Times New Roman"/>
          <w:sz w:val="24"/>
          <w:szCs w:val="24"/>
          <w:lang w:eastAsia="zh-CN"/>
        </w:rPr>
        <w:t>放喷池、污水池、火炬区等周边</w:t>
      </w:r>
      <w:r w:rsidR="00E83AD7" w:rsidRPr="00E67914">
        <w:rPr>
          <w:rFonts w:ascii="Times New Roman" w:hAnsi="Times New Roman"/>
          <w:sz w:val="24"/>
          <w:szCs w:val="24"/>
          <w:lang w:eastAsia="zh-CN"/>
        </w:rPr>
        <w:t>200m</w:t>
      </w:r>
      <w:r w:rsidR="00E83AD7" w:rsidRPr="00E67914">
        <w:rPr>
          <w:rFonts w:ascii="Times New Roman" w:hAnsi="Times New Roman"/>
          <w:sz w:val="24"/>
          <w:szCs w:val="24"/>
          <w:lang w:eastAsia="zh-CN"/>
        </w:rPr>
        <w:t>范围内无公益林分布</w:t>
      </w:r>
      <w:r w:rsidRPr="00E67914">
        <w:rPr>
          <w:rFonts w:ascii="Times New Roman" w:hAnsi="Times New Roman"/>
          <w:sz w:val="24"/>
          <w:szCs w:val="24"/>
          <w:lang w:eastAsia="zh-CN"/>
        </w:rPr>
        <w:t>。</w:t>
      </w:r>
    </w:p>
    <w:p w14:paraId="0B1E28A8" w14:textId="77777777" w:rsidR="00A54A8A" w:rsidRPr="00E67914" w:rsidRDefault="00000000">
      <w:pPr>
        <w:numPr>
          <w:ilvl w:val="0"/>
          <w:numId w:val="6"/>
        </w:numPr>
        <w:spacing w:line="500" w:lineRule="exact"/>
        <w:ind w:right="100" w:firstLineChars="200" w:firstLine="482"/>
        <w:rPr>
          <w:rFonts w:ascii="Times New Roman" w:hAnsi="Times New Roman"/>
          <w:b/>
          <w:bCs/>
          <w:sz w:val="24"/>
          <w:szCs w:val="24"/>
          <w:lang w:eastAsia="zh-CN"/>
        </w:rPr>
      </w:pPr>
      <w:r w:rsidRPr="00E67914">
        <w:rPr>
          <w:rFonts w:ascii="Times New Roman" w:hAnsi="Times New Roman"/>
          <w:b/>
          <w:bCs/>
          <w:sz w:val="24"/>
          <w:szCs w:val="24"/>
          <w:lang w:eastAsia="zh-CN"/>
        </w:rPr>
        <w:t>天然林分布情况</w:t>
      </w:r>
    </w:p>
    <w:p w14:paraId="1F0A5DCB" w14:textId="1DB86022" w:rsidR="00A54A8A" w:rsidRPr="00E67914" w:rsidRDefault="00000000">
      <w:pPr>
        <w:spacing w:line="500" w:lineRule="exact"/>
        <w:ind w:left="60" w:right="100" w:firstLine="482"/>
        <w:rPr>
          <w:rFonts w:ascii="Times New Roman" w:hAnsi="Times New Roman"/>
          <w:bCs/>
          <w:sz w:val="24"/>
          <w:szCs w:val="24"/>
          <w:lang w:eastAsia="zh-CN"/>
        </w:rPr>
      </w:pPr>
      <w:r w:rsidRPr="00E67914">
        <w:rPr>
          <w:rFonts w:ascii="Times New Roman" w:hAnsi="Times New Roman"/>
          <w:sz w:val="24"/>
          <w:szCs w:val="24"/>
          <w:lang w:eastAsia="zh-CN"/>
        </w:rPr>
        <w:t>根据项目评价范围与宣汉县林第一张图叠加分析，项目占地范围不涉及天然林，</w:t>
      </w:r>
      <w:r w:rsidR="00E83AD7" w:rsidRPr="00E67914">
        <w:rPr>
          <w:rFonts w:ascii="Times New Roman" w:hAnsi="Times New Roman"/>
          <w:sz w:val="24"/>
          <w:szCs w:val="24"/>
          <w:lang w:eastAsia="zh-CN"/>
        </w:rPr>
        <w:t>项目井场、放喷池、污水池、火炬区等周边</w:t>
      </w:r>
      <w:r w:rsidR="00E83AD7" w:rsidRPr="00E67914">
        <w:rPr>
          <w:rFonts w:ascii="Times New Roman" w:hAnsi="Times New Roman"/>
          <w:sz w:val="24"/>
          <w:szCs w:val="24"/>
          <w:lang w:eastAsia="zh-CN"/>
        </w:rPr>
        <w:t>200m</w:t>
      </w:r>
      <w:r w:rsidR="00E83AD7" w:rsidRPr="00E67914">
        <w:rPr>
          <w:rFonts w:ascii="Times New Roman" w:hAnsi="Times New Roman"/>
          <w:sz w:val="24"/>
          <w:szCs w:val="24"/>
          <w:lang w:eastAsia="zh-CN"/>
        </w:rPr>
        <w:t>范围内无公益林分布</w:t>
      </w:r>
      <w:r w:rsidRPr="00E67914">
        <w:rPr>
          <w:rFonts w:ascii="Times New Roman" w:hAnsi="Times New Roman"/>
          <w:bCs/>
          <w:sz w:val="24"/>
          <w:szCs w:val="24"/>
          <w:lang w:eastAsia="zh-CN"/>
        </w:rPr>
        <w:t>。</w:t>
      </w:r>
    </w:p>
    <w:p w14:paraId="5251E713"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4.3.12</w:t>
      </w:r>
      <w:r w:rsidRPr="00E67914">
        <w:rPr>
          <w:rFonts w:ascii="Times New Roman" w:eastAsia="黑体" w:hAnsi="Times New Roman"/>
          <w:b w:val="0"/>
          <w:sz w:val="24"/>
          <w:szCs w:val="24"/>
          <w:lang w:eastAsia="zh-CN"/>
        </w:rPr>
        <w:t>项目所在区环境敏感区调查</w:t>
      </w:r>
    </w:p>
    <w:p w14:paraId="2B1AA875" w14:textId="77777777" w:rsidR="00A54A8A" w:rsidRPr="00E67914" w:rsidRDefault="00000000">
      <w:pPr>
        <w:adjustRightInd w:val="0"/>
        <w:snapToGrid w:val="0"/>
        <w:spacing w:line="360" w:lineRule="auto"/>
        <w:ind w:firstLineChars="200" w:firstLine="482"/>
        <w:jc w:val="both"/>
        <w:rPr>
          <w:rFonts w:ascii="Times New Roman" w:hAnsi="Times New Roman"/>
          <w:b/>
          <w:bCs/>
          <w:kern w:val="2"/>
          <w:sz w:val="24"/>
          <w:szCs w:val="24"/>
          <w:lang w:eastAsia="zh-CN"/>
        </w:rPr>
      </w:pPr>
      <w:r w:rsidRPr="00E67914">
        <w:rPr>
          <w:rFonts w:ascii="Times New Roman" w:hAnsi="Times New Roman"/>
          <w:b/>
          <w:bCs/>
          <w:kern w:val="2"/>
          <w:sz w:val="24"/>
          <w:szCs w:val="24"/>
          <w:lang w:eastAsia="zh-CN"/>
        </w:rPr>
        <w:t>1</w:t>
      </w:r>
      <w:r w:rsidRPr="00E67914">
        <w:rPr>
          <w:rFonts w:ascii="Times New Roman" w:hAnsi="Times New Roman"/>
          <w:b/>
          <w:bCs/>
          <w:kern w:val="2"/>
          <w:sz w:val="24"/>
          <w:szCs w:val="24"/>
          <w:lang w:eastAsia="zh-CN"/>
        </w:rPr>
        <w:t>、文物保护单位</w:t>
      </w:r>
    </w:p>
    <w:p w14:paraId="38BD6134"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本项目站场主要位于宣汉县境内乡镇，位于农村地区，根据调查，本项目站场及临时占地周边均不涉及文物保护单位。</w:t>
      </w:r>
    </w:p>
    <w:p w14:paraId="5446D36B" w14:textId="77777777" w:rsidR="00A54A8A" w:rsidRPr="00E67914" w:rsidRDefault="00000000">
      <w:pPr>
        <w:adjustRightInd w:val="0"/>
        <w:snapToGrid w:val="0"/>
        <w:spacing w:line="360" w:lineRule="auto"/>
        <w:ind w:firstLineChars="200" w:firstLine="482"/>
        <w:jc w:val="both"/>
        <w:rPr>
          <w:rFonts w:ascii="Times New Roman" w:hAnsi="Times New Roman"/>
          <w:b/>
          <w:bCs/>
          <w:kern w:val="2"/>
          <w:sz w:val="24"/>
          <w:szCs w:val="24"/>
          <w:lang w:eastAsia="zh-CN"/>
        </w:rPr>
      </w:pPr>
      <w:r w:rsidRPr="00E67914">
        <w:rPr>
          <w:rFonts w:ascii="Times New Roman" w:hAnsi="Times New Roman"/>
          <w:b/>
          <w:bCs/>
          <w:kern w:val="2"/>
          <w:sz w:val="24"/>
          <w:szCs w:val="24"/>
          <w:lang w:eastAsia="zh-CN"/>
        </w:rPr>
        <w:t>2</w:t>
      </w:r>
      <w:r w:rsidRPr="00E67914">
        <w:rPr>
          <w:rFonts w:ascii="Times New Roman" w:hAnsi="Times New Roman"/>
          <w:b/>
          <w:bCs/>
          <w:kern w:val="2"/>
          <w:sz w:val="24"/>
          <w:szCs w:val="24"/>
          <w:lang w:eastAsia="zh-CN"/>
        </w:rPr>
        <w:t>、饮用水源保护区</w:t>
      </w:r>
    </w:p>
    <w:p w14:paraId="3C298D4F"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根据《达州市人民政府关于划定万源市、宣汉县和大竹县乡镇及以下集中式饮用水水源地保护区的批复》（达市府函〔</w:t>
      </w:r>
      <w:r w:rsidRPr="00E67914">
        <w:rPr>
          <w:rFonts w:ascii="Times New Roman" w:hAnsi="Times New Roman"/>
          <w:bCs/>
          <w:kern w:val="2"/>
          <w:sz w:val="24"/>
          <w:szCs w:val="24"/>
          <w:lang w:eastAsia="zh-CN"/>
        </w:rPr>
        <w:t>2020</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124</w:t>
      </w:r>
      <w:r w:rsidRPr="00E67914">
        <w:rPr>
          <w:rFonts w:ascii="Times New Roman" w:hAnsi="Times New Roman"/>
          <w:bCs/>
          <w:kern w:val="2"/>
          <w:sz w:val="24"/>
          <w:szCs w:val="24"/>
          <w:lang w:eastAsia="zh-CN"/>
        </w:rPr>
        <w:t>号），本项目不涉及集中式及分散式饮用水源保护区。</w:t>
      </w:r>
    </w:p>
    <w:p w14:paraId="211ED695" w14:textId="77777777" w:rsidR="00A54A8A" w:rsidRPr="00E67914" w:rsidRDefault="00000000">
      <w:pPr>
        <w:adjustRightInd w:val="0"/>
        <w:snapToGrid w:val="0"/>
        <w:spacing w:line="360" w:lineRule="auto"/>
        <w:ind w:firstLineChars="200" w:firstLine="482"/>
        <w:jc w:val="both"/>
        <w:rPr>
          <w:rFonts w:ascii="Times New Roman" w:hAnsi="Times New Roman"/>
          <w:b/>
          <w:bCs/>
          <w:kern w:val="2"/>
          <w:sz w:val="24"/>
          <w:szCs w:val="24"/>
          <w:lang w:eastAsia="zh-CN"/>
        </w:rPr>
      </w:pPr>
      <w:r w:rsidRPr="00E67914">
        <w:rPr>
          <w:rFonts w:ascii="Times New Roman" w:hAnsi="Times New Roman"/>
          <w:b/>
          <w:bCs/>
          <w:kern w:val="2"/>
          <w:sz w:val="24"/>
          <w:szCs w:val="24"/>
          <w:lang w:eastAsia="zh-CN"/>
        </w:rPr>
        <w:t>3</w:t>
      </w:r>
      <w:r w:rsidRPr="00E67914">
        <w:rPr>
          <w:rFonts w:ascii="Times New Roman" w:hAnsi="Times New Roman"/>
          <w:b/>
          <w:bCs/>
          <w:kern w:val="2"/>
          <w:sz w:val="24"/>
          <w:szCs w:val="24"/>
          <w:lang w:eastAsia="zh-CN"/>
        </w:rPr>
        <w:t>、自然保护区及风景名胜区</w:t>
      </w:r>
    </w:p>
    <w:p w14:paraId="371AE586"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根据调查，本项目不涉及自然保护区及风景名胜区。</w:t>
      </w:r>
    </w:p>
    <w:p w14:paraId="1DE425E4" w14:textId="77777777" w:rsidR="00A54A8A" w:rsidRPr="00E67914" w:rsidRDefault="00A54A8A">
      <w:pPr>
        <w:adjustRightInd w:val="0"/>
        <w:snapToGrid w:val="0"/>
        <w:spacing w:line="360" w:lineRule="auto"/>
        <w:ind w:firstLineChars="200" w:firstLine="480"/>
        <w:jc w:val="both"/>
        <w:rPr>
          <w:rFonts w:ascii="Times New Roman" w:hAnsi="Times New Roman"/>
          <w:bCs/>
          <w:kern w:val="2"/>
          <w:sz w:val="24"/>
          <w:szCs w:val="24"/>
          <w:lang w:eastAsia="zh-CN"/>
        </w:rPr>
      </w:pPr>
    </w:p>
    <w:bookmarkEnd w:id="123"/>
    <w:p w14:paraId="548E57FF" w14:textId="77777777" w:rsidR="00A54A8A" w:rsidRPr="00E67914" w:rsidRDefault="00A54A8A">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A54A8A" w:rsidRPr="00E67914">
          <w:pgSz w:w="11910" w:h="16840"/>
          <w:pgMar w:top="1440" w:right="1800" w:bottom="1440" w:left="1800" w:header="1213" w:footer="635" w:gutter="0"/>
          <w:cols w:space="720"/>
        </w:sectPr>
      </w:pPr>
    </w:p>
    <w:p w14:paraId="73D2A601" w14:textId="77777777" w:rsidR="00A54A8A" w:rsidRPr="00E67914" w:rsidRDefault="00000000">
      <w:pPr>
        <w:pStyle w:val="1"/>
        <w:adjustRightInd w:val="0"/>
        <w:snapToGrid w:val="0"/>
        <w:spacing w:beforeLines="200" w:before="652" w:after="0" w:line="480" w:lineRule="auto"/>
        <w:jc w:val="center"/>
        <w:rPr>
          <w:rFonts w:ascii="Times New Roman" w:eastAsia="黑体" w:hAnsi="Times New Roman"/>
          <w:b w:val="0"/>
          <w:sz w:val="28"/>
          <w:szCs w:val="28"/>
          <w:lang w:eastAsia="zh-CN"/>
        </w:rPr>
      </w:pPr>
      <w:bookmarkStart w:id="129" w:name="_Toc148654229"/>
      <w:r w:rsidRPr="00E67914">
        <w:rPr>
          <w:rFonts w:ascii="Times New Roman" w:eastAsia="黑体" w:hAnsi="Times New Roman"/>
          <w:b w:val="0"/>
          <w:sz w:val="28"/>
          <w:szCs w:val="28"/>
          <w:lang w:eastAsia="zh-CN"/>
        </w:rPr>
        <w:lastRenderedPageBreak/>
        <w:t>5</w:t>
      </w:r>
      <w:r w:rsidRPr="00E67914">
        <w:rPr>
          <w:rFonts w:ascii="Times New Roman" w:eastAsia="黑体" w:hAnsi="Times New Roman"/>
          <w:b w:val="0"/>
          <w:sz w:val="28"/>
          <w:szCs w:val="28"/>
          <w:lang w:eastAsia="zh-CN"/>
        </w:rPr>
        <w:t>环境影响预测与评价</w:t>
      </w:r>
      <w:bookmarkEnd w:id="129"/>
    </w:p>
    <w:p w14:paraId="7337626E" w14:textId="77777777" w:rsidR="00A54A8A" w:rsidRPr="00E67914" w:rsidRDefault="00000000">
      <w:pPr>
        <w:pStyle w:val="2"/>
        <w:ind w:firstLine="480"/>
        <w:rPr>
          <w:szCs w:val="24"/>
          <w:lang w:eastAsia="zh-CN"/>
        </w:rPr>
      </w:pPr>
      <w:bookmarkStart w:id="130" w:name="_bookmark28"/>
      <w:bookmarkStart w:id="131" w:name="5.1施工期环境影响分析"/>
      <w:bookmarkStart w:id="132" w:name="_Toc148654230"/>
      <w:bookmarkEnd w:id="130"/>
      <w:bookmarkEnd w:id="131"/>
      <w:r w:rsidRPr="00E67914">
        <w:rPr>
          <w:szCs w:val="24"/>
          <w:lang w:eastAsia="zh-CN"/>
        </w:rPr>
        <w:t>5.1</w:t>
      </w:r>
      <w:r w:rsidRPr="00E67914">
        <w:rPr>
          <w:szCs w:val="24"/>
          <w:lang w:eastAsia="zh-CN"/>
        </w:rPr>
        <w:t>施工期环境影响分析</w:t>
      </w:r>
      <w:bookmarkEnd w:id="132"/>
    </w:p>
    <w:p w14:paraId="2EC80FB9"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5.1.1</w:t>
      </w:r>
      <w:r w:rsidRPr="00E67914">
        <w:rPr>
          <w:rFonts w:ascii="Times New Roman" w:eastAsia="黑体" w:hAnsi="Times New Roman"/>
          <w:b w:val="0"/>
          <w:sz w:val="24"/>
          <w:szCs w:val="24"/>
          <w:lang w:eastAsia="zh-CN"/>
        </w:rPr>
        <w:t>施工期生态环境影响分析</w:t>
      </w:r>
    </w:p>
    <w:p w14:paraId="4C0FE620"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5.1.1.1</w:t>
      </w:r>
      <w:r w:rsidRPr="00E67914">
        <w:rPr>
          <w:rFonts w:ascii="Times New Roman" w:hAnsi="Times New Roman"/>
          <w:b/>
          <w:bCs/>
          <w:sz w:val="24"/>
          <w:szCs w:val="24"/>
          <w:lang w:eastAsia="zh-CN"/>
        </w:rPr>
        <w:t>对土地利用类型的影响</w:t>
      </w:r>
    </w:p>
    <w:p w14:paraId="18FC4320" w14:textId="2F993B14" w:rsidR="00A54A8A" w:rsidRPr="00E67914" w:rsidRDefault="007F6FE5">
      <w:pPr>
        <w:spacing w:line="360" w:lineRule="auto"/>
        <w:ind w:firstLineChars="200" w:firstLine="480"/>
        <w:rPr>
          <w:rFonts w:ascii="Times New Roman" w:hAnsi="Times New Roman"/>
          <w:sz w:val="24"/>
          <w:lang w:eastAsia="zh-CN"/>
        </w:rPr>
      </w:pPr>
      <w:r w:rsidRPr="00E67914">
        <w:rPr>
          <w:rFonts w:ascii="Times New Roman" w:hAnsi="Times New Roman"/>
          <w:bCs/>
          <w:sz w:val="24"/>
          <w:lang w:eastAsia="zh-CN"/>
        </w:rPr>
        <w:t>本项目占地主要分为四个部分，新普陆页</w:t>
      </w:r>
      <w:r w:rsidRPr="00E67914">
        <w:rPr>
          <w:rFonts w:ascii="Times New Roman" w:hAnsi="Times New Roman"/>
          <w:bCs/>
          <w:sz w:val="24"/>
          <w:lang w:eastAsia="zh-CN"/>
        </w:rPr>
        <w:t>2</w:t>
      </w:r>
      <w:r w:rsidRPr="00E67914">
        <w:rPr>
          <w:rFonts w:ascii="Times New Roman" w:hAnsi="Times New Roman"/>
          <w:bCs/>
          <w:sz w:val="24"/>
          <w:lang w:eastAsia="zh-CN"/>
        </w:rPr>
        <w:t>井场、原普陆页</w:t>
      </w:r>
      <w:r w:rsidRPr="00E67914">
        <w:rPr>
          <w:rFonts w:ascii="Times New Roman" w:hAnsi="Times New Roman"/>
          <w:bCs/>
          <w:sz w:val="24"/>
          <w:lang w:eastAsia="zh-CN"/>
        </w:rPr>
        <w:t>2</w:t>
      </w:r>
      <w:r w:rsidRPr="00E67914">
        <w:rPr>
          <w:rFonts w:ascii="Times New Roman" w:hAnsi="Times New Roman"/>
          <w:bCs/>
          <w:sz w:val="24"/>
          <w:lang w:eastAsia="zh-CN"/>
        </w:rPr>
        <w:t>井场（普陆页</w:t>
      </w:r>
      <w:r w:rsidRPr="00E67914">
        <w:rPr>
          <w:rFonts w:ascii="Times New Roman" w:hAnsi="Times New Roman"/>
          <w:bCs/>
          <w:sz w:val="24"/>
          <w:lang w:eastAsia="zh-CN"/>
        </w:rPr>
        <w:t>2</w:t>
      </w:r>
      <w:r w:rsidRPr="00E67914">
        <w:rPr>
          <w:rFonts w:ascii="Times New Roman" w:hAnsi="Times New Roman"/>
          <w:bCs/>
          <w:sz w:val="24"/>
          <w:lang w:eastAsia="zh-CN"/>
        </w:rPr>
        <w:t>试采站）、普陆页</w:t>
      </w:r>
      <w:r w:rsidRPr="00E67914">
        <w:rPr>
          <w:rFonts w:ascii="Times New Roman" w:hAnsi="Times New Roman"/>
          <w:bCs/>
          <w:sz w:val="24"/>
          <w:lang w:eastAsia="zh-CN"/>
        </w:rPr>
        <w:t>2</w:t>
      </w:r>
      <w:r w:rsidRPr="00E67914">
        <w:rPr>
          <w:rFonts w:ascii="Times New Roman" w:hAnsi="Times New Roman"/>
          <w:bCs/>
          <w:sz w:val="24"/>
          <w:lang w:eastAsia="zh-CN"/>
        </w:rPr>
        <w:t>井场到普陆页</w:t>
      </w:r>
      <w:r w:rsidRPr="00E67914">
        <w:rPr>
          <w:rFonts w:ascii="Times New Roman" w:hAnsi="Times New Roman"/>
          <w:bCs/>
          <w:sz w:val="24"/>
          <w:lang w:eastAsia="zh-CN"/>
        </w:rPr>
        <w:t>2</w:t>
      </w:r>
      <w:r w:rsidRPr="00E67914">
        <w:rPr>
          <w:rFonts w:ascii="Times New Roman" w:hAnsi="Times New Roman"/>
          <w:bCs/>
          <w:sz w:val="24"/>
          <w:lang w:eastAsia="zh-CN"/>
        </w:rPr>
        <w:t>试采站管线、普陆页</w:t>
      </w:r>
      <w:r w:rsidRPr="00E67914">
        <w:rPr>
          <w:rFonts w:ascii="Times New Roman" w:hAnsi="Times New Roman"/>
          <w:bCs/>
          <w:sz w:val="24"/>
          <w:lang w:eastAsia="zh-CN"/>
        </w:rPr>
        <w:t>2</w:t>
      </w:r>
      <w:r w:rsidRPr="00E67914">
        <w:rPr>
          <w:rFonts w:ascii="Times New Roman" w:hAnsi="Times New Roman"/>
          <w:bCs/>
          <w:sz w:val="24"/>
          <w:lang w:eastAsia="zh-CN"/>
        </w:rPr>
        <w:t>试采站至</w:t>
      </w:r>
      <w:r w:rsidRPr="00E67914">
        <w:rPr>
          <w:rFonts w:ascii="Times New Roman" w:hAnsi="Times New Roman"/>
          <w:bCs/>
          <w:sz w:val="24"/>
          <w:lang w:eastAsia="zh-CN"/>
        </w:rPr>
        <w:t>P302</w:t>
      </w:r>
      <w:r w:rsidRPr="00E67914">
        <w:rPr>
          <w:rFonts w:ascii="Times New Roman" w:hAnsi="Times New Roman"/>
          <w:bCs/>
          <w:sz w:val="24"/>
          <w:lang w:eastAsia="zh-CN"/>
        </w:rPr>
        <w:t>集气站的外输管线。上述占地均为临时占地</w:t>
      </w:r>
      <w:r w:rsidRPr="00E67914">
        <w:rPr>
          <w:rFonts w:ascii="Times New Roman" w:hAnsi="Times New Roman"/>
          <w:sz w:val="24"/>
          <w:lang w:eastAsia="zh-CN"/>
        </w:rPr>
        <w:t>。</w:t>
      </w:r>
    </w:p>
    <w:p w14:paraId="20A7F2E0" w14:textId="3616E6BD" w:rsidR="00A54A8A" w:rsidRPr="00E67914" w:rsidRDefault="00000000">
      <w:pPr>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由于施工占地将会改变占地区土地利用方式，减少地表植被。占地主要以</w:t>
      </w:r>
      <w:r w:rsidR="007F6FE5" w:rsidRPr="00E67914">
        <w:rPr>
          <w:rFonts w:ascii="Times New Roman" w:hAnsi="Times New Roman"/>
          <w:sz w:val="24"/>
          <w:lang w:eastAsia="zh-CN"/>
        </w:rPr>
        <w:t>新增占地为主，新增占地面积约</w:t>
      </w:r>
      <w:r w:rsidR="007F6FE5" w:rsidRPr="00E67914">
        <w:rPr>
          <w:rFonts w:ascii="Times New Roman" w:hAnsi="Times New Roman"/>
          <w:sz w:val="24"/>
          <w:lang w:eastAsia="zh-CN"/>
        </w:rPr>
        <w:t>21769m</w:t>
      </w:r>
      <w:r w:rsidR="007F6FE5" w:rsidRPr="00E67914">
        <w:rPr>
          <w:rFonts w:ascii="Times New Roman" w:hAnsi="Times New Roman"/>
          <w:sz w:val="24"/>
          <w:vertAlign w:val="superscript"/>
          <w:lang w:eastAsia="zh-CN"/>
        </w:rPr>
        <w:t>2</w:t>
      </w:r>
      <w:r w:rsidR="007F6FE5" w:rsidRPr="00E67914">
        <w:rPr>
          <w:rFonts w:ascii="Times New Roman" w:hAnsi="Times New Roman"/>
          <w:sz w:val="24"/>
          <w:lang w:eastAsia="zh-CN"/>
        </w:rPr>
        <w:t>，植被类型为耕地与林地植被，利用原有占地约</w:t>
      </w:r>
      <w:r w:rsidR="007F6FE5" w:rsidRPr="00E67914">
        <w:rPr>
          <w:rFonts w:ascii="Times New Roman" w:hAnsi="Times New Roman"/>
          <w:sz w:val="24"/>
          <w:lang w:eastAsia="zh-CN"/>
        </w:rPr>
        <w:t>12219m</w:t>
      </w:r>
      <w:r w:rsidR="007F6FE5" w:rsidRPr="00E67914">
        <w:rPr>
          <w:rFonts w:ascii="Times New Roman" w:hAnsi="Times New Roman"/>
          <w:sz w:val="24"/>
          <w:vertAlign w:val="superscript"/>
          <w:lang w:eastAsia="zh-CN"/>
        </w:rPr>
        <w:t>2</w:t>
      </w:r>
      <w:r w:rsidR="007F6FE5" w:rsidRPr="00E67914">
        <w:rPr>
          <w:rFonts w:ascii="Times New Roman" w:hAnsi="Times New Roman"/>
          <w:sz w:val="24"/>
          <w:lang w:eastAsia="zh-CN"/>
        </w:rPr>
        <w:t>。</w:t>
      </w:r>
      <w:r w:rsidRPr="00E67914">
        <w:rPr>
          <w:rFonts w:ascii="Times New Roman" w:hAnsi="Times New Roman"/>
          <w:sz w:val="24"/>
          <w:lang w:eastAsia="zh-CN"/>
        </w:rPr>
        <w:t>新增占地将使占用的地表植被被剥离，在一定时间内改变土地利用的类型，但施工时间较短，施工结束后</w:t>
      </w:r>
      <w:r w:rsidR="007F6FE5" w:rsidRPr="00E67914">
        <w:rPr>
          <w:rFonts w:ascii="Times New Roman" w:hAnsi="Times New Roman"/>
          <w:sz w:val="24"/>
          <w:lang w:eastAsia="zh-CN"/>
        </w:rPr>
        <w:t>管道施工临时占地等</w:t>
      </w:r>
      <w:r w:rsidRPr="00E67914">
        <w:rPr>
          <w:rFonts w:ascii="Times New Roman" w:hAnsi="Times New Roman"/>
          <w:sz w:val="24"/>
          <w:lang w:eastAsia="zh-CN"/>
        </w:rPr>
        <w:t>将采取土地整平、植被恢复等措施，不会长期改变土地地类，综合来看，整体上不会改变评价区内现有的土地利用类型的基本格局。</w:t>
      </w:r>
    </w:p>
    <w:p w14:paraId="661D4374"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由于本项目在建设期间会剥离表土、产生一定的裸露地面，出现地表植被破坏，施工区较易产生水土流失等特点，在项目建设中应当尽可能减少对土地的占用，严格在征地红线范围内施工，最大限度节约土地资源。</w:t>
      </w:r>
    </w:p>
    <w:p w14:paraId="0BB1AF4E"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5.1.1.2</w:t>
      </w:r>
      <w:r w:rsidRPr="00E67914">
        <w:rPr>
          <w:rFonts w:ascii="Times New Roman" w:hAnsi="Times New Roman"/>
          <w:b/>
          <w:bCs/>
          <w:sz w:val="24"/>
          <w:szCs w:val="24"/>
          <w:lang w:eastAsia="zh-CN"/>
        </w:rPr>
        <w:t>对植被及生物量的影响</w:t>
      </w:r>
    </w:p>
    <w:p w14:paraId="3A9F07F9"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）项目占地</w:t>
      </w:r>
    </w:p>
    <w:p w14:paraId="02019D9F" w14:textId="279EA346"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项目新增占地范围内不涉及国家保护野生植物和四川省重点保护野生植物。</w:t>
      </w:r>
    </w:p>
    <w:p w14:paraId="3C93B964" w14:textId="22483FB7" w:rsidR="007F6FE5"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项目占地施工损毁的植被类型属于评价范围内普遍分布的类型，主要有</w:t>
      </w:r>
      <w:r w:rsidR="007F6FE5" w:rsidRPr="00E67914">
        <w:rPr>
          <w:rFonts w:ascii="Times New Roman" w:hAnsi="Times New Roman"/>
          <w:sz w:val="24"/>
          <w:lang w:eastAsia="zh-CN"/>
        </w:rPr>
        <w:t>麻栎、青冈、栓皮栎等森林植被，野桐、盐肤木、马桑、黄荆、火棘、芒、白茅、蕨、芒萁等为主的灌草丛植被和水稻、玉米、红苕、棉花、花生、小麦、马铃薯、豌豆等农作物。</w:t>
      </w:r>
      <w:r w:rsidR="00EA4930" w:rsidRPr="00E67914">
        <w:rPr>
          <w:rFonts w:ascii="Times New Roman" w:hAnsi="Times New Roman"/>
          <w:sz w:val="24"/>
          <w:lang w:eastAsia="zh-CN"/>
        </w:rPr>
        <w:t>项目管道施工采取分段开挖的施工工艺，及时进行回填与复垦复植。项目放喷池依托原普陆页</w:t>
      </w:r>
      <w:r w:rsidR="00EA4930" w:rsidRPr="00E67914">
        <w:rPr>
          <w:rFonts w:ascii="Times New Roman" w:hAnsi="Times New Roman"/>
          <w:sz w:val="24"/>
          <w:lang w:eastAsia="zh-CN"/>
        </w:rPr>
        <w:t>2</w:t>
      </w:r>
      <w:r w:rsidR="00EA4930" w:rsidRPr="00E67914">
        <w:rPr>
          <w:rFonts w:ascii="Times New Roman" w:hAnsi="Times New Roman"/>
          <w:sz w:val="24"/>
          <w:lang w:eastAsia="zh-CN"/>
        </w:rPr>
        <w:t>井场已建放喷池，生活区布设在原普陆页</w:t>
      </w:r>
      <w:r w:rsidR="00EA4930" w:rsidRPr="00E67914">
        <w:rPr>
          <w:rFonts w:ascii="Times New Roman" w:hAnsi="Times New Roman"/>
          <w:sz w:val="24"/>
          <w:lang w:eastAsia="zh-CN"/>
        </w:rPr>
        <w:t>2</w:t>
      </w:r>
      <w:r w:rsidR="00EA4930" w:rsidRPr="00E67914">
        <w:rPr>
          <w:rFonts w:ascii="Times New Roman" w:hAnsi="Times New Roman"/>
          <w:sz w:val="24"/>
          <w:lang w:eastAsia="zh-CN"/>
        </w:rPr>
        <w:t>井场内，尽量减少了占地，降低了对生态环境的影响。</w:t>
      </w:r>
    </w:p>
    <w:p w14:paraId="5CAADEF3"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）人员进驻及施工活动</w:t>
      </w:r>
    </w:p>
    <w:p w14:paraId="2238082A"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在项目建设期间，大量人员和车辆、机械的进场和建设活动将给施工区的生态环</w:t>
      </w:r>
      <w:r w:rsidRPr="00E67914">
        <w:rPr>
          <w:rFonts w:ascii="Times New Roman" w:hAnsi="Times New Roman"/>
          <w:sz w:val="24"/>
          <w:lang w:eastAsia="zh-CN"/>
        </w:rPr>
        <w:lastRenderedPageBreak/>
        <w:t>境造成一定的影响。施工人员的活动等都会对生活在本区域内的植被产生影响，主要表现在施工人员活动产生的废水、废渣、废气等废弃物对生态环境的影响等方面。施工区表土剥离、废水处理设施等施工活动对生态环境的影响最大，但是由于施工是临时的，在施工结束后随着临时用地区土地整平、植被更新恢复措施的实施，其影响会得到逐步恢复的。</w:t>
      </w:r>
    </w:p>
    <w:p w14:paraId="5A9DFEB6" w14:textId="67EBFE13"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由上可见，项目施工占地</w:t>
      </w:r>
      <w:r w:rsidR="00EA4930" w:rsidRPr="00E67914">
        <w:rPr>
          <w:rFonts w:ascii="Times New Roman" w:hAnsi="Times New Roman"/>
          <w:sz w:val="24"/>
          <w:lang w:eastAsia="zh-CN"/>
        </w:rPr>
        <w:t>3.3988</w:t>
      </w:r>
      <w:r w:rsidRPr="00E67914">
        <w:rPr>
          <w:rFonts w:ascii="Times New Roman" w:hAnsi="Times New Roman"/>
          <w:sz w:val="24"/>
          <w:lang w:eastAsia="zh-CN"/>
        </w:rPr>
        <w:t>hm</w:t>
      </w:r>
      <w:r w:rsidRPr="00E67914">
        <w:rPr>
          <w:rFonts w:ascii="Times New Roman" w:hAnsi="Times New Roman"/>
          <w:sz w:val="24"/>
          <w:vertAlign w:val="superscript"/>
          <w:lang w:eastAsia="zh-CN"/>
        </w:rPr>
        <w:t>2</w:t>
      </w:r>
      <w:r w:rsidRPr="00E67914">
        <w:rPr>
          <w:rFonts w:ascii="Times New Roman" w:hAnsi="Times New Roman"/>
          <w:sz w:val="24"/>
          <w:lang w:eastAsia="zh-CN"/>
        </w:rPr>
        <w:t>，使得在栖息在这片土上的生物资源受到影响，部分</w:t>
      </w:r>
      <w:r w:rsidR="00EA4930" w:rsidRPr="00E67914">
        <w:rPr>
          <w:rFonts w:ascii="Times New Roman" w:hAnsi="Times New Roman"/>
          <w:sz w:val="24"/>
          <w:lang w:eastAsia="zh-CN"/>
        </w:rPr>
        <w:t>林地、</w:t>
      </w:r>
      <w:r w:rsidRPr="00E67914">
        <w:rPr>
          <w:rFonts w:ascii="Times New Roman" w:hAnsi="Times New Roman"/>
          <w:sz w:val="24"/>
          <w:lang w:eastAsia="zh-CN"/>
        </w:rPr>
        <w:t>草地</w:t>
      </w:r>
      <w:r w:rsidR="00EA4930" w:rsidRPr="00E67914">
        <w:rPr>
          <w:rFonts w:ascii="Times New Roman" w:hAnsi="Times New Roman"/>
          <w:sz w:val="24"/>
          <w:lang w:eastAsia="zh-CN"/>
        </w:rPr>
        <w:t>与耕地</w:t>
      </w:r>
      <w:r w:rsidRPr="00E67914">
        <w:rPr>
          <w:rFonts w:ascii="Times New Roman" w:hAnsi="Times New Roman"/>
          <w:sz w:val="24"/>
          <w:lang w:eastAsia="zh-CN"/>
        </w:rPr>
        <w:t>植被因生境发生改变而死亡，以此为栖息地的其他动物、微生物则失去原栖息场所，导致动、植物资源量减少，生物量受到一定影响。但项目占地相对整个宣汉县比例则极小，不会对该地区造成较大影响。</w:t>
      </w:r>
    </w:p>
    <w:p w14:paraId="7A416295" w14:textId="345263B3"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尽管如此，本报告仍然建议，在项目实施过程中通过优化施工布置，最大程度减少项目建设造成的植被资源损失，尽量减少对评价区</w:t>
      </w:r>
      <w:r w:rsidR="00EA4930" w:rsidRPr="00E67914">
        <w:rPr>
          <w:rFonts w:ascii="Times New Roman" w:hAnsi="Times New Roman"/>
          <w:sz w:val="24"/>
          <w:lang w:eastAsia="zh-CN"/>
        </w:rPr>
        <w:t>森林、</w:t>
      </w:r>
      <w:r w:rsidRPr="00E67914">
        <w:rPr>
          <w:rFonts w:ascii="Times New Roman" w:hAnsi="Times New Roman"/>
          <w:sz w:val="24"/>
          <w:lang w:eastAsia="zh-CN"/>
        </w:rPr>
        <w:t>灌草丛</w:t>
      </w:r>
      <w:r w:rsidR="00EA4930" w:rsidRPr="00E67914">
        <w:rPr>
          <w:rFonts w:ascii="Times New Roman" w:hAnsi="Times New Roman"/>
          <w:sz w:val="24"/>
          <w:lang w:eastAsia="zh-CN"/>
        </w:rPr>
        <w:t>、耕地</w:t>
      </w:r>
      <w:r w:rsidRPr="00E67914">
        <w:rPr>
          <w:rFonts w:ascii="Times New Roman" w:hAnsi="Times New Roman"/>
          <w:sz w:val="24"/>
          <w:lang w:eastAsia="zh-CN"/>
        </w:rPr>
        <w:t>生态系统的影响。</w:t>
      </w:r>
    </w:p>
    <w:p w14:paraId="396FDF7F"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5.1.1.3</w:t>
      </w:r>
      <w:r w:rsidRPr="00E67914">
        <w:rPr>
          <w:rFonts w:ascii="Times New Roman" w:hAnsi="Times New Roman"/>
          <w:b/>
          <w:bCs/>
          <w:sz w:val="24"/>
          <w:szCs w:val="24"/>
          <w:lang w:eastAsia="zh-CN"/>
        </w:rPr>
        <w:t>对景观生态的影响分析</w:t>
      </w:r>
    </w:p>
    <w:p w14:paraId="13DDDE3C" w14:textId="77777777" w:rsidR="00A54A8A" w:rsidRPr="00E67914" w:rsidRDefault="00000000">
      <w:pPr>
        <w:widowControl w:val="0"/>
        <w:adjustRightInd w:val="0"/>
        <w:snapToGrid w:val="0"/>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）对自然生态体系稳定性的影响</w:t>
      </w:r>
    </w:p>
    <w:p w14:paraId="41A36822"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恢复稳定性影响分析</w:t>
      </w:r>
    </w:p>
    <w:p w14:paraId="34DEAD01" w14:textId="24ED6B3F" w:rsidR="00A54A8A" w:rsidRPr="00E67914" w:rsidRDefault="00000000" w:rsidP="00EA4930">
      <w:pPr>
        <w:widowControl w:val="0"/>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对景观生态体系稳定状况的影响可以从恢复稳定性和阻抗稳定性两方面进行分析。恢复稳定性的度量通常采取对植被生物量进行度量的方法进行度量。项目建设会使评价区内自然生态体系的植被生物总量减少，评价范围域内景观生态体系有一定影响</w:t>
      </w:r>
      <w:r w:rsidR="00243180" w:rsidRPr="00E67914">
        <w:rPr>
          <w:rFonts w:ascii="Times New Roman" w:hAnsi="Times New Roman"/>
          <w:sz w:val="24"/>
          <w:lang w:eastAsia="zh-CN"/>
        </w:rPr>
        <w:t>，但影响较小</w:t>
      </w:r>
      <w:r w:rsidRPr="00E67914">
        <w:rPr>
          <w:rFonts w:ascii="Times New Roman" w:hAnsi="Times New Roman"/>
          <w:sz w:val="24"/>
          <w:lang w:eastAsia="zh-CN"/>
        </w:rPr>
        <w:t>。</w:t>
      </w:r>
    </w:p>
    <w:p w14:paraId="5D9FD23C"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阻抗稳定性影响分析</w:t>
      </w:r>
    </w:p>
    <w:p w14:paraId="57511D97" w14:textId="0E66AA39"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占地损失的自然物种</w:t>
      </w:r>
      <w:r w:rsidR="00EA4930" w:rsidRPr="00E67914">
        <w:rPr>
          <w:rFonts w:ascii="Times New Roman" w:hAnsi="Times New Roman"/>
          <w:sz w:val="24"/>
          <w:lang w:eastAsia="zh-CN"/>
        </w:rPr>
        <w:t>麻栎</w:t>
      </w:r>
      <w:r w:rsidR="00EA4930" w:rsidRPr="00E67914">
        <w:rPr>
          <w:rFonts w:ascii="Times New Roman" w:hAnsi="Times New Roman"/>
          <w:sz w:val="24"/>
          <w:lang w:eastAsia="zh-CN"/>
        </w:rPr>
        <w:t>+</w:t>
      </w:r>
      <w:r w:rsidR="00EA4930" w:rsidRPr="00E67914">
        <w:rPr>
          <w:rFonts w:ascii="Times New Roman" w:hAnsi="Times New Roman"/>
          <w:sz w:val="24"/>
          <w:lang w:eastAsia="zh-CN"/>
        </w:rPr>
        <w:t>青冈</w:t>
      </w:r>
      <w:r w:rsidR="00EA4930" w:rsidRPr="00E67914">
        <w:rPr>
          <w:rFonts w:ascii="Times New Roman" w:hAnsi="Times New Roman"/>
          <w:sz w:val="24"/>
          <w:lang w:eastAsia="zh-CN"/>
        </w:rPr>
        <w:t>+</w:t>
      </w:r>
      <w:r w:rsidR="00EA4930" w:rsidRPr="00E67914">
        <w:rPr>
          <w:rFonts w:ascii="Times New Roman" w:hAnsi="Times New Roman"/>
          <w:sz w:val="24"/>
          <w:lang w:eastAsia="zh-CN"/>
        </w:rPr>
        <w:t>栓皮栎群系、盐肤木灌丛灌丛、马桑</w:t>
      </w:r>
      <w:r w:rsidR="00EA4930" w:rsidRPr="00E67914">
        <w:rPr>
          <w:rFonts w:ascii="Times New Roman" w:hAnsi="Times New Roman"/>
          <w:sz w:val="24"/>
          <w:lang w:eastAsia="zh-CN"/>
        </w:rPr>
        <w:t>+</w:t>
      </w:r>
      <w:r w:rsidR="00EA4930" w:rsidRPr="00E67914">
        <w:rPr>
          <w:rFonts w:ascii="Times New Roman" w:hAnsi="Times New Roman"/>
          <w:sz w:val="24"/>
          <w:lang w:eastAsia="zh-CN"/>
        </w:rPr>
        <w:t>黄荆</w:t>
      </w:r>
      <w:r w:rsidR="00EA4930" w:rsidRPr="00E67914">
        <w:rPr>
          <w:rFonts w:ascii="Times New Roman" w:hAnsi="Times New Roman"/>
          <w:sz w:val="24"/>
          <w:lang w:eastAsia="zh-CN"/>
        </w:rPr>
        <w:t>+</w:t>
      </w:r>
      <w:r w:rsidR="00EA4930" w:rsidRPr="00E67914">
        <w:rPr>
          <w:rFonts w:ascii="Times New Roman" w:hAnsi="Times New Roman"/>
          <w:sz w:val="24"/>
          <w:lang w:eastAsia="zh-CN"/>
        </w:rPr>
        <w:t>火棘灌丛群系、芒</w:t>
      </w:r>
      <w:r w:rsidR="00EA4930" w:rsidRPr="00E67914">
        <w:rPr>
          <w:rFonts w:ascii="Times New Roman" w:hAnsi="Times New Roman"/>
          <w:sz w:val="24"/>
          <w:lang w:eastAsia="zh-CN"/>
        </w:rPr>
        <w:t>+</w:t>
      </w:r>
      <w:r w:rsidR="00EA4930" w:rsidRPr="00E67914">
        <w:rPr>
          <w:rFonts w:ascii="Times New Roman" w:hAnsi="Times New Roman"/>
          <w:sz w:val="24"/>
          <w:lang w:eastAsia="zh-CN"/>
        </w:rPr>
        <w:t>白茅草丛群系、</w:t>
      </w:r>
      <w:r w:rsidR="0095790E" w:rsidRPr="00E67914">
        <w:rPr>
          <w:rFonts w:ascii="Times New Roman" w:hAnsi="Times New Roman"/>
          <w:sz w:val="24"/>
          <w:lang w:eastAsia="zh-CN"/>
        </w:rPr>
        <w:t>水稻</w:t>
      </w:r>
      <w:r w:rsidR="0095790E" w:rsidRPr="00E67914">
        <w:rPr>
          <w:rFonts w:ascii="Times New Roman" w:hAnsi="Times New Roman"/>
          <w:sz w:val="24"/>
          <w:lang w:eastAsia="zh-CN"/>
        </w:rPr>
        <w:t>+</w:t>
      </w:r>
      <w:r w:rsidR="0095790E" w:rsidRPr="00E67914">
        <w:rPr>
          <w:rFonts w:ascii="Times New Roman" w:hAnsi="Times New Roman"/>
          <w:sz w:val="24"/>
          <w:lang w:eastAsia="zh-CN"/>
        </w:rPr>
        <w:t>玉米</w:t>
      </w:r>
      <w:r w:rsidR="0095790E" w:rsidRPr="00E67914">
        <w:rPr>
          <w:rFonts w:ascii="Times New Roman" w:hAnsi="Times New Roman"/>
          <w:sz w:val="24"/>
          <w:lang w:eastAsia="zh-CN"/>
        </w:rPr>
        <w:t>+</w:t>
      </w:r>
      <w:r w:rsidR="0095790E" w:rsidRPr="00E67914">
        <w:rPr>
          <w:rFonts w:ascii="Times New Roman" w:hAnsi="Times New Roman"/>
          <w:sz w:val="24"/>
          <w:lang w:eastAsia="zh-CN"/>
        </w:rPr>
        <w:t>花生</w:t>
      </w:r>
      <w:r w:rsidR="0095790E" w:rsidRPr="00E67914">
        <w:rPr>
          <w:rFonts w:ascii="Times New Roman" w:hAnsi="Times New Roman"/>
          <w:sz w:val="24"/>
          <w:lang w:eastAsia="zh-CN"/>
        </w:rPr>
        <w:t>+</w:t>
      </w:r>
      <w:r w:rsidR="0095790E" w:rsidRPr="00E67914">
        <w:rPr>
          <w:rFonts w:ascii="Times New Roman" w:hAnsi="Times New Roman"/>
          <w:sz w:val="24"/>
          <w:lang w:eastAsia="zh-CN"/>
        </w:rPr>
        <w:t>马铃薯群系</w:t>
      </w:r>
      <w:r w:rsidRPr="00E67914">
        <w:rPr>
          <w:rFonts w:ascii="Times New Roman" w:hAnsi="Times New Roman"/>
          <w:sz w:val="24"/>
          <w:lang w:eastAsia="zh-CN"/>
        </w:rPr>
        <w:t>等群系均属广布种，对物种种类没有影响，仅损失部分生物量。在景观异质性影响方面，本评价范围的</w:t>
      </w:r>
      <w:r w:rsidR="00162B40" w:rsidRPr="00E67914">
        <w:rPr>
          <w:rFonts w:ascii="Times New Roman" w:hAnsi="Times New Roman"/>
          <w:sz w:val="24"/>
          <w:lang w:eastAsia="zh-CN"/>
        </w:rPr>
        <w:t>林地、</w:t>
      </w:r>
      <w:r w:rsidRPr="00E67914">
        <w:rPr>
          <w:rFonts w:ascii="Times New Roman" w:hAnsi="Times New Roman"/>
          <w:sz w:val="24"/>
          <w:lang w:eastAsia="zh-CN"/>
        </w:rPr>
        <w:t>草地</w:t>
      </w:r>
      <w:r w:rsidR="00162B40" w:rsidRPr="00E67914">
        <w:rPr>
          <w:rFonts w:ascii="Times New Roman" w:hAnsi="Times New Roman"/>
          <w:sz w:val="24"/>
          <w:lang w:eastAsia="zh-CN"/>
        </w:rPr>
        <w:t>、耕地</w:t>
      </w:r>
      <w:r w:rsidRPr="00E67914">
        <w:rPr>
          <w:rFonts w:ascii="Times New Roman" w:hAnsi="Times New Roman"/>
          <w:sz w:val="24"/>
          <w:lang w:eastAsia="zh-CN"/>
        </w:rPr>
        <w:t>拼块在项目实施后所发生的变化主要是拼块面积的变化，而在拼块数量（密度）、拼块频率等要素特征上发生变化较小，随着设施拆除、植被恢复措施的实施及植被自然演替更新等，评价范围内森林植被还将是当地的模地，模地不会动摇，景观的异质性不会发生质的变化。</w:t>
      </w:r>
    </w:p>
    <w:p w14:paraId="5DE902DE" w14:textId="77777777" w:rsidR="00A54A8A" w:rsidRPr="00E67914" w:rsidRDefault="00000000">
      <w:pPr>
        <w:widowControl w:val="0"/>
        <w:adjustRightInd w:val="0"/>
        <w:snapToGrid w:val="0"/>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2</w:t>
      </w:r>
      <w:r w:rsidRPr="00E67914">
        <w:rPr>
          <w:rFonts w:ascii="Times New Roman" w:hAnsi="Times New Roman"/>
          <w:b/>
          <w:bCs/>
          <w:sz w:val="24"/>
          <w:lang w:eastAsia="zh-CN"/>
        </w:rPr>
        <w:t>）景观生态体系质量影响评价</w:t>
      </w:r>
    </w:p>
    <w:p w14:paraId="751B85A0" w14:textId="73DD09E8"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森林拼块</w:t>
      </w:r>
      <w:r w:rsidR="00162B40" w:rsidRPr="00E67914">
        <w:rPr>
          <w:rFonts w:ascii="Times New Roman" w:hAnsi="Times New Roman"/>
          <w:sz w:val="24"/>
          <w:lang w:eastAsia="zh-CN"/>
        </w:rPr>
        <w:t>与耕地</w:t>
      </w:r>
      <w:r w:rsidRPr="00E67914">
        <w:rPr>
          <w:rFonts w:ascii="Times New Roman" w:hAnsi="Times New Roman"/>
          <w:sz w:val="24"/>
          <w:lang w:eastAsia="zh-CN"/>
        </w:rPr>
        <w:t>的景观优势度远高于其他拼块，属模地。因此在评价范围内占有十分重要的地位。项目实施后，对当地的自然系统造成一定损害，</w:t>
      </w:r>
      <w:r w:rsidR="00162B40" w:rsidRPr="00E67914">
        <w:rPr>
          <w:rFonts w:ascii="Times New Roman" w:hAnsi="Times New Roman"/>
          <w:sz w:val="24"/>
          <w:lang w:eastAsia="zh-CN"/>
        </w:rPr>
        <w:t>但</w:t>
      </w:r>
      <w:r w:rsidRPr="00E67914">
        <w:rPr>
          <w:rFonts w:ascii="Times New Roman" w:hAnsi="Times New Roman"/>
          <w:sz w:val="24"/>
          <w:lang w:eastAsia="zh-CN"/>
        </w:rPr>
        <w:t>各拼块的优势度</w:t>
      </w:r>
      <w:r w:rsidRPr="00E67914">
        <w:rPr>
          <w:rFonts w:ascii="Times New Roman" w:hAnsi="Times New Roman"/>
          <w:sz w:val="24"/>
          <w:lang w:eastAsia="zh-CN"/>
        </w:rPr>
        <w:lastRenderedPageBreak/>
        <w:t>值变化较小</w:t>
      </w:r>
      <w:r w:rsidR="00162B40" w:rsidRPr="00E67914">
        <w:rPr>
          <w:rFonts w:ascii="Times New Roman" w:hAnsi="Times New Roman"/>
          <w:sz w:val="24"/>
          <w:lang w:eastAsia="zh-CN"/>
        </w:rPr>
        <w:t>，</w:t>
      </w:r>
      <w:r w:rsidRPr="00E67914">
        <w:rPr>
          <w:rFonts w:ascii="Times New Roman" w:hAnsi="Times New Roman"/>
          <w:sz w:val="24"/>
          <w:lang w:eastAsia="zh-CN"/>
        </w:rPr>
        <w:t>森林拼块</w:t>
      </w:r>
      <w:r w:rsidR="00162B40" w:rsidRPr="00E67914">
        <w:rPr>
          <w:rFonts w:ascii="Times New Roman" w:hAnsi="Times New Roman"/>
          <w:sz w:val="24"/>
          <w:lang w:eastAsia="zh-CN"/>
        </w:rPr>
        <w:t>与耕地拼块</w:t>
      </w:r>
      <w:r w:rsidRPr="00E67914">
        <w:rPr>
          <w:rFonts w:ascii="Times New Roman" w:hAnsi="Times New Roman"/>
          <w:sz w:val="24"/>
          <w:lang w:eastAsia="zh-CN"/>
        </w:rPr>
        <w:t>的景观优势度扔远高于其他拼块，属模地，生态环境不会发生质的变化。</w:t>
      </w:r>
    </w:p>
    <w:p w14:paraId="3BE239DF" w14:textId="77777777" w:rsidR="00A54A8A" w:rsidRPr="00E67914" w:rsidRDefault="00000000">
      <w:pPr>
        <w:widowControl w:val="0"/>
        <w:adjustRightInd w:val="0"/>
        <w:snapToGrid w:val="0"/>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3</w:t>
      </w:r>
      <w:r w:rsidRPr="00E67914">
        <w:rPr>
          <w:rFonts w:ascii="Times New Roman" w:hAnsi="Times New Roman"/>
          <w:b/>
          <w:bCs/>
          <w:sz w:val="24"/>
          <w:lang w:eastAsia="zh-CN"/>
        </w:rPr>
        <w:t>）自然景观协调性分析</w:t>
      </w:r>
    </w:p>
    <w:p w14:paraId="70D2E578" w14:textId="2DDDBD6A"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项目施工在视觉上会对项目区产生一定的影响，占据一定的数据空间及景观节点，尤其是与周边绿色植被环境形成明显的视觉异质性。本项目施工</w:t>
      </w:r>
      <w:r w:rsidR="00243180" w:rsidRPr="00E67914">
        <w:rPr>
          <w:rFonts w:ascii="Times New Roman" w:hAnsi="Times New Roman"/>
          <w:sz w:val="24"/>
          <w:lang w:eastAsia="zh-CN"/>
        </w:rPr>
        <w:t>占地主要利用原有占地</w:t>
      </w:r>
      <w:r w:rsidRPr="00E67914">
        <w:rPr>
          <w:rFonts w:ascii="Times New Roman" w:hAnsi="Times New Roman"/>
          <w:sz w:val="24"/>
          <w:lang w:eastAsia="zh-CN"/>
        </w:rPr>
        <w:t>，对其空间连续性</w:t>
      </w:r>
      <w:r w:rsidR="00243180" w:rsidRPr="00E67914">
        <w:rPr>
          <w:rFonts w:ascii="Times New Roman" w:hAnsi="Times New Roman"/>
          <w:sz w:val="24"/>
          <w:lang w:eastAsia="zh-CN"/>
        </w:rPr>
        <w:t>影响较小</w:t>
      </w:r>
      <w:r w:rsidRPr="00E67914">
        <w:rPr>
          <w:rFonts w:ascii="Times New Roman" w:hAnsi="Times New Roman"/>
          <w:sz w:val="24"/>
          <w:lang w:eastAsia="zh-CN"/>
        </w:rPr>
        <w:t>。</w:t>
      </w:r>
    </w:p>
    <w:p w14:paraId="65BA150B"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5.1.1.4</w:t>
      </w:r>
      <w:r w:rsidRPr="00E67914">
        <w:rPr>
          <w:rFonts w:ascii="Times New Roman" w:hAnsi="Times New Roman"/>
          <w:b/>
          <w:bCs/>
          <w:sz w:val="24"/>
          <w:szCs w:val="24"/>
          <w:lang w:eastAsia="zh-CN"/>
        </w:rPr>
        <w:t>对生态系统类型影响分析</w:t>
      </w:r>
    </w:p>
    <w:p w14:paraId="2EC628EE" w14:textId="6F04B77E"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根据项目《附图</w:t>
      </w:r>
      <w:r w:rsidRPr="00E67914">
        <w:rPr>
          <w:rFonts w:ascii="Times New Roman" w:hAnsi="Times New Roman"/>
          <w:sz w:val="24"/>
          <w:lang w:eastAsia="zh-CN"/>
        </w:rPr>
        <w:t xml:space="preserve"> </w:t>
      </w:r>
      <w:r w:rsidRPr="00E67914">
        <w:rPr>
          <w:rFonts w:ascii="Times New Roman" w:hAnsi="Times New Roman"/>
          <w:sz w:val="24"/>
          <w:lang w:eastAsia="zh-CN"/>
        </w:rPr>
        <w:t>生态系统类型图》，利用</w:t>
      </w:r>
      <w:r w:rsidRPr="00E67914">
        <w:rPr>
          <w:rFonts w:ascii="Times New Roman" w:hAnsi="Times New Roman"/>
          <w:sz w:val="24"/>
          <w:lang w:eastAsia="zh-CN"/>
        </w:rPr>
        <w:t>GIS</w:t>
      </w:r>
      <w:r w:rsidRPr="00E67914">
        <w:rPr>
          <w:rFonts w:ascii="Times New Roman" w:hAnsi="Times New Roman"/>
          <w:sz w:val="24"/>
          <w:lang w:eastAsia="zh-CN"/>
        </w:rPr>
        <w:t>软件，采用图形叠置分析可知，项目占用的生态系统类型主要为</w:t>
      </w:r>
      <w:r w:rsidR="00162B40" w:rsidRPr="00E67914">
        <w:rPr>
          <w:rFonts w:ascii="Times New Roman" w:hAnsi="Times New Roman"/>
          <w:sz w:val="24"/>
          <w:lang w:eastAsia="zh-CN"/>
        </w:rPr>
        <w:t>耕地生态系统、</w:t>
      </w:r>
      <w:r w:rsidRPr="00E67914">
        <w:rPr>
          <w:rFonts w:ascii="Times New Roman" w:hAnsi="Times New Roman"/>
          <w:sz w:val="24"/>
          <w:lang w:eastAsia="zh-CN"/>
        </w:rPr>
        <w:t>工矿交通生态系统</w:t>
      </w:r>
      <w:r w:rsidR="00162B40" w:rsidRPr="00E67914">
        <w:rPr>
          <w:rFonts w:ascii="Times New Roman" w:hAnsi="Times New Roman"/>
          <w:sz w:val="24"/>
          <w:lang w:eastAsia="zh-CN"/>
        </w:rPr>
        <w:t>、阔叶林生态系统、灌草丛生态系统等</w:t>
      </w:r>
      <w:r w:rsidRPr="00E67914">
        <w:rPr>
          <w:rFonts w:ascii="Times New Roman" w:hAnsi="Times New Roman"/>
          <w:sz w:val="24"/>
          <w:lang w:eastAsia="zh-CN"/>
        </w:rPr>
        <w:t>。</w:t>
      </w:r>
    </w:p>
    <w:p w14:paraId="0900FF18" w14:textId="7FDC0586"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占用的生态系统类型属于评价范围内普遍分布的类型，项目建设不会对该区域植被分布情况造成大的改变，项目对评价区内的自然生态系统的完整性和结构稳定性影响较小；生态系统的结构与功能完整性、以及生态服务功能的完整性并不会受到项目建设的直接影响，依然具有维持良性发展的潜力。</w:t>
      </w:r>
    </w:p>
    <w:p w14:paraId="0646E5AF"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5.1.1.5</w:t>
      </w:r>
      <w:r w:rsidRPr="00E67914">
        <w:rPr>
          <w:rFonts w:ascii="Times New Roman" w:hAnsi="Times New Roman"/>
          <w:b/>
          <w:bCs/>
          <w:sz w:val="24"/>
          <w:szCs w:val="24"/>
          <w:lang w:eastAsia="zh-CN"/>
        </w:rPr>
        <w:t>对生态系统结构稳定性分析</w:t>
      </w:r>
    </w:p>
    <w:p w14:paraId="68E62A40" w14:textId="10284A39"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项目占地主要为</w:t>
      </w:r>
      <w:r w:rsidR="00162B40" w:rsidRPr="00E67914">
        <w:rPr>
          <w:rFonts w:ascii="Times New Roman" w:hAnsi="Times New Roman"/>
          <w:sz w:val="24"/>
          <w:lang w:eastAsia="zh-CN"/>
        </w:rPr>
        <w:t>占地主要分为四个部分，新普陆页</w:t>
      </w:r>
      <w:r w:rsidR="00162B40" w:rsidRPr="00E67914">
        <w:rPr>
          <w:rFonts w:ascii="Times New Roman" w:hAnsi="Times New Roman"/>
          <w:sz w:val="24"/>
          <w:lang w:eastAsia="zh-CN"/>
        </w:rPr>
        <w:t>2</w:t>
      </w:r>
      <w:r w:rsidR="00162B40" w:rsidRPr="00E67914">
        <w:rPr>
          <w:rFonts w:ascii="Times New Roman" w:hAnsi="Times New Roman"/>
          <w:sz w:val="24"/>
          <w:lang w:eastAsia="zh-CN"/>
        </w:rPr>
        <w:t>井场、原普陆页</w:t>
      </w:r>
      <w:r w:rsidR="00162B40" w:rsidRPr="00E67914">
        <w:rPr>
          <w:rFonts w:ascii="Times New Roman" w:hAnsi="Times New Roman"/>
          <w:sz w:val="24"/>
          <w:lang w:eastAsia="zh-CN"/>
        </w:rPr>
        <w:t>2</w:t>
      </w:r>
      <w:r w:rsidR="00162B40" w:rsidRPr="00E67914">
        <w:rPr>
          <w:rFonts w:ascii="Times New Roman" w:hAnsi="Times New Roman"/>
          <w:sz w:val="24"/>
          <w:lang w:eastAsia="zh-CN"/>
        </w:rPr>
        <w:t>井场（普陆页</w:t>
      </w:r>
      <w:r w:rsidR="00162B40" w:rsidRPr="00E67914">
        <w:rPr>
          <w:rFonts w:ascii="Times New Roman" w:hAnsi="Times New Roman"/>
          <w:sz w:val="24"/>
          <w:lang w:eastAsia="zh-CN"/>
        </w:rPr>
        <w:t>2</w:t>
      </w:r>
      <w:r w:rsidR="00162B40" w:rsidRPr="00E67914">
        <w:rPr>
          <w:rFonts w:ascii="Times New Roman" w:hAnsi="Times New Roman"/>
          <w:sz w:val="24"/>
          <w:lang w:eastAsia="zh-CN"/>
        </w:rPr>
        <w:t>试采站）、普陆页</w:t>
      </w:r>
      <w:r w:rsidR="00162B40" w:rsidRPr="00E67914">
        <w:rPr>
          <w:rFonts w:ascii="Times New Roman" w:hAnsi="Times New Roman"/>
          <w:sz w:val="24"/>
          <w:lang w:eastAsia="zh-CN"/>
        </w:rPr>
        <w:t>2</w:t>
      </w:r>
      <w:r w:rsidR="00162B40" w:rsidRPr="00E67914">
        <w:rPr>
          <w:rFonts w:ascii="Times New Roman" w:hAnsi="Times New Roman"/>
          <w:sz w:val="24"/>
          <w:lang w:eastAsia="zh-CN"/>
        </w:rPr>
        <w:t>井场到普陆页</w:t>
      </w:r>
      <w:r w:rsidR="00162B40" w:rsidRPr="00E67914">
        <w:rPr>
          <w:rFonts w:ascii="Times New Roman" w:hAnsi="Times New Roman"/>
          <w:sz w:val="24"/>
          <w:lang w:eastAsia="zh-CN"/>
        </w:rPr>
        <w:t>2</w:t>
      </w:r>
      <w:r w:rsidR="00162B40" w:rsidRPr="00E67914">
        <w:rPr>
          <w:rFonts w:ascii="Times New Roman" w:hAnsi="Times New Roman"/>
          <w:sz w:val="24"/>
          <w:lang w:eastAsia="zh-CN"/>
        </w:rPr>
        <w:t>试采站管线、普陆页</w:t>
      </w:r>
      <w:r w:rsidR="00162B40" w:rsidRPr="00E67914">
        <w:rPr>
          <w:rFonts w:ascii="Times New Roman" w:hAnsi="Times New Roman"/>
          <w:sz w:val="24"/>
          <w:lang w:eastAsia="zh-CN"/>
        </w:rPr>
        <w:t>2</w:t>
      </w:r>
      <w:r w:rsidR="00162B40" w:rsidRPr="00E67914">
        <w:rPr>
          <w:rFonts w:ascii="Times New Roman" w:hAnsi="Times New Roman"/>
          <w:sz w:val="24"/>
          <w:lang w:eastAsia="zh-CN"/>
        </w:rPr>
        <w:t>试采站至</w:t>
      </w:r>
      <w:r w:rsidR="00162B40" w:rsidRPr="00E67914">
        <w:rPr>
          <w:rFonts w:ascii="Times New Roman" w:hAnsi="Times New Roman"/>
          <w:sz w:val="24"/>
          <w:lang w:eastAsia="zh-CN"/>
        </w:rPr>
        <w:t>P302</w:t>
      </w:r>
      <w:r w:rsidR="00162B40" w:rsidRPr="00E67914">
        <w:rPr>
          <w:rFonts w:ascii="Times New Roman" w:hAnsi="Times New Roman"/>
          <w:sz w:val="24"/>
          <w:lang w:eastAsia="zh-CN"/>
        </w:rPr>
        <w:t>集气站的外输管线占地</w:t>
      </w:r>
      <w:r w:rsidRPr="00E67914">
        <w:rPr>
          <w:rFonts w:ascii="Times New Roman" w:hAnsi="Times New Roman"/>
          <w:sz w:val="24"/>
          <w:lang w:eastAsia="zh-CN"/>
        </w:rPr>
        <w:t>，占地总面积</w:t>
      </w:r>
      <w:r w:rsidR="00162B40" w:rsidRPr="00E67914">
        <w:rPr>
          <w:rFonts w:ascii="Times New Roman" w:hAnsi="Times New Roman"/>
          <w:sz w:val="24"/>
          <w:lang w:eastAsia="zh-CN"/>
        </w:rPr>
        <w:t>3.3988</w:t>
      </w:r>
      <w:r w:rsidRPr="00E67914">
        <w:rPr>
          <w:rFonts w:ascii="Times New Roman" w:hAnsi="Times New Roman"/>
          <w:sz w:val="24"/>
          <w:lang w:eastAsia="zh-CN"/>
        </w:rPr>
        <w:t>hm</w:t>
      </w:r>
      <w:r w:rsidRPr="00E67914">
        <w:rPr>
          <w:rFonts w:ascii="Times New Roman" w:hAnsi="Times New Roman"/>
          <w:sz w:val="24"/>
          <w:vertAlign w:val="superscript"/>
          <w:lang w:eastAsia="zh-CN"/>
        </w:rPr>
        <w:t>2</w:t>
      </w:r>
      <w:r w:rsidRPr="00E67914">
        <w:rPr>
          <w:rFonts w:ascii="Times New Roman" w:hAnsi="Times New Roman"/>
          <w:sz w:val="24"/>
          <w:lang w:eastAsia="zh-CN"/>
        </w:rPr>
        <w:t>，不会对该区域植被分布情况和植被群落结构造成任何改变，项目对评价区内的自然生态系统的类型完整性和结构稳定性影响可忽略不计；各类生态系统的结构与功能完整性、以及生态服务功能的完整性并不会受到项目施工运营的直接影响，依然具有维持良性发展的潜力。</w:t>
      </w:r>
    </w:p>
    <w:p w14:paraId="60EFD954"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5.1.1.6</w:t>
      </w:r>
      <w:r w:rsidRPr="00E67914">
        <w:rPr>
          <w:rFonts w:ascii="Times New Roman" w:hAnsi="Times New Roman"/>
          <w:b/>
          <w:bCs/>
          <w:sz w:val="24"/>
          <w:szCs w:val="24"/>
          <w:lang w:eastAsia="zh-CN"/>
        </w:rPr>
        <w:t>对生态系统完整性的影响分析</w:t>
      </w:r>
    </w:p>
    <w:p w14:paraId="6C715D08"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、对生态效能的影响</w:t>
      </w:r>
    </w:p>
    <w:p w14:paraId="540ADCDD" w14:textId="2F8623EF"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可保持较稳定的生态系统，因此项目建设对生态效能的影响可忽略不计。</w:t>
      </w:r>
    </w:p>
    <w:p w14:paraId="3FC7E5EC"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、对景观风貌的影响</w:t>
      </w:r>
    </w:p>
    <w:p w14:paraId="72CC6E31" w14:textId="481D536D"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项目建设产生的表土剥离、运输等活动，均会影响土体的结构，降低原来地表的固土保水能力，改变其结构特征，自然景观受到一定影响，</w:t>
      </w:r>
      <w:r w:rsidR="00243180" w:rsidRPr="00E67914">
        <w:rPr>
          <w:rFonts w:ascii="Times New Roman" w:hAnsi="Times New Roman"/>
          <w:sz w:val="24"/>
          <w:lang w:eastAsia="zh-CN"/>
        </w:rPr>
        <w:t>但影响较小</w:t>
      </w:r>
      <w:r w:rsidRPr="00E67914">
        <w:rPr>
          <w:rFonts w:ascii="Times New Roman" w:hAnsi="Times New Roman"/>
          <w:sz w:val="24"/>
          <w:lang w:eastAsia="zh-CN"/>
        </w:rPr>
        <w:t>。</w:t>
      </w:r>
    </w:p>
    <w:p w14:paraId="27AC3760"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lastRenderedPageBreak/>
        <w:t>3</w:t>
      </w:r>
      <w:r w:rsidRPr="00E67914">
        <w:rPr>
          <w:rFonts w:ascii="Times New Roman" w:hAnsi="Times New Roman"/>
          <w:sz w:val="24"/>
          <w:lang w:eastAsia="zh-CN"/>
        </w:rPr>
        <w:t>、对环境质量的影响</w:t>
      </w:r>
    </w:p>
    <w:p w14:paraId="14D5352B"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建设过程中将造成一定的地表植被破坏，加剧水土流失；占地区表土剥离、运输、堆放等过程产生的扬尘和粉尘，造成小部分空气环境污染；施工中产生的废水、生活污水可能引起周边水质暂时的污染。但其不利影响是短暂的，项目建设过程中采取的技术措施可最大程度减少负面影响，项目建设对环境质量的影响很小。</w:t>
      </w:r>
    </w:p>
    <w:p w14:paraId="52657D8C"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、对物种多样性的影响</w:t>
      </w:r>
    </w:p>
    <w:p w14:paraId="1A8E5647" w14:textId="5336FF7C"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项目占地范围自然植被类型主要有</w:t>
      </w:r>
      <w:r w:rsidR="00AE3C75" w:rsidRPr="00E67914">
        <w:rPr>
          <w:rFonts w:ascii="Times New Roman" w:hAnsi="Times New Roman"/>
          <w:sz w:val="24"/>
          <w:lang w:eastAsia="zh-CN"/>
        </w:rPr>
        <w:t>麻栎、青冈、栓皮栎等森林植被，野桐、盐肤木、马桑、黄荆、火棘、芒、白茅、蕨、芒萁等为主的灌草丛植被和水稻、玉米、红苕、棉花、花生、小麦、马铃薯、豌豆等农作物</w:t>
      </w:r>
      <w:r w:rsidRPr="00E67914">
        <w:rPr>
          <w:rFonts w:ascii="Times New Roman" w:hAnsi="Times New Roman"/>
          <w:sz w:val="24"/>
          <w:lang w:eastAsia="zh-CN"/>
        </w:rPr>
        <w:t>，群落结构和组成相对简单，且均为当地常见类型，分布较广，施工期对生物群落多样性、生态系统多样性及完整性的影响较小，项目占地不会对用地范围物种多样性和生态功能产生较大影响。</w:t>
      </w:r>
    </w:p>
    <w:p w14:paraId="6190A347"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综上所述，项目建设对项目区及周边区域生态效能、景观风貌、环境质量、物种多样性等生态因子影响很小，项目建设不会对区域生态完整性产生影响。</w:t>
      </w:r>
    </w:p>
    <w:p w14:paraId="04D4D18F"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5.1.1.7</w:t>
      </w:r>
      <w:r w:rsidRPr="00E67914">
        <w:rPr>
          <w:rFonts w:ascii="Times New Roman" w:hAnsi="Times New Roman"/>
          <w:b/>
          <w:bCs/>
          <w:sz w:val="24"/>
          <w:szCs w:val="24"/>
          <w:lang w:eastAsia="zh-CN"/>
        </w:rPr>
        <w:t>对生态系统服务功能的影响分析</w:t>
      </w:r>
    </w:p>
    <w:p w14:paraId="73780A9A"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）水土流失与水源涵养功能的影响</w:t>
      </w:r>
    </w:p>
    <w:p w14:paraId="5F3BA3DD"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评价区地表植被覆盖度高，但由于地形地貌的特殊性和降水量较大等特点使得水力侵蚀过程明显。项目建设对评价区水土流失的影响主要集中在项目建设期施工占地，如果不能及时采取相应的防护措施处理或治理，会造成新的水土流失。在项目施工过程中要尽量减少了对周边区域地表植被的破坏，并对填挖高度进行严格的控制。</w:t>
      </w:r>
    </w:p>
    <w:p w14:paraId="0E0A411C"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森林和灌草丛等在评价区内发挥着较为重要的水源涵养功能，因此在施工结束及运营阶段应特别注重林草种植和植被恢复，通过增加植被覆盖，促进土壤蓄渗降水；而灌木的枯枝落叶层吸收水分等方式对水资源进行充分利用，尽量选择乡土阔叶植物作为恢复树种，注意因地制宜和加强管理。</w:t>
      </w:r>
    </w:p>
    <w:p w14:paraId="3A709142"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）对其它生态服务功能的影响</w:t>
      </w:r>
    </w:p>
    <w:p w14:paraId="0B8172C3" w14:textId="53252EB4"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评价区内陆生生态资源除具有防止水土流失和水源涵养功能外，还具有保育土壤功能、净化大气环境、固碳释放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试采期间的闲置土地及裸地应及时种植植被，以减少土壤养分的流失。本项目建设尽管占用了部分</w:t>
      </w:r>
      <w:r w:rsidR="00AE3C75" w:rsidRPr="00E67914">
        <w:rPr>
          <w:rFonts w:ascii="Times New Roman" w:hAnsi="Times New Roman"/>
          <w:sz w:val="24"/>
          <w:lang w:eastAsia="zh-CN"/>
        </w:rPr>
        <w:t>林地、</w:t>
      </w:r>
      <w:r w:rsidRPr="00E67914">
        <w:rPr>
          <w:rFonts w:ascii="Times New Roman" w:hAnsi="Times New Roman"/>
          <w:sz w:val="24"/>
          <w:lang w:eastAsia="zh-CN"/>
        </w:rPr>
        <w:t>灌草丛等自然生态系统，</w:t>
      </w:r>
      <w:r w:rsidRPr="00E67914">
        <w:rPr>
          <w:rFonts w:ascii="Times New Roman" w:hAnsi="Times New Roman"/>
          <w:sz w:val="24"/>
          <w:lang w:eastAsia="zh-CN"/>
        </w:rPr>
        <w:lastRenderedPageBreak/>
        <w:t>部分改变了土地利用类型，但对评价区内自然生态系统肩负的维持生物多样性、净化空气、调节小气候等生态服务功能的影响还是非常间接和有限的。</w:t>
      </w:r>
    </w:p>
    <w:p w14:paraId="001C57E5"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综上所述，本项目的建设对评价区域生态环境会有一定的影响，但不会显著改变评价区域的植物物种多样性状况、植被组成类型、动物多样性和种群结构组成。项目建设对景观生态系统的影响范围有限，评价区域内各类拼块构成、廊道类型和基质特点、各类环境资源拼块优势度等景观格局和动态不会发生明显变化；森林生态系统、灌丛和草地生态系统和河流生态系统的稳定性和景观完整性没有显著影响。在采取植被恢复、水土流失防治措施、野生动植物保护等措施的情况下，本项目造成的生态影响可得到有效减缓，生态系统的稳定性尚好。</w:t>
      </w:r>
    </w:p>
    <w:p w14:paraId="5A649061"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5.1.1.8</w:t>
      </w:r>
      <w:r w:rsidRPr="00E67914">
        <w:rPr>
          <w:rFonts w:ascii="Times New Roman" w:hAnsi="Times New Roman"/>
          <w:b/>
          <w:bCs/>
          <w:sz w:val="24"/>
          <w:szCs w:val="24"/>
          <w:lang w:eastAsia="zh-CN"/>
        </w:rPr>
        <w:t>对物种多样性的影响分析</w:t>
      </w:r>
    </w:p>
    <w:p w14:paraId="302FD5D4" w14:textId="5CECB866"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项目建设影响的只是占地范围内的物种多样性，由原来的</w:t>
      </w:r>
      <w:r w:rsidR="00AE3C75" w:rsidRPr="00E67914">
        <w:rPr>
          <w:rFonts w:ascii="Times New Roman" w:hAnsi="Times New Roman"/>
          <w:sz w:val="24"/>
          <w:lang w:eastAsia="zh-CN"/>
        </w:rPr>
        <w:t>耕地、林地、</w:t>
      </w:r>
      <w:r w:rsidRPr="00E67914">
        <w:rPr>
          <w:rFonts w:ascii="Times New Roman" w:hAnsi="Times New Roman"/>
          <w:sz w:val="24"/>
          <w:lang w:eastAsia="zh-CN"/>
        </w:rPr>
        <w:t>灌草丛生态系统临时变为工矿用地生态系统，损失的只是占地期限内占地范围的生物量和生产力，不会产生时间或空间的累计作用，不会导致生境丧失、退化及破碎化、生态系统退化、生物多样性下降等情况发生</w:t>
      </w:r>
      <w:r w:rsidR="00AE3C75" w:rsidRPr="00E67914">
        <w:rPr>
          <w:rFonts w:ascii="Times New Roman" w:hAnsi="Times New Roman"/>
          <w:sz w:val="24"/>
          <w:lang w:eastAsia="zh-CN"/>
        </w:rPr>
        <w:t>，且管道施工等临时占地部分施工结束后立即对占地进行植被恢复或复垦，可进一步降低对生物多样性的影响</w:t>
      </w:r>
      <w:r w:rsidRPr="00E67914">
        <w:rPr>
          <w:rFonts w:ascii="Times New Roman" w:hAnsi="Times New Roman"/>
          <w:sz w:val="24"/>
          <w:lang w:eastAsia="zh-CN"/>
        </w:rPr>
        <w:t>。</w:t>
      </w:r>
    </w:p>
    <w:p w14:paraId="362AEFBF"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5.1.1.9</w:t>
      </w:r>
      <w:r w:rsidRPr="00E67914">
        <w:rPr>
          <w:rFonts w:ascii="Times New Roman" w:hAnsi="Times New Roman"/>
          <w:b/>
          <w:bCs/>
          <w:sz w:val="24"/>
          <w:szCs w:val="24"/>
          <w:lang w:eastAsia="zh-CN"/>
        </w:rPr>
        <w:t>对陆生野生动物的影响分析</w:t>
      </w:r>
    </w:p>
    <w:p w14:paraId="283C420A"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施工占地</w:t>
      </w:r>
    </w:p>
    <w:p w14:paraId="2ABE3055" w14:textId="32C60C2E"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项目占地类型主要为</w:t>
      </w:r>
      <w:r w:rsidR="003D4EE4" w:rsidRPr="00E67914">
        <w:rPr>
          <w:rFonts w:ascii="Times New Roman" w:hAnsi="Times New Roman"/>
          <w:sz w:val="24"/>
          <w:lang w:eastAsia="zh-CN"/>
        </w:rPr>
        <w:t>耕地、林地、灌草丛</w:t>
      </w:r>
      <w:r w:rsidRPr="00E67914">
        <w:rPr>
          <w:rFonts w:ascii="Times New Roman" w:hAnsi="Times New Roman"/>
          <w:sz w:val="24"/>
          <w:lang w:eastAsia="zh-CN"/>
        </w:rPr>
        <w:t>。生活在这类土地的动物均为常见种，如鸟、兔、鼠类等，施工占地等会改变周边小生境，对其生存环境有短暂影响，对于依赖灌草丛为栖息、活动、隐蔽场所的野生动物来说，其生境在某种程度上会受到一定的影响，但在非施工区也可以找到相同或相似生境，可迁移到合适生境中生活，对其生存不会造成威胁，项目</w:t>
      </w:r>
      <w:r w:rsidR="00243180" w:rsidRPr="00E67914">
        <w:rPr>
          <w:rFonts w:ascii="Times New Roman" w:hAnsi="Times New Roman"/>
          <w:sz w:val="24"/>
          <w:lang w:eastAsia="zh-CN"/>
        </w:rPr>
        <w:t>施工结束</w:t>
      </w:r>
      <w:r w:rsidRPr="00E67914">
        <w:rPr>
          <w:rFonts w:ascii="Times New Roman" w:hAnsi="Times New Roman"/>
          <w:sz w:val="24"/>
          <w:lang w:eastAsia="zh-CN"/>
        </w:rPr>
        <w:t>后这类动物还可迁回。对于迁移能力弱的动物，因占地面积较少，损失只局限于少数个体，不会对种群数量产生影响。</w:t>
      </w:r>
    </w:p>
    <w:p w14:paraId="5D50F748"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施工人员非法捕猎</w:t>
      </w:r>
    </w:p>
    <w:p w14:paraId="062B6D29"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由于施工人员进入，可能有非法捕猎，直接杀死动物、鸟类。可通过加强教育宣传来杜绝此类行为。</w:t>
      </w:r>
    </w:p>
    <w:p w14:paraId="4B0775DE"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宋体" w:hAnsi="宋体" w:cs="宋体" w:hint="eastAsia"/>
          <w:sz w:val="24"/>
          <w:lang w:eastAsia="zh-CN"/>
        </w:rPr>
        <w:t>③</w:t>
      </w:r>
      <w:r w:rsidRPr="00E67914">
        <w:rPr>
          <w:rFonts w:ascii="Times New Roman" w:hAnsi="Times New Roman"/>
          <w:sz w:val="24"/>
          <w:lang w:eastAsia="zh-CN"/>
        </w:rPr>
        <w:t>施工活动</w:t>
      </w:r>
    </w:p>
    <w:p w14:paraId="7841936C"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项目施工可直接破坏一些分布在施工区域内动物的生存环境，如一些蛇类、蛙类和鼠类等的栖息洞穴；项目施工还可直接杀死一些生活在施工区域内的动物，这些动物主要是无迁移能力或迁移能力较弱的幼体及在施工时还栖息在洞穴内的部分蛇类、</w:t>
      </w:r>
      <w:r w:rsidRPr="00E67914">
        <w:rPr>
          <w:rFonts w:ascii="Times New Roman" w:hAnsi="Times New Roman"/>
          <w:sz w:val="24"/>
          <w:lang w:eastAsia="zh-CN"/>
        </w:rPr>
        <w:lastRenderedPageBreak/>
        <w:t>蛙类和鼠类等。由于施工区的范围有限，上述两种情况不会对动物组成和多度产生较大影响。项目施工对其它动物的影响主要还是间接影响，即施工噪声迫使绝大多数动物的成体通过迁移方式远离施工区，但当施工结束后，施工区域内或施工区附近的植被逐渐恢复，这些动物又会逐渐返回。</w:t>
      </w:r>
    </w:p>
    <w:p w14:paraId="06C184E8"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5.1.1.10</w:t>
      </w:r>
      <w:r w:rsidRPr="00E67914">
        <w:rPr>
          <w:rFonts w:ascii="Times New Roman" w:hAnsi="Times New Roman"/>
          <w:b/>
          <w:bCs/>
          <w:sz w:val="24"/>
          <w:szCs w:val="24"/>
          <w:lang w:eastAsia="zh-CN"/>
        </w:rPr>
        <w:t>对重点保护野生动植物的影响分析</w:t>
      </w:r>
    </w:p>
    <w:p w14:paraId="491476B2"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根据实地调查，在项目评价区内未发现国家和省级重点保护野生植物。</w:t>
      </w:r>
    </w:p>
    <w:p w14:paraId="311A7045"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据调查和访问，评价区内有</w:t>
      </w:r>
      <w:r w:rsidRPr="00E67914">
        <w:rPr>
          <w:rFonts w:ascii="Times New Roman" w:hAnsi="Times New Roman"/>
          <w:sz w:val="24"/>
          <w:lang w:eastAsia="zh-CN"/>
        </w:rPr>
        <w:t>2</w:t>
      </w:r>
      <w:r w:rsidRPr="00E67914">
        <w:rPr>
          <w:rFonts w:ascii="Times New Roman" w:hAnsi="Times New Roman"/>
          <w:sz w:val="24"/>
          <w:lang w:eastAsia="zh-CN"/>
        </w:rPr>
        <w:t>种国家</w:t>
      </w:r>
      <w:r w:rsidRPr="00E67914">
        <w:rPr>
          <w:rFonts w:ascii="Times New Roman" w:hAnsi="Times New Roman"/>
          <w:sz w:val="24"/>
          <w:lang w:eastAsia="zh-CN"/>
        </w:rPr>
        <w:t>Ⅱ</w:t>
      </w:r>
      <w:r w:rsidRPr="00E67914">
        <w:rPr>
          <w:rFonts w:ascii="Times New Roman" w:hAnsi="Times New Roman"/>
          <w:sz w:val="24"/>
          <w:lang w:eastAsia="zh-CN"/>
        </w:rPr>
        <w:t>级重点保护鸟类，为雀鹰、画眉，偶见于评价区内的针叶林、阔叶林林。</w:t>
      </w:r>
    </w:p>
    <w:p w14:paraId="5E51C63B" w14:textId="77777777" w:rsidR="00A54A8A" w:rsidRPr="00E67914" w:rsidRDefault="00000000">
      <w:pPr>
        <w:widowControl w:val="0"/>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由于评价区人类活动较为频繁，适宜的栖息地相对比较少，因此主要为过境取食及活动，并无栖息地。同时，雀鹰、画眉飞翔能力和自主迁徙能力较强，捕食范围很广，施工活动对其影响很小，在施工期，要加强在施工人员中的宣传教育，严禁捕捉野生动物，同时，要文明施工，将人为影响降至最低。</w:t>
      </w:r>
    </w:p>
    <w:p w14:paraId="022EA3FF" w14:textId="77777777" w:rsidR="00A54A8A" w:rsidRPr="00E67914" w:rsidRDefault="00000000">
      <w:pPr>
        <w:tabs>
          <w:tab w:val="left" w:pos="1440"/>
        </w:tabs>
        <w:spacing w:line="360" w:lineRule="auto"/>
        <w:ind w:firstLineChars="200" w:firstLine="482"/>
        <w:outlineLvl w:val="3"/>
        <w:rPr>
          <w:rFonts w:ascii="Times New Roman" w:hAnsi="Times New Roman"/>
          <w:sz w:val="24"/>
          <w:szCs w:val="24"/>
          <w:lang w:eastAsia="zh-CN"/>
        </w:rPr>
      </w:pPr>
      <w:r w:rsidRPr="00E67914">
        <w:rPr>
          <w:rFonts w:ascii="Times New Roman" w:hAnsi="Times New Roman"/>
          <w:b/>
          <w:bCs/>
          <w:sz w:val="24"/>
          <w:szCs w:val="24"/>
          <w:lang w:eastAsia="zh-CN"/>
        </w:rPr>
        <w:t>5.1.1.11</w:t>
      </w:r>
      <w:r w:rsidRPr="00E67914">
        <w:rPr>
          <w:rFonts w:ascii="Times New Roman" w:hAnsi="Times New Roman"/>
          <w:b/>
          <w:bCs/>
          <w:sz w:val="24"/>
          <w:szCs w:val="24"/>
          <w:lang w:eastAsia="zh-CN"/>
        </w:rPr>
        <w:t>项目实施可能导致外来物种造成生态危害的风险分析</w:t>
      </w:r>
    </w:p>
    <w:p w14:paraId="525629F4"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工程施工和运行期间，导致外来物种入侵的途径只有在植被恢复阶段，如果盲目引进不经过筛选的物种，可能导致外来物种入侵情况的发生。这就要求我们在项目施工和运行期间，加大宣传力度，对外来物种的危害以及传播途径向施工人员进行宣传；对现有的外来种，利用工程施工的机会，对有种子的植物要现场烧毁，以防种子扩散。在选择绿化树种和水土保持植物中坚决杜绝使用外来植物，尽可能使用乡土树种。</w:t>
      </w:r>
    </w:p>
    <w:p w14:paraId="4E9457F3"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5.1.2</w:t>
      </w:r>
      <w:r w:rsidRPr="00E67914">
        <w:rPr>
          <w:rFonts w:ascii="Times New Roman" w:eastAsia="黑体" w:hAnsi="Times New Roman"/>
          <w:b w:val="0"/>
          <w:sz w:val="24"/>
          <w:szCs w:val="24"/>
          <w:lang w:eastAsia="zh-CN"/>
        </w:rPr>
        <w:t>施工期钻前工程环境影响分析</w:t>
      </w:r>
    </w:p>
    <w:p w14:paraId="6B40F963" w14:textId="77777777" w:rsidR="00A54A8A" w:rsidRPr="00E67914" w:rsidRDefault="00000000">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1</w:t>
      </w:r>
      <w:r w:rsidRPr="00E67914">
        <w:rPr>
          <w:rFonts w:ascii="Times New Roman" w:eastAsia="黑体" w:hAnsi="Times New Roman"/>
          <w:bCs/>
          <w:kern w:val="2"/>
          <w:sz w:val="24"/>
          <w:szCs w:val="24"/>
          <w:lang w:eastAsia="zh-CN"/>
        </w:rPr>
        <w:t>、大气环境影响分析</w:t>
      </w:r>
    </w:p>
    <w:p w14:paraId="36AC445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）废气源</w:t>
      </w:r>
    </w:p>
    <w:p w14:paraId="09C6EE1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钻前施工人员多为临时聘请的当地民工，租住在附近农户家中，钻前工程不设集中生活营区，无集中生活废气排放。</w:t>
      </w:r>
    </w:p>
    <w:p w14:paraId="2FA7AC96" w14:textId="427B501B"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钻前工程大气污染物主要为施工粉尘、运输和作业车辆排放的汽车尾气，但属短期影响（钻前施工工期约</w:t>
      </w:r>
      <w:r w:rsidRPr="00E67914">
        <w:rPr>
          <w:rFonts w:ascii="Times New Roman" w:hAnsi="Times New Roman"/>
          <w:sz w:val="24"/>
          <w:lang w:eastAsia="zh-CN"/>
        </w:rPr>
        <w:t>6</w:t>
      </w:r>
      <w:r w:rsidR="003D4EE4" w:rsidRPr="00E67914">
        <w:rPr>
          <w:rFonts w:ascii="Times New Roman" w:hAnsi="Times New Roman"/>
          <w:sz w:val="24"/>
          <w:lang w:eastAsia="zh-CN"/>
        </w:rPr>
        <w:t>0</w:t>
      </w:r>
      <w:r w:rsidRPr="00E67914">
        <w:rPr>
          <w:rFonts w:ascii="Times New Roman" w:hAnsi="Times New Roman"/>
          <w:sz w:val="24"/>
          <w:lang w:eastAsia="zh-CN"/>
        </w:rPr>
        <w:t>天）。粉尘主要源于材料运输、使用过程中的粉尘散落；修筑钻井场地和井场外道路的挖填方转运过程中的二次扬尘。</w:t>
      </w:r>
    </w:p>
    <w:p w14:paraId="4E94C8F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）大气环境影响分析</w:t>
      </w:r>
    </w:p>
    <w:p w14:paraId="3CEF6B3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钻前施工对环境空气的影响主要是道路扬尘及燃油动力机械废气。扬尘主要来自施工现场运输车辆、筑路机械作业过程中扬起的灰尘。据经验数据，在风速为</w:t>
      </w:r>
      <w:r w:rsidRPr="00E67914">
        <w:rPr>
          <w:rFonts w:ascii="Times New Roman" w:hAnsi="Times New Roman"/>
          <w:sz w:val="24"/>
          <w:lang w:eastAsia="zh-CN"/>
        </w:rPr>
        <w:t>1.2m/s</w:t>
      </w:r>
      <w:r w:rsidRPr="00E67914">
        <w:rPr>
          <w:rFonts w:ascii="Times New Roman" w:hAnsi="Times New Roman"/>
          <w:sz w:val="24"/>
          <w:lang w:eastAsia="zh-CN"/>
        </w:rPr>
        <w:t>或</w:t>
      </w:r>
      <w:r w:rsidRPr="00E67914">
        <w:rPr>
          <w:rFonts w:ascii="Times New Roman" w:hAnsi="Times New Roman"/>
          <w:sz w:val="24"/>
          <w:lang w:eastAsia="zh-CN"/>
        </w:rPr>
        <w:t>2.4m/s</w:t>
      </w:r>
      <w:r w:rsidRPr="00E67914">
        <w:rPr>
          <w:rFonts w:ascii="Times New Roman" w:hAnsi="Times New Roman"/>
          <w:sz w:val="24"/>
          <w:lang w:eastAsia="zh-CN"/>
        </w:rPr>
        <w:t>下土方和灰土的装卸、运输、施工或现场施工以及石料运输时距离</w:t>
      </w:r>
      <w:r w:rsidRPr="00E67914">
        <w:rPr>
          <w:rFonts w:ascii="Times New Roman" w:hAnsi="Times New Roman"/>
          <w:sz w:val="24"/>
          <w:lang w:eastAsia="zh-CN"/>
        </w:rPr>
        <w:t>50~150m</w:t>
      </w:r>
      <w:r w:rsidRPr="00E67914">
        <w:rPr>
          <w:rFonts w:ascii="Times New Roman" w:hAnsi="Times New Roman"/>
          <w:sz w:val="24"/>
          <w:lang w:eastAsia="zh-CN"/>
        </w:rPr>
        <w:lastRenderedPageBreak/>
        <w:t>处下风方向粉尘浓度为</w:t>
      </w:r>
      <w:r w:rsidRPr="00E67914">
        <w:rPr>
          <w:rFonts w:ascii="Times New Roman" w:hAnsi="Times New Roman"/>
          <w:sz w:val="24"/>
          <w:lang w:eastAsia="zh-CN"/>
        </w:rPr>
        <w:t>11.7</w:t>
      </w:r>
      <w:r w:rsidRPr="00E67914">
        <w:rPr>
          <w:rFonts w:ascii="Times New Roman" w:hAnsi="Times New Roman"/>
          <w:sz w:val="24"/>
          <w:lang w:eastAsia="zh-CN"/>
        </w:rPr>
        <w:t>～</w:t>
      </w:r>
      <w:r w:rsidRPr="00E67914">
        <w:rPr>
          <w:rFonts w:ascii="Times New Roman" w:hAnsi="Times New Roman"/>
          <w:sz w:val="24"/>
          <w:lang w:eastAsia="zh-CN"/>
        </w:rPr>
        <w:t>5.0mg/m</w:t>
      </w:r>
      <w:r w:rsidRPr="00E67914">
        <w:rPr>
          <w:rFonts w:ascii="Times New Roman" w:hAnsi="Times New Roman"/>
          <w:sz w:val="24"/>
          <w:vertAlign w:val="superscript"/>
          <w:lang w:eastAsia="zh-CN"/>
        </w:rPr>
        <w:t>3</w:t>
      </w:r>
      <w:r w:rsidRPr="00E67914">
        <w:rPr>
          <w:rFonts w:ascii="Times New Roman" w:hAnsi="Times New Roman"/>
          <w:sz w:val="24"/>
          <w:lang w:eastAsia="zh-CN"/>
        </w:rPr>
        <w:t>。项目所在区域的年平均风速为</w:t>
      </w:r>
      <w:r w:rsidRPr="00E67914">
        <w:rPr>
          <w:rFonts w:ascii="Times New Roman" w:hAnsi="Times New Roman"/>
          <w:sz w:val="24"/>
          <w:lang w:eastAsia="zh-CN"/>
        </w:rPr>
        <w:t>1.5m/s</w:t>
      </w:r>
      <w:r w:rsidRPr="00E67914">
        <w:rPr>
          <w:rFonts w:ascii="Times New Roman" w:hAnsi="Times New Roman"/>
          <w:sz w:val="24"/>
          <w:lang w:eastAsia="zh-CN"/>
        </w:rPr>
        <w:t>，风速较小，产生的扬尘量小。</w:t>
      </w:r>
    </w:p>
    <w:p w14:paraId="47F1575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施工单位采取硬化进出口、冲洗、洒水等措施控制扬尘，设置车辆冲洗设施对驶出工地的车辆进行冲洗。对露天堆放河沙、石粉、水泥、灰浆、灰膏等易扬撒的物料予以覆盖，对开挖施工作业面（点）洒水降尘，临时表土堆场洒水、覆盖降尘，密闭运输渣土、砂石等易撒漏扬散物质。</w:t>
      </w:r>
    </w:p>
    <w:p w14:paraId="10B0016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根据四川省《中华人民共和国大气污染防治法》实施办法（</w:t>
      </w:r>
      <w:r w:rsidRPr="00E67914">
        <w:rPr>
          <w:rFonts w:ascii="Times New Roman" w:hAnsi="Times New Roman"/>
          <w:sz w:val="24"/>
          <w:lang w:eastAsia="zh-CN"/>
        </w:rPr>
        <w:t>2018</w:t>
      </w:r>
      <w:r w:rsidRPr="00E67914">
        <w:rPr>
          <w:rFonts w:ascii="Times New Roman" w:hAnsi="Times New Roman"/>
          <w:sz w:val="24"/>
          <w:lang w:eastAsia="zh-CN"/>
        </w:rPr>
        <w:t>修订）相关要求，建设单位要加强对建设工地的监督检查，督促施工单位落实降尘、压尘和抑尘措施。钻前工程施工时间很短，完成后影响即可消失，无长期影响，通过采取降措施，对区域环境影响小。</w:t>
      </w:r>
    </w:p>
    <w:p w14:paraId="4B3224E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各类燃油动力机械在现场进行场地挖填、运输、施工等作业时，排放的废气中含</w:t>
      </w:r>
      <w:r w:rsidRPr="00E67914">
        <w:rPr>
          <w:rFonts w:ascii="Times New Roman" w:hAnsi="Times New Roman"/>
          <w:sz w:val="24"/>
          <w:lang w:eastAsia="zh-CN"/>
        </w:rPr>
        <w:t>CO</w:t>
      </w:r>
      <w:r w:rsidRPr="00E67914">
        <w:rPr>
          <w:rFonts w:ascii="Times New Roman" w:hAnsi="Times New Roman"/>
          <w:sz w:val="24"/>
          <w:lang w:eastAsia="zh-CN"/>
        </w:rPr>
        <w:t>和</w:t>
      </w:r>
      <w:r w:rsidRPr="00E67914">
        <w:rPr>
          <w:rFonts w:ascii="Times New Roman" w:hAnsi="Times New Roman"/>
          <w:sz w:val="24"/>
          <w:lang w:eastAsia="zh-CN"/>
        </w:rPr>
        <w:t>NOx</w:t>
      </w:r>
      <w:r w:rsidRPr="00E67914">
        <w:rPr>
          <w:rFonts w:ascii="Times New Roman" w:hAnsi="Times New Roman"/>
          <w:sz w:val="24"/>
          <w:lang w:eastAsia="zh-CN"/>
        </w:rPr>
        <w:t>等污染物，由于施工的燃油机械为间断施工，加之污染物排放量小，对环境空气的不利影响很小，施工结束后，影响将消失。</w:t>
      </w:r>
    </w:p>
    <w:p w14:paraId="5DBFA2DD" w14:textId="77777777" w:rsidR="00A54A8A" w:rsidRPr="00E67914" w:rsidRDefault="00000000">
      <w:pPr>
        <w:adjustRightInd w:val="0"/>
        <w:snapToGrid w:val="0"/>
        <w:spacing w:line="360" w:lineRule="auto"/>
        <w:ind w:firstLineChars="200" w:firstLine="482"/>
        <w:jc w:val="both"/>
        <w:rPr>
          <w:rFonts w:ascii="Times New Roman" w:hAnsi="Times New Roman"/>
          <w:sz w:val="24"/>
          <w:lang w:eastAsia="zh-CN"/>
        </w:rPr>
      </w:pPr>
      <w:r w:rsidRPr="00E67914">
        <w:rPr>
          <w:rFonts w:ascii="Times New Roman" w:hAnsi="Times New Roman"/>
          <w:b/>
          <w:sz w:val="24"/>
          <w:lang w:eastAsia="zh-CN"/>
        </w:rPr>
        <w:t>综上所述，由于钻前工程废气产生量较少、施工期短，对当地环境空气影响较小</w:t>
      </w:r>
      <w:r w:rsidRPr="00E67914">
        <w:rPr>
          <w:rFonts w:ascii="Times New Roman" w:hAnsi="Times New Roman"/>
          <w:b/>
          <w:bCs/>
          <w:sz w:val="24"/>
          <w:lang w:eastAsia="zh-CN"/>
        </w:rPr>
        <w:t>。</w:t>
      </w:r>
    </w:p>
    <w:p w14:paraId="1BD7E169" w14:textId="77777777" w:rsidR="00A54A8A" w:rsidRPr="00E67914" w:rsidRDefault="00000000">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2</w:t>
      </w:r>
      <w:r w:rsidRPr="00E67914">
        <w:rPr>
          <w:rFonts w:ascii="Times New Roman" w:eastAsia="黑体" w:hAnsi="Times New Roman"/>
          <w:bCs/>
          <w:kern w:val="2"/>
          <w:sz w:val="24"/>
          <w:szCs w:val="24"/>
          <w:lang w:eastAsia="zh-CN"/>
        </w:rPr>
        <w:t>、地表水环境影响分析</w:t>
      </w:r>
    </w:p>
    <w:p w14:paraId="43EF4CE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前工程水环境的影响主要是生活污水和施工废水。生活污水来自施工人员，施工期间生活污水产生量小，钻前工程人员租住农户家，生活污水由当地农户旱厕收集后农用，对当地水环境的影响小。施工废水来自施工场地等施工过程遇雨产生的地表径流，径流雨水中夹带有悬浮物；井场基础建设产生的废水主要来自砂石骨料加工、混凝土拌和及养护等过程中，经隔油池沉淀处理后回用于洒水降尘。施工单位通过定期检查，减少油类物质对周边土壤的影响。采取上述措施后对区域地表水环境基本无影响。</w:t>
      </w:r>
    </w:p>
    <w:p w14:paraId="4E6689B2" w14:textId="77777777" w:rsidR="00A54A8A" w:rsidRPr="00E67914" w:rsidRDefault="00000000">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3</w:t>
      </w:r>
      <w:r w:rsidRPr="00E67914">
        <w:rPr>
          <w:rFonts w:ascii="Times New Roman" w:eastAsia="黑体" w:hAnsi="Times New Roman"/>
          <w:bCs/>
          <w:kern w:val="2"/>
          <w:sz w:val="24"/>
          <w:szCs w:val="24"/>
          <w:lang w:eastAsia="zh-CN"/>
        </w:rPr>
        <w:t>、地下水和土壤环境影响分析</w:t>
      </w:r>
    </w:p>
    <w:p w14:paraId="4EBD3F97"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前工程对地下水和土壤环境的影响主要是施工废水及原辅材料泄露进入地下水和土壤环境，对其造成污染。钻前施工对沉淀池进行防渗，机具材料堆放于防渗垫上面，因此，采取上述措施后钻前工程对区域地下水和土壤环境基本无影响。</w:t>
      </w:r>
    </w:p>
    <w:p w14:paraId="4D3D5A19" w14:textId="77777777" w:rsidR="00A54A8A" w:rsidRPr="00E67914" w:rsidRDefault="00000000">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4</w:t>
      </w:r>
      <w:r w:rsidRPr="00E67914">
        <w:rPr>
          <w:rFonts w:ascii="Times New Roman" w:eastAsia="黑体" w:hAnsi="Times New Roman"/>
          <w:bCs/>
          <w:kern w:val="2"/>
          <w:sz w:val="24"/>
          <w:szCs w:val="24"/>
          <w:lang w:eastAsia="zh-CN"/>
        </w:rPr>
        <w:t>、固废影响分析</w:t>
      </w:r>
    </w:p>
    <w:p w14:paraId="45B64D8B" w14:textId="3A52BD3B"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本项目工程弃土主要为井场设备基础施工产生的弃土与</w:t>
      </w:r>
      <w:r w:rsidR="003D4EE4" w:rsidRPr="00E67914">
        <w:rPr>
          <w:rFonts w:ascii="Times New Roman" w:hAnsi="Times New Roman"/>
          <w:sz w:val="24"/>
          <w:lang w:eastAsia="zh-CN"/>
        </w:rPr>
        <w:t>管线施工产生的弃土</w:t>
      </w:r>
      <w:r w:rsidRPr="00E67914">
        <w:rPr>
          <w:rFonts w:ascii="Times New Roman" w:hAnsi="Times New Roman"/>
          <w:sz w:val="24"/>
          <w:lang w:eastAsia="zh-CN"/>
        </w:rPr>
        <w:t>，这些弃土用于井场</w:t>
      </w:r>
      <w:r w:rsidR="003D4EE4" w:rsidRPr="00E67914">
        <w:rPr>
          <w:rFonts w:ascii="Times New Roman" w:hAnsi="Times New Roman"/>
          <w:sz w:val="24"/>
          <w:lang w:eastAsia="zh-CN"/>
        </w:rPr>
        <w:t>与管线沿线</w:t>
      </w:r>
      <w:r w:rsidRPr="00E67914">
        <w:rPr>
          <w:rFonts w:ascii="Times New Roman" w:hAnsi="Times New Roman"/>
          <w:sz w:val="24"/>
          <w:lang w:eastAsia="zh-CN"/>
        </w:rPr>
        <w:t>平整，无弃渣产生。钻前工程产生其他的建筑废料、弃渣</w:t>
      </w:r>
      <w:r w:rsidRPr="00E67914">
        <w:rPr>
          <w:rFonts w:ascii="Times New Roman" w:hAnsi="Times New Roman"/>
          <w:sz w:val="24"/>
          <w:lang w:eastAsia="zh-CN"/>
        </w:rPr>
        <w:lastRenderedPageBreak/>
        <w:t>和生活垃圾产生量较少，建筑垃圾用于井场平整或统一收集清运至政府指定地点，生活垃圾收集后依托当地环卫部门处理，对环境影响小。</w:t>
      </w:r>
    </w:p>
    <w:p w14:paraId="55CEA8E2" w14:textId="6E00AFEF" w:rsidR="004772D8" w:rsidRPr="00E67914" w:rsidRDefault="004772D8" w:rsidP="008752B7">
      <w:pPr>
        <w:adjustRightInd w:val="0"/>
        <w:snapToGrid w:val="0"/>
        <w:spacing w:line="360" w:lineRule="auto"/>
        <w:ind w:firstLineChars="200" w:firstLine="480"/>
        <w:jc w:val="both"/>
        <w:rPr>
          <w:rFonts w:ascii="Times New Roman" w:hAnsi="Times New Roman"/>
          <w:kern w:val="2"/>
          <w:szCs w:val="24"/>
          <w:lang w:eastAsia="zh-CN"/>
        </w:rPr>
      </w:pPr>
      <w:r w:rsidRPr="00E67914">
        <w:rPr>
          <w:rFonts w:ascii="Times New Roman" w:eastAsia="黑体" w:hAnsi="Times New Roman"/>
          <w:bCs/>
          <w:kern w:val="2"/>
          <w:sz w:val="24"/>
          <w:szCs w:val="24"/>
          <w:lang w:eastAsia="zh-CN"/>
        </w:rPr>
        <w:t>5</w:t>
      </w:r>
      <w:r w:rsidRPr="00E67914">
        <w:rPr>
          <w:rFonts w:ascii="Times New Roman" w:eastAsia="黑体" w:hAnsi="Times New Roman"/>
          <w:bCs/>
          <w:kern w:val="2"/>
          <w:sz w:val="24"/>
          <w:szCs w:val="24"/>
          <w:lang w:eastAsia="zh-CN"/>
        </w:rPr>
        <w:t>、声环境影响分析</w:t>
      </w:r>
    </w:p>
    <w:p w14:paraId="0819D68A"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前工程施工噪声主要来自施工机械和运输车辆产生的噪声，施工噪声影响虽然是暂时的，但施工过程中采用的施工机械一般都具有噪声高、无规则等特点，如不加以控制，将会对施工区域周边环境产生一定的影响。</w:t>
      </w:r>
    </w:p>
    <w:p w14:paraId="62482886"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）施工噪声预测模式</w:t>
      </w:r>
    </w:p>
    <w:p w14:paraId="054785F5"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施工噪声可近似视为点声源处理，根据点声源噪声衰减模式，估算出离声源不同距离处的噪声值，预测模式如下：</w:t>
      </w:r>
    </w:p>
    <w:p w14:paraId="23EAC359" w14:textId="77777777" w:rsidR="004772D8" w:rsidRPr="00E67914" w:rsidRDefault="00000000" w:rsidP="008752B7">
      <w:pPr>
        <w:adjustRightInd w:val="0"/>
        <w:snapToGrid w:val="0"/>
        <w:spacing w:line="360" w:lineRule="auto"/>
        <w:ind w:firstLineChars="200" w:firstLine="480"/>
        <w:jc w:val="both"/>
        <w:rPr>
          <w:rFonts w:ascii="Times New Roman" w:hAnsi="Times New Roman"/>
          <w:sz w:val="24"/>
          <w:lang w:eastAsia="zh-CN"/>
        </w:rPr>
      </w:pPr>
      <m:oMathPara>
        <m:oMath>
          <m:sSub>
            <m:sSubPr>
              <m:ctrlPr>
                <w:rPr>
                  <w:rFonts w:ascii="Cambria Math" w:hAnsi="Cambria Math"/>
                  <w:sz w:val="24"/>
                  <w:lang w:eastAsia="zh-CN"/>
                </w:rPr>
              </m:ctrlPr>
            </m:sSubPr>
            <m:e>
              <m:r>
                <w:rPr>
                  <w:rFonts w:ascii="Cambria Math" w:hAnsi="Cambria Math"/>
                  <w:sz w:val="24"/>
                  <w:lang w:eastAsia="zh-CN"/>
                </w:rPr>
                <m:t>L</m:t>
              </m:r>
            </m:e>
            <m:sub>
              <m:r>
                <w:rPr>
                  <w:rFonts w:ascii="Cambria Math" w:hAnsi="Cambria Math"/>
                  <w:sz w:val="24"/>
                  <w:lang w:eastAsia="zh-CN"/>
                </w:rPr>
                <m:t>A</m:t>
              </m:r>
            </m:sub>
          </m:sSub>
          <m:r>
            <m:rPr>
              <m:sty m:val="p"/>
            </m:rPr>
            <w:rPr>
              <w:rFonts w:ascii="Cambria Math" w:hAnsi="Cambria Math"/>
              <w:sz w:val="24"/>
              <w:lang w:eastAsia="zh-CN"/>
            </w:rPr>
            <m:t>（</m:t>
          </m:r>
          <m:r>
            <w:rPr>
              <w:rFonts w:ascii="Cambria Math" w:hAnsi="Cambria Math"/>
              <w:sz w:val="24"/>
              <w:lang w:eastAsia="zh-CN"/>
            </w:rPr>
            <m:t>r</m:t>
          </m:r>
          <m:r>
            <m:rPr>
              <m:sty m:val="p"/>
            </m:rPr>
            <w:rPr>
              <w:rFonts w:ascii="Cambria Math" w:hAnsi="Cambria Math"/>
              <w:sz w:val="24"/>
              <w:lang w:eastAsia="zh-CN"/>
            </w:rPr>
            <m:t>）</m:t>
          </m:r>
          <m:r>
            <m:rPr>
              <m:sty m:val="p"/>
            </m:rPr>
            <w:rPr>
              <w:rFonts w:ascii="Cambria Math" w:hAnsi="Cambria Math"/>
              <w:sz w:val="24"/>
              <w:lang w:eastAsia="zh-CN"/>
            </w:rPr>
            <m:t>=</m:t>
          </m:r>
          <m:sSub>
            <m:sSubPr>
              <m:ctrlPr>
                <w:rPr>
                  <w:rFonts w:ascii="Cambria Math" w:hAnsi="Cambria Math"/>
                  <w:sz w:val="24"/>
                  <w:lang w:eastAsia="zh-CN"/>
                </w:rPr>
              </m:ctrlPr>
            </m:sSubPr>
            <m:e>
              <m:r>
                <w:rPr>
                  <w:rFonts w:ascii="Cambria Math" w:hAnsi="Cambria Math"/>
                  <w:sz w:val="24"/>
                  <w:lang w:eastAsia="zh-CN"/>
                </w:rPr>
                <m:t>L</m:t>
              </m:r>
            </m:e>
            <m:sub>
              <m:r>
                <w:rPr>
                  <w:rFonts w:ascii="Cambria Math" w:hAnsi="Cambria Math"/>
                  <w:sz w:val="24"/>
                  <w:lang w:eastAsia="zh-CN"/>
                </w:rPr>
                <m:t>A</m:t>
              </m:r>
            </m:sub>
          </m:sSub>
          <m:r>
            <m:rPr>
              <m:sty m:val="p"/>
            </m:rPr>
            <w:rPr>
              <w:rFonts w:ascii="Cambria Math" w:hAnsi="Cambria Math"/>
              <w:sz w:val="24"/>
              <w:lang w:eastAsia="zh-CN"/>
            </w:rPr>
            <m:t>（</m:t>
          </m:r>
          <m:r>
            <w:rPr>
              <w:rFonts w:ascii="Cambria Math" w:hAnsi="Cambria Math"/>
              <w:sz w:val="24"/>
              <w:lang w:eastAsia="zh-CN"/>
            </w:rPr>
            <m:t>ro</m:t>
          </m:r>
          <m:r>
            <m:rPr>
              <m:sty m:val="p"/>
            </m:rPr>
            <w:rPr>
              <w:rFonts w:ascii="Cambria Math" w:hAnsi="Cambria Math"/>
              <w:sz w:val="24"/>
              <w:lang w:eastAsia="zh-CN"/>
            </w:rPr>
            <m:t>）</m:t>
          </m:r>
          <m:r>
            <m:rPr>
              <m:sty m:val="p"/>
            </m:rPr>
            <w:rPr>
              <w:rFonts w:ascii="Cambria Math" w:hAnsi="Cambria Math"/>
              <w:sz w:val="24"/>
              <w:lang w:eastAsia="zh-CN"/>
            </w:rPr>
            <m:t>-20</m:t>
          </m:r>
          <m:sSub>
            <m:sSubPr>
              <m:ctrlPr>
                <w:rPr>
                  <w:rFonts w:ascii="Cambria Math" w:hAnsi="Cambria Math"/>
                  <w:sz w:val="24"/>
                  <w:lang w:eastAsia="zh-CN"/>
                </w:rPr>
              </m:ctrlPr>
            </m:sSubPr>
            <m:e>
              <m:r>
                <w:rPr>
                  <w:rFonts w:ascii="Cambria Math" w:hAnsi="Cambria Math"/>
                  <w:sz w:val="24"/>
                  <w:lang w:eastAsia="zh-CN"/>
                </w:rPr>
                <m:t>L</m:t>
              </m:r>
            </m:e>
            <m:sub>
              <m:r>
                <w:rPr>
                  <w:rFonts w:ascii="Cambria Math" w:hAnsi="Cambria Math"/>
                  <w:sz w:val="24"/>
                  <w:lang w:eastAsia="zh-CN"/>
                </w:rPr>
                <m:t>g</m:t>
              </m:r>
            </m:sub>
          </m:sSub>
          <m:d>
            <m:dPr>
              <m:ctrlPr>
                <w:rPr>
                  <w:rFonts w:ascii="Cambria Math" w:hAnsi="Cambria Math"/>
                  <w:sz w:val="24"/>
                  <w:lang w:eastAsia="zh-CN"/>
                </w:rPr>
              </m:ctrlPr>
            </m:dPr>
            <m:e>
              <m:f>
                <m:fPr>
                  <m:type m:val="lin"/>
                  <m:ctrlPr>
                    <w:rPr>
                      <w:rFonts w:ascii="Cambria Math" w:hAnsi="Cambria Math"/>
                      <w:sz w:val="24"/>
                      <w:lang w:eastAsia="zh-CN"/>
                    </w:rPr>
                  </m:ctrlPr>
                </m:fPr>
                <m:num>
                  <m:r>
                    <w:rPr>
                      <w:rFonts w:ascii="Cambria Math" w:hAnsi="Cambria Math"/>
                      <w:sz w:val="24"/>
                      <w:lang w:eastAsia="zh-CN"/>
                    </w:rPr>
                    <m:t>r</m:t>
                  </m:r>
                </m:num>
                <m:den>
                  <m:sSub>
                    <m:sSubPr>
                      <m:ctrlPr>
                        <w:rPr>
                          <w:rFonts w:ascii="Cambria Math" w:hAnsi="Cambria Math"/>
                          <w:sz w:val="24"/>
                          <w:lang w:eastAsia="zh-CN"/>
                        </w:rPr>
                      </m:ctrlPr>
                    </m:sSubPr>
                    <m:e>
                      <m:r>
                        <w:rPr>
                          <w:rFonts w:ascii="Cambria Math" w:hAnsi="Cambria Math"/>
                          <w:sz w:val="24"/>
                          <w:lang w:eastAsia="zh-CN"/>
                        </w:rPr>
                        <m:t>r</m:t>
                      </m:r>
                    </m:e>
                    <m:sub>
                      <m:r>
                        <w:rPr>
                          <w:rFonts w:ascii="Cambria Math" w:hAnsi="Cambria Math"/>
                          <w:sz w:val="24"/>
                          <w:lang w:eastAsia="zh-CN"/>
                        </w:rPr>
                        <m:t>o</m:t>
                      </m:r>
                    </m:sub>
                  </m:sSub>
                </m:den>
              </m:f>
            </m:e>
          </m:d>
          <m:r>
            <m:rPr>
              <m:sty m:val="p"/>
            </m:rPr>
            <w:rPr>
              <w:rFonts w:ascii="Cambria Math" w:hAnsi="Cambria Math"/>
              <w:sz w:val="24"/>
              <w:lang w:eastAsia="zh-CN"/>
            </w:rPr>
            <m:t>-</m:t>
          </m:r>
          <m:r>
            <w:rPr>
              <w:rFonts w:ascii="Cambria Math" w:hAnsi="Cambria Math"/>
              <w:sz w:val="24"/>
              <w:lang w:eastAsia="zh-CN"/>
            </w:rPr>
            <m:t>ΔL</m:t>
          </m:r>
        </m:oMath>
      </m:oMathPara>
    </w:p>
    <w:p w14:paraId="005501C8"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式中：</w:t>
      </w:r>
      <w:r w:rsidRPr="00E67914">
        <w:rPr>
          <w:rFonts w:ascii="Times New Roman" w:hAnsi="Times New Roman"/>
          <w:sz w:val="24"/>
          <w:lang w:eastAsia="zh-CN"/>
        </w:rPr>
        <w:t>L</w:t>
      </w:r>
      <w:r w:rsidRPr="00E67914">
        <w:rPr>
          <w:rFonts w:ascii="Times New Roman" w:hAnsi="Times New Roman"/>
          <w:sz w:val="24"/>
          <w:vertAlign w:val="subscript"/>
          <w:lang w:eastAsia="zh-CN"/>
        </w:rPr>
        <w:t>A</w:t>
      </w:r>
      <w:r w:rsidRPr="00E67914">
        <w:rPr>
          <w:rFonts w:ascii="Times New Roman" w:hAnsi="Times New Roman"/>
          <w:sz w:val="24"/>
          <w:lang w:eastAsia="zh-CN"/>
        </w:rPr>
        <w:t>（</w:t>
      </w:r>
      <w:r w:rsidRPr="00E67914">
        <w:rPr>
          <w:rFonts w:ascii="Times New Roman" w:hAnsi="Times New Roman"/>
          <w:sz w:val="24"/>
          <w:lang w:eastAsia="zh-CN"/>
        </w:rPr>
        <w:t>r</w:t>
      </w:r>
      <w:r w:rsidRPr="00E67914">
        <w:rPr>
          <w:rFonts w:ascii="Times New Roman" w:hAnsi="Times New Roman"/>
          <w:sz w:val="24"/>
          <w:lang w:eastAsia="zh-CN"/>
        </w:rPr>
        <w:t>）</w:t>
      </w:r>
      <w:r w:rsidRPr="00E67914">
        <w:rPr>
          <w:rFonts w:ascii="Times New Roman" w:hAnsi="Times New Roman"/>
          <w:sz w:val="24"/>
          <w:lang w:eastAsia="zh-CN"/>
        </w:rPr>
        <w:t>—</w:t>
      </w:r>
      <w:r w:rsidRPr="00E67914">
        <w:rPr>
          <w:rFonts w:ascii="Times New Roman" w:hAnsi="Times New Roman"/>
          <w:sz w:val="24"/>
          <w:lang w:eastAsia="zh-CN"/>
        </w:rPr>
        <w:t>距声源</w:t>
      </w:r>
      <w:r w:rsidRPr="00E67914">
        <w:rPr>
          <w:rFonts w:ascii="Times New Roman" w:hAnsi="Times New Roman"/>
          <w:sz w:val="24"/>
          <w:lang w:eastAsia="zh-CN"/>
        </w:rPr>
        <w:t>r</w:t>
      </w:r>
      <w:r w:rsidRPr="00E67914">
        <w:rPr>
          <w:rFonts w:ascii="Times New Roman" w:hAnsi="Times New Roman"/>
          <w:sz w:val="24"/>
          <w:lang w:eastAsia="zh-CN"/>
        </w:rPr>
        <w:t>处的施工噪声预测值，</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5831FDF7"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 xml:space="preserve">           LA</w:t>
      </w:r>
      <w:r w:rsidRPr="00E67914">
        <w:rPr>
          <w:rFonts w:ascii="Times New Roman" w:hAnsi="Times New Roman"/>
          <w:sz w:val="24"/>
          <w:lang w:eastAsia="zh-CN"/>
        </w:rPr>
        <w:t>（</w:t>
      </w:r>
      <w:r w:rsidRPr="00E67914">
        <w:rPr>
          <w:rFonts w:ascii="Times New Roman" w:hAnsi="Times New Roman"/>
          <w:sz w:val="24"/>
          <w:lang w:eastAsia="zh-CN"/>
        </w:rPr>
        <w:t>r0</w:t>
      </w:r>
      <w:r w:rsidRPr="00E67914">
        <w:rPr>
          <w:rFonts w:ascii="Times New Roman" w:hAnsi="Times New Roman"/>
          <w:sz w:val="24"/>
          <w:lang w:eastAsia="zh-CN"/>
        </w:rPr>
        <w:t>）</w:t>
      </w:r>
      <w:r w:rsidRPr="00E67914">
        <w:rPr>
          <w:rFonts w:ascii="Times New Roman" w:hAnsi="Times New Roman"/>
          <w:sz w:val="24"/>
          <w:lang w:eastAsia="zh-CN"/>
        </w:rPr>
        <w:t>—</w:t>
      </w:r>
      <w:r w:rsidRPr="00E67914">
        <w:rPr>
          <w:rFonts w:ascii="Times New Roman" w:hAnsi="Times New Roman"/>
          <w:sz w:val="24"/>
          <w:lang w:eastAsia="zh-CN"/>
        </w:rPr>
        <w:t>距声源</w:t>
      </w:r>
      <w:r w:rsidRPr="00E67914">
        <w:rPr>
          <w:rFonts w:ascii="Times New Roman" w:hAnsi="Times New Roman"/>
          <w:sz w:val="24"/>
          <w:lang w:eastAsia="zh-CN"/>
        </w:rPr>
        <w:t>r</w:t>
      </w:r>
      <w:r w:rsidRPr="00E67914">
        <w:rPr>
          <w:rFonts w:ascii="Times New Roman" w:hAnsi="Times New Roman"/>
          <w:sz w:val="24"/>
          <w:vertAlign w:val="subscript"/>
          <w:lang w:eastAsia="zh-CN"/>
        </w:rPr>
        <w:t>0</w:t>
      </w:r>
      <w:r w:rsidRPr="00E67914">
        <w:rPr>
          <w:rFonts w:ascii="Times New Roman" w:hAnsi="Times New Roman"/>
          <w:sz w:val="24"/>
          <w:lang w:eastAsia="zh-CN"/>
        </w:rPr>
        <w:t>处的参考声压级，</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10E8E24C"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 xml:space="preserve">           r—</w:t>
      </w:r>
      <w:r w:rsidRPr="00E67914">
        <w:rPr>
          <w:rFonts w:ascii="Times New Roman" w:hAnsi="Times New Roman"/>
          <w:sz w:val="24"/>
          <w:lang w:eastAsia="zh-CN"/>
        </w:rPr>
        <w:t>预测点距声源的距离，</w:t>
      </w:r>
      <w:r w:rsidRPr="00E67914">
        <w:rPr>
          <w:rFonts w:ascii="Times New Roman" w:hAnsi="Times New Roman"/>
          <w:sz w:val="24"/>
          <w:lang w:eastAsia="zh-CN"/>
        </w:rPr>
        <w:t>m</w:t>
      </w:r>
      <w:r w:rsidRPr="00E67914">
        <w:rPr>
          <w:rFonts w:ascii="Times New Roman" w:hAnsi="Times New Roman"/>
          <w:sz w:val="24"/>
          <w:lang w:eastAsia="zh-CN"/>
        </w:rPr>
        <w:t>；</w:t>
      </w:r>
    </w:p>
    <w:p w14:paraId="513E3F3F"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 xml:space="preserve">           r</w:t>
      </w:r>
      <w:r w:rsidRPr="00E67914">
        <w:rPr>
          <w:rFonts w:ascii="Times New Roman" w:hAnsi="Times New Roman"/>
          <w:sz w:val="24"/>
          <w:vertAlign w:val="subscript"/>
          <w:lang w:eastAsia="zh-CN"/>
        </w:rPr>
        <w:t>0</w:t>
      </w:r>
      <w:r w:rsidRPr="00E67914">
        <w:rPr>
          <w:rFonts w:ascii="Times New Roman" w:hAnsi="Times New Roman"/>
          <w:sz w:val="24"/>
          <w:lang w:eastAsia="zh-CN"/>
        </w:rPr>
        <w:t>—</w:t>
      </w:r>
      <w:r w:rsidRPr="00E67914">
        <w:rPr>
          <w:rFonts w:ascii="Times New Roman" w:hAnsi="Times New Roman"/>
          <w:sz w:val="24"/>
          <w:lang w:eastAsia="zh-CN"/>
        </w:rPr>
        <w:t>参考点距声源的距离，</w:t>
      </w:r>
      <w:r w:rsidRPr="00E67914">
        <w:rPr>
          <w:rFonts w:ascii="Times New Roman" w:hAnsi="Times New Roman"/>
          <w:sz w:val="24"/>
          <w:lang w:eastAsia="zh-CN"/>
        </w:rPr>
        <w:t>m</w:t>
      </w:r>
      <w:r w:rsidRPr="00E67914">
        <w:rPr>
          <w:rFonts w:ascii="Times New Roman" w:hAnsi="Times New Roman"/>
          <w:sz w:val="24"/>
          <w:lang w:eastAsia="zh-CN"/>
        </w:rPr>
        <w:t>。</w:t>
      </w:r>
    </w:p>
    <w:p w14:paraId="5C0D3238"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 xml:space="preserve">          </w:t>
      </w:r>
      <w:r w:rsidRPr="00E67914">
        <w:rPr>
          <w:rFonts w:ascii="Times New Roman" w:hAnsi="Times New Roman"/>
          <w:sz w:val="24"/>
          <w:lang w:eastAsia="zh-CN"/>
        </w:rPr>
        <w:object w:dxaOrig="372" w:dyaOrig="228" w14:anchorId="7435147E">
          <v:shape id="_x0000_i1029" type="#_x0000_t75" style="width:16.3pt;height:11.9pt;mso-position-horizontal-relative:page;mso-position-vertical-relative:page" o:ole="">
            <v:imagedata r:id="rId65" o:title=""/>
          </v:shape>
          <o:OLEObject Type="Embed" ProgID="Equation.2" ShapeID="_x0000_i1029" DrawAspect="Content" ObjectID="_1759298087" r:id="rId66"/>
        </w:object>
      </w:r>
      <w:r w:rsidRPr="00E67914">
        <w:rPr>
          <w:rFonts w:ascii="Times New Roman" w:hAnsi="Times New Roman"/>
          <w:sz w:val="24"/>
          <w:lang w:eastAsia="zh-CN"/>
        </w:rPr>
        <w:t>—</w:t>
      </w:r>
      <w:r w:rsidRPr="00E67914">
        <w:rPr>
          <w:rFonts w:ascii="Times New Roman" w:hAnsi="Times New Roman"/>
          <w:sz w:val="24"/>
          <w:lang w:eastAsia="zh-CN"/>
        </w:rPr>
        <w:t>各种衰减量（除发散衰减外），</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）。室外噪声源</w:t>
      </w:r>
      <w:r w:rsidRPr="00E67914">
        <w:rPr>
          <w:rFonts w:ascii="Times New Roman" w:hAnsi="Times New Roman"/>
          <w:sz w:val="24"/>
          <w:lang w:eastAsia="zh-CN"/>
        </w:rPr>
        <w:object w:dxaOrig="372" w:dyaOrig="228" w14:anchorId="33601531">
          <v:shape id="_x0000_i1030" type="#_x0000_t75" style="width:16.3pt;height:11.9pt;mso-position-horizontal-relative:page;mso-position-vertical-relative:page" o:ole="">
            <v:imagedata r:id="rId65" o:title=""/>
          </v:shape>
          <o:OLEObject Type="Embed" ProgID="Equation.2" ShapeID="_x0000_i1030" DrawAspect="Content" ObjectID="_1759298088" r:id="rId67"/>
        </w:object>
      </w:r>
      <w:r w:rsidRPr="00E67914">
        <w:rPr>
          <w:rFonts w:ascii="Times New Roman" w:hAnsi="Times New Roman"/>
          <w:sz w:val="24"/>
          <w:lang w:eastAsia="zh-CN"/>
        </w:rPr>
        <w:t>取为零。</w:t>
      </w:r>
    </w:p>
    <w:p w14:paraId="014C827D" w14:textId="772415F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根据工程设计，本项目仅白天施工，夜间不施工。根据噪声衰减模式，各施工机具声源在不同距离处的噪声影响值（未考虑吸声、隔声等效果）参见表</w:t>
      </w:r>
      <w:r w:rsidR="008752B7" w:rsidRPr="00E67914">
        <w:rPr>
          <w:rFonts w:ascii="Times New Roman" w:hAnsi="Times New Roman"/>
          <w:sz w:val="24"/>
          <w:lang w:eastAsia="zh-CN"/>
        </w:rPr>
        <w:t>5.1-3</w:t>
      </w:r>
      <w:r w:rsidRPr="00E67914">
        <w:rPr>
          <w:rFonts w:ascii="Times New Roman" w:hAnsi="Times New Roman"/>
          <w:sz w:val="24"/>
          <w:lang w:eastAsia="zh-CN"/>
        </w:rPr>
        <w:t>。</w:t>
      </w:r>
    </w:p>
    <w:p w14:paraId="6F36975A" w14:textId="42573AC3" w:rsidR="004772D8" w:rsidRPr="00E67914" w:rsidRDefault="004772D8" w:rsidP="008752B7">
      <w:pPr>
        <w:pStyle w:val="afffff0"/>
        <w:spacing w:line="240" w:lineRule="auto"/>
        <w:rPr>
          <w:rFonts w:ascii="Times New Roman"/>
        </w:rPr>
      </w:pPr>
      <w:r w:rsidRPr="00E67914">
        <w:rPr>
          <w:rFonts w:ascii="Times New Roman"/>
        </w:rPr>
        <w:t>表</w:t>
      </w:r>
      <w:r w:rsidR="008752B7" w:rsidRPr="00E67914">
        <w:rPr>
          <w:rFonts w:ascii="Times New Roman"/>
        </w:rPr>
        <w:t>5.1-3</w:t>
      </w:r>
      <w:r w:rsidRPr="00E67914">
        <w:rPr>
          <w:rFonts w:ascii="Times New Roman"/>
        </w:rPr>
        <w:t xml:space="preserve">  </w:t>
      </w:r>
      <w:r w:rsidRPr="00E67914">
        <w:rPr>
          <w:rFonts w:ascii="Times New Roman"/>
        </w:rPr>
        <w:t>主要施工机械在不同距离的噪声值</w:t>
      </w:r>
      <w:r w:rsidRPr="00E67914">
        <w:rPr>
          <w:rFonts w:ascii="Times New Roman"/>
        </w:rPr>
        <w:t xml:space="preserve">  </w:t>
      </w:r>
      <w:r w:rsidRPr="00E67914">
        <w:rPr>
          <w:rFonts w:ascii="Times New Roman"/>
        </w:rPr>
        <w:t>单位：</w:t>
      </w:r>
      <w:r w:rsidRPr="00E67914">
        <w:rPr>
          <w:rFonts w:ascii="Times New Roman"/>
        </w:rPr>
        <w:t>dB</w:t>
      </w:r>
      <w:r w:rsidRPr="00E67914">
        <w:rPr>
          <w:rFonts w:ascii="Times New Roman"/>
        </w:rPr>
        <w:t>（</w:t>
      </w:r>
      <w:r w:rsidRPr="00E67914">
        <w:rPr>
          <w:rFonts w:ascii="Times New Roman"/>
        </w:rPr>
        <w:t>A</w:t>
      </w:r>
      <w:r w:rsidRPr="00E67914">
        <w:rPr>
          <w:rFonts w:ascii="Times New Roman"/>
        </w:rPr>
        <w:t>）</w:t>
      </w: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1160"/>
        <w:gridCol w:w="802"/>
        <w:gridCol w:w="852"/>
        <w:gridCol w:w="852"/>
        <w:gridCol w:w="852"/>
        <w:gridCol w:w="830"/>
        <w:gridCol w:w="830"/>
        <w:gridCol w:w="941"/>
        <w:gridCol w:w="900"/>
      </w:tblGrid>
      <w:tr w:rsidR="00E67914" w:rsidRPr="00E67914" w14:paraId="32B61A47" w14:textId="77777777" w:rsidTr="005B7AE3">
        <w:trPr>
          <w:trHeight w:val="369"/>
          <w:tblHeader/>
          <w:jc w:val="center"/>
        </w:trPr>
        <w:tc>
          <w:tcPr>
            <w:tcW w:w="740" w:type="dxa"/>
            <w:vMerge w:val="restart"/>
            <w:tcBorders>
              <w:top w:val="single" w:sz="4" w:space="0" w:color="auto"/>
              <w:left w:val="single" w:sz="4" w:space="0" w:color="auto"/>
              <w:bottom w:val="single" w:sz="4" w:space="0" w:color="auto"/>
              <w:right w:val="single" w:sz="4" w:space="0" w:color="auto"/>
            </w:tcBorders>
            <w:vAlign w:val="center"/>
            <w:hideMark/>
          </w:tcPr>
          <w:p w14:paraId="1C593C67" w14:textId="77777777" w:rsidR="004772D8" w:rsidRPr="00E67914" w:rsidRDefault="004772D8" w:rsidP="008752B7">
            <w:pPr>
              <w:pStyle w:val="06"/>
              <w:rPr>
                <w:rFonts w:cs="Times New Roman"/>
              </w:rPr>
            </w:pPr>
            <w:r w:rsidRPr="00E67914">
              <w:rPr>
                <w:rFonts w:cs="Times New Roman"/>
              </w:rPr>
              <w:t>序号</w:t>
            </w:r>
          </w:p>
        </w:tc>
        <w:tc>
          <w:tcPr>
            <w:tcW w:w="1117" w:type="dxa"/>
            <w:vMerge w:val="restart"/>
            <w:tcBorders>
              <w:top w:val="single" w:sz="4" w:space="0" w:color="auto"/>
              <w:left w:val="single" w:sz="4" w:space="0" w:color="auto"/>
              <w:bottom w:val="single" w:sz="4" w:space="0" w:color="auto"/>
              <w:right w:val="single" w:sz="4" w:space="0" w:color="auto"/>
            </w:tcBorders>
            <w:vAlign w:val="center"/>
            <w:hideMark/>
          </w:tcPr>
          <w:p w14:paraId="266EFF3B" w14:textId="77777777" w:rsidR="004772D8" w:rsidRPr="00E67914" w:rsidRDefault="004772D8" w:rsidP="008752B7">
            <w:pPr>
              <w:pStyle w:val="06"/>
              <w:rPr>
                <w:rFonts w:cs="Times New Roman"/>
              </w:rPr>
            </w:pPr>
            <w:r w:rsidRPr="00E67914">
              <w:rPr>
                <w:rFonts w:cs="Times New Roman"/>
              </w:rPr>
              <w:t>施工</w:t>
            </w:r>
          </w:p>
          <w:p w14:paraId="0B423CAC" w14:textId="77777777" w:rsidR="004772D8" w:rsidRPr="00E67914" w:rsidRDefault="004772D8" w:rsidP="008752B7">
            <w:pPr>
              <w:pStyle w:val="06"/>
              <w:rPr>
                <w:rFonts w:cs="Times New Roman"/>
              </w:rPr>
            </w:pPr>
            <w:r w:rsidRPr="00E67914">
              <w:rPr>
                <w:rFonts w:cs="Times New Roman"/>
              </w:rPr>
              <w:t>机具</w:t>
            </w:r>
          </w:p>
        </w:tc>
        <w:tc>
          <w:tcPr>
            <w:tcW w:w="6602" w:type="dxa"/>
            <w:gridSpan w:val="8"/>
            <w:tcBorders>
              <w:top w:val="single" w:sz="4" w:space="0" w:color="auto"/>
              <w:left w:val="single" w:sz="4" w:space="0" w:color="auto"/>
              <w:bottom w:val="single" w:sz="4" w:space="0" w:color="auto"/>
              <w:right w:val="single" w:sz="4" w:space="0" w:color="auto"/>
            </w:tcBorders>
            <w:vAlign w:val="center"/>
            <w:hideMark/>
          </w:tcPr>
          <w:p w14:paraId="071E5BD8" w14:textId="77777777" w:rsidR="004772D8" w:rsidRPr="00E67914" w:rsidRDefault="004772D8" w:rsidP="008752B7">
            <w:pPr>
              <w:pStyle w:val="06"/>
              <w:rPr>
                <w:rFonts w:cs="Times New Roman"/>
              </w:rPr>
            </w:pPr>
            <w:r w:rsidRPr="00E67914">
              <w:rPr>
                <w:rFonts w:cs="Times New Roman"/>
              </w:rPr>
              <w:t>预测距离（</w:t>
            </w:r>
            <w:r w:rsidRPr="00E67914">
              <w:rPr>
                <w:rFonts w:cs="Times New Roman"/>
              </w:rPr>
              <w:t>m</w:t>
            </w:r>
            <w:r w:rsidRPr="00E67914">
              <w:rPr>
                <w:rFonts w:cs="Times New Roman"/>
              </w:rPr>
              <w:t>）</w:t>
            </w:r>
          </w:p>
        </w:tc>
      </w:tr>
      <w:tr w:rsidR="00E67914" w:rsidRPr="00E67914" w14:paraId="77966765" w14:textId="77777777" w:rsidTr="005B7AE3">
        <w:trPr>
          <w:trHeight w:val="369"/>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1AE119" w14:textId="77777777" w:rsidR="004772D8" w:rsidRPr="00E67914" w:rsidRDefault="004772D8" w:rsidP="008752B7">
            <w:pPr>
              <w:pStyle w:val="06"/>
              <w:rPr>
                <w:rFonts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3A449E" w14:textId="77777777" w:rsidR="004772D8" w:rsidRPr="00E67914" w:rsidRDefault="004772D8" w:rsidP="008752B7">
            <w:pPr>
              <w:pStyle w:val="06"/>
              <w:rPr>
                <w:rFonts w:cs="Times New Roman"/>
              </w:rPr>
            </w:pPr>
          </w:p>
        </w:tc>
        <w:tc>
          <w:tcPr>
            <w:tcW w:w="772" w:type="dxa"/>
            <w:tcBorders>
              <w:top w:val="single" w:sz="4" w:space="0" w:color="auto"/>
              <w:left w:val="single" w:sz="4" w:space="0" w:color="auto"/>
              <w:bottom w:val="single" w:sz="4" w:space="0" w:color="auto"/>
              <w:right w:val="single" w:sz="4" w:space="0" w:color="auto"/>
            </w:tcBorders>
            <w:vAlign w:val="center"/>
            <w:hideMark/>
          </w:tcPr>
          <w:p w14:paraId="77670E47" w14:textId="77777777" w:rsidR="004772D8" w:rsidRPr="00E67914" w:rsidRDefault="004772D8" w:rsidP="008752B7">
            <w:pPr>
              <w:pStyle w:val="06"/>
              <w:rPr>
                <w:rFonts w:cs="Times New Roman"/>
              </w:rPr>
            </w:pPr>
            <w:r w:rsidRPr="00E67914">
              <w:rPr>
                <w:rFonts w:cs="Times New Roman"/>
                <w:kern w:val="2"/>
              </w:rPr>
              <w:t>10</w:t>
            </w:r>
          </w:p>
        </w:tc>
        <w:tc>
          <w:tcPr>
            <w:tcW w:w="820" w:type="dxa"/>
            <w:tcBorders>
              <w:top w:val="single" w:sz="4" w:space="0" w:color="auto"/>
              <w:left w:val="single" w:sz="4" w:space="0" w:color="auto"/>
              <w:bottom w:val="single" w:sz="4" w:space="0" w:color="auto"/>
              <w:right w:val="single" w:sz="4" w:space="0" w:color="auto"/>
            </w:tcBorders>
            <w:vAlign w:val="center"/>
            <w:hideMark/>
          </w:tcPr>
          <w:p w14:paraId="479BB26D" w14:textId="138BE234" w:rsidR="004772D8" w:rsidRPr="00E67914" w:rsidRDefault="001D0D95" w:rsidP="008752B7">
            <w:pPr>
              <w:pStyle w:val="06"/>
              <w:rPr>
                <w:rFonts w:cs="Times New Roman"/>
              </w:rPr>
            </w:pPr>
            <w:r w:rsidRPr="00E67914">
              <w:rPr>
                <w:rFonts w:cs="Times New Roman"/>
                <w:kern w:val="2"/>
              </w:rPr>
              <w:t>3</w:t>
            </w:r>
            <w:r w:rsidR="004772D8" w:rsidRPr="00E67914">
              <w:rPr>
                <w:rFonts w:cs="Times New Roman"/>
                <w:kern w:val="2"/>
              </w:rPr>
              <w:t>0</w:t>
            </w:r>
          </w:p>
        </w:tc>
        <w:tc>
          <w:tcPr>
            <w:tcW w:w="820" w:type="dxa"/>
            <w:tcBorders>
              <w:top w:val="single" w:sz="4" w:space="0" w:color="auto"/>
              <w:left w:val="single" w:sz="4" w:space="0" w:color="auto"/>
              <w:bottom w:val="single" w:sz="4" w:space="0" w:color="auto"/>
              <w:right w:val="single" w:sz="4" w:space="0" w:color="auto"/>
            </w:tcBorders>
            <w:vAlign w:val="center"/>
            <w:hideMark/>
          </w:tcPr>
          <w:p w14:paraId="3B18EA85" w14:textId="77777777" w:rsidR="004772D8" w:rsidRPr="00E67914" w:rsidRDefault="004772D8" w:rsidP="008752B7">
            <w:pPr>
              <w:pStyle w:val="06"/>
              <w:rPr>
                <w:rFonts w:cs="Times New Roman"/>
              </w:rPr>
            </w:pPr>
            <w:r w:rsidRPr="00E67914">
              <w:rPr>
                <w:rFonts w:cs="Times New Roman"/>
                <w:kern w:val="2"/>
              </w:rPr>
              <w:t>50</w:t>
            </w:r>
          </w:p>
        </w:tc>
        <w:tc>
          <w:tcPr>
            <w:tcW w:w="820" w:type="dxa"/>
            <w:tcBorders>
              <w:top w:val="single" w:sz="4" w:space="0" w:color="auto"/>
              <w:left w:val="single" w:sz="4" w:space="0" w:color="auto"/>
              <w:bottom w:val="single" w:sz="4" w:space="0" w:color="auto"/>
              <w:right w:val="single" w:sz="4" w:space="0" w:color="auto"/>
            </w:tcBorders>
            <w:vAlign w:val="center"/>
            <w:hideMark/>
          </w:tcPr>
          <w:p w14:paraId="45E9D1DF" w14:textId="77777777" w:rsidR="004772D8" w:rsidRPr="00E67914" w:rsidRDefault="004772D8" w:rsidP="008752B7">
            <w:pPr>
              <w:pStyle w:val="06"/>
              <w:rPr>
                <w:rFonts w:cs="Times New Roman"/>
              </w:rPr>
            </w:pPr>
            <w:r w:rsidRPr="00E67914">
              <w:rPr>
                <w:rFonts w:cs="Times New Roman"/>
                <w:kern w:val="2"/>
              </w:rPr>
              <w:t>100</w:t>
            </w:r>
          </w:p>
        </w:tc>
        <w:tc>
          <w:tcPr>
            <w:tcW w:w="799" w:type="dxa"/>
            <w:tcBorders>
              <w:top w:val="single" w:sz="4" w:space="0" w:color="auto"/>
              <w:left w:val="single" w:sz="4" w:space="0" w:color="auto"/>
              <w:bottom w:val="single" w:sz="4" w:space="0" w:color="auto"/>
              <w:right w:val="single" w:sz="4" w:space="0" w:color="auto"/>
            </w:tcBorders>
            <w:vAlign w:val="center"/>
            <w:hideMark/>
          </w:tcPr>
          <w:p w14:paraId="362544E2" w14:textId="77777777" w:rsidR="004772D8" w:rsidRPr="00E67914" w:rsidRDefault="004772D8" w:rsidP="008752B7">
            <w:pPr>
              <w:pStyle w:val="06"/>
              <w:rPr>
                <w:rFonts w:cs="Times New Roman"/>
              </w:rPr>
            </w:pPr>
            <w:r w:rsidRPr="00E67914">
              <w:rPr>
                <w:rFonts w:cs="Times New Roman"/>
                <w:kern w:val="2"/>
              </w:rPr>
              <w:t>150</w:t>
            </w:r>
          </w:p>
        </w:tc>
        <w:tc>
          <w:tcPr>
            <w:tcW w:w="799" w:type="dxa"/>
            <w:tcBorders>
              <w:top w:val="single" w:sz="4" w:space="0" w:color="auto"/>
              <w:left w:val="single" w:sz="4" w:space="0" w:color="auto"/>
              <w:bottom w:val="single" w:sz="4" w:space="0" w:color="auto"/>
              <w:right w:val="single" w:sz="4" w:space="0" w:color="auto"/>
            </w:tcBorders>
            <w:vAlign w:val="center"/>
            <w:hideMark/>
          </w:tcPr>
          <w:p w14:paraId="4ED06905" w14:textId="77777777" w:rsidR="004772D8" w:rsidRPr="00E67914" w:rsidRDefault="004772D8" w:rsidP="008752B7">
            <w:pPr>
              <w:pStyle w:val="06"/>
              <w:rPr>
                <w:rFonts w:cs="Times New Roman"/>
              </w:rPr>
            </w:pPr>
            <w:r w:rsidRPr="00E67914">
              <w:rPr>
                <w:rFonts w:cs="Times New Roman"/>
                <w:kern w:val="2"/>
              </w:rPr>
              <w:t>200</w:t>
            </w:r>
          </w:p>
        </w:tc>
        <w:tc>
          <w:tcPr>
            <w:tcW w:w="906" w:type="dxa"/>
            <w:tcBorders>
              <w:top w:val="single" w:sz="4" w:space="0" w:color="auto"/>
              <w:left w:val="single" w:sz="4" w:space="0" w:color="auto"/>
              <w:bottom w:val="single" w:sz="4" w:space="0" w:color="auto"/>
              <w:right w:val="single" w:sz="4" w:space="0" w:color="auto"/>
            </w:tcBorders>
            <w:vAlign w:val="center"/>
            <w:hideMark/>
          </w:tcPr>
          <w:p w14:paraId="2C59B345" w14:textId="77777777" w:rsidR="004772D8" w:rsidRPr="00E67914" w:rsidRDefault="004772D8" w:rsidP="008752B7">
            <w:pPr>
              <w:pStyle w:val="06"/>
              <w:rPr>
                <w:rFonts w:cs="Times New Roman"/>
              </w:rPr>
            </w:pPr>
            <w:r w:rsidRPr="00E67914">
              <w:rPr>
                <w:rFonts w:cs="Times New Roman"/>
                <w:kern w:val="2"/>
              </w:rPr>
              <w:t>250</w:t>
            </w:r>
          </w:p>
        </w:tc>
        <w:tc>
          <w:tcPr>
            <w:tcW w:w="866" w:type="dxa"/>
            <w:tcBorders>
              <w:top w:val="single" w:sz="4" w:space="0" w:color="auto"/>
              <w:left w:val="single" w:sz="4" w:space="0" w:color="auto"/>
              <w:bottom w:val="single" w:sz="4" w:space="0" w:color="auto"/>
              <w:right w:val="single" w:sz="4" w:space="0" w:color="auto"/>
            </w:tcBorders>
            <w:vAlign w:val="center"/>
            <w:hideMark/>
          </w:tcPr>
          <w:p w14:paraId="083F185D" w14:textId="77777777" w:rsidR="004772D8" w:rsidRPr="00E67914" w:rsidRDefault="004772D8" w:rsidP="008752B7">
            <w:pPr>
              <w:pStyle w:val="06"/>
              <w:rPr>
                <w:rFonts w:cs="Times New Roman"/>
              </w:rPr>
            </w:pPr>
            <w:r w:rsidRPr="00E67914">
              <w:rPr>
                <w:rFonts w:cs="Times New Roman"/>
                <w:kern w:val="2"/>
              </w:rPr>
              <w:t>280</w:t>
            </w:r>
          </w:p>
        </w:tc>
      </w:tr>
      <w:tr w:rsidR="00E67914" w:rsidRPr="00E67914" w14:paraId="7A79862A" w14:textId="77777777" w:rsidTr="001D0D95">
        <w:trPr>
          <w:trHeight w:val="369"/>
          <w:jc w:val="center"/>
        </w:trPr>
        <w:tc>
          <w:tcPr>
            <w:tcW w:w="740" w:type="dxa"/>
            <w:tcBorders>
              <w:top w:val="single" w:sz="4" w:space="0" w:color="auto"/>
              <w:left w:val="single" w:sz="4" w:space="0" w:color="auto"/>
              <w:bottom w:val="single" w:sz="4" w:space="0" w:color="auto"/>
              <w:right w:val="single" w:sz="4" w:space="0" w:color="auto"/>
            </w:tcBorders>
            <w:vAlign w:val="center"/>
            <w:hideMark/>
          </w:tcPr>
          <w:p w14:paraId="6009960F" w14:textId="77777777" w:rsidR="004772D8" w:rsidRPr="00E67914" w:rsidRDefault="004772D8" w:rsidP="004772D8">
            <w:pPr>
              <w:pStyle w:val="04"/>
              <w:rPr>
                <w:rFonts w:cs="Times New Roman"/>
              </w:rPr>
            </w:pPr>
            <w:r w:rsidRPr="00E67914">
              <w:rPr>
                <w:rFonts w:cs="Times New Roman"/>
              </w:rPr>
              <w:t>1</w:t>
            </w:r>
          </w:p>
        </w:tc>
        <w:tc>
          <w:tcPr>
            <w:tcW w:w="1117" w:type="dxa"/>
            <w:tcBorders>
              <w:top w:val="single" w:sz="4" w:space="0" w:color="auto"/>
              <w:left w:val="single" w:sz="4" w:space="0" w:color="auto"/>
              <w:bottom w:val="single" w:sz="4" w:space="0" w:color="auto"/>
              <w:right w:val="single" w:sz="4" w:space="0" w:color="auto"/>
            </w:tcBorders>
            <w:vAlign w:val="center"/>
            <w:hideMark/>
          </w:tcPr>
          <w:p w14:paraId="6ACEADC4" w14:textId="77777777" w:rsidR="004772D8" w:rsidRPr="00E67914" w:rsidRDefault="004772D8" w:rsidP="004772D8">
            <w:pPr>
              <w:pStyle w:val="04"/>
              <w:rPr>
                <w:rFonts w:cs="Times New Roman"/>
              </w:rPr>
            </w:pPr>
            <w:r w:rsidRPr="00E67914">
              <w:rPr>
                <w:rFonts w:cs="Times New Roman"/>
                <w:kern w:val="2"/>
              </w:rPr>
              <w:t>推土机</w:t>
            </w:r>
          </w:p>
        </w:tc>
        <w:tc>
          <w:tcPr>
            <w:tcW w:w="772" w:type="dxa"/>
            <w:tcBorders>
              <w:top w:val="single" w:sz="4" w:space="0" w:color="auto"/>
              <w:left w:val="single" w:sz="4" w:space="0" w:color="auto"/>
              <w:bottom w:val="single" w:sz="4" w:space="0" w:color="auto"/>
              <w:right w:val="single" w:sz="4" w:space="0" w:color="auto"/>
            </w:tcBorders>
            <w:vAlign w:val="center"/>
          </w:tcPr>
          <w:p w14:paraId="15ED1CC3" w14:textId="6DAAF8A5" w:rsidR="004772D8" w:rsidRPr="00E67914" w:rsidRDefault="001D0D95" w:rsidP="004772D8">
            <w:pPr>
              <w:pStyle w:val="04"/>
              <w:rPr>
                <w:rFonts w:cs="Times New Roman"/>
                <w:kern w:val="2"/>
              </w:rPr>
            </w:pPr>
            <w:r w:rsidRPr="00E67914">
              <w:rPr>
                <w:rFonts w:cs="Times New Roman"/>
                <w:kern w:val="2"/>
              </w:rPr>
              <w:t>79</w:t>
            </w:r>
          </w:p>
        </w:tc>
        <w:tc>
          <w:tcPr>
            <w:tcW w:w="820" w:type="dxa"/>
            <w:tcBorders>
              <w:top w:val="single" w:sz="4" w:space="0" w:color="auto"/>
              <w:left w:val="single" w:sz="4" w:space="0" w:color="auto"/>
              <w:bottom w:val="single" w:sz="4" w:space="0" w:color="auto"/>
              <w:right w:val="single" w:sz="4" w:space="0" w:color="auto"/>
            </w:tcBorders>
            <w:vAlign w:val="center"/>
          </w:tcPr>
          <w:p w14:paraId="44750F53" w14:textId="1592D00B" w:rsidR="004772D8" w:rsidRPr="00E67914" w:rsidRDefault="001D0D95" w:rsidP="004772D8">
            <w:pPr>
              <w:pStyle w:val="04"/>
              <w:rPr>
                <w:rFonts w:cs="Times New Roman"/>
                <w:kern w:val="2"/>
              </w:rPr>
            </w:pPr>
            <w:r w:rsidRPr="00E67914">
              <w:rPr>
                <w:rFonts w:cs="Times New Roman"/>
                <w:kern w:val="2"/>
              </w:rPr>
              <w:t>69</w:t>
            </w:r>
          </w:p>
        </w:tc>
        <w:tc>
          <w:tcPr>
            <w:tcW w:w="820" w:type="dxa"/>
            <w:tcBorders>
              <w:top w:val="single" w:sz="4" w:space="0" w:color="auto"/>
              <w:left w:val="single" w:sz="4" w:space="0" w:color="auto"/>
              <w:bottom w:val="single" w:sz="4" w:space="0" w:color="auto"/>
              <w:right w:val="single" w:sz="4" w:space="0" w:color="auto"/>
            </w:tcBorders>
            <w:vAlign w:val="center"/>
          </w:tcPr>
          <w:p w14:paraId="59D9BC9E" w14:textId="389323F6" w:rsidR="004772D8" w:rsidRPr="00E67914" w:rsidRDefault="001D0D95" w:rsidP="004772D8">
            <w:pPr>
              <w:pStyle w:val="04"/>
              <w:rPr>
                <w:rFonts w:cs="Times New Roman"/>
                <w:kern w:val="2"/>
              </w:rPr>
            </w:pPr>
            <w:r w:rsidRPr="00E67914">
              <w:rPr>
                <w:rFonts w:cs="Times New Roman"/>
                <w:kern w:val="2"/>
              </w:rPr>
              <w:t>65</w:t>
            </w:r>
          </w:p>
        </w:tc>
        <w:tc>
          <w:tcPr>
            <w:tcW w:w="820" w:type="dxa"/>
            <w:tcBorders>
              <w:top w:val="single" w:sz="4" w:space="0" w:color="auto"/>
              <w:left w:val="single" w:sz="4" w:space="0" w:color="auto"/>
              <w:bottom w:val="single" w:sz="4" w:space="0" w:color="auto"/>
              <w:right w:val="single" w:sz="4" w:space="0" w:color="auto"/>
            </w:tcBorders>
            <w:vAlign w:val="center"/>
          </w:tcPr>
          <w:p w14:paraId="1125CE98" w14:textId="03645EB1" w:rsidR="004772D8" w:rsidRPr="00E67914" w:rsidRDefault="001D0D95" w:rsidP="004772D8">
            <w:pPr>
              <w:pStyle w:val="04"/>
              <w:rPr>
                <w:rFonts w:cs="Times New Roman"/>
                <w:kern w:val="2"/>
              </w:rPr>
            </w:pPr>
            <w:r w:rsidRPr="00E67914">
              <w:rPr>
                <w:rFonts w:cs="Times New Roman"/>
                <w:kern w:val="2"/>
              </w:rPr>
              <w:t>59</w:t>
            </w:r>
          </w:p>
        </w:tc>
        <w:tc>
          <w:tcPr>
            <w:tcW w:w="799" w:type="dxa"/>
            <w:tcBorders>
              <w:top w:val="single" w:sz="4" w:space="0" w:color="auto"/>
              <w:left w:val="single" w:sz="4" w:space="0" w:color="auto"/>
              <w:bottom w:val="single" w:sz="4" w:space="0" w:color="auto"/>
              <w:right w:val="single" w:sz="4" w:space="0" w:color="auto"/>
            </w:tcBorders>
            <w:vAlign w:val="center"/>
          </w:tcPr>
          <w:p w14:paraId="727364D9" w14:textId="32250F2C" w:rsidR="004772D8" w:rsidRPr="00E67914" w:rsidRDefault="001D0D95" w:rsidP="004772D8">
            <w:pPr>
              <w:pStyle w:val="04"/>
              <w:rPr>
                <w:rFonts w:cs="Times New Roman"/>
                <w:kern w:val="2"/>
              </w:rPr>
            </w:pPr>
            <w:r w:rsidRPr="00E67914">
              <w:rPr>
                <w:rFonts w:cs="Times New Roman"/>
                <w:kern w:val="2"/>
              </w:rPr>
              <w:t>55</w:t>
            </w:r>
          </w:p>
        </w:tc>
        <w:tc>
          <w:tcPr>
            <w:tcW w:w="799" w:type="dxa"/>
            <w:tcBorders>
              <w:top w:val="single" w:sz="4" w:space="0" w:color="auto"/>
              <w:left w:val="single" w:sz="4" w:space="0" w:color="auto"/>
              <w:bottom w:val="single" w:sz="4" w:space="0" w:color="auto"/>
              <w:right w:val="single" w:sz="4" w:space="0" w:color="auto"/>
            </w:tcBorders>
            <w:vAlign w:val="center"/>
          </w:tcPr>
          <w:p w14:paraId="4FF0CB8C" w14:textId="01242F1A" w:rsidR="004772D8" w:rsidRPr="00E67914" w:rsidRDefault="001D0D95" w:rsidP="004772D8">
            <w:pPr>
              <w:pStyle w:val="04"/>
              <w:rPr>
                <w:rFonts w:cs="Times New Roman"/>
                <w:kern w:val="2"/>
              </w:rPr>
            </w:pPr>
            <w:r w:rsidRPr="00E67914">
              <w:rPr>
                <w:rFonts w:cs="Times New Roman"/>
                <w:kern w:val="2"/>
              </w:rPr>
              <w:t>54</w:t>
            </w:r>
          </w:p>
        </w:tc>
        <w:tc>
          <w:tcPr>
            <w:tcW w:w="906" w:type="dxa"/>
            <w:tcBorders>
              <w:top w:val="single" w:sz="4" w:space="0" w:color="auto"/>
              <w:left w:val="single" w:sz="4" w:space="0" w:color="auto"/>
              <w:bottom w:val="single" w:sz="4" w:space="0" w:color="auto"/>
              <w:right w:val="single" w:sz="4" w:space="0" w:color="auto"/>
            </w:tcBorders>
            <w:vAlign w:val="center"/>
          </w:tcPr>
          <w:p w14:paraId="63BD974B" w14:textId="163C1362" w:rsidR="004772D8" w:rsidRPr="00E67914" w:rsidRDefault="001D0D95" w:rsidP="004772D8">
            <w:pPr>
              <w:pStyle w:val="04"/>
              <w:rPr>
                <w:rFonts w:cs="Times New Roman"/>
                <w:kern w:val="2"/>
              </w:rPr>
            </w:pPr>
            <w:r w:rsidRPr="00E67914">
              <w:rPr>
                <w:rFonts w:cs="Times New Roman"/>
                <w:kern w:val="2"/>
              </w:rPr>
              <w:t>51</w:t>
            </w:r>
          </w:p>
        </w:tc>
        <w:tc>
          <w:tcPr>
            <w:tcW w:w="866" w:type="dxa"/>
            <w:tcBorders>
              <w:top w:val="single" w:sz="4" w:space="0" w:color="auto"/>
              <w:left w:val="single" w:sz="4" w:space="0" w:color="auto"/>
              <w:bottom w:val="single" w:sz="4" w:space="0" w:color="auto"/>
              <w:right w:val="single" w:sz="4" w:space="0" w:color="auto"/>
            </w:tcBorders>
            <w:vAlign w:val="center"/>
          </w:tcPr>
          <w:p w14:paraId="7B62057D" w14:textId="7FF53DCC" w:rsidR="004772D8" w:rsidRPr="00E67914" w:rsidRDefault="001D0D95" w:rsidP="004772D8">
            <w:pPr>
              <w:pStyle w:val="04"/>
              <w:rPr>
                <w:rFonts w:cs="Times New Roman"/>
                <w:kern w:val="2"/>
              </w:rPr>
            </w:pPr>
            <w:r w:rsidRPr="00E67914">
              <w:rPr>
                <w:rFonts w:cs="Times New Roman"/>
                <w:kern w:val="2"/>
              </w:rPr>
              <w:t>50</w:t>
            </w:r>
          </w:p>
        </w:tc>
      </w:tr>
      <w:tr w:rsidR="00E67914" w:rsidRPr="00E67914" w14:paraId="0B82110F" w14:textId="77777777" w:rsidTr="001D0D95">
        <w:trPr>
          <w:trHeight w:val="369"/>
          <w:jc w:val="center"/>
        </w:trPr>
        <w:tc>
          <w:tcPr>
            <w:tcW w:w="740" w:type="dxa"/>
            <w:tcBorders>
              <w:top w:val="single" w:sz="4" w:space="0" w:color="auto"/>
              <w:left w:val="single" w:sz="4" w:space="0" w:color="auto"/>
              <w:bottom w:val="single" w:sz="4" w:space="0" w:color="auto"/>
              <w:right w:val="single" w:sz="4" w:space="0" w:color="auto"/>
            </w:tcBorders>
            <w:vAlign w:val="center"/>
            <w:hideMark/>
          </w:tcPr>
          <w:p w14:paraId="231CFFE8" w14:textId="77777777" w:rsidR="004772D8" w:rsidRPr="00E67914" w:rsidRDefault="004772D8" w:rsidP="004772D8">
            <w:pPr>
              <w:pStyle w:val="04"/>
              <w:rPr>
                <w:rFonts w:cs="Times New Roman"/>
              </w:rPr>
            </w:pPr>
            <w:r w:rsidRPr="00E67914">
              <w:rPr>
                <w:rFonts w:cs="Times New Roman"/>
              </w:rPr>
              <w:t>2</w:t>
            </w:r>
          </w:p>
        </w:tc>
        <w:tc>
          <w:tcPr>
            <w:tcW w:w="1117" w:type="dxa"/>
            <w:tcBorders>
              <w:top w:val="single" w:sz="4" w:space="0" w:color="auto"/>
              <w:left w:val="single" w:sz="4" w:space="0" w:color="auto"/>
              <w:bottom w:val="single" w:sz="4" w:space="0" w:color="auto"/>
              <w:right w:val="single" w:sz="4" w:space="0" w:color="auto"/>
            </w:tcBorders>
            <w:vAlign w:val="center"/>
            <w:hideMark/>
          </w:tcPr>
          <w:p w14:paraId="2A922A7E" w14:textId="77777777" w:rsidR="004772D8" w:rsidRPr="00E67914" w:rsidRDefault="004772D8" w:rsidP="004772D8">
            <w:pPr>
              <w:pStyle w:val="04"/>
              <w:rPr>
                <w:rFonts w:cs="Times New Roman"/>
              </w:rPr>
            </w:pPr>
            <w:r w:rsidRPr="00E67914">
              <w:rPr>
                <w:rFonts w:cs="Times New Roman"/>
                <w:kern w:val="2"/>
              </w:rPr>
              <w:t>挖掘机</w:t>
            </w:r>
          </w:p>
        </w:tc>
        <w:tc>
          <w:tcPr>
            <w:tcW w:w="772" w:type="dxa"/>
            <w:tcBorders>
              <w:top w:val="single" w:sz="4" w:space="0" w:color="auto"/>
              <w:left w:val="single" w:sz="4" w:space="0" w:color="auto"/>
              <w:bottom w:val="single" w:sz="4" w:space="0" w:color="auto"/>
              <w:right w:val="single" w:sz="4" w:space="0" w:color="auto"/>
            </w:tcBorders>
            <w:vAlign w:val="center"/>
          </w:tcPr>
          <w:p w14:paraId="4474FAFD" w14:textId="7A3FFD08" w:rsidR="004772D8" w:rsidRPr="00E67914" w:rsidRDefault="001D0D95" w:rsidP="004772D8">
            <w:pPr>
              <w:pStyle w:val="04"/>
              <w:rPr>
                <w:rFonts w:cs="Times New Roman"/>
                <w:kern w:val="2"/>
              </w:rPr>
            </w:pPr>
            <w:r w:rsidRPr="00E67914">
              <w:rPr>
                <w:rFonts w:cs="Times New Roman"/>
                <w:kern w:val="2"/>
              </w:rPr>
              <w:t>78</w:t>
            </w:r>
          </w:p>
        </w:tc>
        <w:tc>
          <w:tcPr>
            <w:tcW w:w="820" w:type="dxa"/>
            <w:tcBorders>
              <w:top w:val="single" w:sz="4" w:space="0" w:color="auto"/>
              <w:left w:val="single" w:sz="4" w:space="0" w:color="auto"/>
              <w:bottom w:val="single" w:sz="4" w:space="0" w:color="auto"/>
              <w:right w:val="single" w:sz="4" w:space="0" w:color="auto"/>
            </w:tcBorders>
            <w:vAlign w:val="center"/>
          </w:tcPr>
          <w:p w14:paraId="56CDA63B" w14:textId="051A8F38" w:rsidR="004772D8" w:rsidRPr="00E67914" w:rsidRDefault="001D0D95" w:rsidP="004772D8">
            <w:pPr>
              <w:pStyle w:val="04"/>
              <w:rPr>
                <w:rFonts w:cs="Times New Roman"/>
                <w:kern w:val="2"/>
              </w:rPr>
            </w:pPr>
            <w:r w:rsidRPr="00E67914">
              <w:rPr>
                <w:rFonts w:cs="Times New Roman"/>
                <w:kern w:val="2"/>
              </w:rPr>
              <w:t>68</w:t>
            </w:r>
          </w:p>
        </w:tc>
        <w:tc>
          <w:tcPr>
            <w:tcW w:w="820" w:type="dxa"/>
            <w:tcBorders>
              <w:top w:val="single" w:sz="4" w:space="0" w:color="auto"/>
              <w:left w:val="single" w:sz="4" w:space="0" w:color="auto"/>
              <w:bottom w:val="single" w:sz="4" w:space="0" w:color="auto"/>
              <w:right w:val="single" w:sz="4" w:space="0" w:color="auto"/>
            </w:tcBorders>
            <w:vAlign w:val="center"/>
          </w:tcPr>
          <w:p w14:paraId="2A6F1BF9" w14:textId="62A140F7" w:rsidR="004772D8" w:rsidRPr="00E67914" w:rsidRDefault="001D0D95" w:rsidP="004772D8">
            <w:pPr>
              <w:pStyle w:val="04"/>
              <w:rPr>
                <w:rFonts w:cs="Times New Roman"/>
                <w:kern w:val="2"/>
              </w:rPr>
            </w:pPr>
            <w:r w:rsidRPr="00E67914">
              <w:rPr>
                <w:rFonts w:cs="Times New Roman"/>
                <w:kern w:val="2"/>
              </w:rPr>
              <w:t>64</w:t>
            </w:r>
          </w:p>
        </w:tc>
        <w:tc>
          <w:tcPr>
            <w:tcW w:w="820" w:type="dxa"/>
            <w:tcBorders>
              <w:top w:val="single" w:sz="4" w:space="0" w:color="auto"/>
              <w:left w:val="single" w:sz="4" w:space="0" w:color="auto"/>
              <w:bottom w:val="single" w:sz="4" w:space="0" w:color="auto"/>
              <w:right w:val="single" w:sz="4" w:space="0" w:color="auto"/>
            </w:tcBorders>
            <w:vAlign w:val="center"/>
          </w:tcPr>
          <w:p w14:paraId="0390E093" w14:textId="58D96877" w:rsidR="004772D8" w:rsidRPr="00E67914" w:rsidRDefault="001D0D95" w:rsidP="004772D8">
            <w:pPr>
              <w:pStyle w:val="04"/>
              <w:rPr>
                <w:rFonts w:cs="Times New Roman"/>
                <w:kern w:val="2"/>
              </w:rPr>
            </w:pPr>
            <w:r w:rsidRPr="00E67914">
              <w:rPr>
                <w:rFonts w:cs="Times New Roman"/>
                <w:kern w:val="2"/>
              </w:rPr>
              <w:t>58</w:t>
            </w:r>
          </w:p>
        </w:tc>
        <w:tc>
          <w:tcPr>
            <w:tcW w:w="799" w:type="dxa"/>
            <w:tcBorders>
              <w:top w:val="single" w:sz="4" w:space="0" w:color="auto"/>
              <w:left w:val="single" w:sz="4" w:space="0" w:color="auto"/>
              <w:bottom w:val="single" w:sz="4" w:space="0" w:color="auto"/>
              <w:right w:val="single" w:sz="4" w:space="0" w:color="auto"/>
            </w:tcBorders>
            <w:vAlign w:val="center"/>
          </w:tcPr>
          <w:p w14:paraId="680414F5" w14:textId="619828F7" w:rsidR="004772D8" w:rsidRPr="00E67914" w:rsidRDefault="001D0D95" w:rsidP="004772D8">
            <w:pPr>
              <w:pStyle w:val="04"/>
              <w:rPr>
                <w:rFonts w:cs="Times New Roman"/>
                <w:kern w:val="2"/>
              </w:rPr>
            </w:pPr>
            <w:r w:rsidRPr="00E67914">
              <w:rPr>
                <w:rFonts w:cs="Times New Roman"/>
                <w:kern w:val="2"/>
              </w:rPr>
              <w:t>54</w:t>
            </w:r>
          </w:p>
        </w:tc>
        <w:tc>
          <w:tcPr>
            <w:tcW w:w="799" w:type="dxa"/>
            <w:tcBorders>
              <w:top w:val="single" w:sz="4" w:space="0" w:color="auto"/>
              <w:left w:val="single" w:sz="4" w:space="0" w:color="auto"/>
              <w:bottom w:val="single" w:sz="4" w:space="0" w:color="auto"/>
              <w:right w:val="single" w:sz="4" w:space="0" w:color="auto"/>
            </w:tcBorders>
            <w:vAlign w:val="center"/>
          </w:tcPr>
          <w:p w14:paraId="7FA4E5A0" w14:textId="33FE81D4" w:rsidR="004772D8" w:rsidRPr="00E67914" w:rsidRDefault="001D0D95" w:rsidP="004772D8">
            <w:pPr>
              <w:pStyle w:val="04"/>
              <w:rPr>
                <w:rFonts w:cs="Times New Roman"/>
                <w:kern w:val="2"/>
              </w:rPr>
            </w:pPr>
            <w:r w:rsidRPr="00E67914">
              <w:rPr>
                <w:rFonts w:cs="Times New Roman"/>
                <w:kern w:val="2"/>
              </w:rPr>
              <w:t>53</w:t>
            </w:r>
          </w:p>
        </w:tc>
        <w:tc>
          <w:tcPr>
            <w:tcW w:w="906" w:type="dxa"/>
            <w:tcBorders>
              <w:top w:val="single" w:sz="4" w:space="0" w:color="auto"/>
              <w:left w:val="single" w:sz="4" w:space="0" w:color="auto"/>
              <w:bottom w:val="single" w:sz="4" w:space="0" w:color="auto"/>
              <w:right w:val="single" w:sz="4" w:space="0" w:color="auto"/>
            </w:tcBorders>
            <w:vAlign w:val="center"/>
          </w:tcPr>
          <w:p w14:paraId="740A172B" w14:textId="5D7DAEA8" w:rsidR="004772D8" w:rsidRPr="00E67914" w:rsidRDefault="001D0D95" w:rsidP="004772D8">
            <w:pPr>
              <w:pStyle w:val="04"/>
              <w:rPr>
                <w:rFonts w:cs="Times New Roman"/>
                <w:kern w:val="2"/>
              </w:rPr>
            </w:pPr>
            <w:r w:rsidRPr="00E67914">
              <w:rPr>
                <w:rFonts w:cs="Times New Roman"/>
                <w:kern w:val="2"/>
              </w:rPr>
              <w:t>50</w:t>
            </w:r>
          </w:p>
        </w:tc>
        <w:tc>
          <w:tcPr>
            <w:tcW w:w="866" w:type="dxa"/>
            <w:tcBorders>
              <w:top w:val="single" w:sz="4" w:space="0" w:color="auto"/>
              <w:left w:val="single" w:sz="4" w:space="0" w:color="auto"/>
              <w:bottom w:val="single" w:sz="4" w:space="0" w:color="auto"/>
              <w:right w:val="single" w:sz="4" w:space="0" w:color="auto"/>
            </w:tcBorders>
            <w:vAlign w:val="center"/>
          </w:tcPr>
          <w:p w14:paraId="4227CA20" w14:textId="1FE38A3D" w:rsidR="004772D8" w:rsidRPr="00E67914" w:rsidRDefault="001D0D95" w:rsidP="004772D8">
            <w:pPr>
              <w:pStyle w:val="04"/>
              <w:rPr>
                <w:rFonts w:cs="Times New Roman"/>
                <w:kern w:val="2"/>
              </w:rPr>
            </w:pPr>
            <w:r w:rsidRPr="00E67914">
              <w:rPr>
                <w:rFonts w:cs="Times New Roman"/>
                <w:kern w:val="2"/>
              </w:rPr>
              <w:t>49</w:t>
            </w:r>
          </w:p>
        </w:tc>
      </w:tr>
      <w:tr w:rsidR="00E67914" w:rsidRPr="00E67914" w14:paraId="50533236" w14:textId="77777777" w:rsidTr="001D0D95">
        <w:trPr>
          <w:trHeight w:val="369"/>
          <w:jc w:val="center"/>
        </w:trPr>
        <w:tc>
          <w:tcPr>
            <w:tcW w:w="740" w:type="dxa"/>
            <w:tcBorders>
              <w:top w:val="single" w:sz="4" w:space="0" w:color="auto"/>
              <w:left w:val="single" w:sz="4" w:space="0" w:color="auto"/>
              <w:bottom w:val="single" w:sz="4" w:space="0" w:color="auto"/>
              <w:right w:val="single" w:sz="4" w:space="0" w:color="auto"/>
            </w:tcBorders>
            <w:vAlign w:val="center"/>
            <w:hideMark/>
          </w:tcPr>
          <w:p w14:paraId="17D5215A" w14:textId="77777777" w:rsidR="004772D8" w:rsidRPr="00E67914" w:rsidRDefault="004772D8" w:rsidP="004772D8">
            <w:pPr>
              <w:pStyle w:val="04"/>
              <w:rPr>
                <w:rFonts w:cs="Times New Roman"/>
              </w:rPr>
            </w:pPr>
            <w:r w:rsidRPr="00E67914">
              <w:rPr>
                <w:rFonts w:cs="Times New Roman"/>
              </w:rPr>
              <w:t>3</w:t>
            </w:r>
          </w:p>
        </w:tc>
        <w:tc>
          <w:tcPr>
            <w:tcW w:w="1117" w:type="dxa"/>
            <w:tcBorders>
              <w:top w:val="single" w:sz="4" w:space="0" w:color="auto"/>
              <w:left w:val="single" w:sz="4" w:space="0" w:color="auto"/>
              <w:bottom w:val="single" w:sz="4" w:space="0" w:color="auto"/>
              <w:right w:val="single" w:sz="4" w:space="0" w:color="auto"/>
            </w:tcBorders>
            <w:vAlign w:val="center"/>
            <w:hideMark/>
          </w:tcPr>
          <w:p w14:paraId="666D364F" w14:textId="77777777" w:rsidR="004772D8" w:rsidRPr="00E67914" w:rsidRDefault="004772D8" w:rsidP="004772D8">
            <w:pPr>
              <w:pStyle w:val="04"/>
              <w:rPr>
                <w:rFonts w:cs="Times New Roman"/>
              </w:rPr>
            </w:pPr>
            <w:r w:rsidRPr="00E67914">
              <w:rPr>
                <w:rFonts w:cs="Times New Roman"/>
                <w:kern w:val="2"/>
              </w:rPr>
              <w:t>载重机车</w:t>
            </w:r>
          </w:p>
        </w:tc>
        <w:tc>
          <w:tcPr>
            <w:tcW w:w="772" w:type="dxa"/>
            <w:tcBorders>
              <w:top w:val="single" w:sz="4" w:space="0" w:color="auto"/>
              <w:left w:val="single" w:sz="4" w:space="0" w:color="auto"/>
              <w:bottom w:val="single" w:sz="4" w:space="0" w:color="auto"/>
              <w:right w:val="single" w:sz="4" w:space="0" w:color="auto"/>
            </w:tcBorders>
            <w:vAlign w:val="center"/>
          </w:tcPr>
          <w:p w14:paraId="06C972E2" w14:textId="2E1FE186" w:rsidR="004772D8" w:rsidRPr="00E67914" w:rsidRDefault="001D0D95" w:rsidP="004772D8">
            <w:pPr>
              <w:pStyle w:val="04"/>
              <w:rPr>
                <w:rFonts w:cs="Times New Roman"/>
                <w:kern w:val="2"/>
              </w:rPr>
            </w:pPr>
            <w:r w:rsidRPr="00E67914">
              <w:rPr>
                <w:rFonts w:cs="Times New Roman"/>
                <w:kern w:val="2"/>
              </w:rPr>
              <w:t>76</w:t>
            </w:r>
          </w:p>
        </w:tc>
        <w:tc>
          <w:tcPr>
            <w:tcW w:w="820" w:type="dxa"/>
            <w:tcBorders>
              <w:top w:val="single" w:sz="4" w:space="0" w:color="auto"/>
              <w:left w:val="single" w:sz="4" w:space="0" w:color="auto"/>
              <w:bottom w:val="single" w:sz="4" w:space="0" w:color="auto"/>
              <w:right w:val="single" w:sz="4" w:space="0" w:color="auto"/>
            </w:tcBorders>
            <w:vAlign w:val="center"/>
          </w:tcPr>
          <w:p w14:paraId="7948F714" w14:textId="7708F093" w:rsidR="004772D8" w:rsidRPr="00E67914" w:rsidRDefault="001D0D95" w:rsidP="004772D8">
            <w:pPr>
              <w:pStyle w:val="04"/>
              <w:rPr>
                <w:rFonts w:cs="Times New Roman"/>
                <w:kern w:val="2"/>
              </w:rPr>
            </w:pPr>
            <w:r w:rsidRPr="00E67914">
              <w:rPr>
                <w:rFonts w:cs="Times New Roman"/>
                <w:kern w:val="2"/>
              </w:rPr>
              <w:t>66</w:t>
            </w:r>
          </w:p>
        </w:tc>
        <w:tc>
          <w:tcPr>
            <w:tcW w:w="820" w:type="dxa"/>
            <w:tcBorders>
              <w:top w:val="single" w:sz="4" w:space="0" w:color="auto"/>
              <w:left w:val="single" w:sz="4" w:space="0" w:color="auto"/>
              <w:bottom w:val="single" w:sz="4" w:space="0" w:color="auto"/>
              <w:right w:val="single" w:sz="4" w:space="0" w:color="auto"/>
            </w:tcBorders>
            <w:vAlign w:val="center"/>
          </w:tcPr>
          <w:p w14:paraId="7F3BB632" w14:textId="46CBE1B2" w:rsidR="004772D8" w:rsidRPr="00E67914" w:rsidRDefault="001D0D95" w:rsidP="004772D8">
            <w:pPr>
              <w:pStyle w:val="04"/>
              <w:rPr>
                <w:rFonts w:cs="Times New Roman"/>
                <w:kern w:val="2"/>
              </w:rPr>
            </w:pPr>
            <w:r w:rsidRPr="00E67914">
              <w:rPr>
                <w:rFonts w:cs="Times New Roman"/>
                <w:kern w:val="2"/>
              </w:rPr>
              <w:t>62</w:t>
            </w:r>
          </w:p>
        </w:tc>
        <w:tc>
          <w:tcPr>
            <w:tcW w:w="820" w:type="dxa"/>
            <w:tcBorders>
              <w:top w:val="single" w:sz="4" w:space="0" w:color="auto"/>
              <w:left w:val="single" w:sz="4" w:space="0" w:color="auto"/>
              <w:bottom w:val="single" w:sz="4" w:space="0" w:color="auto"/>
              <w:right w:val="single" w:sz="4" w:space="0" w:color="auto"/>
            </w:tcBorders>
            <w:vAlign w:val="center"/>
          </w:tcPr>
          <w:p w14:paraId="30C986CA" w14:textId="524849BF" w:rsidR="004772D8" w:rsidRPr="00E67914" w:rsidRDefault="001D0D95" w:rsidP="004772D8">
            <w:pPr>
              <w:pStyle w:val="04"/>
              <w:rPr>
                <w:rFonts w:cs="Times New Roman"/>
                <w:kern w:val="2"/>
              </w:rPr>
            </w:pPr>
            <w:r w:rsidRPr="00E67914">
              <w:rPr>
                <w:rFonts w:cs="Times New Roman"/>
                <w:kern w:val="2"/>
              </w:rPr>
              <w:t>56</w:t>
            </w:r>
          </w:p>
        </w:tc>
        <w:tc>
          <w:tcPr>
            <w:tcW w:w="799" w:type="dxa"/>
            <w:tcBorders>
              <w:top w:val="single" w:sz="4" w:space="0" w:color="auto"/>
              <w:left w:val="single" w:sz="4" w:space="0" w:color="auto"/>
              <w:bottom w:val="single" w:sz="4" w:space="0" w:color="auto"/>
              <w:right w:val="single" w:sz="4" w:space="0" w:color="auto"/>
            </w:tcBorders>
            <w:vAlign w:val="center"/>
          </w:tcPr>
          <w:p w14:paraId="3E44B924" w14:textId="13F04425" w:rsidR="004772D8" w:rsidRPr="00E67914" w:rsidRDefault="001D0D95" w:rsidP="004772D8">
            <w:pPr>
              <w:pStyle w:val="04"/>
              <w:rPr>
                <w:rFonts w:cs="Times New Roman"/>
                <w:kern w:val="2"/>
              </w:rPr>
            </w:pPr>
            <w:r w:rsidRPr="00E67914">
              <w:rPr>
                <w:rFonts w:cs="Times New Roman"/>
                <w:kern w:val="2"/>
              </w:rPr>
              <w:t>52</w:t>
            </w:r>
          </w:p>
        </w:tc>
        <w:tc>
          <w:tcPr>
            <w:tcW w:w="799" w:type="dxa"/>
            <w:tcBorders>
              <w:top w:val="single" w:sz="4" w:space="0" w:color="auto"/>
              <w:left w:val="single" w:sz="4" w:space="0" w:color="auto"/>
              <w:bottom w:val="single" w:sz="4" w:space="0" w:color="auto"/>
              <w:right w:val="single" w:sz="4" w:space="0" w:color="auto"/>
            </w:tcBorders>
            <w:vAlign w:val="center"/>
          </w:tcPr>
          <w:p w14:paraId="6D7F7809" w14:textId="6F3F2C1D" w:rsidR="004772D8" w:rsidRPr="00E67914" w:rsidRDefault="001D0D95" w:rsidP="004772D8">
            <w:pPr>
              <w:pStyle w:val="04"/>
              <w:rPr>
                <w:rFonts w:cs="Times New Roman"/>
                <w:kern w:val="2"/>
              </w:rPr>
            </w:pPr>
            <w:r w:rsidRPr="00E67914">
              <w:rPr>
                <w:rFonts w:cs="Times New Roman"/>
                <w:kern w:val="2"/>
              </w:rPr>
              <w:t>51</w:t>
            </w:r>
          </w:p>
        </w:tc>
        <w:tc>
          <w:tcPr>
            <w:tcW w:w="906" w:type="dxa"/>
            <w:tcBorders>
              <w:top w:val="single" w:sz="4" w:space="0" w:color="auto"/>
              <w:left w:val="single" w:sz="4" w:space="0" w:color="auto"/>
              <w:bottom w:val="single" w:sz="4" w:space="0" w:color="auto"/>
              <w:right w:val="single" w:sz="4" w:space="0" w:color="auto"/>
            </w:tcBorders>
            <w:vAlign w:val="center"/>
          </w:tcPr>
          <w:p w14:paraId="4E2CE8EE" w14:textId="519EDF5F" w:rsidR="004772D8" w:rsidRPr="00E67914" w:rsidRDefault="001D0D95" w:rsidP="004772D8">
            <w:pPr>
              <w:pStyle w:val="04"/>
              <w:rPr>
                <w:rFonts w:cs="Times New Roman"/>
                <w:kern w:val="2"/>
              </w:rPr>
            </w:pPr>
            <w:r w:rsidRPr="00E67914">
              <w:rPr>
                <w:rFonts w:cs="Times New Roman"/>
                <w:kern w:val="2"/>
              </w:rPr>
              <w:t>48</w:t>
            </w:r>
          </w:p>
        </w:tc>
        <w:tc>
          <w:tcPr>
            <w:tcW w:w="866" w:type="dxa"/>
            <w:tcBorders>
              <w:top w:val="single" w:sz="4" w:space="0" w:color="auto"/>
              <w:left w:val="single" w:sz="4" w:space="0" w:color="auto"/>
              <w:bottom w:val="single" w:sz="4" w:space="0" w:color="auto"/>
              <w:right w:val="single" w:sz="4" w:space="0" w:color="auto"/>
            </w:tcBorders>
            <w:vAlign w:val="center"/>
          </w:tcPr>
          <w:p w14:paraId="2BF0CF73" w14:textId="3CAEEB2F" w:rsidR="004772D8" w:rsidRPr="00E67914" w:rsidRDefault="001D0D95" w:rsidP="004772D8">
            <w:pPr>
              <w:pStyle w:val="04"/>
              <w:rPr>
                <w:rFonts w:cs="Times New Roman"/>
                <w:kern w:val="2"/>
              </w:rPr>
            </w:pPr>
            <w:r w:rsidRPr="00E67914">
              <w:rPr>
                <w:rFonts w:cs="Times New Roman"/>
                <w:kern w:val="2"/>
              </w:rPr>
              <w:t>47</w:t>
            </w:r>
          </w:p>
        </w:tc>
      </w:tr>
      <w:tr w:rsidR="00AE0625" w:rsidRPr="00E67914" w14:paraId="10717254" w14:textId="77777777" w:rsidTr="001D0D95">
        <w:trPr>
          <w:trHeight w:val="369"/>
          <w:jc w:val="center"/>
        </w:trPr>
        <w:tc>
          <w:tcPr>
            <w:tcW w:w="740" w:type="dxa"/>
            <w:tcBorders>
              <w:top w:val="single" w:sz="4" w:space="0" w:color="auto"/>
              <w:left w:val="single" w:sz="4" w:space="0" w:color="auto"/>
              <w:bottom w:val="single" w:sz="4" w:space="0" w:color="auto"/>
              <w:right w:val="single" w:sz="4" w:space="0" w:color="auto"/>
            </w:tcBorders>
            <w:vAlign w:val="center"/>
            <w:hideMark/>
          </w:tcPr>
          <w:p w14:paraId="22BA2DBE" w14:textId="77777777" w:rsidR="004772D8" w:rsidRPr="00E67914" w:rsidRDefault="004772D8" w:rsidP="004772D8">
            <w:pPr>
              <w:pStyle w:val="04"/>
              <w:rPr>
                <w:rFonts w:cs="Times New Roman"/>
              </w:rPr>
            </w:pPr>
            <w:r w:rsidRPr="00E67914">
              <w:rPr>
                <w:rFonts w:cs="Times New Roman"/>
              </w:rPr>
              <w:t>4</w:t>
            </w:r>
          </w:p>
        </w:tc>
        <w:tc>
          <w:tcPr>
            <w:tcW w:w="1117" w:type="dxa"/>
            <w:tcBorders>
              <w:top w:val="single" w:sz="4" w:space="0" w:color="auto"/>
              <w:left w:val="single" w:sz="4" w:space="0" w:color="auto"/>
              <w:bottom w:val="single" w:sz="4" w:space="0" w:color="auto"/>
              <w:right w:val="single" w:sz="4" w:space="0" w:color="auto"/>
            </w:tcBorders>
            <w:vAlign w:val="center"/>
            <w:hideMark/>
          </w:tcPr>
          <w:p w14:paraId="5B79899E" w14:textId="77777777" w:rsidR="004772D8" w:rsidRPr="00E67914" w:rsidRDefault="004772D8" w:rsidP="004772D8">
            <w:pPr>
              <w:pStyle w:val="04"/>
              <w:rPr>
                <w:rFonts w:cs="Times New Roman"/>
              </w:rPr>
            </w:pPr>
            <w:r w:rsidRPr="00E67914">
              <w:rPr>
                <w:rFonts w:cs="Times New Roman"/>
                <w:kern w:val="2"/>
              </w:rPr>
              <w:t>空压机</w:t>
            </w:r>
          </w:p>
        </w:tc>
        <w:tc>
          <w:tcPr>
            <w:tcW w:w="772" w:type="dxa"/>
            <w:tcBorders>
              <w:top w:val="single" w:sz="4" w:space="0" w:color="auto"/>
              <w:left w:val="single" w:sz="4" w:space="0" w:color="auto"/>
              <w:bottom w:val="single" w:sz="4" w:space="0" w:color="auto"/>
              <w:right w:val="single" w:sz="4" w:space="0" w:color="auto"/>
            </w:tcBorders>
            <w:vAlign w:val="center"/>
          </w:tcPr>
          <w:p w14:paraId="60A16A0F" w14:textId="163DCCF1" w:rsidR="004772D8" w:rsidRPr="00E67914" w:rsidRDefault="00AE0625" w:rsidP="004772D8">
            <w:pPr>
              <w:pStyle w:val="04"/>
              <w:rPr>
                <w:rFonts w:cs="Times New Roman"/>
                <w:kern w:val="2"/>
              </w:rPr>
            </w:pPr>
            <w:r w:rsidRPr="00E67914">
              <w:rPr>
                <w:rFonts w:cs="Times New Roman"/>
                <w:kern w:val="2"/>
              </w:rPr>
              <w:t>81</w:t>
            </w:r>
          </w:p>
        </w:tc>
        <w:tc>
          <w:tcPr>
            <w:tcW w:w="820" w:type="dxa"/>
            <w:tcBorders>
              <w:top w:val="single" w:sz="4" w:space="0" w:color="auto"/>
              <w:left w:val="single" w:sz="4" w:space="0" w:color="auto"/>
              <w:bottom w:val="single" w:sz="4" w:space="0" w:color="auto"/>
              <w:right w:val="single" w:sz="4" w:space="0" w:color="auto"/>
            </w:tcBorders>
            <w:vAlign w:val="center"/>
          </w:tcPr>
          <w:p w14:paraId="2B6E9E5D" w14:textId="07F3548F" w:rsidR="004772D8" w:rsidRPr="00E67914" w:rsidRDefault="00AE0625" w:rsidP="004772D8">
            <w:pPr>
              <w:pStyle w:val="04"/>
              <w:rPr>
                <w:rFonts w:cs="Times New Roman"/>
                <w:kern w:val="2"/>
              </w:rPr>
            </w:pPr>
            <w:r w:rsidRPr="00E67914">
              <w:rPr>
                <w:rFonts w:cs="Times New Roman"/>
                <w:kern w:val="2"/>
              </w:rPr>
              <w:t>71</w:t>
            </w:r>
          </w:p>
        </w:tc>
        <w:tc>
          <w:tcPr>
            <w:tcW w:w="820" w:type="dxa"/>
            <w:tcBorders>
              <w:top w:val="single" w:sz="4" w:space="0" w:color="auto"/>
              <w:left w:val="single" w:sz="4" w:space="0" w:color="auto"/>
              <w:bottom w:val="single" w:sz="4" w:space="0" w:color="auto"/>
              <w:right w:val="single" w:sz="4" w:space="0" w:color="auto"/>
            </w:tcBorders>
            <w:vAlign w:val="center"/>
          </w:tcPr>
          <w:p w14:paraId="4DBE1240" w14:textId="179F4B15" w:rsidR="004772D8" w:rsidRPr="00E67914" w:rsidRDefault="00AE0625" w:rsidP="004772D8">
            <w:pPr>
              <w:pStyle w:val="04"/>
              <w:rPr>
                <w:rFonts w:cs="Times New Roman"/>
                <w:kern w:val="2"/>
              </w:rPr>
            </w:pPr>
            <w:r w:rsidRPr="00E67914">
              <w:rPr>
                <w:rFonts w:cs="Times New Roman"/>
                <w:kern w:val="2"/>
              </w:rPr>
              <w:t>67</w:t>
            </w:r>
          </w:p>
        </w:tc>
        <w:tc>
          <w:tcPr>
            <w:tcW w:w="820" w:type="dxa"/>
            <w:tcBorders>
              <w:top w:val="single" w:sz="4" w:space="0" w:color="auto"/>
              <w:left w:val="single" w:sz="4" w:space="0" w:color="auto"/>
              <w:bottom w:val="single" w:sz="4" w:space="0" w:color="auto"/>
              <w:right w:val="single" w:sz="4" w:space="0" w:color="auto"/>
            </w:tcBorders>
            <w:vAlign w:val="center"/>
          </w:tcPr>
          <w:p w14:paraId="0FCF117F" w14:textId="65A79369" w:rsidR="004772D8" w:rsidRPr="00E67914" w:rsidRDefault="00AE0625" w:rsidP="004772D8">
            <w:pPr>
              <w:pStyle w:val="04"/>
              <w:rPr>
                <w:rFonts w:cs="Times New Roman"/>
                <w:kern w:val="2"/>
              </w:rPr>
            </w:pPr>
            <w:r w:rsidRPr="00E67914">
              <w:rPr>
                <w:rFonts w:cs="Times New Roman"/>
                <w:kern w:val="2"/>
              </w:rPr>
              <w:t>61</w:t>
            </w:r>
          </w:p>
        </w:tc>
        <w:tc>
          <w:tcPr>
            <w:tcW w:w="799" w:type="dxa"/>
            <w:tcBorders>
              <w:top w:val="single" w:sz="4" w:space="0" w:color="auto"/>
              <w:left w:val="single" w:sz="4" w:space="0" w:color="auto"/>
              <w:bottom w:val="single" w:sz="4" w:space="0" w:color="auto"/>
              <w:right w:val="single" w:sz="4" w:space="0" w:color="auto"/>
            </w:tcBorders>
            <w:vAlign w:val="center"/>
          </w:tcPr>
          <w:p w14:paraId="15DEEC5D" w14:textId="6958CF5F" w:rsidR="004772D8" w:rsidRPr="00E67914" w:rsidRDefault="00AE0625" w:rsidP="004772D8">
            <w:pPr>
              <w:pStyle w:val="04"/>
              <w:rPr>
                <w:rFonts w:cs="Times New Roman"/>
                <w:kern w:val="2"/>
              </w:rPr>
            </w:pPr>
            <w:r w:rsidRPr="00E67914">
              <w:rPr>
                <w:rFonts w:cs="Times New Roman"/>
                <w:kern w:val="2"/>
              </w:rPr>
              <w:t>57</w:t>
            </w:r>
          </w:p>
        </w:tc>
        <w:tc>
          <w:tcPr>
            <w:tcW w:w="799" w:type="dxa"/>
            <w:tcBorders>
              <w:top w:val="single" w:sz="4" w:space="0" w:color="auto"/>
              <w:left w:val="single" w:sz="4" w:space="0" w:color="auto"/>
              <w:bottom w:val="single" w:sz="4" w:space="0" w:color="auto"/>
              <w:right w:val="single" w:sz="4" w:space="0" w:color="auto"/>
            </w:tcBorders>
            <w:vAlign w:val="center"/>
          </w:tcPr>
          <w:p w14:paraId="241E5A3E" w14:textId="32B44881" w:rsidR="004772D8" w:rsidRPr="00E67914" w:rsidRDefault="00AE0625" w:rsidP="004772D8">
            <w:pPr>
              <w:pStyle w:val="04"/>
              <w:rPr>
                <w:rFonts w:cs="Times New Roman"/>
                <w:kern w:val="2"/>
              </w:rPr>
            </w:pPr>
            <w:r w:rsidRPr="00E67914">
              <w:rPr>
                <w:rFonts w:cs="Times New Roman"/>
                <w:kern w:val="2"/>
              </w:rPr>
              <w:t>55</w:t>
            </w:r>
          </w:p>
        </w:tc>
        <w:tc>
          <w:tcPr>
            <w:tcW w:w="906" w:type="dxa"/>
            <w:tcBorders>
              <w:top w:val="single" w:sz="4" w:space="0" w:color="auto"/>
              <w:left w:val="single" w:sz="4" w:space="0" w:color="auto"/>
              <w:bottom w:val="single" w:sz="4" w:space="0" w:color="auto"/>
              <w:right w:val="single" w:sz="4" w:space="0" w:color="auto"/>
            </w:tcBorders>
            <w:vAlign w:val="center"/>
          </w:tcPr>
          <w:p w14:paraId="3B78C7AD" w14:textId="5D2D4B64" w:rsidR="004772D8" w:rsidRPr="00E67914" w:rsidRDefault="00AE0625" w:rsidP="004772D8">
            <w:pPr>
              <w:pStyle w:val="04"/>
              <w:rPr>
                <w:rFonts w:cs="Times New Roman"/>
                <w:kern w:val="2"/>
              </w:rPr>
            </w:pPr>
            <w:r w:rsidRPr="00E67914">
              <w:rPr>
                <w:rFonts w:cs="Times New Roman"/>
                <w:kern w:val="2"/>
              </w:rPr>
              <w:t>53</w:t>
            </w:r>
          </w:p>
        </w:tc>
        <w:tc>
          <w:tcPr>
            <w:tcW w:w="866" w:type="dxa"/>
            <w:tcBorders>
              <w:top w:val="single" w:sz="4" w:space="0" w:color="auto"/>
              <w:left w:val="single" w:sz="4" w:space="0" w:color="auto"/>
              <w:bottom w:val="single" w:sz="4" w:space="0" w:color="auto"/>
              <w:right w:val="single" w:sz="4" w:space="0" w:color="auto"/>
            </w:tcBorders>
            <w:vAlign w:val="center"/>
          </w:tcPr>
          <w:p w14:paraId="239118CF" w14:textId="236FE978" w:rsidR="004772D8" w:rsidRPr="00E67914" w:rsidRDefault="00AE0625" w:rsidP="004772D8">
            <w:pPr>
              <w:pStyle w:val="04"/>
              <w:rPr>
                <w:rFonts w:cs="Times New Roman"/>
                <w:kern w:val="2"/>
              </w:rPr>
            </w:pPr>
            <w:r w:rsidRPr="00E67914">
              <w:rPr>
                <w:rFonts w:cs="Times New Roman"/>
                <w:kern w:val="2"/>
              </w:rPr>
              <w:t>52</w:t>
            </w:r>
          </w:p>
        </w:tc>
      </w:tr>
    </w:tbl>
    <w:p w14:paraId="6B3BABAC" w14:textId="77777777" w:rsidR="004772D8" w:rsidRPr="00E67914" w:rsidRDefault="004772D8" w:rsidP="004772D8">
      <w:pPr>
        <w:rPr>
          <w:rFonts w:ascii="Times New Roman" w:hAnsi="Times New Roman"/>
          <w:kern w:val="2"/>
          <w:sz w:val="21"/>
          <w:szCs w:val="20"/>
        </w:rPr>
      </w:pPr>
    </w:p>
    <w:p w14:paraId="6B35D74C" w14:textId="4C212A15"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根据预测结果，在距离施工机械约</w:t>
      </w:r>
      <w:r w:rsidR="00AE0625" w:rsidRPr="00E67914">
        <w:rPr>
          <w:rFonts w:ascii="Times New Roman" w:hAnsi="Times New Roman"/>
          <w:sz w:val="24"/>
          <w:lang w:eastAsia="zh-CN"/>
        </w:rPr>
        <w:t>36</w:t>
      </w:r>
      <w:r w:rsidRPr="00E67914">
        <w:rPr>
          <w:rFonts w:ascii="Times New Roman" w:hAnsi="Times New Roman"/>
          <w:sz w:val="24"/>
          <w:lang w:eastAsia="zh-CN"/>
        </w:rPr>
        <w:t>m</w:t>
      </w:r>
      <w:r w:rsidRPr="00E67914">
        <w:rPr>
          <w:rFonts w:ascii="Times New Roman" w:hAnsi="Times New Roman"/>
          <w:sz w:val="24"/>
          <w:lang w:eastAsia="zh-CN"/>
        </w:rPr>
        <w:t>处噪声级低于</w:t>
      </w:r>
      <w:r w:rsidRPr="00E67914">
        <w:rPr>
          <w:rFonts w:ascii="Times New Roman" w:hAnsi="Times New Roman"/>
          <w:sz w:val="24"/>
          <w:lang w:eastAsia="zh-CN"/>
        </w:rPr>
        <w:t>70dB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），即施工区边界外</w:t>
      </w:r>
      <w:r w:rsidR="00AE0625" w:rsidRPr="00E67914">
        <w:rPr>
          <w:rFonts w:ascii="Times New Roman" w:hAnsi="Times New Roman"/>
          <w:sz w:val="24"/>
          <w:lang w:eastAsia="zh-CN"/>
        </w:rPr>
        <w:t>36</w:t>
      </w:r>
      <w:r w:rsidRPr="00E67914">
        <w:rPr>
          <w:rFonts w:ascii="Times New Roman" w:hAnsi="Times New Roman"/>
          <w:sz w:val="24"/>
          <w:lang w:eastAsia="zh-CN"/>
        </w:rPr>
        <w:t>m</w:t>
      </w:r>
      <w:r w:rsidRPr="00E67914">
        <w:rPr>
          <w:rFonts w:ascii="Times New Roman" w:hAnsi="Times New Roman"/>
          <w:sz w:val="24"/>
          <w:lang w:eastAsia="zh-CN"/>
        </w:rPr>
        <w:t>处可满足《建筑施工场界环境噪声排放标准》（</w:t>
      </w:r>
      <w:r w:rsidRPr="00E67914">
        <w:rPr>
          <w:rFonts w:ascii="Times New Roman" w:hAnsi="Times New Roman"/>
          <w:sz w:val="24"/>
          <w:lang w:eastAsia="zh-CN"/>
        </w:rPr>
        <w:t>GB12523-2011</w:t>
      </w:r>
      <w:r w:rsidRPr="00E67914">
        <w:rPr>
          <w:rFonts w:ascii="Times New Roman" w:hAnsi="Times New Roman"/>
          <w:sz w:val="24"/>
          <w:lang w:eastAsia="zh-CN"/>
        </w:rPr>
        <w:t>）。</w:t>
      </w:r>
    </w:p>
    <w:p w14:paraId="0B917B85" w14:textId="77777777" w:rsidR="004772D8"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）施工期噪声对敏感点的影响分析</w:t>
      </w:r>
    </w:p>
    <w:p w14:paraId="40839519" w14:textId="6BDC9B5E" w:rsidR="008752B7" w:rsidRPr="00E67914" w:rsidRDefault="004772D8" w:rsidP="008752B7">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按《声环境质量标准》（</w:t>
      </w:r>
      <w:r w:rsidRPr="00E67914">
        <w:rPr>
          <w:rFonts w:ascii="Times New Roman" w:hAnsi="Times New Roman"/>
          <w:sz w:val="24"/>
          <w:lang w:eastAsia="zh-CN"/>
        </w:rPr>
        <w:t>GB3096-2008</w:t>
      </w: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类标准评价（昼间小于等于</w:t>
      </w:r>
      <w:r w:rsidRPr="00E67914">
        <w:rPr>
          <w:rFonts w:ascii="Times New Roman" w:hAnsi="Times New Roman"/>
          <w:sz w:val="24"/>
          <w:lang w:eastAsia="zh-CN"/>
        </w:rPr>
        <w:t>60</w:t>
      </w:r>
      <w:r w:rsidRPr="00E67914">
        <w:rPr>
          <w:rFonts w:ascii="Times New Roman" w:hAnsi="Times New Roman"/>
          <w:sz w:val="24"/>
          <w:lang w:eastAsia="zh-CN"/>
        </w:rPr>
        <w:t>分贝），昼间距离施工区约</w:t>
      </w:r>
      <w:r w:rsidR="00AE0625" w:rsidRPr="00E67914">
        <w:rPr>
          <w:rFonts w:ascii="Times New Roman" w:hAnsi="Times New Roman"/>
          <w:sz w:val="24"/>
          <w:lang w:eastAsia="zh-CN"/>
        </w:rPr>
        <w:t>113</w:t>
      </w:r>
      <w:r w:rsidRPr="00E67914">
        <w:rPr>
          <w:rFonts w:ascii="Times New Roman" w:hAnsi="Times New Roman"/>
          <w:sz w:val="24"/>
          <w:lang w:eastAsia="zh-CN"/>
        </w:rPr>
        <w:t>m</w:t>
      </w:r>
      <w:r w:rsidRPr="00E67914">
        <w:rPr>
          <w:rFonts w:ascii="Times New Roman" w:hAnsi="Times New Roman"/>
          <w:sz w:val="24"/>
          <w:lang w:eastAsia="zh-CN"/>
        </w:rPr>
        <w:t>可满足标准要求，夜间不施工。</w:t>
      </w:r>
    </w:p>
    <w:p w14:paraId="12950AE5" w14:textId="40F843CB" w:rsidR="001D0D95" w:rsidRPr="00E67914" w:rsidRDefault="001D0D95" w:rsidP="001D0D95">
      <w:pPr>
        <w:pStyle w:val="afffff0"/>
        <w:spacing w:line="240" w:lineRule="auto"/>
        <w:rPr>
          <w:rFonts w:ascii="Times New Roman"/>
        </w:rPr>
      </w:pPr>
      <w:r w:rsidRPr="00E67914">
        <w:rPr>
          <w:rFonts w:ascii="Times New Roman"/>
        </w:rPr>
        <w:t>表</w:t>
      </w:r>
      <w:r w:rsidRPr="00E67914">
        <w:rPr>
          <w:rFonts w:ascii="Times New Roman"/>
        </w:rPr>
        <w:t>5.1-</w:t>
      </w:r>
      <w:r w:rsidR="00CB4B0C" w:rsidRPr="00E67914">
        <w:rPr>
          <w:rFonts w:ascii="Times New Roman"/>
        </w:rPr>
        <w:t>4</w:t>
      </w:r>
      <w:r w:rsidRPr="00E67914">
        <w:rPr>
          <w:rFonts w:ascii="Times New Roman"/>
        </w:rPr>
        <w:t xml:space="preserve">  </w:t>
      </w:r>
      <w:r w:rsidRPr="00E67914">
        <w:rPr>
          <w:rFonts w:ascii="Times New Roman"/>
        </w:rPr>
        <w:t>敏感点声环境预测结果</w:t>
      </w:r>
      <w:r w:rsidRPr="00E67914">
        <w:rPr>
          <w:rFonts w:ascii="Times New Roman"/>
        </w:rPr>
        <w:t xml:space="preserve">   </w:t>
      </w:r>
      <w:r w:rsidRPr="00E67914">
        <w:rPr>
          <w:rFonts w:ascii="Times New Roman"/>
        </w:rPr>
        <w:t>单位：</w:t>
      </w:r>
      <w:r w:rsidRPr="00E67914">
        <w:rPr>
          <w:rFonts w:ascii="Times New Roman"/>
        </w:rPr>
        <w:t>dB</w:t>
      </w:r>
      <w:r w:rsidRPr="00E67914">
        <w:rPr>
          <w:rFonts w:ascii="Times New Roman"/>
        </w:rPr>
        <w:t>（</w:t>
      </w:r>
      <w:r w:rsidRPr="00E67914">
        <w:rPr>
          <w:rFonts w:ascii="Times New Roman"/>
        </w:rPr>
        <w:t>A</w:t>
      </w:r>
      <w:r w:rsidRPr="00E67914">
        <w:rPr>
          <w:rFonts w:ascii="Times New Roma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42"/>
        <w:gridCol w:w="1788"/>
        <w:gridCol w:w="843"/>
        <w:gridCol w:w="651"/>
        <w:gridCol w:w="527"/>
        <w:gridCol w:w="527"/>
        <w:gridCol w:w="471"/>
        <w:gridCol w:w="471"/>
        <w:gridCol w:w="527"/>
        <w:gridCol w:w="527"/>
        <w:gridCol w:w="471"/>
        <w:gridCol w:w="471"/>
        <w:gridCol w:w="283"/>
        <w:gridCol w:w="361"/>
      </w:tblGrid>
      <w:tr w:rsidR="00E67914" w:rsidRPr="00E67914" w14:paraId="63E30465" w14:textId="77777777" w:rsidTr="00267A22">
        <w:trPr>
          <w:trHeight w:val="454"/>
          <w:jc w:val="center"/>
        </w:trPr>
        <w:tc>
          <w:tcPr>
            <w:tcW w:w="630" w:type="pct"/>
            <w:vMerge w:val="restart"/>
            <w:tcBorders>
              <w:top w:val="single" w:sz="4" w:space="0" w:color="auto"/>
              <w:left w:val="single" w:sz="4" w:space="0" w:color="auto"/>
              <w:right w:val="single" w:sz="4" w:space="0" w:color="auto"/>
            </w:tcBorders>
            <w:vAlign w:val="center"/>
          </w:tcPr>
          <w:p w14:paraId="7ACFB75F" w14:textId="77777777" w:rsidR="001D0D95" w:rsidRPr="00E67914" w:rsidRDefault="001D0D95" w:rsidP="00267A22">
            <w:pPr>
              <w:pStyle w:val="04"/>
              <w:rPr>
                <w:rFonts w:eastAsia="黑体" w:cs="Times New Roman"/>
                <w:b/>
                <w:bCs/>
              </w:rPr>
            </w:pPr>
            <w:r w:rsidRPr="00E67914">
              <w:rPr>
                <w:rFonts w:eastAsia="黑体" w:cs="Times New Roman"/>
                <w:b/>
                <w:bCs/>
              </w:rPr>
              <w:lastRenderedPageBreak/>
              <w:t>预测工况</w:t>
            </w:r>
          </w:p>
        </w:tc>
        <w:tc>
          <w:tcPr>
            <w:tcW w:w="987" w:type="pct"/>
            <w:vMerge w:val="restart"/>
            <w:tcBorders>
              <w:top w:val="single" w:sz="4" w:space="0" w:color="auto"/>
              <w:left w:val="single" w:sz="4" w:space="0" w:color="auto"/>
              <w:bottom w:val="single" w:sz="4" w:space="0" w:color="auto"/>
              <w:right w:val="single" w:sz="4" w:space="0" w:color="auto"/>
            </w:tcBorders>
            <w:vAlign w:val="center"/>
          </w:tcPr>
          <w:p w14:paraId="0DBAC2F5" w14:textId="77777777" w:rsidR="001D0D95" w:rsidRPr="00E67914" w:rsidRDefault="001D0D95" w:rsidP="00267A22">
            <w:pPr>
              <w:pStyle w:val="04"/>
              <w:rPr>
                <w:rFonts w:eastAsia="黑体" w:cs="Times New Roman"/>
                <w:b/>
                <w:bCs/>
              </w:rPr>
            </w:pPr>
            <w:r w:rsidRPr="00E67914">
              <w:rPr>
                <w:rFonts w:eastAsia="黑体" w:cs="Times New Roman"/>
                <w:b/>
                <w:bCs/>
              </w:rPr>
              <w:t>敏感点</w:t>
            </w:r>
          </w:p>
          <w:p w14:paraId="50D5E5D4" w14:textId="77777777" w:rsidR="001D0D95" w:rsidRPr="00E67914" w:rsidRDefault="001D0D95" w:rsidP="00267A22">
            <w:pPr>
              <w:pStyle w:val="04"/>
              <w:rPr>
                <w:rFonts w:eastAsia="黑体" w:cs="Times New Roman"/>
                <w:b/>
                <w:bCs/>
              </w:rPr>
            </w:pPr>
            <w:r w:rsidRPr="00E67914">
              <w:rPr>
                <w:rFonts w:eastAsia="黑体" w:cs="Times New Roman"/>
                <w:b/>
                <w:bCs/>
              </w:rPr>
              <w:t>名称</w:t>
            </w:r>
          </w:p>
        </w:tc>
        <w:tc>
          <w:tcPr>
            <w:tcW w:w="465" w:type="pct"/>
            <w:vMerge w:val="restart"/>
            <w:tcBorders>
              <w:top w:val="single" w:sz="4" w:space="0" w:color="auto"/>
              <w:left w:val="single" w:sz="4" w:space="0" w:color="auto"/>
              <w:bottom w:val="single" w:sz="4" w:space="0" w:color="auto"/>
              <w:right w:val="single" w:sz="4" w:space="0" w:color="auto"/>
            </w:tcBorders>
            <w:vAlign w:val="center"/>
          </w:tcPr>
          <w:p w14:paraId="38DED207" w14:textId="77777777" w:rsidR="001D0D95" w:rsidRPr="00E67914" w:rsidRDefault="001D0D95" w:rsidP="00267A22">
            <w:pPr>
              <w:pStyle w:val="04"/>
              <w:rPr>
                <w:rFonts w:eastAsia="黑体" w:cs="Times New Roman"/>
                <w:b/>
                <w:bCs/>
              </w:rPr>
            </w:pPr>
            <w:r w:rsidRPr="00E67914">
              <w:rPr>
                <w:rFonts w:eastAsia="黑体" w:cs="Times New Roman"/>
                <w:b/>
                <w:bCs/>
              </w:rPr>
              <w:t>距井场</w:t>
            </w:r>
          </w:p>
          <w:p w14:paraId="572C327B" w14:textId="77777777" w:rsidR="001D0D95" w:rsidRPr="00E67914" w:rsidRDefault="001D0D95" w:rsidP="00267A22">
            <w:pPr>
              <w:pStyle w:val="04"/>
              <w:rPr>
                <w:rFonts w:eastAsia="黑体" w:cs="Times New Roman"/>
                <w:b/>
                <w:bCs/>
              </w:rPr>
            </w:pPr>
            <w:r w:rsidRPr="00E67914">
              <w:rPr>
                <w:rFonts w:eastAsia="黑体" w:cs="Times New Roman"/>
                <w:b/>
                <w:bCs/>
              </w:rPr>
              <w:t>场界（</w:t>
            </w:r>
            <w:r w:rsidRPr="00E67914">
              <w:rPr>
                <w:rFonts w:eastAsia="黑体" w:cs="Times New Roman"/>
                <w:b/>
                <w:bCs/>
              </w:rPr>
              <w:t>m</w:t>
            </w:r>
            <w:r w:rsidRPr="00E67914">
              <w:rPr>
                <w:rFonts w:eastAsia="黑体" w:cs="Times New Roman"/>
                <w:b/>
                <w:bCs/>
              </w:rPr>
              <w:t>）</w:t>
            </w:r>
          </w:p>
        </w:tc>
        <w:tc>
          <w:tcPr>
            <w:tcW w:w="359" w:type="pct"/>
            <w:vMerge w:val="restart"/>
            <w:tcBorders>
              <w:top w:val="single" w:sz="4" w:space="0" w:color="auto"/>
              <w:left w:val="single" w:sz="4" w:space="0" w:color="auto"/>
              <w:bottom w:val="single" w:sz="4" w:space="0" w:color="auto"/>
              <w:right w:val="single" w:sz="4" w:space="0" w:color="auto"/>
            </w:tcBorders>
            <w:vAlign w:val="center"/>
          </w:tcPr>
          <w:p w14:paraId="55996DA7" w14:textId="77777777" w:rsidR="001D0D95" w:rsidRPr="00E67914" w:rsidRDefault="001D0D95" w:rsidP="00267A22">
            <w:pPr>
              <w:pStyle w:val="04"/>
              <w:rPr>
                <w:rFonts w:eastAsia="黑体" w:cs="Times New Roman"/>
                <w:b/>
                <w:bCs/>
              </w:rPr>
            </w:pPr>
            <w:r w:rsidRPr="00E67914">
              <w:rPr>
                <w:rFonts w:eastAsia="黑体" w:cs="Times New Roman"/>
                <w:b/>
                <w:bCs/>
              </w:rPr>
              <w:t>与井场</w:t>
            </w:r>
          </w:p>
          <w:p w14:paraId="7A1078C1" w14:textId="77777777" w:rsidR="001D0D95" w:rsidRPr="00E67914" w:rsidRDefault="001D0D95" w:rsidP="00267A22">
            <w:pPr>
              <w:pStyle w:val="04"/>
              <w:rPr>
                <w:rFonts w:eastAsia="黑体" w:cs="Times New Roman"/>
                <w:b/>
                <w:bCs/>
              </w:rPr>
            </w:pPr>
            <w:r w:rsidRPr="00E67914">
              <w:rPr>
                <w:rFonts w:eastAsia="黑体" w:cs="Times New Roman"/>
                <w:b/>
                <w:bCs/>
              </w:rPr>
              <w:t>相对方向</w:t>
            </w:r>
          </w:p>
        </w:tc>
        <w:tc>
          <w:tcPr>
            <w:tcW w:w="582" w:type="pct"/>
            <w:gridSpan w:val="2"/>
            <w:tcBorders>
              <w:top w:val="single" w:sz="4" w:space="0" w:color="auto"/>
              <w:left w:val="single" w:sz="4" w:space="0" w:color="auto"/>
              <w:bottom w:val="single" w:sz="4" w:space="0" w:color="auto"/>
              <w:right w:val="single" w:sz="4" w:space="0" w:color="auto"/>
            </w:tcBorders>
            <w:noWrap/>
            <w:vAlign w:val="center"/>
          </w:tcPr>
          <w:p w14:paraId="64F58331" w14:textId="77777777" w:rsidR="001D0D95" w:rsidRPr="00E67914" w:rsidRDefault="001D0D95" w:rsidP="00267A22">
            <w:pPr>
              <w:pStyle w:val="04"/>
              <w:rPr>
                <w:rFonts w:eastAsia="黑体" w:cs="Times New Roman"/>
                <w:b/>
                <w:bCs/>
              </w:rPr>
            </w:pPr>
            <w:r w:rsidRPr="00E67914">
              <w:rPr>
                <w:rFonts w:eastAsia="黑体" w:cs="Times New Roman"/>
                <w:b/>
                <w:bCs/>
              </w:rPr>
              <w:t>贡献值</w:t>
            </w:r>
          </w:p>
        </w:tc>
        <w:tc>
          <w:tcPr>
            <w:tcW w:w="520" w:type="pct"/>
            <w:gridSpan w:val="2"/>
            <w:tcBorders>
              <w:top w:val="single" w:sz="4" w:space="0" w:color="auto"/>
              <w:left w:val="single" w:sz="4" w:space="0" w:color="auto"/>
              <w:bottom w:val="single" w:sz="4" w:space="0" w:color="auto"/>
              <w:right w:val="single" w:sz="4" w:space="0" w:color="auto"/>
            </w:tcBorders>
            <w:noWrap/>
            <w:vAlign w:val="center"/>
          </w:tcPr>
          <w:p w14:paraId="39B6CB0A" w14:textId="77777777" w:rsidR="001D0D95" w:rsidRPr="00E67914" w:rsidRDefault="001D0D95" w:rsidP="00267A22">
            <w:pPr>
              <w:pStyle w:val="04"/>
              <w:rPr>
                <w:rFonts w:eastAsia="黑体" w:cs="Times New Roman"/>
                <w:b/>
                <w:bCs/>
              </w:rPr>
            </w:pPr>
            <w:r w:rsidRPr="00E67914">
              <w:rPr>
                <w:rFonts w:eastAsia="黑体" w:cs="Times New Roman"/>
                <w:b/>
                <w:bCs/>
              </w:rPr>
              <w:t>背景值</w:t>
            </w:r>
          </w:p>
        </w:tc>
        <w:tc>
          <w:tcPr>
            <w:tcW w:w="582" w:type="pct"/>
            <w:gridSpan w:val="2"/>
            <w:tcBorders>
              <w:top w:val="single" w:sz="4" w:space="0" w:color="auto"/>
              <w:left w:val="single" w:sz="4" w:space="0" w:color="auto"/>
              <w:bottom w:val="single" w:sz="4" w:space="0" w:color="auto"/>
              <w:right w:val="single" w:sz="4" w:space="0" w:color="auto"/>
            </w:tcBorders>
            <w:noWrap/>
            <w:vAlign w:val="center"/>
          </w:tcPr>
          <w:p w14:paraId="3498091D" w14:textId="77777777" w:rsidR="001D0D95" w:rsidRPr="00E67914" w:rsidRDefault="001D0D95" w:rsidP="00267A22">
            <w:pPr>
              <w:pStyle w:val="04"/>
              <w:rPr>
                <w:rFonts w:eastAsia="黑体" w:cs="Times New Roman"/>
                <w:b/>
                <w:bCs/>
              </w:rPr>
            </w:pPr>
            <w:r w:rsidRPr="00E67914">
              <w:rPr>
                <w:rFonts w:eastAsia="黑体" w:cs="Times New Roman"/>
                <w:b/>
                <w:bCs/>
              </w:rPr>
              <w:t>预测值</w:t>
            </w:r>
          </w:p>
        </w:tc>
        <w:tc>
          <w:tcPr>
            <w:tcW w:w="520" w:type="pct"/>
            <w:gridSpan w:val="2"/>
            <w:tcBorders>
              <w:top w:val="single" w:sz="4" w:space="0" w:color="auto"/>
              <w:left w:val="single" w:sz="4" w:space="0" w:color="auto"/>
              <w:bottom w:val="single" w:sz="4" w:space="0" w:color="auto"/>
              <w:right w:val="single" w:sz="4" w:space="0" w:color="auto"/>
            </w:tcBorders>
            <w:noWrap/>
            <w:vAlign w:val="center"/>
          </w:tcPr>
          <w:p w14:paraId="47A26624" w14:textId="77777777" w:rsidR="001D0D95" w:rsidRPr="00E67914" w:rsidRDefault="001D0D95" w:rsidP="00267A22">
            <w:pPr>
              <w:pStyle w:val="04"/>
              <w:rPr>
                <w:rFonts w:eastAsia="黑体" w:cs="Times New Roman"/>
                <w:b/>
                <w:bCs/>
              </w:rPr>
            </w:pPr>
            <w:r w:rsidRPr="00E67914">
              <w:rPr>
                <w:rFonts w:eastAsia="黑体" w:cs="Times New Roman"/>
                <w:b/>
                <w:bCs/>
              </w:rPr>
              <w:t>超标范围</w:t>
            </w:r>
          </w:p>
        </w:tc>
        <w:tc>
          <w:tcPr>
            <w:tcW w:w="355" w:type="pct"/>
            <w:gridSpan w:val="2"/>
            <w:tcBorders>
              <w:top w:val="single" w:sz="4" w:space="0" w:color="auto"/>
              <w:left w:val="single" w:sz="4" w:space="0" w:color="auto"/>
              <w:bottom w:val="single" w:sz="4" w:space="0" w:color="auto"/>
              <w:right w:val="single" w:sz="4" w:space="0" w:color="auto"/>
            </w:tcBorders>
            <w:vAlign w:val="center"/>
          </w:tcPr>
          <w:p w14:paraId="3C354D4B" w14:textId="77777777" w:rsidR="001D0D95" w:rsidRPr="00E67914" w:rsidRDefault="001D0D95" w:rsidP="00267A22">
            <w:pPr>
              <w:pStyle w:val="04"/>
              <w:rPr>
                <w:rFonts w:eastAsia="黑体" w:cs="Times New Roman"/>
                <w:b/>
                <w:bCs/>
              </w:rPr>
            </w:pPr>
            <w:r w:rsidRPr="00E67914">
              <w:rPr>
                <w:rFonts w:eastAsia="黑体" w:cs="Times New Roman"/>
                <w:b/>
                <w:bCs/>
              </w:rPr>
              <w:t>超达标情况</w:t>
            </w:r>
          </w:p>
        </w:tc>
      </w:tr>
      <w:tr w:rsidR="00E67914" w:rsidRPr="00E67914" w14:paraId="5F6CE216" w14:textId="77777777" w:rsidTr="00267A22">
        <w:trPr>
          <w:trHeight w:val="454"/>
          <w:jc w:val="center"/>
        </w:trPr>
        <w:tc>
          <w:tcPr>
            <w:tcW w:w="630" w:type="pct"/>
            <w:vMerge/>
            <w:tcBorders>
              <w:left w:val="single" w:sz="4" w:space="0" w:color="auto"/>
              <w:bottom w:val="single" w:sz="4" w:space="0" w:color="auto"/>
              <w:right w:val="single" w:sz="4" w:space="0" w:color="auto"/>
            </w:tcBorders>
            <w:vAlign w:val="center"/>
          </w:tcPr>
          <w:p w14:paraId="172C81D7" w14:textId="77777777" w:rsidR="001D0D95" w:rsidRPr="00E67914" w:rsidRDefault="001D0D95" w:rsidP="00267A22">
            <w:pPr>
              <w:pStyle w:val="04"/>
              <w:rPr>
                <w:rFonts w:eastAsia="黑体" w:cs="Times New Roman"/>
                <w:b/>
                <w:bCs/>
              </w:rPr>
            </w:pPr>
          </w:p>
        </w:tc>
        <w:tc>
          <w:tcPr>
            <w:tcW w:w="987" w:type="pct"/>
            <w:vMerge/>
            <w:tcBorders>
              <w:top w:val="single" w:sz="4" w:space="0" w:color="auto"/>
              <w:left w:val="single" w:sz="4" w:space="0" w:color="auto"/>
              <w:bottom w:val="single" w:sz="4" w:space="0" w:color="auto"/>
              <w:right w:val="single" w:sz="4" w:space="0" w:color="auto"/>
            </w:tcBorders>
            <w:vAlign w:val="center"/>
          </w:tcPr>
          <w:p w14:paraId="217DE535" w14:textId="77777777" w:rsidR="001D0D95" w:rsidRPr="00E67914" w:rsidRDefault="001D0D95" w:rsidP="00267A22">
            <w:pPr>
              <w:pStyle w:val="04"/>
              <w:rPr>
                <w:rFonts w:eastAsia="黑体" w:cs="Times New Roman"/>
                <w:b/>
                <w:bCs/>
              </w:rPr>
            </w:pPr>
          </w:p>
        </w:tc>
        <w:tc>
          <w:tcPr>
            <w:tcW w:w="465" w:type="pct"/>
            <w:vMerge/>
            <w:tcBorders>
              <w:top w:val="single" w:sz="4" w:space="0" w:color="auto"/>
              <w:left w:val="single" w:sz="4" w:space="0" w:color="auto"/>
              <w:bottom w:val="single" w:sz="4" w:space="0" w:color="auto"/>
              <w:right w:val="single" w:sz="4" w:space="0" w:color="auto"/>
            </w:tcBorders>
            <w:vAlign w:val="center"/>
          </w:tcPr>
          <w:p w14:paraId="75CEDC65" w14:textId="77777777" w:rsidR="001D0D95" w:rsidRPr="00E67914" w:rsidRDefault="001D0D95" w:rsidP="00267A22">
            <w:pPr>
              <w:pStyle w:val="04"/>
              <w:rPr>
                <w:rFonts w:eastAsia="黑体" w:cs="Times New Roman"/>
                <w:b/>
                <w:bCs/>
              </w:rPr>
            </w:pPr>
          </w:p>
        </w:tc>
        <w:tc>
          <w:tcPr>
            <w:tcW w:w="359" w:type="pct"/>
            <w:vMerge/>
            <w:tcBorders>
              <w:top w:val="single" w:sz="4" w:space="0" w:color="auto"/>
              <w:left w:val="single" w:sz="4" w:space="0" w:color="auto"/>
              <w:bottom w:val="single" w:sz="4" w:space="0" w:color="auto"/>
              <w:right w:val="single" w:sz="4" w:space="0" w:color="auto"/>
            </w:tcBorders>
            <w:vAlign w:val="center"/>
          </w:tcPr>
          <w:p w14:paraId="1BEA0D19" w14:textId="77777777" w:rsidR="001D0D95" w:rsidRPr="00E67914" w:rsidRDefault="001D0D95" w:rsidP="00267A22">
            <w:pPr>
              <w:pStyle w:val="04"/>
              <w:rPr>
                <w:rFonts w:eastAsia="黑体" w:cs="Times New Roman"/>
                <w:b/>
                <w:bCs/>
              </w:rPr>
            </w:pPr>
          </w:p>
        </w:tc>
        <w:tc>
          <w:tcPr>
            <w:tcW w:w="291" w:type="pct"/>
            <w:tcBorders>
              <w:top w:val="single" w:sz="4" w:space="0" w:color="auto"/>
              <w:left w:val="single" w:sz="4" w:space="0" w:color="auto"/>
              <w:bottom w:val="single" w:sz="4" w:space="0" w:color="auto"/>
              <w:right w:val="single" w:sz="4" w:space="0" w:color="auto"/>
            </w:tcBorders>
            <w:noWrap/>
            <w:vAlign w:val="center"/>
          </w:tcPr>
          <w:p w14:paraId="7D053C0A" w14:textId="77777777" w:rsidR="001D0D95" w:rsidRPr="00E67914" w:rsidRDefault="001D0D95" w:rsidP="00267A22">
            <w:pPr>
              <w:pStyle w:val="04"/>
              <w:rPr>
                <w:rFonts w:eastAsia="黑体" w:cs="Times New Roman"/>
                <w:b/>
                <w:bCs/>
              </w:rPr>
            </w:pPr>
            <w:r w:rsidRPr="00E67914">
              <w:rPr>
                <w:rFonts w:eastAsia="黑体" w:cs="Times New Roman"/>
                <w:b/>
                <w:bCs/>
              </w:rPr>
              <w:t>昼间</w:t>
            </w:r>
          </w:p>
        </w:tc>
        <w:tc>
          <w:tcPr>
            <w:tcW w:w="291" w:type="pct"/>
            <w:tcBorders>
              <w:top w:val="single" w:sz="4" w:space="0" w:color="auto"/>
              <w:left w:val="single" w:sz="4" w:space="0" w:color="auto"/>
              <w:bottom w:val="single" w:sz="4" w:space="0" w:color="auto"/>
              <w:right w:val="single" w:sz="4" w:space="0" w:color="auto"/>
            </w:tcBorders>
            <w:noWrap/>
            <w:vAlign w:val="center"/>
          </w:tcPr>
          <w:p w14:paraId="4CDD422B" w14:textId="77777777" w:rsidR="001D0D95" w:rsidRPr="00E67914" w:rsidRDefault="001D0D95" w:rsidP="00267A22">
            <w:pPr>
              <w:pStyle w:val="04"/>
              <w:rPr>
                <w:rFonts w:eastAsia="黑体" w:cs="Times New Roman"/>
                <w:b/>
                <w:bCs/>
              </w:rPr>
            </w:pPr>
            <w:r w:rsidRPr="00E67914">
              <w:rPr>
                <w:rFonts w:eastAsia="黑体" w:cs="Times New Roman"/>
                <w:b/>
                <w:bCs/>
              </w:rPr>
              <w:t>夜间</w:t>
            </w:r>
          </w:p>
        </w:tc>
        <w:tc>
          <w:tcPr>
            <w:tcW w:w="260" w:type="pct"/>
            <w:tcBorders>
              <w:top w:val="single" w:sz="4" w:space="0" w:color="auto"/>
              <w:left w:val="single" w:sz="4" w:space="0" w:color="auto"/>
              <w:bottom w:val="single" w:sz="4" w:space="0" w:color="auto"/>
              <w:right w:val="single" w:sz="4" w:space="0" w:color="auto"/>
            </w:tcBorders>
            <w:noWrap/>
            <w:vAlign w:val="center"/>
          </w:tcPr>
          <w:p w14:paraId="5F40533F" w14:textId="77777777" w:rsidR="001D0D95" w:rsidRPr="00E67914" w:rsidRDefault="001D0D95" w:rsidP="00267A22">
            <w:pPr>
              <w:pStyle w:val="04"/>
              <w:rPr>
                <w:rFonts w:eastAsia="黑体" w:cs="Times New Roman"/>
                <w:b/>
                <w:bCs/>
              </w:rPr>
            </w:pPr>
            <w:r w:rsidRPr="00E67914">
              <w:rPr>
                <w:rFonts w:eastAsia="黑体" w:cs="Times New Roman"/>
                <w:b/>
                <w:bCs/>
              </w:rPr>
              <w:t>昼间</w:t>
            </w:r>
          </w:p>
        </w:tc>
        <w:tc>
          <w:tcPr>
            <w:tcW w:w="260" w:type="pct"/>
            <w:tcBorders>
              <w:top w:val="single" w:sz="4" w:space="0" w:color="auto"/>
              <w:left w:val="single" w:sz="4" w:space="0" w:color="auto"/>
              <w:bottom w:val="single" w:sz="4" w:space="0" w:color="auto"/>
              <w:right w:val="single" w:sz="4" w:space="0" w:color="auto"/>
            </w:tcBorders>
            <w:noWrap/>
            <w:vAlign w:val="center"/>
          </w:tcPr>
          <w:p w14:paraId="41C679BE" w14:textId="77777777" w:rsidR="001D0D95" w:rsidRPr="00E67914" w:rsidRDefault="001D0D95" w:rsidP="00267A22">
            <w:pPr>
              <w:pStyle w:val="04"/>
              <w:rPr>
                <w:rFonts w:eastAsia="黑体" w:cs="Times New Roman"/>
                <w:b/>
                <w:bCs/>
              </w:rPr>
            </w:pPr>
            <w:r w:rsidRPr="00E67914">
              <w:rPr>
                <w:rFonts w:eastAsia="黑体" w:cs="Times New Roman"/>
                <w:b/>
                <w:bCs/>
              </w:rPr>
              <w:t>夜间</w:t>
            </w:r>
          </w:p>
        </w:tc>
        <w:tc>
          <w:tcPr>
            <w:tcW w:w="291" w:type="pct"/>
            <w:tcBorders>
              <w:top w:val="single" w:sz="4" w:space="0" w:color="auto"/>
              <w:left w:val="single" w:sz="4" w:space="0" w:color="auto"/>
              <w:bottom w:val="single" w:sz="4" w:space="0" w:color="auto"/>
              <w:right w:val="single" w:sz="4" w:space="0" w:color="auto"/>
            </w:tcBorders>
            <w:noWrap/>
            <w:vAlign w:val="center"/>
          </w:tcPr>
          <w:p w14:paraId="76395067" w14:textId="77777777" w:rsidR="001D0D95" w:rsidRPr="00E67914" w:rsidRDefault="001D0D95" w:rsidP="00267A22">
            <w:pPr>
              <w:pStyle w:val="04"/>
              <w:rPr>
                <w:rFonts w:eastAsia="黑体" w:cs="Times New Roman"/>
                <w:b/>
                <w:bCs/>
              </w:rPr>
            </w:pPr>
            <w:r w:rsidRPr="00E67914">
              <w:rPr>
                <w:rFonts w:eastAsia="黑体" w:cs="Times New Roman"/>
                <w:b/>
                <w:bCs/>
              </w:rPr>
              <w:t>昼间</w:t>
            </w:r>
          </w:p>
        </w:tc>
        <w:tc>
          <w:tcPr>
            <w:tcW w:w="291" w:type="pct"/>
            <w:tcBorders>
              <w:top w:val="single" w:sz="4" w:space="0" w:color="auto"/>
              <w:left w:val="single" w:sz="4" w:space="0" w:color="auto"/>
              <w:bottom w:val="single" w:sz="4" w:space="0" w:color="auto"/>
              <w:right w:val="single" w:sz="4" w:space="0" w:color="auto"/>
            </w:tcBorders>
            <w:noWrap/>
            <w:vAlign w:val="center"/>
          </w:tcPr>
          <w:p w14:paraId="0FCE6C38" w14:textId="77777777" w:rsidR="001D0D95" w:rsidRPr="00E67914" w:rsidRDefault="001D0D95" w:rsidP="00267A22">
            <w:pPr>
              <w:pStyle w:val="04"/>
              <w:rPr>
                <w:rFonts w:eastAsia="黑体" w:cs="Times New Roman"/>
                <w:b/>
                <w:bCs/>
              </w:rPr>
            </w:pPr>
            <w:r w:rsidRPr="00E67914">
              <w:rPr>
                <w:rFonts w:eastAsia="黑体" w:cs="Times New Roman"/>
                <w:b/>
                <w:bCs/>
              </w:rPr>
              <w:t>夜间</w:t>
            </w:r>
          </w:p>
        </w:tc>
        <w:tc>
          <w:tcPr>
            <w:tcW w:w="260" w:type="pct"/>
            <w:tcBorders>
              <w:top w:val="single" w:sz="4" w:space="0" w:color="auto"/>
              <w:left w:val="single" w:sz="4" w:space="0" w:color="auto"/>
              <w:bottom w:val="single" w:sz="4" w:space="0" w:color="auto"/>
              <w:right w:val="single" w:sz="4" w:space="0" w:color="auto"/>
            </w:tcBorders>
            <w:noWrap/>
            <w:vAlign w:val="center"/>
          </w:tcPr>
          <w:p w14:paraId="7D1A49ED" w14:textId="77777777" w:rsidR="001D0D95" w:rsidRPr="00E67914" w:rsidRDefault="001D0D95" w:rsidP="00267A22">
            <w:pPr>
              <w:pStyle w:val="04"/>
              <w:rPr>
                <w:rFonts w:eastAsia="黑体" w:cs="Times New Roman"/>
                <w:b/>
                <w:bCs/>
              </w:rPr>
            </w:pPr>
            <w:r w:rsidRPr="00E67914">
              <w:rPr>
                <w:rFonts w:eastAsia="黑体" w:cs="Times New Roman"/>
                <w:b/>
                <w:bCs/>
              </w:rPr>
              <w:t>昼间</w:t>
            </w:r>
          </w:p>
        </w:tc>
        <w:tc>
          <w:tcPr>
            <w:tcW w:w="260" w:type="pct"/>
            <w:tcBorders>
              <w:top w:val="single" w:sz="4" w:space="0" w:color="auto"/>
              <w:left w:val="single" w:sz="4" w:space="0" w:color="auto"/>
              <w:bottom w:val="single" w:sz="4" w:space="0" w:color="auto"/>
              <w:right w:val="single" w:sz="4" w:space="0" w:color="auto"/>
            </w:tcBorders>
            <w:noWrap/>
            <w:vAlign w:val="center"/>
          </w:tcPr>
          <w:p w14:paraId="74930207" w14:textId="77777777" w:rsidR="001D0D95" w:rsidRPr="00E67914" w:rsidRDefault="001D0D95" w:rsidP="00267A22">
            <w:pPr>
              <w:pStyle w:val="04"/>
              <w:rPr>
                <w:rFonts w:eastAsia="黑体" w:cs="Times New Roman"/>
                <w:b/>
                <w:bCs/>
              </w:rPr>
            </w:pPr>
            <w:r w:rsidRPr="00E67914">
              <w:rPr>
                <w:rFonts w:eastAsia="黑体" w:cs="Times New Roman"/>
                <w:b/>
                <w:bCs/>
              </w:rPr>
              <w:t>夜间</w:t>
            </w:r>
          </w:p>
        </w:tc>
        <w:tc>
          <w:tcPr>
            <w:tcW w:w="156" w:type="pct"/>
            <w:tcBorders>
              <w:top w:val="single" w:sz="4" w:space="0" w:color="auto"/>
              <w:left w:val="single" w:sz="4" w:space="0" w:color="auto"/>
              <w:bottom w:val="single" w:sz="4" w:space="0" w:color="auto"/>
              <w:right w:val="single" w:sz="4" w:space="0" w:color="auto"/>
            </w:tcBorders>
            <w:vAlign w:val="center"/>
          </w:tcPr>
          <w:p w14:paraId="46C1CD57" w14:textId="77777777" w:rsidR="001D0D95" w:rsidRPr="00E67914" w:rsidRDefault="001D0D95" w:rsidP="00267A22">
            <w:pPr>
              <w:pStyle w:val="04"/>
              <w:rPr>
                <w:rFonts w:eastAsia="黑体" w:cs="Times New Roman"/>
                <w:b/>
                <w:bCs/>
              </w:rPr>
            </w:pPr>
            <w:r w:rsidRPr="00E67914">
              <w:rPr>
                <w:rFonts w:eastAsia="黑体" w:cs="Times New Roman"/>
                <w:b/>
                <w:bCs/>
              </w:rPr>
              <w:t>昼间</w:t>
            </w:r>
          </w:p>
        </w:tc>
        <w:tc>
          <w:tcPr>
            <w:tcW w:w="199" w:type="pct"/>
            <w:tcBorders>
              <w:top w:val="single" w:sz="4" w:space="0" w:color="auto"/>
              <w:left w:val="single" w:sz="4" w:space="0" w:color="auto"/>
              <w:bottom w:val="single" w:sz="4" w:space="0" w:color="auto"/>
              <w:right w:val="single" w:sz="4" w:space="0" w:color="auto"/>
            </w:tcBorders>
            <w:vAlign w:val="center"/>
          </w:tcPr>
          <w:p w14:paraId="13EF53C1" w14:textId="77777777" w:rsidR="001D0D95" w:rsidRPr="00E67914" w:rsidRDefault="001D0D95" w:rsidP="00267A22">
            <w:pPr>
              <w:pStyle w:val="04"/>
              <w:rPr>
                <w:rFonts w:eastAsia="黑体" w:cs="Times New Roman"/>
                <w:b/>
                <w:bCs/>
              </w:rPr>
            </w:pPr>
            <w:r w:rsidRPr="00E67914">
              <w:rPr>
                <w:rFonts w:eastAsia="黑体" w:cs="Times New Roman"/>
                <w:b/>
                <w:bCs/>
              </w:rPr>
              <w:t>夜间</w:t>
            </w:r>
          </w:p>
        </w:tc>
      </w:tr>
      <w:tr w:rsidR="00E67914" w:rsidRPr="00E67914" w14:paraId="183F5AC3" w14:textId="77777777" w:rsidTr="00267A22">
        <w:trPr>
          <w:trHeight w:val="454"/>
          <w:jc w:val="center"/>
        </w:trPr>
        <w:tc>
          <w:tcPr>
            <w:tcW w:w="630" w:type="pct"/>
            <w:vMerge w:val="restart"/>
            <w:tcBorders>
              <w:top w:val="single" w:sz="4" w:space="0" w:color="auto"/>
              <w:left w:val="single" w:sz="4" w:space="0" w:color="auto"/>
              <w:right w:val="single" w:sz="4" w:space="0" w:color="auto"/>
            </w:tcBorders>
            <w:vAlign w:val="center"/>
          </w:tcPr>
          <w:p w14:paraId="6F2A5110" w14:textId="6AABA98B" w:rsidR="00627D3A" w:rsidRPr="00E67914" w:rsidRDefault="00627D3A" w:rsidP="00627D3A">
            <w:pPr>
              <w:pStyle w:val="04"/>
              <w:rPr>
                <w:rFonts w:cs="Times New Roman"/>
              </w:rPr>
            </w:pPr>
            <w:r w:rsidRPr="00E67914">
              <w:rPr>
                <w:rFonts w:cs="Times New Roman"/>
              </w:rPr>
              <w:t>昼间</w:t>
            </w:r>
          </w:p>
        </w:tc>
        <w:tc>
          <w:tcPr>
            <w:tcW w:w="987" w:type="pct"/>
            <w:tcBorders>
              <w:top w:val="single" w:sz="4" w:space="0" w:color="auto"/>
              <w:left w:val="single" w:sz="4" w:space="0" w:color="auto"/>
              <w:bottom w:val="single" w:sz="4" w:space="0" w:color="auto"/>
              <w:right w:val="single" w:sz="4" w:space="0" w:color="auto"/>
            </w:tcBorders>
            <w:noWrap/>
            <w:vAlign w:val="center"/>
          </w:tcPr>
          <w:p w14:paraId="2B4F0EF7" w14:textId="717B1127" w:rsidR="00627D3A" w:rsidRPr="00E67914" w:rsidRDefault="00627D3A" w:rsidP="00627D3A">
            <w:pPr>
              <w:pStyle w:val="04"/>
              <w:rPr>
                <w:rFonts w:cs="Times New Roman"/>
              </w:rPr>
            </w:pPr>
            <w:r w:rsidRPr="00E67914">
              <w:rPr>
                <w:rFonts w:cs="Times New Roman"/>
                <w:kern w:val="2"/>
              </w:rPr>
              <w:t>1#</w:t>
            </w:r>
            <w:r w:rsidRPr="00E67914">
              <w:rPr>
                <w:rFonts w:cs="Times New Roman"/>
                <w:kern w:val="2"/>
              </w:rPr>
              <w:t>居民点</w:t>
            </w:r>
          </w:p>
        </w:tc>
        <w:tc>
          <w:tcPr>
            <w:tcW w:w="465" w:type="pct"/>
            <w:tcBorders>
              <w:top w:val="single" w:sz="4" w:space="0" w:color="auto"/>
              <w:left w:val="single" w:sz="4" w:space="0" w:color="auto"/>
              <w:bottom w:val="single" w:sz="4" w:space="0" w:color="auto"/>
              <w:right w:val="single" w:sz="4" w:space="0" w:color="auto"/>
            </w:tcBorders>
            <w:noWrap/>
            <w:vAlign w:val="center"/>
          </w:tcPr>
          <w:p w14:paraId="12FDF166" w14:textId="3DD4668E" w:rsidR="00627D3A" w:rsidRPr="00E67914" w:rsidRDefault="00627D3A" w:rsidP="00627D3A">
            <w:pPr>
              <w:pStyle w:val="04"/>
              <w:rPr>
                <w:rFonts w:cs="Times New Roman"/>
              </w:rPr>
            </w:pPr>
            <w:r w:rsidRPr="00E67914">
              <w:rPr>
                <w:rFonts w:cs="Times New Roman"/>
                <w:kern w:val="2"/>
              </w:rPr>
              <w:t>61</w:t>
            </w:r>
          </w:p>
        </w:tc>
        <w:tc>
          <w:tcPr>
            <w:tcW w:w="359" w:type="pct"/>
            <w:tcBorders>
              <w:top w:val="single" w:sz="4" w:space="0" w:color="auto"/>
              <w:left w:val="single" w:sz="4" w:space="0" w:color="auto"/>
              <w:bottom w:val="single" w:sz="4" w:space="0" w:color="auto"/>
              <w:right w:val="single" w:sz="4" w:space="0" w:color="auto"/>
            </w:tcBorders>
            <w:noWrap/>
            <w:vAlign w:val="center"/>
          </w:tcPr>
          <w:p w14:paraId="33229D76" w14:textId="749136DC" w:rsidR="00627D3A" w:rsidRPr="00E67914" w:rsidRDefault="00627D3A" w:rsidP="00627D3A">
            <w:pPr>
              <w:pStyle w:val="04"/>
              <w:rPr>
                <w:rFonts w:cs="Times New Roman"/>
              </w:rPr>
            </w:pPr>
            <w:r w:rsidRPr="00E67914">
              <w:rPr>
                <w:rFonts w:cs="Times New Roman"/>
                <w:kern w:val="2"/>
              </w:rPr>
              <w:t>N</w:t>
            </w:r>
          </w:p>
        </w:tc>
        <w:tc>
          <w:tcPr>
            <w:tcW w:w="291" w:type="pct"/>
            <w:tcBorders>
              <w:top w:val="single" w:sz="4" w:space="0" w:color="auto"/>
              <w:left w:val="single" w:sz="4" w:space="0" w:color="auto"/>
              <w:bottom w:val="single" w:sz="4" w:space="0" w:color="auto"/>
              <w:right w:val="single" w:sz="4" w:space="0" w:color="auto"/>
            </w:tcBorders>
            <w:noWrap/>
            <w:vAlign w:val="center"/>
          </w:tcPr>
          <w:p w14:paraId="51FF95AD" w14:textId="41C961D7" w:rsidR="00627D3A" w:rsidRPr="00E67914" w:rsidRDefault="00627D3A" w:rsidP="00627D3A">
            <w:pPr>
              <w:pStyle w:val="04"/>
              <w:rPr>
                <w:rFonts w:cs="Times New Roman"/>
              </w:rPr>
            </w:pPr>
            <w:r w:rsidRPr="00E67914">
              <w:rPr>
                <w:rFonts w:cs="Times New Roman"/>
              </w:rPr>
              <w:t>65</w:t>
            </w:r>
          </w:p>
        </w:tc>
        <w:tc>
          <w:tcPr>
            <w:tcW w:w="291" w:type="pct"/>
            <w:tcBorders>
              <w:top w:val="single" w:sz="4" w:space="0" w:color="auto"/>
              <w:left w:val="single" w:sz="4" w:space="0" w:color="auto"/>
              <w:bottom w:val="single" w:sz="4" w:space="0" w:color="auto"/>
              <w:right w:val="single" w:sz="4" w:space="0" w:color="auto"/>
            </w:tcBorders>
            <w:noWrap/>
            <w:vAlign w:val="center"/>
          </w:tcPr>
          <w:p w14:paraId="551DF792" w14:textId="5B4C6FDC" w:rsidR="00627D3A" w:rsidRPr="00E67914" w:rsidRDefault="00627D3A" w:rsidP="00627D3A">
            <w:pPr>
              <w:pStyle w:val="04"/>
              <w:rPr>
                <w:rFonts w:cs="Times New Roman"/>
              </w:rPr>
            </w:pPr>
            <w:r w:rsidRPr="00E67914">
              <w:rPr>
                <w:rFonts w:cs="Times New Roman"/>
              </w:rPr>
              <w:t>/</w:t>
            </w:r>
          </w:p>
        </w:tc>
        <w:tc>
          <w:tcPr>
            <w:tcW w:w="260" w:type="pct"/>
            <w:tcBorders>
              <w:top w:val="single" w:sz="4" w:space="0" w:color="auto"/>
              <w:left w:val="single" w:sz="4" w:space="0" w:color="auto"/>
              <w:bottom w:val="single" w:sz="4" w:space="0" w:color="auto"/>
              <w:right w:val="single" w:sz="4" w:space="0" w:color="auto"/>
            </w:tcBorders>
            <w:noWrap/>
            <w:vAlign w:val="center"/>
          </w:tcPr>
          <w:p w14:paraId="79AF8130" w14:textId="5049F014" w:rsidR="00627D3A" w:rsidRPr="00E67914" w:rsidRDefault="00627D3A" w:rsidP="00627D3A">
            <w:pPr>
              <w:pStyle w:val="04"/>
              <w:rPr>
                <w:rFonts w:cs="Times New Roman"/>
              </w:rPr>
            </w:pPr>
            <w:r w:rsidRPr="00E67914">
              <w:rPr>
                <w:rFonts w:cs="Times New Roman"/>
              </w:rPr>
              <w:t>54</w:t>
            </w:r>
          </w:p>
        </w:tc>
        <w:tc>
          <w:tcPr>
            <w:tcW w:w="260" w:type="pct"/>
            <w:tcBorders>
              <w:top w:val="single" w:sz="4" w:space="0" w:color="auto"/>
              <w:left w:val="single" w:sz="4" w:space="0" w:color="auto"/>
              <w:bottom w:val="single" w:sz="4" w:space="0" w:color="auto"/>
              <w:right w:val="single" w:sz="4" w:space="0" w:color="auto"/>
            </w:tcBorders>
            <w:noWrap/>
            <w:vAlign w:val="center"/>
          </w:tcPr>
          <w:p w14:paraId="5CFC16E1" w14:textId="241A64E4" w:rsidR="00627D3A" w:rsidRPr="00E67914" w:rsidRDefault="00627D3A" w:rsidP="00627D3A">
            <w:pPr>
              <w:pStyle w:val="04"/>
              <w:rPr>
                <w:rFonts w:cs="Times New Roman"/>
              </w:rPr>
            </w:pPr>
            <w:r w:rsidRPr="00E67914">
              <w:rPr>
                <w:rFonts w:cs="Times New Roman"/>
              </w:rPr>
              <w:t>/</w:t>
            </w:r>
          </w:p>
        </w:tc>
        <w:tc>
          <w:tcPr>
            <w:tcW w:w="291" w:type="pct"/>
            <w:tcBorders>
              <w:top w:val="single" w:sz="4" w:space="0" w:color="auto"/>
              <w:left w:val="single" w:sz="4" w:space="0" w:color="auto"/>
              <w:bottom w:val="single" w:sz="4" w:space="0" w:color="auto"/>
              <w:right w:val="single" w:sz="4" w:space="0" w:color="auto"/>
            </w:tcBorders>
            <w:noWrap/>
            <w:vAlign w:val="center"/>
          </w:tcPr>
          <w:p w14:paraId="4E06AD19" w14:textId="4A2DC78A" w:rsidR="00627D3A" w:rsidRPr="00E67914" w:rsidRDefault="00627D3A" w:rsidP="00627D3A">
            <w:pPr>
              <w:pStyle w:val="04"/>
              <w:rPr>
                <w:rFonts w:cs="Times New Roman"/>
              </w:rPr>
            </w:pPr>
            <w:r w:rsidRPr="00E67914">
              <w:rPr>
                <w:rFonts w:cs="Times New Roman"/>
              </w:rPr>
              <w:t>6</w:t>
            </w:r>
            <w:r w:rsidR="00531DC9" w:rsidRPr="00E67914">
              <w:rPr>
                <w:rFonts w:cs="Times New Roman"/>
              </w:rPr>
              <w:t>5</w:t>
            </w:r>
          </w:p>
        </w:tc>
        <w:tc>
          <w:tcPr>
            <w:tcW w:w="291" w:type="pct"/>
            <w:tcBorders>
              <w:top w:val="single" w:sz="4" w:space="0" w:color="auto"/>
              <w:left w:val="single" w:sz="4" w:space="0" w:color="auto"/>
              <w:bottom w:val="single" w:sz="4" w:space="0" w:color="auto"/>
              <w:right w:val="single" w:sz="4" w:space="0" w:color="auto"/>
            </w:tcBorders>
            <w:noWrap/>
            <w:vAlign w:val="center"/>
          </w:tcPr>
          <w:p w14:paraId="712B7F7B" w14:textId="48EF4E41" w:rsidR="00627D3A" w:rsidRPr="00E67914" w:rsidRDefault="00627D3A" w:rsidP="00627D3A">
            <w:pPr>
              <w:pStyle w:val="04"/>
              <w:rPr>
                <w:rFonts w:cs="Times New Roman"/>
              </w:rPr>
            </w:pPr>
            <w:r w:rsidRPr="00E67914">
              <w:rPr>
                <w:rFonts w:cs="Times New Roman"/>
              </w:rPr>
              <w:t>/</w:t>
            </w:r>
          </w:p>
        </w:tc>
        <w:tc>
          <w:tcPr>
            <w:tcW w:w="260" w:type="pct"/>
            <w:tcBorders>
              <w:top w:val="single" w:sz="4" w:space="0" w:color="auto"/>
              <w:left w:val="single" w:sz="4" w:space="0" w:color="auto"/>
              <w:bottom w:val="single" w:sz="4" w:space="0" w:color="auto"/>
              <w:right w:val="single" w:sz="4" w:space="0" w:color="auto"/>
            </w:tcBorders>
            <w:noWrap/>
            <w:vAlign w:val="center"/>
          </w:tcPr>
          <w:p w14:paraId="2CC68500" w14:textId="765A08B1" w:rsidR="00627D3A" w:rsidRPr="00E67914" w:rsidRDefault="00531DC9" w:rsidP="00627D3A">
            <w:pPr>
              <w:pStyle w:val="04"/>
              <w:rPr>
                <w:rFonts w:cs="Times New Roman"/>
              </w:rPr>
            </w:pPr>
            <w:r w:rsidRPr="00E67914">
              <w:rPr>
                <w:rFonts w:cs="Times New Roman"/>
              </w:rPr>
              <w:t>5</w:t>
            </w:r>
          </w:p>
        </w:tc>
        <w:tc>
          <w:tcPr>
            <w:tcW w:w="260" w:type="pct"/>
            <w:tcBorders>
              <w:top w:val="single" w:sz="4" w:space="0" w:color="auto"/>
              <w:left w:val="single" w:sz="4" w:space="0" w:color="auto"/>
              <w:bottom w:val="single" w:sz="4" w:space="0" w:color="auto"/>
              <w:right w:val="single" w:sz="4" w:space="0" w:color="auto"/>
            </w:tcBorders>
            <w:noWrap/>
            <w:vAlign w:val="center"/>
          </w:tcPr>
          <w:p w14:paraId="56E91974" w14:textId="77777777" w:rsidR="00627D3A" w:rsidRPr="00E67914" w:rsidRDefault="00627D3A" w:rsidP="00627D3A">
            <w:pPr>
              <w:pStyle w:val="04"/>
              <w:rPr>
                <w:rFonts w:cs="Times New Roman"/>
              </w:rPr>
            </w:pPr>
            <w:r w:rsidRPr="00E67914">
              <w:rPr>
                <w:rFonts w:cs="Times New Roman"/>
              </w:rPr>
              <w:t>/</w:t>
            </w:r>
          </w:p>
        </w:tc>
        <w:tc>
          <w:tcPr>
            <w:tcW w:w="156" w:type="pct"/>
            <w:tcBorders>
              <w:top w:val="single" w:sz="4" w:space="0" w:color="auto"/>
              <w:left w:val="single" w:sz="4" w:space="0" w:color="auto"/>
              <w:bottom w:val="single" w:sz="4" w:space="0" w:color="auto"/>
              <w:right w:val="single" w:sz="4" w:space="0" w:color="auto"/>
            </w:tcBorders>
            <w:vAlign w:val="center"/>
          </w:tcPr>
          <w:p w14:paraId="478269C8" w14:textId="2B6819C9" w:rsidR="00627D3A" w:rsidRPr="00E67914" w:rsidRDefault="00627D3A" w:rsidP="00627D3A">
            <w:pPr>
              <w:pStyle w:val="04"/>
              <w:rPr>
                <w:rFonts w:cs="Times New Roman"/>
              </w:rPr>
            </w:pPr>
            <w:r w:rsidRPr="00E67914">
              <w:rPr>
                <w:rFonts w:cs="Times New Roman"/>
              </w:rPr>
              <w:t>超标</w:t>
            </w:r>
          </w:p>
        </w:tc>
        <w:tc>
          <w:tcPr>
            <w:tcW w:w="199" w:type="pct"/>
            <w:tcBorders>
              <w:top w:val="single" w:sz="4" w:space="0" w:color="auto"/>
              <w:left w:val="single" w:sz="4" w:space="0" w:color="auto"/>
              <w:bottom w:val="single" w:sz="4" w:space="0" w:color="auto"/>
              <w:right w:val="single" w:sz="4" w:space="0" w:color="auto"/>
            </w:tcBorders>
            <w:vAlign w:val="center"/>
          </w:tcPr>
          <w:p w14:paraId="7120F40C" w14:textId="209A67C6" w:rsidR="00627D3A" w:rsidRPr="00E67914" w:rsidRDefault="00627D3A" w:rsidP="00627D3A">
            <w:pPr>
              <w:pStyle w:val="04"/>
              <w:rPr>
                <w:rFonts w:cs="Times New Roman"/>
              </w:rPr>
            </w:pPr>
            <w:r w:rsidRPr="00E67914">
              <w:rPr>
                <w:rFonts w:cs="Times New Roman"/>
              </w:rPr>
              <w:t>/</w:t>
            </w:r>
          </w:p>
        </w:tc>
      </w:tr>
      <w:tr w:rsidR="00E67914" w:rsidRPr="00E67914" w14:paraId="76A3CAD7" w14:textId="77777777" w:rsidTr="00267A22">
        <w:trPr>
          <w:trHeight w:val="454"/>
          <w:jc w:val="center"/>
        </w:trPr>
        <w:tc>
          <w:tcPr>
            <w:tcW w:w="630" w:type="pct"/>
            <w:vMerge/>
            <w:tcBorders>
              <w:top w:val="single" w:sz="4" w:space="0" w:color="auto"/>
              <w:left w:val="single" w:sz="4" w:space="0" w:color="auto"/>
              <w:right w:val="single" w:sz="4" w:space="0" w:color="auto"/>
            </w:tcBorders>
            <w:vAlign w:val="center"/>
          </w:tcPr>
          <w:p w14:paraId="6A1BD404" w14:textId="77777777" w:rsidR="00531DC9" w:rsidRPr="00E67914" w:rsidRDefault="00531DC9" w:rsidP="00531DC9">
            <w:pPr>
              <w:pStyle w:val="04"/>
              <w:rPr>
                <w:rFonts w:cs="Times New Roman"/>
              </w:rPr>
            </w:pPr>
          </w:p>
        </w:tc>
        <w:tc>
          <w:tcPr>
            <w:tcW w:w="987" w:type="pct"/>
            <w:tcBorders>
              <w:top w:val="single" w:sz="4" w:space="0" w:color="auto"/>
              <w:left w:val="single" w:sz="4" w:space="0" w:color="auto"/>
              <w:bottom w:val="single" w:sz="4" w:space="0" w:color="auto"/>
              <w:right w:val="single" w:sz="4" w:space="0" w:color="auto"/>
            </w:tcBorders>
            <w:noWrap/>
            <w:vAlign w:val="center"/>
          </w:tcPr>
          <w:p w14:paraId="48A18BAC" w14:textId="194DEF58" w:rsidR="00531DC9" w:rsidRPr="00E67914" w:rsidRDefault="00531DC9" w:rsidP="00531DC9">
            <w:pPr>
              <w:pStyle w:val="04"/>
              <w:rPr>
                <w:rFonts w:cs="Times New Roman"/>
                <w:kern w:val="2"/>
              </w:rPr>
            </w:pPr>
            <w:r w:rsidRPr="00E67914">
              <w:rPr>
                <w:rFonts w:cs="Times New Roman"/>
                <w:kern w:val="2"/>
              </w:rPr>
              <w:t>2#</w:t>
            </w:r>
            <w:r w:rsidRPr="00E67914">
              <w:rPr>
                <w:rFonts w:cs="Times New Roman"/>
                <w:kern w:val="2"/>
              </w:rPr>
              <w:t>居民点</w:t>
            </w:r>
          </w:p>
        </w:tc>
        <w:tc>
          <w:tcPr>
            <w:tcW w:w="465" w:type="pct"/>
            <w:tcBorders>
              <w:top w:val="single" w:sz="4" w:space="0" w:color="auto"/>
              <w:left w:val="single" w:sz="4" w:space="0" w:color="auto"/>
              <w:bottom w:val="single" w:sz="4" w:space="0" w:color="auto"/>
              <w:right w:val="single" w:sz="4" w:space="0" w:color="auto"/>
            </w:tcBorders>
            <w:noWrap/>
            <w:vAlign w:val="center"/>
          </w:tcPr>
          <w:p w14:paraId="787826BD" w14:textId="186F1CD8" w:rsidR="00531DC9" w:rsidRPr="00E67914" w:rsidRDefault="00531DC9" w:rsidP="00531DC9">
            <w:pPr>
              <w:pStyle w:val="04"/>
              <w:rPr>
                <w:rFonts w:cs="Times New Roman"/>
              </w:rPr>
            </w:pPr>
            <w:r w:rsidRPr="00E67914">
              <w:rPr>
                <w:rFonts w:cs="Times New Roman"/>
                <w:kern w:val="2"/>
              </w:rPr>
              <w:t>115</w:t>
            </w:r>
          </w:p>
        </w:tc>
        <w:tc>
          <w:tcPr>
            <w:tcW w:w="359" w:type="pct"/>
            <w:tcBorders>
              <w:top w:val="single" w:sz="4" w:space="0" w:color="auto"/>
              <w:left w:val="single" w:sz="4" w:space="0" w:color="auto"/>
              <w:bottom w:val="single" w:sz="4" w:space="0" w:color="auto"/>
              <w:right w:val="single" w:sz="4" w:space="0" w:color="auto"/>
            </w:tcBorders>
            <w:noWrap/>
            <w:vAlign w:val="center"/>
          </w:tcPr>
          <w:p w14:paraId="34731806" w14:textId="01F28BF0" w:rsidR="00531DC9" w:rsidRPr="00E67914" w:rsidRDefault="00531DC9" w:rsidP="00531DC9">
            <w:pPr>
              <w:pStyle w:val="04"/>
              <w:rPr>
                <w:rFonts w:cs="Times New Roman"/>
              </w:rPr>
            </w:pPr>
            <w:r w:rsidRPr="00E67914">
              <w:rPr>
                <w:rFonts w:cs="Times New Roman"/>
                <w:kern w:val="2"/>
              </w:rPr>
              <w:t>W</w:t>
            </w:r>
          </w:p>
        </w:tc>
        <w:tc>
          <w:tcPr>
            <w:tcW w:w="291" w:type="pct"/>
            <w:tcBorders>
              <w:top w:val="single" w:sz="4" w:space="0" w:color="auto"/>
              <w:left w:val="single" w:sz="4" w:space="0" w:color="auto"/>
              <w:bottom w:val="single" w:sz="4" w:space="0" w:color="auto"/>
              <w:right w:val="single" w:sz="4" w:space="0" w:color="auto"/>
            </w:tcBorders>
            <w:noWrap/>
            <w:vAlign w:val="center"/>
          </w:tcPr>
          <w:p w14:paraId="3E6D5F4B" w14:textId="5F7418B4" w:rsidR="00531DC9" w:rsidRPr="00E67914" w:rsidRDefault="00531DC9" w:rsidP="00531DC9">
            <w:pPr>
              <w:pStyle w:val="04"/>
              <w:rPr>
                <w:rFonts w:cs="Times New Roman"/>
              </w:rPr>
            </w:pPr>
            <w:r w:rsidRPr="00E67914">
              <w:rPr>
                <w:rFonts w:cs="Times New Roman"/>
              </w:rPr>
              <w:t>60</w:t>
            </w:r>
          </w:p>
        </w:tc>
        <w:tc>
          <w:tcPr>
            <w:tcW w:w="291" w:type="pct"/>
            <w:tcBorders>
              <w:top w:val="single" w:sz="4" w:space="0" w:color="auto"/>
              <w:left w:val="single" w:sz="4" w:space="0" w:color="auto"/>
              <w:bottom w:val="single" w:sz="4" w:space="0" w:color="auto"/>
              <w:right w:val="single" w:sz="4" w:space="0" w:color="auto"/>
            </w:tcBorders>
            <w:noWrap/>
            <w:vAlign w:val="center"/>
          </w:tcPr>
          <w:p w14:paraId="04ED942B" w14:textId="7E8BEB75" w:rsidR="00531DC9" w:rsidRPr="00E67914" w:rsidRDefault="00531DC9" w:rsidP="00531DC9">
            <w:pPr>
              <w:pStyle w:val="04"/>
              <w:rPr>
                <w:rFonts w:cs="Times New Roman"/>
              </w:rPr>
            </w:pPr>
            <w:r w:rsidRPr="00E67914">
              <w:rPr>
                <w:rFonts w:cs="Times New Roman"/>
              </w:rPr>
              <w:t>/</w:t>
            </w:r>
          </w:p>
        </w:tc>
        <w:tc>
          <w:tcPr>
            <w:tcW w:w="260" w:type="pct"/>
            <w:tcBorders>
              <w:top w:val="single" w:sz="4" w:space="0" w:color="auto"/>
              <w:left w:val="single" w:sz="4" w:space="0" w:color="auto"/>
              <w:bottom w:val="single" w:sz="4" w:space="0" w:color="auto"/>
              <w:right w:val="single" w:sz="4" w:space="0" w:color="auto"/>
            </w:tcBorders>
            <w:noWrap/>
            <w:vAlign w:val="center"/>
          </w:tcPr>
          <w:p w14:paraId="2959F9E2" w14:textId="7ADB9BC1" w:rsidR="00531DC9" w:rsidRPr="00E67914" w:rsidRDefault="00531DC9" w:rsidP="00531DC9">
            <w:pPr>
              <w:pStyle w:val="04"/>
              <w:rPr>
                <w:rFonts w:cs="Times New Roman"/>
              </w:rPr>
            </w:pPr>
            <w:r w:rsidRPr="00E67914">
              <w:rPr>
                <w:rFonts w:cs="Times New Roman"/>
              </w:rPr>
              <w:t>56</w:t>
            </w:r>
          </w:p>
        </w:tc>
        <w:tc>
          <w:tcPr>
            <w:tcW w:w="260" w:type="pct"/>
            <w:tcBorders>
              <w:top w:val="single" w:sz="4" w:space="0" w:color="auto"/>
              <w:left w:val="single" w:sz="4" w:space="0" w:color="auto"/>
              <w:bottom w:val="single" w:sz="4" w:space="0" w:color="auto"/>
              <w:right w:val="single" w:sz="4" w:space="0" w:color="auto"/>
            </w:tcBorders>
            <w:noWrap/>
            <w:vAlign w:val="center"/>
          </w:tcPr>
          <w:p w14:paraId="7BD418C8" w14:textId="77E15DEB" w:rsidR="00531DC9" w:rsidRPr="00E67914" w:rsidRDefault="00531DC9" w:rsidP="00531DC9">
            <w:pPr>
              <w:pStyle w:val="04"/>
              <w:rPr>
                <w:rFonts w:cs="Times New Roman"/>
              </w:rPr>
            </w:pPr>
            <w:r w:rsidRPr="00E67914">
              <w:rPr>
                <w:rFonts w:cs="Times New Roman"/>
              </w:rPr>
              <w:t>/</w:t>
            </w:r>
          </w:p>
        </w:tc>
        <w:tc>
          <w:tcPr>
            <w:tcW w:w="291" w:type="pct"/>
            <w:tcBorders>
              <w:top w:val="single" w:sz="4" w:space="0" w:color="auto"/>
              <w:left w:val="single" w:sz="4" w:space="0" w:color="auto"/>
              <w:bottom w:val="single" w:sz="4" w:space="0" w:color="auto"/>
              <w:right w:val="single" w:sz="4" w:space="0" w:color="auto"/>
            </w:tcBorders>
            <w:noWrap/>
            <w:vAlign w:val="center"/>
          </w:tcPr>
          <w:p w14:paraId="12C7AE04" w14:textId="3068BA19" w:rsidR="00531DC9" w:rsidRPr="00E67914" w:rsidRDefault="00531DC9" w:rsidP="00531DC9">
            <w:pPr>
              <w:pStyle w:val="04"/>
              <w:rPr>
                <w:rFonts w:cs="Times New Roman"/>
              </w:rPr>
            </w:pPr>
            <w:r w:rsidRPr="00E67914">
              <w:rPr>
                <w:rFonts w:cs="Times New Roman"/>
              </w:rPr>
              <w:t>61</w:t>
            </w:r>
          </w:p>
        </w:tc>
        <w:tc>
          <w:tcPr>
            <w:tcW w:w="291" w:type="pct"/>
            <w:tcBorders>
              <w:top w:val="single" w:sz="4" w:space="0" w:color="auto"/>
              <w:left w:val="single" w:sz="4" w:space="0" w:color="auto"/>
              <w:bottom w:val="single" w:sz="4" w:space="0" w:color="auto"/>
              <w:right w:val="single" w:sz="4" w:space="0" w:color="auto"/>
            </w:tcBorders>
            <w:noWrap/>
            <w:vAlign w:val="center"/>
          </w:tcPr>
          <w:p w14:paraId="116B7E96" w14:textId="305A036C" w:rsidR="00531DC9" w:rsidRPr="00E67914" w:rsidRDefault="00531DC9" w:rsidP="00531DC9">
            <w:pPr>
              <w:pStyle w:val="04"/>
              <w:rPr>
                <w:rFonts w:cs="Times New Roman"/>
              </w:rPr>
            </w:pPr>
            <w:r w:rsidRPr="00E67914">
              <w:rPr>
                <w:rFonts w:cs="Times New Roman"/>
              </w:rPr>
              <w:t>/</w:t>
            </w:r>
          </w:p>
        </w:tc>
        <w:tc>
          <w:tcPr>
            <w:tcW w:w="260" w:type="pct"/>
            <w:tcBorders>
              <w:top w:val="single" w:sz="4" w:space="0" w:color="auto"/>
              <w:left w:val="single" w:sz="4" w:space="0" w:color="auto"/>
              <w:bottom w:val="single" w:sz="4" w:space="0" w:color="auto"/>
              <w:right w:val="single" w:sz="4" w:space="0" w:color="auto"/>
            </w:tcBorders>
            <w:noWrap/>
            <w:vAlign w:val="center"/>
          </w:tcPr>
          <w:p w14:paraId="63E3FDA2" w14:textId="1984A924" w:rsidR="00531DC9" w:rsidRPr="00E67914" w:rsidRDefault="00531DC9" w:rsidP="00531DC9">
            <w:pPr>
              <w:pStyle w:val="04"/>
              <w:rPr>
                <w:rFonts w:cs="Times New Roman"/>
              </w:rPr>
            </w:pPr>
            <w:r w:rsidRPr="00E67914">
              <w:rPr>
                <w:rFonts w:cs="Times New Roman"/>
              </w:rPr>
              <w:t>1</w:t>
            </w:r>
          </w:p>
        </w:tc>
        <w:tc>
          <w:tcPr>
            <w:tcW w:w="260" w:type="pct"/>
            <w:tcBorders>
              <w:top w:val="single" w:sz="4" w:space="0" w:color="auto"/>
              <w:left w:val="single" w:sz="4" w:space="0" w:color="auto"/>
              <w:bottom w:val="single" w:sz="4" w:space="0" w:color="auto"/>
              <w:right w:val="single" w:sz="4" w:space="0" w:color="auto"/>
            </w:tcBorders>
            <w:noWrap/>
            <w:vAlign w:val="center"/>
          </w:tcPr>
          <w:p w14:paraId="3C861215" w14:textId="6369A373" w:rsidR="00531DC9" w:rsidRPr="00E67914" w:rsidRDefault="00531DC9" w:rsidP="00531DC9">
            <w:pPr>
              <w:pStyle w:val="04"/>
              <w:rPr>
                <w:rFonts w:cs="Times New Roman"/>
              </w:rPr>
            </w:pPr>
            <w:r w:rsidRPr="00E67914">
              <w:rPr>
                <w:rFonts w:cs="Times New Roman"/>
              </w:rPr>
              <w:t>/</w:t>
            </w:r>
          </w:p>
        </w:tc>
        <w:tc>
          <w:tcPr>
            <w:tcW w:w="156" w:type="pct"/>
            <w:tcBorders>
              <w:top w:val="single" w:sz="4" w:space="0" w:color="auto"/>
              <w:left w:val="single" w:sz="4" w:space="0" w:color="auto"/>
              <w:bottom w:val="single" w:sz="4" w:space="0" w:color="auto"/>
              <w:right w:val="single" w:sz="4" w:space="0" w:color="auto"/>
            </w:tcBorders>
            <w:vAlign w:val="center"/>
          </w:tcPr>
          <w:p w14:paraId="7E708E7C" w14:textId="66B063B1" w:rsidR="00531DC9" w:rsidRPr="00E67914" w:rsidRDefault="00531DC9" w:rsidP="00531DC9">
            <w:pPr>
              <w:pStyle w:val="04"/>
              <w:rPr>
                <w:rFonts w:cs="Times New Roman"/>
              </w:rPr>
            </w:pPr>
            <w:r w:rsidRPr="00E67914">
              <w:rPr>
                <w:rFonts w:cs="Times New Roman"/>
              </w:rPr>
              <w:t>超标</w:t>
            </w:r>
          </w:p>
        </w:tc>
        <w:tc>
          <w:tcPr>
            <w:tcW w:w="199" w:type="pct"/>
            <w:tcBorders>
              <w:top w:val="single" w:sz="4" w:space="0" w:color="auto"/>
              <w:left w:val="single" w:sz="4" w:space="0" w:color="auto"/>
              <w:bottom w:val="single" w:sz="4" w:space="0" w:color="auto"/>
              <w:right w:val="single" w:sz="4" w:space="0" w:color="auto"/>
            </w:tcBorders>
            <w:vAlign w:val="center"/>
          </w:tcPr>
          <w:p w14:paraId="3F17299A" w14:textId="17ED733E" w:rsidR="00531DC9" w:rsidRPr="00E67914" w:rsidRDefault="00531DC9" w:rsidP="00531DC9">
            <w:pPr>
              <w:pStyle w:val="04"/>
              <w:rPr>
                <w:rFonts w:cs="Times New Roman"/>
              </w:rPr>
            </w:pPr>
            <w:r w:rsidRPr="00E67914">
              <w:rPr>
                <w:rFonts w:cs="Times New Roman"/>
              </w:rPr>
              <w:t>/</w:t>
            </w:r>
          </w:p>
        </w:tc>
      </w:tr>
      <w:tr w:rsidR="00E67914" w:rsidRPr="00E67914" w14:paraId="44167241" w14:textId="77777777" w:rsidTr="00267A22">
        <w:trPr>
          <w:trHeight w:val="454"/>
          <w:jc w:val="center"/>
        </w:trPr>
        <w:tc>
          <w:tcPr>
            <w:tcW w:w="630" w:type="pct"/>
            <w:vMerge/>
            <w:tcBorders>
              <w:top w:val="single" w:sz="4" w:space="0" w:color="auto"/>
              <w:left w:val="single" w:sz="4" w:space="0" w:color="auto"/>
              <w:right w:val="single" w:sz="4" w:space="0" w:color="auto"/>
            </w:tcBorders>
            <w:vAlign w:val="center"/>
          </w:tcPr>
          <w:p w14:paraId="32A500F1" w14:textId="77777777" w:rsidR="00627D3A" w:rsidRPr="00E67914" w:rsidRDefault="00627D3A" w:rsidP="00627D3A">
            <w:pPr>
              <w:pStyle w:val="04"/>
              <w:rPr>
                <w:rFonts w:cs="Times New Roman"/>
              </w:rPr>
            </w:pPr>
          </w:p>
        </w:tc>
        <w:tc>
          <w:tcPr>
            <w:tcW w:w="987" w:type="pct"/>
            <w:tcBorders>
              <w:top w:val="single" w:sz="4" w:space="0" w:color="auto"/>
              <w:left w:val="single" w:sz="4" w:space="0" w:color="auto"/>
              <w:bottom w:val="single" w:sz="4" w:space="0" w:color="auto"/>
              <w:right w:val="single" w:sz="4" w:space="0" w:color="auto"/>
            </w:tcBorders>
            <w:noWrap/>
            <w:vAlign w:val="center"/>
          </w:tcPr>
          <w:p w14:paraId="7F21E5DA" w14:textId="5DE3C547" w:rsidR="00627D3A" w:rsidRPr="00E67914" w:rsidRDefault="00627D3A" w:rsidP="00627D3A">
            <w:pPr>
              <w:pStyle w:val="04"/>
              <w:rPr>
                <w:rFonts w:cs="Times New Roman"/>
                <w:kern w:val="2"/>
              </w:rPr>
            </w:pPr>
            <w:r w:rsidRPr="00E67914">
              <w:rPr>
                <w:rFonts w:cs="Times New Roman"/>
                <w:kern w:val="2"/>
              </w:rPr>
              <w:t>5#</w:t>
            </w:r>
            <w:r w:rsidRPr="00E67914">
              <w:rPr>
                <w:rFonts w:cs="Times New Roman"/>
                <w:kern w:val="2"/>
              </w:rPr>
              <w:t>居民点</w:t>
            </w:r>
          </w:p>
        </w:tc>
        <w:tc>
          <w:tcPr>
            <w:tcW w:w="465" w:type="pct"/>
            <w:tcBorders>
              <w:top w:val="single" w:sz="4" w:space="0" w:color="auto"/>
              <w:left w:val="single" w:sz="4" w:space="0" w:color="auto"/>
              <w:bottom w:val="single" w:sz="4" w:space="0" w:color="auto"/>
              <w:right w:val="single" w:sz="4" w:space="0" w:color="auto"/>
            </w:tcBorders>
            <w:noWrap/>
            <w:vAlign w:val="center"/>
          </w:tcPr>
          <w:p w14:paraId="527BE743" w14:textId="79B25A57" w:rsidR="00627D3A" w:rsidRPr="00E67914" w:rsidRDefault="00627D3A" w:rsidP="00627D3A">
            <w:pPr>
              <w:pStyle w:val="04"/>
              <w:rPr>
                <w:rFonts w:cs="Times New Roman"/>
              </w:rPr>
            </w:pPr>
            <w:r w:rsidRPr="00E67914">
              <w:rPr>
                <w:rFonts w:cs="Times New Roman"/>
                <w:kern w:val="2"/>
              </w:rPr>
              <w:t>185</w:t>
            </w:r>
          </w:p>
        </w:tc>
        <w:tc>
          <w:tcPr>
            <w:tcW w:w="359" w:type="pct"/>
            <w:tcBorders>
              <w:top w:val="single" w:sz="4" w:space="0" w:color="auto"/>
              <w:left w:val="single" w:sz="4" w:space="0" w:color="auto"/>
              <w:bottom w:val="single" w:sz="4" w:space="0" w:color="auto"/>
              <w:right w:val="single" w:sz="4" w:space="0" w:color="auto"/>
            </w:tcBorders>
            <w:noWrap/>
            <w:vAlign w:val="center"/>
          </w:tcPr>
          <w:p w14:paraId="7663D3F9" w14:textId="50EF2CF6" w:rsidR="00627D3A" w:rsidRPr="00E67914" w:rsidRDefault="00627D3A" w:rsidP="00627D3A">
            <w:pPr>
              <w:pStyle w:val="04"/>
              <w:rPr>
                <w:rFonts w:cs="Times New Roman"/>
              </w:rPr>
            </w:pPr>
            <w:r w:rsidRPr="00E67914">
              <w:rPr>
                <w:rFonts w:cs="Times New Roman"/>
                <w:kern w:val="2"/>
              </w:rPr>
              <w:t>W</w:t>
            </w:r>
          </w:p>
        </w:tc>
        <w:tc>
          <w:tcPr>
            <w:tcW w:w="291" w:type="pct"/>
            <w:tcBorders>
              <w:top w:val="single" w:sz="4" w:space="0" w:color="auto"/>
              <w:left w:val="single" w:sz="4" w:space="0" w:color="auto"/>
              <w:bottom w:val="single" w:sz="4" w:space="0" w:color="auto"/>
              <w:right w:val="single" w:sz="4" w:space="0" w:color="auto"/>
            </w:tcBorders>
            <w:noWrap/>
            <w:vAlign w:val="center"/>
          </w:tcPr>
          <w:p w14:paraId="6EC7E11A" w14:textId="737E93EE" w:rsidR="00627D3A" w:rsidRPr="00E67914" w:rsidRDefault="00627D3A" w:rsidP="00627D3A">
            <w:pPr>
              <w:pStyle w:val="04"/>
              <w:rPr>
                <w:rFonts w:cs="Times New Roman"/>
              </w:rPr>
            </w:pPr>
            <w:r w:rsidRPr="00E67914">
              <w:rPr>
                <w:rFonts w:cs="Times New Roman"/>
              </w:rPr>
              <w:t>56</w:t>
            </w:r>
          </w:p>
        </w:tc>
        <w:tc>
          <w:tcPr>
            <w:tcW w:w="291" w:type="pct"/>
            <w:tcBorders>
              <w:top w:val="single" w:sz="4" w:space="0" w:color="auto"/>
              <w:left w:val="single" w:sz="4" w:space="0" w:color="auto"/>
              <w:bottom w:val="single" w:sz="4" w:space="0" w:color="auto"/>
              <w:right w:val="single" w:sz="4" w:space="0" w:color="auto"/>
            </w:tcBorders>
            <w:noWrap/>
            <w:vAlign w:val="center"/>
          </w:tcPr>
          <w:p w14:paraId="0513A726" w14:textId="58D4D44C" w:rsidR="00627D3A" w:rsidRPr="00E67914" w:rsidRDefault="00627D3A" w:rsidP="00627D3A">
            <w:pPr>
              <w:pStyle w:val="04"/>
              <w:rPr>
                <w:rFonts w:cs="Times New Roman"/>
              </w:rPr>
            </w:pPr>
            <w:r w:rsidRPr="00E67914">
              <w:rPr>
                <w:rFonts w:cs="Times New Roman"/>
              </w:rPr>
              <w:t>/</w:t>
            </w:r>
          </w:p>
        </w:tc>
        <w:tc>
          <w:tcPr>
            <w:tcW w:w="260" w:type="pct"/>
            <w:tcBorders>
              <w:top w:val="single" w:sz="4" w:space="0" w:color="auto"/>
              <w:left w:val="single" w:sz="4" w:space="0" w:color="auto"/>
              <w:bottom w:val="single" w:sz="4" w:space="0" w:color="auto"/>
              <w:right w:val="single" w:sz="4" w:space="0" w:color="auto"/>
            </w:tcBorders>
            <w:noWrap/>
            <w:vAlign w:val="center"/>
          </w:tcPr>
          <w:p w14:paraId="5E00044A" w14:textId="6BC7CBBE" w:rsidR="00627D3A" w:rsidRPr="00E67914" w:rsidRDefault="00627D3A" w:rsidP="00627D3A">
            <w:pPr>
              <w:pStyle w:val="04"/>
              <w:rPr>
                <w:rFonts w:cs="Times New Roman"/>
              </w:rPr>
            </w:pPr>
            <w:r w:rsidRPr="00E67914">
              <w:rPr>
                <w:rFonts w:cs="Times New Roman"/>
              </w:rPr>
              <w:t>56</w:t>
            </w:r>
          </w:p>
        </w:tc>
        <w:tc>
          <w:tcPr>
            <w:tcW w:w="260" w:type="pct"/>
            <w:tcBorders>
              <w:top w:val="single" w:sz="4" w:space="0" w:color="auto"/>
              <w:left w:val="single" w:sz="4" w:space="0" w:color="auto"/>
              <w:bottom w:val="single" w:sz="4" w:space="0" w:color="auto"/>
              <w:right w:val="single" w:sz="4" w:space="0" w:color="auto"/>
            </w:tcBorders>
            <w:noWrap/>
            <w:vAlign w:val="center"/>
          </w:tcPr>
          <w:p w14:paraId="41B18085" w14:textId="1BDCF94F" w:rsidR="00627D3A" w:rsidRPr="00E67914" w:rsidRDefault="00627D3A" w:rsidP="00627D3A">
            <w:pPr>
              <w:pStyle w:val="04"/>
              <w:rPr>
                <w:rFonts w:cs="Times New Roman"/>
              </w:rPr>
            </w:pPr>
            <w:r w:rsidRPr="00E67914">
              <w:rPr>
                <w:rFonts w:cs="Times New Roman"/>
              </w:rPr>
              <w:t>/</w:t>
            </w:r>
          </w:p>
        </w:tc>
        <w:tc>
          <w:tcPr>
            <w:tcW w:w="291" w:type="pct"/>
            <w:tcBorders>
              <w:top w:val="single" w:sz="4" w:space="0" w:color="auto"/>
              <w:left w:val="single" w:sz="4" w:space="0" w:color="auto"/>
              <w:bottom w:val="single" w:sz="4" w:space="0" w:color="auto"/>
              <w:right w:val="single" w:sz="4" w:space="0" w:color="auto"/>
            </w:tcBorders>
            <w:noWrap/>
            <w:vAlign w:val="center"/>
          </w:tcPr>
          <w:p w14:paraId="519C4EE6" w14:textId="33436A77" w:rsidR="00627D3A" w:rsidRPr="00E67914" w:rsidRDefault="00531DC9" w:rsidP="00627D3A">
            <w:pPr>
              <w:pStyle w:val="04"/>
              <w:rPr>
                <w:rFonts w:cs="Times New Roman"/>
              </w:rPr>
            </w:pPr>
            <w:r w:rsidRPr="00E67914">
              <w:rPr>
                <w:rFonts w:cs="Times New Roman"/>
              </w:rPr>
              <w:t>59</w:t>
            </w:r>
          </w:p>
        </w:tc>
        <w:tc>
          <w:tcPr>
            <w:tcW w:w="291" w:type="pct"/>
            <w:tcBorders>
              <w:top w:val="single" w:sz="4" w:space="0" w:color="auto"/>
              <w:left w:val="single" w:sz="4" w:space="0" w:color="auto"/>
              <w:bottom w:val="single" w:sz="4" w:space="0" w:color="auto"/>
              <w:right w:val="single" w:sz="4" w:space="0" w:color="auto"/>
            </w:tcBorders>
            <w:noWrap/>
            <w:vAlign w:val="center"/>
          </w:tcPr>
          <w:p w14:paraId="748BAC90" w14:textId="63CB27A3" w:rsidR="00627D3A" w:rsidRPr="00E67914" w:rsidRDefault="00627D3A" w:rsidP="00627D3A">
            <w:pPr>
              <w:pStyle w:val="04"/>
              <w:rPr>
                <w:rFonts w:cs="Times New Roman"/>
              </w:rPr>
            </w:pPr>
            <w:r w:rsidRPr="00E67914">
              <w:rPr>
                <w:rFonts w:cs="Times New Roman"/>
              </w:rPr>
              <w:t>/</w:t>
            </w:r>
          </w:p>
        </w:tc>
        <w:tc>
          <w:tcPr>
            <w:tcW w:w="260" w:type="pct"/>
            <w:tcBorders>
              <w:top w:val="single" w:sz="4" w:space="0" w:color="auto"/>
              <w:left w:val="single" w:sz="4" w:space="0" w:color="auto"/>
              <w:bottom w:val="single" w:sz="4" w:space="0" w:color="auto"/>
              <w:right w:val="single" w:sz="4" w:space="0" w:color="auto"/>
            </w:tcBorders>
            <w:noWrap/>
            <w:vAlign w:val="center"/>
          </w:tcPr>
          <w:p w14:paraId="2D67F671" w14:textId="5842BD86" w:rsidR="00627D3A" w:rsidRPr="00E67914" w:rsidRDefault="00531DC9" w:rsidP="00627D3A">
            <w:pPr>
              <w:pStyle w:val="04"/>
              <w:rPr>
                <w:rFonts w:cs="Times New Roman"/>
              </w:rPr>
            </w:pPr>
            <w:r w:rsidRPr="00E67914">
              <w:rPr>
                <w:rFonts w:cs="Times New Roman"/>
              </w:rPr>
              <w:t>/</w:t>
            </w:r>
          </w:p>
        </w:tc>
        <w:tc>
          <w:tcPr>
            <w:tcW w:w="260" w:type="pct"/>
            <w:tcBorders>
              <w:top w:val="single" w:sz="4" w:space="0" w:color="auto"/>
              <w:left w:val="single" w:sz="4" w:space="0" w:color="auto"/>
              <w:bottom w:val="single" w:sz="4" w:space="0" w:color="auto"/>
              <w:right w:val="single" w:sz="4" w:space="0" w:color="auto"/>
            </w:tcBorders>
            <w:noWrap/>
            <w:vAlign w:val="center"/>
          </w:tcPr>
          <w:p w14:paraId="086616B6" w14:textId="7283F152" w:rsidR="00627D3A" w:rsidRPr="00E67914" w:rsidRDefault="00627D3A" w:rsidP="00627D3A">
            <w:pPr>
              <w:pStyle w:val="04"/>
              <w:rPr>
                <w:rFonts w:cs="Times New Roman"/>
              </w:rPr>
            </w:pPr>
            <w:r w:rsidRPr="00E67914">
              <w:rPr>
                <w:rFonts w:cs="Times New Roman"/>
              </w:rPr>
              <w:t>/</w:t>
            </w:r>
          </w:p>
        </w:tc>
        <w:tc>
          <w:tcPr>
            <w:tcW w:w="156" w:type="pct"/>
            <w:tcBorders>
              <w:top w:val="single" w:sz="4" w:space="0" w:color="auto"/>
              <w:left w:val="single" w:sz="4" w:space="0" w:color="auto"/>
              <w:bottom w:val="single" w:sz="4" w:space="0" w:color="auto"/>
              <w:right w:val="single" w:sz="4" w:space="0" w:color="auto"/>
            </w:tcBorders>
            <w:vAlign w:val="center"/>
          </w:tcPr>
          <w:p w14:paraId="4F81E66F" w14:textId="3C581340" w:rsidR="00627D3A" w:rsidRPr="00E67914" w:rsidRDefault="00531DC9" w:rsidP="00627D3A">
            <w:pPr>
              <w:pStyle w:val="04"/>
              <w:rPr>
                <w:rFonts w:cs="Times New Roman"/>
              </w:rPr>
            </w:pPr>
            <w:r w:rsidRPr="00E67914">
              <w:rPr>
                <w:rFonts w:cs="Times New Roman"/>
              </w:rPr>
              <w:t>达标</w:t>
            </w:r>
          </w:p>
        </w:tc>
        <w:tc>
          <w:tcPr>
            <w:tcW w:w="199" w:type="pct"/>
            <w:tcBorders>
              <w:top w:val="single" w:sz="4" w:space="0" w:color="auto"/>
              <w:left w:val="single" w:sz="4" w:space="0" w:color="auto"/>
              <w:bottom w:val="single" w:sz="4" w:space="0" w:color="auto"/>
              <w:right w:val="single" w:sz="4" w:space="0" w:color="auto"/>
            </w:tcBorders>
            <w:vAlign w:val="center"/>
          </w:tcPr>
          <w:p w14:paraId="45721182" w14:textId="136D9041" w:rsidR="00627D3A" w:rsidRPr="00E67914" w:rsidRDefault="00531DC9" w:rsidP="00627D3A">
            <w:pPr>
              <w:pStyle w:val="04"/>
              <w:rPr>
                <w:rFonts w:cs="Times New Roman"/>
              </w:rPr>
            </w:pPr>
            <w:r w:rsidRPr="00E67914">
              <w:rPr>
                <w:rFonts w:cs="Times New Roman"/>
              </w:rPr>
              <w:t>/</w:t>
            </w:r>
          </w:p>
        </w:tc>
      </w:tr>
    </w:tbl>
    <w:p w14:paraId="0941449C" w14:textId="6547227E" w:rsidR="00AE0625" w:rsidRPr="00E67914" w:rsidRDefault="00AE0625" w:rsidP="00AE0625">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项目周边的敏感点均为分散的敏感点，居民数量不多，钻前施工约</w:t>
      </w:r>
      <w:r w:rsidRPr="00E67914">
        <w:rPr>
          <w:rFonts w:ascii="Times New Roman" w:hAnsi="Times New Roman"/>
          <w:sz w:val="24"/>
          <w:lang w:eastAsia="zh-CN"/>
        </w:rPr>
        <w:t>60</w:t>
      </w:r>
      <w:r w:rsidRPr="00E67914">
        <w:rPr>
          <w:rFonts w:ascii="Times New Roman" w:hAnsi="Times New Roman"/>
          <w:sz w:val="24"/>
          <w:lang w:eastAsia="zh-CN"/>
        </w:rPr>
        <w:t>天，噪声对周边环境及居民点的影响时间是有限的，主要为</w:t>
      </w:r>
      <w:r w:rsidRPr="00E67914">
        <w:rPr>
          <w:rFonts w:ascii="Times New Roman" w:hAnsi="Times New Roman"/>
          <w:sz w:val="24"/>
          <w:lang w:eastAsia="zh-CN"/>
        </w:rPr>
        <w:t>1#</w:t>
      </w:r>
      <w:r w:rsidRPr="00E67914">
        <w:rPr>
          <w:rFonts w:ascii="Times New Roman" w:hAnsi="Times New Roman"/>
          <w:sz w:val="24"/>
          <w:lang w:eastAsia="zh-CN"/>
        </w:rPr>
        <w:t>居民点</w:t>
      </w:r>
      <w:r w:rsidR="00531DC9" w:rsidRPr="00E67914">
        <w:rPr>
          <w:rFonts w:ascii="Times New Roman" w:hAnsi="Times New Roman"/>
          <w:sz w:val="24"/>
          <w:lang w:eastAsia="zh-CN"/>
        </w:rPr>
        <w:t>、</w:t>
      </w:r>
      <w:r w:rsidR="00531DC9" w:rsidRPr="00E67914">
        <w:rPr>
          <w:rFonts w:ascii="Times New Roman" w:hAnsi="Times New Roman"/>
          <w:sz w:val="24"/>
          <w:lang w:eastAsia="zh-CN"/>
        </w:rPr>
        <w:t>2#</w:t>
      </w:r>
      <w:r w:rsidR="00531DC9" w:rsidRPr="00E67914">
        <w:rPr>
          <w:rFonts w:ascii="Times New Roman" w:hAnsi="Times New Roman"/>
          <w:sz w:val="24"/>
          <w:lang w:eastAsia="zh-CN"/>
        </w:rPr>
        <w:t>居民点</w:t>
      </w:r>
      <w:r w:rsidRPr="00E67914">
        <w:rPr>
          <w:rFonts w:ascii="Times New Roman" w:hAnsi="Times New Roman"/>
          <w:sz w:val="24"/>
          <w:lang w:eastAsia="zh-CN"/>
        </w:rPr>
        <w:t>靠近井场侧昼间会出现超标现象；在工程在施工时，应选择合理的施工时间，白天施工时尽量避开居民午休时间</w:t>
      </w:r>
      <w:r w:rsidR="00531DC9" w:rsidRPr="00E67914">
        <w:rPr>
          <w:rFonts w:ascii="Times New Roman" w:hAnsi="Times New Roman"/>
          <w:sz w:val="24"/>
          <w:lang w:eastAsia="zh-CN"/>
        </w:rPr>
        <w:t>，且优化总平面布置，避免高噪声设备布置在靠近</w:t>
      </w:r>
      <w:r w:rsidR="00531DC9" w:rsidRPr="00E67914">
        <w:rPr>
          <w:rFonts w:ascii="Times New Roman" w:hAnsi="Times New Roman"/>
          <w:sz w:val="24"/>
          <w:lang w:eastAsia="zh-CN"/>
        </w:rPr>
        <w:t>1#</w:t>
      </w:r>
      <w:r w:rsidR="00531DC9" w:rsidRPr="00E67914">
        <w:rPr>
          <w:rFonts w:ascii="Times New Roman" w:hAnsi="Times New Roman"/>
          <w:sz w:val="24"/>
          <w:lang w:eastAsia="zh-CN"/>
        </w:rPr>
        <w:t>居民点、</w:t>
      </w:r>
      <w:r w:rsidR="00531DC9" w:rsidRPr="00E67914">
        <w:rPr>
          <w:rFonts w:ascii="Times New Roman" w:hAnsi="Times New Roman"/>
          <w:sz w:val="24"/>
          <w:lang w:eastAsia="zh-CN"/>
        </w:rPr>
        <w:t>2#</w:t>
      </w:r>
      <w:r w:rsidR="00531DC9" w:rsidRPr="00E67914">
        <w:rPr>
          <w:rFonts w:ascii="Times New Roman" w:hAnsi="Times New Roman"/>
          <w:sz w:val="24"/>
          <w:lang w:eastAsia="zh-CN"/>
        </w:rPr>
        <w:t>居民点侧</w:t>
      </w:r>
      <w:r w:rsidRPr="00E67914">
        <w:rPr>
          <w:rFonts w:ascii="Times New Roman" w:hAnsi="Times New Roman"/>
          <w:sz w:val="24"/>
          <w:lang w:eastAsia="zh-CN"/>
        </w:rPr>
        <w:t>，以此来降低噪声对附近居民的影响，同时应加强与周边居民点的沟通，取得居民谅解，做到超标不扰民。</w:t>
      </w:r>
    </w:p>
    <w:p w14:paraId="3CFA1658" w14:textId="4CE3215C"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5.1.3</w:t>
      </w:r>
      <w:r w:rsidRPr="00E67914">
        <w:rPr>
          <w:rFonts w:ascii="Times New Roman" w:eastAsia="黑体" w:hAnsi="Times New Roman"/>
          <w:b w:val="0"/>
          <w:sz w:val="24"/>
          <w:szCs w:val="24"/>
          <w:lang w:eastAsia="zh-CN"/>
        </w:rPr>
        <w:t>施工期钻井工程环境影响分析</w:t>
      </w:r>
    </w:p>
    <w:p w14:paraId="6138094E"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5.1.3.1</w:t>
      </w:r>
      <w:r w:rsidRPr="00E67914">
        <w:rPr>
          <w:rFonts w:ascii="Times New Roman" w:eastAsia="黑体" w:hAnsi="Times New Roman"/>
          <w:bCs/>
          <w:kern w:val="2"/>
          <w:sz w:val="24"/>
          <w:szCs w:val="24"/>
          <w:lang w:eastAsia="zh-CN"/>
        </w:rPr>
        <w:t>大气环境影响分析</w:t>
      </w:r>
    </w:p>
    <w:p w14:paraId="3DC9DF4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本项目钻井阶段废气主要为备用柴油机</w:t>
      </w:r>
      <w:r w:rsidRPr="00E67914">
        <w:rPr>
          <w:rFonts w:ascii="Times New Roman" w:hAnsi="Times New Roman"/>
          <w:sz w:val="24"/>
          <w:lang w:eastAsia="zh-CN"/>
        </w:rPr>
        <w:t>/</w:t>
      </w:r>
      <w:r w:rsidRPr="00E67914">
        <w:rPr>
          <w:rFonts w:ascii="Times New Roman" w:hAnsi="Times New Roman"/>
          <w:sz w:val="24"/>
          <w:lang w:eastAsia="zh-CN"/>
        </w:rPr>
        <w:t>发电机废气、事故放喷废气、压裂作业废气、无组织挥发性废气、完井测试放喷废气。</w:t>
      </w:r>
    </w:p>
    <w:p w14:paraId="0487C738"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）备用柴油机</w:t>
      </w:r>
      <w:r w:rsidRPr="00E67914">
        <w:rPr>
          <w:rFonts w:ascii="Times New Roman" w:hAnsi="Times New Roman"/>
          <w:b/>
          <w:bCs/>
          <w:sz w:val="24"/>
          <w:lang w:eastAsia="zh-CN"/>
        </w:rPr>
        <w:t>/</w:t>
      </w:r>
      <w:r w:rsidRPr="00E67914">
        <w:rPr>
          <w:rFonts w:ascii="Times New Roman" w:hAnsi="Times New Roman"/>
          <w:b/>
          <w:bCs/>
          <w:sz w:val="24"/>
          <w:lang w:eastAsia="zh-CN"/>
        </w:rPr>
        <w:t>发电机废气</w:t>
      </w:r>
      <w:r w:rsidRPr="00E67914">
        <w:rPr>
          <w:rFonts w:ascii="Times New Roman" w:hAnsi="Times New Roman"/>
          <w:b/>
          <w:sz w:val="24"/>
          <w:szCs w:val="24"/>
          <w:lang w:eastAsia="zh-CN"/>
        </w:rPr>
        <w:t>影响分析</w:t>
      </w:r>
    </w:p>
    <w:p w14:paraId="67F25EB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钻井期间，一般电力由当地电网提供，钻井作业期间停电等紧急情况下柴油发电机组废气主要污染物为</w:t>
      </w:r>
      <w:r w:rsidRPr="00E67914">
        <w:rPr>
          <w:rFonts w:ascii="Times New Roman" w:hAnsi="Times New Roman"/>
          <w:sz w:val="24"/>
          <w:lang w:eastAsia="zh-CN"/>
        </w:rPr>
        <w:t>NOx</w:t>
      </w:r>
      <w:r w:rsidRPr="00E67914">
        <w:rPr>
          <w:rFonts w:ascii="Times New Roman" w:hAnsi="Times New Roman"/>
          <w:sz w:val="24"/>
          <w:lang w:eastAsia="zh-CN"/>
        </w:rPr>
        <w:t>、</w:t>
      </w:r>
      <w:r w:rsidRPr="00E67914">
        <w:rPr>
          <w:rFonts w:ascii="Times New Roman" w:hAnsi="Times New Roman"/>
          <w:sz w:val="24"/>
          <w:lang w:eastAsia="zh-CN"/>
        </w:rPr>
        <w:t>SO</w:t>
      </w:r>
      <w:r w:rsidRPr="00E67914">
        <w:rPr>
          <w:rFonts w:ascii="Times New Roman" w:hAnsi="Times New Roman"/>
          <w:sz w:val="24"/>
          <w:vertAlign w:val="subscript"/>
          <w:lang w:eastAsia="zh-CN"/>
        </w:rPr>
        <w:t>2</w:t>
      </w:r>
      <w:r w:rsidRPr="00E67914">
        <w:rPr>
          <w:rFonts w:ascii="Times New Roman" w:hAnsi="Times New Roman"/>
          <w:sz w:val="24"/>
          <w:lang w:eastAsia="zh-CN"/>
        </w:rPr>
        <w:t>、颗粒物，虽然柴油机自带排气筒距离地面约</w:t>
      </w:r>
      <w:r w:rsidRPr="00E67914">
        <w:rPr>
          <w:rFonts w:ascii="Times New Roman" w:hAnsi="Times New Roman"/>
          <w:sz w:val="24"/>
          <w:lang w:eastAsia="zh-CN"/>
        </w:rPr>
        <w:t>6m</w:t>
      </w:r>
      <w:r w:rsidRPr="00E67914">
        <w:rPr>
          <w:rFonts w:ascii="Times New Roman" w:hAnsi="Times New Roman"/>
          <w:sz w:val="24"/>
          <w:lang w:eastAsia="zh-CN"/>
        </w:rPr>
        <w:t>，未达到</w:t>
      </w:r>
      <w:r w:rsidRPr="00E67914">
        <w:rPr>
          <w:rFonts w:ascii="Times New Roman" w:hAnsi="Times New Roman"/>
          <w:sz w:val="24"/>
          <w:lang w:eastAsia="zh-CN"/>
        </w:rPr>
        <w:t>15m</w:t>
      </w:r>
      <w:r w:rsidRPr="00E67914">
        <w:rPr>
          <w:rFonts w:ascii="Times New Roman" w:hAnsi="Times New Roman"/>
          <w:sz w:val="24"/>
          <w:lang w:eastAsia="zh-CN"/>
        </w:rPr>
        <w:t>，但由于在设备上升高排气筒技术上难实行，设备自身是环保达标设备，采用设备自带排气筒排气影响范围小，影响时间短，且根据</w:t>
      </w:r>
      <w:r w:rsidRPr="00E67914">
        <w:rPr>
          <w:rFonts w:ascii="Times New Roman" w:hAnsi="Times New Roman"/>
          <w:sz w:val="24"/>
          <w:lang w:eastAsia="zh-CN"/>
        </w:rPr>
        <w:t>2017.1.12</w:t>
      </w:r>
      <w:r w:rsidRPr="00E67914">
        <w:rPr>
          <w:rFonts w:ascii="Times New Roman" w:hAnsi="Times New Roman"/>
          <w:sz w:val="24"/>
          <w:lang w:eastAsia="zh-CN"/>
        </w:rPr>
        <w:t>环保部长《关于</w:t>
      </w:r>
      <w:r w:rsidRPr="00E67914">
        <w:rPr>
          <w:rFonts w:ascii="Times New Roman" w:hAnsi="Times New Roman"/>
          <w:sz w:val="24"/>
          <w:lang w:eastAsia="zh-CN"/>
        </w:rPr>
        <w:t xml:space="preserve">GB16297-1996 </w:t>
      </w:r>
      <w:r w:rsidRPr="00E67914">
        <w:rPr>
          <w:rFonts w:ascii="Times New Roman" w:hAnsi="Times New Roman"/>
          <w:sz w:val="24"/>
          <w:lang w:eastAsia="zh-CN"/>
        </w:rPr>
        <w:t>的适用范围的回复》，对</w:t>
      </w:r>
      <w:r w:rsidRPr="00E67914">
        <w:rPr>
          <w:rFonts w:ascii="Times New Roman" w:hAnsi="Times New Roman"/>
          <w:sz w:val="24"/>
          <w:lang w:eastAsia="zh-CN"/>
        </w:rPr>
        <w:t>“</w:t>
      </w:r>
      <w:r w:rsidRPr="00E67914">
        <w:rPr>
          <w:rFonts w:ascii="Times New Roman" w:hAnsi="Times New Roman"/>
          <w:bCs/>
          <w:sz w:val="24"/>
          <w:lang w:eastAsia="zh-CN"/>
        </w:rPr>
        <w:t>固定式柴油发电机排气筒高度和排放速率暂不作要求</w:t>
      </w:r>
      <w:r w:rsidRPr="00E67914">
        <w:rPr>
          <w:rFonts w:ascii="Times New Roman" w:hAnsi="Times New Roman"/>
          <w:sz w:val="24"/>
          <w:lang w:eastAsia="zh-CN"/>
        </w:rPr>
        <w:t>”</w:t>
      </w:r>
      <w:r w:rsidRPr="00E67914">
        <w:rPr>
          <w:rFonts w:ascii="Times New Roman" w:hAnsi="Times New Roman"/>
          <w:sz w:val="24"/>
          <w:lang w:eastAsia="zh-CN"/>
        </w:rPr>
        <w:t>，因此可不新增措施。</w:t>
      </w:r>
    </w:p>
    <w:p w14:paraId="5827CB13"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本工程钻井期柴油动力机和发电机废气排放量为</w:t>
      </w:r>
      <w:r w:rsidRPr="00E67914">
        <w:rPr>
          <w:rFonts w:ascii="Times New Roman" w:hAnsi="Times New Roman"/>
          <w:sz w:val="24"/>
          <w:lang w:eastAsia="zh-CN"/>
        </w:rPr>
        <w:t>7760m</w:t>
      </w:r>
      <w:r w:rsidRPr="00E67914">
        <w:rPr>
          <w:rFonts w:ascii="Times New Roman" w:hAnsi="Times New Roman"/>
          <w:sz w:val="24"/>
          <w:vertAlign w:val="superscript"/>
          <w:lang w:eastAsia="zh-CN"/>
        </w:rPr>
        <w:t>3</w:t>
      </w:r>
      <w:r w:rsidRPr="00E67914">
        <w:rPr>
          <w:rFonts w:ascii="Times New Roman" w:hAnsi="Times New Roman"/>
          <w:sz w:val="24"/>
          <w:lang w:eastAsia="zh-CN"/>
        </w:rPr>
        <w:t>/h</w:t>
      </w:r>
      <w:r w:rsidRPr="00E67914">
        <w:rPr>
          <w:rFonts w:ascii="Times New Roman" w:hAnsi="Times New Roman"/>
          <w:sz w:val="24"/>
          <w:lang w:eastAsia="zh-CN"/>
        </w:rPr>
        <w:t>，</w:t>
      </w:r>
      <w:r w:rsidRPr="00E67914">
        <w:rPr>
          <w:rFonts w:ascii="Times New Roman" w:hAnsi="Times New Roman"/>
          <w:sz w:val="24"/>
          <w:lang w:eastAsia="zh-CN"/>
        </w:rPr>
        <w:t>NOx</w:t>
      </w:r>
      <w:r w:rsidRPr="00E67914">
        <w:rPr>
          <w:rFonts w:ascii="Times New Roman" w:hAnsi="Times New Roman"/>
          <w:sz w:val="24"/>
          <w:lang w:eastAsia="zh-CN"/>
        </w:rPr>
        <w:t>排放速率约为</w:t>
      </w:r>
      <w:r w:rsidRPr="00E67914">
        <w:rPr>
          <w:rFonts w:ascii="Times New Roman" w:hAnsi="Times New Roman"/>
          <w:sz w:val="24"/>
          <w:lang w:eastAsia="zh-CN"/>
        </w:rPr>
        <w:t>1.17kg/h</w:t>
      </w:r>
      <w:r w:rsidRPr="00E67914">
        <w:rPr>
          <w:rFonts w:ascii="Times New Roman" w:hAnsi="Times New Roman"/>
          <w:sz w:val="24"/>
          <w:lang w:eastAsia="zh-CN"/>
        </w:rPr>
        <w:t>，</w:t>
      </w:r>
      <w:r w:rsidRPr="00E67914">
        <w:rPr>
          <w:rFonts w:ascii="Times New Roman" w:hAnsi="Times New Roman"/>
          <w:sz w:val="24"/>
          <w:lang w:eastAsia="zh-CN"/>
        </w:rPr>
        <w:t>SO</w:t>
      </w:r>
      <w:r w:rsidRPr="00E67914">
        <w:rPr>
          <w:rFonts w:ascii="Times New Roman" w:hAnsi="Times New Roman"/>
          <w:sz w:val="24"/>
          <w:vertAlign w:val="subscript"/>
          <w:lang w:eastAsia="zh-CN"/>
        </w:rPr>
        <w:t>2</w:t>
      </w:r>
      <w:r w:rsidRPr="00E67914">
        <w:rPr>
          <w:rFonts w:ascii="Times New Roman" w:hAnsi="Times New Roman"/>
          <w:sz w:val="24"/>
          <w:lang w:eastAsia="zh-CN"/>
        </w:rPr>
        <w:t>排放速率约为</w:t>
      </w:r>
      <w:r w:rsidRPr="00E67914">
        <w:rPr>
          <w:rFonts w:ascii="Times New Roman" w:hAnsi="Times New Roman"/>
          <w:sz w:val="24"/>
          <w:lang w:eastAsia="zh-CN"/>
        </w:rPr>
        <w:t>0.008kg/h</w:t>
      </w:r>
      <w:r w:rsidRPr="00E67914">
        <w:rPr>
          <w:rFonts w:ascii="Times New Roman" w:hAnsi="Times New Roman"/>
          <w:sz w:val="24"/>
          <w:lang w:eastAsia="zh-CN"/>
        </w:rPr>
        <w:t>，颗粒物排放速率约为</w:t>
      </w:r>
      <w:r w:rsidRPr="00E67914">
        <w:rPr>
          <w:rFonts w:ascii="Times New Roman" w:hAnsi="Times New Roman"/>
          <w:sz w:val="24"/>
          <w:lang w:eastAsia="zh-CN"/>
        </w:rPr>
        <w:t>0.33kg/h</w:t>
      </w:r>
      <w:r w:rsidRPr="00E67914">
        <w:rPr>
          <w:rFonts w:ascii="Times New Roman" w:hAnsi="Times New Roman"/>
          <w:sz w:val="24"/>
          <w:lang w:eastAsia="zh-CN"/>
        </w:rPr>
        <w:t>，属连续排放。燃料废气释放到环境空气中后将很快被稀释，且其影响的持续时间较短，影响范围仅局限于钻井架周围较小范围内。钻井作业的柴油机为流动废气污染源，不会同时同地进行，所以本项目钻井期柴油机烟气对大气环境影响是有限的，能为环境所接受。因此，实际上钻井过程中，柴油机废气对环境空气的影响很小，不会改变敏感点环境功能，钻井期间的大气污染物将随钻井工程的结束而消除。</w:t>
      </w:r>
    </w:p>
    <w:p w14:paraId="09A66DC6"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lastRenderedPageBreak/>
        <w:t>（</w:t>
      </w:r>
      <w:r w:rsidRPr="00E67914">
        <w:rPr>
          <w:rFonts w:ascii="Times New Roman" w:hAnsi="Times New Roman"/>
          <w:b/>
          <w:bCs/>
          <w:sz w:val="24"/>
          <w:lang w:eastAsia="zh-CN"/>
        </w:rPr>
        <w:t>2</w:t>
      </w:r>
      <w:r w:rsidRPr="00E67914">
        <w:rPr>
          <w:rFonts w:ascii="Times New Roman" w:hAnsi="Times New Roman"/>
          <w:b/>
          <w:bCs/>
          <w:sz w:val="24"/>
          <w:lang w:eastAsia="zh-CN"/>
        </w:rPr>
        <w:t>）事故放喷废气</w:t>
      </w:r>
      <w:r w:rsidRPr="00E67914">
        <w:rPr>
          <w:rFonts w:ascii="Times New Roman" w:hAnsi="Times New Roman"/>
          <w:b/>
          <w:sz w:val="24"/>
          <w:szCs w:val="24"/>
          <w:lang w:eastAsia="zh-CN"/>
        </w:rPr>
        <w:t>影响分析</w:t>
      </w:r>
    </w:p>
    <w:p w14:paraId="50CDFE8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事故放喷是由于地层高压异常导致的，在石油天然气行业是低概率事件。事故放喷主产物是不含硫天然气燃烧后产生的</w:t>
      </w:r>
      <w:r w:rsidRPr="00E67914">
        <w:rPr>
          <w:rFonts w:ascii="Times New Roman" w:hAnsi="Times New Roman"/>
          <w:sz w:val="24"/>
          <w:lang w:eastAsia="zh-CN"/>
        </w:rPr>
        <w:t>CO</w:t>
      </w:r>
      <w:r w:rsidRPr="00E67914">
        <w:rPr>
          <w:rFonts w:ascii="Times New Roman" w:hAnsi="Times New Roman"/>
          <w:sz w:val="24"/>
          <w:vertAlign w:val="subscript"/>
          <w:lang w:eastAsia="zh-CN"/>
        </w:rPr>
        <w:t>2</w:t>
      </w:r>
      <w:r w:rsidRPr="00E67914">
        <w:rPr>
          <w:rFonts w:ascii="Times New Roman" w:hAnsi="Times New Roman"/>
          <w:sz w:val="24"/>
          <w:lang w:eastAsia="zh-CN"/>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14:paraId="08174991"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3</w:t>
      </w:r>
      <w:r w:rsidRPr="00E67914">
        <w:rPr>
          <w:rFonts w:ascii="Times New Roman" w:hAnsi="Times New Roman"/>
          <w:b/>
          <w:bCs/>
          <w:sz w:val="24"/>
          <w:lang w:eastAsia="zh-CN"/>
        </w:rPr>
        <w:t>）压裂作业废气</w:t>
      </w:r>
      <w:r w:rsidRPr="00E67914">
        <w:rPr>
          <w:rFonts w:ascii="Times New Roman" w:hAnsi="Times New Roman"/>
          <w:b/>
          <w:sz w:val="24"/>
          <w:szCs w:val="24"/>
          <w:lang w:eastAsia="zh-CN"/>
        </w:rPr>
        <w:t>影响分析</w:t>
      </w:r>
    </w:p>
    <w:p w14:paraId="006E0643"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压裂作业废气主要为压裂车施工机械尾气，主要污染物为</w:t>
      </w:r>
      <w:r w:rsidRPr="00E67914">
        <w:rPr>
          <w:rFonts w:ascii="Times New Roman" w:hAnsi="Times New Roman"/>
          <w:sz w:val="24"/>
          <w:lang w:eastAsia="zh-CN"/>
        </w:rPr>
        <w:t>NO</w:t>
      </w:r>
      <w:r w:rsidRPr="00E67914">
        <w:rPr>
          <w:rFonts w:ascii="Times New Roman" w:hAnsi="Times New Roman"/>
          <w:sz w:val="24"/>
          <w:vertAlign w:val="subscript"/>
          <w:lang w:eastAsia="zh-CN"/>
        </w:rPr>
        <w:t>X</w:t>
      </w:r>
      <w:r w:rsidRPr="00E67914">
        <w:rPr>
          <w:rFonts w:ascii="Times New Roman" w:hAnsi="Times New Roman"/>
          <w:sz w:val="24"/>
          <w:lang w:eastAsia="zh-CN"/>
        </w:rPr>
        <w:t>、烟尘及少量</w:t>
      </w:r>
      <w:r w:rsidRPr="00E67914">
        <w:rPr>
          <w:rFonts w:ascii="Times New Roman" w:hAnsi="Times New Roman"/>
          <w:sz w:val="24"/>
          <w:lang w:eastAsia="zh-CN"/>
        </w:rPr>
        <w:t>CO</w:t>
      </w:r>
      <w:r w:rsidRPr="00E67914">
        <w:rPr>
          <w:rFonts w:ascii="Times New Roman" w:hAnsi="Times New Roman"/>
          <w:sz w:val="24"/>
          <w:lang w:eastAsia="zh-CN"/>
        </w:rPr>
        <w:t>，采用合格燃油、加强设备保养减少尾气排放量。压裂作业持续时间较短、污染物产生量小，对当地大气环境影响较小，影响可接受。</w:t>
      </w:r>
    </w:p>
    <w:p w14:paraId="17F2EFDD"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4</w:t>
      </w:r>
      <w:r w:rsidRPr="00E67914">
        <w:rPr>
          <w:rFonts w:ascii="Times New Roman" w:hAnsi="Times New Roman"/>
          <w:b/>
          <w:bCs/>
          <w:sz w:val="24"/>
          <w:lang w:eastAsia="zh-CN"/>
        </w:rPr>
        <w:t>）无组织挥发性废气</w:t>
      </w:r>
    </w:p>
    <w:p w14:paraId="5DE8BB9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14:paraId="44726292"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5</w:t>
      </w:r>
      <w:r w:rsidRPr="00E67914">
        <w:rPr>
          <w:rFonts w:ascii="Times New Roman" w:hAnsi="Times New Roman"/>
          <w:b/>
          <w:bCs/>
          <w:sz w:val="24"/>
          <w:lang w:eastAsia="zh-CN"/>
        </w:rPr>
        <w:t>）测试放喷废气</w:t>
      </w:r>
      <w:r w:rsidRPr="00E67914">
        <w:rPr>
          <w:rFonts w:ascii="Times New Roman" w:hAnsi="Times New Roman"/>
          <w:b/>
          <w:sz w:val="24"/>
          <w:szCs w:val="24"/>
          <w:lang w:eastAsia="zh-CN"/>
        </w:rPr>
        <w:t>影响分析</w:t>
      </w:r>
    </w:p>
    <w:p w14:paraId="733C45D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测试放喷废气采用地面灼烧处理，放喷池地势空旷，该技术在钻井工程中广泛应用，技术成熟可靠，措施可行，</w:t>
      </w:r>
      <w:r w:rsidRPr="00E67914">
        <w:rPr>
          <w:rFonts w:ascii="Times New Roman" w:hAnsi="Times New Roman"/>
          <w:sz w:val="24"/>
          <w:szCs w:val="24"/>
          <w:lang w:eastAsia="zh-CN"/>
        </w:rPr>
        <w:t>其主要污染物为</w:t>
      </w:r>
      <w:r w:rsidRPr="00E67914">
        <w:rPr>
          <w:rFonts w:ascii="Times New Roman" w:hAnsi="Times New Roman"/>
          <w:sz w:val="24"/>
          <w:szCs w:val="24"/>
          <w:lang w:eastAsia="zh-CN"/>
        </w:rPr>
        <w:t>CO</w:t>
      </w:r>
      <w:r w:rsidRPr="00E67914">
        <w:rPr>
          <w:rFonts w:ascii="Times New Roman" w:hAnsi="Times New Roman"/>
          <w:sz w:val="24"/>
          <w:szCs w:val="24"/>
          <w:vertAlign w:val="subscript"/>
          <w:lang w:eastAsia="zh-CN"/>
        </w:rPr>
        <w:t>2</w:t>
      </w:r>
      <w:r w:rsidRPr="00E67914">
        <w:rPr>
          <w:rFonts w:ascii="Times New Roman" w:hAnsi="Times New Roman"/>
          <w:sz w:val="24"/>
          <w:lang w:eastAsia="zh-CN"/>
        </w:rPr>
        <w:t>等，放喷时间短，属临时排放，类比区域已完钻井测试情况，测试放喷废气对大气环境的影响是可接受的。</w:t>
      </w:r>
      <w:r w:rsidRPr="00E67914">
        <w:rPr>
          <w:rFonts w:ascii="Times New Roman" w:hAnsi="Times New Roman"/>
          <w:sz w:val="24"/>
          <w:szCs w:val="24"/>
          <w:lang w:eastAsia="zh-CN"/>
        </w:rPr>
        <w:t>并将随测试放喷的结束而消除，对周边大气环境影响较小。</w:t>
      </w:r>
    </w:p>
    <w:p w14:paraId="6A4F4767"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总之，钻井期间废气污染物排放量少，且排放时间短，对井场所在地大气环境影响甚微。</w:t>
      </w:r>
    </w:p>
    <w:p w14:paraId="7E732A95"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5.1.3.2</w:t>
      </w:r>
      <w:r w:rsidRPr="00E67914">
        <w:rPr>
          <w:rFonts w:ascii="Times New Roman" w:eastAsia="黑体" w:hAnsi="Times New Roman"/>
          <w:bCs/>
          <w:kern w:val="2"/>
          <w:sz w:val="24"/>
          <w:szCs w:val="24"/>
          <w:lang w:eastAsia="zh-CN"/>
        </w:rPr>
        <w:t>地表水环境影响分析</w:t>
      </w:r>
    </w:p>
    <w:p w14:paraId="2335931D" w14:textId="77777777" w:rsidR="00A54A8A" w:rsidRPr="00E67914" w:rsidRDefault="00000000">
      <w:pPr>
        <w:adjustRightInd w:val="0"/>
        <w:snapToGrid w:val="0"/>
        <w:spacing w:line="360" w:lineRule="auto"/>
        <w:ind w:firstLineChars="200" w:firstLine="482"/>
        <w:jc w:val="both"/>
        <w:rPr>
          <w:rFonts w:ascii="Times New Roman" w:hAnsi="Times New Roman"/>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）场地渗透、外溢对地表水环境影响分析</w:t>
      </w:r>
    </w:p>
    <w:p w14:paraId="5959721C" w14:textId="5CF619ED"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sz w:val="24"/>
          <w:lang w:eastAsia="zh-CN"/>
        </w:rPr>
        <w:t>本项目井口设置方井，用于收集钻井过程中散落的泥浆和污水，泥浆泵入泥浆罐回收利用，废水通过污水泵泵入泥浆不落地系统内处理回用。</w:t>
      </w:r>
      <w:r w:rsidRPr="00E67914">
        <w:rPr>
          <w:rFonts w:ascii="Times New Roman" w:hAnsi="Times New Roman"/>
          <w:bCs/>
          <w:sz w:val="24"/>
          <w:lang w:eastAsia="zh-CN"/>
        </w:rPr>
        <w:t>钻井期生活污水经生态厕所收集后定期由密闭罐车拉运至周边生活污水处理厂处理；项目产生的钻井废水、洗井废水和压裂返排液被贮存于</w:t>
      </w:r>
      <w:r w:rsidR="00E6589E" w:rsidRPr="00E67914">
        <w:rPr>
          <w:rFonts w:ascii="Times New Roman" w:hAnsi="Times New Roman"/>
          <w:bCs/>
          <w:sz w:val="24"/>
          <w:lang w:eastAsia="zh-CN"/>
        </w:rPr>
        <w:t>泥浆不落地装置、放喷池和压裂液储罐</w:t>
      </w:r>
      <w:r w:rsidRPr="00E67914">
        <w:rPr>
          <w:rFonts w:ascii="Times New Roman" w:hAnsi="Times New Roman"/>
          <w:bCs/>
          <w:sz w:val="24"/>
          <w:lang w:eastAsia="zh-CN"/>
        </w:rPr>
        <w:t>中。根据工程分析中的废水收集回用措施可知，</w:t>
      </w:r>
      <w:r w:rsidR="00E6589E" w:rsidRPr="00E67914">
        <w:rPr>
          <w:rFonts w:ascii="Times New Roman" w:hAnsi="Times New Roman"/>
          <w:bCs/>
          <w:sz w:val="24"/>
          <w:lang w:eastAsia="zh-CN"/>
        </w:rPr>
        <w:t>泥浆不落地装置、放喷池和压裂液储罐</w:t>
      </w:r>
      <w:r w:rsidRPr="00E67914">
        <w:rPr>
          <w:rFonts w:ascii="Times New Roman" w:hAnsi="Times New Roman"/>
          <w:bCs/>
          <w:sz w:val="24"/>
          <w:lang w:eastAsia="zh-CN"/>
        </w:rPr>
        <w:t>容积能够满足钻井废水、洗井废水、压裂返排液贮存要求；当发生事故排水时，废水直接汇入泥浆不落地装置</w:t>
      </w:r>
      <w:r w:rsidR="00E6589E" w:rsidRPr="00E67914">
        <w:rPr>
          <w:rFonts w:ascii="Times New Roman" w:hAnsi="Times New Roman"/>
          <w:bCs/>
          <w:sz w:val="24"/>
          <w:lang w:eastAsia="zh-CN"/>
        </w:rPr>
        <w:t>、压裂液储罐</w:t>
      </w:r>
      <w:r w:rsidRPr="00E67914">
        <w:rPr>
          <w:rFonts w:ascii="Times New Roman" w:hAnsi="Times New Roman"/>
          <w:bCs/>
          <w:sz w:val="24"/>
          <w:lang w:eastAsia="zh-CN"/>
        </w:rPr>
        <w:t>或放喷池中，不会造成废水外溢。另外，在工程设计时，</w:t>
      </w:r>
      <w:r w:rsidR="00E6589E" w:rsidRPr="00E67914">
        <w:rPr>
          <w:rFonts w:ascii="Times New Roman" w:hAnsi="Times New Roman"/>
          <w:bCs/>
          <w:sz w:val="24"/>
          <w:lang w:eastAsia="zh-CN"/>
        </w:rPr>
        <w:lastRenderedPageBreak/>
        <w:t>泥浆不落地装置、放喷池和压裂液储罐</w:t>
      </w:r>
      <w:r w:rsidRPr="00E67914">
        <w:rPr>
          <w:rFonts w:ascii="Times New Roman" w:hAnsi="Times New Roman"/>
          <w:bCs/>
          <w:sz w:val="24"/>
          <w:lang w:eastAsia="zh-CN"/>
        </w:rPr>
        <w:t>均比地面高，可防止周边雨水汇入；井场周围设置雨水沟，井场周边雨水均不会进入井场内，井场内的雨水则顺着地势而排入四周的雨水沟；泥浆不落地装置上方配备了防雨棚，这样可避免因雨水进入集污池而增加废水量。本项目采用雨污分流，井场四周设置排水沟，并设置集水坑，初期雨水收集后与钻井废水合并处理，后期雨水依靠井站设置的地面坡度和内外环沟的阀门控制，就地散排至排水沟，排出场外。若场内雨水被污染流入外环沟，则需封闭外环沟由作业队伍从集水坑抽汲至泥浆不落地装置或放喷池。</w:t>
      </w:r>
    </w:p>
    <w:p w14:paraId="577B8D50" w14:textId="0CBEBD11"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bCs/>
          <w:sz w:val="24"/>
          <w:lang w:eastAsia="zh-CN"/>
        </w:rPr>
        <w:t>根据现场勘察，</w:t>
      </w:r>
      <w:r w:rsidRPr="00E67914">
        <w:rPr>
          <w:rFonts w:ascii="Times New Roman" w:hAnsi="Times New Roman"/>
          <w:bCs/>
          <w:kern w:val="2"/>
          <w:sz w:val="24"/>
          <w:szCs w:val="24"/>
          <w:lang w:eastAsia="zh-CN"/>
        </w:rPr>
        <w:t>本项目最近的河流为场区</w:t>
      </w:r>
      <w:r w:rsidR="00CC342C" w:rsidRPr="00E67914">
        <w:rPr>
          <w:rFonts w:ascii="Times New Roman" w:hAnsi="Times New Roman"/>
          <w:bCs/>
          <w:kern w:val="2"/>
          <w:sz w:val="24"/>
          <w:szCs w:val="24"/>
          <w:lang w:eastAsia="zh-CN"/>
        </w:rPr>
        <w:t>南侧</w:t>
      </w:r>
      <w:r w:rsidR="00CC342C" w:rsidRPr="00E67914">
        <w:rPr>
          <w:rFonts w:ascii="Times New Roman" w:hAnsi="Times New Roman"/>
          <w:bCs/>
          <w:kern w:val="2"/>
          <w:sz w:val="24"/>
          <w:szCs w:val="24"/>
          <w:lang w:eastAsia="zh-CN"/>
        </w:rPr>
        <w:t>800m</w:t>
      </w:r>
      <w:r w:rsidR="00CC342C" w:rsidRPr="00E67914">
        <w:rPr>
          <w:rFonts w:ascii="Times New Roman" w:hAnsi="Times New Roman"/>
          <w:bCs/>
          <w:kern w:val="2"/>
          <w:sz w:val="24"/>
          <w:szCs w:val="24"/>
          <w:lang w:eastAsia="zh-CN"/>
        </w:rPr>
        <w:t>处为冲沟和东侧约</w:t>
      </w:r>
      <w:r w:rsidR="00CC342C" w:rsidRPr="00E67914">
        <w:rPr>
          <w:rFonts w:ascii="Times New Roman" w:hAnsi="Times New Roman"/>
          <w:bCs/>
          <w:kern w:val="2"/>
          <w:sz w:val="24"/>
          <w:szCs w:val="24"/>
          <w:lang w:eastAsia="zh-CN"/>
        </w:rPr>
        <w:t>1.6km</w:t>
      </w:r>
      <w:r w:rsidR="00CC342C" w:rsidRPr="00E67914">
        <w:rPr>
          <w:rFonts w:ascii="Times New Roman" w:hAnsi="Times New Roman"/>
          <w:bCs/>
          <w:kern w:val="2"/>
          <w:sz w:val="24"/>
          <w:szCs w:val="24"/>
          <w:lang w:eastAsia="zh-CN"/>
        </w:rPr>
        <w:t>处后河</w:t>
      </w:r>
      <w:r w:rsidRPr="00E67914">
        <w:rPr>
          <w:rFonts w:ascii="Times New Roman" w:hAnsi="Times New Roman"/>
          <w:bCs/>
          <w:kern w:val="2"/>
          <w:sz w:val="24"/>
          <w:szCs w:val="24"/>
          <w:lang w:eastAsia="zh-CN"/>
        </w:rPr>
        <w:t>，项目所在区域水域功能主要为灌溉泄洪，</w:t>
      </w:r>
      <w:r w:rsidRPr="00E67914">
        <w:rPr>
          <w:rFonts w:ascii="Times New Roman" w:hAnsi="Times New Roman"/>
          <w:bCs/>
          <w:sz w:val="24"/>
          <w:lang w:eastAsia="zh-CN"/>
        </w:rPr>
        <w:t>本项目区域内雨水排入井场旁沟渠，井场场地内及场地周围地表水仅在暴雨期间会对附近沟渠造成影响，属于正常的雨水排放，进入</w:t>
      </w:r>
      <w:r w:rsidR="00CC342C" w:rsidRPr="00E67914">
        <w:rPr>
          <w:rFonts w:ascii="Times New Roman" w:hAnsi="Times New Roman"/>
          <w:bCs/>
          <w:sz w:val="24"/>
          <w:lang w:eastAsia="zh-CN"/>
        </w:rPr>
        <w:t>周边冲沟</w:t>
      </w:r>
      <w:r w:rsidRPr="00E67914">
        <w:rPr>
          <w:rFonts w:ascii="Times New Roman" w:hAnsi="Times New Roman"/>
          <w:bCs/>
          <w:sz w:val="24"/>
          <w:lang w:eastAsia="zh-CN"/>
        </w:rPr>
        <w:t>，不会对</w:t>
      </w:r>
      <w:r w:rsidR="00CC342C" w:rsidRPr="00E67914">
        <w:rPr>
          <w:rFonts w:ascii="Times New Roman" w:hAnsi="Times New Roman"/>
          <w:bCs/>
          <w:sz w:val="24"/>
          <w:lang w:eastAsia="zh-CN"/>
        </w:rPr>
        <w:t>后河</w:t>
      </w:r>
      <w:r w:rsidRPr="00E67914">
        <w:rPr>
          <w:rFonts w:ascii="Times New Roman" w:hAnsi="Times New Roman"/>
          <w:bCs/>
          <w:sz w:val="24"/>
          <w:lang w:eastAsia="zh-CN"/>
        </w:rPr>
        <w:t>其水体功能造成影响。在暴雨期间应加强内外环沟的开闭工作，保证井场内初期雨水不流出井场。</w:t>
      </w:r>
      <w:r w:rsidRPr="00E67914">
        <w:rPr>
          <w:rFonts w:ascii="Times New Roman" w:hAnsi="Times New Roman"/>
          <w:sz w:val="24"/>
          <w:lang w:eastAsia="zh-CN"/>
        </w:rPr>
        <w:t>另外，井场采取防渗措施，泥浆不落地工艺区、井口区域、循环罐区、钻井固废暂存区、柴油罐区、发电机区、放喷池等均采取防渗处理，有效避免废水通过漏失和渗漏进入当地环境中。</w:t>
      </w:r>
    </w:p>
    <w:p w14:paraId="39E91A8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在采取上述措施后，废水以漏失、渗透、外溢等方式进入地表水环境的量极少，类比本项目已实施钻井情况，预计不会对周边河流等水环境造成污染影响，对地表水环境影响很小。</w:t>
      </w:r>
    </w:p>
    <w:p w14:paraId="3EAC103A"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2</w:t>
      </w:r>
      <w:r w:rsidRPr="00E67914">
        <w:rPr>
          <w:rFonts w:ascii="Times New Roman" w:hAnsi="Times New Roman"/>
          <w:b/>
          <w:sz w:val="24"/>
          <w:lang w:eastAsia="zh-CN"/>
        </w:rPr>
        <w:t>）项目用水对区域水资源影响分析</w:t>
      </w:r>
    </w:p>
    <w:p w14:paraId="69F750B8" w14:textId="3D028D6D"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本项目施工期的生产用水根据施工期附近地表水存储情况就近采用附近地表水（</w:t>
      </w:r>
      <w:r w:rsidR="000736F8" w:rsidRPr="00E67914">
        <w:rPr>
          <w:rFonts w:ascii="Times New Roman" w:hAnsi="Times New Roman"/>
          <w:bCs/>
          <w:sz w:val="24"/>
          <w:lang w:eastAsia="zh-CN"/>
        </w:rPr>
        <w:t>后</w:t>
      </w:r>
      <w:r w:rsidRPr="00E67914">
        <w:rPr>
          <w:rFonts w:ascii="Times New Roman" w:hAnsi="Times New Roman"/>
          <w:bCs/>
          <w:sz w:val="24"/>
          <w:lang w:eastAsia="zh-CN"/>
        </w:rPr>
        <w:t>河），生活用水使用拉运桶装水。由于项目距离</w:t>
      </w:r>
      <w:r w:rsidR="000736F8" w:rsidRPr="00E67914">
        <w:rPr>
          <w:rFonts w:ascii="Times New Roman" w:hAnsi="Times New Roman"/>
          <w:bCs/>
          <w:sz w:val="24"/>
          <w:lang w:eastAsia="zh-CN"/>
        </w:rPr>
        <w:t>后</w:t>
      </w:r>
      <w:r w:rsidRPr="00E67914">
        <w:rPr>
          <w:rFonts w:ascii="Times New Roman" w:hAnsi="Times New Roman"/>
          <w:bCs/>
          <w:sz w:val="24"/>
          <w:lang w:eastAsia="zh-CN"/>
        </w:rPr>
        <w:t>河较近，水量充足，项目生产用水量少，合理安排施工季节，尽量不在枯水期取水，用水前做好与当地主管部门沟通协调工作，项目取水不会对周边耕地等用水造成影响；若必须在枯水期取水要首先满足下游生态流量和管理部门的要求。项目位于丘陵区，</w:t>
      </w:r>
      <w:bookmarkStart w:id="133" w:name="_Hlk88835004"/>
      <w:r w:rsidRPr="00E67914">
        <w:rPr>
          <w:rFonts w:ascii="Times New Roman" w:hAnsi="Times New Roman"/>
          <w:bCs/>
          <w:sz w:val="24"/>
          <w:lang w:eastAsia="zh-CN"/>
        </w:rPr>
        <w:t>周边居民使用山泉水，</w:t>
      </w:r>
      <w:bookmarkEnd w:id="133"/>
      <w:r w:rsidRPr="00E67914">
        <w:rPr>
          <w:rFonts w:ascii="Times New Roman" w:hAnsi="Times New Roman"/>
          <w:bCs/>
          <w:sz w:val="24"/>
          <w:lang w:eastAsia="zh-CN"/>
        </w:rPr>
        <w:t>项目用水相对较小，故项目建设生产及生活用水不会对区域水资源造成影响。</w:t>
      </w:r>
    </w:p>
    <w:p w14:paraId="4FE07FE7"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3</w:t>
      </w:r>
      <w:r w:rsidRPr="00E67914">
        <w:rPr>
          <w:rFonts w:ascii="Times New Roman" w:hAnsi="Times New Roman"/>
          <w:b/>
          <w:sz w:val="24"/>
          <w:lang w:eastAsia="zh-CN"/>
        </w:rPr>
        <w:t>）对区域地表水</w:t>
      </w:r>
      <w:r w:rsidRPr="00E67914">
        <w:rPr>
          <w:rFonts w:ascii="Times New Roman" w:hAnsi="Times New Roman"/>
          <w:b/>
          <w:sz w:val="24"/>
          <w:szCs w:val="24"/>
          <w:lang w:eastAsia="zh-CN"/>
        </w:rPr>
        <w:t>影响分析</w:t>
      </w:r>
    </w:p>
    <w:p w14:paraId="7297B1AF" w14:textId="506BC3DD"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钻井期生活污水经生态厕所收集后定期由密闭罐车拉运至周边生活污水处理厂处理；项目产生的钻井废水经固控设备固液分离后满足要求的全部回用于钻井过程，</w:t>
      </w:r>
      <w:r w:rsidRPr="00E67914">
        <w:rPr>
          <w:rFonts w:ascii="Times New Roman" w:hAnsi="Times New Roman"/>
          <w:bCs/>
          <w:kern w:val="2"/>
          <w:sz w:val="24"/>
          <w:szCs w:val="24"/>
          <w:lang w:eastAsia="zh-CN"/>
        </w:rPr>
        <w:t>剩余废水</w:t>
      </w:r>
      <w:r w:rsidR="006956BC" w:rsidRPr="00E67914">
        <w:rPr>
          <w:rFonts w:ascii="Times New Roman" w:hAnsi="Times New Roman"/>
          <w:bCs/>
          <w:kern w:val="2"/>
          <w:sz w:val="24"/>
          <w:szCs w:val="24"/>
          <w:lang w:eastAsia="zh-CN"/>
        </w:rPr>
        <w:t>定期</w:t>
      </w:r>
      <w:r w:rsidRPr="00E67914">
        <w:rPr>
          <w:rFonts w:ascii="Times New Roman" w:hAnsi="Times New Roman"/>
          <w:bCs/>
          <w:kern w:val="2"/>
          <w:sz w:val="24"/>
          <w:szCs w:val="24"/>
          <w:lang w:eastAsia="zh-CN"/>
        </w:rPr>
        <w:t>由罐车拉运至赵家坝污水处理站达标后管输至普光</w:t>
      </w:r>
      <w:r w:rsidRPr="00E67914">
        <w:rPr>
          <w:rFonts w:ascii="Times New Roman" w:hAnsi="Times New Roman"/>
          <w:bCs/>
          <w:kern w:val="2"/>
          <w:sz w:val="24"/>
          <w:szCs w:val="24"/>
          <w:lang w:eastAsia="zh-CN"/>
        </w:rPr>
        <w:t>11</w:t>
      </w:r>
      <w:r w:rsidRPr="00E67914">
        <w:rPr>
          <w:rFonts w:ascii="Times New Roman" w:hAnsi="Times New Roman"/>
          <w:bCs/>
          <w:kern w:val="2"/>
          <w:sz w:val="24"/>
          <w:szCs w:val="24"/>
          <w:lang w:eastAsia="zh-CN"/>
        </w:rPr>
        <w:t>井回注站回注，不外排</w:t>
      </w:r>
      <w:r w:rsidRPr="00E67914">
        <w:rPr>
          <w:rFonts w:ascii="Times New Roman" w:hAnsi="Times New Roman"/>
          <w:bCs/>
          <w:sz w:val="24"/>
          <w:lang w:eastAsia="zh-CN"/>
        </w:rPr>
        <w:t>；</w:t>
      </w:r>
      <w:r w:rsidRPr="00E67914">
        <w:rPr>
          <w:rFonts w:ascii="Times New Roman" w:hAnsi="Times New Roman"/>
          <w:sz w:val="24"/>
          <w:lang w:eastAsia="zh-CN"/>
        </w:rPr>
        <w:t>压裂返排液及洗井废水临时暂存于放喷池或者</w:t>
      </w:r>
      <w:r w:rsidR="00CC342C" w:rsidRPr="00E67914">
        <w:rPr>
          <w:rFonts w:ascii="Times New Roman" w:hAnsi="Times New Roman"/>
          <w:sz w:val="24"/>
          <w:lang w:eastAsia="zh-CN"/>
        </w:rPr>
        <w:t>压裂液储罐</w:t>
      </w:r>
      <w:r w:rsidRPr="00E67914">
        <w:rPr>
          <w:rFonts w:ascii="Times New Roman" w:hAnsi="Times New Roman"/>
          <w:sz w:val="24"/>
          <w:lang w:eastAsia="zh-CN"/>
        </w:rPr>
        <w:t>，优先回用于</w:t>
      </w:r>
      <w:r w:rsidR="007D7653" w:rsidRPr="00E67914">
        <w:rPr>
          <w:rFonts w:ascii="Times New Roman" w:hAnsi="Times New Roman"/>
          <w:sz w:val="24"/>
          <w:lang w:eastAsia="zh-CN"/>
        </w:rPr>
        <w:t>本项目压裂工段</w:t>
      </w:r>
      <w:r w:rsidRPr="00E67914">
        <w:rPr>
          <w:rFonts w:ascii="Times New Roman" w:hAnsi="Times New Roman"/>
          <w:sz w:val="24"/>
          <w:lang w:eastAsia="zh-CN"/>
        </w:rPr>
        <w:t>及周边平台</w:t>
      </w:r>
      <w:r w:rsidR="007D7653" w:rsidRPr="00E67914">
        <w:rPr>
          <w:rFonts w:ascii="Times New Roman" w:hAnsi="Times New Roman"/>
          <w:sz w:val="24"/>
          <w:lang w:eastAsia="zh-CN"/>
        </w:rPr>
        <w:t>压裂</w:t>
      </w:r>
      <w:r w:rsidRPr="00E67914">
        <w:rPr>
          <w:rFonts w:ascii="Times New Roman" w:hAnsi="Times New Roman"/>
          <w:sz w:val="24"/>
          <w:lang w:eastAsia="zh-CN"/>
        </w:rPr>
        <w:t>工段，不能回用的用罐车拉运至赵家坝污水处理站处理达标后</w:t>
      </w:r>
      <w:r w:rsidRPr="00E67914">
        <w:rPr>
          <w:rFonts w:ascii="Times New Roman" w:hAnsi="Times New Roman"/>
          <w:sz w:val="24"/>
          <w:lang w:eastAsia="zh-CN"/>
        </w:rPr>
        <w:lastRenderedPageBreak/>
        <w:t>经普光</w:t>
      </w:r>
      <w:r w:rsidRPr="00E67914">
        <w:rPr>
          <w:rFonts w:ascii="Times New Roman" w:hAnsi="Times New Roman"/>
          <w:sz w:val="24"/>
          <w:lang w:eastAsia="zh-CN"/>
        </w:rPr>
        <w:t>11</w:t>
      </w:r>
      <w:r w:rsidRPr="00E67914">
        <w:rPr>
          <w:rFonts w:ascii="Times New Roman" w:hAnsi="Times New Roman"/>
          <w:sz w:val="24"/>
          <w:lang w:eastAsia="zh-CN"/>
        </w:rPr>
        <w:t>井回注站回注</w:t>
      </w:r>
      <w:r w:rsidRPr="00E67914">
        <w:rPr>
          <w:rFonts w:ascii="Times New Roman" w:hAnsi="Times New Roman"/>
          <w:bCs/>
          <w:sz w:val="24"/>
          <w:lang w:eastAsia="zh-CN"/>
        </w:rPr>
        <w:t>，不外排；初期雨水收集后进入泥浆不落地处理系统处理后用于配置钻井液。项目废水产生量少，经处理达标后污染物排放量也少，对当地地表水环境的影响属可接受范围。</w:t>
      </w:r>
    </w:p>
    <w:p w14:paraId="40886E93"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4</w:t>
      </w:r>
      <w:r w:rsidRPr="00E67914">
        <w:rPr>
          <w:rFonts w:ascii="Times New Roman" w:hAnsi="Times New Roman"/>
          <w:b/>
          <w:sz w:val="24"/>
          <w:lang w:eastAsia="zh-CN"/>
        </w:rPr>
        <w:t>）对项目周边耕地</w:t>
      </w:r>
      <w:r w:rsidRPr="00E67914">
        <w:rPr>
          <w:rFonts w:ascii="Times New Roman" w:hAnsi="Times New Roman"/>
          <w:b/>
          <w:sz w:val="24"/>
          <w:szCs w:val="24"/>
          <w:lang w:eastAsia="zh-CN"/>
        </w:rPr>
        <w:t>影响分析</w:t>
      </w:r>
    </w:p>
    <w:p w14:paraId="4D06DBBD" w14:textId="7BCBD81D"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bCs/>
          <w:sz w:val="24"/>
          <w:lang w:eastAsia="zh-CN"/>
        </w:rPr>
        <w:t>本项目井场钻井所有设备均设置了混凝土基础，并在设备周边均设置了排污沟；在所有井场没有设置混凝土基础区域不会进行设备安装、检修等工作，因此不会有废油产生于该区域。在雨季时，雨水冲刷混凝土基础及设备的雨水会进入设备周边的混凝土排污沟，经过集污坑隔油沉淀后，废水进入废水罐，废油回用或委托有资质单位处理；井场内其他非混凝土基础部分没有废油产生，雨水则直接进入场界周边的排水沟排入周围环境，对周边耕地</w:t>
      </w:r>
      <w:r w:rsidR="004772D8" w:rsidRPr="00E67914">
        <w:rPr>
          <w:rFonts w:ascii="Times New Roman" w:hAnsi="Times New Roman"/>
          <w:bCs/>
          <w:sz w:val="24"/>
          <w:lang w:eastAsia="zh-CN"/>
        </w:rPr>
        <w:t>（含基本农田）</w:t>
      </w:r>
      <w:r w:rsidRPr="00E67914">
        <w:rPr>
          <w:rFonts w:ascii="Times New Roman" w:hAnsi="Times New Roman"/>
          <w:bCs/>
          <w:sz w:val="24"/>
          <w:lang w:eastAsia="zh-CN"/>
        </w:rPr>
        <w:t>影响甚微。</w:t>
      </w:r>
    </w:p>
    <w:p w14:paraId="02DF23FF" w14:textId="77777777" w:rsidR="00A54A8A" w:rsidRPr="00E67914" w:rsidRDefault="00000000">
      <w:pPr>
        <w:adjustRightInd w:val="0"/>
        <w:snapToGrid w:val="0"/>
        <w:spacing w:line="360" w:lineRule="auto"/>
        <w:ind w:firstLineChars="200" w:firstLine="480"/>
        <w:jc w:val="both"/>
        <w:outlineLvl w:val="3"/>
        <w:rPr>
          <w:rFonts w:ascii="Times New Roman" w:eastAsia="黑体" w:hAnsi="Times New Roman"/>
          <w:bCs/>
          <w:kern w:val="2"/>
          <w:sz w:val="24"/>
          <w:szCs w:val="24"/>
          <w:lang w:eastAsia="zh-CN"/>
        </w:rPr>
      </w:pPr>
      <w:bookmarkStart w:id="134" w:name="5.1.3施工期噪声环境影响分析"/>
      <w:bookmarkStart w:id="135" w:name="5.1.1施工期大气环境影响分析"/>
      <w:bookmarkEnd w:id="134"/>
      <w:bookmarkEnd w:id="135"/>
      <w:r w:rsidRPr="00E67914">
        <w:rPr>
          <w:rFonts w:ascii="Times New Roman" w:eastAsia="黑体" w:hAnsi="Times New Roman"/>
          <w:bCs/>
          <w:kern w:val="2"/>
          <w:sz w:val="24"/>
          <w:szCs w:val="24"/>
          <w:lang w:eastAsia="zh-CN"/>
        </w:rPr>
        <w:t>5.1.3.3</w:t>
      </w:r>
      <w:r w:rsidRPr="00E67914">
        <w:rPr>
          <w:rFonts w:ascii="Times New Roman" w:eastAsia="黑体" w:hAnsi="Times New Roman"/>
          <w:bCs/>
          <w:kern w:val="2"/>
          <w:sz w:val="24"/>
          <w:szCs w:val="24"/>
          <w:lang w:eastAsia="zh-CN"/>
        </w:rPr>
        <w:t>施工期噪声环境影响分析</w:t>
      </w:r>
    </w:p>
    <w:p w14:paraId="4574ABF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、钻井工程</w:t>
      </w:r>
    </w:p>
    <w:p w14:paraId="27F6747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）钻井工程噪声源强</w:t>
      </w:r>
    </w:p>
    <w:p w14:paraId="34DE86CB" w14:textId="36806094"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项目采用网电供电，柴油发电机作为备用电源。网电供电情况下，钻井噪声主要来源于钻井设备、泥浆泵、振动筛等连续噪声，噪声源强在</w:t>
      </w:r>
      <w:r w:rsidRPr="00E67914">
        <w:rPr>
          <w:rFonts w:ascii="Times New Roman" w:hAnsi="Times New Roman"/>
          <w:sz w:val="24"/>
          <w:lang w:eastAsia="zh-CN"/>
        </w:rPr>
        <w:t>85~90dB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）；在柴油发电机供电情况下，噪声源增加了柴油发电机组和动力机组，噪声源强在</w:t>
      </w:r>
      <w:r w:rsidRPr="00E67914">
        <w:rPr>
          <w:rFonts w:ascii="Times New Roman" w:hAnsi="Times New Roman"/>
          <w:sz w:val="24"/>
          <w:lang w:eastAsia="zh-CN"/>
        </w:rPr>
        <w:t>85~100dB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目前钻井噪声处理难度较大，要减轻钻井噪声影响，主要还是通过钻井过程中采取相应的降噪措施。在钻井过程中采取的噪声防治措施有：柴油机和发电机自带铁皮设备机房，排气筒加消声罩；在钻井过程中平稳操作，避免产生非正常的噪声；泥浆泵、振动筛等采用弹性垫料，可起到一定降噪效果。通过以上措施可以降低噪声约</w:t>
      </w:r>
      <w:r w:rsidRPr="00E67914">
        <w:rPr>
          <w:rFonts w:ascii="Times New Roman" w:hAnsi="Times New Roman"/>
          <w:sz w:val="24"/>
          <w:lang w:eastAsia="zh-CN"/>
        </w:rPr>
        <w:t>5~10dB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）。降噪前后的噪声源强见表</w:t>
      </w:r>
      <w:r w:rsidRPr="00E67914">
        <w:rPr>
          <w:rFonts w:ascii="Times New Roman" w:hAnsi="Times New Roman"/>
          <w:sz w:val="24"/>
          <w:lang w:eastAsia="zh-CN"/>
        </w:rPr>
        <w:t>5.1-</w:t>
      </w:r>
      <w:r w:rsidR="00CB4B0C" w:rsidRPr="00E67914">
        <w:rPr>
          <w:rFonts w:ascii="Times New Roman" w:hAnsi="Times New Roman"/>
          <w:sz w:val="24"/>
          <w:lang w:eastAsia="zh-CN"/>
        </w:rPr>
        <w:t>5</w:t>
      </w:r>
      <w:r w:rsidRPr="00E67914">
        <w:rPr>
          <w:rFonts w:ascii="Times New Roman" w:hAnsi="Times New Roman"/>
          <w:sz w:val="24"/>
          <w:lang w:eastAsia="zh-CN"/>
        </w:rPr>
        <w:t>。</w:t>
      </w:r>
    </w:p>
    <w:p w14:paraId="57E5EEDD" w14:textId="2E0D08B8"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5.1-</w:t>
      </w:r>
      <w:r w:rsidR="00CB4B0C" w:rsidRPr="00E67914">
        <w:rPr>
          <w:rFonts w:ascii="Times New Roman" w:eastAsia="黑体" w:hAnsi="Times New Roman"/>
          <w:sz w:val="21"/>
          <w:szCs w:val="21"/>
          <w:lang w:eastAsia="zh-CN"/>
        </w:rPr>
        <w:t>5</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采取噪声防治措施后的噪声源强</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dB</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A</w:t>
      </w:r>
      <w:r w:rsidRPr="00E67914">
        <w:rPr>
          <w:rFonts w:ascii="Times New Roman" w:eastAsia="黑体" w:hAnsi="Times New Roman"/>
          <w:sz w:val="21"/>
          <w:szCs w:val="21"/>
          <w:lang w:eastAsia="zh-C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46"/>
        <w:gridCol w:w="1417"/>
        <w:gridCol w:w="1135"/>
        <w:gridCol w:w="993"/>
        <w:gridCol w:w="1701"/>
        <w:gridCol w:w="1268"/>
      </w:tblGrid>
      <w:tr w:rsidR="00E67914" w:rsidRPr="00E67914" w14:paraId="5E1CE4B4" w14:textId="77777777">
        <w:trPr>
          <w:trHeight w:val="454"/>
          <w:jc w:val="center"/>
        </w:trPr>
        <w:tc>
          <w:tcPr>
            <w:tcW w:w="2546" w:type="dxa"/>
            <w:tcBorders>
              <w:top w:val="single" w:sz="4" w:space="0" w:color="auto"/>
              <w:left w:val="single" w:sz="4" w:space="0" w:color="auto"/>
              <w:bottom w:val="single" w:sz="4" w:space="0" w:color="auto"/>
              <w:right w:val="single" w:sz="4" w:space="0" w:color="auto"/>
            </w:tcBorders>
            <w:vAlign w:val="center"/>
          </w:tcPr>
          <w:p w14:paraId="2B097B50" w14:textId="77777777" w:rsidR="00A54A8A" w:rsidRPr="00E67914" w:rsidRDefault="00000000">
            <w:pPr>
              <w:pStyle w:val="06"/>
              <w:rPr>
                <w:rFonts w:cs="Times New Roman"/>
              </w:rPr>
            </w:pPr>
            <w:r w:rsidRPr="00E67914">
              <w:rPr>
                <w:rFonts w:cs="Times New Roman"/>
              </w:rPr>
              <w:t>噪声设备</w:t>
            </w:r>
          </w:p>
        </w:tc>
        <w:tc>
          <w:tcPr>
            <w:tcW w:w="1417" w:type="dxa"/>
            <w:tcBorders>
              <w:top w:val="single" w:sz="4" w:space="0" w:color="auto"/>
              <w:left w:val="single" w:sz="4" w:space="0" w:color="auto"/>
              <w:bottom w:val="single" w:sz="4" w:space="0" w:color="auto"/>
              <w:right w:val="single" w:sz="4" w:space="0" w:color="auto"/>
            </w:tcBorders>
            <w:vAlign w:val="center"/>
          </w:tcPr>
          <w:p w14:paraId="25CC7C8A" w14:textId="77777777" w:rsidR="00A54A8A" w:rsidRPr="00E67914" w:rsidRDefault="00000000">
            <w:pPr>
              <w:pStyle w:val="06"/>
              <w:rPr>
                <w:rFonts w:cs="Times New Roman"/>
              </w:rPr>
            </w:pPr>
            <w:r w:rsidRPr="00E67914">
              <w:rPr>
                <w:rFonts w:cs="Times New Roman"/>
              </w:rPr>
              <w:t>数量</w:t>
            </w:r>
          </w:p>
        </w:tc>
        <w:tc>
          <w:tcPr>
            <w:tcW w:w="1135" w:type="dxa"/>
            <w:tcBorders>
              <w:top w:val="single" w:sz="4" w:space="0" w:color="auto"/>
              <w:left w:val="single" w:sz="4" w:space="0" w:color="auto"/>
              <w:bottom w:val="single" w:sz="4" w:space="0" w:color="auto"/>
              <w:right w:val="single" w:sz="4" w:space="0" w:color="auto"/>
            </w:tcBorders>
            <w:vAlign w:val="center"/>
          </w:tcPr>
          <w:p w14:paraId="30D270C2" w14:textId="77777777" w:rsidR="00A54A8A" w:rsidRPr="00E67914" w:rsidRDefault="00000000">
            <w:pPr>
              <w:pStyle w:val="06"/>
              <w:rPr>
                <w:rFonts w:cs="Times New Roman"/>
              </w:rPr>
            </w:pPr>
            <w:r w:rsidRPr="00E67914">
              <w:rPr>
                <w:rFonts w:cs="Times New Roman"/>
              </w:rPr>
              <w:t>单台源强</w:t>
            </w:r>
          </w:p>
        </w:tc>
        <w:tc>
          <w:tcPr>
            <w:tcW w:w="993" w:type="dxa"/>
            <w:tcBorders>
              <w:top w:val="single" w:sz="4" w:space="0" w:color="auto"/>
              <w:left w:val="single" w:sz="4" w:space="0" w:color="auto"/>
              <w:bottom w:val="single" w:sz="4" w:space="0" w:color="auto"/>
              <w:right w:val="single" w:sz="4" w:space="0" w:color="auto"/>
            </w:tcBorders>
            <w:vAlign w:val="center"/>
          </w:tcPr>
          <w:p w14:paraId="143C85EA" w14:textId="77777777" w:rsidR="00A54A8A" w:rsidRPr="00E67914" w:rsidRDefault="00000000">
            <w:pPr>
              <w:pStyle w:val="06"/>
              <w:rPr>
                <w:rFonts w:cs="Times New Roman"/>
              </w:rPr>
            </w:pPr>
            <w:r w:rsidRPr="00E67914">
              <w:rPr>
                <w:rFonts w:cs="Times New Roman"/>
              </w:rPr>
              <w:t>距声源</w:t>
            </w:r>
          </w:p>
        </w:tc>
        <w:tc>
          <w:tcPr>
            <w:tcW w:w="1701" w:type="dxa"/>
            <w:tcBorders>
              <w:top w:val="single" w:sz="4" w:space="0" w:color="auto"/>
              <w:left w:val="single" w:sz="4" w:space="0" w:color="auto"/>
              <w:bottom w:val="single" w:sz="4" w:space="0" w:color="auto"/>
              <w:right w:val="single" w:sz="4" w:space="0" w:color="auto"/>
            </w:tcBorders>
            <w:vAlign w:val="center"/>
          </w:tcPr>
          <w:p w14:paraId="70EA27C3" w14:textId="77777777" w:rsidR="00A54A8A" w:rsidRPr="00E67914" w:rsidRDefault="00000000">
            <w:pPr>
              <w:pStyle w:val="06"/>
              <w:rPr>
                <w:rFonts w:cs="Times New Roman"/>
              </w:rPr>
            </w:pPr>
            <w:r w:rsidRPr="00E67914">
              <w:rPr>
                <w:rFonts w:cs="Times New Roman"/>
              </w:rPr>
              <w:t>降噪措施</w:t>
            </w:r>
          </w:p>
        </w:tc>
        <w:tc>
          <w:tcPr>
            <w:tcW w:w="1268" w:type="dxa"/>
            <w:tcBorders>
              <w:top w:val="single" w:sz="4" w:space="0" w:color="auto"/>
              <w:left w:val="single" w:sz="4" w:space="0" w:color="auto"/>
              <w:bottom w:val="single" w:sz="4" w:space="0" w:color="auto"/>
              <w:right w:val="single" w:sz="4" w:space="0" w:color="auto"/>
            </w:tcBorders>
            <w:vAlign w:val="center"/>
          </w:tcPr>
          <w:p w14:paraId="62046829" w14:textId="77777777" w:rsidR="00A54A8A" w:rsidRPr="00E67914" w:rsidRDefault="00000000">
            <w:pPr>
              <w:pStyle w:val="06"/>
              <w:rPr>
                <w:rFonts w:cs="Times New Roman"/>
              </w:rPr>
            </w:pPr>
            <w:r w:rsidRPr="00E67914">
              <w:rPr>
                <w:rFonts w:cs="Times New Roman"/>
              </w:rPr>
              <w:t>降噪后源强</w:t>
            </w:r>
          </w:p>
        </w:tc>
      </w:tr>
      <w:tr w:rsidR="00E67914" w:rsidRPr="00E67914" w14:paraId="246519F6" w14:textId="77777777">
        <w:trPr>
          <w:trHeight w:val="454"/>
          <w:jc w:val="center"/>
        </w:trPr>
        <w:tc>
          <w:tcPr>
            <w:tcW w:w="2546" w:type="dxa"/>
            <w:tcBorders>
              <w:top w:val="single" w:sz="4" w:space="0" w:color="auto"/>
              <w:left w:val="single" w:sz="4" w:space="0" w:color="auto"/>
              <w:bottom w:val="single" w:sz="4" w:space="0" w:color="auto"/>
              <w:right w:val="single" w:sz="4" w:space="0" w:color="auto"/>
            </w:tcBorders>
            <w:vAlign w:val="center"/>
          </w:tcPr>
          <w:p w14:paraId="157EB83E"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柴油发电机（备用）</w:t>
            </w:r>
          </w:p>
        </w:tc>
        <w:tc>
          <w:tcPr>
            <w:tcW w:w="1417" w:type="dxa"/>
            <w:tcBorders>
              <w:top w:val="single" w:sz="4" w:space="0" w:color="auto"/>
              <w:left w:val="single" w:sz="4" w:space="0" w:color="auto"/>
              <w:bottom w:val="single" w:sz="4" w:space="0" w:color="auto"/>
              <w:right w:val="single" w:sz="4" w:space="0" w:color="auto"/>
            </w:tcBorders>
            <w:vAlign w:val="center"/>
          </w:tcPr>
          <w:p w14:paraId="396ED6C0"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2</w:t>
            </w:r>
            <w:r w:rsidRPr="00E67914">
              <w:rPr>
                <w:rFonts w:ascii="Times New Roman" w:hAnsi="Times New Roman"/>
                <w:kern w:val="2"/>
                <w:sz w:val="21"/>
              </w:rPr>
              <w:t>台运行</w:t>
            </w:r>
          </w:p>
        </w:tc>
        <w:tc>
          <w:tcPr>
            <w:tcW w:w="1135" w:type="dxa"/>
            <w:tcBorders>
              <w:top w:val="single" w:sz="4" w:space="0" w:color="auto"/>
              <w:left w:val="single" w:sz="4" w:space="0" w:color="auto"/>
              <w:bottom w:val="single" w:sz="4" w:space="0" w:color="auto"/>
              <w:right w:val="single" w:sz="4" w:space="0" w:color="auto"/>
            </w:tcBorders>
            <w:vAlign w:val="center"/>
          </w:tcPr>
          <w:p w14:paraId="6C314E60"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95</w:t>
            </w:r>
          </w:p>
        </w:tc>
        <w:tc>
          <w:tcPr>
            <w:tcW w:w="993" w:type="dxa"/>
            <w:tcBorders>
              <w:top w:val="single" w:sz="4" w:space="0" w:color="auto"/>
              <w:left w:val="single" w:sz="4" w:space="0" w:color="auto"/>
              <w:bottom w:val="single" w:sz="4" w:space="0" w:color="auto"/>
              <w:right w:val="single" w:sz="4" w:space="0" w:color="auto"/>
            </w:tcBorders>
            <w:vAlign w:val="center"/>
          </w:tcPr>
          <w:p w14:paraId="3A98B5C8"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1m</w:t>
            </w:r>
          </w:p>
        </w:tc>
        <w:tc>
          <w:tcPr>
            <w:tcW w:w="1701" w:type="dxa"/>
            <w:tcBorders>
              <w:top w:val="single" w:sz="4" w:space="0" w:color="auto"/>
              <w:left w:val="single" w:sz="4" w:space="0" w:color="auto"/>
              <w:bottom w:val="single" w:sz="4" w:space="0" w:color="auto"/>
              <w:right w:val="single" w:sz="4" w:space="0" w:color="auto"/>
            </w:tcBorders>
            <w:vAlign w:val="center"/>
          </w:tcPr>
          <w:p w14:paraId="0F828BB5"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机房、消声器</w:t>
            </w:r>
          </w:p>
        </w:tc>
        <w:tc>
          <w:tcPr>
            <w:tcW w:w="1268" w:type="dxa"/>
            <w:tcBorders>
              <w:top w:val="single" w:sz="4" w:space="0" w:color="auto"/>
              <w:left w:val="single" w:sz="4" w:space="0" w:color="auto"/>
              <w:bottom w:val="single" w:sz="4" w:space="0" w:color="auto"/>
              <w:right w:val="single" w:sz="4" w:space="0" w:color="auto"/>
            </w:tcBorders>
            <w:vAlign w:val="center"/>
          </w:tcPr>
          <w:p w14:paraId="1E364E43"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90</w:t>
            </w:r>
          </w:p>
        </w:tc>
      </w:tr>
      <w:tr w:rsidR="00E67914" w:rsidRPr="00E67914" w14:paraId="73DDB03F" w14:textId="77777777">
        <w:trPr>
          <w:trHeight w:val="454"/>
          <w:jc w:val="center"/>
        </w:trPr>
        <w:tc>
          <w:tcPr>
            <w:tcW w:w="2546" w:type="dxa"/>
            <w:tcBorders>
              <w:top w:val="single" w:sz="4" w:space="0" w:color="auto"/>
              <w:left w:val="single" w:sz="4" w:space="0" w:color="auto"/>
              <w:bottom w:val="single" w:sz="4" w:space="0" w:color="auto"/>
              <w:right w:val="single" w:sz="4" w:space="0" w:color="auto"/>
            </w:tcBorders>
            <w:vAlign w:val="center"/>
          </w:tcPr>
          <w:p w14:paraId="55A1BFFE"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柴油动力机（备用）</w:t>
            </w:r>
          </w:p>
        </w:tc>
        <w:tc>
          <w:tcPr>
            <w:tcW w:w="1417" w:type="dxa"/>
            <w:tcBorders>
              <w:top w:val="single" w:sz="4" w:space="0" w:color="auto"/>
              <w:left w:val="single" w:sz="4" w:space="0" w:color="auto"/>
              <w:bottom w:val="single" w:sz="4" w:space="0" w:color="auto"/>
              <w:right w:val="single" w:sz="4" w:space="0" w:color="auto"/>
            </w:tcBorders>
            <w:vAlign w:val="center"/>
          </w:tcPr>
          <w:p w14:paraId="394F5402"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w:t>
            </w:r>
            <w:r w:rsidRPr="00E67914">
              <w:rPr>
                <w:rFonts w:ascii="Times New Roman" w:hAnsi="Times New Roman"/>
                <w:kern w:val="2"/>
                <w:sz w:val="21"/>
              </w:rPr>
              <w:t>台运行</w:t>
            </w:r>
          </w:p>
        </w:tc>
        <w:tc>
          <w:tcPr>
            <w:tcW w:w="1135" w:type="dxa"/>
            <w:tcBorders>
              <w:top w:val="single" w:sz="4" w:space="0" w:color="auto"/>
              <w:left w:val="single" w:sz="4" w:space="0" w:color="auto"/>
              <w:bottom w:val="single" w:sz="4" w:space="0" w:color="auto"/>
              <w:right w:val="single" w:sz="4" w:space="0" w:color="auto"/>
            </w:tcBorders>
            <w:vAlign w:val="center"/>
          </w:tcPr>
          <w:p w14:paraId="3356974F"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100</w:t>
            </w:r>
          </w:p>
        </w:tc>
        <w:tc>
          <w:tcPr>
            <w:tcW w:w="993" w:type="dxa"/>
            <w:tcBorders>
              <w:top w:val="single" w:sz="4" w:space="0" w:color="auto"/>
              <w:left w:val="single" w:sz="4" w:space="0" w:color="auto"/>
              <w:bottom w:val="single" w:sz="4" w:space="0" w:color="auto"/>
              <w:right w:val="single" w:sz="4" w:space="0" w:color="auto"/>
            </w:tcBorders>
            <w:vAlign w:val="center"/>
          </w:tcPr>
          <w:p w14:paraId="1BF78F96"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1m</w:t>
            </w:r>
          </w:p>
        </w:tc>
        <w:tc>
          <w:tcPr>
            <w:tcW w:w="1701" w:type="dxa"/>
            <w:tcBorders>
              <w:top w:val="single" w:sz="4" w:space="0" w:color="auto"/>
              <w:left w:val="single" w:sz="4" w:space="0" w:color="auto"/>
              <w:bottom w:val="single" w:sz="4" w:space="0" w:color="auto"/>
              <w:right w:val="single" w:sz="4" w:space="0" w:color="auto"/>
            </w:tcBorders>
            <w:vAlign w:val="center"/>
          </w:tcPr>
          <w:p w14:paraId="034C37D3"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机房、消声器</w:t>
            </w:r>
          </w:p>
        </w:tc>
        <w:tc>
          <w:tcPr>
            <w:tcW w:w="1268" w:type="dxa"/>
            <w:tcBorders>
              <w:top w:val="single" w:sz="4" w:space="0" w:color="auto"/>
              <w:left w:val="single" w:sz="4" w:space="0" w:color="auto"/>
              <w:bottom w:val="single" w:sz="4" w:space="0" w:color="auto"/>
              <w:right w:val="single" w:sz="4" w:space="0" w:color="auto"/>
            </w:tcBorders>
            <w:vAlign w:val="center"/>
          </w:tcPr>
          <w:p w14:paraId="1E065453"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95</w:t>
            </w:r>
          </w:p>
        </w:tc>
      </w:tr>
      <w:tr w:rsidR="00E67914" w:rsidRPr="00E67914" w14:paraId="2D46BA31" w14:textId="77777777">
        <w:trPr>
          <w:trHeight w:val="454"/>
          <w:jc w:val="center"/>
        </w:trPr>
        <w:tc>
          <w:tcPr>
            <w:tcW w:w="2546" w:type="dxa"/>
            <w:tcBorders>
              <w:top w:val="single" w:sz="4" w:space="0" w:color="auto"/>
              <w:left w:val="single" w:sz="4" w:space="0" w:color="auto"/>
              <w:bottom w:val="single" w:sz="4" w:space="0" w:color="auto"/>
              <w:right w:val="single" w:sz="4" w:space="0" w:color="auto"/>
            </w:tcBorders>
            <w:vAlign w:val="center"/>
          </w:tcPr>
          <w:p w14:paraId="1ABF454B"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钻井设备</w:t>
            </w:r>
          </w:p>
        </w:tc>
        <w:tc>
          <w:tcPr>
            <w:tcW w:w="1417" w:type="dxa"/>
            <w:tcBorders>
              <w:top w:val="single" w:sz="4" w:space="0" w:color="auto"/>
              <w:left w:val="single" w:sz="4" w:space="0" w:color="auto"/>
              <w:bottom w:val="single" w:sz="4" w:space="0" w:color="auto"/>
              <w:right w:val="single" w:sz="4" w:space="0" w:color="auto"/>
            </w:tcBorders>
            <w:vAlign w:val="center"/>
          </w:tcPr>
          <w:p w14:paraId="36D21102"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w:t>
            </w:r>
            <w:r w:rsidRPr="00E67914">
              <w:rPr>
                <w:rFonts w:ascii="Times New Roman" w:hAnsi="Times New Roman"/>
                <w:kern w:val="2"/>
                <w:sz w:val="21"/>
              </w:rPr>
              <w:t>套运行</w:t>
            </w:r>
          </w:p>
        </w:tc>
        <w:tc>
          <w:tcPr>
            <w:tcW w:w="1135" w:type="dxa"/>
            <w:tcBorders>
              <w:top w:val="single" w:sz="4" w:space="0" w:color="auto"/>
              <w:left w:val="single" w:sz="4" w:space="0" w:color="auto"/>
              <w:bottom w:val="single" w:sz="4" w:space="0" w:color="auto"/>
              <w:right w:val="single" w:sz="4" w:space="0" w:color="auto"/>
            </w:tcBorders>
            <w:vAlign w:val="center"/>
          </w:tcPr>
          <w:p w14:paraId="33E34D7F"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103</w:t>
            </w:r>
          </w:p>
        </w:tc>
        <w:tc>
          <w:tcPr>
            <w:tcW w:w="993" w:type="dxa"/>
            <w:tcBorders>
              <w:top w:val="single" w:sz="4" w:space="0" w:color="auto"/>
              <w:left w:val="single" w:sz="4" w:space="0" w:color="auto"/>
              <w:bottom w:val="single" w:sz="4" w:space="0" w:color="auto"/>
              <w:right w:val="single" w:sz="4" w:space="0" w:color="auto"/>
            </w:tcBorders>
            <w:vAlign w:val="center"/>
          </w:tcPr>
          <w:p w14:paraId="3220DDD3"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1m</w:t>
            </w:r>
          </w:p>
        </w:tc>
        <w:tc>
          <w:tcPr>
            <w:tcW w:w="1701" w:type="dxa"/>
            <w:tcBorders>
              <w:top w:val="single" w:sz="4" w:space="0" w:color="auto"/>
              <w:left w:val="single" w:sz="4" w:space="0" w:color="auto"/>
              <w:bottom w:val="single" w:sz="4" w:space="0" w:color="auto"/>
              <w:right w:val="single" w:sz="4" w:space="0" w:color="auto"/>
            </w:tcBorders>
            <w:vAlign w:val="center"/>
          </w:tcPr>
          <w:p w14:paraId="31EAB594"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w:t>
            </w:r>
          </w:p>
        </w:tc>
        <w:tc>
          <w:tcPr>
            <w:tcW w:w="1268" w:type="dxa"/>
            <w:tcBorders>
              <w:top w:val="single" w:sz="4" w:space="0" w:color="auto"/>
              <w:left w:val="single" w:sz="4" w:space="0" w:color="auto"/>
              <w:bottom w:val="single" w:sz="4" w:space="0" w:color="auto"/>
              <w:right w:val="single" w:sz="4" w:space="0" w:color="auto"/>
            </w:tcBorders>
            <w:vAlign w:val="center"/>
          </w:tcPr>
          <w:p w14:paraId="1444C503"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98</w:t>
            </w:r>
          </w:p>
        </w:tc>
      </w:tr>
      <w:tr w:rsidR="00E67914" w:rsidRPr="00E67914" w14:paraId="2B53EFD0" w14:textId="77777777">
        <w:trPr>
          <w:trHeight w:val="454"/>
          <w:jc w:val="center"/>
        </w:trPr>
        <w:tc>
          <w:tcPr>
            <w:tcW w:w="2546" w:type="dxa"/>
            <w:tcBorders>
              <w:top w:val="single" w:sz="4" w:space="0" w:color="auto"/>
              <w:left w:val="single" w:sz="4" w:space="0" w:color="auto"/>
              <w:bottom w:val="single" w:sz="4" w:space="0" w:color="auto"/>
              <w:right w:val="single" w:sz="4" w:space="0" w:color="auto"/>
            </w:tcBorders>
            <w:vAlign w:val="center"/>
          </w:tcPr>
          <w:p w14:paraId="0D61A2D3"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泥浆泵</w:t>
            </w:r>
          </w:p>
        </w:tc>
        <w:tc>
          <w:tcPr>
            <w:tcW w:w="1417" w:type="dxa"/>
            <w:tcBorders>
              <w:top w:val="single" w:sz="4" w:space="0" w:color="auto"/>
              <w:left w:val="single" w:sz="4" w:space="0" w:color="auto"/>
              <w:bottom w:val="single" w:sz="4" w:space="0" w:color="auto"/>
              <w:right w:val="single" w:sz="4" w:space="0" w:color="auto"/>
            </w:tcBorders>
            <w:vAlign w:val="center"/>
          </w:tcPr>
          <w:p w14:paraId="75B034E4"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2</w:t>
            </w:r>
            <w:r w:rsidRPr="00E67914">
              <w:rPr>
                <w:rFonts w:ascii="Times New Roman" w:hAnsi="Times New Roman"/>
                <w:kern w:val="2"/>
                <w:sz w:val="21"/>
              </w:rPr>
              <w:t>台运行</w:t>
            </w:r>
          </w:p>
        </w:tc>
        <w:tc>
          <w:tcPr>
            <w:tcW w:w="1135" w:type="dxa"/>
            <w:tcBorders>
              <w:top w:val="single" w:sz="4" w:space="0" w:color="auto"/>
              <w:left w:val="single" w:sz="4" w:space="0" w:color="auto"/>
              <w:bottom w:val="single" w:sz="4" w:space="0" w:color="auto"/>
              <w:right w:val="single" w:sz="4" w:space="0" w:color="auto"/>
            </w:tcBorders>
            <w:vAlign w:val="center"/>
          </w:tcPr>
          <w:p w14:paraId="03EA1088"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90</w:t>
            </w:r>
          </w:p>
        </w:tc>
        <w:tc>
          <w:tcPr>
            <w:tcW w:w="993" w:type="dxa"/>
            <w:tcBorders>
              <w:top w:val="single" w:sz="4" w:space="0" w:color="auto"/>
              <w:left w:val="single" w:sz="4" w:space="0" w:color="auto"/>
              <w:bottom w:val="single" w:sz="4" w:space="0" w:color="auto"/>
              <w:right w:val="single" w:sz="4" w:space="0" w:color="auto"/>
            </w:tcBorders>
            <w:vAlign w:val="center"/>
          </w:tcPr>
          <w:p w14:paraId="4588F511"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1m</w:t>
            </w:r>
          </w:p>
        </w:tc>
        <w:tc>
          <w:tcPr>
            <w:tcW w:w="1701" w:type="dxa"/>
            <w:tcBorders>
              <w:top w:val="single" w:sz="4" w:space="0" w:color="auto"/>
              <w:left w:val="single" w:sz="4" w:space="0" w:color="auto"/>
              <w:bottom w:val="single" w:sz="4" w:space="0" w:color="auto"/>
              <w:right w:val="single" w:sz="4" w:space="0" w:color="auto"/>
            </w:tcBorders>
            <w:vAlign w:val="center"/>
          </w:tcPr>
          <w:p w14:paraId="322E67D7"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加衬弹性垫料</w:t>
            </w:r>
          </w:p>
        </w:tc>
        <w:tc>
          <w:tcPr>
            <w:tcW w:w="1268" w:type="dxa"/>
            <w:tcBorders>
              <w:top w:val="single" w:sz="4" w:space="0" w:color="auto"/>
              <w:left w:val="single" w:sz="4" w:space="0" w:color="auto"/>
              <w:bottom w:val="single" w:sz="4" w:space="0" w:color="auto"/>
              <w:right w:val="single" w:sz="4" w:space="0" w:color="auto"/>
            </w:tcBorders>
            <w:vAlign w:val="center"/>
          </w:tcPr>
          <w:p w14:paraId="395274B4"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85</w:t>
            </w:r>
          </w:p>
        </w:tc>
      </w:tr>
      <w:tr w:rsidR="00E67914" w:rsidRPr="00E67914" w14:paraId="5A8ECADB" w14:textId="77777777">
        <w:trPr>
          <w:trHeight w:val="454"/>
          <w:jc w:val="center"/>
        </w:trPr>
        <w:tc>
          <w:tcPr>
            <w:tcW w:w="2546" w:type="dxa"/>
            <w:tcBorders>
              <w:top w:val="single" w:sz="4" w:space="0" w:color="auto"/>
              <w:left w:val="single" w:sz="4" w:space="0" w:color="auto"/>
              <w:bottom w:val="single" w:sz="4" w:space="0" w:color="auto"/>
              <w:right w:val="single" w:sz="4" w:space="0" w:color="auto"/>
            </w:tcBorders>
            <w:vAlign w:val="center"/>
          </w:tcPr>
          <w:p w14:paraId="4E23D0E8"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振动筛</w:t>
            </w:r>
          </w:p>
        </w:tc>
        <w:tc>
          <w:tcPr>
            <w:tcW w:w="1417" w:type="dxa"/>
            <w:tcBorders>
              <w:top w:val="single" w:sz="4" w:space="0" w:color="auto"/>
              <w:left w:val="single" w:sz="4" w:space="0" w:color="auto"/>
              <w:bottom w:val="single" w:sz="4" w:space="0" w:color="auto"/>
              <w:right w:val="single" w:sz="4" w:space="0" w:color="auto"/>
            </w:tcBorders>
            <w:vAlign w:val="center"/>
          </w:tcPr>
          <w:p w14:paraId="4F124606"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2</w:t>
            </w:r>
            <w:r w:rsidRPr="00E67914">
              <w:rPr>
                <w:rFonts w:ascii="Times New Roman" w:hAnsi="Times New Roman"/>
                <w:kern w:val="2"/>
                <w:sz w:val="21"/>
              </w:rPr>
              <w:t>台运行</w:t>
            </w:r>
          </w:p>
        </w:tc>
        <w:tc>
          <w:tcPr>
            <w:tcW w:w="1135" w:type="dxa"/>
            <w:tcBorders>
              <w:top w:val="single" w:sz="4" w:space="0" w:color="auto"/>
              <w:left w:val="single" w:sz="4" w:space="0" w:color="auto"/>
              <w:bottom w:val="single" w:sz="4" w:space="0" w:color="auto"/>
              <w:right w:val="single" w:sz="4" w:space="0" w:color="auto"/>
            </w:tcBorders>
            <w:vAlign w:val="center"/>
          </w:tcPr>
          <w:p w14:paraId="0B1523AF"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85</w:t>
            </w:r>
          </w:p>
        </w:tc>
        <w:tc>
          <w:tcPr>
            <w:tcW w:w="993" w:type="dxa"/>
            <w:tcBorders>
              <w:top w:val="single" w:sz="4" w:space="0" w:color="auto"/>
              <w:left w:val="single" w:sz="4" w:space="0" w:color="auto"/>
              <w:bottom w:val="single" w:sz="4" w:space="0" w:color="auto"/>
              <w:right w:val="single" w:sz="4" w:space="0" w:color="auto"/>
            </w:tcBorders>
            <w:vAlign w:val="center"/>
          </w:tcPr>
          <w:p w14:paraId="45069956"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1m</w:t>
            </w:r>
          </w:p>
        </w:tc>
        <w:tc>
          <w:tcPr>
            <w:tcW w:w="1701" w:type="dxa"/>
            <w:tcBorders>
              <w:top w:val="single" w:sz="4" w:space="0" w:color="auto"/>
              <w:left w:val="single" w:sz="4" w:space="0" w:color="auto"/>
              <w:bottom w:val="single" w:sz="4" w:space="0" w:color="auto"/>
              <w:right w:val="single" w:sz="4" w:space="0" w:color="auto"/>
            </w:tcBorders>
            <w:vAlign w:val="center"/>
          </w:tcPr>
          <w:p w14:paraId="29354AE4"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加衬弹性垫料</w:t>
            </w:r>
          </w:p>
        </w:tc>
        <w:tc>
          <w:tcPr>
            <w:tcW w:w="1268" w:type="dxa"/>
            <w:tcBorders>
              <w:top w:val="single" w:sz="4" w:space="0" w:color="auto"/>
              <w:left w:val="single" w:sz="4" w:space="0" w:color="auto"/>
              <w:bottom w:val="single" w:sz="4" w:space="0" w:color="auto"/>
              <w:right w:val="single" w:sz="4" w:space="0" w:color="auto"/>
            </w:tcBorders>
            <w:vAlign w:val="center"/>
          </w:tcPr>
          <w:p w14:paraId="7C86CDB6" w14:textId="77777777" w:rsidR="00A54A8A" w:rsidRPr="00E67914" w:rsidRDefault="00000000">
            <w:pPr>
              <w:jc w:val="center"/>
              <w:rPr>
                <w:rFonts w:ascii="Times New Roman" w:hAnsi="Times New Roman"/>
                <w:kern w:val="2"/>
                <w:sz w:val="21"/>
              </w:rPr>
            </w:pPr>
            <w:r w:rsidRPr="00E67914">
              <w:rPr>
                <w:rFonts w:ascii="Times New Roman" w:hAnsi="Times New Roman"/>
                <w:kern w:val="2"/>
                <w:sz w:val="21"/>
              </w:rPr>
              <w:t>85</w:t>
            </w:r>
          </w:p>
        </w:tc>
      </w:tr>
    </w:tbl>
    <w:p w14:paraId="33092A9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）噪声预测方法及模式</w:t>
      </w:r>
    </w:p>
    <w:p w14:paraId="01B4E14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预测方法</w:t>
      </w:r>
    </w:p>
    <w:p w14:paraId="1333B15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本项目按照钻井过程中最大噪声影响情况，预测钻井平台场界和敏感点噪声值，并进行达标分析。</w:t>
      </w:r>
    </w:p>
    <w:p w14:paraId="41265DA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预测模式</w:t>
      </w:r>
    </w:p>
    <w:p w14:paraId="77E479E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预测时考虑声源在传播过程中经过距离衰减，采用《环境影响评价技术导则</w:t>
      </w:r>
      <w:r w:rsidRPr="00E67914">
        <w:rPr>
          <w:rFonts w:ascii="Times New Roman" w:hAnsi="Times New Roman"/>
          <w:sz w:val="24"/>
          <w:lang w:eastAsia="zh-CN"/>
        </w:rPr>
        <w:t xml:space="preserve"> </w:t>
      </w:r>
      <w:r w:rsidRPr="00E67914">
        <w:rPr>
          <w:rFonts w:ascii="Times New Roman" w:hAnsi="Times New Roman"/>
          <w:sz w:val="24"/>
          <w:lang w:eastAsia="zh-CN"/>
        </w:rPr>
        <w:t>声环境》（</w:t>
      </w:r>
      <w:r w:rsidRPr="00E67914">
        <w:rPr>
          <w:rFonts w:ascii="Times New Roman" w:hAnsi="Times New Roman"/>
          <w:sz w:val="24"/>
          <w:lang w:eastAsia="zh-CN"/>
        </w:rPr>
        <w:t>HJ2.4-2021</w:t>
      </w:r>
      <w:r w:rsidRPr="00E67914">
        <w:rPr>
          <w:rFonts w:ascii="Times New Roman" w:hAnsi="Times New Roman"/>
          <w:sz w:val="24"/>
          <w:lang w:eastAsia="zh-CN"/>
        </w:rPr>
        <w:t>）中的点声源几何发散衰减模式进行计算，预测模式如下：</w:t>
      </w:r>
    </w:p>
    <w:p w14:paraId="1324AA3F" w14:textId="77777777" w:rsidR="00A54A8A" w:rsidRPr="00E67914" w:rsidRDefault="00000000">
      <w:pPr>
        <w:ind w:firstLine="480"/>
        <w:rPr>
          <w:rFonts w:ascii="Times New Roman" w:hAnsi="Times New Roman"/>
          <w:bCs/>
          <w:kern w:val="2"/>
          <w:szCs w:val="32"/>
        </w:rPr>
      </w:pPr>
      <m:oMathPara>
        <m:oMath>
          <m:sSub>
            <m:sSubPr>
              <m:ctrlPr>
                <w:rPr>
                  <w:rFonts w:ascii="Cambria Math" w:hAnsi="Cambria Math"/>
                  <w:bCs/>
                  <w:i/>
                  <w:kern w:val="2"/>
                  <w:sz w:val="24"/>
                  <w:szCs w:val="24"/>
                </w:rPr>
              </m:ctrlPr>
            </m:sSubPr>
            <m:e>
              <m:r>
                <w:rPr>
                  <w:rFonts w:ascii="Cambria Math" w:hAnsi="Cambria Math"/>
                  <w:kern w:val="2"/>
                  <w:sz w:val="24"/>
                  <w:szCs w:val="24"/>
                </w:rPr>
                <m:t>L</m:t>
              </m:r>
            </m:e>
            <m:sub>
              <m:r>
                <w:rPr>
                  <w:rFonts w:ascii="Cambria Math" w:hAnsi="Cambria Math"/>
                  <w:kern w:val="2"/>
                  <w:sz w:val="24"/>
                  <w:szCs w:val="24"/>
                </w:rPr>
                <m:t>A</m:t>
              </m:r>
            </m:sub>
          </m:sSub>
          <m:r>
            <w:rPr>
              <w:rFonts w:ascii="Cambria Math" w:hAnsi="Cambria Math"/>
              <w:kern w:val="2"/>
              <w:sz w:val="24"/>
              <w:szCs w:val="24"/>
            </w:rPr>
            <m:t>（</m:t>
          </m:r>
          <m:r>
            <w:rPr>
              <w:rFonts w:ascii="Cambria Math" w:hAnsi="Cambria Math"/>
              <w:kern w:val="2"/>
              <w:sz w:val="24"/>
              <w:szCs w:val="24"/>
            </w:rPr>
            <m:t>r</m:t>
          </m:r>
          <m:r>
            <w:rPr>
              <w:rFonts w:ascii="Cambria Math" w:hAnsi="Cambria Math"/>
              <w:kern w:val="2"/>
              <w:sz w:val="24"/>
              <w:szCs w:val="24"/>
            </w:rPr>
            <m:t>）</m:t>
          </m:r>
          <m:r>
            <w:rPr>
              <w:rFonts w:ascii="Cambria Math" w:hAnsi="Cambria Math"/>
              <w:kern w:val="2"/>
              <w:sz w:val="24"/>
              <w:szCs w:val="24"/>
            </w:rPr>
            <m:t>=</m:t>
          </m:r>
          <m:sSub>
            <m:sSubPr>
              <m:ctrlPr>
                <w:rPr>
                  <w:rFonts w:ascii="Cambria Math" w:hAnsi="Cambria Math"/>
                  <w:bCs/>
                  <w:i/>
                  <w:kern w:val="2"/>
                  <w:sz w:val="24"/>
                  <w:szCs w:val="24"/>
                </w:rPr>
              </m:ctrlPr>
            </m:sSubPr>
            <m:e>
              <m:r>
                <w:rPr>
                  <w:rFonts w:ascii="Cambria Math" w:hAnsi="Cambria Math"/>
                  <w:kern w:val="2"/>
                  <w:sz w:val="24"/>
                  <w:szCs w:val="24"/>
                </w:rPr>
                <m:t>L</m:t>
              </m:r>
            </m:e>
            <m:sub>
              <m:r>
                <w:rPr>
                  <w:rFonts w:ascii="Cambria Math" w:hAnsi="Cambria Math"/>
                  <w:kern w:val="2"/>
                  <w:sz w:val="24"/>
                  <w:szCs w:val="24"/>
                </w:rPr>
                <m:t>A</m:t>
              </m:r>
            </m:sub>
          </m:sSub>
          <m:r>
            <w:rPr>
              <w:rFonts w:ascii="Cambria Math" w:hAnsi="Cambria Math"/>
              <w:kern w:val="2"/>
              <w:sz w:val="24"/>
              <w:szCs w:val="24"/>
            </w:rPr>
            <m:t>（</m:t>
          </m:r>
          <m:r>
            <w:rPr>
              <w:rFonts w:ascii="Cambria Math" w:hAnsi="Cambria Math"/>
              <w:kern w:val="2"/>
              <w:sz w:val="24"/>
              <w:szCs w:val="24"/>
            </w:rPr>
            <m:t>ro</m:t>
          </m:r>
          <m:r>
            <w:rPr>
              <w:rFonts w:ascii="Cambria Math" w:hAnsi="Cambria Math"/>
              <w:kern w:val="2"/>
              <w:sz w:val="24"/>
              <w:szCs w:val="24"/>
            </w:rPr>
            <m:t>）</m:t>
          </m:r>
          <m:r>
            <w:rPr>
              <w:rFonts w:ascii="Cambria Math" w:hAnsi="Cambria Math"/>
              <w:kern w:val="2"/>
              <w:sz w:val="24"/>
              <w:szCs w:val="24"/>
            </w:rPr>
            <m:t>-20</m:t>
          </m:r>
          <m:sSub>
            <m:sSubPr>
              <m:ctrlPr>
                <w:rPr>
                  <w:rFonts w:ascii="Cambria Math" w:hAnsi="Cambria Math"/>
                  <w:bCs/>
                  <w:i/>
                  <w:kern w:val="2"/>
                  <w:sz w:val="24"/>
                  <w:szCs w:val="24"/>
                </w:rPr>
              </m:ctrlPr>
            </m:sSubPr>
            <m:e>
              <m:r>
                <w:rPr>
                  <w:rFonts w:ascii="Cambria Math" w:hAnsi="Cambria Math"/>
                  <w:kern w:val="2"/>
                  <w:sz w:val="24"/>
                  <w:szCs w:val="24"/>
                </w:rPr>
                <m:t>L</m:t>
              </m:r>
            </m:e>
            <m:sub>
              <m:r>
                <w:rPr>
                  <w:rFonts w:ascii="Cambria Math" w:hAnsi="Cambria Math"/>
                  <w:kern w:val="2"/>
                  <w:sz w:val="24"/>
                  <w:szCs w:val="24"/>
                </w:rPr>
                <m:t>g</m:t>
              </m:r>
            </m:sub>
          </m:sSub>
          <m:d>
            <m:dPr>
              <m:ctrlPr>
                <w:rPr>
                  <w:rFonts w:ascii="Cambria Math" w:hAnsi="Cambria Math"/>
                  <w:bCs/>
                  <w:i/>
                  <w:kern w:val="2"/>
                  <w:sz w:val="24"/>
                  <w:szCs w:val="24"/>
                </w:rPr>
              </m:ctrlPr>
            </m:dPr>
            <m:e>
              <m:f>
                <m:fPr>
                  <m:type m:val="lin"/>
                  <m:ctrlPr>
                    <w:rPr>
                      <w:rFonts w:ascii="Cambria Math" w:hAnsi="Cambria Math"/>
                      <w:bCs/>
                      <w:i/>
                      <w:kern w:val="2"/>
                      <w:sz w:val="24"/>
                      <w:szCs w:val="24"/>
                    </w:rPr>
                  </m:ctrlPr>
                </m:fPr>
                <m:num>
                  <m:r>
                    <w:rPr>
                      <w:rFonts w:ascii="Cambria Math" w:hAnsi="Cambria Math"/>
                      <w:kern w:val="2"/>
                      <w:sz w:val="24"/>
                      <w:szCs w:val="24"/>
                    </w:rPr>
                    <m:t>r</m:t>
                  </m:r>
                </m:num>
                <m:den>
                  <m:sSub>
                    <m:sSubPr>
                      <m:ctrlPr>
                        <w:rPr>
                          <w:rFonts w:ascii="Cambria Math" w:hAnsi="Cambria Math"/>
                          <w:bCs/>
                          <w:i/>
                          <w:kern w:val="2"/>
                          <w:sz w:val="24"/>
                          <w:szCs w:val="24"/>
                        </w:rPr>
                      </m:ctrlPr>
                    </m:sSubPr>
                    <m:e>
                      <m:r>
                        <w:rPr>
                          <w:rFonts w:ascii="Cambria Math" w:hAnsi="Cambria Math"/>
                          <w:kern w:val="2"/>
                          <w:sz w:val="24"/>
                          <w:szCs w:val="24"/>
                        </w:rPr>
                        <m:t>r</m:t>
                      </m:r>
                    </m:e>
                    <m:sub>
                      <m:r>
                        <w:rPr>
                          <w:rFonts w:ascii="Cambria Math" w:hAnsi="Cambria Math"/>
                          <w:kern w:val="2"/>
                          <w:sz w:val="24"/>
                          <w:szCs w:val="24"/>
                        </w:rPr>
                        <m:t>o</m:t>
                      </m:r>
                    </m:sub>
                  </m:sSub>
                </m:den>
              </m:f>
            </m:e>
          </m:d>
          <m:r>
            <w:rPr>
              <w:rFonts w:ascii="Cambria Math" w:hAnsi="Cambria Math"/>
              <w:kern w:val="2"/>
              <w:sz w:val="24"/>
              <w:szCs w:val="24"/>
            </w:rPr>
            <m:t>-ΔL</m:t>
          </m:r>
        </m:oMath>
      </m:oMathPara>
    </w:p>
    <w:p w14:paraId="67D6238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式中：</w:t>
      </w:r>
    </w:p>
    <w:p w14:paraId="1D1CE61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L</w:t>
      </w:r>
      <w:r w:rsidRPr="00E67914">
        <w:rPr>
          <w:rFonts w:ascii="Times New Roman" w:hAnsi="Times New Roman"/>
          <w:sz w:val="24"/>
          <w:vertAlign w:val="subscript"/>
          <w:lang w:eastAsia="zh-CN"/>
        </w:rPr>
        <w:t>A</w:t>
      </w:r>
      <w:r w:rsidRPr="00E67914">
        <w:rPr>
          <w:rFonts w:ascii="Times New Roman" w:hAnsi="Times New Roman"/>
          <w:sz w:val="24"/>
          <w:lang w:eastAsia="zh-CN"/>
        </w:rPr>
        <w:t>（</w:t>
      </w:r>
      <w:r w:rsidRPr="00E67914">
        <w:rPr>
          <w:rFonts w:ascii="Times New Roman" w:hAnsi="Times New Roman"/>
          <w:sz w:val="24"/>
          <w:lang w:eastAsia="zh-CN"/>
        </w:rPr>
        <w:t>r</w:t>
      </w:r>
      <w:r w:rsidRPr="00E67914">
        <w:rPr>
          <w:rFonts w:ascii="Times New Roman" w:hAnsi="Times New Roman"/>
          <w:sz w:val="24"/>
          <w:lang w:eastAsia="zh-CN"/>
        </w:rPr>
        <w:t>）</w:t>
      </w:r>
      <w:r w:rsidRPr="00E67914">
        <w:rPr>
          <w:rFonts w:ascii="Times New Roman" w:hAnsi="Times New Roman"/>
          <w:sz w:val="24"/>
          <w:lang w:eastAsia="zh-CN"/>
        </w:rPr>
        <w:t>—</w:t>
      </w:r>
      <w:r w:rsidRPr="00E67914">
        <w:rPr>
          <w:rFonts w:ascii="Times New Roman" w:hAnsi="Times New Roman"/>
          <w:sz w:val="24"/>
          <w:lang w:eastAsia="zh-CN"/>
        </w:rPr>
        <w:t>距声源</w:t>
      </w:r>
      <w:r w:rsidRPr="00E67914">
        <w:rPr>
          <w:rFonts w:ascii="Times New Roman" w:hAnsi="Times New Roman"/>
          <w:sz w:val="24"/>
          <w:lang w:eastAsia="zh-CN"/>
        </w:rPr>
        <w:t>r</w:t>
      </w:r>
      <w:r w:rsidRPr="00E67914">
        <w:rPr>
          <w:rFonts w:ascii="Times New Roman" w:hAnsi="Times New Roman"/>
          <w:sz w:val="24"/>
          <w:lang w:eastAsia="zh-CN"/>
        </w:rPr>
        <w:t>处的施工噪声预测值，</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78B35B6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L</w:t>
      </w:r>
      <w:r w:rsidRPr="00E67914">
        <w:rPr>
          <w:rFonts w:ascii="Times New Roman" w:hAnsi="Times New Roman"/>
          <w:sz w:val="24"/>
          <w:vertAlign w:val="subscript"/>
          <w:lang w:eastAsia="zh-CN"/>
        </w:rPr>
        <w:t>A</w:t>
      </w:r>
      <w:r w:rsidRPr="00E67914">
        <w:rPr>
          <w:rFonts w:ascii="Times New Roman" w:hAnsi="Times New Roman"/>
          <w:sz w:val="24"/>
          <w:lang w:eastAsia="zh-CN"/>
        </w:rPr>
        <w:t>（</w:t>
      </w:r>
      <w:r w:rsidRPr="00E67914">
        <w:rPr>
          <w:rFonts w:ascii="Times New Roman" w:hAnsi="Times New Roman"/>
          <w:sz w:val="24"/>
          <w:lang w:eastAsia="zh-CN"/>
        </w:rPr>
        <w:t>r</w:t>
      </w:r>
      <w:r w:rsidRPr="00E67914">
        <w:rPr>
          <w:rFonts w:ascii="Times New Roman" w:hAnsi="Times New Roman"/>
          <w:sz w:val="24"/>
          <w:vertAlign w:val="subscript"/>
          <w:lang w:eastAsia="zh-CN"/>
        </w:rPr>
        <w:t>0</w:t>
      </w:r>
      <w:r w:rsidRPr="00E67914">
        <w:rPr>
          <w:rFonts w:ascii="Times New Roman" w:hAnsi="Times New Roman"/>
          <w:sz w:val="24"/>
          <w:lang w:eastAsia="zh-CN"/>
        </w:rPr>
        <w:t>）</w:t>
      </w:r>
      <w:r w:rsidRPr="00E67914">
        <w:rPr>
          <w:rFonts w:ascii="Times New Roman" w:hAnsi="Times New Roman"/>
          <w:sz w:val="24"/>
          <w:lang w:eastAsia="zh-CN"/>
        </w:rPr>
        <w:t>—</w:t>
      </w:r>
      <w:r w:rsidRPr="00E67914">
        <w:rPr>
          <w:rFonts w:ascii="Times New Roman" w:hAnsi="Times New Roman"/>
          <w:sz w:val="24"/>
          <w:lang w:eastAsia="zh-CN"/>
        </w:rPr>
        <w:t>距声源</w:t>
      </w:r>
      <w:r w:rsidRPr="00E67914">
        <w:rPr>
          <w:rFonts w:ascii="Times New Roman" w:hAnsi="Times New Roman"/>
          <w:sz w:val="24"/>
          <w:lang w:eastAsia="zh-CN"/>
        </w:rPr>
        <w:t>r0</w:t>
      </w:r>
      <w:r w:rsidRPr="00E67914">
        <w:rPr>
          <w:rFonts w:ascii="Times New Roman" w:hAnsi="Times New Roman"/>
          <w:sz w:val="24"/>
          <w:lang w:eastAsia="zh-CN"/>
        </w:rPr>
        <w:t>处的参考声压级，</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13C6DCA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r—</w:t>
      </w:r>
      <w:r w:rsidRPr="00E67914">
        <w:rPr>
          <w:rFonts w:ascii="Times New Roman" w:hAnsi="Times New Roman"/>
          <w:sz w:val="24"/>
          <w:lang w:eastAsia="zh-CN"/>
        </w:rPr>
        <w:t>预测点距声源的距离，</w:t>
      </w:r>
      <w:r w:rsidRPr="00E67914">
        <w:rPr>
          <w:rFonts w:ascii="Times New Roman" w:hAnsi="Times New Roman"/>
          <w:sz w:val="24"/>
          <w:lang w:eastAsia="zh-CN"/>
        </w:rPr>
        <w:t>m</w:t>
      </w:r>
      <w:r w:rsidRPr="00E67914">
        <w:rPr>
          <w:rFonts w:ascii="Times New Roman" w:hAnsi="Times New Roman"/>
          <w:sz w:val="24"/>
          <w:lang w:eastAsia="zh-CN"/>
        </w:rPr>
        <w:t>；</w:t>
      </w:r>
    </w:p>
    <w:p w14:paraId="4F0BE947"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r</w:t>
      </w:r>
      <w:r w:rsidRPr="00E67914">
        <w:rPr>
          <w:rFonts w:ascii="Times New Roman" w:hAnsi="Times New Roman"/>
          <w:sz w:val="24"/>
          <w:vertAlign w:val="subscript"/>
          <w:lang w:eastAsia="zh-CN"/>
        </w:rPr>
        <w:t>0</w:t>
      </w:r>
      <w:r w:rsidRPr="00E67914">
        <w:rPr>
          <w:rFonts w:ascii="Times New Roman" w:hAnsi="Times New Roman"/>
          <w:sz w:val="24"/>
          <w:lang w:eastAsia="zh-CN"/>
        </w:rPr>
        <w:t>—</w:t>
      </w:r>
      <w:r w:rsidRPr="00E67914">
        <w:rPr>
          <w:rFonts w:ascii="Times New Roman" w:hAnsi="Times New Roman"/>
          <w:sz w:val="24"/>
          <w:lang w:eastAsia="zh-CN"/>
        </w:rPr>
        <w:t>参考点距声源的距离，</w:t>
      </w:r>
      <w:r w:rsidRPr="00E67914">
        <w:rPr>
          <w:rFonts w:ascii="Times New Roman" w:hAnsi="Times New Roman"/>
          <w:sz w:val="24"/>
          <w:lang w:eastAsia="zh-CN"/>
        </w:rPr>
        <w:t>m</w:t>
      </w:r>
      <w:r w:rsidRPr="00E67914">
        <w:rPr>
          <w:rFonts w:ascii="Times New Roman" w:hAnsi="Times New Roman"/>
          <w:sz w:val="24"/>
          <w:lang w:eastAsia="zh-CN"/>
        </w:rPr>
        <w:t>。</w:t>
      </w:r>
    </w:p>
    <w:p w14:paraId="1701373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noProof/>
          <w:sz w:val="24"/>
          <w:lang w:eastAsia="zh-CN"/>
        </w:rPr>
        <w:drawing>
          <wp:inline distT="0" distB="0" distL="0" distR="0" wp14:anchorId="0F7A28D4" wp14:editId="5C7D02BD">
            <wp:extent cx="180975" cy="180975"/>
            <wp:effectExtent l="0" t="0" r="9525" b="9525"/>
            <wp:docPr id="670032246" name="图片 67003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32246" name="图片 6700322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sidRPr="00E67914">
        <w:rPr>
          <w:rFonts w:ascii="Times New Roman" w:hAnsi="Times New Roman"/>
          <w:sz w:val="24"/>
          <w:lang w:eastAsia="zh-CN"/>
        </w:rPr>
        <w:t>—</w:t>
      </w:r>
      <w:r w:rsidRPr="00E67914">
        <w:rPr>
          <w:rFonts w:ascii="Times New Roman" w:hAnsi="Times New Roman"/>
          <w:sz w:val="24"/>
          <w:lang w:eastAsia="zh-CN"/>
        </w:rPr>
        <w:t>各种衰减量（除发散衰减外），</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）。室外噪声源</w:t>
      </w:r>
      <w:r w:rsidRPr="00E67914">
        <w:rPr>
          <w:rFonts w:ascii="Times New Roman" w:hAnsi="Times New Roman"/>
          <w:noProof/>
          <w:sz w:val="24"/>
          <w:lang w:eastAsia="zh-CN"/>
        </w:rPr>
        <w:drawing>
          <wp:inline distT="0" distB="0" distL="0" distR="0" wp14:anchorId="42DEFB11" wp14:editId="7F529AA2">
            <wp:extent cx="180975" cy="180975"/>
            <wp:effectExtent l="0" t="0" r="9525" b="9525"/>
            <wp:docPr id="637849483" name="图片 63784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49483" name="图片 63784948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sidRPr="00E67914">
        <w:rPr>
          <w:rFonts w:ascii="Times New Roman" w:hAnsi="Times New Roman"/>
          <w:sz w:val="24"/>
          <w:lang w:eastAsia="zh-CN"/>
        </w:rPr>
        <w:t>取为零。</w:t>
      </w:r>
    </w:p>
    <w:p w14:paraId="24B0EEF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多个声源发出的噪声在同一受声点的共同影响，噪声在预测点处产生的等效声级贡献值叠加的计算公式如下：</w:t>
      </w:r>
    </w:p>
    <w:p w14:paraId="32CC1801" w14:textId="77777777" w:rsidR="00A54A8A" w:rsidRPr="00E67914" w:rsidRDefault="00000000">
      <w:pPr>
        <w:adjustRightInd w:val="0"/>
        <w:ind w:firstLine="480"/>
        <w:contextualSpacing/>
        <w:rPr>
          <w:rFonts w:ascii="Times New Roman" w:hAnsi="Times New Roman"/>
          <w:kern w:val="2"/>
          <w:szCs w:val="24"/>
        </w:rPr>
      </w:pPr>
      <w:r w:rsidRPr="00E67914">
        <w:rPr>
          <w:rFonts w:ascii="Times New Roman" w:hAnsi="Times New Roman"/>
          <w:noProof/>
          <w:kern w:val="2"/>
          <w:position w:val="-28"/>
          <w:szCs w:val="24"/>
        </w:rPr>
        <w:drawing>
          <wp:inline distT="0" distB="0" distL="0" distR="0" wp14:anchorId="1F03226E" wp14:editId="564C86E3">
            <wp:extent cx="1733550" cy="457200"/>
            <wp:effectExtent l="0" t="0" r="0" b="0"/>
            <wp:docPr id="551164088" name="图片 55116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64088" name="图片 55116408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1733550" cy="457200"/>
                    </a:xfrm>
                    <a:prstGeom prst="rect">
                      <a:avLst/>
                    </a:prstGeom>
                    <a:noFill/>
                    <a:ln>
                      <a:noFill/>
                    </a:ln>
                  </pic:spPr>
                </pic:pic>
              </a:graphicData>
            </a:graphic>
          </wp:inline>
        </w:drawing>
      </w:r>
    </w:p>
    <w:p w14:paraId="5AC1A08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式中：</w:t>
      </w:r>
    </w:p>
    <w:p w14:paraId="51381D6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Leqg—</w:t>
      </w:r>
      <w:r w:rsidRPr="00E67914">
        <w:rPr>
          <w:rFonts w:ascii="Times New Roman" w:hAnsi="Times New Roman"/>
          <w:sz w:val="24"/>
          <w:lang w:eastAsia="zh-CN"/>
        </w:rPr>
        <w:t>建设项目在预测点的等效声级贡献值，</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70CDDC4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LAi—i</w:t>
      </w:r>
      <w:r w:rsidRPr="00E67914">
        <w:rPr>
          <w:rFonts w:ascii="Times New Roman" w:hAnsi="Times New Roman"/>
          <w:sz w:val="24"/>
          <w:lang w:eastAsia="zh-CN"/>
        </w:rPr>
        <w:t>声源在预测点产生的</w:t>
      </w:r>
      <w:r w:rsidRPr="00E67914">
        <w:rPr>
          <w:rFonts w:ascii="Times New Roman" w:hAnsi="Times New Roman"/>
          <w:sz w:val="24"/>
          <w:lang w:eastAsia="zh-CN"/>
        </w:rPr>
        <w:t>A</w:t>
      </w:r>
      <w:r w:rsidRPr="00E67914">
        <w:rPr>
          <w:rFonts w:ascii="Times New Roman" w:hAnsi="Times New Roman"/>
          <w:sz w:val="24"/>
          <w:lang w:eastAsia="zh-CN"/>
        </w:rPr>
        <w:t>声级，</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2487748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T—</w:t>
      </w:r>
      <w:r w:rsidRPr="00E67914">
        <w:rPr>
          <w:rFonts w:ascii="Times New Roman" w:hAnsi="Times New Roman"/>
          <w:sz w:val="24"/>
          <w:lang w:eastAsia="zh-CN"/>
        </w:rPr>
        <w:t>预测计算的时间段，</w:t>
      </w:r>
      <w:r w:rsidRPr="00E67914">
        <w:rPr>
          <w:rFonts w:ascii="Times New Roman" w:hAnsi="Times New Roman"/>
          <w:sz w:val="24"/>
          <w:lang w:eastAsia="zh-CN"/>
        </w:rPr>
        <w:t>s</w:t>
      </w:r>
      <w:r w:rsidRPr="00E67914">
        <w:rPr>
          <w:rFonts w:ascii="Times New Roman" w:hAnsi="Times New Roman"/>
          <w:sz w:val="24"/>
          <w:lang w:eastAsia="zh-CN"/>
        </w:rPr>
        <w:t>；</w:t>
      </w:r>
    </w:p>
    <w:p w14:paraId="7B8EC48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ti—i</w:t>
      </w:r>
      <w:r w:rsidRPr="00E67914">
        <w:rPr>
          <w:rFonts w:ascii="Times New Roman" w:hAnsi="Times New Roman"/>
          <w:sz w:val="24"/>
          <w:lang w:eastAsia="zh-CN"/>
        </w:rPr>
        <w:t>声源在</w:t>
      </w:r>
      <w:r w:rsidRPr="00E67914">
        <w:rPr>
          <w:rFonts w:ascii="Times New Roman" w:hAnsi="Times New Roman"/>
          <w:sz w:val="24"/>
          <w:lang w:eastAsia="zh-CN"/>
        </w:rPr>
        <w:t>T</w:t>
      </w:r>
      <w:r w:rsidRPr="00E67914">
        <w:rPr>
          <w:rFonts w:ascii="Times New Roman" w:hAnsi="Times New Roman"/>
          <w:sz w:val="24"/>
          <w:lang w:eastAsia="zh-CN"/>
        </w:rPr>
        <w:t>时段内的运行时间，</w:t>
      </w:r>
      <w:r w:rsidRPr="00E67914">
        <w:rPr>
          <w:rFonts w:ascii="Times New Roman" w:hAnsi="Times New Roman"/>
          <w:sz w:val="24"/>
          <w:lang w:eastAsia="zh-CN"/>
        </w:rPr>
        <w:t>s</w:t>
      </w:r>
      <w:r w:rsidRPr="00E67914">
        <w:rPr>
          <w:rFonts w:ascii="Times New Roman" w:hAnsi="Times New Roman"/>
          <w:sz w:val="24"/>
          <w:lang w:eastAsia="zh-CN"/>
        </w:rPr>
        <w:t>。</w:t>
      </w:r>
    </w:p>
    <w:p w14:paraId="2F1716B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声源在敏感点处的贡献值叠加背景值即为该敏感点处噪声预测值，计算采用评价导则</w:t>
      </w:r>
      <w:r w:rsidRPr="00E67914">
        <w:rPr>
          <w:rFonts w:ascii="Times New Roman" w:hAnsi="Times New Roman"/>
          <w:sz w:val="24"/>
          <w:lang w:eastAsia="zh-CN"/>
        </w:rPr>
        <w:t>8.2.2</w:t>
      </w:r>
      <w:r w:rsidRPr="00E67914">
        <w:rPr>
          <w:rFonts w:ascii="Times New Roman" w:hAnsi="Times New Roman"/>
          <w:sz w:val="24"/>
          <w:lang w:eastAsia="zh-CN"/>
        </w:rPr>
        <w:t>中（</w:t>
      </w:r>
      <w:r w:rsidRPr="00E67914">
        <w:rPr>
          <w:rFonts w:ascii="Times New Roman" w:hAnsi="Times New Roman"/>
          <w:sz w:val="24"/>
          <w:lang w:eastAsia="zh-CN"/>
        </w:rPr>
        <w:t>2</w:t>
      </w:r>
      <w:r w:rsidRPr="00E67914">
        <w:rPr>
          <w:rFonts w:ascii="Times New Roman" w:hAnsi="Times New Roman"/>
          <w:sz w:val="24"/>
          <w:lang w:eastAsia="zh-CN"/>
        </w:rPr>
        <w:t>）式，公式为：</w:t>
      </w:r>
    </w:p>
    <w:p w14:paraId="23CF14AB" w14:textId="77777777" w:rsidR="00A54A8A" w:rsidRPr="00E67914" w:rsidRDefault="00000000">
      <w:pPr>
        <w:adjustRightInd w:val="0"/>
        <w:ind w:firstLine="480"/>
        <w:contextualSpacing/>
        <w:jc w:val="center"/>
        <w:rPr>
          <w:rFonts w:ascii="Times New Roman" w:hAnsi="Times New Roman"/>
          <w:kern w:val="2"/>
          <w:szCs w:val="24"/>
        </w:rPr>
      </w:pPr>
      <w:r w:rsidRPr="00E67914">
        <w:rPr>
          <w:rFonts w:ascii="Times New Roman" w:hAnsi="Times New Roman"/>
          <w:noProof/>
          <w:kern w:val="2"/>
          <w:position w:val="-12"/>
          <w:szCs w:val="24"/>
        </w:rPr>
        <w:drawing>
          <wp:inline distT="0" distB="0" distL="0" distR="0" wp14:anchorId="50DFA3C1" wp14:editId="2E9A1588">
            <wp:extent cx="2286000" cy="276225"/>
            <wp:effectExtent l="0" t="0" r="0" b="9525"/>
            <wp:docPr id="1788614019" name="图片 178861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14019" name="图片 17886140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286000" cy="276225"/>
                    </a:xfrm>
                    <a:prstGeom prst="rect">
                      <a:avLst/>
                    </a:prstGeom>
                    <a:noFill/>
                    <a:ln>
                      <a:noFill/>
                    </a:ln>
                  </pic:spPr>
                </pic:pic>
              </a:graphicData>
            </a:graphic>
          </wp:inline>
        </w:drawing>
      </w:r>
    </w:p>
    <w:p w14:paraId="5A58A1B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式中：</w:t>
      </w:r>
    </w:p>
    <w:p w14:paraId="1540A8C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Leqg—</w:t>
      </w:r>
      <w:r w:rsidRPr="00E67914">
        <w:rPr>
          <w:rFonts w:ascii="Times New Roman" w:hAnsi="Times New Roman"/>
          <w:sz w:val="24"/>
          <w:lang w:eastAsia="zh-CN"/>
        </w:rPr>
        <w:t>建设项目声源在预测点的等效声级贡献值，</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6C98603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Leqb—</w:t>
      </w:r>
      <w:r w:rsidRPr="00E67914">
        <w:rPr>
          <w:rFonts w:ascii="Times New Roman" w:hAnsi="Times New Roman"/>
          <w:sz w:val="24"/>
          <w:lang w:eastAsia="zh-CN"/>
        </w:rPr>
        <w:t>预测点的背景值，</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2CB104F7"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）场界噪声预测结果分析</w:t>
      </w:r>
    </w:p>
    <w:p w14:paraId="1E183480" w14:textId="58069FD9"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井场主要设备与站场边界位置关系见表</w:t>
      </w:r>
      <w:r w:rsidRPr="00E67914">
        <w:rPr>
          <w:rFonts w:ascii="Times New Roman" w:hAnsi="Times New Roman"/>
          <w:sz w:val="24"/>
          <w:lang w:eastAsia="zh-CN"/>
        </w:rPr>
        <w:t>5.1-</w:t>
      </w:r>
      <w:r w:rsidR="00CB4B0C" w:rsidRPr="00E67914">
        <w:rPr>
          <w:rFonts w:ascii="Times New Roman" w:hAnsi="Times New Roman"/>
          <w:sz w:val="24"/>
          <w:lang w:eastAsia="zh-CN"/>
        </w:rPr>
        <w:t>6</w:t>
      </w:r>
      <w:r w:rsidRPr="00E67914">
        <w:rPr>
          <w:rFonts w:ascii="Times New Roman" w:hAnsi="Times New Roman"/>
          <w:sz w:val="24"/>
          <w:lang w:eastAsia="zh-CN"/>
        </w:rPr>
        <w:t>，主要设备与站场边界位置关系示意图见图</w:t>
      </w:r>
      <w:r w:rsidRPr="00E67914">
        <w:rPr>
          <w:rFonts w:ascii="Times New Roman" w:hAnsi="Times New Roman"/>
          <w:sz w:val="24"/>
          <w:lang w:eastAsia="zh-CN"/>
        </w:rPr>
        <w:t>5.1-1</w:t>
      </w:r>
      <w:r w:rsidRPr="00E67914">
        <w:rPr>
          <w:rFonts w:ascii="Times New Roman" w:hAnsi="Times New Roman"/>
          <w:sz w:val="24"/>
          <w:lang w:eastAsia="zh-CN"/>
        </w:rPr>
        <w:t>。</w:t>
      </w:r>
    </w:p>
    <w:p w14:paraId="21A2D1E4" w14:textId="57CF994B"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lastRenderedPageBreak/>
        <w:t>表</w:t>
      </w:r>
      <w:r w:rsidRPr="00E67914">
        <w:rPr>
          <w:rFonts w:ascii="Times New Roman" w:eastAsia="黑体" w:hAnsi="Times New Roman"/>
          <w:sz w:val="21"/>
          <w:szCs w:val="21"/>
          <w:lang w:eastAsia="zh-CN"/>
        </w:rPr>
        <w:t>5.1-</w:t>
      </w:r>
      <w:r w:rsidR="00CB4B0C" w:rsidRPr="00E67914">
        <w:rPr>
          <w:rFonts w:ascii="Times New Roman" w:eastAsia="黑体" w:hAnsi="Times New Roman"/>
          <w:sz w:val="21"/>
          <w:szCs w:val="21"/>
          <w:lang w:eastAsia="zh-CN"/>
        </w:rPr>
        <w:t>6</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井场施工期主要噪声源源强调查清单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93"/>
        <w:gridCol w:w="1404"/>
        <w:gridCol w:w="1553"/>
        <w:gridCol w:w="790"/>
        <w:gridCol w:w="730"/>
        <w:gridCol w:w="734"/>
        <w:gridCol w:w="1263"/>
        <w:gridCol w:w="1055"/>
        <w:gridCol w:w="1038"/>
      </w:tblGrid>
      <w:tr w:rsidR="00E67914" w:rsidRPr="00E67914" w14:paraId="05936EFE" w14:textId="77777777">
        <w:trPr>
          <w:trHeight w:val="454"/>
        </w:trPr>
        <w:tc>
          <w:tcPr>
            <w:tcW w:w="272" w:type="pct"/>
            <w:vMerge w:val="restart"/>
            <w:vAlign w:val="center"/>
          </w:tcPr>
          <w:p w14:paraId="7E5AE4ED" w14:textId="77777777" w:rsidR="00A54A8A" w:rsidRPr="00E67914" w:rsidRDefault="00000000">
            <w:pPr>
              <w:adjustRightInd w:val="0"/>
              <w:snapToGrid w:val="0"/>
              <w:jc w:val="center"/>
              <w:rPr>
                <w:rFonts w:ascii="Times New Roman" w:eastAsia="黑体" w:hAnsi="Times New Roman"/>
                <w:sz w:val="21"/>
                <w:szCs w:val="21"/>
              </w:rPr>
            </w:pPr>
            <w:bookmarkStart w:id="136" w:name="_Hlk110091169"/>
            <w:r w:rsidRPr="00E67914">
              <w:rPr>
                <w:rFonts w:ascii="Times New Roman" w:eastAsia="黑体" w:hAnsi="Times New Roman"/>
                <w:sz w:val="21"/>
                <w:szCs w:val="21"/>
              </w:rPr>
              <w:t>序号</w:t>
            </w:r>
          </w:p>
        </w:tc>
        <w:tc>
          <w:tcPr>
            <w:tcW w:w="775" w:type="pct"/>
            <w:vMerge w:val="restart"/>
            <w:vAlign w:val="center"/>
          </w:tcPr>
          <w:p w14:paraId="000D54C8" w14:textId="77777777" w:rsidR="00A54A8A" w:rsidRPr="00E67914" w:rsidRDefault="00000000">
            <w:pPr>
              <w:adjustRightInd w:val="0"/>
              <w:snapToGrid w:val="0"/>
              <w:jc w:val="center"/>
              <w:rPr>
                <w:rFonts w:ascii="Times New Roman" w:eastAsia="黑体" w:hAnsi="Times New Roman"/>
                <w:sz w:val="21"/>
                <w:szCs w:val="21"/>
              </w:rPr>
            </w:pPr>
            <w:r w:rsidRPr="00E67914">
              <w:rPr>
                <w:rFonts w:ascii="Times New Roman" w:eastAsia="黑体" w:hAnsi="Times New Roman"/>
                <w:sz w:val="21"/>
                <w:szCs w:val="21"/>
              </w:rPr>
              <w:t>声源名称</w:t>
            </w:r>
          </w:p>
        </w:tc>
        <w:tc>
          <w:tcPr>
            <w:tcW w:w="857" w:type="pct"/>
            <w:vMerge w:val="restart"/>
            <w:vAlign w:val="center"/>
          </w:tcPr>
          <w:p w14:paraId="1A7A39BA" w14:textId="77777777" w:rsidR="00A54A8A" w:rsidRPr="00E67914" w:rsidRDefault="00000000">
            <w:pPr>
              <w:adjustRightInd w:val="0"/>
              <w:snapToGrid w:val="0"/>
              <w:jc w:val="center"/>
              <w:rPr>
                <w:rFonts w:ascii="Times New Roman" w:eastAsia="黑体" w:hAnsi="Times New Roman"/>
                <w:sz w:val="21"/>
                <w:szCs w:val="21"/>
              </w:rPr>
            </w:pPr>
            <w:r w:rsidRPr="00E67914">
              <w:rPr>
                <w:rFonts w:ascii="Times New Roman" w:eastAsia="黑体" w:hAnsi="Times New Roman"/>
                <w:sz w:val="21"/>
                <w:szCs w:val="21"/>
              </w:rPr>
              <w:t>型号</w:t>
            </w:r>
          </w:p>
        </w:tc>
        <w:tc>
          <w:tcPr>
            <w:tcW w:w="1244" w:type="pct"/>
            <w:gridSpan w:val="3"/>
            <w:vAlign w:val="center"/>
          </w:tcPr>
          <w:p w14:paraId="5E054978" w14:textId="77777777" w:rsidR="00A54A8A" w:rsidRPr="00E67914" w:rsidRDefault="00000000">
            <w:pPr>
              <w:adjustRightInd w:val="0"/>
              <w:snapToGrid w:val="0"/>
              <w:jc w:val="center"/>
              <w:rPr>
                <w:rFonts w:ascii="Times New Roman" w:eastAsia="黑体" w:hAnsi="Times New Roman"/>
                <w:sz w:val="21"/>
                <w:szCs w:val="21"/>
              </w:rPr>
            </w:pPr>
            <w:r w:rsidRPr="00E67914">
              <w:rPr>
                <w:rFonts w:ascii="Times New Roman" w:eastAsia="黑体" w:hAnsi="Times New Roman"/>
                <w:sz w:val="21"/>
                <w:szCs w:val="21"/>
              </w:rPr>
              <w:t>空间相对位置</w:t>
            </w:r>
            <w:r w:rsidRPr="00E67914">
              <w:rPr>
                <w:rFonts w:ascii="Times New Roman" w:eastAsia="黑体" w:hAnsi="Times New Roman"/>
                <w:sz w:val="21"/>
                <w:szCs w:val="21"/>
              </w:rPr>
              <w:t>/m</w:t>
            </w:r>
          </w:p>
        </w:tc>
        <w:tc>
          <w:tcPr>
            <w:tcW w:w="697" w:type="pct"/>
            <w:vMerge w:val="restart"/>
            <w:vAlign w:val="center"/>
          </w:tcPr>
          <w:p w14:paraId="0BE0713C" w14:textId="77777777"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声源源强（</w:t>
            </w:r>
            <w:r w:rsidRPr="00E67914">
              <w:rPr>
                <w:rFonts w:ascii="Times New Roman" w:eastAsia="黑体" w:hAnsi="Times New Roman"/>
                <w:sz w:val="21"/>
                <w:szCs w:val="21"/>
                <w:lang w:eastAsia="zh-CN"/>
              </w:rPr>
              <w:t>dB</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A</w:t>
            </w:r>
            <w:r w:rsidRPr="00E67914">
              <w:rPr>
                <w:rFonts w:ascii="Times New Roman" w:eastAsia="黑体" w:hAnsi="Times New Roman"/>
                <w:sz w:val="21"/>
                <w:szCs w:val="21"/>
                <w:lang w:eastAsia="zh-CN"/>
              </w:rPr>
              <w:t>）</w:t>
            </w:r>
            <w:r w:rsidRPr="00E67914">
              <w:rPr>
                <w:rFonts w:ascii="Times New Roman" w:eastAsia="黑体" w:hAnsi="Times New Roman"/>
                <w:sz w:val="21"/>
                <w:szCs w:val="21"/>
                <w:lang w:eastAsia="zh-CN"/>
              </w:rPr>
              <w:t>/1m</w:t>
            </w:r>
            <w:r w:rsidRPr="00E67914">
              <w:rPr>
                <w:rFonts w:ascii="Times New Roman" w:eastAsia="黑体" w:hAnsi="Times New Roman"/>
                <w:sz w:val="21"/>
                <w:szCs w:val="21"/>
                <w:lang w:eastAsia="zh-CN"/>
              </w:rPr>
              <w:t>）</w:t>
            </w:r>
          </w:p>
        </w:tc>
        <w:tc>
          <w:tcPr>
            <w:tcW w:w="582" w:type="pct"/>
            <w:vMerge w:val="restart"/>
            <w:vAlign w:val="center"/>
          </w:tcPr>
          <w:p w14:paraId="3C64B6A1" w14:textId="77777777" w:rsidR="00A54A8A" w:rsidRPr="00E67914" w:rsidRDefault="00000000">
            <w:pPr>
              <w:adjustRightInd w:val="0"/>
              <w:snapToGrid w:val="0"/>
              <w:jc w:val="center"/>
              <w:rPr>
                <w:rFonts w:ascii="Times New Roman" w:eastAsia="黑体" w:hAnsi="Times New Roman"/>
                <w:sz w:val="21"/>
                <w:szCs w:val="21"/>
              </w:rPr>
            </w:pPr>
            <w:r w:rsidRPr="00E67914">
              <w:rPr>
                <w:rFonts w:ascii="Times New Roman" w:eastAsia="黑体" w:hAnsi="Times New Roman"/>
                <w:sz w:val="21"/>
                <w:szCs w:val="21"/>
              </w:rPr>
              <w:t>声源控制措施</w:t>
            </w:r>
          </w:p>
        </w:tc>
        <w:tc>
          <w:tcPr>
            <w:tcW w:w="573" w:type="pct"/>
            <w:vMerge w:val="restart"/>
            <w:vAlign w:val="center"/>
          </w:tcPr>
          <w:p w14:paraId="7EBF224A" w14:textId="77777777" w:rsidR="00A54A8A" w:rsidRPr="00E67914" w:rsidRDefault="00000000">
            <w:pPr>
              <w:adjustRightInd w:val="0"/>
              <w:snapToGrid w:val="0"/>
              <w:jc w:val="center"/>
              <w:rPr>
                <w:rFonts w:ascii="Times New Roman" w:eastAsia="黑体" w:hAnsi="Times New Roman"/>
                <w:sz w:val="21"/>
                <w:szCs w:val="21"/>
              </w:rPr>
            </w:pPr>
            <w:r w:rsidRPr="00E67914">
              <w:rPr>
                <w:rFonts w:ascii="Times New Roman" w:eastAsia="黑体" w:hAnsi="Times New Roman"/>
                <w:sz w:val="21"/>
                <w:szCs w:val="21"/>
              </w:rPr>
              <w:t>运行时段</w:t>
            </w:r>
          </w:p>
        </w:tc>
      </w:tr>
      <w:tr w:rsidR="00E67914" w:rsidRPr="00E67914" w14:paraId="53C29F3D" w14:textId="77777777">
        <w:trPr>
          <w:trHeight w:val="454"/>
        </w:trPr>
        <w:tc>
          <w:tcPr>
            <w:tcW w:w="272" w:type="pct"/>
            <w:vMerge/>
            <w:vAlign w:val="center"/>
          </w:tcPr>
          <w:p w14:paraId="0415AE5D" w14:textId="77777777" w:rsidR="00A54A8A" w:rsidRPr="00E67914" w:rsidRDefault="00A54A8A">
            <w:pPr>
              <w:adjustRightInd w:val="0"/>
              <w:snapToGrid w:val="0"/>
              <w:jc w:val="center"/>
              <w:rPr>
                <w:rFonts w:ascii="Times New Roman" w:hAnsi="Times New Roman"/>
                <w:sz w:val="21"/>
                <w:szCs w:val="21"/>
              </w:rPr>
            </w:pPr>
          </w:p>
        </w:tc>
        <w:tc>
          <w:tcPr>
            <w:tcW w:w="775" w:type="pct"/>
            <w:vMerge/>
            <w:vAlign w:val="center"/>
          </w:tcPr>
          <w:p w14:paraId="4ECEE014" w14:textId="77777777" w:rsidR="00A54A8A" w:rsidRPr="00E67914" w:rsidRDefault="00A54A8A">
            <w:pPr>
              <w:adjustRightInd w:val="0"/>
              <w:snapToGrid w:val="0"/>
              <w:jc w:val="center"/>
              <w:rPr>
                <w:rFonts w:ascii="Times New Roman" w:hAnsi="Times New Roman"/>
                <w:sz w:val="21"/>
                <w:szCs w:val="21"/>
              </w:rPr>
            </w:pPr>
          </w:p>
        </w:tc>
        <w:tc>
          <w:tcPr>
            <w:tcW w:w="857" w:type="pct"/>
            <w:vMerge/>
            <w:vAlign w:val="center"/>
          </w:tcPr>
          <w:p w14:paraId="7177453E" w14:textId="77777777" w:rsidR="00A54A8A" w:rsidRPr="00E67914" w:rsidRDefault="00A54A8A">
            <w:pPr>
              <w:adjustRightInd w:val="0"/>
              <w:snapToGrid w:val="0"/>
              <w:jc w:val="center"/>
              <w:rPr>
                <w:rFonts w:ascii="Times New Roman" w:hAnsi="Times New Roman"/>
                <w:sz w:val="21"/>
                <w:szCs w:val="21"/>
              </w:rPr>
            </w:pPr>
          </w:p>
        </w:tc>
        <w:tc>
          <w:tcPr>
            <w:tcW w:w="436" w:type="pct"/>
            <w:vAlign w:val="center"/>
          </w:tcPr>
          <w:p w14:paraId="07A83D8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X</w:t>
            </w:r>
          </w:p>
        </w:tc>
        <w:tc>
          <w:tcPr>
            <w:tcW w:w="403" w:type="pct"/>
            <w:vAlign w:val="center"/>
          </w:tcPr>
          <w:p w14:paraId="5C4D545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Y</w:t>
            </w:r>
          </w:p>
        </w:tc>
        <w:tc>
          <w:tcPr>
            <w:tcW w:w="405" w:type="pct"/>
            <w:vAlign w:val="center"/>
          </w:tcPr>
          <w:p w14:paraId="1DAA31F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Z</w:t>
            </w:r>
          </w:p>
        </w:tc>
        <w:tc>
          <w:tcPr>
            <w:tcW w:w="697" w:type="pct"/>
            <w:vMerge/>
            <w:vAlign w:val="center"/>
          </w:tcPr>
          <w:p w14:paraId="254C1485" w14:textId="77777777" w:rsidR="00A54A8A" w:rsidRPr="00E67914" w:rsidRDefault="00A54A8A">
            <w:pPr>
              <w:adjustRightInd w:val="0"/>
              <w:snapToGrid w:val="0"/>
              <w:jc w:val="center"/>
              <w:rPr>
                <w:rFonts w:ascii="Times New Roman" w:hAnsi="Times New Roman"/>
                <w:sz w:val="21"/>
                <w:szCs w:val="21"/>
              </w:rPr>
            </w:pPr>
          </w:p>
        </w:tc>
        <w:tc>
          <w:tcPr>
            <w:tcW w:w="582" w:type="pct"/>
            <w:vMerge/>
            <w:vAlign w:val="center"/>
          </w:tcPr>
          <w:p w14:paraId="72BBFDD7" w14:textId="77777777" w:rsidR="00A54A8A" w:rsidRPr="00E67914" w:rsidRDefault="00A54A8A">
            <w:pPr>
              <w:adjustRightInd w:val="0"/>
              <w:snapToGrid w:val="0"/>
              <w:jc w:val="center"/>
              <w:rPr>
                <w:rFonts w:ascii="Times New Roman" w:hAnsi="Times New Roman"/>
                <w:sz w:val="21"/>
                <w:szCs w:val="21"/>
              </w:rPr>
            </w:pPr>
          </w:p>
        </w:tc>
        <w:tc>
          <w:tcPr>
            <w:tcW w:w="573" w:type="pct"/>
            <w:vMerge/>
            <w:vAlign w:val="center"/>
          </w:tcPr>
          <w:p w14:paraId="310624E8" w14:textId="77777777" w:rsidR="00A54A8A" w:rsidRPr="00E67914" w:rsidRDefault="00A54A8A">
            <w:pPr>
              <w:adjustRightInd w:val="0"/>
              <w:snapToGrid w:val="0"/>
              <w:jc w:val="center"/>
              <w:rPr>
                <w:rFonts w:ascii="Times New Roman" w:hAnsi="Times New Roman"/>
                <w:sz w:val="21"/>
                <w:szCs w:val="21"/>
              </w:rPr>
            </w:pPr>
          </w:p>
        </w:tc>
      </w:tr>
      <w:tr w:rsidR="00E67914" w:rsidRPr="00E67914" w14:paraId="2D1C3613" w14:textId="77777777">
        <w:trPr>
          <w:trHeight w:val="454"/>
        </w:trPr>
        <w:tc>
          <w:tcPr>
            <w:tcW w:w="272" w:type="pct"/>
            <w:vAlign w:val="center"/>
          </w:tcPr>
          <w:p w14:paraId="6C63C185"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775" w:type="pct"/>
            <w:vAlign w:val="center"/>
          </w:tcPr>
          <w:p w14:paraId="4A040DC4"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钻机</w:t>
            </w:r>
            <w:r w:rsidRPr="00E67914">
              <w:rPr>
                <w:rFonts w:ascii="Times New Roman" w:hAnsi="Times New Roman"/>
                <w:sz w:val="21"/>
                <w:szCs w:val="21"/>
              </w:rPr>
              <w:t>1</w:t>
            </w:r>
          </w:p>
        </w:tc>
        <w:tc>
          <w:tcPr>
            <w:tcW w:w="857" w:type="pct"/>
            <w:vAlign w:val="center"/>
          </w:tcPr>
          <w:p w14:paraId="1890FB30"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ZJ50</w:t>
            </w:r>
          </w:p>
        </w:tc>
        <w:tc>
          <w:tcPr>
            <w:tcW w:w="436" w:type="pct"/>
            <w:vAlign w:val="center"/>
          </w:tcPr>
          <w:p w14:paraId="0D0111E5" w14:textId="1F6C05BF"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-1.63</w:t>
            </w:r>
          </w:p>
        </w:tc>
        <w:tc>
          <w:tcPr>
            <w:tcW w:w="403" w:type="pct"/>
            <w:vAlign w:val="center"/>
          </w:tcPr>
          <w:p w14:paraId="7D182D2B" w14:textId="0E25358D"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65.40</w:t>
            </w:r>
          </w:p>
        </w:tc>
        <w:tc>
          <w:tcPr>
            <w:tcW w:w="405" w:type="pct"/>
            <w:vAlign w:val="center"/>
          </w:tcPr>
          <w:p w14:paraId="2389C68E"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2.5</w:t>
            </w:r>
          </w:p>
        </w:tc>
        <w:tc>
          <w:tcPr>
            <w:tcW w:w="697" w:type="pct"/>
            <w:vAlign w:val="center"/>
          </w:tcPr>
          <w:p w14:paraId="7792F9D8"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98</w:t>
            </w:r>
          </w:p>
        </w:tc>
        <w:tc>
          <w:tcPr>
            <w:tcW w:w="582" w:type="pct"/>
            <w:vMerge w:val="restart"/>
            <w:vAlign w:val="center"/>
          </w:tcPr>
          <w:p w14:paraId="5C87BF84" w14:textId="77777777" w:rsidR="00707722" w:rsidRPr="00E67914" w:rsidRDefault="00707722" w:rsidP="00707722">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置于钻井井场内，基础安装减振垫层</w:t>
            </w:r>
          </w:p>
        </w:tc>
        <w:tc>
          <w:tcPr>
            <w:tcW w:w="573" w:type="pct"/>
            <w:vAlign w:val="center"/>
          </w:tcPr>
          <w:p w14:paraId="5ECB0218"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r>
      <w:tr w:rsidR="00E67914" w:rsidRPr="00E67914" w14:paraId="3BDE7658" w14:textId="77777777">
        <w:trPr>
          <w:trHeight w:val="454"/>
        </w:trPr>
        <w:tc>
          <w:tcPr>
            <w:tcW w:w="272" w:type="pct"/>
            <w:vAlign w:val="center"/>
          </w:tcPr>
          <w:p w14:paraId="2E534B33"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2</w:t>
            </w:r>
          </w:p>
        </w:tc>
        <w:tc>
          <w:tcPr>
            <w:tcW w:w="775" w:type="pct"/>
            <w:vAlign w:val="center"/>
          </w:tcPr>
          <w:p w14:paraId="4C78A444"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泥浆泵</w:t>
            </w:r>
            <w:r w:rsidRPr="00E67914">
              <w:rPr>
                <w:rFonts w:ascii="Times New Roman" w:hAnsi="Times New Roman"/>
                <w:sz w:val="21"/>
                <w:szCs w:val="21"/>
              </w:rPr>
              <w:t>1</w:t>
            </w:r>
          </w:p>
        </w:tc>
        <w:tc>
          <w:tcPr>
            <w:tcW w:w="857" w:type="pct"/>
            <w:vAlign w:val="center"/>
          </w:tcPr>
          <w:p w14:paraId="4B429C25"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436" w:type="pct"/>
            <w:vAlign w:val="center"/>
          </w:tcPr>
          <w:p w14:paraId="556D104E" w14:textId="44840870"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30.89</w:t>
            </w:r>
          </w:p>
        </w:tc>
        <w:tc>
          <w:tcPr>
            <w:tcW w:w="403" w:type="pct"/>
            <w:vAlign w:val="center"/>
          </w:tcPr>
          <w:p w14:paraId="54176A82" w14:textId="18447C98"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94.30</w:t>
            </w:r>
          </w:p>
        </w:tc>
        <w:tc>
          <w:tcPr>
            <w:tcW w:w="405" w:type="pct"/>
            <w:vAlign w:val="center"/>
          </w:tcPr>
          <w:p w14:paraId="215DE5D4"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3.0</w:t>
            </w:r>
          </w:p>
        </w:tc>
        <w:tc>
          <w:tcPr>
            <w:tcW w:w="697" w:type="pct"/>
            <w:vAlign w:val="center"/>
          </w:tcPr>
          <w:p w14:paraId="2A46BF5F"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85</w:t>
            </w:r>
          </w:p>
        </w:tc>
        <w:tc>
          <w:tcPr>
            <w:tcW w:w="582" w:type="pct"/>
            <w:vMerge/>
            <w:vAlign w:val="center"/>
          </w:tcPr>
          <w:p w14:paraId="772872AE" w14:textId="77777777" w:rsidR="00707722" w:rsidRPr="00E67914" w:rsidRDefault="00707722" w:rsidP="00707722">
            <w:pPr>
              <w:adjustRightInd w:val="0"/>
              <w:snapToGrid w:val="0"/>
              <w:rPr>
                <w:rFonts w:ascii="Times New Roman" w:hAnsi="Times New Roman"/>
                <w:sz w:val="21"/>
                <w:szCs w:val="21"/>
              </w:rPr>
            </w:pPr>
          </w:p>
        </w:tc>
        <w:tc>
          <w:tcPr>
            <w:tcW w:w="573" w:type="pct"/>
            <w:vAlign w:val="center"/>
          </w:tcPr>
          <w:p w14:paraId="65C46EE0"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r>
      <w:tr w:rsidR="00E67914" w:rsidRPr="00E67914" w14:paraId="395B4B00" w14:textId="77777777">
        <w:trPr>
          <w:trHeight w:val="454"/>
        </w:trPr>
        <w:tc>
          <w:tcPr>
            <w:tcW w:w="272" w:type="pct"/>
            <w:vAlign w:val="center"/>
          </w:tcPr>
          <w:p w14:paraId="606EE82E"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3</w:t>
            </w:r>
          </w:p>
        </w:tc>
        <w:tc>
          <w:tcPr>
            <w:tcW w:w="775" w:type="pct"/>
            <w:vAlign w:val="center"/>
          </w:tcPr>
          <w:p w14:paraId="19CE213A"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泥浆泵</w:t>
            </w:r>
            <w:r w:rsidRPr="00E67914">
              <w:rPr>
                <w:rFonts w:ascii="Times New Roman" w:hAnsi="Times New Roman"/>
                <w:sz w:val="21"/>
                <w:szCs w:val="21"/>
              </w:rPr>
              <w:t>2</w:t>
            </w:r>
          </w:p>
        </w:tc>
        <w:tc>
          <w:tcPr>
            <w:tcW w:w="857" w:type="pct"/>
            <w:vAlign w:val="center"/>
          </w:tcPr>
          <w:p w14:paraId="13DD72DC"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436" w:type="pct"/>
            <w:vAlign w:val="center"/>
          </w:tcPr>
          <w:p w14:paraId="318C0BA8" w14:textId="6F893D47"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35.41</w:t>
            </w:r>
          </w:p>
        </w:tc>
        <w:tc>
          <w:tcPr>
            <w:tcW w:w="403" w:type="pct"/>
            <w:vAlign w:val="center"/>
          </w:tcPr>
          <w:p w14:paraId="64A80C89" w14:textId="45B4D99E"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105.59</w:t>
            </w:r>
          </w:p>
        </w:tc>
        <w:tc>
          <w:tcPr>
            <w:tcW w:w="405" w:type="pct"/>
            <w:vAlign w:val="center"/>
          </w:tcPr>
          <w:p w14:paraId="1DF5E22D"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3.0</w:t>
            </w:r>
          </w:p>
        </w:tc>
        <w:tc>
          <w:tcPr>
            <w:tcW w:w="697" w:type="pct"/>
            <w:vAlign w:val="center"/>
          </w:tcPr>
          <w:p w14:paraId="7CF29C3B"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85</w:t>
            </w:r>
          </w:p>
        </w:tc>
        <w:tc>
          <w:tcPr>
            <w:tcW w:w="582" w:type="pct"/>
            <w:vMerge/>
            <w:vAlign w:val="center"/>
          </w:tcPr>
          <w:p w14:paraId="02607302" w14:textId="77777777" w:rsidR="00707722" w:rsidRPr="00E67914" w:rsidRDefault="00707722" w:rsidP="00707722">
            <w:pPr>
              <w:adjustRightInd w:val="0"/>
              <w:snapToGrid w:val="0"/>
              <w:rPr>
                <w:rFonts w:ascii="Times New Roman" w:hAnsi="Times New Roman"/>
                <w:sz w:val="21"/>
                <w:szCs w:val="21"/>
              </w:rPr>
            </w:pPr>
          </w:p>
        </w:tc>
        <w:tc>
          <w:tcPr>
            <w:tcW w:w="573" w:type="pct"/>
            <w:vAlign w:val="center"/>
          </w:tcPr>
          <w:p w14:paraId="4928B2AC"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r>
      <w:tr w:rsidR="00E67914" w:rsidRPr="00E67914" w14:paraId="2D5D93CF" w14:textId="77777777">
        <w:trPr>
          <w:trHeight w:val="454"/>
        </w:trPr>
        <w:tc>
          <w:tcPr>
            <w:tcW w:w="272" w:type="pct"/>
            <w:vAlign w:val="center"/>
          </w:tcPr>
          <w:p w14:paraId="7E5919A9"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4</w:t>
            </w:r>
          </w:p>
        </w:tc>
        <w:tc>
          <w:tcPr>
            <w:tcW w:w="775" w:type="pct"/>
            <w:vAlign w:val="center"/>
          </w:tcPr>
          <w:p w14:paraId="3B3A605B"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振动筛</w:t>
            </w:r>
            <w:r w:rsidRPr="00E67914">
              <w:rPr>
                <w:rFonts w:ascii="Times New Roman" w:hAnsi="Times New Roman"/>
                <w:sz w:val="21"/>
                <w:szCs w:val="21"/>
              </w:rPr>
              <w:t>1</w:t>
            </w:r>
          </w:p>
        </w:tc>
        <w:tc>
          <w:tcPr>
            <w:tcW w:w="857" w:type="pct"/>
            <w:vAlign w:val="center"/>
          </w:tcPr>
          <w:p w14:paraId="498F558E"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5.5kW</w:t>
            </w:r>
          </w:p>
        </w:tc>
        <w:tc>
          <w:tcPr>
            <w:tcW w:w="436" w:type="pct"/>
            <w:vAlign w:val="center"/>
          </w:tcPr>
          <w:p w14:paraId="1AD201E7" w14:textId="786B008A"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34.03</w:t>
            </w:r>
          </w:p>
        </w:tc>
        <w:tc>
          <w:tcPr>
            <w:tcW w:w="403" w:type="pct"/>
            <w:vAlign w:val="center"/>
          </w:tcPr>
          <w:p w14:paraId="059FC22E" w14:textId="2167190E"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92.76</w:t>
            </w:r>
          </w:p>
        </w:tc>
        <w:tc>
          <w:tcPr>
            <w:tcW w:w="405" w:type="pct"/>
            <w:vAlign w:val="center"/>
          </w:tcPr>
          <w:p w14:paraId="5CE90838"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2.5</w:t>
            </w:r>
          </w:p>
        </w:tc>
        <w:tc>
          <w:tcPr>
            <w:tcW w:w="697" w:type="pct"/>
            <w:vAlign w:val="center"/>
          </w:tcPr>
          <w:p w14:paraId="72ED3E4F"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85</w:t>
            </w:r>
          </w:p>
        </w:tc>
        <w:tc>
          <w:tcPr>
            <w:tcW w:w="582" w:type="pct"/>
            <w:vMerge/>
            <w:vAlign w:val="center"/>
          </w:tcPr>
          <w:p w14:paraId="127C411B" w14:textId="77777777" w:rsidR="00707722" w:rsidRPr="00E67914" w:rsidRDefault="00707722" w:rsidP="00707722">
            <w:pPr>
              <w:adjustRightInd w:val="0"/>
              <w:snapToGrid w:val="0"/>
              <w:rPr>
                <w:rFonts w:ascii="Times New Roman" w:hAnsi="Times New Roman"/>
                <w:sz w:val="21"/>
                <w:szCs w:val="21"/>
              </w:rPr>
            </w:pPr>
          </w:p>
        </w:tc>
        <w:tc>
          <w:tcPr>
            <w:tcW w:w="573" w:type="pct"/>
            <w:vAlign w:val="center"/>
          </w:tcPr>
          <w:p w14:paraId="43DA6B92"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r>
      <w:tr w:rsidR="00E67914" w:rsidRPr="00E67914" w14:paraId="2511A8FF" w14:textId="77777777">
        <w:trPr>
          <w:trHeight w:val="454"/>
        </w:trPr>
        <w:tc>
          <w:tcPr>
            <w:tcW w:w="272" w:type="pct"/>
            <w:vAlign w:val="center"/>
          </w:tcPr>
          <w:p w14:paraId="79FC48E2"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5</w:t>
            </w:r>
          </w:p>
        </w:tc>
        <w:tc>
          <w:tcPr>
            <w:tcW w:w="775" w:type="pct"/>
            <w:vAlign w:val="center"/>
          </w:tcPr>
          <w:p w14:paraId="5E84FA64"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振动筛</w:t>
            </w:r>
            <w:r w:rsidRPr="00E67914">
              <w:rPr>
                <w:rFonts w:ascii="Times New Roman" w:hAnsi="Times New Roman"/>
                <w:sz w:val="21"/>
                <w:szCs w:val="21"/>
              </w:rPr>
              <w:t>2</w:t>
            </w:r>
          </w:p>
        </w:tc>
        <w:tc>
          <w:tcPr>
            <w:tcW w:w="857" w:type="pct"/>
            <w:vAlign w:val="center"/>
          </w:tcPr>
          <w:p w14:paraId="2E86A492"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5.5kW</w:t>
            </w:r>
          </w:p>
        </w:tc>
        <w:tc>
          <w:tcPr>
            <w:tcW w:w="436" w:type="pct"/>
            <w:vAlign w:val="center"/>
          </w:tcPr>
          <w:p w14:paraId="7E64517F" w14:textId="72E9121C"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39.77</w:t>
            </w:r>
          </w:p>
        </w:tc>
        <w:tc>
          <w:tcPr>
            <w:tcW w:w="403" w:type="pct"/>
            <w:vAlign w:val="center"/>
          </w:tcPr>
          <w:p w14:paraId="69977AE2" w14:textId="495F0A51" w:rsidR="00707722" w:rsidRPr="00E67914" w:rsidRDefault="00707722"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103.79</w:t>
            </w:r>
          </w:p>
        </w:tc>
        <w:tc>
          <w:tcPr>
            <w:tcW w:w="405" w:type="pct"/>
            <w:vAlign w:val="center"/>
          </w:tcPr>
          <w:p w14:paraId="735212C8"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2.5</w:t>
            </w:r>
          </w:p>
        </w:tc>
        <w:tc>
          <w:tcPr>
            <w:tcW w:w="697" w:type="pct"/>
            <w:vAlign w:val="center"/>
          </w:tcPr>
          <w:p w14:paraId="2EA764F7"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85</w:t>
            </w:r>
          </w:p>
        </w:tc>
        <w:tc>
          <w:tcPr>
            <w:tcW w:w="582" w:type="pct"/>
            <w:vMerge/>
            <w:vAlign w:val="center"/>
          </w:tcPr>
          <w:p w14:paraId="66D91731" w14:textId="77777777" w:rsidR="00707722" w:rsidRPr="00E67914" w:rsidRDefault="00707722" w:rsidP="00707722">
            <w:pPr>
              <w:adjustRightInd w:val="0"/>
              <w:snapToGrid w:val="0"/>
              <w:rPr>
                <w:rFonts w:ascii="Times New Roman" w:hAnsi="Times New Roman"/>
                <w:sz w:val="21"/>
                <w:szCs w:val="21"/>
              </w:rPr>
            </w:pPr>
          </w:p>
        </w:tc>
        <w:tc>
          <w:tcPr>
            <w:tcW w:w="573" w:type="pct"/>
            <w:vAlign w:val="center"/>
          </w:tcPr>
          <w:p w14:paraId="315BAD3C"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r>
      <w:tr w:rsidR="00E67914" w:rsidRPr="00E67914" w14:paraId="22E20011" w14:textId="77777777">
        <w:trPr>
          <w:trHeight w:val="454"/>
        </w:trPr>
        <w:tc>
          <w:tcPr>
            <w:tcW w:w="272" w:type="pct"/>
            <w:vAlign w:val="center"/>
          </w:tcPr>
          <w:p w14:paraId="318CFC14"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6</w:t>
            </w:r>
          </w:p>
        </w:tc>
        <w:tc>
          <w:tcPr>
            <w:tcW w:w="775" w:type="pct"/>
            <w:vAlign w:val="center"/>
          </w:tcPr>
          <w:p w14:paraId="08AF6303"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柴油</w:t>
            </w:r>
            <w:r w:rsidRPr="00E67914">
              <w:rPr>
                <w:rFonts w:ascii="Times New Roman" w:hAnsi="Times New Roman"/>
                <w:sz w:val="21"/>
                <w:szCs w:val="21"/>
                <w:lang w:eastAsia="zh-CN"/>
              </w:rPr>
              <w:t>发电</w:t>
            </w:r>
            <w:r w:rsidRPr="00E67914">
              <w:rPr>
                <w:rFonts w:ascii="Times New Roman" w:hAnsi="Times New Roman"/>
                <w:sz w:val="21"/>
                <w:szCs w:val="21"/>
              </w:rPr>
              <w:t>机</w:t>
            </w:r>
            <w:r w:rsidRPr="00E67914">
              <w:rPr>
                <w:rFonts w:ascii="Times New Roman" w:hAnsi="Times New Roman"/>
                <w:sz w:val="21"/>
                <w:szCs w:val="21"/>
              </w:rPr>
              <w:t>1</w:t>
            </w:r>
          </w:p>
        </w:tc>
        <w:tc>
          <w:tcPr>
            <w:tcW w:w="857" w:type="pct"/>
            <w:vAlign w:val="center"/>
          </w:tcPr>
          <w:p w14:paraId="4B76121A"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882kW</w:t>
            </w:r>
          </w:p>
        </w:tc>
        <w:tc>
          <w:tcPr>
            <w:tcW w:w="436" w:type="pct"/>
            <w:vAlign w:val="center"/>
          </w:tcPr>
          <w:p w14:paraId="0BA14923" w14:textId="264F2CA9" w:rsidR="00707722" w:rsidRPr="00E67914" w:rsidRDefault="005E70BF"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29.59</w:t>
            </w:r>
          </w:p>
        </w:tc>
        <w:tc>
          <w:tcPr>
            <w:tcW w:w="403" w:type="pct"/>
            <w:vAlign w:val="center"/>
          </w:tcPr>
          <w:p w14:paraId="457F8773" w14:textId="1A6CC702" w:rsidR="00707722" w:rsidRPr="00E67914" w:rsidRDefault="005E70BF"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99.74</w:t>
            </w:r>
          </w:p>
        </w:tc>
        <w:tc>
          <w:tcPr>
            <w:tcW w:w="405" w:type="pct"/>
            <w:vAlign w:val="center"/>
          </w:tcPr>
          <w:p w14:paraId="487C2869" w14:textId="6648C2BB" w:rsidR="00707722" w:rsidRPr="00E67914" w:rsidRDefault="005E70BF" w:rsidP="00707722">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697" w:type="pct"/>
            <w:vAlign w:val="center"/>
          </w:tcPr>
          <w:p w14:paraId="5E27119E"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90</w:t>
            </w:r>
          </w:p>
        </w:tc>
        <w:tc>
          <w:tcPr>
            <w:tcW w:w="582" w:type="pct"/>
            <w:vMerge w:val="restart"/>
            <w:vAlign w:val="center"/>
          </w:tcPr>
          <w:p w14:paraId="1BDBD38F" w14:textId="77777777" w:rsidR="00707722" w:rsidRPr="00E67914" w:rsidRDefault="00707722" w:rsidP="00707722">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自带高质量消声器的柴油机</w:t>
            </w:r>
          </w:p>
        </w:tc>
        <w:tc>
          <w:tcPr>
            <w:tcW w:w="573" w:type="pct"/>
            <w:vAlign w:val="center"/>
          </w:tcPr>
          <w:p w14:paraId="5B4FE3C6"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r>
      <w:tr w:rsidR="00E67914" w:rsidRPr="00E67914" w14:paraId="530E430E" w14:textId="77777777">
        <w:trPr>
          <w:trHeight w:val="454"/>
        </w:trPr>
        <w:tc>
          <w:tcPr>
            <w:tcW w:w="272" w:type="pct"/>
            <w:vAlign w:val="center"/>
          </w:tcPr>
          <w:p w14:paraId="53295D8C"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7</w:t>
            </w:r>
          </w:p>
        </w:tc>
        <w:tc>
          <w:tcPr>
            <w:tcW w:w="775" w:type="pct"/>
            <w:vAlign w:val="center"/>
          </w:tcPr>
          <w:p w14:paraId="74F6A7BC"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柴油</w:t>
            </w:r>
            <w:r w:rsidRPr="00E67914">
              <w:rPr>
                <w:rFonts w:ascii="Times New Roman" w:hAnsi="Times New Roman"/>
                <w:sz w:val="21"/>
                <w:szCs w:val="21"/>
                <w:lang w:eastAsia="zh-CN"/>
              </w:rPr>
              <w:t>发电</w:t>
            </w:r>
            <w:r w:rsidRPr="00E67914">
              <w:rPr>
                <w:rFonts w:ascii="Times New Roman" w:hAnsi="Times New Roman"/>
                <w:sz w:val="21"/>
                <w:szCs w:val="21"/>
              </w:rPr>
              <w:t>机</w:t>
            </w:r>
            <w:r w:rsidRPr="00E67914">
              <w:rPr>
                <w:rFonts w:ascii="Times New Roman" w:hAnsi="Times New Roman"/>
                <w:sz w:val="21"/>
                <w:szCs w:val="21"/>
              </w:rPr>
              <w:t>2</w:t>
            </w:r>
          </w:p>
        </w:tc>
        <w:tc>
          <w:tcPr>
            <w:tcW w:w="857" w:type="pct"/>
            <w:vAlign w:val="center"/>
          </w:tcPr>
          <w:p w14:paraId="358DDC5F" w14:textId="77777777" w:rsidR="00707722" w:rsidRPr="00E67914" w:rsidRDefault="00707722" w:rsidP="00707722">
            <w:pPr>
              <w:jc w:val="center"/>
              <w:rPr>
                <w:rFonts w:ascii="Times New Roman" w:hAnsi="Times New Roman"/>
                <w:sz w:val="21"/>
                <w:szCs w:val="21"/>
              </w:rPr>
            </w:pPr>
            <w:r w:rsidRPr="00E67914">
              <w:rPr>
                <w:rFonts w:ascii="Times New Roman" w:hAnsi="Times New Roman"/>
                <w:sz w:val="21"/>
                <w:szCs w:val="21"/>
              </w:rPr>
              <w:t>882kW</w:t>
            </w:r>
          </w:p>
        </w:tc>
        <w:tc>
          <w:tcPr>
            <w:tcW w:w="436" w:type="pct"/>
            <w:vAlign w:val="center"/>
          </w:tcPr>
          <w:p w14:paraId="1E4BF2C5" w14:textId="576C2941" w:rsidR="00707722" w:rsidRPr="00E67914" w:rsidRDefault="005E70BF"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25.23</w:t>
            </w:r>
          </w:p>
        </w:tc>
        <w:tc>
          <w:tcPr>
            <w:tcW w:w="403" w:type="pct"/>
            <w:vAlign w:val="center"/>
          </w:tcPr>
          <w:p w14:paraId="62AD2344" w14:textId="0990726F" w:rsidR="00707722" w:rsidRPr="00E67914" w:rsidRDefault="005E70BF"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101.93</w:t>
            </w:r>
          </w:p>
        </w:tc>
        <w:tc>
          <w:tcPr>
            <w:tcW w:w="405" w:type="pct"/>
            <w:vAlign w:val="center"/>
          </w:tcPr>
          <w:p w14:paraId="272ECE48" w14:textId="508E7A8C" w:rsidR="00707722" w:rsidRPr="00E67914" w:rsidRDefault="005E70BF" w:rsidP="00707722">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697" w:type="pct"/>
            <w:vAlign w:val="center"/>
          </w:tcPr>
          <w:p w14:paraId="49AC6D2F"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90</w:t>
            </w:r>
          </w:p>
        </w:tc>
        <w:tc>
          <w:tcPr>
            <w:tcW w:w="582" w:type="pct"/>
            <w:vMerge/>
            <w:vAlign w:val="center"/>
          </w:tcPr>
          <w:p w14:paraId="76E5736C" w14:textId="77777777" w:rsidR="00707722" w:rsidRPr="00E67914" w:rsidRDefault="00707722" w:rsidP="00707722">
            <w:pPr>
              <w:adjustRightInd w:val="0"/>
              <w:snapToGrid w:val="0"/>
              <w:rPr>
                <w:rFonts w:ascii="Times New Roman" w:hAnsi="Times New Roman"/>
                <w:sz w:val="21"/>
                <w:szCs w:val="21"/>
              </w:rPr>
            </w:pPr>
          </w:p>
        </w:tc>
        <w:tc>
          <w:tcPr>
            <w:tcW w:w="573" w:type="pct"/>
            <w:vAlign w:val="center"/>
          </w:tcPr>
          <w:p w14:paraId="5B89DDC9"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r>
      <w:tr w:rsidR="00E67914" w:rsidRPr="00E67914" w14:paraId="47D8920A" w14:textId="77777777">
        <w:trPr>
          <w:trHeight w:val="454"/>
        </w:trPr>
        <w:tc>
          <w:tcPr>
            <w:tcW w:w="272" w:type="pct"/>
            <w:vAlign w:val="center"/>
          </w:tcPr>
          <w:p w14:paraId="652F6486"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8</w:t>
            </w:r>
          </w:p>
        </w:tc>
        <w:tc>
          <w:tcPr>
            <w:tcW w:w="775" w:type="pct"/>
            <w:vAlign w:val="center"/>
          </w:tcPr>
          <w:p w14:paraId="66304CDB"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柴油</w:t>
            </w:r>
            <w:r w:rsidRPr="00E67914">
              <w:rPr>
                <w:rFonts w:ascii="Times New Roman" w:hAnsi="Times New Roman"/>
                <w:sz w:val="21"/>
                <w:szCs w:val="21"/>
                <w:lang w:eastAsia="zh-CN"/>
              </w:rPr>
              <w:t>动力</w:t>
            </w:r>
            <w:r w:rsidRPr="00E67914">
              <w:rPr>
                <w:rFonts w:ascii="Times New Roman" w:hAnsi="Times New Roman"/>
                <w:sz w:val="21"/>
                <w:szCs w:val="21"/>
              </w:rPr>
              <w:t>机</w:t>
            </w:r>
          </w:p>
        </w:tc>
        <w:tc>
          <w:tcPr>
            <w:tcW w:w="857" w:type="pct"/>
            <w:vAlign w:val="center"/>
          </w:tcPr>
          <w:p w14:paraId="66016824" w14:textId="77777777" w:rsidR="00707722" w:rsidRPr="00E67914" w:rsidRDefault="00707722" w:rsidP="00707722">
            <w:pPr>
              <w:jc w:val="center"/>
              <w:rPr>
                <w:rFonts w:ascii="Times New Roman" w:hAnsi="Times New Roman"/>
                <w:sz w:val="21"/>
                <w:szCs w:val="21"/>
              </w:rPr>
            </w:pPr>
            <w:r w:rsidRPr="00E67914">
              <w:rPr>
                <w:rFonts w:ascii="Times New Roman" w:hAnsi="Times New Roman"/>
                <w:sz w:val="21"/>
                <w:szCs w:val="21"/>
              </w:rPr>
              <w:t>320 kW</w:t>
            </w:r>
          </w:p>
        </w:tc>
        <w:tc>
          <w:tcPr>
            <w:tcW w:w="436" w:type="pct"/>
            <w:vAlign w:val="center"/>
          </w:tcPr>
          <w:p w14:paraId="5F050D36" w14:textId="63F5348F" w:rsidR="00707722" w:rsidRPr="00E67914" w:rsidRDefault="005E70BF"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18.17</w:t>
            </w:r>
          </w:p>
        </w:tc>
        <w:tc>
          <w:tcPr>
            <w:tcW w:w="403" w:type="pct"/>
            <w:vAlign w:val="center"/>
          </w:tcPr>
          <w:p w14:paraId="5FD8AC2E" w14:textId="24EC8D67" w:rsidR="00707722" w:rsidRPr="00E67914" w:rsidRDefault="005E70BF" w:rsidP="0070772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88.52</w:t>
            </w:r>
          </w:p>
        </w:tc>
        <w:tc>
          <w:tcPr>
            <w:tcW w:w="405" w:type="pct"/>
            <w:vAlign w:val="center"/>
          </w:tcPr>
          <w:p w14:paraId="16523934" w14:textId="71E4F22E" w:rsidR="00707722" w:rsidRPr="00E67914" w:rsidRDefault="005E70BF" w:rsidP="00707722">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697" w:type="pct"/>
            <w:vAlign w:val="center"/>
          </w:tcPr>
          <w:p w14:paraId="6B694738"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95</w:t>
            </w:r>
          </w:p>
        </w:tc>
        <w:tc>
          <w:tcPr>
            <w:tcW w:w="582" w:type="pct"/>
            <w:vAlign w:val="center"/>
          </w:tcPr>
          <w:p w14:paraId="40DE2C8D" w14:textId="77777777" w:rsidR="00707722" w:rsidRPr="00E67914" w:rsidRDefault="00707722" w:rsidP="00707722">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活动板房隔声，安装减振垫层和阻尼涂料</w:t>
            </w:r>
          </w:p>
        </w:tc>
        <w:tc>
          <w:tcPr>
            <w:tcW w:w="573" w:type="pct"/>
            <w:vAlign w:val="center"/>
          </w:tcPr>
          <w:p w14:paraId="265FE4C8" w14:textId="77777777" w:rsidR="00707722" w:rsidRPr="00E67914" w:rsidRDefault="00707722" w:rsidP="00707722">
            <w:pPr>
              <w:adjustRightInd w:val="0"/>
              <w:snapToGrid w:val="0"/>
              <w:jc w:val="center"/>
              <w:rPr>
                <w:rFonts w:ascii="Times New Roman" w:hAnsi="Times New Roman"/>
                <w:sz w:val="21"/>
                <w:szCs w:val="21"/>
              </w:rPr>
            </w:pPr>
            <w:r w:rsidRPr="00E67914">
              <w:rPr>
                <w:rFonts w:ascii="Times New Roman" w:hAnsi="Times New Roman"/>
                <w:sz w:val="21"/>
                <w:szCs w:val="21"/>
              </w:rPr>
              <w:t>昼夜连续</w:t>
            </w:r>
          </w:p>
        </w:tc>
      </w:tr>
      <w:tr w:rsidR="00E67914" w:rsidRPr="00E67914" w14:paraId="2A1EC403" w14:textId="77777777" w:rsidTr="00707722">
        <w:trPr>
          <w:trHeight w:val="454"/>
        </w:trPr>
        <w:tc>
          <w:tcPr>
            <w:tcW w:w="5000" w:type="pct"/>
            <w:gridSpan w:val="9"/>
            <w:vAlign w:val="center"/>
          </w:tcPr>
          <w:p w14:paraId="1062673A" w14:textId="06BB0C57" w:rsidR="00707722" w:rsidRPr="00E67914" w:rsidRDefault="00707722" w:rsidP="00707722">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注：坐标原点为井场东南侧角落。</w:t>
            </w:r>
          </w:p>
        </w:tc>
      </w:tr>
    </w:tbl>
    <w:bookmarkEnd w:id="136"/>
    <w:p w14:paraId="5A676B1D" w14:textId="65A13D78" w:rsidR="00A54A8A" w:rsidRPr="00E67914" w:rsidRDefault="00000000">
      <w:pPr>
        <w:ind w:firstLine="480"/>
        <w:rPr>
          <w:rFonts w:ascii="Times New Roman" w:hAnsi="Times New Roman"/>
          <w:bCs/>
          <w:kern w:val="2"/>
          <w:sz w:val="24"/>
          <w:szCs w:val="24"/>
          <w:lang w:eastAsia="zh-CN"/>
        </w:rPr>
      </w:pPr>
      <w:r w:rsidRPr="00E67914">
        <w:rPr>
          <w:rFonts w:ascii="Times New Roman" w:hAnsi="Times New Roman"/>
          <w:bCs/>
          <w:kern w:val="2"/>
          <w:sz w:val="24"/>
          <w:szCs w:val="24"/>
          <w:lang w:eastAsia="zh-CN"/>
        </w:rPr>
        <w:t>钻井过程中对井场场界昼夜间噪声值预测见表</w:t>
      </w:r>
      <w:r w:rsidRPr="00E67914">
        <w:rPr>
          <w:rFonts w:ascii="Times New Roman" w:hAnsi="Times New Roman"/>
          <w:bCs/>
          <w:kern w:val="2"/>
          <w:sz w:val="24"/>
          <w:szCs w:val="24"/>
          <w:lang w:eastAsia="zh-CN"/>
        </w:rPr>
        <w:t>5.1-</w:t>
      </w:r>
      <w:r w:rsidR="00CB4B0C" w:rsidRPr="00E67914">
        <w:rPr>
          <w:rFonts w:ascii="Times New Roman" w:hAnsi="Times New Roman"/>
          <w:bCs/>
          <w:kern w:val="2"/>
          <w:sz w:val="24"/>
          <w:szCs w:val="24"/>
          <w:lang w:eastAsia="zh-CN"/>
        </w:rPr>
        <w:t>7</w:t>
      </w:r>
      <w:r w:rsidRPr="00E67914">
        <w:rPr>
          <w:rFonts w:ascii="Times New Roman" w:hAnsi="Times New Roman"/>
          <w:bCs/>
          <w:kern w:val="2"/>
          <w:sz w:val="24"/>
          <w:szCs w:val="24"/>
          <w:lang w:eastAsia="zh-CN"/>
        </w:rPr>
        <w:t>。</w:t>
      </w:r>
    </w:p>
    <w:p w14:paraId="4C851D70" w14:textId="64D8143B" w:rsidR="00A54A8A" w:rsidRPr="00E67914" w:rsidRDefault="00000000">
      <w:pPr>
        <w:pStyle w:val="afffff0"/>
        <w:spacing w:line="240" w:lineRule="auto"/>
        <w:rPr>
          <w:rFonts w:ascii="Times New Roman"/>
        </w:rPr>
      </w:pPr>
      <w:r w:rsidRPr="00E67914">
        <w:rPr>
          <w:rFonts w:ascii="Times New Roman"/>
        </w:rPr>
        <w:t>表</w:t>
      </w:r>
      <w:r w:rsidRPr="00E67914">
        <w:rPr>
          <w:rFonts w:ascii="Times New Roman"/>
        </w:rPr>
        <w:t>5.1-</w:t>
      </w:r>
      <w:r w:rsidR="00CB4B0C" w:rsidRPr="00E67914">
        <w:rPr>
          <w:rFonts w:ascii="Times New Roman"/>
        </w:rPr>
        <w:t>7</w:t>
      </w:r>
      <w:r w:rsidRPr="00E67914">
        <w:rPr>
          <w:rFonts w:ascii="Times New Roman"/>
        </w:rPr>
        <w:t xml:space="preserve">  </w:t>
      </w:r>
      <w:r w:rsidRPr="00E67914">
        <w:rPr>
          <w:rFonts w:ascii="Times New Roman"/>
        </w:rPr>
        <w:t>钻井工程场界噪声预测结果</w:t>
      </w:r>
      <w:r w:rsidRPr="00E67914">
        <w:rPr>
          <w:rFonts w:ascii="Times New Roman"/>
        </w:rPr>
        <w:t xml:space="preserve">   </w:t>
      </w:r>
      <w:r w:rsidRPr="00E67914">
        <w:rPr>
          <w:rFonts w:ascii="Times New Roman"/>
        </w:rPr>
        <w:t>单位：</w:t>
      </w:r>
      <w:r w:rsidRPr="00E67914">
        <w:rPr>
          <w:rFonts w:ascii="Times New Roman"/>
        </w:rPr>
        <w:t>dB</w:t>
      </w:r>
      <w:r w:rsidRPr="00E67914">
        <w:rPr>
          <w:rFonts w:ascii="Times New Roman"/>
        </w:rPr>
        <w:t>（</w:t>
      </w:r>
      <w:r w:rsidRPr="00E67914">
        <w:rPr>
          <w:rFonts w:ascii="Times New Roman"/>
        </w:rPr>
        <w:t>A</w:t>
      </w:r>
      <w:r w:rsidRPr="00E67914">
        <w:rPr>
          <w:rFonts w:ascii="Times New Roma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59"/>
        <w:gridCol w:w="1305"/>
        <w:gridCol w:w="2113"/>
        <w:gridCol w:w="1172"/>
        <w:gridCol w:w="1174"/>
        <w:gridCol w:w="1174"/>
        <w:gridCol w:w="1163"/>
      </w:tblGrid>
      <w:tr w:rsidR="00E67914" w:rsidRPr="00E67914" w14:paraId="31DC937D" w14:textId="77777777" w:rsidTr="00707722">
        <w:trPr>
          <w:trHeight w:val="454"/>
          <w:jc w:val="center"/>
        </w:trPr>
        <w:tc>
          <w:tcPr>
            <w:tcW w:w="529" w:type="pct"/>
            <w:vMerge w:val="restart"/>
            <w:tcBorders>
              <w:top w:val="single" w:sz="4" w:space="0" w:color="auto"/>
              <w:left w:val="single" w:sz="4" w:space="0" w:color="auto"/>
              <w:bottom w:val="single" w:sz="4" w:space="0" w:color="auto"/>
              <w:right w:val="single" w:sz="4" w:space="0" w:color="auto"/>
            </w:tcBorders>
            <w:vAlign w:val="center"/>
          </w:tcPr>
          <w:p w14:paraId="29C72CBA"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平台</w:t>
            </w:r>
          </w:p>
        </w:tc>
        <w:tc>
          <w:tcPr>
            <w:tcW w:w="720" w:type="pct"/>
            <w:vMerge w:val="restart"/>
            <w:tcBorders>
              <w:top w:val="single" w:sz="4" w:space="0" w:color="auto"/>
              <w:left w:val="single" w:sz="4" w:space="0" w:color="auto"/>
              <w:bottom w:val="single" w:sz="4" w:space="0" w:color="auto"/>
              <w:right w:val="single" w:sz="4" w:space="0" w:color="auto"/>
            </w:tcBorders>
            <w:vAlign w:val="center"/>
          </w:tcPr>
          <w:p w14:paraId="590BA9A5"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预测工况</w:t>
            </w:r>
          </w:p>
        </w:tc>
        <w:tc>
          <w:tcPr>
            <w:tcW w:w="1166" w:type="pct"/>
            <w:vMerge w:val="restart"/>
            <w:tcBorders>
              <w:top w:val="single" w:sz="4" w:space="0" w:color="auto"/>
              <w:left w:val="single" w:sz="4" w:space="0" w:color="auto"/>
              <w:bottom w:val="single" w:sz="4" w:space="0" w:color="auto"/>
              <w:right w:val="single" w:sz="4" w:space="0" w:color="auto"/>
            </w:tcBorders>
            <w:vAlign w:val="center"/>
          </w:tcPr>
          <w:p w14:paraId="2F78031F"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场界</w:t>
            </w:r>
          </w:p>
        </w:tc>
        <w:tc>
          <w:tcPr>
            <w:tcW w:w="1295" w:type="pct"/>
            <w:gridSpan w:val="2"/>
            <w:tcBorders>
              <w:top w:val="single" w:sz="4" w:space="0" w:color="auto"/>
              <w:left w:val="single" w:sz="4" w:space="0" w:color="auto"/>
              <w:bottom w:val="single" w:sz="4" w:space="0" w:color="auto"/>
              <w:right w:val="single" w:sz="4" w:space="0" w:color="auto"/>
            </w:tcBorders>
            <w:vAlign w:val="center"/>
          </w:tcPr>
          <w:p w14:paraId="2A1C907C"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噪声贡献值</w:t>
            </w:r>
          </w:p>
        </w:tc>
        <w:tc>
          <w:tcPr>
            <w:tcW w:w="1290" w:type="pct"/>
            <w:gridSpan w:val="2"/>
            <w:tcBorders>
              <w:top w:val="single" w:sz="4" w:space="0" w:color="auto"/>
              <w:left w:val="single" w:sz="4" w:space="0" w:color="auto"/>
              <w:bottom w:val="single" w:sz="4" w:space="0" w:color="auto"/>
              <w:right w:val="single" w:sz="4" w:space="0" w:color="auto"/>
            </w:tcBorders>
            <w:vAlign w:val="center"/>
          </w:tcPr>
          <w:p w14:paraId="24DF9ED2"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超标值</w:t>
            </w:r>
          </w:p>
        </w:tc>
      </w:tr>
      <w:tr w:rsidR="00E67914" w:rsidRPr="00E67914" w14:paraId="7E3C7609" w14:textId="77777777" w:rsidTr="00707722">
        <w:trPr>
          <w:trHeight w:val="454"/>
          <w:jc w:val="center"/>
        </w:trPr>
        <w:tc>
          <w:tcPr>
            <w:tcW w:w="529" w:type="pct"/>
            <w:vMerge/>
            <w:tcBorders>
              <w:top w:val="single" w:sz="4" w:space="0" w:color="auto"/>
              <w:left w:val="single" w:sz="4" w:space="0" w:color="auto"/>
              <w:bottom w:val="single" w:sz="4" w:space="0" w:color="auto"/>
              <w:right w:val="single" w:sz="4" w:space="0" w:color="auto"/>
            </w:tcBorders>
            <w:vAlign w:val="center"/>
          </w:tcPr>
          <w:p w14:paraId="7612FAE6" w14:textId="77777777" w:rsidR="00A54A8A" w:rsidRPr="00E67914" w:rsidRDefault="00A54A8A">
            <w:pPr>
              <w:jc w:val="center"/>
              <w:rPr>
                <w:rFonts w:ascii="Times New Roman" w:hAnsi="Times New Roman"/>
                <w:b/>
                <w:bCs/>
                <w:kern w:val="2"/>
                <w:sz w:val="21"/>
              </w:rPr>
            </w:pPr>
          </w:p>
        </w:tc>
        <w:tc>
          <w:tcPr>
            <w:tcW w:w="720" w:type="pct"/>
            <w:vMerge/>
            <w:tcBorders>
              <w:top w:val="single" w:sz="4" w:space="0" w:color="auto"/>
              <w:left w:val="single" w:sz="4" w:space="0" w:color="auto"/>
              <w:bottom w:val="single" w:sz="4" w:space="0" w:color="auto"/>
              <w:right w:val="single" w:sz="4" w:space="0" w:color="auto"/>
            </w:tcBorders>
            <w:vAlign w:val="center"/>
          </w:tcPr>
          <w:p w14:paraId="51303740" w14:textId="77777777" w:rsidR="00A54A8A" w:rsidRPr="00E67914" w:rsidRDefault="00A54A8A">
            <w:pPr>
              <w:jc w:val="center"/>
              <w:rPr>
                <w:rFonts w:ascii="Times New Roman" w:hAnsi="Times New Roman"/>
                <w:b/>
                <w:bCs/>
                <w:kern w:val="2"/>
                <w:sz w:val="21"/>
              </w:rPr>
            </w:pPr>
          </w:p>
        </w:tc>
        <w:tc>
          <w:tcPr>
            <w:tcW w:w="1166" w:type="pct"/>
            <w:vMerge/>
            <w:tcBorders>
              <w:top w:val="single" w:sz="4" w:space="0" w:color="auto"/>
              <w:left w:val="single" w:sz="4" w:space="0" w:color="auto"/>
              <w:bottom w:val="single" w:sz="4" w:space="0" w:color="auto"/>
              <w:right w:val="single" w:sz="4" w:space="0" w:color="auto"/>
            </w:tcBorders>
            <w:vAlign w:val="center"/>
          </w:tcPr>
          <w:p w14:paraId="41C46918" w14:textId="77777777" w:rsidR="00A54A8A" w:rsidRPr="00E67914" w:rsidRDefault="00A54A8A">
            <w:pPr>
              <w:jc w:val="center"/>
              <w:rPr>
                <w:rFonts w:ascii="Times New Roman" w:hAnsi="Times New Roman"/>
                <w:b/>
                <w:bCs/>
                <w:kern w:val="2"/>
                <w:sz w:val="21"/>
              </w:rPr>
            </w:pPr>
          </w:p>
        </w:tc>
        <w:tc>
          <w:tcPr>
            <w:tcW w:w="647" w:type="pct"/>
            <w:tcBorders>
              <w:top w:val="single" w:sz="4" w:space="0" w:color="auto"/>
              <w:left w:val="single" w:sz="4" w:space="0" w:color="auto"/>
              <w:bottom w:val="single" w:sz="4" w:space="0" w:color="auto"/>
              <w:right w:val="single" w:sz="4" w:space="0" w:color="auto"/>
            </w:tcBorders>
            <w:vAlign w:val="center"/>
          </w:tcPr>
          <w:p w14:paraId="27008534"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昼间</w:t>
            </w:r>
          </w:p>
        </w:tc>
        <w:tc>
          <w:tcPr>
            <w:tcW w:w="648" w:type="pct"/>
            <w:tcBorders>
              <w:top w:val="single" w:sz="4" w:space="0" w:color="auto"/>
              <w:left w:val="single" w:sz="4" w:space="0" w:color="auto"/>
              <w:bottom w:val="single" w:sz="4" w:space="0" w:color="auto"/>
              <w:right w:val="single" w:sz="4" w:space="0" w:color="auto"/>
            </w:tcBorders>
            <w:vAlign w:val="center"/>
          </w:tcPr>
          <w:p w14:paraId="5A02DA4E"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夜间</w:t>
            </w:r>
          </w:p>
        </w:tc>
        <w:tc>
          <w:tcPr>
            <w:tcW w:w="648" w:type="pct"/>
            <w:tcBorders>
              <w:top w:val="single" w:sz="4" w:space="0" w:color="auto"/>
              <w:left w:val="single" w:sz="4" w:space="0" w:color="auto"/>
              <w:bottom w:val="single" w:sz="4" w:space="0" w:color="auto"/>
              <w:right w:val="single" w:sz="4" w:space="0" w:color="auto"/>
            </w:tcBorders>
            <w:vAlign w:val="center"/>
          </w:tcPr>
          <w:p w14:paraId="3A7DC7F0"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昼间</w:t>
            </w:r>
          </w:p>
        </w:tc>
        <w:tc>
          <w:tcPr>
            <w:tcW w:w="642" w:type="pct"/>
            <w:tcBorders>
              <w:top w:val="single" w:sz="4" w:space="0" w:color="auto"/>
              <w:left w:val="single" w:sz="4" w:space="0" w:color="auto"/>
              <w:bottom w:val="single" w:sz="4" w:space="0" w:color="auto"/>
              <w:right w:val="single" w:sz="4" w:space="0" w:color="auto"/>
            </w:tcBorders>
            <w:vAlign w:val="center"/>
          </w:tcPr>
          <w:p w14:paraId="066C27B8" w14:textId="77777777" w:rsidR="00A54A8A" w:rsidRPr="00E67914" w:rsidRDefault="00000000">
            <w:pPr>
              <w:jc w:val="center"/>
              <w:rPr>
                <w:rFonts w:ascii="Times New Roman" w:hAnsi="Times New Roman"/>
                <w:b/>
                <w:bCs/>
                <w:kern w:val="2"/>
                <w:sz w:val="21"/>
              </w:rPr>
            </w:pPr>
            <w:r w:rsidRPr="00E67914">
              <w:rPr>
                <w:rFonts w:ascii="Times New Roman" w:hAnsi="Times New Roman"/>
                <w:b/>
                <w:bCs/>
                <w:kern w:val="2"/>
                <w:sz w:val="21"/>
              </w:rPr>
              <w:t>夜间</w:t>
            </w:r>
          </w:p>
        </w:tc>
      </w:tr>
      <w:tr w:rsidR="00E67914" w:rsidRPr="00E67914" w14:paraId="6C2C18BE" w14:textId="77777777" w:rsidTr="00707722">
        <w:trPr>
          <w:trHeight w:val="454"/>
          <w:jc w:val="center"/>
        </w:trPr>
        <w:tc>
          <w:tcPr>
            <w:tcW w:w="529" w:type="pct"/>
            <w:vMerge w:val="restart"/>
            <w:tcBorders>
              <w:top w:val="single" w:sz="4" w:space="0" w:color="auto"/>
              <w:left w:val="single" w:sz="4" w:space="0" w:color="auto"/>
              <w:right w:val="single" w:sz="4" w:space="0" w:color="auto"/>
            </w:tcBorders>
            <w:vAlign w:val="center"/>
          </w:tcPr>
          <w:p w14:paraId="70894050" w14:textId="77777777" w:rsidR="00557091" w:rsidRPr="00E67914" w:rsidRDefault="00557091" w:rsidP="00557091">
            <w:pPr>
              <w:jc w:val="center"/>
              <w:rPr>
                <w:rFonts w:ascii="Times New Roman" w:hAnsi="Times New Roman"/>
                <w:kern w:val="2"/>
                <w:sz w:val="21"/>
              </w:rPr>
            </w:pPr>
            <w:r w:rsidRPr="00E67914">
              <w:rPr>
                <w:rFonts w:ascii="Times New Roman" w:hAnsi="Times New Roman"/>
                <w:kern w:val="2"/>
                <w:sz w:val="21"/>
                <w:lang w:eastAsia="zh-CN"/>
              </w:rPr>
              <w:t>普陆</w:t>
            </w:r>
            <w:r w:rsidRPr="00E67914">
              <w:rPr>
                <w:rFonts w:ascii="Times New Roman" w:hAnsi="Times New Roman"/>
                <w:kern w:val="2"/>
                <w:sz w:val="21"/>
                <w:lang w:eastAsia="zh-CN"/>
              </w:rPr>
              <w:t>1</w:t>
            </w:r>
            <w:r w:rsidRPr="00E67914">
              <w:rPr>
                <w:rFonts w:ascii="Times New Roman" w:hAnsi="Times New Roman"/>
                <w:kern w:val="2"/>
                <w:sz w:val="21"/>
                <w:lang w:eastAsia="zh-CN"/>
              </w:rPr>
              <w:t>井场</w:t>
            </w:r>
          </w:p>
        </w:tc>
        <w:tc>
          <w:tcPr>
            <w:tcW w:w="720" w:type="pct"/>
            <w:vMerge w:val="restart"/>
            <w:tcBorders>
              <w:top w:val="single" w:sz="4" w:space="0" w:color="auto"/>
              <w:left w:val="single" w:sz="4" w:space="0" w:color="auto"/>
              <w:right w:val="single" w:sz="4" w:space="0" w:color="auto"/>
            </w:tcBorders>
            <w:vAlign w:val="center"/>
          </w:tcPr>
          <w:p w14:paraId="5C751F71" w14:textId="77777777" w:rsidR="00557091" w:rsidRPr="00E67914" w:rsidRDefault="00557091" w:rsidP="00557091">
            <w:pPr>
              <w:jc w:val="center"/>
              <w:rPr>
                <w:rFonts w:ascii="Times New Roman" w:hAnsi="Times New Roman"/>
                <w:kern w:val="2"/>
                <w:sz w:val="21"/>
              </w:rPr>
            </w:pPr>
            <w:r w:rsidRPr="00E67914">
              <w:rPr>
                <w:rFonts w:ascii="Times New Roman" w:hAnsi="Times New Roman"/>
                <w:kern w:val="2"/>
                <w:sz w:val="21"/>
              </w:rPr>
              <w:t>网电供电</w:t>
            </w:r>
          </w:p>
        </w:tc>
        <w:tc>
          <w:tcPr>
            <w:tcW w:w="1166" w:type="pct"/>
            <w:tcBorders>
              <w:top w:val="single" w:sz="4" w:space="0" w:color="auto"/>
              <w:left w:val="single" w:sz="4" w:space="0" w:color="auto"/>
              <w:bottom w:val="single" w:sz="4" w:space="0" w:color="auto"/>
              <w:right w:val="single" w:sz="4" w:space="0" w:color="auto"/>
            </w:tcBorders>
            <w:vAlign w:val="center"/>
          </w:tcPr>
          <w:p w14:paraId="14441EED" w14:textId="418D2E92" w:rsidR="00557091" w:rsidRPr="00E67914" w:rsidRDefault="00557091" w:rsidP="00557091">
            <w:pPr>
              <w:jc w:val="center"/>
              <w:rPr>
                <w:rFonts w:ascii="Times New Roman" w:hAnsi="Times New Roman"/>
                <w:bCs/>
                <w:sz w:val="21"/>
              </w:rPr>
            </w:pPr>
            <w:r w:rsidRPr="00E67914">
              <w:rPr>
                <w:rFonts w:ascii="Times New Roman" w:hAnsi="Times New Roman"/>
                <w:bCs/>
                <w:sz w:val="21"/>
              </w:rPr>
              <w:t>东</w:t>
            </w:r>
            <w:r w:rsidRPr="00E67914">
              <w:rPr>
                <w:rFonts w:ascii="Times New Roman" w:hAnsi="Times New Roman"/>
                <w:bCs/>
                <w:sz w:val="21"/>
                <w:lang w:eastAsia="zh-CN"/>
              </w:rPr>
              <w:t>南</w:t>
            </w:r>
            <w:r w:rsidRPr="00E67914">
              <w:rPr>
                <w:rFonts w:ascii="Times New Roman" w:hAnsi="Times New Roman"/>
                <w:bCs/>
                <w:sz w:val="21"/>
              </w:rPr>
              <w:t>场界</w:t>
            </w:r>
          </w:p>
          <w:p w14:paraId="14631AA7" w14:textId="1620A3C2"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r w:rsidRPr="00E67914">
              <w:rPr>
                <w:rFonts w:ascii="Times New Roman" w:hAnsi="Times New Roman"/>
                <w:bCs/>
                <w:sz w:val="21"/>
              </w:rPr>
              <w:t>35.05,70.84,1.2</w:t>
            </w:r>
            <w:r w:rsidRPr="00E67914">
              <w:rPr>
                <w:rFonts w:ascii="Times New Roman" w:hAnsi="Times New Roman"/>
                <w:bCs/>
                <w:sz w:val="21"/>
              </w:rPr>
              <w:t>）</w:t>
            </w:r>
          </w:p>
        </w:tc>
        <w:tc>
          <w:tcPr>
            <w:tcW w:w="647" w:type="pct"/>
            <w:tcBorders>
              <w:top w:val="single" w:sz="4" w:space="0" w:color="auto"/>
              <w:left w:val="single" w:sz="4" w:space="0" w:color="auto"/>
              <w:bottom w:val="single" w:sz="4" w:space="0" w:color="auto"/>
              <w:right w:val="single" w:sz="4" w:space="0" w:color="auto"/>
            </w:tcBorders>
            <w:vAlign w:val="center"/>
          </w:tcPr>
          <w:p w14:paraId="3902471E" w14:textId="12089F14" w:rsidR="00557091" w:rsidRPr="00E67914" w:rsidRDefault="00557091" w:rsidP="00557091">
            <w:pPr>
              <w:jc w:val="center"/>
              <w:rPr>
                <w:rFonts w:ascii="Times New Roman" w:hAnsi="Times New Roman"/>
                <w:bCs/>
                <w:sz w:val="21"/>
                <w:lang w:eastAsia="zh-CN"/>
              </w:rPr>
            </w:pPr>
            <w:r w:rsidRPr="00E67914">
              <w:rPr>
                <w:rFonts w:ascii="Times New Roman" w:hAnsi="Times New Roman"/>
                <w:bCs/>
                <w:sz w:val="21"/>
                <w:lang w:eastAsia="zh-CN"/>
              </w:rPr>
              <w:t>58</w:t>
            </w:r>
          </w:p>
        </w:tc>
        <w:tc>
          <w:tcPr>
            <w:tcW w:w="648" w:type="pct"/>
            <w:tcBorders>
              <w:top w:val="single" w:sz="4" w:space="0" w:color="auto"/>
              <w:left w:val="single" w:sz="4" w:space="0" w:color="auto"/>
              <w:bottom w:val="single" w:sz="4" w:space="0" w:color="auto"/>
              <w:right w:val="single" w:sz="4" w:space="0" w:color="auto"/>
            </w:tcBorders>
            <w:vAlign w:val="center"/>
          </w:tcPr>
          <w:p w14:paraId="276F2A8F" w14:textId="4110B215" w:rsidR="00557091" w:rsidRPr="00E67914" w:rsidRDefault="00557091" w:rsidP="00557091">
            <w:pPr>
              <w:jc w:val="center"/>
              <w:rPr>
                <w:rFonts w:ascii="Times New Roman" w:hAnsi="Times New Roman"/>
                <w:bCs/>
                <w:sz w:val="21"/>
              </w:rPr>
            </w:pPr>
            <w:r w:rsidRPr="00E67914">
              <w:rPr>
                <w:rFonts w:ascii="Times New Roman" w:hAnsi="Times New Roman"/>
                <w:bCs/>
                <w:sz w:val="21"/>
                <w:lang w:eastAsia="zh-CN"/>
              </w:rPr>
              <w:t>58</w:t>
            </w:r>
          </w:p>
        </w:tc>
        <w:tc>
          <w:tcPr>
            <w:tcW w:w="648" w:type="pct"/>
            <w:tcBorders>
              <w:top w:val="single" w:sz="4" w:space="0" w:color="auto"/>
              <w:left w:val="single" w:sz="4" w:space="0" w:color="auto"/>
              <w:bottom w:val="single" w:sz="4" w:space="0" w:color="auto"/>
              <w:right w:val="single" w:sz="4" w:space="0" w:color="auto"/>
            </w:tcBorders>
            <w:vAlign w:val="center"/>
          </w:tcPr>
          <w:p w14:paraId="6EC06F90" w14:textId="77777777"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p>
        </w:tc>
        <w:tc>
          <w:tcPr>
            <w:tcW w:w="642" w:type="pct"/>
            <w:tcBorders>
              <w:top w:val="single" w:sz="4" w:space="0" w:color="auto"/>
              <w:left w:val="single" w:sz="4" w:space="0" w:color="auto"/>
              <w:bottom w:val="single" w:sz="4" w:space="0" w:color="auto"/>
              <w:right w:val="single" w:sz="4" w:space="0" w:color="auto"/>
            </w:tcBorders>
            <w:vAlign w:val="center"/>
          </w:tcPr>
          <w:p w14:paraId="6784C951" w14:textId="6EAD5A4B" w:rsidR="00557091" w:rsidRPr="00E67914" w:rsidRDefault="00557091" w:rsidP="00557091">
            <w:pPr>
              <w:jc w:val="center"/>
              <w:rPr>
                <w:rFonts w:ascii="Times New Roman" w:hAnsi="Times New Roman"/>
                <w:bCs/>
                <w:sz w:val="21"/>
                <w:lang w:eastAsia="zh-CN"/>
              </w:rPr>
            </w:pPr>
            <w:r w:rsidRPr="00E67914">
              <w:rPr>
                <w:rFonts w:ascii="Times New Roman" w:hAnsi="Times New Roman"/>
                <w:bCs/>
                <w:sz w:val="21"/>
                <w:lang w:eastAsia="zh-CN"/>
              </w:rPr>
              <w:t>3</w:t>
            </w:r>
          </w:p>
        </w:tc>
      </w:tr>
      <w:tr w:rsidR="00E67914" w:rsidRPr="00E67914" w14:paraId="0C0EA9DA" w14:textId="77777777" w:rsidTr="00707722">
        <w:trPr>
          <w:trHeight w:val="454"/>
          <w:jc w:val="center"/>
        </w:trPr>
        <w:tc>
          <w:tcPr>
            <w:tcW w:w="529" w:type="pct"/>
            <w:vMerge/>
            <w:tcBorders>
              <w:left w:val="single" w:sz="4" w:space="0" w:color="auto"/>
              <w:right w:val="single" w:sz="4" w:space="0" w:color="auto"/>
            </w:tcBorders>
            <w:vAlign w:val="center"/>
          </w:tcPr>
          <w:p w14:paraId="72BE1593" w14:textId="77777777" w:rsidR="00557091" w:rsidRPr="00E67914" w:rsidRDefault="00557091" w:rsidP="00557091">
            <w:pPr>
              <w:jc w:val="center"/>
              <w:rPr>
                <w:rFonts w:ascii="Times New Roman" w:hAnsi="Times New Roman"/>
                <w:kern w:val="2"/>
                <w:sz w:val="21"/>
              </w:rPr>
            </w:pPr>
          </w:p>
        </w:tc>
        <w:tc>
          <w:tcPr>
            <w:tcW w:w="720" w:type="pct"/>
            <w:vMerge/>
            <w:tcBorders>
              <w:left w:val="single" w:sz="4" w:space="0" w:color="auto"/>
              <w:right w:val="single" w:sz="4" w:space="0" w:color="auto"/>
            </w:tcBorders>
            <w:vAlign w:val="center"/>
          </w:tcPr>
          <w:p w14:paraId="014E9F9E" w14:textId="77777777" w:rsidR="00557091" w:rsidRPr="00E67914" w:rsidRDefault="00557091" w:rsidP="00557091">
            <w:pPr>
              <w:jc w:val="center"/>
              <w:rPr>
                <w:rFonts w:ascii="Times New Roman" w:hAnsi="Times New Roman"/>
                <w:kern w:val="2"/>
                <w:sz w:val="21"/>
              </w:rPr>
            </w:pPr>
          </w:p>
        </w:tc>
        <w:tc>
          <w:tcPr>
            <w:tcW w:w="1166" w:type="pct"/>
            <w:tcBorders>
              <w:top w:val="single" w:sz="4" w:space="0" w:color="auto"/>
              <w:left w:val="single" w:sz="4" w:space="0" w:color="auto"/>
              <w:bottom w:val="single" w:sz="4" w:space="0" w:color="auto"/>
              <w:right w:val="single" w:sz="4" w:space="0" w:color="auto"/>
            </w:tcBorders>
            <w:vAlign w:val="center"/>
          </w:tcPr>
          <w:p w14:paraId="404E2393" w14:textId="083668A1" w:rsidR="00557091" w:rsidRPr="00E67914" w:rsidRDefault="00557091" w:rsidP="00557091">
            <w:pPr>
              <w:jc w:val="center"/>
              <w:rPr>
                <w:rFonts w:ascii="Times New Roman" w:hAnsi="Times New Roman"/>
                <w:bCs/>
                <w:sz w:val="21"/>
              </w:rPr>
            </w:pPr>
            <w:r w:rsidRPr="00E67914">
              <w:rPr>
                <w:rFonts w:ascii="Times New Roman" w:hAnsi="Times New Roman"/>
                <w:bCs/>
                <w:sz w:val="21"/>
              </w:rPr>
              <w:t>东</w:t>
            </w:r>
            <w:r w:rsidRPr="00E67914">
              <w:rPr>
                <w:rFonts w:ascii="Times New Roman" w:hAnsi="Times New Roman"/>
                <w:bCs/>
                <w:sz w:val="21"/>
                <w:lang w:eastAsia="zh-CN"/>
              </w:rPr>
              <w:t>北</w:t>
            </w:r>
            <w:r w:rsidRPr="00E67914">
              <w:rPr>
                <w:rFonts w:ascii="Times New Roman" w:hAnsi="Times New Roman"/>
                <w:bCs/>
                <w:sz w:val="21"/>
              </w:rPr>
              <w:t>场界</w:t>
            </w:r>
          </w:p>
          <w:p w14:paraId="10B79A92" w14:textId="78EB39E0"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r w:rsidRPr="00E67914">
              <w:rPr>
                <w:rFonts w:ascii="Times New Roman" w:hAnsi="Times New Roman"/>
                <w:bCs/>
                <w:sz w:val="21"/>
              </w:rPr>
              <w:t>41.38,118.26,1.2</w:t>
            </w:r>
            <w:r w:rsidRPr="00E67914">
              <w:rPr>
                <w:rFonts w:ascii="Times New Roman" w:hAnsi="Times New Roman"/>
                <w:bCs/>
                <w:sz w:val="21"/>
              </w:rPr>
              <w:t>）</w:t>
            </w:r>
          </w:p>
        </w:tc>
        <w:tc>
          <w:tcPr>
            <w:tcW w:w="647" w:type="pct"/>
            <w:tcBorders>
              <w:top w:val="single" w:sz="4" w:space="0" w:color="auto"/>
              <w:left w:val="single" w:sz="4" w:space="0" w:color="auto"/>
              <w:bottom w:val="single" w:sz="4" w:space="0" w:color="auto"/>
              <w:right w:val="single" w:sz="4" w:space="0" w:color="auto"/>
            </w:tcBorders>
            <w:vAlign w:val="center"/>
          </w:tcPr>
          <w:p w14:paraId="6EB17BA6" w14:textId="6A121B79" w:rsidR="00557091" w:rsidRPr="00E67914" w:rsidRDefault="00557091" w:rsidP="00557091">
            <w:pPr>
              <w:jc w:val="center"/>
              <w:rPr>
                <w:rFonts w:ascii="Times New Roman" w:hAnsi="Times New Roman"/>
                <w:bCs/>
                <w:sz w:val="21"/>
                <w:lang w:eastAsia="zh-CN"/>
              </w:rPr>
            </w:pPr>
            <w:r w:rsidRPr="00E67914">
              <w:rPr>
                <w:rFonts w:ascii="Times New Roman" w:hAnsi="Times New Roman"/>
                <w:bCs/>
                <w:sz w:val="21"/>
                <w:lang w:eastAsia="zh-CN"/>
              </w:rPr>
              <w:t>58</w:t>
            </w:r>
          </w:p>
        </w:tc>
        <w:tc>
          <w:tcPr>
            <w:tcW w:w="648" w:type="pct"/>
            <w:tcBorders>
              <w:top w:val="single" w:sz="4" w:space="0" w:color="auto"/>
              <w:left w:val="single" w:sz="4" w:space="0" w:color="auto"/>
              <w:bottom w:val="single" w:sz="4" w:space="0" w:color="auto"/>
              <w:right w:val="single" w:sz="4" w:space="0" w:color="auto"/>
            </w:tcBorders>
            <w:vAlign w:val="center"/>
          </w:tcPr>
          <w:p w14:paraId="29E17A61" w14:textId="388CB216" w:rsidR="00557091" w:rsidRPr="00E67914" w:rsidRDefault="00557091" w:rsidP="00557091">
            <w:pPr>
              <w:jc w:val="center"/>
              <w:rPr>
                <w:rFonts w:ascii="Times New Roman" w:hAnsi="Times New Roman"/>
                <w:bCs/>
                <w:sz w:val="21"/>
              </w:rPr>
            </w:pPr>
            <w:r w:rsidRPr="00E67914">
              <w:rPr>
                <w:rFonts w:ascii="Times New Roman" w:hAnsi="Times New Roman"/>
                <w:bCs/>
                <w:sz w:val="21"/>
                <w:lang w:eastAsia="zh-CN"/>
              </w:rPr>
              <w:t>58</w:t>
            </w:r>
          </w:p>
        </w:tc>
        <w:tc>
          <w:tcPr>
            <w:tcW w:w="648" w:type="pct"/>
            <w:tcBorders>
              <w:top w:val="single" w:sz="4" w:space="0" w:color="auto"/>
              <w:left w:val="single" w:sz="4" w:space="0" w:color="auto"/>
              <w:bottom w:val="single" w:sz="4" w:space="0" w:color="auto"/>
              <w:right w:val="single" w:sz="4" w:space="0" w:color="auto"/>
            </w:tcBorders>
            <w:vAlign w:val="center"/>
          </w:tcPr>
          <w:p w14:paraId="4A20A471" w14:textId="77777777"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p>
        </w:tc>
        <w:tc>
          <w:tcPr>
            <w:tcW w:w="642" w:type="pct"/>
            <w:tcBorders>
              <w:top w:val="single" w:sz="4" w:space="0" w:color="auto"/>
              <w:left w:val="single" w:sz="4" w:space="0" w:color="auto"/>
              <w:bottom w:val="single" w:sz="4" w:space="0" w:color="auto"/>
              <w:right w:val="single" w:sz="4" w:space="0" w:color="auto"/>
            </w:tcBorders>
            <w:vAlign w:val="center"/>
          </w:tcPr>
          <w:p w14:paraId="61516EA5" w14:textId="0B6DE3C3" w:rsidR="00557091" w:rsidRPr="00E67914" w:rsidRDefault="00557091" w:rsidP="00557091">
            <w:pPr>
              <w:jc w:val="center"/>
              <w:rPr>
                <w:rFonts w:ascii="Times New Roman" w:hAnsi="Times New Roman"/>
                <w:bCs/>
                <w:sz w:val="21"/>
                <w:lang w:eastAsia="zh-CN"/>
              </w:rPr>
            </w:pPr>
            <w:r w:rsidRPr="00E67914">
              <w:rPr>
                <w:rFonts w:ascii="Times New Roman" w:hAnsi="Times New Roman"/>
                <w:bCs/>
                <w:sz w:val="21"/>
                <w:lang w:eastAsia="zh-CN"/>
              </w:rPr>
              <w:t>3</w:t>
            </w:r>
          </w:p>
        </w:tc>
      </w:tr>
      <w:tr w:rsidR="00E67914" w:rsidRPr="00E67914" w14:paraId="701836CE" w14:textId="77777777" w:rsidTr="00707722">
        <w:trPr>
          <w:trHeight w:val="454"/>
          <w:jc w:val="center"/>
        </w:trPr>
        <w:tc>
          <w:tcPr>
            <w:tcW w:w="529" w:type="pct"/>
            <w:vMerge/>
            <w:tcBorders>
              <w:left w:val="single" w:sz="4" w:space="0" w:color="auto"/>
              <w:right w:val="single" w:sz="4" w:space="0" w:color="auto"/>
            </w:tcBorders>
            <w:vAlign w:val="center"/>
          </w:tcPr>
          <w:p w14:paraId="2996D7FA" w14:textId="77777777" w:rsidR="00557091" w:rsidRPr="00E67914" w:rsidRDefault="00557091" w:rsidP="00557091">
            <w:pPr>
              <w:jc w:val="center"/>
              <w:rPr>
                <w:rFonts w:ascii="Times New Roman" w:hAnsi="Times New Roman"/>
                <w:kern w:val="2"/>
                <w:sz w:val="21"/>
              </w:rPr>
            </w:pPr>
          </w:p>
        </w:tc>
        <w:tc>
          <w:tcPr>
            <w:tcW w:w="720" w:type="pct"/>
            <w:vMerge/>
            <w:tcBorders>
              <w:left w:val="single" w:sz="4" w:space="0" w:color="auto"/>
              <w:right w:val="single" w:sz="4" w:space="0" w:color="auto"/>
            </w:tcBorders>
            <w:vAlign w:val="center"/>
          </w:tcPr>
          <w:p w14:paraId="1AE86C1D" w14:textId="77777777" w:rsidR="00557091" w:rsidRPr="00E67914" w:rsidRDefault="00557091" w:rsidP="00557091">
            <w:pPr>
              <w:jc w:val="center"/>
              <w:rPr>
                <w:rFonts w:ascii="Times New Roman" w:hAnsi="Times New Roman"/>
                <w:kern w:val="2"/>
                <w:sz w:val="21"/>
              </w:rPr>
            </w:pPr>
          </w:p>
        </w:tc>
        <w:tc>
          <w:tcPr>
            <w:tcW w:w="1166" w:type="pct"/>
            <w:tcBorders>
              <w:top w:val="single" w:sz="4" w:space="0" w:color="auto"/>
              <w:left w:val="single" w:sz="4" w:space="0" w:color="auto"/>
              <w:bottom w:val="single" w:sz="4" w:space="0" w:color="auto"/>
              <w:right w:val="single" w:sz="4" w:space="0" w:color="auto"/>
            </w:tcBorders>
            <w:vAlign w:val="center"/>
          </w:tcPr>
          <w:p w14:paraId="6188434A" w14:textId="273E438E" w:rsidR="00557091" w:rsidRPr="00E67914" w:rsidRDefault="00557091" w:rsidP="00557091">
            <w:pPr>
              <w:jc w:val="center"/>
              <w:rPr>
                <w:rFonts w:ascii="Times New Roman" w:hAnsi="Times New Roman"/>
                <w:bCs/>
                <w:sz w:val="21"/>
              </w:rPr>
            </w:pPr>
            <w:r w:rsidRPr="00E67914">
              <w:rPr>
                <w:rFonts w:ascii="Times New Roman" w:hAnsi="Times New Roman"/>
                <w:bCs/>
                <w:sz w:val="21"/>
              </w:rPr>
              <w:t>西</w:t>
            </w:r>
            <w:r w:rsidRPr="00E67914">
              <w:rPr>
                <w:rFonts w:ascii="Times New Roman" w:hAnsi="Times New Roman"/>
                <w:bCs/>
                <w:sz w:val="21"/>
                <w:lang w:eastAsia="zh-CN"/>
              </w:rPr>
              <w:t>北</w:t>
            </w:r>
            <w:r w:rsidRPr="00E67914">
              <w:rPr>
                <w:rFonts w:ascii="Times New Roman" w:hAnsi="Times New Roman"/>
                <w:bCs/>
                <w:sz w:val="21"/>
              </w:rPr>
              <w:t>场界</w:t>
            </w:r>
          </w:p>
          <w:p w14:paraId="438A54E9" w14:textId="5941E4CF"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r w:rsidRPr="00E67914">
              <w:rPr>
                <w:rFonts w:ascii="Times New Roman" w:hAnsi="Times New Roman"/>
                <w:bCs/>
                <w:sz w:val="21"/>
                <w:lang w:eastAsia="zh-CN"/>
              </w:rPr>
              <w:t>-11.01</w:t>
            </w:r>
            <w:r w:rsidRPr="00E67914">
              <w:rPr>
                <w:rFonts w:ascii="Times New Roman" w:hAnsi="Times New Roman"/>
                <w:bCs/>
                <w:sz w:val="21"/>
              </w:rPr>
              <w:t>,109.23,1.2</w:t>
            </w:r>
            <w:r w:rsidRPr="00E67914">
              <w:rPr>
                <w:rFonts w:ascii="Times New Roman" w:hAnsi="Times New Roman"/>
                <w:bCs/>
                <w:sz w:val="21"/>
              </w:rPr>
              <w:t>）</w:t>
            </w:r>
          </w:p>
        </w:tc>
        <w:tc>
          <w:tcPr>
            <w:tcW w:w="647" w:type="pct"/>
            <w:tcBorders>
              <w:top w:val="single" w:sz="4" w:space="0" w:color="auto"/>
              <w:left w:val="single" w:sz="4" w:space="0" w:color="auto"/>
              <w:bottom w:val="single" w:sz="4" w:space="0" w:color="auto"/>
              <w:right w:val="single" w:sz="4" w:space="0" w:color="auto"/>
            </w:tcBorders>
            <w:vAlign w:val="center"/>
          </w:tcPr>
          <w:p w14:paraId="2CE83F1E" w14:textId="0B979B52" w:rsidR="00557091" w:rsidRPr="00E67914" w:rsidRDefault="00557091" w:rsidP="00557091">
            <w:pPr>
              <w:jc w:val="center"/>
              <w:rPr>
                <w:rFonts w:ascii="Times New Roman" w:hAnsi="Times New Roman"/>
                <w:bCs/>
                <w:sz w:val="21"/>
                <w:lang w:eastAsia="zh-CN"/>
              </w:rPr>
            </w:pPr>
            <w:r w:rsidRPr="00E67914">
              <w:rPr>
                <w:rFonts w:ascii="Times New Roman" w:hAnsi="Times New Roman"/>
                <w:bCs/>
                <w:sz w:val="21"/>
                <w:lang w:eastAsia="zh-CN"/>
              </w:rPr>
              <w:t>55</w:t>
            </w:r>
          </w:p>
        </w:tc>
        <w:tc>
          <w:tcPr>
            <w:tcW w:w="648" w:type="pct"/>
            <w:tcBorders>
              <w:top w:val="single" w:sz="4" w:space="0" w:color="auto"/>
              <w:left w:val="single" w:sz="4" w:space="0" w:color="auto"/>
              <w:bottom w:val="single" w:sz="4" w:space="0" w:color="auto"/>
              <w:right w:val="single" w:sz="4" w:space="0" w:color="auto"/>
            </w:tcBorders>
            <w:vAlign w:val="center"/>
          </w:tcPr>
          <w:p w14:paraId="64CA3EE2" w14:textId="0898C366" w:rsidR="00557091" w:rsidRPr="00E67914" w:rsidRDefault="00557091" w:rsidP="00557091">
            <w:pPr>
              <w:jc w:val="center"/>
              <w:rPr>
                <w:rFonts w:ascii="Times New Roman" w:hAnsi="Times New Roman"/>
                <w:bCs/>
                <w:sz w:val="21"/>
              </w:rPr>
            </w:pPr>
            <w:r w:rsidRPr="00E67914">
              <w:rPr>
                <w:rFonts w:ascii="Times New Roman" w:hAnsi="Times New Roman"/>
                <w:bCs/>
                <w:sz w:val="21"/>
                <w:lang w:eastAsia="zh-CN"/>
              </w:rPr>
              <w:t>55</w:t>
            </w:r>
          </w:p>
        </w:tc>
        <w:tc>
          <w:tcPr>
            <w:tcW w:w="648" w:type="pct"/>
            <w:tcBorders>
              <w:top w:val="single" w:sz="4" w:space="0" w:color="auto"/>
              <w:left w:val="single" w:sz="4" w:space="0" w:color="auto"/>
              <w:bottom w:val="single" w:sz="4" w:space="0" w:color="auto"/>
              <w:right w:val="single" w:sz="4" w:space="0" w:color="auto"/>
            </w:tcBorders>
            <w:vAlign w:val="center"/>
          </w:tcPr>
          <w:p w14:paraId="3DDB4DE7" w14:textId="77777777"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p>
        </w:tc>
        <w:tc>
          <w:tcPr>
            <w:tcW w:w="642" w:type="pct"/>
            <w:tcBorders>
              <w:top w:val="single" w:sz="4" w:space="0" w:color="auto"/>
              <w:left w:val="single" w:sz="4" w:space="0" w:color="auto"/>
              <w:bottom w:val="single" w:sz="4" w:space="0" w:color="auto"/>
              <w:right w:val="single" w:sz="4" w:space="0" w:color="auto"/>
            </w:tcBorders>
            <w:vAlign w:val="center"/>
          </w:tcPr>
          <w:p w14:paraId="21485CAE" w14:textId="2BD4CE18"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p>
        </w:tc>
      </w:tr>
      <w:tr w:rsidR="00E67914" w:rsidRPr="00E67914" w14:paraId="23F4EFD7" w14:textId="77777777" w:rsidTr="00707722">
        <w:trPr>
          <w:trHeight w:val="454"/>
          <w:jc w:val="center"/>
        </w:trPr>
        <w:tc>
          <w:tcPr>
            <w:tcW w:w="529" w:type="pct"/>
            <w:vMerge/>
            <w:tcBorders>
              <w:left w:val="single" w:sz="4" w:space="0" w:color="auto"/>
              <w:right w:val="single" w:sz="4" w:space="0" w:color="auto"/>
            </w:tcBorders>
            <w:vAlign w:val="center"/>
          </w:tcPr>
          <w:p w14:paraId="6BFB747E" w14:textId="77777777" w:rsidR="00557091" w:rsidRPr="00E67914" w:rsidRDefault="00557091" w:rsidP="00557091">
            <w:pPr>
              <w:jc w:val="center"/>
              <w:rPr>
                <w:rFonts w:ascii="Times New Roman" w:hAnsi="Times New Roman"/>
                <w:kern w:val="2"/>
                <w:sz w:val="21"/>
              </w:rPr>
            </w:pPr>
          </w:p>
        </w:tc>
        <w:tc>
          <w:tcPr>
            <w:tcW w:w="720" w:type="pct"/>
            <w:vMerge/>
            <w:tcBorders>
              <w:left w:val="single" w:sz="4" w:space="0" w:color="auto"/>
              <w:bottom w:val="single" w:sz="4" w:space="0" w:color="auto"/>
              <w:right w:val="single" w:sz="4" w:space="0" w:color="auto"/>
            </w:tcBorders>
            <w:vAlign w:val="center"/>
          </w:tcPr>
          <w:p w14:paraId="28B10920" w14:textId="77777777" w:rsidR="00557091" w:rsidRPr="00E67914" w:rsidRDefault="00557091" w:rsidP="00557091">
            <w:pPr>
              <w:jc w:val="center"/>
              <w:rPr>
                <w:rFonts w:ascii="Times New Roman" w:hAnsi="Times New Roman"/>
                <w:kern w:val="2"/>
                <w:sz w:val="21"/>
              </w:rPr>
            </w:pPr>
          </w:p>
        </w:tc>
        <w:tc>
          <w:tcPr>
            <w:tcW w:w="1166" w:type="pct"/>
            <w:tcBorders>
              <w:top w:val="single" w:sz="4" w:space="0" w:color="auto"/>
              <w:left w:val="single" w:sz="4" w:space="0" w:color="auto"/>
              <w:bottom w:val="single" w:sz="4" w:space="0" w:color="auto"/>
              <w:right w:val="single" w:sz="4" w:space="0" w:color="auto"/>
            </w:tcBorders>
            <w:vAlign w:val="center"/>
          </w:tcPr>
          <w:p w14:paraId="2AB7D423" w14:textId="4A0DD2ED" w:rsidR="00557091" w:rsidRPr="00E67914" w:rsidRDefault="00557091" w:rsidP="00557091">
            <w:pPr>
              <w:jc w:val="center"/>
              <w:rPr>
                <w:rFonts w:ascii="Times New Roman" w:hAnsi="Times New Roman"/>
                <w:bCs/>
                <w:sz w:val="21"/>
              </w:rPr>
            </w:pPr>
            <w:r w:rsidRPr="00E67914">
              <w:rPr>
                <w:rFonts w:ascii="Times New Roman" w:hAnsi="Times New Roman"/>
                <w:bCs/>
                <w:sz w:val="21"/>
              </w:rPr>
              <w:t>西</w:t>
            </w:r>
            <w:r w:rsidRPr="00E67914">
              <w:rPr>
                <w:rFonts w:ascii="Times New Roman" w:hAnsi="Times New Roman"/>
                <w:bCs/>
                <w:sz w:val="21"/>
                <w:lang w:eastAsia="zh-CN"/>
              </w:rPr>
              <w:t>南</w:t>
            </w:r>
            <w:r w:rsidRPr="00E67914">
              <w:rPr>
                <w:rFonts w:ascii="Times New Roman" w:hAnsi="Times New Roman"/>
                <w:bCs/>
                <w:sz w:val="21"/>
              </w:rPr>
              <w:t>场界</w:t>
            </w:r>
          </w:p>
          <w:p w14:paraId="69520F70" w14:textId="12951647"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r w:rsidRPr="00E67914">
              <w:rPr>
                <w:rFonts w:ascii="Times New Roman" w:hAnsi="Times New Roman"/>
                <w:bCs/>
                <w:sz w:val="21"/>
              </w:rPr>
              <w:t>-26.82,11.68,1.2</w:t>
            </w:r>
            <w:r w:rsidRPr="00E67914">
              <w:rPr>
                <w:rFonts w:ascii="Times New Roman" w:hAnsi="Times New Roman"/>
                <w:bCs/>
                <w:sz w:val="21"/>
              </w:rPr>
              <w:t>）</w:t>
            </w:r>
          </w:p>
        </w:tc>
        <w:tc>
          <w:tcPr>
            <w:tcW w:w="647" w:type="pct"/>
            <w:tcBorders>
              <w:top w:val="single" w:sz="4" w:space="0" w:color="auto"/>
              <w:left w:val="single" w:sz="4" w:space="0" w:color="auto"/>
              <w:bottom w:val="single" w:sz="4" w:space="0" w:color="auto"/>
              <w:right w:val="single" w:sz="4" w:space="0" w:color="auto"/>
            </w:tcBorders>
            <w:vAlign w:val="center"/>
          </w:tcPr>
          <w:p w14:paraId="0C273BE5" w14:textId="567E0F5F" w:rsidR="00557091" w:rsidRPr="00E67914" w:rsidRDefault="00557091" w:rsidP="00557091">
            <w:pPr>
              <w:jc w:val="center"/>
              <w:rPr>
                <w:rFonts w:ascii="Times New Roman" w:hAnsi="Times New Roman"/>
                <w:bCs/>
                <w:sz w:val="21"/>
                <w:lang w:eastAsia="zh-CN"/>
              </w:rPr>
            </w:pPr>
            <w:r w:rsidRPr="00E67914">
              <w:rPr>
                <w:rFonts w:ascii="Times New Roman" w:hAnsi="Times New Roman"/>
                <w:bCs/>
                <w:sz w:val="21"/>
                <w:lang w:eastAsia="zh-CN"/>
              </w:rPr>
              <w:t>51</w:t>
            </w:r>
          </w:p>
        </w:tc>
        <w:tc>
          <w:tcPr>
            <w:tcW w:w="648" w:type="pct"/>
            <w:tcBorders>
              <w:top w:val="single" w:sz="4" w:space="0" w:color="auto"/>
              <w:left w:val="single" w:sz="4" w:space="0" w:color="auto"/>
              <w:bottom w:val="single" w:sz="4" w:space="0" w:color="auto"/>
              <w:right w:val="single" w:sz="4" w:space="0" w:color="auto"/>
            </w:tcBorders>
            <w:vAlign w:val="center"/>
          </w:tcPr>
          <w:p w14:paraId="58316B80" w14:textId="678CC584" w:rsidR="00557091" w:rsidRPr="00E67914" w:rsidRDefault="00557091" w:rsidP="00557091">
            <w:pPr>
              <w:jc w:val="center"/>
              <w:rPr>
                <w:rFonts w:ascii="Times New Roman" w:hAnsi="Times New Roman"/>
                <w:bCs/>
                <w:sz w:val="21"/>
              </w:rPr>
            </w:pPr>
            <w:r w:rsidRPr="00E67914">
              <w:rPr>
                <w:rFonts w:ascii="Times New Roman" w:hAnsi="Times New Roman"/>
                <w:bCs/>
                <w:sz w:val="21"/>
                <w:lang w:eastAsia="zh-CN"/>
              </w:rPr>
              <w:t>51</w:t>
            </w:r>
          </w:p>
        </w:tc>
        <w:tc>
          <w:tcPr>
            <w:tcW w:w="648" w:type="pct"/>
            <w:tcBorders>
              <w:top w:val="single" w:sz="4" w:space="0" w:color="auto"/>
              <w:left w:val="single" w:sz="4" w:space="0" w:color="auto"/>
              <w:bottom w:val="single" w:sz="4" w:space="0" w:color="auto"/>
              <w:right w:val="single" w:sz="4" w:space="0" w:color="auto"/>
            </w:tcBorders>
            <w:vAlign w:val="center"/>
          </w:tcPr>
          <w:p w14:paraId="7AF5E6E3" w14:textId="77777777"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p>
        </w:tc>
        <w:tc>
          <w:tcPr>
            <w:tcW w:w="642" w:type="pct"/>
            <w:tcBorders>
              <w:top w:val="single" w:sz="4" w:space="0" w:color="auto"/>
              <w:left w:val="single" w:sz="4" w:space="0" w:color="auto"/>
              <w:bottom w:val="single" w:sz="4" w:space="0" w:color="auto"/>
              <w:right w:val="single" w:sz="4" w:space="0" w:color="auto"/>
            </w:tcBorders>
            <w:vAlign w:val="center"/>
          </w:tcPr>
          <w:p w14:paraId="46A7870E" w14:textId="1DF34B1C" w:rsidR="00557091" w:rsidRPr="00E67914" w:rsidRDefault="00557091" w:rsidP="00557091">
            <w:pPr>
              <w:jc w:val="center"/>
              <w:rPr>
                <w:rFonts w:ascii="Times New Roman" w:hAnsi="Times New Roman"/>
                <w:bCs/>
                <w:sz w:val="21"/>
              </w:rPr>
            </w:pPr>
            <w:r w:rsidRPr="00E67914">
              <w:rPr>
                <w:rFonts w:ascii="Times New Roman" w:hAnsi="Times New Roman"/>
                <w:bCs/>
                <w:sz w:val="21"/>
              </w:rPr>
              <w:t>/</w:t>
            </w:r>
          </w:p>
        </w:tc>
      </w:tr>
      <w:tr w:rsidR="00E67914" w:rsidRPr="00E67914" w14:paraId="0F2A0AE4" w14:textId="77777777" w:rsidTr="00707722">
        <w:trPr>
          <w:trHeight w:val="454"/>
          <w:jc w:val="center"/>
        </w:trPr>
        <w:tc>
          <w:tcPr>
            <w:tcW w:w="529" w:type="pct"/>
            <w:vMerge/>
            <w:tcBorders>
              <w:left w:val="single" w:sz="4" w:space="0" w:color="auto"/>
              <w:right w:val="single" w:sz="4" w:space="0" w:color="auto"/>
            </w:tcBorders>
            <w:vAlign w:val="center"/>
          </w:tcPr>
          <w:p w14:paraId="06A1D716" w14:textId="77777777" w:rsidR="005E70BF" w:rsidRPr="00E67914" w:rsidRDefault="005E70BF" w:rsidP="005E70BF">
            <w:pPr>
              <w:jc w:val="center"/>
              <w:rPr>
                <w:rFonts w:ascii="Times New Roman" w:hAnsi="Times New Roman"/>
                <w:kern w:val="2"/>
                <w:sz w:val="21"/>
              </w:rPr>
            </w:pPr>
          </w:p>
        </w:tc>
        <w:tc>
          <w:tcPr>
            <w:tcW w:w="720" w:type="pct"/>
            <w:vMerge w:val="restart"/>
            <w:tcBorders>
              <w:top w:val="single" w:sz="4" w:space="0" w:color="auto"/>
              <w:left w:val="single" w:sz="4" w:space="0" w:color="auto"/>
              <w:bottom w:val="single" w:sz="4" w:space="0" w:color="auto"/>
              <w:right w:val="single" w:sz="4" w:space="0" w:color="auto"/>
            </w:tcBorders>
            <w:vAlign w:val="center"/>
          </w:tcPr>
          <w:p w14:paraId="09C52184" w14:textId="77777777" w:rsidR="005E70BF" w:rsidRPr="00E67914" w:rsidRDefault="005E70BF" w:rsidP="005E70BF">
            <w:pPr>
              <w:jc w:val="center"/>
              <w:rPr>
                <w:rFonts w:ascii="Times New Roman" w:hAnsi="Times New Roman"/>
                <w:kern w:val="2"/>
                <w:sz w:val="21"/>
              </w:rPr>
            </w:pPr>
            <w:r w:rsidRPr="00E67914">
              <w:rPr>
                <w:rFonts w:ascii="Times New Roman" w:hAnsi="Times New Roman"/>
                <w:kern w:val="2"/>
                <w:sz w:val="21"/>
              </w:rPr>
              <w:t>柴油发</w:t>
            </w:r>
          </w:p>
          <w:p w14:paraId="6AA3731B" w14:textId="77777777" w:rsidR="005E70BF" w:rsidRPr="00E67914" w:rsidRDefault="005E70BF" w:rsidP="005E70BF">
            <w:pPr>
              <w:jc w:val="center"/>
              <w:rPr>
                <w:rFonts w:ascii="Times New Roman" w:hAnsi="Times New Roman"/>
                <w:kern w:val="2"/>
                <w:sz w:val="21"/>
              </w:rPr>
            </w:pPr>
            <w:r w:rsidRPr="00E67914">
              <w:rPr>
                <w:rFonts w:ascii="Times New Roman" w:hAnsi="Times New Roman"/>
                <w:kern w:val="2"/>
                <w:sz w:val="21"/>
              </w:rPr>
              <w:t>电机供电</w:t>
            </w:r>
          </w:p>
        </w:tc>
        <w:tc>
          <w:tcPr>
            <w:tcW w:w="1166" w:type="pct"/>
            <w:tcBorders>
              <w:top w:val="single" w:sz="4" w:space="0" w:color="auto"/>
              <w:left w:val="single" w:sz="4" w:space="0" w:color="auto"/>
              <w:bottom w:val="single" w:sz="4" w:space="0" w:color="auto"/>
              <w:right w:val="single" w:sz="4" w:space="0" w:color="auto"/>
            </w:tcBorders>
            <w:vAlign w:val="center"/>
          </w:tcPr>
          <w:p w14:paraId="6044D746" w14:textId="77777777" w:rsidR="005E70BF" w:rsidRPr="00E67914" w:rsidRDefault="005E70BF" w:rsidP="005E70BF">
            <w:pPr>
              <w:jc w:val="center"/>
              <w:rPr>
                <w:rFonts w:ascii="Times New Roman" w:hAnsi="Times New Roman"/>
                <w:bCs/>
                <w:sz w:val="21"/>
              </w:rPr>
            </w:pPr>
            <w:r w:rsidRPr="00E67914">
              <w:rPr>
                <w:rFonts w:ascii="Times New Roman" w:hAnsi="Times New Roman"/>
                <w:bCs/>
                <w:sz w:val="21"/>
              </w:rPr>
              <w:t>东</w:t>
            </w:r>
            <w:r w:rsidRPr="00E67914">
              <w:rPr>
                <w:rFonts w:ascii="Times New Roman" w:hAnsi="Times New Roman"/>
                <w:bCs/>
                <w:sz w:val="21"/>
                <w:lang w:eastAsia="zh-CN"/>
              </w:rPr>
              <w:t>南</w:t>
            </w:r>
            <w:r w:rsidRPr="00E67914">
              <w:rPr>
                <w:rFonts w:ascii="Times New Roman" w:hAnsi="Times New Roman"/>
                <w:bCs/>
                <w:sz w:val="21"/>
              </w:rPr>
              <w:t>场界</w:t>
            </w:r>
          </w:p>
          <w:p w14:paraId="2AA1F301" w14:textId="4C037C89"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r w:rsidRPr="00E67914">
              <w:rPr>
                <w:rFonts w:ascii="Times New Roman" w:hAnsi="Times New Roman"/>
                <w:bCs/>
                <w:sz w:val="21"/>
              </w:rPr>
              <w:t>35.05,70.84,1.2</w:t>
            </w:r>
            <w:r w:rsidRPr="00E67914">
              <w:rPr>
                <w:rFonts w:ascii="Times New Roman" w:hAnsi="Times New Roman"/>
                <w:bCs/>
                <w:sz w:val="21"/>
              </w:rPr>
              <w:t>）</w:t>
            </w:r>
          </w:p>
        </w:tc>
        <w:tc>
          <w:tcPr>
            <w:tcW w:w="647" w:type="pct"/>
            <w:tcBorders>
              <w:top w:val="single" w:sz="4" w:space="0" w:color="auto"/>
              <w:left w:val="single" w:sz="4" w:space="0" w:color="auto"/>
              <w:bottom w:val="single" w:sz="4" w:space="0" w:color="auto"/>
              <w:right w:val="single" w:sz="4" w:space="0" w:color="auto"/>
            </w:tcBorders>
            <w:vAlign w:val="center"/>
          </w:tcPr>
          <w:p w14:paraId="21F4475B" w14:textId="7A80013C" w:rsidR="005E70BF" w:rsidRPr="00E67914" w:rsidRDefault="005E70BF" w:rsidP="005E70BF">
            <w:pPr>
              <w:jc w:val="center"/>
              <w:rPr>
                <w:rFonts w:ascii="Times New Roman" w:hAnsi="Times New Roman"/>
                <w:bCs/>
                <w:sz w:val="21"/>
                <w:lang w:eastAsia="zh-CN"/>
              </w:rPr>
            </w:pPr>
            <w:r w:rsidRPr="00E67914">
              <w:rPr>
                <w:rFonts w:ascii="Times New Roman" w:hAnsi="Times New Roman"/>
                <w:bCs/>
                <w:sz w:val="21"/>
                <w:lang w:eastAsia="zh-CN"/>
              </w:rPr>
              <w:t>61</w:t>
            </w:r>
          </w:p>
        </w:tc>
        <w:tc>
          <w:tcPr>
            <w:tcW w:w="648" w:type="pct"/>
            <w:tcBorders>
              <w:top w:val="single" w:sz="4" w:space="0" w:color="auto"/>
              <w:left w:val="single" w:sz="4" w:space="0" w:color="auto"/>
              <w:bottom w:val="single" w:sz="4" w:space="0" w:color="auto"/>
              <w:right w:val="single" w:sz="4" w:space="0" w:color="auto"/>
            </w:tcBorders>
            <w:vAlign w:val="center"/>
          </w:tcPr>
          <w:p w14:paraId="3362274E" w14:textId="6C108939" w:rsidR="005E70BF" w:rsidRPr="00E67914" w:rsidRDefault="005E70BF" w:rsidP="005E70BF">
            <w:pPr>
              <w:jc w:val="center"/>
              <w:rPr>
                <w:rFonts w:ascii="Times New Roman" w:hAnsi="Times New Roman"/>
                <w:bCs/>
                <w:sz w:val="21"/>
              </w:rPr>
            </w:pPr>
            <w:r w:rsidRPr="00E67914">
              <w:rPr>
                <w:rFonts w:ascii="Times New Roman" w:hAnsi="Times New Roman"/>
                <w:bCs/>
                <w:sz w:val="21"/>
                <w:lang w:eastAsia="zh-CN"/>
              </w:rPr>
              <w:t>61</w:t>
            </w:r>
          </w:p>
        </w:tc>
        <w:tc>
          <w:tcPr>
            <w:tcW w:w="648" w:type="pct"/>
            <w:tcBorders>
              <w:top w:val="single" w:sz="4" w:space="0" w:color="auto"/>
              <w:left w:val="single" w:sz="4" w:space="0" w:color="auto"/>
              <w:bottom w:val="single" w:sz="4" w:space="0" w:color="auto"/>
              <w:right w:val="single" w:sz="4" w:space="0" w:color="auto"/>
            </w:tcBorders>
            <w:vAlign w:val="center"/>
          </w:tcPr>
          <w:p w14:paraId="578AAC7B" w14:textId="77777777"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p>
        </w:tc>
        <w:tc>
          <w:tcPr>
            <w:tcW w:w="642" w:type="pct"/>
            <w:tcBorders>
              <w:top w:val="single" w:sz="4" w:space="0" w:color="auto"/>
              <w:left w:val="single" w:sz="4" w:space="0" w:color="auto"/>
              <w:bottom w:val="single" w:sz="4" w:space="0" w:color="auto"/>
              <w:right w:val="single" w:sz="4" w:space="0" w:color="auto"/>
            </w:tcBorders>
            <w:vAlign w:val="center"/>
          </w:tcPr>
          <w:p w14:paraId="7E07E005" w14:textId="1684FDB5" w:rsidR="005E70BF" w:rsidRPr="00E67914" w:rsidRDefault="005E70BF" w:rsidP="005E70BF">
            <w:pPr>
              <w:jc w:val="center"/>
              <w:rPr>
                <w:rFonts w:ascii="Times New Roman" w:hAnsi="Times New Roman"/>
                <w:bCs/>
                <w:sz w:val="21"/>
                <w:lang w:eastAsia="zh-CN"/>
              </w:rPr>
            </w:pPr>
            <w:r w:rsidRPr="00E67914">
              <w:rPr>
                <w:rFonts w:ascii="Times New Roman" w:hAnsi="Times New Roman"/>
                <w:bCs/>
                <w:sz w:val="21"/>
                <w:lang w:eastAsia="zh-CN"/>
              </w:rPr>
              <w:t>6</w:t>
            </w:r>
          </w:p>
        </w:tc>
      </w:tr>
      <w:tr w:rsidR="00E67914" w:rsidRPr="00E67914" w14:paraId="3F294596" w14:textId="77777777" w:rsidTr="00707722">
        <w:trPr>
          <w:trHeight w:val="454"/>
          <w:jc w:val="center"/>
        </w:trPr>
        <w:tc>
          <w:tcPr>
            <w:tcW w:w="529" w:type="pct"/>
            <w:vMerge/>
            <w:tcBorders>
              <w:left w:val="single" w:sz="4" w:space="0" w:color="auto"/>
              <w:right w:val="single" w:sz="4" w:space="0" w:color="auto"/>
            </w:tcBorders>
            <w:vAlign w:val="center"/>
          </w:tcPr>
          <w:p w14:paraId="5AF09608" w14:textId="77777777" w:rsidR="005E70BF" w:rsidRPr="00E67914" w:rsidRDefault="005E70BF" w:rsidP="005E70BF">
            <w:pPr>
              <w:jc w:val="center"/>
              <w:rPr>
                <w:rFonts w:ascii="Times New Roman" w:hAnsi="Times New Roman"/>
                <w:kern w:val="2"/>
                <w:sz w:val="21"/>
              </w:rPr>
            </w:pPr>
          </w:p>
        </w:tc>
        <w:tc>
          <w:tcPr>
            <w:tcW w:w="720" w:type="pct"/>
            <w:vMerge/>
            <w:tcBorders>
              <w:top w:val="single" w:sz="4" w:space="0" w:color="auto"/>
              <w:left w:val="single" w:sz="4" w:space="0" w:color="auto"/>
              <w:bottom w:val="single" w:sz="4" w:space="0" w:color="auto"/>
              <w:right w:val="single" w:sz="4" w:space="0" w:color="auto"/>
            </w:tcBorders>
            <w:vAlign w:val="center"/>
          </w:tcPr>
          <w:p w14:paraId="5AB89C81" w14:textId="77777777" w:rsidR="005E70BF" w:rsidRPr="00E67914" w:rsidRDefault="005E70BF" w:rsidP="005E70BF">
            <w:pPr>
              <w:jc w:val="center"/>
              <w:rPr>
                <w:rFonts w:ascii="Times New Roman" w:hAnsi="Times New Roman"/>
                <w:kern w:val="2"/>
                <w:sz w:val="21"/>
              </w:rPr>
            </w:pPr>
          </w:p>
        </w:tc>
        <w:tc>
          <w:tcPr>
            <w:tcW w:w="1166" w:type="pct"/>
            <w:tcBorders>
              <w:top w:val="single" w:sz="4" w:space="0" w:color="auto"/>
              <w:left w:val="single" w:sz="4" w:space="0" w:color="auto"/>
              <w:bottom w:val="single" w:sz="4" w:space="0" w:color="auto"/>
              <w:right w:val="single" w:sz="4" w:space="0" w:color="auto"/>
            </w:tcBorders>
            <w:vAlign w:val="center"/>
          </w:tcPr>
          <w:p w14:paraId="2E0FE112" w14:textId="77777777" w:rsidR="005E70BF" w:rsidRPr="00E67914" w:rsidRDefault="005E70BF" w:rsidP="005E70BF">
            <w:pPr>
              <w:jc w:val="center"/>
              <w:rPr>
                <w:rFonts w:ascii="Times New Roman" w:hAnsi="Times New Roman"/>
                <w:bCs/>
                <w:sz w:val="21"/>
              </w:rPr>
            </w:pPr>
            <w:r w:rsidRPr="00E67914">
              <w:rPr>
                <w:rFonts w:ascii="Times New Roman" w:hAnsi="Times New Roman"/>
                <w:bCs/>
                <w:sz w:val="21"/>
              </w:rPr>
              <w:t>东</w:t>
            </w:r>
            <w:r w:rsidRPr="00E67914">
              <w:rPr>
                <w:rFonts w:ascii="Times New Roman" w:hAnsi="Times New Roman"/>
                <w:bCs/>
                <w:sz w:val="21"/>
                <w:lang w:eastAsia="zh-CN"/>
              </w:rPr>
              <w:t>北</w:t>
            </w:r>
            <w:r w:rsidRPr="00E67914">
              <w:rPr>
                <w:rFonts w:ascii="Times New Roman" w:hAnsi="Times New Roman"/>
                <w:bCs/>
                <w:sz w:val="21"/>
              </w:rPr>
              <w:t>场界</w:t>
            </w:r>
          </w:p>
          <w:p w14:paraId="25D987EE" w14:textId="323A4ABA"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r w:rsidRPr="00E67914">
              <w:rPr>
                <w:rFonts w:ascii="Times New Roman" w:hAnsi="Times New Roman"/>
                <w:bCs/>
                <w:sz w:val="21"/>
              </w:rPr>
              <w:t>41.38,118.26,1.2</w:t>
            </w:r>
            <w:r w:rsidRPr="00E67914">
              <w:rPr>
                <w:rFonts w:ascii="Times New Roman" w:hAnsi="Times New Roman"/>
                <w:bCs/>
                <w:sz w:val="21"/>
              </w:rPr>
              <w:t>）</w:t>
            </w:r>
          </w:p>
        </w:tc>
        <w:tc>
          <w:tcPr>
            <w:tcW w:w="647" w:type="pct"/>
            <w:tcBorders>
              <w:top w:val="single" w:sz="4" w:space="0" w:color="auto"/>
              <w:left w:val="single" w:sz="4" w:space="0" w:color="auto"/>
              <w:bottom w:val="single" w:sz="4" w:space="0" w:color="auto"/>
              <w:right w:val="single" w:sz="4" w:space="0" w:color="auto"/>
            </w:tcBorders>
            <w:vAlign w:val="center"/>
          </w:tcPr>
          <w:p w14:paraId="2540698A" w14:textId="21ABBB64" w:rsidR="005E70BF" w:rsidRPr="00E67914" w:rsidRDefault="005E70BF" w:rsidP="005E70BF">
            <w:pPr>
              <w:jc w:val="center"/>
              <w:rPr>
                <w:rFonts w:ascii="Times New Roman" w:hAnsi="Times New Roman"/>
                <w:bCs/>
                <w:sz w:val="21"/>
                <w:lang w:eastAsia="zh-CN"/>
              </w:rPr>
            </w:pPr>
            <w:r w:rsidRPr="00E67914">
              <w:rPr>
                <w:rFonts w:ascii="Times New Roman" w:hAnsi="Times New Roman"/>
                <w:bCs/>
                <w:sz w:val="21"/>
                <w:lang w:eastAsia="zh-CN"/>
              </w:rPr>
              <w:t>61</w:t>
            </w:r>
          </w:p>
        </w:tc>
        <w:tc>
          <w:tcPr>
            <w:tcW w:w="648" w:type="pct"/>
            <w:tcBorders>
              <w:top w:val="single" w:sz="4" w:space="0" w:color="auto"/>
              <w:left w:val="single" w:sz="4" w:space="0" w:color="auto"/>
              <w:bottom w:val="single" w:sz="4" w:space="0" w:color="auto"/>
              <w:right w:val="single" w:sz="4" w:space="0" w:color="auto"/>
            </w:tcBorders>
            <w:vAlign w:val="center"/>
          </w:tcPr>
          <w:p w14:paraId="331D8FD3" w14:textId="516D40B3" w:rsidR="005E70BF" w:rsidRPr="00E67914" w:rsidRDefault="005E70BF" w:rsidP="005E70BF">
            <w:pPr>
              <w:jc w:val="center"/>
              <w:rPr>
                <w:rFonts w:ascii="Times New Roman" w:hAnsi="Times New Roman"/>
                <w:bCs/>
                <w:sz w:val="21"/>
              </w:rPr>
            </w:pPr>
            <w:r w:rsidRPr="00E67914">
              <w:rPr>
                <w:rFonts w:ascii="Times New Roman" w:hAnsi="Times New Roman"/>
                <w:bCs/>
                <w:sz w:val="21"/>
                <w:lang w:eastAsia="zh-CN"/>
              </w:rPr>
              <w:t>61</w:t>
            </w:r>
          </w:p>
        </w:tc>
        <w:tc>
          <w:tcPr>
            <w:tcW w:w="648" w:type="pct"/>
            <w:tcBorders>
              <w:top w:val="single" w:sz="4" w:space="0" w:color="auto"/>
              <w:left w:val="single" w:sz="4" w:space="0" w:color="auto"/>
              <w:bottom w:val="single" w:sz="4" w:space="0" w:color="auto"/>
              <w:right w:val="single" w:sz="4" w:space="0" w:color="auto"/>
            </w:tcBorders>
            <w:vAlign w:val="center"/>
          </w:tcPr>
          <w:p w14:paraId="10237071" w14:textId="77777777"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p>
        </w:tc>
        <w:tc>
          <w:tcPr>
            <w:tcW w:w="642" w:type="pct"/>
            <w:tcBorders>
              <w:top w:val="single" w:sz="4" w:space="0" w:color="auto"/>
              <w:left w:val="single" w:sz="4" w:space="0" w:color="auto"/>
              <w:bottom w:val="single" w:sz="4" w:space="0" w:color="auto"/>
              <w:right w:val="single" w:sz="4" w:space="0" w:color="auto"/>
            </w:tcBorders>
            <w:vAlign w:val="center"/>
          </w:tcPr>
          <w:p w14:paraId="3A9D49E9" w14:textId="1DCE8304" w:rsidR="005E70BF" w:rsidRPr="00E67914" w:rsidRDefault="005E70BF" w:rsidP="005E70BF">
            <w:pPr>
              <w:jc w:val="center"/>
              <w:rPr>
                <w:rFonts w:ascii="Times New Roman" w:hAnsi="Times New Roman"/>
                <w:bCs/>
                <w:sz w:val="21"/>
                <w:lang w:eastAsia="zh-CN"/>
              </w:rPr>
            </w:pPr>
            <w:r w:rsidRPr="00E67914">
              <w:rPr>
                <w:rFonts w:ascii="Times New Roman" w:hAnsi="Times New Roman"/>
                <w:bCs/>
                <w:sz w:val="21"/>
                <w:lang w:eastAsia="zh-CN"/>
              </w:rPr>
              <w:t>6</w:t>
            </w:r>
          </w:p>
        </w:tc>
      </w:tr>
      <w:tr w:rsidR="00E67914" w:rsidRPr="00E67914" w14:paraId="600849EF" w14:textId="77777777" w:rsidTr="00707722">
        <w:trPr>
          <w:trHeight w:val="454"/>
          <w:jc w:val="center"/>
        </w:trPr>
        <w:tc>
          <w:tcPr>
            <w:tcW w:w="529" w:type="pct"/>
            <w:vMerge/>
            <w:tcBorders>
              <w:left w:val="single" w:sz="4" w:space="0" w:color="auto"/>
              <w:right w:val="single" w:sz="4" w:space="0" w:color="auto"/>
            </w:tcBorders>
            <w:vAlign w:val="center"/>
          </w:tcPr>
          <w:p w14:paraId="2D5F7272" w14:textId="77777777" w:rsidR="005E70BF" w:rsidRPr="00E67914" w:rsidRDefault="005E70BF" w:rsidP="005E70BF">
            <w:pPr>
              <w:jc w:val="center"/>
              <w:rPr>
                <w:rFonts w:ascii="Times New Roman" w:hAnsi="Times New Roman"/>
                <w:kern w:val="2"/>
                <w:sz w:val="21"/>
              </w:rPr>
            </w:pPr>
          </w:p>
        </w:tc>
        <w:tc>
          <w:tcPr>
            <w:tcW w:w="720" w:type="pct"/>
            <w:vMerge/>
            <w:tcBorders>
              <w:top w:val="single" w:sz="4" w:space="0" w:color="auto"/>
              <w:left w:val="single" w:sz="4" w:space="0" w:color="auto"/>
              <w:bottom w:val="single" w:sz="4" w:space="0" w:color="auto"/>
              <w:right w:val="single" w:sz="4" w:space="0" w:color="auto"/>
            </w:tcBorders>
            <w:vAlign w:val="center"/>
          </w:tcPr>
          <w:p w14:paraId="41B648EB" w14:textId="77777777" w:rsidR="005E70BF" w:rsidRPr="00E67914" w:rsidRDefault="005E70BF" w:rsidP="005E70BF">
            <w:pPr>
              <w:jc w:val="center"/>
              <w:rPr>
                <w:rFonts w:ascii="Times New Roman" w:hAnsi="Times New Roman"/>
                <w:kern w:val="2"/>
                <w:sz w:val="21"/>
              </w:rPr>
            </w:pPr>
          </w:p>
        </w:tc>
        <w:tc>
          <w:tcPr>
            <w:tcW w:w="1166" w:type="pct"/>
            <w:tcBorders>
              <w:top w:val="single" w:sz="4" w:space="0" w:color="auto"/>
              <w:left w:val="single" w:sz="4" w:space="0" w:color="auto"/>
              <w:bottom w:val="single" w:sz="4" w:space="0" w:color="auto"/>
              <w:right w:val="single" w:sz="4" w:space="0" w:color="auto"/>
            </w:tcBorders>
            <w:vAlign w:val="center"/>
          </w:tcPr>
          <w:p w14:paraId="33173911" w14:textId="77777777" w:rsidR="005E70BF" w:rsidRPr="00E67914" w:rsidRDefault="005E70BF" w:rsidP="005E70BF">
            <w:pPr>
              <w:jc w:val="center"/>
              <w:rPr>
                <w:rFonts w:ascii="Times New Roman" w:hAnsi="Times New Roman"/>
                <w:bCs/>
                <w:sz w:val="21"/>
              </w:rPr>
            </w:pPr>
            <w:r w:rsidRPr="00E67914">
              <w:rPr>
                <w:rFonts w:ascii="Times New Roman" w:hAnsi="Times New Roman"/>
                <w:bCs/>
                <w:sz w:val="21"/>
              </w:rPr>
              <w:t>西</w:t>
            </w:r>
            <w:r w:rsidRPr="00E67914">
              <w:rPr>
                <w:rFonts w:ascii="Times New Roman" w:hAnsi="Times New Roman"/>
                <w:bCs/>
                <w:sz w:val="21"/>
                <w:lang w:eastAsia="zh-CN"/>
              </w:rPr>
              <w:t>北</w:t>
            </w:r>
            <w:r w:rsidRPr="00E67914">
              <w:rPr>
                <w:rFonts w:ascii="Times New Roman" w:hAnsi="Times New Roman"/>
                <w:bCs/>
                <w:sz w:val="21"/>
              </w:rPr>
              <w:t>场界</w:t>
            </w:r>
          </w:p>
          <w:p w14:paraId="026E71C0" w14:textId="1CF51626"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r w:rsidRPr="00E67914">
              <w:rPr>
                <w:rFonts w:ascii="Times New Roman" w:hAnsi="Times New Roman"/>
                <w:bCs/>
                <w:sz w:val="21"/>
                <w:lang w:eastAsia="zh-CN"/>
              </w:rPr>
              <w:t>-11.01</w:t>
            </w:r>
            <w:r w:rsidRPr="00E67914">
              <w:rPr>
                <w:rFonts w:ascii="Times New Roman" w:hAnsi="Times New Roman"/>
                <w:bCs/>
                <w:sz w:val="21"/>
              </w:rPr>
              <w:t>,109.23,1.2</w:t>
            </w:r>
            <w:r w:rsidRPr="00E67914">
              <w:rPr>
                <w:rFonts w:ascii="Times New Roman" w:hAnsi="Times New Roman"/>
                <w:bCs/>
                <w:sz w:val="21"/>
              </w:rPr>
              <w:t>）</w:t>
            </w:r>
          </w:p>
        </w:tc>
        <w:tc>
          <w:tcPr>
            <w:tcW w:w="647" w:type="pct"/>
            <w:tcBorders>
              <w:top w:val="single" w:sz="4" w:space="0" w:color="auto"/>
              <w:left w:val="single" w:sz="4" w:space="0" w:color="auto"/>
              <w:bottom w:val="single" w:sz="4" w:space="0" w:color="auto"/>
              <w:right w:val="single" w:sz="4" w:space="0" w:color="auto"/>
            </w:tcBorders>
            <w:vAlign w:val="center"/>
          </w:tcPr>
          <w:p w14:paraId="620E75AA" w14:textId="4FD0E2B8" w:rsidR="005E70BF" w:rsidRPr="00E67914" w:rsidRDefault="005E70BF" w:rsidP="005E70BF">
            <w:pPr>
              <w:jc w:val="center"/>
              <w:rPr>
                <w:rFonts w:ascii="Times New Roman" w:hAnsi="Times New Roman"/>
                <w:bCs/>
                <w:sz w:val="21"/>
                <w:lang w:eastAsia="zh-CN"/>
              </w:rPr>
            </w:pPr>
            <w:r w:rsidRPr="00E67914">
              <w:rPr>
                <w:rFonts w:ascii="Times New Roman" w:hAnsi="Times New Roman"/>
                <w:bCs/>
                <w:sz w:val="21"/>
                <w:lang w:eastAsia="zh-CN"/>
              </w:rPr>
              <w:t>58</w:t>
            </w:r>
          </w:p>
        </w:tc>
        <w:tc>
          <w:tcPr>
            <w:tcW w:w="648" w:type="pct"/>
            <w:tcBorders>
              <w:top w:val="single" w:sz="4" w:space="0" w:color="auto"/>
              <w:left w:val="single" w:sz="4" w:space="0" w:color="auto"/>
              <w:bottom w:val="single" w:sz="4" w:space="0" w:color="auto"/>
              <w:right w:val="single" w:sz="4" w:space="0" w:color="auto"/>
            </w:tcBorders>
            <w:vAlign w:val="center"/>
          </w:tcPr>
          <w:p w14:paraId="5FC4ED53" w14:textId="6757E991" w:rsidR="005E70BF" w:rsidRPr="00E67914" w:rsidRDefault="005E70BF" w:rsidP="005E70BF">
            <w:pPr>
              <w:jc w:val="center"/>
              <w:rPr>
                <w:rFonts w:ascii="Times New Roman" w:hAnsi="Times New Roman"/>
                <w:bCs/>
                <w:sz w:val="21"/>
              </w:rPr>
            </w:pPr>
            <w:r w:rsidRPr="00E67914">
              <w:rPr>
                <w:rFonts w:ascii="Times New Roman" w:hAnsi="Times New Roman"/>
                <w:bCs/>
                <w:sz w:val="21"/>
                <w:lang w:eastAsia="zh-CN"/>
              </w:rPr>
              <w:t>58</w:t>
            </w:r>
          </w:p>
        </w:tc>
        <w:tc>
          <w:tcPr>
            <w:tcW w:w="648" w:type="pct"/>
            <w:tcBorders>
              <w:top w:val="single" w:sz="4" w:space="0" w:color="auto"/>
              <w:left w:val="single" w:sz="4" w:space="0" w:color="auto"/>
              <w:bottom w:val="single" w:sz="4" w:space="0" w:color="auto"/>
              <w:right w:val="single" w:sz="4" w:space="0" w:color="auto"/>
            </w:tcBorders>
            <w:vAlign w:val="center"/>
          </w:tcPr>
          <w:p w14:paraId="20D16F95" w14:textId="77777777"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p>
        </w:tc>
        <w:tc>
          <w:tcPr>
            <w:tcW w:w="642" w:type="pct"/>
            <w:tcBorders>
              <w:top w:val="single" w:sz="4" w:space="0" w:color="auto"/>
              <w:left w:val="single" w:sz="4" w:space="0" w:color="auto"/>
              <w:bottom w:val="single" w:sz="4" w:space="0" w:color="auto"/>
              <w:right w:val="single" w:sz="4" w:space="0" w:color="auto"/>
            </w:tcBorders>
            <w:vAlign w:val="center"/>
          </w:tcPr>
          <w:p w14:paraId="1DB26639" w14:textId="7F4539FC" w:rsidR="005E70BF" w:rsidRPr="00E67914" w:rsidRDefault="005E70BF" w:rsidP="005E70BF">
            <w:pPr>
              <w:jc w:val="center"/>
              <w:rPr>
                <w:rFonts w:ascii="Times New Roman" w:hAnsi="Times New Roman"/>
                <w:bCs/>
                <w:sz w:val="21"/>
                <w:lang w:eastAsia="zh-CN"/>
              </w:rPr>
            </w:pPr>
            <w:r w:rsidRPr="00E67914">
              <w:rPr>
                <w:rFonts w:ascii="Times New Roman" w:hAnsi="Times New Roman"/>
                <w:bCs/>
                <w:sz w:val="21"/>
                <w:lang w:eastAsia="zh-CN"/>
              </w:rPr>
              <w:t>3</w:t>
            </w:r>
          </w:p>
        </w:tc>
      </w:tr>
      <w:tr w:rsidR="00E67914" w:rsidRPr="00E67914" w14:paraId="2BEA795D" w14:textId="77777777" w:rsidTr="00707722">
        <w:trPr>
          <w:trHeight w:val="454"/>
          <w:jc w:val="center"/>
        </w:trPr>
        <w:tc>
          <w:tcPr>
            <w:tcW w:w="529" w:type="pct"/>
            <w:vMerge/>
            <w:tcBorders>
              <w:left w:val="single" w:sz="4" w:space="0" w:color="auto"/>
              <w:right w:val="single" w:sz="4" w:space="0" w:color="auto"/>
            </w:tcBorders>
            <w:vAlign w:val="center"/>
          </w:tcPr>
          <w:p w14:paraId="39093CA0" w14:textId="77777777" w:rsidR="005E70BF" w:rsidRPr="00E67914" w:rsidRDefault="005E70BF" w:rsidP="005E70BF">
            <w:pPr>
              <w:jc w:val="center"/>
              <w:rPr>
                <w:rFonts w:ascii="Times New Roman" w:hAnsi="Times New Roman"/>
                <w:kern w:val="2"/>
                <w:sz w:val="21"/>
              </w:rPr>
            </w:pPr>
          </w:p>
        </w:tc>
        <w:tc>
          <w:tcPr>
            <w:tcW w:w="720" w:type="pct"/>
            <w:vMerge/>
            <w:tcBorders>
              <w:top w:val="single" w:sz="4" w:space="0" w:color="auto"/>
              <w:left w:val="single" w:sz="4" w:space="0" w:color="auto"/>
              <w:bottom w:val="single" w:sz="4" w:space="0" w:color="auto"/>
              <w:right w:val="single" w:sz="4" w:space="0" w:color="auto"/>
            </w:tcBorders>
            <w:vAlign w:val="center"/>
          </w:tcPr>
          <w:p w14:paraId="3267A80F" w14:textId="77777777" w:rsidR="005E70BF" w:rsidRPr="00E67914" w:rsidRDefault="005E70BF" w:rsidP="005E70BF">
            <w:pPr>
              <w:jc w:val="center"/>
              <w:rPr>
                <w:rFonts w:ascii="Times New Roman" w:hAnsi="Times New Roman"/>
                <w:kern w:val="2"/>
                <w:sz w:val="21"/>
              </w:rPr>
            </w:pPr>
          </w:p>
        </w:tc>
        <w:tc>
          <w:tcPr>
            <w:tcW w:w="1166" w:type="pct"/>
            <w:tcBorders>
              <w:top w:val="single" w:sz="4" w:space="0" w:color="auto"/>
              <w:left w:val="single" w:sz="4" w:space="0" w:color="auto"/>
              <w:bottom w:val="single" w:sz="4" w:space="0" w:color="auto"/>
              <w:right w:val="single" w:sz="4" w:space="0" w:color="auto"/>
            </w:tcBorders>
            <w:vAlign w:val="center"/>
          </w:tcPr>
          <w:p w14:paraId="450D1045" w14:textId="77777777" w:rsidR="005E70BF" w:rsidRPr="00E67914" w:rsidRDefault="005E70BF" w:rsidP="005E70BF">
            <w:pPr>
              <w:jc w:val="center"/>
              <w:rPr>
                <w:rFonts w:ascii="Times New Roman" w:hAnsi="Times New Roman"/>
                <w:bCs/>
                <w:sz w:val="21"/>
              </w:rPr>
            </w:pPr>
            <w:r w:rsidRPr="00E67914">
              <w:rPr>
                <w:rFonts w:ascii="Times New Roman" w:hAnsi="Times New Roman"/>
                <w:bCs/>
                <w:sz w:val="21"/>
              </w:rPr>
              <w:t>西</w:t>
            </w:r>
            <w:r w:rsidRPr="00E67914">
              <w:rPr>
                <w:rFonts w:ascii="Times New Roman" w:hAnsi="Times New Roman"/>
                <w:bCs/>
                <w:sz w:val="21"/>
                <w:lang w:eastAsia="zh-CN"/>
              </w:rPr>
              <w:t>南</w:t>
            </w:r>
            <w:r w:rsidRPr="00E67914">
              <w:rPr>
                <w:rFonts w:ascii="Times New Roman" w:hAnsi="Times New Roman"/>
                <w:bCs/>
                <w:sz w:val="21"/>
              </w:rPr>
              <w:t>场界</w:t>
            </w:r>
          </w:p>
          <w:p w14:paraId="1C482D00" w14:textId="213603B8"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r w:rsidRPr="00E67914">
              <w:rPr>
                <w:rFonts w:ascii="Times New Roman" w:hAnsi="Times New Roman"/>
                <w:bCs/>
                <w:sz w:val="21"/>
              </w:rPr>
              <w:t>-26.82,11.68,1.2</w:t>
            </w:r>
            <w:r w:rsidRPr="00E67914">
              <w:rPr>
                <w:rFonts w:ascii="Times New Roman" w:hAnsi="Times New Roman"/>
                <w:bCs/>
                <w:sz w:val="21"/>
              </w:rPr>
              <w:t>）</w:t>
            </w:r>
          </w:p>
        </w:tc>
        <w:tc>
          <w:tcPr>
            <w:tcW w:w="647" w:type="pct"/>
            <w:tcBorders>
              <w:top w:val="single" w:sz="4" w:space="0" w:color="auto"/>
              <w:left w:val="single" w:sz="4" w:space="0" w:color="auto"/>
              <w:bottom w:val="single" w:sz="4" w:space="0" w:color="auto"/>
              <w:right w:val="single" w:sz="4" w:space="0" w:color="auto"/>
            </w:tcBorders>
            <w:vAlign w:val="center"/>
          </w:tcPr>
          <w:p w14:paraId="17F32953" w14:textId="7BE734A5" w:rsidR="005E70BF" w:rsidRPr="00E67914" w:rsidRDefault="005E70BF" w:rsidP="005E70BF">
            <w:pPr>
              <w:jc w:val="center"/>
              <w:rPr>
                <w:rFonts w:ascii="Times New Roman" w:hAnsi="Times New Roman"/>
                <w:bCs/>
                <w:sz w:val="21"/>
                <w:lang w:eastAsia="zh-CN"/>
              </w:rPr>
            </w:pPr>
            <w:r w:rsidRPr="00E67914">
              <w:rPr>
                <w:rFonts w:ascii="Times New Roman" w:hAnsi="Times New Roman"/>
                <w:bCs/>
                <w:sz w:val="21"/>
                <w:lang w:eastAsia="zh-CN"/>
              </w:rPr>
              <w:t>52</w:t>
            </w:r>
          </w:p>
        </w:tc>
        <w:tc>
          <w:tcPr>
            <w:tcW w:w="648" w:type="pct"/>
            <w:tcBorders>
              <w:top w:val="single" w:sz="4" w:space="0" w:color="auto"/>
              <w:left w:val="single" w:sz="4" w:space="0" w:color="auto"/>
              <w:bottom w:val="single" w:sz="4" w:space="0" w:color="auto"/>
              <w:right w:val="single" w:sz="4" w:space="0" w:color="auto"/>
            </w:tcBorders>
            <w:vAlign w:val="center"/>
          </w:tcPr>
          <w:p w14:paraId="66852433" w14:textId="32A85803" w:rsidR="005E70BF" w:rsidRPr="00E67914" w:rsidRDefault="005E70BF" w:rsidP="005E70BF">
            <w:pPr>
              <w:jc w:val="center"/>
              <w:rPr>
                <w:rFonts w:ascii="Times New Roman" w:hAnsi="Times New Roman"/>
                <w:bCs/>
                <w:sz w:val="21"/>
              </w:rPr>
            </w:pPr>
            <w:r w:rsidRPr="00E67914">
              <w:rPr>
                <w:rFonts w:ascii="Times New Roman" w:hAnsi="Times New Roman"/>
                <w:bCs/>
                <w:sz w:val="21"/>
                <w:lang w:eastAsia="zh-CN"/>
              </w:rPr>
              <w:t>52</w:t>
            </w:r>
          </w:p>
        </w:tc>
        <w:tc>
          <w:tcPr>
            <w:tcW w:w="648" w:type="pct"/>
            <w:tcBorders>
              <w:top w:val="single" w:sz="4" w:space="0" w:color="auto"/>
              <w:left w:val="single" w:sz="4" w:space="0" w:color="auto"/>
              <w:bottom w:val="single" w:sz="4" w:space="0" w:color="auto"/>
              <w:right w:val="single" w:sz="4" w:space="0" w:color="auto"/>
            </w:tcBorders>
            <w:vAlign w:val="center"/>
          </w:tcPr>
          <w:p w14:paraId="1CCAAA92" w14:textId="77777777"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p>
        </w:tc>
        <w:tc>
          <w:tcPr>
            <w:tcW w:w="642" w:type="pct"/>
            <w:tcBorders>
              <w:top w:val="single" w:sz="4" w:space="0" w:color="auto"/>
              <w:left w:val="single" w:sz="4" w:space="0" w:color="auto"/>
              <w:bottom w:val="single" w:sz="4" w:space="0" w:color="auto"/>
              <w:right w:val="single" w:sz="4" w:space="0" w:color="auto"/>
            </w:tcBorders>
            <w:vAlign w:val="center"/>
          </w:tcPr>
          <w:p w14:paraId="25FE680D" w14:textId="03A28322" w:rsidR="005E70BF" w:rsidRPr="00E67914" w:rsidRDefault="005E70BF" w:rsidP="005E70BF">
            <w:pPr>
              <w:jc w:val="center"/>
              <w:rPr>
                <w:rFonts w:ascii="Times New Roman" w:hAnsi="Times New Roman"/>
                <w:bCs/>
                <w:sz w:val="21"/>
              </w:rPr>
            </w:pPr>
            <w:r w:rsidRPr="00E67914">
              <w:rPr>
                <w:rFonts w:ascii="Times New Roman" w:hAnsi="Times New Roman"/>
                <w:bCs/>
                <w:sz w:val="21"/>
              </w:rPr>
              <w:t>/</w:t>
            </w:r>
          </w:p>
        </w:tc>
      </w:tr>
    </w:tbl>
    <w:p w14:paraId="5D3EB8EE" w14:textId="77777777" w:rsidR="00A54A8A" w:rsidRPr="00E67914" w:rsidRDefault="00000000">
      <w:pPr>
        <w:ind w:firstLine="480"/>
        <w:rPr>
          <w:rFonts w:ascii="Times New Roman" w:hAnsi="Times New Roman"/>
          <w:bCs/>
          <w:kern w:val="2"/>
          <w:sz w:val="24"/>
          <w:szCs w:val="24"/>
          <w:lang w:eastAsia="zh-CN"/>
        </w:rPr>
      </w:pPr>
      <w:r w:rsidRPr="00E67914">
        <w:rPr>
          <w:rFonts w:ascii="Times New Roman" w:hAnsi="Times New Roman"/>
          <w:bCs/>
          <w:kern w:val="2"/>
          <w:sz w:val="24"/>
          <w:szCs w:val="24"/>
          <w:lang w:eastAsia="zh-CN"/>
        </w:rPr>
        <w:t>噪声贡献值等声级线图见下图（考虑地形）：</w:t>
      </w:r>
    </w:p>
    <w:p w14:paraId="4A495BA0" w14:textId="33E9E90C" w:rsidR="00A54A8A" w:rsidRPr="00E67914" w:rsidRDefault="00707722">
      <w:pPr>
        <w:jc w:val="center"/>
        <w:rPr>
          <w:rFonts w:ascii="Times New Roman" w:hAnsi="Times New Roman"/>
        </w:rPr>
      </w:pPr>
      <w:r w:rsidRPr="00E67914">
        <w:rPr>
          <w:rFonts w:ascii="Times New Roman" w:hAnsi="Times New Roman"/>
          <w:noProof/>
        </w:rPr>
        <w:lastRenderedPageBreak/>
        <w:drawing>
          <wp:inline distT="0" distB="0" distL="0" distR="0" wp14:anchorId="2F9E2F1A" wp14:editId="280A18CB">
            <wp:extent cx="5258010" cy="3637128"/>
            <wp:effectExtent l="0" t="0" r="0" b="1905"/>
            <wp:docPr id="1301454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54798" name=""/>
                    <pic:cNvPicPr/>
                  </pic:nvPicPr>
                  <pic:blipFill>
                    <a:blip r:embed="rId71"/>
                    <a:stretch>
                      <a:fillRect/>
                    </a:stretch>
                  </pic:blipFill>
                  <pic:spPr>
                    <a:xfrm>
                      <a:off x="0" y="0"/>
                      <a:ext cx="5262391" cy="3640158"/>
                    </a:xfrm>
                    <a:prstGeom prst="rect">
                      <a:avLst/>
                    </a:prstGeom>
                  </pic:spPr>
                </pic:pic>
              </a:graphicData>
            </a:graphic>
          </wp:inline>
        </w:drawing>
      </w:r>
    </w:p>
    <w:p w14:paraId="7B4CE8CE" w14:textId="77777777" w:rsidR="00A54A8A" w:rsidRPr="00E67914" w:rsidRDefault="00000000">
      <w:pPr>
        <w:pStyle w:val="afffff0"/>
        <w:spacing w:line="240" w:lineRule="auto"/>
        <w:rPr>
          <w:rFonts w:ascii="Times New Roman"/>
        </w:rPr>
      </w:pPr>
      <w:r w:rsidRPr="00E67914">
        <w:rPr>
          <w:rFonts w:ascii="Times New Roman"/>
        </w:rPr>
        <w:t>图</w:t>
      </w:r>
      <w:r w:rsidRPr="00E67914">
        <w:rPr>
          <w:rFonts w:ascii="Times New Roman"/>
        </w:rPr>
        <w:t xml:space="preserve">5.1-1  </w:t>
      </w:r>
      <w:r w:rsidRPr="00E67914">
        <w:rPr>
          <w:rFonts w:ascii="Times New Roman"/>
        </w:rPr>
        <w:t>钻井期电网工况噪声贡献值等声级线图</w:t>
      </w:r>
    </w:p>
    <w:p w14:paraId="508C2550" w14:textId="035F541B" w:rsidR="00A54A8A" w:rsidRPr="00E67914" w:rsidRDefault="005E70BF">
      <w:pPr>
        <w:jc w:val="center"/>
        <w:rPr>
          <w:rFonts w:ascii="Times New Roman" w:hAnsi="Times New Roman"/>
        </w:rPr>
      </w:pPr>
      <w:r w:rsidRPr="00E67914">
        <w:rPr>
          <w:rFonts w:ascii="Times New Roman" w:hAnsi="Times New Roman"/>
          <w:noProof/>
        </w:rPr>
        <w:drawing>
          <wp:inline distT="0" distB="0" distL="0" distR="0" wp14:anchorId="7B2A41C8" wp14:editId="17FCBA7C">
            <wp:extent cx="5236352" cy="4619767"/>
            <wp:effectExtent l="0" t="0" r="2540" b="9525"/>
            <wp:docPr id="11651474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47471" name=""/>
                    <pic:cNvPicPr/>
                  </pic:nvPicPr>
                  <pic:blipFill>
                    <a:blip r:embed="rId72"/>
                    <a:stretch>
                      <a:fillRect/>
                    </a:stretch>
                  </pic:blipFill>
                  <pic:spPr>
                    <a:xfrm>
                      <a:off x="0" y="0"/>
                      <a:ext cx="5238668" cy="4621810"/>
                    </a:xfrm>
                    <a:prstGeom prst="rect">
                      <a:avLst/>
                    </a:prstGeom>
                  </pic:spPr>
                </pic:pic>
              </a:graphicData>
            </a:graphic>
          </wp:inline>
        </w:drawing>
      </w:r>
    </w:p>
    <w:p w14:paraId="2B805F48" w14:textId="77777777" w:rsidR="00A54A8A" w:rsidRPr="00E67914" w:rsidRDefault="00000000">
      <w:pPr>
        <w:pStyle w:val="afffff0"/>
        <w:spacing w:line="240" w:lineRule="auto"/>
        <w:rPr>
          <w:rFonts w:ascii="Times New Roman"/>
        </w:rPr>
      </w:pPr>
      <w:r w:rsidRPr="00E67914">
        <w:rPr>
          <w:rFonts w:ascii="Times New Roman"/>
        </w:rPr>
        <w:t>图</w:t>
      </w:r>
      <w:r w:rsidRPr="00E67914">
        <w:rPr>
          <w:rFonts w:ascii="Times New Roman"/>
        </w:rPr>
        <w:t xml:space="preserve">5.1-2  </w:t>
      </w:r>
      <w:r w:rsidRPr="00E67914">
        <w:rPr>
          <w:rFonts w:ascii="Times New Roman"/>
        </w:rPr>
        <w:t>钻井期柴油发电机工况噪声贡献值等声级线图</w:t>
      </w:r>
    </w:p>
    <w:p w14:paraId="76D4123D" w14:textId="17335421"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由上图表可知，在电网供电时，井场四个场界昼间噪声满足《建筑施工场界环境噪声排放标准》（</w:t>
      </w:r>
      <w:r w:rsidRPr="00E67914">
        <w:rPr>
          <w:rFonts w:ascii="Times New Roman" w:hAnsi="Times New Roman"/>
          <w:sz w:val="24"/>
          <w:lang w:eastAsia="zh-CN"/>
        </w:rPr>
        <w:t>GB12523-2011</w:t>
      </w:r>
      <w:r w:rsidRPr="00E67914">
        <w:rPr>
          <w:rFonts w:ascii="Times New Roman" w:hAnsi="Times New Roman"/>
          <w:sz w:val="24"/>
          <w:lang w:eastAsia="zh-CN"/>
        </w:rPr>
        <w:t>）标准，夜间东南和</w:t>
      </w:r>
      <w:r w:rsidR="002B6C62" w:rsidRPr="00E67914">
        <w:rPr>
          <w:rFonts w:ascii="Times New Roman" w:hAnsi="Times New Roman"/>
          <w:sz w:val="24"/>
          <w:lang w:eastAsia="zh-CN"/>
        </w:rPr>
        <w:t>东</w:t>
      </w:r>
      <w:r w:rsidRPr="00E67914">
        <w:rPr>
          <w:rFonts w:ascii="Times New Roman" w:hAnsi="Times New Roman"/>
          <w:sz w:val="24"/>
          <w:lang w:eastAsia="zh-CN"/>
        </w:rPr>
        <w:t>北两个场界噪声均超标，超标</w:t>
      </w:r>
      <w:r w:rsidR="002B6C62" w:rsidRPr="00E67914">
        <w:rPr>
          <w:rFonts w:ascii="Times New Roman" w:hAnsi="Times New Roman"/>
          <w:sz w:val="24"/>
          <w:lang w:eastAsia="zh-CN"/>
        </w:rPr>
        <w:t>3</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）；采用柴油发电机供电钻井施工期间，井场四个场界昼间噪声满足《建筑施工场界环境噪声排放标准》（</w:t>
      </w:r>
      <w:r w:rsidRPr="00E67914">
        <w:rPr>
          <w:rFonts w:ascii="Times New Roman" w:hAnsi="Times New Roman"/>
          <w:sz w:val="24"/>
          <w:lang w:eastAsia="zh-CN"/>
        </w:rPr>
        <w:t>GB12523-2011</w:t>
      </w:r>
      <w:r w:rsidRPr="00E67914">
        <w:rPr>
          <w:rFonts w:ascii="Times New Roman" w:hAnsi="Times New Roman"/>
          <w:sz w:val="24"/>
          <w:lang w:eastAsia="zh-CN"/>
        </w:rPr>
        <w:t>）标准；夜间东</w:t>
      </w:r>
      <w:r w:rsidR="002B6C62" w:rsidRPr="00E67914">
        <w:rPr>
          <w:rFonts w:ascii="Times New Roman" w:hAnsi="Times New Roman"/>
          <w:sz w:val="24"/>
          <w:lang w:eastAsia="zh-CN"/>
        </w:rPr>
        <w:t>南</w:t>
      </w:r>
      <w:r w:rsidRPr="00E67914">
        <w:rPr>
          <w:rFonts w:ascii="Times New Roman" w:hAnsi="Times New Roman"/>
          <w:sz w:val="24"/>
          <w:lang w:eastAsia="zh-CN"/>
        </w:rPr>
        <w:t>、东</w:t>
      </w:r>
      <w:r w:rsidR="002B6C62" w:rsidRPr="00E67914">
        <w:rPr>
          <w:rFonts w:ascii="Times New Roman" w:hAnsi="Times New Roman"/>
          <w:sz w:val="24"/>
          <w:lang w:eastAsia="zh-CN"/>
        </w:rPr>
        <w:t>北</w:t>
      </w:r>
      <w:r w:rsidRPr="00E67914">
        <w:rPr>
          <w:rFonts w:ascii="Times New Roman" w:hAnsi="Times New Roman"/>
          <w:sz w:val="24"/>
          <w:lang w:eastAsia="zh-CN"/>
        </w:rPr>
        <w:t>、西</w:t>
      </w:r>
      <w:r w:rsidR="002B6C62" w:rsidRPr="00E67914">
        <w:rPr>
          <w:rFonts w:ascii="Times New Roman" w:hAnsi="Times New Roman"/>
          <w:sz w:val="24"/>
          <w:lang w:eastAsia="zh-CN"/>
        </w:rPr>
        <w:t>北</w:t>
      </w:r>
      <w:r w:rsidRPr="00E67914">
        <w:rPr>
          <w:rFonts w:ascii="Times New Roman" w:hAnsi="Times New Roman"/>
          <w:sz w:val="24"/>
          <w:lang w:eastAsia="zh-CN"/>
        </w:rPr>
        <w:t>三个场界噪声超标</w:t>
      </w:r>
      <w:r w:rsidR="002B6C62" w:rsidRPr="00E67914">
        <w:rPr>
          <w:rFonts w:ascii="Times New Roman" w:hAnsi="Times New Roman"/>
          <w:sz w:val="24"/>
          <w:lang w:eastAsia="zh-CN"/>
        </w:rPr>
        <w:t>范围为</w:t>
      </w:r>
      <w:r w:rsidR="002B6C62" w:rsidRPr="00E67914">
        <w:rPr>
          <w:rFonts w:ascii="Times New Roman" w:hAnsi="Times New Roman"/>
          <w:sz w:val="24"/>
          <w:lang w:eastAsia="zh-CN"/>
        </w:rPr>
        <w:t>3~6</w:t>
      </w:r>
      <w:r w:rsidRPr="00E67914">
        <w:rPr>
          <w:rFonts w:ascii="Times New Roman" w:hAnsi="Times New Roman"/>
          <w:sz w:val="24"/>
          <w:lang w:eastAsia="zh-CN"/>
        </w:rPr>
        <w:t>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w:t>
      </w:r>
    </w:p>
    <w:p w14:paraId="40CC9A2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由以上分析可知，网电供电时场界噪声明显小于柴油发电机供电，拟建项目钻探期间采用网电供电，且在厂界范围外四周仍按一定距离进行了征地，钻井期噪声仅限于钻机施工，随钻井结束而结束，对周边声环境影响可以接受。</w:t>
      </w:r>
    </w:p>
    <w:p w14:paraId="0441DA7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）敏感点噪声预测结果分析</w:t>
      </w:r>
    </w:p>
    <w:p w14:paraId="6D664E48" w14:textId="4E4226B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结合噪声预测达标范围，本次对网电供电和柴油发电机供电井场边界</w:t>
      </w:r>
      <w:r w:rsidRPr="00E67914">
        <w:rPr>
          <w:rFonts w:ascii="Times New Roman" w:hAnsi="Times New Roman"/>
          <w:sz w:val="24"/>
          <w:lang w:eastAsia="zh-CN"/>
        </w:rPr>
        <w:t>200m</w:t>
      </w:r>
      <w:r w:rsidRPr="00E67914">
        <w:rPr>
          <w:rFonts w:ascii="Times New Roman" w:hAnsi="Times New Roman"/>
          <w:sz w:val="24"/>
          <w:lang w:eastAsia="zh-CN"/>
        </w:rPr>
        <w:t>范围内的居民点进行预测。根据监测结果，选取居民点噪声监测最大值作为噪声背景值进行预测。预测结果详见表</w:t>
      </w:r>
      <w:r w:rsidRPr="00E67914">
        <w:rPr>
          <w:rFonts w:ascii="Times New Roman" w:hAnsi="Times New Roman"/>
          <w:sz w:val="24"/>
          <w:lang w:eastAsia="zh-CN"/>
        </w:rPr>
        <w:t>5.1-</w:t>
      </w:r>
      <w:r w:rsidR="00CB4B0C" w:rsidRPr="00E67914">
        <w:rPr>
          <w:rFonts w:ascii="Times New Roman" w:hAnsi="Times New Roman"/>
          <w:sz w:val="24"/>
          <w:lang w:eastAsia="zh-CN"/>
        </w:rPr>
        <w:t>8</w:t>
      </w:r>
      <w:r w:rsidRPr="00E67914">
        <w:rPr>
          <w:rFonts w:ascii="Times New Roman" w:hAnsi="Times New Roman"/>
          <w:sz w:val="24"/>
          <w:lang w:eastAsia="zh-CN"/>
        </w:rPr>
        <w:t>。</w:t>
      </w:r>
    </w:p>
    <w:p w14:paraId="08D61E90" w14:textId="18A2F6DB" w:rsidR="00A54A8A" w:rsidRPr="00E67914" w:rsidRDefault="00000000">
      <w:pPr>
        <w:pStyle w:val="afffff0"/>
        <w:spacing w:line="240" w:lineRule="auto"/>
        <w:rPr>
          <w:rFonts w:ascii="Times New Roman"/>
        </w:rPr>
      </w:pPr>
      <w:r w:rsidRPr="00E67914">
        <w:rPr>
          <w:rFonts w:ascii="Times New Roman"/>
        </w:rPr>
        <w:t>表</w:t>
      </w:r>
      <w:r w:rsidRPr="00E67914">
        <w:rPr>
          <w:rFonts w:ascii="Times New Roman"/>
        </w:rPr>
        <w:t>5.1-</w:t>
      </w:r>
      <w:r w:rsidR="00CB4B0C" w:rsidRPr="00E67914">
        <w:rPr>
          <w:rFonts w:ascii="Times New Roman"/>
        </w:rPr>
        <w:t>8</w:t>
      </w:r>
      <w:r w:rsidRPr="00E67914">
        <w:rPr>
          <w:rFonts w:ascii="Times New Roman"/>
        </w:rPr>
        <w:t xml:space="preserve">  </w:t>
      </w:r>
      <w:r w:rsidRPr="00E67914">
        <w:rPr>
          <w:rFonts w:ascii="Times New Roman"/>
        </w:rPr>
        <w:t>敏感点声环境预测结果</w:t>
      </w:r>
      <w:r w:rsidRPr="00E67914">
        <w:rPr>
          <w:rFonts w:ascii="Times New Roman"/>
        </w:rPr>
        <w:t xml:space="preserve">   </w:t>
      </w:r>
      <w:r w:rsidRPr="00E67914">
        <w:rPr>
          <w:rFonts w:ascii="Times New Roman"/>
        </w:rPr>
        <w:t>单位：</w:t>
      </w:r>
      <w:r w:rsidRPr="00E67914">
        <w:rPr>
          <w:rFonts w:ascii="Times New Roman"/>
        </w:rPr>
        <w:t>dB</w:t>
      </w:r>
      <w:r w:rsidRPr="00E67914">
        <w:rPr>
          <w:rFonts w:ascii="Times New Roman"/>
        </w:rPr>
        <w:t>（</w:t>
      </w:r>
      <w:r w:rsidRPr="00E67914">
        <w:rPr>
          <w:rFonts w:ascii="Times New Roman"/>
        </w:rPr>
        <w:t>A</w:t>
      </w:r>
      <w:r w:rsidRPr="00E67914">
        <w:rPr>
          <w:rFonts w:ascii="Times New Roma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24"/>
        <w:gridCol w:w="2023"/>
        <w:gridCol w:w="824"/>
        <w:gridCol w:w="632"/>
        <w:gridCol w:w="509"/>
        <w:gridCol w:w="509"/>
        <w:gridCol w:w="453"/>
        <w:gridCol w:w="453"/>
        <w:gridCol w:w="509"/>
        <w:gridCol w:w="509"/>
        <w:gridCol w:w="453"/>
        <w:gridCol w:w="453"/>
        <w:gridCol w:w="265"/>
        <w:gridCol w:w="344"/>
      </w:tblGrid>
      <w:tr w:rsidR="00E67914" w:rsidRPr="00E67914" w14:paraId="68562FDE" w14:textId="77777777" w:rsidTr="00557091">
        <w:trPr>
          <w:trHeight w:val="454"/>
          <w:jc w:val="center"/>
        </w:trPr>
        <w:tc>
          <w:tcPr>
            <w:tcW w:w="620" w:type="pct"/>
            <w:vMerge w:val="restart"/>
            <w:tcBorders>
              <w:top w:val="single" w:sz="4" w:space="0" w:color="auto"/>
              <w:left w:val="single" w:sz="4" w:space="0" w:color="auto"/>
              <w:right w:val="single" w:sz="4" w:space="0" w:color="auto"/>
            </w:tcBorders>
            <w:vAlign w:val="center"/>
          </w:tcPr>
          <w:p w14:paraId="195F3E46" w14:textId="77777777" w:rsidR="00A54A8A" w:rsidRPr="00E67914" w:rsidRDefault="00000000">
            <w:pPr>
              <w:pStyle w:val="04"/>
              <w:rPr>
                <w:rFonts w:eastAsia="黑体" w:cs="Times New Roman"/>
                <w:b/>
                <w:bCs/>
              </w:rPr>
            </w:pPr>
            <w:r w:rsidRPr="00E67914">
              <w:rPr>
                <w:rFonts w:eastAsia="黑体" w:cs="Times New Roman"/>
                <w:b/>
                <w:bCs/>
              </w:rPr>
              <w:t>预测工况</w:t>
            </w:r>
          </w:p>
        </w:tc>
        <w:tc>
          <w:tcPr>
            <w:tcW w:w="1116" w:type="pct"/>
            <w:vMerge w:val="restart"/>
            <w:tcBorders>
              <w:top w:val="single" w:sz="4" w:space="0" w:color="auto"/>
              <w:left w:val="single" w:sz="4" w:space="0" w:color="auto"/>
              <w:bottom w:val="single" w:sz="4" w:space="0" w:color="auto"/>
              <w:right w:val="single" w:sz="4" w:space="0" w:color="auto"/>
            </w:tcBorders>
            <w:vAlign w:val="center"/>
          </w:tcPr>
          <w:p w14:paraId="75E4D39A" w14:textId="77777777" w:rsidR="00A54A8A" w:rsidRPr="00E67914" w:rsidRDefault="00000000">
            <w:pPr>
              <w:pStyle w:val="04"/>
              <w:rPr>
                <w:rFonts w:eastAsia="黑体" w:cs="Times New Roman"/>
                <w:b/>
                <w:bCs/>
              </w:rPr>
            </w:pPr>
            <w:r w:rsidRPr="00E67914">
              <w:rPr>
                <w:rFonts w:eastAsia="黑体" w:cs="Times New Roman"/>
                <w:b/>
                <w:bCs/>
              </w:rPr>
              <w:t>敏感点</w:t>
            </w:r>
          </w:p>
          <w:p w14:paraId="6696A26B" w14:textId="77777777" w:rsidR="00A54A8A" w:rsidRPr="00E67914" w:rsidRDefault="00000000">
            <w:pPr>
              <w:pStyle w:val="04"/>
              <w:rPr>
                <w:rFonts w:eastAsia="黑体" w:cs="Times New Roman"/>
                <w:b/>
                <w:bCs/>
              </w:rPr>
            </w:pPr>
            <w:r w:rsidRPr="00E67914">
              <w:rPr>
                <w:rFonts w:eastAsia="黑体" w:cs="Times New Roman"/>
                <w:b/>
                <w:bCs/>
              </w:rPr>
              <w:t>名称</w:t>
            </w:r>
          </w:p>
        </w:tc>
        <w:tc>
          <w:tcPr>
            <w:tcW w:w="455" w:type="pct"/>
            <w:vMerge w:val="restart"/>
            <w:tcBorders>
              <w:top w:val="single" w:sz="4" w:space="0" w:color="auto"/>
              <w:left w:val="single" w:sz="4" w:space="0" w:color="auto"/>
              <w:bottom w:val="single" w:sz="4" w:space="0" w:color="auto"/>
              <w:right w:val="single" w:sz="4" w:space="0" w:color="auto"/>
            </w:tcBorders>
            <w:vAlign w:val="center"/>
          </w:tcPr>
          <w:p w14:paraId="3BE1DD3B" w14:textId="77777777" w:rsidR="00A54A8A" w:rsidRPr="00E67914" w:rsidRDefault="00000000">
            <w:pPr>
              <w:pStyle w:val="04"/>
              <w:rPr>
                <w:rFonts w:eastAsia="黑体" w:cs="Times New Roman"/>
                <w:b/>
                <w:bCs/>
              </w:rPr>
            </w:pPr>
            <w:r w:rsidRPr="00E67914">
              <w:rPr>
                <w:rFonts w:eastAsia="黑体" w:cs="Times New Roman"/>
                <w:b/>
                <w:bCs/>
              </w:rPr>
              <w:t>距井场</w:t>
            </w:r>
          </w:p>
          <w:p w14:paraId="62F0EBA9" w14:textId="77777777" w:rsidR="00A54A8A" w:rsidRPr="00E67914" w:rsidRDefault="00000000">
            <w:pPr>
              <w:pStyle w:val="04"/>
              <w:rPr>
                <w:rFonts w:eastAsia="黑体" w:cs="Times New Roman"/>
                <w:b/>
                <w:bCs/>
              </w:rPr>
            </w:pPr>
            <w:r w:rsidRPr="00E67914">
              <w:rPr>
                <w:rFonts w:eastAsia="黑体" w:cs="Times New Roman"/>
                <w:b/>
                <w:bCs/>
              </w:rPr>
              <w:t>场界（</w:t>
            </w:r>
            <w:r w:rsidRPr="00E67914">
              <w:rPr>
                <w:rFonts w:eastAsia="黑体" w:cs="Times New Roman"/>
                <w:b/>
                <w:bCs/>
              </w:rPr>
              <w:t>m</w:t>
            </w:r>
            <w:r w:rsidRPr="00E67914">
              <w:rPr>
                <w:rFonts w:eastAsia="黑体" w:cs="Times New Roman"/>
                <w:b/>
                <w:bCs/>
              </w:rPr>
              <w:t>）</w:t>
            </w:r>
          </w:p>
        </w:tc>
        <w:tc>
          <w:tcPr>
            <w:tcW w:w="349" w:type="pct"/>
            <w:vMerge w:val="restart"/>
            <w:tcBorders>
              <w:top w:val="single" w:sz="4" w:space="0" w:color="auto"/>
              <w:left w:val="single" w:sz="4" w:space="0" w:color="auto"/>
              <w:bottom w:val="single" w:sz="4" w:space="0" w:color="auto"/>
              <w:right w:val="single" w:sz="4" w:space="0" w:color="auto"/>
            </w:tcBorders>
            <w:vAlign w:val="center"/>
          </w:tcPr>
          <w:p w14:paraId="4F8D9A52" w14:textId="77777777" w:rsidR="00A54A8A" w:rsidRPr="00E67914" w:rsidRDefault="00000000">
            <w:pPr>
              <w:pStyle w:val="04"/>
              <w:rPr>
                <w:rFonts w:eastAsia="黑体" w:cs="Times New Roman"/>
                <w:b/>
                <w:bCs/>
              </w:rPr>
            </w:pPr>
            <w:r w:rsidRPr="00E67914">
              <w:rPr>
                <w:rFonts w:eastAsia="黑体" w:cs="Times New Roman"/>
                <w:b/>
                <w:bCs/>
              </w:rPr>
              <w:t>与井场</w:t>
            </w:r>
          </w:p>
          <w:p w14:paraId="06661329" w14:textId="77777777" w:rsidR="00A54A8A" w:rsidRPr="00E67914" w:rsidRDefault="00000000">
            <w:pPr>
              <w:pStyle w:val="04"/>
              <w:rPr>
                <w:rFonts w:eastAsia="黑体" w:cs="Times New Roman"/>
                <w:b/>
                <w:bCs/>
              </w:rPr>
            </w:pPr>
            <w:r w:rsidRPr="00E67914">
              <w:rPr>
                <w:rFonts w:eastAsia="黑体" w:cs="Times New Roman"/>
                <w:b/>
                <w:bCs/>
              </w:rPr>
              <w:t>相对方向</w:t>
            </w:r>
          </w:p>
        </w:tc>
        <w:tc>
          <w:tcPr>
            <w:tcW w:w="562" w:type="pct"/>
            <w:gridSpan w:val="2"/>
            <w:tcBorders>
              <w:top w:val="single" w:sz="4" w:space="0" w:color="auto"/>
              <w:left w:val="single" w:sz="4" w:space="0" w:color="auto"/>
              <w:bottom w:val="single" w:sz="4" w:space="0" w:color="auto"/>
              <w:right w:val="single" w:sz="4" w:space="0" w:color="auto"/>
            </w:tcBorders>
            <w:noWrap/>
            <w:vAlign w:val="center"/>
          </w:tcPr>
          <w:p w14:paraId="14F9B76E" w14:textId="77777777" w:rsidR="00A54A8A" w:rsidRPr="00E67914" w:rsidRDefault="00000000">
            <w:pPr>
              <w:pStyle w:val="04"/>
              <w:rPr>
                <w:rFonts w:eastAsia="黑体" w:cs="Times New Roman"/>
                <w:b/>
                <w:bCs/>
              </w:rPr>
            </w:pPr>
            <w:r w:rsidRPr="00E67914">
              <w:rPr>
                <w:rFonts w:eastAsia="黑体" w:cs="Times New Roman"/>
                <w:b/>
                <w:bCs/>
              </w:rPr>
              <w:t>贡献值</w:t>
            </w:r>
          </w:p>
        </w:tc>
        <w:tc>
          <w:tcPr>
            <w:tcW w:w="500" w:type="pct"/>
            <w:gridSpan w:val="2"/>
            <w:tcBorders>
              <w:top w:val="single" w:sz="4" w:space="0" w:color="auto"/>
              <w:left w:val="single" w:sz="4" w:space="0" w:color="auto"/>
              <w:bottom w:val="single" w:sz="4" w:space="0" w:color="auto"/>
              <w:right w:val="single" w:sz="4" w:space="0" w:color="auto"/>
            </w:tcBorders>
            <w:noWrap/>
            <w:vAlign w:val="center"/>
          </w:tcPr>
          <w:p w14:paraId="4AFEBEE4" w14:textId="77777777" w:rsidR="00A54A8A" w:rsidRPr="00E67914" w:rsidRDefault="00000000">
            <w:pPr>
              <w:pStyle w:val="04"/>
              <w:rPr>
                <w:rFonts w:eastAsia="黑体" w:cs="Times New Roman"/>
                <w:b/>
                <w:bCs/>
              </w:rPr>
            </w:pPr>
            <w:r w:rsidRPr="00E67914">
              <w:rPr>
                <w:rFonts w:eastAsia="黑体" w:cs="Times New Roman"/>
                <w:b/>
                <w:bCs/>
              </w:rPr>
              <w:t>背景值</w:t>
            </w:r>
          </w:p>
        </w:tc>
        <w:tc>
          <w:tcPr>
            <w:tcW w:w="562" w:type="pct"/>
            <w:gridSpan w:val="2"/>
            <w:tcBorders>
              <w:top w:val="single" w:sz="4" w:space="0" w:color="auto"/>
              <w:left w:val="single" w:sz="4" w:space="0" w:color="auto"/>
              <w:bottom w:val="single" w:sz="4" w:space="0" w:color="auto"/>
              <w:right w:val="single" w:sz="4" w:space="0" w:color="auto"/>
            </w:tcBorders>
            <w:noWrap/>
            <w:vAlign w:val="center"/>
          </w:tcPr>
          <w:p w14:paraId="29EE190E" w14:textId="77777777" w:rsidR="00A54A8A" w:rsidRPr="00E67914" w:rsidRDefault="00000000">
            <w:pPr>
              <w:pStyle w:val="04"/>
              <w:rPr>
                <w:rFonts w:eastAsia="黑体" w:cs="Times New Roman"/>
                <w:b/>
                <w:bCs/>
              </w:rPr>
            </w:pPr>
            <w:r w:rsidRPr="00E67914">
              <w:rPr>
                <w:rFonts w:eastAsia="黑体" w:cs="Times New Roman"/>
                <w:b/>
                <w:bCs/>
              </w:rPr>
              <w:t>预测值</w:t>
            </w:r>
          </w:p>
        </w:tc>
        <w:tc>
          <w:tcPr>
            <w:tcW w:w="500" w:type="pct"/>
            <w:gridSpan w:val="2"/>
            <w:tcBorders>
              <w:top w:val="single" w:sz="4" w:space="0" w:color="auto"/>
              <w:left w:val="single" w:sz="4" w:space="0" w:color="auto"/>
              <w:bottom w:val="single" w:sz="4" w:space="0" w:color="auto"/>
              <w:right w:val="single" w:sz="4" w:space="0" w:color="auto"/>
            </w:tcBorders>
            <w:noWrap/>
            <w:vAlign w:val="center"/>
          </w:tcPr>
          <w:p w14:paraId="2E43FAF7" w14:textId="77777777" w:rsidR="00A54A8A" w:rsidRPr="00E67914" w:rsidRDefault="00000000">
            <w:pPr>
              <w:pStyle w:val="04"/>
              <w:rPr>
                <w:rFonts w:eastAsia="黑体" w:cs="Times New Roman"/>
                <w:b/>
                <w:bCs/>
              </w:rPr>
            </w:pPr>
            <w:r w:rsidRPr="00E67914">
              <w:rPr>
                <w:rFonts w:eastAsia="黑体" w:cs="Times New Roman"/>
                <w:b/>
                <w:bCs/>
              </w:rPr>
              <w:t>超标范围</w:t>
            </w:r>
          </w:p>
        </w:tc>
        <w:tc>
          <w:tcPr>
            <w:tcW w:w="336" w:type="pct"/>
            <w:gridSpan w:val="2"/>
            <w:tcBorders>
              <w:top w:val="single" w:sz="4" w:space="0" w:color="auto"/>
              <w:left w:val="single" w:sz="4" w:space="0" w:color="auto"/>
              <w:bottom w:val="single" w:sz="4" w:space="0" w:color="auto"/>
              <w:right w:val="single" w:sz="4" w:space="0" w:color="auto"/>
            </w:tcBorders>
            <w:vAlign w:val="center"/>
          </w:tcPr>
          <w:p w14:paraId="00FF9726" w14:textId="77777777" w:rsidR="00A54A8A" w:rsidRPr="00E67914" w:rsidRDefault="00000000">
            <w:pPr>
              <w:pStyle w:val="04"/>
              <w:rPr>
                <w:rFonts w:eastAsia="黑体" w:cs="Times New Roman"/>
                <w:b/>
                <w:bCs/>
              </w:rPr>
            </w:pPr>
            <w:r w:rsidRPr="00E67914">
              <w:rPr>
                <w:rFonts w:eastAsia="黑体" w:cs="Times New Roman"/>
                <w:b/>
                <w:bCs/>
              </w:rPr>
              <w:t>超达标情况</w:t>
            </w:r>
          </w:p>
        </w:tc>
      </w:tr>
      <w:tr w:rsidR="00E67914" w:rsidRPr="00E67914" w14:paraId="43F589BB" w14:textId="77777777" w:rsidTr="00557091">
        <w:trPr>
          <w:trHeight w:val="454"/>
          <w:jc w:val="center"/>
        </w:trPr>
        <w:tc>
          <w:tcPr>
            <w:tcW w:w="620" w:type="pct"/>
            <w:vMerge/>
            <w:tcBorders>
              <w:left w:val="single" w:sz="4" w:space="0" w:color="auto"/>
              <w:bottom w:val="single" w:sz="4" w:space="0" w:color="auto"/>
              <w:right w:val="single" w:sz="4" w:space="0" w:color="auto"/>
            </w:tcBorders>
            <w:vAlign w:val="center"/>
          </w:tcPr>
          <w:p w14:paraId="4D775827" w14:textId="77777777" w:rsidR="00A54A8A" w:rsidRPr="00E67914" w:rsidRDefault="00A54A8A">
            <w:pPr>
              <w:pStyle w:val="04"/>
              <w:rPr>
                <w:rFonts w:eastAsia="黑体" w:cs="Times New Roman"/>
                <w:b/>
                <w:bCs/>
              </w:rPr>
            </w:pPr>
          </w:p>
        </w:tc>
        <w:tc>
          <w:tcPr>
            <w:tcW w:w="1116" w:type="pct"/>
            <w:vMerge/>
            <w:tcBorders>
              <w:top w:val="single" w:sz="4" w:space="0" w:color="auto"/>
              <w:left w:val="single" w:sz="4" w:space="0" w:color="auto"/>
              <w:bottom w:val="single" w:sz="4" w:space="0" w:color="auto"/>
              <w:right w:val="single" w:sz="4" w:space="0" w:color="auto"/>
            </w:tcBorders>
            <w:vAlign w:val="center"/>
          </w:tcPr>
          <w:p w14:paraId="767DA2D0" w14:textId="77777777" w:rsidR="00A54A8A" w:rsidRPr="00E67914" w:rsidRDefault="00A54A8A">
            <w:pPr>
              <w:pStyle w:val="04"/>
              <w:rPr>
                <w:rFonts w:eastAsia="黑体" w:cs="Times New Roman"/>
                <w:b/>
                <w:bCs/>
              </w:rPr>
            </w:pPr>
          </w:p>
        </w:tc>
        <w:tc>
          <w:tcPr>
            <w:tcW w:w="455" w:type="pct"/>
            <w:vMerge/>
            <w:tcBorders>
              <w:top w:val="single" w:sz="4" w:space="0" w:color="auto"/>
              <w:left w:val="single" w:sz="4" w:space="0" w:color="auto"/>
              <w:bottom w:val="single" w:sz="4" w:space="0" w:color="auto"/>
              <w:right w:val="single" w:sz="4" w:space="0" w:color="auto"/>
            </w:tcBorders>
            <w:vAlign w:val="center"/>
          </w:tcPr>
          <w:p w14:paraId="4CDBECD0" w14:textId="77777777" w:rsidR="00A54A8A" w:rsidRPr="00E67914" w:rsidRDefault="00A54A8A">
            <w:pPr>
              <w:pStyle w:val="04"/>
              <w:rPr>
                <w:rFonts w:eastAsia="黑体" w:cs="Times New Roman"/>
                <w:b/>
                <w:bCs/>
              </w:rPr>
            </w:pPr>
          </w:p>
        </w:tc>
        <w:tc>
          <w:tcPr>
            <w:tcW w:w="349" w:type="pct"/>
            <w:vMerge/>
            <w:tcBorders>
              <w:top w:val="single" w:sz="4" w:space="0" w:color="auto"/>
              <w:left w:val="single" w:sz="4" w:space="0" w:color="auto"/>
              <w:bottom w:val="single" w:sz="4" w:space="0" w:color="auto"/>
              <w:right w:val="single" w:sz="4" w:space="0" w:color="auto"/>
            </w:tcBorders>
            <w:vAlign w:val="center"/>
          </w:tcPr>
          <w:p w14:paraId="2C18CD18" w14:textId="77777777" w:rsidR="00A54A8A" w:rsidRPr="00E67914" w:rsidRDefault="00A54A8A">
            <w:pPr>
              <w:pStyle w:val="04"/>
              <w:rPr>
                <w:rFonts w:eastAsia="黑体" w:cs="Times New Roman"/>
                <w:b/>
                <w:bCs/>
              </w:rPr>
            </w:pPr>
          </w:p>
        </w:tc>
        <w:tc>
          <w:tcPr>
            <w:tcW w:w="281" w:type="pct"/>
            <w:tcBorders>
              <w:top w:val="single" w:sz="4" w:space="0" w:color="auto"/>
              <w:left w:val="single" w:sz="4" w:space="0" w:color="auto"/>
              <w:bottom w:val="single" w:sz="4" w:space="0" w:color="auto"/>
              <w:right w:val="single" w:sz="4" w:space="0" w:color="auto"/>
            </w:tcBorders>
            <w:noWrap/>
            <w:vAlign w:val="center"/>
          </w:tcPr>
          <w:p w14:paraId="4E80C9EA" w14:textId="77777777" w:rsidR="00A54A8A" w:rsidRPr="00E67914" w:rsidRDefault="00000000">
            <w:pPr>
              <w:pStyle w:val="04"/>
              <w:rPr>
                <w:rFonts w:eastAsia="黑体" w:cs="Times New Roman"/>
                <w:b/>
                <w:bCs/>
              </w:rPr>
            </w:pPr>
            <w:r w:rsidRPr="00E67914">
              <w:rPr>
                <w:rFonts w:eastAsia="黑体" w:cs="Times New Roman"/>
                <w:b/>
                <w:bCs/>
              </w:rPr>
              <w:t>昼间</w:t>
            </w:r>
          </w:p>
        </w:tc>
        <w:tc>
          <w:tcPr>
            <w:tcW w:w="281" w:type="pct"/>
            <w:tcBorders>
              <w:top w:val="single" w:sz="4" w:space="0" w:color="auto"/>
              <w:left w:val="single" w:sz="4" w:space="0" w:color="auto"/>
              <w:bottom w:val="single" w:sz="4" w:space="0" w:color="auto"/>
              <w:right w:val="single" w:sz="4" w:space="0" w:color="auto"/>
            </w:tcBorders>
            <w:noWrap/>
            <w:vAlign w:val="center"/>
          </w:tcPr>
          <w:p w14:paraId="3DCEF8B0" w14:textId="77777777" w:rsidR="00A54A8A" w:rsidRPr="00E67914" w:rsidRDefault="00000000">
            <w:pPr>
              <w:pStyle w:val="04"/>
              <w:rPr>
                <w:rFonts w:eastAsia="黑体" w:cs="Times New Roman"/>
                <w:b/>
                <w:bCs/>
              </w:rPr>
            </w:pPr>
            <w:r w:rsidRPr="00E67914">
              <w:rPr>
                <w:rFonts w:eastAsia="黑体" w:cs="Times New Roman"/>
                <w:b/>
                <w:bCs/>
              </w:rPr>
              <w:t>夜间</w:t>
            </w:r>
          </w:p>
        </w:tc>
        <w:tc>
          <w:tcPr>
            <w:tcW w:w="250" w:type="pct"/>
            <w:tcBorders>
              <w:top w:val="single" w:sz="4" w:space="0" w:color="auto"/>
              <w:left w:val="single" w:sz="4" w:space="0" w:color="auto"/>
              <w:bottom w:val="single" w:sz="4" w:space="0" w:color="auto"/>
              <w:right w:val="single" w:sz="4" w:space="0" w:color="auto"/>
            </w:tcBorders>
            <w:noWrap/>
            <w:vAlign w:val="center"/>
          </w:tcPr>
          <w:p w14:paraId="48275A3E" w14:textId="77777777" w:rsidR="00A54A8A" w:rsidRPr="00E67914" w:rsidRDefault="00000000">
            <w:pPr>
              <w:pStyle w:val="04"/>
              <w:rPr>
                <w:rFonts w:eastAsia="黑体" w:cs="Times New Roman"/>
                <w:b/>
                <w:bCs/>
              </w:rPr>
            </w:pPr>
            <w:r w:rsidRPr="00E67914">
              <w:rPr>
                <w:rFonts w:eastAsia="黑体" w:cs="Times New Roman"/>
                <w:b/>
                <w:bCs/>
              </w:rPr>
              <w:t>昼间</w:t>
            </w:r>
          </w:p>
        </w:tc>
        <w:tc>
          <w:tcPr>
            <w:tcW w:w="250" w:type="pct"/>
            <w:tcBorders>
              <w:top w:val="single" w:sz="4" w:space="0" w:color="auto"/>
              <w:left w:val="single" w:sz="4" w:space="0" w:color="auto"/>
              <w:bottom w:val="single" w:sz="4" w:space="0" w:color="auto"/>
              <w:right w:val="single" w:sz="4" w:space="0" w:color="auto"/>
            </w:tcBorders>
            <w:noWrap/>
            <w:vAlign w:val="center"/>
          </w:tcPr>
          <w:p w14:paraId="28BDE25A" w14:textId="77777777" w:rsidR="00A54A8A" w:rsidRPr="00E67914" w:rsidRDefault="00000000">
            <w:pPr>
              <w:pStyle w:val="04"/>
              <w:rPr>
                <w:rFonts w:eastAsia="黑体" w:cs="Times New Roman"/>
                <w:b/>
                <w:bCs/>
              </w:rPr>
            </w:pPr>
            <w:r w:rsidRPr="00E67914">
              <w:rPr>
                <w:rFonts w:eastAsia="黑体" w:cs="Times New Roman"/>
                <w:b/>
                <w:bCs/>
              </w:rPr>
              <w:t>夜间</w:t>
            </w:r>
          </w:p>
        </w:tc>
        <w:tc>
          <w:tcPr>
            <w:tcW w:w="281" w:type="pct"/>
            <w:tcBorders>
              <w:top w:val="single" w:sz="4" w:space="0" w:color="auto"/>
              <w:left w:val="single" w:sz="4" w:space="0" w:color="auto"/>
              <w:bottom w:val="single" w:sz="4" w:space="0" w:color="auto"/>
              <w:right w:val="single" w:sz="4" w:space="0" w:color="auto"/>
            </w:tcBorders>
            <w:noWrap/>
            <w:vAlign w:val="center"/>
          </w:tcPr>
          <w:p w14:paraId="17A16AC5" w14:textId="77777777" w:rsidR="00A54A8A" w:rsidRPr="00E67914" w:rsidRDefault="00000000">
            <w:pPr>
              <w:pStyle w:val="04"/>
              <w:rPr>
                <w:rFonts w:eastAsia="黑体" w:cs="Times New Roman"/>
                <w:b/>
                <w:bCs/>
              </w:rPr>
            </w:pPr>
            <w:r w:rsidRPr="00E67914">
              <w:rPr>
                <w:rFonts w:eastAsia="黑体" w:cs="Times New Roman"/>
                <w:b/>
                <w:bCs/>
              </w:rPr>
              <w:t>昼间</w:t>
            </w:r>
          </w:p>
        </w:tc>
        <w:tc>
          <w:tcPr>
            <w:tcW w:w="281" w:type="pct"/>
            <w:tcBorders>
              <w:top w:val="single" w:sz="4" w:space="0" w:color="auto"/>
              <w:left w:val="single" w:sz="4" w:space="0" w:color="auto"/>
              <w:bottom w:val="single" w:sz="4" w:space="0" w:color="auto"/>
              <w:right w:val="single" w:sz="4" w:space="0" w:color="auto"/>
            </w:tcBorders>
            <w:noWrap/>
            <w:vAlign w:val="center"/>
          </w:tcPr>
          <w:p w14:paraId="2689B367" w14:textId="77777777" w:rsidR="00A54A8A" w:rsidRPr="00E67914" w:rsidRDefault="00000000">
            <w:pPr>
              <w:pStyle w:val="04"/>
              <w:rPr>
                <w:rFonts w:eastAsia="黑体" w:cs="Times New Roman"/>
                <w:b/>
                <w:bCs/>
              </w:rPr>
            </w:pPr>
            <w:r w:rsidRPr="00E67914">
              <w:rPr>
                <w:rFonts w:eastAsia="黑体" w:cs="Times New Roman"/>
                <w:b/>
                <w:bCs/>
              </w:rPr>
              <w:t>夜间</w:t>
            </w:r>
          </w:p>
        </w:tc>
        <w:tc>
          <w:tcPr>
            <w:tcW w:w="250" w:type="pct"/>
            <w:tcBorders>
              <w:top w:val="single" w:sz="4" w:space="0" w:color="auto"/>
              <w:left w:val="single" w:sz="4" w:space="0" w:color="auto"/>
              <w:bottom w:val="single" w:sz="4" w:space="0" w:color="auto"/>
              <w:right w:val="single" w:sz="4" w:space="0" w:color="auto"/>
            </w:tcBorders>
            <w:noWrap/>
            <w:vAlign w:val="center"/>
          </w:tcPr>
          <w:p w14:paraId="0BB433DD" w14:textId="77777777" w:rsidR="00A54A8A" w:rsidRPr="00E67914" w:rsidRDefault="00000000">
            <w:pPr>
              <w:pStyle w:val="04"/>
              <w:rPr>
                <w:rFonts w:eastAsia="黑体" w:cs="Times New Roman"/>
                <w:b/>
                <w:bCs/>
              </w:rPr>
            </w:pPr>
            <w:r w:rsidRPr="00E67914">
              <w:rPr>
                <w:rFonts w:eastAsia="黑体" w:cs="Times New Roman"/>
                <w:b/>
                <w:bCs/>
              </w:rPr>
              <w:t>昼间</w:t>
            </w:r>
          </w:p>
        </w:tc>
        <w:tc>
          <w:tcPr>
            <w:tcW w:w="250" w:type="pct"/>
            <w:tcBorders>
              <w:top w:val="single" w:sz="4" w:space="0" w:color="auto"/>
              <w:left w:val="single" w:sz="4" w:space="0" w:color="auto"/>
              <w:bottom w:val="single" w:sz="4" w:space="0" w:color="auto"/>
              <w:right w:val="single" w:sz="4" w:space="0" w:color="auto"/>
            </w:tcBorders>
            <w:noWrap/>
            <w:vAlign w:val="center"/>
          </w:tcPr>
          <w:p w14:paraId="1B3656AA" w14:textId="77777777" w:rsidR="00A54A8A" w:rsidRPr="00E67914" w:rsidRDefault="00000000">
            <w:pPr>
              <w:pStyle w:val="04"/>
              <w:rPr>
                <w:rFonts w:eastAsia="黑体" w:cs="Times New Roman"/>
                <w:b/>
                <w:bCs/>
              </w:rPr>
            </w:pPr>
            <w:r w:rsidRPr="00E67914">
              <w:rPr>
                <w:rFonts w:eastAsia="黑体" w:cs="Times New Roman"/>
                <w:b/>
                <w:bCs/>
              </w:rPr>
              <w:t>夜间</w:t>
            </w:r>
          </w:p>
        </w:tc>
        <w:tc>
          <w:tcPr>
            <w:tcW w:w="146" w:type="pct"/>
            <w:tcBorders>
              <w:top w:val="single" w:sz="4" w:space="0" w:color="auto"/>
              <w:left w:val="single" w:sz="4" w:space="0" w:color="auto"/>
              <w:bottom w:val="single" w:sz="4" w:space="0" w:color="auto"/>
              <w:right w:val="single" w:sz="4" w:space="0" w:color="auto"/>
            </w:tcBorders>
            <w:vAlign w:val="center"/>
          </w:tcPr>
          <w:p w14:paraId="0EA78623" w14:textId="77777777" w:rsidR="00A54A8A" w:rsidRPr="00E67914" w:rsidRDefault="00000000">
            <w:pPr>
              <w:pStyle w:val="04"/>
              <w:rPr>
                <w:rFonts w:eastAsia="黑体" w:cs="Times New Roman"/>
                <w:b/>
                <w:bCs/>
              </w:rPr>
            </w:pPr>
            <w:r w:rsidRPr="00E67914">
              <w:rPr>
                <w:rFonts w:eastAsia="黑体" w:cs="Times New Roman"/>
                <w:b/>
                <w:bCs/>
              </w:rPr>
              <w:t>昼间</w:t>
            </w:r>
          </w:p>
        </w:tc>
        <w:tc>
          <w:tcPr>
            <w:tcW w:w="190" w:type="pct"/>
            <w:tcBorders>
              <w:top w:val="single" w:sz="4" w:space="0" w:color="auto"/>
              <w:left w:val="single" w:sz="4" w:space="0" w:color="auto"/>
              <w:bottom w:val="single" w:sz="4" w:space="0" w:color="auto"/>
              <w:right w:val="single" w:sz="4" w:space="0" w:color="auto"/>
            </w:tcBorders>
            <w:vAlign w:val="center"/>
          </w:tcPr>
          <w:p w14:paraId="4BD1A00A" w14:textId="77777777" w:rsidR="00A54A8A" w:rsidRPr="00E67914" w:rsidRDefault="00000000">
            <w:pPr>
              <w:pStyle w:val="04"/>
              <w:rPr>
                <w:rFonts w:eastAsia="黑体" w:cs="Times New Roman"/>
                <w:b/>
                <w:bCs/>
              </w:rPr>
            </w:pPr>
            <w:r w:rsidRPr="00E67914">
              <w:rPr>
                <w:rFonts w:eastAsia="黑体" w:cs="Times New Roman"/>
                <w:b/>
                <w:bCs/>
              </w:rPr>
              <w:t>夜间</w:t>
            </w:r>
          </w:p>
        </w:tc>
      </w:tr>
      <w:tr w:rsidR="00E67914" w:rsidRPr="00E67914" w14:paraId="2DE02111" w14:textId="77777777" w:rsidTr="00557091">
        <w:trPr>
          <w:trHeight w:val="454"/>
          <w:jc w:val="center"/>
        </w:trPr>
        <w:tc>
          <w:tcPr>
            <w:tcW w:w="620" w:type="pct"/>
            <w:vMerge w:val="restart"/>
            <w:tcBorders>
              <w:top w:val="single" w:sz="4" w:space="0" w:color="auto"/>
              <w:left w:val="single" w:sz="4" w:space="0" w:color="auto"/>
              <w:right w:val="single" w:sz="4" w:space="0" w:color="auto"/>
            </w:tcBorders>
            <w:vAlign w:val="center"/>
          </w:tcPr>
          <w:p w14:paraId="3DB1AC91" w14:textId="77777777" w:rsidR="00557091" w:rsidRPr="00E67914" w:rsidRDefault="00557091" w:rsidP="00557091">
            <w:pPr>
              <w:pStyle w:val="04"/>
              <w:rPr>
                <w:rFonts w:cs="Times New Roman"/>
              </w:rPr>
            </w:pPr>
            <w:r w:rsidRPr="00E67914">
              <w:rPr>
                <w:rFonts w:cs="Times New Roman"/>
              </w:rPr>
              <w:t>网电供电</w:t>
            </w:r>
          </w:p>
        </w:tc>
        <w:tc>
          <w:tcPr>
            <w:tcW w:w="1116" w:type="pct"/>
            <w:tcBorders>
              <w:top w:val="single" w:sz="4" w:space="0" w:color="auto"/>
              <w:left w:val="single" w:sz="4" w:space="0" w:color="auto"/>
              <w:bottom w:val="single" w:sz="4" w:space="0" w:color="auto"/>
              <w:right w:val="single" w:sz="4" w:space="0" w:color="auto"/>
            </w:tcBorders>
            <w:noWrap/>
            <w:vAlign w:val="center"/>
          </w:tcPr>
          <w:p w14:paraId="64360426" w14:textId="77777777" w:rsidR="00557091" w:rsidRPr="00E67914" w:rsidRDefault="00557091" w:rsidP="00557091">
            <w:pPr>
              <w:pStyle w:val="04"/>
              <w:rPr>
                <w:rFonts w:cs="Times New Roman"/>
                <w:kern w:val="2"/>
              </w:rPr>
            </w:pPr>
            <w:r w:rsidRPr="00E67914">
              <w:rPr>
                <w:rFonts w:cs="Times New Roman"/>
                <w:kern w:val="2"/>
              </w:rPr>
              <w:t>1#</w:t>
            </w:r>
            <w:r w:rsidRPr="00E67914">
              <w:rPr>
                <w:rFonts w:cs="Times New Roman"/>
                <w:kern w:val="2"/>
              </w:rPr>
              <w:t>居民点</w:t>
            </w:r>
          </w:p>
          <w:p w14:paraId="074A1EF8" w14:textId="458443CF" w:rsidR="00557091" w:rsidRPr="00E67914" w:rsidRDefault="00557091" w:rsidP="00557091">
            <w:pPr>
              <w:pStyle w:val="04"/>
              <w:rPr>
                <w:rFonts w:cs="Times New Roman"/>
              </w:rPr>
            </w:pPr>
            <w:r w:rsidRPr="00E67914">
              <w:rPr>
                <w:rFonts w:cs="Times New Roman"/>
                <w:kern w:val="2"/>
              </w:rPr>
              <w:t>（</w:t>
            </w:r>
            <w:r w:rsidRPr="00E67914">
              <w:rPr>
                <w:rFonts w:cs="Times New Roman"/>
                <w:kern w:val="2"/>
              </w:rPr>
              <w:t>13.83,184.65,1.2</w:t>
            </w:r>
            <w:r w:rsidRPr="00E67914">
              <w:rPr>
                <w:rFonts w:cs="Times New Roman"/>
                <w:kern w:val="2"/>
              </w:rPr>
              <w:t>）</w:t>
            </w:r>
          </w:p>
        </w:tc>
        <w:tc>
          <w:tcPr>
            <w:tcW w:w="455" w:type="pct"/>
            <w:tcBorders>
              <w:top w:val="single" w:sz="4" w:space="0" w:color="auto"/>
              <w:left w:val="single" w:sz="4" w:space="0" w:color="auto"/>
              <w:bottom w:val="single" w:sz="4" w:space="0" w:color="auto"/>
              <w:right w:val="single" w:sz="4" w:space="0" w:color="auto"/>
            </w:tcBorders>
            <w:noWrap/>
            <w:vAlign w:val="center"/>
          </w:tcPr>
          <w:p w14:paraId="4192B88E" w14:textId="2689F15D" w:rsidR="00557091" w:rsidRPr="00E67914" w:rsidRDefault="00557091" w:rsidP="00557091">
            <w:pPr>
              <w:pStyle w:val="04"/>
              <w:rPr>
                <w:rFonts w:cs="Times New Roman"/>
              </w:rPr>
            </w:pPr>
            <w:r w:rsidRPr="00E67914">
              <w:rPr>
                <w:rFonts w:cs="Times New Roman"/>
                <w:kern w:val="2"/>
              </w:rPr>
              <w:t>61</w:t>
            </w:r>
          </w:p>
        </w:tc>
        <w:tc>
          <w:tcPr>
            <w:tcW w:w="349" w:type="pct"/>
            <w:tcBorders>
              <w:top w:val="single" w:sz="4" w:space="0" w:color="auto"/>
              <w:left w:val="single" w:sz="4" w:space="0" w:color="auto"/>
              <w:bottom w:val="single" w:sz="4" w:space="0" w:color="auto"/>
              <w:right w:val="single" w:sz="4" w:space="0" w:color="auto"/>
            </w:tcBorders>
            <w:noWrap/>
            <w:vAlign w:val="center"/>
          </w:tcPr>
          <w:p w14:paraId="34BEFCB9" w14:textId="68629980" w:rsidR="00557091" w:rsidRPr="00E67914" w:rsidRDefault="00557091" w:rsidP="00557091">
            <w:pPr>
              <w:pStyle w:val="04"/>
              <w:rPr>
                <w:rFonts w:cs="Times New Roman"/>
              </w:rPr>
            </w:pPr>
            <w:r w:rsidRPr="00E67914">
              <w:rPr>
                <w:rFonts w:cs="Times New Roman"/>
                <w:kern w:val="2"/>
              </w:rPr>
              <w:t>N</w:t>
            </w:r>
          </w:p>
        </w:tc>
        <w:tc>
          <w:tcPr>
            <w:tcW w:w="281" w:type="pct"/>
            <w:tcBorders>
              <w:top w:val="single" w:sz="4" w:space="0" w:color="auto"/>
              <w:left w:val="single" w:sz="4" w:space="0" w:color="auto"/>
              <w:bottom w:val="single" w:sz="4" w:space="0" w:color="auto"/>
              <w:right w:val="single" w:sz="4" w:space="0" w:color="auto"/>
            </w:tcBorders>
            <w:noWrap/>
            <w:vAlign w:val="center"/>
          </w:tcPr>
          <w:p w14:paraId="1DF21695" w14:textId="09752870" w:rsidR="00557091" w:rsidRPr="00E67914" w:rsidRDefault="00557091" w:rsidP="00557091">
            <w:pPr>
              <w:pStyle w:val="04"/>
              <w:rPr>
                <w:rFonts w:cs="Times New Roman"/>
              </w:rPr>
            </w:pPr>
            <w:r w:rsidRPr="00E67914">
              <w:rPr>
                <w:rFonts w:cs="Times New Roman"/>
              </w:rPr>
              <w:t>45</w:t>
            </w:r>
          </w:p>
        </w:tc>
        <w:tc>
          <w:tcPr>
            <w:tcW w:w="281" w:type="pct"/>
            <w:tcBorders>
              <w:top w:val="single" w:sz="4" w:space="0" w:color="auto"/>
              <w:left w:val="single" w:sz="4" w:space="0" w:color="auto"/>
              <w:bottom w:val="single" w:sz="4" w:space="0" w:color="auto"/>
              <w:right w:val="single" w:sz="4" w:space="0" w:color="auto"/>
            </w:tcBorders>
            <w:noWrap/>
            <w:vAlign w:val="center"/>
          </w:tcPr>
          <w:p w14:paraId="6B590FA5" w14:textId="29E324F4" w:rsidR="00557091" w:rsidRPr="00E67914" w:rsidRDefault="00557091" w:rsidP="00557091">
            <w:pPr>
              <w:pStyle w:val="04"/>
              <w:rPr>
                <w:rFonts w:cs="Times New Roman"/>
              </w:rPr>
            </w:pPr>
            <w:r w:rsidRPr="00E67914">
              <w:rPr>
                <w:rFonts w:cs="Times New Roman"/>
              </w:rPr>
              <w:t>45</w:t>
            </w:r>
          </w:p>
        </w:tc>
        <w:tc>
          <w:tcPr>
            <w:tcW w:w="250" w:type="pct"/>
            <w:tcBorders>
              <w:top w:val="single" w:sz="4" w:space="0" w:color="auto"/>
              <w:left w:val="single" w:sz="4" w:space="0" w:color="auto"/>
              <w:bottom w:val="single" w:sz="4" w:space="0" w:color="auto"/>
              <w:right w:val="single" w:sz="4" w:space="0" w:color="auto"/>
            </w:tcBorders>
            <w:noWrap/>
            <w:vAlign w:val="center"/>
          </w:tcPr>
          <w:p w14:paraId="52BA0BA6" w14:textId="0DB4F41D" w:rsidR="00557091" w:rsidRPr="00E67914" w:rsidRDefault="00557091" w:rsidP="00557091">
            <w:pPr>
              <w:pStyle w:val="04"/>
              <w:rPr>
                <w:rFonts w:cs="Times New Roman"/>
              </w:rPr>
            </w:pPr>
            <w:r w:rsidRPr="00E67914">
              <w:rPr>
                <w:rFonts w:cs="Times New Roman"/>
              </w:rPr>
              <w:t>54</w:t>
            </w:r>
          </w:p>
        </w:tc>
        <w:tc>
          <w:tcPr>
            <w:tcW w:w="250" w:type="pct"/>
            <w:tcBorders>
              <w:top w:val="single" w:sz="4" w:space="0" w:color="auto"/>
              <w:left w:val="single" w:sz="4" w:space="0" w:color="auto"/>
              <w:bottom w:val="single" w:sz="4" w:space="0" w:color="auto"/>
              <w:right w:val="single" w:sz="4" w:space="0" w:color="auto"/>
            </w:tcBorders>
            <w:noWrap/>
            <w:vAlign w:val="center"/>
          </w:tcPr>
          <w:p w14:paraId="465DCFEC" w14:textId="7205B1F5" w:rsidR="00557091" w:rsidRPr="00E67914" w:rsidRDefault="00557091" w:rsidP="00557091">
            <w:pPr>
              <w:pStyle w:val="04"/>
              <w:rPr>
                <w:rFonts w:cs="Times New Roman"/>
              </w:rPr>
            </w:pPr>
            <w:r w:rsidRPr="00E67914">
              <w:rPr>
                <w:rFonts w:cs="Times New Roman"/>
              </w:rPr>
              <w:t>42</w:t>
            </w:r>
          </w:p>
        </w:tc>
        <w:tc>
          <w:tcPr>
            <w:tcW w:w="281" w:type="pct"/>
            <w:tcBorders>
              <w:top w:val="single" w:sz="4" w:space="0" w:color="auto"/>
              <w:left w:val="single" w:sz="4" w:space="0" w:color="auto"/>
              <w:bottom w:val="single" w:sz="4" w:space="0" w:color="auto"/>
              <w:right w:val="single" w:sz="4" w:space="0" w:color="auto"/>
            </w:tcBorders>
            <w:noWrap/>
            <w:vAlign w:val="center"/>
          </w:tcPr>
          <w:p w14:paraId="17FE6ACD" w14:textId="442DF6EF" w:rsidR="00557091" w:rsidRPr="00E67914" w:rsidRDefault="00557091" w:rsidP="00557091">
            <w:pPr>
              <w:pStyle w:val="04"/>
              <w:rPr>
                <w:rFonts w:cs="Times New Roman"/>
              </w:rPr>
            </w:pPr>
            <w:r w:rsidRPr="00E67914">
              <w:rPr>
                <w:rFonts w:cs="Times New Roman"/>
              </w:rPr>
              <w:t>55</w:t>
            </w:r>
          </w:p>
        </w:tc>
        <w:tc>
          <w:tcPr>
            <w:tcW w:w="281" w:type="pct"/>
            <w:tcBorders>
              <w:top w:val="single" w:sz="4" w:space="0" w:color="auto"/>
              <w:left w:val="single" w:sz="4" w:space="0" w:color="auto"/>
              <w:bottom w:val="single" w:sz="4" w:space="0" w:color="auto"/>
              <w:right w:val="single" w:sz="4" w:space="0" w:color="auto"/>
            </w:tcBorders>
            <w:noWrap/>
            <w:vAlign w:val="center"/>
          </w:tcPr>
          <w:p w14:paraId="1653FAB0" w14:textId="47E02700" w:rsidR="00557091" w:rsidRPr="00E67914" w:rsidRDefault="00557091" w:rsidP="00557091">
            <w:pPr>
              <w:pStyle w:val="04"/>
              <w:rPr>
                <w:rFonts w:cs="Times New Roman"/>
              </w:rPr>
            </w:pPr>
            <w:r w:rsidRPr="00E67914">
              <w:rPr>
                <w:rFonts w:cs="Times New Roman"/>
              </w:rPr>
              <w:t>47</w:t>
            </w:r>
          </w:p>
        </w:tc>
        <w:tc>
          <w:tcPr>
            <w:tcW w:w="250" w:type="pct"/>
            <w:tcBorders>
              <w:top w:val="single" w:sz="4" w:space="0" w:color="auto"/>
              <w:left w:val="single" w:sz="4" w:space="0" w:color="auto"/>
              <w:bottom w:val="single" w:sz="4" w:space="0" w:color="auto"/>
              <w:right w:val="single" w:sz="4" w:space="0" w:color="auto"/>
            </w:tcBorders>
            <w:noWrap/>
            <w:vAlign w:val="center"/>
          </w:tcPr>
          <w:p w14:paraId="2EC4FEF7" w14:textId="77777777" w:rsidR="00557091" w:rsidRPr="00E67914" w:rsidRDefault="00557091" w:rsidP="00557091">
            <w:pPr>
              <w:pStyle w:val="04"/>
              <w:rPr>
                <w:rFonts w:cs="Times New Roman"/>
              </w:rPr>
            </w:pPr>
            <w:r w:rsidRPr="00E67914">
              <w:rPr>
                <w:rFonts w:cs="Times New Roman"/>
              </w:rPr>
              <w:t>/</w:t>
            </w:r>
          </w:p>
        </w:tc>
        <w:tc>
          <w:tcPr>
            <w:tcW w:w="250" w:type="pct"/>
            <w:tcBorders>
              <w:top w:val="single" w:sz="4" w:space="0" w:color="auto"/>
              <w:left w:val="single" w:sz="4" w:space="0" w:color="auto"/>
              <w:bottom w:val="single" w:sz="4" w:space="0" w:color="auto"/>
              <w:right w:val="single" w:sz="4" w:space="0" w:color="auto"/>
            </w:tcBorders>
            <w:noWrap/>
            <w:vAlign w:val="center"/>
          </w:tcPr>
          <w:p w14:paraId="56761914" w14:textId="77777777" w:rsidR="00557091" w:rsidRPr="00E67914" w:rsidRDefault="00557091" w:rsidP="00557091">
            <w:pPr>
              <w:pStyle w:val="04"/>
              <w:rPr>
                <w:rFonts w:cs="Times New Roman"/>
              </w:rPr>
            </w:pPr>
            <w:r w:rsidRPr="00E67914">
              <w:rPr>
                <w:rFonts w:cs="Times New Roman"/>
              </w:rPr>
              <w:t>/</w:t>
            </w:r>
          </w:p>
        </w:tc>
        <w:tc>
          <w:tcPr>
            <w:tcW w:w="146" w:type="pct"/>
            <w:tcBorders>
              <w:top w:val="single" w:sz="4" w:space="0" w:color="auto"/>
              <w:left w:val="single" w:sz="4" w:space="0" w:color="auto"/>
              <w:bottom w:val="single" w:sz="4" w:space="0" w:color="auto"/>
              <w:right w:val="single" w:sz="4" w:space="0" w:color="auto"/>
            </w:tcBorders>
            <w:vAlign w:val="center"/>
          </w:tcPr>
          <w:p w14:paraId="0BACFBD2" w14:textId="77777777" w:rsidR="00557091" w:rsidRPr="00E67914" w:rsidRDefault="00557091" w:rsidP="00557091">
            <w:pPr>
              <w:pStyle w:val="04"/>
              <w:rPr>
                <w:rFonts w:cs="Times New Roman"/>
              </w:rPr>
            </w:pPr>
            <w:r w:rsidRPr="00E67914">
              <w:rPr>
                <w:rFonts w:cs="Times New Roman"/>
              </w:rPr>
              <w:t>达标</w:t>
            </w:r>
          </w:p>
        </w:tc>
        <w:tc>
          <w:tcPr>
            <w:tcW w:w="190" w:type="pct"/>
            <w:tcBorders>
              <w:top w:val="single" w:sz="4" w:space="0" w:color="auto"/>
              <w:left w:val="single" w:sz="4" w:space="0" w:color="auto"/>
              <w:bottom w:val="single" w:sz="4" w:space="0" w:color="auto"/>
              <w:right w:val="single" w:sz="4" w:space="0" w:color="auto"/>
            </w:tcBorders>
            <w:vAlign w:val="center"/>
          </w:tcPr>
          <w:p w14:paraId="06455BD1" w14:textId="77777777" w:rsidR="00557091" w:rsidRPr="00E67914" w:rsidRDefault="00557091" w:rsidP="00557091">
            <w:pPr>
              <w:pStyle w:val="04"/>
              <w:rPr>
                <w:rFonts w:cs="Times New Roman"/>
              </w:rPr>
            </w:pPr>
            <w:r w:rsidRPr="00E67914">
              <w:rPr>
                <w:rFonts w:cs="Times New Roman"/>
              </w:rPr>
              <w:t>达标</w:t>
            </w:r>
          </w:p>
        </w:tc>
      </w:tr>
      <w:tr w:rsidR="00E67914" w:rsidRPr="00E67914" w14:paraId="5A9B8B12" w14:textId="77777777" w:rsidTr="00557091">
        <w:trPr>
          <w:trHeight w:val="454"/>
          <w:jc w:val="center"/>
        </w:trPr>
        <w:tc>
          <w:tcPr>
            <w:tcW w:w="620" w:type="pct"/>
            <w:vMerge/>
            <w:tcBorders>
              <w:top w:val="single" w:sz="4" w:space="0" w:color="auto"/>
              <w:left w:val="single" w:sz="4" w:space="0" w:color="auto"/>
              <w:right w:val="single" w:sz="4" w:space="0" w:color="auto"/>
            </w:tcBorders>
            <w:vAlign w:val="center"/>
          </w:tcPr>
          <w:p w14:paraId="355F7787" w14:textId="77777777" w:rsidR="00557091" w:rsidRPr="00E67914" w:rsidRDefault="00557091" w:rsidP="00557091">
            <w:pPr>
              <w:pStyle w:val="04"/>
              <w:rPr>
                <w:rFonts w:cs="Times New Roman"/>
              </w:rPr>
            </w:pPr>
          </w:p>
        </w:tc>
        <w:tc>
          <w:tcPr>
            <w:tcW w:w="1116" w:type="pct"/>
            <w:tcBorders>
              <w:top w:val="single" w:sz="4" w:space="0" w:color="auto"/>
              <w:left w:val="single" w:sz="4" w:space="0" w:color="auto"/>
              <w:bottom w:val="single" w:sz="4" w:space="0" w:color="auto"/>
              <w:right w:val="single" w:sz="4" w:space="0" w:color="auto"/>
            </w:tcBorders>
            <w:noWrap/>
            <w:vAlign w:val="center"/>
          </w:tcPr>
          <w:p w14:paraId="506F5331" w14:textId="3420A947" w:rsidR="00557091" w:rsidRPr="00E67914" w:rsidRDefault="00557091" w:rsidP="00557091">
            <w:pPr>
              <w:pStyle w:val="04"/>
              <w:rPr>
                <w:rFonts w:cs="Times New Roman"/>
                <w:kern w:val="2"/>
              </w:rPr>
            </w:pPr>
            <w:r w:rsidRPr="00E67914">
              <w:rPr>
                <w:rFonts w:cs="Times New Roman"/>
                <w:kern w:val="2"/>
              </w:rPr>
              <w:t>2#</w:t>
            </w:r>
            <w:r w:rsidRPr="00E67914">
              <w:rPr>
                <w:rFonts w:cs="Times New Roman"/>
                <w:kern w:val="2"/>
              </w:rPr>
              <w:t>居民点</w:t>
            </w:r>
          </w:p>
          <w:p w14:paraId="2A794A1D" w14:textId="5077041F" w:rsidR="00557091" w:rsidRPr="00E67914" w:rsidRDefault="00557091" w:rsidP="00557091">
            <w:pPr>
              <w:pStyle w:val="04"/>
              <w:rPr>
                <w:rFonts w:cs="Times New Roman"/>
                <w:kern w:val="2"/>
              </w:rPr>
            </w:pPr>
            <w:r w:rsidRPr="00E67914">
              <w:rPr>
                <w:rFonts w:cs="Times New Roman"/>
                <w:kern w:val="2"/>
              </w:rPr>
              <w:t>（</w:t>
            </w:r>
            <w:r w:rsidRPr="00E67914">
              <w:rPr>
                <w:rFonts w:cs="Times New Roman"/>
                <w:kern w:val="2"/>
              </w:rPr>
              <w:t>-162.31,48.71,1.2</w:t>
            </w:r>
            <w:r w:rsidRPr="00E67914">
              <w:rPr>
                <w:rFonts w:cs="Times New Roman"/>
                <w:kern w:val="2"/>
              </w:rPr>
              <w:t>）</w:t>
            </w:r>
          </w:p>
        </w:tc>
        <w:tc>
          <w:tcPr>
            <w:tcW w:w="455" w:type="pct"/>
            <w:tcBorders>
              <w:top w:val="single" w:sz="4" w:space="0" w:color="auto"/>
              <w:left w:val="single" w:sz="4" w:space="0" w:color="auto"/>
              <w:bottom w:val="single" w:sz="4" w:space="0" w:color="auto"/>
              <w:right w:val="single" w:sz="4" w:space="0" w:color="auto"/>
            </w:tcBorders>
            <w:noWrap/>
            <w:vAlign w:val="center"/>
          </w:tcPr>
          <w:p w14:paraId="0A1D0CBC" w14:textId="14FD3D9A" w:rsidR="00557091" w:rsidRPr="00E67914" w:rsidRDefault="00557091" w:rsidP="00557091">
            <w:pPr>
              <w:pStyle w:val="04"/>
              <w:rPr>
                <w:rFonts w:cs="Times New Roman"/>
              </w:rPr>
            </w:pPr>
            <w:r w:rsidRPr="00E67914">
              <w:rPr>
                <w:rFonts w:cs="Times New Roman"/>
                <w:kern w:val="2"/>
              </w:rPr>
              <w:t>115</w:t>
            </w:r>
          </w:p>
        </w:tc>
        <w:tc>
          <w:tcPr>
            <w:tcW w:w="349" w:type="pct"/>
            <w:tcBorders>
              <w:top w:val="single" w:sz="4" w:space="0" w:color="auto"/>
              <w:left w:val="single" w:sz="4" w:space="0" w:color="auto"/>
              <w:bottom w:val="single" w:sz="4" w:space="0" w:color="auto"/>
              <w:right w:val="single" w:sz="4" w:space="0" w:color="auto"/>
            </w:tcBorders>
            <w:noWrap/>
            <w:vAlign w:val="center"/>
          </w:tcPr>
          <w:p w14:paraId="177E45BE" w14:textId="29A7C068" w:rsidR="00557091" w:rsidRPr="00E67914" w:rsidRDefault="00557091" w:rsidP="00557091">
            <w:pPr>
              <w:pStyle w:val="04"/>
              <w:rPr>
                <w:rFonts w:cs="Times New Roman"/>
              </w:rPr>
            </w:pPr>
            <w:r w:rsidRPr="00E67914">
              <w:rPr>
                <w:rFonts w:cs="Times New Roman"/>
                <w:kern w:val="2"/>
              </w:rPr>
              <w:t>W</w:t>
            </w:r>
          </w:p>
        </w:tc>
        <w:tc>
          <w:tcPr>
            <w:tcW w:w="281" w:type="pct"/>
            <w:tcBorders>
              <w:top w:val="single" w:sz="4" w:space="0" w:color="auto"/>
              <w:left w:val="single" w:sz="4" w:space="0" w:color="auto"/>
              <w:bottom w:val="single" w:sz="4" w:space="0" w:color="auto"/>
              <w:right w:val="single" w:sz="4" w:space="0" w:color="auto"/>
            </w:tcBorders>
            <w:noWrap/>
            <w:vAlign w:val="center"/>
          </w:tcPr>
          <w:p w14:paraId="62463B66" w14:textId="18E0AEFE" w:rsidR="00557091" w:rsidRPr="00E67914" w:rsidRDefault="00557091" w:rsidP="00557091">
            <w:pPr>
              <w:pStyle w:val="04"/>
              <w:rPr>
                <w:rFonts w:cs="Times New Roman"/>
              </w:rPr>
            </w:pPr>
            <w:r w:rsidRPr="00E67914">
              <w:rPr>
                <w:rFonts w:cs="Times New Roman"/>
              </w:rPr>
              <w:t>42</w:t>
            </w:r>
          </w:p>
        </w:tc>
        <w:tc>
          <w:tcPr>
            <w:tcW w:w="281" w:type="pct"/>
            <w:tcBorders>
              <w:top w:val="single" w:sz="4" w:space="0" w:color="auto"/>
              <w:left w:val="single" w:sz="4" w:space="0" w:color="auto"/>
              <w:bottom w:val="single" w:sz="4" w:space="0" w:color="auto"/>
              <w:right w:val="single" w:sz="4" w:space="0" w:color="auto"/>
            </w:tcBorders>
            <w:noWrap/>
            <w:vAlign w:val="center"/>
          </w:tcPr>
          <w:p w14:paraId="3B61ACCB" w14:textId="0A0D7C9C" w:rsidR="00557091" w:rsidRPr="00E67914" w:rsidRDefault="00557091" w:rsidP="00557091">
            <w:pPr>
              <w:pStyle w:val="04"/>
              <w:rPr>
                <w:rFonts w:cs="Times New Roman"/>
              </w:rPr>
            </w:pPr>
            <w:r w:rsidRPr="00E67914">
              <w:rPr>
                <w:rFonts w:cs="Times New Roman"/>
              </w:rPr>
              <w:t>42</w:t>
            </w:r>
          </w:p>
        </w:tc>
        <w:tc>
          <w:tcPr>
            <w:tcW w:w="250" w:type="pct"/>
            <w:tcBorders>
              <w:top w:val="single" w:sz="4" w:space="0" w:color="auto"/>
              <w:left w:val="single" w:sz="4" w:space="0" w:color="auto"/>
              <w:bottom w:val="single" w:sz="4" w:space="0" w:color="auto"/>
              <w:right w:val="single" w:sz="4" w:space="0" w:color="auto"/>
            </w:tcBorders>
            <w:noWrap/>
            <w:vAlign w:val="center"/>
          </w:tcPr>
          <w:p w14:paraId="2D2EC170" w14:textId="5F88F166" w:rsidR="00557091" w:rsidRPr="00E67914" w:rsidRDefault="00557091" w:rsidP="00557091">
            <w:pPr>
              <w:pStyle w:val="04"/>
              <w:rPr>
                <w:rFonts w:cs="Times New Roman"/>
              </w:rPr>
            </w:pPr>
            <w:r w:rsidRPr="00E67914">
              <w:rPr>
                <w:rFonts w:cs="Times New Roman"/>
              </w:rPr>
              <w:t>56</w:t>
            </w:r>
          </w:p>
        </w:tc>
        <w:tc>
          <w:tcPr>
            <w:tcW w:w="250" w:type="pct"/>
            <w:tcBorders>
              <w:top w:val="single" w:sz="4" w:space="0" w:color="auto"/>
              <w:left w:val="single" w:sz="4" w:space="0" w:color="auto"/>
              <w:bottom w:val="single" w:sz="4" w:space="0" w:color="auto"/>
              <w:right w:val="single" w:sz="4" w:space="0" w:color="auto"/>
            </w:tcBorders>
            <w:noWrap/>
            <w:vAlign w:val="center"/>
          </w:tcPr>
          <w:p w14:paraId="75BFA96B" w14:textId="23A1B763" w:rsidR="00557091" w:rsidRPr="00E67914" w:rsidRDefault="00557091" w:rsidP="00557091">
            <w:pPr>
              <w:pStyle w:val="04"/>
              <w:rPr>
                <w:rFonts w:cs="Times New Roman"/>
              </w:rPr>
            </w:pPr>
            <w:r w:rsidRPr="00E67914">
              <w:rPr>
                <w:rFonts w:cs="Times New Roman"/>
              </w:rPr>
              <w:t>43</w:t>
            </w:r>
          </w:p>
        </w:tc>
        <w:tc>
          <w:tcPr>
            <w:tcW w:w="281" w:type="pct"/>
            <w:tcBorders>
              <w:top w:val="single" w:sz="4" w:space="0" w:color="auto"/>
              <w:left w:val="single" w:sz="4" w:space="0" w:color="auto"/>
              <w:bottom w:val="single" w:sz="4" w:space="0" w:color="auto"/>
              <w:right w:val="single" w:sz="4" w:space="0" w:color="auto"/>
            </w:tcBorders>
            <w:noWrap/>
            <w:vAlign w:val="center"/>
          </w:tcPr>
          <w:p w14:paraId="54D375DD" w14:textId="3559D837" w:rsidR="00557091" w:rsidRPr="00E67914" w:rsidRDefault="00557091" w:rsidP="00557091">
            <w:pPr>
              <w:pStyle w:val="04"/>
              <w:rPr>
                <w:rFonts w:cs="Times New Roman"/>
              </w:rPr>
            </w:pPr>
            <w:r w:rsidRPr="00E67914">
              <w:rPr>
                <w:rFonts w:cs="Times New Roman"/>
              </w:rPr>
              <w:t>56</w:t>
            </w:r>
          </w:p>
        </w:tc>
        <w:tc>
          <w:tcPr>
            <w:tcW w:w="281" w:type="pct"/>
            <w:tcBorders>
              <w:top w:val="single" w:sz="4" w:space="0" w:color="auto"/>
              <w:left w:val="single" w:sz="4" w:space="0" w:color="auto"/>
              <w:bottom w:val="single" w:sz="4" w:space="0" w:color="auto"/>
              <w:right w:val="single" w:sz="4" w:space="0" w:color="auto"/>
            </w:tcBorders>
            <w:noWrap/>
            <w:vAlign w:val="center"/>
          </w:tcPr>
          <w:p w14:paraId="4F5D9333" w14:textId="5A592EFA" w:rsidR="00557091" w:rsidRPr="00E67914" w:rsidRDefault="00557091" w:rsidP="00557091">
            <w:pPr>
              <w:pStyle w:val="04"/>
              <w:rPr>
                <w:rFonts w:cs="Times New Roman"/>
              </w:rPr>
            </w:pPr>
            <w:r w:rsidRPr="00E67914">
              <w:rPr>
                <w:rFonts w:cs="Times New Roman"/>
              </w:rPr>
              <w:t>45</w:t>
            </w:r>
          </w:p>
        </w:tc>
        <w:tc>
          <w:tcPr>
            <w:tcW w:w="250" w:type="pct"/>
            <w:tcBorders>
              <w:top w:val="single" w:sz="4" w:space="0" w:color="auto"/>
              <w:left w:val="single" w:sz="4" w:space="0" w:color="auto"/>
              <w:bottom w:val="single" w:sz="4" w:space="0" w:color="auto"/>
              <w:right w:val="single" w:sz="4" w:space="0" w:color="auto"/>
            </w:tcBorders>
            <w:noWrap/>
            <w:vAlign w:val="center"/>
          </w:tcPr>
          <w:p w14:paraId="53E4E54A" w14:textId="2BA4A3CF" w:rsidR="00557091" w:rsidRPr="00E67914" w:rsidRDefault="00557091" w:rsidP="00557091">
            <w:pPr>
              <w:pStyle w:val="04"/>
              <w:rPr>
                <w:rFonts w:cs="Times New Roman"/>
              </w:rPr>
            </w:pPr>
            <w:r w:rsidRPr="00E67914">
              <w:rPr>
                <w:rFonts w:cs="Times New Roman"/>
              </w:rPr>
              <w:t>/</w:t>
            </w:r>
          </w:p>
        </w:tc>
        <w:tc>
          <w:tcPr>
            <w:tcW w:w="250" w:type="pct"/>
            <w:tcBorders>
              <w:top w:val="single" w:sz="4" w:space="0" w:color="auto"/>
              <w:left w:val="single" w:sz="4" w:space="0" w:color="auto"/>
              <w:bottom w:val="single" w:sz="4" w:space="0" w:color="auto"/>
              <w:right w:val="single" w:sz="4" w:space="0" w:color="auto"/>
            </w:tcBorders>
            <w:noWrap/>
            <w:vAlign w:val="center"/>
          </w:tcPr>
          <w:p w14:paraId="0F3D38F4" w14:textId="662D003B" w:rsidR="00557091" w:rsidRPr="00E67914" w:rsidRDefault="00557091" w:rsidP="00557091">
            <w:pPr>
              <w:pStyle w:val="04"/>
              <w:rPr>
                <w:rFonts w:cs="Times New Roman"/>
              </w:rPr>
            </w:pPr>
            <w:r w:rsidRPr="00E67914">
              <w:rPr>
                <w:rFonts w:cs="Times New Roman"/>
              </w:rPr>
              <w:t>/</w:t>
            </w:r>
          </w:p>
        </w:tc>
        <w:tc>
          <w:tcPr>
            <w:tcW w:w="146" w:type="pct"/>
            <w:tcBorders>
              <w:top w:val="single" w:sz="4" w:space="0" w:color="auto"/>
              <w:left w:val="single" w:sz="4" w:space="0" w:color="auto"/>
              <w:bottom w:val="single" w:sz="4" w:space="0" w:color="auto"/>
              <w:right w:val="single" w:sz="4" w:space="0" w:color="auto"/>
            </w:tcBorders>
            <w:vAlign w:val="center"/>
          </w:tcPr>
          <w:p w14:paraId="3ABE9FCA" w14:textId="21EBDE8B" w:rsidR="00557091" w:rsidRPr="00E67914" w:rsidRDefault="00557091" w:rsidP="00557091">
            <w:pPr>
              <w:pStyle w:val="04"/>
              <w:rPr>
                <w:rFonts w:cs="Times New Roman"/>
              </w:rPr>
            </w:pPr>
            <w:r w:rsidRPr="00E67914">
              <w:rPr>
                <w:rFonts w:cs="Times New Roman"/>
              </w:rPr>
              <w:t>达标</w:t>
            </w:r>
          </w:p>
        </w:tc>
        <w:tc>
          <w:tcPr>
            <w:tcW w:w="190" w:type="pct"/>
            <w:tcBorders>
              <w:top w:val="single" w:sz="4" w:space="0" w:color="auto"/>
              <w:left w:val="single" w:sz="4" w:space="0" w:color="auto"/>
              <w:bottom w:val="single" w:sz="4" w:space="0" w:color="auto"/>
              <w:right w:val="single" w:sz="4" w:space="0" w:color="auto"/>
            </w:tcBorders>
            <w:vAlign w:val="center"/>
          </w:tcPr>
          <w:p w14:paraId="3E04D63C" w14:textId="70C54ECA" w:rsidR="00557091" w:rsidRPr="00E67914" w:rsidRDefault="00557091" w:rsidP="00557091">
            <w:pPr>
              <w:pStyle w:val="04"/>
              <w:rPr>
                <w:rFonts w:cs="Times New Roman"/>
              </w:rPr>
            </w:pPr>
            <w:r w:rsidRPr="00E67914">
              <w:rPr>
                <w:rFonts w:cs="Times New Roman"/>
              </w:rPr>
              <w:t>达标</w:t>
            </w:r>
          </w:p>
        </w:tc>
      </w:tr>
      <w:tr w:rsidR="00E67914" w:rsidRPr="00E67914" w14:paraId="46158B84" w14:textId="77777777" w:rsidTr="00557091">
        <w:trPr>
          <w:trHeight w:val="454"/>
          <w:jc w:val="center"/>
        </w:trPr>
        <w:tc>
          <w:tcPr>
            <w:tcW w:w="620" w:type="pct"/>
            <w:vMerge/>
            <w:tcBorders>
              <w:top w:val="single" w:sz="4" w:space="0" w:color="auto"/>
              <w:left w:val="single" w:sz="4" w:space="0" w:color="auto"/>
              <w:right w:val="single" w:sz="4" w:space="0" w:color="auto"/>
            </w:tcBorders>
            <w:vAlign w:val="center"/>
          </w:tcPr>
          <w:p w14:paraId="0A614F3D" w14:textId="77777777" w:rsidR="00557091" w:rsidRPr="00E67914" w:rsidRDefault="00557091" w:rsidP="00557091">
            <w:pPr>
              <w:pStyle w:val="04"/>
              <w:rPr>
                <w:rFonts w:cs="Times New Roman"/>
              </w:rPr>
            </w:pPr>
          </w:p>
        </w:tc>
        <w:tc>
          <w:tcPr>
            <w:tcW w:w="1116" w:type="pct"/>
            <w:tcBorders>
              <w:top w:val="single" w:sz="4" w:space="0" w:color="auto"/>
              <w:left w:val="single" w:sz="4" w:space="0" w:color="auto"/>
              <w:bottom w:val="single" w:sz="4" w:space="0" w:color="auto"/>
              <w:right w:val="single" w:sz="4" w:space="0" w:color="auto"/>
            </w:tcBorders>
            <w:noWrap/>
            <w:vAlign w:val="center"/>
          </w:tcPr>
          <w:p w14:paraId="52298444" w14:textId="1CDBBF6C" w:rsidR="00557091" w:rsidRPr="00E67914" w:rsidRDefault="00557091" w:rsidP="00557091">
            <w:pPr>
              <w:pStyle w:val="04"/>
              <w:rPr>
                <w:rFonts w:cs="Times New Roman"/>
                <w:kern w:val="2"/>
              </w:rPr>
            </w:pPr>
            <w:r w:rsidRPr="00E67914">
              <w:rPr>
                <w:rFonts w:cs="Times New Roman"/>
                <w:kern w:val="2"/>
              </w:rPr>
              <w:t>5#</w:t>
            </w:r>
            <w:r w:rsidRPr="00E67914">
              <w:rPr>
                <w:rFonts w:cs="Times New Roman"/>
                <w:kern w:val="2"/>
              </w:rPr>
              <w:t>居民点</w:t>
            </w:r>
          </w:p>
          <w:p w14:paraId="1DC40BE2" w14:textId="1CD23A7D" w:rsidR="00557091" w:rsidRPr="00E67914" w:rsidRDefault="00557091" w:rsidP="00557091">
            <w:pPr>
              <w:pStyle w:val="04"/>
              <w:rPr>
                <w:rFonts w:cs="Times New Roman"/>
              </w:rPr>
            </w:pPr>
            <w:r w:rsidRPr="00E67914">
              <w:rPr>
                <w:rFonts w:cs="Times New Roman"/>
                <w:kern w:val="2"/>
              </w:rPr>
              <w:t>（</w:t>
            </w:r>
            <w:r w:rsidRPr="00E67914">
              <w:rPr>
                <w:rFonts w:cs="Times New Roman"/>
                <w:kern w:val="2"/>
              </w:rPr>
              <w:t>-212.89,106.52,1.2</w:t>
            </w:r>
            <w:r w:rsidRPr="00E67914">
              <w:rPr>
                <w:rFonts w:cs="Times New Roman"/>
                <w:kern w:val="2"/>
              </w:rPr>
              <w:t>）</w:t>
            </w:r>
          </w:p>
        </w:tc>
        <w:tc>
          <w:tcPr>
            <w:tcW w:w="455" w:type="pct"/>
            <w:tcBorders>
              <w:top w:val="single" w:sz="4" w:space="0" w:color="auto"/>
              <w:left w:val="single" w:sz="4" w:space="0" w:color="auto"/>
              <w:bottom w:val="single" w:sz="4" w:space="0" w:color="auto"/>
              <w:right w:val="single" w:sz="4" w:space="0" w:color="auto"/>
            </w:tcBorders>
            <w:noWrap/>
            <w:vAlign w:val="center"/>
          </w:tcPr>
          <w:p w14:paraId="05089527" w14:textId="3B338905" w:rsidR="00557091" w:rsidRPr="00E67914" w:rsidRDefault="00557091" w:rsidP="00557091">
            <w:pPr>
              <w:pStyle w:val="04"/>
              <w:rPr>
                <w:rFonts w:cs="Times New Roman"/>
              </w:rPr>
            </w:pPr>
            <w:r w:rsidRPr="00E67914">
              <w:rPr>
                <w:rFonts w:cs="Times New Roman"/>
                <w:kern w:val="2"/>
              </w:rPr>
              <w:t>185</w:t>
            </w:r>
          </w:p>
        </w:tc>
        <w:tc>
          <w:tcPr>
            <w:tcW w:w="349" w:type="pct"/>
            <w:tcBorders>
              <w:top w:val="single" w:sz="4" w:space="0" w:color="auto"/>
              <w:left w:val="single" w:sz="4" w:space="0" w:color="auto"/>
              <w:bottom w:val="single" w:sz="4" w:space="0" w:color="auto"/>
              <w:right w:val="single" w:sz="4" w:space="0" w:color="auto"/>
            </w:tcBorders>
            <w:noWrap/>
            <w:vAlign w:val="center"/>
          </w:tcPr>
          <w:p w14:paraId="354EA78D" w14:textId="793AE602" w:rsidR="00557091" w:rsidRPr="00E67914" w:rsidRDefault="00557091" w:rsidP="00557091">
            <w:pPr>
              <w:pStyle w:val="04"/>
              <w:rPr>
                <w:rFonts w:cs="Times New Roman"/>
              </w:rPr>
            </w:pPr>
            <w:r w:rsidRPr="00E67914">
              <w:rPr>
                <w:rFonts w:cs="Times New Roman"/>
                <w:kern w:val="2"/>
              </w:rPr>
              <w:t>W</w:t>
            </w:r>
          </w:p>
        </w:tc>
        <w:tc>
          <w:tcPr>
            <w:tcW w:w="281" w:type="pct"/>
            <w:tcBorders>
              <w:top w:val="single" w:sz="4" w:space="0" w:color="auto"/>
              <w:left w:val="single" w:sz="4" w:space="0" w:color="auto"/>
              <w:bottom w:val="single" w:sz="4" w:space="0" w:color="auto"/>
              <w:right w:val="single" w:sz="4" w:space="0" w:color="auto"/>
            </w:tcBorders>
            <w:noWrap/>
            <w:vAlign w:val="center"/>
          </w:tcPr>
          <w:p w14:paraId="257E9069" w14:textId="4298B355" w:rsidR="00557091" w:rsidRPr="00E67914" w:rsidRDefault="00557091" w:rsidP="00557091">
            <w:pPr>
              <w:pStyle w:val="04"/>
              <w:rPr>
                <w:rFonts w:cs="Times New Roman"/>
              </w:rPr>
            </w:pPr>
            <w:r w:rsidRPr="00E67914">
              <w:rPr>
                <w:rFonts w:cs="Times New Roman"/>
              </w:rPr>
              <w:t>39</w:t>
            </w:r>
          </w:p>
        </w:tc>
        <w:tc>
          <w:tcPr>
            <w:tcW w:w="281" w:type="pct"/>
            <w:tcBorders>
              <w:top w:val="single" w:sz="4" w:space="0" w:color="auto"/>
              <w:left w:val="single" w:sz="4" w:space="0" w:color="auto"/>
              <w:bottom w:val="single" w:sz="4" w:space="0" w:color="auto"/>
              <w:right w:val="single" w:sz="4" w:space="0" w:color="auto"/>
            </w:tcBorders>
            <w:noWrap/>
            <w:vAlign w:val="center"/>
          </w:tcPr>
          <w:p w14:paraId="0376CADD" w14:textId="42722997" w:rsidR="00557091" w:rsidRPr="00E67914" w:rsidRDefault="00557091" w:rsidP="00557091">
            <w:pPr>
              <w:pStyle w:val="04"/>
              <w:rPr>
                <w:rFonts w:cs="Times New Roman"/>
              </w:rPr>
            </w:pPr>
            <w:r w:rsidRPr="00E67914">
              <w:rPr>
                <w:rFonts w:cs="Times New Roman"/>
              </w:rPr>
              <w:t>39</w:t>
            </w:r>
          </w:p>
        </w:tc>
        <w:tc>
          <w:tcPr>
            <w:tcW w:w="250" w:type="pct"/>
            <w:tcBorders>
              <w:top w:val="single" w:sz="4" w:space="0" w:color="auto"/>
              <w:left w:val="single" w:sz="4" w:space="0" w:color="auto"/>
              <w:bottom w:val="single" w:sz="4" w:space="0" w:color="auto"/>
              <w:right w:val="single" w:sz="4" w:space="0" w:color="auto"/>
            </w:tcBorders>
            <w:noWrap/>
            <w:vAlign w:val="center"/>
          </w:tcPr>
          <w:p w14:paraId="7F513508" w14:textId="0E0528EF" w:rsidR="00557091" w:rsidRPr="00E67914" w:rsidRDefault="00557091" w:rsidP="00557091">
            <w:pPr>
              <w:pStyle w:val="04"/>
              <w:rPr>
                <w:rFonts w:cs="Times New Roman"/>
              </w:rPr>
            </w:pPr>
            <w:r w:rsidRPr="00E67914">
              <w:rPr>
                <w:rFonts w:cs="Times New Roman"/>
              </w:rPr>
              <w:t>56</w:t>
            </w:r>
          </w:p>
        </w:tc>
        <w:tc>
          <w:tcPr>
            <w:tcW w:w="250" w:type="pct"/>
            <w:tcBorders>
              <w:top w:val="single" w:sz="4" w:space="0" w:color="auto"/>
              <w:left w:val="single" w:sz="4" w:space="0" w:color="auto"/>
              <w:bottom w:val="single" w:sz="4" w:space="0" w:color="auto"/>
              <w:right w:val="single" w:sz="4" w:space="0" w:color="auto"/>
            </w:tcBorders>
            <w:noWrap/>
            <w:vAlign w:val="center"/>
          </w:tcPr>
          <w:p w14:paraId="696C6F50" w14:textId="770015BD" w:rsidR="00557091" w:rsidRPr="00E67914" w:rsidRDefault="00557091" w:rsidP="00557091">
            <w:pPr>
              <w:pStyle w:val="04"/>
              <w:rPr>
                <w:rFonts w:cs="Times New Roman"/>
              </w:rPr>
            </w:pPr>
            <w:r w:rsidRPr="00E67914">
              <w:rPr>
                <w:rFonts w:cs="Times New Roman"/>
              </w:rPr>
              <w:t>43</w:t>
            </w:r>
          </w:p>
        </w:tc>
        <w:tc>
          <w:tcPr>
            <w:tcW w:w="281" w:type="pct"/>
            <w:tcBorders>
              <w:top w:val="single" w:sz="4" w:space="0" w:color="auto"/>
              <w:left w:val="single" w:sz="4" w:space="0" w:color="auto"/>
              <w:bottom w:val="single" w:sz="4" w:space="0" w:color="auto"/>
              <w:right w:val="single" w:sz="4" w:space="0" w:color="auto"/>
            </w:tcBorders>
            <w:noWrap/>
            <w:vAlign w:val="center"/>
          </w:tcPr>
          <w:p w14:paraId="7FF73031" w14:textId="730B9F6A" w:rsidR="00557091" w:rsidRPr="00E67914" w:rsidRDefault="00557091" w:rsidP="00557091">
            <w:pPr>
              <w:pStyle w:val="04"/>
              <w:rPr>
                <w:rFonts w:cs="Times New Roman"/>
              </w:rPr>
            </w:pPr>
            <w:r w:rsidRPr="00E67914">
              <w:rPr>
                <w:rFonts w:cs="Times New Roman"/>
              </w:rPr>
              <w:t>56</w:t>
            </w:r>
          </w:p>
        </w:tc>
        <w:tc>
          <w:tcPr>
            <w:tcW w:w="281" w:type="pct"/>
            <w:tcBorders>
              <w:top w:val="single" w:sz="4" w:space="0" w:color="auto"/>
              <w:left w:val="single" w:sz="4" w:space="0" w:color="auto"/>
              <w:bottom w:val="single" w:sz="4" w:space="0" w:color="auto"/>
              <w:right w:val="single" w:sz="4" w:space="0" w:color="auto"/>
            </w:tcBorders>
            <w:noWrap/>
            <w:vAlign w:val="center"/>
          </w:tcPr>
          <w:p w14:paraId="4900C9BA" w14:textId="0EE080B5" w:rsidR="00557091" w:rsidRPr="00E67914" w:rsidRDefault="00557091" w:rsidP="00557091">
            <w:pPr>
              <w:pStyle w:val="04"/>
              <w:rPr>
                <w:rFonts w:cs="Times New Roman"/>
              </w:rPr>
            </w:pPr>
            <w:r w:rsidRPr="00E67914">
              <w:rPr>
                <w:rFonts w:cs="Times New Roman"/>
              </w:rPr>
              <w:t>44</w:t>
            </w:r>
          </w:p>
        </w:tc>
        <w:tc>
          <w:tcPr>
            <w:tcW w:w="250" w:type="pct"/>
            <w:tcBorders>
              <w:top w:val="single" w:sz="4" w:space="0" w:color="auto"/>
              <w:left w:val="single" w:sz="4" w:space="0" w:color="auto"/>
              <w:bottom w:val="single" w:sz="4" w:space="0" w:color="auto"/>
              <w:right w:val="single" w:sz="4" w:space="0" w:color="auto"/>
            </w:tcBorders>
            <w:noWrap/>
            <w:vAlign w:val="center"/>
          </w:tcPr>
          <w:p w14:paraId="3E47BD36" w14:textId="77777777" w:rsidR="00557091" w:rsidRPr="00E67914" w:rsidRDefault="00557091" w:rsidP="00557091">
            <w:pPr>
              <w:pStyle w:val="04"/>
              <w:rPr>
                <w:rFonts w:cs="Times New Roman"/>
              </w:rPr>
            </w:pPr>
            <w:r w:rsidRPr="00E67914">
              <w:rPr>
                <w:rFonts w:cs="Times New Roman"/>
              </w:rPr>
              <w:t>/</w:t>
            </w:r>
          </w:p>
        </w:tc>
        <w:tc>
          <w:tcPr>
            <w:tcW w:w="250" w:type="pct"/>
            <w:tcBorders>
              <w:top w:val="single" w:sz="4" w:space="0" w:color="auto"/>
              <w:left w:val="single" w:sz="4" w:space="0" w:color="auto"/>
              <w:bottom w:val="single" w:sz="4" w:space="0" w:color="auto"/>
              <w:right w:val="single" w:sz="4" w:space="0" w:color="auto"/>
            </w:tcBorders>
            <w:noWrap/>
            <w:vAlign w:val="center"/>
          </w:tcPr>
          <w:p w14:paraId="613295E2" w14:textId="77777777" w:rsidR="00557091" w:rsidRPr="00E67914" w:rsidRDefault="00557091" w:rsidP="00557091">
            <w:pPr>
              <w:pStyle w:val="04"/>
              <w:rPr>
                <w:rFonts w:cs="Times New Roman"/>
              </w:rPr>
            </w:pPr>
            <w:r w:rsidRPr="00E67914">
              <w:rPr>
                <w:rFonts w:cs="Times New Roman"/>
              </w:rPr>
              <w:t>/</w:t>
            </w:r>
          </w:p>
        </w:tc>
        <w:tc>
          <w:tcPr>
            <w:tcW w:w="146" w:type="pct"/>
            <w:tcBorders>
              <w:top w:val="single" w:sz="4" w:space="0" w:color="auto"/>
              <w:left w:val="single" w:sz="4" w:space="0" w:color="auto"/>
              <w:bottom w:val="single" w:sz="4" w:space="0" w:color="auto"/>
              <w:right w:val="single" w:sz="4" w:space="0" w:color="auto"/>
            </w:tcBorders>
            <w:vAlign w:val="center"/>
          </w:tcPr>
          <w:p w14:paraId="6CACF410" w14:textId="77777777" w:rsidR="00557091" w:rsidRPr="00E67914" w:rsidRDefault="00557091" w:rsidP="00557091">
            <w:pPr>
              <w:pStyle w:val="04"/>
              <w:rPr>
                <w:rFonts w:cs="Times New Roman"/>
              </w:rPr>
            </w:pPr>
            <w:r w:rsidRPr="00E67914">
              <w:rPr>
                <w:rFonts w:cs="Times New Roman"/>
              </w:rPr>
              <w:t>达标</w:t>
            </w:r>
          </w:p>
        </w:tc>
        <w:tc>
          <w:tcPr>
            <w:tcW w:w="190" w:type="pct"/>
            <w:tcBorders>
              <w:top w:val="single" w:sz="4" w:space="0" w:color="auto"/>
              <w:left w:val="single" w:sz="4" w:space="0" w:color="auto"/>
              <w:bottom w:val="single" w:sz="4" w:space="0" w:color="auto"/>
              <w:right w:val="single" w:sz="4" w:space="0" w:color="auto"/>
            </w:tcBorders>
            <w:vAlign w:val="center"/>
          </w:tcPr>
          <w:p w14:paraId="421BF868" w14:textId="77777777" w:rsidR="00557091" w:rsidRPr="00E67914" w:rsidRDefault="00557091" w:rsidP="00557091">
            <w:pPr>
              <w:pStyle w:val="04"/>
              <w:rPr>
                <w:rFonts w:cs="Times New Roman"/>
              </w:rPr>
            </w:pPr>
            <w:r w:rsidRPr="00E67914">
              <w:rPr>
                <w:rFonts w:cs="Times New Roman"/>
              </w:rPr>
              <w:t>达标</w:t>
            </w:r>
          </w:p>
        </w:tc>
      </w:tr>
      <w:tr w:rsidR="00E67914" w:rsidRPr="00E67914" w14:paraId="04455019" w14:textId="77777777" w:rsidTr="00557091">
        <w:trPr>
          <w:trHeight w:val="454"/>
          <w:jc w:val="center"/>
        </w:trPr>
        <w:tc>
          <w:tcPr>
            <w:tcW w:w="620" w:type="pct"/>
            <w:vMerge w:val="restart"/>
            <w:tcBorders>
              <w:top w:val="single" w:sz="4" w:space="0" w:color="auto"/>
              <w:left w:val="single" w:sz="4" w:space="0" w:color="auto"/>
              <w:right w:val="single" w:sz="4" w:space="0" w:color="auto"/>
            </w:tcBorders>
            <w:vAlign w:val="center"/>
          </w:tcPr>
          <w:p w14:paraId="439629B5" w14:textId="77777777" w:rsidR="005E70BF" w:rsidRPr="00E67914" w:rsidRDefault="005E70BF" w:rsidP="005E70BF">
            <w:pPr>
              <w:pStyle w:val="04"/>
              <w:rPr>
                <w:rFonts w:cs="Times New Roman"/>
              </w:rPr>
            </w:pPr>
            <w:r w:rsidRPr="00E67914">
              <w:rPr>
                <w:rFonts w:cs="Times New Roman"/>
              </w:rPr>
              <w:t>柴油发电机供电</w:t>
            </w:r>
          </w:p>
        </w:tc>
        <w:tc>
          <w:tcPr>
            <w:tcW w:w="1116" w:type="pct"/>
            <w:tcBorders>
              <w:top w:val="single" w:sz="4" w:space="0" w:color="auto"/>
              <w:left w:val="single" w:sz="4" w:space="0" w:color="auto"/>
              <w:bottom w:val="single" w:sz="4" w:space="0" w:color="auto"/>
              <w:right w:val="single" w:sz="4" w:space="0" w:color="auto"/>
            </w:tcBorders>
            <w:noWrap/>
            <w:vAlign w:val="center"/>
          </w:tcPr>
          <w:p w14:paraId="69DB0EE9" w14:textId="77777777" w:rsidR="005E70BF" w:rsidRPr="00E67914" w:rsidRDefault="005E70BF" w:rsidP="005E70BF">
            <w:pPr>
              <w:pStyle w:val="04"/>
              <w:rPr>
                <w:rFonts w:cs="Times New Roman"/>
                <w:kern w:val="2"/>
              </w:rPr>
            </w:pPr>
            <w:r w:rsidRPr="00E67914">
              <w:rPr>
                <w:rFonts w:cs="Times New Roman"/>
                <w:kern w:val="2"/>
              </w:rPr>
              <w:t>1#</w:t>
            </w:r>
            <w:r w:rsidRPr="00E67914">
              <w:rPr>
                <w:rFonts w:cs="Times New Roman"/>
                <w:kern w:val="2"/>
              </w:rPr>
              <w:t>居民点</w:t>
            </w:r>
          </w:p>
          <w:p w14:paraId="6E1A643F" w14:textId="13D7E4D4" w:rsidR="005E70BF" w:rsidRPr="00E67914" w:rsidRDefault="005E70BF" w:rsidP="005E70BF">
            <w:pPr>
              <w:pStyle w:val="04"/>
              <w:rPr>
                <w:rFonts w:cs="Times New Roman"/>
              </w:rPr>
            </w:pPr>
            <w:r w:rsidRPr="00E67914">
              <w:rPr>
                <w:rFonts w:cs="Times New Roman"/>
                <w:kern w:val="2"/>
              </w:rPr>
              <w:t>（</w:t>
            </w:r>
            <w:r w:rsidRPr="00E67914">
              <w:rPr>
                <w:rFonts w:cs="Times New Roman"/>
                <w:kern w:val="2"/>
              </w:rPr>
              <w:t>13.83,184.65,1.2</w:t>
            </w:r>
            <w:r w:rsidRPr="00E67914">
              <w:rPr>
                <w:rFonts w:cs="Times New Roman"/>
                <w:kern w:val="2"/>
              </w:rPr>
              <w:t>）</w:t>
            </w:r>
          </w:p>
        </w:tc>
        <w:tc>
          <w:tcPr>
            <w:tcW w:w="455" w:type="pct"/>
            <w:tcBorders>
              <w:top w:val="single" w:sz="4" w:space="0" w:color="auto"/>
              <w:left w:val="single" w:sz="4" w:space="0" w:color="auto"/>
              <w:bottom w:val="single" w:sz="4" w:space="0" w:color="auto"/>
              <w:right w:val="single" w:sz="4" w:space="0" w:color="auto"/>
            </w:tcBorders>
            <w:noWrap/>
            <w:vAlign w:val="center"/>
          </w:tcPr>
          <w:p w14:paraId="0584BFB3" w14:textId="7970F760" w:rsidR="005E70BF" w:rsidRPr="00E67914" w:rsidRDefault="005E70BF" w:rsidP="005E70BF">
            <w:pPr>
              <w:pStyle w:val="04"/>
              <w:rPr>
                <w:rFonts w:cs="Times New Roman"/>
              </w:rPr>
            </w:pPr>
            <w:r w:rsidRPr="00E67914">
              <w:rPr>
                <w:rFonts w:cs="Times New Roman"/>
                <w:kern w:val="2"/>
              </w:rPr>
              <w:t>61</w:t>
            </w:r>
          </w:p>
        </w:tc>
        <w:tc>
          <w:tcPr>
            <w:tcW w:w="349" w:type="pct"/>
            <w:tcBorders>
              <w:top w:val="single" w:sz="4" w:space="0" w:color="auto"/>
              <w:left w:val="single" w:sz="4" w:space="0" w:color="auto"/>
              <w:bottom w:val="single" w:sz="4" w:space="0" w:color="auto"/>
              <w:right w:val="single" w:sz="4" w:space="0" w:color="auto"/>
            </w:tcBorders>
            <w:noWrap/>
            <w:vAlign w:val="center"/>
          </w:tcPr>
          <w:p w14:paraId="50BADE6A" w14:textId="7DCF1216" w:rsidR="005E70BF" w:rsidRPr="00E67914" w:rsidRDefault="005E70BF" w:rsidP="005E70BF">
            <w:pPr>
              <w:pStyle w:val="04"/>
              <w:rPr>
                <w:rFonts w:cs="Times New Roman"/>
              </w:rPr>
            </w:pPr>
            <w:r w:rsidRPr="00E67914">
              <w:rPr>
                <w:rFonts w:cs="Times New Roman"/>
                <w:kern w:val="2"/>
              </w:rPr>
              <w:t>N</w:t>
            </w:r>
          </w:p>
        </w:tc>
        <w:tc>
          <w:tcPr>
            <w:tcW w:w="281" w:type="pct"/>
            <w:tcBorders>
              <w:top w:val="single" w:sz="4" w:space="0" w:color="auto"/>
              <w:left w:val="single" w:sz="4" w:space="0" w:color="auto"/>
              <w:bottom w:val="single" w:sz="4" w:space="0" w:color="auto"/>
              <w:right w:val="single" w:sz="4" w:space="0" w:color="auto"/>
            </w:tcBorders>
            <w:noWrap/>
            <w:vAlign w:val="center"/>
          </w:tcPr>
          <w:p w14:paraId="2BF35EAD" w14:textId="0484976F" w:rsidR="005E70BF" w:rsidRPr="00E67914" w:rsidRDefault="005E70BF" w:rsidP="005E70BF">
            <w:pPr>
              <w:pStyle w:val="04"/>
              <w:rPr>
                <w:rFonts w:cs="Times New Roman"/>
              </w:rPr>
            </w:pPr>
            <w:r w:rsidRPr="00E67914">
              <w:rPr>
                <w:rFonts w:cs="Times New Roman"/>
              </w:rPr>
              <w:t>48</w:t>
            </w:r>
          </w:p>
        </w:tc>
        <w:tc>
          <w:tcPr>
            <w:tcW w:w="281" w:type="pct"/>
            <w:tcBorders>
              <w:top w:val="single" w:sz="4" w:space="0" w:color="auto"/>
              <w:left w:val="single" w:sz="4" w:space="0" w:color="auto"/>
              <w:bottom w:val="single" w:sz="4" w:space="0" w:color="auto"/>
              <w:right w:val="single" w:sz="4" w:space="0" w:color="auto"/>
            </w:tcBorders>
            <w:noWrap/>
            <w:vAlign w:val="center"/>
          </w:tcPr>
          <w:p w14:paraId="3283E858" w14:textId="1AEBB288" w:rsidR="005E70BF" w:rsidRPr="00E67914" w:rsidRDefault="005E70BF" w:rsidP="005E70BF">
            <w:pPr>
              <w:pStyle w:val="04"/>
              <w:rPr>
                <w:rFonts w:cs="Times New Roman"/>
              </w:rPr>
            </w:pPr>
            <w:r w:rsidRPr="00E67914">
              <w:rPr>
                <w:rFonts w:cs="Times New Roman"/>
              </w:rPr>
              <w:t>48</w:t>
            </w:r>
          </w:p>
        </w:tc>
        <w:tc>
          <w:tcPr>
            <w:tcW w:w="250" w:type="pct"/>
            <w:tcBorders>
              <w:top w:val="single" w:sz="4" w:space="0" w:color="auto"/>
              <w:left w:val="single" w:sz="4" w:space="0" w:color="auto"/>
              <w:bottom w:val="single" w:sz="4" w:space="0" w:color="auto"/>
              <w:right w:val="single" w:sz="4" w:space="0" w:color="auto"/>
            </w:tcBorders>
            <w:noWrap/>
            <w:vAlign w:val="center"/>
          </w:tcPr>
          <w:p w14:paraId="0975351D" w14:textId="50D0361B" w:rsidR="005E70BF" w:rsidRPr="00E67914" w:rsidRDefault="005E70BF" w:rsidP="005E70BF">
            <w:pPr>
              <w:pStyle w:val="04"/>
              <w:rPr>
                <w:rFonts w:cs="Times New Roman"/>
              </w:rPr>
            </w:pPr>
            <w:r w:rsidRPr="00E67914">
              <w:rPr>
                <w:rFonts w:cs="Times New Roman"/>
              </w:rPr>
              <w:t>54</w:t>
            </w:r>
          </w:p>
        </w:tc>
        <w:tc>
          <w:tcPr>
            <w:tcW w:w="250" w:type="pct"/>
            <w:tcBorders>
              <w:top w:val="single" w:sz="4" w:space="0" w:color="auto"/>
              <w:left w:val="single" w:sz="4" w:space="0" w:color="auto"/>
              <w:bottom w:val="single" w:sz="4" w:space="0" w:color="auto"/>
              <w:right w:val="single" w:sz="4" w:space="0" w:color="auto"/>
            </w:tcBorders>
            <w:noWrap/>
            <w:vAlign w:val="center"/>
          </w:tcPr>
          <w:p w14:paraId="70835566" w14:textId="5EB881A0" w:rsidR="005E70BF" w:rsidRPr="00E67914" w:rsidRDefault="005E70BF" w:rsidP="005E70BF">
            <w:pPr>
              <w:pStyle w:val="04"/>
              <w:rPr>
                <w:rFonts w:cs="Times New Roman"/>
              </w:rPr>
            </w:pPr>
            <w:r w:rsidRPr="00E67914">
              <w:rPr>
                <w:rFonts w:cs="Times New Roman"/>
              </w:rPr>
              <w:t>42</w:t>
            </w:r>
          </w:p>
        </w:tc>
        <w:tc>
          <w:tcPr>
            <w:tcW w:w="281" w:type="pct"/>
            <w:tcBorders>
              <w:top w:val="single" w:sz="4" w:space="0" w:color="auto"/>
              <w:left w:val="single" w:sz="4" w:space="0" w:color="auto"/>
              <w:bottom w:val="single" w:sz="4" w:space="0" w:color="auto"/>
              <w:right w:val="single" w:sz="4" w:space="0" w:color="auto"/>
            </w:tcBorders>
            <w:noWrap/>
            <w:vAlign w:val="center"/>
          </w:tcPr>
          <w:p w14:paraId="79702F46" w14:textId="741284F0" w:rsidR="005E70BF" w:rsidRPr="00E67914" w:rsidRDefault="005E70BF" w:rsidP="005E70BF">
            <w:pPr>
              <w:pStyle w:val="04"/>
              <w:rPr>
                <w:rFonts w:cs="Times New Roman"/>
              </w:rPr>
            </w:pPr>
            <w:r w:rsidRPr="00E67914">
              <w:rPr>
                <w:rFonts w:cs="Times New Roman"/>
              </w:rPr>
              <w:t>55</w:t>
            </w:r>
          </w:p>
        </w:tc>
        <w:tc>
          <w:tcPr>
            <w:tcW w:w="281" w:type="pct"/>
            <w:tcBorders>
              <w:top w:val="single" w:sz="4" w:space="0" w:color="auto"/>
              <w:left w:val="single" w:sz="4" w:space="0" w:color="auto"/>
              <w:bottom w:val="single" w:sz="4" w:space="0" w:color="auto"/>
              <w:right w:val="single" w:sz="4" w:space="0" w:color="auto"/>
            </w:tcBorders>
            <w:noWrap/>
            <w:vAlign w:val="center"/>
          </w:tcPr>
          <w:p w14:paraId="5FD28F22" w14:textId="296B16E1" w:rsidR="005E70BF" w:rsidRPr="00E67914" w:rsidRDefault="005E70BF" w:rsidP="005E70BF">
            <w:pPr>
              <w:pStyle w:val="04"/>
              <w:rPr>
                <w:rFonts w:cs="Times New Roman"/>
              </w:rPr>
            </w:pPr>
            <w:r w:rsidRPr="00E67914">
              <w:rPr>
                <w:rFonts w:cs="Times New Roman"/>
              </w:rPr>
              <w:t>49</w:t>
            </w:r>
          </w:p>
        </w:tc>
        <w:tc>
          <w:tcPr>
            <w:tcW w:w="250" w:type="pct"/>
            <w:tcBorders>
              <w:top w:val="single" w:sz="4" w:space="0" w:color="auto"/>
              <w:left w:val="single" w:sz="4" w:space="0" w:color="auto"/>
              <w:bottom w:val="single" w:sz="4" w:space="0" w:color="auto"/>
              <w:right w:val="single" w:sz="4" w:space="0" w:color="auto"/>
            </w:tcBorders>
            <w:noWrap/>
            <w:vAlign w:val="center"/>
          </w:tcPr>
          <w:p w14:paraId="2BC9EB30" w14:textId="77777777" w:rsidR="005E70BF" w:rsidRPr="00E67914" w:rsidRDefault="005E70BF" w:rsidP="005E70BF">
            <w:pPr>
              <w:pStyle w:val="04"/>
              <w:rPr>
                <w:rFonts w:cs="Times New Roman"/>
              </w:rPr>
            </w:pPr>
            <w:r w:rsidRPr="00E67914">
              <w:rPr>
                <w:rFonts w:cs="Times New Roman"/>
              </w:rPr>
              <w:t>/</w:t>
            </w:r>
          </w:p>
        </w:tc>
        <w:tc>
          <w:tcPr>
            <w:tcW w:w="250" w:type="pct"/>
            <w:tcBorders>
              <w:top w:val="single" w:sz="4" w:space="0" w:color="auto"/>
              <w:left w:val="single" w:sz="4" w:space="0" w:color="auto"/>
              <w:bottom w:val="single" w:sz="4" w:space="0" w:color="auto"/>
              <w:right w:val="single" w:sz="4" w:space="0" w:color="auto"/>
            </w:tcBorders>
            <w:noWrap/>
            <w:vAlign w:val="center"/>
          </w:tcPr>
          <w:p w14:paraId="7C505020" w14:textId="77777777" w:rsidR="005E70BF" w:rsidRPr="00E67914" w:rsidRDefault="005E70BF" w:rsidP="005E70BF">
            <w:pPr>
              <w:pStyle w:val="04"/>
              <w:rPr>
                <w:rFonts w:cs="Times New Roman"/>
              </w:rPr>
            </w:pPr>
            <w:r w:rsidRPr="00E67914">
              <w:rPr>
                <w:rFonts w:cs="Times New Roman"/>
              </w:rPr>
              <w:t>/</w:t>
            </w:r>
          </w:p>
        </w:tc>
        <w:tc>
          <w:tcPr>
            <w:tcW w:w="146" w:type="pct"/>
            <w:tcBorders>
              <w:top w:val="single" w:sz="4" w:space="0" w:color="auto"/>
              <w:left w:val="single" w:sz="4" w:space="0" w:color="auto"/>
              <w:bottom w:val="single" w:sz="4" w:space="0" w:color="auto"/>
              <w:right w:val="single" w:sz="4" w:space="0" w:color="auto"/>
            </w:tcBorders>
            <w:vAlign w:val="center"/>
          </w:tcPr>
          <w:p w14:paraId="301EC49A" w14:textId="77777777" w:rsidR="005E70BF" w:rsidRPr="00E67914" w:rsidRDefault="005E70BF" w:rsidP="005E70BF">
            <w:pPr>
              <w:pStyle w:val="04"/>
              <w:rPr>
                <w:rFonts w:cs="Times New Roman"/>
              </w:rPr>
            </w:pPr>
            <w:r w:rsidRPr="00E67914">
              <w:rPr>
                <w:rFonts w:cs="Times New Roman"/>
              </w:rPr>
              <w:t>达标</w:t>
            </w:r>
          </w:p>
        </w:tc>
        <w:tc>
          <w:tcPr>
            <w:tcW w:w="190" w:type="pct"/>
            <w:tcBorders>
              <w:top w:val="single" w:sz="4" w:space="0" w:color="auto"/>
              <w:left w:val="single" w:sz="4" w:space="0" w:color="auto"/>
              <w:bottom w:val="single" w:sz="4" w:space="0" w:color="auto"/>
              <w:right w:val="single" w:sz="4" w:space="0" w:color="auto"/>
            </w:tcBorders>
            <w:vAlign w:val="center"/>
          </w:tcPr>
          <w:p w14:paraId="27690DDB" w14:textId="77777777" w:rsidR="005E70BF" w:rsidRPr="00E67914" w:rsidRDefault="005E70BF" w:rsidP="005E70BF">
            <w:pPr>
              <w:pStyle w:val="04"/>
              <w:rPr>
                <w:rFonts w:cs="Times New Roman"/>
              </w:rPr>
            </w:pPr>
            <w:r w:rsidRPr="00E67914">
              <w:rPr>
                <w:rFonts w:cs="Times New Roman"/>
              </w:rPr>
              <w:t>达标</w:t>
            </w:r>
          </w:p>
        </w:tc>
      </w:tr>
      <w:tr w:rsidR="00E67914" w:rsidRPr="00E67914" w14:paraId="6CDF7A2B" w14:textId="77777777" w:rsidTr="00557091">
        <w:trPr>
          <w:trHeight w:val="454"/>
          <w:jc w:val="center"/>
        </w:trPr>
        <w:tc>
          <w:tcPr>
            <w:tcW w:w="620" w:type="pct"/>
            <w:vMerge/>
            <w:tcBorders>
              <w:top w:val="single" w:sz="4" w:space="0" w:color="auto"/>
              <w:left w:val="single" w:sz="4" w:space="0" w:color="auto"/>
              <w:right w:val="single" w:sz="4" w:space="0" w:color="auto"/>
            </w:tcBorders>
            <w:vAlign w:val="center"/>
          </w:tcPr>
          <w:p w14:paraId="2640AE4D" w14:textId="77777777" w:rsidR="005E70BF" w:rsidRPr="00E67914" w:rsidRDefault="005E70BF" w:rsidP="005E70BF">
            <w:pPr>
              <w:pStyle w:val="04"/>
              <w:rPr>
                <w:rFonts w:cs="Times New Roman"/>
              </w:rPr>
            </w:pPr>
          </w:p>
        </w:tc>
        <w:tc>
          <w:tcPr>
            <w:tcW w:w="1116" w:type="pct"/>
            <w:tcBorders>
              <w:top w:val="single" w:sz="4" w:space="0" w:color="auto"/>
              <w:left w:val="single" w:sz="4" w:space="0" w:color="auto"/>
              <w:bottom w:val="single" w:sz="4" w:space="0" w:color="auto"/>
              <w:right w:val="single" w:sz="4" w:space="0" w:color="auto"/>
            </w:tcBorders>
            <w:noWrap/>
            <w:vAlign w:val="center"/>
          </w:tcPr>
          <w:p w14:paraId="5C7246DF" w14:textId="77777777" w:rsidR="005E70BF" w:rsidRPr="00E67914" w:rsidRDefault="005E70BF" w:rsidP="005E70BF">
            <w:pPr>
              <w:pStyle w:val="04"/>
              <w:rPr>
                <w:rFonts w:cs="Times New Roman"/>
                <w:kern w:val="2"/>
              </w:rPr>
            </w:pPr>
            <w:r w:rsidRPr="00E67914">
              <w:rPr>
                <w:rFonts w:cs="Times New Roman"/>
                <w:kern w:val="2"/>
              </w:rPr>
              <w:t>2#</w:t>
            </w:r>
            <w:r w:rsidRPr="00E67914">
              <w:rPr>
                <w:rFonts w:cs="Times New Roman"/>
                <w:kern w:val="2"/>
              </w:rPr>
              <w:t>居民点</w:t>
            </w:r>
          </w:p>
          <w:p w14:paraId="1A6B946B" w14:textId="2715B926" w:rsidR="005E70BF" w:rsidRPr="00E67914" w:rsidRDefault="005E70BF" w:rsidP="005E70BF">
            <w:pPr>
              <w:pStyle w:val="04"/>
              <w:rPr>
                <w:rFonts w:cs="Times New Roman"/>
                <w:kern w:val="2"/>
              </w:rPr>
            </w:pPr>
            <w:r w:rsidRPr="00E67914">
              <w:rPr>
                <w:rFonts w:cs="Times New Roman"/>
                <w:kern w:val="2"/>
              </w:rPr>
              <w:t>（</w:t>
            </w:r>
            <w:r w:rsidRPr="00E67914">
              <w:rPr>
                <w:rFonts w:cs="Times New Roman"/>
                <w:kern w:val="2"/>
              </w:rPr>
              <w:t>-162.31,48.71,1.2</w:t>
            </w:r>
            <w:r w:rsidRPr="00E67914">
              <w:rPr>
                <w:rFonts w:cs="Times New Roman"/>
                <w:kern w:val="2"/>
              </w:rPr>
              <w:t>）</w:t>
            </w:r>
          </w:p>
        </w:tc>
        <w:tc>
          <w:tcPr>
            <w:tcW w:w="455" w:type="pct"/>
            <w:tcBorders>
              <w:top w:val="single" w:sz="4" w:space="0" w:color="auto"/>
              <w:left w:val="single" w:sz="4" w:space="0" w:color="auto"/>
              <w:bottom w:val="single" w:sz="4" w:space="0" w:color="auto"/>
              <w:right w:val="single" w:sz="4" w:space="0" w:color="auto"/>
            </w:tcBorders>
            <w:noWrap/>
            <w:vAlign w:val="center"/>
          </w:tcPr>
          <w:p w14:paraId="2C299B8C" w14:textId="0BF5CBB5" w:rsidR="005E70BF" w:rsidRPr="00E67914" w:rsidRDefault="005E70BF" w:rsidP="005E70BF">
            <w:pPr>
              <w:pStyle w:val="04"/>
              <w:rPr>
                <w:rFonts w:cs="Times New Roman"/>
              </w:rPr>
            </w:pPr>
            <w:r w:rsidRPr="00E67914">
              <w:rPr>
                <w:rFonts w:cs="Times New Roman"/>
                <w:kern w:val="2"/>
              </w:rPr>
              <w:t>115</w:t>
            </w:r>
          </w:p>
        </w:tc>
        <w:tc>
          <w:tcPr>
            <w:tcW w:w="349" w:type="pct"/>
            <w:tcBorders>
              <w:top w:val="single" w:sz="4" w:space="0" w:color="auto"/>
              <w:left w:val="single" w:sz="4" w:space="0" w:color="auto"/>
              <w:bottom w:val="single" w:sz="4" w:space="0" w:color="auto"/>
              <w:right w:val="single" w:sz="4" w:space="0" w:color="auto"/>
            </w:tcBorders>
            <w:noWrap/>
            <w:vAlign w:val="center"/>
          </w:tcPr>
          <w:p w14:paraId="5341190F" w14:textId="6F94A004" w:rsidR="005E70BF" w:rsidRPr="00E67914" w:rsidRDefault="005E70BF" w:rsidP="005E70BF">
            <w:pPr>
              <w:pStyle w:val="04"/>
              <w:rPr>
                <w:rFonts w:cs="Times New Roman"/>
              </w:rPr>
            </w:pPr>
            <w:r w:rsidRPr="00E67914">
              <w:rPr>
                <w:rFonts w:cs="Times New Roman"/>
                <w:kern w:val="2"/>
              </w:rPr>
              <w:t>W</w:t>
            </w:r>
          </w:p>
        </w:tc>
        <w:tc>
          <w:tcPr>
            <w:tcW w:w="281" w:type="pct"/>
            <w:tcBorders>
              <w:top w:val="single" w:sz="4" w:space="0" w:color="auto"/>
              <w:left w:val="single" w:sz="4" w:space="0" w:color="auto"/>
              <w:bottom w:val="single" w:sz="4" w:space="0" w:color="auto"/>
              <w:right w:val="single" w:sz="4" w:space="0" w:color="auto"/>
            </w:tcBorders>
            <w:noWrap/>
            <w:vAlign w:val="center"/>
          </w:tcPr>
          <w:p w14:paraId="036B2E11" w14:textId="651B9BC4" w:rsidR="005E70BF" w:rsidRPr="00E67914" w:rsidRDefault="005E70BF" w:rsidP="005E70BF">
            <w:pPr>
              <w:pStyle w:val="04"/>
              <w:rPr>
                <w:rFonts w:cs="Times New Roman"/>
              </w:rPr>
            </w:pPr>
            <w:r w:rsidRPr="00E67914">
              <w:rPr>
                <w:rFonts w:cs="Times New Roman"/>
              </w:rPr>
              <w:t>43</w:t>
            </w:r>
          </w:p>
        </w:tc>
        <w:tc>
          <w:tcPr>
            <w:tcW w:w="281" w:type="pct"/>
            <w:tcBorders>
              <w:top w:val="single" w:sz="4" w:space="0" w:color="auto"/>
              <w:left w:val="single" w:sz="4" w:space="0" w:color="auto"/>
              <w:bottom w:val="single" w:sz="4" w:space="0" w:color="auto"/>
              <w:right w:val="single" w:sz="4" w:space="0" w:color="auto"/>
            </w:tcBorders>
            <w:noWrap/>
            <w:vAlign w:val="center"/>
          </w:tcPr>
          <w:p w14:paraId="41D2FEF1" w14:textId="5F2CC2ED" w:rsidR="005E70BF" w:rsidRPr="00E67914" w:rsidRDefault="005E70BF" w:rsidP="005E70BF">
            <w:pPr>
              <w:pStyle w:val="04"/>
              <w:rPr>
                <w:rFonts w:cs="Times New Roman"/>
              </w:rPr>
            </w:pPr>
            <w:r w:rsidRPr="00E67914">
              <w:rPr>
                <w:rFonts w:cs="Times New Roman"/>
              </w:rPr>
              <w:t>43</w:t>
            </w:r>
          </w:p>
        </w:tc>
        <w:tc>
          <w:tcPr>
            <w:tcW w:w="250" w:type="pct"/>
            <w:tcBorders>
              <w:top w:val="single" w:sz="4" w:space="0" w:color="auto"/>
              <w:left w:val="single" w:sz="4" w:space="0" w:color="auto"/>
              <w:bottom w:val="single" w:sz="4" w:space="0" w:color="auto"/>
              <w:right w:val="single" w:sz="4" w:space="0" w:color="auto"/>
            </w:tcBorders>
            <w:noWrap/>
            <w:vAlign w:val="center"/>
          </w:tcPr>
          <w:p w14:paraId="568B494D" w14:textId="6751C378" w:rsidR="005E70BF" w:rsidRPr="00E67914" w:rsidRDefault="005E70BF" w:rsidP="005E70BF">
            <w:pPr>
              <w:pStyle w:val="04"/>
              <w:rPr>
                <w:rFonts w:cs="Times New Roman"/>
              </w:rPr>
            </w:pPr>
            <w:r w:rsidRPr="00E67914">
              <w:rPr>
                <w:rFonts w:cs="Times New Roman"/>
              </w:rPr>
              <w:t>56</w:t>
            </w:r>
          </w:p>
        </w:tc>
        <w:tc>
          <w:tcPr>
            <w:tcW w:w="250" w:type="pct"/>
            <w:tcBorders>
              <w:top w:val="single" w:sz="4" w:space="0" w:color="auto"/>
              <w:left w:val="single" w:sz="4" w:space="0" w:color="auto"/>
              <w:bottom w:val="single" w:sz="4" w:space="0" w:color="auto"/>
              <w:right w:val="single" w:sz="4" w:space="0" w:color="auto"/>
            </w:tcBorders>
            <w:noWrap/>
            <w:vAlign w:val="center"/>
          </w:tcPr>
          <w:p w14:paraId="38880270" w14:textId="46C4C575" w:rsidR="005E70BF" w:rsidRPr="00E67914" w:rsidRDefault="005E70BF" w:rsidP="005E70BF">
            <w:pPr>
              <w:pStyle w:val="04"/>
              <w:rPr>
                <w:rFonts w:cs="Times New Roman"/>
              </w:rPr>
            </w:pPr>
            <w:r w:rsidRPr="00E67914">
              <w:rPr>
                <w:rFonts w:cs="Times New Roman"/>
              </w:rPr>
              <w:t>43</w:t>
            </w:r>
          </w:p>
        </w:tc>
        <w:tc>
          <w:tcPr>
            <w:tcW w:w="281" w:type="pct"/>
            <w:tcBorders>
              <w:top w:val="single" w:sz="4" w:space="0" w:color="auto"/>
              <w:left w:val="single" w:sz="4" w:space="0" w:color="auto"/>
              <w:bottom w:val="single" w:sz="4" w:space="0" w:color="auto"/>
              <w:right w:val="single" w:sz="4" w:space="0" w:color="auto"/>
            </w:tcBorders>
            <w:noWrap/>
            <w:vAlign w:val="center"/>
          </w:tcPr>
          <w:p w14:paraId="54D25901" w14:textId="0582DF08" w:rsidR="005E70BF" w:rsidRPr="00E67914" w:rsidRDefault="005E70BF" w:rsidP="005E70BF">
            <w:pPr>
              <w:pStyle w:val="04"/>
              <w:rPr>
                <w:rFonts w:cs="Times New Roman"/>
              </w:rPr>
            </w:pPr>
            <w:r w:rsidRPr="00E67914">
              <w:rPr>
                <w:rFonts w:cs="Times New Roman"/>
              </w:rPr>
              <w:t>56</w:t>
            </w:r>
          </w:p>
        </w:tc>
        <w:tc>
          <w:tcPr>
            <w:tcW w:w="281" w:type="pct"/>
            <w:tcBorders>
              <w:top w:val="single" w:sz="4" w:space="0" w:color="auto"/>
              <w:left w:val="single" w:sz="4" w:space="0" w:color="auto"/>
              <w:bottom w:val="single" w:sz="4" w:space="0" w:color="auto"/>
              <w:right w:val="single" w:sz="4" w:space="0" w:color="auto"/>
            </w:tcBorders>
            <w:noWrap/>
            <w:vAlign w:val="center"/>
          </w:tcPr>
          <w:p w14:paraId="24AD5ECC" w14:textId="61BDDFC2" w:rsidR="005E70BF" w:rsidRPr="00E67914" w:rsidRDefault="005E70BF" w:rsidP="005E70BF">
            <w:pPr>
              <w:pStyle w:val="04"/>
              <w:rPr>
                <w:rFonts w:cs="Times New Roman"/>
              </w:rPr>
            </w:pPr>
            <w:r w:rsidRPr="00E67914">
              <w:rPr>
                <w:rFonts w:cs="Times New Roman"/>
              </w:rPr>
              <w:t>46</w:t>
            </w:r>
          </w:p>
        </w:tc>
        <w:tc>
          <w:tcPr>
            <w:tcW w:w="250" w:type="pct"/>
            <w:tcBorders>
              <w:top w:val="single" w:sz="4" w:space="0" w:color="auto"/>
              <w:left w:val="single" w:sz="4" w:space="0" w:color="auto"/>
              <w:bottom w:val="single" w:sz="4" w:space="0" w:color="auto"/>
              <w:right w:val="single" w:sz="4" w:space="0" w:color="auto"/>
            </w:tcBorders>
            <w:noWrap/>
            <w:vAlign w:val="center"/>
          </w:tcPr>
          <w:p w14:paraId="2A1A6D03" w14:textId="0DB6B93A" w:rsidR="005E70BF" w:rsidRPr="00E67914" w:rsidRDefault="005E70BF" w:rsidP="005E70BF">
            <w:pPr>
              <w:pStyle w:val="04"/>
              <w:rPr>
                <w:rFonts w:cs="Times New Roman"/>
              </w:rPr>
            </w:pPr>
            <w:r w:rsidRPr="00E67914">
              <w:rPr>
                <w:rFonts w:cs="Times New Roman"/>
              </w:rPr>
              <w:t>/</w:t>
            </w:r>
          </w:p>
        </w:tc>
        <w:tc>
          <w:tcPr>
            <w:tcW w:w="250" w:type="pct"/>
            <w:tcBorders>
              <w:top w:val="single" w:sz="4" w:space="0" w:color="auto"/>
              <w:left w:val="single" w:sz="4" w:space="0" w:color="auto"/>
              <w:bottom w:val="single" w:sz="4" w:space="0" w:color="auto"/>
              <w:right w:val="single" w:sz="4" w:space="0" w:color="auto"/>
            </w:tcBorders>
            <w:noWrap/>
            <w:vAlign w:val="center"/>
          </w:tcPr>
          <w:p w14:paraId="52D4C8B5" w14:textId="35ECB0A0" w:rsidR="005E70BF" w:rsidRPr="00E67914" w:rsidRDefault="005E70BF" w:rsidP="005E70BF">
            <w:pPr>
              <w:pStyle w:val="04"/>
              <w:rPr>
                <w:rFonts w:cs="Times New Roman"/>
              </w:rPr>
            </w:pPr>
            <w:r w:rsidRPr="00E67914">
              <w:rPr>
                <w:rFonts w:cs="Times New Roman"/>
              </w:rPr>
              <w:t>/</w:t>
            </w:r>
          </w:p>
        </w:tc>
        <w:tc>
          <w:tcPr>
            <w:tcW w:w="146" w:type="pct"/>
            <w:tcBorders>
              <w:top w:val="single" w:sz="4" w:space="0" w:color="auto"/>
              <w:left w:val="single" w:sz="4" w:space="0" w:color="auto"/>
              <w:bottom w:val="single" w:sz="4" w:space="0" w:color="auto"/>
              <w:right w:val="single" w:sz="4" w:space="0" w:color="auto"/>
            </w:tcBorders>
            <w:vAlign w:val="center"/>
          </w:tcPr>
          <w:p w14:paraId="48249F92" w14:textId="10467077" w:rsidR="005E70BF" w:rsidRPr="00E67914" w:rsidRDefault="005E70BF" w:rsidP="005E70BF">
            <w:pPr>
              <w:pStyle w:val="04"/>
              <w:rPr>
                <w:rFonts w:cs="Times New Roman"/>
              </w:rPr>
            </w:pPr>
            <w:r w:rsidRPr="00E67914">
              <w:rPr>
                <w:rFonts w:cs="Times New Roman"/>
              </w:rPr>
              <w:t>达标</w:t>
            </w:r>
          </w:p>
        </w:tc>
        <w:tc>
          <w:tcPr>
            <w:tcW w:w="190" w:type="pct"/>
            <w:tcBorders>
              <w:top w:val="single" w:sz="4" w:space="0" w:color="auto"/>
              <w:left w:val="single" w:sz="4" w:space="0" w:color="auto"/>
              <w:bottom w:val="single" w:sz="4" w:space="0" w:color="auto"/>
              <w:right w:val="single" w:sz="4" w:space="0" w:color="auto"/>
            </w:tcBorders>
            <w:vAlign w:val="center"/>
          </w:tcPr>
          <w:p w14:paraId="400A7962" w14:textId="79553F26" w:rsidR="005E70BF" w:rsidRPr="00E67914" w:rsidRDefault="005E70BF" w:rsidP="005E70BF">
            <w:pPr>
              <w:pStyle w:val="04"/>
              <w:rPr>
                <w:rFonts w:cs="Times New Roman"/>
              </w:rPr>
            </w:pPr>
            <w:r w:rsidRPr="00E67914">
              <w:rPr>
                <w:rFonts w:cs="Times New Roman"/>
              </w:rPr>
              <w:t>达标</w:t>
            </w:r>
          </w:p>
        </w:tc>
      </w:tr>
      <w:tr w:rsidR="00E67914" w:rsidRPr="00E67914" w14:paraId="4FAA3807" w14:textId="77777777" w:rsidTr="00557091">
        <w:trPr>
          <w:trHeight w:val="454"/>
          <w:jc w:val="center"/>
        </w:trPr>
        <w:tc>
          <w:tcPr>
            <w:tcW w:w="620" w:type="pct"/>
            <w:vMerge/>
            <w:tcBorders>
              <w:top w:val="single" w:sz="4" w:space="0" w:color="auto"/>
              <w:left w:val="single" w:sz="4" w:space="0" w:color="auto"/>
              <w:right w:val="single" w:sz="4" w:space="0" w:color="auto"/>
            </w:tcBorders>
            <w:vAlign w:val="center"/>
          </w:tcPr>
          <w:p w14:paraId="721E71C5" w14:textId="77777777" w:rsidR="005E70BF" w:rsidRPr="00E67914" w:rsidRDefault="005E70BF" w:rsidP="005E70BF">
            <w:pPr>
              <w:pStyle w:val="04"/>
              <w:rPr>
                <w:rFonts w:cs="Times New Roman"/>
              </w:rPr>
            </w:pPr>
          </w:p>
        </w:tc>
        <w:tc>
          <w:tcPr>
            <w:tcW w:w="1116" w:type="pct"/>
            <w:tcBorders>
              <w:top w:val="single" w:sz="4" w:space="0" w:color="auto"/>
              <w:left w:val="single" w:sz="4" w:space="0" w:color="auto"/>
              <w:bottom w:val="single" w:sz="4" w:space="0" w:color="auto"/>
              <w:right w:val="single" w:sz="4" w:space="0" w:color="auto"/>
            </w:tcBorders>
            <w:noWrap/>
            <w:vAlign w:val="center"/>
          </w:tcPr>
          <w:p w14:paraId="6CA9AADA" w14:textId="77777777" w:rsidR="005E70BF" w:rsidRPr="00E67914" w:rsidRDefault="005E70BF" w:rsidP="005E70BF">
            <w:pPr>
              <w:pStyle w:val="04"/>
              <w:rPr>
                <w:rFonts w:cs="Times New Roman"/>
                <w:kern w:val="2"/>
              </w:rPr>
            </w:pPr>
            <w:r w:rsidRPr="00E67914">
              <w:rPr>
                <w:rFonts w:cs="Times New Roman"/>
                <w:kern w:val="2"/>
              </w:rPr>
              <w:t>5#</w:t>
            </w:r>
            <w:r w:rsidRPr="00E67914">
              <w:rPr>
                <w:rFonts w:cs="Times New Roman"/>
                <w:kern w:val="2"/>
              </w:rPr>
              <w:t>居民点</w:t>
            </w:r>
          </w:p>
          <w:p w14:paraId="2C40FACB" w14:textId="440C5AE4" w:rsidR="005E70BF" w:rsidRPr="00E67914" w:rsidRDefault="005E70BF" w:rsidP="005E70BF">
            <w:pPr>
              <w:pStyle w:val="04"/>
              <w:rPr>
                <w:rFonts w:cs="Times New Roman"/>
              </w:rPr>
            </w:pPr>
            <w:r w:rsidRPr="00E67914">
              <w:rPr>
                <w:rFonts w:cs="Times New Roman"/>
                <w:kern w:val="2"/>
              </w:rPr>
              <w:t>（</w:t>
            </w:r>
            <w:r w:rsidRPr="00E67914">
              <w:rPr>
                <w:rFonts w:cs="Times New Roman"/>
                <w:kern w:val="2"/>
              </w:rPr>
              <w:t>-212.89,106.52,1.2</w:t>
            </w:r>
            <w:r w:rsidRPr="00E67914">
              <w:rPr>
                <w:rFonts w:cs="Times New Roman"/>
                <w:kern w:val="2"/>
              </w:rPr>
              <w:t>）</w:t>
            </w:r>
          </w:p>
        </w:tc>
        <w:tc>
          <w:tcPr>
            <w:tcW w:w="455" w:type="pct"/>
            <w:tcBorders>
              <w:top w:val="single" w:sz="4" w:space="0" w:color="auto"/>
              <w:left w:val="single" w:sz="4" w:space="0" w:color="auto"/>
              <w:bottom w:val="single" w:sz="4" w:space="0" w:color="auto"/>
              <w:right w:val="single" w:sz="4" w:space="0" w:color="auto"/>
            </w:tcBorders>
            <w:noWrap/>
            <w:vAlign w:val="center"/>
          </w:tcPr>
          <w:p w14:paraId="53E212B7" w14:textId="33CB9B50" w:rsidR="005E70BF" w:rsidRPr="00E67914" w:rsidRDefault="005E70BF" w:rsidP="005E70BF">
            <w:pPr>
              <w:pStyle w:val="04"/>
              <w:rPr>
                <w:rFonts w:cs="Times New Roman"/>
              </w:rPr>
            </w:pPr>
            <w:r w:rsidRPr="00E67914">
              <w:rPr>
                <w:rFonts w:cs="Times New Roman"/>
                <w:kern w:val="2"/>
              </w:rPr>
              <w:t>185</w:t>
            </w:r>
          </w:p>
        </w:tc>
        <w:tc>
          <w:tcPr>
            <w:tcW w:w="349" w:type="pct"/>
            <w:tcBorders>
              <w:top w:val="single" w:sz="4" w:space="0" w:color="auto"/>
              <w:left w:val="single" w:sz="4" w:space="0" w:color="auto"/>
              <w:bottom w:val="single" w:sz="4" w:space="0" w:color="auto"/>
              <w:right w:val="single" w:sz="4" w:space="0" w:color="auto"/>
            </w:tcBorders>
            <w:noWrap/>
            <w:vAlign w:val="center"/>
          </w:tcPr>
          <w:p w14:paraId="22F4CF93" w14:textId="2512083B" w:rsidR="005E70BF" w:rsidRPr="00E67914" w:rsidRDefault="005E70BF" w:rsidP="005E70BF">
            <w:pPr>
              <w:pStyle w:val="04"/>
              <w:rPr>
                <w:rFonts w:cs="Times New Roman"/>
              </w:rPr>
            </w:pPr>
            <w:r w:rsidRPr="00E67914">
              <w:rPr>
                <w:rFonts w:cs="Times New Roman"/>
                <w:kern w:val="2"/>
              </w:rPr>
              <w:t>W</w:t>
            </w:r>
          </w:p>
        </w:tc>
        <w:tc>
          <w:tcPr>
            <w:tcW w:w="281" w:type="pct"/>
            <w:tcBorders>
              <w:top w:val="single" w:sz="4" w:space="0" w:color="auto"/>
              <w:left w:val="single" w:sz="4" w:space="0" w:color="auto"/>
              <w:bottom w:val="single" w:sz="4" w:space="0" w:color="auto"/>
              <w:right w:val="single" w:sz="4" w:space="0" w:color="auto"/>
            </w:tcBorders>
            <w:noWrap/>
            <w:vAlign w:val="center"/>
          </w:tcPr>
          <w:p w14:paraId="24CBECC2" w14:textId="2C43A2A1" w:rsidR="005E70BF" w:rsidRPr="00E67914" w:rsidRDefault="005E70BF" w:rsidP="005E70BF">
            <w:pPr>
              <w:pStyle w:val="04"/>
              <w:rPr>
                <w:rFonts w:cs="Times New Roman"/>
              </w:rPr>
            </w:pPr>
            <w:r w:rsidRPr="00E67914">
              <w:rPr>
                <w:rFonts w:cs="Times New Roman"/>
              </w:rPr>
              <w:t>41</w:t>
            </w:r>
          </w:p>
        </w:tc>
        <w:tc>
          <w:tcPr>
            <w:tcW w:w="281" w:type="pct"/>
            <w:tcBorders>
              <w:top w:val="single" w:sz="4" w:space="0" w:color="auto"/>
              <w:left w:val="single" w:sz="4" w:space="0" w:color="auto"/>
              <w:bottom w:val="single" w:sz="4" w:space="0" w:color="auto"/>
              <w:right w:val="single" w:sz="4" w:space="0" w:color="auto"/>
            </w:tcBorders>
            <w:noWrap/>
            <w:vAlign w:val="center"/>
          </w:tcPr>
          <w:p w14:paraId="3E46845A" w14:textId="533EEECA" w:rsidR="005E70BF" w:rsidRPr="00E67914" w:rsidRDefault="005E70BF" w:rsidP="005E70BF">
            <w:pPr>
              <w:pStyle w:val="04"/>
              <w:rPr>
                <w:rFonts w:cs="Times New Roman"/>
              </w:rPr>
            </w:pPr>
            <w:r w:rsidRPr="00E67914">
              <w:rPr>
                <w:rFonts w:cs="Times New Roman"/>
              </w:rPr>
              <w:t>41</w:t>
            </w:r>
          </w:p>
        </w:tc>
        <w:tc>
          <w:tcPr>
            <w:tcW w:w="250" w:type="pct"/>
            <w:tcBorders>
              <w:top w:val="single" w:sz="4" w:space="0" w:color="auto"/>
              <w:left w:val="single" w:sz="4" w:space="0" w:color="auto"/>
              <w:bottom w:val="single" w:sz="4" w:space="0" w:color="auto"/>
              <w:right w:val="single" w:sz="4" w:space="0" w:color="auto"/>
            </w:tcBorders>
            <w:noWrap/>
            <w:vAlign w:val="center"/>
          </w:tcPr>
          <w:p w14:paraId="32503B2D" w14:textId="05D804CE" w:rsidR="005E70BF" w:rsidRPr="00E67914" w:rsidRDefault="005E70BF" w:rsidP="005E70BF">
            <w:pPr>
              <w:pStyle w:val="04"/>
              <w:rPr>
                <w:rFonts w:cs="Times New Roman"/>
              </w:rPr>
            </w:pPr>
            <w:r w:rsidRPr="00E67914">
              <w:rPr>
                <w:rFonts w:cs="Times New Roman"/>
              </w:rPr>
              <w:t>56</w:t>
            </w:r>
          </w:p>
        </w:tc>
        <w:tc>
          <w:tcPr>
            <w:tcW w:w="250" w:type="pct"/>
            <w:tcBorders>
              <w:top w:val="single" w:sz="4" w:space="0" w:color="auto"/>
              <w:left w:val="single" w:sz="4" w:space="0" w:color="auto"/>
              <w:bottom w:val="single" w:sz="4" w:space="0" w:color="auto"/>
              <w:right w:val="single" w:sz="4" w:space="0" w:color="auto"/>
            </w:tcBorders>
            <w:noWrap/>
            <w:vAlign w:val="center"/>
          </w:tcPr>
          <w:p w14:paraId="4AFAF5F4" w14:textId="4B3D0A82" w:rsidR="005E70BF" w:rsidRPr="00E67914" w:rsidRDefault="005E70BF" w:rsidP="005E70BF">
            <w:pPr>
              <w:pStyle w:val="04"/>
              <w:rPr>
                <w:rFonts w:cs="Times New Roman"/>
              </w:rPr>
            </w:pPr>
            <w:r w:rsidRPr="00E67914">
              <w:rPr>
                <w:rFonts w:cs="Times New Roman"/>
              </w:rPr>
              <w:t>43</w:t>
            </w:r>
          </w:p>
        </w:tc>
        <w:tc>
          <w:tcPr>
            <w:tcW w:w="281" w:type="pct"/>
            <w:tcBorders>
              <w:top w:val="single" w:sz="4" w:space="0" w:color="auto"/>
              <w:left w:val="single" w:sz="4" w:space="0" w:color="auto"/>
              <w:bottom w:val="single" w:sz="4" w:space="0" w:color="auto"/>
              <w:right w:val="single" w:sz="4" w:space="0" w:color="auto"/>
            </w:tcBorders>
            <w:noWrap/>
            <w:vAlign w:val="center"/>
          </w:tcPr>
          <w:p w14:paraId="18BA6BDB" w14:textId="08B2E27E" w:rsidR="005E70BF" w:rsidRPr="00E67914" w:rsidRDefault="005E70BF" w:rsidP="005E70BF">
            <w:pPr>
              <w:pStyle w:val="04"/>
              <w:rPr>
                <w:rFonts w:cs="Times New Roman"/>
              </w:rPr>
            </w:pPr>
            <w:r w:rsidRPr="00E67914">
              <w:rPr>
                <w:rFonts w:cs="Times New Roman"/>
              </w:rPr>
              <w:t>56</w:t>
            </w:r>
          </w:p>
        </w:tc>
        <w:tc>
          <w:tcPr>
            <w:tcW w:w="281" w:type="pct"/>
            <w:tcBorders>
              <w:top w:val="single" w:sz="4" w:space="0" w:color="auto"/>
              <w:left w:val="single" w:sz="4" w:space="0" w:color="auto"/>
              <w:bottom w:val="single" w:sz="4" w:space="0" w:color="auto"/>
              <w:right w:val="single" w:sz="4" w:space="0" w:color="auto"/>
            </w:tcBorders>
            <w:noWrap/>
            <w:vAlign w:val="center"/>
          </w:tcPr>
          <w:p w14:paraId="42C87EB5" w14:textId="7F60649A" w:rsidR="005E70BF" w:rsidRPr="00E67914" w:rsidRDefault="005E70BF" w:rsidP="005E70BF">
            <w:pPr>
              <w:pStyle w:val="04"/>
              <w:rPr>
                <w:rFonts w:cs="Times New Roman"/>
              </w:rPr>
            </w:pPr>
            <w:r w:rsidRPr="00E67914">
              <w:rPr>
                <w:rFonts w:cs="Times New Roman"/>
              </w:rPr>
              <w:t>45</w:t>
            </w:r>
          </w:p>
        </w:tc>
        <w:tc>
          <w:tcPr>
            <w:tcW w:w="250" w:type="pct"/>
            <w:tcBorders>
              <w:top w:val="single" w:sz="4" w:space="0" w:color="auto"/>
              <w:left w:val="single" w:sz="4" w:space="0" w:color="auto"/>
              <w:bottom w:val="single" w:sz="4" w:space="0" w:color="auto"/>
              <w:right w:val="single" w:sz="4" w:space="0" w:color="auto"/>
            </w:tcBorders>
            <w:noWrap/>
            <w:vAlign w:val="center"/>
          </w:tcPr>
          <w:p w14:paraId="20B1D0E7" w14:textId="77777777" w:rsidR="005E70BF" w:rsidRPr="00E67914" w:rsidRDefault="005E70BF" w:rsidP="005E70BF">
            <w:pPr>
              <w:pStyle w:val="04"/>
              <w:rPr>
                <w:rFonts w:cs="Times New Roman"/>
              </w:rPr>
            </w:pPr>
            <w:r w:rsidRPr="00E67914">
              <w:rPr>
                <w:rFonts w:cs="Times New Roman"/>
              </w:rPr>
              <w:t>/</w:t>
            </w:r>
          </w:p>
        </w:tc>
        <w:tc>
          <w:tcPr>
            <w:tcW w:w="250" w:type="pct"/>
            <w:tcBorders>
              <w:top w:val="single" w:sz="4" w:space="0" w:color="auto"/>
              <w:left w:val="single" w:sz="4" w:space="0" w:color="auto"/>
              <w:bottom w:val="single" w:sz="4" w:space="0" w:color="auto"/>
              <w:right w:val="single" w:sz="4" w:space="0" w:color="auto"/>
            </w:tcBorders>
            <w:noWrap/>
            <w:vAlign w:val="center"/>
          </w:tcPr>
          <w:p w14:paraId="60A7FE04" w14:textId="77777777" w:rsidR="005E70BF" w:rsidRPr="00E67914" w:rsidRDefault="005E70BF" w:rsidP="005E70BF">
            <w:pPr>
              <w:pStyle w:val="04"/>
              <w:rPr>
                <w:rFonts w:cs="Times New Roman"/>
              </w:rPr>
            </w:pPr>
            <w:r w:rsidRPr="00E67914">
              <w:rPr>
                <w:rFonts w:cs="Times New Roman"/>
              </w:rPr>
              <w:t>/</w:t>
            </w:r>
          </w:p>
        </w:tc>
        <w:tc>
          <w:tcPr>
            <w:tcW w:w="146" w:type="pct"/>
            <w:tcBorders>
              <w:top w:val="single" w:sz="4" w:space="0" w:color="auto"/>
              <w:left w:val="single" w:sz="4" w:space="0" w:color="auto"/>
              <w:bottom w:val="single" w:sz="4" w:space="0" w:color="auto"/>
              <w:right w:val="single" w:sz="4" w:space="0" w:color="auto"/>
            </w:tcBorders>
            <w:vAlign w:val="center"/>
          </w:tcPr>
          <w:p w14:paraId="27C8BFF6" w14:textId="77777777" w:rsidR="005E70BF" w:rsidRPr="00E67914" w:rsidRDefault="005E70BF" w:rsidP="005E70BF">
            <w:pPr>
              <w:pStyle w:val="04"/>
              <w:rPr>
                <w:rFonts w:cs="Times New Roman"/>
              </w:rPr>
            </w:pPr>
            <w:r w:rsidRPr="00E67914">
              <w:rPr>
                <w:rFonts w:cs="Times New Roman"/>
              </w:rPr>
              <w:t>达标</w:t>
            </w:r>
          </w:p>
        </w:tc>
        <w:tc>
          <w:tcPr>
            <w:tcW w:w="190" w:type="pct"/>
            <w:tcBorders>
              <w:top w:val="single" w:sz="4" w:space="0" w:color="auto"/>
              <w:left w:val="single" w:sz="4" w:space="0" w:color="auto"/>
              <w:bottom w:val="single" w:sz="4" w:space="0" w:color="auto"/>
              <w:right w:val="single" w:sz="4" w:space="0" w:color="auto"/>
            </w:tcBorders>
            <w:vAlign w:val="center"/>
          </w:tcPr>
          <w:p w14:paraId="5B791868" w14:textId="77777777" w:rsidR="005E70BF" w:rsidRPr="00E67914" w:rsidRDefault="005E70BF" w:rsidP="005E70BF">
            <w:pPr>
              <w:pStyle w:val="04"/>
              <w:rPr>
                <w:rFonts w:cs="Times New Roman"/>
              </w:rPr>
            </w:pPr>
            <w:r w:rsidRPr="00E67914">
              <w:rPr>
                <w:rFonts w:cs="Times New Roman"/>
              </w:rPr>
              <w:t>达标</w:t>
            </w:r>
          </w:p>
        </w:tc>
      </w:tr>
    </w:tbl>
    <w:p w14:paraId="5034541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由预测结果可知，采用网电钻井与采用柴油发电机组供电钻井施工期间，平台周边</w:t>
      </w:r>
      <w:r w:rsidRPr="00E67914">
        <w:rPr>
          <w:rFonts w:ascii="Times New Roman" w:hAnsi="Times New Roman"/>
          <w:sz w:val="24"/>
          <w:lang w:eastAsia="zh-CN"/>
        </w:rPr>
        <w:t>200m</w:t>
      </w:r>
      <w:r w:rsidRPr="00E67914">
        <w:rPr>
          <w:rFonts w:ascii="Times New Roman" w:hAnsi="Times New Roman"/>
          <w:sz w:val="24"/>
          <w:lang w:eastAsia="zh-CN"/>
        </w:rPr>
        <w:t>范围内居民点昼间声环境预测值均满足《声环境质量标准》（</w:t>
      </w:r>
      <w:r w:rsidRPr="00E67914">
        <w:rPr>
          <w:rFonts w:ascii="Times New Roman" w:hAnsi="Times New Roman"/>
          <w:sz w:val="24"/>
          <w:lang w:eastAsia="zh-CN"/>
        </w:rPr>
        <w:t>GB3096-2008</w:t>
      </w: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类标准限值。</w:t>
      </w:r>
    </w:p>
    <w:p w14:paraId="028BA1C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采用网电供电，仅在停电时采用柴油发电机供电，正常施工时噪声影响较小。同时如果施工时有附近居民投诉噪声超标，将根据施工时投诉居民的实测噪声值情况，对居民采取临时避让措施（临时避让范围根据施工过程中噪声监测超标情况确</w:t>
      </w:r>
      <w:r w:rsidRPr="00E67914">
        <w:rPr>
          <w:rFonts w:ascii="Times New Roman" w:hAnsi="Times New Roman"/>
          <w:sz w:val="24"/>
          <w:lang w:eastAsia="zh-CN"/>
        </w:rPr>
        <w:lastRenderedPageBreak/>
        <w:t>定），同时通过宣传讲解、争取谅解的方式，将噪声对周边环境的影响降至最低。钻井噪声影响是暂时性的，钻井结束后影响即消失。</w:t>
      </w:r>
    </w:p>
    <w:p w14:paraId="41C9D61D" w14:textId="77777777" w:rsidR="00A54A8A" w:rsidRPr="00E67914" w:rsidRDefault="00000000">
      <w:pPr>
        <w:pStyle w:val="af4"/>
        <w:adjustRightInd w:val="0"/>
        <w:snapToGrid w:val="0"/>
        <w:spacing w:line="360" w:lineRule="auto"/>
        <w:ind w:firstLineChars="200" w:firstLine="482"/>
        <w:rPr>
          <w:rFonts w:ascii="Times New Roman" w:hAnsi="Times New Roman"/>
          <w:b/>
          <w:bCs/>
          <w:szCs w:val="24"/>
        </w:rPr>
      </w:pPr>
      <w:r w:rsidRPr="00E67914">
        <w:rPr>
          <w:rFonts w:ascii="Times New Roman" w:hAnsi="Times New Roman"/>
          <w:b/>
          <w:bCs/>
          <w:szCs w:val="24"/>
        </w:rPr>
        <w:t>2</w:t>
      </w:r>
      <w:r w:rsidRPr="00E67914">
        <w:rPr>
          <w:rFonts w:ascii="Times New Roman" w:hAnsi="Times New Roman"/>
          <w:b/>
          <w:bCs/>
          <w:szCs w:val="24"/>
        </w:rPr>
        <w:t>、压裂噪声环境影响预测及分析</w:t>
      </w:r>
    </w:p>
    <w:p w14:paraId="4B6FF0E5"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本项目压裂作业时间短，仅在白天施工。压裂过程中噪声源主要来自于压裂泵车，单台噪声源强情况</w:t>
      </w:r>
      <w:r w:rsidRPr="00E67914">
        <w:rPr>
          <w:rFonts w:ascii="Times New Roman" w:hAnsi="Times New Roman"/>
          <w:szCs w:val="24"/>
        </w:rPr>
        <w:t>95~100dB</w:t>
      </w:r>
      <w:r w:rsidRPr="00E67914">
        <w:rPr>
          <w:rFonts w:ascii="Times New Roman" w:hAnsi="Times New Roman"/>
          <w:szCs w:val="24"/>
        </w:rPr>
        <w:t>（</w:t>
      </w:r>
      <w:r w:rsidRPr="00E67914">
        <w:rPr>
          <w:rFonts w:ascii="Times New Roman" w:hAnsi="Times New Roman"/>
          <w:szCs w:val="24"/>
        </w:rPr>
        <w:t>A</w:t>
      </w:r>
      <w:r w:rsidRPr="00E67914">
        <w:rPr>
          <w:rFonts w:ascii="Times New Roman" w:hAnsi="Times New Roman"/>
          <w:szCs w:val="24"/>
        </w:rPr>
        <w:t>），由于压裂机组设备分布较为集中，距离敏感点较远。根据《环境影响评价技术导则</w:t>
      </w:r>
      <w:r w:rsidRPr="00E67914">
        <w:rPr>
          <w:rFonts w:ascii="Times New Roman" w:hAnsi="Times New Roman"/>
          <w:szCs w:val="24"/>
        </w:rPr>
        <w:t xml:space="preserve"> </w:t>
      </w:r>
      <w:r w:rsidRPr="00E67914">
        <w:rPr>
          <w:rFonts w:ascii="Times New Roman" w:hAnsi="Times New Roman"/>
          <w:szCs w:val="24"/>
        </w:rPr>
        <w:t>声环境》（</w:t>
      </w:r>
      <w:r w:rsidRPr="00E67914">
        <w:rPr>
          <w:rFonts w:ascii="Times New Roman" w:hAnsi="Times New Roman"/>
          <w:szCs w:val="24"/>
        </w:rPr>
        <w:t>HJ2.4-2021</w:t>
      </w:r>
      <w:r w:rsidRPr="00E67914">
        <w:rPr>
          <w:rFonts w:ascii="Times New Roman" w:hAnsi="Times New Roman"/>
          <w:szCs w:val="24"/>
        </w:rPr>
        <w:t>）：实际的室外声源组，可以用处于该组中部的等效点声源来描述，本项目最多同时</w:t>
      </w:r>
      <w:r w:rsidRPr="00E67914">
        <w:rPr>
          <w:rFonts w:ascii="Times New Roman" w:hAnsi="Times New Roman"/>
          <w:szCs w:val="24"/>
        </w:rPr>
        <w:t>6</w:t>
      </w:r>
      <w:r w:rsidRPr="00E67914">
        <w:rPr>
          <w:rFonts w:ascii="Times New Roman" w:hAnsi="Times New Roman"/>
          <w:szCs w:val="24"/>
        </w:rPr>
        <w:t>台压裂设备同时作业，则本工程压裂期间叠加后的噪声源强为</w:t>
      </w:r>
      <w:r w:rsidRPr="00E67914">
        <w:rPr>
          <w:rFonts w:ascii="Times New Roman" w:hAnsi="Times New Roman"/>
          <w:szCs w:val="24"/>
        </w:rPr>
        <w:t>107dB(A)</w:t>
      </w:r>
      <w:r w:rsidRPr="00E67914">
        <w:rPr>
          <w:rFonts w:ascii="Times New Roman" w:hAnsi="Times New Roman"/>
          <w:szCs w:val="24"/>
        </w:rPr>
        <w:t>。</w:t>
      </w:r>
    </w:p>
    <w:p w14:paraId="2079690B"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根据平面布置，主要噪声设备位于井口及后场，厂界距离压裂设备约</w:t>
      </w:r>
      <w:r w:rsidRPr="00E67914">
        <w:rPr>
          <w:rFonts w:ascii="Times New Roman" w:hAnsi="Times New Roman"/>
          <w:szCs w:val="24"/>
        </w:rPr>
        <w:t>10m</w:t>
      </w:r>
      <w:r w:rsidRPr="00E67914">
        <w:rPr>
          <w:rFonts w:ascii="Times New Roman" w:hAnsi="Times New Roman"/>
          <w:szCs w:val="24"/>
        </w:rPr>
        <w:t>～</w:t>
      </w:r>
      <w:r w:rsidRPr="00E67914">
        <w:rPr>
          <w:rFonts w:ascii="Times New Roman" w:hAnsi="Times New Roman"/>
          <w:szCs w:val="24"/>
        </w:rPr>
        <w:t>40m</w:t>
      </w:r>
      <w:r w:rsidRPr="00E67914">
        <w:rPr>
          <w:rFonts w:ascii="Times New Roman" w:hAnsi="Times New Roman"/>
          <w:szCs w:val="24"/>
        </w:rPr>
        <w:t>，忽略地面效应和山体树林隔挡，考虑地面及设备用房的衰减量为</w:t>
      </w:r>
      <w:r w:rsidRPr="00E67914">
        <w:rPr>
          <w:rFonts w:ascii="Times New Roman" w:hAnsi="Times New Roman"/>
          <w:szCs w:val="24"/>
        </w:rPr>
        <w:t>2dB(A)</w:t>
      </w:r>
      <w:r w:rsidRPr="00E67914">
        <w:rPr>
          <w:rFonts w:ascii="Times New Roman" w:hAnsi="Times New Roman"/>
          <w:szCs w:val="24"/>
        </w:rPr>
        <w:t>，本项目与周边较近居民点地势差异较大，</w:t>
      </w:r>
      <w:r w:rsidRPr="00E67914">
        <w:rPr>
          <w:rFonts w:ascii="Times New Roman" w:hAnsi="Times New Roman"/>
          <w:szCs w:val="24"/>
        </w:rPr>
        <w:t>100m</w:t>
      </w:r>
      <w:r w:rsidRPr="00E67914">
        <w:rPr>
          <w:rFonts w:ascii="Times New Roman" w:hAnsi="Times New Roman"/>
          <w:szCs w:val="24"/>
        </w:rPr>
        <w:t>范围外敏感点考虑地面及设备用房的衰减量为</w:t>
      </w:r>
      <w:r w:rsidRPr="00E67914">
        <w:rPr>
          <w:rFonts w:ascii="Times New Roman" w:hAnsi="Times New Roman"/>
          <w:szCs w:val="24"/>
        </w:rPr>
        <w:t>4dB(A)</w:t>
      </w:r>
      <w:r w:rsidRPr="00E67914">
        <w:rPr>
          <w:rFonts w:ascii="Times New Roman" w:hAnsi="Times New Roman"/>
          <w:szCs w:val="24"/>
        </w:rPr>
        <w:t>，预测结果如下。</w:t>
      </w:r>
    </w:p>
    <w:p w14:paraId="6CBF9B64" w14:textId="686DCB4A"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5.1-5  </w:t>
      </w:r>
      <w:r w:rsidR="00902A04" w:rsidRPr="00E67914">
        <w:rPr>
          <w:rFonts w:ascii="Times New Roman" w:eastAsia="黑体" w:hAnsi="Times New Roman"/>
          <w:sz w:val="21"/>
          <w:szCs w:val="21"/>
          <w:lang w:eastAsia="zh-CN"/>
        </w:rPr>
        <w:t>普陆页</w:t>
      </w:r>
      <w:r w:rsidR="00902A04" w:rsidRPr="00E67914">
        <w:rPr>
          <w:rFonts w:ascii="Times New Roman" w:eastAsia="黑体" w:hAnsi="Times New Roman"/>
          <w:sz w:val="21"/>
          <w:szCs w:val="21"/>
          <w:lang w:eastAsia="zh-CN"/>
        </w:rPr>
        <w:t>2</w:t>
      </w:r>
      <w:r w:rsidR="00902A04" w:rsidRPr="00E67914">
        <w:rPr>
          <w:rFonts w:ascii="Times New Roman" w:eastAsia="黑体" w:hAnsi="Times New Roman"/>
          <w:sz w:val="21"/>
          <w:szCs w:val="21"/>
          <w:lang w:eastAsia="zh-CN"/>
        </w:rPr>
        <w:t>试采站</w:t>
      </w:r>
      <w:r w:rsidRPr="00E67914">
        <w:rPr>
          <w:rFonts w:ascii="Times New Roman" w:eastAsia="黑体" w:hAnsi="Times New Roman"/>
          <w:sz w:val="21"/>
          <w:szCs w:val="21"/>
          <w:lang w:eastAsia="zh-CN"/>
        </w:rPr>
        <w:t>压裂作业噪声影响</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单位：</w:t>
      </w:r>
      <w:r w:rsidRPr="00E67914">
        <w:rPr>
          <w:rFonts w:ascii="Times New Roman" w:eastAsia="黑体" w:hAnsi="Times New Roman"/>
          <w:sz w:val="21"/>
          <w:szCs w:val="21"/>
          <w:lang w:eastAsia="zh-CN"/>
        </w:rPr>
        <w:t>dB(A)</w:t>
      </w:r>
    </w:p>
    <w:tbl>
      <w:tblPr>
        <w:tblW w:w="8222" w:type="dxa"/>
        <w:jc w:val="center"/>
        <w:tblBorders>
          <w:top w:val="double" w:sz="4" w:space="0" w:color="auto"/>
          <w:left w:val="double" w:sz="4" w:space="0" w:color="auto"/>
          <w:bottom w:val="double" w:sz="4" w:space="0" w:color="auto"/>
          <w:right w:val="double" w:sz="4" w:space="0" w:color="auto"/>
          <w:insideH w:val="single" w:sz="12" w:space="0" w:color="auto"/>
          <w:insideV w:val="single" w:sz="12" w:space="0" w:color="auto"/>
        </w:tblBorders>
        <w:tblLayout w:type="fixed"/>
        <w:tblLook w:val="04A0" w:firstRow="1" w:lastRow="0" w:firstColumn="1" w:lastColumn="0" w:noHBand="0" w:noVBand="1"/>
      </w:tblPr>
      <w:tblGrid>
        <w:gridCol w:w="1761"/>
        <w:gridCol w:w="1289"/>
        <w:gridCol w:w="1293"/>
        <w:gridCol w:w="1293"/>
        <w:gridCol w:w="1293"/>
        <w:gridCol w:w="1293"/>
      </w:tblGrid>
      <w:tr w:rsidR="002662E3" w:rsidRPr="00E67914" w14:paraId="04F3C8FD" w14:textId="77777777">
        <w:trPr>
          <w:jc w:val="center"/>
        </w:trPr>
        <w:tc>
          <w:tcPr>
            <w:tcW w:w="3050"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14:paraId="0DB947B6" w14:textId="77777777" w:rsidR="00A54A8A" w:rsidRPr="00E67914" w:rsidRDefault="00000000">
            <w:pPr>
              <w:adjustRightInd w:val="0"/>
              <w:snapToGrid w:val="0"/>
              <w:jc w:val="right"/>
              <w:rPr>
                <w:rFonts w:ascii="Times New Roman" w:hAnsi="Times New Roman"/>
                <w:sz w:val="21"/>
                <w:szCs w:val="21"/>
              </w:rPr>
            </w:pPr>
            <w:r w:rsidRPr="00E67914">
              <w:rPr>
                <w:rFonts w:ascii="Times New Roman" w:hAnsi="Times New Roman"/>
                <w:sz w:val="21"/>
                <w:szCs w:val="21"/>
              </w:rPr>
              <w:t>项目</w:t>
            </w:r>
          </w:p>
          <w:p w14:paraId="1800D8AD" w14:textId="77777777" w:rsidR="00A54A8A" w:rsidRPr="00E67914" w:rsidRDefault="00000000">
            <w:pPr>
              <w:adjustRightInd w:val="0"/>
              <w:snapToGrid w:val="0"/>
              <w:rPr>
                <w:rFonts w:ascii="Times New Roman" w:hAnsi="Times New Roman"/>
                <w:sz w:val="21"/>
                <w:szCs w:val="21"/>
              </w:rPr>
            </w:pPr>
            <w:r w:rsidRPr="00E67914">
              <w:rPr>
                <w:rFonts w:ascii="Times New Roman" w:hAnsi="Times New Roman"/>
                <w:sz w:val="21"/>
                <w:szCs w:val="21"/>
              </w:rPr>
              <w:t>点位</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3852A3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贡献值</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6B1FAE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达标情况</w:t>
            </w:r>
          </w:p>
        </w:tc>
      </w:tr>
      <w:tr w:rsidR="002662E3" w:rsidRPr="00E67914" w14:paraId="36E57CBE" w14:textId="77777777">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17724D8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最近场界处</w:t>
            </w:r>
          </w:p>
        </w:tc>
        <w:tc>
          <w:tcPr>
            <w:tcW w:w="1289" w:type="dxa"/>
            <w:tcBorders>
              <w:top w:val="single" w:sz="4" w:space="0" w:color="auto"/>
              <w:left w:val="single" w:sz="4" w:space="0" w:color="auto"/>
              <w:bottom w:val="single" w:sz="4" w:space="0" w:color="auto"/>
              <w:right w:val="single" w:sz="4" w:space="0" w:color="auto"/>
            </w:tcBorders>
            <w:vAlign w:val="center"/>
          </w:tcPr>
          <w:p w14:paraId="17160A8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39F34B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85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4DB514A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Cs/>
                <w:sz w:val="21"/>
                <w:szCs w:val="21"/>
              </w:rPr>
              <w:t>超标</w:t>
            </w:r>
          </w:p>
        </w:tc>
      </w:tr>
      <w:tr w:rsidR="002662E3" w:rsidRPr="00E67914" w14:paraId="4F340DD6" w14:textId="77777777">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CEF6276" w14:textId="77777777" w:rsidR="00A54A8A" w:rsidRPr="00E67914" w:rsidRDefault="00A54A8A">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26A10FC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0BE60C2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85</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136CC7A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Cs/>
                <w:sz w:val="21"/>
                <w:szCs w:val="21"/>
              </w:rPr>
              <w:t>超标</w:t>
            </w:r>
          </w:p>
        </w:tc>
      </w:tr>
      <w:tr w:rsidR="002662E3" w:rsidRPr="00E67914" w14:paraId="16C8357C" w14:textId="77777777">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1B039F1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最远场界处</w:t>
            </w:r>
          </w:p>
        </w:tc>
        <w:tc>
          <w:tcPr>
            <w:tcW w:w="1289" w:type="dxa"/>
            <w:tcBorders>
              <w:top w:val="single" w:sz="4" w:space="0" w:color="auto"/>
              <w:left w:val="single" w:sz="4" w:space="0" w:color="auto"/>
              <w:bottom w:val="single" w:sz="4" w:space="0" w:color="auto"/>
              <w:right w:val="single" w:sz="4" w:space="0" w:color="auto"/>
            </w:tcBorders>
            <w:vAlign w:val="center"/>
          </w:tcPr>
          <w:p w14:paraId="74FBE33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E4994D7"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73</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67DFFBB5"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超标</w:t>
            </w:r>
          </w:p>
        </w:tc>
      </w:tr>
      <w:tr w:rsidR="002662E3" w:rsidRPr="00E67914" w14:paraId="467E1DB5" w14:textId="77777777">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19B88AA6" w14:textId="77777777" w:rsidR="00A54A8A" w:rsidRPr="00E67914" w:rsidRDefault="00A54A8A">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57ABC96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夜间</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745AA97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73</w:t>
            </w:r>
          </w:p>
        </w:tc>
        <w:tc>
          <w:tcPr>
            <w:tcW w:w="2586" w:type="dxa"/>
            <w:gridSpan w:val="2"/>
            <w:tcBorders>
              <w:top w:val="single" w:sz="4" w:space="0" w:color="auto"/>
              <w:left w:val="single" w:sz="4" w:space="0" w:color="auto"/>
              <w:bottom w:val="single" w:sz="4" w:space="0" w:color="auto"/>
              <w:right w:val="single" w:sz="4" w:space="0" w:color="auto"/>
            </w:tcBorders>
            <w:vAlign w:val="center"/>
          </w:tcPr>
          <w:p w14:paraId="55234E4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超标</w:t>
            </w:r>
          </w:p>
        </w:tc>
      </w:tr>
      <w:tr w:rsidR="002662E3" w:rsidRPr="00E67914" w14:paraId="7DB10289" w14:textId="77777777">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6F46798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施工期场界标准</w:t>
            </w:r>
            <w:r w:rsidRPr="00E67914">
              <w:rPr>
                <w:rFonts w:ascii="Times New Roman" w:hAnsi="Times New Roman"/>
                <w:sz w:val="21"/>
                <w:szCs w:val="21"/>
                <w:lang w:eastAsia="zh-CN"/>
              </w:rPr>
              <w:t>70dB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）（昼间）、</w:t>
            </w:r>
            <w:r w:rsidRPr="00E67914">
              <w:rPr>
                <w:rFonts w:ascii="Times New Roman" w:hAnsi="Times New Roman"/>
                <w:sz w:val="21"/>
                <w:szCs w:val="21"/>
                <w:lang w:eastAsia="zh-CN"/>
              </w:rPr>
              <w:t>55dB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）（夜间）</w:t>
            </w:r>
          </w:p>
        </w:tc>
      </w:tr>
      <w:tr w:rsidR="002662E3" w:rsidRPr="00E67914" w14:paraId="35A44175" w14:textId="77777777">
        <w:trPr>
          <w:jc w:val="center"/>
        </w:trPr>
        <w:tc>
          <w:tcPr>
            <w:tcW w:w="3050" w:type="dxa"/>
            <w:gridSpan w:val="2"/>
            <w:tcBorders>
              <w:top w:val="single" w:sz="4" w:space="0" w:color="auto"/>
              <w:left w:val="single" w:sz="4" w:space="0" w:color="auto"/>
              <w:bottom w:val="single" w:sz="4" w:space="0" w:color="auto"/>
              <w:right w:val="single" w:sz="4" w:space="0" w:color="auto"/>
            </w:tcBorders>
            <w:vAlign w:val="center"/>
          </w:tcPr>
          <w:p w14:paraId="0ABB4187" w14:textId="77777777" w:rsidR="00A54A8A" w:rsidRPr="00E67914" w:rsidRDefault="00A54A8A">
            <w:pPr>
              <w:adjustRightInd w:val="0"/>
              <w:snapToGrid w:val="0"/>
              <w:jc w:val="center"/>
              <w:rPr>
                <w:rFonts w:ascii="Times New Roman" w:hAnsi="Times New Roman"/>
                <w:sz w:val="21"/>
                <w:szCs w:val="21"/>
                <w:lang w:eastAsia="zh-CN"/>
              </w:rPr>
            </w:pPr>
          </w:p>
        </w:tc>
        <w:tc>
          <w:tcPr>
            <w:tcW w:w="1293" w:type="dxa"/>
            <w:tcBorders>
              <w:top w:val="single" w:sz="4" w:space="0" w:color="auto"/>
              <w:left w:val="single" w:sz="4" w:space="0" w:color="auto"/>
              <w:bottom w:val="single" w:sz="4" w:space="0" w:color="auto"/>
              <w:right w:val="single" w:sz="4" w:space="0" w:color="auto"/>
            </w:tcBorders>
            <w:vAlign w:val="center"/>
          </w:tcPr>
          <w:p w14:paraId="4CCD7FFB"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贡献值</w:t>
            </w:r>
          </w:p>
        </w:tc>
        <w:tc>
          <w:tcPr>
            <w:tcW w:w="1293" w:type="dxa"/>
            <w:tcBorders>
              <w:top w:val="single" w:sz="4" w:space="0" w:color="auto"/>
              <w:left w:val="single" w:sz="4" w:space="0" w:color="auto"/>
              <w:bottom w:val="single" w:sz="4" w:space="0" w:color="auto"/>
              <w:right w:val="single" w:sz="4" w:space="0" w:color="auto"/>
            </w:tcBorders>
            <w:vAlign w:val="center"/>
          </w:tcPr>
          <w:p w14:paraId="02B392E9" w14:textId="77777777" w:rsidR="00A54A8A" w:rsidRPr="00E67914" w:rsidRDefault="00000000">
            <w:pPr>
              <w:widowControl w:val="0"/>
              <w:autoSpaceDE w:val="0"/>
              <w:autoSpaceDN w:val="0"/>
              <w:adjustRightInd w:val="0"/>
              <w:snapToGrid w:val="0"/>
              <w:jc w:val="center"/>
              <w:textAlignment w:val="baseline"/>
              <w:rPr>
                <w:rFonts w:ascii="Times New Roman" w:hAnsi="Times New Roman"/>
                <w:sz w:val="21"/>
                <w:szCs w:val="21"/>
                <w:lang w:eastAsia="zh-CN"/>
              </w:rPr>
            </w:pPr>
            <w:r w:rsidRPr="00E67914">
              <w:rPr>
                <w:rFonts w:ascii="Times New Roman" w:hAnsi="Times New Roman"/>
                <w:sz w:val="21"/>
                <w:szCs w:val="21"/>
                <w:lang w:eastAsia="zh-CN"/>
              </w:rPr>
              <w:t>背景值</w:t>
            </w:r>
          </w:p>
        </w:tc>
        <w:tc>
          <w:tcPr>
            <w:tcW w:w="1293" w:type="dxa"/>
            <w:tcBorders>
              <w:top w:val="single" w:sz="4" w:space="0" w:color="auto"/>
              <w:left w:val="single" w:sz="4" w:space="0" w:color="auto"/>
              <w:bottom w:val="single" w:sz="4" w:space="0" w:color="auto"/>
              <w:right w:val="single" w:sz="4" w:space="0" w:color="auto"/>
            </w:tcBorders>
            <w:vAlign w:val="center"/>
          </w:tcPr>
          <w:p w14:paraId="3E179623" w14:textId="77777777" w:rsidR="00A54A8A" w:rsidRPr="00E67914" w:rsidRDefault="00000000">
            <w:pPr>
              <w:widowControl w:val="0"/>
              <w:autoSpaceDE w:val="0"/>
              <w:autoSpaceDN w:val="0"/>
              <w:adjustRightInd w:val="0"/>
              <w:snapToGrid w:val="0"/>
              <w:jc w:val="center"/>
              <w:textAlignment w:val="baseline"/>
              <w:rPr>
                <w:rFonts w:ascii="Times New Roman" w:hAnsi="Times New Roman"/>
                <w:b/>
                <w:bCs/>
                <w:sz w:val="21"/>
                <w:szCs w:val="21"/>
                <w:lang w:eastAsia="zh-CN"/>
              </w:rPr>
            </w:pPr>
            <w:r w:rsidRPr="00E67914">
              <w:rPr>
                <w:rFonts w:ascii="Times New Roman" w:hAnsi="Times New Roman"/>
                <w:sz w:val="21"/>
                <w:szCs w:val="21"/>
                <w:lang w:eastAsia="zh-CN"/>
              </w:rPr>
              <w:t>预测值</w:t>
            </w:r>
          </w:p>
        </w:tc>
        <w:tc>
          <w:tcPr>
            <w:tcW w:w="1293" w:type="dxa"/>
            <w:tcBorders>
              <w:top w:val="single" w:sz="4" w:space="0" w:color="auto"/>
              <w:left w:val="single" w:sz="4" w:space="0" w:color="auto"/>
              <w:bottom w:val="single" w:sz="4" w:space="0" w:color="auto"/>
              <w:right w:val="single" w:sz="4" w:space="0" w:color="auto"/>
            </w:tcBorders>
            <w:vAlign w:val="center"/>
          </w:tcPr>
          <w:p w14:paraId="29E79DFA" w14:textId="77777777" w:rsidR="00A54A8A" w:rsidRPr="00E67914" w:rsidRDefault="00000000">
            <w:pPr>
              <w:widowControl w:val="0"/>
              <w:autoSpaceDE w:val="0"/>
              <w:autoSpaceDN w:val="0"/>
              <w:adjustRightInd w:val="0"/>
              <w:snapToGrid w:val="0"/>
              <w:jc w:val="center"/>
              <w:textAlignment w:val="baseline"/>
              <w:rPr>
                <w:rFonts w:ascii="Times New Roman" w:hAnsi="Times New Roman"/>
                <w:b/>
                <w:bCs/>
                <w:sz w:val="21"/>
                <w:szCs w:val="21"/>
              </w:rPr>
            </w:pPr>
            <w:r w:rsidRPr="00E67914">
              <w:rPr>
                <w:rFonts w:ascii="Times New Roman" w:hAnsi="Times New Roman"/>
                <w:sz w:val="21"/>
                <w:szCs w:val="21"/>
                <w:lang w:eastAsia="zh-CN"/>
              </w:rPr>
              <w:t>达标情况</w:t>
            </w:r>
          </w:p>
        </w:tc>
      </w:tr>
      <w:tr w:rsidR="002662E3" w:rsidRPr="00E67914" w14:paraId="129E03A1" w14:textId="77777777">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797003D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距井口</w:t>
            </w:r>
            <w:r w:rsidRPr="00E67914">
              <w:rPr>
                <w:rFonts w:ascii="Times New Roman" w:hAnsi="Times New Roman"/>
                <w:sz w:val="21"/>
                <w:szCs w:val="21"/>
              </w:rPr>
              <w:t>100m</w:t>
            </w:r>
            <w:r w:rsidRPr="00E67914">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59501CE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7170D28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65</w:t>
            </w:r>
          </w:p>
        </w:tc>
        <w:tc>
          <w:tcPr>
            <w:tcW w:w="1293" w:type="dxa"/>
            <w:tcBorders>
              <w:top w:val="single" w:sz="4" w:space="0" w:color="auto"/>
              <w:left w:val="single" w:sz="4" w:space="0" w:color="auto"/>
              <w:bottom w:val="single" w:sz="4" w:space="0" w:color="auto"/>
              <w:right w:val="single" w:sz="4" w:space="0" w:color="auto"/>
            </w:tcBorders>
            <w:vAlign w:val="center"/>
          </w:tcPr>
          <w:p w14:paraId="104A843B"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bCs/>
                <w:sz w:val="21"/>
                <w:szCs w:val="21"/>
              </w:rPr>
              <w:t>49</w:t>
            </w:r>
          </w:p>
        </w:tc>
        <w:tc>
          <w:tcPr>
            <w:tcW w:w="1293" w:type="dxa"/>
            <w:tcBorders>
              <w:top w:val="single" w:sz="4" w:space="0" w:color="auto"/>
              <w:left w:val="single" w:sz="4" w:space="0" w:color="auto"/>
              <w:bottom w:val="single" w:sz="4" w:space="0" w:color="auto"/>
              <w:right w:val="single" w:sz="4" w:space="0" w:color="auto"/>
            </w:tcBorders>
            <w:vAlign w:val="center"/>
          </w:tcPr>
          <w:p w14:paraId="15BF7B9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bCs/>
                <w:sz w:val="21"/>
                <w:szCs w:val="21"/>
              </w:rPr>
              <w:t>65</w:t>
            </w:r>
          </w:p>
        </w:tc>
        <w:tc>
          <w:tcPr>
            <w:tcW w:w="1293" w:type="dxa"/>
            <w:tcBorders>
              <w:top w:val="single" w:sz="4" w:space="0" w:color="auto"/>
              <w:left w:val="single" w:sz="4" w:space="0" w:color="auto"/>
              <w:bottom w:val="single" w:sz="4" w:space="0" w:color="auto"/>
              <w:right w:val="single" w:sz="4" w:space="0" w:color="auto"/>
            </w:tcBorders>
            <w:vAlign w:val="center"/>
          </w:tcPr>
          <w:p w14:paraId="6DF60801" w14:textId="77777777" w:rsidR="00A54A8A" w:rsidRPr="00E67914" w:rsidRDefault="00000000">
            <w:pPr>
              <w:adjustRightInd w:val="0"/>
              <w:snapToGrid w:val="0"/>
              <w:jc w:val="center"/>
              <w:rPr>
                <w:rFonts w:ascii="Times New Roman" w:hAnsi="Times New Roman"/>
                <w:b/>
                <w:bCs/>
                <w:sz w:val="21"/>
                <w:szCs w:val="21"/>
                <w:lang w:eastAsia="zh-CN"/>
              </w:rPr>
            </w:pPr>
            <w:r w:rsidRPr="00E67914">
              <w:rPr>
                <w:rFonts w:ascii="Times New Roman" w:hAnsi="Times New Roman"/>
                <w:bCs/>
                <w:sz w:val="21"/>
                <w:szCs w:val="21"/>
                <w:lang w:eastAsia="zh-CN"/>
              </w:rPr>
              <w:t>超</w:t>
            </w:r>
            <w:r w:rsidRPr="00E67914">
              <w:rPr>
                <w:rFonts w:ascii="Times New Roman" w:hAnsi="Times New Roman"/>
                <w:bCs/>
                <w:sz w:val="21"/>
                <w:szCs w:val="21"/>
              </w:rPr>
              <w:t>标</w:t>
            </w:r>
          </w:p>
        </w:tc>
      </w:tr>
      <w:tr w:rsidR="002662E3" w:rsidRPr="00E67914" w14:paraId="58568FE2" w14:textId="77777777">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52FDF54E" w14:textId="77777777" w:rsidR="00A54A8A" w:rsidRPr="00E67914" w:rsidRDefault="00A54A8A">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73B8858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08E878B9"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65</w:t>
            </w:r>
          </w:p>
        </w:tc>
        <w:tc>
          <w:tcPr>
            <w:tcW w:w="1293" w:type="dxa"/>
            <w:tcBorders>
              <w:top w:val="single" w:sz="4" w:space="0" w:color="auto"/>
              <w:left w:val="single" w:sz="4" w:space="0" w:color="auto"/>
              <w:bottom w:val="single" w:sz="4" w:space="0" w:color="auto"/>
              <w:right w:val="single" w:sz="4" w:space="0" w:color="auto"/>
            </w:tcBorders>
            <w:vAlign w:val="center"/>
          </w:tcPr>
          <w:p w14:paraId="596C067B"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bCs/>
                <w:sz w:val="21"/>
                <w:szCs w:val="21"/>
              </w:rPr>
              <w:t>44</w:t>
            </w:r>
          </w:p>
        </w:tc>
        <w:tc>
          <w:tcPr>
            <w:tcW w:w="1293" w:type="dxa"/>
            <w:tcBorders>
              <w:top w:val="single" w:sz="4" w:space="0" w:color="auto"/>
              <w:left w:val="single" w:sz="4" w:space="0" w:color="auto"/>
              <w:bottom w:val="single" w:sz="4" w:space="0" w:color="auto"/>
              <w:right w:val="single" w:sz="4" w:space="0" w:color="auto"/>
            </w:tcBorders>
            <w:vAlign w:val="center"/>
          </w:tcPr>
          <w:p w14:paraId="20417C25"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65</w:t>
            </w:r>
          </w:p>
        </w:tc>
        <w:tc>
          <w:tcPr>
            <w:tcW w:w="1293" w:type="dxa"/>
            <w:tcBorders>
              <w:top w:val="single" w:sz="4" w:space="0" w:color="auto"/>
              <w:left w:val="single" w:sz="4" w:space="0" w:color="auto"/>
              <w:bottom w:val="single" w:sz="4" w:space="0" w:color="auto"/>
              <w:right w:val="single" w:sz="4" w:space="0" w:color="auto"/>
            </w:tcBorders>
            <w:vAlign w:val="center"/>
          </w:tcPr>
          <w:p w14:paraId="0B445AA8"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bCs/>
                <w:sz w:val="21"/>
                <w:szCs w:val="21"/>
              </w:rPr>
              <w:t>超标</w:t>
            </w:r>
          </w:p>
        </w:tc>
      </w:tr>
      <w:tr w:rsidR="002662E3" w:rsidRPr="00E67914" w14:paraId="201E8BA2" w14:textId="77777777">
        <w:trPr>
          <w:jc w:val="center"/>
        </w:trPr>
        <w:tc>
          <w:tcPr>
            <w:tcW w:w="1761" w:type="dxa"/>
            <w:vMerge w:val="restart"/>
            <w:tcBorders>
              <w:top w:val="single" w:sz="4" w:space="0" w:color="auto"/>
              <w:left w:val="single" w:sz="4" w:space="0" w:color="auto"/>
              <w:bottom w:val="single" w:sz="4" w:space="0" w:color="auto"/>
              <w:right w:val="single" w:sz="4" w:space="0" w:color="auto"/>
            </w:tcBorders>
            <w:vAlign w:val="center"/>
          </w:tcPr>
          <w:p w14:paraId="0BDABB6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距井口</w:t>
            </w:r>
            <w:r w:rsidRPr="00E67914">
              <w:rPr>
                <w:rFonts w:ascii="Times New Roman" w:hAnsi="Times New Roman"/>
                <w:sz w:val="21"/>
                <w:szCs w:val="21"/>
              </w:rPr>
              <w:t>200m</w:t>
            </w:r>
            <w:r w:rsidRPr="00E67914">
              <w:rPr>
                <w:rFonts w:ascii="Times New Roman" w:hAnsi="Times New Roman"/>
                <w:sz w:val="21"/>
                <w:szCs w:val="21"/>
              </w:rPr>
              <w:t>处</w:t>
            </w:r>
          </w:p>
        </w:tc>
        <w:tc>
          <w:tcPr>
            <w:tcW w:w="1289" w:type="dxa"/>
            <w:tcBorders>
              <w:top w:val="single" w:sz="4" w:space="0" w:color="auto"/>
              <w:left w:val="single" w:sz="4" w:space="0" w:color="auto"/>
              <w:bottom w:val="single" w:sz="4" w:space="0" w:color="auto"/>
              <w:right w:val="single" w:sz="4" w:space="0" w:color="auto"/>
            </w:tcBorders>
            <w:vAlign w:val="center"/>
          </w:tcPr>
          <w:p w14:paraId="615514C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昼间</w:t>
            </w:r>
          </w:p>
        </w:tc>
        <w:tc>
          <w:tcPr>
            <w:tcW w:w="1293" w:type="dxa"/>
            <w:tcBorders>
              <w:top w:val="single" w:sz="4" w:space="0" w:color="auto"/>
              <w:left w:val="single" w:sz="4" w:space="0" w:color="auto"/>
              <w:bottom w:val="single" w:sz="4" w:space="0" w:color="auto"/>
              <w:right w:val="single" w:sz="4" w:space="0" w:color="auto"/>
            </w:tcBorders>
            <w:vAlign w:val="center"/>
          </w:tcPr>
          <w:p w14:paraId="180AB10C"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57</w:t>
            </w:r>
          </w:p>
        </w:tc>
        <w:tc>
          <w:tcPr>
            <w:tcW w:w="1293" w:type="dxa"/>
            <w:tcBorders>
              <w:top w:val="single" w:sz="4" w:space="0" w:color="auto"/>
              <w:left w:val="single" w:sz="4" w:space="0" w:color="auto"/>
              <w:bottom w:val="single" w:sz="4" w:space="0" w:color="auto"/>
              <w:right w:val="single" w:sz="4" w:space="0" w:color="auto"/>
            </w:tcBorders>
            <w:vAlign w:val="center"/>
          </w:tcPr>
          <w:p w14:paraId="6D36C6E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bCs/>
                <w:sz w:val="21"/>
                <w:szCs w:val="21"/>
              </w:rPr>
              <w:t>48</w:t>
            </w:r>
          </w:p>
        </w:tc>
        <w:tc>
          <w:tcPr>
            <w:tcW w:w="1293" w:type="dxa"/>
            <w:tcBorders>
              <w:top w:val="single" w:sz="4" w:space="0" w:color="auto"/>
              <w:left w:val="single" w:sz="4" w:space="0" w:color="auto"/>
              <w:bottom w:val="single" w:sz="4" w:space="0" w:color="auto"/>
              <w:right w:val="single" w:sz="4" w:space="0" w:color="auto"/>
            </w:tcBorders>
            <w:vAlign w:val="center"/>
          </w:tcPr>
          <w:p w14:paraId="6979E9A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58</w:t>
            </w:r>
          </w:p>
        </w:tc>
        <w:tc>
          <w:tcPr>
            <w:tcW w:w="1293" w:type="dxa"/>
            <w:tcBorders>
              <w:top w:val="single" w:sz="4" w:space="0" w:color="auto"/>
              <w:left w:val="single" w:sz="4" w:space="0" w:color="auto"/>
              <w:bottom w:val="single" w:sz="4" w:space="0" w:color="auto"/>
              <w:right w:val="single" w:sz="4" w:space="0" w:color="auto"/>
            </w:tcBorders>
            <w:vAlign w:val="center"/>
          </w:tcPr>
          <w:p w14:paraId="0504B19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Cs/>
                <w:sz w:val="21"/>
                <w:szCs w:val="21"/>
              </w:rPr>
              <w:t>达标</w:t>
            </w:r>
          </w:p>
        </w:tc>
      </w:tr>
      <w:tr w:rsidR="002662E3" w:rsidRPr="00E67914" w14:paraId="486D2F33" w14:textId="77777777">
        <w:trPr>
          <w:jc w:val="center"/>
        </w:trPr>
        <w:tc>
          <w:tcPr>
            <w:tcW w:w="1761" w:type="dxa"/>
            <w:vMerge/>
            <w:tcBorders>
              <w:top w:val="single" w:sz="4" w:space="0" w:color="auto"/>
              <w:left w:val="single" w:sz="4" w:space="0" w:color="auto"/>
              <w:bottom w:val="single" w:sz="4" w:space="0" w:color="auto"/>
              <w:right w:val="single" w:sz="4" w:space="0" w:color="auto"/>
            </w:tcBorders>
            <w:vAlign w:val="center"/>
          </w:tcPr>
          <w:p w14:paraId="4EDF9726" w14:textId="77777777" w:rsidR="00A54A8A" w:rsidRPr="00E67914" w:rsidRDefault="00A54A8A">
            <w:pPr>
              <w:adjustRightInd w:val="0"/>
              <w:snapToGrid w:val="0"/>
              <w:jc w:val="center"/>
              <w:rPr>
                <w:rFonts w:ascii="Times New Roman" w:hAnsi="Times New Roman"/>
                <w:sz w:val="21"/>
                <w:szCs w:val="21"/>
              </w:rPr>
            </w:pPr>
          </w:p>
        </w:tc>
        <w:tc>
          <w:tcPr>
            <w:tcW w:w="1289" w:type="dxa"/>
            <w:tcBorders>
              <w:top w:val="single" w:sz="4" w:space="0" w:color="auto"/>
              <w:left w:val="single" w:sz="4" w:space="0" w:color="auto"/>
              <w:bottom w:val="single" w:sz="4" w:space="0" w:color="auto"/>
              <w:right w:val="single" w:sz="4" w:space="0" w:color="auto"/>
            </w:tcBorders>
            <w:vAlign w:val="center"/>
          </w:tcPr>
          <w:p w14:paraId="72B669B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夜间</w:t>
            </w:r>
          </w:p>
        </w:tc>
        <w:tc>
          <w:tcPr>
            <w:tcW w:w="1293" w:type="dxa"/>
            <w:tcBorders>
              <w:top w:val="single" w:sz="4" w:space="0" w:color="auto"/>
              <w:left w:val="single" w:sz="4" w:space="0" w:color="auto"/>
              <w:bottom w:val="single" w:sz="4" w:space="0" w:color="auto"/>
              <w:right w:val="single" w:sz="4" w:space="0" w:color="auto"/>
            </w:tcBorders>
            <w:vAlign w:val="center"/>
          </w:tcPr>
          <w:p w14:paraId="5B02744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57</w:t>
            </w:r>
          </w:p>
        </w:tc>
        <w:tc>
          <w:tcPr>
            <w:tcW w:w="1293" w:type="dxa"/>
            <w:tcBorders>
              <w:top w:val="single" w:sz="4" w:space="0" w:color="auto"/>
              <w:left w:val="single" w:sz="4" w:space="0" w:color="auto"/>
              <w:bottom w:val="single" w:sz="4" w:space="0" w:color="auto"/>
              <w:right w:val="single" w:sz="4" w:space="0" w:color="auto"/>
            </w:tcBorders>
            <w:vAlign w:val="center"/>
          </w:tcPr>
          <w:p w14:paraId="0834EB05"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bCs/>
                <w:sz w:val="21"/>
                <w:szCs w:val="21"/>
              </w:rPr>
              <w:t>43</w:t>
            </w:r>
          </w:p>
        </w:tc>
        <w:tc>
          <w:tcPr>
            <w:tcW w:w="1293" w:type="dxa"/>
            <w:tcBorders>
              <w:top w:val="single" w:sz="4" w:space="0" w:color="auto"/>
              <w:left w:val="single" w:sz="4" w:space="0" w:color="auto"/>
              <w:bottom w:val="single" w:sz="4" w:space="0" w:color="auto"/>
              <w:right w:val="single" w:sz="4" w:space="0" w:color="auto"/>
            </w:tcBorders>
            <w:vAlign w:val="center"/>
          </w:tcPr>
          <w:p w14:paraId="7128DD0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57</w:t>
            </w:r>
          </w:p>
        </w:tc>
        <w:tc>
          <w:tcPr>
            <w:tcW w:w="1293" w:type="dxa"/>
            <w:tcBorders>
              <w:top w:val="single" w:sz="4" w:space="0" w:color="auto"/>
              <w:left w:val="single" w:sz="4" w:space="0" w:color="auto"/>
              <w:bottom w:val="single" w:sz="4" w:space="0" w:color="auto"/>
              <w:right w:val="single" w:sz="4" w:space="0" w:color="auto"/>
            </w:tcBorders>
            <w:vAlign w:val="center"/>
          </w:tcPr>
          <w:p w14:paraId="47B3666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bCs/>
                <w:sz w:val="21"/>
                <w:szCs w:val="21"/>
              </w:rPr>
              <w:t>超标</w:t>
            </w:r>
          </w:p>
        </w:tc>
      </w:tr>
      <w:tr w:rsidR="002662E3" w:rsidRPr="00E67914" w14:paraId="0842E297" w14:textId="77777777">
        <w:trPr>
          <w:jc w:val="center"/>
        </w:trPr>
        <w:tc>
          <w:tcPr>
            <w:tcW w:w="8222" w:type="dxa"/>
            <w:gridSpan w:val="6"/>
            <w:tcBorders>
              <w:top w:val="single" w:sz="4" w:space="0" w:color="auto"/>
              <w:left w:val="single" w:sz="4" w:space="0" w:color="auto"/>
              <w:bottom w:val="single" w:sz="4" w:space="0" w:color="auto"/>
              <w:right w:val="single" w:sz="4" w:space="0" w:color="auto"/>
            </w:tcBorders>
            <w:vAlign w:val="center"/>
          </w:tcPr>
          <w:p w14:paraId="1FB89BE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敏感点标准</w:t>
            </w:r>
            <w:r w:rsidRPr="00E67914">
              <w:rPr>
                <w:rFonts w:ascii="Times New Roman" w:hAnsi="Times New Roman"/>
                <w:sz w:val="21"/>
                <w:szCs w:val="21"/>
                <w:lang w:eastAsia="zh-CN"/>
              </w:rPr>
              <w:t>60dB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）（昼间）、</w:t>
            </w:r>
            <w:r w:rsidRPr="00E67914">
              <w:rPr>
                <w:rFonts w:ascii="Times New Roman" w:hAnsi="Times New Roman"/>
                <w:sz w:val="21"/>
                <w:szCs w:val="21"/>
                <w:lang w:eastAsia="zh-CN"/>
              </w:rPr>
              <w:t>50dB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）（夜间）</w:t>
            </w:r>
          </w:p>
        </w:tc>
      </w:tr>
    </w:tbl>
    <w:p w14:paraId="08FB6844" w14:textId="197E24F2" w:rsidR="00A54A8A" w:rsidRPr="00E67914" w:rsidRDefault="00000000">
      <w:pPr>
        <w:pStyle w:val="af4"/>
        <w:adjustRightInd w:val="0"/>
        <w:snapToGrid w:val="0"/>
        <w:spacing w:beforeLines="50" w:before="163" w:line="360" w:lineRule="auto"/>
        <w:ind w:firstLineChars="200" w:firstLine="480"/>
        <w:rPr>
          <w:rFonts w:ascii="Times New Roman" w:hAnsi="Times New Roman"/>
          <w:szCs w:val="24"/>
        </w:rPr>
      </w:pPr>
      <w:r w:rsidRPr="00E67914">
        <w:rPr>
          <w:rFonts w:ascii="Times New Roman" w:hAnsi="Times New Roman"/>
          <w:szCs w:val="24"/>
        </w:rPr>
        <w:t>由上表可知，压裂作业期间场界噪声不能满足《建筑施工场界环境噪声排放标准》（</w:t>
      </w:r>
      <w:r w:rsidRPr="00E67914">
        <w:rPr>
          <w:rFonts w:ascii="Times New Roman" w:hAnsi="Times New Roman"/>
          <w:szCs w:val="24"/>
        </w:rPr>
        <w:t>GB12523-2011</w:t>
      </w:r>
      <w:r w:rsidRPr="00E67914">
        <w:rPr>
          <w:rFonts w:ascii="Times New Roman" w:hAnsi="Times New Roman"/>
          <w:szCs w:val="24"/>
        </w:rPr>
        <w:t>）标准，压裂作业仅在昼间进行，不在夜间施工，进一步预测得知，压裂作业期间昼间噪声达标距离为井口约</w:t>
      </w:r>
      <w:r w:rsidRPr="00E67914">
        <w:rPr>
          <w:rFonts w:ascii="Times New Roman" w:hAnsi="Times New Roman"/>
          <w:szCs w:val="24"/>
        </w:rPr>
        <w:t>142m</w:t>
      </w:r>
      <w:r w:rsidRPr="00E67914">
        <w:rPr>
          <w:rFonts w:ascii="Times New Roman" w:hAnsi="Times New Roman"/>
          <w:szCs w:val="24"/>
        </w:rPr>
        <w:t>范围内，此范围内</w:t>
      </w:r>
      <w:r w:rsidR="00B036CE" w:rsidRPr="00E67914">
        <w:rPr>
          <w:rFonts w:ascii="Times New Roman" w:hAnsi="Times New Roman"/>
          <w:szCs w:val="24"/>
        </w:rPr>
        <w:t>有</w:t>
      </w:r>
      <w:r w:rsidR="00B036CE" w:rsidRPr="00E67914">
        <w:rPr>
          <w:rFonts w:ascii="Times New Roman" w:hAnsi="Times New Roman"/>
          <w:szCs w:val="24"/>
        </w:rPr>
        <w:t>1</w:t>
      </w:r>
      <w:r w:rsidR="00B036CE" w:rsidRPr="00E67914">
        <w:rPr>
          <w:rFonts w:ascii="Times New Roman" w:hAnsi="Times New Roman"/>
          <w:szCs w:val="24"/>
        </w:rPr>
        <w:t>户</w:t>
      </w:r>
      <w:r w:rsidRPr="00E67914">
        <w:rPr>
          <w:rFonts w:ascii="Times New Roman" w:hAnsi="Times New Roman"/>
          <w:szCs w:val="24"/>
        </w:rPr>
        <w:t>居民分布</w:t>
      </w:r>
      <w:r w:rsidR="00B036CE" w:rsidRPr="00E67914">
        <w:rPr>
          <w:rFonts w:ascii="Times New Roman" w:hAnsi="Times New Roman"/>
          <w:szCs w:val="24"/>
        </w:rPr>
        <w:t>（</w:t>
      </w:r>
      <w:r w:rsidR="00B036CE" w:rsidRPr="00E67914">
        <w:rPr>
          <w:rFonts w:ascii="Times New Roman" w:hAnsi="Times New Roman"/>
          <w:szCs w:val="24"/>
        </w:rPr>
        <w:t>1#</w:t>
      </w:r>
      <w:r w:rsidR="00B036CE" w:rsidRPr="00E67914">
        <w:rPr>
          <w:rFonts w:ascii="Times New Roman" w:hAnsi="Times New Roman"/>
          <w:szCs w:val="24"/>
        </w:rPr>
        <w:t>居民点），根据预测可知</w:t>
      </w:r>
      <w:r w:rsidR="00B036CE" w:rsidRPr="00E67914">
        <w:rPr>
          <w:rFonts w:ascii="Times New Roman" w:hAnsi="Times New Roman"/>
          <w:szCs w:val="24"/>
        </w:rPr>
        <w:t>1#</w:t>
      </w:r>
      <w:r w:rsidR="00B036CE" w:rsidRPr="00E67914">
        <w:rPr>
          <w:rFonts w:ascii="Times New Roman" w:hAnsi="Times New Roman"/>
          <w:szCs w:val="24"/>
        </w:rPr>
        <w:t>居民点处的影响预测值为</w:t>
      </w:r>
      <w:r w:rsidR="00B036CE" w:rsidRPr="00E67914">
        <w:rPr>
          <w:rFonts w:ascii="Times New Roman" w:hAnsi="Times New Roman"/>
          <w:szCs w:val="24"/>
        </w:rPr>
        <w:t>66dB</w:t>
      </w:r>
      <w:r w:rsidR="00B036CE" w:rsidRPr="00E67914">
        <w:rPr>
          <w:rFonts w:ascii="Times New Roman" w:hAnsi="Times New Roman"/>
          <w:szCs w:val="24"/>
        </w:rPr>
        <w:t>（</w:t>
      </w:r>
      <w:r w:rsidR="00B036CE" w:rsidRPr="00E67914">
        <w:rPr>
          <w:rFonts w:ascii="Times New Roman" w:hAnsi="Times New Roman"/>
          <w:szCs w:val="24"/>
        </w:rPr>
        <w:t>A</w:t>
      </w:r>
      <w:r w:rsidR="00B036CE" w:rsidRPr="00E67914">
        <w:rPr>
          <w:rFonts w:ascii="Times New Roman" w:hAnsi="Times New Roman"/>
          <w:szCs w:val="24"/>
        </w:rPr>
        <w:t>），建设单位需提前与其沟通，采取相关措施做到超标不扰民</w:t>
      </w:r>
      <w:r w:rsidRPr="00E67914">
        <w:rPr>
          <w:rFonts w:ascii="Times New Roman" w:hAnsi="Times New Roman"/>
          <w:szCs w:val="24"/>
        </w:rPr>
        <w:t>。压裂施工时间短，夜间不作业，单井约</w:t>
      </w:r>
      <w:r w:rsidRPr="00E67914">
        <w:rPr>
          <w:rFonts w:ascii="Times New Roman" w:hAnsi="Times New Roman"/>
          <w:szCs w:val="24"/>
        </w:rPr>
        <w:t>2~5</w:t>
      </w:r>
      <w:r w:rsidRPr="00E67914">
        <w:rPr>
          <w:rFonts w:ascii="Times New Roman" w:hAnsi="Times New Roman"/>
          <w:szCs w:val="24"/>
        </w:rPr>
        <w:t>天完成压裂作业，压裂施工不是连续施工，噪声产生也不是连续的，随着压裂作业的结束，噪声影响也消失。因此，压裂作业噪声影响是短暂的，对周围居民影响是可接受的。</w:t>
      </w:r>
    </w:p>
    <w:p w14:paraId="2FDBAF07" w14:textId="77777777" w:rsidR="00A54A8A" w:rsidRPr="00E67914" w:rsidRDefault="00000000">
      <w:pPr>
        <w:pStyle w:val="2SLCON2"/>
        <w:adjustRightInd w:val="0"/>
        <w:snapToGrid w:val="0"/>
        <w:ind w:firstLine="482"/>
        <w:rPr>
          <w:rFonts w:ascii="Times New Roman" w:hAnsi="Times New Roman" w:cs="Times New Roman"/>
          <w:b/>
          <w:lang w:eastAsia="zh-CN"/>
        </w:rPr>
      </w:pPr>
      <w:r w:rsidRPr="00E67914">
        <w:rPr>
          <w:rFonts w:ascii="Times New Roman" w:hAnsi="Times New Roman" w:cs="Times New Roman"/>
          <w:b/>
          <w:lang w:eastAsia="zh-CN"/>
        </w:rPr>
        <w:t>3</w:t>
      </w:r>
      <w:r w:rsidRPr="00E67914">
        <w:rPr>
          <w:rFonts w:ascii="Times New Roman" w:hAnsi="Times New Roman" w:cs="Times New Roman"/>
          <w:b/>
          <w:lang w:eastAsia="zh-CN"/>
        </w:rPr>
        <w:t>、测试放喷噪声环境影响预测及分析</w:t>
      </w:r>
    </w:p>
    <w:p w14:paraId="19D66D79" w14:textId="77777777" w:rsidR="00A54A8A" w:rsidRPr="00E67914" w:rsidRDefault="00000000">
      <w:pPr>
        <w:adjustRightInd w:val="0"/>
        <w:snapToGrid w:val="0"/>
        <w:spacing w:line="360" w:lineRule="auto"/>
        <w:ind w:firstLineChars="200" w:firstLine="480"/>
        <w:jc w:val="both"/>
        <w:rPr>
          <w:rFonts w:ascii="Times New Roman" w:eastAsiaTheme="minorEastAsia" w:hAnsi="Times New Roman"/>
          <w:u w:val="single"/>
          <w:lang w:eastAsia="zh-CN"/>
        </w:rPr>
      </w:pPr>
      <w:r w:rsidRPr="00E67914">
        <w:rPr>
          <w:rFonts w:ascii="Times New Roman" w:hAnsi="Times New Roman"/>
          <w:sz w:val="24"/>
          <w:szCs w:val="24"/>
          <w:lang w:eastAsia="zh-CN"/>
        </w:rPr>
        <w:lastRenderedPageBreak/>
        <w:t>天然气测试放喷过程的噪声为连续噪声，仅在完井时测试中进行放喷，时间约为</w:t>
      </w:r>
      <w:r w:rsidRPr="00E67914">
        <w:rPr>
          <w:rFonts w:ascii="Times New Roman" w:hAnsi="Times New Roman"/>
          <w:sz w:val="24"/>
          <w:szCs w:val="24"/>
          <w:lang w:eastAsia="zh-CN"/>
        </w:rPr>
        <w:t>3</w:t>
      </w:r>
      <w:r w:rsidRPr="00E67914">
        <w:rPr>
          <w:rFonts w:ascii="Times New Roman" w:hAnsi="Times New Roman"/>
          <w:sz w:val="24"/>
          <w:szCs w:val="24"/>
          <w:lang w:eastAsia="zh-CN"/>
        </w:rPr>
        <w:t>小时，噪声源强度约为</w:t>
      </w:r>
      <w:r w:rsidRPr="00E67914">
        <w:rPr>
          <w:rFonts w:ascii="Times New Roman" w:hAnsi="Times New Roman"/>
          <w:sz w:val="24"/>
          <w:szCs w:val="24"/>
          <w:lang w:eastAsia="zh-CN"/>
        </w:rPr>
        <w:t>95-105dB</w:t>
      </w:r>
      <w:r w:rsidRPr="00E67914">
        <w:rPr>
          <w:rFonts w:ascii="Times New Roman" w:hAnsi="Times New Roman"/>
          <w:sz w:val="24"/>
          <w:szCs w:val="24"/>
          <w:lang w:eastAsia="zh-CN"/>
        </w:rPr>
        <w:t>（</w:t>
      </w:r>
      <w:r w:rsidRPr="00E67914">
        <w:rPr>
          <w:rFonts w:ascii="Times New Roman" w:hAnsi="Times New Roman"/>
          <w:sz w:val="24"/>
          <w:szCs w:val="24"/>
          <w:lang w:eastAsia="zh-CN"/>
        </w:rPr>
        <w:t>A</w:t>
      </w:r>
      <w:r w:rsidRPr="00E67914">
        <w:rPr>
          <w:rFonts w:ascii="Times New Roman" w:hAnsi="Times New Roman"/>
          <w:sz w:val="24"/>
          <w:szCs w:val="24"/>
          <w:lang w:eastAsia="zh-CN"/>
        </w:rPr>
        <w:t>）。项目通过在放喷池设置三面建较高的密实的防火墙，可以降低一定的噪声；同时由于测试放喷时间较短，并选择在昼间进行测试，随着测试的结束，噪声影响也消失。同时，根据本项目的测试外围应急疏散方案，放喷测试前组织临时疏散周边居民，因此，测试放喷噪声影响短暂的，对周围居民影响是可接受的。</w:t>
      </w:r>
    </w:p>
    <w:p w14:paraId="52326AD6" w14:textId="77777777" w:rsidR="00A54A8A" w:rsidRPr="00E67914" w:rsidRDefault="00000000">
      <w:pPr>
        <w:pStyle w:val="af4"/>
        <w:adjustRightInd w:val="0"/>
        <w:snapToGrid w:val="0"/>
        <w:spacing w:line="360" w:lineRule="auto"/>
        <w:ind w:firstLineChars="200" w:firstLine="480"/>
        <w:outlineLvl w:val="3"/>
        <w:rPr>
          <w:rFonts w:ascii="Times New Roman" w:eastAsia="黑体" w:hAnsi="Times New Roman"/>
          <w:szCs w:val="24"/>
        </w:rPr>
      </w:pPr>
      <w:bookmarkStart w:id="137" w:name="5.1.4施工期固体废物环境影响分析"/>
      <w:bookmarkEnd w:id="137"/>
      <w:r w:rsidRPr="00E67914">
        <w:rPr>
          <w:rFonts w:ascii="Times New Roman" w:eastAsia="黑体" w:hAnsi="Times New Roman"/>
          <w:szCs w:val="24"/>
        </w:rPr>
        <w:t>5.1.3.4</w:t>
      </w:r>
      <w:r w:rsidRPr="00E67914">
        <w:rPr>
          <w:rFonts w:ascii="Times New Roman" w:eastAsia="黑体" w:hAnsi="Times New Roman"/>
          <w:szCs w:val="24"/>
        </w:rPr>
        <w:t>土壤环境影响分析</w:t>
      </w:r>
    </w:p>
    <w:p w14:paraId="73397033" w14:textId="77777777" w:rsidR="00A54A8A" w:rsidRPr="00E67914" w:rsidRDefault="00000000">
      <w:pPr>
        <w:pStyle w:val="af4"/>
        <w:adjustRightInd w:val="0"/>
        <w:snapToGrid w:val="0"/>
        <w:spacing w:line="360" w:lineRule="auto"/>
        <w:ind w:firstLineChars="200" w:firstLine="482"/>
        <w:rPr>
          <w:rFonts w:ascii="Times New Roman" w:hAnsi="Times New Roman"/>
          <w:b/>
          <w:szCs w:val="24"/>
        </w:rPr>
      </w:pPr>
      <w:r w:rsidRPr="00E67914">
        <w:rPr>
          <w:rFonts w:ascii="Times New Roman" w:hAnsi="Times New Roman"/>
          <w:b/>
          <w:szCs w:val="24"/>
        </w:rPr>
        <w:t>（</w:t>
      </w:r>
      <w:r w:rsidRPr="00E67914">
        <w:rPr>
          <w:rFonts w:ascii="Times New Roman" w:hAnsi="Times New Roman"/>
          <w:b/>
          <w:szCs w:val="24"/>
        </w:rPr>
        <w:t>1</w:t>
      </w:r>
      <w:r w:rsidRPr="00E67914">
        <w:rPr>
          <w:rFonts w:ascii="Times New Roman" w:hAnsi="Times New Roman"/>
          <w:b/>
          <w:szCs w:val="24"/>
        </w:rPr>
        <w:t>）土壤环境影响分析</w:t>
      </w:r>
    </w:p>
    <w:p w14:paraId="7D925A45"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1</w:t>
      </w:r>
      <w:r w:rsidRPr="00E67914">
        <w:rPr>
          <w:rFonts w:ascii="Times New Roman" w:hAnsi="Times New Roman"/>
          <w:bCs/>
          <w:szCs w:val="24"/>
        </w:rPr>
        <w:t>）大气污染途径</w:t>
      </w:r>
    </w:p>
    <w:p w14:paraId="729E121C"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天然气开发过程中主要的大气污染物有甲烷、</w:t>
      </w:r>
      <w:r w:rsidRPr="00E67914">
        <w:rPr>
          <w:rFonts w:ascii="Times New Roman" w:hAnsi="Times New Roman"/>
          <w:bCs/>
          <w:szCs w:val="24"/>
        </w:rPr>
        <w:t>NOx</w:t>
      </w:r>
      <w:r w:rsidRPr="00E67914">
        <w:rPr>
          <w:rFonts w:ascii="Times New Roman" w:hAnsi="Times New Roman"/>
          <w:bCs/>
          <w:szCs w:val="24"/>
        </w:rPr>
        <w:t>、</w:t>
      </w:r>
      <w:r w:rsidRPr="00E67914">
        <w:rPr>
          <w:rFonts w:ascii="Times New Roman" w:hAnsi="Times New Roman"/>
          <w:bCs/>
          <w:szCs w:val="24"/>
        </w:rPr>
        <w:t>CO</w:t>
      </w:r>
      <w:r w:rsidRPr="00E67914">
        <w:rPr>
          <w:rFonts w:ascii="Times New Roman" w:hAnsi="Times New Roman"/>
          <w:bCs/>
          <w:szCs w:val="24"/>
        </w:rPr>
        <w:t>、颗粒物及挥发性有机物等，主要来源于场地施工机械、柴油发电机、压裂车、放喷燃烧等。大气污染物通过降雨或沉降进入土壤，从而引起土壤污染。</w:t>
      </w:r>
    </w:p>
    <w:p w14:paraId="35299E8E"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根据对已建天然气项目的调查，通过施工单位严格施工管理，天然气开发过程中周边大气中一般不会出现重金属、挥发性有机物超标的情况，通过大气污染土壤的可能性较小。</w:t>
      </w:r>
    </w:p>
    <w:p w14:paraId="18B47419"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2</w:t>
      </w:r>
      <w:r w:rsidRPr="00E67914">
        <w:rPr>
          <w:rFonts w:ascii="Times New Roman" w:hAnsi="Times New Roman"/>
          <w:bCs/>
          <w:szCs w:val="24"/>
        </w:rPr>
        <w:t>）水污染途径</w:t>
      </w:r>
    </w:p>
    <w:p w14:paraId="5DD693A2"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本项目井场建设期污染物主要通过地面漫流、垂直入渗途径污染土壤。</w:t>
      </w:r>
    </w:p>
    <w:p w14:paraId="0BEAA2AB"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hAnsi="宋体" w:cs="宋体" w:hint="eastAsia"/>
          <w:bCs/>
          <w:szCs w:val="24"/>
        </w:rPr>
        <w:t>①</w:t>
      </w:r>
      <w:r w:rsidRPr="00E67914">
        <w:rPr>
          <w:rFonts w:ascii="Times New Roman" w:hAnsi="Times New Roman"/>
          <w:bCs/>
          <w:szCs w:val="24"/>
        </w:rPr>
        <w:t>地面漫流</w:t>
      </w:r>
    </w:p>
    <w:p w14:paraId="436F346A"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对于泥浆不落地装置区及泥浆循环系统、泥浆料台区、储备罐区、油罐区、柴油机组区、放喷池等区域，在事故情况和降雨情况下产生的废水会发生地面漫流，进一步污染土壤。</w:t>
      </w:r>
    </w:p>
    <w:p w14:paraId="1C3AAC7D"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建设单位对泥浆不落地装置区及泥浆循环系统、泥浆料台区、储备罐区、油罐区、柴油机组区均设置了防雨棚，废油暂存区、发电机均设在活动房内，方井周边、放喷池在雨天加盖篷布，避免暴雨引起废水、废油外溢形成地面漫流。并在废水收集罐周围设置</w:t>
      </w:r>
      <w:r w:rsidRPr="00E67914">
        <w:rPr>
          <w:rFonts w:ascii="Times New Roman" w:hAnsi="Times New Roman"/>
          <w:bCs/>
          <w:szCs w:val="24"/>
        </w:rPr>
        <w:t>0.5m</w:t>
      </w:r>
      <w:r w:rsidRPr="00E67914">
        <w:rPr>
          <w:rFonts w:ascii="Times New Roman" w:hAnsi="Times New Roman"/>
          <w:bCs/>
          <w:szCs w:val="24"/>
        </w:rPr>
        <w:t>高围堰，防止废水外溢；油罐区周围设置</w:t>
      </w:r>
      <w:r w:rsidRPr="00E67914">
        <w:rPr>
          <w:rFonts w:ascii="Times New Roman" w:hAnsi="Times New Roman"/>
          <w:bCs/>
          <w:szCs w:val="24"/>
        </w:rPr>
        <w:t>0.15m</w:t>
      </w:r>
      <w:r w:rsidRPr="00E67914">
        <w:rPr>
          <w:rFonts w:ascii="Times New Roman" w:hAnsi="Times New Roman"/>
          <w:bCs/>
          <w:szCs w:val="24"/>
        </w:rPr>
        <w:t>高围堰及集油池，防止泄露油料外溢；放喷池最低面墙设置不低于</w:t>
      </w:r>
      <w:r w:rsidRPr="00E67914">
        <w:rPr>
          <w:rFonts w:ascii="Times New Roman" w:hAnsi="Times New Roman"/>
          <w:bCs/>
          <w:szCs w:val="24"/>
        </w:rPr>
        <w:t>0.5m</w:t>
      </w:r>
      <w:r w:rsidRPr="00E67914">
        <w:rPr>
          <w:rFonts w:ascii="Times New Roman" w:hAnsi="Times New Roman"/>
          <w:bCs/>
          <w:szCs w:val="24"/>
        </w:rPr>
        <w:t>，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p>
    <w:p w14:paraId="11F7F30E"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lastRenderedPageBreak/>
        <w:t>在全面落实污染防控措施的情况下，污染物的地面漫流对土壤影响较小。</w:t>
      </w:r>
    </w:p>
    <w:p w14:paraId="70342A0A"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hAnsi="宋体" w:cs="宋体" w:hint="eastAsia"/>
          <w:bCs/>
          <w:szCs w:val="24"/>
        </w:rPr>
        <w:t>②</w:t>
      </w:r>
      <w:r w:rsidRPr="00E67914">
        <w:rPr>
          <w:rFonts w:ascii="Times New Roman" w:hAnsi="Times New Roman"/>
          <w:bCs/>
          <w:szCs w:val="24"/>
        </w:rPr>
        <w:t>垂直入渗</w:t>
      </w:r>
    </w:p>
    <w:p w14:paraId="1C3DA630" w14:textId="3F51B8C5"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对于泥浆不落地装置区及泥浆循环系统、泥浆料台区、储备罐区、油罐区、放喷池、方井周边、</w:t>
      </w:r>
      <w:r w:rsidRPr="00E67914">
        <w:rPr>
          <w:rFonts w:ascii="Times New Roman" w:hAnsi="Times New Roman"/>
          <w:szCs w:val="24"/>
        </w:rPr>
        <w:t>钻井固废暂存区</w:t>
      </w:r>
      <w:r w:rsidR="00B036CE" w:rsidRPr="00E67914">
        <w:rPr>
          <w:rFonts w:ascii="Times New Roman" w:hAnsi="Times New Roman"/>
          <w:szCs w:val="24"/>
        </w:rPr>
        <w:t>、油基岩屑暂存区</w:t>
      </w:r>
      <w:r w:rsidRPr="00E67914">
        <w:rPr>
          <w:rFonts w:ascii="Times New Roman" w:hAnsi="Times New Roman"/>
          <w:bCs/>
          <w:szCs w:val="24"/>
        </w:rPr>
        <w:t>、发电机房、柴油机组区等区域，在事故情况下会造成污染物的泄露，通过垂直入渗途径污染土壤。</w:t>
      </w:r>
    </w:p>
    <w:p w14:paraId="041D504A" w14:textId="6BE7F56B"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szCs w:val="24"/>
        </w:rPr>
        <w:t>本项目井场采取分区防渗措施，</w:t>
      </w:r>
      <w:r w:rsidRPr="00E67914">
        <w:rPr>
          <w:rFonts w:ascii="Times New Roman" w:hAnsi="Times New Roman"/>
          <w:szCs w:val="24"/>
        </w:rPr>
        <w:t>场地内场地内方井、泥浆循环系统区域、泥浆不落地系统区域（含油桶堆放区）、泥浆储备罐区、循环罐区、柴油罐区、放喷池、</w:t>
      </w:r>
      <w:r w:rsidR="00B036CE" w:rsidRPr="00E67914">
        <w:rPr>
          <w:rFonts w:ascii="Times New Roman" w:hAnsi="Times New Roman"/>
          <w:szCs w:val="24"/>
        </w:rPr>
        <w:t>油基岩屑暂存区</w:t>
      </w:r>
      <w:r w:rsidRPr="00E67914">
        <w:rPr>
          <w:rFonts w:ascii="Times New Roman" w:hAnsi="Times New Roman"/>
          <w:szCs w:val="24"/>
        </w:rPr>
        <w:t>、埋地管道等采取重点防渗措施；井架基础、发电机房、钻井固废暂存区、</w:t>
      </w:r>
      <w:r w:rsidR="00B036CE" w:rsidRPr="00E67914">
        <w:rPr>
          <w:rFonts w:ascii="Times New Roman" w:hAnsi="Times New Roman"/>
          <w:szCs w:val="24"/>
        </w:rPr>
        <w:t>清水池</w:t>
      </w:r>
      <w:r w:rsidRPr="00E67914">
        <w:rPr>
          <w:rFonts w:ascii="Times New Roman" w:hAnsi="Times New Roman"/>
          <w:szCs w:val="24"/>
        </w:rPr>
        <w:t>、气源房、材料棚、雨、污分流区域以及厕所等区域采取一般防渗措施；其他区域等采取简单防渗措施</w:t>
      </w:r>
      <w:r w:rsidRPr="00E67914">
        <w:rPr>
          <w:rFonts w:ascii="Times New Roman" w:hAnsi="Times New Roman"/>
          <w:bCs/>
          <w:szCs w:val="24"/>
        </w:rPr>
        <w:t>。在全面落实分区防渗措施的情况下，污染物的垂直入渗对土壤影响较小。</w:t>
      </w:r>
    </w:p>
    <w:p w14:paraId="739DD9FB"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hAnsi="宋体" w:cs="宋体" w:hint="eastAsia"/>
          <w:szCs w:val="24"/>
        </w:rPr>
        <w:t>③</w:t>
      </w:r>
      <w:r w:rsidRPr="00E67914">
        <w:rPr>
          <w:rFonts w:ascii="Times New Roman" w:hAnsi="Times New Roman"/>
          <w:szCs w:val="24"/>
        </w:rPr>
        <w:t>钻井液漏失进入土壤</w:t>
      </w:r>
    </w:p>
    <w:p w14:paraId="09C06DBE" w14:textId="77777777" w:rsidR="00A54A8A" w:rsidRPr="00E67914" w:rsidRDefault="00000000">
      <w:pPr>
        <w:pStyle w:val="af4"/>
        <w:adjustRightInd w:val="0"/>
        <w:snapToGrid w:val="0"/>
        <w:spacing w:line="360" w:lineRule="auto"/>
        <w:ind w:firstLineChars="200" w:firstLine="480"/>
        <w:rPr>
          <w:rFonts w:ascii="Times New Roman" w:hAnsi="Times New Roman"/>
          <w:b/>
          <w:szCs w:val="24"/>
        </w:rPr>
      </w:pPr>
      <w:r w:rsidRPr="00E67914">
        <w:rPr>
          <w:rFonts w:ascii="Times New Roman" w:hAnsi="Times New Roman"/>
          <w:szCs w:val="24"/>
        </w:rPr>
        <w:t>钻井选用全井段套管保护</w:t>
      </w:r>
      <w:r w:rsidRPr="00E67914">
        <w:rPr>
          <w:rFonts w:ascii="Times New Roman" w:hAnsi="Times New Roman"/>
          <w:szCs w:val="24"/>
        </w:rPr>
        <w:t>+</w:t>
      </w:r>
      <w:r w:rsidRPr="00E67914">
        <w:rPr>
          <w:rFonts w:ascii="Times New Roman" w:hAnsi="Times New Roman"/>
          <w:szCs w:val="24"/>
        </w:rPr>
        <w:t>水泥固井工艺，本项目浅层钻采用清水钻井，同时采用套管和水泥固井防止地下水污染，并在设计中做好及时堵漏准备，防止泥浆流失进入地下水或土壤环境。因此在采取措施后，钻井液漏失进入土壤环境可能性很小。</w:t>
      </w:r>
    </w:p>
    <w:p w14:paraId="363ED9BB" w14:textId="77777777" w:rsidR="00A54A8A" w:rsidRPr="00E67914" w:rsidRDefault="00000000">
      <w:pPr>
        <w:pStyle w:val="af4"/>
        <w:adjustRightInd w:val="0"/>
        <w:snapToGrid w:val="0"/>
        <w:spacing w:line="360" w:lineRule="auto"/>
        <w:ind w:firstLineChars="200" w:firstLine="482"/>
        <w:rPr>
          <w:rFonts w:ascii="Times New Roman" w:hAnsi="Times New Roman"/>
          <w:b/>
          <w:szCs w:val="24"/>
        </w:rPr>
      </w:pPr>
      <w:r w:rsidRPr="00E67914">
        <w:rPr>
          <w:rFonts w:ascii="Times New Roman" w:hAnsi="Times New Roman"/>
          <w:b/>
          <w:szCs w:val="24"/>
        </w:rPr>
        <w:t>（</w:t>
      </w:r>
      <w:r w:rsidRPr="00E67914">
        <w:rPr>
          <w:rFonts w:ascii="Times New Roman" w:hAnsi="Times New Roman"/>
          <w:b/>
          <w:szCs w:val="24"/>
        </w:rPr>
        <w:t>2</w:t>
      </w:r>
      <w:r w:rsidRPr="00E67914">
        <w:rPr>
          <w:rFonts w:ascii="Times New Roman" w:hAnsi="Times New Roman"/>
          <w:b/>
          <w:szCs w:val="24"/>
        </w:rPr>
        <w:t>）土壤环境影响预测与评价</w:t>
      </w:r>
    </w:p>
    <w:p w14:paraId="2433AE42" w14:textId="3CBEE8A8"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本项目施工期时间短、工程量小，施工占地范围小，对土壤环境的扰动范围很小。本次土壤环境影响评价采用周边</w:t>
      </w:r>
      <w:r w:rsidRPr="00E67914">
        <w:rPr>
          <w:rFonts w:ascii="Times New Roman" w:hAnsi="Times New Roman"/>
          <w:szCs w:val="24"/>
        </w:rPr>
        <w:t>P103</w:t>
      </w:r>
      <w:r w:rsidRPr="00E67914">
        <w:rPr>
          <w:rFonts w:ascii="Times New Roman" w:hAnsi="Times New Roman"/>
          <w:szCs w:val="24"/>
        </w:rPr>
        <w:t>集气站、毛坝</w:t>
      </w:r>
      <w:r w:rsidRPr="00E67914">
        <w:rPr>
          <w:rFonts w:ascii="Times New Roman" w:hAnsi="Times New Roman"/>
          <w:szCs w:val="24"/>
        </w:rPr>
        <w:t>1</w:t>
      </w:r>
      <w:r w:rsidRPr="00E67914">
        <w:rPr>
          <w:rFonts w:ascii="Times New Roman" w:hAnsi="Times New Roman"/>
          <w:szCs w:val="24"/>
        </w:rPr>
        <w:t>试采站平台内监测数据进行分析（</w:t>
      </w:r>
      <w:r w:rsidRPr="00E67914">
        <w:rPr>
          <w:rFonts w:ascii="Times New Roman" w:hAnsi="Times New Roman"/>
          <w:szCs w:val="24"/>
        </w:rPr>
        <w:t>P103</w:t>
      </w:r>
      <w:r w:rsidRPr="00E67914">
        <w:rPr>
          <w:rFonts w:ascii="Times New Roman" w:hAnsi="Times New Roman"/>
          <w:szCs w:val="24"/>
        </w:rPr>
        <w:t>集气站、毛坝</w:t>
      </w:r>
      <w:r w:rsidRPr="00E67914">
        <w:rPr>
          <w:rFonts w:ascii="Times New Roman" w:hAnsi="Times New Roman"/>
          <w:szCs w:val="24"/>
        </w:rPr>
        <w:t>1</w:t>
      </w:r>
      <w:r w:rsidRPr="00E67914">
        <w:rPr>
          <w:rFonts w:ascii="Times New Roman" w:hAnsi="Times New Roman"/>
          <w:szCs w:val="24"/>
        </w:rPr>
        <w:t>试采站涉及施工钻井期与运营采气期，因此具有可比性）。</w:t>
      </w:r>
    </w:p>
    <w:p w14:paraId="6DB0CCDA"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根据上述</w:t>
      </w:r>
      <w:r w:rsidRPr="00E67914">
        <w:rPr>
          <w:rFonts w:ascii="Times New Roman" w:hAnsi="Times New Roman"/>
          <w:szCs w:val="24"/>
        </w:rPr>
        <w:t>2</w:t>
      </w:r>
      <w:r w:rsidRPr="00E67914">
        <w:rPr>
          <w:rFonts w:ascii="Times New Roman" w:hAnsi="Times New Roman"/>
          <w:szCs w:val="24"/>
        </w:rPr>
        <w:t>个平台的土壤环境现状监测数据，在已钻井施工完成的</w:t>
      </w:r>
      <w:r w:rsidRPr="00E67914">
        <w:rPr>
          <w:rFonts w:ascii="Times New Roman" w:hAnsi="Times New Roman"/>
          <w:szCs w:val="24"/>
        </w:rPr>
        <w:t>P103</w:t>
      </w:r>
      <w:r w:rsidRPr="00E67914">
        <w:rPr>
          <w:rFonts w:ascii="Times New Roman" w:hAnsi="Times New Roman"/>
          <w:szCs w:val="24"/>
        </w:rPr>
        <w:t>集气站、毛坝</w:t>
      </w:r>
      <w:r w:rsidRPr="00E67914">
        <w:rPr>
          <w:rFonts w:ascii="Times New Roman" w:hAnsi="Times New Roman"/>
          <w:szCs w:val="24"/>
        </w:rPr>
        <w:t>1</w:t>
      </w:r>
      <w:r w:rsidRPr="00E67914">
        <w:rPr>
          <w:rFonts w:ascii="Times New Roman" w:hAnsi="Times New Roman"/>
          <w:szCs w:val="24"/>
        </w:rPr>
        <w:t>试采站内各布置</w:t>
      </w:r>
      <w:r w:rsidRPr="00E67914">
        <w:rPr>
          <w:rFonts w:ascii="Times New Roman" w:hAnsi="Times New Roman"/>
          <w:szCs w:val="24"/>
        </w:rPr>
        <w:t>1</w:t>
      </w:r>
      <w:r w:rsidRPr="00E67914">
        <w:rPr>
          <w:rFonts w:ascii="Times New Roman" w:hAnsi="Times New Roman"/>
          <w:szCs w:val="24"/>
        </w:rPr>
        <w:t>个表层样点，</w:t>
      </w:r>
      <w:r w:rsidRPr="00E67914">
        <w:rPr>
          <w:rFonts w:ascii="Times New Roman" w:hAnsi="Times New Roman"/>
          <w:szCs w:val="24"/>
        </w:rPr>
        <w:t>3</w:t>
      </w:r>
      <w:r w:rsidRPr="00E67914">
        <w:rPr>
          <w:rFonts w:ascii="Times New Roman" w:hAnsi="Times New Roman"/>
          <w:szCs w:val="24"/>
        </w:rPr>
        <w:t>个柱状样点，井场外布置</w:t>
      </w:r>
      <w:r w:rsidRPr="00E67914">
        <w:rPr>
          <w:rFonts w:ascii="Times New Roman" w:hAnsi="Times New Roman"/>
          <w:szCs w:val="24"/>
        </w:rPr>
        <w:t>2</w:t>
      </w:r>
      <w:r w:rsidRPr="00E67914">
        <w:rPr>
          <w:rFonts w:ascii="Times New Roman" w:hAnsi="Times New Roman"/>
          <w:szCs w:val="24"/>
        </w:rPr>
        <w:t>个表层样点，各监测指标均满足</w:t>
      </w:r>
      <w:r w:rsidRPr="00E67914">
        <w:rPr>
          <w:rFonts w:ascii="Times New Roman" w:hAnsi="Times New Roman"/>
          <w:bCs/>
          <w:szCs w:val="24"/>
        </w:rPr>
        <w:t>《土壤环境质量</w:t>
      </w:r>
      <w:r w:rsidRPr="00E67914">
        <w:rPr>
          <w:rFonts w:ascii="Times New Roman" w:hAnsi="Times New Roman"/>
          <w:bCs/>
          <w:szCs w:val="24"/>
        </w:rPr>
        <w:t xml:space="preserve"> </w:t>
      </w:r>
      <w:r w:rsidRPr="00E67914">
        <w:rPr>
          <w:rFonts w:ascii="Times New Roman" w:hAnsi="Times New Roman"/>
          <w:bCs/>
          <w:szCs w:val="24"/>
        </w:rPr>
        <w:t>建设用地土壤污染风险管控标准（试行）</w:t>
      </w:r>
      <w:r w:rsidRPr="00E67914">
        <w:rPr>
          <w:rFonts w:ascii="Times New Roman" w:hAnsi="Times New Roman"/>
          <w:bCs/>
          <w:szCs w:val="24"/>
        </w:rPr>
        <w:t>(GB36600—2018)</w:t>
      </w:r>
      <w:r w:rsidRPr="00E67914">
        <w:rPr>
          <w:rFonts w:ascii="Times New Roman" w:hAnsi="Times New Roman"/>
          <w:bCs/>
          <w:szCs w:val="24"/>
        </w:rPr>
        <w:t>》第二类用地筛选值和《土壤环境质量</w:t>
      </w:r>
      <w:r w:rsidRPr="00E67914">
        <w:rPr>
          <w:rFonts w:ascii="Times New Roman" w:hAnsi="Times New Roman"/>
          <w:bCs/>
          <w:szCs w:val="24"/>
        </w:rPr>
        <w:t xml:space="preserve"> </w:t>
      </w:r>
      <w:r w:rsidRPr="00E67914">
        <w:rPr>
          <w:rFonts w:ascii="Times New Roman" w:hAnsi="Times New Roman"/>
          <w:bCs/>
          <w:szCs w:val="24"/>
        </w:rPr>
        <w:t>农用地土壤污染风险管控标准（试行）</w:t>
      </w:r>
      <w:r w:rsidRPr="00E67914">
        <w:rPr>
          <w:rFonts w:ascii="Times New Roman" w:hAnsi="Times New Roman"/>
          <w:bCs/>
          <w:szCs w:val="24"/>
        </w:rPr>
        <w:t>(GB15618—2018)</w:t>
      </w:r>
      <w:r w:rsidRPr="00E67914">
        <w:rPr>
          <w:rFonts w:ascii="Times New Roman" w:hAnsi="Times New Roman"/>
          <w:bCs/>
          <w:szCs w:val="24"/>
        </w:rPr>
        <w:t>》中</w:t>
      </w:r>
      <w:r w:rsidRPr="00E67914">
        <w:rPr>
          <w:rFonts w:ascii="Times New Roman" w:hAnsi="Times New Roman"/>
          <w:bCs/>
          <w:szCs w:val="24"/>
        </w:rPr>
        <w:t>“</w:t>
      </w:r>
      <w:r w:rsidRPr="00E67914">
        <w:rPr>
          <w:rFonts w:ascii="Times New Roman" w:hAnsi="Times New Roman"/>
          <w:bCs/>
          <w:szCs w:val="24"/>
        </w:rPr>
        <w:t>其他</w:t>
      </w:r>
      <w:r w:rsidRPr="00E67914">
        <w:rPr>
          <w:rFonts w:ascii="Times New Roman" w:hAnsi="Times New Roman"/>
          <w:bCs/>
          <w:szCs w:val="24"/>
        </w:rPr>
        <w:t>”</w:t>
      </w:r>
      <w:r w:rsidRPr="00E67914">
        <w:rPr>
          <w:rFonts w:ascii="Times New Roman" w:hAnsi="Times New Roman"/>
          <w:bCs/>
          <w:szCs w:val="24"/>
        </w:rPr>
        <w:t>用地类型筛选值，特征因子石油烃满足参考的《土壤环境质量</w:t>
      </w:r>
      <w:r w:rsidRPr="00E67914">
        <w:rPr>
          <w:rFonts w:ascii="Times New Roman" w:hAnsi="Times New Roman"/>
          <w:bCs/>
          <w:szCs w:val="24"/>
        </w:rPr>
        <w:t xml:space="preserve"> </w:t>
      </w:r>
      <w:r w:rsidRPr="00E67914">
        <w:rPr>
          <w:rFonts w:ascii="Times New Roman" w:hAnsi="Times New Roman"/>
          <w:bCs/>
          <w:szCs w:val="24"/>
        </w:rPr>
        <w:t>建设用地土壤污染风险管控标准（试行）</w:t>
      </w:r>
      <w:r w:rsidRPr="00E67914">
        <w:rPr>
          <w:rFonts w:ascii="Times New Roman" w:hAnsi="Times New Roman"/>
          <w:bCs/>
          <w:szCs w:val="24"/>
        </w:rPr>
        <w:t>(GB36600—2018)</w:t>
      </w:r>
      <w:r w:rsidRPr="00E67914">
        <w:rPr>
          <w:rFonts w:ascii="Times New Roman" w:hAnsi="Times New Roman"/>
          <w:bCs/>
          <w:szCs w:val="24"/>
        </w:rPr>
        <w:t>》筛选值。由此可见，</w:t>
      </w:r>
      <w:r w:rsidRPr="00E67914">
        <w:rPr>
          <w:rFonts w:ascii="Times New Roman" w:hAnsi="Times New Roman"/>
          <w:szCs w:val="24"/>
        </w:rPr>
        <w:t>P103</w:t>
      </w:r>
      <w:r w:rsidRPr="00E67914">
        <w:rPr>
          <w:rFonts w:ascii="Times New Roman" w:hAnsi="Times New Roman"/>
          <w:szCs w:val="24"/>
        </w:rPr>
        <w:t>集气站、毛坝</w:t>
      </w:r>
      <w:r w:rsidRPr="00E67914">
        <w:rPr>
          <w:rFonts w:ascii="Times New Roman" w:hAnsi="Times New Roman"/>
          <w:szCs w:val="24"/>
        </w:rPr>
        <w:t>1</w:t>
      </w:r>
      <w:r w:rsidRPr="00E67914">
        <w:rPr>
          <w:rFonts w:ascii="Times New Roman" w:hAnsi="Times New Roman"/>
          <w:szCs w:val="24"/>
        </w:rPr>
        <w:t>试采站的建设并未对土壤环境造成污染，因此可类比本项目的建设与运营对土壤环境影响较小。</w:t>
      </w:r>
    </w:p>
    <w:p w14:paraId="32AFADD9" w14:textId="77777777" w:rsidR="00A54A8A" w:rsidRPr="00E67914" w:rsidRDefault="00000000">
      <w:pPr>
        <w:pStyle w:val="af4"/>
        <w:adjustRightInd w:val="0"/>
        <w:snapToGrid w:val="0"/>
        <w:spacing w:line="360" w:lineRule="auto"/>
        <w:ind w:firstLineChars="200" w:firstLine="480"/>
        <w:rPr>
          <w:rFonts w:ascii="Times New Roman" w:hAnsi="Times New Roman"/>
          <w:bCs/>
          <w:szCs w:val="24"/>
        </w:rPr>
      </w:pPr>
      <w:r w:rsidRPr="00E67914">
        <w:rPr>
          <w:rFonts w:ascii="Times New Roman" w:hAnsi="Times New Roman"/>
          <w:bCs/>
        </w:rPr>
        <w:t>因此，根据项目对土壤环境影响途径分析、</w:t>
      </w:r>
      <w:r w:rsidRPr="00E67914">
        <w:rPr>
          <w:rFonts w:ascii="Times New Roman" w:hAnsi="Times New Roman"/>
          <w:szCs w:val="24"/>
        </w:rPr>
        <w:t>P103</w:t>
      </w:r>
      <w:r w:rsidRPr="00E67914">
        <w:rPr>
          <w:rFonts w:ascii="Times New Roman" w:hAnsi="Times New Roman"/>
          <w:szCs w:val="24"/>
        </w:rPr>
        <w:t>集气站、毛坝</w:t>
      </w:r>
      <w:r w:rsidRPr="00E67914">
        <w:rPr>
          <w:rFonts w:ascii="Times New Roman" w:hAnsi="Times New Roman"/>
          <w:szCs w:val="24"/>
        </w:rPr>
        <w:t>1</w:t>
      </w:r>
      <w:r w:rsidRPr="00E67914">
        <w:rPr>
          <w:rFonts w:ascii="Times New Roman" w:hAnsi="Times New Roman"/>
          <w:szCs w:val="24"/>
        </w:rPr>
        <w:t>试采站</w:t>
      </w:r>
      <w:r w:rsidRPr="00E67914">
        <w:rPr>
          <w:rFonts w:ascii="Times New Roman" w:hAnsi="Times New Roman"/>
          <w:bCs/>
        </w:rPr>
        <w:t>的监测结果和类比同类项目同类地区的建设经验，项目建设对土壤环境的影响很小，可接受。本</w:t>
      </w:r>
      <w:r w:rsidRPr="00E67914">
        <w:rPr>
          <w:rFonts w:ascii="Times New Roman" w:hAnsi="Times New Roman"/>
          <w:szCs w:val="24"/>
        </w:rPr>
        <w:t>项目除采取上述土壤污染防治措施外，还应将</w:t>
      </w:r>
      <w:r w:rsidRPr="00E67914">
        <w:rPr>
          <w:rFonts w:ascii="Times New Roman" w:hAnsi="Times New Roman"/>
          <w:bCs/>
          <w:szCs w:val="24"/>
        </w:rPr>
        <w:t>土壤污染防治措施和地下水污染防治、</w:t>
      </w:r>
      <w:r w:rsidRPr="00E67914">
        <w:rPr>
          <w:rFonts w:ascii="Times New Roman" w:hAnsi="Times New Roman"/>
          <w:bCs/>
          <w:szCs w:val="24"/>
        </w:rPr>
        <w:lastRenderedPageBreak/>
        <w:t>生态环境治理措施相结合，综合做好土壤环境、地下水环境和生态环境的保护；完钻后对钻井期临时占地进行污染治理后恢复，并进行生态修复，临时占地还耕前进行土壤监测，确保无污染后再用作农用地复耕。</w:t>
      </w:r>
    </w:p>
    <w:p w14:paraId="18AD31FB" w14:textId="77777777" w:rsidR="00A54A8A" w:rsidRPr="00E67914" w:rsidRDefault="00000000">
      <w:pPr>
        <w:pStyle w:val="af4"/>
        <w:adjustRightInd w:val="0"/>
        <w:snapToGrid w:val="0"/>
        <w:spacing w:line="360" w:lineRule="auto"/>
        <w:ind w:firstLineChars="200" w:firstLine="480"/>
        <w:outlineLvl w:val="3"/>
        <w:rPr>
          <w:rFonts w:ascii="Times New Roman" w:eastAsia="黑体" w:hAnsi="Times New Roman"/>
          <w:szCs w:val="24"/>
        </w:rPr>
      </w:pPr>
      <w:r w:rsidRPr="00E67914">
        <w:rPr>
          <w:rFonts w:ascii="Times New Roman" w:eastAsia="黑体" w:hAnsi="Times New Roman"/>
          <w:szCs w:val="24"/>
        </w:rPr>
        <w:t>5.1.3.5</w:t>
      </w:r>
      <w:r w:rsidRPr="00E67914">
        <w:rPr>
          <w:rFonts w:ascii="Times New Roman" w:eastAsia="黑体" w:hAnsi="Times New Roman"/>
          <w:szCs w:val="24"/>
        </w:rPr>
        <w:t>固体废物环境影响分析</w:t>
      </w:r>
    </w:p>
    <w:p w14:paraId="47631CFC" w14:textId="77777777" w:rsidR="00A54A8A" w:rsidRPr="00E67914" w:rsidRDefault="00000000">
      <w:pPr>
        <w:pStyle w:val="af4"/>
        <w:adjustRightInd w:val="0"/>
        <w:snapToGrid w:val="0"/>
        <w:spacing w:line="360" w:lineRule="auto"/>
        <w:ind w:firstLineChars="200" w:firstLine="482"/>
        <w:rPr>
          <w:rFonts w:ascii="Times New Roman" w:hAnsi="Times New Roman"/>
          <w:b/>
          <w:bCs/>
          <w:szCs w:val="24"/>
        </w:rPr>
      </w:pPr>
      <w:r w:rsidRPr="00E67914">
        <w:rPr>
          <w:rFonts w:ascii="Times New Roman" w:hAnsi="Times New Roman"/>
          <w:b/>
          <w:bCs/>
          <w:szCs w:val="24"/>
        </w:rPr>
        <w:t>（</w:t>
      </w:r>
      <w:r w:rsidRPr="00E67914">
        <w:rPr>
          <w:rFonts w:ascii="Times New Roman" w:hAnsi="Times New Roman"/>
          <w:b/>
          <w:bCs/>
          <w:szCs w:val="24"/>
        </w:rPr>
        <w:t>1</w:t>
      </w:r>
      <w:r w:rsidRPr="00E67914">
        <w:rPr>
          <w:rFonts w:ascii="Times New Roman" w:hAnsi="Times New Roman"/>
          <w:b/>
          <w:bCs/>
          <w:szCs w:val="24"/>
        </w:rPr>
        <w:t>）钻井固废</w:t>
      </w:r>
      <w:r w:rsidRPr="00E67914">
        <w:rPr>
          <w:rFonts w:ascii="Times New Roman" w:hAnsi="Times New Roman"/>
          <w:b/>
          <w:szCs w:val="24"/>
        </w:rPr>
        <w:t>影响分析</w:t>
      </w:r>
    </w:p>
    <w:p w14:paraId="405BCF3B"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水基泥浆体系中不添加有毒有害重金属等物质，主要成分为水、无机盐、普通有机聚合物等无毒物质。水基钻井固废为经泥浆不落地工艺对钻井泥浆及岩屑等进行固液分离后产生的固相废渣，属于第</w:t>
      </w:r>
      <w:r w:rsidRPr="00E67914">
        <w:rPr>
          <w:rFonts w:ascii="Times New Roman" w:hAnsi="Times New Roman"/>
          <w:szCs w:val="24"/>
        </w:rPr>
        <w:t>Ⅱ</w:t>
      </w:r>
      <w:r w:rsidRPr="00E67914">
        <w:rPr>
          <w:rFonts w:ascii="Times New Roman" w:hAnsi="Times New Roman"/>
          <w:szCs w:val="24"/>
        </w:rPr>
        <w:t>类一般工业固体废物，按照</w:t>
      </w:r>
      <w:r w:rsidRPr="00E67914">
        <w:rPr>
          <w:rFonts w:ascii="Times New Roman" w:hAnsi="Times New Roman"/>
          <w:bCs/>
          <w:szCs w:val="24"/>
        </w:rPr>
        <w:t>《一般工业固体废物贮存和填埋污染控制标准》（</w:t>
      </w:r>
      <w:r w:rsidRPr="00E67914">
        <w:rPr>
          <w:rFonts w:ascii="Times New Roman" w:hAnsi="Times New Roman"/>
          <w:bCs/>
          <w:szCs w:val="24"/>
        </w:rPr>
        <w:t>GB18599-2020</w:t>
      </w:r>
      <w:r w:rsidRPr="00E67914">
        <w:rPr>
          <w:rFonts w:ascii="Times New Roman" w:hAnsi="Times New Roman"/>
          <w:bCs/>
          <w:szCs w:val="24"/>
        </w:rPr>
        <w:t>）</w:t>
      </w:r>
      <w:r w:rsidRPr="00E67914">
        <w:rPr>
          <w:rFonts w:ascii="Times New Roman" w:hAnsi="Times New Roman"/>
          <w:szCs w:val="24"/>
        </w:rPr>
        <w:t>中对第</w:t>
      </w:r>
      <w:r w:rsidRPr="00E67914">
        <w:rPr>
          <w:rFonts w:ascii="Times New Roman" w:hAnsi="Times New Roman"/>
          <w:szCs w:val="24"/>
        </w:rPr>
        <w:t>Ⅱ</w:t>
      </w:r>
      <w:r w:rsidRPr="00E67914">
        <w:rPr>
          <w:rFonts w:ascii="Times New Roman" w:hAnsi="Times New Roman"/>
          <w:szCs w:val="24"/>
        </w:rPr>
        <w:t>类一般工业固体废物的处置要求，本项目现场在泥浆不落地装置附近设置的钻井固废暂存区暂存钻井固废，防渗层渗透系数</w:t>
      </w:r>
      <w:r w:rsidRPr="00E67914">
        <w:rPr>
          <w:rFonts w:ascii="Times New Roman" w:hAnsi="Times New Roman"/>
          <w:szCs w:val="24"/>
        </w:rPr>
        <w:t>≤1.0×10</w:t>
      </w:r>
      <w:r w:rsidRPr="00E67914">
        <w:rPr>
          <w:rFonts w:ascii="Times New Roman" w:hAnsi="Times New Roman"/>
          <w:szCs w:val="24"/>
          <w:vertAlign w:val="superscript"/>
        </w:rPr>
        <w:t>-7</w:t>
      </w:r>
      <w:r w:rsidRPr="00E67914">
        <w:rPr>
          <w:rFonts w:ascii="Times New Roman" w:hAnsi="Times New Roman"/>
          <w:szCs w:val="24"/>
        </w:rPr>
        <w:t>cm/s</w:t>
      </w:r>
      <w:r w:rsidRPr="00E67914">
        <w:rPr>
          <w:rFonts w:ascii="Times New Roman" w:hAnsi="Times New Roman"/>
          <w:szCs w:val="24"/>
        </w:rPr>
        <w:t>，满足第</w:t>
      </w:r>
      <w:r w:rsidRPr="00E67914">
        <w:rPr>
          <w:rFonts w:ascii="Times New Roman" w:hAnsi="Times New Roman"/>
          <w:szCs w:val="24"/>
        </w:rPr>
        <w:t>Ⅱ</w:t>
      </w:r>
      <w:r w:rsidRPr="00E67914">
        <w:rPr>
          <w:rFonts w:ascii="Times New Roman" w:hAnsi="Times New Roman"/>
          <w:szCs w:val="24"/>
        </w:rPr>
        <w:t>类一般工业固体废物处置场防渗要求。</w:t>
      </w:r>
    </w:p>
    <w:p w14:paraId="1D29E28D" w14:textId="6D309406"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水基钻井固废</w:t>
      </w:r>
      <w:r w:rsidRPr="00E67914">
        <w:rPr>
          <w:rFonts w:ascii="Times New Roman" w:hAnsi="Times New Roman"/>
        </w:rPr>
        <w:t>在</w:t>
      </w:r>
      <w:r w:rsidRPr="00E67914">
        <w:rPr>
          <w:rFonts w:ascii="Times New Roman" w:hAnsi="Times New Roman"/>
          <w:szCs w:val="24"/>
        </w:rPr>
        <w:t>泥浆不落地装置附近设置钻井固废暂存区</w:t>
      </w:r>
      <w:r w:rsidRPr="00E67914">
        <w:rPr>
          <w:rFonts w:ascii="Times New Roman" w:hAnsi="Times New Roman"/>
        </w:rPr>
        <w:t>由废渣收集罐收集后临时暂存，定期用密闭罐车及时转运至达州地区环保手续齐全、环保设施稳定运行固废烧结厂进行烧结后综合利用</w:t>
      </w:r>
      <w:r w:rsidRPr="00E67914">
        <w:rPr>
          <w:rFonts w:ascii="Times New Roman" w:hAnsi="Times New Roman"/>
          <w:szCs w:val="24"/>
        </w:rPr>
        <w:t>，不会对区域环境造成影响。</w:t>
      </w:r>
      <w:r w:rsidRPr="00E67914">
        <w:rPr>
          <w:rFonts w:ascii="Times New Roman" w:hAnsi="Times New Roman"/>
        </w:rPr>
        <w:t>油基钻井废泥浆、岩屑暂存于新建的</w:t>
      </w:r>
      <w:r w:rsidR="00DA577F" w:rsidRPr="00E67914">
        <w:rPr>
          <w:rFonts w:ascii="Times New Roman" w:hAnsi="Times New Roman"/>
        </w:rPr>
        <w:t>20m</w:t>
      </w:r>
      <w:r w:rsidR="00DA577F" w:rsidRPr="00E67914">
        <w:rPr>
          <w:rFonts w:ascii="Times New Roman" w:hAnsi="Times New Roman"/>
          <w:vertAlign w:val="superscript"/>
        </w:rPr>
        <w:t>2</w:t>
      </w:r>
      <w:r w:rsidR="00DA577F" w:rsidRPr="00E67914">
        <w:rPr>
          <w:rFonts w:ascii="Times New Roman" w:hAnsi="Times New Roman"/>
        </w:rPr>
        <w:t>危险废物暂存场所（采取必要的防风、防晒、防雨、防漏、防渗、防腐以及其他环境污染防治措施，不得露天堆放危险废物）</w:t>
      </w:r>
      <w:r w:rsidRPr="00E67914">
        <w:rPr>
          <w:rFonts w:ascii="Times New Roman" w:hAnsi="Times New Roman"/>
        </w:rPr>
        <w:t>，</w:t>
      </w:r>
      <w:r w:rsidR="009A7D8C" w:rsidRPr="00E67914">
        <w:rPr>
          <w:rFonts w:ascii="Times New Roman" w:hAnsi="Times New Roman"/>
        </w:rPr>
        <w:t>泥浆和油基钻井岩屑及时交由有资质的单位处置</w:t>
      </w:r>
      <w:r w:rsidRPr="00E67914">
        <w:rPr>
          <w:rFonts w:ascii="Times New Roman" w:hAnsi="Times New Roman"/>
        </w:rPr>
        <w:t>，</w:t>
      </w:r>
      <w:r w:rsidRPr="00E67914">
        <w:rPr>
          <w:rFonts w:ascii="Times New Roman" w:hAnsi="Times New Roman"/>
          <w:szCs w:val="24"/>
        </w:rPr>
        <w:t>不会对区域环境造成影响。</w:t>
      </w:r>
    </w:p>
    <w:p w14:paraId="6AE50613" w14:textId="77777777" w:rsidR="00A54A8A" w:rsidRPr="00E67914" w:rsidRDefault="00000000">
      <w:pPr>
        <w:pStyle w:val="af4"/>
        <w:adjustRightInd w:val="0"/>
        <w:snapToGrid w:val="0"/>
        <w:spacing w:line="360" w:lineRule="auto"/>
        <w:ind w:firstLineChars="200" w:firstLine="482"/>
        <w:rPr>
          <w:rFonts w:ascii="Times New Roman" w:hAnsi="Times New Roman"/>
          <w:b/>
          <w:bCs/>
          <w:szCs w:val="24"/>
        </w:rPr>
      </w:pPr>
      <w:r w:rsidRPr="00E67914">
        <w:rPr>
          <w:rFonts w:ascii="Times New Roman" w:hAnsi="Times New Roman"/>
          <w:b/>
          <w:bCs/>
          <w:szCs w:val="24"/>
        </w:rPr>
        <w:t>（</w:t>
      </w:r>
      <w:r w:rsidRPr="00E67914">
        <w:rPr>
          <w:rFonts w:ascii="Times New Roman" w:hAnsi="Times New Roman"/>
          <w:b/>
          <w:bCs/>
          <w:szCs w:val="24"/>
        </w:rPr>
        <w:t>2</w:t>
      </w:r>
      <w:r w:rsidRPr="00E67914">
        <w:rPr>
          <w:rFonts w:ascii="Times New Roman" w:hAnsi="Times New Roman"/>
          <w:b/>
          <w:bCs/>
          <w:szCs w:val="24"/>
        </w:rPr>
        <w:t>）废油</w:t>
      </w:r>
      <w:r w:rsidRPr="00E67914">
        <w:rPr>
          <w:rFonts w:ascii="Times New Roman" w:hAnsi="Times New Roman"/>
          <w:b/>
          <w:szCs w:val="24"/>
        </w:rPr>
        <w:t>影响分析</w:t>
      </w:r>
    </w:p>
    <w:p w14:paraId="6F26F259" w14:textId="77777777" w:rsidR="00A54A8A" w:rsidRPr="00E67914" w:rsidRDefault="00000000">
      <w:pPr>
        <w:pStyle w:val="af4"/>
        <w:adjustRightInd w:val="0"/>
        <w:snapToGrid w:val="0"/>
        <w:spacing w:line="360" w:lineRule="auto"/>
        <w:ind w:firstLineChars="200" w:firstLine="480"/>
        <w:rPr>
          <w:rFonts w:ascii="Times New Roman" w:hAnsi="Times New Roman"/>
        </w:rPr>
      </w:pPr>
      <w:r w:rsidRPr="00E67914">
        <w:rPr>
          <w:rFonts w:ascii="Times New Roman" w:hAnsi="Times New Roman"/>
          <w:szCs w:val="24"/>
        </w:rPr>
        <w:t>井场内设备保养润滑用油及跑冒滴漏产生的少量含油属于危险废物（物类别为</w:t>
      </w:r>
      <w:r w:rsidRPr="00E67914">
        <w:rPr>
          <w:rFonts w:ascii="Times New Roman" w:hAnsi="Times New Roman"/>
          <w:szCs w:val="24"/>
        </w:rPr>
        <w:t>HW08</w:t>
      </w:r>
      <w:r w:rsidRPr="00E67914">
        <w:rPr>
          <w:rFonts w:ascii="Times New Roman" w:hAnsi="Times New Roman"/>
          <w:szCs w:val="24"/>
        </w:rPr>
        <w:t>，废物代码</w:t>
      </w:r>
      <w:r w:rsidRPr="00E67914">
        <w:rPr>
          <w:rFonts w:ascii="Times New Roman" w:hAnsi="Times New Roman"/>
          <w:szCs w:val="24"/>
        </w:rPr>
        <w:t>900-214-08</w:t>
      </w:r>
      <w:r w:rsidRPr="00E67914">
        <w:rPr>
          <w:rFonts w:ascii="Times New Roman" w:hAnsi="Times New Roman"/>
          <w:szCs w:val="24"/>
        </w:rPr>
        <w:t>），按照《危险废物贮存污染控制标准》（</w:t>
      </w:r>
      <w:r w:rsidRPr="00E67914">
        <w:rPr>
          <w:rFonts w:ascii="Times New Roman" w:hAnsi="Times New Roman"/>
          <w:szCs w:val="24"/>
        </w:rPr>
        <w:t>GB18597-2023</w:t>
      </w:r>
      <w:r w:rsidRPr="00E67914">
        <w:rPr>
          <w:rFonts w:ascii="Times New Roman" w:hAnsi="Times New Roman"/>
          <w:szCs w:val="24"/>
        </w:rPr>
        <w:t>）和《废矿物油回收利用污染控制技术规范》（</w:t>
      </w:r>
      <w:r w:rsidRPr="00E67914">
        <w:rPr>
          <w:rFonts w:ascii="Times New Roman" w:hAnsi="Times New Roman"/>
          <w:szCs w:val="24"/>
        </w:rPr>
        <w:t>HJ607-2011</w:t>
      </w:r>
      <w:r w:rsidRPr="00E67914">
        <w:rPr>
          <w:rFonts w:ascii="Times New Roman" w:hAnsi="Times New Roman"/>
          <w:szCs w:val="24"/>
        </w:rPr>
        <w:t>）的相关规定要求，对产生的油类用废油桶集中收集，钻井队综合利用或交由有资质的单位处理，</w:t>
      </w:r>
      <w:r w:rsidRPr="00E67914">
        <w:rPr>
          <w:rFonts w:ascii="Times New Roman" w:hAnsi="Times New Roman"/>
        </w:rPr>
        <w:t>设置废油桶集中收集暂存于泥浆不落地装置区临时堆放区内，并做好</w:t>
      </w:r>
      <w:r w:rsidRPr="00E67914">
        <w:rPr>
          <w:rFonts w:ascii="Times New Roman" w:hAnsi="Times New Roman"/>
        </w:rPr>
        <w:t>“</w:t>
      </w:r>
      <w:r w:rsidRPr="00E67914">
        <w:rPr>
          <w:rFonts w:ascii="Times New Roman" w:hAnsi="Times New Roman"/>
        </w:rPr>
        <w:t>防风、防雨、防晒、防渗漏</w:t>
      </w:r>
      <w:r w:rsidRPr="00E67914">
        <w:rPr>
          <w:rFonts w:ascii="Times New Roman" w:hAnsi="Times New Roman"/>
        </w:rPr>
        <w:t>”</w:t>
      </w:r>
      <w:r w:rsidRPr="00E67914">
        <w:rPr>
          <w:rFonts w:ascii="Times New Roman" w:hAnsi="Times New Roman"/>
        </w:rPr>
        <w:t>四防措施，暂存期间做好废油管理记录，通过</w:t>
      </w:r>
      <w:r w:rsidRPr="00E67914">
        <w:rPr>
          <w:rFonts w:ascii="Times New Roman" w:hAnsi="Times New Roman"/>
          <w:szCs w:val="24"/>
        </w:rPr>
        <w:t>后期</w:t>
      </w:r>
      <w:r w:rsidRPr="00E67914">
        <w:rPr>
          <w:rFonts w:ascii="Times New Roman" w:hAnsi="Times New Roman"/>
        </w:rPr>
        <w:t>擦拭站场设备、原料添加、放喷点火等方式回收综合利用，根据类比调查井站产生废油能在井站内全部综合利用。若因为个别特殊情况存在不能综合利用的废油，则和不能继续使用的废油桶以及擦拭站场设备产生的其他含油固废交由有资质的单位处理</w:t>
      </w:r>
      <w:r w:rsidRPr="00E67914">
        <w:rPr>
          <w:rFonts w:ascii="Times New Roman" w:hAnsi="Times New Roman"/>
          <w:szCs w:val="24"/>
        </w:rPr>
        <w:t>，对周围环境的影响较小。</w:t>
      </w:r>
    </w:p>
    <w:p w14:paraId="442C2C74" w14:textId="77777777" w:rsidR="00A54A8A" w:rsidRPr="00E67914" w:rsidRDefault="00000000">
      <w:pPr>
        <w:pStyle w:val="af4"/>
        <w:adjustRightInd w:val="0"/>
        <w:snapToGrid w:val="0"/>
        <w:spacing w:line="360" w:lineRule="auto"/>
        <w:ind w:firstLineChars="200" w:firstLine="482"/>
        <w:rPr>
          <w:rFonts w:ascii="Times New Roman" w:hAnsi="Times New Roman"/>
          <w:b/>
          <w:bCs/>
          <w:szCs w:val="24"/>
        </w:rPr>
      </w:pPr>
      <w:r w:rsidRPr="00E67914">
        <w:rPr>
          <w:rFonts w:ascii="Times New Roman" w:hAnsi="Times New Roman"/>
          <w:b/>
          <w:bCs/>
          <w:szCs w:val="24"/>
        </w:rPr>
        <w:t>（</w:t>
      </w:r>
      <w:r w:rsidRPr="00E67914">
        <w:rPr>
          <w:rFonts w:ascii="Times New Roman" w:hAnsi="Times New Roman"/>
          <w:b/>
          <w:bCs/>
          <w:szCs w:val="24"/>
        </w:rPr>
        <w:t>3</w:t>
      </w:r>
      <w:r w:rsidRPr="00E67914">
        <w:rPr>
          <w:rFonts w:ascii="Times New Roman" w:hAnsi="Times New Roman"/>
          <w:b/>
          <w:bCs/>
          <w:szCs w:val="24"/>
        </w:rPr>
        <w:t>）生活垃圾</w:t>
      </w:r>
      <w:r w:rsidRPr="00E67914">
        <w:rPr>
          <w:rFonts w:ascii="Times New Roman" w:hAnsi="Times New Roman"/>
          <w:b/>
          <w:szCs w:val="24"/>
        </w:rPr>
        <w:t>影响分析</w:t>
      </w:r>
    </w:p>
    <w:p w14:paraId="6DB23C2C"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生活垃圾可分为两类，如可降解的果皮、菜根、废纸、烟盒、剩饭菜等，不可降解的塑料制品、废金属、废电池等，这些垃圾分类堆放，定期交由环卫部门妥善处置。</w:t>
      </w:r>
    </w:p>
    <w:p w14:paraId="69BB629C"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lastRenderedPageBreak/>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施工作业场地设垃圾收集桶，生活垃圾依托当地环卫部门对生活垃圾进行定期清运在统一外运至当地垃圾处理场所进行处置后，对环境影响较小。</w:t>
      </w:r>
    </w:p>
    <w:p w14:paraId="54C2F9F9" w14:textId="77777777" w:rsidR="00A54A8A" w:rsidRPr="00E67914" w:rsidRDefault="00000000">
      <w:pPr>
        <w:pStyle w:val="af4"/>
        <w:adjustRightInd w:val="0"/>
        <w:snapToGrid w:val="0"/>
        <w:spacing w:line="360" w:lineRule="auto"/>
        <w:ind w:firstLineChars="200" w:firstLine="482"/>
        <w:rPr>
          <w:rFonts w:ascii="Times New Roman" w:hAnsi="Times New Roman"/>
          <w:b/>
          <w:bCs/>
          <w:szCs w:val="24"/>
        </w:rPr>
      </w:pPr>
      <w:r w:rsidRPr="00E67914">
        <w:rPr>
          <w:rFonts w:ascii="Times New Roman" w:hAnsi="Times New Roman"/>
          <w:b/>
          <w:bCs/>
          <w:szCs w:val="24"/>
        </w:rPr>
        <w:t>（</w:t>
      </w:r>
      <w:r w:rsidRPr="00E67914">
        <w:rPr>
          <w:rFonts w:ascii="Times New Roman" w:hAnsi="Times New Roman"/>
          <w:b/>
          <w:bCs/>
          <w:szCs w:val="24"/>
        </w:rPr>
        <w:t>4</w:t>
      </w:r>
      <w:r w:rsidRPr="00E67914">
        <w:rPr>
          <w:rFonts w:ascii="Times New Roman" w:hAnsi="Times New Roman"/>
          <w:b/>
          <w:bCs/>
          <w:szCs w:val="24"/>
        </w:rPr>
        <w:t>）</w:t>
      </w:r>
      <w:r w:rsidRPr="00E67914">
        <w:rPr>
          <w:rFonts w:ascii="Times New Roman" w:hAnsi="Times New Roman"/>
          <w:b/>
          <w:bCs/>
        </w:rPr>
        <w:t>废包装材料</w:t>
      </w:r>
      <w:r w:rsidRPr="00E67914">
        <w:rPr>
          <w:rFonts w:ascii="Times New Roman" w:hAnsi="Times New Roman"/>
          <w:b/>
          <w:szCs w:val="24"/>
        </w:rPr>
        <w:t>影响分析</w:t>
      </w:r>
    </w:p>
    <w:p w14:paraId="56FCB699"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废弃包装材料集中收集后施工队自己回用部分，剩余部分送当地废品回收站处理，对周围环境的影响也较小。</w:t>
      </w:r>
    </w:p>
    <w:p w14:paraId="37F5F010" w14:textId="77777777" w:rsidR="00A54A8A" w:rsidRPr="00E67914" w:rsidRDefault="00000000">
      <w:pPr>
        <w:pStyle w:val="af4"/>
        <w:adjustRightInd w:val="0"/>
        <w:snapToGrid w:val="0"/>
        <w:spacing w:line="360" w:lineRule="auto"/>
        <w:ind w:firstLineChars="200" w:firstLine="482"/>
        <w:rPr>
          <w:rFonts w:ascii="Times New Roman" w:hAnsi="Times New Roman"/>
          <w:b/>
          <w:bCs/>
          <w:szCs w:val="24"/>
        </w:rPr>
      </w:pPr>
      <w:r w:rsidRPr="00E67914">
        <w:rPr>
          <w:rFonts w:ascii="Times New Roman" w:hAnsi="Times New Roman"/>
          <w:b/>
          <w:bCs/>
          <w:szCs w:val="24"/>
        </w:rPr>
        <w:t>（</w:t>
      </w:r>
      <w:r w:rsidRPr="00E67914">
        <w:rPr>
          <w:rFonts w:ascii="Times New Roman" w:hAnsi="Times New Roman"/>
          <w:b/>
          <w:bCs/>
          <w:szCs w:val="24"/>
        </w:rPr>
        <w:t>5</w:t>
      </w:r>
      <w:r w:rsidRPr="00E67914">
        <w:rPr>
          <w:rFonts w:ascii="Times New Roman" w:hAnsi="Times New Roman"/>
          <w:b/>
          <w:bCs/>
          <w:szCs w:val="24"/>
        </w:rPr>
        <w:t>）其他</w:t>
      </w:r>
    </w:p>
    <w:p w14:paraId="71075F8A" w14:textId="77777777" w:rsidR="00A54A8A" w:rsidRPr="00E67914" w:rsidRDefault="00000000">
      <w:pPr>
        <w:pStyle w:val="af4"/>
        <w:adjustRightInd w:val="0"/>
        <w:snapToGrid w:val="0"/>
        <w:spacing w:line="360" w:lineRule="auto"/>
        <w:ind w:firstLineChars="200" w:firstLine="480"/>
        <w:rPr>
          <w:rFonts w:ascii="Times New Roman" w:hAnsi="Times New Roman"/>
          <w:szCs w:val="24"/>
        </w:rPr>
      </w:pPr>
      <w:r w:rsidRPr="00E67914">
        <w:rPr>
          <w:rFonts w:ascii="Times New Roman" w:hAnsi="Times New Roman"/>
          <w:szCs w:val="24"/>
        </w:rPr>
        <w:t>散失的钻井泥浆材料（重晶石、膨润土粉、堵漏剂）、水泥废浆、废弃包装材料、防冻保温废料及废棉纱等一般固废，产生量少，全部收集并资源化回收利用；完井搬迁时可能产生少量建筑垃圾，主要如包装袋，废弃建筑材料等，其量小，由施工队伍统一收集清运至政府指定地方，对环境影响轻微。</w:t>
      </w:r>
    </w:p>
    <w:p w14:paraId="42E92725"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综上分析，项目固体废物均可得到综合利用和妥善处置，项目产生的固体废物对环境的影响较小</w:t>
      </w:r>
      <w:r w:rsidRPr="00E67914">
        <w:rPr>
          <w:rFonts w:ascii="Times New Roman" w:hAnsi="Times New Roman"/>
          <w:bCs/>
          <w:kern w:val="2"/>
          <w:sz w:val="24"/>
          <w:szCs w:val="24"/>
          <w:lang w:eastAsia="zh-CN"/>
        </w:rPr>
        <w:t>。</w:t>
      </w:r>
    </w:p>
    <w:p w14:paraId="058F9395" w14:textId="645C2B4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5.1.4</w:t>
      </w:r>
      <w:r w:rsidRPr="00E67914">
        <w:rPr>
          <w:rFonts w:ascii="Times New Roman" w:eastAsia="黑体" w:hAnsi="Times New Roman"/>
          <w:b w:val="0"/>
          <w:sz w:val="24"/>
          <w:szCs w:val="24"/>
          <w:lang w:eastAsia="zh-CN"/>
        </w:rPr>
        <w:t>施工期</w:t>
      </w:r>
      <w:r w:rsidR="001D0D95" w:rsidRPr="00E67914">
        <w:rPr>
          <w:rFonts w:ascii="Times New Roman" w:eastAsia="黑体" w:hAnsi="Times New Roman"/>
          <w:b w:val="0"/>
          <w:sz w:val="24"/>
          <w:szCs w:val="24"/>
          <w:lang w:eastAsia="zh-CN"/>
        </w:rPr>
        <w:t>油气集输</w:t>
      </w:r>
      <w:r w:rsidRPr="00E67914">
        <w:rPr>
          <w:rFonts w:ascii="Times New Roman" w:eastAsia="黑体" w:hAnsi="Times New Roman"/>
          <w:b w:val="0"/>
          <w:sz w:val="24"/>
          <w:szCs w:val="24"/>
          <w:lang w:eastAsia="zh-CN"/>
        </w:rPr>
        <w:t>工程环境影响分析</w:t>
      </w:r>
    </w:p>
    <w:p w14:paraId="701D6623" w14:textId="77777777" w:rsidR="00A54A8A" w:rsidRPr="00E67914" w:rsidRDefault="00000000">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1</w:t>
      </w:r>
      <w:r w:rsidRPr="00E67914">
        <w:rPr>
          <w:rFonts w:ascii="Times New Roman" w:eastAsia="黑体" w:hAnsi="Times New Roman"/>
          <w:bCs/>
          <w:kern w:val="2"/>
          <w:sz w:val="24"/>
          <w:szCs w:val="24"/>
          <w:lang w:eastAsia="zh-CN"/>
        </w:rPr>
        <w:t>、大气环境影响分析</w:t>
      </w:r>
    </w:p>
    <w:p w14:paraId="32E43098"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试采站及外输管线施工涉及少量地面开挖、回填、土石堆放和运输车辆行驶产生的扬尘（粉尘）、及施工机械、运输车辆排放的尾气。针对施工扬尘，项目工程施工作业时，设置围栏或部分围栏、洒水抑尘等措施，降低扬尘的产生量，从而从源头上降低施工扬尘对环境空气质量和敏感点的影响。在加强洒水防尘作业后，项目站场施工对环境的影响是局部的，并随着施工的结束而结束。施工机械、运输车辆排放的尾气中污染物主要为</w:t>
      </w:r>
      <w:r w:rsidRPr="00E67914">
        <w:rPr>
          <w:rFonts w:ascii="Times New Roman" w:hAnsi="Times New Roman"/>
          <w:bCs/>
          <w:sz w:val="24"/>
          <w:lang w:eastAsia="zh-CN"/>
        </w:rPr>
        <w:t>NO</w:t>
      </w:r>
      <w:r w:rsidRPr="00E67914">
        <w:rPr>
          <w:rFonts w:ascii="Times New Roman" w:hAnsi="Times New Roman"/>
          <w:bCs/>
          <w:sz w:val="24"/>
          <w:vertAlign w:val="subscript"/>
          <w:lang w:eastAsia="zh-CN"/>
        </w:rPr>
        <w:t>X</w:t>
      </w:r>
      <w:r w:rsidRPr="00E67914">
        <w:rPr>
          <w:rFonts w:ascii="Times New Roman" w:hAnsi="Times New Roman"/>
          <w:bCs/>
          <w:sz w:val="24"/>
          <w:lang w:eastAsia="zh-CN"/>
        </w:rPr>
        <w:t>、烟尘及少量</w:t>
      </w:r>
      <w:r w:rsidRPr="00E67914">
        <w:rPr>
          <w:rFonts w:ascii="Times New Roman" w:hAnsi="Times New Roman"/>
          <w:bCs/>
          <w:sz w:val="24"/>
          <w:lang w:eastAsia="zh-CN"/>
        </w:rPr>
        <w:t>CO</w:t>
      </w:r>
      <w:r w:rsidRPr="00E67914">
        <w:rPr>
          <w:rFonts w:ascii="Times New Roman" w:hAnsi="Times New Roman"/>
          <w:bCs/>
          <w:sz w:val="24"/>
          <w:lang w:eastAsia="zh-CN"/>
        </w:rPr>
        <w:t>等，施工机械使用合格燃油、加强设备保养、运输车辆控制车速等，最终产生的废气量较小。这些污染物将对环境空气造成一定程度的污染，但这种污染是短期的，工程结束后，将不复存在，对大气环境影响小。</w:t>
      </w:r>
    </w:p>
    <w:p w14:paraId="77291600" w14:textId="77777777" w:rsidR="00A54A8A" w:rsidRPr="00E67914" w:rsidRDefault="00000000">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2</w:t>
      </w:r>
      <w:r w:rsidRPr="00E67914">
        <w:rPr>
          <w:rFonts w:ascii="Times New Roman" w:eastAsia="黑体" w:hAnsi="Times New Roman"/>
          <w:bCs/>
          <w:kern w:val="2"/>
          <w:sz w:val="24"/>
          <w:szCs w:val="24"/>
          <w:lang w:eastAsia="zh-CN"/>
        </w:rPr>
        <w:t>、地表水环境影响分析</w:t>
      </w:r>
    </w:p>
    <w:p w14:paraId="7E3DF595"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sz w:val="24"/>
          <w:szCs w:val="24"/>
          <w:lang w:eastAsia="zh-CN"/>
        </w:rPr>
        <w:t>废水主要施工废水</w:t>
      </w:r>
      <w:r w:rsidRPr="00E67914">
        <w:rPr>
          <w:rFonts w:ascii="Times New Roman" w:hAnsi="Times New Roman"/>
          <w:bCs/>
          <w:sz w:val="24"/>
          <w:szCs w:val="24"/>
          <w:lang w:eastAsia="zh-CN"/>
        </w:rPr>
        <w:t>（主要污染物为</w:t>
      </w:r>
      <w:r w:rsidRPr="00E67914">
        <w:rPr>
          <w:rFonts w:ascii="Times New Roman" w:hAnsi="Times New Roman"/>
          <w:bCs/>
          <w:sz w:val="24"/>
          <w:szCs w:val="24"/>
          <w:lang w:eastAsia="zh-CN"/>
        </w:rPr>
        <w:t>SS</w:t>
      </w:r>
      <w:r w:rsidRPr="00E67914">
        <w:rPr>
          <w:rFonts w:ascii="Times New Roman" w:hAnsi="Times New Roman"/>
          <w:bCs/>
          <w:sz w:val="24"/>
          <w:szCs w:val="24"/>
          <w:lang w:eastAsia="zh-CN"/>
        </w:rPr>
        <w:t>）</w:t>
      </w:r>
      <w:r w:rsidRPr="00E67914">
        <w:rPr>
          <w:rFonts w:ascii="Times New Roman" w:hAnsi="Times New Roman"/>
          <w:sz w:val="24"/>
          <w:szCs w:val="24"/>
          <w:lang w:eastAsia="zh-CN"/>
        </w:rPr>
        <w:t>以及施工人员的生活污水（主要污染物为</w:t>
      </w:r>
      <w:r w:rsidRPr="00E67914">
        <w:rPr>
          <w:rFonts w:ascii="Times New Roman" w:hAnsi="Times New Roman"/>
          <w:bCs/>
          <w:sz w:val="24"/>
          <w:szCs w:val="24"/>
          <w:lang w:eastAsia="zh-CN"/>
        </w:rPr>
        <w:t>COD</w:t>
      </w:r>
      <w:r w:rsidRPr="00E67914">
        <w:rPr>
          <w:rFonts w:ascii="Times New Roman" w:hAnsi="Times New Roman"/>
          <w:bCs/>
          <w:sz w:val="24"/>
          <w:szCs w:val="24"/>
          <w:lang w:eastAsia="zh-CN"/>
        </w:rPr>
        <w:t>、</w:t>
      </w:r>
      <w:r w:rsidRPr="00E67914">
        <w:rPr>
          <w:rFonts w:ascii="Times New Roman" w:hAnsi="Times New Roman"/>
          <w:bCs/>
          <w:sz w:val="24"/>
          <w:szCs w:val="24"/>
          <w:lang w:eastAsia="zh-CN"/>
        </w:rPr>
        <w:t>SS</w:t>
      </w:r>
      <w:r w:rsidRPr="00E67914">
        <w:rPr>
          <w:rFonts w:ascii="Times New Roman" w:hAnsi="Times New Roman"/>
          <w:bCs/>
          <w:sz w:val="24"/>
          <w:szCs w:val="24"/>
          <w:lang w:eastAsia="zh-CN"/>
        </w:rPr>
        <w:t>和</w:t>
      </w:r>
      <w:r w:rsidRPr="00E67914">
        <w:rPr>
          <w:rFonts w:ascii="Times New Roman" w:hAnsi="Times New Roman"/>
          <w:bCs/>
          <w:sz w:val="24"/>
          <w:szCs w:val="24"/>
          <w:lang w:eastAsia="zh-CN"/>
        </w:rPr>
        <w:t>NH</w:t>
      </w:r>
      <w:r w:rsidRPr="00E67914">
        <w:rPr>
          <w:rFonts w:ascii="Times New Roman" w:hAnsi="Times New Roman"/>
          <w:bCs/>
          <w:sz w:val="24"/>
          <w:szCs w:val="24"/>
          <w:vertAlign w:val="subscript"/>
          <w:lang w:eastAsia="zh-CN"/>
        </w:rPr>
        <w:t>3</w:t>
      </w:r>
      <w:r w:rsidRPr="00E67914">
        <w:rPr>
          <w:rFonts w:ascii="Times New Roman" w:hAnsi="Times New Roman"/>
          <w:bCs/>
          <w:sz w:val="24"/>
          <w:szCs w:val="24"/>
          <w:lang w:eastAsia="zh-CN"/>
        </w:rPr>
        <w:t>-N</w:t>
      </w:r>
      <w:r w:rsidRPr="00E67914">
        <w:rPr>
          <w:rFonts w:ascii="Times New Roman" w:hAnsi="Times New Roman"/>
          <w:bCs/>
          <w:sz w:val="24"/>
          <w:szCs w:val="24"/>
          <w:lang w:eastAsia="zh-CN"/>
        </w:rPr>
        <w:t>等</w:t>
      </w:r>
      <w:r w:rsidRPr="00E67914">
        <w:rPr>
          <w:rFonts w:ascii="Times New Roman" w:hAnsi="Times New Roman"/>
          <w:sz w:val="24"/>
          <w:szCs w:val="24"/>
          <w:lang w:eastAsia="zh-CN"/>
        </w:rPr>
        <w:t>）。站场建设工程量小，施工时间短，</w:t>
      </w:r>
      <w:r w:rsidRPr="00E67914">
        <w:rPr>
          <w:rFonts w:ascii="Times New Roman" w:hAnsi="Times New Roman"/>
          <w:bCs/>
          <w:sz w:val="24"/>
          <w:lang w:eastAsia="zh-CN"/>
        </w:rPr>
        <w:t>生活污水经生态厕所收集</w:t>
      </w:r>
      <w:r w:rsidRPr="00E67914">
        <w:rPr>
          <w:rFonts w:ascii="Times New Roman" w:hAnsi="Times New Roman"/>
          <w:bCs/>
          <w:sz w:val="24"/>
          <w:lang w:eastAsia="zh-CN"/>
        </w:rPr>
        <w:lastRenderedPageBreak/>
        <w:t>后定期由密闭罐车拉运至周边生活污水处理厂处理</w:t>
      </w:r>
      <w:r w:rsidRPr="00E67914">
        <w:rPr>
          <w:rFonts w:ascii="Times New Roman" w:hAnsi="Times New Roman"/>
          <w:sz w:val="24"/>
          <w:szCs w:val="24"/>
          <w:lang w:eastAsia="zh-CN"/>
        </w:rPr>
        <w:t>；少量生产废水在施工现场设置沉淀池，施工废水经隔油沉淀处理后回用于洒水降尘，不外排。对地表水环境影响小</w:t>
      </w:r>
      <w:r w:rsidRPr="00E67914">
        <w:rPr>
          <w:rFonts w:ascii="Times New Roman" w:hAnsi="Times New Roman"/>
          <w:bCs/>
          <w:sz w:val="24"/>
          <w:lang w:eastAsia="zh-CN"/>
        </w:rPr>
        <w:t>。</w:t>
      </w:r>
    </w:p>
    <w:p w14:paraId="2A035170" w14:textId="77777777" w:rsidR="00A54A8A" w:rsidRPr="00E67914" w:rsidRDefault="00000000">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3</w:t>
      </w:r>
      <w:r w:rsidRPr="00E67914">
        <w:rPr>
          <w:rFonts w:ascii="Times New Roman" w:eastAsia="黑体" w:hAnsi="Times New Roman"/>
          <w:bCs/>
          <w:kern w:val="2"/>
          <w:sz w:val="24"/>
          <w:szCs w:val="24"/>
          <w:lang w:eastAsia="zh-CN"/>
        </w:rPr>
        <w:t>、声环境影响分析</w:t>
      </w:r>
    </w:p>
    <w:p w14:paraId="5C57F659" w14:textId="4BA68D34"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t>站场与管线建设的噪声主要是推土机、挖掘机、载重汽车等运行中产生的，工程量小、时间短，噪声源强小，夜间不施工，对环境影响小</w:t>
      </w:r>
      <w:r w:rsidR="00BE657C" w:rsidRPr="00E67914">
        <w:rPr>
          <w:rFonts w:ascii="Times New Roman" w:hAnsi="Times New Roman"/>
          <w:sz w:val="24"/>
          <w:szCs w:val="24"/>
          <w:lang w:eastAsia="zh-CN"/>
        </w:rPr>
        <w:t>，与钻前工程影响范围和影响距离相似</w:t>
      </w:r>
      <w:r w:rsidR="00DF1BA9" w:rsidRPr="00E67914">
        <w:rPr>
          <w:rFonts w:ascii="Times New Roman" w:hAnsi="Times New Roman"/>
          <w:sz w:val="24"/>
          <w:szCs w:val="24"/>
          <w:lang w:eastAsia="zh-CN"/>
        </w:rPr>
        <w:t>，管线沿线有</w:t>
      </w:r>
      <w:r w:rsidR="00DF1BA9" w:rsidRPr="00E67914">
        <w:rPr>
          <w:rFonts w:ascii="Times New Roman" w:hAnsi="Times New Roman"/>
          <w:sz w:val="24"/>
          <w:szCs w:val="24"/>
          <w:lang w:eastAsia="zh-CN"/>
        </w:rPr>
        <w:t>4</w:t>
      </w:r>
      <w:r w:rsidR="00DF1BA9" w:rsidRPr="00E67914">
        <w:rPr>
          <w:rFonts w:ascii="Times New Roman" w:hAnsi="Times New Roman"/>
          <w:sz w:val="24"/>
          <w:szCs w:val="24"/>
          <w:lang w:eastAsia="zh-CN"/>
        </w:rPr>
        <w:t>处敏感目标（</w:t>
      </w:r>
      <w:r w:rsidR="00DF1BA9" w:rsidRPr="00E67914">
        <w:rPr>
          <w:rFonts w:ascii="Times New Roman" w:hAnsi="Times New Roman"/>
          <w:sz w:val="24"/>
          <w:szCs w:val="24"/>
          <w:lang w:eastAsia="zh-CN"/>
        </w:rPr>
        <w:t>1#</w:t>
      </w:r>
      <w:r w:rsidR="00DF1BA9" w:rsidRPr="00E67914">
        <w:rPr>
          <w:rFonts w:ascii="Times New Roman" w:hAnsi="Times New Roman"/>
          <w:sz w:val="24"/>
          <w:szCs w:val="24"/>
          <w:lang w:eastAsia="zh-CN"/>
        </w:rPr>
        <w:t>居民点、</w:t>
      </w:r>
      <w:r w:rsidR="00DF1BA9" w:rsidRPr="00E67914">
        <w:rPr>
          <w:rFonts w:ascii="Times New Roman" w:hAnsi="Times New Roman"/>
          <w:sz w:val="24"/>
          <w:szCs w:val="24"/>
          <w:lang w:eastAsia="zh-CN"/>
        </w:rPr>
        <w:t>2#</w:t>
      </w:r>
      <w:r w:rsidR="00DF1BA9" w:rsidRPr="00E67914">
        <w:rPr>
          <w:rFonts w:ascii="Times New Roman" w:hAnsi="Times New Roman"/>
          <w:sz w:val="24"/>
          <w:szCs w:val="24"/>
          <w:lang w:eastAsia="zh-CN"/>
        </w:rPr>
        <w:t>居民点、</w:t>
      </w:r>
      <w:r w:rsidR="00DF1BA9" w:rsidRPr="00E67914">
        <w:rPr>
          <w:rFonts w:ascii="Times New Roman" w:hAnsi="Times New Roman"/>
          <w:sz w:val="24"/>
          <w:szCs w:val="24"/>
          <w:lang w:eastAsia="zh-CN"/>
        </w:rPr>
        <w:t>6#</w:t>
      </w:r>
      <w:r w:rsidR="00DF1BA9" w:rsidRPr="00E67914">
        <w:rPr>
          <w:rFonts w:ascii="Times New Roman" w:hAnsi="Times New Roman"/>
          <w:sz w:val="24"/>
          <w:szCs w:val="24"/>
          <w:lang w:eastAsia="zh-CN"/>
        </w:rPr>
        <w:t>居民点、</w:t>
      </w:r>
      <w:r w:rsidR="00DF1BA9" w:rsidRPr="00E67914">
        <w:rPr>
          <w:rFonts w:ascii="Times New Roman" w:hAnsi="Times New Roman"/>
          <w:sz w:val="24"/>
          <w:szCs w:val="24"/>
          <w:lang w:eastAsia="zh-CN"/>
        </w:rPr>
        <w:t>11#</w:t>
      </w:r>
      <w:r w:rsidR="00DF1BA9" w:rsidRPr="00E67914">
        <w:rPr>
          <w:rFonts w:ascii="Times New Roman" w:hAnsi="Times New Roman"/>
          <w:sz w:val="24"/>
          <w:szCs w:val="24"/>
          <w:lang w:eastAsia="zh-CN"/>
        </w:rPr>
        <w:t>居民点），上述居民点距离管线最近距离为</w:t>
      </w:r>
      <w:r w:rsidR="00DF1BA9" w:rsidRPr="00E67914">
        <w:rPr>
          <w:rFonts w:ascii="Times New Roman" w:hAnsi="Times New Roman"/>
          <w:sz w:val="24"/>
          <w:szCs w:val="24"/>
          <w:lang w:eastAsia="zh-CN"/>
        </w:rPr>
        <w:t>153m</w:t>
      </w:r>
      <w:r w:rsidR="00DF1BA9" w:rsidRPr="00E67914">
        <w:rPr>
          <w:rFonts w:ascii="Times New Roman" w:hAnsi="Times New Roman"/>
          <w:sz w:val="24"/>
          <w:szCs w:val="24"/>
          <w:lang w:eastAsia="zh-CN"/>
        </w:rPr>
        <w:t>，根据影响预测上述居民点在管线施工期间能够满足</w:t>
      </w:r>
      <w:r w:rsidR="00DF1BA9" w:rsidRPr="00E67914">
        <w:rPr>
          <w:rFonts w:ascii="Times New Roman" w:hAnsi="Times New Roman"/>
          <w:bCs/>
          <w:sz w:val="24"/>
          <w:lang w:eastAsia="zh-CN"/>
        </w:rPr>
        <w:t>《声环境质量标准》（</w:t>
      </w:r>
      <w:r w:rsidR="00DF1BA9" w:rsidRPr="00E67914">
        <w:rPr>
          <w:rFonts w:ascii="Times New Roman" w:hAnsi="Times New Roman"/>
          <w:bCs/>
          <w:sz w:val="24"/>
          <w:lang w:eastAsia="zh-CN"/>
        </w:rPr>
        <w:t>GB3096-2008</w:t>
      </w:r>
      <w:r w:rsidR="00DF1BA9" w:rsidRPr="00E67914">
        <w:rPr>
          <w:rFonts w:ascii="Times New Roman" w:hAnsi="Times New Roman"/>
          <w:bCs/>
          <w:sz w:val="24"/>
          <w:lang w:eastAsia="zh-CN"/>
        </w:rPr>
        <w:t>）</w:t>
      </w:r>
      <w:r w:rsidR="00DF1BA9" w:rsidRPr="00E67914">
        <w:rPr>
          <w:rFonts w:ascii="Times New Roman" w:hAnsi="Times New Roman"/>
          <w:bCs/>
          <w:sz w:val="24"/>
          <w:lang w:eastAsia="zh-CN"/>
        </w:rPr>
        <w:t>2</w:t>
      </w:r>
      <w:r w:rsidR="00DF1BA9" w:rsidRPr="00E67914">
        <w:rPr>
          <w:rFonts w:ascii="Times New Roman" w:hAnsi="Times New Roman"/>
          <w:bCs/>
          <w:sz w:val="24"/>
          <w:lang w:eastAsia="zh-CN"/>
        </w:rPr>
        <w:t>类标准要求</w:t>
      </w:r>
      <w:r w:rsidRPr="00E67914">
        <w:rPr>
          <w:rFonts w:ascii="Times New Roman" w:hAnsi="Times New Roman"/>
          <w:sz w:val="24"/>
          <w:szCs w:val="24"/>
          <w:lang w:eastAsia="zh-CN"/>
        </w:rPr>
        <w:t>。</w:t>
      </w:r>
    </w:p>
    <w:p w14:paraId="3592AB2B" w14:textId="77777777" w:rsidR="00A54A8A" w:rsidRPr="00E67914" w:rsidRDefault="00000000">
      <w:pPr>
        <w:adjustRightInd w:val="0"/>
        <w:snapToGrid w:val="0"/>
        <w:spacing w:line="360" w:lineRule="auto"/>
        <w:ind w:firstLineChars="200" w:firstLine="480"/>
        <w:jc w:val="both"/>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4</w:t>
      </w:r>
      <w:r w:rsidRPr="00E67914">
        <w:rPr>
          <w:rFonts w:ascii="Times New Roman" w:eastAsia="黑体" w:hAnsi="Times New Roman"/>
          <w:bCs/>
          <w:kern w:val="2"/>
          <w:sz w:val="24"/>
          <w:szCs w:val="24"/>
          <w:lang w:eastAsia="zh-CN"/>
        </w:rPr>
        <w:t>、固废影响分析</w:t>
      </w:r>
    </w:p>
    <w:p w14:paraId="56BD6D9B" w14:textId="2B37C8B4"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站场与管线建设产生少量建筑垃圾，如包装袋、废弃建筑材料、废焊条、焊渣等，其量小，可回收利用</w:t>
      </w:r>
      <w:r w:rsidR="00E57FF1" w:rsidRPr="00E67914">
        <w:rPr>
          <w:rFonts w:ascii="Times New Roman" w:hAnsi="Times New Roman"/>
          <w:sz w:val="24"/>
          <w:szCs w:val="24"/>
          <w:lang w:eastAsia="zh-CN"/>
        </w:rPr>
        <w:t>的收集后外售废品回收站</w:t>
      </w:r>
      <w:r w:rsidRPr="00E67914">
        <w:rPr>
          <w:rFonts w:ascii="Times New Roman" w:hAnsi="Times New Roman"/>
          <w:sz w:val="24"/>
          <w:szCs w:val="24"/>
          <w:lang w:eastAsia="zh-CN"/>
        </w:rPr>
        <w:t>，剩余废料由施工队伍统一收集清运至政府指定地方。施工人员多为当地民工，租住在附近农户，无集中生活垃圾产生，其产生的生活垃圾利用附近农户现有的设施进行收集处置，无集中生活垃圾产生。站场建设固废产生量少，经有效收集处置后，不会产生二次污染，对环境影响小。</w:t>
      </w:r>
    </w:p>
    <w:p w14:paraId="435B798C" w14:textId="77777777" w:rsidR="00B871CD" w:rsidRPr="00E67914" w:rsidRDefault="00B871CD" w:rsidP="00B871CD">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5.1.5</w:t>
      </w:r>
      <w:r w:rsidRPr="00E67914">
        <w:rPr>
          <w:rFonts w:ascii="Times New Roman" w:eastAsia="黑体" w:hAnsi="Times New Roman"/>
          <w:b w:val="0"/>
          <w:sz w:val="24"/>
          <w:szCs w:val="24"/>
          <w:lang w:eastAsia="zh-CN"/>
        </w:rPr>
        <w:t>施工期水土流失影响分析</w:t>
      </w:r>
    </w:p>
    <w:p w14:paraId="2752C91A" w14:textId="77777777" w:rsidR="00B871CD" w:rsidRPr="00E67914" w:rsidRDefault="00B871CD" w:rsidP="00B871CD">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结合工程区地貌条件、新增水土流失来源，在不采取水土流失防护措施前提下，工程区域内水土流失危害主要体现在：（</w:t>
      </w:r>
      <w:r w:rsidRPr="00E67914">
        <w:rPr>
          <w:rFonts w:ascii="Times New Roman" w:hAnsi="Times New Roman"/>
          <w:bCs/>
          <w:sz w:val="24"/>
          <w:lang w:eastAsia="zh-CN"/>
        </w:rPr>
        <w:t>1</w:t>
      </w:r>
      <w:r w:rsidRPr="00E67914">
        <w:rPr>
          <w:rFonts w:ascii="Times New Roman" w:hAnsi="Times New Roman"/>
          <w:bCs/>
          <w:sz w:val="24"/>
          <w:lang w:eastAsia="zh-CN"/>
        </w:rPr>
        <w:t>）对土地资源产生破坏，一方面由于工程建设占用土地，破坏原有地貌，损坏地表植被，土地耕作层和植被生长层被挖损、剥离或压埋，从而使施工区内裸地面积增加，降低土壤的抗蚀性，增大水土流失量，损坏了土地资源，影响农业耕作。另一方面开挖损坏的农田土层结构，即使复耕，短期内难以恢复地力，影响当地农业生产。在中山区，坡面集流将会冲毁具有水土保持功能的地埂、田坎，增加单位面积细沟和切沟数量，有进一步发育演变为冲沟的可能；（</w:t>
      </w:r>
      <w:r w:rsidRPr="00E67914">
        <w:rPr>
          <w:rFonts w:ascii="Times New Roman" w:hAnsi="Times New Roman"/>
          <w:bCs/>
          <w:sz w:val="24"/>
          <w:lang w:eastAsia="zh-CN"/>
        </w:rPr>
        <w:t>2</w:t>
      </w:r>
      <w:r w:rsidRPr="00E67914">
        <w:rPr>
          <w:rFonts w:ascii="Times New Roman" w:hAnsi="Times New Roman"/>
          <w:bCs/>
          <w:sz w:val="24"/>
          <w:lang w:eastAsia="zh-CN"/>
        </w:rPr>
        <w:t>）工程建设过程中形成的边坡若不进行防护，将可能诱发崩塌，既妨碍主体工程的运行安全，又产生大量水土流失，影响环境生态安全。</w:t>
      </w:r>
    </w:p>
    <w:p w14:paraId="5FBF2781" w14:textId="2DF9AABC" w:rsidR="00B871CD" w:rsidRPr="00E67914" w:rsidRDefault="00B871CD" w:rsidP="00B871CD">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将根据结合地形地貌及气候特征，确定了防治分区，针对工程现状，并布设了水土流失防治措施。在此基础上，还将编制项目水土保持方案，并根据水土保持方案的有关要求，在项目建设过程中按相关法律法规的要求防治水土流失，有效控制因项目建设引发的新增水土流失，不会形成大的水土流失危害，且对周边区域及造成的影响不大。</w:t>
      </w:r>
    </w:p>
    <w:p w14:paraId="3C22BD1C" w14:textId="77777777" w:rsidR="00A54A8A" w:rsidRPr="00E67914" w:rsidRDefault="00000000">
      <w:pPr>
        <w:pStyle w:val="2"/>
        <w:ind w:firstLine="480"/>
        <w:rPr>
          <w:szCs w:val="24"/>
          <w:lang w:eastAsia="zh-CN"/>
        </w:rPr>
      </w:pPr>
      <w:bookmarkStart w:id="138" w:name="5.1.5生态影响分析"/>
      <w:bookmarkStart w:id="139" w:name="_bookmark29"/>
      <w:bookmarkStart w:id="140" w:name="5.2运营期环境影响分析"/>
      <w:bookmarkStart w:id="141" w:name="_Toc148654231"/>
      <w:bookmarkEnd w:id="138"/>
      <w:bookmarkEnd w:id="139"/>
      <w:bookmarkEnd w:id="140"/>
      <w:r w:rsidRPr="00E67914">
        <w:rPr>
          <w:szCs w:val="24"/>
          <w:lang w:eastAsia="zh-CN"/>
        </w:rPr>
        <w:lastRenderedPageBreak/>
        <w:t>5.2</w:t>
      </w:r>
      <w:r w:rsidRPr="00E67914">
        <w:rPr>
          <w:szCs w:val="24"/>
          <w:lang w:eastAsia="zh-CN"/>
        </w:rPr>
        <w:t>试采期环境影响分析</w:t>
      </w:r>
      <w:bookmarkEnd w:id="141"/>
    </w:p>
    <w:p w14:paraId="1BBDA0EF" w14:textId="77777777" w:rsidR="00A54A8A" w:rsidRPr="00E67914" w:rsidRDefault="00000000">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bookmarkStart w:id="142" w:name="5.2.1地表水环境影响分析"/>
      <w:bookmarkEnd w:id="142"/>
      <w:r w:rsidRPr="00E67914">
        <w:rPr>
          <w:rFonts w:ascii="Times New Roman" w:eastAsia="黑体" w:hAnsi="Times New Roman"/>
          <w:bCs/>
          <w:kern w:val="2"/>
          <w:sz w:val="24"/>
          <w:szCs w:val="24"/>
          <w:lang w:eastAsia="zh-CN"/>
        </w:rPr>
        <w:t>5.2.1</w:t>
      </w:r>
      <w:r w:rsidRPr="00E67914">
        <w:rPr>
          <w:rFonts w:ascii="Times New Roman" w:eastAsia="黑体" w:hAnsi="Times New Roman"/>
          <w:bCs/>
          <w:kern w:val="2"/>
          <w:sz w:val="24"/>
          <w:szCs w:val="24"/>
          <w:lang w:eastAsia="zh-CN"/>
        </w:rPr>
        <w:t>试采期生态环境影响分析</w:t>
      </w:r>
    </w:p>
    <w:p w14:paraId="54D3A86C"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5.2.1.1</w:t>
      </w:r>
      <w:r w:rsidRPr="00E67914">
        <w:rPr>
          <w:rFonts w:ascii="Times New Roman" w:hAnsi="Times New Roman"/>
          <w:b/>
          <w:bCs/>
          <w:sz w:val="24"/>
          <w:szCs w:val="24"/>
          <w:lang w:eastAsia="zh-CN"/>
        </w:rPr>
        <w:t>对土地利用类型的影响</w:t>
      </w:r>
    </w:p>
    <w:p w14:paraId="56F10888" w14:textId="3AA489EB" w:rsidR="00A54A8A" w:rsidRPr="00E67914" w:rsidRDefault="00000000">
      <w:pPr>
        <w:pStyle w:val="41"/>
        <w:spacing w:line="480" w:lineRule="exact"/>
        <w:ind w:firstLineChars="200" w:firstLine="480"/>
        <w:rPr>
          <w:sz w:val="24"/>
        </w:rPr>
      </w:pPr>
      <w:r w:rsidRPr="00E67914">
        <w:rPr>
          <w:sz w:val="24"/>
        </w:rPr>
        <w:t>本项目试采期不涉及新增占地，不会直接改变土地利用方式，项目运营不会改变评价区内现有的土地利用的基本格局。</w:t>
      </w:r>
    </w:p>
    <w:p w14:paraId="77E12650"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5.2.1.2</w:t>
      </w:r>
      <w:r w:rsidRPr="00E67914">
        <w:rPr>
          <w:rFonts w:ascii="Times New Roman" w:hAnsi="Times New Roman"/>
          <w:b/>
          <w:bCs/>
          <w:sz w:val="24"/>
          <w:szCs w:val="24"/>
          <w:lang w:eastAsia="zh-CN"/>
        </w:rPr>
        <w:t>对植被及生物量的影响</w:t>
      </w:r>
    </w:p>
    <w:p w14:paraId="1387D442" w14:textId="77777777" w:rsidR="00A54A8A" w:rsidRPr="00E67914" w:rsidRDefault="00000000">
      <w:pPr>
        <w:pStyle w:val="41"/>
        <w:spacing w:line="480" w:lineRule="exact"/>
        <w:ind w:firstLineChars="200" w:firstLine="480"/>
        <w:rPr>
          <w:sz w:val="24"/>
        </w:rPr>
      </w:pPr>
      <w:r w:rsidRPr="00E67914">
        <w:rPr>
          <w:sz w:val="24"/>
        </w:rPr>
        <w:t>（</w:t>
      </w:r>
      <w:r w:rsidRPr="00E67914">
        <w:rPr>
          <w:sz w:val="24"/>
        </w:rPr>
        <w:t>1</w:t>
      </w:r>
      <w:r w:rsidRPr="00E67914">
        <w:rPr>
          <w:sz w:val="24"/>
        </w:rPr>
        <w:t>）工程占地</w:t>
      </w:r>
    </w:p>
    <w:p w14:paraId="5CE6B1EE" w14:textId="77777777" w:rsidR="00A54A8A" w:rsidRPr="00E67914" w:rsidRDefault="00000000">
      <w:pPr>
        <w:pStyle w:val="41"/>
        <w:spacing w:line="480" w:lineRule="exact"/>
        <w:ind w:firstLineChars="200" w:firstLine="480"/>
        <w:rPr>
          <w:sz w:val="24"/>
        </w:rPr>
      </w:pPr>
      <w:r w:rsidRPr="00E67914">
        <w:rPr>
          <w:sz w:val="24"/>
        </w:rPr>
        <w:t>本项目试采期不涉及新增占地，对植被及生物量无直接影响。</w:t>
      </w:r>
    </w:p>
    <w:p w14:paraId="1944DC04" w14:textId="77777777" w:rsidR="00A54A8A" w:rsidRPr="00E67914" w:rsidRDefault="00000000">
      <w:pPr>
        <w:pStyle w:val="41"/>
        <w:spacing w:line="480" w:lineRule="exact"/>
        <w:ind w:firstLineChars="200" w:firstLine="480"/>
        <w:rPr>
          <w:sz w:val="24"/>
        </w:rPr>
      </w:pPr>
      <w:r w:rsidRPr="00E67914">
        <w:rPr>
          <w:sz w:val="24"/>
        </w:rPr>
        <w:t>（</w:t>
      </w:r>
      <w:r w:rsidRPr="00E67914">
        <w:rPr>
          <w:sz w:val="24"/>
        </w:rPr>
        <w:t>2</w:t>
      </w:r>
      <w:r w:rsidRPr="00E67914">
        <w:rPr>
          <w:sz w:val="24"/>
        </w:rPr>
        <w:t>）人员活动</w:t>
      </w:r>
    </w:p>
    <w:p w14:paraId="01B95628" w14:textId="77777777" w:rsidR="00A54A8A" w:rsidRPr="00E67914" w:rsidRDefault="00000000">
      <w:pPr>
        <w:pStyle w:val="41"/>
        <w:spacing w:line="480" w:lineRule="exact"/>
        <w:ind w:firstLineChars="200" w:firstLine="480"/>
        <w:rPr>
          <w:sz w:val="24"/>
        </w:rPr>
      </w:pPr>
      <w:r w:rsidRPr="00E67914">
        <w:rPr>
          <w:sz w:val="24"/>
        </w:rPr>
        <w:t>本项目试采期为无人值守站场，同时，项目区现有土地开发利用程度较高，野生动物组成比较简单，种类较少，多为已经适应人类生产生活等环境的鸟类和小型啮齿类动物，项目试采对其影响较小。</w:t>
      </w:r>
    </w:p>
    <w:p w14:paraId="3E2AE1B2"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5.2.1.3</w:t>
      </w:r>
      <w:r w:rsidRPr="00E67914">
        <w:rPr>
          <w:rFonts w:ascii="Times New Roman" w:hAnsi="Times New Roman"/>
          <w:b/>
          <w:bCs/>
          <w:sz w:val="24"/>
          <w:szCs w:val="24"/>
          <w:lang w:eastAsia="zh-CN"/>
        </w:rPr>
        <w:t>对陆生野生动物的影响分析</w:t>
      </w:r>
    </w:p>
    <w:p w14:paraId="0E21471B" w14:textId="77777777" w:rsidR="00A54A8A" w:rsidRPr="00E67914" w:rsidRDefault="00000000">
      <w:pPr>
        <w:pStyle w:val="41"/>
        <w:spacing w:line="480" w:lineRule="exact"/>
        <w:ind w:firstLineChars="200" w:firstLine="480"/>
        <w:rPr>
          <w:sz w:val="24"/>
        </w:rPr>
      </w:pPr>
      <w:r w:rsidRPr="00E67914">
        <w:rPr>
          <w:sz w:val="24"/>
        </w:rPr>
        <w:t>本项目试采期不涉及新增占地，无人值守，但试生产期间的噪声、放空、生产废弃物可能间接对陆生野生动物产生一定影响，其生境在某种程度上会受到一定的影响，但在周边也可以找到相同或相似生境，可迁移到合适生境中生活，对其生存不会造成威胁。同时项目区现有土地开发利用程度较高，野生动物组成比较简单，种类较少，多为已经适应人类生产生活等环境的鸟类和小型啮齿类动物，项目试采期间，要加强对巡检人员教育宣传，严谨非法捕杀野生动物，将对其影响降到最低较小。</w:t>
      </w:r>
    </w:p>
    <w:p w14:paraId="2DB18E55"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5.2.1.4</w:t>
      </w:r>
      <w:r w:rsidRPr="00E67914">
        <w:rPr>
          <w:rFonts w:ascii="Times New Roman" w:hAnsi="Times New Roman"/>
          <w:b/>
          <w:bCs/>
          <w:sz w:val="24"/>
          <w:szCs w:val="24"/>
          <w:lang w:eastAsia="zh-CN"/>
        </w:rPr>
        <w:t>对重点保护野生动植物的影响</w:t>
      </w:r>
    </w:p>
    <w:p w14:paraId="0FAE1D36" w14:textId="77777777" w:rsidR="00A54A8A" w:rsidRPr="00E67914" w:rsidRDefault="00000000" w:rsidP="00DF1BA9">
      <w:pPr>
        <w:pStyle w:val="41"/>
        <w:spacing w:line="480" w:lineRule="exact"/>
        <w:ind w:firstLineChars="200" w:firstLine="480"/>
        <w:rPr>
          <w:sz w:val="24"/>
        </w:rPr>
      </w:pPr>
      <w:r w:rsidRPr="00E67914">
        <w:rPr>
          <w:sz w:val="24"/>
        </w:rPr>
        <w:t>根据实地调查，在项目评价区内未发现国家和省级重点保护野生植物。</w:t>
      </w:r>
    </w:p>
    <w:p w14:paraId="25A35B4A" w14:textId="77777777" w:rsidR="00A54A8A" w:rsidRPr="00E67914" w:rsidRDefault="00000000">
      <w:pPr>
        <w:pStyle w:val="41"/>
        <w:spacing w:line="480" w:lineRule="exact"/>
        <w:ind w:firstLineChars="200" w:firstLine="480"/>
        <w:rPr>
          <w:sz w:val="24"/>
        </w:rPr>
      </w:pPr>
      <w:r w:rsidRPr="00E67914">
        <w:rPr>
          <w:kern w:val="0"/>
          <w:sz w:val="24"/>
          <w:szCs w:val="22"/>
        </w:rPr>
        <w:t>本项目试采期不涉及新增占地，试采期间无人值守。项目区可能出现的重点保护鸟类雀鹰、画眉主要为过境取食及活动，并无栖息地。同时，雀鹰、画眉飞翔能力和自主迁徙能力较强，捕食范围很广，项目运营对其影响很小。在试采期间，要加强在巡检人员中的宣传教育，严禁捕捉野生动物</w:t>
      </w:r>
      <w:r w:rsidRPr="00E67914">
        <w:rPr>
          <w:sz w:val="24"/>
        </w:rPr>
        <w:t>。</w:t>
      </w:r>
    </w:p>
    <w:p w14:paraId="06F1E1FB" w14:textId="77777777"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5.2.1.5</w:t>
      </w:r>
      <w:r w:rsidRPr="00E67914">
        <w:rPr>
          <w:rFonts w:ascii="Times New Roman" w:hAnsi="Times New Roman"/>
          <w:b/>
          <w:bCs/>
          <w:sz w:val="24"/>
          <w:szCs w:val="24"/>
          <w:lang w:eastAsia="zh-CN"/>
        </w:rPr>
        <w:t>对景观生态和生态系统影响分析</w:t>
      </w:r>
    </w:p>
    <w:p w14:paraId="0877013A" w14:textId="77777777" w:rsidR="00A54A8A" w:rsidRPr="00E67914" w:rsidRDefault="00000000">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t>项目试采期不新增占地，森林模地根基不会动摇，景观的恢复稳定性和阻抗稳定性不会改变，生态环境不会发生质的变化，项目区及周边区域生态效能、景观风貌、环境质量、物种多样性等生态因子影响很小，不会对区域生态完整性产生影响。</w:t>
      </w:r>
    </w:p>
    <w:p w14:paraId="5876B389" w14:textId="77777777" w:rsidR="00A54A8A" w:rsidRPr="00E67914" w:rsidRDefault="00000000">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lastRenderedPageBreak/>
        <w:t>5.2.2</w:t>
      </w:r>
      <w:r w:rsidRPr="00E67914">
        <w:rPr>
          <w:rFonts w:ascii="Times New Roman" w:eastAsia="黑体" w:hAnsi="Times New Roman"/>
          <w:bCs/>
          <w:kern w:val="2"/>
          <w:sz w:val="24"/>
          <w:szCs w:val="24"/>
          <w:lang w:eastAsia="zh-CN"/>
        </w:rPr>
        <w:t>大气环境影响分析</w:t>
      </w:r>
    </w:p>
    <w:p w14:paraId="54059408" w14:textId="25656140" w:rsidR="00D46F71" w:rsidRPr="00E67914" w:rsidRDefault="00D46F71" w:rsidP="00D46F71">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t xml:space="preserve">5.2.2.1 </w:t>
      </w:r>
      <w:r w:rsidRPr="00E67914">
        <w:rPr>
          <w:rFonts w:ascii="Times New Roman" w:hAnsi="Times New Roman"/>
          <w:b/>
          <w:bCs/>
          <w:sz w:val="24"/>
          <w:szCs w:val="24"/>
          <w:lang w:eastAsia="zh-CN"/>
        </w:rPr>
        <w:t>项目主要大气污染源调查</w:t>
      </w:r>
    </w:p>
    <w:p w14:paraId="5CD261B7" w14:textId="6329AA01" w:rsidR="00A54A8A" w:rsidRPr="00E67914" w:rsidRDefault="00000000">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t>废气主要来自</w:t>
      </w:r>
      <w:r w:rsidR="00901928" w:rsidRPr="00E67914">
        <w:rPr>
          <w:rFonts w:ascii="Times New Roman" w:hAnsi="Times New Roman"/>
          <w:bCs/>
          <w:sz w:val="24"/>
          <w:lang w:eastAsia="zh-CN"/>
        </w:rPr>
        <w:t>水套加热炉燃烧废气、油罐挥发气体、凝析油装车挥发气体和火炬长明灯燃烧废气，非正常工况放空废气</w:t>
      </w:r>
      <w:r w:rsidRPr="00E67914">
        <w:rPr>
          <w:rFonts w:ascii="Times New Roman" w:hAnsi="Times New Roman"/>
          <w:bCs/>
          <w:sz w:val="24"/>
          <w:szCs w:val="24"/>
          <w:lang w:eastAsia="zh-CN"/>
        </w:rPr>
        <w:t>。</w:t>
      </w:r>
    </w:p>
    <w:p w14:paraId="702A1FDC" w14:textId="77777777" w:rsidR="00FB72AA" w:rsidRPr="00E67914" w:rsidRDefault="00FB72AA" w:rsidP="00FB72AA">
      <w:pPr>
        <w:snapToGrid w:val="0"/>
        <w:spacing w:beforeLines="50" w:before="163" w:line="360" w:lineRule="auto"/>
        <w:ind w:firstLineChars="200" w:firstLine="480"/>
        <w:jc w:val="both"/>
        <w:rPr>
          <w:rFonts w:ascii="Times New Roman" w:hAnsi="Times New Roman"/>
          <w:bCs/>
          <w:sz w:val="24"/>
          <w:szCs w:val="24"/>
          <w:lang w:eastAsia="zh-CN"/>
        </w:rPr>
        <w:sectPr w:rsidR="00FB72AA" w:rsidRPr="00E67914">
          <w:pgSz w:w="11906" w:h="16838"/>
          <w:pgMar w:top="1418" w:right="1418" w:bottom="1418" w:left="1418" w:header="851" w:footer="992" w:gutter="0"/>
          <w:cols w:space="425"/>
          <w:docGrid w:type="linesAndChars" w:linePitch="326"/>
        </w:sectPr>
      </w:pPr>
    </w:p>
    <w:p w14:paraId="422C00E8" w14:textId="6F6210DE" w:rsidR="00FB72AA" w:rsidRPr="00E67914" w:rsidRDefault="00FB72AA" w:rsidP="00FB72AA">
      <w:pPr>
        <w:pStyle w:val="0-70"/>
        <w:spacing w:before="65"/>
        <w:rPr>
          <w:rFonts w:eastAsia="黑体"/>
          <w:b w:val="0"/>
          <w:bCs/>
          <w:kern w:val="2"/>
          <w:sz w:val="21"/>
          <w:szCs w:val="28"/>
        </w:rPr>
      </w:pPr>
      <w:r w:rsidRPr="00E67914">
        <w:rPr>
          <w:rFonts w:eastAsia="黑体"/>
          <w:b w:val="0"/>
          <w:bCs/>
          <w:kern w:val="2"/>
          <w:sz w:val="21"/>
          <w:szCs w:val="28"/>
        </w:rPr>
        <w:lastRenderedPageBreak/>
        <w:t>表</w:t>
      </w:r>
      <w:r w:rsidRPr="00E67914">
        <w:rPr>
          <w:rFonts w:eastAsia="黑体"/>
          <w:b w:val="0"/>
          <w:bCs/>
          <w:kern w:val="2"/>
          <w:sz w:val="21"/>
          <w:szCs w:val="28"/>
        </w:rPr>
        <w:t>5.2-</w:t>
      </w:r>
      <w:r w:rsidR="00CB4B0C" w:rsidRPr="00E67914">
        <w:rPr>
          <w:rFonts w:eastAsia="黑体"/>
          <w:b w:val="0"/>
          <w:bCs/>
          <w:kern w:val="2"/>
          <w:sz w:val="21"/>
          <w:szCs w:val="28"/>
        </w:rPr>
        <w:t>1</w:t>
      </w:r>
      <w:r w:rsidRPr="00E67914">
        <w:rPr>
          <w:rFonts w:eastAsia="黑体"/>
          <w:b w:val="0"/>
          <w:bCs/>
          <w:kern w:val="2"/>
          <w:sz w:val="21"/>
          <w:szCs w:val="28"/>
        </w:rPr>
        <w:t xml:space="preserve">  </w:t>
      </w:r>
      <w:r w:rsidRPr="00E67914">
        <w:rPr>
          <w:rFonts w:eastAsia="黑体"/>
          <w:b w:val="0"/>
          <w:bCs/>
          <w:kern w:val="2"/>
          <w:sz w:val="21"/>
          <w:szCs w:val="28"/>
        </w:rPr>
        <w:t>项目运营后正常工况下有组织排放源强参数调查清单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7"/>
        <w:gridCol w:w="1626"/>
        <w:gridCol w:w="1008"/>
        <w:gridCol w:w="904"/>
        <w:gridCol w:w="1284"/>
        <w:gridCol w:w="540"/>
        <w:gridCol w:w="1136"/>
        <w:gridCol w:w="1458"/>
        <w:gridCol w:w="734"/>
        <w:gridCol w:w="728"/>
        <w:gridCol w:w="1108"/>
        <w:gridCol w:w="714"/>
        <w:gridCol w:w="588"/>
        <w:gridCol w:w="588"/>
        <w:gridCol w:w="588"/>
        <w:gridCol w:w="641"/>
      </w:tblGrid>
      <w:tr w:rsidR="00E67914" w:rsidRPr="00E67914" w14:paraId="26ACB5A9" w14:textId="4356E955" w:rsidTr="00D46F71">
        <w:trPr>
          <w:trHeight w:val="340"/>
          <w:jc w:val="center"/>
        </w:trPr>
        <w:tc>
          <w:tcPr>
            <w:tcW w:w="124" w:type="pct"/>
            <w:vMerge w:val="restart"/>
            <w:vAlign w:val="center"/>
            <w:hideMark/>
          </w:tcPr>
          <w:p w14:paraId="2D2B980D"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编号</w:t>
            </w:r>
          </w:p>
        </w:tc>
        <w:tc>
          <w:tcPr>
            <w:tcW w:w="581" w:type="pct"/>
            <w:vMerge w:val="restart"/>
            <w:vAlign w:val="center"/>
            <w:hideMark/>
          </w:tcPr>
          <w:p w14:paraId="7C750768"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名称</w:t>
            </w:r>
          </w:p>
        </w:tc>
        <w:tc>
          <w:tcPr>
            <w:tcW w:w="683" w:type="pct"/>
            <w:gridSpan w:val="2"/>
            <w:vAlign w:val="center"/>
            <w:hideMark/>
          </w:tcPr>
          <w:p w14:paraId="30AA1512" w14:textId="77777777" w:rsidR="000435F3" w:rsidRPr="00E67914" w:rsidRDefault="000435F3" w:rsidP="005B7AE3">
            <w:pPr>
              <w:autoSpaceDE w:val="0"/>
              <w:autoSpaceDN w:val="0"/>
              <w:adjustRightInd w:val="0"/>
              <w:jc w:val="center"/>
              <w:rPr>
                <w:rFonts w:ascii="Times New Roman" w:hAnsi="Times New Roman"/>
                <w:bCs/>
                <w:sz w:val="21"/>
                <w:szCs w:val="21"/>
                <w:lang w:eastAsia="zh-CN"/>
              </w:rPr>
            </w:pPr>
            <w:r w:rsidRPr="00E67914">
              <w:rPr>
                <w:rFonts w:ascii="Times New Roman" w:hAnsi="Times New Roman"/>
                <w:bCs/>
                <w:sz w:val="21"/>
                <w:szCs w:val="21"/>
                <w:lang w:eastAsia="zh-CN"/>
              </w:rPr>
              <w:t>排气筒底部</w:t>
            </w:r>
          </w:p>
          <w:p w14:paraId="07F729C9" w14:textId="77777777" w:rsidR="000435F3" w:rsidRPr="00E67914" w:rsidRDefault="000435F3" w:rsidP="005B7AE3">
            <w:pPr>
              <w:autoSpaceDE w:val="0"/>
              <w:autoSpaceDN w:val="0"/>
              <w:adjustRightInd w:val="0"/>
              <w:jc w:val="center"/>
              <w:rPr>
                <w:rFonts w:ascii="Times New Roman" w:hAnsi="Times New Roman"/>
                <w:bCs/>
                <w:sz w:val="21"/>
                <w:szCs w:val="21"/>
                <w:lang w:eastAsia="zh-CN"/>
              </w:rPr>
            </w:pPr>
            <w:r w:rsidRPr="00E67914">
              <w:rPr>
                <w:rFonts w:ascii="Times New Roman" w:hAnsi="Times New Roman"/>
                <w:bCs/>
                <w:sz w:val="21"/>
                <w:szCs w:val="21"/>
                <w:lang w:eastAsia="zh-CN"/>
              </w:rPr>
              <w:t>中心坐标（度）</w:t>
            </w:r>
          </w:p>
        </w:tc>
        <w:tc>
          <w:tcPr>
            <w:tcW w:w="459" w:type="pct"/>
            <w:vMerge w:val="restart"/>
            <w:vAlign w:val="center"/>
            <w:hideMark/>
          </w:tcPr>
          <w:p w14:paraId="300ABA1E"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排气筒</w:t>
            </w:r>
          </w:p>
          <w:p w14:paraId="2692F049"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底部海拔高度</w:t>
            </w:r>
            <w:r w:rsidRPr="00E67914">
              <w:rPr>
                <w:rFonts w:ascii="Times New Roman" w:hAnsi="Times New Roman"/>
                <w:bCs/>
                <w:sz w:val="21"/>
                <w:szCs w:val="21"/>
              </w:rPr>
              <w:t>/m</w:t>
            </w:r>
          </w:p>
        </w:tc>
        <w:tc>
          <w:tcPr>
            <w:tcW w:w="193" w:type="pct"/>
            <w:vMerge w:val="restart"/>
            <w:vAlign w:val="center"/>
            <w:hideMark/>
          </w:tcPr>
          <w:p w14:paraId="6E18DCC2"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排气筒</w:t>
            </w:r>
          </w:p>
          <w:p w14:paraId="4ADA002D"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高度</w:t>
            </w:r>
            <w:r w:rsidRPr="00E67914">
              <w:rPr>
                <w:rFonts w:ascii="Times New Roman" w:hAnsi="Times New Roman"/>
                <w:bCs/>
                <w:sz w:val="21"/>
                <w:szCs w:val="21"/>
              </w:rPr>
              <w:t>/m</w:t>
            </w:r>
          </w:p>
        </w:tc>
        <w:tc>
          <w:tcPr>
            <w:tcW w:w="406" w:type="pct"/>
            <w:vMerge w:val="restart"/>
            <w:vAlign w:val="center"/>
          </w:tcPr>
          <w:p w14:paraId="2845A85F"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风量（</w:t>
            </w:r>
            <w:r w:rsidRPr="00E67914">
              <w:rPr>
                <w:rFonts w:ascii="Times New Roman" w:hAnsi="Times New Roman"/>
                <w:bCs/>
                <w:sz w:val="21"/>
                <w:szCs w:val="21"/>
              </w:rPr>
              <w:t>m</w:t>
            </w:r>
            <w:r w:rsidRPr="00E67914">
              <w:rPr>
                <w:rFonts w:ascii="Times New Roman" w:hAnsi="Times New Roman"/>
                <w:bCs/>
                <w:sz w:val="21"/>
                <w:szCs w:val="21"/>
                <w:vertAlign w:val="superscript"/>
              </w:rPr>
              <w:t>3</w:t>
            </w:r>
            <w:r w:rsidRPr="00E67914">
              <w:rPr>
                <w:rFonts w:ascii="Times New Roman" w:hAnsi="Times New Roman"/>
                <w:bCs/>
                <w:sz w:val="21"/>
                <w:szCs w:val="21"/>
              </w:rPr>
              <w:t>/h</w:t>
            </w:r>
            <w:r w:rsidRPr="00E67914">
              <w:rPr>
                <w:rFonts w:ascii="Times New Roman" w:hAnsi="Times New Roman"/>
                <w:bCs/>
                <w:sz w:val="21"/>
                <w:szCs w:val="21"/>
              </w:rPr>
              <w:t>）</w:t>
            </w:r>
          </w:p>
        </w:tc>
        <w:tc>
          <w:tcPr>
            <w:tcW w:w="521" w:type="pct"/>
            <w:vMerge w:val="restart"/>
            <w:vAlign w:val="center"/>
            <w:hideMark/>
          </w:tcPr>
          <w:p w14:paraId="13591F2E"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排气筒出口内径</w:t>
            </w:r>
            <w:r w:rsidRPr="00E67914">
              <w:rPr>
                <w:rFonts w:ascii="Times New Roman" w:hAnsi="Times New Roman"/>
                <w:bCs/>
                <w:sz w:val="21"/>
                <w:szCs w:val="21"/>
              </w:rPr>
              <w:t>/m</w:t>
            </w:r>
          </w:p>
        </w:tc>
        <w:tc>
          <w:tcPr>
            <w:tcW w:w="262" w:type="pct"/>
            <w:vMerge w:val="restart"/>
            <w:vAlign w:val="center"/>
            <w:hideMark/>
          </w:tcPr>
          <w:p w14:paraId="5D0DD2F1"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烟气</w:t>
            </w:r>
          </w:p>
          <w:p w14:paraId="76626055"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流速</w:t>
            </w:r>
          </w:p>
          <w:p w14:paraId="37169597"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w:t>
            </w:r>
            <w:r w:rsidRPr="00E67914">
              <w:rPr>
                <w:rFonts w:ascii="Times New Roman" w:hAnsi="Times New Roman"/>
                <w:bCs/>
                <w:sz w:val="21"/>
                <w:szCs w:val="21"/>
              </w:rPr>
              <w:t>m/s</w:t>
            </w:r>
            <w:r w:rsidRPr="00E67914">
              <w:rPr>
                <w:rFonts w:ascii="Times New Roman" w:hAnsi="Times New Roman"/>
                <w:bCs/>
                <w:sz w:val="21"/>
                <w:szCs w:val="21"/>
              </w:rPr>
              <w:t>）</w:t>
            </w:r>
          </w:p>
        </w:tc>
        <w:tc>
          <w:tcPr>
            <w:tcW w:w="260" w:type="pct"/>
            <w:vMerge w:val="restart"/>
            <w:vAlign w:val="center"/>
            <w:hideMark/>
          </w:tcPr>
          <w:p w14:paraId="78758D4E"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烟气</w:t>
            </w:r>
          </w:p>
          <w:p w14:paraId="50BAE62A"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温度</w:t>
            </w:r>
          </w:p>
          <w:p w14:paraId="2D1CCAC7"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w:t>
            </w:r>
          </w:p>
        </w:tc>
        <w:tc>
          <w:tcPr>
            <w:tcW w:w="396" w:type="pct"/>
            <w:vMerge w:val="restart"/>
            <w:vAlign w:val="center"/>
            <w:hideMark/>
          </w:tcPr>
          <w:p w14:paraId="449BEEE3"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年排放小时数</w:t>
            </w:r>
          </w:p>
          <w:p w14:paraId="2D2855F4"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/h</w:t>
            </w:r>
          </w:p>
        </w:tc>
        <w:tc>
          <w:tcPr>
            <w:tcW w:w="255" w:type="pct"/>
            <w:vMerge w:val="restart"/>
            <w:vAlign w:val="center"/>
            <w:hideMark/>
          </w:tcPr>
          <w:p w14:paraId="7F764329"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排放工况</w:t>
            </w:r>
          </w:p>
        </w:tc>
        <w:tc>
          <w:tcPr>
            <w:tcW w:w="859" w:type="pct"/>
            <w:gridSpan w:val="4"/>
            <w:vAlign w:val="center"/>
          </w:tcPr>
          <w:p w14:paraId="78424A8D" w14:textId="3257D896"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污染物排放速率</w:t>
            </w:r>
            <w:r w:rsidRPr="00E67914">
              <w:rPr>
                <w:rFonts w:ascii="Times New Roman" w:hAnsi="Times New Roman"/>
                <w:bCs/>
                <w:sz w:val="21"/>
                <w:szCs w:val="21"/>
              </w:rPr>
              <w:t>/</w:t>
            </w:r>
            <w:r w:rsidRPr="00E67914">
              <w:rPr>
                <w:rFonts w:ascii="Times New Roman" w:hAnsi="Times New Roman"/>
                <w:bCs/>
                <w:sz w:val="21"/>
                <w:szCs w:val="21"/>
              </w:rPr>
              <w:t>（</w:t>
            </w:r>
            <w:r w:rsidRPr="00E67914">
              <w:rPr>
                <w:rFonts w:ascii="Times New Roman" w:hAnsi="Times New Roman"/>
                <w:bCs/>
                <w:sz w:val="21"/>
                <w:szCs w:val="21"/>
              </w:rPr>
              <w:t>t/a</w:t>
            </w:r>
            <w:r w:rsidRPr="00E67914">
              <w:rPr>
                <w:rFonts w:ascii="Times New Roman" w:hAnsi="Times New Roman"/>
                <w:bCs/>
                <w:sz w:val="21"/>
                <w:szCs w:val="21"/>
              </w:rPr>
              <w:t>）</w:t>
            </w:r>
          </w:p>
        </w:tc>
      </w:tr>
      <w:tr w:rsidR="00E67914" w:rsidRPr="00E67914" w14:paraId="12D4BCEA" w14:textId="2232F9E9" w:rsidTr="00D46F71">
        <w:trPr>
          <w:trHeight w:val="340"/>
          <w:jc w:val="center"/>
        </w:trPr>
        <w:tc>
          <w:tcPr>
            <w:tcW w:w="124" w:type="pct"/>
            <w:vMerge/>
            <w:vAlign w:val="center"/>
            <w:hideMark/>
          </w:tcPr>
          <w:p w14:paraId="4AC1E671"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581" w:type="pct"/>
            <w:vMerge/>
            <w:vAlign w:val="center"/>
            <w:hideMark/>
          </w:tcPr>
          <w:p w14:paraId="0BB252EC"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360" w:type="pct"/>
            <w:vAlign w:val="center"/>
            <w:hideMark/>
          </w:tcPr>
          <w:p w14:paraId="5323E15A"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X</w:t>
            </w:r>
          </w:p>
        </w:tc>
        <w:tc>
          <w:tcPr>
            <w:tcW w:w="323" w:type="pct"/>
            <w:vAlign w:val="center"/>
            <w:hideMark/>
          </w:tcPr>
          <w:p w14:paraId="22892DB0"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Y</w:t>
            </w:r>
          </w:p>
        </w:tc>
        <w:tc>
          <w:tcPr>
            <w:tcW w:w="459" w:type="pct"/>
            <w:vMerge/>
            <w:vAlign w:val="center"/>
            <w:hideMark/>
          </w:tcPr>
          <w:p w14:paraId="03AA7350"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193" w:type="pct"/>
            <w:vMerge/>
            <w:vAlign w:val="center"/>
            <w:hideMark/>
          </w:tcPr>
          <w:p w14:paraId="3D166448"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406" w:type="pct"/>
            <w:vMerge/>
            <w:vAlign w:val="center"/>
          </w:tcPr>
          <w:p w14:paraId="1F11FC0B"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521" w:type="pct"/>
            <w:vMerge/>
            <w:vAlign w:val="center"/>
            <w:hideMark/>
          </w:tcPr>
          <w:p w14:paraId="0FFEFC54"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262" w:type="pct"/>
            <w:vMerge/>
            <w:vAlign w:val="center"/>
            <w:hideMark/>
          </w:tcPr>
          <w:p w14:paraId="4422DD2F"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260" w:type="pct"/>
            <w:vMerge/>
            <w:vAlign w:val="center"/>
            <w:hideMark/>
          </w:tcPr>
          <w:p w14:paraId="088C3689"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396" w:type="pct"/>
            <w:vMerge/>
            <w:vAlign w:val="center"/>
            <w:hideMark/>
          </w:tcPr>
          <w:p w14:paraId="0614CCD0"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255" w:type="pct"/>
            <w:vMerge/>
            <w:vAlign w:val="center"/>
            <w:hideMark/>
          </w:tcPr>
          <w:p w14:paraId="6701ED06" w14:textId="77777777" w:rsidR="000435F3" w:rsidRPr="00E67914" w:rsidRDefault="000435F3" w:rsidP="005B7AE3">
            <w:pPr>
              <w:autoSpaceDE w:val="0"/>
              <w:autoSpaceDN w:val="0"/>
              <w:adjustRightInd w:val="0"/>
              <w:jc w:val="center"/>
              <w:rPr>
                <w:rFonts w:ascii="Times New Roman" w:hAnsi="Times New Roman"/>
                <w:bCs/>
                <w:sz w:val="21"/>
                <w:szCs w:val="21"/>
              </w:rPr>
            </w:pPr>
          </w:p>
        </w:tc>
        <w:tc>
          <w:tcPr>
            <w:tcW w:w="210" w:type="pct"/>
            <w:vAlign w:val="center"/>
          </w:tcPr>
          <w:p w14:paraId="4FEEF87D" w14:textId="2DB2403D"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NO</w:t>
            </w:r>
            <w:r w:rsidRPr="00E67914">
              <w:rPr>
                <w:rFonts w:ascii="Times New Roman" w:hAnsi="Times New Roman"/>
                <w:bCs/>
                <w:sz w:val="21"/>
                <w:szCs w:val="21"/>
                <w:vertAlign w:val="subscript"/>
              </w:rPr>
              <w:t>X</w:t>
            </w:r>
          </w:p>
        </w:tc>
        <w:tc>
          <w:tcPr>
            <w:tcW w:w="210" w:type="pct"/>
            <w:vAlign w:val="center"/>
          </w:tcPr>
          <w:p w14:paraId="5DD65CE0" w14:textId="0668FD81" w:rsidR="000435F3" w:rsidRPr="00E67914" w:rsidRDefault="000435F3" w:rsidP="000435F3">
            <w:pPr>
              <w:jc w:val="center"/>
              <w:rPr>
                <w:rFonts w:ascii="Times New Roman" w:hAnsi="Times New Roman"/>
                <w:bCs/>
                <w:sz w:val="21"/>
                <w:szCs w:val="21"/>
              </w:rPr>
            </w:pPr>
            <w:r w:rsidRPr="00E67914">
              <w:rPr>
                <w:rFonts w:ascii="Times New Roman" w:hAnsi="Times New Roman"/>
                <w:bCs/>
                <w:sz w:val="21"/>
                <w:szCs w:val="21"/>
              </w:rPr>
              <w:t>颗粒物</w:t>
            </w:r>
          </w:p>
        </w:tc>
        <w:tc>
          <w:tcPr>
            <w:tcW w:w="210" w:type="pct"/>
            <w:vAlign w:val="center"/>
          </w:tcPr>
          <w:p w14:paraId="61099FBF" w14:textId="2AC2BB46" w:rsidR="000435F3" w:rsidRPr="00E67914" w:rsidRDefault="000435F3" w:rsidP="000435F3">
            <w:pPr>
              <w:jc w:val="center"/>
              <w:rPr>
                <w:rFonts w:ascii="Times New Roman" w:hAnsi="Times New Roman"/>
                <w:bCs/>
                <w:sz w:val="21"/>
                <w:szCs w:val="21"/>
              </w:rPr>
            </w:pPr>
            <w:r w:rsidRPr="00E67914">
              <w:rPr>
                <w:rFonts w:ascii="Times New Roman" w:hAnsi="Times New Roman"/>
                <w:bCs/>
                <w:sz w:val="21"/>
                <w:szCs w:val="21"/>
              </w:rPr>
              <w:t>SO</w:t>
            </w:r>
            <w:r w:rsidRPr="00E67914">
              <w:rPr>
                <w:rFonts w:ascii="Times New Roman" w:hAnsi="Times New Roman"/>
                <w:bCs/>
                <w:sz w:val="21"/>
                <w:szCs w:val="21"/>
                <w:vertAlign w:val="subscript"/>
              </w:rPr>
              <w:t>2</w:t>
            </w:r>
          </w:p>
        </w:tc>
        <w:tc>
          <w:tcPr>
            <w:tcW w:w="229" w:type="pct"/>
            <w:vAlign w:val="center"/>
          </w:tcPr>
          <w:p w14:paraId="18AA2EB2" w14:textId="015DB1C2" w:rsidR="000435F3" w:rsidRPr="00E67914" w:rsidRDefault="000435F3" w:rsidP="000435F3">
            <w:pPr>
              <w:jc w:val="center"/>
              <w:rPr>
                <w:rFonts w:ascii="Times New Roman" w:hAnsi="Times New Roman"/>
                <w:bCs/>
                <w:sz w:val="21"/>
                <w:szCs w:val="21"/>
              </w:rPr>
            </w:pPr>
            <w:r w:rsidRPr="00E67914">
              <w:rPr>
                <w:rFonts w:ascii="Times New Roman" w:hAnsi="Times New Roman"/>
                <w:bCs/>
                <w:sz w:val="21"/>
                <w:szCs w:val="21"/>
              </w:rPr>
              <w:t>NMHC</w:t>
            </w:r>
          </w:p>
        </w:tc>
      </w:tr>
      <w:tr w:rsidR="00E67914" w:rsidRPr="00E67914" w14:paraId="19FE0896" w14:textId="53CE2E57" w:rsidTr="00D46F71">
        <w:trPr>
          <w:trHeight w:val="340"/>
          <w:jc w:val="center"/>
        </w:trPr>
        <w:tc>
          <w:tcPr>
            <w:tcW w:w="124" w:type="pct"/>
            <w:vAlign w:val="center"/>
          </w:tcPr>
          <w:p w14:paraId="76A5D5C1" w14:textId="77777777" w:rsidR="000435F3" w:rsidRPr="00E67914" w:rsidRDefault="000435F3"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1</w:t>
            </w:r>
          </w:p>
        </w:tc>
        <w:tc>
          <w:tcPr>
            <w:tcW w:w="581" w:type="pct"/>
            <w:vAlign w:val="center"/>
          </w:tcPr>
          <w:p w14:paraId="53064F56" w14:textId="64B1715F"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水套加热炉燃烧废气</w:t>
            </w:r>
          </w:p>
        </w:tc>
        <w:tc>
          <w:tcPr>
            <w:tcW w:w="360" w:type="pct"/>
            <w:vAlign w:val="center"/>
          </w:tcPr>
          <w:p w14:paraId="341E8AC2" w14:textId="35AA7818" w:rsidR="000435F3" w:rsidRPr="00E67914" w:rsidRDefault="00D46F71" w:rsidP="005B7AE3">
            <w:pPr>
              <w:jc w:val="center"/>
              <w:rPr>
                <w:rFonts w:ascii="Times New Roman" w:hAnsi="Times New Roman"/>
                <w:bCs/>
                <w:sz w:val="21"/>
                <w:szCs w:val="21"/>
              </w:rPr>
            </w:pPr>
            <w:r w:rsidRPr="00E67914">
              <w:rPr>
                <w:rFonts w:ascii="Times New Roman" w:hAnsi="Times New Roman"/>
                <w:bCs/>
                <w:sz w:val="21"/>
                <w:szCs w:val="21"/>
              </w:rPr>
              <w:t>107.762227</w:t>
            </w:r>
          </w:p>
        </w:tc>
        <w:tc>
          <w:tcPr>
            <w:tcW w:w="323" w:type="pct"/>
            <w:vAlign w:val="center"/>
          </w:tcPr>
          <w:p w14:paraId="12BDF944" w14:textId="41849533" w:rsidR="000435F3" w:rsidRPr="00E67914" w:rsidRDefault="00D46F71" w:rsidP="005B7AE3">
            <w:pPr>
              <w:jc w:val="center"/>
              <w:rPr>
                <w:rFonts w:ascii="Times New Roman" w:hAnsi="Times New Roman"/>
                <w:bCs/>
                <w:sz w:val="21"/>
                <w:szCs w:val="21"/>
              </w:rPr>
            </w:pPr>
            <w:r w:rsidRPr="00E67914">
              <w:rPr>
                <w:rFonts w:ascii="Times New Roman" w:hAnsi="Times New Roman"/>
                <w:bCs/>
                <w:sz w:val="21"/>
                <w:szCs w:val="21"/>
              </w:rPr>
              <w:t>31.518978</w:t>
            </w:r>
          </w:p>
        </w:tc>
        <w:tc>
          <w:tcPr>
            <w:tcW w:w="459" w:type="pct"/>
            <w:vAlign w:val="center"/>
          </w:tcPr>
          <w:p w14:paraId="1D104F71" w14:textId="520D116B" w:rsidR="000435F3" w:rsidRPr="00E67914" w:rsidRDefault="00D46F71" w:rsidP="005B7AE3">
            <w:pPr>
              <w:jc w:val="center"/>
              <w:rPr>
                <w:rFonts w:ascii="Times New Roman" w:hAnsi="Times New Roman"/>
                <w:bCs/>
                <w:sz w:val="21"/>
                <w:szCs w:val="21"/>
              </w:rPr>
            </w:pPr>
            <w:r w:rsidRPr="00E67914">
              <w:rPr>
                <w:rFonts w:ascii="Times New Roman" w:hAnsi="Times New Roman"/>
                <w:bCs/>
                <w:sz w:val="21"/>
                <w:szCs w:val="21"/>
              </w:rPr>
              <w:t>6</w:t>
            </w:r>
            <w:r w:rsidR="0056543D" w:rsidRPr="00E67914">
              <w:rPr>
                <w:rFonts w:ascii="Times New Roman" w:hAnsi="Times New Roman"/>
                <w:bCs/>
                <w:sz w:val="21"/>
                <w:szCs w:val="21"/>
              </w:rPr>
              <w:t>7</w:t>
            </w:r>
            <w:r w:rsidRPr="00E67914">
              <w:rPr>
                <w:rFonts w:ascii="Times New Roman" w:hAnsi="Times New Roman"/>
                <w:bCs/>
                <w:sz w:val="21"/>
                <w:szCs w:val="21"/>
              </w:rPr>
              <w:t>3</w:t>
            </w:r>
          </w:p>
        </w:tc>
        <w:tc>
          <w:tcPr>
            <w:tcW w:w="193" w:type="pct"/>
            <w:vAlign w:val="center"/>
          </w:tcPr>
          <w:p w14:paraId="15C45C33" w14:textId="099EC830" w:rsidR="000435F3" w:rsidRPr="00E67914" w:rsidRDefault="000435F3" w:rsidP="005B7AE3">
            <w:pPr>
              <w:adjustRightInd w:val="0"/>
              <w:snapToGrid w:val="0"/>
              <w:jc w:val="center"/>
              <w:rPr>
                <w:rFonts w:ascii="Times New Roman" w:hAnsi="Times New Roman"/>
                <w:bCs/>
                <w:sz w:val="21"/>
                <w:szCs w:val="21"/>
              </w:rPr>
            </w:pPr>
            <w:r w:rsidRPr="00E67914">
              <w:rPr>
                <w:rFonts w:ascii="Times New Roman" w:hAnsi="Times New Roman"/>
                <w:bCs/>
                <w:sz w:val="21"/>
                <w:szCs w:val="21"/>
              </w:rPr>
              <w:t>8</w:t>
            </w:r>
          </w:p>
        </w:tc>
        <w:tc>
          <w:tcPr>
            <w:tcW w:w="406" w:type="pct"/>
            <w:vAlign w:val="center"/>
          </w:tcPr>
          <w:p w14:paraId="2911C235" w14:textId="009D1B4E" w:rsidR="000435F3" w:rsidRPr="00E67914" w:rsidRDefault="000435F3" w:rsidP="005B7AE3">
            <w:pPr>
              <w:adjustRightInd w:val="0"/>
              <w:snapToGrid w:val="0"/>
              <w:jc w:val="center"/>
              <w:rPr>
                <w:rFonts w:ascii="Times New Roman" w:hAnsi="Times New Roman"/>
                <w:bCs/>
                <w:sz w:val="21"/>
                <w:szCs w:val="21"/>
              </w:rPr>
            </w:pPr>
            <w:r w:rsidRPr="00E67914">
              <w:rPr>
                <w:rFonts w:ascii="Times New Roman" w:hAnsi="Times New Roman"/>
                <w:bCs/>
                <w:sz w:val="21"/>
                <w:szCs w:val="21"/>
              </w:rPr>
              <w:t>159.8</w:t>
            </w:r>
          </w:p>
        </w:tc>
        <w:tc>
          <w:tcPr>
            <w:tcW w:w="521" w:type="pct"/>
            <w:vAlign w:val="center"/>
          </w:tcPr>
          <w:p w14:paraId="29542F24" w14:textId="77777777" w:rsidR="000435F3" w:rsidRPr="00E67914" w:rsidRDefault="000435F3" w:rsidP="005B7AE3">
            <w:pPr>
              <w:adjustRightInd w:val="0"/>
              <w:snapToGrid w:val="0"/>
              <w:jc w:val="center"/>
              <w:rPr>
                <w:rFonts w:ascii="Times New Roman" w:hAnsi="Times New Roman"/>
                <w:bCs/>
                <w:sz w:val="21"/>
                <w:szCs w:val="21"/>
              </w:rPr>
            </w:pPr>
            <w:r w:rsidRPr="00E67914">
              <w:rPr>
                <w:rFonts w:ascii="Times New Roman" w:hAnsi="Times New Roman"/>
                <w:bCs/>
                <w:sz w:val="21"/>
                <w:szCs w:val="21"/>
              </w:rPr>
              <w:t>0.2</w:t>
            </w:r>
          </w:p>
        </w:tc>
        <w:tc>
          <w:tcPr>
            <w:tcW w:w="262" w:type="pct"/>
            <w:vAlign w:val="center"/>
          </w:tcPr>
          <w:p w14:paraId="1DA14149" w14:textId="73B0F422" w:rsidR="000435F3" w:rsidRPr="00E67914" w:rsidRDefault="000435F3" w:rsidP="005B7AE3">
            <w:pPr>
              <w:jc w:val="center"/>
              <w:rPr>
                <w:rFonts w:ascii="Times New Roman" w:hAnsi="Times New Roman"/>
                <w:bCs/>
                <w:sz w:val="21"/>
                <w:szCs w:val="21"/>
              </w:rPr>
            </w:pPr>
            <w:r w:rsidRPr="00E67914">
              <w:rPr>
                <w:rFonts w:ascii="Times New Roman" w:hAnsi="Times New Roman"/>
                <w:bCs/>
                <w:sz w:val="21"/>
                <w:szCs w:val="21"/>
              </w:rPr>
              <w:t>1.55</w:t>
            </w:r>
          </w:p>
        </w:tc>
        <w:tc>
          <w:tcPr>
            <w:tcW w:w="260" w:type="pct"/>
            <w:vAlign w:val="center"/>
          </w:tcPr>
          <w:p w14:paraId="4E5252C1" w14:textId="374CC414"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c>
          <w:tcPr>
            <w:tcW w:w="396" w:type="pct"/>
            <w:vAlign w:val="center"/>
          </w:tcPr>
          <w:p w14:paraId="473D89A9" w14:textId="457180A4" w:rsidR="000435F3" w:rsidRPr="00E67914" w:rsidRDefault="000435F3" w:rsidP="005B7AE3">
            <w:pPr>
              <w:jc w:val="center"/>
              <w:rPr>
                <w:rFonts w:ascii="Times New Roman" w:hAnsi="Times New Roman"/>
                <w:bCs/>
                <w:sz w:val="21"/>
                <w:szCs w:val="21"/>
              </w:rPr>
            </w:pPr>
            <w:r w:rsidRPr="00E67914">
              <w:rPr>
                <w:rFonts w:ascii="Times New Roman" w:hAnsi="Times New Roman"/>
                <w:bCs/>
                <w:sz w:val="21"/>
                <w:szCs w:val="21"/>
              </w:rPr>
              <w:t>8760</w:t>
            </w:r>
          </w:p>
        </w:tc>
        <w:tc>
          <w:tcPr>
            <w:tcW w:w="255" w:type="pct"/>
            <w:vAlign w:val="center"/>
          </w:tcPr>
          <w:p w14:paraId="1ED6E02E" w14:textId="77777777" w:rsidR="000435F3" w:rsidRPr="00E67914" w:rsidRDefault="000435F3" w:rsidP="005B7AE3">
            <w:pPr>
              <w:adjustRightInd w:val="0"/>
              <w:snapToGrid w:val="0"/>
              <w:jc w:val="center"/>
              <w:rPr>
                <w:rFonts w:ascii="Times New Roman" w:hAnsi="Times New Roman"/>
                <w:bCs/>
                <w:sz w:val="21"/>
                <w:szCs w:val="21"/>
              </w:rPr>
            </w:pPr>
            <w:r w:rsidRPr="00E67914">
              <w:rPr>
                <w:rFonts w:ascii="Times New Roman" w:hAnsi="Times New Roman"/>
                <w:bCs/>
                <w:sz w:val="21"/>
                <w:szCs w:val="21"/>
              </w:rPr>
              <w:t>正常</w:t>
            </w:r>
          </w:p>
        </w:tc>
        <w:tc>
          <w:tcPr>
            <w:tcW w:w="210" w:type="pct"/>
            <w:vAlign w:val="center"/>
          </w:tcPr>
          <w:p w14:paraId="3462F8A3" w14:textId="1AE77651"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0.085</w:t>
            </w:r>
          </w:p>
        </w:tc>
        <w:tc>
          <w:tcPr>
            <w:tcW w:w="210" w:type="pct"/>
            <w:vAlign w:val="center"/>
          </w:tcPr>
          <w:p w14:paraId="3A3B55E8" w14:textId="51A6ED49"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0.013</w:t>
            </w:r>
          </w:p>
        </w:tc>
        <w:tc>
          <w:tcPr>
            <w:tcW w:w="210" w:type="pct"/>
            <w:vAlign w:val="center"/>
          </w:tcPr>
          <w:p w14:paraId="11E43701" w14:textId="7E9882B7"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0.018</w:t>
            </w:r>
          </w:p>
        </w:tc>
        <w:tc>
          <w:tcPr>
            <w:tcW w:w="229" w:type="pct"/>
            <w:vAlign w:val="center"/>
          </w:tcPr>
          <w:p w14:paraId="27D4AAFB" w14:textId="404E335D" w:rsidR="000435F3" w:rsidRPr="00E67914" w:rsidRDefault="000435F3" w:rsidP="005B7AE3">
            <w:pPr>
              <w:jc w:val="center"/>
              <w:rPr>
                <w:rFonts w:ascii="Times New Roman" w:hAnsi="Times New Roman"/>
                <w:bCs/>
                <w:sz w:val="21"/>
                <w:szCs w:val="21"/>
              </w:rPr>
            </w:pPr>
            <w:r w:rsidRPr="00E67914">
              <w:rPr>
                <w:rFonts w:ascii="Times New Roman" w:hAnsi="Times New Roman"/>
                <w:bCs/>
                <w:sz w:val="21"/>
                <w:szCs w:val="21"/>
                <w:lang w:eastAsia="zh-CN"/>
              </w:rPr>
              <w:t>/</w:t>
            </w:r>
          </w:p>
        </w:tc>
      </w:tr>
      <w:tr w:rsidR="00E67914" w:rsidRPr="00E67914" w14:paraId="12D8DBBA" w14:textId="24B01DD3" w:rsidTr="00D46F71">
        <w:trPr>
          <w:trHeight w:val="340"/>
          <w:jc w:val="center"/>
        </w:trPr>
        <w:tc>
          <w:tcPr>
            <w:tcW w:w="124" w:type="pct"/>
            <w:vAlign w:val="center"/>
          </w:tcPr>
          <w:p w14:paraId="62646DD0" w14:textId="3A01DD50" w:rsidR="000435F3" w:rsidRPr="00E67914" w:rsidRDefault="000435F3" w:rsidP="005B7AE3">
            <w:pPr>
              <w:autoSpaceDE w:val="0"/>
              <w:autoSpaceDN w:val="0"/>
              <w:adjustRightInd w:val="0"/>
              <w:jc w:val="center"/>
              <w:rPr>
                <w:rFonts w:ascii="Times New Roman" w:hAnsi="Times New Roman"/>
                <w:bCs/>
                <w:sz w:val="21"/>
                <w:szCs w:val="21"/>
                <w:lang w:eastAsia="zh-CN"/>
              </w:rPr>
            </w:pPr>
            <w:r w:rsidRPr="00E67914">
              <w:rPr>
                <w:rFonts w:ascii="Times New Roman" w:hAnsi="Times New Roman"/>
                <w:bCs/>
                <w:sz w:val="21"/>
                <w:szCs w:val="21"/>
                <w:lang w:eastAsia="zh-CN"/>
              </w:rPr>
              <w:t>2</w:t>
            </w:r>
          </w:p>
        </w:tc>
        <w:tc>
          <w:tcPr>
            <w:tcW w:w="581" w:type="pct"/>
            <w:vAlign w:val="center"/>
          </w:tcPr>
          <w:p w14:paraId="41D5A273" w14:textId="2E57D217"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火炬长明灯燃烧废气</w:t>
            </w:r>
          </w:p>
        </w:tc>
        <w:tc>
          <w:tcPr>
            <w:tcW w:w="360" w:type="pct"/>
            <w:vAlign w:val="center"/>
          </w:tcPr>
          <w:p w14:paraId="3BC5E01B" w14:textId="65D7CDDD" w:rsidR="000435F3" w:rsidRPr="00E67914" w:rsidRDefault="00D46F71" w:rsidP="005B7AE3">
            <w:pPr>
              <w:jc w:val="center"/>
              <w:rPr>
                <w:rFonts w:ascii="Times New Roman" w:hAnsi="Times New Roman"/>
                <w:bCs/>
                <w:sz w:val="21"/>
                <w:szCs w:val="21"/>
              </w:rPr>
            </w:pPr>
            <w:r w:rsidRPr="00E67914">
              <w:rPr>
                <w:rFonts w:ascii="Times New Roman" w:hAnsi="Times New Roman"/>
                <w:bCs/>
                <w:sz w:val="21"/>
                <w:szCs w:val="21"/>
              </w:rPr>
              <w:t>107.761958</w:t>
            </w:r>
          </w:p>
        </w:tc>
        <w:tc>
          <w:tcPr>
            <w:tcW w:w="323" w:type="pct"/>
            <w:vAlign w:val="center"/>
          </w:tcPr>
          <w:p w14:paraId="31334CD8" w14:textId="0C51B6CB" w:rsidR="000435F3" w:rsidRPr="00E67914" w:rsidRDefault="00D46F71" w:rsidP="005B7AE3">
            <w:pPr>
              <w:jc w:val="center"/>
              <w:rPr>
                <w:rFonts w:ascii="Times New Roman" w:hAnsi="Times New Roman"/>
                <w:bCs/>
                <w:sz w:val="21"/>
                <w:szCs w:val="21"/>
              </w:rPr>
            </w:pPr>
            <w:r w:rsidRPr="00E67914">
              <w:rPr>
                <w:rFonts w:ascii="Times New Roman" w:hAnsi="Times New Roman"/>
                <w:bCs/>
                <w:sz w:val="21"/>
                <w:szCs w:val="21"/>
              </w:rPr>
              <w:t>31.518860</w:t>
            </w:r>
          </w:p>
        </w:tc>
        <w:tc>
          <w:tcPr>
            <w:tcW w:w="459" w:type="pct"/>
            <w:vAlign w:val="center"/>
          </w:tcPr>
          <w:p w14:paraId="1817B690" w14:textId="3CD9EECD" w:rsidR="000435F3" w:rsidRPr="00E67914" w:rsidRDefault="00D46F71"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6</w:t>
            </w:r>
            <w:r w:rsidR="0056543D" w:rsidRPr="00E67914">
              <w:rPr>
                <w:rFonts w:ascii="Times New Roman" w:hAnsi="Times New Roman"/>
                <w:bCs/>
                <w:sz w:val="21"/>
                <w:szCs w:val="21"/>
                <w:lang w:eastAsia="zh-CN"/>
              </w:rPr>
              <w:t>7</w:t>
            </w:r>
            <w:r w:rsidR="00383E67" w:rsidRPr="00E67914">
              <w:rPr>
                <w:rFonts w:ascii="Times New Roman" w:hAnsi="Times New Roman"/>
                <w:bCs/>
                <w:sz w:val="21"/>
                <w:szCs w:val="21"/>
                <w:lang w:eastAsia="zh-CN"/>
              </w:rPr>
              <w:t>4</w:t>
            </w:r>
          </w:p>
        </w:tc>
        <w:tc>
          <w:tcPr>
            <w:tcW w:w="193" w:type="pct"/>
            <w:vAlign w:val="center"/>
          </w:tcPr>
          <w:p w14:paraId="60C37FB6" w14:textId="637A4CEE" w:rsidR="000435F3" w:rsidRPr="00E67914" w:rsidRDefault="000435F3" w:rsidP="005B7AE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25</w:t>
            </w:r>
          </w:p>
        </w:tc>
        <w:tc>
          <w:tcPr>
            <w:tcW w:w="406" w:type="pct"/>
            <w:vAlign w:val="center"/>
          </w:tcPr>
          <w:p w14:paraId="47075B4F" w14:textId="1C58D92D" w:rsidR="000435F3" w:rsidRPr="00E67914" w:rsidRDefault="000435F3" w:rsidP="005B7AE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574.97</w:t>
            </w:r>
          </w:p>
        </w:tc>
        <w:tc>
          <w:tcPr>
            <w:tcW w:w="521" w:type="pct"/>
            <w:vAlign w:val="center"/>
          </w:tcPr>
          <w:p w14:paraId="0046B8A6" w14:textId="084E7D47" w:rsidR="000435F3" w:rsidRPr="00E67914" w:rsidRDefault="00D46F71" w:rsidP="005B7AE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0.2</w:t>
            </w:r>
          </w:p>
        </w:tc>
        <w:tc>
          <w:tcPr>
            <w:tcW w:w="262" w:type="pct"/>
            <w:vAlign w:val="center"/>
          </w:tcPr>
          <w:p w14:paraId="34266EB4" w14:textId="77777777" w:rsidR="000435F3" w:rsidRPr="00E67914" w:rsidRDefault="000435F3" w:rsidP="005B7AE3">
            <w:pPr>
              <w:jc w:val="center"/>
              <w:rPr>
                <w:rFonts w:ascii="Times New Roman" w:hAnsi="Times New Roman"/>
                <w:bCs/>
                <w:sz w:val="21"/>
                <w:szCs w:val="21"/>
              </w:rPr>
            </w:pPr>
          </w:p>
        </w:tc>
        <w:tc>
          <w:tcPr>
            <w:tcW w:w="260" w:type="pct"/>
            <w:vAlign w:val="center"/>
          </w:tcPr>
          <w:p w14:paraId="4171C449" w14:textId="15D1DD62"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c>
          <w:tcPr>
            <w:tcW w:w="396" w:type="pct"/>
            <w:vAlign w:val="center"/>
          </w:tcPr>
          <w:p w14:paraId="44840507" w14:textId="697724E5" w:rsidR="000435F3" w:rsidRPr="00E67914" w:rsidRDefault="000435F3" w:rsidP="005B7AE3">
            <w:pPr>
              <w:jc w:val="center"/>
              <w:rPr>
                <w:rFonts w:ascii="Times New Roman" w:hAnsi="Times New Roman"/>
                <w:bCs/>
                <w:sz w:val="21"/>
                <w:szCs w:val="21"/>
              </w:rPr>
            </w:pPr>
            <w:r w:rsidRPr="00E67914">
              <w:rPr>
                <w:rFonts w:ascii="Times New Roman" w:hAnsi="Times New Roman"/>
                <w:bCs/>
                <w:sz w:val="21"/>
                <w:szCs w:val="21"/>
              </w:rPr>
              <w:t>8760</w:t>
            </w:r>
          </w:p>
        </w:tc>
        <w:tc>
          <w:tcPr>
            <w:tcW w:w="255" w:type="pct"/>
            <w:vAlign w:val="center"/>
          </w:tcPr>
          <w:p w14:paraId="17C1B596" w14:textId="34E0BE61" w:rsidR="000435F3" w:rsidRPr="00E67914" w:rsidRDefault="000435F3" w:rsidP="005B7AE3">
            <w:pPr>
              <w:adjustRightInd w:val="0"/>
              <w:snapToGrid w:val="0"/>
              <w:jc w:val="center"/>
              <w:rPr>
                <w:rFonts w:ascii="Times New Roman" w:hAnsi="Times New Roman"/>
                <w:bCs/>
                <w:sz w:val="21"/>
                <w:szCs w:val="21"/>
              </w:rPr>
            </w:pPr>
            <w:r w:rsidRPr="00E67914">
              <w:rPr>
                <w:rFonts w:ascii="Times New Roman" w:hAnsi="Times New Roman"/>
                <w:bCs/>
                <w:sz w:val="21"/>
                <w:szCs w:val="21"/>
              </w:rPr>
              <w:t>正常</w:t>
            </w:r>
          </w:p>
        </w:tc>
        <w:tc>
          <w:tcPr>
            <w:tcW w:w="210" w:type="pct"/>
            <w:vAlign w:val="center"/>
          </w:tcPr>
          <w:p w14:paraId="7D5FFF60" w14:textId="3E90EBDF"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0.1497</w:t>
            </w:r>
          </w:p>
        </w:tc>
        <w:tc>
          <w:tcPr>
            <w:tcW w:w="210" w:type="pct"/>
            <w:vAlign w:val="center"/>
          </w:tcPr>
          <w:p w14:paraId="66D4F571" w14:textId="69B45E32"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0.0458</w:t>
            </w:r>
          </w:p>
        </w:tc>
        <w:tc>
          <w:tcPr>
            <w:tcW w:w="210" w:type="pct"/>
            <w:vAlign w:val="center"/>
          </w:tcPr>
          <w:p w14:paraId="6CCEC01F" w14:textId="2528F7B9" w:rsidR="000435F3" w:rsidRPr="00E67914" w:rsidRDefault="000435F3" w:rsidP="005B7AE3">
            <w:pPr>
              <w:jc w:val="center"/>
              <w:rPr>
                <w:rFonts w:ascii="Times New Roman" w:hAnsi="Times New Roman"/>
                <w:bCs/>
                <w:sz w:val="21"/>
                <w:szCs w:val="21"/>
                <w:lang w:eastAsia="zh-CN"/>
              </w:rPr>
            </w:pPr>
            <w:r w:rsidRPr="00E67914">
              <w:rPr>
                <w:rFonts w:ascii="Times New Roman" w:hAnsi="Times New Roman"/>
                <w:bCs/>
                <w:sz w:val="21"/>
                <w:szCs w:val="21"/>
                <w:lang w:eastAsia="zh-CN"/>
              </w:rPr>
              <w:t>0.0640</w:t>
            </w:r>
          </w:p>
        </w:tc>
        <w:tc>
          <w:tcPr>
            <w:tcW w:w="229" w:type="pct"/>
            <w:vAlign w:val="center"/>
          </w:tcPr>
          <w:p w14:paraId="1374FBCD" w14:textId="13153CEC" w:rsidR="000435F3" w:rsidRPr="00E67914" w:rsidRDefault="000435F3" w:rsidP="005B7AE3">
            <w:pPr>
              <w:jc w:val="center"/>
              <w:rPr>
                <w:rFonts w:ascii="Times New Roman" w:hAnsi="Times New Roman"/>
                <w:bCs/>
                <w:sz w:val="21"/>
                <w:szCs w:val="21"/>
              </w:rPr>
            </w:pPr>
            <w:r w:rsidRPr="00E67914">
              <w:rPr>
                <w:rFonts w:ascii="Times New Roman" w:hAnsi="Times New Roman"/>
                <w:bCs/>
                <w:sz w:val="21"/>
                <w:szCs w:val="21"/>
                <w:lang w:eastAsia="zh-CN"/>
              </w:rPr>
              <w:t>/</w:t>
            </w:r>
          </w:p>
        </w:tc>
      </w:tr>
      <w:tr w:rsidR="00E67914" w:rsidRPr="00E67914" w14:paraId="23F2D8FD" w14:textId="09EC9A47" w:rsidTr="00D46F71">
        <w:trPr>
          <w:trHeight w:val="340"/>
          <w:jc w:val="center"/>
        </w:trPr>
        <w:tc>
          <w:tcPr>
            <w:tcW w:w="124" w:type="pct"/>
            <w:vAlign w:val="center"/>
          </w:tcPr>
          <w:p w14:paraId="375DCE9A" w14:textId="51CB6AD9" w:rsidR="00D46F71" w:rsidRPr="00E67914" w:rsidRDefault="00D46F71" w:rsidP="00D46F71">
            <w:pPr>
              <w:autoSpaceDE w:val="0"/>
              <w:autoSpaceDN w:val="0"/>
              <w:adjustRightInd w:val="0"/>
              <w:jc w:val="center"/>
              <w:rPr>
                <w:rFonts w:ascii="Times New Roman" w:hAnsi="Times New Roman"/>
                <w:bCs/>
                <w:sz w:val="21"/>
                <w:szCs w:val="21"/>
                <w:lang w:eastAsia="zh-CN"/>
              </w:rPr>
            </w:pPr>
            <w:r w:rsidRPr="00E67914">
              <w:rPr>
                <w:rFonts w:ascii="Times New Roman" w:hAnsi="Times New Roman"/>
                <w:bCs/>
                <w:sz w:val="21"/>
                <w:szCs w:val="21"/>
                <w:lang w:eastAsia="zh-CN"/>
              </w:rPr>
              <w:t>3</w:t>
            </w:r>
          </w:p>
        </w:tc>
        <w:tc>
          <w:tcPr>
            <w:tcW w:w="581" w:type="pct"/>
            <w:vAlign w:val="center"/>
          </w:tcPr>
          <w:p w14:paraId="24CBC3F0" w14:textId="6D9A4163" w:rsidR="00D46F71" w:rsidRPr="00E67914" w:rsidRDefault="00D46F71" w:rsidP="00D46F71">
            <w:pPr>
              <w:jc w:val="center"/>
              <w:rPr>
                <w:rFonts w:ascii="Times New Roman" w:hAnsi="Times New Roman"/>
                <w:bCs/>
                <w:sz w:val="21"/>
                <w:szCs w:val="21"/>
                <w:lang w:eastAsia="zh-CN"/>
              </w:rPr>
            </w:pPr>
            <w:r w:rsidRPr="00E67914">
              <w:rPr>
                <w:rFonts w:ascii="Times New Roman" w:hAnsi="Times New Roman"/>
                <w:bCs/>
                <w:sz w:val="21"/>
                <w:szCs w:val="21"/>
                <w:lang w:eastAsia="zh-CN"/>
              </w:rPr>
              <w:t>油罐挥发气体</w:t>
            </w:r>
          </w:p>
        </w:tc>
        <w:tc>
          <w:tcPr>
            <w:tcW w:w="360" w:type="pct"/>
            <w:vAlign w:val="center"/>
          </w:tcPr>
          <w:p w14:paraId="3828876F" w14:textId="0FD86D72"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107.761958</w:t>
            </w:r>
          </w:p>
        </w:tc>
        <w:tc>
          <w:tcPr>
            <w:tcW w:w="323" w:type="pct"/>
            <w:vAlign w:val="center"/>
          </w:tcPr>
          <w:p w14:paraId="05E07E7A" w14:textId="7CEB591F"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31.518860</w:t>
            </w:r>
          </w:p>
        </w:tc>
        <w:tc>
          <w:tcPr>
            <w:tcW w:w="459" w:type="pct"/>
            <w:vAlign w:val="center"/>
          </w:tcPr>
          <w:p w14:paraId="1060B6EF" w14:textId="2C993732" w:rsidR="00D46F71" w:rsidRPr="00E67914" w:rsidRDefault="00D46F71" w:rsidP="00D46F71">
            <w:pPr>
              <w:jc w:val="center"/>
              <w:rPr>
                <w:rFonts w:ascii="Times New Roman" w:hAnsi="Times New Roman"/>
                <w:bCs/>
                <w:sz w:val="21"/>
                <w:szCs w:val="21"/>
                <w:lang w:eastAsia="zh-CN"/>
              </w:rPr>
            </w:pPr>
            <w:r w:rsidRPr="00E67914">
              <w:rPr>
                <w:rFonts w:ascii="Times New Roman" w:hAnsi="Times New Roman"/>
                <w:bCs/>
                <w:sz w:val="21"/>
                <w:szCs w:val="21"/>
                <w:lang w:eastAsia="zh-CN"/>
              </w:rPr>
              <w:t>6</w:t>
            </w:r>
            <w:r w:rsidR="0056543D" w:rsidRPr="00E67914">
              <w:rPr>
                <w:rFonts w:ascii="Times New Roman" w:hAnsi="Times New Roman"/>
                <w:bCs/>
                <w:sz w:val="21"/>
                <w:szCs w:val="21"/>
                <w:lang w:eastAsia="zh-CN"/>
              </w:rPr>
              <w:t>7</w:t>
            </w:r>
            <w:r w:rsidR="00383E67" w:rsidRPr="00E67914">
              <w:rPr>
                <w:rFonts w:ascii="Times New Roman" w:hAnsi="Times New Roman"/>
                <w:bCs/>
                <w:sz w:val="21"/>
                <w:szCs w:val="21"/>
                <w:lang w:eastAsia="zh-CN"/>
              </w:rPr>
              <w:t>4</w:t>
            </w:r>
          </w:p>
        </w:tc>
        <w:tc>
          <w:tcPr>
            <w:tcW w:w="193" w:type="pct"/>
            <w:vAlign w:val="center"/>
          </w:tcPr>
          <w:p w14:paraId="6956B388" w14:textId="03CEF8A7" w:rsidR="00D46F71" w:rsidRPr="00E67914" w:rsidRDefault="00D46F71" w:rsidP="00D46F7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6</w:t>
            </w:r>
          </w:p>
        </w:tc>
        <w:tc>
          <w:tcPr>
            <w:tcW w:w="406" w:type="pct"/>
            <w:vAlign w:val="center"/>
          </w:tcPr>
          <w:p w14:paraId="3E3257E6" w14:textId="49C6D725" w:rsidR="00D46F71" w:rsidRPr="00E67914" w:rsidRDefault="003159D6" w:rsidP="00D46F7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0.5</w:t>
            </w:r>
          </w:p>
        </w:tc>
        <w:tc>
          <w:tcPr>
            <w:tcW w:w="521" w:type="pct"/>
            <w:vAlign w:val="center"/>
          </w:tcPr>
          <w:p w14:paraId="2C62F72F" w14:textId="733E2D02" w:rsidR="00D46F71" w:rsidRPr="00E67914" w:rsidRDefault="00D46F71" w:rsidP="00D46F7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0.1</w:t>
            </w:r>
          </w:p>
        </w:tc>
        <w:tc>
          <w:tcPr>
            <w:tcW w:w="262" w:type="pct"/>
            <w:vAlign w:val="center"/>
          </w:tcPr>
          <w:p w14:paraId="6BB19DBD" w14:textId="77777777" w:rsidR="00D46F71" w:rsidRPr="00E67914" w:rsidRDefault="00D46F71" w:rsidP="00D46F71">
            <w:pPr>
              <w:jc w:val="center"/>
              <w:rPr>
                <w:rFonts w:ascii="Times New Roman" w:hAnsi="Times New Roman"/>
                <w:bCs/>
                <w:sz w:val="21"/>
                <w:szCs w:val="21"/>
              </w:rPr>
            </w:pPr>
          </w:p>
        </w:tc>
        <w:tc>
          <w:tcPr>
            <w:tcW w:w="260" w:type="pct"/>
            <w:vAlign w:val="center"/>
          </w:tcPr>
          <w:p w14:paraId="17FD496F" w14:textId="57A8A056"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环境气温</w:t>
            </w:r>
          </w:p>
        </w:tc>
        <w:tc>
          <w:tcPr>
            <w:tcW w:w="396" w:type="pct"/>
            <w:vAlign w:val="center"/>
          </w:tcPr>
          <w:p w14:paraId="6AF6DED8" w14:textId="1ACF6459"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8760</w:t>
            </w:r>
          </w:p>
        </w:tc>
        <w:tc>
          <w:tcPr>
            <w:tcW w:w="255" w:type="pct"/>
            <w:vAlign w:val="center"/>
          </w:tcPr>
          <w:p w14:paraId="1BCFF52A" w14:textId="2CF45BBE" w:rsidR="00D46F71" w:rsidRPr="00E67914" w:rsidRDefault="00D46F71" w:rsidP="00D46F71">
            <w:pPr>
              <w:adjustRightInd w:val="0"/>
              <w:snapToGrid w:val="0"/>
              <w:jc w:val="center"/>
              <w:rPr>
                <w:rFonts w:ascii="Times New Roman" w:hAnsi="Times New Roman"/>
                <w:bCs/>
                <w:sz w:val="21"/>
                <w:szCs w:val="21"/>
              </w:rPr>
            </w:pPr>
            <w:r w:rsidRPr="00E67914">
              <w:rPr>
                <w:rFonts w:ascii="Times New Roman" w:hAnsi="Times New Roman"/>
                <w:bCs/>
                <w:sz w:val="21"/>
                <w:szCs w:val="21"/>
              </w:rPr>
              <w:t>正常</w:t>
            </w:r>
          </w:p>
        </w:tc>
        <w:tc>
          <w:tcPr>
            <w:tcW w:w="210" w:type="pct"/>
            <w:vAlign w:val="center"/>
          </w:tcPr>
          <w:p w14:paraId="13FD06EE" w14:textId="60127CE4"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lang w:eastAsia="zh-CN"/>
              </w:rPr>
              <w:t>/</w:t>
            </w:r>
          </w:p>
        </w:tc>
        <w:tc>
          <w:tcPr>
            <w:tcW w:w="210" w:type="pct"/>
            <w:vAlign w:val="center"/>
          </w:tcPr>
          <w:p w14:paraId="6CFF948D" w14:textId="034A9A6A"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lang w:eastAsia="zh-CN"/>
              </w:rPr>
              <w:t>/</w:t>
            </w:r>
          </w:p>
        </w:tc>
        <w:tc>
          <w:tcPr>
            <w:tcW w:w="210" w:type="pct"/>
            <w:vAlign w:val="center"/>
          </w:tcPr>
          <w:p w14:paraId="6181D352" w14:textId="3E5FFAC0" w:rsidR="00D46F71" w:rsidRPr="00E67914" w:rsidRDefault="00D46F71" w:rsidP="00D46F71">
            <w:pPr>
              <w:jc w:val="center"/>
              <w:rPr>
                <w:rFonts w:ascii="Times New Roman" w:hAnsi="Times New Roman"/>
                <w:bCs/>
                <w:sz w:val="21"/>
                <w:szCs w:val="21"/>
                <w:lang w:eastAsia="zh-CN"/>
              </w:rPr>
            </w:pPr>
            <w:r w:rsidRPr="00E67914">
              <w:rPr>
                <w:rFonts w:ascii="Times New Roman" w:hAnsi="Times New Roman"/>
                <w:bCs/>
                <w:sz w:val="21"/>
                <w:szCs w:val="21"/>
                <w:lang w:eastAsia="zh-CN"/>
              </w:rPr>
              <w:t>/</w:t>
            </w:r>
          </w:p>
        </w:tc>
        <w:tc>
          <w:tcPr>
            <w:tcW w:w="229" w:type="pct"/>
            <w:vAlign w:val="center"/>
          </w:tcPr>
          <w:p w14:paraId="54E74F1D" w14:textId="546877E2" w:rsidR="00D46F71" w:rsidRPr="00E67914" w:rsidRDefault="005549EB" w:rsidP="00D46F71">
            <w:pPr>
              <w:jc w:val="center"/>
              <w:rPr>
                <w:rFonts w:ascii="Times New Roman" w:hAnsi="Times New Roman"/>
                <w:bCs/>
                <w:sz w:val="21"/>
                <w:szCs w:val="21"/>
                <w:lang w:eastAsia="zh-CN"/>
              </w:rPr>
            </w:pPr>
            <w:r w:rsidRPr="00E67914">
              <w:rPr>
                <w:rFonts w:ascii="Times New Roman" w:hAnsi="Times New Roman"/>
                <w:bCs/>
                <w:sz w:val="21"/>
                <w:szCs w:val="21"/>
                <w:lang w:eastAsia="zh-CN"/>
              </w:rPr>
              <w:t>0.</w:t>
            </w:r>
            <w:r w:rsidR="00CA24A3" w:rsidRPr="00E67914">
              <w:rPr>
                <w:rFonts w:ascii="Times New Roman" w:hAnsi="Times New Roman"/>
                <w:bCs/>
                <w:sz w:val="21"/>
                <w:szCs w:val="21"/>
                <w:lang w:eastAsia="zh-CN"/>
              </w:rPr>
              <w:t>62</w:t>
            </w:r>
          </w:p>
        </w:tc>
      </w:tr>
    </w:tbl>
    <w:p w14:paraId="78943EBC" w14:textId="0D09E1A1" w:rsidR="00D46F71" w:rsidRPr="00E67914" w:rsidRDefault="00D46F71" w:rsidP="00D46F71">
      <w:pPr>
        <w:pStyle w:val="0-70"/>
        <w:spacing w:before="65"/>
        <w:rPr>
          <w:rFonts w:eastAsia="黑体"/>
          <w:b w:val="0"/>
          <w:bCs/>
          <w:kern w:val="2"/>
          <w:sz w:val="21"/>
          <w:szCs w:val="28"/>
        </w:rPr>
      </w:pPr>
      <w:r w:rsidRPr="00E67914">
        <w:rPr>
          <w:rFonts w:eastAsia="黑体"/>
          <w:b w:val="0"/>
          <w:bCs/>
          <w:kern w:val="2"/>
          <w:sz w:val="21"/>
          <w:szCs w:val="28"/>
        </w:rPr>
        <w:t>表</w:t>
      </w:r>
      <w:r w:rsidRPr="00E67914">
        <w:rPr>
          <w:rFonts w:eastAsia="黑体"/>
          <w:b w:val="0"/>
          <w:bCs/>
          <w:kern w:val="2"/>
          <w:sz w:val="21"/>
          <w:szCs w:val="28"/>
        </w:rPr>
        <w:t xml:space="preserve">5.2-2  </w:t>
      </w:r>
      <w:r w:rsidRPr="00E67914">
        <w:rPr>
          <w:rFonts w:eastAsia="黑体"/>
          <w:b w:val="0"/>
          <w:bCs/>
          <w:kern w:val="2"/>
          <w:sz w:val="21"/>
          <w:szCs w:val="28"/>
        </w:rPr>
        <w:t>项目运营后正常工况下无组织排放源强调查参数表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88"/>
        <w:gridCol w:w="2078"/>
        <w:gridCol w:w="1181"/>
        <w:gridCol w:w="1187"/>
        <w:gridCol w:w="1447"/>
        <w:gridCol w:w="599"/>
        <w:gridCol w:w="599"/>
        <w:gridCol w:w="918"/>
        <w:gridCol w:w="1021"/>
        <w:gridCol w:w="812"/>
        <w:gridCol w:w="812"/>
        <w:gridCol w:w="2950"/>
      </w:tblGrid>
      <w:tr w:rsidR="00E67914" w:rsidRPr="00E67914" w14:paraId="37D060F8" w14:textId="77777777" w:rsidTr="00380D94">
        <w:trPr>
          <w:trHeight w:val="340"/>
          <w:jc w:val="center"/>
        </w:trPr>
        <w:tc>
          <w:tcPr>
            <w:tcW w:w="139" w:type="pct"/>
            <w:vMerge w:val="restart"/>
            <w:vAlign w:val="center"/>
          </w:tcPr>
          <w:p w14:paraId="125AA7B6"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编号</w:t>
            </w:r>
          </w:p>
        </w:tc>
        <w:tc>
          <w:tcPr>
            <w:tcW w:w="743" w:type="pct"/>
            <w:vMerge w:val="restart"/>
            <w:vAlign w:val="center"/>
          </w:tcPr>
          <w:p w14:paraId="3AE0A498"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名称</w:t>
            </w:r>
          </w:p>
        </w:tc>
        <w:tc>
          <w:tcPr>
            <w:tcW w:w="846" w:type="pct"/>
            <w:gridSpan w:val="2"/>
            <w:vAlign w:val="center"/>
          </w:tcPr>
          <w:p w14:paraId="57172CE4"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面源起点坐标</w:t>
            </w:r>
            <w:r w:rsidRPr="00E67914">
              <w:rPr>
                <w:rFonts w:ascii="Times New Roman" w:hAnsi="Times New Roman"/>
                <w:bCs/>
                <w:sz w:val="21"/>
                <w:szCs w:val="21"/>
              </w:rPr>
              <w:t>/m</w:t>
            </w:r>
          </w:p>
        </w:tc>
        <w:tc>
          <w:tcPr>
            <w:tcW w:w="517" w:type="pct"/>
            <w:vMerge w:val="restart"/>
            <w:vAlign w:val="center"/>
          </w:tcPr>
          <w:p w14:paraId="2F220038"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面源海拔高度</w:t>
            </w:r>
            <w:r w:rsidRPr="00E67914">
              <w:rPr>
                <w:rFonts w:ascii="Times New Roman" w:hAnsi="Times New Roman"/>
                <w:bCs/>
                <w:sz w:val="21"/>
                <w:szCs w:val="21"/>
              </w:rPr>
              <w:t>/m</w:t>
            </w:r>
          </w:p>
        </w:tc>
        <w:tc>
          <w:tcPr>
            <w:tcW w:w="214" w:type="pct"/>
            <w:vMerge w:val="restart"/>
            <w:vAlign w:val="center"/>
          </w:tcPr>
          <w:p w14:paraId="466F3292"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面源</w:t>
            </w:r>
          </w:p>
          <w:p w14:paraId="32F3D6CB"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长度</w:t>
            </w:r>
            <w:r w:rsidRPr="00E67914">
              <w:rPr>
                <w:rFonts w:ascii="Times New Roman" w:hAnsi="Times New Roman"/>
                <w:bCs/>
                <w:sz w:val="21"/>
                <w:szCs w:val="21"/>
              </w:rPr>
              <w:t>/m</w:t>
            </w:r>
          </w:p>
        </w:tc>
        <w:tc>
          <w:tcPr>
            <w:tcW w:w="214" w:type="pct"/>
            <w:vMerge w:val="restart"/>
            <w:vAlign w:val="center"/>
          </w:tcPr>
          <w:p w14:paraId="4F83F5B9"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面源</w:t>
            </w:r>
          </w:p>
          <w:p w14:paraId="14769B18"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宽度</w:t>
            </w:r>
            <w:r w:rsidRPr="00E67914">
              <w:rPr>
                <w:rFonts w:ascii="Times New Roman" w:hAnsi="Times New Roman"/>
                <w:bCs/>
                <w:sz w:val="21"/>
                <w:szCs w:val="21"/>
              </w:rPr>
              <w:t>/m</w:t>
            </w:r>
          </w:p>
        </w:tc>
        <w:tc>
          <w:tcPr>
            <w:tcW w:w="328" w:type="pct"/>
            <w:vMerge w:val="restart"/>
            <w:vAlign w:val="center"/>
          </w:tcPr>
          <w:p w14:paraId="252895E0"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与正北</w:t>
            </w:r>
          </w:p>
          <w:p w14:paraId="210A8805"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向夹角</w:t>
            </w:r>
            <w:r w:rsidRPr="00E67914">
              <w:rPr>
                <w:rFonts w:ascii="Times New Roman" w:hAnsi="Times New Roman"/>
                <w:bCs/>
                <w:sz w:val="21"/>
                <w:szCs w:val="21"/>
              </w:rPr>
              <w:t>/°</w:t>
            </w:r>
          </w:p>
        </w:tc>
        <w:tc>
          <w:tcPr>
            <w:tcW w:w="365" w:type="pct"/>
            <w:vMerge w:val="restart"/>
            <w:vAlign w:val="center"/>
          </w:tcPr>
          <w:p w14:paraId="2C10F2E5"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面源有效排放高度</w:t>
            </w:r>
            <w:r w:rsidRPr="00E67914">
              <w:rPr>
                <w:rFonts w:ascii="Times New Roman" w:hAnsi="Times New Roman"/>
                <w:bCs/>
                <w:sz w:val="21"/>
                <w:szCs w:val="21"/>
              </w:rPr>
              <w:t>/m</w:t>
            </w:r>
          </w:p>
        </w:tc>
        <w:tc>
          <w:tcPr>
            <w:tcW w:w="290" w:type="pct"/>
            <w:vMerge w:val="restart"/>
            <w:vAlign w:val="center"/>
          </w:tcPr>
          <w:p w14:paraId="2143152F"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年排放</w:t>
            </w:r>
          </w:p>
          <w:p w14:paraId="25906552"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小时数</w:t>
            </w:r>
            <w:r w:rsidRPr="00E67914">
              <w:rPr>
                <w:rFonts w:ascii="Times New Roman" w:hAnsi="Times New Roman"/>
                <w:bCs/>
                <w:sz w:val="21"/>
                <w:szCs w:val="21"/>
              </w:rPr>
              <w:t>/h</w:t>
            </w:r>
          </w:p>
        </w:tc>
        <w:tc>
          <w:tcPr>
            <w:tcW w:w="290" w:type="pct"/>
            <w:vMerge w:val="restart"/>
            <w:vAlign w:val="center"/>
          </w:tcPr>
          <w:p w14:paraId="2F8BCBF0"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排放工况</w:t>
            </w:r>
          </w:p>
        </w:tc>
        <w:tc>
          <w:tcPr>
            <w:tcW w:w="1054" w:type="pct"/>
            <w:vAlign w:val="center"/>
          </w:tcPr>
          <w:p w14:paraId="211B852A"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污染物排放速率</w:t>
            </w:r>
            <w:r w:rsidRPr="00E67914">
              <w:rPr>
                <w:rFonts w:ascii="Times New Roman" w:hAnsi="Times New Roman"/>
                <w:bCs/>
                <w:sz w:val="21"/>
                <w:szCs w:val="21"/>
              </w:rPr>
              <w:t>/</w:t>
            </w:r>
            <w:r w:rsidRPr="00E67914">
              <w:rPr>
                <w:rFonts w:ascii="Times New Roman" w:hAnsi="Times New Roman"/>
                <w:bCs/>
                <w:sz w:val="21"/>
                <w:szCs w:val="21"/>
              </w:rPr>
              <w:t>（</w:t>
            </w:r>
            <w:r w:rsidRPr="00E67914">
              <w:rPr>
                <w:rFonts w:ascii="Times New Roman" w:hAnsi="Times New Roman"/>
                <w:bCs/>
                <w:sz w:val="21"/>
                <w:szCs w:val="21"/>
              </w:rPr>
              <w:t>t/a</w:t>
            </w:r>
            <w:r w:rsidRPr="00E67914">
              <w:rPr>
                <w:rFonts w:ascii="Times New Roman" w:hAnsi="Times New Roman"/>
                <w:bCs/>
                <w:sz w:val="21"/>
                <w:szCs w:val="21"/>
              </w:rPr>
              <w:t>）</w:t>
            </w:r>
          </w:p>
        </w:tc>
      </w:tr>
      <w:tr w:rsidR="00E67914" w:rsidRPr="00E67914" w14:paraId="1025773A" w14:textId="77777777" w:rsidTr="00D46F71">
        <w:trPr>
          <w:trHeight w:val="340"/>
          <w:jc w:val="center"/>
        </w:trPr>
        <w:tc>
          <w:tcPr>
            <w:tcW w:w="139" w:type="pct"/>
            <w:vMerge/>
            <w:vAlign w:val="center"/>
          </w:tcPr>
          <w:p w14:paraId="5024D339"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743" w:type="pct"/>
            <w:vMerge/>
            <w:vAlign w:val="center"/>
          </w:tcPr>
          <w:p w14:paraId="2FC81656"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422" w:type="pct"/>
            <w:vAlign w:val="center"/>
          </w:tcPr>
          <w:p w14:paraId="2A0DB8E9"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iCs/>
                <w:sz w:val="21"/>
                <w:szCs w:val="21"/>
              </w:rPr>
              <w:t>X</w:t>
            </w:r>
          </w:p>
        </w:tc>
        <w:tc>
          <w:tcPr>
            <w:tcW w:w="424" w:type="pct"/>
            <w:vAlign w:val="center"/>
          </w:tcPr>
          <w:p w14:paraId="6B7B8A0D"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iCs/>
                <w:sz w:val="21"/>
                <w:szCs w:val="21"/>
              </w:rPr>
              <w:t>Y</w:t>
            </w:r>
          </w:p>
        </w:tc>
        <w:tc>
          <w:tcPr>
            <w:tcW w:w="517" w:type="pct"/>
            <w:vMerge/>
            <w:vAlign w:val="center"/>
          </w:tcPr>
          <w:p w14:paraId="7D6BF288"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214" w:type="pct"/>
            <w:vMerge/>
            <w:vAlign w:val="center"/>
          </w:tcPr>
          <w:p w14:paraId="31443522"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214" w:type="pct"/>
            <w:vMerge/>
            <w:vAlign w:val="center"/>
          </w:tcPr>
          <w:p w14:paraId="20B71838"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328" w:type="pct"/>
            <w:vMerge/>
            <w:vAlign w:val="center"/>
          </w:tcPr>
          <w:p w14:paraId="2B28DF08"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365" w:type="pct"/>
            <w:vMerge/>
            <w:vAlign w:val="center"/>
          </w:tcPr>
          <w:p w14:paraId="5A0102B5"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290" w:type="pct"/>
            <w:vMerge/>
            <w:vAlign w:val="center"/>
          </w:tcPr>
          <w:p w14:paraId="73D1BA8F"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290" w:type="pct"/>
            <w:vMerge/>
            <w:vAlign w:val="center"/>
          </w:tcPr>
          <w:p w14:paraId="4FEEF3DD" w14:textId="77777777" w:rsidR="00D46F71" w:rsidRPr="00E67914" w:rsidRDefault="00D46F71" w:rsidP="00380D94">
            <w:pPr>
              <w:autoSpaceDE w:val="0"/>
              <w:autoSpaceDN w:val="0"/>
              <w:adjustRightInd w:val="0"/>
              <w:jc w:val="center"/>
              <w:rPr>
                <w:rFonts w:ascii="Times New Roman" w:hAnsi="Times New Roman"/>
                <w:bCs/>
                <w:sz w:val="21"/>
                <w:szCs w:val="21"/>
              </w:rPr>
            </w:pPr>
          </w:p>
        </w:tc>
        <w:tc>
          <w:tcPr>
            <w:tcW w:w="1054" w:type="pct"/>
            <w:vAlign w:val="center"/>
          </w:tcPr>
          <w:p w14:paraId="637EBCFF" w14:textId="1D72FBD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NMHC</w:t>
            </w:r>
          </w:p>
        </w:tc>
      </w:tr>
      <w:tr w:rsidR="00E67914" w:rsidRPr="00E67914" w14:paraId="7619E793" w14:textId="77777777" w:rsidTr="00D46F71">
        <w:trPr>
          <w:trHeight w:val="340"/>
          <w:jc w:val="center"/>
        </w:trPr>
        <w:tc>
          <w:tcPr>
            <w:tcW w:w="139" w:type="pct"/>
            <w:vAlign w:val="center"/>
          </w:tcPr>
          <w:p w14:paraId="085BB7D4" w14:textId="777777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1</w:t>
            </w:r>
          </w:p>
        </w:tc>
        <w:tc>
          <w:tcPr>
            <w:tcW w:w="743" w:type="pct"/>
            <w:vAlign w:val="center"/>
          </w:tcPr>
          <w:p w14:paraId="41A7E5A1" w14:textId="75FAD7CD" w:rsidR="00D46F71" w:rsidRPr="00E67914" w:rsidRDefault="00D46F71" w:rsidP="00380D94">
            <w:pPr>
              <w:jc w:val="center"/>
              <w:rPr>
                <w:rFonts w:ascii="Times New Roman" w:hAnsi="Times New Roman"/>
                <w:sz w:val="21"/>
                <w:szCs w:val="21"/>
                <w:lang w:eastAsia="zh-CN"/>
              </w:rPr>
            </w:pPr>
            <w:r w:rsidRPr="00E67914">
              <w:rPr>
                <w:rFonts w:ascii="Times New Roman" w:hAnsi="Times New Roman"/>
                <w:sz w:val="21"/>
                <w:szCs w:val="21"/>
                <w:lang w:val="zh-CN" w:eastAsia="zh-CN"/>
              </w:rPr>
              <w:t>凝析油装车挥发气体</w:t>
            </w:r>
          </w:p>
        </w:tc>
        <w:tc>
          <w:tcPr>
            <w:tcW w:w="422" w:type="pct"/>
            <w:vAlign w:val="center"/>
          </w:tcPr>
          <w:p w14:paraId="6121325E" w14:textId="3D806FAB"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107.762548</w:t>
            </w:r>
          </w:p>
        </w:tc>
        <w:tc>
          <w:tcPr>
            <w:tcW w:w="424" w:type="pct"/>
            <w:vAlign w:val="center"/>
          </w:tcPr>
          <w:p w14:paraId="51963B08" w14:textId="29BF7077" w:rsidR="00D46F71" w:rsidRPr="00E67914" w:rsidRDefault="00D46F71" w:rsidP="00380D94">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31.519034</w:t>
            </w:r>
          </w:p>
        </w:tc>
        <w:tc>
          <w:tcPr>
            <w:tcW w:w="517" w:type="pct"/>
            <w:vAlign w:val="center"/>
          </w:tcPr>
          <w:p w14:paraId="0B63778E" w14:textId="1D88AFDE" w:rsidR="00D46F71" w:rsidRPr="00E67914" w:rsidRDefault="00D46F71" w:rsidP="00380D94">
            <w:pPr>
              <w:jc w:val="center"/>
              <w:rPr>
                <w:rFonts w:ascii="Times New Roman" w:hAnsi="Times New Roman"/>
                <w:bCs/>
                <w:sz w:val="21"/>
                <w:szCs w:val="21"/>
              </w:rPr>
            </w:pPr>
            <w:r w:rsidRPr="00E67914">
              <w:rPr>
                <w:rFonts w:ascii="Times New Roman" w:hAnsi="Times New Roman"/>
                <w:bCs/>
                <w:sz w:val="21"/>
                <w:szCs w:val="21"/>
              </w:rPr>
              <w:t>6</w:t>
            </w:r>
            <w:r w:rsidR="0056543D" w:rsidRPr="00E67914">
              <w:rPr>
                <w:rFonts w:ascii="Times New Roman" w:hAnsi="Times New Roman"/>
                <w:bCs/>
                <w:sz w:val="21"/>
                <w:szCs w:val="21"/>
              </w:rPr>
              <w:t>7</w:t>
            </w:r>
            <w:r w:rsidR="002B7A8E" w:rsidRPr="00E67914">
              <w:rPr>
                <w:rFonts w:ascii="Times New Roman" w:hAnsi="Times New Roman"/>
                <w:bCs/>
                <w:sz w:val="21"/>
                <w:szCs w:val="21"/>
              </w:rPr>
              <w:t>3</w:t>
            </w:r>
          </w:p>
        </w:tc>
        <w:tc>
          <w:tcPr>
            <w:tcW w:w="214" w:type="pct"/>
            <w:vAlign w:val="center"/>
          </w:tcPr>
          <w:p w14:paraId="01EE274E" w14:textId="431BD91A" w:rsidR="00D46F71" w:rsidRPr="00E67914" w:rsidRDefault="00D46F71" w:rsidP="00380D94">
            <w:pPr>
              <w:jc w:val="center"/>
              <w:rPr>
                <w:rFonts w:ascii="Times New Roman" w:hAnsi="Times New Roman"/>
                <w:sz w:val="21"/>
                <w:szCs w:val="21"/>
              </w:rPr>
            </w:pPr>
            <w:r w:rsidRPr="00E67914">
              <w:rPr>
                <w:rFonts w:ascii="Times New Roman" w:hAnsi="Times New Roman"/>
                <w:sz w:val="21"/>
                <w:szCs w:val="21"/>
              </w:rPr>
              <w:t>30</w:t>
            </w:r>
          </w:p>
        </w:tc>
        <w:tc>
          <w:tcPr>
            <w:tcW w:w="214" w:type="pct"/>
            <w:vAlign w:val="center"/>
          </w:tcPr>
          <w:p w14:paraId="28668EF7" w14:textId="15E3EBD0" w:rsidR="00D46F71" w:rsidRPr="00E67914" w:rsidRDefault="00D46F71" w:rsidP="00380D94">
            <w:pPr>
              <w:jc w:val="center"/>
              <w:rPr>
                <w:rFonts w:ascii="Times New Roman" w:hAnsi="Times New Roman"/>
                <w:sz w:val="21"/>
                <w:szCs w:val="21"/>
              </w:rPr>
            </w:pPr>
            <w:r w:rsidRPr="00E67914">
              <w:rPr>
                <w:rFonts w:ascii="Times New Roman" w:hAnsi="Times New Roman"/>
                <w:sz w:val="21"/>
                <w:szCs w:val="21"/>
              </w:rPr>
              <w:t>10</w:t>
            </w:r>
          </w:p>
        </w:tc>
        <w:tc>
          <w:tcPr>
            <w:tcW w:w="328" w:type="pct"/>
            <w:vAlign w:val="center"/>
          </w:tcPr>
          <w:p w14:paraId="018752FB" w14:textId="060832BB" w:rsidR="00D46F71" w:rsidRPr="00E67914" w:rsidRDefault="002B7A8E" w:rsidP="00380D94">
            <w:pPr>
              <w:jc w:val="center"/>
              <w:rPr>
                <w:rFonts w:ascii="Times New Roman" w:hAnsi="Times New Roman"/>
                <w:sz w:val="21"/>
                <w:szCs w:val="21"/>
              </w:rPr>
            </w:pPr>
            <w:r w:rsidRPr="00E67914">
              <w:rPr>
                <w:rFonts w:ascii="Times New Roman" w:hAnsi="Times New Roman"/>
                <w:sz w:val="21"/>
                <w:szCs w:val="21"/>
              </w:rPr>
              <w:t>15</w:t>
            </w:r>
          </w:p>
        </w:tc>
        <w:tc>
          <w:tcPr>
            <w:tcW w:w="365" w:type="pct"/>
            <w:vAlign w:val="center"/>
          </w:tcPr>
          <w:p w14:paraId="3F8728F9" w14:textId="77777777" w:rsidR="00D46F71" w:rsidRPr="00E67914" w:rsidRDefault="00D46F71" w:rsidP="00380D94">
            <w:pPr>
              <w:jc w:val="center"/>
              <w:rPr>
                <w:rFonts w:ascii="Times New Roman" w:hAnsi="Times New Roman"/>
                <w:sz w:val="21"/>
                <w:szCs w:val="21"/>
              </w:rPr>
            </w:pPr>
            <w:r w:rsidRPr="00E67914">
              <w:rPr>
                <w:rFonts w:ascii="Times New Roman" w:hAnsi="Times New Roman"/>
                <w:sz w:val="21"/>
                <w:szCs w:val="21"/>
              </w:rPr>
              <w:t>3</w:t>
            </w:r>
          </w:p>
        </w:tc>
        <w:tc>
          <w:tcPr>
            <w:tcW w:w="290" w:type="pct"/>
            <w:vAlign w:val="center"/>
          </w:tcPr>
          <w:p w14:paraId="3F3B9E5E" w14:textId="09B428E6" w:rsidR="00D46F71" w:rsidRPr="00E67914" w:rsidRDefault="00500843" w:rsidP="00380D94">
            <w:pPr>
              <w:jc w:val="center"/>
              <w:rPr>
                <w:rFonts w:ascii="Times New Roman" w:hAnsi="Times New Roman"/>
                <w:bCs/>
                <w:sz w:val="21"/>
                <w:szCs w:val="21"/>
              </w:rPr>
            </w:pPr>
            <w:r w:rsidRPr="00E67914">
              <w:rPr>
                <w:rFonts w:ascii="Times New Roman" w:hAnsi="Times New Roman"/>
                <w:bCs/>
                <w:sz w:val="21"/>
                <w:szCs w:val="21"/>
              </w:rPr>
              <w:t>8760</w:t>
            </w:r>
          </w:p>
        </w:tc>
        <w:tc>
          <w:tcPr>
            <w:tcW w:w="290" w:type="pct"/>
            <w:vAlign w:val="center"/>
          </w:tcPr>
          <w:p w14:paraId="6D374D25" w14:textId="77777777" w:rsidR="00D46F71" w:rsidRPr="00E67914" w:rsidRDefault="00D46F71" w:rsidP="00380D94">
            <w:pPr>
              <w:adjustRightInd w:val="0"/>
              <w:snapToGrid w:val="0"/>
              <w:jc w:val="center"/>
              <w:rPr>
                <w:rFonts w:ascii="Times New Roman" w:hAnsi="Times New Roman"/>
                <w:bCs/>
                <w:sz w:val="21"/>
                <w:szCs w:val="21"/>
              </w:rPr>
            </w:pPr>
            <w:r w:rsidRPr="00E67914">
              <w:rPr>
                <w:rFonts w:ascii="Times New Roman" w:hAnsi="Times New Roman"/>
                <w:bCs/>
                <w:sz w:val="21"/>
                <w:szCs w:val="21"/>
              </w:rPr>
              <w:t>正常</w:t>
            </w:r>
          </w:p>
        </w:tc>
        <w:tc>
          <w:tcPr>
            <w:tcW w:w="1054" w:type="pct"/>
            <w:vAlign w:val="center"/>
          </w:tcPr>
          <w:p w14:paraId="69C999B0" w14:textId="56B38B08" w:rsidR="00D46F71" w:rsidRPr="00E67914" w:rsidRDefault="00D46F71" w:rsidP="00380D94">
            <w:pPr>
              <w:adjustRightInd w:val="0"/>
              <w:snapToGrid w:val="0"/>
              <w:jc w:val="center"/>
              <w:rPr>
                <w:rFonts w:ascii="Times New Roman" w:hAnsi="Times New Roman"/>
                <w:bCs/>
                <w:sz w:val="21"/>
                <w:szCs w:val="21"/>
              </w:rPr>
            </w:pPr>
            <w:r w:rsidRPr="00E67914">
              <w:rPr>
                <w:rFonts w:ascii="Times New Roman" w:hAnsi="Times New Roman"/>
                <w:sz w:val="21"/>
                <w:szCs w:val="21"/>
              </w:rPr>
              <w:t>0.12</w:t>
            </w:r>
          </w:p>
        </w:tc>
      </w:tr>
    </w:tbl>
    <w:p w14:paraId="7188C1BD" w14:textId="32FC7168" w:rsidR="00FB72AA" w:rsidRPr="00E67914" w:rsidRDefault="00FB72AA" w:rsidP="00FB72AA">
      <w:pPr>
        <w:pStyle w:val="0-70"/>
        <w:spacing w:before="65"/>
        <w:rPr>
          <w:rFonts w:eastAsia="黑体"/>
          <w:b w:val="0"/>
          <w:bCs/>
          <w:kern w:val="2"/>
          <w:sz w:val="21"/>
          <w:szCs w:val="28"/>
        </w:rPr>
      </w:pPr>
      <w:r w:rsidRPr="00E67914">
        <w:rPr>
          <w:rFonts w:eastAsia="黑体"/>
          <w:b w:val="0"/>
          <w:bCs/>
          <w:kern w:val="2"/>
          <w:sz w:val="21"/>
          <w:szCs w:val="28"/>
        </w:rPr>
        <w:t>表</w:t>
      </w:r>
      <w:r w:rsidRPr="00E67914">
        <w:rPr>
          <w:rFonts w:eastAsia="黑体"/>
          <w:b w:val="0"/>
          <w:bCs/>
          <w:kern w:val="2"/>
          <w:sz w:val="21"/>
          <w:szCs w:val="28"/>
        </w:rPr>
        <w:t>5.2-</w:t>
      </w:r>
      <w:r w:rsidR="00D46F71" w:rsidRPr="00E67914">
        <w:rPr>
          <w:rFonts w:eastAsia="黑体"/>
          <w:b w:val="0"/>
          <w:bCs/>
          <w:kern w:val="2"/>
          <w:sz w:val="21"/>
          <w:szCs w:val="28"/>
        </w:rPr>
        <w:t>3</w:t>
      </w:r>
      <w:r w:rsidRPr="00E67914">
        <w:rPr>
          <w:rFonts w:eastAsia="黑体"/>
          <w:b w:val="0"/>
          <w:bCs/>
          <w:kern w:val="2"/>
          <w:sz w:val="21"/>
          <w:szCs w:val="28"/>
        </w:rPr>
        <w:t xml:space="preserve">  </w:t>
      </w:r>
      <w:r w:rsidRPr="00E67914">
        <w:rPr>
          <w:rFonts w:eastAsia="黑体"/>
          <w:b w:val="0"/>
          <w:bCs/>
          <w:kern w:val="2"/>
          <w:sz w:val="21"/>
          <w:szCs w:val="28"/>
        </w:rPr>
        <w:t>项目运营后</w:t>
      </w:r>
      <w:r w:rsidR="005A37BD" w:rsidRPr="00E67914">
        <w:rPr>
          <w:rFonts w:eastAsia="黑体"/>
          <w:b w:val="0"/>
          <w:bCs/>
          <w:kern w:val="2"/>
          <w:sz w:val="21"/>
          <w:szCs w:val="28"/>
        </w:rPr>
        <w:t>非</w:t>
      </w:r>
      <w:r w:rsidRPr="00E67914">
        <w:rPr>
          <w:rFonts w:eastAsia="黑体"/>
          <w:b w:val="0"/>
          <w:bCs/>
          <w:kern w:val="2"/>
          <w:sz w:val="21"/>
          <w:szCs w:val="28"/>
        </w:rPr>
        <w:t>正常工况下</w:t>
      </w:r>
      <w:r w:rsidR="005A37BD" w:rsidRPr="00E67914">
        <w:rPr>
          <w:rFonts w:eastAsia="黑体"/>
          <w:b w:val="0"/>
          <w:bCs/>
          <w:kern w:val="2"/>
          <w:sz w:val="21"/>
          <w:szCs w:val="28"/>
        </w:rPr>
        <w:t>有</w:t>
      </w:r>
      <w:r w:rsidRPr="00E67914">
        <w:rPr>
          <w:rFonts w:eastAsia="黑体"/>
          <w:b w:val="0"/>
          <w:bCs/>
          <w:kern w:val="2"/>
          <w:sz w:val="21"/>
          <w:szCs w:val="28"/>
        </w:rPr>
        <w:t>组织排放源强调查参数表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3"/>
        <w:gridCol w:w="1526"/>
        <w:gridCol w:w="1008"/>
        <w:gridCol w:w="903"/>
        <w:gridCol w:w="1232"/>
        <w:gridCol w:w="1048"/>
        <w:gridCol w:w="940"/>
        <w:gridCol w:w="1383"/>
        <w:gridCol w:w="734"/>
        <w:gridCol w:w="724"/>
        <w:gridCol w:w="1061"/>
        <w:gridCol w:w="710"/>
        <w:gridCol w:w="2340"/>
      </w:tblGrid>
      <w:tr w:rsidR="00E67914" w:rsidRPr="00E67914" w14:paraId="56ED385B" w14:textId="77777777" w:rsidTr="005B7AE3">
        <w:trPr>
          <w:trHeight w:val="340"/>
          <w:jc w:val="center"/>
        </w:trPr>
        <w:tc>
          <w:tcPr>
            <w:tcW w:w="0" w:type="auto"/>
            <w:vMerge w:val="restart"/>
            <w:vAlign w:val="center"/>
            <w:hideMark/>
          </w:tcPr>
          <w:p w14:paraId="0C554D27"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编号</w:t>
            </w:r>
          </w:p>
        </w:tc>
        <w:tc>
          <w:tcPr>
            <w:tcW w:w="0" w:type="auto"/>
            <w:vMerge w:val="restart"/>
            <w:vAlign w:val="center"/>
            <w:hideMark/>
          </w:tcPr>
          <w:p w14:paraId="3F7D9488"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名称</w:t>
            </w:r>
          </w:p>
        </w:tc>
        <w:tc>
          <w:tcPr>
            <w:tcW w:w="0" w:type="auto"/>
            <w:gridSpan w:val="2"/>
            <w:vAlign w:val="center"/>
            <w:hideMark/>
          </w:tcPr>
          <w:p w14:paraId="4FB7FB30" w14:textId="77777777" w:rsidR="005A37BD" w:rsidRPr="00E67914" w:rsidRDefault="005A37BD" w:rsidP="005B7AE3">
            <w:pPr>
              <w:autoSpaceDE w:val="0"/>
              <w:autoSpaceDN w:val="0"/>
              <w:adjustRightInd w:val="0"/>
              <w:jc w:val="center"/>
              <w:rPr>
                <w:rFonts w:ascii="Times New Roman" w:hAnsi="Times New Roman"/>
                <w:bCs/>
                <w:sz w:val="21"/>
                <w:szCs w:val="21"/>
                <w:lang w:eastAsia="zh-CN"/>
              </w:rPr>
            </w:pPr>
            <w:r w:rsidRPr="00E67914">
              <w:rPr>
                <w:rFonts w:ascii="Times New Roman" w:hAnsi="Times New Roman"/>
                <w:bCs/>
                <w:sz w:val="21"/>
                <w:szCs w:val="21"/>
                <w:lang w:eastAsia="zh-CN"/>
              </w:rPr>
              <w:t>排气筒底部</w:t>
            </w:r>
          </w:p>
          <w:p w14:paraId="602C5087" w14:textId="77777777" w:rsidR="005A37BD" w:rsidRPr="00E67914" w:rsidRDefault="005A37BD" w:rsidP="005B7AE3">
            <w:pPr>
              <w:autoSpaceDE w:val="0"/>
              <w:autoSpaceDN w:val="0"/>
              <w:adjustRightInd w:val="0"/>
              <w:jc w:val="center"/>
              <w:rPr>
                <w:rFonts w:ascii="Times New Roman" w:hAnsi="Times New Roman"/>
                <w:bCs/>
                <w:sz w:val="21"/>
                <w:szCs w:val="21"/>
                <w:lang w:eastAsia="zh-CN"/>
              </w:rPr>
            </w:pPr>
            <w:r w:rsidRPr="00E67914">
              <w:rPr>
                <w:rFonts w:ascii="Times New Roman" w:hAnsi="Times New Roman"/>
                <w:bCs/>
                <w:sz w:val="21"/>
                <w:szCs w:val="21"/>
                <w:lang w:eastAsia="zh-CN"/>
              </w:rPr>
              <w:t>中心坐标（度）</w:t>
            </w:r>
          </w:p>
        </w:tc>
        <w:tc>
          <w:tcPr>
            <w:tcW w:w="0" w:type="auto"/>
            <w:vMerge w:val="restart"/>
            <w:vAlign w:val="center"/>
            <w:hideMark/>
          </w:tcPr>
          <w:p w14:paraId="1F1A410F"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排气筒</w:t>
            </w:r>
          </w:p>
          <w:p w14:paraId="4D3E9325"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底部海拔高度</w:t>
            </w:r>
            <w:r w:rsidRPr="00E67914">
              <w:rPr>
                <w:rFonts w:ascii="Times New Roman" w:hAnsi="Times New Roman"/>
                <w:bCs/>
                <w:sz w:val="21"/>
                <w:szCs w:val="21"/>
              </w:rPr>
              <w:t>/m</w:t>
            </w:r>
          </w:p>
        </w:tc>
        <w:tc>
          <w:tcPr>
            <w:tcW w:w="0" w:type="auto"/>
            <w:vMerge w:val="restart"/>
            <w:vAlign w:val="center"/>
            <w:hideMark/>
          </w:tcPr>
          <w:p w14:paraId="34DC5041" w14:textId="6E289273" w:rsidR="005A37BD" w:rsidRPr="00E67914" w:rsidRDefault="005A37BD" w:rsidP="005A37BD">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排气筒高度</w:t>
            </w:r>
            <w:r w:rsidRPr="00E67914">
              <w:rPr>
                <w:rFonts w:ascii="Times New Roman" w:hAnsi="Times New Roman"/>
                <w:bCs/>
                <w:sz w:val="21"/>
                <w:szCs w:val="21"/>
              </w:rPr>
              <w:t>/m</w:t>
            </w:r>
          </w:p>
        </w:tc>
        <w:tc>
          <w:tcPr>
            <w:tcW w:w="0" w:type="auto"/>
            <w:vMerge w:val="restart"/>
            <w:vAlign w:val="center"/>
          </w:tcPr>
          <w:p w14:paraId="02FFABF4" w14:textId="2B9C361A"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风量</w:t>
            </w:r>
          </w:p>
        </w:tc>
        <w:tc>
          <w:tcPr>
            <w:tcW w:w="0" w:type="auto"/>
            <w:vMerge w:val="restart"/>
            <w:vAlign w:val="center"/>
            <w:hideMark/>
          </w:tcPr>
          <w:p w14:paraId="2574570E"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排气筒出口内径</w:t>
            </w:r>
            <w:r w:rsidRPr="00E67914">
              <w:rPr>
                <w:rFonts w:ascii="Times New Roman" w:hAnsi="Times New Roman"/>
                <w:bCs/>
                <w:sz w:val="21"/>
                <w:szCs w:val="21"/>
              </w:rPr>
              <w:t>/m</w:t>
            </w:r>
          </w:p>
        </w:tc>
        <w:tc>
          <w:tcPr>
            <w:tcW w:w="0" w:type="auto"/>
            <w:vMerge w:val="restart"/>
            <w:vAlign w:val="center"/>
            <w:hideMark/>
          </w:tcPr>
          <w:p w14:paraId="7B3C7C64"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烟气</w:t>
            </w:r>
          </w:p>
          <w:p w14:paraId="5A7D0409"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流速</w:t>
            </w:r>
          </w:p>
          <w:p w14:paraId="0910A2EB"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w:t>
            </w:r>
            <w:r w:rsidRPr="00E67914">
              <w:rPr>
                <w:rFonts w:ascii="Times New Roman" w:hAnsi="Times New Roman"/>
                <w:bCs/>
                <w:sz w:val="21"/>
                <w:szCs w:val="21"/>
              </w:rPr>
              <w:t>m/s</w:t>
            </w:r>
            <w:r w:rsidRPr="00E67914">
              <w:rPr>
                <w:rFonts w:ascii="Times New Roman" w:hAnsi="Times New Roman"/>
                <w:bCs/>
                <w:sz w:val="21"/>
                <w:szCs w:val="21"/>
              </w:rPr>
              <w:t>）</w:t>
            </w:r>
          </w:p>
        </w:tc>
        <w:tc>
          <w:tcPr>
            <w:tcW w:w="0" w:type="auto"/>
            <w:vMerge w:val="restart"/>
            <w:vAlign w:val="center"/>
            <w:hideMark/>
          </w:tcPr>
          <w:p w14:paraId="5E46B616"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烟气</w:t>
            </w:r>
          </w:p>
          <w:p w14:paraId="59C443FB"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温度</w:t>
            </w:r>
          </w:p>
          <w:p w14:paraId="5970D3CA"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w:t>
            </w:r>
          </w:p>
        </w:tc>
        <w:tc>
          <w:tcPr>
            <w:tcW w:w="0" w:type="auto"/>
            <w:vMerge w:val="restart"/>
            <w:vAlign w:val="center"/>
            <w:hideMark/>
          </w:tcPr>
          <w:p w14:paraId="5879E3E4"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年排放小时数</w:t>
            </w:r>
          </w:p>
          <w:p w14:paraId="5728972A"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/h</w:t>
            </w:r>
          </w:p>
        </w:tc>
        <w:tc>
          <w:tcPr>
            <w:tcW w:w="0" w:type="auto"/>
            <w:vMerge w:val="restart"/>
            <w:vAlign w:val="center"/>
            <w:hideMark/>
          </w:tcPr>
          <w:p w14:paraId="4B3C1154"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排放工况</w:t>
            </w:r>
          </w:p>
        </w:tc>
        <w:tc>
          <w:tcPr>
            <w:tcW w:w="0" w:type="auto"/>
            <w:vAlign w:val="center"/>
          </w:tcPr>
          <w:p w14:paraId="5A71B302"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污染物排放速率</w:t>
            </w:r>
            <w:r w:rsidRPr="00E67914">
              <w:rPr>
                <w:rFonts w:ascii="Times New Roman" w:hAnsi="Times New Roman"/>
                <w:bCs/>
                <w:sz w:val="21"/>
                <w:szCs w:val="21"/>
              </w:rPr>
              <w:t>/</w:t>
            </w:r>
            <w:r w:rsidRPr="00E67914">
              <w:rPr>
                <w:rFonts w:ascii="Times New Roman" w:hAnsi="Times New Roman"/>
                <w:bCs/>
                <w:sz w:val="21"/>
                <w:szCs w:val="21"/>
              </w:rPr>
              <w:t>（</w:t>
            </w:r>
            <w:r w:rsidRPr="00E67914">
              <w:rPr>
                <w:rFonts w:ascii="Times New Roman" w:hAnsi="Times New Roman"/>
                <w:bCs/>
                <w:sz w:val="21"/>
                <w:szCs w:val="21"/>
              </w:rPr>
              <w:t>t/a</w:t>
            </w:r>
            <w:r w:rsidRPr="00E67914">
              <w:rPr>
                <w:rFonts w:ascii="Times New Roman" w:hAnsi="Times New Roman"/>
                <w:bCs/>
                <w:sz w:val="21"/>
                <w:szCs w:val="21"/>
              </w:rPr>
              <w:t>）</w:t>
            </w:r>
          </w:p>
        </w:tc>
      </w:tr>
      <w:tr w:rsidR="00E67914" w:rsidRPr="00E67914" w14:paraId="2CC098C1" w14:textId="77777777" w:rsidTr="003F4D8C">
        <w:trPr>
          <w:trHeight w:val="340"/>
          <w:jc w:val="center"/>
        </w:trPr>
        <w:tc>
          <w:tcPr>
            <w:tcW w:w="0" w:type="auto"/>
            <w:vMerge/>
            <w:vAlign w:val="center"/>
            <w:hideMark/>
          </w:tcPr>
          <w:p w14:paraId="6597D2B9"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Merge/>
            <w:vAlign w:val="center"/>
            <w:hideMark/>
          </w:tcPr>
          <w:p w14:paraId="0C7BF0FB"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Align w:val="center"/>
            <w:hideMark/>
          </w:tcPr>
          <w:p w14:paraId="09D884A2"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X</w:t>
            </w:r>
          </w:p>
        </w:tc>
        <w:tc>
          <w:tcPr>
            <w:tcW w:w="0" w:type="auto"/>
            <w:vAlign w:val="center"/>
            <w:hideMark/>
          </w:tcPr>
          <w:p w14:paraId="5264FE36" w14:textId="77777777"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Y</w:t>
            </w:r>
          </w:p>
        </w:tc>
        <w:tc>
          <w:tcPr>
            <w:tcW w:w="0" w:type="auto"/>
            <w:vMerge/>
            <w:vAlign w:val="center"/>
            <w:hideMark/>
          </w:tcPr>
          <w:p w14:paraId="077942C6"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Merge/>
            <w:vAlign w:val="center"/>
            <w:hideMark/>
          </w:tcPr>
          <w:p w14:paraId="520361A6"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Merge/>
            <w:vAlign w:val="center"/>
          </w:tcPr>
          <w:p w14:paraId="66C5EE3A"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Merge/>
            <w:vAlign w:val="center"/>
            <w:hideMark/>
          </w:tcPr>
          <w:p w14:paraId="52510781"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Merge/>
            <w:vAlign w:val="center"/>
            <w:hideMark/>
          </w:tcPr>
          <w:p w14:paraId="0999B0F0"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Merge/>
            <w:vAlign w:val="center"/>
            <w:hideMark/>
          </w:tcPr>
          <w:p w14:paraId="6825AF31"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Merge/>
            <w:vAlign w:val="center"/>
            <w:hideMark/>
          </w:tcPr>
          <w:p w14:paraId="08BEDA00"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0" w:type="auto"/>
            <w:vMerge/>
            <w:vAlign w:val="center"/>
            <w:hideMark/>
          </w:tcPr>
          <w:p w14:paraId="1CBDD465" w14:textId="77777777" w:rsidR="005A37BD" w:rsidRPr="00E67914" w:rsidRDefault="005A37BD" w:rsidP="005B7AE3">
            <w:pPr>
              <w:autoSpaceDE w:val="0"/>
              <w:autoSpaceDN w:val="0"/>
              <w:adjustRightInd w:val="0"/>
              <w:jc w:val="center"/>
              <w:rPr>
                <w:rFonts w:ascii="Times New Roman" w:hAnsi="Times New Roman"/>
                <w:bCs/>
                <w:sz w:val="21"/>
                <w:szCs w:val="21"/>
              </w:rPr>
            </w:pPr>
          </w:p>
        </w:tc>
        <w:tc>
          <w:tcPr>
            <w:tcW w:w="2340" w:type="dxa"/>
            <w:vAlign w:val="center"/>
          </w:tcPr>
          <w:p w14:paraId="7AA87C97" w14:textId="53AE9D71" w:rsidR="005A37BD" w:rsidRPr="00E67914" w:rsidRDefault="005A37BD" w:rsidP="005B7AE3">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lang w:eastAsia="zh-CN"/>
              </w:rPr>
              <w:t>非甲烷总烃</w:t>
            </w:r>
          </w:p>
        </w:tc>
      </w:tr>
      <w:tr w:rsidR="00D46F71" w:rsidRPr="00E67914" w14:paraId="252D6A0B" w14:textId="77777777" w:rsidTr="00987338">
        <w:trPr>
          <w:trHeight w:val="340"/>
          <w:jc w:val="center"/>
        </w:trPr>
        <w:tc>
          <w:tcPr>
            <w:tcW w:w="0" w:type="auto"/>
            <w:vAlign w:val="center"/>
          </w:tcPr>
          <w:p w14:paraId="73B0ED2A" w14:textId="77777777" w:rsidR="00D46F71" w:rsidRPr="00E67914" w:rsidRDefault="00D46F71" w:rsidP="00D46F71">
            <w:pPr>
              <w:autoSpaceDE w:val="0"/>
              <w:autoSpaceDN w:val="0"/>
              <w:adjustRightInd w:val="0"/>
              <w:jc w:val="center"/>
              <w:rPr>
                <w:rFonts w:ascii="Times New Roman" w:hAnsi="Times New Roman"/>
                <w:bCs/>
                <w:sz w:val="21"/>
                <w:szCs w:val="21"/>
              </w:rPr>
            </w:pPr>
            <w:r w:rsidRPr="00E67914">
              <w:rPr>
                <w:rFonts w:ascii="Times New Roman" w:hAnsi="Times New Roman"/>
                <w:bCs/>
                <w:sz w:val="21"/>
                <w:szCs w:val="21"/>
              </w:rPr>
              <w:t>1</w:t>
            </w:r>
          </w:p>
        </w:tc>
        <w:tc>
          <w:tcPr>
            <w:tcW w:w="0" w:type="auto"/>
            <w:vAlign w:val="center"/>
          </w:tcPr>
          <w:p w14:paraId="65876848" w14:textId="5458618D" w:rsidR="00D46F71" w:rsidRPr="00E67914" w:rsidRDefault="00D46F71" w:rsidP="00D46F71">
            <w:pPr>
              <w:jc w:val="center"/>
              <w:rPr>
                <w:rFonts w:ascii="Times New Roman" w:hAnsi="Times New Roman"/>
                <w:bCs/>
                <w:sz w:val="21"/>
                <w:szCs w:val="21"/>
                <w:lang w:eastAsia="zh-CN"/>
              </w:rPr>
            </w:pPr>
            <w:r w:rsidRPr="00E67914">
              <w:rPr>
                <w:rFonts w:ascii="Times New Roman" w:hAnsi="Times New Roman"/>
                <w:sz w:val="21"/>
                <w:szCs w:val="21"/>
                <w:lang w:val="zh-CN" w:eastAsia="zh-CN"/>
              </w:rPr>
              <w:t>非正常工况放空废气</w:t>
            </w:r>
          </w:p>
        </w:tc>
        <w:tc>
          <w:tcPr>
            <w:tcW w:w="0" w:type="auto"/>
            <w:vAlign w:val="center"/>
          </w:tcPr>
          <w:p w14:paraId="16B86E19" w14:textId="2FBDB646"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107.761958</w:t>
            </w:r>
          </w:p>
        </w:tc>
        <w:tc>
          <w:tcPr>
            <w:tcW w:w="0" w:type="auto"/>
            <w:vAlign w:val="center"/>
          </w:tcPr>
          <w:p w14:paraId="3C6463B0" w14:textId="3A279F48"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31.518860</w:t>
            </w:r>
          </w:p>
        </w:tc>
        <w:tc>
          <w:tcPr>
            <w:tcW w:w="0" w:type="auto"/>
            <w:vAlign w:val="center"/>
          </w:tcPr>
          <w:p w14:paraId="72513006" w14:textId="21204245"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lang w:eastAsia="zh-CN"/>
              </w:rPr>
              <w:t>6</w:t>
            </w:r>
            <w:r w:rsidR="0056543D" w:rsidRPr="00E67914">
              <w:rPr>
                <w:rFonts w:ascii="Times New Roman" w:hAnsi="Times New Roman"/>
                <w:bCs/>
                <w:sz w:val="21"/>
                <w:szCs w:val="21"/>
                <w:lang w:eastAsia="zh-CN"/>
              </w:rPr>
              <w:t>7</w:t>
            </w:r>
            <w:r w:rsidR="00383E67" w:rsidRPr="00E67914">
              <w:rPr>
                <w:rFonts w:ascii="Times New Roman" w:hAnsi="Times New Roman"/>
                <w:bCs/>
                <w:sz w:val="21"/>
                <w:szCs w:val="21"/>
                <w:lang w:eastAsia="zh-CN"/>
              </w:rPr>
              <w:t>4</w:t>
            </w:r>
          </w:p>
        </w:tc>
        <w:tc>
          <w:tcPr>
            <w:tcW w:w="0" w:type="auto"/>
            <w:vAlign w:val="center"/>
          </w:tcPr>
          <w:p w14:paraId="2FAC5542" w14:textId="0509ABEA" w:rsidR="00D46F71" w:rsidRPr="00E67914" w:rsidRDefault="00D46F71" w:rsidP="00D46F71">
            <w:pPr>
              <w:adjustRightInd w:val="0"/>
              <w:snapToGrid w:val="0"/>
              <w:jc w:val="center"/>
              <w:rPr>
                <w:rFonts w:ascii="Times New Roman" w:hAnsi="Times New Roman"/>
                <w:bCs/>
                <w:sz w:val="21"/>
                <w:szCs w:val="21"/>
              </w:rPr>
            </w:pPr>
            <w:r w:rsidRPr="00E67914">
              <w:rPr>
                <w:rFonts w:ascii="Times New Roman" w:hAnsi="Times New Roman"/>
                <w:bCs/>
                <w:sz w:val="21"/>
                <w:szCs w:val="21"/>
              </w:rPr>
              <w:t>6</w:t>
            </w:r>
          </w:p>
        </w:tc>
        <w:tc>
          <w:tcPr>
            <w:tcW w:w="0" w:type="auto"/>
            <w:vAlign w:val="center"/>
          </w:tcPr>
          <w:p w14:paraId="014FA138" w14:textId="6B542660" w:rsidR="00D46F71" w:rsidRPr="00E67914" w:rsidRDefault="00D46F71" w:rsidP="00D46F71">
            <w:pPr>
              <w:adjustRightInd w:val="0"/>
              <w:snapToGrid w:val="0"/>
              <w:jc w:val="center"/>
              <w:rPr>
                <w:rFonts w:ascii="Times New Roman" w:hAnsi="Times New Roman"/>
                <w:bCs/>
                <w:sz w:val="21"/>
                <w:szCs w:val="21"/>
              </w:rPr>
            </w:pPr>
            <w:r w:rsidRPr="00E67914">
              <w:rPr>
                <w:rFonts w:ascii="Times New Roman" w:hAnsi="Times New Roman"/>
                <w:bCs/>
                <w:sz w:val="21"/>
                <w:szCs w:val="21"/>
              </w:rPr>
              <w:t>2~5Nm</w:t>
            </w:r>
            <w:r w:rsidRPr="00E67914">
              <w:rPr>
                <w:rFonts w:ascii="Times New Roman" w:hAnsi="Times New Roman"/>
                <w:bCs/>
                <w:sz w:val="21"/>
                <w:szCs w:val="21"/>
                <w:vertAlign w:val="superscript"/>
              </w:rPr>
              <w:t>3</w:t>
            </w:r>
            <w:r w:rsidRPr="00E67914">
              <w:rPr>
                <w:rFonts w:ascii="Times New Roman" w:hAnsi="Times New Roman"/>
                <w:bCs/>
                <w:sz w:val="21"/>
                <w:szCs w:val="21"/>
              </w:rPr>
              <w:t>/</w:t>
            </w:r>
            <w:r w:rsidRPr="00E67914">
              <w:rPr>
                <w:rFonts w:ascii="Times New Roman" w:hAnsi="Times New Roman"/>
                <w:bCs/>
                <w:sz w:val="21"/>
                <w:szCs w:val="21"/>
              </w:rPr>
              <w:t>次</w:t>
            </w:r>
          </w:p>
        </w:tc>
        <w:tc>
          <w:tcPr>
            <w:tcW w:w="0" w:type="auto"/>
            <w:vAlign w:val="center"/>
          </w:tcPr>
          <w:p w14:paraId="66E88575" w14:textId="3E1A6CB9" w:rsidR="00D46F71" w:rsidRPr="00E67914" w:rsidRDefault="00D46F71" w:rsidP="00D46F71">
            <w:pPr>
              <w:adjustRightInd w:val="0"/>
              <w:snapToGrid w:val="0"/>
              <w:jc w:val="center"/>
              <w:rPr>
                <w:rFonts w:ascii="Times New Roman" w:hAnsi="Times New Roman"/>
                <w:bCs/>
                <w:sz w:val="21"/>
                <w:szCs w:val="21"/>
              </w:rPr>
            </w:pPr>
            <w:r w:rsidRPr="00E67914">
              <w:rPr>
                <w:rFonts w:ascii="Times New Roman" w:hAnsi="Times New Roman"/>
                <w:bCs/>
                <w:sz w:val="21"/>
                <w:szCs w:val="21"/>
              </w:rPr>
              <w:t>0.1</w:t>
            </w:r>
          </w:p>
        </w:tc>
        <w:tc>
          <w:tcPr>
            <w:tcW w:w="0" w:type="auto"/>
            <w:vAlign w:val="center"/>
          </w:tcPr>
          <w:p w14:paraId="0154C87A" w14:textId="553E909A"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w:t>
            </w:r>
          </w:p>
        </w:tc>
        <w:tc>
          <w:tcPr>
            <w:tcW w:w="0" w:type="auto"/>
            <w:vAlign w:val="center"/>
          </w:tcPr>
          <w:p w14:paraId="2C9BAFA3" w14:textId="77777777"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环境气温</w:t>
            </w:r>
          </w:p>
        </w:tc>
        <w:tc>
          <w:tcPr>
            <w:tcW w:w="0" w:type="auto"/>
            <w:vAlign w:val="center"/>
          </w:tcPr>
          <w:p w14:paraId="6BADC659" w14:textId="36B75A71"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rPr>
              <w:t>2~3</w:t>
            </w:r>
            <w:r w:rsidRPr="00E67914">
              <w:rPr>
                <w:rFonts w:ascii="Times New Roman" w:hAnsi="Times New Roman"/>
                <w:bCs/>
                <w:sz w:val="21"/>
                <w:szCs w:val="21"/>
              </w:rPr>
              <w:t>次</w:t>
            </w:r>
            <w:r w:rsidRPr="00E67914">
              <w:rPr>
                <w:rFonts w:ascii="Times New Roman" w:hAnsi="Times New Roman"/>
                <w:bCs/>
                <w:sz w:val="21"/>
                <w:szCs w:val="21"/>
              </w:rPr>
              <w:t>/</w:t>
            </w:r>
            <w:r w:rsidRPr="00E67914">
              <w:rPr>
                <w:rFonts w:ascii="Times New Roman" w:hAnsi="Times New Roman"/>
                <w:bCs/>
                <w:sz w:val="21"/>
                <w:szCs w:val="21"/>
              </w:rPr>
              <w:t>年</w:t>
            </w:r>
          </w:p>
        </w:tc>
        <w:tc>
          <w:tcPr>
            <w:tcW w:w="0" w:type="auto"/>
            <w:vAlign w:val="center"/>
          </w:tcPr>
          <w:p w14:paraId="049F2A47" w14:textId="2EA5DA91" w:rsidR="00D46F71" w:rsidRPr="00E67914" w:rsidRDefault="00D46F71" w:rsidP="00D46F71">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非</w:t>
            </w:r>
            <w:r w:rsidRPr="00E67914">
              <w:rPr>
                <w:rFonts w:ascii="Times New Roman" w:hAnsi="Times New Roman"/>
                <w:bCs/>
                <w:sz w:val="21"/>
                <w:szCs w:val="21"/>
              </w:rPr>
              <w:t>正常</w:t>
            </w:r>
          </w:p>
        </w:tc>
        <w:tc>
          <w:tcPr>
            <w:tcW w:w="2340" w:type="dxa"/>
            <w:vAlign w:val="center"/>
          </w:tcPr>
          <w:p w14:paraId="604DD691" w14:textId="0F103963" w:rsidR="00D46F71" w:rsidRPr="00E67914" w:rsidRDefault="00D46F71" w:rsidP="00D46F71">
            <w:pPr>
              <w:jc w:val="center"/>
              <w:rPr>
                <w:rFonts w:ascii="Times New Roman" w:hAnsi="Times New Roman"/>
                <w:bCs/>
                <w:sz w:val="21"/>
                <w:szCs w:val="21"/>
              </w:rPr>
            </w:pPr>
            <w:r w:rsidRPr="00E67914">
              <w:rPr>
                <w:rFonts w:ascii="Times New Roman" w:hAnsi="Times New Roman"/>
                <w:bCs/>
                <w:sz w:val="21"/>
                <w:szCs w:val="21"/>
                <w:lang w:eastAsia="zh-CN"/>
              </w:rPr>
              <w:t>少量</w:t>
            </w:r>
          </w:p>
        </w:tc>
      </w:tr>
    </w:tbl>
    <w:p w14:paraId="5E0F40AF" w14:textId="77777777" w:rsidR="00FB72AA" w:rsidRPr="00E67914" w:rsidRDefault="00FB72AA" w:rsidP="008752B7">
      <w:pPr>
        <w:snapToGrid w:val="0"/>
        <w:spacing w:beforeLines="50" w:before="163" w:line="360" w:lineRule="auto"/>
        <w:ind w:firstLineChars="200" w:firstLine="440"/>
        <w:jc w:val="both"/>
        <w:rPr>
          <w:rFonts w:ascii="Times New Roman" w:hAnsi="Times New Roman"/>
          <w:szCs w:val="24"/>
          <w:lang w:eastAsia="zh-CN"/>
        </w:rPr>
      </w:pPr>
    </w:p>
    <w:p w14:paraId="3BF23C6E" w14:textId="77777777" w:rsidR="00FB72AA" w:rsidRPr="00E67914" w:rsidRDefault="00FB72AA" w:rsidP="00FB72AA">
      <w:pPr>
        <w:snapToGrid w:val="0"/>
        <w:spacing w:beforeLines="50" w:before="163" w:line="360" w:lineRule="auto"/>
        <w:ind w:firstLineChars="200" w:firstLine="480"/>
        <w:jc w:val="both"/>
        <w:rPr>
          <w:rFonts w:ascii="Times New Roman" w:hAnsi="Times New Roman"/>
          <w:bCs/>
          <w:sz w:val="24"/>
          <w:szCs w:val="24"/>
          <w:lang w:eastAsia="zh-CN"/>
        </w:rPr>
        <w:sectPr w:rsidR="00FB72AA" w:rsidRPr="00E67914" w:rsidSect="008752B7">
          <w:pgSz w:w="16838" w:h="11906" w:orient="landscape"/>
          <w:pgMar w:top="1418" w:right="1418" w:bottom="1418" w:left="1418" w:header="851" w:footer="992" w:gutter="0"/>
          <w:cols w:space="425"/>
          <w:docGrid w:type="linesAndChars" w:linePitch="326"/>
        </w:sectPr>
      </w:pPr>
    </w:p>
    <w:p w14:paraId="0DFB863F" w14:textId="5A1F7954" w:rsidR="00A54A8A" w:rsidRPr="00E67914" w:rsidRDefault="00000000">
      <w:pPr>
        <w:tabs>
          <w:tab w:val="left" w:pos="1440"/>
        </w:tabs>
        <w:spacing w:line="360" w:lineRule="auto"/>
        <w:ind w:firstLineChars="200" w:firstLine="482"/>
        <w:outlineLvl w:val="3"/>
        <w:rPr>
          <w:rFonts w:ascii="Times New Roman" w:hAnsi="Times New Roman"/>
          <w:b/>
          <w:bCs/>
          <w:sz w:val="24"/>
          <w:szCs w:val="24"/>
          <w:lang w:eastAsia="zh-CN"/>
        </w:rPr>
      </w:pPr>
      <w:r w:rsidRPr="00E67914">
        <w:rPr>
          <w:rFonts w:ascii="Times New Roman" w:hAnsi="Times New Roman"/>
          <w:b/>
          <w:bCs/>
          <w:sz w:val="24"/>
          <w:szCs w:val="24"/>
          <w:lang w:eastAsia="zh-CN"/>
        </w:rPr>
        <w:lastRenderedPageBreak/>
        <w:t>5.2.2.</w:t>
      </w:r>
      <w:r w:rsidR="00D46F71" w:rsidRPr="00E67914">
        <w:rPr>
          <w:rFonts w:ascii="Times New Roman" w:hAnsi="Times New Roman"/>
          <w:b/>
          <w:bCs/>
          <w:sz w:val="24"/>
          <w:szCs w:val="24"/>
          <w:lang w:eastAsia="zh-CN"/>
        </w:rPr>
        <w:t>2</w:t>
      </w:r>
      <w:r w:rsidRPr="00E67914">
        <w:rPr>
          <w:rFonts w:ascii="Times New Roman" w:hAnsi="Times New Roman"/>
          <w:b/>
          <w:bCs/>
          <w:sz w:val="24"/>
          <w:szCs w:val="24"/>
          <w:lang w:eastAsia="zh-CN"/>
        </w:rPr>
        <w:t xml:space="preserve"> </w:t>
      </w:r>
      <w:r w:rsidR="00D46F71" w:rsidRPr="00E67914">
        <w:rPr>
          <w:rFonts w:ascii="Times New Roman" w:hAnsi="Times New Roman"/>
          <w:b/>
          <w:bCs/>
          <w:sz w:val="24"/>
          <w:szCs w:val="24"/>
          <w:lang w:eastAsia="zh-CN"/>
        </w:rPr>
        <w:t>大气环境影响分析</w:t>
      </w:r>
    </w:p>
    <w:p w14:paraId="612A53FE" w14:textId="4C3BB6FB" w:rsidR="00A54A8A" w:rsidRPr="00E67914" w:rsidRDefault="00000000">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t>采用大气导则估算模式</w:t>
      </w:r>
      <w:r w:rsidRPr="00E67914">
        <w:rPr>
          <w:rFonts w:ascii="Times New Roman" w:hAnsi="Times New Roman"/>
          <w:bCs/>
          <w:sz w:val="24"/>
          <w:szCs w:val="24"/>
          <w:lang w:eastAsia="zh-CN"/>
        </w:rPr>
        <w:t>—AERSCREEN</w:t>
      </w:r>
      <w:r w:rsidRPr="00E67914">
        <w:rPr>
          <w:rFonts w:ascii="Times New Roman" w:hAnsi="Times New Roman"/>
          <w:bCs/>
          <w:sz w:val="24"/>
          <w:szCs w:val="24"/>
          <w:lang w:eastAsia="zh-CN"/>
        </w:rPr>
        <w:t>进行估算，源强详见表</w:t>
      </w:r>
      <w:r w:rsidR="008752B7" w:rsidRPr="00E67914">
        <w:rPr>
          <w:rFonts w:ascii="Times New Roman" w:hAnsi="Times New Roman"/>
          <w:bCs/>
          <w:sz w:val="24"/>
          <w:szCs w:val="24"/>
          <w:lang w:eastAsia="zh-CN"/>
        </w:rPr>
        <w:t>5.2-2</w:t>
      </w:r>
      <w:r w:rsidRPr="00E67914">
        <w:rPr>
          <w:rFonts w:ascii="Times New Roman" w:hAnsi="Times New Roman"/>
          <w:bCs/>
          <w:sz w:val="24"/>
          <w:szCs w:val="24"/>
          <w:lang w:eastAsia="zh-CN"/>
        </w:rPr>
        <w:t>，估算参数详见表</w:t>
      </w:r>
      <w:r w:rsidR="008752B7" w:rsidRPr="00E67914">
        <w:rPr>
          <w:rFonts w:ascii="Times New Roman" w:hAnsi="Times New Roman"/>
          <w:bCs/>
          <w:sz w:val="24"/>
          <w:szCs w:val="24"/>
          <w:lang w:eastAsia="zh-CN"/>
        </w:rPr>
        <w:t>5.2-</w:t>
      </w:r>
      <w:r w:rsidR="00CB4B0C" w:rsidRPr="00E67914">
        <w:rPr>
          <w:rFonts w:ascii="Times New Roman" w:hAnsi="Times New Roman"/>
          <w:bCs/>
          <w:sz w:val="24"/>
          <w:szCs w:val="24"/>
          <w:lang w:eastAsia="zh-CN"/>
        </w:rPr>
        <w:t>3</w:t>
      </w:r>
      <w:r w:rsidRPr="00E67914">
        <w:rPr>
          <w:rFonts w:ascii="Times New Roman" w:hAnsi="Times New Roman"/>
          <w:bCs/>
          <w:sz w:val="24"/>
          <w:szCs w:val="24"/>
          <w:lang w:eastAsia="zh-CN"/>
        </w:rPr>
        <w:t>，估算结果详见表</w:t>
      </w:r>
      <w:r w:rsidRPr="00E67914">
        <w:rPr>
          <w:rFonts w:ascii="Times New Roman" w:hAnsi="Times New Roman"/>
          <w:bCs/>
          <w:sz w:val="24"/>
          <w:szCs w:val="24"/>
          <w:lang w:eastAsia="zh-CN"/>
        </w:rPr>
        <w:t>5.2-</w:t>
      </w:r>
      <w:r w:rsidR="00CB4B0C" w:rsidRPr="00E67914">
        <w:rPr>
          <w:rFonts w:ascii="Times New Roman" w:hAnsi="Times New Roman"/>
          <w:bCs/>
          <w:sz w:val="24"/>
          <w:szCs w:val="24"/>
          <w:lang w:eastAsia="zh-CN"/>
        </w:rPr>
        <w:t>4</w:t>
      </w:r>
      <w:r w:rsidRPr="00E67914">
        <w:rPr>
          <w:rFonts w:ascii="Times New Roman" w:hAnsi="Times New Roman"/>
          <w:bCs/>
          <w:sz w:val="24"/>
          <w:szCs w:val="24"/>
          <w:lang w:eastAsia="zh-CN"/>
        </w:rPr>
        <w:t>。</w:t>
      </w:r>
    </w:p>
    <w:p w14:paraId="2FE5141C" w14:textId="54FC955D" w:rsidR="00A54A8A" w:rsidRPr="00E67914" w:rsidRDefault="00000000">
      <w:pPr>
        <w:jc w:val="center"/>
        <w:rPr>
          <w:rFonts w:ascii="Times New Roman" w:eastAsia="黑体" w:hAnsi="Times New Roman"/>
          <w:kern w:val="2"/>
        </w:rPr>
      </w:pPr>
      <w:r w:rsidRPr="00E67914">
        <w:rPr>
          <w:rFonts w:ascii="Times New Roman" w:eastAsia="黑体" w:hAnsi="Times New Roman"/>
          <w:kern w:val="2"/>
        </w:rPr>
        <w:t>表</w:t>
      </w:r>
      <w:r w:rsidRPr="00E67914">
        <w:rPr>
          <w:rFonts w:ascii="Times New Roman" w:eastAsia="黑体" w:hAnsi="Times New Roman"/>
          <w:kern w:val="2"/>
        </w:rPr>
        <w:t>5.2-</w:t>
      </w:r>
      <w:r w:rsidR="00CB4B0C" w:rsidRPr="00E67914">
        <w:rPr>
          <w:rFonts w:ascii="Times New Roman" w:eastAsia="黑体" w:hAnsi="Times New Roman"/>
          <w:kern w:val="2"/>
        </w:rPr>
        <w:t>3</w:t>
      </w:r>
      <w:r w:rsidRPr="00E67914">
        <w:rPr>
          <w:rFonts w:ascii="Times New Roman" w:eastAsia="黑体" w:hAnsi="Times New Roman"/>
          <w:kern w:val="2"/>
        </w:rPr>
        <w:t xml:space="preserve">  </w:t>
      </w:r>
      <w:r w:rsidRPr="00E67914">
        <w:rPr>
          <w:rFonts w:ascii="Times New Roman" w:eastAsia="黑体" w:hAnsi="Times New Roman"/>
          <w:kern w:val="2"/>
        </w:rPr>
        <w:t>估算模型参数表</w:t>
      </w: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0"/>
        <w:gridCol w:w="2929"/>
        <w:gridCol w:w="2929"/>
      </w:tblGrid>
      <w:tr w:rsidR="00E67914" w:rsidRPr="00E67914" w14:paraId="35D8C148" w14:textId="77777777">
        <w:trPr>
          <w:trHeight w:val="454"/>
          <w:jc w:val="center"/>
        </w:trPr>
        <w:tc>
          <w:tcPr>
            <w:tcW w:w="5859" w:type="dxa"/>
            <w:gridSpan w:val="2"/>
            <w:tcBorders>
              <w:top w:val="single" w:sz="4" w:space="0" w:color="auto"/>
              <w:left w:val="single" w:sz="4" w:space="0" w:color="auto"/>
              <w:bottom w:val="single" w:sz="4" w:space="0" w:color="auto"/>
              <w:right w:val="single" w:sz="4" w:space="0" w:color="auto"/>
            </w:tcBorders>
            <w:vAlign w:val="center"/>
          </w:tcPr>
          <w:p w14:paraId="0241520A" w14:textId="77777777" w:rsidR="00A54A8A" w:rsidRPr="00E67914" w:rsidRDefault="00000000">
            <w:pPr>
              <w:pStyle w:val="04"/>
              <w:rPr>
                <w:rFonts w:cs="Times New Roman"/>
                <w:b/>
                <w:bCs/>
              </w:rPr>
            </w:pPr>
            <w:r w:rsidRPr="00E67914">
              <w:rPr>
                <w:rFonts w:cs="Times New Roman"/>
                <w:b/>
                <w:bCs/>
              </w:rPr>
              <w:t>参数</w:t>
            </w:r>
          </w:p>
        </w:tc>
        <w:tc>
          <w:tcPr>
            <w:tcW w:w="2929" w:type="dxa"/>
            <w:tcBorders>
              <w:top w:val="single" w:sz="4" w:space="0" w:color="auto"/>
              <w:left w:val="single" w:sz="4" w:space="0" w:color="auto"/>
              <w:bottom w:val="single" w:sz="4" w:space="0" w:color="auto"/>
              <w:right w:val="single" w:sz="4" w:space="0" w:color="auto"/>
            </w:tcBorders>
            <w:vAlign w:val="center"/>
          </w:tcPr>
          <w:p w14:paraId="1EF4F146" w14:textId="77777777" w:rsidR="00A54A8A" w:rsidRPr="00E67914" w:rsidRDefault="00000000">
            <w:pPr>
              <w:pStyle w:val="04"/>
              <w:rPr>
                <w:rFonts w:cs="Times New Roman"/>
                <w:b/>
                <w:bCs/>
              </w:rPr>
            </w:pPr>
            <w:r w:rsidRPr="00E67914">
              <w:rPr>
                <w:rFonts w:cs="Times New Roman"/>
                <w:b/>
                <w:bCs/>
              </w:rPr>
              <w:t>取</w:t>
            </w:r>
            <w:r w:rsidRPr="00E67914">
              <w:rPr>
                <w:rFonts w:cs="Times New Roman"/>
                <w:b/>
                <w:bCs/>
              </w:rPr>
              <w:t xml:space="preserve">  </w:t>
            </w:r>
            <w:r w:rsidRPr="00E67914">
              <w:rPr>
                <w:rFonts w:cs="Times New Roman"/>
                <w:b/>
                <w:bCs/>
              </w:rPr>
              <w:t>值</w:t>
            </w:r>
          </w:p>
        </w:tc>
      </w:tr>
      <w:tr w:rsidR="00E67914" w:rsidRPr="00E67914" w14:paraId="5A79BAF5" w14:textId="77777777">
        <w:trPr>
          <w:trHeight w:val="454"/>
          <w:jc w:val="center"/>
        </w:trPr>
        <w:tc>
          <w:tcPr>
            <w:tcW w:w="2930" w:type="dxa"/>
            <w:vMerge w:val="restart"/>
            <w:tcBorders>
              <w:top w:val="single" w:sz="4" w:space="0" w:color="auto"/>
              <w:left w:val="single" w:sz="4" w:space="0" w:color="auto"/>
              <w:bottom w:val="single" w:sz="4" w:space="0" w:color="auto"/>
              <w:right w:val="single" w:sz="4" w:space="0" w:color="auto"/>
            </w:tcBorders>
            <w:vAlign w:val="center"/>
          </w:tcPr>
          <w:p w14:paraId="577BB023" w14:textId="77777777" w:rsidR="00A54A8A" w:rsidRPr="00E67914" w:rsidRDefault="00000000">
            <w:pPr>
              <w:pStyle w:val="04"/>
              <w:rPr>
                <w:rFonts w:cs="Times New Roman"/>
              </w:rPr>
            </w:pPr>
            <w:r w:rsidRPr="00E67914">
              <w:rPr>
                <w:rFonts w:cs="Times New Roman"/>
              </w:rPr>
              <w:t>城市</w:t>
            </w:r>
            <w:r w:rsidRPr="00E67914">
              <w:rPr>
                <w:rFonts w:cs="Times New Roman"/>
              </w:rPr>
              <w:t>/</w:t>
            </w:r>
            <w:r w:rsidRPr="00E67914">
              <w:rPr>
                <w:rFonts w:cs="Times New Roman"/>
              </w:rPr>
              <w:t>乡村选项</w:t>
            </w:r>
          </w:p>
        </w:tc>
        <w:tc>
          <w:tcPr>
            <w:tcW w:w="2929" w:type="dxa"/>
            <w:tcBorders>
              <w:top w:val="single" w:sz="4" w:space="0" w:color="auto"/>
              <w:left w:val="single" w:sz="4" w:space="0" w:color="auto"/>
              <w:bottom w:val="single" w:sz="4" w:space="0" w:color="auto"/>
              <w:right w:val="single" w:sz="4" w:space="0" w:color="auto"/>
            </w:tcBorders>
            <w:vAlign w:val="center"/>
          </w:tcPr>
          <w:p w14:paraId="3F210568" w14:textId="77777777" w:rsidR="00A54A8A" w:rsidRPr="00E67914" w:rsidRDefault="00000000">
            <w:pPr>
              <w:pStyle w:val="04"/>
              <w:rPr>
                <w:rFonts w:cs="Times New Roman"/>
              </w:rPr>
            </w:pPr>
            <w:r w:rsidRPr="00E67914">
              <w:rPr>
                <w:rFonts w:cs="Times New Roman"/>
              </w:rPr>
              <w:t>城市</w:t>
            </w:r>
            <w:r w:rsidRPr="00E67914">
              <w:rPr>
                <w:rFonts w:cs="Times New Roman"/>
              </w:rPr>
              <w:t>/</w:t>
            </w:r>
            <w:r w:rsidRPr="00E67914">
              <w:rPr>
                <w:rFonts w:cs="Times New Roman"/>
              </w:rPr>
              <w:t>乡村</w:t>
            </w:r>
          </w:p>
        </w:tc>
        <w:tc>
          <w:tcPr>
            <w:tcW w:w="2929" w:type="dxa"/>
            <w:tcBorders>
              <w:top w:val="single" w:sz="4" w:space="0" w:color="auto"/>
              <w:left w:val="single" w:sz="4" w:space="0" w:color="auto"/>
              <w:bottom w:val="single" w:sz="4" w:space="0" w:color="auto"/>
              <w:right w:val="single" w:sz="4" w:space="0" w:color="auto"/>
            </w:tcBorders>
            <w:vAlign w:val="center"/>
          </w:tcPr>
          <w:p w14:paraId="70D946B0" w14:textId="77777777" w:rsidR="00A54A8A" w:rsidRPr="00E67914" w:rsidRDefault="00000000">
            <w:pPr>
              <w:pStyle w:val="04"/>
              <w:rPr>
                <w:rFonts w:cs="Times New Roman"/>
              </w:rPr>
            </w:pPr>
            <w:r w:rsidRPr="00E67914">
              <w:rPr>
                <w:rFonts w:cs="Times New Roman"/>
              </w:rPr>
              <w:t>乡村</w:t>
            </w:r>
          </w:p>
        </w:tc>
      </w:tr>
      <w:tr w:rsidR="00E67914" w:rsidRPr="00E67914" w14:paraId="18AB07D5" w14:textId="77777777">
        <w:trPr>
          <w:trHeight w:val="454"/>
          <w:jc w:val="center"/>
        </w:trPr>
        <w:tc>
          <w:tcPr>
            <w:tcW w:w="2930" w:type="dxa"/>
            <w:vMerge/>
            <w:tcBorders>
              <w:top w:val="single" w:sz="4" w:space="0" w:color="auto"/>
              <w:left w:val="single" w:sz="4" w:space="0" w:color="auto"/>
              <w:bottom w:val="single" w:sz="4" w:space="0" w:color="auto"/>
              <w:right w:val="single" w:sz="4" w:space="0" w:color="auto"/>
            </w:tcBorders>
            <w:vAlign w:val="center"/>
          </w:tcPr>
          <w:p w14:paraId="0B062DF0" w14:textId="77777777" w:rsidR="00A54A8A" w:rsidRPr="00E67914" w:rsidRDefault="00A54A8A">
            <w:pPr>
              <w:pStyle w:val="04"/>
              <w:rPr>
                <w:rFonts w:cs="Times New Roman"/>
              </w:rPr>
            </w:pPr>
          </w:p>
        </w:tc>
        <w:tc>
          <w:tcPr>
            <w:tcW w:w="2929" w:type="dxa"/>
            <w:tcBorders>
              <w:top w:val="single" w:sz="4" w:space="0" w:color="auto"/>
              <w:left w:val="single" w:sz="4" w:space="0" w:color="auto"/>
              <w:bottom w:val="single" w:sz="4" w:space="0" w:color="auto"/>
              <w:right w:val="single" w:sz="4" w:space="0" w:color="auto"/>
            </w:tcBorders>
            <w:vAlign w:val="center"/>
          </w:tcPr>
          <w:p w14:paraId="071CF701" w14:textId="77777777" w:rsidR="00A54A8A" w:rsidRPr="00E67914" w:rsidRDefault="00000000">
            <w:pPr>
              <w:pStyle w:val="04"/>
              <w:rPr>
                <w:rFonts w:cs="Times New Roman"/>
              </w:rPr>
            </w:pPr>
            <w:r w:rsidRPr="00E67914">
              <w:rPr>
                <w:rFonts w:cs="Times New Roman"/>
              </w:rPr>
              <w:t>人口数（城市选项时）</w:t>
            </w:r>
          </w:p>
        </w:tc>
        <w:tc>
          <w:tcPr>
            <w:tcW w:w="2929" w:type="dxa"/>
            <w:tcBorders>
              <w:top w:val="single" w:sz="4" w:space="0" w:color="auto"/>
              <w:left w:val="single" w:sz="4" w:space="0" w:color="auto"/>
              <w:bottom w:val="single" w:sz="4" w:space="0" w:color="auto"/>
              <w:right w:val="single" w:sz="4" w:space="0" w:color="auto"/>
            </w:tcBorders>
            <w:vAlign w:val="center"/>
          </w:tcPr>
          <w:p w14:paraId="7D3C9848" w14:textId="77777777" w:rsidR="00A54A8A" w:rsidRPr="00E67914" w:rsidRDefault="00000000">
            <w:pPr>
              <w:pStyle w:val="04"/>
              <w:rPr>
                <w:rFonts w:cs="Times New Roman"/>
              </w:rPr>
            </w:pPr>
            <w:r w:rsidRPr="00E67914">
              <w:rPr>
                <w:rFonts w:cs="Times New Roman"/>
              </w:rPr>
              <w:t>/</w:t>
            </w:r>
          </w:p>
        </w:tc>
      </w:tr>
      <w:tr w:rsidR="00E67914" w:rsidRPr="00E67914" w14:paraId="1DF3065A" w14:textId="77777777">
        <w:trPr>
          <w:trHeight w:val="454"/>
          <w:jc w:val="center"/>
        </w:trPr>
        <w:tc>
          <w:tcPr>
            <w:tcW w:w="5859" w:type="dxa"/>
            <w:gridSpan w:val="2"/>
            <w:tcBorders>
              <w:top w:val="single" w:sz="4" w:space="0" w:color="auto"/>
              <w:left w:val="single" w:sz="4" w:space="0" w:color="auto"/>
              <w:bottom w:val="single" w:sz="4" w:space="0" w:color="auto"/>
              <w:right w:val="single" w:sz="4" w:space="0" w:color="auto"/>
            </w:tcBorders>
            <w:vAlign w:val="center"/>
          </w:tcPr>
          <w:p w14:paraId="74582BA6" w14:textId="77777777" w:rsidR="00A54A8A" w:rsidRPr="00E67914" w:rsidRDefault="00000000">
            <w:pPr>
              <w:pStyle w:val="04"/>
              <w:rPr>
                <w:rFonts w:cs="Times New Roman"/>
              </w:rPr>
            </w:pPr>
            <w:r w:rsidRPr="00E67914">
              <w:rPr>
                <w:rFonts w:cs="Times New Roman"/>
              </w:rPr>
              <w:t>最高温度</w:t>
            </w:r>
            <w:r w:rsidRPr="00E67914">
              <w:rPr>
                <w:rFonts w:cs="Times New Roman"/>
              </w:rPr>
              <w:t>/℃</w:t>
            </w:r>
          </w:p>
        </w:tc>
        <w:tc>
          <w:tcPr>
            <w:tcW w:w="2929" w:type="dxa"/>
            <w:tcBorders>
              <w:top w:val="single" w:sz="4" w:space="0" w:color="auto"/>
              <w:left w:val="single" w:sz="4" w:space="0" w:color="auto"/>
              <w:bottom w:val="single" w:sz="4" w:space="0" w:color="auto"/>
              <w:right w:val="single" w:sz="4" w:space="0" w:color="auto"/>
            </w:tcBorders>
            <w:vAlign w:val="center"/>
          </w:tcPr>
          <w:p w14:paraId="758F8520" w14:textId="77777777" w:rsidR="00A54A8A" w:rsidRPr="00E67914" w:rsidRDefault="00000000">
            <w:pPr>
              <w:pStyle w:val="04"/>
              <w:rPr>
                <w:rFonts w:cs="Times New Roman"/>
              </w:rPr>
            </w:pPr>
            <w:r w:rsidRPr="00E67914">
              <w:rPr>
                <w:rFonts w:cs="Times New Roman"/>
              </w:rPr>
              <w:t>41.3</w:t>
            </w:r>
            <w:r w:rsidRPr="00E67914">
              <w:rPr>
                <w:rFonts w:cs="Times New Roman"/>
              </w:rPr>
              <w:t>（宣汉县）</w:t>
            </w:r>
          </w:p>
        </w:tc>
      </w:tr>
      <w:tr w:rsidR="00E67914" w:rsidRPr="00E67914" w14:paraId="1E06D8CE" w14:textId="77777777">
        <w:trPr>
          <w:trHeight w:val="454"/>
          <w:jc w:val="center"/>
        </w:trPr>
        <w:tc>
          <w:tcPr>
            <w:tcW w:w="5859" w:type="dxa"/>
            <w:gridSpan w:val="2"/>
            <w:tcBorders>
              <w:top w:val="single" w:sz="4" w:space="0" w:color="auto"/>
              <w:left w:val="single" w:sz="4" w:space="0" w:color="auto"/>
              <w:bottom w:val="single" w:sz="4" w:space="0" w:color="auto"/>
              <w:right w:val="single" w:sz="4" w:space="0" w:color="auto"/>
            </w:tcBorders>
            <w:vAlign w:val="center"/>
          </w:tcPr>
          <w:p w14:paraId="0F476990" w14:textId="77777777" w:rsidR="00A54A8A" w:rsidRPr="00E67914" w:rsidRDefault="00000000">
            <w:pPr>
              <w:pStyle w:val="04"/>
              <w:rPr>
                <w:rFonts w:cs="Times New Roman"/>
              </w:rPr>
            </w:pPr>
            <w:r w:rsidRPr="00E67914">
              <w:rPr>
                <w:rFonts w:cs="Times New Roman"/>
              </w:rPr>
              <w:t>最低温度</w:t>
            </w:r>
            <w:r w:rsidRPr="00E67914">
              <w:rPr>
                <w:rFonts w:cs="Times New Roman"/>
              </w:rPr>
              <w:t>/℃</w:t>
            </w:r>
          </w:p>
        </w:tc>
        <w:tc>
          <w:tcPr>
            <w:tcW w:w="2929" w:type="dxa"/>
            <w:tcBorders>
              <w:top w:val="single" w:sz="4" w:space="0" w:color="auto"/>
              <w:left w:val="single" w:sz="4" w:space="0" w:color="auto"/>
              <w:bottom w:val="single" w:sz="4" w:space="0" w:color="auto"/>
              <w:right w:val="single" w:sz="4" w:space="0" w:color="auto"/>
            </w:tcBorders>
            <w:vAlign w:val="center"/>
          </w:tcPr>
          <w:p w14:paraId="41A97C00" w14:textId="77777777" w:rsidR="00A54A8A" w:rsidRPr="00E67914" w:rsidRDefault="00000000">
            <w:pPr>
              <w:pStyle w:val="04"/>
              <w:rPr>
                <w:rFonts w:cs="Times New Roman"/>
              </w:rPr>
            </w:pPr>
            <w:r w:rsidRPr="00E67914">
              <w:rPr>
                <w:rFonts w:cs="Times New Roman"/>
              </w:rPr>
              <w:t>-5.3</w:t>
            </w:r>
            <w:r w:rsidRPr="00E67914">
              <w:rPr>
                <w:rFonts w:cs="Times New Roman"/>
              </w:rPr>
              <w:t>（宣汉县）</w:t>
            </w:r>
          </w:p>
        </w:tc>
      </w:tr>
      <w:tr w:rsidR="00E67914" w:rsidRPr="00E67914" w14:paraId="16362D85" w14:textId="77777777">
        <w:trPr>
          <w:trHeight w:val="454"/>
          <w:jc w:val="center"/>
        </w:trPr>
        <w:tc>
          <w:tcPr>
            <w:tcW w:w="5859" w:type="dxa"/>
            <w:gridSpan w:val="2"/>
            <w:tcBorders>
              <w:top w:val="single" w:sz="4" w:space="0" w:color="auto"/>
              <w:left w:val="single" w:sz="4" w:space="0" w:color="auto"/>
              <w:bottom w:val="single" w:sz="4" w:space="0" w:color="auto"/>
              <w:right w:val="single" w:sz="4" w:space="0" w:color="auto"/>
            </w:tcBorders>
            <w:vAlign w:val="center"/>
          </w:tcPr>
          <w:p w14:paraId="07B81149" w14:textId="77777777" w:rsidR="00A54A8A" w:rsidRPr="00E67914" w:rsidRDefault="00000000">
            <w:pPr>
              <w:pStyle w:val="04"/>
              <w:rPr>
                <w:rFonts w:cs="Times New Roman"/>
              </w:rPr>
            </w:pPr>
            <w:r w:rsidRPr="00E67914">
              <w:rPr>
                <w:rFonts w:cs="Times New Roman"/>
              </w:rPr>
              <w:t>土地利用类型</w:t>
            </w:r>
          </w:p>
        </w:tc>
        <w:tc>
          <w:tcPr>
            <w:tcW w:w="2929" w:type="dxa"/>
            <w:tcBorders>
              <w:top w:val="single" w:sz="4" w:space="0" w:color="auto"/>
              <w:left w:val="single" w:sz="4" w:space="0" w:color="auto"/>
              <w:bottom w:val="single" w:sz="4" w:space="0" w:color="auto"/>
              <w:right w:val="single" w:sz="4" w:space="0" w:color="auto"/>
            </w:tcBorders>
            <w:vAlign w:val="center"/>
          </w:tcPr>
          <w:p w14:paraId="3B7BC4B5" w14:textId="77777777" w:rsidR="00A54A8A" w:rsidRPr="00E67914" w:rsidRDefault="00000000">
            <w:pPr>
              <w:pStyle w:val="04"/>
              <w:rPr>
                <w:rFonts w:cs="Times New Roman"/>
              </w:rPr>
            </w:pPr>
            <w:r w:rsidRPr="00E67914">
              <w:rPr>
                <w:rFonts w:cs="Times New Roman"/>
              </w:rPr>
              <w:t>针叶林</w:t>
            </w:r>
          </w:p>
        </w:tc>
      </w:tr>
      <w:tr w:rsidR="00E67914" w:rsidRPr="00E67914" w14:paraId="49D68F5E" w14:textId="77777777">
        <w:trPr>
          <w:trHeight w:val="454"/>
          <w:jc w:val="center"/>
        </w:trPr>
        <w:tc>
          <w:tcPr>
            <w:tcW w:w="5859" w:type="dxa"/>
            <w:gridSpan w:val="2"/>
            <w:tcBorders>
              <w:top w:val="single" w:sz="4" w:space="0" w:color="auto"/>
              <w:left w:val="single" w:sz="4" w:space="0" w:color="auto"/>
              <w:bottom w:val="single" w:sz="4" w:space="0" w:color="auto"/>
              <w:right w:val="single" w:sz="4" w:space="0" w:color="auto"/>
            </w:tcBorders>
            <w:vAlign w:val="center"/>
          </w:tcPr>
          <w:p w14:paraId="377D1205" w14:textId="77777777" w:rsidR="00A54A8A" w:rsidRPr="00E67914" w:rsidRDefault="00000000">
            <w:pPr>
              <w:pStyle w:val="04"/>
              <w:rPr>
                <w:rFonts w:cs="Times New Roman"/>
              </w:rPr>
            </w:pPr>
            <w:r w:rsidRPr="00E67914">
              <w:rPr>
                <w:rFonts w:cs="Times New Roman"/>
              </w:rPr>
              <w:t>区域湿度条件</w:t>
            </w:r>
          </w:p>
        </w:tc>
        <w:tc>
          <w:tcPr>
            <w:tcW w:w="2929" w:type="dxa"/>
            <w:tcBorders>
              <w:top w:val="single" w:sz="4" w:space="0" w:color="auto"/>
              <w:left w:val="single" w:sz="4" w:space="0" w:color="auto"/>
              <w:bottom w:val="single" w:sz="4" w:space="0" w:color="auto"/>
              <w:right w:val="single" w:sz="4" w:space="0" w:color="auto"/>
            </w:tcBorders>
            <w:vAlign w:val="center"/>
          </w:tcPr>
          <w:p w14:paraId="54292753" w14:textId="77777777" w:rsidR="00A54A8A" w:rsidRPr="00E67914" w:rsidRDefault="00000000">
            <w:pPr>
              <w:pStyle w:val="04"/>
              <w:rPr>
                <w:rFonts w:cs="Times New Roman"/>
              </w:rPr>
            </w:pPr>
            <w:r w:rsidRPr="00E67914">
              <w:rPr>
                <w:rFonts w:cs="Times New Roman"/>
              </w:rPr>
              <w:t>中等湿度气候</w:t>
            </w:r>
          </w:p>
        </w:tc>
      </w:tr>
      <w:tr w:rsidR="00E67914" w:rsidRPr="00E67914" w14:paraId="3D6425F4" w14:textId="77777777">
        <w:trPr>
          <w:trHeight w:val="454"/>
          <w:jc w:val="center"/>
        </w:trPr>
        <w:tc>
          <w:tcPr>
            <w:tcW w:w="2930" w:type="dxa"/>
            <w:vMerge w:val="restart"/>
            <w:tcBorders>
              <w:top w:val="single" w:sz="4" w:space="0" w:color="auto"/>
              <w:left w:val="single" w:sz="4" w:space="0" w:color="auto"/>
              <w:bottom w:val="single" w:sz="4" w:space="0" w:color="auto"/>
              <w:right w:val="single" w:sz="4" w:space="0" w:color="auto"/>
            </w:tcBorders>
            <w:vAlign w:val="center"/>
          </w:tcPr>
          <w:p w14:paraId="4746D86C" w14:textId="77777777" w:rsidR="00A54A8A" w:rsidRPr="00E67914" w:rsidRDefault="00000000">
            <w:pPr>
              <w:pStyle w:val="04"/>
              <w:rPr>
                <w:rFonts w:cs="Times New Roman"/>
              </w:rPr>
            </w:pPr>
            <w:r w:rsidRPr="00E67914">
              <w:rPr>
                <w:rFonts w:cs="Times New Roman"/>
              </w:rPr>
              <w:t>是否考虑地形</w:t>
            </w:r>
          </w:p>
        </w:tc>
        <w:tc>
          <w:tcPr>
            <w:tcW w:w="2929" w:type="dxa"/>
            <w:tcBorders>
              <w:top w:val="single" w:sz="4" w:space="0" w:color="auto"/>
              <w:left w:val="single" w:sz="4" w:space="0" w:color="auto"/>
              <w:bottom w:val="single" w:sz="4" w:space="0" w:color="auto"/>
              <w:right w:val="single" w:sz="4" w:space="0" w:color="auto"/>
            </w:tcBorders>
            <w:vAlign w:val="center"/>
          </w:tcPr>
          <w:p w14:paraId="03E987D2" w14:textId="77777777" w:rsidR="00A54A8A" w:rsidRPr="00E67914" w:rsidRDefault="00000000">
            <w:pPr>
              <w:pStyle w:val="04"/>
              <w:rPr>
                <w:rFonts w:cs="Times New Roman"/>
              </w:rPr>
            </w:pPr>
            <w:r w:rsidRPr="00E67914">
              <w:rPr>
                <w:rFonts w:cs="Times New Roman"/>
              </w:rPr>
              <w:t>考虑地形</w:t>
            </w:r>
          </w:p>
        </w:tc>
        <w:tc>
          <w:tcPr>
            <w:tcW w:w="2929" w:type="dxa"/>
            <w:tcBorders>
              <w:top w:val="single" w:sz="4" w:space="0" w:color="auto"/>
              <w:left w:val="single" w:sz="4" w:space="0" w:color="auto"/>
              <w:bottom w:val="single" w:sz="4" w:space="0" w:color="auto"/>
              <w:right w:val="single" w:sz="4" w:space="0" w:color="auto"/>
            </w:tcBorders>
            <w:vAlign w:val="center"/>
          </w:tcPr>
          <w:p w14:paraId="310C3BF0" w14:textId="77777777" w:rsidR="00A54A8A" w:rsidRPr="00E67914" w:rsidRDefault="00000000">
            <w:pPr>
              <w:pStyle w:val="04"/>
              <w:rPr>
                <w:rFonts w:cs="Times New Roman"/>
              </w:rPr>
            </w:pPr>
            <w:r w:rsidRPr="00E67914">
              <w:rPr>
                <w:rFonts w:cs="Times New Roman"/>
              </w:rPr>
              <w:t>■</w:t>
            </w:r>
            <w:r w:rsidRPr="00E67914">
              <w:rPr>
                <w:rFonts w:cs="Times New Roman"/>
              </w:rPr>
              <w:t>是</w:t>
            </w:r>
            <w:r w:rsidRPr="00E67914">
              <w:rPr>
                <w:rFonts w:cs="Times New Roman"/>
              </w:rPr>
              <w:t xml:space="preserve">   □</w:t>
            </w:r>
            <w:r w:rsidRPr="00E67914">
              <w:rPr>
                <w:rFonts w:cs="Times New Roman"/>
              </w:rPr>
              <w:t>否</w:t>
            </w:r>
          </w:p>
        </w:tc>
      </w:tr>
      <w:tr w:rsidR="00E67914" w:rsidRPr="00E67914" w14:paraId="3EAAA101" w14:textId="77777777">
        <w:trPr>
          <w:trHeight w:val="454"/>
          <w:jc w:val="center"/>
        </w:trPr>
        <w:tc>
          <w:tcPr>
            <w:tcW w:w="2930" w:type="dxa"/>
            <w:vMerge/>
            <w:tcBorders>
              <w:top w:val="single" w:sz="4" w:space="0" w:color="auto"/>
              <w:left w:val="single" w:sz="4" w:space="0" w:color="auto"/>
              <w:bottom w:val="single" w:sz="4" w:space="0" w:color="auto"/>
              <w:right w:val="single" w:sz="4" w:space="0" w:color="auto"/>
            </w:tcBorders>
            <w:vAlign w:val="center"/>
          </w:tcPr>
          <w:p w14:paraId="4610CB38" w14:textId="77777777" w:rsidR="00A54A8A" w:rsidRPr="00E67914" w:rsidRDefault="00A54A8A">
            <w:pPr>
              <w:pStyle w:val="04"/>
              <w:rPr>
                <w:rFonts w:cs="Times New Roman"/>
              </w:rPr>
            </w:pPr>
          </w:p>
        </w:tc>
        <w:tc>
          <w:tcPr>
            <w:tcW w:w="2929" w:type="dxa"/>
            <w:tcBorders>
              <w:top w:val="single" w:sz="4" w:space="0" w:color="auto"/>
              <w:left w:val="single" w:sz="4" w:space="0" w:color="auto"/>
              <w:bottom w:val="single" w:sz="4" w:space="0" w:color="auto"/>
              <w:right w:val="single" w:sz="4" w:space="0" w:color="auto"/>
            </w:tcBorders>
            <w:vAlign w:val="center"/>
          </w:tcPr>
          <w:p w14:paraId="0D510B6C" w14:textId="77777777" w:rsidR="00A54A8A" w:rsidRPr="00E67914" w:rsidRDefault="00000000">
            <w:pPr>
              <w:pStyle w:val="04"/>
              <w:rPr>
                <w:rFonts w:cs="Times New Roman"/>
              </w:rPr>
            </w:pPr>
            <w:r w:rsidRPr="00E67914">
              <w:rPr>
                <w:rFonts w:cs="Times New Roman"/>
              </w:rPr>
              <w:t>地形数据分辨率</w:t>
            </w:r>
            <w:r w:rsidRPr="00E67914">
              <w:rPr>
                <w:rFonts w:cs="Times New Roman"/>
              </w:rPr>
              <w:t>/m</w:t>
            </w:r>
          </w:p>
        </w:tc>
        <w:tc>
          <w:tcPr>
            <w:tcW w:w="2929" w:type="dxa"/>
            <w:tcBorders>
              <w:top w:val="single" w:sz="4" w:space="0" w:color="auto"/>
              <w:left w:val="single" w:sz="4" w:space="0" w:color="auto"/>
              <w:bottom w:val="single" w:sz="4" w:space="0" w:color="auto"/>
              <w:right w:val="single" w:sz="4" w:space="0" w:color="auto"/>
            </w:tcBorders>
            <w:vAlign w:val="center"/>
          </w:tcPr>
          <w:p w14:paraId="792FED2C" w14:textId="77777777" w:rsidR="00A54A8A" w:rsidRPr="00E67914" w:rsidRDefault="00000000">
            <w:pPr>
              <w:pStyle w:val="04"/>
              <w:rPr>
                <w:rFonts w:cs="Times New Roman"/>
              </w:rPr>
            </w:pPr>
            <w:r w:rsidRPr="00E67914">
              <w:rPr>
                <w:rFonts w:cs="Times New Roman"/>
              </w:rPr>
              <w:t>/</w:t>
            </w:r>
          </w:p>
        </w:tc>
      </w:tr>
      <w:tr w:rsidR="00E67914" w:rsidRPr="00E67914" w14:paraId="208FDF63" w14:textId="77777777">
        <w:trPr>
          <w:trHeight w:val="454"/>
          <w:jc w:val="center"/>
        </w:trPr>
        <w:tc>
          <w:tcPr>
            <w:tcW w:w="2930" w:type="dxa"/>
            <w:vMerge w:val="restart"/>
            <w:tcBorders>
              <w:top w:val="single" w:sz="4" w:space="0" w:color="auto"/>
              <w:left w:val="single" w:sz="4" w:space="0" w:color="auto"/>
              <w:bottom w:val="single" w:sz="4" w:space="0" w:color="auto"/>
              <w:right w:val="single" w:sz="4" w:space="0" w:color="auto"/>
            </w:tcBorders>
            <w:vAlign w:val="center"/>
          </w:tcPr>
          <w:p w14:paraId="32EF6C1F" w14:textId="77777777" w:rsidR="00A54A8A" w:rsidRPr="00E67914" w:rsidRDefault="00000000">
            <w:pPr>
              <w:pStyle w:val="04"/>
              <w:rPr>
                <w:rFonts w:cs="Times New Roman"/>
              </w:rPr>
            </w:pPr>
            <w:r w:rsidRPr="00E67914">
              <w:rPr>
                <w:rFonts w:cs="Times New Roman"/>
              </w:rPr>
              <w:t>是否考虑岸线熏烟</w:t>
            </w:r>
          </w:p>
        </w:tc>
        <w:tc>
          <w:tcPr>
            <w:tcW w:w="2929" w:type="dxa"/>
            <w:tcBorders>
              <w:top w:val="single" w:sz="4" w:space="0" w:color="auto"/>
              <w:left w:val="single" w:sz="4" w:space="0" w:color="auto"/>
              <w:bottom w:val="single" w:sz="4" w:space="0" w:color="auto"/>
              <w:right w:val="single" w:sz="4" w:space="0" w:color="auto"/>
            </w:tcBorders>
            <w:vAlign w:val="center"/>
          </w:tcPr>
          <w:p w14:paraId="2613A30D" w14:textId="77777777" w:rsidR="00A54A8A" w:rsidRPr="00E67914" w:rsidRDefault="00000000">
            <w:pPr>
              <w:pStyle w:val="04"/>
              <w:rPr>
                <w:rFonts w:cs="Times New Roman"/>
              </w:rPr>
            </w:pPr>
            <w:r w:rsidRPr="00E67914">
              <w:rPr>
                <w:rFonts w:cs="Times New Roman"/>
              </w:rPr>
              <w:t>考虑岸线熏烟</w:t>
            </w:r>
          </w:p>
        </w:tc>
        <w:tc>
          <w:tcPr>
            <w:tcW w:w="2929" w:type="dxa"/>
            <w:tcBorders>
              <w:top w:val="single" w:sz="4" w:space="0" w:color="auto"/>
              <w:left w:val="single" w:sz="4" w:space="0" w:color="auto"/>
              <w:bottom w:val="single" w:sz="4" w:space="0" w:color="auto"/>
              <w:right w:val="single" w:sz="4" w:space="0" w:color="auto"/>
            </w:tcBorders>
            <w:vAlign w:val="center"/>
          </w:tcPr>
          <w:p w14:paraId="5A62EFA1" w14:textId="77777777" w:rsidR="00A54A8A" w:rsidRPr="00E67914" w:rsidRDefault="00000000">
            <w:pPr>
              <w:pStyle w:val="04"/>
              <w:rPr>
                <w:rFonts w:cs="Times New Roman"/>
              </w:rPr>
            </w:pPr>
            <w:r w:rsidRPr="00E67914">
              <w:rPr>
                <w:rFonts w:cs="Times New Roman"/>
              </w:rPr>
              <w:t>□</w:t>
            </w:r>
            <w:r w:rsidRPr="00E67914">
              <w:rPr>
                <w:rFonts w:cs="Times New Roman"/>
              </w:rPr>
              <w:t>是</w:t>
            </w:r>
            <w:r w:rsidRPr="00E67914">
              <w:rPr>
                <w:rFonts w:cs="Times New Roman"/>
              </w:rPr>
              <w:t xml:space="preserve">   ■</w:t>
            </w:r>
            <w:r w:rsidRPr="00E67914">
              <w:rPr>
                <w:rFonts w:cs="Times New Roman"/>
              </w:rPr>
              <w:t>否</w:t>
            </w:r>
          </w:p>
        </w:tc>
      </w:tr>
      <w:tr w:rsidR="00E67914" w:rsidRPr="00E67914" w14:paraId="03427C35" w14:textId="77777777">
        <w:trPr>
          <w:trHeight w:val="454"/>
          <w:jc w:val="center"/>
        </w:trPr>
        <w:tc>
          <w:tcPr>
            <w:tcW w:w="2930" w:type="dxa"/>
            <w:vMerge/>
            <w:tcBorders>
              <w:top w:val="single" w:sz="4" w:space="0" w:color="auto"/>
              <w:left w:val="single" w:sz="4" w:space="0" w:color="auto"/>
              <w:bottom w:val="single" w:sz="4" w:space="0" w:color="auto"/>
              <w:right w:val="single" w:sz="4" w:space="0" w:color="auto"/>
            </w:tcBorders>
            <w:vAlign w:val="center"/>
          </w:tcPr>
          <w:p w14:paraId="4A79A205" w14:textId="77777777" w:rsidR="00A54A8A" w:rsidRPr="00E67914" w:rsidRDefault="00A54A8A">
            <w:pPr>
              <w:pStyle w:val="04"/>
              <w:rPr>
                <w:rFonts w:cs="Times New Roman"/>
              </w:rPr>
            </w:pPr>
          </w:p>
        </w:tc>
        <w:tc>
          <w:tcPr>
            <w:tcW w:w="2929" w:type="dxa"/>
            <w:tcBorders>
              <w:top w:val="single" w:sz="4" w:space="0" w:color="auto"/>
              <w:left w:val="single" w:sz="4" w:space="0" w:color="auto"/>
              <w:bottom w:val="single" w:sz="4" w:space="0" w:color="auto"/>
              <w:right w:val="single" w:sz="4" w:space="0" w:color="auto"/>
            </w:tcBorders>
            <w:vAlign w:val="center"/>
          </w:tcPr>
          <w:p w14:paraId="3749777A" w14:textId="77777777" w:rsidR="00A54A8A" w:rsidRPr="00E67914" w:rsidRDefault="00000000">
            <w:pPr>
              <w:pStyle w:val="04"/>
              <w:rPr>
                <w:rFonts w:cs="Times New Roman"/>
              </w:rPr>
            </w:pPr>
            <w:r w:rsidRPr="00E67914">
              <w:rPr>
                <w:rFonts w:cs="Times New Roman"/>
              </w:rPr>
              <w:t>岸线距离</w:t>
            </w:r>
            <w:r w:rsidRPr="00E67914">
              <w:rPr>
                <w:rFonts w:cs="Times New Roman"/>
              </w:rPr>
              <w:t>/km</w:t>
            </w:r>
          </w:p>
        </w:tc>
        <w:tc>
          <w:tcPr>
            <w:tcW w:w="2929" w:type="dxa"/>
            <w:tcBorders>
              <w:top w:val="single" w:sz="4" w:space="0" w:color="auto"/>
              <w:left w:val="single" w:sz="4" w:space="0" w:color="auto"/>
              <w:bottom w:val="single" w:sz="4" w:space="0" w:color="auto"/>
              <w:right w:val="single" w:sz="4" w:space="0" w:color="auto"/>
            </w:tcBorders>
            <w:vAlign w:val="center"/>
          </w:tcPr>
          <w:p w14:paraId="18795F1C" w14:textId="77777777" w:rsidR="00A54A8A" w:rsidRPr="00E67914" w:rsidRDefault="00000000">
            <w:pPr>
              <w:pStyle w:val="04"/>
              <w:rPr>
                <w:rFonts w:cs="Times New Roman"/>
              </w:rPr>
            </w:pPr>
            <w:r w:rsidRPr="00E67914">
              <w:rPr>
                <w:rFonts w:cs="Times New Roman"/>
              </w:rPr>
              <w:t>/</w:t>
            </w:r>
          </w:p>
        </w:tc>
      </w:tr>
      <w:tr w:rsidR="00A54A8A" w:rsidRPr="00E67914" w14:paraId="3ED493D4" w14:textId="77777777">
        <w:trPr>
          <w:trHeight w:val="454"/>
          <w:jc w:val="center"/>
        </w:trPr>
        <w:tc>
          <w:tcPr>
            <w:tcW w:w="2930" w:type="dxa"/>
            <w:vMerge/>
            <w:tcBorders>
              <w:top w:val="single" w:sz="4" w:space="0" w:color="auto"/>
              <w:left w:val="single" w:sz="4" w:space="0" w:color="auto"/>
              <w:bottom w:val="single" w:sz="4" w:space="0" w:color="auto"/>
              <w:right w:val="single" w:sz="4" w:space="0" w:color="auto"/>
            </w:tcBorders>
            <w:vAlign w:val="center"/>
          </w:tcPr>
          <w:p w14:paraId="28A3B839" w14:textId="77777777" w:rsidR="00A54A8A" w:rsidRPr="00E67914" w:rsidRDefault="00A54A8A">
            <w:pPr>
              <w:pStyle w:val="04"/>
              <w:rPr>
                <w:rFonts w:cs="Times New Roman"/>
              </w:rPr>
            </w:pPr>
          </w:p>
        </w:tc>
        <w:tc>
          <w:tcPr>
            <w:tcW w:w="2929" w:type="dxa"/>
            <w:tcBorders>
              <w:top w:val="single" w:sz="4" w:space="0" w:color="auto"/>
              <w:left w:val="single" w:sz="4" w:space="0" w:color="auto"/>
              <w:bottom w:val="single" w:sz="4" w:space="0" w:color="auto"/>
              <w:right w:val="single" w:sz="4" w:space="0" w:color="auto"/>
            </w:tcBorders>
            <w:vAlign w:val="center"/>
          </w:tcPr>
          <w:p w14:paraId="2BDF3AAD" w14:textId="77777777" w:rsidR="00A54A8A" w:rsidRPr="00E67914" w:rsidRDefault="00000000">
            <w:pPr>
              <w:pStyle w:val="04"/>
              <w:rPr>
                <w:rFonts w:cs="Times New Roman"/>
              </w:rPr>
            </w:pPr>
            <w:r w:rsidRPr="00E67914">
              <w:rPr>
                <w:rFonts w:cs="Times New Roman"/>
              </w:rPr>
              <w:t>岸线方向</w:t>
            </w:r>
            <w:r w:rsidRPr="00E67914">
              <w:rPr>
                <w:rFonts w:cs="Times New Roman"/>
              </w:rPr>
              <w:t>/°</w:t>
            </w:r>
          </w:p>
        </w:tc>
        <w:tc>
          <w:tcPr>
            <w:tcW w:w="2929" w:type="dxa"/>
            <w:tcBorders>
              <w:top w:val="single" w:sz="4" w:space="0" w:color="auto"/>
              <w:left w:val="single" w:sz="4" w:space="0" w:color="auto"/>
              <w:bottom w:val="single" w:sz="4" w:space="0" w:color="auto"/>
              <w:right w:val="single" w:sz="4" w:space="0" w:color="auto"/>
            </w:tcBorders>
            <w:vAlign w:val="center"/>
          </w:tcPr>
          <w:p w14:paraId="2DDAD2C5" w14:textId="77777777" w:rsidR="00A54A8A" w:rsidRPr="00E67914" w:rsidRDefault="00000000">
            <w:pPr>
              <w:pStyle w:val="04"/>
              <w:rPr>
                <w:rFonts w:cs="Times New Roman"/>
              </w:rPr>
            </w:pPr>
            <w:r w:rsidRPr="00E67914">
              <w:rPr>
                <w:rFonts w:cs="Times New Roman"/>
              </w:rPr>
              <w:t>/</w:t>
            </w:r>
          </w:p>
        </w:tc>
      </w:tr>
    </w:tbl>
    <w:p w14:paraId="7C37F1B2" w14:textId="77777777" w:rsidR="00A54A8A" w:rsidRPr="00E67914" w:rsidRDefault="00A54A8A">
      <w:pPr>
        <w:pStyle w:val="afffff0"/>
        <w:spacing w:before="163" w:after="163"/>
        <w:rPr>
          <w:rFonts w:ascii="Times New Roman"/>
        </w:rPr>
        <w:sectPr w:rsidR="00A54A8A" w:rsidRPr="00E67914">
          <w:pgSz w:w="11906" w:h="16838"/>
          <w:pgMar w:top="1418" w:right="1418" w:bottom="1418" w:left="1418" w:header="851" w:footer="992" w:gutter="0"/>
          <w:cols w:space="425"/>
          <w:docGrid w:type="linesAndChars" w:linePitch="326"/>
        </w:sectPr>
      </w:pPr>
    </w:p>
    <w:p w14:paraId="160AF430" w14:textId="40038B5A" w:rsidR="00FE4B5B" w:rsidRPr="00E67914" w:rsidRDefault="00FE4B5B" w:rsidP="00FE4B5B">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lastRenderedPageBreak/>
        <w:t>（</w:t>
      </w:r>
      <w:r w:rsidRPr="00E67914">
        <w:rPr>
          <w:rFonts w:ascii="Times New Roman" w:hAnsi="Times New Roman"/>
          <w:bCs/>
          <w:sz w:val="24"/>
          <w:szCs w:val="24"/>
          <w:lang w:eastAsia="zh-CN"/>
        </w:rPr>
        <w:t>1</w:t>
      </w:r>
      <w:r w:rsidRPr="00E67914">
        <w:rPr>
          <w:rFonts w:ascii="Times New Roman" w:hAnsi="Times New Roman"/>
          <w:bCs/>
          <w:sz w:val="24"/>
          <w:szCs w:val="24"/>
          <w:lang w:eastAsia="zh-CN"/>
        </w:rPr>
        <w:t>）水套加热炉燃烧废气</w:t>
      </w:r>
    </w:p>
    <w:p w14:paraId="09403706" w14:textId="3D468EE8" w:rsidR="00A54A8A" w:rsidRPr="00E67914" w:rsidRDefault="00000000">
      <w:pPr>
        <w:jc w:val="center"/>
        <w:rPr>
          <w:rFonts w:ascii="Times New Roman" w:eastAsia="黑体" w:hAnsi="Times New Roman"/>
          <w:kern w:val="2"/>
          <w:lang w:eastAsia="zh-CN"/>
        </w:rPr>
      </w:pPr>
      <w:r w:rsidRPr="00E67914">
        <w:rPr>
          <w:rFonts w:ascii="Times New Roman" w:eastAsia="黑体" w:hAnsi="Times New Roman"/>
          <w:kern w:val="2"/>
          <w:lang w:eastAsia="zh-CN"/>
        </w:rPr>
        <w:t>表</w:t>
      </w:r>
      <w:r w:rsidRPr="00E67914">
        <w:rPr>
          <w:rFonts w:ascii="Times New Roman" w:eastAsia="黑体" w:hAnsi="Times New Roman"/>
          <w:kern w:val="2"/>
          <w:lang w:eastAsia="zh-CN"/>
        </w:rPr>
        <w:t>5.2-</w:t>
      </w:r>
      <w:r w:rsidR="00CB4B0C" w:rsidRPr="00E67914">
        <w:rPr>
          <w:rFonts w:ascii="Times New Roman" w:eastAsia="黑体" w:hAnsi="Times New Roman"/>
          <w:kern w:val="2"/>
          <w:lang w:eastAsia="zh-CN"/>
        </w:rPr>
        <w:t>4</w:t>
      </w:r>
      <w:r w:rsidRPr="00E67914">
        <w:rPr>
          <w:rFonts w:ascii="Times New Roman" w:eastAsia="黑体" w:hAnsi="Times New Roman"/>
          <w:kern w:val="2"/>
          <w:lang w:eastAsia="zh-CN"/>
        </w:rPr>
        <w:t xml:space="preserve">  </w:t>
      </w:r>
      <w:r w:rsidRPr="00E67914">
        <w:rPr>
          <w:rFonts w:ascii="Times New Roman" w:eastAsia="黑体" w:hAnsi="Times New Roman"/>
          <w:kern w:val="2"/>
          <w:lang w:eastAsia="zh-CN"/>
        </w:rPr>
        <w:t>水套加热炉估算模式计算结果一览表</w:t>
      </w:r>
    </w:p>
    <w:tbl>
      <w:tblPr>
        <w:tblW w:w="5000" w:type="pct"/>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2275"/>
        <w:gridCol w:w="2020"/>
        <w:gridCol w:w="1935"/>
        <w:gridCol w:w="1985"/>
        <w:gridCol w:w="1901"/>
        <w:gridCol w:w="1985"/>
        <w:gridCol w:w="1901"/>
      </w:tblGrid>
      <w:tr w:rsidR="00E67914" w:rsidRPr="00E67914" w14:paraId="3C904F1F" w14:textId="384FBFE2" w:rsidTr="00220395">
        <w:tc>
          <w:tcPr>
            <w:tcW w:w="812" w:type="pct"/>
            <w:vMerge w:val="restart"/>
            <w:vAlign w:val="center"/>
          </w:tcPr>
          <w:p w14:paraId="7F8B904E" w14:textId="1574A7D3" w:rsidR="00220395" w:rsidRPr="00E67914" w:rsidRDefault="00220395" w:rsidP="00220395">
            <w:pPr>
              <w:adjustRightInd w:val="0"/>
              <w:snapToGrid w:val="0"/>
              <w:jc w:val="center"/>
              <w:rPr>
                <w:rFonts w:ascii="Times New Roman" w:hAnsi="Times New Roman"/>
                <w:b/>
                <w:bCs/>
                <w:sz w:val="21"/>
                <w:szCs w:val="21"/>
              </w:rPr>
            </w:pPr>
            <w:r w:rsidRPr="00E67914">
              <w:rPr>
                <w:rFonts w:ascii="Times New Roman" w:hAnsi="Times New Roman"/>
                <w:b/>
                <w:bCs/>
                <w:sz w:val="21"/>
                <w:szCs w:val="21"/>
              </w:rPr>
              <w:t>下风向距离</w:t>
            </w:r>
            <w:r w:rsidR="002E542D" w:rsidRPr="00E67914">
              <w:rPr>
                <w:rFonts w:ascii="Times New Roman" w:hAnsi="Times New Roman"/>
                <w:b/>
                <w:bCs/>
                <w:sz w:val="21"/>
                <w:szCs w:val="21"/>
                <w:lang w:eastAsia="zh-CN"/>
              </w:rPr>
              <w:t>（</w:t>
            </w:r>
            <w:r w:rsidR="002E542D" w:rsidRPr="00E67914">
              <w:rPr>
                <w:rFonts w:ascii="Times New Roman" w:hAnsi="Times New Roman"/>
                <w:b/>
                <w:bCs/>
                <w:sz w:val="21"/>
                <w:szCs w:val="21"/>
                <w:lang w:eastAsia="zh-CN"/>
              </w:rPr>
              <w:t>m</w:t>
            </w:r>
            <w:r w:rsidR="002E542D" w:rsidRPr="00E67914">
              <w:rPr>
                <w:rFonts w:ascii="Times New Roman" w:hAnsi="Times New Roman"/>
                <w:b/>
                <w:bCs/>
                <w:sz w:val="21"/>
                <w:szCs w:val="21"/>
                <w:lang w:eastAsia="zh-CN"/>
              </w:rPr>
              <w:t>）</w:t>
            </w:r>
          </w:p>
        </w:tc>
        <w:tc>
          <w:tcPr>
            <w:tcW w:w="4188" w:type="pct"/>
            <w:gridSpan w:val="6"/>
            <w:vAlign w:val="center"/>
          </w:tcPr>
          <w:p w14:paraId="66810DE7" w14:textId="6CC968B9" w:rsidR="00220395" w:rsidRPr="00E67914" w:rsidRDefault="00220395" w:rsidP="00220395">
            <w:pPr>
              <w:adjustRightInd w:val="0"/>
              <w:snapToGrid w:val="0"/>
              <w:jc w:val="center"/>
              <w:rPr>
                <w:rFonts w:ascii="Times New Roman" w:hAnsi="Times New Roman"/>
                <w:b/>
                <w:bCs/>
                <w:sz w:val="21"/>
                <w:szCs w:val="21"/>
              </w:rPr>
            </w:pPr>
            <w:r w:rsidRPr="00E67914">
              <w:rPr>
                <w:rFonts w:ascii="Times New Roman" w:hAnsi="Times New Roman"/>
                <w:b/>
                <w:bCs/>
                <w:sz w:val="21"/>
                <w:szCs w:val="21"/>
              </w:rPr>
              <w:t>水套加热炉</w:t>
            </w:r>
          </w:p>
        </w:tc>
      </w:tr>
      <w:tr w:rsidR="00E67914" w:rsidRPr="00E67914" w14:paraId="6B9CF1CE" w14:textId="7FFF37B9" w:rsidTr="00220395">
        <w:tc>
          <w:tcPr>
            <w:tcW w:w="812" w:type="pct"/>
            <w:vMerge/>
            <w:vAlign w:val="center"/>
          </w:tcPr>
          <w:p w14:paraId="07383720" w14:textId="77777777" w:rsidR="00220395" w:rsidRPr="00E67914" w:rsidRDefault="00220395" w:rsidP="00220395">
            <w:pPr>
              <w:adjustRightInd w:val="0"/>
              <w:snapToGrid w:val="0"/>
              <w:jc w:val="center"/>
              <w:rPr>
                <w:rFonts w:ascii="Times New Roman" w:hAnsi="Times New Roman"/>
                <w:b/>
                <w:bCs/>
                <w:sz w:val="21"/>
                <w:szCs w:val="21"/>
              </w:rPr>
            </w:pPr>
          </w:p>
        </w:tc>
        <w:tc>
          <w:tcPr>
            <w:tcW w:w="721" w:type="pct"/>
            <w:vAlign w:val="center"/>
          </w:tcPr>
          <w:p w14:paraId="12A77875" w14:textId="606024C8" w:rsidR="00220395" w:rsidRPr="00E67914" w:rsidRDefault="00220395" w:rsidP="00220395">
            <w:pPr>
              <w:adjustRightInd w:val="0"/>
              <w:snapToGrid w:val="0"/>
              <w:jc w:val="center"/>
              <w:rPr>
                <w:rFonts w:ascii="Times New Roman" w:hAnsi="Times New Roman"/>
                <w:b/>
                <w:bCs/>
                <w:sz w:val="21"/>
                <w:szCs w:val="21"/>
              </w:rPr>
            </w:pPr>
            <w:r w:rsidRPr="00E67914">
              <w:rPr>
                <w:rFonts w:ascii="Times New Roman" w:hAnsi="Times New Roman"/>
                <w:b/>
                <w:bCs/>
                <w:sz w:val="21"/>
                <w:szCs w:val="21"/>
                <w:lang w:eastAsia="zh-CN"/>
              </w:rPr>
              <w:t>SO</w:t>
            </w:r>
            <w:r w:rsidRPr="00E67914">
              <w:rPr>
                <w:rFonts w:ascii="Times New Roman" w:hAnsi="Times New Roman"/>
                <w:b/>
                <w:bCs/>
                <w:sz w:val="21"/>
                <w:szCs w:val="21"/>
                <w:vertAlign w:val="subscript"/>
              </w:rPr>
              <w:t>2</w:t>
            </w:r>
            <w:r w:rsidRPr="00E67914">
              <w:rPr>
                <w:rFonts w:ascii="Times New Roman" w:hAnsi="Times New Roman"/>
                <w:b/>
                <w:bCs/>
                <w:sz w:val="21"/>
                <w:szCs w:val="21"/>
              </w:rPr>
              <w:t>浓度</w:t>
            </w:r>
            <w:r w:rsidRPr="00E67914">
              <w:rPr>
                <w:rFonts w:ascii="Times New Roman" w:hAnsi="Times New Roman"/>
                <w:b/>
                <w:bCs/>
                <w:sz w:val="21"/>
                <w:szCs w:val="21"/>
              </w:rPr>
              <w:t>(μg/m³)</w:t>
            </w:r>
          </w:p>
        </w:tc>
        <w:tc>
          <w:tcPr>
            <w:tcW w:w="691" w:type="pct"/>
            <w:vAlign w:val="center"/>
          </w:tcPr>
          <w:p w14:paraId="3DC4CBF6" w14:textId="7AE89C1D" w:rsidR="00220395" w:rsidRPr="00E67914" w:rsidRDefault="00220395" w:rsidP="00220395">
            <w:pPr>
              <w:adjustRightInd w:val="0"/>
              <w:snapToGrid w:val="0"/>
              <w:jc w:val="center"/>
              <w:rPr>
                <w:rFonts w:ascii="Times New Roman" w:hAnsi="Times New Roman"/>
                <w:b/>
                <w:bCs/>
                <w:sz w:val="21"/>
                <w:szCs w:val="21"/>
              </w:rPr>
            </w:pPr>
            <w:r w:rsidRPr="00E67914">
              <w:rPr>
                <w:rFonts w:ascii="Times New Roman" w:hAnsi="Times New Roman"/>
                <w:b/>
                <w:bCs/>
                <w:sz w:val="21"/>
                <w:szCs w:val="21"/>
                <w:lang w:eastAsia="zh-CN"/>
              </w:rPr>
              <w:t>SO</w:t>
            </w:r>
            <w:r w:rsidRPr="00E67914">
              <w:rPr>
                <w:rFonts w:ascii="Times New Roman" w:hAnsi="Times New Roman"/>
                <w:b/>
                <w:bCs/>
                <w:sz w:val="21"/>
                <w:szCs w:val="21"/>
                <w:vertAlign w:val="subscript"/>
              </w:rPr>
              <w:t>2</w:t>
            </w:r>
            <w:r w:rsidRPr="00E67914">
              <w:rPr>
                <w:rFonts w:ascii="Times New Roman" w:hAnsi="Times New Roman"/>
                <w:b/>
                <w:bCs/>
                <w:sz w:val="21"/>
                <w:szCs w:val="21"/>
              </w:rPr>
              <w:t>占标率</w:t>
            </w:r>
            <w:r w:rsidRPr="00E67914">
              <w:rPr>
                <w:rFonts w:ascii="Times New Roman" w:hAnsi="Times New Roman"/>
                <w:b/>
                <w:bCs/>
                <w:sz w:val="21"/>
                <w:szCs w:val="21"/>
              </w:rPr>
              <w:t>(%)</w:t>
            </w:r>
          </w:p>
        </w:tc>
        <w:tc>
          <w:tcPr>
            <w:tcW w:w="709" w:type="pct"/>
            <w:vAlign w:val="center"/>
          </w:tcPr>
          <w:p w14:paraId="41D183B2" w14:textId="476B8F52" w:rsidR="00220395" w:rsidRPr="00E67914" w:rsidRDefault="00220395" w:rsidP="00220395">
            <w:pPr>
              <w:adjustRightInd w:val="0"/>
              <w:snapToGrid w:val="0"/>
              <w:jc w:val="center"/>
              <w:rPr>
                <w:rFonts w:ascii="Times New Roman" w:hAnsi="Times New Roman"/>
                <w:b/>
                <w:bCs/>
                <w:sz w:val="21"/>
                <w:szCs w:val="21"/>
              </w:rPr>
            </w:pPr>
            <w:r w:rsidRPr="00E67914">
              <w:rPr>
                <w:rFonts w:ascii="Times New Roman" w:hAnsi="Times New Roman"/>
                <w:b/>
                <w:bCs/>
                <w:sz w:val="21"/>
                <w:szCs w:val="21"/>
              </w:rPr>
              <w:t>NOx</w:t>
            </w:r>
            <w:r w:rsidRPr="00E67914">
              <w:rPr>
                <w:rFonts w:ascii="Times New Roman" w:hAnsi="Times New Roman"/>
                <w:b/>
                <w:bCs/>
                <w:sz w:val="21"/>
                <w:szCs w:val="21"/>
              </w:rPr>
              <w:t>浓度</w:t>
            </w:r>
            <w:r w:rsidRPr="00E67914">
              <w:rPr>
                <w:rFonts w:ascii="Times New Roman" w:hAnsi="Times New Roman"/>
                <w:b/>
                <w:bCs/>
                <w:sz w:val="21"/>
                <w:szCs w:val="21"/>
              </w:rPr>
              <w:t>(μg/m³)</w:t>
            </w:r>
          </w:p>
        </w:tc>
        <w:tc>
          <w:tcPr>
            <w:tcW w:w="679" w:type="pct"/>
            <w:vAlign w:val="center"/>
          </w:tcPr>
          <w:p w14:paraId="1DB609A6" w14:textId="5942E9E5" w:rsidR="00220395" w:rsidRPr="00E67914" w:rsidRDefault="00220395" w:rsidP="00220395">
            <w:pPr>
              <w:adjustRightInd w:val="0"/>
              <w:snapToGrid w:val="0"/>
              <w:jc w:val="center"/>
              <w:rPr>
                <w:rFonts w:ascii="Times New Roman" w:hAnsi="Times New Roman"/>
                <w:b/>
                <w:bCs/>
                <w:sz w:val="21"/>
                <w:szCs w:val="21"/>
              </w:rPr>
            </w:pPr>
            <w:r w:rsidRPr="00E67914">
              <w:rPr>
                <w:rFonts w:ascii="Times New Roman" w:hAnsi="Times New Roman"/>
                <w:b/>
                <w:bCs/>
                <w:sz w:val="21"/>
                <w:szCs w:val="21"/>
              </w:rPr>
              <w:t>NOx</w:t>
            </w:r>
            <w:r w:rsidRPr="00E67914">
              <w:rPr>
                <w:rFonts w:ascii="Times New Roman" w:hAnsi="Times New Roman"/>
                <w:b/>
                <w:bCs/>
                <w:sz w:val="21"/>
                <w:szCs w:val="21"/>
              </w:rPr>
              <w:t>占标率</w:t>
            </w:r>
            <w:r w:rsidRPr="00E67914">
              <w:rPr>
                <w:rFonts w:ascii="Times New Roman" w:hAnsi="Times New Roman"/>
                <w:b/>
                <w:bCs/>
                <w:sz w:val="21"/>
                <w:szCs w:val="21"/>
              </w:rPr>
              <w:t>(%)</w:t>
            </w:r>
          </w:p>
        </w:tc>
        <w:tc>
          <w:tcPr>
            <w:tcW w:w="709" w:type="pct"/>
            <w:vAlign w:val="center"/>
          </w:tcPr>
          <w:p w14:paraId="2503C98B" w14:textId="39ACCB90"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TSP</w:t>
            </w:r>
            <w:r w:rsidRPr="00E67914">
              <w:rPr>
                <w:rFonts w:ascii="Times New Roman" w:hAnsi="Times New Roman"/>
                <w:b/>
                <w:bCs/>
                <w:sz w:val="21"/>
                <w:szCs w:val="21"/>
              </w:rPr>
              <w:t>浓度</w:t>
            </w:r>
            <w:r w:rsidRPr="00E67914">
              <w:rPr>
                <w:rFonts w:ascii="Times New Roman" w:hAnsi="Times New Roman"/>
                <w:b/>
                <w:bCs/>
                <w:sz w:val="21"/>
                <w:szCs w:val="21"/>
              </w:rPr>
              <w:t>(μg/m³)</w:t>
            </w:r>
          </w:p>
        </w:tc>
        <w:tc>
          <w:tcPr>
            <w:tcW w:w="679" w:type="pct"/>
            <w:vAlign w:val="center"/>
          </w:tcPr>
          <w:p w14:paraId="7D09A81E" w14:textId="350A3578"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TSP</w:t>
            </w:r>
            <w:r w:rsidRPr="00E67914">
              <w:rPr>
                <w:rFonts w:ascii="Times New Roman" w:hAnsi="Times New Roman"/>
                <w:b/>
                <w:bCs/>
                <w:sz w:val="21"/>
                <w:szCs w:val="21"/>
              </w:rPr>
              <w:t>占标率</w:t>
            </w:r>
            <w:r w:rsidRPr="00E67914">
              <w:rPr>
                <w:rFonts w:ascii="Times New Roman" w:hAnsi="Times New Roman"/>
                <w:b/>
                <w:bCs/>
                <w:sz w:val="21"/>
                <w:szCs w:val="21"/>
              </w:rPr>
              <w:t>(%)</w:t>
            </w:r>
          </w:p>
        </w:tc>
      </w:tr>
      <w:tr w:rsidR="00E67914" w:rsidRPr="00E67914" w14:paraId="368DB7A5" w14:textId="76838719" w:rsidTr="001A4741">
        <w:tc>
          <w:tcPr>
            <w:tcW w:w="812" w:type="pct"/>
            <w:vAlign w:val="center"/>
          </w:tcPr>
          <w:p w14:paraId="7EF55721" w14:textId="5F014B68"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721" w:type="pct"/>
          </w:tcPr>
          <w:p w14:paraId="251C9163" w14:textId="2D1D666B"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1.0142</w:t>
            </w:r>
          </w:p>
        </w:tc>
        <w:tc>
          <w:tcPr>
            <w:tcW w:w="691" w:type="pct"/>
          </w:tcPr>
          <w:p w14:paraId="54025B4E" w14:textId="4DD899FD"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0.20</w:t>
            </w:r>
          </w:p>
        </w:tc>
        <w:tc>
          <w:tcPr>
            <w:tcW w:w="709" w:type="pct"/>
          </w:tcPr>
          <w:p w14:paraId="79759F17" w14:textId="4E0C1595"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4.7893</w:t>
            </w:r>
          </w:p>
        </w:tc>
        <w:tc>
          <w:tcPr>
            <w:tcW w:w="679" w:type="pct"/>
          </w:tcPr>
          <w:p w14:paraId="30653ACE" w14:textId="68AB6383"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2.39</w:t>
            </w:r>
          </w:p>
        </w:tc>
        <w:tc>
          <w:tcPr>
            <w:tcW w:w="709" w:type="pct"/>
          </w:tcPr>
          <w:p w14:paraId="460F66C0" w14:textId="15ECEB88"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0.7325</w:t>
            </w:r>
          </w:p>
        </w:tc>
        <w:tc>
          <w:tcPr>
            <w:tcW w:w="679" w:type="pct"/>
          </w:tcPr>
          <w:p w14:paraId="2EE2C232" w14:textId="39F00968"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0.08</w:t>
            </w:r>
          </w:p>
        </w:tc>
      </w:tr>
      <w:tr w:rsidR="00E67914" w:rsidRPr="00E67914" w14:paraId="65FEE6A4" w14:textId="77777777" w:rsidTr="001A4741">
        <w:tc>
          <w:tcPr>
            <w:tcW w:w="812" w:type="pct"/>
            <w:vAlign w:val="center"/>
          </w:tcPr>
          <w:p w14:paraId="024F64EF" w14:textId="3360815E"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49</w:t>
            </w:r>
          </w:p>
        </w:tc>
        <w:tc>
          <w:tcPr>
            <w:tcW w:w="721" w:type="pct"/>
          </w:tcPr>
          <w:p w14:paraId="3ADFCCE9" w14:textId="52608377"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3.0865</w:t>
            </w:r>
          </w:p>
        </w:tc>
        <w:tc>
          <w:tcPr>
            <w:tcW w:w="691" w:type="pct"/>
          </w:tcPr>
          <w:p w14:paraId="36C4E74E" w14:textId="09985BFA"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0.62</w:t>
            </w:r>
          </w:p>
        </w:tc>
        <w:tc>
          <w:tcPr>
            <w:tcW w:w="709" w:type="pct"/>
          </w:tcPr>
          <w:p w14:paraId="3AEA71F4" w14:textId="0E0C4D1D"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14.5751</w:t>
            </w:r>
          </w:p>
        </w:tc>
        <w:tc>
          <w:tcPr>
            <w:tcW w:w="679" w:type="pct"/>
          </w:tcPr>
          <w:p w14:paraId="4F227694" w14:textId="12159965"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7.29</w:t>
            </w:r>
          </w:p>
        </w:tc>
        <w:tc>
          <w:tcPr>
            <w:tcW w:w="709" w:type="pct"/>
          </w:tcPr>
          <w:p w14:paraId="782BFCE7" w14:textId="3D148B09"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2.2291</w:t>
            </w:r>
          </w:p>
        </w:tc>
        <w:tc>
          <w:tcPr>
            <w:tcW w:w="679" w:type="pct"/>
          </w:tcPr>
          <w:p w14:paraId="4A9234C3" w14:textId="48A5AC9A"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0.25</w:t>
            </w:r>
          </w:p>
        </w:tc>
      </w:tr>
      <w:tr w:rsidR="00E67914" w:rsidRPr="00E67914" w14:paraId="40EF0C1C" w14:textId="4C40B23C" w:rsidTr="001A4741">
        <w:tc>
          <w:tcPr>
            <w:tcW w:w="812" w:type="pct"/>
            <w:vAlign w:val="center"/>
          </w:tcPr>
          <w:p w14:paraId="75CB015E" w14:textId="471087BF"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50</w:t>
            </w:r>
          </w:p>
        </w:tc>
        <w:tc>
          <w:tcPr>
            <w:tcW w:w="721" w:type="pct"/>
          </w:tcPr>
          <w:p w14:paraId="0800577B" w14:textId="5756F60E"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3.0816</w:t>
            </w:r>
          </w:p>
        </w:tc>
        <w:tc>
          <w:tcPr>
            <w:tcW w:w="691" w:type="pct"/>
          </w:tcPr>
          <w:p w14:paraId="1028C58E" w14:textId="350D29DD"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0.62</w:t>
            </w:r>
          </w:p>
        </w:tc>
        <w:tc>
          <w:tcPr>
            <w:tcW w:w="709" w:type="pct"/>
          </w:tcPr>
          <w:p w14:paraId="072F9116" w14:textId="083A4DBF"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14.5520</w:t>
            </w:r>
          </w:p>
        </w:tc>
        <w:tc>
          <w:tcPr>
            <w:tcW w:w="679" w:type="pct"/>
          </w:tcPr>
          <w:p w14:paraId="46DDAAD2" w14:textId="61AA7462"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7.28</w:t>
            </w:r>
          </w:p>
        </w:tc>
        <w:tc>
          <w:tcPr>
            <w:tcW w:w="709" w:type="pct"/>
          </w:tcPr>
          <w:p w14:paraId="241B6AAE" w14:textId="5826AED0"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2.2256</w:t>
            </w:r>
          </w:p>
        </w:tc>
        <w:tc>
          <w:tcPr>
            <w:tcW w:w="679" w:type="pct"/>
          </w:tcPr>
          <w:p w14:paraId="690278DE" w14:textId="16DB7746"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0.25</w:t>
            </w:r>
          </w:p>
        </w:tc>
      </w:tr>
      <w:tr w:rsidR="00E67914" w:rsidRPr="00E67914" w14:paraId="12FF7EF2" w14:textId="1EE3CB05" w:rsidTr="001A4741">
        <w:tc>
          <w:tcPr>
            <w:tcW w:w="812" w:type="pct"/>
            <w:vAlign w:val="center"/>
          </w:tcPr>
          <w:p w14:paraId="2DB07580" w14:textId="5C25BB32"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100</w:t>
            </w:r>
          </w:p>
        </w:tc>
        <w:tc>
          <w:tcPr>
            <w:tcW w:w="721" w:type="pct"/>
          </w:tcPr>
          <w:p w14:paraId="6598757B" w14:textId="4C77866A"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1.4190</w:t>
            </w:r>
          </w:p>
        </w:tc>
        <w:tc>
          <w:tcPr>
            <w:tcW w:w="691" w:type="pct"/>
          </w:tcPr>
          <w:p w14:paraId="24DFE28D" w14:textId="550BC4EC"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0.28</w:t>
            </w:r>
          </w:p>
        </w:tc>
        <w:tc>
          <w:tcPr>
            <w:tcW w:w="709" w:type="pct"/>
          </w:tcPr>
          <w:p w14:paraId="3C030028" w14:textId="10DF193C"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6.7008</w:t>
            </w:r>
          </w:p>
        </w:tc>
        <w:tc>
          <w:tcPr>
            <w:tcW w:w="679" w:type="pct"/>
          </w:tcPr>
          <w:p w14:paraId="5A29DC91" w14:textId="633FB262"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sz w:val="21"/>
                <w:szCs w:val="21"/>
                <w:lang w:eastAsia="zh-CN"/>
              </w:rPr>
              <w:t>3.35</w:t>
            </w:r>
          </w:p>
        </w:tc>
        <w:tc>
          <w:tcPr>
            <w:tcW w:w="709" w:type="pct"/>
          </w:tcPr>
          <w:p w14:paraId="6A742B0D" w14:textId="5F0D3388"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sz w:val="21"/>
                <w:szCs w:val="21"/>
                <w:lang w:eastAsia="zh-CN"/>
              </w:rPr>
              <w:t>1.0248</w:t>
            </w:r>
          </w:p>
        </w:tc>
        <w:tc>
          <w:tcPr>
            <w:tcW w:w="679" w:type="pct"/>
          </w:tcPr>
          <w:p w14:paraId="23F047A6" w14:textId="7C7B7E69"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sz w:val="21"/>
                <w:szCs w:val="21"/>
                <w:lang w:eastAsia="zh-CN"/>
              </w:rPr>
              <w:t>0.11</w:t>
            </w:r>
          </w:p>
        </w:tc>
      </w:tr>
      <w:tr w:rsidR="00E67914" w:rsidRPr="00E67914" w14:paraId="1E4E93F0" w14:textId="53F9740F" w:rsidTr="001A4741">
        <w:tc>
          <w:tcPr>
            <w:tcW w:w="812" w:type="pct"/>
            <w:vAlign w:val="center"/>
          </w:tcPr>
          <w:p w14:paraId="7F4544D8" w14:textId="30CDDBEC"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200</w:t>
            </w:r>
          </w:p>
        </w:tc>
        <w:tc>
          <w:tcPr>
            <w:tcW w:w="721" w:type="pct"/>
          </w:tcPr>
          <w:p w14:paraId="1F6F1DC3" w14:textId="4916CD2B"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0.6004</w:t>
            </w:r>
          </w:p>
        </w:tc>
        <w:tc>
          <w:tcPr>
            <w:tcW w:w="691" w:type="pct"/>
          </w:tcPr>
          <w:p w14:paraId="04D58F18" w14:textId="3F8E7012"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0.12</w:t>
            </w:r>
          </w:p>
        </w:tc>
        <w:tc>
          <w:tcPr>
            <w:tcW w:w="709" w:type="pct"/>
          </w:tcPr>
          <w:p w14:paraId="0FDF499D" w14:textId="458800FB"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2.8351</w:t>
            </w:r>
          </w:p>
        </w:tc>
        <w:tc>
          <w:tcPr>
            <w:tcW w:w="679" w:type="pct"/>
          </w:tcPr>
          <w:p w14:paraId="0417C0DD" w14:textId="1DAB513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1.42</w:t>
            </w:r>
          </w:p>
        </w:tc>
        <w:tc>
          <w:tcPr>
            <w:tcW w:w="709" w:type="pct"/>
          </w:tcPr>
          <w:p w14:paraId="1190F009" w14:textId="187EDDAC"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0.4336</w:t>
            </w:r>
          </w:p>
        </w:tc>
        <w:tc>
          <w:tcPr>
            <w:tcW w:w="679" w:type="pct"/>
          </w:tcPr>
          <w:p w14:paraId="23E64B9A" w14:textId="28AD7503"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0.05</w:t>
            </w:r>
          </w:p>
        </w:tc>
      </w:tr>
      <w:tr w:rsidR="00E67914" w:rsidRPr="00E67914" w14:paraId="079678C6" w14:textId="54EF18DA" w:rsidTr="001A4741">
        <w:tc>
          <w:tcPr>
            <w:tcW w:w="812" w:type="pct"/>
            <w:vAlign w:val="center"/>
          </w:tcPr>
          <w:p w14:paraId="478E13C3" w14:textId="5596A1C5"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300</w:t>
            </w:r>
          </w:p>
        </w:tc>
        <w:tc>
          <w:tcPr>
            <w:tcW w:w="721" w:type="pct"/>
          </w:tcPr>
          <w:p w14:paraId="3098F4CF" w14:textId="4F23759F"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0.2519</w:t>
            </w:r>
          </w:p>
        </w:tc>
        <w:tc>
          <w:tcPr>
            <w:tcW w:w="691" w:type="pct"/>
          </w:tcPr>
          <w:p w14:paraId="76F48249" w14:textId="566E3050"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0.05</w:t>
            </w:r>
          </w:p>
        </w:tc>
        <w:tc>
          <w:tcPr>
            <w:tcW w:w="709" w:type="pct"/>
          </w:tcPr>
          <w:p w14:paraId="1D37299A" w14:textId="7B0B64E2"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1.1894</w:t>
            </w:r>
          </w:p>
        </w:tc>
        <w:tc>
          <w:tcPr>
            <w:tcW w:w="679" w:type="pct"/>
          </w:tcPr>
          <w:p w14:paraId="6843AED1" w14:textId="5056746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0.59</w:t>
            </w:r>
          </w:p>
        </w:tc>
        <w:tc>
          <w:tcPr>
            <w:tcW w:w="709" w:type="pct"/>
          </w:tcPr>
          <w:p w14:paraId="64669642" w14:textId="560ACD3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0.1819</w:t>
            </w:r>
          </w:p>
        </w:tc>
        <w:tc>
          <w:tcPr>
            <w:tcW w:w="679" w:type="pct"/>
          </w:tcPr>
          <w:p w14:paraId="73994F17" w14:textId="216EB91A"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r>
      <w:tr w:rsidR="00E67914" w:rsidRPr="00E67914" w14:paraId="2DA843CE" w14:textId="5B7C14C6" w:rsidTr="001A4741">
        <w:tc>
          <w:tcPr>
            <w:tcW w:w="812" w:type="pct"/>
            <w:vAlign w:val="center"/>
          </w:tcPr>
          <w:p w14:paraId="32A3E62C" w14:textId="4E17CCC9"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400</w:t>
            </w:r>
          </w:p>
        </w:tc>
        <w:tc>
          <w:tcPr>
            <w:tcW w:w="721" w:type="pct"/>
          </w:tcPr>
          <w:p w14:paraId="54C20032" w14:textId="442E1305"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0.1876</w:t>
            </w:r>
          </w:p>
        </w:tc>
        <w:tc>
          <w:tcPr>
            <w:tcW w:w="691" w:type="pct"/>
          </w:tcPr>
          <w:p w14:paraId="318E72AE" w14:textId="5C405BBB"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0.04</w:t>
            </w:r>
          </w:p>
        </w:tc>
        <w:tc>
          <w:tcPr>
            <w:tcW w:w="709" w:type="pct"/>
          </w:tcPr>
          <w:p w14:paraId="40D241FF" w14:textId="0D5214B2"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0.8859</w:t>
            </w:r>
          </w:p>
        </w:tc>
        <w:tc>
          <w:tcPr>
            <w:tcW w:w="679" w:type="pct"/>
          </w:tcPr>
          <w:p w14:paraId="5D3AA3BC" w14:textId="1FBB943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0.44</w:t>
            </w:r>
          </w:p>
        </w:tc>
        <w:tc>
          <w:tcPr>
            <w:tcW w:w="709" w:type="pct"/>
          </w:tcPr>
          <w:p w14:paraId="5227AE8C" w14:textId="776FF75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0.1355</w:t>
            </w:r>
          </w:p>
        </w:tc>
        <w:tc>
          <w:tcPr>
            <w:tcW w:w="679" w:type="pct"/>
          </w:tcPr>
          <w:p w14:paraId="4235CDAA" w14:textId="2FBFD916"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r>
      <w:tr w:rsidR="00E67914" w:rsidRPr="00E67914" w14:paraId="44533E69" w14:textId="251FD584" w:rsidTr="001A4741">
        <w:tc>
          <w:tcPr>
            <w:tcW w:w="812" w:type="pct"/>
            <w:vAlign w:val="center"/>
          </w:tcPr>
          <w:p w14:paraId="2B3E0DE1" w14:textId="70247642"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500</w:t>
            </w:r>
          </w:p>
        </w:tc>
        <w:tc>
          <w:tcPr>
            <w:tcW w:w="721" w:type="pct"/>
          </w:tcPr>
          <w:p w14:paraId="06A734A1" w14:textId="44FA8EA2"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0.2054</w:t>
            </w:r>
          </w:p>
        </w:tc>
        <w:tc>
          <w:tcPr>
            <w:tcW w:w="691" w:type="pct"/>
          </w:tcPr>
          <w:p w14:paraId="579AA754" w14:textId="2C0BF9A4"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0.04</w:t>
            </w:r>
          </w:p>
        </w:tc>
        <w:tc>
          <w:tcPr>
            <w:tcW w:w="709" w:type="pct"/>
          </w:tcPr>
          <w:p w14:paraId="63122D1C" w14:textId="4A461137"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0.9699</w:t>
            </w:r>
          </w:p>
        </w:tc>
        <w:tc>
          <w:tcPr>
            <w:tcW w:w="679" w:type="pct"/>
          </w:tcPr>
          <w:p w14:paraId="4B598514" w14:textId="7A30E54D"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0.48</w:t>
            </w:r>
          </w:p>
        </w:tc>
        <w:tc>
          <w:tcPr>
            <w:tcW w:w="709" w:type="pct"/>
          </w:tcPr>
          <w:p w14:paraId="1A5948C5" w14:textId="1D6FE90C"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0.1483</w:t>
            </w:r>
          </w:p>
        </w:tc>
        <w:tc>
          <w:tcPr>
            <w:tcW w:w="679" w:type="pct"/>
          </w:tcPr>
          <w:p w14:paraId="514EEBDD" w14:textId="6DF7F522"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r>
      <w:tr w:rsidR="00E67914" w:rsidRPr="00E67914" w14:paraId="19267EBE" w14:textId="5BBB5EFE" w:rsidTr="001A4741">
        <w:tc>
          <w:tcPr>
            <w:tcW w:w="812" w:type="pct"/>
            <w:vAlign w:val="center"/>
          </w:tcPr>
          <w:p w14:paraId="488E1C6F" w14:textId="554C9D63"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600</w:t>
            </w:r>
          </w:p>
        </w:tc>
        <w:tc>
          <w:tcPr>
            <w:tcW w:w="721" w:type="pct"/>
          </w:tcPr>
          <w:p w14:paraId="0EE5A372" w14:textId="1EF7A39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0.1633</w:t>
            </w:r>
          </w:p>
        </w:tc>
        <w:tc>
          <w:tcPr>
            <w:tcW w:w="691" w:type="pct"/>
          </w:tcPr>
          <w:p w14:paraId="1ABC0D14" w14:textId="6274C0D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0.03</w:t>
            </w:r>
          </w:p>
        </w:tc>
        <w:tc>
          <w:tcPr>
            <w:tcW w:w="709" w:type="pct"/>
          </w:tcPr>
          <w:p w14:paraId="3B4E88BD" w14:textId="4FE0E62A"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0.7710</w:t>
            </w:r>
          </w:p>
        </w:tc>
        <w:tc>
          <w:tcPr>
            <w:tcW w:w="679" w:type="pct"/>
          </w:tcPr>
          <w:p w14:paraId="4EE097A5" w14:textId="40D9C27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0.39</w:t>
            </w:r>
          </w:p>
        </w:tc>
        <w:tc>
          <w:tcPr>
            <w:tcW w:w="709" w:type="pct"/>
          </w:tcPr>
          <w:p w14:paraId="142D45DB" w14:textId="694C2655"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0.1179</w:t>
            </w:r>
          </w:p>
        </w:tc>
        <w:tc>
          <w:tcPr>
            <w:tcW w:w="679" w:type="pct"/>
          </w:tcPr>
          <w:p w14:paraId="3E380AB8" w14:textId="5C8418E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p>
        </w:tc>
      </w:tr>
      <w:tr w:rsidR="00E67914" w:rsidRPr="00E67914" w14:paraId="375ADB15" w14:textId="07000386" w:rsidTr="001A4741">
        <w:tc>
          <w:tcPr>
            <w:tcW w:w="812" w:type="pct"/>
            <w:vAlign w:val="center"/>
          </w:tcPr>
          <w:p w14:paraId="74D904C7" w14:textId="4074B845"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700</w:t>
            </w:r>
          </w:p>
        </w:tc>
        <w:tc>
          <w:tcPr>
            <w:tcW w:w="721" w:type="pct"/>
          </w:tcPr>
          <w:p w14:paraId="44994A9E" w14:textId="7AB29BD3"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0.1031</w:t>
            </w:r>
          </w:p>
        </w:tc>
        <w:tc>
          <w:tcPr>
            <w:tcW w:w="691" w:type="pct"/>
          </w:tcPr>
          <w:p w14:paraId="47D060D8" w14:textId="34172E7B"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c>
          <w:tcPr>
            <w:tcW w:w="709" w:type="pct"/>
          </w:tcPr>
          <w:p w14:paraId="20202952" w14:textId="253308C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0.4868</w:t>
            </w:r>
          </w:p>
        </w:tc>
        <w:tc>
          <w:tcPr>
            <w:tcW w:w="679" w:type="pct"/>
          </w:tcPr>
          <w:p w14:paraId="0CDDE304" w14:textId="7D05527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0.24</w:t>
            </w:r>
          </w:p>
        </w:tc>
        <w:tc>
          <w:tcPr>
            <w:tcW w:w="709" w:type="pct"/>
          </w:tcPr>
          <w:p w14:paraId="7B672237" w14:textId="296774D4"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0.0745</w:t>
            </w:r>
          </w:p>
        </w:tc>
        <w:tc>
          <w:tcPr>
            <w:tcW w:w="679" w:type="pct"/>
          </w:tcPr>
          <w:p w14:paraId="2693D484" w14:textId="52BB4F92"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p>
        </w:tc>
      </w:tr>
      <w:tr w:rsidR="00E67914" w:rsidRPr="00E67914" w14:paraId="55937A37" w14:textId="104CA592" w:rsidTr="001A4741">
        <w:tc>
          <w:tcPr>
            <w:tcW w:w="812" w:type="pct"/>
            <w:vAlign w:val="center"/>
          </w:tcPr>
          <w:p w14:paraId="33938B2C" w14:textId="72C58320"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800</w:t>
            </w:r>
          </w:p>
        </w:tc>
        <w:tc>
          <w:tcPr>
            <w:tcW w:w="721" w:type="pct"/>
          </w:tcPr>
          <w:p w14:paraId="3E4EE8F5" w14:textId="69FCAF67"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0.1220</w:t>
            </w:r>
          </w:p>
        </w:tc>
        <w:tc>
          <w:tcPr>
            <w:tcW w:w="691" w:type="pct"/>
          </w:tcPr>
          <w:p w14:paraId="744BCDE7" w14:textId="785F02DE"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c>
          <w:tcPr>
            <w:tcW w:w="709" w:type="pct"/>
          </w:tcPr>
          <w:p w14:paraId="1B26FB06" w14:textId="03DDB19E"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0.5760</w:t>
            </w:r>
          </w:p>
        </w:tc>
        <w:tc>
          <w:tcPr>
            <w:tcW w:w="679" w:type="pct"/>
          </w:tcPr>
          <w:p w14:paraId="4178E26E" w14:textId="5039DB9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0.29</w:t>
            </w:r>
          </w:p>
        </w:tc>
        <w:tc>
          <w:tcPr>
            <w:tcW w:w="709" w:type="pct"/>
          </w:tcPr>
          <w:p w14:paraId="7BA37C64" w14:textId="00F9BCB7"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0.0881</w:t>
            </w:r>
          </w:p>
        </w:tc>
        <w:tc>
          <w:tcPr>
            <w:tcW w:w="679" w:type="pct"/>
          </w:tcPr>
          <w:p w14:paraId="67788ECE" w14:textId="76E87A17"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p>
        </w:tc>
      </w:tr>
      <w:tr w:rsidR="00E67914" w:rsidRPr="00E67914" w14:paraId="17D4D8BD" w14:textId="170B5A97" w:rsidTr="001A4741">
        <w:tc>
          <w:tcPr>
            <w:tcW w:w="812" w:type="pct"/>
            <w:vAlign w:val="center"/>
          </w:tcPr>
          <w:p w14:paraId="15C46B2C" w14:textId="3C742019"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900</w:t>
            </w:r>
          </w:p>
        </w:tc>
        <w:tc>
          <w:tcPr>
            <w:tcW w:w="721" w:type="pct"/>
          </w:tcPr>
          <w:p w14:paraId="2B502CA2" w14:textId="39C5CFB0"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0.1136</w:t>
            </w:r>
          </w:p>
        </w:tc>
        <w:tc>
          <w:tcPr>
            <w:tcW w:w="691" w:type="pct"/>
          </w:tcPr>
          <w:p w14:paraId="3DCD1ECA" w14:textId="6FFDE4D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c>
          <w:tcPr>
            <w:tcW w:w="709" w:type="pct"/>
          </w:tcPr>
          <w:p w14:paraId="0123005B" w14:textId="1FEF6CBB"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0.5365</w:t>
            </w:r>
          </w:p>
        </w:tc>
        <w:tc>
          <w:tcPr>
            <w:tcW w:w="679" w:type="pct"/>
          </w:tcPr>
          <w:p w14:paraId="36D155C9" w14:textId="56AA6F4C"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0.27</w:t>
            </w:r>
          </w:p>
        </w:tc>
        <w:tc>
          <w:tcPr>
            <w:tcW w:w="709" w:type="pct"/>
          </w:tcPr>
          <w:p w14:paraId="65D8785C" w14:textId="07C967D7"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0.0821</w:t>
            </w:r>
          </w:p>
        </w:tc>
        <w:tc>
          <w:tcPr>
            <w:tcW w:w="679" w:type="pct"/>
          </w:tcPr>
          <w:p w14:paraId="299F1FF5" w14:textId="4FA0AD54"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p>
        </w:tc>
      </w:tr>
      <w:tr w:rsidR="00E67914" w:rsidRPr="00E67914" w14:paraId="7ED1C918" w14:textId="5899D052" w:rsidTr="001A4741">
        <w:tc>
          <w:tcPr>
            <w:tcW w:w="812" w:type="pct"/>
            <w:vAlign w:val="center"/>
          </w:tcPr>
          <w:p w14:paraId="5B8B8BFF" w14:textId="76A0896A"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1000</w:t>
            </w:r>
          </w:p>
        </w:tc>
        <w:tc>
          <w:tcPr>
            <w:tcW w:w="721" w:type="pct"/>
          </w:tcPr>
          <w:p w14:paraId="13869E77" w14:textId="52EB8416"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0.1056</w:t>
            </w:r>
          </w:p>
        </w:tc>
        <w:tc>
          <w:tcPr>
            <w:tcW w:w="691" w:type="pct"/>
          </w:tcPr>
          <w:p w14:paraId="2E79F321" w14:textId="7A414FBD"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c>
          <w:tcPr>
            <w:tcW w:w="709" w:type="pct"/>
          </w:tcPr>
          <w:p w14:paraId="1770FFCC" w14:textId="72F516B0"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0.4985</w:t>
            </w:r>
          </w:p>
        </w:tc>
        <w:tc>
          <w:tcPr>
            <w:tcW w:w="679" w:type="pct"/>
          </w:tcPr>
          <w:p w14:paraId="65120189" w14:textId="637C93F8"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0.25</w:t>
            </w:r>
          </w:p>
        </w:tc>
        <w:tc>
          <w:tcPr>
            <w:tcW w:w="709" w:type="pct"/>
          </w:tcPr>
          <w:p w14:paraId="3BBA3A84" w14:textId="54A14ECA"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0.0762</w:t>
            </w:r>
          </w:p>
        </w:tc>
        <w:tc>
          <w:tcPr>
            <w:tcW w:w="679" w:type="pct"/>
          </w:tcPr>
          <w:p w14:paraId="1FD9BD39" w14:textId="62265BC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p>
        </w:tc>
      </w:tr>
      <w:tr w:rsidR="00E67914" w:rsidRPr="00E67914" w14:paraId="269D2F4F" w14:textId="53A75AF8" w:rsidTr="001A4741">
        <w:tc>
          <w:tcPr>
            <w:tcW w:w="812" w:type="pct"/>
            <w:vAlign w:val="center"/>
          </w:tcPr>
          <w:p w14:paraId="0D8E2FBD" w14:textId="1FC4530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1500</w:t>
            </w:r>
          </w:p>
        </w:tc>
        <w:tc>
          <w:tcPr>
            <w:tcW w:w="721" w:type="pct"/>
          </w:tcPr>
          <w:p w14:paraId="22CA2B6C" w14:textId="64BA855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0.0657</w:t>
            </w:r>
          </w:p>
        </w:tc>
        <w:tc>
          <w:tcPr>
            <w:tcW w:w="691" w:type="pct"/>
          </w:tcPr>
          <w:p w14:paraId="40F085D5" w14:textId="369D100E"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p>
        </w:tc>
        <w:tc>
          <w:tcPr>
            <w:tcW w:w="709" w:type="pct"/>
          </w:tcPr>
          <w:p w14:paraId="664B0DAD" w14:textId="6AA906B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0.3105</w:t>
            </w:r>
          </w:p>
        </w:tc>
        <w:tc>
          <w:tcPr>
            <w:tcW w:w="679" w:type="pct"/>
          </w:tcPr>
          <w:p w14:paraId="685882C2" w14:textId="3D45775F"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0.16</w:t>
            </w:r>
          </w:p>
        </w:tc>
        <w:tc>
          <w:tcPr>
            <w:tcW w:w="709" w:type="pct"/>
          </w:tcPr>
          <w:p w14:paraId="77EDBF28" w14:textId="4B587CC0"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0.0475</w:t>
            </w:r>
          </w:p>
        </w:tc>
        <w:tc>
          <w:tcPr>
            <w:tcW w:w="679" w:type="pct"/>
          </w:tcPr>
          <w:p w14:paraId="5659C6F1" w14:textId="749C19EA"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p>
        </w:tc>
      </w:tr>
      <w:tr w:rsidR="00E67914" w:rsidRPr="00E67914" w14:paraId="439E0E04" w14:textId="3A243B07" w:rsidTr="001A4741">
        <w:tc>
          <w:tcPr>
            <w:tcW w:w="812" w:type="pct"/>
            <w:vAlign w:val="center"/>
          </w:tcPr>
          <w:p w14:paraId="4B0BFBEE" w14:textId="55440EE0"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2000</w:t>
            </w:r>
          </w:p>
        </w:tc>
        <w:tc>
          <w:tcPr>
            <w:tcW w:w="721" w:type="pct"/>
          </w:tcPr>
          <w:p w14:paraId="25CCC50F" w14:textId="1BDB2364"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0.0398</w:t>
            </w:r>
          </w:p>
        </w:tc>
        <w:tc>
          <w:tcPr>
            <w:tcW w:w="691" w:type="pct"/>
          </w:tcPr>
          <w:p w14:paraId="3BB0A3FF" w14:textId="427DAF72"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p>
        </w:tc>
        <w:tc>
          <w:tcPr>
            <w:tcW w:w="709" w:type="pct"/>
          </w:tcPr>
          <w:p w14:paraId="0290356C" w14:textId="065C1A80"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0.1879</w:t>
            </w:r>
          </w:p>
        </w:tc>
        <w:tc>
          <w:tcPr>
            <w:tcW w:w="679" w:type="pct"/>
          </w:tcPr>
          <w:p w14:paraId="715E2428" w14:textId="2D014F08"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0.09</w:t>
            </w:r>
          </w:p>
        </w:tc>
        <w:tc>
          <w:tcPr>
            <w:tcW w:w="709" w:type="pct"/>
          </w:tcPr>
          <w:p w14:paraId="7F42C604" w14:textId="1CB6C059"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0.0287</w:t>
            </w:r>
          </w:p>
        </w:tc>
        <w:tc>
          <w:tcPr>
            <w:tcW w:w="679" w:type="pct"/>
          </w:tcPr>
          <w:p w14:paraId="1AF95FA6" w14:textId="239B156E"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0.00</w:t>
            </w:r>
          </w:p>
        </w:tc>
      </w:tr>
      <w:tr w:rsidR="00E67914" w:rsidRPr="00E67914" w14:paraId="1214D210" w14:textId="6BD7308E" w:rsidTr="001A4741">
        <w:tc>
          <w:tcPr>
            <w:tcW w:w="812" w:type="pct"/>
            <w:vAlign w:val="center"/>
          </w:tcPr>
          <w:p w14:paraId="218C8732" w14:textId="03ACB4BB"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2500</w:t>
            </w:r>
          </w:p>
        </w:tc>
        <w:tc>
          <w:tcPr>
            <w:tcW w:w="721" w:type="pct"/>
          </w:tcPr>
          <w:p w14:paraId="272B578A" w14:textId="02F2CF64"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0.0146</w:t>
            </w:r>
          </w:p>
        </w:tc>
        <w:tc>
          <w:tcPr>
            <w:tcW w:w="691" w:type="pct"/>
          </w:tcPr>
          <w:p w14:paraId="44CA22D2" w14:textId="6AC07164"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0.00</w:t>
            </w:r>
          </w:p>
        </w:tc>
        <w:tc>
          <w:tcPr>
            <w:tcW w:w="709" w:type="pct"/>
          </w:tcPr>
          <w:p w14:paraId="19A6BC64" w14:textId="16E895E3"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0.0691</w:t>
            </w:r>
          </w:p>
        </w:tc>
        <w:tc>
          <w:tcPr>
            <w:tcW w:w="679" w:type="pct"/>
          </w:tcPr>
          <w:p w14:paraId="2C960399" w14:textId="26419F61"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0.03</w:t>
            </w:r>
          </w:p>
        </w:tc>
        <w:tc>
          <w:tcPr>
            <w:tcW w:w="709" w:type="pct"/>
          </w:tcPr>
          <w:p w14:paraId="669E7BCF" w14:textId="29FDCDB5"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0.0106</w:t>
            </w:r>
          </w:p>
        </w:tc>
        <w:tc>
          <w:tcPr>
            <w:tcW w:w="679" w:type="pct"/>
          </w:tcPr>
          <w:p w14:paraId="396E9BD7" w14:textId="0F91D456"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0.00</w:t>
            </w:r>
          </w:p>
        </w:tc>
      </w:tr>
      <w:tr w:rsidR="00E67914" w:rsidRPr="00E67914" w14:paraId="1C971133" w14:textId="635D6271" w:rsidTr="00E04D66">
        <w:tc>
          <w:tcPr>
            <w:tcW w:w="812" w:type="pct"/>
            <w:vAlign w:val="center"/>
          </w:tcPr>
          <w:p w14:paraId="43CB5C3F" w14:textId="77777777"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sz w:val="21"/>
                <w:szCs w:val="21"/>
              </w:rPr>
              <w:t>下风向最大浓度</w:t>
            </w:r>
          </w:p>
        </w:tc>
        <w:tc>
          <w:tcPr>
            <w:tcW w:w="721" w:type="pct"/>
          </w:tcPr>
          <w:p w14:paraId="6B9EABB5" w14:textId="7F608249"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b/>
                <w:bCs/>
                <w:sz w:val="21"/>
                <w:szCs w:val="21"/>
                <w:lang w:eastAsia="zh-CN"/>
              </w:rPr>
              <w:t>3.0865</w:t>
            </w:r>
          </w:p>
        </w:tc>
        <w:tc>
          <w:tcPr>
            <w:tcW w:w="691" w:type="pct"/>
          </w:tcPr>
          <w:p w14:paraId="412E4241" w14:textId="347333DD"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b/>
                <w:bCs/>
                <w:sz w:val="21"/>
                <w:szCs w:val="21"/>
                <w:lang w:eastAsia="zh-CN"/>
              </w:rPr>
              <w:t>0.62</w:t>
            </w:r>
          </w:p>
        </w:tc>
        <w:tc>
          <w:tcPr>
            <w:tcW w:w="709" w:type="pct"/>
          </w:tcPr>
          <w:p w14:paraId="26B08910" w14:textId="42997D2D"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b/>
                <w:bCs/>
                <w:sz w:val="21"/>
                <w:szCs w:val="21"/>
                <w:lang w:eastAsia="zh-CN"/>
              </w:rPr>
              <w:t>14.5751</w:t>
            </w:r>
          </w:p>
        </w:tc>
        <w:tc>
          <w:tcPr>
            <w:tcW w:w="679" w:type="pct"/>
          </w:tcPr>
          <w:p w14:paraId="5D86EF4C" w14:textId="156403AA" w:rsidR="00220395" w:rsidRPr="00E67914" w:rsidRDefault="00220395" w:rsidP="00220395">
            <w:pPr>
              <w:adjustRightInd w:val="0"/>
              <w:snapToGrid w:val="0"/>
              <w:jc w:val="center"/>
              <w:rPr>
                <w:rFonts w:ascii="Times New Roman" w:hAnsi="Times New Roman"/>
                <w:sz w:val="21"/>
                <w:szCs w:val="21"/>
              </w:rPr>
            </w:pPr>
            <w:r w:rsidRPr="00E67914">
              <w:rPr>
                <w:rFonts w:ascii="Times New Roman" w:hAnsi="Times New Roman"/>
                <w:b/>
                <w:bCs/>
                <w:sz w:val="21"/>
                <w:szCs w:val="21"/>
                <w:lang w:eastAsia="zh-CN"/>
              </w:rPr>
              <w:t>7.29</w:t>
            </w:r>
          </w:p>
        </w:tc>
        <w:tc>
          <w:tcPr>
            <w:tcW w:w="709" w:type="pct"/>
          </w:tcPr>
          <w:p w14:paraId="589A61AB" w14:textId="38ED3BD8"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2.2291</w:t>
            </w:r>
          </w:p>
        </w:tc>
        <w:tc>
          <w:tcPr>
            <w:tcW w:w="679" w:type="pct"/>
          </w:tcPr>
          <w:p w14:paraId="10967301" w14:textId="001D91F5" w:rsidR="00220395" w:rsidRPr="00E67914" w:rsidRDefault="00220395" w:rsidP="00220395">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0.25</w:t>
            </w:r>
          </w:p>
        </w:tc>
      </w:tr>
      <w:tr w:rsidR="00E67914" w:rsidRPr="00E67914" w14:paraId="7DBE87DF" w14:textId="76C69AB1" w:rsidTr="00220395">
        <w:tc>
          <w:tcPr>
            <w:tcW w:w="812" w:type="pct"/>
            <w:vAlign w:val="center"/>
          </w:tcPr>
          <w:p w14:paraId="6A7B9C27" w14:textId="77777777"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下风向最大浓度出现距离</w:t>
            </w:r>
          </w:p>
        </w:tc>
        <w:tc>
          <w:tcPr>
            <w:tcW w:w="4188" w:type="pct"/>
            <w:gridSpan w:val="6"/>
            <w:vAlign w:val="center"/>
          </w:tcPr>
          <w:p w14:paraId="3C297462" w14:textId="327D313F" w:rsidR="00220395" w:rsidRPr="00E67914" w:rsidRDefault="00220395" w:rsidP="0022039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49</w:t>
            </w:r>
          </w:p>
        </w:tc>
      </w:tr>
    </w:tbl>
    <w:p w14:paraId="116F6B47" w14:textId="6305E09F" w:rsidR="00A54A8A" w:rsidRPr="00E67914" w:rsidRDefault="00193429">
      <w:pPr>
        <w:adjustRightInd w:val="0"/>
        <w:snapToGrid w:val="0"/>
        <w:spacing w:line="360" w:lineRule="auto"/>
        <w:ind w:firstLineChars="200" w:firstLine="480"/>
        <w:rPr>
          <w:rFonts w:ascii="Times New Roman" w:hAnsi="Times New Roman"/>
          <w:lang w:eastAsia="zh-CN"/>
        </w:rPr>
      </w:pPr>
      <w:r w:rsidRPr="00E67914">
        <w:rPr>
          <w:rFonts w:ascii="Times New Roman" w:hAnsi="Times New Roman"/>
          <w:bCs/>
          <w:sz w:val="24"/>
          <w:szCs w:val="24"/>
          <w:lang w:eastAsia="zh-CN"/>
        </w:rPr>
        <w:t>普陆页</w:t>
      </w:r>
      <w:r w:rsidRPr="00E67914">
        <w:rPr>
          <w:rFonts w:ascii="Times New Roman" w:hAnsi="Times New Roman"/>
          <w:bCs/>
          <w:sz w:val="24"/>
          <w:szCs w:val="24"/>
          <w:lang w:eastAsia="zh-CN"/>
        </w:rPr>
        <w:t>2</w:t>
      </w:r>
      <w:r w:rsidRPr="00E67914">
        <w:rPr>
          <w:rFonts w:ascii="Times New Roman" w:hAnsi="Times New Roman"/>
          <w:bCs/>
          <w:sz w:val="24"/>
          <w:szCs w:val="24"/>
          <w:lang w:eastAsia="zh-CN"/>
        </w:rPr>
        <w:t>试采站水套加热炉占标率与距离曲线图见下图：</w:t>
      </w:r>
    </w:p>
    <w:p w14:paraId="7A73409B" w14:textId="59304CBE" w:rsidR="00A54A8A" w:rsidRPr="00E67914" w:rsidRDefault="00220395">
      <w:pPr>
        <w:jc w:val="center"/>
        <w:rPr>
          <w:rFonts w:ascii="Times New Roman" w:hAnsi="Times New Roman"/>
        </w:rPr>
      </w:pPr>
      <w:r w:rsidRPr="00E67914">
        <w:rPr>
          <w:rFonts w:ascii="Times New Roman" w:hAnsi="Times New Roman"/>
          <w:noProof/>
        </w:rPr>
        <w:lastRenderedPageBreak/>
        <w:drawing>
          <wp:inline distT="0" distB="0" distL="0" distR="0" wp14:anchorId="2CFD0D36" wp14:editId="02F09196">
            <wp:extent cx="7285714" cy="3704762"/>
            <wp:effectExtent l="0" t="0" r="0" b="0"/>
            <wp:docPr id="430567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67126" name=""/>
                    <pic:cNvPicPr/>
                  </pic:nvPicPr>
                  <pic:blipFill>
                    <a:blip r:embed="rId73"/>
                    <a:stretch>
                      <a:fillRect/>
                    </a:stretch>
                  </pic:blipFill>
                  <pic:spPr>
                    <a:xfrm>
                      <a:off x="0" y="0"/>
                      <a:ext cx="7285714" cy="3704762"/>
                    </a:xfrm>
                    <a:prstGeom prst="rect">
                      <a:avLst/>
                    </a:prstGeom>
                  </pic:spPr>
                </pic:pic>
              </a:graphicData>
            </a:graphic>
          </wp:inline>
        </w:drawing>
      </w:r>
    </w:p>
    <w:p w14:paraId="328274E4" w14:textId="77777777" w:rsidR="00A54A8A" w:rsidRPr="00E67914" w:rsidRDefault="00000000" w:rsidP="0006309C">
      <w:pPr>
        <w:pStyle w:val="afffff0"/>
        <w:spacing w:line="240" w:lineRule="auto"/>
        <w:rPr>
          <w:rFonts w:ascii="Times New Roman"/>
        </w:rPr>
      </w:pPr>
      <w:r w:rsidRPr="00E67914">
        <w:rPr>
          <w:rFonts w:ascii="Times New Roman"/>
        </w:rPr>
        <w:t>图</w:t>
      </w:r>
      <w:r w:rsidRPr="00E67914">
        <w:rPr>
          <w:rFonts w:ascii="Times New Roman"/>
        </w:rPr>
        <w:t xml:space="preserve">5.2-1  </w:t>
      </w:r>
      <w:r w:rsidRPr="00E67914">
        <w:rPr>
          <w:rFonts w:ascii="Times New Roman"/>
        </w:rPr>
        <w:t>试采站水套加热炉占标率与距离曲线图</w:t>
      </w:r>
    </w:p>
    <w:p w14:paraId="1F7E8F1A" w14:textId="6638E0E4" w:rsidR="002B7A8E" w:rsidRPr="00E67914" w:rsidRDefault="002B7A8E" w:rsidP="002B7A8E">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t>（</w:t>
      </w:r>
      <w:r w:rsidRPr="00E67914">
        <w:rPr>
          <w:rFonts w:ascii="Times New Roman" w:hAnsi="Times New Roman"/>
          <w:bCs/>
          <w:sz w:val="24"/>
          <w:szCs w:val="24"/>
          <w:lang w:eastAsia="zh-CN"/>
        </w:rPr>
        <w:t>2</w:t>
      </w:r>
      <w:r w:rsidRPr="00E67914">
        <w:rPr>
          <w:rFonts w:ascii="Times New Roman" w:hAnsi="Times New Roman"/>
          <w:bCs/>
          <w:sz w:val="24"/>
          <w:szCs w:val="24"/>
          <w:lang w:eastAsia="zh-CN"/>
        </w:rPr>
        <w:t>）火炬长明灯燃烧废气</w:t>
      </w:r>
    </w:p>
    <w:p w14:paraId="0DE74C5B" w14:textId="735C1DCB" w:rsidR="00220395" w:rsidRPr="00E67914" w:rsidRDefault="00220395" w:rsidP="00220395">
      <w:pPr>
        <w:jc w:val="center"/>
        <w:rPr>
          <w:rFonts w:ascii="Times New Roman" w:eastAsia="黑体" w:hAnsi="Times New Roman"/>
          <w:kern w:val="2"/>
          <w:lang w:eastAsia="zh-CN"/>
        </w:rPr>
      </w:pPr>
      <w:r w:rsidRPr="00E67914">
        <w:rPr>
          <w:rFonts w:ascii="Times New Roman" w:eastAsia="黑体" w:hAnsi="Times New Roman"/>
          <w:kern w:val="2"/>
          <w:lang w:eastAsia="zh-CN"/>
        </w:rPr>
        <w:t>表</w:t>
      </w:r>
      <w:r w:rsidRPr="00E67914">
        <w:rPr>
          <w:rFonts w:ascii="Times New Roman" w:eastAsia="黑体" w:hAnsi="Times New Roman"/>
          <w:kern w:val="2"/>
          <w:lang w:eastAsia="zh-CN"/>
        </w:rPr>
        <w:t xml:space="preserve">5.2-4  </w:t>
      </w:r>
      <w:r w:rsidR="002E542D" w:rsidRPr="00E67914">
        <w:rPr>
          <w:rFonts w:ascii="Times New Roman" w:eastAsia="黑体" w:hAnsi="Times New Roman"/>
          <w:kern w:val="2"/>
          <w:lang w:eastAsia="zh-CN"/>
        </w:rPr>
        <w:t>火炬长明灯燃烧废气</w:t>
      </w:r>
      <w:r w:rsidRPr="00E67914">
        <w:rPr>
          <w:rFonts w:ascii="Times New Roman" w:eastAsia="黑体" w:hAnsi="Times New Roman"/>
          <w:kern w:val="2"/>
          <w:lang w:eastAsia="zh-CN"/>
        </w:rPr>
        <w:t>估算模式计算结果一览表</w:t>
      </w:r>
    </w:p>
    <w:tbl>
      <w:tblPr>
        <w:tblW w:w="5000" w:type="pct"/>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2275"/>
        <w:gridCol w:w="2020"/>
        <w:gridCol w:w="1935"/>
        <w:gridCol w:w="1985"/>
        <w:gridCol w:w="1901"/>
        <w:gridCol w:w="1985"/>
        <w:gridCol w:w="1901"/>
      </w:tblGrid>
      <w:tr w:rsidR="00E67914" w:rsidRPr="00E67914" w14:paraId="49FAD888" w14:textId="77777777" w:rsidTr="00380D94">
        <w:tc>
          <w:tcPr>
            <w:tcW w:w="812" w:type="pct"/>
            <w:vMerge w:val="restart"/>
            <w:vAlign w:val="center"/>
          </w:tcPr>
          <w:p w14:paraId="7D68F335" w14:textId="5625BEF4" w:rsidR="00220395" w:rsidRPr="00E67914" w:rsidRDefault="00220395"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rPr>
              <w:t>下风向距离</w:t>
            </w:r>
            <w:r w:rsidR="002E542D" w:rsidRPr="00E67914">
              <w:rPr>
                <w:rFonts w:ascii="Times New Roman" w:hAnsi="Times New Roman"/>
                <w:b/>
                <w:bCs/>
                <w:sz w:val="21"/>
                <w:szCs w:val="21"/>
                <w:lang w:eastAsia="zh-CN"/>
              </w:rPr>
              <w:t>（</w:t>
            </w:r>
            <w:r w:rsidR="002E542D" w:rsidRPr="00E67914">
              <w:rPr>
                <w:rFonts w:ascii="Times New Roman" w:hAnsi="Times New Roman"/>
                <w:b/>
                <w:bCs/>
                <w:sz w:val="21"/>
                <w:szCs w:val="21"/>
                <w:lang w:eastAsia="zh-CN"/>
              </w:rPr>
              <w:t>m</w:t>
            </w:r>
            <w:r w:rsidR="002E542D" w:rsidRPr="00E67914">
              <w:rPr>
                <w:rFonts w:ascii="Times New Roman" w:hAnsi="Times New Roman"/>
                <w:b/>
                <w:bCs/>
                <w:sz w:val="21"/>
                <w:szCs w:val="21"/>
                <w:lang w:eastAsia="zh-CN"/>
              </w:rPr>
              <w:t>）</w:t>
            </w:r>
          </w:p>
        </w:tc>
        <w:tc>
          <w:tcPr>
            <w:tcW w:w="4188" w:type="pct"/>
            <w:gridSpan w:val="6"/>
            <w:vAlign w:val="center"/>
          </w:tcPr>
          <w:p w14:paraId="3E472247" w14:textId="29AF4447" w:rsidR="00220395" w:rsidRPr="00E67914" w:rsidRDefault="002E542D"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rPr>
              <w:t>火炬长明灯燃烧废气</w:t>
            </w:r>
          </w:p>
        </w:tc>
      </w:tr>
      <w:tr w:rsidR="00E67914" w:rsidRPr="00E67914" w14:paraId="5469D6E1" w14:textId="77777777" w:rsidTr="00380D94">
        <w:tc>
          <w:tcPr>
            <w:tcW w:w="812" w:type="pct"/>
            <w:vMerge/>
            <w:vAlign w:val="center"/>
          </w:tcPr>
          <w:p w14:paraId="3751B1F9" w14:textId="77777777" w:rsidR="00220395" w:rsidRPr="00E67914" w:rsidRDefault="00220395" w:rsidP="00380D94">
            <w:pPr>
              <w:adjustRightInd w:val="0"/>
              <w:snapToGrid w:val="0"/>
              <w:jc w:val="center"/>
              <w:rPr>
                <w:rFonts w:ascii="Times New Roman" w:hAnsi="Times New Roman"/>
                <w:b/>
                <w:bCs/>
                <w:sz w:val="21"/>
                <w:szCs w:val="21"/>
              </w:rPr>
            </w:pPr>
          </w:p>
        </w:tc>
        <w:tc>
          <w:tcPr>
            <w:tcW w:w="721" w:type="pct"/>
            <w:vAlign w:val="center"/>
          </w:tcPr>
          <w:p w14:paraId="54256BC2" w14:textId="77777777" w:rsidR="00220395" w:rsidRPr="00E67914" w:rsidRDefault="00220395"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lang w:eastAsia="zh-CN"/>
              </w:rPr>
              <w:t>SO</w:t>
            </w:r>
            <w:r w:rsidRPr="00E67914">
              <w:rPr>
                <w:rFonts w:ascii="Times New Roman" w:hAnsi="Times New Roman"/>
                <w:b/>
                <w:bCs/>
                <w:sz w:val="21"/>
                <w:szCs w:val="21"/>
                <w:vertAlign w:val="subscript"/>
              </w:rPr>
              <w:t>2</w:t>
            </w:r>
            <w:r w:rsidRPr="00E67914">
              <w:rPr>
                <w:rFonts w:ascii="Times New Roman" w:hAnsi="Times New Roman"/>
                <w:b/>
                <w:bCs/>
                <w:sz w:val="21"/>
                <w:szCs w:val="21"/>
              </w:rPr>
              <w:t>浓度</w:t>
            </w:r>
            <w:r w:rsidRPr="00E67914">
              <w:rPr>
                <w:rFonts w:ascii="Times New Roman" w:hAnsi="Times New Roman"/>
                <w:b/>
                <w:bCs/>
                <w:sz w:val="21"/>
                <w:szCs w:val="21"/>
              </w:rPr>
              <w:t>(μg/m³)</w:t>
            </w:r>
          </w:p>
        </w:tc>
        <w:tc>
          <w:tcPr>
            <w:tcW w:w="691" w:type="pct"/>
            <w:vAlign w:val="center"/>
          </w:tcPr>
          <w:p w14:paraId="3AA3C433" w14:textId="77777777" w:rsidR="00220395" w:rsidRPr="00E67914" w:rsidRDefault="00220395"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lang w:eastAsia="zh-CN"/>
              </w:rPr>
              <w:t>SO</w:t>
            </w:r>
            <w:r w:rsidRPr="00E67914">
              <w:rPr>
                <w:rFonts w:ascii="Times New Roman" w:hAnsi="Times New Roman"/>
                <w:b/>
                <w:bCs/>
                <w:sz w:val="21"/>
                <w:szCs w:val="21"/>
                <w:vertAlign w:val="subscript"/>
              </w:rPr>
              <w:t>2</w:t>
            </w:r>
            <w:r w:rsidRPr="00E67914">
              <w:rPr>
                <w:rFonts w:ascii="Times New Roman" w:hAnsi="Times New Roman"/>
                <w:b/>
                <w:bCs/>
                <w:sz w:val="21"/>
                <w:szCs w:val="21"/>
              </w:rPr>
              <w:t>占标率</w:t>
            </w:r>
            <w:r w:rsidRPr="00E67914">
              <w:rPr>
                <w:rFonts w:ascii="Times New Roman" w:hAnsi="Times New Roman"/>
                <w:b/>
                <w:bCs/>
                <w:sz w:val="21"/>
                <w:szCs w:val="21"/>
              </w:rPr>
              <w:t>(%)</w:t>
            </w:r>
          </w:p>
        </w:tc>
        <w:tc>
          <w:tcPr>
            <w:tcW w:w="709" w:type="pct"/>
            <w:vAlign w:val="center"/>
          </w:tcPr>
          <w:p w14:paraId="37AAA062" w14:textId="77777777" w:rsidR="00220395" w:rsidRPr="00E67914" w:rsidRDefault="00220395"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rPr>
              <w:t>NOx</w:t>
            </w:r>
            <w:r w:rsidRPr="00E67914">
              <w:rPr>
                <w:rFonts w:ascii="Times New Roman" w:hAnsi="Times New Roman"/>
                <w:b/>
                <w:bCs/>
                <w:sz w:val="21"/>
                <w:szCs w:val="21"/>
              </w:rPr>
              <w:t>浓度</w:t>
            </w:r>
            <w:r w:rsidRPr="00E67914">
              <w:rPr>
                <w:rFonts w:ascii="Times New Roman" w:hAnsi="Times New Roman"/>
                <w:b/>
                <w:bCs/>
                <w:sz w:val="21"/>
                <w:szCs w:val="21"/>
              </w:rPr>
              <w:t>(μg/m³)</w:t>
            </w:r>
          </w:p>
        </w:tc>
        <w:tc>
          <w:tcPr>
            <w:tcW w:w="679" w:type="pct"/>
            <w:vAlign w:val="center"/>
          </w:tcPr>
          <w:p w14:paraId="27D7B0DC" w14:textId="77777777" w:rsidR="00220395" w:rsidRPr="00E67914" w:rsidRDefault="00220395"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rPr>
              <w:t>NOx</w:t>
            </w:r>
            <w:r w:rsidRPr="00E67914">
              <w:rPr>
                <w:rFonts w:ascii="Times New Roman" w:hAnsi="Times New Roman"/>
                <w:b/>
                <w:bCs/>
                <w:sz w:val="21"/>
                <w:szCs w:val="21"/>
              </w:rPr>
              <w:t>占标率</w:t>
            </w:r>
            <w:r w:rsidRPr="00E67914">
              <w:rPr>
                <w:rFonts w:ascii="Times New Roman" w:hAnsi="Times New Roman"/>
                <w:b/>
                <w:bCs/>
                <w:sz w:val="21"/>
                <w:szCs w:val="21"/>
              </w:rPr>
              <w:t>(%)</w:t>
            </w:r>
          </w:p>
        </w:tc>
        <w:tc>
          <w:tcPr>
            <w:tcW w:w="709" w:type="pct"/>
            <w:vAlign w:val="center"/>
          </w:tcPr>
          <w:p w14:paraId="18A8B8EC" w14:textId="77777777" w:rsidR="00220395" w:rsidRPr="00E67914" w:rsidRDefault="00220395" w:rsidP="00380D94">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TSP</w:t>
            </w:r>
            <w:r w:rsidRPr="00E67914">
              <w:rPr>
                <w:rFonts w:ascii="Times New Roman" w:hAnsi="Times New Roman"/>
                <w:b/>
                <w:bCs/>
                <w:sz w:val="21"/>
                <w:szCs w:val="21"/>
              </w:rPr>
              <w:t>浓度</w:t>
            </w:r>
            <w:r w:rsidRPr="00E67914">
              <w:rPr>
                <w:rFonts w:ascii="Times New Roman" w:hAnsi="Times New Roman"/>
                <w:b/>
                <w:bCs/>
                <w:sz w:val="21"/>
                <w:szCs w:val="21"/>
              </w:rPr>
              <w:t>(μg/m³)</w:t>
            </w:r>
          </w:p>
        </w:tc>
        <w:tc>
          <w:tcPr>
            <w:tcW w:w="679" w:type="pct"/>
            <w:vAlign w:val="center"/>
          </w:tcPr>
          <w:p w14:paraId="1BCAF6C6" w14:textId="77777777" w:rsidR="00220395" w:rsidRPr="00E67914" w:rsidRDefault="00220395" w:rsidP="00380D94">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TSP</w:t>
            </w:r>
            <w:r w:rsidRPr="00E67914">
              <w:rPr>
                <w:rFonts w:ascii="Times New Roman" w:hAnsi="Times New Roman"/>
                <w:b/>
                <w:bCs/>
                <w:sz w:val="21"/>
                <w:szCs w:val="21"/>
              </w:rPr>
              <w:t>占标率</w:t>
            </w:r>
            <w:r w:rsidRPr="00E67914">
              <w:rPr>
                <w:rFonts w:ascii="Times New Roman" w:hAnsi="Times New Roman"/>
                <w:b/>
                <w:bCs/>
                <w:sz w:val="21"/>
                <w:szCs w:val="21"/>
              </w:rPr>
              <w:t>(%)</w:t>
            </w:r>
          </w:p>
        </w:tc>
      </w:tr>
      <w:tr w:rsidR="00E67914" w:rsidRPr="00E67914" w14:paraId="5B374092" w14:textId="77777777" w:rsidTr="00610F97">
        <w:tc>
          <w:tcPr>
            <w:tcW w:w="812" w:type="pct"/>
            <w:vAlign w:val="center"/>
          </w:tcPr>
          <w:p w14:paraId="7B65647B"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721" w:type="pct"/>
          </w:tcPr>
          <w:p w14:paraId="7BCCAE5A" w14:textId="618BA75A"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0.0051</w:t>
            </w:r>
          </w:p>
        </w:tc>
        <w:tc>
          <w:tcPr>
            <w:tcW w:w="691" w:type="pct"/>
          </w:tcPr>
          <w:p w14:paraId="7649B3A5" w14:textId="5D65E45C"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0.00</w:t>
            </w:r>
          </w:p>
        </w:tc>
        <w:tc>
          <w:tcPr>
            <w:tcW w:w="709" w:type="pct"/>
          </w:tcPr>
          <w:p w14:paraId="047DB203" w14:textId="35F14AF9"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0.0119</w:t>
            </w:r>
          </w:p>
        </w:tc>
        <w:tc>
          <w:tcPr>
            <w:tcW w:w="679" w:type="pct"/>
          </w:tcPr>
          <w:p w14:paraId="6522D44F" w14:textId="4D20262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0.01</w:t>
            </w:r>
          </w:p>
        </w:tc>
        <w:tc>
          <w:tcPr>
            <w:tcW w:w="709" w:type="pct"/>
          </w:tcPr>
          <w:p w14:paraId="0437D5E3" w14:textId="6FB2E2E4"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0.0037</w:t>
            </w:r>
          </w:p>
        </w:tc>
        <w:tc>
          <w:tcPr>
            <w:tcW w:w="679" w:type="pct"/>
          </w:tcPr>
          <w:p w14:paraId="6D150A41" w14:textId="49FD9465"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0.00</w:t>
            </w:r>
          </w:p>
        </w:tc>
      </w:tr>
      <w:tr w:rsidR="00E67914" w:rsidRPr="00E67914" w14:paraId="008AA045" w14:textId="77777777" w:rsidTr="00610F97">
        <w:tc>
          <w:tcPr>
            <w:tcW w:w="812" w:type="pct"/>
            <w:vAlign w:val="center"/>
          </w:tcPr>
          <w:p w14:paraId="5AA27DC3"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50</w:t>
            </w:r>
          </w:p>
        </w:tc>
        <w:tc>
          <w:tcPr>
            <w:tcW w:w="721" w:type="pct"/>
          </w:tcPr>
          <w:p w14:paraId="26BF7CFE" w14:textId="51164AE2"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0.1987</w:t>
            </w:r>
          </w:p>
        </w:tc>
        <w:tc>
          <w:tcPr>
            <w:tcW w:w="691" w:type="pct"/>
          </w:tcPr>
          <w:p w14:paraId="1B2AE1A9" w14:textId="28F68640"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0.04</w:t>
            </w:r>
          </w:p>
        </w:tc>
        <w:tc>
          <w:tcPr>
            <w:tcW w:w="709" w:type="pct"/>
          </w:tcPr>
          <w:p w14:paraId="571FCB83" w14:textId="04D5EFD4"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0.4648</w:t>
            </w:r>
          </w:p>
        </w:tc>
        <w:tc>
          <w:tcPr>
            <w:tcW w:w="679" w:type="pct"/>
          </w:tcPr>
          <w:p w14:paraId="79CF467D" w14:textId="6563E18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0.23</w:t>
            </w:r>
          </w:p>
        </w:tc>
        <w:tc>
          <w:tcPr>
            <w:tcW w:w="709" w:type="pct"/>
          </w:tcPr>
          <w:p w14:paraId="1FD02AD0" w14:textId="3CB7413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0.1422</w:t>
            </w:r>
          </w:p>
        </w:tc>
        <w:tc>
          <w:tcPr>
            <w:tcW w:w="679" w:type="pct"/>
          </w:tcPr>
          <w:p w14:paraId="10073BB7" w14:textId="2032C97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0.02</w:t>
            </w:r>
          </w:p>
        </w:tc>
      </w:tr>
      <w:tr w:rsidR="00E67914" w:rsidRPr="00E67914" w14:paraId="4587AB83" w14:textId="77777777" w:rsidTr="00610F97">
        <w:tc>
          <w:tcPr>
            <w:tcW w:w="812" w:type="pct"/>
            <w:vAlign w:val="center"/>
          </w:tcPr>
          <w:p w14:paraId="613320CD"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100</w:t>
            </w:r>
          </w:p>
        </w:tc>
        <w:tc>
          <w:tcPr>
            <w:tcW w:w="721" w:type="pct"/>
          </w:tcPr>
          <w:p w14:paraId="017E38FC" w14:textId="4CB73E12"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1.2236</w:t>
            </w:r>
          </w:p>
        </w:tc>
        <w:tc>
          <w:tcPr>
            <w:tcW w:w="691" w:type="pct"/>
          </w:tcPr>
          <w:p w14:paraId="625CD8B0" w14:textId="1488FD2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0.24</w:t>
            </w:r>
          </w:p>
        </w:tc>
        <w:tc>
          <w:tcPr>
            <w:tcW w:w="709" w:type="pct"/>
          </w:tcPr>
          <w:p w14:paraId="1EF1BA2C" w14:textId="1E5E426D"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2.8621</w:t>
            </w:r>
          </w:p>
        </w:tc>
        <w:tc>
          <w:tcPr>
            <w:tcW w:w="679" w:type="pct"/>
          </w:tcPr>
          <w:p w14:paraId="3A7FEDF2" w14:textId="43D00FEC"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sz w:val="21"/>
                <w:szCs w:val="21"/>
              </w:rPr>
              <w:t>1.43</w:t>
            </w:r>
          </w:p>
        </w:tc>
        <w:tc>
          <w:tcPr>
            <w:tcW w:w="709" w:type="pct"/>
          </w:tcPr>
          <w:p w14:paraId="58D82D16" w14:textId="5D4D7C2C"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sz w:val="21"/>
                <w:szCs w:val="21"/>
                <w:lang w:eastAsia="zh-CN"/>
              </w:rPr>
              <w:t>0.8756</w:t>
            </w:r>
          </w:p>
        </w:tc>
        <w:tc>
          <w:tcPr>
            <w:tcW w:w="679" w:type="pct"/>
          </w:tcPr>
          <w:p w14:paraId="78468C77" w14:textId="576703B0"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sz w:val="21"/>
                <w:szCs w:val="21"/>
              </w:rPr>
              <w:t>0.10</w:t>
            </w:r>
          </w:p>
        </w:tc>
      </w:tr>
      <w:tr w:rsidR="00E67914" w:rsidRPr="00E67914" w14:paraId="67140052" w14:textId="77777777" w:rsidTr="00610F97">
        <w:tc>
          <w:tcPr>
            <w:tcW w:w="812" w:type="pct"/>
            <w:vAlign w:val="center"/>
          </w:tcPr>
          <w:p w14:paraId="7F7F405F" w14:textId="30843A86"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149</w:t>
            </w:r>
          </w:p>
        </w:tc>
        <w:tc>
          <w:tcPr>
            <w:tcW w:w="721" w:type="pct"/>
          </w:tcPr>
          <w:p w14:paraId="4FD568EF" w14:textId="010D175C"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7.3300</w:t>
            </w:r>
          </w:p>
        </w:tc>
        <w:tc>
          <w:tcPr>
            <w:tcW w:w="691" w:type="pct"/>
          </w:tcPr>
          <w:p w14:paraId="49276C5E" w14:textId="6664619C"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rPr>
              <w:t>1.47</w:t>
            </w:r>
          </w:p>
        </w:tc>
        <w:tc>
          <w:tcPr>
            <w:tcW w:w="709" w:type="pct"/>
          </w:tcPr>
          <w:p w14:paraId="0875404C" w14:textId="21272219"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17.1453</w:t>
            </w:r>
          </w:p>
        </w:tc>
        <w:tc>
          <w:tcPr>
            <w:tcW w:w="679" w:type="pct"/>
          </w:tcPr>
          <w:p w14:paraId="1530578A" w14:textId="1FFFB1B2"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rPr>
              <w:t>8.57</w:t>
            </w:r>
          </w:p>
        </w:tc>
        <w:tc>
          <w:tcPr>
            <w:tcW w:w="709" w:type="pct"/>
          </w:tcPr>
          <w:p w14:paraId="7A9AF7E3" w14:textId="00A18FBC"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5.2455</w:t>
            </w:r>
          </w:p>
        </w:tc>
        <w:tc>
          <w:tcPr>
            <w:tcW w:w="679" w:type="pct"/>
          </w:tcPr>
          <w:p w14:paraId="2624A67E" w14:textId="260558A5"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rPr>
              <w:t>0.58</w:t>
            </w:r>
          </w:p>
        </w:tc>
      </w:tr>
      <w:tr w:rsidR="00E67914" w:rsidRPr="00E67914" w14:paraId="7297715D" w14:textId="77777777" w:rsidTr="00610F97">
        <w:tc>
          <w:tcPr>
            <w:tcW w:w="812" w:type="pct"/>
            <w:vAlign w:val="center"/>
          </w:tcPr>
          <w:p w14:paraId="00CBAB38"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200</w:t>
            </w:r>
          </w:p>
        </w:tc>
        <w:tc>
          <w:tcPr>
            <w:tcW w:w="721" w:type="pct"/>
          </w:tcPr>
          <w:p w14:paraId="207422AB" w14:textId="35820BCE"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4.1943</w:t>
            </w:r>
          </w:p>
        </w:tc>
        <w:tc>
          <w:tcPr>
            <w:tcW w:w="691" w:type="pct"/>
          </w:tcPr>
          <w:p w14:paraId="2262AAC1" w14:textId="34019077"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0.84</w:t>
            </w:r>
          </w:p>
        </w:tc>
        <w:tc>
          <w:tcPr>
            <w:tcW w:w="709" w:type="pct"/>
          </w:tcPr>
          <w:p w14:paraId="3E3D68AC" w14:textId="7553CC0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9.8107</w:t>
            </w:r>
          </w:p>
        </w:tc>
        <w:tc>
          <w:tcPr>
            <w:tcW w:w="679" w:type="pct"/>
          </w:tcPr>
          <w:p w14:paraId="54E5534E" w14:textId="2F50AECA"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4.91</w:t>
            </w:r>
          </w:p>
        </w:tc>
        <w:tc>
          <w:tcPr>
            <w:tcW w:w="709" w:type="pct"/>
          </w:tcPr>
          <w:p w14:paraId="7CB9BE22" w14:textId="5113DA6A"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3.0015</w:t>
            </w:r>
          </w:p>
        </w:tc>
        <w:tc>
          <w:tcPr>
            <w:tcW w:w="679" w:type="pct"/>
          </w:tcPr>
          <w:p w14:paraId="7CC026A5" w14:textId="3626866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0.33</w:t>
            </w:r>
          </w:p>
        </w:tc>
      </w:tr>
      <w:tr w:rsidR="00E67914" w:rsidRPr="00E67914" w14:paraId="05337670" w14:textId="77777777" w:rsidTr="00610F97">
        <w:tc>
          <w:tcPr>
            <w:tcW w:w="812" w:type="pct"/>
            <w:vAlign w:val="center"/>
          </w:tcPr>
          <w:p w14:paraId="36E4EC81"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300</w:t>
            </w:r>
          </w:p>
        </w:tc>
        <w:tc>
          <w:tcPr>
            <w:tcW w:w="721" w:type="pct"/>
          </w:tcPr>
          <w:p w14:paraId="0751E41D" w14:textId="616920D5"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3.0905</w:t>
            </w:r>
          </w:p>
        </w:tc>
        <w:tc>
          <w:tcPr>
            <w:tcW w:w="691" w:type="pct"/>
          </w:tcPr>
          <w:p w14:paraId="6BA8D871" w14:textId="3B0FE332"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0.62</w:t>
            </w:r>
          </w:p>
        </w:tc>
        <w:tc>
          <w:tcPr>
            <w:tcW w:w="709" w:type="pct"/>
          </w:tcPr>
          <w:p w14:paraId="478451D3" w14:textId="2AC73C87"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7.2289</w:t>
            </w:r>
          </w:p>
        </w:tc>
        <w:tc>
          <w:tcPr>
            <w:tcW w:w="679" w:type="pct"/>
          </w:tcPr>
          <w:p w14:paraId="3A43DF59" w14:textId="454E4CE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3.61</w:t>
            </w:r>
          </w:p>
        </w:tc>
        <w:tc>
          <w:tcPr>
            <w:tcW w:w="709" w:type="pct"/>
          </w:tcPr>
          <w:p w14:paraId="58DC2F0C" w14:textId="01AEFA6A"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2.2116</w:t>
            </w:r>
          </w:p>
        </w:tc>
        <w:tc>
          <w:tcPr>
            <w:tcW w:w="679" w:type="pct"/>
          </w:tcPr>
          <w:p w14:paraId="1205D7C6" w14:textId="7EFE52A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0.25</w:t>
            </w:r>
          </w:p>
        </w:tc>
      </w:tr>
      <w:tr w:rsidR="00E67914" w:rsidRPr="00E67914" w14:paraId="20CC97D9" w14:textId="77777777" w:rsidTr="00610F97">
        <w:tc>
          <w:tcPr>
            <w:tcW w:w="812" w:type="pct"/>
            <w:vAlign w:val="center"/>
          </w:tcPr>
          <w:p w14:paraId="2253604F"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lastRenderedPageBreak/>
              <w:t>400</w:t>
            </w:r>
          </w:p>
        </w:tc>
        <w:tc>
          <w:tcPr>
            <w:tcW w:w="721" w:type="pct"/>
          </w:tcPr>
          <w:p w14:paraId="73A28452" w14:textId="3D12ACD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2.3976</w:t>
            </w:r>
          </w:p>
        </w:tc>
        <w:tc>
          <w:tcPr>
            <w:tcW w:w="691" w:type="pct"/>
          </w:tcPr>
          <w:p w14:paraId="3CBB44E3" w14:textId="6B8BD751"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0.48</w:t>
            </w:r>
          </w:p>
        </w:tc>
        <w:tc>
          <w:tcPr>
            <w:tcW w:w="709" w:type="pct"/>
          </w:tcPr>
          <w:p w14:paraId="774E7F1F" w14:textId="3869D6FE"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5.6081</w:t>
            </w:r>
          </w:p>
        </w:tc>
        <w:tc>
          <w:tcPr>
            <w:tcW w:w="679" w:type="pct"/>
          </w:tcPr>
          <w:p w14:paraId="196FAD1E" w14:textId="67E92BBB"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2.80</w:t>
            </w:r>
          </w:p>
        </w:tc>
        <w:tc>
          <w:tcPr>
            <w:tcW w:w="709" w:type="pct"/>
          </w:tcPr>
          <w:p w14:paraId="6C511E41" w14:textId="30C974A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1.7158</w:t>
            </w:r>
          </w:p>
        </w:tc>
        <w:tc>
          <w:tcPr>
            <w:tcW w:w="679" w:type="pct"/>
          </w:tcPr>
          <w:p w14:paraId="7F0292F4" w14:textId="7DB52CC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0.19</w:t>
            </w:r>
          </w:p>
        </w:tc>
      </w:tr>
      <w:tr w:rsidR="00E67914" w:rsidRPr="00E67914" w14:paraId="2B022B48" w14:textId="77777777" w:rsidTr="00610F97">
        <w:tc>
          <w:tcPr>
            <w:tcW w:w="812" w:type="pct"/>
            <w:vAlign w:val="center"/>
          </w:tcPr>
          <w:p w14:paraId="63EA2763"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500</w:t>
            </w:r>
          </w:p>
        </w:tc>
        <w:tc>
          <w:tcPr>
            <w:tcW w:w="721" w:type="pct"/>
          </w:tcPr>
          <w:p w14:paraId="28F5ECB7" w14:textId="0A0A220C"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2.1932</w:t>
            </w:r>
          </w:p>
        </w:tc>
        <w:tc>
          <w:tcPr>
            <w:tcW w:w="691" w:type="pct"/>
          </w:tcPr>
          <w:p w14:paraId="7D86E398" w14:textId="6ED03CAD"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0.44</w:t>
            </w:r>
          </w:p>
        </w:tc>
        <w:tc>
          <w:tcPr>
            <w:tcW w:w="709" w:type="pct"/>
          </w:tcPr>
          <w:p w14:paraId="3AD64A7C" w14:textId="4F69A0D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5.1300</w:t>
            </w:r>
          </w:p>
        </w:tc>
        <w:tc>
          <w:tcPr>
            <w:tcW w:w="679" w:type="pct"/>
          </w:tcPr>
          <w:p w14:paraId="49F45216" w14:textId="773FA1C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2.57</w:t>
            </w:r>
          </w:p>
        </w:tc>
        <w:tc>
          <w:tcPr>
            <w:tcW w:w="709" w:type="pct"/>
          </w:tcPr>
          <w:p w14:paraId="3CFDE411" w14:textId="3B8CCA5E"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1.5695</w:t>
            </w:r>
          </w:p>
        </w:tc>
        <w:tc>
          <w:tcPr>
            <w:tcW w:w="679" w:type="pct"/>
          </w:tcPr>
          <w:p w14:paraId="7323445A" w14:textId="2A83A7FC"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0.17</w:t>
            </w:r>
          </w:p>
        </w:tc>
      </w:tr>
      <w:tr w:rsidR="00E67914" w:rsidRPr="00E67914" w14:paraId="72818B81" w14:textId="77777777" w:rsidTr="00610F97">
        <w:tc>
          <w:tcPr>
            <w:tcW w:w="812" w:type="pct"/>
            <w:vAlign w:val="center"/>
          </w:tcPr>
          <w:p w14:paraId="0D4322EE"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600</w:t>
            </w:r>
          </w:p>
        </w:tc>
        <w:tc>
          <w:tcPr>
            <w:tcW w:w="721" w:type="pct"/>
          </w:tcPr>
          <w:p w14:paraId="639FB9A8" w14:textId="0A4D733D"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1.3705</w:t>
            </w:r>
          </w:p>
        </w:tc>
        <w:tc>
          <w:tcPr>
            <w:tcW w:w="691" w:type="pct"/>
          </w:tcPr>
          <w:p w14:paraId="01A260E4" w14:textId="45B4BB99"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0.27</w:t>
            </w:r>
          </w:p>
        </w:tc>
        <w:tc>
          <w:tcPr>
            <w:tcW w:w="709" w:type="pct"/>
          </w:tcPr>
          <w:p w14:paraId="4D6BABCC" w14:textId="224C5EC1"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3.2057</w:t>
            </w:r>
          </w:p>
        </w:tc>
        <w:tc>
          <w:tcPr>
            <w:tcW w:w="679" w:type="pct"/>
          </w:tcPr>
          <w:p w14:paraId="36AA87F4" w14:textId="5F2DA734"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1.60</w:t>
            </w:r>
          </w:p>
        </w:tc>
        <w:tc>
          <w:tcPr>
            <w:tcW w:w="709" w:type="pct"/>
          </w:tcPr>
          <w:p w14:paraId="472E6E96" w14:textId="233C3C4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0.9808</w:t>
            </w:r>
          </w:p>
        </w:tc>
        <w:tc>
          <w:tcPr>
            <w:tcW w:w="679" w:type="pct"/>
          </w:tcPr>
          <w:p w14:paraId="5B554D41" w14:textId="17D0325C"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0.11</w:t>
            </w:r>
          </w:p>
        </w:tc>
      </w:tr>
      <w:tr w:rsidR="00E67914" w:rsidRPr="00E67914" w14:paraId="041D8099" w14:textId="77777777" w:rsidTr="00610F97">
        <w:tc>
          <w:tcPr>
            <w:tcW w:w="812" w:type="pct"/>
            <w:vAlign w:val="center"/>
          </w:tcPr>
          <w:p w14:paraId="6ED1CC58"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700</w:t>
            </w:r>
          </w:p>
        </w:tc>
        <w:tc>
          <w:tcPr>
            <w:tcW w:w="721" w:type="pct"/>
          </w:tcPr>
          <w:p w14:paraId="01994F2C" w14:textId="65A5881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1.3393</w:t>
            </w:r>
          </w:p>
        </w:tc>
        <w:tc>
          <w:tcPr>
            <w:tcW w:w="691" w:type="pct"/>
          </w:tcPr>
          <w:p w14:paraId="717F008E" w14:textId="418DB51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0.27</w:t>
            </w:r>
          </w:p>
        </w:tc>
        <w:tc>
          <w:tcPr>
            <w:tcW w:w="709" w:type="pct"/>
          </w:tcPr>
          <w:p w14:paraId="304542EC" w14:textId="66DBD53F"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3.1327</w:t>
            </w:r>
          </w:p>
        </w:tc>
        <w:tc>
          <w:tcPr>
            <w:tcW w:w="679" w:type="pct"/>
          </w:tcPr>
          <w:p w14:paraId="6C2515FF" w14:textId="75746F59"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1.57</w:t>
            </w:r>
          </w:p>
        </w:tc>
        <w:tc>
          <w:tcPr>
            <w:tcW w:w="709" w:type="pct"/>
          </w:tcPr>
          <w:p w14:paraId="65C9D5AA" w14:textId="58E08E1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0.9584</w:t>
            </w:r>
          </w:p>
        </w:tc>
        <w:tc>
          <w:tcPr>
            <w:tcW w:w="679" w:type="pct"/>
          </w:tcPr>
          <w:p w14:paraId="0B16C8AE" w14:textId="2928B5A9"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0.11</w:t>
            </w:r>
          </w:p>
        </w:tc>
      </w:tr>
      <w:tr w:rsidR="00E67914" w:rsidRPr="00E67914" w14:paraId="6A750B32" w14:textId="77777777" w:rsidTr="00610F97">
        <w:tc>
          <w:tcPr>
            <w:tcW w:w="812" w:type="pct"/>
            <w:vAlign w:val="center"/>
          </w:tcPr>
          <w:p w14:paraId="7ADB28B2"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800</w:t>
            </w:r>
          </w:p>
        </w:tc>
        <w:tc>
          <w:tcPr>
            <w:tcW w:w="721" w:type="pct"/>
          </w:tcPr>
          <w:p w14:paraId="44B540EE" w14:textId="6EF22BE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0.1031</w:t>
            </w:r>
          </w:p>
        </w:tc>
        <w:tc>
          <w:tcPr>
            <w:tcW w:w="691" w:type="pct"/>
          </w:tcPr>
          <w:p w14:paraId="7888C57F" w14:textId="7468613B"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0.02</w:t>
            </w:r>
          </w:p>
        </w:tc>
        <w:tc>
          <w:tcPr>
            <w:tcW w:w="709" w:type="pct"/>
          </w:tcPr>
          <w:p w14:paraId="320D8D94" w14:textId="1A90C880"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0.2412</w:t>
            </w:r>
          </w:p>
        </w:tc>
        <w:tc>
          <w:tcPr>
            <w:tcW w:w="679" w:type="pct"/>
          </w:tcPr>
          <w:p w14:paraId="4CFD24BB" w14:textId="0EE09409"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0.12</w:t>
            </w:r>
          </w:p>
        </w:tc>
        <w:tc>
          <w:tcPr>
            <w:tcW w:w="709" w:type="pct"/>
          </w:tcPr>
          <w:p w14:paraId="2676FC17" w14:textId="39B7C13A"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0.0738</w:t>
            </w:r>
          </w:p>
        </w:tc>
        <w:tc>
          <w:tcPr>
            <w:tcW w:w="679" w:type="pct"/>
          </w:tcPr>
          <w:p w14:paraId="3DB1D63F" w14:textId="19CDDDC1"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0.01</w:t>
            </w:r>
          </w:p>
        </w:tc>
      </w:tr>
      <w:tr w:rsidR="00E67914" w:rsidRPr="00E67914" w14:paraId="53A5D0BA" w14:textId="77777777" w:rsidTr="00610F97">
        <w:tc>
          <w:tcPr>
            <w:tcW w:w="812" w:type="pct"/>
            <w:vAlign w:val="center"/>
          </w:tcPr>
          <w:p w14:paraId="273B74FA"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900</w:t>
            </w:r>
          </w:p>
        </w:tc>
        <w:tc>
          <w:tcPr>
            <w:tcW w:w="721" w:type="pct"/>
          </w:tcPr>
          <w:p w14:paraId="2F035F4E" w14:textId="1A06AFED"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0.9734</w:t>
            </w:r>
          </w:p>
        </w:tc>
        <w:tc>
          <w:tcPr>
            <w:tcW w:w="691" w:type="pct"/>
          </w:tcPr>
          <w:p w14:paraId="2F6C0DED" w14:textId="636711A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0.19</w:t>
            </w:r>
          </w:p>
        </w:tc>
        <w:tc>
          <w:tcPr>
            <w:tcW w:w="709" w:type="pct"/>
          </w:tcPr>
          <w:p w14:paraId="5F5F07BA" w14:textId="3F689E95"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2.2768</w:t>
            </w:r>
          </w:p>
        </w:tc>
        <w:tc>
          <w:tcPr>
            <w:tcW w:w="679" w:type="pct"/>
          </w:tcPr>
          <w:p w14:paraId="5BB8411C" w14:textId="589BC38F"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1.14</w:t>
            </w:r>
          </w:p>
        </w:tc>
        <w:tc>
          <w:tcPr>
            <w:tcW w:w="709" w:type="pct"/>
          </w:tcPr>
          <w:p w14:paraId="46A6C782" w14:textId="597CA2BD"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0.6966</w:t>
            </w:r>
          </w:p>
        </w:tc>
        <w:tc>
          <w:tcPr>
            <w:tcW w:w="679" w:type="pct"/>
          </w:tcPr>
          <w:p w14:paraId="07409521" w14:textId="09C0E1ED"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0.08</w:t>
            </w:r>
          </w:p>
        </w:tc>
      </w:tr>
      <w:tr w:rsidR="00E67914" w:rsidRPr="00E67914" w14:paraId="5AD6F791" w14:textId="77777777" w:rsidTr="00610F97">
        <w:tc>
          <w:tcPr>
            <w:tcW w:w="812" w:type="pct"/>
            <w:vAlign w:val="center"/>
          </w:tcPr>
          <w:p w14:paraId="1B456330"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1000</w:t>
            </w:r>
          </w:p>
        </w:tc>
        <w:tc>
          <w:tcPr>
            <w:tcW w:w="721" w:type="pct"/>
          </w:tcPr>
          <w:p w14:paraId="4FFAE654" w14:textId="19801211"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0.2296</w:t>
            </w:r>
          </w:p>
        </w:tc>
        <w:tc>
          <w:tcPr>
            <w:tcW w:w="691" w:type="pct"/>
          </w:tcPr>
          <w:p w14:paraId="6762FFB4" w14:textId="041C8823"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0.05</w:t>
            </w:r>
          </w:p>
        </w:tc>
        <w:tc>
          <w:tcPr>
            <w:tcW w:w="709" w:type="pct"/>
          </w:tcPr>
          <w:p w14:paraId="5BF87867" w14:textId="2B9889EE"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0.5370</w:t>
            </w:r>
          </w:p>
        </w:tc>
        <w:tc>
          <w:tcPr>
            <w:tcW w:w="679" w:type="pct"/>
          </w:tcPr>
          <w:p w14:paraId="662FE35A" w14:textId="6AAA17D1"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0.27</w:t>
            </w:r>
          </w:p>
        </w:tc>
        <w:tc>
          <w:tcPr>
            <w:tcW w:w="709" w:type="pct"/>
          </w:tcPr>
          <w:p w14:paraId="5631EF07" w14:textId="1D7C103E"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0.1643</w:t>
            </w:r>
          </w:p>
        </w:tc>
        <w:tc>
          <w:tcPr>
            <w:tcW w:w="679" w:type="pct"/>
          </w:tcPr>
          <w:p w14:paraId="54ABB8A2" w14:textId="47A7E60A"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0.02</w:t>
            </w:r>
          </w:p>
        </w:tc>
      </w:tr>
      <w:tr w:rsidR="00E67914" w:rsidRPr="00E67914" w14:paraId="567076AA" w14:textId="77777777" w:rsidTr="00610F97">
        <w:tc>
          <w:tcPr>
            <w:tcW w:w="812" w:type="pct"/>
            <w:vAlign w:val="center"/>
          </w:tcPr>
          <w:p w14:paraId="03E451EB" w14:textId="77777777"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1500</w:t>
            </w:r>
          </w:p>
        </w:tc>
        <w:tc>
          <w:tcPr>
            <w:tcW w:w="721" w:type="pct"/>
          </w:tcPr>
          <w:p w14:paraId="6927487C" w14:textId="445059F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0.6438</w:t>
            </w:r>
          </w:p>
        </w:tc>
        <w:tc>
          <w:tcPr>
            <w:tcW w:w="691" w:type="pct"/>
          </w:tcPr>
          <w:p w14:paraId="2314AC05" w14:textId="559F6C19"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0.13</w:t>
            </w:r>
          </w:p>
        </w:tc>
        <w:tc>
          <w:tcPr>
            <w:tcW w:w="709" w:type="pct"/>
          </w:tcPr>
          <w:p w14:paraId="6B17EFAA" w14:textId="15F03419"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1.5058</w:t>
            </w:r>
          </w:p>
        </w:tc>
        <w:tc>
          <w:tcPr>
            <w:tcW w:w="679" w:type="pct"/>
          </w:tcPr>
          <w:p w14:paraId="10524146" w14:textId="1A60A91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0.75</w:t>
            </w:r>
          </w:p>
        </w:tc>
        <w:tc>
          <w:tcPr>
            <w:tcW w:w="709" w:type="pct"/>
          </w:tcPr>
          <w:p w14:paraId="3E9EDF4A" w14:textId="3B87DD5C"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0.4607</w:t>
            </w:r>
          </w:p>
        </w:tc>
        <w:tc>
          <w:tcPr>
            <w:tcW w:w="679" w:type="pct"/>
          </w:tcPr>
          <w:p w14:paraId="6FE8F0F2" w14:textId="0F30D62B"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0.05</w:t>
            </w:r>
          </w:p>
        </w:tc>
      </w:tr>
      <w:tr w:rsidR="00E67914" w:rsidRPr="00E67914" w14:paraId="34914D57" w14:textId="77777777" w:rsidTr="00610F97">
        <w:tc>
          <w:tcPr>
            <w:tcW w:w="812" w:type="pct"/>
            <w:vAlign w:val="center"/>
          </w:tcPr>
          <w:p w14:paraId="33853040"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2000</w:t>
            </w:r>
          </w:p>
        </w:tc>
        <w:tc>
          <w:tcPr>
            <w:tcW w:w="721" w:type="pct"/>
          </w:tcPr>
          <w:p w14:paraId="1798CE96" w14:textId="18F2B51F"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0.0482</w:t>
            </w:r>
          </w:p>
        </w:tc>
        <w:tc>
          <w:tcPr>
            <w:tcW w:w="691" w:type="pct"/>
          </w:tcPr>
          <w:p w14:paraId="5C3A00F8" w14:textId="6002DC90"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0.01</w:t>
            </w:r>
          </w:p>
        </w:tc>
        <w:tc>
          <w:tcPr>
            <w:tcW w:w="709" w:type="pct"/>
          </w:tcPr>
          <w:p w14:paraId="384417F0" w14:textId="3B0B653F"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0.1127</w:t>
            </w:r>
          </w:p>
        </w:tc>
        <w:tc>
          <w:tcPr>
            <w:tcW w:w="679" w:type="pct"/>
          </w:tcPr>
          <w:p w14:paraId="275736F8" w14:textId="094363A6"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0.06</w:t>
            </w:r>
          </w:p>
        </w:tc>
        <w:tc>
          <w:tcPr>
            <w:tcW w:w="709" w:type="pct"/>
          </w:tcPr>
          <w:p w14:paraId="57E48755" w14:textId="6643ED2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0.0345</w:t>
            </w:r>
          </w:p>
        </w:tc>
        <w:tc>
          <w:tcPr>
            <w:tcW w:w="679" w:type="pct"/>
          </w:tcPr>
          <w:p w14:paraId="7528AD67" w14:textId="5F94DC80"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0.00</w:t>
            </w:r>
          </w:p>
        </w:tc>
      </w:tr>
      <w:tr w:rsidR="00E67914" w:rsidRPr="00E67914" w14:paraId="1638E96C" w14:textId="77777777" w:rsidTr="00610F97">
        <w:tc>
          <w:tcPr>
            <w:tcW w:w="812" w:type="pct"/>
            <w:vAlign w:val="center"/>
          </w:tcPr>
          <w:p w14:paraId="4550E570"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2500</w:t>
            </w:r>
          </w:p>
        </w:tc>
        <w:tc>
          <w:tcPr>
            <w:tcW w:w="721" w:type="pct"/>
          </w:tcPr>
          <w:p w14:paraId="4B7EC391" w14:textId="63F5D8E8"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0.0490</w:t>
            </w:r>
          </w:p>
        </w:tc>
        <w:tc>
          <w:tcPr>
            <w:tcW w:w="691" w:type="pct"/>
          </w:tcPr>
          <w:p w14:paraId="59216F43" w14:textId="68D4663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0.01</w:t>
            </w:r>
          </w:p>
        </w:tc>
        <w:tc>
          <w:tcPr>
            <w:tcW w:w="709" w:type="pct"/>
          </w:tcPr>
          <w:p w14:paraId="72B63228" w14:textId="3F37E446"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0.1146</w:t>
            </w:r>
          </w:p>
        </w:tc>
        <w:tc>
          <w:tcPr>
            <w:tcW w:w="679" w:type="pct"/>
          </w:tcPr>
          <w:p w14:paraId="52AF1A0C" w14:textId="795282AF"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0.06</w:t>
            </w:r>
          </w:p>
        </w:tc>
        <w:tc>
          <w:tcPr>
            <w:tcW w:w="709" w:type="pct"/>
          </w:tcPr>
          <w:p w14:paraId="22871F65" w14:textId="56EE1675"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0.0350</w:t>
            </w:r>
          </w:p>
        </w:tc>
        <w:tc>
          <w:tcPr>
            <w:tcW w:w="679" w:type="pct"/>
          </w:tcPr>
          <w:p w14:paraId="34CC21C9" w14:textId="6CDC1322"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0.00</w:t>
            </w:r>
          </w:p>
        </w:tc>
      </w:tr>
      <w:tr w:rsidR="00E67914" w:rsidRPr="00E67914" w14:paraId="488E0158" w14:textId="77777777" w:rsidTr="00007B1E">
        <w:tc>
          <w:tcPr>
            <w:tcW w:w="812" w:type="pct"/>
            <w:vAlign w:val="center"/>
          </w:tcPr>
          <w:p w14:paraId="205FA010" w14:textId="77777777"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sz w:val="21"/>
                <w:szCs w:val="21"/>
              </w:rPr>
              <w:t>下风向最大浓度</w:t>
            </w:r>
          </w:p>
        </w:tc>
        <w:tc>
          <w:tcPr>
            <w:tcW w:w="721" w:type="pct"/>
          </w:tcPr>
          <w:p w14:paraId="0F8C58C3" w14:textId="0E14A446"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b/>
                <w:bCs/>
                <w:sz w:val="21"/>
                <w:szCs w:val="21"/>
                <w:lang w:eastAsia="zh-CN"/>
              </w:rPr>
              <w:t>7.3300</w:t>
            </w:r>
          </w:p>
        </w:tc>
        <w:tc>
          <w:tcPr>
            <w:tcW w:w="691" w:type="pct"/>
          </w:tcPr>
          <w:p w14:paraId="1635E73E" w14:textId="48EED10B"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b/>
                <w:bCs/>
                <w:sz w:val="21"/>
                <w:szCs w:val="21"/>
              </w:rPr>
              <w:t>1.47</w:t>
            </w:r>
          </w:p>
        </w:tc>
        <w:tc>
          <w:tcPr>
            <w:tcW w:w="709" w:type="pct"/>
          </w:tcPr>
          <w:p w14:paraId="2CF4E40E" w14:textId="0CD67501"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b/>
                <w:bCs/>
                <w:sz w:val="21"/>
                <w:szCs w:val="21"/>
                <w:lang w:eastAsia="zh-CN"/>
              </w:rPr>
              <w:t>17.1453</w:t>
            </w:r>
          </w:p>
        </w:tc>
        <w:tc>
          <w:tcPr>
            <w:tcW w:w="679" w:type="pct"/>
          </w:tcPr>
          <w:p w14:paraId="49DDBF35" w14:textId="1A537152" w:rsidR="002B7A8E" w:rsidRPr="00E67914" w:rsidRDefault="002B7A8E" w:rsidP="002B7A8E">
            <w:pPr>
              <w:adjustRightInd w:val="0"/>
              <w:snapToGrid w:val="0"/>
              <w:jc w:val="center"/>
              <w:rPr>
                <w:rFonts w:ascii="Times New Roman" w:hAnsi="Times New Roman"/>
                <w:sz w:val="21"/>
                <w:szCs w:val="21"/>
              </w:rPr>
            </w:pPr>
            <w:r w:rsidRPr="00E67914">
              <w:rPr>
                <w:rFonts w:ascii="Times New Roman" w:hAnsi="Times New Roman"/>
                <w:b/>
                <w:bCs/>
                <w:sz w:val="21"/>
                <w:szCs w:val="21"/>
              </w:rPr>
              <w:t>8.57</w:t>
            </w:r>
          </w:p>
        </w:tc>
        <w:tc>
          <w:tcPr>
            <w:tcW w:w="709" w:type="pct"/>
          </w:tcPr>
          <w:p w14:paraId="5AFD3117" w14:textId="0E2F14FC"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5.2455</w:t>
            </w:r>
          </w:p>
        </w:tc>
        <w:tc>
          <w:tcPr>
            <w:tcW w:w="679" w:type="pct"/>
          </w:tcPr>
          <w:p w14:paraId="3E511B38" w14:textId="3F44B1E2" w:rsidR="002B7A8E" w:rsidRPr="00E67914" w:rsidRDefault="002B7A8E" w:rsidP="002B7A8E">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rPr>
              <w:t>0.58</w:t>
            </w:r>
          </w:p>
        </w:tc>
      </w:tr>
      <w:tr w:rsidR="00E67914" w:rsidRPr="00E67914" w14:paraId="43E3B57B" w14:textId="77777777" w:rsidTr="00380D94">
        <w:tc>
          <w:tcPr>
            <w:tcW w:w="812" w:type="pct"/>
            <w:vAlign w:val="center"/>
          </w:tcPr>
          <w:p w14:paraId="0AD66A2F" w14:textId="77777777"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下风向最大浓度出现距离</w:t>
            </w:r>
          </w:p>
        </w:tc>
        <w:tc>
          <w:tcPr>
            <w:tcW w:w="4188" w:type="pct"/>
            <w:gridSpan w:val="6"/>
            <w:vAlign w:val="center"/>
          </w:tcPr>
          <w:p w14:paraId="5EB43F0D" w14:textId="4968F6A1" w:rsidR="002B7A8E" w:rsidRPr="00E67914" w:rsidRDefault="002B7A8E" w:rsidP="002B7A8E">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149</w:t>
            </w:r>
          </w:p>
        </w:tc>
      </w:tr>
    </w:tbl>
    <w:p w14:paraId="62755593" w14:textId="666B12AA" w:rsidR="002B7A8E" w:rsidRPr="00E67914" w:rsidRDefault="002B7A8E" w:rsidP="002B7A8E">
      <w:pPr>
        <w:adjustRightInd w:val="0"/>
        <w:snapToGrid w:val="0"/>
        <w:spacing w:line="360" w:lineRule="auto"/>
        <w:ind w:firstLineChars="200" w:firstLine="480"/>
        <w:rPr>
          <w:rFonts w:ascii="Times New Roman" w:hAnsi="Times New Roman"/>
          <w:lang w:eastAsia="zh-CN"/>
        </w:rPr>
      </w:pPr>
      <w:r w:rsidRPr="00E67914">
        <w:rPr>
          <w:rFonts w:ascii="Times New Roman" w:hAnsi="Times New Roman"/>
          <w:bCs/>
          <w:sz w:val="24"/>
          <w:szCs w:val="24"/>
          <w:lang w:eastAsia="zh-CN"/>
        </w:rPr>
        <w:t>普陆页</w:t>
      </w:r>
      <w:r w:rsidRPr="00E67914">
        <w:rPr>
          <w:rFonts w:ascii="Times New Roman" w:hAnsi="Times New Roman"/>
          <w:bCs/>
          <w:sz w:val="24"/>
          <w:szCs w:val="24"/>
          <w:lang w:eastAsia="zh-CN"/>
        </w:rPr>
        <w:t>2</w:t>
      </w:r>
      <w:r w:rsidRPr="00E67914">
        <w:rPr>
          <w:rFonts w:ascii="Times New Roman" w:hAnsi="Times New Roman"/>
          <w:bCs/>
          <w:sz w:val="24"/>
          <w:szCs w:val="24"/>
          <w:lang w:eastAsia="zh-CN"/>
        </w:rPr>
        <w:t>试采站火炬长明灯燃烧废气占标率与距离曲线图见下图：</w:t>
      </w:r>
    </w:p>
    <w:p w14:paraId="3DD1B7F9" w14:textId="67E8DFCF" w:rsidR="00220395" w:rsidRPr="00E67914" w:rsidRDefault="002B7A8E" w:rsidP="00220395">
      <w:pPr>
        <w:pStyle w:val="afffff1"/>
      </w:pPr>
      <w:r w:rsidRPr="00E67914">
        <w:rPr>
          <w:noProof/>
        </w:rPr>
        <w:drawing>
          <wp:inline distT="0" distB="0" distL="0" distR="0" wp14:anchorId="58E1F003" wp14:editId="6CBE9F0E">
            <wp:extent cx="6009005" cy="3079319"/>
            <wp:effectExtent l="0" t="0" r="0" b="6985"/>
            <wp:docPr id="581199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99527" name=""/>
                    <pic:cNvPicPr/>
                  </pic:nvPicPr>
                  <pic:blipFill>
                    <a:blip r:embed="rId74"/>
                    <a:stretch>
                      <a:fillRect/>
                    </a:stretch>
                  </pic:blipFill>
                  <pic:spPr>
                    <a:xfrm>
                      <a:off x="0" y="0"/>
                      <a:ext cx="6012762" cy="3081244"/>
                    </a:xfrm>
                    <a:prstGeom prst="rect">
                      <a:avLst/>
                    </a:prstGeom>
                  </pic:spPr>
                </pic:pic>
              </a:graphicData>
            </a:graphic>
          </wp:inline>
        </w:drawing>
      </w:r>
    </w:p>
    <w:p w14:paraId="368DEE72" w14:textId="5E9F61DF" w:rsidR="002B7A8E" w:rsidRPr="00E67914" w:rsidRDefault="002B7A8E" w:rsidP="002B7A8E">
      <w:pPr>
        <w:jc w:val="center"/>
        <w:rPr>
          <w:rFonts w:ascii="Times New Roman" w:eastAsia="黑体" w:hAnsi="Times New Roman"/>
          <w:kern w:val="2"/>
          <w:lang w:eastAsia="zh-CN"/>
        </w:rPr>
      </w:pPr>
      <w:r w:rsidRPr="00E67914">
        <w:rPr>
          <w:rFonts w:ascii="Times New Roman" w:eastAsia="黑体" w:hAnsi="Times New Roman"/>
          <w:kern w:val="2"/>
          <w:lang w:eastAsia="zh-CN"/>
        </w:rPr>
        <w:t>图</w:t>
      </w:r>
      <w:r w:rsidRPr="00E67914">
        <w:rPr>
          <w:rFonts w:ascii="Times New Roman" w:eastAsia="黑体" w:hAnsi="Times New Roman"/>
          <w:kern w:val="2"/>
          <w:lang w:eastAsia="zh-CN"/>
        </w:rPr>
        <w:t xml:space="preserve">5.2-1  </w:t>
      </w:r>
      <w:r w:rsidRPr="00E67914">
        <w:rPr>
          <w:rFonts w:ascii="Times New Roman" w:eastAsia="黑体" w:hAnsi="Times New Roman"/>
          <w:kern w:val="2"/>
          <w:lang w:eastAsia="zh-CN"/>
        </w:rPr>
        <w:t>试采站火炬长明灯燃烧废气占标率与距离曲线图</w:t>
      </w:r>
    </w:p>
    <w:p w14:paraId="37029AF3" w14:textId="3187AA72" w:rsidR="002B7A8E" w:rsidRPr="00E67914" w:rsidRDefault="002B7A8E" w:rsidP="002B7A8E">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lastRenderedPageBreak/>
        <w:t>（</w:t>
      </w:r>
      <w:r w:rsidRPr="00E67914">
        <w:rPr>
          <w:rFonts w:ascii="Times New Roman" w:hAnsi="Times New Roman"/>
          <w:bCs/>
          <w:sz w:val="24"/>
          <w:szCs w:val="24"/>
          <w:lang w:eastAsia="zh-CN"/>
        </w:rPr>
        <w:t>3</w:t>
      </w:r>
      <w:r w:rsidRPr="00E67914">
        <w:rPr>
          <w:rFonts w:ascii="Times New Roman" w:hAnsi="Times New Roman"/>
          <w:bCs/>
          <w:sz w:val="24"/>
          <w:szCs w:val="24"/>
          <w:lang w:eastAsia="zh-CN"/>
        </w:rPr>
        <w:t>）油罐挥发气体</w:t>
      </w:r>
    </w:p>
    <w:p w14:paraId="425E0AB5" w14:textId="53D7D3C6" w:rsidR="00CA24A3" w:rsidRPr="00E67914" w:rsidRDefault="00CA24A3" w:rsidP="00CA24A3">
      <w:pPr>
        <w:jc w:val="center"/>
        <w:rPr>
          <w:rFonts w:ascii="Times New Roman" w:eastAsia="黑体" w:hAnsi="Times New Roman"/>
          <w:kern w:val="2"/>
          <w:lang w:eastAsia="zh-CN"/>
        </w:rPr>
      </w:pPr>
      <w:r w:rsidRPr="00E67914">
        <w:rPr>
          <w:rFonts w:ascii="Times New Roman" w:eastAsia="黑体" w:hAnsi="Times New Roman"/>
          <w:kern w:val="2"/>
          <w:lang w:eastAsia="zh-CN"/>
        </w:rPr>
        <w:t>表</w:t>
      </w:r>
      <w:r w:rsidRPr="00E67914">
        <w:rPr>
          <w:rFonts w:ascii="Times New Roman" w:eastAsia="黑体" w:hAnsi="Times New Roman"/>
          <w:kern w:val="2"/>
          <w:lang w:eastAsia="zh-CN"/>
        </w:rPr>
        <w:t xml:space="preserve">5.2-4  </w:t>
      </w:r>
      <w:r w:rsidRPr="00E67914">
        <w:rPr>
          <w:rFonts w:ascii="Times New Roman" w:eastAsia="黑体" w:hAnsi="Times New Roman"/>
          <w:kern w:val="2"/>
          <w:lang w:eastAsia="zh-CN"/>
        </w:rPr>
        <w:t>油罐挥发气体估算模式计算结果一览表</w:t>
      </w:r>
    </w:p>
    <w:tbl>
      <w:tblPr>
        <w:tblW w:w="5000" w:type="pct"/>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5114"/>
        <w:gridCol w:w="4539"/>
        <w:gridCol w:w="4349"/>
      </w:tblGrid>
      <w:tr w:rsidR="00E67914" w:rsidRPr="00E67914" w14:paraId="16C3B3E4" w14:textId="77777777" w:rsidTr="00CA24A3">
        <w:tc>
          <w:tcPr>
            <w:tcW w:w="1826" w:type="pct"/>
            <w:vMerge w:val="restart"/>
            <w:vAlign w:val="center"/>
          </w:tcPr>
          <w:p w14:paraId="2CCD9706" w14:textId="1EA43EE4" w:rsidR="00CA24A3" w:rsidRPr="00E67914" w:rsidRDefault="00CA24A3"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rPr>
              <w:t>下风向距离</w:t>
            </w:r>
            <w:r w:rsidR="002E542D" w:rsidRPr="00E67914">
              <w:rPr>
                <w:rFonts w:ascii="Times New Roman" w:hAnsi="Times New Roman"/>
                <w:b/>
                <w:bCs/>
                <w:sz w:val="21"/>
                <w:szCs w:val="21"/>
                <w:lang w:eastAsia="zh-CN"/>
              </w:rPr>
              <w:t>（</w:t>
            </w:r>
            <w:r w:rsidR="002E542D" w:rsidRPr="00E67914">
              <w:rPr>
                <w:rFonts w:ascii="Times New Roman" w:hAnsi="Times New Roman"/>
                <w:b/>
                <w:bCs/>
                <w:sz w:val="21"/>
                <w:szCs w:val="21"/>
                <w:lang w:eastAsia="zh-CN"/>
              </w:rPr>
              <w:t>m</w:t>
            </w:r>
            <w:r w:rsidR="002E542D" w:rsidRPr="00E67914">
              <w:rPr>
                <w:rFonts w:ascii="Times New Roman" w:hAnsi="Times New Roman"/>
                <w:b/>
                <w:bCs/>
                <w:sz w:val="21"/>
                <w:szCs w:val="21"/>
                <w:lang w:eastAsia="zh-CN"/>
              </w:rPr>
              <w:t>）</w:t>
            </w:r>
          </w:p>
        </w:tc>
        <w:tc>
          <w:tcPr>
            <w:tcW w:w="3174" w:type="pct"/>
            <w:gridSpan w:val="2"/>
            <w:vAlign w:val="center"/>
          </w:tcPr>
          <w:p w14:paraId="2EB1A6DA" w14:textId="3C2A2431" w:rsidR="00CA24A3" w:rsidRPr="00E67914" w:rsidRDefault="00CA24A3"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rPr>
              <w:t>油罐挥发气体</w:t>
            </w:r>
          </w:p>
        </w:tc>
      </w:tr>
      <w:tr w:rsidR="00E67914" w:rsidRPr="00E67914" w14:paraId="32125506" w14:textId="77777777" w:rsidTr="00CA24A3">
        <w:tc>
          <w:tcPr>
            <w:tcW w:w="1826" w:type="pct"/>
            <w:vMerge/>
            <w:vAlign w:val="center"/>
          </w:tcPr>
          <w:p w14:paraId="6CD8E933" w14:textId="77777777" w:rsidR="00CA24A3" w:rsidRPr="00E67914" w:rsidRDefault="00CA24A3" w:rsidP="00380D94">
            <w:pPr>
              <w:adjustRightInd w:val="0"/>
              <w:snapToGrid w:val="0"/>
              <w:jc w:val="center"/>
              <w:rPr>
                <w:rFonts w:ascii="Times New Roman" w:hAnsi="Times New Roman"/>
                <w:b/>
                <w:bCs/>
                <w:sz w:val="21"/>
                <w:szCs w:val="21"/>
              </w:rPr>
            </w:pPr>
          </w:p>
        </w:tc>
        <w:tc>
          <w:tcPr>
            <w:tcW w:w="1621" w:type="pct"/>
            <w:vAlign w:val="center"/>
          </w:tcPr>
          <w:p w14:paraId="58772C48" w14:textId="2837618F" w:rsidR="00CA24A3" w:rsidRPr="00E67914" w:rsidRDefault="00CA24A3"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lang w:eastAsia="zh-CN"/>
              </w:rPr>
              <w:t>NMHC</w:t>
            </w:r>
            <w:r w:rsidRPr="00E67914">
              <w:rPr>
                <w:rFonts w:ascii="Times New Roman" w:hAnsi="Times New Roman"/>
                <w:b/>
                <w:bCs/>
                <w:sz w:val="21"/>
                <w:szCs w:val="21"/>
              </w:rPr>
              <w:t>浓度</w:t>
            </w:r>
            <w:r w:rsidRPr="00E67914">
              <w:rPr>
                <w:rFonts w:ascii="Times New Roman" w:hAnsi="Times New Roman"/>
                <w:b/>
                <w:bCs/>
                <w:sz w:val="21"/>
                <w:szCs w:val="21"/>
              </w:rPr>
              <w:t>(μg/m³)</w:t>
            </w:r>
          </w:p>
        </w:tc>
        <w:tc>
          <w:tcPr>
            <w:tcW w:w="1553" w:type="pct"/>
            <w:vAlign w:val="center"/>
          </w:tcPr>
          <w:p w14:paraId="6EEAAF94" w14:textId="0443C0A2" w:rsidR="00CA24A3" w:rsidRPr="00E67914" w:rsidRDefault="00CA24A3"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lang w:eastAsia="zh-CN"/>
              </w:rPr>
              <w:t>NMHC</w:t>
            </w:r>
            <w:r w:rsidRPr="00E67914">
              <w:rPr>
                <w:rFonts w:ascii="Times New Roman" w:hAnsi="Times New Roman"/>
                <w:b/>
                <w:bCs/>
                <w:sz w:val="21"/>
                <w:szCs w:val="21"/>
              </w:rPr>
              <w:t>占标率</w:t>
            </w:r>
            <w:r w:rsidRPr="00E67914">
              <w:rPr>
                <w:rFonts w:ascii="Times New Roman" w:hAnsi="Times New Roman"/>
                <w:b/>
                <w:bCs/>
                <w:sz w:val="21"/>
                <w:szCs w:val="21"/>
              </w:rPr>
              <w:t>(%)</w:t>
            </w:r>
          </w:p>
        </w:tc>
      </w:tr>
      <w:tr w:rsidR="00E67914" w:rsidRPr="00E67914" w14:paraId="16F7F7AB" w14:textId="77777777" w:rsidTr="00CA24A3">
        <w:tc>
          <w:tcPr>
            <w:tcW w:w="1826" w:type="pct"/>
            <w:vAlign w:val="center"/>
          </w:tcPr>
          <w:p w14:paraId="0454A704" w14:textId="77777777" w:rsidR="0006309C" w:rsidRPr="00E67914" w:rsidRDefault="0006309C" w:rsidP="0006309C">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1621" w:type="pct"/>
          </w:tcPr>
          <w:p w14:paraId="3E980425" w14:textId="713D7557" w:rsidR="0006309C" w:rsidRPr="00E67914" w:rsidRDefault="0006309C" w:rsidP="0006309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75.4660</w:t>
            </w:r>
          </w:p>
        </w:tc>
        <w:tc>
          <w:tcPr>
            <w:tcW w:w="1553" w:type="pct"/>
          </w:tcPr>
          <w:p w14:paraId="68E3C20D" w14:textId="4E2BB2CE" w:rsidR="0006309C" w:rsidRPr="00E67914" w:rsidRDefault="0006309C" w:rsidP="0006309C">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3.77</w:t>
            </w:r>
          </w:p>
        </w:tc>
      </w:tr>
      <w:tr w:rsidR="00E67914" w:rsidRPr="00E67914" w14:paraId="4833CD1C" w14:textId="77777777" w:rsidTr="00CA24A3">
        <w:tc>
          <w:tcPr>
            <w:tcW w:w="1826" w:type="pct"/>
            <w:vAlign w:val="center"/>
          </w:tcPr>
          <w:p w14:paraId="41E51065" w14:textId="15FDAE62" w:rsidR="0006309C" w:rsidRPr="00E67914" w:rsidRDefault="0006309C" w:rsidP="0006309C">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21</w:t>
            </w:r>
          </w:p>
        </w:tc>
        <w:tc>
          <w:tcPr>
            <w:tcW w:w="1621" w:type="pct"/>
          </w:tcPr>
          <w:p w14:paraId="0BB2D227" w14:textId="5DCB8E2E" w:rsidR="0006309C" w:rsidRPr="00E67914" w:rsidRDefault="0006309C" w:rsidP="0006309C">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173.5100</w:t>
            </w:r>
          </w:p>
        </w:tc>
        <w:tc>
          <w:tcPr>
            <w:tcW w:w="1553" w:type="pct"/>
          </w:tcPr>
          <w:p w14:paraId="6634E560" w14:textId="7D775961" w:rsidR="0006309C" w:rsidRPr="00E67914" w:rsidRDefault="0006309C" w:rsidP="0006309C">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8.68</w:t>
            </w:r>
          </w:p>
        </w:tc>
      </w:tr>
      <w:tr w:rsidR="00E67914" w:rsidRPr="00E67914" w14:paraId="61CE526D" w14:textId="77777777" w:rsidTr="00CA24A3">
        <w:tc>
          <w:tcPr>
            <w:tcW w:w="1826" w:type="pct"/>
            <w:vAlign w:val="center"/>
          </w:tcPr>
          <w:p w14:paraId="065095CC"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50</w:t>
            </w:r>
          </w:p>
        </w:tc>
        <w:tc>
          <w:tcPr>
            <w:tcW w:w="1621" w:type="pct"/>
          </w:tcPr>
          <w:p w14:paraId="5C8F78CB" w14:textId="609FC2C4"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73.2200</w:t>
            </w:r>
          </w:p>
        </w:tc>
        <w:tc>
          <w:tcPr>
            <w:tcW w:w="1553" w:type="pct"/>
          </w:tcPr>
          <w:p w14:paraId="0719DABE" w14:textId="663F3793"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3.66</w:t>
            </w:r>
          </w:p>
        </w:tc>
      </w:tr>
      <w:tr w:rsidR="00E67914" w:rsidRPr="00E67914" w14:paraId="1933AEAD" w14:textId="77777777" w:rsidTr="00CA24A3">
        <w:tc>
          <w:tcPr>
            <w:tcW w:w="1826" w:type="pct"/>
            <w:vAlign w:val="center"/>
          </w:tcPr>
          <w:p w14:paraId="433D0606"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100</w:t>
            </w:r>
          </w:p>
        </w:tc>
        <w:tc>
          <w:tcPr>
            <w:tcW w:w="1621" w:type="pct"/>
          </w:tcPr>
          <w:p w14:paraId="171CF9A3" w14:textId="69AC8D7C"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34.5980</w:t>
            </w:r>
          </w:p>
        </w:tc>
        <w:tc>
          <w:tcPr>
            <w:tcW w:w="1553" w:type="pct"/>
          </w:tcPr>
          <w:p w14:paraId="4DA19371" w14:textId="7BBDD6B9"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1.73</w:t>
            </w:r>
          </w:p>
        </w:tc>
      </w:tr>
      <w:tr w:rsidR="00E67914" w:rsidRPr="00E67914" w14:paraId="40E823E1" w14:textId="77777777" w:rsidTr="00CA24A3">
        <w:tc>
          <w:tcPr>
            <w:tcW w:w="1826" w:type="pct"/>
            <w:vAlign w:val="center"/>
          </w:tcPr>
          <w:p w14:paraId="6EC0F1E5"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200</w:t>
            </w:r>
          </w:p>
        </w:tc>
        <w:tc>
          <w:tcPr>
            <w:tcW w:w="1621" w:type="pct"/>
          </w:tcPr>
          <w:p w14:paraId="7B0CD03B" w14:textId="4F004558"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16.9480</w:t>
            </w:r>
          </w:p>
        </w:tc>
        <w:tc>
          <w:tcPr>
            <w:tcW w:w="1553" w:type="pct"/>
          </w:tcPr>
          <w:p w14:paraId="359D52F5" w14:textId="4FDD49C9"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0.85</w:t>
            </w:r>
          </w:p>
        </w:tc>
      </w:tr>
      <w:tr w:rsidR="00E67914" w:rsidRPr="00E67914" w14:paraId="3D255317" w14:textId="77777777" w:rsidTr="00CA24A3">
        <w:tc>
          <w:tcPr>
            <w:tcW w:w="1826" w:type="pct"/>
            <w:vAlign w:val="center"/>
          </w:tcPr>
          <w:p w14:paraId="24B54FD9"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300</w:t>
            </w:r>
          </w:p>
        </w:tc>
        <w:tc>
          <w:tcPr>
            <w:tcW w:w="1621" w:type="pct"/>
          </w:tcPr>
          <w:p w14:paraId="5AC4FAE4" w14:textId="1D16188B"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10.4250</w:t>
            </w:r>
          </w:p>
        </w:tc>
        <w:tc>
          <w:tcPr>
            <w:tcW w:w="1553" w:type="pct"/>
          </w:tcPr>
          <w:p w14:paraId="51D9EC78" w14:textId="3EB12332"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0.52</w:t>
            </w:r>
          </w:p>
        </w:tc>
      </w:tr>
      <w:tr w:rsidR="00E67914" w:rsidRPr="00E67914" w14:paraId="5242DB4B" w14:textId="77777777" w:rsidTr="00CA24A3">
        <w:tc>
          <w:tcPr>
            <w:tcW w:w="1826" w:type="pct"/>
            <w:vAlign w:val="center"/>
          </w:tcPr>
          <w:p w14:paraId="5BF15BE4"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400</w:t>
            </w:r>
          </w:p>
        </w:tc>
        <w:tc>
          <w:tcPr>
            <w:tcW w:w="1621" w:type="pct"/>
          </w:tcPr>
          <w:p w14:paraId="555F1F0E" w14:textId="58798407"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8.6513</w:t>
            </w:r>
          </w:p>
        </w:tc>
        <w:tc>
          <w:tcPr>
            <w:tcW w:w="1553" w:type="pct"/>
          </w:tcPr>
          <w:p w14:paraId="3D374523" w14:textId="7E599E74"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0.43</w:t>
            </w:r>
          </w:p>
        </w:tc>
      </w:tr>
      <w:tr w:rsidR="00E67914" w:rsidRPr="00E67914" w14:paraId="2EA4A343" w14:textId="77777777" w:rsidTr="00CA24A3">
        <w:tc>
          <w:tcPr>
            <w:tcW w:w="1826" w:type="pct"/>
            <w:vAlign w:val="center"/>
          </w:tcPr>
          <w:p w14:paraId="69E3A5C8"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500</w:t>
            </w:r>
          </w:p>
        </w:tc>
        <w:tc>
          <w:tcPr>
            <w:tcW w:w="1621" w:type="pct"/>
          </w:tcPr>
          <w:p w14:paraId="5D5BEC2E" w14:textId="075B7065"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7.4383</w:t>
            </w:r>
          </w:p>
        </w:tc>
        <w:tc>
          <w:tcPr>
            <w:tcW w:w="1553" w:type="pct"/>
          </w:tcPr>
          <w:p w14:paraId="2A808A96" w14:textId="48A454C6"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0.37</w:t>
            </w:r>
          </w:p>
        </w:tc>
      </w:tr>
      <w:tr w:rsidR="00E67914" w:rsidRPr="00E67914" w14:paraId="220E4F19" w14:textId="77777777" w:rsidTr="00CA24A3">
        <w:tc>
          <w:tcPr>
            <w:tcW w:w="1826" w:type="pct"/>
            <w:vAlign w:val="center"/>
          </w:tcPr>
          <w:p w14:paraId="7D1804D9"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600</w:t>
            </w:r>
          </w:p>
        </w:tc>
        <w:tc>
          <w:tcPr>
            <w:tcW w:w="1621" w:type="pct"/>
          </w:tcPr>
          <w:p w14:paraId="1D7EEBED" w14:textId="786F5364"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5.7191</w:t>
            </w:r>
          </w:p>
        </w:tc>
        <w:tc>
          <w:tcPr>
            <w:tcW w:w="1553" w:type="pct"/>
          </w:tcPr>
          <w:p w14:paraId="292D9693" w14:textId="7454C332"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0.29</w:t>
            </w:r>
          </w:p>
        </w:tc>
      </w:tr>
      <w:tr w:rsidR="00E67914" w:rsidRPr="00E67914" w14:paraId="721EB40C" w14:textId="77777777" w:rsidTr="00CA24A3">
        <w:tc>
          <w:tcPr>
            <w:tcW w:w="1826" w:type="pct"/>
            <w:vAlign w:val="center"/>
          </w:tcPr>
          <w:p w14:paraId="19FD2CC1"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700</w:t>
            </w:r>
          </w:p>
        </w:tc>
        <w:tc>
          <w:tcPr>
            <w:tcW w:w="1621" w:type="pct"/>
          </w:tcPr>
          <w:p w14:paraId="20AAA435" w14:textId="2BA27016"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4.5491</w:t>
            </w:r>
          </w:p>
        </w:tc>
        <w:tc>
          <w:tcPr>
            <w:tcW w:w="1553" w:type="pct"/>
          </w:tcPr>
          <w:p w14:paraId="4D6A52A8" w14:textId="7016ACB9"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0.23</w:t>
            </w:r>
          </w:p>
        </w:tc>
      </w:tr>
      <w:tr w:rsidR="00E67914" w:rsidRPr="00E67914" w14:paraId="48D98C12" w14:textId="77777777" w:rsidTr="00CA24A3">
        <w:tc>
          <w:tcPr>
            <w:tcW w:w="1826" w:type="pct"/>
            <w:vAlign w:val="center"/>
          </w:tcPr>
          <w:p w14:paraId="1EEE3463"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800</w:t>
            </w:r>
          </w:p>
        </w:tc>
        <w:tc>
          <w:tcPr>
            <w:tcW w:w="1621" w:type="pct"/>
          </w:tcPr>
          <w:p w14:paraId="335C8678" w14:textId="7A9028E1"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4.8695</w:t>
            </w:r>
          </w:p>
        </w:tc>
        <w:tc>
          <w:tcPr>
            <w:tcW w:w="1553" w:type="pct"/>
          </w:tcPr>
          <w:p w14:paraId="7F9F6E86" w14:textId="1FFB2408"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0.24</w:t>
            </w:r>
          </w:p>
        </w:tc>
      </w:tr>
      <w:tr w:rsidR="00E67914" w:rsidRPr="00E67914" w14:paraId="01ABC9E9" w14:textId="77777777" w:rsidTr="00CA24A3">
        <w:tc>
          <w:tcPr>
            <w:tcW w:w="1826" w:type="pct"/>
            <w:vAlign w:val="center"/>
          </w:tcPr>
          <w:p w14:paraId="5CDF7A5C"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900</w:t>
            </w:r>
          </w:p>
        </w:tc>
        <w:tc>
          <w:tcPr>
            <w:tcW w:w="1621" w:type="pct"/>
          </w:tcPr>
          <w:p w14:paraId="046603E0" w14:textId="11B8FAB1"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4.3723</w:t>
            </w:r>
          </w:p>
        </w:tc>
        <w:tc>
          <w:tcPr>
            <w:tcW w:w="1553" w:type="pct"/>
          </w:tcPr>
          <w:p w14:paraId="58AF63CB" w14:textId="6DF3EFBE"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0.22</w:t>
            </w:r>
          </w:p>
        </w:tc>
      </w:tr>
      <w:tr w:rsidR="00E67914" w:rsidRPr="00E67914" w14:paraId="72ABA613" w14:textId="77777777" w:rsidTr="00CA24A3">
        <w:tc>
          <w:tcPr>
            <w:tcW w:w="1826" w:type="pct"/>
            <w:vAlign w:val="center"/>
          </w:tcPr>
          <w:p w14:paraId="366DB0E8"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1000</w:t>
            </w:r>
          </w:p>
        </w:tc>
        <w:tc>
          <w:tcPr>
            <w:tcW w:w="1621" w:type="pct"/>
          </w:tcPr>
          <w:p w14:paraId="29289624" w14:textId="78BDC628"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3.2412</w:t>
            </w:r>
          </w:p>
        </w:tc>
        <w:tc>
          <w:tcPr>
            <w:tcW w:w="1553" w:type="pct"/>
          </w:tcPr>
          <w:p w14:paraId="1514B61A" w14:textId="66D89605"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0.16</w:t>
            </w:r>
          </w:p>
        </w:tc>
      </w:tr>
      <w:tr w:rsidR="00E67914" w:rsidRPr="00E67914" w14:paraId="707F6406" w14:textId="77777777" w:rsidTr="00CA24A3">
        <w:tc>
          <w:tcPr>
            <w:tcW w:w="1826" w:type="pct"/>
            <w:vAlign w:val="center"/>
          </w:tcPr>
          <w:p w14:paraId="3E0F28C1" w14:textId="77777777"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1500</w:t>
            </w:r>
          </w:p>
        </w:tc>
        <w:tc>
          <w:tcPr>
            <w:tcW w:w="1621" w:type="pct"/>
          </w:tcPr>
          <w:p w14:paraId="669B45B5" w14:textId="5773DA31"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2.5821</w:t>
            </w:r>
          </w:p>
        </w:tc>
        <w:tc>
          <w:tcPr>
            <w:tcW w:w="1553" w:type="pct"/>
          </w:tcPr>
          <w:p w14:paraId="6DCE2989" w14:textId="4B2FDF84"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0.13</w:t>
            </w:r>
          </w:p>
        </w:tc>
      </w:tr>
      <w:tr w:rsidR="00E67914" w:rsidRPr="00E67914" w14:paraId="2E17D1E9" w14:textId="77777777" w:rsidTr="00CA24A3">
        <w:tc>
          <w:tcPr>
            <w:tcW w:w="1826" w:type="pct"/>
            <w:vAlign w:val="center"/>
          </w:tcPr>
          <w:p w14:paraId="622D3C07"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2000</w:t>
            </w:r>
          </w:p>
        </w:tc>
        <w:tc>
          <w:tcPr>
            <w:tcW w:w="1621" w:type="pct"/>
          </w:tcPr>
          <w:p w14:paraId="7C64D080" w14:textId="3DB9201D"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0.9183</w:t>
            </w:r>
          </w:p>
        </w:tc>
        <w:tc>
          <w:tcPr>
            <w:tcW w:w="1553" w:type="pct"/>
          </w:tcPr>
          <w:p w14:paraId="429FB749" w14:textId="1FF228D1"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0.05</w:t>
            </w:r>
          </w:p>
        </w:tc>
      </w:tr>
      <w:tr w:rsidR="00E67914" w:rsidRPr="00E67914" w14:paraId="63F8E4F7" w14:textId="77777777" w:rsidTr="00CA24A3">
        <w:tc>
          <w:tcPr>
            <w:tcW w:w="1826" w:type="pct"/>
            <w:vAlign w:val="center"/>
          </w:tcPr>
          <w:p w14:paraId="62DC9888" w14:textId="77777777" w:rsidR="00CA24A3" w:rsidRPr="00E67914" w:rsidRDefault="00CA24A3" w:rsidP="00380D94">
            <w:pPr>
              <w:adjustRightInd w:val="0"/>
              <w:snapToGrid w:val="0"/>
              <w:jc w:val="center"/>
              <w:rPr>
                <w:rFonts w:ascii="Times New Roman" w:hAnsi="Times New Roman"/>
                <w:sz w:val="21"/>
                <w:szCs w:val="21"/>
              </w:rPr>
            </w:pPr>
            <w:r w:rsidRPr="00E67914">
              <w:rPr>
                <w:rFonts w:ascii="Times New Roman" w:hAnsi="Times New Roman"/>
                <w:sz w:val="21"/>
                <w:szCs w:val="21"/>
              </w:rPr>
              <w:t>2500</w:t>
            </w:r>
          </w:p>
        </w:tc>
        <w:tc>
          <w:tcPr>
            <w:tcW w:w="1621" w:type="pct"/>
          </w:tcPr>
          <w:p w14:paraId="43D47EC9" w14:textId="2193068A"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1.0995</w:t>
            </w:r>
          </w:p>
        </w:tc>
        <w:tc>
          <w:tcPr>
            <w:tcW w:w="1553" w:type="pct"/>
          </w:tcPr>
          <w:p w14:paraId="4A10B5A4" w14:textId="6EEC7871" w:rsidR="00CA24A3" w:rsidRPr="00E67914" w:rsidRDefault="0006309C"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0.05</w:t>
            </w:r>
          </w:p>
        </w:tc>
      </w:tr>
      <w:tr w:rsidR="00E67914" w:rsidRPr="00E67914" w14:paraId="67CA55D1" w14:textId="77777777" w:rsidTr="00534F1F">
        <w:tc>
          <w:tcPr>
            <w:tcW w:w="1826" w:type="pct"/>
            <w:vAlign w:val="center"/>
          </w:tcPr>
          <w:p w14:paraId="5E74B923" w14:textId="77777777" w:rsidR="0006309C" w:rsidRPr="00E67914" w:rsidRDefault="0006309C" w:rsidP="0006309C">
            <w:pPr>
              <w:adjustRightInd w:val="0"/>
              <w:snapToGrid w:val="0"/>
              <w:jc w:val="center"/>
              <w:rPr>
                <w:rFonts w:ascii="Times New Roman" w:hAnsi="Times New Roman"/>
                <w:sz w:val="21"/>
                <w:szCs w:val="21"/>
              </w:rPr>
            </w:pPr>
            <w:r w:rsidRPr="00E67914">
              <w:rPr>
                <w:rFonts w:ascii="Times New Roman" w:hAnsi="Times New Roman"/>
                <w:sz w:val="21"/>
                <w:szCs w:val="21"/>
              </w:rPr>
              <w:t>下风向最大浓度</w:t>
            </w:r>
          </w:p>
        </w:tc>
        <w:tc>
          <w:tcPr>
            <w:tcW w:w="1621" w:type="pct"/>
          </w:tcPr>
          <w:p w14:paraId="3EEF52A6" w14:textId="21D4AAE3" w:rsidR="0006309C" w:rsidRPr="00E67914" w:rsidRDefault="0006309C" w:rsidP="0006309C">
            <w:pPr>
              <w:adjustRightInd w:val="0"/>
              <w:snapToGrid w:val="0"/>
              <w:jc w:val="center"/>
              <w:rPr>
                <w:rFonts w:ascii="Times New Roman" w:hAnsi="Times New Roman"/>
                <w:sz w:val="21"/>
                <w:szCs w:val="21"/>
              </w:rPr>
            </w:pPr>
            <w:r w:rsidRPr="00E67914">
              <w:rPr>
                <w:rFonts w:ascii="Times New Roman" w:hAnsi="Times New Roman"/>
                <w:b/>
                <w:bCs/>
                <w:sz w:val="21"/>
                <w:szCs w:val="21"/>
                <w:lang w:eastAsia="zh-CN"/>
              </w:rPr>
              <w:t>173.5100</w:t>
            </w:r>
          </w:p>
        </w:tc>
        <w:tc>
          <w:tcPr>
            <w:tcW w:w="1553" w:type="pct"/>
          </w:tcPr>
          <w:p w14:paraId="7E428976" w14:textId="76AC92F7" w:rsidR="0006309C" w:rsidRPr="00E67914" w:rsidRDefault="0006309C" w:rsidP="0006309C">
            <w:pPr>
              <w:adjustRightInd w:val="0"/>
              <w:snapToGrid w:val="0"/>
              <w:jc w:val="center"/>
              <w:rPr>
                <w:rFonts w:ascii="Times New Roman" w:hAnsi="Times New Roman"/>
                <w:sz w:val="21"/>
                <w:szCs w:val="21"/>
                <w:lang w:eastAsia="zh-CN"/>
              </w:rPr>
            </w:pPr>
            <w:r w:rsidRPr="00E67914">
              <w:rPr>
                <w:rFonts w:ascii="Times New Roman" w:hAnsi="Times New Roman"/>
                <w:b/>
                <w:bCs/>
                <w:sz w:val="21"/>
                <w:szCs w:val="21"/>
                <w:lang w:eastAsia="zh-CN"/>
              </w:rPr>
              <w:t>8.68</w:t>
            </w:r>
          </w:p>
        </w:tc>
      </w:tr>
      <w:tr w:rsidR="00E67914" w:rsidRPr="00E67914" w14:paraId="0DDFA2D2" w14:textId="77777777" w:rsidTr="00CA24A3">
        <w:tc>
          <w:tcPr>
            <w:tcW w:w="1826" w:type="pct"/>
            <w:vAlign w:val="center"/>
          </w:tcPr>
          <w:p w14:paraId="49A79038" w14:textId="3916FAF4"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下风向最大浓度出现距离</w:t>
            </w:r>
          </w:p>
        </w:tc>
        <w:tc>
          <w:tcPr>
            <w:tcW w:w="3174" w:type="pct"/>
            <w:gridSpan w:val="2"/>
            <w:vAlign w:val="center"/>
          </w:tcPr>
          <w:p w14:paraId="11052817" w14:textId="713D43CB" w:rsidR="00CA24A3" w:rsidRPr="00E67914" w:rsidRDefault="00CA24A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21</w:t>
            </w:r>
          </w:p>
        </w:tc>
      </w:tr>
    </w:tbl>
    <w:p w14:paraId="7578F32D" w14:textId="746AC91B" w:rsidR="002B7A8E" w:rsidRPr="00E67914" w:rsidRDefault="002B7A8E" w:rsidP="002B7A8E">
      <w:pPr>
        <w:adjustRightInd w:val="0"/>
        <w:snapToGrid w:val="0"/>
        <w:spacing w:line="360" w:lineRule="auto"/>
        <w:ind w:firstLineChars="200" w:firstLine="480"/>
        <w:rPr>
          <w:rFonts w:ascii="Times New Roman" w:hAnsi="Times New Roman"/>
          <w:lang w:eastAsia="zh-CN"/>
        </w:rPr>
      </w:pPr>
      <w:r w:rsidRPr="00E67914">
        <w:rPr>
          <w:rFonts w:ascii="Times New Roman" w:hAnsi="Times New Roman"/>
          <w:bCs/>
          <w:sz w:val="24"/>
          <w:szCs w:val="24"/>
          <w:lang w:eastAsia="zh-CN"/>
        </w:rPr>
        <w:t>普陆页</w:t>
      </w:r>
      <w:r w:rsidRPr="00E67914">
        <w:rPr>
          <w:rFonts w:ascii="Times New Roman" w:hAnsi="Times New Roman"/>
          <w:bCs/>
          <w:sz w:val="24"/>
          <w:szCs w:val="24"/>
          <w:lang w:eastAsia="zh-CN"/>
        </w:rPr>
        <w:t>2</w:t>
      </w:r>
      <w:r w:rsidRPr="00E67914">
        <w:rPr>
          <w:rFonts w:ascii="Times New Roman" w:hAnsi="Times New Roman"/>
          <w:bCs/>
          <w:sz w:val="24"/>
          <w:szCs w:val="24"/>
          <w:lang w:eastAsia="zh-CN"/>
        </w:rPr>
        <w:t>试采站油罐挥发气体占标率与距离曲线图见下图：</w:t>
      </w:r>
    </w:p>
    <w:p w14:paraId="43F9AE3E" w14:textId="3E1B8F7E" w:rsidR="00CA24A3" w:rsidRPr="00E67914" w:rsidRDefault="0006309C" w:rsidP="00220395">
      <w:pPr>
        <w:pStyle w:val="afffff1"/>
      </w:pPr>
      <w:r w:rsidRPr="00E67914">
        <w:rPr>
          <w:noProof/>
        </w:rPr>
        <w:lastRenderedPageBreak/>
        <w:drawing>
          <wp:inline distT="0" distB="0" distL="0" distR="0" wp14:anchorId="531DA1F0" wp14:editId="49FEED06">
            <wp:extent cx="5888355" cy="3024998"/>
            <wp:effectExtent l="0" t="0" r="0" b="4445"/>
            <wp:docPr id="2036183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83978" name=""/>
                    <pic:cNvPicPr/>
                  </pic:nvPicPr>
                  <pic:blipFill>
                    <a:blip r:embed="rId75"/>
                    <a:stretch>
                      <a:fillRect/>
                    </a:stretch>
                  </pic:blipFill>
                  <pic:spPr>
                    <a:xfrm>
                      <a:off x="0" y="0"/>
                      <a:ext cx="5892751" cy="3027256"/>
                    </a:xfrm>
                    <a:prstGeom prst="rect">
                      <a:avLst/>
                    </a:prstGeom>
                  </pic:spPr>
                </pic:pic>
              </a:graphicData>
            </a:graphic>
          </wp:inline>
        </w:drawing>
      </w:r>
    </w:p>
    <w:p w14:paraId="44A3D4F0" w14:textId="4CE5120D" w:rsidR="00CA24A3" w:rsidRPr="00E67914" w:rsidRDefault="0006309C" w:rsidP="0006309C">
      <w:pPr>
        <w:jc w:val="center"/>
        <w:rPr>
          <w:rFonts w:ascii="Times New Roman" w:eastAsia="黑体" w:hAnsi="Times New Roman"/>
          <w:kern w:val="2"/>
          <w:lang w:eastAsia="zh-CN"/>
        </w:rPr>
      </w:pPr>
      <w:r w:rsidRPr="00E67914">
        <w:rPr>
          <w:rFonts w:ascii="Times New Roman" w:eastAsia="黑体" w:hAnsi="Times New Roman"/>
          <w:kern w:val="2"/>
          <w:lang w:eastAsia="zh-CN"/>
        </w:rPr>
        <w:t>图</w:t>
      </w:r>
      <w:r w:rsidRPr="00E67914">
        <w:rPr>
          <w:rFonts w:ascii="Times New Roman" w:eastAsia="黑体" w:hAnsi="Times New Roman"/>
          <w:kern w:val="2"/>
          <w:lang w:eastAsia="zh-CN"/>
        </w:rPr>
        <w:t xml:space="preserve">5.2-1  </w:t>
      </w:r>
      <w:r w:rsidRPr="00E67914">
        <w:rPr>
          <w:rFonts w:ascii="Times New Roman" w:eastAsia="黑体" w:hAnsi="Times New Roman"/>
          <w:kern w:val="2"/>
          <w:lang w:eastAsia="zh-CN"/>
        </w:rPr>
        <w:t>试采站油罐挥发气体占标率与距离曲线图</w:t>
      </w:r>
    </w:p>
    <w:p w14:paraId="3CA6D9DA" w14:textId="15524845" w:rsidR="002B7A8E" w:rsidRPr="00E67914" w:rsidRDefault="002B7A8E" w:rsidP="002B7A8E">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t>（</w:t>
      </w:r>
      <w:r w:rsidRPr="00E67914">
        <w:rPr>
          <w:rFonts w:ascii="Times New Roman" w:hAnsi="Times New Roman"/>
          <w:bCs/>
          <w:sz w:val="24"/>
          <w:szCs w:val="24"/>
          <w:lang w:eastAsia="zh-CN"/>
        </w:rPr>
        <w:t>4</w:t>
      </w:r>
      <w:r w:rsidRPr="00E67914">
        <w:rPr>
          <w:rFonts w:ascii="Times New Roman" w:hAnsi="Times New Roman"/>
          <w:bCs/>
          <w:sz w:val="24"/>
          <w:szCs w:val="24"/>
          <w:lang w:eastAsia="zh-CN"/>
        </w:rPr>
        <w:t>）凝析油装车挥发气体</w:t>
      </w:r>
    </w:p>
    <w:p w14:paraId="5AB643AF" w14:textId="4AC03AF8" w:rsidR="002B7A8E" w:rsidRPr="00E67914" w:rsidRDefault="002B7A8E" w:rsidP="002B7A8E">
      <w:pPr>
        <w:jc w:val="center"/>
        <w:rPr>
          <w:rFonts w:ascii="Times New Roman" w:eastAsia="黑体" w:hAnsi="Times New Roman"/>
          <w:kern w:val="2"/>
          <w:lang w:eastAsia="zh-CN"/>
        </w:rPr>
      </w:pPr>
      <w:r w:rsidRPr="00E67914">
        <w:rPr>
          <w:rFonts w:ascii="Times New Roman" w:eastAsia="黑体" w:hAnsi="Times New Roman"/>
          <w:kern w:val="2"/>
          <w:lang w:eastAsia="zh-CN"/>
        </w:rPr>
        <w:t>表</w:t>
      </w:r>
      <w:r w:rsidRPr="00E67914">
        <w:rPr>
          <w:rFonts w:ascii="Times New Roman" w:eastAsia="黑体" w:hAnsi="Times New Roman"/>
          <w:kern w:val="2"/>
          <w:lang w:eastAsia="zh-CN"/>
        </w:rPr>
        <w:t xml:space="preserve">5.2-4  </w:t>
      </w:r>
      <w:r w:rsidRPr="00E67914">
        <w:rPr>
          <w:rFonts w:ascii="Times New Roman" w:eastAsia="黑体" w:hAnsi="Times New Roman"/>
          <w:kern w:val="2"/>
          <w:lang w:eastAsia="zh-CN"/>
        </w:rPr>
        <w:t>凝析油装车挥发气体估算模式计算结果一览表</w:t>
      </w:r>
    </w:p>
    <w:tbl>
      <w:tblPr>
        <w:tblW w:w="5000" w:type="pct"/>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5114"/>
        <w:gridCol w:w="4539"/>
        <w:gridCol w:w="4349"/>
      </w:tblGrid>
      <w:tr w:rsidR="00E67914" w:rsidRPr="00E67914" w14:paraId="4FEBBCA0" w14:textId="77777777" w:rsidTr="00380D94">
        <w:tc>
          <w:tcPr>
            <w:tcW w:w="1826" w:type="pct"/>
            <w:vMerge w:val="restart"/>
            <w:vAlign w:val="center"/>
          </w:tcPr>
          <w:p w14:paraId="1D4F7BE0" w14:textId="77777777" w:rsidR="002B7A8E" w:rsidRPr="00E67914" w:rsidRDefault="002B7A8E"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rPr>
              <w:t>下风向距离</w:t>
            </w:r>
            <w:r w:rsidRPr="00E67914">
              <w:rPr>
                <w:rFonts w:ascii="Times New Roman" w:hAnsi="Times New Roman"/>
                <w:b/>
                <w:bCs/>
                <w:sz w:val="21"/>
                <w:szCs w:val="21"/>
                <w:lang w:eastAsia="zh-CN"/>
              </w:rPr>
              <w:t>（</w:t>
            </w:r>
            <w:r w:rsidRPr="00E67914">
              <w:rPr>
                <w:rFonts w:ascii="Times New Roman" w:hAnsi="Times New Roman"/>
                <w:b/>
                <w:bCs/>
                <w:sz w:val="21"/>
                <w:szCs w:val="21"/>
                <w:lang w:eastAsia="zh-CN"/>
              </w:rPr>
              <w:t>m</w:t>
            </w:r>
            <w:r w:rsidRPr="00E67914">
              <w:rPr>
                <w:rFonts w:ascii="Times New Roman" w:hAnsi="Times New Roman"/>
                <w:b/>
                <w:bCs/>
                <w:sz w:val="21"/>
                <w:szCs w:val="21"/>
                <w:lang w:eastAsia="zh-CN"/>
              </w:rPr>
              <w:t>）</w:t>
            </w:r>
          </w:p>
        </w:tc>
        <w:tc>
          <w:tcPr>
            <w:tcW w:w="3174" w:type="pct"/>
            <w:gridSpan w:val="2"/>
            <w:vAlign w:val="center"/>
          </w:tcPr>
          <w:p w14:paraId="0D4FF80D" w14:textId="383F74A2" w:rsidR="002B7A8E" w:rsidRPr="00E67914" w:rsidRDefault="002B7A8E"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rPr>
              <w:t>凝析油装车挥发气体</w:t>
            </w:r>
          </w:p>
        </w:tc>
      </w:tr>
      <w:tr w:rsidR="00E67914" w:rsidRPr="00E67914" w14:paraId="55FF70A9" w14:textId="77777777" w:rsidTr="00380D94">
        <w:tc>
          <w:tcPr>
            <w:tcW w:w="1826" w:type="pct"/>
            <w:vMerge/>
            <w:vAlign w:val="center"/>
          </w:tcPr>
          <w:p w14:paraId="21B01EEB" w14:textId="77777777" w:rsidR="002B7A8E" w:rsidRPr="00E67914" w:rsidRDefault="002B7A8E" w:rsidP="00380D94">
            <w:pPr>
              <w:adjustRightInd w:val="0"/>
              <w:snapToGrid w:val="0"/>
              <w:jc w:val="center"/>
              <w:rPr>
                <w:rFonts w:ascii="Times New Roman" w:hAnsi="Times New Roman"/>
                <w:b/>
                <w:bCs/>
                <w:sz w:val="21"/>
                <w:szCs w:val="21"/>
              </w:rPr>
            </w:pPr>
          </w:p>
        </w:tc>
        <w:tc>
          <w:tcPr>
            <w:tcW w:w="1621" w:type="pct"/>
            <w:vAlign w:val="center"/>
          </w:tcPr>
          <w:p w14:paraId="7C9EDA36" w14:textId="77777777" w:rsidR="002B7A8E" w:rsidRPr="00E67914" w:rsidRDefault="002B7A8E"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lang w:eastAsia="zh-CN"/>
              </w:rPr>
              <w:t>NMHC</w:t>
            </w:r>
            <w:r w:rsidRPr="00E67914">
              <w:rPr>
                <w:rFonts w:ascii="Times New Roman" w:hAnsi="Times New Roman"/>
                <w:b/>
                <w:bCs/>
                <w:sz w:val="21"/>
                <w:szCs w:val="21"/>
              </w:rPr>
              <w:t>浓度</w:t>
            </w:r>
            <w:r w:rsidRPr="00E67914">
              <w:rPr>
                <w:rFonts w:ascii="Times New Roman" w:hAnsi="Times New Roman"/>
                <w:b/>
                <w:bCs/>
                <w:sz w:val="21"/>
                <w:szCs w:val="21"/>
              </w:rPr>
              <w:t>(μg/m³)</w:t>
            </w:r>
          </w:p>
        </w:tc>
        <w:tc>
          <w:tcPr>
            <w:tcW w:w="1553" w:type="pct"/>
            <w:vAlign w:val="center"/>
          </w:tcPr>
          <w:p w14:paraId="75263656" w14:textId="77777777" w:rsidR="002B7A8E" w:rsidRPr="00E67914" w:rsidRDefault="002B7A8E" w:rsidP="00380D94">
            <w:pPr>
              <w:adjustRightInd w:val="0"/>
              <w:snapToGrid w:val="0"/>
              <w:jc w:val="center"/>
              <w:rPr>
                <w:rFonts w:ascii="Times New Roman" w:hAnsi="Times New Roman"/>
                <w:b/>
                <w:bCs/>
                <w:sz w:val="21"/>
                <w:szCs w:val="21"/>
              </w:rPr>
            </w:pPr>
            <w:r w:rsidRPr="00E67914">
              <w:rPr>
                <w:rFonts w:ascii="Times New Roman" w:hAnsi="Times New Roman"/>
                <w:b/>
                <w:bCs/>
                <w:sz w:val="21"/>
                <w:szCs w:val="21"/>
                <w:lang w:eastAsia="zh-CN"/>
              </w:rPr>
              <w:t>NMHC</w:t>
            </w:r>
            <w:r w:rsidRPr="00E67914">
              <w:rPr>
                <w:rFonts w:ascii="Times New Roman" w:hAnsi="Times New Roman"/>
                <w:b/>
                <w:bCs/>
                <w:sz w:val="21"/>
                <w:szCs w:val="21"/>
              </w:rPr>
              <w:t>占标率</w:t>
            </w:r>
            <w:r w:rsidRPr="00E67914">
              <w:rPr>
                <w:rFonts w:ascii="Times New Roman" w:hAnsi="Times New Roman"/>
                <w:b/>
                <w:bCs/>
                <w:sz w:val="21"/>
                <w:szCs w:val="21"/>
              </w:rPr>
              <w:t>(%)</w:t>
            </w:r>
          </w:p>
        </w:tc>
      </w:tr>
      <w:tr w:rsidR="00E67914" w:rsidRPr="00E67914" w14:paraId="70D1B850" w14:textId="77777777" w:rsidTr="00380D94">
        <w:tc>
          <w:tcPr>
            <w:tcW w:w="1826" w:type="pct"/>
            <w:vAlign w:val="center"/>
          </w:tcPr>
          <w:p w14:paraId="4391E121" w14:textId="77777777" w:rsidR="00500843" w:rsidRPr="00E67914" w:rsidRDefault="00500843" w:rsidP="00500843">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1621" w:type="pct"/>
          </w:tcPr>
          <w:p w14:paraId="4E7691BE" w14:textId="60641BA0" w:rsidR="00500843" w:rsidRPr="00E67914" w:rsidRDefault="00500843" w:rsidP="00500843">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85.7680</w:t>
            </w:r>
          </w:p>
        </w:tc>
        <w:tc>
          <w:tcPr>
            <w:tcW w:w="1553" w:type="pct"/>
          </w:tcPr>
          <w:p w14:paraId="35C20F4C" w14:textId="208EDB26" w:rsidR="00500843" w:rsidRPr="00E67914" w:rsidRDefault="00500843" w:rsidP="00500843">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4.29</w:t>
            </w:r>
          </w:p>
        </w:tc>
      </w:tr>
      <w:tr w:rsidR="00E67914" w:rsidRPr="00E67914" w14:paraId="4FA26138" w14:textId="77777777" w:rsidTr="00380D94">
        <w:tc>
          <w:tcPr>
            <w:tcW w:w="1826" w:type="pct"/>
            <w:vAlign w:val="center"/>
          </w:tcPr>
          <w:p w14:paraId="3898CFDF" w14:textId="4B662CCB" w:rsidR="00500843" w:rsidRPr="00E67914" w:rsidRDefault="00500843" w:rsidP="00500843">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16</w:t>
            </w:r>
          </w:p>
        </w:tc>
        <w:tc>
          <w:tcPr>
            <w:tcW w:w="1621" w:type="pct"/>
          </w:tcPr>
          <w:p w14:paraId="596B6CC3" w14:textId="2C4CB9CE" w:rsidR="00500843" w:rsidRPr="00E67914" w:rsidRDefault="00500843" w:rsidP="00500843">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100.8300</w:t>
            </w:r>
          </w:p>
        </w:tc>
        <w:tc>
          <w:tcPr>
            <w:tcW w:w="1553" w:type="pct"/>
          </w:tcPr>
          <w:p w14:paraId="09384B03" w14:textId="2CFC921D" w:rsidR="00500843" w:rsidRPr="00E67914" w:rsidRDefault="00500843" w:rsidP="00500843">
            <w:pPr>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5.04</w:t>
            </w:r>
          </w:p>
        </w:tc>
      </w:tr>
      <w:tr w:rsidR="00E67914" w:rsidRPr="00E67914" w14:paraId="0CF5C5AE" w14:textId="77777777" w:rsidTr="00380D94">
        <w:tc>
          <w:tcPr>
            <w:tcW w:w="1826" w:type="pct"/>
            <w:vAlign w:val="center"/>
          </w:tcPr>
          <w:p w14:paraId="237884DA"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50</w:t>
            </w:r>
          </w:p>
        </w:tc>
        <w:tc>
          <w:tcPr>
            <w:tcW w:w="1621" w:type="pct"/>
          </w:tcPr>
          <w:p w14:paraId="618D5B10" w14:textId="78DF3DD6"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55.2450</w:t>
            </w:r>
          </w:p>
        </w:tc>
        <w:tc>
          <w:tcPr>
            <w:tcW w:w="1553" w:type="pct"/>
          </w:tcPr>
          <w:p w14:paraId="06EB53AD" w14:textId="4EB07EBA"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2.76</w:t>
            </w:r>
          </w:p>
        </w:tc>
      </w:tr>
      <w:tr w:rsidR="00E67914" w:rsidRPr="00E67914" w14:paraId="623BEC57" w14:textId="77777777" w:rsidTr="00380D94">
        <w:tc>
          <w:tcPr>
            <w:tcW w:w="1826" w:type="pct"/>
            <w:vAlign w:val="center"/>
          </w:tcPr>
          <w:p w14:paraId="4BAD4FAB"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100</w:t>
            </w:r>
          </w:p>
        </w:tc>
        <w:tc>
          <w:tcPr>
            <w:tcW w:w="1621" w:type="pct"/>
          </w:tcPr>
          <w:p w14:paraId="52D63A72" w14:textId="1D0819C9"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26.0370</w:t>
            </w:r>
          </w:p>
        </w:tc>
        <w:tc>
          <w:tcPr>
            <w:tcW w:w="1553" w:type="pct"/>
          </w:tcPr>
          <w:p w14:paraId="7F8D13C2" w14:textId="57ACF85A"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1.30</w:t>
            </w:r>
          </w:p>
        </w:tc>
      </w:tr>
      <w:tr w:rsidR="00E67914" w:rsidRPr="00E67914" w14:paraId="38F6B846" w14:textId="77777777" w:rsidTr="00380D94">
        <w:tc>
          <w:tcPr>
            <w:tcW w:w="1826" w:type="pct"/>
            <w:vAlign w:val="center"/>
          </w:tcPr>
          <w:p w14:paraId="2FE6B0FB"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200</w:t>
            </w:r>
          </w:p>
        </w:tc>
        <w:tc>
          <w:tcPr>
            <w:tcW w:w="1621" w:type="pct"/>
          </w:tcPr>
          <w:p w14:paraId="40204BD3" w14:textId="4193B507"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10.9210</w:t>
            </w:r>
          </w:p>
        </w:tc>
        <w:tc>
          <w:tcPr>
            <w:tcW w:w="1553" w:type="pct"/>
          </w:tcPr>
          <w:p w14:paraId="3209B1CC" w14:textId="0815E791"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0.55</w:t>
            </w:r>
          </w:p>
        </w:tc>
      </w:tr>
      <w:tr w:rsidR="00E67914" w:rsidRPr="00E67914" w14:paraId="0A637FC4" w14:textId="77777777" w:rsidTr="00380D94">
        <w:tc>
          <w:tcPr>
            <w:tcW w:w="1826" w:type="pct"/>
            <w:vAlign w:val="center"/>
          </w:tcPr>
          <w:p w14:paraId="6C08351C"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300</w:t>
            </w:r>
          </w:p>
        </w:tc>
        <w:tc>
          <w:tcPr>
            <w:tcW w:w="1621" w:type="pct"/>
          </w:tcPr>
          <w:p w14:paraId="11EA71A7" w14:textId="00B9C740"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6.4245</w:t>
            </w:r>
          </w:p>
        </w:tc>
        <w:tc>
          <w:tcPr>
            <w:tcW w:w="1553" w:type="pct"/>
          </w:tcPr>
          <w:p w14:paraId="6A16DE85" w14:textId="28CAFF01"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0.32</w:t>
            </w:r>
          </w:p>
        </w:tc>
      </w:tr>
      <w:tr w:rsidR="00E67914" w:rsidRPr="00E67914" w14:paraId="4B790911" w14:textId="77777777" w:rsidTr="00380D94">
        <w:tc>
          <w:tcPr>
            <w:tcW w:w="1826" w:type="pct"/>
            <w:vAlign w:val="center"/>
          </w:tcPr>
          <w:p w14:paraId="262947D0"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400</w:t>
            </w:r>
          </w:p>
        </w:tc>
        <w:tc>
          <w:tcPr>
            <w:tcW w:w="1621" w:type="pct"/>
          </w:tcPr>
          <w:p w14:paraId="18B4C697" w14:textId="02A6FAAD"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4.3888</w:t>
            </w:r>
          </w:p>
        </w:tc>
        <w:tc>
          <w:tcPr>
            <w:tcW w:w="1553" w:type="pct"/>
          </w:tcPr>
          <w:p w14:paraId="6A334207" w14:textId="6B37170B"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0.22</w:t>
            </w:r>
          </w:p>
        </w:tc>
      </w:tr>
      <w:tr w:rsidR="00E67914" w:rsidRPr="00E67914" w14:paraId="5CB3BE12" w14:textId="77777777" w:rsidTr="00380D94">
        <w:tc>
          <w:tcPr>
            <w:tcW w:w="1826" w:type="pct"/>
            <w:vAlign w:val="center"/>
          </w:tcPr>
          <w:p w14:paraId="7D5DBB0C"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500</w:t>
            </w:r>
          </w:p>
        </w:tc>
        <w:tc>
          <w:tcPr>
            <w:tcW w:w="1621" w:type="pct"/>
          </w:tcPr>
          <w:p w14:paraId="0FDDAE74" w14:textId="10F665F3"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3.2561</w:t>
            </w:r>
          </w:p>
        </w:tc>
        <w:tc>
          <w:tcPr>
            <w:tcW w:w="1553" w:type="pct"/>
          </w:tcPr>
          <w:p w14:paraId="467A4B9E" w14:textId="4E306BBD"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0.16</w:t>
            </w:r>
          </w:p>
        </w:tc>
      </w:tr>
      <w:tr w:rsidR="00E67914" w:rsidRPr="00E67914" w14:paraId="6F7FFE5A" w14:textId="77777777" w:rsidTr="00380D94">
        <w:tc>
          <w:tcPr>
            <w:tcW w:w="1826" w:type="pct"/>
            <w:vAlign w:val="center"/>
          </w:tcPr>
          <w:p w14:paraId="768F91ED"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600</w:t>
            </w:r>
          </w:p>
        </w:tc>
        <w:tc>
          <w:tcPr>
            <w:tcW w:w="1621" w:type="pct"/>
          </w:tcPr>
          <w:p w14:paraId="7CDE25AF" w14:textId="34845D1F"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2.5487</w:t>
            </w:r>
          </w:p>
        </w:tc>
        <w:tc>
          <w:tcPr>
            <w:tcW w:w="1553" w:type="pct"/>
          </w:tcPr>
          <w:p w14:paraId="71589CB0" w14:textId="63755581"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0.13</w:t>
            </w:r>
          </w:p>
        </w:tc>
      </w:tr>
      <w:tr w:rsidR="00E67914" w:rsidRPr="00E67914" w14:paraId="5138A249" w14:textId="77777777" w:rsidTr="00380D94">
        <w:tc>
          <w:tcPr>
            <w:tcW w:w="1826" w:type="pct"/>
            <w:vAlign w:val="center"/>
          </w:tcPr>
          <w:p w14:paraId="1C4DAAA0"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700</w:t>
            </w:r>
          </w:p>
        </w:tc>
        <w:tc>
          <w:tcPr>
            <w:tcW w:w="1621" w:type="pct"/>
          </w:tcPr>
          <w:p w14:paraId="6A976D33" w14:textId="5845C2D6"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2.0709</w:t>
            </w:r>
          </w:p>
        </w:tc>
        <w:tc>
          <w:tcPr>
            <w:tcW w:w="1553" w:type="pct"/>
          </w:tcPr>
          <w:p w14:paraId="4E453CC1" w14:textId="052625C9"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0.10</w:t>
            </w:r>
          </w:p>
        </w:tc>
      </w:tr>
      <w:tr w:rsidR="00E67914" w:rsidRPr="00E67914" w14:paraId="6FB4097D" w14:textId="77777777" w:rsidTr="00380D94">
        <w:tc>
          <w:tcPr>
            <w:tcW w:w="1826" w:type="pct"/>
            <w:vAlign w:val="center"/>
          </w:tcPr>
          <w:p w14:paraId="04B6B320"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lastRenderedPageBreak/>
              <w:t>800</w:t>
            </w:r>
          </w:p>
        </w:tc>
        <w:tc>
          <w:tcPr>
            <w:tcW w:w="1621" w:type="pct"/>
          </w:tcPr>
          <w:p w14:paraId="7002759D" w14:textId="70A0388D"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1.7294</w:t>
            </w:r>
          </w:p>
        </w:tc>
        <w:tc>
          <w:tcPr>
            <w:tcW w:w="1553" w:type="pct"/>
          </w:tcPr>
          <w:p w14:paraId="29670192" w14:textId="7082146D"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0.09</w:t>
            </w:r>
          </w:p>
        </w:tc>
      </w:tr>
      <w:tr w:rsidR="00E67914" w:rsidRPr="00E67914" w14:paraId="3082A153" w14:textId="77777777" w:rsidTr="00380D94">
        <w:tc>
          <w:tcPr>
            <w:tcW w:w="1826" w:type="pct"/>
            <w:vAlign w:val="center"/>
          </w:tcPr>
          <w:p w14:paraId="68DCFD3D"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900</w:t>
            </w:r>
          </w:p>
        </w:tc>
        <w:tc>
          <w:tcPr>
            <w:tcW w:w="1621" w:type="pct"/>
          </w:tcPr>
          <w:p w14:paraId="00EBFEAE" w14:textId="259602DA"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1.4750</w:t>
            </w:r>
          </w:p>
        </w:tc>
        <w:tc>
          <w:tcPr>
            <w:tcW w:w="1553" w:type="pct"/>
          </w:tcPr>
          <w:p w14:paraId="789613CD" w14:textId="0BC3EFBE"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0.07</w:t>
            </w:r>
          </w:p>
        </w:tc>
      </w:tr>
      <w:tr w:rsidR="00E67914" w:rsidRPr="00E67914" w14:paraId="5E5E577B" w14:textId="77777777" w:rsidTr="00380D94">
        <w:tc>
          <w:tcPr>
            <w:tcW w:w="1826" w:type="pct"/>
            <w:vAlign w:val="center"/>
          </w:tcPr>
          <w:p w14:paraId="1E73CA4A"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1000</w:t>
            </w:r>
          </w:p>
        </w:tc>
        <w:tc>
          <w:tcPr>
            <w:tcW w:w="1621" w:type="pct"/>
          </w:tcPr>
          <w:p w14:paraId="5B244A41" w14:textId="0BEB0AD5"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1.2791</w:t>
            </w:r>
          </w:p>
        </w:tc>
        <w:tc>
          <w:tcPr>
            <w:tcW w:w="1553" w:type="pct"/>
          </w:tcPr>
          <w:p w14:paraId="1A41837F" w14:textId="31EC443B"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0.06</w:t>
            </w:r>
          </w:p>
        </w:tc>
      </w:tr>
      <w:tr w:rsidR="00E67914" w:rsidRPr="00E67914" w14:paraId="27899ADC" w14:textId="77777777" w:rsidTr="00380D94">
        <w:tc>
          <w:tcPr>
            <w:tcW w:w="1826" w:type="pct"/>
            <w:vAlign w:val="center"/>
          </w:tcPr>
          <w:p w14:paraId="644EFA4D" w14:textId="77777777" w:rsidR="002B7A8E" w:rsidRPr="00E67914" w:rsidRDefault="002B7A8E"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1500</w:t>
            </w:r>
          </w:p>
        </w:tc>
        <w:tc>
          <w:tcPr>
            <w:tcW w:w="1621" w:type="pct"/>
          </w:tcPr>
          <w:p w14:paraId="44E53609" w14:textId="36562332"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0.7385</w:t>
            </w:r>
          </w:p>
        </w:tc>
        <w:tc>
          <w:tcPr>
            <w:tcW w:w="1553" w:type="pct"/>
          </w:tcPr>
          <w:p w14:paraId="2856DDD9" w14:textId="26EB5500"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0.04</w:t>
            </w:r>
          </w:p>
        </w:tc>
      </w:tr>
      <w:tr w:rsidR="00E67914" w:rsidRPr="00E67914" w14:paraId="483C8A05" w14:textId="77777777" w:rsidTr="00380D94">
        <w:tc>
          <w:tcPr>
            <w:tcW w:w="1826" w:type="pct"/>
            <w:vAlign w:val="center"/>
          </w:tcPr>
          <w:p w14:paraId="6506B945"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2000</w:t>
            </w:r>
          </w:p>
        </w:tc>
        <w:tc>
          <w:tcPr>
            <w:tcW w:w="1621" w:type="pct"/>
          </w:tcPr>
          <w:p w14:paraId="4DFE739E" w14:textId="36FD0F5F"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0.4998</w:t>
            </w:r>
          </w:p>
        </w:tc>
        <w:tc>
          <w:tcPr>
            <w:tcW w:w="1553" w:type="pct"/>
          </w:tcPr>
          <w:p w14:paraId="35A64F4A" w14:textId="4D3F5C7C"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r>
      <w:tr w:rsidR="00E67914" w:rsidRPr="00E67914" w14:paraId="49D4D82B" w14:textId="77777777" w:rsidTr="00380D94">
        <w:tc>
          <w:tcPr>
            <w:tcW w:w="1826" w:type="pct"/>
            <w:vAlign w:val="center"/>
          </w:tcPr>
          <w:p w14:paraId="5587CE3D" w14:textId="77777777" w:rsidR="002B7A8E" w:rsidRPr="00E67914" w:rsidRDefault="002B7A8E" w:rsidP="00380D94">
            <w:pPr>
              <w:adjustRightInd w:val="0"/>
              <w:snapToGrid w:val="0"/>
              <w:jc w:val="center"/>
              <w:rPr>
                <w:rFonts w:ascii="Times New Roman" w:hAnsi="Times New Roman"/>
                <w:sz w:val="21"/>
                <w:szCs w:val="21"/>
              </w:rPr>
            </w:pPr>
            <w:r w:rsidRPr="00E67914">
              <w:rPr>
                <w:rFonts w:ascii="Times New Roman" w:hAnsi="Times New Roman"/>
                <w:sz w:val="21"/>
                <w:szCs w:val="21"/>
              </w:rPr>
              <w:t>2500</w:t>
            </w:r>
          </w:p>
        </w:tc>
        <w:tc>
          <w:tcPr>
            <w:tcW w:w="1621" w:type="pct"/>
          </w:tcPr>
          <w:p w14:paraId="55FFCDA1" w14:textId="1AA33E17"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0.3691</w:t>
            </w:r>
          </w:p>
        </w:tc>
        <w:tc>
          <w:tcPr>
            <w:tcW w:w="1553" w:type="pct"/>
          </w:tcPr>
          <w:p w14:paraId="518080AA" w14:textId="6C232420" w:rsidR="002B7A8E" w:rsidRPr="00E67914" w:rsidRDefault="00500843" w:rsidP="00380D94">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0.02</w:t>
            </w:r>
          </w:p>
        </w:tc>
      </w:tr>
      <w:tr w:rsidR="00E67914" w:rsidRPr="00E67914" w14:paraId="342AEF1E" w14:textId="77777777" w:rsidTr="00380D94">
        <w:tc>
          <w:tcPr>
            <w:tcW w:w="1826" w:type="pct"/>
            <w:vAlign w:val="center"/>
          </w:tcPr>
          <w:p w14:paraId="0575BE5E" w14:textId="77777777" w:rsidR="00500843" w:rsidRPr="00E67914" w:rsidRDefault="00500843" w:rsidP="00500843">
            <w:pPr>
              <w:adjustRightInd w:val="0"/>
              <w:snapToGrid w:val="0"/>
              <w:jc w:val="center"/>
              <w:rPr>
                <w:rFonts w:ascii="Times New Roman" w:hAnsi="Times New Roman"/>
                <w:sz w:val="21"/>
                <w:szCs w:val="21"/>
              </w:rPr>
            </w:pPr>
            <w:r w:rsidRPr="00E67914">
              <w:rPr>
                <w:rFonts w:ascii="Times New Roman" w:hAnsi="Times New Roman"/>
                <w:sz w:val="21"/>
                <w:szCs w:val="21"/>
              </w:rPr>
              <w:t>下风向最大浓度</w:t>
            </w:r>
          </w:p>
        </w:tc>
        <w:tc>
          <w:tcPr>
            <w:tcW w:w="1621" w:type="pct"/>
          </w:tcPr>
          <w:p w14:paraId="1114E056" w14:textId="1A814A24" w:rsidR="00500843" w:rsidRPr="00E67914" w:rsidRDefault="00500843" w:rsidP="00500843">
            <w:pPr>
              <w:adjustRightInd w:val="0"/>
              <w:snapToGrid w:val="0"/>
              <w:jc w:val="center"/>
              <w:rPr>
                <w:rFonts w:ascii="Times New Roman" w:hAnsi="Times New Roman"/>
                <w:sz w:val="21"/>
                <w:szCs w:val="21"/>
              </w:rPr>
            </w:pPr>
            <w:r w:rsidRPr="00E67914">
              <w:rPr>
                <w:rFonts w:ascii="Times New Roman" w:hAnsi="Times New Roman"/>
                <w:b/>
                <w:bCs/>
                <w:sz w:val="21"/>
                <w:szCs w:val="21"/>
                <w:lang w:eastAsia="zh-CN"/>
              </w:rPr>
              <w:t>100.8300</w:t>
            </w:r>
          </w:p>
        </w:tc>
        <w:tc>
          <w:tcPr>
            <w:tcW w:w="1553" w:type="pct"/>
          </w:tcPr>
          <w:p w14:paraId="68EF01F4" w14:textId="6D060C3C" w:rsidR="00500843" w:rsidRPr="00E67914" w:rsidRDefault="00500843" w:rsidP="00500843">
            <w:pPr>
              <w:adjustRightInd w:val="0"/>
              <w:snapToGrid w:val="0"/>
              <w:jc w:val="center"/>
              <w:rPr>
                <w:rFonts w:ascii="Times New Roman" w:hAnsi="Times New Roman"/>
                <w:sz w:val="21"/>
                <w:szCs w:val="21"/>
                <w:lang w:eastAsia="zh-CN"/>
              </w:rPr>
            </w:pPr>
            <w:r w:rsidRPr="00E67914">
              <w:rPr>
                <w:rFonts w:ascii="Times New Roman" w:hAnsi="Times New Roman"/>
                <w:b/>
                <w:bCs/>
                <w:sz w:val="21"/>
                <w:szCs w:val="21"/>
                <w:lang w:eastAsia="zh-CN"/>
              </w:rPr>
              <w:t>5.04</w:t>
            </w:r>
          </w:p>
        </w:tc>
      </w:tr>
      <w:tr w:rsidR="00E67914" w:rsidRPr="00E67914" w14:paraId="45EDF46A" w14:textId="77777777" w:rsidTr="00380D94">
        <w:tc>
          <w:tcPr>
            <w:tcW w:w="1826" w:type="pct"/>
            <w:vAlign w:val="center"/>
          </w:tcPr>
          <w:p w14:paraId="6E2426F1" w14:textId="77777777" w:rsidR="00500843" w:rsidRPr="00E67914" w:rsidRDefault="00500843" w:rsidP="00500843">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下风向最大浓度出现距离</w:t>
            </w:r>
          </w:p>
        </w:tc>
        <w:tc>
          <w:tcPr>
            <w:tcW w:w="3174" w:type="pct"/>
            <w:gridSpan w:val="2"/>
            <w:vAlign w:val="center"/>
          </w:tcPr>
          <w:p w14:paraId="7BF6CB9B" w14:textId="5873BFF7" w:rsidR="00500843" w:rsidRPr="00E67914" w:rsidRDefault="00500843" w:rsidP="00500843">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16</w:t>
            </w:r>
          </w:p>
        </w:tc>
      </w:tr>
    </w:tbl>
    <w:p w14:paraId="54C67121" w14:textId="2FB5D81A" w:rsidR="002B7A8E" w:rsidRPr="00E67914" w:rsidRDefault="002B7A8E" w:rsidP="002B7A8E">
      <w:pPr>
        <w:adjustRightInd w:val="0"/>
        <w:snapToGrid w:val="0"/>
        <w:spacing w:line="360" w:lineRule="auto"/>
        <w:ind w:firstLineChars="200" w:firstLine="480"/>
        <w:rPr>
          <w:rFonts w:ascii="Times New Roman" w:hAnsi="Times New Roman"/>
          <w:lang w:eastAsia="zh-CN"/>
        </w:rPr>
      </w:pPr>
      <w:r w:rsidRPr="00E67914">
        <w:rPr>
          <w:rFonts w:ascii="Times New Roman" w:hAnsi="Times New Roman"/>
          <w:bCs/>
          <w:sz w:val="24"/>
          <w:szCs w:val="24"/>
          <w:lang w:eastAsia="zh-CN"/>
        </w:rPr>
        <w:t>普陆页</w:t>
      </w:r>
      <w:r w:rsidRPr="00E67914">
        <w:rPr>
          <w:rFonts w:ascii="Times New Roman" w:hAnsi="Times New Roman"/>
          <w:bCs/>
          <w:sz w:val="24"/>
          <w:szCs w:val="24"/>
          <w:lang w:eastAsia="zh-CN"/>
        </w:rPr>
        <w:t>2</w:t>
      </w:r>
      <w:r w:rsidRPr="00E67914">
        <w:rPr>
          <w:rFonts w:ascii="Times New Roman" w:hAnsi="Times New Roman"/>
          <w:bCs/>
          <w:sz w:val="24"/>
          <w:szCs w:val="24"/>
          <w:lang w:eastAsia="zh-CN"/>
        </w:rPr>
        <w:t>试采站</w:t>
      </w:r>
      <w:r w:rsidR="00500843" w:rsidRPr="00E67914">
        <w:rPr>
          <w:rFonts w:ascii="Times New Roman" w:hAnsi="Times New Roman"/>
          <w:bCs/>
          <w:sz w:val="24"/>
          <w:szCs w:val="24"/>
          <w:lang w:eastAsia="zh-CN"/>
        </w:rPr>
        <w:t>凝析油装车挥发气体</w:t>
      </w:r>
      <w:r w:rsidRPr="00E67914">
        <w:rPr>
          <w:rFonts w:ascii="Times New Roman" w:hAnsi="Times New Roman"/>
          <w:bCs/>
          <w:sz w:val="24"/>
          <w:szCs w:val="24"/>
          <w:lang w:eastAsia="zh-CN"/>
        </w:rPr>
        <w:t>占标率与距离曲线图见下图：</w:t>
      </w:r>
    </w:p>
    <w:p w14:paraId="5BEEEB09" w14:textId="233347EC" w:rsidR="002B7A8E" w:rsidRPr="00E67914" w:rsidRDefault="00500843" w:rsidP="002B7A8E">
      <w:pPr>
        <w:pStyle w:val="afffff1"/>
      </w:pPr>
      <w:r w:rsidRPr="00E67914">
        <w:rPr>
          <w:noProof/>
        </w:rPr>
        <w:drawing>
          <wp:inline distT="0" distB="0" distL="0" distR="0" wp14:anchorId="015AF0E5" wp14:editId="18D83199">
            <wp:extent cx="7276190" cy="3723809"/>
            <wp:effectExtent l="0" t="0" r="1270" b="0"/>
            <wp:docPr id="1993344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44312" name=""/>
                    <pic:cNvPicPr/>
                  </pic:nvPicPr>
                  <pic:blipFill>
                    <a:blip r:embed="rId76"/>
                    <a:stretch>
                      <a:fillRect/>
                    </a:stretch>
                  </pic:blipFill>
                  <pic:spPr>
                    <a:xfrm>
                      <a:off x="0" y="0"/>
                      <a:ext cx="7276190" cy="3723809"/>
                    </a:xfrm>
                    <a:prstGeom prst="rect">
                      <a:avLst/>
                    </a:prstGeom>
                  </pic:spPr>
                </pic:pic>
              </a:graphicData>
            </a:graphic>
          </wp:inline>
        </w:drawing>
      </w:r>
    </w:p>
    <w:p w14:paraId="16B4CE64" w14:textId="31D04116" w:rsidR="002B7A8E" w:rsidRPr="00E67914" w:rsidRDefault="002B7A8E" w:rsidP="00220395">
      <w:pPr>
        <w:pStyle w:val="afffff1"/>
      </w:pPr>
      <w:r w:rsidRPr="00E67914">
        <w:rPr>
          <w:rFonts w:eastAsia="黑体"/>
          <w:kern w:val="2"/>
        </w:rPr>
        <w:t>图</w:t>
      </w:r>
      <w:r w:rsidRPr="00E67914">
        <w:rPr>
          <w:rFonts w:eastAsia="黑体"/>
          <w:kern w:val="2"/>
        </w:rPr>
        <w:t xml:space="preserve">5.2-1  </w:t>
      </w:r>
      <w:r w:rsidRPr="00E67914">
        <w:rPr>
          <w:rFonts w:eastAsia="黑体"/>
          <w:kern w:val="2"/>
        </w:rPr>
        <w:t>试采站</w:t>
      </w:r>
      <w:r w:rsidR="00500843" w:rsidRPr="00E67914">
        <w:rPr>
          <w:rFonts w:eastAsia="黑体"/>
          <w:kern w:val="2"/>
        </w:rPr>
        <w:t>凝析油装车挥发气体</w:t>
      </w:r>
      <w:r w:rsidRPr="00E67914">
        <w:rPr>
          <w:rFonts w:eastAsia="黑体"/>
          <w:kern w:val="2"/>
        </w:rPr>
        <w:t>占标率与距离曲线图</w:t>
      </w:r>
    </w:p>
    <w:p w14:paraId="51CB2EF6" w14:textId="77777777" w:rsidR="00A54A8A" w:rsidRPr="00E67914" w:rsidRDefault="00A54A8A">
      <w:pPr>
        <w:rPr>
          <w:rFonts w:ascii="Times New Roman" w:hAnsi="Times New Roman"/>
          <w:lang w:eastAsia="zh-CN"/>
        </w:rPr>
        <w:sectPr w:rsidR="00A54A8A" w:rsidRPr="00E67914">
          <w:pgSz w:w="16838" w:h="11906" w:orient="landscape"/>
          <w:pgMar w:top="1418" w:right="1418" w:bottom="1418" w:left="1418" w:header="851" w:footer="992" w:gutter="0"/>
          <w:cols w:space="425"/>
          <w:docGrid w:type="linesAndChars" w:linePitch="326"/>
        </w:sectPr>
      </w:pPr>
    </w:p>
    <w:p w14:paraId="7AD56EED" w14:textId="3CBB5331" w:rsidR="00A54A8A" w:rsidRPr="00E67914" w:rsidRDefault="00000000" w:rsidP="00500843">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lastRenderedPageBreak/>
        <w:t>根据上述预测分析可知，</w:t>
      </w:r>
      <w:r w:rsidR="00500843" w:rsidRPr="00E67914">
        <w:rPr>
          <w:rFonts w:ascii="Times New Roman" w:hAnsi="Times New Roman"/>
          <w:bCs/>
          <w:sz w:val="24"/>
          <w:szCs w:val="24"/>
          <w:lang w:eastAsia="zh-CN"/>
        </w:rPr>
        <w:t>上述废气各污染物占标率均小于</w:t>
      </w:r>
      <w:r w:rsidR="00500843" w:rsidRPr="00E67914">
        <w:rPr>
          <w:rFonts w:ascii="Times New Roman" w:hAnsi="Times New Roman"/>
          <w:bCs/>
          <w:sz w:val="24"/>
          <w:szCs w:val="24"/>
          <w:lang w:eastAsia="zh-CN"/>
        </w:rPr>
        <w:t>10</w:t>
      </w:r>
      <w:r w:rsidR="00500843" w:rsidRPr="00E67914">
        <w:rPr>
          <w:rFonts w:ascii="Times New Roman" w:hAnsi="Times New Roman"/>
          <w:bCs/>
          <w:sz w:val="24"/>
          <w:szCs w:val="24"/>
          <w:lang w:eastAsia="zh-CN"/>
        </w:rPr>
        <w:t>％，故评价等级为二级</w:t>
      </w:r>
      <w:r w:rsidRPr="00E67914">
        <w:rPr>
          <w:rFonts w:ascii="Times New Roman" w:hAnsi="Times New Roman"/>
          <w:bCs/>
          <w:sz w:val="24"/>
          <w:szCs w:val="24"/>
          <w:lang w:eastAsia="zh-CN"/>
        </w:rPr>
        <w:t>。污染物排放量小</w:t>
      </w:r>
      <w:r w:rsidR="00500843" w:rsidRPr="00E67914">
        <w:rPr>
          <w:rFonts w:ascii="Times New Roman" w:hAnsi="Times New Roman"/>
          <w:bCs/>
          <w:sz w:val="24"/>
          <w:szCs w:val="24"/>
          <w:lang w:eastAsia="zh-CN"/>
        </w:rPr>
        <w:t>，各预测点位均能满足《环境空气质量标准》（</w:t>
      </w:r>
      <w:r w:rsidR="00500843" w:rsidRPr="00E67914">
        <w:rPr>
          <w:rFonts w:ascii="Times New Roman" w:hAnsi="Times New Roman"/>
          <w:bCs/>
          <w:sz w:val="24"/>
          <w:szCs w:val="24"/>
          <w:lang w:eastAsia="zh-CN"/>
        </w:rPr>
        <w:t>GB3095-2012</w:t>
      </w:r>
      <w:r w:rsidR="00500843" w:rsidRPr="00E67914">
        <w:rPr>
          <w:rFonts w:ascii="Times New Roman" w:hAnsi="Times New Roman"/>
          <w:bCs/>
          <w:sz w:val="24"/>
          <w:szCs w:val="24"/>
          <w:lang w:eastAsia="zh-CN"/>
        </w:rPr>
        <w:t>）二级标准要求</w:t>
      </w:r>
      <w:r w:rsidRPr="00E67914">
        <w:rPr>
          <w:rFonts w:ascii="Times New Roman" w:hAnsi="Times New Roman"/>
          <w:bCs/>
          <w:sz w:val="24"/>
          <w:szCs w:val="24"/>
          <w:lang w:eastAsia="zh-CN"/>
        </w:rPr>
        <w:t>，污染物排放对环境空气的影响较小。</w:t>
      </w:r>
    </w:p>
    <w:p w14:paraId="690D78F3" w14:textId="67454537" w:rsidR="00A54A8A" w:rsidRPr="00E67914" w:rsidRDefault="00D46F71" w:rsidP="00D46F71">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t>（</w:t>
      </w:r>
      <w:r w:rsidRPr="00E67914">
        <w:rPr>
          <w:rFonts w:ascii="Times New Roman" w:hAnsi="Times New Roman"/>
          <w:bCs/>
          <w:sz w:val="24"/>
          <w:szCs w:val="24"/>
          <w:lang w:eastAsia="zh-CN"/>
        </w:rPr>
        <w:t>4</w:t>
      </w:r>
      <w:r w:rsidRPr="00E67914">
        <w:rPr>
          <w:rFonts w:ascii="Times New Roman" w:hAnsi="Times New Roman"/>
          <w:bCs/>
          <w:sz w:val="24"/>
          <w:szCs w:val="24"/>
          <w:lang w:eastAsia="zh-CN"/>
        </w:rPr>
        <w:t>）非正常工况放空废气</w:t>
      </w:r>
    </w:p>
    <w:p w14:paraId="4436DA2B" w14:textId="790E6196" w:rsidR="00A54A8A" w:rsidRPr="00E67914" w:rsidRDefault="00000000">
      <w:pPr>
        <w:adjustRightInd w:val="0"/>
        <w:snapToGrid w:val="0"/>
        <w:spacing w:line="360" w:lineRule="auto"/>
        <w:ind w:firstLineChars="200" w:firstLine="480"/>
        <w:rPr>
          <w:rFonts w:ascii="Times New Roman" w:hAnsi="Times New Roman"/>
          <w:bCs/>
          <w:sz w:val="24"/>
          <w:szCs w:val="24"/>
          <w:lang w:eastAsia="zh-CN"/>
        </w:rPr>
      </w:pPr>
      <w:r w:rsidRPr="00E67914">
        <w:rPr>
          <w:rFonts w:ascii="Times New Roman" w:hAnsi="Times New Roman"/>
          <w:bCs/>
          <w:sz w:val="24"/>
          <w:szCs w:val="24"/>
          <w:lang w:eastAsia="zh-CN"/>
        </w:rPr>
        <w:t>项目天然气集输管线在超压时会产生放空废气，放空废气发生的频率为</w:t>
      </w:r>
      <w:r w:rsidRPr="00E67914">
        <w:rPr>
          <w:rFonts w:ascii="Times New Roman" w:hAnsi="Times New Roman"/>
          <w:bCs/>
          <w:sz w:val="24"/>
          <w:szCs w:val="24"/>
          <w:lang w:eastAsia="zh-CN"/>
        </w:rPr>
        <w:t>2~3</w:t>
      </w:r>
      <w:r w:rsidRPr="00E67914">
        <w:rPr>
          <w:rFonts w:ascii="Times New Roman" w:hAnsi="Times New Roman"/>
          <w:bCs/>
          <w:sz w:val="24"/>
          <w:szCs w:val="24"/>
          <w:lang w:eastAsia="zh-CN"/>
        </w:rPr>
        <w:t>次</w:t>
      </w:r>
      <w:r w:rsidRPr="00E67914">
        <w:rPr>
          <w:rFonts w:ascii="Times New Roman" w:hAnsi="Times New Roman"/>
          <w:bCs/>
          <w:sz w:val="24"/>
          <w:szCs w:val="24"/>
          <w:lang w:eastAsia="zh-CN"/>
        </w:rPr>
        <w:t>/</w:t>
      </w:r>
      <w:r w:rsidRPr="00E67914">
        <w:rPr>
          <w:rFonts w:ascii="Times New Roman" w:hAnsi="Times New Roman"/>
          <w:bCs/>
          <w:sz w:val="24"/>
          <w:szCs w:val="24"/>
          <w:lang w:eastAsia="zh-CN"/>
        </w:rPr>
        <w:t>年，</w:t>
      </w:r>
      <w:r w:rsidRPr="00E67914">
        <w:rPr>
          <w:rFonts w:ascii="Times New Roman" w:hAnsi="Times New Roman"/>
          <w:bCs/>
          <w:sz w:val="24"/>
          <w:szCs w:val="24"/>
          <w:lang w:eastAsia="zh-CN"/>
        </w:rPr>
        <w:t>2~5Nm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w:t>
      </w:r>
      <w:r w:rsidRPr="00E67914">
        <w:rPr>
          <w:rFonts w:ascii="Times New Roman" w:hAnsi="Times New Roman"/>
          <w:bCs/>
          <w:sz w:val="24"/>
          <w:szCs w:val="24"/>
          <w:lang w:eastAsia="zh-CN"/>
        </w:rPr>
        <w:t>次。根据项目业主提供的天然气成分，项目的天然气成分不含硫化氢，排放的放空废气量较小，持续时间短，</w:t>
      </w:r>
      <w:r w:rsidR="001729B7" w:rsidRPr="00E67914">
        <w:rPr>
          <w:rFonts w:ascii="Times New Roman" w:hAnsi="Times New Roman"/>
          <w:bCs/>
          <w:sz w:val="24"/>
          <w:lang w:eastAsia="zh-CN"/>
        </w:rPr>
        <w:t>井口高压放空至</w:t>
      </w:r>
      <w:r w:rsidR="001729B7" w:rsidRPr="00E67914">
        <w:rPr>
          <w:rFonts w:ascii="Times New Roman" w:hAnsi="Times New Roman"/>
          <w:bCs/>
          <w:sz w:val="24"/>
          <w:lang w:eastAsia="zh-CN"/>
        </w:rPr>
        <w:t>25m</w:t>
      </w:r>
      <w:r w:rsidR="001729B7" w:rsidRPr="00E67914">
        <w:rPr>
          <w:rFonts w:ascii="Times New Roman" w:hAnsi="Times New Roman"/>
          <w:bCs/>
          <w:sz w:val="24"/>
          <w:lang w:eastAsia="zh-CN"/>
        </w:rPr>
        <w:t>高</w:t>
      </w:r>
      <w:r w:rsidR="00FC2143" w:rsidRPr="00E67914">
        <w:rPr>
          <w:rFonts w:ascii="Times New Roman" w:hAnsi="Times New Roman"/>
          <w:bCs/>
          <w:sz w:val="24"/>
          <w:lang w:eastAsia="zh-CN"/>
        </w:rPr>
        <w:t>火炬燃烧排放</w:t>
      </w:r>
      <w:r w:rsidR="001729B7" w:rsidRPr="00E67914">
        <w:rPr>
          <w:rFonts w:ascii="Times New Roman" w:hAnsi="Times New Roman"/>
          <w:bCs/>
          <w:sz w:val="24"/>
          <w:lang w:eastAsia="zh-CN"/>
        </w:rPr>
        <w:t>，</w:t>
      </w:r>
      <w:r w:rsidR="00EE5D65" w:rsidRPr="00E67914">
        <w:rPr>
          <w:rFonts w:ascii="Times New Roman" w:hAnsi="Times New Roman"/>
          <w:bCs/>
          <w:sz w:val="24"/>
          <w:lang w:eastAsia="zh-CN"/>
        </w:rPr>
        <w:t>工艺设备（含油罐）及站内外输管线气体通过</w:t>
      </w:r>
      <w:r w:rsidR="00EE5D65" w:rsidRPr="00E67914">
        <w:rPr>
          <w:rFonts w:ascii="Times New Roman" w:hAnsi="Times New Roman"/>
          <w:bCs/>
          <w:sz w:val="24"/>
          <w:lang w:eastAsia="zh-CN"/>
        </w:rPr>
        <w:t>6m</w:t>
      </w:r>
      <w:r w:rsidR="00EE5D65" w:rsidRPr="00E67914">
        <w:rPr>
          <w:rFonts w:ascii="Times New Roman" w:hAnsi="Times New Roman"/>
          <w:bCs/>
          <w:sz w:val="24"/>
          <w:lang w:eastAsia="zh-CN"/>
        </w:rPr>
        <w:t>放空立管放空</w:t>
      </w:r>
      <w:r w:rsidRPr="00E67914">
        <w:rPr>
          <w:rFonts w:ascii="Times New Roman" w:hAnsi="Times New Roman"/>
          <w:bCs/>
          <w:sz w:val="24"/>
          <w:szCs w:val="24"/>
          <w:lang w:eastAsia="zh-CN"/>
        </w:rPr>
        <w:t>，项目区扩散条件好，对环境空气质量影响小。</w:t>
      </w:r>
    </w:p>
    <w:p w14:paraId="075C8D59" w14:textId="77777777" w:rsidR="00A54A8A" w:rsidRPr="00E67914" w:rsidRDefault="00000000">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5.2.3</w:t>
      </w:r>
      <w:r w:rsidRPr="00E67914">
        <w:rPr>
          <w:rFonts w:ascii="Times New Roman" w:eastAsia="黑体" w:hAnsi="Times New Roman"/>
          <w:bCs/>
          <w:kern w:val="2"/>
          <w:sz w:val="24"/>
          <w:szCs w:val="24"/>
          <w:lang w:eastAsia="zh-CN"/>
        </w:rPr>
        <w:t>地表水环境影响分析</w:t>
      </w:r>
    </w:p>
    <w:p w14:paraId="04A74E20" w14:textId="161B777C" w:rsidR="00A54A8A" w:rsidRPr="00E67914" w:rsidRDefault="00000000">
      <w:pPr>
        <w:adjustRightInd w:val="0"/>
        <w:snapToGrid w:val="0"/>
        <w:spacing w:line="360" w:lineRule="auto"/>
        <w:ind w:firstLineChars="200" w:firstLine="482"/>
        <w:rPr>
          <w:rFonts w:ascii="Times New Roman" w:hAnsi="Times New Roman"/>
          <w:b/>
          <w:sz w:val="24"/>
          <w:szCs w:val="24"/>
          <w:lang w:eastAsia="zh-CN"/>
        </w:rPr>
      </w:pPr>
      <w:r w:rsidRPr="00E67914">
        <w:rPr>
          <w:rFonts w:ascii="Times New Roman" w:hAnsi="Times New Roman"/>
          <w:b/>
          <w:sz w:val="24"/>
          <w:szCs w:val="24"/>
          <w:lang w:eastAsia="zh-CN"/>
        </w:rPr>
        <w:t>（</w:t>
      </w:r>
      <w:r w:rsidRPr="00E67914">
        <w:rPr>
          <w:rFonts w:ascii="Times New Roman" w:hAnsi="Times New Roman"/>
          <w:b/>
          <w:sz w:val="24"/>
          <w:szCs w:val="24"/>
          <w:lang w:eastAsia="zh-CN"/>
        </w:rPr>
        <w:t>1</w:t>
      </w:r>
      <w:r w:rsidRPr="00E67914">
        <w:rPr>
          <w:rFonts w:ascii="Times New Roman" w:hAnsi="Times New Roman"/>
          <w:b/>
          <w:sz w:val="24"/>
          <w:szCs w:val="24"/>
          <w:lang w:eastAsia="zh-CN"/>
        </w:rPr>
        <w:t>）</w:t>
      </w:r>
      <w:r w:rsidR="002346F6" w:rsidRPr="00E67914">
        <w:rPr>
          <w:rFonts w:ascii="Times New Roman" w:hAnsi="Times New Roman"/>
          <w:b/>
          <w:sz w:val="24"/>
          <w:szCs w:val="24"/>
          <w:lang w:eastAsia="zh-CN"/>
        </w:rPr>
        <w:t>气田水</w:t>
      </w:r>
      <w:r w:rsidRPr="00E67914">
        <w:rPr>
          <w:rFonts w:ascii="Times New Roman" w:hAnsi="Times New Roman"/>
          <w:b/>
          <w:sz w:val="24"/>
          <w:szCs w:val="24"/>
          <w:lang w:eastAsia="zh-CN"/>
        </w:rPr>
        <w:t>影响分析</w:t>
      </w:r>
    </w:p>
    <w:p w14:paraId="216CDD58" w14:textId="2D0858A5" w:rsidR="00A54A8A" w:rsidRPr="00E67914" w:rsidRDefault="00EA361A">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lang w:eastAsia="zh-CN"/>
        </w:rPr>
        <w:t>根据可研报告核算，并类比区块同地层多个已建天然气井日产气田水情况，预估本项目</w:t>
      </w:r>
      <w:r w:rsidRPr="00E67914">
        <w:rPr>
          <w:rFonts w:ascii="Times New Roman" w:hAnsi="Times New Roman"/>
          <w:bCs/>
          <w:sz w:val="24"/>
          <w:lang w:eastAsia="zh-CN"/>
        </w:rPr>
        <w:t>4</w:t>
      </w:r>
      <w:r w:rsidRPr="00E67914">
        <w:rPr>
          <w:rFonts w:ascii="Times New Roman" w:hAnsi="Times New Roman"/>
          <w:bCs/>
          <w:sz w:val="24"/>
          <w:lang w:eastAsia="zh-CN"/>
        </w:rPr>
        <w:t>口井气田水产生量约为</w:t>
      </w:r>
      <w:r w:rsidRPr="00E67914">
        <w:rPr>
          <w:rFonts w:ascii="Times New Roman" w:hAnsi="Times New Roman"/>
          <w:bCs/>
          <w:sz w:val="24"/>
          <w:lang w:eastAsia="zh-CN"/>
        </w:rPr>
        <w:t>42.7m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/d</w:t>
      </w:r>
      <w:r w:rsidRPr="00E67914">
        <w:rPr>
          <w:rFonts w:ascii="Times New Roman" w:hAnsi="Times New Roman"/>
          <w:bCs/>
          <w:sz w:val="24"/>
          <w:lang w:eastAsia="zh-CN"/>
        </w:rPr>
        <w:t>（试采初期压裂返排液未完全返排，单井含压裂返排液的气田水可达</w:t>
      </w:r>
      <w:r w:rsidRPr="00E67914">
        <w:rPr>
          <w:rFonts w:ascii="Times New Roman" w:hAnsi="Times New Roman"/>
          <w:bCs/>
          <w:sz w:val="24"/>
          <w:lang w:eastAsia="zh-CN"/>
        </w:rPr>
        <w:t>40m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/d</w:t>
      </w:r>
      <w:r w:rsidRPr="00E67914">
        <w:rPr>
          <w:rFonts w:ascii="Times New Roman" w:hAnsi="Times New Roman"/>
          <w:bCs/>
          <w:sz w:val="24"/>
          <w:lang w:eastAsia="zh-CN"/>
        </w:rPr>
        <w:t>，本项目确定为试采初期气田水产生量为</w:t>
      </w:r>
      <w:r w:rsidRPr="00E67914">
        <w:rPr>
          <w:rFonts w:ascii="Times New Roman" w:hAnsi="Times New Roman"/>
          <w:bCs/>
          <w:sz w:val="24"/>
          <w:lang w:eastAsia="zh-CN"/>
        </w:rPr>
        <w:t>160m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/d</w:t>
      </w:r>
      <w:r w:rsidRPr="00E67914">
        <w:rPr>
          <w:rFonts w:ascii="Times New Roman" w:hAnsi="Times New Roman"/>
          <w:bCs/>
          <w:sz w:val="24"/>
          <w:lang w:eastAsia="zh-CN"/>
        </w:rPr>
        <w:t>，此阶段不超过半年）。分离气田水进入普陆页</w:t>
      </w:r>
      <w:r w:rsidRPr="00E67914">
        <w:rPr>
          <w:rFonts w:ascii="Times New Roman" w:hAnsi="Times New Roman"/>
          <w:bCs/>
          <w:sz w:val="24"/>
          <w:lang w:eastAsia="zh-CN"/>
        </w:rPr>
        <w:t>2</w:t>
      </w:r>
      <w:r w:rsidRPr="00E67914">
        <w:rPr>
          <w:rFonts w:ascii="Times New Roman" w:hAnsi="Times New Roman"/>
          <w:bCs/>
          <w:sz w:val="24"/>
          <w:lang w:eastAsia="zh-CN"/>
        </w:rPr>
        <w:t>试采站的放空分液罐、采出水罐暂存（初期水量较大时可依托污水池暂存），暂存一定量后（</w:t>
      </w:r>
      <w:r w:rsidRPr="00E67914">
        <w:rPr>
          <w:rFonts w:ascii="Times New Roman" w:hAnsi="Times New Roman"/>
          <w:bCs/>
          <w:sz w:val="24"/>
          <w:szCs w:val="24"/>
          <w:lang w:eastAsia="zh-CN"/>
        </w:rPr>
        <w:t>低于容积</w:t>
      </w:r>
      <w:r w:rsidRPr="00E67914">
        <w:rPr>
          <w:rFonts w:ascii="Times New Roman" w:hAnsi="Times New Roman"/>
          <w:bCs/>
          <w:sz w:val="24"/>
          <w:szCs w:val="24"/>
          <w:lang w:eastAsia="zh-CN"/>
        </w:rPr>
        <w:t>80%</w:t>
      </w:r>
      <w:r w:rsidRPr="00E67914">
        <w:rPr>
          <w:rFonts w:ascii="Times New Roman" w:hAnsi="Times New Roman"/>
          <w:bCs/>
          <w:sz w:val="24"/>
          <w:szCs w:val="24"/>
          <w:lang w:eastAsia="zh-CN"/>
        </w:rPr>
        <w:t>前</w:t>
      </w:r>
      <w:r w:rsidRPr="00E67914">
        <w:rPr>
          <w:rFonts w:ascii="Times New Roman" w:hAnsi="Times New Roman"/>
          <w:bCs/>
          <w:sz w:val="24"/>
          <w:lang w:eastAsia="zh-CN"/>
        </w:rPr>
        <w:t>）用密闭罐车拉运至赵家坝污水处理站处理达到《气田水回注方法》（</w:t>
      </w:r>
      <w:r w:rsidRPr="00E67914">
        <w:rPr>
          <w:rFonts w:ascii="Times New Roman" w:hAnsi="Times New Roman"/>
          <w:bCs/>
          <w:sz w:val="24"/>
          <w:lang w:eastAsia="zh-CN"/>
        </w:rPr>
        <w:t>SY/T 6596-2016</w:t>
      </w:r>
      <w:r w:rsidRPr="00E67914">
        <w:rPr>
          <w:rFonts w:ascii="Times New Roman" w:hAnsi="Times New Roman"/>
          <w:bCs/>
          <w:sz w:val="24"/>
          <w:lang w:eastAsia="zh-CN"/>
        </w:rPr>
        <w:t>）中注入水基本要求后管输至普光</w:t>
      </w:r>
      <w:r w:rsidRPr="00E67914">
        <w:rPr>
          <w:rFonts w:ascii="Times New Roman" w:hAnsi="Times New Roman"/>
          <w:bCs/>
          <w:sz w:val="24"/>
          <w:lang w:eastAsia="zh-CN"/>
        </w:rPr>
        <w:t>11</w:t>
      </w:r>
      <w:r w:rsidRPr="00E67914">
        <w:rPr>
          <w:rFonts w:ascii="Times New Roman" w:hAnsi="Times New Roman"/>
          <w:bCs/>
          <w:sz w:val="24"/>
          <w:lang w:eastAsia="zh-CN"/>
        </w:rPr>
        <w:t>井回注站回注处理，不外排。</w:t>
      </w:r>
      <w:r w:rsidRPr="00E67914">
        <w:rPr>
          <w:rFonts w:ascii="Times New Roman" w:hAnsi="Times New Roman"/>
          <w:bCs/>
          <w:sz w:val="24"/>
          <w:szCs w:val="24"/>
          <w:lang w:eastAsia="zh-CN"/>
        </w:rPr>
        <w:t>现场无废水外排，对地表水体影响较小。且随着采气试采，废水产生量将更小，水质简单，去向明确，本项目新建的</w:t>
      </w:r>
      <w:r w:rsidR="00A9536E" w:rsidRPr="00E67914">
        <w:rPr>
          <w:rFonts w:ascii="Times New Roman" w:hAnsi="Times New Roman"/>
          <w:bCs/>
          <w:sz w:val="24"/>
          <w:lang w:eastAsia="zh-CN"/>
        </w:rPr>
        <w:t>放空分液罐、采出水罐</w:t>
      </w:r>
      <w:r w:rsidRPr="00E67914">
        <w:rPr>
          <w:rFonts w:ascii="Times New Roman" w:hAnsi="Times New Roman"/>
          <w:bCs/>
          <w:sz w:val="24"/>
          <w:szCs w:val="24"/>
          <w:lang w:eastAsia="zh-CN"/>
        </w:rPr>
        <w:t>和依托配套的环保设施处理能力满足本项目需求，该收集处理工艺在</w:t>
      </w:r>
      <w:r w:rsidRPr="00E67914">
        <w:rPr>
          <w:rFonts w:ascii="Times New Roman" w:hAnsi="Times New Roman"/>
          <w:sz w:val="24"/>
          <w:lang w:eastAsia="zh-CN"/>
        </w:rPr>
        <w:t>川东北气田开发区块</w:t>
      </w:r>
      <w:r w:rsidRPr="00E67914">
        <w:rPr>
          <w:rFonts w:ascii="Times New Roman" w:hAnsi="Times New Roman"/>
          <w:bCs/>
          <w:sz w:val="24"/>
          <w:szCs w:val="24"/>
          <w:lang w:eastAsia="zh-CN"/>
        </w:rPr>
        <w:t>已运行多年，效果稳定可靠，未发生过处理不佳导致环境污染的事故发生。因此，本项目试采期</w:t>
      </w:r>
      <w:r w:rsidR="002346F6" w:rsidRPr="00E67914">
        <w:rPr>
          <w:rFonts w:ascii="Times New Roman" w:hAnsi="Times New Roman"/>
          <w:bCs/>
          <w:sz w:val="24"/>
          <w:szCs w:val="24"/>
          <w:lang w:eastAsia="zh-CN"/>
        </w:rPr>
        <w:t>气田水</w:t>
      </w:r>
      <w:r w:rsidRPr="00E67914">
        <w:rPr>
          <w:rFonts w:ascii="Times New Roman" w:hAnsi="Times New Roman"/>
          <w:bCs/>
          <w:sz w:val="24"/>
          <w:szCs w:val="24"/>
          <w:lang w:eastAsia="zh-CN"/>
        </w:rPr>
        <w:t>不会对地表水环境造成不良影响。</w:t>
      </w:r>
    </w:p>
    <w:p w14:paraId="50439043" w14:textId="77777777" w:rsidR="00A54A8A" w:rsidRPr="00E67914" w:rsidRDefault="00000000">
      <w:pPr>
        <w:adjustRightInd w:val="0"/>
        <w:snapToGrid w:val="0"/>
        <w:spacing w:line="360" w:lineRule="auto"/>
        <w:ind w:firstLineChars="200" w:firstLine="482"/>
        <w:rPr>
          <w:rFonts w:ascii="Times New Roman" w:hAnsi="Times New Roman"/>
          <w:b/>
          <w:sz w:val="24"/>
          <w:szCs w:val="24"/>
          <w:lang w:eastAsia="zh-CN"/>
        </w:rPr>
      </w:pPr>
      <w:r w:rsidRPr="00E67914">
        <w:rPr>
          <w:rFonts w:ascii="Times New Roman" w:hAnsi="Times New Roman"/>
          <w:b/>
          <w:sz w:val="24"/>
          <w:szCs w:val="24"/>
          <w:lang w:eastAsia="zh-CN"/>
        </w:rPr>
        <w:t>（</w:t>
      </w:r>
      <w:r w:rsidRPr="00E67914">
        <w:rPr>
          <w:rFonts w:ascii="Times New Roman" w:hAnsi="Times New Roman"/>
          <w:b/>
          <w:sz w:val="24"/>
          <w:szCs w:val="24"/>
          <w:lang w:eastAsia="zh-CN"/>
        </w:rPr>
        <w:t>2</w:t>
      </w:r>
      <w:r w:rsidRPr="00E67914">
        <w:rPr>
          <w:rFonts w:ascii="Times New Roman" w:hAnsi="Times New Roman"/>
          <w:b/>
          <w:sz w:val="24"/>
          <w:szCs w:val="24"/>
          <w:lang w:eastAsia="zh-CN"/>
        </w:rPr>
        <w:t>）非正常工况井下作业废水</w:t>
      </w:r>
    </w:p>
    <w:p w14:paraId="4B022B69" w14:textId="34099B44"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lang w:eastAsia="zh-CN"/>
        </w:rPr>
        <w:t>正常试采期，当地层堵塞时，为提高地层渗透率，需进行压裂酸化等作业，属于试采期非正常工况。根据类比调查，作业频次为</w:t>
      </w:r>
      <w:r w:rsidRPr="00E67914">
        <w:rPr>
          <w:rFonts w:ascii="Times New Roman" w:hAnsi="Times New Roman"/>
          <w:bCs/>
          <w:sz w:val="24"/>
          <w:lang w:eastAsia="zh-CN"/>
        </w:rPr>
        <w:t>1</w:t>
      </w:r>
      <w:r w:rsidRPr="00E67914">
        <w:rPr>
          <w:rFonts w:ascii="Times New Roman" w:hAnsi="Times New Roman"/>
          <w:bCs/>
          <w:sz w:val="24"/>
          <w:lang w:eastAsia="zh-CN"/>
        </w:rPr>
        <w:t>次</w:t>
      </w:r>
      <w:r w:rsidRPr="00E67914">
        <w:rPr>
          <w:rFonts w:ascii="Times New Roman" w:hAnsi="Times New Roman"/>
          <w:bCs/>
          <w:sz w:val="24"/>
          <w:lang w:eastAsia="zh-CN"/>
        </w:rPr>
        <w:t>/a</w:t>
      </w:r>
      <w:r w:rsidRPr="00E67914">
        <w:rPr>
          <w:rFonts w:ascii="Times New Roman" w:hAnsi="Times New Roman"/>
          <w:bCs/>
          <w:sz w:val="24"/>
          <w:lang w:eastAsia="zh-CN"/>
        </w:rPr>
        <w:t>，本项目单井排放量为</w:t>
      </w:r>
      <w:r w:rsidRPr="00E67914">
        <w:rPr>
          <w:rFonts w:ascii="Times New Roman" w:hAnsi="Times New Roman"/>
          <w:bCs/>
          <w:sz w:val="24"/>
          <w:lang w:eastAsia="zh-CN"/>
        </w:rPr>
        <w:t>50m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/a</w:t>
      </w:r>
      <w:r w:rsidR="00EA361A" w:rsidRPr="00E67914">
        <w:rPr>
          <w:rFonts w:ascii="Times New Roman" w:hAnsi="Times New Roman"/>
          <w:bCs/>
          <w:sz w:val="24"/>
          <w:lang w:eastAsia="zh-CN"/>
        </w:rPr>
        <w:t>，本项目总排放量为</w:t>
      </w:r>
      <w:r w:rsidR="00EA361A" w:rsidRPr="00E67914">
        <w:rPr>
          <w:rFonts w:ascii="Times New Roman" w:hAnsi="Times New Roman"/>
          <w:bCs/>
          <w:sz w:val="24"/>
          <w:lang w:eastAsia="zh-CN"/>
        </w:rPr>
        <w:t>200m</w:t>
      </w:r>
      <w:r w:rsidR="00EA361A" w:rsidRPr="00E67914">
        <w:rPr>
          <w:rFonts w:ascii="Times New Roman" w:hAnsi="Times New Roman"/>
          <w:bCs/>
          <w:sz w:val="24"/>
          <w:vertAlign w:val="superscript"/>
          <w:lang w:eastAsia="zh-CN"/>
        </w:rPr>
        <w:t>3</w:t>
      </w:r>
      <w:r w:rsidR="00EA361A" w:rsidRPr="00E67914">
        <w:rPr>
          <w:rFonts w:ascii="Times New Roman" w:hAnsi="Times New Roman"/>
          <w:bCs/>
          <w:sz w:val="24"/>
          <w:lang w:eastAsia="zh-CN"/>
        </w:rPr>
        <w:t>/a</w:t>
      </w:r>
      <w:r w:rsidRPr="00E67914">
        <w:rPr>
          <w:rFonts w:ascii="Times New Roman" w:hAnsi="Times New Roman"/>
          <w:bCs/>
          <w:sz w:val="24"/>
          <w:lang w:eastAsia="zh-CN"/>
        </w:rPr>
        <w:t>，将废水用密闭罐车拉运至赵家坝污水处理站处理达标后经普光</w:t>
      </w:r>
      <w:r w:rsidRPr="00E67914">
        <w:rPr>
          <w:rFonts w:ascii="Times New Roman" w:hAnsi="Times New Roman"/>
          <w:bCs/>
          <w:sz w:val="24"/>
          <w:lang w:eastAsia="zh-CN"/>
        </w:rPr>
        <w:t>11</w:t>
      </w:r>
      <w:r w:rsidRPr="00E67914">
        <w:rPr>
          <w:rFonts w:ascii="Times New Roman" w:hAnsi="Times New Roman"/>
          <w:bCs/>
          <w:sz w:val="24"/>
          <w:lang w:eastAsia="zh-CN"/>
        </w:rPr>
        <w:t>井回注站回注。</w:t>
      </w:r>
    </w:p>
    <w:p w14:paraId="2D484984" w14:textId="77777777" w:rsidR="00A54A8A" w:rsidRPr="00E67914" w:rsidRDefault="00000000">
      <w:pPr>
        <w:adjustRightInd w:val="0"/>
        <w:snapToGrid w:val="0"/>
        <w:spacing w:line="360" w:lineRule="auto"/>
        <w:ind w:firstLineChars="200" w:firstLine="482"/>
        <w:rPr>
          <w:rFonts w:ascii="Times New Roman" w:hAnsi="Times New Roman"/>
          <w:b/>
          <w:sz w:val="24"/>
          <w:szCs w:val="24"/>
          <w:lang w:eastAsia="zh-CN"/>
        </w:rPr>
      </w:pPr>
      <w:r w:rsidRPr="00E67914">
        <w:rPr>
          <w:rFonts w:ascii="Times New Roman" w:hAnsi="Times New Roman"/>
          <w:b/>
          <w:sz w:val="24"/>
          <w:szCs w:val="24"/>
          <w:lang w:eastAsia="zh-CN"/>
        </w:rPr>
        <w:t>（</w:t>
      </w:r>
      <w:r w:rsidRPr="00E67914">
        <w:rPr>
          <w:rFonts w:ascii="Times New Roman" w:hAnsi="Times New Roman"/>
          <w:b/>
          <w:sz w:val="24"/>
          <w:szCs w:val="24"/>
          <w:lang w:eastAsia="zh-CN"/>
        </w:rPr>
        <w:t>3</w:t>
      </w:r>
      <w:r w:rsidRPr="00E67914">
        <w:rPr>
          <w:rFonts w:ascii="Times New Roman" w:hAnsi="Times New Roman"/>
          <w:b/>
          <w:sz w:val="24"/>
          <w:szCs w:val="24"/>
          <w:lang w:eastAsia="zh-CN"/>
        </w:rPr>
        <w:t>）生活污水影响分析</w:t>
      </w:r>
    </w:p>
    <w:p w14:paraId="493915C8"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本项目为无人值守站场，无生活污水产生。</w:t>
      </w:r>
    </w:p>
    <w:p w14:paraId="2E0588C7"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sz w:val="24"/>
          <w:szCs w:val="24"/>
          <w:lang w:eastAsia="zh-CN"/>
        </w:rPr>
        <w:lastRenderedPageBreak/>
        <w:t>综上所述，在严格落实各项污染防治措施的前提下，本项目试采期对周围地表水环境影响较小。</w:t>
      </w:r>
    </w:p>
    <w:p w14:paraId="255CFC15" w14:textId="77777777" w:rsidR="00A54A8A" w:rsidRPr="00E67914" w:rsidRDefault="00000000">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5.2.4</w:t>
      </w:r>
      <w:r w:rsidRPr="00E67914">
        <w:rPr>
          <w:rFonts w:ascii="Times New Roman" w:eastAsia="黑体" w:hAnsi="Times New Roman"/>
          <w:bCs/>
          <w:kern w:val="2"/>
          <w:sz w:val="24"/>
          <w:szCs w:val="24"/>
          <w:lang w:eastAsia="zh-CN"/>
        </w:rPr>
        <w:t>声环境影响分析</w:t>
      </w:r>
    </w:p>
    <w:p w14:paraId="7B3F7789" w14:textId="77777777" w:rsidR="00A54A8A" w:rsidRPr="00E67914" w:rsidRDefault="00000000">
      <w:pPr>
        <w:adjustRightInd w:val="0"/>
        <w:snapToGrid w:val="0"/>
        <w:spacing w:line="360" w:lineRule="auto"/>
        <w:ind w:firstLineChars="200" w:firstLine="482"/>
        <w:rPr>
          <w:rFonts w:ascii="Times New Roman" w:hAnsi="Times New Roman"/>
          <w:b/>
          <w:sz w:val="24"/>
          <w:szCs w:val="24"/>
          <w:lang w:eastAsia="zh-CN"/>
        </w:rPr>
      </w:pPr>
      <w:r w:rsidRPr="00E67914">
        <w:rPr>
          <w:rFonts w:ascii="Times New Roman" w:hAnsi="Times New Roman"/>
          <w:b/>
          <w:sz w:val="24"/>
          <w:szCs w:val="24"/>
          <w:lang w:eastAsia="zh-CN"/>
        </w:rPr>
        <w:t>（</w:t>
      </w:r>
      <w:r w:rsidRPr="00E67914">
        <w:rPr>
          <w:rFonts w:ascii="Times New Roman" w:hAnsi="Times New Roman"/>
          <w:b/>
          <w:sz w:val="24"/>
          <w:szCs w:val="24"/>
          <w:lang w:eastAsia="zh-CN"/>
        </w:rPr>
        <w:t>1</w:t>
      </w:r>
      <w:r w:rsidRPr="00E67914">
        <w:rPr>
          <w:rFonts w:ascii="Times New Roman" w:hAnsi="Times New Roman"/>
          <w:b/>
          <w:sz w:val="24"/>
          <w:szCs w:val="24"/>
          <w:lang w:eastAsia="zh-CN"/>
        </w:rPr>
        <w:t>）采气设备噪声影响分析</w:t>
      </w:r>
    </w:p>
    <w:p w14:paraId="4CD9AEAA" w14:textId="61BCD2EE" w:rsidR="00A54A8A" w:rsidRPr="00E67914" w:rsidRDefault="00000000">
      <w:pPr>
        <w:adjustRightInd w:val="0"/>
        <w:snapToGrid w:val="0"/>
        <w:spacing w:line="360" w:lineRule="auto"/>
        <w:ind w:firstLineChars="200" w:firstLine="480"/>
        <w:rPr>
          <w:rFonts w:ascii="Times New Roman" w:hAnsi="Times New Roman"/>
          <w:sz w:val="24"/>
          <w:lang w:eastAsia="zh-CN"/>
        </w:rPr>
      </w:pPr>
      <w:bookmarkStart w:id="143" w:name="_Hlk87898866"/>
      <w:r w:rsidRPr="00E67914">
        <w:rPr>
          <w:rFonts w:ascii="Times New Roman" w:hAnsi="Times New Roman"/>
          <w:bCs/>
          <w:sz w:val="24"/>
          <w:lang w:eastAsia="zh-CN"/>
        </w:rPr>
        <w:t>井站噪声主要来自水套加热炉、分离器等设备的气流摩擦噪声，通过大量钻井项目的试采期气流噪声源类比调查结果，预计本项目试采期单井噪声级约</w:t>
      </w:r>
      <w:r w:rsidRPr="00E67914">
        <w:rPr>
          <w:rFonts w:ascii="Times New Roman" w:hAnsi="Times New Roman"/>
          <w:bCs/>
          <w:sz w:val="24"/>
          <w:lang w:eastAsia="zh-CN"/>
        </w:rPr>
        <w:t>60dB</w:t>
      </w:r>
      <w:r w:rsidRPr="00E67914">
        <w:rPr>
          <w:rFonts w:ascii="Times New Roman" w:hAnsi="Times New Roman"/>
          <w:bCs/>
          <w:sz w:val="24"/>
          <w:lang w:eastAsia="zh-CN"/>
        </w:rPr>
        <w:t>（</w:t>
      </w:r>
      <w:r w:rsidRPr="00E67914">
        <w:rPr>
          <w:rFonts w:ascii="Times New Roman" w:hAnsi="Times New Roman"/>
          <w:bCs/>
          <w:sz w:val="24"/>
          <w:lang w:eastAsia="zh-CN"/>
        </w:rPr>
        <w:t>A</w:t>
      </w:r>
      <w:r w:rsidRPr="00E67914">
        <w:rPr>
          <w:rFonts w:ascii="Times New Roman" w:hAnsi="Times New Roman"/>
          <w:bCs/>
          <w:sz w:val="24"/>
          <w:lang w:eastAsia="zh-CN"/>
        </w:rPr>
        <w:t>）。为有效控制噪声，首先在平面布置时进行合理布局，控制气流速度，减少站场工艺管线的弯头、三通等管件，降低试采站内噪声；其次，选用高效低噪声的水套加热炉、分离器和调压设备。通过采取这些噪声控制措施后，单井</w:t>
      </w:r>
      <w:r w:rsidRPr="00E67914">
        <w:rPr>
          <w:rFonts w:ascii="Times New Roman" w:hAnsi="Times New Roman"/>
          <w:sz w:val="24"/>
          <w:lang w:eastAsia="zh-CN"/>
        </w:rPr>
        <w:t>噪声源的声级值约</w:t>
      </w:r>
      <w:r w:rsidRPr="00E67914">
        <w:rPr>
          <w:rFonts w:ascii="Times New Roman" w:hAnsi="Times New Roman"/>
          <w:sz w:val="24"/>
          <w:lang w:eastAsia="zh-CN"/>
        </w:rPr>
        <w:t>55dB</w:t>
      </w:r>
      <w:r w:rsidRPr="00E67914">
        <w:rPr>
          <w:rFonts w:ascii="Times New Roman" w:hAnsi="Times New Roman"/>
          <w:sz w:val="24"/>
          <w:lang w:eastAsia="zh-CN"/>
        </w:rPr>
        <w:t>（</w:t>
      </w:r>
      <w:r w:rsidRPr="00E67914">
        <w:rPr>
          <w:rFonts w:ascii="Times New Roman" w:hAnsi="Times New Roman"/>
          <w:sz w:val="24"/>
          <w:lang w:eastAsia="zh-CN"/>
        </w:rPr>
        <w:t>A</w:t>
      </w:r>
      <w:r w:rsidRPr="00E67914">
        <w:rPr>
          <w:rFonts w:ascii="Times New Roman" w:hAnsi="Times New Roman"/>
          <w:sz w:val="24"/>
          <w:lang w:eastAsia="zh-CN"/>
        </w:rPr>
        <w:t>）以下</w:t>
      </w:r>
      <w:r w:rsidR="00EA361A" w:rsidRPr="00E67914">
        <w:rPr>
          <w:rFonts w:ascii="Times New Roman" w:hAnsi="Times New Roman"/>
          <w:sz w:val="24"/>
          <w:lang w:eastAsia="zh-CN"/>
        </w:rPr>
        <w:t>，本项目按配套</w:t>
      </w:r>
      <w:r w:rsidR="00EA361A" w:rsidRPr="00E67914">
        <w:rPr>
          <w:rFonts w:ascii="Times New Roman" w:hAnsi="Times New Roman"/>
          <w:sz w:val="24"/>
          <w:lang w:eastAsia="zh-CN"/>
        </w:rPr>
        <w:t>2</w:t>
      </w:r>
      <w:r w:rsidR="00EA361A" w:rsidRPr="00E67914">
        <w:rPr>
          <w:rFonts w:ascii="Times New Roman" w:hAnsi="Times New Roman"/>
          <w:sz w:val="24"/>
          <w:lang w:eastAsia="zh-CN"/>
        </w:rPr>
        <w:t>套上述设备进行预测，噪声源的声级值按</w:t>
      </w:r>
      <w:r w:rsidR="00EA361A" w:rsidRPr="00E67914">
        <w:rPr>
          <w:rFonts w:ascii="Times New Roman" w:hAnsi="Times New Roman"/>
          <w:sz w:val="24"/>
          <w:lang w:eastAsia="zh-CN"/>
        </w:rPr>
        <w:t>58dB</w:t>
      </w:r>
      <w:r w:rsidR="00EA361A" w:rsidRPr="00E67914">
        <w:rPr>
          <w:rFonts w:ascii="Times New Roman" w:hAnsi="Times New Roman"/>
          <w:sz w:val="24"/>
          <w:lang w:eastAsia="zh-CN"/>
        </w:rPr>
        <w:t>（</w:t>
      </w:r>
      <w:r w:rsidR="00EA361A" w:rsidRPr="00E67914">
        <w:rPr>
          <w:rFonts w:ascii="Times New Roman" w:hAnsi="Times New Roman"/>
          <w:sz w:val="24"/>
          <w:lang w:eastAsia="zh-CN"/>
        </w:rPr>
        <w:t>A</w:t>
      </w:r>
      <w:r w:rsidR="00EA361A" w:rsidRPr="00E67914">
        <w:rPr>
          <w:rFonts w:ascii="Times New Roman" w:hAnsi="Times New Roman"/>
          <w:sz w:val="24"/>
          <w:lang w:eastAsia="zh-CN"/>
        </w:rPr>
        <w:t>）计</w:t>
      </w:r>
      <w:r w:rsidRPr="00E67914">
        <w:rPr>
          <w:rFonts w:ascii="Times New Roman" w:hAnsi="Times New Roman"/>
          <w:sz w:val="24"/>
          <w:lang w:eastAsia="zh-CN"/>
        </w:rPr>
        <w:t>。</w:t>
      </w:r>
      <w:bookmarkEnd w:id="143"/>
    </w:p>
    <w:p w14:paraId="64847C24" w14:textId="29A71F34" w:rsidR="005A37BD" w:rsidRPr="00E67914" w:rsidRDefault="00000000" w:rsidP="008752B7">
      <w:pPr>
        <w:adjustRightInd w:val="0"/>
        <w:snapToGrid w:val="0"/>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工艺流程区位于井场中后部偏后场靠近井口布置。</w:t>
      </w:r>
      <w:r w:rsidR="005A37BD" w:rsidRPr="00E67914">
        <w:rPr>
          <w:rFonts w:ascii="Times New Roman" w:hAnsi="Times New Roman"/>
          <w:bCs/>
          <w:sz w:val="24"/>
          <w:lang w:eastAsia="zh-CN"/>
        </w:rPr>
        <w:t>试采期主要噪声源源强调查清单见下表：</w:t>
      </w:r>
    </w:p>
    <w:p w14:paraId="499B6298" w14:textId="29A46CFA" w:rsidR="005A37BD" w:rsidRPr="00E67914" w:rsidRDefault="005A37BD" w:rsidP="008752B7">
      <w:pPr>
        <w:pStyle w:val="afffff0"/>
        <w:spacing w:line="240" w:lineRule="auto"/>
        <w:rPr>
          <w:rFonts w:ascii="Times New Roman"/>
        </w:rPr>
      </w:pPr>
      <w:r w:rsidRPr="00E67914">
        <w:rPr>
          <w:rFonts w:ascii="Times New Roman"/>
        </w:rPr>
        <w:t>表</w:t>
      </w:r>
      <w:r w:rsidR="008752B7" w:rsidRPr="00E67914">
        <w:rPr>
          <w:rFonts w:ascii="Times New Roman"/>
        </w:rPr>
        <w:t>5.2-</w:t>
      </w:r>
      <w:r w:rsidR="00CB4B0C" w:rsidRPr="00E67914">
        <w:rPr>
          <w:rFonts w:ascii="Times New Roman"/>
        </w:rPr>
        <w:t>5</w:t>
      </w:r>
      <w:r w:rsidRPr="00E67914">
        <w:rPr>
          <w:rFonts w:ascii="Times New Roman"/>
        </w:rPr>
        <w:t xml:space="preserve">  </w:t>
      </w:r>
      <w:bookmarkStart w:id="144" w:name="_Hlk127351199"/>
      <w:r w:rsidR="001206D4" w:rsidRPr="00E67914">
        <w:rPr>
          <w:rFonts w:ascii="Times New Roman"/>
        </w:rPr>
        <w:t>试采</w:t>
      </w:r>
      <w:r w:rsidRPr="00E67914">
        <w:rPr>
          <w:rFonts w:ascii="Times New Roman"/>
        </w:rPr>
        <w:t>期主要噪声源源强调查清单</w:t>
      </w:r>
      <w:bookmarkEnd w:id="1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53"/>
        <w:gridCol w:w="1007"/>
        <w:gridCol w:w="1463"/>
        <w:gridCol w:w="615"/>
        <w:gridCol w:w="612"/>
        <w:gridCol w:w="616"/>
        <w:gridCol w:w="1041"/>
        <w:gridCol w:w="1735"/>
        <w:gridCol w:w="858"/>
      </w:tblGrid>
      <w:tr w:rsidR="00E67914" w:rsidRPr="00E67914" w14:paraId="56963989" w14:textId="77777777" w:rsidTr="00D52BC2">
        <w:trPr>
          <w:trHeight w:val="454"/>
        </w:trPr>
        <w:tc>
          <w:tcPr>
            <w:tcW w:w="222" w:type="pct"/>
            <w:vMerge w:val="restart"/>
            <w:vAlign w:val="center"/>
          </w:tcPr>
          <w:p w14:paraId="6922422C"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序号</w:t>
            </w:r>
          </w:p>
        </w:tc>
        <w:tc>
          <w:tcPr>
            <w:tcW w:w="616" w:type="pct"/>
            <w:vMerge w:val="restart"/>
            <w:vAlign w:val="center"/>
          </w:tcPr>
          <w:p w14:paraId="625193D5"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声源名称</w:t>
            </w:r>
          </w:p>
        </w:tc>
        <w:tc>
          <w:tcPr>
            <w:tcW w:w="808" w:type="pct"/>
            <w:vMerge w:val="restart"/>
            <w:vAlign w:val="center"/>
          </w:tcPr>
          <w:p w14:paraId="6EA14A43"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型号</w:t>
            </w:r>
          </w:p>
        </w:tc>
        <w:tc>
          <w:tcPr>
            <w:tcW w:w="1138" w:type="pct"/>
            <w:gridSpan w:val="3"/>
            <w:vAlign w:val="center"/>
          </w:tcPr>
          <w:p w14:paraId="3CAADE28"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空间相对位置</w:t>
            </w:r>
            <w:r w:rsidRPr="00E67914">
              <w:rPr>
                <w:rFonts w:ascii="Times New Roman" w:eastAsia="黑体" w:hAnsi="Times New Roman"/>
                <w:b/>
                <w:bCs/>
                <w:sz w:val="21"/>
              </w:rPr>
              <w:t>/m</w:t>
            </w:r>
          </w:p>
        </w:tc>
        <w:tc>
          <w:tcPr>
            <w:tcW w:w="636" w:type="pct"/>
            <w:vMerge w:val="restart"/>
            <w:vAlign w:val="center"/>
          </w:tcPr>
          <w:p w14:paraId="02197B14" w14:textId="77777777" w:rsidR="005A37BD" w:rsidRPr="00E67914" w:rsidRDefault="005A37BD" w:rsidP="005B7AE3">
            <w:pPr>
              <w:adjustRightInd w:val="0"/>
              <w:snapToGrid w:val="0"/>
              <w:jc w:val="center"/>
              <w:rPr>
                <w:rFonts w:ascii="Times New Roman" w:eastAsia="黑体" w:hAnsi="Times New Roman"/>
                <w:b/>
                <w:bCs/>
                <w:sz w:val="21"/>
                <w:lang w:eastAsia="zh-CN"/>
              </w:rPr>
            </w:pPr>
            <w:r w:rsidRPr="00E67914">
              <w:rPr>
                <w:rFonts w:ascii="Times New Roman" w:eastAsia="黑体" w:hAnsi="Times New Roman"/>
                <w:b/>
                <w:bCs/>
                <w:sz w:val="21"/>
                <w:lang w:eastAsia="zh-CN"/>
              </w:rPr>
              <w:t>声源源强（</w:t>
            </w:r>
            <w:r w:rsidRPr="00E67914">
              <w:rPr>
                <w:rFonts w:ascii="Times New Roman" w:eastAsia="黑体" w:hAnsi="Times New Roman"/>
                <w:b/>
                <w:bCs/>
                <w:sz w:val="21"/>
                <w:lang w:eastAsia="zh-CN"/>
              </w:rPr>
              <w:t>dB</w:t>
            </w:r>
            <w:r w:rsidRPr="00E67914">
              <w:rPr>
                <w:rFonts w:ascii="Times New Roman" w:eastAsia="黑体" w:hAnsi="Times New Roman"/>
                <w:b/>
                <w:bCs/>
                <w:sz w:val="21"/>
                <w:lang w:eastAsia="zh-CN"/>
              </w:rPr>
              <w:t>（</w:t>
            </w:r>
            <w:r w:rsidRPr="00E67914">
              <w:rPr>
                <w:rFonts w:ascii="Times New Roman" w:eastAsia="黑体" w:hAnsi="Times New Roman"/>
                <w:b/>
                <w:bCs/>
                <w:sz w:val="21"/>
                <w:lang w:eastAsia="zh-CN"/>
              </w:rPr>
              <w:t>A</w:t>
            </w:r>
            <w:r w:rsidRPr="00E67914">
              <w:rPr>
                <w:rFonts w:ascii="Times New Roman" w:eastAsia="黑体" w:hAnsi="Times New Roman"/>
                <w:b/>
                <w:bCs/>
                <w:sz w:val="21"/>
                <w:lang w:eastAsia="zh-CN"/>
              </w:rPr>
              <w:t>）</w:t>
            </w:r>
            <w:r w:rsidRPr="00E67914">
              <w:rPr>
                <w:rFonts w:ascii="Times New Roman" w:eastAsia="黑体" w:hAnsi="Times New Roman"/>
                <w:b/>
                <w:bCs/>
                <w:sz w:val="21"/>
                <w:lang w:eastAsia="zh-CN"/>
              </w:rPr>
              <w:t>/1m</w:t>
            </w:r>
            <w:r w:rsidRPr="00E67914">
              <w:rPr>
                <w:rFonts w:ascii="Times New Roman" w:eastAsia="黑体" w:hAnsi="Times New Roman"/>
                <w:b/>
                <w:bCs/>
                <w:sz w:val="21"/>
                <w:lang w:eastAsia="zh-CN"/>
              </w:rPr>
              <w:t>）</w:t>
            </w:r>
          </w:p>
        </w:tc>
        <w:tc>
          <w:tcPr>
            <w:tcW w:w="1054" w:type="pct"/>
            <w:vMerge w:val="restart"/>
            <w:vAlign w:val="center"/>
          </w:tcPr>
          <w:p w14:paraId="269359E0"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声源控制措施</w:t>
            </w:r>
          </w:p>
        </w:tc>
        <w:tc>
          <w:tcPr>
            <w:tcW w:w="526" w:type="pct"/>
            <w:vMerge w:val="restart"/>
            <w:vAlign w:val="center"/>
          </w:tcPr>
          <w:p w14:paraId="7DEBB546"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运行时段</w:t>
            </w:r>
          </w:p>
        </w:tc>
      </w:tr>
      <w:tr w:rsidR="00E67914" w:rsidRPr="00E67914" w14:paraId="2465533B" w14:textId="77777777" w:rsidTr="00D52BC2">
        <w:trPr>
          <w:trHeight w:val="454"/>
        </w:trPr>
        <w:tc>
          <w:tcPr>
            <w:tcW w:w="222" w:type="pct"/>
            <w:vMerge/>
            <w:vAlign w:val="center"/>
          </w:tcPr>
          <w:p w14:paraId="5C2A2764" w14:textId="77777777" w:rsidR="005A37BD" w:rsidRPr="00E67914" w:rsidRDefault="005A37BD" w:rsidP="005B7AE3">
            <w:pPr>
              <w:adjustRightInd w:val="0"/>
              <w:snapToGrid w:val="0"/>
              <w:jc w:val="center"/>
              <w:rPr>
                <w:rFonts w:ascii="Times New Roman" w:hAnsi="Times New Roman"/>
                <w:sz w:val="21"/>
              </w:rPr>
            </w:pPr>
          </w:p>
        </w:tc>
        <w:tc>
          <w:tcPr>
            <w:tcW w:w="616" w:type="pct"/>
            <w:vMerge/>
            <w:vAlign w:val="center"/>
          </w:tcPr>
          <w:p w14:paraId="58361360" w14:textId="77777777" w:rsidR="005A37BD" w:rsidRPr="00E67914" w:rsidRDefault="005A37BD" w:rsidP="005B7AE3">
            <w:pPr>
              <w:adjustRightInd w:val="0"/>
              <w:snapToGrid w:val="0"/>
              <w:jc w:val="center"/>
              <w:rPr>
                <w:rFonts w:ascii="Times New Roman" w:hAnsi="Times New Roman"/>
                <w:sz w:val="21"/>
              </w:rPr>
            </w:pPr>
          </w:p>
        </w:tc>
        <w:tc>
          <w:tcPr>
            <w:tcW w:w="808" w:type="pct"/>
            <w:vMerge/>
            <w:vAlign w:val="center"/>
          </w:tcPr>
          <w:p w14:paraId="2D9220DE" w14:textId="77777777" w:rsidR="005A37BD" w:rsidRPr="00E67914" w:rsidRDefault="005A37BD" w:rsidP="005B7AE3">
            <w:pPr>
              <w:adjustRightInd w:val="0"/>
              <w:snapToGrid w:val="0"/>
              <w:jc w:val="center"/>
              <w:rPr>
                <w:rFonts w:ascii="Times New Roman" w:hAnsi="Times New Roman"/>
                <w:sz w:val="21"/>
              </w:rPr>
            </w:pPr>
          </w:p>
        </w:tc>
        <w:tc>
          <w:tcPr>
            <w:tcW w:w="380" w:type="pct"/>
            <w:vAlign w:val="center"/>
          </w:tcPr>
          <w:p w14:paraId="5A03BA11"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X</w:t>
            </w:r>
          </w:p>
        </w:tc>
        <w:tc>
          <w:tcPr>
            <w:tcW w:w="378" w:type="pct"/>
            <w:vAlign w:val="center"/>
          </w:tcPr>
          <w:p w14:paraId="5C05FAB6"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Y</w:t>
            </w:r>
          </w:p>
        </w:tc>
        <w:tc>
          <w:tcPr>
            <w:tcW w:w="380" w:type="pct"/>
            <w:vAlign w:val="center"/>
          </w:tcPr>
          <w:p w14:paraId="6C6FFE78" w14:textId="77777777" w:rsidR="005A37BD" w:rsidRPr="00E67914" w:rsidRDefault="005A37BD" w:rsidP="005B7AE3">
            <w:pPr>
              <w:adjustRightInd w:val="0"/>
              <w:snapToGrid w:val="0"/>
              <w:jc w:val="center"/>
              <w:rPr>
                <w:rFonts w:ascii="Times New Roman" w:eastAsia="黑体" w:hAnsi="Times New Roman"/>
                <w:b/>
                <w:bCs/>
                <w:sz w:val="21"/>
              </w:rPr>
            </w:pPr>
            <w:r w:rsidRPr="00E67914">
              <w:rPr>
                <w:rFonts w:ascii="Times New Roman" w:eastAsia="黑体" w:hAnsi="Times New Roman"/>
                <w:b/>
                <w:bCs/>
                <w:sz w:val="21"/>
              </w:rPr>
              <w:t>Z</w:t>
            </w:r>
          </w:p>
        </w:tc>
        <w:tc>
          <w:tcPr>
            <w:tcW w:w="636" w:type="pct"/>
            <w:vMerge/>
            <w:vAlign w:val="center"/>
          </w:tcPr>
          <w:p w14:paraId="1F822015" w14:textId="77777777" w:rsidR="005A37BD" w:rsidRPr="00E67914" w:rsidRDefault="005A37BD" w:rsidP="005B7AE3">
            <w:pPr>
              <w:adjustRightInd w:val="0"/>
              <w:snapToGrid w:val="0"/>
              <w:jc w:val="center"/>
              <w:rPr>
                <w:rFonts w:ascii="Times New Roman" w:hAnsi="Times New Roman"/>
                <w:sz w:val="21"/>
              </w:rPr>
            </w:pPr>
          </w:p>
        </w:tc>
        <w:tc>
          <w:tcPr>
            <w:tcW w:w="1054" w:type="pct"/>
            <w:vMerge/>
            <w:vAlign w:val="center"/>
          </w:tcPr>
          <w:p w14:paraId="5E157B0D" w14:textId="77777777" w:rsidR="005A37BD" w:rsidRPr="00E67914" w:rsidRDefault="005A37BD" w:rsidP="005B7AE3">
            <w:pPr>
              <w:adjustRightInd w:val="0"/>
              <w:snapToGrid w:val="0"/>
              <w:jc w:val="center"/>
              <w:rPr>
                <w:rFonts w:ascii="Times New Roman" w:hAnsi="Times New Roman"/>
                <w:sz w:val="21"/>
              </w:rPr>
            </w:pPr>
          </w:p>
        </w:tc>
        <w:tc>
          <w:tcPr>
            <w:tcW w:w="526" w:type="pct"/>
            <w:vMerge/>
            <w:vAlign w:val="center"/>
          </w:tcPr>
          <w:p w14:paraId="791E8F1D" w14:textId="77777777" w:rsidR="005A37BD" w:rsidRPr="00E67914" w:rsidRDefault="005A37BD" w:rsidP="005B7AE3">
            <w:pPr>
              <w:adjustRightInd w:val="0"/>
              <w:snapToGrid w:val="0"/>
              <w:jc w:val="center"/>
              <w:rPr>
                <w:rFonts w:ascii="Times New Roman" w:hAnsi="Times New Roman"/>
                <w:sz w:val="21"/>
              </w:rPr>
            </w:pPr>
          </w:p>
        </w:tc>
      </w:tr>
      <w:tr w:rsidR="00E67914" w:rsidRPr="00E67914" w14:paraId="734B1399" w14:textId="77777777" w:rsidTr="00D52BC2">
        <w:trPr>
          <w:trHeight w:val="454"/>
        </w:trPr>
        <w:tc>
          <w:tcPr>
            <w:tcW w:w="222" w:type="pct"/>
            <w:vAlign w:val="center"/>
          </w:tcPr>
          <w:p w14:paraId="5E36D679" w14:textId="77777777"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1</w:t>
            </w:r>
          </w:p>
        </w:tc>
        <w:tc>
          <w:tcPr>
            <w:tcW w:w="616" w:type="pct"/>
            <w:vAlign w:val="center"/>
          </w:tcPr>
          <w:p w14:paraId="78CECA34" w14:textId="22847FF1"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水套加热炉</w:t>
            </w:r>
            <w:r w:rsidR="00D52BC2" w:rsidRPr="00E67914">
              <w:rPr>
                <w:rFonts w:ascii="Times New Roman" w:hAnsi="Times New Roman"/>
                <w:sz w:val="21"/>
              </w:rPr>
              <w:t>1</w:t>
            </w:r>
          </w:p>
        </w:tc>
        <w:tc>
          <w:tcPr>
            <w:tcW w:w="808" w:type="pct"/>
            <w:vAlign w:val="center"/>
          </w:tcPr>
          <w:p w14:paraId="30301C76" w14:textId="77777777"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400kW</w:t>
            </w:r>
          </w:p>
        </w:tc>
        <w:tc>
          <w:tcPr>
            <w:tcW w:w="380" w:type="pct"/>
            <w:vAlign w:val="center"/>
          </w:tcPr>
          <w:p w14:paraId="40C0A02D" w14:textId="47460CCA" w:rsidR="00EA361A" w:rsidRPr="00E67914" w:rsidRDefault="00D52BC2" w:rsidP="005B7AE3">
            <w:pPr>
              <w:adjustRightInd w:val="0"/>
              <w:snapToGrid w:val="0"/>
              <w:jc w:val="center"/>
              <w:rPr>
                <w:rFonts w:ascii="Times New Roman" w:hAnsi="Times New Roman"/>
                <w:sz w:val="21"/>
                <w:lang w:eastAsia="zh-CN"/>
              </w:rPr>
            </w:pPr>
            <w:r w:rsidRPr="00E67914">
              <w:rPr>
                <w:rFonts w:ascii="Times New Roman" w:hAnsi="Times New Roman"/>
                <w:sz w:val="21"/>
                <w:lang w:eastAsia="zh-CN"/>
              </w:rPr>
              <w:t>17.29</w:t>
            </w:r>
          </w:p>
        </w:tc>
        <w:tc>
          <w:tcPr>
            <w:tcW w:w="378" w:type="pct"/>
            <w:vAlign w:val="center"/>
          </w:tcPr>
          <w:p w14:paraId="38CDB8DD" w14:textId="3FB6238B" w:rsidR="00EA361A" w:rsidRPr="00E67914" w:rsidRDefault="00D52BC2" w:rsidP="005B7AE3">
            <w:pPr>
              <w:adjustRightInd w:val="0"/>
              <w:snapToGrid w:val="0"/>
              <w:jc w:val="center"/>
              <w:rPr>
                <w:rFonts w:ascii="Times New Roman" w:hAnsi="Times New Roman"/>
                <w:sz w:val="21"/>
                <w:lang w:eastAsia="zh-CN"/>
              </w:rPr>
            </w:pPr>
            <w:r w:rsidRPr="00E67914">
              <w:rPr>
                <w:rFonts w:ascii="Times New Roman" w:hAnsi="Times New Roman"/>
                <w:sz w:val="21"/>
                <w:lang w:eastAsia="zh-CN"/>
              </w:rPr>
              <w:t>18.62</w:t>
            </w:r>
          </w:p>
        </w:tc>
        <w:tc>
          <w:tcPr>
            <w:tcW w:w="380" w:type="pct"/>
            <w:vAlign w:val="center"/>
          </w:tcPr>
          <w:p w14:paraId="4739B9F2" w14:textId="66101928" w:rsidR="00EA361A" w:rsidRPr="00E67914" w:rsidRDefault="00D52BC2" w:rsidP="005B7AE3">
            <w:pPr>
              <w:adjustRightInd w:val="0"/>
              <w:snapToGrid w:val="0"/>
              <w:jc w:val="center"/>
              <w:rPr>
                <w:rFonts w:ascii="Times New Roman" w:hAnsi="Times New Roman"/>
                <w:sz w:val="21"/>
              </w:rPr>
            </w:pPr>
            <w:r w:rsidRPr="00E67914">
              <w:rPr>
                <w:rFonts w:ascii="Times New Roman" w:hAnsi="Times New Roman"/>
                <w:sz w:val="21"/>
              </w:rPr>
              <w:t>1.0</w:t>
            </w:r>
          </w:p>
        </w:tc>
        <w:tc>
          <w:tcPr>
            <w:tcW w:w="636" w:type="pct"/>
            <w:vMerge w:val="restart"/>
            <w:vAlign w:val="center"/>
          </w:tcPr>
          <w:p w14:paraId="0C9F5395" w14:textId="775C182F"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58</w:t>
            </w:r>
          </w:p>
        </w:tc>
        <w:tc>
          <w:tcPr>
            <w:tcW w:w="1054" w:type="pct"/>
            <w:vMerge w:val="restart"/>
            <w:vAlign w:val="center"/>
          </w:tcPr>
          <w:p w14:paraId="5756265D" w14:textId="77777777" w:rsidR="00EA361A" w:rsidRPr="00E67914" w:rsidRDefault="00EA361A" w:rsidP="005B7AE3">
            <w:pPr>
              <w:adjustRightInd w:val="0"/>
              <w:snapToGrid w:val="0"/>
              <w:jc w:val="center"/>
              <w:rPr>
                <w:rFonts w:ascii="Times New Roman" w:hAnsi="Times New Roman"/>
                <w:sz w:val="21"/>
                <w:lang w:eastAsia="zh-CN"/>
              </w:rPr>
            </w:pPr>
            <w:r w:rsidRPr="00E67914">
              <w:rPr>
                <w:rFonts w:ascii="Times New Roman" w:hAnsi="Times New Roman"/>
                <w:sz w:val="21"/>
                <w:lang w:eastAsia="zh-CN"/>
              </w:rPr>
              <w:t>控制气流速度，减少站场工艺管线的弯头、三通等管件，降低集气站内噪声，选用高效低噪声的水套炉、分离器和调压设备</w:t>
            </w:r>
          </w:p>
        </w:tc>
        <w:tc>
          <w:tcPr>
            <w:tcW w:w="526" w:type="pct"/>
            <w:vAlign w:val="center"/>
          </w:tcPr>
          <w:p w14:paraId="1F0A9035" w14:textId="77777777"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昼夜连续</w:t>
            </w:r>
          </w:p>
        </w:tc>
      </w:tr>
      <w:tr w:rsidR="00E67914" w:rsidRPr="00E67914" w14:paraId="1C145A8A" w14:textId="77777777" w:rsidTr="00D52BC2">
        <w:trPr>
          <w:trHeight w:val="454"/>
        </w:trPr>
        <w:tc>
          <w:tcPr>
            <w:tcW w:w="222" w:type="pct"/>
            <w:vAlign w:val="center"/>
          </w:tcPr>
          <w:p w14:paraId="55B33188" w14:textId="77777777" w:rsidR="00D52BC2" w:rsidRPr="00E67914" w:rsidRDefault="00D52BC2" w:rsidP="005B7AE3">
            <w:pPr>
              <w:adjustRightInd w:val="0"/>
              <w:snapToGrid w:val="0"/>
              <w:jc w:val="center"/>
              <w:rPr>
                <w:rFonts w:ascii="Times New Roman" w:hAnsi="Times New Roman"/>
                <w:sz w:val="21"/>
              </w:rPr>
            </w:pPr>
          </w:p>
        </w:tc>
        <w:tc>
          <w:tcPr>
            <w:tcW w:w="616" w:type="pct"/>
            <w:vAlign w:val="center"/>
          </w:tcPr>
          <w:p w14:paraId="56801714" w14:textId="07BF6A9B" w:rsidR="00D52BC2" w:rsidRPr="00E67914" w:rsidRDefault="00D52BC2" w:rsidP="005B7AE3">
            <w:pPr>
              <w:adjustRightInd w:val="0"/>
              <w:snapToGrid w:val="0"/>
              <w:jc w:val="center"/>
              <w:rPr>
                <w:rFonts w:ascii="Times New Roman" w:hAnsi="Times New Roman"/>
                <w:sz w:val="21"/>
              </w:rPr>
            </w:pPr>
            <w:r w:rsidRPr="00E67914">
              <w:rPr>
                <w:rFonts w:ascii="Times New Roman" w:hAnsi="Times New Roman"/>
                <w:sz w:val="21"/>
              </w:rPr>
              <w:t>水套加热炉</w:t>
            </w:r>
            <w:r w:rsidRPr="00E67914">
              <w:rPr>
                <w:rFonts w:ascii="Times New Roman" w:hAnsi="Times New Roman"/>
                <w:sz w:val="21"/>
              </w:rPr>
              <w:t>2</w:t>
            </w:r>
          </w:p>
        </w:tc>
        <w:tc>
          <w:tcPr>
            <w:tcW w:w="808" w:type="pct"/>
            <w:vAlign w:val="center"/>
          </w:tcPr>
          <w:p w14:paraId="0B0250F5" w14:textId="44888892" w:rsidR="00D52BC2" w:rsidRPr="00E67914" w:rsidRDefault="00D52BC2" w:rsidP="005B7AE3">
            <w:pPr>
              <w:adjustRightInd w:val="0"/>
              <w:snapToGrid w:val="0"/>
              <w:jc w:val="center"/>
              <w:rPr>
                <w:rFonts w:ascii="Times New Roman" w:hAnsi="Times New Roman"/>
                <w:sz w:val="21"/>
              </w:rPr>
            </w:pPr>
            <w:r w:rsidRPr="00E67914">
              <w:rPr>
                <w:rFonts w:ascii="Times New Roman" w:hAnsi="Times New Roman"/>
                <w:sz w:val="21"/>
              </w:rPr>
              <w:t>400kW</w:t>
            </w:r>
          </w:p>
        </w:tc>
        <w:tc>
          <w:tcPr>
            <w:tcW w:w="380" w:type="pct"/>
            <w:vAlign w:val="center"/>
          </w:tcPr>
          <w:p w14:paraId="72E86FB0" w14:textId="52493842" w:rsidR="00D52BC2" w:rsidRPr="00E67914" w:rsidRDefault="00D52BC2" w:rsidP="005B7AE3">
            <w:pPr>
              <w:adjustRightInd w:val="0"/>
              <w:snapToGrid w:val="0"/>
              <w:jc w:val="center"/>
              <w:rPr>
                <w:rFonts w:ascii="Times New Roman" w:hAnsi="Times New Roman"/>
                <w:sz w:val="21"/>
                <w:lang w:eastAsia="zh-CN"/>
              </w:rPr>
            </w:pPr>
            <w:r w:rsidRPr="00E67914">
              <w:rPr>
                <w:rFonts w:ascii="Times New Roman" w:hAnsi="Times New Roman"/>
                <w:sz w:val="21"/>
                <w:lang w:eastAsia="zh-CN"/>
              </w:rPr>
              <w:t>15.85</w:t>
            </w:r>
          </w:p>
        </w:tc>
        <w:tc>
          <w:tcPr>
            <w:tcW w:w="378" w:type="pct"/>
            <w:vAlign w:val="center"/>
          </w:tcPr>
          <w:p w14:paraId="5A11A4FA" w14:textId="0819A2F1" w:rsidR="00D52BC2" w:rsidRPr="00E67914" w:rsidRDefault="00D52BC2" w:rsidP="005B7AE3">
            <w:pPr>
              <w:adjustRightInd w:val="0"/>
              <w:snapToGrid w:val="0"/>
              <w:jc w:val="center"/>
              <w:rPr>
                <w:rFonts w:ascii="Times New Roman" w:hAnsi="Times New Roman"/>
                <w:sz w:val="21"/>
                <w:lang w:eastAsia="zh-CN"/>
              </w:rPr>
            </w:pPr>
            <w:r w:rsidRPr="00E67914">
              <w:rPr>
                <w:rFonts w:ascii="Times New Roman" w:hAnsi="Times New Roman"/>
                <w:sz w:val="21"/>
                <w:lang w:eastAsia="zh-CN"/>
              </w:rPr>
              <w:t>16.35</w:t>
            </w:r>
          </w:p>
        </w:tc>
        <w:tc>
          <w:tcPr>
            <w:tcW w:w="380" w:type="pct"/>
            <w:vAlign w:val="center"/>
          </w:tcPr>
          <w:p w14:paraId="71F2F657" w14:textId="27D30914" w:rsidR="00D52BC2" w:rsidRPr="00E67914" w:rsidRDefault="00D52BC2" w:rsidP="005B7AE3">
            <w:pPr>
              <w:adjustRightInd w:val="0"/>
              <w:snapToGrid w:val="0"/>
              <w:jc w:val="center"/>
              <w:rPr>
                <w:rFonts w:ascii="Times New Roman" w:hAnsi="Times New Roman"/>
                <w:sz w:val="21"/>
              </w:rPr>
            </w:pPr>
            <w:r w:rsidRPr="00E67914">
              <w:rPr>
                <w:rFonts w:ascii="Times New Roman" w:hAnsi="Times New Roman"/>
                <w:sz w:val="21"/>
              </w:rPr>
              <w:t>1.0</w:t>
            </w:r>
          </w:p>
        </w:tc>
        <w:tc>
          <w:tcPr>
            <w:tcW w:w="636" w:type="pct"/>
            <w:vMerge/>
            <w:vAlign w:val="center"/>
          </w:tcPr>
          <w:p w14:paraId="10E15A8C" w14:textId="77777777" w:rsidR="00D52BC2" w:rsidRPr="00E67914" w:rsidRDefault="00D52BC2" w:rsidP="005B7AE3">
            <w:pPr>
              <w:adjustRightInd w:val="0"/>
              <w:snapToGrid w:val="0"/>
              <w:jc w:val="center"/>
              <w:rPr>
                <w:rFonts w:ascii="Times New Roman" w:hAnsi="Times New Roman"/>
                <w:sz w:val="21"/>
              </w:rPr>
            </w:pPr>
          </w:p>
        </w:tc>
        <w:tc>
          <w:tcPr>
            <w:tcW w:w="1054" w:type="pct"/>
            <w:vMerge/>
            <w:vAlign w:val="center"/>
          </w:tcPr>
          <w:p w14:paraId="305B78EA" w14:textId="77777777" w:rsidR="00D52BC2" w:rsidRPr="00E67914" w:rsidRDefault="00D52BC2" w:rsidP="005B7AE3">
            <w:pPr>
              <w:adjustRightInd w:val="0"/>
              <w:snapToGrid w:val="0"/>
              <w:jc w:val="center"/>
              <w:rPr>
                <w:rFonts w:ascii="Times New Roman" w:hAnsi="Times New Roman"/>
                <w:sz w:val="21"/>
                <w:lang w:eastAsia="zh-CN"/>
              </w:rPr>
            </w:pPr>
          </w:p>
        </w:tc>
        <w:tc>
          <w:tcPr>
            <w:tcW w:w="526" w:type="pct"/>
            <w:vAlign w:val="center"/>
          </w:tcPr>
          <w:p w14:paraId="403A6A7F" w14:textId="3945EB7D" w:rsidR="00D52BC2" w:rsidRPr="00E67914" w:rsidRDefault="00D52BC2" w:rsidP="005B7AE3">
            <w:pPr>
              <w:adjustRightInd w:val="0"/>
              <w:snapToGrid w:val="0"/>
              <w:jc w:val="center"/>
              <w:rPr>
                <w:rFonts w:ascii="Times New Roman" w:hAnsi="Times New Roman"/>
                <w:sz w:val="21"/>
              </w:rPr>
            </w:pPr>
            <w:r w:rsidRPr="00E67914">
              <w:rPr>
                <w:rFonts w:ascii="Times New Roman" w:hAnsi="Times New Roman"/>
                <w:sz w:val="21"/>
              </w:rPr>
              <w:t>昼夜连续</w:t>
            </w:r>
          </w:p>
        </w:tc>
      </w:tr>
      <w:tr w:rsidR="00E67914" w:rsidRPr="00E67914" w14:paraId="1A8CBA7F" w14:textId="77777777" w:rsidTr="00D52BC2">
        <w:trPr>
          <w:trHeight w:val="454"/>
        </w:trPr>
        <w:tc>
          <w:tcPr>
            <w:tcW w:w="222" w:type="pct"/>
            <w:vAlign w:val="center"/>
          </w:tcPr>
          <w:p w14:paraId="2A810C5B" w14:textId="64004831"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2</w:t>
            </w:r>
          </w:p>
        </w:tc>
        <w:tc>
          <w:tcPr>
            <w:tcW w:w="616" w:type="pct"/>
            <w:vAlign w:val="center"/>
          </w:tcPr>
          <w:p w14:paraId="33C3C68B" w14:textId="3204FD3E"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气液两相分离器</w:t>
            </w:r>
            <w:r w:rsidRPr="00E67914">
              <w:rPr>
                <w:rFonts w:ascii="Times New Roman" w:hAnsi="Times New Roman"/>
                <w:sz w:val="21"/>
              </w:rPr>
              <w:t>1</w:t>
            </w:r>
            <w:r w:rsidRPr="00E67914">
              <w:rPr>
                <w:rFonts w:ascii="Times New Roman" w:hAnsi="Times New Roman"/>
                <w:sz w:val="21"/>
              </w:rPr>
              <w:t>具</w:t>
            </w:r>
          </w:p>
        </w:tc>
        <w:tc>
          <w:tcPr>
            <w:tcW w:w="808" w:type="pct"/>
            <w:vAlign w:val="center"/>
          </w:tcPr>
          <w:p w14:paraId="78A480E9" w14:textId="45FD44AA"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φ1200×6000mm</w:t>
            </w:r>
          </w:p>
        </w:tc>
        <w:tc>
          <w:tcPr>
            <w:tcW w:w="380" w:type="pct"/>
            <w:vAlign w:val="center"/>
          </w:tcPr>
          <w:p w14:paraId="59F2503F" w14:textId="5A4811D0" w:rsidR="00EA361A" w:rsidRPr="00E67914" w:rsidRDefault="00D52BC2" w:rsidP="005B7AE3">
            <w:pPr>
              <w:adjustRightInd w:val="0"/>
              <w:snapToGrid w:val="0"/>
              <w:jc w:val="center"/>
              <w:rPr>
                <w:rFonts w:ascii="Times New Roman" w:hAnsi="Times New Roman"/>
                <w:sz w:val="21"/>
                <w:lang w:eastAsia="zh-CN"/>
              </w:rPr>
            </w:pPr>
            <w:r w:rsidRPr="00E67914">
              <w:rPr>
                <w:rFonts w:ascii="Times New Roman" w:hAnsi="Times New Roman"/>
                <w:sz w:val="21"/>
                <w:lang w:eastAsia="zh-CN"/>
              </w:rPr>
              <w:t>18.48</w:t>
            </w:r>
          </w:p>
        </w:tc>
        <w:tc>
          <w:tcPr>
            <w:tcW w:w="378" w:type="pct"/>
            <w:vAlign w:val="center"/>
          </w:tcPr>
          <w:p w14:paraId="3FFD666A" w14:textId="40CDDF0B" w:rsidR="00EA361A" w:rsidRPr="00E67914" w:rsidRDefault="00D52BC2" w:rsidP="005B7AE3">
            <w:pPr>
              <w:adjustRightInd w:val="0"/>
              <w:snapToGrid w:val="0"/>
              <w:jc w:val="center"/>
              <w:rPr>
                <w:rFonts w:ascii="Times New Roman" w:hAnsi="Times New Roman"/>
                <w:sz w:val="21"/>
                <w:lang w:eastAsia="zh-CN"/>
              </w:rPr>
            </w:pPr>
            <w:r w:rsidRPr="00E67914">
              <w:rPr>
                <w:rFonts w:ascii="Times New Roman" w:hAnsi="Times New Roman"/>
                <w:sz w:val="21"/>
                <w:lang w:eastAsia="zh-CN"/>
              </w:rPr>
              <w:t>21.74</w:t>
            </w:r>
          </w:p>
        </w:tc>
        <w:tc>
          <w:tcPr>
            <w:tcW w:w="380" w:type="pct"/>
            <w:vAlign w:val="center"/>
          </w:tcPr>
          <w:p w14:paraId="774ECF10" w14:textId="041B5686" w:rsidR="00EA361A" w:rsidRPr="00E67914" w:rsidRDefault="00D52BC2" w:rsidP="005B7AE3">
            <w:pPr>
              <w:adjustRightInd w:val="0"/>
              <w:snapToGrid w:val="0"/>
              <w:jc w:val="center"/>
              <w:rPr>
                <w:rFonts w:ascii="Times New Roman" w:hAnsi="Times New Roman"/>
                <w:sz w:val="21"/>
              </w:rPr>
            </w:pPr>
            <w:r w:rsidRPr="00E67914">
              <w:rPr>
                <w:rFonts w:ascii="Times New Roman" w:hAnsi="Times New Roman"/>
                <w:sz w:val="21"/>
              </w:rPr>
              <w:t>1.0</w:t>
            </w:r>
          </w:p>
        </w:tc>
        <w:tc>
          <w:tcPr>
            <w:tcW w:w="636" w:type="pct"/>
            <w:vMerge/>
            <w:vAlign w:val="center"/>
          </w:tcPr>
          <w:p w14:paraId="256AA1DC" w14:textId="77777777" w:rsidR="00EA361A" w:rsidRPr="00E67914" w:rsidRDefault="00EA361A" w:rsidP="005B7AE3">
            <w:pPr>
              <w:adjustRightInd w:val="0"/>
              <w:snapToGrid w:val="0"/>
              <w:jc w:val="center"/>
              <w:rPr>
                <w:rFonts w:ascii="Times New Roman" w:hAnsi="Times New Roman"/>
                <w:sz w:val="21"/>
              </w:rPr>
            </w:pPr>
          </w:p>
        </w:tc>
        <w:tc>
          <w:tcPr>
            <w:tcW w:w="1054" w:type="pct"/>
            <w:vMerge/>
            <w:vAlign w:val="center"/>
          </w:tcPr>
          <w:p w14:paraId="06D030F1" w14:textId="77777777" w:rsidR="00EA361A" w:rsidRPr="00E67914" w:rsidRDefault="00EA361A" w:rsidP="005B7AE3">
            <w:pPr>
              <w:adjustRightInd w:val="0"/>
              <w:snapToGrid w:val="0"/>
              <w:jc w:val="center"/>
              <w:rPr>
                <w:rFonts w:ascii="Times New Roman" w:hAnsi="Times New Roman"/>
                <w:sz w:val="21"/>
              </w:rPr>
            </w:pPr>
          </w:p>
        </w:tc>
        <w:tc>
          <w:tcPr>
            <w:tcW w:w="526" w:type="pct"/>
            <w:vAlign w:val="center"/>
          </w:tcPr>
          <w:p w14:paraId="7BF253FB" w14:textId="77777777" w:rsidR="00EA361A" w:rsidRPr="00E67914" w:rsidRDefault="00EA361A" w:rsidP="005B7AE3">
            <w:pPr>
              <w:adjustRightInd w:val="0"/>
              <w:snapToGrid w:val="0"/>
              <w:jc w:val="center"/>
              <w:rPr>
                <w:rFonts w:ascii="Times New Roman" w:hAnsi="Times New Roman"/>
                <w:sz w:val="21"/>
              </w:rPr>
            </w:pPr>
            <w:r w:rsidRPr="00E67914">
              <w:rPr>
                <w:rFonts w:ascii="Times New Roman" w:hAnsi="Times New Roman"/>
                <w:sz w:val="21"/>
              </w:rPr>
              <w:t>昼夜连续</w:t>
            </w:r>
          </w:p>
        </w:tc>
      </w:tr>
      <w:tr w:rsidR="00E67914" w:rsidRPr="00E67914" w14:paraId="2BF3B81C" w14:textId="77777777" w:rsidTr="00D52BC2">
        <w:trPr>
          <w:trHeight w:val="454"/>
        </w:trPr>
        <w:tc>
          <w:tcPr>
            <w:tcW w:w="222" w:type="pct"/>
            <w:vAlign w:val="center"/>
          </w:tcPr>
          <w:p w14:paraId="23DB6CC9" w14:textId="145CFF6A"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rPr>
              <w:t>3</w:t>
            </w:r>
          </w:p>
        </w:tc>
        <w:tc>
          <w:tcPr>
            <w:tcW w:w="616" w:type="pct"/>
            <w:vAlign w:val="center"/>
          </w:tcPr>
          <w:p w14:paraId="33E91BE9" w14:textId="4B34149C"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rPr>
              <w:t>油气水三相分离器</w:t>
            </w:r>
            <w:r w:rsidRPr="00E67914">
              <w:rPr>
                <w:rFonts w:ascii="Times New Roman" w:hAnsi="Times New Roman"/>
                <w:sz w:val="21"/>
              </w:rPr>
              <w:t>1</w:t>
            </w:r>
            <w:r w:rsidRPr="00E67914">
              <w:rPr>
                <w:rFonts w:ascii="Times New Roman" w:hAnsi="Times New Roman"/>
                <w:sz w:val="21"/>
              </w:rPr>
              <w:t>具</w:t>
            </w:r>
          </w:p>
        </w:tc>
        <w:tc>
          <w:tcPr>
            <w:tcW w:w="808" w:type="pct"/>
            <w:vAlign w:val="center"/>
          </w:tcPr>
          <w:p w14:paraId="10E078AA" w14:textId="78C33AF5"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rPr>
              <w:t>φ1200×3600mm</w:t>
            </w:r>
          </w:p>
        </w:tc>
        <w:tc>
          <w:tcPr>
            <w:tcW w:w="380" w:type="pct"/>
            <w:vAlign w:val="center"/>
          </w:tcPr>
          <w:p w14:paraId="0E81BC05" w14:textId="3659C1F0" w:rsidR="00D52BC2" w:rsidRPr="00E67914" w:rsidRDefault="00D52BC2" w:rsidP="00D52BC2">
            <w:pPr>
              <w:adjustRightInd w:val="0"/>
              <w:snapToGrid w:val="0"/>
              <w:jc w:val="center"/>
              <w:rPr>
                <w:rFonts w:ascii="Times New Roman" w:hAnsi="Times New Roman"/>
                <w:sz w:val="21"/>
                <w:lang w:eastAsia="zh-CN"/>
              </w:rPr>
            </w:pPr>
            <w:r w:rsidRPr="00E67914">
              <w:rPr>
                <w:rFonts w:ascii="Times New Roman" w:hAnsi="Times New Roman"/>
                <w:sz w:val="21"/>
                <w:lang w:eastAsia="zh-CN"/>
              </w:rPr>
              <w:t>20.87</w:t>
            </w:r>
          </w:p>
        </w:tc>
        <w:tc>
          <w:tcPr>
            <w:tcW w:w="378" w:type="pct"/>
            <w:vAlign w:val="center"/>
          </w:tcPr>
          <w:p w14:paraId="2216D061" w14:textId="2C71E244"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lang w:eastAsia="zh-CN"/>
              </w:rPr>
              <w:t>25,81</w:t>
            </w:r>
          </w:p>
        </w:tc>
        <w:tc>
          <w:tcPr>
            <w:tcW w:w="380" w:type="pct"/>
            <w:vAlign w:val="center"/>
          </w:tcPr>
          <w:p w14:paraId="6044D46E" w14:textId="710DAA88"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rPr>
              <w:t>1.0</w:t>
            </w:r>
          </w:p>
        </w:tc>
        <w:tc>
          <w:tcPr>
            <w:tcW w:w="636" w:type="pct"/>
            <w:vMerge/>
            <w:vAlign w:val="center"/>
          </w:tcPr>
          <w:p w14:paraId="4B966CD5" w14:textId="77777777" w:rsidR="00D52BC2" w:rsidRPr="00E67914" w:rsidRDefault="00D52BC2" w:rsidP="00D52BC2">
            <w:pPr>
              <w:adjustRightInd w:val="0"/>
              <w:snapToGrid w:val="0"/>
              <w:jc w:val="center"/>
              <w:rPr>
                <w:rFonts w:ascii="Times New Roman" w:hAnsi="Times New Roman"/>
                <w:sz w:val="21"/>
              </w:rPr>
            </w:pPr>
          </w:p>
        </w:tc>
        <w:tc>
          <w:tcPr>
            <w:tcW w:w="1054" w:type="pct"/>
            <w:vMerge/>
            <w:vAlign w:val="center"/>
          </w:tcPr>
          <w:p w14:paraId="64D9FE4B" w14:textId="77777777" w:rsidR="00D52BC2" w:rsidRPr="00E67914" w:rsidRDefault="00D52BC2" w:rsidP="00D52BC2">
            <w:pPr>
              <w:adjustRightInd w:val="0"/>
              <w:snapToGrid w:val="0"/>
              <w:jc w:val="center"/>
              <w:rPr>
                <w:rFonts w:ascii="Times New Roman" w:hAnsi="Times New Roman"/>
                <w:sz w:val="21"/>
              </w:rPr>
            </w:pPr>
          </w:p>
        </w:tc>
        <w:tc>
          <w:tcPr>
            <w:tcW w:w="526" w:type="pct"/>
            <w:vAlign w:val="center"/>
          </w:tcPr>
          <w:p w14:paraId="19FD7810" w14:textId="4ABD68A8"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rPr>
              <w:t>昼夜连续</w:t>
            </w:r>
          </w:p>
        </w:tc>
      </w:tr>
      <w:tr w:rsidR="00E67914" w:rsidRPr="00E67914" w14:paraId="185F3F88" w14:textId="77777777" w:rsidTr="00D52BC2">
        <w:trPr>
          <w:trHeight w:val="454"/>
        </w:trPr>
        <w:tc>
          <w:tcPr>
            <w:tcW w:w="222" w:type="pct"/>
            <w:vAlign w:val="center"/>
          </w:tcPr>
          <w:p w14:paraId="13C6A3BB" w14:textId="15D2549C" w:rsidR="00D52BC2" w:rsidRPr="00E67914" w:rsidRDefault="00D52BC2" w:rsidP="00D52BC2">
            <w:pPr>
              <w:adjustRightInd w:val="0"/>
              <w:snapToGrid w:val="0"/>
              <w:jc w:val="center"/>
              <w:rPr>
                <w:rFonts w:ascii="Times New Roman" w:hAnsi="Times New Roman"/>
                <w:sz w:val="21"/>
                <w:lang w:eastAsia="zh-CN"/>
              </w:rPr>
            </w:pPr>
            <w:r w:rsidRPr="00E67914">
              <w:rPr>
                <w:rFonts w:ascii="Times New Roman" w:hAnsi="Times New Roman"/>
                <w:sz w:val="21"/>
                <w:lang w:eastAsia="zh-CN"/>
              </w:rPr>
              <w:t>4</w:t>
            </w:r>
          </w:p>
        </w:tc>
        <w:tc>
          <w:tcPr>
            <w:tcW w:w="616" w:type="pct"/>
            <w:vAlign w:val="center"/>
          </w:tcPr>
          <w:p w14:paraId="4683E71E" w14:textId="1874702E"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rPr>
              <w:t>放空分离器撬</w:t>
            </w:r>
            <w:r w:rsidRPr="00E67914">
              <w:rPr>
                <w:rFonts w:ascii="Times New Roman" w:hAnsi="Times New Roman"/>
                <w:sz w:val="21"/>
              </w:rPr>
              <w:t>1</w:t>
            </w:r>
            <w:r w:rsidRPr="00E67914">
              <w:rPr>
                <w:rFonts w:ascii="Times New Roman" w:hAnsi="Times New Roman"/>
                <w:sz w:val="21"/>
              </w:rPr>
              <w:t>具</w:t>
            </w:r>
          </w:p>
        </w:tc>
        <w:tc>
          <w:tcPr>
            <w:tcW w:w="808" w:type="pct"/>
            <w:vAlign w:val="center"/>
          </w:tcPr>
          <w:p w14:paraId="4D464DDA" w14:textId="74B9D4AB" w:rsidR="00D52BC2" w:rsidRPr="00E67914" w:rsidRDefault="00D52BC2" w:rsidP="00D52BC2">
            <w:pPr>
              <w:adjustRightInd w:val="0"/>
              <w:snapToGrid w:val="0"/>
              <w:jc w:val="center"/>
              <w:rPr>
                <w:rFonts w:ascii="Times New Roman" w:hAnsi="Times New Roman"/>
                <w:sz w:val="21"/>
                <w:lang w:eastAsia="zh-CN"/>
              </w:rPr>
            </w:pPr>
            <w:r w:rsidRPr="00E67914">
              <w:rPr>
                <w:rFonts w:ascii="Times New Roman" w:hAnsi="Times New Roman"/>
                <w:sz w:val="21"/>
                <w:lang w:eastAsia="zh-CN"/>
              </w:rPr>
              <w:t>/</w:t>
            </w:r>
          </w:p>
        </w:tc>
        <w:tc>
          <w:tcPr>
            <w:tcW w:w="380" w:type="pct"/>
            <w:vAlign w:val="center"/>
          </w:tcPr>
          <w:p w14:paraId="1D2589E0" w14:textId="7E436738"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lang w:eastAsia="zh-CN"/>
              </w:rPr>
              <w:t>23.13</w:t>
            </w:r>
          </w:p>
        </w:tc>
        <w:tc>
          <w:tcPr>
            <w:tcW w:w="378" w:type="pct"/>
            <w:vAlign w:val="center"/>
          </w:tcPr>
          <w:p w14:paraId="44271C82" w14:textId="7ADBD589"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lang w:eastAsia="zh-CN"/>
              </w:rPr>
              <w:t>32.13</w:t>
            </w:r>
          </w:p>
        </w:tc>
        <w:tc>
          <w:tcPr>
            <w:tcW w:w="380" w:type="pct"/>
            <w:vAlign w:val="center"/>
          </w:tcPr>
          <w:p w14:paraId="2B7D81AB" w14:textId="201CD4FF"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rPr>
              <w:t>1.0</w:t>
            </w:r>
          </w:p>
        </w:tc>
        <w:tc>
          <w:tcPr>
            <w:tcW w:w="636" w:type="pct"/>
            <w:vMerge/>
            <w:vAlign w:val="center"/>
          </w:tcPr>
          <w:p w14:paraId="08E439D1" w14:textId="77777777" w:rsidR="00D52BC2" w:rsidRPr="00E67914" w:rsidRDefault="00D52BC2" w:rsidP="00D52BC2">
            <w:pPr>
              <w:adjustRightInd w:val="0"/>
              <w:snapToGrid w:val="0"/>
              <w:jc w:val="center"/>
              <w:rPr>
                <w:rFonts w:ascii="Times New Roman" w:hAnsi="Times New Roman"/>
                <w:sz w:val="21"/>
              </w:rPr>
            </w:pPr>
          </w:p>
        </w:tc>
        <w:tc>
          <w:tcPr>
            <w:tcW w:w="1054" w:type="pct"/>
            <w:vMerge/>
            <w:vAlign w:val="center"/>
          </w:tcPr>
          <w:p w14:paraId="368ABF59" w14:textId="77777777" w:rsidR="00D52BC2" w:rsidRPr="00E67914" w:rsidRDefault="00D52BC2" w:rsidP="00D52BC2">
            <w:pPr>
              <w:adjustRightInd w:val="0"/>
              <w:snapToGrid w:val="0"/>
              <w:jc w:val="center"/>
              <w:rPr>
                <w:rFonts w:ascii="Times New Roman" w:hAnsi="Times New Roman"/>
                <w:sz w:val="21"/>
              </w:rPr>
            </w:pPr>
          </w:p>
        </w:tc>
        <w:tc>
          <w:tcPr>
            <w:tcW w:w="526" w:type="pct"/>
            <w:vAlign w:val="center"/>
          </w:tcPr>
          <w:p w14:paraId="03DB8A8F" w14:textId="5F64D8E9" w:rsidR="00D52BC2" w:rsidRPr="00E67914" w:rsidRDefault="00D52BC2" w:rsidP="00D52BC2">
            <w:pPr>
              <w:adjustRightInd w:val="0"/>
              <w:snapToGrid w:val="0"/>
              <w:jc w:val="center"/>
              <w:rPr>
                <w:rFonts w:ascii="Times New Roman" w:hAnsi="Times New Roman"/>
                <w:sz w:val="21"/>
              </w:rPr>
            </w:pPr>
            <w:r w:rsidRPr="00E67914">
              <w:rPr>
                <w:rFonts w:ascii="Times New Roman" w:hAnsi="Times New Roman"/>
                <w:sz w:val="21"/>
              </w:rPr>
              <w:t>昼夜连续</w:t>
            </w:r>
          </w:p>
        </w:tc>
      </w:tr>
      <w:tr w:rsidR="00E67914" w:rsidRPr="00E67914" w14:paraId="30898DA2" w14:textId="77777777" w:rsidTr="005B7AE3">
        <w:trPr>
          <w:trHeight w:val="454"/>
        </w:trPr>
        <w:tc>
          <w:tcPr>
            <w:tcW w:w="5000" w:type="pct"/>
            <w:gridSpan w:val="9"/>
            <w:vAlign w:val="center"/>
          </w:tcPr>
          <w:p w14:paraId="7900D8C9" w14:textId="6F9648C1" w:rsidR="005A37BD" w:rsidRPr="00E67914" w:rsidRDefault="005A37BD" w:rsidP="005B7AE3">
            <w:pPr>
              <w:adjustRightInd w:val="0"/>
              <w:snapToGrid w:val="0"/>
              <w:rPr>
                <w:rFonts w:ascii="Times New Roman" w:eastAsia="黑体" w:hAnsi="Times New Roman"/>
                <w:sz w:val="21"/>
                <w:lang w:eastAsia="zh-CN"/>
              </w:rPr>
            </w:pPr>
            <w:r w:rsidRPr="00E67914">
              <w:rPr>
                <w:rFonts w:ascii="Times New Roman" w:eastAsia="黑体" w:hAnsi="Times New Roman"/>
                <w:sz w:val="21"/>
                <w:lang w:eastAsia="zh-CN"/>
              </w:rPr>
              <w:t>注：以</w:t>
            </w:r>
            <w:r w:rsidR="00EA361A" w:rsidRPr="00E67914">
              <w:rPr>
                <w:rFonts w:ascii="Times New Roman" w:eastAsia="黑体" w:hAnsi="Times New Roman"/>
                <w:sz w:val="21"/>
                <w:lang w:eastAsia="zh-CN"/>
              </w:rPr>
              <w:t>试采站</w:t>
            </w:r>
            <w:r w:rsidRPr="00E67914">
              <w:rPr>
                <w:rFonts w:ascii="Times New Roman" w:eastAsia="黑体" w:hAnsi="Times New Roman"/>
                <w:sz w:val="21"/>
                <w:lang w:eastAsia="zh-CN"/>
              </w:rPr>
              <w:t>厂界</w:t>
            </w:r>
            <w:r w:rsidR="001206D4" w:rsidRPr="00E67914">
              <w:rPr>
                <w:rFonts w:ascii="Times New Roman" w:eastAsia="黑体" w:hAnsi="Times New Roman"/>
                <w:sz w:val="21"/>
                <w:lang w:eastAsia="zh-CN"/>
              </w:rPr>
              <w:t>西</w:t>
            </w:r>
            <w:r w:rsidRPr="00E67914">
              <w:rPr>
                <w:rFonts w:ascii="Times New Roman" w:eastAsia="黑体" w:hAnsi="Times New Roman"/>
                <w:sz w:val="21"/>
                <w:lang w:eastAsia="zh-CN"/>
              </w:rPr>
              <w:t>南侧边角处为坐标原点。上述各类源强均属于室外源。</w:t>
            </w:r>
          </w:p>
        </w:tc>
      </w:tr>
    </w:tbl>
    <w:p w14:paraId="09FD5F03" w14:textId="1BFA19E6" w:rsidR="00A54A8A" w:rsidRPr="00E67914" w:rsidRDefault="00000000">
      <w:pPr>
        <w:adjustRightInd w:val="0"/>
        <w:snapToGrid w:val="0"/>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噪声影响预测结果见</w:t>
      </w:r>
      <w:r w:rsidR="007F4BFA" w:rsidRPr="00E67914">
        <w:rPr>
          <w:rFonts w:ascii="Times New Roman" w:hAnsi="Times New Roman"/>
          <w:bCs/>
          <w:sz w:val="24"/>
          <w:lang w:eastAsia="zh-CN"/>
        </w:rPr>
        <w:t>下图与</w:t>
      </w:r>
      <w:r w:rsidRPr="00E67914">
        <w:rPr>
          <w:rFonts w:ascii="Times New Roman" w:hAnsi="Times New Roman"/>
          <w:bCs/>
          <w:sz w:val="24"/>
          <w:lang w:eastAsia="zh-CN"/>
        </w:rPr>
        <w:t>表</w:t>
      </w:r>
      <w:r w:rsidRPr="00E67914">
        <w:rPr>
          <w:rFonts w:ascii="Times New Roman" w:hAnsi="Times New Roman"/>
          <w:bCs/>
          <w:sz w:val="24"/>
          <w:lang w:eastAsia="zh-CN"/>
        </w:rPr>
        <w:t>5.2-</w:t>
      </w:r>
      <w:r w:rsidR="00CB4B0C" w:rsidRPr="00E67914">
        <w:rPr>
          <w:rFonts w:ascii="Times New Roman" w:hAnsi="Times New Roman"/>
          <w:bCs/>
          <w:sz w:val="24"/>
          <w:lang w:eastAsia="zh-CN"/>
        </w:rPr>
        <w:t>6</w:t>
      </w:r>
      <w:r w:rsidRPr="00E67914">
        <w:rPr>
          <w:rFonts w:ascii="Times New Roman" w:hAnsi="Times New Roman"/>
          <w:bCs/>
          <w:sz w:val="24"/>
          <w:lang w:eastAsia="zh-CN"/>
        </w:rPr>
        <w:t>。</w:t>
      </w:r>
    </w:p>
    <w:p w14:paraId="2E07DB32" w14:textId="75D6948D" w:rsidR="007F4BFA" w:rsidRPr="00E67914" w:rsidRDefault="00D52BC2" w:rsidP="007F4BFA">
      <w:pPr>
        <w:adjustRightInd w:val="0"/>
        <w:snapToGrid w:val="0"/>
        <w:spacing w:line="360" w:lineRule="auto"/>
        <w:jc w:val="center"/>
        <w:rPr>
          <w:rFonts w:ascii="Times New Roman" w:hAnsi="Times New Roman"/>
          <w:bCs/>
          <w:sz w:val="24"/>
          <w:lang w:eastAsia="zh-CN"/>
        </w:rPr>
      </w:pPr>
      <w:r w:rsidRPr="00E67914">
        <w:rPr>
          <w:rFonts w:ascii="Times New Roman" w:hAnsi="Times New Roman"/>
          <w:noProof/>
        </w:rPr>
        <w:lastRenderedPageBreak/>
        <w:drawing>
          <wp:inline distT="0" distB="0" distL="0" distR="0" wp14:anchorId="440DE9FF" wp14:editId="183FDFD0">
            <wp:extent cx="5276850" cy="6593840"/>
            <wp:effectExtent l="0" t="0" r="0" b="0"/>
            <wp:docPr id="15489196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19666" name=""/>
                    <pic:cNvPicPr/>
                  </pic:nvPicPr>
                  <pic:blipFill>
                    <a:blip r:embed="rId77"/>
                    <a:stretch>
                      <a:fillRect/>
                    </a:stretch>
                  </pic:blipFill>
                  <pic:spPr>
                    <a:xfrm>
                      <a:off x="0" y="0"/>
                      <a:ext cx="5276850" cy="6593840"/>
                    </a:xfrm>
                    <a:prstGeom prst="rect">
                      <a:avLst/>
                    </a:prstGeom>
                  </pic:spPr>
                </pic:pic>
              </a:graphicData>
            </a:graphic>
          </wp:inline>
        </w:drawing>
      </w:r>
    </w:p>
    <w:p w14:paraId="4A5484CD" w14:textId="41956624" w:rsidR="007F4BFA" w:rsidRPr="00E67914" w:rsidRDefault="007F4BFA" w:rsidP="007F4BFA">
      <w:pPr>
        <w:jc w:val="center"/>
        <w:rPr>
          <w:rFonts w:ascii="Times New Roman" w:eastAsia="黑体" w:hAnsi="Times New Roman"/>
          <w:kern w:val="2"/>
          <w:lang w:eastAsia="zh-CN"/>
        </w:rPr>
      </w:pPr>
      <w:r w:rsidRPr="00E67914">
        <w:rPr>
          <w:rFonts w:ascii="Times New Roman" w:eastAsia="黑体" w:hAnsi="Times New Roman"/>
          <w:kern w:val="2"/>
          <w:lang w:eastAsia="zh-CN"/>
        </w:rPr>
        <w:t>图</w:t>
      </w:r>
      <w:r w:rsidRPr="00E67914">
        <w:rPr>
          <w:rFonts w:ascii="Times New Roman" w:eastAsia="黑体" w:hAnsi="Times New Roman"/>
          <w:kern w:val="2"/>
          <w:lang w:eastAsia="zh-CN"/>
        </w:rPr>
        <w:t>5.2-</w:t>
      </w:r>
      <w:r w:rsidR="00CB4B0C" w:rsidRPr="00E67914">
        <w:rPr>
          <w:rFonts w:ascii="Times New Roman" w:eastAsia="黑体" w:hAnsi="Times New Roman"/>
          <w:kern w:val="2"/>
          <w:lang w:eastAsia="zh-CN"/>
        </w:rPr>
        <w:t>2</w:t>
      </w:r>
      <w:r w:rsidRPr="00E67914">
        <w:rPr>
          <w:rFonts w:ascii="Times New Roman" w:eastAsia="黑体" w:hAnsi="Times New Roman"/>
          <w:kern w:val="2"/>
          <w:lang w:eastAsia="zh-CN"/>
        </w:rPr>
        <w:t xml:space="preserve">  </w:t>
      </w:r>
      <w:r w:rsidRPr="00E67914">
        <w:rPr>
          <w:rFonts w:ascii="Times New Roman" w:eastAsia="黑体" w:hAnsi="Times New Roman"/>
          <w:kern w:val="2"/>
          <w:lang w:eastAsia="zh-CN"/>
        </w:rPr>
        <w:t>试采期噪声等声级线图</w:t>
      </w:r>
    </w:p>
    <w:p w14:paraId="5832AB83" w14:textId="41EBDBF8" w:rsidR="00A54A8A" w:rsidRPr="00E67914" w:rsidRDefault="00000000">
      <w:pPr>
        <w:jc w:val="center"/>
        <w:rPr>
          <w:rFonts w:ascii="Times New Roman" w:eastAsia="黑体" w:hAnsi="Times New Roman"/>
          <w:kern w:val="2"/>
          <w:lang w:eastAsia="zh-CN"/>
        </w:rPr>
      </w:pPr>
      <w:r w:rsidRPr="00E67914">
        <w:rPr>
          <w:rFonts w:ascii="Times New Roman" w:eastAsia="黑体" w:hAnsi="Times New Roman"/>
          <w:kern w:val="2"/>
          <w:lang w:eastAsia="zh-CN"/>
        </w:rPr>
        <w:t>表</w:t>
      </w:r>
      <w:r w:rsidRPr="00E67914">
        <w:rPr>
          <w:rFonts w:ascii="Times New Roman" w:eastAsia="黑体" w:hAnsi="Times New Roman"/>
          <w:kern w:val="2"/>
          <w:lang w:eastAsia="zh-CN"/>
        </w:rPr>
        <w:t>5.2-</w:t>
      </w:r>
      <w:r w:rsidR="00CB4B0C" w:rsidRPr="00E67914">
        <w:rPr>
          <w:rFonts w:ascii="Times New Roman" w:eastAsia="黑体" w:hAnsi="Times New Roman"/>
          <w:kern w:val="2"/>
          <w:lang w:eastAsia="zh-CN"/>
        </w:rPr>
        <w:t>6</w:t>
      </w:r>
      <w:r w:rsidRPr="00E67914">
        <w:rPr>
          <w:rFonts w:ascii="Times New Roman" w:eastAsia="黑体" w:hAnsi="Times New Roman"/>
          <w:kern w:val="2"/>
          <w:lang w:eastAsia="zh-CN"/>
        </w:rPr>
        <w:t xml:space="preserve">  </w:t>
      </w:r>
      <w:r w:rsidRPr="00E67914">
        <w:rPr>
          <w:rFonts w:ascii="Times New Roman" w:eastAsia="黑体" w:hAnsi="Times New Roman"/>
          <w:kern w:val="2"/>
          <w:lang w:eastAsia="zh-CN"/>
        </w:rPr>
        <w:t>试采期噪声影响预测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1477"/>
        <w:gridCol w:w="491"/>
        <w:gridCol w:w="734"/>
        <w:gridCol w:w="734"/>
        <w:gridCol w:w="734"/>
        <w:gridCol w:w="734"/>
        <w:gridCol w:w="734"/>
        <w:gridCol w:w="734"/>
        <w:gridCol w:w="642"/>
        <w:gridCol w:w="641"/>
      </w:tblGrid>
      <w:tr w:rsidR="00E67914" w:rsidRPr="00E67914" w14:paraId="721CCA8E" w14:textId="77777777" w:rsidTr="00601BE5">
        <w:trPr>
          <w:cantSplit/>
          <w:jc w:val="center"/>
        </w:trPr>
        <w:tc>
          <w:tcPr>
            <w:tcW w:w="389" w:type="pct"/>
            <w:vMerge w:val="restart"/>
            <w:tcMar>
              <w:left w:w="0" w:type="dxa"/>
              <w:right w:w="0" w:type="dxa"/>
            </w:tcMar>
            <w:vAlign w:val="center"/>
          </w:tcPr>
          <w:p w14:paraId="2AEAADFD"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监测点</w:t>
            </w:r>
          </w:p>
        </w:tc>
        <w:tc>
          <w:tcPr>
            <w:tcW w:w="890" w:type="pct"/>
            <w:vMerge w:val="restart"/>
            <w:tcMar>
              <w:left w:w="0" w:type="dxa"/>
              <w:right w:w="0" w:type="dxa"/>
            </w:tcMar>
            <w:vAlign w:val="center"/>
          </w:tcPr>
          <w:p w14:paraId="08217DE2"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预测点位置</w:t>
            </w:r>
          </w:p>
        </w:tc>
        <w:tc>
          <w:tcPr>
            <w:tcW w:w="296" w:type="pct"/>
            <w:vMerge w:val="restart"/>
            <w:tcMar>
              <w:left w:w="0" w:type="dxa"/>
              <w:right w:w="0" w:type="dxa"/>
            </w:tcMar>
            <w:vAlign w:val="center"/>
          </w:tcPr>
          <w:p w14:paraId="15FAC226" w14:textId="77777777" w:rsidR="00601BE5" w:rsidRPr="00E67914" w:rsidRDefault="00000000" w:rsidP="00601BE5">
            <w:pPr>
              <w:jc w:val="center"/>
              <w:rPr>
                <w:rFonts w:ascii="Times New Roman" w:hAnsi="Times New Roman"/>
                <w:sz w:val="21"/>
                <w:szCs w:val="21"/>
              </w:rPr>
            </w:pPr>
            <w:r w:rsidRPr="00E67914">
              <w:rPr>
                <w:rFonts w:ascii="Times New Roman" w:hAnsi="Times New Roman"/>
                <w:sz w:val="21"/>
                <w:szCs w:val="21"/>
              </w:rPr>
              <w:t>距离</w:t>
            </w:r>
          </w:p>
          <w:p w14:paraId="07E6F8B5" w14:textId="6576B496"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(m)</w:t>
            </w:r>
          </w:p>
        </w:tc>
        <w:tc>
          <w:tcPr>
            <w:tcW w:w="884" w:type="pct"/>
            <w:gridSpan w:val="2"/>
            <w:vAlign w:val="center"/>
          </w:tcPr>
          <w:p w14:paraId="42DFF4AC" w14:textId="77777777" w:rsidR="00A54A8A" w:rsidRPr="00E67914" w:rsidRDefault="00000000" w:rsidP="00601BE5">
            <w:pPr>
              <w:jc w:val="center"/>
              <w:rPr>
                <w:rFonts w:ascii="Times New Roman" w:hAnsi="Times New Roman"/>
                <w:sz w:val="21"/>
                <w:szCs w:val="21"/>
                <w:lang w:eastAsia="zh-CN"/>
              </w:rPr>
            </w:pPr>
            <w:r w:rsidRPr="00E67914">
              <w:rPr>
                <w:rFonts w:ascii="Times New Roman" w:hAnsi="Times New Roman"/>
                <w:sz w:val="21"/>
                <w:szCs w:val="21"/>
                <w:lang w:eastAsia="zh-CN"/>
              </w:rPr>
              <w:t>现状值</w:t>
            </w:r>
          </w:p>
          <w:p w14:paraId="24BA37D0" w14:textId="77777777" w:rsidR="00A54A8A" w:rsidRPr="00E67914" w:rsidRDefault="00000000" w:rsidP="00601BE5">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p>
        </w:tc>
        <w:tc>
          <w:tcPr>
            <w:tcW w:w="884" w:type="pct"/>
            <w:gridSpan w:val="2"/>
            <w:vAlign w:val="center"/>
          </w:tcPr>
          <w:p w14:paraId="16FBEB6D" w14:textId="77777777" w:rsidR="00A54A8A" w:rsidRPr="00E67914" w:rsidRDefault="00000000" w:rsidP="00601BE5">
            <w:pPr>
              <w:jc w:val="center"/>
              <w:rPr>
                <w:rFonts w:ascii="Times New Roman" w:hAnsi="Times New Roman"/>
                <w:sz w:val="21"/>
                <w:szCs w:val="21"/>
                <w:lang w:eastAsia="zh-CN"/>
              </w:rPr>
            </w:pPr>
            <w:r w:rsidRPr="00E67914">
              <w:rPr>
                <w:rFonts w:ascii="Times New Roman" w:hAnsi="Times New Roman"/>
                <w:sz w:val="21"/>
                <w:szCs w:val="21"/>
                <w:lang w:eastAsia="zh-CN"/>
              </w:rPr>
              <w:t>贡献值</w:t>
            </w:r>
          </w:p>
          <w:p w14:paraId="5983654D" w14:textId="77777777" w:rsidR="00A54A8A" w:rsidRPr="00E67914" w:rsidRDefault="00000000" w:rsidP="00601BE5">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p>
        </w:tc>
        <w:tc>
          <w:tcPr>
            <w:tcW w:w="884" w:type="pct"/>
            <w:gridSpan w:val="2"/>
            <w:vAlign w:val="center"/>
          </w:tcPr>
          <w:p w14:paraId="20D2175D" w14:textId="77777777" w:rsidR="00A54A8A" w:rsidRPr="00E67914" w:rsidRDefault="00000000" w:rsidP="00601BE5">
            <w:pPr>
              <w:jc w:val="center"/>
              <w:rPr>
                <w:rFonts w:ascii="Times New Roman" w:hAnsi="Times New Roman"/>
                <w:sz w:val="21"/>
                <w:szCs w:val="21"/>
                <w:lang w:eastAsia="zh-CN"/>
              </w:rPr>
            </w:pPr>
            <w:r w:rsidRPr="00E67914">
              <w:rPr>
                <w:rFonts w:ascii="Times New Roman" w:hAnsi="Times New Roman"/>
                <w:sz w:val="21"/>
                <w:szCs w:val="21"/>
                <w:lang w:eastAsia="zh-CN"/>
              </w:rPr>
              <w:t>预测值</w:t>
            </w:r>
          </w:p>
          <w:p w14:paraId="36D6FCD7" w14:textId="77777777" w:rsidR="00A54A8A" w:rsidRPr="00E67914" w:rsidRDefault="00000000" w:rsidP="00601BE5">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w:t>
            </w:r>
          </w:p>
        </w:tc>
        <w:tc>
          <w:tcPr>
            <w:tcW w:w="773" w:type="pct"/>
            <w:gridSpan w:val="2"/>
            <w:vAlign w:val="center"/>
          </w:tcPr>
          <w:p w14:paraId="70AE8477"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达标情况</w:t>
            </w:r>
          </w:p>
        </w:tc>
      </w:tr>
      <w:tr w:rsidR="00E67914" w:rsidRPr="00E67914" w14:paraId="53D24DDE" w14:textId="77777777" w:rsidTr="00601BE5">
        <w:trPr>
          <w:cantSplit/>
          <w:jc w:val="center"/>
        </w:trPr>
        <w:tc>
          <w:tcPr>
            <w:tcW w:w="389" w:type="pct"/>
            <w:vMerge/>
            <w:tcMar>
              <w:left w:w="0" w:type="dxa"/>
              <w:right w:w="0" w:type="dxa"/>
            </w:tcMar>
            <w:vAlign w:val="center"/>
          </w:tcPr>
          <w:p w14:paraId="55939734" w14:textId="77777777" w:rsidR="00A54A8A" w:rsidRPr="00E67914" w:rsidRDefault="00A54A8A" w:rsidP="00601BE5">
            <w:pPr>
              <w:jc w:val="center"/>
              <w:rPr>
                <w:rFonts w:ascii="Times New Roman" w:hAnsi="Times New Roman"/>
                <w:sz w:val="21"/>
                <w:szCs w:val="21"/>
              </w:rPr>
            </w:pPr>
          </w:p>
        </w:tc>
        <w:tc>
          <w:tcPr>
            <w:tcW w:w="890" w:type="pct"/>
            <w:vMerge/>
            <w:tcMar>
              <w:left w:w="0" w:type="dxa"/>
              <w:right w:w="0" w:type="dxa"/>
            </w:tcMar>
            <w:vAlign w:val="center"/>
          </w:tcPr>
          <w:p w14:paraId="1A1C9C34" w14:textId="77777777" w:rsidR="00A54A8A" w:rsidRPr="00E67914" w:rsidRDefault="00A54A8A" w:rsidP="00601BE5">
            <w:pPr>
              <w:jc w:val="center"/>
              <w:rPr>
                <w:rFonts w:ascii="Times New Roman" w:hAnsi="Times New Roman"/>
                <w:sz w:val="21"/>
                <w:szCs w:val="21"/>
              </w:rPr>
            </w:pPr>
          </w:p>
        </w:tc>
        <w:tc>
          <w:tcPr>
            <w:tcW w:w="296" w:type="pct"/>
            <w:vMerge/>
            <w:tcMar>
              <w:left w:w="0" w:type="dxa"/>
              <w:right w:w="0" w:type="dxa"/>
            </w:tcMar>
            <w:vAlign w:val="center"/>
          </w:tcPr>
          <w:p w14:paraId="56A14976" w14:textId="77777777" w:rsidR="00A54A8A" w:rsidRPr="00E67914" w:rsidRDefault="00A54A8A" w:rsidP="00601BE5">
            <w:pPr>
              <w:jc w:val="center"/>
              <w:rPr>
                <w:rFonts w:ascii="Times New Roman" w:hAnsi="Times New Roman"/>
                <w:sz w:val="21"/>
                <w:szCs w:val="21"/>
              </w:rPr>
            </w:pPr>
          </w:p>
        </w:tc>
        <w:tc>
          <w:tcPr>
            <w:tcW w:w="442" w:type="pct"/>
            <w:tcMar>
              <w:left w:w="0" w:type="dxa"/>
              <w:right w:w="0" w:type="dxa"/>
            </w:tcMar>
            <w:vAlign w:val="center"/>
          </w:tcPr>
          <w:p w14:paraId="048C1427"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昼间</w:t>
            </w:r>
          </w:p>
        </w:tc>
        <w:tc>
          <w:tcPr>
            <w:tcW w:w="442" w:type="pct"/>
            <w:tcMar>
              <w:left w:w="0" w:type="dxa"/>
              <w:right w:w="0" w:type="dxa"/>
            </w:tcMar>
            <w:vAlign w:val="center"/>
          </w:tcPr>
          <w:p w14:paraId="0CEDDF4F"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夜间</w:t>
            </w:r>
          </w:p>
        </w:tc>
        <w:tc>
          <w:tcPr>
            <w:tcW w:w="442" w:type="pct"/>
            <w:tcMar>
              <w:left w:w="0" w:type="dxa"/>
              <w:right w:w="0" w:type="dxa"/>
            </w:tcMar>
            <w:vAlign w:val="center"/>
          </w:tcPr>
          <w:p w14:paraId="1C9C8396"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昼间</w:t>
            </w:r>
          </w:p>
        </w:tc>
        <w:tc>
          <w:tcPr>
            <w:tcW w:w="442" w:type="pct"/>
            <w:tcMar>
              <w:left w:w="0" w:type="dxa"/>
              <w:right w:w="0" w:type="dxa"/>
            </w:tcMar>
            <w:vAlign w:val="center"/>
          </w:tcPr>
          <w:p w14:paraId="3B70D993"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夜间</w:t>
            </w:r>
          </w:p>
        </w:tc>
        <w:tc>
          <w:tcPr>
            <w:tcW w:w="442" w:type="pct"/>
            <w:vAlign w:val="center"/>
          </w:tcPr>
          <w:p w14:paraId="7357AC33"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昼间</w:t>
            </w:r>
          </w:p>
        </w:tc>
        <w:tc>
          <w:tcPr>
            <w:tcW w:w="442" w:type="pct"/>
            <w:vAlign w:val="center"/>
          </w:tcPr>
          <w:p w14:paraId="05760B87"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夜间</w:t>
            </w:r>
          </w:p>
        </w:tc>
        <w:tc>
          <w:tcPr>
            <w:tcW w:w="387" w:type="pct"/>
            <w:tcMar>
              <w:left w:w="0" w:type="dxa"/>
              <w:right w:w="0" w:type="dxa"/>
            </w:tcMar>
            <w:vAlign w:val="center"/>
          </w:tcPr>
          <w:p w14:paraId="1CA4FC35"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昼间</w:t>
            </w:r>
          </w:p>
        </w:tc>
        <w:tc>
          <w:tcPr>
            <w:tcW w:w="386" w:type="pct"/>
            <w:tcMar>
              <w:left w:w="0" w:type="dxa"/>
              <w:right w:w="0" w:type="dxa"/>
            </w:tcMar>
            <w:vAlign w:val="center"/>
          </w:tcPr>
          <w:p w14:paraId="006C3FA5" w14:textId="77777777" w:rsidR="00A54A8A" w:rsidRPr="00E67914" w:rsidRDefault="00000000" w:rsidP="00601BE5">
            <w:pPr>
              <w:jc w:val="center"/>
              <w:rPr>
                <w:rFonts w:ascii="Times New Roman" w:hAnsi="Times New Roman"/>
                <w:sz w:val="21"/>
                <w:szCs w:val="21"/>
              </w:rPr>
            </w:pPr>
            <w:r w:rsidRPr="00E67914">
              <w:rPr>
                <w:rFonts w:ascii="Times New Roman" w:hAnsi="Times New Roman"/>
                <w:sz w:val="21"/>
                <w:szCs w:val="21"/>
              </w:rPr>
              <w:t>夜间</w:t>
            </w:r>
          </w:p>
        </w:tc>
      </w:tr>
      <w:tr w:rsidR="00E67914" w:rsidRPr="00E67914" w14:paraId="3AA44DD1" w14:textId="77777777" w:rsidTr="00601BE5">
        <w:trPr>
          <w:cantSplit/>
          <w:jc w:val="center"/>
        </w:trPr>
        <w:tc>
          <w:tcPr>
            <w:tcW w:w="389" w:type="pct"/>
            <w:tcMar>
              <w:left w:w="0" w:type="dxa"/>
              <w:right w:w="0" w:type="dxa"/>
            </w:tcMar>
            <w:vAlign w:val="center"/>
          </w:tcPr>
          <w:p w14:paraId="46022EF1"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1#</w:t>
            </w:r>
          </w:p>
        </w:tc>
        <w:tc>
          <w:tcPr>
            <w:tcW w:w="890" w:type="pct"/>
            <w:tcMar>
              <w:left w:w="0" w:type="dxa"/>
              <w:right w:w="0" w:type="dxa"/>
            </w:tcMar>
            <w:vAlign w:val="center"/>
          </w:tcPr>
          <w:p w14:paraId="0DC7D2D1" w14:textId="5619306E"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西北厂</w:t>
            </w:r>
            <w:r w:rsidRPr="00E67914">
              <w:rPr>
                <w:rFonts w:ascii="Times New Roman" w:hAnsi="Times New Roman"/>
                <w:sz w:val="21"/>
                <w:szCs w:val="21"/>
              </w:rPr>
              <w:t>界</w:t>
            </w:r>
          </w:p>
          <w:p w14:paraId="5CCFAB11" w14:textId="104C7765" w:rsidR="00A83051" w:rsidRPr="00E67914" w:rsidRDefault="00A83051" w:rsidP="00A83051">
            <w:pPr>
              <w:jc w:val="center"/>
              <w:rPr>
                <w:rFonts w:ascii="Times New Roman" w:hAnsi="Times New Roman"/>
              </w:rPr>
            </w:pPr>
            <w:r w:rsidRPr="00E67914">
              <w:rPr>
                <w:rFonts w:ascii="Times New Roman" w:hAnsi="Times New Roman"/>
                <w:sz w:val="21"/>
                <w:szCs w:val="21"/>
                <w:lang w:eastAsia="zh-CN"/>
              </w:rPr>
              <w:t>（</w:t>
            </w:r>
            <w:r w:rsidRPr="00E67914">
              <w:rPr>
                <w:rFonts w:ascii="Times New Roman" w:hAnsi="Times New Roman"/>
                <w:sz w:val="21"/>
                <w:szCs w:val="21"/>
                <w:lang w:eastAsia="zh-CN"/>
              </w:rPr>
              <w:t>7,26,1.2</w:t>
            </w:r>
            <w:r w:rsidRPr="00E67914">
              <w:rPr>
                <w:rFonts w:ascii="Times New Roman" w:hAnsi="Times New Roman"/>
                <w:sz w:val="21"/>
                <w:szCs w:val="21"/>
                <w:lang w:eastAsia="zh-CN"/>
              </w:rPr>
              <w:t>）</w:t>
            </w:r>
          </w:p>
        </w:tc>
        <w:tc>
          <w:tcPr>
            <w:tcW w:w="296" w:type="pct"/>
            <w:tcMar>
              <w:left w:w="0" w:type="dxa"/>
              <w:right w:w="0" w:type="dxa"/>
            </w:tcMar>
            <w:vAlign w:val="center"/>
          </w:tcPr>
          <w:p w14:paraId="25E28B03" w14:textId="5456E357"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442" w:type="pct"/>
            <w:vAlign w:val="center"/>
          </w:tcPr>
          <w:p w14:paraId="7EFBB1C6"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18E00845"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65AA04F9" w14:textId="5A0C7539"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39</w:t>
            </w:r>
          </w:p>
        </w:tc>
        <w:tc>
          <w:tcPr>
            <w:tcW w:w="442" w:type="pct"/>
            <w:vAlign w:val="center"/>
          </w:tcPr>
          <w:p w14:paraId="468DB05B" w14:textId="3004798C"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39</w:t>
            </w:r>
          </w:p>
        </w:tc>
        <w:tc>
          <w:tcPr>
            <w:tcW w:w="442" w:type="pct"/>
            <w:vAlign w:val="center"/>
          </w:tcPr>
          <w:p w14:paraId="44B35C1D"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2FE1A232"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387" w:type="pct"/>
            <w:vAlign w:val="center"/>
          </w:tcPr>
          <w:p w14:paraId="7E1833F3"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c>
          <w:tcPr>
            <w:tcW w:w="386" w:type="pct"/>
            <w:vAlign w:val="center"/>
          </w:tcPr>
          <w:p w14:paraId="018DDEAD"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r>
      <w:tr w:rsidR="00E67914" w:rsidRPr="00E67914" w14:paraId="68086063" w14:textId="77777777" w:rsidTr="00601BE5">
        <w:trPr>
          <w:cantSplit/>
          <w:jc w:val="center"/>
        </w:trPr>
        <w:tc>
          <w:tcPr>
            <w:tcW w:w="389" w:type="pct"/>
            <w:tcMar>
              <w:left w:w="0" w:type="dxa"/>
              <w:right w:w="0" w:type="dxa"/>
            </w:tcMar>
            <w:vAlign w:val="center"/>
          </w:tcPr>
          <w:p w14:paraId="4C4A22E4"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2#</w:t>
            </w:r>
          </w:p>
        </w:tc>
        <w:tc>
          <w:tcPr>
            <w:tcW w:w="890" w:type="pct"/>
            <w:tcMar>
              <w:left w:w="0" w:type="dxa"/>
              <w:right w:w="0" w:type="dxa"/>
            </w:tcMar>
            <w:vAlign w:val="center"/>
          </w:tcPr>
          <w:p w14:paraId="2978BBA5" w14:textId="66983E30"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东北厂</w:t>
            </w:r>
            <w:r w:rsidRPr="00E67914">
              <w:rPr>
                <w:rFonts w:ascii="Times New Roman" w:hAnsi="Times New Roman"/>
                <w:sz w:val="21"/>
                <w:szCs w:val="21"/>
              </w:rPr>
              <w:t>界</w:t>
            </w:r>
          </w:p>
          <w:p w14:paraId="53297392" w14:textId="790E773A"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w:t>
            </w:r>
            <w:r w:rsidRPr="00E67914">
              <w:rPr>
                <w:rFonts w:ascii="Times New Roman" w:hAnsi="Times New Roman"/>
                <w:sz w:val="21"/>
                <w:szCs w:val="21"/>
                <w:lang w:eastAsia="zh-CN"/>
              </w:rPr>
              <w:t>72,36,1.2</w:t>
            </w:r>
            <w:r w:rsidRPr="00E67914">
              <w:rPr>
                <w:rFonts w:ascii="Times New Roman" w:hAnsi="Times New Roman"/>
                <w:sz w:val="21"/>
                <w:szCs w:val="21"/>
                <w:lang w:eastAsia="zh-CN"/>
              </w:rPr>
              <w:t>）</w:t>
            </w:r>
          </w:p>
        </w:tc>
        <w:tc>
          <w:tcPr>
            <w:tcW w:w="296" w:type="pct"/>
            <w:tcMar>
              <w:left w:w="0" w:type="dxa"/>
              <w:right w:w="0" w:type="dxa"/>
            </w:tcMar>
            <w:vAlign w:val="center"/>
          </w:tcPr>
          <w:p w14:paraId="784393B5" w14:textId="1A8697F1"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442" w:type="pct"/>
            <w:vAlign w:val="center"/>
          </w:tcPr>
          <w:p w14:paraId="538687A1"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6B0E1582"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165C1D42" w14:textId="54296C84"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23</w:t>
            </w:r>
          </w:p>
        </w:tc>
        <w:tc>
          <w:tcPr>
            <w:tcW w:w="442" w:type="pct"/>
            <w:vAlign w:val="center"/>
          </w:tcPr>
          <w:p w14:paraId="66DB185C" w14:textId="36B7B864"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23</w:t>
            </w:r>
          </w:p>
        </w:tc>
        <w:tc>
          <w:tcPr>
            <w:tcW w:w="442" w:type="pct"/>
            <w:vAlign w:val="center"/>
          </w:tcPr>
          <w:p w14:paraId="7E4261C7"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53ADFFC2"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387" w:type="pct"/>
            <w:vAlign w:val="center"/>
          </w:tcPr>
          <w:p w14:paraId="5539A80A"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c>
          <w:tcPr>
            <w:tcW w:w="386" w:type="pct"/>
            <w:vAlign w:val="center"/>
          </w:tcPr>
          <w:p w14:paraId="1FF07D6C"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r>
      <w:tr w:rsidR="00E67914" w:rsidRPr="00E67914" w14:paraId="216F25C6" w14:textId="77777777" w:rsidTr="00601BE5">
        <w:trPr>
          <w:cantSplit/>
          <w:trHeight w:val="50"/>
          <w:jc w:val="center"/>
        </w:trPr>
        <w:tc>
          <w:tcPr>
            <w:tcW w:w="389" w:type="pct"/>
            <w:tcMar>
              <w:left w:w="0" w:type="dxa"/>
              <w:right w:w="0" w:type="dxa"/>
            </w:tcMar>
            <w:vAlign w:val="center"/>
          </w:tcPr>
          <w:p w14:paraId="2466B319"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3#</w:t>
            </w:r>
          </w:p>
        </w:tc>
        <w:tc>
          <w:tcPr>
            <w:tcW w:w="890" w:type="pct"/>
            <w:tcMar>
              <w:left w:w="0" w:type="dxa"/>
              <w:right w:w="0" w:type="dxa"/>
            </w:tcMar>
            <w:vAlign w:val="center"/>
          </w:tcPr>
          <w:p w14:paraId="424F0666" w14:textId="23162286"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东南厂</w:t>
            </w:r>
            <w:r w:rsidRPr="00E67914">
              <w:rPr>
                <w:rFonts w:ascii="Times New Roman" w:hAnsi="Times New Roman"/>
                <w:sz w:val="21"/>
                <w:szCs w:val="21"/>
              </w:rPr>
              <w:t>界</w:t>
            </w:r>
          </w:p>
          <w:p w14:paraId="12F18699" w14:textId="7E5D0DCB"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w:t>
            </w:r>
            <w:r w:rsidRPr="00E67914">
              <w:rPr>
                <w:rFonts w:ascii="Times New Roman" w:hAnsi="Times New Roman"/>
                <w:sz w:val="21"/>
                <w:szCs w:val="21"/>
                <w:lang w:eastAsia="zh-CN"/>
              </w:rPr>
              <w:t>108,-3,1.2</w:t>
            </w:r>
            <w:r w:rsidRPr="00E67914">
              <w:rPr>
                <w:rFonts w:ascii="Times New Roman" w:hAnsi="Times New Roman"/>
                <w:sz w:val="21"/>
                <w:szCs w:val="21"/>
                <w:lang w:eastAsia="zh-CN"/>
              </w:rPr>
              <w:t>）</w:t>
            </w:r>
          </w:p>
        </w:tc>
        <w:tc>
          <w:tcPr>
            <w:tcW w:w="296" w:type="pct"/>
            <w:tcMar>
              <w:left w:w="0" w:type="dxa"/>
              <w:right w:w="0" w:type="dxa"/>
            </w:tcMar>
            <w:vAlign w:val="center"/>
          </w:tcPr>
          <w:p w14:paraId="56C55E1E" w14:textId="14BDE84E"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442" w:type="pct"/>
            <w:vAlign w:val="center"/>
          </w:tcPr>
          <w:p w14:paraId="6CB88A20"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7E97D6AC"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221377CD" w14:textId="0CC2D430"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18</w:t>
            </w:r>
          </w:p>
        </w:tc>
        <w:tc>
          <w:tcPr>
            <w:tcW w:w="442" w:type="pct"/>
            <w:vAlign w:val="center"/>
          </w:tcPr>
          <w:p w14:paraId="5FE7BBED" w14:textId="4129A793"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18</w:t>
            </w:r>
          </w:p>
        </w:tc>
        <w:tc>
          <w:tcPr>
            <w:tcW w:w="442" w:type="pct"/>
            <w:vAlign w:val="center"/>
          </w:tcPr>
          <w:p w14:paraId="582165BD"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1448DA0E"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387" w:type="pct"/>
            <w:vAlign w:val="center"/>
          </w:tcPr>
          <w:p w14:paraId="49E20F1F"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c>
          <w:tcPr>
            <w:tcW w:w="386" w:type="pct"/>
            <w:vAlign w:val="center"/>
          </w:tcPr>
          <w:p w14:paraId="006AEF68"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r>
      <w:tr w:rsidR="00E67914" w:rsidRPr="00E67914" w14:paraId="45F4C38D" w14:textId="77777777" w:rsidTr="00601BE5">
        <w:trPr>
          <w:cantSplit/>
          <w:jc w:val="center"/>
        </w:trPr>
        <w:tc>
          <w:tcPr>
            <w:tcW w:w="389" w:type="pct"/>
            <w:tcMar>
              <w:left w:w="0" w:type="dxa"/>
              <w:right w:w="0" w:type="dxa"/>
            </w:tcMar>
            <w:vAlign w:val="center"/>
          </w:tcPr>
          <w:p w14:paraId="4008F13A"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lastRenderedPageBreak/>
              <w:t>4#</w:t>
            </w:r>
          </w:p>
        </w:tc>
        <w:tc>
          <w:tcPr>
            <w:tcW w:w="890" w:type="pct"/>
            <w:tcMar>
              <w:left w:w="0" w:type="dxa"/>
              <w:right w:w="0" w:type="dxa"/>
            </w:tcMar>
            <w:vAlign w:val="center"/>
          </w:tcPr>
          <w:p w14:paraId="013E0644" w14:textId="17C6CBF2"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西南厂</w:t>
            </w:r>
            <w:r w:rsidRPr="00E67914">
              <w:rPr>
                <w:rFonts w:ascii="Times New Roman" w:hAnsi="Times New Roman"/>
                <w:sz w:val="21"/>
                <w:szCs w:val="21"/>
              </w:rPr>
              <w:t>界</w:t>
            </w:r>
          </w:p>
          <w:p w14:paraId="321B0A50" w14:textId="13C3DFD8"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w:t>
            </w:r>
            <w:r w:rsidRPr="00E67914">
              <w:rPr>
                <w:rFonts w:ascii="Times New Roman" w:hAnsi="Times New Roman"/>
                <w:sz w:val="21"/>
                <w:szCs w:val="21"/>
                <w:lang w:eastAsia="zh-CN"/>
              </w:rPr>
              <w:t>48,-11,1.2</w:t>
            </w:r>
            <w:r w:rsidRPr="00E67914">
              <w:rPr>
                <w:rFonts w:ascii="Times New Roman" w:hAnsi="Times New Roman"/>
                <w:sz w:val="21"/>
                <w:szCs w:val="21"/>
                <w:lang w:eastAsia="zh-CN"/>
              </w:rPr>
              <w:t>）</w:t>
            </w:r>
          </w:p>
        </w:tc>
        <w:tc>
          <w:tcPr>
            <w:tcW w:w="296" w:type="pct"/>
            <w:tcMar>
              <w:left w:w="0" w:type="dxa"/>
              <w:right w:w="0" w:type="dxa"/>
            </w:tcMar>
            <w:vAlign w:val="center"/>
          </w:tcPr>
          <w:p w14:paraId="52675EC0" w14:textId="2A16D9F7"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442" w:type="pct"/>
            <w:vAlign w:val="center"/>
          </w:tcPr>
          <w:p w14:paraId="62AAD4B9"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4EAFA967"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4402B959" w14:textId="6BD55527"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25</w:t>
            </w:r>
          </w:p>
        </w:tc>
        <w:tc>
          <w:tcPr>
            <w:tcW w:w="442" w:type="pct"/>
            <w:vAlign w:val="center"/>
          </w:tcPr>
          <w:p w14:paraId="378D5882" w14:textId="760E84AC"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25</w:t>
            </w:r>
          </w:p>
        </w:tc>
        <w:tc>
          <w:tcPr>
            <w:tcW w:w="442" w:type="pct"/>
            <w:vAlign w:val="center"/>
          </w:tcPr>
          <w:p w14:paraId="44895083"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442" w:type="pct"/>
            <w:vAlign w:val="center"/>
          </w:tcPr>
          <w:p w14:paraId="62E290E6"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w:t>
            </w:r>
          </w:p>
        </w:tc>
        <w:tc>
          <w:tcPr>
            <w:tcW w:w="387" w:type="pct"/>
            <w:vAlign w:val="center"/>
          </w:tcPr>
          <w:p w14:paraId="28DDA332"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c>
          <w:tcPr>
            <w:tcW w:w="386" w:type="pct"/>
            <w:vAlign w:val="center"/>
          </w:tcPr>
          <w:p w14:paraId="59CA6E42"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r>
      <w:tr w:rsidR="00E67914" w:rsidRPr="00E67914" w14:paraId="2D7CC7D8" w14:textId="77777777" w:rsidTr="00601BE5">
        <w:trPr>
          <w:cantSplit/>
          <w:jc w:val="center"/>
        </w:trPr>
        <w:tc>
          <w:tcPr>
            <w:tcW w:w="389" w:type="pct"/>
            <w:tcMar>
              <w:left w:w="0" w:type="dxa"/>
              <w:right w:w="0" w:type="dxa"/>
            </w:tcMar>
            <w:vAlign w:val="center"/>
          </w:tcPr>
          <w:p w14:paraId="59FECF70" w14:textId="77777777"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5#</w:t>
            </w:r>
          </w:p>
        </w:tc>
        <w:tc>
          <w:tcPr>
            <w:tcW w:w="890" w:type="pct"/>
            <w:tcMar>
              <w:left w:w="0" w:type="dxa"/>
              <w:right w:w="0" w:type="dxa"/>
            </w:tcMar>
            <w:vAlign w:val="center"/>
          </w:tcPr>
          <w:p w14:paraId="16F2B9A9" w14:textId="25FF953F"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10#</w:t>
            </w:r>
            <w:r w:rsidRPr="00E67914">
              <w:rPr>
                <w:rFonts w:ascii="Times New Roman" w:hAnsi="Times New Roman"/>
                <w:sz w:val="21"/>
                <w:szCs w:val="21"/>
                <w:lang w:eastAsia="zh-CN"/>
              </w:rPr>
              <w:t>居民点</w:t>
            </w:r>
          </w:p>
          <w:p w14:paraId="1F68E603" w14:textId="5972EE7F"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95,-236,1.2</w:t>
            </w:r>
            <w:r w:rsidRPr="00E67914">
              <w:rPr>
                <w:rFonts w:ascii="Times New Roman" w:hAnsi="Times New Roman"/>
                <w:sz w:val="21"/>
                <w:szCs w:val="21"/>
                <w:lang w:eastAsia="zh-CN"/>
              </w:rPr>
              <w:t>）</w:t>
            </w:r>
          </w:p>
        </w:tc>
        <w:tc>
          <w:tcPr>
            <w:tcW w:w="296" w:type="pct"/>
            <w:tcMar>
              <w:left w:w="0" w:type="dxa"/>
              <w:right w:w="0" w:type="dxa"/>
            </w:tcMar>
            <w:vAlign w:val="center"/>
          </w:tcPr>
          <w:p w14:paraId="164CD144" w14:textId="26913BC8"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198</w:t>
            </w:r>
          </w:p>
        </w:tc>
        <w:tc>
          <w:tcPr>
            <w:tcW w:w="442" w:type="pct"/>
            <w:vAlign w:val="center"/>
          </w:tcPr>
          <w:p w14:paraId="1C04DED1" w14:textId="31731C66"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55</w:t>
            </w:r>
          </w:p>
        </w:tc>
        <w:tc>
          <w:tcPr>
            <w:tcW w:w="442" w:type="pct"/>
            <w:vAlign w:val="center"/>
          </w:tcPr>
          <w:p w14:paraId="01E4CBD9" w14:textId="508406C6"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47</w:t>
            </w:r>
          </w:p>
        </w:tc>
        <w:tc>
          <w:tcPr>
            <w:tcW w:w="442" w:type="pct"/>
            <w:vAlign w:val="center"/>
          </w:tcPr>
          <w:p w14:paraId="416D0818" w14:textId="0FE4362B"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8</w:t>
            </w:r>
          </w:p>
        </w:tc>
        <w:tc>
          <w:tcPr>
            <w:tcW w:w="442" w:type="pct"/>
            <w:vAlign w:val="center"/>
          </w:tcPr>
          <w:p w14:paraId="0EDC4668" w14:textId="2604A542"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8</w:t>
            </w:r>
          </w:p>
        </w:tc>
        <w:tc>
          <w:tcPr>
            <w:tcW w:w="442" w:type="pct"/>
            <w:vAlign w:val="center"/>
          </w:tcPr>
          <w:p w14:paraId="3385CB6A" w14:textId="243330F0"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55</w:t>
            </w:r>
          </w:p>
        </w:tc>
        <w:tc>
          <w:tcPr>
            <w:tcW w:w="442" w:type="pct"/>
            <w:vAlign w:val="center"/>
          </w:tcPr>
          <w:p w14:paraId="2ED96DDC" w14:textId="15815DFE"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47</w:t>
            </w:r>
          </w:p>
        </w:tc>
        <w:tc>
          <w:tcPr>
            <w:tcW w:w="387" w:type="pct"/>
            <w:vAlign w:val="center"/>
          </w:tcPr>
          <w:p w14:paraId="66586E48"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c>
          <w:tcPr>
            <w:tcW w:w="386" w:type="pct"/>
            <w:vAlign w:val="center"/>
          </w:tcPr>
          <w:p w14:paraId="698BA66E"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r>
      <w:tr w:rsidR="00E67914" w:rsidRPr="00E67914" w14:paraId="387AAA6A" w14:textId="77777777" w:rsidTr="00601BE5">
        <w:trPr>
          <w:cantSplit/>
          <w:jc w:val="center"/>
        </w:trPr>
        <w:tc>
          <w:tcPr>
            <w:tcW w:w="389" w:type="pct"/>
            <w:tcMar>
              <w:left w:w="0" w:type="dxa"/>
              <w:right w:w="0" w:type="dxa"/>
            </w:tcMar>
            <w:vAlign w:val="center"/>
          </w:tcPr>
          <w:p w14:paraId="270B62F1" w14:textId="77777777"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6#</w:t>
            </w:r>
          </w:p>
        </w:tc>
        <w:tc>
          <w:tcPr>
            <w:tcW w:w="890" w:type="pct"/>
            <w:tcMar>
              <w:left w:w="0" w:type="dxa"/>
              <w:right w:w="0" w:type="dxa"/>
            </w:tcMar>
            <w:vAlign w:val="center"/>
          </w:tcPr>
          <w:p w14:paraId="5F129D41" w14:textId="44CC01C1"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11#</w:t>
            </w:r>
            <w:r w:rsidRPr="00E67914">
              <w:rPr>
                <w:rFonts w:ascii="Times New Roman" w:hAnsi="Times New Roman"/>
                <w:sz w:val="21"/>
                <w:szCs w:val="21"/>
                <w:lang w:eastAsia="zh-CN"/>
              </w:rPr>
              <w:t>居民点</w:t>
            </w:r>
          </w:p>
          <w:p w14:paraId="7ADF773D" w14:textId="1BCBF005"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w:t>
            </w:r>
            <w:r w:rsidRPr="00E67914">
              <w:rPr>
                <w:rFonts w:ascii="Times New Roman" w:hAnsi="Times New Roman"/>
                <w:sz w:val="21"/>
                <w:szCs w:val="21"/>
                <w:lang w:eastAsia="zh-CN"/>
              </w:rPr>
              <w:t>208,8,1.2</w:t>
            </w:r>
            <w:r w:rsidRPr="00E67914">
              <w:rPr>
                <w:rFonts w:ascii="Times New Roman" w:hAnsi="Times New Roman"/>
                <w:sz w:val="21"/>
                <w:szCs w:val="21"/>
                <w:lang w:eastAsia="zh-CN"/>
              </w:rPr>
              <w:t>）</w:t>
            </w:r>
          </w:p>
        </w:tc>
        <w:tc>
          <w:tcPr>
            <w:tcW w:w="296" w:type="pct"/>
            <w:tcMar>
              <w:left w:w="0" w:type="dxa"/>
              <w:right w:w="0" w:type="dxa"/>
            </w:tcMar>
            <w:vAlign w:val="center"/>
          </w:tcPr>
          <w:p w14:paraId="69EE4822" w14:textId="5579EFF8"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89</w:t>
            </w:r>
          </w:p>
        </w:tc>
        <w:tc>
          <w:tcPr>
            <w:tcW w:w="442" w:type="pct"/>
            <w:vAlign w:val="center"/>
          </w:tcPr>
          <w:p w14:paraId="75522C9F" w14:textId="1C1CF08C"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55</w:t>
            </w:r>
          </w:p>
        </w:tc>
        <w:tc>
          <w:tcPr>
            <w:tcW w:w="442" w:type="pct"/>
            <w:vAlign w:val="center"/>
          </w:tcPr>
          <w:p w14:paraId="6C86BBA8" w14:textId="1D44FF02"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47</w:t>
            </w:r>
          </w:p>
        </w:tc>
        <w:tc>
          <w:tcPr>
            <w:tcW w:w="442" w:type="pct"/>
            <w:vAlign w:val="center"/>
          </w:tcPr>
          <w:p w14:paraId="07DA0B74" w14:textId="43B4F33D"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11</w:t>
            </w:r>
          </w:p>
        </w:tc>
        <w:tc>
          <w:tcPr>
            <w:tcW w:w="442" w:type="pct"/>
            <w:vAlign w:val="center"/>
          </w:tcPr>
          <w:p w14:paraId="52F61883" w14:textId="1B44A8AD"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lang w:eastAsia="zh-CN"/>
              </w:rPr>
              <w:t>11</w:t>
            </w:r>
          </w:p>
        </w:tc>
        <w:tc>
          <w:tcPr>
            <w:tcW w:w="442" w:type="pct"/>
            <w:vAlign w:val="center"/>
          </w:tcPr>
          <w:p w14:paraId="46173C58" w14:textId="40D82212"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55</w:t>
            </w:r>
          </w:p>
        </w:tc>
        <w:tc>
          <w:tcPr>
            <w:tcW w:w="442" w:type="pct"/>
            <w:vAlign w:val="center"/>
          </w:tcPr>
          <w:p w14:paraId="0472E53F" w14:textId="4FA47271"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47</w:t>
            </w:r>
          </w:p>
        </w:tc>
        <w:tc>
          <w:tcPr>
            <w:tcW w:w="387" w:type="pct"/>
            <w:vAlign w:val="center"/>
          </w:tcPr>
          <w:p w14:paraId="46D15D3B"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c>
          <w:tcPr>
            <w:tcW w:w="386" w:type="pct"/>
            <w:vAlign w:val="center"/>
          </w:tcPr>
          <w:p w14:paraId="68F274E0" w14:textId="77777777" w:rsidR="00A83051" w:rsidRPr="00E67914" w:rsidRDefault="00A83051" w:rsidP="00A83051">
            <w:pPr>
              <w:jc w:val="center"/>
              <w:rPr>
                <w:rFonts w:ascii="Times New Roman" w:hAnsi="Times New Roman"/>
                <w:sz w:val="21"/>
                <w:szCs w:val="21"/>
              </w:rPr>
            </w:pPr>
            <w:r w:rsidRPr="00E67914">
              <w:rPr>
                <w:rFonts w:ascii="Times New Roman" w:hAnsi="Times New Roman"/>
                <w:sz w:val="21"/>
                <w:szCs w:val="21"/>
              </w:rPr>
              <w:t>达标</w:t>
            </w:r>
          </w:p>
        </w:tc>
      </w:tr>
      <w:tr w:rsidR="00E67914" w:rsidRPr="00E67914" w14:paraId="74ABC05E" w14:textId="77777777" w:rsidTr="00601BE5">
        <w:trPr>
          <w:cantSplit/>
          <w:jc w:val="center"/>
        </w:trPr>
        <w:tc>
          <w:tcPr>
            <w:tcW w:w="5000" w:type="pct"/>
            <w:gridSpan w:val="11"/>
            <w:tcMar>
              <w:left w:w="0" w:type="dxa"/>
              <w:right w:w="0" w:type="dxa"/>
            </w:tcMar>
            <w:vAlign w:val="center"/>
          </w:tcPr>
          <w:p w14:paraId="54E873B5" w14:textId="77777777" w:rsidR="00A83051" w:rsidRPr="00E67914" w:rsidRDefault="00A83051" w:rsidP="00A83051">
            <w:pPr>
              <w:jc w:val="center"/>
              <w:rPr>
                <w:rFonts w:ascii="Times New Roman" w:hAnsi="Times New Roman"/>
                <w:sz w:val="21"/>
                <w:szCs w:val="21"/>
                <w:lang w:eastAsia="zh-CN"/>
              </w:rPr>
            </w:pPr>
            <w:r w:rsidRPr="00E67914">
              <w:rPr>
                <w:rFonts w:ascii="Times New Roman" w:hAnsi="Times New Roman"/>
                <w:sz w:val="21"/>
                <w:szCs w:val="21"/>
                <w:lang w:eastAsia="zh-CN"/>
              </w:rPr>
              <w:t>标准值：昼间</w:t>
            </w:r>
            <w:r w:rsidRPr="00E67914">
              <w:rPr>
                <w:rFonts w:ascii="Times New Roman" w:hAnsi="Times New Roman"/>
                <w:sz w:val="21"/>
                <w:szCs w:val="21"/>
                <w:lang w:eastAsia="zh-CN"/>
              </w:rPr>
              <w:t>60dB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），夜间</w:t>
            </w:r>
            <w:r w:rsidRPr="00E67914">
              <w:rPr>
                <w:rFonts w:ascii="Times New Roman" w:hAnsi="Times New Roman"/>
                <w:sz w:val="21"/>
                <w:szCs w:val="21"/>
                <w:lang w:eastAsia="zh-CN"/>
              </w:rPr>
              <w:t>50dB</w:t>
            </w:r>
            <w:r w:rsidRPr="00E67914">
              <w:rPr>
                <w:rFonts w:ascii="Times New Roman" w:hAnsi="Times New Roman"/>
                <w:sz w:val="21"/>
                <w:szCs w:val="21"/>
                <w:lang w:eastAsia="zh-CN"/>
              </w:rPr>
              <w:t>（</w:t>
            </w:r>
            <w:r w:rsidRPr="00E67914">
              <w:rPr>
                <w:rFonts w:ascii="Times New Roman" w:hAnsi="Times New Roman"/>
                <w:sz w:val="21"/>
                <w:szCs w:val="21"/>
                <w:lang w:eastAsia="zh-CN"/>
              </w:rPr>
              <w:t>A</w:t>
            </w:r>
            <w:r w:rsidRPr="00E67914">
              <w:rPr>
                <w:rFonts w:ascii="Times New Roman" w:hAnsi="Times New Roman"/>
                <w:sz w:val="21"/>
                <w:szCs w:val="21"/>
                <w:lang w:eastAsia="zh-CN"/>
              </w:rPr>
              <w:t>），上述敏感点距离为距离工艺装置区距离</w:t>
            </w:r>
          </w:p>
        </w:tc>
      </w:tr>
    </w:tbl>
    <w:p w14:paraId="7BFFB946" w14:textId="77777777" w:rsidR="00A54A8A" w:rsidRPr="00E67914" w:rsidRDefault="00000000">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sz w:val="24"/>
          <w:lang w:eastAsia="zh-CN"/>
        </w:rPr>
        <w:t>由上表可见，项目试采期通过采取低噪声设备、优化试采站工艺、合理布局等综合防噪措施后，厂界噪声能满足《工业企业厂界环境噪声排放标准》</w:t>
      </w:r>
      <w:r w:rsidRPr="00E67914">
        <w:rPr>
          <w:rFonts w:ascii="Times New Roman" w:hAnsi="Times New Roman"/>
          <w:bCs/>
          <w:sz w:val="24"/>
          <w:lang w:eastAsia="zh-CN"/>
        </w:rPr>
        <w:t>(GB12348-2008)</w:t>
      </w:r>
      <w:r w:rsidRPr="00E67914">
        <w:rPr>
          <w:rFonts w:ascii="Times New Roman" w:hAnsi="Times New Roman"/>
          <w:bCs/>
          <w:sz w:val="24"/>
          <w:lang w:eastAsia="zh-CN"/>
        </w:rPr>
        <w:t>中</w:t>
      </w:r>
      <w:r w:rsidRPr="00E67914">
        <w:rPr>
          <w:rFonts w:ascii="Times New Roman" w:hAnsi="Times New Roman"/>
          <w:bCs/>
          <w:sz w:val="24"/>
          <w:lang w:eastAsia="zh-CN"/>
        </w:rPr>
        <w:t>2</w:t>
      </w:r>
      <w:r w:rsidRPr="00E67914">
        <w:rPr>
          <w:rFonts w:ascii="Times New Roman" w:hAnsi="Times New Roman"/>
          <w:bCs/>
          <w:sz w:val="24"/>
          <w:lang w:eastAsia="zh-CN"/>
        </w:rPr>
        <w:t>类标准。试采站周边</w:t>
      </w:r>
      <w:r w:rsidRPr="00E67914">
        <w:rPr>
          <w:rFonts w:ascii="Times New Roman" w:hAnsi="Times New Roman"/>
          <w:bCs/>
          <w:sz w:val="24"/>
          <w:lang w:eastAsia="zh-CN"/>
        </w:rPr>
        <w:t>200m</w:t>
      </w:r>
      <w:r w:rsidRPr="00E67914">
        <w:rPr>
          <w:rFonts w:ascii="Times New Roman" w:hAnsi="Times New Roman"/>
          <w:bCs/>
          <w:sz w:val="24"/>
          <w:lang w:eastAsia="zh-CN"/>
        </w:rPr>
        <w:t>范围内居民点声环境均能满足《声环境质量标准》（</w:t>
      </w:r>
      <w:r w:rsidRPr="00E67914">
        <w:rPr>
          <w:rFonts w:ascii="Times New Roman" w:hAnsi="Times New Roman"/>
          <w:bCs/>
          <w:sz w:val="24"/>
          <w:lang w:eastAsia="zh-CN"/>
        </w:rPr>
        <w:t>GB3096-2008</w:t>
      </w:r>
      <w:r w:rsidRPr="00E67914">
        <w:rPr>
          <w:rFonts w:ascii="Times New Roman" w:hAnsi="Times New Roman"/>
          <w:bCs/>
          <w:sz w:val="24"/>
          <w:lang w:eastAsia="zh-CN"/>
        </w:rPr>
        <w:t>）</w:t>
      </w:r>
      <w:r w:rsidRPr="00E67914">
        <w:rPr>
          <w:rFonts w:ascii="Times New Roman" w:hAnsi="Times New Roman"/>
          <w:bCs/>
          <w:sz w:val="24"/>
          <w:lang w:eastAsia="zh-CN"/>
        </w:rPr>
        <w:t>2</w:t>
      </w:r>
      <w:r w:rsidRPr="00E67914">
        <w:rPr>
          <w:rFonts w:ascii="Times New Roman" w:hAnsi="Times New Roman"/>
          <w:bCs/>
          <w:sz w:val="24"/>
          <w:lang w:eastAsia="zh-CN"/>
        </w:rPr>
        <w:t>类标准要求。由此可见，项目试采期不会对区域声环境造成噪声污染影响。</w:t>
      </w:r>
    </w:p>
    <w:p w14:paraId="1C73BE9F"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2</w:t>
      </w:r>
      <w:r w:rsidRPr="00E67914">
        <w:rPr>
          <w:rFonts w:ascii="Times New Roman" w:hAnsi="Times New Roman"/>
          <w:b/>
          <w:kern w:val="2"/>
          <w:sz w:val="24"/>
          <w:szCs w:val="24"/>
          <w:lang w:eastAsia="zh-CN"/>
        </w:rPr>
        <w:t>）事故和检修放空噪声</w:t>
      </w:r>
      <w:r w:rsidRPr="00E67914">
        <w:rPr>
          <w:rFonts w:ascii="Times New Roman" w:hAnsi="Times New Roman"/>
          <w:b/>
          <w:sz w:val="24"/>
          <w:szCs w:val="24"/>
          <w:lang w:eastAsia="zh-CN"/>
        </w:rPr>
        <w:t>影响分析</w:t>
      </w:r>
    </w:p>
    <w:p w14:paraId="1F64ADE9" w14:textId="32271B6D" w:rsidR="00A54A8A" w:rsidRPr="00E67914" w:rsidRDefault="00000000">
      <w:pPr>
        <w:adjustRightInd w:val="0"/>
        <w:snapToGrid w:val="0"/>
        <w:spacing w:beforeLines="50" w:before="120"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在事故和检修放空时，产生的放空噪声等级约为</w:t>
      </w:r>
      <w:r w:rsidRPr="00E67914">
        <w:rPr>
          <w:rFonts w:ascii="Times New Roman" w:hAnsi="Times New Roman"/>
          <w:bCs/>
          <w:kern w:val="2"/>
          <w:sz w:val="24"/>
          <w:szCs w:val="24"/>
          <w:lang w:eastAsia="zh-CN"/>
        </w:rPr>
        <w:t>80dB</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A</w:t>
      </w:r>
      <w:r w:rsidRPr="00E67914">
        <w:rPr>
          <w:rFonts w:ascii="Times New Roman" w:hAnsi="Times New Roman"/>
          <w:bCs/>
          <w:kern w:val="2"/>
          <w:sz w:val="24"/>
          <w:szCs w:val="24"/>
          <w:lang w:eastAsia="zh-CN"/>
        </w:rPr>
        <w:t>），评价预测放空噪声在距声源不同距离的影响值见表</w:t>
      </w:r>
      <w:r w:rsidRPr="00E67914">
        <w:rPr>
          <w:rFonts w:ascii="Times New Roman" w:hAnsi="Times New Roman"/>
          <w:bCs/>
          <w:kern w:val="2"/>
          <w:sz w:val="24"/>
          <w:szCs w:val="24"/>
          <w:lang w:eastAsia="zh-CN"/>
        </w:rPr>
        <w:t>5.2-</w:t>
      </w:r>
      <w:r w:rsidR="00CB4B0C" w:rsidRPr="00E67914">
        <w:rPr>
          <w:rFonts w:ascii="Times New Roman" w:hAnsi="Times New Roman"/>
          <w:bCs/>
          <w:kern w:val="2"/>
          <w:sz w:val="24"/>
          <w:szCs w:val="24"/>
          <w:lang w:eastAsia="zh-CN"/>
        </w:rPr>
        <w:t>7</w:t>
      </w:r>
      <w:r w:rsidRPr="00E67914">
        <w:rPr>
          <w:rFonts w:ascii="Times New Roman" w:hAnsi="Times New Roman"/>
          <w:bCs/>
          <w:kern w:val="2"/>
          <w:sz w:val="24"/>
          <w:szCs w:val="24"/>
          <w:lang w:eastAsia="zh-CN"/>
        </w:rPr>
        <w:t>。</w:t>
      </w:r>
    </w:p>
    <w:p w14:paraId="197CD31A" w14:textId="2D3B2D09" w:rsidR="00A54A8A" w:rsidRPr="00E67914" w:rsidRDefault="00000000">
      <w:pPr>
        <w:pStyle w:val="afffff0"/>
        <w:spacing w:line="240" w:lineRule="auto"/>
        <w:rPr>
          <w:rFonts w:ascii="Times New Roman"/>
        </w:rPr>
      </w:pPr>
      <w:r w:rsidRPr="00E67914">
        <w:rPr>
          <w:rFonts w:ascii="Times New Roman"/>
        </w:rPr>
        <w:t>表</w:t>
      </w:r>
      <w:r w:rsidRPr="00E67914">
        <w:rPr>
          <w:rFonts w:ascii="Times New Roman"/>
        </w:rPr>
        <w:t>5.2-</w:t>
      </w:r>
      <w:r w:rsidR="00CB4B0C" w:rsidRPr="00E67914">
        <w:rPr>
          <w:rFonts w:ascii="Times New Roman"/>
        </w:rPr>
        <w:t>7</w:t>
      </w:r>
      <w:r w:rsidRPr="00E67914">
        <w:rPr>
          <w:rFonts w:ascii="Times New Roman"/>
        </w:rPr>
        <w:t xml:space="preserve">  </w:t>
      </w:r>
      <w:r w:rsidRPr="00E67914">
        <w:rPr>
          <w:rFonts w:ascii="Times New Roman"/>
        </w:rPr>
        <w:t>放空噪声预测结果</w:t>
      </w:r>
      <w:r w:rsidRPr="00E67914">
        <w:rPr>
          <w:rFonts w:ascii="Times New Roman"/>
        </w:rPr>
        <w:t xml:space="preserve">  </w:t>
      </w:r>
      <w:r w:rsidRPr="00E67914">
        <w:rPr>
          <w:rFonts w:ascii="Times New Roman"/>
        </w:rPr>
        <w:t>单位：</w:t>
      </w:r>
      <w:r w:rsidRPr="00E67914">
        <w:rPr>
          <w:rFonts w:ascii="Times New Roman"/>
        </w:rPr>
        <w:t>dB</w:t>
      </w:r>
      <w:r w:rsidRPr="00E67914">
        <w:rPr>
          <w:rFonts w:ascii="Times New Roman"/>
        </w:rPr>
        <w:t>（</w:t>
      </w:r>
      <w:r w:rsidRPr="00E67914">
        <w:rPr>
          <w:rFonts w:ascii="Times New Roman"/>
        </w:rPr>
        <w:t>A</w:t>
      </w:r>
      <w:r w:rsidRPr="00E67914">
        <w:rPr>
          <w:rFonts w:ascii="Times New Roman"/>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0"/>
        <w:gridCol w:w="1054"/>
        <w:gridCol w:w="1081"/>
        <w:gridCol w:w="1054"/>
        <w:gridCol w:w="1081"/>
        <w:gridCol w:w="1054"/>
        <w:gridCol w:w="1056"/>
      </w:tblGrid>
      <w:tr w:rsidR="00E67914" w:rsidRPr="00E67914" w14:paraId="3E9A8B07" w14:textId="77777777">
        <w:trPr>
          <w:trHeight w:val="454"/>
          <w:jc w:val="center"/>
        </w:trPr>
        <w:tc>
          <w:tcPr>
            <w:tcW w:w="1156" w:type="pct"/>
            <w:tcBorders>
              <w:top w:val="single" w:sz="4" w:space="0" w:color="auto"/>
              <w:left w:val="single" w:sz="4" w:space="0" w:color="auto"/>
              <w:bottom w:val="single" w:sz="4" w:space="0" w:color="auto"/>
              <w:right w:val="single" w:sz="4" w:space="0" w:color="auto"/>
            </w:tcBorders>
            <w:vAlign w:val="center"/>
          </w:tcPr>
          <w:p w14:paraId="64BB3E45" w14:textId="77777777" w:rsidR="00A54A8A" w:rsidRPr="00E67914" w:rsidRDefault="00000000">
            <w:pPr>
              <w:pStyle w:val="06"/>
              <w:rPr>
                <w:rFonts w:cs="Times New Roman"/>
              </w:rPr>
            </w:pPr>
            <w:r w:rsidRPr="00E67914">
              <w:rPr>
                <w:rFonts w:cs="Times New Roman"/>
              </w:rPr>
              <w:t>与声源距离（</w:t>
            </w:r>
            <w:r w:rsidRPr="00E67914">
              <w:rPr>
                <w:rFonts w:cs="Times New Roman"/>
              </w:rPr>
              <w:t>m</w:t>
            </w:r>
            <w:r w:rsidRPr="00E67914">
              <w:rPr>
                <w:rFonts w:cs="Times New Roman"/>
              </w:rPr>
              <w:t>）</w:t>
            </w:r>
          </w:p>
        </w:tc>
        <w:tc>
          <w:tcPr>
            <w:tcW w:w="635" w:type="pct"/>
            <w:tcBorders>
              <w:top w:val="single" w:sz="4" w:space="0" w:color="auto"/>
              <w:left w:val="single" w:sz="4" w:space="0" w:color="auto"/>
              <w:bottom w:val="single" w:sz="4" w:space="0" w:color="auto"/>
              <w:right w:val="single" w:sz="4" w:space="0" w:color="auto"/>
            </w:tcBorders>
            <w:vAlign w:val="center"/>
          </w:tcPr>
          <w:p w14:paraId="7E50D53F" w14:textId="77777777" w:rsidR="00A54A8A" w:rsidRPr="00E67914" w:rsidRDefault="00000000">
            <w:pPr>
              <w:pStyle w:val="06"/>
              <w:rPr>
                <w:rFonts w:cs="Times New Roman"/>
              </w:rPr>
            </w:pPr>
            <w:r w:rsidRPr="00E67914">
              <w:rPr>
                <w:rFonts w:cs="Times New Roman"/>
              </w:rPr>
              <w:t>10</w:t>
            </w:r>
          </w:p>
        </w:tc>
        <w:tc>
          <w:tcPr>
            <w:tcW w:w="651" w:type="pct"/>
            <w:tcBorders>
              <w:top w:val="single" w:sz="4" w:space="0" w:color="auto"/>
              <w:left w:val="single" w:sz="4" w:space="0" w:color="auto"/>
              <w:bottom w:val="single" w:sz="4" w:space="0" w:color="auto"/>
              <w:right w:val="single" w:sz="4" w:space="0" w:color="auto"/>
            </w:tcBorders>
            <w:vAlign w:val="center"/>
          </w:tcPr>
          <w:p w14:paraId="7E11DF93" w14:textId="77777777" w:rsidR="00A54A8A" w:rsidRPr="00E67914" w:rsidRDefault="00000000">
            <w:pPr>
              <w:pStyle w:val="06"/>
              <w:rPr>
                <w:rFonts w:cs="Times New Roman"/>
              </w:rPr>
            </w:pPr>
            <w:r w:rsidRPr="00E67914">
              <w:rPr>
                <w:rFonts w:cs="Times New Roman"/>
              </w:rPr>
              <w:t>15</w:t>
            </w:r>
          </w:p>
        </w:tc>
        <w:tc>
          <w:tcPr>
            <w:tcW w:w="635" w:type="pct"/>
            <w:tcBorders>
              <w:top w:val="single" w:sz="4" w:space="0" w:color="auto"/>
              <w:left w:val="single" w:sz="4" w:space="0" w:color="auto"/>
              <w:bottom w:val="single" w:sz="4" w:space="0" w:color="auto"/>
              <w:right w:val="single" w:sz="4" w:space="0" w:color="auto"/>
            </w:tcBorders>
            <w:vAlign w:val="center"/>
          </w:tcPr>
          <w:p w14:paraId="0EBAF6D4" w14:textId="77777777" w:rsidR="00A54A8A" w:rsidRPr="00E67914" w:rsidRDefault="00000000">
            <w:pPr>
              <w:pStyle w:val="06"/>
              <w:rPr>
                <w:rFonts w:cs="Times New Roman"/>
              </w:rPr>
            </w:pPr>
            <w:r w:rsidRPr="00E67914">
              <w:rPr>
                <w:rFonts w:cs="Times New Roman"/>
              </w:rPr>
              <w:t>20</w:t>
            </w:r>
          </w:p>
        </w:tc>
        <w:tc>
          <w:tcPr>
            <w:tcW w:w="651" w:type="pct"/>
            <w:tcBorders>
              <w:top w:val="single" w:sz="4" w:space="0" w:color="auto"/>
              <w:left w:val="single" w:sz="4" w:space="0" w:color="auto"/>
              <w:bottom w:val="single" w:sz="4" w:space="0" w:color="auto"/>
              <w:right w:val="single" w:sz="4" w:space="0" w:color="auto"/>
            </w:tcBorders>
            <w:vAlign w:val="center"/>
          </w:tcPr>
          <w:p w14:paraId="359BD033" w14:textId="77777777" w:rsidR="00A54A8A" w:rsidRPr="00E67914" w:rsidRDefault="00000000">
            <w:pPr>
              <w:pStyle w:val="06"/>
              <w:rPr>
                <w:rFonts w:cs="Times New Roman"/>
              </w:rPr>
            </w:pPr>
            <w:r w:rsidRPr="00E67914">
              <w:rPr>
                <w:rFonts w:cs="Times New Roman"/>
              </w:rPr>
              <w:t>30</w:t>
            </w:r>
          </w:p>
        </w:tc>
        <w:tc>
          <w:tcPr>
            <w:tcW w:w="635" w:type="pct"/>
            <w:tcBorders>
              <w:top w:val="single" w:sz="4" w:space="0" w:color="auto"/>
              <w:left w:val="single" w:sz="4" w:space="0" w:color="auto"/>
              <w:bottom w:val="single" w:sz="4" w:space="0" w:color="auto"/>
              <w:right w:val="single" w:sz="4" w:space="0" w:color="auto"/>
            </w:tcBorders>
            <w:vAlign w:val="center"/>
          </w:tcPr>
          <w:p w14:paraId="358EFC4F" w14:textId="77777777" w:rsidR="00A54A8A" w:rsidRPr="00E67914" w:rsidRDefault="00000000">
            <w:pPr>
              <w:pStyle w:val="06"/>
              <w:rPr>
                <w:rFonts w:cs="Times New Roman"/>
              </w:rPr>
            </w:pPr>
            <w:r w:rsidRPr="00E67914">
              <w:rPr>
                <w:rFonts w:cs="Times New Roman"/>
              </w:rPr>
              <w:t>40</w:t>
            </w:r>
          </w:p>
        </w:tc>
        <w:tc>
          <w:tcPr>
            <w:tcW w:w="636" w:type="pct"/>
            <w:tcBorders>
              <w:top w:val="single" w:sz="4" w:space="0" w:color="auto"/>
              <w:left w:val="single" w:sz="4" w:space="0" w:color="auto"/>
              <w:bottom w:val="single" w:sz="4" w:space="0" w:color="auto"/>
              <w:right w:val="single" w:sz="4" w:space="0" w:color="auto"/>
            </w:tcBorders>
            <w:vAlign w:val="center"/>
          </w:tcPr>
          <w:p w14:paraId="49723CFD" w14:textId="77777777" w:rsidR="00A54A8A" w:rsidRPr="00E67914" w:rsidRDefault="00000000">
            <w:pPr>
              <w:pStyle w:val="06"/>
              <w:rPr>
                <w:rFonts w:cs="Times New Roman"/>
              </w:rPr>
            </w:pPr>
            <w:r w:rsidRPr="00E67914">
              <w:rPr>
                <w:rFonts w:cs="Times New Roman"/>
              </w:rPr>
              <w:t>50</w:t>
            </w:r>
          </w:p>
        </w:tc>
      </w:tr>
      <w:tr w:rsidR="00A54A8A" w:rsidRPr="00E67914" w14:paraId="7B59C67B" w14:textId="77777777">
        <w:trPr>
          <w:trHeight w:val="454"/>
          <w:jc w:val="center"/>
        </w:trPr>
        <w:tc>
          <w:tcPr>
            <w:tcW w:w="1156" w:type="pct"/>
            <w:tcBorders>
              <w:top w:val="single" w:sz="4" w:space="0" w:color="auto"/>
              <w:left w:val="single" w:sz="4" w:space="0" w:color="auto"/>
              <w:bottom w:val="single" w:sz="4" w:space="0" w:color="auto"/>
              <w:right w:val="single" w:sz="4" w:space="0" w:color="auto"/>
            </w:tcBorders>
            <w:vAlign w:val="center"/>
          </w:tcPr>
          <w:p w14:paraId="49D47292" w14:textId="77777777" w:rsidR="00A54A8A" w:rsidRPr="00E67914" w:rsidRDefault="00000000">
            <w:pPr>
              <w:pStyle w:val="04"/>
              <w:rPr>
                <w:rFonts w:cs="Times New Roman"/>
              </w:rPr>
            </w:pPr>
            <w:r w:rsidRPr="00E67914">
              <w:rPr>
                <w:rFonts w:cs="Times New Roman"/>
              </w:rPr>
              <w:t>预测值（</w:t>
            </w:r>
            <w:r w:rsidRPr="00E67914">
              <w:rPr>
                <w:rFonts w:cs="Times New Roman"/>
              </w:rPr>
              <w:t>dB</w:t>
            </w:r>
            <w:r w:rsidRPr="00E67914">
              <w:rPr>
                <w:rFonts w:cs="Times New Roman"/>
              </w:rPr>
              <w:t>（</w:t>
            </w:r>
            <w:r w:rsidRPr="00E67914">
              <w:rPr>
                <w:rFonts w:cs="Times New Roman"/>
              </w:rPr>
              <w:t>A</w:t>
            </w:r>
            <w:r w:rsidRPr="00E67914">
              <w:rPr>
                <w:rFonts w:cs="Times New Roman"/>
              </w:rPr>
              <w:t>））</w:t>
            </w:r>
          </w:p>
        </w:tc>
        <w:tc>
          <w:tcPr>
            <w:tcW w:w="635" w:type="pct"/>
            <w:tcBorders>
              <w:top w:val="single" w:sz="4" w:space="0" w:color="auto"/>
              <w:left w:val="single" w:sz="4" w:space="0" w:color="auto"/>
              <w:bottom w:val="single" w:sz="4" w:space="0" w:color="auto"/>
              <w:right w:val="single" w:sz="4" w:space="0" w:color="auto"/>
            </w:tcBorders>
            <w:vAlign w:val="center"/>
          </w:tcPr>
          <w:p w14:paraId="763C1B82" w14:textId="77777777" w:rsidR="00A54A8A" w:rsidRPr="00E67914" w:rsidRDefault="00000000">
            <w:pPr>
              <w:pStyle w:val="04"/>
              <w:rPr>
                <w:rFonts w:cs="Times New Roman"/>
              </w:rPr>
            </w:pPr>
            <w:r w:rsidRPr="00E67914">
              <w:rPr>
                <w:rFonts w:cs="Times New Roman"/>
              </w:rPr>
              <w:t>60</w:t>
            </w:r>
          </w:p>
        </w:tc>
        <w:tc>
          <w:tcPr>
            <w:tcW w:w="651" w:type="pct"/>
            <w:tcBorders>
              <w:top w:val="single" w:sz="4" w:space="0" w:color="auto"/>
              <w:left w:val="single" w:sz="4" w:space="0" w:color="auto"/>
              <w:bottom w:val="single" w:sz="4" w:space="0" w:color="auto"/>
              <w:right w:val="single" w:sz="4" w:space="0" w:color="auto"/>
            </w:tcBorders>
            <w:vAlign w:val="center"/>
          </w:tcPr>
          <w:p w14:paraId="7AF84D93" w14:textId="77777777" w:rsidR="00A54A8A" w:rsidRPr="00E67914" w:rsidRDefault="00000000">
            <w:pPr>
              <w:pStyle w:val="04"/>
              <w:rPr>
                <w:rFonts w:cs="Times New Roman"/>
              </w:rPr>
            </w:pPr>
            <w:r w:rsidRPr="00E67914">
              <w:rPr>
                <w:rFonts w:cs="Times New Roman"/>
              </w:rPr>
              <w:t>56.5</w:t>
            </w:r>
          </w:p>
        </w:tc>
        <w:tc>
          <w:tcPr>
            <w:tcW w:w="635" w:type="pct"/>
            <w:tcBorders>
              <w:top w:val="single" w:sz="4" w:space="0" w:color="auto"/>
              <w:left w:val="single" w:sz="4" w:space="0" w:color="auto"/>
              <w:bottom w:val="single" w:sz="4" w:space="0" w:color="auto"/>
              <w:right w:val="single" w:sz="4" w:space="0" w:color="auto"/>
            </w:tcBorders>
            <w:vAlign w:val="center"/>
          </w:tcPr>
          <w:p w14:paraId="22C4EA47" w14:textId="77777777" w:rsidR="00A54A8A" w:rsidRPr="00E67914" w:rsidRDefault="00000000">
            <w:pPr>
              <w:pStyle w:val="04"/>
              <w:rPr>
                <w:rFonts w:cs="Times New Roman"/>
              </w:rPr>
            </w:pPr>
            <w:r w:rsidRPr="00E67914">
              <w:rPr>
                <w:rFonts w:cs="Times New Roman"/>
              </w:rPr>
              <w:t>54</w:t>
            </w:r>
          </w:p>
        </w:tc>
        <w:tc>
          <w:tcPr>
            <w:tcW w:w="651" w:type="pct"/>
            <w:tcBorders>
              <w:top w:val="single" w:sz="4" w:space="0" w:color="auto"/>
              <w:left w:val="single" w:sz="4" w:space="0" w:color="auto"/>
              <w:bottom w:val="single" w:sz="4" w:space="0" w:color="auto"/>
              <w:right w:val="single" w:sz="4" w:space="0" w:color="auto"/>
            </w:tcBorders>
            <w:vAlign w:val="center"/>
          </w:tcPr>
          <w:p w14:paraId="775C7297" w14:textId="77777777" w:rsidR="00A54A8A" w:rsidRPr="00E67914" w:rsidRDefault="00000000">
            <w:pPr>
              <w:pStyle w:val="04"/>
              <w:rPr>
                <w:rFonts w:cs="Times New Roman"/>
              </w:rPr>
            </w:pPr>
            <w:r w:rsidRPr="00E67914">
              <w:rPr>
                <w:rFonts w:cs="Times New Roman"/>
              </w:rPr>
              <w:t>50.5</w:t>
            </w:r>
          </w:p>
        </w:tc>
        <w:tc>
          <w:tcPr>
            <w:tcW w:w="635" w:type="pct"/>
            <w:tcBorders>
              <w:top w:val="single" w:sz="4" w:space="0" w:color="auto"/>
              <w:left w:val="single" w:sz="4" w:space="0" w:color="auto"/>
              <w:bottom w:val="single" w:sz="4" w:space="0" w:color="auto"/>
              <w:right w:val="single" w:sz="4" w:space="0" w:color="auto"/>
            </w:tcBorders>
            <w:vAlign w:val="center"/>
          </w:tcPr>
          <w:p w14:paraId="30A51207" w14:textId="77777777" w:rsidR="00A54A8A" w:rsidRPr="00E67914" w:rsidRDefault="00000000">
            <w:pPr>
              <w:pStyle w:val="04"/>
              <w:rPr>
                <w:rFonts w:cs="Times New Roman"/>
              </w:rPr>
            </w:pPr>
            <w:r w:rsidRPr="00E67914">
              <w:rPr>
                <w:rFonts w:cs="Times New Roman"/>
              </w:rPr>
              <w:t>48</w:t>
            </w:r>
          </w:p>
        </w:tc>
        <w:tc>
          <w:tcPr>
            <w:tcW w:w="636" w:type="pct"/>
            <w:tcBorders>
              <w:top w:val="single" w:sz="4" w:space="0" w:color="auto"/>
              <w:left w:val="single" w:sz="4" w:space="0" w:color="auto"/>
              <w:bottom w:val="single" w:sz="4" w:space="0" w:color="auto"/>
              <w:right w:val="single" w:sz="4" w:space="0" w:color="auto"/>
            </w:tcBorders>
            <w:vAlign w:val="center"/>
          </w:tcPr>
          <w:p w14:paraId="47B16418" w14:textId="77777777" w:rsidR="00A54A8A" w:rsidRPr="00E67914" w:rsidRDefault="00000000">
            <w:pPr>
              <w:pStyle w:val="04"/>
              <w:rPr>
                <w:rFonts w:cs="Times New Roman"/>
              </w:rPr>
            </w:pPr>
            <w:r w:rsidRPr="00E67914">
              <w:rPr>
                <w:rFonts w:cs="Times New Roman"/>
              </w:rPr>
              <w:t>46</w:t>
            </w:r>
          </w:p>
        </w:tc>
      </w:tr>
    </w:tbl>
    <w:p w14:paraId="3E204DC0" w14:textId="77777777" w:rsidR="00A54A8A" w:rsidRPr="00E67914" w:rsidRDefault="00A54A8A">
      <w:pPr>
        <w:rPr>
          <w:rFonts w:ascii="Times New Roman" w:hAnsi="Times New Roman"/>
        </w:rPr>
      </w:pPr>
    </w:p>
    <w:p w14:paraId="78539C55" w14:textId="4EB1FFEA" w:rsidR="00A54A8A" w:rsidRPr="00E67914" w:rsidRDefault="00000000">
      <w:pPr>
        <w:adjustRightInd w:val="0"/>
        <w:snapToGrid w:val="0"/>
        <w:spacing w:beforeLines="50" w:before="120"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由表</w:t>
      </w:r>
      <w:r w:rsidRPr="00E67914">
        <w:rPr>
          <w:rFonts w:ascii="Times New Roman" w:hAnsi="Times New Roman"/>
          <w:bCs/>
          <w:sz w:val="24"/>
          <w:lang w:eastAsia="zh-CN"/>
        </w:rPr>
        <w:t>5.2-</w:t>
      </w:r>
      <w:r w:rsidR="00CB4B0C" w:rsidRPr="00E67914">
        <w:rPr>
          <w:rFonts w:ascii="Times New Roman" w:hAnsi="Times New Roman"/>
          <w:bCs/>
          <w:sz w:val="24"/>
          <w:lang w:eastAsia="zh-CN"/>
        </w:rPr>
        <w:t>7</w:t>
      </w:r>
      <w:r w:rsidRPr="00E67914">
        <w:rPr>
          <w:rFonts w:ascii="Times New Roman" w:hAnsi="Times New Roman"/>
          <w:bCs/>
          <w:sz w:val="24"/>
          <w:lang w:eastAsia="zh-CN"/>
        </w:rPr>
        <w:t>可知，距离放空管</w:t>
      </w:r>
      <w:r w:rsidRPr="00E67914">
        <w:rPr>
          <w:rFonts w:ascii="Times New Roman" w:hAnsi="Times New Roman"/>
          <w:bCs/>
          <w:sz w:val="24"/>
          <w:lang w:eastAsia="zh-CN"/>
        </w:rPr>
        <w:t>10m</w:t>
      </w:r>
      <w:r w:rsidRPr="00E67914">
        <w:rPr>
          <w:rFonts w:ascii="Times New Roman" w:hAnsi="Times New Roman"/>
          <w:bCs/>
          <w:sz w:val="24"/>
          <w:lang w:eastAsia="zh-CN"/>
        </w:rPr>
        <w:t>外的昼间噪声便可达标，约在</w:t>
      </w:r>
      <w:r w:rsidRPr="00E67914">
        <w:rPr>
          <w:rFonts w:ascii="Times New Roman" w:hAnsi="Times New Roman"/>
          <w:bCs/>
          <w:sz w:val="24"/>
          <w:lang w:eastAsia="zh-CN"/>
        </w:rPr>
        <w:t>32m</w:t>
      </w:r>
      <w:r w:rsidRPr="00E67914">
        <w:rPr>
          <w:rFonts w:ascii="Times New Roman" w:hAnsi="Times New Roman"/>
          <w:bCs/>
          <w:sz w:val="24"/>
          <w:lang w:eastAsia="zh-CN"/>
        </w:rPr>
        <w:t>处夜间噪声便可达标。事故和检修放空属偶发工况，对外环境及周边居民影响小。</w:t>
      </w:r>
    </w:p>
    <w:p w14:paraId="3AA16410" w14:textId="77777777" w:rsidR="00A54A8A" w:rsidRPr="00E67914" w:rsidRDefault="00000000">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5.2.5</w:t>
      </w:r>
      <w:r w:rsidRPr="00E67914">
        <w:rPr>
          <w:rFonts w:ascii="Times New Roman" w:eastAsia="黑体" w:hAnsi="Times New Roman"/>
          <w:bCs/>
          <w:kern w:val="2"/>
          <w:sz w:val="24"/>
          <w:szCs w:val="24"/>
          <w:lang w:eastAsia="zh-CN"/>
        </w:rPr>
        <w:t>固废影响分析</w:t>
      </w:r>
    </w:p>
    <w:p w14:paraId="5C8884F7" w14:textId="583FA3E0" w:rsidR="00A54A8A" w:rsidRPr="00E67914" w:rsidRDefault="00000000" w:rsidP="00A83051">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本项目为无人值守站场，无</w:t>
      </w:r>
      <w:r w:rsidR="00A83051" w:rsidRPr="00E67914">
        <w:rPr>
          <w:rFonts w:ascii="Times New Roman" w:hAnsi="Times New Roman"/>
          <w:bCs/>
          <w:sz w:val="24"/>
          <w:lang w:eastAsia="zh-CN"/>
        </w:rPr>
        <w:t>生活垃圾</w:t>
      </w:r>
      <w:r w:rsidRPr="00E67914">
        <w:rPr>
          <w:rFonts w:ascii="Times New Roman" w:hAnsi="Times New Roman"/>
          <w:bCs/>
          <w:sz w:val="24"/>
          <w:lang w:eastAsia="zh-CN"/>
        </w:rPr>
        <w:t>产生。</w:t>
      </w:r>
      <w:r w:rsidR="00A83051" w:rsidRPr="00E67914">
        <w:rPr>
          <w:rFonts w:ascii="Times New Roman" w:hAnsi="Times New Roman"/>
          <w:bCs/>
          <w:sz w:val="24"/>
          <w:lang w:eastAsia="zh-CN"/>
        </w:rPr>
        <w:t>试采结束后对油罐进行清罐会产生清罐油泥。油泥属危险废物，由专业单位清理，清理后立即交有资质单位处置。</w:t>
      </w:r>
    </w:p>
    <w:p w14:paraId="7C61D8AF" w14:textId="77777777" w:rsidR="00A54A8A" w:rsidRPr="00E67914" w:rsidRDefault="00000000">
      <w:pPr>
        <w:adjustRightInd w:val="0"/>
        <w:snapToGrid w:val="0"/>
        <w:spacing w:line="360" w:lineRule="auto"/>
        <w:ind w:firstLineChars="200" w:firstLine="480"/>
        <w:jc w:val="both"/>
        <w:outlineLvl w:val="2"/>
        <w:rPr>
          <w:rFonts w:ascii="Times New Roman" w:eastAsia="黑体" w:hAnsi="Times New Roman"/>
          <w:bCs/>
          <w:kern w:val="2"/>
          <w:sz w:val="24"/>
          <w:szCs w:val="24"/>
          <w:lang w:eastAsia="zh-CN"/>
        </w:rPr>
      </w:pPr>
      <w:r w:rsidRPr="00E67914">
        <w:rPr>
          <w:rFonts w:ascii="Times New Roman" w:eastAsia="黑体" w:hAnsi="Times New Roman"/>
          <w:bCs/>
          <w:kern w:val="2"/>
          <w:sz w:val="24"/>
          <w:szCs w:val="24"/>
          <w:lang w:eastAsia="zh-CN"/>
        </w:rPr>
        <w:t>5.2.6</w:t>
      </w:r>
      <w:r w:rsidRPr="00E67914">
        <w:rPr>
          <w:rFonts w:ascii="Times New Roman" w:eastAsia="黑体" w:hAnsi="Times New Roman"/>
          <w:bCs/>
          <w:kern w:val="2"/>
          <w:sz w:val="24"/>
          <w:szCs w:val="24"/>
          <w:lang w:eastAsia="zh-CN"/>
        </w:rPr>
        <w:t>土壤环境影响分析</w:t>
      </w:r>
    </w:p>
    <w:p w14:paraId="50C2B36D" w14:textId="7803D3B6"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本项目试采期污染物主要通过地面漫流、垂直入渗途径污染土壤。对于</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区，在事故情况下会造成污染物的泄露，通过地面漫流、垂直入渗途径污染土壤。</w:t>
      </w:r>
    </w:p>
    <w:p w14:paraId="586A2E32" w14:textId="3B38EE21"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本项目试采期对井身固井合格后运行，地层水不会从井筒泄漏进入土壤环境；</w:t>
      </w:r>
      <w:r w:rsidR="002346F6" w:rsidRPr="00E67914">
        <w:rPr>
          <w:rFonts w:ascii="Times New Roman" w:hAnsi="Times New Roman"/>
          <w:sz w:val="24"/>
          <w:szCs w:val="24"/>
          <w:lang w:eastAsia="zh-CN"/>
        </w:rPr>
        <w:t>气田水</w:t>
      </w:r>
      <w:r w:rsidRPr="00E67914">
        <w:rPr>
          <w:rFonts w:ascii="Times New Roman" w:hAnsi="Times New Roman"/>
          <w:sz w:val="24"/>
          <w:szCs w:val="24"/>
          <w:lang w:eastAsia="zh-CN"/>
        </w:rPr>
        <w:t>暂存于</w:t>
      </w:r>
      <w:r w:rsidR="00A9536E" w:rsidRPr="00E67914">
        <w:rPr>
          <w:rFonts w:ascii="Times New Roman" w:hAnsi="Times New Roman"/>
          <w:bCs/>
          <w:sz w:val="24"/>
          <w:lang w:eastAsia="zh-CN"/>
        </w:rPr>
        <w:t>放空分液罐、采出水罐</w:t>
      </w:r>
      <w:r w:rsidRPr="00E67914">
        <w:rPr>
          <w:rFonts w:ascii="Times New Roman" w:hAnsi="Times New Roman"/>
          <w:sz w:val="24"/>
          <w:szCs w:val="24"/>
          <w:lang w:eastAsia="zh-CN"/>
        </w:rPr>
        <w:t>，罐车外运行处理；非正常工况井下作业废水用密闭罐车拉运至赵家坝污水处理站处理达标后经普光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w:t>
      </w:r>
      <w:r w:rsidRPr="00E67914">
        <w:rPr>
          <w:rFonts w:ascii="Times New Roman" w:hAnsi="Times New Roman"/>
          <w:sz w:val="24"/>
          <w:szCs w:val="24"/>
          <w:lang w:eastAsia="zh-CN"/>
        </w:rPr>
        <w:lastRenderedPageBreak/>
        <w:t>注；试采期工作人员生活污水经站场化粪池处理后定期由密闭罐车拉运至周边生活污水处理厂处理；除此之外，无其他废水产生，井站也无生产固废产生和堆放。同时</w:t>
      </w:r>
      <w:r w:rsidRPr="00E67914">
        <w:rPr>
          <w:rFonts w:ascii="Times New Roman" w:hAnsi="Times New Roman"/>
          <w:bCs/>
          <w:sz w:val="24"/>
          <w:lang w:eastAsia="zh-CN"/>
        </w:rPr>
        <w:t>井站设置了清污分流，</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区和方井设置了围堰拦截</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事故状态下泄露的污水，同时</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周围设置导流沟，将可能泄露的废水导流至集污坑；井场四周设置有排水沟与自然沟渠连接，便于疏导场地雨水。此外，本项目试采期对</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区、方井周边采取重点防渗，工艺区进行一般防渗，</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暂存地层水及时转运，污水发生泄露进入土壤环境可能性较小，在加强土壤环境的跟踪监测在后，试采期不会对土壤环境造成不利影响。</w:t>
      </w:r>
    </w:p>
    <w:p w14:paraId="7C7B0695"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sz w:val="24"/>
          <w:lang w:eastAsia="zh-CN"/>
        </w:rPr>
        <w:t>同时调查了川东北地区诸多天然气勘探、钻采工程，试采期均未对土壤环境造成不利影响，因此本项目试采期对土壤环境影响很小，项目在试采期对土壤环境的影响是可以接受的。</w:t>
      </w:r>
    </w:p>
    <w:p w14:paraId="16B87AD7" w14:textId="77777777" w:rsidR="00A54A8A" w:rsidRPr="00E67914" w:rsidRDefault="00000000">
      <w:pPr>
        <w:pStyle w:val="2"/>
        <w:spacing w:beforeLines="50" w:before="120"/>
        <w:ind w:firstLine="480"/>
        <w:rPr>
          <w:szCs w:val="24"/>
          <w:lang w:eastAsia="zh-CN"/>
        </w:rPr>
      </w:pPr>
      <w:bookmarkStart w:id="145" w:name="5.3环境风险分析"/>
      <w:bookmarkStart w:id="146" w:name="5.2.5营运期固体废弃物对环境的影响"/>
      <w:bookmarkStart w:id="147" w:name="5.2.4营运期声环境影响分析"/>
      <w:bookmarkStart w:id="148" w:name="_bookmark30"/>
      <w:bookmarkStart w:id="149" w:name="_Toc148654232"/>
      <w:bookmarkEnd w:id="145"/>
      <w:bookmarkEnd w:id="146"/>
      <w:bookmarkEnd w:id="147"/>
      <w:bookmarkEnd w:id="148"/>
      <w:r w:rsidRPr="00E67914">
        <w:rPr>
          <w:szCs w:val="24"/>
          <w:lang w:eastAsia="zh-CN"/>
        </w:rPr>
        <w:t>5.3</w:t>
      </w:r>
      <w:r w:rsidRPr="00E67914">
        <w:rPr>
          <w:szCs w:val="24"/>
          <w:lang w:eastAsia="zh-CN"/>
        </w:rPr>
        <w:t>地下水环境影响分析</w:t>
      </w:r>
      <w:bookmarkEnd w:id="149"/>
    </w:p>
    <w:p w14:paraId="3E4D558F"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5.3.1</w:t>
      </w:r>
      <w:r w:rsidRPr="00E67914">
        <w:rPr>
          <w:rFonts w:ascii="Times New Roman" w:eastAsia="黑体" w:hAnsi="Times New Roman"/>
          <w:b w:val="0"/>
          <w:sz w:val="24"/>
          <w:szCs w:val="24"/>
          <w:lang w:eastAsia="zh-CN"/>
        </w:rPr>
        <w:t>项目区水文地质条件</w:t>
      </w:r>
    </w:p>
    <w:p w14:paraId="37D8256B"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r w:rsidRPr="00E67914">
        <w:rPr>
          <w:rFonts w:ascii="Times New Roman" w:eastAsia="黑体" w:hAnsi="Times New Roman"/>
          <w:bCs/>
          <w:kern w:val="2"/>
          <w:lang w:eastAsia="zh-CN"/>
        </w:rPr>
        <w:t>1</w:t>
      </w:r>
      <w:r w:rsidRPr="00E67914">
        <w:rPr>
          <w:rFonts w:ascii="Times New Roman" w:eastAsia="黑体" w:hAnsi="Times New Roman"/>
          <w:bCs/>
          <w:kern w:val="2"/>
          <w:lang w:eastAsia="zh-CN"/>
        </w:rPr>
        <w:t>、地下水类型及补给、径流和排泄</w:t>
      </w:r>
    </w:p>
    <w:p w14:paraId="7A2044D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bookmarkStart w:id="150" w:name="_Toc14702819"/>
      <w:r w:rsidRPr="00E67914">
        <w:rPr>
          <w:rFonts w:ascii="Times New Roman" w:hAnsi="Times New Roman"/>
          <w:sz w:val="24"/>
          <w:szCs w:val="24"/>
          <w:lang w:eastAsia="zh-CN"/>
        </w:rPr>
        <w:t>普光气田区含有地下水的层位主要有侏罗系蓬莱镇组、遂宁组和上沙溪庙组，地形不同、地表出露地层不同，其主要含有地下水的层位也不同。</w:t>
      </w:r>
    </w:p>
    <w:p w14:paraId="42FF186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普光气田开发区内地下水类型包括松散堆积层孔隙水、碎屑岩裂隙孔隙水和基岩裂隙水，其中本项目所在区域以基岩裂隙水与碎屑岩类裂隙水为主。沟谷地段为地下水的排泄区。岩性变化地段和结构松散的卸荷岩体具有较强的透水性能，岩体的透水性具有随着深度的增加、卸荷的减弱而递减的一般规律。</w:t>
      </w:r>
    </w:p>
    <w:p w14:paraId="4F57BE6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1</w:t>
      </w:r>
      <w:r w:rsidRPr="00E67914">
        <w:rPr>
          <w:rFonts w:ascii="Times New Roman" w:hAnsi="Times New Roman"/>
          <w:sz w:val="24"/>
          <w:szCs w:val="24"/>
          <w:lang w:eastAsia="zh-CN"/>
        </w:rPr>
        <w:t>）松散堆积层孔隙水</w:t>
      </w:r>
    </w:p>
    <w:p w14:paraId="7431060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松散堆积层孔隙潜水主要赋存于河流阶地的细砂层中，基岩为相对隔水层，零星分布在赵家坝、清溪镇等地，即中河、后河、清溪河宽谷地带，含水层为第四系全新统，以冲积、冲洪积砂质粘土夹砾石为主，次为残坡积和崩坡积之砂质粘土，粘质砂土夹杂碎石块。泉流量一般小于</w:t>
      </w:r>
      <w:r w:rsidRPr="00E67914">
        <w:rPr>
          <w:rFonts w:ascii="Times New Roman" w:hAnsi="Times New Roman"/>
          <w:sz w:val="24"/>
          <w:szCs w:val="24"/>
          <w:lang w:eastAsia="zh-CN"/>
        </w:rPr>
        <w:t>0.1L/s</w:t>
      </w:r>
      <w:r w:rsidRPr="00E67914">
        <w:rPr>
          <w:rFonts w:ascii="Times New Roman" w:hAnsi="Times New Roman"/>
          <w:sz w:val="24"/>
          <w:szCs w:val="24"/>
          <w:lang w:eastAsia="zh-CN"/>
        </w:rPr>
        <w:t>，钻孔涌水量小于</w:t>
      </w:r>
      <w:r w:rsidRPr="00E67914">
        <w:rPr>
          <w:rFonts w:ascii="Times New Roman" w:hAnsi="Times New Roman"/>
          <w:sz w:val="24"/>
          <w:szCs w:val="24"/>
          <w:lang w:eastAsia="zh-CN"/>
        </w:rPr>
        <w:t>50m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/d</w:t>
      </w:r>
      <w:r w:rsidRPr="00E67914">
        <w:rPr>
          <w:rFonts w:ascii="Times New Roman" w:hAnsi="Times New Roman"/>
          <w:sz w:val="24"/>
          <w:szCs w:val="24"/>
          <w:lang w:eastAsia="zh-CN"/>
        </w:rPr>
        <w:t>。分布零星，面积窄小，厚度薄（</w:t>
      </w:r>
      <w:r w:rsidRPr="00E67914">
        <w:rPr>
          <w:rFonts w:ascii="Times New Roman" w:hAnsi="Times New Roman"/>
          <w:sz w:val="24"/>
          <w:szCs w:val="24"/>
          <w:lang w:eastAsia="zh-CN"/>
        </w:rPr>
        <w:t>0</w:t>
      </w:r>
      <w:r w:rsidRPr="00E67914">
        <w:rPr>
          <w:rFonts w:ascii="Times New Roman" w:hAnsi="Times New Roman"/>
          <w:sz w:val="24"/>
          <w:szCs w:val="24"/>
          <w:lang w:eastAsia="zh-CN"/>
        </w:rPr>
        <w:t>～</w:t>
      </w:r>
      <w:r w:rsidRPr="00E67914">
        <w:rPr>
          <w:rFonts w:ascii="Times New Roman" w:hAnsi="Times New Roman"/>
          <w:sz w:val="24"/>
          <w:szCs w:val="24"/>
          <w:lang w:eastAsia="zh-CN"/>
        </w:rPr>
        <w:t>20m</w:t>
      </w:r>
      <w:r w:rsidRPr="00E67914">
        <w:rPr>
          <w:rFonts w:ascii="Times New Roman" w:hAnsi="Times New Roman"/>
          <w:sz w:val="24"/>
          <w:szCs w:val="24"/>
          <w:lang w:eastAsia="zh-CN"/>
        </w:rPr>
        <w:t>），地下水较为贫乏，不具有供水意义。一般属</w:t>
      </w:r>
      <w:r w:rsidRPr="00E67914">
        <w:rPr>
          <w:rFonts w:ascii="Times New Roman" w:hAnsi="Times New Roman"/>
          <w:sz w:val="24"/>
          <w:szCs w:val="24"/>
          <w:lang w:eastAsia="zh-CN"/>
        </w:rPr>
        <w:t>HCO</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--Ca</w:t>
      </w:r>
      <w:r w:rsidRPr="00E67914">
        <w:rPr>
          <w:rFonts w:ascii="Times New Roman" w:hAnsi="Times New Roman"/>
          <w:sz w:val="24"/>
          <w:szCs w:val="24"/>
          <w:lang w:eastAsia="zh-CN"/>
        </w:rPr>
        <w:t>（</w:t>
      </w:r>
      <w:r w:rsidRPr="00E67914">
        <w:rPr>
          <w:rFonts w:ascii="Times New Roman" w:hAnsi="Times New Roman"/>
          <w:sz w:val="24"/>
          <w:szCs w:val="24"/>
          <w:lang w:eastAsia="zh-CN"/>
        </w:rPr>
        <w:t>Na+K</w:t>
      </w:r>
      <w:r w:rsidRPr="00E67914">
        <w:rPr>
          <w:rFonts w:ascii="Times New Roman" w:hAnsi="Times New Roman"/>
          <w:sz w:val="24"/>
          <w:szCs w:val="24"/>
          <w:lang w:eastAsia="zh-CN"/>
        </w:rPr>
        <w:t>）水，矿化度</w:t>
      </w:r>
      <w:r w:rsidRPr="00E67914">
        <w:rPr>
          <w:rFonts w:ascii="Times New Roman" w:hAnsi="Times New Roman"/>
          <w:sz w:val="24"/>
          <w:szCs w:val="24"/>
          <w:lang w:eastAsia="zh-CN"/>
        </w:rPr>
        <w:t>0.356</w:t>
      </w:r>
      <w:r w:rsidRPr="00E67914">
        <w:rPr>
          <w:rFonts w:ascii="Times New Roman" w:hAnsi="Times New Roman"/>
          <w:sz w:val="24"/>
          <w:szCs w:val="24"/>
          <w:lang w:eastAsia="zh-CN"/>
        </w:rPr>
        <w:t>～</w:t>
      </w:r>
      <w:r w:rsidRPr="00E67914">
        <w:rPr>
          <w:rFonts w:ascii="Times New Roman" w:hAnsi="Times New Roman"/>
          <w:sz w:val="24"/>
          <w:szCs w:val="24"/>
          <w:lang w:eastAsia="zh-CN"/>
        </w:rPr>
        <w:t>0.392g/L</w:t>
      </w:r>
      <w:r w:rsidRPr="00E67914">
        <w:rPr>
          <w:rFonts w:ascii="Times New Roman" w:hAnsi="Times New Roman"/>
          <w:sz w:val="24"/>
          <w:szCs w:val="24"/>
          <w:lang w:eastAsia="zh-CN"/>
        </w:rPr>
        <w:t>，总硬度</w:t>
      </w:r>
      <w:r w:rsidRPr="00E67914">
        <w:rPr>
          <w:rFonts w:ascii="Times New Roman" w:hAnsi="Times New Roman"/>
          <w:sz w:val="24"/>
          <w:szCs w:val="24"/>
          <w:lang w:eastAsia="zh-CN"/>
        </w:rPr>
        <w:t>13</w:t>
      </w:r>
      <w:r w:rsidRPr="00E67914">
        <w:rPr>
          <w:rFonts w:ascii="Times New Roman" w:hAnsi="Times New Roman"/>
          <w:sz w:val="24"/>
          <w:szCs w:val="24"/>
          <w:lang w:eastAsia="zh-CN"/>
        </w:rPr>
        <w:t>～</w:t>
      </w:r>
      <w:r w:rsidRPr="00E67914">
        <w:rPr>
          <w:rFonts w:ascii="Times New Roman" w:hAnsi="Times New Roman"/>
          <w:sz w:val="24"/>
          <w:szCs w:val="24"/>
          <w:lang w:eastAsia="zh-CN"/>
        </w:rPr>
        <w:t>15</w:t>
      </w:r>
      <w:r w:rsidRPr="00E67914">
        <w:rPr>
          <w:rFonts w:ascii="Times New Roman" w:hAnsi="Times New Roman"/>
          <w:sz w:val="24"/>
          <w:szCs w:val="24"/>
          <w:lang w:eastAsia="zh-CN"/>
        </w:rPr>
        <w:t>德度，</w:t>
      </w:r>
      <w:r w:rsidRPr="00E67914">
        <w:rPr>
          <w:rFonts w:ascii="Times New Roman" w:hAnsi="Times New Roman"/>
          <w:sz w:val="24"/>
          <w:szCs w:val="24"/>
          <w:lang w:eastAsia="zh-CN"/>
        </w:rPr>
        <w:t>pH</w:t>
      </w:r>
      <w:r w:rsidRPr="00E67914">
        <w:rPr>
          <w:rFonts w:ascii="Times New Roman" w:hAnsi="Times New Roman"/>
          <w:sz w:val="24"/>
          <w:szCs w:val="24"/>
          <w:lang w:eastAsia="zh-CN"/>
        </w:rPr>
        <w:t>值</w:t>
      </w:r>
      <w:r w:rsidRPr="00E67914">
        <w:rPr>
          <w:rFonts w:ascii="Times New Roman" w:hAnsi="Times New Roman"/>
          <w:sz w:val="24"/>
          <w:szCs w:val="24"/>
          <w:lang w:eastAsia="zh-CN"/>
        </w:rPr>
        <w:t>5</w:t>
      </w:r>
      <w:r w:rsidRPr="00E67914">
        <w:rPr>
          <w:rFonts w:ascii="Times New Roman" w:hAnsi="Times New Roman"/>
          <w:sz w:val="24"/>
          <w:szCs w:val="24"/>
          <w:lang w:eastAsia="zh-CN"/>
        </w:rPr>
        <w:t>～</w:t>
      </w:r>
      <w:r w:rsidRPr="00E67914">
        <w:rPr>
          <w:rFonts w:ascii="Times New Roman" w:hAnsi="Times New Roman"/>
          <w:sz w:val="24"/>
          <w:szCs w:val="24"/>
          <w:lang w:eastAsia="zh-CN"/>
        </w:rPr>
        <w:t>6</w:t>
      </w:r>
      <w:r w:rsidRPr="00E67914">
        <w:rPr>
          <w:rFonts w:ascii="Times New Roman" w:hAnsi="Times New Roman"/>
          <w:sz w:val="24"/>
          <w:szCs w:val="24"/>
          <w:lang w:eastAsia="zh-CN"/>
        </w:rPr>
        <w:t>。</w:t>
      </w:r>
    </w:p>
    <w:p w14:paraId="17C04D3A"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lastRenderedPageBreak/>
        <w:t>2</w:t>
      </w:r>
      <w:r w:rsidRPr="00E67914">
        <w:rPr>
          <w:rFonts w:ascii="Times New Roman" w:hAnsi="Times New Roman"/>
          <w:sz w:val="24"/>
          <w:szCs w:val="24"/>
          <w:lang w:eastAsia="zh-CN"/>
        </w:rPr>
        <w:t>碎屑岩裂隙孔隙水</w:t>
      </w:r>
    </w:p>
    <w:p w14:paraId="475F5D19"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分布于黄金口背斜中段一带，主要由沙溪庙组地层组成，但在其中段核部有两处出露了千佛崖组地层，形成构造窗。其中南面的一处位于普光镇西北，长</w:t>
      </w:r>
      <w:r w:rsidRPr="00E67914">
        <w:rPr>
          <w:rFonts w:ascii="Times New Roman" w:hAnsi="Times New Roman"/>
          <w:sz w:val="24"/>
          <w:szCs w:val="24"/>
          <w:lang w:eastAsia="zh-CN"/>
        </w:rPr>
        <w:t>15km</w:t>
      </w:r>
      <w:r w:rsidRPr="00E67914">
        <w:rPr>
          <w:rFonts w:ascii="Times New Roman" w:hAnsi="Times New Roman"/>
          <w:sz w:val="24"/>
          <w:szCs w:val="24"/>
          <w:lang w:eastAsia="zh-CN"/>
        </w:rPr>
        <w:t>左右，宽</w:t>
      </w: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Pr="00E67914">
        <w:rPr>
          <w:rFonts w:ascii="Times New Roman" w:hAnsi="Times New Roman"/>
          <w:sz w:val="24"/>
          <w:szCs w:val="24"/>
          <w:lang w:eastAsia="zh-CN"/>
        </w:rPr>
        <w:t>2km</w:t>
      </w:r>
      <w:r w:rsidRPr="00E67914">
        <w:rPr>
          <w:rFonts w:ascii="Times New Roman" w:hAnsi="Times New Roman"/>
          <w:sz w:val="24"/>
          <w:szCs w:val="24"/>
          <w:lang w:eastAsia="zh-CN"/>
        </w:rPr>
        <w:t>；北面一处位于黄金口边，长</w:t>
      </w:r>
      <w:r w:rsidRPr="00E67914">
        <w:rPr>
          <w:rFonts w:ascii="Times New Roman" w:hAnsi="Times New Roman"/>
          <w:sz w:val="24"/>
          <w:szCs w:val="24"/>
          <w:lang w:eastAsia="zh-CN"/>
        </w:rPr>
        <w:t>10km</w:t>
      </w:r>
      <w:r w:rsidRPr="00E67914">
        <w:rPr>
          <w:rFonts w:ascii="Times New Roman" w:hAnsi="Times New Roman"/>
          <w:sz w:val="24"/>
          <w:szCs w:val="24"/>
          <w:lang w:eastAsia="zh-CN"/>
        </w:rPr>
        <w:t>，宽</w:t>
      </w: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Pr="00E67914">
        <w:rPr>
          <w:rFonts w:ascii="Times New Roman" w:hAnsi="Times New Roman"/>
          <w:sz w:val="24"/>
          <w:szCs w:val="24"/>
          <w:lang w:eastAsia="zh-CN"/>
        </w:rPr>
        <w:t>4km</w:t>
      </w:r>
      <w:r w:rsidRPr="00E67914">
        <w:rPr>
          <w:rFonts w:ascii="Times New Roman" w:hAnsi="Times New Roman"/>
          <w:sz w:val="24"/>
          <w:szCs w:val="24"/>
          <w:lang w:eastAsia="zh-CN"/>
        </w:rPr>
        <w:t>。由于该背斜穿插于北西向构造之中，并受到强烈的挤压，因而两翼岩层产状较陡，倾角达</w:t>
      </w:r>
      <w:r w:rsidRPr="00E67914">
        <w:rPr>
          <w:rFonts w:ascii="Times New Roman" w:hAnsi="Times New Roman"/>
          <w:sz w:val="24"/>
          <w:szCs w:val="24"/>
          <w:lang w:eastAsia="zh-CN"/>
        </w:rPr>
        <w:t>20°</w:t>
      </w:r>
      <w:r w:rsidRPr="00E67914">
        <w:rPr>
          <w:rFonts w:ascii="Times New Roman" w:hAnsi="Times New Roman"/>
          <w:sz w:val="24"/>
          <w:szCs w:val="24"/>
          <w:lang w:eastAsia="zh-CN"/>
        </w:rPr>
        <w:t>～</w:t>
      </w:r>
      <w:r w:rsidRPr="00E67914">
        <w:rPr>
          <w:rFonts w:ascii="Times New Roman" w:hAnsi="Times New Roman"/>
          <w:sz w:val="24"/>
          <w:szCs w:val="24"/>
          <w:lang w:eastAsia="zh-CN"/>
        </w:rPr>
        <w:t>50°</w:t>
      </w:r>
      <w:r w:rsidRPr="00E67914">
        <w:rPr>
          <w:rFonts w:ascii="Times New Roman" w:hAnsi="Times New Roman"/>
          <w:sz w:val="24"/>
          <w:szCs w:val="24"/>
          <w:lang w:eastAsia="zh-CN"/>
        </w:rPr>
        <w:t>。但向外围很快变缓，节理裂隙发育。在地貌上形成背斜山，千佛崖组地层裸露于轴部附近山岭一带，补给区位置较高，对于翼部地下水的补给、运移和富集有利，因而黄金口背斜翼部地下水比较丰富，特别是在千佛崖组和沙溪庙组接触带附近，有较丰富的层间承压水，泉水流量大于</w:t>
      </w:r>
      <w:r w:rsidRPr="00E67914">
        <w:rPr>
          <w:rFonts w:ascii="Times New Roman" w:hAnsi="Times New Roman"/>
          <w:sz w:val="24"/>
          <w:szCs w:val="24"/>
          <w:lang w:eastAsia="zh-CN"/>
        </w:rPr>
        <w:t>11m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/d</w:t>
      </w:r>
      <w:r w:rsidRPr="00E67914">
        <w:rPr>
          <w:rFonts w:ascii="Times New Roman" w:hAnsi="Times New Roman"/>
          <w:sz w:val="24"/>
          <w:szCs w:val="24"/>
          <w:lang w:eastAsia="zh-CN"/>
        </w:rPr>
        <w:t>，单井涌水量可达</w:t>
      </w:r>
      <w:r w:rsidRPr="00E67914">
        <w:rPr>
          <w:rFonts w:ascii="Times New Roman" w:hAnsi="Times New Roman"/>
          <w:sz w:val="24"/>
          <w:szCs w:val="24"/>
          <w:lang w:eastAsia="zh-CN"/>
        </w:rPr>
        <w:t>100</w:t>
      </w:r>
      <w:r w:rsidRPr="00E67914">
        <w:rPr>
          <w:rFonts w:ascii="Times New Roman" w:hAnsi="Times New Roman"/>
          <w:sz w:val="24"/>
          <w:szCs w:val="24"/>
          <w:lang w:eastAsia="zh-CN"/>
        </w:rPr>
        <w:t>～</w:t>
      </w:r>
      <w:r w:rsidRPr="00E67914">
        <w:rPr>
          <w:rFonts w:ascii="Times New Roman" w:hAnsi="Times New Roman"/>
          <w:sz w:val="24"/>
          <w:szCs w:val="24"/>
          <w:lang w:eastAsia="zh-CN"/>
        </w:rPr>
        <w:t>500m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/d</w:t>
      </w:r>
      <w:r w:rsidRPr="00E67914">
        <w:rPr>
          <w:rFonts w:ascii="Times New Roman" w:hAnsi="Times New Roman"/>
          <w:sz w:val="24"/>
          <w:szCs w:val="24"/>
          <w:lang w:eastAsia="zh-CN"/>
        </w:rPr>
        <w:t>，含水层顶板埋深</w:t>
      </w:r>
      <w:r w:rsidRPr="00E67914">
        <w:rPr>
          <w:rFonts w:ascii="Times New Roman" w:hAnsi="Times New Roman"/>
          <w:sz w:val="24"/>
          <w:szCs w:val="24"/>
          <w:lang w:eastAsia="zh-CN"/>
        </w:rPr>
        <w:t>50</w:t>
      </w:r>
      <w:r w:rsidRPr="00E67914">
        <w:rPr>
          <w:rFonts w:ascii="Times New Roman" w:hAnsi="Times New Roman"/>
          <w:sz w:val="24"/>
          <w:szCs w:val="24"/>
          <w:lang w:eastAsia="zh-CN"/>
        </w:rPr>
        <w:t>～</w:t>
      </w:r>
      <w:r w:rsidRPr="00E67914">
        <w:rPr>
          <w:rFonts w:ascii="Times New Roman" w:hAnsi="Times New Roman"/>
          <w:sz w:val="24"/>
          <w:szCs w:val="24"/>
          <w:lang w:eastAsia="zh-CN"/>
        </w:rPr>
        <w:t>100m</w:t>
      </w:r>
      <w:r w:rsidRPr="00E67914">
        <w:rPr>
          <w:rFonts w:ascii="Times New Roman" w:hAnsi="Times New Roman"/>
          <w:sz w:val="24"/>
          <w:szCs w:val="24"/>
          <w:lang w:eastAsia="zh-CN"/>
        </w:rPr>
        <w:t>。</w:t>
      </w:r>
    </w:p>
    <w:p w14:paraId="3083564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由于含水层主要出露于山岭地带，补给区所处位置较高，地下水以接受大气降水的渗入补给为主，补给后地下水主要通过构造裂隙和层间裂隙沿岩层倾斜方向作垂向（倾向）运动。一部分地下水在地表侵蚀基准面之上以下降泉的形式排泄，一部分向深部运移、贮集，并作水平（走向）运动。在含水层被沟谷切割的地段，可以接受地表水的补给，地下水运动的总趋势是由北东向南西方向径流。地下水化学类型为重碳酸钙镁型和重碳酸硫酸钙镁型，矿化度</w:t>
      </w:r>
      <w:r w:rsidRPr="00E67914">
        <w:rPr>
          <w:rFonts w:ascii="Times New Roman" w:hAnsi="Times New Roman"/>
          <w:sz w:val="24"/>
          <w:szCs w:val="24"/>
          <w:lang w:eastAsia="zh-CN"/>
        </w:rPr>
        <w:t>0.2g/L</w:t>
      </w:r>
      <w:r w:rsidRPr="00E67914">
        <w:rPr>
          <w:rFonts w:ascii="Times New Roman" w:hAnsi="Times New Roman"/>
          <w:sz w:val="24"/>
          <w:szCs w:val="24"/>
          <w:lang w:eastAsia="zh-CN"/>
        </w:rPr>
        <w:t>左右，总硬度</w:t>
      </w:r>
      <w:r w:rsidRPr="00E67914">
        <w:rPr>
          <w:rFonts w:ascii="Times New Roman" w:hAnsi="Times New Roman"/>
          <w:sz w:val="24"/>
          <w:szCs w:val="24"/>
          <w:lang w:eastAsia="zh-CN"/>
        </w:rPr>
        <w:t>0.8</w:t>
      </w:r>
      <w:r w:rsidRPr="00E67914">
        <w:rPr>
          <w:rFonts w:ascii="Times New Roman" w:hAnsi="Times New Roman"/>
          <w:sz w:val="24"/>
          <w:szCs w:val="24"/>
          <w:lang w:eastAsia="zh-CN"/>
        </w:rPr>
        <w:t>～</w:t>
      </w:r>
      <w:r w:rsidRPr="00E67914">
        <w:rPr>
          <w:rFonts w:ascii="Times New Roman" w:hAnsi="Times New Roman"/>
          <w:sz w:val="24"/>
          <w:szCs w:val="24"/>
          <w:lang w:eastAsia="zh-CN"/>
        </w:rPr>
        <w:t>6.5</w:t>
      </w:r>
      <w:r w:rsidRPr="00E67914">
        <w:rPr>
          <w:rFonts w:ascii="Times New Roman" w:hAnsi="Times New Roman"/>
          <w:sz w:val="24"/>
          <w:szCs w:val="24"/>
          <w:lang w:eastAsia="zh-CN"/>
        </w:rPr>
        <w:t>德度，</w:t>
      </w:r>
      <w:r w:rsidRPr="00E67914">
        <w:rPr>
          <w:rFonts w:ascii="Times New Roman" w:hAnsi="Times New Roman"/>
          <w:sz w:val="24"/>
          <w:szCs w:val="24"/>
          <w:lang w:eastAsia="zh-CN"/>
        </w:rPr>
        <w:t>pH</w:t>
      </w:r>
      <w:r w:rsidRPr="00E67914">
        <w:rPr>
          <w:rFonts w:ascii="Times New Roman" w:hAnsi="Times New Roman"/>
          <w:sz w:val="24"/>
          <w:szCs w:val="24"/>
          <w:lang w:eastAsia="zh-CN"/>
        </w:rPr>
        <w:t>值</w:t>
      </w:r>
      <w:r w:rsidRPr="00E67914">
        <w:rPr>
          <w:rFonts w:ascii="Times New Roman" w:hAnsi="Times New Roman"/>
          <w:sz w:val="24"/>
          <w:szCs w:val="24"/>
          <w:lang w:eastAsia="zh-CN"/>
        </w:rPr>
        <w:t>6</w:t>
      </w:r>
      <w:r w:rsidRPr="00E67914">
        <w:rPr>
          <w:rFonts w:ascii="Times New Roman" w:hAnsi="Times New Roman"/>
          <w:sz w:val="24"/>
          <w:szCs w:val="24"/>
          <w:lang w:eastAsia="zh-CN"/>
        </w:rPr>
        <w:t>～</w:t>
      </w:r>
      <w:r w:rsidRPr="00E67914">
        <w:rPr>
          <w:rFonts w:ascii="Times New Roman" w:hAnsi="Times New Roman"/>
          <w:sz w:val="24"/>
          <w:szCs w:val="24"/>
          <w:lang w:eastAsia="zh-CN"/>
        </w:rPr>
        <w:t>7</w:t>
      </w:r>
      <w:r w:rsidRPr="00E67914">
        <w:rPr>
          <w:rFonts w:ascii="Times New Roman" w:hAnsi="Times New Roman"/>
          <w:sz w:val="24"/>
          <w:szCs w:val="24"/>
          <w:lang w:eastAsia="zh-CN"/>
        </w:rPr>
        <w:t>。</w:t>
      </w:r>
    </w:p>
    <w:p w14:paraId="3992E07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3</w:t>
      </w:r>
      <w:r w:rsidRPr="00E67914">
        <w:rPr>
          <w:rFonts w:ascii="Times New Roman" w:hAnsi="Times New Roman"/>
          <w:sz w:val="24"/>
          <w:szCs w:val="24"/>
          <w:lang w:eastAsia="zh-CN"/>
        </w:rPr>
        <w:t>）基岩裂隙水</w:t>
      </w:r>
    </w:p>
    <w:p w14:paraId="52B98E1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此类型在气田区广泛分布，本项目区也属于此类型，按裂隙性质，地下水的富存条件可分为构造裂隙水和风化带网状裂隙水两大亚类。</w:t>
      </w:r>
    </w:p>
    <w:p w14:paraId="338DF5C8"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A</w:t>
      </w:r>
      <w:r w:rsidRPr="00E67914">
        <w:rPr>
          <w:rFonts w:ascii="Times New Roman" w:hAnsi="Times New Roman"/>
          <w:sz w:val="24"/>
          <w:szCs w:val="24"/>
          <w:lang w:eastAsia="zh-CN"/>
        </w:rPr>
        <w:t>、构造裂隙水</w:t>
      </w:r>
    </w:p>
    <w:p w14:paraId="681ACE2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构造裂隙水主要分布在侏罗系蓬莱镇组（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p</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）、下白垩统苍溪组（</w:t>
      </w:r>
      <w:r w:rsidRPr="00E67914">
        <w:rPr>
          <w:rFonts w:ascii="Times New Roman" w:hAnsi="Times New Roman"/>
          <w:sz w:val="24"/>
          <w:szCs w:val="24"/>
          <w:lang w:eastAsia="zh-CN"/>
        </w:rPr>
        <w:t>K</w:t>
      </w:r>
      <w:r w:rsidRPr="00E67914">
        <w:rPr>
          <w:rFonts w:ascii="Times New Roman" w:hAnsi="Times New Roman"/>
          <w:sz w:val="24"/>
          <w:szCs w:val="24"/>
          <w:vertAlign w:val="subscript"/>
          <w:lang w:eastAsia="zh-CN"/>
        </w:rPr>
        <w:t>1</w:t>
      </w:r>
      <w:r w:rsidRPr="00E67914">
        <w:rPr>
          <w:rFonts w:ascii="Times New Roman" w:hAnsi="Times New Roman"/>
          <w:sz w:val="24"/>
          <w:szCs w:val="24"/>
          <w:lang w:eastAsia="zh-CN"/>
        </w:rPr>
        <w:t>c</w:t>
      </w:r>
      <w:r w:rsidRPr="00E67914">
        <w:rPr>
          <w:rFonts w:ascii="Times New Roman" w:hAnsi="Times New Roman"/>
          <w:sz w:val="24"/>
          <w:szCs w:val="24"/>
          <w:lang w:eastAsia="zh-CN"/>
        </w:rPr>
        <w:t>）、白龙组（</w:t>
      </w:r>
      <w:r w:rsidRPr="00E67914">
        <w:rPr>
          <w:rFonts w:ascii="Times New Roman" w:hAnsi="Times New Roman"/>
          <w:sz w:val="24"/>
          <w:szCs w:val="24"/>
          <w:lang w:eastAsia="zh-CN"/>
        </w:rPr>
        <w:t>K</w:t>
      </w:r>
      <w:r w:rsidRPr="00E67914">
        <w:rPr>
          <w:rFonts w:ascii="Times New Roman" w:hAnsi="Times New Roman"/>
          <w:sz w:val="24"/>
          <w:szCs w:val="24"/>
          <w:vertAlign w:val="subscript"/>
          <w:lang w:eastAsia="zh-CN"/>
        </w:rPr>
        <w:t>1</w:t>
      </w:r>
      <w:r w:rsidRPr="00E67914">
        <w:rPr>
          <w:rFonts w:ascii="Times New Roman" w:hAnsi="Times New Roman"/>
          <w:sz w:val="24"/>
          <w:szCs w:val="24"/>
          <w:lang w:eastAsia="zh-CN"/>
        </w:rPr>
        <w:t>b</w:t>
      </w:r>
      <w:r w:rsidRPr="00E67914">
        <w:rPr>
          <w:rFonts w:ascii="Times New Roman" w:hAnsi="Times New Roman"/>
          <w:sz w:val="24"/>
          <w:szCs w:val="24"/>
          <w:lang w:eastAsia="zh-CN"/>
        </w:rPr>
        <w:t>），岩性主要是紫红色泥岩、粉砂质泥岩与厚至块状细粒长石、石英砂岩互层，上侏罗统蓬莱镇组上段和的砂岩和泥岩之不等厚互层组成，一般以砂岩为主要含水层，且为双层结构（即上部以浅层潜水为主，下部以承压水为主）的含水特征，以碎屑岩裂隙孔隙水－层间承压水为主。地下水位埋深一般小于</w:t>
      </w:r>
      <w:r w:rsidRPr="00E67914">
        <w:rPr>
          <w:rFonts w:ascii="Times New Roman" w:hAnsi="Times New Roman"/>
          <w:sz w:val="24"/>
          <w:szCs w:val="24"/>
          <w:lang w:eastAsia="zh-CN"/>
        </w:rPr>
        <w:t>20m</w:t>
      </w:r>
      <w:r w:rsidRPr="00E67914">
        <w:rPr>
          <w:rFonts w:ascii="Times New Roman" w:hAnsi="Times New Roman"/>
          <w:sz w:val="24"/>
          <w:szCs w:val="24"/>
          <w:lang w:eastAsia="zh-CN"/>
        </w:rPr>
        <w:t>，含水层顶板埋深一般小于</w:t>
      </w:r>
      <w:r w:rsidRPr="00E67914">
        <w:rPr>
          <w:rFonts w:ascii="Times New Roman" w:hAnsi="Times New Roman"/>
          <w:sz w:val="24"/>
          <w:szCs w:val="24"/>
          <w:lang w:eastAsia="zh-CN"/>
        </w:rPr>
        <w:t>50m</w:t>
      </w:r>
      <w:r w:rsidRPr="00E67914">
        <w:rPr>
          <w:rFonts w:ascii="Times New Roman" w:hAnsi="Times New Roman"/>
          <w:sz w:val="24"/>
          <w:szCs w:val="24"/>
          <w:lang w:eastAsia="zh-CN"/>
        </w:rPr>
        <w:t>。地下径流模数</w:t>
      </w:r>
      <w:r w:rsidRPr="00E67914">
        <w:rPr>
          <w:rFonts w:ascii="Times New Roman" w:hAnsi="Times New Roman"/>
          <w:sz w:val="24"/>
          <w:szCs w:val="24"/>
          <w:lang w:eastAsia="zh-CN"/>
        </w:rPr>
        <w:t>0.5</w:t>
      </w:r>
      <w:r w:rsidRPr="00E67914">
        <w:rPr>
          <w:rFonts w:ascii="Times New Roman" w:hAnsi="Times New Roman"/>
          <w:sz w:val="24"/>
          <w:szCs w:val="24"/>
          <w:lang w:eastAsia="zh-CN"/>
        </w:rPr>
        <w:t>～</w:t>
      </w:r>
      <w:r w:rsidRPr="00E67914">
        <w:rPr>
          <w:rFonts w:ascii="Times New Roman" w:hAnsi="Times New Roman"/>
          <w:sz w:val="24"/>
          <w:szCs w:val="24"/>
          <w:lang w:eastAsia="zh-CN"/>
        </w:rPr>
        <w:t>1L/</w:t>
      </w:r>
      <w:r w:rsidRPr="00E67914">
        <w:rPr>
          <w:rFonts w:ascii="Times New Roman" w:hAnsi="Times New Roman"/>
          <w:sz w:val="24"/>
          <w:szCs w:val="24"/>
          <w:lang w:eastAsia="zh-CN"/>
        </w:rPr>
        <w:t>（</w:t>
      </w:r>
      <w:r w:rsidRPr="00E67914">
        <w:rPr>
          <w:rFonts w:ascii="Times New Roman" w:hAnsi="Times New Roman"/>
          <w:sz w:val="24"/>
          <w:szCs w:val="24"/>
          <w:lang w:eastAsia="zh-CN"/>
        </w:rPr>
        <w:t>s·km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），钻孔涌水量一般可达</w:t>
      </w:r>
      <w:r w:rsidRPr="00E67914">
        <w:rPr>
          <w:rFonts w:ascii="Times New Roman" w:hAnsi="Times New Roman"/>
          <w:sz w:val="24"/>
          <w:szCs w:val="24"/>
          <w:lang w:eastAsia="zh-CN"/>
        </w:rPr>
        <w:t>100</w:t>
      </w:r>
      <w:r w:rsidRPr="00E67914">
        <w:rPr>
          <w:rFonts w:ascii="Times New Roman" w:hAnsi="Times New Roman"/>
          <w:sz w:val="24"/>
          <w:szCs w:val="24"/>
          <w:lang w:eastAsia="zh-CN"/>
        </w:rPr>
        <w:t>～</w:t>
      </w:r>
      <w:r w:rsidRPr="00E67914">
        <w:rPr>
          <w:rFonts w:ascii="Times New Roman" w:hAnsi="Times New Roman"/>
          <w:sz w:val="24"/>
          <w:szCs w:val="24"/>
          <w:lang w:eastAsia="zh-CN"/>
        </w:rPr>
        <w:t>500m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/d</w:t>
      </w:r>
      <w:r w:rsidRPr="00E67914">
        <w:rPr>
          <w:rFonts w:ascii="Times New Roman" w:hAnsi="Times New Roman"/>
          <w:sz w:val="24"/>
          <w:szCs w:val="24"/>
          <w:lang w:eastAsia="zh-CN"/>
        </w:rPr>
        <w:t>，属于中等富水地带。</w:t>
      </w:r>
    </w:p>
    <w:p w14:paraId="676469F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水质以重碳酸钠型和重碳酸钙型为主，矿化度</w:t>
      </w:r>
      <w:r w:rsidRPr="00E67914">
        <w:rPr>
          <w:rFonts w:ascii="Times New Roman" w:hAnsi="Times New Roman"/>
          <w:sz w:val="24"/>
          <w:szCs w:val="24"/>
          <w:lang w:eastAsia="zh-CN"/>
        </w:rPr>
        <w:t>0.1</w:t>
      </w:r>
      <w:r w:rsidRPr="00E67914">
        <w:rPr>
          <w:rFonts w:ascii="Times New Roman" w:hAnsi="Times New Roman"/>
          <w:sz w:val="24"/>
          <w:szCs w:val="24"/>
          <w:lang w:eastAsia="zh-CN"/>
        </w:rPr>
        <w:t>～</w:t>
      </w:r>
      <w:r w:rsidRPr="00E67914">
        <w:rPr>
          <w:rFonts w:ascii="Times New Roman" w:hAnsi="Times New Roman"/>
          <w:sz w:val="24"/>
          <w:szCs w:val="24"/>
          <w:lang w:eastAsia="zh-CN"/>
        </w:rPr>
        <w:t>0.5g/L</w:t>
      </w:r>
      <w:r w:rsidRPr="00E67914">
        <w:rPr>
          <w:rFonts w:ascii="Times New Roman" w:hAnsi="Times New Roman"/>
          <w:sz w:val="24"/>
          <w:szCs w:val="24"/>
          <w:lang w:eastAsia="zh-CN"/>
        </w:rPr>
        <w:t>，总硬度为</w:t>
      </w:r>
      <w:r w:rsidRPr="00E67914">
        <w:rPr>
          <w:rFonts w:ascii="Times New Roman" w:hAnsi="Times New Roman"/>
          <w:sz w:val="24"/>
          <w:szCs w:val="24"/>
          <w:lang w:eastAsia="zh-CN"/>
        </w:rPr>
        <w:t>0.5</w:t>
      </w:r>
      <w:r w:rsidRPr="00E67914">
        <w:rPr>
          <w:rFonts w:ascii="Times New Roman" w:hAnsi="Times New Roman"/>
          <w:sz w:val="24"/>
          <w:szCs w:val="24"/>
          <w:lang w:eastAsia="zh-CN"/>
        </w:rPr>
        <w:t>～</w:t>
      </w:r>
      <w:r w:rsidRPr="00E67914">
        <w:rPr>
          <w:rFonts w:ascii="Times New Roman" w:hAnsi="Times New Roman"/>
          <w:sz w:val="24"/>
          <w:szCs w:val="24"/>
          <w:lang w:eastAsia="zh-CN"/>
        </w:rPr>
        <w:t>10</w:t>
      </w:r>
      <w:r w:rsidRPr="00E67914">
        <w:rPr>
          <w:rFonts w:ascii="Times New Roman" w:hAnsi="Times New Roman"/>
          <w:sz w:val="24"/>
          <w:szCs w:val="24"/>
          <w:lang w:eastAsia="zh-CN"/>
        </w:rPr>
        <w:t>德度，</w:t>
      </w:r>
      <w:r w:rsidRPr="00E67914">
        <w:rPr>
          <w:rFonts w:ascii="Times New Roman" w:hAnsi="Times New Roman"/>
          <w:sz w:val="24"/>
          <w:szCs w:val="24"/>
          <w:lang w:eastAsia="zh-CN"/>
        </w:rPr>
        <w:t>pH</w:t>
      </w:r>
      <w:r w:rsidRPr="00E67914">
        <w:rPr>
          <w:rFonts w:ascii="Times New Roman" w:hAnsi="Times New Roman"/>
          <w:sz w:val="24"/>
          <w:szCs w:val="24"/>
          <w:lang w:eastAsia="zh-CN"/>
        </w:rPr>
        <w:t>值为</w:t>
      </w:r>
      <w:r w:rsidRPr="00E67914">
        <w:rPr>
          <w:rFonts w:ascii="Times New Roman" w:hAnsi="Times New Roman"/>
          <w:sz w:val="24"/>
          <w:szCs w:val="24"/>
          <w:lang w:eastAsia="zh-CN"/>
        </w:rPr>
        <w:t>7.5</w:t>
      </w:r>
      <w:r w:rsidRPr="00E67914">
        <w:rPr>
          <w:rFonts w:ascii="Times New Roman" w:hAnsi="Times New Roman"/>
          <w:sz w:val="24"/>
          <w:szCs w:val="24"/>
          <w:lang w:eastAsia="zh-CN"/>
        </w:rPr>
        <w:t>～</w:t>
      </w:r>
      <w:r w:rsidRPr="00E67914">
        <w:rPr>
          <w:rFonts w:ascii="Times New Roman" w:hAnsi="Times New Roman"/>
          <w:sz w:val="24"/>
          <w:szCs w:val="24"/>
          <w:lang w:eastAsia="zh-CN"/>
        </w:rPr>
        <w:t>9</w:t>
      </w:r>
      <w:r w:rsidRPr="00E67914">
        <w:rPr>
          <w:rFonts w:ascii="Times New Roman" w:hAnsi="Times New Roman"/>
          <w:sz w:val="24"/>
          <w:szCs w:val="24"/>
          <w:lang w:eastAsia="zh-CN"/>
        </w:rPr>
        <w:t>。泉流量一般在</w:t>
      </w:r>
      <w:r w:rsidRPr="00E67914">
        <w:rPr>
          <w:rFonts w:ascii="Times New Roman" w:hAnsi="Times New Roman"/>
          <w:sz w:val="24"/>
          <w:szCs w:val="24"/>
          <w:lang w:eastAsia="zh-CN"/>
        </w:rPr>
        <w:t>0.1</w:t>
      </w:r>
      <w:r w:rsidRPr="00E67914">
        <w:rPr>
          <w:rFonts w:ascii="Times New Roman" w:hAnsi="Times New Roman"/>
          <w:sz w:val="24"/>
          <w:szCs w:val="24"/>
          <w:lang w:eastAsia="zh-CN"/>
        </w:rPr>
        <w:t>～</w:t>
      </w:r>
      <w:r w:rsidRPr="00E67914">
        <w:rPr>
          <w:rFonts w:ascii="Times New Roman" w:hAnsi="Times New Roman"/>
          <w:sz w:val="24"/>
          <w:szCs w:val="24"/>
          <w:lang w:eastAsia="zh-CN"/>
        </w:rPr>
        <w:t>1L/s</w:t>
      </w:r>
      <w:r w:rsidRPr="00E67914">
        <w:rPr>
          <w:rFonts w:ascii="Times New Roman" w:hAnsi="Times New Roman"/>
          <w:sz w:val="24"/>
          <w:szCs w:val="24"/>
          <w:lang w:eastAsia="zh-CN"/>
        </w:rPr>
        <w:t>之间。</w:t>
      </w:r>
      <w:r w:rsidRPr="00E67914">
        <w:rPr>
          <w:rFonts w:ascii="Times New Roman" w:hAnsi="Times New Roman"/>
          <w:sz w:val="24"/>
          <w:szCs w:val="24"/>
          <w:lang w:eastAsia="zh-CN"/>
        </w:rPr>
        <w:t xml:space="preserve"> </w:t>
      </w:r>
    </w:p>
    <w:p w14:paraId="1243005B"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lastRenderedPageBreak/>
        <w:t>B</w:t>
      </w:r>
      <w:r w:rsidRPr="00E67914">
        <w:rPr>
          <w:rFonts w:ascii="Times New Roman" w:hAnsi="Times New Roman"/>
          <w:sz w:val="24"/>
          <w:szCs w:val="24"/>
          <w:lang w:eastAsia="zh-CN"/>
        </w:rPr>
        <w:t>、风化带网状裂隙水</w:t>
      </w:r>
    </w:p>
    <w:p w14:paraId="2F7156A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风化带网状裂隙水主要分布于普光气田区西部、西南部，地下水为潜水，主要赋存于沙溪庙组和遂宁组地层中浅部风化网状裂隙发育地带。普光气田区西部、西南相对高差较小，故侵蚀作用较弱，对风化带发育比较有利，风化带发育深度一般为</w:t>
      </w:r>
      <w:r w:rsidRPr="00E67914">
        <w:rPr>
          <w:rFonts w:ascii="Times New Roman" w:hAnsi="Times New Roman"/>
          <w:sz w:val="24"/>
          <w:szCs w:val="24"/>
          <w:lang w:eastAsia="zh-CN"/>
        </w:rPr>
        <w:t>0</w:t>
      </w:r>
      <w:r w:rsidRPr="00E67914">
        <w:rPr>
          <w:rFonts w:ascii="Times New Roman" w:hAnsi="Times New Roman"/>
          <w:sz w:val="24"/>
          <w:szCs w:val="24"/>
          <w:lang w:eastAsia="zh-CN"/>
        </w:rPr>
        <w:t>～</w:t>
      </w:r>
      <w:r w:rsidRPr="00E67914">
        <w:rPr>
          <w:rFonts w:ascii="Times New Roman" w:hAnsi="Times New Roman"/>
          <w:sz w:val="24"/>
          <w:szCs w:val="24"/>
          <w:lang w:eastAsia="zh-CN"/>
        </w:rPr>
        <w:t>10m</w:t>
      </w:r>
      <w:r w:rsidRPr="00E67914">
        <w:rPr>
          <w:rFonts w:ascii="Times New Roman" w:hAnsi="Times New Roman"/>
          <w:sz w:val="24"/>
          <w:szCs w:val="24"/>
          <w:lang w:eastAsia="zh-CN"/>
        </w:rPr>
        <w:t>。由于风化带厚度较薄并因发育不均匀呈断续分布，一般不能形成连续分布的统一含水层，其地下水的补给条件和赋存条件比较差，表现为富水性弱和水量一般较为贫乏。泉流量一般在</w:t>
      </w:r>
      <w:r w:rsidRPr="00E67914">
        <w:rPr>
          <w:rFonts w:ascii="Times New Roman" w:hAnsi="Times New Roman"/>
          <w:sz w:val="24"/>
          <w:szCs w:val="24"/>
          <w:lang w:eastAsia="zh-CN"/>
        </w:rPr>
        <w:t>0.01</w:t>
      </w:r>
      <w:r w:rsidRPr="00E67914">
        <w:rPr>
          <w:rFonts w:ascii="Times New Roman" w:hAnsi="Times New Roman"/>
          <w:sz w:val="24"/>
          <w:szCs w:val="24"/>
          <w:lang w:eastAsia="zh-CN"/>
        </w:rPr>
        <w:t>～</w:t>
      </w:r>
      <w:r w:rsidRPr="00E67914">
        <w:rPr>
          <w:rFonts w:ascii="Times New Roman" w:hAnsi="Times New Roman"/>
          <w:sz w:val="24"/>
          <w:szCs w:val="24"/>
          <w:lang w:eastAsia="zh-CN"/>
        </w:rPr>
        <w:t>0.1L/s</w:t>
      </w:r>
      <w:r w:rsidRPr="00E67914">
        <w:rPr>
          <w:rFonts w:ascii="Times New Roman" w:hAnsi="Times New Roman"/>
          <w:sz w:val="24"/>
          <w:szCs w:val="24"/>
          <w:lang w:eastAsia="zh-CN"/>
        </w:rPr>
        <w:t>，地下径流模数</w:t>
      </w:r>
      <w:r w:rsidRPr="00E67914">
        <w:rPr>
          <w:rFonts w:ascii="Times New Roman" w:hAnsi="Times New Roman"/>
          <w:sz w:val="24"/>
          <w:szCs w:val="24"/>
          <w:lang w:eastAsia="zh-CN"/>
        </w:rPr>
        <w:t>0.1</w:t>
      </w:r>
      <w:r w:rsidRPr="00E67914">
        <w:rPr>
          <w:rFonts w:ascii="Times New Roman" w:hAnsi="Times New Roman"/>
          <w:sz w:val="24"/>
          <w:szCs w:val="24"/>
          <w:lang w:eastAsia="zh-CN"/>
        </w:rPr>
        <w:t>～</w:t>
      </w:r>
      <w:r w:rsidRPr="00E67914">
        <w:rPr>
          <w:rFonts w:ascii="Times New Roman" w:hAnsi="Times New Roman"/>
          <w:sz w:val="24"/>
          <w:szCs w:val="24"/>
          <w:lang w:eastAsia="zh-CN"/>
        </w:rPr>
        <w:t>0.5L/</w:t>
      </w:r>
      <w:r w:rsidRPr="00E67914">
        <w:rPr>
          <w:rFonts w:ascii="Times New Roman" w:hAnsi="Times New Roman"/>
          <w:sz w:val="24"/>
          <w:szCs w:val="24"/>
          <w:lang w:eastAsia="zh-CN"/>
        </w:rPr>
        <w:t>（</w:t>
      </w:r>
      <w:r w:rsidRPr="00E67914">
        <w:rPr>
          <w:rFonts w:ascii="Times New Roman" w:hAnsi="Times New Roman"/>
          <w:sz w:val="24"/>
          <w:szCs w:val="24"/>
          <w:lang w:eastAsia="zh-CN"/>
        </w:rPr>
        <w:t>s·km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），钻孔涌水量多小于</w:t>
      </w:r>
      <w:r w:rsidRPr="00E67914">
        <w:rPr>
          <w:rFonts w:ascii="Times New Roman" w:hAnsi="Times New Roman"/>
          <w:sz w:val="24"/>
          <w:szCs w:val="24"/>
          <w:lang w:eastAsia="zh-CN"/>
        </w:rPr>
        <w:t>50m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/d</w:t>
      </w:r>
      <w:r w:rsidRPr="00E67914">
        <w:rPr>
          <w:rFonts w:ascii="Times New Roman" w:hAnsi="Times New Roman"/>
          <w:sz w:val="24"/>
          <w:szCs w:val="24"/>
          <w:lang w:eastAsia="zh-CN"/>
        </w:rPr>
        <w:t>。因此，虽然通常可供分散的独家小户居民用水之需，但遇干旱季节，则常有枯竭之忧。</w:t>
      </w:r>
    </w:p>
    <w:p w14:paraId="2A17572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水质一般为重碳酸钙型或重碳酸钙镁型水，矿化度</w:t>
      </w:r>
      <w:r w:rsidRPr="00E67914">
        <w:rPr>
          <w:rFonts w:ascii="Times New Roman" w:hAnsi="Times New Roman"/>
          <w:sz w:val="24"/>
          <w:szCs w:val="24"/>
          <w:lang w:eastAsia="zh-CN"/>
        </w:rPr>
        <w:t>0.1</w:t>
      </w:r>
      <w:r w:rsidRPr="00E67914">
        <w:rPr>
          <w:rFonts w:ascii="Times New Roman" w:hAnsi="Times New Roman"/>
          <w:sz w:val="24"/>
          <w:szCs w:val="24"/>
          <w:lang w:eastAsia="zh-CN"/>
        </w:rPr>
        <w:t>～</w:t>
      </w:r>
      <w:r w:rsidRPr="00E67914">
        <w:rPr>
          <w:rFonts w:ascii="Times New Roman" w:hAnsi="Times New Roman"/>
          <w:sz w:val="24"/>
          <w:szCs w:val="24"/>
          <w:lang w:eastAsia="zh-CN"/>
        </w:rPr>
        <w:t>0.3g/L</w:t>
      </w:r>
      <w:r w:rsidRPr="00E67914">
        <w:rPr>
          <w:rFonts w:ascii="Times New Roman" w:hAnsi="Times New Roman"/>
          <w:sz w:val="24"/>
          <w:szCs w:val="24"/>
          <w:lang w:eastAsia="zh-CN"/>
        </w:rPr>
        <w:t>，总硬度在</w:t>
      </w:r>
      <w:r w:rsidRPr="00E67914">
        <w:rPr>
          <w:rFonts w:ascii="Times New Roman" w:hAnsi="Times New Roman"/>
          <w:sz w:val="24"/>
          <w:szCs w:val="24"/>
          <w:lang w:eastAsia="zh-CN"/>
        </w:rPr>
        <w:t xml:space="preserve">8 </w:t>
      </w:r>
      <w:r w:rsidRPr="00E67914">
        <w:rPr>
          <w:rFonts w:ascii="Times New Roman" w:hAnsi="Times New Roman"/>
          <w:sz w:val="24"/>
          <w:szCs w:val="24"/>
          <w:lang w:eastAsia="zh-CN"/>
        </w:rPr>
        <w:t>～</w:t>
      </w:r>
      <w:r w:rsidRPr="00E67914">
        <w:rPr>
          <w:rFonts w:ascii="Times New Roman" w:hAnsi="Times New Roman"/>
          <w:sz w:val="24"/>
          <w:szCs w:val="24"/>
          <w:lang w:eastAsia="zh-CN"/>
        </w:rPr>
        <w:t>13</w:t>
      </w:r>
      <w:r w:rsidRPr="00E67914">
        <w:rPr>
          <w:rFonts w:ascii="Times New Roman" w:hAnsi="Times New Roman"/>
          <w:sz w:val="24"/>
          <w:szCs w:val="24"/>
          <w:lang w:eastAsia="zh-CN"/>
        </w:rPr>
        <w:t>德度，</w:t>
      </w:r>
      <w:r w:rsidRPr="00E67914">
        <w:rPr>
          <w:rFonts w:ascii="Times New Roman" w:hAnsi="Times New Roman"/>
          <w:sz w:val="24"/>
          <w:szCs w:val="24"/>
          <w:lang w:eastAsia="zh-CN"/>
        </w:rPr>
        <w:t>pH</w:t>
      </w:r>
      <w:r w:rsidRPr="00E67914">
        <w:rPr>
          <w:rFonts w:ascii="Times New Roman" w:hAnsi="Times New Roman"/>
          <w:sz w:val="24"/>
          <w:szCs w:val="24"/>
          <w:lang w:eastAsia="zh-CN"/>
        </w:rPr>
        <w:t>值</w:t>
      </w:r>
      <w:r w:rsidRPr="00E67914">
        <w:rPr>
          <w:rFonts w:ascii="Times New Roman" w:hAnsi="Times New Roman"/>
          <w:sz w:val="24"/>
          <w:szCs w:val="24"/>
          <w:lang w:eastAsia="zh-CN"/>
        </w:rPr>
        <w:t>6.5</w:t>
      </w:r>
      <w:r w:rsidRPr="00E67914">
        <w:rPr>
          <w:rFonts w:ascii="Times New Roman" w:hAnsi="Times New Roman"/>
          <w:sz w:val="24"/>
          <w:szCs w:val="24"/>
          <w:lang w:eastAsia="zh-CN"/>
        </w:rPr>
        <w:t>～</w:t>
      </w:r>
      <w:r w:rsidRPr="00E67914">
        <w:rPr>
          <w:rFonts w:ascii="Times New Roman" w:hAnsi="Times New Roman"/>
          <w:sz w:val="24"/>
          <w:szCs w:val="24"/>
          <w:lang w:eastAsia="zh-CN"/>
        </w:rPr>
        <w:t>7.5</w:t>
      </w:r>
      <w:r w:rsidRPr="00E67914">
        <w:rPr>
          <w:rFonts w:ascii="Times New Roman" w:hAnsi="Times New Roman"/>
          <w:sz w:val="24"/>
          <w:szCs w:val="24"/>
          <w:lang w:eastAsia="zh-CN"/>
        </w:rPr>
        <w:t>。</w:t>
      </w:r>
    </w:p>
    <w:p w14:paraId="5C787738"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普光气田区的基岩裂隙水由于地质、地貌条件不利于大气降水渗入补给，故该地区地下水属于就地补给就近排泄的浅层潜水。泉水多出露在砂岩底部与泥岩接触面附近，说明各含水层之间，一般不发生水力联系。</w:t>
      </w:r>
    </w:p>
    <w:p w14:paraId="148294A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地下水赋存特征及补径排关系</w:t>
      </w:r>
    </w:p>
    <w:p w14:paraId="708EC248"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基岩裂隙水与碎屑岩类裂隙水广泛分布全区，地表出露较常见，井、泉可见，为当地居民之饮用水源，一般埋深较浅（</w:t>
      </w:r>
      <w:r w:rsidRPr="00E67914">
        <w:rPr>
          <w:rFonts w:ascii="Times New Roman" w:hAnsi="Times New Roman"/>
          <w:sz w:val="24"/>
          <w:szCs w:val="24"/>
          <w:lang w:eastAsia="zh-CN"/>
        </w:rPr>
        <w:t>10</w:t>
      </w:r>
      <w:r w:rsidRPr="00E67914">
        <w:rPr>
          <w:rFonts w:ascii="Times New Roman" w:hAnsi="Times New Roman"/>
          <w:sz w:val="24"/>
          <w:szCs w:val="24"/>
          <w:lang w:eastAsia="zh-CN"/>
        </w:rPr>
        <w:t>～</w:t>
      </w:r>
      <w:r w:rsidRPr="00E67914">
        <w:rPr>
          <w:rFonts w:ascii="Times New Roman" w:hAnsi="Times New Roman"/>
          <w:sz w:val="24"/>
          <w:szCs w:val="24"/>
          <w:lang w:eastAsia="zh-CN"/>
        </w:rPr>
        <w:t>200m</w:t>
      </w:r>
      <w:r w:rsidRPr="00E67914">
        <w:rPr>
          <w:rFonts w:ascii="Times New Roman" w:hAnsi="Times New Roman"/>
          <w:sz w:val="24"/>
          <w:szCs w:val="24"/>
          <w:lang w:eastAsia="zh-CN"/>
        </w:rPr>
        <w:t>），几乎都产出在风化带影响范围之内。含水层的埋藏特点以及补给、径流、排泄条件，决定区内地下水的水质、水量。地下水主要赋存特征如下：</w:t>
      </w:r>
    </w:p>
    <w:p w14:paraId="2FC033A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A</w:t>
      </w:r>
      <w:r w:rsidRPr="00E67914">
        <w:rPr>
          <w:rFonts w:ascii="Times New Roman" w:hAnsi="Times New Roman"/>
          <w:sz w:val="24"/>
          <w:szCs w:val="24"/>
          <w:lang w:eastAsia="zh-CN"/>
        </w:rPr>
        <w:t>、风化带网状裂隙水分布十分广泛</w:t>
      </w:r>
    </w:p>
    <w:p w14:paraId="7B8A4BE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根据地下水储水性质及埋藏条件，本区基岩裂隙水皆埋藏于浅部砂、泥岩之风化带中，以砂岩裂隙和泥岩网状微细裂隙储集为主，孔隙储集次之，局部地区兼有溶蚀孔隙裂隙储水。多属潜水类型，部分微具承压。其分布相当广泛，无论是田边地角、丘陵谷旁，凡有汇水条件的地方均可见及，但主要还是位于河谷与丘间汇水面积较大之洼地，并形成相对富集带。</w:t>
      </w:r>
    </w:p>
    <w:p w14:paraId="038FE77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B</w:t>
      </w:r>
      <w:r w:rsidRPr="00E67914">
        <w:rPr>
          <w:rFonts w:ascii="Times New Roman" w:hAnsi="Times New Roman"/>
          <w:sz w:val="24"/>
          <w:szCs w:val="24"/>
          <w:lang w:eastAsia="zh-CN"/>
        </w:rPr>
        <w:t>、各地段富水性一般较差，水量极不均匀</w:t>
      </w:r>
    </w:p>
    <w:p w14:paraId="42B0945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据</w:t>
      </w: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Pr="00E67914">
        <w:rPr>
          <w:rFonts w:ascii="Times New Roman" w:hAnsi="Times New Roman"/>
          <w:sz w:val="24"/>
          <w:szCs w:val="24"/>
          <w:lang w:eastAsia="zh-CN"/>
        </w:rPr>
        <w:t>20</w:t>
      </w:r>
      <w:r w:rsidRPr="00E67914">
        <w:rPr>
          <w:rFonts w:ascii="Times New Roman" w:hAnsi="Times New Roman"/>
          <w:sz w:val="24"/>
          <w:szCs w:val="24"/>
          <w:lang w:eastAsia="zh-CN"/>
        </w:rPr>
        <w:t>万区域水文地质普查报告统计，在广大红层丘陵区，</w:t>
      </w:r>
      <w:r w:rsidRPr="00E67914">
        <w:rPr>
          <w:rFonts w:ascii="Times New Roman" w:hAnsi="Times New Roman"/>
          <w:sz w:val="24"/>
          <w:szCs w:val="24"/>
          <w:lang w:eastAsia="zh-CN"/>
        </w:rPr>
        <w:t>60%</w:t>
      </w:r>
      <w:r w:rsidRPr="00E67914">
        <w:rPr>
          <w:rFonts w:ascii="Times New Roman" w:hAnsi="Times New Roman"/>
          <w:sz w:val="24"/>
          <w:szCs w:val="24"/>
          <w:lang w:eastAsia="zh-CN"/>
        </w:rPr>
        <w:t>以上的泉水流量在</w:t>
      </w:r>
      <w:r w:rsidRPr="00E67914">
        <w:rPr>
          <w:rFonts w:ascii="Times New Roman" w:hAnsi="Times New Roman"/>
          <w:sz w:val="24"/>
          <w:szCs w:val="24"/>
          <w:lang w:eastAsia="zh-CN"/>
        </w:rPr>
        <w:t>0.05L/s</w:t>
      </w:r>
      <w:r w:rsidRPr="00E67914">
        <w:rPr>
          <w:rFonts w:ascii="Times New Roman" w:hAnsi="Times New Roman"/>
          <w:sz w:val="24"/>
          <w:szCs w:val="24"/>
          <w:lang w:eastAsia="zh-CN"/>
        </w:rPr>
        <w:t>以下，超过</w:t>
      </w:r>
      <w:r w:rsidRPr="00E67914">
        <w:rPr>
          <w:rFonts w:ascii="Times New Roman" w:hAnsi="Times New Roman"/>
          <w:sz w:val="24"/>
          <w:szCs w:val="24"/>
          <w:lang w:eastAsia="zh-CN"/>
        </w:rPr>
        <w:t>0.1L/s</w:t>
      </w:r>
      <w:r w:rsidRPr="00E67914">
        <w:rPr>
          <w:rFonts w:ascii="Times New Roman" w:hAnsi="Times New Roman"/>
          <w:sz w:val="24"/>
          <w:szCs w:val="24"/>
          <w:lang w:eastAsia="zh-CN"/>
        </w:rPr>
        <w:t>的大泉仅占</w:t>
      </w:r>
      <w:r w:rsidRPr="00E67914">
        <w:rPr>
          <w:rFonts w:ascii="Times New Roman" w:hAnsi="Times New Roman"/>
          <w:sz w:val="24"/>
          <w:szCs w:val="24"/>
          <w:lang w:eastAsia="zh-CN"/>
        </w:rPr>
        <w:t>16%</w:t>
      </w:r>
      <w:r w:rsidRPr="00E67914">
        <w:rPr>
          <w:rFonts w:ascii="Times New Roman" w:hAnsi="Times New Roman"/>
          <w:sz w:val="24"/>
          <w:szCs w:val="24"/>
          <w:lang w:eastAsia="zh-CN"/>
        </w:rPr>
        <w:t>，其中最大的只达</w:t>
      </w:r>
      <w:r w:rsidRPr="00E67914">
        <w:rPr>
          <w:rFonts w:ascii="Times New Roman" w:hAnsi="Times New Roman"/>
          <w:sz w:val="24"/>
          <w:szCs w:val="24"/>
          <w:lang w:eastAsia="zh-CN"/>
        </w:rPr>
        <w:t>0.15L/s</w:t>
      </w:r>
      <w:r w:rsidRPr="00E67914">
        <w:rPr>
          <w:rFonts w:ascii="Times New Roman" w:hAnsi="Times New Roman"/>
          <w:sz w:val="24"/>
          <w:szCs w:val="24"/>
          <w:lang w:eastAsia="zh-CN"/>
        </w:rPr>
        <w:t>左右。</w:t>
      </w:r>
      <w:r w:rsidRPr="00E67914">
        <w:rPr>
          <w:rFonts w:ascii="Times New Roman" w:hAnsi="Times New Roman"/>
          <w:sz w:val="24"/>
          <w:szCs w:val="24"/>
          <w:lang w:eastAsia="zh-CN"/>
        </w:rPr>
        <w:t>80%</w:t>
      </w:r>
      <w:r w:rsidRPr="00E67914">
        <w:rPr>
          <w:rFonts w:ascii="Times New Roman" w:hAnsi="Times New Roman"/>
          <w:sz w:val="24"/>
          <w:szCs w:val="24"/>
          <w:lang w:eastAsia="zh-CN"/>
        </w:rPr>
        <w:t>以上的地区单孔涌水量在</w:t>
      </w:r>
      <w:r w:rsidRPr="00E67914">
        <w:rPr>
          <w:rFonts w:ascii="Times New Roman" w:hAnsi="Times New Roman"/>
          <w:sz w:val="24"/>
          <w:szCs w:val="24"/>
          <w:lang w:eastAsia="zh-CN"/>
        </w:rPr>
        <w:t>100t/d</w:t>
      </w:r>
      <w:r w:rsidRPr="00E67914">
        <w:rPr>
          <w:rFonts w:ascii="Times New Roman" w:hAnsi="Times New Roman"/>
          <w:sz w:val="24"/>
          <w:szCs w:val="24"/>
          <w:lang w:eastAsia="zh-CN"/>
        </w:rPr>
        <w:t>以下，其中单孔涌水量小于</w:t>
      </w:r>
      <w:r w:rsidRPr="00E67914">
        <w:rPr>
          <w:rFonts w:ascii="Times New Roman" w:hAnsi="Times New Roman"/>
          <w:sz w:val="24"/>
          <w:szCs w:val="24"/>
          <w:lang w:eastAsia="zh-CN"/>
        </w:rPr>
        <w:t>30t/d</w:t>
      </w:r>
      <w:r w:rsidRPr="00E67914">
        <w:rPr>
          <w:rFonts w:ascii="Times New Roman" w:hAnsi="Times New Roman"/>
          <w:sz w:val="24"/>
          <w:szCs w:val="24"/>
          <w:lang w:eastAsia="zh-CN"/>
        </w:rPr>
        <w:t>的地区</w:t>
      </w:r>
      <w:r w:rsidRPr="00E67914">
        <w:rPr>
          <w:rFonts w:ascii="Times New Roman" w:hAnsi="Times New Roman"/>
          <w:sz w:val="24"/>
          <w:szCs w:val="24"/>
          <w:lang w:eastAsia="zh-CN"/>
        </w:rPr>
        <w:t>30%</w:t>
      </w:r>
      <w:r w:rsidRPr="00E67914">
        <w:rPr>
          <w:rFonts w:ascii="Times New Roman" w:hAnsi="Times New Roman"/>
          <w:sz w:val="24"/>
          <w:szCs w:val="24"/>
          <w:lang w:eastAsia="zh-CN"/>
        </w:rPr>
        <w:t>左右。这种不均匀性在区域上的表现通常是贫中有富，即在广大贫水</w:t>
      </w:r>
      <w:r w:rsidRPr="00E67914">
        <w:rPr>
          <w:rFonts w:ascii="Times New Roman" w:hAnsi="Times New Roman"/>
          <w:sz w:val="24"/>
          <w:szCs w:val="24"/>
          <w:lang w:eastAsia="zh-CN"/>
        </w:rPr>
        <w:lastRenderedPageBreak/>
        <w:t>地区存在着一些相对富水地段。而这些富水地段的泉水流量一般为</w:t>
      </w:r>
      <w:r w:rsidRPr="00E67914">
        <w:rPr>
          <w:rFonts w:ascii="Times New Roman" w:hAnsi="Times New Roman"/>
          <w:sz w:val="24"/>
          <w:szCs w:val="24"/>
          <w:lang w:eastAsia="zh-CN"/>
        </w:rPr>
        <w:t>0.105</w:t>
      </w:r>
      <w:r w:rsidRPr="00E67914">
        <w:rPr>
          <w:rFonts w:ascii="Times New Roman" w:hAnsi="Times New Roman"/>
          <w:sz w:val="24"/>
          <w:szCs w:val="24"/>
          <w:lang w:eastAsia="zh-CN"/>
        </w:rPr>
        <w:t>～</w:t>
      </w:r>
      <w:r w:rsidRPr="00E67914">
        <w:rPr>
          <w:rFonts w:ascii="Times New Roman" w:hAnsi="Times New Roman"/>
          <w:sz w:val="24"/>
          <w:szCs w:val="24"/>
          <w:lang w:eastAsia="zh-CN"/>
        </w:rPr>
        <w:t>0.15L/s</w:t>
      </w:r>
      <w:r w:rsidRPr="00E67914">
        <w:rPr>
          <w:rFonts w:ascii="Times New Roman" w:hAnsi="Times New Roman"/>
          <w:sz w:val="24"/>
          <w:szCs w:val="24"/>
          <w:lang w:eastAsia="zh-CN"/>
        </w:rPr>
        <w:t>，钻孔涌水量</w:t>
      </w:r>
      <w:r w:rsidRPr="00E67914">
        <w:rPr>
          <w:rFonts w:ascii="Times New Roman" w:hAnsi="Times New Roman"/>
          <w:sz w:val="24"/>
          <w:szCs w:val="24"/>
          <w:lang w:eastAsia="zh-CN"/>
        </w:rPr>
        <w:t>100</w:t>
      </w:r>
      <w:r w:rsidRPr="00E67914">
        <w:rPr>
          <w:rFonts w:ascii="Times New Roman" w:hAnsi="Times New Roman"/>
          <w:sz w:val="24"/>
          <w:szCs w:val="24"/>
          <w:lang w:eastAsia="zh-CN"/>
        </w:rPr>
        <w:t>～</w:t>
      </w:r>
      <w:r w:rsidRPr="00E67914">
        <w:rPr>
          <w:rFonts w:ascii="Times New Roman" w:hAnsi="Times New Roman"/>
          <w:sz w:val="24"/>
          <w:szCs w:val="24"/>
          <w:lang w:eastAsia="zh-CN"/>
        </w:rPr>
        <w:t>1000t/d</w:t>
      </w:r>
      <w:r w:rsidRPr="00E67914">
        <w:rPr>
          <w:rFonts w:ascii="Times New Roman" w:hAnsi="Times New Roman"/>
          <w:sz w:val="24"/>
          <w:szCs w:val="24"/>
          <w:lang w:eastAsia="zh-CN"/>
        </w:rPr>
        <w:t>，其面积一般只占基岩裂隙水地区的</w:t>
      </w:r>
      <w:r w:rsidRPr="00E67914">
        <w:rPr>
          <w:rFonts w:ascii="Times New Roman" w:hAnsi="Times New Roman"/>
          <w:sz w:val="24"/>
          <w:szCs w:val="24"/>
          <w:lang w:eastAsia="zh-CN"/>
        </w:rPr>
        <w:t>10%</w:t>
      </w:r>
      <w:r w:rsidRPr="00E67914">
        <w:rPr>
          <w:rFonts w:ascii="Times New Roman" w:hAnsi="Times New Roman"/>
          <w:sz w:val="24"/>
          <w:szCs w:val="24"/>
          <w:lang w:eastAsia="zh-CN"/>
        </w:rPr>
        <w:t>～</w:t>
      </w:r>
      <w:r w:rsidRPr="00E67914">
        <w:rPr>
          <w:rFonts w:ascii="Times New Roman" w:hAnsi="Times New Roman"/>
          <w:sz w:val="24"/>
          <w:szCs w:val="24"/>
          <w:lang w:eastAsia="zh-CN"/>
        </w:rPr>
        <w:t>15%</w:t>
      </w:r>
      <w:r w:rsidRPr="00E67914">
        <w:rPr>
          <w:rFonts w:ascii="Times New Roman" w:hAnsi="Times New Roman"/>
          <w:sz w:val="24"/>
          <w:szCs w:val="24"/>
          <w:lang w:eastAsia="zh-CN"/>
        </w:rPr>
        <w:t>。另外，这种不均匀性还表现在同一局部地区或同一含水层富水性的悬殊上，这大概正是基岩风化裂隙水的特点。由此可见，富水地段并非井井富水，贫水地段并非井井贫水，水量多少实际上与具体井位的选择有很大关系；即使在同一含水层中，由于岩性、裂隙发育程度的变化，其含水性在不同的井、孔中也可能相差十分悬殊。</w:t>
      </w:r>
    </w:p>
    <w:p w14:paraId="0B37464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C</w:t>
      </w:r>
      <w:r w:rsidRPr="00E67914">
        <w:rPr>
          <w:rFonts w:ascii="Times New Roman" w:hAnsi="Times New Roman"/>
          <w:sz w:val="24"/>
          <w:szCs w:val="24"/>
          <w:lang w:eastAsia="zh-CN"/>
        </w:rPr>
        <w:t>地下水位高，埋深浅，淡水带厚度通常较薄</w:t>
      </w:r>
    </w:p>
    <w:p w14:paraId="628F59D2"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本区基岩裂隙水一般为潜水，其埋深</w:t>
      </w:r>
      <w:r w:rsidRPr="00E67914">
        <w:rPr>
          <w:rFonts w:ascii="Times New Roman" w:hAnsi="Times New Roman"/>
          <w:sz w:val="24"/>
          <w:szCs w:val="24"/>
          <w:lang w:eastAsia="zh-CN"/>
        </w:rPr>
        <w:t>80%</w:t>
      </w:r>
      <w:r w:rsidRPr="00E67914">
        <w:rPr>
          <w:rFonts w:ascii="Times New Roman" w:hAnsi="Times New Roman"/>
          <w:sz w:val="24"/>
          <w:szCs w:val="24"/>
          <w:lang w:eastAsia="zh-CN"/>
        </w:rPr>
        <w:t>以上的在</w:t>
      </w:r>
      <w:r w:rsidRPr="00E67914">
        <w:rPr>
          <w:rFonts w:ascii="Times New Roman" w:hAnsi="Times New Roman"/>
          <w:sz w:val="24"/>
          <w:szCs w:val="24"/>
          <w:lang w:eastAsia="zh-CN"/>
        </w:rPr>
        <w:t>0</w:t>
      </w:r>
      <w:r w:rsidRPr="00E67914">
        <w:rPr>
          <w:rFonts w:ascii="Times New Roman" w:hAnsi="Times New Roman"/>
          <w:sz w:val="24"/>
          <w:szCs w:val="24"/>
          <w:lang w:eastAsia="zh-CN"/>
        </w:rPr>
        <w:t>～</w:t>
      </w:r>
      <w:r w:rsidRPr="00E67914">
        <w:rPr>
          <w:rFonts w:ascii="Times New Roman" w:hAnsi="Times New Roman"/>
          <w:sz w:val="24"/>
          <w:szCs w:val="24"/>
          <w:lang w:eastAsia="zh-CN"/>
        </w:rPr>
        <w:t>5m</w:t>
      </w:r>
      <w:r w:rsidRPr="00E67914">
        <w:rPr>
          <w:rFonts w:ascii="Times New Roman" w:hAnsi="Times New Roman"/>
          <w:sz w:val="24"/>
          <w:szCs w:val="24"/>
          <w:lang w:eastAsia="zh-CN"/>
        </w:rPr>
        <w:t>之间，尤以</w:t>
      </w:r>
      <w:r w:rsidRPr="00E67914">
        <w:rPr>
          <w:rFonts w:ascii="Times New Roman" w:hAnsi="Times New Roman"/>
          <w:sz w:val="24"/>
          <w:szCs w:val="24"/>
          <w:lang w:eastAsia="zh-CN"/>
        </w:rPr>
        <w:t>0</w:t>
      </w:r>
      <w:r w:rsidRPr="00E67914">
        <w:rPr>
          <w:rFonts w:ascii="Times New Roman" w:hAnsi="Times New Roman"/>
          <w:sz w:val="24"/>
          <w:szCs w:val="24"/>
          <w:lang w:eastAsia="zh-CN"/>
        </w:rPr>
        <w:t>～</w:t>
      </w:r>
      <w:r w:rsidRPr="00E67914">
        <w:rPr>
          <w:rFonts w:ascii="Times New Roman" w:hAnsi="Times New Roman"/>
          <w:sz w:val="24"/>
          <w:szCs w:val="24"/>
          <w:lang w:eastAsia="zh-CN"/>
        </w:rPr>
        <w:t>3m</w:t>
      </w:r>
      <w:r w:rsidRPr="00E67914">
        <w:rPr>
          <w:rFonts w:ascii="Times New Roman" w:hAnsi="Times New Roman"/>
          <w:sz w:val="24"/>
          <w:szCs w:val="24"/>
          <w:lang w:eastAsia="zh-CN"/>
        </w:rPr>
        <w:t>为多。但在上沙溪庙组分布的丘陵区，也有水位较深者。另外，在裂隙潜水广泛分布的背景下，亦有时可见局部承压水出现。究其原因主要是与覆盖层性质有关，即在以遂宁组泥岩为含水层的宽谷丘陵区，不仅覆盖层以第四系粘性土为主，而且基岩顶部强风化层在地下水作用下也多强烈泥化，而具有隔水性。这种由二者所共同组成沟谷中的隔水层，势必会使浅层地下水具有一定的承压性质。另一种原因则可能与局部构造因素有关，即它们或许正处于背斜倾角由陡变缓的倾末端或转折端。</w:t>
      </w:r>
    </w:p>
    <w:p w14:paraId="3075B33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D</w:t>
      </w:r>
      <w:r w:rsidRPr="00E67914">
        <w:rPr>
          <w:rFonts w:ascii="Times New Roman" w:hAnsi="Times New Roman"/>
          <w:sz w:val="24"/>
          <w:szCs w:val="24"/>
          <w:lang w:eastAsia="zh-CN"/>
        </w:rPr>
        <w:t>、地下水补给、径流、排泄条件良好，动态不稳定</w:t>
      </w:r>
    </w:p>
    <w:p w14:paraId="2E6839D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浅层地下水是可供饮用和灌溉的优良淡矿化水，其淡水带深度一般不大，风化裂隙带发育深度一般在</w:t>
      </w:r>
      <w:r w:rsidRPr="00E67914">
        <w:rPr>
          <w:rFonts w:ascii="Times New Roman" w:hAnsi="Times New Roman"/>
          <w:sz w:val="24"/>
          <w:szCs w:val="24"/>
          <w:lang w:eastAsia="zh-CN"/>
        </w:rPr>
        <w:t>20</w:t>
      </w:r>
      <w:r w:rsidRPr="00E67914">
        <w:rPr>
          <w:rFonts w:ascii="Times New Roman" w:hAnsi="Times New Roman"/>
          <w:sz w:val="24"/>
          <w:szCs w:val="24"/>
          <w:lang w:eastAsia="zh-CN"/>
        </w:rPr>
        <w:t>～</w:t>
      </w:r>
      <w:r w:rsidRPr="00E67914">
        <w:rPr>
          <w:rFonts w:ascii="Times New Roman" w:hAnsi="Times New Roman"/>
          <w:sz w:val="24"/>
          <w:szCs w:val="24"/>
          <w:lang w:eastAsia="zh-CN"/>
        </w:rPr>
        <w:t>30m</w:t>
      </w:r>
      <w:r w:rsidRPr="00E67914">
        <w:rPr>
          <w:rFonts w:ascii="Times New Roman" w:hAnsi="Times New Roman"/>
          <w:sz w:val="24"/>
          <w:szCs w:val="24"/>
          <w:lang w:eastAsia="zh-CN"/>
        </w:rPr>
        <w:t>，地下水位埋深在沟谷地带一般为</w:t>
      </w:r>
      <w:r w:rsidRPr="00E67914">
        <w:rPr>
          <w:rFonts w:ascii="Times New Roman" w:hAnsi="Times New Roman"/>
          <w:sz w:val="24"/>
          <w:szCs w:val="24"/>
          <w:lang w:eastAsia="zh-CN"/>
        </w:rPr>
        <w:t>3</w:t>
      </w:r>
      <w:r w:rsidRPr="00E67914">
        <w:rPr>
          <w:rFonts w:ascii="Times New Roman" w:hAnsi="Times New Roman"/>
          <w:sz w:val="24"/>
          <w:szCs w:val="24"/>
          <w:lang w:eastAsia="zh-CN"/>
        </w:rPr>
        <w:t>～</w:t>
      </w:r>
      <w:r w:rsidRPr="00E67914">
        <w:rPr>
          <w:rFonts w:ascii="Times New Roman" w:hAnsi="Times New Roman"/>
          <w:sz w:val="24"/>
          <w:szCs w:val="24"/>
          <w:lang w:eastAsia="zh-CN"/>
        </w:rPr>
        <w:t>5m</w:t>
      </w:r>
      <w:r w:rsidRPr="00E67914">
        <w:rPr>
          <w:rFonts w:ascii="Times New Roman" w:hAnsi="Times New Roman"/>
          <w:sz w:val="24"/>
          <w:szCs w:val="24"/>
          <w:lang w:eastAsia="zh-CN"/>
        </w:rPr>
        <w:t>，丘坡下部一般</w:t>
      </w:r>
      <w:r w:rsidRPr="00E67914">
        <w:rPr>
          <w:rFonts w:ascii="Times New Roman" w:hAnsi="Times New Roman"/>
          <w:sz w:val="24"/>
          <w:szCs w:val="24"/>
          <w:lang w:eastAsia="zh-CN"/>
        </w:rPr>
        <w:t>6</w:t>
      </w:r>
      <w:r w:rsidRPr="00E67914">
        <w:rPr>
          <w:rFonts w:ascii="Times New Roman" w:hAnsi="Times New Roman"/>
          <w:sz w:val="24"/>
          <w:szCs w:val="24"/>
          <w:lang w:eastAsia="zh-CN"/>
        </w:rPr>
        <w:t>～</w:t>
      </w:r>
      <w:r w:rsidRPr="00E67914">
        <w:rPr>
          <w:rFonts w:ascii="Times New Roman" w:hAnsi="Times New Roman"/>
          <w:sz w:val="24"/>
          <w:szCs w:val="24"/>
          <w:lang w:eastAsia="zh-CN"/>
        </w:rPr>
        <w:t>9m</w:t>
      </w:r>
      <w:r w:rsidRPr="00E67914">
        <w:rPr>
          <w:rFonts w:ascii="Times New Roman" w:hAnsi="Times New Roman"/>
          <w:sz w:val="24"/>
          <w:szCs w:val="24"/>
          <w:lang w:eastAsia="zh-CN"/>
        </w:rPr>
        <w:t>，井深</w:t>
      </w:r>
      <w:r w:rsidRPr="00E67914">
        <w:rPr>
          <w:rFonts w:ascii="Times New Roman" w:hAnsi="Times New Roman"/>
          <w:sz w:val="24"/>
          <w:szCs w:val="24"/>
          <w:lang w:eastAsia="zh-CN"/>
        </w:rPr>
        <w:t>20m</w:t>
      </w:r>
      <w:r w:rsidRPr="00E67914">
        <w:rPr>
          <w:rFonts w:ascii="Times New Roman" w:hAnsi="Times New Roman"/>
          <w:sz w:val="24"/>
          <w:szCs w:val="24"/>
          <w:lang w:eastAsia="zh-CN"/>
        </w:rPr>
        <w:t>左右一般可揭露主要潜水含水层。因向下部多迅速转为微咸水、咸水，以至盐卤水所接替。淡水带深度，即咸、淡水界面埋藏深度，因受地下水径流条件控制，表现出周边深，盆内浅的规律。盆地腹心，以沙溪庙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s</w:t>
      </w:r>
      <w:r w:rsidRPr="00E67914">
        <w:rPr>
          <w:rFonts w:ascii="Times New Roman" w:hAnsi="Times New Roman"/>
          <w:sz w:val="24"/>
          <w:szCs w:val="24"/>
          <w:lang w:eastAsia="zh-CN"/>
        </w:rPr>
        <w:t>）、遂宁组（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sn</w:t>
      </w:r>
      <w:r w:rsidRPr="00E67914">
        <w:rPr>
          <w:rFonts w:ascii="Times New Roman" w:hAnsi="Times New Roman"/>
          <w:sz w:val="24"/>
          <w:szCs w:val="24"/>
          <w:lang w:eastAsia="zh-CN"/>
        </w:rPr>
        <w:t>）为主，组成的浅丘区，地下水交替条件差，咸淡水界面埋深一般</w:t>
      </w:r>
      <w:r w:rsidRPr="00E67914">
        <w:rPr>
          <w:rFonts w:ascii="Times New Roman" w:hAnsi="Times New Roman"/>
          <w:sz w:val="24"/>
          <w:szCs w:val="24"/>
          <w:lang w:eastAsia="zh-CN"/>
        </w:rPr>
        <w:t>50m</w:t>
      </w:r>
      <w:r w:rsidRPr="00E67914">
        <w:rPr>
          <w:rFonts w:ascii="Times New Roman" w:hAnsi="Times New Roman"/>
          <w:sz w:val="24"/>
          <w:szCs w:val="24"/>
          <w:lang w:eastAsia="zh-CN"/>
        </w:rPr>
        <w:t>左右，甚或小于</w:t>
      </w:r>
      <w:r w:rsidRPr="00E67914">
        <w:rPr>
          <w:rFonts w:ascii="Times New Roman" w:hAnsi="Times New Roman"/>
          <w:sz w:val="24"/>
          <w:szCs w:val="24"/>
          <w:lang w:eastAsia="zh-CN"/>
        </w:rPr>
        <w:t>50m</w:t>
      </w:r>
      <w:r w:rsidRPr="00E67914">
        <w:rPr>
          <w:rFonts w:ascii="Times New Roman" w:hAnsi="Times New Roman"/>
          <w:sz w:val="24"/>
          <w:szCs w:val="24"/>
          <w:lang w:eastAsia="zh-CN"/>
        </w:rPr>
        <w:t>。向外围低山丘陵区，随着径流条件变化，渐增至</w:t>
      </w:r>
      <w:r w:rsidRPr="00E67914">
        <w:rPr>
          <w:rFonts w:ascii="Times New Roman" w:hAnsi="Times New Roman"/>
          <w:sz w:val="24"/>
          <w:szCs w:val="24"/>
          <w:lang w:eastAsia="zh-CN"/>
        </w:rPr>
        <w:t>50</w:t>
      </w:r>
      <w:r w:rsidRPr="00E67914">
        <w:rPr>
          <w:rFonts w:ascii="Times New Roman" w:hAnsi="Times New Roman"/>
          <w:sz w:val="24"/>
          <w:szCs w:val="24"/>
          <w:lang w:eastAsia="zh-CN"/>
        </w:rPr>
        <w:t>～</w:t>
      </w:r>
      <w:r w:rsidRPr="00E67914">
        <w:rPr>
          <w:rFonts w:ascii="Times New Roman" w:hAnsi="Times New Roman"/>
          <w:sz w:val="24"/>
          <w:szCs w:val="24"/>
          <w:lang w:eastAsia="zh-CN"/>
        </w:rPr>
        <w:t>100m</w:t>
      </w:r>
      <w:r w:rsidRPr="00E67914">
        <w:rPr>
          <w:rFonts w:ascii="Times New Roman" w:hAnsi="Times New Roman"/>
          <w:sz w:val="24"/>
          <w:szCs w:val="24"/>
          <w:lang w:eastAsia="zh-CN"/>
        </w:rPr>
        <w:t>，</w:t>
      </w:r>
      <w:r w:rsidRPr="00E67914">
        <w:rPr>
          <w:rFonts w:ascii="Times New Roman" w:hAnsi="Times New Roman"/>
          <w:sz w:val="24"/>
          <w:szCs w:val="24"/>
          <w:lang w:eastAsia="zh-CN"/>
        </w:rPr>
        <w:t>100</w:t>
      </w:r>
      <w:r w:rsidRPr="00E67914">
        <w:rPr>
          <w:rFonts w:ascii="Times New Roman" w:hAnsi="Times New Roman"/>
          <w:sz w:val="24"/>
          <w:szCs w:val="24"/>
          <w:lang w:eastAsia="zh-CN"/>
        </w:rPr>
        <w:t>～</w:t>
      </w:r>
      <w:r w:rsidRPr="00E67914">
        <w:rPr>
          <w:rFonts w:ascii="Times New Roman" w:hAnsi="Times New Roman"/>
          <w:sz w:val="24"/>
          <w:szCs w:val="24"/>
          <w:lang w:eastAsia="zh-CN"/>
        </w:rPr>
        <w:t>200m</w:t>
      </w:r>
      <w:r w:rsidRPr="00E67914">
        <w:rPr>
          <w:rFonts w:ascii="Times New Roman" w:hAnsi="Times New Roman"/>
          <w:sz w:val="24"/>
          <w:szCs w:val="24"/>
          <w:lang w:eastAsia="zh-CN"/>
        </w:rPr>
        <w:t>。接近盆缘地区，深度大于</w:t>
      </w:r>
      <w:r w:rsidRPr="00E67914">
        <w:rPr>
          <w:rFonts w:ascii="Times New Roman" w:hAnsi="Times New Roman"/>
          <w:sz w:val="24"/>
          <w:szCs w:val="24"/>
          <w:lang w:eastAsia="zh-CN"/>
        </w:rPr>
        <w:t>200m</w:t>
      </w:r>
      <w:r w:rsidRPr="00E67914">
        <w:rPr>
          <w:rFonts w:ascii="Times New Roman" w:hAnsi="Times New Roman"/>
          <w:sz w:val="24"/>
          <w:szCs w:val="24"/>
          <w:lang w:eastAsia="zh-CN"/>
        </w:rPr>
        <w:t>。本项目区可利用地下水淡水深度在</w:t>
      </w:r>
      <w:r w:rsidRPr="00E67914">
        <w:rPr>
          <w:rFonts w:ascii="Times New Roman" w:hAnsi="Times New Roman"/>
          <w:sz w:val="24"/>
          <w:szCs w:val="24"/>
          <w:lang w:eastAsia="zh-CN"/>
        </w:rPr>
        <w:t>100</w:t>
      </w:r>
      <w:r w:rsidRPr="00E67914">
        <w:rPr>
          <w:rFonts w:ascii="Times New Roman" w:hAnsi="Times New Roman"/>
          <w:sz w:val="24"/>
          <w:szCs w:val="24"/>
          <w:lang w:eastAsia="zh-CN"/>
        </w:rPr>
        <w:t>～</w:t>
      </w:r>
      <w:r w:rsidRPr="00E67914">
        <w:rPr>
          <w:rFonts w:ascii="Times New Roman" w:hAnsi="Times New Roman"/>
          <w:sz w:val="24"/>
          <w:szCs w:val="24"/>
          <w:lang w:eastAsia="zh-CN"/>
        </w:rPr>
        <w:t>200m</w:t>
      </w:r>
      <w:r w:rsidRPr="00E67914">
        <w:rPr>
          <w:rFonts w:ascii="Times New Roman" w:hAnsi="Times New Roman"/>
          <w:sz w:val="24"/>
          <w:szCs w:val="24"/>
          <w:lang w:eastAsia="zh-CN"/>
        </w:rPr>
        <w:t>。</w:t>
      </w:r>
    </w:p>
    <w:p w14:paraId="6F7FBB2E" w14:textId="435F5843"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区内含水层主要接受大气降雨补给，该类地下水主要依靠大气降水补给。因评价区内地形坡降较大，地表径流条件好，大气降水多以面流方式排泄，少量沿地表岩土层裂隙下渗并径流补给地下水。项目区含水层接受补给后，主要由项目区</w:t>
      </w:r>
      <w:r w:rsidR="00A83051" w:rsidRPr="00E67914">
        <w:rPr>
          <w:rFonts w:ascii="Times New Roman" w:hAnsi="Times New Roman"/>
          <w:sz w:val="24"/>
          <w:szCs w:val="24"/>
          <w:lang w:eastAsia="zh-CN"/>
        </w:rPr>
        <w:t>西北</w:t>
      </w:r>
      <w:r w:rsidRPr="00E67914">
        <w:rPr>
          <w:rFonts w:ascii="Times New Roman" w:hAnsi="Times New Roman"/>
          <w:sz w:val="24"/>
          <w:szCs w:val="24"/>
          <w:lang w:eastAsia="zh-CN"/>
        </w:rPr>
        <w:t>向</w:t>
      </w:r>
      <w:r w:rsidR="00A83051" w:rsidRPr="00E67914">
        <w:rPr>
          <w:rFonts w:ascii="Times New Roman" w:hAnsi="Times New Roman"/>
          <w:sz w:val="24"/>
          <w:szCs w:val="24"/>
          <w:lang w:eastAsia="zh-CN"/>
        </w:rPr>
        <w:t>东南</w:t>
      </w:r>
      <w:r w:rsidRPr="00E67914">
        <w:rPr>
          <w:rFonts w:ascii="Times New Roman" w:hAnsi="Times New Roman"/>
          <w:sz w:val="24"/>
          <w:szCs w:val="24"/>
          <w:lang w:eastAsia="zh-CN"/>
        </w:rPr>
        <w:t>径流，于地势较低及构造有利位置以泉的形式出露，或呈</w:t>
      </w:r>
      <w:r w:rsidRPr="00E67914">
        <w:rPr>
          <w:rFonts w:ascii="Times New Roman" w:hAnsi="Times New Roman"/>
          <w:sz w:val="24"/>
          <w:szCs w:val="24"/>
          <w:lang w:eastAsia="zh-CN"/>
        </w:rPr>
        <w:lastRenderedPageBreak/>
        <w:t>泄流的方式排泄至评价区最低排泄基准面</w:t>
      </w:r>
      <w:r w:rsidR="000736F8" w:rsidRPr="00E67914">
        <w:rPr>
          <w:rFonts w:ascii="Times New Roman" w:hAnsi="Times New Roman"/>
          <w:sz w:val="24"/>
          <w:szCs w:val="24"/>
          <w:lang w:eastAsia="zh-CN"/>
        </w:rPr>
        <w:t>后</w:t>
      </w:r>
      <w:r w:rsidRPr="00E67914">
        <w:rPr>
          <w:rFonts w:ascii="Times New Roman" w:hAnsi="Times New Roman"/>
          <w:sz w:val="24"/>
          <w:szCs w:val="24"/>
          <w:lang w:eastAsia="zh-CN"/>
        </w:rPr>
        <w:t>河。经调查，当地地下水水质良好，无原生水文地质环境问题。</w:t>
      </w:r>
    </w:p>
    <w:p w14:paraId="123CB7E5"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r w:rsidRPr="00E67914">
        <w:rPr>
          <w:rFonts w:ascii="Times New Roman" w:eastAsia="黑体" w:hAnsi="Times New Roman"/>
          <w:bCs/>
          <w:kern w:val="2"/>
          <w:lang w:eastAsia="zh-CN"/>
        </w:rPr>
        <w:t>2</w:t>
      </w:r>
      <w:r w:rsidRPr="00E67914">
        <w:rPr>
          <w:rFonts w:ascii="Times New Roman" w:eastAsia="黑体" w:hAnsi="Times New Roman"/>
          <w:bCs/>
          <w:kern w:val="2"/>
          <w:lang w:eastAsia="zh-CN"/>
        </w:rPr>
        <w:t>、地下水开发利用现状</w:t>
      </w:r>
      <w:bookmarkEnd w:id="150"/>
    </w:p>
    <w:p w14:paraId="3E677A1F" w14:textId="7B946781"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经调查，评价区内无集中地下水水源地，评价区内</w:t>
      </w:r>
      <w:r w:rsidR="00A83051" w:rsidRPr="00E67914">
        <w:rPr>
          <w:rFonts w:ascii="Times New Roman" w:hAnsi="Times New Roman"/>
          <w:lang w:eastAsia="zh-CN"/>
        </w:rPr>
        <w:t>基本无居民</w:t>
      </w:r>
      <w:r w:rsidRPr="00E67914">
        <w:rPr>
          <w:rFonts w:ascii="Times New Roman" w:hAnsi="Times New Roman"/>
          <w:lang w:eastAsia="zh-CN"/>
        </w:rPr>
        <w:t>水井</w:t>
      </w:r>
      <w:r w:rsidR="00A83051" w:rsidRPr="00E67914">
        <w:rPr>
          <w:rFonts w:ascii="Times New Roman" w:hAnsi="Times New Roman"/>
          <w:lang w:eastAsia="zh-CN"/>
        </w:rPr>
        <w:t>分布</w:t>
      </w:r>
      <w:r w:rsidRPr="00E67914">
        <w:rPr>
          <w:rFonts w:ascii="Times New Roman" w:hAnsi="Times New Roman"/>
          <w:lang w:eastAsia="zh-CN"/>
        </w:rPr>
        <w:t>，居民</w:t>
      </w:r>
      <w:r w:rsidR="00A83051" w:rsidRPr="00E67914">
        <w:rPr>
          <w:rFonts w:ascii="Times New Roman" w:hAnsi="Times New Roman"/>
          <w:lang w:eastAsia="zh-CN"/>
        </w:rPr>
        <w:t>用水主要为山泉水，地下水开发利用度低</w:t>
      </w:r>
      <w:r w:rsidRPr="00E67914">
        <w:rPr>
          <w:rFonts w:ascii="Times New Roman" w:hAnsi="Times New Roman"/>
          <w:lang w:eastAsia="zh-CN"/>
        </w:rPr>
        <w:t>。</w:t>
      </w:r>
    </w:p>
    <w:p w14:paraId="22C4DE5D"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bookmarkStart w:id="151" w:name="_Toc14702820"/>
      <w:bookmarkStart w:id="152" w:name="_Toc498501600"/>
      <w:r w:rsidRPr="00E67914">
        <w:rPr>
          <w:rFonts w:ascii="Times New Roman" w:eastAsia="黑体" w:hAnsi="Times New Roman"/>
          <w:bCs/>
          <w:kern w:val="2"/>
          <w:lang w:eastAsia="zh-CN"/>
        </w:rPr>
        <w:t>3</w:t>
      </w:r>
      <w:r w:rsidRPr="00E67914">
        <w:rPr>
          <w:rFonts w:ascii="Times New Roman" w:eastAsia="黑体" w:hAnsi="Times New Roman"/>
          <w:bCs/>
          <w:kern w:val="2"/>
          <w:lang w:eastAsia="zh-CN"/>
        </w:rPr>
        <w:t>、环境水文地质调查</w:t>
      </w:r>
      <w:bookmarkEnd w:id="151"/>
      <w:bookmarkEnd w:id="152"/>
    </w:p>
    <w:p w14:paraId="75936D3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按照地下水环境影响评价导则，针对本项目特征，本次调查包括：</w:t>
      </w:r>
      <w:r w:rsidRPr="00E67914">
        <w:rPr>
          <w:rFonts w:cs="宋体" w:hint="eastAsia"/>
          <w:bCs/>
          <w:kern w:val="2"/>
          <w:lang w:eastAsia="zh-CN"/>
        </w:rPr>
        <w:t>①</w:t>
      </w:r>
      <w:r w:rsidRPr="00E67914">
        <w:rPr>
          <w:rFonts w:ascii="Times New Roman" w:hAnsi="Times New Roman"/>
          <w:bCs/>
          <w:kern w:val="2"/>
          <w:lang w:eastAsia="zh-CN"/>
        </w:rPr>
        <w:t>原生水文地质问题调查；</w:t>
      </w:r>
      <w:r w:rsidRPr="00E67914">
        <w:rPr>
          <w:rFonts w:cs="宋体" w:hint="eastAsia"/>
          <w:bCs/>
          <w:kern w:val="2"/>
          <w:lang w:eastAsia="zh-CN"/>
        </w:rPr>
        <w:t>②</w:t>
      </w:r>
      <w:r w:rsidRPr="00E67914">
        <w:rPr>
          <w:rFonts w:ascii="Times New Roman" w:hAnsi="Times New Roman"/>
          <w:bCs/>
          <w:kern w:val="2"/>
          <w:lang w:eastAsia="zh-CN"/>
        </w:rPr>
        <w:t>地下水污染源分布及类型调查。</w:t>
      </w:r>
    </w:p>
    <w:p w14:paraId="33D222F0"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bookmarkStart w:id="153" w:name="_Toc14702821"/>
      <w:r w:rsidRPr="00E67914">
        <w:rPr>
          <w:rFonts w:ascii="Times New Roman" w:hAnsi="Times New Roman"/>
          <w:b/>
          <w:kern w:val="2"/>
          <w:lang w:eastAsia="zh-CN"/>
        </w:rPr>
        <w:t>（</w:t>
      </w:r>
      <w:r w:rsidRPr="00E67914">
        <w:rPr>
          <w:rFonts w:ascii="Times New Roman" w:hAnsi="Times New Roman"/>
          <w:b/>
          <w:kern w:val="2"/>
          <w:lang w:eastAsia="zh-CN"/>
        </w:rPr>
        <w:t>1</w:t>
      </w:r>
      <w:r w:rsidRPr="00E67914">
        <w:rPr>
          <w:rFonts w:ascii="Times New Roman" w:hAnsi="Times New Roman"/>
          <w:b/>
          <w:kern w:val="2"/>
          <w:lang w:eastAsia="zh-CN"/>
        </w:rPr>
        <w:t>）原生水文地质问题调查</w:t>
      </w:r>
      <w:bookmarkEnd w:id="153"/>
    </w:p>
    <w:p w14:paraId="1F931526"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根据评价区下水水质监测结果，本项目区地下水属于低矿化度淡水，水质情况尚可；根据相关资料及调查访问，评价区未出现地方病等与地下水相关的环境问题。</w:t>
      </w:r>
    </w:p>
    <w:p w14:paraId="689F22FA"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bookmarkStart w:id="154" w:name="_Toc14702822"/>
      <w:r w:rsidRPr="00E67914">
        <w:rPr>
          <w:rFonts w:ascii="Times New Roman" w:hAnsi="Times New Roman"/>
          <w:b/>
          <w:kern w:val="2"/>
          <w:lang w:eastAsia="zh-CN"/>
        </w:rPr>
        <w:t>（</w:t>
      </w:r>
      <w:r w:rsidRPr="00E67914">
        <w:rPr>
          <w:rFonts w:ascii="Times New Roman" w:hAnsi="Times New Roman"/>
          <w:b/>
          <w:kern w:val="2"/>
          <w:lang w:eastAsia="zh-CN"/>
        </w:rPr>
        <w:t>2</w:t>
      </w:r>
      <w:r w:rsidRPr="00E67914">
        <w:rPr>
          <w:rFonts w:ascii="Times New Roman" w:hAnsi="Times New Roman"/>
          <w:b/>
          <w:kern w:val="2"/>
          <w:lang w:eastAsia="zh-CN"/>
        </w:rPr>
        <w:t>）地下水污染源调查</w:t>
      </w:r>
      <w:bookmarkEnd w:id="154"/>
    </w:p>
    <w:p w14:paraId="3C0DB84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根据现场调查，评价范围内主要地下水污染源为：分散居民农业生产及生活污水对地下水水质的扰动。</w:t>
      </w:r>
    </w:p>
    <w:p w14:paraId="75640F87"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hAnsi="Times New Roman"/>
          <w:b w:val="0"/>
          <w:bCs w:val="0"/>
          <w:kern w:val="2"/>
          <w:sz w:val="24"/>
          <w:szCs w:val="24"/>
          <w:lang w:eastAsia="zh-CN"/>
        </w:rPr>
        <w:t>5</w:t>
      </w:r>
      <w:r w:rsidRPr="00E67914">
        <w:rPr>
          <w:rFonts w:ascii="Times New Roman" w:eastAsia="黑体" w:hAnsi="Times New Roman"/>
          <w:b w:val="0"/>
          <w:sz w:val="24"/>
          <w:szCs w:val="24"/>
          <w:lang w:eastAsia="zh-CN"/>
        </w:rPr>
        <w:t>.3.2</w:t>
      </w:r>
      <w:r w:rsidRPr="00E67914">
        <w:rPr>
          <w:rFonts w:ascii="Times New Roman" w:eastAsia="黑体" w:hAnsi="Times New Roman"/>
          <w:b w:val="0"/>
          <w:sz w:val="24"/>
          <w:szCs w:val="24"/>
          <w:lang w:eastAsia="zh-CN"/>
        </w:rPr>
        <w:t>地下水环境功能与环境保护目标</w:t>
      </w:r>
    </w:p>
    <w:p w14:paraId="1AB498AB"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r w:rsidRPr="00E67914">
        <w:rPr>
          <w:rFonts w:ascii="Times New Roman" w:eastAsia="黑体" w:hAnsi="Times New Roman"/>
          <w:bCs/>
          <w:kern w:val="2"/>
          <w:lang w:eastAsia="zh-CN"/>
        </w:rPr>
        <w:t>1</w:t>
      </w:r>
      <w:r w:rsidRPr="00E67914">
        <w:rPr>
          <w:rFonts w:ascii="Times New Roman" w:eastAsia="黑体" w:hAnsi="Times New Roman"/>
          <w:bCs/>
          <w:kern w:val="2"/>
          <w:lang w:eastAsia="zh-CN"/>
        </w:rPr>
        <w:t>、地下水功能划分</w:t>
      </w:r>
    </w:p>
    <w:p w14:paraId="1D519DE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确定评价区地下水环境的主要功能是分析地下水环境影响、布置工作重点的重要工作之一。地下水系统是一个具有综合服务功能的开放系统，是维持社会经济发展的重要供水水源，也是维持生态环境系统稳定的重要因素。本研究确定工程区地下水环境功能从两个方面进行：依据《全国地下水功能区划分技术大纲》的要求和规定、根据实地调查的本项目工程区的地下水环境状况。</w:t>
      </w:r>
    </w:p>
    <w:p w14:paraId="5F229EB2"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1</w:t>
      </w:r>
      <w:r w:rsidRPr="00E67914">
        <w:rPr>
          <w:rFonts w:ascii="Times New Roman" w:hAnsi="Times New Roman"/>
          <w:b/>
          <w:kern w:val="2"/>
          <w:lang w:eastAsia="zh-CN"/>
        </w:rPr>
        <w:t>）地下水功能及其划分</w:t>
      </w:r>
    </w:p>
    <w:p w14:paraId="4E2F0A53"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地下水功能是指地下水的水质和水量及其在空间和时间上的变化对人类社会和环境所产生的作用或效应，它由地下水的资源功能、生态环境功能和地质环境功能组成。</w:t>
      </w:r>
    </w:p>
    <w:p w14:paraId="7DABEF0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1</w:t>
      </w:r>
      <w:r w:rsidRPr="00E67914">
        <w:rPr>
          <w:rFonts w:ascii="Times New Roman" w:hAnsi="Times New Roman"/>
          <w:bCs/>
          <w:kern w:val="2"/>
          <w:lang w:eastAsia="zh-CN"/>
        </w:rPr>
        <w:t>）地下水的资源功能是指具备一定的补给、储存和更新条件的地下水资源供给保障作用或效应。为了保持地下水的资源供给功能，首先在水量上，地下水要得到可持续的稳定补给，这样才能保障可持续开发。</w:t>
      </w:r>
    </w:p>
    <w:p w14:paraId="47FF1BA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lastRenderedPageBreak/>
        <w:t>2</w:t>
      </w:r>
      <w:r w:rsidRPr="00E67914">
        <w:rPr>
          <w:rFonts w:ascii="Times New Roman" w:hAnsi="Times New Roman"/>
          <w:bCs/>
          <w:kern w:val="2"/>
          <w:lang w:eastAsia="zh-CN"/>
        </w:rPr>
        <w:t>）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14:paraId="20D452E6"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3</w:t>
      </w:r>
      <w:r w:rsidRPr="00E67914">
        <w:rPr>
          <w:rFonts w:ascii="Times New Roman" w:hAnsi="Times New Roman"/>
          <w:bCs/>
          <w:kern w:val="2"/>
          <w:lang w:eastAsia="zh-CN"/>
        </w:rPr>
        <w:t>）地下水的地质环境功能是指地下水的地质安全保障功能，是指地下水系统对其所赋存的地质环境稳定性所具有支撑和保护的作用或效应，如果地下水系统发生变化，则地质环境出现相应的改变。</w:t>
      </w:r>
    </w:p>
    <w:p w14:paraId="0C7CFFC0"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2</w:t>
      </w:r>
      <w:r w:rsidRPr="00E67914">
        <w:rPr>
          <w:rFonts w:ascii="Times New Roman" w:hAnsi="Times New Roman"/>
          <w:b/>
          <w:kern w:val="2"/>
          <w:lang w:eastAsia="zh-CN"/>
        </w:rPr>
        <w:t>）地下水环境调查</w:t>
      </w:r>
    </w:p>
    <w:p w14:paraId="326C1316" w14:textId="6D3236DE"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通过对项目区地下水、地表水、居民用水及环境状况调查，本项目位于四川省</w:t>
      </w:r>
      <w:r w:rsidR="00DD2AA7" w:rsidRPr="00E67914">
        <w:rPr>
          <w:rFonts w:ascii="Times New Roman" w:hAnsi="Times New Roman"/>
          <w:bCs/>
          <w:kern w:val="2"/>
          <w:lang w:eastAsia="zh-CN"/>
        </w:rPr>
        <w:t>达州市宣汉县普光镇</w:t>
      </w:r>
      <w:r w:rsidR="00AE0282" w:rsidRPr="00E67914">
        <w:rPr>
          <w:rFonts w:ascii="Times New Roman" w:hAnsi="Times New Roman"/>
          <w:bCs/>
          <w:kern w:val="2"/>
          <w:lang w:eastAsia="zh-CN"/>
        </w:rPr>
        <w:t>陡梯村</w:t>
      </w:r>
      <w:r w:rsidRPr="00E67914">
        <w:rPr>
          <w:rFonts w:ascii="Times New Roman" w:hAnsi="Times New Roman"/>
          <w:bCs/>
          <w:kern w:val="2"/>
          <w:lang w:eastAsia="zh-CN"/>
        </w:rPr>
        <w:t>，评价区内有居民分布，均为饮用的山泉水，</w:t>
      </w:r>
      <w:r w:rsidR="00A83051" w:rsidRPr="00E67914">
        <w:rPr>
          <w:rFonts w:ascii="Times New Roman" w:hAnsi="Times New Roman"/>
          <w:bCs/>
          <w:kern w:val="2"/>
          <w:lang w:eastAsia="zh-CN"/>
        </w:rPr>
        <w:t>经山上水池收集后分散供周边居民使用，平均约</w:t>
      </w:r>
      <w:r w:rsidR="00A83051" w:rsidRPr="00E67914">
        <w:rPr>
          <w:rFonts w:ascii="Times New Roman" w:hAnsi="Times New Roman"/>
          <w:bCs/>
          <w:kern w:val="2"/>
          <w:lang w:eastAsia="zh-CN"/>
        </w:rPr>
        <w:t>1~15</w:t>
      </w:r>
      <w:r w:rsidR="00A83051" w:rsidRPr="00E67914">
        <w:rPr>
          <w:rFonts w:ascii="Times New Roman" w:hAnsi="Times New Roman"/>
          <w:bCs/>
          <w:kern w:val="2"/>
          <w:lang w:eastAsia="zh-CN"/>
        </w:rPr>
        <w:t>户使用</w:t>
      </w:r>
      <w:r w:rsidR="00A83051" w:rsidRPr="00E67914">
        <w:rPr>
          <w:rFonts w:ascii="Times New Roman" w:hAnsi="Times New Roman"/>
          <w:bCs/>
          <w:kern w:val="2"/>
          <w:lang w:eastAsia="zh-CN"/>
        </w:rPr>
        <w:t>1</w:t>
      </w:r>
      <w:r w:rsidR="00A83051" w:rsidRPr="00E67914">
        <w:rPr>
          <w:rFonts w:ascii="Times New Roman" w:hAnsi="Times New Roman"/>
          <w:bCs/>
          <w:kern w:val="2"/>
          <w:lang w:eastAsia="zh-CN"/>
        </w:rPr>
        <w:t>处泉水</w:t>
      </w:r>
      <w:r w:rsidRPr="00E67914">
        <w:rPr>
          <w:rFonts w:ascii="Times New Roman" w:hAnsi="Times New Roman"/>
          <w:lang w:eastAsia="zh-CN"/>
        </w:rPr>
        <w:t>。</w:t>
      </w:r>
    </w:p>
    <w:p w14:paraId="7724FE8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综上，根据《全国地下水功能区划分技术大纲》的要求和实地调查评价区地下水环境状况，本项目评价区地下水功能为供水水源资源功能。</w:t>
      </w:r>
    </w:p>
    <w:p w14:paraId="614511C0"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r w:rsidRPr="00E67914">
        <w:rPr>
          <w:rFonts w:ascii="Times New Roman" w:eastAsia="黑体" w:hAnsi="Times New Roman"/>
          <w:bCs/>
          <w:kern w:val="2"/>
          <w:lang w:eastAsia="zh-CN"/>
        </w:rPr>
        <w:t>2</w:t>
      </w:r>
      <w:r w:rsidRPr="00E67914">
        <w:rPr>
          <w:rFonts w:ascii="Times New Roman" w:eastAsia="黑体" w:hAnsi="Times New Roman"/>
          <w:bCs/>
          <w:kern w:val="2"/>
          <w:lang w:eastAsia="zh-CN"/>
        </w:rPr>
        <w:t>、地下水环境保护目标</w:t>
      </w:r>
    </w:p>
    <w:p w14:paraId="31C6E012" w14:textId="5976C1D5"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根据外环境调查，结合项目场地所处水文地质条件，区域地下水总体流向为</w:t>
      </w:r>
      <w:r w:rsidR="00A83051" w:rsidRPr="00E67914">
        <w:rPr>
          <w:rFonts w:ascii="Times New Roman" w:hAnsi="Times New Roman"/>
          <w:bCs/>
          <w:kern w:val="2"/>
          <w:lang w:eastAsia="zh-CN"/>
        </w:rPr>
        <w:t>西北</w:t>
      </w:r>
      <w:r w:rsidRPr="00E67914">
        <w:rPr>
          <w:rFonts w:ascii="Times New Roman" w:hAnsi="Times New Roman"/>
          <w:bCs/>
          <w:kern w:val="2"/>
          <w:lang w:eastAsia="zh-CN"/>
        </w:rPr>
        <w:t>至</w:t>
      </w:r>
      <w:r w:rsidR="00A83051" w:rsidRPr="00E67914">
        <w:rPr>
          <w:rFonts w:ascii="Times New Roman" w:hAnsi="Times New Roman"/>
          <w:bCs/>
          <w:kern w:val="2"/>
          <w:lang w:eastAsia="zh-CN"/>
        </w:rPr>
        <w:t>东南</w:t>
      </w:r>
      <w:r w:rsidRPr="00E67914">
        <w:rPr>
          <w:rFonts w:ascii="Times New Roman" w:hAnsi="Times New Roman"/>
          <w:bCs/>
          <w:kern w:val="2"/>
          <w:lang w:eastAsia="zh-CN"/>
        </w:rPr>
        <w:t>，排泄至</w:t>
      </w:r>
      <w:r w:rsidR="000736F8" w:rsidRPr="00E67914">
        <w:rPr>
          <w:rFonts w:ascii="Times New Roman" w:hAnsi="Times New Roman"/>
          <w:bCs/>
          <w:kern w:val="2"/>
          <w:lang w:eastAsia="zh-CN"/>
        </w:rPr>
        <w:t>后</w:t>
      </w:r>
      <w:r w:rsidRPr="00E67914">
        <w:rPr>
          <w:rFonts w:ascii="Times New Roman" w:hAnsi="Times New Roman"/>
          <w:bCs/>
          <w:kern w:val="2"/>
          <w:lang w:eastAsia="zh-CN"/>
        </w:rPr>
        <w:t>河。项目施工可能受影响的含水层为</w:t>
      </w:r>
      <w:r w:rsidRPr="00E67914">
        <w:rPr>
          <w:rFonts w:ascii="Times New Roman" w:hAnsi="Times New Roman"/>
          <w:lang w:eastAsia="zh-CN"/>
        </w:rPr>
        <w:t>基岩裂隙水与碎屑岩类裂隙水</w:t>
      </w:r>
      <w:r w:rsidRPr="00E67914">
        <w:rPr>
          <w:rFonts w:ascii="Times New Roman" w:hAnsi="Times New Roman"/>
          <w:bCs/>
          <w:kern w:val="2"/>
          <w:lang w:eastAsia="zh-CN"/>
        </w:rPr>
        <w:t>。本项目地下水环境保护目标见前文</w:t>
      </w:r>
      <w:r w:rsidRPr="00E67914">
        <w:rPr>
          <w:rFonts w:ascii="Times New Roman" w:hAnsi="Times New Roman"/>
          <w:bCs/>
          <w:kern w:val="2"/>
          <w:lang w:eastAsia="zh-CN"/>
        </w:rPr>
        <w:t>“2.9.1</w:t>
      </w:r>
      <w:r w:rsidRPr="00E67914">
        <w:rPr>
          <w:rFonts w:ascii="Times New Roman" w:hAnsi="Times New Roman"/>
          <w:bCs/>
          <w:kern w:val="2"/>
          <w:lang w:eastAsia="zh-CN"/>
        </w:rPr>
        <w:t>外环境关系</w:t>
      </w:r>
      <w:r w:rsidRPr="00E67914">
        <w:rPr>
          <w:rFonts w:ascii="Times New Roman" w:hAnsi="Times New Roman"/>
          <w:bCs/>
          <w:kern w:val="2"/>
          <w:lang w:eastAsia="zh-CN"/>
        </w:rPr>
        <w:t>”</w:t>
      </w:r>
      <w:r w:rsidRPr="00E67914">
        <w:rPr>
          <w:rFonts w:ascii="Times New Roman" w:hAnsi="Times New Roman"/>
          <w:bCs/>
          <w:kern w:val="2"/>
          <w:lang w:eastAsia="zh-CN"/>
        </w:rPr>
        <w:t>。</w:t>
      </w:r>
    </w:p>
    <w:p w14:paraId="358EECE7"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5.3.3</w:t>
      </w:r>
      <w:r w:rsidRPr="00E67914">
        <w:rPr>
          <w:rFonts w:ascii="Times New Roman" w:eastAsia="黑体" w:hAnsi="Times New Roman"/>
          <w:b w:val="0"/>
          <w:sz w:val="24"/>
          <w:szCs w:val="24"/>
          <w:lang w:eastAsia="zh-CN"/>
        </w:rPr>
        <w:t>地下水评价因子及识别</w:t>
      </w:r>
    </w:p>
    <w:p w14:paraId="47233601"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bookmarkStart w:id="155" w:name="_Toc9106"/>
      <w:bookmarkStart w:id="156" w:name="_Toc14702795"/>
      <w:r w:rsidRPr="00E67914">
        <w:rPr>
          <w:rFonts w:ascii="Times New Roman" w:eastAsia="黑体" w:hAnsi="Times New Roman"/>
          <w:bCs/>
          <w:kern w:val="2"/>
          <w:lang w:eastAsia="zh-CN"/>
        </w:rPr>
        <w:t>1</w:t>
      </w:r>
      <w:r w:rsidRPr="00E67914">
        <w:rPr>
          <w:rFonts w:ascii="Times New Roman" w:eastAsia="黑体" w:hAnsi="Times New Roman"/>
          <w:bCs/>
          <w:kern w:val="2"/>
          <w:lang w:eastAsia="zh-CN"/>
        </w:rPr>
        <w:t>、地下水环境现状评价因子</w:t>
      </w:r>
      <w:bookmarkEnd w:id="155"/>
      <w:bookmarkEnd w:id="156"/>
    </w:p>
    <w:p w14:paraId="2CDBA74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地下水环境：</w:t>
      </w:r>
      <w:r w:rsidRPr="00E67914">
        <w:rPr>
          <w:rFonts w:ascii="Times New Roman" w:hAnsi="Times New Roman"/>
          <w:bCs/>
          <w:kern w:val="2"/>
          <w:lang w:eastAsia="zh-CN"/>
        </w:rPr>
        <w:t>K</w:t>
      </w:r>
      <w:r w:rsidRPr="00E67914">
        <w:rPr>
          <w:rFonts w:ascii="Times New Roman" w:hAnsi="Times New Roman"/>
          <w:bCs/>
          <w:kern w:val="2"/>
          <w:vertAlign w:val="superscript"/>
          <w:lang w:eastAsia="zh-CN"/>
        </w:rPr>
        <w:t>+</w:t>
      </w:r>
      <w:r w:rsidRPr="00E67914">
        <w:rPr>
          <w:rFonts w:ascii="Times New Roman" w:hAnsi="Times New Roman"/>
          <w:bCs/>
          <w:kern w:val="2"/>
          <w:lang w:eastAsia="zh-CN"/>
        </w:rPr>
        <w:t>、</w:t>
      </w:r>
      <w:r w:rsidRPr="00E67914">
        <w:rPr>
          <w:rFonts w:ascii="Times New Roman" w:hAnsi="Times New Roman"/>
          <w:bCs/>
          <w:kern w:val="2"/>
          <w:lang w:eastAsia="zh-CN"/>
        </w:rPr>
        <w:t>Na</w:t>
      </w:r>
      <w:r w:rsidRPr="00E67914">
        <w:rPr>
          <w:rFonts w:ascii="Times New Roman" w:hAnsi="Times New Roman"/>
          <w:bCs/>
          <w:kern w:val="2"/>
          <w:vertAlign w:val="superscript"/>
          <w:lang w:eastAsia="zh-CN"/>
        </w:rPr>
        <w:t>+</w:t>
      </w:r>
      <w:r w:rsidRPr="00E67914">
        <w:rPr>
          <w:rFonts w:ascii="Times New Roman" w:hAnsi="Times New Roman"/>
          <w:bCs/>
          <w:kern w:val="2"/>
          <w:lang w:eastAsia="zh-CN"/>
        </w:rPr>
        <w:t>、</w:t>
      </w:r>
      <w:r w:rsidRPr="00E67914">
        <w:rPr>
          <w:rFonts w:ascii="Times New Roman" w:hAnsi="Times New Roman"/>
          <w:bCs/>
          <w:kern w:val="2"/>
          <w:lang w:eastAsia="zh-CN"/>
        </w:rPr>
        <w:t>Ca</w:t>
      </w:r>
      <w:r w:rsidRPr="00E67914">
        <w:rPr>
          <w:rFonts w:ascii="Times New Roman" w:hAnsi="Times New Roman"/>
          <w:bCs/>
          <w:kern w:val="2"/>
          <w:vertAlign w:val="superscript"/>
          <w:lang w:eastAsia="zh-CN"/>
        </w:rPr>
        <w:t>2+</w:t>
      </w:r>
      <w:r w:rsidRPr="00E67914">
        <w:rPr>
          <w:rFonts w:ascii="Times New Roman" w:hAnsi="Times New Roman"/>
          <w:bCs/>
          <w:kern w:val="2"/>
          <w:lang w:eastAsia="zh-CN"/>
        </w:rPr>
        <w:t>、</w:t>
      </w:r>
      <w:r w:rsidRPr="00E67914">
        <w:rPr>
          <w:rFonts w:ascii="Times New Roman" w:hAnsi="Times New Roman"/>
          <w:bCs/>
          <w:kern w:val="2"/>
          <w:lang w:eastAsia="zh-CN"/>
        </w:rPr>
        <w:t>Mg</w:t>
      </w:r>
      <w:r w:rsidRPr="00E67914">
        <w:rPr>
          <w:rFonts w:ascii="Times New Roman" w:hAnsi="Times New Roman"/>
          <w:bCs/>
          <w:kern w:val="2"/>
          <w:vertAlign w:val="superscript"/>
          <w:lang w:eastAsia="zh-CN"/>
        </w:rPr>
        <w:t>2+</w:t>
      </w:r>
      <w:r w:rsidRPr="00E67914">
        <w:rPr>
          <w:rFonts w:ascii="Times New Roman" w:hAnsi="Times New Roman"/>
          <w:bCs/>
          <w:kern w:val="2"/>
          <w:lang w:eastAsia="zh-CN"/>
        </w:rPr>
        <w:t>、</w:t>
      </w:r>
      <w:r w:rsidRPr="00E67914">
        <w:rPr>
          <w:rFonts w:ascii="Times New Roman" w:hAnsi="Times New Roman"/>
          <w:bCs/>
          <w:kern w:val="2"/>
          <w:lang w:eastAsia="zh-CN"/>
        </w:rPr>
        <w:t>CO</w:t>
      </w:r>
      <w:r w:rsidRPr="00E67914">
        <w:rPr>
          <w:rFonts w:ascii="Times New Roman" w:hAnsi="Times New Roman"/>
          <w:bCs/>
          <w:kern w:val="2"/>
          <w:vertAlign w:val="subscript"/>
          <w:lang w:eastAsia="zh-CN"/>
        </w:rPr>
        <w:t>3</w:t>
      </w:r>
      <w:r w:rsidRPr="00E67914">
        <w:rPr>
          <w:rFonts w:ascii="Times New Roman" w:hAnsi="Times New Roman"/>
          <w:bCs/>
          <w:kern w:val="2"/>
          <w:vertAlign w:val="superscript"/>
          <w:lang w:eastAsia="zh-CN"/>
        </w:rPr>
        <w:t>2-</w:t>
      </w:r>
      <w:r w:rsidRPr="00E67914">
        <w:rPr>
          <w:rFonts w:ascii="Times New Roman" w:hAnsi="Times New Roman"/>
          <w:bCs/>
          <w:kern w:val="2"/>
          <w:lang w:eastAsia="zh-CN"/>
        </w:rPr>
        <w:t>、</w:t>
      </w:r>
      <w:r w:rsidRPr="00E67914">
        <w:rPr>
          <w:rFonts w:ascii="Times New Roman" w:hAnsi="Times New Roman"/>
          <w:bCs/>
          <w:kern w:val="2"/>
          <w:lang w:eastAsia="zh-CN"/>
        </w:rPr>
        <w:t>HCO</w:t>
      </w:r>
      <w:r w:rsidRPr="00E67914">
        <w:rPr>
          <w:rFonts w:ascii="Times New Roman" w:hAnsi="Times New Roman"/>
          <w:bCs/>
          <w:kern w:val="2"/>
          <w:vertAlign w:val="superscript"/>
          <w:lang w:eastAsia="zh-CN"/>
        </w:rPr>
        <w:t>3-</w:t>
      </w:r>
      <w:r w:rsidRPr="00E67914">
        <w:rPr>
          <w:rFonts w:ascii="Times New Roman" w:hAnsi="Times New Roman"/>
          <w:bCs/>
          <w:kern w:val="2"/>
          <w:lang w:eastAsia="zh-CN"/>
        </w:rPr>
        <w:t>、</w:t>
      </w:r>
      <w:r w:rsidRPr="00E67914">
        <w:rPr>
          <w:rFonts w:ascii="Times New Roman" w:hAnsi="Times New Roman"/>
          <w:bCs/>
          <w:kern w:val="2"/>
          <w:lang w:eastAsia="zh-CN"/>
        </w:rPr>
        <w:t>Cl</w:t>
      </w:r>
      <w:r w:rsidRPr="00E67914">
        <w:rPr>
          <w:rFonts w:ascii="Times New Roman" w:hAnsi="Times New Roman"/>
          <w:bCs/>
          <w:kern w:val="2"/>
          <w:vertAlign w:val="superscript"/>
          <w:lang w:eastAsia="zh-CN"/>
        </w:rPr>
        <w:t>-</w:t>
      </w:r>
      <w:r w:rsidRPr="00E67914">
        <w:rPr>
          <w:rFonts w:ascii="Times New Roman" w:hAnsi="Times New Roman"/>
          <w:bCs/>
          <w:kern w:val="2"/>
          <w:lang w:eastAsia="zh-CN"/>
        </w:rPr>
        <w:t>、</w:t>
      </w:r>
      <w:r w:rsidRPr="00E67914">
        <w:rPr>
          <w:rFonts w:ascii="Times New Roman" w:hAnsi="Times New Roman"/>
          <w:bCs/>
          <w:kern w:val="2"/>
          <w:lang w:eastAsia="zh-CN"/>
        </w:rPr>
        <w:t>SO</w:t>
      </w:r>
      <w:r w:rsidRPr="00E67914">
        <w:rPr>
          <w:rFonts w:ascii="Times New Roman" w:hAnsi="Times New Roman"/>
          <w:bCs/>
          <w:kern w:val="2"/>
          <w:vertAlign w:val="subscript"/>
          <w:lang w:eastAsia="zh-CN"/>
        </w:rPr>
        <w:t>4</w:t>
      </w:r>
      <w:r w:rsidRPr="00E67914">
        <w:rPr>
          <w:rFonts w:ascii="Times New Roman" w:hAnsi="Times New Roman"/>
          <w:bCs/>
          <w:kern w:val="2"/>
          <w:vertAlign w:val="superscript"/>
          <w:lang w:eastAsia="zh-CN"/>
        </w:rPr>
        <w:t>2-</w:t>
      </w:r>
      <w:r w:rsidRPr="00E67914">
        <w:rPr>
          <w:rFonts w:ascii="Times New Roman" w:hAnsi="Times New Roman"/>
          <w:bCs/>
          <w:kern w:val="2"/>
          <w:lang w:eastAsia="zh-CN"/>
        </w:rPr>
        <w:t>、</w:t>
      </w:r>
      <w:r w:rsidRPr="00E67914">
        <w:rPr>
          <w:rFonts w:ascii="Times New Roman" w:hAnsi="Times New Roman"/>
          <w:bCs/>
          <w:kern w:val="2"/>
          <w:lang w:eastAsia="zh-CN"/>
        </w:rPr>
        <w:t>pH</w:t>
      </w:r>
      <w:r w:rsidRPr="00E67914">
        <w:rPr>
          <w:rFonts w:ascii="Times New Roman" w:hAnsi="Times New Roman"/>
          <w:bCs/>
          <w:kern w:val="2"/>
          <w:lang w:eastAsia="zh-CN"/>
        </w:rPr>
        <w:t>、氨氮、硝酸盐、亚硝酸盐、挥发性酚类、氰化物、砷、汞、铬（六价）、总硬度、铅、氟、镉、铁、锰、溶解性总固体、高锰酸盐指数、硫酸盐、总大肠菌群、细菌总数。</w:t>
      </w:r>
    </w:p>
    <w:p w14:paraId="01ACD2EB"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bookmarkStart w:id="157" w:name="_Toc21960"/>
      <w:bookmarkStart w:id="158" w:name="_Toc14702796"/>
      <w:r w:rsidRPr="00E67914">
        <w:rPr>
          <w:rFonts w:ascii="Times New Roman" w:eastAsia="黑体" w:hAnsi="Times New Roman"/>
          <w:bCs/>
          <w:kern w:val="2"/>
          <w:lang w:eastAsia="zh-CN"/>
        </w:rPr>
        <w:t>2</w:t>
      </w:r>
      <w:r w:rsidRPr="00E67914">
        <w:rPr>
          <w:rFonts w:ascii="Times New Roman" w:eastAsia="黑体" w:hAnsi="Times New Roman"/>
          <w:bCs/>
          <w:kern w:val="2"/>
          <w:lang w:eastAsia="zh-CN"/>
        </w:rPr>
        <w:t>、地下水环境影响评价因子</w:t>
      </w:r>
      <w:bookmarkEnd w:id="157"/>
      <w:bookmarkEnd w:id="158"/>
    </w:p>
    <w:p w14:paraId="5E243478"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鉴于本项目废水具有氯化物、悬浮物含量高，含石油类、有机物，且变化范围大，水质复杂的特点，类比同类项目，本项目产生废水水质主要含有有机物、石油类、氯离子、无机盐等。</w:t>
      </w:r>
    </w:p>
    <w:p w14:paraId="2DFDDB2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根据《环境影响评价技术导则</w:t>
      </w:r>
      <w:r w:rsidRPr="00E67914">
        <w:rPr>
          <w:rFonts w:ascii="Times New Roman" w:hAnsi="Times New Roman"/>
          <w:bCs/>
          <w:kern w:val="2"/>
          <w:lang w:eastAsia="zh-CN"/>
        </w:rPr>
        <w:t>-</w:t>
      </w:r>
      <w:r w:rsidRPr="00E67914">
        <w:rPr>
          <w:rFonts w:ascii="Times New Roman" w:hAnsi="Times New Roman"/>
          <w:bCs/>
          <w:kern w:val="2"/>
          <w:lang w:eastAsia="zh-CN"/>
        </w:rPr>
        <w:t>地下水环境》（</w:t>
      </w:r>
      <w:r w:rsidRPr="00E67914">
        <w:rPr>
          <w:rFonts w:ascii="Times New Roman" w:hAnsi="Times New Roman"/>
          <w:bCs/>
          <w:kern w:val="2"/>
          <w:lang w:eastAsia="zh-CN"/>
        </w:rPr>
        <w:t>HJ610-2016</w:t>
      </w:r>
      <w:r w:rsidRPr="00E67914">
        <w:rPr>
          <w:rFonts w:ascii="Times New Roman" w:hAnsi="Times New Roman"/>
          <w:bCs/>
          <w:kern w:val="2"/>
          <w:lang w:eastAsia="zh-CN"/>
        </w:rPr>
        <w:t>），预测因子识别应对项目污染物进行分类后（重金属、持久性污染物和其他类别进行分类），</w:t>
      </w:r>
      <w:r w:rsidRPr="00E67914">
        <w:rPr>
          <w:rFonts w:ascii="Times New Roman" w:hAnsi="Times New Roman"/>
          <w:bCs/>
          <w:kern w:val="2"/>
          <w:lang w:eastAsia="zh-CN"/>
        </w:rPr>
        <w:lastRenderedPageBreak/>
        <w:t>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14:paraId="7ECD45CD" w14:textId="3F209B99"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根据监测资料，</w:t>
      </w:r>
      <w:r w:rsidR="00A83051" w:rsidRPr="00E67914">
        <w:rPr>
          <w:rFonts w:ascii="Times New Roman" w:hAnsi="Times New Roman"/>
          <w:bCs/>
          <w:kern w:val="2"/>
          <w:lang w:eastAsia="zh-CN"/>
        </w:rPr>
        <w:t>项目所在地</w:t>
      </w:r>
      <w:r w:rsidRPr="00E67914">
        <w:rPr>
          <w:rFonts w:ascii="Times New Roman" w:hAnsi="Times New Roman"/>
          <w:bCs/>
          <w:kern w:val="2"/>
          <w:lang w:eastAsia="zh-CN"/>
        </w:rPr>
        <w:t>附近潜水含水层地下水水质良好，所有指标均未超过《地下水质量标准》（</w:t>
      </w:r>
      <w:r w:rsidRPr="00E67914">
        <w:rPr>
          <w:rFonts w:ascii="Times New Roman" w:hAnsi="Times New Roman"/>
          <w:bCs/>
          <w:kern w:val="2"/>
          <w:lang w:eastAsia="zh-CN"/>
        </w:rPr>
        <w:t>GB/T14848-2017</w:t>
      </w:r>
      <w:r w:rsidRPr="00E67914">
        <w:rPr>
          <w:rFonts w:ascii="Times New Roman" w:hAnsi="Times New Roman"/>
          <w:bCs/>
          <w:kern w:val="2"/>
          <w:lang w:eastAsia="zh-CN"/>
        </w:rPr>
        <w:t>）中的</w:t>
      </w:r>
      <w:r w:rsidRPr="00E67914">
        <w:rPr>
          <w:rFonts w:ascii="Times New Roman" w:hAnsi="Times New Roman"/>
          <w:bCs/>
          <w:kern w:val="2"/>
          <w:lang w:eastAsia="zh-CN"/>
        </w:rPr>
        <w:t>Ⅲ</w:t>
      </w:r>
      <w:r w:rsidRPr="00E67914">
        <w:rPr>
          <w:rFonts w:ascii="Times New Roman" w:hAnsi="Times New Roman"/>
          <w:bCs/>
          <w:kern w:val="2"/>
          <w:lang w:eastAsia="zh-CN"/>
        </w:rPr>
        <w:t>类标准限值要求。基于本项目废水的水质特征，选择无机离子中等标污染负荷最大的氯离子，持久性污染物中等标污染负荷最大的</w:t>
      </w:r>
      <w:r w:rsidRPr="00E67914">
        <w:rPr>
          <w:rFonts w:ascii="Times New Roman" w:hAnsi="Times New Roman"/>
          <w:bCs/>
          <w:kern w:val="2"/>
          <w:lang w:eastAsia="zh-CN"/>
        </w:rPr>
        <w:t>COD</w:t>
      </w:r>
      <w:r w:rsidRPr="00E67914">
        <w:rPr>
          <w:rFonts w:ascii="Times New Roman" w:hAnsi="Times New Roman"/>
          <w:bCs/>
          <w:kern w:val="2"/>
          <w:vertAlign w:val="subscript"/>
          <w:lang w:eastAsia="zh-CN"/>
        </w:rPr>
        <w:t>Cr</w:t>
      </w:r>
      <w:r w:rsidRPr="00E67914">
        <w:rPr>
          <w:rFonts w:ascii="Times New Roman" w:hAnsi="Times New Roman"/>
          <w:bCs/>
          <w:kern w:val="2"/>
          <w:lang w:eastAsia="zh-CN"/>
        </w:rPr>
        <w:t>，特征污染因子石油类作为本次评价的预测因子。</w:t>
      </w:r>
    </w:p>
    <w:p w14:paraId="23FBB320"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159" w:name="_Toc14702804"/>
      <w:r w:rsidRPr="00E67914">
        <w:rPr>
          <w:rFonts w:ascii="Times New Roman" w:eastAsia="黑体" w:hAnsi="Times New Roman"/>
          <w:b w:val="0"/>
          <w:sz w:val="24"/>
          <w:szCs w:val="24"/>
          <w:lang w:eastAsia="zh-CN"/>
        </w:rPr>
        <w:t>5.3.4</w:t>
      </w:r>
      <w:r w:rsidRPr="00E67914">
        <w:rPr>
          <w:rFonts w:ascii="Times New Roman" w:eastAsia="黑体" w:hAnsi="Times New Roman"/>
          <w:b w:val="0"/>
          <w:sz w:val="24"/>
          <w:szCs w:val="24"/>
          <w:lang w:eastAsia="zh-CN"/>
        </w:rPr>
        <w:t>水文地质参数识别</w:t>
      </w:r>
      <w:bookmarkEnd w:id="159"/>
    </w:p>
    <w:p w14:paraId="0A138A9A" w14:textId="1CDCF326"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本次评价充分参考《中国石油化工股份有限公司中原油田普光分公司普光分公司</w:t>
      </w:r>
      <w:r w:rsidRPr="00E67914">
        <w:rPr>
          <w:rFonts w:ascii="Times New Roman" w:hAnsi="Times New Roman"/>
          <w:sz w:val="24"/>
          <w:szCs w:val="24"/>
          <w:lang w:eastAsia="zh-CN"/>
        </w:rPr>
        <w:t>P3021</w:t>
      </w:r>
      <w:r w:rsidRPr="00E67914">
        <w:rPr>
          <w:rFonts w:ascii="Times New Roman" w:hAnsi="Times New Roman"/>
          <w:sz w:val="24"/>
          <w:szCs w:val="24"/>
          <w:lang w:eastAsia="zh-CN"/>
        </w:rPr>
        <w:t>产能建设项目地下水环境影响评价专题》、《大湾</w:t>
      </w:r>
      <w:r w:rsidRPr="00E67914">
        <w:rPr>
          <w:rFonts w:ascii="Times New Roman" w:hAnsi="Times New Roman"/>
          <w:sz w:val="24"/>
          <w:szCs w:val="24"/>
          <w:lang w:eastAsia="zh-CN"/>
        </w:rPr>
        <w:t>406</w:t>
      </w:r>
      <w:r w:rsidRPr="00E67914">
        <w:rPr>
          <w:rFonts w:ascii="Times New Roman" w:hAnsi="Times New Roman"/>
          <w:sz w:val="24"/>
          <w:szCs w:val="24"/>
          <w:lang w:eastAsia="zh-CN"/>
        </w:rPr>
        <w:t>滚动勘探井地下水环境影响评价专题报告》、《</w:t>
      </w:r>
      <w:r w:rsidRPr="00E67914">
        <w:rPr>
          <w:rFonts w:ascii="Times New Roman" w:hAnsi="Times New Roman"/>
          <w:sz w:val="24"/>
          <w:szCs w:val="24"/>
          <w:lang w:eastAsia="zh-CN"/>
        </w:rPr>
        <w:t>M506-1T</w:t>
      </w:r>
      <w:r w:rsidRPr="00E67914">
        <w:rPr>
          <w:rFonts w:ascii="Times New Roman" w:hAnsi="Times New Roman"/>
          <w:sz w:val="24"/>
          <w:szCs w:val="24"/>
          <w:lang w:eastAsia="zh-CN"/>
        </w:rPr>
        <w:t>井产能建设项目地下水环境影响评价专题报告》、《大湾</w:t>
      </w:r>
      <w:r w:rsidRPr="00E67914">
        <w:rPr>
          <w:rFonts w:ascii="Times New Roman" w:hAnsi="Times New Roman"/>
          <w:sz w:val="24"/>
          <w:szCs w:val="24"/>
          <w:lang w:eastAsia="zh-CN"/>
        </w:rPr>
        <w:t>4</w:t>
      </w:r>
      <w:r w:rsidRPr="00E67914">
        <w:rPr>
          <w:rFonts w:ascii="Times New Roman" w:hAnsi="Times New Roman"/>
          <w:sz w:val="24"/>
          <w:szCs w:val="24"/>
          <w:lang w:eastAsia="zh-CN"/>
        </w:rPr>
        <w:t>井探工程地下水环境影响评价专题报告</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西南交通大学地球科学与环境工程学院</w:t>
      </w:r>
      <w:r w:rsidRPr="00E67914">
        <w:rPr>
          <w:rFonts w:ascii="Times New Roman" w:hAnsi="Times New Roman"/>
          <w:sz w:val="24"/>
          <w:szCs w:val="24"/>
          <w:lang w:eastAsia="zh-CN"/>
        </w:rPr>
        <w:t xml:space="preserve"> 2018.8</w:t>
      </w:r>
      <w:r w:rsidRPr="00E67914">
        <w:rPr>
          <w:rFonts w:ascii="Times New Roman" w:hAnsi="Times New Roman"/>
          <w:sz w:val="24"/>
          <w:szCs w:val="24"/>
          <w:lang w:eastAsia="zh-CN"/>
        </w:rPr>
        <w:t>》的地下水环境影响评价成果来选取水文地质参数。根据附图</w:t>
      </w:r>
      <w:r w:rsidRPr="00E67914">
        <w:rPr>
          <w:rFonts w:ascii="Times New Roman" w:hAnsi="Times New Roman"/>
          <w:sz w:val="24"/>
          <w:szCs w:val="24"/>
          <w:lang w:eastAsia="zh-CN"/>
        </w:rPr>
        <w:t>11</w:t>
      </w:r>
      <w:r w:rsidRPr="00E67914">
        <w:rPr>
          <w:rFonts w:ascii="Times New Roman" w:hAnsi="Times New Roman"/>
          <w:sz w:val="24"/>
          <w:szCs w:val="24"/>
          <w:lang w:eastAsia="zh-CN"/>
        </w:rPr>
        <w:t>可知</w:t>
      </w:r>
      <w:r w:rsidRPr="00E67914">
        <w:rPr>
          <w:rFonts w:ascii="Times New Roman" w:hAnsi="Times New Roman"/>
          <w:sz w:val="24"/>
          <w:szCs w:val="24"/>
          <w:lang w:eastAsia="zh-CN"/>
        </w:rPr>
        <w:t>P3021</w:t>
      </w:r>
      <w:r w:rsidRPr="00E67914">
        <w:rPr>
          <w:rFonts w:ascii="Times New Roman" w:hAnsi="Times New Roman"/>
          <w:sz w:val="24"/>
          <w:szCs w:val="24"/>
          <w:lang w:eastAsia="zh-CN"/>
        </w:rPr>
        <w:t>井、大湾</w:t>
      </w:r>
      <w:r w:rsidRPr="00E67914">
        <w:rPr>
          <w:rFonts w:ascii="Times New Roman" w:hAnsi="Times New Roman"/>
          <w:sz w:val="24"/>
          <w:szCs w:val="24"/>
          <w:lang w:eastAsia="zh-CN"/>
        </w:rPr>
        <w:t>406</w:t>
      </w:r>
      <w:r w:rsidRPr="00E67914">
        <w:rPr>
          <w:rFonts w:ascii="Times New Roman" w:hAnsi="Times New Roman"/>
          <w:sz w:val="24"/>
          <w:szCs w:val="24"/>
          <w:lang w:eastAsia="zh-CN"/>
        </w:rPr>
        <w:t>井、大湾</w:t>
      </w:r>
      <w:r w:rsidRPr="00E67914">
        <w:rPr>
          <w:rFonts w:ascii="Times New Roman" w:hAnsi="Times New Roman"/>
          <w:sz w:val="24"/>
          <w:szCs w:val="24"/>
          <w:lang w:eastAsia="zh-CN"/>
        </w:rPr>
        <w:t>4</w:t>
      </w:r>
      <w:r w:rsidRPr="00E67914">
        <w:rPr>
          <w:rFonts w:ascii="Times New Roman" w:hAnsi="Times New Roman"/>
          <w:sz w:val="24"/>
          <w:szCs w:val="24"/>
          <w:lang w:eastAsia="zh-CN"/>
        </w:rPr>
        <w:t>井与</w:t>
      </w:r>
      <w:r w:rsidRPr="00E67914">
        <w:rPr>
          <w:rFonts w:ascii="Times New Roman" w:hAnsi="Times New Roman"/>
          <w:sz w:val="24"/>
          <w:szCs w:val="24"/>
          <w:lang w:eastAsia="zh-CN"/>
        </w:rPr>
        <w:t>M506-1T</w:t>
      </w:r>
      <w:r w:rsidRPr="00E67914">
        <w:rPr>
          <w:rFonts w:ascii="Times New Roman" w:hAnsi="Times New Roman"/>
          <w:sz w:val="24"/>
          <w:szCs w:val="24"/>
          <w:lang w:eastAsia="zh-CN"/>
        </w:rPr>
        <w:t>井均位于本项目周边较近区域</w:t>
      </w:r>
      <w:r w:rsidR="00A83051" w:rsidRPr="00E67914">
        <w:rPr>
          <w:rFonts w:ascii="Times New Roman" w:hAnsi="Times New Roman"/>
          <w:sz w:val="24"/>
          <w:szCs w:val="24"/>
          <w:lang w:eastAsia="zh-CN"/>
        </w:rPr>
        <w:t>，</w:t>
      </w:r>
      <w:r w:rsidR="00A83051" w:rsidRPr="00E67914">
        <w:rPr>
          <w:rFonts w:ascii="Times New Roman" w:hAnsi="Times New Roman"/>
          <w:sz w:val="24"/>
          <w:szCs w:val="24"/>
          <w:lang w:eastAsia="zh-CN"/>
        </w:rPr>
        <w:t>P302</w:t>
      </w:r>
      <w:r w:rsidR="00A83051" w:rsidRPr="00E67914">
        <w:rPr>
          <w:rFonts w:ascii="Times New Roman" w:hAnsi="Times New Roman"/>
          <w:sz w:val="24"/>
          <w:szCs w:val="24"/>
          <w:lang w:eastAsia="zh-CN"/>
        </w:rPr>
        <w:t>集气站位于项目南侧约</w:t>
      </w:r>
      <w:r w:rsidR="00A83051" w:rsidRPr="00E67914">
        <w:rPr>
          <w:rFonts w:ascii="Times New Roman" w:hAnsi="Times New Roman"/>
          <w:sz w:val="24"/>
          <w:szCs w:val="24"/>
          <w:lang w:eastAsia="zh-CN"/>
        </w:rPr>
        <w:t>390m</w:t>
      </w:r>
      <w:r w:rsidR="00A83051" w:rsidRPr="00E67914">
        <w:rPr>
          <w:rFonts w:ascii="Times New Roman" w:hAnsi="Times New Roman"/>
          <w:sz w:val="24"/>
          <w:szCs w:val="24"/>
          <w:lang w:eastAsia="zh-CN"/>
        </w:rPr>
        <w:t>处</w:t>
      </w:r>
      <w:r w:rsidRPr="00E67914">
        <w:rPr>
          <w:rFonts w:ascii="Times New Roman" w:hAnsi="Times New Roman"/>
          <w:sz w:val="24"/>
          <w:szCs w:val="24"/>
          <w:lang w:eastAsia="zh-CN"/>
        </w:rPr>
        <w:t>，地下水类型均以裂隙水为主。地下水赋存于侏罗系上统蓬莱镇组（</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p</w:t>
      </w:r>
      <w:r w:rsidRPr="00E67914">
        <w:rPr>
          <w:rFonts w:ascii="Times New Roman" w:hAnsi="Times New Roman"/>
          <w:sz w:val="24"/>
          <w:szCs w:val="24"/>
          <w:vertAlign w:val="subscript"/>
          <w:lang w:eastAsia="zh-CN"/>
        </w:rPr>
        <w:t>1</w:t>
      </w:r>
      <w:r w:rsidRPr="00E67914">
        <w:rPr>
          <w:rFonts w:ascii="Times New Roman" w:hAnsi="Times New Roman"/>
          <w:sz w:val="24"/>
          <w:szCs w:val="24"/>
          <w:lang w:eastAsia="zh-CN"/>
        </w:rPr>
        <w:t>、</w:t>
      </w:r>
      <w:r w:rsidRPr="00E67914">
        <w:rPr>
          <w:rFonts w:ascii="Times New Roman" w:hAnsi="Times New Roman"/>
          <w:sz w:val="24"/>
          <w:szCs w:val="24"/>
          <w:lang w:eastAsia="zh-CN"/>
        </w:rPr>
        <w:t>J</w:t>
      </w:r>
      <w:r w:rsidRPr="00E67914">
        <w:rPr>
          <w:rFonts w:ascii="Times New Roman" w:hAnsi="Times New Roman"/>
          <w:sz w:val="24"/>
          <w:szCs w:val="24"/>
          <w:vertAlign w:val="subscript"/>
          <w:lang w:eastAsia="zh-CN"/>
        </w:rPr>
        <w:t>3</w:t>
      </w:r>
      <w:r w:rsidRPr="00E67914">
        <w:rPr>
          <w:rFonts w:ascii="Times New Roman" w:hAnsi="Times New Roman"/>
          <w:sz w:val="24"/>
          <w:szCs w:val="24"/>
          <w:lang w:eastAsia="zh-CN"/>
        </w:rPr>
        <w:t>p</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）构造裂隙中，砂岩为主要含水层。</w:t>
      </w:r>
    </w:p>
    <w:p w14:paraId="2AB8DD5C"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5.3.5</w:t>
      </w:r>
      <w:r w:rsidRPr="00E67914">
        <w:rPr>
          <w:rFonts w:ascii="Times New Roman" w:eastAsia="黑体" w:hAnsi="Times New Roman"/>
          <w:b w:val="0"/>
          <w:sz w:val="24"/>
          <w:szCs w:val="24"/>
          <w:lang w:eastAsia="zh-CN"/>
        </w:rPr>
        <w:t>地下水污染源源强分析</w:t>
      </w:r>
    </w:p>
    <w:p w14:paraId="1110DABB"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r w:rsidRPr="00E67914">
        <w:rPr>
          <w:rFonts w:ascii="Times New Roman" w:eastAsia="黑体" w:hAnsi="Times New Roman"/>
          <w:bCs/>
          <w:kern w:val="2"/>
          <w:lang w:eastAsia="zh-CN"/>
        </w:rPr>
        <w:t>1</w:t>
      </w:r>
      <w:r w:rsidRPr="00E67914">
        <w:rPr>
          <w:rFonts w:ascii="Times New Roman" w:eastAsia="黑体" w:hAnsi="Times New Roman"/>
          <w:bCs/>
          <w:kern w:val="2"/>
          <w:lang w:eastAsia="zh-CN"/>
        </w:rPr>
        <w:t>、产污环节分析</w:t>
      </w:r>
    </w:p>
    <w:p w14:paraId="4EA3F646" w14:textId="6368BD96"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钻前工程施工时间短，废水产生量小且为一般施工废水，无特殊污染物，回用于洒水降尘不会对地下水环境造成影响；采气试采期产生气田水由</w:t>
      </w:r>
      <w:r w:rsidR="00A9536E" w:rsidRPr="00E67914">
        <w:rPr>
          <w:rFonts w:ascii="Times New Roman" w:hAnsi="Times New Roman"/>
          <w:bCs/>
          <w:sz w:val="24"/>
          <w:szCs w:val="24"/>
          <w:lang w:eastAsia="zh-CN"/>
        </w:rPr>
        <w:t>放空分液罐、采出水罐</w:t>
      </w:r>
      <w:r w:rsidRPr="00E67914">
        <w:rPr>
          <w:rFonts w:ascii="Times New Roman" w:hAnsi="Times New Roman"/>
          <w:bCs/>
          <w:sz w:val="24"/>
          <w:szCs w:val="24"/>
          <w:lang w:eastAsia="zh-CN"/>
        </w:rPr>
        <w:t>收集后外运处理，</w:t>
      </w:r>
      <w:r w:rsidR="00A9536E" w:rsidRPr="00E67914">
        <w:rPr>
          <w:rFonts w:ascii="Times New Roman" w:hAnsi="Times New Roman"/>
          <w:bCs/>
          <w:sz w:val="24"/>
          <w:szCs w:val="24"/>
          <w:lang w:eastAsia="zh-CN"/>
        </w:rPr>
        <w:t>放空分液罐、采出水罐</w:t>
      </w:r>
      <w:r w:rsidRPr="00E67914">
        <w:rPr>
          <w:rFonts w:ascii="Times New Roman" w:hAnsi="Times New Roman"/>
          <w:bCs/>
          <w:sz w:val="24"/>
          <w:szCs w:val="24"/>
          <w:lang w:eastAsia="zh-CN"/>
        </w:rPr>
        <w:t>设置于防渗区，事故情况下也难以入渗地下水系统，钻井工程生活污水</w:t>
      </w:r>
      <w:r w:rsidRPr="00E67914">
        <w:rPr>
          <w:rFonts w:ascii="Times New Roman" w:hAnsi="Times New Roman"/>
          <w:sz w:val="24"/>
          <w:szCs w:val="24"/>
          <w:lang w:eastAsia="zh-CN"/>
        </w:rPr>
        <w:t>经生态厕所收集后定期由密闭罐车拉运至周边生活污水处理厂处理</w:t>
      </w:r>
      <w:r w:rsidRPr="00E67914">
        <w:rPr>
          <w:rFonts w:ascii="Times New Roman" w:hAnsi="Times New Roman"/>
          <w:bCs/>
          <w:sz w:val="24"/>
          <w:szCs w:val="24"/>
          <w:lang w:eastAsia="zh-CN"/>
        </w:rPr>
        <w:t>，都不会对地下水造成污染。本工程建设施工过程中，钻井、固井等井下作业无防渗条件，其污染物下渗可能污染浅层地下水，钻井、固井施工时井场内罐、池泄漏也可能通过井场内未做防渗区域入渗进入地下水，故将钻井、固井作业中污染物可能进入地下水系统作为评价重点，但由于其水循环动力相对较小，其影响范围也相对较小。</w:t>
      </w:r>
    </w:p>
    <w:p w14:paraId="032BBA11"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bookmarkStart w:id="160" w:name="_Toc14702812"/>
      <w:r w:rsidRPr="00E67914">
        <w:rPr>
          <w:rFonts w:ascii="Times New Roman" w:eastAsia="黑体" w:hAnsi="Times New Roman"/>
          <w:bCs/>
          <w:kern w:val="2"/>
          <w:lang w:eastAsia="zh-CN"/>
        </w:rPr>
        <w:lastRenderedPageBreak/>
        <w:t>2</w:t>
      </w:r>
      <w:r w:rsidRPr="00E67914">
        <w:rPr>
          <w:rFonts w:ascii="Times New Roman" w:eastAsia="黑体" w:hAnsi="Times New Roman"/>
          <w:bCs/>
          <w:kern w:val="2"/>
          <w:lang w:eastAsia="zh-CN"/>
        </w:rPr>
        <w:t>、地下水污染源分析</w:t>
      </w:r>
      <w:bookmarkEnd w:id="160"/>
    </w:p>
    <w:p w14:paraId="3F8DE176"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bookmarkStart w:id="161" w:name="_Toc29002"/>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）正常状况</w:t>
      </w:r>
    </w:p>
    <w:p w14:paraId="410F4A0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的地下水污染源主要来自钻井废水、废钻井泥浆、作业废液、放喷池污水以及柴油机房、储备罐中的油类物质等的泄漏和外溢，这些物质都放置在相应的储备罐或储存池中，一般情况下，只要对各种地下水污染源及时采取回用、转运、防渗等方式处理，就不会对地下水水质产生大的影响。与此同时，井场选址于地质稳定地带，也不受当地河水洪灾危险，正常状况下废水外溢及下渗造成地下水污染的可能性极小。</w:t>
      </w:r>
    </w:p>
    <w:p w14:paraId="0298D1E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本工程按《环境影响评价技术导则</w:t>
      </w:r>
      <w:r w:rsidRPr="00E67914">
        <w:rPr>
          <w:rFonts w:ascii="Times New Roman" w:hAnsi="Times New Roman"/>
          <w:sz w:val="24"/>
          <w:szCs w:val="24"/>
          <w:lang w:eastAsia="zh-CN"/>
        </w:rPr>
        <w:t>—</w:t>
      </w:r>
      <w:r w:rsidRPr="00E67914">
        <w:rPr>
          <w:rFonts w:ascii="Times New Roman" w:hAnsi="Times New Roman"/>
          <w:sz w:val="24"/>
          <w:szCs w:val="24"/>
          <w:lang w:eastAsia="zh-CN"/>
        </w:rPr>
        <w:t>地下水环境》（</w:t>
      </w:r>
      <w:r w:rsidRPr="00E67914">
        <w:rPr>
          <w:rFonts w:ascii="Times New Roman" w:hAnsi="Times New Roman"/>
          <w:sz w:val="24"/>
          <w:szCs w:val="24"/>
          <w:lang w:eastAsia="zh-CN"/>
        </w:rPr>
        <w:t>HJ 610-2016</w:t>
      </w:r>
      <w:r w:rsidRPr="00E67914">
        <w:rPr>
          <w:rFonts w:ascii="Times New Roman" w:hAnsi="Times New Roman"/>
          <w:sz w:val="24"/>
          <w:szCs w:val="24"/>
          <w:lang w:eastAsia="zh-CN"/>
        </w:rPr>
        <w:t>）和《石油化工工程防渗技术规范》（</w:t>
      </w:r>
      <w:r w:rsidRPr="00E67914">
        <w:rPr>
          <w:rFonts w:ascii="Times New Roman" w:hAnsi="Times New Roman"/>
          <w:sz w:val="24"/>
          <w:szCs w:val="24"/>
          <w:lang w:eastAsia="zh-CN"/>
        </w:rPr>
        <w:t>GB/T50934-2013</w:t>
      </w:r>
      <w:r w:rsidRPr="00E67914">
        <w:rPr>
          <w:rFonts w:ascii="Times New Roman" w:hAnsi="Times New Roman"/>
          <w:sz w:val="24"/>
          <w:szCs w:val="24"/>
          <w:lang w:eastAsia="zh-CN"/>
        </w:rPr>
        <w:t>）设计地下水防渗措施，根据《环境影响评价技术导则</w:t>
      </w:r>
      <w:r w:rsidRPr="00E67914">
        <w:rPr>
          <w:rFonts w:ascii="Times New Roman" w:hAnsi="Times New Roman"/>
          <w:sz w:val="24"/>
          <w:szCs w:val="24"/>
          <w:lang w:eastAsia="zh-CN"/>
        </w:rPr>
        <w:t>—</w:t>
      </w:r>
      <w:r w:rsidRPr="00E67914">
        <w:rPr>
          <w:rFonts w:ascii="Times New Roman" w:hAnsi="Times New Roman"/>
          <w:sz w:val="24"/>
          <w:szCs w:val="24"/>
          <w:lang w:eastAsia="zh-CN"/>
        </w:rPr>
        <w:t>地下水环境》（</w:t>
      </w:r>
      <w:r w:rsidRPr="00E67914">
        <w:rPr>
          <w:rFonts w:ascii="Times New Roman" w:hAnsi="Times New Roman"/>
          <w:sz w:val="24"/>
          <w:szCs w:val="24"/>
          <w:lang w:eastAsia="zh-CN"/>
        </w:rPr>
        <w:t>HJ 610-2016</w:t>
      </w:r>
      <w:r w:rsidRPr="00E67914">
        <w:rPr>
          <w:rFonts w:ascii="Times New Roman" w:hAnsi="Times New Roman"/>
          <w:sz w:val="24"/>
          <w:szCs w:val="24"/>
          <w:lang w:eastAsia="zh-CN"/>
        </w:rPr>
        <w:t>）中</w:t>
      </w:r>
      <w:r w:rsidRPr="00E67914">
        <w:rPr>
          <w:rFonts w:ascii="Times New Roman" w:hAnsi="Times New Roman"/>
          <w:sz w:val="24"/>
          <w:szCs w:val="24"/>
          <w:lang w:eastAsia="zh-CN"/>
        </w:rPr>
        <w:t>9.4.2</w:t>
      </w:r>
      <w:r w:rsidRPr="00E67914">
        <w:rPr>
          <w:rFonts w:ascii="Times New Roman" w:hAnsi="Times New Roman"/>
          <w:sz w:val="24"/>
          <w:szCs w:val="24"/>
          <w:lang w:eastAsia="zh-CN"/>
        </w:rPr>
        <w:t>，本工程不进行正常状况情景下的预测。</w:t>
      </w:r>
    </w:p>
    <w:p w14:paraId="3BBA5EF1"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2</w:t>
      </w:r>
      <w:r w:rsidRPr="00E67914">
        <w:rPr>
          <w:rFonts w:ascii="Times New Roman" w:hAnsi="Times New Roman"/>
          <w:b/>
          <w:bCs/>
          <w:sz w:val="24"/>
          <w:szCs w:val="24"/>
          <w:lang w:eastAsia="zh-CN"/>
        </w:rPr>
        <w:t>）非正常状况</w:t>
      </w:r>
    </w:p>
    <w:p w14:paraId="77D9285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1</w:t>
      </w:r>
      <w:r w:rsidRPr="00E67914">
        <w:rPr>
          <w:rFonts w:ascii="Times New Roman" w:hAnsi="Times New Roman"/>
          <w:sz w:val="24"/>
          <w:szCs w:val="24"/>
          <w:lang w:eastAsia="zh-CN"/>
        </w:rPr>
        <w:t>）污染源分析</w:t>
      </w:r>
    </w:p>
    <w:p w14:paraId="60ED1B1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非正常状况下本项目对地下水可能产生的不利影响途径主要有以下几个方面：</w:t>
      </w:r>
    </w:p>
    <w:p w14:paraId="033650C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钻井初期钻井液渗入浅层地下水；</w:t>
      </w:r>
    </w:p>
    <w:p w14:paraId="55C68876"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罐体循环使用，发生腐蚀使防渗不到位出现废水渗漏，从围堰溢出或者基础防渗不到位入渗地下水，或是在雨季发生泥浆外溢情况，井场设备机油泄漏，生活污水、固废以及钻井所需材料堆放不当，井场污染物收集、存储措施不到位，在雨季产生地面溢流外溢废水进入井场未硬化地面入渗等都有可能造成不同程度的地下水污染；</w:t>
      </w:r>
    </w:p>
    <w:p w14:paraId="3C6DF55B"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③</w:t>
      </w:r>
      <w:r w:rsidRPr="00E67914">
        <w:rPr>
          <w:rFonts w:ascii="Times New Roman" w:hAnsi="Times New Roman"/>
          <w:sz w:val="24"/>
          <w:szCs w:val="24"/>
          <w:lang w:eastAsia="zh-CN"/>
        </w:rPr>
        <w:t>物料跑冒滴漏，钻井过程中物料管理不严格、化学品堆放不当、柴油泄漏等物料的跑冒滴漏不同程度的污染地下水；</w:t>
      </w:r>
    </w:p>
    <w:p w14:paraId="616A7069"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④</w:t>
      </w:r>
      <w:r w:rsidRPr="00E67914">
        <w:rPr>
          <w:rFonts w:ascii="Times New Roman" w:hAnsi="Times New Roman"/>
          <w:sz w:val="24"/>
          <w:szCs w:val="24"/>
          <w:lang w:eastAsia="zh-CN"/>
        </w:rPr>
        <w:t>放喷池主要收集压裂作业废水，因防渗不到位出现返排液渗漏，有可能造成不同程度的地下水污染；</w:t>
      </w:r>
    </w:p>
    <w:p w14:paraId="4B67498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⑤</w:t>
      </w:r>
      <w:r w:rsidRPr="00E67914">
        <w:rPr>
          <w:rFonts w:ascii="Times New Roman" w:hAnsi="Times New Roman"/>
          <w:sz w:val="24"/>
          <w:szCs w:val="24"/>
          <w:lang w:eastAsia="zh-CN"/>
        </w:rPr>
        <w:t>井口作业区、泥浆循环系统区、泥浆不落地装置区散落的泥浆、废水进入井场未硬化地面入渗；</w:t>
      </w:r>
    </w:p>
    <w:p w14:paraId="547BC02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⑥</w:t>
      </w:r>
      <w:r w:rsidRPr="00E67914">
        <w:rPr>
          <w:rFonts w:ascii="Times New Roman" w:hAnsi="Times New Roman"/>
          <w:sz w:val="24"/>
          <w:szCs w:val="24"/>
          <w:lang w:eastAsia="zh-CN"/>
        </w:rPr>
        <w:t>压裂过程井筒破裂，压裂液进入含水层。</w:t>
      </w:r>
    </w:p>
    <w:p w14:paraId="2A86FC99" w14:textId="7806FEDC"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lastRenderedPageBreak/>
        <w:t>钻井施工过程中若出现上述几种非正常状况，则可能对区域地下水环境产生影响。本项目采取分区分级防渗：场地内场地内方井、泥浆循环系统区域、泥浆不落地系统区域（含油桶堆放区）、泥浆储备罐区、循环罐区、柴油罐区、放喷池、</w:t>
      </w:r>
      <w:r w:rsidR="00A83051" w:rsidRPr="00E67914">
        <w:rPr>
          <w:rFonts w:ascii="Times New Roman" w:hAnsi="Times New Roman"/>
          <w:sz w:val="24"/>
          <w:szCs w:val="24"/>
          <w:lang w:eastAsia="zh-CN"/>
        </w:rPr>
        <w:t>油基岩屑暂存区</w:t>
      </w:r>
      <w:r w:rsidRPr="00E67914">
        <w:rPr>
          <w:rFonts w:ascii="Times New Roman" w:hAnsi="Times New Roman"/>
          <w:sz w:val="24"/>
          <w:szCs w:val="24"/>
          <w:lang w:eastAsia="zh-CN"/>
        </w:rPr>
        <w:t>、埋地管道等采取重点防渗措施；井架基础、发电机房、钻井固废暂存区、</w:t>
      </w:r>
      <w:r w:rsidR="003D072A" w:rsidRPr="00E67914">
        <w:rPr>
          <w:rFonts w:ascii="Times New Roman" w:hAnsi="Times New Roman"/>
          <w:sz w:val="24"/>
          <w:szCs w:val="24"/>
          <w:lang w:eastAsia="zh-CN"/>
        </w:rPr>
        <w:t>清水池</w:t>
      </w:r>
      <w:r w:rsidRPr="00E67914">
        <w:rPr>
          <w:rFonts w:ascii="Times New Roman" w:hAnsi="Times New Roman"/>
          <w:sz w:val="24"/>
          <w:szCs w:val="24"/>
          <w:lang w:eastAsia="zh-CN"/>
        </w:rPr>
        <w:t>、气源房、材料棚、雨、污分流区域以及厕所等区域采取一般防渗措施；其他区域等采取简单防渗措施。本项目除放喷池与</w:t>
      </w:r>
      <w:r w:rsidR="003D072A" w:rsidRPr="00E67914">
        <w:rPr>
          <w:rFonts w:ascii="Times New Roman" w:hAnsi="Times New Roman"/>
          <w:sz w:val="24"/>
          <w:szCs w:val="24"/>
          <w:lang w:eastAsia="zh-CN"/>
        </w:rPr>
        <w:t>清水</w:t>
      </w:r>
      <w:r w:rsidRPr="00E67914">
        <w:rPr>
          <w:rFonts w:ascii="Times New Roman" w:hAnsi="Times New Roman"/>
          <w:sz w:val="24"/>
          <w:szCs w:val="24"/>
          <w:lang w:eastAsia="zh-CN"/>
        </w:rPr>
        <w:t>池直接采用池体外，其他存放污水和泥浆装置均为罐体且安装于防渗地面上，能及时发现泄漏和收集处理，放喷池使用时间短且重点防渗，同时对跑冒滴漏等散落在井场的污染物及时收集，可有效避免地表污染物入渗。因此非正常情况下，对地下水可能造成的影响的主要是放喷池泄漏和压裂过程井筒破裂。</w:t>
      </w:r>
    </w:p>
    <w:p w14:paraId="1795330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2</w:t>
      </w:r>
      <w:r w:rsidRPr="00E67914">
        <w:rPr>
          <w:rFonts w:ascii="Times New Roman" w:hAnsi="Times New Roman"/>
          <w:sz w:val="24"/>
          <w:szCs w:val="24"/>
          <w:lang w:eastAsia="zh-CN"/>
        </w:rPr>
        <w:t>）源强分析</w:t>
      </w:r>
    </w:p>
    <w:p w14:paraId="51D45FC6"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废水泄漏</w:t>
      </w:r>
    </w:p>
    <w:p w14:paraId="5B6B17E7" w14:textId="40C6103F" w:rsidR="00A54A8A" w:rsidRPr="00E67914" w:rsidRDefault="00000000">
      <w:pPr>
        <w:adjustRightInd w:val="0"/>
        <w:snapToGrid w:val="0"/>
        <w:spacing w:line="360" w:lineRule="auto"/>
        <w:ind w:firstLineChars="200" w:firstLine="480"/>
        <w:jc w:val="both"/>
        <w:rPr>
          <w:rFonts w:ascii="Times New Roman" w:hAnsi="Times New Roman"/>
          <w:snapToGrid w:val="0"/>
          <w:sz w:val="24"/>
          <w:szCs w:val="24"/>
          <w:lang w:eastAsia="zh-CN"/>
        </w:rPr>
      </w:pPr>
      <w:r w:rsidRPr="00E67914">
        <w:rPr>
          <w:rFonts w:ascii="Times New Roman" w:hAnsi="Times New Roman"/>
          <w:snapToGrid w:val="0"/>
          <w:sz w:val="24"/>
          <w:szCs w:val="24"/>
          <w:lang w:eastAsia="zh-CN"/>
        </w:rPr>
        <w:t>本项目在井场界外修建有放喷池</w:t>
      </w:r>
      <w:r w:rsidRPr="00E67914">
        <w:rPr>
          <w:rFonts w:ascii="Times New Roman" w:hAnsi="Times New Roman"/>
          <w:snapToGrid w:val="0"/>
          <w:sz w:val="24"/>
          <w:szCs w:val="24"/>
          <w:lang w:eastAsia="zh-CN"/>
        </w:rPr>
        <w:t>1</w:t>
      </w:r>
      <w:r w:rsidRPr="00E67914">
        <w:rPr>
          <w:rFonts w:ascii="Times New Roman" w:hAnsi="Times New Roman"/>
          <w:snapToGrid w:val="0"/>
          <w:sz w:val="24"/>
          <w:szCs w:val="24"/>
          <w:lang w:eastAsia="zh-CN"/>
        </w:rPr>
        <w:t>座，设计容积</w:t>
      </w:r>
      <w:r w:rsidRPr="00E67914">
        <w:rPr>
          <w:rFonts w:ascii="Times New Roman" w:hAnsi="Times New Roman"/>
          <w:snapToGrid w:val="0"/>
          <w:sz w:val="24"/>
          <w:szCs w:val="24"/>
          <w:lang w:eastAsia="zh-CN"/>
        </w:rPr>
        <w:t>300m</w:t>
      </w:r>
      <w:r w:rsidRPr="00E67914">
        <w:rPr>
          <w:rFonts w:ascii="Times New Roman" w:hAnsi="Times New Roman"/>
          <w:snapToGrid w:val="0"/>
          <w:sz w:val="24"/>
          <w:szCs w:val="24"/>
          <w:vertAlign w:val="superscript"/>
          <w:lang w:eastAsia="zh-CN"/>
        </w:rPr>
        <w:t>3</w:t>
      </w:r>
      <w:r w:rsidRPr="00E67914">
        <w:rPr>
          <w:rFonts w:ascii="Times New Roman" w:hAnsi="Times New Roman"/>
          <w:snapToGrid w:val="0"/>
          <w:sz w:val="24"/>
          <w:szCs w:val="24"/>
          <w:lang w:eastAsia="zh-CN"/>
        </w:rPr>
        <w:t>，尺寸为</w:t>
      </w:r>
      <w:r w:rsidRPr="00E67914">
        <w:rPr>
          <w:rFonts w:ascii="Times New Roman" w:hAnsi="Times New Roman"/>
          <w:sz w:val="24"/>
          <w:szCs w:val="24"/>
          <w:lang w:eastAsia="zh-CN"/>
        </w:rPr>
        <w:t>20m×10m×1.5m</w:t>
      </w:r>
      <w:r w:rsidRPr="00E67914">
        <w:rPr>
          <w:rFonts w:ascii="Times New Roman" w:hAnsi="Times New Roman"/>
          <w:snapToGrid w:val="0"/>
          <w:sz w:val="24"/>
          <w:szCs w:val="24"/>
          <w:lang w:eastAsia="zh-CN"/>
        </w:rPr>
        <w:t>，主要在压裂期间用于暂存压裂返排液，储存时间短，在返排液进入放喷池后应及时转运返排液，储存周期不超过</w:t>
      </w:r>
      <w:r w:rsidRPr="00E67914">
        <w:rPr>
          <w:rFonts w:ascii="Times New Roman" w:hAnsi="Times New Roman"/>
          <w:snapToGrid w:val="0"/>
          <w:sz w:val="24"/>
          <w:szCs w:val="24"/>
          <w:lang w:eastAsia="zh-CN"/>
        </w:rPr>
        <w:t>10</w:t>
      </w:r>
      <w:r w:rsidRPr="00E67914">
        <w:rPr>
          <w:rFonts w:ascii="Times New Roman" w:hAnsi="Times New Roman"/>
          <w:snapToGrid w:val="0"/>
          <w:sz w:val="24"/>
          <w:szCs w:val="24"/>
          <w:lang w:eastAsia="zh-CN"/>
        </w:rPr>
        <w:t>天</w:t>
      </w:r>
      <w:bookmarkStart w:id="162" w:name="_Hlk89072732"/>
      <w:r w:rsidRPr="00E67914">
        <w:rPr>
          <w:rFonts w:ascii="Times New Roman" w:hAnsi="Times New Roman"/>
          <w:snapToGrid w:val="0"/>
          <w:sz w:val="24"/>
          <w:szCs w:val="24"/>
          <w:lang w:eastAsia="zh-CN"/>
        </w:rPr>
        <w:t>（</w:t>
      </w:r>
      <w:r w:rsidRPr="00E67914">
        <w:rPr>
          <w:rFonts w:ascii="Times New Roman" w:hAnsi="Times New Roman"/>
          <w:sz w:val="24"/>
          <w:szCs w:val="24"/>
          <w:lang w:eastAsia="zh-CN"/>
        </w:rPr>
        <w:t>本项目单井加砂压裂液的返排周期约</w:t>
      </w:r>
      <w:r w:rsidRPr="00E67914">
        <w:rPr>
          <w:rFonts w:ascii="Times New Roman" w:hAnsi="Times New Roman"/>
          <w:sz w:val="24"/>
          <w:szCs w:val="24"/>
          <w:lang w:eastAsia="zh-CN"/>
        </w:rPr>
        <w:t>3~5d</w:t>
      </w:r>
      <w:r w:rsidRPr="00E67914">
        <w:rPr>
          <w:rFonts w:ascii="Times New Roman" w:hAnsi="Times New Roman"/>
          <w:snapToGrid w:val="0"/>
          <w:sz w:val="24"/>
          <w:szCs w:val="24"/>
          <w:lang w:eastAsia="zh-CN"/>
        </w:rPr>
        <w:t>）</w:t>
      </w:r>
      <w:bookmarkEnd w:id="162"/>
      <w:r w:rsidRPr="00E67914">
        <w:rPr>
          <w:rFonts w:ascii="Times New Roman" w:hAnsi="Times New Roman"/>
          <w:snapToGrid w:val="0"/>
          <w:sz w:val="24"/>
          <w:szCs w:val="24"/>
          <w:lang w:eastAsia="zh-CN"/>
        </w:rPr>
        <w:t>。假定</w:t>
      </w:r>
      <w:r w:rsidR="003D072A" w:rsidRPr="00E67914">
        <w:rPr>
          <w:rFonts w:ascii="Times New Roman" w:hAnsi="Times New Roman"/>
          <w:snapToGrid w:val="0"/>
          <w:sz w:val="24"/>
          <w:szCs w:val="24"/>
          <w:lang w:eastAsia="zh-CN"/>
        </w:rPr>
        <w:t>放喷</w:t>
      </w:r>
      <w:r w:rsidRPr="00E67914">
        <w:rPr>
          <w:rFonts w:ascii="Times New Roman" w:hAnsi="Times New Roman"/>
          <w:snapToGrid w:val="0"/>
          <w:sz w:val="24"/>
          <w:szCs w:val="24"/>
          <w:lang w:eastAsia="zh-CN"/>
        </w:rPr>
        <w:t>池池底产生裂缝，压裂返排液通过裂缝逐渐渗漏到地下含水层中，对地下水水质造成污染，染源类型为短时源强。根据</w:t>
      </w:r>
      <w:r w:rsidR="003D072A" w:rsidRPr="00E67914">
        <w:rPr>
          <w:rFonts w:ascii="Times New Roman" w:hAnsi="Times New Roman"/>
          <w:snapToGrid w:val="0"/>
          <w:sz w:val="24"/>
          <w:szCs w:val="24"/>
          <w:lang w:eastAsia="zh-CN"/>
        </w:rPr>
        <w:t>放喷池</w:t>
      </w:r>
      <w:r w:rsidRPr="00E67914">
        <w:rPr>
          <w:rFonts w:ascii="Times New Roman" w:hAnsi="Times New Roman"/>
          <w:snapToGrid w:val="0"/>
          <w:sz w:val="24"/>
          <w:szCs w:val="24"/>
          <w:lang w:eastAsia="zh-CN"/>
        </w:rPr>
        <w:t>对地下水的影响途径来设定主要污染源的分布位置，选定优先控制的污染物，预测事故工况下污染物在地下水中迁移过程，进一步分析污染物影响范围、超标范围和迁出场区后浓度变化。</w:t>
      </w:r>
    </w:p>
    <w:p w14:paraId="3680E51E" w14:textId="24C73AD8"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napToGrid w:val="0"/>
          <w:sz w:val="24"/>
          <w:szCs w:val="24"/>
          <w:lang w:eastAsia="zh-CN"/>
        </w:rPr>
        <w:t>根据类比防渗池体泄漏情况，一般泄漏面积因池子面积大小而不同，参考中石化、中石油放喷池检修过程中池子破损的面积统计数据，</w:t>
      </w:r>
      <w:r w:rsidR="003D072A" w:rsidRPr="00E67914">
        <w:rPr>
          <w:rFonts w:ascii="Times New Roman" w:hAnsi="Times New Roman"/>
          <w:snapToGrid w:val="0"/>
          <w:sz w:val="24"/>
          <w:szCs w:val="24"/>
          <w:lang w:eastAsia="zh-CN"/>
        </w:rPr>
        <w:t>3</w:t>
      </w:r>
      <w:r w:rsidRPr="00E67914">
        <w:rPr>
          <w:rFonts w:ascii="Times New Roman" w:hAnsi="Times New Roman"/>
          <w:snapToGrid w:val="0"/>
          <w:sz w:val="24"/>
          <w:szCs w:val="24"/>
          <w:lang w:eastAsia="zh-CN"/>
        </w:rPr>
        <w:t>00m</w:t>
      </w:r>
      <w:r w:rsidRPr="00E67914">
        <w:rPr>
          <w:rFonts w:ascii="Times New Roman" w:hAnsi="Times New Roman"/>
          <w:snapToGrid w:val="0"/>
          <w:sz w:val="24"/>
          <w:szCs w:val="24"/>
          <w:vertAlign w:val="superscript"/>
          <w:lang w:eastAsia="zh-CN"/>
        </w:rPr>
        <w:t>3</w:t>
      </w:r>
      <w:r w:rsidR="003D072A" w:rsidRPr="00E67914">
        <w:rPr>
          <w:rFonts w:ascii="Times New Roman" w:hAnsi="Times New Roman"/>
          <w:snapToGrid w:val="0"/>
          <w:sz w:val="24"/>
          <w:szCs w:val="24"/>
          <w:lang w:eastAsia="zh-CN"/>
        </w:rPr>
        <w:t>放喷池</w:t>
      </w:r>
      <w:r w:rsidRPr="00E67914">
        <w:rPr>
          <w:rFonts w:ascii="Times New Roman" w:hAnsi="Times New Roman"/>
          <w:snapToGrid w:val="0"/>
          <w:sz w:val="24"/>
          <w:szCs w:val="24"/>
          <w:lang w:eastAsia="zh-CN"/>
        </w:rPr>
        <w:t>破损面积在</w:t>
      </w:r>
      <w:r w:rsidRPr="00E67914">
        <w:rPr>
          <w:rFonts w:ascii="Times New Roman" w:hAnsi="Times New Roman"/>
          <w:snapToGrid w:val="0"/>
          <w:sz w:val="24"/>
          <w:szCs w:val="24"/>
          <w:lang w:eastAsia="zh-CN"/>
        </w:rPr>
        <w:t>0~10%</w:t>
      </w:r>
      <w:r w:rsidRPr="00E67914">
        <w:rPr>
          <w:rFonts w:ascii="Times New Roman" w:hAnsi="Times New Roman"/>
          <w:snapToGrid w:val="0"/>
          <w:sz w:val="24"/>
          <w:szCs w:val="24"/>
          <w:lang w:eastAsia="zh-CN"/>
        </w:rPr>
        <w:t>之间，大于</w:t>
      </w:r>
      <w:r w:rsidRPr="00E67914">
        <w:rPr>
          <w:rFonts w:ascii="Times New Roman" w:hAnsi="Times New Roman"/>
          <w:snapToGrid w:val="0"/>
          <w:sz w:val="24"/>
          <w:szCs w:val="24"/>
          <w:lang w:eastAsia="zh-CN"/>
        </w:rPr>
        <w:t>10%</w:t>
      </w:r>
      <w:r w:rsidRPr="00E67914">
        <w:rPr>
          <w:rFonts w:ascii="Times New Roman" w:hAnsi="Times New Roman"/>
          <w:snapToGrid w:val="0"/>
          <w:sz w:val="24"/>
          <w:szCs w:val="24"/>
          <w:lang w:eastAsia="zh-CN"/>
        </w:rPr>
        <w:t>的池体破损还未发现过。假定</w:t>
      </w:r>
      <w:r w:rsidR="003D072A" w:rsidRPr="00E67914">
        <w:rPr>
          <w:rFonts w:ascii="Times New Roman" w:hAnsi="Times New Roman"/>
          <w:snapToGrid w:val="0"/>
          <w:sz w:val="24"/>
          <w:szCs w:val="24"/>
          <w:lang w:eastAsia="zh-CN"/>
        </w:rPr>
        <w:t>放喷池</w:t>
      </w:r>
      <w:r w:rsidRPr="00E67914">
        <w:rPr>
          <w:rFonts w:ascii="Times New Roman" w:hAnsi="Times New Roman"/>
          <w:snapToGrid w:val="0"/>
          <w:sz w:val="24"/>
          <w:szCs w:val="24"/>
          <w:lang w:eastAsia="zh-CN"/>
        </w:rPr>
        <w:t>渗漏面积为池底总面积的</w:t>
      </w:r>
      <w:r w:rsidRPr="00E67914">
        <w:rPr>
          <w:rFonts w:ascii="Times New Roman" w:hAnsi="Times New Roman"/>
          <w:snapToGrid w:val="0"/>
          <w:sz w:val="24"/>
          <w:szCs w:val="24"/>
          <w:lang w:eastAsia="zh-CN"/>
        </w:rPr>
        <w:t>10%</w:t>
      </w:r>
      <w:r w:rsidRPr="00E67914">
        <w:rPr>
          <w:rFonts w:ascii="Times New Roman" w:hAnsi="Times New Roman"/>
          <w:snapToGrid w:val="0"/>
          <w:sz w:val="24"/>
          <w:szCs w:val="24"/>
          <w:lang w:eastAsia="zh-CN"/>
        </w:rPr>
        <w:t>（</w:t>
      </w:r>
      <w:r w:rsidR="003D072A" w:rsidRPr="00E67914">
        <w:rPr>
          <w:rFonts w:ascii="Times New Roman" w:hAnsi="Times New Roman"/>
          <w:snapToGrid w:val="0"/>
          <w:sz w:val="24"/>
          <w:szCs w:val="24"/>
          <w:lang w:eastAsia="zh-CN"/>
        </w:rPr>
        <w:t>2</w:t>
      </w:r>
      <w:r w:rsidRPr="00E67914">
        <w:rPr>
          <w:rFonts w:ascii="Times New Roman" w:hAnsi="Times New Roman"/>
          <w:snapToGrid w:val="0"/>
          <w:sz w:val="24"/>
          <w:szCs w:val="24"/>
          <w:lang w:eastAsia="zh-CN"/>
        </w:rPr>
        <w:t>0m</w:t>
      </w:r>
      <w:r w:rsidRPr="00E67914">
        <w:rPr>
          <w:rFonts w:ascii="Times New Roman" w:hAnsi="Times New Roman"/>
          <w:snapToGrid w:val="0"/>
          <w:sz w:val="24"/>
          <w:szCs w:val="24"/>
          <w:vertAlign w:val="superscript"/>
          <w:lang w:eastAsia="zh-CN"/>
        </w:rPr>
        <w:t>2</w:t>
      </w:r>
      <w:r w:rsidRPr="00E67914">
        <w:rPr>
          <w:rFonts w:ascii="Times New Roman" w:hAnsi="Times New Roman"/>
          <w:snapToGrid w:val="0"/>
          <w:sz w:val="24"/>
          <w:szCs w:val="24"/>
          <w:lang w:eastAsia="zh-CN"/>
        </w:rPr>
        <w:t>），</w:t>
      </w:r>
      <w:r w:rsidR="003D072A" w:rsidRPr="00E67914">
        <w:rPr>
          <w:rFonts w:ascii="Times New Roman" w:hAnsi="Times New Roman"/>
          <w:snapToGrid w:val="0"/>
          <w:sz w:val="24"/>
          <w:szCs w:val="24"/>
          <w:lang w:eastAsia="zh-CN"/>
        </w:rPr>
        <w:t>放喷池</w:t>
      </w:r>
      <w:r w:rsidRPr="00E67914">
        <w:rPr>
          <w:rFonts w:ascii="Times New Roman" w:hAnsi="Times New Roman"/>
          <w:snapToGrid w:val="0"/>
          <w:sz w:val="24"/>
          <w:szCs w:val="24"/>
          <w:lang w:eastAsia="zh-CN"/>
        </w:rPr>
        <w:t>中存储有废水，废水进入地下属于有压渗透，按达西公式计算源强，公式如下：</w:t>
      </w:r>
    </w:p>
    <w:p w14:paraId="09E26E78" w14:textId="77777777" w:rsidR="00A54A8A" w:rsidRPr="00E67914" w:rsidRDefault="00000000" w:rsidP="003D072A">
      <w:pPr>
        <w:adjustRightInd w:val="0"/>
        <w:snapToGrid w:val="0"/>
        <w:spacing w:line="360" w:lineRule="auto"/>
        <w:ind w:firstLineChars="200" w:firstLine="480"/>
        <w:jc w:val="center"/>
        <w:rPr>
          <w:rFonts w:ascii="Times New Roman" w:hAnsi="Times New Roman"/>
          <w:sz w:val="24"/>
          <w:szCs w:val="24"/>
        </w:rPr>
      </w:pPr>
      <w:r w:rsidRPr="00E67914">
        <w:rPr>
          <w:rFonts w:ascii="Times New Roman" w:hAnsi="Times New Roman"/>
          <w:noProof/>
          <w:sz w:val="24"/>
          <w:szCs w:val="24"/>
        </w:rPr>
        <w:drawing>
          <wp:inline distT="0" distB="0" distL="0" distR="0" wp14:anchorId="6BB6C832" wp14:editId="5E2B2790">
            <wp:extent cx="974090" cy="3797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974090" cy="379730"/>
                    </a:xfrm>
                    <a:prstGeom prst="rect">
                      <a:avLst/>
                    </a:prstGeom>
                    <a:noFill/>
                    <a:ln>
                      <a:noFill/>
                    </a:ln>
                  </pic:spPr>
                </pic:pic>
              </a:graphicData>
            </a:graphic>
          </wp:inline>
        </w:drawing>
      </w:r>
    </w:p>
    <w:p w14:paraId="4EB49868"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式中：</w:t>
      </w:r>
      <w:r w:rsidRPr="00E67914">
        <w:rPr>
          <w:rFonts w:ascii="Times New Roman" w:hAnsi="Times New Roman"/>
          <w:bCs/>
          <w:sz w:val="24"/>
          <w:szCs w:val="24"/>
          <w:lang w:eastAsia="zh-CN"/>
        </w:rPr>
        <w:t>Q—</w:t>
      </w:r>
      <w:r w:rsidRPr="00E67914">
        <w:rPr>
          <w:rFonts w:ascii="Times New Roman" w:hAnsi="Times New Roman"/>
          <w:bCs/>
          <w:sz w:val="24"/>
          <w:szCs w:val="24"/>
          <w:lang w:eastAsia="zh-CN"/>
        </w:rPr>
        <w:t>渗入到地下水的污水量；</w:t>
      </w:r>
    </w:p>
    <w:p w14:paraId="0147AB12"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 xml:space="preserve">            K—</w:t>
      </w:r>
      <w:r w:rsidRPr="00E67914">
        <w:rPr>
          <w:rFonts w:ascii="Times New Roman" w:hAnsi="Times New Roman"/>
          <w:bCs/>
          <w:sz w:val="24"/>
          <w:szCs w:val="24"/>
          <w:lang w:eastAsia="zh-CN"/>
        </w:rPr>
        <w:t>地面垂向渗透系数，</w:t>
      </w:r>
      <w:r w:rsidRPr="00E67914">
        <w:rPr>
          <w:rFonts w:ascii="Times New Roman" w:hAnsi="Times New Roman"/>
          <w:bCs/>
          <w:sz w:val="24"/>
          <w:szCs w:val="24"/>
          <w:lang w:eastAsia="zh-CN"/>
        </w:rPr>
        <w:t>0.0864m/d</w:t>
      </w:r>
      <w:r w:rsidRPr="00E67914">
        <w:rPr>
          <w:rFonts w:ascii="Times New Roman" w:hAnsi="Times New Roman"/>
          <w:bCs/>
          <w:sz w:val="24"/>
          <w:szCs w:val="24"/>
          <w:lang w:eastAsia="zh-CN"/>
        </w:rPr>
        <w:t>（取</w:t>
      </w:r>
      <w:r w:rsidRPr="00E67914">
        <w:rPr>
          <w:rFonts w:ascii="Times New Roman" w:hAnsi="Times New Roman"/>
          <w:bCs/>
          <w:sz w:val="24"/>
          <w:szCs w:val="24"/>
          <w:lang w:eastAsia="zh-CN"/>
        </w:rPr>
        <w:t>1.0×10</w:t>
      </w:r>
      <w:r w:rsidRPr="00E67914">
        <w:rPr>
          <w:rFonts w:ascii="Times New Roman" w:hAnsi="Times New Roman"/>
          <w:bCs/>
          <w:sz w:val="24"/>
          <w:szCs w:val="24"/>
          <w:vertAlign w:val="superscript"/>
          <w:lang w:eastAsia="zh-CN"/>
        </w:rPr>
        <w:t>-4</w:t>
      </w:r>
      <w:r w:rsidRPr="00E67914">
        <w:rPr>
          <w:rFonts w:ascii="Times New Roman" w:hAnsi="Times New Roman"/>
          <w:bCs/>
          <w:sz w:val="24"/>
          <w:szCs w:val="24"/>
          <w:lang w:eastAsia="zh-CN"/>
        </w:rPr>
        <w:t>cm/s</w:t>
      </w:r>
      <w:r w:rsidRPr="00E67914">
        <w:rPr>
          <w:rFonts w:ascii="Times New Roman" w:hAnsi="Times New Roman"/>
          <w:bCs/>
          <w:sz w:val="24"/>
          <w:szCs w:val="24"/>
          <w:lang w:eastAsia="zh-CN"/>
        </w:rPr>
        <w:t>）；</w:t>
      </w:r>
    </w:p>
    <w:p w14:paraId="357A8A7C" w14:textId="549FD4E9" w:rsidR="00A54A8A" w:rsidRPr="00E67914" w:rsidRDefault="00000000">
      <w:pPr>
        <w:adjustRightInd w:val="0"/>
        <w:snapToGrid w:val="0"/>
        <w:spacing w:line="360" w:lineRule="auto"/>
        <w:ind w:firstLineChars="350" w:firstLine="840"/>
        <w:jc w:val="both"/>
        <w:rPr>
          <w:rFonts w:ascii="Times New Roman" w:hAnsi="Times New Roman"/>
          <w:bCs/>
          <w:sz w:val="24"/>
          <w:szCs w:val="24"/>
          <w:lang w:eastAsia="zh-CN"/>
        </w:rPr>
      </w:pPr>
      <w:r w:rsidRPr="00E67914">
        <w:rPr>
          <w:rFonts w:ascii="Times New Roman" w:hAnsi="Times New Roman"/>
          <w:bCs/>
          <w:sz w:val="24"/>
          <w:szCs w:val="24"/>
          <w:lang w:eastAsia="zh-CN"/>
        </w:rPr>
        <w:t xml:space="preserve">      H—</w:t>
      </w:r>
      <w:r w:rsidRPr="00E67914">
        <w:rPr>
          <w:rFonts w:ascii="Times New Roman" w:hAnsi="Times New Roman"/>
          <w:bCs/>
          <w:sz w:val="24"/>
          <w:szCs w:val="24"/>
          <w:lang w:eastAsia="zh-CN"/>
        </w:rPr>
        <w:t>池内水深，按可能最大水深取</w:t>
      </w:r>
      <w:r w:rsidR="003D072A" w:rsidRPr="00E67914">
        <w:rPr>
          <w:rFonts w:ascii="Times New Roman" w:hAnsi="Times New Roman"/>
          <w:bCs/>
          <w:sz w:val="24"/>
          <w:szCs w:val="24"/>
          <w:lang w:eastAsia="zh-CN"/>
        </w:rPr>
        <w:t>1.5</w:t>
      </w:r>
      <w:r w:rsidRPr="00E67914">
        <w:rPr>
          <w:rFonts w:ascii="Times New Roman" w:hAnsi="Times New Roman"/>
          <w:bCs/>
          <w:sz w:val="24"/>
          <w:szCs w:val="24"/>
          <w:lang w:eastAsia="zh-CN"/>
        </w:rPr>
        <w:t>m</w:t>
      </w:r>
      <w:r w:rsidRPr="00E67914">
        <w:rPr>
          <w:rFonts w:ascii="Times New Roman" w:hAnsi="Times New Roman"/>
          <w:bCs/>
          <w:sz w:val="24"/>
          <w:szCs w:val="24"/>
          <w:lang w:eastAsia="zh-CN"/>
        </w:rPr>
        <w:t>；</w:t>
      </w:r>
    </w:p>
    <w:p w14:paraId="391F92B0" w14:textId="77777777" w:rsidR="00A54A8A" w:rsidRPr="00E67914" w:rsidRDefault="00000000">
      <w:pPr>
        <w:adjustRightInd w:val="0"/>
        <w:snapToGrid w:val="0"/>
        <w:spacing w:line="360" w:lineRule="auto"/>
        <w:ind w:firstLineChars="350" w:firstLine="840"/>
        <w:jc w:val="both"/>
        <w:rPr>
          <w:rFonts w:ascii="Times New Roman" w:hAnsi="Times New Roman"/>
          <w:bCs/>
          <w:sz w:val="24"/>
          <w:szCs w:val="24"/>
          <w:lang w:eastAsia="zh-CN"/>
        </w:rPr>
      </w:pPr>
      <w:r w:rsidRPr="00E67914">
        <w:rPr>
          <w:rFonts w:ascii="Times New Roman" w:hAnsi="Times New Roman"/>
          <w:bCs/>
          <w:sz w:val="24"/>
          <w:szCs w:val="24"/>
          <w:lang w:eastAsia="zh-CN"/>
        </w:rPr>
        <w:lastRenderedPageBreak/>
        <w:t xml:space="preserve">      D—</w:t>
      </w:r>
      <w:r w:rsidRPr="00E67914">
        <w:rPr>
          <w:rFonts w:ascii="Times New Roman" w:hAnsi="Times New Roman"/>
          <w:bCs/>
          <w:sz w:val="24"/>
          <w:szCs w:val="24"/>
          <w:lang w:eastAsia="zh-CN"/>
        </w:rPr>
        <w:t>地下水埋深，按最不利场地取</w:t>
      </w:r>
      <w:r w:rsidRPr="00E67914">
        <w:rPr>
          <w:rFonts w:ascii="Times New Roman" w:hAnsi="Times New Roman"/>
          <w:bCs/>
          <w:sz w:val="24"/>
          <w:szCs w:val="24"/>
          <w:lang w:eastAsia="zh-CN"/>
        </w:rPr>
        <w:t>5m</w:t>
      </w:r>
      <w:r w:rsidRPr="00E67914">
        <w:rPr>
          <w:rFonts w:ascii="Times New Roman" w:hAnsi="Times New Roman"/>
          <w:bCs/>
          <w:sz w:val="24"/>
          <w:szCs w:val="24"/>
          <w:lang w:eastAsia="zh-CN"/>
        </w:rPr>
        <w:t>；</w:t>
      </w:r>
    </w:p>
    <w:p w14:paraId="0B4B2E80" w14:textId="33225130" w:rsidR="00A54A8A" w:rsidRPr="00E67914" w:rsidRDefault="00000000">
      <w:pPr>
        <w:adjustRightInd w:val="0"/>
        <w:snapToGrid w:val="0"/>
        <w:spacing w:line="360" w:lineRule="auto"/>
        <w:ind w:firstLineChars="350" w:firstLine="840"/>
        <w:jc w:val="both"/>
        <w:rPr>
          <w:rFonts w:ascii="Times New Roman" w:hAnsi="Times New Roman"/>
          <w:bCs/>
          <w:sz w:val="24"/>
          <w:szCs w:val="24"/>
          <w:lang w:eastAsia="zh-CN"/>
        </w:rPr>
      </w:pPr>
      <w:r w:rsidRPr="00E67914">
        <w:rPr>
          <w:rFonts w:ascii="Times New Roman" w:hAnsi="Times New Roman"/>
          <w:bCs/>
          <w:sz w:val="24"/>
          <w:szCs w:val="24"/>
          <w:lang w:eastAsia="zh-CN"/>
        </w:rPr>
        <w:t xml:space="preserve">      A—</w:t>
      </w:r>
      <w:r w:rsidRPr="00E67914">
        <w:rPr>
          <w:rFonts w:ascii="Times New Roman" w:hAnsi="Times New Roman"/>
          <w:bCs/>
          <w:sz w:val="24"/>
          <w:szCs w:val="24"/>
          <w:lang w:eastAsia="zh-CN"/>
        </w:rPr>
        <w:t>池底泄漏面积（</w:t>
      </w:r>
      <w:r w:rsidRPr="00E67914">
        <w:rPr>
          <w:rFonts w:ascii="Times New Roman" w:hAnsi="Times New Roman"/>
          <w:bCs/>
          <w:sz w:val="24"/>
          <w:szCs w:val="24"/>
          <w:lang w:eastAsia="zh-CN"/>
        </w:rPr>
        <w:t>m</w:t>
      </w:r>
      <w:r w:rsidRPr="00E67914">
        <w:rPr>
          <w:rFonts w:ascii="Times New Roman" w:hAnsi="Times New Roman"/>
          <w:bCs/>
          <w:sz w:val="24"/>
          <w:szCs w:val="24"/>
          <w:vertAlign w:val="superscript"/>
          <w:lang w:eastAsia="zh-CN"/>
        </w:rPr>
        <w:t>2</w:t>
      </w:r>
      <w:r w:rsidRPr="00E67914">
        <w:rPr>
          <w:rFonts w:ascii="Times New Roman" w:hAnsi="Times New Roman"/>
          <w:bCs/>
          <w:sz w:val="24"/>
          <w:szCs w:val="24"/>
          <w:lang w:eastAsia="zh-CN"/>
        </w:rPr>
        <w:t>），取</w:t>
      </w:r>
      <w:r w:rsidR="003D072A" w:rsidRPr="00E67914">
        <w:rPr>
          <w:rFonts w:ascii="Times New Roman" w:hAnsi="Times New Roman"/>
          <w:bCs/>
          <w:sz w:val="24"/>
          <w:szCs w:val="24"/>
          <w:lang w:eastAsia="zh-CN"/>
        </w:rPr>
        <w:t>2</w:t>
      </w:r>
      <w:r w:rsidRPr="00E67914">
        <w:rPr>
          <w:rFonts w:ascii="Times New Roman" w:hAnsi="Times New Roman"/>
          <w:bCs/>
          <w:sz w:val="24"/>
          <w:szCs w:val="24"/>
          <w:lang w:eastAsia="zh-CN"/>
        </w:rPr>
        <w:t>0m</w:t>
      </w:r>
      <w:r w:rsidRPr="00E67914">
        <w:rPr>
          <w:rFonts w:ascii="Times New Roman" w:hAnsi="Times New Roman"/>
          <w:bCs/>
          <w:sz w:val="24"/>
          <w:szCs w:val="24"/>
          <w:vertAlign w:val="superscript"/>
          <w:lang w:eastAsia="zh-CN"/>
        </w:rPr>
        <w:t>2</w:t>
      </w:r>
      <w:r w:rsidRPr="00E67914">
        <w:rPr>
          <w:rFonts w:ascii="Times New Roman" w:hAnsi="Times New Roman"/>
          <w:bCs/>
          <w:sz w:val="24"/>
          <w:szCs w:val="24"/>
          <w:lang w:eastAsia="zh-CN"/>
        </w:rPr>
        <w:t>。</w:t>
      </w:r>
    </w:p>
    <w:p w14:paraId="5E439FB1" w14:textId="0071792B"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bCs/>
          <w:sz w:val="24"/>
          <w:szCs w:val="24"/>
          <w:lang w:eastAsia="zh-CN"/>
        </w:rPr>
        <w:t>根据计算，本项目泄漏量约为</w:t>
      </w:r>
      <w:r w:rsidR="003D072A" w:rsidRPr="00E67914">
        <w:rPr>
          <w:rFonts w:ascii="Times New Roman" w:hAnsi="Times New Roman"/>
          <w:bCs/>
          <w:sz w:val="24"/>
          <w:szCs w:val="24"/>
          <w:lang w:eastAsia="zh-CN"/>
        </w:rPr>
        <w:t>2.2</w:t>
      </w:r>
      <w:r w:rsidRPr="00E67914">
        <w:rPr>
          <w:rFonts w:ascii="Times New Roman" w:hAnsi="Times New Roman"/>
          <w:bCs/>
          <w:sz w:val="24"/>
          <w:szCs w:val="24"/>
          <w:lang w:eastAsia="zh-CN"/>
        </w:rPr>
        <w:t>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w:t>
      </w:r>
      <w:r w:rsidR="003D072A" w:rsidRPr="00E67914">
        <w:rPr>
          <w:rFonts w:ascii="Times New Roman" w:hAnsi="Times New Roman"/>
          <w:snapToGrid w:val="0"/>
          <w:sz w:val="24"/>
          <w:szCs w:val="24"/>
          <w:lang w:eastAsia="zh-CN"/>
        </w:rPr>
        <w:t>放喷池</w:t>
      </w:r>
      <w:r w:rsidRPr="00E67914">
        <w:rPr>
          <w:rFonts w:ascii="Times New Roman" w:hAnsi="Times New Roman"/>
          <w:bCs/>
          <w:sz w:val="24"/>
          <w:szCs w:val="24"/>
          <w:lang w:eastAsia="zh-CN"/>
        </w:rPr>
        <w:t>储存周期最长为</w:t>
      </w:r>
      <w:r w:rsidRPr="00E67914">
        <w:rPr>
          <w:rFonts w:ascii="Times New Roman" w:hAnsi="Times New Roman"/>
          <w:bCs/>
          <w:sz w:val="24"/>
          <w:szCs w:val="24"/>
          <w:lang w:eastAsia="zh-CN"/>
        </w:rPr>
        <w:t>10</w:t>
      </w:r>
      <w:r w:rsidRPr="00E67914">
        <w:rPr>
          <w:rFonts w:ascii="Times New Roman" w:hAnsi="Times New Roman"/>
          <w:bCs/>
          <w:sz w:val="24"/>
          <w:szCs w:val="24"/>
          <w:lang w:eastAsia="zh-CN"/>
        </w:rPr>
        <w:t>天，即持续渗漏持续时间为</w:t>
      </w:r>
      <w:r w:rsidRPr="00E67914">
        <w:rPr>
          <w:rFonts w:ascii="Times New Roman" w:hAnsi="Times New Roman"/>
          <w:bCs/>
          <w:sz w:val="24"/>
          <w:szCs w:val="24"/>
          <w:lang w:eastAsia="zh-CN"/>
        </w:rPr>
        <w:t>10d</w:t>
      </w:r>
      <w:r w:rsidRPr="00E67914">
        <w:rPr>
          <w:rFonts w:ascii="Times New Roman" w:hAnsi="Times New Roman"/>
          <w:bCs/>
          <w:sz w:val="24"/>
          <w:szCs w:val="24"/>
          <w:lang w:eastAsia="zh-CN"/>
        </w:rPr>
        <w:t>，渗漏量为</w:t>
      </w:r>
      <w:r w:rsidR="003D072A" w:rsidRPr="00E67914">
        <w:rPr>
          <w:rFonts w:ascii="Times New Roman" w:hAnsi="Times New Roman"/>
          <w:bCs/>
          <w:sz w:val="24"/>
          <w:szCs w:val="24"/>
          <w:lang w:eastAsia="zh-CN"/>
        </w:rPr>
        <w:t>22</w:t>
      </w:r>
      <w:r w:rsidRPr="00E67914">
        <w:rPr>
          <w:rFonts w:ascii="Times New Roman" w:hAnsi="Times New Roman"/>
          <w:bCs/>
          <w:sz w:val="24"/>
          <w:szCs w:val="24"/>
          <w:lang w:eastAsia="zh-CN"/>
        </w:rPr>
        <w:t>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w:t>
      </w:r>
    </w:p>
    <w:p w14:paraId="6352362B"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压裂过程井筒破裂</w:t>
      </w:r>
    </w:p>
    <w:p w14:paraId="63F50CE6" w14:textId="06745671"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事故工况下，压裂过程中导致井筒破裂，排放形式可概化为点源，排放规律可简化为非连续恒定排放，瞬时泄漏量按单段压裂液（平均约</w:t>
      </w:r>
      <w:r w:rsidR="003D072A" w:rsidRPr="00E67914">
        <w:rPr>
          <w:rFonts w:ascii="Times New Roman" w:hAnsi="Times New Roman"/>
          <w:sz w:val="24"/>
          <w:szCs w:val="24"/>
          <w:lang w:eastAsia="zh-CN"/>
        </w:rPr>
        <w:t>1800</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）用量的</w:t>
      </w:r>
      <w:r w:rsidRPr="00E67914">
        <w:rPr>
          <w:rFonts w:ascii="Times New Roman" w:hAnsi="Times New Roman"/>
          <w:sz w:val="24"/>
          <w:szCs w:val="24"/>
          <w:lang w:eastAsia="zh-CN"/>
        </w:rPr>
        <w:t>10%</w:t>
      </w:r>
      <w:r w:rsidRPr="00E67914">
        <w:rPr>
          <w:rFonts w:ascii="Times New Roman" w:hAnsi="Times New Roman"/>
          <w:sz w:val="24"/>
          <w:szCs w:val="24"/>
          <w:lang w:eastAsia="zh-CN"/>
        </w:rPr>
        <w:t>，泄露时间假定为</w:t>
      </w:r>
      <w:r w:rsidRPr="00E67914">
        <w:rPr>
          <w:rFonts w:ascii="Times New Roman" w:hAnsi="Times New Roman"/>
          <w:sz w:val="24"/>
          <w:szCs w:val="24"/>
          <w:lang w:eastAsia="zh-CN"/>
        </w:rPr>
        <w:t>10min</w:t>
      </w:r>
      <w:r w:rsidRPr="00E67914">
        <w:rPr>
          <w:rFonts w:ascii="Times New Roman" w:hAnsi="Times New Roman"/>
          <w:sz w:val="24"/>
          <w:szCs w:val="24"/>
          <w:lang w:eastAsia="zh-CN"/>
        </w:rPr>
        <w:t>，因此瞬时泄漏量为</w:t>
      </w:r>
      <w:r w:rsidRPr="00E67914">
        <w:rPr>
          <w:rFonts w:ascii="Times New Roman" w:hAnsi="Times New Roman"/>
          <w:sz w:val="24"/>
          <w:szCs w:val="24"/>
          <w:lang w:eastAsia="zh-CN"/>
        </w:rPr>
        <w:t>1</w:t>
      </w:r>
      <w:r w:rsidR="003D072A" w:rsidRPr="00E67914">
        <w:rPr>
          <w:rFonts w:ascii="Times New Roman" w:hAnsi="Times New Roman"/>
          <w:sz w:val="24"/>
          <w:szCs w:val="24"/>
          <w:lang w:eastAsia="zh-CN"/>
        </w:rPr>
        <w:t>80</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，非正常情况下污染源强统计表见表</w:t>
      </w:r>
      <w:r w:rsidRPr="00E67914">
        <w:rPr>
          <w:rFonts w:ascii="Times New Roman" w:hAnsi="Times New Roman"/>
          <w:sz w:val="24"/>
          <w:szCs w:val="24"/>
          <w:lang w:eastAsia="zh-CN"/>
        </w:rPr>
        <w:t>5.3-1</w:t>
      </w:r>
      <w:r w:rsidRPr="00E67914">
        <w:rPr>
          <w:rFonts w:ascii="Times New Roman" w:hAnsi="Times New Roman"/>
          <w:sz w:val="24"/>
          <w:szCs w:val="24"/>
          <w:lang w:eastAsia="zh-CN"/>
        </w:rPr>
        <w:t>。</w:t>
      </w:r>
    </w:p>
    <w:p w14:paraId="4AFCC85E"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5.3-1  </w:t>
      </w:r>
      <w:r w:rsidRPr="00E67914">
        <w:rPr>
          <w:rFonts w:ascii="Times New Roman" w:eastAsia="黑体" w:hAnsi="Times New Roman"/>
          <w:sz w:val="21"/>
          <w:szCs w:val="21"/>
          <w:lang w:eastAsia="zh-CN"/>
        </w:rPr>
        <w:t>非正常情况下污染源源强统计表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0"/>
        <w:gridCol w:w="1369"/>
        <w:gridCol w:w="1541"/>
        <w:gridCol w:w="1370"/>
        <w:gridCol w:w="1371"/>
        <w:gridCol w:w="1371"/>
      </w:tblGrid>
      <w:tr w:rsidR="002662E3" w:rsidRPr="00E67914" w14:paraId="55FE27E6" w14:textId="77777777">
        <w:trPr>
          <w:jc w:val="center"/>
        </w:trPr>
        <w:tc>
          <w:tcPr>
            <w:tcW w:w="1200" w:type="dxa"/>
            <w:vAlign w:val="center"/>
          </w:tcPr>
          <w:p w14:paraId="5E9F9EC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泄漏位置</w:t>
            </w:r>
          </w:p>
        </w:tc>
        <w:tc>
          <w:tcPr>
            <w:tcW w:w="1369" w:type="dxa"/>
            <w:vAlign w:val="center"/>
          </w:tcPr>
          <w:p w14:paraId="2C9C2AD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特征污染物</w:t>
            </w:r>
          </w:p>
        </w:tc>
        <w:tc>
          <w:tcPr>
            <w:tcW w:w="1541" w:type="dxa"/>
            <w:vAlign w:val="center"/>
          </w:tcPr>
          <w:p w14:paraId="7E234F9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浓度（</w:t>
            </w:r>
            <w:r w:rsidRPr="00E67914">
              <w:rPr>
                <w:rFonts w:ascii="Times New Roman" w:hAnsi="Times New Roman"/>
                <w:sz w:val="21"/>
                <w:szCs w:val="21"/>
              </w:rPr>
              <w:t>mg/L</w:t>
            </w:r>
            <w:r w:rsidRPr="00E67914">
              <w:rPr>
                <w:rFonts w:ascii="Times New Roman" w:hAnsi="Times New Roman"/>
                <w:sz w:val="21"/>
                <w:szCs w:val="21"/>
              </w:rPr>
              <w:t>）</w:t>
            </w:r>
          </w:p>
        </w:tc>
        <w:tc>
          <w:tcPr>
            <w:tcW w:w="1370" w:type="dxa"/>
            <w:vAlign w:val="center"/>
          </w:tcPr>
          <w:p w14:paraId="2BB05DF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泄漏量（</w:t>
            </w:r>
            <w:r w:rsidRPr="00E67914">
              <w:rPr>
                <w:rFonts w:ascii="Times New Roman" w:hAnsi="Times New Roman"/>
                <w:sz w:val="21"/>
                <w:szCs w:val="21"/>
              </w:rPr>
              <w:t>kg</w:t>
            </w:r>
            <w:r w:rsidRPr="00E67914">
              <w:rPr>
                <w:rFonts w:ascii="Times New Roman" w:hAnsi="Times New Roman"/>
                <w:sz w:val="21"/>
                <w:szCs w:val="21"/>
              </w:rPr>
              <w:t>）</w:t>
            </w:r>
          </w:p>
        </w:tc>
        <w:tc>
          <w:tcPr>
            <w:tcW w:w="1371" w:type="dxa"/>
            <w:vAlign w:val="center"/>
          </w:tcPr>
          <w:p w14:paraId="2812BDE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泄漏时间</w:t>
            </w:r>
          </w:p>
        </w:tc>
        <w:tc>
          <w:tcPr>
            <w:tcW w:w="1371" w:type="dxa"/>
            <w:vAlign w:val="center"/>
          </w:tcPr>
          <w:p w14:paraId="720C1E9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含水层</w:t>
            </w:r>
          </w:p>
        </w:tc>
      </w:tr>
      <w:tr w:rsidR="002662E3" w:rsidRPr="00E67914" w14:paraId="59DC9A3B" w14:textId="77777777">
        <w:trPr>
          <w:jc w:val="center"/>
        </w:trPr>
        <w:tc>
          <w:tcPr>
            <w:tcW w:w="1200" w:type="dxa"/>
            <w:vMerge w:val="restart"/>
            <w:vAlign w:val="center"/>
          </w:tcPr>
          <w:p w14:paraId="124D8071" w14:textId="3B1A52C6" w:rsidR="00A54A8A" w:rsidRPr="00E67914" w:rsidRDefault="00CC2D4A">
            <w:pPr>
              <w:jc w:val="center"/>
              <w:rPr>
                <w:rFonts w:ascii="Times New Roman" w:hAnsi="Times New Roman"/>
                <w:sz w:val="21"/>
                <w:szCs w:val="21"/>
              </w:rPr>
            </w:pPr>
            <w:r w:rsidRPr="00E67914">
              <w:rPr>
                <w:rFonts w:ascii="Times New Roman" w:hAnsi="Times New Roman"/>
                <w:sz w:val="21"/>
                <w:szCs w:val="21"/>
                <w:lang w:eastAsia="zh-CN"/>
              </w:rPr>
              <w:t>放喷池</w:t>
            </w:r>
            <w:r w:rsidRPr="00E67914">
              <w:rPr>
                <w:rFonts w:ascii="Times New Roman" w:hAnsi="Times New Roman"/>
                <w:sz w:val="21"/>
                <w:szCs w:val="21"/>
              </w:rPr>
              <w:t>破裂</w:t>
            </w:r>
          </w:p>
        </w:tc>
        <w:tc>
          <w:tcPr>
            <w:tcW w:w="1369" w:type="dxa"/>
            <w:vAlign w:val="center"/>
          </w:tcPr>
          <w:p w14:paraId="42453961"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z w:val="21"/>
                <w:szCs w:val="21"/>
              </w:rPr>
              <w:t>COD</w:t>
            </w:r>
            <w:r w:rsidRPr="00E67914">
              <w:rPr>
                <w:rFonts w:ascii="Times New Roman" w:hAnsi="Times New Roman"/>
                <w:sz w:val="21"/>
                <w:szCs w:val="21"/>
                <w:vertAlign w:val="subscript"/>
              </w:rPr>
              <w:t>Cr</w:t>
            </w:r>
          </w:p>
        </w:tc>
        <w:tc>
          <w:tcPr>
            <w:tcW w:w="1541" w:type="dxa"/>
            <w:vAlign w:val="center"/>
          </w:tcPr>
          <w:p w14:paraId="74B71F44"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5000</w:t>
            </w:r>
          </w:p>
        </w:tc>
        <w:tc>
          <w:tcPr>
            <w:tcW w:w="1370" w:type="dxa"/>
            <w:vAlign w:val="center"/>
          </w:tcPr>
          <w:p w14:paraId="30377C86" w14:textId="11EAC7F7" w:rsidR="00A54A8A" w:rsidRPr="00E67914" w:rsidRDefault="00003972">
            <w:pPr>
              <w:jc w:val="center"/>
              <w:rPr>
                <w:rFonts w:ascii="Times New Roman" w:hAnsi="Times New Roman"/>
                <w:snapToGrid w:val="0"/>
                <w:sz w:val="21"/>
                <w:szCs w:val="21"/>
              </w:rPr>
            </w:pPr>
            <w:r w:rsidRPr="00E67914">
              <w:rPr>
                <w:rFonts w:ascii="Times New Roman" w:hAnsi="Times New Roman"/>
                <w:snapToGrid w:val="0"/>
                <w:sz w:val="21"/>
                <w:szCs w:val="21"/>
              </w:rPr>
              <w:t>110</w:t>
            </w:r>
          </w:p>
        </w:tc>
        <w:tc>
          <w:tcPr>
            <w:tcW w:w="1371" w:type="dxa"/>
            <w:vMerge w:val="restart"/>
            <w:vAlign w:val="center"/>
          </w:tcPr>
          <w:p w14:paraId="5BB0EE3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10d</w:t>
            </w:r>
          </w:p>
        </w:tc>
        <w:tc>
          <w:tcPr>
            <w:tcW w:w="1371" w:type="dxa"/>
            <w:vAlign w:val="center"/>
          </w:tcPr>
          <w:p w14:paraId="2DB0273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潜水</w:t>
            </w:r>
          </w:p>
        </w:tc>
      </w:tr>
      <w:tr w:rsidR="002662E3" w:rsidRPr="00E67914" w14:paraId="5DDCC938" w14:textId="77777777">
        <w:trPr>
          <w:jc w:val="center"/>
        </w:trPr>
        <w:tc>
          <w:tcPr>
            <w:tcW w:w="1200" w:type="dxa"/>
            <w:vMerge/>
            <w:vAlign w:val="center"/>
          </w:tcPr>
          <w:p w14:paraId="7F15A6F1" w14:textId="77777777" w:rsidR="00A54A8A" w:rsidRPr="00E67914" w:rsidRDefault="00A54A8A">
            <w:pPr>
              <w:jc w:val="center"/>
              <w:rPr>
                <w:rFonts w:ascii="Times New Roman" w:hAnsi="Times New Roman"/>
                <w:sz w:val="21"/>
                <w:szCs w:val="21"/>
              </w:rPr>
            </w:pPr>
          </w:p>
        </w:tc>
        <w:tc>
          <w:tcPr>
            <w:tcW w:w="1369" w:type="dxa"/>
            <w:vAlign w:val="center"/>
          </w:tcPr>
          <w:p w14:paraId="7CB25FC3"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石油类</w:t>
            </w:r>
          </w:p>
        </w:tc>
        <w:tc>
          <w:tcPr>
            <w:tcW w:w="1541" w:type="dxa"/>
            <w:vAlign w:val="center"/>
          </w:tcPr>
          <w:p w14:paraId="6210B18D"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200</w:t>
            </w:r>
          </w:p>
        </w:tc>
        <w:tc>
          <w:tcPr>
            <w:tcW w:w="1370" w:type="dxa"/>
            <w:vAlign w:val="center"/>
          </w:tcPr>
          <w:p w14:paraId="357855D9" w14:textId="642058B9" w:rsidR="00A54A8A" w:rsidRPr="00E67914" w:rsidRDefault="00CF61B5">
            <w:pPr>
              <w:jc w:val="center"/>
              <w:rPr>
                <w:rFonts w:ascii="Times New Roman" w:hAnsi="Times New Roman"/>
                <w:snapToGrid w:val="0"/>
                <w:sz w:val="21"/>
                <w:szCs w:val="21"/>
              </w:rPr>
            </w:pPr>
            <w:r w:rsidRPr="00E67914">
              <w:rPr>
                <w:rFonts w:ascii="Times New Roman" w:hAnsi="Times New Roman"/>
                <w:snapToGrid w:val="0"/>
                <w:sz w:val="21"/>
                <w:szCs w:val="21"/>
              </w:rPr>
              <w:t>4.4</w:t>
            </w:r>
          </w:p>
        </w:tc>
        <w:tc>
          <w:tcPr>
            <w:tcW w:w="1371" w:type="dxa"/>
            <w:vMerge/>
            <w:vAlign w:val="center"/>
          </w:tcPr>
          <w:p w14:paraId="648247B0" w14:textId="77777777" w:rsidR="00A54A8A" w:rsidRPr="00E67914" w:rsidRDefault="00A54A8A">
            <w:pPr>
              <w:jc w:val="center"/>
              <w:rPr>
                <w:rFonts w:ascii="Times New Roman" w:hAnsi="Times New Roman"/>
                <w:sz w:val="21"/>
                <w:szCs w:val="21"/>
              </w:rPr>
            </w:pPr>
          </w:p>
        </w:tc>
        <w:tc>
          <w:tcPr>
            <w:tcW w:w="1371" w:type="dxa"/>
            <w:vAlign w:val="center"/>
          </w:tcPr>
          <w:p w14:paraId="75050D5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潜水</w:t>
            </w:r>
          </w:p>
        </w:tc>
      </w:tr>
      <w:tr w:rsidR="002662E3" w:rsidRPr="00E67914" w14:paraId="6B09B144" w14:textId="77777777">
        <w:trPr>
          <w:jc w:val="center"/>
        </w:trPr>
        <w:tc>
          <w:tcPr>
            <w:tcW w:w="1200" w:type="dxa"/>
            <w:vMerge/>
            <w:vAlign w:val="center"/>
          </w:tcPr>
          <w:p w14:paraId="7A205FA7" w14:textId="77777777" w:rsidR="00A54A8A" w:rsidRPr="00E67914" w:rsidRDefault="00A54A8A">
            <w:pPr>
              <w:jc w:val="center"/>
              <w:rPr>
                <w:rFonts w:ascii="Times New Roman" w:hAnsi="Times New Roman"/>
                <w:sz w:val="21"/>
                <w:szCs w:val="21"/>
              </w:rPr>
            </w:pPr>
          </w:p>
        </w:tc>
        <w:tc>
          <w:tcPr>
            <w:tcW w:w="1369" w:type="dxa"/>
            <w:vAlign w:val="center"/>
          </w:tcPr>
          <w:p w14:paraId="4702829A"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氯化物</w:t>
            </w:r>
          </w:p>
        </w:tc>
        <w:tc>
          <w:tcPr>
            <w:tcW w:w="1541" w:type="dxa"/>
            <w:vAlign w:val="center"/>
          </w:tcPr>
          <w:p w14:paraId="46592E61"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4000</w:t>
            </w:r>
          </w:p>
        </w:tc>
        <w:tc>
          <w:tcPr>
            <w:tcW w:w="1370" w:type="dxa"/>
            <w:vAlign w:val="center"/>
          </w:tcPr>
          <w:p w14:paraId="6655104F" w14:textId="386CA45B" w:rsidR="00A54A8A" w:rsidRPr="00E67914" w:rsidRDefault="00CF61B5">
            <w:pPr>
              <w:jc w:val="center"/>
              <w:rPr>
                <w:rFonts w:ascii="Times New Roman" w:hAnsi="Times New Roman"/>
                <w:snapToGrid w:val="0"/>
                <w:sz w:val="21"/>
                <w:szCs w:val="21"/>
              </w:rPr>
            </w:pPr>
            <w:r w:rsidRPr="00E67914">
              <w:rPr>
                <w:rFonts w:ascii="Times New Roman" w:hAnsi="Times New Roman"/>
                <w:snapToGrid w:val="0"/>
                <w:sz w:val="21"/>
                <w:szCs w:val="21"/>
              </w:rPr>
              <w:t>88</w:t>
            </w:r>
          </w:p>
        </w:tc>
        <w:tc>
          <w:tcPr>
            <w:tcW w:w="1371" w:type="dxa"/>
            <w:vMerge/>
            <w:vAlign w:val="center"/>
          </w:tcPr>
          <w:p w14:paraId="685F9511" w14:textId="77777777" w:rsidR="00A54A8A" w:rsidRPr="00E67914" w:rsidRDefault="00A54A8A">
            <w:pPr>
              <w:jc w:val="center"/>
              <w:rPr>
                <w:rFonts w:ascii="Times New Roman" w:hAnsi="Times New Roman"/>
                <w:sz w:val="21"/>
                <w:szCs w:val="21"/>
              </w:rPr>
            </w:pPr>
          </w:p>
        </w:tc>
        <w:tc>
          <w:tcPr>
            <w:tcW w:w="1371" w:type="dxa"/>
            <w:vAlign w:val="center"/>
          </w:tcPr>
          <w:p w14:paraId="35E69C5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潜水</w:t>
            </w:r>
          </w:p>
        </w:tc>
      </w:tr>
      <w:tr w:rsidR="002662E3" w:rsidRPr="00E67914" w14:paraId="792E3F80" w14:textId="77777777">
        <w:trPr>
          <w:jc w:val="center"/>
        </w:trPr>
        <w:tc>
          <w:tcPr>
            <w:tcW w:w="1200" w:type="dxa"/>
            <w:vMerge w:val="restart"/>
            <w:vAlign w:val="center"/>
          </w:tcPr>
          <w:p w14:paraId="6DE265D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压裂过程中井筒破裂</w:t>
            </w:r>
          </w:p>
        </w:tc>
        <w:tc>
          <w:tcPr>
            <w:tcW w:w="1369" w:type="dxa"/>
            <w:vAlign w:val="center"/>
          </w:tcPr>
          <w:p w14:paraId="216A489E"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COD</w:t>
            </w:r>
            <w:r w:rsidRPr="00E67914">
              <w:rPr>
                <w:rFonts w:ascii="Times New Roman" w:hAnsi="Times New Roman"/>
                <w:snapToGrid w:val="0"/>
                <w:sz w:val="21"/>
                <w:szCs w:val="21"/>
                <w:vertAlign w:val="subscript"/>
              </w:rPr>
              <w:t>Cr</w:t>
            </w:r>
          </w:p>
        </w:tc>
        <w:tc>
          <w:tcPr>
            <w:tcW w:w="1541" w:type="dxa"/>
            <w:vAlign w:val="center"/>
          </w:tcPr>
          <w:p w14:paraId="0570A8F3"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5000</w:t>
            </w:r>
          </w:p>
        </w:tc>
        <w:tc>
          <w:tcPr>
            <w:tcW w:w="1370" w:type="dxa"/>
            <w:vAlign w:val="center"/>
          </w:tcPr>
          <w:p w14:paraId="4E0E13B2" w14:textId="4F6B1F49" w:rsidR="00A54A8A" w:rsidRPr="00E67914" w:rsidRDefault="00003972">
            <w:pPr>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900</w:t>
            </w:r>
          </w:p>
        </w:tc>
        <w:tc>
          <w:tcPr>
            <w:tcW w:w="1371" w:type="dxa"/>
            <w:vMerge w:val="restart"/>
            <w:vAlign w:val="center"/>
          </w:tcPr>
          <w:p w14:paraId="0D166DF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10min</w:t>
            </w:r>
          </w:p>
        </w:tc>
        <w:tc>
          <w:tcPr>
            <w:tcW w:w="1371" w:type="dxa"/>
            <w:vAlign w:val="center"/>
          </w:tcPr>
          <w:p w14:paraId="3084FEC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潜水</w:t>
            </w:r>
          </w:p>
        </w:tc>
      </w:tr>
      <w:tr w:rsidR="002662E3" w:rsidRPr="00E67914" w14:paraId="5FF58CB2" w14:textId="77777777">
        <w:trPr>
          <w:jc w:val="center"/>
        </w:trPr>
        <w:tc>
          <w:tcPr>
            <w:tcW w:w="1200" w:type="dxa"/>
            <w:vMerge/>
            <w:vAlign w:val="center"/>
          </w:tcPr>
          <w:p w14:paraId="7E470855" w14:textId="77777777" w:rsidR="00A54A8A" w:rsidRPr="00E67914" w:rsidRDefault="00A54A8A">
            <w:pPr>
              <w:jc w:val="center"/>
              <w:rPr>
                <w:rFonts w:ascii="Times New Roman" w:hAnsi="Times New Roman"/>
                <w:sz w:val="21"/>
                <w:szCs w:val="21"/>
              </w:rPr>
            </w:pPr>
          </w:p>
        </w:tc>
        <w:tc>
          <w:tcPr>
            <w:tcW w:w="1369" w:type="dxa"/>
            <w:vAlign w:val="center"/>
          </w:tcPr>
          <w:p w14:paraId="0617A862"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石油类</w:t>
            </w:r>
          </w:p>
        </w:tc>
        <w:tc>
          <w:tcPr>
            <w:tcW w:w="1541" w:type="dxa"/>
            <w:vAlign w:val="center"/>
          </w:tcPr>
          <w:p w14:paraId="54A362AF"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200</w:t>
            </w:r>
          </w:p>
        </w:tc>
        <w:tc>
          <w:tcPr>
            <w:tcW w:w="1370" w:type="dxa"/>
            <w:vAlign w:val="center"/>
          </w:tcPr>
          <w:p w14:paraId="1B0DBE6D" w14:textId="3AE9FC38" w:rsidR="00A54A8A" w:rsidRPr="00E67914" w:rsidRDefault="00003972">
            <w:pPr>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36</w:t>
            </w:r>
          </w:p>
        </w:tc>
        <w:tc>
          <w:tcPr>
            <w:tcW w:w="1371" w:type="dxa"/>
            <w:vMerge/>
            <w:vAlign w:val="center"/>
          </w:tcPr>
          <w:p w14:paraId="794F0FD2" w14:textId="77777777" w:rsidR="00A54A8A" w:rsidRPr="00E67914" w:rsidRDefault="00A54A8A">
            <w:pPr>
              <w:jc w:val="center"/>
              <w:rPr>
                <w:rFonts w:ascii="Times New Roman" w:hAnsi="Times New Roman"/>
                <w:sz w:val="21"/>
                <w:szCs w:val="21"/>
              </w:rPr>
            </w:pPr>
          </w:p>
        </w:tc>
        <w:tc>
          <w:tcPr>
            <w:tcW w:w="1371" w:type="dxa"/>
            <w:vAlign w:val="center"/>
          </w:tcPr>
          <w:p w14:paraId="691EDC4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潜水</w:t>
            </w:r>
          </w:p>
        </w:tc>
      </w:tr>
      <w:tr w:rsidR="002662E3" w:rsidRPr="00E67914" w14:paraId="7052F5B4" w14:textId="77777777">
        <w:trPr>
          <w:jc w:val="center"/>
        </w:trPr>
        <w:tc>
          <w:tcPr>
            <w:tcW w:w="1200" w:type="dxa"/>
            <w:vMerge/>
            <w:vAlign w:val="center"/>
          </w:tcPr>
          <w:p w14:paraId="6A2380FF" w14:textId="77777777" w:rsidR="00A54A8A" w:rsidRPr="00E67914" w:rsidRDefault="00A54A8A">
            <w:pPr>
              <w:jc w:val="center"/>
              <w:rPr>
                <w:rFonts w:ascii="Times New Roman" w:hAnsi="Times New Roman"/>
                <w:sz w:val="21"/>
                <w:szCs w:val="21"/>
              </w:rPr>
            </w:pPr>
          </w:p>
        </w:tc>
        <w:tc>
          <w:tcPr>
            <w:tcW w:w="1369" w:type="dxa"/>
            <w:vAlign w:val="center"/>
          </w:tcPr>
          <w:p w14:paraId="6F18ABE6"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氯化物</w:t>
            </w:r>
          </w:p>
        </w:tc>
        <w:tc>
          <w:tcPr>
            <w:tcW w:w="1541" w:type="dxa"/>
            <w:vAlign w:val="center"/>
          </w:tcPr>
          <w:p w14:paraId="20877AA9" w14:textId="77777777" w:rsidR="00A54A8A" w:rsidRPr="00E67914" w:rsidRDefault="00000000">
            <w:pPr>
              <w:jc w:val="center"/>
              <w:rPr>
                <w:rFonts w:ascii="Times New Roman" w:hAnsi="Times New Roman"/>
                <w:snapToGrid w:val="0"/>
                <w:sz w:val="21"/>
                <w:szCs w:val="21"/>
              </w:rPr>
            </w:pPr>
            <w:r w:rsidRPr="00E67914">
              <w:rPr>
                <w:rFonts w:ascii="Times New Roman" w:hAnsi="Times New Roman"/>
                <w:snapToGrid w:val="0"/>
                <w:sz w:val="21"/>
                <w:szCs w:val="21"/>
              </w:rPr>
              <w:t>4000</w:t>
            </w:r>
          </w:p>
        </w:tc>
        <w:tc>
          <w:tcPr>
            <w:tcW w:w="1370" w:type="dxa"/>
            <w:vAlign w:val="center"/>
          </w:tcPr>
          <w:p w14:paraId="087972A6" w14:textId="58C4EECD" w:rsidR="00A54A8A" w:rsidRPr="00E67914" w:rsidRDefault="00003972">
            <w:pPr>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720</w:t>
            </w:r>
          </w:p>
        </w:tc>
        <w:tc>
          <w:tcPr>
            <w:tcW w:w="1371" w:type="dxa"/>
            <w:vMerge/>
            <w:vAlign w:val="center"/>
          </w:tcPr>
          <w:p w14:paraId="36300832" w14:textId="77777777" w:rsidR="00A54A8A" w:rsidRPr="00E67914" w:rsidRDefault="00A54A8A">
            <w:pPr>
              <w:jc w:val="center"/>
              <w:rPr>
                <w:rFonts w:ascii="Times New Roman" w:hAnsi="Times New Roman"/>
                <w:sz w:val="21"/>
                <w:szCs w:val="21"/>
              </w:rPr>
            </w:pPr>
          </w:p>
        </w:tc>
        <w:tc>
          <w:tcPr>
            <w:tcW w:w="1371" w:type="dxa"/>
            <w:vAlign w:val="center"/>
          </w:tcPr>
          <w:p w14:paraId="6BB7415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潜水</w:t>
            </w:r>
          </w:p>
        </w:tc>
      </w:tr>
    </w:tbl>
    <w:bookmarkEnd w:id="161"/>
    <w:p w14:paraId="39A8FCB1" w14:textId="77777777" w:rsidR="00A54A8A" w:rsidRPr="00E67914" w:rsidRDefault="00000000">
      <w:pPr>
        <w:pStyle w:val="3"/>
        <w:adjustRightInd w:val="0"/>
        <w:snapToGrid w:val="0"/>
        <w:spacing w:beforeLines="50" w:before="12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5.3.6</w:t>
      </w:r>
      <w:r w:rsidRPr="00E67914">
        <w:rPr>
          <w:rFonts w:ascii="Times New Roman" w:eastAsia="黑体" w:hAnsi="Times New Roman"/>
          <w:b w:val="0"/>
          <w:sz w:val="24"/>
          <w:szCs w:val="24"/>
          <w:lang w:eastAsia="zh-CN"/>
        </w:rPr>
        <w:t>地下水环境影响预测及评价</w:t>
      </w:r>
    </w:p>
    <w:p w14:paraId="22F2E759"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r w:rsidRPr="00E67914">
        <w:rPr>
          <w:rFonts w:ascii="Times New Roman" w:eastAsia="黑体" w:hAnsi="Times New Roman"/>
          <w:bCs/>
          <w:kern w:val="2"/>
          <w:lang w:eastAsia="zh-CN"/>
        </w:rPr>
        <w:t>1</w:t>
      </w:r>
      <w:r w:rsidRPr="00E67914">
        <w:rPr>
          <w:rFonts w:ascii="Times New Roman" w:eastAsia="黑体" w:hAnsi="Times New Roman"/>
          <w:bCs/>
          <w:kern w:val="2"/>
          <w:lang w:eastAsia="zh-CN"/>
        </w:rPr>
        <w:t>、地下水环境影响预测原则</w:t>
      </w:r>
    </w:p>
    <w:p w14:paraId="5BA1FB0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bCs/>
          <w:kern w:val="2"/>
          <w:sz w:val="24"/>
          <w:szCs w:val="24"/>
          <w:lang w:eastAsia="zh-CN"/>
        </w:rPr>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14:paraId="70281022"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r w:rsidRPr="00E67914">
        <w:rPr>
          <w:rFonts w:ascii="Times New Roman" w:eastAsia="黑体" w:hAnsi="Times New Roman"/>
          <w:bCs/>
          <w:kern w:val="2"/>
          <w:lang w:eastAsia="zh-CN"/>
        </w:rPr>
        <w:t>2</w:t>
      </w:r>
      <w:r w:rsidRPr="00E67914">
        <w:rPr>
          <w:rFonts w:ascii="Times New Roman" w:eastAsia="黑体" w:hAnsi="Times New Roman"/>
          <w:bCs/>
          <w:kern w:val="2"/>
          <w:lang w:eastAsia="zh-CN"/>
        </w:rPr>
        <w:t>、模型概化及参数选取</w:t>
      </w:r>
    </w:p>
    <w:p w14:paraId="4BFFEB53"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）模型概化</w:t>
      </w:r>
    </w:p>
    <w:p w14:paraId="33F3BC79"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价技术导则</w:t>
      </w:r>
      <w:r w:rsidRPr="00E67914">
        <w:rPr>
          <w:rFonts w:ascii="Times New Roman" w:hAnsi="Times New Roman"/>
          <w:sz w:val="24"/>
          <w:szCs w:val="24"/>
          <w:lang w:eastAsia="zh-CN"/>
        </w:rPr>
        <w:t>—</w:t>
      </w:r>
      <w:r w:rsidRPr="00E67914">
        <w:rPr>
          <w:rFonts w:ascii="Times New Roman" w:hAnsi="Times New Roman"/>
          <w:sz w:val="24"/>
          <w:szCs w:val="24"/>
          <w:lang w:eastAsia="zh-CN"/>
        </w:rPr>
        <w:t>地下水》（</w:t>
      </w:r>
      <w:r w:rsidRPr="00E67914">
        <w:rPr>
          <w:rFonts w:ascii="Times New Roman" w:hAnsi="Times New Roman"/>
          <w:sz w:val="24"/>
          <w:szCs w:val="24"/>
          <w:lang w:eastAsia="zh-CN"/>
        </w:rPr>
        <w:t>HJ610-2016</w:t>
      </w:r>
      <w:r w:rsidRPr="00E67914">
        <w:rPr>
          <w:rFonts w:ascii="Times New Roman" w:hAnsi="Times New Roman"/>
          <w:sz w:val="24"/>
          <w:szCs w:val="24"/>
          <w:lang w:eastAsia="zh-CN"/>
        </w:rPr>
        <w:t>）中的地下水一维稳定流二维水动力弥散瞬时注入模式，采用解析法进行估算。</w:t>
      </w:r>
    </w:p>
    <w:p w14:paraId="28924853"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rPr>
      </w:pPr>
      <w:r w:rsidRPr="00E67914">
        <w:rPr>
          <w:rFonts w:ascii="Times New Roman" w:hAnsi="Times New Roman"/>
          <w:noProof/>
          <w:sz w:val="24"/>
          <w:szCs w:val="24"/>
        </w:rPr>
        <w:lastRenderedPageBreak/>
        <w:drawing>
          <wp:inline distT="0" distB="0" distL="0" distR="0" wp14:anchorId="3899B3D4" wp14:editId="7B9490CC">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826385" cy="724535"/>
                    </a:xfrm>
                    <a:prstGeom prst="rect">
                      <a:avLst/>
                    </a:prstGeom>
                    <a:noFill/>
                    <a:ln>
                      <a:noFill/>
                    </a:ln>
                  </pic:spPr>
                </pic:pic>
              </a:graphicData>
            </a:graphic>
          </wp:inline>
        </w:drawing>
      </w:r>
    </w:p>
    <w:p w14:paraId="0EED4DE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式中：</w:t>
      </w:r>
    </w:p>
    <w:p w14:paraId="40D16D48"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x</w:t>
      </w:r>
      <w:r w:rsidRPr="00E67914">
        <w:rPr>
          <w:rFonts w:ascii="Times New Roman" w:hAnsi="Times New Roman"/>
          <w:sz w:val="24"/>
          <w:szCs w:val="24"/>
          <w:lang w:eastAsia="zh-CN"/>
        </w:rPr>
        <w:t>，</w:t>
      </w:r>
      <w:r w:rsidRPr="00E67914">
        <w:rPr>
          <w:rFonts w:ascii="Times New Roman" w:hAnsi="Times New Roman"/>
          <w:sz w:val="24"/>
          <w:szCs w:val="24"/>
          <w:lang w:eastAsia="zh-CN"/>
        </w:rPr>
        <w:t>y—</w:t>
      </w:r>
      <w:r w:rsidRPr="00E67914">
        <w:rPr>
          <w:rFonts w:ascii="Times New Roman" w:hAnsi="Times New Roman"/>
          <w:sz w:val="24"/>
          <w:szCs w:val="24"/>
          <w:lang w:eastAsia="zh-CN"/>
        </w:rPr>
        <w:t>计算点处的位置坐标；</w:t>
      </w:r>
    </w:p>
    <w:p w14:paraId="3D5A340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t—</w:t>
      </w:r>
      <w:r w:rsidRPr="00E67914">
        <w:rPr>
          <w:rFonts w:ascii="Times New Roman" w:hAnsi="Times New Roman"/>
          <w:sz w:val="24"/>
          <w:szCs w:val="24"/>
          <w:lang w:eastAsia="zh-CN"/>
        </w:rPr>
        <w:t>时间，</w:t>
      </w:r>
      <w:r w:rsidRPr="00E67914">
        <w:rPr>
          <w:rFonts w:ascii="Times New Roman" w:hAnsi="Times New Roman"/>
          <w:sz w:val="24"/>
          <w:szCs w:val="24"/>
          <w:lang w:eastAsia="zh-CN"/>
        </w:rPr>
        <w:t>d</w:t>
      </w:r>
      <w:r w:rsidRPr="00E67914">
        <w:rPr>
          <w:rFonts w:ascii="Times New Roman" w:hAnsi="Times New Roman"/>
          <w:sz w:val="24"/>
          <w:szCs w:val="24"/>
          <w:lang w:eastAsia="zh-CN"/>
        </w:rPr>
        <w:t>；</w:t>
      </w:r>
    </w:p>
    <w:p w14:paraId="4889E3D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C</w:t>
      </w:r>
      <w:r w:rsidRPr="00E67914">
        <w:rPr>
          <w:rFonts w:ascii="Times New Roman" w:hAnsi="Times New Roman"/>
          <w:sz w:val="24"/>
          <w:szCs w:val="24"/>
          <w:lang w:eastAsia="zh-CN"/>
        </w:rPr>
        <w:t>（</w:t>
      </w:r>
      <w:r w:rsidRPr="00E67914">
        <w:rPr>
          <w:rFonts w:ascii="Times New Roman" w:hAnsi="Times New Roman"/>
          <w:sz w:val="24"/>
          <w:szCs w:val="24"/>
          <w:lang w:eastAsia="zh-CN"/>
        </w:rPr>
        <w:t>x</w:t>
      </w:r>
      <w:r w:rsidRPr="00E67914">
        <w:rPr>
          <w:rFonts w:ascii="Times New Roman" w:hAnsi="Times New Roman"/>
          <w:sz w:val="24"/>
          <w:szCs w:val="24"/>
          <w:lang w:eastAsia="zh-CN"/>
        </w:rPr>
        <w:t>，</w:t>
      </w:r>
      <w:r w:rsidRPr="00E67914">
        <w:rPr>
          <w:rFonts w:ascii="Times New Roman" w:hAnsi="Times New Roman"/>
          <w:sz w:val="24"/>
          <w:szCs w:val="24"/>
          <w:lang w:eastAsia="zh-CN"/>
        </w:rPr>
        <w:t>y</w:t>
      </w:r>
      <w:r w:rsidRPr="00E67914">
        <w:rPr>
          <w:rFonts w:ascii="Times New Roman" w:hAnsi="Times New Roman"/>
          <w:sz w:val="24"/>
          <w:szCs w:val="24"/>
          <w:lang w:eastAsia="zh-CN"/>
        </w:rPr>
        <w:t>，</w:t>
      </w:r>
      <w:r w:rsidRPr="00E67914">
        <w:rPr>
          <w:rFonts w:ascii="Times New Roman" w:hAnsi="Times New Roman"/>
          <w:sz w:val="24"/>
          <w:szCs w:val="24"/>
          <w:lang w:eastAsia="zh-CN"/>
        </w:rPr>
        <w:t>t</w:t>
      </w:r>
      <w:r w:rsidRPr="00E67914">
        <w:rPr>
          <w:rFonts w:ascii="Times New Roman" w:hAnsi="Times New Roman"/>
          <w:sz w:val="24"/>
          <w:szCs w:val="24"/>
          <w:lang w:eastAsia="zh-CN"/>
        </w:rPr>
        <w:t>）</w:t>
      </w:r>
      <w:r w:rsidRPr="00E67914">
        <w:rPr>
          <w:rFonts w:ascii="Times New Roman" w:hAnsi="Times New Roman"/>
          <w:sz w:val="24"/>
          <w:szCs w:val="24"/>
          <w:lang w:eastAsia="zh-CN"/>
        </w:rPr>
        <w:t>—t</w:t>
      </w:r>
      <w:r w:rsidRPr="00E67914">
        <w:rPr>
          <w:rFonts w:ascii="Times New Roman" w:hAnsi="Times New Roman"/>
          <w:sz w:val="24"/>
          <w:szCs w:val="24"/>
          <w:lang w:eastAsia="zh-CN"/>
        </w:rPr>
        <w:t>时刻点</w:t>
      </w:r>
      <w:r w:rsidRPr="00E67914">
        <w:rPr>
          <w:rFonts w:ascii="Times New Roman" w:hAnsi="Times New Roman"/>
          <w:sz w:val="24"/>
          <w:szCs w:val="24"/>
          <w:lang w:eastAsia="zh-CN"/>
        </w:rPr>
        <w:t>x</w:t>
      </w:r>
      <w:r w:rsidRPr="00E67914">
        <w:rPr>
          <w:rFonts w:ascii="Times New Roman" w:hAnsi="Times New Roman"/>
          <w:sz w:val="24"/>
          <w:szCs w:val="24"/>
          <w:lang w:eastAsia="zh-CN"/>
        </w:rPr>
        <w:t>，</w:t>
      </w:r>
      <w:r w:rsidRPr="00E67914">
        <w:rPr>
          <w:rFonts w:ascii="Times New Roman" w:hAnsi="Times New Roman"/>
          <w:sz w:val="24"/>
          <w:szCs w:val="24"/>
          <w:lang w:eastAsia="zh-CN"/>
        </w:rPr>
        <w:t>y</w:t>
      </w:r>
      <w:r w:rsidRPr="00E67914">
        <w:rPr>
          <w:rFonts w:ascii="Times New Roman" w:hAnsi="Times New Roman"/>
          <w:sz w:val="24"/>
          <w:szCs w:val="24"/>
          <w:lang w:eastAsia="zh-CN"/>
        </w:rPr>
        <w:t>处的示踪剂浓度，</w:t>
      </w:r>
      <w:r w:rsidRPr="00E67914">
        <w:rPr>
          <w:rFonts w:ascii="Times New Roman" w:hAnsi="Times New Roman"/>
          <w:sz w:val="24"/>
          <w:szCs w:val="24"/>
          <w:lang w:eastAsia="zh-CN"/>
        </w:rPr>
        <w:t>g/L</w:t>
      </w:r>
      <w:r w:rsidRPr="00E67914">
        <w:rPr>
          <w:rFonts w:ascii="Times New Roman" w:hAnsi="Times New Roman"/>
          <w:sz w:val="24"/>
          <w:szCs w:val="24"/>
          <w:lang w:eastAsia="zh-CN"/>
        </w:rPr>
        <w:t>；</w:t>
      </w:r>
    </w:p>
    <w:p w14:paraId="6CF6113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M—</w:t>
      </w:r>
      <w:r w:rsidRPr="00E67914">
        <w:rPr>
          <w:rFonts w:ascii="Times New Roman" w:hAnsi="Times New Roman"/>
          <w:sz w:val="24"/>
          <w:szCs w:val="24"/>
          <w:lang w:eastAsia="zh-CN"/>
        </w:rPr>
        <w:t>含水层的厚度，</w:t>
      </w:r>
      <w:r w:rsidRPr="00E67914">
        <w:rPr>
          <w:rFonts w:ascii="Times New Roman" w:hAnsi="Times New Roman"/>
          <w:sz w:val="24"/>
          <w:szCs w:val="24"/>
          <w:lang w:eastAsia="zh-CN"/>
        </w:rPr>
        <w:t>m</w:t>
      </w:r>
      <w:r w:rsidRPr="00E67914">
        <w:rPr>
          <w:rFonts w:ascii="Times New Roman" w:hAnsi="Times New Roman"/>
          <w:sz w:val="24"/>
          <w:szCs w:val="24"/>
          <w:lang w:eastAsia="zh-CN"/>
        </w:rPr>
        <w:t>；</w:t>
      </w:r>
    </w:p>
    <w:p w14:paraId="36FF0C40"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m</m:t>
            </m:r>
          </m:e>
          <m:sub>
            <m:r>
              <w:rPr>
                <w:rFonts w:ascii="Cambria Math" w:hAnsi="Cambria Math"/>
                <w:snapToGrid w:val="0"/>
                <w:sz w:val="24"/>
                <w:szCs w:val="24"/>
                <w:lang w:eastAsia="zh-CN"/>
              </w:rPr>
              <m:t>M</m:t>
            </m:r>
          </m:sub>
        </m:sSub>
      </m:oMath>
      <w:r w:rsidRPr="00E67914">
        <w:rPr>
          <w:rFonts w:ascii="Times New Roman" w:hAnsi="Times New Roman"/>
          <w:sz w:val="24"/>
          <w:szCs w:val="24"/>
          <w:lang w:eastAsia="zh-CN"/>
        </w:rPr>
        <w:t>—</w:t>
      </w:r>
      <w:r w:rsidRPr="00E67914">
        <w:rPr>
          <w:rFonts w:ascii="Times New Roman" w:hAnsi="Times New Roman"/>
          <w:sz w:val="24"/>
          <w:szCs w:val="24"/>
          <w:lang w:eastAsia="zh-CN"/>
        </w:rPr>
        <w:t>瞬时注入示踪剂的质量，</w:t>
      </w:r>
      <w:r w:rsidRPr="00E67914">
        <w:rPr>
          <w:rFonts w:ascii="Times New Roman" w:hAnsi="Times New Roman"/>
          <w:sz w:val="24"/>
          <w:szCs w:val="24"/>
          <w:lang w:eastAsia="zh-CN"/>
        </w:rPr>
        <w:t>kg</w:t>
      </w:r>
      <w:r w:rsidRPr="00E67914">
        <w:rPr>
          <w:rFonts w:ascii="Times New Roman" w:hAnsi="Times New Roman"/>
          <w:sz w:val="24"/>
          <w:szCs w:val="24"/>
          <w:lang w:eastAsia="zh-CN"/>
        </w:rPr>
        <w:t>；</w:t>
      </w:r>
    </w:p>
    <w:p w14:paraId="2DEA64D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u—</w:t>
      </w:r>
      <w:r w:rsidRPr="00E67914">
        <w:rPr>
          <w:rFonts w:ascii="Times New Roman" w:hAnsi="Times New Roman"/>
          <w:sz w:val="24"/>
          <w:szCs w:val="24"/>
          <w:lang w:eastAsia="zh-CN"/>
        </w:rPr>
        <w:t>水流速度，</w:t>
      </w:r>
      <w:r w:rsidRPr="00E67914">
        <w:rPr>
          <w:rFonts w:ascii="Times New Roman" w:hAnsi="Times New Roman"/>
          <w:sz w:val="24"/>
          <w:szCs w:val="24"/>
          <w:lang w:eastAsia="zh-CN"/>
        </w:rPr>
        <w:t>m/d</w:t>
      </w:r>
      <w:r w:rsidRPr="00E67914">
        <w:rPr>
          <w:rFonts w:ascii="Times New Roman" w:hAnsi="Times New Roman"/>
          <w:sz w:val="24"/>
          <w:szCs w:val="24"/>
          <w:lang w:eastAsia="zh-CN"/>
        </w:rPr>
        <w:t>；</w:t>
      </w:r>
    </w:p>
    <w:p w14:paraId="142B4C8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n—</w:t>
      </w:r>
      <w:r w:rsidRPr="00E67914">
        <w:rPr>
          <w:rFonts w:ascii="Times New Roman" w:hAnsi="Times New Roman"/>
          <w:sz w:val="24"/>
          <w:szCs w:val="24"/>
          <w:lang w:eastAsia="zh-CN"/>
        </w:rPr>
        <w:t>有效孔隙度，无量纲；</w:t>
      </w:r>
    </w:p>
    <w:p w14:paraId="5C24526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D</m:t>
            </m:r>
          </m:e>
          <m:sub>
            <m:r>
              <w:rPr>
                <w:rFonts w:ascii="Cambria Math" w:hAnsi="Cambria Math"/>
                <w:snapToGrid w:val="0"/>
                <w:sz w:val="24"/>
                <w:szCs w:val="24"/>
                <w:lang w:eastAsia="zh-CN"/>
              </w:rPr>
              <m:t>L</m:t>
            </m:r>
          </m:sub>
        </m:sSub>
      </m:oMath>
      <w:r w:rsidRPr="00E67914">
        <w:rPr>
          <w:rFonts w:ascii="Times New Roman" w:hAnsi="Times New Roman"/>
          <w:sz w:val="24"/>
          <w:szCs w:val="24"/>
          <w:lang w:eastAsia="zh-CN"/>
        </w:rPr>
        <w:t>—</w:t>
      </w:r>
      <w:r w:rsidRPr="00E67914">
        <w:rPr>
          <w:rFonts w:ascii="Times New Roman" w:hAnsi="Times New Roman"/>
          <w:sz w:val="24"/>
          <w:szCs w:val="24"/>
          <w:lang w:eastAsia="zh-CN"/>
        </w:rPr>
        <w:t>纵向弥散系数，</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/d</w:t>
      </w:r>
      <w:r w:rsidRPr="00E67914">
        <w:rPr>
          <w:rFonts w:ascii="Times New Roman" w:hAnsi="Times New Roman"/>
          <w:sz w:val="24"/>
          <w:szCs w:val="24"/>
          <w:lang w:eastAsia="zh-CN"/>
        </w:rPr>
        <w:t>；</w:t>
      </w:r>
    </w:p>
    <w:p w14:paraId="276A9269"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m:oMath>
        <m:sSub>
          <m:sSubPr>
            <m:ctrlPr>
              <w:rPr>
                <w:rFonts w:ascii="Cambria Math" w:hAnsi="Cambria Math"/>
                <w:i/>
                <w:snapToGrid w:val="0"/>
                <w:sz w:val="24"/>
                <w:szCs w:val="24"/>
              </w:rPr>
            </m:ctrlPr>
          </m:sSubPr>
          <m:e>
            <m:r>
              <w:rPr>
                <w:rFonts w:ascii="Cambria Math" w:hAnsi="Cambria Math"/>
                <w:snapToGrid w:val="0"/>
                <w:sz w:val="24"/>
                <w:szCs w:val="24"/>
                <w:lang w:eastAsia="zh-CN"/>
              </w:rPr>
              <m:t>D</m:t>
            </m:r>
          </m:e>
          <m:sub>
            <m:r>
              <w:rPr>
                <w:rFonts w:ascii="Cambria Math" w:hAnsi="Cambria Math"/>
                <w:snapToGrid w:val="0"/>
                <w:sz w:val="24"/>
                <w:szCs w:val="24"/>
                <w:lang w:eastAsia="zh-CN"/>
              </w:rPr>
              <m:t>T</m:t>
            </m:r>
          </m:sub>
        </m:sSub>
      </m:oMath>
      <w:r w:rsidRPr="00E67914">
        <w:rPr>
          <w:rFonts w:ascii="Times New Roman" w:hAnsi="Times New Roman"/>
          <w:sz w:val="24"/>
          <w:szCs w:val="24"/>
          <w:lang w:eastAsia="zh-CN"/>
        </w:rPr>
        <w:t>—</w:t>
      </w:r>
      <w:r w:rsidRPr="00E67914">
        <w:rPr>
          <w:rFonts w:ascii="Times New Roman" w:hAnsi="Times New Roman"/>
          <w:sz w:val="24"/>
          <w:szCs w:val="24"/>
          <w:lang w:eastAsia="zh-CN"/>
        </w:rPr>
        <w:t>横向</w:t>
      </w:r>
      <w:r w:rsidRPr="00E67914">
        <w:rPr>
          <w:rFonts w:ascii="Times New Roman" w:hAnsi="Times New Roman"/>
          <w:sz w:val="24"/>
          <w:szCs w:val="24"/>
          <w:lang w:eastAsia="zh-CN"/>
        </w:rPr>
        <w:t>y</w:t>
      </w:r>
      <w:r w:rsidRPr="00E67914">
        <w:rPr>
          <w:rFonts w:ascii="Times New Roman" w:hAnsi="Times New Roman"/>
          <w:sz w:val="24"/>
          <w:szCs w:val="24"/>
          <w:lang w:eastAsia="zh-CN"/>
        </w:rPr>
        <w:t>方向的弥散系数，</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/d</w:t>
      </w:r>
      <w:r w:rsidRPr="00E67914">
        <w:rPr>
          <w:rFonts w:ascii="Times New Roman" w:hAnsi="Times New Roman"/>
          <w:sz w:val="24"/>
          <w:szCs w:val="24"/>
          <w:lang w:eastAsia="zh-CN"/>
        </w:rPr>
        <w:t>；</w:t>
      </w:r>
    </w:p>
    <w:p w14:paraId="0BDEA3B3"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m:oMath>
        <m:r>
          <w:rPr>
            <w:rFonts w:ascii="Cambria Math" w:hAnsi="Cambria Math"/>
            <w:snapToGrid w:val="0"/>
            <w:sz w:val="24"/>
            <w:szCs w:val="24"/>
            <w:lang w:eastAsia="zh-CN"/>
          </w:rPr>
          <m:t>π</m:t>
        </m:r>
      </m:oMath>
      <w:r w:rsidRPr="00E67914">
        <w:rPr>
          <w:rFonts w:ascii="Times New Roman" w:hAnsi="Times New Roman"/>
          <w:sz w:val="24"/>
          <w:szCs w:val="24"/>
          <w:lang w:eastAsia="zh-CN"/>
        </w:rPr>
        <w:t>—</w:t>
      </w:r>
      <w:r w:rsidRPr="00E67914">
        <w:rPr>
          <w:rFonts w:ascii="Times New Roman" w:hAnsi="Times New Roman"/>
          <w:sz w:val="24"/>
          <w:szCs w:val="24"/>
          <w:lang w:eastAsia="zh-CN"/>
        </w:rPr>
        <w:t>圆周率。</w:t>
      </w:r>
    </w:p>
    <w:p w14:paraId="773AC7F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将本次预测所用模型转换形式后可得：</w:t>
      </w:r>
    </w:p>
    <w:p w14:paraId="25173D6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rPr>
      </w:pPr>
      <m:oMathPara>
        <m:oMath>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(x-ut)</m:t>
                  </m:r>
                </m:e>
                <m:sup>
                  <m:r>
                    <w:rPr>
                      <w:rFonts w:ascii="Cambria Math" w:hAnsi="Cambria Math"/>
                      <w:sz w:val="24"/>
                      <w:szCs w:val="24"/>
                    </w:rPr>
                    <m:t>2</m:t>
                  </m:r>
                </m:sup>
              </m:sSup>
            </m:num>
            <m:den>
              <m:r>
                <w:rPr>
                  <w:rFonts w:ascii="Cambria Math" w:hAnsi="Cambria Math"/>
                  <w:sz w:val="24"/>
                  <w:szCs w:val="24"/>
                </w:rPr>
                <m:t>4</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r>
                <w:rPr>
                  <w:rFonts w:ascii="Cambria Math" w:hAnsi="Cambria Math"/>
                  <w:sz w:val="24"/>
                  <w:szCs w:val="24"/>
                </w:rPr>
                <m:t>t</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num>
            <m:den>
              <m:r>
                <w:rPr>
                  <w:rFonts w:ascii="Cambria Math" w:hAnsi="Cambria Math"/>
                  <w:sz w:val="24"/>
                  <w:szCs w:val="24"/>
                </w:rPr>
                <m:t>4</m:t>
              </m:r>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T</m:t>
                  </m:r>
                </m:sub>
              </m:sSub>
              <m:r>
                <w:rPr>
                  <w:rFonts w:ascii="Cambria Math" w:hAnsi="Cambria Math"/>
                  <w:sz w:val="24"/>
                  <w:szCs w:val="24"/>
                </w:rPr>
                <m:t>t</m:t>
              </m:r>
            </m:den>
          </m:f>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ln</m:t>
              </m:r>
            </m:fName>
            <m:e>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sz w:val="24"/>
                              <w:szCs w:val="24"/>
                            </w:rPr>
                          </m:ctrlPr>
                        </m:sSubPr>
                        <m:e>
                          <m:r>
                            <m:rPr>
                              <m:sty m:val="p"/>
                            </m:rPr>
                            <w:rPr>
                              <w:rFonts w:ascii="Cambria Math" w:hAnsi="Cambria Math"/>
                              <w:sz w:val="24"/>
                              <w:szCs w:val="24"/>
                            </w:rPr>
                            <m:t>m</m:t>
                          </m:r>
                        </m:e>
                        <m:sub>
                          <m:r>
                            <w:rPr>
                              <w:rFonts w:ascii="Cambria Math" w:hAnsi="Cambria Math"/>
                              <w:sz w:val="24"/>
                              <w:szCs w:val="24"/>
                            </w:rPr>
                            <m:t>M</m:t>
                          </m:r>
                        </m:sub>
                      </m:sSub>
                    </m:num>
                    <m:den>
                      <m:r>
                        <w:rPr>
                          <w:rFonts w:ascii="Cambria Math" w:hAnsi="Cambria Math"/>
                          <w:sz w:val="24"/>
                          <w:szCs w:val="24"/>
                        </w:rPr>
                        <m:t>4πnM</m:t>
                      </m:r>
                      <m:r>
                        <m:rPr>
                          <m:sty m:val="p"/>
                        </m:rPr>
                        <w:rPr>
                          <w:rFonts w:ascii="Cambria Math" w:hAnsi="Cambria Math"/>
                          <w:sz w:val="24"/>
                          <w:szCs w:val="24"/>
                        </w:rPr>
                        <m:t>C</m:t>
                      </m:r>
                      <m:d>
                        <m:dPr>
                          <m:begChr m:val="（"/>
                          <m:endChr m:val="）"/>
                          <m:ctrlPr>
                            <w:rPr>
                              <w:rFonts w:ascii="Cambria Math" w:hAnsi="Cambria Math"/>
                              <w:sz w:val="24"/>
                              <w:szCs w:val="24"/>
                            </w:rPr>
                          </m:ctrlPr>
                        </m:dPr>
                        <m:e>
                          <m:r>
                            <w:rPr>
                              <w:rFonts w:ascii="Cambria Math" w:hAnsi="Cambria Math"/>
                              <w:sz w:val="24"/>
                              <w:szCs w:val="24"/>
                            </w:rPr>
                            <m:t>x</m:t>
                          </m:r>
                          <m:r>
                            <w:rPr>
                              <w:rFonts w:ascii="Cambria Math" w:hAnsi="Cambria Math"/>
                              <w:sz w:val="24"/>
                              <w:szCs w:val="24"/>
                            </w:rPr>
                            <m:t>，</m:t>
                          </m:r>
                          <m:r>
                            <w:rPr>
                              <w:rFonts w:ascii="Cambria Math" w:hAnsi="Cambria Math"/>
                              <w:sz w:val="24"/>
                              <w:szCs w:val="24"/>
                            </w:rPr>
                            <m:t>y</m:t>
                          </m:r>
                          <m:r>
                            <w:rPr>
                              <w:rFonts w:ascii="Cambria Math" w:hAnsi="Cambria Math"/>
                              <w:sz w:val="24"/>
                              <w:szCs w:val="24"/>
                            </w:rPr>
                            <m:t>，</m:t>
                          </m:r>
                          <m:r>
                            <w:rPr>
                              <w:rFonts w:ascii="Cambria Math" w:hAnsi="Cambria Math"/>
                              <w:sz w:val="24"/>
                              <w:szCs w:val="24"/>
                            </w:rPr>
                            <m:t>t</m:t>
                          </m:r>
                        </m:e>
                      </m:d>
                      <m:rad>
                        <m:radPr>
                          <m:degHide m:val="1"/>
                          <m:ctrlPr>
                            <w:rPr>
                              <w:rFonts w:ascii="Cambria Math" w:hAnsi="Cambria Math"/>
                              <w:i/>
                              <w:sz w:val="24"/>
                              <w:szCs w:val="24"/>
                            </w:rPr>
                          </m:ctrlPr>
                        </m:radPr>
                        <m:deg/>
                        <m:e>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L</m:t>
                              </m:r>
                            </m:sub>
                          </m:sSub>
                          <m:sSub>
                            <m:sSubPr>
                              <m:ctrlPr>
                                <w:rPr>
                                  <w:rFonts w:ascii="Cambria Math" w:hAnsi="Cambria Math"/>
                                  <w:i/>
                                  <w:sz w:val="24"/>
                                  <w:szCs w:val="24"/>
                                </w:rPr>
                              </m:ctrlPr>
                            </m:sSubPr>
                            <m:e>
                              <m:r>
                                <w:rPr>
                                  <w:rFonts w:ascii="Cambria Math" w:hAnsi="Cambria Math"/>
                                  <w:sz w:val="24"/>
                                  <w:szCs w:val="24"/>
                                </w:rPr>
                                <m:t>D</m:t>
                              </m:r>
                            </m:e>
                            <m:sub>
                              <m:r>
                                <w:rPr>
                                  <w:rFonts w:ascii="Cambria Math" w:hAnsi="Cambria Math"/>
                                  <w:sz w:val="24"/>
                                  <w:szCs w:val="24"/>
                                </w:rPr>
                                <m:t>T</m:t>
                              </m:r>
                            </m:sub>
                          </m:sSub>
                        </m:e>
                      </m:rad>
                      <m:r>
                        <w:rPr>
                          <w:rFonts w:ascii="Cambria Math" w:hAnsi="Cambria Math"/>
                          <w:sz w:val="24"/>
                          <w:szCs w:val="24"/>
                        </w:rPr>
                        <m:t>t</m:t>
                      </m:r>
                    </m:den>
                  </m:f>
                </m:e>
              </m:d>
            </m:e>
          </m:func>
        </m:oMath>
      </m:oMathPara>
    </w:p>
    <w:p w14:paraId="6923F9D6"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从上式可以看出，当污染物排放量一定，排放时间一定时，同一浓度等值线为一椭圆。同时从该式可知，仅当右式大于</w:t>
      </w:r>
      <w:r w:rsidRPr="00E67914">
        <w:rPr>
          <w:rFonts w:ascii="Times New Roman" w:hAnsi="Times New Roman"/>
          <w:sz w:val="24"/>
          <w:szCs w:val="24"/>
          <w:lang w:eastAsia="zh-CN"/>
        </w:rPr>
        <w:t>0</w:t>
      </w:r>
      <w:r w:rsidRPr="00E67914">
        <w:rPr>
          <w:rFonts w:ascii="Times New Roman" w:hAnsi="Times New Roman"/>
          <w:sz w:val="24"/>
          <w:szCs w:val="24"/>
          <w:lang w:eastAsia="zh-CN"/>
        </w:rPr>
        <w:t>时，该式才有意义。</w:t>
      </w:r>
    </w:p>
    <w:p w14:paraId="2434658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本次预测所用模型需要的参数有：含水层厚度</w:t>
      </w:r>
      <w:r w:rsidRPr="00E67914">
        <w:rPr>
          <w:rFonts w:ascii="Times New Roman" w:hAnsi="Times New Roman"/>
          <w:sz w:val="24"/>
          <w:szCs w:val="24"/>
          <w:lang w:eastAsia="zh-CN"/>
        </w:rPr>
        <w:t>M</w:t>
      </w:r>
      <w:r w:rsidRPr="00E67914">
        <w:rPr>
          <w:rFonts w:ascii="Times New Roman" w:hAnsi="Times New Roman"/>
          <w:sz w:val="24"/>
          <w:szCs w:val="24"/>
          <w:lang w:eastAsia="zh-CN"/>
        </w:rPr>
        <w:t>；外泄污染物质量</w:t>
      </w:r>
      <w:r w:rsidRPr="00E67914">
        <w:rPr>
          <w:rFonts w:ascii="Times New Roman" w:hAnsi="Times New Roman"/>
          <w:sz w:val="24"/>
          <w:szCs w:val="24"/>
          <w:lang w:eastAsia="zh-CN"/>
        </w:rPr>
        <w:t>m</w:t>
      </w:r>
      <w:r w:rsidRPr="00E67914">
        <w:rPr>
          <w:rFonts w:ascii="Times New Roman" w:hAnsi="Times New Roman"/>
          <w:sz w:val="24"/>
          <w:szCs w:val="24"/>
          <w:vertAlign w:val="subscript"/>
          <w:lang w:eastAsia="zh-CN"/>
        </w:rPr>
        <w:t>M</w:t>
      </w:r>
      <w:r w:rsidRPr="00E67914">
        <w:rPr>
          <w:rFonts w:ascii="Times New Roman" w:hAnsi="Times New Roman"/>
          <w:sz w:val="24"/>
          <w:szCs w:val="24"/>
          <w:lang w:eastAsia="zh-CN"/>
        </w:rPr>
        <w:t>；岩层的有效孔隙度</w:t>
      </w:r>
      <w:r w:rsidRPr="00E67914">
        <w:rPr>
          <w:rFonts w:ascii="Times New Roman" w:hAnsi="Times New Roman"/>
          <w:sz w:val="24"/>
          <w:szCs w:val="24"/>
          <w:lang w:eastAsia="zh-CN"/>
        </w:rPr>
        <w:t>n</w:t>
      </w:r>
      <w:r w:rsidRPr="00E67914">
        <w:rPr>
          <w:rFonts w:ascii="Times New Roman" w:hAnsi="Times New Roman"/>
          <w:sz w:val="24"/>
          <w:szCs w:val="24"/>
          <w:lang w:eastAsia="zh-CN"/>
        </w:rPr>
        <w:t>；水流速度</w:t>
      </w:r>
      <w:r w:rsidRPr="00E67914">
        <w:rPr>
          <w:rFonts w:ascii="Times New Roman" w:hAnsi="Times New Roman"/>
          <w:sz w:val="24"/>
          <w:szCs w:val="24"/>
          <w:lang w:eastAsia="zh-CN"/>
        </w:rPr>
        <w:t>u</w:t>
      </w:r>
      <w:r w:rsidRPr="00E67914">
        <w:rPr>
          <w:rFonts w:ascii="Times New Roman" w:hAnsi="Times New Roman"/>
          <w:sz w:val="24"/>
          <w:szCs w:val="24"/>
          <w:lang w:eastAsia="zh-CN"/>
        </w:rPr>
        <w:t>；污染物纵向弥散系数</w:t>
      </w:r>
      <w:r w:rsidRPr="00E67914">
        <w:rPr>
          <w:rFonts w:ascii="Times New Roman" w:hAnsi="Times New Roman"/>
          <w:sz w:val="24"/>
          <w:szCs w:val="24"/>
          <w:lang w:eastAsia="zh-CN"/>
        </w:rPr>
        <w:t>D</w:t>
      </w:r>
      <w:r w:rsidRPr="00E67914">
        <w:rPr>
          <w:rFonts w:ascii="Times New Roman" w:hAnsi="Times New Roman"/>
          <w:sz w:val="24"/>
          <w:szCs w:val="24"/>
          <w:vertAlign w:val="subscript"/>
          <w:lang w:eastAsia="zh-CN"/>
        </w:rPr>
        <w:t>L</w:t>
      </w:r>
      <w:r w:rsidRPr="00E67914">
        <w:rPr>
          <w:rFonts w:ascii="Times New Roman" w:hAnsi="Times New Roman"/>
          <w:sz w:val="24"/>
          <w:szCs w:val="24"/>
          <w:lang w:eastAsia="zh-CN"/>
        </w:rPr>
        <w:t>；污染物横向弥散系数</w:t>
      </w:r>
      <w:r w:rsidRPr="00E67914">
        <w:rPr>
          <w:rFonts w:ascii="Times New Roman" w:hAnsi="Times New Roman"/>
          <w:sz w:val="24"/>
          <w:szCs w:val="24"/>
          <w:lang w:eastAsia="zh-CN"/>
        </w:rPr>
        <w:t>D</w:t>
      </w:r>
      <w:r w:rsidRPr="00E67914">
        <w:rPr>
          <w:rFonts w:ascii="Times New Roman" w:hAnsi="Times New Roman"/>
          <w:sz w:val="24"/>
          <w:szCs w:val="24"/>
          <w:vertAlign w:val="subscript"/>
          <w:lang w:eastAsia="zh-CN"/>
        </w:rPr>
        <w:t>T</w:t>
      </w:r>
      <w:r w:rsidRPr="00E67914">
        <w:rPr>
          <w:rFonts w:ascii="Times New Roman" w:hAnsi="Times New Roman"/>
          <w:sz w:val="24"/>
          <w:szCs w:val="24"/>
          <w:lang w:eastAsia="zh-CN"/>
        </w:rPr>
        <w:t>。这些参数主要由本次工作的调查资料以及类比区最新的勘察成果资料来确定。</w:t>
      </w:r>
    </w:p>
    <w:p w14:paraId="0927BD45" w14:textId="77777777" w:rsidR="00A54A8A" w:rsidRPr="00E67914" w:rsidRDefault="00000000">
      <w:pPr>
        <w:adjustRightInd w:val="0"/>
        <w:snapToGrid w:val="0"/>
        <w:spacing w:line="360" w:lineRule="auto"/>
        <w:ind w:firstLineChars="200" w:firstLine="482"/>
        <w:jc w:val="both"/>
        <w:rPr>
          <w:rFonts w:ascii="Times New Roman" w:hAnsi="Times New Roman"/>
          <w:b/>
          <w:bCs/>
          <w:snapToGrid w:val="0"/>
          <w:sz w:val="24"/>
          <w:szCs w:val="24"/>
          <w:lang w:eastAsia="zh-CN"/>
        </w:rPr>
      </w:pPr>
      <w:r w:rsidRPr="00E67914">
        <w:rPr>
          <w:rFonts w:ascii="Times New Roman" w:hAnsi="Times New Roman"/>
          <w:b/>
          <w:bCs/>
          <w:snapToGrid w:val="0"/>
          <w:sz w:val="24"/>
          <w:szCs w:val="24"/>
          <w:lang w:eastAsia="zh-CN"/>
        </w:rPr>
        <w:t>（</w:t>
      </w:r>
      <w:r w:rsidRPr="00E67914">
        <w:rPr>
          <w:rFonts w:ascii="Times New Roman" w:hAnsi="Times New Roman"/>
          <w:b/>
          <w:bCs/>
          <w:snapToGrid w:val="0"/>
          <w:sz w:val="24"/>
          <w:szCs w:val="24"/>
          <w:lang w:eastAsia="zh-CN"/>
        </w:rPr>
        <w:t>2</w:t>
      </w:r>
      <w:r w:rsidRPr="00E67914">
        <w:rPr>
          <w:rFonts w:ascii="Times New Roman" w:hAnsi="Times New Roman"/>
          <w:b/>
          <w:bCs/>
          <w:snapToGrid w:val="0"/>
          <w:sz w:val="24"/>
          <w:szCs w:val="24"/>
          <w:lang w:eastAsia="zh-CN"/>
        </w:rPr>
        <w:t>）模型参数选取</w:t>
      </w:r>
    </w:p>
    <w:p w14:paraId="5494AFA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含水层厚度</w:t>
      </w:r>
      <w:r w:rsidRPr="00E67914">
        <w:rPr>
          <w:rFonts w:ascii="Times New Roman" w:hAnsi="Times New Roman"/>
          <w:sz w:val="24"/>
          <w:szCs w:val="24"/>
          <w:lang w:eastAsia="zh-CN"/>
        </w:rPr>
        <w:t>M</w:t>
      </w:r>
      <w:r w:rsidRPr="00E67914">
        <w:rPr>
          <w:rFonts w:ascii="Times New Roman" w:hAnsi="Times New Roman"/>
          <w:sz w:val="24"/>
          <w:szCs w:val="24"/>
          <w:lang w:eastAsia="zh-CN"/>
        </w:rPr>
        <w:t>：本区域含水层厚度为</w:t>
      </w:r>
      <w:r w:rsidRPr="00E67914">
        <w:rPr>
          <w:rFonts w:ascii="Times New Roman" w:hAnsi="Times New Roman"/>
          <w:sz w:val="24"/>
          <w:szCs w:val="24"/>
          <w:lang w:eastAsia="zh-CN"/>
        </w:rPr>
        <w:t>20</w:t>
      </w:r>
      <w:r w:rsidRPr="00E67914">
        <w:rPr>
          <w:rFonts w:ascii="Times New Roman" w:hAnsi="Times New Roman"/>
          <w:sz w:val="24"/>
          <w:szCs w:val="24"/>
          <w:lang w:eastAsia="zh-CN"/>
        </w:rPr>
        <w:t>～</w:t>
      </w:r>
      <w:r w:rsidRPr="00E67914">
        <w:rPr>
          <w:rFonts w:ascii="Times New Roman" w:hAnsi="Times New Roman"/>
          <w:sz w:val="24"/>
          <w:szCs w:val="24"/>
          <w:lang w:eastAsia="zh-CN"/>
        </w:rPr>
        <w:t>30m</w:t>
      </w:r>
      <w:r w:rsidRPr="00E67914">
        <w:rPr>
          <w:rFonts w:ascii="Times New Roman" w:hAnsi="Times New Roman"/>
          <w:sz w:val="24"/>
          <w:szCs w:val="24"/>
          <w:lang w:eastAsia="zh-CN"/>
        </w:rPr>
        <w:t>，本次取</w:t>
      </w:r>
      <w:r w:rsidRPr="00E67914">
        <w:rPr>
          <w:rFonts w:ascii="Times New Roman" w:hAnsi="Times New Roman"/>
          <w:sz w:val="24"/>
          <w:szCs w:val="24"/>
          <w:lang w:eastAsia="zh-CN"/>
        </w:rPr>
        <w:t>30m</w:t>
      </w:r>
      <w:r w:rsidRPr="00E67914">
        <w:rPr>
          <w:rFonts w:ascii="Times New Roman" w:hAnsi="Times New Roman"/>
          <w:sz w:val="24"/>
          <w:szCs w:val="24"/>
          <w:lang w:eastAsia="zh-CN"/>
        </w:rPr>
        <w:t>。</w:t>
      </w:r>
    </w:p>
    <w:p w14:paraId="672333E4" w14:textId="5C0AF4EB"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瞬时注入的示踪剂质量</w:t>
      </w:r>
      <w:r w:rsidRPr="00E67914">
        <w:rPr>
          <w:rFonts w:ascii="Times New Roman" w:hAnsi="Times New Roman"/>
          <w:sz w:val="24"/>
          <w:szCs w:val="24"/>
          <w:lang w:eastAsia="zh-CN"/>
        </w:rPr>
        <w:t>m</w:t>
      </w:r>
      <w:r w:rsidRPr="00E67914">
        <w:rPr>
          <w:rFonts w:ascii="Times New Roman" w:hAnsi="Times New Roman"/>
          <w:sz w:val="24"/>
          <w:szCs w:val="24"/>
          <w:vertAlign w:val="subscript"/>
          <w:lang w:eastAsia="zh-CN"/>
        </w:rPr>
        <w:t>M</w:t>
      </w:r>
      <w:r w:rsidRPr="00E67914">
        <w:rPr>
          <w:rFonts w:ascii="Times New Roman" w:hAnsi="Times New Roman"/>
          <w:sz w:val="24"/>
          <w:szCs w:val="24"/>
          <w:lang w:eastAsia="zh-CN"/>
        </w:rPr>
        <w:t>：项目在压裂过程井筒破裂发生渗透性漏失、</w:t>
      </w:r>
      <w:r w:rsidR="00CC2D4A" w:rsidRPr="00E67914">
        <w:rPr>
          <w:rFonts w:ascii="Times New Roman" w:hAnsi="Times New Roman"/>
          <w:sz w:val="24"/>
          <w:szCs w:val="24"/>
          <w:lang w:eastAsia="zh-CN"/>
        </w:rPr>
        <w:t>放喷池</w:t>
      </w:r>
      <w:r w:rsidRPr="00E67914">
        <w:rPr>
          <w:rFonts w:ascii="Times New Roman" w:hAnsi="Times New Roman"/>
          <w:sz w:val="24"/>
          <w:szCs w:val="24"/>
          <w:lang w:eastAsia="zh-CN"/>
        </w:rPr>
        <w:t>泄漏，最大漏失量进行最不利计算，选取污染物特征因子石油类、</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、氯化物。</w:t>
      </w:r>
    </w:p>
    <w:p w14:paraId="4C8AA1B2"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lastRenderedPageBreak/>
        <w:t>③</w:t>
      </w:r>
      <w:r w:rsidRPr="00E67914">
        <w:rPr>
          <w:rFonts w:ascii="Times New Roman" w:hAnsi="Times New Roman"/>
          <w:sz w:val="24"/>
          <w:szCs w:val="24"/>
          <w:lang w:eastAsia="zh-CN"/>
        </w:rPr>
        <w:t>含水层的平均有效孔隙度</w:t>
      </w:r>
      <w:r w:rsidRPr="00E67914">
        <w:rPr>
          <w:rFonts w:ascii="Times New Roman" w:hAnsi="Times New Roman"/>
          <w:sz w:val="24"/>
          <w:szCs w:val="24"/>
          <w:lang w:eastAsia="zh-CN"/>
        </w:rPr>
        <w:t>n</w:t>
      </w:r>
      <w:r w:rsidRPr="00E67914">
        <w:rPr>
          <w:rFonts w:ascii="Times New Roman" w:hAnsi="Times New Roman"/>
          <w:sz w:val="24"/>
          <w:szCs w:val="24"/>
          <w:lang w:eastAsia="zh-CN"/>
        </w:rPr>
        <w:t>：地下水含水层岩性以紫红色泥岩、粉砂质泥岩与厚至块状细粒长石石英砂岩互层为主，参考弗里泽孔隙度与岩石粒度近似关系范围并适当修正，有效孔隙度取</w:t>
      </w:r>
      <w:r w:rsidRPr="00E67914">
        <w:rPr>
          <w:rFonts w:ascii="Times New Roman" w:hAnsi="Times New Roman"/>
          <w:sz w:val="24"/>
          <w:szCs w:val="24"/>
          <w:lang w:eastAsia="zh-CN"/>
        </w:rPr>
        <w:t>0.1</w:t>
      </w:r>
      <w:r w:rsidRPr="00E67914">
        <w:rPr>
          <w:rFonts w:ascii="Times New Roman" w:hAnsi="Times New Roman"/>
          <w:sz w:val="24"/>
          <w:szCs w:val="24"/>
          <w:lang w:eastAsia="zh-CN"/>
        </w:rPr>
        <w:t>。</w:t>
      </w:r>
    </w:p>
    <w:p w14:paraId="7D6A0AC5" w14:textId="06284EDB"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④</w:t>
      </w:r>
      <w:r w:rsidRPr="00E67914">
        <w:rPr>
          <w:rFonts w:ascii="Times New Roman" w:hAnsi="Times New Roman"/>
          <w:sz w:val="24"/>
          <w:szCs w:val="24"/>
          <w:lang w:eastAsia="zh-CN"/>
        </w:rPr>
        <w:t>水流速度</w:t>
      </w:r>
      <w:r w:rsidRPr="00E67914">
        <w:rPr>
          <w:rFonts w:ascii="Times New Roman" w:hAnsi="Times New Roman"/>
          <w:sz w:val="24"/>
          <w:szCs w:val="24"/>
          <w:lang w:eastAsia="zh-CN"/>
        </w:rPr>
        <w:t>u</w:t>
      </w:r>
      <w:r w:rsidRPr="00E67914">
        <w:rPr>
          <w:rFonts w:ascii="Times New Roman" w:hAnsi="Times New Roman"/>
          <w:sz w:val="24"/>
          <w:szCs w:val="24"/>
          <w:lang w:eastAsia="zh-CN"/>
        </w:rPr>
        <w:t>：评价区地下水含水层岩性为砂砾岩，本评价渗透系数取值</w:t>
      </w:r>
      <w:r w:rsidRPr="00E67914">
        <w:rPr>
          <w:rFonts w:ascii="Times New Roman" w:hAnsi="Times New Roman"/>
          <w:sz w:val="24"/>
          <w:szCs w:val="24"/>
          <w:lang w:eastAsia="zh-CN"/>
        </w:rPr>
        <w:t>0.1028m/d</w:t>
      </w:r>
      <w:r w:rsidRPr="00E67914">
        <w:rPr>
          <w:rFonts w:ascii="Times New Roman" w:hAnsi="Times New Roman"/>
          <w:sz w:val="24"/>
          <w:szCs w:val="24"/>
          <w:lang w:eastAsia="zh-CN"/>
        </w:rPr>
        <w:t>，水力坡度约为</w:t>
      </w:r>
      <w:r w:rsidRPr="00E67914">
        <w:rPr>
          <w:rFonts w:ascii="Times New Roman" w:hAnsi="Times New Roman"/>
          <w:sz w:val="24"/>
          <w:szCs w:val="24"/>
          <w:lang w:eastAsia="zh-CN"/>
        </w:rPr>
        <w:t>0.1</w:t>
      </w:r>
      <w:r w:rsidR="006D452F" w:rsidRPr="00E67914">
        <w:rPr>
          <w:rFonts w:ascii="Times New Roman" w:hAnsi="Times New Roman"/>
          <w:sz w:val="24"/>
          <w:szCs w:val="24"/>
          <w:lang w:eastAsia="zh-CN"/>
        </w:rPr>
        <w:t>5</w:t>
      </w:r>
      <w:r w:rsidRPr="00E67914">
        <w:rPr>
          <w:rFonts w:ascii="Times New Roman" w:hAnsi="Times New Roman"/>
          <w:sz w:val="24"/>
          <w:szCs w:val="24"/>
          <w:lang w:eastAsia="zh-CN"/>
        </w:rPr>
        <w:t>，因此地下水的渗流速度</w:t>
      </w:r>
      <w:r w:rsidRPr="00E67914">
        <w:rPr>
          <w:rFonts w:ascii="Times New Roman" w:hAnsi="Times New Roman"/>
          <w:sz w:val="24"/>
          <w:szCs w:val="24"/>
          <w:lang w:eastAsia="zh-CN"/>
        </w:rPr>
        <w:t>v=KI=0.01</w:t>
      </w:r>
      <w:r w:rsidR="006D452F" w:rsidRPr="00E67914">
        <w:rPr>
          <w:rFonts w:ascii="Times New Roman" w:hAnsi="Times New Roman"/>
          <w:sz w:val="24"/>
          <w:szCs w:val="24"/>
          <w:lang w:eastAsia="zh-CN"/>
        </w:rPr>
        <w:t>5</w:t>
      </w:r>
      <w:r w:rsidRPr="00E67914">
        <w:rPr>
          <w:rFonts w:ascii="Times New Roman" w:hAnsi="Times New Roman"/>
          <w:sz w:val="24"/>
          <w:szCs w:val="24"/>
          <w:lang w:eastAsia="zh-CN"/>
        </w:rPr>
        <w:t>m/d</w:t>
      </w:r>
      <w:r w:rsidRPr="00E67914">
        <w:rPr>
          <w:rFonts w:ascii="Times New Roman" w:hAnsi="Times New Roman"/>
          <w:sz w:val="24"/>
          <w:szCs w:val="24"/>
          <w:lang w:eastAsia="zh-CN"/>
        </w:rPr>
        <w:t>，水流速度取实际流速</w:t>
      </w:r>
      <w:r w:rsidRPr="00E67914">
        <w:rPr>
          <w:rFonts w:ascii="Times New Roman" w:hAnsi="Times New Roman"/>
          <w:sz w:val="24"/>
          <w:szCs w:val="24"/>
          <w:lang w:eastAsia="zh-CN"/>
        </w:rPr>
        <w:t>u=v/n=0.</w:t>
      </w:r>
      <w:r w:rsidR="006D452F" w:rsidRPr="00E67914">
        <w:rPr>
          <w:rFonts w:ascii="Times New Roman" w:hAnsi="Times New Roman"/>
          <w:sz w:val="24"/>
          <w:szCs w:val="24"/>
          <w:lang w:eastAsia="zh-CN"/>
        </w:rPr>
        <w:t>15</w:t>
      </w:r>
      <w:r w:rsidRPr="00E67914">
        <w:rPr>
          <w:rFonts w:ascii="Times New Roman" w:hAnsi="Times New Roman"/>
          <w:sz w:val="24"/>
          <w:szCs w:val="24"/>
          <w:lang w:eastAsia="zh-CN"/>
        </w:rPr>
        <w:t>m/d</w:t>
      </w:r>
      <w:r w:rsidRPr="00E67914">
        <w:rPr>
          <w:rFonts w:ascii="Times New Roman" w:hAnsi="Times New Roman"/>
          <w:sz w:val="24"/>
          <w:szCs w:val="24"/>
          <w:lang w:eastAsia="zh-CN"/>
        </w:rPr>
        <w:t>。</w:t>
      </w:r>
    </w:p>
    <w:p w14:paraId="682C10FD" w14:textId="697F0114"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⑤</w:t>
      </w:r>
      <w:r w:rsidRPr="00E67914">
        <w:rPr>
          <w:rFonts w:ascii="Times New Roman" w:hAnsi="Times New Roman"/>
          <w:sz w:val="24"/>
          <w:szCs w:val="24"/>
          <w:lang w:eastAsia="zh-CN"/>
        </w:rPr>
        <w:t>纵向</w:t>
      </w:r>
      <w:r w:rsidRPr="00E67914">
        <w:rPr>
          <w:rFonts w:ascii="Times New Roman" w:hAnsi="Times New Roman"/>
          <w:sz w:val="24"/>
          <w:szCs w:val="24"/>
          <w:lang w:eastAsia="zh-CN"/>
        </w:rPr>
        <w:t>x</w:t>
      </w:r>
      <w:r w:rsidRPr="00E67914">
        <w:rPr>
          <w:rFonts w:ascii="Times New Roman" w:hAnsi="Times New Roman"/>
          <w:sz w:val="24"/>
          <w:szCs w:val="24"/>
          <w:lang w:eastAsia="zh-CN"/>
        </w:rPr>
        <w:t>方向的弥散系数</w:t>
      </w:r>
      <w:r w:rsidRPr="00E67914">
        <w:rPr>
          <w:rFonts w:ascii="Times New Roman" w:hAnsi="Times New Roman"/>
          <w:sz w:val="24"/>
          <w:szCs w:val="24"/>
          <w:lang w:eastAsia="zh-CN"/>
        </w:rPr>
        <w:t>D</w:t>
      </w:r>
      <w:r w:rsidRPr="00E67914">
        <w:rPr>
          <w:rFonts w:ascii="Times New Roman" w:hAnsi="Times New Roman"/>
          <w:sz w:val="24"/>
          <w:szCs w:val="24"/>
          <w:vertAlign w:val="subscript"/>
          <w:lang w:eastAsia="zh-CN"/>
        </w:rPr>
        <w:t>L</w:t>
      </w:r>
      <w:r w:rsidRPr="00E67914">
        <w:rPr>
          <w:rFonts w:ascii="Times New Roman" w:hAnsi="Times New Roman"/>
          <w:sz w:val="24"/>
          <w:szCs w:val="24"/>
          <w:lang w:eastAsia="zh-CN"/>
        </w:rPr>
        <w:t>：参考</w:t>
      </w:r>
      <w:r w:rsidRPr="00E67914">
        <w:rPr>
          <w:rFonts w:ascii="Times New Roman" w:hAnsi="Times New Roman"/>
          <w:sz w:val="24"/>
          <w:szCs w:val="24"/>
          <w:lang w:eastAsia="zh-CN"/>
        </w:rPr>
        <w:t>Gelhar</w:t>
      </w:r>
      <w:r w:rsidRPr="00E67914">
        <w:rPr>
          <w:rFonts w:ascii="Times New Roman" w:hAnsi="Times New Roman"/>
          <w:sz w:val="24"/>
          <w:szCs w:val="24"/>
          <w:lang w:eastAsia="zh-CN"/>
        </w:rPr>
        <w:t>等人关于纵向弥散度与观测尺度关系的理论，根据本次污染场地的研究尺度，模型计算中纵向弥散度选用</w:t>
      </w:r>
      <w:r w:rsidRPr="00E67914">
        <w:rPr>
          <w:rFonts w:ascii="Times New Roman" w:hAnsi="Times New Roman"/>
          <w:sz w:val="24"/>
          <w:szCs w:val="24"/>
          <w:lang w:eastAsia="zh-CN"/>
        </w:rPr>
        <w:t>10.0m</w:t>
      </w:r>
      <w:r w:rsidRPr="00E67914">
        <w:rPr>
          <w:rFonts w:ascii="Times New Roman" w:hAnsi="Times New Roman"/>
          <w:sz w:val="24"/>
          <w:szCs w:val="24"/>
          <w:lang w:eastAsia="zh-CN"/>
        </w:rPr>
        <w:t>。由此计算评估区含水层中的纵向弥散系数：</w:t>
      </w:r>
      <w:r w:rsidRPr="00E67914">
        <w:rPr>
          <w:rFonts w:ascii="Times New Roman" w:hAnsi="Times New Roman"/>
          <w:sz w:val="24"/>
          <w:szCs w:val="24"/>
          <w:lang w:eastAsia="zh-CN"/>
        </w:rPr>
        <w:t>D</w:t>
      </w:r>
      <w:r w:rsidRPr="00E67914">
        <w:rPr>
          <w:rFonts w:ascii="Times New Roman" w:hAnsi="Times New Roman"/>
          <w:sz w:val="24"/>
          <w:szCs w:val="24"/>
          <w:vertAlign w:val="subscript"/>
          <w:lang w:eastAsia="zh-CN"/>
        </w:rPr>
        <w:t>L</w:t>
      </w:r>
      <w:r w:rsidRPr="00E67914">
        <w:rPr>
          <w:rFonts w:ascii="Times New Roman" w:hAnsi="Times New Roman"/>
          <w:sz w:val="24"/>
          <w:szCs w:val="24"/>
          <w:lang w:eastAsia="zh-CN"/>
        </w:rPr>
        <w:t>=</w:t>
      </w:r>
      <w:r w:rsidRPr="00E67914">
        <w:rPr>
          <w:rFonts w:ascii="Times New Roman" w:hAnsi="Times New Roman"/>
          <w:sz w:val="24"/>
          <w:szCs w:val="24"/>
        </w:rPr>
        <w:t>α</w:t>
      </w:r>
      <w:r w:rsidRPr="00E67914">
        <w:rPr>
          <w:rFonts w:ascii="Times New Roman" w:hAnsi="Times New Roman"/>
          <w:sz w:val="24"/>
          <w:szCs w:val="24"/>
          <w:vertAlign w:val="subscript"/>
          <w:lang w:eastAsia="zh-CN"/>
        </w:rPr>
        <w:t>L</w:t>
      </w:r>
      <w:r w:rsidRPr="00E67914">
        <w:rPr>
          <w:rFonts w:ascii="Times New Roman" w:hAnsi="Times New Roman"/>
          <w:sz w:val="24"/>
          <w:szCs w:val="24"/>
          <w:lang w:eastAsia="zh-CN"/>
        </w:rPr>
        <w:t>×u=</w:t>
      </w:r>
      <w:r w:rsidR="006D452F" w:rsidRPr="00E67914">
        <w:rPr>
          <w:rFonts w:ascii="Times New Roman" w:hAnsi="Times New Roman"/>
          <w:sz w:val="24"/>
          <w:szCs w:val="24"/>
          <w:lang w:eastAsia="zh-CN"/>
        </w:rPr>
        <w:t>1.5</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/d</w:t>
      </w:r>
      <w:r w:rsidRPr="00E67914">
        <w:rPr>
          <w:rFonts w:ascii="Times New Roman" w:hAnsi="Times New Roman"/>
          <w:sz w:val="24"/>
          <w:szCs w:val="24"/>
          <w:lang w:eastAsia="zh-CN"/>
        </w:rPr>
        <w:t>。</w:t>
      </w:r>
    </w:p>
    <w:p w14:paraId="7D94A9A0" w14:textId="2496D7CA"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⑥</w:t>
      </w:r>
      <w:r w:rsidRPr="00E67914">
        <w:rPr>
          <w:rFonts w:ascii="Times New Roman" w:hAnsi="Times New Roman"/>
          <w:sz w:val="24"/>
          <w:szCs w:val="24"/>
          <w:lang w:eastAsia="zh-CN"/>
        </w:rPr>
        <w:t>横向</w:t>
      </w:r>
      <w:r w:rsidRPr="00E67914">
        <w:rPr>
          <w:rFonts w:ascii="Times New Roman" w:hAnsi="Times New Roman"/>
          <w:sz w:val="24"/>
          <w:szCs w:val="24"/>
          <w:lang w:eastAsia="zh-CN"/>
        </w:rPr>
        <w:t>y</w:t>
      </w:r>
      <w:r w:rsidRPr="00E67914">
        <w:rPr>
          <w:rFonts w:ascii="Times New Roman" w:hAnsi="Times New Roman"/>
          <w:sz w:val="24"/>
          <w:szCs w:val="24"/>
          <w:lang w:eastAsia="zh-CN"/>
        </w:rPr>
        <w:t>方向的弥散系数</w:t>
      </w:r>
      <w:r w:rsidRPr="00E67914">
        <w:rPr>
          <w:rFonts w:ascii="Times New Roman" w:hAnsi="Times New Roman"/>
          <w:sz w:val="24"/>
          <w:szCs w:val="24"/>
          <w:lang w:eastAsia="zh-CN"/>
        </w:rPr>
        <w:t>D</w:t>
      </w:r>
      <w:r w:rsidRPr="00E67914">
        <w:rPr>
          <w:rFonts w:ascii="Times New Roman" w:hAnsi="Times New Roman"/>
          <w:sz w:val="24"/>
          <w:szCs w:val="24"/>
          <w:vertAlign w:val="subscript"/>
          <w:lang w:eastAsia="zh-CN"/>
        </w:rPr>
        <w:t>T</w:t>
      </w:r>
      <w:r w:rsidRPr="00E67914">
        <w:rPr>
          <w:rFonts w:ascii="Times New Roman" w:hAnsi="Times New Roman"/>
          <w:sz w:val="24"/>
          <w:szCs w:val="24"/>
          <w:lang w:eastAsia="zh-CN"/>
        </w:rPr>
        <w:t>：根据经验一般</w:t>
      </w:r>
      <w:r w:rsidRPr="00E67914">
        <w:rPr>
          <w:rFonts w:ascii="Times New Roman" w:hAnsi="Times New Roman"/>
          <w:sz w:val="24"/>
          <w:szCs w:val="24"/>
          <w:lang w:eastAsia="zh-CN"/>
        </w:rPr>
        <w:t>D</w:t>
      </w:r>
      <w:r w:rsidRPr="00E67914">
        <w:rPr>
          <w:rFonts w:ascii="Times New Roman" w:hAnsi="Times New Roman"/>
          <w:sz w:val="24"/>
          <w:szCs w:val="24"/>
          <w:vertAlign w:val="subscript"/>
          <w:lang w:eastAsia="zh-CN"/>
        </w:rPr>
        <w:t>T</w:t>
      </w:r>
      <w:r w:rsidRPr="00E67914">
        <w:rPr>
          <w:rFonts w:ascii="Times New Roman" w:hAnsi="Times New Roman"/>
          <w:sz w:val="24"/>
          <w:szCs w:val="24"/>
          <w:lang w:eastAsia="zh-CN"/>
        </w:rPr>
        <w:t>:D</w:t>
      </w:r>
      <w:r w:rsidRPr="00E67914">
        <w:rPr>
          <w:rFonts w:ascii="Times New Roman" w:hAnsi="Times New Roman"/>
          <w:sz w:val="24"/>
          <w:szCs w:val="24"/>
          <w:vertAlign w:val="subscript"/>
          <w:lang w:eastAsia="zh-CN"/>
        </w:rPr>
        <w:t>L</w:t>
      </w:r>
      <w:r w:rsidRPr="00E67914">
        <w:rPr>
          <w:rFonts w:ascii="Times New Roman" w:hAnsi="Times New Roman"/>
          <w:sz w:val="24"/>
          <w:szCs w:val="24"/>
          <w:lang w:eastAsia="zh-CN"/>
        </w:rPr>
        <w:t>=0.1</w:t>
      </w:r>
      <w:r w:rsidRPr="00E67914">
        <w:rPr>
          <w:rFonts w:ascii="Times New Roman" w:hAnsi="Times New Roman"/>
          <w:sz w:val="24"/>
          <w:szCs w:val="24"/>
          <w:lang w:eastAsia="zh-CN"/>
        </w:rPr>
        <w:t>，因此</w:t>
      </w:r>
      <w:r w:rsidRPr="00E67914">
        <w:rPr>
          <w:rFonts w:ascii="Times New Roman" w:hAnsi="Times New Roman"/>
          <w:sz w:val="24"/>
          <w:szCs w:val="24"/>
          <w:lang w:eastAsia="zh-CN"/>
        </w:rPr>
        <w:t>D</w:t>
      </w:r>
      <w:r w:rsidRPr="00E67914">
        <w:rPr>
          <w:rFonts w:ascii="Times New Roman" w:hAnsi="Times New Roman"/>
          <w:sz w:val="24"/>
          <w:szCs w:val="24"/>
          <w:vertAlign w:val="subscript"/>
          <w:lang w:eastAsia="zh-CN"/>
        </w:rPr>
        <w:t>T</w:t>
      </w:r>
      <w:r w:rsidRPr="00E67914">
        <w:rPr>
          <w:rFonts w:ascii="Times New Roman" w:hAnsi="Times New Roman"/>
          <w:sz w:val="24"/>
          <w:szCs w:val="24"/>
          <w:lang w:eastAsia="zh-CN"/>
        </w:rPr>
        <w:t>取值</w:t>
      </w:r>
      <w:r w:rsidRPr="00E67914">
        <w:rPr>
          <w:rFonts w:ascii="Times New Roman" w:hAnsi="Times New Roman"/>
          <w:sz w:val="24"/>
          <w:szCs w:val="24"/>
          <w:lang w:eastAsia="zh-CN"/>
        </w:rPr>
        <w:t>0.1</w:t>
      </w:r>
      <w:r w:rsidR="006D452F" w:rsidRPr="00E67914">
        <w:rPr>
          <w:rFonts w:ascii="Times New Roman" w:hAnsi="Times New Roman"/>
          <w:sz w:val="24"/>
          <w:szCs w:val="24"/>
          <w:lang w:eastAsia="zh-CN"/>
        </w:rPr>
        <w:t>5</w:t>
      </w:r>
      <w:r w:rsidRPr="00E67914">
        <w:rPr>
          <w:rFonts w:ascii="Times New Roman" w:hAnsi="Times New Roman"/>
          <w:sz w:val="24"/>
          <w:szCs w:val="24"/>
          <w:lang w:eastAsia="zh-CN"/>
        </w:rPr>
        <w:t>m</w:t>
      </w:r>
      <w:r w:rsidRPr="00E67914">
        <w:rPr>
          <w:rFonts w:ascii="Times New Roman" w:hAnsi="Times New Roman"/>
          <w:sz w:val="24"/>
          <w:szCs w:val="24"/>
          <w:vertAlign w:val="superscript"/>
          <w:lang w:eastAsia="zh-CN"/>
        </w:rPr>
        <w:t>2</w:t>
      </w:r>
      <w:r w:rsidRPr="00E67914">
        <w:rPr>
          <w:rFonts w:ascii="Times New Roman" w:hAnsi="Times New Roman"/>
          <w:sz w:val="24"/>
          <w:szCs w:val="24"/>
          <w:lang w:eastAsia="zh-CN"/>
        </w:rPr>
        <w:t>/d</w:t>
      </w:r>
      <w:r w:rsidRPr="00E67914">
        <w:rPr>
          <w:rFonts w:ascii="Times New Roman" w:hAnsi="Times New Roman"/>
          <w:sz w:val="24"/>
          <w:szCs w:val="24"/>
          <w:lang w:eastAsia="zh-CN"/>
        </w:rPr>
        <w:t>。</w:t>
      </w:r>
    </w:p>
    <w:p w14:paraId="4B3C58A9" w14:textId="77777777" w:rsidR="00A54A8A" w:rsidRPr="00E67914" w:rsidRDefault="00000000">
      <w:pPr>
        <w:pStyle w:val="af"/>
        <w:adjustRightInd w:val="0"/>
        <w:snapToGrid w:val="0"/>
        <w:spacing w:before="0" w:line="360" w:lineRule="auto"/>
        <w:ind w:left="0" w:firstLineChars="200" w:firstLine="480"/>
        <w:jc w:val="both"/>
        <w:rPr>
          <w:rFonts w:ascii="Times New Roman" w:eastAsia="黑体" w:hAnsi="Times New Roman"/>
          <w:bCs/>
          <w:kern w:val="2"/>
          <w:lang w:eastAsia="zh-CN"/>
        </w:rPr>
      </w:pPr>
      <w:r w:rsidRPr="00E67914">
        <w:rPr>
          <w:rFonts w:ascii="Times New Roman" w:eastAsia="黑体" w:hAnsi="Times New Roman"/>
          <w:bCs/>
          <w:kern w:val="2"/>
          <w:lang w:eastAsia="zh-CN"/>
        </w:rPr>
        <w:t>3</w:t>
      </w:r>
      <w:r w:rsidRPr="00E67914">
        <w:rPr>
          <w:rFonts w:ascii="Times New Roman" w:eastAsia="黑体" w:hAnsi="Times New Roman"/>
          <w:bCs/>
          <w:kern w:val="2"/>
          <w:lang w:eastAsia="zh-CN"/>
        </w:rPr>
        <w:t>、影响预测</w:t>
      </w:r>
    </w:p>
    <w:p w14:paraId="652216D8"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1</w:t>
      </w:r>
      <w:r w:rsidRPr="00E67914">
        <w:rPr>
          <w:rFonts w:ascii="Times New Roman" w:hAnsi="Times New Roman"/>
          <w:b/>
          <w:kern w:val="2"/>
          <w:sz w:val="24"/>
          <w:szCs w:val="24"/>
          <w:lang w:eastAsia="zh-CN"/>
        </w:rPr>
        <w:t>）预测方法</w:t>
      </w:r>
    </w:p>
    <w:p w14:paraId="67D3594C"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地下水水文地质条件相对简单，污染物排放对地下水流场无影响，且基本的水位地质参数在项目建设至服务期满的过程中变化不大，同时该项目的地下水环境影响评价较难采用类比和趋势外延等经验方法，因此本次评价采用解析法进行预测。</w:t>
      </w:r>
    </w:p>
    <w:p w14:paraId="3215A9FA"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14:paraId="0426AED8"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地下水环境影响预测范围与调查评价范围一致，预测层位以潜水含水层为主。</w:t>
      </w:r>
    </w:p>
    <w:p w14:paraId="5B0E51D5"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2</w:t>
      </w:r>
      <w:r w:rsidRPr="00E67914">
        <w:rPr>
          <w:rFonts w:ascii="Times New Roman" w:hAnsi="Times New Roman"/>
          <w:b/>
          <w:kern w:val="2"/>
          <w:sz w:val="24"/>
          <w:szCs w:val="24"/>
          <w:lang w:eastAsia="zh-CN"/>
        </w:rPr>
        <w:t>）预测时段</w:t>
      </w:r>
    </w:p>
    <w:p w14:paraId="4F664F84"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地下水环境影响预测时段应选取可能产生地下水污染的关键时段，至少包括污染发生后</w:t>
      </w:r>
      <w:r w:rsidRPr="00E67914">
        <w:rPr>
          <w:rFonts w:ascii="Times New Roman" w:hAnsi="Times New Roman"/>
          <w:bCs/>
          <w:kern w:val="2"/>
          <w:sz w:val="24"/>
          <w:szCs w:val="24"/>
          <w:lang w:eastAsia="zh-CN"/>
        </w:rPr>
        <w:t>100d</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1000d</w:t>
      </w:r>
      <w:r w:rsidRPr="00E67914">
        <w:rPr>
          <w:rFonts w:ascii="Times New Roman" w:hAnsi="Times New Roman"/>
          <w:bCs/>
          <w:kern w:val="2"/>
          <w:sz w:val="24"/>
          <w:szCs w:val="24"/>
          <w:lang w:eastAsia="zh-CN"/>
        </w:rPr>
        <w:t>，服务年限或能反应特征因子迁移规律的其他重要时间节点。本项目为油气开发井钻采项目，对地下水的影响主要在项目的施工期，生产运行和服务期满后两个阶段对地下水的影响极小。</w:t>
      </w:r>
    </w:p>
    <w:p w14:paraId="23054D74"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因此，根据《环境影响评价技术导则</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地下水环境》（</w:t>
      </w:r>
      <w:r w:rsidRPr="00E67914">
        <w:rPr>
          <w:rFonts w:ascii="Times New Roman" w:hAnsi="Times New Roman"/>
          <w:bCs/>
          <w:kern w:val="2"/>
          <w:sz w:val="24"/>
          <w:szCs w:val="24"/>
          <w:lang w:eastAsia="zh-CN"/>
        </w:rPr>
        <w:t>HJ610-2016</w:t>
      </w:r>
      <w:r w:rsidRPr="00E67914">
        <w:rPr>
          <w:rFonts w:ascii="Times New Roman" w:hAnsi="Times New Roman"/>
          <w:bCs/>
          <w:kern w:val="2"/>
          <w:sz w:val="24"/>
          <w:szCs w:val="24"/>
          <w:lang w:eastAsia="zh-CN"/>
        </w:rPr>
        <w:t>）和项目施工期时长，将地下水环境影响预测时限定为</w:t>
      </w:r>
      <w:r w:rsidRPr="00E67914">
        <w:rPr>
          <w:rFonts w:ascii="Times New Roman" w:hAnsi="Times New Roman"/>
          <w:bCs/>
          <w:kern w:val="2"/>
          <w:sz w:val="24"/>
          <w:szCs w:val="24"/>
          <w:lang w:eastAsia="zh-CN"/>
        </w:rPr>
        <w:t>100</w:t>
      </w:r>
      <w:r w:rsidRPr="00E67914">
        <w:rPr>
          <w:rFonts w:ascii="Times New Roman" w:hAnsi="Times New Roman"/>
          <w:bCs/>
          <w:kern w:val="2"/>
          <w:sz w:val="24"/>
          <w:szCs w:val="24"/>
          <w:lang w:eastAsia="zh-CN"/>
        </w:rPr>
        <w:t>天、</w:t>
      </w:r>
      <w:r w:rsidRPr="00E67914">
        <w:rPr>
          <w:rFonts w:ascii="Times New Roman" w:hAnsi="Times New Roman"/>
          <w:bCs/>
          <w:kern w:val="2"/>
          <w:sz w:val="24"/>
          <w:szCs w:val="24"/>
          <w:lang w:eastAsia="zh-CN"/>
        </w:rPr>
        <w:t>365</w:t>
      </w:r>
      <w:r w:rsidRPr="00E67914">
        <w:rPr>
          <w:rFonts w:ascii="Times New Roman" w:hAnsi="Times New Roman"/>
          <w:bCs/>
          <w:kern w:val="2"/>
          <w:sz w:val="24"/>
          <w:szCs w:val="24"/>
          <w:lang w:eastAsia="zh-CN"/>
        </w:rPr>
        <w:t>天、</w:t>
      </w:r>
      <w:r w:rsidRPr="00E67914">
        <w:rPr>
          <w:rFonts w:ascii="Times New Roman" w:hAnsi="Times New Roman"/>
          <w:bCs/>
          <w:kern w:val="2"/>
          <w:sz w:val="24"/>
          <w:szCs w:val="24"/>
          <w:lang w:eastAsia="zh-CN"/>
        </w:rPr>
        <w:t>1000</w:t>
      </w:r>
      <w:r w:rsidRPr="00E67914">
        <w:rPr>
          <w:rFonts w:ascii="Times New Roman" w:hAnsi="Times New Roman"/>
          <w:bCs/>
          <w:kern w:val="2"/>
          <w:sz w:val="24"/>
          <w:szCs w:val="24"/>
          <w:lang w:eastAsia="zh-CN"/>
        </w:rPr>
        <w:t>天和</w:t>
      </w:r>
      <w:r w:rsidRPr="00E67914">
        <w:rPr>
          <w:rFonts w:ascii="Times New Roman" w:hAnsi="Times New Roman"/>
          <w:bCs/>
          <w:kern w:val="2"/>
          <w:sz w:val="24"/>
          <w:szCs w:val="24"/>
          <w:lang w:eastAsia="zh-CN"/>
        </w:rPr>
        <w:t>3650</w:t>
      </w:r>
      <w:r w:rsidRPr="00E67914">
        <w:rPr>
          <w:rFonts w:ascii="Times New Roman" w:hAnsi="Times New Roman"/>
          <w:bCs/>
          <w:kern w:val="2"/>
          <w:sz w:val="24"/>
          <w:szCs w:val="24"/>
          <w:lang w:eastAsia="zh-CN"/>
        </w:rPr>
        <w:t>天。</w:t>
      </w:r>
    </w:p>
    <w:p w14:paraId="1D790E18"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3</w:t>
      </w:r>
      <w:r w:rsidRPr="00E67914">
        <w:rPr>
          <w:rFonts w:ascii="Times New Roman" w:hAnsi="Times New Roman"/>
          <w:b/>
          <w:kern w:val="2"/>
          <w:sz w:val="24"/>
          <w:szCs w:val="24"/>
          <w:lang w:eastAsia="zh-CN"/>
        </w:rPr>
        <w:t>）预测因子</w:t>
      </w:r>
    </w:p>
    <w:p w14:paraId="481E75FA"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根据《环境影响评价技术导则</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地下水环境》</w:t>
      </w:r>
      <w:r w:rsidRPr="00E67914">
        <w:rPr>
          <w:rFonts w:ascii="Times New Roman" w:hAnsi="Times New Roman"/>
          <w:bCs/>
          <w:kern w:val="2"/>
          <w:sz w:val="24"/>
          <w:szCs w:val="24"/>
          <w:lang w:eastAsia="zh-CN"/>
        </w:rPr>
        <w:t>(HJ610-2016)</w:t>
      </w:r>
      <w:r w:rsidRPr="00E67914">
        <w:rPr>
          <w:rFonts w:ascii="Times New Roman" w:hAnsi="Times New Roman"/>
          <w:bCs/>
          <w:kern w:val="2"/>
          <w:sz w:val="24"/>
          <w:szCs w:val="24"/>
          <w:lang w:eastAsia="zh-CN"/>
        </w:rPr>
        <w:t>，建设项目预测因子选取重点应包括：</w:t>
      </w:r>
    </w:p>
    <w:p w14:paraId="53A0C7B1"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）改、扩建项目已经排放的及将要产生的主要污染物；</w:t>
      </w:r>
    </w:p>
    <w:p w14:paraId="5A19C344"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）难降解、易生物蓄积、长期接触对人体和生物产生危害作用的污染物，应特别关注持久性有机污染物；</w:t>
      </w:r>
    </w:p>
    <w:p w14:paraId="2964EC1C"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）国家或地方要求控制的污染物；</w:t>
      </w:r>
    </w:p>
    <w:p w14:paraId="1FC2B0EF"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4</w:t>
      </w:r>
      <w:r w:rsidRPr="00E67914">
        <w:rPr>
          <w:rFonts w:ascii="Times New Roman" w:hAnsi="Times New Roman"/>
          <w:bCs/>
          <w:kern w:val="2"/>
          <w:sz w:val="24"/>
          <w:szCs w:val="24"/>
          <w:lang w:eastAsia="zh-CN"/>
        </w:rPr>
        <w:t>）反映地下水循环特征和水质成因类型的常规项目或超标项目。</w:t>
      </w:r>
    </w:p>
    <w:p w14:paraId="0B0A9499"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14:paraId="2FF367E8"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根据监测资料，本项目附近潜水含水层地下水水质良好，现状监测指标基本能满足《地下水质量标准》（</w:t>
      </w:r>
      <w:r w:rsidRPr="00E67914">
        <w:rPr>
          <w:rFonts w:ascii="Times New Roman" w:hAnsi="Times New Roman"/>
          <w:bCs/>
          <w:kern w:val="2"/>
          <w:sz w:val="24"/>
          <w:szCs w:val="24"/>
          <w:lang w:eastAsia="zh-CN"/>
        </w:rPr>
        <w:t>GB14848-2017</w:t>
      </w:r>
      <w:r w:rsidRPr="00E67914">
        <w:rPr>
          <w:rFonts w:ascii="Times New Roman" w:hAnsi="Times New Roman"/>
          <w:bCs/>
          <w:kern w:val="2"/>
          <w:sz w:val="24"/>
          <w:szCs w:val="24"/>
          <w:lang w:eastAsia="zh-CN"/>
        </w:rPr>
        <w:t>）中</w:t>
      </w:r>
      <w:r w:rsidRPr="00E67914">
        <w:rPr>
          <w:rFonts w:ascii="Times New Roman" w:hAnsi="Times New Roman"/>
          <w:bCs/>
          <w:kern w:val="2"/>
          <w:sz w:val="24"/>
          <w:szCs w:val="24"/>
          <w:lang w:eastAsia="zh-CN"/>
        </w:rPr>
        <w:t>III</w:t>
      </w:r>
      <w:r w:rsidRPr="00E67914">
        <w:rPr>
          <w:rFonts w:ascii="Times New Roman" w:hAnsi="Times New Roman"/>
          <w:bCs/>
          <w:kern w:val="2"/>
          <w:sz w:val="24"/>
          <w:szCs w:val="24"/>
          <w:lang w:eastAsia="zh-CN"/>
        </w:rPr>
        <w:t>类水质标准限值要求。基于本项目废水的水质特征，一方面考虑预测的可行性，同时考虑预测因子的代表性，并以各污染物最高浓度为源强进行预测，选择无机离子中等标污染负荷最大的氯离子，持久性污染物中等标污染负荷最大的</w:t>
      </w:r>
      <w:r w:rsidRPr="00E67914">
        <w:rPr>
          <w:rFonts w:ascii="Times New Roman" w:hAnsi="Times New Roman"/>
          <w:bCs/>
          <w:kern w:val="2"/>
          <w:sz w:val="24"/>
          <w:szCs w:val="24"/>
          <w:lang w:eastAsia="zh-CN"/>
        </w:rPr>
        <w:t>COD</w:t>
      </w:r>
      <w:r w:rsidRPr="00E67914">
        <w:rPr>
          <w:rFonts w:ascii="Times New Roman" w:hAnsi="Times New Roman"/>
          <w:bCs/>
          <w:kern w:val="2"/>
          <w:sz w:val="24"/>
          <w:szCs w:val="24"/>
          <w:vertAlign w:val="subscript"/>
          <w:lang w:eastAsia="zh-CN"/>
        </w:rPr>
        <w:t>Cr</w:t>
      </w:r>
      <w:r w:rsidRPr="00E67914">
        <w:rPr>
          <w:rFonts w:ascii="Times New Roman" w:hAnsi="Times New Roman"/>
          <w:bCs/>
          <w:kern w:val="2"/>
          <w:sz w:val="24"/>
          <w:szCs w:val="24"/>
          <w:lang w:eastAsia="zh-CN"/>
        </w:rPr>
        <w:t>，特征污染因子石油类作为本次评价的预测因子。</w:t>
      </w:r>
    </w:p>
    <w:p w14:paraId="27E5FD35"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根据现场勘察本项目区域地下水自北东向南西径流，地下水评价范围内地下水流向下游有居民水井分布，因此评价对地下水流向下游最近的居民水井处预测在事故发生后不同时间段的污染物浓度变化情况。</w:t>
      </w:r>
    </w:p>
    <w:p w14:paraId="3D2FB07F" w14:textId="77777777" w:rsidR="00A54A8A" w:rsidRPr="00E67914" w:rsidRDefault="00000000">
      <w:pPr>
        <w:adjustRightInd w:val="0"/>
        <w:snapToGrid w:val="0"/>
        <w:spacing w:line="360" w:lineRule="auto"/>
        <w:ind w:firstLineChars="200" w:firstLine="482"/>
        <w:jc w:val="both"/>
        <w:rPr>
          <w:rFonts w:ascii="Times New Roman" w:hAnsi="Times New Roman"/>
          <w:b/>
          <w:kern w:val="2"/>
          <w:sz w:val="24"/>
          <w:szCs w:val="24"/>
          <w:lang w:eastAsia="zh-CN"/>
        </w:rPr>
      </w:pPr>
      <w:bookmarkStart w:id="163" w:name="_Toc14702837"/>
      <w:r w:rsidRPr="00E67914">
        <w:rPr>
          <w:rFonts w:ascii="Times New Roman" w:hAnsi="Times New Roman"/>
          <w:b/>
          <w:kern w:val="2"/>
          <w:sz w:val="24"/>
          <w:szCs w:val="24"/>
          <w:lang w:eastAsia="zh-CN"/>
        </w:rPr>
        <w:t>（</w:t>
      </w:r>
      <w:r w:rsidRPr="00E67914">
        <w:rPr>
          <w:rFonts w:ascii="Times New Roman" w:hAnsi="Times New Roman"/>
          <w:b/>
          <w:kern w:val="2"/>
          <w:sz w:val="24"/>
          <w:szCs w:val="24"/>
          <w:lang w:eastAsia="zh-CN"/>
        </w:rPr>
        <w:t>4</w:t>
      </w:r>
      <w:r w:rsidRPr="00E67914">
        <w:rPr>
          <w:rFonts w:ascii="Times New Roman" w:hAnsi="Times New Roman"/>
          <w:b/>
          <w:kern w:val="2"/>
          <w:sz w:val="24"/>
          <w:szCs w:val="24"/>
          <w:lang w:eastAsia="zh-CN"/>
        </w:rPr>
        <w:t>）预测结果</w:t>
      </w:r>
      <w:bookmarkEnd w:id="163"/>
    </w:p>
    <w:p w14:paraId="6992D499" w14:textId="35BF4931" w:rsidR="00A54A8A" w:rsidRPr="00E67914" w:rsidRDefault="00000000">
      <w:pPr>
        <w:widowControl w:val="0"/>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本次预测，各特征因子浓度超过标准限值即为超标，影响浓度定义为各指标的检出下限，当预测结果小于影响浓度（检出限或标准值的十分之一</w:t>
      </w:r>
      <w:r w:rsidRPr="00E67914">
        <w:rPr>
          <w:rFonts w:ascii="Times New Roman" w:hAnsi="Times New Roman"/>
          <w:sz w:val="24"/>
          <w:szCs w:val="24"/>
          <w:lang w:eastAsia="zh-CN"/>
        </w:rPr>
        <w:t>+</w:t>
      </w:r>
      <w:r w:rsidRPr="00E67914">
        <w:rPr>
          <w:rFonts w:ascii="Times New Roman" w:hAnsi="Times New Roman"/>
          <w:sz w:val="24"/>
          <w:szCs w:val="24"/>
          <w:lang w:eastAsia="zh-CN"/>
        </w:rPr>
        <w:t>背景值）时则视同对地下水环境几乎没有影响。背景值根据本次监测结果取最大值，其中</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取值为</w:t>
      </w:r>
      <w:r w:rsidRPr="00E67914">
        <w:rPr>
          <w:rFonts w:ascii="Times New Roman" w:hAnsi="Times New Roman"/>
          <w:sz w:val="24"/>
          <w:szCs w:val="24"/>
          <w:lang w:eastAsia="zh-CN"/>
        </w:rPr>
        <w:t>2.</w:t>
      </w:r>
      <w:r w:rsidR="006D452F" w:rsidRPr="00E67914">
        <w:rPr>
          <w:rFonts w:ascii="Times New Roman" w:hAnsi="Times New Roman"/>
          <w:sz w:val="24"/>
          <w:szCs w:val="24"/>
          <w:lang w:eastAsia="zh-CN"/>
        </w:rPr>
        <w:t>11</w:t>
      </w:r>
      <w:r w:rsidRPr="00E67914">
        <w:rPr>
          <w:rFonts w:ascii="Times New Roman" w:hAnsi="Times New Roman"/>
          <w:sz w:val="24"/>
          <w:szCs w:val="24"/>
          <w:lang w:eastAsia="zh-CN"/>
        </w:rPr>
        <w:t>mg/L</w:t>
      </w:r>
      <w:r w:rsidRPr="00E67914">
        <w:rPr>
          <w:rFonts w:ascii="Times New Roman" w:hAnsi="Times New Roman"/>
          <w:sz w:val="24"/>
          <w:szCs w:val="24"/>
          <w:lang w:eastAsia="zh-CN"/>
        </w:rPr>
        <w:t>，石油类未检出取值未</w:t>
      </w:r>
      <w:r w:rsidRPr="00E67914">
        <w:rPr>
          <w:rFonts w:ascii="Times New Roman" w:hAnsi="Times New Roman"/>
          <w:sz w:val="24"/>
          <w:szCs w:val="24"/>
          <w:lang w:eastAsia="zh-CN"/>
        </w:rPr>
        <w:t>0mg/L</w:t>
      </w:r>
      <w:r w:rsidRPr="00E67914">
        <w:rPr>
          <w:rFonts w:ascii="Times New Roman" w:hAnsi="Times New Roman"/>
          <w:sz w:val="24"/>
          <w:szCs w:val="24"/>
          <w:lang w:eastAsia="zh-CN"/>
        </w:rPr>
        <w:t>，氯离子取值</w:t>
      </w:r>
      <w:r w:rsidR="006D452F" w:rsidRPr="00E67914">
        <w:rPr>
          <w:rFonts w:ascii="Times New Roman" w:hAnsi="Times New Roman"/>
          <w:sz w:val="24"/>
          <w:szCs w:val="24"/>
          <w:lang w:eastAsia="zh-CN"/>
        </w:rPr>
        <w:t>13.6</w:t>
      </w:r>
      <w:r w:rsidRPr="00E67914">
        <w:rPr>
          <w:rFonts w:ascii="Times New Roman" w:hAnsi="Times New Roman"/>
          <w:sz w:val="24"/>
          <w:szCs w:val="24"/>
          <w:lang w:eastAsia="zh-CN"/>
        </w:rPr>
        <w:t>mg/L</w:t>
      </w:r>
      <w:r w:rsidRPr="00E67914">
        <w:rPr>
          <w:rFonts w:ascii="Times New Roman" w:hAnsi="Times New Roman"/>
          <w:sz w:val="24"/>
          <w:szCs w:val="24"/>
          <w:lang w:eastAsia="zh-CN"/>
        </w:rPr>
        <w:t>。</w:t>
      </w:r>
      <w:r w:rsidRPr="00E67914">
        <w:rPr>
          <w:rFonts w:ascii="Times New Roman" w:hAnsi="Times New Roman"/>
          <w:sz w:val="24"/>
          <w:szCs w:val="24"/>
          <w:lang w:eastAsia="zh-CN"/>
        </w:rPr>
        <w:lastRenderedPageBreak/>
        <w:t>根据《地下水质量标准》（</w:t>
      </w:r>
      <w:r w:rsidRPr="00E67914">
        <w:rPr>
          <w:rFonts w:ascii="Times New Roman" w:hAnsi="Times New Roman"/>
          <w:sz w:val="24"/>
          <w:szCs w:val="24"/>
          <w:lang w:eastAsia="zh-CN"/>
        </w:rPr>
        <w:t>GB/T14848-2017</w:t>
      </w:r>
      <w:r w:rsidRPr="00E67914">
        <w:rPr>
          <w:rFonts w:ascii="Times New Roman" w:hAnsi="Times New Roman"/>
          <w:sz w:val="24"/>
          <w:szCs w:val="24"/>
          <w:lang w:eastAsia="zh-CN"/>
        </w:rPr>
        <w:t>）及项目执行的环保标准，该项目所在区域地下水属</w:t>
      </w:r>
      <w:r w:rsidRPr="00E67914">
        <w:rPr>
          <w:rFonts w:ascii="Times New Roman" w:hAnsi="Times New Roman"/>
          <w:sz w:val="24"/>
          <w:szCs w:val="24"/>
          <w:lang w:eastAsia="zh-CN"/>
        </w:rPr>
        <w:t>Ⅲ</w:t>
      </w:r>
      <w:r w:rsidRPr="00E67914">
        <w:rPr>
          <w:rFonts w:ascii="Times New Roman" w:hAnsi="Times New Roman"/>
          <w:sz w:val="24"/>
          <w:szCs w:val="24"/>
          <w:lang w:eastAsia="zh-CN"/>
        </w:rPr>
        <w:t>类水质，因此，</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w:t>
      </w:r>
      <w:r w:rsidRPr="00E67914">
        <w:rPr>
          <w:rFonts w:ascii="Times New Roman" w:hAnsi="Times New Roman"/>
          <w:sz w:val="24"/>
          <w:szCs w:val="24"/>
          <w:lang w:eastAsia="zh-CN"/>
        </w:rPr>
        <w:t>Cl</w:t>
      </w:r>
      <w:r w:rsidRPr="00E67914">
        <w:rPr>
          <w:rFonts w:ascii="Times New Roman" w:hAnsi="Times New Roman"/>
          <w:sz w:val="24"/>
          <w:szCs w:val="24"/>
          <w:vertAlign w:val="superscript"/>
          <w:lang w:eastAsia="zh-CN"/>
        </w:rPr>
        <w:t>-</w:t>
      </w:r>
      <w:r w:rsidRPr="00E67914">
        <w:rPr>
          <w:rFonts w:ascii="Times New Roman" w:hAnsi="Times New Roman"/>
          <w:sz w:val="24"/>
          <w:szCs w:val="24"/>
          <w:lang w:eastAsia="zh-CN"/>
        </w:rPr>
        <w:t>标准限值参照《地下水质量标准》（</w:t>
      </w:r>
      <w:r w:rsidRPr="00E67914">
        <w:rPr>
          <w:rFonts w:ascii="Times New Roman" w:hAnsi="Times New Roman"/>
          <w:sz w:val="24"/>
          <w:szCs w:val="24"/>
          <w:lang w:eastAsia="zh-CN"/>
        </w:rPr>
        <w:t>GB/T14848-2017</w:t>
      </w:r>
      <w:r w:rsidRPr="00E67914">
        <w:rPr>
          <w:rFonts w:ascii="Times New Roman" w:hAnsi="Times New Roman"/>
          <w:sz w:val="24"/>
          <w:szCs w:val="24"/>
          <w:lang w:eastAsia="zh-CN"/>
        </w:rPr>
        <w:t>）</w:t>
      </w:r>
      <w:r w:rsidRPr="00E67914">
        <w:rPr>
          <w:rFonts w:ascii="Times New Roman" w:hAnsi="Times New Roman"/>
          <w:sz w:val="24"/>
          <w:szCs w:val="24"/>
          <w:lang w:eastAsia="zh-CN"/>
        </w:rPr>
        <w:t>Ⅲ</w:t>
      </w:r>
      <w:r w:rsidRPr="00E67914">
        <w:rPr>
          <w:rFonts w:ascii="Times New Roman" w:hAnsi="Times New Roman"/>
          <w:sz w:val="24"/>
          <w:szCs w:val="24"/>
          <w:lang w:eastAsia="zh-CN"/>
        </w:rPr>
        <w:t>类标准，</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为</w:t>
      </w:r>
      <w:r w:rsidRPr="00E67914">
        <w:rPr>
          <w:rFonts w:ascii="Times New Roman" w:hAnsi="Times New Roman"/>
          <w:sz w:val="24"/>
          <w:szCs w:val="24"/>
          <w:lang w:eastAsia="zh-CN"/>
        </w:rPr>
        <w:t>3mg/L</w:t>
      </w:r>
      <w:r w:rsidRPr="00E67914">
        <w:rPr>
          <w:rFonts w:ascii="Times New Roman" w:hAnsi="Times New Roman"/>
          <w:sz w:val="24"/>
          <w:szCs w:val="24"/>
          <w:lang w:eastAsia="zh-CN"/>
        </w:rPr>
        <w:t>、</w:t>
      </w:r>
      <w:r w:rsidRPr="00E67914">
        <w:rPr>
          <w:rFonts w:ascii="Times New Roman" w:hAnsi="Times New Roman"/>
          <w:sz w:val="24"/>
          <w:szCs w:val="24"/>
          <w:lang w:eastAsia="zh-CN"/>
        </w:rPr>
        <w:t>Cl</w:t>
      </w:r>
      <w:r w:rsidRPr="00E67914">
        <w:rPr>
          <w:rFonts w:ascii="Times New Roman" w:hAnsi="Times New Roman"/>
          <w:sz w:val="24"/>
          <w:szCs w:val="24"/>
          <w:vertAlign w:val="superscript"/>
          <w:lang w:eastAsia="zh-CN"/>
        </w:rPr>
        <w:t>-</w:t>
      </w:r>
      <w:r w:rsidRPr="00E67914">
        <w:rPr>
          <w:rFonts w:ascii="Times New Roman" w:hAnsi="Times New Roman"/>
          <w:sz w:val="24"/>
          <w:szCs w:val="24"/>
          <w:lang w:eastAsia="zh-CN"/>
        </w:rPr>
        <w:t>为</w:t>
      </w:r>
      <w:r w:rsidRPr="00E67914">
        <w:rPr>
          <w:rFonts w:ascii="Times New Roman" w:hAnsi="Times New Roman"/>
          <w:sz w:val="24"/>
          <w:szCs w:val="24"/>
          <w:lang w:eastAsia="zh-CN"/>
        </w:rPr>
        <w:t>250mg/L</w:t>
      </w:r>
      <w:r w:rsidRPr="00E67914">
        <w:rPr>
          <w:rFonts w:ascii="Times New Roman" w:hAnsi="Times New Roman"/>
          <w:sz w:val="24"/>
          <w:szCs w:val="24"/>
          <w:lang w:eastAsia="zh-CN"/>
        </w:rPr>
        <w:t>；石油类标准限值参照《地表水环境质量标准</w:t>
      </w:r>
      <w:r w:rsidRPr="00E67914">
        <w:rPr>
          <w:rFonts w:ascii="Times New Roman" w:hAnsi="Times New Roman"/>
          <w:sz w:val="24"/>
          <w:szCs w:val="24"/>
          <w:lang w:eastAsia="zh-CN"/>
        </w:rPr>
        <w:t>GB3838-2002</w:t>
      </w:r>
      <w:r w:rsidRPr="00E67914">
        <w:rPr>
          <w:rFonts w:ascii="Times New Roman" w:hAnsi="Times New Roman"/>
          <w:sz w:val="24"/>
          <w:szCs w:val="24"/>
          <w:lang w:eastAsia="zh-CN"/>
        </w:rPr>
        <w:t>》</w:t>
      </w:r>
      <w:r w:rsidRPr="00E67914">
        <w:rPr>
          <w:rFonts w:ascii="Times New Roman" w:hAnsi="Times New Roman"/>
          <w:sz w:val="24"/>
          <w:szCs w:val="24"/>
          <w:lang w:eastAsia="zh-CN"/>
        </w:rPr>
        <w:t>Ⅲ</w:t>
      </w:r>
      <w:r w:rsidRPr="00E67914">
        <w:rPr>
          <w:rFonts w:ascii="Times New Roman" w:hAnsi="Times New Roman"/>
          <w:sz w:val="24"/>
          <w:szCs w:val="24"/>
          <w:lang w:eastAsia="zh-CN"/>
        </w:rPr>
        <w:t>类标准，为</w:t>
      </w:r>
      <w:r w:rsidRPr="00E67914">
        <w:rPr>
          <w:rFonts w:ascii="Times New Roman" w:hAnsi="Times New Roman"/>
          <w:sz w:val="24"/>
          <w:szCs w:val="24"/>
          <w:lang w:eastAsia="zh-CN"/>
        </w:rPr>
        <w:t>0.05mg/L</w:t>
      </w:r>
      <w:r w:rsidRPr="00E67914">
        <w:rPr>
          <w:rFonts w:ascii="Times New Roman" w:hAnsi="Times New Roman"/>
          <w:sz w:val="24"/>
          <w:szCs w:val="24"/>
          <w:lang w:eastAsia="zh-CN"/>
        </w:rPr>
        <w:t>；</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影响浓度为</w:t>
      </w:r>
      <w:r w:rsidR="006D452F" w:rsidRPr="00E67914">
        <w:rPr>
          <w:rFonts w:ascii="Times New Roman" w:hAnsi="Times New Roman"/>
          <w:sz w:val="24"/>
          <w:szCs w:val="24"/>
          <w:lang w:eastAsia="zh-CN"/>
        </w:rPr>
        <w:t>2.16</w:t>
      </w:r>
      <w:r w:rsidRPr="00E67914">
        <w:rPr>
          <w:rFonts w:ascii="Times New Roman" w:hAnsi="Times New Roman"/>
          <w:sz w:val="24"/>
          <w:szCs w:val="24"/>
          <w:lang w:eastAsia="zh-CN"/>
        </w:rPr>
        <w:t>mg/L</w:t>
      </w:r>
      <w:r w:rsidRPr="00E67914">
        <w:rPr>
          <w:rFonts w:ascii="Times New Roman" w:hAnsi="Times New Roman"/>
          <w:sz w:val="24"/>
          <w:szCs w:val="24"/>
          <w:lang w:eastAsia="zh-CN"/>
        </w:rPr>
        <w:t>（检出限</w:t>
      </w:r>
      <w:r w:rsidRPr="00E67914">
        <w:rPr>
          <w:rFonts w:ascii="Times New Roman" w:hAnsi="Times New Roman"/>
          <w:sz w:val="24"/>
          <w:szCs w:val="24"/>
          <w:lang w:eastAsia="zh-CN"/>
        </w:rPr>
        <w:t>+</w:t>
      </w:r>
      <w:r w:rsidRPr="00E67914">
        <w:rPr>
          <w:rFonts w:ascii="Times New Roman" w:hAnsi="Times New Roman"/>
          <w:sz w:val="24"/>
          <w:szCs w:val="24"/>
          <w:lang w:eastAsia="zh-CN"/>
        </w:rPr>
        <w:t>背景值），石油类影响浓度为</w:t>
      </w:r>
      <w:r w:rsidRPr="00E67914">
        <w:rPr>
          <w:rFonts w:ascii="Times New Roman" w:hAnsi="Times New Roman"/>
          <w:sz w:val="24"/>
          <w:szCs w:val="24"/>
          <w:lang w:eastAsia="zh-CN"/>
        </w:rPr>
        <w:t>0.0</w:t>
      </w:r>
      <w:r w:rsidR="00093B37" w:rsidRPr="00E67914">
        <w:rPr>
          <w:rFonts w:ascii="Times New Roman" w:hAnsi="Times New Roman"/>
          <w:sz w:val="24"/>
          <w:szCs w:val="24"/>
          <w:lang w:eastAsia="zh-CN"/>
        </w:rPr>
        <w:t>1</w:t>
      </w:r>
      <w:r w:rsidRPr="00E67914">
        <w:rPr>
          <w:rFonts w:ascii="Times New Roman" w:hAnsi="Times New Roman"/>
          <w:sz w:val="24"/>
          <w:szCs w:val="24"/>
          <w:lang w:eastAsia="zh-CN"/>
        </w:rPr>
        <w:t>mg/L</w:t>
      </w:r>
      <w:r w:rsidRPr="00E67914">
        <w:rPr>
          <w:rFonts w:ascii="Times New Roman" w:hAnsi="Times New Roman"/>
          <w:sz w:val="24"/>
          <w:szCs w:val="24"/>
          <w:lang w:eastAsia="zh-CN"/>
        </w:rPr>
        <w:t>（检出限</w:t>
      </w:r>
      <w:r w:rsidRPr="00E67914">
        <w:rPr>
          <w:rFonts w:ascii="Times New Roman" w:hAnsi="Times New Roman"/>
          <w:sz w:val="24"/>
          <w:szCs w:val="24"/>
          <w:lang w:eastAsia="zh-CN"/>
        </w:rPr>
        <w:t>+</w:t>
      </w:r>
      <w:r w:rsidRPr="00E67914">
        <w:rPr>
          <w:rFonts w:ascii="Times New Roman" w:hAnsi="Times New Roman"/>
          <w:sz w:val="24"/>
          <w:szCs w:val="24"/>
          <w:lang w:eastAsia="zh-CN"/>
        </w:rPr>
        <w:t>背景值），</w:t>
      </w:r>
      <w:r w:rsidRPr="00E67914">
        <w:rPr>
          <w:rFonts w:ascii="Times New Roman" w:hAnsi="Times New Roman"/>
          <w:sz w:val="24"/>
          <w:szCs w:val="24"/>
          <w:lang w:eastAsia="zh-CN"/>
        </w:rPr>
        <w:t>Cl</w:t>
      </w:r>
      <w:r w:rsidRPr="00E67914">
        <w:rPr>
          <w:rFonts w:ascii="Times New Roman" w:hAnsi="Times New Roman"/>
          <w:sz w:val="24"/>
          <w:szCs w:val="24"/>
          <w:vertAlign w:val="superscript"/>
          <w:lang w:eastAsia="zh-CN"/>
        </w:rPr>
        <w:t>-</w:t>
      </w:r>
      <w:r w:rsidRPr="00E67914">
        <w:rPr>
          <w:rFonts w:ascii="Times New Roman" w:hAnsi="Times New Roman"/>
          <w:sz w:val="24"/>
          <w:szCs w:val="24"/>
          <w:lang w:eastAsia="zh-CN"/>
        </w:rPr>
        <w:t>影响浓度为</w:t>
      </w:r>
      <w:r w:rsidR="006D452F" w:rsidRPr="00E67914">
        <w:rPr>
          <w:rFonts w:ascii="Times New Roman" w:hAnsi="Times New Roman"/>
          <w:sz w:val="24"/>
          <w:szCs w:val="24"/>
          <w:lang w:eastAsia="zh-CN"/>
        </w:rPr>
        <w:t>38.6</w:t>
      </w:r>
      <w:r w:rsidRPr="00E67914">
        <w:rPr>
          <w:rFonts w:ascii="Times New Roman" w:hAnsi="Times New Roman"/>
          <w:sz w:val="24"/>
          <w:szCs w:val="24"/>
          <w:lang w:eastAsia="zh-CN"/>
        </w:rPr>
        <w:t>mg/L</w:t>
      </w:r>
      <w:r w:rsidRPr="00E67914">
        <w:rPr>
          <w:rFonts w:ascii="Times New Roman" w:hAnsi="Times New Roman"/>
          <w:sz w:val="24"/>
          <w:szCs w:val="24"/>
          <w:lang w:eastAsia="zh-CN"/>
        </w:rPr>
        <w:t>（标准值的十分之</w:t>
      </w:r>
      <w:r w:rsidR="006D452F" w:rsidRPr="00E67914">
        <w:rPr>
          <w:rFonts w:ascii="Times New Roman" w:hAnsi="Times New Roman"/>
          <w:sz w:val="24"/>
          <w:szCs w:val="24"/>
          <w:lang w:eastAsia="zh-CN"/>
        </w:rPr>
        <w:t>一</w:t>
      </w:r>
      <w:r w:rsidRPr="00E67914">
        <w:rPr>
          <w:rFonts w:ascii="Times New Roman" w:hAnsi="Times New Roman"/>
          <w:sz w:val="24"/>
          <w:szCs w:val="24"/>
          <w:lang w:eastAsia="zh-CN"/>
        </w:rPr>
        <w:t>+</w:t>
      </w:r>
      <w:r w:rsidRPr="00E67914">
        <w:rPr>
          <w:rFonts w:ascii="Times New Roman" w:hAnsi="Times New Roman"/>
          <w:sz w:val="24"/>
          <w:szCs w:val="24"/>
          <w:lang w:eastAsia="zh-CN"/>
        </w:rPr>
        <w:t>背景值），见表</w:t>
      </w:r>
      <w:r w:rsidRPr="00E67914">
        <w:rPr>
          <w:rFonts w:ascii="Times New Roman" w:hAnsi="Times New Roman"/>
          <w:sz w:val="24"/>
          <w:szCs w:val="24"/>
          <w:lang w:eastAsia="zh-CN"/>
        </w:rPr>
        <w:t>5.3-2</w:t>
      </w:r>
      <w:r w:rsidRPr="00E67914">
        <w:rPr>
          <w:rFonts w:ascii="Times New Roman" w:hAnsi="Times New Roman"/>
          <w:sz w:val="24"/>
          <w:szCs w:val="24"/>
          <w:lang w:eastAsia="zh-CN"/>
        </w:rPr>
        <w:t>。</w:t>
      </w:r>
    </w:p>
    <w:p w14:paraId="40F2D0F7"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5.3-2  </w:t>
      </w:r>
      <w:r w:rsidRPr="00E67914">
        <w:rPr>
          <w:rFonts w:ascii="Times New Roman" w:eastAsia="黑体" w:hAnsi="Times New Roman"/>
          <w:sz w:val="21"/>
          <w:szCs w:val="21"/>
          <w:lang w:eastAsia="zh-CN"/>
        </w:rPr>
        <w:t>预测指标标准限值及影响浓度一览表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6"/>
        <w:gridCol w:w="2056"/>
        <w:gridCol w:w="2055"/>
        <w:gridCol w:w="2055"/>
      </w:tblGrid>
      <w:tr w:rsidR="002662E3" w:rsidRPr="00E67914" w14:paraId="687CEF23" w14:textId="77777777">
        <w:trPr>
          <w:jc w:val="center"/>
        </w:trPr>
        <w:tc>
          <w:tcPr>
            <w:tcW w:w="2129" w:type="dxa"/>
            <w:vAlign w:val="center"/>
          </w:tcPr>
          <w:p w14:paraId="3E47765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污染物</w:t>
            </w:r>
          </w:p>
        </w:tc>
        <w:tc>
          <w:tcPr>
            <w:tcW w:w="2129" w:type="dxa"/>
            <w:vAlign w:val="center"/>
          </w:tcPr>
          <w:p w14:paraId="56939C9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lang w:eastAsia="zh-CN"/>
              </w:rPr>
              <w:t>COD</w:t>
            </w:r>
            <w:r w:rsidRPr="00E67914">
              <w:rPr>
                <w:rFonts w:ascii="Times New Roman" w:hAnsi="Times New Roman"/>
                <w:sz w:val="21"/>
                <w:szCs w:val="21"/>
                <w:vertAlign w:val="subscript"/>
                <w:lang w:eastAsia="zh-CN"/>
              </w:rPr>
              <w:t>Mn</w:t>
            </w:r>
          </w:p>
        </w:tc>
        <w:tc>
          <w:tcPr>
            <w:tcW w:w="2129" w:type="dxa"/>
            <w:vAlign w:val="center"/>
          </w:tcPr>
          <w:p w14:paraId="77EAC3B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氯化物</w:t>
            </w:r>
          </w:p>
        </w:tc>
        <w:tc>
          <w:tcPr>
            <w:tcW w:w="2129" w:type="dxa"/>
            <w:vAlign w:val="center"/>
          </w:tcPr>
          <w:p w14:paraId="0463172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石油类</w:t>
            </w:r>
          </w:p>
        </w:tc>
      </w:tr>
      <w:tr w:rsidR="002662E3" w:rsidRPr="00E67914" w14:paraId="10AE3B93" w14:textId="77777777">
        <w:trPr>
          <w:jc w:val="center"/>
        </w:trPr>
        <w:tc>
          <w:tcPr>
            <w:tcW w:w="2129" w:type="dxa"/>
            <w:vAlign w:val="center"/>
          </w:tcPr>
          <w:p w14:paraId="1BEF1118"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背景值</w:t>
            </w:r>
          </w:p>
        </w:tc>
        <w:tc>
          <w:tcPr>
            <w:tcW w:w="2129" w:type="dxa"/>
            <w:vAlign w:val="center"/>
          </w:tcPr>
          <w:p w14:paraId="3D6F9777" w14:textId="6F2DAF99"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2.</w:t>
            </w:r>
            <w:r w:rsidR="006D452F" w:rsidRPr="00E67914">
              <w:rPr>
                <w:rFonts w:ascii="Times New Roman" w:hAnsi="Times New Roman"/>
                <w:sz w:val="21"/>
                <w:szCs w:val="21"/>
                <w:lang w:eastAsia="zh-CN"/>
              </w:rPr>
              <w:t>11</w:t>
            </w:r>
          </w:p>
        </w:tc>
        <w:tc>
          <w:tcPr>
            <w:tcW w:w="2129" w:type="dxa"/>
            <w:vAlign w:val="center"/>
          </w:tcPr>
          <w:p w14:paraId="7D129096" w14:textId="3C028B11" w:rsidR="00A54A8A" w:rsidRPr="00E67914" w:rsidRDefault="006D452F">
            <w:pPr>
              <w:jc w:val="center"/>
              <w:rPr>
                <w:rFonts w:ascii="Times New Roman" w:hAnsi="Times New Roman"/>
                <w:sz w:val="21"/>
                <w:szCs w:val="21"/>
                <w:lang w:eastAsia="zh-CN"/>
              </w:rPr>
            </w:pPr>
            <w:r w:rsidRPr="00E67914">
              <w:rPr>
                <w:rFonts w:ascii="Times New Roman" w:hAnsi="Times New Roman"/>
                <w:sz w:val="21"/>
                <w:szCs w:val="21"/>
                <w:lang w:eastAsia="zh-CN"/>
              </w:rPr>
              <w:t>13.6</w:t>
            </w:r>
          </w:p>
        </w:tc>
        <w:tc>
          <w:tcPr>
            <w:tcW w:w="2129" w:type="dxa"/>
            <w:vAlign w:val="center"/>
          </w:tcPr>
          <w:p w14:paraId="4C41BAF6"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0</w:t>
            </w:r>
          </w:p>
        </w:tc>
      </w:tr>
      <w:tr w:rsidR="002662E3" w:rsidRPr="00E67914" w14:paraId="0ACB161A" w14:textId="77777777">
        <w:trPr>
          <w:jc w:val="center"/>
        </w:trPr>
        <w:tc>
          <w:tcPr>
            <w:tcW w:w="2129" w:type="dxa"/>
            <w:vAlign w:val="center"/>
          </w:tcPr>
          <w:p w14:paraId="07301F7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标准限值（</w:t>
            </w:r>
            <w:r w:rsidRPr="00E67914">
              <w:rPr>
                <w:rFonts w:ascii="Times New Roman" w:hAnsi="Times New Roman"/>
                <w:sz w:val="21"/>
                <w:szCs w:val="21"/>
              </w:rPr>
              <w:t>mg/L</w:t>
            </w:r>
            <w:r w:rsidRPr="00E67914">
              <w:rPr>
                <w:rFonts w:ascii="Times New Roman" w:hAnsi="Times New Roman"/>
                <w:sz w:val="21"/>
                <w:szCs w:val="21"/>
              </w:rPr>
              <w:t>）</w:t>
            </w:r>
          </w:p>
        </w:tc>
        <w:tc>
          <w:tcPr>
            <w:tcW w:w="2129" w:type="dxa"/>
            <w:vAlign w:val="center"/>
          </w:tcPr>
          <w:p w14:paraId="5C33E06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3</w:t>
            </w:r>
          </w:p>
        </w:tc>
        <w:tc>
          <w:tcPr>
            <w:tcW w:w="2129" w:type="dxa"/>
            <w:vAlign w:val="center"/>
          </w:tcPr>
          <w:p w14:paraId="4D340CB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250</w:t>
            </w:r>
          </w:p>
        </w:tc>
        <w:tc>
          <w:tcPr>
            <w:tcW w:w="2129" w:type="dxa"/>
            <w:vAlign w:val="center"/>
          </w:tcPr>
          <w:p w14:paraId="60D948C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0.05</w:t>
            </w:r>
          </w:p>
        </w:tc>
      </w:tr>
      <w:tr w:rsidR="002662E3" w:rsidRPr="00E67914" w14:paraId="1F935976" w14:textId="77777777">
        <w:trPr>
          <w:jc w:val="center"/>
        </w:trPr>
        <w:tc>
          <w:tcPr>
            <w:tcW w:w="2129" w:type="dxa"/>
            <w:vAlign w:val="center"/>
          </w:tcPr>
          <w:p w14:paraId="2C1BA25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影响浓度（</w:t>
            </w:r>
            <w:r w:rsidRPr="00E67914">
              <w:rPr>
                <w:rFonts w:ascii="Times New Roman" w:hAnsi="Times New Roman"/>
                <w:sz w:val="21"/>
                <w:szCs w:val="21"/>
              </w:rPr>
              <w:t>mg/L</w:t>
            </w:r>
            <w:r w:rsidRPr="00E67914">
              <w:rPr>
                <w:rFonts w:ascii="Times New Roman" w:hAnsi="Times New Roman"/>
                <w:sz w:val="21"/>
                <w:szCs w:val="21"/>
              </w:rPr>
              <w:t>）</w:t>
            </w:r>
          </w:p>
        </w:tc>
        <w:tc>
          <w:tcPr>
            <w:tcW w:w="2129" w:type="dxa"/>
            <w:vAlign w:val="center"/>
          </w:tcPr>
          <w:p w14:paraId="3B2E99C0" w14:textId="61754FFF" w:rsidR="00A54A8A" w:rsidRPr="00E67914" w:rsidRDefault="006D452F">
            <w:pPr>
              <w:jc w:val="center"/>
              <w:rPr>
                <w:rFonts w:ascii="Times New Roman" w:hAnsi="Times New Roman"/>
                <w:sz w:val="21"/>
                <w:szCs w:val="21"/>
              </w:rPr>
            </w:pPr>
            <w:r w:rsidRPr="00E67914">
              <w:rPr>
                <w:rFonts w:ascii="Times New Roman" w:hAnsi="Times New Roman"/>
                <w:sz w:val="21"/>
                <w:szCs w:val="21"/>
              </w:rPr>
              <w:t>2.16</w:t>
            </w:r>
          </w:p>
        </w:tc>
        <w:tc>
          <w:tcPr>
            <w:tcW w:w="2129" w:type="dxa"/>
            <w:vAlign w:val="center"/>
          </w:tcPr>
          <w:p w14:paraId="05CD278E" w14:textId="344A95B9" w:rsidR="00A54A8A" w:rsidRPr="00E67914" w:rsidRDefault="006D452F">
            <w:pPr>
              <w:jc w:val="center"/>
              <w:rPr>
                <w:rFonts w:ascii="Times New Roman" w:hAnsi="Times New Roman"/>
                <w:sz w:val="21"/>
                <w:szCs w:val="21"/>
              </w:rPr>
            </w:pPr>
            <w:r w:rsidRPr="00E67914">
              <w:rPr>
                <w:rFonts w:ascii="Times New Roman" w:hAnsi="Times New Roman"/>
                <w:sz w:val="21"/>
                <w:szCs w:val="21"/>
              </w:rPr>
              <w:t>38.6</w:t>
            </w:r>
          </w:p>
        </w:tc>
        <w:tc>
          <w:tcPr>
            <w:tcW w:w="2129" w:type="dxa"/>
            <w:vAlign w:val="center"/>
          </w:tcPr>
          <w:p w14:paraId="2A732D08" w14:textId="5152A038" w:rsidR="00A54A8A" w:rsidRPr="00E67914" w:rsidRDefault="00000000">
            <w:pPr>
              <w:jc w:val="center"/>
              <w:rPr>
                <w:rFonts w:ascii="Times New Roman" w:hAnsi="Times New Roman"/>
                <w:sz w:val="21"/>
                <w:szCs w:val="21"/>
              </w:rPr>
            </w:pPr>
            <w:r w:rsidRPr="00E67914">
              <w:rPr>
                <w:rFonts w:ascii="Times New Roman" w:hAnsi="Times New Roman"/>
                <w:sz w:val="21"/>
                <w:szCs w:val="21"/>
              </w:rPr>
              <w:t>0.0</w:t>
            </w:r>
            <w:r w:rsidR="00093B37" w:rsidRPr="00E67914">
              <w:rPr>
                <w:rFonts w:ascii="Times New Roman" w:hAnsi="Times New Roman"/>
                <w:sz w:val="21"/>
                <w:szCs w:val="21"/>
              </w:rPr>
              <w:t>1</w:t>
            </w:r>
          </w:p>
        </w:tc>
      </w:tr>
    </w:tbl>
    <w:p w14:paraId="72DBB744" w14:textId="5E5B587E" w:rsidR="00A54A8A" w:rsidRPr="00E67914" w:rsidRDefault="00000000">
      <w:pPr>
        <w:adjustRightInd w:val="0"/>
        <w:snapToGrid w:val="0"/>
        <w:spacing w:beforeLines="50" w:before="120"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00CC2D4A" w:rsidRPr="00E67914">
        <w:rPr>
          <w:rFonts w:ascii="Times New Roman" w:hAnsi="Times New Roman"/>
          <w:sz w:val="24"/>
          <w:szCs w:val="24"/>
          <w:lang w:eastAsia="zh-CN"/>
        </w:rPr>
        <w:t>放喷池</w:t>
      </w:r>
      <w:r w:rsidRPr="00E67914">
        <w:rPr>
          <w:rFonts w:ascii="Times New Roman" w:hAnsi="Times New Roman"/>
          <w:sz w:val="24"/>
          <w:szCs w:val="24"/>
          <w:lang w:eastAsia="zh-CN"/>
        </w:rPr>
        <w:t>泄漏</w:t>
      </w:r>
    </w:p>
    <w:p w14:paraId="72129CC4" w14:textId="77777777" w:rsidR="00A54A8A" w:rsidRPr="00E67914" w:rsidRDefault="00000000">
      <w:pPr>
        <w:widowControl w:val="0"/>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地下水中</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的超标及影响距离计算结果见表</w:t>
      </w:r>
      <w:r w:rsidRPr="00E67914">
        <w:rPr>
          <w:rFonts w:ascii="Times New Roman" w:hAnsi="Times New Roman"/>
          <w:sz w:val="24"/>
          <w:szCs w:val="24"/>
          <w:lang w:eastAsia="zh-CN"/>
        </w:rPr>
        <w:t>5.3-3</w:t>
      </w:r>
      <w:r w:rsidRPr="00E67914">
        <w:rPr>
          <w:rFonts w:ascii="Times New Roman" w:hAnsi="Times New Roman"/>
          <w:sz w:val="24"/>
          <w:szCs w:val="24"/>
          <w:lang w:eastAsia="zh-CN"/>
        </w:rPr>
        <w:t>及图</w:t>
      </w:r>
      <w:r w:rsidRPr="00E67914">
        <w:rPr>
          <w:rFonts w:ascii="Times New Roman" w:hAnsi="Times New Roman"/>
          <w:sz w:val="24"/>
          <w:szCs w:val="24"/>
          <w:lang w:eastAsia="zh-CN"/>
        </w:rPr>
        <w:t>5.3-1</w:t>
      </w:r>
      <w:r w:rsidRPr="00E67914">
        <w:rPr>
          <w:rFonts w:ascii="Times New Roman" w:hAnsi="Times New Roman"/>
          <w:sz w:val="24"/>
          <w:szCs w:val="24"/>
          <w:lang w:eastAsia="zh-CN"/>
        </w:rPr>
        <w:t>。</w:t>
      </w:r>
    </w:p>
    <w:p w14:paraId="2C65C8A9" w14:textId="3AD029C2"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5.3-3  </w:t>
      </w:r>
      <w:r w:rsidR="00CC2D4A" w:rsidRPr="00E67914">
        <w:rPr>
          <w:rFonts w:ascii="Times New Roman" w:eastAsia="黑体" w:hAnsi="Times New Roman"/>
          <w:sz w:val="21"/>
          <w:szCs w:val="21"/>
          <w:lang w:eastAsia="zh-CN"/>
        </w:rPr>
        <w:t>放喷池</w:t>
      </w:r>
      <w:r w:rsidRPr="00E67914">
        <w:rPr>
          <w:rFonts w:ascii="Times New Roman" w:eastAsia="黑体" w:hAnsi="Times New Roman"/>
          <w:sz w:val="21"/>
          <w:szCs w:val="21"/>
          <w:lang w:eastAsia="zh-CN"/>
        </w:rPr>
        <w:t>泄漏地下水中</w:t>
      </w:r>
      <w:r w:rsidRPr="00E67914">
        <w:rPr>
          <w:rFonts w:ascii="Times New Roman" w:eastAsia="黑体" w:hAnsi="Times New Roman"/>
          <w:sz w:val="21"/>
          <w:szCs w:val="21"/>
          <w:lang w:eastAsia="zh-CN"/>
        </w:rPr>
        <w:t>COD</w:t>
      </w:r>
      <w:r w:rsidRPr="00E67914">
        <w:rPr>
          <w:rFonts w:ascii="Times New Roman" w:eastAsia="黑体" w:hAnsi="Times New Roman"/>
          <w:sz w:val="21"/>
          <w:szCs w:val="21"/>
          <w:vertAlign w:val="subscript"/>
          <w:lang w:eastAsia="zh-CN"/>
        </w:rPr>
        <w:t>Mn</w:t>
      </w:r>
      <w:r w:rsidRPr="00E67914">
        <w:rPr>
          <w:rFonts w:ascii="Times New Roman" w:eastAsia="黑体" w:hAnsi="Times New Roman"/>
          <w:sz w:val="21"/>
          <w:szCs w:val="21"/>
          <w:lang w:eastAsia="zh-CN"/>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18"/>
        <w:gridCol w:w="1493"/>
        <w:gridCol w:w="1494"/>
        <w:gridCol w:w="1494"/>
        <w:gridCol w:w="1328"/>
        <w:gridCol w:w="1373"/>
      </w:tblGrid>
      <w:tr w:rsidR="00E67914" w:rsidRPr="00E67914" w14:paraId="2FBBDF47" w14:textId="77777777">
        <w:trPr>
          <w:jc w:val="center"/>
        </w:trPr>
        <w:tc>
          <w:tcPr>
            <w:tcW w:w="673" w:type="pct"/>
            <w:vAlign w:val="center"/>
          </w:tcPr>
          <w:p w14:paraId="57CFD741"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污染时间</w:t>
            </w:r>
          </w:p>
        </w:tc>
        <w:tc>
          <w:tcPr>
            <w:tcW w:w="899" w:type="pct"/>
            <w:vAlign w:val="center"/>
          </w:tcPr>
          <w:p w14:paraId="5B81CCFA"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中心点迁移距离（</w:t>
            </w:r>
            <w:r w:rsidRPr="00E67914">
              <w:rPr>
                <w:rFonts w:ascii="Times New Roman" w:hAnsi="Times New Roman"/>
                <w:b/>
                <w:sz w:val="21"/>
                <w:szCs w:val="21"/>
                <w:lang w:eastAsia="zh-CN"/>
              </w:rPr>
              <w:t>m</w:t>
            </w:r>
            <w:r w:rsidRPr="00E67914">
              <w:rPr>
                <w:rFonts w:ascii="Times New Roman" w:hAnsi="Times New Roman"/>
                <w:b/>
                <w:sz w:val="21"/>
                <w:szCs w:val="21"/>
                <w:lang w:eastAsia="zh-CN"/>
              </w:rPr>
              <w:t>）</w:t>
            </w:r>
          </w:p>
        </w:tc>
        <w:tc>
          <w:tcPr>
            <w:tcW w:w="900" w:type="pct"/>
            <w:vAlign w:val="center"/>
          </w:tcPr>
          <w:p w14:paraId="1DA17009"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中心点处浓度（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900" w:type="pct"/>
            <w:vAlign w:val="center"/>
          </w:tcPr>
          <w:p w14:paraId="5553BB3F"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叠加后浓度（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800" w:type="pct"/>
            <w:vAlign w:val="center"/>
          </w:tcPr>
          <w:p w14:paraId="08433FA6"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最远超标距离（</w:t>
            </w:r>
            <w:r w:rsidRPr="00E67914">
              <w:rPr>
                <w:rFonts w:ascii="Times New Roman" w:hAnsi="Times New Roman"/>
                <w:b/>
                <w:sz w:val="21"/>
                <w:szCs w:val="21"/>
              </w:rPr>
              <w:t>m</w:t>
            </w:r>
            <w:r w:rsidRPr="00E67914">
              <w:rPr>
                <w:rFonts w:ascii="Times New Roman" w:hAnsi="Times New Roman"/>
                <w:b/>
                <w:sz w:val="21"/>
                <w:szCs w:val="21"/>
              </w:rPr>
              <w:t>）</w:t>
            </w:r>
          </w:p>
        </w:tc>
        <w:tc>
          <w:tcPr>
            <w:tcW w:w="827" w:type="pct"/>
            <w:vAlign w:val="center"/>
          </w:tcPr>
          <w:p w14:paraId="16ED7C0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最远影响距离（</w:t>
            </w:r>
            <w:r w:rsidRPr="00E67914">
              <w:rPr>
                <w:rFonts w:ascii="Times New Roman" w:hAnsi="Times New Roman"/>
                <w:b/>
                <w:sz w:val="21"/>
                <w:szCs w:val="21"/>
              </w:rPr>
              <w:t>m</w:t>
            </w:r>
            <w:r w:rsidRPr="00E67914">
              <w:rPr>
                <w:rFonts w:ascii="Times New Roman" w:hAnsi="Times New Roman"/>
                <w:b/>
                <w:sz w:val="21"/>
                <w:szCs w:val="21"/>
              </w:rPr>
              <w:t>）</w:t>
            </w:r>
          </w:p>
        </w:tc>
      </w:tr>
      <w:tr w:rsidR="00E67914" w:rsidRPr="00E67914" w14:paraId="65D65E41" w14:textId="77777777" w:rsidTr="00DD7605">
        <w:trPr>
          <w:jc w:val="center"/>
        </w:trPr>
        <w:tc>
          <w:tcPr>
            <w:tcW w:w="673" w:type="pct"/>
            <w:vAlign w:val="center"/>
          </w:tcPr>
          <w:p w14:paraId="55716C40" w14:textId="77777777"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100d</w:t>
            </w:r>
          </w:p>
        </w:tc>
        <w:tc>
          <w:tcPr>
            <w:tcW w:w="899" w:type="pct"/>
            <w:vAlign w:val="center"/>
          </w:tcPr>
          <w:p w14:paraId="7B52BBB2" w14:textId="762DA6A9"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15</w:t>
            </w:r>
          </w:p>
        </w:tc>
        <w:tc>
          <w:tcPr>
            <w:tcW w:w="900" w:type="pct"/>
            <w:vAlign w:val="center"/>
          </w:tcPr>
          <w:p w14:paraId="2FF7A3CF" w14:textId="12A1E651"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61.51</w:t>
            </w:r>
          </w:p>
        </w:tc>
        <w:tc>
          <w:tcPr>
            <w:tcW w:w="900" w:type="pct"/>
            <w:vAlign w:val="bottom"/>
          </w:tcPr>
          <w:p w14:paraId="4A5417B0" w14:textId="60CCE8DF"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63.62</w:t>
            </w:r>
          </w:p>
        </w:tc>
        <w:tc>
          <w:tcPr>
            <w:tcW w:w="800" w:type="pct"/>
            <w:vAlign w:val="center"/>
          </w:tcPr>
          <w:p w14:paraId="171D8C76" w14:textId="7D2F6F33"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58</w:t>
            </w:r>
          </w:p>
        </w:tc>
        <w:tc>
          <w:tcPr>
            <w:tcW w:w="827" w:type="pct"/>
            <w:vAlign w:val="center"/>
          </w:tcPr>
          <w:p w14:paraId="63A25651" w14:textId="3EFF1E6B"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60</w:t>
            </w:r>
          </w:p>
        </w:tc>
      </w:tr>
      <w:tr w:rsidR="00E67914" w:rsidRPr="00E67914" w14:paraId="446858F2" w14:textId="77777777" w:rsidTr="00DD7605">
        <w:trPr>
          <w:jc w:val="center"/>
        </w:trPr>
        <w:tc>
          <w:tcPr>
            <w:tcW w:w="673" w:type="pct"/>
            <w:vAlign w:val="center"/>
          </w:tcPr>
          <w:p w14:paraId="6BEAD4FA" w14:textId="77777777"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365d</w:t>
            </w:r>
          </w:p>
        </w:tc>
        <w:tc>
          <w:tcPr>
            <w:tcW w:w="899" w:type="pct"/>
            <w:vAlign w:val="center"/>
          </w:tcPr>
          <w:p w14:paraId="2AF97435" w14:textId="358D8FED"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55</w:t>
            </w:r>
          </w:p>
        </w:tc>
        <w:tc>
          <w:tcPr>
            <w:tcW w:w="900" w:type="pct"/>
            <w:vAlign w:val="center"/>
          </w:tcPr>
          <w:p w14:paraId="3EEBD29F" w14:textId="44A50136"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16.85</w:t>
            </w:r>
          </w:p>
        </w:tc>
        <w:tc>
          <w:tcPr>
            <w:tcW w:w="900" w:type="pct"/>
            <w:vAlign w:val="bottom"/>
          </w:tcPr>
          <w:p w14:paraId="77FBEE88" w14:textId="300EAB46"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18.96</w:t>
            </w:r>
          </w:p>
        </w:tc>
        <w:tc>
          <w:tcPr>
            <w:tcW w:w="800" w:type="pct"/>
            <w:vAlign w:val="center"/>
          </w:tcPr>
          <w:p w14:paraId="16FAD045" w14:textId="626F0817"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116</w:t>
            </w:r>
          </w:p>
        </w:tc>
        <w:tc>
          <w:tcPr>
            <w:tcW w:w="827" w:type="pct"/>
            <w:vAlign w:val="center"/>
          </w:tcPr>
          <w:p w14:paraId="2F149A18" w14:textId="2D4A3468"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122</w:t>
            </w:r>
          </w:p>
        </w:tc>
      </w:tr>
      <w:tr w:rsidR="00E67914" w:rsidRPr="00E67914" w14:paraId="76CC89CA" w14:textId="77777777" w:rsidTr="00DD7605">
        <w:trPr>
          <w:jc w:val="center"/>
        </w:trPr>
        <w:tc>
          <w:tcPr>
            <w:tcW w:w="673" w:type="pct"/>
            <w:vAlign w:val="center"/>
          </w:tcPr>
          <w:p w14:paraId="722907AA" w14:textId="77777777"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1000d</w:t>
            </w:r>
          </w:p>
        </w:tc>
        <w:tc>
          <w:tcPr>
            <w:tcW w:w="899" w:type="pct"/>
            <w:vAlign w:val="center"/>
          </w:tcPr>
          <w:p w14:paraId="2B17F71A" w14:textId="61FFC7D0"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c>
          <w:tcPr>
            <w:tcW w:w="900" w:type="pct"/>
            <w:vAlign w:val="center"/>
          </w:tcPr>
          <w:p w14:paraId="516F5B1D" w14:textId="13FD000C"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6.15</w:t>
            </w:r>
          </w:p>
        </w:tc>
        <w:tc>
          <w:tcPr>
            <w:tcW w:w="900" w:type="pct"/>
            <w:vAlign w:val="bottom"/>
          </w:tcPr>
          <w:p w14:paraId="380749FE" w14:textId="3DCD645C"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8.26</w:t>
            </w:r>
          </w:p>
        </w:tc>
        <w:tc>
          <w:tcPr>
            <w:tcW w:w="800" w:type="pct"/>
            <w:vAlign w:val="center"/>
          </w:tcPr>
          <w:p w14:paraId="0AAE62AE" w14:textId="42CAD28F"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216</w:t>
            </w:r>
          </w:p>
        </w:tc>
        <w:tc>
          <w:tcPr>
            <w:tcW w:w="827" w:type="pct"/>
            <w:vAlign w:val="center"/>
          </w:tcPr>
          <w:p w14:paraId="5F0C52AC" w14:textId="125DD2BE"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230</w:t>
            </w:r>
          </w:p>
        </w:tc>
      </w:tr>
      <w:tr w:rsidR="00E67914" w:rsidRPr="00E67914" w14:paraId="5888BCBB" w14:textId="77777777" w:rsidTr="00DD7605">
        <w:trPr>
          <w:jc w:val="center"/>
        </w:trPr>
        <w:tc>
          <w:tcPr>
            <w:tcW w:w="673" w:type="pct"/>
            <w:vAlign w:val="center"/>
          </w:tcPr>
          <w:p w14:paraId="1FCF0D82" w14:textId="77777777"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3650d</w:t>
            </w:r>
          </w:p>
        </w:tc>
        <w:tc>
          <w:tcPr>
            <w:tcW w:w="899" w:type="pct"/>
            <w:vAlign w:val="center"/>
          </w:tcPr>
          <w:p w14:paraId="65460945" w14:textId="1755900D"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550</w:t>
            </w:r>
          </w:p>
        </w:tc>
        <w:tc>
          <w:tcPr>
            <w:tcW w:w="900" w:type="pct"/>
            <w:vAlign w:val="center"/>
          </w:tcPr>
          <w:p w14:paraId="4ADE7C20" w14:textId="3EA132E0"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1.68</w:t>
            </w:r>
          </w:p>
        </w:tc>
        <w:tc>
          <w:tcPr>
            <w:tcW w:w="900" w:type="pct"/>
            <w:vAlign w:val="bottom"/>
          </w:tcPr>
          <w:p w14:paraId="544CAC38" w14:textId="0B9005A7" w:rsidR="00093B37" w:rsidRPr="00E67914" w:rsidRDefault="00093B37" w:rsidP="00093B37">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3.79</w:t>
            </w:r>
          </w:p>
        </w:tc>
        <w:tc>
          <w:tcPr>
            <w:tcW w:w="800" w:type="pct"/>
            <w:vAlign w:val="center"/>
          </w:tcPr>
          <w:p w14:paraId="1C77BCF5" w14:textId="77777777"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c>
          <w:tcPr>
            <w:tcW w:w="827" w:type="pct"/>
            <w:vAlign w:val="center"/>
          </w:tcPr>
          <w:p w14:paraId="3898C9F6" w14:textId="3FF28D6B" w:rsidR="00093B37" w:rsidRPr="00E67914" w:rsidRDefault="00093B37" w:rsidP="00093B37">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r>
    </w:tbl>
    <w:p w14:paraId="10BD2E06" w14:textId="1E2187AD" w:rsidR="00A54A8A" w:rsidRPr="00E67914" w:rsidRDefault="00093B37">
      <w:pPr>
        <w:snapToGrid w:val="0"/>
        <w:rPr>
          <w:rFonts w:ascii="Times New Roman" w:hAnsi="Times New Roman"/>
          <w:bCs/>
          <w:sz w:val="21"/>
          <w:szCs w:val="21"/>
        </w:rPr>
      </w:pPr>
      <w:r w:rsidRPr="00E67914">
        <w:rPr>
          <w:rFonts w:ascii="Times New Roman" w:hAnsi="Times New Roman"/>
          <w:noProof/>
        </w:rPr>
        <w:drawing>
          <wp:inline distT="0" distB="0" distL="0" distR="0" wp14:anchorId="259A03DC" wp14:editId="5B6F898C">
            <wp:extent cx="2619375" cy="1746250"/>
            <wp:effectExtent l="0" t="0" r="9525" b="6350"/>
            <wp:docPr id="2027771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71166" name=""/>
                    <pic:cNvPicPr/>
                  </pic:nvPicPr>
                  <pic:blipFill>
                    <a:blip r:embed="rId80"/>
                    <a:stretch>
                      <a:fillRect/>
                    </a:stretch>
                  </pic:blipFill>
                  <pic:spPr>
                    <a:xfrm>
                      <a:off x="0" y="0"/>
                      <a:ext cx="2619375" cy="1746250"/>
                    </a:xfrm>
                    <a:prstGeom prst="rect">
                      <a:avLst/>
                    </a:prstGeom>
                  </pic:spPr>
                </pic:pic>
              </a:graphicData>
            </a:graphic>
          </wp:inline>
        </w:drawing>
      </w:r>
      <w:r w:rsidRPr="00E67914">
        <w:rPr>
          <w:rFonts w:ascii="Times New Roman" w:hAnsi="Times New Roman"/>
          <w:noProof/>
        </w:rPr>
        <w:drawing>
          <wp:inline distT="0" distB="0" distL="0" distR="0" wp14:anchorId="075EC8ED" wp14:editId="536CB6E3">
            <wp:extent cx="2621280" cy="1747520"/>
            <wp:effectExtent l="0" t="0" r="7620" b="5080"/>
            <wp:docPr id="1842683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683271" name=""/>
                    <pic:cNvPicPr/>
                  </pic:nvPicPr>
                  <pic:blipFill>
                    <a:blip r:embed="rId81"/>
                    <a:stretch>
                      <a:fillRect/>
                    </a:stretch>
                  </pic:blipFill>
                  <pic:spPr>
                    <a:xfrm>
                      <a:off x="0" y="0"/>
                      <a:ext cx="2621280" cy="1747520"/>
                    </a:xfrm>
                    <a:prstGeom prst="rect">
                      <a:avLst/>
                    </a:prstGeom>
                  </pic:spPr>
                </pic:pic>
              </a:graphicData>
            </a:graphic>
          </wp:inline>
        </w:drawing>
      </w:r>
    </w:p>
    <w:p w14:paraId="449B58B9" w14:textId="77777777" w:rsidR="00A54A8A" w:rsidRPr="00E67914" w:rsidRDefault="00000000">
      <w:pPr>
        <w:pStyle w:val="af4"/>
        <w:snapToGrid w:val="0"/>
        <w:jc w:val="center"/>
        <w:rPr>
          <w:rFonts w:ascii="Times New Roman" w:hAnsi="Times New Roman"/>
          <w:bCs/>
          <w:sz w:val="21"/>
          <w:szCs w:val="21"/>
        </w:rPr>
      </w:pPr>
      <w:r w:rsidRPr="00E67914">
        <w:rPr>
          <w:rFonts w:ascii="Times New Roman" w:hAnsi="Times New Roman"/>
          <w:bCs/>
          <w:sz w:val="21"/>
          <w:szCs w:val="21"/>
        </w:rPr>
        <w:t>100d                                                                      365d</w:t>
      </w:r>
    </w:p>
    <w:p w14:paraId="16A7820F" w14:textId="0FC534AE" w:rsidR="00A54A8A" w:rsidRPr="00E67914" w:rsidRDefault="00093B37">
      <w:pPr>
        <w:rPr>
          <w:rFonts w:ascii="Times New Roman" w:hAnsi="Times New Roman"/>
          <w:bCs/>
          <w:sz w:val="21"/>
          <w:szCs w:val="21"/>
          <w:lang w:eastAsia="zh-CN"/>
        </w:rPr>
      </w:pPr>
      <w:r w:rsidRPr="00E67914">
        <w:rPr>
          <w:rFonts w:ascii="Times New Roman" w:hAnsi="Times New Roman"/>
          <w:noProof/>
        </w:rPr>
        <w:drawing>
          <wp:inline distT="0" distB="0" distL="0" distR="0" wp14:anchorId="77C16A94" wp14:editId="6A417449">
            <wp:extent cx="2597150" cy="1731434"/>
            <wp:effectExtent l="0" t="0" r="0" b="2540"/>
            <wp:docPr id="1819319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19166" name=""/>
                    <pic:cNvPicPr/>
                  </pic:nvPicPr>
                  <pic:blipFill>
                    <a:blip r:embed="rId82"/>
                    <a:stretch>
                      <a:fillRect/>
                    </a:stretch>
                  </pic:blipFill>
                  <pic:spPr>
                    <a:xfrm>
                      <a:off x="0" y="0"/>
                      <a:ext cx="2599049" cy="1732700"/>
                    </a:xfrm>
                    <a:prstGeom prst="rect">
                      <a:avLst/>
                    </a:prstGeom>
                  </pic:spPr>
                </pic:pic>
              </a:graphicData>
            </a:graphic>
          </wp:inline>
        </w:drawing>
      </w:r>
      <w:r w:rsidRPr="00E67914">
        <w:rPr>
          <w:rFonts w:ascii="Times New Roman" w:hAnsi="Times New Roman"/>
          <w:noProof/>
        </w:rPr>
        <w:drawing>
          <wp:inline distT="0" distB="0" distL="0" distR="0" wp14:anchorId="1B829F00" wp14:editId="61A3C5E6">
            <wp:extent cx="2600325" cy="1733550"/>
            <wp:effectExtent l="0" t="0" r="9525" b="0"/>
            <wp:docPr id="1155672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72622" name=""/>
                    <pic:cNvPicPr/>
                  </pic:nvPicPr>
                  <pic:blipFill>
                    <a:blip r:embed="rId83"/>
                    <a:stretch>
                      <a:fillRect/>
                    </a:stretch>
                  </pic:blipFill>
                  <pic:spPr>
                    <a:xfrm>
                      <a:off x="0" y="0"/>
                      <a:ext cx="2600325" cy="1733550"/>
                    </a:xfrm>
                    <a:prstGeom prst="rect">
                      <a:avLst/>
                    </a:prstGeom>
                  </pic:spPr>
                </pic:pic>
              </a:graphicData>
            </a:graphic>
          </wp:inline>
        </w:drawing>
      </w:r>
    </w:p>
    <w:p w14:paraId="33352C8D" w14:textId="77777777" w:rsidR="00A54A8A" w:rsidRPr="00E67914" w:rsidRDefault="00000000">
      <w:pPr>
        <w:pStyle w:val="af4"/>
        <w:snapToGrid w:val="0"/>
        <w:jc w:val="center"/>
        <w:rPr>
          <w:rFonts w:ascii="Times New Roman" w:hAnsi="Times New Roman"/>
          <w:bCs/>
          <w:sz w:val="21"/>
          <w:szCs w:val="21"/>
        </w:rPr>
      </w:pPr>
      <w:r w:rsidRPr="00E67914">
        <w:rPr>
          <w:rFonts w:ascii="Times New Roman" w:hAnsi="Times New Roman"/>
          <w:bCs/>
          <w:sz w:val="21"/>
          <w:szCs w:val="21"/>
        </w:rPr>
        <w:t>1000d                                                                      3650d</w:t>
      </w:r>
    </w:p>
    <w:p w14:paraId="19FAF26B" w14:textId="0488989A"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5.3-1 </w:t>
      </w:r>
      <w:r w:rsidR="00CC2D4A" w:rsidRPr="00E67914">
        <w:rPr>
          <w:rFonts w:ascii="Times New Roman" w:eastAsia="黑体" w:hAnsi="Times New Roman"/>
          <w:sz w:val="21"/>
          <w:szCs w:val="21"/>
          <w:lang w:eastAsia="zh-CN"/>
        </w:rPr>
        <w:t>放喷池</w:t>
      </w:r>
      <w:r w:rsidRPr="00E67914">
        <w:rPr>
          <w:rFonts w:ascii="Times New Roman" w:eastAsia="黑体" w:hAnsi="Times New Roman"/>
          <w:sz w:val="21"/>
          <w:szCs w:val="21"/>
          <w:lang w:eastAsia="zh-CN"/>
        </w:rPr>
        <w:t>泄漏不同预测时间</w:t>
      </w:r>
      <w:r w:rsidRPr="00E67914">
        <w:rPr>
          <w:rFonts w:ascii="Times New Roman" w:eastAsia="黑体" w:hAnsi="Times New Roman"/>
          <w:sz w:val="21"/>
          <w:szCs w:val="21"/>
          <w:lang w:eastAsia="zh-CN"/>
        </w:rPr>
        <w:t>COD</w:t>
      </w:r>
      <w:r w:rsidRPr="00E67914">
        <w:rPr>
          <w:rFonts w:ascii="Times New Roman" w:eastAsia="黑体" w:hAnsi="Times New Roman"/>
          <w:sz w:val="21"/>
          <w:szCs w:val="21"/>
          <w:vertAlign w:val="subscript"/>
          <w:lang w:eastAsia="zh-CN"/>
        </w:rPr>
        <w:t>Mn</w:t>
      </w:r>
      <w:r w:rsidRPr="00E67914">
        <w:rPr>
          <w:rFonts w:ascii="Times New Roman" w:eastAsia="黑体" w:hAnsi="Times New Roman"/>
          <w:sz w:val="21"/>
          <w:szCs w:val="21"/>
          <w:lang w:eastAsia="zh-CN"/>
        </w:rPr>
        <w:t>贡献值与距离浓度关系图</w:t>
      </w:r>
    </w:p>
    <w:p w14:paraId="4B32BA81" w14:textId="77777777" w:rsidR="00A54A8A" w:rsidRPr="00E67914" w:rsidRDefault="00000000">
      <w:pPr>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lastRenderedPageBreak/>
        <w:t>②</w:t>
      </w:r>
      <w:r w:rsidRPr="00E67914">
        <w:rPr>
          <w:rFonts w:ascii="Times New Roman" w:hAnsi="Times New Roman"/>
          <w:sz w:val="24"/>
          <w:szCs w:val="24"/>
          <w:lang w:eastAsia="zh-CN"/>
        </w:rPr>
        <w:t>地下水中石油类的超标及影响距离计算结果见表</w:t>
      </w:r>
      <w:r w:rsidRPr="00E67914">
        <w:rPr>
          <w:rFonts w:ascii="Times New Roman" w:hAnsi="Times New Roman"/>
          <w:sz w:val="24"/>
          <w:szCs w:val="24"/>
          <w:lang w:eastAsia="zh-CN"/>
        </w:rPr>
        <w:t>5.3-4</w:t>
      </w:r>
      <w:r w:rsidRPr="00E67914">
        <w:rPr>
          <w:rFonts w:ascii="Times New Roman" w:hAnsi="Times New Roman"/>
          <w:sz w:val="24"/>
          <w:szCs w:val="24"/>
          <w:lang w:eastAsia="zh-CN"/>
        </w:rPr>
        <w:t>及图</w:t>
      </w:r>
      <w:r w:rsidRPr="00E67914">
        <w:rPr>
          <w:rFonts w:ascii="Times New Roman" w:hAnsi="Times New Roman"/>
          <w:sz w:val="24"/>
          <w:szCs w:val="24"/>
          <w:lang w:eastAsia="zh-CN"/>
        </w:rPr>
        <w:t>5.3-2</w:t>
      </w:r>
      <w:r w:rsidRPr="00E67914">
        <w:rPr>
          <w:rFonts w:ascii="Times New Roman" w:hAnsi="Times New Roman"/>
          <w:sz w:val="24"/>
          <w:szCs w:val="24"/>
          <w:lang w:eastAsia="zh-CN"/>
        </w:rPr>
        <w:t>。</w:t>
      </w:r>
    </w:p>
    <w:p w14:paraId="7429B336" w14:textId="017EAA85"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5.3-4  </w:t>
      </w:r>
      <w:r w:rsidR="00CC2D4A" w:rsidRPr="00E67914">
        <w:rPr>
          <w:rFonts w:ascii="Times New Roman" w:eastAsia="黑体" w:hAnsi="Times New Roman"/>
          <w:sz w:val="21"/>
          <w:szCs w:val="21"/>
          <w:lang w:eastAsia="zh-CN"/>
        </w:rPr>
        <w:t>放喷池</w:t>
      </w:r>
      <w:r w:rsidRPr="00E67914">
        <w:rPr>
          <w:rFonts w:ascii="Times New Roman" w:eastAsia="黑体" w:hAnsi="Times New Roman"/>
          <w:sz w:val="21"/>
          <w:szCs w:val="21"/>
          <w:lang w:eastAsia="zh-CN"/>
        </w:rPr>
        <w:t>泄漏地下水中石油类超标及影响距离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18"/>
        <w:gridCol w:w="1492"/>
        <w:gridCol w:w="1494"/>
        <w:gridCol w:w="1494"/>
        <w:gridCol w:w="1328"/>
        <w:gridCol w:w="1374"/>
      </w:tblGrid>
      <w:tr w:rsidR="00E67914" w:rsidRPr="00E67914" w14:paraId="423C4F32" w14:textId="77777777">
        <w:trPr>
          <w:trHeight w:val="590"/>
          <w:jc w:val="center"/>
        </w:trPr>
        <w:tc>
          <w:tcPr>
            <w:tcW w:w="673" w:type="pct"/>
            <w:vAlign w:val="center"/>
          </w:tcPr>
          <w:p w14:paraId="7ECD2256"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污染时间</w:t>
            </w:r>
          </w:p>
        </w:tc>
        <w:tc>
          <w:tcPr>
            <w:tcW w:w="899" w:type="pct"/>
            <w:vAlign w:val="center"/>
          </w:tcPr>
          <w:p w14:paraId="1EAB4A09"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中心点迁移距离（</w:t>
            </w:r>
            <w:r w:rsidRPr="00E67914">
              <w:rPr>
                <w:rFonts w:ascii="Times New Roman" w:hAnsi="Times New Roman"/>
                <w:b/>
                <w:sz w:val="21"/>
                <w:szCs w:val="21"/>
                <w:lang w:eastAsia="zh-CN"/>
              </w:rPr>
              <w:t>m</w:t>
            </w:r>
            <w:r w:rsidRPr="00E67914">
              <w:rPr>
                <w:rFonts w:ascii="Times New Roman" w:hAnsi="Times New Roman"/>
                <w:b/>
                <w:sz w:val="21"/>
                <w:szCs w:val="21"/>
                <w:lang w:eastAsia="zh-CN"/>
              </w:rPr>
              <w:t>）</w:t>
            </w:r>
          </w:p>
        </w:tc>
        <w:tc>
          <w:tcPr>
            <w:tcW w:w="900" w:type="pct"/>
            <w:vAlign w:val="center"/>
          </w:tcPr>
          <w:p w14:paraId="2C43FA70"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中心点处浓度（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900" w:type="pct"/>
            <w:vAlign w:val="center"/>
          </w:tcPr>
          <w:p w14:paraId="46EB52E2"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叠加后浓度（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800" w:type="pct"/>
            <w:vAlign w:val="center"/>
          </w:tcPr>
          <w:p w14:paraId="4CD78AC8"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最远超标距离（</w:t>
            </w:r>
            <w:r w:rsidRPr="00E67914">
              <w:rPr>
                <w:rFonts w:ascii="Times New Roman" w:hAnsi="Times New Roman"/>
                <w:b/>
                <w:sz w:val="21"/>
                <w:szCs w:val="21"/>
              </w:rPr>
              <w:t>m</w:t>
            </w:r>
            <w:r w:rsidRPr="00E67914">
              <w:rPr>
                <w:rFonts w:ascii="Times New Roman" w:hAnsi="Times New Roman"/>
                <w:b/>
                <w:sz w:val="21"/>
                <w:szCs w:val="21"/>
              </w:rPr>
              <w:t>）</w:t>
            </w:r>
          </w:p>
        </w:tc>
        <w:tc>
          <w:tcPr>
            <w:tcW w:w="828" w:type="pct"/>
            <w:vAlign w:val="center"/>
          </w:tcPr>
          <w:p w14:paraId="03F3FCF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最远影响距离（</w:t>
            </w:r>
            <w:r w:rsidRPr="00E67914">
              <w:rPr>
                <w:rFonts w:ascii="Times New Roman" w:hAnsi="Times New Roman"/>
                <w:b/>
                <w:sz w:val="21"/>
                <w:szCs w:val="21"/>
              </w:rPr>
              <w:t>m</w:t>
            </w:r>
            <w:r w:rsidRPr="00E67914">
              <w:rPr>
                <w:rFonts w:ascii="Times New Roman" w:hAnsi="Times New Roman"/>
                <w:b/>
                <w:sz w:val="21"/>
                <w:szCs w:val="21"/>
              </w:rPr>
              <w:t>）</w:t>
            </w:r>
          </w:p>
        </w:tc>
      </w:tr>
      <w:tr w:rsidR="00E67914" w:rsidRPr="00E67914" w14:paraId="62EB1F73" w14:textId="77777777">
        <w:trPr>
          <w:trHeight w:val="270"/>
          <w:jc w:val="center"/>
        </w:trPr>
        <w:tc>
          <w:tcPr>
            <w:tcW w:w="673" w:type="pct"/>
            <w:vAlign w:val="center"/>
          </w:tcPr>
          <w:p w14:paraId="1EB7053C"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100d</w:t>
            </w:r>
          </w:p>
        </w:tc>
        <w:tc>
          <w:tcPr>
            <w:tcW w:w="899" w:type="pct"/>
            <w:vAlign w:val="center"/>
          </w:tcPr>
          <w:p w14:paraId="6E50A0FE" w14:textId="4ABC3C15"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15</w:t>
            </w:r>
          </w:p>
        </w:tc>
        <w:tc>
          <w:tcPr>
            <w:tcW w:w="900" w:type="pct"/>
            <w:vAlign w:val="center"/>
          </w:tcPr>
          <w:p w14:paraId="263D1414" w14:textId="2B54D074"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2.46</w:t>
            </w:r>
          </w:p>
        </w:tc>
        <w:tc>
          <w:tcPr>
            <w:tcW w:w="900" w:type="pct"/>
            <w:vAlign w:val="center"/>
          </w:tcPr>
          <w:p w14:paraId="10381B03" w14:textId="1FF8365F"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2.46</w:t>
            </w:r>
          </w:p>
        </w:tc>
        <w:tc>
          <w:tcPr>
            <w:tcW w:w="800" w:type="pct"/>
            <w:vAlign w:val="center"/>
          </w:tcPr>
          <w:p w14:paraId="5370EA1A" w14:textId="424E4DEE"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63</w:t>
            </w:r>
          </w:p>
        </w:tc>
        <w:tc>
          <w:tcPr>
            <w:tcW w:w="828" w:type="pct"/>
            <w:vAlign w:val="center"/>
          </w:tcPr>
          <w:p w14:paraId="2DD1C123" w14:textId="7E875CF4"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73</w:t>
            </w:r>
          </w:p>
        </w:tc>
      </w:tr>
      <w:tr w:rsidR="00E67914" w:rsidRPr="00E67914" w14:paraId="1FF3CE7B" w14:textId="77777777">
        <w:trPr>
          <w:trHeight w:val="248"/>
          <w:jc w:val="center"/>
        </w:trPr>
        <w:tc>
          <w:tcPr>
            <w:tcW w:w="673" w:type="pct"/>
            <w:vAlign w:val="center"/>
          </w:tcPr>
          <w:p w14:paraId="71226068"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365d</w:t>
            </w:r>
          </w:p>
        </w:tc>
        <w:tc>
          <w:tcPr>
            <w:tcW w:w="899" w:type="pct"/>
            <w:vAlign w:val="center"/>
          </w:tcPr>
          <w:p w14:paraId="4ED9699F" w14:textId="3C944D19"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55</w:t>
            </w:r>
          </w:p>
        </w:tc>
        <w:tc>
          <w:tcPr>
            <w:tcW w:w="900" w:type="pct"/>
            <w:vAlign w:val="center"/>
          </w:tcPr>
          <w:p w14:paraId="05B5CBB6" w14:textId="5CD8D0CC"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0.67</w:t>
            </w:r>
          </w:p>
        </w:tc>
        <w:tc>
          <w:tcPr>
            <w:tcW w:w="900" w:type="pct"/>
            <w:vAlign w:val="center"/>
          </w:tcPr>
          <w:p w14:paraId="2A54BB84" w14:textId="104AA36C"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0.67</w:t>
            </w:r>
          </w:p>
        </w:tc>
        <w:tc>
          <w:tcPr>
            <w:tcW w:w="800" w:type="pct"/>
            <w:vAlign w:val="center"/>
          </w:tcPr>
          <w:p w14:paraId="0FAA8BDA" w14:textId="4A47274F"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130</w:t>
            </w:r>
          </w:p>
        </w:tc>
        <w:tc>
          <w:tcPr>
            <w:tcW w:w="828" w:type="pct"/>
            <w:vAlign w:val="center"/>
          </w:tcPr>
          <w:p w14:paraId="1CC3D5F5" w14:textId="2D8A794D"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r>
      <w:tr w:rsidR="00E67914" w:rsidRPr="00E67914" w14:paraId="4DF4424F" w14:textId="77777777">
        <w:trPr>
          <w:trHeight w:val="270"/>
          <w:jc w:val="center"/>
        </w:trPr>
        <w:tc>
          <w:tcPr>
            <w:tcW w:w="673" w:type="pct"/>
            <w:vAlign w:val="center"/>
          </w:tcPr>
          <w:p w14:paraId="6744FA2E"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1000d</w:t>
            </w:r>
          </w:p>
        </w:tc>
        <w:tc>
          <w:tcPr>
            <w:tcW w:w="899" w:type="pct"/>
            <w:vAlign w:val="center"/>
          </w:tcPr>
          <w:p w14:paraId="5C3EAB13" w14:textId="67A375CF"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150</w:t>
            </w:r>
          </w:p>
        </w:tc>
        <w:tc>
          <w:tcPr>
            <w:tcW w:w="900" w:type="pct"/>
            <w:vAlign w:val="center"/>
          </w:tcPr>
          <w:p w14:paraId="6B35D51C" w14:textId="7CF7CC94"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0.25</w:t>
            </w:r>
          </w:p>
        </w:tc>
        <w:tc>
          <w:tcPr>
            <w:tcW w:w="900" w:type="pct"/>
            <w:vAlign w:val="center"/>
          </w:tcPr>
          <w:p w14:paraId="0B3D91E1" w14:textId="1A6C0F99"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0.25</w:t>
            </w:r>
          </w:p>
        </w:tc>
        <w:tc>
          <w:tcPr>
            <w:tcW w:w="800" w:type="pct"/>
            <w:vAlign w:val="center"/>
          </w:tcPr>
          <w:p w14:paraId="54121E35" w14:textId="544D923A"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224</w:t>
            </w:r>
          </w:p>
        </w:tc>
        <w:tc>
          <w:tcPr>
            <w:tcW w:w="828" w:type="pct"/>
            <w:vAlign w:val="center"/>
          </w:tcPr>
          <w:p w14:paraId="561DBD4E" w14:textId="7AA003C1"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289</w:t>
            </w:r>
          </w:p>
        </w:tc>
      </w:tr>
      <w:tr w:rsidR="00E67914" w:rsidRPr="00E67914" w14:paraId="20A1B591" w14:textId="77777777">
        <w:trPr>
          <w:trHeight w:val="248"/>
          <w:jc w:val="center"/>
        </w:trPr>
        <w:tc>
          <w:tcPr>
            <w:tcW w:w="673" w:type="pct"/>
            <w:vAlign w:val="center"/>
          </w:tcPr>
          <w:p w14:paraId="2EA0BCE6"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3650d</w:t>
            </w:r>
          </w:p>
        </w:tc>
        <w:tc>
          <w:tcPr>
            <w:tcW w:w="899" w:type="pct"/>
            <w:vAlign w:val="center"/>
          </w:tcPr>
          <w:p w14:paraId="677B821E" w14:textId="57BE6F8D"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550</w:t>
            </w:r>
          </w:p>
        </w:tc>
        <w:tc>
          <w:tcPr>
            <w:tcW w:w="900" w:type="pct"/>
            <w:vAlign w:val="center"/>
          </w:tcPr>
          <w:p w14:paraId="083BAC71" w14:textId="603620F4"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0.07</w:t>
            </w:r>
          </w:p>
        </w:tc>
        <w:tc>
          <w:tcPr>
            <w:tcW w:w="900" w:type="pct"/>
            <w:vAlign w:val="center"/>
          </w:tcPr>
          <w:p w14:paraId="745321F8" w14:textId="3E9F1E40"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0.07</w:t>
            </w:r>
          </w:p>
        </w:tc>
        <w:tc>
          <w:tcPr>
            <w:tcW w:w="800" w:type="pct"/>
            <w:vAlign w:val="center"/>
          </w:tcPr>
          <w:p w14:paraId="344B2CC4" w14:textId="681BF4A1"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626</w:t>
            </w:r>
          </w:p>
        </w:tc>
        <w:tc>
          <w:tcPr>
            <w:tcW w:w="828" w:type="pct"/>
            <w:vAlign w:val="center"/>
          </w:tcPr>
          <w:p w14:paraId="430136D7" w14:textId="3A6F0AA7"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752</w:t>
            </w:r>
          </w:p>
        </w:tc>
      </w:tr>
    </w:tbl>
    <w:p w14:paraId="76BF3EE2" w14:textId="7DC61BDF" w:rsidR="00A54A8A" w:rsidRPr="00E67914" w:rsidRDefault="00872DA3">
      <w:pPr>
        <w:adjustRightInd w:val="0"/>
        <w:snapToGrid w:val="0"/>
        <w:jc w:val="center"/>
        <w:rPr>
          <w:rFonts w:ascii="Times New Roman" w:hAnsi="Times New Roman"/>
          <w:bCs/>
          <w:sz w:val="21"/>
          <w:szCs w:val="21"/>
        </w:rPr>
      </w:pPr>
      <w:r w:rsidRPr="00E67914">
        <w:rPr>
          <w:rFonts w:ascii="Times New Roman" w:hAnsi="Times New Roman"/>
          <w:noProof/>
        </w:rPr>
        <w:drawing>
          <wp:inline distT="0" distB="0" distL="0" distR="0" wp14:anchorId="206B6996" wp14:editId="0779A017">
            <wp:extent cx="2621915" cy="1747944"/>
            <wp:effectExtent l="0" t="0" r="6985" b="5080"/>
            <wp:docPr id="1794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67" name=""/>
                    <pic:cNvPicPr/>
                  </pic:nvPicPr>
                  <pic:blipFill>
                    <a:blip r:embed="rId84"/>
                    <a:stretch>
                      <a:fillRect/>
                    </a:stretch>
                  </pic:blipFill>
                  <pic:spPr>
                    <a:xfrm>
                      <a:off x="0" y="0"/>
                      <a:ext cx="2623814" cy="1749210"/>
                    </a:xfrm>
                    <a:prstGeom prst="rect">
                      <a:avLst/>
                    </a:prstGeom>
                  </pic:spPr>
                </pic:pic>
              </a:graphicData>
            </a:graphic>
          </wp:inline>
        </w:drawing>
      </w:r>
      <w:r w:rsidRPr="00E67914">
        <w:rPr>
          <w:rFonts w:ascii="Times New Roman" w:hAnsi="Times New Roman"/>
          <w:noProof/>
        </w:rPr>
        <w:drawing>
          <wp:inline distT="0" distB="0" distL="0" distR="0" wp14:anchorId="342837BE" wp14:editId="4E21B114">
            <wp:extent cx="2616200" cy="1744132"/>
            <wp:effectExtent l="0" t="0" r="0" b="8890"/>
            <wp:docPr id="15644232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23262" name=""/>
                    <pic:cNvPicPr/>
                  </pic:nvPicPr>
                  <pic:blipFill>
                    <a:blip r:embed="rId85"/>
                    <a:stretch>
                      <a:fillRect/>
                    </a:stretch>
                  </pic:blipFill>
                  <pic:spPr>
                    <a:xfrm>
                      <a:off x="0" y="0"/>
                      <a:ext cx="2634347" cy="1756230"/>
                    </a:xfrm>
                    <a:prstGeom prst="rect">
                      <a:avLst/>
                    </a:prstGeom>
                  </pic:spPr>
                </pic:pic>
              </a:graphicData>
            </a:graphic>
          </wp:inline>
        </w:drawing>
      </w:r>
    </w:p>
    <w:p w14:paraId="21DC61AF"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100d                                                                   365d</w:t>
      </w:r>
    </w:p>
    <w:p w14:paraId="1E9C3A89" w14:textId="7F36E6FC" w:rsidR="00A54A8A" w:rsidRPr="00E67914" w:rsidRDefault="00872DA3">
      <w:pPr>
        <w:pStyle w:val="af4"/>
        <w:adjustRightInd w:val="0"/>
        <w:snapToGrid w:val="0"/>
        <w:jc w:val="center"/>
        <w:rPr>
          <w:rFonts w:ascii="Times New Roman" w:hAnsi="Times New Roman"/>
          <w:bCs/>
          <w:sz w:val="21"/>
          <w:szCs w:val="21"/>
        </w:rPr>
      </w:pPr>
      <w:r w:rsidRPr="00E67914">
        <w:rPr>
          <w:rFonts w:ascii="Times New Roman" w:hAnsi="Times New Roman"/>
          <w:noProof/>
        </w:rPr>
        <w:drawing>
          <wp:inline distT="0" distB="0" distL="0" distR="0" wp14:anchorId="590B5E3A" wp14:editId="7BB0EEFB">
            <wp:extent cx="2514600" cy="1676400"/>
            <wp:effectExtent l="0" t="0" r="0" b="0"/>
            <wp:docPr id="85606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06955" name=""/>
                    <pic:cNvPicPr/>
                  </pic:nvPicPr>
                  <pic:blipFill>
                    <a:blip r:embed="rId86"/>
                    <a:stretch>
                      <a:fillRect/>
                    </a:stretch>
                  </pic:blipFill>
                  <pic:spPr>
                    <a:xfrm>
                      <a:off x="0" y="0"/>
                      <a:ext cx="2516922" cy="1677948"/>
                    </a:xfrm>
                    <a:prstGeom prst="rect">
                      <a:avLst/>
                    </a:prstGeom>
                  </pic:spPr>
                </pic:pic>
              </a:graphicData>
            </a:graphic>
          </wp:inline>
        </w:drawing>
      </w:r>
      <w:r w:rsidRPr="00E67914">
        <w:rPr>
          <w:rFonts w:ascii="Times New Roman" w:hAnsi="Times New Roman"/>
          <w:noProof/>
        </w:rPr>
        <w:drawing>
          <wp:inline distT="0" distB="0" distL="0" distR="0" wp14:anchorId="78484515" wp14:editId="00672765">
            <wp:extent cx="2476500" cy="1651000"/>
            <wp:effectExtent l="0" t="0" r="0" b="6350"/>
            <wp:docPr id="991143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43581" name=""/>
                    <pic:cNvPicPr/>
                  </pic:nvPicPr>
                  <pic:blipFill>
                    <a:blip r:embed="rId87"/>
                    <a:stretch>
                      <a:fillRect/>
                    </a:stretch>
                  </pic:blipFill>
                  <pic:spPr>
                    <a:xfrm>
                      <a:off x="0" y="0"/>
                      <a:ext cx="2480735" cy="1653823"/>
                    </a:xfrm>
                    <a:prstGeom prst="rect">
                      <a:avLst/>
                    </a:prstGeom>
                  </pic:spPr>
                </pic:pic>
              </a:graphicData>
            </a:graphic>
          </wp:inline>
        </w:drawing>
      </w:r>
      <w:r w:rsidRPr="00E67914">
        <w:rPr>
          <w:rFonts w:ascii="Times New Roman" w:hAnsi="Times New Roman"/>
          <w:bCs/>
          <w:sz w:val="21"/>
          <w:szCs w:val="21"/>
        </w:rPr>
        <w:t xml:space="preserve"> </w:t>
      </w:r>
    </w:p>
    <w:p w14:paraId="6A7E69F1"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1000d                                                               3650d</w:t>
      </w:r>
    </w:p>
    <w:p w14:paraId="0EB32A08" w14:textId="0E02D8BC"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5.3-2 </w:t>
      </w:r>
      <w:r w:rsidR="00CC2D4A" w:rsidRPr="00E67914">
        <w:rPr>
          <w:rFonts w:ascii="Times New Roman" w:eastAsia="黑体" w:hAnsi="Times New Roman"/>
          <w:sz w:val="21"/>
          <w:szCs w:val="21"/>
          <w:lang w:eastAsia="zh-CN"/>
        </w:rPr>
        <w:t>放喷池</w:t>
      </w:r>
      <w:r w:rsidRPr="00E67914">
        <w:rPr>
          <w:rFonts w:ascii="Times New Roman" w:eastAsia="黑体" w:hAnsi="Times New Roman"/>
          <w:sz w:val="21"/>
          <w:szCs w:val="21"/>
          <w:lang w:eastAsia="zh-CN"/>
        </w:rPr>
        <w:t>泄漏不同预测时间石油类贡献值与距离浓度关系图</w:t>
      </w:r>
    </w:p>
    <w:p w14:paraId="0A602277" w14:textId="77777777" w:rsidR="00A54A8A" w:rsidRPr="00E67914" w:rsidRDefault="00000000">
      <w:pPr>
        <w:snapToGrid w:val="0"/>
        <w:spacing w:line="360" w:lineRule="auto"/>
        <w:ind w:firstLineChars="200" w:firstLine="480"/>
        <w:jc w:val="both"/>
        <w:rPr>
          <w:rFonts w:ascii="Times New Roman" w:hAnsi="Times New Roman"/>
          <w:sz w:val="24"/>
          <w:szCs w:val="24"/>
          <w:lang w:eastAsia="zh-CN"/>
        </w:rPr>
      </w:pPr>
      <w:bookmarkStart w:id="164" w:name="_Toc449394636"/>
      <w:bookmarkStart w:id="165" w:name="_Toc449942877"/>
      <w:r w:rsidRPr="00E67914">
        <w:rPr>
          <w:rFonts w:ascii="宋体" w:hAnsi="宋体" w:cs="宋体" w:hint="eastAsia"/>
          <w:sz w:val="24"/>
          <w:szCs w:val="24"/>
          <w:lang w:eastAsia="zh-CN"/>
        </w:rPr>
        <w:t>③</w:t>
      </w:r>
      <w:r w:rsidRPr="00E67914">
        <w:rPr>
          <w:rFonts w:ascii="Times New Roman" w:hAnsi="Times New Roman"/>
          <w:sz w:val="24"/>
          <w:szCs w:val="24"/>
          <w:lang w:eastAsia="zh-CN"/>
        </w:rPr>
        <w:t>地下水中氯离子的超标及影响距离计算结果见表</w:t>
      </w:r>
      <w:r w:rsidRPr="00E67914">
        <w:rPr>
          <w:rFonts w:ascii="Times New Roman" w:hAnsi="Times New Roman"/>
          <w:sz w:val="24"/>
          <w:szCs w:val="24"/>
          <w:lang w:eastAsia="zh-CN"/>
        </w:rPr>
        <w:t>5.3-5</w:t>
      </w:r>
      <w:r w:rsidRPr="00E67914">
        <w:rPr>
          <w:rFonts w:ascii="Times New Roman" w:hAnsi="Times New Roman"/>
          <w:sz w:val="24"/>
          <w:szCs w:val="24"/>
          <w:lang w:eastAsia="zh-CN"/>
        </w:rPr>
        <w:t>及图</w:t>
      </w:r>
      <w:r w:rsidRPr="00E67914">
        <w:rPr>
          <w:rFonts w:ascii="Times New Roman" w:hAnsi="Times New Roman"/>
          <w:sz w:val="24"/>
          <w:szCs w:val="24"/>
          <w:lang w:eastAsia="zh-CN"/>
        </w:rPr>
        <w:t>5.3-3</w:t>
      </w:r>
      <w:r w:rsidRPr="00E67914">
        <w:rPr>
          <w:rFonts w:ascii="Times New Roman" w:hAnsi="Times New Roman"/>
          <w:sz w:val="24"/>
          <w:szCs w:val="24"/>
          <w:lang w:eastAsia="zh-CN"/>
        </w:rPr>
        <w:t>。</w:t>
      </w:r>
    </w:p>
    <w:p w14:paraId="2516F37E" w14:textId="517E8558"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5.3-5  </w:t>
      </w:r>
      <w:r w:rsidR="00CC2D4A" w:rsidRPr="00E67914">
        <w:rPr>
          <w:rFonts w:ascii="Times New Roman" w:eastAsia="黑体" w:hAnsi="Times New Roman"/>
          <w:sz w:val="21"/>
          <w:szCs w:val="21"/>
          <w:lang w:eastAsia="zh-CN"/>
        </w:rPr>
        <w:t>放喷池</w:t>
      </w:r>
      <w:r w:rsidRPr="00E67914">
        <w:rPr>
          <w:rFonts w:ascii="Times New Roman" w:eastAsia="黑体" w:hAnsi="Times New Roman"/>
          <w:sz w:val="21"/>
          <w:szCs w:val="21"/>
          <w:lang w:eastAsia="zh-CN"/>
        </w:rPr>
        <w:t>泄漏地下水中氯离子超标及影响距离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52"/>
        <w:gridCol w:w="1494"/>
        <w:gridCol w:w="1658"/>
        <w:gridCol w:w="1328"/>
        <w:gridCol w:w="1494"/>
        <w:gridCol w:w="1374"/>
      </w:tblGrid>
      <w:tr w:rsidR="00E67914" w:rsidRPr="00E67914" w14:paraId="009EC767" w14:textId="77777777">
        <w:trPr>
          <w:trHeight w:val="590"/>
          <w:jc w:val="center"/>
        </w:trPr>
        <w:tc>
          <w:tcPr>
            <w:tcW w:w="573" w:type="pct"/>
            <w:vAlign w:val="center"/>
          </w:tcPr>
          <w:p w14:paraId="7C87EE74"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污染时间</w:t>
            </w:r>
          </w:p>
        </w:tc>
        <w:tc>
          <w:tcPr>
            <w:tcW w:w="900" w:type="pct"/>
            <w:vAlign w:val="center"/>
          </w:tcPr>
          <w:p w14:paraId="05D3D580"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中心点迁移距离（</w:t>
            </w:r>
            <w:r w:rsidRPr="00E67914">
              <w:rPr>
                <w:rFonts w:ascii="Times New Roman" w:hAnsi="Times New Roman"/>
                <w:b/>
                <w:sz w:val="21"/>
                <w:szCs w:val="21"/>
                <w:lang w:eastAsia="zh-CN"/>
              </w:rPr>
              <w:t>m</w:t>
            </w:r>
            <w:r w:rsidRPr="00E67914">
              <w:rPr>
                <w:rFonts w:ascii="Times New Roman" w:hAnsi="Times New Roman"/>
                <w:b/>
                <w:sz w:val="21"/>
                <w:szCs w:val="21"/>
                <w:lang w:eastAsia="zh-CN"/>
              </w:rPr>
              <w:t>）</w:t>
            </w:r>
          </w:p>
        </w:tc>
        <w:tc>
          <w:tcPr>
            <w:tcW w:w="999" w:type="pct"/>
            <w:vAlign w:val="center"/>
          </w:tcPr>
          <w:p w14:paraId="2AB23EA2"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中心点处浓度（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800" w:type="pct"/>
            <w:vAlign w:val="center"/>
          </w:tcPr>
          <w:p w14:paraId="131989FF"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叠加后浓度（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900" w:type="pct"/>
            <w:vAlign w:val="center"/>
          </w:tcPr>
          <w:p w14:paraId="55CFB781"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最远超标距离（</w:t>
            </w:r>
            <w:r w:rsidRPr="00E67914">
              <w:rPr>
                <w:rFonts w:ascii="Times New Roman" w:hAnsi="Times New Roman"/>
                <w:b/>
                <w:sz w:val="21"/>
                <w:szCs w:val="21"/>
              </w:rPr>
              <w:t>m</w:t>
            </w:r>
            <w:r w:rsidRPr="00E67914">
              <w:rPr>
                <w:rFonts w:ascii="Times New Roman" w:hAnsi="Times New Roman"/>
                <w:b/>
                <w:sz w:val="21"/>
                <w:szCs w:val="21"/>
              </w:rPr>
              <w:t>）</w:t>
            </w:r>
          </w:p>
        </w:tc>
        <w:tc>
          <w:tcPr>
            <w:tcW w:w="828" w:type="pct"/>
            <w:vAlign w:val="center"/>
          </w:tcPr>
          <w:p w14:paraId="1CBFAEBA"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最远影响距离（</w:t>
            </w:r>
            <w:r w:rsidRPr="00E67914">
              <w:rPr>
                <w:rFonts w:ascii="Times New Roman" w:hAnsi="Times New Roman"/>
                <w:b/>
                <w:sz w:val="21"/>
                <w:szCs w:val="21"/>
              </w:rPr>
              <w:t>m</w:t>
            </w:r>
            <w:r w:rsidRPr="00E67914">
              <w:rPr>
                <w:rFonts w:ascii="Times New Roman" w:hAnsi="Times New Roman"/>
                <w:b/>
                <w:sz w:val="21"/>
                <w:szCs w:val="21"/>
              </w:rPr>
              <w:t>）</w:t>
            </w:r>
          </w:p>
        </w:tc>
      </w:tr>
      <w:tr w:rsidR="00E67914" w:rsidRPr="00E67914" w14:paraId="5BC93A89" w14:textId="77777777" w:rsidTr="00B760F0">
        <w:trPr>
          <w:trHeight w:val="270"/>
          <w:jc w:val="center"/>
        </w:trPr>
        <w:tc>
          <w:tcPr>
            <w:tcW w:w="573" w:type="pct"/>
            <w:vAlign w:val="center"/>
          </w:tcPr>
          <w:p w14:paraId="665465E0"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100d</w:t>
            </w:r>
          </w:p>
        </w:tc>
        <w:tc>
          <w:tcPr>
            <w:tcW w:w="900" w:type="pct"/>
            <w:vAlign w:val="center"/>
          </w:tcPr>
          <w:p w14:paraId="4ED529B4" w14:textId="73CDCA2D"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15</w:t>
            </w:r>
          </w:p>
        </w:tc>
        <w:tc>
          <w:tcPr>
            <w:tcW w:w="999" w:type="pct"/>
            <w:vAlign w:val="center"/>
          </w:tcPr>
          <w:p w14:paraId="62ADAFD6" w14:textId="46BC5745" w:rsidR="00CC2D4A" w:rsidRPr="00E67914" w:rsidRDefault="00CC2D4A" w:rsidP="00CC2D4A">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49.21</w:t>
            </w:r>
          </w:p>
        </w:tc>
        <w:tc>
          <w:tcPr>
            <w:tcW w:w="800" w:type="pct"/>
            <w:vAlign w:val="bottom"/>
          </w:tcPr>
          <w:p w14:paraId="3C3F8F97" w14:textId="7596B911" w:rsidR="00CC2D4A" w:rsidRPr="00E67914" w:rsidRDefault="00CC2D4A" w:rsidP="00CC2D4A">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62.81</w:t>
            </w:r>
          </w:p>
        </w:tc>
        <w:tc>
          <w:tcPr>
            <w:tcW w:w="900" w:type="pct"/>
            <w:vAlign w:val="center"/>
          </w:tcPr>
          <w:p w14:paraId="6D746E71"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c>
          <w:tcPr>
            <w:tcW w:w="828" w:type="pct"/>
            <w:vAlign w:val="center"/>
          </w:tcPr>
          <w:p w14:paraId="26BDD60B" w14:textId="0346453F" w:rsidR="00CC2D4A" w:rsidRPr="00E67914" w:rsidRDefault="00CC2D4A" w:rsidP="00CC2D4A">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27</w:t>
            </w:r>
          </w:p>
        </w:tc>
      </w:tr>
      <w:tr w:rsidR="00E67914" w:rsidRPr="00E67914" w14:paraId="45D59158" w14:textId="77777777" w:rsidTr="00B760F0">
        <w:trPr>
          <w:trHeight w:val="248"/>
          <w:jc w:val="center"/>
        </w:trPr>
        <w:tc>
          <w:tcPr>
            <w:tcW w:w="573" w:type="pct"/>
            <w:vAlign w:val="center"/>
          </w:tcPr>
          <w:p w14:paraId="51D7921B"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365d</w:t>
            </w:r>
          </w:p>
        </w:tc>
        <w:tc>
          <w:tcPr>
            <w:tcW w:w="900" w:type="pct"/>
            <w:vAlign w:val="center"/>
          </w:tcPr>
          <w:p w14:paraId="560CE4B5" w14:textId="6DE76D9C"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55</w:t>
            </w:r>
          </w:p>
        </w:tc>
        <w:tc>
          <w:tcPr>
            <w:tcW w:w="999" w:type="pct"/>
            <w:vAlign w:val="center"/>
          </w:tcPr>
          <w:p w14:paraId="47AED7DC" w14:textId="7BE653AF" w:rsidR="00CC2D4A" w:rsidRPr="00E67914" w:rsidRDefault="00CC2D4A" w:rsidP="00CC2D4A">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13.48</w:t>
            </w:r>
          </w:p>
        </w:tc>
        <w:tc>
          <w:tcPr>
            <w:tcW w:w="800" w:type="pct"/>
            <w:vAlign w:val="bottom"/>
          </w:tcPr>
          <w:p w14:paraId="199BE02D" w14:textId="3246B132" w:rsidR="00CC2D4A" w:rsidRPr="00E67914" w:rsidRDefault="00CC2D4A" w:rsidP="00CC2D4A">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27.08</w:t>
            </w:r>
          </w:p>
        </w:tc>
        <w:tc>
          <w:tcPr>
            <w:tcW w:w="900" w:type="pct"/>
            <w:vAlign w:val="center"/>
          </w:tcPr>
          <w:p w14:paraId="0BF3DC3E"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c>
          <w:tcPr>
            <w:tcW w:w="828" w:type="pct"/>
            <w:vAlign w:val="center"/>
          </w:tcPr>
          <w:p w14:paraId="2554EB5A" w14:textId="1EAC7C52" w:rsidR="00CC2D4A" w:rsidRPr="00E67914" w:rsidRDefault="00CC2D4A" w:rsidP="00CC2D4A">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rPr>
              <w:t>/</w:t>
            </w:r>
          </w:p>
        </w:tc>
      </w:tr>
      <w:tr w:rsidR="00E67914" w:rsidRPr="00E67914" w14:paraId="74C8A9D1" w14:textId="77777777" w:rsidTr="00B760F0">
        <w:trPr>
          <w:trHeight w:val="270"/>
          <w:jc w:val="center"/>
        </w:trPr>
        <w:tc>
          <w:tcPr>
            <w:tcW w:w="573" w:type="pct"/>
            <w:vAlign w:val="center"/>
          </w:tcPr>
          <w:p w14:paraId="2D35B8E8"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1000d</w:t>
            </w:r>
          </w:p>
        </w:tc>
        <w:tc>
          <w:tcPr>
            <w:tcW w:w="900" w:type="pct"/>
            <w:vAlign w:val="center"/>
          </w:tcPr>
          <w:p w14:paraId="01037141" w14:textId="52CAE679"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150</w:t>
            </w:r>
          </w:p>
        </w:tc>
        <w:tc>
          <w:tcPr>
            <w:tcW w:w="999" w:type="pct"/>
            <w:vAlign w:val="center"/>
          </w:tcPr>
          <w:p w14:paraId="7C1C7D56" w14:textId="560AC4C2" w:rsidR="00CC2D4A" w:rsidRPr="00E67914" w:rsidRDefault="00CC2D4A" w:rsidP="00CC2D4A">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4.92</w:t>
            </w:r>
          </w:p>
        </w:tc>
        <w:tc>
          <w:tcPr>
            <w:tcW w:w="800" w:type="pct"/>
            <w:vAlign w:val="bottom"/>
          </w:tcPr>
          <w:p w14:paraId="6C014B52" w14:textId="5D0893EB" w:rsidR="00CC2D4A" w:rsidRPr="00E67914" w:rsidRDefault="00CC2D4A" w:rsidP="00CC2D4A">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18.52</w:t>
            </w:r>
          </w:p>
        </w:tc>
        <w:tc>
          <w:tcPr>
            <w:tcW w:w="900" w:type="pct"/>
            <w:vAlign w:val="center"/>
          </w:tcPr>
          <w:p w14:paraId="08B37092"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c>
          <w:tcPr>
            <w:tcW w:w="828" w:type="pct"/>
            <w:vAlign w:val="center"/>
          </w:tcPr>
          <w:p w14:paraId="66F2342E"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r>
      <w:tr w:rsidR="00E67914" w:rsidRPr="00E67914" w14:paraId="74042E90" w14:textId="77777777" w:rsidTr="00B760F0">
        <w:trPr>
          <w:trHeight w:val="248"/>
          <w:jc w:val="center"/>
        </w:trPr>
        <w:tc>
          <w:tcPr>
            <w:tcW w:w="573" w:type="pct"/>
            <w:vAlign w:val="center"/>
          </w:tcPr>
          <w:p w14:paraId="5127A059"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3650d</w:t>
            </w:r>
          </w:p>
        </w:tc>
        <w:tc>
          <w:tcPr>
            <w:tcW w:w="900" w:type="pct"/>
            <w:vAlign w:val="center"/>
          </w:tcPr>
          <w:p w14:paraId="783F660C" w14:textId="78F8A42E"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550</w:t>
            </w:r>
          </w:p>
        </w:tc>
        <w:tc>
          <w:tcPr>
            <w:tcW w:w="999" w:type="pct"/>
            <w:vAlign w:val="center"/>
          </w:tcPr>
          <w:p w14:paraId="333AD3E5" w14:textId="46230F91" w:rsidR="00CC2D4A" w:rsidRPr="00E67914" w:rsidRDefault="00CC2D4A" w:rsidP="00CC2D4A">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1.35</w:t>
            </w:r>
          </w:p>
        </w:tc>
        <w:tc>
          <w:tcPr>
            <w:tcW w:w="800" w:type="pct"/>
            <w:vAlign w:val="bottom"/>
          </w:tcPr>
          <w:p w14:paraId="72DFC3A4" w14:textId="2D1F8686" w:rsidR="00CC2D4A" w:rsidRPr="00E67914" w:rsidRDefault="00CC2D4A" w:rsidP="00CC2D4A">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14.95</w:t>
            </w:r>
          </w:p>
        </w:tc>
        <w:tc>
          <w:tcPr>
            <w:tcW w:w="900" w:type="pct"/>
            <w:vAlign w:val="center"/>
          </w:tcPr>
          <w:p w14:paraId="0D616769"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c>
          <w:tcPr>
            <w:tcW w:w="828" w:type="pct"/>
            <w:vAlign w:val="center"/>
          </w:tcPr>
          <w:p w14:paraId="6CC8F24C" w14:textId="77777777" w:rsidR="00CC2D4A" w:rsidRPr="00E67914" w:rsidRDefault="00CC2D4A" w:rsidP="00CC2D4A">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r>
    </w:tbl>
    <w:p w14:paraId="5F7B4C50" w14:textId="10E0B85A" w:rsidR="00A54A8A" w:rsidRPr="00E67914" w:rsidRDefault="00872DA3">
      <w:pPr>
        <w:adjustRightInd w:val="0"/>
        <w:snapToGrid w:val="0"/>
        <w:jc w:val="center"/>
        <w:rPr>
          <w:rFonts w:ascii="Times New Roman" w:hAnsi="Times New Roman"/>
          <w:bCs/>
          <w:sz w:val="21"/>
          <w:szCs w:val="21"/>
        </w:rPr>
      </w:pPr>
      <w:r w:rsidRPr="00E67914">
        <w:rPr>
          <w:rFonts w:ascii="Times New Roman" w:hAnsi="Times New Roman"/>
          <w:noProof/>
        </w:rPr>
        <w:drawing>
          <wp:inline distT="0" distB="0" distL="0" distR="0" wp14:anchorId="5176AE34" wp14:editId="1826CF5F">
            <wp:extent cx="2520950" cy="1680633"/>
            <wp:effectExtent l="0" t="0" r="0" b="0"/>
            <wp:docPr id="8607160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16062" name=""/>
                    <pic:cNvPicPr/>
                  </pic:nvPicPr>
                  <pic:blipFill>
                    <a:blip r:embed="rId88"/>
                    <a:stretch>
                      <a:fillRect/>
                    </a:stretch>
                  </pic:blipFill>
                  <pic:spPr>
                    <a:xfrm>
                      <a:off x="0" y="0"/>
                      <a:ext cx="2524380" cy="1682920"/>
                    </a:xfrm>
                    <a:prstGeom prst="rect">
                      <a:avLst/>
                    </a:prstGeom>
                  </pic:spPr>
                </pic:pic>
              </a:graphicData>
            </a:graphic>
          </wp:inline>
        </w:drawing>
      </w:r>
      <w:r w:rsidR="00CC2D4A" w:rsidRPr="00E67914">
        <w:rPr>
          <w:rFonts w:ascii="Times New Roman" w:hAnsi="Times New Roman"/>
          <w:noProof/>
        </w:rPr>
        <w:drawing>
          <wp:inline distT="0" distB="0" distL="0" distR="0" wp14:anchorId="180D0733" wp14:editId="0B1F272B">
            <wp:extent cx="2533650" cy="1689100"/>
            <wp:effectExtent l="0" t="0" r="0" b="6350"/>
            <wp:docPr id="1174157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57287" name=""/>
                    <pic:cNvPicPr/>
                  </pic:nvPicPr>
                  <pic:blipFill>
                    <a:blip r:embed="rId89"/>
                    <a:stretch>
                      <a:fillRect/>
                    </a:stretch>
                  </pic:blipFill>
                  <pic:spPr>
                    <a:xfrm>
                      <a:off x="0" y="0"/>
                      <a:ext cx="2533949" cy="1689299"/>
                    </a:xfrm>
                    <a:prstGeom prst="rect">
                      <a:avLst/>
                    </a:prstGeom>
                  </pic:spPr>
                </pic:pic>
              </a:graphicData>
            </a:graphic>
          </wp:inline>
        </w:drawing>
      </w:r>
    </w:p>
    <w:p w14:paraId="182B7899"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100d                                                                 365d</w:t>
      </w:r>
    </w:p>
    <w:p w14:paraId="56BE4FC3" w14:textId="020C460A" w:rsidR="00A54A8A" w:rsidRPr="00E67914" w:rsidRDefault="00CC2D4A">
      <w:pPr>
        <w:pStyle w:val="af4"/>
        <w:adjustRightInd w:val="0"/>
        <w:snapToGrid w:val="0"/>
        <w:jc w:val="center"/>
        <w:rPr>
          <w:rFonts w:ascii="Times New Roman" w:hAnsi="Times New Roman"/>
          <w:bCs/>
          <w:sz w:val="21"/>
          <w:szCs w:val="21"/>
        </w:rPr>
      </w:pPr>
      <w:r w:rsidRPr="00E67914">
        <w:rPr>
          <w:rFonts w:ascii="Times New Roman" w:hAnsi="Times New Roman"/>
          <w:noProof/>
        </w:rPr>
        <w:lastRenderedPageBreak/>
        <w:drawing>
          <wp:inline distT="0" distB="0" distL="0" distR="0" wp14:anchorId="67870418" wp14:editId="7F588CC6">
            <wp:extent cx="2419350" cy="1612899"/>
            <wp:effectExtent l="0" t="0" r="0" b="6985"/>
            <wp:docPr id="92913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38454" name=""/>
                    <pic:cNvPicPr/>
                  </pic:nvPicPr>
                  <pic:blipFill>
                    <a:blip r:embed="rId90"/>
                    <a:stretch>
                      <a:fillRect/>
                    </a:stretch>
                  </pic:blipFill>
                  <pic:spPr>
                    <a:xfrm>
                      <a:off x="0" y="0"/>
                      <a:ext cx="2427690" cy="1618459"/>
                    </a:xfrm>
                    <a:prstGeom prst="rect">
                      <a:avLst/>
                    </a:prstGeom>
                  </pic:spPr>
                </pic:pic>
              </a:graphicData>
            </a:graphic>
          </wp:inline>
        </w:drawing>
      </w:r>
      <w:r w:rsidRPr="00E67914">
        <w:rPr>
          <w:rFonts w:ascii="Times New Roman" w:hAnsi="Times New Roman"/>
          <w:noProof/>
        </w:rPr>
        <w:drawing>
          <wp:inline distT="0" distB="0" distL="0" distR="0" wp14:anchorId="2BE790B3" wp14:editId="5C72E00D">
            <wp:extent cx="2432050" cy="1621367"/>
            <wp:effectExtent l="0" t="0" r="6350" b="0"/>
            <wp:docPr id="19982844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84461" name=""/>
                    <pic:cNvPicPr/>
                  </pic:nvPicPr>
                  <pic:blipFill>
                    <a:blip r:embed="rId91"/>
                    <a:stretch>
                      <a:fillRect/>
                    </a:stretch>
                  </pic:blipFill>
                  <pic:spPr>
                    <a:xfrm>
                      <a:off x="0" y="0"/>
                      <a:ext cx="2440558" cy="1627039"/>
                    </a:xfrm>
                    <a:prstGeom prst="rect">
                      <a:avLst/>
                    </a:prstGeom>
                  </pic:spPr>
                </pic:pic>
              </a:graphicData>
            </a:graphic>
          </wp:inline>
        </w:drawing>
      </w:r>
    </w:p>
    <w:p w14:paraId="5E06BEEF"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1000d                                                                       3650d</w:t>
      </w:r>
    </w:p>
    <w:p w14:paraId="43D7C186" w14:textId="06F0693E"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5.3-3  </w:t>
      </w:r>
      <w:r w:rsidR="00CC2D4A" w:rsidRPr="00E67914">
        <w:rPr>
          <w:rFonts w:ascii="Times New Roman" w:eastAsia="黑体" w:hAnsi="Times New Roman"/>
          <w:sz w:val="21"/>
          <w:szCs w:val="21"/>
          <w:lang w:eastAsia="zh-CN"/>
        </w:rPr>
        <w:t>放喷池</w:t>
      </w:r>
      <w:r w:rsidRPr="00E67914">
        <w:rPr>
          <w:rFonts w:ascii="Times New Roman" w:eastAsia="黑体" w:hAnsi="Times New Roman"/>
          <w:sz w:val="21"/>
          <w:szCs w:val="21"/>
          <w:lang w:eastAsia="zh-CN"/>
        </w:rPr>
        <w:t>泄漏不同预测时间氯离子贡献值与距离浓度关系图</w:t>
      </w:r>
    </w:p>
    <w:p w14:paraId="4727FE5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2</w:t>
      </w:r>
      <w:r w:rsidRPr="00E67914">
        <w:rPr>
          <w:rFonts w:ascii="Times New Roman" w:hAnsi="Times New Roman"/>
          <w:sz w:val="24"/>
          <w:szCs w:val="24"/>
          <w:lang w:eastAsia="zh-CN"/>
        </w:rPr>
        <w:t>）压裂过程中井筒破裂</w:t>
      </w:r>
    </w:p>
    <w:p w14:paraId="6454D5BF" w14:textId="77777777" w:rsidR="00A54A8A" w:rsidRPr="00E67914" w:rsidRDefault="00000000">
      <w:pPr>
        <w:snapToGrid w:val="0"/>
        <w:spacing w:line="360" w:lineRule="auto"/>
        <w:ind w:firstLineChars="200" w:firstLine="480"/>
        <w:jc w:val="both"/>
        <w:rPr>
          <w:rFonts w:ascii="Times New Roman" w:hAnsi="Times New Roman"/>
          <w:sz w:val="24"/>
          <w:szCs w:val="24"/>
          <w:lang w:eastAsia="zh-CN"/>
        </w:rPr>
      </w:pPr>
      <w:bookmarkStart w:id="166" w:name="_Toc7285"/>
      <w:r w:rsidRPr="00E67914">
        <w:rPr>
          <w:rFonts w:ascii="宋体" w:hAnsi="宋体" w:cs="宋体" w:hint="eastAsia"/>
          <w:sz w:val="24"/>
          <w:szCs w:val="24"/>
          <w:lang w:eastAsia="zh-CN"/>
        </w:rPr>
        <w:t>①</w:t>
      </w:r>
      <w:r w:rsidRPr="00E67914">
        <w:rPr>
          <w:rFonts w:ascii="Times New Roman" w:hAnsi="Times New Roman"/>
          <w:sz w:val="24"/>
          <w:szCs w:val="24"/>
          <w:lang w:eastAsia="zh-CN"/>
        </w:rPr>
        <w:t>地下水中</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的超标及影响距离计算结果见表</w:t>
      </w:r>
      <w:r w:rsidRPr="00E67914">
        <w:rPr>
          <w:rFonts w:ascii="Times New Roman" w:hAnsi="Times New Roman"/>
          <w:sz w:val="24"/>
          <w:szCs w:val="24"/>
          <w:lang w:eastAsia="zh-CN"/>
        </w:rPr>
        <w:t>5.3-6</w:t>
      </w:r>
      <w:r w:rsidRPr="00E67914">
        <w:rPr>
          <w:rFonts w:ascii="Times New Roman" w:hAnsi="Times New Roman"/>
          <w:sz w:val="24"/>
          <w:szCs w:val="24"/>
          <w:lang w:eastAsia="zh-CN"/>
        </w:rPr>
        <w:t>及图</w:t>
      </w:r>
      <w:r w:rsidRPr="00E67914">
        <w:rPr>
          <w:rFonts w:ascii="Times New Roman" w:hAnsi="Times New Roman"/>
          <w:sz w:val="24"/>
          <w:szCs w:val="24"/>
          <w:lang w:eastAsia="zh-CN"/>
        </w:rPr>
        <w:t>5.3-4</w:t>
      </w:r>
      <w:r w:rsidRPr="00E67914">
        <w:rPr>
          <w:rFonts w:ascii="Times New Roman" w:hAnsi="Times New Roman"/>
          <w:sz w:val="24"/>
          <w:szCs w:val="24"/>
          <w:lang w:eastAsia="zh-CN"/>
        </w:rPr>
        <w:t>。</w:t>
      </w:r>
    </w:p>
    <w:p w14:paraId="2598FC8B"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5.3-6  </w:t>
      </w:r>
      <w:r w:rsidRPr="00E67914">
        <w:rPr>
          <w:rFonts w:ascii="Times New Roman" w:eastAsia="黑体" w:hAnsi="Times New Roman"/>
          <w:sz w:val="21"/>
          <w:szCs w:val="21"/>
          <w:lang w:eastAsia="zh-CN"/>
        </w:rPr>
        <w:t>压裂过程中井筒破裂地下水中</w:t>
      </w:r>
      <w:r w:rsidRPr="00E67914">
        <w:rPr>
          <w:rFonts w:ascii="Times New Roman" w:eastAsia="黑体" w:hAnsi="Times New Roman"/>
          <w:sz w:val="21"/>
          <w:szCs w:val="21"/>
          <w:lang w:eastAsia="zh-CN"/>
        </w:rPr>
        <w:t>COD</w:t>
      </w:r>
      <w:r w:rsidRPr="00E67914">
        <w:rPr>
          <w:rFonts w:ascii="Times New Roman" w:eastAsia="黑体" w:hAnsi="Times New Roman"/>
          <w:sz w:val="21"/>
          <w:szCs w:val="21"/>
          <w:vertAlign w:val="subscript"/>
          <w:lang w:eastAsia="zh-CN"/>
        </w:rPr>
        <w:t>Cr</w:t>
      </w:r>
      <w:r w:rsidRPr="00E67914">
        <w:rPr>
          <w:rFonts w:ascii="Times New Roman" w:eastAsia="黑体" w:hAnsi="Times New Roman"/>
          <w:sz w:val="21"/>
          <w:szCs w:val="21"/>
          <w:lang w:eastAsia="zh-CN"/>
        </w:rPr>
        <w:t>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18"/>
        <w:gridCol w:w="1492"/>
        <w:gridCol w:w="1494"/>
        <w:gridCol w:w="1494"/>
        <w:gridCol w:w="1328"/>
        <w:gridCol w:w="1374"/>
      </w:tblGrid>
      <w:tr w:rsidR="00E67914" w:rsidRPr="00E67914" w14:paraId="4411017C" w14:textId="77777777" w:rsidTr="00480BB1">
        <w:trPr>
          <w:trHeight w:val="590"/>
          <w:jc w:val="center"/>
        </w:trPr>
        <w:tc>
          <w:tcPr>
            <w:tcW w:w="673" w:type="pct"/>
            <w:vAlign w:val="center"/>
          </w:tcPr>
          <w:p w14:paraId="791D3982"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污染时间</w:t>
            </w:r>
          </w:p>
        </w:tc>
        <w:tc>
          <w:tcPr>
            <w:tcW w:w="899" w:type="pct"/>
            <w:vAlign w:val="center"/>
          </w:tcPr>
          <w:p w14:paraId="71342855"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中心点迁移距离（</w:t>
            </w:r>
            <w:r w:rsidRPr="00E67914">
              <w:rPr>
                <w:rFonts w:ascii="Times New Roman" w:hAnsi="Times New Roman"/>
                <w:b/>
                <w:sz w:val="21"/>
                <w:szCs w:val="21"/>
                <w:lang w:eastAsia="zh-CN"/>
              </w:rPr>
              <w:t>m</w:t>
            </w:r>
            <w:r w:rsidRPr="00E67914">
              <w:rPr>
                <w:rFonts w:ascii="Times New Roman" w:hAnsi="Times New Roman"/>
                <w:b/>
                <w:sz w:val="21"/>
                <w:szCs w:val="21"/>
                <w:lang w:eastAsia="zh-CN"/>
              </w:rPr>
              <w:t>）</w:t>
            </w:r>
          </w:p>
        </w:tc>
        <w:tc>
          <w:tcPr>
            <w:tcW w:w="900" w:type="pct"/>
            <w:vAlign w:val="center"/>
          </w:tcPr>
          <w:p w14:paraId="78FC4BAC"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中心点处浓度（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900" w:type="pct"/>
            <w:vAlign w:val="center"/>
          </w:tcPr>
          <w:p w14:paraId="01EFFD00"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叠加后浓度（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800" w:type="pct"/>
            <w:vAlign w:val="center"/>
          </w:tcPr>
          <w:p w14:paraId="6EC991AF"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最远超标距离（</w:t>
            </w:r>
            <w:r w:rsidRPr="00E67914">
              <w:rPr>
                <w:rFonts w:ascii="Times New Roman" w:hAnsi="Times New Roman"/>
                <w:b/>
                <w:sz w:val="21"/>
                <w:szCs w:val="21"/>
              </w:rPr>
              <w:t>m</w:t>
            </w:r>
            <w:r w:rsidRPr="00E67914">
              <w:rPr>
                <w:rFonts w:ascii="Times New Roman" w:hAnsi="Times New Roman"/>
                <w:b/>
                <w:sz w:val="21"/>
                <w:szCs w:val="21"/>
              </w:rPr>
              <w:t>）</w:t>
            </w:r>
          </w:p>
        </w:tc>
        <w:tc>
          <w:tcPr>
            <w:tcW w:w="828" w:type="pct"/>
            <w:vAlign w:val="center"/>
          </w:tcPr>
          <w:p w14:paraId="45E6D89E"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最远影响距离（</w:t>
            </w:r>
            <w:r w:rsidRPr="00E67914">
              <w:rPr>
                <w:rFonts w:ascii="Times New Roman" w:hAnsi="Times New Roman"/>
                <w:b/>
                <w:sz w:val="21"/>
                <w:szCs w:val="21"/>
              </w:rPr>
              <w:t>m</w:t>
            </w:r>
            <w:r w:rsidRPr="00E67914">
              <w:rPr>
                <w:rFonts w:ascii="Times New Roman" w:hAnsi="Times New Roman"/>
                <w:b/>
                <w:sz w:val="21"/>
                <w:szCs w:val="21"/>
              </w:rPr>
              <w:t>）</w:t>
            </w:r>
          </w:p>
        </w:tc>
      </w:tr>
      <w:tr w:rsidR="00E67914" w:rsidRPr="00E67914" w14:paraId="5D6F341A" w14:textId="77777777" w:rsidTr="00480BB1">
        <w:trPr>
          <w:trHeight w:val="270"/>
          <w:jc w:val="center"/>
        </w:trPr>
        <w:tc>
          <w:tcPr>
            <w:tcW w:w="673" w:type="pct"/>
            <w:vAlign w:val="center"/>
          </w:tcPr>
          <w:p w14:paraId="5B72D4F3" w14:textId="77777777"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rPr>
              <w:t>100d</w:t>
            </w:r>
          </w:p>
        </w:tc>
        <w:tc>
          <w:tcPr>
            <w:tcW w:w="899" w:type="pct"/>
            <w:vAlign w:val="center"/>
          </w:tcPr>
          <w:p w14:paraId="5F60657D" w14:textId="210CB41A" w:rsidR="00480BB1" w:rsidRPr="00E67914" w:rsidRDefault="00480BB1" w:rsidP="00480BB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w:t>
            </w:r>
          </w:p>
        </w:tc>
        <w:tc>
          <w:tcPr>
            <w:tcW w:w="900" w:type="pct"/>
            <w:vAlign w:val="center"/>
          </w:tcPr>
          <w:p w14:paraId="102245E1" w14:textId="3EF8F32F" w:rsidR="00480BB1" w:rsidRPr="00E67914" w:rsidRDefault="00480BB1" w:rsidP="00480BB1">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503.29</w:t>
            </w:r>
          </w:p>
        </w:tc>
        <w:tc>
          <w:tcPr>
            <w:tcW w:w="900" w:type="pct"/>
            <w:vAlign w:val="center"/>
          </w:tcPr>
          <w:p w14:paraId="0DDF7792" w14:textId="01AA1A99" w:rsidR="00480BB1" w:rsidRPr="00E67914" w:rsidRDefault="00480BB1" w:rsidP="00480BB1">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505.4</w:t>
            </w:r>
          </w:p>
        </w:tc>
        <w:tc>
          <w:tcPr>
            <w:tcW w:w="800" w:type="pct"/>
            <w:vAlign w:val="center"/>
          </w:tcPr>
          <w:p w14:paraId="50FAE3AB" w14:textId="01E286D7" w:rsidR="00480BB1" w:rsidRPr="00E67914" w:rsidRDefault="00480BB1" w:rsidP="00480BB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71</w:t>
            </w:r>
          </w:p>
        </w:tc>
        <w:tc>
          <w:tcPr>
            <w:tcW w:w="828" w:type="pct"/>
            <w:vAlign w:val="center"/>
          </w:tcPr>
          <w:p w14:paraId="43FD09D6" w14:textId="553430EB" w:rsidR="00480BB1" w:rsidRPr="00E67914" w:rsidRDefault="00480BB1" w:rsidP="00480BB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73</w:t>
            </w:r>
          </w:p>
        </w:tc>
      </w:tr>
      <w:tr w:rsidR="00E67914" w:rsidRPr="00E67914" w14:paraId="436DE404" w14:textId="77777777" w:rsidTr="00480BB1">
        <w:trPr>
          <w:trHeight w:val="248"/>
          <w:jc w:val="center"/>
        </w:trPr>
        <w:tc>
          <w:tcPr>
            <w:tcW w:w="673" w:type="pct"/>
            <w:vAlign w:val="center"/>
          </w:tcPr>
          <w:p w14:paraId="0E2EAFBA" w14:textId="77777777"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rPr>
              <w:t>365d</w:t>
            </w:r>
          </w:p>
        </w:tc>
        <w:tc>
          <w:tcPr>
            <w:tcW w:w="899" w:type="pct"/>
            <w:vAlign w:val="center"/>
          </w:tcPr>
          <w:p w14:paraId="301823B9" w14:textId="2602D09C"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rPr>
              <w:t>55</w:t>
            </w:r>
          </w:p>
        </w:tc>
        <w:tc>
          <w:tcPr>
            <w:tcW w:w="900" w:type="pct"/>
            <w:vAlign w:val="center"/>
          </w:tcPr>
          <w:p w14:paraId="291F500B" w14:textId="6C3EE15F" w:rsidR="00480BB1" w:rsidRPr="00E67914" w:rsidRDefault="00480BB1" w:rsidP="00480BB1">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137.88</w:t>
            </w:r>
          </w:p>
        </w:tc>
        <w:tc>
          <w:tcPr>
            <w:tcW w:w="900" w:type="pct"/>
            <w:vAlign w:val="center"/>
          </w:tcPr>
          <w:p w14:paraId="314E75B0" w14:textId="75CB136E" w:rsidR="00480BB1" w:rsidRPr="00E67914" w:rsidRDefault="00480BB1" w:rsidP="00480BB1">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139.99</w:t>
            </w:r>
          </w:p>
        </w:tc>
        <w:tc>
          <w:tcPr>
            <w:tcW w:w="800" w:type="pct"/>
            <w:vAlign w:val="center"/>
          </w:tcPr>
          <w:p w14:paraId="2A05A38D" w14:textId="00B4EC77" w:rsidR="00480BB1" w:rsidRPr="00E67914" w:rsidRDefault="00480BB1" w:rsidP="00480BB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146</w:t>
            </w:r>
          </w:p>
        </w:tc>
        <w:tc>
          <w:tcPr>
            <w:tcW w:w="828" w:type="pct"/>
            <w:vAlign w:val="center"/>
          </w:tcPr>
          <w:p w14:paraId="35601E0F" w14:textId="5DF0F173" w:rsidR="00480BB1" w:rsidRPr="00E67914" w:rsidRDefault="00480BB1" w:rsidP="00480BB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150</w:t>
            </w:r>
          </w:p>
        </w:tc>
      </w:tr>
      <w:tr w:rsidR="00E67914" w:rsidRPr="00E67914" w14:paraId="187422EE" w14:textId="77777777" w:rsidTr="00480BB1">
        <w:trPr>
          <w:trHeight w:val="270"/>
          <w:jc w:val="center"/>
        </w:trPr>
        <w:tc>
          <w:tcPr>
            <w:tcW w:w="673" w:type="pct"/>
            <w:vAlign w:val="center"/>
          </w:tcPr>
          <w:p w14:paraId="69D13AA1" w14:textId="77777777"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rPr>
              <w:t>1000d</w:t>
            </w:r>
          </w:p>
        </w:tc>
        <w:tc>
          <w:tcPr>
            <w:tcW w:w="899" w:type="pct"/>
            <w:vAlign w:val="center"/>
          </w:tcPr>
          <w:p w14:paraId="1AC30FC7" w14:textId="5509A75E"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150</w:t>
            </w:r>
          </w:p>
        </w:tc>
        <w:tc>
          <w:tcPr>
            <w:tcW w:w="900" w:type="pct"/>
            <w:vAlign w:val="center"/>
          </w:tcPr>
          <w:p w14:paraId="4840FE3D" w14:textId="7E651A29" w:rsidR="00480BB1" w:rsidRPr="00E67914" w:rsidRDefault="00480BB1" w:rsidP="00480BB1">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50.33</w:t>
            </w:r>
          </w:p>
        </w:tc>
        <w:tc>
          <w:tcPr>
            <w:tcW w:w="900" w:type="pct"/>
            <w:vAlign w:val="center"/>
          </w:tcPr>
          <w:p w14:paraId="006645CD" w14:textId="0AB5577B" w:rsidR="00480BB1" w:rsidRPr="00E67914" w:rsidRDefault="00480BB1" w:rsidP="00480BB1">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52.44</w:t>
            </w:r>
          </w:p>
        </w:tc>
        <w:tc>
          <w:tcPr>
            <w:tcW w:w="800" w:type="pct"/>
            <w:vAlign w:val="center"/>
          </w:tcPr>
          <w:p w14:paraId="6E908291" w14:textId="458ADA86" w:rsidR="00480BB1" w:rsidRPr="00E67914" w:rsidRDefault="00480BB1" w:rsidP="00480BB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280</w:t>
            </w:r>
          </w:p>
        </w:tc>
        <w:tc>
          <w:tcPr>
            <w:tcW w:w="828" w:type="pct"/>
            <w:vAlign w:val="center"/>
          </w:tcPr>
          <w:p w14:paraId="38EDDE41" w14:textId="20A2A833" w:rsidR="00480BB1" w:rsidRPr="00E67914" w:rsidRDefault="00480BB1" w:rsidP="00480BB1">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290</w:t>
            </w:r>
          </w:p>
        </w:tc>
      </w:tr>
      <w:tr w:rsidR="00E67914" w:rsidRPr="00E67914" w14:paraId="4361455D" w14:textId="77777777" w:rsidTr="00480BB1">
        <w:trPr>
          <w:trHeight w:val="248"/>
          <w:jc w:val="center"/>
        </w:trPr>
        <w:tc>
          <w:tcPr>
            <w:tcW w:w="673" w:type="pct"/>
            <w:vAlign w:val="center"/>
          </w:tcPr>
          <w:p w14:paraId="3A6CCA98" w14:textId="77777777"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rPr>
              <w:t>3650d</w:t>
            </w:r>
          </w:p>
        </w:tc>
        <w:tc>
          <w:tcPr>
            <w:tcW w:w="899" w:type="pct"/>
            <w:vAlign w:val="center"/>
          </w:tcPr>
          <w:p w14:paraId="7AA503A7" w14:textId="6E66B1EA"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550</w:t>
            </w:r>
          </w:p>
        </w:tc>
        <w:tc>
          <w:tcPr>
            <w:tcW w:w="900" w:type="pct"/>
            <w:vAlign w:val="center"/>
          </w:tcPr>
          <w:p w14:paraId="278A2717" w14:textId="3C0312D9" w:rsidR="00480BB1" w:rsidRPr="00E67914" w:rsidRDefault="00480BB1" w:rsidP="00480BB1">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13.78</w:t>
            </w:r>
          </w:p>
        </w:tc>
        <w:tc>
          <w:tcPr>
            <w:tcW w:w="900" w:type="pct"/>
            <w:vAlign w:val="center"/>
          </w:tcPr>
          <w:p w14:paraId="7A0A55EC" w14:textId="69E9B3B7" w:rsidR="00480BB1" w:rsidRPr="00E67914" w:rsidRDefault="00480BB1" w:rsidP="00480BB1">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15.89</w:t>
            </w:r>
          </w:p>
        </w:tc>
        <w:tc>
          <w:tcPr>
            <w:tcW w:w="800" w:type="pct"/>
            <w:vAlign w:val="center"/>
          </w:tcPr>
          <w:p w14:paraId="798F4441" w14:textId="398ABC0C"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rPr>
              <w:t>731</w:t>
            </w:r>
          </w:p>
        </w:tc>
        <w:tc>
          <w:tcPr>
            <w:tcW w:w="828" w:type="pct"/>
            <w:vAlign w:val="center"/>
          </w:tcPr>
          <w:p w14:paraId="083A65D5" w14:textId="0C5C9799" w:rsidR="00480BB1" w:rsidRPr="00E67914" w:rsidRDefault="00480BB1" w:rsidP="00480BB1">
            <w:pPr>
              <w:adjustRightInd w:val="0"/>
              <w:snapToGrid w:val="0"/>
              <w:jc w:val="center"/>
              <w:rPr>
                <w:rFonts w:ascii="Times New Roman" w:hAnsi="Times New Roman"/>
                <w:bCs/>
                <w:sz w:val="21"/>
                <w:szCs w:val="21"/>
              </w:rPr>
            </w:pPr>
            <w:r w:rsidRPr="00E67914">
              <w:rPr>
                <w:rFonts w:ascii="Times New Roman" w:hAnsi="Times New Roman"/>
                <w:bCs/>
                <w:sz w:val="21"/>
                <w:szCs w:val="21"/>
              </w:rPr>
              <w:t>750</w:t>
            </w:r>
          </w:p>
        </w:tc>
      </w:tr>
    </w:tbl>
    <w:p w14:paraId="05AEE857" w14:textId="2A90D7D6" w:rsidR="00A54A8A" w:rsidRPr="00E67914" w:rsidRDefault="004811E1">
      <w:pPr>
        <w:adjustRightInd w:val="0"/>
        <w:snapToGrid w:val="0"/>
        <w:jc w:val="center"/>
        <w:rPr>
          <w:rFonts w:ascii="Times New Roman" w:hAnsi="Times New Roman"/>
          <w:bCs/>
          <w:sz w:val="21"/>
          <w:szCs w:val="21"/>
        </w:rPr>
      </w:pPr>
      <w:r w:rsidRPr="00E67914">
        <w:rPr>
          <w:rFonts w:ascii="Times New Roman" w:hAnsi="Times New Roman"/>
          <w:noProof/>
        </w:rPr>
        <w:drawing>
          <wp:inline distT="0" distB="0" distL="0" distR="0" wp14:anchorId="6F1FF284" wp14:editId="59BD66C8">
            <wp:extent cx="2559050" cy="1706033"/>
            <wp:effectExtent l="0" t="0" r="0" b="8890"/>
            <wp:docPr id="721880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80109" name=""/>
                    <pic:cNvPicPr/>
                  </pic:nvPicPr>
                  <pic:blipFill>
                    <a:blip r:embed="rId92"/>
                    <a:stretch>
                      <a:fillRect/>
                    </a:stretch>
                  </pic:blipFill>
                  <pic:spPr>
                    <a:xfrm>
                      <a:off x="0" y="0"/>
                      <a:ext cx="2565875" cy="1710583"/>
                    </a:xfrm>
                    <a:prstGeom prst="rect">
                      <a:avLst/>
                    </a:prstGeom>
                  </pic:spPr>
                </pic:pic>
              </a:graphicData>
            </a:graphic>
          </wp:inline>
        </w:drawing>
      </w:r>
      <w:r w:rsidR="00CF61B5" w:rsidRPr="00E67914">
        <w:rPr>
          <w:rFonts w:ascii="Times New Roman" w:hAnsi="Times New Roman"/>
          <w:noProof/>
        </w:rPr>
        <w:drawing>
          <wp:inline distT="0" distB="0" distL="0" distR="0" wp14:anchorId="11B4E996" wp14:editId="247809BB">
            <wp:extent cx="2578100" cy="1718733"/>
            <wp:effectExtent l="0" t="0" r="0" b="0"/>
            <wp:docPr id="12332954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95420" name=""/>
                    <pic:cNvPicPr/>
                  </pic:nvPicPr>
                  <pic:blipFill>
                    <a:blip r:embed="rId93"/>
                    <a:stretch>
                      <a:fillRect/>
                    </a:stretch>
                  </pic:blipFill>
                  <pic:spPr>
                    <a:xfrm>
                      <a:off x="0" y="0"/>
                      <a:ext cx="2585171" cy="1723447"/>
                    </a:xfrm>
                    <a:prstGeom prst="rect">
                      <a:avLst/>
                    </a:prstGeom>
                  </pic:spPr>
                </pic:pic>
              </a:graphicData>
            </a:graphic>
          </wp:inline>
        </w:drawing>
      </w:r>
    </w:p>
    <w:p w14:paraId="22140622"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100d                                                                 365d</w:t>
      </w:r>
    </w:p>
    <w:p w14:paraId="753C067D" w14:textId="2BA758A2" w:rsidR="00A54A8A" w:rsidRPr="00E67914" w:rsidRDefault="00CF61B5">
      <w:pPr>
        <w:pStyle w:val="af4"/>
        <w:adjustRightInd w:val="0"/>
        <w:snapToGrid w:val="0"/>
        <w:jc w:val="center"/>
        <w:rPr>
          <w:rFonts w:ascii="Times New Roman" w:hAnsi="Times New Roman"/>
          <w:bCs/>
          <w:sz w:val="21"/>
          <w:szCs w:val="21"/>
        </w:rPr>
      </w:pPr>
      <w:r w:rsidRPr="00E67914">
        <w:rPr>
          <w:rFonts w:ascii="Times New Roman" w:hAnsi="Times New Roman"/>
          <w:noProof/>
        </w:rPr>
        <w:drawing>
          <wp:inline distT="0" distB="0" distL="0" distR="0" wp14:anchorId="03FE55C0" wp14:editId="25638DB9">
            <wp:extent cx="2558415" cy="1705610"/>
            <wp:effectExtent l="0" t="0" r="0" b="8890"/>
            <wp:docPr id="2033336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36093" name=""/>
                    <pic:cNvPicPr/>
                  </pic:nvPicPr>
                  <pic:blipFill>
                    <a:blip r:embed="rId94"/>
                    <a:stretch>
                      <a:fillRect/>
                    </a:stretch>
                  </pic:blipFill>
                  <pic:spPr>
                    <a:xfrm>
                      <a:off x="0" y="0"/>
                      <a:ext cx="2566346" cy="1710897"/>
                    </a:xfrm>
                    <a:prstGeom prst="rect">
                      <a:avLst/>
                    </a:prstGeom>
                  </pic:spPr>
                </pic:pic>
              </a:graphicData>
            </a:graphic>
          </wp:inline>
        </w:drawing>
      </w:r>
      <w:r w:rsidRPr="00E67914">
        <w:rPr>
          <w:rFonts w:ascii="Times New Roman" w:hAnsi="Times New Roman"/>
          <w:noProof/>
        </w:rPr>
        <w:drawing>
          <wp:inline distT="0" distB="0" distL="0" distR="0" wp14:anchorId="4E00146B" wp14:editId="699B5B3C">
            <wp:extent cx="2508250" cy="1672167"/>
            <wp:effectExtent l="0" t="0" r="6350" b="4445"/>
            <wp:docPr id="7560708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70836" name=""/>
                    <pic:cNvPicPr/>
                  </pic:nvPicPr>
                  <pic:blipFill>
                    <a:blip r:embed="rId95"/>
                    <a:stretch>
                      <a:fillRect/>
                    </a:stretch>
                  </pic:blipFill>
                  <pic:spPr>
                    <a:xfrm>
                      <a:off x="0" y="0"/>
                      <a:ext cx="2512464" cy="1674976"/>
                    </a:xfrm>
                    <a:prstGeom prst="rect">
                      <a:avLst/>
                    </a:prstGeom>
                  </pic:spPr>
                </pic:pic>
              </a:graphicData>
            </a:graphic>
          </wp:inline>
        </w:drawing>
      </w:r>
    </w:p>
    <w:p w14:paraId="1AD1D5D6"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1000d                                                                       3650d</w:t>
      </w:r>
    </w:p>
    <w:p w14:paraId="7F051FEC" w14:textId="77777777"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5.3-4  </w:t>
      </w:r>
      <w:r w:rsidRPr="00E67914">
        <w:rPr>
          <w:rFonts w:ascii="Times New Roman" w:eastAsia="黑体" w:hAnsi="Times New Roman"/>
          <w:sz w:val="21"/>
          <w:szCs w:val="21"/>
          <w:lang w:eastAsia="zh-CN"/>
        </w:rPr>
        <w:t>井筒破裂不同预测时间</w:t>
      </w:r>
      <w:r w:rsidRPr="00E67914">
        <w:rPr>
          <w:rFonts w:ascii="Times New Roman" w:eastAsia="黑体" w:hAnsi="Times New Roman"/>
          <w:sz w:val="21"/>
          <w:szCs w:val="21"/>
          <w:lang w:eastAsia="zh-CN"/>
        </w:rPr>
        <w:t>COD</w:t>
      </w:r>
      <w:r w:rsidRPr="00E67914">
        <w:rPr>
          <w:rFonts w:ascii="Times New Roman" w:eastAsia="黑体" w:hAnsi="Times New Roman"/>
          <w:sz w:val="21"/>
          <w:szCs w:val="21"/>
          <w:vertAlign w:val="subscript"/>
          <w:lang w:eastAsia="zh-CN"/>
        </w:rPr>
        <w:t>Mn</w:t>
      </w:r>
      <w:r w:rsidRPr="00E67914">
        <w:rPr>
          <w:rFonts w:ascii="Times New Roman" w:eastAsia="黑体" w:hAnsi="Times New Roman"/>
          <w:sz w:val="21"/>
          <w:szCs w:val="21"/>
          <w:lang w:eastAsia="zh-CN"/>
        </w:rPr>
        <w:t>贡献值与距离浓度关系图</w:t>
      </w:r>
    </w:p>
    <w:p w14:paraId="02A68EE2" w14:textId="77777777" w:rsidR="00A54A8A" w:rsidRPr="00E67914" w:rsidRDefault="00000000">
      <w:pPr>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地下水中石油类的超标及影响距离计算结果见表</w:t>
      </w:r>
      <w:r w:rsidRPr="00E67914">
        <w:rPr>
          <w:rFonts w:ascii="Times New Roman" w:hAnsi="Times New Roman"/>
          <w:sz w:val="24"/>
          <w:szCs w:val="24"/>
          <w:lang w:eastAsia="zh-CN"/>
        </w:rPr>
        <w:t>5.3-7</w:t>
      </w:r>
      <w:r w:rsidRPr="00E67914">
        <w:rPr>
          <w:rFonts w:ascii="Times New Roman" w:hAnsi="Times New Roman"/>
          <w:sz w:val="24"/>
          <w:szCs w:val="24"/>
          <w:lang w:eastAsia="zh-CN"/>
        </w:rPr>
        <w:t>及图</w:t>
      </w:r>
      <w:r w:rsidRPr="00E67914">
        <w:rPr>
          <w:rFonts w:ascii="Times New Roman" w:hAnsi="Times New Roman"/>
          <w:sz w:val="24"/>
          <w:szCs w:val="24"/>
          <w:lang w:eastAsia="zh-CN"/>
        </w:rPr>
        <w:t>5.3-5</w:t>
      </w:r>
      <w:r w:rsidRPr="00E67914">
        <w:rPr>
          <w:rFonts w:ascii="Times New Roman" w:hAnsi="Times New Roman"/>
          <w:sz w:val="24"/>
          <w:szCs w:val="24"/>
          <w:lang w:eastAsia="zh-CN"/>
        </w:rPr>
        <w:t>。</w:t>
      </w:r>
    </w:p>
    <w:p w14:paraId="4AC4282D"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5.3-7  </w:t>
      </w:r>
      <w:r w:rsidRPr="00E67914">
        <w:rPr>
          <w:rFonts w:ascii="Times New Roman" w:eastAsia="黑体" w:hAnsi="Times New Roman"/>
          <w:sz w:val="21"/>
          <w:szCs w:val="21"/>
          <w:lang w:eastAsia="zh-CN"/>
        </w:rPr>
        <w:t>压裂过程中井筒破裂地下水中石油类超标及影响距离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31"/>
        <w:gridCol w:w="1479"/>
        <w:gridCol w:w="1494"/>
        <w:gridCol w:w="1494"/>
        <w:gridCol w:w="1328"/>
        <w:gridCol w:w="1374"/>
      </w:tblGrid>
      <w:tr w:rsidR="00E67914" w:rsidRPr="00E67914" w14:paraId="2D5DBC36" w14:textId="77777777">
        <w:trPr>
          <w:trHeight w:val="590"/>
          <w:jc w:val="center"/>
        </w:trPr>
        <w:tc>
          <w:tcPr>
            <w:tcW w:w="681" w:type="pct"/>
            <w:vAlign w:val="center"/>
          </w:tcPr>
          <w:p w14:paraId="62462967"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污染时间</w:t>
            </w:r>
          </w:p>
        </w:tc>
        <w:tc>
          <w:tcPr>
            <w:tcW w:w="891" w:type="pct"/>
            <w:vAlign w:val="center"/>
          </w:tcPr>
          <w:p w14:paraId="38AF4A35"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中心点迁移距离（</w:t>
            </w:r>
            <w:r w:rsidRPr="00E67914">
              <w:rPr>
                <w:rFonts w:ascii="Times New Roman" w:hAnsi="Times New Roman"/>
                <w:b/>
                <w:sz w:val="21"/>
                <w:szCs w:val="21"/>
                <w:lang w:eastAsia="zh-CN"/>
              </w:rPr>
              <w:t>m</w:t>
            </w:r>
            <w:r w:rsidRPr="00E67914">
              <w:rPr>
                <w:rFonts w:ascii="Times New Roman" w:hAnsi="Times New Roman"/>
                <w:b/>
                <w:sz w:val="21"/>
                <w:szCs w:val="21"/>
                <w:lang w:eastAsia="zh-CN"/>
              </w:rPr>
              <w:t>）</w:t>
            </w:r>
          </w:p>
        </w:tc>
        <w:tc>
          <w:tcPr>
            <w:tcW w:w="900" w:type="pct"/>
            <w:vAlign w:val="center"/>
          </w:tcPr>
          <w:p w14:paraId="37BE9B69"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中心点处浓度（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900" w:type="pct"/>
            <w:vAlign w:val="center"/>
          </w:tcPr>
          <w:p w14:paraId="265CE1EA"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叠加后浓度（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800" w:type="pct"/>
            <w:vAlign w:val="center"/>
          </w:tcPr>
          <w:p w14:paraId="54538E85"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最远超标距离（</w:t>
            </w:r>
            <w:r w:rsidRPr="00E67914">
              <w:rPr>
                <w:rFonts w:ascii="Times New Roman" w:hAnsi="Times New Roman"/>
                <w:b/>
                <w:sz w:val="21"/>
                <w:szCs w:val="21"/>
              </w:rPr>
              <w:t>m</w:t>
            </w:r>
            <w:r w:rsidRPr="00E67914">
              <w:rPr>
                <w:rFonts w:ascii="Times New Roman" w:hAnsi="Times New Roman"/>
                <w:b/>
                <w:sz w:val="21"/>
                <w:szCs w:val="21"/>
              </w:rPr>
              <w:t>）</w:t>
            </w:r>
          </w:p>
        </w:tc>
        <w:tc>
          <w:tcPr>
            <w:tcW w:w="828" w:type="pct"/>
            <w:vAlign w:val="center"/>
          </w:tcPr>
          <w:p w14:paraId="248F6D38"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最远影响距离（</w:t>
            </w:r>
            <w:r w:rsidRPr="00E67914">
              <w:rPr>
                <w:rFonts w:ascii="Times New Roman" w:hAnsi="Times New Roman"/>
                <w:b/>
                <w:sz w:val="21"/>
                <w:szCs w:val="21"/>
              </w:rPr>
              <w:t>m</w:t>
            </w:r>
            <w:r w:rsidRPr="00E67914">
              <w:rPr>
                <w:rFonts w:ascii="Times New Roman" w:hAnsi="Times New Roman"/>
                <w:b/>
                <w:sz w:val="21"/>
                <w:szCs w:val="21"/>
              </w:rPr>
              <w:t>）</w:t>
            </w:r>
          </w:p>
        </w:tc>
      </w:tr>
      <w:tr w:rsidR="00E67914" w:rsidRPr="00E67914" w14:paraId="5F09779B" w14:textId="77777777">
        <w:trPr>
          <w:trHeight w:val="270"/>
          <w:jc w:val="center"/>
        </w:trPr>
        <w:tc>
          <w:tcPr>
            <w:tcW w:w="681" w:type="pct"/>
            <w:vAlign w:val="center"/>
          </w:tcPr>
          <w:p w14:paraId="000A264F" w14:textId="77777777" w:rsidR="009D17F3" w:rsidRPr="00E67914" w:rsidRDefault="009D17F3" w:rsidP="009D17F3">
            <w:pPr>
              <w:adjustRightInd w:val="0"/>
              <w:snapToGrid w:val="0"/>
              <w:jc w:val="center"/>
              <w:rPr>
                <w:rFonts w:ascii="Times New Roman" w:hAnsi="Times New Roman"/>
                <w:bCs/>
                <w:sz w:val="21"/>
                <w:szCs w:val="21"/>
              </w:rPr>
            </w:pPr>
            <w:r w:rsidRPr="00E67914">
              <w:rPr>
                <w:rFonts w:ascii="Times New Roman" w:hAnsi="Times New Roman"/>
                <w:bCs/>
                <w:sz w:val="21"/>
                <w:szCs w:val="21"/>
              </w:rPr>
              <w:t>100d</w:t>
            </w:r>
          </w:p>
        </w:tc>
        <w:tc>
          <w:tcPr>
            <w:tcW w:w="891" w:type="pct"/>
            <w:vAlign w:val="center"/>
          </w:tcPr>
          <w:p w14:paraId="206C4B24" w14:textId="3D38DF8F" w:rsidR="009D17F3" w:rsidRPr="00E67914" w:rsidRDefault="009D17F3" w:rsidP="009D17F3">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15</w:t>
            </w:r>
          </w:p>
        </w:tc>
        <w:tc>
          <w:tcPr>
            <w:tcW w:w="900" w:type="pct"/>
            <w:vAlign w:val="center"/>
          </w:tcPr>
          <w:p w14:paraId="758B5E85" w14:textId="53713384" w:rsidR="009D17F3" w:rsidRPr="00E67914" w:rsidRDefault="009D17F3" w:rsidP="009D17F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20.13</w:t>
            </w:r>
          </w:p>
        </w:tc>
        <w:tc>
          <w:tcPr>
            <w:tcW w:w="900" w:type="pct"/>
            <w:vAlign w:val="center"/>
          </w:tcPr>
          <w:p w14:paraId="7EB615DD" w14:textId="73B5C6B6"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20.13</w:t>
            </w:r>
          </w:p>
        </w:tc>
        <w:tc>
          <w:tcPr>
            <w:tcW w:w="800" w:type="pct"/>
            <w:vAlign w:val="center"/>
          </w:tcPr>
          <w:p w14:paraId="2A71C1BD" w14:textId="52EEAB04"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75</w:t>
            </w:r>
          </w:p>
        </w:tc>
        <w:tc>
          <w:tcPr>
            <w:tcW w:w="828" w:type="pct"/>
            <w:vAlign w:val="center"/>
          </w:tcPr>
          <w:p w14:paraId="69222C46" w14:textId="552033E0"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83</w:t>
            </w:r>
          </w:p>
        </w:tc>
      </w:tr>
      <w:tr w:rsidR="00E67914" w:rsidRPr="00E67914" w14:paraId="6A98E8EB" w14:textId="77777777">
        <w:trPr>
          <w:trHeight w:val="248"/>
          <w:jc w:val="center"/>
        </w:trPr>
        <w:tc>
          <w:tcPr>
            <w:tcW w:w="681" w:type="pct"/>
            <w:vAlign w:val="center"/>
          </w:tcPr>
          <w:p w14:paraId="093E7105" w14:textId="77777777" w:rsidR="009D17F3" w:rsidRPr="00E67914" w:rsidRDefault="009D17F3" w:rsidP="009D17F3">
            <w:pPr>
              <w:adjustRightInd w:val="0"/>
              <w:snapToGrid w:val="0"/>
              <w:jc w:val="center"/>
              <w:rPr>
                <w:rFonts w:ascii="Times New Roman" w:hAnsi="Times New Roman"/>
                <w:bCs/>
                <w:sz w:val="21"/>
                <w:szCs w:val="21"/>
              </w:rPr>
            </w:pPr>
            <w:r w:rsidRPr="00E67914">
              <w:rPr>
                <w:rFonts w:ascii="Times New Roman" w:hAnsi="Times New Roman"/>
                <w:bCs/>
                <w:sz w:val="21"/>
                <w:szCs w:val="21"/>
              </w:rPr>
              <w:lastRenderedPageBreak/>
              <w:t>365d</w:t>
            </w:r>
          </w:p>
        </w:tc>
        <w:tc>
          <w:tcPr>
            <w:tcW w:w="891" w:type="pct"/>
            <w:vAlign w:val="center"/>
          </w:tcPr>
          <w:p w14:paraId="3B827C06" w14:textId="49E55461" w:rsidR="009D17F3" w:rsidRPr="00E67914" w:rsidRDefault="009D17F3" w:rsidP="009D17F3">
            <w:pPr>
              <w:adjustRightInd w:val="0"/>
              <w:snapToGrid w:val="0"/>
              <w:jc w:val="center"/>
              <w:rPr>
                <w:rFonts w:ascii="Times New Roman" w:hAnsi="Times New Roman"/>
                <w:bCs/>
                <w:sz w:val="21"/>
                <w:szCs w:val="21"/>
              </w:rPr>
            </w:pPr>
            <w:r w:rsidRPr="00E67914">
              <w:rPr>
                <w:rFonts w:ascii="Times New Roman" w:hAnsi="Times New Roman"/>
                <w:bCs/>
                <w:sz w:val="21"/>
                <w:szCs w:val="21"/>
              </w:rPr>
              <w:t>55</w:t>
            </w:r>
          </w:p>
        </w:tc>
        <w:tc>
          <w:tcPr>
            <w:tcW w:w="900" w:type="pct"/>
            <w:vAlign w:val="center"/>
          </w:tcPr>
          <w:p w14:paraId="17DCB64B" w14:textId="3AA6A3B1" w:rsidR="009D17F3" w:rsidRPr="00E67914" w:rsidRDefault="009D17F3" w:rsidP="009D17F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5.51</w:t>
            </w:r>
          </w:p>
        </w:tc>
        <w:tc>
          <w:tcPr>
            <w:tcW w:w="900" w:type="pct"/>
            <w:vAlign w:val="center"/>
          </w:tcPr>
          <w:p w14:paraId="094A12FF" w14:textId="1F951D9E"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5.51</w:t>
            </w:r>
          </w:p>
        </w:tc>
        <w:tc>
          <w:tcPr>
            <w:tcW w:w="800" w:type="pct"/>
            <w:vAlign w:val="center"/>
          </w:tcPr>
          <w:p w14:paraId="79C77981" w14:textId="118CAF17"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157</w:t>
            </w:r>
          </w:p>
        </w:tc>
        <w:tc>
          <w:tcPr>
            <w:tcW w:w="828" w:type="pct"/>
            <w:vAlign w:val="center"/>
          </w:tcPr>
          <w:p w14:paraId="748D44E5" w14:textId="3C3AA29E"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172</w:t>
            </w:r>
          </w:p>
        </w:tc>
      </w:tr>
      <w:tr w:rsidR="00E67914" w:rsidRPr="00E67914" w14:paraId="4077DB11" w14:textId="77777777">
        <w:trPr>
          <w:trHeight w:val="270"/>
          <w:jc w:val="center"/>
        </w:trPr>
        <w:tc>
          <w:tcPr>
            <w:tcW w:w="681" w:type="pct"/>
            <w:vAlign w:val="center"/>
          </w:tcPr>
          <w:p w14:paraId="072C7696" w14:textId="77777777" w:rsidR="009D17F3" w:rsidRPr="00E67914" w:rsidRDefault="009D17F3" w:rsidP="009D17F3">
            <w:pPr>
              <w:adjustRightInd w:val="0"/>
              <w:snapToGrid w:val="0"/>
              <w:jc w:val="center"/>
              <w:rPr>
                <w:rFonts w:ascii="Times New Roman" w:hAnsi="Times New Roman"/>
                <w:bCs/>
                <w:sz w:val="21"/>
                <w:szCs w:val="21"/>
              </w:rPr>
            </w:pPr>
            <w:r w:rsidRPr="00E67914">
              <w:rPr>
                <w:rFonts w:ascii="Times New Roman" w:hAnsi="Times New Roman"/>
                <w:bCs/>
                <w:sz w:val="21"/>
                <w:szCs w:val="21"/>
              </w:rPr>
              <w:t>1000d</w:t>
            </w:r>
          </w:p>
        </w:tc>
        <w:tc>
          <w:tcPr>
            <w:tcW w:w="891" w:type="pct"/>
            <w:vAlign w:val="center"/>
          </w:tcPr>
          <w:p w14:paraId="4FCE0B98" w14:textId="7DE2E87F" w:rsidR="009D17F3" w:rsidRPr="00E67914" w:rsidRDefault="009D17F3" w:rsidP="009D17F3">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150</w:t>
            </w:r>
          </w:p>
        </w:tc>
        <w:tc>
          <w:tcPr>
            <w:tcW w:w="900" w:type="pct"/>
            <w:vAlign w:val="center"/>
          </w:tcPr>
          <w:p w14:paraId="2E9F9B6A" w14:textId="62C2C063" w:rsidR="009D17F3" w:rsidRPr="00E67914" w:rsidRDefault="009D17F3" w:rsidP="009D17F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2.01</w:t>
            </w:r>
          </w:p>
        </w:tc>
        <w:tc>
          <w:tcPr>
            <w:tcW w:w="900" w:type="pct"/>
            <w:vAlign w:val="center"/>
          </w:tcPr>
          <w:p w14:paraId="3C19F924" w14:textId="369E06A6"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2.01</w:t>
            </w:r>
          </w:p>
        </w:tc>
        <w:tc>
          <w:tcPr>
            <w:tcW w:w="800" w:type="pct"/>
            <w:vAlign w:val="center"/>
          </w:tcPr>
          <w:p w14:paraId="4B77A66E" w14:textId="44604496"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299</w:t>
            </w:r>
          </w:p>
        </w:tc>
        <w:tc>
          <w:tcPr>
            <w:tcW w:w="828" w:type="pct"/>
            <w:vAlign w:val="center"/>
          </w:tcPr>
          <w:p w14:paraId="4838A752" w14:textId="65BD4D0A"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327</w:t>
            </w:r>
          </w:p>
        </w:tc>
      </w:tr>
      <w:tr w:rsidR="00E67914" w:rsidRPr="00E67914" w14:paraId="6231F0D9" w14:textId="77777777">
        <w:trPr>
          <w:trHeight w:val="248"/>
          <w:jc w:val="center"/>
        </w:trPr>
        <w:tc>
          <w:tcPr>
            <w:tcW w:w="681" w:type="pct"/>
            <w:vAlign w:val="center"/>
          </w:tcPr>
          <w:p w14:paraId="511BF2B1" w14:textId="77777777" w:rsidR="009D17F3" w:rsidRPr="00E67914" w:rsidRDefault="009D17F3" w:rsidP="009D17F3">
            <w:pPr>
              <w:adjustRightInd w:val="0"/>
              <w:snapToGrid w:val="0"/>
              <w:jc w:val="center"/>
              <w:rPr>
                <w:rFonts w:ascii="Times New Roman" w:hAnsi="Times New Roman"/>
                <w:bCs/>
                <w:sz w:val="21"/>
                <w:szCs w:val="21"/>
              </w:rPr>
            </w:pPr>
            <w:r w:rsidRPr="00E67914">
              <w:rPr>
                <w:rFonts w:ascii="Times New Roman" w:hAnsi="Times New Roman"/>
                <w:bCs/>
                <w:sz w:val="21"/>
                <w:szCs w:val="21"/>
              </w:rPr>
              <w:t>3650d</w:t>
            </w:r>
          </w:p>
        </w:tc>
        <w:tc>
          <w:tcPr>
            <w:tcW w:w="891" w:type="pct"/>
            <w:vAlign w:val="center"/>
          </w:tcPr>
          <w:p w14:paraId="383A5023" w14:textId="04FE597C" w:rsidR="009D17F3" w:rsidRPr="00E67914" w:rsidRDefault="009D17F3" w:rsidP="009D17F3">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550</w:t>
            </w:r>
          </w:p>
        </w:tc>
        <w:tc>
          <w:tcPr>
            <w:tcW w:w="900" w:type="pct"/>
            <w:vAlign w:val="center"/>
          </w:tcPr>
          <w:p w14:paraId="30210E68" w14:textId="4391FA5E" w:rsidR="009D17F3" w:rsidRPr="00E67914" w:rsidRDefault="009D17F3" w:rsidP="009D17F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0.55</w:t>
            </w:r>
          </w:p>
        </w:tc>
        <w:tc>
          <w:tcPr>
            <w:tcW w:w="900" w:type="pct"/>
            <w:vAlign w:val="center"/>
          </w:tcPr>
          <w:p w14:paraId="7F326E64" w14:textId="6771D662"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0.55</w:t>
            </w:r>
          </w:p>
        </w:tc>
        <w:tc>
          <w:tcPr>
            <w:tcW w:w="800" w:type="pct"/>
            <w:vAlign w:val="center"/>
          </w:tcPr>
          <w:p w14:paraId="4CC1DE86" w14:textId="2A415098"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776</w:t>
            </w:r>
          </w:p>
        </w:tc>
        <w:tc>
          <w:tcPr>
            <w:tcW w:w="828" w:type="pct"/>
            <w:vAlign w:val="center"/>
          </w:tcPr>
          <w:p w14:paraId="44829F9C" w14:textId="35B9A6FE" w:rsidR="009D17F3" w:rsidRPr="00E67914" w:rsidRDefault="009D17F3" w:rsidP="009D17F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845</w:t>
            </w:r>
          </w:p>
        </w:tc>
      </w:tr>
    </w:tbl>
    <w:p w14:paraId="30F1921E" w14:textId="22E93063" w:rsidR="00A54A8A" w:rsidRPr="00E67914" w:rsidRDefault="009D17F3">
      <w:pPr>
        <w:adjustRightInd w:val="0"/>
        <w:snapToGrid w:val="0"/>
        <w:jc w:val="center"/>
        <w:rPr>
          <w:rFonts w:ascii="Times New Roman" w:eastAsia="黑体" w:hAnsi="Times New Roman"/>
          <w:szCs w:val="24"/>
        </w:rPr>
      </w:pPr>
      <w:r w:rsidRPr="00E67914">
        <w:rPr>
          <w:rFonts w:ascii="Times New Roman" w:hAnsi="Times New Roman"/>
          <w:noProof/>
        </w:rPr>
        <w:drawing>
          <wp:inline distT="0" distB="0" distL="0" distR="0" wp14:anchorId="534937BE" wp14:editId="638250D0">
            <wp:extent cx="2600325" cy="1733550"/>
            <wp:effectExtent l="0" t="0" r="9525" b="0"/>
            <wp:docPr id="1460351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5191" name=""/>
                    <pic:cNvPicPr/>
                  </pic:nvPicPr>
                  <pic:blipFill>
                    <a:blip r:embed="rId96"/>
                    <a:stretch>
                      <a:fillRect/>
                    </a:stretch>
                  </pic:blipFill>
                  <pic:spPr>
                    <a:xfrm>
                      <a:off x="0" y="0"/>
                      <a:ext cx="2603409" cy="1735606"/>
                    </a:xfrm>
                    <a:prstGeom prst="rect">
                      <a:avLst/>
                    </a:prstGeom>
                  </pic:spPr>
                </pic:pic>
              </a:graphicData>
            </a:graphic>
          </wp:inline>
        </w:drawing>
      </w:r>
      <w:r w:rsidRPr="00E67914">
        <w:rPr>
          <w:rFonts w:ascii="Times New Roman" w:hAnsi="Times New Roman"/>
          <w:noProof/>
        </w:rPr>
        <w:drawing>
          <wp:inline distT="0" distB="0" distL="0" distR="0" wp14:anchorId="66F214F0" wp14:editId="4AAFD460">
            <wp:extent cx="2611120" cy="1740747"/>
            <wp:effectExtent l="0" t="0" r="0" b="0"/>
            <wp:docPr id="921964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64244" name=""/>
                    <pic:cNvPicPr/>
                  </pic:nvPicPr>
                  <pic:blipFill>
                    <a:blip r:embed="rId97"/>
                    <a:stretch>
                      <a:fillRect/>
                    </a:stretch>
                  </pic:blipFill>
                  <pic:spPr>
                    <a:xfrm>
                      <a:off x="0" y="0"/>
                      <a:ext cx="2617091" cy="1744727"/>
                    </a:xfrm>
                    <a:prstGeom prst="rect">
                      <a:avLst/>
                    </a:prstGeom>
                  </pic:spPr>
                </pic:pic>
              </a:graphicData>
            </a:graphic>
          </wp:inline>
        </w:drawing>
      </w:r>
    </w:p>
    <w:p w14:paraId="38CD94E4"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100d                                                                 365d</w:t>
      </w:r>
    </w:p>
    <w:p w14:paraId="41D5CE49" w14:textId="1F268E90" w:rsidR="00A54A8A" w:rsidRPr="00E67914" w:rsidRDefault="009D17F3">
      <w:pPr>
        <w:pStyle w:val="af4"/>
        <w:adjustRightInd w:val="0"/>
        <w:snapToGrid w:val="0"/>
        <w:jc w:val="center"/>
        <w:rPr>
          <w:rFonts w:ascii="Times New Roman" w:hAnsi="Times New Roman"/>
          <w:bCs/>
          <w:sz w:val="21"/>
          <w:szCs w:val="21"/>
        </w:rPr>
      </w:pPr>
      <w:r w:rsidRPr="00E67914">
        <w:rPr>
          <w:rFonts w:ascii="Times New Roman" w:hAnsi="Times New Roman"/>
          <w:noProof/>
        </w:rPr>
        <w:drawing>
          <wp:inline distT="0" distB="0" distL="0" distR="0" wp14:anchorId="5E3FEAAA" wp14:editId="26C23067">
            <wp:extent cx="2558415" cy="1705610"/>
            <wp:effectExtent l="0" t="0" r="0" b="8890"/>
            <wp:docPr id="35099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9068" name=""/>
                    <pic:cNvPicPr/>
                  </pic:nvPicPr>
                  <pic:blipFill>
                    <a:blip r:embed="rId98"/>
                    <a:stretch>
                      <a:fillRect/>
                    </a:stretch>
                  </pic:blipFill>
                  <pic:spPr>
                    <a:xfrm>
                      <a:off x="0" y="0"/>
                      <a:ext cx="2560979" cy="1707319"/>
                    </a:xfrm>
                    <a:prstGeom prst="rect">
                      <a:avLst/>
                    </a:prstGeom>
                  </pic:spPr>
                </pic:pic>
              </a:graphicData>
            </a:graphic>
          </wp:inline>
        </w:drawing>
      </w:r>
      <w:r w:rsidRPr="00E67914">
        <w:rPr>
          <w:rFonts w:ascii="Times New Roman" w:hAnsi="Times New Roman"/>
          <w:noProof/>
        </w:rPr>
        <w:drawing>
          <wp:inline distT="0" distB="0" distL="0" distR="0" wp14:anchorId="2537E848" wp14:editId="2E55C51B">
            <wp:extent cx="2546350" cy="1697567"/>
            <wp:effectExtent l="0" t="0" r="6350" b="0"/>
            <wp:docPr id="18256660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66088" name=""/>
                    <pic:cNvPicPr/>
                  </pic:nvPicPr>
                  <pic:blipFill>
                    <a:blip r:embed="rId99"/>
                    <a:stretch>
                      <a:fillRect/>
                    </a:stretch>
                  </pic:blipFill>
                  <pic:spPr>
                    <a:xfrm>
                      <a:off x="0" y="0"/>
                      <a:ext cx="2550192" cy="1700128"/>
                    </a:xfrm>
                    <a:prstGeom prst="rect">
                      <a:avLst/>
                    </a:prstGeom>
                  </pic:spPr>
                </pic:pic>
              </a:graphicData>
            </a:graphic>
          </wp:inline>
        </w:drawing>
      </w:r>
    </w:p>
    <w:p w14:paraId="4257B018"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1000d                                                                       3650d</w:t>
      </w:r>
    </w:p>
    <w:p w14:paraId="390B5FF0" w14:textId="77777777"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5.3-5  </w:t>
      </w:r>
      <w:r w:rsidRPr="00E67914">
        <w:rPr>
          <w:rFonts w:ascii="Times New Roman" w:eastAsia="黑体" w:hAnsi="Times New Roman"/>
          <w:sz w:val="21"/>
          <w:szCs w:val="21"/>
          <w:lang w:eastAsia="zh-CN"/>
        </w:rPr>
        <w:t>压裂过程中井筒破裂不同预测时间石油类贡献值与距离浓度关系图</w:t>
      </w:r>
    </w:p>
    <w:p w14:paraId="046C3E27" w14:textId="77777777" w:rsidR="00A54A8A" w:rsidRPr="00E67914" w:rsidRDefault="00000000">
      <w:pPr>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③</w:t>
      </w:r>
      <w:r w:rsidRPr="00E67914">
        <w:rPr>
          <w:rFonts w:ascii="Times New Roman" w:hAnsi="Times New Roman"/>
          <w:sz w:val="24"/>
          <w:szCs w:val="24"/>
          <w:lang w:eastAsia="zh-CN"/>
        </w:rPr>
        <w:t>地下水中氯离子的超标及影响距离计算结果见表</w:t>
      </w:r>
      <w:r w:rsidRPr="00E67914">
        <w:rPr>
          <w:rFonts w:ascii="Times New Roman" w:hAnsi="Times New Roman"/>
          <w:sz w:val="24"/>
          <w:szCs w:val="24"/>
          <w:lang w:eastAsia="zh-CN"/>
        </w:rPr>
        <w:t>5.3-8</w:t>
      </w:r>
      <w:r w:rsidRPr="00E67914">
        <w:rPr>
          <w:rFonts w:ascii="Times New Roman" w:hAnsi="Times New Roman"/>
          <w:sz w:val="24"/>
          <w:szCs w:val="24"/>
          <w:lang w:eastAsia="zh-CN"/>
        </w:rPr>
        <w:t>及图</w:t>
      </w:r>
      <w:r w:rsidRPr="00E67914">
        <w:rPr>
          <w:rFonts w:ascii="Times New Roman" w:hAnsi="Times New Roman"/>
          <w:sz w:val="24"/>
          <w:szCs w:val="24"/>
          <w:lang w:eastAsia="zh-CN"/>
        </w:rPr>
        <w:t>5.3-6</w:t>
      </w:r>
      <w:r w:rsidRPr="00E67914">
        <w:rPr>
          <w:rFonts w:ascii="Times New Roman" w:hAnsi="Times New Roman"/>
          <w:sz w:val="24"/>
          <w:szCs w:val="24"/>
          <w:lang w:eastAsia="zh-CN"/>
        </w:rPr>
        <w:t>。</w:t>
      </w:r>
    </w:p>
    <w:p w14:paraId="479907FA"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5.3-8  </w:t>
      </w:r>
      <w:r w:rsidRPr="00E67914">
        <w:rPr>
          <w:rFonts w:ascii="Times New Roman" w:eastAsia="黑体" w:hAnsi="Times New Roman"/>
          <w:sz w:val="21"/>
          <w:szCs w:val="21"/>
          <w:lang w:eastAsia="zh-CN"/>
        </w:rPr>
        <w:t>压裂过程中井筒破裂地下水中氯离子超标及影响距离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69"/>
        <w:gridCol w:w="1524"/>
        <w:gridCol w:w="1524"/>
        <w:gridCol w:w="1524"/>
        <w:gridCol w:w="1355"/>
        <w:gridCol w:w="1404"/>
      </w:tblGrid>
      <w:tr w:rsidR="00E67914" w:rsidRPr="00E67914" w14:paraId="3F173BCB" w14:textId="77777777" w:rsidTr="00872DA3">
        <w:trPr>
          <w:trHeight w:val="590"/>
          <w:jc w:val="center"/>
        </w:trPr>
        <w:tc>
          <w:tcPr>
            <w:tcW w:w="584" w:type="pct"/>
            <w:vAlign w:val="center"/>
          </w:tcPr>
          <w:p w14:paraId="54D3E94C"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污染时间</w:t>
            </w:r>
          </w:p>
        </w:tc>
        <w:tc>
          <w:tcPr>
            <w:tcW w:w="918" w:type="pct"/>
            <w:vAlign w:val="center"/>
          </w:tcPr>
          <w:p w14:paraId="60A9DC87"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中心点迁移距离（</w:t>
            </w:r>
            <w:r w:rsidRPr="00E67914">
              <w:rPr>
                <w:rFonts w:ascii="Times New Roman" w:hAnsi="Times New Roman"/>
                <w:b/>
                <w:sz w:val="21"/>
                <w:szCs w:val="21"/>
                <w:lang w:eastAsia="zh-CN"/>
              </w:rPr>
              <w:t>m</w:t>
            </w:r>
            <w:r w:rsidRPr="00E67914">
              <w:rPr>
                <w:rFonts w:ascii="Times New Roman" w:hAnsi="Times New Roman"/>
                <w:b/>
                <w:sz w:val="21"/>
                <w:szCs w:val="21"/>
                <w:lang w:eastAsia="zh-CN"/>
              </w:rPr>
              <w:t>）</w:t>
            </w:r>
          </w:p>
        </w:tc>
        <w:tc>
          <w:tcPr>
            <w:tcW w:w="918" w:type="pct"/>
            <w:vAlign w:val="center"/>
          </w:tcPr>
          <w:p w14:paraId="6F7E11AA"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中心点处浓度（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918" w:type="pct"/>
            <w:vAlign w:val="center"/>
          </w:tcPr>
          <w:p w14:paraId="527892CE" w14:textId="77777777" w:rsidR="00A54A8A" w:rsidRPr="00E67914" w:rsidRDefault="00000000">
            <w:pPr>
              <w:adjustRightInd w:val="0"/>
              <w:snapToGrid w:val="0"/>
              <w:jc w:val="center"/>
              <w:rPr>
                <w:rFonts w:ascii="Times New Roman" w:hAnsi="Times New Roman"/>
                <w:b/>
                <w:sz w:val="21"/>
                <w:szCs w:val="21"/>
                <w:lang w:eastAsia="zh-CN"/>
              </w:rPr>
            </w:pPr>
            <w:r w:rsidRPr="00E67914">
              <w:rPr>
                <w:rFonts w:ascii="Times New Roman" w:hAnsi="Times New Roman"/>
                <w:b/>
                <w:sz w:val="21"/>
                <w:szCs w:val="21"/>
                <w:lang w:eastAsia="zh-CN"/>
              </w:rPr>
              <w:t>叠加后浓度（</w:t>
            </w:r>
            <w:r w:rsidRPr="00E67914">
              <w:rPr>
                <w:rFonts w:ascii="Times New Roman" w:hAnsi="Times New Roman"/>
                <w:b/>
                <w:sz w:val="21"/>
                <w:szCs w:val="21"/>
                <w:lang w:eastAsia="zh-CN"/>
              </w:rPr>
              <w:t>mg/L</w:t>
            </w:r>
            <w:r w:rsidRPr="00E67914">
              <w:rPr>
                <w:rFonts w:ascii="Times New Roman" w:hAnsi="Times New Roman"/>
                <w:b/>
                <w:sz w:val="21"/>
                <w:szCs w:val="21"/>
                <w:lang w:eastAsia="zh-CN"/>
              </w:rPr>
              <w:t>）</w:t>
            </w:r>
          </w:p>
        </w:tc>
        <w:tc>
          <w:tcPr>
            <w:tcW w:w="816" w:type="pct"/>
            <w:vAlign w:val="center"/>
          </w:tcPr>
          <w:p w14:paraId="76A4BFF9"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最远超标距离（</w:t>
            </w:r>
            <w:r w:rsidRPr="00E67914">
              <w:rPr>
                <w:rFonts w:ascii="Times New Roman" w:hAnsi="Times New Roman"/>
                <w:b/>
                <w:sz w:val="21"/>
                <w:szCs w:val="21"/>
              </w:rPr>
              <w:t>m</w:t>
            </w:r>
            <w:r w:rsidRPr="00E67914">
              <w:rPr>
                <w:rFonts w:ascii="Times New Roman" w:hAnsi="Times New Roman"/>
                <w:b/>
                <w:sz w:val="21"/>
                <w:szCs w:val="21"/>
              </w:rPr>
              <w:t>）</w:t>
            </w:r>
          </w:p>
        </w:tc>
        <w:tc>
          <w:tcPr>
            <w:tcW w:w="846" w:type="pct"/>
            <w:vAlign w:val="center"/>
          </w:tcPr>
          <w:p w14:paraId="2965BD2D" w14:textId="77777777" w:rsidR="00A54A8A" w:rsidRPr="00E67914" w:rsidRDefault="00000000">
            <w:pPr>
              <w:adjustRightInd w:val="0"/>
              <w:snapToGrid w:val="0"/>
              <w:jc w:val="center"/>
              <w:rPr>
                <w:rFonts w:ascii="Times New Roman" w:hAnsi="Times New Roman"/>
                <w:b/>
                <w:sz w:val="21"/>
                <w:szCs w:val="21"/>
              </w:rPr>
            </w:pPr>
            <w:r w:rsidRPr="00E67914">
              <w:rPr>
                <w:rFonts w:ascii="Times New Roman" w:hAnsi="Times New Roman"/>
                <w:b/>
                <w:sz w:val="21"/>
                <w:szCs w:val="21"/>
              </w:rPr>
              <w:t>最远影响距离（</w:t>
            </w:r>
            <w:r w:rsidRPr="00E67914">
              <w:rPr>
                <w:rFonts w:ascii="Times New Roman" w:hAnsi="Times New Roman"/>
                <w:b/>
                <w:sz w:val="21"/>
                <w:szCs w:val="21"/>
              </w:rPr>
              <w:t>m</w:t>
            </w:r>
            <w:r w:rsidRPr="00E67914">
              <w:rPr>
                <w:rFonts w:ascii="Times New Roman" w:hAnsi="Times New Roman"/>
                <w:b/>
                <w:sz w:val="21"/>
                <w:szCs w:val="21"/>
              </w:rPr>
              <w:t>）</w:t>
            </w:r>
          </w:p>
        </w:tc>
      </w:tr>
      <w:tr w:rsidR="00E67914" w:rsidRPr="00E67914" w14:paraId="662E8B3F" w14:textId="77777777" w:rsidTr="00872DA3">
        <w:trPr>
          <w:trHeight w:val="270"/>
          <w:jc w:val="center"/>
        </w:trPr>
        <w:tc>
          <w:tcPr>
            <w:tcW w:w="584" w:type="pct"/>
            <w:vAlign w:val="center"/>
          </w:tcPr>
          <w:p w14:paraId="795DA96B"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100d</w:t>
            </w:r>
          </w:p>
        </w:tc>
        <w:tc>
          <w:tcPr>
            <w:tcW w:w="918" w:type="pct"/>
            <w:vAlign w:val="center"/>
          </w:tcPr>
          <w:p w14:paraId="19396370" w14:textId="0CBDDBC1"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15</w:t>
            </w:r>
          </w:p>
        </w:tc>
        <w:tc>
          <w:tcPr>
            <w:tcW w:w="918" w:type="pct"/>
            <w:vAlign w:val="center"/>
          </w:tcPr>
          <w:p w14:paraId="49A87303" w14:textId="00B7B44D"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402.63</w:t>
            </w:r>
          </w:p>
        </w:tc>
        <w:tc>
          <w:tcPr>
            <w:tcW w:w="918" w:type="pct"/>
            <w:vAlign w:val="center"/>
          </w:tcPr>
          <w:p w14:paraId="5E512430" w14:textId="28DFD6AB"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416.23</w:t>
            </w:r>
          </w:p>
        </w:tc>
        <w:tc>
          <w:tcPr>
            <w:tcW w:w="816" w:type="pct"/>
            <w:vAlign w:val="center"/>
          </w:tcPr>
          <w:p w14:paraId="69E62711" w14:textId="75455B1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32</w:t>
            </w:r>
          </w:p>
        </w:tc>
        <w:tc>
          <w:tcPr>
            <w:tcW w:w="846" w:type="pct"/>
            <w:vAlign w:val="center"/>
          </w:tcPr>
          <w:p w14:paraId="3D75AB04" w14:textId="1BE93DD2"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53</w:t>
            </w:r>
          </w:p>
        </w:tc>
      </w:tr>
      <w:tr w:rsidR="00E67914" w:rsidRPr="00E67914" w14:paraId="33A5D3CA" w14:textId="77777777" w:rsidTr="00872DA3">
        <w:trPr>
          <w:trHeight w:val="248"/>
          <w:jc w:val="center"/>
        </w:trPr>
        <w:tc>
          <w:tcPr>
            <w:tcW w:w="584" w:type="pct"/>
            <w:vAlign w:val="center"/>
          </w:tcPr>
          <w:p w14:paraId="22A0E514"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365d</w:t>
            </w:r>
          </w:p>
        </w:tc>
        <w:tc>
          <w:tcPr>
            <w:tcW w:w="918" w:type="pct"/>
            <w:vAlign w:val="center"/>
          </w:tcPr>
          <w:p w14:paraId="1180E70B" w14:textId="6AA43B66"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55</w:t>
            </w:r>
          </w:p>
        </w:tc>
        <w:tc>
          <w:tcPr>
            <w:tcW w:w="918" w:type="pct"/>
            <w:vAlign w:val="center"/>
          </w:tcPr>
          <w:p w14:paraId="192C3C02" w14:textId="7F6768B9"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110.31</w:t>
            </w:r>
          </w:p>
        </w:tc>
        <w:tc>
          <w:tcPr>
            <w:tcW w:w="918" w:type="pct"/>
            <w:vAlign w:val="center"/>
          </w:tcPr>
          <w:p w14:paraId="5106D63E" w14:textId="2E3B2F45"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123.91</w:t>
            </w:r>
          </w:p>
        </w:tc>
        <w:tc>
          <w:tcPr>
            <w:tcW w:w="816" w:type="pct"/>
            <w:vAlign w:val="center"/>
          </w:tcPr>
          <w:p w14:paraId="0E55E73C"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c>
          <w:tcPr>
            <w:tcW w:w="846" w:type="pct"/>
            <w:vAlign w:val="center"/>
          </w:tcPr>
          <w:p w14:paraId="1094B30E" w14:textId="458A6F35" w:rsidR="00872DA3" w:rsidRPr="00E67914" w:rsidRDefault="00872DA3" w:rsidP="00872DA3">
            <w:pPr>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103</w:t>
            </w:r>
          </w:p>
        </w:tc>
      </w:tr>
      <w:tr w:rsidR="00E67914" w:rsidRPr="00E67914" w14:paraId="7C02FEFC" w14:textId="77777777" w:rsidTr="00872DA3">
        <w:trPr>
          <w:trHeight w:val="270"/>
          <w:jc w:val="center"/>
        </w:trPr>
        <w:tc>
          <w:tcPr>
            <w:tcW w:w="584" w:type="pct"/>
            <w:vAlign w:val="center"/>
          </w:tcPr>
          <w:p w14:paraId="7BBAAC98"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1000d</w:t>
            </w:r>
          </w:p>
        </w:tc>
        <w:tc>
          <w:tcPr>
            <w:tcW w:w="918" w:type="pct"/>
            <w:vAlign w:val="center"/>
          </w:tcPr>
          <w:p w14:paraId="437C369C" w14:textId="3987B26A"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150</w:t>
            </w:r>
          </w:p>
        </w:tc>
        <w:tc>
          <w:tcPr>
            <w:tcW w:w="918" w:type="pct"/>
            <w:vAlign w:val="center"/>
          </w:tcPr>
          <w:p w14:paraId="0F47CE06" w14:textId="0EBFB48D"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40.26</w:t>
            </w:r>
          </w:p>
        </w:tc>
        <w:tc>
          <w:tcPr>
            <w:tcW w:w="918" w:type="pct"/>
            <w:vAlign w:val="center"/>
          </w:tcPr>
          <w:p w14:paraId="50B77D5E" w14:textId="2F91390B"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53.86</w:t>
            </w:r>
          </w:p>
        </w:tc>
        <w:tc>
          <w:tcPr>
            <w:tcW w:w="816" w:type="pct"/>
            <w:vAlign w:val="center"/>
          </w:tcPr>
          <w:p w14:paraId="2A515A0A"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c>
          <w:tcPr>
            <w:tcW w:w="846" w:type="pct"/>
            <w:vAlign w:val="center"/>
          </w:tcPr>
          <w:p w14:paraId="0DF7F1C6" w14:textId="1D7F5D96"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166</w:t>
            </w:r>
          </w:p>
        </w:tc>
      </w:tr>
      <w:tr w:rsidR="00E67914" w:rsidRPr="00E67914" w14:paraId="7F641E91" w14:textId="77777777" w:rsidTr="00872DA3">
        <w:trPr>
          <w:trHeight w:val="248"/>
          <w:jc w:val="center"/>
        </w:trPr>
        <w:tc>
          <w:tcPr>
            <w:tcW w:w="584" w:type="pct"/>
            <w:vAlign w:val="center"/>
          </w:tcPr>
          <w:p w14:paraId="19FD0362"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3650d</w:t>
            </w:r>
          </w:p>
        </w:tc>
        <w:tc>
          <w:tcPr>
            <w:tcW w:w="918" w:type="pct"/>
            <w:vAlign w:val="center"/>
          </w:tcPr>
          <w:p w14:paraId="1A778791" w14:textId="25D457BD"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lang w:eastAsia="zh-CN"/>
              </w:rPr>
              <w:t>550</w:t>
            </w:r>
          </w:p>
        </w:tc>
        <w:tc>
          <w:tcPr>
            <w:tcW w:w="918" w:type="pct"/>
            <w:vAlign w:val="center"/>
          </w:tcPr>
          <w:p w14:paraId="76988BA8" w14:textId="70AD0DBF"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11.03</w:t>
            </w:r>
          </w:p>
        </w:tc>
        <w:tc>
          <w:tcPr>
            <w:tcW w:w="918" w:type="pct"/>
            <w:vAlign w:val="center"/>
          </w:tcPr>
          <w:p w14:paraId="55329EE5" w14:textId="71461FB4" w:rsidR="00872DA3" w:rsidRPr="00E67914" w:rsidRDefault="00872DA3" w:rsidP="00872DA3">
            <w:pPr>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24.63</w:t>
            </w:r>
          </w:p>
        </w:tc>
        <w:tc>
          <w:tcPr>
            <w:tcW w:w="816" w:type="pct"/>
            <w:vAlign w:val="center"/>
          </w:tcPr>
          <w:p w14:paraId="1206A291"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c>
          <w:tcPr>
            <w:tcW w:w="846" w:type="pct"/>
            <w:vAlign w:val="center"/>
          </w:tcPr>
          <w:p w14:paraId="23975351" w14:textId="77777777" w:rsidR="00872DA3" w:rsidRPr="00E67914" w:rsidRDefault="00872DA3" w:rsidP="00872DA3">
            <w:pPr>
              <w:adjustRightInd w:val="0"/>
              <w:snapToGrid w:val="0"/>
              <w:jc w:val="center"/>
              <w:rPr>
                <w:rFonts w:ascii="Times New Roman" w:hAnsi="Times New Roman"/>
                <w:bCs/>
                <w:sz w:val="21"/>
                <w:szCs w:val="21"/>
              </w:rPr>
            </w:pPr>
            <w:r w:rsidRPr="00E67914">
              <w:rPr>
                <w:rFonts w:ascii="Times New Roman" w:hAnsi="Times New Roman"/>
                <w:bCs/>
                <w:sz w:val="21"/>
                <w:szCs w:val="21"/>
              </w:rPr>
              <w:t>/</w:t>
            </w:r>
          </w:p>
        </w:tc>
      </w:tr>
    </w:tbl>
    <w:p w14:paraId="3EF5A034" w14:textId="5BE9B971" w:rsidR="00A54A8A" w:rsidRPr="00E67914" w:rsidRDefault="009D17F3">
      <w:pPr>
        <w:adjustRightInd w:val="0"/>
        <w:snapToGrid w:val="0"/>
        <w:jc w:val="center"/>
        <w:rPr>
          <w:rFonts w:ascii="Times New Roman" w:hAnsi="Times New Roman"/>
          <w:bCs/>
          <w:sz w:val="21"/>
          <w:szCs w:val="21"/>
        </w:rPr>
      </w:pPr>
      <w:r w:rsidRPr="00E67914">
        <w:rPr>
          <w:rFonts w:ascii="Times New Roman" w:hAnsi="Times New Roman"/>
          <w:noProof/>
        </w:rPr>
        <w:drawing>
          <wp:inline distT="0" distB="0" distL="0" distR="0" wp14:anchorId="4C674418" wp14:editId="20BC130C">
            <wp:extent cx="2635250" cy="1756833"/>
            <wp:effectExtent l="0" t="0" r="0" b="0"/>
            <wp:docPr id="19079798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79840" name=""/>
                    <pic:cNvPicPr/>
                  </pic:nvPicPr>
                  <pic:blipFill>
                    <a:blip r:embed="rId100"/>
                    <a:stretch>
                      <a:fillRect/>
                    </a:stretch>
                  </pic:blipFill>
                  <pic:spPr>
                    <a:xfrm>
                      <a:off x="0" y="0"/>
                      <a:ext cx="2635885" cy="1757256"/>
                    </a:xfrm>
                    <a:prstGeom prst="rect">
                      <a:avLst/>
                    </a:prstGeom>
                  </pic:spPr>
                </pic:pic>
              </a:graphicData>
            </a:graphic>
          </wp:inline>
        </w:drawing>
      </w:r>
      <w:r w:rsidRPr="00E67914">
        <w:rPr>
          <w:rFonts w:ascii="Times New Roman" w:hAnsi="Times New Roman"/>
          <w:noProof/>
        </w:rPr>
        <w:drawing>
          <wp:inline distT="0" distB="0" distL="0" distR="0" wp14:anchorId="307C1C16" wp14:editId="4B7794E7">
            <wp:extent cx="2590800" cy="1727201"/>
            <wp:effectExtent l="0" t="0" r="0" b="6350"/>
            <wp:docPr id="1713287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87075" name=""/>
                    <pic:cNvPicPr/>
                  </pic:nvPicPr>
                  <pic:blipFill>
                    <a:blip r:embed="rId101"/>
                    <a:stretch>
                      <a:fillRect/>
                    </a:stretch>
                  </pic:blipFill>
                  <pic:spPr>
                    <a:xfrm>
                      <a:off x="0" y="0"/>
                      <a:ext cx="2590800" cy="1727201"/>
                    </a:xfrm>
                    <a:prstGeom prst="rect">
                      <a:avLst/>
                    </a:prstGeom>
                  </pic:spPr>
                </pic:pic>
              </a:graphicData>
            </a:graphic>
          </wp:inline>
        </w:drawing>
      </w:r>
    </w:p>
    <w:p w14:paraId="700FCAB9"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100d                                                                 365d</w:t>
      </w:r>
    </w:p>
    <w:p w14:paraId="28E10143" w14:textId="77777777" w:rsidR="00A54A8A" w:rsidRPr="00E67914" w:rsidRDefault="00A54A8A">
      <w:pPr>
        <w:rPr>
          <w:rFonts w:ascii="Times New Roman" w:hAnsi="Times New Roman"/>
          <w:lang w:eastAsia="zh-CN"/>
        </w:rPr>
      </w:pPr>
    </w:p>
    <w:p w14:paraId="5AFA2A1A" w14:textId="53AEBD69" w:rsidR="00A54A8A" w:rsidRPr="00E67914" w:rsidRDefault="009D17F3">
      <w:pPr>
        <w:pStyle w:val="af4"/>
        <w:adjustRightInd w:val="0"/>
        <w:snapToGrid w:val="0"/>
        <w:jc w:val="center"/>
        <w:rPr>
          <w:rFonts w:ascii="Times New Roman" w:hAnsi="Times New Roman"/>
          <w:bCs/>
          <w:sz w:val="21"/>
          <w:szCs w:val="21"/>
        </w:rPr>
      </w:pPr>
      <w:r w:rsidRPr="00E67914">
        <w:rPr>
          <w:rFonts w:ascii="Times New Roman" w:hAnsi="Times New Roman"/>
          <w:noProof/>
        </w:rPr>
        <w:lastRenderedPageBreak/>
        <w:drawing>
          <wp:inline distT="0" distB="0" distL="0" distR="0" wp14:anchorId="71817B07" wp14:editId="4062BC16">
            <wp:extent cx="2578100" cy="1718733"/>
            <wp:effectExtent l="0" t="0" r="0" b="0"/>
            <wp:docPr id="166733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38606" name=""/>
                    <pic:cNvPicPr/>
                  </pic:nvPicPr>
                  <pic:blipFill>
                    <a:blip r:embed="rId102"/>
                    <a:stretch>
                      <a:fillRect/>
                    </a:stretch>
                  </pic:blipFill>
                  <pic:spPr>
                    <a:xfrm>
                      <a:off x="0" y="0"/>
                      <a:ext cx="2584420" cy="1722946"/>
                    </a:xfrm>
                    <a:prstGeom prst="rect">
                      <a:avLst/>
                    </a:prstGeom>
                  </pic:spPr>
                </pic:pic>
              </a:graphicData>
            </a:graphic>
          </wp:inline>
        </w:drawing>
      </w:r>
      <w:r w:rsidR="00872DA3" w:rsidRPr="00E67914">
        <w:rPr>
          <w:rFonts w:ascii="Times New Roman" w:hAnsi="Times New Roman"/>
          <w:noProof/>
        </w:rPr>
        <w:drawing>
          <wp:inline distT="0" distB="0" distL="0" distR="0" wp14:anchorId="71A534A4" wp14:editId="1539DA43">
            <wp:extent cx="2539366" cy="1692910"/>
            <wp:effectExtent l="0" t="0" r="0" b="2540"/>
            <wp:docPr id="239001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01853" name=""/>
                    <pic:cNvPicPr/>
                  </pic:nvPicPr>
                  <pic:blipFill>
                    <a:blip r:embed="rId103"/>
                    <a:stretch>
                      <a:fillRect/>
                    </a:stretch>
                  </pic:blipFill>
                  <pic:spPr>
                    <a:xfrm>
                      <a:off x="0" y="0"/>
                      <a:ext cx="2542857" cy="1695237"/>
                    </a:xfrm>
                    <a:prstGeom prst="rect">
                      <a:avLst/>
                    </a:prstGeom>
                  </pic:spPr>
                </pic:pic>
              </a:graphicData>
            </a:graphic>
          </wp:inline>
        </w:drawing>
      </w:r>
    </w:p>
    <w:p w14:paraId="4A2DFB37" w14:textId="77777777" w:rsidR="00A54A8A" w:rsidRPr="00E67914" w:rsidRDefault="00000000">
      <w:pPr>
        <w:pStyle w:val="af4"/>
        <w:adjustRightInd w:val="0"/>
        <w:snapToGrid w:val="0"/>
        <w:jc w:val="center"/>
        <w:rPr>
          <w:rFonts w:ascii="Times New Roman" w:hAnsi="Times New Roman"/>
          <w:bCs/>
          <w:sz w:val="21"/>
          <w:szCs w:val="21"/>
        </w:rPr>
      </w:pPr>
      <w:r w:rsidRPr="00E67914">
        <w:rPr>
          <w:rFonts w:ascii="Times New Roman" w:hAnsi="Times New Roman"/>
          <w:bCs/>
          <w:sz w:val="21"/>
          <w:szCs w:val="21"/>
        </w:rPr>
        <w:t>1000d                                                                       3650d</w:t>
      </w:r>
    </w:p>
    <w:p w14:paraId="610B49AA" w14:textId="77777777"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5.3-6  </w:t>
      </w:r>
      <w:r w:rsidRPr="00E67914">
        <w:rPr>
          <w:rFonts w:ascii="Times New Roman" w:eastAsia="黑体" w:hAnsi="Times New Roman"/>
          <w:sz w:val="21"/>
          <w:szCs w:val="21"/>
          <w:lang w:eastAsia="zh-CN"/>
        </w:rPr>
        <w:t>井筒破裂不同预测时间氯离子贡献值与距离大小关系图</w:t>
      </w:r>
    </w:p>
    <w:p w14:paraId="0915F30D"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bookmarkStart w:id="167" w:name="_Toc78877615"/>
      <w:r w:rsidRPr="00E67914">
        <w:rPr>
          <w:rFonts w:ascii="Times New Roman" w:hAnsi="Times New Roman"/>
          <w:b/>
          <w:bCs/>
          <w:sz w:val="24"/>
          <w:szCs w:val="24"/>
          <w:lang w:eastAsia="zh-CN"/>
        </w:rPr>
        <w:t>（</w:t>
      </w:r>
      <w:r w:rsidRPr="00E67914">
        <w:rPr>
          <w:rFonts w:ascii="Times New Roman" w:hAnsi="Times New Roman"/>
          <w:b/>
          <w:bCs/>
          <w:sz w:val="24"/>
          <w:szCs w:val="24"/>
          <w:lang w:eastAsia="zh-CN"/>
        </w:rPr>
        <w:t>5</w:t>
      </w:r>
      <w:r w:rsidRPr="00E67914">
        <w:rPr>
          <w:rFonts w:ascii="Times New Roman" w:hAnsi="Times New Roman"/>
          <w:b/>
          <w:bCs/>
          <w:sz w:val="24"/>
          <w:szCs w:val="24"/>
          <w:lang w:eastAsia="zh-CN"/>
        </w:rPr>
        <w:t>）地下水影响评价</w:t>
      </w:r>
      <w:bookmarkEnd w:id="167"/>
    </w:p>
    <w:bookmarkEnd w:id="164"/>
    <w:bookmarkEnd w:id="165"/>
    <w:bookmarkEnd w:id="166"/>
    <w:p w14:paraId="2A19E99A" w14:textId="0AEAD4B9"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1</w:t>
      </w:r>
      <w:r w:rsidRPr="00E67914">
        <w:rPr>
          <w:rFonts w:ascii="Times New Roman" w:hAnsi="Times New Roman"/>
          <w:sz w:val="24"/>
          <w:szCs w:val="24"/>
          <w:lang w:eastAsia="zh-CN"/>
        </w:rPr>
        <w:t>）</w:t>
      </w:r>
      <w:r w:rsidR="00CC2D4A" w:rsidRPr="00E67914">
        <w:rPr>
          <w:rFonts w:ascii="Times New Roman" w:hAnsi="Times New Roman"/>
          <w:sz w:val="24"/>
          <w:szCs w:val="24"/>
          <w:lang w:eastAsia="zh-CN"/>
        </w:rPr>
        <w:t>放喷池</w:t>
      </w:r>
      <w:r w:rsidRPr="00E67914">
        <w:rPr>
          <w:rFonts w:ascii="Times New Roman" w:hAnsi="Times New Roman"/>
          <w:sz w:val="24"/>
          <w:szCs w:val="24"/>
          <w:lang w:eastAsia="zh-CN"/>
        </w:rPr>
        <w:t>池体破裂</w:t>
      </w:r>
    </w:p>
    <w:p w14:paraId="3F239568" w14:textId="12265582"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在</w:t>
      </w:r>
      <w:r w:rsidR="00CC2D4A" w:rsidRPr="00E67914">
        <w:rPr>
          <w:rFonts w:ascii="Times New Roman" w:hAnsi="Times New Roman"/>
          <w:sz w:val="24"/>
          <w:szCs w:val="24"/>
          <w:lang w:eastAsia="zh-CN"/>
        </w:rPr>
        <w:t>放喷池</w:t>
      </w:r>
      <w:r w:rsidRPr="00E67914">
        <w:rPr>
          <w:rFonts w:ascii="Times New Roman" w:hAnsi="Times New Roman"/>
          <w:sz w:val="24"/>
          <w:szCs w:val="24"/>
          <w:lang w:eastAsia="zh-CN"/>
        </w:rPr>
        <w:t>池体破裂</w:t>
      </w:r>
      <w:r w:rsidR="00CC2D4A" w:rsidRPr="00E67914">
        <w:rPr>
          <w:rFonts w:ascii="Times New Roman" w:hAnsi="Times New Roman"/>
          <w:sz w:val="24"/>
          <w:szCs w:val="24"/>
          <w:lang w:eastAsia="zh-CN"/>
        </w:rPr>
        <w:t>100</w:t>
      </w:r>
      <w:r w:rsidRPr="00E67914">
        <w:rPr>
          <w:rFonts w:ascii="Times New Roman" w:hAnsi="Times New Roman"/>
          <w:sz w:val="24"/>
          <w:szCs w:val="24"/>
          <w:lang w:eastAsia="zh-CN"/>
        </w:rPr>
        <w:t>d</w:t>
      </w:r>
      <w:r w:rsidRPr="00E67914">
        <w:rPr>
          <w:rFonts w:ascii="Times New Roman" w:hAnsi="Times New Roman"/>
          <w:sz w:val="24"/>
          <w:szCs w:val="24"/>
          <w:lang w:eastAsia="zh-CN"/>
        </w:rPr>
        <w:t>时最远超标距离为下游</w:t>
      </w:r>
      <w:r w:rsidR="00CC2D4A" w:rsidRPr="00E67914">
        <w:rPr>
          <w:rFonts w:ascii="Times New Roman" w:hAnsi="Times New Roman"/>
          <w:sz w:val="24"/>
          <w:szCs w:val="24"/>
          <w:lang w:eastAsia="zh-CN"/>
        </w:rPr>
        <w:t>216</w:t>
      </w:r>
      <w:r w:rsidRPr="00E67914">
        <w:rPr>
          <w:rFonts w:ascii="Times New Roman" w:hAnsi="Times New Roman"/>
          <w:sz w:val="24"/>
          <w:szCs w:val="24"/>
          <w:lang w:eastAsia="zh-CN"/>
        </w:rPr>
        <w:t>m</w:t>
      </w:r>
      <w:r w:rsidRPr="00E67914">
        <w:rPr>
          <w:rFonts w:ascii="Times New Roman" w:hAnsi="Times New Roman"/>
          <w:sz w:val="24"/>
          <w:szCs w:val="24"/>
          <w:lang w:eastAsia="zh-CN"/>
        </w:rPr>
        <w:t>，最高浓度为</w:t>
      </w:r>
      <w:r w:rsidR="00CC2D4A" w:rsidRPr="00E67914">
        <w:rPr>
          <w:rFonts w:ascii="Times New Roman" w:hAnsi="Times New Roman"/>
          <w:bCs/>
          <w:sz w:val="24"/>
          <w:szCs w:val="24"/>
          <w:lang w:eastAsia="zh-CN"/>
        </w:rPr>
        <w:t>6.15</w:t>
      </w:r>
      <w:r w:rsidRPr="00E67914">
        <w:rPr>
          <w:rFonts w:ascii="Times New Roman" w:hAnsi="Times New Roman"/>
          <w:sz w:val="24"/>
          <w:szCs w:val="24"/>
          <w:lang w:eastAsia="zh-CN"/>
        </w:rPr>
        <w:t>mg/L</w:t>
      </w:r>
      <w:r w:rsidRPr="00E67914">
        <w:rPr>
          <w:rFonts w:ascii="Times New Roman" w:hAnsi="Times New Roman"/>
          <w:sz w:val="24"/>
          <w:szCs w:val="24"/>
          <w:lang w:eastAsia="zh-CN"/>
        </w:rPr>
        <w:t>（</w:t>
      </w:r>
      <w:r w:rsidR="00CC2D4A" w:rsidRPr="00E67914">
        <w:rPr>
          <w:rFonts w:ascii="Times New Roman" w:hAnsi="Times New Roman"/>
          <w:sz w:val="24"/>
          <w:szCs w:val="24"/>
          <w:lang w:eastAsia="zh-CN"/>
        </w:rPr>
        <w:t>150</w:t>
      </w:r>
      <w:r w:rsidRPr="00E67914">
        <w:rPr>
          <w:rFonts w:ascii="Times New Roman" w:hAnsi="Times New Roman"/>
          <w:sz w:val="24"/>
          <w:szCs w:val="24"/>
          <w:lang w:eastAsia="zh-CN"/>
        </w:rPr>
        <w:t>m</w:t>
      </w:r>
      <w:r w:rsidRPr="00E67914">
        <w:rPr>
          <w:rFonts w:ascii="Times New Roman" w:hAnsi="Times New Roman"/>
          <w:sz w:val="24"/>
          <w:szCs w:val="24"/>
          <w:lang w:eastAsia="zh-CN"/>
        </w:rPr>
        <w:t>处），在</w:t>
      </w:r>
      <w:r w:rsidR="00CC2D4A" w:rsidRPr="00E67914">
        <w:rPr>
          <w:rFonts w:ascii="Times New Roman" w:hAnsi="Times New Roman"/>
          <w:sz w:val="24"/>
          <w:szCs w:val="24"/>
          <w:lang w:eastAsia="zh-CN"/>
        </w:rPr>
        <w:t>365</w:t>
      </w:r>
      <w:r w:rsidRPr="00E67914">
        <w:rPr>
          <w:rFonts w:ascii="Times New Roman" w:hAnsi="Times New Roman"/>
          <w:sz w:val="24"/>
          <w:szCs w:val="24"/>
          <w:lang w:eastAsia="zh-CN"/>
        </w:rPr>
        <w:t>0d</w:t>
      </w:r>
      <w:r w:rsidRPr="00E67914">
        <w:rPr>
          <w:rFonts w:ascii="Times New Roman" w:hAnsi="Times New Roman"/>
          <w:sz w:val="24"/>
          <w:szCs w:val="24"/>
          <w:lang w:eastAsia="zh-CN"/>
        </w:rPr>
        <w:t>时，已无超标范围。</w:t>
      </w:r>
    </w:p>
    <w:p w14:paraId="5327962A" w14:textId="1F8F8DD2"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石油类在</w:t>
      </w:r>
      <w:r w:rsidR="00CC2D4A" w:rsidRPr="00E67914">
        <w:rPr>
          <w:rFonts w:ascii="Times New Roman" w:hAnsi="Times New Roman"/>
          <w:sz w:val="24"/>
          <w:szCs w:val="24"/>
          <w:lang w:eastAsia="zh-CN"/>
        </w:rPr>
        <w:t>放喷池</w:t>
      </w:r>
      <w:r w:rsidRPr="00E67914">
        <w:rPr>
          <w:rFonts w:ascii="Times New Roman" w:hAnsi="Times New Roman"/>
          <w:sz w:val="24"/>
          <w:szCs w:val="24"/>
          <w:lang w:eastAsia="zh-CN"/>
        </w:rPr>
        <w:t>池体破裂</w:t>
      </w:r>
      <w:r w:rsidRPr="00E67914">
        <w:rPr>
          <w:rFonts w:ascii="Times New Roman" w:hAnsi="Times New Roman"/>
          <w:sz w:val="24"/>
          <w:szCs w:val="24"/>
          <w:lang w:eastAsia="zh-CN"/>
        </w:rPr>
        <w:t>3650d</w:t>
      </w:r>
      <w:r w:rsidRPr="00E67914">
        <w:rPr>
          <w:rFonts w:ascii="Times New Roman" w:hAnsi="Times New Roman"/>
          <w:sz w:val="24"/>
          <w:szCs w:val="24"/>
          <w:lang w:eastAsia="zh-CN"/>
        </w:rPr>
        <w:t>时最远超标距离为下游</w:t>
      </w:r>
      <w:r w:rsidR="00CC2D4A" w:rsidRPr="00E67914">
        <w:rPr>
          <w:rFonts w:ascii="Times New Roman" w:hAnsi="Times New Roman"/>
          <w:sz w:val="24"/>
          <w:szCs w:val="24"/>
          <w:lang w:eastAsia="zh-CN"/>
        </w:rPr>
        <w:t>626</w:t>
      </w:r>
      <w:r w:rsidRPr="00E67914">
        <w:rPr>
          <w:rFonts w:ascii="Times New Roman" w:hAnsi="Times New Roman"/>
          <w:sz w:val="24"/>
          <w:szCs w:val="24"/>
          <w:lang w:eastAsia="zh-CN"/>
        </w:rPr>
        <w:t>m</w:t>
      </w:r>
      <w:r w:rsidRPr="00E67914">
        <w:rPr>
          <w:rFonts w:ascii="Times New Roman" w:hAnsi="Times New Roman"/>
          <w:sz w:val="24"/>
          <w:szCs w:val="24"/>
          <w:lang w:eastAsia="zh-CN"/>
        </w:rPr>
        <w:t>，最高浓度为</w:t>
      </w:r>
      <w:r w:rsidRPr="00E67914">
        <w:rPr>
          <w:rFonts w:ascii="Times New Roman" w:hAnsi="Times New Roman"/>
          <w:bCs/>
          <w:sz w:val="24"/>
          <w:szCs w:val="24"/>
          <w:lang w:eastAsia="zh-CN"/>
        </w:rPr>
        <w:t>0.</w:t>
      </w:r>
      <w:r w:rsidR="00CC2D4A" w:rsidRPr="00E67914">
        <w:rPr>
          <w:rFonts w:ascii="Times New Roman" w:hAnsi="Times New Roman"/>
          <w:bCs/>
          <w:sz w:val="24"/>
          <w:szCs w:val="24"/>
          <w:lang w:eastAsia="zh-CN"/>
        </w:rPr>
        <w:t>07</w:t>
      </w:r>
      <w:r w:rsidRPr="00E67914">
        <w:rPr>
          <w:rFonts w:ascii="Times New Roman" w:hAnsi="Times New Roman"/>
          <w:sz w:val="24"/>
          <w:szCs w:val="24"/>
          <w:lang w:eastAsia="zh-CN"/>
        </w:rPr>
        <w:t>mg/L</w:t>
      </w:r>
      <w:r w:rsidRPr="00E67914">
        <w:rPr>
          <w:rFonts w:ascii="Times New Roman" w:hAnsi="Times New Roman"/>
          <w:sz w:val="24"/>
          <w:szCs w:val="24"/>
          <w:lang w:eastAsia="zh-CN"/>
        </w:rPr>
        <w:t>（</w:t>
      </w:r>
      <w:r w:rsidR="00CC2D4A" w:rsidRPr="00E67914">
        <w:rPr>
          <w:rFonts w:ascii="Times New Roman" w:hAnsi="Times New Roman"/>
          <w:sz w:val="24"/>
          <w:szCs w:val="24"/>
          <w:lang w:eastAsia="zh-CN"/>
        </w:rPr>
        <w:t>550</w:t>
      </w:r>
      <w:r w:rsidRPr="00E67914">
        <w:rPr>
          <w:rFonts w:ascii="Times New Roman" w:hAnsi="Times New Roman"/>
          <w:sz w:val="24"/>
          <w:szCs w:val="24"/>
          <w:lang w:eastAsia="zh-CN"/>
        </w:rPr>
        <w:t>m</w:t>
      </w:r>
      <w:r w:rsidRPr="00E67914">
        <w:rPr>
          <w:rFonts w:ascii="Times New Roman" w:hAnsi="Times New Roman"/>
          <w:sz w:val="24"/>
          <w:szCs w:val="24"/>
          <w:lang w:eastAsia="zh-CN"/>
        </w:rPr>
        <w:t>处）</w:t>
      </w:r>
      <w:r w:rsidR="00CC2D4A" w:rsidRPr="00E67914">
        <w:rPr>
          <w:rFonts w:ascii="Times New Roman" w:hAnsi="Times New Roman"/>
          <w:sz w:val="24"/>
          <w:szCs w:val="24"/>
          <w:lang w:eastAsia="zh-CN"/>
        </w:rPr>
        <w:t>。</w:t>
      </w:r>
    </w:p>
    <w:p w14:paraId="30B8ABDD" w14:textId="2FA2AD0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③</w:t>
      </w:r>
      <w:r w:rsidRPr="00E67914">
        <w:rPr>
          <w:rFonts w:ascii="Times New Roman" w:hAnsi="Times New Roman"/>
          <w:sz w:val="24"/>
          <w:szCs w:val="24"/>
          <w:lang w:eastAsia="zh-CN"/>
        </w:rPr>
        <w:t>氯化物在</w:t>
      </w:r>
      <w:r w:rsidR="00CC2D4A" w:rsidRPr="00E67914">
        <w:rPr>
          <w:rFonts w:ascii="Times New Roman" w:hAnsi="Times New Roman"/>
          <w:sz w:val="24"/>
          <w:szCs w:val="24"/>
          <w:lang w:eastAsia="zh-CN"/>
        </w:rPr>
        <w:t>放喷池</w:t>
      </w:r>
      <w:r w:rsidRPr="00E67914">
        <w:rPr>
          <w:rFonts w:ascii="Times New Roman" w:hAnsi="Times New Roman"/>
          <w:sz w:val="24"/>
          <w:szCs w:val="24"/>
          <w:lang w:eastAsia="zh-CN"/>
        </w:rPr>
        <w:t>破裂整个工况下中心点处均未出现超标现象。</w:t>
      </w:r>
    </w:p>
    <w:p w14:paraId="37A618A0"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2</w:t>
      </w:r>
      <w:r w:rsidRPr="00E67914">
        <w:rPr>
          <w:rFonts w:ascii="Times New Roman" w:hAnsi="Times New Roman"/>
          <w:sz w:val="24"/>
          <w:szCs w:val="24"/>
          <w:lang w:eastAsia="zh-CN"/>
        </w:rPr>
        <w:t>）压裂过程井筒破裂</w:t>
      </w:r>
    </w:p>
    <w:p w14:paraId="7A0B75B5" w14:textId="5A18B16D"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COD</w:t>
      </w:r>
      <w:r w:rsidRPr="00E67914">
        <w:rPr>
          <w:rFonts w:ascii="Times New Roman" w:hAnsi="Times New Roman"/>
          <w:sz w:val="24"/>
          <w:szCs w:val="24"/>
          <w:vertAlign w:val="subscript"/>
          <w:lang w:eastAsia="zh-CN"/>
        </w:rPr>
        <w:t>Mn</w:t>
      </w:r>
      <w:r w:rsidRPr="00E67914">
        <w:rPr>
          <w:rFonts w:ascii="Times New Roman" w:hAnsi="Times New Roman"/>
          <w:sz w:val="24"/>
          <w:szCs w:val="24"/>
          <w:lang w:eastAsia="zh-CN"/>
        </w:rPr>
        <w:t>在</w:t>
      </w:r>
      <w:r w:rsidR="00CC2D4A" w:rsidRPr="00E67914">
        <w:rPr>
          <w:rFonts w:ascii="Times New Roman" w:hAnsi="Times New Roman"/>
          <w:sz w:val="24"/>
          <w:szCs w:val="24"/>
          <w:lang w:eastAsia="zh-CN"/>
        </w:rPr>
        <w:t>井筒破裂</w:t>
      </w:r>
      <w:r w:rsidR="00CC2D4A" w:rsidRPr="00E67914">
        <w:rPr>
          <w:rFonts w:ascii="Times New Roman" w:hAnsi="Times New Roman"/>
          <w:sz w:val="24"/>
          <w:szCs w:val="24"/>
          <w:lang w:eastAsia="zh-CN"/>
        </w:rPr>
        <w:t>3650d</w:t>
      </w:r>
      <w:r w:rsidR="00CC2D4A" w:rsidRPr="00E67914">
        <w:rPr>
          <w:rFonts w:ascii="Times New Roman" w:hAnsi="Times New Roman"/>
          <w:sz w:val="24"/>
          <w:szCs w:val="24"/>
          <w:lang w:eastAsia="zh-CN"/>
        </w:rPr>
        <w:t>时最远超标距离为下游</w:t>
      </w:r>
      <w:r w:rsidR="00CC2D4A" w:rsidRPr="00E67914">
        <w:rPr>
          <w:rFonts w:ascii="Times New Roman" w:hAnsi="Times New Roman"/>
          <w:sz w:val="24"/>
          <w:szCs w:val="24"/>
          <w:lang w:eastAsia="zh-CN"/>
        </w:rPr>
        <w:t>731m</w:t>
      </w:r>
      <w:r w:rsidR="00CC2D4A" w:rsidRPr="00E67914">
        <w:rPr>
          <w:rFonts w:ascii="Times New Roman" w:hAnsi="Times New Roman"/>
          <w:sz w:val="24"/>
          <w:szCs w:val="24"/>
          <w:lang w:eastAsia="zh-CN"/>
        </w:rPr>
        <w:t>，最高浓度为</w:t>
      </w:r>
      <w:r w:rsidR="00CC2D4A" w:rsidRPr="00E67914">
        <w:rPr>
          <w:rFonts w:ascii="Times New Roman" w:hAnsi="Times New Roman"/>
          <w:bCs/>
          <w:sz w:val="24"/>
          <w:szCs w:val="24"/>
          <w:lang w:eastAsia="zh-CN"/>
        </w:rPr>
        <w:t>13.78</w:t>
      </w:r>
      <w:r w:rsidR="00CC2D4A" w:rsidRPr="00E67914">
        <w:rPr>
          <w:rFonts w:ascii="Times New Roman" w:hAnsi="Times New Roman"/>
          <w:sz w:val="24"/>
          <w:szCs w:val="24"/>
          <w:lang w:eastAsia="zh-CN"/>
        </w:rPr>
        <w:t>mg/L</w:t>
      </w:r>
      <w:r w:rsidR="00CC2D4A" w:rsidRPr="00E67914">
        <w:rPr>
          <w:rFonts w:ascii="Times New Roman" w:hAnsi="Times New Roman"/>
          <w:sz w:val="24"/>
          <w:szCs w:val="24"/>
          <w:lang w:eastAsia="zh-CN"/>
        </w:rPr>
        <w:t>（</w:t>
      </w:r>
      <w:r w:rsidR="00CC2D4A" w:rsidRPr="00E67914">
        <w:rPr>
          <w:rFonts w:ascii="Times New Roman" w:hAnsi="Times New Roman"/>
          <w:sz w:val="24"/>
          <w:szCs w:val="24"/>
          <w:lang w:eastAsia="zh-CN"/>
        </w:rPr>
        <w:t>550m</w:t>
      </w:r>
      <w:r w:rsidR="00CC2D4A" w:rsidRPr="00E67914">
        <w:rPr>
          <w:rFonts w:ascii="Times New Roman" w:hAnsi="Times New Roman"/>
          <w:sz w:val="24"/>
          <w:szCs w:val="24"/>
          <w:lang w:eastAsia="zh-CN"/>
        </w:rPr>
        <w:t>处）。</w:t>
      </w:r>
    </w:p>
    <w:p w14:paraId="24AF9AD0" w14:textId="03B10DBD"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石油类在</w:t>
      </w:r>
      <w:r w:rsidR="00CC2D4A" w:rsidRPr="00E67914">
        <w:rPr>
          <w:rFonts w:ascii="Times New Roman" w:hAnsi="Times New Roman"/>
          <w:sz w:val="24"/>
          <w:szCs w:val="24"/>
          <w:lang w:eastAsia="zh-CN"/>
        </w:rPr>
        <w:t>井筒破裂</w:t>
      </w:r>
      <w:r w:rsidRPr="00E67914">
        <w:rPr>
          <w:rFonts w:ascii="Times New Roman" w:hAnsi="Times New Roman"/>
          <w:sz w:val="24"/>
          <w:szCs w:val="24"/>
          <w:lang w:eastAsia="zh-CN"/>
        </w:rPr>
        <w:t>3650d</w:t>
      </w:r>
      <w:r w:rsidRPr="00E67914">
        <w:rPr>
          <w:rFonts w:ascii="Times New Roman" w:hAnsi="Times New Roman"/>
          <w:sz w:val="24"/>
          <w:szCs w:val="24"/>
          <w:lang w:eastAsia="zh-CN"/>
        </w:rPr>
        <w:t>时最远超标距离为下游</w:t>
      </w:r>
      <w:r w:rsidR="00CC2D4A" w:rsidRPr="00E67914">
        <w:rPr>
          <w:rFonts w:ascii="Times New Roman" w:hAnsi="Times New Roman"/>
          <w:sz w:val="24"/>
          <w:szCs w:val="24"/>
          <w:lang w:eastAsia="zh-CN"/>
        </w:rPr>
        <w:t>776</w:t>
      </w:r>
      <w:r w:rsidRPr="00E67914">
        <w:rPr>
          <w:rFonts w:ascii="Times New Roman" w:hAnsi="Times New Roman"/>
          <w:sz w:val="24"/>
          <w:szCs w:val="24"/>
          <w:lang w:eastAsia="zh-CN"/>
        </w:rPr>
        <w:t>m</w:t>
      </w:r>
      <w:r w:rsidRPr="00E67914">
        <w:rPr>
          <w:rFonts w:ascii="Times New Roman" w:hAnsi="Times New Roman"/>
          <w:sz w:val="24"/>
          <w:szCs w:val="24"/>
          <w:lang w:eastAsia="zh-CN"/>
        </w:rPr>
        <w:t>，最高浓度为</w:t>
      </w:r>
      <w:r w:rsidRPr="00E67914">
        <w:rPr>
          <w:rFonts w:ascii="Times New Roman" w:hAnsi="Times New Roman"/>
          <w:bCs/>
          <w:sz w:val="24"/>
          <w:szCs w:val="24"/>
          <w:lang w:eastAsia="zh-CN"/>
        </w:rPr>
        <w:t>0.</w:t>
      </w:r>
      <w:r w:rsidR="00CC2D4A" w:rsidRPr="00E67914">
        <w:rPr>
          <w:rFonts w:ascii="Times New Roman" w:hAnsi="Times New Roman"/>
          <w:bCs/>
          <w:sz w:val="24"/>
          <w:szCs w:val="24"/>
          <w:lang w:eastAsia="zh-CN"/>
        </w:rPr>
        <w:t>55</w:t>
      </w:r>
      <w:r w:rsidRPr="00E67914">
        <w:rPr>
          <w:rFonts w:ascii="Times New Roman" w:hAnsi="Times New Roman"/>
          <w:sz w:val="24"/>
          <w:szCs w:val="24"/>
          <w:lang w:eastAsia="zh-CN"/>
        </w:rPr>
        <w:t>mg/L</w:t>
      </w:r>
      <w:r w:rsidRPr="00E67914">
        <w:rPr>
          <w:rFonts w:ascii="Times New Roman" w:hAnsi="Times New Roman"/>
          <w:sz w:val="24"/>
          <w:szCs w:val="24"/>
          <w:lang w:eastAsia="zh-CN"/>
        </w:rPr>
        <w:t>（</w:t>
      </w:r>
      <w:r w:rsidR="00CC2D4A" w:rsidRPr="00E67914">
        <w:rPr>
          <w:rFonts w:ascii="Times New Roman" w:hAnsi="Times New Roman"/>
          <w:sz w:val="24"/>
          <w:szCs w:val="24"/>
          <w:lang w:eastAsia="zh-CN"/>
        </w:rPr>
        <w:t>550</w:t>
      </w:r>
      <w:r w:rsidRPr="00E67914">
        <w:rPr>
          <w:rFonts w:ascii="Times New Roman" w:hAnsi="Times New Roman"/>
          <w:sz w:val="24"/>
          <w:szCs w:val="24"/>
          <w:lang w:eastAsia="zh-CN"/>
        </w:rPr>
        <w:t>m</w:t>
      </w:r>
      <w:r w:rsidRPr="00E67914">
        <w:rPr>
          <w:rFonts w:ascii="Times New Roman" w:hAnsi="Times New Roman"/>
          <w:sz w:val="24"/>
          <w:szCs w:val="24"/>
          <w:lang w:eastAsia="zh-CN"/>
        </w:rPr>
        <w:t>处）。</w:t>
      </w:r>
    </w:p>
    <w:p w14:paraId="7FD2F35A" w14:textId="79D77D38"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③</w:t>
      </w:r>
      <w:r w:rsidRPr="00E67914">
        <w:rPr>
          <w:rFonts w:ascii="Times New Roman" w:hAnsi="Times New Roman"/>
          <w:sz w:val="24"/>
          <w:szCs w:val="24"/>
          <w:lang w:eastAsia="zh-CN"/>
        </w:rPr>
        <w:t>氯化物在</w:t>
      </w:r>
      <w:r w:rsidR="00CC2D4A" w:rsidRPr="00E67914">
        <w:rPr>
          <w:rFonts w:ascii="Times New Roman" w:hAnsi="Times New Roman"/>
          <w:sz w:val="24"/>
          <w:szCs w:val="24"/>
          <w:lang w:eastAsia="zh-CN"/>
        </w:rPr>
        <w:t>井筒破裂</w:t>
      </w:r>
      <w:r w:rsidR="00CC2D4A" w:rsidRPr="00E67914">
        <w:rPr>
          <w:rFonts w:ascii="Times New Roman" w:hAnsi="Times New Roman"/>
          <w:sz w:val="24"/>
          <w:szCs w:val="24"/>
          <w:lang w:eastAsia="zh-CN"/>
        </w:rPr>
        <w:t>100d</w:t>
      </w:r>
      <w:r w:rsidR="00CC2D4A" w:rsidRPr="00E67914">
        <w:rPr>
          <w:rFonts w:ascii="Times New Roman" w:hAnsi="Times New Roman"/>
          <w:sz w:val="24"/>
          <w:szCs w:val="24"/>
          <w:lang w:eastAsia="zh-CN"/>
        </w:rPr>
        <w:t>时最远超标距离为下游</w:t>
      </w:r>
      <w:r w:rsidR="00CC2D4A" w:rsidRPr="00E67914">
        <w:rPr>
          <w:rFonts w:ascii="Times New Roman" w:hAnsi="Times New Roman"/>
          <w:sz w:val="24"/>
          <w:szCs w:val="24"/>
          <w:lang w:eastAsia="zh-CN"/>
        </w:rPr>
        <w:t>32m</w:t>
      </w:r>
      <w:r w:rsidR="00CC2D4A" w:rsidRPr="00E67914">
        <w:rPr>
          <w:rFonts w:ascii="Times New Roman" w:hAnsi="Times New Roman"/>
          <w:sz w:val="24"/>
          <w:szCs w:val="24"/>
          <w:lang w:eastAsia="zh-CN"/>
        </w:rPr>
        <w:t>，最高浓度为</w:t>
      </w:r>
      <w:r w:rsidR="00CC2D4A" w:rsidRPr="00E67914">
        <w:rPr>
          <w:rFonts w:ascii="Times New Roman" w:hAnsi="Times New Roman"/>
          <w:bCs/>
          <w:sz w:val="24"/>
          <w:szCs w:val="24"/>
          <w:lang w:eastAsia="zh-CN"/>
        </w:rPr>
        <w:t>402.63</w:t>
      </w:r>
      <w:r w:rsidR="00CC2D4A" w:rsidRPr="00E67914">
        <w:rPr>
          <w:rFonts w:ascii="Times New Roman" w:hAnsi="Times New Roman"/>
          <w:sz w:val="24"/>
          <w:szCs w:val="24"/>
          <w:lang w:eastAsia="zh-CN"/>
        </w:rPr>
        <w:t>mg/L</w:t>
      </w:r>
      <w:r w:rsidR="00CC2D4A" w:rsidRPr="00E67914">
        <w:rPr>
          <w:rFonts w:ascii="Times New Roman" w:hAnsi="Times New Roman"/>
          <w:sz w:val="24"/>
          <w:szCs w:val="24"/>
          <w:lang w:eastAsia="zh-CN"/>
        </w:rPr>
        <w:t>（</w:t>
      </w:r>
      <w:r w:rsidR="00CC2D4A" w:rsidRPr="00E67914">
        <w:rPr>
          <w:rFonts w:ascii="Times New Roman" w:hAnsi="Times New Roman"/>
          <w:sz w:val="24"/>
          <w:szCs w:val="24"/>
          <w:lang w:eastAsia="zh-CN"/>
        </w:rPr>
        <w:t>15m</w:t>
      </w:r>
      <w:r w:rsidR="00CC2D4A" w:rsidRPr="00E67914">
        <w:rPr>
          <w:rFonts w:ascii="Times New Roman" w:hAnsi="Times New Roman"/>
          <w:sz w:val="24"/>
          <w:szCs w:val="24"/>
          <w:lang w:eastAsia="zh-CN"/>
        </w:rPr>
        <w:t>处），在</w:t>
      </w:r>
      <w:r w:rsidR="00CC2D4A" w:rsidRPr="00E67914">
        <w:rPr>
          <w:rFonts w:ascii="Times New Roman" w:hAnsi="Times New Roman"/>
          <w:sz w:val="24"/>
          <w:szCs w:val="24"/>
          <w:lang w:eastAsia="zh-CN"/>
        </w:rPr>
        <w:t>1000d</w:t>
      </w:r>
      <w:r w:rsidR="00CC2D4A" w:rsidRPr="00E67914">
        <w:rPr>
          <w:rFonts w:ascii="Times New Roman" w:hAnsi="Times New Roman"/>
          <w:sz w:val="24"/>
          <w:szCs w:val="24"/>
          <w:lang w:eastAsia="zh-CN"/>
        </w:rPr>
        <w:t>时，已无超标范围。</w:t>
      </w:r>
    </w:p>
    <w:p w14:paraId="5ACEC312" w14:textId="3E8A329D"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napToGrid w:val="0"/>
          <w:sz w:val="24"/>
          <w:szCs w:val="24"/>
          <w:lang w:eastAsia="zh-CN"/>
        </w:rPr>
        <w:t>综上所述，不同预测情景对地下水保护目标的预测结果见表</w:t>
      </w:r>
      <w:r w:rsidR="00CB4B0C" w:rsidRPr="00E67914">
        <w:rPr>
          <w:rFonts w:ascii="Times New Roman" w:hAnsi="Times New Roman"/>
          <w:snapToGrid w:val="0"/>
          <w:sz w:val="24"/>
          <w:szCs w:val="24"/>
          <w:lang w:eastAsia="zh-CN"/>
        </w:rPr>
        <w:t>5</w:t>
      </w:r>
      <w:r w:rsidRPr="00E67914">
        <w:rPr>
          <w:rFonts w:ascii="Times New Roman" w:hAnsi="Times New Roman"/>
          <w:snapToGrid w:val="0"/>
          <w:sz w:val="24"/>
          <w:szCs w:val="24"/>
          <w:lang w:eastAsia="zh-CN"/>
        </w:rPr>
        <w:t>.3-9</w:t>
      </w:r>
      <w:r w:rsidRPr="00E67914">
        <w:rPr>
          <w:rFonts w:ascii="Times New Roman" w:hAnsi="Times New Roman"/>
          <w:snapToGrid w:val="0"/>
          <w:sz w:val="24"/>
          <w:szCs w:val="24"/>
          <w:lang w:eastAsia="zh-CN"/>
        </w:rPr>
        <w:t>。</w:t>
      </w:r>
    </w:p>
    <w:p w14:paraId="491E81A6" w14:textId="4BE58A9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00CB4B0C" w:rsidRPr="00E67914">
        <w:rPr>
          <w:rFonts w:ascii="Times New Roman" w:eastAsia="黑体" w:hAnsi="Times New Roman"/>
          <w:sz w:val="21"/>
          <w:szCs w:val="21"/>
          <w:lang w:eastAsia="zh-CN"/>
        </w:rPr>
        <w:t>5.3-9</w:t>
      </w:r>
      <w:r w:rsidRPr="00E67914">
        <w:rPr>
          <w:rFonts w:ascii="Times New Roman" w:eastAsia="黑体" w:hAnsi="Times New Roman"/>
          <w:sz w:val="21"/>
          <w:szCs w:val="21"/>
          <w:lang w:eastAsia="zh-CN"/>
        </w:rPr>
        <w:t xml:space="preserve">  </w:t>
      </w:r>
      <w:r w:rsidRPr="00E67914">
        <w:rPr>
          <w:rFonts w:ascii="Times New Roman" w:eastAsia="黑体" w:hAnsi="Times New Roman"/>
          <w:sz w:val="21"/>
          <w:szCs w:val="21"/>
          <w:lang w:eastAsia="zh-CN"/>
        </w:rPr>
        <w:t>非正常状况对地下水保护目标的影响预测结果</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1701"/>
        <w:gridCol w:w="1679"/>
        <w:gridCol w:w="2148"/>
        <w:gridCol w:w="2024"/>
      </w:tblGrid>
      <w:tr w:rsidR="002662E3" w:rsidRPr="00E67914" w14:paraId="2AADCB1F" w14:textId="77777777">
        <w:trPr>
          <w:trHeight w:val="392"/>
          <w:jc w:val="center"/>
        </w:trPr>
        <w:tc>
          <w:tcPr>
            <w:tcW w:w="670" w:type="dxa"/>
            <w:vAlign w:val="center"/>
          </w:tcPr>
          <w:p w14:paraId="32609DAA"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编号</w:t>
            </w:r>
          </w:p>
        </w:tc>
        <w:tc>
          <w:tcPr>
            <w:tcW w:w="1701" w:type="dxa"/>
            <w:vAlign w:val="center"/>
          </w:tcPr>
          <w:p w14:paraId="3F8D4CDD"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非正常状况</w:t>
            </w:r>
          </w:p>
        </w:tc>
        <w:tc>
          <w:tcPr>
            <w:tcW w:w="1679" w:type="dxa"/>
          </w:tcPr>
          <w:p w14:paraId="2ACA866A"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方位</w:t>
            </w:r>
          </w:p>
        </w:tc>
        <w:tc>
          <w:tcPr>
            <w:tcW w:w="2148" w:type="dxa"/>
            <w:vAlign w:val="center"/>
          </w:tcPr>
          <w:p w14:paraId="369358F7" w14:textId="1FE66BE4"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最大可能超标居民饮用</w:t>
            </w:r>
            <w:r w:rsidR="00CC2D4A" w:rsidRPr="00E67914">
              <w:rPr>
                <w:rFonts w:ascii="Times New Roman" w:hAnsi="Times New Roman"/>
                <w:sz w:val="21"/>
                <w:szCs w:val="21"/>
                <w:lang w:eastAsia="zh-CN"/>
              </w:rPr>
              <w:t>泉水点</w:t>
            </w:r>
          </w:p>
        </w:tc>
        <w:tc>
          <w:tcPr>
            <w:tcW w:w="2024" w:type="dxa"/>
            <w:vAlign w:val="center"/>
          </w:tcPr>
          <w:p w14:paraId="4DC8C802"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备注</w:t>
            </w:r>
          </w:p>
        </w:tc>
      </w:tr>
      <w:tr w:rsidR="002662E3" w:rsidRPr="00E67914" w14:paraId="4E3C7D4D" w14:textId="77777777">
        <w:trPr>
          <w:trHeight w:val="197"/>
          <w:jc w:val="center"/>
        </w:trPr>
        <w:tc>
          <w:tcPr>
            <w:tcW w:w="670" w:type="dxa"/>
            <w:vAlign w:val="center"/>
          </w:tcPr>
          <w:p w14:paraId="6856284B"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1</w:t>
            </w:r>
          </w:p>
        </w:tc>
        <w:tc>
          <w:tcPr>
            <w:tcW w:w="1701" w:type="dxa"/>
            <w:vAlign w:val="center"/>
          </w:tcPr>
          <w:p w14:paraId="4C54C2C0"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压裂井筒破裂</w:t>
            </w:r>
          </w:p>
        </w:tc>
        <w:tc>
          <w:tcPr>
            <w:tcW w:w="1679" w:type="dxa"/>
          </w:tcPr>
          <w:p w14:paraId="6AC0231A" w14:textId="618C2B0E" w:rsidR="00A54A8A" w:rsidRPr="00E67914" w:rsidRDefault="00CC2D4A">
            <w:pPr>
              <w:snapToGrid w:val="0"/>
              <w:jc w:val="center"/>
              <w:rPr>
                <w:rFonts w:ascii="Times New Roman" w:hAnsi="Times New Roman"/>
                <w:sz w:val="21"/>
                <w:szCs w:val="21"/>
              </w:rPr>
            </w:pPr>
            <w:r w:rsidRPr="00E67914">
              <w:rPr>
                <w:rFonts w:ascii="Times New Roman" w:hAnsi="Times New Roman"/>
                <w:sz w:val="21"/>
                <w:szCs w:val="21"/>
                <w:lang w:eastAsia="zh-CN"/>
              </w:rPr>
              <w:t>东南</w:t>
            </w:r>
            <w:r w:rsidRPr="00E67914">
              <w:rPr>
                <w:rFonts w:ascii="Times New Roman" w:hAnsi="Times New Roman"/>
                <w:sz w:val="21"/>
                <w:szCs w:val="21"/>
              </w:rPr>
              <w:t>侧</w:t>
            </w:r>
          </w:p>
        </w:tc>
        <w:tc>
          <w:tcPr>
            <w:tcW w:w="2148" w:type="dxa"/>
            <w:vAlign w:val="center"/>
          </w:tcPr>
          <w:p w14:paraId="680F971A" w14:textId="5A2817FD" w:rsidR="00A54A8A" w:rsidRPr="00E67914" w:rsidRDefault="00CC2D4A">
            <w:pPr>
              <w:snapToGrid w:val="0"/>
              <w:jc w:val="center"/>
              <w:rPr>
                <w:rFonts w:ascii="Times New Roman" w:hAnsi="Times New Roman"/>
                <w:sz w:val="21"/>
                <w:szCs w:val="21"/>
              </w:rPr>
            </w:pPr>
            <w:r w:rsidRPr="00E67914">
              <w:rPr>
                <w:rFonts w:ascii="Times New Roman" w:hAnsi="Times New Roman"/>
                <w:sz w:val="21"/>
                <w:szCs w:val="21"/>
              </w:rPr>
              <w:t>2</w:t>
            </w:r>
            <w:r w:rsidRPr="00E67914">
              <w:rPr>
                <w:rFonts w:ascii="Times New Roman" w:hAnsi="Times New Roman"/>
                <w:sz w:val="21"/>
                <w:szCs w:val="21"/>
                <w:lang w:eastAsia="zh-CN"/>
              </w:rPr>
              <w:t>处</w:t>
            </w:r>
            <w:r w:rsidR="00543B3F" w:rsidRPr="00E67914">
              <w:rPr>
                <w:rFonts w:ascii="Times New Roman" w:hAnsi="Times New Roman"/>
                <w:sz w:val="21"/>
                <w:szCs w:val="21"/>
                <w:lang w:eastAsia="zh-CN"/>
              </w:rPr>
              <w:t>约</w:t>
            </w:r>
            <w:r w:rsidR="00543B3F" w:rsidRPr="00E67914">
              <w:rPr>
                <w:rFonts w:ascii="Times New Roman" w:hAnsi="Times New Roman"/>
                <w:sz w:val="21"/>
                <w:szCs w:val="21"/>
                <w:lang w:eastAsia="zh-CN"/>
              </w:rPr>
              <w:t>17</w:t>
            </w:r>
            <w:r w:rsidR="00543B3F" w:rsidRPr="00E67914">
              <w:rPr>
                <w:rFonts w:ascii="Times New Roman" w:hAnsi="Times New Roman"/>
                <w:sz w:val="21"/>
                <w:szCs w:val="21"/>
                <w:lang w:eastAsia="zh-CN"/>
              </w:rPr>
              <w:t>户</w:t>
            </w:r>
          </w:p>
        </w:tc>
        <w:tc>
          <w:tcPr>
            <w:tcW w:w="2024" w:type="dxa"/>
            <w:vMerge w:val="restart"/>
            <w:vAlign w:val="center"/>
          </w:tcPr>
          <w:p w14:paraId="3924A78C"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按最不利估算</w:t>
            </w:r>
          </w:p>
        </w:tc>
      </w:tr>
      <w:tr w:rsidR="002662E3" w:rsidRPr="00E67914" w14:paraId="78F9350D" w14:textId="77777777">
        <w:trPr>
          <w:trHeight w:val="217"/>
          <w:jc w:val="center"/>
        </w:trPr>
        <w:tc>
          <w:tcPr>
            <w:tcW w:w="670" w:type="dxa"/>
            <w:vAlign w:val="center"/>
          </w:tcPr>
          <w:p w14:paraId="019FCBD7"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2</w:t>
            </w:r>
          </w:p>
        </w:tc>
        <w:tc>
          <w:tcPr>
            <w:tcW w:w="1701" w:type="dxa"/>
            <w:vAlign w:val="center"/>
          </w:tcPr>
          <w:p w14:paraId="6A5BBAEA" w14:textId="7A0FDEC9" w:rsidR="00A54A8A" w:rsidRPr="00E67914" w:rsidRDefault="00CC2D4A">
            <w:pPr>
              <w:snapToGrid w:val="0"/>
              <w:jc w:val="center"/>
              <w:rPr>
                <w:rFonts w:ascii="Times New Roman" w:hAnsi="Times New Roman"/>
                <w:sz w:val="21"/>
                <w:szCs w:val="21"/>
              </w:rPr>
            </w:pPr>
            <w:r w:rsidRPr="00E67914">
              <w:rPr>
                <w:rFonts w:ascii="Times New Roman" w:hAnsi="Times New Roman"/>
                <w:sz w:val="21"/>
                <w:szCs w:val="21"/>
                <w:lang w:eastAsia="zh-CN"/>
              </w:rPr>
              <w:t>放喷池</w:t>
            </w:r>
            <w:r w:rsidRPr="00E67914">
              <w:rPr>
                <w:rFonts w:ascii="Times New Roman" w:hAnsi="Times New Roman"/>
                <w:sz w:val="21"/>
                <w:szCs w:val="21"/>
              </w:rPr>
              <w:t>泄漏</w:t>
            </w:r>
          </w:p>
        </w:tc>
        <w:tc>
          <w:tcPr>
            <w:tcW w:w="1679" w:type="dxa"/>
          </w:tcPr>
          <w:p w14:paraId="5C1E8B9C" w14:textId="52E639C6" w:rsidR="00A54A8A" w:rsidRPr="00E67914" w:rsidRDefault="00CC2D4A">
            <w:pPr>
              <w:snapToGrid w:val="0"/>
              <w:jc w:val="center"/>
              <w:rPr>
                <w:rFonts w:ascii="Times New Roman" w:hAnsi="Times New Roman"/>
                <w:sz w:val="21"/>
                <w:szCs w:val="21"/>
              </w:rPr>
            </w:pPr>
            <w:r w:rsidRPr="00E67914">
              <w:rPr>
                <w:rFonts w:ascii="Times New Roman" w:hAnsi="Times New Roman"/>
                <w:sz w:val="21"/>
                <w:szCs w:val="21"/>
                <w:lang w:eastAsia="zh-CN"/>
              </w:rPr>
              <w:t>东南</w:t>
            </w:r>
            <w:r w:rsidRPr="00E67914">
              <w:rPr>
                <w:rFonts w:ascii="Times New Roman" w:hAnsi="Times New Roman"/>
                <w:sz w:val="21"/>
                <w:szCs w:val="21"/>
              </w:rPr>
              <w:t>侧</w:t>
            </w:r>
          </w:p>
        </w:tc>
        <w:tc>
          <w:tcPr>
            <w:tcW w:w="2148" w:type="dxa"/>
            <w:vAlign w:val="center"/>
          </w:tcPr>
          <w:p w14:paraId="1ADEB47E" w14:textId="1570EA57" w:rsidR="00A54A8A" w:rsidRPr="00E67914" w:rsidRDefault="00543B3F">
            <w:pPr>
              <w:snapToGrid w:val="0"/>
              <w:jc w:val="center"/>
              <w:rPr>
                <w:rFonts w:ascii="Times New Roman" w:hAnsi="Times New Roman"/>
                <w:sz w:val="21"/>
                <w:szCs w:val="21"/>
              </w:rPr>
            </w:pPr>
            <w:r w:rsidRPr="00E67914">
              <w:rPr>
                <w:rFonts w:ascii="Times New Roman" w:hAnsi="Times New Roman"/>
                <w:sz w:val="21"/>
                <w:szCs w:val="21"/>
              </w:rPr>
              <w:t>2</w:t>
            </w:r>
            <w:r w:rsidRPr="00E67914">
              <w:rPr>
                <w:rFonts w:ascii="Times New Roman" w:hAnsi="Times New Roman"/>
                <w:sz w:val="21"/>
                <w:szCs w:val="21"/>
                <w:lang w:eastAsia="zh-CN"/>
              </w:rPr>
              <w:t>处约</w:t>
            </w:r>
            <w:r w:rsidRPr="00E67914">
              <w:rPr>
                <w:rFonts w:ascii="Times New Roman" w:hAnsi="Times New Roman"/>
                <w:sz w:val="21"/>
                <w:szCs w:val="21"/>
                <w:lang w:eastAsia="zh-CN"/>
              </w:rPr>
              <w:t>17</w:t>
            </w:r>
            <w:r w:rsidRPr="00E67914">
              <w:rPr>
                <w:rFonts w:ascii="Times New Roman" w:hAnsi="Times New Roman"/>
                <w:sz w:val="21"/>
                <w:szCs w:val="21"/>
                <w:lang w:eastAsia="zh-CN"/>
              </w:rPr>
              <w:t>户</w:t>
            </w:r>
          </w:p>
        </w:tc>
        <w:tc>
          <w:tcPr>
            <w:tcW w:w="2024" w:type="dxa"/>
            <w:vMerge/>
            <w:vAlign w:val="center"/>
          </w:tcPr>
          <w:p w14:paraId="6CBF10ED" w14:textId="77777777" w:rsidR="00A54A8A" w:rsidRPr="00E67914" w:rsidRDefault="00A54A8A">
            <w:pPr>
              <w:snapToGrid w:val="0"/>
              <w:jc w:val="center"/>
              <w:rPr>
                <w:rFonts w:ascii="Times New Roman" w:hAnsi="Times New Roman"/>
                <w:sz w:val="21"/>
                <w:szCs w:val="21"/>
                <w:lang w:eastAsia="zh-CN"/>
              </w:rPr>
            </w:pPr>
          </w:p>
        </w:tc>
      </w:tr>
    </w:tbl>
    <w:p w14:paraId="0B7535BA" w14:textId="218F68BB"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bookmarkStart w:id="168" w:name="_Hlk89072087"/>
      <w:bookmarkStart w:id="169" w:name="_Toc10566"/>
      <w:r w:rsidRPr="00E67914">
        <w:rPr>
          <w:rFonts w:ascii="Times New Roman" w:hAnsi="Times New Roman"/>
          <w:sz w:val="24"/>
          <w:szCs w:val="24"/>
          <w:lang w:eastAsia="zh-CN"/>
        </w:rPr>
        <w:t>本项目</w:t>
      </w:r>
      <w:bookmarkEnd w:id="168"/>
      <w:r w:rsidRPr="00E67914">
        <w:rPr>
          <w:rFonts w:ascii="Times New Roman" w:hAnsi="Times New Roman"/>
          <w:sz w:val="24"/>
          <w:szCs w:val="24"/>
          <w:lang w:eastAsia="zh-CN"/>
        </w:rPr>
        <w:t>发生事故后会对地下水流向下游的居民</w:t>
      </w:r>
      <w:r w:rsidR="00CC2D4A" w:rsidRPr="00E67914">
        <w:rPr>
          <w:rFonts w:ascii="Times New Roman" w:hAnsi="Times New Roman"/>
          <w:sz w:val="24"/>
          <w:szCs w:val="24"/>
          <w:lang w:eastAsia="zh-CN"/>
        </w:rPr>
        <w:t>饮用泉水点</w:t>
      </w:r>
      <w:r w:rsidRPr="00E67914">
        <w:rPr>
          <w:rFonts w:ascii="Times New Roman" w:hAnsi="Times New Roman"/>
          <w:sz w:val="24"/>
          <w:szCs w:val="24"/>
          <w:lang w:eastAsia="zh-CN"/>
        </w:rPr>
        <w:t>造成污染影响，最大可能超标居民饮用</w:t>
      </w:r>
      <w:r w:rsidR="00543B3F" w:rsidRPr="00E67914">
        <w:rPr>
          <w:rFonts w:ascii="Times New Roman" w:hAnsi="Times New Roman"/>
          <w:sz w:val="24"/>
          <w:szCs w:val="24"/>
          <w:lang w:eastAsia="zh-CN"/>
        </w:rPr>
        <w:t>泉水点</w:t>
      </w:r>
      <w:r w:rsidR="00543B3F" w:rsidRPr="00E67914">
        <w:rPr>
          <w:rFonts w:ascii="Times New Roman" w:hAnsi="Times New Roman"/>
          <w:sz w:val="24"/>
          <w:szCs w:val="24"/>
          <w:lang w:eastAsia="zh-CN"/>
        </w:rPr>
        <w:t>2</w:t>
      </w:r>
      <w:r w:rsidR="00543B3F" w:rsidRPr="00E67914">
        <w:rPr>
          <w:rFonts w:ascii="Times New Roman" w:hAnsi="Times New Roman"/>
          <w:sz w:val="24"/>
          <w:szCs w:val="24"/>
          <w:lang w:eastAsia="zh-CN"/>
        </w:rPr>
        <w:t>处共约</w:t>
      </w:r>
      <w:r w:rsidRPr="00E67914">
        <w:rPr>
          <w:rFonts w:ascii="Times New Roman" w:hAnsi="Times New Roman"/>
          <w:sz w:val="24"/>
          <w:szCs w:val="24"/>
          <w:lang w:eastAsia="zh-CN"/>
        </w:rPr>
        <w:t>1</w:t>
      </w:r>
      <w:r w:rsidR="00543B3F" w:rsidRPr="00E67914">
        <w:rPr>
          <w:rFonts w:ascii="Times New Roman" w:hAnsi="Times New Roman"/>
          <w:sz w:val="24"/>
          <w:szCs w:val="24"/>
          <w:lang w:eastAsia="zh-CN"/>
        </w:rPr>
        <w:t>7</w:t>
      </w:r>
      <w:r w:rsidRPr="00E67914">
        <w:rPr>
          <w:rFonts w:ascii="Times New Roman" w:hAnsi="Times New Roman"/>
          <w:sz w:val="24"/>
          <w:szCs w:val="24"/>
          <w:lang w:eastAsia="zh-CN"/>
        </w:rPr>
        <w:t>户。</w:t>
      </w:r>
    </w:p>
    <w:p w14:paraId="11A0183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w:t>
      </w:r>
      <w:r w:rsidRPr="00E67914">
        <w:rPr>
          <w:rFonts w:ascii="Times New Roman" w:hAnsi="Times New Roman"/>
          <w:sz w:val="24"/>
          <w:szCs w:val="24"/>
          <w:lang w:eastAsia="zh-CN"/>
        </w:rPr>
        <w:lastRenderedPageBreak/>
        <w:t>根据中石化川东北地区多年来压裂测试情况，由于井筒质量和固井质量较好，井筒破裂的情况还未发生过，压裂过程处于全程监控，实际上发生井筒破裂的情况微乎其微。同时压裂在目的层进行，浅层套管破裂的可能性远远小于深层套管破裂，浅层含水层经过了多次固井，含水层以下有多层封隔层，压返液因深层井筒破裂进入浅层含水层是很难发生的；池体修建均采用高标准要求，防渗达到设计要求，发生垮塌泄漏的可能性非常小，因此由于井筒破裂事故和池体渗漏造成的地下水不利影响是极难发生的。</w:t>
      </w:r>
    </w:p>
    <w:p w14:paraId="45CD55FC" w14:textId="17CFB816"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根据项目井场布置和周边居民水井分布情况，本项目在井筒破裂和</w:t>
      </w:r>
      <w:r w:rsidR="00CC2D4A" w:rsidRPr="00E67914">
        <w:rPr>
          <w:rFonts w:ascii="Times New Roman" w:hAnsi="Times New Roman"/>
          <w:sz w:val="24"/>
          <w:szCs w:val="24"/>
          <w:lang w:eastAsia="zh-CN"/>
        </w:rPr>
        <w:t>放喷池</w:t>
      </w:r>
      <w:r w:rsidRPr="00E67914">
        <w:rPr>
          <w:rFonts w:ascii="Times New Roman" w:hAnsi="Times New Roman"/>
          <w:sz w:val="24"/>
          <w:szCs w:val="24"/>
          <w:lang w:eastAsia="zh-CN"/>
        </w:rPr>
        <w:t>风险泄漏初期除小范围地区地下水水质超标外，超标范围较小，超标范围内约</w:t>
      </w:r>
      <w:r w:rsidR="00543B3F" w:rsidRPr="00E67914">
        <w:rPr>
          <w:rFonts w:ascii="Times New Roman" w:hAnsi="Times New Roman"/>
          <w:sz w:val="24"/>
          <w:szCs w:val="24"/>
          <w:lang w:eastAsia="zh-CN"/>
        </w:rPr>
        <w:t>17</w:t>
      </w:r>
      <w:r w:rsidRPr="00E67914">
        <w:rPr>
          <w:rFonts w:ascii="Times New Roman" w:hAnsi="Times New Roman"/>
          <w:sz w:val="24"/>
          <w:szCs w:val="24"/>
          <w:lang w:eastAsia="zh-CN"/>
        </w:rPr>
        <w:t>户居民饮用</w:t>
      </w:r>
      <w:r w:rsidR="00543B3F" w:rsidRPr="00E67914">
        <w:rPr>
          <w:rFonts w:ascii="Times New Roman" w:hAnsi="Times New Roman"/>
          <w:sz w:val="24"/>
          <w:szCs w:val="24"/>
          <w:lang w:eastAsia="zh-CN"/>
        </w:rPr>
        <w:t>的</w:t>
      </w:r>
      <w:r w:rsidR="00543B3F" w:rsidRPr="00E67914">
        <w:rPr>
          <w:rFonts w:ascii="Times New Roman" w:hAnsi="Times New Roman"/>
          <w:sz w:val="24"/>
          <w:szCs w:val="24"/>
          <w:lang w:eastAsia="zh-CN"/>
        </w:rPr>
        <w:t>2</w:t>
      </w:r>
      <w:r w:rsidR="00543B3F" w:rsidRPr="00E67914">
        <w:rPr>
          <w:rFonts w:ascii="Times New Roman" w:hAnsi="Times New Roman"/>
          <w:sz w:val="24"/>
          <w:szCs w:val="24"/>
          <w:lang w:eastAsia="zh-CN"/>
        </w:rPr>
        <w:t>处泉水点</w:t>
      </w:r>
      <w:r w:rsidRPr="00E67914">
        <w:rPr>
          <w:rFonts w:ascii="Times New Roman" w:hAnsi="Times New Roman"/>
          <w:sz w:val="24"/>
          <w:szCs w:val="24"/>
          <w:lang w:eastAsia="zh-CN"/>
        </w:rPr>
        <w:t>分布，超标范围内无集中式饮用水源取水点，其余地区地下水水质均满足《地下水质量标准》（</w:t>
      </w:r>
      <w:r w:rsidRPr="00E67914">
        <w:rPr>
          <w:rFonts w:ascii="Times New Roman" w:hAnsi="Times New Roman"/>
          <w:sz w:val="24"/>
          <w:szCs w:val="24"/>
          <w:lang w:eastAsia="zh-CN"/>
        </w:rPr>
        <w:t>GB/T14848-2017</w:t>
      </w:r>
      <w:r w:rsidRPr="00E67914">
        <w:rPr>
          <w:rFonts w:ascii="Times New Roman" w:hAnsi="Times New Roman"/>
          <w:sz w:val="24"/>
          <w:szCs w:val="24"/>
          <w:lang w:eastAsia="zh-CN"/>
        </w:rPr>
        <w:t>）中的</w:t>
      </w:r>
      <w:r w:rsidRPr="00E67914">
        <w:rPr>
          <w:rFonts w:ascii="Times New Roman" w:hAnsi="Times New Roman"/>
          <w:sz w:val="24"/>
          <w:szCs w:val="24"/>
          <w:lang w:eastAsia="zh-CN"/>
        </w:rPr>
        <w:t>Ⅲ</w:t>
      </w:r>
      <w:r w:rsidRPr="00E67914">
        <w:rPr>
          <w:rFonts w:ascii="Times New Roman" w:hAnsi="Times New Roman"/>
          <w:sz w:val="24"/>
          <w:szCs w:val="24"/>
          <w:lang w:eastAsia="zh-CN"/>
        </w:rPr>
        <w:t>类标准，随着时间的推移，污染物在整个评价范围内超标现象逐渐消失。</w:t>
      </w:r>
    </w:p>
    <w:p w14:paraId="71688F3E" w14:textId="5FAD05EC"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鉴于模拟的两种情况的污染物超标范围会随着时间的增加逐渐扩大。本环评建议：在钻井作业中加强生产管理，严密监控压裂液及</w:t>
      </w:r>
      <w:r w:rsidR="00CC2D4A" w:rsidRPr="00E67914">
        <w:rPr>
          <w:rFonts w:ascii="Times New Roman" w:hAnsi="Times New Roman"/>
          <w:sz w:val="24"/>
          <w:szCs w:val="24"/>
          <w:lang w:eastAsia="zh-CN"/>
        </w:rPr>
        <w:t>放喷池</w:t>
      </w:r>
      <w:r w:rsidRPr="00E67914">
        <w:rPr>
          <w:rFonts w:ascii="Times New Roman" w:hAnsi="Times New Roman"/>
          <w:sz w:val="24"/>
          <w:szCs w:val="24"/>
          <w:lang w:eastAsia="zh-CN"/>
        </w:rPr>
        <w:t>、放喷池的运行状况，发现井管破裂后应立即停止压裂作业并启动应急预案，按要求在下游设置的监控水井加密监控，采取有效措施控制污染物扩散范围，降低环境影响。且对超标范围内的居民采取水罐车运水等方式，解决居民用水，直到居民水井水质恢复为止。</w:t>
      </w:r>
    </w:p>
    <w:p w14:paraId="534C308A" w14:textId="77777777" w:rsidR="00A54A8A" w:rsidRPr="00E67914" w:rsidRDefault="00000000">
      <w:pPr>
        <w:autoSpaceDE w:val="0"/>
        <w:autoSpaceDN w:val="0"/>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在对下游居民水井加强监控后，项目建设对周围居民水井的影响较小，也不会对地下水环境造成明显不利影响，项目建设对地下水的影响是可接受的。</w:t>
      </w:r>
    </w:p>
    <w:p w14:paraId="2CEEF114"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bookmarkStart w:id="170" w:name="_Toc78877616"/>
      <w:bookmarkEnd w:id="169"/>
      <w:r w:rsidRPr="00E67914">
        <w:rPr>
          <w:rFonts w:ascii="Times New Roman" w:eastAsia="黑体" w:hAnsi="Times New Roman"/>
          <w:sz w:val="24"/>
          <w:szCs w:val="24"/>
          <w:lang w:eastAsia="zh-CN"/>
        </w:rPr>
        <w:t>4</w:t>
      </w:r>
      <w:r w:rsidRPr="00E67914">
        <w:rPr>
          <w:rFonts w:ascii="Times New Roman" w:eastAsia="黑体" w:hAnsi="Times New Roman"/>
          <w:sz w:val="24"/>
          <w:szCs w:val="24"/>
          <w:lang w:eastAsia="zh-CN"/>
        </w:rPr>
        <w:t>、试采期地下水影响预测分析</w:t>
      </w:r>
      <w:bookmarkEnd w:id="170"/>
    </w:p>
    <w:p w14:paraId="65A36906"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本项目为油气试采项目，对地下水的影响主要在项目的施工期，试采阶段对地下水的影响极小。</w:t>
      </w:r>
    </w:p>
    <w:p w14:paraId="49010670" w14:textId="1C42EC6E"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试采期</w:t>
      </w:r>
      <w:r w:rsidR="00543B3F" w:rsidRPr="00E67914">
        <w:rPr>
          <w:rFonts w:ascii="Times New Roman" w:hAnsi="Times New Roman"/>
          <w:sz w:val="24"/>
          <w:szCs w:val="24"/>
          <w:lang w:eastAsia="zh-CN"/>
        </w:rPr>
        <w:t>清罐油泥有专业单位清理后立即交由资质单位处置，不在场内暂存</w:t>
      </w:r>
      <w:r w:rsidRPr="00E67914">
        <w:rPr>
          <w:rFonts w:ascii="Times New Roman" w:hAnsi="Times New Roman"/>
          <w:sz w:val="24"/>
          <w:szCs w:val="24"/>
          <w:lang w:eastAsia="zh-CN"/>
        </w:rPr>
        <w:t>；</w:t>
      </w:r>
      <w:r w:rsidR="002346F6" w:rsidRPr="00E67914">
        <w:rPr>
          <w:rFonts w:ascii="Times New Roman" w:hAnsi="Times New Roman"/>
          <w:sz w:val="24"/>
          <w:szCs w:val="24"/>
          <w:lang w:eastAsia="zh-CN"/>
        </w:rPr>
        <w:t>气田水</w:t>
      </w:r>
      <w:r w:rsidRPr="00E67914">
        <w:rPr>
          <w:rFonts w:ascii="Times New Roman" w:hAnsi="Times New Roman"/>
          <w:sz w:val="24"/>
          <w:szCs w:val="24"/>
          <w:lang w:eastAsia="zh-CN"/>
        </w:rPr>
        <w:t>暂存于</w:t>
      </w:r>
      <w:r w:rsidR="00A9536E" w:rsidRPr="00E67914">
        <w:rPr>
          <w:rFonts w:ascii="Times New Roman" w:hAnsi="Times New Roman"/>
          <w:sz w:val="24"/>
          <w:szCs w:val="24"/>
          <w:lang w:eastAsia="zh-CN"/>
        </w:rPr>
        <w:t>放空分液罐、采出水罐</w:t>
      </w:r>
      <w:r w:rsidRPr="00E67914">
        <w:rPr>
          <w:rFonts w:ascii="Times New Roman" w:hAnsi="Times New Roman"/>
          <w:sz w:val="24"/>
          <w:szCs w:val="24"/>
          <w:lang w:eastAsia="zh-CN"/>
        </w:rPr>
        <w:t>，密闭罐车拉运至赵家坝污水处理站达标后管输至普光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井回注站回注，不外排；除此之外，无其他废水产生。</w:t>
      </w:r>
      <w:r w:rsidR="00A9536E" w:rsidRPr="00E67914">
        <w:rPr>
          <w:rFonts w:ascii="Times New Roman" w:hAnsi="Times New Roman"/>
          <w:sz w:val="24"/>
          <w:szCs w:val="24"/>
          <w:lang w:eastAsia="zh-CN"/>
        </w:rPr>
        <w:t>放空分液罐、采出水罐</w:t>
      </w:r>
      <w:r w:rsidRPr="00E67914">
        <w:rPr>
          <w:rFonts w:ascii="Times New Roman" w:hAnsi="Times New Roman"/>
          <w:sz w:val="24"/>
          <w:szCs w:val="24"/>
          <w:lang w:eastAsia="zh-CN"/>
        </w:rPr>
        <w:t>区采取了围堰并重点防渗，</w:t>
      </w:r>
      <w:r w:rsidR="00A9536E" w:rsidRPr="00E67914">
        <w:rPr>
          <w:rFonts w:ascii="Times New Roman" w:hAnsi="Times New Roman"/>
          <w:sz w:val="24"/>
          <w:szCs w:val="24"/>
          <w:lang w:eastAsia="zh-CN"/>
        </w:rPr>
        <w:t>放空分液罐、采出水罐</w:t>
      </w:r>
      <w:r w:rsidRPr="00E67914">
        <w:rPr>
          <w:rFonts w:ascii="Times New Roman" w:hAnsi="Times New Roman"/>
          <w:sz w:val="24"/>
          <w:szCs w:val="24"/>
          <w:lang w:eastAsia="zh-CN"/>
        </w:rPr>
        <w:t>暂存地层水及时转运，污水发生泄漏进入地下水环境可能性基本不存在，在加强对监控井在试采期内例行监测后，试采期不会对地下水环境造成不利影响。</w:t>
      </w:r>
    </w:p>
    <w:p w14:paraId="3D8B815A" w14:textId="1793840A" w:rsidR="00A54A8A" w:rsidRPr="00E67914" w:rsidRDefault="00243180">
      <w:pPr>
        <w:adjustRightInd w:val="0"/>
        <w:snapToGrid w:val="0"/>
        <w:spacing w:line="360" w:lineRule="auto"/>
        <w:ind w:firstLineChars="200" w:firstLine="480"/>
        <w:jc w:val="both"/>
        <w:rPr>
          <w:rFonts w:ascii="Times New Roman" w:eastAsia="黑体" w:hAnsi="Times New Roman"/>
          <w:sz w:val="24"/>
          <w:szCs w:val="24"/>
          <w:lang w:eastAsia="zh-CN"/>
        </w:rPr>
      </w:pPr>
      <w:bookmarkStart w:id="171" w:name="_Toc78877617"/>
      <w:r w:rsidRPr="00E67914">
        <w:rPr>
          <w:rFonts w:ascii="Times New Roman" w:eastAsia="黑体" w:hAnsi="Times New Roman"/>
          <w:sz w:val="24"/>
          <w:szCs w:val="24"/>
          <w:lang w:eastAsia="zh-CN"/>
        </w:rPr>
        <w:t>5</w:t>
      </w:r>
      <w:r w:rsidRPr="00E67914">
        <w:rPr>
          <w:rFonts w:ascii="Times New Roman" w:eastAsia="黑体" w:hAnsi="Times New Roman"/>
          <w:sz w:val="24"/>
          <w:szCs w:val="24"/>
          <w:lang w:eastAsia="zh-CN"/>
        </w:rPr>
        <w:t>、地下水环境影响预测小结</w:t>
      </w:r>
      <w:bookmarkEnd w:id="171"/>
    </w:p>
    <w:p w14:paraId="2BEE36E8" w14:textId="2D98FDC8"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sz w:val="24"/>
          <w:szCs w:val="24"/>
          <w:lang w:eastAsia="zh-CN"/>
        </w:rPr>
        <w:lastRenderedPageBreak/>
        <w:t>根据项目外环境关系，项目下游</w:t>
      </w:r>
      <w:r w:rsidR="00543B3F" w:rsidRPr="00E67914">
        <w:rPr>
          <w:rFonts w:ascii="Times New Roman" w:hAnsi="Times New Roman"/>
          <w:sz w:val="24"/>
          <w:szCs w:val="24"/>
          <w:lang w:eastAsia="zh-CN"/>
        </w:rPr>
        <w:t>东</w:t>
      </w:r>
      <w:r w:rsidRPr="00E67914">
        <w:rPr>
          <w:rFonts w:ascii="Times New Roman" w:hAnsi="Times New Roman"/>
          <w:sz w:val="24"/>
          <w:szCs w:val="24"/>
          <w:lang w:eastAsia="zh-CN"/>
        </w:rPr>
        <w:t>南方向</w:t>
      </w:r>
      <w:r w:rsidR="00543B3F" w:rsidRPr="00E67914">
        <w:rPr>
          <w:rFonts w:ascii="Times New Roman" w:hAnsi="Times New Roman"/>
          <w:sz w:val="24"/>
          <w:szCs w:val="24"/>
          <w:lang w:eastAsia="zh-CN"/>
        </w:rPr>
        <w:t>泉水点</w:t>
      </w:r>
      <w:r w:rsidRPr="00E67914">
        <w:rPr>
          <w:rFonts w:ascii="Times New Roman" w:hAnsi="Times New Roman"/>
          <w:sz w:val="24"/>
          <w:szCs w:val="24"/>
          <w:lang w:eastAsia="zh-CN"/>
        </w:rPr>
        <w:t>最近距离井口约</w:t>
      </w:r>
      <w:r w:rsidR="00543B3F" w:rsidRPr="00E67914">
        <w:rPr>
          <w:rFonts w:ascii="Times New Roman" w:hAnsi="Times New Roman"/>
          <w:sz w:val="24"/>
          <w:szCs w:val="24"/>
          <w:lang w:eastAsia="zh-CN"/>
        </w:rPr>
        <w:t>450</w:t>
      </w:r>
      <w:r w:rsidRPr="00E67914">
        <w:rPr>
          <w:rFonts w:ascii="Times New Roman" w:hAnsi="Times New Roman"/>
          <w:sz w:val="24"/>
          <w:szCs w:val="24"/>
          <w:lang w:eastAsia="zh-CN"/>
        </w:rPr>
        <w:t>m</w:t>
      </w:r>
      <w:r w:rsidR="00543B3F" w:rsidRPr="00E67914">
        <w:rPr>
          <w:rFonts w:ascii="Times New Roman" w:hAnsi="Times New Roman"/>
          <w:sz w:val="24"/>
          <w:szCs w:val="24"/>
          <w:lang w:eastAsia="zh-CN"/>
        </w:rPr>
        <w:t>（距离普陆页</w:t>
      </w:r>
      <w:r w:rsidR="00543B3F" w:rsidRPr="00E67914">
        <w:rPr>
          <w:rFonts w:ascii="Times New Roman" w:hAnsi="Times New Roman"/>
          <w:sz w:val="24"/>
          <w:szCs w:val="24"/>
          <w:lang w:eastAsia="zh-CN"/>
        </w:rPr>
        <w:t>2</w:t>
      </w:r>
      <w:r w:rsidR="00543B3F" w:rsidRPr="00E67914">
        <w:rPr>
          <w:rFonts w:ascii="Times New Roman" w:hAnsi="Times New Roman"/>
          <w:sz w:val="24"/>
          <w:szCs w:val="24"/>
          <w:lang w:eastAsia="zh-CN"/>
        </w:rPr>
        <w:t>试采站南侧约</w:t>
      </w:r>
      <w:r w:rsidR="00543B3F" w:rsidRPr="00E67914">
        <w:rPr>
          <w:rFonts w:ascii="Times New Roman" w:hAnsi="Times New Roman"/>
          <w:sz w:val="24"/>
          <w:szCs w:val="24"/>
          <w:lang w:eastAsia="zh-CN"/>
        </w:rPr>
        <w:t>250m</w:t>
      </w:r>
      <w:r w:rsidR="00543B3F" w:rsidRPr="00E67914">
        <w:rPr>
          <w:rFonts w:ascii="Times New Roman" w:hAnsi="Times New Roman"/>
          <w:sz w:val="24"/>
          <w:szCs w:val="24"/>
          <w:lang w:eastAsia="zh-CN"/>
        </w:rPr>
        <w:t>处）</w:t>
      </w:r>
      <w:r w:rsidRPr="00E67914">
        <w:rPr>
          <w:rFonts w:ascii="Times New Roman" w:hAnsi="Times New Roman"/>
          <w:sz w:val="24"/>
          <w:szCs w:val="24"/>
          <w:lang w:eastAsia="zh-CN"/>
        </w:rPr>
        <w:t>，超标范围内有居民</w:t>
      </w:r>
      <w:r w:rsidR="00543B3F" w:rsidRPr="00E67914">
        <w:rPr>
          <w:rFonts w:ascii="Times New Roman" w:hAnsi="Times New Roman"/>
          <w:sz w:val="24"/>
          <w:szCs w:val="24"/>
          <w:lang w:eastAsia="zh-CN"/>
        </w:rPr>
        <w:t>饮用泉水点分布</w:t>
      </w:r>
      <w:r w:rsidRPr="00E67914">
        <w:rPr>
          <w:rFonts w:ascii="Times New Roman" w:hAnsi="Times New Roman"/>
          <w:sz w:val="24"/>
          <w:szCs w:val="24"/>
          <w:lang w:eastAsia="zh-CN"/>
        </w:rPr>
        <w:t>，在事故发生后采取替代用水措施，因此对项目附近地下水水源影响很小。在对下游居民水井加强监控后，项目建设不会对周围居民</w:t>
      </w:r>
      <w:r w:rsidR="00543B3F" w:rsidRPr="00E67914">
        <w:rPr>
          <w:rFonts w:ascii="Times New Roman" w:hAnsi="Times New Roman"/>
          <w:sz w:val="24"/>
          <w:szCs w:val="24"/>
          <w:lang w:eastAsia="zh-CN"/>
        </w:rPr>
        <w:t>饮用泉水点</w:t>
      </w:r>
      <w:r w:rsidRPr="00E67914">
        <w:rPr>
          <w:rFonts w:ascii="Times New Roman" w:hAnsi="Times New Roman"/>
          <w:sz w:val="24"/>
          <w:szCs w:val="24"/>
          <w:lang w:eastAsia="zh-CN"/>
        </w:rPr>
        <w:t>或用水产生不利影响，也不会对地下水环境造成明显不利影响，项目建设对地下水的影响是可接受的。</w:t>
      </w:r>
    </w:p>
    <w:p w14:paraId="1B60C7FC" w14:textId="4EF89208" w:rsidR="00A54A8A" w:rsidRPr="00E67914" w:rsidRDefault="00A54A8A">
      <w:pPr>
        <w:pStyle w:val="af"/>
        <w:adjustRightInd w:val="0"/>
        <w:snapToGrid w:val="0"/>
        <w:spacing w:before="0" w:line="360" w:lineRule="auto"/>
        <w:ind w:left="0" w:firstLineChars="200" w:firstLine="480"/>
        <w:jc w:val="both"/>
        <w:rPr>
          <w:rFonts w:ascii="Times New Roman" w:hAnsi="Times New Roman"/>
          <w:bCs/>
          <w:kern w:val="2"/>
          <w:lang w:eastAsia="zh-CN"/>
        </w:rPr>
      </w:pPr>
    </w:p>
    <w:p w14:paraId="6AE4C2EB" w14:textId="77777777" w:rsidR="00A54A8A" w:rsidRPr="00E67914" w:rsidRDefault="00A54A8A">
      <w:pPr>
        <w:pStyle w:val="1"/>
        <w:adjustRightInd w:val="0"/>
        <w:snapToGrid w:val="0"/>
        <w:spacing w:beforeLines="200" w:before="480" w:after="0" w:line="480" w:lineRule="auto"/>
        <w:jc w:val="center"/>
        <w:rPr>
          <w:rFonts w:ascii="Times New Roman" w:eastAsiaTheme="minorEastAsia" w:hAnsi="Times New Roman"/>
          <w:sz w:val="24"/>
          <w:szCs w:val="24"/>
          <w:lang w:eastAsia="zh-CN"/>
        </w:rPr>
        <w:sectPr w:rsidR="00A54A8A" w:rsidRPr="00E67914">
          <w:pgSz w:w="11910" w:h="16840"/>
          <w:pgMar w:top="1440" w:right="1800" w:bottom="1440" w:left="1800" w:header="1213" w:footer="635" w:gutter="0"/>
          <w:cols w:space="720"/>
        </w:sectPr>
      </w:pPr>
      <w:bookmarkStart w:id="172" w:name="_bookmark31"/>
      <w:bookmarkStart w:id="173" w:name="第六章__环境保护措施及其可行性论证"/>
      <w:bookmarkEnd w:id="172"/>
      <w:bookmarkEnd w:id="173"/>
    </w:p>
    <w:p w14:paraId="6516B04C"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174" w:name="_Toc148654233"/>
      <w:r w:rsidRPr="00E67914">
        <w:rPr>
          <w:rFonts w:ascii="Times New Roman" w:eastAsia="黑体" w:hAnsi="Times New Roman"/>
          <w:b w:val="0"/>
          <w:sz w:val="28"/>
          <w:szCs w:val="28"/>
          <w:lang w:eastAsia="zh-CN"/>
        </w:rPr>
        <w:lastRenderedPageBreak/>
        <w:t>6</w:t>
      </w:r>
      <w:r w:rsidRPr="00E67914">
        <w:rPr>
          <w:rFonts w:ascii="Times New Roman" w:eastAsia="黑体" w:hAnsi="Times New Roman"/>
          <w:b w:val="0"/>
          <w:sz w:val="28"/>
          <w:szCs w:val="28"/>
          <w:lang w:eastAsia="zh-CN"/>
        </w:rPr>
        <w:t>环境风险分析</w:t>
      </w:r>
      <w:bookmarkEnd w:id="174"/>
    </w:p>
    <w:p w14:paraId="3276486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环境风险评价是分析和预测该项目在钻井、压裂测试过程中存在的潜在危险、有害因素，该项目在建设期间可能发生的突发性事件或事故（不包括认为破坏或自然灾害），引起平台内可燃气体、液体泄漏，所造成的人身安全、环境影响的损害程度，提出合理可行的防范、应急与减缓措施，以使建设项目事故率、损失和环境风险影响达到可接受水平。</w:t>
      </w:r>
    </w:p>
    <w:p w14:paraId="7EC537E3" w14:textId="567457CF"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根据《建设项目环境风险评价技术导则》（</w:t>
      </w:r>
      <w:r w:rsidRPr="00E67914">
        <w:rPr>
          <w:rFonts w:ascii="Times New Roman" w:hAnsi="Times New Roman"/>
          <w:bCs/>
          <w:kern w:val="2"/>
          <w:lang w:eastAsia="zh-CN"/>
        </w:rPr>
        <w:t>HJ169-2018</w:t>
      </w:r>
      <w:r w:rsidRPr="00E67914">
        <w:rPr>
          <w:rFonts w:ascii="Times New Roman" w:hAnsi="Times New Roman"/>
          <w:bCs/>
          <w:kern w:val="2"/>
          <w:lang w:eastAsia="zh-CN"/>
        </w:rPr>
        <w:t>）导则要求，本次环境风险评价关注点为环境风险事故状态下对厂（场）界外环境的影响，同时关注放喷池</w:t>
      </w:r>
      <w:r w:rsidR="00543B3F" w:rsidRPr="00E67914">
        <w:rPr>
          <w:rFonts w:ascii="Times New Roman" w:hAnsi="Times New Roman"/>
          <w:bCs/>
          <w:kern w:val="2"/>
          <w:lang w:eastAsia="zh-CN"/>
        </w:rPr>
        <w:t>等</w:t>
      </w:r>
      <w:r w:rsidRPr="00E67914">
        <w:rPr>
          <w:rFonts w:ascii="Times New Roman" w:hAnsi="Times New Roman"/>
          <w:bCs/>
          <w:kern w:val="2"/>
          <w:lang w:eastAsia="zh-CN"/>
        </w:rPr>
        <w:t>泄漏等对当地耕地、水体的环境风险影响。</w:t>
      </w:r>
    </w:p>
    <w:p w14:paraId="6EFE0BCE" w14:textId="77777777" w:rsidR="00A54A8A" w:rsidRPr="00E67914" w:rsidRDefault="00000000">
      <w:pPr>
        <w:pStyle w:val="2"/>
        <w:ind w:firstLine="480"/>
        <w:rPr>
          <w:szCs w:val="24"/>
          <w:lang w:eastAsia="zh-CN"/>
        </w:rPr>
      </w:pPr>
      <w:bookmarkStart w:id="175" w:name="5.3.1评价依据"/>
      <w:bookmarkStart w:id="176" w:name="_Toc148654234"/>
      <w:bookmarkEnd w:id="175"/>
      <w:r w:rsidRPr="00E67914">
        <w:rPr>
          <w:szCs w:val="24"/>
          <w:lang w:eastAsia="zh-CN"/>
        </w:rPr>
        <w:t>6.1</w:t>
      </w:r>
      <w:r w:rsidRPr="00E67914">
        <w:rPr>
          <w:szCs w:val="24"/>
          <w:lang w:eastAsia="zh-CN"/>
        </w:rPr>
        <w:t>评价依据</w:t>
      </w:r>
      <w:bookmarkEnd w:id="176"/>
    </w:p>
    <w:p w14:paraId="2317BFEB"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6.1.1</w:t>
      </w:r>
      <w:r w:rsidRPr="00E67914">
        <w:rPr>
          <w:rFonts w:ascii="Times New Roman" w:eastAsia="黑体" w:hAnsi="Times New Roman"/>
          <w:b w:val="0"/>
          <w:sz w:val="24"/>
          <w:szCs w:val="24"/>
          <w:lang w:eastAsia="zh-CN"/>
        </w:rPr>
        <w:t>风险调查</w:t>
      </w:r>
    </w:p>
    <w:p w14:paraId="612A6B5E" w14:textId="2E40C590"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根据《危险化学品重大危险源辨识》</w:t>
      </w:r>
      <w:r w:rsidRPr="00E67914">
        <w:rPr>
          <w:rFonts w:ascii="Times New Roman" w:hAnsi="Times New Roman"/>
          <w:bCs/>
          <w:kern w:val="2"/>
          <w:lang w:eastAsia="zh-CN"/>
        </w:rPr>
        <w:t>(GB18218-2018)</w:t>
      </w:r>
      <w:r w:rsidRPr="00E67914">
        <w:rPr>
          <w:rFonts w:ascii="Times New Roman" w:hAnsi="Times New Roman"/>
          <w:bCs/>
          <w:kern w:val="2"/>
          <w:lang w:eastAsia="zh-CN"/>
        </w:rPr>
        <w:t>的有关规定，本项目试采的天然气不含硫，因此，项目涉及的主要危险物质主要包括</w:t>
      </w:r>
      <w:r w:rsidRPr="00E67914">
        <w:rPr>
          <w:rFonts w:ascii="Times New Roman" w:hAnsi="Times New Roman"/>
          <w:bCs/>
          <w:kern w:val="2"/>
          <w:lang w:eastAsia="zh-CN"/>
        </w:rPr>
        <w:t>CH</w:t>
      </w:r>
      <w:r w:rsidRPr="00E67914">
        <w:rPr>
          <w:rFonts w:ascii="Times New Roman" w:hAnsi="Times New Roman"/>
          <w:bCs/>
          <w:kern w:val="2"/>
          <w:vertAlign w:val="subscript"/>
          <w:lang w:eastAsia="zh-CN"/>
        </w:rPr>
        <w:t>4</w:t>
      </w:r>
      <w:r w:rsidRPr="00E67914">
        <w:rPr>
          <w:rFonts w:ascii="Times New Roman" w:hAnsi="Times New Roman"/>
          <w:bCs/>
          <w:kern w:val="2"/>
          <w:lang w:eastAsia="zh-CN"/>
        </w:rPr>
        <w:t>、</w:t>
      </w:r>
      <w:r w:rsidR="00543B3F" w:rsidRPr="00E67914">
        <w:rPr>
          <w:rFonts w:ascii="Times New Roman" w:hAnsi="Times New Roman"/>
          <w:bCs/>
          <w:kern w:val="2"/>
          <w:lang w:eastAsia="zh-CN"/>
        </w:rPr>
        <w:t>凝析油、</w:t>
      </w:r>
      <w:r w:rsidRPr="00E67914">
        <w:rPr>
          <w:rFonts w:ascii="Times New Roman" w:hAnsi="Times New Roman"/>
          <w:bCs/>
          <w:kern w:val="2"/>
          <w:lang w:eastAsia="zh-CN"/>
        </w:rPr>
        <w:t>停电等紧急情况下使用柴油发电机所需的易燃物质柴油以及生产过程中产生的废油，存在发生火灾、泄露、爆炸等突发性风险事故的可能性。</w:t>
      </w:r>
    </w:p>
    <w:p w14:paraId="3365DC8D" w14:textId="44B4A8DF"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根据工艺生产特点，该项目钻井过程中使用主要原、辅材料有泥浆、加重剂、固井水泥、添加剂、堵漏剂</w:t>
      </w:r>
      <w:r w:rsidR="00543B3F" w:rsidRPr="00E67914">
        <w:rPr>
          <w:rFonts w:ascii="Times New Roman" w:hAnsi="Times New Roman"/>
          <w:bCs/>
          <w:kern w:val="2"/>
          <w:lang w:eastAsia="zh-CN"/>
        </w:rPr>
        <w:t>、白油</w:t>
      </w:r>
      <w:r w:rsidRPr="00E67914">
        <w:rPr>
          <w:rFonts w:ascii="Times New Roman" w:hAnsi="Times New Roman"/>
          <w:bCs/>
          <w:kern w:val="2"/>
          <w:lang w:eastAsia="zh-CN"/>
        </w:rPr>
        <w:t>、试采的天然气</w:t>
      </w:r>
      <w:r w:rsidR="00543B3F" w:rsidRPr="00E67914">
        <w:rPr>
          <w:rFonts w:ascii="Times New Roman" w:hAnsi="Times New Roman"/>
          <w:bCs/>
          <w:kern w:val="2"/>
          <w:lang w:eastAsia="zh-CN"/>
        </w:rPr>
        <w:t>、</w:t>
      </w:r>
      <w:r w:rsidRPr="00E67914">
        <w:rPr>
          <w:rFonts w:ascii="Times New Roman" w:hAnsi="Times New Roman"/>
          <w:bCs/>
          <w:kern w:val="2"/>
          <w:lang w:eastAsia="zh-CN"/>
        </w:rPr>
        <w:t>柴油发电机用柴油，井站试采期由工艺系统分离产生的气田水、试采的天然气</w:t>
      </w:r>
      <w:r w:rsidR="00543B3F" w:rsidRPr="00E67914">
        <w:rPr>
          <w:rFonts w:ascii="Times New Roman" w:hAnsi="Times New Roman"/>
          <w:bCs/>
          <w:kern w:val="2"/>
          <w:lang w:eastAsia="zh-CN"/>
        </w:rPr>
        <w:t>、凝析油</w:t>
      </w:r>
      <w:r w:rsidRPr="00E67914">
        <w:rPr>
          <w:rFonts w:ascii="Times New Roman" w:hAnsi="Times New Roman"/>
          <w:bCs/>
          <w:kern w:val="2"/>
          <w:lang w:eastAsia="zh-CN"/>
        </w:rPr>
        <w:t>。</w:t>
      </w:r>
      <w:r w:rsidR="00543B3F" w:rsidRPr="00E67914">
        <w:rPr>
          <w:rFonts w:ascii="Times New Roman" w:hAnsi="Times New Roman"/>
          <w:bCs/>
          <w:kern w:val="2"/>
          <w:lang w:eastAsia="zh-CN"/>
        </w:rPr>
        <w:t>试采结束后对油罐进行清罐会产生清罐油泥，由专业单位清理，清理后立即交有资质单位处置，不在场内暂存，故不将其</w:t>
      </w:r>
      <w:r w:rsidR="00772FA7" w:rsidRPr="00E67914">
        <w:rPr>
          <w:rFonts w:ascii="Times New Roman" w:hAnsi="Times New Roman"/>
          <w:bCs/>
          <w:kern w:val="2"/>
          <w:lang w:eastAsia="zh-CN"/>
        </w:rPr>
        <w:t>作为环境风险物质。</w:t>
      </w:r>
    </w:p>
    <w:p w14:paraId="65CADA2C" w14:textId="2F7CE552" w:rsidR="00A54A8A" w:rsidRPr="00E67914" w:rsidRDefault="00000000">
      <w:pPr>
        <w:pStyle w:val="af"/>
        <w:adjustRightInd w:val="0"/>
        <w:snapToGrid w:val="0"/>
        <w:spacing w:before="0" w:line="360" w:lineRule="auto"/>
        <w:ind w:left="0" w:firstLineChars="200" w:firstLine="480"/>
        <w:jc w:val="both"/>
        <w:rPr>
          <w:rFonts w:ascii="Times New Roman" w:hAnsi="Times New Roman"/>
          <w:b/>
          <w:kern w:val="2"/>
          <w:lang w:eastAsia="zh-CN"/>
        </w:rPr>
      </w:pPr>
      <w:r w:rsidRPr="00E67914">
        <w:rPr>
          <w:rFonts w:ascii="Times New Roman" w:hAnsi="Times New Roman"/>
          <w:bCs/>
          <w:kern w:val="2"/>
          <w:lang w:eastAsia="zh-CN"/>
        </w:rPr>
        <w:t>钻井过程中设置了自动、手动和电子共</w:t>
      </w:r>
      <w:r w:rsidRPr="00E67914">
        <w:rPr>
          <w:rFonts w:ascii="Times New Roman" w:hAnsi="Times New Roman"/>
          <w:bCs/>
          <w:kern w:val="2"/>
          <w:lang w:eastAsia="zh-CN"/>
        </w:rPr>
        <w:t>3</w:t>
      </w:r>
      <w:r w:rsidRPr="00E67914">
        <w:rPr>
          <w:rFonts w:ascii="Times New Roman" w:hAnsi="Times New Roman"/>
          <w:bCs/>
          <w:kern w:val="2"/>
          <w:lang w:eastAsia="zh-CN"/>
        </w:rPr>
        <w:t>套点火装置，根据《石油天然气钻井井控技术规范》（</w:t>
      </w:r>
      <w:r w:rsidRPr="00E67914">
        <w:rPr>
          <w:rFonts w:ascii="Times New Roman" w:hAnsi="Times New Roman"/>
          <w:bCs/>
          <w:kern w:val="2"/>
          <w:lang w:eastAsia="zh-CN"/>
        </w:rPr>
        <w:t>GB/T31033-2014</w:t>
      </w:r>
      <w:r w:rsidRPr="00E67914">
        <w:rPr>
          <w:rFonts w:ascii="Times New Roman" w:hAnsi="Times New Roman"/>
          <w:bCs/>
          <w:kern w:val="2"/>
          <w:lang w:eastAsia="zh-CN"/>
        </w:rPr>
        <w:t>）等井控技术规范，发生井喷后可保证在</w:t>
      </w:r>
      <w:r w:rsidRPr="00E67914">
        <w:rPr>
          <w:rFonts w:ascii="Times New Roman" w:hAnsi="Times New Roman"/>
          <w:bCs/>
          <w:kern w:val="2"/>
          <w:lang w:eastAsia="zh-CN"/>
        </w:rPr>
        <w:t>15min</w:t>
      </w:r>
      <w:r w:rsidRPr="00E67914">
        <w:rPr>
          <w:rFonts w:ascii="Times New Roman" w:hAnsi="Times New Roman"/>
          <w:bCs/>
          <w:kern w:val="2"/>
          <w:lang w:eastAsia="zh-CN"/>
        </w:rPr>
        <w:t>内实施井口点火，故钻井施工现场风险事故泄漏的甲烷泄漏量按</w:t>
      </w:r>
      <w:r w:rsidRPr="00E67914">
        <w:rPr>
          <w:rFonts w:ascii="Times New Roman" w:hAnsi="Times New Roman"/>
          <w:bCs/>
          <w:kern w:val="2"/>
          <w:lang w:eastAsia="zh-CN"/>
        </w:rPr>
        <w:t>15min</w:t>
      </w:r>
      <w:r w:rsidRPr="00E67914">
        <w:rPr>
          <w:rFonts w:ascii="Times New Roman" w:hAnsi="Times New Roman"/>
          <w:bCs/>
          <w:kern w:val="2"/>
          <w:lang w:eastAsia="zh-CN"/>
        </w:rPr>
        <w:t>计。根据项目可研报告可知，本项目酸化前最大无阻流量为</w:t>
      </w:r>
      <w:r w:rsidR="00772FA7" w:rsidRPr="00E67914">
        <w:rPr>
          <w:rFonts w:ascii="Times New Roman" w:hAnsi="Times New Roman"/>
          <w:bCs/>
          <w:kern w:val="2"/>
          <w:lang w:eastAsia="zh-CN"/>
        </w:rPr>
        <w:t>20</w:t>
      </w:r>
      <w:r w:rsidRPr="00E67914">
        <w:rPr>
          <w:rFonts w:ascii="Times New Roman" w:hAnsi="Times New Roman"/>
          <w:bCs/>
          <w:kern w:val="2"/>
          <w:lang w:eastAsia="zh-CN"/>
        </w:rPr>
        <w:t>×10</w:t>
      </w:r>
      <w:r w:rsidRPr="00E67914">
        <w:rPr>
          <w:rFonts w:ascii="Times New Roman" w:hAnsi="Times New Roman"/>
          <w:bCs/>
          <w:kern w:val="2"/>
          <w:vertAlign w:val="superscript"/>
          <w:lang w:eastAsia="zh-CN"/>
        </w:rPr>
        <w:t>4</w:t>
      </w:r>
      <w:r w:rsidRPr="00E67914">
        <w:rPr>
          <w:rFonts w:ascii="Times New Roman" w:hAnsi="Times New Roman"/>
          <w:bCs/>
          <w:kern w:val="2"/>
          <w:lang w:eastAsia="zh-CN"/>
        </w:rPr>
        <w:t>m</w:t>
      </w:r>
      <w:r w:rsidRPr="00E67914">
        <w:rPr>
          <w:rFonts w:ascii="Times New Roman" w:hAnsi="Times New Roman"/>
          <w:bCs/>
          <w:kern w:val="2"/>
          <w:vertAlign w:val="superscript"/>
          <w:lang w:eastAsia="zh-CN"/>
        </w:rPr>
        <w:t>3</w:t>
      </w:r>
      <w:r w:rsidRPr="00E67914">
        <w:rPr>
          <w:rFonts w:ascii="Times New Roman" w:hAnsi="Times New Roman"/>
          <w:bCs/>
          <w:kern w:val="2"/>
          <w:lang w:eastAsia="zh-CN"/>
        </w:rPr>
        <w:t>/d</w:t>
      </w:r>
      <w:r w:rsidRPr="00E67914">
        <w:rPr>
          <w:rFonts w:ascii="Times New Roman" w:hAnsi="Times New Roman"/>
          <w:bCs/>
          <w:kern w:val="2"/>
          <w:lang w:eastAsia="zh-CN"/>
        </w:rPr>
        <w:t>，</w:t>
      </w:r>
      <w:r w:rsidRPr="00E67914">
        <w:rPr>
          <w:rFonts w:ascii="Times New Roman" w:hAnsi="Times New Roman"/>
          <w:bCs/>
          <w:kern w:val="2"/>
          <w:lang w:eastAsia="zh-CN"/>
        </w:rPr>
        <w:t>15min</w:t>
      </w:r>
      <w:r w:rsidRPr="00E67914">
        <w:rPr>
          <w:rFonts w:ascii="Times New Roman" w:hAnsi="Times New Roman"/>
          <w:bCs/>
          <w:kern w:val="2"/>
          <w:lang w:eastAsia="zh-CN"/>
        </w:rPr>
        <w:t>井喷天然气量为</w:t>
      </w:r>
      <w:r w:rsidR="00772FA7" w:rsidRPr="00E67914">
        <w:rPr>
          <w:rFonts w:ascii="Times New Roman" w:hAnsi="Times New Roman"/>
          <w:bCs/>
          <w:kern w:val="2"/>
          <w:lang w:eastAsia="zh-CN"/>
        </w:rPr>
        <w:t>2083</w:t>
      </w:r>
      <w:r w:rsidRPr="00E67914">
        <w:rPr>
          <w:rFonts w:ascii="Times New Roman" w:hAnsi="Times New Roman"/>
          <w:bCs/>
          <w:kern w:val="2"/>
          <w:lang w:eastAsia="zh-CN"/>
        </w:rPr>
        <w:t>m</w:t>
      </w:r>
      <w:r w:rsidRPr="00E67914">
        <w:rPr>
          <w:rFonts w:ascii="Times New Roman" w:hAnsi="Times New Roman"/>
          <w:bCs/>
          <w:kern w:val="2"/>
          <w:vertAlign w:val="superscript"/>
          <w:lang w:eastAsia="zh-CN"/>
        </w:rPr>
        <w:t>3</w:t>
      </w:r>
      <w:r w:rsidRPr="00E67914">
        <w:rPr>
          <w:rFonts w:ascii="Times New Roman" w:hAnsi="Times New Roman"/>
          <w:bCs/>
          <w:kern w:val="2"/>
          <w:lang w:eastAsia="zh-CN"/>
        </w:rPr>
        <w:t>。</w:t>
      </w:r>
      <w:r w:rsidRPr="00E67914">
        <w:rPr>
          <w:rFonts w:ascii="Times New Roman" w:hAnsi="Times New Roman"/>
          <w:bCs/>
          <w:kern w:val="2"/>
          <w:lang w:eastAsia="zh-CN"/>
        </w:rPr>
        <w:t>CH</w:t>
      </w:r>
      <w:r w:rsidRPr="00E67914">
        <w:rPr>
          <w:rFonts w:ascii="Times New Roman" w:hAnsi="Times New Roman"/>
          <w:bCs/>
          <w:kern w:val="2"/>
          <w:vertAlign w:val="subscript"/>
          <w:lang w:eastAsia="zh-CN"/>
        </w:rPr>
        <w:t>4</w:t>
      </w:r>
      <w:r w:rsidRPr="00E67914">
        <w:rPr>
          <w:rFonts w:ascii="Times New Roman" w:hAnsi="Times New Roman"/>
          <w:bCs/>
          <w:kern w:val="2"/>
          <w:lang w:eastAsia="zh-CN"/>
        </w:rPr>
        <w:t>含量</w:t>
      </w:r>
      <w:r w:rsidR="00772FA7" w:rsidRPr="00E67914">
        <w:rPr>
          <w:rFonts w:ascii="Times New Roman" w:hAnsi="Times New Roman"/>
          <w:bCs/>
          <w:kern w:val="2"/>
          <w:lang w:eastAsia="zh-CN"/>
        </w:rPr>
        <w:t>为</w:t>
      </w:r>
      <w:r w:rsidR="00772FA7" w:rsidRPr="00E67914">
        <w:rPr>
          <w:rFonts w:ascii="Times New Roman" w:hAnsi="Times New Roman"/>
          <w:bCs/>
          <w:kern w:val="2"/>
          <w:lang w:eastAsia="zh-CN"/>
        </w:rPr>
        <w:t>85.427</w:t>
      </w:r>
      <w:r w:rsidRPr="00E67914">
        <w:rPr>
          <w:rFonts w:ascii="Times New Roman" w:hAnsi="Times New Roman"/>
          <w:bCs/>
          <w:kern w:val="2"/>
          <w:lang w:eastAsia="zh-CN"/>
        </w:rPr>
        <w:t>mol</w:t>
      </w:r>
      <w:r w:rsidRPr="00E67914">
        <w:rPr>
          <w:rFonts w:ascii="Times New Roman" w:hAnsi="Times New Roman"/>
          <w:bCs/>
          <w:kern w:val="2"/>
          <w:lang w:eastAsia="zh-CN"/>
        </w:rPr>
        <w:t>％，即</w:t>
      </w:r>
      <w:r w:rsidRPr="00E67914">
        <w:rPr>
          <w:rFonts w:ascii="Times New Roman" w:hAnsi="Times New Roman"/>
          <w:bCs/>
          <w:kern w:val="2"/>
          <w:lang w:eastAsia="zh-CN"/>
        </w:rPr>
        <w:t>CH</w:t>
      </w:r>
      <w:r w:rsidRPr="00E67914">
        <w:rPr>
          <w:rFonts w:ascii="Times New Roman" w:hAnsi="Times New Roman"/>
          <w:bCs/>
          <w:kern w:val="2"/>
          <w:vertAlign w:val="subscript"/>
          <w:lang w:eastAsia="zh-CN"/>
        </w:rPr>
        <w:t>4</w:t>
      </w:r>
      <w:r w:rsidRPr="00E67914">
        <w:rPr>
          <w:rFonts w:ascii="Times New Roman" w:hAnsi="Times New Roman"/>
          <w:bCs/>
          <w:kern w:val="2"/>
          <w:lang w:eastAsia="zh-CN"/>
        </w:rPr>
        <w:t>含量为</w:t>
      </w:r>
      <w:r w:rsidR="00772FA7" w:rsidRPr="00E67914">
        <w:rPr>
          <w:rFonts w:ascii="Times New Roman" w:hAnsi="Times New Roman"/>
          <w:bCs/>
          <w:kern w:val="2"/>
          <w:lang w:eastAsia="zh-CN"/>
        </w:rPr>
        <w:t>686467</w:t>
      </w:r>
      <w:r w:rsidRPr="00E67914">
        <w:rPr>
          <w:rFonts w:ascii="Times New Roman" w:hAnsi="Times New Roman"/>
          <w:bCs/>
          <w:kern w:val="2"/>
          <w:lang w:eastAsia="zh-CN"/>
        </w:rPr>
        <w:t>mg/m</w:t>
      </w:r>
      <w:r w:rsidRPr="00E67914">
        <w:rPr>
          <w:rFonts w:ascii="Times New Roman" w:hAnsi="Times New Roman"/>
          <w:bCs/>
          <w:kern w:val="2"/>
          <w:vertAlign w:val="superscript"/>
          <w:lang w:eastAsia="zh-CN"/>
        </w:rPr>
        <w:t>3</w:t>
      </w:r>
      <w:r w:rsidRPr="00E67914">
        <w:rPr>
          <w:rFonts w:ascii="Times New Roman" w:hAnsi="Times New Roman"/>
          <w:bCs/>
          <w:kern w:val="2"/>
          <w:lang w:eastAsia="zh-CN"/>
        </w:rPr>
        <w:t>，</w:t>
      </w:r>
      <w:r w:rsidRPr="00E67914">
        <w:rPr>
          <w:rFonts w:ascii="Times New Roman" w:hAnsi="Times New Roman"/>
          <w:bCs/>
          <w:kern w:val="2"/>
          <w:lang w:eastAsia="zh-CN"/>
        </w:rPr>
        <w:t>15min</w:t>
      </w:r>
      <w:r w:rsidRPr="00E67914">
        <w:rPr>
          <w:rFonts w:ascii="Times New Roman" w:hAnsi="Times New Roman"/>
          <w:bCs/>
          <w:kern w:val="2"/>
          <w:lang w:eastAsia="zh-CN"/>
        </w:rPr>
        <w:t>井喷</w:t>
      </w:r>
      <w:r w:rsidRPr="00E67914">
        <w:rPr>
          <w:rFonts w:ascii="Times New Roman" w:hAnsi="Times New Roman"/>
          <w:bCs/>
          <w:kern w:val="2"/>
          <w:lang w:eastAsia="zh-CN"/>
        </w:rPr>
        <w:t>CH</w:t>
      </w:r>
      <w:r w:rsidRPr="00E67914">
        <w:rPr>
          <w:rFonts w:ascii="Times New Roman" w:hAnsi="Times New Roman"/>
          <w:bCs/>
          <w:kern w:val="2"/>
          <w:vertAlign w:val="subscript"/>
          <w:lang w:eastAsia="zh-CN"/>
        </w:rPr>
        <w:t>4</w:t>
      </w:r>
      <w:r w:rsidRPr="00E67914">
        <w:rPr>
          <w:rFonts w:ascii="Times New Roman" w:hAnsi="Times New Roman"/>
          <w:bCs/>
          <w:kern w:val="2"/>
          <w:lang w:eastAsia="zh-CN"/>
        </w:rPr>
        <w:t>量为</w:t>
      </w:r>
      <w:r w:rsidR="00772FA7" w:rsidRPr="00E67914">
        <w:rPr>
          <w:rFonts w:ascii="Times New Roman" w:hAnsi="Times New Roman"/>
          <w:bCs/>
          <w:kern w:val="2"/>
          <w:lang w:eastAsia="zh-CN"/>
        </w:rPr>
        <w:t>1.43</w:t>
      </w:r>
      <w:r w:rsidRPr="00E67914">
        <w:rPr>
          <w:rFonts w:ascii="Times New Roman" w:hAnsi="Times New Roman"/>
          <w:bCs/>
          <w:kern w:val="2"/>
          <w:lang w:eastAsia="zh-CN"/>
        </w:rPr>
        <w:t>t</w:t>
      </w:r>
      <w:r w:rsidRPr="00E67914">
        <w:rPr>
          <w:rFonts w:ascii="Times New Roman" w:hAnsi="Times New Roman"/>
          <w:bCs/>
          <w:kern w:val="2"/>
          <w:lang w:eastAsia="zh-CN"/>
        </w:rPr>
        <w:t>。</w:t>
      </w:r>
    </w:p>
    <w:p w14:paraId="3220B8B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本项目涉及危险物质数量及分布情况见下表。</w:t>
      </w:r>
    </w:p>
    <w:p w14:paraId="2C5BA33E"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6.1-1  </w:t>
      </w:r>
      <w:r w:rsidRPr="00E67914">
        <w:rPr>
          <w:rFonts w:ascii="Times New Roman" w:eastAsia="黑体" w:hAnsi="Times New Roman"/>
          <w:sz w:val="21"/>
          <w:szCs w:val="21"/>
          <w:lang w:eastAsia="zh-CN"/>
        </w:rPr>
        <w:t>本项目涉及危险物质数量及分布情况表</w:t>
      </w:r>
    </w:p>
    <w:tbl>
      <w:tblPr>
        <w:tblW w:w="82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left w:w="28" w:type="dxa"/>
          <w:bottom w:w="28" w:type="dxa"/>
          <w:right w:w="28" w:type="dxa"/>
        </w:tblCellMar>
        <w:tblLook w:val="04A0" w:firstRow="1" w:lastRow="0" w:firstColumn="1" w:lastColumn="0" w:noHBand="0" w:noVBand="1"/>
      </w:tblPr>
      <w:tblGrid>
        <w:gridCol w:w="701"/>
        <w:gridCol w:w="992"/>
        <w:gridCol w:w="1701"/>
        <w:gridCol w:w="1418"/>
        <w:gridCol w:w="3410"/>
      </w:tblGrid>
      <w:tr w:rsidR="002662E3" w:rsidRPr="00E67914" w14:paraId="0BC13044" w14:textId="77777777">
        <w:trPr>
          <w:jc w:val="center"/>
        </w:trPr>
        <w:tc>
          <w:tcPr>
            <w:tcW w:w="701" w:type="dxa"/>
            <w:vAlign w:val="center"/>
          </w:tcPr>
          <w:p w14:paraId="52925C09"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lastRenderedPageBreak/>
              <w:t>序号</w:t>
            </w:r>
          </w:p>
        </w:tc>
        <w:tc>
          <w:tcPr>
            <w:tcW w:w="992" w:type="dxa"/>
            <w:vAlign w:val="center"/>
          </w:tcPr>
          <w:p w14:paraId="53E1AF4B"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时段</w:t>
            </w:r>
          </w:p>
        </w:tc>
        <w:tc>
          <w:tcPr>
            <w:tcW w:w="1701" w:type="dxa"/>
            <w:vAlign w:val="center"/>
          </w:tcPr>
          <w:p w14:paraId="140EAAEA"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物质</w:t>
            </w:r>
          </w:p>
        </w:tc>
        <w:tc>
          <w:tcPr>
            <w:tcW w:w="1418" w:type="dxa"/>
            <w:vAlign w:val="center"/>
          </w:tcPr>
          <w:p w14:paraId="11BF7E3F"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最大存在量</w:t>
            </w:r>
          </w:p>
        </w:tc>
        <w:tc>
          <w:tcPr>
            <w:tcW w:w="3410" w:type="dxa"/>
            <w:vAlign w:val="center"/>
          </w:tcPr>
          <w:p w14:paraId="7A5AE2F1"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分布位置</w:t>
            </w:r>
          </w:p>
        </w:tc>
      </w:tr>
      <w:tr w:rsidR="002662E3" w:rsidRPr="00E67914" w14:paraId="4847B9BD" w14:textId="77777777">
        <w:trPr>
          <w:jc w:val="center"/>
        </w:trPr>
        <w:tc>
          <w:tcPr>
            <w:tcW w:w="701" w:type="dxa"/>
            <w:vAlign w:val="center"/>
          </w:tcPr>
          <w:p w14:paraId="0D6545CC"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1</w:t>
            </w:r>
          </w:p>
        </w:tc>
        <w:tc>
          <w:tcPr>
            <w:tcW w:w="992" w:type="dxa"/>
            <w:vMerge w:val="restart"/>
            <w:vAlign w:val="center"/>
          </w:tcPr>
          <w:p w14:paraId="01335338"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施工期（钻井工程）</w:t>
            </w:r>
          </w:p>
        </w:tc>
        <w:tc>
          <w:tcPr>
            <w:tcW w:w="1701" w:type="dxa"/>
            <w:vAlign w:val="center"/>
          </w:tcPr>
          <w:p w14:paraId="290C2FFC"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水基泥浆、固井水泥及添加剂</w:t>
            </w:r>
          </w:p>
        </w:tc>
        <w:tc>
          <w:tcPr>
            <w:tcW w:w="1418" w:type="dxa"/>
            <w:vAlign w:val="center"/>
          </w:tcPr>
          <w:p w14:paraId="5399A991"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约</w:t>
            </w:r>
            <w:r w:rsidRPr="00E67914">
              <w:rPr>
                <w:rFonts w:ascii="Times New Roman" w:hAnsi="Times New Roman"/>
                <w:spacing w:val="-3"/>
                <w:sz w:val="21"/>
                <w:szCs w:val="21"/>
                <w:lang w:eastAsia="zh-CN"/>
              </w:rPr>
              <w:t>350m</w:t>
            </w:r>
            <w:r w:rsidRPr="00E67914">
              <w:rPr>
                <w:rFonts w:ascii="Times New Roman" w:hAnsi="Times New Roman"/>
                <w:spacing w:val="-3"/>
                <w:sz w:val="21"/>
                <w:szCs w:val="21"/>
                <w:vertAlign w:val="superscript"/>
                <w:lang w:eastAsia="zh-CN"/>
              </w:rPr>
              <w:t>3</w:t>
            </w:r>
          </w:p>
        </w:tc>
        <w:tc>
          <w:tcPr>
            <w:tcW w:w="3410" w:type="dxa"/>
            <w:vAlign w:val="center"/>
          </w:tcPr>
          <w:p w14:paraId="490B0EE8"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泥浆循环系统、泥浆不落地工艺区，重浆罐、泥浆材料区</w:t>
            </w:r>
          </w:p>
        </w:tc>
      </w:tr>
      <w:tr w:rsidR="002662E3" w:rsidRPr="00E67914" w14:paraId="12CD174B" w14:textId="77777777">
        <w:trPr>
          <w:jc w:val="center"/>
        </w:trPr>
        <w:tc>
          <w:tcPr>
            <w:tcW w:w="701" w:type="dxa"/>
            <w:vAlign w:val="center"/>
          </w:tcPr>
          <w:p w14:paraId="02AD713D"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2</w:t>
            </w:r>
          </w:p>
        </w:tc>
        <w:tc>
          <w:tcPr>
            <w:tcW w:w="992" w:type="dxa"/>
            <w:vMerge/>
            <w:vAlign w:val="center"/>
          </w:tcPr>
          <w:p w14:paraId="52DDE203" w14:textId="77777777" w:rsidR="00A54A8A" w:rsidRPr="00E67914" w:rsidRDefault="00A54A8A">
            <w:pPr>
              <w:jc w:val="center"/>
              <w:rPr>
                <w:rFonts w:ascii="Times New Roman" w:hAnsi="Times New Roman"/>
                <w:spacing w:val="-3"/>
                <w:sz w:val="21"/>
                <w:szCs w:val="21"/>
                <w:lang w:eastAsia="zh-CN"/>
              </w:rPr>
            </w:pPr>
          </w:p>
        </w:tc>
        <w:tc>
          <w:tcPr>
            <w:tcW w:w="1701" w:type="dxa"/>
            <w:vAlign w:val="center"/>
          </w:tcPr>
          <w:p w14:paraId="2534776B"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钻井废水</w:t>
            </w:r>
          </w:p>
        </w:tc>
        <w:tc>
          <w:tcPr>
            <w:tcW w:w="1418" w:type="dxa"/>
            <w:vAlign w:val="center"/>
          </w:tcPr>
          <w:p w14:paraId="68D604AF" w14:textId="2F9F3396"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z w:val="21"/>
                <w:szCs w:val="21"/>
                <w:lang w:eastAsia="zh-CN"/>
              </w:rPr>
              <w:t>3119.6</w:t>
            </w:r>
            <w:r w:rsidRPr="00E67914">
              <w:rPr>
                <w:rFonts w:ascii="Times New Roman" w:hAnsi="Times New Roman"/>
                <w:spacing w:val="-3"/>
                <w:sz w:val="21"/>
                <w:szCs w:val="21"/>
                <w:lang w:eastAsia="zh-CN"/>
              </w:rPr>
              <w:t>m</w:t>
            </w:r>
            <w:r w:rsidRPr="00E67914">
              <w:rPr>
                <w:rFonts w:ascii="Times New Roman" w:hAnsi="Times New Roman"/>
                <w:spacing w:val="-3"/>
                <w:sz w:val="21"/>
                <w:szCs w:val="21"/>
                <w:vertAlign w:val="superscript"/>
                <w:lang w:eastAsia="zh-CN"/>
              </w:rPr>
              <w:t>3</w:t>
            </w:r>
          </w:p>
        </w:tc>
        <w:tc>
          <w:tcPr>
            <w:tcW w:w="3410" w:type="dxa"/>
            <w:vAlign w:val="center"/>
          </w:tcPr>
          <w:p w14:paraId="757E8BFB"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废水收集罐</w:t>
            </w:r>
          </w:p>
        </w:tc>
      </w:tr>
      <w:tr w:rsidR="002662E3" w:rsidRPr="00E67914" w14:paraId="633D7651" w14:textId="77777777">
        <w:trPr>
          <w:jc w:val="center"/>
        </w:trPr>
        <w:tc>
          <w:tcPr>
            <w:tcW w:w="701" w:type="dxa"/>
            <w:vAlign w:val="center"/>
          </w:tcPr>
          <w:p w14:paraId="61035C81"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3</w:t>
            </w:r>
          </w:p>
        </w:tc>
        <w:tc>
          <w:tcPr>
            <w:tcW w:w="992" w:type="dxa"/>
            <w:vMerge/>
            <w:vAlign w:val="center"/>
          </w:tcPr>
          <w:p w14:paraId="5900ACE9" w14:textId="77777777" w:rsidR="00A54A8A" w:rsidRPr="00E67914" w:rsidRDefault="00A54A8A">
            <w:pPr>
              <w:jc w:val="center"/>
              <w:rPr>
                <w:rFonts w:ascii="Times New Roman" w:hAnsi="Times New Roman"/>
                <w:spacing w:val="-3"/>
                <w:sz w:val="21"/>
                <w:szCs w:val="21"/>
                <w:lang w:eastAsia="zh-CN"/>
              </w:rPr>
            </w:pPr>
          </w:p>
        </w:tc>
        <w:tc>
          <w:tcPr>
            <w:tcW w:w="1701" w:type="dxa"/>
            <w:vAlign w:val="center"/>
          </w:tcPr>
          <w:p w14:paraId="09F63DA4"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柴油</w:t>
            </w:r>
          </w:p>
        </w:tc>
        <w:tc>
          <w:tcPr>
            <w:tcW w:w="1418" w:type="dxa"/>
            <w:vAlign w:val="center"/>
          </w:tcPr>
          <w:p w14:paraId="46A76BA2"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16t</w:t>
            </w:r>
          </w:p>
        </w:tc>
        <w:tc>
          <w:tcPr>
            <w:tcW w:w="3410" w:type="dxa"/>
            <w:vAlign w:val="center"/>
          </w:tcPr>
          <w:p w14:paraId="1FD90264"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柴油罐区</w:t>
            </w:r>
          </w:p>
        </w:tc>
      </w:tr>
      <w:tr w:rsidR="00ED5111" w:rsidRPr="00E67914" w14:paraId="061D06A4" w14:textId="77777777">
        <w:trPr>
          <w:jc w:val="center"/>
        </w:trPr>
        <w:tc>
          <w:tcPr>
            <w:tcW w:w="701" w:type="dxa"/>
            <w:vAlign w:val="center"/>
          </w:tcPr>
          <w:p w14:paraId="52A514CE" w14:textId="77777777" w:rsidR="00ED5111" w:rsidRPr="00E67914" w:rsidRDefault="00ED5111">
            <w:pPr>
              <w:jc w:val="center"/>
              <w:rPr>
                <w:rFonts w:ascii="Times New Roman" w:hAnsi="Times New Roman"/>
                <w:spacing w:val="-3"/>
                <w:sz w:val="21"/>
                <w:szCs w:val="21"/>
                <w:lang w:eastAsia="zh-CN"/>
              </w:rPr>
            </w:pPr>
          </w:p>
        </w:tc>
        <w:tc>
          <w:tcPr>
            <w:tcW w:w="992" w:type="dxa"/>
            <w:vMerge/>
            <w:vAlign w:val="center"/>
          </w:tcPr>
          <w:p w14:paraId="221C02E5" w14:textId="77777777" w:rsidR="00ED5111" w:rsidRPr="00E67914" w:rsidRDefault="00ED5111">
            <w:pPr>
              <w:jc w:val="center"/>
              <w:rPr>
                <w:rFonts w:ascii="Times New Roman" w:hAnsi="Times New Roman"/>
                <w:spacing w:val="-3"/>
                <w:sz w:val="21"/>
                <w:szCs w:val="21"/>
                <w:lang w:eastAsia="zh-CN"/>
              </w:rPr>
            </w:pPr>
          </w:p>
        </w:tc>
        <w:tc>
          <w:tcPr>
            <w:tcW w:w="1701" w:type="dxa"/>
            <w:vAlign w:val="center"/>
          </w:tcPr>
          <w:p w14:paraId="27A7DFCA" w14:textId="22947E46" w:rsidR="00ED5111" w:rsidRPr="00E67914" w:rsidRDefault="00ED5111">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白油</w:t>
            </w:r>
          </w:p>
        </w:tc>
        <w:tc>
          <w:tcPr>
            <w:tcW w:w="1418" w:type="dxa"/>
            <w:vAlign w:val="center"/>
          </w:tcPr>
          <w:p w14:paraId="6E40FEA1" w14:textId="36BAFDD1" w:rsidR="00ED5111" w:rsidRPr="00E67914" w:rsidRDefault="00ED5111">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20t</w:t>
            </w:r>
          </w:p>
        </w:tc>
        <w:tc>
          <w:tcPr>
            <w:tcW w:w="3410" w:type="dxa"/>
            <w:vAlign w:val="center"/>
          </w:tcPr>
          <w:p w14:paraId="4E7553CF" w14:textId="4D68C075" w:rsidR="00ED5111" w:rsidRPr="00E67914" w:rsidRDefault="00ED5111">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材料区</w:t>
            </w:r>
          </w:p>
        </w:tc>
      </w:tr>
      <w:tr w:rsidR="002662E3" w:rsidRPr="00E67914" w14:paraId="1B9F810D" w14:textId="77777777">
        <w:trPr>
          <w:jc w:val="center"/>
        </w:trPr>
        <w:tc>
          <w:tcPr>
            <w:tcW w:w="701" w:type="dxa"/>
            <w:vAlign w:val="center"/>
          </w:tcPr>
          <w:p w14:paraId="47F0DFE9" w14:textId="20EF7C63"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4</w:t>
            </w:r>
          </w:p>
        </w:tc>
        <w:tc>
          <w:tcPr>
            <w:tcW w:w="992" w:type="dxa"/>
            <w:vMerge/>
            <w:vAlign w:val="center"/>
          </w:tcPr>
          <w:p w14:paraId="7ECAC95A" w14:textId="77777777" w:rsidR="00A54A8A" w:rsidRPr="00E67914" w:rsidRDefault="00A54A8A">
            <w:pPr>
              <w:jc w:val="center"/>
              <w:rPr>
                <w:rFonts w:ascii="Times New Roman" w:hAnsi="Times New Roman"/>
                <w:spacing w:val="-3"/>
                <w:sz w:val="21"/>
                <w:szCs w:val="21"/>
                <w:lang w:eastAsia="zh-CN"/>
              </w:rPr>
            </w:pPr>
          </w:p>
        </w:tc>
        <w:tc>
          <w:tcPr>
            <w:tcW w:w="1701" w:type="dxa"/>
            <w:vAlign w:val="center"/>
          </w:tcPr>
          <w:p w14:paraId="449B8E7C"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废油</w:t>
            </w:r>
          </w:p>
        </w:tc>
        <w:tc>
          <w:tcPr>
            <w:tcW w:w="1418" w:type="dxa"/>
            <w:vAlign w:val="center"/>
          </w:tcPr>
          <w:p w14:paraId="1EB61094"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0.085t</w:t>
            </w:r>
          </w:p>
        </w:tc>
        <w:tc>
          <w:tcPr>
            <w:tcW w:w="3410" w:type="dxa"/>
            <w:vAlign w:val="center"/>
          </w:tcPr>
          <w:p w14:paraId="49A6B5F6"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油桶区</w:t>
            </w:r>
          </w:p>
        </w:tc>
      </w:tr>
      <w:tr w:rsidR="002662E3" w:rsidRPr="00E67914" w14:paraId="5B2A67A5" w14:textId="77777777">
        <w:trPr>
          <w:jc w:val="center"/>
        </w:trPr>
        <w:tc>
          <w:tcPr>
            <w:tcW w:w="701" w:type="dxa"/>
            <w:vAlign w:val="center"/>
          </w:tcPr>
          <w:p w14:paraId="51268BAA" w14:textId="1E83AF98"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5</w:t>
            </w:r>
          </w:p>
        </w:tc>
        <w:tc>
          <w:tcPr>
            <w:tcW w:w="992" w:type="dxa"/>
            <w:vMerge/>
            <w:vAlign w:val="center"/>
          </w:tcPr>
          <w:p w14:paraId="4EC8DE96" w14:textId="77777777" w:rsidR="00A54A8A" w:rsidRPr="00E67914" w:rsidRDefault="00A54A8A">
            <w:pPr>
              <w:jc w:val="center"/>
              <w:rPr>
                <w:rFonts w:ascii="Times New Roman" w:hAnsi="Times New Roman"/>
                <w:spacing w:val="-3"/>
                <w:sz w:val="21"/>
                <w:szCs w:val="21"/>
                <w:lang w:eastAsia="zh-CN"/>
              </w:rPr>
            </w:pPr>
          </w:p>
        </w:tc>
        <w:tc>
          <w:tcPr>
            <w:tcW w:w="1701" w:type="dxa"/>
            <w:vAlign w:val="center"/>
          </w:tcPr>
          <w:p w14:paraId="0B0FF491"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甲烷</w:t>
            </w:r>
          </w:p>
        </w:tc>
        <w:tc>
          <w:tcPr>
            <w:tcW w:w="1418" w:type="dxa"/>
            <w:vAlign w:val="center"/>
          </w:tcPr>
          <w:p w14:paraId="7E260A81" w14:textId="725447B7"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1.43t</w:t>
            </w:r>
            <w:r w:rsidRPr="00E67914">
              <w:rPr>
                <w:rFonts w:ascii="Times New Roman" w:hAnsi="Times New Roman"/>
                <w:spacing w:val="-3"/>
                <w:sz w:val="21"/>
                <w:szCs w:val="21"/>
                <w:lang w:eastAsia="zh-CN"/>
              </w:rPr>
              <w:t>（按井喷</w:t>
            </w:r>
            <w:r w:rsidRPr="00E67914">
              <w:rPr>
                <w:rFonts w:ascii="Times New Roman" w:hAnsi="Times New Roman"/>
                <w:spacing w:val="-3"/>
                <w:sz w:val="21"/>
                <w:szCs w:val="21"/>
                <w:lang w:eastAsia="zh-CN"/>
              </w:rPr>
              <w:t>15min</w:t>
            </w:r>
            <w:r w:rsidRPr="00E67914">
              <w:rPr>
                <w:rFonts w:ascii="Times New Roman" w:hAnsi="Times New Roman"/>
                <w:spacing w:val="-3"/>
                <w:sz w:val="21"/>
                <w:szCs w:val="21"/>
                <w:lang w:eastAsia="zh-CN"/>
              </w:rPr>
              <w:t>计算）</w:t>
            </w:r>
          </w:p>
        </w:tc>
        <w:tc>
          <w:tcPr>
            <w:tcW w:w="3410" w:type="dxa"/>
            <w:vAlign w:val="center"/>
          </w:tcPr>
          <w:p w14:paraId="146E0109"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单井井喷失控</w:t>
            </w:r>
          </w:p>
        </w:tc>
      </w:tr>
      <w:tr w:rsidR="002662E3" w:rsidRPr="00E67914" w14:paraId="36D8930A" w14:textId="77777777">
        <w:trPr>
          <w:jc w:val="center"/>
        </w:trPr>
        <w:tc>
          <w:tcPr>
            <w:tcW w:w="701" w:type="dxa"/>
            <w:vAlign w:val="center"/>
          </w:tcPr>
          <w:p w14:paraId="04D719AF" w14:textId="3CF41497"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6</w:t>
            </w:r>
          </w:p>
        </w:tc>
        <w:tc>
          <w:tcPr>
            <w:tcW w:w="992" w:type="dxa"/>
            <w:vMerge w:val="restart"/>
            <w:vAlign w:val="center"/>
          </w:tcPr>
          <w:p w14:paraId="4B0101E6"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施工期（压裂测试）</w:t>
            </w:r>
          </w:p>
        </w:tc>
        <w:tc>
          <w:tcPr>
            <w:tcW w:w="1701" w:type="dxa"/>
            <w:vMerge w:val="restart"/>
            <w:vAlign w:val="center"/>
          </w:tcPr>
          <w:p w14:paraId="00B2BEA8"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压裂液（含压裂返排液）</w:t>
            </w:r>
          </w:p>
        </w:tc>
        <w:tc>
          <w:tcPr>
            <w:tcW w:w="1418" w:type="dxa"/>
            <w:vAlign w:val="center"/>
          </w:tcPr>
          <w:p w14:paraId="6448EE4C" w14:textId="18AC3166"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1600m</w:t>
            </w:r>
            <w:r w:rsidRPr="00E67914">
              <w:rPr>
                <w:rFonts w:ascii="Times New Roman" w:hAnsi="Times New Roman"/>
                <w:spacing w:val="-3"/>
                <w:sz w:val="21"/>
                <w:szCs w:val="21"/>
                <w:vertAlign w:val="superscript"/>
                <w:lang w:eastAsia="zh-CN"/>
              </w:rPr>
              <w:t>3</w:t>
            </w:r>
          </w:p>
        </w:tc>
        <w:tc>
          <w:tcPr>
            <w:tcW w:w="3410" w:type="dxa"/>
            <w:vAlign w:val="center"/>
          </w:tcPr>
          <w:p w14:paraId="5CEACD73" w14:textId="2B25F346"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井场压裂液储罐</w:t>
            </w:r>
          </w:p>
        </w:tc>
      </w:tr>
      <w:tr w:rsidR="002662E3" w:rsidRPr="00E67914" w14:paraId="58B79ECA" w14:textId="77777777">
        <w:trPr>
          <w:jc w:val="center"/>
        </w:trPr>
        <w:tc>
          <w:tcPr>
            <w:tcW w:w="701" w:type="dxa"/>
            <w:vAlign w:val="center"/>
          </w:tcPr>
          <w:p w14:paraId="2D8DAD71" w14:textId="7AC6AB6F"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7</w:t>
            </w:r>
          </w:p>
        </w:tc>
        <w:tc>
          <w:tcPr>
            <w:tcW w:w="992" w:type="dxa"/>
            <w:vMerge/>
            <w:vAlign w:val="center"/>
          </w:tcPr>
          <w:p w14:paraId="2F43947B" w14:textId="77777777" w:rsidR="00A54A8A" w:rsidRPr="00E67914" w:rsidRDefault="00A54A8A">
            <w:pPr>
              <w:jc w:val="center"/>
              <w:rPr>
                <w:rFonts w:ascii="Times New Roman" w:hAnsi="Times New Roman"/>
                <w:spacing w:val="-3"/>
                <w:sz w:val="21"/>
                <w:szCs w:val="21"/>
                <w:lang w:eastAsia="zh-CN"/>
              </w:rPr>
            </w:pPr>
          </w:p>
        </w:tc>
        <w:tc>
          <w:tcPr>
            <w:tcW w:w="1701" w:type="dxa"/>
            <w:vMerge/>
            <w:vAlign w:val="center"/>
          </w:tcPr>
          <w:p w14:paraId="4EA3F0A6" w14:textId="77777777" w:rsidR="00A54A8A" w:rsidRPr="00E67914" w:rsidRDefault="00A54A8A">
            <w:pPr>
              <w:jc w:val="center"/>
              <w:rPr>
                <w:rFonts w:ascii="Times New Roman" w:hAnsi="Times New Roman"/>
                <w:spacing w:val="-3"/>
                <w:sz w:val="21"/>
                <w:szCs w:val="21"/>
                <w:lang w:eastAsia="zh-CN"/>
              </w:rPr>
            </w:pPr>
          </w:p>
        </w:tc>
        <w:tc>
          <w:tcPr>
            <w:tcW w:w="1418" w:type="dxa"/>
            <w:vAlign w:val="center"/>
          </w:tcPr>
          <w:p w14:paraId="0253F277"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300m</w:t>
            </w:r>
            <w:r w:rsidRPr="00E67914">
              <w:rPr>
                <w:rFonts w:ascii="Times New Roman" w:hAnsi="Times New Roman"/>
                <w:spacing w:val="-3"/>
                <w:sz w:val="21"/>
                <w:szCs w:val="21"/>
                <w:vertAlign w:val="superscript"/>
                <w:lang w:eastAsia="zh-CN"/>
              </w:rPr>
              <w:t>3</w:t>
            </w:r>
          </w:p>
        </w:tc>
        <w:tc>
          <w:tcPr>
            <w:tcW w:w="3410" w:type="dxa"/>
            <w:vAlign w:val="center"/>
          </w:tcPr>
          <w:p w14:paraId="698970C2"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放喷池</w:t>
            </w:r>
          </w:p>
        </w:tc>
      </w:tr>
      <w:tr w:rsidR="00FC2143" w:rsidRPr="00E67914" w14:paraId="69746365" w14:textId="77777777">
        <w:trPr>
          <w:jc w:val="center"/>
        </w:trPr>
        <w:tc>
          <w:tcPr>
            <w:tcW w:w="701" w:type="dxa"/>
            <w:vAlign w:val="center"/>
          </w:tcPr>
          <w:p w14:paraId="0F71F296" w14:textId="77777777" w:rsidR="00FC2143" w:rsidRPr="00E67914" w:rsidRDefault="00FC2143" w:rsidP="00FC2143">
            <w:pPr>
              <w:jc w:val="center"/>
              <w:rPr>
                <w:rFonts w:ascii="Times New Roman" w:hAnsi="Times New Roman"/>
                <w:spacing w:val="-3"/>
                <w:sz w:val="21"/>
                <w:szCs w:val="21"/>
                <w:lang w:eastAsia="zh-CN"/>
              </w:rPr>
            </w:pPr>
          </w:p>
        </w:tc>
        <w:tc>
          <w:tcPr>
            <w:tcW w:w="992" w:type="dxa"/>
            <w:vMerge/>
            <w:vAlign w:val="center"/>
          </w:tcPr>
          <w:p w14:paraId="2174169F" w14:textId="77777777" w:rsidR="00FC2143" w:rsidRPr="00E67914" w:rsidRDefault="00FC2143" w:rsidP="00FC2143">
            <w:pPr>
              <w:jc w:val="center"/>
              <w:rPr>
                <w:rFonts w:ascii="Times New Roman" w:hAnsi="Times New Roman"/>
                <w:spacing w:val="-3"/>
                <w:sz w:val="21"/>
                <w:szCs w:val="21"/>
                <w:lang w:eastAsia="zh-CN"/>
              </w:rPr>
            </w:pPr>
          </w:p>
        </w:tc>
        <w:tc>
          <w:tcPr>
            <w:tcW w:w="1701" w:type="dxa"/>
            <w:vAlign w:val="center"/>
          </w:tcPr>
          <w:p w14:paraId="7D949917" w14:textId="4403BC3F" w:rsidR="00FC2143" w:rsidRPr="00E67914" w:rsidRDefault="00FC2143" w:rsidP="00FC2143">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盐酸</w:t>
            </w:r>
          </w:p>
        </w:tc>
        <w:tc>
          <w:tcPr>
            <w:tcW w:w="1418" w:type="dxa"/>
            <w:vAlign w:val="center"/>
          </w:tcPr>
          <w:p w14:paraId="48C2048F" w14:textId="5E59845E" w:rsidR="00FC2143" w:rsidRPr="00E67914" w:rsidRDefault="00FC2143" w:rsidP="00FC2143">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4.5t</w:t>
            </w:r>
          </w:p>
        </w:tc>
        <w:tc>
          <w:tcPr>
            <w:tcW w:w="3410" w:type="dxa"/>
            <w:vAlign w:val="center"/>
          </w:tcPr>
          <w:p w14:paraId="5635CFDE" w14:textId="2B37EEEE" w:rsidR="00FC2143" w:rsidRPr="00E67914" w:rsidRDefault="00FC2143" w:rsidP="00FC2143">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盐酸罐车</w:t>
            </w:r>
          </w:p>
        </w:tc>
      </w:tr>
      <w:tr w:rsidR="002662E3" w:rsidRPr="00E67914" w14:paraId="77271D87" w14:textId="77777777">
        <w:trPr>
          <w:jc w:val="center"/>
        </w:trPr>
        <w:tc>
          <w:tcPr>
            <w:tcW w:w="701" w:type="dxa"/>
            <w:vAlign w:val="center"/>
          </w:tcPr>
          <w:p w14:paraId="175393D6" w14:textId="32ABC593"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8</w:t>
            </w:r>
          </w:p>
        </w:tc>
        <w:tc>
          <w:tcPr>
            <w:tcW w:w="992" w:type="dxa"/>
            <w:vMerge/>
            <w:vAlign w:val="center"/>
          </w:tcPr>
          <w:p w14:paraId="7C5B3428" w14:textId="77777777" w:rsidR="00A54A8A" w:rsidRPr="00E67914" w:rsidRDefault="00A54A8A">
            <w:pPr>
              <w:jc w:val="center"/>
              <w:rPr>
                <w:rFonts w:ascii="Times New Roman" w:hAnsi="Times New Roman"/>
                <w:spacing w:val="-3"/>
                <w:sz w:val="21"/>
                <w:szCs w:val="21"/>
                <w:lang w:eastAsia="zh-CN"/>
              </w:rPr>
            </w:pPr>
          </w:p>
        </w:tc>
        <w:tc>
          <w:tcPr>
            <w:tcW w:w="1701" w:type="dxa"/>
            <w:vAlign w:val="center"/>
          </w:tcPr>
          <w:p w14:paraId="51ECE44E"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柴油</w:t>
            </w:r>
          </w:p>
        </w:tc>
        <w:tc>
          <w:tcPr>
            <w:tcW w:w="1418" w:type="dxa"/>
            <w:vAlign w:val="center"/>
          </w:tcPr>
          <w:p w14:paraId="07FF7542"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16t</w:t>
            </w:r>
          </w:p>
        </w:tc>
        <w:tc>
          <w:tcPr>
            <w:tcW w:w="3410" w:type="dxa"/>
            <w:vAlign w:val="center"/>
          </w:tcPr>
          <w:p w14:paraId="6E420E2F"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柴油罐区</w:t>
            </w:r>
          </w:p>
        </w:tc>
      </w:tr>
      <w:tr w:rsidR="002662E3" w:rsidRPr="00E67914" w14:paraId="3C8B8ABB" w14:textId="77777777">
        <w:trPr>
          <w:jc w:val="center"/>
        </w:trPr>
        <w:tc>
          <w:tcPr>
            <w:tcW w:w="701" w:type="dxa"/>
            <w:vAlign w:val="center"/>
          </w:tcPr>
          <w:p w14:paraId="32A4B902" w14:textId="02C762CF"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9</w:t>
            </w:r>
          </w:p>
        </w:tc>
        <w:tc>
          <w:tcPr>
            <w:tcW w:w="992" w:type="dxa"/>
            <w:vMerge w:val="restart"/>
            <w:vAlign w:val="center"/>
          </w:tcPr>
          <w:p w14:paraId="745A4A08"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试采期</w:t>
            </w:r>
          </w:p>
        </w:tc>
        <w:tc>
          <w:tcPr>
            <w:tcW w:w="1701" w:type="dxa"/>
            <w:vAlign w:val="center"/>
          </w:tcPr>
          <w:p w14:paraId="46D6F99C"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甲烷</w:t>
            </w:r>
          </w:p>
        </w:tc>
        <w:tc>
          <w:tcPr>
            <w:tcW w:w="1418" w:type="dxa"/>
            <w:vAlign w:val="center"/>
          </w:tcPr>
          <w:p w14:paraId="4032B44E" w14:textId="25F83280" w:rsidR="00A54A8A" w:rsidRPr="00E67914" w:rsidRDefault="000D79A9">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2.38t</w:t>
            </w:r>
          </w:p>
        </w:tc>
        <w:tc>
          <w:tcPr>
            <w:tcW w:w="3410" w:type="dxa"/>
            <w:vAlign w:val="center"/>
          </w:tcPr>
          <w:p w14:paraId="743BFDFB"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井口和站场工艺设备、管线</w:t>
            </w:r>
          </w:p>
        </w:tc>
      </w:tr>
      <w:tr w:rsidR="00772FA7" w:rsidRPr="00E67914" w14:paraId="74F4DDA7" w14:textId="77777777">
        <w:trPr>
          <w:jc w:val="center"/>
        </w:trPr>
        <w:tc>
          <w:tcPr>
            <w:tcW w:w="701" w:type="dxa"/>
            <w:vAlign w:val="center"/>
          </w:tcPr>
          <w:p w14:paraId="16E1CA22" w14:textId="795DD013" w:rsidR="00772FA7"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10</w:t>
            </w:r>
          </w:p>
        </w:tc>
        <w:tc>
          <w:tcPr>
            <w:tcW w:w="992" w:type="dxa"/>
            <w:vMerge/>
            <w:vAlign w:val="center"/>
          </w:tcPr>
          <w:p w14:paraId="6F14438E" w14:textId="77777777" w:rsidR="00772FA7" w:rsidRPr="00E67914" w:rsidRDefault="00772FA7">
            <w:pPr>
              <w:jc w:val="center"/>
              <w:rPr>
                <w:rFonts w:ascii="Times New Roman" w:hAnsi="Times New Roman"/>
                <w:spacing w:val="-3"/>
                <w:sz w:val="21"/>
                <w:szCs w:val="21"/>
                <w:lang w:eastAsia="zh-CN"/>
              </w:rPr>
            </w:pPr>
          </w:p>
        </w:tc>
        <w:tc>
          <w:tcPr>
            <w:tcW w:w="1701" w:type="dxa"/>
            <w:vAlign w:val="center"/>
          </w:tcPr>
          <w:p w14:paraId="77708A2E" w14:textId="70E84707" w:rsidR="00772FA7"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凝析油</w:t>
            </w:r>
          </w:p>
        </w:tc>
        <w:tc>
          <w:tcPr>
            <w:tcW w:w="1418" w:type="dxa"/>
            <w:vAlign w:val="center"/>
          </w:tcPr>
          <w:p w14:paraId="3372009F" w14:textId="2E1D1DF5" w:rsidR="00772FA7"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81.2t</w:t>
            </w:r>
          </w:p>
        </w:tc>
        <w:tc>
          <w:tcPr>
            <w:tcW w:w="3410" w:type="dxa"/>
            <w:vAlign w:val="center"/>
          </w:tcPr>
          <w:p w14:paraId="378E9B9E" w14:textId="2E130876" w:rsidR="00772FA7"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油罐</w:t>
            </w:r>
          </w:p>
        </w:tc>
      </w:tr>
      <w:tr w:rsidR="002662E3" w:rsidRPr="00E67914" w14:paraId="532C63DA" w14:textId="77777777">
        <w:trPr>
          <w:jc w:val="center"/>
        </w:trPr>
        <w:tc>
          <w:tcPr>
            <w:tcW w:w="701" w:type="dxa"/>
            <w:vAlign w:val="center"/>
          </w:tcPr>
          <w:p w14:paraId="50560E36" w14:textId="08E4AFAD" w:rsidR="00A54A8A" w:rsidRPr="00E67914" w:rsidRDefault="00772FA7">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11</w:t>
            </w:r>
          </w:p>
        </w:tc>
        <w:tc>
          <w:tcPr>
            <w:tcW w:w="992" w:type="dxa"/>
            <w:vMerge/>
            <w:vAlign w:val="center"/>
          </w:tcPr>
          <w:p w14:paraId="106C0523" w14:textId="77777777" w:rsidR="00A54A8A" w:rsidRPr="00E67914" w:rsidRDefault="00A54A8A">
            <w:pPr>
              <w:jc w:val="center"/>
              <w:rPr>
                <w:rFonts w:ascii="Times New Roman" w:hAnsi="Times New Roman"/>
                <w:spacing w:val="-3"/>
                <w:sz w:val="21"/>
                <w:szCs w:val="21"/>
                <w:lang w:eastAsia="zh-CN"/>
              </w:rPr>
            </w:pPr>
          </w:p>
        </w:tc>
        <w:tc>
          <w:tcPr>
            <w:tcW w:w="1701" w:type="dxa"/>
            <w:vAlign w:val="center"/>
          </w:tcPr>
          <w:p w14:paraId="1B0DC930" w14:textId="77777777" w:rsidR="00A54A8A" w:rsidRPr="00E67914" w:rsidRDefault="00000000">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气田水</w:t>
            </w:r>
          </w:p>
        </w:tc>
        <w:tc>
          <w:tcPr>
            <w:tcW w:w="1418" w:type="dxa"/>
            <w:vAlign w:val="center"/>
          </w:tcPr>
          <w:p w14:paraId="7AEBF620" w14:textId="2EADBE7D" w:rsidR="00A54A8A" w:rsidRPr="00E67914" w:rsidRDefault="000D79A9">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48m</w:t>
            </w:r>
            <w:r w:rsidRPr="00E67914">
              <w:rPr>
                <w:rFonts w:ascii="Times New Roman" w:hAnsi="Times New Roman"/>
                <w:spacing w:val="-3"/>
                <w:sz w:val="21"/>
                <w:szCs w:val="21"/>
                <w:vertAlign w:val="superscript"/>
                <w:lang w:eastAsia="zh-CN"/>
              </w:rPr>
              <w:t>3</w:t>
            </w:r>
          </w:p>
        </w:tc>
        <w:tc>
          <w:tcPr>
            <w:tcW w:w="3410" w:type="dxa"/>
            <w:vAlign w:val="center"/>
          </w:tcPr>
          <w:p w14:paraId="494E1299" w14:textId="753A65EA" w:rsidR="00A54A8A" w:rsidRPr="00E67914" w:rsidRDefault="00A9536E">
            <w:pPr>
              <w:jc w:val="center"/>
              <w:rPr>
                <w:rFonts w:ascii="Times New Roman" w:hAnsi="Times New Roman"/>
                <w:spacing w:val="-3"/>
                <w:sz w:val="21"/>
                <w:szCs w:val="21"/>
                <w:lang w:eastAsia="zh-CN"/>
              </w:rPr>
            </w:pPr>
            <w:r w:rsidRPr="00E67914">
              <w:rPr>
                <w:rFonts w:ascii="Times New Roman" w:hAnsi="Times New Roman"/>
                <w:spacing w:val="-3"/>
                <w:sz w:val="21"/>
                <w:szCs w:val="21"/>
                <w:lang w:eastAsia="zh-CN"/>
              </w:rPr>
              <w:t>放空分液罐、采出水罐区</w:t>
            </w:r>
          </w:p>
        </w:tc>
      </w:tr>
    </w:tbl>
    <w:p w14:paraId="68FF8E17" w14:textId="77777777" w:rsidR="00A54A8A" w:rsidRPr="00E67914" w:rsidRDefault="00000000">
      <w:pPr>
        <w:pStyle w:val="af"/>
        <w:adjustRightInd w:val="0"/>
        <w:snapToGrid w:val="0"/>
        <w:spacing w:beforeLines="50" w:before="12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本项目涉及的危险物质物理化学特性及毒理性如下：</w:t>
      </w:r>
    </w:p>
    <w:p w14:paraId="2EFAF7C6"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1</w:t>
      </w:r>
      <w:r w:rsidRPr="00E67914">
        <w:rPr>
          <w:rFonts w:ascii="Times New Roman" w:hAnsi="Times New Roman"/>
          <w:b/>
          <w:kern w:val="2"/>
          <w:lang w:eastAsia="zh-CN"/>
        </w:rPr>
        <w:t>）水基泥浆、固井水泥及添加剂危险性分析</w:t>
      </w:r>
    </w:p>
    <w:p w14:paraId="6D004496"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泥浆为水基泥浆，以粘土（主要用膨润土）、水作为基础配浆材料，加入各种有机和无机材料形成的多种成份和相态共存的悬浮液，主要添加成分有聚合物、氯化钠、羧甲基纤维素（</w:t>
      </w:r>
      <w:r w:rsidRPr="00E67914">
        <w:rPr>
          <w:rFonts w:ascii="Times New Roman" w:hAnsi="Times New Roman"/>
          <w:bCs/>
          <w:kern w:val="2"/>
          <w:lang w:eastAsia="zh-CN"/>
        </w:rPr>
        <w:t>CMC</w:t>
      </w:r>
      <w:r w:rsidRPr="00E67914">
        <w:rPr>
          <w:rFonts w:ascii="Times New Roman" w:hAnsi="Times New Roman"/>
          <w:bCs/>
          <w:kern w:val="2"/>
          <w:lang w:eastAsia="zh-CN"/>
        </w:rPr>
        <w:t>）、木质硫酸盐、盐抑制剂以及改性石棉、石墨粉、烧碱等</w:t>
      </w:r>
      <w:r w:rsidRPr="00E67914">
        <w:rPr>
          <w:rFonts w:ascii="Times New Roman" w:hAnsi="Times New Roman"/>
          <w:bCs/>
          <w:kern w:val="2"/>
          <w:lang w:eastAsia="zh-CN"/>
        </w:rPr>
        <w:t>20</w:t>
      </w:r>
      <w:r w:rsidRPr="00E67914">
        <w:rPr>
          <w:rFonts w:ascii="Times New Roman" w:hAnsi="Times New Roman"/>
          <w:bCs/>
          <w:kern w:val="2"/>
          <w:lang w:eastAsia="zh-CN"/>
        </w:rPr>
        <w:t>多种化学品。膨润土的主要成分是蒙脱石。泥浆中影响环境的主要成分是有机物类、无机盐类、烧碱等配浆和加重材料中的杂质，本项目采用的泥浆不含重金属及其他有毒物质，呈碱性。水泥及添加剂主要为微硅水泥及重晶石添加剂，不含易燃、易爆、有毒物质。</w:t>
      </w:r>
    </w:p>
    <w:p w14:paraId="3E5430A5"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2</w:t>
      </w:r>
      <w:r w:rsidRPr="00E67914">
        <w:rPr>
          <w:rFonts w:ascii="Times New Roman" w:hAnsi="Times New Roman"/>
          <w:b/>
          <w:kern w:val="2"/>
          <w:lang w:eastAsia="zh-CN"/>
        </w:rPr>
        <w:t>）钻井废水危险性分析</w:t>
      </w:r>
    </w:p>
    <w:p w14:paraId="3EDAF10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钻井废水主要呈现出</w:t>
      </w:r>
      <w:r w:rsidRPr="00E67914">
        <w:rPr>
          <w:rFonts w:ascii="Times New Roman" w:hAnsi="Times New Roman"/>
          <w:bCs/>
          <w:kern w:val="2"/>
          <w:lang w:eastAsia="zh-CN"/>
        </w:rPr>
        <w:t>pH</w:t>
      </w:r>
      <w:r w:rsidRPr="00E67914">
        <w:rPr>
          <w:rFonts w:ascii="Times New Roman" w:hAnsi="Times New Roman"/>
          <w:bCs/>
          <w:kern w:val="2"/>
          <w:lang w:eastAsia="zh-CN"/>
        </w:rPr>
        <w:t>值偏高，属碱性废水，含较高的</w:t>
      </w:r>
      <w:r w:rsidRPr="00E67914">
        <w:rPr>
          <w:rFonts w:ascii="Times New Roman" w:hAnsi="Times New Roman"/>
          <w:bCs/>
          <w:kern w:val="2"/>
          <w:lang w:eastAsia="zh-CN"/>
        </w:rPr>
        <w:t>COD</w:t>
      </w:r>
      <w:r w:rsidRPr="00E67914">
        <w:rPr>
          <w:rFonts w:ascii="Times New Roman" w:hAnsi="Times New Roman"/>
          <w:bCs/>
          <w:kern w:val="2"/>
          <w:lang w:eastAsia="zh-CN"/>
        </w:rPr>
        <w:t>和色度，具有一定的腐蚀性。</w:t>
      </w:r>
    </w:p>
    <w:p w14:paraId="705E41A8"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3</w:t>
      </w:r>
      <w:r w:rsidRPr="00E67914">
        <w:rPr>
          <w:rFonts w:ascii="Times New Roman" w:hAnsi="Times New Roman"/>
          <w:b/>
          <w:kern w:val="2"/>
          <w:lang w:eastAsia="zh-CN"/>
        </w:rPr>
        <w:t>）压裂液危险性分析</w:t>
      </w:r>
    </w:p>
    <w:p w14:paraId="6B09C43D"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压裂液主要成分为清水，主要添加成分为胶凝剂、缓蚀剂、铁稳剂、助排剂、</w:t>
      </w:r>
      <w:r w:rsidRPr="00E67914">
        <w:rPr>
          <w:rFonts w:ascii="Times New Roman" w:hAnsi="Times New Roman"/>
          <w:bCs/>
          <w:kern w:val="2"/>
          <w:lang w:eastAsia="zh-CN"/>
        </w:rPr>
        <w:t>NaOH</w:t>
      </w:r>
      <w:r w:rsidRPr="00E67914">
        <w:rPr>
          <w:rFonts w:ascii="Times New Roman" w:hAnsi="Times New Roman"/>
          <w:bCs/>
          <w:kern w:val="2"/>
          <w:lang w:eastAsia="zh-CN"/>
        </w:rPr>
        <w:t>、多功能增效剂、瓜胶等。本项目采用的压裂液不含有重金属和其他有毒物质，呈酸性，影响环境的主要成分是有机物类、无机盐类。</w:t>
      </w:r>
    </w:p>
    <w:p w14:paraId="70BA3BE3"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4</w:t>
      </w:r>
      <w:r w:rsidRPr="00E67914">
        <w:rPr>
          <w:rFonts w:ascii="Times New Roman" w:hAnsi="Times New Roman"/>
          <w:b/>
          <w:kern w:val="2"/>
          <w:lang w:eastAsia="zh-CN"/>
        </w:rPr>
        <w:t>）气田水危险性分析</w:t>
      </w:r>
    </w:p>
    <w:p w14:paraId="33986AAD" w14:textId="77A75311" w:rsidR="00A54A8A" w:rsidRPr="00E67914" w:rsidRDefault="002346F6">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lastRenderedPageBreak/>
        <w:t>气田水中的主要污染物成分为石油类、</w:t>
      </w:r>
      <w:r w:rsidRPr="00E67914">
        <w:rPr>
          <w:rFonts w:ascii="Times New Roman" w:hAnsi="Times New Roman"/>
          <w:bCs/>
          <w:kern w:val="2"/>
          <w:lang w:eastAsia="zh-CN"/>
        </w:rPr>
        <w:t>COD</w:t>
      </w:r>
      <w:r w:rsidRPr="00E67914">
        <w:rPr>
          <w:rFonts w:ascii="Times New Roman" w:hAnsi="Times New Roman"/>
          <w:bCs/>
          <w:kern w:val="2"/>
          <w:lang w:eastAsia="zh-CN"/>
        </w:rPr>
        <w:t>、</w:t>
      </w:r>
      <w:r w:rsidRPr="00E67914">
        <w:rPr>
          <w:rFonts w:ascii="Times New Roman" w:hAnsi="Times New Roman"/>
          <w:bCs/>
          <w:kern w:val="2"/>
          <w:lang w:eastAsia="zh-CN"/>
        </w:rPr>
        <w:t>Cl</w:t>
      </w:r>
      <w:r w:rsidRPr="00E67914">
        <w:rPr>
          <w:rFonts w:ascii="Times New Roman" w:hAnsi="Times New Roman"/>
          <w:bCs/>
          <w:kern w:val="2"/>
          <w:vertAlign w:val="superscript"/>
          <w:lang w:eastAsia="zh-CN"/>
        </w:rPr>
        <w:t>-</w:t>
      </w:r>
      <w:r w:rsidRPr="00E67914">
        <w:rPr>
          <w:rFonts w:ascii="Times New Roman" w:hAnsi="Times New Roman"/>
          <w:bCs/>
          <w:kern w:val="2"/>
          <w:lang w:eastAsia="zh-CN"/>
        </w:rPr>
        <w:t>。结合工程项目的实际情况，气田水泄漏后会对地表水、地下水和土壤产生一定危害。</w:t>
      </w:r>
    </w:p>
    <w:p w14:paraId="79414862"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5</w:t>
      </w:r>
      <w:r w:rsidRPr="00E67914">
        <w:rPr>
          <w:rFonts w:ascii="Times New Roman" w:hAnsi="Times New Roman"/>
          <w:b/>
          <w:kern w:val="2"/>
          <w:lang w:eastAsia="zh-CN"/>
        </w:rPr>
        <w:t>）甲烷危险性分析</w:t>
      </w:r>
    </w:p>
    <w:p w14:paraId="5882DA2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从地层中试采出的天然气属易燃、易爆物质，极易在通常环境中引起燃烧和爆炸，主要烃组份的甲烷属于《化学品分类和危险性公示通则》</w:t>
      </w:r>
      <w:r w:rsidRPr="00E67914">
        <w:rPr>
          <w:rFonts w:ascii="Times New Roman" w:hAnsi="Times New Roman"/>
          <w:bCs/>
          <w:kern w:val="2"/>
          <w:lang w:eastAsia="zh-CN"/>
        </w:rPr>
        <w:t>(GB13690-2009)</w:t>
      </w:r>
      <w:r w:rsidRPr="00E67914">
        <w:rPr>
          <w:rFonts w:ascii="Times New Roman" w:hAnsi="Times New Roman"/>
          <w:bCs/>
          <w:kern w:val="2"/>
          <w:lang w:eastAsia="zh-CN"/>
        </w:rPr>
        <w:t>中的气相爆炸物质，泄漏在环境中与空气混合后易达到爆炸极限，此时若遇火或静电可能引起燃烧和爆炸。其爆炸极限范围为</w:t>
      </w:r>
      <w:r w:rsidRPr="00E67914">
        <w:rPr>
          <w:rFonts w:ascii="Times New Roman" w:hAnsi="Times New Roman"/>
          <w:bCs/>
          <w:kern w:val="2"/>
          <w:lang w:eastAsia="zh-CN"/>
        </w:rPr>
        <w:t>5%</w:t>
      </w:r>
      <w:r w:rsidRPr="00E67914">
        <w:rPr>
          <w:rFonts w:ascii="Times New Roman" w:hAnsi="Times New Roman"/>
          <w:bCs/>
          <w:kern w:val="2"/>
          <w:lang w:eastAsia="zh-CN"/>
        </w:rPr>
        <w:t>～</w:t>
      </w:r>
      <w:r w:rsidRPr="00E67914">
        <w:rPr>
          <w:rFonts w:ascii="Times New Roman" w:hAnsi="Times New Roman"/>
          <w:bCs/>
          <w:kern w:val="2"/>
          <w:lang w:eastAsia="zh-CN"/>
        </w:rPr>
        <w:t>15%</w:t>
      </w:r>
      <w:r w:rsidRPr="00E67914">
        <w:rPr>
          <w:rFonts w:ascii="Times New Roman" w:hAnsi="Times New Roman"/>
          <w:bCs/>
          <w:kern w:val="2"/>
          <w:lang w:eastAsia="zh-CN"/>
        </w:rPr>
        <w:t>（体积比）。当空气中甲烷浓度达到</w:t>
      </w:r>
      <w:r w:rsidRPr="00E67914">
        <w:rPr>
          <w:rFonts w:ascii="Times New Roman" w:hAnsi="Times New Roman"/>
          <w:bCs/>
          <w:kern w:val="2"/>
          <w:lang w:eastAsia="zh-CN"/>
        </w:rPr>
        <w:t>10%</w:t>
      </w:r>
      <w:r w:rsidRPr="00E67914">
        <w:rPr>
          <w:rFonts w:ascii="Times New Roman" w:hAnsi="Times New Roman"/>
          <w:bCs/>
          <w:kern w:val="2"/>
          <w:lang w:eastAsia="zh-CN"/>
        </w:rPr>
        <w:t>时，就使人感到氧气不足；当空气中甲烷浓度达</w:t>
      </w:r>
      <w:r w:rsidRPr="00E67914">
        <w:rPr>
          <w:rFonts w:ascii="Times New Roman" w:hAnsi="Times New Roman"/>
          <w:bCs/>
          <w:kern w:val="2"/>
          <w:lang w:eastAsia="zh-CN"/>
        </w:rPr>
        <w:t>25%</w:t>
      </w:r>
      <w:r w:rsidRPr="00E67914">
        <w:rPr>
          <w:rFonts w:ascii="Times New Roman" w:hAnsi="Times New Roman"/>
          <w:bCs/>
          <w:kern w:val="2"/>
          <w:lang w:eastAsia="zh-CN"/>
        </w:rPr>
        <w:t>～</w:t>
      </w:r>
      <w:r w:rsidRPr="00E67914">
        <w:rPr>
          <w:rFonts w:ascii="Times New Roman" w:hAnsi="Times New Roman"/>
          <w:bCs/>
          <w:kern w:val="2"/>
          <w:lang w:eastAsia="zh-CN"/>
        </w:rPr>
        <w:t>30%</w:t>
      </w:r>
      <w:r w:rsidRPr="00E67914">
        <w:rPr>
          <w:rFonts w:ascii="Times New Roman" w:hAnsi="Times New Roman"/>
          <w:bCs/>
          <w:kern w:val="2"/>
          <w:lang w:eastAsia="zh-CN"/>
        </w:rPr>
        <w:t>时，可引起头痛、头晕、注意力不集中，呼吸和心跳加速、精细动作障碍等；当空气中甲烷浓度达</w:t>
      </w:r>
      <w:r w:rsidRPr="00E67914">
        <w:rPr>
          <w:rFonts w:ascii="Times New Roman" w:hAnsi="Times New Roman"/>
          <w:bCs/>
          <w:kern w:val="2"/>
          <w:lang w:eastAsia="zh-CN"/>
        </w:rPr>
        <w:t>30%</w:t>
      </w:r>
      <w:r w:rsidRPr="00E67914">
        <w:rPr>
          <w:rFonts w:ascii="Times New Roman" w:hAnsi="Times New Roman"/>
          <w:bCs/>
          <w:kern w:val="2"/>
          <w:lang w:eastAsia="zh-CN"/>
        </w:rPr>
        <w:t>以上时可能会因缺氧窒息、昏迷等。《石油天然气工程设计防火规范》</w:t>
      </w:r>
      <w:r w:rsidRPr="00E67914">
        <w:rPr>
          <w:rFonts w:ascii="Times New Roman" w:hAnsi="Times New Roman"/>
          <w:bCs/>
          <w:kern w:val="2"/>
          <w:lang w:eastAsia="zh-CN"/>
        </w:rPr>
        <w:t>(GB50183-2015)</w:t>
      </w:r>
      <w:r w:rsidRPr="00E67914">
        <w:rPr>
          <w:rFonts w:ascii="Times New Roman" w:hAnsi="Times New Roman"/>
          <w:bCs/>
          <w:kern w:val="2"/>
          <w:lang w:eastAsia="zh-CN"/>
        </w:rPr>
        <w:t>将使用或产生甲烷</w:t>
      </w:r>
      <w:r w:rsidRPr="00E67914">
        <w:rPr>
          <w:rFonts w:ascii="Times New Roman" w:hAnsi="Times New Roman"/>
          <w:bCs/>
          <w:kern w:val="2"/>
          <w:lang w:eastAsia="zh-CN"/>
        </w:rPr>
        <w:t>(CH</w:t>
      </w:r>
      <w:r w:rsidRPr="00E67914">
        <w:rPr>
          <w:rFonts w:ascii="Times New Roman" w:hAnsi="Times New Roman"/>
          <w:bCs/>
          <w:kern w:val="2"/>
          <w:vertAlign w:val="subscript"/>
          <w:lang w:eastAsia="zh-CN"/>
        </w:rPr>
        <w:t>4</w:t>
      </w:r>
      <w:r w:rsidRPr="00E67914">
        <w:rPr>
          <w:rFonts w:ascii="Times New Roman" w:hAnsi="Times New Roman"/>
          <w:bCs/>
          <w:kern w:val="2"/>
          <w:lang w:eastAsia="zh-CN"/>
        </w:rPr>
        <w:t>)</w:t>
      </w:r>
      <w:r w:rsidRPr="00E67914">
        <w:rPr>
          <w:rFonts w:ascii="Times New Roman" w:hAnsi="Times New Roman"/>
          <w:bCs/>
          <w:kern w:val="2"/>
          <w:lang w:eastAsia="zh-CN"/>
        </w:rPr>
        <w:t>的生产列为甲类火灾危险性生产。甲烷的危险、有害特性详见表</w:t>
      </w:r>
      <w:r w:rsidRPr="00E67914">
        <w:rPr>
          <w:rFonts w:ascii="Times New Roman" w:hAnsi="Times New Roman"/>
          <w:bCs/>
          <w:kern w:val="2"/>
          <w:lang w:eastAsia="zh-CN"/>
        </w:rPr>
        <w:t>6.1-2</w:t>
      </w:r>
      <w:r w:rsidRPr="00E67914">
        <w:rPr>
          <w:rFonts w:ascii="Times New Roman" w:hAnsi="Times New Roman"/>
          <w:bCs/>
          <w:kern w:val="2"/>
          <w:lang w:eastAsia="zh-CN"/>
        </w:rPr>
        <w:t>。</w:t>
      </w:r>
    </w:p>
    <w:p w14:paraId="2EF6E7A6"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6.1-2  </w:t>
      </w:r>
      <w:r w:rsidRPr="00E67914">
        <w:rPr>
          <w:rFonts w:ascii="Times New Roman" w:eastAsia="黑体" w:hAnsi="Times New Roman"/>
          <w:sz w:val="21"/>
          <w:szCs w:val="21"/>
          <w:lang w:eastAsia="zh-CN"/>
        </w:rPr>
        <w:t>甲烷危险、有害特性表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91"/>
        <w:gridCol w:w="1581"/>
        <w:gridCol w:w="1702"/>
        <w:gridCol w:w="1848"/>
        <w:gridCol w:w="97"/>
        <w:gridCol w:w="2203"/>
      </w:tblGrid>
      <w:tr w:rsidR="002662E3" w:rsidRPr="00E67914" w14:paraId="6F53E43A" w14:textId="77777777" w:rsidTr="000D79A9">
        <w:trPr>
          <w:cantSplit/>
          <w:jc w:val="center"/>
        </w:trPr>
        <w:tc>
          <w:tcPr>
            <w:tcW w:w="791" w:type="dxa"/>
            <w:vMerge w:val="restart"/>
            <w:vAlign w:val="center"/>
          </w:tcPr>
          <w:p w14:paraId="5121A5F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标识</w:t>
            </w:r>
          </w:p>
        </w:tc>
        <w:tc>
          <w:tcPr>
            <w:tcW w:w="1581" w:type="dxa"/>
            <w:vAlign w:val="center"/>
          </w:tcPr>
          <w:p w14:paraId="12E8ECB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中文名</w:t>
            </w:r>
          </w:p>
        </w:tc>
        <w:tc>
          <w:tcPr>
            <w:tcW w:w="1702" w:type="dxa"/>
            <w:vAlign w:val="center"/>
          </w:tcPr>
          <w:p w14:paraId="0CCD14B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甲烷</w:t>
            </w:r>
          </w:p>
        </w:tc>
        <w:tc>
          <w:tcPr>
            <w:tcW w:w="1848" w:type="dxa"/>
            <w:vAlign w:val="center"/>
          </w:tcPr>
          <w:p w14:paraId="32A0CF8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英文名</w:t>
            </w:r>
          </w:p>
        </w:tc>
        <w:tc>
          <w:tcPr>
            <w:tcW w:w="2300" w:type="dxa"/>
            <w:gridSpan w:val="2"/>
            <w:vAlign w:val="center"/>
          </w:tcPr>
          <w:p w14:paraId="5E4745F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Methane</w:t>
            </w:r>
          </w:p>
        </w:tc>
      </w:tr>
      <w:tr w:rsidR="002662E3" w:rsidRPr="00E67914" w14:paraId="6255CA32" w14:textId="77777777" w:rsidTr="000D79A9">
        <w:trPr>
          <w:cantSplit/>
          <w:jc w:val="center"/>
        </w:trPr>
        <w:tc>
          <w:tcPr>
            <w:tcW w:w="791" w:type="dxa"/>
            <w:vMerge/>
            <w:vAlign w:val="center"/>
          </w:tcPr>
          <w:p w14:paraId="00677A90" w14:textId="77777777" w:rsidR="00A54A8A" w:rsidRPr="00E67914" w:rsidRDefault="00A54A8A">
            <w:pPr>
              <w:jc w:val="center"/>
              <w:rPr>
                <w:rFonts w:ascii="Times New Roman" w:hAnsi="Times New Roman"/>
                <w:sz w:val="21"/>
                <w:szCs w:val="21"/>
              </w:rPr>
            </w:pPr>
          </w:p>
        </w:tc>
        <w:tc>
          <w:tcPr>
            <w:tcW w:w="1581" w:type="dxa"/>
            <w:vAlign w:val="center"/>
          </w:tcPr>
          <w:p w14:paraId="1CD5929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化学式</w:t>
            </w:r>
          </w:p>
        </w:tc>
        <w:tc>
          <w:tcPr>
            <w:tcW w:w="1702" w:type="dxa"/>
            <w:vAlign w:val="center"/>
          </w:tcPr>
          <w:p w14:paraId="4865B87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CH</w:t>
            </w:r>
            <w:r w:rsidRPr="00E67914">
              <w:rPr>
                <w:rFonts w:ascii="Times New Roman" w:hAnsi="Times New Roman"/>
                <w:sz w:val="21"/>
                <w:szCs w:val="21"/>
                <w:vertAlign w:val="subscript"/>
              </w:rPr>
              <w:t>4</w:t>
            </w:r>
          </w:p>
        </w:tc>
        <w:tc>
          <w:tcPr>
            <w:tcW w:w="1848" w:type="dxa"/>
            <w:vAlign w:val="center"/>
          </w:tcPr>
          <w:p w14:paraId="0162C75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分子量</w:t>
            </w:r>
          </w:p>
        </w:tc>
        <w:tc>
          <w:tcPr>
            <w:tcW w:w="2300" w:type="dxa"/>
            <w:gridSpan w:val="2"/>
            <w:vAlign w:val="center"/>
          </w:tcPr>
          <w:p w14:paraId="4586E04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16.04</w:t>
            </w:r>
          </w:p>
        </w:tc>
      </w:tr>
      <w:tr w:rsidR="002662E3" w:rsidRPr="00E67914" w14:paraId="7EB311F7" w14:textId="77777777" w:rsidTr="000D79A9">
        <w:trPr>
          <w:cantSplit/>
          <w:jc w:val="center"/>
        </w:trPr>
        <w:tc>
          <w:tcPr>
            <w:tcW w:w="791" w:type="dxa"/>
            <w:vMerge/>
            <w:vAlign w:val="center"/>
          </w:tcPr>
          <w:p w14:paraId="103AC864" w14:textId="77777777" w:rsidR="00A54A8A" w:rsidRPr="00E67914" w:rsidRDefault="00A54A8A">
            <w:pPr>
              <w:jc w:val="center"/>
              <w:rPr>
                <w:rFonts w:ascii="Times New Roman" w:hAnsi="Times New Roman"/>
                <w:sz w:val="21"/>
                <w:szCs w:val="21"/>
              </w:rPr>
            </w:pPr>
          </w:p>
        </w:tc>
        <w:tc>
          <w:tcPr>
            <w:tcW w:w="1581" w:type="dxa"/>
            <w:vAlign w:val="center"/>
          </w:tcPr>
          <w:p w14:paraId="3A26713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ICSC</w:t>
            </w:r>
            <w:r w:rsidRPr="00E67914">
              <w:rPr>
                <w:rFonts w:ascii="Times New Roman" w:hAnsi="Times New Roman"/>
                <w:sz w:val="21"/>
                <w:szCs w:val="21"/>
              </w:rPr>
              <w:t>编号</w:t>
            </w:r>
          </w:p>
        </w:tc>
        <w:tc>
          <w:tcPr>
            <w:tcW w:w="1702" w:type="dxa"/>
            <w:vAlign w:val="center"/>
          </w:tcPr>
          <w:p w14:paraId="6FD1BFA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0291</w:t>
            </w:r>
          </w:p>
        </w:tc>
        <w:tc>
          <w:tcPr>
            <w:tcW w:w="1848" w:type="dxa"/>
            <w:vAlign w:val="center"/>
          </w:tcPr>
          <w:p w14:paraId="5CB2CC8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IMDG</w:t>
            </w:r>
            <w:r w:rsidRPr="00E67914">
              <w:rPr>
                <w:rFonts w:ascii="Times New Roman" w:hAnsi="Times New Roman"/>
                <w:sz w:val="21"/>
                <w:szCs w:val="21"/>
              </w:rPr>
              <w:t>规则页码</w:t>
            </w:r>
          </w:p>
        </w:tc>
        <w:tc>
          <w:tcPr>
            <w:tcW w:w="2300" w:type="dxa"/>
            <w:gridSpan w:val="2"/>
            <w:vAlign w:val="center"/>
          </w:tcPr>
          <w:p w14:paraId="525E175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2156</w:t>
            </w:r>
          </w:p>
        </w:tc>
      </w:tr>
      <w:tr w:rsidR="002662E3" w:rsidRPr="00E67914" w14:paraId="6FA58CC7" w14:textId="77777777" w:rsidTr="000D79A9">
        <w:trPr>
          <w:cantSplit/>
          <w:jc w:val="center"/>
        </w:trPr>
        <w:tc>
          <w:tcPr>
            <w:tcW w:w="791" w:type="dxa"/>
            <w:vMerge/>
            <w:vAlign w:val="center"/>
          </w:tcPr>
          <w:p w14:paraId="36C52000" w14:textId="77777777" w:rsidR="00A54A8A" w:rsidRPr="00E67914" w:rsidRDefault="00A54A8A">
            <w:pPr>
              <w:jc w:val="center"/>
              <w:rPr>
                <w:rFonts w:ascii="Times New Roman" w:hAnsi="Times New Roman"/>
                <w:sz w:val="21"/>
                <w:szCs w:val="21"/>
              </w:rPr>
            </w:pPr>
          </w:p>
        </w:tc>
        <w:tc>
          <w:tcPr>
            <w:tcW w:w="1581" w:type="dxa"/>
            <w:vAlign w:val="center"/>
          </w:tcPr>
          <w:p w14:paraId="43696FC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CAS</w:t>
            </w:r>
            <w:r w:rsidRPr="00E67914">
              <w:rPr>
                <w:rFonts w:ascii="Times New Roman" w:hAnsi="Times New Roman"/>
                <w:sz w:val="21"/>
                <w:szCs w:val="21"/>
              </w:rPr>
              <w:t>号</w:t>
            </w:r>
          </w:p>
        </w:tc>
        <w:tc>
          <w:tcPr>
            <w:tcW w:w="1702" w:type="dxa"/>
            <w:vAlign w:val="center"/>
          </w:tcPr>
          <w:p w14:paraId="3EF2D01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74-82-8</w:t>
            </w:r>
          </w:p>
        </w:tc>
        <w:tc>
          <w:tcPr>
            <w:tcW w:w="1848" w:type="dxa"/>
            <w:vAlign w:val="center"/>
          </w:tcPr>
          <w:p w14:paraId="0426845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RTECS</w:t>
            </w:r>
            <w:r w:rsidRPr="00E67914">
              <w:rPr>
                <w:rFonts w:ascii="Times New Roman" w:hAnsi="Times New Roman"/>
                <w:sz w:val="21"/>
                <w:szCs w:val="21"/>
              </w:rPr>
              <w:t>号</w:t>
            </w:r>
          </w:p>
        </w:tc>
        <w:tc>
          <w:tcPr>
            <w:tcW w:w="2300" w:type="dxa"/>
            <w:gridSpan w:val="2"/>
            <w:vAlign w:val="center"/>
          </w:tcPr>
          <w:p w14:paraId="54AF99A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PA1490000</w:t>
            </w:r>
          </w:p>
        </w:tc>
      </w:tr>
      <w:tr w:rsidR="002662E3" w:rsidRPr="00E67914" w14:paraId="2557A225" w14:textId="77777777" w:rsidTr="000D79A9">
        <w:trPr>
          <w:cantSplit/>
          <w:jc w:val="center"/>
        </w:trPr>
        <w:tc>
          <w:tcPr>
            <w:tcW w:w="791" w:type="dxa"/>
            <w:vMerge/>
            <w:vAlign w:val="center"/>
          </w:tcPr>
          <w:p w14:paraId="3D169F96" w14:textId="77777777" w:rsidR="00A54A8A" w:rsidRPr="00E67914" w:rsidRDefault="00A54A8A">
            <w:pPr>
              <w:jc w:val="center"/>
              <w:rPr>
                <w:rFonts w:ascii="Times New Roman" w:hAnsi="Times New Roman"/>
                <w:sz w:val="21"/>
                <w:szCs w:val="21"/>
              </w:rPr>
            </w:pPr>
          </w:p>
        </w:tc>
        <w:tc>
          <w:tcPr>
            <w:tcW w:w="1581" w:type="dxa"/>
            <w:vAlign w:val="center"/>
          </w:tcPr>
          <w:p w14:paraId="27F5098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UN</w:t>
            </w:r>
            <w:r w:rsidRPr="00E67914">
              <w:rPr>
                <w:rFonts w:ascii="Times New Roman" w:hAnsi="Times New Roman"/>
                <w:sz w:val="21"/>
                <w:szCs w:val="21"/>
              </w:rPr>
              <w:t>编号</w:t>
            </w:r>
          </w:p>
        </w:tc>
        <w:tc>
          <w:tcPr>
            <w:tcW w:w="1702" w:type="dxa"/>
            <w:vAlign w:val="center"/>
          </w:tcPr>
          <w:p w14:paraId="7E7C015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1971</w:t>
            </w:r>
          </w:p>
        </w:tc>
        <w:tc>
          <w:tcPr>
            <w:tcW w:w="1848" w:type="dxa"/>
            <w:vAlign w:val="center"/>
          </w:tcPr>
          <w:p w14:paraId="764C83B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危险货物编号</w:t>
            </w:r>
          </w:p>
        </w:tc>
        <w:tc>
          <w:tcPr>
            <w:tcW w:w="2300" w:type="dxa"/>
            <w:gridSpan w:val="2"/>
            <w:vAlign w:val="center"/>
          </w:tcPr>
          <w:p w14:paraId="7066730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21007</w:t>
            </w:r>
          </w:p>
        </w:tc>
      </w:tr>
      <w:tr w:rsidR="002662E3" w:rsidRPr="00E67914" w14:paraId="646A428D" w14:textId="77777777" w:rsidTr="000D79A9">
        <w:trPr>
          <w:cantSplit/>
          <w:jc w:val="center"/>
        </w:trPr>
        <w:tc>
          <w:tcPr>
            <w:tcW w:w="791" w:type="dxa"/>
            <w:vMerge/>
            <w:vAlign w:val="center"/>
          </w:tcPr>
          <w:p w14:paraId="2DF42DC0" w14:textId="77777777" w:rsidR="00A54A8A" w:rsidRPr="00E67914" w:rsidRDefault="00A54A8A">
            <w:pPr>
              <w:jc w:val="center"/>
              <w:rPr>
                <w:rFonts w:ascii="Times New Roman" w:hAnsi="Times New Roman"/>
                <w:sz w:val="21"/>
                <w:szCs w:val="21"/>
              </w:rPr>
            </w:pPr>
          </w:p>
        </w:tc>
        <w:tc>
          <w:tcPr>
            <w:tcW w:w="1581" w:type="dxa"/>
            <w:vAlign w:val="center"/>
          </w:tcPr>
          <w:p w14:paraId="0B8BDD1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EC</w:t>
            </w:r>
            <w:r w:rsidRPr="00E67914">
              <w:rPr>
                <w:rFonts w:ascii="Times New Roman" w:hAnsi="Times New Roman"/>
                <w:sz w:val="21"/>
                <w:szCs w:val="21"/>
              </w:rPr>
              <w:t>编号</w:t>
            </w:r>
          </w:p>
        </w:tc>
        <w:tc>
          <w:tcPr>
            <w:tcW w:w="1702" w:type="dxa"/>
            <w:vAlign w:val="center"/>
          </w:tcPr>
          <w:p w14:paraId="0FAD99F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601-001-00-4</w:t>
            </w:r>
          </w:p>
        </w:tc>
        <w:tc>
          <w:tcPr>
            <w:tcW w:w="1848" w:type="dxa"/>
            <w:vAlign w:val="center"/>
          </w:tcPr>
          <w:p w14:paraId="11F96890" w14:textId="77777777" w:rsidR="00A54A8A" w:rsidRPr="00E67914" w:rsidRDefault="00A54A8A">
            <w:pPr>
              <w:jc w:val="center"/>
              <w:rPr>
                <w:rFonts w:ascii="Times New Roman" w:hAnsi="Times New Roman"/>
                <w:sz w:val="21"/>
                <w:szCs w:val="21"/>
              </w:rPr>
            </w:pPr>
          </w:p>
        </w:tc>
        <w:tc>
          <w:tcPr>
            <w:tcW w:w="2300" w:type="dxa"/>
            <w:gridSpan w:val="2"/>
            <w:vAlign w:val="center"/>
          </w:tcPr>
          <w:p w14:paraId="282D1423" w14:textId="77777777" w:rsidR="00A54A8A" w:rsidRPr="00E67914" w:rsidRDefault="00A54A8A">
            <w:pPr>
              <w:jc w:val="center"/>
              <w:rPr>
                <w:rFonts w:ascii="Times New Roman" w:hAnsi="Times New Roman"/>
                <w:sz w:val="21"/>
                <w:szCs w:val="21"/>
              </w:rPr>
            </w:pPr>
          </w:p>
        </w:tc>
      </w:tr>
      <w:tr w:rsidR="002662E3" w:rsidRPr="00E67914" w14:paraId="43B33BEE" w14:textId="77777777" w:rsidTr="000D79A9">
        <w:trPr>
          <w:cantSplit/>
          <w:jc w:val="center"/>
        </w:trPr>
        <w:tc>
          <w:tcPr>
            <w:tcW w:w="791" w:type="dxa"/>
            <w:vMerge w:val="restart"/>
            <w:vAlign w:val="center"/>
          </w:tcPr>
          <w:p w14:paraId="5B88122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理化</w:t>
            </w:r>
          </w:p>
          <w:p w14:paraId="0E2C864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性质</w:t>
            </w:r>
          </w:p>
        </w:tc>
        <w:tc>
          <w:tcPr>
            <w:tcW w:w="1581" w:type="dxa"/>
            <w:vAlign w:val="center"/>
          </w:tcPr>
          <w:p w14:paraId="5D29440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外观与性状</w:t>
            </w:r>
          </w:p>
        </w:tc>
        <w:tc>
          <w:tcPr>
            <w:tcW w:w="5850" w:type="dxa"/>
            <w:gridSpan w:val="4"/>
            <w:vAlign w:val="center"/>
          </w:tcPr>
          <w:p w14:paraId="1323139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无色无臭气体。</w:t>
            </w:r>
          </w:p>
        </w:tc>
      </w:tr>
      <w:tr w:rsidR="002662E3" w:rsidRPr="00E67914" w14:paraId="44ADAD0B" w14:textId="77777777" w:rsidTr="000D79A9">
        <w:trPr>
          <w:cantSplit/>
          <w:jc w:val="center"/>
        </w:trPr>
        <w:tc>
          <w:tcPr>
            <w:tcW w:w="791" w:type="dxa"/>
            <w:vMerge/>
            <w:vAlign w:val="center"/>
          </w:tcPr>
          <w:p w14:paraId="4E0EFC84" w14:textId="77777777" w:rsidR="00A54A8A" w:rsidRPr="00E67914" w:rsidRDefault="00A54A8A">
            <w:pPr>
              <w:jc w:val="center"/>
              <w:rPr>
                <w:rFonts w:ascii="Times New Roman" w:hAnsi="Times New Roman"/>
                <w:sz w:val="21"/>
                <w:szCs w:val="21"/>
              </w:rPr>
            </w:pPr>
          </w:p>
        </w:tc>
        <w:tc>
          <w:tcPr>
            <w:tcW w:w="1581" w:type="dxa"/>
            <w:vAlign w:val="center"/>
          </w:tcPr>
          <w:p w14:paraId="2FFA32B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溶解性</w:t>
            </w:r>
          </w:p>
        </w:tc>
        <w:tc>
          <w:tcPr>
            <w:tcW w:w="5850" w:type="dxa"/>
            <w:gridSpan w:val="4"/>
            <w:vAlign w:val="center"/>
          </w:tcPr>
          <w:p w14:paraId="2C794DE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微溶于水，溶于乙醇、乙醚</w:t>
            </w:r>
            <w:r w:rsidRPr="00E67914">
              <w:rPr>
                <w:rFonts w:ascii="Times New Roman" w:hAnsi="Times New Roman"/>
                <w:sz w:val="21"/>
                <w:szCs w:val="21"/>
              </w:rPr>
              <w:t>.</w:t>
            </w:r>
          </w:p>
        </w:tc>
      </w:tr>
      <w:tr w:rsidR="002662E3" w:rsidRPr="00E67914" w14:paraId="6A46FB43" w14:textId="77777777" w:rsidTr="000D79A9">
        <w:trPr>
          <w:cantSplit/>
          <w:jc w:val="center"/>
        </w:trPr>
        <w:tc>
          <w:tcPr>
            <w:tcW w:w="791" w:type="dxa"/>
            <w:vMerge/>
            <w:vAlign w:val="center"/>
          </w:tcPr>
          <w:p w14:paraId="55D465F2" w14:textId="77777777" w:rsidR="00A54A8A" w:rsidRPr="00E67914" w:rsidRDefault="00A54A8A">
            <w:pPr>
              <w:jc w:val="center"/>
              <w:rPr>
                <w:rFonts w:ascii="Times New Roman" w:hAnsi="Times New Roman"/>
                <w:sz w:val="21"/>
                <w:szCs w:val="21"/>
              </w:rPr>
            </w:pPr>
          </w:p>
        </w:tc>
        <w:tc>
          <w:tcPr>
            <w:tcW w:w="1581" w:type="dxa"/>
            <w:vAlign w:val="center"/>
          </w:tcPr>
          <w:p w14:paraId="5057E4C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主要用途</w:t>
            </w:r>
          </w:p>
        </w:tc>
        <w:tc>
          <w:tcPr>
            <w:tcW w:w="5850" w:type="dxa"/>
            <w:gridSpan w:val="4"/>
            <w:vAlign w:val="center"/>
          </w:tcPr>
          <w:p w14:paraId="56F0ADC3"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用作燃料和用于炭黑、氢、乙炔、甲醛等的制造。</w:t>
            </w:r>
          </w:p>
        </w:tc>
      </w:tr>
      <w:tr w:rsidR="002662E3" w:rsidRPr="00E67914" w14:paraId="467F8C84" w14:textId="77777777" w:rsidTr="000D79A9">
        <w:trPr>
          <w:cantSplit/>
          <w:jc w:val="center"/>
        </w:trPr>
        <w:tc>
          <w:tcPr>
            <w:tcW w:w="791" w:type="dxa"/>
            <w:vMerge/>
            <w:vAlign w:val="center"/>
          </w:tcPr>
          <w:p w14:paraId="402228FC" w14:textId="77777777" w:rsidR="00A54A8A" w:rsidRPr="00E67914" w:rsidRDefault="00A54A8A">
            <w:pPr>
              <w:jc w:val="center"/>
              <w:rPr>
                <w:rFonts w:ascii="Times New Roman" w:hAnsi="Times New Roman"/>
                <w:sz w:val="21"/>
                <w:szCs w:val="21"/>
                <w:lang w:eastAsia="zh-CN"/>
              </w:rPr>
            </w:pPr>
          </w:p>
        </w:tc>
        <w:tc>
          <w:tcPr>
            <w:tcW w:w="1581" w:type="dxa"/>
            <w:vAlign w:val="center"/>
          </w:tcPr>
          <w:p w14:paraId="798B17B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熔点</w:t>
            </w:r>
            <w:r w:rsidRPr="00E67914">
              <w:rPr>
                <w:rFonts w:ascii="Times New Roman" w:hAnsi="Times New Roman"/>
                <w:sz w:val="21"/>
                <w:szCs w:val="21"/>
              </w:rPr>
              <w:t>(℃)</w:t>
            </w:r>
          </w:p>
        </w:tc>
        <w:tc>
          <w:tcPr>
            <w:tcW w:w="1702" w:type="dxa"/>
            <w:vAlign w:val="center"/>
          </w:tcPr>
          <w:p w14:paraId="681AF02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-182.5</w:t>
            </w:r>
          </w:p>
        </w:tc>
        <w:tc>
          <w:tcPr>
            <w:tcW w:w="1945" w:type="dxa"/>
            <w:gridSpan w:val="2"/>
            <w:vAlign w:val="center"/>
          </w:tcPr>
          <w:p w14:paraId="6C7CB68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相对密度</w:t>
            </w:r>
            <w:r w:rsidRPr="00E67914">
              <w:rPr>
                <w:rFonts w:ascii="Times New Roman" w:hAnsi="Times New Roman"/>
                <w:sz w:val="21"/>
                <w:szCs w:val="21"/>
              </w:rPr>
              <w:t>(</w:t>
            </w:r>
            <w:r w:rsidRPr="00E67914">
              <w:rPr>
                <w:rFonts w:ascii="Times New Roman" w:hAnsi="Times New Roman"/>
                <w:sz w:val="21"/>
                <w:szCs w:val="21"/>
              </w:rPr>
              <w:t>水</w:t>
            </w:r>
            <w:r w:rsidRPr="00E67914">
              <w:rPr>
                <w:rFonts w:ascii="Times New Roman" w:hAnsi="Times New Roman"/>
                <w:sz w:val="21"/>
                <w:szCs w:val="21"/>
              </w:rPr>
              <w:t>=1)</w:t>
            </w:r>
          </w:p>
        </w:tc>
        <w:tc>
          <w:tcPr>
            <w:tcW w:w="2203" w:type="dxa"/>
            <w:vAlign w:val="center"/>
          </w:tcPr>
          <w:p w14:paraId="077249A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0.42/-164℃</w:t>
            </w:r>
          </w:p>
        </w:tc>
      </w:tr>
      <w:tr w:rsidR="002662E3" w:rsidRPr="00E67914" w14:paraId="5AA5B294" w14:textId="77777777" w:rsidTr="000D79A9">
        <w:trPr>
          <w:cantSplit/>
          <w:jc w:val="center"/>
        </w:trPr>
        <w:tc>
          <w:tcPr>
            <w:tcW w:w="791" w:type="dxa"/>
            <w:vMerge/>
            <w:vAlign w:val="center"/>
          </w:tcPr>
          <w:p w14:paraId="263E746E" w14:textId="77777777" w:rsidR="00A54A8A" w:rsidRPr="00E67914" w:rsidRDefault="00A54A8A">
            <w:pPr>
              <w:jc w:val="center"/>
              <w:rPr>
                <w:rFonts w:ascii="Times New Roman" w:hAnsi="Times New Roman"/>
                <w:sz w:val="21"/>
                <w:szCs w:val="21"/>
              </w:rPr>
            </w:pPr>
          </w:p>
        </w:tc>
        <w:tc>
          <w:tcPr>
            <w:tcW w:w="1581" w:type="dxa"/>
            <w:vAlign w:val="center"/>
          </w:tcPr>
          <w:p w14:paraId="4505569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沸点</w:t>
            </w:r>
            <w:r w:rsidRPr="00E67914">
              <w:rPr>
                <w:rFonts w:ascii="Times New Roman" w:hAnsi="Times New Roman"/>
                <w:sz w:val="21"/>
                <w:szCs w:val="21"/>
              </w:rPr>
              <w:t>(℃)</w:t>
            </w:r>
          </w:p>
        </w:tc>
        <w:tc>
          <w:tcPr>
            <w:tcW w:w="1702" w:type="dxa"/>
            <w:vAlign w:val="center"/>
          </w:tcPr>
          <w:p w14:paraId="78D77BE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-161.5</w:t>
            </w:r>
          </w:p>
        </w:tc>
        <w:tc>
          <w:tcPr>
            <w:tcW w:w="1945" w:type="dxa"/>
            <w:gridSpan w:val="2"/>
            <w:vAlign w:val="center"/>
          </w:tcPr>
          <w:p w14:paraId="7DBA1F3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相对密度</w:t>
            </w:r>
            <w:r w:rsidRPr="00E67914">
              <w:rPr>
                <w:rFonts w:ascii="Times New Roman" w:hAnsi="Times New Roman"/>
                <w:sz w:val="21"/>
                <w:szCs w:val="21"/>
              </w:rPr>
              <w:t>(</w:t>
            </w:r>
            <w:r w:rsidRPr="00E67914">
              <w:rPr>
                <w:rFonts w:ascii="Times New Roman" w:hAnsi="Times New Roman"/>
                <w:sz w:val="21"/>
                <w:szCs w:val="21"/>
              </w:rPr>
              <w:t>空气</w:t>
            </w:r>
            <w:r w:rsidRPr="00E67914">
              <w:rPr>
                <w:rFonts w:ascii="Times New Roman" w:hAnsi="Times New Roman"/>
                <w:sz w:val="21"/>
                <w:szCs w:val="21"/>
              </w:rPr>
              <w:t>=1)</w:t>
            </w:r>
          </w:p>
        </w:tc>
        <w:tc>
          <w:tcPr>
            <w:tcW w:w="2203" w:type="dxa"/>
            <w:vAlign w:val="center"/>
          </w:tcPr>
          <w:p w14:paraId="684C856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0.55</w:t>
            </w:r>
          </w:p>
        </w:tc>
      </w:tr>
      <w:tr w:rsidR="002662E3" w:rsidRPr="00E67914" w14:paraId="4A9D2164" w14:textId="77777777" w:rsidTr="000D79A9">
        <w:trPr>
          <w:cantSplit/>
          <w:jc w:val="center"/>
        </w:trPr>
        <w:tc>
          <w:tcPr>
            <w:tcW w:w="791" w:type="dxa"/>
            <w:vMerge/>
            <w:vAlign w:val="center"/>
          </w:tcPr>
          <w:p w14:paraId="21C0B787" w14:textId="77777777" w:rsidR="00A54A8A" w:rsidRPr="00E67914" w:rsidRDefault="00A54A8A">
            <w:pPr>
              <w:jc w:val="center"/>
              <w:rPr>
                <w:rFonts w:ascii="Times New Roman" w:hAnsi="Times New Roman"/>
                <w:sz w:val="21"/>
                <w:szCs w:val="21"/>
              </w:rPr>
            </w:pPr>
          </w:p>
        </w:tc>
        <w:tc>
          <w:tcPr>
            <w:tcW w:w="1581" w:type="dxa"/>
            <w:vAlign w:val="center"/>
          </w:tcPr>
          <w:p w14:paraId="794D6EC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饱和蒸汽压</w:t>
            </w:r>
            <w:r w:rsidRPr="00E67914">
              <w:rPr>
                <w:rFonts w:ascii="Times New Roman" w:hAnsi="Times New Roman"/>
                <w:sz w:val="21"/>
                <w:szCs w:val="21"/>
              </w:rPr>
              <w:t>(kpa)</w:t>
            </w:r>
          </w:p>
        </w:tc>
        <w:tc>
          <w:tcPr>
            <w:tcW w:w="3647" w:type="dxa"/>
            <w:gridSpan w:val="3"/>
            <w:vAlign w:val="center"/>
          </w:tcPr>
          <w:p w14:paraId="2A9F1BF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53.32(-168.8℃)</w:t>
            </w:r>
          </w:p>
        </w:tc>
        <w:tc>
          <w:tcPr>
            <w:tcW w:w="2203" w:type="dxa"/>
            <w:vAlign w:val="center"/>
          </w:tcPr>
          <w:p w14:paraId="34FF8BA6" w14:textId="77777777" w:rsidR="00A54A8A" w:rsidRPr="00E67914" w:rsidRDefault="00A54A8A">
            <w:pPr>
              <w:jc w:val="center"/>
              <w:rPr>
                <w:rFonts w:ascii="Times New Roman" w:hAnsi="Times New Roman"/>
                <w:sz w:val="21"/>
                <w:szCs w:val="21"/>
              </w:rPr>
            </w:pPr>
          </w:p>
        </w:tc>
      </w:tr>
      <w:tr w:rsidR="002662E3" w:rsidRPr="00E67914" w14:paraId="7722BBE5" w14:textId="77777777" w:rsidTr="000D79A9">
        <w:trPr>
          <w:cantSplit/>
          <w:jc w:val="center"/>
        </w:trPr>
        <w:tc>
          <w:tcPr>
            <w:tcW w:w="791" w:type="dxa"/>
            <w:vMerge/>
            <w:vAlign w:val="center"/>
          </w:tcPr>
          <w:p w14:paraId="0916DB1D" w14:textId="77777777" w:rsidR="00A54A8A" w:rsidRPr="00E67914" w:rsidRDefault="00A54A8A">
            <w:pPr>
              <w:jc w:val="center"/>
              <w:rPr>
                <w:rFonts w:ascii="Times New Roman" w:hAnsi="Times New Roman"/>
                <w:sz w:val="21"/>
                <w:szCs w:val="21"/>
              </w:rPr>
            </w:pPr>
          </w:p>
        </w:tc>
        <w:tc>
          <w:tcPr>
            <w:tcW w:w="1581" w:type="dxa"/>
            <w:vAlign w:val="center"/>
          </w:tcPr>
          <w:p w14:paraId="4CE09C9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临界温度</w:t>
            </w:r>
            <w:r w:rsidRPr="00E67914">
              <w:rPr>
                <w:rFonts w:ascii="Times New Roman" w:hAnsi="Times New Roman"/>
                <w:sz w:val="21"/>
                <w:szCs w:val="21"/>
              </w:rPr>
              <w:t>(℃)</w:t>
            </w:r>
          </w:p>
        </w:tc>
        <w:tc>
          <w:tcPr>
            <w:tcW w:w="1702" w:type="dxa"/>
            <w:vAlign w:val="center"/>
          </w:tcPr>
          <w:p w14:paraId="5FE3F10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-82.6</w:t>
            </w:r>
          </w:p>
        </w:tc>
        <w:tc>
          <w:tcPr>
            <w:tcW w:w="1945" w:type="dxa"/>
            <w:gridSpan w:val="2"/>
            <w:vAlign w:val="center"/>
          </w:tcPr>
          <w:p w14:paraId="46A328E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临界压力</w:t>
            </w:r>
            <w:r w:rsidRPr="00E67914">
              <w:rPr>
                <w:rFonts w:ascii="Times New Roman" w:hAnsi="Times New Roman"/>
                <w:sz w:val="21"/>
                <w:szCs w:val="21"/>
              </w:rPr>
              <w:t>(Mpa)</w:t>
            </w:r>
          </w:p>
        </w:tc>
        <w:tc>
          <w:tcPr>
            <w:tcW w:w="2203" w:type="dxa"/>
            <w:vAlign w:val="center"/>
          </w:tcPr>
          <w:p w14:paraId="7C662EE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4.59</w:t>
            </w:r>
          </w:p>
        </w:tc>
      </w:tr>
      <w:tr w:rsidR="002662E3" w:rsidRPr="00E67914" w14:paraId="0485DC92" w14:textId="77777777" w:rsidTr="000D79A9">
        <w:trPr>
          <w:cantSplit/>
          <w:jc w:val="center"/>
        </w:trPr>
        <w:tc>
          <w:tcPr>
            <w:tcW w:w="791" w:type="dxa"/>
            <w:vMerge/>
            <w:vAlign w:val="center"/>
          </w:tcPr>
          <w:p w14:paraId="0A8F27D2" w14:textId="77777777" w:rsidR="00A54A8A" w:rsidRPr="00E67914" w:rsidRDefault="00A54A8A">
            <w:pPr>
              <w:jc w:val="center"/>
              <w:rPr>
                <w:rFonts w:ascii="Times New Roman" w:hAnsi="Times New Roman"/>
                <w:sz w:val="21"/>
                <w:szCs w:val="21"/>
              </w:rPr>
            </w:pPr>
          </w:p>
        </w:tc>
        <w:tc>
          <w:tcPr>
            <w:tcW w:w="1581" w:type="dxa"/>
            <w:vAlign w:val="center"/>
          </w:tcPr>
          <w:p w14:paraId="30F75ED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燃烧热</w:t>
            </w:r>
            <w:r w:rsidRPr="00E67914">
              <w:rPr>
                <w:rFonts w:ascii="Times New Roman" w:hAnsi="Times New Roman"/>
                <w:sz w:val="21"/>
                <w:szCs w:val="21"/>
              </w:rPr>
              <w:t>(KJ/mol)</w:t>
            </w:r>
          </w:p>
        </w:tc>
        <w:tc>
          <w:tcPr>
            <w:tcW w:w="1702" w:type="dxa"/>
            <w:vAlign w:val="center"/>
          </w:tcPr>
          <w:p w14:paraId="1CFEE0E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889.5</w:t>
            </w:r>
          </w:p>
        </w:tc>
        <w:tc>
          <w:tcPr>
            <w:tcW w:w="1945" w:type="dxa"/>
            <w:gridSpan w:val="2"/>
            <w:vAlign w:val="center"/>
          </w:tcPr>
          <w:p w14:paraId="79070CF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最小引燃能量</w:t>
            </w:r>
            <w:r w:rsidRPr="00E67914">
              <w:rPr>
                <w:rFonts w:ascii="Times New Roman" w:hAnsi="Times New Roman"/>
                <w:sz w:val="21"/>
                <w:szCs w:val="21"/>
              </w:rPr>
              <w:t>(mJ)</w:t>
            </w:r>
          </w:p>
        </w:tc>
        <w:tc>
          <w:tcPr>
            <w:tcW w:w="2203" w:type="dxa"/>
            <w:vAlign w:val="center"/>
          </w:tcPr>
          <w:p w14:paraId="1E88E35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0.28</w:t>
            </w:r>
          </w:p>
        </w:tc>
      </w:tr>
      <w:tr w:rsidR="002662E3" w:rsidRPr="00E67914" w14:paraId="00D7C9C6" w14:textId="77777777" w:rsidTr="000D79A9">
        <w:trPr>
          <w:cantSplit/>
          <w:jc w:val="center"/>
        </w:trPr>
        <w:tc>
          <w:tcPr>
            <w:tcW w:w="791" w:type="dxa"/>
            <w:vMerge w:val="restart"/>
            <w:vAlign w:val="center"/>
          </w:tcPr>
          <w:p w14:paraId="1E6B725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毒性</w:t>
            </w:r>
          </w:p>
          <w:p w14:paraId="1B0ED21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及健</w:t>
            </w:r>
          </w:p>
          <w:p w14:paraId="229DBB2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康危</w:t>
            </w:r>
          </w:p>
          <w:p w14:paraId="1822A7D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害</w:t>
            </w:r>
          </w:p>
        </w:tc>
        <w:tc>
          <w:tcPr>
            <w:tcW w:w="1581" w:type="dxa"/>
            <w:vMerge w:val="restart"/>
            <w:vAlign w:val="center"/>
          </w:tcPr>
          <w:p w14:paraId="048E55B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接触限值</w:t>
            </w:r>
          </w:p>
        </w:tc>
        <w:tc>
          <w:tcPr>
            <w:tcW w:w="1702" w:type="dxa"/>
            <w:vAlign w:val="center"/>
          </w:tcPr>
          <w:p w14:paraId="637B79E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中国</w:t>
            </w:r>
            <w:r w:rsidRPr="00E67914">
              <w:rPr>
                <w:rFonts w:ascii="Times New Roman" w:hAnsi="Times New Roman"/>
                <w:sz w:val="21"/>
                <w:szCs w:val="21"/>
              </w:rPr>
              <w:t>MAC</w:t>
            </w:r>
          </w:p>
        </w:tc>
        <w:tc>
          <w:tcPr>
            <w:tcW w:w="4148" w:type="dxa"/>
            <w:gridSpan w:val="3"/>
            <w:vAlign w:val="center"/>
          </w:tcPr>
          <w:p w14:paraId="12FFF7F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未制定标准</w:t>
            </w:r>
          </w:p>
        </w:tc>
      </w:tr>
      <w:tr w:rsidR="002662E3" w:rsidRPr="00E67914" w14:paraId="31493372" w14:textId="77777777" w:rsidTr="000D79A9">
        <w:trPr>
          <w:cantSplit/>
          <w:jc w:val="center"/>
        </w:trPr>
        <w:tc>
          <w:tcPr>
            <w:tcW w:w="791" w:type="dxa"/>
            <w:vMerge/>
            <w:vAlign w:val="center"/>
          </w:tcPr>
          <w:p w14:paraId="71644FA6" w14:textId="77777777" w:rsidR="00A54A8A" w:rsidRPr="00E67914" w:rsidRDefault="00A54A8A">
            <w:pPr>
              <w:jc w:val="center"/>
              <w:rPr>
                <w:rFonts w:ascii="Times New Roman" w:hAnsi="Times New Roman"/>
                <w:sz w:val="21"/>
                <w:szCs w:val="21"/>
              </w:rPr>
            </w:pPr>
          </w:p>
        </w:tc>
        <w:tc>
          <w:tcPr>
            <w:tcW w:w="1581" w:type="dxa"/>
            <w:vMerge/>
            <w:vAlign w:val="center"/>
          </w:tcPr>
          <w:p w14:paraId="30507F47" w14:textId="77777777" w:rsidR="00A54A8A" w:rsidRPr="00E67914" w:rsidRDefault="00A54A8A">
            <w:pPr>
              <w:jc w:val="center"/>
              <w:rPr>
                <w:rFonts w:ascii="Times New Roman" w:hAnsi="Times New Roman"/>
                <w:sz w:val="21"/>
                <w:szCs w:val="21"/>
              </w:rPr>
            </w:pPr>
          </w:p>
        </w:tc>
        <w:tc>
          <w:tcPr>
            <w:tcW w:w="1702" w:type="dxa"/>
            <w:vAlign w:val="center"/>
          </w:tcPr>
          <w:p w14:paraId="1B2FA26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前苏联</w:t>
            </w:r>
            <w:r w:rsidRPr="00E67914">
              <w:rPr>
                <w:rFonts w:ascii="Times New Roman" w:hAnsi="Times New Roman"/>
                <w:sz w:val="21"/>
                <w:szCs w:val="21"/>
              </w:rPr>
              <w:t>MAC</w:t>
            </w:r>
          </w:p>
        </w:tc>
        <w:tc>
          <w:tcPr>
            <w:tcW w:w="4148" w:type="dxa"/>
            <w:gridSpan w:val="3"/>
            <w:vAlign w:val="center"/>
          </w:tcPr>
          <w:p w14:paraId="0D77356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300mg/m3</w:t>
            </w:r>
          </w:p>
        </w:tc>
      </w:tr>
      <w:tr w:rsidR="002662E3" w:rsidRPr="00E67914" w14:paraId="13E28EDA" w14:textId="77777777" w:rsidTr="000D79A9">
        <w:trPr>
          <w:cantSplit/>
          <w:jc w:val="center"/>
        </w:trPr>
        <w:tc>
          <w:tcPr>
            <w:tcW w:w="791" w:type="dxa"/>
            <w:vMerge/>
            <w:vAlign w:val="center"/>
          </w:tcPr>
          <w:p w14:paraId="604773A1" w14:textId="77777777" w:rsidR="00A54A8A" w:rsidRPr="00E67914" w:rsidRDefault="00A54A8A">
            <w:pPr>
              <w:jc w:val="center"/>
              <w:rPr>
                <w:rFonts w:ascii="Times New Roman" w:hAnsi="Times New Roman"/>
                <w:sz w:val="21"/>
                <w:szCs w:val="21"/>
              </w:rPr>
            </w:pPr>
          </w:p>
        </w:tc>
        <w:tc>
          <w:tcPr>
            <w:tcW w:w="1581" w:type="dxa"/>
            <w:vMerge/>
            <w:vAlign w:val="center"/>
          </w:tcPr>
          <w:p w14:paraId="302BD1D0" w14:textId="77777777" w:rsidR="00A54A8A" w:rsidRPr="00E67914" w:rsidRDefault="00A54A8A">
            <w:pPr>
              <w:jc w:val="center"/>
              <w:rPr>
                <w:rFonts w:ascii="Times New Roman" w:hAnsi="Times New Roman"/>
                <w:sz w:val="21"/>
                <w:szCs w:val="21"/>
              </w:rPr>
            </w:pPr>
          </w:p>
        </w:tc>
        <w:tc>
          <w:tcPr>
            <w:tcW w:w="1702" w:type="dxa"/>
            <w:vAlign w:val="center"/>
          </w:tcPr>
          <w:p w14:paraId="1C1CE8B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美国</w:t>
            </w:r>
            <w:r w:rsidRPr="00E67914">
              <w:rPr>
                <w:rFonts w:ascii="Times New Roman" w:hAnsi="Times New Roman"/>
                <w:sz w:val="21"/>
                <w:szCs w:val="21"/>
              </w:rPr>
              <w:t>TWA</w:t>
            </w:r>
          </w:p>
        </w:tc>
        <w:tc>
          <w:tcPr>
            <w:tcW w:w="4148" w:type="dxa"/>
            <w:gridSpan w:val="3"/>
            <w:vAlign w:val="center"/>
          </w:tcPr>
          <w:p w14:paraId="1C195BC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ACGIH</w:t>
            </w:r>
            <w:r w:rsidRPr="00E67914">
              <w:rPr>
                <w:rFonts w:ascii="Times New Roman" w:hAnsi="Times New Roman"/>
                <w:sz w:val="21"/>
                <w:szCs w:val="21"/>
              </w:rPr>
              <w:t>窒息性气体</w:t>
            </w:r>
          </w:p>
        </w:tc>
      </w:tr>
      <w:tr w:rsidR="002662E3" w:rsidRPr="00E67914" w14:paraId="5344898E" w14:textId="77777777" w:rsidTr="000D79A9">
        <w:trPr>
          <w:cantSplit/>
          <w:jc w:val="center"/>
        </w:trPr>
        <w:tc>
          <w:tcPr>
            <w:tcW w:w="791" w:type="dxa"/>
            <w:vMerge/>
            <w:vAlign w:val="center"/>
          </w:tcPr>
          <w:p w14:paraId="758F0574" w14:textId="77777777" w:rsidR="00A54A8A" w:rsidRPr="00E67914" w:rsidRDefault="00A54A8A">
            <w:pPr>
              <w:jc w:val="center"/>
              <w:rPr>
                <w:rFonts w:ascii="Times New Roman" w:hAnsi="Times New Roman"/>
                <w:sz w:val="21"/>
                <w:szCs w:val="21"/>
              </w:rPr>
            </w:pPr>
          </w:p>
        </w:tc>
        <w:tc>
          <w:tcPr>
            <w:tcW w:w="1581" w:type="dxa"/>
            <w:vMerge/>
            <w:vAlign w:val="center"/>
          </w:tcPr>
          <w:p w14:paraId="0AD11F31" w14:textId="77777777" w:rsidR="00A54A8A" w:rsidRPr="00E67914" w:rsidRDefault="00A54A8A">
            <w:pPr>
              <w:jc w:val="center"/>
              <w:rPr>
                <w:rFonts w:ascii="Times New Roman" w:hAnsi="Times New Roman"/>
                <w:sz w:val="21"/>
                <w:szCs w:val="21"/>
              </w:rPr>
            </w:pPr>
          </w:p>
        </w:tc>
        <w:tc>
          <w:tcPr>
            <w:tcW w:w="1702" w:type="dxa"/>
            <w:vAlign w:val="center"/>
          </w:tcPr>
          <w:p w14:paraId="13A64B9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美国</w:t>
            </w:r>
            <w:r w:rsidRPr="00E67914">
              <w:rPr>
                <w:rFonts w:ascii="Times New Roman" w:hAnsi="Times New Roman"/>
                <w:sz w:val="21"/>
                <w:szCs w:val="21"/>
              </w:rPr>
              <w:t>STEL</w:t>
            </w:r>
          </w:p>
        </w:tc>
        <w:tc>
          <w:tcPr>
            <w:tcW w:w="4148" w:type="dxa"/>
            <w:gridSpan w:val="3"/>
            <w:vAlign w:val="center"/>
          </w:tcPr>
          <w:p w14:paraId="6DAE501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未制定标准</w:t>
            </w:r>
          </w:p>
        </w:tc>
      </w:tr>
      <w:tr w:rsidR="002662E3" w:rsidRPr="00E67914" w14:paraId="29EEA7D3" w14:textId="77777777" w:rsidTr="000D79A9">
        <w:trPr>
          <w:cantSplit/>
          <w:jc w:val="center"/>
        </w:trPr>
        <w:tc>
          <w:tcPr>
            <w:tcW w:w="791" w:type="dxa"/>
            <w:vMerge/>
            <w:vAlign w:val="center"/>
          </w:tcPr>
          <w:p w14:paraId="075DF3C4" w14:textId="77777777" w:rsidR="00A54A8A" w:rsidRPr="00E67914" w:rsidRDefault="00A54A8A">
            <w:pPr>
              <w:jc w:val="center"/>
              <w:rPr>
                <w:rFonts w:ascii="Times New Roman" w:hAnsi="Times New Roman"/>
                <w:sz w:val="21"/>
                <w:szCs w:val="21"/>
              </w:rPr>
            </w:pPr>
          </w:p>
        </w:tc>
        <w:tc>
          <w:tcPr>
            <w:tcW w:w="1581" w:type="dxa"/>
            <w:vAlign w:val="center"/>
          </w:tcPr>
          <w:p w14:paraId="3A5D5E40"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侵入途径</w:t>
            </w:r>
          </w:p>
        </w:tc>
        <w:tc>
          <w:tcPr>
            <w:tcW w:w="5850" w:type="dxa"/>
            <w:gridSpan w:val="4"/>
            <w:vAlign w:val="center"/>
          </w:tcPr>
          <w:p w14:paraId="2AF591F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吸入</w:t>
            </w:r>
          </w:p>
        </w:tc>
      </w:tr>
      <w:tr w:rsidR="002662E3" w:rsidRPr="00E67914" w14:paraId="0A016EFE" w14:textId="77777777" w:rsidTr="000D79A9">
        <w:trPr>
          <w:cantSplit/>
          <w:jc w:val="center"/>
        </w:trPr>
        <w:tc>
          <w:tcPr>
            <w:tcW w:w="791" w:type="dxa"/>
            <w:vMerge/>
            <w:vAlign w:val="center"/>
          </w:tcPr>
          <w:p w14:paraId="43A9085E" w14:textId="77777777" w:rsidR="00A54A8A" w:rsidRPr="00E67914" w:rsidRDefault="00A54A8A">
            <w:pPr>
              <w:jc w:val="center"/>
              <w:rPr>
                <w:rFonts w:ascii="Times New Roman" w:hAnsi="Times New Roman"/>
                <w:sz w:val="21"/>
                <w:szCs w:val="21"/>
              </w:rPr>
            </w:pPr>
          </w:p>
        </w:tc>
        <w:tc>
          <w:tcPr>
            <w:tcW w:w="1581" w:type="dxa"/>
            <w:vAlign w:val="center"/>
          </w:tcPr>
          <w:p w14:paraId="46B2D94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健康危害</w:t>
            </w:r>
          </w:p>
        </w:tc>
        <w:tc>
          <w:tcPr>
            <w:tcW w:w="5850" w:type="dxa"/>
            <w:gridSpan w:val="4"/>
            <w:vAlign w:val="center"/>
          </w:tcPr>
          <w:p w14:paraId="5645B462"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、当空气中甲烷浓度达</w:t>
            </w:r>
            <w:r w:rsidRPr="00E67914">
              <w:rPr>
                <w:rFonts w:ascii="Times New Roman" w:hAnsi="Times New Roman"/>
                <w:sz w:val="21"/>
                <w:szCs w:val="21"/>
                <w:lang w:eastAsia="zh-CN"/>
              </w:rPr>
              <w:t>25—30%</w:t>
            </w:r>
            <w:r w:rsidRPr="00E67914">
              <w:rPr>
                <w:rFonts w:ascii="Times New Roman" w:hAnsi="Times New Roman"/>
                <w:sz w:val="21"/>
                <w:szCs w:val="21"/>
                <w:lang w:eastAsia="zh-CN"/>
              </w:rPr>
              <w:t>时，可引起头痛、头晕、乏力、注意力不集中、呼吸和心跳加速、精细动作障碍等；</w:t>
            </w:r>
          </w:p>
          <w:p w14:paraId="4B25F3A9"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2</w:t>
            </w:r>
            <w:r w:rsidRPr="00E67914">
              <w:rPr>
                <w:rFonts w:ascii="Times New Roman" w:hAnsi="Times New Roman"/>
                <w:sz w:val="21"/>
                <w:szCs w:val="21"/>
                <w:lang w:eastAsia="zh-CN"/>
              </w:rPr>
              <w:t>、当空气中甲烷浓度更高时，可能使人出现窒息、昏迷等。</w:t>
            </w:r>
          </w:p>
        </w:tc>
      </w:tr>
      <w:tr w:rsidR="002662E3" w:rsidRPr="00E67914" w14:paraId="1887444F" w14:textId="77777777" w:rsidTr="000D79A9">
        <w:trPr>
          <w:cantSplit/>
          <w:jc w:val="center"/>
        </w:trPr>
        <w:tc>
          <w:tcPr>
            <w:tcW w:w="791" w:type="dxa"/>
            <w:vMerge w:val="restart"/>
            <w:vAlign w:val="center"/>
          </w:tcPr>
          <w:p w14:paraId="740BBC8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燃烧</w:t>
            </w:r>
          </w:p>
          <w:p w14:paraId="014C27A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爆炸</w:t>
            </w:r>
          </w:p>
          <w:p w14:paraId="619972A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危险</w:t>
            </w:r>
          </w:p>
          <w:p w14:paraId="56D053B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lastRenderedPageBreak/>
              <w:t>性</w:t>
            </w:r>
          </w:p>
        </w:tc>
        <w:tc>
          <w:tcPr>
            <w:tcW w:w="1581" w:type="dxa"/>
            <w:vAlign w:val="center"/>
          </w:tcPr>
          <w:p w14:paraId="1128CA7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lastRenderedPageBreak/>
              <w:t>燃烧性</w:t>
            </w:r>
          </w:p>
        </w:tc>
        <w:tc>
          <w:tcPr>
            <w:tcW w:w="1702" w:type="dxa"/>
            <w:vAlign w:val="center"/>
          </w:tcPr>
          <w:p w14:paraId="64EBB3B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易燃</w:t>
            </w:r>
          </w:p>
        </w:tc>
        <w:tc>
          <w:tcPr>
            <w:tcW w:w="1945" w:type="dxa"/>
            <w:gridSpan w:val="2"/>
            <w:vAlign w:val="center"/>
          </w:tcPr>
          <w:p w14:paraId="415A125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建规火险等级</w:t>
            </w:r>
          </w:p>
        </w:tc>
        <w:tc>
          <w:tcPr>
            <w:tcW w:w="2203" w:type="dxa"/>
            <w:vAlign w:val="center"/>
          </w:tcPr>
          <w:p w14:paraId="377EDA3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甲</w:t>
            </w:r>
          </w:p>
        </w:tc>
      </w:tr>
      <w:tr w:rsidR="002662E3" w:rsidRPr="00E67914" w14:paraId="11476BDE" w14:textId="77777777" w:rsidTr="000D79A9">
        <w:trPr>
          <w:cantSplit/>
          <w:jc w:val="center"/>
        </w:trPr>
        <w:tc>
          <w:tcPr>
            <w:tcW w:w="791" w:type="dxa"/>
            <w:vMerge/>
            <w:vAlign w:val="center"/>
          </w:tcPr>
          <w:p w14:paraId="18543EA1" w14:textId="77777777" w:rsidR="00A54A8A" w:rsidRPr="00E67914" w:rsidRDefault="00A54A8A">
            <w:pPr>
              <w:jc w:val="center"/>
              <w:rPr>
                <w:rFonts w:ascii="Times New Roman" w:hAnsi="Times New Roman"/>
                <w:sz w:val="21"/>
                <w:szCs w:val="21"/>
              </w:rPr>
            </w:pPr>
          </w:p>
        </w:tc>
        <w:tc>
          <w:tcPr>
            <w:tcW w:w="1581" w:type="dxa"/>
            <w:vAlign w:val="center"/>
          </w:tcPr>
          <w:p w14:paraId="72F3553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闪点</w:t>
            </w:r>
            <w:r w:rsidRPr="00E67914">
              <w:rPr>
                <w:rFonts w:ascii="Times New Roman" w:hAnsi="Times New Roman"/>
                <w:sz w:val="21"/>
                <w:szCs w:val="21"/>
              </w:rPr>
              <w:t>(℃)</w:t>
            </w:r>
          </w:p>
        </w:tc>
        <w:tc>
          <w:tcPr>
            <w:tcW w:w="1702" w:type="dxa"/>
            <w:vAlign w:val="center"/>
          </w:tcPr>
          <w:p w14:paraId="7C1A128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-188</w:t>
            </w:r>
          </w:p>
        </w:tc>
        <w:tc>
          <w:tcPr>
            <w:tcW w:w="1945" w:type="dxa"/>
            <w:gridSpan w:val="2"/>
            <w:vAlign w:val="center"/>
          </w:tcPr>
          <w:p w14:paraId="0F467BC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爆炸下限</w:t>
            </w:r>
            <w:r w:rsidRPr="00E67914">
              <w:rPr>
                <w:rFonts w:ascii="Times New Roman" w:hAnsi="Times New Roman"/>
                <w:sz w:val="21"/>
                <w:szCs w:val="21"/>
              </w:rPr>
              <w:t>(v%)</w:t>
            </w:r>
          </w:p>
        </w:tc>
        <w:tc>
          <w:tcPr>
            <w:tcW w:w="2203" w:type="dxa"/>
            <w:vAlign w:val="center"/>
          </w:tcPr>
          <w:p w14:paraId="1E07189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w:t>
            </w:r>
          </w:p>
        </w:tc>
      </w:tr>
      <w:tr w:rsidR="002662E3" w:rsidRPr="00E67914" w14:paraId="2890BB5F" w14:textId="77777777" w:rsidTr="000D79A9">
        <w:trPr>
          <w:cantSplit/>
          <w:jc w:val="center"/>
        </w:trPr>
        <w:tc>
          <w:tcPr>
            <w:tcW w:w="791" w:type="dxa"/>
            <w:vMerge/>
            <w:vAlign w:val="center"/>
          </w:tcPr>
          <w:p w14:paraId="7C01E5A8" w14:textId="77777777" w:rsidR="00A54A8A" w:rsidRPr="00E67914" w:rsidRDefault="00A54A8A">
            <w:pPr>
              <w:jc w:val="center"/>
              <w:rPr>
                <w:rFonts w:ascii="Times New Roman" w:hAnsi="Times New Roman"/>
                <w:sz w:val="21"/>
                <w:szCs w:val="21"/>
              </w:rPr>
            </w:pPr>
          </w:p>
        </w:tc>
        <w:tc>
          <w:tcPr>
            <w:tcW w:w="1581" w:type="dxa"/>
            <w:vAlign w:val="center"/>
          </w:tcPr>
          <w:p w14:paraId="6FD45F3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自然温度</w:t>
            </w:r>
            <w:r w:rsidRPr="00E67914">
              <w:rPr>
                <w:rFonts w:ascii="Times New Roman" w:hAnsi="Times New Roman"/>
                <w:sz w:val="21"/>
                <w:szCs w:val="21"/>
              </w:rPr>
              <w:t>(℃)</w:t>
            </w:r>
          </w:p>
        </w:tc>
        <w:tc>
          <w:tcPr>
            <w:tcW w:w="1702" w:type="dxa"/>
            <w:vAlign w:val="center"/>
          </w:tcPr>
          <w:p w14:paraId="415553C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538</w:t>
            </w:r>
          </w:p>
        </w:tc>
        <w:tc>
          <w:tcPr>
            <w:tcW w:w="1945" w:type="dxa"/>
            <w:gridSpan w:val="2"/>
            <w:vAlign w:val="center"/>
          </w:tcPr>
          <w:p w14:paraId="017C36A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爆炸上限</w:t>
            </w:r>
            <w:r w:rsidRPr="00E67914">
              <w:rPr>
                <w:rFonts w:ascii="Times New Roman" w:hAnsi="Times New Roman"/>
                <w:sz w:val="21"/>
                <w:szCs w:val="21"/>
              </w:rPr>
              <w:t>(v%)</w:t>
            </w:r>
          </w:p>
        </w:tc>
        <w:tc>
          <w:tcPr>
            <w:tcW w:w="2203" w:type="dxa"/>
            <w:vAlign w:val="center"/>
          </w:tcPr>
          <w:p w14:paraId="1548E548"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15</w:t>
            </w:r>
          </w:p>
        </w:tc>
      </w:tr>
      <w:tr w:rsidR="002662E3" w:rsidRPr="00E67914" w14:paraId="6B089ABE" w14:textId="77777777" w:rsidTr="000D79A9">
        <w:trPr>
          <w:cantSplit/>
          <w:jc w:val="center"/>
        </w:trPr>
        <w:tc>
          <w:tcPr>
            <w:tcW w:w="791" w:type="dxa"/>
            <w:vMerge/>
            <w:vAlign w:val="center"/>
          </w:tcPr>
          <w:p w14:paraId="5371040A" w14:textId="77777777" w:rsidR="00A54A8A" w:rsidRPr="00E67914" w:rsidRDefault="00A54A8A">
            <w:pPr>
              <w:jc w:val="center"/>
              <w:rPr>
                <w:rFonts w:ascii="Times New Roman" w:hAnsi="Times New Roman"/>
                <w:sz w:val="21"/>
                <w:szCs w:val="21"/>
              </w:rPr>
            </w:pPr>
          </w:p>
        </w:tc>
        <w:tc>
          <w:tcPr>
            <w:tcW w:w="1581" w:type="dxa"/>
            <w:vAlign w:val="center"/>
          </w:tcPr>
          <w:p w14:paraId="31B4D1A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危险特性</w:t>
            </w:r>
          </w:p>
        </w:tc>
        <w:tc>
          <w:tcPr>
            <w:tcW w:w="5850" w:type="dxa"/>
            <w:gridSpan w:val="4"/>
            <w:vAlign w:val="center"/>
          </w:tcPr>
          <w:p w14:paraId="00DAF57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、甲烷与空气混合能形成爆炸性混合物，当在爆炸极限范围内遇明火、高热能时引起燃烧爆炸。</w:t>
            </w:r>
            <w:r w:rsidRPr="00E67914">
              <w:rPr>
                <w:rFonts w:ascii="Times New Roman" w:hAnsi="Times New Roman"/>
                <w:sz w:val="21"/>
                <w:szCs w:val="21"/>
                <w:lang w:eastAsia="zh-CN"/>
              </w:rPr>
              <w:t>2</w:t>
            </w:r>
            <w:r w:rsidRPr="00E67914">
              <w:rPr>
                <w:rFonts w:ascii="Times New Roman" w:hAnsi="Times New Roman"/>
                <w:sz w:val="21"/>
                <w:szCs w:val="21"/>
                <w:lang w:eastAsia="zh-CN"/>
              </w:rPr>
              <w:t>、甲烷与氟、氯等能发生剧烈的化学反应。</w:t>
            </w:r>
            <w:r w:rsidRPr="00E67914">
              <w:rPr>
                <w:rFonts w:ascii="Times New Roman" w:hAnsi="Times New Roman"/>
                <w:sz w:val="21"/>
                <w:szCs w:val="21"/>
                <w:lang w:eastAsia="zh-CN"/>
              </w:rPr>
              <w:t>3</w:t>
            </w:r>
            <w:r w:rsidRPr="00E67914">
              <w:rPr>
                <w:rFonts w:ascii="Times New Roman" w:hAnsi="Times New Roman"/>
                <w:sz w:val="21"/>
                <w:szCs w:val="21"/>
                <w:lang w:eastAsia="zh-CN"/>
              </w:rPr>
              <w:t>、甲烷若遇高热，容器内压增大，有开裂和爆炸的危险。</w:t>
            </w:r>
          </w:p>
        </w:tc>
      </w:tr>
      <w:tr w:rsidR="002662E3" w:rsidRPr="00E67914" w14:paraId="42D8E640" w14:textId="77777777" w:rsidTr="000D79A9">
        <w:trPr>
          <w:cantSplit/>
          <w:jc w:val="center"/>
        </w:trPr>
        <w:tc>
          <w:tcPr>
            <w:tcW w:w="791" w:type="dxa"/>
            <w:vMerge/>
            <w:vAlign w:val="center"/>
          </w:tcPr>
          <w:p w14:paraId="44255F2A" w14:textId="77777777" w:rsidR="00A54A8A" w:rsidRPr="00E67914" w:rsidRDefault="00A54A8A">
            <w:pPr>
              <w:jc w:val="center"/>
              <w:rPr>
                <w:rFonts w:ascii="Times New Roman" w:hAnsi="Times New Roman"/>
                <w:sz w:val="21"/>
                <w:szCs w:val="21"/>
                <w:lang w:eastAsia="zh-CN"/>
              </w:rPr>
            </w:pPr>
          </w:p>
        </w:tc>
        <w:tc>
          <w:tcPr>
            <w:tcW w:w="1581" w:type="dxa"/>
            <w:vAlign w:val="center"/>
          </w:tcPr>
          <w:p w14:paraId="68C0A21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稳定性</w:t>
            </w:r>
          </w:p>
        </w:tc>
        <w:tc>
          <w:tcPr>
            <w:tcW w:w="5850" w:type="dxa"/>
            <w:gridSpan w:val="4"/>
            <w:vAlign w:val="center"/>
          </w:tcPr>
          <w:p w14:paraId="4117A31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稳定</w:t>
            </w:r>
          </w:p>
        </w:tc>
      </w:tr>
      <w:tr w:rsidR="002662E3" w:rsidRPr="00E67914" w14:paraId="39B8B67B" w14:textId="77777777" w:rsidTr="000D79A9">
        <w:trPr>
          <w:cantSplit/>
          <w:jc w:val="center"/>
        </w:trPr>
        <w:tc>
          <w:tcPr>
            <w:tcW w:w="791" w:type="dxa"/>
            <w:vMerge/>
            <w:vAlign w:val="center"/>
          </w:tcPr>
          <w:p w14:paraId="1605FBDF" w14:textId="77777777" w:rsidR="00A54A8A" w:rsidRPr="00E67914" w:rsidRDefault="00A54A8A">
            <w:pPr>
              <w:jc w:val="center"/>
              <w:rPr>
                <w:rFonts w:ascii="Times New Roman" w:hAnsi="Times New Roman"/>
                <w:sz w:val="21"/>
                <w:szCs w:val="21"/>
              </w:rPr>
            </w:pPr>
          </w:p>
        </w:tc>
        <w:tc>
          <w:tcPr>
            <w:tcW w:w="1581" w:type="dxa"/>
            <w:vAlign w:val="center"/>
          </w:tcPr>
          <w:p w14:paraId="7E9C4C9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聚合危害</w:t>
            </w:r>
          </w:p>
        </w:tc>
        <w:tc>
          <w:tcPr>
            <w:tcW w:w="5850" w:type="dxa"/>
            <w:gridSpan w:val="4"/>
            <w:vAlign w:val="center"/>
          </w:tcPr>
          <w:p w14:paraId="4D3307A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不会出现聚合危害</w:t>
            </w:r>
          </w:p>
        </w:tc>
      </w:tr>
      <w:tr w:rsidR="002662E3" w:rsidRPr="00E67914" w14:paraId="2E48B636" w14:textId="77777777" w:rsidTr="000D79A9">
        <w:trPr>
          <w:cantSplit/>
          <w:jc w:val="center"/>
        </w:trPr>
        <w:tc>
          <w:tcPr>
            <w:tcW w:w="791" w:type="dxa"/>
            <w:vMerge/>
            <w:vAlign w:val="center"/>
          </w:tcPr>
          <w:p w14:paraId="7E3D6459" w14:textId="77777777" w:rsidR="00A54A8A" w:rsidRPr="00E67914" w:rsidRDefault="00A54A8A">
            <w:pPr>
              <w:jc w:val="center"/>
              <w:rPr>
                <w:rFonts w:ascii="Times New Roman" w:hAnsi="Times New Roman"/>
                <w:sz w:val="21"/>
                <w:szCs w:val="21"/>
              </w:rPr>
            </w:pPr>
          </w:p>
        </w:tc>
        <w:tc>
          <w:tcPr>
            <w:tcW w:w="1581" w:type="dxa"/>
            <w:vAlign w:val="center"/>
          </w:tcPr>
          <w:p w14:paraId="143F981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禁忌物</w:t>
            </w:r>
          </w:p>
        </w:tc>
        <w:tc>
          <w:tcPr>
            <w:tcW w:w="5850" w:type="dxa"/>
            <w:gridSpan w:val="4"/>
            <w:vAlign w:val="center"/>
          </w:tcPr>
          <w:p w14:paraId="66BAFB54"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强氧化剂，如氟、氯等</w:t>
            </w:r>
          </w:p>
        </w:tc>
      </w:tr>
      <w:tr w:rsidR="002662E3" w:rsidRPr="00E67914" w14:paraId="283C9C89" w14:textId="77777777" w:rsidTr="000D79A9">
        <w:trPr>
          <w:cantSplit/>
          <w:jc w:val="center"/>
        </w:trPr>
        <w:tc>
          <w:tcPr>
            <w:tcW w:w="791" w:type="dxa"/>
            <w:vMerge/>
            <w:vAlign w:val="center"/>
          </w:tcPr>
          <w:p w14:paraId="3682F049" w14:textId="77777777" w:rsidR="00A54A8A" w:rsidRPr="00E67914" w:rsidRDefault="00A54A8A">
            <w:pPr>
              <w:jc w:val="center"/>
              <w:rPr>
                <w:rFonts w:ascii="Times New Roman" w:hAnsi="Times New Roman"/>
                <w:sz w:val="21"/>
                <w:szCs w:val="21"/>
                <w:lang w:eastAsia="zh-CN"/>
              </w:rPr>
            </w:pPr>
          </w:p>
        </w:tc>
        <w:tc>
          <w:tcPr>
            <w:tcW w:w="1581" w:type="dxa"/>
            <w:vAlign w:val="center"/>
          </w:tcPr>
          <w:p w14:paraId="584902F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灭火方法</w:t>
            </w:r>
          </w:p>
        </w:tc>
        <w:tc>
          <w:tcPr>
            <w:tcW w:w="5850" w:type="dxa"/>
            <w:gridSpan w:val="4"/>
            <w:vAlign w:val="center"/>
          </w:tcPr>
          <w:p w14:paraId="0403FE3A"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、立即切断气源。</w:t>
            </w:r>
            <w:r w:rsidRPr="00E67914">
              <w:rPr>
                <w:rFonts w:ascii="Times New Roman" w:hAnsi="Times New Roman"/>
                <w:sz w:val="21"/>
                <w:szCs w:val="21"/>
                <w:lang w:eastAsia="zh-CN"/>
              </w:rPr>
              <w:t>2</w:t>
            </w:r>
            <w:r w:rsidRPr="00E67914">
              <w:rPr>
                <w:rFonts w:ascii="Times New Roman" w:hAnsi="Times New Roman"/>
                <w:sz w:val="21"/>
                <w:szCs w:val="21"/>
                <w:lang w:eastAsia="zh-CN"/>
              </w:rPr>
              <w:t>、若不能立即切断气源，则不允许熄灭正在燃烧的气体。</w:t>
            </w:r>
            <w:r w:rsidRPr="00E67914">
              <w:rPr>
                <w:rFonts w:ascii="Times New Roman" w:hAnsi="Times New Roman"/>
                <w:sz w:val="21"/>
                <w:szCs w:val="21"/>
                <w:lang w:eastAsia="zh-CN"/>
              </w:rPr>
              <w:t>3</w:t>
            </w:r>
            <w:r w:rsidRPr="00E67914">
              <w:rPr>
                <w:rFonts w:ascii="Times New Roman" w:hAnsi="Times New Roman"/>
                <w:sz w:val="21"/>
                <w:szCs w:val="21"/>
                <w:lang w:eastAsia="zh-CN"/>
              </w:rPr>
              <w:t>、喷水冷却容器，如果可能应将容器从火场移至空旷处。</w:t>
            </w:r>
            <w:r w:rsidRPr="00E67914">
              <w:rPr>
                <w:rFonts w:ascii="Times New Roman" w:hAnsi="Times New Roman"/>
                <w:sz w:val="21"/>
                <w:szCs w:val="21"/>
                <w:lang w:eastAsia="zh-CN"/>
              </w:rPr>
              <w:t>4</w:t>
            </w:r>
            <w:r w:rsidRPr="00E67914">
              <w:rPr>
                <w:rFonts w:ascii="Times New Roman" w:hAnsi="Times New Roman"/>
                <w:sz w:val="21"/>
                <w:szCs w:val="21"/>
                <w:lang w:eastAsia="zh-CN"/>
              </w:rPr>
              <w:t>、采用雾状水、泡沫灭火器和二氧化碳灭火器等。</w:t>
            </w:r>
          </w:p>
        </w:tc>
      </w:tr>
      <w:tr w:rsidR="002662E3" w:rsidRPr="00E67914" w14:paraId="3F39C91C" w14:textId="77777777" w:rsidTr="000D79A9">
        <w:trPr>
          <w:cantSplit/>
          <w:jc w:val="center"/>
        </w:trPr>
        <w:tc>
          <w:tcPr>
            <w:tcW w:w="791" w:type="dxa"/>
            <w:vMerge w:val="restart"/>
            <w:vAlign w:val="center"/>
          </w:tcPr>
          <w:p w14:paraId="384E06B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包装</w:t>
            </w:r>
          </w:p>
          <w:p w14:paraId="2464773E"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储运</w:t>
            </w:r>
          </w:p>
        </w:tc>
        <w:tc>
          <w:tcPr>
            <w:tcW w:w="1581" w:type="dxa"/>
            <w:vAlign w:val="center"/>
          </w:tcPr>
          <w:p w14:paraId="3D3F5A6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危险性类别</w:t>
            </w:r>
          </w:p>
        </w:tc>
        <w:tc>
          <w:tcPr>
            <w:tcW w:w="5850" w:type="dxa"/>
            <w:gridSpan w:val="4"/>
            <w:vAlign w:val="center"/>
          </w:tcPr>
          <w:p w14:paraId="427C8CFE" w14:textId="77777777"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lang w:eastAsia="zh-CN"/>
              </w:rPr>
              <w:t>第</w:t>
            </w:r>
            <w:r w:rsidRPr="00E67914">
              <w:rPr>
                <w:rFonts w:ascii="Times New Roman" w:hAnsi="Times New Roman"/>
                <w:sz w:val="21"/>
                <w:szCs w:val="21"/>
                <w:lang w:eastAsia="zh-CN"/>
              </w:rPr>
              <w:t>2.1</w:t>
            </w:r>
            <w:r w:rsidRPr="00E67914">
              <w:rPr>
                <w:rFonts w:ascii="Times New Roman" w:hAnsi="Times New Roman"/>
                <w:sz w:val="21"/>
                <w:szCs w:val="21"/>
                <w:lang w:eastAsia="zh-CN"/>
              </w:rPr>
              <w:t>类</w:t>
            </w:r>
            <w:r w:rsidRPr="00E67914">
              <w:rPr>
                <w:rFonts w:ascii="Times New Roman" w:hAnsi="Times New Roman"/>
                <w:sz w:val="21"/>
                <w:szCs w:val="21"/>
                <w:lang w:eastAsia="zh-CN"/>
              </w:rPr>
              <w:t>(UN</w:t>
            </w:r>
            <w:r w:rsidRPr="00E67914">
              <w:rPr>
                <w:rFonts w:ascii="Times New Roman" w:hAnsi="Times New Roman"/>
                <w:sz w:val="21"/>
                <w:szCs w:val="21"/>
                <w:lang w:eastAsia="zh-CN"/>
              </w:rPr>
              <w:t>类别</w:t>
            </w:r>
            <w:r w:rsidRPr="00E67914">
              <w:rPr>
                <w:rFonts w:ascii="Times New Roman" w:hAnsi="Times New Roman"/>
                <w:sz w:val="21"/>
                <w:szCs w:val="21"/>
                <w:lang w:eastAsia="zh-CN"/>
              </w:rPr>
              <w:t>)</w:t>
            </w:r>
            <w:r w:rsidRPr="00E67914">
              <w:rPr>
                <w:rFonts w:ascii="Times New Roman" w:hAnsi="Times New Roman"/>
                <w:sz w:val="21"/>
                <w:szCs w:val="21"/>
                <w:lang w:eastAsia="zh-CN"/>
              </w:rPr>
              <w:t>易燃气体</w:t>
            </w:r>
          </w:p>
        </w:tc>
      </w:tr>
      <w:tr w:rsidR="002662E3" w:rsidRPr="00E67914" w14:paraId="10765E23" w14:textId="77777777" w:rsidTr="000D79A9">
        <w:trPr>
          <w:cantSplit/>
          <w:jc w:val="center"/>
        </w:trPr>
        <w:tc>
          <w:tcPr>
            <w:tcW w:w="791" w:type="dxa"/>
            <w:vMerge/>
            <w:vAlign w:val="center"/>
          </w:tcPr>
          <w:p w14:paraId="26E51309" w14:textId="77777777" w:rsidR="00A54A8A" w:rsidRPr="00E67914" w:rsidRDefault="00A54A8A">
            <w:pPr>
              <w:jc w:val="center"/>
              <w:rPr>
                <w:rFonts w:ascii="Times New Roman" w:hAnsi="Times New Roman"/>
                <w:sz w:val="21"/>
                <w:szCs w:val="21"/>
                <w:lang w:eastAsia="zh-CN"/>
              </w:rPr>
            </w:pPr>
          </w:p>
        </w:tc>
        <w:tc>
          <w:tcPr>
            <w:tcW w:w="1581" w:type="dxa"/>
            <w:vAlign w:val="center"/>
          </w:tcPr>
          <w:p w14:paraId="3D180E4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危险货物包装标志</w:t>
            </w:r>
          </w:p>
        </w:tc>
        <w:tc>
          <w:tcPr>
            <w:tcW w:w="5850" w:type="dxa"/>
            <w:gridSpan w:val="4"/>
            <w:vAlign w:val="center"/>
          </w:tcPr>
          <w:p w14:paraId="5EE84A4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4</w:t>
            </w:r>
          </w:p>
        </w:tc>
      </w:tr>
      <w:tr w:rsidR="002662E3" w:rsidRPr="00E67914" w14:paraId="034C3BDB" w14:textId="77777777" w:rsidTr="000D79A9">
        <w:trPr>
          <w:cantSplit/>
          <w:jc w:val="center"/>
        </w:trPr>
        <w:tc>
          <w:tcPr>
            <w:tcW w:w="791" w:type="dxa"/>
            <w:vAlign w:val="center"/>
          </w:tcPr>
          <w:p w14:paraId="28061E1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包装</w:t>
            </w:r>
          </w:p>
          <w:p w14:paraId="0DBDF74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储运</w:t>
            </w:r>
          </w:p>
        </w:tc>
        <w:tc>
          <w:tcPr>
            <w:tcW w:w="1581" w:type="dxa"/>
            <w:vAlign w:val="center"/>
          </w:tcPr>
          <w:p w14:paraId="4BC365B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储运注意事项</w:t>
            </w:r>
          </w:p>
        </w:tc>
        <w:tc>
          <w:tcPr>
            <w:tcW w:w="5850" w:type="dxa"/>
            <w:gridSpan w:val="4"/>
            <w:vAlign w:val="center"/>
          </w:tcPr>
          <w:p w14:paraId="2221BC94" w14:textId="77777777" w:rsidR="00A54A8A" w:rsidRPr="00E67914" w:rsidRDefault="00000000">
            <w:pPr>
              <w:rPr>
                <w:rFonts w:ascii="Times New Roman" w:hAnsi="Times New Roman"/>
                <w:sz w:val="21"/>
                <w:szCs w:val="21"/>
              </w:rPr>
            </w:pPr>
            <w:r w:rsidRPr="00E67914">
              <w:rPr>
                <w:rFonts w:ascii="Times New Roman" w:hAnsi="Times New Roman"/>
                <w:sz w:val="21"/>
                <w:szCs w:val="21"/>
                <w:lang w:eastAsia="zh-CN"/>
              </w:rPr>
              <w:t>1</w:t>
            </w:r>
            <w:r w:rsidRPr="00E67914">
              <w:rPr>
                <w:rFonts w:ascii="Times New Roman" w:hAnsi="Times New Roman"/>
                <w:sz w:val="21"/>
                <w:szCs w:val="21"/>
                <w:lang w:eastAsia="zh-CN"/>
              </w:rPr>
              <w:t>、储存于阴凉、通风的储存间内，且储存间内温度不宜超过</w:t>
            </w:r>
            <w:r w:rsidRPr="00E67914">
              <w:rPr>
                <w:rFonts w:ascii="Times New Roman" w:hAnsi="Times New Roman"/>
                <w:sz w:val="21"/>
                <w:szCs w:val="21"/>
                <w:lang w:eastAsia="zh-CN"/>
              </w:rPr>
              <w:t>30℃</w:t>
            </w:r>
            <w:r w:rsidRPr="00E67914">
              <w:rPr>
                <w:rFonts w:ascii="Times New Roman" w:hAnsi="Times New Roman"/>
                <w:sz w:val="21"/>
                <w:szCs w:val="21"/>
                <w:lang w:eastAsia="zh-CN"/>
              </w:rPr>
              <w:t>，储存间内的照明、通风设施应采用防爆型，开关设置于储存间外。</w:t>
            </w:r>
            <w:r w:rsidRPr="00E67914">
              <w:rPr>
                <w:rFonts w:ascii="Times New Roman" w:hAnsi="Times New Roman"/>
                <w:sz w:val="21"/>
                <w:szCs w:val="21"/>
                <w:lang w:eastAsia="zh-CN"/>
              </w:rPr>
              <w:t>2</w:t>
            </w:r>
            <w:r w:rsidRPr="00E67914">
              <w:rPr>
                <w:rFonts w:ascii="Times New Roman" w:hAnsi="Times New Roman"/>
                <w:sz w:val="21"/>
                <w:szCs w:val="21"/>
                <w:lang w:eastAsia="zh-CN"/>
              </w:rPr>
              <w:t>、罐储时，要有防火防爆措施，若为露天储罐夏季应有降温措施。</w:t>
            </w:r>
            <w:r w:rsidRPr="00E67914">
              <w:rPr>
                <w:rFonts w:ascii="Times New Roman" w:hAnsi="Times New Roman"/>
                <w:sz w:val="21"/>
                <w:szCs w:val="21"/>
                <w:lang w:eastAsia="zh-CN"/>
              </w:rPr>
              <w:t>3</w:t>
            </w:r>
            <w:r w:rsidRPr="00E67914">
              <w:rPr>
                <w:rFonts w:ascii="Times New Roman" w:hAnsi="Times New Roman"/>
                <w:sz w:val="21"/>
                <w:szCs w:val="21"/>
                <w:lang w:eastAsia="zh-CN"/>
              </w:rPr>
              <w:t>、储存间和储罐附近应配备相应品种和数量的消防器材。</w:t>
            </w:r>
            <w:r w:rsidRPr="00E67914">
              <w:rPr>
                <w:rFonts w:ascii="Times New Roman" w:hAnsi="Times New Roman"/>
                <w:sz w:val="21"/>
                <w:szCs w:val="21"/>
                <w:lang w:eastAsia="zh-CN"/>
              </w:rPr>
              <w:t>4</w:t>
            </w:r>
            <w:r w:rsidRPr="00E67914">
              <w:rPr>
                <w:rFonts w:ascii="Times New Roman" w:hAnsi="Times New Roman"/>
                <w:sz w:val="21"/>
                <w:szCs w:val="21"/>
                <w:lang w:eastAsia="zh-CN"/>
              </w:rPr>
              <w:t>、远离火种、热源，禁止使用易产生火花的机械设备和工具。</w:t>
            </w:r>
            <w:r w:rsidRPr="00E67914">
              <w:rPr>
                <w:rFonts w:ascii="Times New Roman" w:hAnsi="Times New Roman"/>
                <w:sz w:val="21"/>
                <w:szCs w:val="21"/>
                <w:lang w:eastAsia="zh-CN"/>
              </w:rPr>
              <w:t>5</w:t>
            </w:r>
            <w:r w:rsidRPr="00E67914">
              <w:rPr>
                <w:rFonts w:ascii="Times New Roman" w:hAnsi="Times New Roman"/>
                <w:sz w:val="21"/>
                <w:szCs w:val="21"/>
                <w:lang w:eastAsia="zh-CN"/>
              </w:rPr>
              <w:t>、防止阳光直射。</w:t>
            </w:r>
            <w:r w:rsidRPr="00E67914">
              <w:rPr>
                <w:rFonts w:ascii="Times New Roman" w:hAnsi="Times New Roman"/>
                <w:sz w:val="21"/>
                <w:szCs w:val="21"/>
                <w:lang w:eastAsia="zh-CN"/>
              </w:rPr>
              <w:t>6</w:t>
            </w:r>
            <w:r w:rsidRPr="00E67914">
              <w:rPr>
                <w:rFonts w:ascii="Times New Roman" w:hAnsi="Times New Roman"/>
                <w:sz w:val="21"/>
                <w:szCs w:val="21"/>
                <w:lang w:eastAsia="zh-CN"/>
              </w:rPr>
              <w:t>、与氧气、压缩空气、卤素</w:t>
            </w:r>
            <w:r w:rsidRPr="00E67914">
              <w:rPr>
                <w:rFonts w:ascii="Times New Roman" w:hAnsi="Times New Roman"/>
                <w:sz w:val="21"/>
                <w:szCs w:val="21"/>
                <w:lang w:eastAsia="zh-CN"/>
              </w:rPr>
              <w:t>(</w:t>
            </w:r>
            <w:r w:rsidRPr="00E67914">
              <w:rPr>
                <w:rFonts w:ascii="Times New Roman" w:hAnsi="Times New Roman"/>
                <w:sz w:val="21"/>
                <w:szCs w:val="21"/>
                <w:lang w:eastAsia="zh-CN"/>
              </w:rPr>
              <w:t>氟、氯、溴</w:t>
            </w:r>
            <w:r w:rsidRPr="00E67914">
              <w:rPr>
                <w:rFonts w:ascii="Times New Roman" w:hAnsi="Times New Roman"/>
                <w:sz w:val="21"/>
                <w:szCs w:val="21"/>
                <w:lang w:eastAsia="zh-CN"/>
              </w:rPr>
              <w:t>)</w:t>
            </w:r>
            <w:r w:rsidRPr="00E67914">
              <w:rPr>
                <w:rFonts w:ascii="Times New Roman" w:hAnsi="Times New Roman"/>
                <w:sz w:val="21"/>
                <w:szCs w:val="21"/>
                <w:lang w:eastAsia="zh-CN"/>
              </w:rPr>
              <w:t>等分开存放，切忌混储混运。</w:t>
            </w:r>
            <w:r w:rsidRPr="00E67914">
              <w:rPr>
                <w:rFonts w:ascii="Times New Roman" w:hAnsi="Times New Roman"/>
                <w:sz w:val="21"/>
                <w:szCs w:val="21"/>
                <w:lang w:eastAsia="zh-CN"/>
              </w:rPr>
              <w:t>7</w:t>
            </w:r>
            <w:r w:rsidRPr="00E67914">
              <w:rPr>
                <w:rFonts w:ascii="Times New Roman" w:hAnsi="Times New Roman"/>
                <w:sz w:val="21"/>
                <w:szCs w:val="21"/>
                <w:lang w:eastAsia="zh-CN"/>
              </w:rPr>
              <w:t>、验收时应注意品名，注意验瓶日期，先进储存的先发用。</w:t>
            </w:r>
            <w:r w:rsidRPr="00E67914">
              <w:rPr>
                <w:rFonts w:ascii="Times New Roman" w:hAnsi="Times New Roman"/>
                <w:sz w:val="21"/>
                <w:szCs w:val="21"/>
              </w:rPr>
              <w:t>8</w:t>
            </w:r>
            <w:r w:rsidRPr="00E67914">
              <w:rPr>
                <w:rFonts w:ascii="Times New Roman" w:hAnsi="Times New Roman"/>
                <w:sz w:val="21"/>
                <w:szCs w:val="21"/>
              </w:rPr>
              <w:t>、搬运时轻装轻卸，防止钢瓶及附件破损。</w:t>
            </w:r>
          </w:p>
        </w:tc>
      </w:tr>
      <w:tr w:rsidR="002662E3" w:rsidRPr="00E67914" w14:paraId="1E6FB592" w14:textId="77777777" w:rsidTr="000D79A9">
        <w:trPr>
          <w:cantSplit/>
          <w:jc w:val="center"/>
        </w:trPr>
        <w:tc>
          <w:tcPr>
            <w:tcW w:w="791" w:type="dxa"/>
            <w:vMerge w:val="restart"/>
            <w:vAlign w:val="center"/>
          </w:tcPr>
          <w:p w14:paraId="1EA0FBFB"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急救</w:t>
            </w:r>
          </w:p>
        </w:tc>
        <w:tc>
          <w:tcPr>
            <w:tcW w:w="1581" w:type="dxa"/>
            <w:vAlign w:val="center"/>
          </w:tcPr>
          <w:p w14:paraId="20EF813D"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皮肤接触</w:t>
            </w:r>
          </w:p>
        </w:tc>
        <w:tc>
          <w:tcPr>
            <w:tcW w:w="5850" w:type="dxa"/>
            <w:gridSpan w:val="4"/>
            <w:vAlign w:val="center"/>
          </w:tcPr>
          <w:p w14:paraId="1F3DBC5B"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若有冻伤，就医治疗。</w:t>
            </w:r>
          </w:p>
        </w:tc>
      </w:tr>
      <w:tr w:rsidR="002662E3" w:rsidRPr="00E67914" w14:paraId="6512CF45" w14:textId="77777777" w:rsidTr="000D79A9">
        <w:trPr>
          <w:cantSplit/>
          <w:jc w:val="center"/>
        </w:trPr>
        <w:tc>
          <w:tcPr>
            <w:tcW w:w="791" w:type="dxa"/>
            <w:vMerge/>
            <w:vAlign w:val="center"/>
          </w:tcPr>
          <w:p w14:paraId="3E955298" w14:textId="77777777" w:rsidR="00A54A8A" w:rsidRPr="00E67914" w:rsidRDefault="00A54A8A">
            <w:pPr>
              <w:jc w:val="center"/>
              <w:rPr>
                <w:rFonts w:ascii="Times New Roman" w:hAnsi="Times New Roman"/>
                <w:sz w:val="21"/>
                <w:szCs w:val="21"/>
                <w:lang w:eastAsia="zh-CN"/>
              </w:rPr>
            </w:pPr>
          </w:p>
        </w:tc>
        <w:tc>
          <w:tcPr>
            <w:tcW w:w="1581" w:type="dxa"/>
            <w:vAlign w:val="center"/>
          </w:tcPr>
          <w:p w14:paraId="018E5FAC"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吸入</w:t>
            </w:r>
          </w:p>
        </w:tc>
        <w:tc>
          <w:tcPr>
            <w:tcW w:w="5850" w:type="dxa"/>
            <w:gridSpan w:val="4"/>
            <w:vAlign w:val="center"/>
          </w:tcPr>
          <w:p w14:paraId="4DF903C7"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、迅速脱离现场至空气新鲜处。</w:t>
            </w:r>
            <w:r w:rsidRPr="00E67914">
              <w:rPr>
                <w:rFonts w:ascii="Times New Roman" w:hAnsi="Times New Roman"/>
                <w:sz w:val="21"/>
                <w:szCs w:val="21"/>
                <w:lang w:eastAsia="zh-CN"/>
              </w:rPr>
              <w:t>2</w:t>
            </w:r>
            <w:r w:rsidRPr="00E67914">
              <w:rPr>
                <w:rFonts w:ascii="Times New Roman" w:hAnsi="Times New Roman"/>
                <w:sz w:val="21"/>
                <w:szCs w:val="21"/>
                <w:lang w:eastAsia="zh-CN"/>
              </w:rPr>
              <w:t>、注意保暖，呼吸困难时给输氧。</w:t>
            </w:r>
            <w:r w:rsidRPr="00E67914">
              <w:rPr>
                <w:rFonts w:ascii="Times New Roman" w:hAnsi="Times New Roman"/>
                <w:sz w:val="21"/>
                <w:szCs w:val="21"/>
                <w:lang w:eastAsia="zh-CN"/>
              </w:rPr>
              <w:t>3</w:t>
            </w:r>
            <w:r w:rsidRPr="00E67914">
              <w:rPr>
                <w:rFonts w:ascii="Times New Roman" w:hAnsi="Times New Roman"/>
                <w:sz w:val="21"/>
                <w:szCs w:val="21"/>
                <w:lang w:eastAsia="zh-CN"/>
              </w:rPr>
              <w:t>、呼吸及心跳停止者立即进行人工呼吸和心脏按压术，并就医治疗。</w:t>
            </w:r>
          </w:p>
        </w:tc>
      </w:tr>
      <w:tr w:rsidR="002662E3" w:rsidRPr="00E67914" w14:paraId="40FAA1C8" w14:textId="77777777" w:rsidTr="000D79A9">
        <w:trPr>
          <w:cantSplit/>
          <w:jc w:val="center"/>
        </w:trPr>
        <w:tc>
          <w:tcPr>
            <w:tcW w:w="791" w:type="dxa"/>
            <w:vMerge w:val="restart"/>
            <w:vAlign w:val="center"/>
          </w:tcPr>
          <w:p w14:paraId="1DA6778A"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防护</w:t>
            </w:r>
          </w:p>
          <w:p w14:paraId="1644AB1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措施</w:t>
            </w:r>
          </w:p>
        </w:tc>
        <w:tc>
          <w:tcPr>
            <w:tcW w:w="1581" w:type="dxa"/>
            <w:vAlign w:val="center"/>
          </w:tcPr>
          <w:p w14:paraId="6363A562"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工程控制</w:t>
            </w:r>
          </w:p>
        </w:tc>
        <w:tc>
          <w:tcPr>
            <w:tcW w:w="5850" w:type="dxa"/>
            <w:gridSpan w:val="4"/>
            <w:vAlign w:val="center"/>
          </w:tcPr>
          <w:p w14:paraId="00CC8443" w14:textId="77777777" w:rsidR="00A54A8A" w:rsidRPr="00E67914" w:rsidRDefault="00000000">
            <w:pPr>
              <w:rPr>
                <w:rFonts w:ascii="Times New Roman" w:hAnsi="Times New Roman"/>
                <w:sz w:val="21"/>
                <w:szCs w:val="21"/>
              </w:rPr>
            </w:pPr>
            <w:r w:rsidRPr="00E67914">
              <w:rPr>
                <w:rFonts w:ascii="Times New Roman" w:hAnsi="Times New Roman"/>
                <w:sz w:val="21"/>
                <w:szCs w:val="21"/>
              </w:rPr>
              <w:t>全面通风。</w:t>
            </w:r>
          </w:p>
        </w:tc>
      </w:tr>
      <w:tr w:rsidR="002662E3" w:rsidRPr="00E67914" w14:paraId="22CBD1A3" w14:textId="77777777" w:rsidTr="000D79A9">
        <w:trPr>
          <w:cantSplit/>
          <w:jc w:val="center"/>
        </w:trPr>
        <w:tc>
          <w:tcPr>
            <w:tcW w:w="791" w:type="dxa"/>
            <w:vMerge/>
            <w:vAlign w:val="center"/>
          </w:tcPr>
          <w:p w14:paraId="6A1D4C46" w14:textId="77777777" w:rsidR="00A54A8A" w:rsidRPr="00E67914" w:rsidRDefault="00A54A8A">
            <w:pPr>
              <w:jc w:val="center"/>
              <w:rPr>
                <w:rFonts w:ascii="Times New Roman" w:hAnsi="Times New Roman"/>
                <w:sz w:val="21"/>
                <w:szCs w:val="21"/>
              </w:rPr>
            </w:pPr>
          </w:p>
        </w:tc>
        <w:tc>
          <w:tcPr>
            <w:tcW w:w="1581" w:type="dxa"/>
            <w:vAlign w:val="center"/>
          </w:tcPr>
          <w:p w14:paraId="0103FDD6"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呼吸系统防护</w:t>
            </w:r>
          </w:p>
        </w:tc>
        <w:tc>
          <w:tcPr>
            <w:tcW w:w="5850" w:type="dxa"/>
            <w:gridSpan w:val="4"/>
            <w:vAlign w:val="center"/>
          </w:tcPr>
          <w:p w14:paraId="112DBD82"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一般不需要特殊防护，高浓度环境中，可佩带供气式呼吸器。</w:t>
            </w:r>
          </w:p>
        </w:tc>
      </w:tr>
      <w:tr w:rsidR="002662E3" w:rsidRPr="00E67914" w14:paraId="5E66D53C" w14:textId="77777777" w:rsidTr="000D79A9">
        <w:trPr>
          <w:cantSplit/>
          <w:jc w:val="center"/>
        </w:trPr>
        <w:tc>
          <w:tcPr>
            <w:tcW w:w="791" w:type="dxa"/>
            <w:vMerge/>
            <w:vAlign w:val="center"/>
          </w:tcPr>
          <w:p w14:paraId="00361C0B" w14:textId="77777777" w:rsidR="00A54A8A" w:rsidRPr="00E67914" w:rsidRDefault="00A54A8A">
            <w:pPr>
              <w:jc w:val="center"/>
              <w:rPr>
                <w:rFonts w:ascii="Times New Roman" w:hAnsi="Times New Roman"/>
                <w:sz w:val="21"/>
                <w:szCs w:val="21"/>
                <w:lang w:eastAsia="zh-CN"/>
              </w:rPr>
            </w:pPr>
          </w:p>
        </w:tc>
        <w:tc>
          <w:tcPr>
            <w:tcW w:w="1581" w:type="dxa"/>
            <w:vAlign w:val="center"/>
          </w:tcPr>
          <w:p w14:paraId="36DE8835"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眼睛防护</w:t>
            </w:r>
          </w:p>
        </w:tc>
        <w:tc>
          <w:tcPr>
            <w:tcW w:w="5850" w:type="dxa"/>
            <w:gridSpan w:val="4"/>
            <w:vAlign w:val="center"/>
          </w:tcPr>
          <w:p w14:paraId="121C2FEA"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一般不需要特殊防护，高浓度接触时可戴安全防护眼镜。</w:t>
            </w:r>
          </w:p>
        </w:tc>
      </w:tr>
      <w:tr w:rsidR="002662E3" w:rsidRPr="00E67914" w14:paraId="19A3E1DD" w14:textId="77777777" w:rsidTr="000D79A9">
        <w:trPr>
          <w:cantSplit/>
          <w:jc w:val="center"/>
        </w:trPr>
        <w:tc>
          <w:tcPr>
            <w:tcW w:w="791" w:type="dxa"/>
            <w:vMerge/>
            <w:vAlign w:val="center"/>
          </w:tcPr>
          <w:p w14:paraId="2A0F459A" w14:textId="77777777" w:rsidR="00A54A8A" w:rsidRPr="00E67914" w:rsidRDefault="00A54A8A">
            <w:pPr>
              <w:jc w:val="center"/>
              <w:rPr>
                <w:rFonts w:ascii="Times New Roman" w:hAnsi="Times New Roman"/>
                <w:sz w:val="21"/>
                <w:szCs w:val="21"/>
                <w:lang w:eastAsia="zh-CN"/>
              </w:rPr>
            </w:pPr>
          </w:p>
        </w:tc>
        <w:tc>
          <w:tcPr>
            <w:tcW w:w="1581" w:type="dxa"/>
            <w:vAlign w:val="center"/>
          </w:tcPr>
          <w:p w14:paraId="26EDE084"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手防护</w:t>
            </w:r>
          </w:p>
        </w:tc>
        <w:tc>
          <w:tcPr>
            <w:tcW w:w="5850" w:type="dxa"/>
            <w:gridSpan w:val="4"/>
            <w:vAlign w:val="center"/>
          </w:tcPr>
          <w:p w14:paraId="0ECAEAF1"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一般不需要特殊防护，高浓度接触可戴防护手套。</w:t>
            </w:r>
          </w:p>
        </w:tc>
      </w:tr>
      <w:tr w:rsidR="002662E3" w:rsidRPr="00E67914" w14:paraId="1DD935F6" w14:textId="77777777" w:rsidTr="000D79A9">
        <w:trPr>
          <w:cantSplit/>
          <w:jc w:val="center"/>
        </w:trPr>
        <w:tc>
          <w:tcPr>
            <w:tcW w:w="791" w:type="dxa"/>
            <w:vMerge/>
            <w:vAlign w:val="center"/>
          </w:tcPr>
          <w:p w14:paraId="3F1CAB9C" w14:textId="77777777" w:rsidR="00A54A8A" w:rsidRPr="00E67914" w:rsidRDefault="00A54A8A">
            <w:pPr>
              <w:jc w:val="center"/>
              <w:rPr>
                <w:rFonts w:ascii="Times New Roman" w:hAnsi="Times New Roman"/>
                <w:sz w:val="21"/>
                <w:szCs w:val="21"/>
                <w:lang w:eastAsia="zh-CN"/>
              </w:rPr>
            </w:pPr>
          </w:p>
        </w:tc>
        <w:tc>
          <w:tcPr>
            <w:tcW w:w="1581" w:type="dxa"/>
            <w:vAlign w:val="center"/>
          </w:tcPr>
          <w:p w14:paraId="49F04EB9"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其它</w:t>
            </w:r>
          </w:p>
        </w:tc>
        <w:tc>
          <w:tcPr>
            <w:tcW w:w="5850" w:type="dxa"/>
            <w:gridSpan w:val="4"/>
            <w:vAlign w:val="center"/>
          </w:tcPr>
          <w:p w14:paraId="2308DAE3"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、工作现场严禁吸烟；</w:t>
            </w:r>
            <w:r w:rsidRPr="00E67914">
              <w:rPr>
                <w:rFonts w:ascii="Times New Roman" w:hAnsi="Times New Roman"/>
                <w:sz w:val="21"/>
                <w:szCs w:val="21"/>
                <w:lang w:eastAsia="zh-CN"/>
              </w:rPr>
              <w:t>2</w:t>
            </w:r>
            <w:r w:rsidRPr="00E67914">
              <w:rPr>
                <w:rFonts w:ascii="Times New Roman" w:hAnsi="Times New Roman"/>
                <w:sz w:val="21"/>
                <w:szCs w:val="21"/>
                <w:lang w:eastAsia="zh-CN"/>
              </w:rPr>
              <w:t>、避免长期反复接触；</w:t>
            </w:r>
          </w:p>
          <w:p w14:paraId="25C1FB7A"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3</w:t>
            </w:r>
            <w:r w:rsidRPr="00E67914">
              <w:rPr>
                <w:rFonts w:ascii="Times New Roman" w:hAnsi="Times New Roman"/>
                <w:sz w:val="21"/>
                <w:szCs w:val="21"/>
                <w:lang w:eastAsia="zh-CN"/>
              </w:rPr>
              <w:t>、进入罐区或其它高浓度区作业时须有人监护。</w:t>
            </w:r>
          </w:p>
        </w:tc>
      </w:tr>
      <w:tr w:rsidR="002662E3" w:rsidRPr="00E67914" w14:paraId="19F5AD3A" w14:textId="77777777" w:rsidTr="000D79A9">
        <w:trPr>
          <w:cantSplit/>
          <w:jc w:val="center"/>
        </w:trPr>
        <w:tc>
          <w:tcPr>
            <w:tcW w:w="791" w:type="dxa"/>
            <w:vAlign w:val="center"/>
          </w:tcPr>
          <w:p w14:paraId="30F7F283"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泄露</w:t>
            </w:r>
          </w:p>
          <w:p w14:paraId="331F64C1"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处理</w:t>
            </w:r>
          </w:p>
        </w:tc>
        <w:tc>
          <w:tcPr>
            <w:tcW w:w="7431" w:type="dxa"/>
            <w:gridSpan w:val="5"/>
            <w:vAlign w:val="center"/>
          </w:tcPr>
          <w:p w14:paraId="56691FCC"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、切断气源，喷雾状水稀释、降温，抽排</w:t>
            </w:r>
            <w:r w:rsidRPr="00E67914">
              <w:rPr>
                <w:rFonts w:ascii="Times New Roman" w:hAnsi="Times New Roman"/>
                <w:sz w:val="21"/>
                <w:szCs w:val="21"/>
                <w:lang w:eastAsia="zh-CN"/>
              </w:rPr>
              <w:t>(</w:t>
            </w:r>
            <w:r w:rsidRPr="00E67914">
              <w:rPr>
                <w:rFonts w:ascii="Times New Roman" w:hAnsi="Times New Roman"/>
                <w:sz w:val="21"/>
                <w:szCs w:val="21"/>
                <w:lang w:eastAsia="zh-CN"/>
              </w:rPr>
              <w:t>室内</w:t>
            </w:r>
            <w:r w:rsidRPr="00E67914">
              <w:rPr>
                <w:rFonts w:ascii="Times New Roman" w:hAnsi="Times New Roman"/>
                <w:sz w:val="21"/>
                <w:szCs w:val="21"/>
                <w:lang w:eastAsia="zh-CN"/>
              </w:rPr>
              <w:t>)</w:t>
            </w:r>
            <w:r w:rsidRPr="00E67914">
              <w:rPr>
                <w:rFonts w:ascii="Times New Roman" w:hAnsi="Times New Roman"/>
                <w:sz w:val="21"/>
                <w:szCs w:val="21"/>
                <w:lang w:eastAsia="zh-CN"/>
              </w:rPr>
              <w:t>或强力通风</w:t>
            </w:r>
            <w:r w:rsidRPr="00E67914">
              <w:rPr>
                <w:rFonts w:ascii="Times New Roman" w:hAnsi="Times New Roman"/>
                <w:sz w:val="21"/>
                <w:szCs w:val="21"/>
                <w:lang w:eastAsia="zh-CN"/>
              </w:rPr>
              <w:t>(</w:t>
            </w:r>
            <w:r w:rsidRPr="00E67914">
              <w:rPr>
                <w:rFonts w:ascii="Times New Roman" w:hAnsi="Times New Roman"/>
                <w:sz w:val="21"/>
                <w:szCs w:val="21"/>
                <w:lang w:eastAsia="zh-CN"/>
              </w:rPr>
              <w:t>室外</w:t>
            </w:r>
            <w:r w:rsidRPr="00E67914">
              <w:rPr>
                <w:rFonts w:ascii="Times New Roman" w:hAnsi="Times New Roman"/>
                <w:sz w:val="21"/>
                <w:szCs w:val="21"/>
                <w:lang w:eastAsia="zh-CN"/>
              </w:rPr>
              <w:t>)</w:t>
            </w:r>
            <w:r w:rsidRPr="00E67914">
              <w:rPr>
                <w:rFonts w:ascii="Times New Roman" w:hAnsi="Times New Roman"/>
                <w:sz w:val="21"/>
                <w:szCs w:val="21"/>
                <w:lang w:eastAsia="zh-CN"/>
              </w:rPr>
              <w:t>。</w:t>
            </w:r>
            <w:r w:rsidRPr="00E67914">
              <w:rPr>
                <w:rFonts w:ascii="Times New Roman" w:hAnsi="Times New Roman"/>
                <w:sz w:val="21"/>
                <w:szCs w:val="21"/>
                <w:lang w:eastAsia="zh-CN"/>
              </w:rPr>
              <w:t>2</w:t>
            </w:r>
            <w:r w:rsidRPr="00E67914">
              <w:rPr>
                <w:rFonts w:ascii="Times New Roman" w:hAnsi="Times New Roman"/>
                <w:sz w:val="21"/>
                <w:szCs w:val="21"/>
                <w:lang w:eastAsia="zh-CN"/>
              </w:rPr>
              <w:t>、切断火源，迅速撤离泄露污染区人员至上风处，并隔离直至气体散尽。</w:t>
            </w:r>
            <w:r w:rsidRPr="00E67914">
              <w:rPr>
                <w:rFonts w:ascii="Times New Roman" w:hAnsi="Times New Roman"/>
                <w:sz w:val="21"/>
                <w:szCs w:val="21"/>
                <w:lang w:eastAsia="zh-CN"/>
              </w:rPr>
              <w:t>3</w:t>
            </w:r>
            <w:r w:rsidRPr="00E67914">
              <w:rPr>
                <w:rFonts w:ascii="Times New Roman" w:hAnsi="Times New Roman"/>
                <w:sz w:val="21"/>
                <w:szCs w:val="21"/>
                <w:lang w:eastAsia="zh-CN"/>
              </w:rPr>
              <w:t>、应急处理人员应戴自给式呼吸器，穿一般消防防护服。</w:t>
            </w:r>
            <w:r w:rsidRPr="00E67914">
              <w:rPr>
                <w:rFonts w:ascii="Times New Roman" w:hAnsi="Times New Roman"/>
                <w:sz w:val="21"/>
                <w:szCs w:val="21"/>
                <w:lang w:eastAsia="zh-CN"/>
              </w:rPr>
              <w:t>4</w:t>
            </w:r>
            <w:r w:rsidRPr="00E67914">
              <w:rPr>
                <w:rFonts w:ascii="Times New Roman" w:hAnsi="Times New Roman"/>
                <w:sz w:val="21"/>
                <w:szCs w:val="21"/>
                <w:lang w:eastAsia="zh-CN"/>
              </w:rPr>
              <w:t>、如有可能，应将漏出气用排风机送至空旷地方或装设适当喷头烧掉；也可以将漏气的容器移至空旷处，注意通风。</w:t>
            </w:r>
            <w:r w:rsidRPr="00E67914">
              <w:rPr>
                <w:rFonts w:ascii="Times New Roman" w:hAnsi="Times New Roman"/>
                <w:sz w:val="21"/>
                <w:szCs w:val="21"/>
                <w:lang w:eastAsia="zh-CN"/>
              </w:rPr>
              <w:t>5</w:t>
            </w:r>
            <w:r w:rsidRPr="00E67914">
              <w:rPr>
                <w:rFonts w:ascii="Times New Roman" w:hAnsi="Times New Roman"/>
                <w:sz w:val="21"/>
                <w:szCs w:val="21"/>
                <w:lang w:eastAsia="zh-CN"/>
              </w:rPr>
              <w:t>、漏气容器不能再用，且要经过技术处理以清除可能剩下的气休。</w:t>
            </w:r>
          </w:p>
        </w:tc>
      </w:tr>
    </w:tbl>
    <w:p w14:paraId="010354EE" w14:textId="77777777" w:rsidR="00A54A8A" w:rsidRPr="00E67914" w:rsidRDefault="00000000">
      <w:pPr>
        <w:pStyle w:val="af"/>
        <w:adjustRightInd w:val="0"/>
        <w:snapToGrid w:val="0"/>
        <w:spacing w:beforeLines="50" w:before="12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6</w:t>
      </w:r>
      <w:r w:rsidRPr="00E67914">
        <w:rPr>
          <w:rFonts w:ascii="Times New Roman" w:hAnsi="Times New Roman"/>
          <w:b/>
          <w:kern w:val="2"/>
          <w:lang w:eastAsia="zh-CN"/>
        </w:rPr>
        <w:t>）柴油危险性分析</w:t>
      </w:r>
    </w:p>
    <w:p w14:paraId="77DDCD2E"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钻井及井下作业过程中使用柴油机作为钻井作业现场电力和动力输出，柴油具有可燃性，其物理化学特性见表</w:t>
      </w:r>
      <w:r w:rsidRPr="00E67914">
        <w:rPr>
          <w:rFonts w:ascii="Times New Roman" w:hAnsi="Times New Roman"/>
          <w:bCs/>
          <w:kern w:val="2"/>
          <w:sz w:val="24"/>
          <w:szCs w:val="24"/>
          <w:lang w:eastAsia="zh-CN"/>
        </w:rPr>
        <w:t>6.1-3</w:t>
      </w:r>
      <w:r w:rsidRPr="00E67914">
        <w:rPr>
          <w:rFonts w:ascii="Times New Roman" w:hAnsi="Times New Roman"/>
          <w:bCs/>
          <w:kern w:val="2"/>
          <w:sz w:val="24"/>
          <w:szCs w:val="24"/>
          <w:lang w:eastAsia="zh-CN"/>
        </w:rPr>
        <w:t>。</w:t>
      </w:r>
    </w:p>
    <w:p w14:paraId="131549B0"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6.1-3  </w:t>
      </w:r>
      <w:r w:rsidRPr="00E67914">
        <w:rPr>
          <w:rFonts w:ascii="Times New Roman" w:eastAsia="黑体" w:hAnsi="Times New Roman"/>
          <w:sz w:val="21"/>
          <w:szCs w:val="21"/>
          <w:lang w:eastAsia="zh-CN"/>
        </w:rPr>
        <w:t>柴油特性表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1948"/>
        <w:gridCol w:w="1883"/>
        <w:gridCol w:w="2570"/>
      </w:tblGrid>
      <w:tr w:rsidR="002662E3" w:rsidRPr="00E67914" w14:paraId="6F00E913" w14:textId="77777777">
        <w:trPr>
          <w:trHeight w:val="20"/>
          <w:jc w:val="center"/>
        </w:trPr>
        <w:tc>
          <w:tcPr>
            <w:tcW w:w="8222" w:type="dxa"/>
            <w:gridSpan w:val="4"/>
            <w:vAlign w:val="center"/>
          </w:tcPr>
          <w:p w14:paraId="32B89A3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第一部分危险性概述</w:t>
            </w:r>
          </w:p>
        </w:tc>
      </w:tr>
      <w:tr w:rsidR="002662E3" w:rsidRPr="00E67914" w14:paraId="1FB273F7" w14:textId="77777777">
        <w:trPr>
          <w:trHeight w:val="20"/>
          <w:jc w:val="center"/>
        </w:trPr>
        <w:tc>
          <w:tcPr>
            <w:tcW w:w="1821" w:type="dxa"/>
            <w:vAlign w:val="center"/>
          </w:tcPr>
          <w:p w14:paraId="10FA677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危险性类别</w:t>
            </w:r>
          </w:p>
        </w:tc>
        <w:tc>
          <w:tcPr>
            <w:tcW w:w="6401" w:type="dxa"/>
            <w:gridSpan w:val="3"/>
            <w:vAlign w:val="center"/>
          </w:tcPr>
          <w:p w14:paraId="71608A9C"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第</w:t>
            </w:r>
            <w:r w:rsidRPr="00E67914">
              <w:rPr>
                <w:rFonts w:ascii="Times New Roman" w:hAnsi="Times New Roman"/>
                <w:sz w:val="21"/>
                <w:szCs w:val="21"/>
                <w:lang w:eastAsia="zh-CN"/>
              </w:rPr>
              <w:t>3.3</w:t>
            </w:r>
            <w:r w:rsidRPr="00E67914">
              <w:rPr>
                <w:rFonts w:ascii="Times New Roman" w:hAnsi="Times New Roman"/>
                <w:sz w:val="21"/>
                <w:szCs w:val="21"/>
                <w:lang w:eastAsia="zh-CN"/>
              </w:rPr>
              <w:t>类高闪点易燃液体。</w:t>
            </w:r>
          </w:p>
        </w:tc>
      </w:tr>
      <w:tr w:rsidR="002662E3" w:rsidRPr="00E67914" w14:paraId="393671A0" w14:textId="77777777">
        <w:trPr>
          <w:trHeight w:val="20"/>
          <w:jc w:val="center"/>
        </w:trPr>
        <w:tc>
          <w:tcPr>
            <w:tcW w:w="1821" w:type="dxa"/>
            <w:vAlign w:val="center"/>
          </w:tcPr>
          <w:p w14:paraId="1C1796C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侵入途径</w:t>
            </w:r>
          </w:p>
        </w:tc>
        <w:tc>
          <w:tcPr>
            <w:tcW w:w="6401" w:type="dxa"/>
            <w:gridSpan w:val="3"/>
            <w:vAlign w:val="center"/>
          </w:tcPr>
          <w:p w14:paraId="50005E82"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吸入、食入、经皮肤吸收</w:t>
            </w:r>
          </w:p>
        </w:tc>
      </w:tr>
      <w:tr w:rsidR="002662E3" w:rsidRPr="00E67914" w14:paraId="1FD67176" w14:textId="77777777">
        <w:trPr>
          <w:trHeight w:val="20"/>
          <w:jc w:val="center"/>
        </w:trPr>
        <w:tc>
          <w:tcPr>
            <w:tcW w:w="1821" w:type="dxa"/>
            <w:vAlign w:val="center"/>
          </w:tcPr>
          <w:p w14:paraId="78B1DD2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lastRenderedPageBreak/>
              <w:t>健康危害</w:t>
            </w:r>
          </w:p>
        </w:tc>
        <w:tc>
          <w:tcPr>
            <w:tcW w:w="6401" w:type="dxa"/>
            <w:gridSpan w:val="3"/>
            <w:vAlign w:val="center"/>
          </w:tcPr>
          <w:p w14:paraId="5A7D9BF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皮肤接触柴油可引起接触性皮炎、油性痤疮，吸入可引起吸入性肺炎。能经胎盘进入胎儿血中。柴油废气可引起眼、鼻刺激症状，头痛。</w:t>
            </w:r>
          </w:p>
        </w:tc>
      </w:tr>
      <w:tr w:rsidR="002662E3" w:rsidRPr="00E67914" w14:paraId="19ABDB6D" w14:textId="77777777">
        <w:trPr>
          <w:trHeight w:val="20"/>
          <w:jc w:val="center"/>
        </w:trPr>
        <w:tc>
          <w:tcPr>
            <w:tcW w:w="8222" w:type="dxa"/>
            <w:gridSpan w:val="4"/>
            <w:vAlign w:val="center"/>
          </w:tcPr>
          <w:p w14:paraId="00CB7DF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第二部分急救措施</w:t>
            </w:r>
          </w:p>
        </w:tc>
      </w:tr>
      <w:tr w:rsidR="002662E3" w:rsidRPr="00E67914" w14:paraId="0573E6C3" w14:textId="77777777">
        <w:trPr>
          <w:trHeight w:val="20"/>
          <w:jc w:val="center"/>
        </w:trPr>
        <w:tc>
          <w:tcPr>
            <w:tcW w:w="1821" w:type="dxa"/>
            <w:vAlign w:val="center"/>
          </w:tcPr>
          <w:p w14:paraId="710D99A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皮肤接触</w:t>
            </w:r>
          </w:p>
        </w:tc>
        <w:tc>
          <w:tcPr>
            <w:tcW w:w="6401" w:type="dxa"/>
            <w:gridSpan w:val="3"/>
            <w:vAlign w:val="center"/>
          </w:tcPr>
          <w:p w14:paraId="31CC4B5C"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脱去污染的衣着，用肥皂和大量清水清洗污染皮肤。</w:t>
            </w:r>
          </w:p>
        </w:tc>
      </w:tr>
      <w:tr w:rsidR="002662E3" w:rsidRPr="00E67914" w14:paraId="6150CB13" w14:textId="77777777">
        <w:trPr>
          <w:trHeight w:val="20"/>
          <w:jc w:val="center"/>
        </w:trPr>
        <w:tc>
          <w:tcPr>
            <w:tcW w:w="1821" w:type="dxa"/>
            <w:vAlign w:val="center"/>
          </w:tcPr>
          <w:p w14:paraId="4A686E4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眼睛接触</w:t>
            </w:r>
          </w:p>
        </w:tc>
        <w:tc>
          <w:tcPr>
            <w:tcW w:w="6401" w:type="dxa"/>
            <w:gridSpan w:val="3"/>
            <w:vAlign w:val="center"/>
          </w:tcPr>
          <w:p w14:paraId="235A7BE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立即翻开上下眼睑，用流动清水冲洗，至少</w:t>
            </w:r>
            <w:r w:rsidRPr="00E67914">
              <w:rPr>
                <w:rFonts w:ascii="Times New Roman" w:hAnsi="Times New Roman"/>
                <w:sz w:val="21"/>
                <w:szCs w:val="21"/>
                <w:lang w:eastAsia="zh-CN"/>
              </w:rPr>
              <w:t>15min</w:t>
            </w:r>
            <w:r w:rsidRPr="00E67914">
              <w:rPr>
                <w:rFonts w:ascii="Times New Roman" w:hAnsi="Times New Roman"/>
                <w:sz w:val="21"/>
                <w:szCs w:val="21"/>
                <w:lang w:eastAsia="zh-CN"/>
              </w:rPr>
              <w:t>。</w:t>
            </w:r>
            <w:r w:rsidRPr="00E67914">
              <w:rPr>
                <w:rFonts w:ascii="Times New Roman" w:hAnsi="Times New Roman"/>
                <w:sz w:val="21"/>
                <w:szCs w:val="21"/>
              </w:rPr>
              <w:t>就医。</w:t>
            </w:r>
          </w:p>
        </w:tc>
      </w:tr>
      <w:tr w:rsidR="002662E3" w:rsidRPr="00E67914" w14:paraId="25A69A35" w14:textId="77777777">
        <w:trPr>
          <w:trHeight w:val="20"/>
          <w:jc w:val="center"/>
        </w:trPr>
        <w:tc>
          <w:tcPr>
            <w:tcW w:w="1821" w:type="dxa"/>
            <w:vAlign w:val="center"/>
          </w:tcPr>
          <w:p w14:paraId="738B768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吸入</w:t>
            </w:r>
          </w:p>
        </w:tc>
        <w:tc>
          <w:tcPr>
            <w:tcW w:w="6401" w:type="dxa"/>
            <w:gridSpan w:val="3"/>
            <w:vAlign w:val="center"/>
          </w:tcPr>
          <w:p w14:paraId="484F4F6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脱离现场。脱去污染的衣着，至空气新鲜处，就医。</w:t>
            </w:r>
            <w:r w:rsidRPr="00E67914">
              <w:rPr>
                <w:rFonts w:ascii="Times New Roman" w:hAnsi="Times New Roman"/>
                <w:sz w:val="21"/>
                <w:szCs w:val="21"/>
              </w:rPr>
              <w:t>防治吸入性肺炎。</w:t>
            </w:r>
          </w:p>
        </w:tc>
      </w:tr>
      <w:tr w:rsidR="002662E3" w:rsidRPr="00E67914" w14:paraId="6A492452" w14:textId="77777777">
        <w:trPr>
          <w:trHeight w:val="20"/>
          <w:jc w:val="center"/>
        </w:trPr>
        <w:tc>
          <w:tcPr>
            <w:tcW w:w="1821" w:type="dxa"/>
            <w:vAlign w:val="center"/>
          </w:tcPr>
          <w:p w14:paraId="0376B10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误服</w:t>
            </w:r>
          </w:p>
        </w:tc>
        <w:tc>
          <w:tcPr>
            <w:tcW w:w="6401" w:type="dxa"/>
            <w:gridSpan w:val="3"/>
            <w:vAlign w:val="center"/>
          </w:tcPr>
          <w:p w14:paraId="7B724835"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误服者饮牛奶或植物油，洗胃并灌肠，就医。</w:t>
            </w:r>
          </w:p>
        </w:tc>
      </w:tr>
      <w:tr w:rsidR="002662E3" w:rsidRPr="00E67914" w14:paraId="7E31E4E1" w14:textId="77777777">
        <w:trPr>
          <w:trHeight w:val="20"/>
          <w:jc w:val="center"/>
        </w:trPr>
        <w:tc>
          <w:tcPr>
            <w:tcW w:w="8222" w:type="dxa"/>
            <w:gridSpan w:val="4"/>
            <w:vAlign w:val="center"/>
          </w:tcPr>
          <w:p w14:paraId="13033C6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第三部分消防措施</w:t>
            </w:r>
          </w:p>
        </w:tc>
      </w:tr>
      <w:tr w:rsidR="002662E3" w:rsidRPr="00E67914" w14:paraId="762F379F" w14:textId="77777777">
        <w:trPr>
          <w:trHeight w:val="20"/>
          <w:jc w:val="center"/>
        </w:trPr>
        <w:tc>
          <w:tcPr>
            <w:tcW w:w="1821" w:type="dxa"/>
            <w:vAlign w:val="center"/>
          </w:tcPr>
          <w:p w14:paraId="5B26904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危险特性</w:t>
            </w:r>
          </w:p>
        </w:tc>
        <w:tc>
          <w:tcPr>
            <w:tcW w:w="6401" w:type="dxa"/>
            <w:gridSpan w:val="3"/>
            <w:vAlign w:val="center"/>
          </w:tcPr>
          <w:p w14:paraId="717A26CB"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遇明火、高热或与氧化剂接触，有引起燃烧爆炸的危险。若遇高热，容器内压增大，有开裂和爆炸的危险。</w:t>
            </w:r>
          </w:p>
        </w:tc>
      </w:tr>
      <w:tr w:rsidR="002662E3" w:rsidRPr="00E67914" w14:paraId="4B6D5EEE" w14:textId="77777777">
        <w:trPr>
          <w:trHeight w:val="20"/>
          <w:jc w:val="center"/>
        </w:trPr>
        <w:tc>
          <w:tcPr>
            <w:tcW w:w="1821" w:type="dxa"/>
            <w:vAlign w:val="center"/>
          </w:tcPr>
          <w:p w14:paraId="0C75D4F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有害燃烧产物</w:t>
            </w:r>
          </w:p>
        </w:tc>
        <w:tc>
          <w:tcPr>
            <w:tcW w:w="6401" w:type="dxa"/>
            <w:gridSpan w:val="3"/>
            <w:vAlign w:val="center"/>
          </w:tcPr>
          <w:p w14:paraId="1F77A12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一氧化碳、二氧化碳。</w:t>
            </w:r>
          </w:p>
        </w:tc>
      </w:tr>
      <w:tr w:rsidR="002662E3" w:rsidRPr="00E67914" w14:paraId="73E1B38E" w14:textId="77777777">
        <w:trPr>
          <w:trHeight w:val="20"/>
          <w:jc w:val="center"/>
        </w:trPr>
        <w:tc>
          <w:tcPr>
            <w:tcW w:w="1821" w:type="dxa"/>
            <w:vAlign w:val="center"/>
          </w:tcPr>
          <w:p w14:paraId="3DDFB88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灭火方法灭火剂</w:t>
            </w:r>
          </w:p>
        </w:tc>
        <w:tc>
          <w:tcPr>
            <w:tcW w:w="6401" w:type="dxa"/>
            <w:gridSpan w:val="3"/>
            <w:vAlign w:val="center"/>
          </w:tcPr>
          <w:p w14:paraId="4AB7451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泡沫、二氧化碳、干粉、砂土。</w:t>
            </w:r>
          </w:p>
        </w:tc>
      </w:tr>
      <w:tr w:rsidR="002662E3" w:rsidRPr="00E67914" w14:paraId="34F32AD2" w14:textId="77777777">
        <w:trPr>
          <w:trHeight w:val="20"/>
          <w:jc w:val="center"/>
        </w:trPr>
        <w:tc>
          <w:tcPr>
            <w:tcW w:w="8222" w:type="dxa"/>
            <w:gridSpan w:val="4"/>
            <w:vAlign w:val="center"/>
          </w:tcPr>
          <w:p w14:paraId="34B23DA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第四部分泄露应急处理</w:t>
            </w:r>
          </w:p>
        </w:tc>
      </w:tr>
      <w:tr w:rsidR="002662E3" w:rsidRPr="00E67914" w14:paraId="2A91E098" w14:textId="77777777">
        <w:trPr>
          <w:trHeight w:val="20"/>
          <w:jc w:val="center"/>
        </w:trPr>
        <w:tc>
          <w:tcPr>
            <w:tcW w:w="1821" w:type="dxa"/>
            <w:vAlign w:val="center"/>
          </w:tcPr>
          <w:p w14:paraId="6FBE924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应急处理</w:t>
            </w:r>
          </w:p>
        </w:tc>
        <w:tc>
          <w:tcPr>
            <w:tcW w:w="6401" w:type="dxa"/>
            <w:gridSpan w:val="3"/>
            <w:vAlign w:val="center"/>
          </w:tcPr>
          <w:p w14:paraId="7CFDAAE4"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切断火源。应急处理人员戴好防毒面具，穿化学防护服。在确保安全情况下堵漏。用活性炭或其他惰性材料吸收，然后收集运到空旷处焚烧。如大量泄露，利用围堤收容，然后收集、转移、回收或无害处理后废弃。</w:t>
            </w:r>
          </w:p>
        </w:tc>
      </w:tr>
      <w:tr w:rsidR="002662E3" w:rsidRPr="00E67914" w14:paraId="7DB8C62C" w14:textId="77777777">
        <w:trPr>
          <w:trHeight w:val="20"/>
          <w:jc w:val="center"/>
        </w:trPr>
        <w:tc>
          <w:tcPr>
            <w:tcW w:w="8222" w:type="dxa"/>
            <w:gridSpan w:val="4"/>
            <w:vAlign w:val="center"/>
          </w:tcPr>
          <w:p w14:paraId="3961F31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第五部分操作处置与储存</w:t>
            </w:r>
          </w:p>
        </w:tc>
      </w:tr>
      <w:tr w:rsidR="002662E3" w:rsidRPr="00E67914" w14:paraId="284A9A2F" w14:textId="77777777">
        <w:trPr>
          <w:trHeight w:val="20"/>
          <w:jc w:val="center"/>
        </w:trPr>
        <w:tc>
          <w:tcPr>
            <w:tcW w:w="1821" w:type="dxa"/>
            <w:vAlign w:val="center"/>
          </w:tcPr>
          <w:p w14:paraId="349784F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储存注意事项</w:t>
            </w:r>
          </w:p>
        </w:tc>
        <w:tc>
          <w:tcPr>
            <w:tcW w:w="6401" w:type="dxa"/>
            <w:gridSpan w:val="3"/>
            <w:vAlign w:val="center"/>
          </w:tcPr>
          <w:p w14:paraId="33D5B34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储存于阴凉、通风仓间内。远离火种、热源。保持容器密封。应与氧化剂分开存放。桶装堆垛不可过大，应留墙距、顶距、柱距及必要的防火检查走道。罐储时要有防火防爆技术措施。禁止使用易产生火花的机械设备和工具。充装要控制流速，注意防止静电积聚。搬运时轻装轻卸，防止包装及容器损坏。</w:t>
            </w:r>
          </w:p>
        </w:tc>
      </w:tr>
      <w:tr w:rsidR="002662E3" w:rsidRPr="00E67914" w14:paraId="7E45062E" w14:textId="77777777">
        <w:trPr>
          <w:trHeight w:val="20"/>
          <w:jc w:val="center"/>
        </w:trPr>
        <w:tc>
          <w:tcPr>
            <w:tcW w:w="8222" w:type="dxa"/>
            <w:gridSpan w:val="4"/>
            <w:vAlign w:val="center"/>
          </w:tcPr>
          <w:p w14:paraId="5109C12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第六部分接触控制</w:t>
            </w:r>
            <w:r w:rsidRPr="00E67914">
              <w:rPr>
                <w:rFonts w:ascii="Times New Roman" w:hAnsi="Times New Roman"/>
                <w:sz w:val="21"/>
                <w:szCs w:val="21"/>
                <w:lang w:eastAsia="zh-CN"/>
              </w:rPr>
              <w:t>/</w:t>
            </w:r>
            <w:r w:rsidRPr="00E67914">
              <w:rPr>
                <w:rFonts w:ascii="Times New Roman" w:hAnsi="Times New Roman"/>
                <w:sz w:val="21"/>
                <w:szCs w:val="21"/>
                <w:lang w:eastAsia="zh-CN"/>
              </w:rPr>
              <w:t>个体防护</w:t>
            </w:r>
          </w:p>
        </w:tc>
      </w:tr>
      <w:tr w:rsidR="002662E3" w:rsidRPr="00E67914" w14:paraId="7EE3D098" w14:textId="77777777">
        <w:trPr>
          <w:trHeight w:val="20"/>
          <w:jc w:val="center"/>
        </w:trPr>
        <w:tc>
          <w:tcPr>
            <w:tcW w:w="1821" w:type="dxa"/>
            <w:vAlign w:val="center"/>
          </w:tcPr>
          <w:p w14:paraId="390B184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工程控制</w:t>
            </w:r>
          </w:p>
        </w:tc>
        <w:tc>
          <w:tcPr>
            <w:tcW w:w="6401" w:type="dxa"/>
            <w:gridSpan w:val="3"/>
            <w:vAlign w:val="center"/>
          </w:tcPr>
          <w:p w14:paraId="79B0637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密闭操作，注意通风。</w:t>
            </w:r>
          </w:p>
        </w:tc>
      </w:tr>
      <w:tr w:rsidR="002662E3" w:rsidRPr="00E67914" w14:paraId="537FABEC" w14:textId="77777777">
        <w:trPr>
          <w:trHeight w:val="20"/>
          <w:jc w:val="center"/>
        </w:trPr>
        <w:tc>
          <w:tcPr>
            <w:tcW w:w="1821" w:type="dxa"/>
            <w:vAlign w:val="center"/>
          </w:tcPr>
          <w:p w14:paraId="04C662D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眼睛防护</w:t>
            </w:r>
          </w:p>
        </w:tc>
        <w:tc>
          <w:tcPr>
            <w:tcW w:w="6401" w:type="dxa"/>
            <w:gridSpan w:val="3"/>
            <w:vAlign w:val="center"/>
          </w:tcPr>
          <w:p w14:paraId="49C98853"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必要时戴安全防护眼镜。</w:t>
            </w:r>
          </w:p>
        </w:tc>
      </w:tr>
      <w:tr w:rsidR="002662E3" w:rsidRPr="00E67914" w14:paraId="4BEEC523" w14:textId="77777777">
        <w:trPr>
          <w:trHeight w:val="20"/>
          <w:jc w:val="center"/>
        </w:trPr>
        <w:tc>
          <w:tcPr>
            <w:tcW w:w="1821" w:type="dxa"/>
            <w:vAlign w:val="center"/>
          </w:tcPr>
          <w:p w14:paraId="63F3596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呼吸系统防护</w:t>
            </w:r>
          </w:p>
        </w:tc>
        <w:tc>
          <w:tcPr>
            <w:tcW w:w="6401" w:type="dxa"/>
            <w:gridSpan w:val="3"/>
            <w:vAlign w:val="center"/>
          </w:tcPr>
          <w:p w14:paraId="09BA522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一般不需特殊防护，但建议特殊情况下，佩戴供气式呼吸器。</w:t>
            </w:r>
          </w:p>
        </w:tc>
      </w:tr>
      <w:tr w:rsidR="002662E3" w:rsidRPr="00E67914" w14:paraId="034EFD8B" w14:textId="77777777">
        <w:trPr>
          <w:trHeight w:val="20"/>
          <w:jc w:val="center"/>
        </w:trPr>
        <w:tc>
          <w:tcPr>
            <w:tcW w:w="1821" w:type="dxa"/>
            <w:vAlign w:val="center"/>
          </w:tcPr>
          <w:p w14:paraId="220DAC2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身体防护</w:t>
            </w:r>
          </w:p>
        </w:tc>
        <w:tc>
          <w:tcPr>
            <w:tcW w:w="6401" w:type="dxa"/>
            <w:gridSpan w:val="3"/>
            <w:vAlign w:val="center"/>
          </w:tcPr>
          <w:p w14:paraId="019319B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穿工作服。</w:t>
            </w:r>
          </w:p>
        </w:tc>
      </w:tr>
      <w:tr w:rsidR="002662E3" w:rsidRPr="00E67914" w14:paraId="20BE8059" w14:textId="77777777">
        <w:trPr>
          <w:trHeight w:val="20"/>
          <w:jc w:val="center"/>
        </w:trPr>
        <w:tc>
          <w:tcPr>
            <w:tcW w:w="1821" w:type="dxa"/>
            <w:vAlign w:val="center"/>
          </w:tcPr>
          <w:p w14:paraId="0861727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手防护</w:t>
            </w:r>
          </w:p>
        </w:tc>
        <w:tc>
          <w:tcPr>
            <w:tcW w:w="6401" w:type="dxa"/>
            <w:gridSpan w:val="3"/>
            <w:vAlign w:val="center"/>
          </w:tcPr>
          <w:p w14:paraId="1D715B0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必要时戴防护手套。</w:t>
            </w:r>
          </w:p>
        </w:tc>
      </w:tr>
      <w:tr w:rsidR="002662E3" w:rsidRPr="00E67914" w14:paraId="20515356" w14:textId="77777777">
        <w:trPr>
          <w:trHeight w:val="20"/>
          <w:jc w:val="center"/>
        </w:trPr>
        <w:tc>
          <w:tcPr>
            <w:tcW w:w="1821" w:type="dxa"/>
            <w:vAlign w:val="center"/>
          </w:tcPr>
          <w:p w14:paraId="474E9E6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其他防护</w:t>
            </w:r>
          </w:p>
        </w:tc>
        <w:tc>
          <w:tcPr>
            <w:tcW w:w="6401" w:type="dxa"/>
            <w:gridSpan w:val="3"/>
            <w:vAlign w:val="center"/>
          </w:tcPr>
          <w:p w14:paraId="2E20184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工作现场严禁吸烟。避免长期反复接触。</w:t>
            </w:r>
          </w:p>
        </w:tc>
      </w:tr>
      <w:tr w:rsidR="002662E3" w:rsidRPr="00E67914" w14:paraId="190C742C" w14:textId="77777777">
        <w:trPr>
          <w:trHeight w:val="20"/>
          <w:jc w:val="center"/>
        </w:trPr>
        <w:tc>
          <w:tcPr>
            <w:tcW w:w="8222" w:type="dxa"/>
            <w:gridSpan w:val="4"/>
            <w:vAlign w:val="center"/>
          </w:tcPr>
          <w:p w14:paraId="6AF6CC6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第七部分理化特性</w:t>
            </w:r>
          </w:p>
        </w:tc>
      </w:tr>
      <w:tr w:rsidR="002662E3" w:rsidRPr="00E67914" w14:paraId="11CDDC3B" w14:textId="77777777">
        <w:trPr>
          <w:trHeight w:val="20"/>
          <w:jc w:val="center"/>
        </w:trPr>
        <w:tc>
          <w:tcPr>
            <w:tcW w:w="1821" w:type="dxa"/>
            <w:vAlign w:val="center"/>
          </w:tcPr>
          <w:p w14:paraId="0DD16D1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外观及性状</w:t>
            </w:r>
          </w:p>
        </w:tc>
        <w:tc>
          <w:tcPr>
            <w:tcW w:w="1948" w:type="dxa"/>
            <w:vAlign w:val="center"/>
          </w:tcPr>
          <w:p w14:paraId="3651D7A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粘性棕色液体。</w:t>
            </w:r>
          </w:p>
        </w:tc>
        <w:tc>
          <w:tcPr>
            <w:tcW w:w="1883" w:type="dxa"/>
            <w:vAlign w:val="center"/>
          </w:tcPr>
          <w:p w14:paraId="7CCBF20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闪点</w:t>
            </w:r>
            <w:r w:rsidRPr="00E67914">
              <w:rPr>
                <w:rFonts w:ascii="Times New Roman" w:hAnsi="Times New Roman"/>
                <w:sz w:val="21"/>
                <w:szCs w:val="21"/>
              </w:rPr>
              <w:t>(℃)</w:t>
            </w:r>
          </w:p>
        </w:tc>
        <w:tc>
          <w:tcPr>
            <w:tcW w:w="2570" w:type="dxa"/>
            <w:vAlign w:val="center"/>
          </w:tcPr>
          <w:p w14:paraId="3710926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55</w:t>
            </w:r>
          </w:p>
        </w:tc>
      </w:tr>
      <w:tr w:rsidR="002662E3" w:rsidRPr="00E67914" w14:paraId="74A84214" w14:textId="77777777">
        <w:trPr>
          <w:trHeight w:val="20"/>
          <w:jc w:val="center"/>
        </w:trPr>
        <w:tc>
          <w:tcPr>
            <w:tcW w:w="1821" w:type="dxa"/>
            <w:vAlign w:val="center"/>
          </w:tcPr>
          <w:p w14:paraId="2186703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相对密度</w:t>
            </w:r>
          </w:p>
        </w:tc>
        <w:tc>
          <w:tcPr>
            <w:tcW w:w="1948" w:type="dxa"/>
            <w:vAlign w:val="center"/>
          </w:tcPr>
          <w:p w14:paraId="3D8CC5D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0.87</w:t>
            </w:r>
            <w:r w:rsidRPr="00E67914">
              <w:rPr>
                <w:rFonts w:ascii="Times New Roman" w:hAnsi="Times New Roman"/>
                <w:sz w:val="21"/>
                <w:szCs w:val="21"/>
              </w:rPr>
              <w:t>～</w:t>
            </w:r>
            <w:r w:rsidRPr="00E67914">
              <w:rPr>
                <w:rFonts w:ascii="Times New Roman" w:hAnsi="Times New Roman"/>
                <w:sz w:val="21"/>
                <w:szCs w:val="21"/>
              </w:rPr>
              <w:t>0.9(</w:t>
            </w:r>
            <w:r w:rsidRPr="00E67914">
              <w:rPr>
                <w:rFonts w:ascii="Times New Roman" w:hAnsi="Times New Roman"/>
                <w:sz w:val="21"/>
                <w:szCs w:val="21"/>
              </w:rPr>
              <w:t>水</w:t>
            </w:r>
            <w:r w:rsidRPr="00E67914">
              <w:rPr>
                <w:rFonts w:ascii="Times New Roman" w:hAnsi="Times New Roman"/>
                <w:sz w:val="21"/>
                <w:szCs w:val="21"/>
              </w:rPr>
              <w:t>=1)</w:t>
            </w:r>
          </w:p>
        </w:tc>
        <w:tc>
          <w:tcPr>
            <w:tcW w:w="1883" w:type="dxa"/>
            <w:vAlign w:val="center"/>
          </w:tcPr>
          <w:p w14:paraId="5C8E1E8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爆炸下限</w:t>
            </w:r>
            <w:r w:rsidRPr="00E67914">
              <w:rPr>
                <w:rFonts w:ascii="Times New Roman" w:hAnsi="Times New Roman"/>
                <w:sz w:val="21"/>
                <w:szCs w:val="21"/>
              </w:rPr>
              <w:t>(V%)</w:t>
            </w:r>
          </w:p>
        </w:tc>
        <w:tc>
          <w:tcPr>
            <w:tcW w:w="2570" w:type="dxa"/>
            <w:vAlign w:val="center"/>
          </w:tcPr>
          <w:p w14:paraId="5336B41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1.5</w:t>
            </w:r>
          </w:p>
        </w:tc>
      </w:tr>
      <w:tr w:rsidR="002662E3" w:rsidRPr="00E67914" w14:paraId="094C603B" w14:textId="77777777">
        <w:trPr>
          <w:trHeight w:val="20"/>
          <w:jc w:val="center"/>
        </w:trPr>
        <w:tc>
          <w:tcPr>
            <w:tcW w:w="1821" w:type="dxa"/>
            <w:vAlign w:val="center"/>
          </w:tcPr>
          <w:p w14:paraId="75FBE40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相对密度</w:t>
            </w:r>
          </w:p>
        </w:tc>
        <w:tc>
          <w:tcPr>
            <w:tcW w:w="1948" w:type="dxa"/>
            <w:vAlign w:val="center"/>
          </w:tcPr>
          <w:p w14:paraId="5B68275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3.5(</w:t>
            </w:r>
            <w:r w:rsidRPr="00E67914">
              <w:rPr>
                <w:rFonts w:ascii="Times New Roman" w:hAnsi="Times New Roman"/>
                <w:sz w:val="21"/>
                <w:szCs w:val="21"/>
              </w:rPr>
              <w:t>空气</w:t>
            </w:r>
            <w:r w:rsidRPr="00E67914">
              <w:rPr>
                <w:rFonts w:ascii="Times New Roman" w:hAnsi="Times New Roman"/>
                <w:sz w:val="21"/>
                <w:szCs w:val="21"/>
              </w:rPr>
              <w:t>=1)</w:t>
            </w:r>
          </w:p>
        </w:tc>
        <w:tc>
          <w:tcPr>
            <w:tcW w:w="1883" w:type="dxa"/>
            <w:vAlign w:val="center"/>
          </w:tcPr>
          <w:p w14:paraId="45B9974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爆炸上限</w:t>
            </w:r>
            <w:r w:rsidRPr="00E67914">
              <w:rPr>
                <w:rFonts w:ascii="Times New Roman" w:hAnsi="Times New Roman"/>
                <w:sz w:val="21"/>
                <w:szCs w:val="21"/>
              </w:rPr>
              <w:t>(V%)</w:t>
            </w:r>
          </w:p>
        </w:tc>
        <w:tc>
          <w:tcPr>
            <w:tcW w:w="2570" w:type="dxa"/>
            <w:vAlign w:val="center"/>
          </w:tcPr>
          <w:p w14:paraId="7BEE8AB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4.5</w:t>
            </w:r>
          </w:p>
        </w:tc>
      </w:tr>
      <w:tr w:rsidR="002662E3" w:rsidRPr="00E67914" w14:paraId="4AF03E43" w14:textId="77777777">
        <w:trPr>
          <w:trHeight w:val="20"/>
          <w:jc w:val="center"/>
        </w:trPr>
        <w:tc>
          <w:tcPr>
            <w:tcW w:w="1821" w:type="dxa"/>
            <w:vAlign w:val="center"/>
          </w:tcPr>
          <w:p w14:paraId="5214718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引燃温度</w:t>
            </w:r>
            <w:r w:rsidRPr="00E67914">
              <w:rPr>
                <w:rFonts w:ascii="Times New Roman" w:hAnsi="Times New Roman"/>
                <w:sz w:val="21"/>
                <w:szCs w:val="21"/>
              </w:rPr>
              <w:t>(℃)</w:t>
            </w:r>
          </w:p>
        </w:tc>
        <w:tc>
          <w:tcPr>
            <w:tcW w:w="1948" w:type="dxa"/>
            <w:vAlign w:val="center"/>
          </w:tcPr>
          <w:p w14:paraId="755332EF"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257</w:t>
            </w:r>
          </w:p>
        </w:tc>
        <w:tc>
          <w:tcPr>
            <w:tcW w:w="1883" w:type="dxa"/>
            <w:vAlign w:val="center"/>
          </w:tcPr>
          <w:p w14:paraId="13D5E932"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用途</w:t>
            </w:r>
          </w:p>
        </w:tc>
        <w:tc>
          <w:tcPr>
            <w:tcW w:w="2570" w:type="dxa"/>
            <w:vAlign w:val="center"/>
          </w:tcPr>
          <w:p w14:paraId="105FEC1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用作柴油机的燃料。</w:t>
            </w:r>
          </w:p>
        </w:tc>
      </w:tr>
      <w:tr w:rsidR="002662E3" w:rsidRPr="00E67914" w14:paraId="7C1F2245" w14:textId="77777777">
        <w:trPr>
          <w:trHeight w:val="20"/>
          <w:jc w:val="center"/>
        </w:trPr>
        <w:tc>
          <w:tcPr>
            <w:tcW w:w="1821" w:type="dxa"/>
            <w:vAlign w:val="center"/>
          </w:tcPr>
          <w:p w14:paraId="7D91745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溶解性</w:t>
            </w:r>
          </w:p>
        </w:tc>
        <w:tc>
          <w:tcPr>
            <w:tcW w:w="6401" w:type="dxa"/>
            <w:gridSpan w:val="3"/>
            <w:vAlign w:val="center"/>
          </w:tcPr>
          <w:p w14:paraId="502A26C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不溶于水，易溶于苯、二硫化碳、醇，易溶于脂肪。</w:t>
            </w:r>
          </w:p>
        </w:tc>
      </w:tr>
      <w:tr w:rsidR="002662E3" w:rsidRPr="00E67914" w14:paraId="3483BE5E" w14:textId="77777777">
        <w:trPr>
          <w:trHeight w:val="20"/>
          <w:jc w:val="center"/>
        </w:trPr>
        <w:tc>
          <w:tcPr>
            <w:tcW w:w="8222" w:type="dxa"/>
            <w:gridSpan w:val="4"/>
            <w:vAlign w:val="center"/>
          </w:tcPr>
          <w:p w14:paraId="517299D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第八部分稳定性及化学活性</w:t>
            </w:r>
          </w:p>
        </w:tc>
      </w:tr>
      <w:tr w:rsidR="002662E3" w:rsidRPr="00E67914" w14:paraId="7954FD86" w14:textId="77777777">
        <w:trPr>
          <w:trHeight w:val="20"/>
          <w:jc w:val="center"/>
        </w:trPr>
        <w:tc>
          <w:tcPr>
            <w:tcW w:w="1821" w:type="dxa"/>
            <w:vAlign w:val="center"/>
          </w:tcPr>
          <w:p w14:paraId="3D2AF50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稳定性</w:t>
            </w:r>
          </w:p>
        </w:tc>
        <w:tc>
          <w:tcPr>
            <w:tcW w:w="1948" w:type="dxa"/>
            <w:vAlign w:val="center"/>
          </w:tcPr>
          <w:p w14:paraId="34065E44"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稳定</w:t>
            </w:r>
          </w:p>
        </w:tc>
        <w:tc>
          <w:tcPr>
            <w:tcW w:w="1883" w:type="dxa"/>
            <w:vAlign w:val="center"/>
          </w:tcPr>
          <w:p w14:paraId="735B18F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避免接触的条件</w:t>
            </w:r>
          </w:p>
        </w:tc>
        <w:tc>
          <w:tcPr>
            <w:tcW w:w="2570" w:type="dxa"/>
            <w:vAlign w:val="center"/>
          </w:tcPr>
          <w:p w14:paraId="08D89EE9"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明火、高热</w:t>
            </w:r>
          </w:p>
        </w:tc>
      </w:tr>
      <w:tr w:rsidR="002662E3" w:rsidRPr="00E67914" w14:paraId="6F9B2A57" w14:textId="77777777">
        <w:trPr>
          <w:trHeight w:val="20"/>
          <w:jc w:val="center"/>
        </w:trPr>
        <w:tc>
          <w:tcPr>
            <w:tcW w:w="1821" w:type="dxa"/>
            <w:vAlign w:val="center"/>
          </w:tcPr>
          <w:p w14:paraId="4C8EF65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禁配物</w:t>
            </w:r>
          </w:p>
        </w:tc>
        <w:tc>
          <w:tcPr>
            <w:tcW w:w="1948" w:type="dxa"/>
            <w:vAlign w:val="center"/>
          </w:tcPr>
          <w:p w14:paraId="238C45FD"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强氧化剂、卤素</w:t>
            </w:r>
          </w:p>
        </w:tc>
        <w:tc>
          <w:tcPr>
            <w:tcW w:w="1883" w:type="dxa"/>
            <w:vAlign w:val="center"/>
          </w:tcPr>
          <w:p w14:paraId="5765B61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聚合危害</w:t>
            </w:r>
          </w:p>
        </w:tc>
        <w:tc>
          <w:tcPr>
            <w:tcW w:w="2570" w:type="dxa"/>
            <w:vAlign w:val="center"/>
          </w:tcPr>
          <w:p w14:paraId="7407F05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不能出现。</w:t>
            </w:r>
          </w:p>
        </w:tc>
      </w:tr>
      <w:tr w:rsidR="002662E3" w:rsidRPr="00E67914" w14:paraId="3E00E5E4" w14:textId="77777777">
        <w:trPr>
          <w:trHeight w:val="20"/>
          <w:jc w:val="center"/>
        </w:trPr>
        <w:tc>
          <w:tcPr>
            <w:tcW w:w="1821" w:type="dxa"/>
            <w:vAlign w:val="center"/>
          </w:tcPr>
          <w:p w14:paraId="2EB4406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分解产物</w:t>
            </w:r>
          </w:p>
        </w:tc>
        <w:tc>
          <w:tcPr>
            <w:tcW w:w="6401" w:type="dxa"/>
            <w:gridSpan w:val="3"/>
            <w:vAlign w:val="center"/>
          </w:tcPr>
          <w:p w14:paraId="5418299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一氧化碳、二氧化碳。</w:t>
            </w:r>
          </w:p>
        </w:tc>
      </w:tr>
    </w:tbl>
    <w:p w14:paraId="438039B7" w14:textId="77777777" w:rsidR="00A54A8A" w:rsidRPr="00E67914" w:rsidRDefault="00000000">
      <w:pPr>
        <w:adjustRightInd w:val="0"/>
        <w:snapToGrid w:val="0"/>
        <w:spacing w:line="360" w:lineRule="auto"/>
        <w:ind w:firstLineChars="200" w:firstLine="482"/>
        <w:jc w:val="both"/>
        <w:rPr>
          <w:rFonts w:ascii="Times New Roman" w:hAnsi="Times New Roman"/>
          <w:b/>
          <w:bCs/>
          <w:kern w:val="2"/>
          <w:sz w:val="24"/>
          <w:szCs w:val="24"/>
          <w:lang w:eastAsia="zh-CN"/>
        </w:rPr>
      </w:pPr>
      <w:r w:rsidRPr="00E67914">
        <w:rPr>
          <w:rFonts w:ascii="Times New Roman" w:hAnsi="Times New Roman"/>
          <w:b/>
          <w:bCs/>
          <w:kern w:val="2"/>
          <w:sz w:val="24"/>
          <w:szCs w:val="24"/>
          <w:lang w:eastAsia="zh-CN"/>
        </w:rPr>
        <w:t>（</w:t>
      </w:r>
      <w:r w:rsidRPr="00E67914">
        <w:rPr>
          <w:rFonts w:ascii="Times New Roman" w:hAnsi="Times New Roman"/>
          <w:b/>
          <w:bCs/>
          <w:kern w:val="2"/>
          <w:sz w:val="24"/>
          <w:szCs w:val="24"/>
          <w:lang w:eastAsia="zh-CN"/>
        </w:rPr>
        <w:t>7</w:t>
      </w:r>
      <w:r w:rsidRPr="00E67914">
        <w:rPr>
          <w:rFonts w:ascii="Times New Roman" w:hAnsi="Times New Roman"/>
          <w:b/>
          <w:bCs/>
          <w:kern w:val="2"/>
          <w:sz w:val="24"/>
          <w:szCs w:val="24"/>
          <w:lang w:eastAsia="zh-CN"/>
        </w:rPr>
        <w:t>）废油</w:t>
      </w:r>
    </w:p>
    <w:p w14:paraId="2932EBD0"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项目钻井使用设备过程中，或多或少会产生一些废油，主要是设备润滑、保养产生的废机油。废油主要分布于油桶里面，其特性和润滑油差不多。废油对眼睛、皮肤、粘膜和上呼吸道具有刺激作用。吸入后，可引起喉、支气管的火症、水肿、痉挛、化学性肺炎或肺水肿。接触后可引起燃灼感、咳嗽、喘息、</w:t>
      </w:r>
      <w:r w:rsidRPr="00E67914">
        <w:rPr>
          <w:rFonts w:ascii="Times New Roman" w:hAnsi="Times New Roman"/>
          <w:bCs/>
          <w:kern w:val="2"/>
          <w:sz w:val="24"/>
          <w:szCs w:val="24"/>
          <w:lang w:eastAsia="zh-CN"/>
        </w:rPr>
        <w:lastRenderedPageBreak/>
        <w:t>气短、头痛、恶心和呕吐等。皮肤接触可发生接触性皮炎及油疹，可致急性肾脏损害，吸入其雾滴或液体呛入可引起吸入性肺炎。结合工程项目的实际情况，主要危害为废油泄露后地表水、地下水和土壤的影响。</w:t>
      </w:r>
    </w:p>
    <w:p w14:paraId="218D453C" w14:textId="77777777" w:rsidR="00A54A8A" w:rsidRPr="00E67914" w:rsidRDefault="00000000">
      <w:pPr>
        <w:adjustRightInd w:val="0"/>
        <w:snapToGrid w:val="0"/>
        <w:spacing w:line="360" w:lineRule="auto"/>
        <w:ind w:firstLineChars="200" w:firstLine="482"/>
        <w:jc w:val="both"/>
        <w:rPr>
          <w:rFonts w:ascii="Times New Roman" w:hAnsi="Times New Roman"/>
          <w:b/>
          <w:bCs/>
          <w:kern w:val="2"/>
          <w:sz w:val="24"/>
          <w:szCs w:val="24"/>
          <w:lang w:eastAsia="zh-CN"/>
        </w:rPr>
      </w:pPr>
      <w:r w:rsidRPr="00E67914">
        <w:rPr>
          <w:rFonts w:ascii="Times New Roman" w:hAnsi="Times New Roman"/>
          <w:b/>
          <w:bCs/>
          <w:kern w:val="2"/>
          <w:sz w:val="24"/>
          <w:szCs w:val="24"/>
          <w:lang w:eastAsia="zh-CN"/>
        </w:rPr>
        <w:t>（</w:t>
      </w:r>
      <w:r w:rsidRPr="00E67914">
        <w:rPr>
          <w:rFonts w:ascii="Times New Roman" w:hAnsi="Times New Roman"/>
          <w:b/>
          <w:bCs/>
          <w:kern w:val="2"/>
          <w:sz w:val="24"/>
          <w:szCs w:val="24"/>
          <w:lang w:eastAsia="zh-CN"/>
        </w:rPr>
        <w:t>8</w:t>
      </w:r>
      <w:r w:rsidRPr="00E67914">
        <w:rPr>
          <w:rFonts w:ascii="Times New Roman" w:hAnsi="Times New Roman"/>
          <w:b/>
          <w:bCs/>
          <w:kern w:val="2"/>
          <w:sz w:val="24"/>
          <w:szCs w:val="24"/>
          <w:lang w:eastAsia="zh-CN"/>
        </w:rPr>
        <w:t>）二氧化碳</w:t>
      </w:r>
    </w:p>
    <w:p w14:paraId="43A5CAE4" w14:textId="77777777" w:rsidR="00A54A8A" w:rsidRPr="00E67914" w:rsidRDefault="00000000">
      <w:pPr>
        <w:pStyle w:val="L-"/>
        <w:spacing w:line="360" w:lineRule="auto"/>
        <w:rPr>
          <w:rFonts w:ascii="Times New Roman" w:cs="Times New Roman"/>
          <w:color w:val="auto"/>
        </w:rPr>
      </w:pPr>
      <w:r w:rsidRPr="00E67914">
        <w:rPr>
          <w:rFonts w:ascii="Times New Roman" w:cs="Times New Roman"/>
          <w:color w:val="auto"/>
        </w:rPr>
        <w:t>二氧化碳可以溶解在水中，生成碳酸，引起电化学腐蚀。钢材中二氧化碳腐蚀的产物都是易溶的，不易形成保护膜，特别是随二氧化碳浓度的增加，腐蚀速度增加很快。</w:t>
      </w:r>
    </w:p>
    <w:p w14:paraId="4A655A3B" w14:textId="77777777" w:rsidR="00A54A8A" w:rsidRPr="00E67914" w:rsidRDefault="00000000">
      <w:pPr>
        <w:pStyle w:val="L-"/>
        <w:spacing w:line="360" w:lineRule="auto"/>
        <w:rPr>
          <w:rFonts w:ascii="Times New Roman" w:cs="Times New Roman"/>
          <w:color w:val="auto"/>
        </w:rPr>
      </w:pPr>
      <w:r w:rsidRPr="00E67914">
        <w:rPr>
          <w:rFonts w:ascii="Times New Roman" w:cs="Times New Roman"/>
          <w:color w:val="auto"/>
        </w:rPr>
        <w:t>根据</w:t>
      </w:r>
      <w:r w:rsidRPr="00E67914">
        <w:rPr>
          <w:rFonts w:ascii="Times New Roman" w:cs="Times New Roman"/>
          <w:color w:val="auto"/>
        </w:rPr>
        <w:t>NACE</w:t>
      </w:r>
      <w:r w:rsidRPr="00E67914">
        <w:rPr>
          <w:rFonts w:ascii="Times New Roman" w:cs="Times New Roman"/>
          <w:color w:val="auto"/>
        </w:rPr>
        <w:t>（美国腐蚀工程师协会）有关</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分压腐蚀的标准，</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分压大于</w:t>
      </w:r>
      <w:r w:rsidRPr="00E67914">
        <w:rPr>
          <w:rFonts w:ascii="Times New Roman" w:cs="Times New Roman"/>
          <w:color w:val="auto"/>
        </w:rPr>
        <w:t>0.2MPa</w:t>
      </w:r>
      <w:r w:rsidRPr="00E67914">
        <w:rPr>
          <w:rFonts w:ascii="Times New Roman" w:cs="Times New Roman"/>
          <w:color w:val="auto"/>
        </w:rPr>
        <w:t>就属于严重腐蚀区，本项目气藏</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分压大于</w:t>
      </w:r>
      <w:r w:rsidRPr="00E67914">
        <w:rPr>
          <w:rFonts w:ascii="Times New Roman" w:cs="Times New Roman"/>
          <w:color w:val="auto"/>
        </w:rPr>
        <w:t>0.2MPa</w:t>
      </w:r>
      <w:r w:rsidRPr="00E67914">
        <w:rPr>
          <w:rFonts w:ascii="Times New Roman" w:cs="Times New Roman"/>
          <w:color w:val="auto"/>
        </w:rPr>
        <w:t>。</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腐蚀的主要形态为点蚀、台地状腐蚀、环状腐蚀和冲刷腐蚀等，且腐蚀穿孔的速度很快。在影响</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腐蚀速率的各个因素中，</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分压和温度是最重要的两个参数。</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分压越高，其腐蚀产物</w:t>
      </w:r>
      <w:r w:rsidRPr="00E67914">
        <w:rPr>
          <w:rFonts w:ascii="Times New Roman" w:cs="Times New Roman"/>
          <w:color w:val="auto"/>
        </w:rPr>
        <w:t>FeCO</w:t>
      </w:r>
      <w:r w:rsidRPr="00E67914">
        <w:rPr>
          <w:rFonts w:ascii="Times New Roman" w:cs="Times New Roman"/>
          <w:color w:val="auto"/>
          <w:vertAlign w:val="subscript"/>
        </w:rPr>
        <w:t>3</w:t>
      </w:r>
      <w:r w:rsidRPr="00E67914">
        <w:rPr>
          <w:rFonts w:ascii="Times New Roman" w:cs="Times New Roman"/>
          <w:color w:val="auto"/>
        </w:rPr>
        <w:t>膜的保护性越差，且</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的腐蚀速度随温度升高而增加，</w:t>
      </w:r>
      <w:r w:rsidRPr="00E67914">
        <w:rPr>
          <w:rFonts w:ascii="Times New Roman" w:cs="Times New Roman"/>
          <w:color w:val="auto"/>
        </w:rPr>
        <w:t>60℃</w:t>
      </w:r>
      <w:r w:rsidRPr="00E67914">
        <w:rPr>
          <w:rFonts w:ascii="Times New Roman" w:cs="Times New Roman"/>
          <w:color w:val="auto"/>
        </w:rPr>
        <w:t>～</w:t>
      </w:r>
      <w:r w:rsidRPr="00E67914">
        <w:rPr>
          <w:rFonts w:ascii="Times New Roman" w:cs="Times New Roman"/>
          <w:color w:val="auto"/>
        </w:rPr>
        <w:t>110℃</w:t>
      </w:r>
      <w:r w:rsidRPr="00E67914">
        <w:rPr>
          <w:rFonts w:ascii="Times New Roman" w:cs="Times New Roman"/>
          <w:color w:val="auto"/>
        </w:rPr>
        <w:t>为</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腐蚀的敏感区域，本项目深层气藏地层平均温度＞</w:t>
      </w:r>
      <w:r w:rsidRPr="00E67914">
        <w:rPr>
          <w:rFonts w:ascii="Times New Roman" w:cs="Times New Roman"/>
          <w:color w:val="auto"/>
        </w:rPr>
        <w:t>110℃</w:t>
      </w:r>
      <w:r w:rsidRPr="00E67914">
        <w:rPr>
          <w:rFonts w:ascii="Times New Roman" w:cs="Times New Roman"/>
          <w:color w:val="auto"/>
        </w:rPr>
        <w:t>，因此井下设备存在</w:t>
      </w:r>
      <w:r w:rsidRPr="00E67914">
        <w:rPr>
          <w:rFonts w:ascii="Times New Roman" w:cs="Times New Roman"/>
          <w:color w:val="auto"/>
        </w:rPr>
        <w:t>CO</w:t>
      </w:r>
      <w:r w:rsidRPr="00E67914">
        <w:rPr>
          <w:rFonts w:ascii="Times New Roman" w:cs="Times New Roman"/>
          <w:color w:val="auto"/>
          <w:vertAlign w:val="subscript"/>
        </w:rPr>
        <w:t>2</w:t>
      </w:r>
      <w:r w:rsidRPr="00E67914">
        <w:rPr>
          <w:rFonts w:ascii="Times New Roman" w:cs="Times New Roman"/>
          <w:color w:val="auto"/>
        </w:rPr>
        <w:t>腐蚀的风险。</w:t>
      </w:r>
    </w:p>
    <w:p w14:paraId="2D435543" w14:textId="77777777" w:rsidR="00A54A8A" w:rsidRPr="00E67914" w:rsidRDefault="00000000">
      <w:pPr>
        <w:pStyle w:val="L-"/>
        <w:spacing w:line="360" w:lineRule="auto"/>
        <w:rPr>
          <w:rFonts w:ascii="Times New Roman" w:cs="Times New Roman"/>
          <w:color w:val="auto"/>
        </w:rPr>
      </w:pPr>
      <w:r w:rsidRPr="00E67914">
        <w:rPr>
          <w:rFonts w:ascii="Times New Roman" w:cs="Times New Roman"/>
          <w:color w:val="auto"/>
        </w:rPr>
        <w:t>二氧化碳是一种窒息性气体，对人的最低毒性浓度体积分数为</w:t>
      </w:r>
      <w:r w:rsidRPr="00E67914">
        <w:rPr>
          <w:rFonts w:ascii="Times New Roman" w:cs="Times New Roman"/>
          <w:color w:val="auto"/>
        </w:rPr>
        <w:t>2</w:t>
      </w:r>
      <w:r w:rsidRPr="00E67914">
        <w:rPr>
          <w:rFonts w:ascii="Times New Roman" w:cs="Times New Roman"/>
          <w:color w:val="auto"/>
        </w:rPr>
        <w:t>％，超过此浓度可引起呼吸器官的损害，达到</w:t>
      </w:r>
      <w:r w:rsidRPr="00E67914">
        <w:rPr>
          <w:rFonts w:ascii="Times New Roman" w:cs="Times New Roman"/>
          <w:color w:val="auto"/>
        </w:rPr>
        <w:t>10%</w:t>
      </w:r>
      <w:r w:rsidRPr="00E67914">
        <w:rPr>
          <w:rFonts w:ascii="Times New Roman" w:cs="Times New Roman"/>
          <w:color w:val="auto"/>
        </w:rPr>
        <w:t>会使人窒息。</w:t>
      </w:r>
    </w:p>
    <w:p w14:paraId="533A5E77" w14:textId="7F3BCC6C" w:rsidR="000D79A9" w:rsidRPr="00E67914" w:rsidRDefault="000D79A9" w:rsidP="000D79A9">
      <w:pPr>
        <w:adjustRightInd w:val="0"/>
        <w:snapToGrid w:val="0"/>
        <w:spacing w:line="360" w:lineRule="auto"/>
        <w:ind w:firstLineChars="200" w:firstLine="482"/>
        <w:jc w:val="both"/>
        <w:rPr>
          <w:rFonts w:ascii="Times New Roman" w:hAnsi="Times New Roman"/>
          <w:b/>
          <w:bCs/>
          <w:kern w:val="2"/>
          <w:sz w:val="24"/>
          <w:szCs w:val="24"/>
          <w:lang w:eastAsia="zh-CN"/>
        </w:rPr>
      </w:pPr>
      <w:r w:rsidRPr="00E67914">
        <w:rPr>
          <w:rFonts w:ascii="Times New Roman" w:hAnsi="Times New Roman"/>
          <w:b/>
          <w:bCs/>
          <w:kern w:val="2"/>
          <w:sz w:val="24"/>
          <w:szCs w:val="24"/>
          <w:lang w:eastAsia="zh-CN"/>
        </w:rPr>
        <w:t>（</w:t>
      </w:r>
      <w:r w:rsidRPr="00E67914">
        <w:rPr>
          <w:rFonts w:ascii="Times New Roman" w:hAnsi="Times New Roman"/>
          <w:b/>
          <w:bCs/>
          <w:kern w:val="2"/>
          <w:sz w:val="24"/>
          <w:szCs w:val="24"/>
          <w:lang w:eastAsia="zh-CN"/>
        </w:rPr>
        <w:t>9</w:t>
      </w:r>
      <w:r w:rsidRPr="00E67914">
        <w:rPr>
          <w:rFonts w:ascii="Times New Roman" w:hAnsi="Times New Roman"/>
          <w:b/>
          <w:bCs/>
          <w:kern w:val="2"/>
          <w:sz w:val="24"/>
          <w:szCs w:val="24"/>
          <w:lang w:eastAsia="zh-CN"/>
        </w:rPr>
        <w:t>）白油危险性分析</w:t>
      </w:r>
    </w:p>
    <w:p w14:paraId="0146DF90" w14:textId="77777777" w:rsidR="000D79A9" w:rsidRPr="00E67914" w:rsidRDefault="000D79A9" w:rsidP="000D79A9">
      <w:pPr>
        <w:pStyle w:val="L-"/>
        <w:spacing w:line="360" w:lineRule="auto"/>
        <w:rPr>
          <w:rFonts w:ascii="Times New Roman" w:cs="Times New Roman"/>
          <w:color w:val="auto"/>
        </w:rPr>
      </w:pPr>
      <w:r w:rsidRPr="00E67914">
        <w:rPr>
          <w:rFonts w:ascii="Times New Roman" w:cs="Times New Roman"/>
          <w:color w:val="auto"/>
        </w:rPr>
        <w:t>本项目二开段采用油基钻井液钻井，油基钻井液是以油为分散介质组成的泥浆，油基泥浆的成分主要为白油、</w:t>
      </w:r>
      <w:r w:rsidRPr="00E67914">
        <w:rPr>
          <w:rFonts w:ascii="Times New Roman" w:cs="Times New Roman"/>
          <w:color w:val="auto"/>
        </w:rPr>
        <w:t>3%</w:t>
      </w:r>
      <w:r w:rsidRPr="00E67914">
        <w:rPr>
          <w:rFonts w:ascii="Times New Roman" w:cs="Times New Roman"/>
          <w:color w:val="auto"/>
        </w:rPr>
        <w:t>～</w:t>
      </w:r>
      <w:r w:rsidRPr="00E67914">
        <w:rPr>
          <w:rFonts w:ascii="Times New Roman" w:cs="Times New Roman"/>
          <w:color w:val="auto"/>
        </w:rPr>
        <w:t>6%</w:t>
      </w:r>
      <w:r w:rsidRPr="00E67914">
        <w:rPr>
          <w:rFonts w:ascii="Times New Roman" w:cs="Times New Roman"/>
          <w:color w:val="auto"/>
        </w:rPr>
        <w:t>主乳化剂、</w:t>
      </w:r>
      <w:r w:rsidRPr="00E67914">
        <w:rPr>
          <w:rFonts w:ascii="Times New Roman" w:cs="Times New Roman"/>
          <w:color w:val="auto"/>
        </w:rPr>
        <w:t>2%</w:t>
      </w:r>
      <w:r w:rsidRPr="00E67914">
        <w:rPr>
          <w:rFonts w:ascii="Times New Roman" w:cs="Times New Roman"/>
          <w:color w:val="auto"/>
        </w:rPr>
        <w:t>～</w:t>
      </w:r>
      <w:r w:rsidRPr="00E67914">
        <w:rPr>
          <w:rFonts w:ascii="Times New Roman" w:cs="Times New Roman"/>
          <w:color w:val="auto"/>
        </w:rPr>
        <w:t>5%</w:t>
      </w:r>
      <w:r w:rsidRPr="00E67914">
        <w:rPr>
          <w:rFonts w:ascii="Times New Roman" w:cs="Times New Roman"/>
          <w:color w:val="auto"/>
        </w:rPr>
        <w:t>辅乳化剂、</w:t>
      </w:r>
      <w:r w:rsidRPr="00E67914">
        <w:rPr>
          <w:rFonts w:ascii="Times New Roman" w:cs="Times New Roman"/>
          <w:color w:val="auto"/>
        </w:rPr>
        <w:t>2%</w:t>
      </w:r>
      <w:r w:rsidRPr="00E67914">
        <w:rPr>
          <w:rFonts w:ascii="Times New Roman" w:cs="Times New Roman"/>
          <w:color w:val="auto"/>
        </w:rPr>
        <w:t>～</w:t>
      </w:r>
      <w:r w:rsidRPr="00E67914">
        <w:rPr>
          <w:rFonts w:ascii="Times New Roman" w:cs="Times New Roman"/>
          <w:color w:val="auto"/>
        </w:rPr>
        <w:t>3%</w:t>
      </w:r>
      <w:r w:rsidRPr="00E67914">
        <w:rPr>
          <w:rFonts w:ascii="Times New Roman" w:cs="Times New Roman"/>
          <w:color w:val="auto"/>
        </w:rPr>
        <w:t>润湿剂、</w:t>
      </w:r>
      <w:r w:rsidRPr="00E67914">
        <w:rPr>
          <w:rFonts w:ascii="Times New Roman" w:cs="Times New Roman"/>
          <w:color w:val="auto"/>
        </w:rPr>
        <w:t>1%</w:t>
      </w:r>
      <w:r w:rsidRPr="00E67914">
        <w:rPr>
          <w:rFonts w:ascii="Times New Roman" w:cs="Times New Roman"/>
          <w:color w:val="auto"/>
        </w:rPr>
        <w:t>～</w:t>
      </w:r>
      <w:r w:rsidRPr="00E67914">
        <w:rPr>
          <w:rFonts w:ascii="Times New Roman" w:cs="Times New Roman"/>
          <w:color w:val="auto"/>
        </w:rPr>
        <w:t>2%</w:t>
      </w:r>
      <w:r w:rsidRPr="00E67914">
        <w:rPr>
          <w:rFonts w:ascii="Times New Roman" w:cs="Times New Roman"/>
          <w:color w:val="auto"/>
        </w:rPr>
        <w:t>生石灰、</w:t>
      </w:r>
      <w:r w:rsidRPr="00E67914">
        <w:rPr>
          <w:rFonts w:ascii="Times New Roman" w:cs="Times New Roman"/>
          <w:color w:val="auto"/>
        </w:rPr>
        <w:t>20%</w:t>
      </w:r>
      <w:r w:rsidRPr="00E67914">
        <w:rPr>
          <w:rFonts w:ascii="Times New Roman" w:cs="Times New Roman"/>
          <w:color w:val="auto"/>
        </w:rPr>
        <w:t>～</w:t>
      </w:r>
      <w:r w:rsidRPr="00E67914">
        <w:rPr>
          <w:rFonts w:ascii="Times New Roman" w:cs="Times New Roman"/>
          <w:color w:val="auto"/>
        </w:rPr>
        <w:t>30%</w:t>
      </w:r>
      <w:r w:rsidRPr="00E67914">
        <w:rPr>
          <w:rFonts w:ascii="Times New Roman" w:cs="Times New Roman"/>
          <w:color w:val="auto"/>
        </w:rPr>
        <w:t>氯化钙溶液、</w:t>
      </w:r>
      <w:r w:rsidRPr="00E67914">
        <w:rPr>
          <w:rFonts w:ascii="Times New Roman" w:cs="Times New Roman"/>
          <w:color w:val="auto"/>
        </w:rPr>
        <w:t>4%</w:t>
      </w:r>
      <w:r w:rsidRPr="00E67914">
        <w:rPr>
          <w:rFonts w:ascii="Times New Roman" w:cs="Times New Roman"/>
          <w:color w:val="auto"/>
        </w:rPr>
        <w:t>～</w:t>
      </w:r>
      <w:r w:rsidRPr="00E67914">
        <w:rPr>
          <w:rFonts w:ascii="Times New Roman" w:cs="Times New Roman"/>
          <w:color w:val="auto"/>
        </w:rPr>
        <w:t>5%</w:t>
      </w:r>
      <w:r w:rsidRPr="00E67914">
        <w:rPr>
          <w:rFonts w:ascii="Times New Roman" w:cs="Times New Roman"/>
          <w:color w:val="auto"/>
        </w:rPr>
        <w:t>降滤失剂、</w:t>
      </w:r>
      <w:r w:rsidRPr="00E67914">
        <w:rPr>
          <w:rFonts w:ascii="Times New Roman" w:cs="Times New Roman"/>
          <w:color w:val="auto"/>
        </w:rPr>
        <w:t>2%</w:t>
      </w:r>
      <w:r w:rsidRPr="00E67914">
        <w:rPr>
          <w:rFonts w:ascii="Times New Roman" w:cs="Times New Roman"/>
          <w:color w:val="auto"/>
        </w:rPr>
        <w:t>～</w:t>
      </w:r>
      <w:r w:rsidRPr="00E67914">
        <w:rPr>
          <w:rFonts w:ascii="Times New Roman" w:cs="Times New Roman"/>
          <w:color w:val="auto"/>
        </w:rPr>
        <w:t>6%</w:t>
      </w:r>
      <w:r w:rsidRPr="00E67914">
        <w:rPr>
          <w:rFonts w:ascii="Times New Roman" w:cs="Times New Roman"/>
          <w:color w:val="auto"/>
        </w:rPr>
        <w:t>封堵剂、</w:t>
      </w:r>
      <w:r w:rsidRPr="00E67914">
        <w:rPr>
          <w:rFonts w:ascii="Times New Roman" w:cs="Times New Roman"/>
          <w:color w:val="auto"/>
        </w:rPr>
        <w:t>1%</w:t>
      </w:r>
      <w:r w:rsidRPr="00E67914">
        <w:rPr>
          <w:rFonts w:ascii="Times New Roman" w:cs="Times New Roman"/>
          <w:color w:val="auto"/>
        </w:rPr>
        <w:t>～</w:t>
      </w:r>
      <w:r w:rsidRPr="00E67914">
        <w:rPr>
          <w:rFonts w:ascii="Times New Roman" w:cs="Times New Roman"/>
          <w:color w:val="auto"/>
        </w:rPr>
        <w:t>2%</w:t>
      </w:r>
      <w:r w:rsidRPr="00E67914">
        <w:rPr>
          <w:rFonts w:ascii="Times New Roman" w:cs="Times New Roman"/>
          <w:color w:val="auto"/>
        </w:rPr>
        <w:t>流型调节剂、适量的加重剂（按密度需要）等。危险性主要表现在油性物质的可燃性。其物理化学特性见表</w:t>
      </w:r>
      <w:r w:rsidRPr="00E67914">
        <w:rPr>
          <w:rFonts w:ascii="Times New Roman" w:cs="Times New Roman"/>
          <w:color w:val="auto"/>
        </w:rPr>
        <w:t>4-29</w:t>
      </w:r>
      <w:r w:rsidRPr="00E67914">
        <w:rPr>
          <w:rFonts w:ascii="Times New Roman" w:cs="Times New Roman"/>
          <w:color w:val="auto"/>
        </w:rPr>
        <w:t>。</w:t>
      </w:r>
    </w:p>
    <w:p w14:paraId="16FB531C" w14:textId="77777777" w:rsidR="000D79A9" w:rsidRPr="00E67914" w:rsidRDefault="000D79A9" w:rsidP="000D79A9">
      <w:pPr>
        <w:autoSpaceDE w:val="0"/>
        <w:autoSpaceDN w:val="0"/>
        <w:adjustRightInd w:val="0"/>
        <w:jc w:val="center"/>
        <w:rPr>
          <w:rFonts w:ascii="Times New Roman" w:eastAsia="黑体" w:hAnsi="Times New Roman"/>
        </w:rPr>
      </w:pPr>
      <w:r w:rsidRPr="00E67914">
        <w:rPr>
          <w:rFonts w:ascii="Times New Roman" w:eastAsia="黑体" w:hAnsi="Times New Roman"/>
        </w:rPr>
        <w:t>表</w:t>
      </w:r>
      <w:r w:rsidRPr="00E67914">
        <w:rPr>
          <w:rFonts w:ascii="Times New Roman" w:eastAsia="黑体" w:hAnsi="Times New Roman"/>
        </w:rPr>
        <w:t xml:space="preserve">4-29  </w:t>
      </w:r>
      <w:r w:rsidRPr="00E67914">
        <w:rPr>
          <w:rFonts w:ascii="Times New Roman" w:eastAsia="黑体" w:hAnsi="Times New Roman"/>
        </w:rPr>
        <w:t>白油特性表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0"/>
        <w:gridCol w:w="913"/>
        <w:gridCol w:w="422"/>
        <w:gridCol w:w="1729"/>
        <w:gridCol w:w="651"/>
        <w:gridCol w:w="842"/>
        <w:gridCol w:w="138"/>
        <w:gridCol w:w="95"/>
        <w:gridCol w:w="2004"/>
        <w:gridCol w:w="423"/>
        <w:gridCol w:w="505"/>
      </w:tblGrid>
      <w:tr w:rsidR="00E67914" w:rsidRPr="00E67914" w14:paraId="5C6A95F0" w14:textId="77777777" w:rsidTr="00380D94">
        <w:trPr>
          <w:jc w:val="center"/>
        </w:trPr>
        <w:tc>
          <w:tcPr>
            <w:tcW w:w="500" w:type="dxa"/>
            <w:vMerge w:val="restart"/>
            <w:vAlign w:val="center"/>
          </w:tcPr>
          <w:p w14:paraId="42B00AB3"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标识</w:t>
            </w:r>
          </w:p>
        </w:tc>
        <w:tc>
          <w:tcPr>
            <w:tcW w:w="1335" w:type="dxa"/>
            <w:gridSpan w:val="2"/>
            <w:vAlign w:val="center"/>
          </w:tcPr>
          <w:p w14:paraId="76975CD6"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中文名</w:t>
            </w:r>
          </w:p>
        </w:tc>
        <w:tc>
          <w:tcPr>
            <w:tcW w:w="3360" w:type="dxa"/>
            <w:gridSpan w:val="4"/>
            <w:vAlign w:val="center"/>
          </w:tcPr>
          <w:p w14:paraId="27D1842A"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白油</w:t>
            </w:r>
          </w:p>
        </w:tc>
        <w:tc>
          <w:tcPr>
            <w:tcW w:w="2099" w:type="dxa"/>
            <w:gridSpan w:val="2"/>
            <w:vAlign w:val="center"/>
          </w:tcPr>
          <w:p w14:paraId="2BC81401"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危货及</w:t>
            </w:r>
            <w:r w:rsidRPr="00E67914">
              <w:rPr>
                <w:rFonts w:ascii="Times New Roman" w:eastAsia="Times New Roman" w:hAnsi="Times New Roman"/>
                <w:sz w:val="21"/>
                <w:szCs w:val="21"/>
                <w:lang w:eastAsia="zh-CN"/>
              </w:rPr>
              <w:t>UN</w:t>
            </w:r>
            <w:r w:rsidRPr="00E67914">
              <w:rPr>
                <w:rFonts w:ascii="Times New Roman" w:hAnsi="Times New Roman"/>
                <w:sz w:val="21"/>
                <w:szCs w:val="21"/>
                <w:lang w:eastAsia="zh-CN"/>
              </w:rPr>
              <w:t>编号</w:t>
            </w:r>
          </w:p>
        </w:tc>
        <w:tc>
          <w:tcPr>
            <w:tcW w:w="928" w:type="dxa"/>
            <w:gridSpan w:val="2"/>
            <w:vAlign w:val="center"/>
          </w:tcPr>
          <w:p w14:paraId="35B42E8D" w14:textId="77777777" w:rsidR="000D79A9" w:rsidRPr="00E67914" w:rsidRDefault="000D79A9" w:rsidP="00380D94">
            <w:pPr>
              <w:adjustRightInd w:val="0"/>
              <w:snapToGrid w:val="0"/>
              <w:jc w:val="center"/>
              <w:rPr>
                <w:rFonts w:ascii="Times New Roman" w:hAnsi="Times New Roman"/>
                <w:szCs w:val="21"/>
              </w:rPr>
            </w:pPr>
          </w:p>
        </w:tc>
      </w:tr>
      <w:tr w:rsidR="00E67914" w:rsidRPr="00E67914" w14:paraId="7A22E2FE" w14:textId="77777777" w:rsidTr="00380D94">
        <w:trPr>
          <w:jc w:val="center"/>
        </w:trPr>
        <w:tc>
          <w:tcPr>
            <w:tcW w:w="500" w:type="dxa"/>
            <w:vMerge/>
            <w:vAlign w:val="center"/>
          </w:tcPr>
          <w:p w14:paraId="0006F34E" w14:textId="77777777" w:rsidR="000D79A9" w:rsidRPr="00E67914" w:rsidRDefault="000D79A9" w:rsidP="00380D94">
            <w:pPr>
              <w:adjustRightInd w:val="0"/>
              <w:snapToGrid w:val="0"/>
              <w:jc w:val="center"/>
              <w:rPr>
                <w:rFonts w:ascii="Times New Roman" w:hAnsi="Times New Roman"/>
                <w:szCs w:val="21"/>
              </w:rPr>
            </w:pPr>
          </w:p>
        </w:tc>
        <w:tc>
          <w:tcPr>
            <w:tcW w:w="1335" w:type="dxa"/>
            <w:gridSpan w:val="2"/>
            <w:vAlign w:val="center"/>
          </w:tcPr>
          <w:p w14:paraId="25B0A605"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主要成分</w:t>
            </w:r>
          </w:p>
        </w:tc>
        <w:tc>
          <w:tcPr>
            <w:tcW w:w="3360" w:type="dxa"/>
            <w:gridSpan w:val="4"/>
            <w:vAlign w:val="center"/>
          </w:tcPr>
          <w:p w14:paraId="04DDC784"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eastAsia="Times New Roman" w:hAnsi="Times New Roman"/>
                <w:sz w:val="21"/>
                <w:szCs w:val="21"/>
                <w:lang w:eastAsia="zh-CN"/>
              </w:rPr>
              <w:t>C16</w:t>
            </w:r>
            <w:r w:rsidRPr="00E67914">
              <w:rPr>
                <w:rFonts w:ascii="Times New Roman" w:hAnsi="Times New Roman"/>
                <w:sz w:val="21"/>
                <w:szCs w:val="21"/>
                <w:lang w:eastAsia="zh-CN"/>
              </w:rPr>
              <w:t>～</w:t>
            </w:r>
            <w:r w:rsidRPr="00E67914">
              <w:rPr>
                <w:rFonts w:ascii="Times New Roman" w:eastAsia="Times New Roman" w:hAnsi="Times New Roman"/>
                <w:sz w:val="21"/>
                <w:szCs w:val="21"/>
                <w:lang w:eastAsia="zh-CN"/>
              </w:rPr>
              <w:t>C31</w:t>
            </w:r>
            <w:r w:rsidRPr="00E67914">
              <w:rPr>
                <w:rFonts w:ascii="Times New Roman" w:hAnsi="Times New Roman"/>
                <w:sz w:val="21"/>
                <w:szCs w:val="21"/>
                <w:lang w:eastAsia="zh-CN"/>
              </w:rPr>
              <w:t>的正异构烷烃的混合物</w:t>
            </w:r>
          </w:p>
        </w:tc>
        <w:tc>
          <w:tcPr>
            <w:tcW w:w="2099" w:type="dxa"/>
            <w:gridSpan w:val="2"/>
            <w:vAlign w:val="center"/>
          </w:tcPr>
          <w:p w14:paraId="4B3BCED2"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分子量</w:t>
            </w:r>
          </w:p>
        </w:tc>
        <w:tc>
          <w:tcPr>
            <w:tcW w:w="928" w:type="dxa"/>
            <w:gridSpan w:val="2"/>
            <w:vAlign w:val="center"/>
          </w:tcPr>
          <w:p w14:paraId="507A2D26" w14:textId="77777777" w:rsidR="000D79A9" w:rsidRPr="00E67914" w:rsidRDefault="000D79A9" w:rsidP="00380D94">
            <w:pPr>
              <w:pStyle w:val="TableParagraph"/>
              <w:adjustRightInd w:val="0"/>
              <w:snapToGrid w:val="0"/>
              <w:jc w:val="center"/>
              <w:rPr>
                <w:rFonts w:ascii="Times New Roman" w:eastAsia="Times New Roman" w:hAnsi="Times New Roman"/>
                <w:sz w:val="21"/>
                <w:szCs w:val="21"/>
              </w:rPr>
            </w:pPr>
            <w:r w:rsidRPr="00E67914">
              <w:rPr>
                <w:rFonts w:ascii="Times New Roman" w:eastAsia="Times New Roman" w:hAnsi="Times New Roman"/>
                <w:sz w:val="21"/>
                <w:szCs w:val="21"/>
              </w:rPr>
              <w:t>250</w:t>
            </w:r>
            <w:r w:rsidRPr="00E67914">
              <w:rPr>
                <w:rFonts w:ascii="Times New Roman" w:hAnsi="Times New Roman"/>
                <w:sz w:val="21"/>
                <w:szCs w:val="21"/>
              </w:rPr>
              <w:t>～</w:t>
            </w:r>
            <w:r w:rsidRPr="00E67914">
              <w:rPr>
                <w:rFonts w:ascii="Times New Roman" w:eastAsia="Times New Roman" w:hAnsi="Times New Roman"/>
                <w:sz w:val="21"/>
                <w:szCs w:val="21"/>
              </w:rPr>
              <w:t>450</w:t>
            </w:r>
          </w:p>
        </w:tc>
      </w:tr>
      <w:tr w:rsidR="00E67914" w:rsidRPr="00E67914" w14:paraId="24F1E8F6" w14:textId="77777777" w:rsidTr="00380D94">
        <w:trPr>
          <w:jc w:val="center"/>
        </w:trPr>
        <w:tc>
          <w:tcPr>
            <w:tcW w:w="500" w:type="dxa"/>
            <w:vMerge w:val="restart"/>
            <w:vAlign w:val="center"/>
          </w:tcPr>
          <w:p w14:paraId="276B2276"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理化特性</w:t>
            </w:r>
          </w:p>
        </w:tc>
        <w:tc>
          <w:tcPr>
            <w:tcW w:w="1335" w:type="dxa"/>
            <w:gridSpan w:val="2"/>
            <w:vAlign w:val="center"/>
          </w:tcPr>
          <w:p w14:paraId="5415C9D4"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相对密度（水</w:t>
            </w:r>
            <w:r w:rsidRPr="00E67914">
              <w:rPr>
                <w:rFonts w:ascii="Times New Roman" w:hAnsi="Times New Roman"/>
                <w:sz w:val="21"/>
                <w:szCs w:val="21"/>
                <w:lang w:eastAsia="zh-CN"/>
              </w:rPr>
              <w:t>=</w:t>
            </w:r>
            <w:r w:rsidRPr="00E67914">
              <w:rPr>
                <w:rFonts w:ascii="Times New Roman" w:eastAsia="Times New Roman" w:hAnsi="Times New Roman"/>
                <w:sz w:val="21"/>
                <w:szCs w:val="21"/>
              </w:rPr>
              <w:t>1</w:t>
            </w:r>
            <w:r w:rsidRPr="00E67914">
              <w:rPr>
                <w:rFonts w:ascii="Times New Roman" w:hAnsi="Times New Roman"/>
                <w:sz w:val="21"/>
                <w:szCs w:val="21"/>
              </w:rPr>
              <w:t>）</w:t>
            </w:r>
          </w:p>
        </w:tc>
        <w:tc>
          <w:tcPr>
            <w:tcW w:w="3360" w:type="dxa"/>
            <w:gridSpan w:val="4"/>
            <w:vAlign w:val="center"/>
          </w:tcPr>
          <w:p w14:paraId="62ECB65C" w14:textId="77777777" w:rsidR="000D79A9" w:rsidRPr="00E67914" w:rsidRDefault="000D79A9" w:rsidP="00380D94">
            <w:pPr>
              <w:pStyle w:val="TableParagraph"/>
              <w:adjustRightInd w:val="0"/>
              <w:snapToGrid w:val="0"/>
              <w:jc w:val="center"/>
              <w:rPr>
                <w:rFonts w:ascii="Times New Roman" w:eastAsia="Times New Roman" w:hAnsi="Times New Roman"/>
                <w:sz w:val="21"/>
                <w:szCs w:val="21"/>
              </w:rPr>
            </w:pPr>
            <w:r w:rsidRPr="00E67914">
              <w:rPr>
                <w:rFonts w:ascii="Times New Roman" w:eastAsia="Times New Roman" w:hAnsi="Times New Roman"/>
                <w:sz w:val="21"/>
                <w:szCs w:val="21"/>
              </w:rPr>
              <w:t>0.831</w:t>
            </w:r>
            <w:r w:rsidRPr="00E67914">
              <w:rPr>
                <w:rFonts w:ascii="Times New Roman" w:hAnsi="Times New Roman"/>
                <w:sz w:val="21"/>
                <w:szCs w:val="21"/>
              </w:rPr>
              <w:t>～</w:t>
            </w:r>
            <w:r w:rsidRPr="00E67914">
              <w:rPr>
                <w:rFonts w:ascii="Times New Roman" w:eastAsia="Times New Roman" w:hAnsi="Times New Roman"/>
                <w:sz w:val="21"/>
                <w:szCs w:val="21"/>
              </w:rPr>
              <w:t>0.883</w:t>
            </w:r>
          </w:p>
        </w:tc>
        <w:tc>
          <w:tcPr>
            <w:tcW w:w="2099" w:type="dxa"/>
            <w:gridSpan w:val="2"/>
            <w:vAlign w:val="center"/>
          </w:tcPr>
          <w:p w14:paraId="2E1CDA4A"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相对密度（空气</w:t>
            </w:r>
            <w:r w:rsidRPr="00E67914">
              <w:rPr>
                <w:rFonts w:ascii="Times New Roman" w:hAnsi="Times New Roman"/>
                <w:sz w:val="21"/>
                <w:szCs w:val="21"/>
                <w:lang w:eastAsia="zh-CN"/>
              </w:rPr>
              <w:t>=</w:t>
            </w:r>
            <w:r w:rsidRPr="00E67914">
              <w:rPr>
                <w:rFonts w:ascii="Times New Roman" w:eastAsia="Times New Roman" w:hAnsi="Times New Roman"/>
                <w:sz w:val="21"/>
                <w:szCs w:val="21"/>
              </w:rPr>
              <w:t>1</w:t>
            </w:r>
            <w:r w:rsidRPr="00E67914">
              <w:rPr>
                <w:rFonts w:ascii="Times New Roman" w:hAnsi="Times New Roman"/>
                <w:sz w:val="21"/>
                <w:szCs w:val="21"/>
              </w:rPr>
              <w:t>）</w:t>
            </w:r>
          </w:p>
        </w:tc>
        <w:tc>
          <w:tcPr>
            <w:tcW w:w="928" w:type="dxa"/>
            <w:gridSpan w:val="2"/>
            <w:vAlign w:val="center"/>
          </w:tcPr>
          <w:p w14:paraId="23EF0DD2" w14:textId="77777777" w:rsidR="000D79A9" w:rsidRPr="00E67914" w:rsidRDefault="000D79A9" w:rsidP="00380D94">
            <w:pPr>
              <w:adjustRightInd w:val="0"/>
              <w:snapToGrid w:val="0"/>
              <w:jc w:val="center"/>
              <w:rPr>
                <w:rFonts w:ascii="Times New Roman" w:hAnsi="Times New Roman"/>
                <w:szCs w:val="21"/>
              </w:rPr>
            </w:pPr>
          </w:p>
        </w:tc>
      </w:tr>
      <w:tr w:rsidR="00E67914" w:rsidRPr="00E67914" w14:paraId="6A8CEB3F" w14:textId="77777777" w:rsidTr="00380D94">
        <w:trPr>
          <w:jc w:val="center"/>
        </w:trPr>
        <w:tc>
          <w:tcPr>
            <w:tcW w:w="500" w:type="dxa"/>
            <w:vMerge/>
            <w:vAlign w:val="center"/>
          </w:tcPr>
          <w:p w14:paraId="6F82FDA1" w14:textId="77777777" w:rsidR="000D79A9" w:rsidRPr="00E67914" w:rsidRDefault="000D79A9" w:rsidP="00380D94">
            <w:pPr>
              <w:adjustRightInd w:val="0"/>
              <w:snapToGrid w:val="0"/>
              <w:jc w:val="center"/>
              <w:rPr>
                <w:rFonts w:ascii="Times New Roman" w:hAnsi="Times New Roman"/>
                <w:szCs w:val="21"/>
              </w:rPr>
            </w:pPr>
          </w:p>
        </w:tc>
        <w:tc>
          <w:tcPr>
            <w:tcW w:w="1335" w:type="dxa"/>
            <w:gridSpan w:val="2"/>
            <w:vAlign w:val="center"/>
          </w:tcPr>
          <w:p w14:paraId="0F4908A5"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外观与性状</w:t>
            </w:r>
          </w:p>
        </w:tc>
        <w:tc>
          <w:tcPr>
            <w:tcW w:w="6387" w:type="dxa"/>
            <w:gridSpan w:val="8"/>
            <w:vAlign w:val="center"/>
          </w:tcPr>
          <w:p w14:paraId="7FDD5EDB"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无色透明油状液体，无臭味，具有润滑性。</w:t>
            </w:r>
          </w:p>
        </w:tc>
      </w:tr>
      <w:tr w:rsidR="00E67914" w:rsidRPr="00E67914" w14:paraId="240D8B47" w14:textId="77777777" w:rsidTr="00380D94">
        <w:trPr>
          <w:jc w:val="center"/>
        </w:trPr>
        <w:tc>
          <w:tcPr>
            <w:tcW w:w="500" w:type="dxa"/>
            <w:vMerge/>
            <w:vAlign w:val="center"/>
          </w:tcPr>
          <w:p w14:paraId="3B29BB1C" w14:textId="77777777" w:rsidR="000D79A9" w:rsidRPr="00E67914" w:rsidRDefault="000D79A9" w:rsidP="00380D94">
            <w:pPr>
              <w:adjustRightInd w:val="0"/>
              <w:snapToGrid w:val="0"/>
              <w:jc w:val="center"/>
              <w:rPr>
                <w:rFonts w:ascii="Times New Roman" w:hAnsi="Times New Roman"/>
                <w:szCs w:val="21"/>
                <w:lang w:eastAsia="zh-CN"/>
              </w:rPr>
            </w:pPr>
          </w:p>
        </w:tc>
        <w:tc>
          <w:tcPr>
            <w:tcW w:w="1335" w:type="dxa"/>
            <w:gridSpan w:val="2"/>
            <w:vAlign w:val="center"/>
          </w:tcPr>
          <w:p w14:paraId="4AFBF83D"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溶解性</w:t>
            </w:r>
          </w:p>
        </w:tc>
        <w:tc>
          <w:tcPr>
            <w:tcW w:w="6387" w:type="dxa"/>
            <w:gridSpan w:val="8"/>
            <w:vAlign w:val="center"/>
          </w:tcPr>
          <w:p w14:paraId="3F6F188C"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不溶于水和乙醇。</w:t>
            </w:r>
          </w:p>
        </w:tc>
      </w:tr>
      <w:tr w:rsidR="00E67914" w:rsidRPr="00E67914" w14:paraId="3C325CAF" w14:textId="77777777" w:rsidTr="00380D94">
        <w:trPr>
          <w:jc w:val="center"/>
        </w:trPr>
        <w:tc>
          <w:tcPr>
            <w:tcW w:w="500" w:type="dxa"/>
            <w:vMerge/>
            <w:vAlign w:val="center"/>
          </w:tcPr>
          <w:p w14:paraId="36A4E328" w14:textId="77777777" w:rsidR="000D79A9" w:rsidRPr="00E67914" w:rsidRDefault="000D79A9" w:rsidP="00380D94">
            <w:pPr>
              <w:adjustRightInd w:val="0"/>
              <w:snapToGrid w:val="0"/>
              <w:jc w:val="center"/>
              <w:rPr>
                <w:rFonts w:ascii="Times New Roman" w:hAnsi="Times New Roman"/>
                <w:szCs w:val="21"/>
              </w:rPr>
            </w:pPr>
          </w:p>
        </w:tc>
        <w:tc>
          <w:tcPr>
            <w:tcW w:w="1335" w:type="dxa"/>
            <w:gridSpan w:val="2"/>
            <w:vAlign w:val="center"/>
          </w:tcPr>
          <w:p w14:paraId="6EAB507E"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沸点，</w:t>
            </w:r>
            <w:r w:rsidRPr="00E67914">
              <w:rPr>
                <w:rFonts w:ascii="Times New Roman" w:hAnsi="Times New Roman"/>
                <w:sz w:val="21"/>
                <w:szCs w:val="21"/>
              </w:rPr>
              <w:t>℃</w:t>
            </w:r>
          </w:p>
        </w:tc>
        <w:tc>
          <w:tcPr>
            <w:tcW w:w="1729" w:type="dxa"/>
            <w:vAlign w:val="center"/>
          </w:tcPr>
          <w:p w14:paraId="3D3BDF3F" w14:textId="77777777" w:rsidR="000D79A9" w:rsidRPr="00E67914" w:rsidRDefault="000D79A9" w:rsidP="00380D94">
            <w:pPr>
              <w:adjustRightInd w:val="0"/>
              <w:snapToGrid w:val="0"/>
              <w:jc w:val="center"/>
              <w:rPr>
                <w:rFonts w:ascii="Times New Roman" w:hAnsi="Times New Roman"/>
                <w:szCs w:val="21"/>
              </w:rPr>
            </w:pPr>
          </w:p>
        </w:tc>
        <w:tc>
          <w:tcPr>
            <w:tcW w:w="1726" w:type="dxa"/>
            <w:gridSpan w:val="4"/>
            <w:vAlign w:val="center"/>
          </w:tcPr>
          <w:p w14:paraId="3CF035E6"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熔点，</w:t>
            </w:r>
            <w:r w:rsidRPr="00E67914">
              <w:rPr>
                <w:rFonts w:ascii="Times New Roman" w:hAnsi="Times New Roman"/>
                <w:sz w:val="21"/>
                <w:szCs w:val="21"/>
              </w:rPr>
              <w:t>℃</w:t>
            </w:r>
          </w:p>
        </w:tc>
        <w:tc>
          <w:tcPr>
            <w:tcW w:w="2932" w:type="dxa"/>
            <w:gridSpan w:val="3"/>
            <w:vAlign w:val="center"/>
          </w:tcPr>
          <w:p w14:paraId="6650935E" w14:textId="77777777" w:rsidR="000D79A9" w:rsidRPr="00E67914" w:rsidRDefault="000D79A9" w:rsidP="00380D94">
            <w:pPr>
              <w:adjustRightInd w:val="0"/>
              <w:snapToGrid w:val="0"/>
              <w:jc w:val="center"/>
              <w:rPr>
                <w:rFonts w:ascii="Times New Roman" w:hAnsi="Times New Roman"/>
                <w:szCs w:val="21"/>
              </w:rPr>
            </w:pPr>
          </w:p>
        </w:tc>
      </w:tr>
      <w:tr w:rsidR="00E67914" w:rsidRPr="00E67914" w14:paraId="4E5172E5" w14:textId="77777777" w:rsidTr="00380D94">
        <w:trPr>
          <w:jc w:val="center"/>
        </w:trPr>
        <w:tc>
          <w:tcPr>
            <w:tcW w:w="500" w:type="dxa"/>
            <w:vMerge w:val="restart"/>
            <w:vAlign w:val="center"/>
          </w:tcPr>
          <w:p w14:paraId="731A6FC0"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燃爆特性</w:t>
            </w:r>
          </w:p>
        </w:tc>
        <w:tc>
          <w:tcPr>
            <w:tcW w:w="1335" w:type="dxa"/>
            <w:gridSpan w:val="2"/>
            <w:vAlign w:val="center"/>
          </w:tcPr>
          <w:p w14:paraId="583E1235"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闪点，</w:t>
            </w:r>
            <w:r w:rsidRPr="00E67914">
              <w:rPr>
                <w:rFonts w:ascii="Times New Roman" w:hAnsi="Times New Roman"/>
                <w:sz w:val="21"/>
                <w:szCs w:val="21"/>
              </w:rPr>
              <w:t>℃</w:t>
            </w:r>
          </w:p>
        </w:tc>
        <w:tc>
          <w:tcPr>
            <w:tcW w:w="1729" w:type="dxa"/>
            <w:vAlign w:val="center"/>
          </w:tcPr>
          <w:p w14:paraId="604D6606"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eastAsia="Times New Roman" w:hAnsi="Times New Roman"/>
                <w:sz w:val="21"/>
                <w:szCs w:val="21"/>
              </w:rPr>
              <w:t>≥130</w:t>
            </w:r>
            <w:r w:rsidRPr="00E67914">
              <w:rPr>
                <w:rFonts w:ascii="Times New Roman" w:hAnsi="Times New Roman"/>
                <w:sz w:val="21"/>
                <w:szCs w:val="21"/>
              </w:rPr>
              <w:t>℃</w:t>
            </w:r>
          </w:p>
        </w:tc>
        <w:tc>
          <w:tcPr>
            <w:tcW w:w="3730" w:type="dxa"/>
            <w:gridSpan w:val="5"/>
            <w:vAlign w:val="center"/>
          </w:tcPr>
          <w:p w14:paraId="144FEE2A" w14:textId="77777777" w:rsidR="000D79A9" w:rsidRPr="00E67914" w:rsidRDefault="000D79A9" w:rsidP="00380D94">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sz w:val="21"/>
                <w:szCs w:val="21"/>
              </w:rPr>
              <w:t>爆炸极限，</w:t>
            </w:r>
            <w:r w:rsidRPr="00E67914">
              <w:rPr>
                <w:rFonts w:ascii="Times New Roman" w:eastAsia="Times New Roman" w:hAnsi="Times New Roman"/>
                <w:sz w:val="21"/>
                <w:szCs w:val="21"/>
              </w:rPr>
              <w:t>%(V/V)</w:t>
            </w:r>
          </w:p>
        </w:tc>
        <w:tc>
          <w:tcPr>
            <w:tcW w:w="928" w:type="dxa"/>
            <w:gridSpan w:val="2"/>
            <w:vAlign w:val="center"/>
          </w:tcPr>
          <w:p w14:paraId="59709002" w14:textId="77777777" w:rsidR="000D79A9" w:rsidRPr="00E67914" w:rsidRDefault="000D79A9" w:rsidP="00380D94">
            <w:pPr>
              <w:adjustRightInd w:val="0"/>
              <w:snapToGrid w:val="0"/>
              <w:jc w:val="center"/>
              <w:rPr>
                <w:rFonts w:ascii="Times New Roman" w:hAnsi="Times New Roman"/>
                <w:szCs w:val="21"/>
              </w:rPr>
            </w:pPr>
          </w:p>
        </w:tc>
      </w:tr>
      <w:tr w:rsidR="00E67914" w:rsidRPr="00E67914" w14:paraId="1879A4D7" w14:textId="77777777" w:rsidTr="00380D94">
        <w:trPr>
          <w:jc w:val="center"/>
        </w:trPr>
        <w:tc>
          <w:tcPr>
            <w:tcW w:w="500" w:type="dxa"/>
            <w:vMerge/>
            <w:vAlign w:val="center"/>
          </w:tcPr>
          <w:p w14:paraId="25B190B0" w14:textId="77777777" w:rsidR="000D79A9" w:rsidRPr="00E67914" w:rsidRDefault="000D79A9" w:rsidP="00380D94">
            <w:pPr>
              <w:adjustRightInd w:val="0"/>
              <w:snapToGrid w:val="0"/>
              <w:jc w:val="center"/>
              <w:rPr>
                <w:rFonts w:ascii="Times New Roman" w:hAnsi="Times New Roman"/>
                <w:szCs w:val="21"/>
              </w:rPr>
            </w:pPr>
          </w:p>
        </w:tc>
        <w:tc>
          <w:tcPr>
            <w:tcW w:w="1335" w:type="dxa"/>
            <w:gridSpan w:val="2"/>
            <w:vAlign w:val="center"/>
          </w:tcPr>
          <w:p w14:paraId="28086D15"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引燃温度，</w:t>
            </w:r>
            <w:r w:rsidRPr="00E67914">
              <w:rPr>
                <w:rFonts w:ascii="Times New Roman" w:hAnsi="Times New Roman"/>
                <w:sz w:val="21"/>
                <w:szCs w:val="21"/>
              </w:rPr>
              <w:t>℃</w:t>
            </w:r>
          </w:p>
        </w:tc>
        <w:tc>
          <w:tcPr>
            <w:tcW w:w="1729" w:type="dxa"/>
            <w:vAlign w:val="center"/>
          </w:tcPr>
          <w:p w14:paraId="664D7A7F" w14:textId="77777777" w:rsidR="000D79A9" w:rsidRPr="00E67914" w:rsidRDefault="000D79A9" w:rsidP="00380D94">
            <w:pPr>
              <w:adjustRightInd w:val="0"/>
              <w:snapToGrid w:val="0"/>
              <w:jc w:val="center"/>
              <w:rPr>
                <w:rFonts w:ascii="Times New Roman" w:hAnsi="Times New Roman"/>
                <w:szCs w:val="21"/>
              </w:rPr>
            </w:pPr>
          </w:p>
        </w:tc>
        <w:tc>
          <w:tcPr>
            <w:tcW w:w="3730" w:type="dxa"/>
            <w:gridSpan w:val="5"/>
            <w:vAlign w:val="center"/>
          </w:tcPr>
          <w:p w14:paraId="456138FF" w14:textId="77777777" w:rsidR="000D79A9" w:rsidRPr="00E67914" w:rsidRDefault="000D79A9" w:rsidP="00380D94">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sz w:val="21"/>
                <w:szCs w:val="21"/>
              </w:rPr>
              <w:t>临界压力，</w:t>
            </w:r>
            <w:r w:rsidRPr="00E67914">
              <w:rPr>
                <w:rFonts w:ascii="Times New Roman" w:eastAsia="Times New Roman" w:hAnsi="Times New Roman"/>
                <w:sz w:val="21"/>
                <w:szCs w:val="21"/>
              </w:rPr>
              <w:t>MPa</w:t>
            </w:r>
          </w:p>
        </w:tc>
        <w:tc>
          <w:tcPr>
            <w:tcW w:w="928" w:type="dxa"/>
            <w:gridSpan w:val="2"/>
            <w:vAlign w:val="center"/>
          </w:tcPr>
          <w:p w14:paraId="3DD466D4" w14:textId="77777777" w:rsidR="000D79A9" w:rsidRPr="00E67914" w:rsidRDefault="000D79A9" w:rsidP="00380D94">
            <w:pPr>
              <w:adjustRightInd w:val="0"/>
              <w:snapToGrid w:val="0"/>
              <w:jc w:val="center"/>
              <w:rPr>
                <w:rFonts w:ascii="Times New Roman" w:hAnsi="Times New Roman"/>
                <w:szCs w:val="21"/>
              </w:rPr>
            </w:pPr>
          </w:p>
        </w:tc>
      </w:tr>
      <w:tr w:rsidR="00E67914" w:rsidRPr="00E67914" w14:paraId="4C41891B" w14:textId="77777777" w:rsidTr="00380D94">
        <w:trPr>
          <w:jc w:val="center"/>
        </w:trPr>
        <w:tc>
          <w:tcPr>
            <w:tcW w:w="500" w:type="dxa"/>
            <w:vMerge/>
            <w:vAlign w:val="center"/>
          </w:tcPr>
          <w:p w14:paraId="0DB58D12" w14:textId="77777777" w:rsidR="000D79A9" w:rsidRPr="00E67914" w:rsidRDefault="000D79A9" w:rsidP="00380D94">
            <w:pPr>
              <w:adjustRightInd w:val="0"/>
              <w:snapToGrid w:val="0"/>
              <w:jc w:val="center"/>
              <w:rPr>
                <w:rFonts w:ascii="Times New Roman" w:hAnsi="Times New Roman"/>
                <w:szCs w:val="21"/>
              </w:rPr>
            </w:pPr>
          </w:p>
        </w:tc>
        <w:tc>
          <w:tcPr>
            <w:tcW w:w="1335" w:type="dxa"/>
            <w:gridSpan w:val="2"/>
            <w:vAlign w:val="center"/>
          </w:tcPr>
          <w:p w14:paraId="08F1B187"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火灾危险类别</w:t>
            </w:r>
          </w:p>
        </w:tc>
        <w:tc>
          <w:tcPr>
            <w:tcW w:w="1729" w:type="dxa"/>
            <w:vAlign w:val="center"/>
          </w:tcPr>
          <w:p w14:paraId="3B342E2F" w14:textId="77777777" w:rsidR="000D79A9" w:rsidRPr="00E67914" w:rsidRDefault="000D79A9" w:rsidP="00380D94">
            <w:pPr>
              <w:adjustRightInd w:val="0"/>
              <w:snapToGrid w:val="0"/>
              <w:jc w:val="center"/>
              <w:rPr>
                <w:rFonts w:ascii="Times New Roman" w:hAnsi="Times New Roman"/>
                <w:szCs w:val="21"/>
              </w:rPr>
            </w:pPr>
          </w:p>
        </w:tc>
        <w:tc>
          <w:tcPr>
            <w:tcW w:w="3730" w:type="dxa"/>
            <w:gridSpan w:val="5"/>
            <w:vAlign w:val="center"/>
          </w:tcPr>
          <w:p w14:paraId="5BDC8602"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爆炸危险组别</w:t>
            </w:r>
            <w:r w:rsidRPr="00E67914">
              <w:rPr>
                <w:rFonts w:ascii="Times New Roman" w:eastAsia="Times New Roman" w:hAnsi="Times New Roman"/>
                <w:sz w:val="21"/>
                <w:szCs w:val="21"/>
              </w:rPr>
              <w:t>/</w:t>
            </w:r>
            <w:r w:rsidRPr="00E67914">
              <w:rPr>
                <w:rFonts w:ascii="Times New Roman" w:hAnsi="Times New Roman"/>
                <w:sz w:val="21"/>
                <w:szCs w:val="21"/>
              </w:rPr>
              <w:t>类别</w:t>
            </w:r>
          </w:p>
        </w:tc>
        <w:tc>
          <w:tcPr>
            <w:tcW w:w="928" w:type="dxa"/>
            <w:gridSpan w:val="2"/>
            <w:vAlign w:val="center"/>
          </w:tcPr>
          <w:p w14:paraId="360DD8C3" w14:textId="77777777" w:rsidR="000D79A9" w:rsidRPr="00E67914" w:rsidRDefault="000D79A9" w:rsidP="00380D94">
            <w:pPr>
              <w:adjustRightInd w:val="0"/>
              <w:snapToGrid w:val="0"/>
              <w:jc w:val="center"/>
              <w:rPr>
                <w:rFonts w:ascii="Times New Roman" w:hAnsi="Times New Roman"/>
                <w:szCs w:val="21"/>
              </w:rPr>
            </w:pPr>
          </w:p>
        </w:tc>
      </w:tr>
      <w:tr w:rsidR="00E67914" w:rsidRPr="00E67914" w14:paraId="3230DE01" w14:textId="77777777" w:rsidTr="00380D94">
        <w:trPr>
          <w:jc w:val="center"/>
        </w:trPr>
        <w:tc>
          <w:tcPr>
            <w:tcW w:w="500" w:type="dxa"/>
            <w:vMerge/>
            <w:vAlign w:val="center"/>
          </w:tcPr>
          <w:p w14:paraId="0935A99A" w14:textId="77777777" w:rsidR="000D79A9" w:rsidRPr="00E67914" w:rsidRDefault="000D79A9" w:rsidP="00380D94">
            <w:pPr>
              <w:adjustRightInd w:val="0"/>
              <w:snapToGrid w:val="0"/>
              <w:jc w:val="center"/>
              <w:rPr>
                <w:rFonts w:ascii="Times New Roman" w:hAnsi="Times New Roman"/>
                <w:szCs w:val="21"/>
              </w:rPr>
            </w:pPr>
          </w:p>
        </w:tc>
        <w:tc>
          <w:tcPr>
            <w:tcW w:w="1335" w:type="dxa"/>
            <w:gridSpan w:val="2"/>
            <w:vAlign w:val="center"/>
          </w:tcPr>
          <w:p w14:paraId="6AB835C9"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危险特性</w:t>
            </w:r>
          </w:p>
        </w:tc>
        <w:tc>
          <w:tcPr>
            <w:tcW w:w="6387" w:type="dxa"/>
            <w:gridSpan w:val="8"/>
            <w:vAlign w:val="center"/>
          </w:tcPr>
          <w:p w14:paraId="37F44CBE"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2"/>
                <w:sz w:val="21"/>
                <w:szCs w:val="21"/>
                <w:lang w:eastAsia="zh-CN"/>
              </w:rPr>
              <w:t>温度过高热、明火或与氧化剂接触，均有引燃危险。容器内压增大有</w:t>
            </w:r>
            <w:r w:rsidRPr="00E67914">
              <w:rPr>
                <w:rFonts w:ascii="Times New Roman" w:hAnsi="Times New Roman"/>
                <w:spacing w:val="-48"/>
                <w:sz w:val="21"/>
                <w:szCs w:val="21"/>
                <w:lang w:eastAsia="zh-CN"/>
              </w:rPr>
              <w:t xml:space="preserve"> </w:t>
            </w:r>
            <w:r w:rsidRPr="00E67914">
              <w:rPr>
                <w:rFonts w:ascii="Times New Roman" w:hAnsi="Times New Roman"/>
                <w:sz w:val="21"/>
                <w:szCs w:val="21"/>
                <w:lang w:eastAsia="zh-CN"/>
              </w:rPr>
              <w:t>开裂或爆炸危险。</w:t>
            </w:r>
          </w:p>
        </w:tc>
      </w:tr>
      <w:tr w:rsidR="00E67914" w:rsidRPr="00E67914" w14:paraId="7924F22C" w14:textId="77777777" w:rsidTr="00380D94">
        <w:trPr>
          <w:jc w:val="center"/>
        </w:trPr>
        <w:tc>
          <w:tcPr>
            <w:tcW w:w="500" w:type="dxa"/>
            <w:vMerge/>
            <w:vAlign w:val="center"/>
          </w:tcPr>
          <w:p w14:paraId="17C1A30F" w14:textId="77777777" w:rsidR="000D79A9" w:rsidRPr="00E67914" w:rsidRDefault="000D79A9" w:rsidP="00380D94">
            <w:pPr>
              <w:adjustRightInd w:val="0"/>
              <w:snapToGrid w:val="0"/>
              <w:jc w:val="center"/>
              <w:rPr>
                <w:rFonts w:ascii="Times New Roman" w:hAnsi="Times New Roman"/>
                <w:szCs w:val="21"/>
                <w:lang w:eastAsia="zh-CN"/>
              </w:rPr>
            </w:pPr>
          </w:p>
        </w:tc>
        <w:tc>
          <w:tcPr>
            <w:tcW w:w="1335" w:type="dxa"/>
            <w:gridSpan w:val="2"/>
            <w:vAlign w:val="center"/>
          </w:tcPr>
          <w:p w14:paraId="7A992FFE"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灭火方法</w:t>
            </w:r>
          </w:p>
        </w:tc>
        <w:tc>
          <w:tcPr>
            <w:tcW w:w="6387" w:type="dxa"/>
            <w:gridSpan w:val="8"/>
            <w:vAlign w:val="center"/>
          </w:tcPr>
          <w:p w14:paraId="61D3104B"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灭火剂：二氧化碳﹑干化学粉末、泡沫、砂、泥土或水雾</w:t>
            </w:r>
            <w:r w:rsidRPr="00E67914">
              <w:rPr>
                <w:rFonts w:ascii="Times New Roman" w:eastAsia="Times New Roman" w:hAnsi="Times New Roman"/>
                <w:sz w:val="21"/>
                <w:szCs w:val="21"/>
                <w:lang w:eastAsia="zh-CN"/>
              </w:rPr>
              <w:t>(</w:t>
            </w:r>
            <w:r w:rsidRPr="00E67914">
              <w:rPr>
                <w:rFonts w:ascii="Times New Roman" w:hAnsi="Times New Roman"/>
                <w:sz w:val="21"/>
                <w:szCs w:val="21"/>
                <w:lang w:eastAsia="zh-CN"/>
              </w:rPr>
              <w:t>不可用水</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喷射</w:t>
            </w:r>
            <w:r w:rsidRPr="00E67914">
              <w:rPr>
                <w:rFonts w:ascii="Times New Roman" w:eastAsia="Times New Roman" w:hAnsi="Times New Roman"/>
                <w:sz w:val="21"/>
                <w:szCs w:val="21"/>
                <w:lang w:eastAsia="zh-CN"/>
              </w:rPr>
              <w:t>)</w:t>
            </w:r>
            <w:r w:rsidRPr="00E67914">
              <w:rPr>
                <w:rFonts w:ascii="Times New Roman" w:hAnsi="Times New Roman"/>
                <w:sz w:val="21"/>
                <w:szCs w:val="21"/>
                <w:lang w:eastAsia="zh-CN"/>
              </w:rPr>
              <w:t>。</w:t>
            </w:r>
          </w:p>
        </w:tc>
      </w:tr>
      <w:tr w:rsidR="00E67914" w:rsidRPr="00E67914" w14:paraId="2269D489" w14:textId="77777777" w:rsidTr="00380D94">
        <w:trPr>
          <w:jc w:val="center"/>
        </w:trPr>
        <w:tc>
          <w:tcPr>
            <w:tcW w:w="500" w:type="dxa"/>
            <w:vMerge w:val="restart"/>
            <w:vAlign w:val="center"/>
          </w:tcPr>
          <w:p w14:paraId="196B7587"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毒性及健康危害</w:t>
            </w:r>
          </w:p>
        </w:tc>
        <w:tc>
          <w:tcPr>
            <w:tcW w:w="913" w:type="dxa"/>
            <w:vAlign w:val="center"/>
          </w:tcPr>
          <w:p w14:paraId="4A88731D"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急性毒性</w:t>
            </w:r>
          </w:p>
        </w:tc>
        <w:tc>
          <w:tcPr>
            <w:tcW w:w="2802" w:type="dxa"/>
            <w:gridSpan w:val="3"/>
            <w:vAlign w:val="center"/>
          </w:tcPr>
          <w:p w14:paraId="6FB50CC7" w14:textId="77777777" w:rsidR="000D79A9" w:rsidRPr="00E67914" w:rsidRDefault="000D79A9" w:rsidP="00380D94">
            <w:pPr>
              <w:pStyle w:val="TableParagraph"/>
              <w:adjustRightInd w:val="0"/>
              <w:snapToGrid w:val="0"/>
              <w:jc w:val="center"/>
              <w:rPr>
                <w:rFonts w:ascii="Times New Roman" w:eastAsia="Times New Roman" w:hAnsi="Times New Roman"/>
                <w:sz w:val="21"/>
                <w:szCs w:val="21"/>
              </w:rPr>
            </w:pPr>
            <w:r w:rsidRPr="00E67914">
              <w:rPr>
                <w:rFonts w:ascii="Times New Roman" w:eastAsia="Times New Roman" w:hAnsi="Times New Roman"/>
                <w:sz w:val="21"/>
                <w:szCs w:val="21"/>
              </w:rPr>
              <w:t>LD50(mg/kg,</w:t>
            </w:r>
            <w:r w:rsidRPr="00E67914">
              <w:rPr>
                <w:rFonts w:ascii="Times New Roman" w:hAnsi="Times New Roman"/>
                <w:sz w:val="21"/>
                <w:szCs w:val="21"/>
              </w:rPr>
              <w:t>大鼠经口</w:t>
            </w:r>
            <w:r w:rsidRPr="00E67914">
              <w:rPr>
                <w:rFonts w:ascii="Times New Roman" w:eastAsia="Times New Roman" w:hAnsi="Times New Roman"/>
                <w:sz w:val="21"/>
                <w:szCs w:val="21"/>
              </w:rPr>
              <w:t>)</w:t>
            </w:r>
          </w:p>
        </w:tc>
        <w:tc>
          <w:tcPr>
            <w:tcW w:w="842" w:type="dxa"/>
            <w:vAlign w:val="center"/>
          </w:tcPr>
          <w:p w14:paraId="0FB8280E" w14:textId="77777777" w:rsidR="000D79A9" w:rsidRPr="00E67914" w:rsidRDefault="000D79A9" w:rsidP="00380D94">
            <w:pPr>
              <w:pStyle w:val="TableParagraph"/>
              <w:adjustRightInd w:val="0"/>
              <w:snapToGrid w:val="0"/>
              <w:jc w:val="center"/>
              <w:rPr>
                <w:rFonts w:ascii="Times New Roman" w:eastAsia="Times New Roman" w:hAnsi="Times New Roman"/>
                <w:sz w:val="21"/>
                <w:szCs w:val="21"/>
              </w:rPr>
            </w:pPr>
            <w:r w:rsidRPr="00E67914">
              <w:rPr>
                <w:rFonts w:ascii="Times New Roman" w:eastAsia="Times New Roman" w:hAnsi="Times New Roman"/>
                <w:sz w:val="21"/>
                <w:szCs w:val="21"/>
              </w:rPr>
              <w:t>――</w:t>
            </w:r>
          </w:p>
        </w:tc>
        <w:tc>
          <w:tcPr>
            <w:tcW w:w="2660" w:type="dxa"/>
            <w:gridSpan w:val="4"/>
            <w:vAlign w:val="center"/>
          </w:tcPr>
          <w:p w14:paraId="26E55B02"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eastAsia="Times New Roman" w:hAnsi="Times New Roman"/>
                <w:sz w:val="21"/>
                <w:szCs w:val="21"/>
              </w:rPr>
              <w:t>LC50</w:t>
            </w:r>
            <w:r w:rsidRPr="00E67914">
              <w:rPr>
                <w:rFonts w:ascii="Times New Roman" w:hAnsi="Times New Roman"/>
                <w:sz w:val="21"/>
                <w:szCs w:val="21"/>
              </w:rPr>
              <w:t>（</w:t>
            </w:r>
            <w:r w:rsidRPr="00E67914">
              <w:rPr>
                <w:rFonts w:ascii="Times New Roman" w:eastAsia="Times New Roman" w:hAnsi="Times New Roman"/>
                <w:sz w:val="21"/>
                <w:szCs w:val="21"/>
              </w:rPr>
              <w:t>mg/m</w:t>
            </w:r>
            <w:r w:rsidRPr="00E67914">
              <w:rPr>
                <w:rFonts w:ascii="Times New Roman" w:eastAsia="Times New Roman" w:hAnsi="Times New Roman"/>
                <w:sz w:val="21"/>
                <w:szCs w:val="21"/>
                <w:vertAlign w:val="superscript"/>
              </w:rPr>
              <w:t>3</w:t>
            </w:r>
            <w:r w:rsidRPr="00E67914">
              <w:rPr>
                <w:rFonts w:ascii="Times New Roman" w:hAnsi="Times New Roman"/>
                <w:sz w:val="21"/>
                <w:szCs w:val="21"/>
              </w:rPr>
              <w:t>，大鼠吸入）</w:t>
            </w:r>
          </w:p>
        </w:tc>
        <w:tc>
          <w:tcPr>
            <w:tcW w:w="505" w:type="dxa"/>
            <w:vAlign w:val="center"/>
          </w:tcPr>
          <w:p w14:paraId="47E11EDD" w14:textId="77777777" w:rsidR="000D79A9" w:rsidRPr="00E67914" w:rsidRDefault="000D79A9" w:rsidP="00380D94">
            <w:pPr>
              <w:pStyle w:val="TableParagraph"/>
              <w:adjustRightInd w:val="0"/>
              <w:snapToGrid w:val="0"/>
              <w:jc w:val="center"/>
              <w:rPr>
                <w:rFonts w:ascii="Times New Roman" w:eastAsia="Times New Roman" w:hAnsi="Times New Roman"/>
                <w:sz w:val="21"/>
                <w:szCs w:val="21"/>
              </w:rPr>
            </w:pPr>
            <w:r w:rsidRPr="00E67914">
              <w:rPr>
                <w:rFonts w:ascii="Times New Roman" w:eastAsia="Times New Roman" w:hAnsi="Times New Roman"/>
                <w:sz w:val="21"/>
                <w:szCs w:val="21"/>
              </w:rPr>
              <w:t>――</w:t>
            </w:r>
          </w:p>
        </w:tc>
      </w:tr>
      <w:tr w:rsidR="00E67914" w:rsidRPr="00E67914" w14:paraId="54B5D797" w14:textId="77777777" w:rsidTr="00380D94">
        <w:trPr>
          <w:jc w:val="center"/>
        </w:trPr>
        <w:tc>
          <w:tcPr>
            <w:tcW w:w="500" w:type="dxa"/>
            <w:vMerge/>
            <w:vAlign w:val="center"/>
          </w:tcPr>
          <w:p w14:paraId="510B53DA" w14:textId="77777777" w:rsidR="000D79A9" w:rsidRPr="00E67914" w:rsidRDefault="000D79A9" w:rsidP="00380D94">
            <w:pPr>
              <w:adjustRightInd w:val="0"/>
              <w:snapToGrid w:val="0"/>
              <w:jc w:val="center"/>
              <w:rPr>
                <w:rFonts w:ascii="Times New Roman" w:hAnsi="Times New Roman"/>
                <w:szCs w:val="21"/>
              </w:rPr>
            </w:pPr>
          </w:p>
        </w:tc>
        <w:tc>
          <w:tcPr>
            <w:tcW w:w="913" w:type="dxa"/>
            <w:vAlign w:val="center"/>
          </w:tcPr>
          <w:p w14:paraId="3A9CA1FF"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健康危害</w:t>
            </w:r>
          </w:p>
        </w:tc>
        <w:tc>
          <w:tcPr>
            <w:tcW w:w="6809" w:type="dxa"/>
            <w:gridSpan w:val="9"/>
            <w:vAlign w:val="center"/>
          </w:tcPr>
          <w:p w14:paraId="25FF7846" w14:textId="77777777" w:rsidR="000D79A9" w:rsidRPr="00E67914" w:rsidRDefault="000D79A9" w:rsidP="00380D94">
            <w:pPr>
              <w:pStyle w:val="TableParagraph"/>
              <w:tabs>
                <w:tab w:val="left" w:pos="3783"/>
              </w:tabs>
              <w:adjustRightInd w:val="0"/>
              <w:snapToGrid w:val="0"/>
              <w:jc w:val="center"/>
              <w:rPr>
                <w:rFonts w:ascii="Times New Roman" w:hAnsi="Times New Roman"/>
                <w:sz w:val="21"/>
                <w:szCs w:val="21"/>
                <w:lang w:eastAsia="zh-CN"/>
              </w:rPr>
            </w:pPr>
            <w:r w:rsidRPr="00E67914">
              <w:rPr>
                <w:rFonts w:ascii="Times New Roman" w:hAnsi="Times New Roman"/>
                <w:spacing w:val="-2"/>
                <w:sz w:val="21"/>
                <w:szCs w:val="21"/>
                <w:lang w:eastAsia="zh-CN"/>
              </w:rPr>
              <w:t>吸入：吸入大量挥发气体会感觉眩晕。</w:t>
            </w:r>
            <w:r w:rsidRPr="00E67914">
              <w:rPr>
                <w:rFonts w:ascii="Times New Roman" w:hAnsi="Times New Roman"/>
                <w:spacing w:val="-2"/>
                <w:sz w:val="21"/>
                <w:szCs w:val="21"/>
                <w:lang w:eastAsia="zh-CN"/>
              </w:rPr>
              <w:tab/>
            </w:r>
            <w:r w:rsidRPr="00E67914">
              <w:rPr>
                <w:rFonts w:ascii="Times New Roman" w:hAnsi="Times New Roman"/>
                <w:spacing w:val="-2"/>
                <w:sz w:val="21"/>
                <w:szCs w:val="21"/>
                <w:lang w:eastAsia="zh-CN"/>
              </w:rPr>
              <w:t>眼接触：有刺激感，损伤视力。</w:t>
            </w:r>
          </w:p>
        </w:tc>
      </w:tr>
      <w:tr w:rsidR="00E67914" w:rsidRPr="00E67914" w14:paraId="50B7906D" w14:textId="77777777" w:rsidTr="00380D94">
        <w:trPr>
          <w:jc w:val="center"/>
        </w:trPr>
        <w:tc>
          <w:tcPr>
            <w:tcW w:w="500" w:type="dxa"/>
            <w:vMerge/>
            <w:vAlign w:val="center"/>
          </w:tcPr>
          <w:p w14:paraId="5F1CA49B" w14:textId="77777777" w:rsidR="000D79A9" w:rsidRPr="00E67914" w:rsidRDefault="000D79A9" w:rsidP="00380D94">
            <w:pPr>
              <w:adjustRightInd w:val="0"/>
              <w:snapToGrid w:val="0"/>
              <w:jc w:val="center"/>
              <w:rPr>
                <w:rFonts w:ascii="Times New Roman" w:hAnsi="Times New Roman"/>
                <w:szCs w:val="21"/>
                <w:lang w:eastAsia="zh-CN"/>
              </w:rPr>
            </w:pPr>
          </w:p>
        </w:tc>
        <w:tc>
          <w:tcPr>
            <w:tcW w:w="913" w:type="dxa"/>
            <w:vAlign w:val="center"/>
          </w:tcPr>
          <w:p w14:paraId="68E3A599"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操作注意事项</w:t>
            </w:r>
          </w:p>
        </w:tc>
        <w:tc>
          <w:tcPr>
            <w:tcW w:w="6809" w:type="dxa"/>
            <w:gridSpan w:val="9"/>
            <w:vAlign w:val="center"/>
          </w:tcPr>
          <w:p w14:paraId="0054CFE1"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2"/>
                <w:sz w:val="21"/>
                <w:szCs w:val="21"/>
                <w:lang w:eastAsia="zh-CN"/>
              </w:rPr>
              <w:t>密闭操作，全面通风。操作人员必须经过专门培训，严格遵守操作规程。远离火种、热源，工作场所严禁吸烟。使用防爆型的通风系统和设备。防止气体泄漏到工作场所空气中。避免与氧化剂接触。在传送过程中，容器</w:t>
            </w:r>
            <w:r w:rsidRPr="00E67914">
              <w:rPr>
                <w:rFonts w:ascii="Times New Roman" w:hAnsi="Times New Roman"/>
                <w:sz w:val="21"/>
                <w:szCs w:val="21"/>
                <w:lang w:eastAsia="zh-CN"/>
              </w:rPr>
              <w:t>必须接地和跨接，防止产生静电。搬运时轻装轻卸，防止容器及附件破损。配备相应品种和数量的消防器材及泄漏应急处理设备。</w:t>
            </w:r>
          </w:p>
        </w:tc>
      </w:tr>
      <w:tr w:rsidR="00E67914" w:rsidRPr="00E67914" w14:paraId="627939B6" w14:textId="77777777" w:rsidTr="00380D94">
        <w:trPr>
          <w:jc w:val="center"/>
        </w:trPr>
        <w:tc>
          <w:tcPr>
            <w:tcW w:w="500" w:type="dxa"/>
            <w:vMerge/>
            <w:vAlign w:val="center"/>
          </w:tcPr>
          <w:p w14:paraId="2D2C8D74" w14:textId="77777777" w:rsidR="000D79A9" w:rsidRPr="00E67914" w:rsidRDefault="000D79A9" w:rsidP="00380D94">
            <w:pPr>
              <w:adjustRightInd w:val="0"/>
              <w:snapToGrid w:val="0"/>
              <w:jc w:val="center"/>
              <w:rPr>
                <w:rFonts w:ascii="Times New Roman" w:hAnsi="Times New Roman"/>
                <w:szCs w:val="21"/>
                <w:lang w:eastAsia="zh-CN"/>
              </w:rPr>
            </w:pPr>
          </w:p>
        </w:tc>
        <w:tc>
          <w:tcPr>
            <w:tcW w:w="913" w:type="dxa"/>
            <w:vAlign w:val="center"/>
          </w:tcPr>
          <w:p w14:paraId="213B5390"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急救措施</w:t>
            </w:r>
          </w:p>
        </w:tc>
        <w:tc>
          <w:tcPr>
            <w:tcW w:w="6809" w:type="dxa"/>
            <w:gridSpan w:val="9"/>
            <w:vAlign w:val="center"/>
          </w:tcPr>
          <w:p w14:paraId="7C018C88"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皮肤接触：建议使用脂枪加脂，如意外注射使皮肤受伤，应送医治疗。眼接触：张开眼皮，以洁净清水冲洗，如刺激持续，建议看医生。</w:t>
            </w:r>
            <w:r w:rsidRPr="00E67914">
              <w:rPr>
                <w:rFonts w:ascii="Times New Roman" w:hAnsi="Times New Roman"/>
                <w:spacing w:val="-2"/>
                <w:sz w:val="21"/>
                <w:szCs w:val="21"/>
                <w:lang w:eastAsia="zh-CN"/>
              </w:rPr>
              <w:t>食入：用清水洗胃稀释，毋须诱发呕吐，如大量入肚确感不适，需立即就</w:t>
            </w:r>
            <w:r w:rsidRPr="00E67914">
              <w:rPr>
                <w:rFonts w:ascii="Times New Roman" w:hAnsi="Times New Roman"/>
                <w:sz w:val="21"/>
                <w:szCs w:val="21"/>
                <w:lang w:eastAsia="zh-CN"/>
              </w:rPr>
              <w:t>医。</w:t>
            </w:r>
          </w:p>
        </w:tc>
      </w:tr>
      <w:tr w:rsidR="00E67914" w:rsidRPr="00E67914" w14:paraId="55076EFE" w14:textId="77777777" w:rsidTr="00380D94">
        <w:trPr>
          <w:jc w:val="center"/>
        </w:trPr>
        <w:tc>
          <w:tcPr>
            <w:tcW w:w="500" w:type="dxa"/>
            <w:vAlign w:val="center"/>
          </w:tcPr>
          <w:p w14:paraId="5FA7E224"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泄漏应急处理</w:t>
            </w:r>
          </w:p>
        </w:tc>
        <w:tc>
          <w:tcPr>
            <w:tcW w:w="7722" w:type="dxa"/>
            <w:gridSpan w:val="10"/>
            <w:vAlign w:val="center"/>
          </w:tcPr>
          <w:p w14:paraId="469B75EA"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2"/>
                <w:sz w:val="21"/>
                <w:szCs w:val="21"/>
                <w:lang w:eastAsia="zh-CN"/>
              </w:rPr>
              <w:t>迅速撤离泄漏污染区人员至上风处，并进行隔离，严格限制出入。切断火源，防止火花产生，除处理备油人员外，从速撤离现场，避免吸入油雾；小量泄漏：用砂泥土或木屑，吸收溢出的油，然后移至安全地点。根据有关法例处理，后以大量水冲洗被沾污的地方；大量泄漏：以砂或泥土截溢油蔓延，防止溢油流入下水道。如有可能，将</w:t>
            </w:r>
            <w:r w:rsidRPr="00E67914">
              <w:rPr>
                <w:rFonts w:ascii="Times New Roman" w:hAnsi="Times New Roman"/>
                <w:sz w:val="21"/>
                <w:szCs w:val="21"/>
                <w:lang w:eastAsia="zh-CN"/>
              </w:rPr>
              <w:t>溢油以槽罐截起，随后处理，或按</w:t>
            </w:r>
            <w:r w:rsidRPr="00E67914">
              <w:rPr>
                <w:rFonts w:ascii="Times New Roman" w:hAnsi="Times New Roman"/>
                <w:sz w:val="21"/>
                <w:szCs w:val="21"/>
                <w:lang w:eastAsia="zh-CN"/>
              </w:rPr>
              <w:t>“</w:t>
            </w:r>
            <w:r w:rsidRPr="00E67914">
              <w:rPr>
                <w:rFonts w:ascii="Times New Roman" w:hAnsi="Times New Roman"/>
                <w:sz w:val="21"/>
                <w:szCs w:val="21"/>
                <w:lang w:eastAsia="zh-CN"/>
              </w:rPr>
              <w:t>小量泄漏</w:t>
            </w:r>
            <w:r w:rsidRPr="00E67914">
              <w:rPr>
                <w:rFonts w:ascii="Times New Roman" w:hAnsi="Times New Roman"/>
                <w:sz w:val="21"/>
                <w:szCs w:val="21"/>
                <w:lang w:eastAsia="zh-CN"/>
              </w:rPr>
              <w:t>”</w:t>
            </w:r>
            <w:r w:rsidRPr="00E67914">
              <w:rPr>
                <w:rFonts w:ascii="Times New Roman" w:hAnsi="Times New Roman"/>
                <w:sz w:val="21"/>
                <w:szCs w:val="21"/>
                <w:lang w:eastAsia="zh-CN"/>
              </w:rPr>
              <w:t>方法处理。漏气容器要妥善处理，修复、检验后再用。</w:t>
            </w:r>
          </w:p>
        </w:tc>
      </w:tr>
      <w:tr w:rsidR="00E67914" w:rsidRPr="00E67914" w14:paraId="65F4075A" w14:textId="77777777" w:rsidTr="00380D94">
        <w:trPr>
          <w:jc w:val="center"/>
        </w:trPr>
        <w:tc>
          <w:tcPr>
            <w:tcW w:w="500" w:type="dxa"/>
            <w:vAlign w:val="center"/>
          </w:tcPr>
          <w:p w14:paraId="1939F013"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储运</w:t>
            </w:r>
          </w:p>
        </w:tc>
        <w:tc>
          <w:tcPr>
            <w:tcW w:w="7722" w:type="dxa"/>
            <w:gridSpan w:val="10"/>
            <w:vAlign w:val="center"/>
          </w:tcPr>
          <w:p w14:paraId="5EBBCEA9"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pacing w:val="-2"/>
                <w:sz w:val="21"/>
                <w:szCs w:val="21"/>
                <w:lang w:eastAsia="zh-CN"/>
              </w:rPr>
              <w:t>储存于阴凉、通风的库房。远离火种、热源。库温不宜超过</w:t>
            </w:r>
            <w:r w:rsidRPr="00E67914">
              <w:rPr>
                <w:rFonts w:ascii="Times New Roman" w:eastAsia="Times New Roman" w:hAnsi="Times New Roman"/>
                <w:spacing w:val="-2"/>
                <w:sz w:val="21"/>
                <w:szCs w:val="21"/>
                <w:lang w:eastAsia="zh-CN"/>
              </w:rPr>
              <w:t>30</w:t>
            </w:r>
            <w:r w:rsidRPr="00E67914">
              <w:rPr>
                <w:rFonts w:ascii="Times New Roman" w:hAnsi="Times New Roman"/>
                <w:spacing w:val="-2"/>
                <w:sz w:val="21"/>
                <w:szCs w:val="21"/>
                <w:lang w:eastAsia="zh-CN"/>
              </w:rPr>
              <w:t>℃</w:t>
            </w:r>
            <w:r w:rsidRPr="00E67914">
              <w:rPr>
                <w:rFonts w:ascii="Times New Roman" w:hAnsi="Times New Roman"/>
                <w:spacing w:val="-2"/>
                <w:sz w:val="21"/>
                <w:szCs w:val="21"/>
                <w:lang w:eastAsia="zh-CN"/>
              </w:rPr>
              <w:t>。</w:t>
            </w:r>
            <w:r w:rsidRPr="00E67914">
              <w:rPr>
                <w:rFonts w:ascii="Times New Roman" w:hAnsi="Times New Roman"/>
                <w:spacing w:val="-2"/>
                <w:sz w:val="21"/>
                <w:szCs w:val="21"/>
              </w:rPr>
              <w:t>应与氧化剂等分开</w:t>
            </w:r>
          </w:p>
        </w:tc>
      </w:tr>
      <w:tr w:rsidR="00E67914" w:rsidRPr="00E67914" w14:paraId="265166ED" w14:textId="77777777" w:rsidTr="00380D94">
        <w:trPr>
          <w:jc w:val="center"/>
        </w:trPr>
        <w:tc>
          <w:tcPr>
            <w:tcW w:w="500" w:type="dxa"/>
            <w:vAlign w:val="center"/>
          </w:tcPr>
          <w:p w14:paraId="5DCAFF5B" w14:textId="77777777" w:rsidR="000D79A9" w:rsidRPr="00E67914" w:rsidRDefault="000D79A9" w:rsidP="00380D94">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注</w:t>
            </w:r>
            <w:r w:rsidRPr="00E67914">
              <w:rPr>
                <w:rFonts w:ascii="Times New Roman" w:hAnsi="Times New Roman"/>
                <w:sz w:val="21"/>
                <w:szCs w:val="21"/>
                <w:lang w:eastAsia="zh-CN"/>
              </w:rPr>
              <w:t>意</w:t>
            </w:r>
            <w:r w:rsidRPr="00E67914">
              <w:rPr>
                <w:rFonts w:ascii="Times New Roman" w:hAnsi="Times New Roman"/>
                <w:sz w:val="21"/>
                <w:szCs w:val="21"/>
              </w:rPr>
              <w:t>事项</w:t>
            </w:r>
          </w:p>
        </w:tc>
        <w:tc>
          <w:tcPr>
            <w:tcW w:w="7722" w:type="dxa"/>
            <w:gridSpan w:val="10"/>
            <w:vAlign w:val="center"/>
          </w:tcPr>
          <w:p w14:paraId="4FB322F8" w14:textId="77777777" w:rsidR="000D79A9" w:rsidRPr="00E67914" w:rsidRDefault="000D79A9" w:rsidP="00380D94">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2"/>
                <w:sz w:val="21"/>
                <w:szCs w:val="21"/>
                <w:lang w:eastAsia="zh-CN"/>
              </w:rPr>
              <w:t>存放，切忌混储。采用防爆型照明、通风设施。禁止使用易产生火花的机械设备和工具。储区应备有泄漏应急处理设备。储存容器必须加盖密封，减少挥发量；避免日光照射，置于低处放置；使用：轻拿轻放，使用者戴手套。特殊注意事项：避免过多接触，工作完毕后沐浴更衣。运输时运输车辆应配备相应品种和数量的消防器材。装运</w:t>
            </w:r>
            <w:r w:rsidRPr="00E67914">
              <w:rPr>
                <w:rFonts w:ascii="Times New Roman" w:hAnsi="Times New Roman"/>
                <w:sz w:val="21"/>
                <w:szCs w:val="21"/>
                <w:lang w:eastAsia="zh-CN"/>
              </w:rPr>
              <w:t>该物品的车辆排气管必须配备阻火装置，禁止使用易产生火花的机械设备和工具装</w:t>
            </w:r>
            <w:r w:rsidRPr="00E67914">
              <w:rPr>
                <w:rFonts w:ascii="Times New Roman" w:hAnsi="Times New Roman"/>
                <w:spacing w:val="-2"/>
                <w:sz w:val="21"/>
                <w:szCs w:val="21"/>
                <w:lang w:eastAsia="zh-CN"/>
              </w:rPr>
              <w:t>卸。严禁与氧化剂等混装混运。夏季应早晚运输，防止日光曝晒。中途停留时应远离</w:t>
            </w:r>
            <w:r w:rsidRPr="00E67914">
              <w:rPr>
                <w:rFonts w:ascii="Times New Roman" w:hAnsi="Times New Roman"/>
                <w:sz w:val="21"/>
                <w:szCs w:val="21"/>
                <w:lang w:eastAsia="zh-CN"/>
              </w:rPr>
              <w:t>火种、热源。</w:t>
            </w:r>
          </w:p>
        </w:tc>
      </w:tr>
    </w:tbl>
    <w:p w14:paraId="1BEE5A07" w14:textId="46FA76BF" w:rsidR="000D79A9" w:rsidRPr="00E67914" w:rsidRDefault="000D79A9" w:rsidP="000D79A9">
      <w:pPr>
        <w:adjustRightInd w:val="0"/>
        <w:snapToGrid w:val="0"/>
        <w:spacing w:line="360" w:lineRule="auto"/>
        <w:ind w:firstLineChars="200" w:firstLine="482"/>
        <w:jc w:val="both"/>
        <w:rPr>
          <w:rFonts w:ascii="Times New Roman" w:hAnsi="Times New Roman"/>
          <w:b/>
          <w:bCs/>
          <w:kern w:val="2"/>
          <w:sz w:val="24"/>
          <w:szCs w:val="24"/>
          <w:lang w:eastAsia="zh-CN"/>
        </w:rPr>
      </w:pPr>
      <w:r w:rsidRPr="00E67914">
        <w:rPr>
          <w:rFonts w:ascii="Times New Roman" w:hAnsi="Times New Roman"/>
          <w:b/>
          <w:bCs/>
          <w:kern w:val="2"/>
          <w:sz w:val="24"/>
          <w:szCs w:val="24"/>
          <w:lang w:eastAsia="zh-CN"/>
        </w:rPr>
        <w:t>（</w:t>
      </w:r>
      <w:r w:rsidRPr="00E67914">
        <w:rPr>
          <w:rFonts w:ascii="Times New Roman" w:hAnsi="Times New Roman"/>
          <w:b/>
          <w:bCs/>
          <w:kern w:val="2"/>
          <w:sz w:val="24"/>
          <w:szCs w:val="24"/>
          <w:lang w:eastAsia="zh-CN"/>
        </w:rPr>
        <w:t>10</w:t>
      </w:r>
      <w:r w:rsidRPr="00E67914">
        <w:rPr>
          <w:rFonts w:ascii="Times New Roman" w:hAnsi="Times New Roman"/>
          <w:b/>
          <w:bCs/>
          <w:kern w:val="2"/>
          <w:sz w:val="24"/>
          <w:szCs w:val="24"/>
          <w:lang w:eastAsia="zh-CN"/>
        </w:rPr>
        <w:t>）凝析油</w:t>
      </w:r>
    </w:p>
    <w:p w14:paraId="57D2E32D" w14:textId="220072EC" w:rsidR="000D79A9" w:rsidRPr="00E67914" w:rsidRDefault="000D79A9" w:rsidP="000D79A9">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项目采气过程中，从井中采出的天然气将带有一部分凝析油，其特性和柴油差不多。稳定的天然气凝析油是一种液态燃料，其蒸汽会对中枢神经系统产生有害的作用，刺激皮肤、眼黏膜和上呼吸道。结合工程项目的实际情况，主要危害为凝析油泄漏后地表水、地下水和土壤的影响。</w:t>
      </w:r>
    </w:p>
    <w:p w14:paraId="0B2ABE4A"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6.1.2</w:t>
      </w:r>
      <w:r w:rsidRPr="00E67914">
        <w:rPr>
          <w:rFonts w:ascii="Times New Roman" w:eastAsia="黑体" w:hAnsi="Times New Roman"/>
          <w:b w:val="0"/>
          <w:sz w:val="24"/>
          <w:szCs w:val="24"/>
          <w:lang w:eastAsia="zh-CN"/>
        </w:rPr>
        <w:t>环境风险潜势初判</w:t>
      </w:r>
    </w:p>
    <w:p w14:paraId="01D2D349"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根据建设项目涉及的物质和工艺系统的危险性及其所在地的环境敏感程度，结合事故情形下环境影响途径，将建设项目环境风险潜势划分为</w:t>
      </w:r>
      <w:r w:rsidRPr="00E67914">
        <w:rPr>
          <w:rFonts w:ascii="Times New Roman" w:hAnsi="Times New Roman"/>
          <w:bCs/>
          <w:kern w:val="2"/>
          <w:sz w:val="24"/>
          <w:szCs w:val="24"/>
          <w:lang w:eastAsia="zh-CN"/>
        </w:rPr>
        <w:t>Ⅰ</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Ⅱ</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Ⅲ</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Ⅳ/Ⅳ</w:t>
      </w:r>
      <w:r w:rsidRPr="00E67914">
        <w:rPr>
          <w:rFonts w:ascii="Times New Roman" w:hAnsi="Times New Roman"/>
          <w:bCs/>
          <w:kern w:val="2"/>
          <w:sz w:val="24"/>
          <w:szCs w:val="24"/>
          <w:vertAlign w:val="superscript"/>
          <w:lang w:eastAsia="zh-CN"/>
        </w:rPr>
        <w:t>+</w:t>
      </w:r>
      <w:r w:rsidRPr="00E67914">
        <w:rPr>
          <w:rFonts w:ascii="Times New Roman" w:hAnsi="Times New Roman"/>
          <w:bCs/>
          <w:kern w:val="2"/>
          <w:sz w:val="24"/>
          <w:szCs w:val="24"/>
          <w:lang w:eastAsia="zh-CN"/>
        </w:rPr>
        <w:t>级。</w:t>
      </w:r>
    </w:p>
    <w:p w14:paraId="1000460E"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危险物质数量与临界量比值（</w:t>
      </w:r>
      <w:r w:rsidRPr="00E67914">
        <w:rPr>
          <w:rFonts w:ascii="Times New Roman" w:hAnsi="Times New Roman"/>
          <w:bCs/>
          <w:kern w:val="2"/>
          <w:sz w:val="24"/>
          <w:szCs w:val="24"/>
          <w:lang w:eastAsia="zh-CN"/>
        </w:rPr>
        <w:t>Q</w:t>
      </w:r>
      <w:r w:rsidRPr="00E67914">
        <w:rPr>
          <w:rFonts w:ascii="Times New Roman" w:hAnsi="Times New Roman"/>
          <w:bCs/>
          <w:kern w:val="2"/>
          <w:sz w:val="24"/>
          <w:szCs w:val="24"/>
          <w:lang w:eastAsia="zh-CN"/>
        </w:rPr>
        <w:t>）</w:t>
      </w:r>
    </w:p>
    <w:p w14:paraId="758C32D8" w14:textId="77777777" w:rsidR="00A54A8A" w:rsidRPr="00E67914" w:rsidRDefault="00000000">
      <w:pPr>
        <w:tabs>
          <w:tab w:val="left" w:pos="325"/>
        </w:tabs>
        <w:adjustRightInd w:val="0"/>
        <w:snapToGrid w:val="0"/>
        <w:spacing w:line="360" w:lineRule="auto"/>
        <w:jc w:val="center"/>
        <w:rPr>
          <w:rFonts w:ascii="Times New Roman" w:hAnsi="Times New Roman"/>
          <w:bCs/>
          <w:kern w:val="2"/>
          <w:sz w:val="24"/>
          <w:szCs w:val="24"/>
          <w:lang w:eastAsia="zh-CN"/>
        </w:rPr>
      </w:pPr>
      <w:r w:rsidRPr="00E67914">
        <w:rPr>
          <w:rFonts w:ascii="Times New Roman" w:hAnsi="Times New Roman"/>
          <w:bCs/>
          <w:kern w:val="2"/>
          <w:sz w:val="24"/>
          <w:szCs w:val="24"/>
          <w:lang w:eastAsia="zh-CN"/>
        </w:rPr>
        <w:object w:dxaOrig="2472" w:dyaOrig="720" w14:anchorId="43BA6949">
          <v:shape id="_x0000_i1031" type="#_x0000_t75" style="width:123.35pt;height:36.3pt" o:ole="">
            <v:imagedata r:id="rId104" o:title=""/>
          </v:shape>
          <o:OLEObject Type="Embed" ProgID="Equation.KSEE3" ShapeID="_x0000_i1031" DrawAspect="Content" ObjectID="_1759298089" r:id="rId105"/>
        </w:object>
      </w:r>
    </w:p>
    <w:p w14:paraId="1D745B6B" w14:textId="77777777" w:rsidR="00A54A8A" w:rsidRPr="00E67914" w:rsidRDefault="00000000">
      <w:pPr>
        <w:tabs>
          <w:tab w:val="left" w:pos="325"/>
        </w:tabs>
        <w:adjustRightInd w:val="0"/>
        <w:snapToGrid w:val="0"/>
        <w:spacing w:line="360" w:lineRule="auto"/>
        <w:ind w:firstLineChars="200" w:firstLine="480"/>
        <w:rPr>
          <w:rFonts w:ascii="Times New Roman" w:hAnsi="Times New Roman"/>
          <w:bCs/>
          <w:kern w:val="2"/>
          <w:sz w:val="24"/>
          <w:szCs w:val="24"/>
          <w:lang w:eastAsia="zh-CN"/>
        </w:rPr>
      </w:pPr>
      <w:r w:rsidRPr="00E67914">
        <w:rPr>
          <w:rFonts w:ascii="Times New Roman" w:hAnsi="Times New Roman"/>
          <w:bCs/>
          <w:kern w:val="2"/>
          <w:sz w:val="24"/>
          <w:szCs w:val="24"/>
          <w:lang w:eastAsia="zh-CN"/>
        </w:rPr>
        <w:t>式中：</w:t>
      </w:r>
      <w:r w:rsidRPr="00E67914">
        <w:rPr>
          <w:rFonts w:ascii="Times New Roman" w:hAnsi="Times New Roman"/>
          <w:bCs/>
          <w:kern w:val="2"/>
          <w:sz w:val="24"/>
          <w:szCs w:val="24"/>
          <w:lang w:eastAsia="zh-CN"/>
        </w:rPr>
        <w:t>q1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q2,···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qn―</w:t>
      </w:r>
      <w:r w:rsidRPr="00E67914">
        <w:rPr>
          <w:rFonts w:ascii="Times New Roman" w:hAnsi="Times New Roman"/>
          <w:bCs/>
          <w:kern w:val="2"/>
          <w:sz w:val="24"/>
          <w:szCs w:val="24"/>
          <w:lang w:eastAsia="zh-CN"/>
        </w:rPr>
        <w:t>每种危险物质的最大存在量，</w:t>
      </w:r>
      <w:r w:rsidRPr="00E67914">
        <w:rPr>
          <w:rFonts w:ascii="Times New Roman" w:hAnsi="Times New Roman"/>
          <w:bCs/>
          <w:kern w:val="2"/>
          <w:sz w:val="24"/>
          <w:szCs w:val="24"/>
          <w:lang w:eastAsia="zh-CN"/>
        </w:rPr>
        <w:t>t</w:t>
      </w:r>
      <w:r w:rsidRPr="00E67914">
        <w:rPr>
          <w:rFonts w:ascii="Times New Roman" w:hAnsi="Times New Roman"/>
          <w:bCs/>
          <w:kern w:val="2"/>
          <w:sz w:val="24"/>
          <w:szCs w:val="24"/>
          <w:lang w:eastAsia="zh-CN"/>
        </w:rPr>
        <w:t>；</w:t>
      </w:r>
    </w:p>
    <w:p w14:paraId="13E3CD5F" w14:textId="77777777" w:rsidR="00A54A8A" w:rsidRPr="00E67914" w:rsidRDefault="00000000">
      <w:pPr>
        <w:widowControl w:val="0"/>
        <w:autoSpaceDE w:val="0"/>
        <w:autoSpaceDN w:val="0"/>
        <w:adjustRightInd w:val="0"/>
        <w:snapToGrid w:val="0"/>
        <w:spacing w:line="360" w:lineRule="auto"/>
        <w:ind w:firstLineChars="500" w:firstLine="1200"/>
        <w:textAlignment w:val="baseline"/>
        <w:rPr>
          <w:rFonts w:ascii="Times New Roman" w:hAnsi="Times New Roman"/>
          <w:bCs/>
          <w:kern w:val="2"/>
          <w:sz w:val="24"/>
          <w:szCs w:val="24"/>
          <w:lang w:eastAsia="zh-CN"/>
        </w:rPr>
      </w:pPr>
      <w:r w:rsidRPr="00E67914">
        <w:rPr>
          <w:rFonts w:ascii="Times New Roman" w:hAnsi="Times New Roman"/>
          <w:bCs/>
          <w:kern w:val="2"/>
          <w:sz w:val="24"/>
          <w:szCs w:val="24"/>
          <w:lang w:eastAsia="zh-CN"/>
        </w:rPr>
        <w:t>Q1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Q2,···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Qn―</w:t>
      </w:r>
      <w:r w:rsidRPr="00E67914">
        <w:rPr>
          <w:rFonts w:ascii="Times New Roman" w:hAnsi="Times New Roman"/>
          <w:bCs/>
          <w:kern w:val="2"/>
          <w:sz w:val="24"/>
          <w:szCs w:val="24"/>
          <w:lang w:eastAsia="zh-CN"/>
        </w:rPr>
        <w:t>每种危险物质的临界量，</w:t>
      </w:r>
      <w:r w:rsidRPr="00E67914">
        <w:rPr>
          <w:rFonts w:ascii="Times New Roman" w:hAnsi="Times New Roman"/>
          <w:bCs/>
          <w:kern w:val="2"/>
          <w:sz w:val="24"/>
          <w:szCs w:val="24"/>
          <w:lang w:eastAsia="zh-CN"/>
        </w:rPr>
        <w:t>t</w:t>
      </w:r>
      <w:r w:rsidRPr="00E67914">
        <w:rPr>
          <w:rFonts w:ascii="Times New Roman" w:hAnsi="Times New Roman"/>
          <w:bCs/>
          <w:kern w:val="2"/>
          <w:sz w:val="24"/>
          <w:szCs w:val="24"/>
          <w:lang w:eastAsia="zh-CN"/>
        </w:rPr>
        <w:t>；</w:t>
      </w:r>
    </w:p>
    <w:p w14:paraId="254A8384" w14:textId="77777777" w:rsidR="00A54A8A" w:rsidRPr="00E67914" w:rsidRDefault="00000000">
      <w:pPr>
        <w:widowControl w:val="0"/>
        <w:autoSpaceDE w:val="0"/>
        <w:autoSpaceDN w:val="0"/>
        <w:adjustRightInd w:val="0"/>
        <w:snapToGrid w:val="0"/>
        <w:spacing w:line="360" w:lineRule="auto"/>
        <w:ind w:firstLineChars="500" w:firstLine="1200"/>
        <w:textAlignment w:val="baseline"/>
        <w:rPr>
          <w:rFonts w:ascii="Times New Roman" w:hAnsi="Times New Roman"/>
          <w:bCs/>
          <w:kern w:val="2"/>
          <w:sz w:val="24"/>
          <w:szCs w:val="24"/>
          <w:lang w:eastAsia="zh-CN"/>
        </w:rPr>
      </w:pPr>
      <w:r w:rsidRPr="00E67914">
        <w:rPr>
          <w:rFonts w:ascii="Times New Roman" w:hAnsi="Times New Roman"/>
          <w:bCs/>
          <w:kern w:val="2"/>
          <w:sz w:val="24"/>
          <w:szCs w:val="24"/>
          <w:lang w:eastAsia="zh-CN"/>
        </w:rPr>
        <w:lastRenderedPageBreak/>
        <w:t>当</w:t>
      </w:r>
      <w:r w:rsidRPr="00E67914">
        <w:rPr>
          <w:rFonts w:ascii="Times New Roman" w:hAnsi="Times New Roman"/>
          <w:bCs/>
          <w:kern w:val="2"/>
          <w:sz w:val="24"/>
          <w:szCs w:val="24"/>
          <w:lang w:eastAsia="zh-CN"/>
        </w:rPr>
        <w:t>Q</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时，该项目环境风险潜势为</w:t>
      </w:r>
      <w:r w:rsidRPr="00E67914">
        <w:rPr>
          <w:rFonts w:ascii="Times New Roman" w:hAnsi="Times New Roman"/>
          <w:bCs/>
          <w:kern w:val="2"/>
          <w:sz w:val="24"/>
          <w:szCs w:val="24"/>
          <w:lang w:eastAsia="zh-CN"/>
        </w:rPr>
        <w:t>Ⅰ</w:t>
      </w:r>
      <w:r w:rsidRPr="00E67914">
        <w:rPr>
          <w:rFonts w:ascii="Times New Roman" w:hAnsi="Times New Roman"/>
          <w:bCs/>
          <w:kern w:val="2"/>
          <w:sz w:val="24"/>
          <w:szCs w:val="24"/>
          <w:lang w:eastAsia="zh-CN"/>
        </w:rPr>
        <w:t>。</w:t>
      </w:r>
    </w:p>
    <w:p w14:paraId="36A415CD" w14:textId="77777777" w:rsidR="00A54A8A" w:rsidRPr="00E67914" w:rsidRDefault="00000000">
      <w:pPr>
        <w:adjustRightInd w:val="0"/>
        <w:snapToGrid w:val="0"/>
        <w:spacing w:line="360" w:lineRule="auto"/>
        <w:ind w:firstLineChars="500" w:firstLine="1200"/>
        <w:rPr>
          <w:rFonts w:ascii="Times New Roman" w:hAnsi="Times New Roman"/>
          <w:bCs/>
          <w:kern w:val="2"/>
          <w:sz w:val="24"/>
          <w:szCs w:val="24"/>
          <w:lang w:eastAsia="zh-CN"/>
        </w:rPr>
      </w:pPr>
      <w:r w:rsidRPr="00E67914">
        <w:rPr>
          <w:rFonts w:ascii="Times New Roman" w:hAnsi="Times New Roman"/>
          <w:bCs/>
          <w:kern w:val="2"/>
          <w:sz w:val="24"/>
          <w:szCs w:val="24"/>
          <w:lang w:eastAsia="zh-CN"/>
        </w:rPr>
        <w:t>当</w:t>
      </w:r>
      <w:r w:rsidRPr="00E67914">
        <w:rPr>
          <w:rFonts w:ascii="Times New Roman" w:hAnsi="Times New Roman"/>
          <w:bCs/>
          <w:kern w:val="2"/>
          <w:sz w:val="24"/>
          <w:szCs w:val="24"/>
          <w:lang w:eastAsia="zh-CN"/>
        </w:rPr>
        <w:t>Q≥1</w:t>
      </w:r>
      <w:r w:rsidRPr="00E67914">
        <w:rPr>
          <w:rFonts w:ascii="Times New Roman" w:hAnsi="Times New Roman"/>
          <w:bCs/>
          <w:kern w:val="2"/>
          <w:sz w:val="24"/>
          <w:szCs w:val="24"/>
          <w:lang w:eastAsia="zh-CN"/>
        </w:rPr>
        <w:t>时，将</w:t>
      </w:r>
      <w:r w:rsidRPr="00E67914">
        <w:rPr>
          <w:rFonts w:ascii="Times New Roman" w:hAnsi="Times New Roman"/>
          <w:bCs/>
          <w:kern w:val="2"/>
          <w:sz w:val="24"/>
          <w:szCs w:val="24"/>
          <w:lang w:eastAsia="zh-CN"/>
        </w:rPr>
        <w:t>Q</w:t>
      </w:r>
      <w:r w:rsidRPr="00E67914">
        <w:rPr>
          <w:rFonts w:ascii="Times New Roman" w:hAnsi="Times New Roman"/>
          <w:bCs/>
          <w:kern w:val="2"/>
          <w:sz w:val="24"/>
          <w:szCs w:val="24"/>
          <w:lang w:eastAsia="zh-CN"/>
        </w:rPr>
        <w:t>值划分为：</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1≤Q</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10≤Q</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100</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Q≥100</w:t>
      </w:r>
      <w:r w:rsidRPr="00E67914">
        <w:rPr>
          <w:rFonts w:ascii="Times New Roman" w:hAnsi="Times New Roman"/>
          <w:bCs/>
          <w:kern w:val="2"/>
          <w:sz w:val="24"/>
          <w:szCs w:val="24"/>
          <w:lang w:eastAsia="zh-CN"/>
        </w:rPr>
        <w:t>。</w:t>
      </w:r>
    </w:p>
    <w:p w14:paraId="4FE531D0"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根据《建设项目环境风险评价技术导则》（</w:t>
      </w:r>
      <w:r w:rsidRPr="00E67914">
        <w:rPr>
          <w:rFonts w:ascii="Times New Roman" w:hAnsi="Times New Roman"/>
          <w:bCs/>
          <w:kern w:val="2"/>
          <w:sz w:val="24"/>
          <w:szCs w:val="24"/>
          <w:lang w:eastAsia="zh-CN"/>
        </w:rPr>
        <w:t>HJ/T169-2018</w:t>
      </w:r>
      <w:r w:rsidRPr="00E67914">
        <w:rPr>
          <w:rFonts w:ascii="Times New Roman" w:hAnsi="Times New Roman"/>
          <w:bCs/>
          <w:kern w:val="2"/>
          <w:sz w:val="24"/>
          <w:szCs w:val="24"/>
          <w:lang w:eastAsia="zh-CN"/>
        </w:rPr>
        <w:t>），本项目天然气所含的甲烷、柴油和废油等油类物质属于附录</w:t>
      </w:r>
      <w:r w:rsidRPr="00E67914">
        <w:rPr>
          <w:rFonts w:ascii="Times New Roman" w:hAnsi="Times New Roman"/>
          <w:bCs/>
          <w:kern w:val="2"/>
          <w:sz w:val="24"/>
          <w:szCs w:val="24"/>
          <w:lang w:eastAsia="zh-CN"/>
        </w:rPr>
        <w:t>B.1</w:t>
      </w:r>
      <w:r w:rsidRPr="00E67914">
        <w:rPr>
          <w:rFonts w:ascii="Times New Roman" w:hAnsi="Times New Roman"/>
          <w:bCs/>
          <w:kern w:val="2"/>
          <w:sz w:val="24"/>
          <w:szCs w:val="24"/>
          <w:lang w:eastAsia="zh-CN"/>
        </w:rPr>
        <w:t>突发环境事件风险物质，甲烷临界量为</w:t>
      </w:r>
      <w:r w:rsidRPr="00E67914">
        <w:rPr>
          <w:rFonts w:ascii="Times New Roman" w:hAnsi="Times New Roman"/>
          <w:bCs/>
          <w:kern w:val="2"/>
          <w:sz w:val="24"/>
          <w:szCs w:val="24"/>
          <w:lang w:eastAsia="zh-CN"/>
        </w:rPr>
        <w:t>10t</w:t>
      </w:r>
      <w:r w:rsidRPr="00E67914">
        <w:rPr>
          <w:rFonts w:ascii="Times New Roman" w:hAnsi="Times New Roman"/>
          <w:bCs/>
          <w:kern w:val="2"/>
          <w:sz w:val="24"/>
          <w:szCs w:val="24"/>
          <w:lang w:eastAsia="zh-CN"/>
        </w:rPr>
        <w:t>、柴油和废油等油类物质临界量为</w:t>
      </w:r>
      <w:r w:rsidRPr="00E67914">
        <w:rPr>
          <w:rFonts w:ascii="Times New Roman" w:hAnsi="Times New Roman"/>
          <w:bCs/>
          <w:kern w:val="2"/>
          <w:sz w:val="24"/>
          <w:szCs w:val="24"/>
          <w:lang w:eastAsia="zh-CN"/>
        </w:rPr>
        <w:t>2500t</w:t>
      </w:r>
      <w:r w:rsidRPr="00E67914">
        <w:rPr>
          <w:rFonts w:ascii="Times New Roman" w:hAnsi="Times New Roman"/>
          <w:bCs/>
          <w:kern w:val="2"/>
          <w:sz w:val="24"/>
          <w:szCs w:val="24"/>
          <w:lang w:eastAsia="zh-CN"/>
        </w:rPr>
        <w:t>。</w:t>
      </w:r>
    </w:p>
    <w:p w14:paraId="26B4D853" w14:textId="13F0235B"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本项目大气环境危险物质主要涉及到甲烷（</w:t>
      </w:r>
      <w:r w:rsidRPr="00E67914">
        <w:rPr>
          <w:rFonts w:ascii="Times New Roman" w:hAnsi="Times New Roman"/>
          <w:bCs/>
          <w:kern w:val="2"/>
          <w:sz w:val="24"/>
          <w:szCs w:val="24"/>
          <w:lang w:eastAsia="zh-CN"/>
        </w:rPr>
        <w:t>CH</w:t>
      </w:r>
      <w:r w:rsidRPr="00E67914">
        <w:rPr>
          <w:rFonts w:ascii="Times New Roman" w:hAnsi="Times New Roman"/>
          <w:bCs/>
          <w:kern w:val="2"/>
          <w:sz w:val="24"/>
          <w:szCs w:val="24"/>
          <w:vertAlign w:val="subscript"/>
          <w:lang w:eastAsia="zh-CN"/>
        </w:rPr>
        <w:t>4</w:t>
      </w:r>
      <w:r w:rsidRPr="00E67914">
        <w:rPr>
          <w:rFonts w:ascii="Times New Roman" w:hAnsi="Times New Roman"/>
          <w:bCs/>
          <w:kern w:val="2"/>
          <w:sz w:val="24"/>
          <w:szCs w:val="24"/>
          <w:lang w:eastAsia="zh-CN"/>
        </w:rPr>
        <w:t>）和油类（柴油、废油）三类物质。按照环境风险管理规定，事故状态下在不超过</w:t>
      </w:r>
      <w:r w:rsidRPr="00E67914">
        <w:rPr>
          <w:rFonts w:ascii="Times New Roman" w:hAnsi="Times New Roman"/>
          <w:bCs/>
          <w:kern w:val="2"/>
          <w:sz w:val="24"/>
          <w:szCs w:val="24"/>
          <w:lang w:eastAsia="zh-CN"/>
        </w:rPr>
        <w:t>15min</w:t>
      </w:r>
      <w:r w:rsidRPr="00E67914">
        <w:rPr>
          <w:rFonts w:ascii="Times New Roman" w:hAnsi="Times New Roman"/>
          <w:bCs/>
          <w:kern w:val="2"/>
          <w:sz w:val="24"/>
          <w:szCs w:val="24"/>
          <w:lang w:eastAsia="zh-CN"/>
        </w:rPr>
        <w:t>内对井场可燃气体实施点火应急处置作业。</w:t>
      </w:r>
    </w:p>
    <w:p w14:paraId="02DBA0E1" w14:textId="5158CA1A"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施工期：根据前文计算，本项目事故时</w:t>
      </w:r>
      <w:r w:rsidRPr="00E67914">
        <w:rPr>
          <w:rFonts w:ascii="Times New Roman" w:hAnsi="Times New Roman"/>
          <w:sz w:val="24"/>
          <w:lang w:eastAsia="zh-CN"/>
        </w:rPr>
        <w:t>CH</w:t>
      </w:r>
      <w:r w:rsidRPr="00E67914">
        <w:rPr>
          <w:rFonts w:ascii="Times New Roman" w:hAnsi="Times New Roman"/>
          <w:sz w:val="24"/>
          <w:vertAlign w:val="subscript"/>
          <w:lang w:eastAsia="zh-CN"/>
        </w:rPr>
        <w:t>4</w:t>
      </w:r>
      <w:r w:rsidRPr="00E67914">
        <w:rPr>
          <w:rFonts w:ascii="Times New Roman" w:hAnsi="Times New Roman"/>
          <w:sz w:val="24"/>
          <w:lang w:eastAsia="zh-CN"/>
        </w:rPr>
        <w:t>泄露总量按单井计最大为</w:t>
      </w:r>
      <w:r w:rsidR="000D79A9" w:rsidRPr="00E67914">
        <w:rPr>
          <w:rFonts w:ascii="Times New Roman" w:hAnsi="Times New Roman"/>
          <w:sz w:val="24"/>
          <w:lang w:eastAsia="zh-CN"/>
        </w:rPr>
        <w:t>1.43</w:t>
      </w:r>
      <w:r w:rsidRPr="00E67914">
        <w:rPr>
          <w:rFonts w:ascii="Times New Roman" w:hAnsi="Times New Roman"/>
          <w:sz w:val="24"/>
          <w:lang w:eastAsia="zh-CN"/>
        </w:rPr>
        <w:t>t</w:t>
      </w:r>
      <w:r w:rsidRPr="00E67914">
        <w:rPr>
          <w:rFonts w:ascii="Times New Roman" w:hAnsi="Times New Roman"/>
          <w:sz w:val="24"/>
          <w:lang w:eastAsia="zh-CN"/>
        </w:rPr>
        <w:t>，小于其临界量</w:t>
      </w:r>
      <w:r w:rsidRPr="00E67914">
        <w:rPr>
          <w:rFonts w:ascii="Times New Roman" w:hAnsi="Times New Roman"/>
          <w:sz w:val="24"/>
          <w:lang w:eastAsia="zh-CN"/>
        </w:rPr>
        <w:t>10t</w:t>
      </w:r>
      <w:r w:rsidRPr="00E67914">
        <w:rPr>
          <w:rFonts w:ascii="Times New Roman" w:hAnsi="Times New Roman"/>
          <w:sz w:val="24"/>
          <w:lang w:eastAsia="zh-CN"/>
        </w:rPr>
        <w:t>。钻井阶段现场柴油储存、使用量最大为</w:t>
      </w:r>
      <w:r w:rsidRPr="00E67914">
        <w:rPr>
          <w:rFonts w:ascii="Times New Roman" w:hAnsi="Times New Roman"/>
          <w:sz w:val="24"/>
          <w:lang w:eastAsia="zh-CN"/>
        </w:rPr>
        <w:t>16t</w:t>
      </w:r>
      <w:r w:rsidRPr="00E67914">
        <w:rPr>
          <w:rFonts w:ascii="Times New Roman" w:hAnsi="Times New Roman"/>
          <w:sz w:val="24"/>
          <w:lang w:eastAsia="zh-CN"/>
        </w:rPr>
        <w:t>；</w:t>
      </w:r>
      <w:r w:rsidR="00ED5111" w:rsidRPr="00E67914">
        <w:rPr>
          <w:rFonts w:ascii="Times New Roman" w:hAnsi="Times New Roman"/>
          <w:sz w:val="24"/>
          <w:lang w:eastAsia="zh-CN"/>
        </w:rPr>
        <w:t>钻井阶段现场白油最大存储量为</w:t>
      </w:r>
      <w:r w:rsidR="00ED5111" w:rsidRPr="00E67914">
        <w:rPr>
          <w:rFonts w:ascii="Times New Roman" w:hAnsi="Times New Roman"/>
          <w:sz w:val="24"/>
          <w:lang w:eastAsia="zh-CN"/>
        </w:rPr>
        <w:t>20t</w:t>
      </w:r>
      <w:r w:rsidR="00ED5111" w:rsidRPr="00E67914">
        <w:rPr>
          <w:rFonts w:ascii="Times New Roman" w:hAnsi="Times New Roman"/>
          <w:sz w:val="24"/>
          <w:lang w:eastAsia="zh-CN"/>
        </w:rPr>
        <w:t>；</w:t>
      </w:r>
      <w:r w:rsidRPr="00E67914">
        <w:rPr>
          <w:rFonts w:ascii="Times New Roman" w:hAnsi="Times New Roman"/>
          <w:sz w:val="24"/>
          <w:lang w:eastAsia="zh-CN"/>
        </w:rPr>
        <w:t>废油产生量约</w:t>
      </w:r>
      <w:r w:rsidR="000D79A9" w:rsidRPr="00E67914">
        <w:rPr>
          <w:rFonts w:ascii="Times New Roman" w:hAnsi="Times New Roman"/>
          <w:sz w:val="24"/>
          <w:lang w:eastAsia="zh-CN"/>
        </w:rPr>
        <w:t>2.1</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，现场采取</w:t>
      </w:r>
      <w:r w:rsidRPr="00E67914">
        <w:rPr>
          <w:rFonts w:ascii="Times New Roman" w:hAnsi="Times New Roman"/>
          <w:sz w:val="24"/>
          <w:lang w:eastAsia="zh-CN"/>
        </w:rPr>
        <w:t>4</w:t>
      </w:r>
      <w:r w:rsidRPr="00E67914">
        <w:rPr>
          <w:rFonts w:ascii="Times New Roman" w:hAnsi="Times New Roman"/>
          <w:sz w:val="24"/>
          <w:lang w:eastAsia="zh-CN"/>
        </w:rPr>
        <w:t>个容积为</w:t>
      </w:r>
      <w:r w:rsidRPr="00E67914">
        <w:rPr>
          <w:rFonts w:ascii="Times New Roman" w:hAnsi="Times New Roman"/>
          <w:sz w:val="24"/>
          <w:lang w:eastAsia="zh-CN"/>
        </w:rPr>
        <w:t>25L</w:t>
      </w:r>
      <w:r w:rsidRPr="00E67914">
        <w:rPr>
          <w:rFonts w:ascii="Times New Roman" w:hAnsi="Times New Roman"/>
          <w:sz w:val="24"/>
          <w:lang w:eastAsia="zh-CN"/>
        </w:rPr>
        <w:t>的废油收集桶，废油随时回用，废油最大存在量为</w:t>
      </w:r>
      <w:r w:rsidRPr="00E67914">
        <w:rPr>
          <w:rFonts w:ascii="Times New Roman" w:hAnsi="Times New Roman"/>
          <w:sz w:val="24"/>
          <w:lang w:eastAsia="zh-CN"/>
        </w:rPr>
        <w:t>0.1m</w:t>
      </w:r>
      <w:r w:rsidRPr="00E67914">
        <w:rPr>
          <w:rFonts w:ascii="Times New Roman" w:hAnsi="Times New Roman"/>
          <w:sz w:val="24"/>
          <w:vertAlign w:val="superscript"/>
          <w:lang w:eastAsia="zh-CN"/>
        </w:rPr>
        <w:t>3</w:t>
      </w:r>
      <w:r w:rsidRPr="00E67914">
        <w:rPr>
          <w:rFonts w:ascii="Times New Roman" w:hAnsi="Times New Roman"/>
          <w:sz w:val="24"/>
          <w:lang w:eastAsia="zh-CN"/>
        </w:rPr>
        <w:t>，废油密度约</w:t>
      </w:r>
      <w:r w:rsidRPr="00E67914">
        <w:rPr>
          <w:rFonts w:ascii="Times New Roman" w:hAnsi="Times New Roman"/>
          <w:sz w:val="24"/>
          <w:lang w:eastAsia="zh-CN"/>
        </w:rPr>
        <w:t>0.85</w:t>
      </w:r>
      <w:r w:rsidRPr="00E67914">
        <w:rPr>
          <w:rFonts w:ascii="Times New Roman" w:hAnsi="Times New Roman"/>
          <w:sz w:val="24"/>
          <w:lang w:eastAsia="zh-CN"/>
        </w:rPr>
        <w:t>，故废油量最大为</w:t>
      </w:r>
      <w:r w:rsidRPr="00E67914">
        <w:rPr>
          <w:rFonts w:ascii="Times New Roman" w:hAnsi="Times New Roman"/>
          <w:sz w:val="24"/>
          <w:lang w:eastAsia="zh-CN"/>
        </w:rPr>
        <w:t>0.085t</w:t>
      </w:r>
      <w:r w:rsidRPr="00E67914">
        <w:rPr>
          <w:rFonts w:ascii="Times New Roman" w:hAnsi="Times New Roman"/>
          <w:sz w:val="24"/>
          <w:lang w:eastAsia="zh-CN"/>
        </w:rPr>
        <w:t>，因此共计油类</w:t>
      </w:r>
      <w:r w:rsidR="00ED5111" w:rsidRPr="00E67914">
        <w:rPr>
          <w:rFonts w:ascii="Times New Roman" w:hAnsi="Times New Roman"/>
          <w:sz w:val="24"/>
          <w:lang w:eastAsia="zh-CN"/>
        </w:rPr>
        <w:t>3</w:t>
      </w:r>
      <w:r w:rsidRPr="00E67914">
        <w:rPr>
          <w:rFonts w:ascii="Times New Roman" w:hAnsi="Times New Roman"/>
          <w:sz w:val="24"/>
          <w:lang w:eastAsia="zh-CN"/>
        </w:rPr>
        <w:t>6.085t</w:t>
      </w:r>
      <w:r w:rsidRPr="00E67914">
        <w:rPr>
          <w:rFonts w:ascii="Times New Roman" w:hAnsi="Times New Roman"/>
          <w:sz w:val="24"/>
          <w:lang w:eastAsia="zh-CN"/>
        </w:rPr>
        <w:t>，远小于油类物质临界量为</w:t>
      </w:r>
      <w:r w:rsidRPr="00E67914">
        <w:rPr>
          <w:rFonts w:ascii="Times New Roman" w:hAnsi="Times New Roman"/>
          <w:sz w:val="24"/>
          <w:lang w:eastAsia="zh-CN"/>
        </w:rPr>
        <w:t>2500t</w:t>
      </w:r>
      <w:r w:rsidRPr="00E67914">
        <w:rPr>
          <w:rFonts w:ascii="Times New Roman" w:hAnsi="Times New Roman"/>
          <w:sz w:val="24"/>
          <w:lang w:eastAsia="zh-CN"/>
        </w:rPr>
        <w:t>。</w:t>
      </w:r>
    </w:p>
    <w:p w14:paraId="3EB7781C" w14:textId="7E9B67F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试采期</w:t>
      </w:r>
      <w:r w:rsidR="000D79A9" w:rsidRPr="00E67914">
        <w:rPr>
          <w:rFonts w:ascii="Times New Roman" w:hAnsi="Times New Roman"/>
          <w:sz w:val="24"/>
          <w:lang w:eastAsia="zh-CN"/>
        </w:rPr>
        <w:t>站内</w:t>
      </w:r>
      <w:r w:rsidRPr="00E67914">
        <w:rPr>
          <w:rFonts w:ascii="Times New Roman" w:hAnsi="Times New Roman"/>
          <w:sz w:val="24"/>
          <w:lang w:eastAsia="zh-CN"/>
        </w:rPr>
        <w:t>：类比川东北地区类似井站经验数据，试采站场工艺设备及管道内天然气在发生事故后可通过截断阀控制，试采期采气</w:t>
      </w:r>
      <w:r w:rsidR="000D79A9" w:rsidRPr="00E67914">
        <w:rPr>
          <w:rFonts w:ascii="Times New Roman" w:hAnsi="Times New Roman"/>
          <w:sz w:val="24"/>
          <w:lang w:eastAsia="zh-CN"/>
        </w:rPr>
        <w:t>、水套加热炉</w:t>
      </w:r>
      <w:r w:rsidRPr="00E67914">
        <w:rPr>
          <w:rFonts w:ascii="Times New Roman" w:hAnsi="Times New Roman"/>
          <w:sz w:val="24"/>
          <w:lang w:eastAsia="zh-CN"/>
        </w:rPr>
        <w:t>、分离设备及</w:t>
      </w:r>
      <w:r w:rsidR="000D79A9" w:rsidRPr="00E67914">
        <w:rPr>
          <w:rFonts w:ascii="Times New Roman" w:hAnsi="Times New Roman"/>
          <w:sz w:val="24"/>
          <w:lang w:eastAsia="zh-CN"/>
        </w:rPr>
        <w:t>站内</w:t>
      </w:r>
      <w:r w:rsidRPr="00E67914">
        <w:rPr>
          <w:rFonts w:ascii="Times New Roman" w:hAnsi="Times New Roman"/>
          <w:sz w:val="24"/>
          <w:lang w:eastAsia="zh-CN"/>
        </w:rPr>
        <w:t>管线内单井天然气量约</w:t>
      </w:r>
      <w:r w:rsidRPr="00E67914">
        <w:rPr>
          <w:rFonts w:ascii="Times New Roman" w:hAnsi="Times New Roman"/>
          <w:sz w:val="24"/>
          <w:lang w:eastAsia="zh-CN"/>
        </w:rPr>
        <w:t>200m</w:t>
      </w:r>
      <w:r w:rsidRPr="00E67914">
        <w:rPr>
          <w:rFonts w:ascii="Times New Roman" w:hAnsi="Times New Roman"/>
          <w:sz w:val="24"/>
          <w:vertAlign w:val="superscript"/>
          <w:lang w:eastAsia="zh-CN"/>
        </w:rPr>
        <w:t>3</w:t>
      </w:r>
      <w:r w:rsidRPr="00E67914">
        <w:rPr>
          <w:rFonts w:ascii="Times New Roman" w:hAnsi="Times New Roman"/>
          <w:sz w:val="24"/>
          <w:lang w:eastAsia="zh-CN"/>
        </w:rPr>
        <w:t>，其中甲烷在线量为</w:t>
      </w:r>
      <w:r w:rsidRPr="00E67914">
        <w:rPr>
          <w:rFonts w:ascii="Times New Roman" w:hAnsi="Times New Roman"/>
          <w:sz w:val="24"/>
          <w:lang w:eastAsia="zh-CN"/>
        </w:rPr>
        <w:t>0.12t</w:t>
      </w:r>
      <w:r w:rsidRPr="00E67914">
        <w:rPr>
          <w:rFonts w:ascii="Times New Roman" w:hAnsi="Times New Roman"/>
          <w:sz w:val="24"/>
          <w:lang w:eastAsia="zh-CN"/>
        </w:rPr>
        <w:t>，小于其临界量</w:t>
      </w:r>
      <w:r w:rsidRPr="00E67914">
        <w:rPr>
          <w:rFonts w:ascii="Times New Roman" w:hAnsi="Times New Roman"/>
          <w:sz w:val="24"/>
          <w:lang w:eastAsia="zh-CN"/>
        </w:rPr>
        <w:t>10t</w:t>
      </w:r>
      <w:r w:rsidRPr="00E67914">
        <w:rPr>
          <w:rFonts w:ascii="Times New Roman" w:hAnsi="Times New Roman"/>
          <w:sz w:val="24"/>
          <w:lang w:eastAsia="zh-CN"/>
        </w:rPr>
        <w:t>；</w:t>
      </w:r>
      <w:r w:rsidR="00C96D5D" w:rsidRPr="00E67914">
        <w:rPr>
          <w:rFonts w:ascii="Times New Roman" w:hAnsi="Times New Roman"/>
          <w:sz w:val="24"/>
          <w:lang w:eastAsia="zh-CN"/>
        </w:rPr>
        <w:t>气田水最大暂存量为</w:t>
      </w:r>
      <w:r w:rsidR="000D79A9" w:rsidRPr="00E67914">
        <w:rPr>
          <w:rFonts w:ascii="Times New Roman" w:hAnsi="Times New Roman"/>
          <w:sz w:val="24"/>
          <w:lang w:eastAsia="zh-CN"/>
        </w:rPr>
        <w:t>48</w:t>
      </w:r>
      <w:r w:rsidRPr="00E67914">
        <w:rPr>
          <w:rFonts w:ascii="Times New Roman" w:hAnsi="Times New Roman"/>
          <w:sz w:val="24"/>
          <w:lang w:eastAsia="zh-CN"/>
        </w:rPr>
        <w:t>t</w:t>
      </w:r>
      <w:r w:rsidRPr="00E67914">
        <w:rPr>
          <w:rFonts w:ascii="Times New Roman" w:hAnsi="Times New Roman"/>
          <w:sz w:val="24"/>
          <w:lang w:eastAsia="zh-CN"/>
        </w:rPr>
        <w:t>，小于其临界量</w:t>
      </w:r>
      <w:r w:rsidRPr="00E67914">
        <w:rPr>
          <w:rFonts w:ascii="Times New Roman" w:hAnsi="Times New Roman"/>
          <w:sz w:val="24"/>
          <w:lang w:eastAsia="zh-CN"/>
        </w:rPr>
        <w:t>1</w:t>
      </w:r>
      <w:r w:rsidR="00C96D5D" w:rsidRPr="00E67914">
        <w:rPr>
          <w:rFonts w:ascii="Times New Roman" w:hAnsi="Times New Roman"/>
          <w:sz w:val="24"/>
          <w:lang w:eastAsia="zh-CN"/>
        </w:rPr>
        <w:t>0</w:t>
      </w:r>
      <w:r w:rsidRPr="00E67914">
        <w:rPr>
          <w:rFonts w:ascii="Times New Roman" w:hAnsi="Times New Roman"/>
          <w:sz w:val="24"/>
          <w:lang w:eastAsia="zh-CN"/>
        </w:rPr>
        <w:t>0t</w:t>
      </w:r>
      <w:r w:rsidR="00ED5111" w:rsidRPr="00E67914">
        <w:rPr>
          <w:rFonts w:ascii="Times New Roman" w:hAnsi="Times New Roman"/>
          <w:sz w:val="24"/>
          <w:lang w:eastAsia="zh-CN"/>
        </w:rPr>
        <w:t>；凝析油最大储存量为</w:t>
      </w:r>
      <w:r w:rsidR="00ED5111" w:rsidRPr="00E67914">
        <w:rPr>
          <w:rFonts w:ascii="Times New Roman" w:hAnsi="Times New Roman"/>
          <w:sz w:val="24"/>
          <w:lang w:eastAsia="zh-CN"/>
        </w:rPr>
        <w:t>81.2t</w:t>
      </w:r>
      <w:r w:rsidR="00ED5111" w:rsidRPr="00E67914">
        <w:rPr>
          <w:rFonts w:ascii="Times New Roman" w:hAnsi="Times New Roman"/>
          <w:sz w:val="24"/>
          <w:lang w:eastAsia="zh-CN"/>
        </w:rPr>
        <w:t>，小于其临界量</w:t>
      </w:r>
      <w:r w:rsidR="00ED5111" w:rsidRPr="00E67914">
        <w:rPr>
          <w:rFonts w:ascii="Times New Roman" w:hAnsi="Times New Roman"/>
          <w:sz w:val="24"/>
          <w:lang w:eastAsia="zh-CN"/>
        </w:rPr>
        <w:t>2500t</w:t>
      </w:r>
      <w:r w:rsidRPr="00E67914">
        <w:rPr>
          <w:rFonts w:ascii="Times New Roman" w:hAnsi="Times New Roman"/>
          <w:sz w:val="24"/>
          <w:lang w:eastAsia="zh-CN"/>
        </w:rPr>
        <w:t>。</w:t>
      </w:r>
    </w:p>
    <w:p w14:paraId="7D63E87B" w14:textId="50B2BA97" w:rsidR="000D79A9" w:rsidRPr="00E67914" w:rsidRDefault="000D79A9" w:rsidP="000D79A9">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试采期普陆页</w:t>
      </w:r>
      <w:r w:rsidRPr="00E67914">
        <w:rPr>
          <w:rFonts w:ascii="Times New Roman" w:hAnsi="Times New Roman"/>
          <w:sz w:val="24"/>
          <w:lang w:eastAsia="zh-CN"/>
        </w:rPr>
        <w:t>2</w:t>
      </w:r>
      <w:r w:rsidRPr="00E67914">
        <w:rPr>
          <w:rFonts w:ascii="Times New Roman" w:hAnsi="Times New Roman"/>
          <w:sz w:val="24"/>
          <w:lang w:eastAsia="zh-CN"/>
        </w:rPr>
        <w:t>井场到普陆页</w:t>
      </w:r>
      <w:r w:rsidRPr="00E67914">
        <w:rPr>
          <w:rFonts w:ascii="Times New Roman" w:hAnsi="Times New Roman"/>
          <w:sz w:val="24"/>
          <w:lang w:eastAsia="zh-CN"/>
        </w:rPr>
        <w:t>2</w:t>
      </w:r>
      <w:r w:rsidRPr="00E67914">
        <w:rPr>
          <w:rFonts w:ascii="Times New Roman" w:hAnsi="Times New Roman"/>
          <w:sz w:val="24"/>
          <w:lang w:eastAsia="zh-CN"/>
        </w:rPr>
        <w:t>试采站管线：根据计算可知，该段管线内甲烷在线量为</w:t>
      </w:r>
      <w:r w:rsidRPr="00E67914">
        <w:rPr>
          <w:rFonts w:ascii="Times New Roman" w:hAnsi="Times New Roman"/>
          <w:sz w:val="24"/>
          <w:lang w:eastAsia="zh-CN"/>
        </w:rPr>
        <w:t>1.17t</w:t>
      </w:r>
      <w:r w:rsidRPr="00E67914">
        <w:rPr>
          <w:rFonts w:ascii="Times New Roman" w:hAnsi="Times New Roman"/>
          <w:sz w:val="24"/>
          <w:lang w:eastAsia="zh-CN"/>
        </w:rPr>
        <w:t>，小于其临界量</w:t>
      </w:r>
      <w:r w:rsidRPr="00E67914">
        <w:rPr>
          <w:rFonts w:ascii="Times New Roman" w:hAnsi="Times New Roman"/>
          <w:sz w:val="24"/>
          <w:lang w:eastAsia="zh-CN"/>
        </w:rPr>
        <w:t>10t</w:t>
      </w:r>
      <w:r w:rsidRPr="00E67914">
        <w:rPr>
          <w:rFonts w:ascii="Times New Roman" w:hAnsi="Times New Roman"/>
          <w:sz w:val="24"/>
          <w:lang w:eastAsia="zh-CN"/>
        </w:rPr>
        <w:t>。</w:t>
      </w:r>
    </w:p>
    <w:p w14:paraId="0B57A20C" w14:textId="73A00BD4" w:rsidR="000D79A9" w:rsidRPr="00E67914" w:rsidRDefault="000D79A9" w:rsidP="000D79A9">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试采期普陆页</w:t>
      </w:r>
      <w:r w:rsidRPr="00E67914">
        <w:rPr>
          <w:rFonts w:ascii="Times New Roman" w:hAnsi="Times New Roman"/>
          <w:sz w:val="24"/>
          <w:lang w:eastAsia="zh-CN"/>
        </w:rPr>
        <w:t>2</w:t>
      </w:r>
      <w:r w:rsidRPr="00E67914">
        <w:rPr>
          <w:rFonts w:ascii="Times New Roman" w:hAnsi="Times New Roman"/>
          <w:sz w:val="24"/>
          <w:lang w:eastAsia="zh-CN"/>
        </w:rPr>
        <w:t>试采站至</w:t>
      </w:r>
      <w:r w:rsidRPr="00E67914">
        <w:rPr>
          <w:rFonts w:ascii="Times New Roman" w:hAnsi="Times New Roman"/>
          <w:sz w:val="24"/>
          <w:lang w:eastAsia="zh-CN"/>
        </w:rPr>
        <w:t>P302</w:t>
      </w:r>
      <w:r w:rsidRPr="00E67914">
        <w:rPr>
          <w:rFonts w:ascii="Times New Roman" w:hAnsi="Times New Roman"/>
          <w:sz w:val="24"/>
          <w:lang w:eastAsia="zh-CN"/>
        </w:rPr>
        <w:t>集气站的外输管线（含燃料气反输管线）：根据计算可知，该段管线内甲烷在线量为</w:t>
      </w:r>
      <w:r w:rsidRPr="00E67914">
        <w:rPr>
          <w:rFonts w:ascii="Times New Roman" w:hAnsi="Times New Roman"/>
          <w:sz w:val="24"/>
          <w:lang w:eastAsia="zh-CN"/>
        </w:rPr>
        <w:t>1.09t</w:t>
      </w:r>
      <w:r w:rsidRPr="00E67914">
        <w:rPr>
          <w:rFonts w:ascii="Times New Roman" w:hAnsi="Times New Roman"/>
          <w:sz w:val="24"/>
          <w:lang w:eastAsia="zh-CN"/>
        </w:rPr>
        <w:t>，小于其临界量</w:t>
      </w:r>
      <w:r w:rsidRPr="00E67914">
        <w:rPr>
          <w:rFonts w:ascii="Times New Roman" w:hAnsi="Times New Roman"/>
          <w:sz w:val="24"/>
          <w:lang w:eastAsia="zh-CN"/>
        </w:rPr>
        <w:t>10t</w:t>
      </w:r>
      <w:r w:rsidRPr="00E67914">
        <w:rPr>
          <w:rFonts w:ascii="Times New Roman" w:hAnsi="Times New Roman"/>
          <w:sz w:val="24"/>
          <w:lang w:eastAsia="zh-CN"/>
        </w:rPr>
        <w:t>。</w:t>
      </w:r>
    </w:p>
    <w:p w14:paraId="1F878FA3"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6.1-4  </w:t>
      </w:r>
      <w:r w:rsidRPr="00E67914">
        <w:rPr>
          <w:rFonts w:ascii="Times New Roman" w:eastAsia="黑体" w:hAnsi="Times New Roman"/>
          <w:sz w:val="21"/>
          <w:szCs w:val="21"/>
          <w:lang w:eastAsia="zh-CN"/>
        </w:rPr>
        <w:t>本项目环境风险物质数量与临界量的比值</w:t>
      </w:r>
      <w:r w:rsidRPr="00E67914">
        <w:rPr>
          <w:rFonts w:ascii="Times New Roman" w:eastAsia="黑体" w:hAnsi="Times New Roman"/>
          <w:sz w:val="21"/>
          <w:szCs w:val="21"/>
          <w:lang w:eastAsia="zh-CN"/>
        </w:rPr>
        <w:t>Q</w:t>
      </w:r>
      <w:r w:rsidRPr="00E67914">
        <w:rPr>
          <w:rFonts w:ascii="Times New Roman" w:eastAsia="黑体" w:hAnsi="Times New Roman"/>
          <w:sz w:val="21"/>
          <w:szCs w:val="21"/>
          <w:lang w:eastAsia="zh-CN"/>
        </w:rPr>
        <w:t>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82"/>
        <w:gridCol w:w="820"/>
        <w:gridCol w:w="1531"/>
        <w:gridCol w:w="1494"/>
        <w:gridCol w:w="830"/>
      </w:tblGrid>
      <w:tr w:rsidR="00783B69" w:rsidRPr="00E67914" w14:paraId="77C3F64C" w14:textId="77777777" w:rsidTr="00783B69">
        <w:trPr>
          <w:jc w:val="center"/>
        </w:trPr>
        <w:tc>
          <w:tcPr>
            <w:tcW w:w="1773" w:type="pct"/>
            <w:vMerge w:val="restart"/>
            <w:vAlign w:val="center"/>
          </w:tcPr>
          <w:p w14:paraId="2E9E12F1"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施工期</w:t>
            </w:r>
          </w:p>
        </w:tc>
        <w:tc>
          <w:tcPr>
            <w:tcW w:w="411" w:type="pct"/>
            <w:vAlign w:val="center"/>
          </w:tcPr>
          <w:p w14:paraId="01498045"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序号</w:t>
            </w:r>
          </w:p>
        </w:tc>
        <w:tc>
          <w:tcPr>
            <w:tcW w:w="494" w:type="pct"/>
            <w:vAlign w:val="center"/>
          </w:tcPr>
          <w:p w14:paraId="7BCA8CF0"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物质</w:t>
            </w:r>
          </w:p>
        </w:tc>
        <w:tc>
          <w:tcPr>
            <w:tcW w:w="922" w:type="pct"/>
            <w:vAlign w:val="center"/>
          </w:tcPr>
          <w:p w14:paraId="248DC408"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q</w:t>
            </w:r>
            <w:r w:rsidRPr="00E67914">
              <w:rPr>
                <w:rFonts w:ascii="Times New Roman" w:hAnsi="Times New Roman"/>
                <w:sz w:val="21"/>
                <w:szCs w:val="21"/>
                <w:vertAlign w:val="subscript"/>
              </w:rPr>
              <w:t>n</w:t>
            </w:r>
            <w:r w:rsidRPr="00E67914">
              <w:rPr>
                <w:rFonts w:ascii="Times New Roman" w:hAnsi="Times New Roman"/>
                <w:sz w:val="21"/>
                <w:szCs w:val="21"/>
              </w:rPr>
              <w:t>，储存量，</w:t>
            </w:r>
            <w:r w:rsidRPr="00E67914">
              <w:rPr>
                <w:rFonts w:ascii="Times New Roman" w:hAnsi="Times New Roman"/>
                <w:sz w:val="21"/>
                <w:szCs w:val="21"/>
              </w:rPr>
              <w:t>t</w:t>
            </w:r>
          </w:p>
        </w:tc>
        <w:tc>
          <w:tcPr>
            <w:tcW w:w="900" w:type="pct"/>
            <w:vAlign w:val="center"/>
          </w:tcPr>
          <w:p w14:paraId="6DA63B0C"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Q</w:t>
            </w:r>
            <w:r w:rsidRPr="00E67914">
              <w:rPr>
                <w:rFonts w:ascii="Times New Roman" w:hAnsi="Times New Roman"/>
                <w:sz w:val="21"/>
                <w:szCs w:val="21"/>
                <w:vertAlign w:val="subscript"/>
              </w:rPr>
              <w:t>n</w:t>
            </w:r>
            <w:r w:rsidRPr="00E67914">
              <w:rPr>
                <w:rFonts w:ascii="Times New Roman" w:hAnsi="Times New Roman"/>
                <w:sz w:val="21"/>
                <w:szCs w:val="21"/>
                <w:vertAlign w:val="subscript"/>
              </w:rPr>
              <w:t>，</w:t>
            </w:r>
            <w:r w:rsidRPr="00E67914">
              <w:rPr>
                <w:rFonts w:ascii="Times New Roman" w:hAnsi="Times New Roman"/>
                <w:sz w:val="21"/>
                <w:szCs w:val="21"/>
              </w:rPr>
              <w:t>临界量，</w:t>
            </w:r>
            <w:r w:rsidRPr="00E67914">
              <w:rPr>
                <w:rFonts w:ascii="Times New Roman" w:hAnsi="Times New Roman"/>
                <w:sz w:val="21"/>
                <w:szCs w:val="21"/>
              </w:rPr>
              <w:t>t</w:t>
            </w:r>
          </w:p>
        </w:tc>
        <w:tc>
          <w:tcPr>
            <w:tcW w:w="500" w:type="pct"/>
            <w:vAlign w:val="center"/>
          </w:tcPr>
          <w:p w14:paraId="1D343AE4"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Q</w:t>
            </w:r>
          </w:p>
        </w:tc>
      </w:tr>
      <w:tr w:rsidR="00783B69" w:rsidRPr="00E67914" w14:paraId="5096C1BA" w14:textId="77777777" w:rsidTr="00783B69">
        <w:trPr>
          <w:jc w:val="center"/>
        </w:trPr>
        <w:tc>
          <w:tcPr>
            <w:tcW w:w="1773" w:type="pct"/>
            <w:vMerge/>
            <w:vAlign w:val="center"/>
          </w:tcPr>
          <w:p w14:paraId="33CCA7AA" w14:textId="77777777" w:rsidR="00783B69" w:rsidRPr="00E67914" w:rsidRDefault="00783B69">
            <w:pPr>
              <w:adjustRightInd w:val="0"/>
              <w:snapToGrid w:val="0"/>
              <w:jc w:val="center"/>
              <w:rPr>
                <w:rFonts w:ascii="Times New Roman" w:hAnsi="Times New Roman"/>
                <w:sz w:val="21"/>
                <w:szCs w:val="21"/>
              </w:rPr>
            </w:pPr>
          </w:p>
        </w:tc>
        <w:tc>
          <w:tcPr>
            <w:tcW w:w="411" w:type="pct"/>
            <w:vAlign w:val="center"/>
          </w:tcPr>
          <w:p w14:paraId="4D48E785"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494" w:type="pct"/>
            <w:vAlign w:val="center"/>
          </w:tcPr>
          <w:p w14:paraId="00E6AD17"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甲烷</w:t>
            </w:r>
          </w:p>
        </w:tc>
        <w:tc>
          <w:tcPr>
            <w:tcW w:w="922" w:type="pct"/>
            <w:vAlign w:val="center"/>
          </w:tcPr>
          <w:p w14:paraId="2C8B01AE" w14:textId="6C8E692B"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1.43</w:t>
            </w:r>
          </w:p>
        </w:tc>
        <w:tc>
          <w:tcPr>
            <w:tcW w:w="900" w:type="pct"/>
            <w:vAlign w:val="center"/>
          </w:tcPr>
          <w:p w14:paraId="6BCC3E23"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500" w:type="pct"/>
            <w:vAlign w:val="center"/>
          </w:tcPr>
          <w:p w14:paraId="1578A676" w14:textId="6F018006"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0.143</w:t>
            </w:r>
          </w:p>
        </w:tc>
      </w:tr>
      <w:tr w:rsidR="00783B69" w:rsidRPr="00E67914" w14:paraId="40EC82DC" w14:textId="77777777" w:rsidTr="00783B69">
        <w:trPr>
          <w:jc w:val="center"/>
        </w:trPr>
        <w:tc>
          <w:tcPr>
            <w:tcW w:w="1773" w:type="pct"/>
            <w:vMerge/>
            <w:vAlign w:val="center"/>
          </w:tcPr>
          <w:p w14:paraId="4292D3A3" w14:textId="77777777" w:rsidR="00783B69" w:rsidRPr="00E67914" w:rsidRDefault="00783B69">
            <w:pPr>
              <w:adjustRightInd w:val="0"/>
              <w:snapToGrid w:val="0"/>
              <w:jc w:val="center"/>
              <w:rPr>
                <w:rFonts w:ascii="Times New Roman" w:hAnsi="Times New Roman"/>
                <w:sz w:val="21"/>
                <w:szCs w:val="21"/>
              </w:rPr>
            </w:pPr>
          </w:p>
        </w:tc>
        <w:tc>
          <w:tcPr>
            <w:tcW w:w="411" w:type="pct"/>
            <w:vAlign w:val="center"/>
          </w:tcPr>
          <w:p w14:paraId="15CDF09B"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2</w:t>
            </w:r>
          </w:p>
        </w:tc>
        <w:tc>
          <w:tcPr>
            <w:tcW w:w="494" w:type="pct"/>
            <w:vAlign w:val="center"/>
          </w:tcPr>
          <w:p w14:paraId="18941C5D"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油类</w:t>
            </w:r>
          </w:p>
        </w:tc>
        <w:tc>
          <w:tcPr>
            <w:tcW w:w="922" w:type="pct"/>
            <w:vAlign w:val="center"/>
          </w:tcPr>
          <w:p w14:paraId="0510DC27" w14:textId="0EC45AAB"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36.085</w:t>
            </w:r>
          </w:p>
        </w:tc>
        <w:tc>
          <w:tcPr>
            <w:tcW w:w="900" w:type="pct"/>
            <w:vAlign w:val="center"/>
          </w:tcPr>
          <w:p w14:paraId="72DA78C4" w14:textId="7777777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2500</w:t>
            </w:r>
          </w:p>
        </w:tc>
        <w:tc>
          <w:tcPr>
            <w:tcW w:w="500" w:type="pct"/>
            <w:vAlign w:val="center"/>
          </w:tcPr>
          <w:p w14:paraId="4257E4AC" w14:textId="131F4C37" w:rsidR="00783B69" w:rsidRPr="00E67914" w:rsidRDefault="00783B69">
            <w:pPr>
              <w:adjustRightInd w:val="0"/>
              <w:snapToGrid w:val="0"/>
              <w:jc w:val="center"/>
              <w:rPr>
                <w:rFonts w:ascii="Times New Roman" w:hAnsi="Times New Roman"/>
                <w:sz w:val="21"/>
                <w:szCs w:val="21"/>
              </w:rPr>
            </w:pPr>
            <w:r w:rsidRPr="00E67914">
              <w:rPr>
                <w:rFonts w:ascii="Times New Roman" w:hAnsi="Times New Roman"/>
                <w:sz w:val="21"/>
                <w:szCs w:val="21"/>
              </w:rPr>
              <w:t>0.014</w:t>
            </w:r>
          </w:p>
        </w:tc>
      </w:tr>
      <w:tr w:rsidR="00783B69" w:rsidRPr="00E67914" w14:paraId="06A31477" w14:textId="77777777" w:rsidTr="00783B69">
        <w:trPr>
          <w:jc w:val="center"/>
        </w:trPr>
        <w:tc>
          <w:tcPr>
            <w:tcW w:w="1773" w:type="pct"/>
            <w:vMerge/>
            <w:vAlign w:val="center"/>
          </w:tcPr>
          <w:p w14:paraId="4C165210" w14:textId="77777777" w:rsidR="00783B69" w:rsidRPr="00E67914" w:rsidRDefault="00783B69" w:rsidP="00783B69">
            <w:pPr>
              <w:adjustRightInd w:val="0"/>
              <w:snapToGrid w:val="0"/>
              <w:jc w:val="center"/>
              <w:rPr>
                <w:rFonts w:ascii="Times New Roman" w:hAnsi="Times New Roman"/>
                <w:sz w:val="21"/>
                <w:szCs w:val="21"/>
              </w:rPr>
            </w:pPr>
          </w:p>
        </w:tc>
        <w:tc>
          <w:tcPr>
            <w:tcW w:w="2727" w:type="pct"/>
            <w:gridSpan w:val="4"/>
            <w:vAlign w:val="center"/>
          </w:tcPr>
          <w:p w14:paraId="7C58E572" w14:textId="0411E870"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合计</w:t>
            </w:r>
          </w:p>
        </w:tc>
        <w:tc>
          <w:tcPr>
            <w:tcW w:w="500" w:type="pct"/>
            <w:vAlign w:val="center"/>
          </w:tcPr>
          <w:p w14:paraId="79672FD6" w14:textId="3E0ECDC1"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0.157</w:t>
            </w:r>
          </w:p>
        </w:tc>
      </w:tr>
      <w:tr w:rsidR="00783B69" w:rsidRPr="00E67914" w14:paraId="541009CE" w14:textId="77777777" w:rsidTr="00783B69">
        <w:trPr>
          <w:jc w:val="center"/>
        </w:trPr>
        <w:tc>
          <w:tcPr>
            <w:tcW w:w="1773" w:type="pct"/>
            <w:vMerge w:val="restart"/>
            <w:vAlign w:val="center"/>
          </w:tcPr>
          <w:p w14:paraId="1DA807BA" w14:textId="46CA85DB"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压裂阶段</w:t>
            </w:r>
          </w:p>
        </w:tc>
        <w:tc>
          <w:tcPr>
            <w:tcW w:w="411" w:type="pct"/>
            <w:vAlign w:val="center"/>
          </w:tcPr>
          <w:p w14:paraId="523D2D68" w14:textId="6E2F800E"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1</w:t>
            </w:r>
          </w:p>
        </w:tc>
        <w:tc>
          <w:tcPr>
            <w:tcW w:w="494" w:type="pct"/>
            <w:vAlign w:val="center"/>
          </w:tcPr>
          <w:p w14:paraId="1003C986" w14:textId="2F509B8A"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盐酸</w:t>
            </w:r>
          </w:p>
        </w:tc>
        <w:tc>
          <w:tcPr>
            <w:tcW w:w="922" w:type="pct"/>
            <w:vAlign w:val="center"/>
          </w:tcPr>
          <w:p w14:paraId="7C56CBE1" w14:textId="426BB9C0"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4</w:t>
            </w:r>
            <w:r w:rsidRPr="00783B69">
              <w:rPr>
                <w:rFonts w:ascii="Times New Roman" w:hAnsi="Times New Roman"/>
                <w:sz w:val="21"/>
                <w:szCs w:val="21"/>
              </w:rPr>
              <w:t>.5</w:t>
            </w:r>
          </w:p>
        </w:tc>
        <w:tc>
          <w:tcPr>
            <w:tcW w:w="900" w:type="pct"/>
            <w:vAlign w:val="center"/>
          </w:tcPr>
          <w:p w14:paraId="28D86B67" w14:textId="39C1D291"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7</w:t>
            </w:r>
            <w:r w:rsidRPr="00783B69">
              <w:rPr>
                <w:rFonts w:ascii="Times New Roman" w:hAnsi="Times New Roman"/>
                <w:sz w:val="21"/>
                <w:szCs w:val="21"/>
              </w:rPr>
              <w:t>.5</w:t>
            </w:r>
          </w:p>
        </w:tc>
        <w:tc>
          <w:tcPr>
            <w:tcW w:w="500" w:type="pct"/>
            <w:vAlign w:val="center"/>
          </w:tcPr>
          <w:p w14:paraId="119D2138" w14:textId="5BB7DA05"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0.6</w:t>
            </w:r>
          </w:p>
        </w:tc>
      </w:tr>
      <w:tr w:rsidR="00783B69" w:rsidRPr="00E67914" w14:paraId="6D6FF95A" w14:textId="77777777" w:rsidTr="00783B69">
        <w:trPr>
          <w:jc w:val="center"/>
        </w:trPr>
        <w:tc>
          <w:tcPr>
            <w:tcW w:w="1773" w:type="pct"/>
            <w:vMerge/>
            <w:vAlign w:val="center"/>
          </w:tcPr>
          <w:p w14:paraId="0CBB7ABA" w14:textId="77777777" w:rsidR="00783B69" w:rsidRPr="00E67914" w:rsidRDefault="00783B69" w:rsidP="00783B69">
            <w:pPr>
              <w:adjustRightInd w:val="0"/>
              <w:snapToGrid w:val="0"/>
              <w:jc w:val="center"/>
              <w:rPr>
                <w:rFonts w:ascii="Times New Roman" w:hAnsi="Times New Roman"/>
                <w:sz w:val="21"/>
                <w:szCs w:val="21"/>
              </w:rPr>
            </w:pPr>
          </w:p>
        </w:tc>
        <w:tc>
          <w:tcPr>
            <w:tcW w:w="411" w:type="pct"/>
            <w:vAlign w:val="center"/>
          </w:tcPr>
          <w:p w14:paraId="0F5FEF2A" w14:textId="3733C763"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2</w:t>
            </w:r>
          </w:p>
        </w:tc>
        <w:tc>
          <w:tcPr>
            <w:tcW w:w="494" w:type="pct"/>
            <w:vAlign w:val="center"/>
          </w:tcPr>
          <w:p w14:paraId="6E66DD92" w14:textId="5874E513"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柴油</w:t>
            </w:r>
          </w:p>
        </w:tc>
        <w:tc>
          <w:tcPr>
            <w:tcW w:w="922" w:type="pct"/>
            <w:vAlign w:val="center"/>
          </w:tcPr>
          <w:p w14:paraId="7B4F1688" w14:textId="1784E804"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16</w:t>
            </w:r>
          </w:p>
        </w:tc>
        <w:tc>
          <w:tcPr>
            <w:tcW w:w="900" w:type="pct"/>
            <w:vAlign w:val="center"/>
          </w:tcPr>
          <w:p w14:paraId="24206036" w14:textId="60C59A52"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2500</w:t>
            </w:r>
          </w:p>
        </w:tc>
        <w:tc>
          <w:tcPr>
            <w:tcW w:w="500" w:type="pct"/>
            <w:vAlign w:val="center"/>
          </w:tcPr>
          <w:p w14:paraId="0917B463" w14:textId="17BE36D3"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0.0064</w:t>
            </w:r>
          </w:p>
        </w:tc>
      </w:tr>
      <w:tr w:rsidR="00783B69" w:rsidRPr="00E67914" w14:paraId="45EFE10B" w14:textId="77777777" w:rsidTr="00783B69">
        <w:trPr>
          <w:jc w:val="center"/>
        </w:trPr>
        <w:tc>
          <w:tcPr>
            <w:tcW w:w="1773" w:type="pct"/>
            <w:vMerge/>
            <w:vAlign w:val="center"/>
          </w:tcPr>
          <w:p w14:paraId="4C650CBC" w14:textId="77777777" w:rsidR="00783B69" w:rsidRPr="00E67914" w:rsidRDefault="00783B69" w:rsidP="00783B69">
            <w:pPr>
              <w:adjustRightInd w:val="0"/>
              <w:snapToGrid w:val="0"/>
              <w:jc w:val="center"/>
              <w:rPr>
                <w:rFonts w:ascii="Times New Roman" w:hAnsi="Times New Roman"/>
                <w:sz w:val="21"/>
                <w:szCs w:val="21"/>
              </w:rPr>
            </w:pPr>
          </w:p>
        </w:tc>
        <w:tc>
          <w:tcPr>
            <w:tcW w:w="2727" w:type="pct"/>
            <w:gridSpan w:val="4"/>
            <w:vAlign w:val="center"/>
          </w:tcPr>
          <w:p w14:paraId="5BA667D4" w14:textId="47ACA2B1"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合计</w:t>
            </w:r>
          </w:p>
        </w:tc>
        <w:tc>
          <w:tcPr>
            <w:tcW w:w="500" w:type="pct"/>
            <w:vAlign w:val="center"/>
          </w:tcPr>
          <w:p w14:paraId="19EA2090" w14:textId="6A633620" w:rsidR="00783B69" w:rsidRPr="00E67914" w:rsidRDefault="00783B69" w:rsidP="00783B69">
            <w:pPr>
              <w:adjustRightInd w:val="0"/>
              <w:snapToGrid w:val="0"/>
              <w:jc w:val="center"/>
              <w:rPr>
                <w:rFonts w:ascii="Times New Roman" w:hAnsi="Times New Roman"/>
                <w:sz w:val="21"/>
                <w:szCs w:val="21"/>
              </w:rPr>
            </w:pPr>
            <w:r w:rsidRPr="00783B69">
              <w:rPr>
                <w:rFonts w:ascii="Times New Roman" w:hAnsi="Times New Roman" w:hint="eastAsia"/>
                <w:sz w:val="21"/>
                <w:szCs w:val="21"/>
              </w:rPr>
              <w:t>0.6064</w:t>
            </w:r>
          </w:p>
        </w:tc>
      </w:tr>
      <w:tr w:rsidR="00783B69" w:rsidRPr="00E67914" w14:paraId="6F81C631" w14:textId="77777777" w:rsidTr="00783B69">
        <w:trPr>
          <w:jc w:val="center"/>
        </w:trPr>
        <w:tc>
          <w:tcPr>
            <w:tcW w:w="1773" w:type="pct"/>
            <w:vMerge w:val="restart"/>
            <w:vAlign w:val="center"/>
          </w:tcPr>
          <w:p w14:paraId="1E994DB2" w14:textId="20B79AC2"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试采期站内</w:t>
            </w:r>
          </w:p>
        </w:tc>
        <w:tc>
          <w:tcPr>
            <w:tcW w:w="411" w:type="pct"/>
            <w:vAlign w:val="center"/>
          </w:tcPr>
          <w:p w14:paraId="7A467250"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序号</w:t>
            </w:r>
          </w:p>
        </w:tc>
        <w:tc>
          <w:tcPr>
            <w:tcW w:w="494" w:type="pct"/>
            <w:vAlign w:val="center"/>
          </w:tcPr>
          <w:p w14:paraId="7B9C604B"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物质</w:t>
            </w:r>
          </w:p>
        </w:tc>
        <w:tc>
          <w:tcPr>
            <w:tcW w:w="922" w:type="pct"/>
            <w:vAlign w:val="center"/>
          </w:tcPr>
          <w:p w14:paraId="3927198E"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r w:rsidRPr="00E67914">
              <w:rPr>
                <w:rFonts w:ascii="Times New Roman" w:hAnsi="Times New Roman"/>
                <w:sz w:val="21"/>
                <w:szCs w:val="21"/>
                <w:vertAlign w:val="subscript"/>
              </w:rPr>
              <w:t>n</w:t>
            </w:r>
            <w:r w:rsidRPr="00E67914">
              <w:rPr>
                <w:rFonts w:ascii="Times New Roman" w:hAnsi="Times New Roman"/>
                <w:sz w:val="21"/>
                <w:szCs w:val="21"/>
              </w:rPr>
              <w:t>，储存量，</w:t>
            </w:r>
            <w:r w:rsidRPr="00E67914">
              <w:rPr>
                <w:rFonts w:ascii="Times New Roman" w:hAnsi="Times New Roman"/>
                <w:sz w:val="21"/>
                <w:szCs w:val="21"/>
              </w:rPr>
              <w:t>t</w:t>
            </w:r>
          </w:p>
        </w:tc>
        <w:tc>
          <w:tcPr>
            <w:tcW w:w="900" w:type="pct"/>
            <w:vAlign w:val="center"/>
          </w:tcPr>
          <w:p w14:paraId="2C0C1D40"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r w:rsidRPr="00E67914">
              <w:rPr>
                <w:rFonts w:ascii="Times New Roman" w:hAnsi="Times New Roman"/>
                <w:sz w:val="21"/>
                <w:szCs w:val="21"/>
                <w:vertAlign w:val="subscript"/>
              </w:rPr>
              <w:t>n</w:t>
            </w:r>
            <w:r w:rsidRPr="00E67914">
              <w:rPr>
                <w:rFonts w:ascii="Times New Roman" w:hAnsi="Times New Roman"/>
                <w:sz w:val="21"/>
                <w:szCs w:val="21"/>
                <w:vertAlign w:val="subscript"/>
              </w:rPr>
              <w:t>，</w:t>
            </w:r>
            <w:r w:rsidRPr="00E67914">
              <w:rPr>
                <w:rFonts w:ascii="Times New Roman" w:hAnsi="Times New Roman"/>
                <w:sz w:val="21"/>
                <w:szCs w:val="21"/>
              </w:rPr>
              <w:t>临界量，</w:t>
            </w:r>
            <w:r w:rsidRPr="00E67914">
              <w:rPr>
                <w:rFonts w:ascii="Times New Roman" w:hAnsi="Times New Roman"/>
                <w:sz w:val="21"/>
                <w:szCs w:val="21"/>
              </w:rPr>
              <w:t>t</w:t>
            </w:r>
          </w:p>
        </w:tc>
        <w:tc>
          <w:tcPr>
            <w:tcW w:w="500" w:type="pct"/>
            <w:vAlign w:val="center"/>
          </w:tcPr>
          <w:p w14:paraId="67CAF0B9"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p>
        </w:tc>
      </w:tr>
      <w:tr w:rsidR="00783B69" w:rsidRPr="00E67914" w14:paraId="4D584029" w14:textId="77777777" w:rsidTr="00783B69">
        <w:trPr>
          <w:jc w:val="center"/>
        </w:trPr>
        <w:tc>
          <w:tcPr>
            <w:tcW w:w="1773" w:type="pct"/>
            <w:vMerge/>
            <w:vAlign w:val="center"/>
          </w:tcPr>
          <w:p w14:paraId="609D2F99" w14:textId="77777777" w:rsidR="00783B69" w:rsidRPr="00E67914" w:rsidRDefault="00783B69" w:rsidP="00783B69">
            <w:pPr>
              <w:adjustRightInd w:val="0"/>
              <w:snapToGrid w:val="0"/>
              <w:jc w:val="center"/>
              <w:rPr>
                <w:rFonts w:ascii="Times New Roman" w:hAnsi="Times New Roman"/>
                <w:sz w:val="21"/>
                <w:szCs w:val="21"/>
              </w:rPr>
            </w:pPr>
          </w:p>
        </w:tc>
        <w:tc>
          <w:tcPr>
            <w:tcW w:w="411" w:type="pct"/>
            <w:vAlign w:val="center"/>
          </w:tcPr>
          <w:p w14:paraId="0937ECB5"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494" w:type="pct"/>
            <w:vAlign w:val="center"/>
          </w:tcPr>
          <w:p w14:paraId="4180935A"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甲烷</w:t>
            </w:r>
          </w:p>
        </w:tc>
        <w:tc>
          <w:tcPr>
            <w:tcW w:w="922" w:type="pct"/>
            <w:vAlign w:val="center"/>
          </w:tcPr>
          <w:p w14:paraId="7CA1B4FD"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0.12</w:t>
            </w:r>
          </w:p>
        </w:tc>
        <w:tc>
          <w:tcPr>
            <w:tcW w:w="900" w:type="pct"/>
            <w:vAlign w:val="center"/>
          </w:tcPr>
          <w:p w14:paraId="62A9512F"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500" w:type="pct"/>
            <w:vAlign w:val="center"/>
          </w:tcPr>
          <w:p w14:paraId="149C5AE8"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0.012</w:t>
            </w:r>
          </w:p>
        </w:tc>
      </w:tr>
      <w:tr w:rsidR="00783B69" w:rsidRPr="00E67914" w14:paraId="5F9E2C8E" w14:textId="77777777" w:rsidTr="00783B69">
        <w:trPr>
          <w:jc w:val="center"/>
        </w:trPr>
        <w:tc>
          <w:tcPr>
            <w:tcW w:w="1773" w:type="pct"/>
            <w:vMerge/>
            <w:vAlign w:val="center"/>
          </w:tcPr>
          <w:p w14:paraId="0B332CA9" w14:textId="77777777" w:rsidR="00783B69" w:rsidRPr="00E67914" w:rsidRDefault="00783B69" w:rsidP="00783B69">
            <w:pPr>
              <w:adjustRightInd w:val="0"/>
              <w:snapToGrid w:val="0"/>
              <w:jc w:val="center"/>
              <w:rPr>
                <w:rFonts w:ascii="Times New Roman" w:hAnsi="Times New Roman"/>
                <w:sz w:val="21"/>
                <w:szCs w:val="21"/>
              </w:rPr>
            </w:pPr>
          </w:p>
        </w:tc>
        <w:tc>
          <w:tcPr>
            <w:tcW w:w="411" w:type="pct"/>
            <w:vAlign w:val="center"/>
          </w:tcPr>
          <w:p w14:paraId="45451201" w14:textId="52201F39"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w:t>
            </w:r>
          </w:p>
        </w:tc>
        <w:tc>
          <w:tcPr>
            <w:tcW w:w="494" w:type="pct"/>
            <w:vAlign w:val="center"/>
          </w:tcPr>
          <w:p w14:paraId="05D09C90" w14:textId="33C97B99"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凝析油</w:t>
            </w:r>
          </w:p>
        </w:tc>
        <w:tc>
          <w:tcPr>
            <w:tcW w:w="922" w:type="pct"/>
            <w:vAlign w:val="center"/>
          </w:tcPr>
          <w:p w14:paraId="2F12FEE1" w14:textId="349F7094"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81.2</w:t>
            </w:r>
          </w:p>
        </w:tc>
        <w:tc>
          <w:tcPr>
            <w:tcW w:w="900" w:type="pct"/>
            <w:vAlign w:val="center"/>
          </w:tcPr>
          <w:p w14:paraId="06C8CAEB" w14:textId="60F4224A"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2500</w:t>
            </w:r>
          </w:p>
        </w:tc>
        <w:tc>
          <w:tcPr>
            <w:tcW w:w="500" w:type="pct"/>
            <w:vAlign w:val="center"/>
          </w:tcPr>
          <w:p w14:paraId="601D504B" w14:textId="2D53E047"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0.032</w:t>
            </w:r>
          </w:p>
        </w:tc>
      </w:tr>
      <w:tr w:rsidR="00783B69" w:rsidRPr="00E67914" w14:paraId="19A5D896" w14:textId="77777777" w:rsidTr="00783B69">
        <w:trPr>
          <w:jc w:val="center"/>
        </w:trPr>
        <w:tc>
          <w:tcPr>
            <w:tcW w:w="1773" w:type="pct"/>
            <w:vMerge/>
            <w:vAlign w:val="center"/>
          </w:tcPr>
          <w:p w14:paraId="1CA2151C" w14:textId="77777777" w:rsidR="00783B69" w:rsidRPr="00E67914" w:rsidRDefault="00783B69" w:rsidP="00783B69">
            <w:pPr>
              <w:adjustRightInd w:val="0"/>
              <w:snapToGrid w:val="0"/>
              <w:jc w:val="center"/>
              <w:rPr>
                <w:rFonts w:ascii="Times New Roman" w:hAnsi="Times New Roman"/>
                <w:sz w:val="21"/>
                <w:szCs w:val="21"/>
              </w:rPr>
            </w:pPr>
          </w:p>
        </w:tc>
        <w:tc>
          <w:tcPr>
            <w:tcW w:w="411" w:type="pct"/>
            <w:vAlign w:val="center"/>
          </w:tcPr>
          <w:p w14:paraId="1110A30D" w14:textId="72B20DD4"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3</w:t>
            </w:r>
          </w:p>
        </w:tc>
        <w:tc>
          <w:tcPr>
            <w:tcW w:w="494" w:type="pct"/>
            <w:vAlign w:val="center"/>
          </w:tcPr>
          <w:p w14:paraId="464BE5F7" w14:textId="264E98DE"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气田水</w:t>
            </w:r>
          </w:p>
        </w:tc>
        <w:tc>
          <w:tcPr>
            <w:tcW w:w="922" w:type="pct"/>
            <w:vAlign w:val="center"/>
          </w:tcPr>
          <w:p w14:paraId="68C21011" w14:textId="05085BE7"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48</w:t>
            </w:r>
          </w:p>
        </w:tc>
        <w:tc>
          <w:tcPr>
            <w:tcW w:w="900" w:type="pct"/>
            <w:vAlign w:val="center"/>
          </w:tcPr>
          <w:p w14:paraId="77EF461F" w14:textId="502524F3"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100</w:t>
            </w:r>
          </w:p>
        </w:tc>
        <w:tc>
          <w:tcPr>
            <w:tcW w:w="500" w:type="pct"/>
            <w:vAlign w:val="center"/>
          </w:tcPr>
          <w:p w14:paraId="31620D52" w14:textId="55F74E51"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0.48</w:t>
            </w:r>
          </w:p>
        </w:tc>
      </w:tr>
      <w:tr w:rsidR="00783B69" w:rsidRPr="00E67914" w14:paraId="4536FF69" w14:textId="77777777" w:rsidTr="00783B69">
        <w:trPr>
          <w:jc w:val="center"/>
        </w:trPr>
        <w:tc>
          <w:tcPr>
            <w:tcW w:w="1773" w:type="pct"/>
            <w:vMerge/>
            <w:vAlign w:val="center"/>
          </w:tcPr>
          <w:p w14:paraId="4DA2427B" w14:textId="77777777" w:rsidR="00783B69" w:rsidRPr="00E67914" w:rsidRDefault="00783B69" w:rsidP="00783B69">
            <w:pPr>
              <w:adjustRightInd w:val="0"/>
              <w:snapToGrid w:val="0"/>
              <w:jc w:val="center"/>
              <w:rPr>
                <w:rFonts w:ascii="Times New Roman" w:hAnsi="Times New Roman"/>
                <w:sz w:val="21"/>
                <w:szCs w:val="21"/>
              </w:rPr>
            </w:pPr>
          </w:p>
        </w:tc>
        <w:tc>
          <w:tcPr>
            <w:tcW w:w="2727" w:type="pct"/>
            <w:gridSpan w:val="4"/>
            <w:vAlign w:val="center"/>
          </w:tcPr>
          <w:p w14:paraId="64DD3D80"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合计</w:t>
            </w:r>
          </w:p>
        </w:tc>
        <w:tc>
          <w:tcPr>
            <w:tcW w:w="500" w:type="pct"/>
            <w:vAlign w:val="center"/>
          </w:tcPr>
          <w:p w14:paraId="168D4905" w14:textId="132F67D3"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0.524</w:t>
            </w:r>
          </w:p>
        </w:tc>
      </w:tr>
      <w:tr w:rsidR="00783B69" w:rsidRPr="00E67914" w14:paraId="0DCE5472" w14:textId="77777777" w:rsidTr="00783B69">
        <w:trPr>
          <w:jc w:val="center"/>
        </w:trPr>
        <w:tc>
          <w:tcPr>
            <w:tcW w:w="1773" w:type="pct"/>
            <w:vMerge w:val="restart"/>
            <w:vAlign w:val="center"/>
          </w:tcPr>
          <w:p w14:paraId="4E0AF781" w14:textId="419F2844"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试采期普陆页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井场到普陆页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试采站管线</w:t>
            </w:r>
          </w:p>
        </w:tc>
        <w:tc>
          <w:tcPr>
            <w:tcW w:w="411" w:type="pct"/>
            <w:vAlign w:val="center"/>
          </w:tcPr>
          <w:p w14:paraId="15C5FE03"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序号</w:t>
            </w:r>
          </w:p>
        </w:tc>
        <w:tc>
          <w:tcPr>
            <w:tcW w:w="494" w:type="pct"/>
            <w:vAlign w:val="center"/>
          </w:tcPr>
          <w:p w14:paraId="67AE6D03"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物质</w:t>
            </w:r>
          </w:p>
        </w:tc>
        <w:tc>
          <w:tcPr>
            <w:tcW w:w="922" w:type="pct"/>
            <w:vAlign w:val="center"/>
          </w:tcPr>
          <w:p w14:paraId="29990793"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r w:rsidRPr="00E67914">
              <w:rPr>
                <w:rFonts w:ascii="Times New Roman" w:hAnsi="Times New Roman"/>
                <w:sz w:val="21"/>
                <w:szCs w:val="21"/>
                <w:vertAlign w:val="subscript"/>
              </w:rPr>
              <w:t>n</w:t>
            </w:r>
            <w:r w:rsidRPr="00E67914">
              <w:rPr>
                <w:rFonts w:ascii="Times New Roman" w:hAnsi="Times New Roman"/>
                <w:sz w:val="21"/>
                <w:szCs w:val="21"/>
              </w:rPr>
              <w:t>，储存量，</w:t>
            </w:r>
            <w:r w:rsidRPr="00E67914">
              <w:rPr>
                <w:rFonts w:ascii="Times New Roman" w:hAnsi="Times New Roman"/>
                <w:sz w:val="21"/>
                <w:szCs w:val="21"/>
              </w:rPr>
              <w:t>t</w:t>
            </w:r>
          </w:p>
        </w:tc>
        <w:tc>
          <w:tcPr>
            <w:tcW w:w="900" w:type="pct"/>
            <w:vAlign w:val="center"/>
          </w:tcPr>
          <w:p w14:paraId="6EC45310"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r w:rsidRPr="00E67914">
              <w:rPr>
                <w:rFonts w:ascii="Times New Roman" w:hAnsi="Times New Roman"/>
                <w:sz w:val="21"/>
                <w:szCs w:val="21"/>
                <w:vertAlign w:val="subscript"/>
              </w:rPr>
              <w:t>n</w:t>
            </w:r>
            <w:r w:rsidRPr="00E67914">
              <w:rPr>
                <w:rFonts w:ascii="Times New Roman" w:hAnsi="Times New Roman"/>
                <w:sz w:val="21"/>
                <w:szCs w:val="21"/>
                <w:vertAlign w:val="subscript"/>
              </w:rPr>
              <w:t>，</w:t>
            </w:r>
            <w:r w:rsidRPr="00E67914">
              <w:rPr>
                <w:rFonts w:ascii="Times New Roman" w:hAnsi="Times New Roman"/>
                <w:sz w:val="21"/>
                <w:szCs w:val="21"/>
              </w:rPr>
              <w:t>临界量，</w:t>
            </w:r>
            <w:r w:rsidRPr="00E67914">
              <w:rPr>
                <w:rFonts w:ascii="Times New Roman" w:hAnsi="Times New Roman"/>
                <w:sz w:val="21"/>
                <w:szCs w:val="21"/>
              </w:rPr>
              <w:t>t</w:t>
            </w:r>
          </w:p>
        </w:tc>
        <w:tc>
          <w:tcPr>
            <w:tcW w:w="500" w:type="pct"/>
            <w:vAlign w:val="center"/>
          </w:tcPr>
          <w:p w14:paraId="7CB383A5"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p>
        </w:tc>
      </w:tr>
      <w:tr w:rsidR="00783B69" w:rsidRPr="00E67914" w14:paraId="082DB937" w14:textId="77777777" w:rsidTr="00783B69">
        <w:trPr>
          <w:jc w:val="center"/>
        </w:trPr>
        <w:tc>
          <w:tcPr>
            <w:tcW w:w="1773" w:type="pct"/>
            <w:vMerge/>
            <w:vAlign w:val="center"/>
          </w:tcPr>
          <w:p w14:paraId="3F8A4480" w14:textId="77777777" w:rsidR="00783B69" w:rsidRPr="00E67914" w:rsidRDefault="00783B69" w:rsidP="00783B69">
            <w:pPr>
              <w:adjustRightInd w:val="0"/>
              <w:snapToGrid w:val="0"/>
              <w:jc w:val="center"/>
              <w:rPr>
                <w:rFonts w:ascii="Times New Roman" w:hAnsi="Times New Roman"/>
                <w:sz w:val="21"/>
                <w:szCs w:val="21"/>
              </w:rPr>
            </w:pPr>
          </w:p>
        </w:tc>
        <w:tc>
          <w:tcPr>
            <w:tcW w:w="411" w:type="pct"/>
            <w:vAlign w:val="center"/>
          </w:tcPr>
          <w:p w14:paraId="3672A6FC"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494" w:type="pct"/>
            <w:vAlign w:val="center"/>
          </w:tcPr>
          <w:p w14:paraId="677CEC22"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甲烷</w:t>
            </w:r>
          </w:p>
        </w:tc>
        <w:tc>
          <w:tcPr>
            <w:tcW w:w="922" w:type="pct"/>
            <w:vAlign w:val="center"/>
          </w:tcPr>
          <w:p w14:paraId="3E7BC558" w14:textId="7DAB2D69"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1.17</w:t>
            </w:r>
          </w:p>
        </w:tc>
        <w:tc>
          <w:tcPr>
            <w:tcW w:w="900" w:type="pct"/>
            <w:vAlign w:val="center"/>
          </w:tcPr>
          <w:p w14:paraId="2D4E9783"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500" w:type="pct"/>
            <w:vAlign w:val="center"/>
          </w:tcPr>
          <w:p w14:paraId="3B174E90" w14:textId="7E589EDC"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0.117</w:t>
            </w:r>
          </w:p>
        </w:tc>
      </w:tr>
      <w:tr w:rsidR="00783B69" w:rsidRPr="00E67914" w14:paraId="598EED37" w14:textId="77777777" w:rsidTr="00783B69">
        <w:trPr>
          <w:jc w:val="center"/>
        </w:trPr>
        <w:tc>
          <w:tcPr>
            <w:tcW w:w="1773" w:type="pct"/>
            <w:vMerge w:val="restart"/>
            <w:vAlign w:val="center"/>
          </w:tcPr>
          <w:p w14:paraId="488AA000" w14:textId="151B11B5" w:rsidR="00783B69" w:rsidRPr="00E67914" w:rsidRDefault="00783B69" w:rsidP="00783B69">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试采期普陆页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试采站至</w:t>
            </w:r>
            <w:r w:rsidRPr="00E67914">
              <w:rPr>
                <w:rFonts w:ascii="Times New Roman" w:hAnsi="Times New Roman"/>
                <w:sz w:val="21"/>
                <w:szCs w:val="21"/>
                <w:lang w:eastAsia="zh-CN"/>
              </w:rPr>
              <w:t>P302</w:t>
            </w:r>
            <w:r w:rsidRPr="00E67914">
              <w:rPr>
                <w:rFonts w:ascii="Times New Roman" w:hAnsi="Times New Roman"/>
                <w:sz w:val="21"/>
                <w:szCs w:val="21"/>
                <w:lang w:eastAsia="zh-CN"/>
              </w:rPr>
              <w:t>集气站的外输管线（含燃料气反输管线）</w:t>
            </w:r>
          </w:p>
        </w:tc>
        <w:tc>
          <w:tcPr>
            <w:tcW w:w="411" w:type="pct"/>
            <w:vAlign w:val="center"/>
          </w:tcPr>
          <w:p w14:paraId="09290DD9"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序号</w:t>
            </w:r>
          </w:p>
        </w:tc>
        <w:tc>
          <w:tcPr>
            <w:tcW w:w="494" w:type="pct"/>
            <w:vAlign w:val="center"/>
          </w:tcPr>
          <w:p w14:paraId="0704FC40"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物质</w:t>
            </w:r>
          </w:p>
        </w:tc>
        <w:tc>
          <w:tcPr>
            <w:tcW w:w="922" w:type="pct"/>
            <w:vAlign w:val="center"/>
          </w:tcPr>
          <w:p w14:paraId="654DE27D"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r w:rsidRPr="00E67914">
              <w:rPr>
                <w:rFonts w:ascii="Times New Roman" w:hAnsi="Times New Roman"/>
                <w:sz w:val="21"/>
                <w:szCs w:val="21"/>
                <w:vertAlign w:val="subscript"/>
              </w:rPr>
              <w:t>n</w:t>
            </w:r>
            <w:r w:rsidRPr="00E67914">
              <w:rPr>
                <w:rFonts w:ascii="Times New Roman" w:hAnsi="Times New Roman"/>
                <w:sz w:val="21"/>
                <w:szCs w:val="21"/>
              </w:rPr>
              <w:t>，储存量，</w:t>
            </w:r>
            <w:r w:rsidRPr="00E67914">
              <w:rPr>
                <w:rFonts w:ascii="Times New Roman" w:hAnsi="Times New Roman"/>
                <w:sz w:val="21"/>
                <w:szCs w:val="21"/>
              </w:rPr>
              <w:t>t</w:t>
            </w:r>
          </w:p>
        </w:tc>
        <w:tc>
          <w:tcPr>
            <w:tcW w:w="900" w:type="pct"/>
            <w:vAlign w:val="center"/>
          </w:tcPr>
          <w:p w14:paraId="77F6BAEF"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r w:rsidRPr="00E67914">
              <w:rPr>
                <w:rFonts w:ascii="Times New Roman" w:hAnsi="Times New Roman"/>
                <w:sz w:val="21"/>
                <w:szCs w:val="21"/>
                <w:vertAlign w:val="subscript"/>
              </w:rPr>
              <w:t>n</w:t>
            </w:r>
            <w:r w:rsidRPr="00E67914">
              <w:rPr>
                <w:rFonts w:ascii="Times New Roman" w:hAnsi="Times New Roman"/>
                <w:sz w:val="21"/>
                <w:szCs w:val="21"/>
                <w:vertAlign w:val="subscript"/>
              </w:rPr>
              <w:t>，</w:t>
            </w:r>
            <w:r w:rsidRPr="00E67914">
              <w:rPr>
                <w:rFonts w:ascii="Times New Roman" w:hAnsi="Times New Roman"/>
                <w:sz w:val="21"/>
                <w:szCs w:val="21"/>
              </w:rPr>
              <w:t>临界量，</w:t>
            </w:r>
            <w:r w:rsidRPr="00E67914">
              <w:rPr>
                <w:rFonts w:ascii="Times New Roman" w:hAnsi="Times New Roman"/>
                <w:sz w:val="21"/>
                <w:szCs w:val="21"/>
              </w:rPr>
              <w:t>t</w:t>
            </w:r>
          </w:p>
        </w:tc>
        <w:tc>
          <w:tcPr>
            <w:tcW w:w="500" w:type="pct"/>
            <w:vAlign w:val="center"/>
          </w:tcPr>
          <w:p w14:paraId="4F6E67BF"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Q</w:t>
            </w:r>
          </w:p>
        </w:tc>
      </w:tr>
      <w:tr w:rsidR="00783B69" w:rsidRPr="00E67914" w14:paraId="61759AC0" w14:textId="77777777" w:rsidTr="00783B69">
        <w:trPr>
          <w:jc w:val="center"/>
        </w:trPr>
        <w:tc>
          <w:tcPr>
            <w:tcW w:w="1773" w:type="pct"/>
            <w:vMerge/>
            <w:vAlign w:val="center"/>
          </w:tcPr>
          <w:p w14:paraId="5B2F4739" w14:textId="77777777" w:rsidR="00783B69" w:rsidRPr="00E67914" w:rsidRDefault="00783B69" w:rsidP="00783B69">
            <w:pPr>
              <w:adjustRightInd w:val="0"/>
              <w:snapToGrid w:val="0"/>
              <w:jc w:val="center"/>
              <w:rPr>
                <w:rFonts w:ascii="Times New Roman" w:hAnsi="Times New Roman"/>
                <w:sz w:val="21"/>
                <w:szCs w:val="21"/>
              </w:rPr>
            </w:pPr>
          </w:p>
        </w:tc>
        <w:tc>
          <w:tcPr>
            <w:tcW w:w="411" w:type="pct"/>
            <w:vAlign w:val="center"/>
          </w:tcPr>
          <w:p w14:paraId="3FCC334B"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1</w:t>
            </w:r>
          </w:p>
        </w:tc>
        <w:tc>
          <w:tcPr>
            <w:tcW w:w="494" w:type="pct"/>
            <w:vAlign w:val="center"/>
          </w:tcPr>
          <w:p w14:paraId="17D89911"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甲烷</w:t>
            </w:r>
          </w:p>
        </w:tc>
        <w:tc>
          <w:tcPr>
            <w:tcW w:w="922" w:type="pct"/>
            <w:vAlign w:val="center"/>
          </w:tcPr>
          <w:p w14:paraId="6B74EC54" w14:textId="1A395786"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1.09</w:t>
            </w:r>
          </w:p>
        </w:tc>
        <w:tc>
          <w:tcPr>
            <w:tcW w:w="900" w:type="pct"/>
            <w:vAlign w:val="center"/>
          </w:tcPr>
          <w:p w14:paraId="7F9B3378" w14:textId="77777777"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10</w:t>
            </w:r>
          </w:p>
        </w:tc>
        <w:tc>
          <w:tcPr>
            <w:tcW w:w="500" w:type="pct"/>
            <w:vAlign w:val="center"/>
          </w:tcPr>
          <w:p w14:paraId="00128499" w14:textId="544CBDFF" w:rsidR="00783B69" w:rsidRPr="00E67914" w:rsidRDefault="00783B69" w:rsidP="00783B69">
            <w:pPr>
              <w:adjustRightInd w:val="0"/>
              <w:snapToGrid w:val="0"/>
              <w:jc w:val="center"/>
              <w:rPr>
                <w:rFonts w:ascii="Times New Roman" w:hAnsi="Times New Roman"/>
                <w:sz w:val="21"/>
                <w:szCs w:val="21"/>
              </w:rPr>
            </w:pPr>
            <w:r w:rsidRPr="00E67914">
              <w:rPr>
                <w:rFonts w:ascii="Times New Roman" w:hAnsi="Times New Roman"/>
                <w:sz w:val="21"/>
                <w:szCs w:val="21"/>
              </w:rPr>
              <w:t>0.109</w:t>
            </w:r>
          </w:p>
        </w:tc>
      </w:tr>
    </w:tbl>
    <w:p w14:paraId="0F79C86F" w14:textId="77777777" w:rsidR="00ED5111" w:rsidRPr="00E67914" w:rsidRDefault="00ED5111" w:rsidP="00ED5111">
      <w:pPr>
        <w:pStyle w:val="af"/>
        <w:adjustRightInd w:val="0"/>
        <w:snapToGrid w:val="0"/>
        <w:spacing w:beforeLines="50" w:before="120" w:line="360" w:lineRule="auto"/>
        <w:ind w:left="0"/>
        <w:jc w:val="center"/>
        <w:rPr>
          <w:rFonts w:ascii="Times New Roman" w:hAnsi="Times New Roman"/>
          <w:bCs/>
          <w:snapToGrid w:val="0"/>
          <w:lang w:eastAsia="zh-CN"/>
        </w:rPr>
      </w:pPr>
    </w:p>
    <w:p w14:paraId="69F13AA1" w14:textId="2A2904E0" w:rsidR="00A54A8A" w:rsidRPr="00E67914" w:rsidRDefault="00000000">
      <w:pPr>
        <w:pStyle w:val="af"/>
        <w:adjustRightInd w:val="0"/>
        <w:snapToGrid w:val="0"/>
        <w:spacing w:beforeLines="50" w:before="120" w:line="360" w:lineRule="auto"/>
        <w:ind w:left="0" w:firstLineChars="200" w:firstLine="480"/>
        <w:jc w:val="both"/>
        <w:rPr>
          <w:rFonts w:ascii="Times New Roman" w:hAnsi="Times New Roman"/>
          <w:bCs/>
          <w:kern w:val="2"/>
          <w:u w:val="single"/>
          <w:lang w:eastAsia="zh-CN"/>
        </w:rPr>
      </w:pPr>
      <w:r w:rsidRPr="00E67914">
        <w:rPr>
          <w:rFonts w:ascii="Times New Roman" w:hAnsi="Times New Roman"/>
          <w:bCs/>
          <w:snapToGrid w:val="0"/>
          <w:lang w:eastAsia="zh-CN"/>
        </w:rPr>
        <w:t>根据表</w:t>
      </w:r>
      <w:r w:rsidRPr="00E67914">
        <w:rPr>
          <w:rFonts w:ascii="Times New Roman" w:hAnsi="Times New Roman"/>
          <w:bCs/>
          <w:snapToGrid w:val="0"/>
          <w:lang w:eastAsia="zh-CN"/>
        </w:rPr>
        <w:t>6.1-4</w:t>
      </w:r>
      <w:r w:rsidRPr="00E67914">
        <w:rPr>
          <w:rFonts w:ascii="Times New Roman" w:hAnsi="Times New Roman"/>
          <w:bCs/>
          <w:snapToGrid w:val="0"/>
          <w:lang w:eastAsia="zh-CN"/>
        </w:rPr>
        <w:t>计算可知，企业的主要危险物质：施工期天然气所含的甲烷和油类物质的</w:t>
      </w:r>
      <w:r w:rsidRPr="00E67914">
        <w:rPr>
          <w:rFonts w:ascii="Times New Roman" w:hAnsi="Times New Roman"/>
          <w:bCs/>
          <w:snapToGrid w:val="0"/>
          <w:lang w:eastAsia="zh-CN"/>
        </w:rPr>
        <w:t>Q</w:t>
      </w:r>
      <w:r w:rsidRPr="00E67914">
        <w:rPr>
          <w:rFonts w:ascii="Times New Roman" w:hAnsi="Times New Roman"/>
          <w:bCs/>
          <w:snapToGrid w:val="0"/>
          <w:lang w:eastAsia="zh-CN"/>
        </w:rPr>
        <w:t>值计算结果为</w:t>
      </w:r>
      <w:r w:rsidRPr="00E67914">
        <w:rPr>
          <w:rFonts w:ascii="Times New Roman" w:hAnsi="Times New Roman"/>
          <w:bCs/>
          <w:snapToGrid w:val="0"/>
          <w:lang w:eastAsia="zh-CN"/>
        </w:rPr>
        <w:t>0.</w:t>
      </w:r>
      <w:r w:rsidR="00ED5111" w:rsidRPr="00E67914">
        <w:rPr>
          <w:rFonts w:ascii="Times New Roman" w:hAnsi="Times New Roman"/>
          <w:bCs/>
          <w:snapToGrid w:val="0"/>
          <w:lang w:eastAsia="zh-CN"/>
        </w:rPr>
        <w:t>157</w:t>
      </w:r>
      <w:r w:rsidRPr="00E67914">
        <w:rPr>
          <w:rFonts w:ascii="Times New Roman" w:hAnsi="Times New Roman"/>
          <w:bCs/>
          <w:snapToGrid w:val="0"/>
          <w:lang w:eastAsia="zh-CN"/>
        </w:rPr>
        <w:t>，</w:t>
      </w:r>
      <w:r w:rsidRPr="00E67914">
        <w:rPr>
          <w:rFonts w:ascii="Times New Roman" w:hAnsi="Times New Roman"/>
          <w:bCs/>
          <w:snapToGrid w:val="0"/>
          <w:lang w:eastAsia="zh-CN"/>
        </w:rPr>
        <w:t>Q</w:t>
      </w:r>
      <w:r w:rsidRPr="00E67914">
        <w:rPr>
          <w:rFonts w:ascii="Times New Roman" w:hAnsi="Times New Roman"/>
          <w:bCs/>
          <w:snapToGrid w:val="0"/>
          <w:lang w:eastAsia="zh-CN"/>
        </w:rPr>
        <w:t>值＜</w:t>
      </w:r>
      <w:r w:rsidRPr="00E67914">
        <w:rPr>
          <w:rFonts w:ascii="Times New Roman" w:hAnsi="Times New Roman"/>
          <w:bCs/>
          <w:snapToGrid w:val="0"/>
          <w:lang w:eastAsia="zh-CN"/>
        </w:rPr>
        <w:t>1</w:t>
      </w:r>
      <w:r w:rsidRPr="00E67914">
        <w:rPr>
          <w:rFonts w:ascii="Times New Roman" w:hAnsi="Times New Roman"/>
          <w:bCs/>
          <w:snapToGrid w:val="0"/>
          <w:lang w:eastAsia="zh-CN"/>
        </w:rPr>
        <w:t>；</w:t>
      </w:r>
      <w:r w:rsidR="00783B69" w:rsidRPr="00C93E9D">
        <w:rPr>
          <w:rFonts w:ascii="Times New Roman" w:hAnsi="Times New Roman" w:hint="eastAsia"/>
          <w:bCs/>
          <w:snapToGrid w:val="0"/>
          <w:color w:val="000000" w:themeColor="text1"/>
          <w:lang w:eastAsia="zh-CN"/>
        </w:rPr>
        <w:t>压裂阶段</w:t>
      </w:r>
      <w:r w:rsidR="00783B69" w:rsidRPr="00C93E9D">
        <w:rPr>
          <w:rFonts w:ascii="Times New Roman" w:hAnsi="Times New Roman"/>
          <w:bCs/>
          <w:snapToGrid w:val="0"/>
          <w:color w:val="000000" w:themeColor="text1"/>
          <w:lang w:eastAsia="zh-CN"/>
        </w:rPr>
        <w:t>的</w:t>
      </w:r>
      <w:r w:rsidR="00783B69" w:rsidRPr="00C93E9D">
        <w:rPr>
          <w:rFonts w:ascii="Times New Roman" w:hAnsi="Times New Roman" w:hint="eastAsia"/>
          <w:bCs/>
          <w:snapToGrid w:val="0"/>
          <w:color w:val="000000" w:themeColor="text1"/>
          <w:lang w:eastAsia="zh-CN"/>
        </w:rPr>
        <w:t>风险物质</w:t>
      </w:r>
      <w:r w:rsidR="00783B69" w:rsidRPr="00C93E9D">
        <w:rPr>
          <w:rFonts w:ascii="Times New Roman" w:hAnsi="Times New Roman" w:hint="eastAsia"/>
          <w:kern w:val="2"/>
          <w:lang w:eastAsia="zh-CN"/>
        </w:rPr>
        <w:t>37%</w:t>
      </w:r>
      <w:r w:rsidR="00783B69" w:rsidRPr="00C93E9D">
        <w:rPr>
          <w:rFonts w:ascii="Times New Roman" w:hAnsi="Times New Roman" w:hint="eastAsia"/>
          <w:kern w:val="2"/>
          <w:lang w:eastAsia="zh-CN"/>
        </w:rPr>
        <w:t>浓度盐酸的</w:t>
      </w:r>
      <w:r w:rsidR="00783B69" w:rsidRPr="00C93E9D">
        <w:rPr>
          <w:rFonts w:ascii="Times New Roman" w:hAnsi="Times New Roman"/>
          <w:bCs/>
          <w:snapToGrid w:val="0"/>
          <w:color w:val="000000" w:themeColor="text1"/>
          <w:lang w:eastAsia="zh-CN"/>
        </w:rPr>
        <w:t>Q</w:t>
      </w:r>
      <w:r w:rsidR="00783B69" w:rsidRPr="00C93E9D">
        <w:rPr>
          <w:rFonts w:ascii="Times New Roman" w:hAnsi="Times New Roman"/>
          <w:bCs/>
          <w:snapToGrid w:val="0"/>
          <w:color w:val="000000" w:themeColor="text1"/>
          <w:lang w:eastAsia="zh-CN"/>
        </w:rPr>
        <w:t>值计算结果为</w:t>
      </w:r>
      <w:r w:rsidR="00783B69" w:rsidRPr="00C93E9D">
        <w:rPr>
          <w:rFonts w:ascii="Times New Roman" w:hAnsi="Times New Roman" w:hint="eastAsia"/>
          <w:bCs/>
          <w:snapToGrid w:val="0"/>
          <w:color w:val="000000" w:themeColor="text1"/>
          <w:lang w:eastAsia="zh-CN"/>
        </w:rPr>
        <w:t>0.6064</w:t>
      </w:r>
      <w:r w:rsidR="00783B69" w:rsidRPr="00C93E9D">
        <w:rPr>
          <w:rFonts w:ascii="Times New Roman" w:hAnsi="Times New Roman"/>
          <w:bCs/>
          <w:snapToGrid w:val="0"/>
          <w:color w:val="000000" w:themeColor="text1"/>
          <w:lang w:eastAsia="zh-CN"/>
        </w:rPr>
        <w:t>，</w:t>
      </w:r>
      <w:r w:rsidR="00783B69" w:rsidRPr="00C93E9D">
        <w:rPr>
          <w:rFonts w:ascii="Times New Roman" w:hAnsi="Times New Roman"/>
          <w:bCs/>
          <w:snapToGrid w:val="0"/>
          <w:lang w:eastAsia="zh-CN"/>
        </w:rPr>
        <w:t>Q</w:t>
      </w:r>
      <w:r w:rsidR="00783B69" w:rsidRPr="00C93E9D">
        <w:rPr>
          <w:rFonts w:ascii="Times New Roman" w:hAnsi="Times New Roman"/>
          <w:bCs/>
          <w:snapToGrid w:val="0"/>
          <w:lang w:eastAsia="zh-CN"/>
        </w:rPr>
        <w:t>值＜</w:t>
      </w:r>
      <w:r w:rsidR="00783B69" w:rsidRPr="00C93E9D">
        <w:rPr>
          <w:rFonts w:ascii="Times New Roman" w:hAnsi="Times New Roman"/>
          <w:bCs/>
          <w:snapToGrid w:val="0"/>
          <w:lang w:eastAsia="zh-CN"/>
        </w:rPr>
        <w:t>1</w:t>
      </w:r>
      <w:r w:rsidR="00783B69" w:rsidRPr="00C93E9D">
        <w:rPr>
          <w:rFonts w:ascii="Times New Roman" w:hAnsi="Times New Roman"/>
          <w:bCs/>
          <w:snapToGrid w:val="0"/>
          <w:color w:val="000000" w:themeColor="text1"/>
          <w:lang w:eastAsia="zh-CN"/>
        </w:rPr>
        <w:t>；</w:t>
      </w:r>
      <w:r w:rsidRPr="00E67914">
        <w:rPr>
          <w:rFonts w:ascii="Times New Roman" w:hAnsi="Times New Roman"/>
          <w:bCs/>
          <w:snapToGrid w:val="0"/>
          <w:lang w:eastAsia="zh-CN"/>
        </w:rPr>
        <w:t>试采期</w:t>
      </w:r>
      <w:r w:rsidR="00ED5111" w:rsidRPr="00E67914">
        <w:rPr>
          <w:rFonts w:ascii="Times New Roman" w:hAnsi="Times New Roman"/>
          <w:bCs/>
          <w:snapToGrid w:val="0"/>
          <w:lang w:eastAsia="zh-CN"/>
        </w:rPr>
        <w:t>站内</w:t>
      </w:r>
      <w:r w:rsidRPr="00E67914">
        <w:rPr>
          <w:rFonts w:ascii="Times New Roman" w:hAnsi="Times New Roman"/>
          <w:bCs/>
          <w:snapToGrid w:val="0"/>
          <w:lang w:eastAsia="zh-CN"/>
        </w:rPr>
        <w:t>天然气所含的甲烷</w:t>
      </w:r>
      <w:r w:rsidR="00ED5111" w:rsidRPr="00E67914">
        <w:rPr>
          <w:rFonts w:ascii="Times New Roman" w:hAnsi="Times New Roman"/>
          <w:bCs/>
          <w:snapToGrid w:val="0"/>
          <w:lang w:eastAsia="zh-CN"/>
        </w:rPr>
        <w:t>、凝析油</w:t>
      </w:r>
      <w:r w:rsidR="00777D57" w:rsidRPr="00E67914">
        <w:rPr>
          <w:rFonts w:ascii="Times New Roman" w:hAnsi="Times New Roman"/>
          <w:bCs/>
          <w:snapToGrid w:val="0"/>
          <w:lang w:eastAsia="zh-CN"/>
        </w:rPr>
        <w:t>、气田水</w:t>
      </w:r>
      <w:r w:rsidRPr="00E67914">
        <w:rPr>
          <w:rFonts w:ascii="Times New Roman" w:hAnsi="Times New Roman"/>
          <w:bCs/>
          <w:snapToGrid w:val="0"/>
          <w:lang w:eastAsia="zh-CN"/>
        </w:rPr>
        <w:t>的</w:t>
      </w:r>
      <w:r w:rsidRPr="00E67914">
        <w:rPr>
          <w:rFonts w:ascii="Times New Roman" w:hAnsi="Times New Roman"/>
          <w:bCs/>
          <w:snapToGrid w:val="0"/>
          <w:lang w:eastAsia="zh-CN"/>
        </w:rPr>
        <w:t>Q</w:t>
      </w:r>
      <w:r w:rsidRPr="00E67914">
        <w:rPr>
          <w:rFonts w:ascii="Times New Roman" w:hAnsi="Times New Roman"/>
          <w:bCs/>
          <w:snapToGrid w:val="0"/>
          <w:lang w:eastAsia="zh-CN"/>
        </w:rPr>
        <w:t>值计算结果为</w:t>
      </w:r>
      <w:r w:rsidRPr="00E67914">
        <w:rPr>
          <w:rFonts w:ascii="Times New Roman" w:hAnsi="Times New Roman"/>
          <w:bCs/>
          <w:snapToGrid w:val="0"/>
          <w:lang w:eastAsia="zh-CN"/>
        </w:rPr>
        <w:t>0.</w:t>
      </w:r>
      <w:r w:rsidR="00ED5111" w:rsidRPr="00E67914">
        <w:rPr>
          <w:rFonts w:ascii="Times New Roman" w:hAnsi="Times New Roman"/>
          <w:bCs/>
          <w:snapToGrid w:val="0"/>
          <w:lang w:eastAsia="zh-CN"/>
        </w:rPr>
        <w:t>524</w:t>
      </w:r>
      <w:r w:rsidRPr="00E67914">
        <w:rPr>
          <w:rFonts w:ascii="Times New Roman" w:hAnsi="Times New Roman"/>
          <w:bCs/>
          <w:snapToGrid w:val="0"/>
          <w:lang w:eastAsia="zh-CN"/>
        </w:rPr>
        <w:t>，</w:t>
      </w:r>
      <w:r w:rsidRPr="00E67914">
        <w:rPr>
          <w:rFonts w:ascii="Times New Roman" w:hAnsi="Times New Roman"/>
          <w:bCs/>
          <w:snapToGrid w:val="0"/>
          <w:lang w:eastAsia="zh-CN"/>
        </w:rPr>
        <w:t>Q</w:t>
      </w:r>
      <w:r w:rsidRPr="00E67914">
        <w:rPr>
          <w:rFonts w:ascii="Times New Roman" w:hAnsi="Times New Roman"/>
          <w:bCs/>
          <w:snapToGrid w:val="0"/>
          <w:lang w:eastAsia="zh-CN"/>
        </w:rPr>
        <w:t>值＜</w:t>
      </w:r>
      <w:r w:rsidRPr="00E67914">
        <w:rPr>
          <w:rFonts w:ascii="Times New Roman" w:hAnsi="Times New Roman"/>
          <w:bCs/>
          <w:snapToGrid w:val="0"/>
          <w:lang w:eastAsia="zh-CN"/>
        </w:rPr>
        <w:t>1</w:t>
      </w:r>
      <w:r w:rsidR="00ED5111" w:rsidRPr="00E67914">
        <w:rPr>
          <w:rFonts w:ascii="Times New Roman" w:hAnsi="Times New Roman"/>
          <w:bCs/>
          <w:snapToGrid w:val="0"/>
          <w:lang w:eastAsia="zh-CN"/>
        </w:rPr>
        <w:t>；试采期普陆页</w:t>
      </w:r>
      <w:r w:rsidR="00ED5111" w:rsidRPr="00E67914">
        <w:rPr>
          <w:rFonts w:ascii="Times New Roman" w:hAnsi="Times New Roman"/>
          <w:bCs/>
          <w:snapToGrid w:val="0"/>
          <w:lang w:eastAsia="zh-CN"/>
        </w:rPr>
        <w:t>2</w:t>
      </w:r>
      <w:r w:rsidR="00ED5111" w:rsidRPr="00E67914">
        <w:rPr>
          <w:rFonts w:ascii="Times New Roman" w:hAnsi="Times New Roman"/>
          <w:bCs/>
          <w:snapToGrid w:val="0"/>
          <w:lang w:eastAsia="zh-CN"/>
        </w:rPr>
        <w:t>井场到普陆页</w:t>
      </w:r>
      <w:r w:rsidR="00ED5111" w:rsidRPr="00E67914">
        <w:rPr>
          <w:rFonts w:ascii="Times New Roman" w:hAnsi="Times New Roman"/>
          <w:bCs/>
          <w:snapToGrid w:val="0"/>
          <w:lang w:eastAsia="zh-CN"/>
        </w:rPr>
        <w:t>2</w:t>
      </w:r>
      <w:r w:rsidR="00ED5111" w:rsidRPr="00E67914">
        <w:rPr>
          <w:rFonts w:ascii="Times New Roman" w:hAnsi="Times New Roman"/>
          <w:bCs/>
          <w:snapToGrid w:val="0"/>
          <w:lang w:eastAsia="zh-CN"/>
        </w:rPr>
        <w:t>试采站管线天然气所含的甲烷的</w:t>
      </w:r>
      <w:r w:rsidR="00ED5111" w:rsidRPr="00E67914">
        <w:rPr>
          <w:rFonts w:ascii="Times New Roman" w:hAnsi="Times New Roman"/>
          <w:bCs/>
          <w:snapToGrid w:val="0"/>
          <w:lang w:eastAsia="zh-CN"/>
        </w:rPr>
        <w:t>Q</w:t>
      </w:r>
      <w:r w:rsidR="00ED5111" w:rsidRPr="00E67914">
        <w:rPr>
          <w:rFonts w:ascii="Times New Roman" w:hAnsi="Times New Roman"/>
          <w:bCs/>
          <w:snapToGrid w:val="0"/>
          <w:lang w:eastAsia="zh-CN"/>
        </w:rPr>
        <w:t>值计算结果为</w:t>
      </w:r>
      <w:r w:rsidR="00ED5111" w:rsidRPr="00E67914">
        <w:rPr>
          <w:rFonts w:ascii="Times New Roman" w:hAnsi="Times New Roman"/>
          <w:bCs/>
          <w:snapToGrid w:val="0"/>
          <w:lang w:eastAsia="zh-CN"/>
        </w:rPr>
        <w:t>0.117</w:t>
      </w:r>
      <w:r w:rsidR="00ED5111" w:rsidRPr="00E67914">
        <w:rPr>
          <w:rFonts w:ascii="Times New Roman" w:hAnsi="Times New Roman"/>
          <w:bCs/>
          <w:snapToGrid w:val="0"/>
          <w:lang w:eastAsia="zh-CN"/>
        </w:rPr>
        <w:t>，</w:t>
      </w:r>
      <w:r w:rsidR="00ED5111" w:rsidRPr="00E67914">
        <w:rPr>
          <w:rFonts w:ascii="Times New Roman" w:hAnsi="Times New Roman"/>
          <w:bCs/>
          <w:snapToGrid w:val="0"/>
          <w:lang w:eastAsia="zh-CN"/>
        </w:rPr>
        <w:t>Q</w:t>
      </w:r>
      <w:r w:rsidR="00ED5111" w:rsidRPr="00E67914">
        <w:rPr>
          <w:rFonts w:ascii="Times New Roman" w:hAnsi="Times New Roman"/>
          <w:bCs/>
          <w:snapToGrid w:val="0"/>
          <w:lang w:eastAsia="zh-CN"/>
        </w:rPr>
        <w:t>值＜</w:t>
      </w:r>
      <w:r w:rsidR="00ED5111" w:rsidRPr="00E67914">
        <w:rPr>
          <w:rFonts w:ascii="Times New Roman" w:hAnsi="Times New Roman"/>
          <w:bCs/>
          <w:snapToGrid w:val="0"/>
          <w:lang w:eastAsia="zh-CN"/>
        </w:rPr>
        <w:t>1</w:t>
      </w:r>
      <w:r w:rsidR="00ED5111" w:rsidRPr="00E67914">
        <w:rPr>
          <w:rFonts w:ascii="Times New Roman" w:hAnsi="Times New Roman"/>
          <w:bCs/>
          <w:snapToGrid w:val="0"/>
          <w:lang w:eastAsia="zh-CN"/>
        </w:rPr>
        <w:t>；试采期普陆页</w:t>
      </w:r>
      <w:r w:rsidR="00ED5111" w:rsidRPr="00E67914">
        <w:rPr>
          <w:rFonts w:ascii="Times New Roman" w:hAnsi="Times New Roman"/>
          <w:bCs/>
          <w:snapToGrid w:val="0"/>
          <w:lang w:eastAsia="zh-CN"/>
        </w:rPr>
        <w:t>2</w:t>
      </w:r>
      <w:r w:rsidR="00ED5111" w:rsidRPr="00E67914">
        <w:rPr>
          <w:rFonts w:ascii="Times New Roman" w:hAnsi="Times New Roman"/>
          <w:bCs/>
          <w:snapToGrid w:val="0"/>
          <w:lang w:eastAsia="zh-CN"/>
        </w:rPr>
        <w:t>试采站至</w:t>
      </w:r>
      <w:r w:rsidR="00ED5111" w:rsidRPr="00E67914">
        <w:rPr>
          <w:rFonts w:ascii="Times New Roman" w:hAnsi="Times New Roman"/>
          <w:bCs/>
          <w:snapToGrid w:val="0"/>
          <w:lang w:eastAsia="zh-CN"/>
        </w:rPr>
        <w:t>P302</w:t>
      </w:r>
      <w:r w:rsidR="00ED5111" w:rsidRPr="00E67914">
        <w:rPr>
          <w:rFonts w:ascii="Times New Roman" w:hAnsi="Times New Roman"/>
          <w:bCs/>
          <w:snapToGrid w:val="0"/>
          <w:lang w:eastAsia="zh-CN"/>
        </w:rPr>
        <w:t>集气站的外输管线（含燃料气反输管线）天然气所含的甲烷的</w:t>
      </w:r>
      <w:r w:rsidR="00ED5111" w:rsidRPr="00E67914">
        <w:rPr>
          <w:rFonts w:ascii="Times New Roman" w:hAnsi="Times New Roman"/>
          <w:bCs/>
          <w:snapToGrid w:val="0"/>
          <w:lang w:eastAsia="zh-CN"/>
        </w:rPr>
        <w:t>Q</w:t>
      </w:r>
      <w:r w:rsidR="00ED5111" w:rsidRPr="00E67914">
        <w:rPr>
          <w:rFonts w:ascii="Times New Roman" w:hAnsi="Times New Roman"/>
          <w:bCs/>
          <w:snapToGrid w:val="0"/>
          <w:lang w:eastAsia="zh-CN"/>
        </w:rPr>
        <w:t>值计算结果为</w:t>
      </w:r>
      <w:r w:rsidR="00ED5111" w:rsidRPr="00E67914">
        <w:rPr>
          <w:rFonts w:ascii="Times New Roman" w:hAnsi="Times New Roman"/>
          <w:bCs/>
          <w:snapToGrid w:val="0"/>
          <w:lang w:eastAsia="zh-CN"/>
        </w:rPr>
        <w:t>0.109</w:t>
      </w:r>
      <w:r w:rsidR="00ED5111" w:rsidRPr="00E67914">
        <w:rPr>
          <w:rFonts w:ascii="Times New Roman" w:hAnsi="Times New Roman"/>
          <w:bCs/>
          <w:snapToGrid w:val="0"/>
          <w:lang w:eastAsia="zh-CN"/>
        </w:rPr>
        <w:t>，</w:t>
      </w:r>
      <w:r w:rsidR="00ED5111" w:rsidRPr="00E67914">
        <w:rPr>
          <w:rFonts w:ascii="Times New Roman" w:hAnsi="Times New Roman"/>
          <w:bCs/>
          <w:snapToGrid w:val="0"/>
          <w:lang w:eastAsia="zh-CN"/>
        </w:rPr>
        <w:t>Q</w:t>
      </w:r>
      <w:r w:rsidR="00ED5111" w:rsidRPr="00E67914">
        <w:rPr>
          <w:rFonts w:ascii="Times New Roman" w:hAnsi="Times New Roman"/>
          <w:bCs/>
          <w:snapToGrid w:val="0"/>
          <w:lang w:eastAsia="zh-CN"/>
        </w:rPr>
        <w:t>值＜</w:t>
      </w:r>
      <w:r w:rsidR="00ED5111" w:rsidRPr="00E67914">
        <w:rPr>
          <w:rFonts w:ascii="Times New Roman" w:hAnsi="Times New Roman"/>
          <w:bCs/>
          <w:snapToGrid w:val="0"/>
          <w:lang w:eastAsia="zh-CN"/>
        </w:rPr>
        <w:t>1</w:t>
      </w:r>
      <w:r w:rsidRPr="00E67914">
        <w:rPr>
          <w:rFonts w:ascii="Times New Roman" w:hAnsi="Times New Roman"/>
          <w:bCs/>
          <w:snapToGrid w:val="0"/>
          <w:lang w:eastAsia="zh-CN"/>
        </w:rPr>
        <w:t>。因此，该项目环境风险潜势为</w:t>
      </w:r>
      <w:r w:rsidRPr="00E67914">
        <w:rPr>
          <w:rFonts w:ascii="Times New Roman" w:hAnsi="Times New Roman"/>
          <w:bCs/>
          <w:snapToGrid w:val="0"/>
          <w:lang w:eastAsia="zh-CN"/>
        </w:rPr>
        <w:t>Ⅰ</w:t>
      </w:r>
      <w:r w:rsidRPr="00E67914">
        <w:rPr>
          <w:rFonts w:ascii="Times New Roman" w:hAnsi="Times New Roman"/>
          <w:bCs/>
          <w:snapToGrid w:val="0"/>
          <w:lang w:eastAsia="zh-CN"/>
        </w:rPr>
        <w:t>。</w:t>
      </w:r>
    </w:p>
    <w:p w14:paraId="66632A5F"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6.1.3</w:t>
      </w:r>
      <w:r w:rsidRPr="00E67914">
        <w:rPr>
          <w:rFonts w:ascii="Times New Roman" w:eastAsia="黑体" w:hAnsi="Times New Roman"/>
          <w:b w:val="0"/>
          <w:sz w:val="24"/>
          <w:szCs w:val="24"/>
          <w:lang w:eastAsia="zh-CN"/>
        </w:rPr>
        <w:t>评价工作等级</w:t>
      </w:r>
    </w:p>
    <w:p w14:paraId="055D705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评价等级根据《建设项目环境风险评价技术导则》（</w:t>
      </w:r>
      <w:r w:rsidRPr="00E67914">
        <w:rPr>
          <w:rFonts w:ascii="Times New Roman" w:hAnsi="Times New Roman"/>
          <w:bCs/>
          <w:kern w:val="2"/>
          <w:lang w:eastAsia="zh-CN"/>
        </w:rPr>
        <w:t>HJ169-2018</w:t>
      </w:r>
      <w:r w:rsidRPr="00E67914">
        <w:rPr>
          <w:rFonts w:ascii="Times New Roman" w:hAnsi="Times New Roman"/>
          <w:bCs/>
          <w:kern w:val="2"/>
          <w:lang w:eastAsia="zh-CN"/>
        </w:rPr>
        <w:t>）评价等级划分原则，建设项目环境风险评价工作等级判定标准表见表</w:t>
      </w:r>
      <w:r w:rsidRPr="00E67914">
        <w:rPr>
          <w:rFonts w:ascii="Times New Roman" w:hAnsi="Times New Roman"/>
          <w:bCs/>
          <w:kern w:val="2"/>
          <w:lang w:eastAsia="zh-CN"/>
        </w:rPr>
        <w:t>6.1-5</w:t>
      </w:r>
      <w:r w:rsidRPr="00E67914">
        <w:rPr>
          <w:rFonts w:ascii="Times New Roman" w:hAnsi="Times New Roman"/>
          <w:bCs/>
          <w:kern w:val="2"/>
          <w:lang w:eastAsia="zh-CN"/>
        </w:rPr>
        <w:t>。</w:t>
      </w:r>
    </w:p>
    <w:p w14:paraId="6CAB1CFB"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6.1-5  </w:t>
      </w:r>
      <w:r w:rsidRPr="00E67914">
        <w:rPr>
          <w:rFonts w:ascii="Times New Roman" w:eastAsia="黑体" w:hAnsi="Times New Roman"/>
          <w:sz w:val="21"/>
          <w:szCs w:val="21"/>
          <w:lang w:eastAsia="zh-CN"/>
        </w:rPr>
        <w:t>项目环境风险评价分级判定</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586"/>
        <w:gridCol w:w="1601"/>
        <w:gridCol w:w="1916"/>
        <w:gridCol w:w="1564"/>
      </w:tblGrid>
      <w:tr w:rsidR="002662E3" w:rsidRPr="00E67914" w14:paraId="0D618D39" w14:textId="77777777">
        <w:trPr>
          <w:jc w:val="center"/>
        </w:trPr>
        <w:tc>
          <w:tcPr>
            <w:tcW w:w="1617" w:type="dxa"/>
            <w:vAlign w:val="center"/>
          </w:tcPr>
          <w:p w14:paraId="7B83BA8C"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环境风险潜势</w:t>
            </w:r>
          </w:p>
        </w:tc>
        <w:tc>
          <w:tcPr>
            <w:tcW w:w="1650" w:type="dxa"/>
            <w:vAlign w:val="center"/>
          </w:tcPr>
          <w:p w14:paraId="07988652"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Ⅳ</w:t>
            </w:r>
            <w:r w:rsidRPr="00E67914">
              <w:rPr>
                <w:rFonts w:ascii="Times New Roman" w:hAnsi="Times New Roman"/>
                <w:sz w:val="21"/>
                <w:szCs w:val="21"/>
              </w:rPr>
              <w:t>、</w:t>
            </w:r>
            <w:r w:rsidRPr="00E67914">
              <w:rPr>
                <w:rFonts w:ascii="Times New Roman" w:hAnsi="Times New Roman"/>
                <w:sz w:val="21"/>
                <w:szCs w:val="21"/>
              </w:rPr>
              <w:t>Ⅴ</w:t>
            </w:r>
            <w:r w:rsidRPr="00E67914">
              <w:rPr>
                <w:rFonts w:ascii="Times New Roman" w:hAnsi="Times New Roman"/>
                <w:sz w:val="21"/>
                <w:szCs w:val="21"/>
                <w:vertAlign w:val="superscript"/>
              </w:rPr>
              <w:t>+</w:t>
            </w:r>
          </w:p>
        </w:tc>
        <w:tc>
          <w:tcPr>
            <w:tcW w:w="1665" w:type="dxa"/>
            <w:vAlign w:val="center"/>
          </w:tcPr>
          <w:p w14:paraId="0165BC34"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Ⅲ</w:t>
            </w:r>
          </w:p>
        </w:tc>
        <w:tc>
          <w:tcPr>
            <w:tcW w:w="1995" w:type="dxa"/>
            <w:vAlign w:val="center"/>
          </w:tcPr>
          <w:p w14:paraId="36F1C426"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Ⅱ</w:t>
            </w:r>
          </w:p>
        </w:tc>
        <w:tc>
          <w:tcPr>
            <w:tcW w:w="1627" w:type="dxa"/>
            <w:vAlign w:val="center"/>
          </w:tcPr>
          <w:p w14:paraId="73FEB48D" w14:textId="77777777" w:rsidR="00A54A8A" w:rsidRPr="00E67914" w:rsidRDefault="00000000">
            <w:pPr>
              <w:snapToGrid w:val="0"/>
              <w:jc w:val="center"/>
              <w:rPr>
                <w:rFonts w:ascii="Times New Roman" w:hAnsi="Times New Roman"/>
                <w:sz w:val="21"/>
                <w:szCs w:val="21"/>
                <w:shd w:val="pct10" w:color="auto" w:fill="FFFFFF"/>
              </w:rPr>
            </w:pPr>
            <w:r w:rsidRPr="00E67914">
              <w:rPr>
                <w:rFonts w:ascii="Times New Roman" w:hAnsi="Times New Roman"/>
                <w:sz w:val="21"/>
                <w:szCs w:val="21"/>
                <w:shd w:val="pct10" w:color="auto" w:fill="FFFFFF"/>
              </w:rPr>
              <w:t>Ⅰ</w:t>
            </w:r>
          </w:p>
        </w:tc>
      </w:tr>
      <w:tr w:rsidR="002662E3" w:rsidRPr="00E67914" w14:paraId="33CF9344" w14:textId="77777777">
        <w:trPr>
          <w:jc w:val="center"/>
        </w:trPr>
        <w:tc>
          <w:tcPr>
            <w:tcW w:w="1617" w:type="dxa"/>
            <w:vAlign w:val="center"/>
          </w:tcPr>
          <w:p w14:paraId="72736AE4"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评价工作等级</w:t>
            </w:r>
          </w:p>
        </w:tc>
        <w:tc>
          <w:tcPr>
            <w:tcW w:w="1650" w:type="dxa"/>
            <w:vAlign w:val="center"/>
          </w:tcPr>
          <w:p w14:paraId="50D8ACF4"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一</w:t>
            </w:r>
          </w:p>
        </w:tc>
        <w:tc>
          <w:tcPr>
            <w:tcW w:w="1665" w:type="dxa"/>
            <w:vAlign w:val="center"/>
          </w:tcPr>
          <w:p w14:paraId="236FFDDC"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二</w:t>
            </w:r>
          </w:p>
        </w:tc>
        <w:tc>
          <w:tcPr>
            <w:tcW w:w="1995" w:type="dxa"/>
            <w:vAlign w:val="center"/>
          </w:tcPr>
          <w:p w14:paraId="1A6AA602" w14:textId="77777777" w:rsidR="00A54A8A" w:rsidRPr="00E67914" w:rsidRDefault="00000000">
            <w:pPr>
              <w:snapToGrid w:val="0"/>
              <w:jc w:val="center"/>
              <w:rPr>
                <w:rFonts w:ascii="Times New Roman" w:hAnsi="Times New Roman"/>
                <w:sz w:val="21"/>
                <w:szCs w:val="21"/>
              </w:rPr>
            </w:pPr>
            <w:r w:rsidRPr="00E67914">
              <w:rPr>
                <w:rFonts w:ascii="Times New Roman" w:hAnsi="Times New Roman"/>
                <w:sz w:val="21"/>
                <w:szCs w:val="21"/>
              </w:rPr>
              <w:t>三</w:t>
            </w:r>
          </w:p>
        </w:tc>
        <w:tc>
          <w:tcPr>
            <w:tcW w:w="1627" w:type="dxa"/>
            <w:vAlign w:val="center"/>
          </w:tcPr>
          <w:p w14:paraId="086F6057" w14:textId="77777777" w:rsidR="00A54A8A" w:rsidRPr="00E67914" w:rsidRDefault="00000000">
            <w:pPr>
              <w:snapToGrid w:val="0"/>
              <w:jc w:val="center"/>
              <w:rPr>
                <w:rFonts w:ascii="Times New Roman" w:hAnsi="Times New Roman"/>
                <w:sz w:val="21"/>
                <w:szCs w:val="21"/>
                <w:shd w:val="pct10" w:color="auto" w:fill="FFFFFF"/>
              </w:rPr>
            </w:pPr>
            <w:r w:rsidRPr="00E67914">
              <w:rPr>
                <w:rFonts w:ascii="Times New Roman" w:hAnsi="Times New Roman"/>
                <w:sz w:val="21"/>
                <w:szCs w:val="21"/>
                <w:shd w:val="pct10" w:color="auto" w:fill="FFFFFF"/>
              </w:rPr>
              <w:t>简单分析</w:t>
            </w:r>
            <w:r w:rsidRPr="00E67914">
              <w:rPr>
                <w:rFonts w:ascii="Times New Roman" w:hAnsi="Times New Roman"/>
                <w:sz w:val="21"/>
                <w:szCs w:val="21"/>
                <w:shd w:val="pct10" w:color="auto" w:fill="FFFFFF"/>
                <w:vertAlign w:val="superscript"/>
              </w:rPr>
              <w:t>a</w:t>
            </w:r>
          </w:p>
        </w:tc>
      </w:tr>
      <w:tr w:rsidR="002662E3" w:rsidRPr="00E67914" w14:paraId="5035AA72" w14:textId="77777777">
        <w:trPr>
          <w:jc w:val="center"/>
        </w:trPr>
        <w:tc>
          <w:tcPr>
            <w:tcW w:w="8554" w:type="dxa"/>
            <w:gridSpan w:val="5"/>
            <w:vAlign w:val="center"/>
          </w:tcPr>
          <w:p w14:paraId="3D51713E" w14:textId="77777777" w:rsidR="00A54A8A" w:rsidRPr="00E67914" w:rsidRDefault="00000000">
            <w:pPr>
              <w:snapToGrid w:val="0"/>
              <w:rPr>
                <w:rFonts w:ascii="Times New Roman" w:hAnsi="Times New Roman"/>
                <w:sz w:val="21"/>
                <w:szCs w:val="21"/>
                <w:lang w:eastAsia="zh-CN"/>
              </w:rPr>
            </w:pPr>
            <w:r w:rsidRPr="00E67914">
              <w:rPr>
                <w:rFonts w:ascii="Times New Roman" w:hAnsi="Times New Roman"/>
                <w:sz w:val="21"/>
                <w:szCs w:val="21"/>
                <w:lang w:eastAsia="zh-CN"/>
              </w:rPr>
              <w:t xml:space="preserve">a </w:t>
            </w:r>
            <w:r w:rsidRPr="00E67914">
              <w:rPr>
                <w:rFonts w:ascii="Times New Roman" w:hAnsi="Times New Roman"/>
                <w:sz w:val="21"/>
                <w:szCs w:val="21"/>
                <w:lang w:eastAsia="zh-CN"/>
              </w:rPr>
              <w:t>是相对于详细评价工作内容而言，在描述危险物质、环境影响途径、环境危害后果、</w:t>
            </w:r>
          </w:p>
          <w:p w14:paraId="787233AF" w14:textId="77777777" w:rsidR="00A54A8A" w:rsidRPr="00E67914" w:rsidRDefault="00000000">
            <w:pPr>
              <w:snapToGrid w:val="0"/>
              <w:rPr>
                <w:rFonts w:ascii="Times New Roman" w:hAnsi="Times New Roman"/>
                <w:sz w:val="21"/>
                <w:szCs w:val="21"/>
                <w:shd w:val="pct10" w:color="auto" w:fill="FFFFFF"/>
                <w:lang w:eastAsia="zh-CN"/>
              </w:rPr>
            </w:pPr>
            <w:r w:rsidRPr="00E67914">
              <w:rPr>
                <w:rFonts w:ascii="Times New Roman" w:hAnsi="Times New Roman"/>
                <w:sz w:val="21"/>
                <w:szCs w:val="21"/>
                <w:lang w:eastAsia="zh-CN"/>
              </w:rPr>
              <w:t>风险防范措施等方面给出定性的说明。</w:t>
            </w:r>
          </w:p>
        </w:tc>
      </w:tr>
    </w:tbl>
    <w:p w14:paraId="35D8CA94" w14:textId="77777777" w:rsidR="00A54A8A" w:rsidRPr="00E67914" w:rsidRDefault="00000000">
      <w:pPr>
        <w:adjustRightInd w:val="0"/>
        <w:snapToGrid w:val="0"/>
        <w:spacing w:beforeLines="50" w:before="120" w:line="360" w:lineRule="auto"/>
        <w:ind w:firstLineChars="200" w:firstLine="480"/>
        <w:rPr>
          <w:rFonts w:ascii="Times New Roman" w:hAnsi="Times New Roman"/>
          <w:sz w:val="24"/>
          <w:lang w:eastAsia="zh-CN"/>
        </w:rPr>
      </w:pPr>
      <w:r w:rsidRPr="00E67914">
        <w:rPr>
          <w:rFonts w:ascii="Times New Roman" w:hAnsi="Times New Roman"/>
          <w:sz w:val="24"/>
          <w:lang w:eastAsia="zh-CN"/>
        </w:rPr>
        <w:t>根据上述环境风险潜势初判结果，本项目需做</w:t>
      </w:r>
      <w:r w:rsidRPr="00E67914">
        <w:rPr>
          <w:rFonts w:ascii="Times New Roman" w:hAnsi="Times New Roman"/>
          <w:sz w:val="24"/>
          <w:lang w:eastAsia="zh-CN"/>
        </w:rPr>
        <w:t>“</w:t>
      </w:r>
      <w:r w:rsidRPr="00E67914">
        <w:rPr>
          <w:rFonts w:ascii="Times New Roman" w:hAnsi="Times New Roman"/>
          <w:sz w:val="24"/>
          <w:lang w:eastAsia="zh-CN"/>
        </w:rPr>
        <w:t>简单分析</w:t>
      </w:r>
      <w:r w:rsidRPr="00E67914">
        <w:rPr>
          <w:rFonts w:ascii="Times New Roman" w:hAnsi="Times New Roman"/>
          <w:sz w:val="24"/>
          <w:lang w:eastAsia="zh-CN"/>
        </w:rPr>
        <w:t>”</w:t>
      </w:r>
      <w:r w:rsidRPr="00E67914">
        <w:rPr>
          <w:rFonts w:ascii="Times New Roman" w:hAnsi="Times New Roman"/>
          <w:sz w:val="24"/>
          <w:lang w:eastAsia="zh-CN"/>
        </w:rPr>
        <w:t>。</w:t>
      </w:r>
    </w:p>
    <w:p w14:paraId="58E07092" w14:textId="77777777" w:rsidR="00A54A8A" w:rsidRPr="00E67914" w:rsidRDefault="00000000">
      <w:pPr>
        <w:pStyle w:val="2"/>
        <w:ind w:firstLine="480"/>
        <w:rPr>
          <w:szCs w:val="24"/>
          <w:lang w:eastAsia="zh-CN"/>
        </w:rPr>
      </w:pPr>
      <w:bookmarkStart w:id="177" w:name="5.3.2环境敏感目标概况"/>
      <w:bookmarkStart w:id="178" w:name="_Toc148654235"/>
      <w:bookmarkEnd w:id="177"/>
      <w:r w:rsidRPr="00E67914">
        <w:rPr>
          <w:szCs w:val="24"/>
          <w:lang w:eastAsia="zh-CN"/>
        </w:rPr>
        <w:t>6.2</w:t>
      </w:r>
      <w:r w:rsidRPr="00E67914">
        <w:rPr>
          <w:szCs w:val="24"/>
          <w:lang w:eastAsia="zh-CN"/>
        </w:rPr>
        <w:t>环境敏感目标概况</w:t>
      </w:r>
      <w:bookmarkEnd w:id="178"/>
    </w:p>
    <w:p w14:paraId="354B84F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简单分析，不设置环境风险评价范围，只对涉及的危险物质、环境影响途径、环境危害、风险防范措施等方面给出定性的说明。</w:t>
      </w:r>
      <w:r w:rsidRPr="00E67914">
        <w:rPr>
          <w:rFonts w:ascii="Times New Roman" w:hAnsi="Times New Roman"/>
          <w:bCs/>
          <w:lang w:eastAsia="zh-CN"/>
        </w:rPr>
        <w:t>本项目外环境关系简单，无环境制约因素，项目与外环境相容。</w:t>
      </w:r>
    </w:p>
    <w:p w14:paraId="2D385E68" w14:textId="77777777" w:rsidR="00A54A8A" w:rsidRPr="00E67914" w:rsidRDefault="00000000">
      <w:pPr>
        <w:pStyle w:val="2"/>
        <w:ind w:firstLine="480"/>
        <w:rPr>
          <w:szCs w:val="24"/>
          <w:lang w:eastAsia="zh-CN"/>
        </w:rPr>
      </w:pPr>
      <w:bookmarkStart w:id="179" w:name="_Toc148654236"/>
      <w:r w:rsidRPr="00E67914">
        <w:rPr>
          <w:szCs w:val="24"/>
          <w:lang w:eastAsia="zh-CN"/>
        </w:rPr>
        <w:t>6.3</w:t>
      </w:r>
      <w:r w:rsidRPr="00E67914">
        <w:rPr>
          <w:szCs w:val="24"/>
          <w:lang w:eastAsia="zh-CN"/>
        </w:rPr>
        <w:t>环境风险识别</w:t>
      </w:r>
      <w:bookmarkEnd w:id="179"/>
    </w:p>
    <w:p w14:paraId="668A867C"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6.3.1</w:t>
      </w:r>
      <w:r w:rsidRPr="00E67914">
        <w:rPr>
          <w:rFonts w:ascii="Times New Roman" w:eastAsia="黑体" w:hAnsi="Times New Roman"/>
          <w:b w:val="0"/>
          <w:sz w:val="24"/>
          <w:szCs w:val="24"/>
          <w:lang w:eastAsia="zh-CN"/>
        </w:rPr>
        <w:t>物质危险性识别</w:t>
      </w:r>
    </w:p>
    <w:p w14:paraId="6B56208E" w14:textId="0C0F5FD3"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本项目生产过程中涉及的危险物质有天然气、天然气中的甲烷、天然气燃烧后的二氧化碳、柴油</w:t>
      </w:r>
      <w:r w:rsidR="00ED5111" w:rsidRPr="00E67914">
        <w:rPr>
          <w:rFonts w:ascii="Times New Roman" w:hAnsi="Times New Roman"/>
          <w:bCs/>
          <w:kern w:val="2"/>
          <w:lang w:eastAsia="zh-CN"/>
        </w:rPr>
        <w:t>、白油</w:t>
      </w:r>
      <w:r w:rsidRPr="00E67914">
        <w:rPr>
          <w:rFonts w:ascii="Times New Roman" w:hAnsi="Times New Roman"/>
          <w:bCs/>
          <w:kern w:val="2"/>
          <w:lang w:eastAsia="zh-CN"/>
        </w:rPr>
        <w:t>、钻井废水、压裂液及返排液、废油和</w:t>
      </w:r>
      <w:r w:rsidR="002346F6" w:rsidRPr="00E67914">
        <w:rPr>
          <w:rFonts w:ascii="Times New Roman" w:hAnsi="Times New Roman"/>
          <w:bCs/>
          <w:kern w:val="2"/>
          <w:lang w:eastAsia="zh-CN"/>
        </w:rPr>
        <w:t>气田水</w:t>
      </w:r>
      <w:r w:rsidR="00ED5111" w:rsidRPr="00E67914">
        <w:rPr>
          <w:rFonts w:ascii="Times New Roman" w:hAnsi="Times New Roman"/>
          <w:bCs/>
          <w:kern w:val="2"/>
          <w:lang w:eastAsia="zh-CN"/>
        </w:rPr>
        <w:t>、</w:t>
      </w:r>
      <w:r w:rsidR="00ED5111" w:rsidRPr="00E67914">
        <w:rPr>
          <w:rFonts w:ascii="Times New Roman" w:hAnsi="Times New Roman"/>
          <w:bCs/>
          <w:kern w:val="2"/>
          <w:lang w:eastAsia="zh-CN"/>
        </w:rPr>
        <w:lastRenderedPageBreak/>
        <w:t>凝析油</w:t>
      </w:r>
      <w:r w:rsidRPr="00E67914">
        <w:rPr>
          <w:rFonts w:ascii="Times New Roman" w:hAnsi="Times New Roman"/>
          <w:bCs/>
          <w:kern w:val="2"/>
          <w:lang w:eastAsia="zh-CN"/>
        </w:rPr>
        <w:t>等，具体见</w:t>
      </w:r>
      <w:r w:rsidRPr="00E67914">
        <w:rPr>
          <w:rFonts w:ascii="Times New Roman" w:hAnsi="Times New Roman"/>
          <w:bCs/>
          <w:kern w:val="2"/>
          <w:lang w:eastAsia="zh-CN"/>
        </w:rPr>
        <w:t xml:space="preserve">“6.1 </w:t>
      </w:r>
      <w:r w:rsidRPr="00E67914">
        <w:rPr>
          <w:rFonts w:ascii="Times New Roman" w:hAnsi="Times New Roman"/>
          <w:bCs/>
          <w:kern w:val="2"/>
          <w:lang w:eastAsia="zh-CN"/>
        </w:rPr>
        <w:t>评价依据</w:t>
      </w:r>
      <w:r w:rsidRPr="00E67914">
        <w:rPr>
          <w:rFonts w:ascii="Times New Roman" w:hAnsi="Times New Roman"/>
          <w:bCs/>
          <w:kern w:val="2"/>
          <w:lang w:eastAsia="zh-CN"/>
        </w:rPr>
        <w:t>”</w:t>
      </w:r>
      <w:r w:rsidRPr="00E67914">
        <w:rPr>
          <w:rFonts w:ascii="Times New Roman" w:hAnsi="Times New Roman"/>
          <w:bCs/>
          <w:kern w:val="2"/>
          <w:lang w:eastAsia="zh-CN"/>
        </w:rPr>
        <w:t>章节内容。本项目涉及的主要危险物质包括</w:t>
      </w:r>
      <w:r w:rsidRPr="00E67914">
        <w:rPr>
          <w:rFonts w:ascii="Times New Roman" w:hAnsi="Times New Roman"/>
          <w:bCs/>
          <w:kern w:val="2"/>
          <w:lang w:eastAsia="zh-CN"/>
        </w:rPr>
        <w:t>CH</w:t>
      </w:r>
      <w:r w:rsidRPr="00E67914">
        <w:rPr>
          <w:rFonts w:ascii="Times New Roman" w:hAnsi="Times New Roman"/>
          <w:bCs/>
          <w:kern w:val="2"/>
          <w:vertAlign w:val="subscript"/>
          <w:lang w:eastAsia="zh-CN"/>
        </w:rPr>
        <w:t>4</w:t>
      </w:r>
      <w:r w:rsidRPr="00E67914">
        <w:rPr>
          <w:rFonts w:ascii="Times New Roman" w:hAnsi="Times New Roman"/>
          <w:bCs/>
          <w:kern w:val="2"/>
          <w:lang w:eastAsia="zh-CN"/>
        </w:rPr>
        <w:t>（易燃易爆）和油类物质等。</w:t>
      </w:r>
    </w:p>
    <w:p w14:paraId="622BDBCC"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6.3.2</w:t>
      </w:r>
      <w:r w:rsidRPr="00E67914">
        <w:rPr>
          <w:rFonts w:ascii="Times New Roman" w:eastAsia="黑体" w:hAnsi="Times New Roman"/>
          <w:b w:val="0"/>
          <w:sz w:val="24"/>
          <w:szCs w:val="24"/>
          <w:lang w:eastAsia="zh-CN"/>
        </w:rPr>
        <w:t>生产系统风险识别</w:t>
      </w:r>
    </w:p>
    <w:p w14:paraId="479C16D2"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1</w:t>
      </w:r>
      <w:r w:rsidRPr="00E67914">
        <w:rPr>
          <w:rFonts w:ascii="Times New Roman" w:hAnsi="Times New Roman"/>
          <w:b/>
          <w:kern w:val="2"/>
          <w:lang w:eastAsia="zh-CN"/>
        </w:rPr>
        <w:t>）井喷失控造成天然气释放</w:t>
      </w:r>
    </w:p>
    <w:p w14:paraId="4A245DD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会有大量的天然气逸散到空气中，对周围的环境空气造成一定的影响。</w:t>
      </w:r>
    </w:p>
    <w:p w14:paraId="7030DBF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导致井喷失控的主要因素涉及以下几个方面：</w:t>
      </w:r>
    </w:p>
    <w:p w14:paraId="1D7485C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cs="宋体" w:hint="eastAsia"/>
          <w:bCs/>
          <w:kern w:val="2"/>
          <w:lang w:eastAsia="zh-CN"/>
        </w:rPr>
        <w:t>①</w:t>
      </w:r>
      <w:r w:rsidRPr="00E67914">
        <w:rPr>
          <w:rFonts w:ascii="Times New Roman" w:hAnsi="Times New Roman"/>
          <w:bCs/>
          <w:kern w:val="2"/>
          <w:lang w:eastAsia="zh-CN"/>
        </w:rPr>
        <w:t>地层压力：当钻井钻至高压气层期间，由于对地层压力预测不准，出现异常超压情况，如果操作处置失当，将导致井口装置和井控汇管失控发生井喷失控事故。</w:t>
      </w:r>
    </w:p>
    <w:p w14:paraId="1A3CE95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cs="宋体" w:hint="eastAsia"/>
          <w:bCs/>
          <w:kern w:val="2"/>
          <w:lang w:eastAsia="zh-CN"/>
        </w:rPr>
        <w:t>②</w:t>
      </w:r>
      <w:r w:rsidRPr="00E67914">
        <w:rPr>
          <w:rFonts w:ascii="Times New Roman" w:hAnsi="Times New Roman"/>
          <w:bCs/>
          <w:kern w:val="2"/>
          <w:lang w:eastAsia="zh-CN"/>
        </w:rPr>
        <w:t>遇山洪、地震、滑坡等自然灾害，导致井口所在地地层位移甚至塌陷损坏井控装置，导致井喷失控事故。这类事故目前还未见报道。</w:t>
      </w:r>
    </w:p>
    <w:p w14:paraId="2DD0F52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cs="宋体" w:hint="eastAsia"/>
          <w:bCs/>
          <w:kern w:val="2"/>
          <w:lang w:eastAsia="zh-CN"/>
        </w:rPr>
        <w:t>③</w:t>
      </w:r>
      <w:r w:rsidRPr="00E67914">
        <w:rPr>
          <w:rFonts w:ascii="Times New Roman" w:hAnsi="Times New Roman"/>
          <w:bCs/>
          <w:kern w:val="2"/>
          <w:lang w:eastAsia="zh-CN"/>
        </w:rPr>
        <w:t>压井泥浆密度偏低，不能满足压井要求。</w:t>
      </w:r>
    </w:p>
    <w:p w14:paraId="445A336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cs="宋体" w:hint="eastAsia"/>
          <w:bCs/>
          <w:kern w:val="2"/>
          <w:lang w:eastAsia="zh-CN"/>
        </w:rPr>
        <w:t>④</w:t>
      </w:r>
      <w:r w:rsidRPr="00E67914">
        <w:rPr>
          <w:rFonts w:ascii="Times New Roman" w:hAnsi="Times New Roman"/>
          <w:bCs/>
          <w:kern w:val="2"/>
          <w:lang w:eastAsia="zh-CN"/>
        </w:rPr>
        <w:t>操作因素：当出现井喷前兆，如泥浆溢流、泥浆井涌等现象，作业人员未及时发现或采取有效的控制措施，从而可能导致井喷。</w:t>
      </w:r>
    </w:p>
    <w:p w14:paraId="537407BC"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2</w:t>
      </w:r>
      <w:r w:rsidRPr="00E67914">
        <w:rPr>
          <w:rFonts w:ascii="Times New Roman" w:hAnsi="Times New Roman"/>
          <w:b/>
          <w:kern w:val="2"/>
          <w:lang w:eastAsia="zh-CN"/>
        </w:rPr>
        <w:t>）井漏导致泥浆泄漏</w:t>
      </w:r>
    </w:p>
    <w:p w14:paraId="25598C0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当井下泥浆压力大于地层压力会发生井漏事故；水平井钻井液密度选择范围变小，容易出现井漏和井塌或者钻遇到大面积裂缝发育带容易发生严重井漏、井喷；固井施工中可能会因水泥浆对漏失层强烈的挤压作用发生漏失等。井漏如果发生在含水层，则泄漏的泥浆可能会污染含水层。</w:t>
      </w:r>
    </w:p>
    <w:p w14:paraId="775E462E"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3</w:t>
      </w:r>
      <w:r w:rsidRPr="00E67914">
        <w:rPr>
          <w:rFonts w:ascii="Times New Roman" w:hAnsi="Times New Roman"/>
          <w:b/>
          <w:kern w:val="2"/>
          <w:lang w:eastAsia="zh-CN"/>
        </w:rPr>
        <w:t>）油类物质泄漏</w:t>
      </w:r>
    </w:p>
    <w:p w14:paraId="76B737C9" w14:textId="3967C90F"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柴油</w:t>
      </w:r>
      <w:r w:rsidR="00ED5111" w:rsidRPr="00E67914">
        <w:rPr>
          <w:rFonts w:ascii="Times New Roman" w:hAnsi="Times New Roman"/>
          <w:bCs/>
          <w:kern w:val="2"/>
          <w:lang w:eastAsia="zh-CN"/>
        </w:rPr>
        <w:t>、白油</w:t>
      </w:r>
      <w:r w:rsidR="00381658" w:rsidRPr="00E67914">
        <w:rPr>
          <w:rFonts w:ascii="Times New Roman" w:hAnsi="Times New Roman"/>
          <w:bCs/>
          <w:kern w:val="2"/>
          <w:lang w:eastAsia="zh-CN"/>
        </w:rPr>
        <w:t>、凝析油</w:t>
      </w:r>
      <w:r w:rsidRPr="00E67914">
        <w:rPr>
          <w:rFonts w:ascii="Times New Roman" w:hAnsi="Times New Roman"/>
          <w:bCs/>
          <w:kern w:val="2"/>
          <w:lang w:eastAsia="zh-CN"/>
        </w:rPr>
        <w:t>和废油等油类物质在使用、储运过程中的风险主要来自于油罐、油桶自身缺陷、人员误操作、老化等造成的泄漏以及外部破坏产生的事故，包括人为破坏及洪水、地震等不可抗拒因素。油类物质泄漏可能污染土壤、地表水和地下水，对生态环境和社会影响很大，也可能引起火灾爆炸，造成人员伤亡及财产损失。</w:t>
      </w:r>
    </w:p>
    <w:p w14:paraId="6DE41B91"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4</w:t>
      </w:r>
      <w:r w:rsidRPr="00E67914">
        <w:rPr>
          <w:rFonts w:ascii="Times New Roman" w:hAnsi="Times New Roman"/>
          <w:b/>
          <w:kern w:val="2"/>
          <w:lang w:eastAsia="zh-CN"/>
        </w:rPr>
        <w:t>）钻井液、压裂液泄漏</w:t>
      </w:r>
    </w:p>
    <w:p w14:paraId="63028C2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lastRenderedPageBreak/>
        <w:t>钻井泥浆、压裂液在施工过程中的泄漏风险主要来自设备老化、管道破损或人员误操作等造成的泄漏以及外部破坏产生的事故，包括人为破坏及洪水、地震等不可抗拒因素。钻井泥浆、压裂液泄漏可能污染地表水、地下水及土壤，影响农作物生长发育和产量。</w:t>
      </w:r>
    </w:p>
    <w:p w14:paraId="73C68A9A"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bCs/>
          <w:kern w:val="2"/>
          <w:lang w:eastAsia="zh-CN"/>
        </w:rPr>
      </w:pPr>
      <w:r w:rsidRPr="00E67914">
        <w:rPr>
          <w:rFonts w:ascii="Times New Roman" w:hAnsi="Times New Roman"/>
          <w:b/>
          <w:bCs/>
          <w:lang w:eastAsia="zh-CN"/>
        </w:rPr>
        <w:t>（</w:t>
      </w:r>
      <w:r w:rsidRPr="00E67914">
        <w:rPr>
          <w:rFonts w:ascii="Times New Roman" w:hAnsi="Times New Roman"/>
          <w:b/>
          <w:bCs/>
          <w:kern w:val="2"/>
          <w:lang w:eastAsia="zh-CN"/>
        </w:rPr>
        <w:t>5</w:t>
      </w:r>
      <w:r w:rsidRPr="00E67914">
        <w:rPr>
          <w:rFonts w:ascii="Times New Roman" w:hAnsi="Times New Roman"/>
          <w:b/>
          <w:bCs/>
          <w:kern w:val="2"/>
          <w:lang w:eastAsia="zh-CN"/>
        </w:rPr>
        <w:t>）井场、站场废水泄漏</w:t>
      </w:r>
    </w:p>
    <w:p w14:paraId="22C03420" w14:textId="1C6232A5"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项目废水泄漏包括钻井期废水收集设施泄漏，试采期站场</w:t>
      </w:r>
      <w:r w:rsidR="00A9536E" w:rsidRPr="00E67914">
        <w:rPr>
          <w:rFonts w:ascii="Times New Roman" w:hAnsi="Times New Roman"/>
          <w:bCs/>
          <w:kern w:val="2"/>
          <w:lang w:eastAsia="zh-CN"/>
        </w:rPr>
        <w:t>放空分液罐、采出水罐</w:t>
      </w:r>
      <w:r w:rsidRPr="00E67914">
        <w:rPr>
          <w:rFonts w:ascii="Times New Roman" w:hAnsi="Times New Roman"/>
          <w:bCs/>
          <w:kern w:val="2"/>
          <w:lang w:eastAsia="zh-CN"/>
        </w:rPr>
        <w:t>泄漏。废水泄漏原因可能为罐体老化、管道破损或人为破坏及洪水、地震等不可抗拒因素。泄漏废水可能污染地表水、地下水及土壤，影响农作物生长发育和产量。</w:t>
      </w:r>
    </w:p>
    <w:p w14:paraId="429C84F8"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bCs/>
          <w:kern w:val="2"/>
          <w:lang w:eastAsia="zh-CN"/>
        </w:rPr>
      </w:pPr>
      <w:r w:rsidRPr="00E67914">
        <w:rPr>
          <w:rFonts w:ascii="Times New Roman" w:hAnsi="Times New Roman"/>
          <w:b/>
          <w:bCs/>
          <w:lang w:eastAsia="zh-CN"/>
        </w:rPr>
        <w:t>（</w:t>
      </w:r>
      <w:r w:rsidRPr="00E67914">
        <w:rPr>
          <w:rFonts w:ascii="Times New Roman" w:hAnsi="Times New Roman"/>
          <w:b/>
          <w:bCs/>
          <w:kern w:val="2"/>
          <w:lang w:eastAsia="zh-CN"/>
        </w:rPr>
        <w:t>6</w:t>
      </w:r>
      <w:r w:rsidRPr="00E67914">
        <w:rPr>
          <w:rFonts w:ascii="Times New Roman" w:hAnsi="Times New Roman"/>
          <w:b/>
          <w:bCs/>
          <w:kern w:val="2"/>
          <w:lang w:eastAsia="zh-CN"/>
        </w:rPr>
        <w:t>）废水转运过程泄漏</w:t>
      </w:r>
    </w:p>
    <w:p w14:paraId="09A5F3AA"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钻井废水、废压裂返排液及气田水通过罐车转运回用或送至有处理能力和处理资质的单位进行处理。废水转运过程中可能存在罐体泄漏、运输车侧翻导致污水外溢的风险。如途径集中式饮用水水源地、水产种质保护区等特别敏感区域时发生泄漏，将产生一定的影响。</w:t>
      </w:r>
    </w:p>
    <w:p w14:paraId="3E8184DE"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bCs/>
          <w:kern w:val="2"/>
          <w:lang w:eastAsia="zh-CN"/>
        </w:rPr>
      </w:pPr>
      <w:r w:rsidRPr="00E67914">
        <w:rPr>
          <w:rFonts w:ascii="Times New Roman" w:hAnsi="Times New Roman"/>
          <w:b/>
          <w:bCs/>
          <w:lang w:eastAsia="zh-CN"/>
        </w:rPr>
        <w:t>（</w:t>
      </w:r>
      <w:r w:rsidRPr="00E67914">
        <w:rPr>
          <w:rFonts w:ascii="Times New Roman" w:hAnsi="Times New Roman"/>
          <w:b/>
          <w:bCs/>
          <w:kern w:val="2"/>
          <w:lang w:eastAsia="zh-CN"/>
        </w:rPr>
        <w:t>7</w:t>
      </w:r>
      <w:r w:rsidRPr="00E67914">
        <w:rPr>
          <w:rFonts w:ascii="Times New Roman" w:hAnsi="Times New Roman"/>
          <w:b/>
          <w:bCs/>
          <w:kern w:val="2"/>
          <w:lang w:eastAsia="zh-CN"/>
        </w:rPr>
        <w:t>）试采站场及集输管线</w:t>
      </w:r>
    </w:p>
    <w:p w14:paraId="09D316C3" w14:textId="6A02A7D1"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本项目天然气泄漏情形为试采站场内部的管线、外输管线或站内设备泄漏。试采站场内部管线为井口</w:t>
      </w:r>
      <w:r w:rsidRPr="00E67914">
        <w:rPr>
          <w:rFonts w:ascii="Times New Roman" w:hAnsi="Times New Roman"/>
          <w:bCs/>
          <w:kern w:val="2"/>
          <w:lang w:eastAsia="zh-CN"/>
        </w:rPr>
        <w:t>~</w:t>
      </w:r>
      <w:r w:rsidRPr="00E67914">
        <w:rPr>
          <w:rFonts w:ascii="Times New Roman" w:hAnsi="Times New Roman"/>
          <w:bCs/>
          <w:kern w:val="2"/>
          <w:lang w:eastAsia="zh-CN"/>
        </w:rPr>
        <w:t>水套加热炉</w:t>
      </w:r>
      <w:r w:rsidRPr="00E67914">
        <w:rPr>
          <w:rFonts w:ascii="Times New Roman" w:hAnsi="Times New Roman"/>
          <w:bCs/>
          <w:kern w:val="2"/>
          <w:lang w:eastAsia="zh-CN"/>
        </w:rPr>
        <w:t>~</w:t>
      </w:r>
      <w:r w:rsidRPr="00E67914">
        <w:rPr>
          <w:rFonts w:ascii="Times New Roman" w:hAnsi="Times New Roman"/>
          <w:bCs/>
          <w:kern w:val="2"/>
          <w:lang w:eastAsia="zh-CN"/>
        </w:rPr>
        <w:t>外输截止阀，井场可能存在天然气泄漏的设备为分离器、水套加热炉等。本项目站内外集输管线为天然气管线和设备破裂原因为内、外腐蚀作用，母体材料缺陷或焊口缺陷隐患，意外重大的机械损伤或地震、地陷、洪水等自然灾害破坏作用。管线或设备破裂会造成天然气泄漏，本项目井口</w:t>
      </w:r>
      <w:r w:rsidRPr="00E67914">
        <w:rPr>
          <w:rFonts w:ascii="Times New Roman" w:hAnsi="Times New Roman"/>
          <w:bCs/>
          <w:kern w:val="2"/>
          <w:lang w:eastAsia="zh-CN"/>
        </w:rPr>
        <w:t>100m</w:t>
      </w:r>
      <w:r w:rsidRPr="00E67914">
        <w:rPr>
          <w:rFonts w:ascii="Times New Roman" w:hAnsi="Times New Roman"/>
          <w:bCs/>
          <w:kern w:val="2"/>
          <w:lang w:eastAsia="zh-CN"/>
        </w:rPr>
        <w:t>范围内无居民分布，区域大气扩散条件较好，天然气中预计不含硫化氢，发生泄漏后及时关闭阀门，泄露的天然气量较少，因此天然气泄漏对空气影响较小。</w:t>
      </w:r>
    </w:p>
    <w:p w14:paraId="021CEFB7"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bCs/>
          <w:kern w:val="2"/>
          <w:lang w:eastAsia="zh-CN"/>
        </w:rPr>
      </w:pPr>
      <w:r w:rsidRPr="00E67914">
        <w:rPr>
          <w:rFonts w:ascii="Times New Roman" w:hAnsi="Times New Roman"/>
          <w:b/>
          <w:bCs/>
          <w:lang w:eastAsia="zh-CN"/>
        </w:rPr>
        <w:t>（</w:t>
      </w:r>
      <w:r w:rsidRPr="00E67914">
        <w:rPr>
          <w:rFonts w:ascii="Times New Roman" w:hAnsi="Times New Roman"/>
          <w:b/>
          <w:bCs/>
          <w:kern w:val="2"/>
          <w:lang w:eastAsia="zh-CN"/>
        </w:rPr>
        <w:t>8</w:t>
      </w:r>
      <w:r w:rsidRPr="00E67914">
        <w:rPr>
          <w:rFonts w:ascii="Times New Roman" w:hAnsi="Times New Roman"/>
          <w:b/>
          <w:bCs/>
          <w:kern w:val="2"/>
          <w:lang w:eastAsia="zh-CN"/>
        </w:rPr>
        <w:t>）火灾爆炸引发次生污染</w:t>
      </w:r>
    </w:p>
    <w:p w14:paraId="2B24EDCA"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本项目发生火灾爆炸情形有如下几种：</w:t>
      </w:r>
      <w:r w:rsidRPr="00E67914">
        <w:rPr>
          <w:rFonts w:cs="宋体" w:hint="eastAsia"/>
          <w:bCs/>
          <w:kern w:val="2"/>
          <w:lang w:eastAsia="zh-CN"/>
        </w:rPr>
        <w:t>①</w:t>
      </w:r>
      <w:r w:rsidRPr="00E67914">
        <w:rPr>
          <w:rFonts w:ascii="Times New Roman" w:hAnsi="Times New Roman"/>
          <w:bCs/>
          <w:kern w:val="2"/>
          <w:lang w:eastAsia="zh-CN"/>
        </w:rPr>
        <w:t>钻井过程发生井喷失控，天然气逸散到空气中遇明火发生火灾爆炸或主动点火发生火灾爆炸，产生污染物</w:t>
      </w:r>
      <w:r w:rsidRPr="00E67914">
        <w:rPr>
          <w:rFonts w:ascii="Times New Roman" w:hAnsi="Times New Roman"/>
          <w:bCs/>
          <w:kern w:val="2"/>
          <w:lang w:eastAsia="zh-CN"/>
        </w:rPr>
        <w:t>CO</w:t>
      </w:r>
      <w:r w:rsidRPr="00E67914">
        <w:rPr>
          <w:rFonts w:ascii="Times New Roman" w:hAnsi="Times New Roman"/>
          <w:bCs/>
          <w:kern w:val="2"/>
          <w:lang w:eastAsia="zh-CN"/>
        </w:rPr>
        <w:t>进入大气；</w:t>
      </w:r>
      <w:r w:rsidRPr="00E67914">
        <w:rPr>
          <w:rFonts w:cs="宋体" w:hint="eastAsia"/>
          <w:bCs/>
          <w:kern w:val="2"/>
          <w:lang w:eastAsia="zh-CN"/>
        </w:rPr>
        <w:t>②</w:t>
      </w:r>
      <w:r w:rsidRPr="00E67914">
        <w:rPr>
          <w:rFonts w:ascii="Times New Roman" w:hAnsi="Times New Roman"/>
          <w:bCs/>
          <w:kern w:val="2"/>
          <w:lang w:eastAsia="zh-CN"/>
        </w:rPr>
        <w:t>施工期柴油泄漏后，遇明火燃烧产生污染物</w:t>
      </w:r>
      <w:r w:rsidRPr="00E67914">
        <w:rPr>
          <w:rFonts w:ascii="Times New Roman" w:hAnsi="Times New Roman"/>
          <w:bCs/>
          <w:kern w:val="2"/>
          <w:lang w:eastAsia="zh-CN"/>
        </w:rPr>
        <w:t>CO</w:t>
      </w:r>
      <w:r w:rsidRPr="00E67914">
        <w:rPr>
          <w:rFonts w:ascii="Times New Roman" w:hAnsi="Times New Roman"/>
          <w:bCs/>
          <w:kern w:val="2"/>
          <w:lang w:eastAsia="zh-CN"/>
        </w:rPr>
        <w:t>进入大气；</w:t>
      </w:r>
      <w:r w:rsidRPr="00E67914">
        <w:rPr>
          <w:rFonts w:cs="宋体" w:hint="eastAsia"/>
          <w:bCs/>
          <w:kern w:val="2"/>
          <w:lang w:eastAsia="zh-CN"/>
        </w:rPr>
        <w:t>③</w:t>
      </w:r>
      <w:r w:rsidRPr="00E67914">
        <w:rPr>
          <w:rFonts w:ascii="Times New Roman" w:hAnsi="Times New Roman"/>
          <w:bCs/>
          <w:kern w:val="2"/>
          <w:lang w:eastAsia="zh-CN"/>
        </w:rPr>
        <w:t>试采过程站场或集输管线发生天然气泄漏后，遇明火燃烧产生污染物</w:t>
      </w:r>
      <w:r w:rsidRPr="00E67914">
        <w:rPr>
          <w:rFonts w:ascii="Times New Roman" w:hAnsi="Times New Roman"/>
          <w:bCs/>
          <w:kern w:val="2"/>
          <w:lang w:eastAsia="zh-CN"/>
        </w:rPr>
        <w:t>CO</w:t>
      </w:r>
      <w:r w:rsidRPr="00E67914">
        <w:rPr>
          <w:rFonts w:ascii="Times New Roman" w:hAnsi="Times New Roman"/>
          <w:bCs/>
          <w:kern w:val="2"/>
          <w:lang w:eastAsia="zh-CN"/>
        </w:rPr>
        <w:t>进入大气。</w:t>
      </w:r>
    </w:p>
    <w:p w14:paraId="42C31B9A"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6.3.3</w:t>
      </w:r>
      <w:r w:rsidRPr="00E67914">
        <w:rPr>
          <w:rFonts w:ascii="Times New Roman" w:eastAsia="黑体" w:hAnsi="Times New Roman"/>
          <w:b w:val="0"/>
          <w:sz w:val="24"/>
          <w:szCs w:val="24"/>
          <w:lang w:eastAsia="zh-CN"/>
        </w:rPr>
        <w:t>危险物质可能影响环境的途径</w:t>
      </w:r>
    </w:p>
    <w:p w14:paraId="5206BCC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通过以上物质识别、生产系统危险性识别过程可以看出，本项目涉及危险物质的向环境转移的途径主要有：</w:t>
      </w:r>
    </w:p>
    <w:p w14:paraId="67853CB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1</w:t>
      </w:r>
      <w:r w:rsidRPr="00E67914">
        <w:rPr>
          <w:rFonts w:ascii="Times New Roman" w:hAnsi="Times New Roman"/>
          <w:bCs/>
          <w:kern w:val="2"/>
          <w:lang w:eastAsia="zh-CN"/>
        </w:rPr>
        <w:t>）井场发生井喷后，天然气进入大气对环境空气的影响；</w:t>
      </w:r>
    </w:p>
    <w:p w14:paraId="7D762BB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2</w:t>
      </w:r>
      <w:r w:rsidRPr="00E67914">
        <w:rPr>
          <w:rFonts w:ascii="Times New Roman" w:hAnsi="Times New Roman"/>
          <w:bCs/>
          <w:kern w:val="2"/>
          <w:lang w:eastAsia="zh-CN"/>
        </w:rPr>
        <w:t>）井漏如果发生在含水层，则泄漏的泥浆可能会污染含水层；</w:t>
      </w:r>
    </w:p>
    <w:p w14:paraId="3976F38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3</w:t>
      </w:r>
      <w:r w:rsidRPr="00E67914">
        <w:rPr>
          <w:rFonts w:ascii="Times New Roman" w:hAnsi="Times New Roman"/>
          <w:bCs/>
          <w:kern w:val="2"/>
          <w:lang w:eastAsia="zh-CN"/>
        </w:rPr>
        <w:t>）柴油泄漏可能污染土壤、地表水和地下水；</w:t>
      </w:r>
    </w:p>
    <w:p w14:paraId="23694DC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4</w:t>
      </w:r>
      <w:r w:rsidRPr="00E67914">
        <w:rPr>
          <w:rFonts w:ascii="Times New Roman" w:hAnsi="Times New Roman"/>
          <w:bCs/>
          <w:kern w:val="2"/>
          <w:lang w:eastAsia="zh-CN"/>
        </w:rPr>
        <w:t>）钻井泥浆、压裂液泄漏可能污染地表水、地下水及土壤；</w:t>
      </w:r>
    </w:p>
    <w:p w14:paraId="19DA571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5</w:t>
      </w:r>
      <w:r w:rsidRPr="00E67914">
        <w:rPr>
          <w:rFonts w:ascii="Times New Roman" w:hAnsi="Times New Roman"/>
          <w:bCs/>
          <w:kern w:val="2"/>
          <w:lang w:eastAsia="zh-CN"/>
        </w:rPr>
        <w:t>）井场、放喷池、站场废水泄漏可能污染地表水、地下水及土壤；</w:t>
      </w:r>
    </w:p>
    <w:p w14:paraId="684BC7D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6</w:t>
      </w:r>
      <w:r w:rsidRPr="00E67914">
        <w:rPr>
          <w:rFonts w:ascii="Times New Roman" w:hAnsi="Times New Roman"/>
          <w:bCs/>
          <w:kern w:val="2"/>
          <w:lang w:eastAsia="zh-CN"/>
        </w:rPr>
        <w:t>）废水转运过程发生泄漏可能污染地表水、地下水及土壤；</w:t>
      </w:r>
    </w:p>
    <w:p w14:paraId="3E3FB0E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7</w:t>
      </w:r>
      <w:r w:rsidRPr="00E67914">
        <w:rPr>
          <w:rFonts w:ascii="Times New Roman" w:hAnsi="Times New Roman"/>
          <w:bCs/>
          <w:kern w:val="2"/>
          <w:lang w:eastAsia="zh-CN"/>
        </w:rPr>
        <w:t>）试采站场及集输管线发生天然气泄漏对环境空气的影响；</w:t>
      </w:r>
    </w:p>
    <w:p w14:paraId="2C7216D6" w14:textId="1BEF41CB"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8</w:t>
      </w:r>
      <w:r w:rsidRPr="00E67914">
        <w:rPr>
          <w:rFonts w:ascii="Times New Roman" w:hAnsi="Times New Roman"/>
          <w:bCs/>
          <w:kern w:val="2"/>
          <w:lang w:eastAsia="zh-CN"/>
        </w:rPr>
        <w:t>）天然气、</w:t>
      </w:r>
      <w:r w:rsidR="00381658" w:rsidRPr="00E67914">
        <w:rPr>
          <w:rFonts w:ascii="Times New Roman" w:hAnsi="Times New Roman"/>
          <w:bCs/>
          <w:kern w:val="2"/>
          <w:lang w:eastAsia="zh-CN"/>
        </w:rPr>
        <w:t>凝析油、白油、</w:t>
      </w:r>
      <w:r w:rsidRPr="00E67914">
        <w:rPr>
          <w:rFonts w:ascii="Times New Roman" w:hAnsi="Times New Roman"/>
          <w:bCs/>
          <w:kern w:val="2"/>
          <w:lang w:eastAsia="zh-CN"/>
        </w:rPr>
        <w:t>柴油泄漏后，遇明火燃烧次生污染物</w:t>
      </w:r>
      <w:r w:rsidRPr="00E67914">
        <w:rPr>
          <w:rFonts w:ascii="Times New Roman" w:hAnsi="Times New Roman"/>
          <w:bCs/>
          <w:kern w:val="2"/>
          <w:lang w:eastAsia="zh-CN"/>
        </w:rPr>
        <w:t>CO</w:t>
      </w:r>
      <w:r w:rsidRPr="00E67914">
        <w:rPr>
          <w:rFonts w:ascii="Times New Roman" w:hAnsi="Times New Roman"/>
          <w:bCs/>
          <w:kern w:val="2"/>
          <w:lang w:eastAsia="zh-CN"/>
        </w:rPr>
        <w:t>进入大气对环境空气的影响。</w:t>
      </w:r>
    </w:p>
    <w:p w14:paraId="2FE2DAD2" w14:textId="77777777" w:rsidR="00A54A8A" w:rsidRPr="00E67914" w:rsidRDefault="00000000">
      <w:pPr>
        <w:pStyle w:val="2"/>
        <w:ind w:firstLine="480"/>
        <w:rPr>
          <w:szCs w:val="24"/>
          <w:lang w:eastAsia="zh-CN"/>
        </w:rPr>
      </w:pPr>
      <w:bookmarkStart w:id="180" w:name="_Toc474725972"/>
      <w:bookmarkStart w:id="181" w:name="_Toc148654237"/>
      <w:r w:rsidRPr="00E67914">
        <w:rPr>
          <w:szCs w:val="24"/>
          <w:lang w:eastAsia="zh-CN"/>
        </w:rPr>
        <w:t>6.4</w:t>
      </w:r>
      <w:r w:rsidRPr="00E67914">
        <w:rPr>
          <w:szCs w:val="24"/>
          <w:lang w:eastAsia="zh-CN"/>
        </w:rPr>
        <w:t>环境风险分析</w:t>
      </w:r>
      <w:bookmarkEnd w:id="180"/>
      <w:bookmarkEnd w:id="181"/>
    </w:p>
    <w:p w14:paraId="2CF18448"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 xml:space="preserve">6.4.1 </w:t>
      </w:r>
      <w:r w:rsidRPr="00E67914">
        <w:rPr>
          <w:rFonts w:ascii="Times New Roman" w:eastAsia="黑体" w:hAnsi="Times New Roman"/>
          <w:b w:val="0"/>
          <w:sz w:val="24"/>
          <w:szCs w:val="24"/>
          <w:lang w:eastAsia="zh-CN"/>
        </w:rPr>
        <w:t>井喷失控环境风险分析</w:t>
      </w:r>
    </w:p>
    <w:p w14:paraId="486C776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天然气在钻探作业过程中发生泄漏后的影响后果严重，即井喷失控、着火爆炸是钻井工作中最重大的危险。</w:t>
      </w:r>
    </w:p>
    <w:p w14:paraId="042D7B9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其中可能造成最大危害的是井喷失控喷射出的天然气遇火燃烧爆炸，造成冲击波和热辐射伤人、伤亡事故。根据《含硫化氢天然气井失控井口点火时间规定》（</w:t>
      </w:r>
      <w:r w:rsidRPr="00E67914">
        <w:rPr>
          <w:rFonts w:ascii="Times New Roman" w:hAnsi="Times New Roman"/>
          <w:bCs/>
          <w:kern w:val="2"/>
          <w:lang w:eastAsia="zh-CN"/>
        </w:rPr>
        <w:t>AQ2016-2008</w:t>
      </w:r>
      <w:r w:rsidRPr="00E67914">
        <w:rPr>
          <w:rFonts w:ascii="Times New Roman" w:hAnsi="Times New Roman"/>
          <w:bCs/>
          <w:kern w:val="2"/>
          <w:lang w:eastAsia="zh-CN"/>
        </w:rPr>
        <w:t>）和本项目钻井工程设计资料，钻井现场配备自动、手动和高压高能电子点火三套独立点火系统，按照中石化集团公司对发生井喷环境风险事故时的井控管理要求，</w:t>
      </w:r>
      <w:r w:rsidRPr="00E67914">
        <w:rPr>
          <w:rFonts w:ascii="Times New Roman" w:hAnsi="Times New Roman"/>
          <w:bCs/>
          <w:kern w:val="2"/>
          <w:lang w:eastAsia="zh-CN"/>
        </w:rPr>
        <w:t>“</w:t>
      </w:r>
      <w:r w:rsidRPr="00E67914">
        <w:rPr>
          <w:rFonts w:ascii="Times New Roman" w:hAnsi="Times New Roman"/>
          <w:bCs/>
          <w:kern w:val="2"/>
          <w:lang w:eastAsia="zh-CN"/>
        </w:rPr>
        <w:t>在出现井喷事故征兆时，现场作业人员应立即进行点火准备工作</w:t>
      </w:r>
      <w:r w:rsidRPr="00E67914">
        <w:rPr>
          <w:rFonts w:ascii="Times New Roman" w:hAnsi="Times New Roman"/>
          <w:bCs/>
          <w:kern w:val="2"/>
          <w:lang w:eastAsia="zh-CN"/>
        </w:rPr>
        <w:t>”</w:t>
      </w:r>
      <w:r w:rsidRPr="00E67914">
        <w:rPr>
          <w:rFonts w:ascii="Times New Roman" w:hAnsi="Times New Roman"/>
          <w:bCs/>
          <w:kern w:val="2"/>
          <w:lang w:eastAsia="zh-CN"/>
        </w:rPr>
        <w:t>；在符合下述条件之一时，须在</w:t>
      </w:r>
      <w:r w:rsidRPr="00E67914">
        <w:rPr>
          <w:rFonts w:ascii="Times New Roman" w:hAnsi="Times New Roman"/>
          <w:bCs/>
          <w:kern w:val="2"/>
          <w:lang w:eastAsia="zh-CN"/>
        </w:rPr>
        <w:t>5min</w:t>
      </w:r>
      <w:r w:rsidRPr="00E67914">
        <w:rPr>
          <w:rFonts w:ascii="Times New Roman" w:hAnsi="Times New Roman"/>
          <w:bCs/>
          <w:kern w:val="2"/>
          <w:lang w:eastAsia="zh-CN"/>
        </w:rPr>
        <w:t>内实施井口点火：</w:t>
      </w:r>
      <w:r w:rsidRPr="00E67914">
        <w:rPr>
          <w:rFonts w:cs="宋体" w:hint="eastAsia"/>
          <w:bCs/>
          <w:kern w:val="2"/>
          <w:lang w:eastAsia="zh-CN"/>
        </w:rPr>
        <w:t>①</w:t>
      </w:r>
      <w:r w:rsidRPr="00E67914">
        <w:rPr>
          <w:rFonts w:ascii="Times New Roman" w:hAnsi="Times New Roman"/>
          <w:bCs/>
          <w:kern w:val="2"/>
          <w:lang w:eastAsia="zh-CN"/>
        </w:rPr>
        <w:t>“</w:t>
      </w:r>
      <w:r w:rsidRPr="00E67914">
        <w:rPr>
          <w:rFonts w:ascii="Times New Roman" w:hAnsi="Times New Roman"/>
          <w:bCs/>
          <w:kern w:val="2"/>
          <w:lang w:eastAsia="zh-CN"/>
        </w:rPr>
        <w:t>气井发生井喷失控，且距井口</w:t>
      </w:r>
      <w:r w:rsidRPr="00E67914">
        <w:rPr>
          <w:rFonts w:ascii="Times New Roman" w:hAnsi="Times New Roman"/>
          <w:bCs/>
          <w:kern w:val="2"/>
          <w:lang w:eastAsia="zh-CN"/>
        </w:rPr>
        <w:t>500m</w:t>
      </w:r>
      <w:r w:rsidRPr="00E67914">
        <w:rPr>
          <w:rFonts w:ascii="Times New Roman" w:hAnsi="Times New Roman"/>
          <w:bCs/>
          <w:kern w:val="2"/>
          <w:lang w:eastAsia="zh-CN"/>
        </w:rPr>
        <w:t>范围内存在未撤离的公众；</w:t>
      </w:r>
      <w:r w:rsidRPr="00E67914">
        <w:rPr>
          <w:rFonts w:cs="宋体" w:hint="eastAsia"/>
          <w:bCs/>
          <w:kern w:val="2"/>
          <w:lang w:eastAsia="zh-CN"/>
        </w:rPr>
        <w:t>②</w:t>
      </w:r>
      <w:r w:rsidRPr="00E67914">
        <w:rPr>
          <w:rFonts w:ascii="Times New Roman" w:hAnsi="Times New Roman"/>
          <w:bCs/>
          <w:kern w:val="2"/>
          <w:lang w:eastAsia="zh-CN"/>
        </w:rPr>
        <w:t>距井口</w:t>
      </w:r>
      <w:r w:rsidRPr="00E67914">
        <w:rPr>
          <w:rFonts w:ascii="Times New Roman" w:hAnsi="Times New Roman"/>
          <w:bCs/>
          <w:kern w:val="2"/>
          <w:lang w:eastAsia="zh-CN"/>
        </w:rPr>
        <w:t>500m</w:t>
      </w:r>
      <w:r w:rsidRPr="00E67914">
        <w:rPr>
          <w:rFonts w:ascii="Times New Roman" w:hAnsi="Times New Roman"/>
          <w:bCs/>
          <w:kern w:val="2"/>
          <w:lang w:eastAsia="zh-CN"/>
        </w:rPr>
        <w:t>范围内居民点的</w:t>
      </w:r>
      <w:r w:rsidRPr="00E67914">
        <w:rPr>
          <w:rFonts w:ascii="Times New Roman" w:hAnsi="Times New Roman"/>
          <w:bCs/>
          <w:kern w:val="2"/>
          <w:lang w:eastAsia="zh-CN"/>
        </w:rPr>
        <w:t>H</w:t>
      </w:r>
      <w:r w:rsidRPr="00E67914">
        <w:rPr>
          <w:rFonts w:ascii="Times New Roman" w:hAnsi="Times New Roman"/>
          <w:bCs/>
          <w:kern w:val="2"/>
          <w:vertAlign w:val="subscript"/>
          <w:lang w:eastAsia="zh-CN"/>
        </w:rPr>
        <w:t>2</w:t>
      </w:r>
      <w:r w:rsidRPr="00E67914">
        <w:rPr>
          <w:rFonts w:ascii="Times New Roman" w:hAnsi="Times New Roman"/>
          <w:bCs/>
          <w:kern w:val="2"/>
          <w:lang w:eastAsia="zh-CN"/>
        </w:rPr>
        <w:t>S</w:t>
      </w:r>
      <w:r w:rsidRPr="00E67914">
        <w:rPr>
          <w:rFonts w:ascii="Times New Roman" w:hAnsi="Times New Roman"/>
          <w:bCs/>
          <w:kern w:val="2"/>
          <w:lang w:eastAsia="zh-CN"/>
        </w:rPr>
        <w:t>在</w:t>
      </w:r>
      <w:r w:rsidRPr="00E67914">
        <w:rPr>
          <w:rFonts w:ascii="Times New Roman" w:hAnsi="Times New Roman"/>
          <w:bCs/>
          <w:kern w:val="2"/>
          <w:lang w:eastAsia="zh-CN"/>
        </w:rPr>
        <w:t>3min</w:t>
      </w:r>
      <w:r w:rsidRPr="00E67914">
        <w:rPr>
          <w:rFonts w:ascii="Times New Roman" w:hAnsi="Times New Roman"/>
          <w:bCs/>
          <w:kern w:val="2"/>
          <w:lang w:eastAsia="zh-CN"/>
        </w:rPr>
        <w:t>平均监测浓度达到</w:t>
      </w:r>
      <w:r w:rsidRPr="00E67914">
        <w:rPr>
          <w:rFonts w:ascii="Times New Roman" w:hAnsi="Times New Roman"/>
          <w:bCs/>
          <w:kern w:val="2"/>
          <w:lang w:eastAsia="zh-CN"/>
        </w:rPr>
        <w:t>100ppm</w:t>
      </w:r>
      <w:r w:rsidRPr="00E67914">
        <w:rPr>
          <w:rFonts w:ascii="Times New Roman" w:hAnsi="Times New Roman"/>
          <w:bCs/>
          <w:kern w:val="2"/>
          <w:lang w:eastAsia="zh-CN"/>
        </w:rPr>
        <w:t>，且存在无防护措施的公众；</w:t>
      </w:r>
      <w:r w:rsidRPr="00E67914">
        <w:rPr>
          <w:rFonts w:cs="宋体" w:hint="eastAsia"/>
          <w:bCs/>
          <w:kern w:val="2"/>
          <w:lang w:eastAsia="zh-CN"/>
        </w:rPr>
        <w:t>③</w:t>
      </w:r>
      <w:r w:rsidRPr="00E67914">
        <w:rPr>
          <w:rFonts w:ascii="Times New Roman" w:hAnsi="Times New Roman"/>
          <w:bCs/>
          <w:kern w:val="2"/>
          <w:lang w:eastAsia="zh-CN"/>
        </w:rPr>
        <w:t>井场周边</w:t>
      </w:r>
      <w:r w:rsidRPr="00E67914">
        <w:rPr>
          <w:rFonts w:ascii="Times New Roman" w:hAnsi="Times New Roman"/>
          <w:bCs/>
          <w:kern w:val="2"/>
          <w:lang w:eastAsia="zh-CN"/>
        </w:rPr>
        <w:t>1000</w:t>
      </w:r>
      <w:r w:rsidRPr="00E67914">
        <w:rPr>
          <w:rFonts w:ascii="Times New Roman" w:hAnsi="Times New Roman"/>
          <w:bCs/>
          <w:kern w:val="2"/>
          <w:lang w:eastAsia="zh-CN"/>
        </w:rPr>
        <w:t>米范围内无有效的</w:t>
      </w:r>
      <w:r w:rsidRPr="00E67914">
        <w:rPr>
          <w:rFonts w:ascii="Times New Roman" w:hAnsi="Times New Roman"/>
          <w:bCs/>
          <w:kern w:val="2"/>
          <w:lang w:eastAsia="zh-CN"/>
        </w:rPr>
        <w:t>H</w:t>
      </w:r>
      <w:r w:rsidRPr="00E67914">
        <w:rPr>
          <w:rFonts w:ascii="Times New Roman" w:hAnsi="Times New Roman"/>
          <w:bCs/>
          <w:kern w:val="2"/>
          <w:vertAlign w:val="subscript"/>
          <w:lang w:eastAsia="zh-CN"/>
        </w:rPr>
        <w:t>2</w:t>
      </w:r>
      <w:r w:rsidRPr="00E67914">
        <w:rPr>
          <w:rFonts w:ascii="Times New Roman" w:hAnsi="Times New Roman"/>
          <w:bCs/>
          <w:kern w:val="2"/>
          <w:lang w:eastAsia="zh-CN"/>
        </w:rPr>
        <w:t>S</w:t>
      </w:r>
      <w:r w:rsidRPr="00E67914">
        <w:rPr>
          <w:rFonts w:ascii="Times New Roman" w:hAnsi="Times New Roman"/>
          <w:bCs/>
          <w:kern w:val="2"/>
          <w:lang w:eastAsia="zh-CN"/>
        </w:rPr>
        <w:t>监测手段</w:t>
      </w:r>
      <w:r w:rsidRPr="00E67914">
        <w:rPr>
          <w:rFonts w:ascii="Times New Roman" w:hAnsi="Times New Roman"/>
          <w:bCs/>
          <w:kern w:val="2"/>
          <w:lang w:eastAsia="zh-CN"/>
        </w:rPr>
        <w:t>”</w:t>
      </w:r>
      <w:r w:rsidRPr="00E67914">
        <w:rPr>
          <w:rFonts w:ascii="Times New Roman" w:hAnsi="Times New Roman"/>
          <w:bCs/>
          <w:kern w:val="2"/>
          <w:lang w:eastAsia="zh-CN"/>
        </w:rPr>
        <w:t>。</w:t>
      </w:r>
    </w:p>
    <w:p w14:paraId="5FEA38A6"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本项目预计不含硫化氢，井口周边</w:t>
      </w:r>
      <w:r w:rsidRPr="00E67914">
        <w:rPr>
          <w:rFonts w:ascii="Times New Roman" w:hAnsi="Times New Roman"/>
          <w:bCs/>
          <w:kern w:val="2"/>
          <w:lang w:eastAsia="zh-CN"/>
        </w:rPr>
        <w:t>500m</w:t>
      </w:r>
      <w:r w:rsidRPr="00E67914">
        <w:rPr>
          <w:rFonts w:ascii="Times New Roman" w:hAnsi="Times New Roman"/>
          <w:bCs/>
          <w:kern w:val="2"/>
          <w:lang w:eastAsia="zh-CN"/>
        </w:rPr>
        <w:t>范围内有分散居民，事故状态下应在</w:t>
      </w:r>
      <w:r w:rsidRPr="00E67914">
        <w:rPr>
          <w:rFonts w:ascii="Times New Roman" w:hAnsi="Times New Roman"/>
          <w:bCs/>
          <w:kern w:val="2"/>
          <w:lang w:eastAsia="zh-CN"/>
        </w:rPr>
        <w:t>5min</w:t>
      </w:r>
      <w:r w:rsidRPr="00E67914">
        <w:rPr>
          <w:rFonts w:ascii="Times New Roman" w:hAnsi="Times New Roman"/>
          <w:bCs/>
          <w:kern w:val="2"/>
          <w:lang w:eastAsia="zh-CN"/>
        </w:rPr>
        <w:t>内启动点火程序实施点火。井场内同时配备自动、手动和高压高能电子点火三套独立点火系统，可有效确保按要求在井喷失控后</w:t>
      </w:r>
      <w:r w:rsidRPr="00E67914">
        <w:rPr>
          <w:rFonts w:ascii="Times New Roman" w:hAnsi="Times New Roman"/>
          <w:bCs/>
          <w:kern w:val="2"/>
          <w:lang w:eastAsia="zh-CN"/>
        </w:rPr>
        <w:t>5min</w:t>
      </w:r>
      <w:r w:rsidRPr="00E67914">
        <w:rPr>
          <w:rFonts w:ascii="Times New Roman" w:hAnsi="Times New Roman"/>
          <w:bCs/>
          <w:kern w:val="2"/>
          <w:lang w:eastAsia="zh-CN"/>
        </w:rPr>
        <w:t>内成功实施点火作业。</w:t>
      </w:r>
    </w:p>
    <w:p w14:paraId="378C2361"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 xml:space="preserve">6.4.2 </w:t>
      </w:r>
      <w:r w:rsidRPr="00E67914">
        <w:rPr>
          <w:rFonts w:ascii="Times New Roman" w:eastAsia="黑体" w:hAnsi="Times New Roman"/>
          <w:b w:val="0"/>
          <w:sz w:val="24"/>
          <w:szCs w:val="24"/>
          <w:lang w:eastAsia="zh-CN"/>
        </w:rPr>
        <w:t>钻井过程中地层间气体涌出</w:t>
      </w:r>
    </w:p>
    <w:p w14:paraId="1636095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现阶段钻井情况，所穿地层可能含不连续可燃气体，属于浅层气。钻井过程中地层之间的气体如果出气量较大，则会引发气体溢流。钻井过程中钻遇的层间气体可能含有硫化氢，当钻井设备测量到硫化氢气体后，立刻关闭防喷器，避免气体溢出，如气量较大，则引至放喷池点燃，如气量较小，往钻井液中配加氢氧化钠进行中和，从而消除钻井过程中硫化氢气体的影响。</w:t>
      </w:r>
    </w:p>
    <w:p w14:paraId="32123FC7"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 xml:space="preserve">6.4.3 </w:t>
      </w:r>
      <w:r w:rsidRPr="00E67914">
        <w:rPr>
          <w:rFonts w:ascii="Times New Roman" w:eastAsia="黑体" w:hAnsi="Times New Roman"/>
          <w:b w:val="0"/>
          <w:sz w:val="24"/>
          <w:szCs w:val="24"/>
          <w:lang w:eastAsia="zh-CN"/>
        </w:rPr>
        <w:t>套管破裂天然气窜层泄漏进入地表环境风险影响分析</w:t>
      </w:r>
    </w:p>
    <w:p w14:paraId="01258CF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套管破裂在钻井中出现的几率非常小，在严把质量关的前提下发生该事故的几率极其小。由于通过地下岩层的阻隔，事故发生后窜层泄漏进入地表的量、压力、速率比井喷量小很多，影响程度比井喷小很多。但出现的泄漏点多，出现位置不能进行有效预测，但主要在井口周边地带，泄漏范围在井口外</w:t>
      </w:r>
      <w:r w:rsidRPr="00E67914">
        <w:rPr>
          <w:rFonts w:ascii="Times New Roman" w:hAnsi="Times New Roman"/>
          <w:bCs/>
          <w:kern w:val="2"/>
          <w:lang w:eastAsia="zh-CN"/>
        </w:rPr>
        <w:t>1km</w:t>
      </w:r>
      <w:r w:rsidRPr="00E67914">
        <w:rPr>
          <w:rFonts w:ascii="Times New Roman" w:hAnsi="Times New Roman"/>
          <w:bCs/>
          <w:kern w:val="2"/>
          <w:lang w:eastAsia="zh-CN"/>
        </w:rPr>
        <w:t>范围内。由于该井目的层预计不含硫化氢，泄漏点主要表现为可燃气体的泄漏遇火爆炸环境风险，形成的爆炸冲击波较井喷失控时甲烷扩散遇火爆炸形成的爆炸冲击波影响小得多。</w:t>
      </w:r>
    </w:p>
    <w:p w14:paraId="189D80C7"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 xml:space="preserve">6.4.4 </w:t>
      </w:r>
      <w:r w:rsidRPr="00E67914">
        <w:rPr>
          <w:rFonts w:ascii="Times New Roman" w:eastAsia="黑体" w:hAnsi="Times New Roman"/>
          <w:b w:val="0"/>
          <w:sz w:val="24"/>
          <w:szCs w:val="24"/>
          <w:lang w:eastAsia="zh-CN"/>
        </w:rPr>
        <w:t>钻井辅助设施环境风险识别</w:t>
      </w:r>
    </w:p>
    <w:p w14:paraId="6D6209BD" w14:textId="1B8BB2D7" w:rsidR="00A54A8A" w:rsidRPr="00E67914" w:rsidRDefault="00996ADA">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压裂液储罐、废水罐、放喷池等在遇雨季和山洪暴发，引起池体垮塌或溢流将引起周边土壤污染。柴油、压裂返排液、水基钻井液及油基钻井液拉运至井场过程中出现交通事故可能引起水体、土壤污染。水池中污水所含的其他有机处理剂使水体的</w:t>
      </w:r>
      <w:r w:rsidRPr="00E67914">
        <w:rPr>
          <w:rFonts w:ascii="Times New Roman" w:hAnsi="Times New Roman"/>
          <w:bCs/>
          <w:kern w:val="2"/>
          <w:lang w:eastAsia="zh-CN"/>
        </w:rPr>
        <w:t>COD</w:t>
      </w:r>
      <w:r w:rsidRPr="00E67914">
        <w:rPr>
          <w:rFonts w:ascii="Times New Roman" w:hAnsi="Times New Roman"/>
          <w:bCs/>
          <w:kern w:val="2"/>
          <w:lang w:eastAsia="zh-CN"/>
        </w:rPr>
        <w:t>、</w:t>
      </w:r>
      <w:r w:rsidRPr="00E67914">
        <w:rPr>
          <w:rFonts w:ascii="Times New Roman" w:hAnsi="Times New Roman"/>
          <w:bCs/>
          <w:kern w:val="2"/>
          <w:lang w:eastAsia="zh-CN"/>
        </w:rPr>
        <w:t>SS</w:t>
      </w:r>
      <w:r w:rsidRPr="00E67914">
        <w:rPr>
          <w:rFonts w:ascii="Times New Roman" w:hAnsi="Times New Roman"/>
          <w:bCs/>
          <w:kern w:val="2"/>
          <w:lang w:eastAsia="zh-CN"/>
        </w:rPr>
        <w:t>增高，水体污染会对地势低于水池的水环境产生破坏，破坏农作物和影响土壤质量，同时会对坡面的地表植被和土壤产生影响。</w:t>
      </w:r>
    </w:p>
    <w:p w14:paraId="651C8CE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中的柴油及油基钻井液的拉运车辆均为特种车辆拉运，且均外委具有相应资质的单位运输到到场，按照各自行业规范防范环境风险的发生，为此本评价不再详细分析其运输到用户过程中的车辆环境风险防范措施。</w:t>
      </w:r>
    </w:p>
    <w:p w14:paraId="1355AE05"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 xml:space="preserve">6.4.5 </w:t>
      </w:r>
      <w:r w:rsidRPr="00E67914">
        <w:rPr>
          <w:rFonts w:ascii="Times New Roman" w:eastAsia="黑体" w:hAnsi="Times New Roman"/>
          <w:b w:val="0"/>
          <w:sz w:val="24"/>
          <w:szCs w:val="24"/>
          <w:lang w:eastAsia="zh-CN"/>
        </w:rPr>
        <w:t>地下水井涌事故风险影响分析</w:t>
      </w:r>
    </w:p>
    <w:p w14:paraId="5901A93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钻井过程中，钻遇含水地层时，易发生含压地下水涌出地表，从而发生地下水及钻井液污染地表水体的情况发生。在钻井液钻井过程中发生井涌，混合钻井液的地下水涌出地表流入地表水体，会造成一定的污染。</w:t>
      </w:r>
    </w:p>
    <w:p w14:paraId="2FC5940C" w14:textId="51A9B3CA"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 xml:space="preserve">6.4.6 </w:t>
      </w:r>
      <w:r w:rsidRPr="00E67914">
        <w:rPr>
          <w:rFonts w:ascii="Times New Roman" w:eastAsia="黑体" w:hAnsi="Times New Roman"/>
          <w:b w:val="0"/>
          <w:sz w:val="24"/>
          <w:szCs w:val="24"/>
          <w:lang w:eastAsia="zh-CN"/>
        </w:rPr>
        <w:t>柴油罐、油基钻井液储备罐</w:t>
      </w:r>
      <w:r w:rsidR="00996ADA" w:rsidRPr="00E67914">
        <w:rPr>
          <w:rFonts w:ascii="Times New Roman" w:eastAsia="黑体" w:hAnsi="Times New Roman"/>
          <w:b w:val="0"/>
          <w:sz w:val="24"/>
          <w:szCs w:val="24"/>
          <w:lang w:eastAsia="zh-CN"/>
        </w:rPr>
        <w:t>、凝析油罐</w:t>
      </w:r>
      <w:r w:rsidRPr="00E67914">
        <w:rPr>
          <w:rFonts w:ascii="Times New Roman" w:eastAsia="黑体" w:hAnsi="Times New Roman"/>
          <w:b w:val="0"/>
          <w:sz w:val="24"/>
          <w:szCs w:val="24"/>
          <w:lang w:eastAsia="zh-CN"/>
        </w:rPr>
        <w:t>事故影响分析</w:t>
      </w:r>
    </w:p>
    <w:p w14:paraId="49CD6DDF" w14:textId="77990D95"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柴油罐、油基钻井液储备罐</w:t>
      </w:r>
      <w:r w:rsidR="00996ADA" w:rsidRPr="00E67914">
        <w:rPr>
          <w:rFonts w:ascii="Times New Roman" w:hAnsi="Times New Roman"/>
          <w:bCs/>
          <w:kern w:val="2"/>
          <w:lang w:eastAsia="zh-CN"/>
        </w:rPr>
        <w:t>、凝析油罐</w:t>
      </w:r>
      <w:r w:rsidRPr="00E67914">
        <w:rPr>
          <w:rFonts w:ascii="Times New Roman" w:hAnsi="Times New Roman"/>
          <w:bCs/>
          <w:kern w:val="2"/>
          <w:lang w:eastAsia="zh-CN"/>
        </w:rPr>
        <w:t>布置在井场地势较高处，风险影响主要是罐体区泄漏的火灾爆炸。油罐设置在水泥基础上，基础周边设置围堰。</w:t>
      </w:r>
      <w:r w:rsidRPr="00E67914">
        <w:rPr>
          <w:rFonts w:ascii="Times New Roman" w:hAnsi="Times New Roman"/>
          <w:bCs/>
          <w:kern w:val="2"/>
          <w:lang w:eastAsia="zh-CN"/>
        </w:rPr>
        <w:lastRenderedPageBreak/>
        <w:t>油罐密闭，柴油</w:t>
      </w:r>
      <w:r w:rsidR="00996ADA" w:rsidRPr="00E67914">
        <w:rPr>
          <w:rFonts w:ascii="Times New Roman" w:hAnsi="Times New Roman"/>
          <w:bCs/>
          <w:kern w:val="2"/>
          <w:lang w:eastAsia="zh-CN"/>
        </w:rPr>
        <w:t>、凝析油</w:t>
      </w:r>
      <w:r w:rsidRPr="00E67914">
        <w:rPr>
          <w:rFonts w:ascii="Times New Roman" w:hAnsi="Times New Roman"/>
          <w:bCs/>
          <w:kern w:val="2"/>
          <w:lang w:eastAsia="zh-CN"/>
        </w:rPr>
        <w:t>发生大量泄漏的几率很小，一般情况管道阀门泄漏，少量跑冒漏滴均收集在隔油池内，可有效进行防止污染。罐体破裂导致柴油</w:t>
      </w:r>
      <w:r w:rsidR="00996ADA" w:rsidRPr="00E67914">
        <w:rPr>
          <w:rFonts w:ascii="Times New Roman" w:hAnsi="Times New Roman"/>
          <w:bCs/>
          <w:kern w:val="2"/>
          <w:lang w:eastAsia="zh-CN"/>
        </w:rPr>
        <w:t>、凝析油</w:t>
      </w:r>
      <w:r w:rsidRPr="00E67914">
        <w:rPr>
          <w:rFonts w:ascii="Times New Roman" w:hAnsi="Times New Roman"/>
          <w:bCs/>
          <w:kern w:val="2"/>
          <w:lang w:eastAsia="zh-CN"/>
        </w:rPr>
        <w:t>大量泄漏的机率很小，一旦产生废油</w:t>
      </w:r>
      <w:r w:rsidR="00996ADA" w:rsidRPr="00E67914">
        <w:rPr>
          <w:rFonts w:ascii="Times New Roman" w:hAnsi="Times New Roman"/>
          <w:bCs/>
          <w:kern w:val="2"/>
          <w:lang w:eastAsia="zh-CN"/>
        </w:rPr>
        <w:t>、凝析油</w:t>
      </w:r>
      <w:r w:rsidRPr="00E67914">
        <w:rPr>
          <w:rFonts w:ascii="Times New Roman" w:hAnsi="Times New Roman"/>
          <w:bCs/>
          <w:kern w:val="2"/>
          <w:lang w:eastAsia="zh-CN"/>
        </w:rPr>
        <w:t>泄漏主要污染罐体周边旱地土壤，根据周边地势，主要流入旱地或水田，对旱地、水田土壤造成污染，造成经济影响。</w:t>
      </w:r>
    </w:p>
    <w:p w14:paraId="68FCD1DC"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 xml:space="preserve">6.4.7 </w:t>
      </w:r>
      <w:r w:rsidRPr="00E67914">
        <w:rPr>
          <w:rFonts w:ascii="Times New Roman" w:eastAsia="黑体" w:hAnsi="Times New Roman"/>
          <w:b w:val="0"/>
          <w:sz w:val="24"/>
          <w:szCs w:val="24"/>
          <w:lang w:eastAsia="zh-CN"/>
        </w:rPr>
        <w:t>废水转运事故影响分析</w:t>
      </w:r>
    </w:p>
    <w:p w14:paraId="460BDA8F" w14:textId="627C63D2"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钻井废水暂存于清洁生产操作平台的废水罐内，</w:t>
      </w:r>
      <w:r w:rsidR="006956BC" w:rsidRPr="00E67914">
        <w:rPr>
          <w:rFonts w:ascii="Times New Roman" w:hAnsi="Times New Roman"/>
          <w:bCs/>
          <w:kern w:val="2"/>
          <w:lang w:eastAsia="zh-CN"/>
        </w:rPr>
        <w:t>定期</w:t>
      </w:r>
      <w:r w:rsidRPr="00E67914">
        <w:rPr>
          <w:rFonts w:ascii="Times New Roman" w:hAnsi="Times New Roman"/>
          <w:bCs/>
          <w:kern w:val="2"/>
          <w:lang w:eastAsia="zh-CN"/>
        </w:rPr>
        <w:t>装车拉运至普光</w:t>
      </w:r>
      <w:r w:rsidRPr="00E67914">
        <w:rPr>
          <w:rFonts w:ascii="Times New Roman" w:hAnsi="Times New Roman"/>
          <w:bCs/>
          <w:kern w:val="2"/>
          <w:lang w:eastAsia="zh-CN"/>
        </w:rPr>
        <w:t>11</w:t>
      </w:r>
      <w:r w:rsidRPr="00E67914">
        <w:rPr>
          <w:rFonts w:ascii="Times New Roman" w:hAnsi="Times New Roman"/>
          <w:bCs/>
          <w:kern w:val="2"/>
          <w:lang w:eastAsia="zh-CN"/>
        </w:rPr>
        <w:t>井回注站回注；压裂废水和洗井废水暂存于放喷池，装车拉运至赵家坝污水处理站达标后管输至普光</w:t>
      </w:r>
      <w:r w:rsidRPr="00E67914">
        <w:rPr>
          <w:rFonts w:ascii="Times New Roman" w:hAnsi="Times New Roman"/>
          <w:bCs/>
          <w:kern w:val="2"/>
          <w:lang w:eastAsia="zh-CN"/>
        </w:rPr>
        <w:t>11</w:t>
      </w:r>
      <w:r w:rsidRPr="00E67914">
        <w:rPr>
          <w:rFonts w:ascii="Times New Roman" w:hAnsi="Times New Roman"/>
          <w:bCs/>
          <w:kern w:val="2"/>
          <w:lang w:eastAsia="zh-CN"/>
        </w:rPr>
        <w:t>井回注站回注；采出水（气田水）暂存于</w:t>
      </w:r>
      <w:r w:rsidR="00A9536E" w:rsidRPr="00E67914">
        <w:rPr>
          <w:rFonts w:ascii="Times New Roman" w:hAnsi="Times New Roman"/>
          <w:bCs/>
          <w:kern w:val="2"/>
          <w:lang w:eastAsia="zh-CN"/>
        </w:rPr>
        <w:t>放空分液罐、采出水罐</w:t>
      </w:r>
      <w:r w:rsidRPr="00E67914">
        <w:rPr>
          <w:rFonts w:ascii="Times New Roman" w:hAnsi="Times New Roman"/>
          <w:bCs/>
          <w:kern w:val="2"/>
          <w:lang w:eastAsia="zh-CN"/>
        </w:rPr>
        <w:t>，装车拉运至赵家坝污水处理站达标后管输至普光</w:t>
      </w:r>
      <w:r w:rsidRPr="00E67914">
        <w:rPr>
          <w:rFonts w:ascii="Times New Roman" w:hAnsi="Times New Roman"/>
          <w:bCs/>
          <w:kern w:val="2"/>
          <w:lang w:eastAsia="zh-CN"/>
        </w:rPr>
        <w:t>11</w:t>
      </w:r>
      <w:r w:rsidRPr="00E67914">
        <w:rPr>
          <w:rFonts w:ascii="Times New Roman" w:hAnsi="Times New Roman"/>
          <w:bCs/>
          <w:kern w:val="2"/>
          <w:lang w:eastAsia="zh-CN"/>
        </w:rPr>
        <w:t>井回注站回注。</w:t>
      </w:r>
    </w:p>
    <w:p w14:paraId="4FCC8088" w14:textId="129B6011"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经调查，运输路线主要沿现有乡村道路、县道、国道等运输，现有道路路况较好，沿线环境保护目标主要为道路两侧居民及途经的地表水体，主要跨越</w:t>
      </w:r>
      <w:r w:rsidR="000736F8" w:rsidRPr="00E67914">
        <w:rPr>
          <w:rFonts w:ascii="Times New Roman" w:hAnsi="Times New Roman"/>
          <w:bCs/>
          <w:kern w:val="2"/>
          <w:lang w:eastAsia="zh-CN"/>
        </w:rPr>
        <w:t>后</w:t>
      </w:r>
      <w:r w:rsidRPr="00E67914">
        <w:rPr>
          <w:rFonts w:ascii="Times New Roman" w:hAnsi="Times New Roman"/>
          <w:bCs/>
          <w:kern w:val="2"/>
          <w:lang w:eastAsia="zh-CN"/>
        </w:rPr>
        <w:t>河，跨越点下游</w:t>
      </w:r>
      <w:r w:rsidRPr="00E67914">
        <w:rPr>
          <w:rFonts w:ascii="Times New Roman" w:hAnsi="Times New Roman"/>
          <w:bCs/>
          <w:kern w:val="2"/>
          <w:lang w:eastAsia="zh-CN"/>
        </w:rPr>
        <w:t>10km</w:t>
      </w:r>
      <w:r w:rsidRPr="00E67914">
        <w:rPr>
          <w:rFonts w:ascii="Times New Roman" w:hAnsi="Times New Roman"/>
          <w:bCs/>
          <w:kern w:val="2"/>
          <w:lang w:eastAsia="zh-CN"/>
        </w:rPr>
        <w:t>范围内均无集中式饮用水源取水口。运输单位应当根据物品危险特性采取相应的安全防护措施，并配备必要的防溢、防漏、防晒等防护用品和应急救援器材，转运时应避开大雾、暴雨等恶劣天气，在车辆行驶在乌江段旁边时，应减速慢行，观察并安全通过。</w:t>
      </w:r>
    </w:p>
    <w:p w14:paraId="736BC06A"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本项目废水转运罐体为钢板密封罐，发生翻车泄漏的几率很小，罐车转运过程中发生事故污染的可能性极小，加强转运风险防范措施后，其环境风险在环境可防可控。</w:t>
      </w:r>
    </w:p>
    <w:p w14:paraId="07C188A4"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 xml:space="preserve">6.4.8 </w:t>
      </w:r>
      <w:r w:rsidRPr="00E67914">
        <w:rPr>
          <w:rFonts w:ascii="Times New Roman" w:eastAsia="黑体" w:hAnsi="Times New Roman"/>
          <w:b w:val="0"/>
          <w:sz w:val="24"/>
          <w:szCs w:val="24"/>
          <w:lang w:eastAsia="zh-CN"/>
        </w:rPr>
        <w:t>集输过程中环境风险分析</w:t>
      </w:r>
    </w:p>
    <w:p w14:paraId="26A39ED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1</w:t>
      </w:r>
      <w:r w:rsidRPr="00E67914">
        <w:rPr>
          <w:rFonts w:ascii="Times New Roman" w:hAnsi="Times New Roman"/>
          <w:bCs/>
          <w:kern w:val="2"/>
          <w:lang w:eastAsia="zh-CN"/>
        </w:rPr>
        <w:t>）甲烷泄漏环境风险分析</w:t>
      </w:r>
    </w:p>
    <w:p w14:paraId="6E1299B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在集输过程中，若发生甲烷泄漏事故时，会进入周边环境，造成大气污染。当空气中甲烷浓度达</w:t>
      </w:r>
      <w:r w:rsidRPr="00E67914">
        <w:rPr>
          <w:rFonts w:ascii="Times New Roman" w:hAnsi="Times New Roman"/>
          <w:bCs/>
          <w:kern w:val="2"/>
          <w:lang w:eastAsia="zh-CN"/>
        </w:rPr>
        <w:t>25%~30%</w:t>
      </w:r>
      <w:r w:rsidRPr="00E67914">
        <w:rPr>
          <w:rFonts w:ascii="Times New Roman" w:hAnsi="Times New Roman"/>
          <w:bCs/>
          <w:kern w:val="2"/>
          <w:lang w:eastAsia="zh-CN"/>
        </w:rPr>
        <w:t>时，将造成人体不适，甚至窒息死亡。当甲烷浓度到达爆炸极限时，会发生爆炸，引发火灾，造成人员和财产损失。爆炸和火灾引发的有毒有害气体和烟尘会破坏植被、污染土壤，对周边生态环境和居民健康产生不利影响。</w:t>
      </w:r>
    </w:p>
    <w:p w14:paraId="5A9EFC7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2</w:t>
      </w:r>
      <w:r w:rsidRPr="00E67914">
        <w:rPr>
          <w:rFonts w:ascii="Times New Roman" w:hAnsi="Times New Roman"/>
          <w:bCs/>
          <w:kern w:val="2"/>
          <w:lang w:eastAsia="zh-CN"/>
        </w:rPr>
        <w:t>）采气分离废水泄漏污染水环境</w:t>
      </w:r>
    </w:p>
    <w:p w14:paraId="2048EB2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根据前述非正常工况下采气分离废水泄漏对地下水环境影响预测可知，本项目采气分离废水泄漏对站场周边地下水水质有一定影响。运营期建设单位应加强巡检，及时采取补救措施。</w:t>
      </w:r>
    </w:p>
    <w:p w14:paraId="2872034C" w14:textId="77777777" w:rsidR="00A54A8A" w:rsidRPr="00E67914" w:rsidRDefault="00000000">
      <w:pPr>
        <w:pStyle w:val="2"/>
        <w:ind w:firstLine="480"/>
        <w:rPr>
          <w:szCs w:val="24"/>
          <w:lang w:eastAsia="zh-CN"/>
        </w:rPr>
      </w:pPr>
      <w:bookmarkStart w:id="182" w:name="5.3.5环境风险防范措施及应急要求"/>
      <w:bookmarkStart w:id="183" w:name="_Toc148654238"/>
      <w:bookmarkEnd w:id="182"/>
      <w:r w:rsidRPr="00E67914">
        <w:rPr>
          <w:szCs w:val="24"/>
          <w:lang w:eastAsia="zh-CN"/>
        </w:rPr>
        <w:lastRenderedPageBreak/>
        <w:t>6.5</w:t>
      </w:r>
      <w:r w:rsidRPr="00E67914">
        <w:rPr>
          <w:szCs w:val="24"/>
          <w:lang w:eastAsia="zh-CN"/>
        </w:rPr>
        <w:t>环境风险防范措施</w:t>
      </w:r>
      <w:bookmarkEnd w:id="183"/>
    </w:p>
    <w:p w14:paraId="38F54311"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6.5.1</w:t>
      </w:r>
      <w:r w:rsidRPr="00E67914">
        <w:rPr>
          <w:rFonts w:ascii="Times New Roman" w:eastAsia="黑体" w:hAnsi="Times New Roman"/>
          <w:b w:val="0"/>
          <w:sz w:val="24"/>
          <w:szCs w:val="24"/>
          <w:lang w:eastAsia="zh-CN"/>
        </w:rPr>
        <w:t>钻井过程风险防范措施</w:t>
      </w:r>
    </w:p>
    <w:p w14:paraId="341AAF74"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kern w:val="2"/>
          <w:lang w:eastAsia="zh-CN"/>
        </w:rPr>
      </w:pPr>
      <w:r w:rsidRPr="00E67914">
        <w:rPr>
          <w:rFonts w:ascii="Times New Roman" w:hAnsi="Times New Roman"/>
          <w:b/>
          <w:kern w:val="2"/>
          <w:lang w:eastAsia="zh-CN"/>
        </w:rPr>
        <w:t>（</w:t>
      </w:r>
      <w:r w:rsidRPr="00E67914">
        <w:rPr>
          <w:rFonts w:ascii="Times New Roman" w:hAnsi="Times New Roman"/>
          <w:b/>
          <w:kern w:val="2"/>
          <w:lang w:eastAsia="zh-CN"/>
        </w:rPr>
        <w:t>1</w:t>
      </w:r>
      <w:r w:rsidRPr="00E67914">
        <w:rPr>
          <w:rFonts w:ascii="Times New Roman" w:hAnsi="Times New Roman"/>
          <w:b/>
          <w:kern w:val="2"/>
          <w:lang w:eastAsia="zh-CN"/>
        </w:rPr>
        <w:t>）施工设计中的防井喷措施</w:t>
      </w:r>
    </w:p>
    <w:p w14:paraId="7EC9CB88" w14:textId="4DE92A86"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1</w:t>
      </w:r>
      <w:r w:rsidRPr="00E67914">
        <w:rPr>
          <w:rFonts w:ascii="Times New Roman" w:hAnsi="Times New Roman"/>
          <w:bCs/>
          <w:kern w:val="2"/>
          <w:lang w:eastAsia="zh-CN"/>
        </w:rPr>
        <w:t>）选择合理的压井液。新井投产和试气施工应参照钻穿气层时钻井泥浆性能，认真选择合理的压井液，避免因压井液性能达不到施工要求而造成井喷污染；</w:t>
      </w:r>
      <w:r w:rsidRPr="00E67914">
        <w:rPr>
          <w:rFonts w:ascii="Times New Roman" w:hAnsi="Times New Roman"/>
          <w:bCs/>
          <w:kern w:val="2"/>
          <w:lang w:eastAsia="zh-CN"/>
        </w:rPr>
        <w:t xml:space="preserve"> </w:t>
      </w:r>
    </w:p>
    <w:p w14:paraId="1E920AC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2</w:t>
      </w:r>
      <w:r w:rsidRPr="00E67914">
        <w:rPr>
          <w:rFonts w:ascii="Times New Roman" w:hAnsi="Times New Roman"/>
          <w:bCs/>
          <w:kern w:val="2"/>
          <w:lang w:eastAsia="zh-CN"/>
        </w:rPr>
        <w:t>）选择合理的射孔方式；</w:t>
      </w:r>
      <w:r w:rsidRPr="00E67914">
        <w:rPr>
          <w:rFonts w:ascii="Times New Roman" w:hAnsi="Times New Roman"/>
          <w:bCs/>
          <w:kern w:val="2"/>
          <w:lang w:eastAsia="zh-CN"/>
        </w:rPr>
        <w:t xml:space="preserve"> </w:t>
      </w:r>
    </w:p>
    <w:p w14:paraId="63B557FA" w14:textId="05114221"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3</w:t>
      </w:r>
      <w:r w:rsidRPr="00E67914">
        <w:rPr>
          <w:rFonts w:ascii="Times New Roman" w:hAnsi="Times New Roman"/>
          <w:bCs/>
          <w:kern w:val="2"/>
          <w:lang w:eastAsia="zh-CN"/>
        </w:rPr>
        <w:t>）规定上提钻具的速度，井内下有大直径工具（工具外径超过油层套管内径</w:t>
      </w:r>
      <w:r w:rsidRPr="00E67914">
        <w:rPr>
          <w:rFonts w:ascii="Times New Roman" w:hAnsi="Times New Roman"/>
          <w:bCs/>
          <w:kern w:val="2"/>
          <w:lang w:eastAsia="zh-CN"/>
        </w:rPr>
        <w:t>80%</w:t>
      </w:r>
      <w:r w:rsidRPr="00E67914">
        <w:rPr>
          <w:rFonts w:ascii="Times New Roman" w:hAnsi="Times New Roman"/>
          <w:bCs/>
          <w:kern w:val="2"/>
          <w:lang w:eastAsia="zh-CN"/>
        </w:rPr>
        <w:t>以上）的井，严禁高速起钻，防止因高速起钻引起抽汲作用造成井喷污染；</w:t>
      </w:r>
    </w:p>
    <w:p w14:paraId="3EFCF52D"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4</w:t>
      </w:r>
      <w:r w:rsidRPr="00E67914">
        <w:rPr>
          <w:rFonts w:ascii="Times New Roman" w:hAnsi="Times New Roman"/>
          <w:bCs/>
          <w:kern w:val="2"/>
          <w:lang w:eastAsia="zh-CN"/>
        </w:rPr>
        <w:t>）对防喷装置的配备要有明确要求；</w:t>
      </w:r>
      <w:r w:rsidRPr="00E67914">
        <w:rPr>
          <w:rFonts w:ascii="Times New Roman" w:hAnsi="Times New Roman"/>
          <w:bCs/>
          <w:kern w:val="2"/>
          <w:lang w:eastAsia="zh-CN"/>
        </w:rPr>
        <w:t xml:space="preserve"> </w:t>
      </w:r>
    </w:p>
    <w:p w14:paraId="095693A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5</w:t>
      </w:r>
      <w:r w:rsidRPr="00E67914">
        <w:rPr>
          <w:rFonts w:ascii="Times New Roman" w:hAnsi="Times New Roman"/>
          <w:bCs/>
          <w:kern w:val="2"/>
          <w:lang w:eastAsia="zh-CN"/>
        </w:rPr>
        <w:t>）选择使用有利于防止和控制井喷的井下管柱和工具，以适应突发事故的处理和补救措施的需要。</w:t>
      </w:r>
      <w:r w:rsidRPr="00E67914">
        <w:rPr>
          <w:rFonts w:ascii="Times New Roman" w:hAnsi="Times New Roman"/>
          <w:bCs/>
          <w:kern w:val="2"/>
          <w:lang w:eastAsia="zh-CN"/>
        </w:rPr>
        <w:t xml:space="preserve"> </w:t>
      </w:r>
    </w:p>
    <w:p w14:paraId="596AE1AE"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2</w:t>
      </w:r>
      <w:r w:rsidRPr="00E67914">
        <w:rPr>
          <w:rFonts w:ascii="Times New Roman" w:hAnsi="Times New Roman"/>
          <w:b/>
          <w:bCs/>
          <w:sz w:val="24"/>
          <w:lang w:eastAsia="zh-CN"/>
        </w:rPr>
        <w:t>）钻井作业中的井喷防范措施</w:t>
      </w:r>
    </w:p>
    <w:p w14:paraId="7460A7A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施工单位应按《石油天然气钻井健康、安全与环境管理体系指南》（</w:t>
      </w:r>
      <w:r w:rsidRPr="00E67914">
        <w:rPr>
          <w:rFonts w:ascii="Times New Roman" w:hAnsi="Times New Roman"/>
          <w:sz w:val="24"/>
          <w:lang w:eastAsia="zh-CN"/>
        </w:rPr>
        <w:t>SY/T6283-1997</w:t>
      </w:r>
      <w:r w:rsidRPr="00E67914">
        <w:rPr>
          <w:rFonts w:ascii="Times New Roman" w:hAnsi="Times New Roman"/>
          <w:sz w:val="24"/>
          <w:lang w:eastAsia="zh-CN"/>
        </w:rPr>
        <w:t>）、中国石油天然气集团公司《石油天然气钻井作业健康、安全与环境管理导则》及相关的井控技术标准和规范中的有关规定执行，并针对本工程情况制定具体的可操作的实施方案，主要包括：</w:t>
      </w:r>
    </w:p>
    <w:p w14:paraId="3B0C8A8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）开钻前向全队职工、钻井现场的所有工作人员进行地质、工程、钻井液和井控装备等方面的技术交底，并提出具体要求；</w:t>
      </w:r>
    </w:p>
    <w:p w14:paraId="6B2B6DB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）严格执行井控工作九项管理制度，落实溢流监测岗位、关井操作岗位和钻井队干部</w:t>
      </w:r>
      <w:r w:rsidRPr="00E67914">
        <w:rPr>
          <w:rFonts w:ascii="Times New Roman" w:hAnsi="Times New Roman"/>
          <w:sz w:val="24"/>
          <w:lang w:eastAsia="zh-CN"/>
        </w:rPr>
        <w:t>24h</w:t>
      </w:r>
      <w:r w:rsidRPr="00E67914">
        <w:rPr>
          <w:rFonts w:ascii="Times New Roman" w:hAnsi="Times New Roman"/>
          <w:sz w:val="24"/>
          <w:lang w:eastAsia="zh-CN"/>
        </w:rPr>
        <w:t>值班制度，井控准备工作及应急预案必须经验收合格后，方可钻开油气层；</w:t>
      </w:r>
    </w:p>
    <w:p w14:paraId="7C1D6F1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）种井控装备及其它专用工具、消防器材、防爆电路系统配备齐全、运转正常；</w:t>
      </w:r>
    </w:p>
    <w:p w14:paraId="103C467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）每次起钻前必须活动方钻杆上、下旋塞一次，以保证其正常可靠；</w:t>
      </w:r>
    </w:p>
    <w:p w14:paraId="7366F24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5</w:t>
      </w:r>
      <w:r w:rsidRPr="00E67914">
        <w:rPr>
          <w:rFonts w:ascii="Times New Roman" w:hAnsi="Times New Roman"/>
          <w:sz w:val="24"/>
          <w:lang w:eastAsia="zh-CN"/>
        </w:rPr>
        <w:t>）气层钻进中，必须在近钻头位置安装钻具回压阀，同时钻台上配备一只与钻具尺寸相符的回压阀，且备有相应的抢接工具，在大门坡道上准备一根防喷单根（钻杆下部有与钻铤扣相符的配合接头）；</w:t>
      </w:r>
    </w:p>
    <w:p w14:paraId="4F6890F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6</w:t>
      </w:r>
      <w:r w:rsidRPr="00E67914">
        <w:rPr>
          <w:rFonts w:ascii="Times New Roman" w:hAnsi="Times New Roman"/>
          <w:sz w:val="24"/>
          <w:lang w:eastAsia="zh-CN"/>
        </w:rPr>
        <w:t>）按班组进行防喷演习，并达到规定要求；</w:t>
      </w:r>
    </w:p>
    <w:p w14:paraId="798E163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7</w:t>
      </w:r>
      <w:r w:rsidRPr="00E67914">
        <w:rPr>
          <w:rFonts w:ascii="Times New Roman" w:hAnsi="Times New Roman"/>
          <w:sz w:val="24"/>
          <w:lang w:eastAsia="zh-CN"/>
        </w:rPr>
        <w:t>）严格落实坐岗制度，无论钻井还是起下钻，或其它辅助作业，钻井班落实专人坐岗观察钻井液池液面变化和钻井液出口情况，录井人员除了在仪表上观察外，还对钻井液池液面变化和钻井液出口进行定时观察，定时测量进出口钻井液性能，两个岗都必须作好真实准确记录，值班干部必须对上述两个岗位工作情况进行定时和不定时检查，并当班签认；</w:t>
      </w:r>
    </w:p>
    <w:p w14:paraId="5AF6340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8</w:t>
      </w:r>
      <w:r w:rsidRPr="00E67914">
        <w:rPr>
          <w:rFonts w:ascii="Times New Roman" w:hAnsi="Times New Roman"/>
          <w:sz w:val="24"/>
          <w:lang w:eastAsia="zh-CN"/>
        </w:rPr>
        <w:t>）认真搞好随钻地层压力的监测工作中，发现地层压力异常、溢流、井涌等情况，应及时关井并调整钻井液密度，同时上报有关部门；</w:t>
      </w:r>
    </w:p>
    <w:p w14:paraId="323810C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9</w:t>
      </w:r>
      <w:r w:rsidRPr="00E67914">
        <w:rPr>
          <w:rFonts w:ascii="Times New Roman" w:hAnsi="Times New Roman"/>
          <w:sz w:val="24"/>
          <w:lang w:eastAsia="zh-CN"/>
        </w:rPr>
        <w:t>）严格控制起下钻速度，起钻必须按规定灌满钻井液；</w:t>
      </w:r>
    </w:p>
    <w:p w14:paraId="2BE82FE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10</w:t>
      </w:r>
      <w:r w:rsidRPr="00E67914">
        <w:rPr>
          <w:rFonts w:ascii="Times New Roman" w:hAnsi="Times New Roman"/>
          <w:sz w:val="24"/>
          <w:lang w:eastAsia="zh-CN"/>
        </w:rPr>
        <w:t>）加强井场设备的运行、保养和检查，保证设备的正常运行，设备检修必须按有关规定执行；</w:t>
      </w:r>
    </w:p>
    <w:p w14:paraId="0583998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11</w:t>
      </w:r>
      <w:r w:rsidRPr="00E67914">
        <w:rPr>
          <w:rFonts w:ascii="Times New Roman" w:hAnsi="Times New Roman"/>
          <w:sz w:val="24"/>
          <w:lang w:eastAsia="zh-CN"/>
        </w:rPr>
        <w:t>）钻井中遇到钻速突然加快、放散、井漏、气测及油气水显示异常等情况，应立即停钻观察，如发生溢流要按规定及时发出报警信号，并按正确的关井程序及时关井，关井求压后迅速实施压井作业；</w:t>
      </w:r>
    </w:p>
    <w:p w14:paraId="24A672C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12</w:t>
      </w:r>
      <w:r w:rsidRPr="00E67914">
        <w:rPr>
          <w:rFonts w:ascii="Times New Roman" w:hAnsi="Times New Roman"/>
          <w:sz w:val="24"/>
          <w:lang w:eastAsia="zh-CN"/>
        </w:rPr>
        <w:t>）发生溢流后，根据关井压力，尽快在井口、地层和套管安全条件下压井，待井内平稳后才恢复钻井；</w:t>
      </w:r>
    </w:p>
    <w:p w14:paraId="208D9A0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13</w:t>
      </w:r>
      <w:r w:rsidRPr="00E67914">
        <w:rPr>
          <w:rFonts w:ascii="Times New Roman" w:hAnsi="Times New Roman"/>
          <w:sz w:val="24"/>
          <w:lang w:eastAsia="zh-CN"/>
        </w:rPr>
        <w:t>）关井压力不得超过井口装置的工作压力、套管抗内压强度的</w:t>
      </w:r>
      <w:r w:rsidRPr="00E67914">
        <w:rPr>
          <w:rFonts w:ascii="Times New Roman" w:hAnsi="Times New Roman"/>
          <w:sz w:val="24"/>
          <w:lang w:eastAsia="zh-CN"/>
        </w:rPr>
        <w:t>80</w:t>
      </w:r>
      <w:r w:rsidRPr="00E67914">
        <w:rPr>
          <w:rFonts w:ascii="Times New Roman" w:hAnsi="Times New Roman"/>
          <w:sz w:val="24"/>
          <w:lang w:eastAsia="zh-CN"/>
        </w:rPr>
        <w:t>％和地层破裂压力三者中的最小值；</w:t>
      </w:r>
    </w:p>
    <w:p w14:paraId="735BBE2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14</w:t>
      </w:r>
      <w:r w:rsidRPr="00E67914">
        <w:rPr>
          <w:rFonts w:ascii="Times New Roman" w:hAnsi="Times New Roman"/>
          <w:sz w:val="24"/>
          <w:lang w:eastAsia="zh-CN"/>
        </w:rPr>
        <w:t>）强化员工的爱岗敬业教育，严格执行项操作规程，确保钻井作业过程中不因操作失误导致井喷事故的发生。</w:t>
      </w:r>
    </w:p>
    <w:p w14:paraId="219C0CA2"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3</w:t>
      </w:r>
      <w:r w:rsidRPr="00E67914">
        <w:rPr>
          <w:rFonts w:ascii="Times New Roman" w:hAnsi="Times New Roman"/>
          <w:b/>
          <w:bCs/>
          <w:sz w:val="24"/>
          <w:lang w:eastAsia="zh-CN"/>
        </w:rPr>
        <w:t>）防井喷装置</w:t>
      </w:r>
    </w:p>
    <w:p w14:paraId="7A9D6A8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）以半封和全封防喷器为主体的防喷装置，包括高压闸门、自封、四通、套管头、过渡法兰等；</w:t>
      </w:r>
    </w:p>
    <w:p w14:paraId="040DC34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）以节流管汇为主体的井控管汇，包括放喷管线、压井管线等；</w:t>
      </w:r>
    </w:p>
    <w:p w14:paraId="1F09074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）井下管柱防喷工具，包括钻具、防喷单流阀等；</w:t>
      </w:r>
    </w:p>
    <w:p w14:paraId="386A21F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）具有净化、加大密度、原料储备及自动调配、自动灌装等功能的压井液储备系统；</w:t>
      </w:r>
    </w:p>
    <w:p w14:paraId="5AA6BAE7"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5</w:t>
      </w:r>
      <w:r w:rsidRPr="00E67914">
        <w:rPr>
          <w:rFonts w:ascii="Times New Roman" w:hAnsi="Times New Roman"/>
          <w:sz w:val="24"/>
          <w:lang w:eastAsia="zh-CN"/>
        </w:rPr>
        <w:t>）防止井喷失控的专用设备、设施，包括高压自封、不压井起下管柱装置等。</w:t>
      </w:r>
    </w:p>
    <w:p w14:paraId="495D2182"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bookmarkStart w:id="184" w:name="_Hlk88499419"/>
      <w:r w:rsidRPr="00E67914">
        <w:rPr>
          <w:rFonts w:ascii="Times New Roman" w:hAnsi="Times New Roman"/>
          <w:b/>
          <w:bCs/>
          <w:sz w:val="24"/>
          <w:lang w:eastAsia="zh-CN"/>
        </w:rPr>
        <w:t>（</w:t>
      </w:r>
      <w:r w:rsidRPr="00E67914">
        <w:rPr>
          <w:rFonts w:ascii="Times New Roman" w:hAnsi="Times New Roman"/>
          <w:b/>
          <w:bCs/>
          <w:sz w:val="24"/>
          <w:lang w:eastAsia="zh-CN"/>
        </w:rPr>
        <w:t>4</w:t>
      </w:r>
      <w:r w:rsidRPr="00E67914">
        <w:rPr>
          <w:rFonts w:ascii="Times New Roman" w:hAnsi="Times New Roman"/>
          <w:b/>
          <w:bCs/>
          <w:sz w:val="24"/>
          <w:lang w:eastAsia="zh-CN"/>
        </w:rPr>
        <w:t>）井喷前期气侵、井涌防范措施</w:t>
      </w:r>
    </w:p>
    <w:p w14:paraId="14DB602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1</w:t>
      </w:r>
      <w:r w:rsidRPr="00E67914">
        <w:rPr>
          <w:rFonts w:ascii="Times New Roman" w:hAnsi="Times New Roman"/>
          <w:sz w:val="24"/>
          <w:lang w:eastAsia="zh-CN"/>
        </w:rPr>
        <w:t>）选择合理的压井液。新井投产和试油、试气施工应参照钻穿油、气层时钻井泥浆性能，认真选择合理的压井液，避免因压井液性能达不到施工要求而造成井喷污染；</w:t>
      </w:r>
    </w:p>
    <w:p w14:paraId="3F048F8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）选择合理的射孔方式；</w:t>
      </w:r>
    </w:p>
    <w:p w14:paraId="2D034CA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）规定上提钻具的速度。井内下有大直径工具（工具外径超过油层套管内径</w:t>
      </w:r>
      <w:r w:rsidRPr="00E67914">
        <w:rPr>
          <w:rFonts w:ascii="Times New Roman" w:hAnsi="Times New Roman"/>
          <w:sz w:val="24"/>
          <w:lang w:eastAsia="zh-CN"/>
        </w:rPr>
        <w:t>80%</w:t>
      </w:r>
      <w:r w:rsidRPr="00E67914">
        <w:rPr>
          <w:rFonts w:ascii="Times New Roman" w:hAnsi="Times New Roman"/>
          <w:sz w:val="24"/>
          <w:lang w:eastAsia="zh-CN"/>
        </w:rPr>
        <w:t>以上）的井，严禁高速起钻，防止因高速起钻引起抽汲作用造成井喷污染；</w:t>
      </w:r>
    </w:p>
    <w:p w14:paraId="72A1040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）发生气侵时，及时检查调整钻井液密度，发现井涌时及时关泵压井。</w:t>
      </w:r>
    </w:p>
    <w:p w14:paraId="26254EF3"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5</w:t>
      </w:r>
      <w:r w:rsidRPr="00E67914">
        <w:rPr>
          <w:rFonts w:ascii="Times New Roman" w:hAnsi="Times New Roman"/>
          <w:b/>
          <w:bCs/>
          <w:sz w:val="24"/>
          <w:lang w:eastAsia="zh-CN"/>
        </w:rPr>
        <w:t>）钻开气层前验收</w:t>
      </w:r>
    </w:p>
    <w:p w14:paraId="00528D3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钻开气层时极容易发生井下事故从而导致环境污染事故。钻开气层前验收就是在钻开气层前对井队的安全和井控工作进行全面大检查，以消除事故隐患，实现安全生产和清洁生产。</w:t>
      </w:r>
    </w:p>
    <w:p w14:paraId="7A00D8D0"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6</w:t>
      </w:r>
      <w:r w:rsidRPr="00E67914">
        <w:rPr>
          <w:rFonts w:ascii="Times New Roman" w:hAnsi="Times New Roman"/>
          <w:b/>
          <w:bCs/>
          <w:sz w:val="24"/>
          <w:lang w:eastAsia="zh-CN"/>
        </w:rPr>
        <w:t>）钻井、完井防腐措施</w:t>
      </w:r>
    </w:p>
    <w:p w14:paraId="0D8A8F3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应加强油管腐蚀监测，掌握气井腐蚀状况，按井下作业流程检查油管腐蚀情况，记录每口作业井的油管腐蚀情况，根据井油管腐蚀情况进行专门的更换油管修井，以避免油管腐蚀穿孔、断落。</w:t>
      </w:r>
    </w:p>
    <w:p w14:paraId="17A5D9C6"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6.5.2</w:t>
      </w:r>
      <w:r w:rsidRPr="00E67914">
        <w:rPr>
          <w:rFonts w:ascii="Times New Roman" w:eastAsia="黑体" w:hAnsi="Times New Roman"/>
          <w:b w:val="0"/>
          <w:sz w:val="24"/>
          <w:szCs w:val="24"/>
          <w:lang w:eastAsia="zh-CN"/>
        </w:rPr>
        <w:t>废水、油类外溢或泄露等风险防范措施</w:t>
      </w:r>
    </w:p>
    <w:p w14:paraId="50A046C3" w14:textId="5C3F0851"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钻井期废水收集罐、试采期</w:t>
      </w:r>
      <w:r w:rsidR="00A9536E" w:rsidRPr="00E67914">
        <w:rPr>
          <w:rFonts w:ascii="Times New Roman" w:hAnsi="Times New Roman"/>
          <w:sz w:val="24"/>
          <w:lang w:eastAsia="zh-CN"/>
        </w:rPr>
        <w:t>放空分液罐、采出水罐</w:t>
      </w:r>
      <w:r w:rsidRPr="00E67914">
        <w:rPr>
          <w:rFonts w:ascii="Times New Roman" w:hAnsi="Times New Roman"/>
          <w:sz w:val="24"/>
          <w:lang w:eastAsia="zh-CN"/>
        </w:rPr>
        <w:t>通过设置围堰和防渗，放喷池通过加固池壁和防渗，降低垮塌风险；对井场排污沟及时清扫，保证排污沟畅通；集污坑和泥浆不落地装置加强保护管理，泥浆不落地装置设计时向集污坑倾斜，避免少量集水因围堰垮塌外流。由于项目区域地势高差较大，考虑到暴雨等情况下排水问题，建议对集污坑和泥浆不落地装置内集水进行及时清理，及时清掏，适当加大集污坑规格或者适当扩大其容量，确保集污坑有足够的容量，能够对初期雨水及时收集；加大外环沟和集水坑规格，外排沟系统应与周边泄洪沟有效连接，确保雨水能正常排放，不至于淹没井场；建议对井场雨水排放口（集水坑）进行适当扩建，对正常雨水进行隔油沉淀后外排。加强平时管理，保证放喷池、泥浆不落地装置的储罐内有足够空余容积，水位达到池体</w:t>
      </w:r>
      <w:r w:rsidRPr="00E67914">
        <w:rPr>
          <w:rFonts w:ascii="Times New Roman" w:hAnsi="Times New Roman"/>
          <w:sz w:val="24"/>
          <w:lang w:eastAsia="zh-CN"/>
        </w:rPr>
        <w:t>80%</w:t>
      </w:r>
      <w:r w:rsidRPr="00E67914">
        <w:rPr>
          <w:rFonts w:ascii="Times New Roman" w:hAnsi="Times New Roman"/>
          <w:sz w:val="24"/>
          <w:lang w:eastAsia="zh-CN"/>
        </w:rPr>
        <w:t>时应外运处理，可有效防止水体污染事故。若池体发生垮塌事故，立即封堵内外环沟与自然沟渠连通处，及时清理池内及排污沟内废水，池底废水清理完后立即重新修建池壁，并进一步加固。试采期站内</w:t>
      </w:r>
      <w:r w:rsidR="00A9536E" w:rsidRPr="00E67914">
        <w:rPr>
          <w:rFonts w:ascii="Times New Roman" w:hAnsi="Times New Roman"/>
          <w:sz w:val="24"/>
          <w:lang w:eastAsia="zh-CN"/>
        </w:rPr>
        <w:t>放空分液罐、采出</w:t>
      </w:r>
      <w:r w:rsidR="00A9536E" w:rsidRPr="00E67914">
        <w:rPr>
          <w:rFonts w:ascii="Times New Roman" w:hAnsi="Times New Roman"/>
          <w:sz w:val="24"/>
          <w:lang w:eastAsia="zh-CN"/>
        </w:rPr>
        <w:lastRenderedPageBreak/>
        <w:t>水罐</w:t>
      </w:r>
      <w:r w:rsidRPr="00E67914">
        <w:rPr>
          <w:rFonts w:ascii="Times New Roman" w:hAnsi="Times New Roman"/>
          <w:sz w:val="24"/>
          <w:lang w:eastAsia="zh-CN"/>
        </w:rPr>
        <w:t>安装溢外报警器，以便及时发现外溢情况。</w:t>
      </w:r>
      <w:r w:rsidR="00996ADA" w:rsidRPr="00E67914">
        <w:rPr>
          <w:rFonts w:ascii="Times New Roman" w:hAnsi="Times New Roman"/>
          <w:sz w:val="24"/>
          <w:lang w:eastAsia="zh-CN"/>
        </w:rPr>
        <w:t>凝析油罐区设置围堰，围堰容积不小于单个凝析油储罐的容积，且罐区架空设置，地面进行防渗处理。</w:t>
      </w:r>
    </w:p>
    <w:p w14:paraId="2FC78BC5"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6.5.3</w:t>
      </w:r>
      <w:r w:rsidRPr="00E67914">
        <w:rPr>
          <w:rFonts w:ascii="Times New Roman" w:eastAsia="黑体" w:hAnsi="Times New Roman"/>
          <w:b w:val="0"/>
          <w:sz w:val="24"/>
          <w:szCs w:val="24"/>
          <w:lang w:eastAsia="zh-CN"/>
        </w:rPr>
        <w:t>物质外运风险防范措施</w:t>
      </w:r>
    </w:p>
    <w:p w14:paraId="1549D1B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）废水、钻井固废转运单位在开展运输工作前，应对运输人员进行相关安全环保知识培训，运输车辆、装卸工具必须符合安全环保要求，装卸过程中不得溢出和泄漏。严禁随意倾倒、排放或者向第三方转移废水。</w:t>
      </w:r>
    </w:p>
    <w:p w14:paraId="4C00434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运输前规划运输路线，废水、钻井固废转运过程中应严格按照规定的路线运输到相应的目的地；运输过程中应尽量避开环境敏感区，遇环境敏感区需减速慢行，废水、钻井固废转运应建立交接三联单制度，确保废水运至相应的目的地。</w:t>
      </w:r>
    </w:p>
    <w:p w14:paraId="41230D0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）废水、钻井固废转运必须使用密闭的车辆运输，并确保运输车辆车况处于良好状态。</w:t>
      </w:r>
    </w:p>
    <w:p w14:paraId="78B6E15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）尽量避免雨天和大雾天运转废水。</w:t>
      </w:r>
    </w:p>
    <w:p w14:paraId="1AF08C3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5</w:t>
      </w:r>
      <w:r w:rsidRPr="00E67914">
        <w:rPr>
          <w:rFonts w:ascii="Times New Roman" w:hAnsi="Times New Roman"/>
          <w:sz w:val="24"/>
          <w:lang w:eastAsia="zh-CN"/>
        </w:rPr>
        <w:t>）本工程废水、钻井固废运输由专业单位负责实施，不得自行运输，也不得委托公司外其他单位运输。</w:t>
      </w:r>
    </w:p>
    <w:p w14:paraId="1941104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6</w:t>
      </w:r>
      <w:r w:rsidRPr="00E67914">
        <w:rPr>
          <w:rFonts w:ascii="Times New Roman" w:hAnsi="Times New Roman"/>
          <w:sz w:val="24"/>
          <w:lang w:eastAsia="zh-CN"/>
        </w:rPr>
        <w:t>）承包废水、钻井固废转运的承包商实施车辆登记制度，为每台车辆安装</w:t>
      </w:r>
      <w:r w:rsidRPr="00E67914">
        <w:rPr>
          <w:rFonts w:ascii="Times New Roman" w:hAnsi="Times New Roman"/>
          <w:sz w:val="24"/>
          <w:lang w:eastAsia="zh-CN"/>
        </w:rPr>
        <w:t>GPS</w:t>
      </w:r>
      <w:r w:rsidRPr="00E67914">
        <w:rPr>
          <w:rFonts w:ascii="Times New Roman" w:hAnsi="Times New Roman"/>
          <w:sz w:val="24"/>
          <w:lang w:eastAsia="zh-CN"/>
        </w:rPr>
        <w:t>系统，并纳入建设方的</w:t>
      </w:r>
      <w:r w:rsidRPr="00E67914">
        <w:rPr>
          <w:rFonts w:ascii="Times New Roman" w:hAnsi="Times New Roman"/>
          <w:sz w:val="24"/>
          <w:lang w:eastAsia="zh-CN"/>
        </w:rPr>
        <w:t>GPS</w:t>
      </w:r>
      <w:r w:rsidRPr="00E67914">
        <w:rPr>
          <w:rFonts w:ascii="Times New Roman" w:hAnsi="Times New Roman"/>
          <w:sz w:val="24"/>
          <w:lang w:eastAsia="zh-CN"/>
        </w:rPr>
        <w:t>监控系统平台，以便随时掌握废水、钻井固废运输车辆位置和行驶路线，确保废水、钻井固废转运至相应的目的地。</w:t>
      </w:r>
    </w:p>
    <w:p w14:paraId="7019260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7</w:t>
      </w:r>
      <w:r w:rsidRPr="00E67914">
        <w:rPr>
          <w:rFonts w:ascii="Times New Roman" w:hAnsi="Times New Roman"/>
          <w:sz w:val="24"/>
          <w:lang w:eastAsia="zh-CN"/>
        </w:rPr>
        <w:t>）废水、钻井固废运输车辆严格执行签认制度。签认单保存期不得少于二年，以便备查。</w:t>
      </w:r>
    </w:p>
    <w:p w14:paraId="0FD52FB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8</w:t>
      </w:r>
      <w:r w:rsidRPr="00E67914">
        <w:rPr>
          <w:rFonts w:ascii="Times New Roman" w:hAnsi="Times New Roman"/>
          <w:sz w:val="24"/>
          <w:lang w:eastAsia="zh-CN"/>
        </w:rPr>
        <w:t>）废水、钻井固废转运单位应做好应急管理工作，做好风险防范识别，编制生产废水、钻井固废运输应急预案，每次废水、钻井固废运输任务都应制定运输方案和应急措施，严禁超速超载，路过环境敏感区需减速慢性，安全驶离，强化运输过程的安全管理，防止因安全事故衍生成环保事故。</w:t>
      </w:r>
    </w:p>
    <w:p w14:paraId="0094507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9</w:t>
      </w:r>
      <w:r w:rsidRPr="00E67914">
        <w:rPr>
          <w:rFonts w:ascii="Times New Roman" w:hAnsi="Times New Roman"/>
          <w:sz w:val="24"/>
          <w:lang w:eastAsia="zh-CN"/>
        </w:rPr>
        <w:t>）废水、钻井固废产生单位和废水、钻井固废转运单位应建立健全管理制度和办法，加强与地方相关部门的联系和协调。废水运输过程中，废水、钻井固废产生单位、承运单位应做好相关记录，建立相关台账。在发生事故后应及时通报当地环保部门，并积极配合环保部门抢险。确保安全通过，同时要注意清洁运输，防止废水、钻井固废泄漏。</w:t>
      </w:r>
    </w:p>
    <w:p w14:paraId="54E03FB8"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6.5.4</w:t>
      </w:r>
      <w:r w:rsidRPr="00E67914">
        <w:rPr>
          <w:rFonts w:ascii="Times New Roman" w:eastAsia="黑体" w:hAnsi="Times New Roman"/>
          <w:b w:val="0"/>
          <w:sz w:val="24"/>
          <w:szCs w:val="24"/>
          <w:lang w:eastAsia="zh-CN"/>
        </w:rPr>
        <w:t>井漏防范措施</w:t>
      </w:r>
    </w:p>
    <w:p w14:paraId="39F9692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从钻井工艺上优化尽可能的减少井漏事故对当地地下水环境的影响，在钻遇地下溶洞等不良地质时，漏失仅引起地下水浊度等物理指标变化，且工程上会采取快速钻井快速下管的施工工艺，因此对地下水尤其是对地下水饮用水源或水井影响不大，尽管如此，仍提出如下预防和应急措施：</w:t>
      </w:r>
    </w:p>
    <w:p w14:paraId="30441DB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井场井站项目在施工建设前应充分研究地质设计资料和钻井等，有必要时应采取钻探等方法进行调查分析，查明项目所在地的地下水分布情况、埋藏深度及岩溶发育情况等，并在此基础上优化钻井施工工艺、泥浆体系等，对钻井过程中可能发生的泥浆漏失的情况，应有所预见。</w:t>
      </w:r>
    </w:p>
    <w:p w14:paraId="4035BF5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）采用强钻方式快速钻穿漏失层达到固井层位，针对这种情况应选用合理泥浆密度，实现近平衡压力钻井，降低泥浆环空压耗，降低泥浆激动压力，从而降低井筒中泥浆动压力，减小泥浆漏失量。</w:t>
      </w:r>
    </w:p>
    <w:p w14:paraId="68F9503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）对钻井体系进行实时监控，并配备足够的堵漏材料，一旦发现井漏，立即采取堵漏措施，在压裂过程亦需监控压裂液的漏失情况，以防止压裂液的扩散污染。</w:t>
      </w:r>
    </w:p>
    <w:p w14:paraId="3F87BE0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）若发现地下水受到污染，立即告知村民，定期进行监测，直至污染影响消失。</w:t>
      </w:r>
    </w:p>
    <w:bookmarkEnd w:id="184"/>
    <w:p w14:paraId="5592D1A9"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6.5.5</w:t>
      </w:r>
      <w:r w:rsidRPr="00E67914">
        <w:rPr>
          <w:rFonts w:ascii="Times New Roman" w:eastAsia="黑体" w:hAnsi="Times New Roman"/>
          <w:b w:val="0"/>
          <w:sz w:val="24"/>
          <w:szCs w:val="24"/>
          <w:lang w:eastAsia="zh-CN"/>
        </w:rPr>
        <w:t>套外返水事故防范</w:t>
      </w:r>
    </w:p>
    <w:p w14:paraId="7C82318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设计通过固井、水泥返至地面是防止套外返水的有效措施。固井质量的好坏是产生套管内外返水的控制因素。</w:t>
      </w:r>
    </w:p>
    <w:p w14:paraId="29B3394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施工单位应严格按照钻井行业固井作业规范进行，确保固井质量，避免和减少出现固井裂纹、缝隙、窜槽。加强套管的防腐，防止在运输、下套管，作业时对外表面防护层的磨损及套管与钻柱之间的内磨损。套管是油气与地下水隔离的屏障，要防止腐蚀和破损。</w:t>
      </w:r>
    </w:p>
    <w:p w14:paraId="5BA8160E"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6.5.6</w:t>
      </w:r>
      <w:r w:rsidRPr="00E67914">
        <w:rPr>
          <w:rFonts w:ascii="Times New Roman" w:eastAsia="黑体" w:hAnsi="Times New Roman"/>
          <w:b w:val="0"/>
          <w:sz w:val="24"/>
          <w:szCs w:val="24"/>
          <w:lang w:eastAsia="zh-CN"/>
        </w:rPr>
        <w:t>油类使用、储运过程中的风险防范措施</w:t>
      </w:r>
    </w:p>
    <w:p w14:paraId="5A62EDB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提高柴油危险性的认识。从柴油的燃烧爆炸危险性分析可以看出，正常条件下，如炎热干燥的天气、附近存在火源、工作中违章操作、油库的安全设备、设施配备不合理或管理使用不当等，都有可能将柴油引燃、引爆。</w:t>
      </w:r>
    </w:p>
    <w:p w14:paraId="2045EB5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）加强对柴油和废油的储存管理，应采取减少油品蒸发、防止形成爆炸性油品混合物的一次防护措施。工程采用柴油罐对柴油进行储存，确保呼吸阀、</w:t>
      </w:r>
      <w:r w:rsidRPr="00E67914">
        <w:rPr>
          <w:rFonts w:ascii="Times New Roman" w:hAnsi="Times New Roman"/>
          <w:sz w:val="24"/>
          <w:lang w:eastAsia="zh-CN"/>
        </w:rPr>
        <w:lastRenderedPageBreak/>
        <w:t>测量孔、接地装置等附件完整可靠，防止油气的产生和积聚。油罐区均设置有围堰，可防止油罐破损泄露的柴油污染地表土壤、地表水等。油罐区使用前底部及墙体内侧采用三油两布</w:t>
      </w:r>
      <w:r w:rsidRPr="00E67914">
        <w:rPr>
          <w:rFonts w:ascii="Times New Roman" w:hAnsi="Times New Roman"/>
          <w:sz w:val="24"/>
          <w:lang w:eastAsia="zh-CN"/>
        </w:rPr>
        <w:t>(</w:t>
      </w:r>
      <w:r w:rsidRPr="00E67914">
        <w:rPr>
          <w:rFonts w:ascii="Times New Roman" w:hAnsi="Times New Roman"/>
          <w:sz w:val="24"/>
          <w:lang w:eastAsia="zh-CN"/>
        </w:rPr>
        <w:t>沥青、玻璃纤维布</w:t>
      </w:r>
      <w:r w:rsidRPr="00E67914">
        <w:rPr>
          <w:rFonts w:ascii="Times New Roman" w:hAnsi="Times New Roman"/>
          <w:sz w:val="24"/>
          <w:lang w:eastAsia="zh-CN"/>
        </w:rPr>
        <w:t>)</w:t>
      </w:r>
      <w:r w:rsidRPr="00E67914">
        <w:rPr>
          <w:rFonts w:ascii="Times New Roman" w:hAnsi="Times New Roman"/>
          <w:sz w:val="24"/>
          <w:lang w:eastAsia="zh-CN"/>
        </w:rPr>
        <w:t>作防渗处理。油桶选择完好无损的油桶，置于防渗区，保持盖子紧盖，及时综合利用。</w:t>
      </w:r>
    </w:p>
    <w:p w14:paraId="3561E6A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）按照危险物品贮存场地相关要求，对柴油和废油储存和使用场所设置标识标牌。</w:t>
      </w:r>
    </w:p>
    <w:p w14:paraId="07DA9F8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柴油储存和使用场所要设置在通风条件较好的地势较高处，设置机械排风系统。柴油储存和使用场所内的通风、照明、通信、控制等电气设备的选型、安装、电力线路敷设等，必须符合现行国家标准《爆炸和火灾危险环境电力装置设计规范》的规定。加强油罐、油桶的管理及安全检查，防止发生结构安全事故引起重大泄露。</w:t>
      </w:r>
    </w:p>
    <w:p w14:paraId="69262E5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5</w:t>
      </w:r>
      <w:r w:rsidRPr="00E67914">
        <w:rPr>
          <w:rFonts w:ascii="Times New Roman" w:hAnsi="Times New Roman"/>
          <w:sz w:val="24"/>
          <w:lang w:eastAsia="zh-CN"/>
        </w:rPr>
        <w:t>）建设方将柴油和废油储存和运输列入环境事故应急处置预案，且应与当地政府的环境事故应急处置预案相衔接。</w:t>
      </w:r>
    </w:p>
    <w:p w14:paraId="78CBCF6F"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6.5.7</w:t>
      </w:r>
      <w:r w:rsidRPr="00E67914">
        <w:rPr>
          <w:rFonts w:ascii="Times New Roman" w:eastAsia="黑体" w:hAnsi="Times New Roman"/>
          <w:b w:val="0"/>
          <w:sz w:val="24"/>
          <w:szCs w:val="24"/>
          <w:lang w:eastAsia="zh-CN"/>
        </w:rPr>
        <w:t>试采工程风险防范措施</w:t>
      </w:r>
    </w:p>
    <w:p w14:paraId="3DE1D8C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场站应按配备足够数量的正压式空气呼吸器及空气呼吸器气瓶压力相应的空气压缩机等。配备相应的安全设施，如井口安全系统、放散系统、灭火器、消防砂池、警示标志、逃生门、防雷和防静电措施、报警系统、风向标、高音喇叭等。</w:t>
      </w:r>
    </w:p>
    <w:p w14:paraId="1C45084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）站场周围设置明显的安全警示标志，并告知附近居民可能性危险、危害及安全注意事项。调查附近居民分布情况，掌握有效的联系方式等。</w:t>
      </w:r>
    </w:p>
    <w:p w14:paraId="1F5C67E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）设备和管线焊接和检验，应符合相关标准和规范要求。</w:t>
      </w:r>
    </w:p>
    <w:p w14:paraId="370B2BB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）场站的建设和布局，应严格按照设计规范要求进行设计，确保站场安全。</w:t>
      </w:r>
    </w:p>
    <w:p w14:paraId="4299C02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5</w:t>
      </w:r>
      <w:r w:rsidRPr="00E67914">
        <w:rPr>
          <w:rFonts w:ascii="Times New Roman" w:hAnsi="Times New Roman"/>
          <w:sz w:val="24"/>
          <w:lang w:eastAsia="zh-CN"/>
        </w:rPr>
        <w:t>）结合站场可能发生的事故类型，编制详细的应急救援预案，有针对性地进行宣传，并定期演练。</w:t>
      </w:r>
    </w:p>
    <w:p w14:paraId="1F6EB2B4" w14:textId="79130E71"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6</w:t>
      </w:r>
      <w:r w:rsidRPr="00E67914">
        <w:rPr>
          <w:rFonts w:ascii="Times New Roman" w:hAnsi="Times New Roman"/>
          <w:sz w:val="24"/>
          <w:lang w:eastAsia="zh-CN"/>
        </w:rPr>
        <w:t>）加强污水</w:t>
      </w:r>
      <w:r w:rsidR="00996ADA" w:rsidRPr="00E67914">
        <w:rPr>
          <w:rFonts w:ascii="Times New Roman" w:hAnsi="Times New Roman"/>
          <w:sz w:val="24"/>
          <w:lang w:eastAsia="zh-CN"/>
        </w:rPr>
        <w:t>、凝析油</w:t>
      </w:r>
      <w:r w:rsidRPr="00E67914">
        <w:rPr>
          <w:rFonts w:ascii="Times New Roman" w:hAnsi="Times New Roman"/>
          <w:sz w:val="24"/>
          <w:lang w:eastAsia="zh-CN"/>
        </w:rPr>
        <w:t>运输车辆的管理，防止运输过程发生事故导致废水</w:t>
      </w:r>
      <w:r w:rsidR="00996ADA" w:rsidRPr="00E67914">
        <w:rPr>
          <w:rFonts w:ascii="Times New Roman" w:hAnsi="Times New Roman"/>
          <w:sz w:val="24"/>
          <w:lang w:eastAsia="zh-CN"/>
        </w:rPr>
        <w:t>、凝析油</w:t>
      </w:r>
      <w:r w:rsidRPr="00E67914">
        <w:rPr>
          <w:rFonts w:ascii="Times New Roman" w:hAnsi="Times New Roman"/>
          <w:sz w:val="24"/>
          <w:lang w:eastAsia="zh-CN"/>
        </w:rPr>
        <w:t>泄露，污染环境；定期对污水</w:t>
      </w:r>
      <w:r w:rsidR="00996ADA" w:rsidRPr="00E67914">
        <w:rPr>
          <w:rFonts w:ascii="Times New Roman" w:hAnsi="Times New Roman"/>
          <w:sz w:val="24"/>
          <w:lang w:eastAsia="zh-CN"/>
        </w:rPr>
        <w:t>、凝析油</w:t>
      </w:r>
      <w:r w:rsidRPr="00E67914">
        <w:rPr>
          <w:rFonts w:ascii="Times New Roman" w:hAnsi="Times New Roman"/>
          <w:sz w:val="24"/>
          <w:lang w:eastAsia="zh-CN"/>
        </w:rPr>
        <w:t>进行转运，避免由于储存过多导致其外溢污染环境；加强</w:t>
      </w:r>
      <w:r w:rsidR="00A9536E" w:rsidRPr="00E67914">
        <w:rPr>
          <w:rFonts w:ascii="Times New Roman" w:hAnsi="Times New Roman"/>
          <w:sz w:val="24"/>
          <w:lang w:eastAsia="zh-CN"/>
        </w:rPr>
        <w:t>放空分液罐、采出水罐</w:t>
      </w:r>
      <w:r w:rsidRPr="00E67914">
        <w:rPr>
          <w:rFonts w:ascii="Times New Roman" w:hAnsi="Times New Roman"/>
          <w:sz w:val="24"/>
          <w:lang w:eastAsia="zh-CN"/>
        </w:rPr>
        <w:t>的维护保养工作，避免由于腐蚀等造成其泄露污染环境。</w:t>
      </w:r>
    </w:p>
    <w:p w14:paraId="74CA5EE1" w14:textId="43D03C92"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w:t>
      </w:r>
      <w:r w:rsidRPr="00E67914">
        <w:rPr>
          <w:rFonts w:ascii="Times New Roman" w:hAnsi="Times New Roman"/>
          <w:sz w:val="24"/>
          <w:lang w:eastAsia="zh-CN"/>
        </w:rPr>
        <w:t>7</w:t>
      </w:r>
      <w:r w:rsidRPr="00E67914">
        <w:rPr>
          <w:rFonts w:ascii="Times New Roman" w:hAnsi="Times New Roman"/>
          <w:sz w:val="24"/>
          <w:lang w:eastAsia="zh-CN"/>
        </w:rPr>
        <w:t>）</w:t>
      </w:r>
      <w:r w:rsidR="00A9536E" w:rsidRPr="00E67914">
        <w:rPr>
          <w:rFonts w:ascii="Times New Roman" w:hAnsi="Times New Roman"/>
          <w:sz w:val="24"/>
          <w:lang w:eastAsia="zh-CN"/>
        </w:rPr>
        <w:t>放空分液罐、采出水罐</w:t>
      </w:r>
      <w:r w:rsidR="00996ADA" w:rsidRPr="00E67914">
        <w:rPr>
          <w:rFonts w:ascii="Times New Roman" w:hAnsi="Times New Roman"/>
          <w:sz w:val="24"/>
          <w:lang w:eastAsia="zh-CN"/>
        </w:rPr>
        <w:t>、凝析油罐</w:t>
      </w:r>
      <w:r w:rsidRPr="00E67914">
        <w:rPr>
          <w:rFonts w:ascii="Times New Roman" w:hAnsi="Times New Roman"/>
          <w:sz w:val="24"/>
          <w:lang w:eastAsia="zh-CN"/>
        </w:rPr>
        <w:t>区设置防渗围堰，防止泄露废水</w:t>
      </w:r>
      <w:r w:rsidR="00996ADA" w:rsidRPr="00E67914">
        <w:rPr>
          <w:rFonts w:ascii="Times New Roman" w:hAnsi="Times New Roman"/>
          <w:sz w:val="24"/>
          <w:lang w:eastAsia="zh-CN"/>
        </w:rPr>
        <w:t>、凝析油</w:t>
      </w:r>
      <w:r w:rsidRPr="00E67914">
        <w:rPr>
          <w:rFonts w:ascii="Times New Roman" w:hAnsi="Times New Roman"/>
          <w:sz w:val="24"/>
          <w:lang w:eastAsia="zh-CN"/>
        </w:rPr>
        <w:t>外溢。</w:t>
      </w:r>
    </w:p>
    <w:p w14:paraId="12A6E67C" w14:textId="77777777" w:rsidR="00A54A8A" w:rsidRPr="00E67914" w:rsidRDefault="00000000">
      <w:pPr>
        <w:adjustRightInd w:val="0"/>
        <w:snapToGrid w:val="0"/>
        <w:spacing w:line="360" w:lineRule="auto"/>
        <w:ind w:firstLineChars="200" w:firstLine="440"/>
        <w:jc w:val="both"/>
        <w:rPr>
          <w:rFonts w:ascii="Times New Roman" w:hAnsi="Times New Roman"/>
          <w:sz w:val="24"/>
          <w:lang w:eastAsia="zh-CN"/>
        </w:rPr>
      </w:pPr>
      <w:r w:rsidRPr="00E67914">
        <w:rPr>
          <w:rFonts w:ascii="Times New Roman" w:hAnsi="Times New Roman"/>
          <w:lang w:eastAsia="zh-CN"/>
        </w:rPr>
        <w:t>（</w:t>
      </w:r>
      <w:r w:rsidRPr="00E67914">
        <w:rPr>
          <w:rFonts w:ascii="Times New Roman" w:hAnsi="Times New Roman"/>
          <w:sz w:val="24"/>
          <w:lang w:eastAsia="zh-CN"/>
        </w:rPr>
        <w:t>8</w:t>
      </w:r>
      <w:r w:rsidRPr="00E67914">
        <w:rPr>
          <w:rFonts w:ascii="Times New Roman" w:hAnsi="Times New Roman"/>
          <w:sz w:val="24"/>
          <w:lang w:eastAsia="zh-CN"/>
        </w:rPr>
        <w:t>）自动控制系统。</w:t>
      </w:r>
    </w:p>
    <w:p w14:paraId="27E4E98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）井场井站井口装置等相关工艺设施等实现自动控制、定期巡查；</w:t>
      </w:r>
    </w:p>
    <w:p w14:paraId="13E0C38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）对本项目井场井站生产装置等全部工艺过程进行监视和控制，实现对整个试采区域的生产运行进行监控和调度管理；</w:t>
      </w:r>
    </w:p>
    <w:p w14:paraId="30B8FA5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）场站可实现对下列数据的采集和传递：站场</w:t>
      </w:r>
      <w:r w:rsidRPr="00E67914">
        <w:rPr>
          <w:rFonts w:ascii="Times New Roman" w:hAnsi="Times New Roman"/>
          <w:sz w:val="24"/>
          <w:lang w:eastAsia="zh-CN"/>
        </w:rPr>
        <w:t>/</w:t>
      </w:r>
      <w:r w:rsidRPr="00E67914">
        <w:rPr>
          <w:rFonts w:ascii="Times New Roman" w:hAnsi="Times New Roman"/>
          <w:sz w:val="24"/>
          <w:lang w:eastAsia="zh-CN"/>
        </w:rPr>
        <w:t>工艺设施的工艺变量、站场</w:t>
      </w:r>
      <w:r w:rsidRPr="00E67914">
        <w:rPr>
          <w:rFonts w:ascii="Times New Roman" w:hAnsi="Times New Roman"/>
          <w:sz w:val="24"/>
          <w:lang w:eastAsia="zh-CN"/>
        </w:rPr>
        <w:t>/</w:t>
      </w:r>
      <w:r w:rsidRPr="00E67914">
        <w:rPr>
          <w:rFonts w:ascii="Times New Roman" w:hAnsi="Times New Roman"/>
          <w:sz w:val="24"/>
          <w:lang w:eastAsia="zh-CN"/>
        </w:rPr>
        <w:t>工艺设施的阀门状态、设备状态、井口温度、压力、流量信息</w:t>
      </w:r>
      <w:r w:rsidRPr="00E67914">
        <w:rPr>
          <w:rFonts w:ascii="Times New Roman" w:hAnsi="Times New Roman"/>
          <w:sz w:val="24"/>
          <w:lang w:eastAsia="zh-CN"/>
        </w:rPr>
        <w:t>/</w:t>
      </w:r>
      <w:r w:rsidRPr="00E67914">
        <w:rPr>
          <w:rFonts w:ascii="Times New Roman" w:hAnsi="Times New Roman"/>
          <w:sz w:val="24"/>
          <w:lang w:eastAsia="zh-CN"/>
        </w:rPr>
        <w:t>计量参数、管道防腐参数等；</w:t>
      </w:r>
    </w:p>
    <w:p w14:paraId="4367AFB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）可进行安全报警、装置气体泄漏检测；</w:t>
      </w:r>
    </w:p>
    <w:p w14:paraId="7BCD0BD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5</w:t>
      </w:r>
      <w:r w:rsidRPr="00E67914">
        <w:rPr>
          <w:rFonts w:ascii="Times New Roman" w:hAnsi="Times New Roman"/>
          <w:sz w:val="24"/>
          <w:lang w:eastAsia="zh-CN"/>
        </w:rPr>
        <w:t>）对井场井站进行远程监视，实现紧急情况下</w:t>
      </w:r>
      <w:r w:rsidRPr="00E67914">
        <w:rPr>
          <w:rFonts w:ascii="Times New Roman" w:hAnsi="Times New Roman"/>
          <w:sz w:val="24"/>
          <w:lang w:eastAsia="zh-CN"/>
        </w:rPr>
        <w:t>30s</w:t>
      </w:r>
      <w:r w:rsidRPr="00E67914">
        <w:rPr>
          <w:rFonts w:ascii="Times New Roman" w:hAnsi="Times New Roman"/>
          <w:sz w:val="24"/>
          <w:lang w:eastAsia="zh-CN"/>
        </w:rPr>
        <w:t>内各切断阀自动截断关停。</w:t>
      </w:r>
    </w:p>
    <w:p w14:paraId="044B594D"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6.5.8</w:t>
      </w:r>
      <w:r w:rsidRPr="00E67914">
        <w:rPr>
          <w:rFonts w:ascii="Times New Roman" w:eastAsia="黑体" w:hAnsi="Times New Roman"/>
          <w:b w:val="0"/>
          <w:sz w:val="24"/>
          <w:szCs w:val="24"/>
          <w:lang w:eastAsia="zh-CN"/>
        </w:rPr>
        <w:t>环境风险防范措施工程监理</w:t>
      </w:r>
    </w:p>
    <w:p w14:paraId="59AD8290"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为确保工程环境风险防范措施合理有效地实施，可在钻采过程中引入工程监理制度，由监理单位负责环境风险防范措施的监理工作，确保项措施得到合理有效的落实。</w:t>
      </w:r>
    </w:p>
    <w:p w14:paraId="7076B2DD"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6.5.9</w:t>
      </w:r>
      <w:r w:rsidRPr="00E67914">
        <w:rPr>
          <w:rFonts w:ascii="Times New Roman" w:eastAsia="黑体" w:hAnsi="Times New Roman"/>
          <w:b w:val="0"/>
          <w:sz w:val="24"/>
          <w:szCs w:val="24"/>
          <w:lang w:eastAsia="zh-CN"/>
        </w:rPr>
        <w:t>其他环境风险防范措施</w:t>
      </w:r>
    </w:p>
    <w:p w14:paraId="14B8BF59" w14:textId="77777777" w:rsidR="00A54A8A" w:rsidRPr="00E67914" w:rsidRDefault="00000000">
      <w:pPr>
        <w:adjustRightInd w:val="0"/>
        <w:snapToGrid w:val="0"/>
        <w:spacing w:line="360" w:lineRule="auto"/>
        <w:ind w:firstLineChars="200" w:firstLine="482"/>
        <w:jc w:val="both"/>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）公众安全防护</w:t>
      </w:r>
    </w:p>
    <w:p w14:paraId="0E9184F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按照本项目行业操作规范，需加强对井场附近居民宣传井喷的危害及相关知识。井队队长及安全员负责指定应急培训计划，定期对应急组织机构成员和应急保障系统、应急信息的有关人员进行综合性应急培训并作好培训记录。应急演练应每个月开展一次，进入气层后半个月开展一次，通过演练掌握应急人员在应急抢险中对预案的熟悉程度和能力，二是加强抢险应急设备的维护保养，检查是否备足所需应急材料。</w:t>
      </w:r>
    </w:p>
    <w:p w14:paraId="7FA5A93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按照钻井行业环境风险应急预案规范要求，发生井喷失控等风险事故时应及时撤离疏散紧急撤离区内（井口周边</w:t>
      </w:r>
      <w:r w:rsidRPr="00E67914">
        <w:rPr>
          <w:rFonts w:ascii="Times New Roman" w:hAnsi="Times New Roman"/>
          <w:sz w:val="24"/>
          <w:lang w:eastAsia="zh-CN"/>
        </w:rPr>
        <w:t>500m</w:t>
      </w:r>
      <w:r w:rsidRPr="00E67914">
        <w:rPr>
          <w:rFonts w:ascii="Times New Roman" w:hAnsi="Times New Roman"/>
          <w:sz w:val="24"/>
          <w:lang w:eastAsia="zh-CN"/>
        </w:rPr>
        <w:t>范围）居民和企业员工，保护周围居民生命安全和健康，同时井喷失控后，还需在井口周边</w:t>
      </w:r>
      <w:r w:rsidRPr="00E67914">
        <w:rPr>
          <w:rFonts w:ascii="Times New Roman" w:hAnsi="Times New Roman"/>
          <w:sz w:val="24"/>
          <w:lang w:eastAsia="zh-CN"/>
        </w:rPr>
        <w:t>500m</w:t>
      </w:r>
      <w:r w:rsidRPr="00E67914">
        <w:rPr>
          <w:rFonts w:ascii="Times New Roman" w:hAnsi="Times New Roman"/>
          <w:sz w:val="24"/>
          <w:lang w:eastAsia="zh-CN"/>
        </w:rPr>
        <w:t>范围外布设环境应急监测点，并根据监测结果及时按照环境风险应急预案制订的临时撤离方案组织一般撤离区居民和企业员工撤离。</w:t>
      </w:r>
    </w:p>
    <w:p w14:paraId="1159FF33"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）钻井、储层改造期间配备应急点火系统及点火时间、点火管理</w:t>
      </w:r>
    </w:p>
    <w:p w14:paraId="449FF50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根据《钻井井控技术规程》（</w:t>
      </w:r>
      <w:r w:rsidRPr="00E67914">
        <w:rPr>
          <w:rFonts w:ascii="Times New Roman" w:hAnsi="Times New Roman"/>
          <w:sz w:val="24"/>
          <w:lang w:eastAsia="zh-CN"/>
        </w:rPr>
        <w:t>SY/T6426-2005</w:t>
      </w:r>
      <w:r w:rsidRPr="00E67914">
        <w:rPr>
          <w:rFonts w:ascii="Times New Roman" w:hAnsi="Times New Roman"/>
          <w:sz w:val="24"/>
          <w:lang w:eastAsia="zh-CN"/>
        </w:rPr>
        <w:t>），钻井现场仍按照含硫油气井配备自动、手动和高压高能电子点火三套独立点火系统，确保</w:t>
      </w:r>
      <w:r w:rsidRPr="00E67914">
        <w:rPr>
          <w:rFonts w:ascii="Times New Roman" w:hAnsi="Times New Roman"/>
          <w:sz w:val="24"/>
          <w:lang w:eastAsia="zh-CN"/>
        </w:rPr>
        <w:t>100%</w:t>
      </w:r>
      <w:r w:rsidRPr="00E67914">
        <w:rPr>
          <w:rFonts w:ascii="Times New Roman" w:hAnsi="Times New Roman"/>
          <w:sz w:val="24"/>
          <w:lang w:eastAsia="zh-CN"/>
        </w:rPr>
        <w:t>的点火成功率。钻井队在现场条件不能实施井控作业而决定放喷点火时，点火人员应佩戴防护器具，并在上风方向，离火口距离不得少于</w:t>
      </w:r>
      <w:r w:rsidRPr="00E67914">
        <w:rPr>
          <w:rFonts w:ascii="Times New Roman" w:hAnsi="Times New Roman"/>
          <w:sz w:val="24"/>
          <w:lang w:eastAsia="zh-CN"/>
        </w:rPr>
        <w:t>10m</w:t>
      </w:r>
      <w:r w:rsidRPr="00E67914">
        <w:rPr>
          <w:rFonts w:ascii="Times New Roman" w:hAnsi="Times New Roman"/>
          <w:sz w:val="24"/>
          <w:lang w:eastAsia="zh-CN"/>
        </w:rPr>
        <w:t>，用点火枪点火。</w:t>
      </w:r>
    </w:p>
    <w:p w14:paraId="4787316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）地质灾害防范</w:t>
      </w:r>
    </w:p>
    <w:p w14:paraId="287E466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对项目地周边开展详尽地质勘探工作，进而指导钻前施工和钻井施工，严防地质灾害环境影响诱发本项目环境风险。</w:t>
      </w:r>
    </w:p>
    <w:p w14:paraId="0F5FDA67"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）夜间特别管理机制</w:t>
      </w:r>
    </w:p>
    <w:p w14:paraId="6B4A53F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由于钻井工程特点需要</w:t>
      </w:r>
      <w:r w:rsidRPr="00E67914">
        <w:rPr>
          <w:rFonts w:ascii="Times New Roman" w:hAnsi="Times New Roman"/>
          <w:sz w:val="24"/>
          <w:lang w:eastAsia="zh-CN"/>
        </w:rPr>
        <w:t>24</w:t>
      </w:r>
      <w:r w:rsidRPr="00E67914">
        <w:rPr>
          <w:rFonts w:ascii="Times New Roman" w:hAnsi="Times New Roman"/>
          <w:sz w:val="24"/>
          <w:lang w:eastAsia="zh-CN"/>
        </w:rPr>
        <w:t>小时连续作业，所以应特别警惕夜间风险事故的防范和应急。严格落实井喷失控</w:t>
      </w:r>
      <w:r w:rsidRPr="00E67914">
        <w:rPr>
          <w:rFonts w:ascii="Times New Roman" w:hAnsi="Times New Roman"/>
          <w:sz w:val="24"/>
          <w:lang w:eastAsia="zh-CN"/>
        </w:rPr>
        <w:t>15min</w:t>
      </w:r>
      <w:r w:rsidRPr="00E67914">
        <w:rPr>
          <w:rFonts w:ascii="Times New Roman" w:hAnsi="Times New Roman"/>
          <w:sz w:val="24"/>
          <w:lang w:eastAsia="zh-CN"/>
        </w:rPr>
        <w:t>内及时点火以及应急预案确定的周边居民事故状态下的撤离方案，至压井作业完成。井场配备高音喇叭、防爆灯具，以便夜间事故及时通知周边居民，防爆灯具应布置在井场内风向标处，以便井场人员和周边较近居民可判断风向，带领其他人员撤离。井场实行轮班制度，保证夜间各岗位有相应值班人员。对居民进行公众教育、培训中应强调夜间自救内容，要求居民夜间保持通讯设备的畅通，夜间不关手机等，在钻开气层前后及钻开过程中夜间保持一定的警惕性。</w:t>
      </w:r>
    </w:p>
    <w:p w14:paraId="1D85286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5</w:t>
      </w:r>
      <w:r w:rsidRPr="00E67914">
        <w:rPr>
          <w:rFonts w:ascii="Times New Roman" w:hAnsi="Times New Roman"/>
          <w:sz w:val="24"/>
          <w:lang w:eastAsia="zh-CN"/>
        </w:rPr>
        <w:t>）运输路由要求及风险防范</w:t>
      </w:r>
    </w:p>
    <w:p w14:paraId="186C4F24" w14:textId="77777777" w:rsidR="00A54A8A" w:rsidRPr="00E67914" w:rsidRDefault="00000000">
      <w:pPr>
        <w:adjustRightInd w:val="0"/>
        <w:snapToGrid w:val="0"/>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废物、回用钻井液、钻井固废等运输均由有资质单位负责运输，不能利用的废油、废油桶、含油抹布手套等危废由钻井队委托具有危废道路运输经营许可证单位运输。转运废物工作中要加强对车辆的监督和管理，采取转运联单制度，规范转运台账，避免私拉乱倒的现象发生。</w:t>
      </w:r>
    </w:p>
    <w:p w14:paraId="0E24C962" w14:textId="77777777" w:rsidR="00A54A8A" w:rsidRPr="00E67914" w:rsidRDefault="00000000">
      <w:pPr>
        <w:pStyle w:val="2"/>
        <w:ind w:firstLine="480"/>
        <w:rPr>
          <w:szCs w:val="24"/>
          <w:lang w:eastAsia="zh-CN"/>
        </w:rPr>
      </w:pPr>
      <w:bookmarkStart w:id="185" w:name="_Toc80793281"/>
      <w:bookmarkStart w:id="186" w:name="_Toc148654239"/>
      <w:r w:rsidRPr="00E67914">
        <w:rPr>
          <w:szCs w:val="24"/>
          <w:lang w:eastAsia="zh-CN"/>
        </w:rPr>
        <w:t>6.6</w:t>
      </w:r>
      <w:r w:rsidRPr="00E67914">
        <w:rPr>
          <w:szCs w:val="24"/>
          <w:lang w:eastAsia="zh-CN"/>
        </w:rPr>
        <w:t>应急</w:t>
      </w:r>
      <w:bookmarkEnd w:id="185"/>
      <w:r w:rsidRPr="00E67914">
        <w:rPr>
          <w:szCs w:val="24"/>
          <w:lang w:eastAsia="zh-CN"/>
        </w:rPr>
        <w:t>措施</w:t>
      </w:r>
      <w:bookmarkEnd w:id="186"/>
    </w:p>
    <w:p w14:paraId="344E7C02"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6.6.1</w:t>
      </w:r>
      <w:r w:rsidRPr="00E67914">
        <w:rPr>
          <w:rFonts w:ascii="Times New Roman" w:eastAsia="黑体" w:hAnsi="Times New Roman"/>
          <w:b w:val="0"/>
          <w:sz w:val="24"/>
          <w:szCs w:val="24"/>
          <w:lang w:eastAsia="zh-CN"/>
        </w:rPr>
        <w:t>井喷及井喷失控应急处理预案</w:t>
      </w:r>
    </w:p>
    <w:p w14:paraId="41F8368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根据事态发展变化情况，事故现场抢险指挥部根据应急领导小组的指令并充分考虑专家和有关意见的基础上，依法采取紧急措施，并注意做好以下工作：</w:t>
      </w:r>
    </w:p>
    <w:p w14:paraId="6A510F7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）井喷失控后严防着火和爆炸。应立即停钻机、机房柴油机，切断井架、钻台、机泵房等处全部照明灯和用电设备的电源，熄灭一切火源，需要时打开专用探照灯，并组织警戒。</w:t>
      </w:r>
    </w:p>
    <w:p w14:paraId="42CC39E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w:t>
      </w:r>
      <w:r w:rsidRPr="00E67914">
        <w:rPr>
          <w:rFonts w:ascii="Times New Roman" w:hAnsi="Times New Roman"/>
          <w:sz w:val="24"/>
          <w:lang w:eastAsia="zh-CN"/>
        </w:rPr>
        <w:t>2</w:t>
      </w:r>
      <w:r w:rsidRPr="00E67914">
        <w:rPr>
          <w:rFonts w:ascii="Times New Roman" w:hAnsi="Times New Roman"/>
          <w:sz w:val="24"/>
          <w:lang w:eastAsia="zh-CN"/>
        </w:rPr>
        <w:t>）立即向当地政府报告，协助当地政府作好井口</w:t>
      </w:r>
      <w:r w:rsidRPr="00E67914">
        <w:rPr>
          <w:rFonts w:ascii="Times New Roman" w:hAnsi="Times New Roman"/>
          <w:sz w:val="24"/>
          <w:lang w:eastAsia="zh-CN"/>
        </w:rPr>
        <w:t>500m</w:t>
      </w:r>
      <w:r w:rsidRPr="00E67914">
        <w:rPr>
          <w:rFonts w:ascii="Times New Roman" w:hAnsi="Times New Roman"/>
          <w:sz w:val="24"/>
          <w:lang w:eastAsia="zh-CN"/>
        </w:rPr>
        <w:t>范围内散居农户和企业员工，以及场镇镇居民、学校、医院、企业等的疏散工作。此外，事故时应根据井喷的实际情况，确定扩大疏散范围。</w:t>
      </w:r>
    </w:p>
    <w:p w14:paraId="2FD71B2E"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）设置观察点，定时取样，监测（大气</w:t>
      </w:r>
      <w:r w:rsidRPr="00E67914">
        <w:rPr>
          <w:rFonts w:ascii="Times New Roman" w:hAnsi="Times New Roman"/>
          <w:sz w:val="24"/>
          <w:lang w:eastAsia="zh-CN"/>
        </w:rPr>
        <w:t>/</w:t>
      </w:r>
      <w:r w:rsidRPr="00E67914">
        <w:rPr>
          <w:rFonts w:ascii="Times New Roman" w:hAnsi="Times New Roman"/>
          <w:sz w:val="24"/>
          <w:lang w:eastAsia="zh-CN"/>
        </w:rPr>
        <w:t>空气）中的天然气、硫化氢和二氧化碳含量等，划分安全范围，并根据对监测结果和井喷事故的严重程度及时进行研判，若井喷事故较为严重，监测（大气</w:t>
      </w:r>
      <w:r w:rsidRPr="00E67914">
        <w:rPr>
          <w:rFonts w:ascii="Times New Roman" w:hAnsi="Times New Roman"/>
          <w:sz w:val="24"/>
          <w:lang w:eastAsia="zh-CN"/>
        </w:rPr>
        <w:t>/</w:t>
      </w:r>
      <w:r w:rsidRPr="00E67914">
        <w:rPr>
          <w:rFonts w:ascii="Times New Roman" w:hAnsi="Times New Roman"/>
          <w:sz w:val="24"/>
          <w:lang w:eastAsia="zh-CN"/>
        </w:rPr>
        <w:t>空气）中的天然气、硫化氢和二氧化碳含量等浓度较高，可将撤离疏散距离扩大。</w:t>
      </w:r>
    </w:p>
    <w:p w14:paraId="6A3A84A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）迅速成立现场抢险领导小组，根据失控状况制定抢险方案，统一指挥、组织和协调抢险工作。抢险方案制订及实施，要把环境保护同时考虑，同时实施，防止出现次生环境事故。</w:t>
      </w:r>
    </w:p>
    <w:p w14:paraId="61FF1B4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5</w:t>
      </w:r>
      <w:r w:rsidRPr="00E67914">
        <w:rPr>
          <w:rFonts w:ascii="Times New Roman" w:hAnsi="Times New Roman"/>
          <w:sz w:val="24"/>
          <w:lang w:eastAsia="zh-CN"/>
        </w:rPr>
        <w:t>）当井喷失控时，应立即通知并协助当地政府疏散井口</w:t>
      </w:r>
      <w:r w:rsidRPr="00E67914">
        <w:rPr>
          <w:rFonts w:ascii="Times New Roman" w:hAnsi="Times New Roman"/>
          <w:sz w:val="24"/>
          <w:lang w:eastAsia="zh-CN"/>
        </w:rPr>
        <w:t>500m</w:t>
      </w:r>
      <w:r w:rsidRPr="00E67914">
        <w:rPr>
          <w:rFonts w:ascii="Times New Roman" w:hAnsi="Times New Roman"/>
          <w:sz w:val="24"/>
          <w:lang w:eastAsia="zh-CN"/>
        </w:rPr>
        <w:t>范围内的散居农户，以及场镇居民、学校、医院、企业等环境敏感点和社会关注点，根据检测情况，考虑风向、地形、人口密度、受污染程度等情况及时作出风险和危害程度评估，决定是否扩大撤离范围；关停生产设施；请求援助。</w:t>
      </w:r>
    </w:p>
    <w:p w14:paraId="12C6909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6</w:t>
      </w:r>
      <w:r w:rsidRPr="00E67914">
        <w:rPr>
          <w:rFonts w:ascii="Times New Roman" w:hAnsi="Times New Roman"/>
          <w:sz w:val="24"/>
          <w:lang w:eastAsia="zh-CN"/>
        </w:rPr>
        <w:t>）在确保人员安全的前提下，将氧气瓶、油罐等易燃易爆物品撤离危险区。</w:t>
      </w:r>
    </w:p>
    <w:p w14:paraId="66A5DF3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7</w:t>
      </w:r>
      <w:r w:rsidRPr="00E67914">
        <w:rPr>
          <w:rFonts w:ascii="Times New Roman" w:hAnsi="Times New Roman"/>
          <w:sz w:val="24"/>
          <w:lang w:eastAsia="zh-CN"/>
        </w:rPr>
        <w:t>）在进行处置井喷事故的同时，充分考虑到事故和次生事故对环境可能造成的威胁，要严密制定并采取保护措施，防止事态扩大和引发次生灾害。</w:t>
      </w:r>
    </w:p>
    <w:p w14:paraId="04717CE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8</w:t>
      </w:r>
      <w:r w:rsidRPr="00E67914">
        <w:rPr>
          <w:rFonts w:ascii="Times New Roman" w:hAnsi="Times New Roman"/>
          <w:sz w:val="24"/>
          <w:lang w:eastAsia="zh-CN"/>
        </w:rPr>
        <w:t>）在事故处理结束后，确认作业现场及其周边环境安全的情况下，和地方政府商定撤离群众的返回时间。</w:t>
      </w:r>
    </w:p>
    <w:p w14:paraId="10D172AD"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6.6.2</w:t>
      </w:r>
      <w:r w:rsidRPr="00E67914">
        <w:rPr>
          <w:rFonts w:ascii="Times New Roman" w:eastAsia="黑体" w:hAnsi="Times New Roman"/>
          <w:b w:val="0"/>
          <w:sz w:val="24"/>
          <w:szCs w:val="24"/>
          <w:lang w:eastAsia="zh-CN"/>
        </w:rPr>
        <w:t>井喷或场站泄露应急疏散预案</w:t>
      </w:r>
    </w:p>
    <w:p w14:paraId="4E2918A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当井喷或天然气试采期间出现失控时，应立即通知并协助当地政府疏散井口</w:t>
      </w:r>
      <w:r w:rsidRPr="00E67914">
        <w:rPr>
          <w:rFonts w:ascii="Times New Roman" w:hAnsi="Times New Roman"/>
          <w:sz w:val="24"/>
          <w:lang w:eastAsia="zh-CN"/>
        </w:rPr>
        <w:t>500m</w:t>
      </w:r>
      <w:r w:rsidRPr="00E67914">
        <w:rPr>
          <w:rFonts w:ascii="Times New Roman" w:hAnsi="Times New Roman"/>
          <w:sz w:val="24"/>
          <w:lang w:eastAsia="zh-CN"/>
        </w:rPr>
        <w:t>范围内的散居农户等，周边较近的场镇居民、学校师生、医院医护人员和病人等。根据监测情况，考虑风向、地形、人口密度、受污染程度等情况及时作出风险和危害程度评估，决定是否扩大撤离范围。</w:t>
      </w:r>
    </w:p>
    <w:p w14:paraId="19A2EB2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为了保障每位员工和井场周围群众的生命安全，应按正确的方法和方向撤离，每位接到撤离通知的员工和群众应按下列程序撤离：</w:t>
      </w:r>
    </w:p>
    <w:p w14:paraId="1A22F02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）群众由当地政府组织撤离，井队员工由井队组织撤离；</w:t>
      </w:r>
    </w:p>
    <w:p w14:paraId="49641DF3"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）逃生时要注意风向，一要沿上风（逆风）方向逃生，二要沿着地面上的高处跑。撤离路线：建议撤离时根据风向，根据所在地道路分布情况转移至</w:t>
      </w:r>
      <w:r w:rsidRPr="00E67914">
        <w:rPr>
          <w:rFonts w:ascii="Times New Roman" w:hAnsi="Times New Roman"/>
          <w:sz w:val="24"/>
          <w:lang w:eastAsia="zh-CN"/>
        </w:rPr>
        <w:lastRenderedPageBreak/>
        <w:t>高处安全集合点，同时建设单位应引导周边群众撤离。撤离路线应根据实际风险进行调整，原则就是往上风向撤离。项目撤离路线均不受周边地形限制，项目区域主导风为东北风，撤离路线不位于下风向，因此撤离路线是合理的。</w:t>
      </w:r>
    </w:p>
    <w:p w14:paraId="20DDD0F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本项目所在的普光气田区域</w:t>
      </w:r>
      <w:r w:rsidRPr="00E67914">
        <w:rPr>
          <w:rFonts w:ascii="Times New Roman" w:hAnsi="Times New Roman"/>
          <w:sz w:val="24"/>
          <w:lang w:eastAsia="zh-CN"/>
        </w:rPr>
        <w:t>5km</w:t>
      </w:r>
      <w:r w:rsidRPr="00E67914">
        <w:rPr>
          <w:rFonts w:ascii="Times New Roman" w:hAnsi="Times New Roman"/>
          <w:sz w:val="24"/>
          <w:lang w:eastAsia="zh-CN"/>
        </w:rPr>
        <w:t>范围内各村镇均已设置有应急高音喇叭，能够对区域范围内所有居民点进行覆盖，且主要村镇均已设置有应急安置点，各村镇联系人已在中原油田普光分公司应急指挥中心办公室存档，应急措施完善，能够确保发生风险事故后第一时间启动应急预案与撤离方案，具体方案见中原油田普光分公司编制有《中原油田普光分公司环境应急预案（</w:t>
      </w:r>
      <w:r w:rsidRPr="00E67914">
        <w:rPr>
          <w:rFonts w:ascii="Times New Roman" w:hAnsi="Times New Roman"/>
          <w:sz w:val="24"/>
          <w:lang w:eastAsia="zh-CN"/>
        </w:rPr>
        <w:t>2021</w:t>
      </w:r>
      <w:r w:rsidRPr="00E67914">
        <w:rPr>
          <w:rFonts w:ascii="Times New Roman" w:hAnsi="Times New Roman"/>
          <w:sz w:val="24"/>
          <w:lang w:eastAsia="zh-CN"/>
        </w:rPr>
        <w:t>年</w:t>
      </w:r>
      <w:r w:rsidRPr="00E67914">
        <w:rPr>
          <w:rFonts w:ascii="Times New Roman" w:hAnsi="Times New Roman"/>
          <w:sz w:val="24"/>
          <w:lang w:eastAsia="zh-CN"/>
        </w:rPr>
        <w:t>4</w:t>
      </w:r>
      <w:r w:rsidRPr="00E67914">
        <w:rPr>
          <w:rFonts w:ascii="Times New Roman" w:hAnsi="Times New Roman"/>
          <w:sz w:val="24"/>
          <w:lang w:eastAsia="zh-CN"/>
        </w:rPr>
        <w:t>月》，项目所在区域路网及交通条件较好，能够确保</w:t>
      </w:r>
      <w:r w:rsidRPr="00E67914">
        <w:rPr>
          <w:rFonts w:ascii="Times New Roman" w:hAnsi="Times New Roman"/>
          <w:sz w:val="24"/>
          <w:lang w:eastAsia="zh-CN"/>
        </w:rPr>
        <w:t>500m</w:t>
      </w:r>
      <w:r w:rsidRPr="00E67914">
        <w:rPr>
          <w:rFonts w:ascii="Times New Roman" w:hAnsi="Times New Roman"/>
          <w:sz w:val="24"/>
          <w:lang w:eastAsia="zh-CN"/>
        </w:rPr>
        <w:t>范围内的居民均能及时有效的撤离至安全的应急安置点。</w:t>
      </w:r>
    </w:p>
    <w:p w14:paraId="78A562F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）时间就是生命，紧急逃生时，不要因收贵重物品等事宜延误时间，并且要轻装撤离逃生。</w:t>
      </w:r>
    </w:p>
    <w:p w14:paraId="7BD2D7D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）当所处位置离井场很远时，则只要偏离风向往离井场越来越远的方向逃生即可。</w:t>
      </w:r>
    </w:p>
    <w:p w14:paraId="62AFA786"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6.6.3</w:t>
      </w:r>
      <w:r w:rsidRPr="00E67914">
        <w:rPr>
          <w:rFonts w:ascii="Times New Roman" w:eastAsia="黑体" w:hAnsi="Times New Roman"/>
          <w:b w:val="0"/>
          <w:sz w:val="24"/>
          <w:szCs w:val="24"/>
          <w:lang w:eastAsia="zh-CN"/>
        </w:rPr>
        <w:t>天然气窜层泄露进入地表应急措施</w:t>
      </w:r>
    </w:p>
    <w:p w14:paraId="07BABE1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由于天然气窜层泄露时，压力小，速率低，不会出现井喷式的泄露，只要及时组织人员撤离，并及时采取事故应对措施一般情况下不会引起人员伤亡。应对此类事故措施主要是通过加强对钻井返空介质的监测来及时了解井下状况，采取措施避免井漏气窜的发生，钻前加强对周边</w:t>
      </w:r>
      <w:r w:rsidRPr="00E67914">
        <w:rPr>
          <w:rFonts w:ascii="Times New Roman" w:hAnsi="Times New Roman"/>
          <w:sz w:val="24"/>
          <w:lang w:eastAsia="zh-CN"/>
        </w:rPr>
        <w:t>500m</w:t>
      </w:r>
      <w:r w:rsidRPr="00E67914">
        <w:rPr>
          <w:rFonts w:ascii="Times New Roman" w:hAnsi="Times New Roman"/>
          <w:sz w:val="24"/>
          <w:lang w:eastAsia="zh-CN"/>
        </w:rPr>
        <w:t>居民的教育培训，遇到此类事故应立即撤离并远离泄露点。企业在泄露点周边设置便携监测仪确定浓度，根据浓度确定具体撤离范围。气窜发生时及应立即采取井下堵漏措施，并通过井口放喷管放喷燃烧泄压，减少周边地表泄露点泄露量，此类环境风险是可控的。</w:t>
      </w:r>
    </w:p>
    <w:p w14:paraId="221B15E1"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6.6.4</w:t>
      </w:r>
      <w:r w:rsidRPr="00E67914">
        <w:rPr>
          <w:rFonts w:ascii="Times New Roman" w:eastAsia="黑体" w:hAnsi="Times New Roman"/>
          <w:b w:val="0"/>
          <w:sz w:val="24"/>
          <w:szCs w:val="24"/>
          <w:lang w:eastAsia="zh-CN"/>
        </w:rPr>
        <w:t>井漏环境风险事故应急措施</w:t>
      </w:r>
    </w:p>
    <w:p w14:paraId="042321F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发生井漏时必须利用各种堵漏材料，处理井漏的规定流程如下：</w:t>
      </w:r>
    </w:p>
    <w:p w14:paraId="52DA062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）分析井漏发生的原因，确定漏层位置、类型及漏失严重程度。</w:t>
      </w:r>
    </w:p>
    <w:p w14:paraId="112AB35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）保质保量的配置堵漏泥浆。</w:t>
      </w:r>
    </w:p>
    <w:p w14:paraId="2E2F4B7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）施工时如果能起钻，应尽可能采用光钻杆，下至漏层顶部。</w:t>
      </w:r>
    </w:p>
    <w:p w14:paraId="676F619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4</w:t>
      </w:r>
      <w:r w:rsidRPr="00E67914">
        <w:rPr>
          <w:rFonts w:ascii="Times New Roman" w:hAnsi="Times New Roman"/>
          <w:sz w:val="24"/>
          <w:lang w:eastAsia="zh-CN"/>
        </w:rPr>
        <w:t>）使用正确的堵剂注入方法，确保堵剂进入漏层近井筒处。</w:t>
      </w:r>
    </w:p>
    <w:p w14:paraId="370072C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5</w:t>
      </w:r>
      <w:r w:rsidRPr="00E67914">
        <w:rPr>
          <w:rFonts w:ascii="Times New Roman" w:hAnsi="Times New Roman"/>
          <w:sz w:val="24"/>
          <w:lang w:eastAsia="zh-CN"/>
        </w:rPr>
        <w:t>）施工过程中要不停地活动钻具，避免卡钻。</w:t>
      </w:r>
    </w:p>
    <w:p w14:paraId="2740966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w:t>
      </w:r>
      <w:r w:rsidRPr="00E67914">
        <w:rPr>
          <w:rFonts w:ascii="Times New Roman" w:hAnsi="Times New Roman"/>
          <w:sz w:val="24"/>
          <w:lang w:eastAsia="zh-CN"/>
        </w:rPr>
        <w:t>6</w:t>
      </w:r>
      <w:r w:rsidRPr="00E67914">
        <w:rPr>
          <w:rFonts w:ascii="Times New Roman" w:hAnsi="Times New Roman"/>
          <w:sz w:val="24"/>
          <w:lang w:eastAsia="zh-CN"/>
        </w:rPr>
        <w:t>）凡采用桥堵剂堵漏，要卸掉循环管线及泵中的滤清器、筛网等，防止堵塞憋泵伤人。</w:t>
      </w:r>
    </w:p>
    <w:p w14:paraId="73D70A9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7</w:t>
      </w:r>
      <w:r w:rsidRPr="00E67914">
        <w:rPr>
          <w:rFonts w:ascii="Times New Roman" w:hAnsi="Times New Roman"/>
          <w:sz w:val="24"/>
          <w:lang w:eastAsia="zh-CN"/>
        </w:rPr>
        <w:t>）憋压试漏时要缓慢进行，压力一般不能过大，避免造成新的诱导裂缝。</w:t>
      </w:r>
    </w:p>
    <w:p w14:paraId="1BBF2C63"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8</w:t>
      </w:r>
      <w:r w:rsidRPr="00E67914">
        <w:rPr>
          <w:rFonts w:ascii="Times New Roman" w:hAnsi="Times New Roman"/>
          <w:sz w:val="24"/>
          <w:lang w:eastAsia="zh-CN"/>
        </w:rPr>
        <w:t>）施工完成后，各种资料必须收集整理齐全、准确。</w:t>
      </w:r>
    </w:p>
    <w:p w14:paraId="1016957A"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6.6.5</w:t>
      </w:r>
      <w:r w:rsidRPr="00E67914">
        <w:rPr>
          <w:rFonts w:ascii="Times New Roman" w:eastAsia="黑体" w:hAnsi="Times New Roman"/>
          <w:b w:val="0"/>
          <w:sz w:val="24"/>
          <w:szCs w:val="24"/>
          <w:lang w:eastAsia="zh-CN"/>
        </w:rPr>
        <w:t>废水、油类物质泄露应急措施</w:t>
      </w:r>
    </w:p>
    <w:p w14:paraId="4D71360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）当钻井废水或油类物质油外溢时，应及时围堵，并及时进行清理，确保废水、柴油不进入河流中。</w:t>
      </w:r>
    </w:p>
    <w:p w14:paraId="0B33443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）对受泄露钻井废水或油污染的土壤进行清理和置换，确保农业生产不受影响，同时避免雨水冲刷进入河流中。</w:t>
      </w:r>
    </w:p>
    <w:p w14:paraId="48CC2A33"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6.6.6</w:t>
      </w:r>
      <w:r w:rsidRPr="00E67914">
        <w:rPr>
          <w:rFonts w:ascii="Times New Roman" w:eastAsia="黑体" w:hAnsi="Times New Roman"/>
          <w:b w:val="0"/>
          <w:sz w:val="24"/>
          <w:szCs w:val="24"/>
          <w:lang w:eastAsia="zh-CN"/>
        </w:rPr>
        <w:t>外运过程应急措施</w:t>
      </w:r>
    </w:p>
    <w:p w14:paraId="5B7BBFE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废水外运均采用密闭罐车运输，固废采用密封袋装运输，罐体为钢板密封罐，发生翻车泄露的机率很小，且合格泥浆、返排液、钻井固废等无有毒有害物质，主要是含有机污染物，罐车输送的量约</w:t>
      </w:r>
      <w:r w:rsidRPr="00E67914">
        <w:rPr>
          <w:rFonts w:ascii="Times New Roman" w:hAnsi="Times New Roman"/>
          <w:sz w:val="24"/>
          <w:lang w:eastAsia="zh-CN"/>
        </w:rPr>
        <w:t>10t/</w:t>
      </w:r>
      <w:r w:rsidRPr="00E67914">
        <w:rPr>
          <w:rFonts w:ascii="Times New Roman" w:hAnsi="Times New Roman"/>
          <w:sz w:val="24"/>
          <w:lang w:eastAsia="zh-CN"/>
        </w:rPr>
        <w:t>车，一次运输量不大，发生事故时对环境也不会造成重大环境影响。一旦发生事故，井场废水外溢造成环境污染时，现场人员应及时向上级汇报并视情况向当地生态环境局汇报，同时采取有力措施，防止污染扩大。应急抢险应以尽量减少泄露量、控制废水扩散范围为基本原则。施工单位须制定出应急救援预案和与当地政府和有关部门建立相衔接的应急救援体系，并按规定程序报批后进行宣传和演练，加强信息交流，建立与相关方面的通讯联络系统。</w:t>
      </w:r>
    </w:p>
    <w:p w14:paraId="357E6899"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6.6.7</w:t>
      </w:r>
      <w:r w:rsidRPr="00E67914">
        <w:rPr>
          <w:rFonts w:ascii="Times New Roman" w:eastAsia="黑体" w:hAnsi="Times New Roman"/>
          <w:b w:val="0"/>
          <w:sz w:val="24"/>
          <w:szCs w:val="24"/>
          <w:lang w:eastAsia="zh-CN"/>
        </w:rPr>
        <w:t>套外返水的应急措施</w:t>
      </w:r>
    </w:p>
    <w:p w14:paraId="4D7F815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套外返水若是固井质量问题应采用工程措施进行封堵、封隔，消除套外返水情况。对受盐污染地下水采用抽采方式减缓污染，加快恢复。</w:t>
      </w:r>
    </w:p>
    <w:p w14:paraId="2F918C39"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6.6.8</w:t>
      </w:r>
      <w:r w:rsidRPr="00E67914">
        <w:rPr>
          <w:rFonts w:ascii="Times New Roman" w:eastAsia="黑体" w:hAnsi="Times New Roman"/>
          <w:b w:val="0"/>
          <w:sz w:val="24"/>
          <w:szCs w:val="24"/>
          <w:lang w:eastAsia="zh-CN"/>
        </w:rPr>
        <w:t>事故发生后外环境污染物的消除方案</w:t>
      </w:r>
    </w:p>
    <w:p w14:paraId="7DBD213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当发生天然气扩散时，应及时进行井控，争取最短时间控制井喷源头，尽可能切断泄露源。天然气扩散时间短，通过空气流动自然扩散降低空气中可燃气体浓度。井喷失控点燃后可通过空气流动自然扩散和自然降雨降低空气中污染物浓度。对洒水收集的废水经收集后单独处理达标排放。</w:t>
      </w:r>
    </w:p>
    <w:p w14:paraId="5BB08297"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lastRenderedPageBreak/>
        <w:t>6.6.9</w:t>
      </w:r>
      <w:r w:rsidRPr="00E67914">
        <w:rPr>
          <w:rFonts w:ascii="Times New Roman" w:eastAsia="黑体" w:hAnsi="Times New Roman"/>
          <w:b w:val="0"/>
          <w:sz w:val="24"/>
          <w:szCs w:val="24"/>
          <w:lang w:eastAsia="zh-CN"/>
        </w:rPr>
        <w:t>宣传、培训和演习</w:t>
      </w:r>
    </w:p>
    <w:p w14:paraId="1D8EB08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公众信息交流。各级政府、天然气开采企业要按规定向公众和员工说明天然气开采的危险性及发生事故可能造成的危害，广泛宣传应急救援有关法律法规和天然气开采事故预防、避险、避灾、自救、互救的常识。</w:t>
      </w:r>
    </w:p>
    <w:p w14:paraId="0615E99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培训。天然气开采有关应急救援队伍按照有关规定参加业务培训；天然气开发企业按照有关规定对员工进行应急培训；各级安全生产监督管理部门负责对应急救援培训情况进行监督检查。各级应急救援管理机构加强应急管理、救援人员的上岗前培训和常规性培训。</w:t>
      </w:r>
    </w:p>
    <w:p w14:paraId="11AEACC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）演习。普光分公司及所属单位每年至少组织一次环境事故应急的桌面演练或全面演习，并将演习总结报应急办公室。</w:t>
      </w:r>
    </w:p>
    <w:p w14:paraId="752647B8"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6.6.10</w:t>
      </w:r>
      <w:r w:rsidRPr="00E67914">
        <w:rPr>
          <w:rFonts w:ascii="Times New Roman" w:eastAsia="黑体" w:hAnsi="Times New Roman"/>
          <w:b w:val="0"/>
          <w:sz w:val="24"/>
          <w:szCs w:val="24"/>
          <w:lang w:eastAsia="zh-CN"/>
        </w:rPr>
        <w:t>风险管理措施</w:t>
      </w:r>
    </w:p>
    <w:p w14:paraId="589A555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普光分公司成立专门的为应对油气勘探、开发等生产经营过程中可能发生的重大突发事故，最大限度地保障人民群众生命和财产安全，减轻事故灾害。普光分公司建立了详细周密的应急救援体系，设立了三级应急救援网络。</w:t>
      </w:r>
    </w:p>
    <w:p w14:paraId="33C9531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普光分公司应急领导小组负责所属范围内所有重、特大事故的应急管理。定期组织、检查、审核等五个专业事故应急小组职责履行情况。发生重大事故，专业应急小组进行应急指挥、调度、抢险、施救、现场调查、恢复生产等工作，普光分公司应急领导小组协调有关工作。对特大事故，普光分公司应急领导小组直接负责事故现场指挥、调度、抢险、施救、恢复生产，并会同地方政府、股份公司开展事故调查等工作。</w:t>
      </w:r>
    </w:p>
    <w:p w14:paraId="4D8624D9"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6.6.11</w:t>
      </w:r>
      <w:r w:rsidRPr="00E67914">
        <w:rPr>
          <w:rFonts w:ascii="Times New Roman" w:eastAsia="黑体" w:hAnsi="Times New Roman"/>
          <w:b w:val="0"/>
          <w:sz w:val="24"/>
          <w:szCs w:val="24"/>
          <w:lang w:eastAsia="zh-CN"/>
        </w:rPr>
        <w:t>应急联动</w:t>
      </w:r>
    </w:p>
    <w:p w14:paraId="2E408435" w14:textId="65F2BA5A"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）上层联动：本项目所在的达州市、宣汉县、</w:t>
      </w:r>
      <w:r w:rsidR="00DD2AA7" w:rsidRPr="00E67914">
        <w:rPr>
          <w:rFonts w:ascii="Times New Roman" w:hAnsi="Times New Roman"/>
          <w:sz w:val="24"/>
          <w:lang w:eastAsia="zh-CN"/>
        </w:rPr>
        <w:t>普光镇</w:t>
      </w:r>
      <w:r w:rsidRPr="00E67914">
        <w:rPr>
          <w:rFonts w:ascii="Times New Roman" w:hAnsi="Times New Roman"/>
          <w:sz w:val="24"/>
          <w:lang w:eastAsia="zh-CN"/>
        </w:rPr>
        <w:t>政府均设置有应急管理办公室，工程的建设和运行得到了当地各级政府的大力支持，因此，在企业自身建立并完善应急响应机制的前提下，与地方进一步强化应急联动，应急联动具有可行性。</w:t>
      </w:r>
    </w:p>
    <w:p w14:paraId="7C1CA3E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）下层联动：开展项目周边人居调查工作，结合项目周边人员分布情况，落实紧急情况下的应急联络人，确保有效组织环境风险事故下的应急撤离。</w:t>
      </w:r>
    </w:p>
    <w:p w14:paraId="71C85C55"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6.6.12</w:t>
      </w:r>
      <w:r w:rsidRPr="00E67914">
        <w:rPr>
          <w:rFonts w:ascii="Times New Roman" w:eastAsia="黑体" w:hAnsi="Times New Roman"/>
          <w:b w:val="0"/>
          <w:sz w:val="24"/>
          <w:szCs w:val="24"/>
          <w:lang w:eastAsia="zh-CN"/>
        </w:rPr>
        <w:t>普光分公司应急预案体系介绍</w:t>
      </w:r>
    </w:p>
    <w:p w14:paraId="2E8B287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1</w:t>
      </w:r>
      <w:r w:rsidRPr="00E67914">
        <w:rPr>
          <w:rFonts w:ascii="Times New Roman" w:hAnsi="Times New Roman"/>
          <w:sz w:val="24"/>
          <w:lang w:eastAsia="zh-CN"/>
        </w:rPr>
        <w:t>）备案情况</w:t>
      </w:r>
    </w:p>
    <w:p w14:paraId="2B9CDD69" w14:textId="1079A10B"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中原油田普光分公司编制有《中原油田普光分公司环境应急预案（</w:t>
      </w:r>
      <w:r w:rsidRPr="00E67914">
        <w:rPr>
          <w:rFonts w:ascii="Times New Roman" w:hAnsi="Times New Roman"/>
          <w:sz w:val="24"/>
          <w:lang w:eastAsia="zh-CN"/>
        </w:rPr>
        <w:t>2021</w:t>
      </w:r>
      <w:r w:rsidRPr="00E67914">
        <w:rPr>
          <w:rFonts w:ascii="Times New Roman" w:hAnsi="Times New Roman"/>
          <w:sz w:val="24"/>
          <w:lang w:eastAsia="zh-CN"/>
        </w:rPr>
        <w:t>年</w:t>
      </w:r>
      <w:r w:rsidRPr="00E67914">
        <w:rPr>
          <w:rFonts w:ascii="Times New Roman" w:hAnsi="Times New Roman"/>
          <w:sz w:val="24"/>
          <w:lang w:eastAsia="zh-CN"/>
        </w:rPr>
        <w:t>4</w:t>
      </w:r>
      <w:r w:rsidRPr="00E67914">
        <w:rPr>
          <w:rFonts w:ascii="Times New Roman" w:hAnsi="Times New Roman"/>
          <w:sz w:val="24"/>
          <w:lang w:eastAsia="zh-CN"/>
        </w:rPr>
        <w:t>月》，</w:t>
      </w:r>
      <w:r w:rsidRPr="00E67914">
        <w:rPr>
          <w:rFonts w:ascii="Times New Roman" w:hAnsi="Times New Roman"/>
          <w:sz w:val="24"/>
          <w:lang w:eastAsia="zh-CN"/>
        </w:rPr>
        <w:t>2021</w:t>
      </w:r>
      <w:r w:rsidRPr="00E67914">
        <w:rPr>
          <w:rFonts w:ascii="Times New Roman" w:hAnsi="Times New Roman"/>
          <w:sz w:val="24"/>
          <w:lang w:eastAsia="zh-CN"/>
        </w:rPr>
        <w:t>年</w:t>
      </w:r>
      <w:r w:rsidRPr="00E67914">
        <w:rPr>
          <w:rFonts w:ascii="Times New Roman" w:hAnsi="Times New Roman"/>
          <w:sz w:val="24"/>
          <w:lang w:eastAsia="zh-CN"/>
        </w:rPr>
        <w:t>6</w:t>
      </w:r>
      <w:r w:rsidRPr="00E67914">
        <w:rPr>
          <w:rFonts w:ascii="Times New Roman" w:hAnsi="Times New Roman"/>
          <w:sz w:val="24"/>
          <w:lang w:eastAsia="zh-CN"/>
        </w:rPr>
        <w:t>月</w:t>
      </w:r>
      <w:r w:rsidRPr="00E67914">
        <w:rPr>
          <w:rFonts w:ascii="Times New Roman" w:hAnsi="Times New Roman"/>
          <w:sz w:val="24"/>
          <w:lang w:eastAsia="zh-CN"/>
        </w:rPr>
        <w:t>22</w:t>
      </w:r>
      <w:r w:rsidRPr="00E67914">
        <w:rPr>
          <w:rFonts w:ascii="Times New Roman" w:hAnsi="Times New Roman"/>
          <w:sz w:val="24"/>
          <w:lang w:eastAsia="zh-CN"/>
        </w:rPr>
        <w:t>日，达州市</w:t>
      </w:r>
      <w:r w:rsidR="00C62FBB" w:rsidRPr="00E67914">
        <w:rPr>
          <w:rFonts w:ascii="Times New Roman" w:hAnsi="Times New Roman"/>
          <w:sz w:val="24"/>
          <w:lang w:eastAsia="zh-CN"/>
        </w:rPr>
        <w:t>宣汉生态环境</w:t>
      </w:r>
      <w:r w:rsidRPr="00E67914">
        <w:rPr>
          <w:rFonts w:ascii="Times New Roman" w:hAnsi="Times New Roman"/>
          <w:sz w:val="24"/>
          <w:lang w:eastAsia="zh-CN"/>
        </w:rPr>
        <w:t>局同意备案（备案号：</w:t>
      </w:r>
      <w:r w:rsidRPr="00E67914">
        <w:rPr>
          <w:rFonts w:ascii="Times New Roman" w:hAnsi="Times New Roman"/>
          <w:sz w:val="24"/>
          <w:lang w:eastAsia="zh-CN"/>
        </w:rPr>
        <w:t>511722-2021-012-L</w:t>
      </w:r>
      <w:r w:rsidRPr="00E67914">
        <w:rPr>
          <w:rFonts w:ascii="Times New Roman" w:hAnsi="Times New Roman"/>
          <w:sz w:val="24"/>
          <w:lang w:eastAsia="zh-CN"/>
        </w:rPr>
        <w:t>），详见附件。</w:t>
      </w:r>
    </w:p>
    <w:p w14:paraId="3BE6E01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）应急预案体系</w:t>
      </w:r>
    </w:p>
    <w:p w14:paraId="2330594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）体系介绍</w:t>
      </w:r>
    </w:p>
    <w:p w14:paraId="10DDE11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普光分公司应急预案体系见图</w:t>
      </w:r>
      <w:r w:rsidRPr="00E67914">
        <w:rPr>
          <w:rFonts w:ascii="Times New Roman" w:hAnsi="Times New Roman"/>
          <w:sz w:val="24"/>
          <w:lang w:eastAsia="zh-CN"/>
        </w:rPr>
        <w:t>6.6-1</w:t>
      </w:r>
      <w:r w:rsidRPr="00E67914">
        <w:rPr>
          <w:rFonts w:ascii="Times New Roman" w:hAnsi="Times New Roman"/>
          <w:sz w:val="24"/>
          <w:lang w:eastAsia="zh-CN"/>
        </w:rPr>
        <w:t>。</w:t>
      </w:r>
    </w:p>
    <w:p w14:paraId="2B112991" w14:textId="77777777" w:rsidR="00A54A8A" w:rsidRPr="00E67914" w:rsidRDefault="00000000">
      <w:pPr>
        <w:adjustRightInd w:val="0"/>
        <w:snapToGrid w:val="0"/>
        <w:spacing w:line="360" w:lineRule="auto"/>
        <w:jc w:val="center"/>
        <w:rPr>
          <w:rFonts w:ascii="Times New Roman" w:hAnsi="Times New Roman"/>
          <w:sz w:val="24"/>
          <w:lang w:eastAsia="zh-CN"/>
        </w:rPr>
      </w:pPr>
      <w:r w:rsidRPr="00E67914">
        <w:rPr>
          <w:rFonts w:ascii="Times New Roman" w:hAnsi="Times New Roman"/>
          <w:noProof/>
        </w:rPr>
        <w:drawing>
          <wp:inline distT="0" distB="0" distL="0" distR="0" wp14:anchorId="663D794E" wp14:editId="5F6382EC">
            <wp:extent cx="4133850" cy="263842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06"/>
                    <a:stretch>
                      <a:fillRect/>
                    </a:stretch>
                  </pic:blipFill>
                  <pic:spPr>
                    <a:xfrm>
                      <a:off x="0" y="0"/>
                      <a:ext cx="4133850" cy="2638425"/>
                    </a:xfrm>
                    <a:prstGeom prst="rect">
                      <a:avLst/>
                    </a:prstGeom>
                  </pic:spPr>
                </pic:pic>
              </a:graphicData>
            </a:graphic>
          </wp:inline>
        </w:drawing>
      </w:r>
    </w:p>
    <w:p w14:paraId="4C745CF7" w14:textId="77777777" w:rsidR="00A54A8A" w:rsidRPr="00E67914" w:rsidRDefault="00000000">
      <w:pPr>
        <w:adjustRightInd w:val="0"/>
        <w:snapToGrid w:val="0"/>
        <w:spacing w:line="360" w:lineRule="auto"/>
        <w:jc w:val="center"/>
        <w:rPr>
          <w:rFonts w:ascii="Times New Roman" w:eastAsia="黑体" w:hAnsi="Times New Roman"/>
          <w:sz w:val="21"/>
          <w:szCs w:val="21"/>
          <w:lang w:eastAsia="zh-CN"/>
        </w:rPr>
      </w:pPr>
      <w:bookmarkStart w:id="187" w:name="_Ref524704207"/>
      <w:r w:rsidRPr="00E67914">
        <w:rPr>
          <w:rFonts w:ascii="Times New Roman" w:eastAsia="黑体" w:hAnsi="Times New Roman"/>
          <w:sz w:val="21"/>
          <w:szCs w:val="21"/>
          <w:lang w:eastAsia="zh-CN"/>
        </w:rPr>
        <w:t>图</w:t>
      </w:r>
      <w:bookmarkEnd w:id="187"/>
      <w:r w:rsidRPr="00E67914">
        <w:rPr>
          <w:rFonts w:ascii="Times New Roman" w:eastAsia="黑体" w:hAnsi="Times New Roman"/>
          <w:sz w:val="21"/>
          <w:szCs w:val="21"/>
          <w:lang w:eastAsia="zh-CN"/>
        </w:rPr>
        <w:t xml:space="preserve">6.6-1  </w:t>
      </w:r>
      <w:r w:rsidRPr="00E67914">
        <w:rPr>
          <w:rFonts w:ascii="Times New Roman" w:eastAsia="黑体" w:hAnsi="Times New Roman"/>
          <w:sz w:val="21"/>
          <w:szCs w:val="21"/>
          <w:lang w:eastAsia="zh-CN"/>
        </w:rPr>
        <w:t>普光分公司应急预案体系图</w:t>
      </w:r>
    </w:p>
    <w:p w14:paraId="271F5FE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专项应急预案包括高含</w:t>
      </w:r>
      <w:r w:rsidRPr="00E67914">
        <w:rPr>
          <w:rFonts w:ascii="Times New Roman" w:hAnsi="Times New Roman"/>
          <w:sz w:val="24"/>
          <w:lang w:eastAsia="zh-CN"/>
        </w:rPr>
        <w:t>H</w:t>
      </w:r>
      <w:r w:rsidRPr="00E67914">
        <w:rPr>
          <w:rFonts w:ascii="Times New Roman" w:hAnsi="Times New Roman"/>
          <w:sz w:val="24"/>
          <w:vertAlign w:val="subscript"/>
          <w:lang w:eastAsia="zh-CN"/>
        </w:rPr>
        <w:t>2</w:t>
      </w:r>
      <w:r w:rsidRPr="00E67914">
        <w:rPr>
          <w:rFonts w:ascii="Times New Roman" w:hAnsi="Times New Roman"/>
          <w:sz w:val="24"/>
          <w:lang w:eastAsia="zh-CN"/>
        </w:rPr>
        <w:t>S</w:t>
      </w:r>
      <w:r w:rsidRPr="00E67914">
        <w:rPr>
          <w:rFonts w:ascii="Times New Roman" w:hAnsi="Times New Roman"/>
          <w:sz w:val="24"/>
          <w:lang w:eastAsia="zh-CN"/>
        </w:rPr>
        <w:t>泄漏环境应急预案、火灾爆炸环境应急预案、水体环境污染应急预案、大气环境污染应急预案等。此外，普光分公司应急救援中心还编制了水体污染事件环境应急监测预案和</w:t>
      </w:r>
      <w:r w:rsidRPr="00E67914">
        <w:rPr>
          <w:rFonts w:ascii="Times New Roman" w:hAnsi="Times New Roman"/>
          <w:sz w:val="24"/>
          <w:lang w:eastAsia="zh-CN"/>
        </w:rPr>
        <w:t>H</w:t>
      </w:r>
      <w:r w:rsidRPr="00E67914">
        <w:rPr>
          <w:rFonts w:ascii="Times New Roman" w:hAnsi="Times New Roman"/>
          <w:sz w:val="24"/>
          <w:vertAlign w:val="subscript"/>
          <w:lang w:eastAsia="zh-CN"/>
        </w:rPr>
        <w:t>2</w:t>
      </w:r>
      <w:r w:rsidRPr="00E67914">
        <w:rPr>
          <w:rFonts w:ascii="Times New Roman" w:hAnsi="Times New Roman"/>
          <w:sz w:val="24"/>
          <w:lang w:eastAsia="zh-CN"/>
        </w:rPr>
        <w:t>S</w:t>
      </w:r>
      <w:r w:rsidRPr="00E67914">
        <w:rPr>
          <w:rFonts w:ascii="Times New Roman" w:hAnsi="Times New Roman"/>
          <w:sz w:val="24"/>
          <w:lang w:eastAsia="zh-CN"/>
        </w:rPr>
        <w:t>泄漏应急监测预案。</w:t>
      </w:r>
    </w:p>
    <w:p w14:paraId="79AED12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）普光分公司应急预案</w:t>
      </w:r>
    </w:p>
    <w:p w14:paraId="429B5DED" w14:textId="1E512FAD"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普光分公司综合应急预案框架见图</w:t>
      </w:r>
      <w:r w:rsidRPr="00E67914">
        <w:rPr>
          <w:rFonts w:ascii="Times New Roman" w:hAnsi="Times New Roman"/>
          <w:sz w:val="24"/>
          <w:lang w:eastAsia="zh-CN"/>
        </w:rPr>
        <w:t>6.6-</w:t>
      </w:r>
      <w:r w:rsidR="00CB4B0C" w:rsidRPr="00E67914">
        <w:rPr>
          <w:rFonts w:ascii="Times New Roman" w:hAnsi="Times New Roman"/>
          <w:sz w:val="24"/>
          <w:lang w:eastAsia="zh-CN"/>
        </w:rPr>
        <w:t>2</w:t>
      </w:r>
      <w:r w:rsidRPr="00E67914">
        <w:rPr>
          <w:rFonts w:ascii="Times New Roman" w:hAnsi="Times New Roman"/>
          <w:sz w:val="24"/>
          <w:lang w:eastAsia="zh-CN"/>
        </w:rPr>
        <w:t>，普光分公司专项应急预案框架见图</w:t>
      </w:r>
      <w:r w:rsidRPr="00E67914">
        <w:rPr>
          <w:rFonts w:ascii="Times New Roman" w:hAnsi="Times New Roman"/>
          <w:sz w:val="24"/>
          <w:lang w:eastAsia="zh-CN"/>
        </w:rPr>
        <w:t>6.6-5</w:t>
      </w:r>
      <w:r w:rsidRPr="00E67914">
        <w:rPr>
          <w:rFonts w:ascii="Times New Roman" w:hAnsi="Times New Roman"/>
          <w:sz w:val="24"/>
          <w:lang w:eastAsia="zh-CN"/>
        </w:rPr>
        <w:t>。</w:t>
      </w:r>
    </w:p>
    <w:p w14:paraId="5D6F17F3" w14:textId="77777777" w:rsidR="00A54A8A" w:rsidRPr="00E67914" w:rsidRDefault="00000000">
      <w:pPr>
        <w:pStyle w:val="TOC1"/>
        <w:jc w:val="center"/>
        <w:rPr>
          <w:rFonts w:ascii="Times New Roman" w:hAnsi="Times New Roman"/>
        </w:rPr>
      </w:pPr>
      <w:r w:rsidRPr="00E67914">
        <w:rPr>
          <w:rFonts w:ascii="Times New Roman" w:hAnsi="Times New Roman"/>
          <w:noProof/>
        </w:rPr>
        <w:lastRenderedPageBreak/>
        <w:drawing>
          <wp:inline distT="0" distB="0" distL="0" distR="0" wp14:anchorId="07A2838F" wp14:editId="009DC70A">
            <wp:extent cx="5274310" cy="5882640"/>
            <wp:effectExtent l="0" t="0" r="2540" b="3810"/>
            <wp:docPr id="28" name="图片 28" descr="综合应急预案框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综合应急预案框架图.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5274310" cy="5882640"/>
                    </a:xfrm>
                    <a:prstGeom prst="rect">
                      <a:avLst/>
                    </a:prstGeom>
                    <a:noFill/>
                    <a:ln>
                      <a:noFill/>
                    </a:ln>
                  </pic:spPr>
                </pic:pic>
              </a:graphicData>
            </a:graphic>
          </wp:inline>
        </w:drawing>
      </w:r>
    </w:p>
    <w:p w14:paraId="09F6B0BA" w14:textId="77777777" w:rsidR="00A54A8A" w:rsidRPr="00E67914" w:rsidRDefault="00000000">
      <w:pPr>
        <w:adjustRightInd w:val="0"/>
        <w:snapToGrid w:val="0"/>
        <w:spacing w:line="360" w:lineRule="auto"/>
        <w:jc w:val="center"/>
        <w:rPr>
          <w:rFonts w:ascii="Times New Roman" w:eastAsia="黑体" w:hAnsi="Times New Roman"/>
          <w:sz w:val="21"/>
          <w:szCs w:val="21"/>
          <w:lang w:eastAsia="zh-CN"/>
        </w:rPr>
      </w:pPr>
      <w:bookmarkStart w:id="188" w:name="_Ref473017352"/>
      <w:r w:rsidRPr="00E67914">
        <w:rPr>
          <w:rFonts w:ascii="Times New Roman" w:eastAsia="黑体" w:hAnsi="Times New Roman"/>
          <w:sz w:val="21"/>
          <w:szCs w:val="21"/>
          <w:lang w:eastAsia="zh-CN"/>
        </w:rPr>
        <w:t>图</w:t>
      </w:r>
      <w:bookmarkEnd w:id="188"/>
      <w:r w:rsidRPr="00E67914">
        <w:rPr>
          <w:rFonts w:ascii="Times New Roman" w:eastAsia="黑体" w:hAnsi="Times New Roman"/>
          <w:sz w:val="21"/>
          <w:szCs w:val="21"/>
          <w:lang w:eastAsia="zh-CN"/>
        </w:rPr>
        <w:t xml:space="preserve">6.6-2  </w:t>
      </w:r>
      <w:r w:rsidRPr="00E67914">
        <w:rPr>
          <w:rFonts w:ascii="Times New Roman" w:eastAsia="黑体" w:hAnsi="Times New Roman"/>
          <w:sz w:val="21"/>
          <w:szCs w:val="21"/>
          <w:lang w:eastAsia="zh-CN"/>
        </w:rPr>
        <w:t>普光分公司综合应急预案框架图</w:t>
      </w:r>
    </w:p>
    <w:p w14:paraId="57E6952D" w14:textId="77777777" w:rsidR="00A54A8A" w:rsidRPr="00E67914" w:rsidRDefault="00000000">
      <w:pPr>
        <w:pStyle w:val="TOC1"/>
        <w:jc w:val="center"/>
        <w:rPr>
          <w:rFonts w:ascii="Times New Roman" w:hAnsi="Times New Roman"/>
        </w:rPr>
      </w:pPr>
      <w:r w:rsidRPr="00E67914">
        <w:rPr>
          <w:rFonts w:ascii="Times New Roman" w:hAnsi="Times New Roman"/>
          <w:noProof/>
        </w:rPr>
        <w:lastRenderedPageBreak/>
        <w:drawing>
          <wp:inline distT="0" distB="0" distL="0" distR="0" wp14:anchorId="3FE9860D" wp14:editId="7CC87C22">
            <wp:extent cx="5147310" cy="5756910"/>
            <wp:effectExtent l="0" t="0" r="0" b="0"/>
            <wp:docPr id="33" name="图片 33" descr="应急预案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应急预案结构图.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5155965" cy="5766994"/>
                    </a:xfrm>
                    <a:prstGeom prst="rect">
                      <a:avLst/>
                    </a:prstGeom>
                    <a:noFill/>
                    <a:ln>
                      <a:noFill/>
                    </a:ln>
                  </pic:spPr>
                </pic:pic>
              </a:graphicData>
            </a:graphic>
          </wp:inline>
        </w:drawing>
      </w:r>
    </w:p>
    <w:p w14:paraId="43F5D5BC" w14:textId="77777777" w:rsidR="00A54A8A" w:rsidRPr="00E67914" w:rsidRDefault="00000000">
      <w:pPr>
        <w:adjustRightInd w:val="0"/>
        <w:snapToGrid w:val="0"/>
        <w:spacing w:line="360" w:lineRule="auto"/>
        <w:jc w:val="center"/>
        <w:rPr>
          <w:rFonts w:ascii="Times New Roman" w:eastAsia="黑体" w:hAnsi="Times New Roman"/>
          <w:sz w:val="21"/>
          <w:szCs w:val="21"/>
          <w:lang w:eastAsia="zh-CN"/>
        </w:rPr>
      </w:pPr>
      <w:bookmarkStart w:id="189" w:name="_Ref473017362"/>
      <w:r w:rsidRPr="00E67914">
        <w:rPr>
          <w:rFonts w:ascii="Times New Roman" w:eastAsia="黑体" w:hAnsi="Times New Roman"/>
          <w:sz w:val="21"/>
          <w:szCs w:val="21"/>
          <w:lang w:eastAsia="zh-CN"/>
        </w:rPr>
        <w:t>图</w:t>
      </w:r>
      <w:bookmarkEnd w:id="189"/>
      <w:r w:rsidRPr="00E67914">
        <w:rPr>
          <w:rFonts w:ascii="Times New Roman" w:eastAsia="黑体" w:hAnsi="Times New Roman"/>
          <w:sz w:val="21"/>
          <w:szCs w:val="21"/>
          <w:lang w:eastAsia="zh-CN"/>
        </w:rPr>
        <w:t xml:space="preserve">6.6-3  </w:t>
      </w:r>
      <w:r w:rsidRPr="00E67914">
        <w:rPr>
          <w:rFonts w:ascii="Times New Roman" w:eastAsia="黑体" w:hAnsi="Times New Roman"/>
          <w:sz w:val="21"/>
          <w:szCs w:val="21"/>
          <w:lang w:eastAsia="zh-CN"/>
        </w:rPr>
        <w:t>普光分公司专项应急预案框架图</w:t>
      </w:r>
    </w:p>
    <w:p w14:paraId="491566D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3</w:t>
      </w:r>
      <w:r w:rsidRPr="00E67914">
        <w:rPr>
          <w:rFonts w:ascii="Times New Roman" w:hAnsi="Times New Roman"/>
          <w:sz w:val="24"/>
          <w:lang w:eastAsia="zh-CN"/>
        </w:rPr>
        <w:t>）普光分公司应急组织机构</w:t>
      </w:r>
    </w:p>
    <w:p w14:paraId="5516FBE7" w14:textId="77777777" w:rsidR="00A54A8A" w:rsidRPr="00E67914" w:rsidRDefault="00000000">
      <w:pPr>
        <w:pStyle w:val="TOC1"/>
        <w:jc w:val="center"/>
        <w:rPr>
          <w:rFonts w:ascii="Times New Roman" w:hAnsi="Times New Roman"/>
        </w:rPr>
      </w:pPr>
      <w:r w:rsidRPr="00E67914">
        <w:rPr>
          <w:rFonts w:ascii="Times New Roman" w:hAnsi="Times New Roman"/>
          <w:noProof/>
        </w:rPr>
        <w:lastRenderedPageBreak/>
        <w:drawing>
          <wp:inline distT="0" distB="0" distL="0" distR="0" wp14:anchorId="324F20BC" wp14:editId="20A793DB">
            <wp:extent cx="5274310" cy="42024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9"/>
                    <a:stretch>
                      <a:fillRect/>
                    </a:stretch>
                  </pic:blipFill>
                  <pic:spPr>
                    <a:xfrm>
                      <a:off x="0" y="0"/>
                      <a:ext cx="5274310" cy="4202430"/>
                    </a:xfrm>
                    <a:prstGeom prst="rect">
                      <a:avLst/>
                    </a:prstGeom>
                  </pic:spPr>
                </pic:pic>
              </a:graphicData>
            </a:graphic>
          </wp:inline>
        </w:drawing>
      </w:r>
    </w:p>
    <w:p w14:paraId="6DCAB6CA" w14:textId="77777777" w:rsidR="00A54A8A" w:rsidRPr="00E67914" w:rsidRDefault="00000000">
      <w:pPr>
        <w:adjustRightInd w:val="0"/>
        <w:snapToGrid w:val="0"/>
        <w:spacing w:line="360" w:lineRule="auto"/>
        <w:jc w:val="center"/>
        <w:rPr>
          <w:rFonts w:ascii="Times New Roman" w:eastAsia="黑体" w:hAnsi="Times New Roman"/>
          <w:sz w:val="21"/>
          <w:szCs w:val="21"/>
          <w:lang w:eastAsia="zh-CN"/>
        </w:rPr>
      </w:pPr>
      <w:bookmarkStart w:id="190" w:name="_Ref524448984"/>
      <w:r w:rsidRPr="00E67914">
        <w:rPr>
          <w:rFonts w:ascii="Times New Roman" w:eastAsia="黑体" w:hAnsi="Times New Roman"/>
          <w:sz w:val="21"/>
          <w:szCs w:val="21"/>
          <w:lang w:eastAsia="zh-CN"/>
        </w:rPr>
        <w:t>图</w:t>
      </w:r>
      <w:bookmarkEnd w:id="190"/>
      <w:r w:rsidRPr="00E67914">
        <w:rPr>
          <w:rFonts w:ascii="Times New Roman" w:eastAsia="黑体" w:hAnsi="Times New Roman"/>
          <w:sz w:val="21"/>
          <w:szCs w:val="21"/>
          <w:lang w:eastAsia="zh-CN"/>
        </w:rPr>
        <w:t xml:space="preserve">6.6-4  </w:t>
      </w:r>
      <w:r w:rsidRPr="00E67914">
        <w:rPr>
          <w:rFonts w:ascii="Times New Roman" w:eastAsia="黑体" w:hAnsi="Times New Roman"/>
          <w:sz w:val="21"/>
          <w:szCs w:val="21"/>
          <w:lang w:eastAsia="zh-CN"/>
        </w:rPr>
        <w:t>应急管理组织机构框图</w:t>
      </w:r>
    </w:p>
    <w:p w14:paraId="14D3567A"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w:t>
      </w:r>
      <w:r w:rsidRPr="00E67914">
        <w:rPr>
          <w:rFonts w:ascii="Times New Roman" w:hAnsi="Times New Roman"/>
          <w:bCs/>
          <w:sz w:val="24"/>
          <w:lang w:eastAsia="zh-CN"/>
        </w:rPr>
        <w:t>4</w:t>
      </w:r>
      <w:r w:rsidRPr="00E67914">
        <w:rPr>
          <w:rFonts w:ascii="Times New Roman" w:hAnsi="Times New Roman"/>
          <w:bCs/>
          <w:sz w:val="24"/>
          <w:lang w:eastAsia="zh-CN"/>
        </w:rPr>
        <w:t>）应急响应</w:t>
      </w:r>
    </w:p>
    <w:p w14:paraId="0AA939C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）分类与分级</w:t>
      </w:r>
    </w:p>
    <w:p w14:paraId="191B18C9"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分类</w:t>
      </w:r>
    </w:p>
    <w:p w14:paraId="3F928A0C"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分公司各所属单位应根据应急事件的发生过程、性质和机理，按照工业生产事件、公共卫生事件、自然灾害事件和社会安全事件的类别，经危害识别、风险评估，确定单位内可能发生或易发生的应急事件。</w:t>
      </w:r>
    </w:p>
    <w:p w14:paraId="73C6BC9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分级</w:t>
      </w:r>
    </w:p>
    <w:p w14:paraId="2A3D923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为了有效处置各类突发事件，按照突发事件的性质、危害程度、可控性、影响范围、人员伤亡和财产损失等因素，并依据机构设置情况，由高到低分为五个级别：</w:t>
      </w:r>
      <w:r w:rsidRPr="00E67914">
        <w:rPr>
          <w:rFonts w:ascii="Times New Roman" w:hAnsi="Times New Roman"/>
          <w:sz w:val="24"/>
          <w:lang w:eastAsia="zh-CN"/>
        </w:rPr>
        <w:t>Ⅰ</w:t>
      </w:r>
      <w:r w:rsidRPr="00E67914">
        <w:rPr>
          <w:rFonts w:ascii="Times New Roman" w:hAnsi="Times New Roman"/>
          <w:sz w:val="24"/>
          <w:lang w:eastAsia="zh-CN"/>
        </w:rPr>
        <w:t>（中国石化）级、</w:t>
      </w:r>
      <w:r w:rsidRPr="00E67914">
        <w:rPr>
          <w:rFonts w:ascii="Times New Roman" w:hAnsi="Times New Roman"/>
          <w:sz w:val="24"/>
          <w:lang w:eastAsia="zh-CN"/>
        </w:rPr>
        <w:t>Ⅱ</w:t>
      </w:r>
      <w:r w:rsidRPr="00E67914">
        <w:rPr>
          <w:rFonts w:ascii="Times New Roman" w:hAnsi="Times New Roman"/>
          <w:sz w:val="24"/>
          <w:lang w:eastAsia="zh-CN"/>
        </w:rPr>
        <w:t>（中原油田）级、</w:t>
      </w:r>
      <w:r w:rsidRPr="00E67914">
        <w:rPr>
          <w:rFonts w:ascii="Times New Roman" w:hAnsi="Times New Roman"/>
          <w:sz w:val="24"/>
          <w:lang w:eastAsia="zh-CN"/>
        </w:rPr>
        <w:t>Ⅲ</w:t>
      </w:r>
      <w:r w:rsidRPr="00E67914">
        <w:rPr>
          <w:rFonts w:ascii="Times New Roman" w:hAnsi="Times New Roman"/>
          <w:sz w:val="24"/>
          <w:lang w:eastAsia="zh-CN"/>
        </w:rPr>
        <w:t>（分公司）级、</w:t>
      </w:r>
      <w:r w:rsidRPr="00E67914">
        <w:rPr>
          <w:rFonts w:ascii="Times New Roman" w:hAnsi="Times New Roman"/>
          <w:sz w:val="24"/>
          <w:lang w:eastAsia="zh-CN"/>
        </w:rPr>
        <w:t>Ⅳ</w:t>
      </w:r>
      <w:r w:rsidRPr="00E67914">
        <w:rPr>
          <w:rFonts w:ascii="Times New Roman" w:hAnsi="Times New Roman"/>
          <w:sz w:val="24"/>
          <w:lang w:eastAsia="zh-CN"/>
        </w:rPr>
        <w:t>（厂）级、</w:t>
      </w:r>
      <w:r w:rsidRPr="00E67914">
        <w:rPr>
          <w:rFonts w:ascii="Times New Roman" w:hAnsi="Times New Roman"/>
          <w:sz w:val="24"/>
          <w:lang w:eastAsia="zh-CN"/>
        </w:rPr>
        <w:t>Ⅴ</w:t>
      </w:r>
      <w:r w:rsidRPr="00E67914">
        <w:rPr>
          <w:rFonts w:ascii="Times New Roman" w:hAnsi="Times New Roman"/>
          <w:sz w:val="24"/>
          <w:lang w:eastAsia="zh-CN"/>
        </w:rPr>
        <w:t>（车间、区）级等。</w:t>
      </w:r>
    </w:p>
    <w:p w14:paraId="172046F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）响应程序</w:t>
      </w:r>
    </w:p>
    <w:p w14:paraId="4C4E4D0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①</w:t>
      </w:r>
      <w:r w:rsidRPr="00E67914">
        <w:rPr>
          <w:rFonts w:ascii="Times New Roman" w:hAnsi="Times New Roman"/>
          <w:sz w:val="24"/>
          <w:lang w:eastAsia="zh-CN"/>
        </w:rPr>
        <w:t>应急启动条件</w:t>
      </w:r>
    </w:p>
    <w:p w14:paraId="72EE4907"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符合以下条件之一时，应启动本预案：</w:t>
      </w:r>
    </w:p>
    <w:p w14:paraId="3A748DE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a</w:t>
      </w:r>
      <w:r w:rsidRPr="00E67914">
        <w:rPr>
          <w:rFonts w:ascii="Times New Roman" w:hAnsi="Times New Roman"/>
          <w:sz w:val="24"/>
          <w:lang w:eastAsia="zh-CN"/>
        </w:rPr>
        <w:t>）中原油田要求分公司启动应急预案时；</w:t>
      </w:r>
    </w:p>
    <w:p w14:paraId="247584A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b</w:t>
      </w:r>
      <w:r w:rsidRPr="00E67914">
        <w:rPr>
          <w:rFonts w:ascii="Times New Roman" w:hAnsi="Times New Roman"/>
          <w:sz w:val="24"/>
          <w:lang w:eastAsia="zh-CN"/>
        </w:rPr>
        <w:t>）市、县级人民政府要求分公司启动应急预案时；</w:t>
      </w:r>
    </w:p>
    <w:p w14:paraId="4B6EE66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c</w:t>
      </w:r>
      <w:r w:rsidRPr="00E67914">
        <w:rPr>
          <w:rFonts w:ascii="Times New Roman" w:hAnsi="Times New Roman"/>
          <w:sz w:val="24"/>
          <w:lang w:eastAsia="zh-CN"/>
        </w:rPr>
        <w:t>）发生</w:t>
      </w:r>
      <w:r w:rsidRPr="00E67914">
        <w:rPr>
          <w:rFonts w:ascii="Times New Roman" w:hAnsi="Times New Roman"/>
          <w:sz w:val="24"/>
          <w:lang w:eastAsia="zh-CN"/>
        </w:rPr>
        <w:t>Ⅲ</w:t>
      </w:r>
      <w:r w:rsidRPr="00E67914">
        <w:rPr>
          <w:rFonts w:ascii="Times New Roman" w:hAnsi="Times New Roman"/>
          <w:sz w:val="24"/>
          <w:lang w:eastAsia="zh-CN"/>
        </w:rPr>
        <w:t>（分公司）级及</w:t>
      </w:r>
      <w:r w:rsidRPr="00E67914">
        <w:rPr>
          <w:rFonts w:ascii="Times New Roman" w:hAnsi="Times New Roman"/>
          <w:sz w:val="24"/>
          <w:lang w:eastAsia="zh-CN"/>
        </w:rPr>
        <w:t>Ⅲ</w:t>
      </w:r>
      <w:r w:rsidRPr="00E67914">
        <w:rPr>
          <w:rFonts w:ascii="Times New Roman" w:hAnsi="Times New Roman"/>
          <w:sz w:val="24"/>
          <w:lang w:eastAsia="zh-CN"/>
        </w:rPr>
        <w:t>级以上事件时；</w:t>
      </w:r>
    </w:p>
    <w:p w14:paraId="788A51F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d</w:t>
      </w:r>
      <w:r w:rsidRPr="00E67914">
        <w:rPr>
          <w:rFonts w:ascii="Times New Roman" w:hAnsi="Times New Roman"/>
          <w:sz w:val="24"/>
          <w:lang w:eastAsia="zh-CN"/>
        </w:rPr>
        <w:t>）所属单位请求时。</w:t>
      </w:r>
    </w:p>
    <w:p w14:paraId="6D783CCF"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②</w:t>
      </w:r>
      <w:r w:rsidRPr="00E67914">
        <w:rPr>
          <w:rFonts w:ascii="Times New Roman" w:hAnsi="Times New Roman"/>
          <w:sz w:val="24"/>
          <w:lang w:eastAsia="zh-CN"/>
        </w:rPr>
        <w:t>应急指令</w:t>
      </w:r>
    </w:p>
    <w:p w14:paraId="38C1D29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发生突发事件时，应急指令下达程序见下图。</w:t>
      </w:r>
    </w:p>
    <w:p w14:paraId="7EB92C18" w14:textId="77777777" w:rsidR="00A54A8A" w:rsidRPr="00E67914" w:rsidRDefault="00000000">
      <w:pPr>
        <w:pStyle w:val="TOC1"/>
        <w:jc w:val="center"/>
        <w:rPr>
          <w:rFonts w:ascii="Times New Roman" w:hAnsi="Times New Roman"/>
        </w:rPr>
      </w:pPr>
      <w:r w:rsidRPr="00E67914">
        <w:rPr>
          <w:rFonts w:ascii="Times New Roman" w:hAnsi="Times New Roman"/>
          <w:noProof/>
        </w:rPr>
        <w:drawing>
          <wp:inline distT="0" distB="0" distL="0" distR="0" wp14:anchorId="57DFFDF1" wp14:editId="471DE808">
            <wp:extent cx="5274310" cy="4931410"/>
            <wp:effectExtent l="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10"/>
                    <a:stretch>
                      <a:fillRect/>
                    </a:stretch>
                  </pic:blipFill>
                  <pic:spPr>
                    <a:xfrm>
                      <a:off x="0" y="0"/>
                      <a:ext cx="5274310" cy="4931410"/>
                    </a:xfrm>
                    <a:prstGeom prst="rect">
                      <a:avLst/>
                    </a:prstGeom>
                  </pic:spPr>
                </pic:pic>
              </a:graphicData>
            </a:graphic>
          </wp:inline>
        </w:drawing>
      </w:r>
    </w:p>
    <w:p w14:paraId="20DD7FDE" w14:textId="77777777" w:rsidR="00A54A8A" w:rsidRPr="00E67914" w:rsidRDefault="00000000">
      <w:pPr>
        <w:adjustRightInd w:val="0"/>
        <w:snapToGrid w:val="0"/>
        <w:spacing w:line="360" w:lineRule="auto"/>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6.6-5  </w:t>
      </w:r>
      <w:r w:rsidRPr="00E67914">
        <w:rPr>
          <w:rFonts w:ascii="Times New Roman" w:eastAsia="黑体" w:hAnsi="Times New Roman"/>
          <w:sz w:val="21"/>
          <w:szCs w:val="21"/>
          <w:lang w:eastAsia="zh-CN"/>
        </w:rPr>
        <w:t>普光分公司应急指令下达程序框图</w:t>
      </w:r>
    </w:p>
    <w:p w14:paraId="6C7F37E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宋体" w:hAnsi="宋体" w:cs="宋体" w:hint="eastAsia"/>
          <w:sz w:val="24"/>
          <w:lang w:eastAsia="zh-CN"/>
        </w:rPr>
        <w:t>③</w:t>
      </w:r>
      <w:r w:rsidRPr="00E67914">
        <w:rPr>
          <w:rFonts w:ascii="Times New Roman" w:hAnsi="Times New Roman"/>
          <w:sz w:val="24"/>
          <w:lang w:eastAsia="zh-CN"/>
        </w:rPr>
        <w:t>应急处置</w:t>
      </w:r>
    </w:p>
    <w:p w14:paraId="67903AA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当符合应急预案启动条件时，分公司应急指挥中心应立即下达启动本预案的指令，并按照本预案中相应专项应急预案的要求实施应急处置。</w:t>
      </w:r>
    </w:p>
    <w:p w14:paraId="23264F2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当事件难以控制时，分公司应急指挥中心应请求启动相应的应急预案，并向市级政府应急管理办公室报告，请求支援。</w:t>
      </w:r>
    </w:p>
    <w:p w14:paraId="0FB7D0D5"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5</w:t>
      </w:r>
      <w:r w:rsidRPr="00E67914">
        <w:rPr>
          <w:rFonts w:ascii="Times New Roman" w:hAnsi="Times New Roman"/>
          <w:b/>
          <w:sz w:val="24"/>
          <w:lang w:eastAsia="zh-CN"/>
        </w:rPr>
        <w:t>）应急结束</w:t>
      </w:r>
    </w:p>
    <w:p w14:paraId="19D3354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经应急处置后，现场应急指挥部确认满足专项应急预案终止条件时，向分公司应急指挥中心报告，分公司应急指挥中心可下达应急终止指令。</w:t>
      </w:r>
    </w:p>
    <w:p w14:paraId="56B08E1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应急终止后，现场应急指挥部负责编写应急总结，应急指挥中心办公室负责对现场应急指挥部的应急总结、值班记录等资料进行汇总、归档，经理办公室负责起草分公司应急指挥中心的应急总结上报材料。现场应急指挥部向事件调查组移交相关材料。分公司应急指挥中心负责向中原油田上报应急总结。</w:t>
      </w:r>
    </w:p>
    <w:p w14:paraId="4E48986B"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6</w:t>
      </w:r>
      <w:r w:rsidRPr="00E67914">
        <w:rPr>
          <w:rFonts w:ascii="Times New Roman" w:hAnsi="Times New Roman"/>
          <w:b/>
          <w:sz w:val="24"/>
          <w:lang w:eastAsia="zh-CN"/>
        </w:rPr>
        <w:t>）应急保障</w:t>
      </w:r>
    </w:p>
    <w:p w14:paraId="520C2F5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1</w:t>
      </w:r>
      <w:r w:rsidRPr="00E67914">
        <w:rPr>
          <w:rFonts w:ascii="Times New Roman" w:hAnsi="Times New Roman"/>
          <w:sz w:val="24"/>
          <w:lang w:eastAsia="zh-CN"/>
        </w:rPr>
        <w:t>）应急队伍保障</w:t>
      </w:r>
    </w:p>
    <w:p w14:paraId="3880063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分公司应急救援队伍由采气厂、净化厂、应急救援中心和社会应急资源组成。应急队伍配备必要的人员、装备等，平时加强应急队伍的业务培训和应急演练，提高应急人员业务水平；与社会应急资源签订互助协议，提供应急期间的消气防、医疗卫生、治安保卫、交通维护和运输等应急救援力量的保障。</w:t>
      </w:r>
    </w:p>
    <w:p w14:paraId="227BA3B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2</w:t>
      </w:r>
      <w:r w:rsidRPr="00E67914">
        <w:rPr>
          <w:rFonts w:ascii="Times New Roman" w:hAnsi="Times New Roman"/>
          <w:sz w:val="24"/>
          <w:lang w:eastAsia="zh-CN"/>
        </w:rPr>
        <w:t>）财力保障</w:t>
      </w:r>
    </w:p>
    <w:p w14:paraId="7C4418EA"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事件处置过程中的费用，由计划财务部门负责保障；事件应急处置结束后，各级应急指挥中心办公室对应急处置费用进行整理汇总，计划财务部给予核销。</w:t>
      </w:r>
    </w:p>
    <w:p w14:paraId="5B7CB1C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3</w:t>
      </w:r>
      <w:r w:rsidRPr="00E67914">
        <w:rPr>
          <w:rFonts w:ascii="Times New Roman" w:hAnsi="Times New Roman"/>
          <w:sz w:val="24"/>
          <w:lang w:eastAsia="zh-CN"/>
        </w:rPr>
        <w:t>）物资保障</w:t>
      </w:r>
    </w:p>
    <w:p w14:paraId="59BC36EB"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分公司应急物资由物资保障部应急物资、应急救援中心应急物资、所属单位应急物资和社会救援物资组成。为满足应急处置的需求，同社会救援物资单位签订协议，在应急状态下，由分公司应急指挥中心统一调配使用。</w:t>
      </w:r>
    </w:p>
    <w:p w14:paraId="2493AE3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4</w:t>
      </w:r>
      <w:r w:rsidRPr="00E67914">
        <w:rPr>
          <w:rFonts w:ascii="Times New Roman" w:hAnsi="Times New Roman"/>
          <w:sz w:val="24"/>
          <w:lang w:eastAsia="zh-CN"/>
        </w:rPr>
        <w:t>）通讯保障</w:t>
      </w:r>
    </w:p>
    <w:p w14:paraId="50901DF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生产服务中心负责建立、完善应急通讯网络系统，在应急工作中确保应急通信畅通。</w:t>
      </w:r>
    </w:p>
    <w:p w14:paraId="43DA9BB2"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5</w:t>
      </w:r>
      <w:r w:rsidRPr="00E67914">
        <w:rPr>
          <w:rFonts w:ascii="Times New Roman" w:hAnsi="Times New Roman"/>
          <w:sz w:val="24"/>
          <w:lang w:eastAsia="zh-CN"/>
        </w:rPr>
        <w:t>）技术保障</w:t>
      </w:r>
    </w:p>
    <w:p w14:paraId="3493C50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天然气技术管理部负责建立由各专业领域技术、经验丰富的人员组成技术专家组，结合事故发生厂所属技术力量，为事故的应急处置提供技术支持。</w:t>
      </w:r>
    </w:p>
    <w:p w14:paraId="23FA23FD"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6</w:t>
      </w:r>
      <w:r w:rsidRPr="00E67914">
        <w:rPr>
          <w:rFonts w:ascii="Times New Roman" w:hAnsi="Times New Roman"/>
          <w:sz w:val="24"/>
          <w:lang w:eastAsia="zh-CN"/>
        </w:rPr>
        <w:t>）基本生活保障</w:t>
      </w:r>
    </w:p>
    <w:p w14:paraId="4E436C36"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分公司应急指挥中心应会同事发地人民政府做好抢险队伍、受灾员工和疏散群众的基本生活保障工作。</w:t>
      </w:r>
    </w:p>
    <w:p w14:paraId="0B9B4284"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7</w:t>
      </w:r>
      <w:r w:rsidRPr="00E67914">
        <w:rPr>
          <w:rFonts w:ascii="Times New Roman" w:hAnsi="Times New Roman"/>
          <w:sz w:val="24"/>
          <w:lang w:eastAsia="zh-CN"/>
        </w:rPr>
        <w:t>）人员防护</w:t>
      </w:r>
    </w:p>
    <w:p w14:paraId="5E536ED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按照国家法律法规、标准、规范的要求，应急救援人员配备安全职业防护装备，严格按照救援程序开展应急救援工作，确保人员安全。在生产区域内岗位人员配备安全职业防护装备，建立紧急集合点。</w:t>
      </w:r>
    </w:p>
    <w:p w14:paraId="41CFDA03"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6.6.13</w:t>
      </w:r>
      <w:r w:rsidRPr="00E67914">
        <w:rPr>
          <w:rFonts w:ascii="Times New Roman" w:eastAsia="黑体" w:hAnsi="Times New Roman"/>
          <w:b w:val="0"/>
          <w:sz w:val="24"/>
          <w:szCs w:val="24"/>
          <w:lang w:eastAsia="zh-CN"/>
        </w:rPr>
        <w:t>本项目环境风险应急预案</w:t>
      </w:r>
    </w:p>
    <w:p w14:paraId="5DEB8FDC"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1</w:t>
      </w:r>
      <w:r w:rsidRPr="00E67914">
        <w:rPr>
          <w:rFonts w:ascii="Times New Roman" w:hAnsi="Times New Roman"/>
          <w:b/>
          <w:sz w:val="24"/>
          <w:lang w:eastAsia="zh-CN"/>
        </w:rPr>
        <w:t>）钻井</w:t>
      </w:r>
      <w:bookmarkStart w:id="191" w:name="OLE_LINK363"/>
      <w:bookmarkStart w:id="192" w:name="OLE_LINK364"/>
      <w:r w:rsidRPr="00E67914">
        <w:rPr>
          <w:rFonts w:ascii="Times New Roman" w:hAnsi="Times New Roman"/>
          <w:b/>
          <w:sz w:val="24"/>
          <w:lang w:eastAsia="zh-CN"/>
        </w:rPr>
        <w:t>过程</w:t>
      </w:r>
      <w:bookmarkEnd w:id="191"/>
      <w:bookmarkEnd w:id="192"/>
      <w:r w:rsidRPr="00E67914">
        <w:rPr>
          <w:rFonts w:ascii="Times New Roman" w:hAnsi="Times New Roman"/>
          <w:b/>
          <w:sz w:val="24"/>
          <w:lang w:eastAsia="zh-CN"/>
        </w:rPr>
        <w:t>风险应急预案</w:t>
      </w:r>
    </w:p>
    <w:p w14:paraId="30FAE4E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前述环境风险事故分析，本次评价将针对本项目钻井作业的特点，结合企业制定的应急预案，提出环境风险事故应急预案编制要求，供企业及有关部门参考。同时环评要求建设单位在钻井工程施工前编制钻井工程专项应急预案，并在地方生态环境主管部门进行备案。</w:t>
      </w:r>
    </w:p>
    <w:p w14:paraId="242C6708"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根据前述环境风险事故分析，本次评价将针对本项目钻井作业及试采作业的特点，结合企业制定的应急预案，提出环境风险事故应急预案编制要求，供企业及有关部门参考。见表</w:t>
      </w:r>
      <w:r w:rsidRPr="00E67914">
        <w:rPr>
          <w:rFonts w:ascii="Times New Roman" w:hAnsi="Times New Roman"/>
          <w:sz w:val="24"/>
          <w:lang w:eastAsia="zh-CN"/>
        </w:rPr>
        <w:t>6.6-1</w:t>
      </w:r>
      <w:r w:rsidRPr="00E67914">
        <w:rPr>
          <w:rFonts w:ascii="Times New Roman" w:hAnsi="Times New Roman"/>
          <w:sz w:val="24"/>
          <w:lang w:eastAsia="zh-CN"/>
        </w:rPr>
        <w:t>。</w:t>
      </w:r>
    </w:p>
    <w:p w14:paraId="56797413"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bookmarkStart w:id="193" w:name="_Ref524449032"/>
      <w:r w:rsidRPr="00E67914">
        <w:rPr>
          <w:rFonts w:ascii="Times New Roman" w:eastAsia="黑体" w:hAnsi="Times New Roman"/>
          <w:sz w:val="21"/>
          <w:szCs w:val="21"/>
          <w:lang w:eastAsia="zh-CN"/>
        </w:rPr>
        <w:t>表</w:t>
      </w:r>
      <w:bookmarkEnd w:id="193"/>
      <w:r w:rsidRPr="00E67914">
        <w:rPr>
          <w:rFonts w:ascii="Times New Roman" w:eastAsia="黑体" w:hAnsi="Times New Roman"/>
          <w:sz w:val="21"/>
          <w:szCs w:val="21"/>
          <w:lang w:eastAsia="zh-CN"/>
        </w:rPr>
        <w:t xml:space="preserve">6.6-1  </w:t>
      </w:r>
      <w:r w:rsidRPr="00E67914">
        <w:rPr>
          <w:rFonts w:ascii="Times New Roman" w:eastAsia="黑体" w:hAnsi="Times New Roman"/>
          <w:sz w:val="21"/>
          <w:szCs w:val="21"/>
          <w:lang w:eastAsia="zh-CN"/>
        </w:rPr>
        <w:t>应急预案主要内容一览表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162"/>
        <w:gridCol w:w="6428"/>
      </w:tblGrid>
      <w:tr w:rsidR="00E67914" w:rsidRPr="00E67914" w14:paraId="1343B18E" w14:textId="77777777">
        <w:trPr>
          <w:tblHeader/>
          <w:jc w:val="center"/>
        </w:trPr>
        <w:tc>
          <w:tcPr>
            <w:tcW w:w="428" w:type="pct"/>
            <w:vAlign w:val="center"/>
          </w:tcPr>
          <w:p w14:paraId="0C66D266" w14:textId="77777777" w:rsidR="00A54A8A" w:rsidRPr="00E67914" w:rsidRDefault="00000000">
            <w:pPr>
              <w:pStyle w:val="1L"/>
              <w:rPr>
                <w:b/>
              </w:rPr>
            </w:pPr>
            <w:r w:rsidRPr="00E67914">
              <w:rPr>
                <w:b/>
              </w:rPr>
              <w:t>序号</w:t>
            </w:r>
          </w:p>
        </w:tc>
        <w:tc>
          <w:tcPr>
            <w:tcW w:w="700" w:type="pct"/>
            <w:vAlign w:val="center"/>
          </w:tcPr>
          <w:p w14:paraId="5FA25032" w14:textId="77777777" w:rsidR="00A54A8A" w:rsidRPr="00E67914" w:rsidRDefault="00000000">
            <w:pPr>
              <w:pStyle w:val="1L"/>
              <w:rPr>
                <w:b/>
              </w:rPr>
            </w:pPr>
            <w:r w:rsidRPr="00E67914">
              <w:rPr>
                <w:b/>
              </w:rPr>
              <w:t>项目</w:t>
            </w:r>
          </w:p>
        </w:tc>
        <w:tc>
          <w:tcPr>
            <w:tcW w:w="3872" w:type="pct"/>
            <w:vAlign w:val="center"/>
          </w:tcPr>
          <w:p w14:paraId="70EB7064" w14:textId="77777777" w:rsidR="00A54A8A" w:rsidRPr="00E67914" w:rsidRDefault="00000000">
            <w:pPr>
              <w:pStyle w:val="1L"/>
              <w:rPr>
                <w:b/>
              </w:rPr>
            </w:pPr>
            <w:r w:rsidRPr="00E67914">
              <w:rPr>
                <w:b/>
              </w:rPr>
              <w:t>内容及要求</w:t>
            </w:r>
          </w:p>
        </w:tc>
      </w:tr>
      <w:tr w:rsidR="00E67914" w:rsidRPr="00E67914" w14:paraId="322BC062" w14:textId="77777777">
        <w:trPr>
          <w:jc w:val="center"/>
        </w:trPr>
        <w:tc>
          <w:tcPr>
            <w:tcW w:w="428" w:type="pct"/>
            <w:vAlign w:val="center"/>
          </w:tcPr>
          <w:p w14:paraId="26FF4691" w14:textId="77777777" w:rsidR="00A54A8A" w:rsidRPr="00E67914" w:rsidRDefault="00000000">
            <w:pPr>
              <w:pStyle w:val="1L"/>
            </w:pPr>
            <w:r w:rsidRPr="00E67914">
              <w:t>1</w:t>
            </w:r>
          </w:p>
        </w:tc>
        <w:tc>
          <w:tcPr>
            <w:tcW w:w="700" w:type="pct"/>
            <w:vAlign w:val="center"/>
          </w:tcPr>
          <w:p w14:paraId="2A42E213" w14:textId="77777777" w:rsidR="00A54A8A" w:rsidRPr="00E67914" w:rsidRDefault="00000000">
            <w:pPr>
              <w:pStyle w:val="1L"/>
            </w:pPr>
            <w:r w:rsidRPr="00E67914">
              <w:t>应急计划区</w:t>
            </w:r>
          </w:p>
        </w:tc>
        <w:tc>
          <w:tcPr>
            <w:tcW w:w="3872" w:type="pct"/>
            <w:vAlign w:val="center"/>
          </w:tcPr>
          <w:p w14:paraId="62E7AB9F" w14:textId="77777777" w:rsidR="00A54A8A" w:rsidRPr="00E67914" w:rsidRDefault="00000000">
            <w:pPr>
              <w:pStyle w:val="1L"/>
              <w:jc w:val="left"/>
            </w:pPr>
            <w:r w:rsidRPr="00E67914">
              <w:t>危险目标：钻井地层</w:t>
            </w:r>
          </w:p>
          <w:p w14:paraId="6CAFDFDB" w14:textId="77777777" w:rsidR="00A54A8A" w:rsidRPr="00E67914" w:rsidRDefault="00000000">
            <w:pPr>
              <w:pStyle w:val="1L"/>
              <w:jc w:val="left"/>
            </w:pPr>
            <w:r w:rsidRPr="00E67914">
              <w:t>环境保护目标：测试放喷时，井口周边</w:t>
            </w:r>
            <w:r w:rsidRPr="00E67914">
              <w:t>0</w:t>
            </w:r>
            <w:r w:rsidRPr="00E67914">
              <w:t>～</w:t>
            </w:r>
            <w:r w:rsidRPr="00E67914">
              <w:t>500m</w:t>
            </w:r>
            <w:r w:rsidRPr="00E67914">
              <w:t>为紧急撤离范围。当发生井喷失控时，一般撤离范围可根据监测情况决定。</w:t>
            </w:r>
          </w:p>
        </w:tc>
      </w:tr>
      <w:tr w:rsidR="00E67914" w:rsidRPr="00E67914" w14:paraId="0CEBA206" w14:textId="77777777">
        <w:trPr>
          <w:jc w:val="center"/>
        </w:trPr>
        <w:tc>
          <w:tcPr>
            <w:tcW w:w="428" w:type="pct"/>
            <w:vAlign w:val="center"/>
          </w:tcPr>
          <w:p w14:paraId="538031C3" w14:textId="77777777" w:rsidR="00A54A8A" w:rsidRPr="00E67914" w:rsidRDefault="00000000">
            <w:pPr>
              <w:pStyle w:val="1L"/>
            </w:pPr>
            <w:r w:rsidRPr="00E67914">
              <w:t>2</w:t>
            </w:r>
          </w:p>
        </w:tc>
        <w:tc>
          <w:tcPr>
            <w:tcW w:w="700" w:type="pct"/>
            <w:vAlign w:val="center"/>
          </w:tcPr>
          <w:p w14:paraId="7801EE96" w14:textId="77777777" w:rsidR="00A54A8A" w:rsidRPr="00E67914" w:rsidRDefault="00000000">
            <w:pPr>
              <w:pStyle w:val="1L"/>
            </w:pPr>
            <w:r w:rsidRPr="00E67914">
              <w:t>应急组织机构、人员</w:t>
            </w:r>
          </w:p>
        </w:tc>
        <w:tc>
          <w:tcPr>
            <w:tcW w:w="3872" w:type="pct"/>
            <w:vAlign w:val="center"/>
          </w:tcPr>
          <w:p w14:paraId="7D2AEE25" w14:textId="77777777" w:rsidR="00A54A8A" w:rsidRPr="00E67914" w:rsidRDefault="00000000">
            <w:pPr>
              <w:pStyle w:val="1L"/>
              <w:jc w:val="left"/>
            </w:pPr>
            <w:r w:rsidRPr="00E67914">
              <w:t>组织机构为中原油田普光分公司，钻井队及其管理单位、当地政府。</w:t>
            </w:r>
          </w:p>
          <w:p w14:paraId="72FEF2CE" w14:textId="77777777" w:rsidR="00A54A8A" w:rsidRPr="00E67914" w:rsidRDefault="00000000">
            <w:pPr>
              <w:pStyle w:val="1L"/>
              <w:jc w:val="left"/>
            </w:pPr>
            <w:r w:rsidRPr="00E67914">
              <w:t>关键依靠钻井队、当地政府。</w:t>
            </w:r>
          </w:p>
          <w:p w14:paraId="39B5C24C" w14:textId="77777777" w:rsidR="00A54A8A" w:rsidRPr="00E67914" w:rsidRDefault="00000000">
            <w:pPr>
              <w:pStyle w:val="1L"/>
              <w:jc w:val="left"/>
            </w:pPr>
            <w:r w:rsidRPr="00E67914">
              <w:t>充分、重点发挥地方镇乡、村级政府的组织能力，纳入应急组织机构中。</w:t>
            </w:r>
          </w:p>
        </w:tc>
      </w:tr>
      <w:tr w:rsidR="00E67914" w:rsidRPr="00E67914" w14:paraId="7678274F" w14:textId="77777777">
        <w:trPr>
          <w:jc w:val="center"/>
        </w:trPr>
        <w:tc>
          <w:tcPr>
            <w:tcW w:w="428" w:type="pct"/>
            <w:vAlign w:val="center"/>
          </w:tcPr>
          <w:p w14:paraId="46B36D70" w14:textId="77777777" w:rsidR="00A54A8A" w:rsidRPr="00E67914" w:rsidRDefault="00000000">
            <w:pPr>
              <w:pStyle w:val="1L"/>
            </w:pPr>
            <w:r w:rsidRPr="00E67914">
              <w:t>3</w:t>
            </w:r>
          </w:p>
        </w:tc>
        <w:tc>
          <w:tcPr>
            <w:tcW w:w="700" w:type="pct"/>
            <w:vAlign w:val="center"/>
          </w:tcPr>
          <w:p w14:paraId="6C7A306F" w14:textId="77777777" w:rsidR="00A54A8A" w:rsidRPr="00E67914" w:rsidRDefault="00000000">
            <w:pPr>
              <w:pStyle w:val="1L"/>
            </w:pPr>
            <w:r w:rsidRPr="00E67914">
              <w:t>预案分级</w:t>
            </w:r>
          </w:p>
          <w:p w14:paraId="26A10EDB" w14:textId="77777777" w:rsidR="00A54A8A" w:rsidRPr="00E67914" w:rsidRDefault="00000000">
            <w:pPr>
              <w:pStyle w:val="1L"/>
            </w:pPr>
            <w:r w:rsidRPr="00E67914">
              <w:t>响应条件</w:t>
            </w:r>
          </w:p>
        </w:tc>
        <w:tc>
          <w:tcPr>
            <w:tcW w:w="3872" w:type="pct"/>
            <w:vAlign w:val="center"/>
          </w:tcPr>
          <w:p w14:paraId="0BC3BD35" w14:textId="77777777" w:rsidR="00A54A8A" w:rsidRPr="00E67914" w:rsidRDefault="00000000">
            <w:pPr>
              <w:pStyle w:val="1L"/>
              <w:jc w:val="left"/>
            </w:pPr>
            <w:r w:rsidRPr="00E67914">
              <w:t>规定预案的级别及分级响应程序：</w:t>
            </w:r>
          </w:p>
          <w:p w14:paraId="6F3E3EF7" w14:textId="77777777" w:rsidR="00A54A8A" w:rsidRPr="00E67914" w:rsidRDefault="00000000">
            <w:pPr>
              <w:pStyle w:val="1L"/>
              <w:jc w:val="left"/>
            </w:pPr>
            <w:r w:rsidRPr="00E67914">
              <w:t>把重大环境污染事故定为三级，定性为一般，涉及组织单位为中原油田普光分公司、钻井队和当地环保部门。</w:t>
            </w:r>
          </w:p>
          <w:p w14:paraId="42028A15" w14:textId="77777777" w:rsidR="00A54A8A" w:rsidRPr="00E67914" w:rsidRDefault="00000000">
            <w:pPr>
              <w:pStyle w:val="1L"/>
              <w:jc w:val="left"/>
            </w:pPr>
            <w:r w:rsidRPr="00E67914">
              <w:t>井喷及井喷失控定为一级。涉及组织单位为中原油田普光分公司、钻井队及其管理单位、当地政府。响应程度依次增强。</w:t>
            </w:r>
          </w:p>
        </w:tc>
      </w:tr>
      <w:tr w:rsidR="00E67914" w:rsidRPr="00E67914" w14:paraId="00D2CBE7" w14:textId="77777777">
        <w:trPr>
          <w:jc w:val="center"/>
        </w:trPr>
        <w:tc>
          <w:tcPr>
            <w:tcW w:w="428" w:type="pct"/>
            <w:vAlign w:val="center"/>
          </w:tcPr>
          <w:p w14:paraId="7A89002D" w14:textId="77777777" w:rsidR="00A54A8A" w:rsidRPr="00E67914" w:rsidRDefault="00000000">
            <w:pPr>
              <w:pStyle w:val="1L"/>
            </w:pPr>
            <w:r w:rsidRPr="00E67914">
              <w:t>4</w:t>
            </w:r>
          </w:p>
        </w:tc>
        <w:tc>
          <w:tcPr>
            <w:tcW w:w="700" w:type="pct"/>
            <w:vAlign w:val="center"/>
          </w:tcPr>
          <w:p w14:paraId="74D8AF90" w14:textId="77777777" w:rsidR="00A54A8A" w:rsidRPr="00E67914" w:rsidRDefault="00000000">
            <w:pPr>
              <w:pStyle w:val="1L"/>
            </w:pPr>
            <w:r w:rsidRPr="00E67914">
              <w:t>应急救援</w:t>
            </w:r>
          </w:p>
          <w:p w14:paraId="37D412D6" w14:textId="77777777" w:rsidR="00A54A8A" w:rsidRPr="00E67914" w:rsidRDefault="00000000">
            <w:pPr>
              <w:pStyle w:val="1L"/>
            </w:pPr>
            <w:r w:rsidRPr="00E67914">
              <w:t>保障</w:t>
            </w:r>
          </w:p>
        </w:tc>
        <w:tc>
          <w:tcPr>
            <w:tcW w:w="3872" w:type="pct"/>
            <w:vAlign w:val="center"/>
          </w:tcPr>
          <w:p w14:paraId="5DE36864" w14:textId="77777777" w:rsidR="00A54A8A" w:rsidRPr="00E67914" w:rsidRDefault="00000000">
            <w:pPr>
              <w:pStyle w:val="1L"/>
              <w:jc w:val="left"/>
            </w:pPr>
            <w:r w:rsidRPr="00E67914">
              <w:t>应急设施，设备与器材等：</w:t>
            </w:r>
          </w:p>
          <w:p w14:paraId="7828BD8F" w14:textId="77777777" w:rsidR="00A54A8A" w:rsidRPr="00E67914" w:rsidRDefault="00000000">
            <w:pPr>
              <w:pStyle w:val="1L"/>
              <w:jc w:val="left"/>
            </w:pPr>
            <w:r w:rsidRPr="00E67914">
              <w:t>井场配备</w:t>
            </w:r>
            <w:r w:rsidRPr="00E67914">
              <w:t>H</w:t>
            </w:r>
            <w:r w:rsidRPr="00E67914">
              <w:rPr>
                <w:vertAlign w:val="subscript"/>
              </w:rPr>
              <w:t>2</w:t>
            </w:r>
            <w:r w:rsidRPr="00E67914">
              <w:t>S</w:t>
            </w:r>
            <w:r w:rsidRPr="00E67914">
              <w:t>测试、防毒、医疗、消防、疏散等应急设施。</w:t>
            </w:r>
          </w:p>
          <w:p w14:paraId="4DFD131B" w14:textId="77777777" w:rsidR="00A54A8A" w:rsidRPr="00E67914" w:rsidRDefault="00000000">
            <w:pPr>
              <w:pStyle w:val="1L"/>
              <w:jc w:val="left"/>
            </w:pPr>
            <w:r w:rsidRPr="00E67914">
              <w:t>钻开气层前通知当地医院、消防队等方面救援保障力量以及钻井队主管部门、普光分公司的应急救援单位。</w:t>
            </w:r>
          </w:p>
        </w:tc>
      </w:tr>
      <w:tr w:rsidR="00E67914" w:rsidRPr="00E67914" w14:paraId="78D9C3E6" w14:textId="77777777">
        <w:trPr>
          <w:jc w:val="center"/>
        </w:trPr>
        <w:tc>
          <w:tcPr>
            <w:tcW w:w="428" w:type="pct"/>
            <w:vAlign w:val="center"/>
          </w:tcPr>
          <w:p w14:paraId="31E50F45" w14:textId="77777777" w:rsidR="00A54A8A" w:rsidRPr="00E67914" w:rsidRDefault="00000000">
            <w:pPr>
              <w:pStyle w:val="1L"/>
            </w:pPr>
            <w:r w:rsidRPr="00E67914">
              <w:t>5</w:t>
            </w:r>
          </w:p>
        </w:tc>
        <w:tc>
          <w:tcPr>
            <w:tcW w:w="700" w:type="pct"/>
            <w:vAlign w:val="center"/>
          </w:tcPr>
          <w:p w14:paraId="3B87A64E" w14:textId="77777777" w:rsidR="00A54A8A" w:rsidRPr="00E67914" w:rsidRDefault="00000000">
            <w:pPr>
              <w:pStyle w:val="1L"/>
            </w:pPr>
            <w:r w:rsidRPr="00E67914">
              <w:t>报警、通讯联络方式</w:t>
            </w:r>
          </w:p>
        </w:tc>
        <w:tc>
          <w:tcPr>
            <w:tcW w:w="3872" w:type="pct"/>
            <w:vAlign w:val="center"/>
          </w:tcPr>
          <w:p w14:paraId="5E03D451" w14:textId="77777777" w:rsidR="00A54A8A" w:rsidRPr="00E67914" w:rsidRDefault="00000000">
            <w:pPr>
              <w:pStyle w:val="1L"/>
              <w:jc w:val="left"/>
            </w:pPr>
            <w:r w:rsidRPr="00E67914">
              <w:t>规定应急状态下的报警通讯方式、通知方式和交通保障、管制：</w:t>
            </w:r>
          </w:p>
          <w:p w14:paraId="53F4FEA4" w14:textId="77777777" w:rsidR="00A54A8A" w:rsidRPr="00E67914" w:rsidRDefault="00000000">
            <w:pPr>
              <w:pStyle w:val="1L"/>
              <w:jc w:val="left"/>
            </w:pPr>
            <w:r w:rsidRPr="00E67914">
              <w:t>协调井队通过广播系统和电话通知。至少在</w:t>
            </w:r>
            <w:r w:rsidRPr="00E67914">
              <w:t>1</w:t>
            </w:r>
            <w:r w:rsidRPr="00E67914">
              <w:t>个小组设</w:t>
            </w:r>
            <w:r w:rsidRPr="00E67914">
              <w:t>2</w:t>
            </w:r>
            <w:r w:rsidRPr="00E67914">
              <w:t>个电话联络点。小组通知人员应指定</w:t>
            </w:r>
            <w:r w:rsidRPr="00E67914">
              <w:t>4</w:t>
            </w:r>
            <w:r w:rsidRPr="00E67914">
              <w:t>人负责通知本小组内的居民。并电话通知当地交警队负责交通保障、管制，不允许非救援车辆进入危险井口周边区域。</w:t>
            </w:r>
          </w:p>
        </w:tc>
      </w:tr>
      <w:tr w:rsidR="00E67914" w:rsidRPr="00E67914" w14:paraId="78C5AC91" w14:textId="77777777">
        <w:trPr>
          <w:trHeight w:val="63"/>
          <w:jc w:val="center"/>
        </w:trPr>
        <w:tc>
          <w:tcPr>
            <w:tcW w:w="428" w:type="pct"/>
            <w:vAlign w:val="center"/>
          </w:tcPr>
          <w:p w14:paraId="553D4517" w14:textId="77777777" w:rsidR="00A54A8A" w:rsidRPr="00E67914" w:rsidRDefault="00000000">
            <w:pPr>
              <w:pStyle w:val="1L"/>
            </w:pPr>
            <w:r w:rsidRPr="00E67914">
              <w:t>6</w:t>
            </w:r>
          </w:p>
        </w:tc>
        <w:tc>
          <w:tcPr>
            <w:tcW w:w="700" w:type="pct"/>
            <w:vAlign w:val="center"/>
          </w:tcPr>
          <w:p w14:paraId="2A906AFC" w14:textId="77777777" w:rsidR="00A54A8A" w:rsidRPr="00E67914" w:rsidRDefault="00000000">
            <w:pPr>
              <w:pStyle w:val="1L"/>
            </w:pPr>
            <w:r w:rsidRPr="00E67914">
              <w:t>应急环境监测、抢险、救援及控制</w:t>
            </w:r>
          </w:p>
          <w:p w14:paraId="0165010B" w14:textId="77777777" w:rsidR="00A54A8A" w:rsidRPr="00E67914" w:rsidRDefault="00000000">
            <w:pPr>
              <w:pStyle w:val="1L"/>
            </w:pPr>
            <w:r w:rsidRPr="00E67914">
              <w:t>措施</w:t>
            </w:r>
          </w:p>
        </w:tc>
        <w:tc>
          <w:tcPr>
            <w:tcW w:w="3872" w:type="pct"/>
            <w:vAlign w:val="center"/>
          </w:tcPr>
          <w:p w14:paraId="1AE5BF04" w14:textId="77777777" w:rsidR="00A54A8A" w:rsidRPr="00E67914" w:rsidRDefault="00000000">
            <w:pPr>
              <w:pStyle w:val="1L"/>
              <w:jc w:val="left"/>
            </w:pPr>
            <w:r w:rsidRPr="00E67914">
              <w:t>环境应急监测可组织协调当地环境监测中心站。</w:t>
            </w:r>
          </w:p>
          <w:p w14:paraId="7ADDC2E2" w14:textId="77777777" w:rsidR="00A54A8A" w:rsidRPr="00E67914" w:rsidRDefault="00000000">
            <w:pPr>
              <w:pStyle w:val="1L"/>
              <w:jc w:val="left"/>
            </w:pPr>
            <w:r w:rsidRPr="00E67914">
              <w:t>抢险、救援组织协调当地消防队、医院和钻井主管部门及普光分公司的应急队伍。</w:t>
            </w:r>
          </w:p>
          <w:p w14:paraId="288A59EB" w14:textId="77777777" w:rsidR="00A54A8A" w:rsidRPr="00E67914" w:rsidRDefault="00000000">
            <w:pPr>
              <w:pStyle w:val="1L"/>
              <w:jc w:val="left"/>
            </w:pPr>
            <w:r w:rsidRPr="00E67914">
              <w:t>控制措施主要由钻井队和其管理部门、普光分公司等部门共同协商控制。</w:t>
            </w:r>
          </w:p>
          <w:p w14:paraId="5EA84757" w14:textId="77777777" w:rsidR="00A54A8A" w:rsidRPr="00E67914" w:rsidRDefault="00000000">
            <w:pPr>
              <w:pStyle w:val="1L"/>
              <w:jc w:val="left"/>
            </w:pPr>
            <w:r w:rsidRPr="00E67914">
              <w:t>井喷失控的关键控制措施：应立即组织撤离井口周边</w:t>
            </w:r>
            <w:r w:rsidRPr="00E67914">
              <w:t>500m</w:t>
            </w:r>
            <w:r w:rsidRPr="00E67914">
              <w:t>的居</w:t>
            </w:r>
            <w:r w:rsidRPr="00E67914">
              <w:lastRenderedPageBreak/>
              <w:t>民。同时保证井喷失控在</w:t>
            </w:r>
            <w:r w:rsidRPr="00E67914">
              <w:t>15min</w:t>
            </w:r>
            <w:r w:rsidRPr="00E67914">
              <w:t>内点火，燃烧泄漏天然气。</w:t>
            </w:r>
          </w:p>
        </w:tc>
      </w:tr>
      <w:tr w:rsidR="00E67914" w:rsidRPr="00E67914" w14:paraId="42B8F96F" w14:textId="77777777">
        <w:trPr>
          <w:jc w:val="center"/>
        </w:trPr>
        <w:tc>
          <w:tcPr>
            <w:tcW w:w="428" w:type="pct"/>
            <w:vAlign w:val="center"/>
          </w:tcPr>
          <w:p w14:paraId="527A4051" w14:textId="77777777" w:rsidR="00A54A8A" w:rsidRPr="00E67914" w:rsidRDefault="00000000">
            <w:pPr>
              <w:pStyle w:val="1L"/>
            </w:pPr>
            <w:r w:rsidRPr="00E67914">
              <w:lastRenderedPageBreak/>
              <w:t>7</w:t>
            </w:r>
          </w:p>
        </w:tc>
        <w:tc>
          <w:tcPr>
            <w:tcW w:w="700" w:type="pct"/>
            <w:vAlign w:val="center"/>
          </w:tcPr>
          <w:p w14:paraId="37025731" w14:textId="77777777" w:rsidR="00A54A8A" w:rsidRPr="00E67914" w:rsidRDefault="00000000">
            <w:pPr>
              <w:pStyle w:val="1L"/>
            </w:pPr>
            <w:r w:rsidRPr="00E67914">
              <w:t>应急检测、防护措施、清除泄漏措施和器材</w:t>
            </w:r>
          </w:p>
        </w:tc>
        <w:tc>
          <w:tcPr>
            <w:tcW w:w="3872" w:type="pct"/>
            <w:vAlign w:val="center"/>
          </w:tcPr>
          <w:p w14:paraId="6FD7BEA0" w14:textId="77777777" w:rsidR="00A54A8A" w:rsidRPr="00E67914" w:rsidRDefault="00000000">
            <w:pPr>
              <w:pStyle w:val="1L"/>
              <w:jc w:val="left"/>
            </w:pPr>
            <w:r w:rsidRPr="00E67914">
              <w:t>应急检测、防护采用井队配备的设备和消防队伍的设备，必要可增加普光分公司、钻井队主管部门的检测防护设备。清除泄漏必要时可通过消防车喷雾状水溶解将大气污染物转化为地表水污染物。</w:t>
            </w:r>
          </w:p>
        </w:tc>
      </w:tr>
      <w:tr w:rsidR="00E67914" w:rsidRPr="00E67914" w14:paraId="0DD7BEC0" w14:textId="77777777">
        <w:trPr>
          <w:jc w:val="center"/>
        </w:trPr>
        <w:tc>
          <w:tcPr>
            <w:tcW w:w="428" w:type="pct"/>
            <w:vAlign w:val="center"/>
          </w:tcPr>
          <w:p w14:paraId="4D45F429" w14:textId="77777777" w:rsidR="00A54A8A" w:rsidRPr="00E67914" w:rsidRDefault="00000000">
            <w:pPr>
              <w:pStyle w:val="1L"/>
            </w:pPr>
            <w:r w:rsidRPr="00E67914">
              <w:t>8</w:t>
            </w:r>
          </w:p>
        </w:tc>
        <w:tc>
          <w:tcPr>
            <w:tcW w:w="700" w:type="pct"/>
            <w:vAlign w:val="center"/>
          </w:tcPr>
          <w:p w14:paraId="0FB4A4C3" w14:textId="77777777" w:rsidR="00A54A8A" w:rsidRPr="00E67914" w:rsidRDefault="00000000">
            <w:pPr>
              <w:pStyle w:val="1L"/>
            </w:pPr>
            <w:r w:rsidRPr="00E67914">
              <w:t>人员紧急撤离、疏散，应急剂量控制、撤离组织计划</w:t>
            </w:r>
          </w:p>
        </w:tc>
        <w:tc>
          <w:tcPr>
            <w:tcW w:w="3872" w:type="pct"/>
            <w:vAlign w:val="center"/>
          </w:tcPr>
          <w:p w14:paraId="2021747B" w14:textId="77777777" w:rsidR="00A54A8A" w:rsidRPr="00E67914" w:rsidRDefault="00000000">
            <w:pPr>
              <w:pStyle w:val="1L"/>
              <w:jc w:val="left"/>
            </w:pPr>
            <w:r w:rsidRPr="00E67914">
              <w:t>紧急撤离区：井口外</w:t>
            </w:r>
            <w:r w:rsidRPr="00E67914">
              <w:t>500m</w:t>
            </w:r>
            <w:r w:rsidRPr="00E67914">
              <w:t>范围为紧急撤离区。撤离路线应根据钻井井场风向标，沿发生事故时的上风向方向或侧风向远离事故源方向撤离。通过高音喇叭、广播、电话及时通知周边各户居民，保证全部及时通知撤离。</w:t>
            </w:r>
          </w:p>
          <w:p w14:paraId="3E7E4988" w14:textId="77777777" w:rsidR="00A54A8A" w:rsidRPr="00E67914" w:rsidRDefault="00000000">
            <w:pPr>
              <w:pStyle w:val="1L"/>
              <w:jc w:val="left"/>
            </w:pPr>
            <w:r w:rsidRPr="00E67914">
              <w:t>一般撤离区：当发生井喷失控时，一般撤离范围可根据监测情况决定。在发生事故时应自发和在应急组织机构的带领下及时撤离。撤离路线应根据钻井井场风向标，沿发生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w:t>
            </w:r>
            <w:r w:rsidRPr="00E67914">
              <w:t>2</w:t>
            </w:r>
            <w:r w:rsidRPr="00E67914">
              <w:t>个联络点。小组负责人指定</w:t>
            </w:r>
            <w:r w:rsidRPr="00E67914">
              <w:t>4</w:t>
            </w:r>
            <w:r w:rsidRPr="00E67914">
              <w:t>人负责通知小组内的居民。</w:t>
            </w:r>
          </w:p>
        </w:tc>
      </w:tr>
      <w:tr w:rsidR="00E67914" w:rsidRPr="00E67914" w14:paraId="4933FB4F" w14:textId="77777777">
        <w:trPr>
          <w:jc w:val="center"/>
        </w:trPr>
        <w:tc>
          <w:tcPr>
            <w:tcW w:w="428" w:type="pct"/>
            <w:vAlign w:val="center"/>
          </w:tcPr>
          <w:p w14:paraId="28BD8526" w14:textId="77777777" w:rsidR="00A54A8A" w:rsidRPr="00E67914" w:rsidRDefault="00000000">
            <w:pPr>
              <w:pStyle w:val="1L"/>
            </w:pPr>
            <w:r w:rsidRPr="00E67914">
              <w:t>9</w:t>
            </w:r>
          </w:p>
        </w:tc>
        <w:tc>
          <w:tcPr>
            <w:tcW w:w="700" w:type="pct"/>
            <w:vAlign w:val="center"/>
          </w:tcPr>
          <w:p w14:paraId="09A9BB87" w14:textId="77777777" w:rsidR="00A54A8A" w:rsidRPr="00E67914" w:rsidRDefault="00000000">
            <w:pPr>
              <w:pStyle w:val="1L"/>
            </w:pPr>
            <w:r w:rsidRPr="00E67914">
              <w:t>事故应急救援关闭程序与恢复措施</w:t>
            </w:r>
          </w:p>
        </w:tc>
        <w:tc>
          <w:tcPr>
            <w:tcW w:w="3872" w:type="pct"/>
            <w:vAlign w:val="center"/>
          </w:tcPr>
          <w:p w14:paraId="4F8BF0C6" w14:textId="77777777" w:rsidR="00A54A8A" w:rsidRPr="00E67914" w:rsidRDefault="00000000">
            <w:pPr>
              <w:pStyle w:val="1L"/>
              <w:jc w:val="left"/>
            </w:pPr>
            <w:r w:rsidRPr="00E67914">
              <w:t>规定应急状态终止程序事故现场善后处理，恢复措施邻近区域解除事故警戒及善后恢复措施</w:t>
            </w:r>
          </w:p>
          <w:p w14:paraId="46A0C7C0" w14:textId="77777777" w:rsidR="00A54A8A" w:rsidRPr="00E67914" w:rsidRDefault="00000000">
            <w:pPr>
              <w:pStyle w:val="1L"/>
              <w:jc w:val="left"/>
            </w:pPr>
            <w:r w:rsidRPr="00E67914">
              <w:t>（</w:t>
            </w:r>
            <w:r w:rsidRPr="00E67914">
              <w:t>1</w:t>
            </w:r>
            <w:r w:rsidRPr="00E67914">
              <w:t>）井喷失控得到控制，伤亡人员得到全部救援和安置，危险区域的居民全部撤离。</w:t>
            </w:r>
          </w:p>
          <w:p w14:paraId="211BF934" w14:textId="77777777" w:rsidR="00A54A8A" w:rsidRPr="00E67914" w:rsidRDefault="00000000">
            <w:pPr>
              <w:pStyle w:val="1L"/>
              <w:jc w:val="left"/>
            </w:pPr>
            <w:r w:rsidRPr="00E67914">
              <w:t>（</w:t>
            </w:r>
            <w:r w:rsidRPr="00E67914">
              <w:t>2</w:t>
            </w:r>
            <w:r w:rsidRPr="00E67914">
              <w:t>）恢复措施：对事故伤亡情况进行统计，应做好详细的记录并存档。行政领导组应尽快协调各部做好医疗救护工作，包括医疗经费的提供、受伤人员的住院安排与护理以及善后赔偿等；钻井队主管单位配合相关部门人员对受损设备尽快安排修复并投入生产使用。钻井队主管部门、普光分公司、当地政府成立事故调查小组，调查原因并按</w:t>
            </w:r>
            <w:r w:rsidRPr="00E67914">
              <w:t>“</w:t>
            </w:r>
            <w:r w:rsidRPr="00E67914">
              <w:t>四不放过</w:t>
            </w:r>
            <w:r w:rsidRPr="00E67914">
              <w:t>”</w:t>
            </w:r>
            <w:r w:rsidRPr="00E67914">
              <w:t>的原则进行事故处理；做出事故调查报告，同时总结事件教训，实行安全事故的教育培训，杜绝类似事件的再次发生。</w:t>
            </w:r>
          </w:p>
        </w:tc>
      </w:tr>
      <w:tr w:rsidR="00E67914" w:rsidRPr="00E67914" w14:paraId="560FBCCC" w14:textId="77777777">
        <w:trPr>
          <w:jc w:val="center"/>
        </w:trPr>
        <w:tc>
          <w:tcPr>
            <w:tcW w:w="428" w:type="pct"/>
            <w:vAlign w:val="center"/>
          </w:tcPr>
          <w:p w14:paraId="6A3CE11C" w14:textId="77777777" w:rsidR="00A54A8A" w:rsidRPr="00E67914" w:rsidRDefault="00000000">
            <w:pPr>
              <w:pStyle w:val="1L"/>
            </w:pPr>
            <w:r w:rsidRPr="00E67914">
              <w:t>10</w:t>
            </w:r>
          </w:p>
        </w:tc>
        <w:tc>
          <w:tcPr>
            <w:tcW w:w="700" w:type="pct"/>
            <w:vAlign w:val="center"/>
          </w:tcPr>
          <w:p w14:paraId="3C94E017" w14:textId="77777777" w:rsidR="00A54A8A" w:rsidRPr="00E67914" w:rsidRDefault="00000000">
            <w:pPr>
              <w:pStyle w:val="1L"/>
            </w:pPr>
            <w:r w:rsidRPr="00E67914">
              <w:t>应急培训</w:t>
            </w:r>
          </w:p>
          <w:p w14:paraId="3665A1EE" w14:textId="77777777" w:rsidR="00A54A8A" w:rsidRPr="00E67914" w:rsidRDefault="00000000">
            <w:pPr>
              <w:pStyle w:val="1L"/>
            </w:pPr>
            <w:r w:rsidRPr="00E67914">
              <w:t>计划</w:t>
            </w:r>
          </w:p>
        </w:tc>
        <w:tc>
          <w:tcPr>
            <w:tcW w:w="3872" w:type="pct"/>
            <w:vAlign w:val="center"/>
          </w:tcPr>
          <w:p w14:paraId="7401FD8D" w14:textId="77777777" w:rsidR="00A54A8A" w:rsidRPr="00E67914" w:rsidRDefault="00000000">
            <w:pPr>
              <w:pStyle w:val="1L"/>
              <w:jc w:val="left"/>
            </w:pPr>
            <w:r w:rsidRPr="00E67914">
              <w:t>应急计划制定后，平时安排人员培训与演练：</w:t>
            </w:r>
          </w:p>
          <w:p w14:paraId="0B68FF1D" w14:textId="77777777" w:rsidR="00A54A8A" w:rsidRPr="00E67914" w:rsidRDefault="00000000">
            <w:pPr>
              <w:pStyle w:val="1L"/>
              <w:jc w:val="left"/>
            </w:pPr>
            <w:r w:rsidRPr="00E67914">
              <w:t>着重在钻含气层前的演练，把井口周边</w:t>
            </w:r>
            <w:r w:rsidRPr="00E67914">
              <w:t>500m</w:t>
            </w:r>
            <w:r w:rsidRPr="00E67914">
              <w:t>范围内居民纳入培训、演练队伍。井队安全监督要对井队全体员工进行应急救援培训，提高员工的应急救援能力。加强对组织人员向井场附近居民宣传</w:t>
            </w:r>
            <w:r w:rsidRPr="00E67914">
              <w:t>H</w:t>
            </w:r>
            <w:r w:rsidRPr="00E67914">
              <w:rPr>
                <w:vertAlign w:val="subscript"/>
              </w:rPr>
              <w:t>2</w:t>
            </w:r>
            <w:r w:rsidRPr="00E67914">
              <w:t>S</w:t>
            </w:r>
            <w:r w:rsidRPr="00E67914">
              <w:t>和井喷的危害及相关知识。井队队长及安全员负责指定应急培训计划，定期对应急组织机构成员和应急保障系统、应急信息的有关人员进行综合性应急培训并做好培训记录。应急演练应每个月开展一次，进入气层后半个月开展一次，通过演练掌握应急人员在应急抢险中对预案的熟悉程度和能力，二是加强抢险应急设备的维护保养，检查是否备足所需应急材料。</w:t>
            </w:r>
          </w:p>
        </w:tc>
      </w:tr>
      <w:tr w:rsidR="00E67914" w:rsidRPr="00E67914" w14:paraId="1906ABF6" w14:textId="77777777">
        <w:trPr>
          <w:jc w:val="center"/>
        </w:trPr>
        <w:tc>
          <w:tcPr>
            <w:tcW w:w="428" w:type="pct"/>
            <w:vAlign w:val="center"/>
          </w:tcPr>
          <w:p w14:paraId="34CABFF7" w14:textId="77777777" w:rsidR="00A54A8A" w:rsidRPr="00E67914" w:rsidRDefault="00000000">
            <w:pPr>
              <w:pStyle w:val="1L"/>
            </w:pPr>
            <w:r w:rsidRPr="00E67914">
              <w:t>11</w:t>
            </w:r>
          </w:p>
        </w:tc>
        <w:tc>
          <w:tcPr>
            <w:tcW w:w="700" w:type="pct"/>
            <w:vAlign w:val="center"/>
          </w:tcPr>
          <w:p w14:paraId="6133491C" w14:textId="77777777" w:rsidR="00A54A8A" w:rsidRPr="00E67914" w:rsidRDefault="00000000">
            <w:pPr>
              <w:pStyle w:val="1L"/>
            </w:pPr>
            <w:r w:rsidRPr="00E67914">
              <w:t>公众教育和信息</w:t>
            </w:r>
          </w:p>
        </w:tc>
        <w:tc>
          <w:tcPr>
            <w:tcW w:w="3872" w:type="pct"/>
            <w:vAlign w:val="center"/>
          </w:tcPr>
          <w:p w14:paraId="0788A3F9" w14:textId="77777777" w:rsidR="00A54A8A" w:rsidRPr="00E67914" w:rsidRDefault="00000000">
            <w:pPr>
              <w:pStyle w:val="1L"/>
              <w:jc w:val="left"/>
            </w:pPr>
            <w:bookmarkStart w:id="194" w:name="OLE_LINK418"/>
            <w:bookmarkStart w:id="195" w:name="OLE_LINK417"/>
            <w:r w:rsidRPr="00E67914">
              <w:t>对井场邻近地区开展公众教育、培训和发布有关信息：</w:t>
            </w:r>
            <w:bookmarkEnd w:id="194"/>
            <w:bookmarkEnd w:id="195"/>
          </w:p>
          <w:p w14:paraId="2007310B" w14:textId="77777777" w:rsidR="00A54A8A" w:rsidRPr="00E67914" w:rsidRDefault="00000000">
            <w:pPr>
              <w:pStyle w:val="1L"/>
              <w:jc w:val="left"/>
            </w:pPr>
            <w:r w:rsidRPr="00E67914">
              <w:t>安全距离内居民进行公众教育，发宣传册。钻井工程前，要向可能危及居民安全范围内进行</w:t>
            </w:r>
            <w:r w:rsidRPr="00E67914">
              <w:t>H</w:t>
            </w:r>
            <w:r w:rsidRPr="00E67914">
              <w:rPr>
                <w:vertAlign w:val="subscript"/>
              </w:rPr>
              <w:t>2</w:t>
            </w:r>
            <w:r w:rsidRPr="00E67914">
              <w:t>S</w:t>
            </w:r>
            <w:r w:rsidRPr="00E67914">
              <w:t>安全知识和遇紧急情况时的应急预案教育，提出紧急情况下的安全撤离要求。</w:t>
            </w:r>
          </w:p>
          <w:p w14:paraId="4EF14591" w14:textId="77777777" w:rsidR="00A54A8A" w:rsidRPr="00E67914" w:rsidRDefault="00000000">
            <w:pPr>
              <w:pStyle w:val="1L"/>
              <w:jc w:val="left"/>
            </w:pPr>
            <w:r w:rsidRPr="00E67914">
              <w:t>施工单位应主动联系当地政府，对紧急撤离区范围内的居民通过发放宣传册普及安全知识，内容应有危害程度、防范应急救护措施。同时应在进入含硫气层前对</w:t>
            </w:r>
            <w:r w:rsidRPr="00E67914">
              <w:t>500m</w:t>
            </w:r>
            <w:r w:rsidRPr="00E67914">
              <w:t>范围内的居民进行应急演练一次。对一般撤离区范围居民发放宣传册普及安全知识，内容应有危</w:t>
            </w:r>
            <w:r w:rsidRPr="00E67914">
              <w:lastRenderedPageBreak/>
              <w:t>害程度、防范应急救护措施。</w:t>
            </w:r>
          </w:p>
        </w:tc>
      </w:tr>
      <w:tr w:rsidR="00E67914" w:rsidRPr="00E67914" w14:paraId="4022A5A0" w14:textId="77777777">
        <w:trPr>
          <w:jc w:val="center"/>
        </w:trPr>
        <w:tc>
          <w:tcPr>
            <w:tcW w:w="428" w:type="pct"/>
            <w:vAlign w:val="center"/>
          </w:tcPr>
          <w:p w14:paraId="2FFFBF81" w14:textId="77777777" w:rsidR="00A54A8A" w:rsidRPr="00E67914" w:rsidRDefault="00000000">
            <w:pPr>
              <w:pStyle w:val="1L"/>
            </w:pPr>
            <w:r w:rsidRPr="00E67914">
              <w:lastRenderedPageBreak/>
              <w:t>12</w:t>
            </w:r>
          </w:p>
        </w:tc>
        <w:tc>
          <w:tcPr>
            <w:tcW w:w="700" w:type="pct"/>
            <w:vAlign w:val="center"/>
          </w:tcPr>
          <w:p w14:paraId="0162881E" w14:textId="77777777" w:rsidR="00A54A8A" w:rsidRPr="00E67914" w:rsidRDefault="00000000">
            <w:pPr>
              <w:pStyle w:val="1L"/>
            </w:pPr>
            <w:r w:rsidRPr="00E67914">
              <w:t>夜间特别管理机制</w:t>
            </w:r>
          </w:p>
        </w:tc>
        <w:tc>
          <w:tcPr>
            <w:tcW w:w="3872" w:type="pct"/>
            <w:vAlign w:val="center"/>
          </w:tcPr>
          <w:p w14:paraId="3C0C889E" w14:textId="77777777" w:rsidR="00A54A8A" w:rsidRPr="00E67914" w:rsidRDefault="00000000">
            <w:pPr>
              <w:pStyle w:val="1L"/>
              <w:jc w:val="left"/>
            </w:pPr>
            <w:r w:rsidRPr="00E67914">
              <w:t>井场配备高音喇叭、防爆灯具，以便夜间事故及时通知周边较近距离的居民，防爆灯具应布置在井场内风向标处，以便井场人员和周边较近居民可判断风向，带领其他人员撤离。</w:t>
            </w:r>
          </w:p>
          <w:p w14:paraId="47E1E533" w14:textId="77777777" w:rsidR="00A54A8A" w:rsidRPr="00E67914" w:rsidRDefault="00000000">
            <w:pPr>
              <w:pStyle w:val="1L"/>
              <w:jc w:val="left"/>
            </w:pPr>
            <w:r w:rsidRPr="00E67914">
              <w:t>井场实行轮班制度，保证夜间各岗位有相应值班人员。对居民进行公众教育、培训中应强调夜间自救内容，要求居民夜间保持通讯设备的畅通，夜间不关手机等教育。强调在钻气层期间夜间保持一定的警惕，提出在夜间事故报警后应立即穿少量衣服，及时保证人员撤离。</w:t>
            </w:r>
          </w:p>
        </w:tc>
      </w:tr>
      <w:tr w:rsidR="00E67914" w:rsidRPr="00E67914" w14:paraId="7E46EE9E" w14:textId="77777777">
        <w:trPr>
          <w:jc w:val="center"/>
        </w:trPr>
        <w:tc>
          <w:tcPr>
            <w:tcW w:w="428" w:type="pct"/>
            <w:vAlign w:val="center"/>
          </w:tcPr>
          <w:p w14:paraId="0C38CBA3" w14:textId="77777777" w:rsidR="00A54A8A" w:rsidRPr="00E67914" w:rsidRDefault="00000000">
            <w:pPr>
              <w:pStyle w:val="1L"/>
            </w:pPr>
            <w:r w:rsidRPr="00E67914">
              <w:t>13</w:t>
            </w:r>
          </w:p>
        </w:tc>
        <w:tc>
          <w:tcPr>
            <w:tcW w:w="700" w:type="pct"/>
            <w:vAlign w:val="center"/>
          </w:tcPr>
          <w:p w14:paraId="79E8DDE4" w14:textId="77777777" w:rsidR="00A54A8A" w:rsidRPr="00E67914" w:rsidRDefault="00000000">
            <w:pPr>
              <w:pStyle w:val="1L"/>
            </w:pPr>
            <w:r w:rsidRPr="00E67914">
              <w:t>备案</w:t>
            </w:r>
          </w:p>
        </w:tc>
        <w:tc>
          <w:tcPr>
            <w:tcW w:w="3872" w:type="pct"/>
            <w:vAlign w:val="center"/>
          </w:tcPr>
          <w:p w14:paraId="75955E13" w14:textId="77777777" w:rsidR="00A54A8A" w:rsidRPr="00E67914" w:rsidRDefault="00000000">
            <w:pPr>
              <w:pStyle w:val="1L"/>
              <w:jc w:val="left"/>
            </w:pPr>
            <w:r w:rsidRPr="00E67914">
              <w:t>将本项目钻井工程应急预案报送地方环保部门备案。</w:t>
            </w:r>
          </w:p>
        </w:tc>
      </w:tr>
    </w:tbl>
    <w:p w14:paraId="023D1D03" w14:textId="77777777" w:rsidR="00A54A8A" w:rsidRPr="00E67914" w:rsidRDefault="00000000">
      <w:pPr>
        <w:pStyle w:val="2"/>
        <w:ind w:firstLine="480"/>
        <w:rPr>
          <w:szCs w:val="24"/>
          <w:lang w:eastAsia="zh-CN"/>
        </w:rPr>
      </w:pPr>
      <w:bookmarkStart w:id="196" w:name="5.3.7分析结论"/>
      <w:bookmarkStart w:id="197" w:name="_Toc148654240"/>
      <w:bookmarkEnd w:id="196"/>
      <w:r w:rsidRPr="00E67914">
        <w:rPr>
          <w:szCs w:val="24"/>
          <w:lang w:eastAsia="zh-CN"/>
        </w:rPr>
        <w:t>6.7</w:t>
      </w:r>
      <w:r w:rsidRPr="00E67914">
        <w:rPr>
          <w:szCs w:val="24"/>
          <w:lang w:eastAsia="zh-CN"/>
        </w:rPr>
        <w:t>分析结论</w:t>
      </w:r>
      <w:bookmarkEnd w:id="197"/>
    </w:p>
    <w:p w14:paraId="7D8EA812" w14:textId="77777777" w:rsidR="00A54A8A" w:rsidRPr="00E67914" w:rsidRDefault="00000000">
      <w:pPr>
        <w:adjustRightInd w:val="0"/>
        <w:snapToGrid w:val="0"/>
        <w:spacing w:line="360" w:lineRule="auto"/>
        <w:ind w:firstLineChars="200" w:firstLine="480"/>
        <w:rPr>
          <w:rFonts w:ascii="Times New Roman" w:hAnsi="Times New Roman"/>
          <w:sz w:val="24"/>
          <w:szCs w:val="26"/>
          <w:lang w:eastAsia="zh-CN"/>
        </w:rPr>
      </w:pPr>
      <w:r w:rsidRPr="00E67914">
        <w:rPr>
          <w:rFonts w:ascii="Times New Roman" w:hAnsi="Times New Roman"/>
          <w:sz w:val="24"/>
          <w:szCs w:val="26"/>
          <w:lang w:eastAsia="zh-CN"/>
        </w:rPr>
        <w:t>本工程地质条件、钻井深度、地层压力、天然气含量等综合试采条件在行业的试采井中属于中等不利，环境风险大小处于</w:t>
      </w:r>
      <w:r w:rsidRPr="00E67914">
        <w:rPr>
          <w:rFonts w:ascii="Times New Roman" w:hAnsi="Times New Roman"/>
          <w:sz w:val="24"/>
          <w:szCs w:val="26"/>
          <w:lang w:eastAsia="zh-CN"/>
        </w:rPr>
        <w:t>“</w:t>
      </w:r>
      <w:r w:rsidRPr="00E67914">
        <w:rPr>
          <w:rFonts w:ascii="Times New Roman" w:hAnsi="Times New Roman"/>
          <w:sz w:val="24"/>
          <w:szCs w:val="26"/>
          <w:lang w:eastAsia="zh-CN"/>
        </w:rPr>
        <w:t>引入风险削减措施</w:t>
      </w:r>
      <w:r w:rsidRPr="00E67914">
        <w:rPr>
          <w:rFonts w:ascii="Times New Roman" w:hAnsi="Times New Roman"/>
          <w:sz w:val="24"/>
          <w:szCs w:val="26"/>
          <w:lang w:eastAsia="zh-CN"/>
        </w:rPr>
        <w:t>”</w:t>
      </w:r>
      <w:r w:rsidRPr="00E67914">
        <w:rPr>
          <w:rFonts w:ascii="Times New Roman" w:hAnsi="Times New Roman"/>
          <w:sz w:val="24"/>
          <w:szCs w:val="26"/>
          <w:lang w:eastAsia="zh-CN"/>
        </w:rPr>
        <w:t>级别，与工程地层情况类似的相邻井在钻井中未发生井喷失控事故，发生可能诱发井喷失控的不良现象很少，仅表现为井漏，未出现井喷情况。废水、固废、油类物质等设置于罐内或池内，井场分区分级防渗，发生泄露可能性低且有完善应急处置措施。项目发生风险事故的机率小，风险事故对人身安全、健康、环境的后果影响小，但是要尽量采取风险防范措施尽量避免事故发生，同时完善环境风险应急措施，组织编制、学习、演练应急预案以便在事故发生后将影响降低到最小程度，在采取以上措施后，可将工程环境风险控制在可接受范围内，本项目环境风险可接受。</w:t>
      </w:r>
    </w:p>
    <w:p w14:paraId="64D2AC48"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6.7-1  </w:t>
      </w:r>
      <w:r w:rsidRPr="00E67914">
        <w:rPr>
          <w:rFonts w:ascii="Times New Roman" w:eastAsia="黑体" w:hAnsi="Times New Roman"/>
          <w:sz w:val="21"/>
          <w:szCs w:val="21"/>
          <w:lang w:eastAsia="zh-CN"/>
        </w:rPr>
        <w:t>建设项目环境风险简单分析内容表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915"/>
        <w:gridCol w:w="2955"/>
        <w:gridCol w:w="914"/>
        <w:gridCol w:w="2774"/>
      </w:tblGrid>
      <w:tr w:rsidR="00E67914" w:rsidRPr="00E67914" w14:paraId="72F84080" w14:textId="77777777" w:rsidTr="00314D13">
        <w:tc>
          <w:tcPr>
            <w:tcW w:w="0" w:type="auto"/>
            <w:vAlign w:val="center"/>
          </w:tcPr>
          <w:p w14:paraId="01282CBD" w14:textId="77777777" w:rsidR="00A54A8A" w:rsidRPr="00E67914" w:rsidRDefault="00000000">
            <w:pPr>
              <w:adjustRightInd w:val="0"/>
              <w:snapToGrid w:val="0"/>
              <w:rPr>
                <w:rFonts w:ascii="Times New Roman" w:hAnsi="Times New Roman"/>
                <w:sz w:val="21"/>
                <w:szCs w:val="21"/>
              </w:rPr>
            </w:pPr>
            <w:r w:rsidRPr="00E67914">
              <w:rPr>
                <w:rFonts w:ascii="Times New Roman" w:hAnsi="Times New Roman"/>
                <w:sz w:val="21"/>
                <w:szCs w:val="21"/>
              </w:rPr>
              <w:t>建设项目名称</w:t>
            </w:r>
          </w:p>
        </w:tc>
        <w:tc>
          <w:tcPr>
            <w:tcW w:w="0" w:type="auto"/>
            <w:gridSpan w:val="4"/>
            <w:vAlign w:val="center"/>
          </w:tcPr>
          <w:p w14:paraId="7D48F552" w14:textId="26246D6F" w:rsidR="00A54A8A" w:rsidRPr="00E67914" w:rsidRDefault="002662E3">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井台钻井及试采工程</w:t>
            </w:r>
          </w:p>
        </w:tc>
      </w:tr>
      <w:tr w:rsidR="00E67914" w:rsidRPr="00E67914" w14:paraId="3DE04319" w14:textId="77777777" w:rsidTr="00314D13">
        <w:tc>
          <w:tcPr>
            <w:tcW w:w="0" w:type="auto"/>
            <w:vAlign w:val="center"/>
          </w:tcPr>
          <w:p w14:paraId="38CF61AA" w14:textId="77777777" w:rsidR="00A54A8A" w:rsidRPr="00E67914" w:rsidRDefault="00000000">
            <w:pPr>
              <w:adjustRightInd w:val="0"/>
              <w:snapToGrid w:val="0"/>
              <w:rPr>
                <w:rFonts w:ascii="Times New Roman" w:hAnsi="Times New Roman"/>
                <w:sz w:val="21"/>
                <w:szCs w:val="21"/>
              </w:rPr>
            </w:pPr>
            <w:r w:rsidRPr="00E67914">
              <w:rPr>
                <w:rFonts w:ascii="Times New Roman" w:hAnsi="Times New Roman"/>
                <w:sz w:val="21"/>
                <w:szCs w:val="21"/>
              </w:rPr>
              <w:t>建设地点</w:t>
            </w:r>
          </w:p>
        </w:tc>
        <w:tc>
          <w:tcPr>
            <w:tcW w:w="0" w:type="auto"/>
            <w:gridSpan w:val="4"/>
            <w:vAlign w:val="center"/>
          </w:tcPr>
          <w:p w14:paraId="06E297A5" w14:textId="5E1D5993" w:rsidR="00A54A8A" w:rsidRPr="00E67914" w:rsidRDefault="00DD2AA7">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宣汉县普光镇</w:t>
            </w:r>
            <w:r w:rsidR="00AE0282" w:rsidRPr="00E67914">
              <w:rPr>
                <w:rFonts w:ascii="Times New Roman" w:hAnsi="Times New Roman"/>
                <w:sz w:val="21"/>
                <w:szCs w:val="21"/>
                <w:lang w:eastAsia="zh-CN"/>
              </w:rPr>
              <w:t>陡梯村</w:t>
            </w:r>
          </w:p>
        </w:tc>
      </w:tr>
      <w:tr w:rsidR="00E67914" w:rsidRPr="00E67914" w14:paraId="3266BFBB" w14:textId="77777777" w:rsidTr="00314D13">
        <w:tc>
          <w:tcPr>
            <w:tcW w:w="0" w:type="auto"/>
            <w:vAlign w:val="center"/>
          </w:tcPr>
          <w:p w14:paraId="5F7AEBB9" w14:textId="77777777" w:rsidR="00A54A8A" w:rsidRPr="00E67914" w:rsidRDefault="00000000">
            <w:pPr>
              <w:adjustRightInd w:val="0"/>
              <w:snapToGrid w:val="0"/>
              <w:rPr>
                <w:rFonts w:ascii="Times New Roman" w:hAnsi="Times New Roman"/>
                <w:sz w:val="21"/>
                <w:szCs w:val="21"/>
              </w:rPr>
            </w:pPr>
            <w:r w:rsidRPr="00E67914">
              <w:rPr>
                <w:rFonts w:ascii="Times New Roman" w:hAnsi="Times New Roman"/>
                <w:sz w:val="21"/>
                <w:szCs w:val="21"/>
              </w:rPr>
              <w:t>地理坐标</w:t>
            </w:r>
          </w:p>
        </w:tc>
        <w:tc>
          <w:tcPr>
            <w:tcW w:w="0" w:type="auto"/>
            <w:vAlign w:val="center"/>
          </w:tcPr>
          <w:p w14:paraId="09B209A7" w14:textId="77777777" w:rsidR="00A54A8A" w:rsidRPr="00E67914" w:rsidRDefault="00000000">
            <w:pPr>
              <w:adjustRightInd w:val="0"/>
              <w:snapToGrid w:val="0"/>
              <w:rPr>
                <w:rFonts w:ascii="Times New Roman" w:hAnsi="Times New Roman"/>
                <w:sz w:val="21"/>
                <w:szCs w:val="21"/>
              </w:rPr>
            </w:pPr>
            <w:r w:rsidRPr="00E67914">
              <w:rPr>
                <w:rFonts w:ascii="Times New Roman" w:hAnsi="Times New Roman"/>
                <w:sz w:val="21"/>
                <w:szCs w:val="21"/>
              </w:rPr>
              <w:t>经度</w:t>
            </w:r>
          </w:p>
        </w:tc>
        <w:tc>
          <w:tcPr>
            <w:tcW w:w="0" w:type="auto"/>
            <w:vAlign w:val="center"/>
          </w:tcPr>
          <w:p w14:paraId="0E28FF4C" w14:textId="252071F3" w:rsidR="00A54A8A" w:rsidRPr="00E67914" w:rsidRDefault="00314D13">
            <w:pPr>
              <w:adjustRightInd w:val="0"/>
              <w:snapToGrid w:val="0"/>
              <w:rPr>
                <w:rFonts w:ascii="Times New Roman" w:hAnsi="Times New Roman"/>
                <w:sz w:val="21"/>
                <w:szCs w:val="21"/>
              </w:rPr>
            </w:pPr>
            <w:r w:rsidRPr="00E67914">
              <w:rPr>
                <w:rFonts w:ascii="Times New Roman" w:hAnsi="Times New Roman"/>
                <w:sz w:val="21"/>
                <w:szCs w:val="21"/>
                <w:lang w:eastAsia="zh-CN"/>
              </w:rPr>
              <w:t>107.759753737°</w:t>
            </w:r>
            <w:r w:rsidRPr="00E67914">
              <w:rPr>
                <w:rFonts w:ascii="Times New Roman" w:hAnsi="Times New Roman"/>
                <w:sz w:val="21"/>
                <w:szCs w:val="21"/>
                <w:lang w:eastAsia="zh-CN"/>
              </w:rPr>
              <w:t>东</w:t>
            </w:r>
          </w:p>
        </w:tc>
        <w:tc>
          <w:tcPr>
            <w:tcW w:w="0" w:type="auto"/>
            <w:vAlign w:val="center"/>
          </w:tcPr>
          <w:p w14:paraId="55D6BFDB" w14:textId="77777777" w:rsidR="00A54A8A" w:rsidRPr="00E67914" w:rsidRDefault="00000000">
            <w:pPr>
              <w:adjustRightInd w:val="0"/>
              <w:snapToGrid w:val="0"/>
              <w:rPr>
                <w:rFonts w:ascii="Times New Roman" w:hAnsi="Times New Roman"/>
                <w:sz w:val="21"/>
                <w:szCs w:val="21"/>
              </w:rPr>
            </w:pPr>
            <w:r w:rsidRPr="00E67914">
              <w:rPr>
                <w:rFonts w:ascii="Times New Roman" w:hAnsi="Times New Roman"/>
                <w:sz w:val="21"/>
                <w:szCs w:val="21"/>
              </w:rPr>
              <w:t>纬度</w:t>
            </w:r>
          </w:p>
        </w:tc>
        <w:tc>
          <w:tcPr>
            <w:tcW w:w="0" w:type="auto"/>
            <w:vAlign w:val="center"/>
          </w:tcPr>
          <w:p w14:paraId="2A8B05B5" w14:textId="70F9122E" w:rsidR="00A54A8A" w:rsidRPr="00E67914" w:rsidRDefault="00314D13">
            <w:pPr>
              <w:adjustRightInd w:val="0"/>
              <w:snapToGrid w:val="0"/>
              <w:rPr>
                <w:rFonts w:ascii="Times New Roman" w:hAnsi="Times New Roman"/>
                <w:sz w:val="21"/>
                <w:szCs w:val="21"/>
              </w:rPr>
            </w:pPr>
            <w:r w:rsidRPr="00E67914">
              <w:rPr>
                <w:rFonts w:ascii="Times New Roman" w:hAnsi="Times New Roman"/>
                <w:sz w:val="21"/>
                <w:szCs w:val="21"/>
                <w:lang w:eastAsia="zh-CN"/>
              </w:rPr>
              <w:t>31.519650132°</w:t>
            </w:r>
            <w:r w:rsidRPr="00E67914">
              <w:rPr>
                <w:rFonts w:ascii="Times New Roman" w:hAnsi="Times New Roman"/>
                <w:sz w:val="21"/>
                <w:szCs w:val="21"/>
                <w:lang w:eastAsia="zh-CN"/>
              </w:rPr>
              <w:t>北</w:t>
            </w:r>
          </w:p>
        </w:tc>
      </w:tr>
      <w:tr w:rsidR="00E67914" w:rsidRPr="00E67914" w14:paraId="3FA8E05D" w14:textId="77777777" w:rsidTr="00314D13">
        <w:tc>
          <w:tcPr>
            <w:tcW w:w="0" w:type="auto"/>
            <w:vAlign w:val="center"/>
          </w:tcPr>
          <w:p w14:paraId="2AD62DA5" w14:textId="77777777" w:rsidR="00A54A8A" w:rsidRPr="00E67914" w:rsidRDefault="00000000">
            <w:pPr>
              <w:adjustRightInd w:val="0"/>
              <w:snapToGrid w:val="0"/>
              <w:rPr>
                <w:rFonts w:ascii="Times New Roman" w:hAnsi="Times New Roman"/>
                <w:sz w:val="21"/>
                <w:szCs w:val="21"/>
              </w:rPr>
            </w:pPr>
            <w:r w:rsidRPr="00E67914">
              <w:rPr>
                <w:rFonts w:ascii="Times New Roman" w:hAnsi="Times New Roman"/>
                <w:sz w:val="21"/>
                <w:szCs w:val="21"/>
              </w:rPr>
              <w:t>主要危险物质及分布</w:t>
            </w:r>
          </w:p>
        </w:tc>
        <w:tc>
          <w:tcPr>
            <w:tcW w:w="0" w:type="auto"/>
            <w:gridSpan w:val="4"/>
            <w:vAlign w:val="center"/>
          </w:tcPr>
          <w:p w14:paraId="75A1DC12" w14:textId="3C34DE90"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、施工期：柴油</w:t>
            </w:r>
            <w:r w:rsidR="00314D13" w:rsidRPr="00E67914">
              <w:rPr>
                <w:rFonts w:ascii="Times New Roman" w:hAnsi="Times New Roman"/>
                <w:sz w:val="21"/>
                <w:szCs w:val="21"/>
                <w:lang w:eastAsia="zh-CN"/>
              </w:rPr>
              <w:t>、白油</w:t>
            </w:r>
            <w:r w:rsidRPr="00E67914">
              <w:rPr>
                <w:rFonts w:ascii="Times New Roman" w:hAnsi="Times New Roman"/>
                <w:sz w:val="21"/>
                <w:szCs w:val="21"/>
                <w:lang w:eastAsia="zh-CN"/>
              </w:rPr>
              <w:t>及废油</w:t>
            </w:r>
            <w:r w:rsidR="00314D13" w:rsidRPr="00E67914">
              <w:rPr>
                <w:rFonts w:ascii="Times New Roman" w:hAnsi="Times New Roman"/>
                <w:sz w:val="21"/>
                <w:szCs w:val="21"/>
                <w:lang w:eastAsia="zh-CN"/>
              </w:rPr>
              <w:t>，总量为</w:t>
            </w:r>
            <w:r w:rsidR="00314D13" w:rsidRPr="00E67914">
              <w:rPr>
                <w:rFonts w:ascii="Times New Roman" w:hAnsi="Times New Roman"/>
                <w:sz w:val="21"/>
                <w:szCs w:val="21"/>
                <w:lang w:eastAsia="zh-CN"/>
              </w:rPr>
              <w:t>36.085t</w:t>
            </w:r>
            <w:r w:rsidRPr="00E67914">
              <w:rPr>
                <w:rFonts w:ascii="Times New Roman" w:hAnsi="Times New Roman"/>
                <w:sz w:val="21"/>
                <w:szCs w:val="21"/>
                <w:lang w:eastAsia="zh-CN"/>
              </w:rPr>
              <w:t>，油罐暂存井场防渗区内</w:t>
            </w:r>
            <w:r w:rsidR="00314D13" w:rsidRPr="00E67914">
              <w:rPr>
                <w:rFonts w:ascii="Times New Roman" w:hAnsi="Times New Roman"/>
                <w:sz w:val="21"/>
                <w:szCs w:val="21"/>
                <w:lang w:eastAsia="zh-CN"/>
              </w:rPr>
              <w:t>，白油暂存与材料区</w:t>
            </w:r>
            <w:r w:rsidRPr="00E67914">
              <w:rPr>
                <w:rFonts w:ascii="Times New Roman" w:hAnsi="Times New Roman"/>
                <w:sz w:val="21"/>
                <w:szCs w:val="21"/>
                <w:lang w:eastAsia="zh-CN"/>
              </w:rPr>
              <w:t>，废油设置废油桶集中收集暂存于泥浆不落地装置区临时堆放区内，钻井队综合利用或交由有资质的单位处理；甲烷井喷失控泄露量为</w:t>
            </w:r>
            <w:r w:rsidR="00314D13" w:rsidRPr="00E67914">
              <w:rPr>
                <w:rFonts w:ascii="Times New Roman" w:hAnsi="Times New Roman"/>
                <w:sz w:val="21"/>
                <w:szCs w:val="21"/>
                <w:lang w:eastAsia="zh-CN"/>
              </w:rPr>
              <w:t>1.43</w:t>
            </w:r>
            <w:r w:rsidRPr="00E67914">
              <w:rPr>
                <w:rFonts w:ascii="Times New Roman" w:hAnsi="Times New Roman"/>
                <w:sz w:val="21"/>
                <w:szCs w:val="21"/>
                <w:lang w:eastAsia="zh-CN"/>
              </w:rPr>
              <w:t>t</w:t>
            </w:r>
            <w:r w:rsidRPr="00E67914">
              <w:rPr>
                <w:rFonts w:ascii="Times New Roman" w:hAnsi="Times New Roman"/>
                <w:sz w:val="21"/>
                <w:szCs w:val="21"/>
                <w:lang w:eastAsia="zh-CN"/>
              </w:rPr>
              <w:t>。</w:t>
            </w:r>
          </w:p>
          <w:p w14:paraId="34179813" w14:textId="77777777" w:rsidR="00A54A8A" w:rsidRPr="00E67914" w:rsidRDefault="00000000">
            <w:pPr>
              <w:rPr>
                <w:rFonts w:ascii="Times New Roman" w:hAnsi="Times New Roman"/>
                <w:sz w:val="21"/>
                <w:szCs w:val="21"/>
                <w:lang w:eastAsia="zh-CN"/>
              </w:rPr>
            </w:pPr>
            <w:r w:rsidRPr="00E67914">
              <w:rPr>
                <w:rFonts w:ascii="Times New Roman" w:hAnsi="Times New Roman"/>
                <w:sz w:val="21"/>
                <w:szCs w:val="21"/>
                <w:lang w:eastAsia="zh-CN"/>
              </w:rPr>
              <w:t>2</w:t>
            </w:r>
            <w:r w:rsidRPr="00E67914">
              <w:rPr>
                <w:rFonts w:ascii="Times New Roman" w:hAnsi="Times New Roman"/>
                <w:sz w:val="21"/>
                <w:szCs w:val="21"/>
                <w:lang w:eastAsia="zh-CN"/>
              </w:rPr>
              <w:t>、试采期</w:t>
            </w:r>
            <w:r w:rsidR="00314D13" w:rsidRPr="00E67914">
              <w:rPr>
                <w:rFonts w:ascii="Times New Roman" w:hAnsi="Times New Roman"/>
                <w:sz w:val="21"/>
                <w:szCs w:val="21"/>
                <w:lang w:eastAsia="zh-CN"/>
              </w:rPr>
              <w:t>站内</w:t>
            </w:r>
            <w:r w:rsidRPr="00E67914">
              <w:rPr>
                <w:rFonts w:ascii="Times New Roman" w:hAnsi="Times New Roman"/>
                <w:sz w:val="21"/>
                <w:szCs w:val="21"/>
                <w:lang w:eastAsia="zh-CN"/>
              </w:rPr>
              <w:t>：甲烷设备在线量为</w:t>
            </w:r>
            <w:r w:rsidRPr="00E67914">
              <w:rPr>
                <w:rFonts w:ascii="Times New Roman" w:hAnsi="Times New Roman"/>
                <w:sz w:val="21"/>
                <w:szCs w:val="21"/>
                <w:lang w:eastAsia="zh-CN"/>
              </w:rPr>
              <w:t>0.12t</w:t>
            </w:r>
            <w:r w:rsidR="00314D13" w:rsidRPr="00E67914">
              <w:rPr>
                <w:rFonts w:ascii="Times New Roman" w:hAnsi="Times New Roman"/>
                <w:sz w:val="21"/>
                <w:szCs w:val="21"/>
                <w:lang w:eastAsia="zh-CN"/>
              </w:rPr>
              <w:t>；凝析油最大存储量为</w:t>
            </w:r>
            <w:r w:rsidR="00314D13" w:rsidRPr="00E67914">
              <w:rPr>
                <w:rFonts w:ascii="Times New Roman" w:hAnsi="Times New Roman"/>
                <w:sz w:val="21"/>
                <w:szCs w:val="21"/>
                <w:lang w:eastAsia="zh-CN"/>
              </w:rPr>
              <w:t>81.2t</w:t>
            </w:r>
            <w:r w:rsidR="00314D13" w:rsidRPr="00E67914">
              <w:rPr>
                <w:rFonts w:ascii="Times New Roman" w:hAnsi="Times New Roman"/>
                <w:sz w:val="21"/>
                <w:szCs w:val="21"/>
                <w:lang w:eastAsia="zh-CN"/>
              </w:rPr>
              <w:t>，储存于凝析油储罐内；气田水暂存于放空分液罐与采出水罐内</w:t>
            </w:r>
            <w:r w:rsidRPr="00E67914">
              <w:rPr>
                <w:rFonts w:ascii="Times New Roman" w:hAnsi="Times New Roman"/>
                <w:sz w:val="21"/>
                <w:szCs w:val="21"/>
                <w:lang w:eastAsia="zh-CN"/>
              </w:rPr>
              <w:t>。</w:t>
            </w:r>
          </w:p>
          <w:p w14:paraId="79D9FCCD" w14:textId="1A8B7A70" w:rsidR="00314D13" w:rsidRPr="00E67914" w:rsidRDefault="00314D13" w:rsidP="00314D13">
            <w:pPr>
              <w:rPr>
                <w:rFonts w:ascii="Times New Roman" w:hAnsi="Times New Roman"/>
                <w:sz w:val="21"/>
                <w:szCs w:val="21"/>
                <w:lang w:eastAsia="zh-CN"/>
              </w:rPr>
            </w:pPr>
            <w:r w:rsidRPr="00E67914">
              <w:rPr>
                <w:rFonts w:ascii="Times New Roman" w:hAnsi="Times New Roman"/>
                <w:sz w:val="21"/>
                <w:szCs w:val="21"/>
                <w:lang w:eastAsia="zh-CN"/>
              </w:rPr>
              <w:t>3</w:t>
            </w:r>
            <w:r w:rsidRPr="00E67914">
              <w:rPr>
                <w:rFonts w:ascii="Times New Roman" w:hAnsi="Times New Roman"/>
                <w:sz w:val="21"/>
                <w:szCs w:val="21"/>
                <w:lang w:eastAsia="zh-CN"/>
              </w:rPr>
              <w:t>、试采期普陆页</w:t>
            </w:r>
            <w:r w:rsidRPr="00E67914">
              <w:rPr>
                <w:rFonts w:ascii="Times New Roman" w:hAnsi="Times New Roman"/>
                <w:sz w:val="21"/>
                <w:szCs w:val="21"/>
                <w:lang w:eastAsia="zh-CN"/>
              </w:rPr>
              <w:t>2</w:t>
            </w:r>
            <w:r w:rsidRPr="00E67914">
              <w:rPr>
                <w:rFonts w:ascii="Times New Roman" w:hAnsi="Times New Roman"/>
                <w:sz w:val="21"/>
                <w:szCs w:val="21"/>
                <w:lang w:eastAsia="zh-CN"/>
              </w:rPr>
              <w:t>井场到普陆页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试采站管线甲烷在线量为</w:t>
            </w:r>
            <w:r w:rsidRPr="00E67914">
              <w:rPr>
                <w:rFonts w:ascii="Times New Roman" w:hAnsi="Times New Roman"/>
                <w:sz w:val="21"/>
                <w:szCs w:val="21"/>
                <w:lang w:eastAsia="zh-CN"/>
              </w:rPr>
              <w:t>1.17t</w:t>
            </w:r>
            <w:r w:rsidRPr="00E67914">
              <w:rPr>
                <w:rFonts w:ascii="Times New Roman" w:hAnsi="Times New Roman"/>
                <w:sz w:val="21"/>
                <w:szCs w:val="21"/>
                <w:lang w:eastAsia="zh-CN"/>
              </w:rPr>
              <w:t>。</w:t>
            </w:r>
          </w:p>
          <w:p w14:paraId="5D84832B" w14:textId="3B38054A" w:rsidR="00314D13" w:rsidRPr="00E67914" w:rsidRDefault="00314D13" w:rsidP="00314D13">
            <w:pPr>
              <w:rPr>
                <w:rFonts w:ascii="Times New Roman" w:hAnsi="Times New Roman"/>
                <w:lang w:eastAsia="zh-CN"/>
              </w:rPr>
            </w:pPr>
            <w:r w:rsidRPr="00E67914">
              <w:rPr>
                <w:rFonts w:ascii="Times New Roman" w:hAnsi="Times New Roman"/>
                <w:sz w:val="21"/>
                <w:szCs w:val="21"/>
                <w:lang w:eastAsia="zh-CN"/>
              </w:rPr>
              <w:t>4</w:t>
            </w:r>
            <w:r w:rsidRPr="00E67914">
              <w:rPr>
                <w:rFonts w:ascii="Times New Roman" w:hAnsi="Times New Roman"/>
                <w:sz w:val="21"/>
                <w:szCs w:val="21"/>
                <w:lang w:eastAsia="zh-CN"/>
              </w:rPr>
              <w:t>、试采期普陆页</w:t>
            </w:r>
            <w:r w:rsidRPr="00E67914">
              <w:rPr>
                <w:rFonts w:ascii="Times New Roman" w:hAnsi="Times New Roman"/>
                <w:sz w:val="21"/>
                <w:szCs w:val="21"/>
                <w:lang w:eastAsia="zh-CN"/>
              </w:rPr>
              <w:t>2</w:t>
            </w:r>
            <w:r w:rsidRPr="00E67914">
              <w:rPr>
                <w:rFonts w:ascii="Times New Roman" w:hAnsi="Times New Roman"/>
                <w:sz w:val="21"/>
                <w:szCs w:val="21"/>
                <w:lang w:eastAsia="zh-CN"/>
              </w:rPr>
              <w:t>试采站至</w:t>
            </w:r>
            <w:r w:rsidRPr="00E67914">
              <w:rPr>
                <w:rFonts w:ascii="Times New Roman" w:hAnsi="Times New Roman"/>
                <w:sz w:val="21"/>
                <w:szCs w:val="21"/>
                <w:lang w:eastAsia="zh-CN"/>
              </w:rPr>
              <w:t>P302</w:t>
            </w:r>
            <w:r w:rsidRPr="00E67914">
              <w:rPr>
                <w:rFonts w:ascii="Times New Roman" w:hAnsi="Times New Roman"/>
                <w:sz w:val="21"/>
                <w:szCs w:val="21"/>
                <w:lang w:eastAsia="zh-CN"/>
              </w:rPr>
              <w:t>集气站的外输管线（含燃料气反输管线）甲烷在线量为</w:t>
            </w:r>
            <w:r w:rsidRPr="00E67914">
              <w:rPr>
                <w:rFonts w:ascii="Times New Roman" w:hAnsi="Times New Roman"/>
                <w:sz w:val="21"/>
                <w:szCs w:val="21"/>
                <w:lang w:eastAsia="zh-CN"/>
              </w:rPr>
              <w:t>1.09t</w:t>
            </w:r>
            <w:r w:rsidRPr="00E67914">
              <w:rPr>
                <w:rFonts w:ascii="Times New Roman" w:hAnsi="Times New Roman"/>
                <w:sz w:val="21"/>
                <w:szCs w:val="21"/>
                <w:lang w:eastAsia="zh-CN"/>
              </w:rPr>
              <w:t>。</w:t>
            </w:r>
          </w:p>
        </w:tc>
      </w:tr>
      <w:tr w:rsidR="00E67914" w:rsidRPr="00E67914" w14:paraId="6C7B1CB3" w14:textId="77777777" w:rsidTr="00314D13">
        <w:tc>
          <w:tcPr>
            <w:tcW w:w="0" w:type="auto"/>
            <w:vAlign w:val="center"/>
          </w:tcPr>
          <w:p w14:paraId="4CB41E29"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环境影响途径及危</w:t>
            </w:r>
            <w:r w:rsidRPr="00E67914">
              <w:rPr>
                <w:rFonts w:ascii="Times New Roman" w:hAnsi="Times New Roman"/>
                <w:sz w:val="21"/>
                <w:szCs w:val="21"/>
                <w:lang w:eastAsia="zh-CN"/>
              </w:rPr>
              <w:lastRenderedPageBreak/>
              <w:t>害后果</w:t>
            </w:r>
          </w:p>
        </w:tc>
        <w:tc>
          <w:tcPr>
            <w:tcW w:w="0" w:type="auto"/>
            <w:gridSpan w:val="4"/>
            <w:vAlign w:val="center"/>
          </w:tcPr>
          <w:p w14:paraId="34F5E496" w14:textId="33D48AE9" w:rsidR="00A54A8A" w:rsidRPr="00E67914" w:rsidRDefault="00000000">
            <w:pPr>
              <w:numPr>
                <w:ilvl w:val="0"/>
                <w:numId w:val="7"/>
              </w:num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lastRenderedPageBreak/>
              <w:t>油类危害途径及危害后果为：柴油</w:t>
            </w:r>
            <w:r w:rsidR="00314D13" w:rsidRPr="00E67914">
              <w:rPr>
                <w:rFonts w:ascii="Times New Roman" w:hAnsi="Times New Roman"/>
                <w:sz w:val="21"/>
                <w:szCs w:val="21"/>
                <w:lang w:eastAsia="zh-CN"/>
              </w:rPr>
              <w:t>、白油、凝析油</w:t>
            </w:r>
            <w:r w:rsidRPr="00E67914">
              <w:rPr>
                <w:rFonts w:ascii="Times New Roman" w:hAnsi="Times New Roman"/>
                <w:sz w:val="21"/>
                <w:szCs w:val="21"/>
                <w:lang w:eastAsia="zh-CN"/>
              </w:rPr>
              <w:t>在使用、储运过程中的风险主要来自于柴油罐</w:t>
            </w:r>
            <w:r w:rsidR="00314D13" w:rsidRPr="00E67914">
              <w:rPr>
                <w:rFonts w:ascii="Times New Roman" w:hAnsi="Times New Roman"/>
                <w:sz w:val="21"/>
                <w:szCs w:val="21"/>
                <w:lang w:eastAsia="zh-CN"/>
              </w:rPr>
              <w:t>、白油罐、凝析油罐</w:t>
            </w:r>
            <w:r w:rsidRPr="00E67914">
              <w:rPr>
                <w:rFonts w:ascii="Times New Roman" w:hAnsi="Times New Roman"/>
                <w:sz w:val="21"/>
                <w:szCs w:val="21"/>
                <w:lang w:eastAsia="zh-CN"/>
              </w:rPr>
              <w:t>自身缺陷、人员误操作、老化等造成的泄漏以及外部破坏产生的事故以及柴油</w:t>
            </w:r>
            <w:r w:rsidR="00314D13" w:rsidRPr="00E67914">
              <w:rPr>
                <w:rFonts w:ascii="Times New Roman" w:hAnsi="Times New Roman"/>
                <w:sz w:val="21"/>
                <w:szCs w:val="21"/>
                <w:lang w:eastAsia="zh-CN"/>
              </w:rPr>
              <w:t>、白油</w:t>
            </w:r>
            <w:r w:rsidRPr="00E67914">
              <w:rPr>
                <w:rFonts w:ascii="Times New Roman" w:hAnsi="Times New Roman"/>
                <w:sz w:val="21"/>
                <w:szCs w:val="21"/>
                <w:lang w:eastAsia="zh-CN"/>
              </w:rPr>
              <w:t>拉运至井场</w:t>
            </w:r>
            <w:r w:rsidR="00314D13" w:rsidRPr="00E67914">
              <w:rPr>
                <w:rFonts w:ascii="Times New Roman" w:hAnsi="Times New Roman"/>
                <w:sz w:val="21"/>
                <w:szCs w:val="21"/>
                <w:lang w:eastAsia="zh-CN"/>
              </w:rPr>
              <w:t>、凝析油外运</w:t>
            </w:r>
            <w:r w:rsidRPr="00E67914">
              <w:rPr>
                <w:rFonts w:ascii="Times New Roman" w:hAnsi="Times New Roman"/>
                <w:sz w:val="21"/>
                <w:szCs w:val="21"/>
                <w:lang w:eastAsia="zh-CN"/>
              </w:rPr>
              <w:t>过程中出现交通事故可能引起柴油</w:t>
            </w:r>
            <w:r w:rsidR="00314D13" w:rsidRPr="00E67914">
              <w:rPr>
                <w:rFonts w:ascii="Times New Roman" w:hAnsi="Times New Roman"/>
                <w:sz w:val="21"/>
                <w:szCs w:val="21"/>
                <w:lang w:eastAsia="zh-CN"/>
              </w:rPr>
              <w:t>、白油、凝析油</w:t>
            </w:r>
            <w:r w:rsidRPr="00E67914">
              <w:rPr>
                <w:rFonts w:ascii="Times New Roman" w:hAnsi="Times New Roman"/>
                <w:sz w:val="21"/>
                <w:szCs w:val="21"/>
                <w:lang w:eastAsia="zh-CN"/>
              </w:rPr>
              <w:t>泄漏污染水体、土壤；</w:t>
            </w:r>
          </w:p>
          <w:p w14:paraId="584F123A" w14:textId="77777777" w:rsidR="00A54A8A" w:rsidRPr="00E67914" w:rsidRDefault="00000000">
            <w:pPr>
              <w:numPr>
                <w:ilvl w:val="0"/>
                <w:numId w:val="7"/>
              </w:num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lastRenderedPageBreak/>
              <w:t>甲烷危害途径及危害后果为：当钻进气层后，遇到高压气流，因各种原因使井内压力不能平衡地层压力时而造成井喷和井喷失控事故；其中可能造成最大危害的是井喷失控喷射出的天然气扩散中毒影响环境空气及破坏植被，天然气遇火燃烧爆炸造成冲击波和热辐射伤人、伤亡事故。</w:t>
            </w:r>
          </w:p>
        </w:tc>
      </w:tr>
      <w:tr w:rsidR="00E67914" w:rsidRPr="00E67914" w14:paraId="59023E1D" w14:textId="77777777" w:rsidTr="00314D13">
        <w:tc>
          <w:tcPr>
            <w:tcW w:w="0" w:type="auto"/>
            <w:vAlign w:val="center"/>
          </w:tcPr>
          <w:p w14:paraId="4A08F2DE" w14:textId="77777777" w:rsidR="00A54A8A" w:rsidRPr="00E67914" w:rsidRDefault="00000000">
            <w:pPr>
              <w:adjustRightInd w:val="0"/>
              <w:snapToGrid w:val="0"/>
              <w:rPr>
                <w:rFonts w:ascii="Times New Roman" w:hAnsi="Times New Roman"/>
                <w:sz w:val="21"/>
                <w:szCs w:val="21"/>
              </w:rPr>
            </w:pPr>
            <w:r w:rsidRPr="00E67914">
              <w:rPr>
                <w:rFonts w:ascii="Times New Roman" w:hAnsi="Times New Roman"/>
                <w:sz w:val="21"/>
                <w:szCs w:val="21"/>
              </w:rPr>
              <w:lastRenderedPageBreak/>
              <w:t>风险防范措施要求</w:t>
            </w:r>
          </w:p>
        </w:tc>
        <w:tc>
          <w:tcPr>
            <w:tcW w:w="0" w:type="auto"/>
            <w:gridSpan w:val="4"/>
            <w:vAlign w:val="center"/>
          </w:tcPr>
          <w:p w14:paraId="545A0198" w14:textId="77777777" w:rsidR="00A54A8A" w:rsidRPr="00E67914" w:rsidRDefault="00000000">
            <w:pPr>
              <w:adjustRightInd w:val="0"/>
              <w:snapToGrid w:val="0"/>
              <w:spacing w:line="276" w:lineRule="auto"/>
              <w:rPr>
                <w:rFonts w:ascii="Times New Roman" w:hAnsi="Times New Roman"/>
                <w:sz w:val="21"/>
                <w:szCs w:val="21"/>
                <w:lang w:eastAsia="zh-CN"/>
              </w:rPr>
            </w:pPr>
            <w:r w:rsidRPr="00E67914">
              <w:rPr>
                <w:rFonts w:ascii="宋体" w:hAnsi="宋体" w:cs="宋体" w:hint="eastAsia"/>
                <w:sz w:val="21"/>
                <w:szCs w:val="21"/>
                <w:lang w:eastAsia="zh-CN"/>
              </w:rPr>
              <w:t>①</w:t>
            </w:r>
            <w:r w:rsidRPr="00E67914">
              <w:rPr>
                <w:rFonts w:ascii="Times New Roman" w:hAnsi="Times New Roman"/>
                <w:sz w:val="21"/>
                <w:szCs w:val="21"/>
                <w:lang w:eastAsia="zh-CN"/>
              </w:rPr>
              <w:t>制定应急救援预案并定期演练；</w:t>
            </w:r>
          </w:p>
          <w:p w14:paraId="1BFC00FC" w14:textId="77777777" w:rsidR="00A54A8A" w:rsidRPr="00E67914" w:rsidRDefault="00000000">
            <w:pPr>
              <w:adjustRightInd w:val="0"/>
              <w:snapToGrid w:val="0"/>
              <w:spacing w:line="276" w:lineRule="auto"/>
              <w:rPr>
                <w:rFonts w:ascii="Times New Roman" w:hAnsi="Times New Roman"/>
                <w:sz w:val="21"/>
                <w:szCs w:val="21"/>
                <w:lang w:eastAsia="zh-CN"/>
              </w:rPr>
            </w:pPr>
            <w:r w:rsidRPr="00E67914">
              <w:rPr>
                <w:rFonts w:ascii="宋体" w:hAnsi="宋体" w:cs="宋体" w:hint="eastAsia"/>
                <w:sz w:val="21"/>
                <w:szCs w:val="21"/>
                <w:lang w:eastAsia="zh-CN"/>
              </w:rPr>
              <w:t>②</w:t>
            </w:r>
            <w:r w:rsidRPr="00E67914">
              <w:rPr>
                <w:rFonts w:ascii="Times New Roman" w:hAnsi="Times New Roman"/>
                <w:sz w:val="21"/>
                <w:szCs w:val="21"/>
                <w:lang w:eastAsia="zh-CN"/>
              </w:rPr>
              <w:t>配备完善的放空系统、安全截断系统、可燃气体报警系统；</w:t>
            </w:r>
          </w:p>
          <w:p w14:paraId="2DBE7214" w14:textId="77777777" w:rsidR="00A54A8A" w:rsidRPr="00E67914" w:rsidRDefault="00000000">
            <w:pPr>
              <w:adjustRightInd w:val="0"/>
              <w:snapToGrid w:val="0"/>
              <w:spacing w:line="276" w:lineRule="auto"/>
              <w:rPr>
                <w:rFonts w:ascii="Times New Roman" w:hAnsi="Times New Roman"/>
                <w:sz w:val="21"/>
                <w:szCs w:val="21"/>
                <w:lang w:eastAsia="zh-CN"/>
              </w:rPr>
            </w:pPr>
            <w:r w:rsidRPr="00E67914">
              <w:rPr>
                <w:rFonts w:ascii="宋体" w:hAnsi="宋体" w:cs="宋体" w:hint="eastAsia"/>
                <w:sz w:val="21"/>
                <w:szCs w:val="21"/>
                <w:lang w:eastAsia="zh-CN"/>
              </w:rPr>
              <w:t>③</w:t>
            </w:r>
            <w:r w:rsidRPr="00E67914">
              <w:rPr>
                <w:rFonts w:ascii="Times New Roman" w:hAnsi="Times New Roman"/>
                <w:sz w:val="21"/>
                <w:szCs w:val="21"/>
                <w:lang w:eastAsia="zh-CN"/>
              </w:rPr>
              <w:t>按照相关规范进行了防爆、防雷、防静电设计；</w:t>
            </w:r>
          </w:p>
          <w:p w14:paraId="7E2B3B62" w14:textId="77777777" w:rsidR="00A54A8A" w:rsidRPr="00E67914" w:rsidRDefault="00000000">
            <w:pPr>
              <w:adjustRightInd w:val="0"/>
              <w:snapToGrid w:val="0"/>
              <w:spacing w:line="276" w:lineRule="auto"/>
              <w:rPr>
                <w:rFonts w:ascii="Times New Roman" w:hAnsi="Times New Roman"/>
                <w:sz w:val="21"/>
                <w:szCs w:val="21"/>
                <w:lang w:eastAsia="zh-CN"/>
              </w:rPr>
            </w:pPr>
            <w:r w:rsidRPr="00E67914">
              <w:rPr>
                <w:rFonts w:ascii="宋体" w:hAnsi="宋体" w:cs="宋体" w:hint="eastAsia"/>
                <w:sz w:val="21"/>
                <w:szCs w:val="21"/>
                <w:lang w:eastAsia="zh-CN"/>
              </w:rPr>
              <w:t>④</w:t>
            </w:r>
            <w:r w:rsidRPr="00E67914">
              <w:rPr>
                <w:rFonts w:ascii="Times New Roman" w:hAnsi="Times New Roman"/>
                <w:sz w:val="21"/>
                <w:szCs w:val="21"/>
                <w:lang w:eastAsia="zh-CN"/>
              </w:rPr>
              <w:t>与站场周边的居民和当地村委会建立联络沟通机制，完善应急监控能力；</w:t>
            </w:r>
          </w:p>
          <w:p w14:paraId="5B9221CD" w14:textId="77777777" w:rsidR="00A54A8A" w:rsidRPr="00E67914" w:rsidRDefault="00000000">
            <w:pPr>
              <w:adjustRightInd w:val="0"/>
              <w:snapToGrid w:val="0"/>
              <w:spacing w:line="276" w:lineRule="auto"/>
              <w:rPr>
                <w:rFonts w:ascii="Times New Roman" w:hAnsi="Times New Roman"/>
                <w:sz w:val="21"/>
                <w:szCs w:val="21"/>
                <w:lang w:eastAsia="zh-CN"/>
              </w:rPr>
            </w:pPr>
            <w:r w:rsidRPr="00E67914">
              <w:rPr>
                <w:rFonts w:ascii="宋体" w:hAnsi="宋体" w:cs="宋体" w:hint="eastAsia"/>
                <w:sz w:val="21"/>
                <w:szCs w:val="21"/>
                <w:lang w:eastAsia="zh-CN"/>
              </w:rPr>
              <w:t>⑤</w:t>
            </w:r>
            <w:r w:rsidRPr="00E67914">
              <w:rPr>
                <w:rFonts w:ascii="Times New Roman" w:hAnsi="Times New Roman"/>
                <w:sz w:val="21"/>
                <w:szCs w:val="21"/>
                <w:lang w:eastAsia="zh-CN"/>
              </w:rPr>
              <w:t>定期对站场设备及管线进行巡检，检查设备及管线有无漏点，确保其设备完好，无泄漏发生；</w:t>
            </w:r>
          </w:p>
          <w:p w14:paraId="1027916A" w14:textId="092E1B84" w:rsidR="00A54A8A" w:rsidRPr="00E67914" w:rsidRDefault="00000000">
            <w:pPr>
              <w:adjustRightInd w:val="0"/>
              <w:snapToGrid w:val="0"/>
              <w:rPr>
                <w:rFonts w:ascii="Times New Roman" w:hAnsi="Times New Roman"/>
                <w:sz w:val="21"/>
                <w:szCs w:val="21"/>
                <w:lang w:eastAsia="zh-CN"/>
              </w:rPr>
            </w:pPr>
            <w:r w:rsidRPr="00E67914">
              <w:rPr>
                <w:rFonts w:ascii="宋体" w:hAnsi="宋体" w:cs="宋体" w:hint="eastAsia"/>
                <w:sz w:val="21"/>
                <w:szCs w:val="21"/>
                <w:lang w:eastAsia="zh-CN"/>
              </w:rPr>
              <w:t>⑥</w:t>
            </w:r>
            <w:r w:rsidRPr="00E67914">
              <w:rPr>
                <w:rFonts w:ascii="Times New Roman" w:hAnsi="Times New Roman"/>
                <w:sz w:val="21"/>
                <w:szCs w:val="21"/>
                <w:lang w:eastAsia="zh-CN"/>
              </w:rPr>
              <w:t>钻井期做好分区分级防渗，设置围堰，试采期对</w:t>
            </w:r>
            <w:r w:rsidR="00A9536E" w:rsidRPr="00E67914">
              <w:rPr>
                <w:rFonts w:ascii="Times New Roman" w:hAnsi="Times New Roman"/>
                <w:sz w:val="21"/>
                <w:szCs w:val="21"/>
                <w:lang w:eastAsia="zh-CN"/>
              </w:rPr>
              <w:t>放空分液罐、采出水罐</w:t>
            </w:r>
            <w:r w:rsidRPr="00E67914">
              <w:rPr>
                <w:rFonts w:ascii="Times New Roman" w:hAnsi="Times New Roman"/>
                <w:sz w:val="21"/>
                <w:szCs w:val="21"/>
                <w:lang w:eastAsia="zh-CN"/>
              </w:rPr>
              <w:t>等进行地面硬化、防渗，做好防雨、防晒措施；修建围堰，防止油类泄漏进入周围环境。</w:t>
            </w:r>
          </w:p>
        </w:tc>
      </w:tr>
    </w:tbl>
    <w:p w14:paraId="4615B7A0" w14:textId="77777777" w:rsidR="00A54A8A" w:rsidRPr="00E67914" w:rsidRDefault="00A54A8A">
      <w:pPr>
        <w:adjustRightInd w:val="0"/>
        <w:snapToGrid w:val="0"/>
        <w:spacing w:line="360" w:lineRule="auto"/>
        <w:jc w:val="center"/>
        <w:rPr>
          <w:rFonts w:ascii="Times New Roman" w:hAnsi="Times New Roman"/>
          <w:sz w:val="24"/>
          <w:szCs w:val="24"/>
          <w:lang w:eastAsia="zh-CN"/>
        </w:rPr>
      </w:pPr>
    </w:p>
    <w:p w14:paraId="4A324DD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br w:type="page"/>
      </w:r>
    </w:p>
    <w:p w14:paraId="06E10D59"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198" w:name="_Toc148654241"/>
      <w:r w:rsidRPr="00E67914">
        <w:rPr>
          <w:rFonts w:ascii="Times New Roman" w:eastAsia="黑体" w:hAnsi="Times New Roman"/>
          <w:b w:val="0"/>
          <w:sz w:val="28"/>
          <w:szCs w:val="28"/>
          <w:lang w:eastAsia="zh-CN"/>
        </w:rPr>
        <w:lastRenderedPageBreak/>
        <w:t>7</w:t>
      </w:r>
      <w:r w:rsidRPr="00E67914">
        <w:rPr>
          <w:rFonts w:ascii="Times New Roman" w:eastAsia="黑体" w:hAnsi="Times New Roman"/>
          <w:b w:val="0"/>
          <w:sz w:val="28"/>
          <w:szCs w:val="28"/>
          <w:lang w:eastAsia="zh-CN"/>
        </w:rPr>
        <w:t>环境保护措施及其可行性论证</w:t>
      </w:r>
      <w:bookmarkEnd w:id="198"/>
    </w:p>
    <w:p w14:paraId="02C9B374" w14:textId="77777777" w:rsidR="00A54A8A" w:rsidRPr="00E67914" w:rsidRDefault="00000000">
      <w:pPr>
        <w:pStyle w:val="2"/>
        <w:ind w:firstLine="480"/>
        <w:rPr>
          <w:szCs w:val="24"/>
          <w:lang w:eastAsia="zh-CN"/>
        </w:rPr>
      </w:pPr>
      <w:bookmarkStart w:id="199" w:name="_bookmark32"/>
      <w:bookmarkStart w:id="200" w:name="6.1施工期环境保护措施及可行性分析"/>
      <w:bookmarkStart w:id="201" w:name="_Toc148654242"/>
      <w:bookmarkEnd w:id="199"/>
      <w:bookmarkEnd w:id="200"/>
      <w:r w:rsidRPr="00E67914">
        <w:rPr>
          <w:szCs w:val="24"/>
          <w:lang w:eastAsia="zh-CN"/>
        </w:rPr>
        <w:t>7.1</w:t>
      </w:r>
      <w:r w:rsidRPr="00E67914">
        <w:rPr>
          <w:szCs w:val="24"/>
          <w:lang w:eastAsia="zh-CN"/>
        </w:rPr>
        <w:t>施工期环境保护措施及可行性分析</w:t>
      </w:r>
      <w:bookmarkEnd w:id="201"/>
    </w:p>
    <w:p w14:paraId="0EF60B63" w14:textId="7BE1E5CE"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bookmarkStart w:id="202" w:name="6.1.1施工废气防治措施及可行性分析"/>
      <w:bookmarkEnd w:id="202"/>
      <w:r w:rsidRPr="00E67914">
        <w:rPr>
          <w:rFonts w:ascii="Times New Roman" w:hAnsi="Times New Roman"/>
          <w:bCs/>
          <w:kern w:val="2"/>
          <w:sz w:val="24"/>
          <w:szCs w:val="24"/>
          <w:lang w:eastAsia="zh-CN"/>
        </w:rPr>
        <w:t>钻前施工期间通过洒水抑尘等措施对扬尘进行控制，合理使用机械车辆，对燃油废气进行控制；生活污水依托周边居民旱厕收集处理，生产废水沉淀后循环使用；生活垃圾收集后依托当地环卫部门处理，少量建筑垃圾用于道路修整；夜间不施工，采取了噪声控制措施。通过现场调查可见钻前工程对周边环境影响很小。</w:t>
      </w:r>
    </w:p>
    <w:p w14:paraId="101F88D2"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7.1.1</w:t>
      </w:r>
      <w:r w:rsidRPr="00E67914">
        <w:rPr>
          <w:rFonts w:ascii="Times New Roman" w:eastAsia="黑体" w:hAnsi="Times New Roman"/>
          <w:b w:val="0"/>
          <w:sz w:val="24"/>
          <w:szCs w:val="24"/>
          <w:lang w:eastAsia="zh-CN"/>
        </w:rPr>
        <w:t>施工期生态环境保护措施及可行性分析</w:t>
      </w:r>
    </w:p>
    <w:p w14:paraId="24D09F15"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kern w:val="2"/>
          <w:sz w:val="24"/>
          <w:szCs w:val="24"/>
          <w:lang w:eastAsia="zh-CN" w:bidi="ar"/>
        </w:rPr>
        <w:t>坚持尊重自然、顺应自然、保护自然的理念，采取自然的恢复措施或绿色修复工艺，避免生态保护措施自身的不利影响。</w:t>
      </w:r>
    </w:p>
    <w:p w14:paraId="7273A458" w14:textId="7871882C" w:rsidR="00A54A8A" w:rsidRPr="00E67914" w:rsidRDefault="00000000">
      <w:pPr>
        <w:spacing w:line="360" w:lineRule="auto"/>
        <w:ind w:firstLineChars="200" w:firstLine="480"/>
        <w:rPr>
          <w:rFonts w:ascii="Times New Roman" w:hAnsi="Times New Roman"/>
          <w:sz w:val="24"/>
          <w:szCs w:val="24"/>
          <w:lang w:eastAsia="zh-CN" w:bidi="ar"/>
        </w:rPr>
      </w:pPr>
      <w:r w:rsidRPr="00E67914">
        <w:rPr>
          <w:rFonts w:ascii="Times New Roman" w:hAnsi="Times New Roman"/>
          <w:sz w:val="24"/>
          <w:szCs w:val="24"/>
          <w:lang w:eastAsia="zh-CN"/>
        </w:rPr>
        <w:t>本工程建设过程中，将不可避免地对施工区的植被、动植物、景观和周围环境产生一定影响。有些影响是永久性的和不可逆的，如</w:t>
      </w:r>
      <w:r w:rsidR="00314D13" w:rsidRPr="00E67914">
        <w:rPr>
          <w:rFonts w:ascii="Times New Roman" w:hAnsi="Times New Roman"/>
          <w:sz w:val="24"/>
          <w:szCs w:val="24"/>
          <w:lang w:eastAsia="zh-CN"/>
        </w:rPr>
        <w:t>普陆页</w:t>
      </w:r>
      <w:r w:rsidR="00314D13" w:rsidRPr="00E67914">
        <w:rPr>
          <w:rFonts w:ascii="Times New Roman" w:hAnsi="Times New Roman"/>
          <w:sz w:val="24"/>
          <w:szCs w:val="24"/>
          <w:lang w:eastAsia="zh-CN"/>
        </w:rPr>
        <w:t>2</w:t>
      </w:r>
      <w:r w:rsidR="00314D13" w:rsidRPr="00E67914">
        <w:rPr>
          <w:rFonts w:ascii="Times New Roman" w:hAnsi="Times New Roman"/>
          <w:sz w:val="24"/>
          <w:szCs w:val="24"/>
          <w:lang w:eastAsia="zh-CN"/>
        </w:rPr>
        <w:t>试采站等</w:t>
      </w:r>
      <w:r w:rsidRPr="00E67914">
        <w:rPr>
          <w:rFonts w:ascii="Times New Roman" w:hAnsi="Times New Roman"/>
          <w:sz w:val="24"/>
          <w:szCs w:val="24"/>
          <w:lang w:eastAsia="zh-CN"/>
        </w:rPr>
        <w:t>；有些影响是暂时性的，如</w:t>
      </w:r>
      <w:r w:rsidRPr="00E67914">
        <w:rPr>
          <w:rFonts w:ascii="Times New Roman" w:hAnsi="Times New Roman"/>
          <w:bCs/>
          <w:sz w:val="24"/>
          <w:szCs w:val="24"/>
          <w:lang w:eastAsia="zh-CN"/>
        </w:rPr>
        <w:t>外输管线占地区</w:t>
      </w:r>
      <w:r w:rsidRPr="00E67914">
        <w:rPr>
          <w:rFonts w:ascii="Times New Roman" w:hAnsi="Times New Roman"/>
          <w:sz w:val="24"/>
          <w:szCs w:val="24"/>
          <w:lang w:eastAsia="zh-CN"/>
        </w:rPr>
        <w:t>。后者可通过采取自然或人工辅助措施的方法加以恢复，前者可通过采取人工措施的方法提高占地区植被覆盖率，使区域生态系统的结构和功能整体得到逐步改善，完全恢复，乃至更</w:t>
      </w:r>
      <w:r w:rsidRPr="00E67914">
        <w:rPr>
          <w:rFonts w:ascii="Times New Roman" w:hAnsi="Times New Roman"/>
          <w:kern w:val="2"/>
          <w:sz w:val="24"/>
          <w:szCs w:val="24"/>
          <w:lang w:eastAsia="zh-CN" w:bidi="ar"/>
        </w:rPr>
        <w:t>为高效。</w:t>
      </w:r>
    </w:p>
    <w:p w14:paraId="5974BB41" w14:textId="77777777" w:rsidR="00A54A8A" w:rsidRPr="00E67914" w:rsidRDefault="00000000">
      <w:pPr>
        <w:spacing w:line="360" w:lineRule="auto"/>
        <w:ind w:firstLineChars="200" w:firstLine="482"/>
        <w:outlineLvl w:val="3"/>
        <w:rPr>
          <w:rFonts w:ascii="Times New Roman" w:hAnsi="Times New Roman"/>
          <w:b/>
          <w:bCs/>
          <w:sz w:val="24"/>
          <w:szCs w:val="24"/>
          <w:lang w:eastAsia="zh-CN" w:bidi="ar"/>
        </w:rPr>
      </w:pPr>
      <w:r w:rsidRPr="00E67914">
        <w:rPr>
          <w:rFonts w:ascii="Times New Roman" w:hAnsi="Times New Roman"/>
          <w:b/>
          <w:bCs/>
          <w:kern w:val="2"/>
          <w:sz w:val="24"/>
          <w:szCs w:val="24"/>
          <w:lang w:eastAsia="zh-CN" w:bidi="ar"/>
        </w:rPr>
        <w:t>7.1.1.1</w:t>
      </w:r>
      <w:r w:rsidRPr="00E67914">
        <w:rPr>
          <w:rFonts w:ascii="Times New Roman" w:hAnsi="Times New Roman"/>
          <w:b/>
          <w:bCs/>
          <w:kern w:val="2"/>
          <w:sz w:val="24"/>
          <w:szCs w:val="24"/>
          <w:lang w:eastAsia="zh-CN" w:bidi="ar"/>
        </w:rPr>
        <w:t>生态保护的宣传</w:t>
      </w:r>
    </w:p>
    <w:p w14:paraId="6E408D0B"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建设单位在施工期需认真做好生态保护的宣传和监督工作，如印发宣传册、制作宣传栏、定期开展宣传活动等。绝不能超计划占用耕地、林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14:paraId="3D6FD66F" w14:textId="77777777" w:rsidR="00A54A8A" w:rsidRPr="00E67914" w:rsidRDefault="00000000">
      <w:pPr>
        <w:spacing w:line="360" w:lineRule="auto"/>
        <w:ind w:firstLineChars="200" w:firstLine="482"/>
        <w:outlineLvl w:val="3"/>
        <w:rPr>
          <w:rFonts w:ascii="Times New Roman" w:hAnsi="Times New Roman"/>
          <w:b/>
          <w:bCs/>
          <w:kern w:val="2"/>
          <w:sz w:val="24"/>
          <w:szCs w:val="24"/>
          <w:lang w:eastAsia="zh-CN" w:bidi="ar"/>
        </w:rPr>
      </w:pPr>
      <w:bookmarkStart w:id="203" w:name="_Toc1108"/>
      <w:bookmarkStart w:id="204" w:name="_Toc5702"/>
      <w:bookmarkStart w:id="205" w:name="_Toc8545"/>
      <w:bookmarkStart w:id="206" w:name="_Toc27635"/>
      <w:bookmarkStart w:id="207" w:name="_Toc28205"/>
      <w:bookmarkStart w:id="208" w:name="_Toc32366"/>
      <w:bookmarkStart w:id="209" w:name="_Toc4301"/>
      <w:bookmarkStart w:id="210" w:name="_Toc30854"/>
      <w:r w:rsidRPr="00E67914">
        <w:rPr>
          <w:rFonts w:ascii="Times New Roman" w:hAnsi="Times New Roman"/>
          <w:b/>
          <w:bCs/>
          <w:kern w:val="2"/>
          <w:sz w:val="24"/>
          <w:szCs w:val="24"/>
          <w:lang w:eastAsia="zh-CN" w:bidi="ar"/>
        </w:rPr>
        <w:t>7.1.1.2</w:t>
      </w:r>
      <w:r w:rsidRPr="00E67914">
        <w:rPr>
          <w:rFonts w:ascii="Times New Roman" w:hAnsi="Times New Roman"/>
          <w:b/>
          <w:bCs/>
          <w:kern w:val="2"/>
          <w:sz w:val="24"/>
          <w:szCs w:val="24"/>
          <w:lang w:eastAsia="zh-CN" w:bidi="ar"/>
        </w:rPr>
        <w:t>避让、减缓措施</w:t>
      </w:r>
      <w:bookmarkEnd w:id="203"/>
      <w:bookmarkEnd w:id="204"/>
      <w:bookmarkEnd w:id="205"/>
      <w:bookmarkEnd w:id="206"/>
      <w:bookmarkEnd w:id="207"/>
      <w:bookmarkEnd w:id="208"/>
      <w:bookmarkEnd w:id="209"/>
      <w:bookmarkEnd w:id="210"/>
    </w:p>
    <w:p w14:paraId="0682287C" w14:textId="77777777" w:rsidR="00A54A8A" w:rsidRPr="00E67914" w:rsidRDefault="00000000">
      <w:pPr>
        <w:pStyle w:val="af"/>
        <w:adjustRightInd w:val="0"/>
        <w:snapToGrid w:val="0"/>
        <w:spacing w:line="360" w:lineRule="auto"/>
        <w:ind w:left="0" w:firstLineChars="200" w:firstLine="482"/>
        <w:rPr>
          <w:rFonts w:ascii="Times New Roman" w:hAnsi="Times New Roman"/>
          <w:b/>
          <w:bCs/>
          <w:lang w:eastAsia="zh-CN"/>
        </w:rPr>
      </w:pPr>
      <w:r w:rsidRPr="00E67914">
        <w:rPr>
          <w:rFonts w:ascii="Times New Roman" w:hAnsi="Times New Roman"/>
          <w:b/>
          <w:bCs/>
          <w:lang w:eastAsia="zh-CN"/>
        </w:rPr>
        <w:t>（</w:t>
      </w:r>
      <w:r w:rsidRPr="00E67914">
        <w:rPr>
          <w:rFonts w:ascii="Times New Roman" w:hAnsi="Times New Roman"/>
          <w:b/>
          <w:bCs/>
          <w:lang w:eastAsia="zh-CN"/>
        </w:rPr>
        <w:t>1</w:t>
      </w:r>
      <w:r w:rsidRPr="00E67914">
        <w:rPr>
          <w:rFonts w:ascii="Times New Roman" w:hAnsi="Times New Roman"/>
          <w:b/>
          <w:bCs/>
          <w:lang w:eastAsia="zh-CN"/>
        </w:rPr>
        <w:t>）土地与植被保护措施</w:t>
      </w:r>
    </w:p>
    <w:p w14:paraId="4A57CD73"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ascii="Times New Roman" w:hAnsi="Times New Roman"/>
          <w:lang w:eastAsia="zh-CN"/>
        </w:rPr>
        <w:t>施工期间为充分的保护评价范围现有土地和植被，可采取如下保护措施：</w:t>
      </w:r>
    </w:p>
    <w:p w14:paraId="25719BA8"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①</w:t>
      </w:r>
      <w:r w:rsidRPr="00E67914">
        <w:rPr>
          <w:rFonts w:ascii="Times New Roman" w:hAnsi="Times New Roman"/>
          <w:lang w:eastAsia="zh-CN"/>
        </w:rPr>
        <w:t>优先采用生态友好的工程建设技术、工艺及材料。</w:t>
      </w:r>
    </w:p>
    <w:p w14:paraId="126D3E92"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②</w:t>
      </w:r>
      <w:r w:rsidRPr="00E67914">
        <w:rPr>
          <w:rFonts w:ascii="Times New Roman" w:hAnsi="Times New Roman"/>
          <w:lang w:eastAsia="zh-CN"/>
        </w:rPr>
        <w:t>根据施工总体平面布置，严格规范施工范围，确定施工用地范围，进行标桩划界，禁止施工人员进入非施工占地区，严禁任意越界破坏周围植被。</w:t>
      </w:r>
    </w:p>
    <w:p w14:paraId="040625E8"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lastRenderedPageBreak/>
        <w:t>③</w:t>
      </w:r>
      <w:r w:rsidRPr="00E67914">
        <w:rPr>
          <w:rFonts w:ascii="Times New Roman" w:hAnsi="Times New Roman"/>
          <w:lang w:eastAsia="zh-CN"/>
        </w:rPr>
        <w:t>做好环卫工作，废弃物应合理堆放，及时处置，禁止乱丢垃圾和废弃物，严禁场内污水进入外环沟，确保周边环境不被污染。</w:t>
      </w:r>
      <w:r w:rsidRPr="00E67914">
        <w:rPr>
          <w:rFonts w:ascii="Times New Roman" w:hAnsi="Times New Roman"/>
          <w:lang w:eastAsia="zh-CN"/>
        </w:rPr>
        <w:t xml:space="preserve"> </w:t>
      </w:r>
    </w:p>
    <w:p w14:paraId="7AE8F7F7"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④</w:t>
      </w:r>
      <w:r w:rsidRPr="00E67914">
        <w:rPr>
          <w:rFonts w:ascii="Times New Roman" w:hAnsi="Times New Roman"/>
          <w:lang w:eastAsia="zh-CN"/>
        </w:rPr>
        <w:t>在项目建设过程中，强化临时占地的及时复耕复垦，对可以恢复的临时占地及时进行植被恢复。</w:t>
      </w:r>
    </w:p>
    <w:p w14:paraId="567DB1E5" w14:textId="77777777" w:rsidR="00A54A8A" w:rsidRPr="00E67914" w:rsidRDefault="00000000">
      <w:pPr>
        <w:pStyle w:val="af"/>
        <w:adjustRightInd w:val="0"/>
        <w:snapToGrid w:val="0"/>
        <w:spacing w:line="360" w:lineRule="auto"/>
        <w:ind w:left="0" w:firstLineChars="200" w:firstLine="482"/>
        <w:rPr>
          <w:rFonts w:ascii="Times New Roman" w:hAnsi="Times New Roman"/>
          <w:b/>
          <w:bCs/>
          <w:lang w:eastAsia="zh-CN"/>
        </w:rPr>
      </w:pPr>
      <w:r w:rsidRPr="00E67914">
        <w:rPr>
          <w:rFonts w:ascii="Times New Roman" w:hAnsi="Times New Roman"/>
          <w:b/>
          <w:bCs/>
          <w:lang w:eastAsia="zh-CN"/>
        </w:rPr>
        <w:t>（</w:t>
      </w:r>
      <w:r w:rsidRPr="00E67914">
        <w:rPr>
          <w:rFonts w:ascii="Times New Roman" w:hAnsi="Times New Roman"/>
          <w:b/>
          <w:bCs/>
          <w:lang w:eastAsia="zh-CN"/>
        </w:rPr>
        <w:t>2</w:t>
      </w:r>
      <w:r w:rsidRPr="00E67914">
        <w:rPr>
          <w:rFonts w:ascii="Times New Roman" w:hAnsi="Times New Roman"/>
          <w:b/>
          <w:bCs/>
          <w:lang w:eastAsia="zh-CN"/>
        </w:rPr>
        <w:t>）土壤侵蚀的防治对策措施</w:t>
      </w:r>
    </w:p>
    <w:p w14:paraId="2F1E7F13"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①</w:t>
      </w:r>
      <w:r w:rsidRPr="00E67914">
        <w:rPr>
          <w:rFonts w:ascii="Times New Roman" w:hAnsi="Times New Roman"/>
          <w:lang w:eastAsia="zh-CN"/>
        </w:rPr>
        <w:t>在施工过程中合理安排施工进度，施工尽量避开雨天和大风天；分段施工，减少风蚀导致的水土流失。</w:t>
      </w:r>
    </w:p>
    <w:p w14:paraId="3FFDD06C"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②</w:t>
      </w:r>
      <w:r w:rsidRPr="00E67914">
        <w:rPr>
          <w:rFonts w:ascii="Times New Roman" w:hAnsi="Times New Roman"/>
          <w:lang w:eastAsia="zh-CN"/>
        </w:rPr>
        <w:t>划定施工作业范围和路线，不得扩大施工作业范围，尽可能减少对土壤和植被的破坏以及由此引发的水土流失。</w:t>
      </w:r>
    </w:p>
    <w:p w14:paraId="073194E2"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③</w:t>
      </w:r>
      <w:r w:rsidRPr="00E67914">
        <w:rPr>
          <w:rFonts w:ascii="Times New Roman" w:hAnsi="Times New Roman"/>
          <w:lang w:eastAsia="zh-CN"/>
        </w:rPr>
        <w:t>在井场站场施工，设置一定围挡，减少施工过程中水土流失量。</w:t>
      </w:r>
    </w:p>
    <w:p w14:paraId="142946D2"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④</w:t>
      </w:r>
      <w:r w:rsidRPr="00E67914">
        <w:rPr>
          <w:rFonts w:ascii="Times New Roman" w:hAnsi="Times New Roman"/>
          <w:lang w:eastAsia="zh-CN"/>
        </w:rPr>
        <w:t>在地面施工过程中，对于施工破坏区，施工完毕要及时平整土地及植被恢复，以防止发生新的土壤侵蚀。</w:t>
      </w:r>
    </w:p>
    <w:p w14:paraId="0E8E99EB"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⑤</w:t>
      </w:r>
      <w:r w:rsidRPr="00E67914">
        <w:rPr>
          <w:rFonts w:ascii="Times New Roman" w:hAnsi="Times New Roman"/>
          <w:lang w:eastAsia="zh-CN"/>
        </w:rPr>
        <w:t>对于施工过程中产生的不能利用的废弃土石不得将任意裸露弃置，做到随挖随填，以免遇强降雨引起严重的水土流失。</w:t>
      </w:r>
    </w:p>
    <w:p w14:paraId="0FB3859F" w14:textId="77777777" w:rsidR="00A54A8A" w:rsidRPr="00E67914" w:rsidRDefault="00000000">
      <w:pPr>
        <w:pStyle w:val="af"/>
        <w:adjustRightInd w:val="0"/>
        <w:snapToGrid w:val="0"/>
        <w:spacing w:line="360" w:lineRule="auto"/>
        <w:ind w:left="0" w:firstLineChars="200" w:firstLine="482"/>
        <w:rPr>
          <w:rFonts w:ascii="Times New Roman" w:hAnsi="Times New Roman"/>
          <w:b/>
          <w:bCs/>
          <w:lang w:eastAsia="zh-CN"/>
        </w:rPr>
      </w:pPr>
      <w:r w:rsidRPr="00E67914">
        <w:rPr>
          <w:rFonts w:ascii="Times New Roman" w:hAnsi="Times New Roman"/>
          <w:b/>
          <w:bCs/>
          <w:lang w:eastAsia="zh-CN"/>
        </w:rPr>
        <w:t>（</w:t>
      </w:r>
      <w:r w:rsidRPr="00E67914">
        <w:rPr>
          <w:rFonts w:ascii="Times New Roman" w:hAnsi="Times New Roman"/>
          <w:b/>
          <w:bCs/>
          <w:lang w:eastAsia="zh-CN"/>
        </w:rPr>
        <w:t>3</w:t>
      </w:r>
      <w:r w:rsidRPr="00E67914">
        <w:rPr>
          <w:rFonts w:ascii="Times New Roman" w:hAnsi="Times New Roman"/>
          <w:b/>
          <w:bCs/>
          <w:lang w:eastAsia="zh-CN"/>
        </w:rPr>
        <w:t>）对陆生野生动物保护措施</w:t>
      </w:r>
    </w:p>
    <w:p w14:paraId="7519CF8B"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①</w:t>
      </w:r>
      <w:r w:rsidRPr="00E67914">
        <w:rPr>
          <w:rFonts w:ascii="Times New Roman" w:hAnsi="Times New Roman"/>
          <w:lang w:eastAsia="zh-CN"/>
        </w:rPr>
        <w:t>加强宣传野生动物保护法规，打击捕杀野生动物的行为</w:t>
      </w:r>
    </w:p>
    <w:p w14:paraId="7A3BFCD5"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ascii="Times New Roman" w:hAnsi="Times New Roman"/>
          <w:lang w:eastAsia="zh-CN"/>
        </w:rPr>
        <w:t>提高施工人员的保护意识，施工人员必须遵守《中华人民共和国野生动物保护法》，严禁捕猎保护动物，特别是重点保护野生动物。</w:t>
      </w:r>
    </w:p>
    <w:p w14:paraId="6A5F6299"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②</w:t>
      </w:r>
      <w:r w:rsidRPr="00E67914">
        <w:rPr>
          <w:rFonts w:ascii="Times New Roman" w:hAnsi="Times New Roman"/>
          <w:lang w:eastAsia="zh-CN"/>
        </w:rPr>
        <w:t>防止动物生境污染</w:t>
      </w:r>
    </w:p>
    <w:p w14:paraId="68568516"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ascii="Times New Roman" w:hAnsi="Times New Roman"/>
          <w:lang w:eastAsia="zh-CN"/>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14:paraId="5A3C8059"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③</w:t>
      </w:r>
      <w:r w:rsidRPr="00E67914">
        <w:rPr>
          <w:rFonts w:ascii="Times New Roman" w:hAnsi="Times New Roman"/>
          <w:lang w:eastAsia="zh-CN"/>
        </w:rPr>
        <w:t>杜绝夜间施工，以保证自然生态系统和野生动物栖息地的稳定。</w:t>
      </w:r>
    </w:p>
    <w:p w14:paraId="5E14AAA0"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cs="宋体" w:hint="eastAsia"/>
          <w:lang w:eastAsia="zh-CN"/>
        </w:rPr>
        <w:t>④</w:t>
      </w:r>
      <w:r w:rsidRPr="00E67914">
        <w:rPr>
          <w:rFonts w:ascii="Times New Roman" w:hAnsi="Times New Roman"/>
          <w:lang w:eastAsia="zh-CN"/>
        </w:rPr>
        <w:t>对野生动物具体保护方案</w:t>
      </w:r>
    </w:p>
    <w:p w14:paraId="59E2A33A"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ascii="Times New Roman" w:hAnsi="Times New Roman"/>
          <w:lang w:eastAsia="zh-CN"/>
        </w:rPr>
        <w:t>鸟类：</w:t>
      </w:r>
      <w:r w:rsidRPr="00E67914">
        <w:rPr>
          <w:rFonts w:cs="宋体" w:hint="eastAsia"/>
          <w:lang w:eastAsia="zh-CN"/>
        </w:rPr>
        <w:t>①</w:t>
      </w:r>
      <w:r w:rsidRPr="00E67914">
        <w:rPr>
          <w:rFonts w:ascii="Times New Roman" w:hAnsi="Times New Roman"/>
          <w:lang w:eastAsia="zh-CN"/>
        </w:rPr>
        <w:t>尽量减少施工对植被的破坏，保证施工后植被的恢复。</w:t>
      </w:r>
      <w:r w:rsidRPr="00E67914">
        <w:rPr>
          <w:rFonts w:cs="宋体" w:hint="eastAsia"/>
          <w:lang w:eastAsia="zh-CN"/>
        </w:rPr>
        <w:t>②</w:t>
      </w:r>
      <w:r w:rsidRPr="00E67914">
        <w:rPr>
          <w:rFonts w:ascii="Times New Roman" w:hAnsi="Times New Roman"/>
          <w:lang w:eastAsia="zh-CN"/>
        </w:rPr>
        <w:t>增强人们的环境保护意识，加强对重点保护野生动物的保护，严禁非法猎捕保护鸟类及对人类有益的鸟类。</w:t>
      </w:r>
    </w:p>
    <w:p w14:paraId="669CBF82"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ascii="Times New Roman" w:hAnsi="Times New Roman"/>
          <w:lang w:eastAsia="zh-CN"/>
        </w:rPr>
        <w:t>兽类：保护好现有的植被，使兽类有一个稳定的栖息地。为将项目建设对兽类栖息地的影响减少到最低限度，应在所有可能的地区采用可能的方法恢复</w:t>
      </w:r>
      <w:r w:rsidRPr="00E67914">
        <w:rPr>
          <w:rFonts w:ascii="Times New Roman" w:hAnsi="Times New Roman"/>
          <w:lang w:eastAsia="zh-CN"/>
        </w:rPr>
        <w:lastRenderedPageBreak/>
        <w:t>植被；对工程废物和施工人员的生活垃圾进行快速处理，尽量避免废物为鼠类等疫源性兽类提供生活环境，同时也可减少工程对动物栖息地的破坏。</w:t>
      </w:r>
    </w:p>
    <w:p w14:paraId="266BDD75" w14:textId="77777777" w:rsidR="00A54A8A" w:rsidRPr="00E67914" w:rsidRDefault="00000000">
      <w:pPr>
        <w:pStyle w:val="af"/>
        <w:adjustRightInd w:val="0"/>
        <w:snapToGrid w:val="0"/>
        <w:spacing w:line="360" w:lineRule="auto"/>
        <w:ind w:left="0" w:firstLineChars="200" w:firstLine="482"/>
        <w:rPr>
          <w:rFonts w:ascii="Times New Roman" w:hAnsi="Times New Roman"/>
          <w:b/>
          <w:bCs/>
          <w:lang w:eastAsia="zh-CN"/>
        </w:rPr>
      </w:pPr>
      <w:r w:rsidRPr="00E67914">
        <w:rPr>
          <w:rFonts w:ascii="Times New Roman" w:hAnsi="Times New Roman"/>
          <w:b/>
          <w:bCs/>
          <w:lang w:eastAsia="zh-CN"/>
        </w:rPr>
        <w:t>（</w:t>
      </w:r>
      <w:r w:rsidRPr="00E67914">
        <w:rPr>
          <w:rFonts w:ascii="Times New Roman" w:hAnsi="Times New Roman"/>
          <w:b/>
          <w:bCs/>
          <w:lang w:eastAsia="zh-CN"/>
        </w:rPr>
        <w:t>4</w:t>
      </w:r>
      <w:r w:rsidRPr="00E67914">
        <w:rPr>
          <w:rFonts w:ascii="Times New Roman" w:hAnsi="Times New Roman"/>
          <w:b/>
          <w:bCs/>
          <w:lang w:eastAsia="zh-CN"/>
        </w:rPr>
        <w:t>）对重点保护野生动物保护措施</w:t>
      </w:r>
    </w:p>
    <w:p w14:paraId="131B9551"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ascii="Times New Roman" w:hAnsi="Times New Roman"/>
          <w:lang w:eastAsia="zh-CN"/>
        </w:rPr>
        <w:t>评价区人类活动较为频繁，未分布适宜的重点保护野生动物雀鹰、画眉栖息地及生境，其主要为过境取食及活动。同时，雀鹰、画眉飞翔能力和自主迁徙能力较强，捕食范围很广，施工活动对其影响很小，在施工期，要加强在施工人员中的宣传教育，如发现上述保护动物过境，要加强保护，严禁捕捉，同时，要文明施工，将人为影响降至最低。</w:t>
      </w:r>
    </w:p>
    <w:p w14:paraId="637838B4" w14:textId="34EEFBF1" w:rsidR="00A54A8A" w:rsidRPr="00E67914" w:rsidRDefault="00000000">
      <w:pPr>
        <w:spacing w:line="360" w:lineRule="auto"/>
        <w:ind w:firstLineChars="200" w:firstLine="482"/>
        <w:rPr>
          <w:rFonts w:ascii="Times New Roman" w:hAnsi="Times New Roman"/>
          <w:b/>
          <w:bCs/>
          <w:sz w:val="24"/>
          <w:szCs w:val="24"/>
          <w:lang w:eastAsia="zh-CN"/>
        </w:rPr>
      </w:pPr>
      <w:r w:rsidRPr="00E67914">
        <w:rPr>
          <w:rFonts w:ascii="Times New Roman" w:hAnsi="Times New Roman"/>
          <w:b/>
          <w:bCs/>
          <w:sz w:val="24"/>
          <w:szCs w:val="24"/>
          <w:lang w:eastAsia="zh-CN"/>
        </w:rPr>
        <w:t>（</w:t>
      </w:r>
      <w:r w:rsidR="00314D13" w:rsidRPr="00E67914">
        <w:rPr>
          <w:rFonts w:ascii="Times New Roman" w:hAnsi="Times New Roman"/>
          <w:b/>
          <w:bCs/>
          <w:sz w:val="24"/>
          <w:szCs w:val="24"/>
          <w:lang w:eastAsia="zh-CN"/>
        </w:rPr>
        <w:t>5</w:t>
      </w:r>
      <w:r w:rsidRPr="00E67914">
        <w:rPr>
          <w:rFonts w:ascii="Times New Roman" w:hAnsi="Times New Roman"/>
          <w:b/>
          <w:bCs/>
          <w:sz w:val="24"/>
          <w:szCs w:val="24"/>
          <w:lang w:eastAsia="zh-CN"/>
        </w:rPr>
        <w:t>）外来入侵植物防范措施</w:t>
      </w:r>
    </w:p>
    <w:p w14:paraId="1624430F"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14:paraId="082D5EFC"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在施工占地区或裸地绿化应采取相应的防范措施，在选择绿化树种和水土保持植物中不使用外来入侵植物，尽可能使用乡土树种。</w:t>
      </w:r>
    </w:p>
    <w:p w14:paraId="4FA1966E" w14:textId="77777777" w:rsidR="00A54A8A" w:rsidRPr="00E67914" w:rsidRDefault="00000000">
      <w:pPr>
        <w:spacing w:line="360" w:lineRule="auto"/>
        <w:ind w:firstLineChars="200" w:firstLine="482"/>
        <w:outlineLvl w:val="3"/>
        <w:rPr>
          <w:rFonts w:ascii="Times New Roman" w:hAnsi="Times New Roman"/>
          <w:b/>
          <w:bCs/>
          <w:kern w:val="2"/>
          <w:sz w:val="24"/>
          <w:szCs w:val="24"/>
          <w:lang w:eastAsia="zh-CN" w:bidi="ar"/>
        </w:rPr>
      </w:pPr>
      <w:r w:rsidRPr="00E67914">
        <w:rPr>
          <w:rFonts w:ascii="Times New Roman" w:hAnsi="Times New Roman"/>
          <w:b/>
          <w:bCs/>
          <w:kern w:val="2"/>
          <w:sz w:val="24"/>
          <w:szCs w:val="24"/>
          <w:lang w:eastAsia="zh-CN" w:bidi="ar"/>
        </w:rPr>
        <w:t>7.1.1.3</w:t>
      </w:r>
      <w:r w:rsidRPr="00E67914">
        <w:rPr>
          <w:rFonts w:ascii="Times New Roman" w:hAnsi="Times New Roman"/>
          <w:b/>
          <w:bCs/>
          <w:kern w:val="2"/>
          <w:sz w:val="24"/>
          <w:szCs w:val="24"/>
          <w:lang w:eastAsia="zh-CN" w:bidi="ar"/>
        </w:rPr>
        <w:t>恢复和补偿措施</w:t>
      </w:r>
    </w:p>
    <w:p w14:paraId="0514CC3C"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szCs w:val="24"/>
          <w:lang w:eastAsia="zh-CN"/>
        </w:rPr>
        <w:t>陆生植物</w:t>
      </w:r>
      <w:r w:rsidRPr="00E67914">
        <w:rPr>
          <w:rFonts w:ascii="Times New Roman" w:hAnsi="Times New Roman"/>
          <w:kern w:val="2"/>
          <w:sz w:val="24"/>
          <w:szCs w:val="24"/>
          <w:lang w:eastAsia="zh-CN" w:bidi="ar"/>
        </w:rPr>
        <w:t>恢复原则是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14:paraId="09EBDE36" w14:textId="77777777" w:rsidR="00A54A8A" w:rsidRPr="00E67914" w:rsidRDefault="00000000">
      <w:pPr>
        <w:spacing w:line="360" w:lineRule="auto"/>
        <w:ind w:firstLineChars="200" w:firstLine="482"/>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）表土剥离及堆存</w:t>
      </w:r>
    </w:p>
    <w:p w14:paraId="38B86AE0"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工程建设过程伴随着土石方开挖、回填活动，不可避免地对林地和草地造成破坏，毁坏地表植被、挖损和埋压土地、破坏地表土壤等，不仅降低了土壤抗蚀能力，加剧了评价区水土流失。根据区域环境的特点，需针对性的开展表土剥离和堆存，尽可能的减少水土流失。</w:t>
      </w:r>
    </w:p>
    <w:p w14:paraId="15E8E221"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剥离区域</w:t>
      </w:r>
    </w:p>
    <w:p w14:paraId="2237BBCB"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施工结束后需要复绿的区域都应列为表土剥离区域，但在实际设计中应根据具体情况分析确定，如根据施工区域土层厚度、肥沃程度及后续植物措施搭配等确定。</w:t>
      </w:r>
    </w:p>
    <w:p w14:paraId="4F2C303D" w14:textId="64336738"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lastRenderedPageBreak/>
        <w:t>对于</w:t>
      </w:r>
      <w:r w:rsidR="00314D13" w:rsidRPr="00E67914">
        <w:rPr>
          <w:rFonts w:ascii="Times New Roman" w:hAnsi="Times New Roman"/>
          <w:sz w:val="24"/>
          <w:szCs w:val="24"/>
          <w:lang w:eastAsia="zh-CN"/>
        </w:rPr>
        <w:t>新普陆页</w:t>
      </w:r>
      <w:r w:rsidR="00314D13" w:rsidRPr="00E67914">
        <w:rPr>
          <w:rFonts w:ascii="Times New Roman" w:hAnsi="Times New Roman"/>
          <w:sz w:val="24"/>
          <w:szCs w:val="24"/>
          <w:lang w:eastAsia="zh-CN"/>
        </w:rPr>
        <w:t>2</w:t>
      </w:r>
      <w:r w:rsidR="00314D13" w:rsidRPr="00E67914">
        <w:rPr>
          <w:rFonts w:ascii="Times New Roman" w:hAnsi="Times New Roman"/>
          <w:sz w:val="24"/>
          <w:szCs w:val="24"/>
          <w:lang w:eastAsia="zh-CN"/>
        </w:rPr>
        <w:t>井场、清水池、进场道路、</w:t>
      </w:r>
      <w:r w:rsidRPr="00E67914">
        <w:rPr>
          <w:rFonts w:ascii="Times New Roman" w:hAnsi="Times New Roman"/>
          <w:sz w:val="24"/>
          <w:szCs w:val="24"/>
          <w:lang w:eastAsia="zh-CN"/>
        </w:rPr>
        <w:t>放空区、外输管线占地区，在开工前，应首先剥离表层土，将其暂时堆放在表土堆存场，用塑料薄膜或草席覆盖，以防止雨水冲刷和风扬，作为项目完工后覆土造地或绿化的回填表土之用。</w:t>
      </w:r>
    </w:p>
    <w:p w14:paraId="6D4377AA"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剥离厚度</w:t>
      </w:r>
    </w:p>
    <w:p w14:paraId="505296FD"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根据现场调查，剥离区表层土的厚度平均为</w:t>
      </w:r>
      <w:r w:rsidRPr="00E67914">
        <w:rPr>
          <w:rFonts w:ascii="Times New Roman" w:hAnsi="Times New Roman"/>
          <w:sz w:val="24"/>
          <w:szCs w:val="24"/>
          <w:lang w:eastAsia="zh-CN"/>
        </w:rPr>
        <w:t>20cm</w:t>
      </w:r>
      <w:r w:rsidRPr="00E67914">
        <w:rPr>
          <w:rFonts w:ascii="Times New Roman" w:hAnsi="Times New Roman"/>
          <w:sz w:val="24"/>
          <w:szCs w:val="24"/>
          <w:lang w:eastAsia="zh-CN"/>
        </w:rPr>
        <w:t>，厚的可达</w:t>
      </w:r>
      <w:r w:rsidRPr="00E67914">
        <w:rPr>
          <w:rFonts w:ascii="Times New Roman" w:hAnsi="Times New Roman"/>
          <w:sz w:val="24"/>
          <w:szCs w:val="24"/>
          <w:lang w:eastAsia="zh-CN"/>
        </w:rPr>
        <w:t>30cm</w:t>
      </w:r>
      <w:r w:rsidRPr="00E67914">
        <w:rPr>
          <w:rFonts w:ascii="Times New Roman" w:hAnsi="Times New Roman"/>
          <w:sz w:val="24"/>
          <w:szCs w:val="24"/>
          <w:lang w:eastAsia="zh-CN"/>
        </w:rPr>
        <w:t>，但在具体的设计中应根据剥离区域土壤耕植层厚度及后期复绿所需回填量来确定剥离厚度。由于区域内表土厚度存在差异，对土层深厚、肥沃的地方可适当深剥，对土层较薄、肥力不高的地方可适当浅剥，在总量控制（用多少剥多少）的前提下应尽量将剥离区域内最肥沃的部分土壤剥离出来。</w:t>
      </w:r>
    </w:p>
    <w:p w14:paraId="0B7746D9"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占地区的草地表土厚度一般在</w:t>
      </w:r>
      <w:r w:rsidRPr="00E67914">
        <w:rPr>
          <w:rFonts w:ascii="Times New Roman" w:hAnsi="Times New Roman"/>
          <w:sz w:val="24"/>
          <w:szCs w:val="24"/>
          <w:lang w:eastAsia="zh-CN"/>
        </w:rPr>
        <w:t>30cm</w:t>
      </w:r>
      <w:r w:rsidRPr="00E67914">
        <w:rPr>
          <w:rFonts w:ascii="Times New Roman" w:hAnsi="Times New Roman"/>
          <w:sz w:val="24"/>
          <w:szCs w:val="24"/>
          <w:lang w:eastAsia="zh-CN"/>
        </w:rPr>
        <w:t>以内，表土剥离中应控制剥离厚度，剥离厚度过大，否则给保存带来不便，下部生土如混进表土，致使土地生产力下降。</w:t>
      </w:r>
    </w:p>
    <w:p w14:paraId="79E5ABA0"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宋体" w:hAnsi="宋体" w:cs="宋体" w:hint="eastAsia"/>
          <w:sz w:val="24"/>
          <w:szCs w:val="24"/>
          <w:lang w:eastAsia="zh-CN"/>
        </w:rPr>
        <w:t>③</w:t>
      </w:r>
      <w:r w:rsidRPr="00E67914">
        <w:rPr>
          <w:rFonts w:ascii="Times New Roman" w:hAnsi="Times New Roman"/>
          <w:sz w:val="24"/>
          <w:szCs w:val="24"/>
          <w:lang w:eastAsia="zh-CN"/>
        </w:rPr>
        <w:t>保存及保护</w:t>
      </w:r>
    </w:p>
    <w:p w14:paraId="7AF60D30"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a</w:t>
      </w:r>
      <w:r w:rsidRPr="00E67914">
        <w:rPr>
          <w:rFonts w:ascii="Times New Roman" w:hAnsi="Times New Roman"/>
          <w:sz w:val="24"/>
          <w:szCs w:val="24"/>
          <w:lang w:eastAsia="zh-CN"/>
        </w:rPr>
        <w:t>）表土临时堆存应尽量占用场内空闲地，如场内无适合堆处则应另行征地，表土保存过程中应设有临时防护措施。</w:t>
      </w:r>
    </w:p>
    <w:p w14:paraId="4C64D236"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b</w:t>
      </w:r>
      <w:r w:rsidRPr="00E67914">
        <w:rPr>
          <w:rFonts w:ascii="Times New Roman" w:hAnsi="Times New Roman"/>
          <w:sz w:val="24"/>
          <w:szCs w:val="24"/>
          <w:lang w:eastAsia="zh-CN"/>
        </w:rPr>
        <w:t>）根据剥离量和堆放条件，先用塑料彩条布或薄膜覆盖即可，四周用编制土袋临时挡护，编织袋外</w:t>
      </w:r>
      <w:r w:rsidRPr="00E67914">
        <w:rPr>
          <w:rFonts w:ascii="Times New Roman" w:hAnsi="Times New Roman"/>
          <w:sz w:val="24"/>
          <w:szCs w:val="24"/>
          <w:lang w:eastAsia="zh-CN"/>
        </w:rPr>
        <w:t>0.5m~1.0m</w:t>
      </w:r>
      <w:r w:rsidRPr="00E67914">
        <w:rPr>
          <w:rFonts w:ascii="Times New Roman" w:hAnsi="Times New Roman"/>
          <w:sz w:val="24"/>
          <w:szCs w:val="24"/>
          <w:lang w:eastAsia="zh-CN"/>
        </w:rPr>
        <w:t>处设临时排水沟，堆积形成后可利用铲车或推土机对顶部和边坡稍作压实，顶部应向外侧做成一定坡度，便于排水。</w:t>
      </w:r>
    </w:p>
    <w:p w14:paraId="52E1517C"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c</w:t>
      </w:r>
      <w:r w:rsidRPr="00E67914">
        <w:rPr>
          <w:rFonts w:ascii="Times New Roman" w:hAnsi="Times New Roman"/>
          <w:sz w:val="24"/>
          <w:szCs w:val="24"/>
          <w:lang w:eastAsia="zh-CN"/>
        </w:rPr>
        <w:t>）如保存期较长，超过</w:t>
      </w:r>
      <w:r w:rsidRPr="00E67914">
        <w:rPr>
          <w:rFonts w:ascii="Times New Roman" w:hAnsi="Times New Roman"/>
          <w:sz w:val="24"/>
          <w:szCs w:val="24"/>
          <w:lang w:eastAsia="zh-CN"/>
        </w:rPr>
        <w:t>1</w:t>
      </w:r>
      <w:r w:rsidRPr="00E67914">
        <w:rPr>
          <w:rFonts w:ascii="Times New Roman" w:hAnsi="Times New Roman"/>
          <w:sz w:val="24"/>
          <w:szCs w:val="24"/>
          <w:lang w:eastAsia="zh-CN"/>
        </w:rPr>
        <w:t>个生长季，可撒播草籽临时绿化，草种应该选择有培肥地力的（豆科）牧草。如堆放在渣场，一般应集中堆放在渣场下游或者两侧地势平缓处，避开低洼及水流汇集处。</w:t>
      </w:r>
    </w:p>
    <w:p w14:paraId="28FFE328"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宋体" w:hAnsi="宋体" w:cs="宋体" w:hint="eastAsia"/>
          <w:sz w:val="24"/>
          <w:szCs w:val="24"/>
          <w:lang w:eastAsia="zh-CN"/>
        </w:rPr>
        <w:t>④</w:t>
      </w:r>
      <w:r w:rsidRPr="00E67914">
        <w:rPr>
          <w:rFonts w:ascii="Times New Roman" w:hAnsi="Times New Roman"/>
          <w:sz w:val="24"/>
          <w:szCs w:val="24"/>
          <w:lang w:eastAsia="zh-CN"/>
        </w:rPr>
        <w:t>回填利用</w:t>
      </w:r>
    </w:p>
    <w:p w14:paraId="7BBA3897"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a</w:t>
      </w:r>
      <w:r w:rsidRPr="00E67914">
        <w:rPr>
          <w:rFonts w:ascii="Times New Roman" w:hAnsi="Times New Roman"/>
          <w:sz w:val="24"/>
          <w:szCs w:val="24"/>
          <w:lang w:eastAsia="zh-CN"/>
        </w:rPr>
        <w:t>）为提高草皮成活率，植草皮前应先覆土，覆土应控制厚度，一般为</w:t>
      </w:r>
      <w:r w:rsidRPr="00E67914">
        <w:rPr>
          <w:rFonts w:ascii="Times New Roman" w:hAnsi="Times New Roman"/>
          <w:sz w:val="24"/>
          <w:szCs w:val="24"/>
          <w:lang w:eastAsia="zh-CN"/>
        </w:rPr>
        <w:t>3cm~5cm</w:t>
      </w:r>
      <w:r w:rsidRPr="00E67914">
        <w:rPr>
          <w:rFonts w:ascii="Times New Roman" w:hAnsi="Times New Roman"/>
          <w:sz w:val="24"/>
          <w:szCs w:val="24"/>
          <w:lang w:eastAsia="zh-CN"/>
        </w:rPr>
        <w:t>，覆土时应适当压实，增加与边坡粘合力，避免剥落或因含水量增加与草皮一起顺坡向下滑移，如采用框格植草护坡，也应在框格内覆土。</w:t>
      </w:r>
    </w:p>
    <w:p w14:paraId="3219E880"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b</w:t>
      </w:r>
      <w:r w:rsidRPr="00E67914">
        <w:rPr>
          <w:rFonts w:ascii="Times New Roman" w:hAnsi="Times New Roman"/>
          <w:sz w:val="24"/>
          <w:szCs w:val="24"/>
          <w:lang w:eastAsia="zh-CN"/>
        </w:rPr>
        <w:t>）表土回填及整地过程中应地面与周边地形相协调，应避免出现中间低四周高，以避免雨天造成洼地积水。</w:t>
      </w:r>
    </w:p>
    <w:p w14:paraId="26F942DB"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c</w:t>
      </w:r>
      <w:r w:rsidRPr="00E67914">
        <w:rPr>
          <w:rFonts w:ascii="Times New Roman" w:hAnsi="Times New Roman"/>
          <w:sz w:val="24"/>
          <w:szCs w:val="24"/>
          <w:lang w:eastAsia="zh-CN"/>
        </w:rPr>
        <w:t>）临时占地利用完毕后应先铲除地表泥结石层，然后回填表土进行全面整地，全面整地后地面高度应与周边相一致，以利于复绿。</w:t>
      </w:r>
    </w:p>
    <w:p w14:paraId="4386828E" w14:textId="77777777" w:rsidR="00A54A8A" w:rsidRPr="00E67914" w:rsidRDefault="00000000">
      <w:pPr>
        <w:spacing w:line="360" w:lineRule="auto"/>
        <w:ind w:firstLineChars="200" w:firstLine="482"/>
        <w:rPr>
          <w:rFonts w:ascii="Times New Roman" w:hAnsi="Times New Roman"/>
          <w:b/>
          <w:bCs/>
          <w:sz w:val="24"/>
          <w:szCs w:val="24"/>
          <w:lang w:eastAsia="zh-CN"/>
        </w:rPr>
      </w:pPr>
      <w:r w:rsidRPr="00E67914">
        <w:rPr>
          <w:rFonts w:ascii="Times New Roman" w:hAnsi="Times New Roman"/>
          <w:b/>
          <w:bCs/>
          <w:sz w:val="24"/>
          <w:szCs w:val="24"/>
          <w:lang w:eastAsia="zh-CN"/>
        </w:rPr>
        <w:lastRenderedPageBreak/>
        <w:t>（</w:t>
      </w:r>
      <w:r w:rsidRPr="00E67914">
        <w:rPr>
          <w:rFonts w:ascii="Times New Roman" w:hAnsi="Times New Roman"/>
          <w:b/>
          <w:bCs/>
          <w:sz w:val="24"/>
          <w:szCs w:val="24"/>
          <w:lang w:eastAsia="zh-CN"/>
        </w:rPr>
        <w:t>2</w:t>
      </w:r>
      <w:r w:rsidRPr="00E67914">
        <w:rPr>
          <w:rFonts w:ascii="Times New Roman" w:hAnsi="Times New Roman"/>
          <w:b/>
          <w:bCs/>
          <w:sz w:val="24"/>
          <w:szCs w:val="24"/>
          <w:lang w:eastAsia="zh-CN"/>
        </w:rPr>
        <w:t>）恢复措施与技术</w:t>
      </w:r>
    </w:p>
    <w:p w14:paraId="1A4B67DE"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宋体" w:hAnsi="宋体" w:cs="宋体" w:hint="eastAsia"/>
          <w:sz w:val="24"/>
          <w:szCs w:val="24"/>
          <w:lang w:eastAsia="zh-CN"/>
        </w:rPr>
        <w:t>①</w:t>
      </w:r>
      <w:r w:rsidRPr="00E67914">
        <w:rPr>
          <w:rFonts w:ascii="Times New Roman" w:hAnsi="Times New Roman"/>
          <w:sz w:val="24"/>
          <w:szCs w:val="24"/>
          <w:lang w:eastAsia="zh-CN"/>
        </w:rPr>
        <w:t>植被恢复措施与技术</w:t>
      </w:r>
    </w:p>
    <w:p w14:paraId="59DC60CD"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a</w:t>
      </w:r>
      <w:r w:rsidRPr="00E67914">
        <w:rPr>
          <w:rFonts w:ascii="Times New Roman" w:hAnsi="Times New Roman"/>
          <w:sz w:val="24"/>
          <w:szCs w:val="24"/>
          <w:lang w:eastAsia="zh-CN"/>
        </w:rPr>
        <w:t>）对因施工期间破坏的草地植被和生境、临时占用的草地植被及各种施工迹地，工程结束后应该尽量通过实施生态恢复措施使其逐步得到恢复。</w:t>
      </w:r>
    </w:p>
    <w:p w14:paraId="767A784E"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b</w:t>
      </w:r>
      <w:r w:rsidRPr="00E67914">
        <w:rPr>
          <w:rFonts w:ascii="Times New Roman" w:hAnsi="Times New Roman"/>
          <w:sz w:val="24"/>
          <w:szCs w:val="24"/>
          <w:lang w:eastAsia="zh-CN"/>
        </w:rPr>
        <w:t>）在植被恢复或其他生态恢复活动中，应该依照适地适树、原生性、特有性、实用性的基本科学原则，种植当地生态系统中原有的重要的各种植物种类，乔、灌、草植物有机搭配。</w:t>
      </w:r>
    </w:p>
    <w:p w14:paraId="53662E63"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c</w:t>
      </w:r>
      <w:r w:rsidRPr="00E67914">
        <w:rPr>
          <w:rFonts w:ascii="Times New Roman" w:hAnsi="Times New Roman"/>
          <w:sz w:val="24"/>
          <w:szCs w:val="24"/>
          <w:lang w:eastAsia="zh-CN"/>
        </w:rPr>
        <w:t>）在采集种子或繁殖体时，要根据不同树种和植物，注意选择具有生长正常、健壮、结实率高等优良性状的种源。</w:t>
      </w:r>
    </w:p>
    <w:p w14:paraId="120E7518"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d</w:t>
      </w:r>
      <w:r w:rsidRPr="00E67914">
        <w:rPr>
          <w:rFonts w:ascii="Times New Roman" w:hAnsi="Times New Roman"/>
          <w:sz w:val="24"/>
          <w:szCs w:val="24"/>
          <w:lang w:eastAsia="zh-CN"/>
        </w:rPr>
        <w:t>）不能营造单一树种的单优群落，要营造为混交林，以最大限度保证群落丰富及生物多样性。</w:t>
      </w:r>
    </w:p>
    <w:p w14:paraId="4FAEC720"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e</w:t>
      </w:r>
      <w:r w:rsidRPr="00E67914">
        <w:rPr>
          <w:rFonts w:ascii="Times New Roman" w:hAnsi="Times New Roman"/>
          <w:sz w:val="24"/>
          <w:szCs w:val="24"/>
          <w:lang w:eastAsia="zh-CN"/>
        </w:rPr>
        <w:t>）尽量利用自然更新的方式恢复植被，并且注意恢复过程中的环境保护，同时加强管护，要通过围栏等措施防止人、畜破坏。</w:t>
      </w:r>
    </w:p>
    <w:p w14:paraId="7F19F34F"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宋体" w:hAnsi="宋体" w:cs="宋体" w:hint="eastAsia"/>
          <w:sz w:val="24"/>
          <w:szCs w:val="24"/>
          <w:lang w:eastAsia="zh-CN"/>
        </w:rPr>
        <w:t>②</w:t>
      </w:r>
      <w:r w:rsidRPr="00E67914">
        <w:rPr>
          <w:rFonts w:ascii="Times New Roman" w:hAnsi="Times New Roman"/>
          <w:sz w:val="24"/>
          <w:szCs w:val="24"/>
          <w:lang w:eastAsia="zh-CN"/>
        </w:rPr>
        <w:t>植物资源恢复措施及技术</w:t>
      </w:r>
    </w:p>
    <w:p w14:paraId="219811FD"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a</w:t>
      </w:r>
      <w:r w:rsidRPr="00E67914">
        <w:rPr>
          <w:rFonts w:ascii="Times New Roman" w:hAnsi="Times New Roman"/>
          <w:sz w:val="24"/>
          <w:szCs w:val="24"/>
          <w:lang w:eastAsia="zh-CN"/>
        </w:rPr>
        <w:t>）对各施工区发现的重要植物要认真清查登记、备案。以便在今后植物资源的恢复中作为选择植物种类的依据。</w:t>
      </w:r>
    </w:p>
    <w:p w14:paraId="61F6ED27"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b</w:t>
      </w:r>
      <w:r w:rsidRPr="00E67914">
        <w:rPr>
          <w:rFonts w:ascii="Times New Roman" w:hAnsi="Times New Roman"/>
          <w:sz w:val="24"/>
          <w:szCs w:val="24"/>
          <w:lang w:eastAsia="zh-CN"/>
        </w:rPr>
        <w:t>）种植原生种，杜绝外来种。在植被恢复或其他生态恢复活动中，避免外来种可能对当地的生态系统造成无可挽回的破坏。</w:t>
      </w:r>
    </w:p>
    <w:p w14:paraId="58F4CDA1"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c</w:t>
      </w:r>
      <w:r w:rsidRPr="00E67914">
        <w:rPr>
          <w:rFonts w:ascii="Times New Roman" w:hAnsi="Times New Roman"/>
          <w:sz w:val="24"/>
          <w:szCs w:val="24"/>
          <w:lang w:eastAsia="zh-CN"/>
        </w:rPr>
        <w:t>）多种植当地的特有植物。</w:t>
      </w:r>
    </w:p>
    <w:p w14:paraId="428178DF"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d</w:t>
      </w:r>
      <w:r w:rsidRPr="00E67914">
        <w:rPr>
          <w:rFonts w:ascii="Times New Roman" w:hAnsi="Times New Roman"/>
          <w:sz w:val="24"/>
          <w:szCs w:val="24"/>
          <w:lang w:eastAsia="zh-CN"/>
        </w:rPr>
        <w:t>）注意采种时间、种源选择，以及造林时间。造林时，严格执行苗木检验，做好苗木保护，提高造林质量，保证成活率。加强抚育管理和管护，使植被尽快恢复。</w:t>
      </w:r>
    </w:p>
    <w:p w14:paraId="7C06E59D"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e</w:t>
      </w:r>
      <w:r w:rsidRPr="00E67914">
        <w:rPr>
          <w:rFonts w:ascii="Times New Roman" w:hAnsi="Times New Roman"/>
          <w:sz w:val="24"/>
          <w:szCs w:val="24"/>
          <w:lang w:eastAsia="zh-CN"/>
        </w:rPr>
        <w:t>）植物种类选择</w:t>
      </w:r>
    </w:p>
    <w:p w14:paraId="2FA3B9BD" w14:textId="77777777" w:rsidR="00A54A8A" w:rsidRPr="00E67914" w:rsidRDefault="00000000">
      <w:pPr>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在进行植被恢复时，根据适地适树、原生性、特有性、观赏性等原则，应该采用有生态价值或经济价值的当地特有的原生植物，尤其是那些被项目建设破坏的重要物种。第一，可以恢复和增加当地植物多样性；第二，可以使植被恢复和绿化具有地方特色；第三，就地取材，可以降低绿化成本；第四，选择有一定经济价值的原生种类，可以增加一定的经济收入。</w:t>
      </w:r>
    </w:p>
    <w:p w14:paraId="37194B52" w14:textId="77777777" w:rsidR="00A54A8A" w:rsidRPr="00E67914" w:rsidRDefault="00000000">
      <w:pPr>
        <w:pStyle w:val="af"/>
        <w:adjustRightInd w:val="0"/>
        <w:snapToGrid w:val="0"/>
        <w:spacing w:line="360" w:lineRule="auto"/>
        <w:ind w:left="0" w:firstLineChars="200" w:firstLine="482"/>
        <w:rPr>
          <w:rFonts w:ascii="Times New Roman" w:hAnsi="Times New Roman"/>
          <w:b/>
          <w:bCs/>
          <w:lang w:eastAsia="zh-CN"/>
        </w:rPr>
      </w:pPr>
      <w:r w:rsidRPr="00E67914">
        <w:rPr>
          <w:rFonts w:ascii="Times New Roman" w:hAnsi="Times New Roman"/>
          <w:b/>
          <w:bCs/>
          <w:lang w:eastAsia="zh-CN"/>
        </w:rPr>
        <w:t>（</w:t>
      </w:r>
      <w:r w:rsidRPr="00E67914">
        <w:rPr>
          <w:rFonts w:ascii="Times New Roman" w:hAnsi="Times New Roman"/>
          <w:b/>
          <w:bCs/>
          <w:lang w:eastAsia="zh-CN"/>
        </w:rPr>
        <w:t>3</w:t>
      </w:r>
      <w:r w:rsidRPr="00E67914">
        <w:rPr>
          <w:rFonts w:ascii="Times New Roman" w:hAnsi="Times New Roman"/>
          <w:b/>
          <w:bCs/>
          <w:lang w:eastAsia="zh-CN"/>
        </w:rPr>
        <w:t>）资金保障</w:t>
      </w:r>
    </w:p>
    <w:p w14:paraId="606B6373" w14:textId="77777777" w:rsidR="00A54A8A" w:rsidRPr="00E67914" w:rsidRDefault="00000000">
      <w:pPr>
        <w:pStyle w:val="af"/>
        <w:adjustRightInd w:val="0"/>
        <w:snapToGrid w:val="0"/>
        <w:spacing w:line="360" w:lineRule="auto"/>
        <w:ind w:left="0" w:firstLineChars="200" w:firstLine="480"/>
        <w:rPr>
          <w:rFonts w:ascii="Times New Roman" w:hAnsi="Times New Roman"/>
          <w:lang w:eastAsia="zh-CN"/>
        </w:rPr>
      </w:pPr>
      <w:r w:rsidRPr="00E67914">
        <w:rPr>
          <w:rFonts w:ascii="Times New Roman" w:hAnsi="Times New Roman"/>
          <w:lang w:eastAsia="zh-CN"/>
        </w:rPr>
        <w:lastRenderedPageBreak/>
        <w:t>设立生态补偿专项经费，将野生动植物的保护和监测费用、工程地形地貌恢复费用纳入生态补偿费，确保生态恢复资金足额到位。</w:t>
      </w:r>
    </w:p>
    <w:p w14:paraId="12D32ABE" w14:textId="77777777" w:rsidR="00A54A8A" w:rsidRPr="00E67914" w:rsidRDefault="00000000">
      <w:pPr>
        <w:spacing w:line="360" w:lineRule="auto"/>
        <w:ind w:firstLineChars="200" w:firstLine="482"/>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4</w:t>
      </w:r>
      <w:r w:rsidRPr="00E67914">
        <w:rPr>
          <w:rFonts w:ascii="Times New Roman" w:hAnsi="Times New Roman"/>
          <w:b/>
          <w:bCs/>
          <w:sz w:val="24"/>
          <w:szCs w:val="24"/>
          <w:lang w:eastAsia="zh-CN"/>
        </w:rPr>
        <w:t>）项目占地恢复及复垦要求</w:t>
      </w:r>
    </w:p>
    <w:p w14:paraId="184E62FA" w14:textId="1659E8B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hAnsi="Times New Roman"/>
          <w:sz w:val="24"/>
          <w:lang w:eastAsia="zh-CN"/>
        </w:rPr>
        <w:t>项目</w:t>
      </w:r>
      <w:r w:rsidR="00243180" w:rsidRPr="00E67914">
        <w:rPr>
          <w:rFonts w:ascii="Times New Roman" w:hAnsi="Times New Roman"/>
          <w:sz w:val="24"/>
          <w:lang w:eastAsia="zh-CN"/>
        </w:rPr>
        <w:t>试采结束</w:t>
      </w:r>
      <w:r w:rsidRPr="00E67914">
        <w:rPr>
          <w:rFonts w:ascii="Times New Roman" w:hAnsi="Times New Roman"/>
          <w:sz w:val="24"/>
          <w:lang w:eastAsia="zh-CN"/>
        </w:rPr>
        <w:t>后</w:t>
      </w:r>
      <w:r w:rsidR="00243180" w:rsidRPr="00E67914">
        <w:rPr>
          <w:rFonts w:ascii="Times New Roman" w:hAnsi="Times New Roman"/>
          <w:sz w:val="24"/>
          <w:lang w:eastAsia="zh-CN"/>
        </w:rPr>
        <w:t>若不转为生产井且无后续开采计划</w:t>
      </w:r>
      <w:r w:rsidRPr="00E67914">
        <w:rPr>
          <w:rFonts w:ascii="Times New Roman" w:hAnsi="Times New Roman"/>
          <w:sz w:val="24"/>
          <w:lang w:eastAsia="zh-CN"/>
        </w:rPr>
        <w:t>，在相关设施拆除后，需在占地区进行植被复绿</w:t>
      </w:r>
      <w:r w:rsidR="00314D13" w:rsidRPr="00E67914">
        <w:rPr>
          <w:rFonts w:ascii="Times New Roman" w:hAnsi="Times New Roman"/>
          <w:sz w:val="24"/>
          <w:lang w:eastAsia="zh-CN"/>
        </w:rPr>
        <w:t>或复垦</w:t>
      </w:r>
      <w:r w:rsidRPr="00E67914">
        <w:rPr>
          <w:rFonts w:ascii="Times New Roman" w:hAnsi="Times New Roman"/>
          <w:sz w:val="24"/>
          <w:lang w:eastAsia="zh-CN"/>
        </w:rPr>
        <w:t>，复绿采用乔、灌、草植物有机搭配方式，择具有生长正常、健壮、结实率高等优良性状的种源，树种主要采用本地马尾松、柏木为主的乔木树种，结合野桐、盐肤木、芒、白茅、芒萁等相关灌草丛，严控外来物种的入侵，对复绿植被做好生态监测，加强管护，保证成效，使植被尽快恢复。</w:t>
      </w:r>
    </w:p>
    <w:p w14:paraId="1237DC34"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7.1.2</w:t>
      </w:r>
      <w:r w:rsidRPr="00E67914">
        <w:rPr>
          <w:rFonts w:ascii="Times New Roman" w:eastAsia="黑体" w:hAnsi="Times New Roman"/>
          <w:b w:val="0"/>
          <w:sz w:val="24"/>
          <w:szCs w:val="24"/>
          <w:lang w:eastAsia="zh-CN"/>
        </w:rPr>
        <w:t>施工期大气污染防治措施及可行性分析</w:t>
      </w:r>
    </w:p>
    <w:p w14:paraId="04076008"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1</w:t>
      </w:r>
      <w:r w:rsidRPr="00E67914">
        <w:rPr>
          <w:rFonts w:ascii="Times New Roman" w:eastAsia="黑体" w:hAnsi="Times New Roman"/>
          <w:sz w:val="24"/>
          <w:szCs w:val="24"/>
          <w:lang w:eastAsia="zh-CN"/>
        </w:rPr>
        <w:t>、备用柴油发电机废气减缓措施</w:t>
      </w:r>
    </w:p>
    <w:p w14:paraId="29FBBBAB"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钻井过程中备用柴油机燃油废气，可以通过采用节能环保型柴油动力系统设备（自带消烟除尘装置），并适当提高排气筒高度（</w:t>
      </w:r>
      <w:r w:rsidRPr="00E67914">
        <w:rPr>
          <w:rFonts w:ascii="Times New Roman" w:hAnsi="Times New Roman"/>
          <w:sz w:val="24"/>
          <w:szCs w:val="24"/>
          <w:lang w:eastAsia="zh-CN"/>
        </w:rPr>
        <w:t>6m</w:t>
      </w:r>
      <w:r w:rsidRPr="00E67914">
        <w:rPr>
          <w:rFonts w:ascii="Times New Roman" w:hAnsi="Times New Roman"/>
          <w:sz w:val="24"/>
          <w:szCs w:val="24"/>
          <w:lang w:eastAsia="zh-CN"/>
        </w:rPr>
        <w:t>以上），减少污染物排放量与大气环境影响，其影响为临时性，将随网电的正常使用和钻井工程的结束而消除，污染减缓措施可行。</w:t>
      </w:r>
    </w:p>
    <w:p w14:paraId="395B61C5"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2</w:t>
      </w:r>
      <w:r w:rsidRPr="00E67914">
        <w:rPr>
          <w:rFonts w:ascii="Times New Roman" w:eastAsia="黑体" w:hAnsi="Times New Roman"/>
          <w:sz w:val="24"/>
          <w:szCs w:val="24"/>
          <w:lang w:eastAsia="zh-CN"/>
        </w:rPr>
        <w:t>、无组织挥发性废气减缓措施</w:t>
      </w:r>
    </w:p>
    <w:p w14:paraId="01C2837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为天然气钻井及试采工程，因此，除燃油机械使用过程中产生的少量无组织挥发性有机物排放外，还有少量钻井施工过程中无组织排放源。因此，本项目无组织挥发性有机物排放量小，通过自然扩散可有效降低其影响，污染减缓措施可行。</w:t>
      </w:r>
    </w:p>
    <w:p w14:paraId="1E39DE85"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3</w:t>
      </w:r>
      <w:r w:rsidRPr="00E67914">
        <w:rPr>
          <w:rFonts w:ascii="Times New Roman" w:eastAsia="黑体" w:hAnsi="Times New Roman"/>
          <w:sz w:val="24"/>
          <w:szCs w:val="24"/>
          <w:lang w:eastAsia="zh-CN"/>
        </w:rPr>
        <w:t>、压裂测试机械、车辆尾气减缓措施</w:t>
      </w:r>
    </w:p>
    <w:p w14:paraId="2D1A64F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为减缓压裂期间机械、车辆尾气造成的环境空气污染，施工单位应定期对运输车辆进行维护和保养，尽量使用清洁燃料，保证发动机正常运行，使汽车燃料充分燃烧，能有效减少尾气中污染物排放，污染减缓措施可行。</w:t>
      </w:r>
    </w:p>
    <w:p w14:paraId="689F4D1C"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4</w:t>
      </w:r>
      <w:r w:rsidRPr="00E67914">
        <w:rPr>
          <w:rFonts w:ascii="Times New Roman" w:eastAsia="黑体" w:hAnsi="Times New Roman"/>
          <w:sz w:val="24"/>
          <w:szCs w:val="24"/>
          <w:lang w:eastAsia="zh-CN"/>
        </w:rPr>
        <w:t>、完井测试废气减缓措施</w:t>
      </w:r>
    </w:p>
    <w:p w14:paraId="425E2A0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本项目测试放喷的天然气经专用放喷管线引至放喷池后点火燃烧，放喷管口高为</w:t>
      </w:r>
      <w:r w:rsidRPr="00E67914">
        <w:rPr>
          <w:rFonts w:ascii="Times New Roman" w:hAnsi="Times New Roman"/>
          <w:sz w:val="24"/>
          <w:szCs w:val="24"/>
          <w:lang w:eastAsia="zh-CN"/>
        </w:rPr>
        <w:t>1m</w:t>
      </w:r>
      <w:r w:rsidRPr="00E67914">
        <w:rPr>
          <w:rFonts w:ascii="Times New Roman" w:hAnsi="Times New Roman"/>
          <w:sz w:val="24"/>
          <w:szCs w:val="24"/>
          <w:lang w:eastAsia="zh-CN"/>
        </w:rPr>
        <w:t>，采用短火焰灼烧器，修建放喷池及挡墙减低辐射影响。正对燃烧筒的墙高</w:t>
      </w:r>
      <w:r w:rsidRPr="00E67914">
        <w:rPr>
          <w:rFonts w:ascii="Times New Roman" w:hAnsi="Times New Roman"/>
          <w:sz w:val="24"/>
          <w:szCs w:val="24"/>
          <w:lang w:eastAsia="zh-CN"/>
        </w:rPr>
        <w:t>5.3m</w:t>
      </w:r>
      <w:r w:rsidRPr="00E67914">
        <w:rPr>
          <w:rFonts w:ascii="Times New Roman" w:hAnsi="Times New Roman"/>
          <w:sz w:val="24"/>
          <w:szCs w:val="24"/>
          <w:lang w:eastAsia="zh-CN"/>
        </w:rPr>
        <w:t>，下部厚</w:t>
      </w:r>
      <w:r w:rsidRPr="00E67914">
        <w:rPr>
          <w:rFonts w:ascii="Times New Roman" w:hAnsi="Times New Roman"/>
          <w:sz w:val="24"/>
          <w:szCs w:val="24"/>
          <w:lang w:eastAsia="zh-CN"/>
        </w:rPr>
        <w:t>0.5m</w:t>
      </w:r>
      <w:r w:rsidRPr="00E67914">
        <w:rPr>
          <w:rFonts w:ascii="Times New Roman" w:hAnsi="Times New Roman"/>
          <w:sz w:val="24"/>
          <w:szCs w:val="24"/>
          <w:lang w:eastAsia="zh-CN"/>
        </w:rPr>
        <w:t>，上部墙厚</w:t>
      </w:r>
      <w:r w:rsidRPr="00E67914">
        <w:rPr>
          <w:rFonts w:ascii="Times New Roman" w:hAnsi="Times New Roman"/>
          <w:sz w:val="24"/>
          <w:szCs w:val="24"/>
          <w:lang w:eastAsia="zh-CN"/>
        </w:rPr>
        <w:t>0.24m</w:t>
      </w:r>
      <w:r w:rsidRPr="00E67914">
        <w:rPr>
          <w:rFonts w:ascii="Times New Roman" w:hAnsi="Times New Roman"/>
          <w:sz w:val="24"/>
          <w:szCs w:val="24"/>
          <w:lang w:eastAsia="zh-CN"/>
        </w:rPr>
        <w:t>，两侧墙高</w:t>
      </w:r>
      <w:r w:rsidRPr="00E67914">
        <w:rPr>
          <w:rFonts w:ascii="Times New Roman" w:hAnsi="Times New Roman"/>
          <w:sz w:val="24"/>
          <w:szCs w:val="24"/>
          <w:lang w:eastAsia="zh-CN"/>
        </w:rPr>
        <w:t>4.3m</w:t>
      </w:r>
      <w:r w:rsidRPr="00E67914">
        <w:rPr>
          <w:rFonts w:ascii="Times New Roman" w:hAnsi="Times New Roman"/>
          <w:sz w:val="24"/>
          <w:szCs w:val="24"/>
          <w:lang w:eastAsia="zh-CN"/>
        </w:rPr>
        <w:t>，厚</w:t>
      </w:r>
      <w:r w:rsidRPr="00E67914">
        <w:rPr>
          <w:rFonts w:ascii="Times New Roman" w:hAnsi="Times New Roman"/>
          <w:sz w:val="24"/>
          <w:szCs w:val="24"/>
          <w:lang w:eastAsia="zh-CN"/>
        </w:rPr>
        <w:t>0.5m</w:t>
      </w:r>
      <w:r w:rsidRPr="00E67914">
        <w:rPr>
          <w:rFonts w:ascii="Times New Roman" w:hAnsi="Times New Roman"/>
          <w:sz w:val="24"/>
          <w:szCs w:val="24"/>
          <w:lang w:eastAsia="zh-CN"/>
        </w:rPr>
        <w:t>；内层均采用耐火砖修建。放喷池地势较为空旷，并清除周边</w:t>
      </w:r>
      <w:r w:rsidRPr="00E67914">
        <w:rPr>
          <w:rFonts w:ascii="Times New Roman" w:hAnsi="Times New Roman"/>
          <w:sz w:val="24"/>
          <w:szCs w:val="24"/>
          <w:lang w:eastAsia="zh-CN"/>
        </w:rPr>
        <w:t>10m</w:t>
      </w:r>
      <w:r w:rsidRPr="00E67914">
        <w:rPr>
          <w:rFonts w:ascii="Times New Roman" w:hAnsi="Times New Roman"/>
          <w:sz w:val="24"/>
          <w:szCs w:val="24"/>
          <w:lang w:eastAsia="zh-CN"/>
        </w:rPr>
        <w:t>范围内的杂草、杂树，放喷池内储存约</w:t>
      </w:r>
      <w:r w:rsidRPr="00E67914">
        <w:rPr>
          <w:rFonts w:ascii="Times New Roman" w:hAnsi="Times New Roman"/>
          <w:sz w:val="24"/>
          <w:szCs w:val="24"/>
          <w:lang w:eastAsia="zh-CN"/>
        </w:rPr>
        <w:t>1.0m</w:t>
      </w:r>
      <w:r w:rsidRPr="00E67914">
        <w:rPr>
          <w:rFonts w:ascii="Times New Roman" w:hAnsi="Times New Roman"/>
          <w:sz w:val="24"/>
          <w:szCs w:val="24"/>
          <w:lang w:eastAsia="zh-CN"/>
        </w:rPr>
        <w:t>深的清水，有利于燃烧废气的扩散和减少热辐射污染。本</w:t>
      </w:r>
      <w:r w:rsidRPr="00E67914">
        <w:rPr>
          <w:rFonts w:ascii="Times New Roman" w:hAnsi="Times New Roman"/>
          <w:sz w:val="24"/>
          <w:szCs w:val="24"/>
          <w:lang w:eastAsia="zh-CN"/>
        </w:rPr>
        <w:lastRenderedPageBreak/>
        <w:t>项目气井为不含硫化氢天然气井，其燃烧主要产物为</w:t>
      </w:r>
      <w:r w:rsidRPr="00E67914">
        <w:rPr>
          <w:rFonts w:ascii="Times New Roman" w:hAnsi="Times New Roman"/>
          <w:sz w:val="24"/>
          <w:szCs w:val="24"/>
          <w:lang w:eastAsia="zh-CN"/>
        </w:rPr>
        <w:t>CO</w:t>
      </w:r>
      <w:r w:rsidRPr="00E67914">
        <w:rPr>
          <w:rFonts w:ascii="Times New Roman" w:hAnsi="Times New Roman"/>
          <w:sz w:val="24"/>
          <w:szCs w:val="24"/>
          <w:vertAlign w:val="subscript"/>
          <w:lang w:eastAsia="zh-CN"/>
        </w:rPr>
        <w:t>2</w:t>
      </w:r>
      <w:r w:rsidRPr="00E67914">
        <w:rPr>
          <w:rFonts w:ascii="Times New Roman" w:hAnsi="Times New Roman"/>
          <w:sz w:val="24"/>
          <w:szCs w:val="24"/>
          <w:lang w:eastAsia="zh-CN"/>
        </w:rPr>
        <w:t>、水蒸气、</w:t>
      </w:r>
      <w:r w:rsidRPr="00E67914">
        <w:rPr>
          <w:rFonts w:ascii="Times New Roman" w:hAnsi="Times New Roman"/>
          <w:sz w:val="24"/>
          <w:szCs w:val="24"/>
          <w:lang w:eastAsia="zh-CN"/>
        </w:rPr>
        <w:t>NOx</w:t>
      </w:r>
      <w:r w:rsidRPr="00E67914">
        <w:rPr>
          <w:rFonts w:ascii="Times New Roman" w:hAnsi="Times New Roman"/>
          <w:sz w:val="24"/>
          <w:szCs w:val="24"/>
          <w:lang w:eastAsia="zh-CN"/>
        </w:rPr>
        <w:t>、颗粒物等。针对测试放喷废气主要采用地面灼烧处理，同时应对测试放喷时周边居民进行临时疏散。除了必要的放喷测试放空外，建议建设单位采取先建内外部集输管网的方式及时将井下天然气接管外输，减少天然气放空量。该措施满足《陆上石油天然气开采工业大气污染物排放标准》（</w:t>
      </w:r>
      <w:r w:rsidRPr="00E67914">
        <w:rPr>
          <w:rFonts w:ascii="Times New Roman" w:hAnsi="Times New Roman"/>
          <w:sz w:val="24"/>
          <w:szCs w:val="24"/>
          <w:lang w:eastAsia="zh-CN"/>
        </w:rPr>
        <w:t>GB39728-2020</w:t>
      </w:r>
      <w:r w:rsidRPr="00E67914">
        <w:rPr>
          <w:rFonts w:ascii="Times New Roman" w:hAnsi="Times New Roman"/>
          <w:sz w:val="24"/>
          <w:szCs w:val="24"/>
          <w:lang w:eastAsia="zh-CN"/>
        </w:rPr>
        <w:t>）相关要求，措施有效可行。</w:t>
      </w:r>
    </w:p>
    <w:p w14:paraId="317F15E0" w14:textId="3F9E5239"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综上所述，本项目施工期各类废气处置措施在川东北地区钻采工程中已实施多年，具有较好的借鉴经验。根据已经完钻的原</w:t>
      </w:r>
      <w:r w:rsidR="00902A04" w:rsidRPr="00E67914">
        <w:rPr>
          <w:rFonts w:ascii="Times New Roman" w:hAnsi="Times New Roman"/>
          <w:sz w:val="24"/>
          <w:szCs w:val="24"/>
          <w:lang w:eastAsia="zh-CN"/>
        </w:rPr>
        <w:t>普陆页</w:t>
      </w:r>
      <w:r w:rsidR="00902A04" w:rsidRPr="00E67914">
        <w:rPr>
          <w:rFonts w:ascii="Times New Roman" w:hAnsi="Times New Roman"/>
          <w:sz w:val="24"/>
          <w:szCs w:val="24"/>
          <w:lang w:eastAsia="zh-CN"/>
        </w:rPr>
        <w:t>2</w:t>
      </w:r>
      <w:r w:rsidR="00314D13" w:rsidRPr="00E67914">
        <w:rPr>
          <w:rFonts w:ascii="Times New Roman" w:hAnsi="Times New Roman"/>
          <w:sz w:val="24"/>
          <w:szCs w:val="24"/>
          <w:lang w:eastAsia="zh-CN"/>
        </w:rPr>
        <w:t>井场</w:t>
      </w:r>
      <w:r w:rsidRPr="00E67914">
        <w:rPr>
          <w:rFonts w:ascii="Times New Roman" w:hAnsi="Times New Roman"/>
          <w:sz w:val="24"/>
          <w:szCs w:val="24"/>
          <w:lang w:eastAsia="zh-CN"/>
        </w:rPr>
        <w:t>和其他中石化川东北地区钻采工程采用相同废气处理措施，到目前为止，中原油田普光分公司未收到废气污染的环保投诉。因此，本项目施工期废气治理措施从经济和环保角度分析是合理、可行的。</w:t>
      </w:r>
    </w:p>
    <w:p w14:paraId="73770937"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7.1.3</w:t>
      </w:r>
      <w:r w:rsidRPr="00E67914">
        <w:rPr>
          <w:rFonts w:ascii="Times New Roman" w:eastAsia="黑体" w:hAnsi="Times New Roman"/>
          <w:b w:val="0"/>
          <w:sz w:val="24"/>
          <w:szCs w:val="24"/>
          <w:lang w:eastAsia="zh-CN"/>
        </w:rPr>
        <w:t>施工期废水污染防治措施及可行性分析</w:t>
      </w:r>
    </w:p>
    <w:p w14:paraId="38A970D3"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1</w:t>
      </w:r>
      <w:r w:rsidRPr="00E67914">
        <w:rPr>
          <w:rFonts w:ascii="Times New Roman" w:eastAsia="黑体" w:hAnsi="Times New Roman"/>
          <w:sz w:val="24"/>
          <w:szCs w:val="24"/>
          <w:lang w:eastAsia="zh-CN"/>
        </w:rPr>
        <w:t>、治理措施</w:t>
      </w:r>
    </w:p>
    <w:p w14:paraId="575A3394"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）钻井废水、洗井废水</w:t>
      </w:r>
    </w:p>
    <w:p w14:paraId="3A79A84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钻井泥浆大多数回用于项目本身，先经固控设备固液分离后，合格泥浆直接进入泥浆循环罐回用，不合格泥浆和设备冲洗废水、洗井废水等经泥浆不落地处理后的钻井废水约</w:t>
      </w:r>
      <w:r w:rsidRPr="00E67914">
        <w:rPr>
          <w:rFonts w:ascii="Times New Roman" w:hAnsi="Times New Roman"/>
          <w:sz w:val="24"/>
          <w:szCs w:val="24"/>
          <w:lang w:eastAsia="zh-CN"/>
        </w:rPr>
        <w:t>90%</w:t>
      </w:r>
      <w:r w:rsidRPr="00E67914">
        <w:rPr>
          <w:rFonts w:ascii="Times New Roman" w:hAnsi="Times New Roman"/>
          <w:sz w:val="24"/>
          <w:szCs w:val="24"/>
          <w:lang w:eastAsia="zh-CN"/>
        </w:rPr>
        <w:t>回用于钻井过程，约</w:t>
      </w:r>
      <w:r w:rsidRPr="00E67914">
        <w:rPr>
          <w:rFonts w:ascii="Times New Roman" w:hAnsi="Times New Roman"/>
          <w:sz w:val="24"/>
          <w:szCs w:val="24"/>
          <w:lang w:eastAsia="zh-CN"/>
        </w:rPr>
        <w:t>10%</w:t>
      </w:r>
      <w:r w:rsidRPr="00E67914">
        <w:rPr>
          <w:rFonts w:ascii="Times New Roman" w:hAnsi="Times New Roman"/>
          <w:sz w:val="24"/>
          <w:szCs w:val="24"/>
          <w:lang w:eastAsia="zh-CN"/>
        </w:rPr>
        <w:t>暂存于泥浆不落地装置内，定期用密闭罐车拉运至赵家坝污水处理站达标后管输至普光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井回注站回注，不外排；固体为钻井固废用密闭罐车及时转运至达州地区环保手续齐全、环保设施稳定运行固废烧结厂进行烧结后综合利用。</w:t>
      </w:r>
      <w:r w:rsidRPr="00E67914">
        <w:rPr>
          <w:rFonts w:ascii="Times New Roman" w:hAnsi="Times New Roman"/>
          <w:sz w:val="24"/>
          <w:lang w:eastAsia="zh-CN"/>
        </w:rPr>
        <w:t>项目钻井期间钻井废水、洗井废水回收及处置措施工艺流程如下。</w:t>
      </w:r>
      <w:bookmarkStart w:id="211" w:name="_Hlk107247128"/>
    </w:p>
    <w:p w14:paraId="683A959F" w14:textId="77777777" w:rsidR="00A54A8A" w:rsidRPr="00E67914" w:rsidRDefault="00000000">
      <w:pPr>
        <w:adjustRightInd w:val="0"/>
        <w:snapToGrid w:val="0"/>
        <w:spacing w:line="360" w:lineRule="auto"/>
        <w:jc w:val="center"/>
        <w:rPr>
          <w:rFonts w:ascii="Times New Roman" w:hAnsi="Times New Roman"/>
          <w:b/>
          <w:sz w:val="24"/>
        </w:rPr>
      </w:pPr>
      <w:r w:rsidRPr="00E67914">
        <w:rPr>
          <w:rFonts w:ascii="Times New Roman" w:hAnsi="Times New Roman"/>
          <w:noProof/>
        </w:rPr>
        <mc:AlternateContent>
          <mc:Choice Requires="wps">
            <w:drawing>
              <wp:anchor distT="0" distB="0" distL="114300" distR="114300" simplePos="0" relativeHeight="251678720" behindDoc="0" locked="0" layoutInCell="1" allowOverlap="1" wp14:anchorId="615B60CF" wp14:editId="099DC03E">
                <wp:simplePos x="0" y="0"/>
                <wp:positionH relativeFrom="column">
                  <wp:posOffset>4033520</wp:posOffset>
                </wp:positionH>
                <wp:positionV relativeFrom="paragraph">
                  <wp:posOffset>618490</wp:posOffset>
                </wp:positionV>
                <wp:extent cx="506095" cy="377190"/>
                <wp:effectExtent l="0" t="0" r="27305" b="23495"/>
                <wp:wrapNone/>
                <wp:docPr id="1841" name="文本框 1841"/>
                <wp:cNvGraphicFramePr/>
                <a:graphic xmlns:a="http://schemas.openxmlformats.org/drawingml/2006/main">
                  <a:graphicData uri="http://schemas.microsoft.com/office/word/2010/wordprocessingShape">
                    <wps:wsp>
                      <wps:cNvSpPr txBox="1"/>
                      <wps:spPr bwMode="auto">
                        <a:xfrm>
                          <a:off x="0" y="0"/>
                          <a:ext cx="506095" cy="376899"/>
                        </a:xfrm>
                        <a:prstGeom prst="rect">
                          <a:avLst/>
                        </a:prstGeom>
                        <a:solidFill>
                          <a:srgbClr val="FFFFFF"/>
                        </a:solidFill>
                        <a:ln w="9525">
                          <a:solidFill>
                            <a:schemeClr val="bg1"/>
                          </a:solidFill>
                          <a:miter lim="800000"/>
                        </a:ln>
                      </wps:spPr>
                      <wps:txbx>
                        <w:txbxContent>
                          <w:p w14:paraId="5052A7CE" w14:textId="77777777" w:rsidR="00A54A8A" w:rsidRDefault="00000000">
                            <w:pPr>
                              <w:rPr>
                                <w:sz w:val="15"/>
                                <w:szCs w:val="15"/>
                                <w:lang w:eastAsia="zh-CN"/>
                              </w:rPr>
                            </w:pPr>
                            <w:r>
                              <w:rPr>
                                <w:rFonts w:hint="eastAsia"/>
                                <w:sz w:val="15"/>
                                <w:szCs w:val="15"/>
                                <w:lang w:eastAsia="zh-CN"/>
                              </w:rPr>
                              <w:t>赵家坝污水处理站</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615B60CF" id="文本框 1841" o:spid="_x0000_s1044" type="#_x0000_t202" style="position:absolute;left:0;text-align:left;margin-left:317.6pt;margin-top:48.7pt;width:39.85pt;height:29.7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" strokecolor="white [3212]">
                <v:textbox inset="0,,0">
                  <w:txbxContent>
                    <w:p w14:paraId="5052A7CE" w14:textId="77777777" w:rsidR="00A54A8A" w:rsidRDefault="00000000">
                      <w:pPr>
                        <w:rPr>
                          <w:sz w:val="15"/>
                          <w:szCs w:val="15"/>
                          <w:lang w:eastAsia="zh-CN"/>
                        </w:rPr>
                      </w:pPr>
                      <w:r>
                        <w:rPr>
                          <w:rFonts w:hint="eastAsia"/>
                          <w:sz w:val="15"/>
                          <w:szCs w:val="15"/>
                          <w:lang w:eastAsia="zh-CN"/>
                        </w:rPr>
                        <w:t>赵家坝污水处理站</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81792" behindDoc="0" locked="0" layoutInCell="1" allowOverlap="1" wp14:anchorId="03E4B23D" wp14:editId="77968BF9">
                <wp:simplePos x="0" y="0"/>
                <wp:positionH relativeFrom="margin">
                  <wp:align>right</wp:align>
                </wp:positionH>
                <wp:positionV relativeFrom="paragraph">
                  <wp:posOffset>666750</wp:posOffset>
                </wp:positionV>
                <wp:extent cx="440055" cy="343535"/>
                <wp:effectExtent l="0" t="0" r="17780" b="18415"/>
                <wp:wrapNone/>
                <wp:docPr id="76" name="文本框 76"/>
                <wp:cNvGraphicFramePr/>
                <a:graphic xmlns:a="http://schemas.openxmlformats.org/drawingml/2006/main">
                  <a:graphicData uri="http://schemas.microsoft.com/office/word/2010/wordprocessingShape">
                    <wps:wsp>
                      <wps:cNvSpPr txBox="1"/>
                      <wps:spPr bwMode="auto">
                        <a:xfrm>
                          <a:off x="0" y="0"/>
                          <a:ext cx="440012" cy="343759"/>
                        </a:xfrm>
                        <a:prstGeom prst="rect">
                          <a:avLst/>
                        </a:prstGeom>
                        <a:solidFill>
                          <a:srgbClr val="FFFFFF"/>
                        </a:solidFill>
                        <a:ln w="9525">
                          <a:solidFill>
                            <a:schemeClr val="bg1"/>
                          </a:solidFill>
                          <a:miter lim="800000"/>
                        </a:ln>
                      </wps:spPr>
                      <wps:txbx>
                        <w:txbxContent>
                          <w:p w14:paraId="5B6B65BE" w14:textId="77777777" w:rsidR="00A54A8A" w:rsidRDefault="00000000">
                            <w:pPr>
                              <w:rPr>
                                <w:sz w:val="15"/>
                                <w:szCs w:val="15"/>
                                <w:lang w:eastAsia="zh-CN"/>
                              </w:rPr>
                            </w:pPr>
                            <w:r>
                              <w:rPr>
                                <w:rFonts w:hint="eastAsia"/>
                                <w:sz w:val="15"/>
                                <w:szCs w:val="15"/>
                                <w:lang w:eastAsia="zh-CN"/>
                              </w:rPr>
                              <w:t>普光</w:t>
                            </w:r>
                            <w:r>
                              <w:rPr>
                                <w:rFonts w:hint="eastAsia"/>
                                <w:sz w:val="15"/>
                                <w:szCs w:val="15"/>
                                <w:lang w:eastAsia="zh-CN"/>
                              </w:rPr>
                              <w:t>1</w:t>
                            </w:r>
                            <w:r>
                              <w:rPr>
                                <w:sz w:val="15"/>
                                <w:szCs w:val="15"/>
                                <w:lang w:eastAsia="zh-CN"/>
                              </w:rPr>
                              <w:t>1</w:t>
                            </w:r>
                            <w:r>
                              <w:rPr>
                                <w:rFonts w:hint="eastAsia"/>
                                <w:sz w:val="15"/>
                                <w:szCs w:val="15"/>
                                <w:lang w:eastAsia="zh-CN"/>
                              </w:rPr>
                              <w:t>井回注</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03E4B23D" id="文本框 76" o:spid="_x0000_s1045" type="#_x0000_t202" style="position:absolute;left:0;text-align:left;margin-left:-16.55pt;margin-top:52.5pt;width:34.65pt;height:27.05pt;z-index:2516817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" strokecolor="white [3212]">
                <v:textbox inset="0,,0">
                  <w:txbxContent>
                    <w:p w14:paraId="5B6B65BE" w14:textId="77777777" w:rsidR="00A54A8A" w:rsidRDefault="00000000">
                      <w:pPr>
                        <w:rPr>
                          <w:sz w:val="15"/>
                          <w:szCs w:val="15"/>
                          <w:lang w:eastAsia="zh-CN"/>
                        </w:rPr>
                      </w:pPr>
                      <w:r>
                        <w:rPr>
                          <w:rFonts w:hint="eastAsia"/>
                          <w:sz w:val="15"/>
                          <w:szCs w:val="15"/>
                          <w:lang w:eastAsia="zh-CN"/>
                        </w:rPr>
                        <w:t>普光</w:t>
                      </w:r>
                      <w:r>
                        <w:rPr>
                          <w:rFonts w:hint="eastAsia"/>
                          <w:sz w:val="15"/>
                          <w:szCs w:val="15"/>
                          <w:lang w:eastAsia="zh-CN"/>
                        </w:rPr>
                        <w:t>1</w:t>
                      </w:r>
                      <w:r>
                        <w:rPr>
                          <w:sz w:val="15"/>
                          <w:szCs w:val="15"/>
                          <w:lang w:eastAsia="zh-CN"/>
                        </w:rPr>
                        <w:t>1</w:t>
                      </w:r>
                      <w:r>
                        <w:rPr>
                          <w:rFonts w:hint="eastAsia"/>
                          <w:sz w:val="15"/>
                          <w:szCs w:val="15"/>
                          <w:lang w:eastAsia="zh-CN"/>
                        </w:rPr>
                        <w:t>井回注</w:t>
                      </w:r>
                    </w:p>
                  </w:txbxContent>
                </v:textbox>
                <w10:wrap anchorx="margin"/>
              </v:shape>
            </w:pict>
          </mc:Fallback>
        </mc:AlternateContent>
      </w:r>
      <w:r w:rsidRPr="00E67914">
        <w:rPr>
          <w:rFonts w:ascii="Times New Roman" w:hAnsi="Times New Roman"/>
          <w:noProof/>
        </w:rPr>
        <mc:AlternateContent>
          <mc:Choice Requires="wps">
            <w:drawing>
              <wp:anchor distT="0" distB="0" distL="114300" distR="114300" simplePos="0" relativeHeight="251676672" behindDoc="0" locked="0" layoutInCell="1" allowOverlap="1" wp14:anchorId="6584CA0A" wp14:editId="3247C1C4">
                <wp:simplePos x="0" y="0"/>
                <wp:positionH relativeFrom="column">
                  <wp:posOffset>3394710</wp:posOffset>
                </wp:positionH>
                <wp:positionV relativeFrom="paragraph">
                  <wp:posOffset>683260</wp:posOffset>
                </wp:positionV>
                <wp:extent cx="337185" cy="239395"/>
                <wp:effectExtent l="0" t="0" r="24765" b="27305"/>
                <wp:wrapNone/>
                <wp:docPr id="1838" name="文本框 1838"/>
                <wp:cNvGraphicFramePr/>
                <a:graphic xmlns:a="http://schemas.openxmlformats.org/drawingml/2006/main">
                  <a:graphicData uri="http://schemas.microsoft.com/office/word/2010/wordprocessingShape">
                    <wps:wsp>
                      <wps:cNvSpPr txBox="1"/>
                      <wps:spPr bwMode="auto">
                        <a:xfrm>
                          <a:off x="0" y="0"/>
                          <a:ext cx="337185" cy="239395"/>
                        </a:xfrm>
                        <a:prstGeom prst="rect">
                          <a:avLst/>
                        </a:prstGeom>
                        <a:solidFill>
                          <a:srgbClr val="FFFFFF"/>
                        </a:solidFill>
                        <a:ln w="9525">
                          <a:solidFill>
                            <a:schemeClr val="tx1"/>
                          </a:solidFill>
                          <a:miter lim="800000"/>
                        </a:ln>
                      </wps:spPr>
                      <wps:txbx>
                        <w:txbxContent>
                          <w:p w14:paraId="39B02A85" w14:textId="77777777" w:rsidR="00A54A8A" w:rsidRDefault="00000000">
                            <w:pPr>
                              <w:rPr>
                                <w:sz w:val="15"/>
                                <w:szCs w:val="15"/>
                                <w:lang w:eastAsia="zh-CN"/>
                              </w:rPr>
                            </w:pPr>
                            <w:r>
                              <w:rPr>
                                <w:rFonts w:hint="eastAsia"/>
                                <w:sz w:val="15"/>
                                <w:szCs w:val="15"/>
                                <w:lang w:eastAsia="zh-CN"/>
                              </w:rPr>
                              <w:t>放喷池</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6584CA0A" id="文本框 1838" o:spid="_x0000_s1046" type="#_x0000_t202" style="position:absolute;left:0;text-align:left;margin-left:267.3pt;margin-top:53.8pt;width:26.55pt;height:18.8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" strokecolor="black [3213]">
                <v:textbox inset="0,,0">
                  <w:txbxContent>
                    <w:p w14:paraId="39B02A85" w14:textId="77777777" w:rsidR="00A54A8A" w:rsidRDefault="00000000">
                      <w:pPr>
                        <w:rPr>
                          <w:sz w:val="15"/>
                          <w:szCs w:val="15"/>
                          <w:lang w:eastAsia="zh-CN"/>
                        </w:rPr>
                      </w:pPr>
                      <w:r>
                        <w:rPr>
                          <w:rFonts w:hint="eastAsia"/>
                          <w:sz w:val="15"/>
                          <w:szCs w:val="15"/>
                          <w:lang w:eastAsia="zh-CN"/>
                        </w:rPr>
                        <w:t>放喷池</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74624" behindDoc="0" locked="0" layoutInCell="1" allowOverlap="1" wp14:anchorId="05E157C5" wp14:editId="30F0D2B2">
                <wp:simplePos x="0" y="0"/>
                <wp:positionH relativeFrom="column">
                  <wp:posOffset>2867660</wp:posOffset>
                </wp:positionH>
                <wp:positionV relativeFrom="paragraph">
                  <wp:posOffset>1096010</wp:posOffset>
                </wp:positionV>
                <wp:extent cx="1828800" cy="375285"/>
                <wp:effectExtent l="0" t="0" r="19050" b="25400"/>
                <wp:wrapNone/>
                <wp:docPr id="49" name="文本框 49"/>
                <wp:cNvGraphicFramePr/>
                <a:graphic xmlns:a="http://schemas.openxmlformats.org/drawingml/2006/main">
                  <a:graphicData uri="http://schemas.microsoft.com/office/word/2010/wordprocessingShape">
                    <wps:wsp>
                      <wps:cNvSpPr txBox="1"/>
                      <wps:spPr bwMode="auto">
                        <a:xfrm>
                          <a:off x="0" y="0"/>
                          <a:ext cx="1828800" cy="375103"/>
                        </a:xfrm>
                        <a:prstGeom prst="rect">
                          <a:avLst/>
                        </a:prstGeom>
                        <a:solidFill>
                          <a:srgbClr val="FFFFFF"/>
                        </a:solidFill>
                        <a:ln w="9525">
                          <a:solidFill>
                            <a:schemeClr val="bg1"/>
                          </a:solidFill>
                          <a:miter lim="800000"/>
                        </a:ln>
                      </wps:spPr>
                      <wps:txbx>
                        <w:txbxContent>
                          <w:p w14:paraId="4438EDC5" w14:textId="77777777" w:rsidR="00A54A8A" w:rsidRDefault="00000000">
                            <w:pPr>
                              <w:rPr>
                                <w:sz w:val="15"/>
                                <w:szCs w:val="15"/>
                                <w:lang w:eastAsia="zh-CN"/>
                              </w:rPr>
                            </w:pPr>
                            <w:r>
                              <w:rPr>
                                <w:rFonts w:hint="eastAsia"/>
                                <w:sz w:val="15"/>
                                <w:szCs w:val="15"/>
                                <w:lang w:eastAsia="zh-CN"/>
                              </w:rPr>
                              <w:t>达州地区环保手续齐全、环保设施稳定运行固废烧结厂进行烧结后综合利用</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w14:anchorId="05E157C5" id="文本框 49" o:spid="_x0000_s1047" type="#_x0000_t202" style="position:absolute;left:0;text-align:left;margin-left:225.8pt;margin-top:86.3pt;width:2in;height:29.5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" strokecolor="white [3212]">
                <v:textbox>
                  <w:txbxContent>
                    <w:p w14:paraId="4438EDC5" w14:textId="77777777" w:rsidR="00A54A8A" w:rsidRDefault="00000000">
                      <w:pPr>
                        <w:rPr>
                          <w:sz w:val="15"/>
                          <w:szCs w:val="15"/>
                          <w:lang w:eastAsia="zh-CN"/>
                        </w:rPr>
                      </w:pPr>
                      <w:r>
                        <w:rPr>
                          <w:rFonts w:hint="eastAsia"/>
                          <w:sz w:val="15"/>
                          <w:szCs w:val="15"/>
                          <w:lang w:eastAsia="zh-CN"/>
                        </w:rPr>
                        <w:t>达州地区环保手续齐全、环保设施稳定运行固废烧结厂进行烧结后综合利用</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82816" behindDoc="0" locked="0" layoutInCell="1" allowOverlap="1" wp14:anchorId="21CFBDFF" wp14:editId="39B8B67B">
                <wp:simplePos x="0" y="0"/>
                <wp:positionH relativeFrom="column">
                  <wp:posOffset>4538345</wp:posOffset>
                </wp:positionH>
                <wp:positionV relativeFrom="paragraph">
                  <wp:posOffset>756920</wp:posOffset>
                </wp:positionV>
                <wp:extent cx="266700" cy="239395"/>
                <wp:effectExtent l="0" t="0" r="19050" b="27305"/>
                <wp:wrapNone/>
                <wp:docPr id="77" name="文本框 77"/>
                <wp:cNvGraphicFramePr/>
                <a:graphic xmlns:a="http://schemas.openxmlformats.org/drawingml/2006/main">
                  <a:graphicData uri="http://schemas.microsoft.com/office/word/2010/wordprocessingShape">
                    <wps:wsp>
                      <wps:cNvSpPr txBox="1"/>
                      <wps:spPr bwMode="auto">
                        <a:xfrm>
                          <a:off x="0" y="0"/>
                          <a:ext cx="266700" cy="239486"/>
                        </a:xfrm>
                        <a:prstGeom prst="rect">
                          <a:avLst/>
                        </a:prstGeom>
                        <a:noFill/>
                        <a:ln w="9525">
                          <a:solidFill>
                            <a:schemeClr val="bg1"/>
                          </a:solidFill>
                          <a:miter lim="800000"/>
                        </a:ln>
                      </wps:spPr>
                      <wps:txbx>
                        <w:txbxContent>
                          <w:p w14:paraId="65E34331" w14:textId="77777777" w:rsidR="00A54A8A" w:rsidRDefault="00000000">
                            <w:pPr>
                              <w:rPr>
                                <w:sz w:val="15"/>
                                <w:szCs w:val="15"/>
                                <w:lang w:eastAsia="zh-CN"/>
                              </w:rPr>
                            </w:pPr>
                            <w:r>
                              <w:rPr>
                                <w:rFonts w:hint="eastAsia"/>
                                <w:sz w:val="15"/>
                                <w:szCs w:val="15"/>
                                <w:lang w:eastAsia="zh-CN"/>
                              </w:rPr>
                              <w:t>管输</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21CFBDFF" id="文本框 77" o:spid="_x0000_s1048" type="#_x0000_t202" style="position:absolute;left:0;text-align:left;margin-left:357.35pt;margin-top:59.6pt;width:21pt;height:18.8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" filled="f" strokecolor="white [3212]">
                <v:textbox inset="0,,0">
                  <w:txbxContent>
                    <w:p w14:paraId="65E34331" w14:textId="77777777" w:rsidR="00A54A8A" w:rsidRDefault="00000000">
                      <w:pPr>
                        <w:rPr>
                          <w:sz w:val="15"/>
                          <w:szCs w:val="15"/>
                          <w:lang w:eastAsia="zh-CN"/>
                        </w:rPr>
                      </w:pPr>
                      <w:r>
                        <w:rPr>
                          <w:rFonts w:hint="eastAsia"/>
                          <w:sz w:val="15"/>
                          <w:szCs w:val="15"/>
                          <w:lang w:eastAsia="zh-CN"/>
                        </w:rPr>
                        <w:t>管输</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80768" behindDoc="0" locked="0" layoutInCell="1" allowOverlap="1" wp14:anchorId="7E3D5429" wp14:editId="11D2B40A">
                <wp:simplePos x="0" y="0"/>
                <wp:positionH relativeFrom="column">
                  <wp:posOffset>4549775</wp:posOffset>
                </wp:positionH>
                <wp:positionV relativeFrom="paragraph">
                  <wp:posOffset>789940</wp:posOffset>
                </wp:positionV>
                <wp:extent cx="245110" cy="0"/>
                <wp:effectExtent l="0" t="57150" r="41275" b="76200"/>
                <wp:wrapNone/>
                <wp:docPr id="75" name="直接箭头连接符 75"/>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58.25pt;margin-top:62.2pt;height:0pt;width:19.3pt;z-index:251680768;mso-width-relative:page;mso-height-relative:page;" filled="f" stroked="t" coordsize="21600,21600" o:gfxdata="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t7ys21wAAAAsBAAAPAAAAAAAA&#10;AAEAIAAAACIAAABkcnMvZG93bnJldi54bWxQSwECFAAUAAAACACHTuJAtt2BxRMCAADzAwAADgAA&#10;AAAAAAABACAAAAAmAQAAZHJzL2Uyb0RvYy54bWxQSwUGAAAAAAYABgBZAQAAqwUAAAAA&#10;">
                <v:fill on="f" focussize="0,0"/>
                <v:stroke weight="0.5pt" color="#92D050 [3204]" miterlimit="8" joinstyle="miter" endarrow="block" endarrowwidth="narrow"/>
                <v:imagedata o:title=""/>
                <o:lock v:ext="edit" aspectratio="f"/>
              </v:shape>
            </w:pict>
          </mc:Fallback>
        </mc:AlternateContent>
      </w:r>
      <w:r w:rsidRPr="00E67914">
        <w:rPr>
          <w:rFonts w:ascii="Times New Roman" w:hAnsi="Times New Roman"/>
          <w:noProof/>
        </w:rPr>
        <mc:AlternateContent>
          <mc:Choice Requires="wps">
            <w:drawing>
              <wp:anchor distT="0" distB="0" distL="114300" distR="114300" simplePos="0" relativeHeight="251679744" behindDoc="0" locked="0" layoutInCell="1" allowOverlap="1" wp14:anchorId="5B51A2F2" wp14:editId="65E50A69">
                <wp:simplePos x="0" y="0"/>
                <wp:positionH relativeFrom="column">
                  <wp:posOffset>3742690</wp:posOffset>
                </wp:positionH>
                <wp:positionV relativeFrom="paragraph">
                  <wp:posOffset>620395</wp:posOffset>
                </wp:positionV>
                <wp:extent cx="266700" cy="326390"/>
                <wp:effectExtent l="0" t="0" r="19050" b="16510"/>
                <wp:wrapNone/>
                <wp:docPr id="1842" name="文本框 1842"/>
                <wp:cNvGraphicFramePr/>
                <a:graphic xmlns:a="http://schemas.openxmlformats.org/drawingml/2006/main">
                  <a:graphicData uri="http://schemas.microsoft.com/office/word/2010/wordprocessingShape">
                    <wps:wsp>
                      <wps:cNvSpPr txBox="1"/>
                      <wps:spPr bwMode="auto">
                        <a:xfrm>
                          <a:off x="0" y="0"/>
                          <a:ext cx="266700" cy="326390"/>
                        </a:xfrm>
                        <a:prstGeom prst="rect">
                          <a:avLst/>
                        </a:prstGeom>
                        <a:noFill/>
                        <a:ln w="9525">
                          <a:solidFill>
                            <a:schemeClr val="bg1"/>
                          </a:solidFill>
                          <a:miter lim="800000"/>
                        </a:ln>
                      </wps:spPr>
                      <wps:txbx>
                        <w:txbxContent>
                          <w:p w14:paraId="34051943" w14:textId="77777777" w:rsidR="00A54A8A" w:rsidRDefault="00000000">
                            <w:pPr>
                              <w:rPr>
                                <w:sz w:val="15"/>
                                <w:szCs w:val="15"/>
                                <w:lang w:eastAsia="zh-CN"/>
                              </w:rPr>
                            </w:pPr>
                            <w:r>
                              <w:rPr>
                                <w:rFonts w:hint="eastAsia"/>
                                <w:sz w:val="15"/>
                                <w:szCs w:val="15"/>
                                <w:lang w:eastAsia="zh-CN"/>
                              </w:rPr>
                              <w:t>密闭罐车</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5B51A2F2" id="文本框 1842" o:spid="_x0000_s1049" type="#_x0000_t202" style="position:absolute;left:0;text-align:left;margin-left:294.7pt;margin-top:48.85pt;width:21pt;height:25.7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" filled="f" strokecolor="white [3212]">
                <v:textbox inset="0,,0">
                  <w:txbxContent>
                    <w:p w14:paraId="34051943" w14:textId="77777777" w:rsidR="00A54A8A" w:rsidRDefault="00000000">
                      <w:pPr>
                        <w:rPr>
                          <w:sz w:val="15"/>
                          <w:szCs w:val="15"/>
                          <w:lang w:eastAsia="zh-CN"/>
                        </w:rPr>
                      </w:pPr>
                      <w:r>
                        <w:rPr>
                          <w:rFonts w:hint="eastAsia"/>
                          <w:sz w:val="15"/>
                          <w:szCs w:val="15"/>
                          <w:lang w:eastAsia="zh-CN"/>
                        </w:rPr>
                        <w:t>密闭罐车</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77696" behindDoc="0" locked="0" layoutInCell="1" allowOverlap="1" wp14:anchorId="1ECD3896" wp14:editId="42008F2F">
                <wp:simplePos x="0" y="0"/>
                <wp:positionH relativeFrom="column">
                  <wp:posOffset>3738880</wp:posOffset>
                </wp:positionH>
                <wp:positionV relativeFrom="paragraph">
                  <wp:posOffset>812165</wp:posOffset>
                </wp:positionV>
                <wp:extent cx="245110" cy="0"/>
                <wp:effectExtent l="0" t="57150" r="41275" b="76200"/>
                <wp:wrapNone/>
                <wp:docPr id="1839" name="直接箭头连接符 1839"/>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94.4pt;margin-top:63.95pt;height:0pt;width:19.3pt;z-index:251677696;mso-width-relative:page;mso-height-relative:page;" filled="f" stroked="t" coordsize="21600,21600" o:gfxdata="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K5HyfYAAAACwEAAA8AAAAA&#10;AAAAAQAgAAAAIgAAAGRycy9kb3ducmV2LnhtbFBLAQIUABQAAAAIAIdO4kCo/G9XFAIAAPcDAAAO&#10;AAAAAAAAAAEAIAAAACcBAABkcnMvZTJvRG9jLnhtbFBLBQYAAAAABgAGAFkBAACtBQAAAAA=&#10;">
                <v:fill on="f" focussize="0,0"/>
                <v:stroke weight="0.5pt" color="#92D050 [3204]" miterlimit="8" joinstyle="miter" endarrow="block" endarrowwidth="narrow"/>
                <v:imagedata o:title=""/>
                <o:lock v:ext="edit" aspectratio="f"/>
              </v:shape>
            </w:pict>
          </mc:Fallback>
        </mc:AlternateContent>
      </w:r>
      <w:r w:rsidRPr="00E67914">
        <w:rPr>
          <w:rFonts w:ascii="Times New Roman" w:hAnsi="Times New Roman"/>
          <w:noProof/>
        </w:rPr>
        <mc:AlternateContent>
          <mc:Choice Requires="wps">
            <w:drawing>
              <wp:anchor distT="0" distB="0" distL="114300" distR="114300" simplePos="0" relativeHeight="251675648" behindDoc="0" locked="0" layoutInCell="1" allowOverlap="1" wp14:anchorId="2A81DCDC" wp14:editId="5302B525">
                <wp:simplePos x="0" y="0"/>
                <wp:positionH relativeFrom="column">
                  <wp:posOffset>3379470</wp:posOffset>
                </wp:positionH>
                <wp:positionV relativeFrom="paragraph">
                  <wp:posOffset>485140</wp:posOffset>
                </wp:positionV>
                <wp:extent cx="1806575" cy="598805"/>
                <wp:effectExtent l="0" t="0" r="3175" b="0"/>
                <wp:wrapNone/>
                <wp:docPr id="60" name="矩形 60"/>
                <wp:cNvGraphicFramePr/>
                <a:graphic xmlns:a="http://schemas.openxmlformats.org/drawingml/2006/main">
                  <a:graphicData uri="http://schemas.microsoft.com/office/word/2010/wordprocessingShape">
                    <wps:wsp>
                      <wps:cNvSpPr/>
                      <wps:spPr>
                        <a:xfrm>
                          <a:off x="0" y="0"/>
                          <a:ext cx="1806575" cy="5987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66.1pt;margin-top:38.2pt;height:47.15pt;width:142.25pt;z-index:251675648;v-text-anchor:middle;mso-width-relative:page;mso-height-relative:page;" fillcolor="#FFFFFF [3212]" filled="t" stroked="f" coordsize="21600,21600" o:gfxdata="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shH/l2QAAAAoBAAAPAAAAAAAAAAEAIAAAACIAAABkcnMvZG93bnJldi54&#10;bWxQSwECFAAUAAAACACHTuJAhVGJHWsCAADNBAAADgAAAAAAAAABACAAAAAoAQAAZHJzL2Uyb0Rv&#10;Yy54bWxQSwUGAAAAAAYABgBZAQAABQYAAAAA&#10;">
                <v:fill on="t" focussize="0,0"/>
                <v:stroke on="f" weight="1pt" miterlimit="8" joinstyle="miter"/>
                <v:imagedata o:title=""/>
                <o:lock v:ext="edit" aspectratio="f"/>
              </v:rect>
            </w:pict>
          </mc:Fallback>
        </mc:AlternateContent>
      </w:r>
      <w:r w:rsidRPr="00E67914">
        <w:rPr>
          <w:rFonts w:ascii="Times New Roman" w:hAnsi="Times New Roman"/>
          <w:noProof/>
        </w:rPr>
        <w:drawing>
          <wp:inline distT="0" distB="0" distL="0" distR="0" wp14:anchorId="29EC2263" wp14:editId="62EFF08D">
            <wp:extent cx="5219065" cy="1778000"/>
            <wp:effectExtent l="0" t="0" r="635" b="0"/>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1582"/>
                    <pic:cNvPicPr>
                      <a:picLocks noChangeAspect="1" noChangeArrowheads="1"/>
                    </pic:cNvPicPr>
                  </pic:nvPicPr>
                  <pic:blipFill>
                    <a:blip r:embed="rId111">
                      <a:extLst>
                        <a:ext uri="{28A0092B-C50C-407E-A947-70E740481C1C}">
                          <a14:useLocalDpi xmlns:a14="http://schemas.microsoft.com/office/drawing/2010/main" val="0"/>
                        </a:ext>
                      </a:extLst>
                    </a:blip>
                    <a:srcRect t="6309"/>
                    <a:stretch>
                      <a:fillRect/>
                    </a:stretch>
                  </pic:blipFill>
                  <pic:spPr>
                    <a:xfrm>
                      <a:off x="0" y="0"/>
                      <a:ext cx="5220000" cy="1778535"/>
                    </a:xfrm>
                    <a:prstGeom prst="rect">
                      <a:avLst/>
                    </a:prstGeom>
                    <a:noFill/>
                    <a:ln>
                      <a:noFill/>
                    </a:ln>
                  </pic:spPr>
                </pic:pic>
              </a:graphicData>
            </a:graphic>
          </wp:inline>
        </w:drawing>
      </w:r>
    </w:p>
    <w:bookmarkEnd w:id="211"/>
    <w:p w14:paraId="42A6FDF9" w14:textId="77777777"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7.1-1  </w:t>
      </w:r>
      <w:r w:rsidRPr="00E67914">
        <w:rPr>
          <w:rFonts w:ascii="Times New Roman" w:eastAsia="黑体" w:hAnsi="Times New Roman"/>
          <w:sz w:val="21"/>
          <w:szCs w:val="21"/>
          <w:lang w:eastAsia="zh-CN"/>
        </w:rPr>
        <w:t>项目钻井废水与洗井废水回收利用工艺流程图</w:t>
      </w:r>
      <w:r w:rsidRPr="00E67914">
        <w:rPr>
          <w:rFonts w:ascii="Times New Roman" w:eastAsia="黑体" w:hAnsi="Times New Roman"/>
          <w:noProof/>
          <w:sz w:val="21"/>
          <w:szCs w:val="21"/>
          <w:lang w:eastAsia="zh-CN"/>
        </w:rPr>
        <mc:AlternateContent>
          <mc:Choice Requires="wps">
            <w:drawing>
              <wp:anchor distT="0" distB="0" distL="114300" distR="114300" simplePos="0" relativeHeight="251668480" behindDoc="0" locked="0" layoutInCell="1" allowOverlap="1" wp14:anchorId="29EC4118" wp14:editId="6789F076">
                <wp:simplePos x="0" y="0"/>
                <wp:positionH relativeFrom="column">
                  <wp:posOffset>-1923415</wp:posOffset>
                </wp:positionH>
                <wp:positionV relativeFrom="paragraph">
                  <wp:posOffset>601345</wp:posOffset>
                </wp:positionV>
                <wp:extent cx="467360" cy="635"/>
                <wp:effectExtent l="0" t="76200" r="27940" b="94615"/>
                <wp:wrapNone/>
                <wp:docPr id="1583" name="直接箭头连接符 1583"/>
                <wp:cNvGraphicFramePr/>
                <a:graphic xmlns:a="http://schemas.openxmlformats.org/drawingml/2006/main">
                  <a:graphicData uri="http://schemas.microsoft.com/office/word/2010/wordprocessingShape">
                    <wps:wsp>
                      <wps:cNvCnPr/>
                      <wps:spPr>
                        <a:xfrm>
                          <a:off x="0" y="0"/>
                          <a:ext cx="467360" cy="635"/>
                        </a:xfrm>
                        <a:prstGeom prst="straightConnector1">
                          <a:avLst/>
                        </a:prstGeom>
                        <a:ln w="9525" cap="flat" cmpd="sng">
                          <a:solidFill>
                            <a:srgbClr val="00B0F0"/>
                          </a:solidFill>
                          <a:prstDash val="solid"/>
                          <a:headEnd type="none" w="med" len="med"/>
                          <a:tailEnd type="triangle" w="med" len="med"/>
                        </a:ln>
                      </wps:spPr>
                      <wps:bodyPr/>
                    </wps:wsp>
                  </a:graphicData>
                </a:graphic>
              </wp:anchor>
            </w:drawing>
          </mc:Choice>
          <mc:Fallback xmlns:wpsCustomData="http://www.wps.cn/officeDocument/2013/wpsCustomData">
            <w:pict>
              <v:shape id="_x0000_s1026" o:spid="_x0000_s1026" o:spt="32" type="#_x0000_t32" style="position:absolute;left:0pt;margin-left:-151.45pt;margin-top:47.35pt;height:0.05pt;width:36.8pt;z-index:251668480;mso-width-relative:page;mso-height-relative:page;" filled="f" stroked="t" coordsize="21600,21600" o:gfxdata="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BN5+tsAAAALAQAADwAAAAAAAAAB&#10;ACAAAAAiAAAAZHJzL2Rvd25yZXYueG1sUEsBAhQAFAAAAAgAh07iQB6JlnsNAgAA9wMAAA4AAAAA&#10;AAAAAQAgAAAAKgEAAGRycy9lMm9Eb2MueG1sUEsFBgAAAAAGAAYAWQEAAKkFAAAAAA==&#10;">
                <v:fill on="f" focussize="0,0"/>
                <v:stroke color="#00B0F0" joinstyle="round" endarrow="block"/>
                <v:imagedata o:title=""/>
                <o:lock v:ext="edit" aspectratio="f"/>
              </v:shape>
            </w:pict>
          </mc:Fallback>
        </mc:AlternateContent>
      </w:r>
    </w:p>
    <w:p w14:paraId="1B6A231C" w14:textId="77777777" w:rsidR="00A54A8A" w:rsidRPr="00E67914" w:rsidRDefault="00000000">
      <w:pPr>
        <w:adjustRightInd w:val="0"/>
        <w:snapToGrid w:val="0"/>
        <w:spacing w:line="360" w:lineRule="auto"/>
        <w:ind w:firstLineChars="200" w:firstLine="482"/>
        <w:jc w:val="both"/>
        <w:rPr>
          <w:rFonts w:ascii="Times New Roman" w:hAnsi="Times New Roman"/>
          <w:b/>
          <w:sz w:val="24"/>
          <w:szCs w:val="24"/>
          <w:lang w:eastAsia="zh-CN"/>
        </w:rPr>
      </w:pPr>
      <w:r w:rsidRPr="00E67914">
        <w:rPr>
          <w:rFonts w:ascii="Times New Roman" w:hAnsi="Times New Roman"/>
          <w:b/>
          <w:sz w:val="24"/>
          <w:szCs w:val="24"/>
          <w:lang w:eastAsia="zh-CN"/>
        </w:rPr>
        <w:t>（</w:t>
      </w:r>
      <w:r w:rsidRPr="00E67914">
        <w:rPr>
          <w:rFonts w:ascii="Times New Roman" w:hAnsi="Times New Roman"/>
          <w:b/>
          <w:sz w:val="24"/>
          <w:szCs w:val="24"/>
          <w:lang w:eastAsia="zh-CN"/>
        </w:rPr>
        <w:t>2</w:t>
      </w:r>
      <w:r w:rsidRPr="00E67914">
        <w:rPr>
          <w:rFonts w:ascii="Times New Roman" w:hAnsi="Times New Roman"/>
          <w:b/>
          <w:sz w:val="24"/>
          <w:szCs w:val="24"/>
          <w:lang w:eastAsia="zh-CN"/>
        </w:rPr>
        <w:t>）压裂返排液</w:t>
      </w:r>
    </w:p>
    <w:p w14:paraId="51D1A0F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bCs/>
          <w:sz w:val="24"/>
          <w:szCs w:val="24"/>
          <w:lang w:eastAsia="zh-CN"/>
        </w:rPr>
        <w:lastRenderedPageBreak/>
        <w:t>加砂压裂返排液放喷时由放喷管排入压裂液储罐或放喷池，放喷池中压裂返排液全部通过泵抽入至压裂液储罐</w:t>
      </w:r>
      <w:r w:rsidRPr="00E67914">
        <w:rPr>
          <w:rFonts w:ascii="Times New Roman" w:hAnsi="Times New Roman"/>
          <w:sz w:val="24"/>
          <w:szCs w:val="24"/>
          <w:lang w:eastAsia="zh-CN"/>
        </w:rPr>
        <w:t>，用密闭罐车拉运至赵家坝污水处理站达标后管输至普光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w:t>
      </w:r>
    </w:p>
    <w:p w14:paraId="721A1679" w14:textId="77777777" w:rsidR="00A54A8A" w:rsidRPr="00E67914" w:rsidRDefault="00000000">
      <w:pPr>
        <w:tabs>
          <w:tab w:val="left" w:pos="2433"/>
          <w:tab w:val="center" w:pos="4673"/>
        </w:tabs>
        <w:spacing w:line="360" w:lineRule="auto"/>
        <w:jc w:val="center"/>
        <w:rPr>
          <w:rFonts w:ascii="Times New Roman" w:hAnsi="Times New Roman"/>
          <w:b/>
          <w:szCs w:val="21"/>
        </w:rPr>
      </w:pPr>
      <w:r w:rsidRPr="00E67914">
        <w:rPr>
          <w:rFonts w:ascii="Times New Roman" w:hAnsi="Times New Roman"/>
          <w:noProof/>
        </w:rPr>
        <mc:AlternateContent>
          <mc:Choice Requires="wps">
            <w:drawing>
              <wp:anchor distT="0" distB="0" distL="114300" distR="114300" simplePos="0" relativeHeight="251688960" behindDoc="0" locked="0" layoutInCell="1" allowOverlap="1" wp14:anchorId="31DAC84B" wp14:editId="3142AE87">
                <wp:simplePos x="0" y="0"/>
                <wp:positionH relativeFrom="column">
                  <wp:posOffset>4171315</wp:posOffset>
                </wp:positionH>
                <wp:positionV relativeFrom="paragraph">
                  <wp:posOffset>633095</wp:posOffset>
                </wp:positionV>
                <wp:extent cx="440055" cy="357505"/>
                <wp:effectExtent l="0" t="0" r="17780" b="23495"/>
                <wp:wrapNone/>
                <wp:docPr id="93" name="文本框 93"/>
                <wp:cNvGraphicFramePr/>
                <a:graphic xmlns:a="http://schemas.openxmlformats.org/drawingml/2006/main">
                  <a:graphicData uri="http://schemas.microsoft.com/office/word/2010/wordprocessingShape">
                    <wps:wsp>
                      <wps:cNvSpPr txBox="1"/>
                      <wps:spPr bwMode="auto">
                        <a:xfrm>
                          <a:off x="0" y="0"/>
                          <a:ext cx="440012" cy="357510"/>
                        </a:xfrm>
                        <a:prstGeom prst="rect">
                          <a:avLst/>
                        </a:prstGeom>
                        <a:solidFill>
                          <a:srgbClr val="FFFFFF"/>
                        </a:solidFill>
                        <a:ln w="9525">
                          <a:solidFill>
                            <a:schemeClr val="bg1"/>
                          </a:solidFill>
                          <a:miter lim="800000"/>
                        </a:ln>
                      </wps:spPr>
                      <wps:txbx>
                        <w:txbxContent>
                          <w:p w14:paraId="3AAFA792" w14:textId="77777777" w:rsidR="00A54A8A" w:rsidRDefault="00000000">
                            <w:pPr>
                              <w:rPr>
                                <w:sz w:val="15"/>
                                <w:szCs w:val="15"/>
                                <w:lang w:eastAsia="zh-CN"/>
                              </w:rPr>
                            </w:pPr>
                            <w:r>
                              <w:rPr>
                                <w:rFonts w:hint="eastAsia"/>
                                <w:sz w:val="15"/>
                                <w:szCs w:val="15"/>
                                <w:lang w:eastAsia="zh-CN"/>
                              </w:rPr>
                              <w:t>普光</w:t>
                            </w:r>
                            <w:r>
                              <w:rPr>
                                <w:rFonts w:hint="eastAsia"/>
                                <w:sz w:val="15"/>
                                <w:szCs w:val="15"/>
                                <w:lang w:eastAsia="zh-CN"/>
                              </w:rPr>
                              <w:t>1</w:t>
                            </w:r>
                            <w:r>
                              <w:rPr>
                                <w:sz w:val="15"/>
                                <w:szCs w:val="15"/>
                                <w:lang w:eastAsia="zh-CN"/>
                              </w:rPr>
                              <w:t>1</w:t>
                            </w:r>
                            <w:r>
                              <w:rPr>
                                <w:rFonts w:hint="eastAsia"/>
                                <w:sz w:val="15"/>
                                <w:szCs w:val="15"/>
                                <w:lang w:eastAsia="zh-CN"/>
                              </w:rPr>
                              <w:t>井回注</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31DAC84B" id="文本框 93" o:spid="_x0000_s1050" type="#_x0000_t202" style="position:absolute;left:0;text-align:left;margin-left:328.45pt;margin-top:49.85pt;width:34.65pt;height:28.1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" strokecolor="white [3212]">
                <v:textbox inset="0,,0">
                  <w:txbxContent>
                    <w:p w14:paraId="3AAFA792" w14:textId="77777777" w:rsidR="00A54A8A" w:rsidRDefault="00000000">
                      <w:pPr>
                        <w:rPr>
                          <w:sz w:val="15"/>
                          <w:szCs w:val="15"/>
                          <w:lang w:eastAsia="zh-CN"/>
                        </w:rPr>
                      </w:pPr>
                      <w:r>
                        <w:rPr>
                          <w:rFonts w:hint="eastAsia"/>
                          <w:sz w:val="15"/>
                          <w:szCs w:val="15"/>
                          <w:lang w:eastAsia="zh-CN"/>
                        </w:rPr>
                        <w:t>普光</w:t>
                      </w:r>
                      <w:r>
                        <w:rPr>
                          <w:rFonts w:hint="eastAsia"/>
                          <w:sz w:val="15"/>
                          <w:szCs w:val="15"/>
                          <w:lang w:eastAsia="zh-CN"/>
                        </w:rPr>
                        <w:t>1</w:t>
                      </w:r>
                      <w:r>
                        <w:rPr>
                          <w:sz w:val="15"/>
                          <w:szCs w:val="15"/>
                          <w:lang w:eastAsia="zh-CN"/>
                        </w:rPr>
                        <w:t>1</w:t>
                      </w:r>
                      <w:r>
                        <w:rPr>
                          <w:rFonts w:hint="eastAsia"/>
                          <w:sz w:val="15"/>
                          <w:szCs w:val="15"/>
                          <w:lang w:eastAsia="zh-CN"/>
                        </w:rPr>
                        <w:t>井回注</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87936" behindDoc="0" locked="0" layoutInCell="1" allowOverlap="1" wp14:anchorId="662E3D3E" wp14:editId="16F06950">
                <wp:simplePos x="0" y="0"/>
                <wp:positionH relativeFrom="column">
                  <wp:posOffset>3902075</wp:posOffset>
                </wp:positionH>
                <wp:positionV relativeFrom="paragraph">
                  <wp:posOffset>777875</wp:posOffset>
                </wp:positionV>
                <wp:extent cx="266700" cy="239395"/>
                <wp:effectExtent l="0" t="0" r="19050" b="27305"/>
                <wp:wrapNone/>
                <wp:docPr id="92" name="文本框 92"/>
                <wp:cNvGraphicFramePr/>
                <a:graphic xmlns:a="http://schemas.openxmlformats.org/drawingml/2006/main">
                  <a:graphicData uri="http://schemas.microsoft.com/office/word/2010/wordprocessingShape">
                    <wps:wsp>
                      <wps:cNvSpPr txBox="1"/>
                      <wps:spPr bwMode="auto">
                        <a:xfrm>
                          <a:off x="0" y="0"/>
                          <a:ext cx="266700" cy="239486"/>
                        </a:xfrm>
                        <a:prstGeom prst="rect">
                          <a:avLst/>
                        </a:prstGeom>
                        <a:noFill/>
                        <a:ln w="9525">
                          <a:solidFill>
                            <a:schemeClr val="bg1"/>
                          </a:solidFill>
                          <a:miter lim="800000"/>
                        </a:ln>
                      </wps:spPr>
                      <wps:txbx>
                        <w:txbxContent>
                          <w:p w14:paraId="33F39636" w14:textId="77777777" w:rsidR="00A54A8A" w:rsidRDefault="00000000">
                            <w:pPr>
                              <w:rPr>
                                <w:sz w:val="15"/>
                                <w:szCs w:val="15"/>
                                <w:lang w:eastAsia="zh-CN"/>
                              </w:rPr>
                            </w:pPr>
                            <w:r>
                              <w:rPr>
                                <w:rFonts w:hint="eastAsia"/>
                                <w:sz w:val="15"/>
                                <w:szCs w:val="15"/>
                                <w:lang w:eastAsia="zh-CN"/>
                              </w:rPr>
                              <w:t>管输</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662E3D3E" id="文本框 92" o:spid="_x0000_s1051" type="#_x0000_t202" style="position:absolute;left:0;text-align:left;margin-left:307.25pt;margin-top:61.25pt;width:21pt;height:18.8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" filled="f" strokecolor="white [3212]">
                <v:textbox inset="0,,0">
                  <w:txbxContent>
                    <w:p w14:paraId="33F39636" w14:textId="77777777" w:rsidR="00A54A8A" w:rsidRDefault="00000000">
                      <w:pPr>
                        <w:rPr>
                          <w:sz w:val="15"/>
                          <w:szCs w:val="15"/>
                          <w:lang w:eastAsia="zh-CN"/>
                        </w:rPr>
                      </w:pPr>
                      <w:r>
                        <w:rPr>
                          <w:rFonts w:hint="eastAsia"/>
                          <w:sz w:val="15"/>
                          <w:szCs w:val="15"/>
                          <w:lang w:eastAsia="zh-CN"/>
                        </w:rPr>
                        <w:t>管输</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84864" behindDoc="0" locked="0" layoutInCell="1" allowOverlap="1" wp14:anchorId="2004EA39" wp14:editId="779A3D1C">
                <wp:simplePos x="0" y="0"/>
                <wp:positionH relativeFrom="column">
                  <wp:posOffset>3896360</wp:posOffset>
                </wp:positionH>
                <wp:positionV relativeFrom="paragraph">
                  <wp:posOffset>809625</wp:posOffset>
                </wp:positionV>
                <wp:extent cx="245110" cy="0"/>
                <wp:effectExtent l="0" t="57150" r="41275" b="76200"/>
                <wp:wrapNone/>
                <wp:docPr id="89" name="直接箭头连接符 89"/>
                <wp:cNvGraphicFramePr/>
                <a:graphic xmlns:a="http://schemas.openxmlformats.org/drawingml/2006/main">
                  <a:graphicData uri="http://schemas.microsoft.com/office/word/2010/wordprocessingShape">
                    <wps:wsp>
                      <wps:cNvCnPr/>
                      <wps:spPr>
                        <a:xfrm>
                          <a:off x="0" y="0"/>
                          <a:ext cx="244928" cy="0"/>
                        </a:xfrm>
                        <a:prstGeom prst="straightConnector1">
                          <a:avLst/>
                        </a:prstGeom>
                        <a:ln>
                          <a:solidFill>
                            <a:srgbClr val="92D050"/>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06.8pt;margin-top:63.75pt;height:0pt;width:19.3pt;z-index:251684864;mso-width-relative:page;mso-height-relative:page;" filled="f" stroked="t" coordsize="21600,21600" o:gfxdata="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JpwyWXXAAAACwEAAA8AAAAAAAAA&#10;AQAgAAAAIgAAAGRycy9kb3ducmV2LnhtbFBLAQIUABQAAAAIAIdO4kCQjZV4EgIAAPMDAAAOAAAA&#10;AAAAAAEAIAAAACYBAABkcnMvZTJvRG9jLnhtbFBLBQYAAAAABgAGAFkBAACqBQAAAAA=&#10;">
                <v:fill on="f" focussize="0,0"/>
                <v:stroke weight="0.5pt" color="#92D050 [3204]" miterlimit="8" joinstyle="miter" endarrow="block" endarrowwidth="narrow"/>
                <v:imagedata o:title=""/>
                <o:lock v:ext="edit" aspectratio="f"/>
              </v:shape>
            </w:pict>
          </mc:Fallback>
        </mc:AlternateContent>
      </w:r>
      <w:r w:rsidRPr="00E67914">
        <w:rPr>
          <w:rFonts w:ascii="Times New Roman" w:hAnsi="Times New Roman"/>
          <w:noProof/>
        </w:rPr>
        <mc:AlternateContent>
          <mc:Choice Requires="wps">
            <w:drawing>
              <wp:anchor distT="0" distB="0" distL="114300" distR="114300" simplePos="0" relativeHeight="251686912" behindDoc="0" locked="0" layoutInCell="1" allowOverlap="1" wp14:anchorId="7327420C" wp14:editId="441DAF56">
                <wp:simplePos x="0" y="0"/>
                <wp:positionH relativeFrom="column">
                  <wp:posOffset>3129280</wp:posOffset>
                </wp:positionH>
                <wp:positionV relativeFrom="paragraph">
                  <wp:posOffset>647700</wp:posOffset>
                </wp:positionV>
                <wp:extent cx="266700" cy="326390"/>
                <wp:effectExtent l="0" t="0" r="19050" b="16510"/>
                <wp:wrapNone/>
                <wp:docPr id="91" name="文本框 91"/>
                <wp:cNvGraphicFramePr/>
                <a:graphic xmlns:a="http://schemas.openxmlformats.org/drawingml/2006/main">
                  <a:graphicData uri="http://schemas.microsoft.com/office/word/2010/wordprocessingShape">
                    <wps:wsp>
                      <wps:cNvSpPr txBox="1"/>
                      <wps:spPr bwMode="auto">
                        <a:xfrm>
                          <a:off x="0" y="0"/>
                          <a:ext cx="266700" cy="326390"/>
                        </a:xfrm>
                        <a:prstGeom prst="rect">
                          <a:avLst/>
                        </a:prstGeom>
                        <a:noFill/>
                        <a:ln w="9525">
                          <a:solidFill>
                            <a:schemeClr val="bg1"/>
                          </a:solidFill>
                          <a:miter lim="800000"/>
                        </a:ln>
                      </wps:spPr>
                      <wps:txbx>
                        <w:txbxContent>
                          <w:p w14:paraId="29376E74" w14:textId="77777777" w:rsidR="00A54A8A" w:rsidRDefault="00000000">
                            <w:pPr>
                              <w:rPr>
                                <w:sz w:val="15"/>
                                <w:szCs w:val="15"/>
                                <w:lang w:eastAsia="zh-CN"/>
                              </w:rPr>
                            </w:pPr>
                            <w:r>
                              <w:rPr>
                                <w:rFonts w:hint="eastAsia"/>
                                <w:sz w:val="15"/>
                                <w:szCs w:val="15"/>
                                <w:lang w:eastAsia="zh-CN"/>
                              </w:rPr>
                              <w:t>密闭罐车</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7327420C" id="文本框 91" o:spid="_x0000_s1052" type="#_x0000_t202" style="position:absolute;left:0;text-align:left;margin-left:246.4pt;margin-top:51pt;width:21pt;height:25.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" filled="f" strokecolor="white [3212]">
                <v:textbox inset="0,,0">
                  <w:txbxContent>
                    <w:p w14:paraId="29376E74" w14:textId="77777777" w:rsidR="00A54A8A" w:rsidRDefault="00000000">
                      <w:pPr>
                        <w:rPr>
                          <w:sz w:val="15"/>
                          <w:szCs w:val="15"/>
                          <w:lang w:eastAsia="zh-CN"/>
                        </w:rPr>
                      </w:pPr>
                      <w:r>
                        <w:rPr>
                          <w:rFonts w:hint="eastAsia"/>
                          <w:sz w:val="15"/>
                          <w:szCs w:val="15"/>
                          <w:lang w:eastAsia="zh-CN"/>
                        </w:rPr>
                        <w:t>密闭罐车</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85888" behindDoc="0" locked="0" layoutInCell="1" allowOverlap="1" wp14:anchorId="41DC3C27" wp14:editId="38FC69B4">
                <wp:simplePos x="0" y="0"/>
                <wp:positionH relativeFrom="column">
                  <wp:posOffset>3390265</wp:posOffset>
                </wp:positionH>
                <wp:positionV relativeFrom="paragraph">
                  <wp:posOffset>631190</wp:posOffset>
                </wp:positionV>
                <wp:extent cx="506095" cy="326390"/>
                <wp:effectExtent l="0" t="0" r="27305" b="16510"/>
                <wp:wrapNone/>
                <wp:docPr id="90" name="文本框 90"/>
                <wp:cNvGraphicFramePr/>
                <a:graphic xmlns:a="http://schemas.openxmlformats.org/drawingml/2006/main">
                  <a:graphicData uri="http://schemas.microsoft.com/office/word/2010/wordprocessingShape">
                    <wps:wsp>
                      <wps:cNvSpPr txBox="1"/>
                      <wps:spPr bwMode="auto">
                        <a:xfrm>
                          <a:off x="0" y="0"/>
                          <a:ext cx="506186" cy="326390"/>
                        </a:xfrm>
                        <a:prstGeom prst="rect">
                          <a:avLst/>
                        </a:prstGeom>
                        <a:solidFill>
                          <a:srgbClr val="FFFFFF"/>
                        </a:solidFill>
                        <a:ln w="9525">
                          <a:solidFill>
                            <a:schemeClr val="bg1"/>
                          </a:solidFill>
                          <a:miter lim="800000"/>
                        </a:ln>
                      </wps:spPr>
                      <wps:txbx>
                        <w:txbxContent>
                          <w:p w14:paraId="3D8AB97A" w14:textId="77777777" w:rsidR="00A54A8A" w:rsidRDefault="00000000">
                            <w:pPr>
                              <w:rPr>
                                <w:sz w:val="15"/>
                                <w:szCs w:val="15"/>
                                <w:lang w:eastAsia="zh-CN"/>
                              </w:rPr>
                            </w:pPr>
                            <w:r>
                              <w:rPr>
                                <w:rFonts w:hint="eastAsia"/>
                                <w:sz w:val="15"/>
                                <w:szCs w:val="15"/>
                                <w:lang w:eastAsia="zh-CN"/>
                              </w:rPr>
                              <w:t>赵家坝污水处理站</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w14:anchorId="41DC3C27" id="文本框 90" o:spid="_x0000_s1053" type="#_x0000_t202" style="position:absolute;left:0;text-align:left;margin-left:266.95pt;margin-top:49.7pt;width:39.85pt;height:25.7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" strokecolor="white [3212]">
                <v:textbox inset="0,,0">
                  <w:txbxContent>
                    <w:p w14:paraId="3D8AB97A" w14:textId="77777777" w:rsidR="00A54A8A" w:rsidRDefault="00000000">
                      <w:pPr>
                        <w:rPr>
                          <w:sz w:val="15"/>
                          <w:szCs w:val="15"/>
                          <w:lang w:eastAsia="zh-CN"/>
                        </w:rPr>
                      </w:pPr>
                      <w:r>
                        <w:rPr>
                          <w:rFonts w:hint="eastAsia"/>
                          <w:sz w:val="15"/>
                          <w:szCs w:val="15"/>
                          <w:lang w:eastAsia="zh-CN"/>
                        </w:rPr>
                        <w:t>赵家坝污水处理站</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683840" behindDoc="0" locked="0" layoutInCell="1" allowOverlap="1" wp14:anchorId="466FE772" wp14:editId="4E0EDE13">
                <wp:simplePos x="0" y="0"/>
                <wp:positionH relativeFrom="column">
                  <wp:posOffset>3352800</wp:posOffset>
                </wp:positionH>
                <wp:positionV relativeFrom="paragraph">
                  <wp:posOffset>478790</wp:posOffset>
                </wp:positionV>
                <wp:extent cx="1806575" cy="783590"/>
                <wp:effectExtent l="0" t="0" r="3175" b="0"/>
                <wp:wrapNone/>
                <wp:docPr id="88" name="矩形 88"/>
                <wp:cNvGraphicFramePr/>
                <a:graphic xmlns:a="http://schemas.openxmlformats.org/drawingml/2006/main">
                  <a:graphicData uri="http://schemas.microsoft.com/office/word/2010/wordprocessingShape">
                    <wps:wsp>
                      <wps:cNvSpPr/>
                      <wps:spPr>
                        <a:xfrm>
                          <a:off x="0" y="0"/>
                          <a:ext cx="1806575" cy="78377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264pt;margin-top:37.7pt;height:61.7pt;width:142.25pt;z-index:251683840;v-text-anchor:middle;mso-width-relative:page;mso-height-relative:page;" fillcolor="#FFFFFF [3212]" filled="t" stroked="f" coordsize="21600,21600" o:gfxdata="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zqALPaAAAACgEAAA8AAAAAAAAAAQAgAAAAIgAAAGRycy9kb3ducmV2&#10;LnhtbFBLAQIUABQAAAAIAIdO4kASur6/bAIAAM0EAAAOAAAAAAAAAAEAIAAAACkBAABkcnMvZTJv&#10;RG9jLnhtbFBLBQYAAAAABgAGAFkBAAAHBgAAAAA=&#10;">
                <v:fill on="t" focussize="0,0"/>
                <v:stroke on="f" weight="1pt" miterlimit="8" joinstyle="miter"/>
                <v:imagedata o:title=""/>
                <o:lock v:ext="edit" aspectratio="f"/>
              </v:rect>
            </w:pict>
          </mc:Fallback>
        </mc:AlternateContent>
      </w:r>
      <w:r w:rsidRPr="00E67914">
        <w:rPr>
          <w:rFonts w:ascii="Times New Roman" w:hAnsi="Times New Roman"/>
          <w:noProof/>
        </w:rPr>
        <w:drawing>
          <wp:inline distT="0" distB="0" distL="0" distR="0" wp14:anchorId="2B6A5AB1" wp14:editId="2A25FF56">
            <wp:extent cx="5276850" cy="13970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276850" cy="1397000"/>
                    </a:xfrm>
                    <a:prstGeom prst="rect">
                      <a:avLst/>
                    </a:prstGeom>
                    <a:noFill/>
                    <a:ln>
                      <a:noFill/>
                    </a:ln>
                  </pic:spPr>
                </pic:pic>
              </a:graphicData>
            </a:graphic>
          </wp:inline>
        </w:drawing>
      </w:r>
    </w:p>
    <w:p w14:paraId="0DFA61A7" w14:textId="77777777"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7.1-2  </w:t>
      </w:r>
      <w:r w:rsidRPr="00E67914">
        <w:rPr>
          <w:rFonts w:ascii="Times New Roman" w:eastAsia="黑体" w:hAnsi="Times New Roman"/>
          <w:sz w:val="21"/>
          <w:szCs w:val="21"/>
          <w:lang w:eastAsia="zh-CN"/>
        </w:rPr>
        <w:t>项目压裂返排液回收利用工艺流程图</w:t>
      </w:r>
    </w:p>
    <w:p w14:paraId="5980FF76"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3</w:t>
      </w:r>
      <w:r w:rsidRPr="00E67914">
        <w:rPr>
          <w:rFonts w:ascii="Times New Roman" w:hAnsi="Times New Roman"/>
          <w:b/>
          <w:bCs/>
          <w:sz w:val="24"/>
          <w:szCs w:val="24"/>
          <w:lang w:eastAsia="zh-CN"/>
        </w:rPr>
        <w:t>）生活污水</w:t>
      </w:r>
    </w:p>
    <w:p w14:paraId="44D529C2"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钻井期间</w:t>
      </w:r>
      <w:r w:rsidRPr="00E67914">
        <w:rPr>
          <w:rFonts w:ascii="Times New Roman" w:hAnsi="Times New Roman"/>
          <w:bCs/>
          <w:sz w:val="24"/>
          <w:szCs w:val="24"/>
          <w:lang w:eastAsia="zh-CN"/>
        </w:rPr>
        <w:t>钻井期生活污水</w:t>
      </w:r>
      <w:r w:rsidRPr="00E67914">
        <w:rPr>
          <w:rFonts w:ascii="Times New Roman" w:hAnsi="Times New Roman"/>
          <w:sz w:val="24"/>
          <w:szCs w:val="24"/>
          <w:lang w:eastAsia="zh-CN"/>
        </w:rPr>
        <w:t>经生态厕所收集后定期由密闭罐车拉运至周边生活污水处理厂处理。</w:t>
      </w:r>
    </w:p>
    <w:p w14:paraId="40AFD3CA"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4</w:t>
      </w:r>
      <w:r w:rsidRPr="00E67914">
        <w:rPr>
          <w:rFonts w:ascii="Times New Roman" w:hAnsi="Times New Roman"/>
          <w:b/>
          <w:bCs/>
          <w:sz w:val="24"/>
          <w:szCs w:val="24"/>
          <w:lang w:eastAsia="zh-CN"/>
        </w:rPr>
        <w:t>）初期雨水</w:t>
      </w:r>
    </w:p>
    <w:p w14:paraId="345CBDD5"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采用清污分流，井场四周设置排水沟，并设置集水坑，初期雨水收集进入泥浆不落地装置区与钻井废水合并处理，后期雨水依靠井站设置的地面坡度和内外环沟的阀门控制，就地散排至排水沟，排出场外。若场内雨水被污染流入外环沟，则需封闭外环沟由作业队伍从集水坑抽汲至泥浆不落地装置区或放喷池。</w:t>
      </w:r>
    </w:p>
    <w:p w14:paraId="64EB58D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泥浆不落地装置和放喷池均比地面高且有遮雨篷遮盖，可防止周边雨水汇入；井场周围设置雨水沟，井场周边雨水均不会进入井场内，井场内的雨水则顺着地势而排入四周的雨水沟；泥浆不落地装置上方配备了防雨棚，这样可避免因雨水进入泥浆不落地装置而增加废水量。</w:t>
      </w:r>
    </w:p>
    <w:p w14:paraId="33BCF0E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由于项目拟建地周围有冲沟与河流，为了进一步做好对附近冲沟、河流的保护工作，建议建设单位做好以下应急环保工作：</w:t>
      </w:r>
    </w:p>
    <w:p w14:paraId="72718C0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①</w:t>
      </w:r>
      <w:r w:rsidRPr="00E67914">
        <w:rPr>
          <w:rFonts w:ascii="Times New Roman" w:hAnsi="Times New Roman"/>
          <w:bCs/>
          <w:sz w:val="24"/>
          <w:szCs w:val="24"/>
          <w:lang w:eastAsia="zh-CN"/>
        </w:rPr>
        <w:t>在钻井过程中应加强废水管理，尤其雨季时加强监管内外排水沟，确保污水不流出井场。</w:t>
      </w:r>
    </w:p>
    <w:p w14:paraId="0914D8E9"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②</w:t>
      </w:r>
      <w:r w:rsidRPr="00E67914">
        <w:rPr>
          <w:rFonts w:ascii="Times New Roman" w:hAnsi="Times New Roman"/>
          <w:bCs/>
          <w:sz w:val="24"/>
          <w:szCs w:val="24"/>
          <w:lang w:eastAsia="zh-CN"/>
        </w:rPr>
        <w:t>在做好泥浆不落地装置区水罐和放喷池的清运工作同时，对集水坑进行及时清掏，做好防渗。</w:t>
      </w:r>
    </w:p>
    <w:p w14:paraId="7FD20E53"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③</w:t>
      </w:r>
      <w:r w:rsidRPr="00E67914">
        <w:rPr>
          <w:rFonts w:ascii="Times New Roman" w:hAnsi="Times New Roman"/>
          <w:bCs/>
          <w:sz w:val="24"/>
          <w:szCs w:val="24"/>
          <w:lang w:eastAsia="zh-CN"/>
        </w:rPr>
        <w:t>废水在拉运过程中经过河渠与冲沟附近时，应减缓车速，平稳通过。</w:t>
      </w:r>
    </w:p>
    <w:p w14:paraId="387C8262"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sz w:val="24"/>
          <w:szCs w:val="24"/>
          <w:lang w:eastAsia="zh-CN"/>
        </w:rPr>
        <w:t>④</w:t>
      </w:r>
      <w:r w:rsidRPr="00E67914">
        <w:rPr>
          <w:rFonts w:ascii="Times New Roman" w:hAnsi="Times New Roman"/>
          <w:sz w:val="24"/>
          <w:szCs w:val="24"/>
          <w:lang w:eastAsia="zh-CN"/>
        </w:rPr>
        <w:t>本次环评要求构建的地表水</w:t>
      </w:r>
      <w:r w:rsidRPr="00E67914">
        <w:rPr>
          <w:rFonts w:ascii="Times New Roman" w:hAnsi="Times New Roman"/>
          <w:sz w:val="24"/>
          <w:szCs w:val="24"/>
          <w:lang w:eastAsia="zh-CN"/>
        </w:rPr>
        <w:t>“</w:t>
      </w:r>
      <w:r w:rsidRPr="00E67914">
        <w:rPr>
          <w:rFonts w:ascii="Times New Roman" w:hAnsi="Times New Roman"/>
          <w:sz w:val="24"/>
          <w:szCs w:val="24"/>
          <w:lang w:eastAsia="zh-CN"/>
        </w:rPr>
        <w:t>三级</w:t>
      </w:r>
      <w:r w:rsidRPr="00E67914">
        <w:rPr>
          <w:rFonts w:ascii="Times New Roman" w:hAnsi="Times New Roman"/>
          <w:sz w:val="24"/>
          <w:szCs w:val="24"/>
          <w:lang w:eastAsia="zh-CN"/>
        </w:rPr>
        <w:t>”</w:t>
      </w:r>
      <w:r w:rsidRPr="00E67914">
        <w:rPr>
          <w:rFonts w:ascii="Times New Roman" w:hAnsi="Times New Roman"/>
          <w:sz w:val="24"/>
          <w:szCs w:val="24"/>
          <w:lang w:eastAsia="zh-CN"/>
        </w:rPr>
        <w:t>防控体系：具体如下：</w:t>
      </w:r>
    </w:p>
    <w:p w14:paraId="1BA2C9B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lastRenderedPageBreak/>
        <w:t>第一级防控措施是对存放废水和原料的罐、池定期检查，确认罐、池容量不超过设计容量，并及时清空，确保废水暂存容量足够；</w:t>
      </w:r>
    </w:p>
    <w:p w14:paraId="4F220CD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第二级防控措施是通过对可能发生废水泄露的罐、池区以及作业区等区域修建围堰，避免泄露废水散排进入井场其他区域；</w:t>
      </w:r>
    </w:p>
    <w:p w14:paraId="68542C69" w14:textId="5DF7D8E2"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第三级防控措施是内环沟集污坑、方井、井场四周集水坑等废水汇集处低进高出，同时设置水泵，将废水抽至泥浆不落地系统废水罐或放喷池，拦截可能流出井场外的废水，保持内环沟、集污坑、方井、放喷池等常空。</w:t>
      </w:r>
    </w:p>
    <w:p w14:paraId="0038A5D8" w14:textId="55CB520E"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在废水外溢事故发生，集水坑拦截失效时，在集水坑附近等低洼区域以及外溢口处采用沙包、装土编织袋等拦截措施阻止废水进入外环境，同时保持放喷池常空，污水池有足够容积，在沙包、装土编织袋等拦截措施失效时，通过泵将井场场内外溢废水引流至泥浆不落地区废水罐、放喷池并及时处理转运。</w:t>
      </w:r>
    </w:p>
    <w:p w14:paraId="183EFFF3"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2</w:t>
      </w:r>
      <w:r w:rsidRPr="00E67914">
        <w:rPr>
          <w:rFonts w:ascii="Times New Roman" w:eastAsia="黑体" w:hAnsi="Times New Roman"/>
          <w:sz w:val="24"/>
          <w:szCs w:val="24"/>
          <w:lang w:eastAsia="zh-CN"/>
        </w:rPr>
        <w:t>、污水收集处理设施可行性分析</w:t>
      </w:r>
    </w:p>
    <w:p w14:paraId="43EDD4C3" w14:textId="24FFED9C"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钻井过程中废水由泥浆不落地装置收集，泥浆不落地装置内放置有现场配备</w:t>
      </w:r>
      <w:r w:rsidRPr="00E67914">
        <w:rPr>
          <w:rFonts w:ascii="Times New Roman" w:hAnsi="Times New Roman"/>
          <w:sz w:val="24"/>
          <w:szCs w:val="24"/>
          <w:lang w:eastAsia="zh-CN"/>
        </w:rPr>
        <w:t>40m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废水罐</w:t>
      </w:r>
      <w:r w:rsidRPr="00E67914">
        <w:rPr>
          <w:rFonts w:ascii="Times New Roman" w:hAnsi="Times New Roman"/>
          <w:sz w:val="24"/>
          <w:szCs w:val="24"/>
          <w:lang w:eastAsia="zh-CN"/>
        </w:rPr>
        <w:t>4</w:t>
      </w:r>
      <w:r w:rsidRPr="00E67914">
        <w:rPr>
          <w:rFonts w:ascii="Times New Roman" w:hAnsi="Times New Roman"/>
          <w:sz w:val="24"/>
          <w:szCs w:val="24"/>
          <w:lang w:eastAsia="zh-CN"/>
        </w:rPr>
        <w:t>个（位于清洁化操作平台废水处理区，分为</w:t>
      </w:r>
      <w:r w:rsidRPr="00E67914">
        <w:rPr>
          <w:rFonts w:ascii="Times New Roman" w:hAnsi="Times New Roman"/>
          <w:sz w:val="24"/>
          <w:szCs w:val="24"/>
          <w:lang w:eastAsia="zh-CN"/>
        </w:rPr>
        <w:t>1</w:t>
      </w:r>
      <w:r w:rsidRPr="00E67914">
        <w:rPr>
          <w:rFonts w:ascii="Times New Roman" w:hAnsi="Times New Roman"/>
          <w:sz w:val="24"/>
          <w:szCs w:val="24"/>
          <w:lang w:eastAsia="zh-CN"/>
        </w:rPr>
        <w:t>个隔油罐、</w:t>
      </w:r>
      <w:r w:rsidRPr="00E67914">
        <w:rPr>
          <w:rFonts w:ascii="Times New Roman" w:hAnsi="Times New Roman"/>
          <w:sz w:val="24"/>
          <w:szCs w:val="24"/>
          <w:lang w:eastAsia="zh-CN"/>
        </w:rPr>
        <w:t>2</w:t>
      </w:r>
      <w:r w:rsidRPr="00E67914">
        <w:rPr>
          <w:rFonts w:ascii="Times New Roman" w:hAnsi="Times New Roman"/>
          <w:sz w:val="24"/>
          <w:szCs w:val="24"/>
          <w:lang w:eastAsia="zh-CN"/>
        </w:rPr>
        <w:t>个沉淀罐、</w:t>
      </w:r>
      <w:r w:rsidRPr="00E67914">
        <w:rPr>
          <w:rFonts w:ascii="Times New Roman" w:hAnsi="Times New Roman"/>
          <w:sz w:val="24"/>
          <w:szCs w:val="24"/>
          <w:lang w:eastAsia="zh-CN"/>
        </w:rPr>
        <w:t>1</w:t>
      </w:r>
      <w:r w:rsidRPr="00E67914">
        <w:rPr>
          <w:rFonts w:ascii="Times New Roman" w:hAnsi="Times New Roman"/>
          <w:sz w:val="24"/>
          <w:szCs w:val="24"/>
          <w:lang w:eastAsia="zh-CN"/>
        </w:rPr>
        <w:t>个回用罐）。本项目钻井期间污水经固控设备固液分离后，钻井废水</w:t>
      </w:r>
      <w:r w:rsidR="002F2518" w:rsidRPr="00E67914">
        <w:rPr>
          <w:rFonts w:ascii="Times New Roman" w:hAnsi="Times New Roman"/>
          <w:sz w:val="24"/>
          <w:szCs w:val="24"/>
          <w:lang w:eastAsia="zh-CN"/>
        </w:rPr>
        <w:t>产生后及时转运</w:t>
      </w:r>
      <w:r w:rsidRPr="00E67914">
        <w:rPr>
          <w:rFonts w:ascii="Times New Roman" w:hAnsi="Times New Roman"/>
          <w:sz w:val="24"/>
          <w:szCs w:val="24"/>
          <w:lang w:eastAsia="zh-CN"/>
        </w:rPr>
        <w:t>，井站设立污水定期拉运机制，井场的泥浆不落地装置的容量能满足井场整个钻井期的生产需求。</w:t>
      </w:r>
    </w:p>
    <w:p w14:paraId="160809A0" w14:textId="1CF4DD35"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bookmarkStart w:id="212" w:name="_Hlk89361389"/>
      <w:r w:rsidRPr="00E67914">
        <w:rPr>
          <w:rFonts w:ascii="Times New Roman" w:hAnsi="Times New Roman"/>
          <w:sz w:val="24"/>
          <w:szCs w:val="24"/>
          <w:lang w:eastAsia="zh-CN"/>
        </w:rPr>
        <w:t>经固控设备固液分离后洗井废水产生量最大为</w:t>
      </w:r>
      <w:r w:rsidR="002F2518" w:rsidRPr="00E67914">
        <w:rPr>
          <w:rFonts w:ascii="Times New Roman" w:hAnsi="Times New Roman"/>
          <w:sz w:val="24"/>
          <w:szCs w:val="24"/>
          <w:lang w:eastAsia="zh-CN"/>
        </w:rPr>
        <w:t>3</w:t>
      </w:r>
      <w:r w:rsidRPr="00E67914">
        <w:rPr>
          <w:rFonts w:ascii="Times New Roman" w:hAnsi="Times New Roman"/>
          <w:sz w:val="24"/>
          <w:szCs w:val="24"/>
          <w:lang w:eastAsia="zh-CN"/>
        </w:rPr>
        <w:t>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，洗井废水边处理边拉运回用，井场的泥浆不落地装置与</w:t>
      </w:r>
      <w:r w:rsidR="002F2518" w:rsidRPr="00E67914">
        <w:rPr>
          <w:rFonts w:ascii="Times New Roman" w:hAnsi="Times New Roman"/>
          <w:sz w:val="24"/>
          <w:szCs w:val="24"/>
          <w:lang w:eastAsia="zh-CN"/>
        </w:rPr>
        <w:t>放喷池</w:t>
      </w:r>
      <w:r w:rsidRPr="00E67914">
        <w:rPr>
          <w:rFonts w:ascii="Times New Roman" w:hAnsi="Times New Roman"/>
          <w:sz w:val="24"/>
          <w:szCs w:val="24"/>
          <w:lang w:eastAsia="zh-CN"/>
        </w:rPr>
        <w:t>池的容量能满足井场洗井期的生产需求。</w:t>
      </w:r>
      <w:bookmarkEnd w:id="212"/>
    </w:p>
    <w:p w14:paraId="4D660170" w14:textId="0D125E7C"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bookmarkStart w:id="213" w:name="_Hlk92200258"/>
      <w:r w:rsidRPr="00E67914">
        <w:rPr>
          <w:rFonts w:ascii="Times New Roman" w:hAnsi="Times New Roman"/>
          <w:sz w:val="24"/>
          <w:szCs w:val="24"/>
          <w:lang w:eastAsia="zh-CN"/>
        </w:rPr>
        <w:t>完井测试分段压裂产生的加砂压裂返排液大部分进入压裂液储罐，少量进入放喷池，进入放喷池内的返排液全部泵入压裂液储罐。返排过程中</w:t>
      </w:r>
      <w:r w:rsidR="002F2518" w:rsidRPr="00E67914">
        <w:rPr>
          <w:rFonts w:ascii="Times New Roman" w:hAnsi="Times New Roman"/>
          <w:sz w:val="24"/>
          <w:szCs w:val="24"/>
          <w:lang w:eastAsia="zh-CN"/>
        </w:rPr>
        <w:t>控制</w:t>
      </w:r>
      <w:r w:rsidRPr="00E67914">
        <w:rPr>
          <w:rFonts w:ascii="Times New Roman" w:hAnsi="Times New Roman"/>
          <w:sz w:val="24"/>
          <w:szCs w:val="24"/>
          <w:lang w:eastAsia="zh-CN"/>
        </w:rPr>
        <w:t>压裂返排液</w:t>
      </w:r>
      <w:r w:rsidR="002F2518" w:rsidRPr="00E67914">
        <w:rPr>
          <w:rFonts w:ascii="Times New Roman" w:hAnsi="Times New Roman"/>
          <w:sz w:val="24"/>
          <w:szCs w:val="24"/>
          <w:lang w:eastAsia="zh-CN"/>
        </w:rPr>
        <w:t>的产生量，待全部用于同平台下一口井压裂后再继续返排，最后一口井所产生的压裂返排液</w:t>
      </w:r>
      <w:r w:rsidRPr="00E67914">
        <w:rPr>
          <w:rFonts w:ascii="Times New Roman" w:hAnsi="Times New Roman"/>
          <w:sz w:val="24"/>
          <w:szCs w:val="24"/>
          <w:lang w:eastAsia="zh-CN"/>
        </w:rPr>
        <w:t>及时用密闭罐车拉运至赵家坝污水处理站达标后管输至普光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井回注站回注，不外排，现场需要暂存的压裂返排液量相对较小，压裂液返排前期可由已空置的压裂液储罐进行收集储存，</w:t>
      </w:r>
      <w:bookmarkStart w:id="214" w:name="_Hlk92200417"/>
      <w:r w:rsidR="002F2518" w:rsidRPr="00E67914">
        <w:rPr>
          <w:rFonts w:ascii="Times New Roman" w:hAnsi="Times New Roman"/>
          <w:sz w:val="24"/>
          <w:szCs w:val="24"/>
          <w:lang w:eastAsia="zh-CN"/>
        </w:rPr>
        <w:t>在控制返排速率后</w:t>
      </w:r>
      <w:r w:rsidRPr="00E67914">
        <w:rPr>
          <w:rFonts w:ascii="Times New Roman" w:hAnsi="Times New Roman"/>
          <w:sz w:val="24"/>
          <w:szCs w:val="24"/>
          <w:lang w:eastAsia="zh-CN"/>
        </w:rPr>
        <w:t>满足储存要求。</w:t>
      </w:r>
      <w:bookmarkEnd w:id="214"/>
      <w:r w:rsidRPr="00E67914">
        <w:rPr>
          <w:rFonts w:ascii="Times New Roman" w:hAnsi="Times New Roman"/>
          <w:sz w:val="24"/>
          <w:szCs w:val="24"/>
          <w:lang w:eastAsia="zh-CN"/>
        </w:rPr>
        <w:t>项目在井场周围设置了放喷池</w:t>
      </w:r>
      <w:r w:rsidRPr="00E67914">
        <w:rPr>
          <w:rFonts w:ascii="Times New Roman" w:hAnsi="Times New Roman"/>
          <w:sz w:val="24"/>
          <w:szCs w:val="24"/>
          <w:lang w:eastAsia="zh-CN"/>
        </w:rPr>
        <w:t>1</w:t>
      </w:r>
      <w:r w:rsidRPr="00E67914">
        <w:rPr>
          <w:rFonts w:ascii="Times New Roman" w:hAnsi="Times New Roman"/>
          <w:sz w:val="24"/>
          <w:szCs w:val="24"/>
          <w:lang w:eastAsia="zh-CN"/>
        </w:rPr>
        <w:t>座，放喷池容积为</w:t>
      </w:r>
      <w:r w:rsidRPr="00E67914">
        <w:rPr>
          <w:rFonts w:ascii="Times New Roman" w:hAnsi="Times New Roman"/>
          <w:sz w:val="24"/>
          <w:szCs w:val="24"/>
          <w:lang w:eastAsia="zh-CN"/>
        </w:rPr>
        <w:t>300m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由于放喷池主要起接收中转压裂返排液作用，压裂返排液暂存在空置的压裂液储罐，因此只要及时对放喷池废水及时抽吸至压裂液储罐，井场的放喷池的容量就能满足井场整个压裂期的生产需求。放喷池底部及四周铺设复合防水卷材（聚乙烯丙纶</w:t>
      </w:r>
      <w:r w:rsidRPr="00E67914">
        <w:rPr>
          <w:rFonts w:ascii="Times New Roman" w:hAnsi="Times New Roman"/>
          <w:sz w:val="24"/>
          <w:szCs w:val="24"/>
          <w:lang w:eastAsia="zh-CN"/>
        </w:rPr>
        <w:lastRenderedPageBreak/>
        <w:t>复合卷材）作防渗漏处理，防水卷材搭接长度不小于</w:t>
      </w:r>
      <w:r w:rsidRPr="00E67914">
        <w:rPr>
          <w:rFonts w:ascii="Times New Roman" w:hAnsi="Times New Roman"/>
          <w:sz w:val="24"/>
          <w:szCs w:val="24"/>
          <w:lang w:eastAsia="zh-CN"/>
        </w:rPr>
        <w:t>150mm</w:t>
      </w:r>
      <w:r w:rsidRPr="00E67914">
        <w:rPr>
          <w:rFonts w:ascii="Times New Roman" w:hAnsi="Times New Roman"/>
          <w:sz w:val="24"/>
          <w:szCs w:val="24"/>
          <w:lang w:eastAsia="zh-CN"/>
        </w:rPr>
        <w:t>，阴角处做处理，防止卷材折断。</w:t>
      </w:r>
    </w:p>
    <w:bookmarkEnd w:id="213"/>
    <w:p w14:paraId="5D51F602" w14:textId="098209FA"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为防止在暴雨或连续降雨等极端天气条件下发生废水泄露，对初期雨水进行收集，</w:t>
      </w:r>
      <w:bookmarkStart w:id="215" w:name="_Hlk89363083"/>
      <w:r w:rsidRPr="00E67914">
        <w:rPr>
          <w:rFonts w:ascii="Times New Roman" w:hAnsi="Times New Roman"/>
          <w:sz w:val="24"/>
          <w:szCs w:val="24"/>
          <w:lang w:eastAsia="zh-CN"/>
        </w:rPr>
        <w:t>本项目</w:t>
      </w:r>
      <w:r w:rsidRPr="00E67914">
        <w:rPr>
          <w:rFonts w:ascii="Times New Roman" w:hAnsi="Times New Roman"/>
          <w:sz w:val="24"/>
          <w:szCs w:val="24"/>
          <w:lang w:eastAsia="zh-CN"/>
        </w:rPr>
        <w:t>“</w:t>
      </w:r>
      <w:r w:rsidRPr="00E67914">
        <w:rPr>
          <w:rFonts w:ascii="Times New Roman" w:hAnsi="Times New Roman"/>
          <w:sz w:val="24"/>
          <w:szCs w:val="24"/>
          <w:lang w:eastAsia="zh-CN"/>
        </w:rPr>
        <w:t>不落地</w:t>
      </w:r>
      <w:r w:rsidRPr="00E67914">
        <w:rPr>
          <w:rFonts w:ascii="Times New Roman" w:hAnsi="Times New Roman"/>
          <w:sz w:val="24"/>
          <w:szCs w:val="24"/>
          <w:lang w:eastAsia="zh-CN"/>
        </w:rPr>
        <w:t>”</w:t>
      </w:r>
      <w:r w:rsidRPr="00E67914">
        <w:rPr>
          <w:rFonts w:ascii="Times New Roman" w:hAnsi="Times New Roman"/>
          <w:sz w:val="24"/>
          <w:szCs w:val="24"/>
          <w:lang w:eastAsia="zh-CN"/>
        </w:rPr>
        <w:t>处理装置与</w:t>
      </w:r>
      <w:r w:rsidR="002F2518" w:rsidRPr="00E67914">
        <w:rPr>
          <w:rFonts w:ascii="Times New Roman" w:hAnsi="Times New Roman"/>
          <w:sz w:val="24"/>
          <w:szCs w:val="24"/>
          <w:lang w:eastAsia="zh-CN"/>
        </w:rPr>
        <w:t>放喷</w:t>
      </w:r>
      <w:r w:rsidRPr="00E67914">
        <w:rPr>
          <w:rFonts w:ascii="Times New Roman" w:hAnsi="Times New Roman"/>
          <w:sz w:val="24"/>
          <w:szCs w:val="24"/>
          <w:lang w:eastAsia="zh-CN"/>
        </w:rPr>
        <w:t>池有效容积达到</w:t>
      </w:r>
      <w:r w:rsidR="002F2518" w:rsidRPr="00E67914">
        <w:rPr>
          <w:rFonts w:ascii="Times New Roman" w:hAnsi="Times New Roman"/>
          <w:sz w:val="24"/>
          <w:szCs w:val="24"/>
          <w:lang w:eastAsia="zh-CN"/>
        </w:rPr>
        <w:t>4</w:t>
      </w:r>
      <w:r w:rsidRPr="00E67914">
        <w:rPr>
          <w:rFonts w:ascii="Times New Roman" w:hAnsi="Times New Roman"/>
          <w:sz w:val="24"/>
          <w:szCs w:val="24"/>
          <w:lang w:eastAsia="zh-CN"/>
        </w:rPr>
        <w:t>60m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w:t>
      </w:r>
      <w:bookmarkEnd w:id="215"/>
      <w:r w:rsidRPr="00E67914">
        <w:rPr>
          <w:rFonts w:ascii="Times New Roman" w:hAnsi="Times New Roman"/>
          <w:sz w:val="24"/>
          <w:szCs w:val="24"/>
          <w:lang w:eastAsia="zh-CN"/>
        </w:rPr>
        <w:t>能满足本项目应对暴雨或连续降雨等极端天气条件下初期雨水的收集需要（初期雨水量</w:t>
      </w:r>
      <w:r w:rsidRPr="00E67914">
        <w:rPr>
          <w:rFonts w:ascii="Times New Roman" w:hAnsi="Times New Roman"/>
          <w:sz w:val="24"/>
          <w:szCs w:val="24"/>
          <w:lang w:eastAsia="zh-CN"/>
        </w:rPr>
        <w:t>195.53m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），杜绝废水外溢污染事故。</w:t>
      </w:r>
    </w:p>
    <w:p w14:paraId="2C57A02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bCs/>
          <w:sz w:val="24"/>
          <w:lang w:eastAsia="zh-CN"/>
        </w:rPr>
        <w:t>钻井期生活污水经生态厕所收集后定期由密闭罐车拉运至周边生活污水处理厂处理</w:t>
      </w:r>
      <w:r w:rsidRPr="00E67914">
        <w:rPr>
          <w:rFonts w:ascii="Times New Roman" w:hAnsi="Times New Roman"/>
          <w:sz w:val="24"/>
          <w:szCs w:val="24"/>
          <w:lang w:eastAsia="zh-CN"/>
        </w:rPr>
        <w:t>，钻井期生态厕所能满足</w:t>
      </w:r>
      <w:r w:rsidRPr="00E67914">
        <w:rPr>
          <w:rFonts w:ascii="Times New Roman" w:hAnsi="Times New Roman"/>
          <w:sz w:val="24"/>
          <w:szCs w:val="24"/>
          <w:lang w:eastAsia="zh-CN"/>
        </w:rPr>
        <w:t>50</w:t>
      </w:r>
      <w:r w:rsidRPr="00E67914">
        <w:rPr>
          <w:rFonts w:ascii="Times New Roman" w:hAnsi="Times New Roman"/>
          <w:sz w:val="24"/>
          <w:szCs w:val="24"/>
          <w:lang w:eastAsia="zh-CN"/>
        </w:rPr>
        <w:t>人入厕需求，本项目钻井期最多人员为</w:t>
      </w:r>
      <w:r w:rsidRPr="00E67914">
        <w:rPr>
          <w:rFonts w:ascii="Times New Roman" w:hAnsi="Times New Roman"/>
          <w:sz w:val="24"/>
          <w:szCs w:val="24"/>
          <w:lang w:eastAsia="zh-CN"/>
        </w:rPr>
        <w:t>45</w:t>
      </w:r>
      <w:r w:rsidRPr="00E67914">
        <w:rPr>
          <w:rFonts w:ascii="Times New Roman" w:hAnsi="Times New Roman"/>
          <w:sz w:val="24"/>
          <w:szCs w:val="24"/>
          <w:lang w:eastAsia="zh-CN"/>
        </w:rPr>
        <w:t>人，且加强管理，定期拉运后，生态厕所满足使用需求。</w:t>
      </w:r>
    </w:p>
    <w:p w14:paraId="38A750C2"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3</w:t>
      </w:r>
      <w:r w:rsidRPr="00E67914">
        <w:rPr>
          <w:rFonts w:ascii="Times New Roman" w:eastAsia="黑体" w:hAnsi="Times New Roman"/>
          <w:sz w:val="24"/>
          <w:szCs w:val="24"/>
          <w:lang w:eastAsia="zh-CN"/>
        </w:rPr>
        <w:t>、泥浆不落地工艺可行性分析</w:t>
      </w:r>
    </w:p>
    <w:p w14:paraId="05D1E77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bookmarkStart w:id="216" w:name="_Hlk89363132"/>
      <w:r w:rsidRPr="00E67914">
        <w:rPr>
          <w:rFonts w:ascii="Times New Roman" w:hAnsi="Times New Roman"/>
          <w:sz w:val="24"/>
          <w:szCs w:val="24"/>
          <w:lang w:eastAsia="zh-CN"/>
        </w:rPr>
        <w:t>随钻泥浆不落地能做到泥浆、岩屑</w:t>
      </w:r>
      <w:r w:rsidRPr="00E67914">
        <w:rPr>
          <w:rFonts w:ascii="Times New Roman" w:hAnsi="Times New Roman"/>
          <w:sz w:val="24"/>
          <w:szCs w:val="24"/>
          <w:lang w:eastAsia="zh-CN"/>
        </w:rPr>
        <w:t>“</w:t>
      </w:r>
      <w:r w:rsidRPr="00E67914">
        <w:rPr>
          <w:rFonts w:ascii="Times New Roman" w:hAnsi="Times New Roman"/>
          <w:sz w:val="24"/>
          <w:szCs w:val="24"/>
          <w:lang w:eastAsia="zh-CN"/>
        </w:rPr>
        <w:t>不落地</w:t>
      </w:r>
      <w:r w:rsidRPr="00E67914">
        <w:rPr>
          <w:rFonts w:ascii="Times New Roman" w:hAnsi="Times New Roman"/>
          <w:sz w:val="24"/>
          <w:szCs w:val="24"/>
          <w:lang w:eastAsia="zh-CN"/>
        </w:rPr>
        <w:t>”</w:t>
      </w:r>
      <w:r w:rsidRPr="00E67914">
        <w:rPr>
          <w:rFonts w:ascii="Times New Roman" w:hAnsi="Times New Roman"/>
          <w:sz w:val="24"/>
          <w:szCs w:val="24"/>
          <w:lang w:eastAsia="zh-CN"/>
        </w:rPr>
        <w:t>，对钻井过程中产生的污染物实行随钻处理，增大了废水利用率，同时降低道路运输风险。随钻处理污染物技术成熟、可靠，资源化处置得到的泥饼体积减小，固化后泥饼含水率约</w:t>
      </w:r>
      <w:r w:rsidRPr="00E67914">
        <w:rPr>
          <w:rFonts w:ascii="Times New Roman" w:hAnsi="Times New Roman"/>
          <w:sz w:val="24"/>
          <w:szCs w:val="24"/>
          <w:lang w:eastAsia="zh-CN"/>
        </w:rPr>
        <w:t>60%</w:t>
      </w:r>
      <w:r w:rsidRPr="00E67914">
        <w:rPr>
          <w:rFonts w:ascii="Times New Roman" w:hAnsi="Times New Roman"/>
          <w:sz w:val="24"/>
          <w:szCs w:val="24"/>
          <w:lang w:eastAsia="zh-CN"/>
        </w:rPr>
        <w:t>，运输方便，分离出液体大部分能回用钻井作业，在减少废物排放的同时节约了成本。尤为重要的是项目对污染物实现了综合利用，符合当前环保管理减量化、无害化、资源化的要求，属</w:t>
      </w:r>
      <w:r w:rsidRPr="00E67914">
        <w:rPr>
          <w:rFonts w:ascii="Times New Roman" w:hAnsi="Times New Roman"/>
          <w:sz w:val="24"/>
          <w:szCs w:val="24"/>
          <w:lang w:eastAsia="zh-CN"/>
        </w:rPr>
        <w:t>“</w:t>
      </w:r>
      <w:r w:rsidRPr="00E67914">
        <w:rPr>
          <w:rFonts w:ascii="Times New Roman" w:hAnsi="Times New Roman"/>
          <w:sz w:val="24"/>
          <w:szCs w:val="24"/>
          <w:lang w:eastAsia="zh-CN"/>
        </w:rPr>
        <w:t>三废</w:t>
      </w:r>
      <w:r w:rsidRPr="00E67914">
        <w:rPr>
          <w:rFonts w:ascii="Times New Roman" w:hAnsi="Times New Roman"/>
          <w:sz w:val="24"/>
          <w:szCs w:val="24"/>
          <w:lang w:eastAsia="zh-CN"/>
        </w:rPr>
        <w:t>”</w:t>
      </w:r>
      <w:r w:rsidRPr="00E67914">
        <w:rPr>
          <w:rFonts w:ascii="Times New Roman" w:hAnsi="Times New Roman"/>
          <w:sz w:val="24"/>
          <w:szCs w:val="24"/>
          <w:lang w:eastAsia="zh-CN"/>
        </w:rPr>
        <w:t>综合利用及治理工程，泥浆不落地工艺的实施，将大大提高废水回用率和降低固废产生量，降低环保风险，确保中原油田普光分公司清洁生产、绿色开发和可持续发展。根据川东北地区配套的泥浆不落地系统处理经验，系统内正常运行设置</w:t>
      </w:r>
      <w:r w:rsidRPr="00E67914">
        <w:rPr>
          <w:rFonts w:ascii="Times New Roman" w:hAnsi="Times New Roman"/>
          <w:sz w:val="24"/>
          <w:szCs w:val="24"/>
          <w:lang w:eastAsia="zh-CN"/>
        </w:rPr>
        <w:t>40m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废水罐</w:t>
      </w:r>
      <w:r w:rsidRPr="00E67914">
        <w:rPr>
          <w:rFonts w:ascii="Times New Roman" w:hAnsi="Times New Roman"/>
          <w:sz w:val="24"/>
          <w:szCs w:val="24"/>
          <w:lang w:eastAsia="zh-CN"/>
        </w:rPr>
        <w:t>4</w:t>
      </w:r>
      <w:r w:rsidRPr="00E67914">
        <w:rPr>
          <w:rFonts w:ascii="Times New Roman" w:hAnsi="Times New Roman"/>
          <w:sz w:val="24"/>
          <w:szCs w:val="24"/>
          <w:lang w:eastAsia="zh-CN"/>
        </w:rPr>
        <w:t>个，</w:t>
      </w:r>
      <w:r w:rsidRPr="00E67914">
        <w:rPr>
          <w:rFonts w:ascii="Times New Roman" w:hAnsi="Times New Roman"/>
          <w:sz w:val="24"/>
          <w:szCs w:val="24"/>
          <w:lang w:eastAsia="zh-CN"/>
        </w:rPr>
        <w:t>20m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岩屑固化罐</w:t>
      </w:r>
      <w:r w:rsidRPr="00E67914">
        <w:rPr>
          <w:rFonts w:ascii="Times New Roman" w:hAnsi="Times New Roman"/>
          <w:sz w:val="24"/>
          <w:szCs w:val="24"/>
          <w:lang w:eastAsia="zh-CN"/>
        </w:rPr>
        <w:t>4</w:t>
      </w:r>
      <w:r w:rsidRPr="00E67914">
        <w:rPr>
          <w:rFonts w:ascii="Times New Roman" w:hAnsi="Times New Roman"/>
          <w:sz w:val="24"/>
          <w:szCs w:val="24"/>
          <w:lang w:eastAsia="zh-CN"/>
        </w:rPr>
        <w:t>个，</w:t>
      </w:r>
      <w:r w:rsidRPr="00E67914">
        <w:rPr>
          <w:rFonts w:ascii="Times New Roman" w:hAnsi="Times New Roman"/>
          <w:sz w:val="24"/>
          <w:szCs w:val="24"/>
          <w:lang w:eastAsia="zh-CN"/>
        </w:rPr>
        <w:t>3m</w:t>
      </w:r>
      <w:r w:rsidRPr="00E67914">
        <w:rPr>
          <w:rFonts w:ascii="Times New Roman" w:hAnsi="Times New Roman"/>
          <w:sz w:val="24"/>
          <w:szCs w:val="24"/>
          <w:vertAlign w:val="superscript"/>
          <w:lang w:eastAsia="zh-CN"/>
        </w:rPr>
        <w:t>3</w:t>
      </w:r>
      <w:r w:rsidRPr="00E67914">
        <w:rPr>
          <w:rFonts w:ascii="Times New Roman" w:hAnsi="Times New Roman"/>
          <w:sz w:val="24"/>
          <w:szCs w:val="24"/>
          <w:lang w:eastAsia="zh-CN"/>
        </w:rPr>
        <w:t>岩屑收集罐</w:t>
      </w:r>
      <w:r w:rsidRPr="00E67914">
        <w:rPr>
          <w:rFonts w:ascii="Times New Roman" w:hAnsi="Times New Roman"/>
          <w:sz w:val="24"/>
          <w:szCs w:val="24"/>
          <w:lang w:eastAsia="zh-CN"/>
        </w:rPr>
        <w:t>8</w:t>
      </w:r>
      <w:r w:rsidRPr="00E67914">
        <w:rPr>
          <w:rFonts w:ascii="Times New Roman" w:hAnsi="Times New Roman"/>
          <w:sz w:val="24"/>
          <w:szCs w:val="24"/>
          <w:lang w:eastAsia="zh-CN"/>
        </w:rPr>
        <w:t>个，化学品存放区</w:t>
      </w:r>
      <w:r w:rsidRPr="00E67914">
        <w:rPr>
          <w:rFonts w:ascii="Times New Roman" w:hAnsi="Times New Roman"/>
          <w:sz w:val="24"/>
          <w:szCs w:val="24"/>
          <w:lang w:eastAsia="zh-CN"/>
        </w:rPr>
        <w:t>1</w:t>
      </w:r>
      <w:r w:rsidRPr="00E67914">
        <w:rPr>
          <w:rFonts w:ascii="Times New Roman" w:hAnsi="Times New Roman"/>
          <w:sz w:val="24"/>
          <w:szCs w:val="24"/>
          <w:lang w:eastAsia="zh-CN"/>
        </w:rPr>
        <w:t>处和</w:t>
      </w:r>
      <w:r w:rsidRPr="00E67914">
        <w:rPr>
          <w:rFonts w:ascii="Times New Roman" w:hAnsi="Times New Roman"/>
          <w:sz w:val="24"/>
          <w:szCs w:val="24"/>
          <w:lang w:eastAsia="zh-CN"/>
        </w:rPr>
        <w:t>1</w:t>
      </w:r>
      <w:r w:rsidRPr="00E67914">
        <w:rPr>
          <w:rFonts w:ascii="Times New Roman" w:hAnsi="Times New Roman"/>
          <w:sz w:val="24"/>
          <w:szCs w:val="24"/>
          <w:lang w:eastAsia="zh-CN"/>
        </w:rPr>
        <w:t>套固废处理设备就能满足川东北地区单井泥浆不落地处理能力要求。本项目按照上述进行了设置，故泥浆不落地装置处理能力满足本项目需求。因此，本项目采用随钻泥浆不落地工艺是可行的。</w:t>
      </w:r>
    </w:p>
    <w:bookmarkEnd w:id="216"/>
    <w:p w14:paraId="60AA650C"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4</w:t>
      </w:r>
      <w:r w:rsidRPr="00E67914">
        <w:rPr>
          <w:rFonts w:ascii="Times New Roman" w:eastAsia="黑体" w:hAnsi="Times New Roman"/>
          <w:sz w:val="24"/>
          <w:szCs w:val="24"/>
          <w:lang w:eastAsia="zh-CN"/>
        </w:rPr>
        <w:t>、钻井废水、洗井废水、压裂返排液回用可行性分析</w:t>
      </w:r>
    </w:p>
    <w:p w14:paraId="03F377D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用于配置压裂液的液体经去除杂质、添加药剂等简单处理后即可重复使用，经泥浆不落地处理后的钻井废水、经固液分离后的洗井废水和压返液水质简单，悬浮物和油含量低，在配置压裂液前经简单预处理即符合压裂液配置要求。将钻井废水、洗井废水和压返液重复配置压裂液，已经属成熟工艺，在压裂施工中广泛使用。因此将钻井废水、洗井废水和压返液重复配置压裂液是可行的。</w:t>
      </w:r>
    </w:p>
    <w:p w14:paraId="2E4A58D1"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lastRenderedPageBreak/>
        <w:t>压裂返排液使用指标及回用要求如下：降阻水：固相含量</w:t>
      </w:r>
      <w:r w:rsidRPr="00E67914">
        <w:rPr>
          <w:rFonts w:ascii="Times New Roman" w:hAnsi="Times New Roman"/>
          <w:sz w:val="24"/>
          <w:szCs w:val="24"/>
          <w:lang w:eastAsia="zh-CN"/>
        </w:rPr>
        <w:t>≤1000mg/L</w:t>
      </w:r>
      <w:r w:rsidRPr="00E67914">
        <w:rPr>
          <w:rFonts w:ascii="Times New Roman" w:hAnsi="Times New Roman"/>
          <w:sz w:val="24"/>
          <w:szCs w:val="24"/>
          <w:lang w:eastAsia="zh-CN"/>
        </w:rPr>
        <w:t>、氯根含量</w:t>
      </w:r>
      <w:r w:rsidRPr="00E67914">
        <w:rPr>
          <w:rFonts w:ascii="Times New Roman" w:hAnsi="Times New Roman"/>
          <w:sz w:val="24"/>
          <w:szCs w:val="24"/>
          <w:lang w:eastAsia="zh-CN"/>
        </w:rPr>
        <w:t>≤50000mg/L</w:t>
      </w:r>
      <w:r w:rsidRPr="00E67914">
        <w:rPr>
          <w:rFonts w:ascii="Times New Roman" w:hAnsi="Times New Roman"/>
          <w:sz w:val="24"/>
          <w:szCs w:val="24"/>
          <w:lang w:eastAsia="zh-CN"/>
        </w:rPr>
        <w:t>、铁细菌</w:t>
      </w:r>
      <w:r w:rsidRPr="00E67914">
        <w:rPr>
          <w:rFonts w:ascii="Times New Roman" w:hAnsi="Times New Roman"/>
          <w:sz w:val="24"/>
          <w:szCs w:val="24"/>
          <w:lang w:eastAsia="zh-CN"/>
        </w:rPr>
        <w:t>TGB≤2.5×10</w:t>
      </w:r>
      <w:r w:rsidRPr="00E67914">
        <w:rPr>
          <w:rFonts w:ascii="Times New Roman" w:hAnsi="Times New Roman"/>
          <w:sz w:val="24"/>
          <w:szCs w:val="24"/>
          <w:vertAlign w:val="superscript"/>
          <w:lang w:eastAsia="zh-CN"/>
        </w:rPr>
        <w:t>4</w:t>
      </w:r>
      <w:r w:rsidRPr="00E67914">
        <w:rPr>
          <w:rFonts w:ascii="Times New Roman" w:hAnsi="Times New Roman"/>
          <w:sz w:val="24"/>
          <w:szCs w:val="24"/>
          <w:lang w:eastAsia="zh-CN"/>
        </w:rPr>
        <w:t>个</w:t>
      </w:r>
      <w:r w:rsidRPr="00E67914">
        <w:rPr>
          <w:rFonts w:ascii="Times New Roman" w:hAnsi="Times New Roman"/>
          <w:sz w:val="24"/>
          <w:szCs w:val="24"/>
          <w:lang w:eastAsia="zh-CN"/>
        </w:rPr>
        <w:t>/mg</w:t>
      </w:r>
      <w:r w:rsidRPr="00E67914">
        <w:rPr>
          <w:rFonts w:ascii="Times New Roman" w:hAnsi="Times New Roman"/>
          <w:sz w:val="24"/>
          <w:szCs w:val="24"/>
          <w:lang w:eastAsia="zh-CN"/>
        </w:rPr>
        <w:t>、腐生菌</w:t>
      </w:r>
      <w:r w:rsidRPr="00E67914">
        <w:rPr>
          <w:rFonts w:ascii="Times New Roman" w:hAnsi="Times New Roman"/>
          <w:sz w:val="24"/>
          <w:szCs w:val="24"/>
          <w:lang w:eastAsia="zh-CN"/>
        </w:rPr>
        <w:t>≤2.5×10</w:t>
      </w:r>
      <w:r w:rsidRPr="00E67914">
        <w:rPr>
          <w:rFonts w:ascii="Times New Roman" w:hAnsi="Times New Roman"/>
          <w:sz w:val="24"/>
          <w:szCs w:val="24"/>
          <w:vertAlign w:val="superscript"/>
          <w:lang w:eastAsia="zh-CN"/>
        </w:rPr>
        <w:t>4</w:t>
      </w:r>
      <w:r w:rsidRPr="00E67914">
        <w:rPr>
          <w:rFonts w:ascii="Times New Roman" w:hAnsi="Times New Roman"/>
          <w:sz w:val="24"/>
          <w:szCs w:val="24"/>
          <w:lang w:eastAsia="zh-CN"/>
        </w:rPr>
        <w:t>个</w:t>
      </w:r>
      <w:r w:rsidRPr="00E67914">
        <w:rPr>
          <w:rFonts w:ascii="Times New Roman" w:hAnsi="Times New Roman"/>
          <w:sz w:val="24"/>
          <w:szCs w:val="24"/>
          <w:lang w:eastAsia="zh-CN"/>
        </w:rPr>
        <w:t>/mg</w:t>
      </w:r>
      <w:r w:rsidRPr="00E67914">
        <w:rPr>
          <w:rFonts w:ascii="Times New Roman" w:hAnsi="Times New Roman"/>
          <w:sz w:val="24"/>
          <w:szCs w:val="24"/>
          <w:lang w:eastAsia="zh-CN"/>
        </w:rPr>
        <w:t>，瓜胶压裂返排液除上述指标外，增加以钙离子计算的总硬度</w:t>
      </w:r>
      <w:r w:rsidRPr="00E67914">
        <w:rPr>
          <w:rFonts w:ascii="Times New Roman" w:hAnsi="Times New Roman"/>
          <w:sz w:val="24"/>
          <w:szCs w:val="24"/>
          <w:lang w:eastAsia="zh-CN"/>
        </w:rPr>
        <w:t>≤800mg/L</w:t>
      </w:r>
      <w:r w:rsidRPr="00E67914">
        <w:rPr>
          <w:rFonts w:ascii="Times New Roman" w:hAnsi="Times New Roman"/>
          <w:sz w:val="24"/>
          <w:szCs w:val="24"/>
          <w:lang w:eastAsia="zh-CN"/>
        </w:rPr>
        <w:t>。本项目钻井废水、洗井废水和压裂返排液中固相含量＜</w:t>
      </w:r>
      <w:r w:rsidRPr="00E67914">
        <w:rPr>
          <w:rFonts w:ascii="Times New Roman" w:hAnsi="Times New Roman"/>
          <w:sz w:val="24"/>
          <w:szCs w:val="24"/>
          <w:lang w:eastAsia="zh-CN"/>
        </w:rPr>
        <w:t>500mg/L</w:t>
      </w:r>
      <w:r w:rsidRPr="00E67914">
        <w:rPr>
          <w:rFonts w:ascii="Times New Roman" w:hAnsi="Times New Roman"/>
          <w:sz w:val="24"/>
          <w:szCs w:val="24"/>
          <w:lang w:eastAsia="zh-CN"/>
        </w:rPr>
        <w:t>、氯根含量</w:t>
      </w:r>
      <w:r w:rsidRPr="00E67914">
        <w:rPr>
          <w:rFonts w:ascii="Times New Roman" w:hAnsi="Times New Roman"/>
          <w:sz w:val="24"/>
          <w:szCs w:val="24"/>
          <w:lang w:eastAsia="zh-CN"/>
        </w:rPr>
        <w:t>≤4000mg/L</w:t>
      </w:r>
      <w:r w:rsidRPr="00E67914">
        <w:rPr>
          <w:rFonts w:ascii="Times New Roman" w:hAnsi="Times New Roman"/>
          <w:sz w:val="24"/>
          <w:szCs w:val="24"/>
          <w:lang w:eastAsia="zh-CN"/>
        </w:rPr>
        <w:t>、总硬度</w:t>
      </w:r>
      <w:r w:rsidRPr="00E67914">
        <w:rPr>
          <w:rFonts w:ascii="Times New Roman" w:hAnsi="Times New Roman"/>
          <w:sz w:val="24"/>
          <w:szCs w:val="24"/>
          <w:lang w:eastAsia="zh-CN"/>
        </w:rPr>
        <w:t>≤800mg/L</w:t>
      </w:r>
      <w:r w:rsidRPr="00E67914">
        <w:rPr>
          <w:rFonts w:ascii="Times New Roman" w:hAnsi="Times New Roman"/>
          <w:sz w:val="24"/>
          <w:szCs w:val="24"/>
          <w:lang w:eastAsia="zh-CN"/>
        </w:rPr>
        <w:t>，铁细菌</w:t>
      </w:r>
      <w:r w:rsidRPr="00E67914">
        <w:rPr>
          <w:rFonts w:ascii="Times New Roman" w:hAnsi="Times New Roman"/>
          <w:sz w:val="24"/>
          <w:szCs w:val="24"/>
          <w:lang w:eastAsia="zh-CN"/>
        </w:rPr>
        <w:t>TGB</w:t>
      </w:r>
      <w:r w:rsidRPr="00E67914">
        <w:rPr>
          <w:rFonts w:ascii="Times New Roman" w:hAnsi="Times New Roman"/>
          <w:sz w:val="24"/>
          <w:szCs w:val="24"/>
          <w:lang w:eastAsia="zh-CN"/>
        </w:rPr>
        <w:t>和腐生菌含量也符合要求，因此将钻井废水、洗井废水和压返液重复配置压裂液是可行的。同时根据统计，同一口井可回用废水产生量远小于单井需要配置压裂返排液新水使用量，因此钻井、洗井废水量能全部用于区域内压裂液配置。将钻井废水、洗井废水和单井废弃的压返液返排液重复配置压裂液，用于重复压裂，可以满足钻井作业废水的处置需求，符合《石油天然气开采业污染防治技术政策》中</w:t>
      </w:r>
      <w:r w:rsidRPr="00E67914">
        <w:rPr>
          <w:rFonts w:ascii="Times New Roman" w:hAnsi="Times New Roman"/>
          <w:sz w:val="24"/>
          <w:szCs w:val="24"/>
          <w:lang w:eastAsia="zh-CN"/>
        </w:rPr>
        <w:t>“</w:t>
      </w:r>
      <w:r w:rsidRPr="00E67914">
        <w:rPr>
          <w:rFonts w:ascii="Times New Roman" w:hAnsi="Times New Roman"/>
          <w:sz w:val="24"/>
          <w:szCs w:val="24"/>
          <w:lang w:eastAsia="zh-CN"/>
        </w:rPr>
        <w:t>在钻井和井下作业过程中，鼓励污油、污水进入生产流程循环利用</w:t>
      </w:r>
      <w:r w:rsidRPr="00E67914">
        <w:rPr>
          <w:rFonts w:ascii="Times New Roman" w:hAnsi="Times New Roman"/>
          <w:sz w:val="24"/>
          <w:szCs w:val="24"/>
          <w:lang w:eastAsia="zh-CN"/>
        </w:rPr>
        <w:t>”</w:t>
      </w:r>
      <w:r w:rsidRPr="00E67914">
        <w:rPr>
          <w:rFonts w:ascii="Times New Roman" w:hAnsi="Times New Roman"/>
          <w:sz w:val="24"/>
          <w:szCs w:val="24"/>
          <w:lang w:eastAsia="zh-CN"/>
        </w:rPr>
        <w:t>的要求，属清洁生产措施，已在钻井工程中得到广泛采用，技术较成熟，该措施技术有效、可行。</w:t>
      </w:r>
    </w:p>
    <w:p w14:paraId="753E033E"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5</w:t>
      </w:r>
      <w:r w:rsidRPr="00E67914">
        <w:rPr>
          <w:rFonts w:ascii="Times New Roman" w:eastAsia="黑体" w:hAnsi="Times New Roman"/>
          <w:sz w:val="24"/>
          <w:szCs w:val="24"/>
          <w:lang w:eastAsia="zh-CN"/>
        </w:rPr>
        <w:t>、不可回用钻井废水、洗井废水、压裂返排液、气田水转运预处理和回注可行性分析</w:t>
      </w:r>
    </w:p>
    <w:p w14:paraId="670F6000"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不可回用钻井废水、洗井废水、压裂返排液、气田水用密闭罐车拉运至赵家坝污水处理站达标后管输至普光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w:t>
      </w:r>
    </w:p>
    <w:p w14:paraId="53E2D137"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w:t>
      </w:r>
      <w:r w:rsidRPr="00E67914">
        <w:rPr>
          <w:rFonts w:ascii="Times New Roman" w:hAnsi="Times New Roman"/>
          <w:bCs/>
          <w:sz w:val="24"/>
          <w:szCs w:val="24"/>
          <w:lang w:eastAsia="zh-CN"/>
        </w:rPr>
        <w:t>1</w:t>
      </w:r>
      <w:r w:rsidRPr="00E67914">
        <w:rPr>
          <w:rFonts w:ascii="Times New Roman" w:hAnsi="Times New Roman"/>
          <w:bCs/>
          <w:sz w:val="24"/>
          <w:szCs w:val="24"/>
          <w:lang w:eastAsia="zh-CN"/>
        </w:rPr>
        <w:t>）赵家坝产出水处理站依托可行性分析</w:t>
      </w:r>
    </w:p>
    <w:p w14:paraId="3F81166E"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赵家坝产出水处理站位于天然气净化厂内，属于普光主体工程，赵家坝污水处理站设计处理能力</w:t>
      </w:r>
      <w:r w:rsidRPr="00E67914">
        <w:rPr>
          <w:rFonts w:ascii="Times New Roman" w:hAnsi="Times New Roman"/>
          <w:bCs/>
          <w:sz w:val="24"/>
          <w:szCs w:val="24"/>
          <w:lang w:eastAsia="zh-CN"/>
        </w:rPr>
        <w:t>800m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，目前实际处理污水量为</w:t>
      </w:r>
      <w:r w:rsidRPr="00E67914">
        <w:rPr>
          <w:rFonts w:ascii="Times New Roman" w:hAnsi="Times New Roman"/>
          <w:bCs/>
          <w:sz w:val="24"/>
          <w:szCs w:val="24"/>
          <w:lang w:eastAsia="zh-CN"/>
        </w:rPr>
        <w:t>350m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，处理后的污水进入普光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井回注，污水处理系统采用</w:t>
      </w:r>
      <w:r w:rsidRPr="00E67914">
        <w:rPr>
          <w:rFonts w:ascii="Times New Roman" w:hAnsi="Times New Roman"/>
          <w:bCs/>
          <w:sz w:val="24"/>
          <w:szCs w:val="24"/>
          <w:lang w:eastAsia="zh-CN"/>
        </w:rPr>
        <w:t>“</w:t>
      </w:r>
      <w:r w:rsidRPr="00E67914">
        <w:rPr>
          <w:rFonts w:ascii="Times New Roman" w:hAnsi="Times New Roman"/>
          <w:bCs/>
          <w:sz w:val="24"/>
          <w:szCs w:val="24"/>
          <w:lang w:eastAsia="zh-CN"/>
        </w:rPr>
        <w:t>氧化除硫</w:t>
      </w:r>
      <w:r w:rsidRPr="00E67914">
        <w:rPr>
          <w:rFonts w:ascii="Times New Roman" w:hAnsi="Times New Roman"/>
          <w:bCs/>
          <w:sz w:val="24"/>
          <w:szCs w:val="24"/>
          <w:lang w:eastAsia="zh-CN"/>
        </w:rPr>
        <w:t>+</w:t>
      </w:r>
      <w:r w:rsidRPr="00E67914">
        <w:rPr>
          <w:rFonts w:ascii="Times New Roman" w:hAnsi="Times New Roman"/>
          <w:bCs/>
          <w:sz w:val="24"/>
          <w:szCs w:val="24"/>
          <w:lang w:eastAsia="zh-CN"/>
        </w:rPr>
        <w:t>混凝沉降</w:t>
      </w:r>
      <w:r w:rsidRPr="00E67914">
        <w:rPr>
          <w:rFonts w:ascii="Times New Roman" w:hAnsi="Times New Roman"/>
          <w:bCs/>
          <w:sz w:val="24"/>
          <w:szCs w:val="24"/>
          <w:lang w:eastAsia="zh-CN"/>
        </w:rPr>
        <w:t>+</w:t>
      </w:r>
      <w:r w:rsidRPr="00E67914">
        <w:rPr>
          <w:rFonts w:ascii="Times New Roman" w:hAnsi="Times New Roman"/>
          <w:bCs/>
          <w:sz w:val="24"/>
          <w:szCs w:val="24"/>
          <w:lang w:eastAsia="zh-CN"/>
        </w:rPr>
        <w:t>过滤</w:t>
      </w:r>
      <w:r w:rsidRPr="00E67914">
        <w:rPr>
          <w:rFonts w:ascii="Times New Roman" w:hAnsi="Times New Roman"/>
          <w:bCs/>
          <w:sz w:val="24"/>
          <w:szCs w:val="24"/>
          <w:lang w:eastAsia="zh-CN"/>
        </w:rPr>
        <w:t>”</w:t>
      </w:r>
      <w:r w:rsidRPr="00E67914">
        <w:rPr>
          <w:rFonts w:ascii="Times New Roman" w:hAnsi="Times New Roman"/>
          <w:bCs/>
          <w:sz w:val="24"/>
          <w:szCs w:val="24"/>
          <w:lang w:eastAsia="zh-CN"/>
        </w:rPr>
        <w:t>工艺，出水水质能够满足《气田水回注方法》（</w:t>
      </w:r>
      <w:r w:rsidRPr="00E67914">
        <w:rPr>
          <w:rFonts w:ascii="Times New Roman" w:hAnsi="Times New Roman"/>
          <w:bCs/>
          <w:sz w:val="24"/>
          <w:szCs w:val="24"/>
          <w:lang w:eastAsia="zh-CN"/>
        </w:rPr>
        <w:t>SY/T6596-2004</w:t>
      </w:r>
      <w:r w:rsidRPr="00E67914">
        <w:rPr>
          <w:rFonts w:ascii="Times New Roman" w:hAnsi="Times New Roman"/>
          <w:bCs/>
          <w:sz w:val="24"/>
          <w:szCs w:val="24"/>
          <w:lang w:eastAsia="zh-CN"/>
        </w:rPr>
        <w:t>）表</w:t>
      </w:r>
      <w:r w:rsidRPr="00E67914">
        <w:rPr>
          <w:rFonts w:ascii="Times New Roman" w:hAnsi="Times New Roman"/>
          <w:bCs/>
          <w:sz w:val="24"/>
          <w:szCs w:val="24"/>
          <w:lang w:eastAsia="zh-CN"/>
        </w:rPr>
        <w:t>1</w:t>
      </w:r>
      <w:r w:rsidRPr="00E67914">
        <w:rPr>
          <w:rFonts w:ascii="Times New Roman" w:hAnsi="Times New Roman"/>
          <w:bCs/>
          <w:sz w:val="24"/>
          <w:szCs w:val="24"/>
          <w:lang w:eastAsia="zh-CN"/>
        </w:rPr>
        <w:t>中标准。</w:t>
      </w:r>
    </w:p>
    <w:p w14:paraId="56463F91" w14:textId="4F4E11C0"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赵家坝污水处理站目前剩余处理能力为</w:t>
      </w:r>
      <w:r w:rsidRPr="00E67914">
        <w:rPr>
          <w:rFonts w:ascii="Times New Roman" w:hAnsi="Times New Roman"/>
          <w:bCs/>
          <w:sz w:val="24"/>
          <w:szCs w:val="24"/>
          <w:lang w:eastAsia="zh-CN"/>
        </w:rPr>
        <w:t>450m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，本项目未能回用的作业废水。根据产生量定期运输，根据周边钻井经验和采气期气田水产生情况，钻井期日运输量不超过</w:t>
      </w:r>
      <w:r w:rsidRPr="00E67914">
        <w:rPr>
          <w:rFonts w:ascii="Times New Roman" w:hAnsi="Times New Roman"/>
          <w:bCs/>
          <w:sz w:val="24"/>
          <w:szCs w:val="24"/>
          <w:lang w:eastAsia="zh-CN"/>
        </w:rPr>
        <w:t>50m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，同时在建项目处理量按照</w:t>
      </w:r>
      <w:r w:rsidRPr="00E67914">
        <w:rPr>
          <w:rFonts w:ascii="Times New Roman" w:hAnsi="Times New Roman"/>
          <w:bCs/>
          <w:sz w:val="24"/>
          <w:szCs w:val="24"/>
          <w:lang w:eastAsia="zh-CN"/>
        </w:rPr>
        <w:t>100m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计算，试采期该项目日产水量约为</w:t>
      </w:r>
      <w:r w:rsidR="002F2518" w:rsidRPr="00E67914">
        <w:rPr>
          <w:rFonts w:ascii="Times New Roman" w:hAnsi="Times New Roman"/>
          <w:bCs/>
          <w:sz w:val="24"/>
          <w:szCs w:val="24"/>
          <w:lang w:eastAsia="zh-CN"/>
        </w:rPr>
        <w:t>42.7</w:t>
      </w:r>
      <w:r w:rsidRPr="00E67914">
        <w:rPr>
          <w:rFonts w:ascii="Times New Roman" w:hAnsi="Times New Roman"/>
          <w:bCs/>
          <w:sz w:val="24"/>
          <w:szCs w:val="24"/>
          <w:lang w:eastAsia="zh-CN"/>
        </w:rPr>
        <w:t>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（最大量，将随着开采逐渐减少），故赵家坝污水处理站也完全有能力处理本项目钻井期未能回用的作业废水和试采期产生的气田水。</w:t>
      </w:r>
    </w:p>
    <w:p w14:paraId="6001941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w:t>
      </w:r>
      <w:r w:rsidRPr="00E67914">
        <w:rPr>
          <w:rFonts w:ascii="Times New Roman" w:hAnsi="Times New Roman"/>
          <w:bCs/>
          <w:sz w:val="24"/>
          <w:szCs w:val="24"/>
          <w:lang w:eastAsia="zh-CN"/>
        </w:rPr>
        <w:t>2</w:t>
      </w:r>
      <w:r w:rsidRPr="00E67914">
        <w:rPr>
          <w:rFonts w:ascii="Times New Roman" w:hAnsi="Times New Roman"/>
          <w:bCs/>
          <w:sz w:val="24"/>
          <w:szCs w:val="24"/>
          <w:lang w:eastAsia="zh-CN"/>
        </w:rPr>
        <w:t>）普光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井污水回注站</w:t>
      </w:r>
    </w:p>
    <w:p w14:paraId="379A035A"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本项目经赵家坝污水处理站处理后的作业废水经处理达标后均通过普光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井回注地层。普光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井位于达州市宣汉县普光镇，天然气净化厂东</w:t>
      </w:r>
      <w:r w:rsidRPr="00E67914">
        <w:rPr>
          <w:rFonts w:ascii="Times New Roman" w:hAnsi="Times New Roman"/>
          <w:bCs/>
          <w:sz w:val="24"/>
          <w:szCs w:val="24"/>
          <w:lang w:eastAsia="zh-CN"/>
        </w:rPr>
        <w:t>1.6km</w:t>
      </w:r>
      <w:r w:rsidRPr="00E67914">
        <w:rPr>
          <w:rFonts w:ascii="Times New Roman" w:hAnsi="Times New Roman"/>
          <w:bCs/>
          <w:sz w:val="24"/>
          <w:szCs w:val="24"/>
          <w:lang w:eastAsia="zh-CN"/>
        </w:rPr>
        <w:t>处，</w:t>
      </w:r>
      <w:r w:rsidRPr="00E67914">
        <w:rPr>
          <w:rFonts w:ascii="Times New Roman" w:hAnsi="Times New Roman"/>
          <w:bCs/>
          <w:sz w:val="24"/>
          <w:szCs w:val="24"/>
          <w:lang w:eastAsia="zh-CN"/>
        </w:rPr>
        <w:lastRenderedPageBreak/>
        <w:t>属于普光主体工程，普光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井主要接收赵家坝污水站来水，约为</w:t>
      </w:r>
      <w:r w:rsidRPr="00E67914">
        <w:rPr>
          <w:rFonts w:ascii="Times New Roman" w:hAnsi="Times New Roman"/>
          <w:bCs/>
          <w:sz w:val="24"/>
          <w:szCs w:val="24"/>
          <w:lang w:eastAsia="zh-CN"/>
        </w:rPr>
        <w:t>350m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。该井站回注层位为飞仙关组（井段</w:t>
      </w:r>
      <w:r w:rsidRPr="00E67914">
        <w:rPr>
          <w:rFonts w:ascii="Times New Roman" w:hAnsi="Times New Roman"/>
          <w:bCs/>
          <w:sz w:val="24"/>
          <w:szCs w:val="24"/>
          <w:lang w:eastAsia="zh-CN"/>
        </w:rPr>
        <w:t>5552m</w:t>
      </w:r>
      <w:r w:rsidRPr="00E67914">
        <w:rPr>
          <w:rFonts w:ascii="Times New Roman" w:hAnsi="Times New Roman"/>
          <w:bCs/>
          <w:sz w:val="24"/>
          <w:szCs w:val="24"/>
          <w:lang w:eastAsia="zh-CN"/>
        </w:rPr>
        <w:t>～</w:t>
      </w:r>
      <w:r w:rsidRPr="00E67914">
        <w:rPr>
          <w:rFonts w:ascii="Times New Roman" w:hAnsi="Times New Roman"/>
          <w:bCs/>
          <w:sz w:val="24"/>
          <w:szCs w:val="24"/>
          <w:lang w:eastAsia="zh-CN"/>
        </w:rPr>
        <w:t>5716m</w:t>
      </w:r>
      <w:r w:rsidRPr="00E67914">
        <w:rPr>
          <w:rFonts w:ascii="Times New Roman" w:hAnsi="Times New Roman"/>
          <w:bCs/>
          <w:sz w:val="24"/>
          <w:szCs w:val="24"/>
          <w:lang w:eastAsia="zh-CN"/>
        </w:rPr>
        <w:t>），回注水量储集空间为</w:t>
      </w:r>
      <w:r w:rsidRPr="00E67914">
        <w:rPr>
          <w:rFonts w:ascii="Times New Roman" w:hAnsi="Times New Roman"/>
          <w:bCs/>
          <w:sz w:val="24"/>
          <w:szCs w:val="24"/>
          <w:lang w:eastAsia="zh-CN"/>
        </w:rPr>
        <w:t>132×10</w:t>
      </w:r>
      <w:r w:rsidRPr="00E67914">
        <w:rPr>
          <w:rFonts w:ascii="Times New Roman" w:hAnsi="Times New Roman"/>
          <w:bCs/>
          <w:sz w:val="24"/>
          <w:szCs w:val="24"/>
          <w:vertAlign w:val="superscript"/>
          <w:lang w:eastAsia="zh-CN"/>
        </w:rPr>
        <w:t>4</w:t>
      </w:r>
      <w:r w:rsidRPr="00E67914">
        <w:rPr>
          <w:rFonts w:ascii="Times New Roman" w:hAnsi="Times New Roman"/>
          <w:bCs/>
          <w:sz w:val="24"/>
          <w:szCs w:val="24"/>
          <w:lang w:eastAsia="zh-CN"/>
        </w:rPr>
        <w:t>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，井口高压管线设计压力为</w:t>
      </w:r>
      <w:r w:rsidRPr="00E67914">
        <w:rPr>
          <w:rFonts w:ascii="Times New Roman" w:hAnsi="Times New Roman"/>
          <w:bCs/>
          <w:sz w:val="24"/>
          <w:szCs w:val="24"/>
          <w:lang w:eastAsia="zh-CN"/>
        </w:rPr>
        <w:t>35MPa</w:t>
      </w:r>
      <w:r w:rsidRPr="00E67914">
        <w:rPr>
          <w:rFonts w:ascii="Times New Roman" w:hAnsi="Times New Roman"/>
          <w:bCs/>
          <w:sz w:val="24"/>
          <w:szCs w:val="24"/>
          <w:lang w:eastAsia="zh-CN"/>
        </w:rPr>
        <w:t>，目前回注压力</w:t>
      </w:r>
      <w:r w:rsidRPr="00E67914">
        <w:rPr>
          <w:rFonts w:ascii="Times New Roman" w:hAnsi="Times New Roman"/>
          <w:bCs/>
          <w:sz w:val="24"/>
          <w:szCs w:val="24"/>
          <w:lang w:eastAsia="zh-CN"/>
        </w:rPr>
        <w:t>4.5MPa</w:t>
      </w:r>
      <w:r w:rsidRPr="00E67914">
        <w:rPr>
          <w:rFonts w:ascii="Times New Roman" w:hAnsi="Times New Roman"/>
          <w:bCs/>
          <w:sz w:val="24"/>
          <w:szCs w:val="24"/>
          <w:lang w:eastAsia="zh-CN"/>
        </w:rPr>
        <w:t>，污水回注设计规模为</w:t>
      </w:r>
      <w:r w:rsidRPr="00E67914">
        <w:rPr>
          <w:rFonts w:ascii="Times New Roman" w:hAnsi="Times New Roman"/>
          <w:bCs/>
          <w:sz w:val="24"/>
          <w:szCs w:val="24"/>
          <w:lang w:eastAsia="zh-CN"/>
        </w:rPr>
        <w:t>800m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，目前回注量为</w:t>
      </w:r>
      <w:r w:rsidRPr="00E67914">
        <w:rPr>
          <w:rFonts w:ascii="Times New Roman" w:hAnsi="Times New Roman"/>
          <w:bCs/>
          <w:sz w:val="24"/>
          <w:szCs w:val="24"/>
          <w:lang w:eastAsia="zh-CN"/>
        </w:rPr>
        <w:t>350m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/d</w:t>
      </w:r>
      <w:r w:rsidRPr="00E67914">
        <w:rPr>
          <w:rFonts w:ascii="Times New Roman" w:hAnsi="Times New Roman"/>
          <w:bCs/>
          <w:sz w:val="24"/>
          <w:szCs w:val="24"/>
          <w:lang w:eastAsia="zh-CN"/>
        </w:rPr>
        <w:t>。累计注水</w:t>
      </w:r>
      <w:r w:rsidRPr="00E67914">
        <w:rPr>
          <w:rFonts w:ascii="Times New Roman" w:hAnsi="Times New Roman"/>
          <w:bCs/>
          <w:sz w:val="24"/>
          <w:szCs w:val="24"/>
          <w:lang w:eastAsia="zh-CN"/>
        </w:rPr>
        <w:t>65×10</w:t>
      </w:r>
      <w:r w:rsidRPr="00E67914">
        <w:rPr>
          <w:rFonts w:ascii="Times New Roman" w:hAnsi="Times New Roman"/>
          <w:bCs/>
          <w:sz w:val="24"/>
          <w:szCs w:val="24"/>
          <w:vertAlign w:val="superscript"/>
          <w:lang w:eastAsia="zh-CN"/>
        </w:rPr>
        <w:t>4</w:t>
      </w:r>
      <w:r w:rsidRPr="00E67914">
        <w:rPr>
          <w:rFonts w:ascii="Times New Roman" w:hAnsi="Times New Roman"/>
          <w:bCs/>
          <w:sz w:val="24"/>
          <w:szCs w:val="24"/>
          <w:lang w:eastAsia="zh-CN"/>
        </w:rPr>
        <w:t>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，剩余回注空间</w:t>
      </w:r>
      <w:r w:rsidRPr="00E67914">
        <w:rPr>
          <w:rFonts w:ascii="Times New Roman" w:hAnsi="Times New Roman"/>
          <w:bCs/>
          <w:sz w:val="24"/>
          <w:szCs w:val="24"/>
          <w:lang w:eastAsia="zh-CN"/>
        </w:rPr>
        <w:t>67×10</w:t>
      </w:r>
      <w:r w:rsidRPr="00E67914">
        <w:rPr>
          <w:rFonts w:ascii="Times New Roman" w:hAnsi="Times New Roman"/>
          <w:bCs/>
          <w:sz w:val="24"/>
          <w:szCs w:val="24"/>
          <w:vertAlign w:val="superscript"/>
          <w:lang w:eastAsia="zh-CN"/>
        </w:rPr>
        <w:t>4</w:t>
      </w:r>
      <w:r w:rsidRPr="00E67914">
        <w:rPr>
          <w:rFonts w:ascii="Times New Roman" w:hAnsi="Times New Roman"/>
          <w:bCs/>
          <w:sz w:val="24"/>
          <w:szCs w:val="24"/>
          <w:lang w:eastAsia="zh-CN"/>
        </w:rPr>
        <w:t>m</w:t>
      </w:r>
      <w:r w:rsidRPr="00E67914">
        <w:rPr>
          <w:rFonts w:ascii="Times New Roman" w:hAnsi="Times New Roman"/>
          <w:bCs/>
          <w:sz w:val="24"/>
          <w:szCs w:val="24"/>
          <w:vertAlign w:val="superscript"/>
          <w:lang w:eastAsia="zh-CN"/>
        </w:rPr>
        <w:t>3</w:t>
      </w:r>
      <w:r w:rsidRPr="00E67914">
        <w:rPr>
          <w:rFonts w:ascii="Times New Roman" w:hAnsi="Times New Roman"/>
          <w:bCs/>
          <w:sz w:val="24"/>
          <w:szCs w:val="24"/>
          <w:lang w:eastAsia="zh-CN"/>
        </w:rPr>
        <w:t>。因此本项目钻井期间普光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井有相应的回注能力及空间。因此，本项目未能回用完的作业废水和气田水可由赵家坝污水处理站通过</w:t>
      </w:r>
      <w:r w:rsidRPr="00E67914">
        <w:rPr>
          <w:rFonts w:ascii="Times New Roman" w:hAnsi="Times New Roman"/>
          <w:bCs/>
          <w:sz w:val="24"/>
          <w:szCs w:val="24"/>
          <w:lang w:eastAsia="zh-CN"/>
        </w:rPr>
        <w:t>“</w:t>
      </w:r>
      <w:r w:rsidRPr="00E67914">
        <w:rPr>
          <w:rFonts w:ascii="Times New Roman" w:hAnsi="Times New Roman"/>
          <w:bCs/>
          <w:sz w:val="24"/>
          <w:szCs w:val="24"/>
          <w:lang w:eastAsia="zh-CN"/>
        </w:rPr>
        <w:t>氧化除硫</w:t>
      </w:r>
      <w:r w:rsidRPr="00E67914">
        <w:rPr>
          <w:rFonts w:ascii="Times New Roman" w:hAnsi="Times New Roman"/>
          <w:bCs/>
          <w:sz w:val="24"/>
          <w:szCs w:val="24"/>
          <w:lang w:eastAsia="zh-CN"/>
        </w:rPr>
        <w:t>+</w:t>
      </w:r>
      <w:r w:rsidRPr="00E67914">
        <w:rPr>
          <w:rFonts w:ascii="Times New Roman" w:hAnsi="Times New Roman"/>
          <w:bCs/>
          <w:sz w:val="24"/>
          <w:szCs w:val="24"/>
          <w:lang w:eastAsia="zh-CN"/>
        </w:rPr>
        <w:t>混凝沉降</w:t>
      </w:r>
      <w:r w:rsidRPr="00E67914">
        <w:rPr>
          <w:rFonts w:ascii="Times New Roman" w:hAnsi="Times New Roman"/>
          <w:bCs/>
          <w:sz w:val="24"/>
          <w:szCs w:val="24"/>
          <w:lang w:eastAsia="zh-CN"/>
        </w:rPr>
        <w:t>+</w:t>
      </w:r>
      <w:r w:rsidRPr="00E67914">
        <w:rPr>
          <w:rFonts w:ascii="Times New Roman" w:hAnsi="Times New Roman"/>
          <w:bCs/>
          <w:sz w:val="24"/>
          <w:szCs w:val="24"/>
          <w:lang w:eastAsia="zh-CN"/>
        </w:rPr>
        <w:t>过滤</w:t>
      </w:r>
      <w:r w:rsidRPr="00E67914">
        <w:rPr>
          <w:rFonts w:ascii="Times New Roman" w:hAnsi="Times New Roman"/>
          <w:bCs/>
          <w:sz w:val="24"/>
          <w:szCs w:val="24"/>
          <w:lang w:eastAsia="zh-CN"/>
        </w:rPr>
        <w:t>”</w:t>
      </w:r>
      <w:r w:rsidRPr="00E67914">
        <w:rPr>
          <w:rFonts w:ascii="Times New Roman" w:hAnsi="Times New Roman"/>
          <w:bCs/>
          <w:sz w:val="24"/>
          <w:szCs w:val="24"/>
          <w:lang w:eastAsia="zh-CN"/>
        </w:rPr>
        <w:t>工艺处理本项目废水，处理后能够满足《气田水回注方法》（</w:t>
      </w:r>
      <w:r w:rsidRPr="00E67914">
        <w:rPr>
          <w:rFonts w:ascii="Times New Roman" w:hAnsi="Times New Roman"/>
          <w:bCs/>
          <w:sz w:val="24"/>
          <w:szCs w:val="24"/>
          <w:lang w:eastAsia="zh-CN"/>
        </w:rPr>
        <w:t>SY/T6596-2004</w:t>
      </w:r>
      <w:r w:rsidRPr="00E67914">
        <w:rPr>
          <w:rFonts w:ascii="Times New Roman" w:hAnsi="Times New Roman"/>
          <w:bCs/>
          <w:sz w:val="24"/>
          <w:szCs w:val="24"/>
          <w:lang w:eastAsia="zh-CN"/>
        </w:rPr>
        <w:t>）表</w:t>
      </w:r>
      <w:r w:rsidRPr="00E67914">
        <w:rPr>
          <w:rFonts w:ascii="Times New Roman" w:hAnsi="Times New Roman"/>
          <w:bCs/>
          <w:sz w:val="24"/>
          <w:szCs w:val="24"/>
          <w:lang w:eastAsia="zh-CN"/>
        </w:rPr>
        <w:t>1</w:t>
      </w:r>
      <w:r w:rsidRPr="00E67914">
        <w:rPr>
          <w:rFonts w:ascii="Times New Roman" w:hAnsi="Times New Roman"/>
          <w:bCs/>
          <w:sz w:val="24"/>
          <w:szCs w:val="24"/>
          <w:lang w:eastAsia="zh-CN"/>
        </w:rPr>
        <w:t>中标准，并且有足够处理能力，处理后能够通过普光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井回注地层，同时普光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井已稳定运行</w:t>
      </w:r>
      <w:r w:rsidRPr="00E67914">
        <w:rPr>
          <w:rFonts w:ascii="Times New Roman" w:hAnsi="Times New Roman"/>
          <w:bCs/>
          <w:sz w:val="24"/>
          <w:szCs w:val="24"/>
          <w:lang w:eastAsia="zh-CN"/>
        </w:rPr>
        <w:t>10</w:t>
      </w:r>
      <w:r w:rsidRPr="00E67914">
        <w:rPr>
          <w:rFonts w:ascii="Times New Roman" w:hAnsi="Times New Roman"/>
          <w:bCs/>
          <w:sz w:val="24"/>
          <w:szCs w:val="24"/>
          <w:lang w:eastAsia="zh-CN"/>
        </w:rPr>
        <w:t>年，地下空间结构稳定，运行期间未检测到地下空间发生结构变化，剩余日回注量远大于本项目日气田水产生量，剩余储集空间较大，满足回注要求。</w:t>
      </w:r>
    </w:p>
    <w:p w14:paraId="2A7F6FDC" w14:textId="50E1B80D" w:rsidR="00A54A8A" w:rsidRPr="00E67914" w:rsidRDefault="00193429">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普陆页</w:t>
      </w:r>
      <w:r w:rsidRPr="00E67914">
        <w:rPr>
          <w:rFonts w:ascii="Times New Roman" w:hAnsi="Times New Roman"/>
          <w:bCs/>
          <w:sz w:val="24"/>
          <w:szCs w:val="24"/>
          <w:lang w:eastAsia="zh-CN"/>
        </w:rPr>
        <w:t>2</w:t>
      </w:r>
      <w:r w:rsidRPr="00E67914">
        <w:rPr>
          <w:rFonts w:ascii="Times New Roman" w:hAnsi="Times New Roman"/>
          <w:bCs/>
          <w:sz w:val="24"/>
          <w:szCs w:val="24"/>
          <w:lang w:eastAsia="zh-CN"/>
        </w:rPr>
        <w:t>试采站内普陆</w:t>
      </w:r>
      <w:r w:rsidRPr="00E67914">
        <w:rPr>
          <w:rFonts w:ascii="Times New Roman" w:hAnsi="Times New Roman"/>
          <w:bCs/>
          <w:sz w:val="24"/>
          <w:szCs w:val="24"/>
          <w:lang w:eastAsia="zh-CN"/>
        </w:rPr>
        <w:t>1-6H</w:t>
      </w:r>
      <w:r w:rsidRPr="00E67914">
        <w:rPr>
          <w:rFonts w:ascii="Times New Roman" w:hAnsi="Times New Roman"/>
          <w:bCs/>
          <w:sz w:val="24"/>
          <w:szCs w:val="24"/>
          <w:lang w:eastAsia="zh-CN"/>
        </w:rPr>
        <w:t>井建成后所采天然气脱水分离产生的气田水暂存于</w:t>
      </w:r>
      <w:r w:rsidR="00A9536E" w:rsidRPr="00E67914">
        <w:rPr>
          <w:rFonts w:ascii="Times New Roman" w:hAnsi="Times New Roman"/>
          <w:bCs/>
          <w:sz w:val="24"/>
          <w:szCs w:val="24"/>
          <w:lang w:eastAsia="zh-CN"/>
        </w:rPr>
        <w:t>放空分液罐、采出水罐</w:t>
      </w:r>
      <w:r w:rsidRPr="00E67914">
        <w:rPr>
          <w:rFonts w:ascii="Times New Roman" w:hAnsi="Times New Roman"/>
          <w:bCs/>
          <w:sz w:val="24"/>
          <w:szCs w:val="24"/>
          <w:lang w:eastAsia="zh-CN"/>
        </w:rPr>
        <w:t>中，然后通过密闭罐车拉运至赵家坝污水处理站达到《气田水回注方法》（</w:t>
      </w:r>
      <w:r w:rsidRPr="00E67914">
        <w:rPr>
          <w:rFonts w:ascii="Times New Roman" w:hAnsi="Times New Roman"/>
          <w:bCs/>
          <w:sz w:val="24"/>
          <w:szCs w:val="24"/>
          <w:lang w:eastAsia="zh-CN"/>
        </w:rPr>
        <w:t>SY/T 6596-2016</w:t>
      </w:r>
      <w:r w:rsidRPr="00E67914">
        <w:rPr>
          <w:rFonts w:ascii="Times New Roman" w:hAnsi="Times New Roman"/>
          <w:bCs/>
          <w:sz w:val="24"/>
          <w:szCs w:val="24"/>
          <w:lang w:eastAsia="zh-CN"/>
        </w:rPr>
        <w:t>）中注入水基本要求后管输至普光</w:t>
      </w:r>
      <w:r w:rsidRPr="00E67914">
        <w:rPr>
          <w:rFonts w:ascii="Times New Roman" w:hAnsi="Times New Roman"/>
          <w:bCs/>
          <w:sz w:val="24"/>
          <w:szCs w:val="24"/>
          <w:lang w:eastAsia="zh-CN"/>
        </w:rPr>
        <w:t>11</w:t>
      </w:r>
      <w:r w:rsidRPr="00E67914">
        <w:rPr>
          <w:rFonts w:ascii="Times New Roman" w:hAnsi="Times New Roman"/>
          <w:bCs/>
          <w:sz w:val="24"/>
          <w:szCs w:val="24"/>
          <w:lang w:eastAsia="zh-CN"/>
        </w:rPr>
        <w:t>井回注站回注处理，不外排，能得到妥善处置，因此本气田水处置模式有效可行。</w:t>
      </w:r>
    </w:p>
    <w:p w14:paraId="75F30E6E"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6</w:t>
      </w:r>
      <w:r w:rsidRPr="00E67914">
        <w:rPr>
          <w:rFonts w:ascii="Times New Roman" w:eastAsia="黑体" w:hAnsi="Times New Roman"/>
          <w:sz w:val="24"/>
          <w:szCs w:val="24"/>
          <w:lang w:eastAsia="zh-CN"/>
        </w:rPr>
        <w:t>、施工期生活污水处置的可行性分析</w:t>
      </w:r>
    </w:p>
    <w:p w14:paraId="087D850E"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sz w:val="24"/>
          <w:szCs w:val="24"/>
          <w:lang w:eastAsia="zh-CN"/>
        </w:rPr>
        <w:t>项目位于宣汉县农村地区，项目钻前工程</w:t>
      </w:r>
      <w:r w:rsidRPr="00E67914">
        <w:rPr>
          <w:rFonts w:ascii="Times New Roman" w:hAnsi="Times New Roman"/>
          <w:bCs/>
          <w:sz w:val="24"/>
          <w:szCs w:val="24"/>
          <w:lang w:eastAsia="zh-CN"/>
        </w:rPr>
        <w:t>施工人员为当地居民，其生活污水由自家厕所收集后农用，不会增加当地厕所及林地等的处理负荷。钻井期井队人员生活污水</w:t>
      </w:r>
      <w:r w:rsidRPr="00E67914">
        <w:rPr>
          <w:rFonts w:ascii="Times New Roman" w:hAnsi="Times New Roman"/>
          <w:sz w:val="24"/>
          <w:lang w:eastAsia="zh-CN"/>
        </w:rPr>
        <w:t>经生态厕所收集后定期由密闭罐车拉运至周边生活污水处理厂处理</w:t>
      </w:r>
      <w:r w:rsidRPr="00E67914">
        <w:rPr>
          <w:rFonts w:ascii="Times New Roman" w:hAnsi="Times New Roman"/>
          <w:bCs/>
          <w:sz w:val="24"/>
          <w:szCs w:val="24"/>
          <w:lang w:eastAsia="zh-CN"/>
        </w:rPr>
        <w:t>，本项目所在地周边有较多的生活污水处理厂，本项目生活污水产生量较小，且主要施工人员均为该区域已有工作人员，所产生的少量生活污水用密闭罐车拉运至周边有富余处理能力的生活污水处理厂处理有效可行。</w:t>
      </w:r>
    </w:p>
    <w:p w14:paraId="52661D90"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综上所述，本项目施工期各类废水处置措施在川东北地区钻采工程中已实施多年，具有较好的借鉴经验。项目附近的中石化川东北地区钻采工程采用相同污水处理措施，到目前为止，中原油田普光分公司未收到钻井废水、洗井废水、压裂返排液等乱排乱放的环保投诉。因此，本项目施工期废水治理措施从经济和环保角度分析是合理、可行的。</w:t>
      </w:r>
    </w:p>
    <w:p w14:paraId="3288EEFC"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7.1.4</w:t>
      </w:r>
      <w:r w:rsidRPr="00E67914">
        <w:rPr>
          <w:rFonts w:ascii="Times New Roman" w:eastAsia="黑体" w:hAnsi="Times New Roman"/>
          <w:b w:val="0"/>
          <w:sz w:val="24"/>
          <w:szCs w:val="24"/>
          <w:lang w:eastAsia="zh-CN"/>
        </w:rPr>
        <w:t>地下水防治措施及可行性分析</w:t>
      </w:r>
    </w:p>
    <w:p w14:paraId="4A4512F0"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bookmarkStart w:id="217" w:name="_Toc14702842"/>
      <w:bookmarkStart w:id="218" w:name="_Toc1224"/>
      <w:r w:rsidRPr="00E67914">
        <w:rPr>
          <w:rFonts w:ascii="Times New Roman" w:eastAsia="黑体" w:hAnsi="Times New Roman"/>
          <w:sz w:val="24"/>
          <w:szCs w:val="24"/>
          <w:lang w:eastAsia="zh-CN"/>
        </w:rPr>
        <w:t>1</w:t>
      </w:r>
      <w:r w:rsidRPr="00E67914">
        <w:rPr>
          <w:rFonts w:ascii="Times New Roman" w:eastAsia="黑体" w:hAnsi="Times New Roman"/>
          <w:sz w:val="24"/>
          <w:szCs w:val="24"/>
          <w:lang w:eastAsia="zh-CN"/>
        </w:rPr>
        <w:t>、钻井工艺选择</w:t>
      </w:r>
      <w:bookmarkEnd w:id="217"/>
      <w:bookmarkEnd w:id="218"/>
    </w:p>
    <w:p w14:paraId="56F44F69"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lastRenderedPageBreak/>
        <w:t>项目钻井选用全井段套管保护</w:t>
      </w:r>
      <w:r w:rsidRPr="00E67914">
        <w:rPr>
          <w:rFonts w:ascii="Times New Roman" w:hAnsi="Times New Roman"/>
          <w:sz w:val="24"/>
          <w:szCs w:val="24"/>
          <w:lang w:eastAsia="zh-CN"/>
        </w:rPr>
        <w:t>+</w:t>
      </w:r>
      <w:r w:rsidRPr="00E67914">
        <w:rPr>
          <w:rFonts w:ascii="Times New Roman" w:hAnsi="Times New Roman"/>
          <w:sz w:val="24"/>
          <w:szCs w:val="24"/>
          <w:lang w:eastAsia="zh-CN"/>
        </w:rPr>
        <w:t>水泥固井工艺。导管段选用清水钻进，一开、二开段钻井时选用较清洁的水基泥浆，同时采用套管和水泥固井防止地下水污染，并在设计中做好及时堵漏准备，水基钻井液难以返回地面污染浅层含水层，能有效防止泥浆流失进入地下水。上述工艺广泛应用于川渝地区气田开发，能有效保护井下地质环境，能进一步减少对浅层地下水环境的影响。</w:t>
      </w:r>
    </w:p>
    <w:p w14:paraId="75976142"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bookmarkStart w:id="219" w:name="_Toc14702843"/>
      <w:bookmarkStart w:id="220" w:name="_Toc3215"/>
      <w:r w:rsidRPr="00E67914">
        <w:rPr>
          <w:rFonts w:ascii="Times New Roman" w:eastAsia="黑体" w:hAnsi="Times New Roman"/>
          <w:sz w:val="24"/>
          <w:szCs w:val="24"/>
          <w:lang w:eastAsia="zh-CN"/>
        </w:rPr>
        <w:t>2</w:t>
      </w:r>
      <w:r w:rsidRPr="00E67914">
        <w:rPr>
          <w:rFonts w:ascii="Times New Roman" w:eastAsia="黑体" w:hAnsi="Times New Roman"/>
          <w:sz w:val="24"/>
          <w:szCs w:val="24"/>
          <w:lang w:eastAsia="zh-CN"/>
        </w:rPr>
        <w:t>、钻井过程其他防护措施</w:t>
      </w:r>
      <w:bookmarkEnd w:id="219"/>
      <w:bookmarkEnd w:id="220"/>
    </w:p>
    <w:p w14:paraId="4B7B1351"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项目在施工建设前，应充分研究地质设计资料和钻井设计资料等，进行充分的地下水水文地质勘察工作，在了解项目所在地地下水分布、埋藏深度及岩溶发育等基本情况并在此基础上优化钻井施工工艺、泥浆体系等。在钻井、压裂过程中应加强监控，防止泥浆、压裂液的扩散污染等。</w:t>
      </w:r>
    </w:p>
    <w:p w14:paraId="4BA0EB75"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每开钻井结束后的固井作业可有效封隔底层和套管之间的环空，防止污染地下水。固井作业应提高固井质量，有效防止因为井漏事故造成的地下水环境污染。每开钻井结束后下套管并在套管及地层间注入水泥浆进行固井，待固井质量达标后，再进行下一开钻井作业。</w:t>
      </w:r>
    </w:p>
    <w:p w14:paraId="7775C9F5"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3</w:t>
      </w:r>
      <w:r w:rsidRPr="00E67914">
        <w:rPr>
          <w:rFonts w:ascii="Times New Roman" w:hAnsi="Times New Roman"/>
          <w:sz w:val="24"/>
          <w:szCs w:val="24"/>
          <w:lang w:eastAsia="zh-CN"/>
        </w:rPr>
        <w:t>）加强钻井的完整性管理，确保固井质量。本项目完井作业采用酸化压裂作业的方式进行，在压裂作业前对固井质量等进行有效评估，并在压裂过程数值模拟期间要评估压裂液运移到含水层特别是水井的可能性。</w:t>
      </w:r>
    </w:p>
    <w:p w14:paraId="7CD1AFC4"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4</w:t>
      </w:r>
      <w:r w:rsidRPr="00E67914">
        <w:rPr>
          <w:rFonts w:ascii="Times New Roman" w:hAnsi="Times New Roman"/>
          <w:sz w:val="24"/>
          <w:szCs w:val="24"/>
          <w:lang w:eastAsia="zh-CN"/>
        </w:rPr>
        <w:t>）项目井场建设时设置了雨污分流系统，实现了钻井废水和雨水的有效分流，可有效降低因暴雨等自然灾害而导致废水外溢污染浅层地下水风险。</w:t>
      </w:r>
    </w:p>
    <w:p w14:paraId="1350E479"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5</w:t>
      </w:r>
      <w:r w:rsidRPr="00E67914">
        <w:rPr>
          <w:rFonts w:ascii="Times New Roman" w:hAnsi="Times New Roman"/>
          <w:sz w:val="24"/>
          <w:szCs w:val="24"/>
          <w:lang w:eastAsia="zh-CN"/>
        </w:rPr>
        <w:t>）项目实施过程中，应定期检查各防渗基础是否出现裂缝、防渗膜是否完好，并及时对出现破损的部位进行修复。</w:t>
      </w:r>
    </w:p>
    <w:p w14:paraId="2159A996"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6</w:t>
      </w:r>
      <w:r w:rsidRPr="00E67914">
        <w:rPr>
          <w:rFonts w:ascii="Times New Roman" w:hAnsi="Times New Roman"/>
          <w:sz w:val="24"/>
          <w:szCs w:val="24"/>
          <w:lang w:eastAsia="zh-CN"/>
        </w:rPr>
        <w:t>）平衡操作，避免因压力剂动和开泵过猛使泥浆憋入地层。</w:t>
      </w:r>
    </w:p>
    <w:p w14:paraId="07CB98BE"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7</w:t>
      </w:r>
      <w:r w:rsidRPr="00E67914">
        <w:rPr>
          <w:rFonts w:ascii="Times New Roman" w:hAnsi="Times New Roman"/>
          <w:sz w:val="24"/>
          <w:szCs w:val="24"/>
          <w:lang w:eastAsia="zh-CN"/>
        </w:rPr>
        <w:t>）钻井过程中密切注意钻井液的漏失情况，一旦出现漏失，立即采取堵漏措施，减少漏失量，防止钻井液的漏失污染地下水。堵漏剂的选取应考虑清洁、无毒、对人体无害，环境污染轻的种类，建议采用水泥堵漏。</w:t>
      </w:r>
    </w:p>
    <w:p w14:paraId="28AF5BC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8</w:t>
      </w:r>
      <w:r w:rsidRPr="00E67914">
        <w:rPr>
          <w:rFonts w:ascii="Times New Roman" w:hAnsi="Times New Roman"/>
          <w:sz w:val="24"/>
          <w:szCs w:val="24"/>
          <w:lang w:eastAsia="zh-CN"/>
        </w:rPr>
        <w:t>）采用符合《废矿物油回收利用污染控制技术规范》（</w:t>
      </w:r>
      <w:r w:rsidRPr="00E67914">
        <w:rPr>
          <w:rFonts w:ascii="Times New Roman" w:hAnsi="Times New Roman"/>
          <w:sz w:val="24"/>
          <w:szCs w:val="24"/>
          <w:lang w:eastAsia="zh-CN"/>
        </w:rPr>
        <w:t>HJ607-2011</w:t>
      </w:r>
      <w:r w:rsidRPr="00E67914">
        <w:rPr>
          <w:rFonts w:ascii="Times New Roman" w:hAnsi="Times New Roman"/>
          <w:sz w:val="24"/>
          <w:szCs w:val="24"/>
          <w:lang w:eastAsia="zh-CN"/>
        </w:rPr>
        <w:t>）和《危险废物收集贮存运输技术规范》（</w:t>
      </w:r>
      <w:r w:rsidRPr="00E67914">
        <w:rPr>
          <w:rFonts w:ascii="Times New Roman" w:hAnsi="Times New Roman"/>
          <w:sz w:val="24"/>
          <w:szCs w:val="24"/>
          <w:lang w:eastAsia="zh-CN"/>
        </w:rPr>
        <w:t>HJ2025-2012</w:t>
      </w:r>
      <w:r w:rsidRPr="00E67914">
        <w:rPr>
          <w:rFonts w:ascii="Times New Roman" w:hAnsi="Times New Roman"/>
          <w:sz w:val="24"/>
          <w:szCs w:val="24"/>
          <w:lang w:eastAsia="zh-CN"/>
        </w:rPr>
        <w:t>）的废油桶，并置于泥浆不落地装置区，做好</w:t>
      </w:r>
      <w:r w:rsidRPr="00E67914">
        <w:rPr>
          <w:rFonts w:ascii="Times New Roman" w:hAnsi="Times New Roman"/>
          <w:sz w:val="24"/>
          <w:szCs w:val="24"/>
          <w:lang w:eastAsia="zh-CN"/>
        </w:rPr>
        <w:t>“</w:t>
      </w:r>
      <w:r w:rsidRPr="00E67914">
        <w:rPr>
          <w:rFonts w:ascii="Times New Roman" w:hAnsi="Times New Roman"/>
          <w:sz w:val="24"/>
          <w:szCs w:val="24"/>
          <w:lang w:eastAsia="zh-CN"/>
        </w:rPr>
        <w:t>防风、防雨、防晒、防渗漏</w:t>
      </w:r>
      <w:r w:rsidRPr="00E67914">
        <w:rPr>
          <w:rFonts w:ascii="Times New Roman" w:hAnsi="Times New Roman"/>
          <w:sz w:val="24"/>
          <w:szCs w:val="24"/>
          <w:lang w:eastAsia="zh-CN"/>
        </w:rPr>
        <w:t>”</w:t>
      </w:r>
      <w:r w:rsidRPr="00E67914">
        <w:rPr>
          <w:rFonts w:ascii="Times New Roman" w:hAnsi="Times New Roman"/>
          <w:sz w:val="24"/>
          <w:szCs w:val="24"/>
          <w:lang w:eastAsia="zh-CN"/>
        </w:rPr>
        <w:t>的四防措施。</w:t>
      </w:r>
    </w:p>
    <w:p w14:paraId="6A61E32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lastRenderedPageBreak/>
        <w:t>（</w:t>
      </w:r>
      <w:r w:rsidRPr="00E67914">
        <w:rPr>
          <w:rFonts w:ascii="Times New Roman" w:hAnsi="Times New Roman"/>
          <w:sz w:val="24"/>
          <w:szCs w:val="24"/>
          <w:lang w:eastAsia="zh-CN"/>
        </w:rPr>
        <w:t>9</w:t>
      </w:r>
      <w:r w:rsidRPr="00E67914">
        <w:rPr>
          <w:rFonts w:ascii="Times New Roman" w:hAnsi="Times New Roman"/>
          <w:sz w:val="24"/>
          <w:szCs w:val="24"/>
          <w:lang w:eastAsia="zh-CN"/>
        </w:rPr>
        <w:t>）钻井过程中及时对钻井废水、压裂返排液、泥浆岩屑等进行及时转运处理，尽量缩短在现场放置时间。建议泥浆循环系统、固控系统、放喷池等均设置临时雨棚，采取各种措施防止废水外溢。</w:t>
      </w:r>
    </w:p>
    <w:p w14:paraId="4854FA0F"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bookmarkStart w:id="221" w:name="_Toc14702844"/>
      <w:r w:rsidRPr="00E67914">
        <w:rPr>
          <w:rFonts w:ascii="Times New Roman" w:eastAsia="黑体" w:hAnsi="Times New Roman"/>
          <w:sz w:val="24"/>
          <w:szCs w:val="24"/>
          <w:lang w:eastAsia="zh-CN"/>
        </w:rPr>
        <w:t>3</w:t>
      </w:r>
      <w:r w:rsidRPr="00E67914">
        <w:rPr>
          <w:rFonts w:ascii="Times New Roman" w:eastAsia="黑体" w:hAnsi="Times New Roman"/>
          <w:sz w:val="24"/>
          <w:szCs w:val="24"/>
          <w:lang w:eastAsia="zh-CN"/>
        </w:rPr>
        <w:t>、清污分流</w:t>
      </w:r>
      <w:bookmarkEnd w:id="221"/>
    </w:p>
    <w:p w14:paraId="7F09DA93"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本项目在井场施工中使用清污分流设计，其具体做法是井场设置内外环沟，将其生产装置运行中产生的废水进行集中收集、排放在泥浆不落地装置区和放喷池中，井场内设置内环沟，配建集污坑，</w:t>
      </w:r>
      <w:r w:rsidRPr="00E67914">
        <w:rPr>
          <w:rFonts w:ascii="Times New Roman" w:hAnsi="Times New Roman"/>
          <w:bCs/>
          <w:sz w:val="24"/>
          <w:szCs w:val="24"/>
          <w:lang w:eastAsia="zh-CN"/>
        </w:rPr>
        <w:t>井场外设置外环沟，并设置集水坑，初期雨水经内环沟收集后与钻井废水合并处理，后期雨水依靠井站设置的地面坡度和内外环沟的阀门控制，就地散排至外环沟，排出场外。若场内雨水被污染流入外环沟，则需封闭外环沟由作业队伍从集水坑抽汲至泥浆不落地装置、放喷池，</w:t>
      </w:r>
      <w:r w:rsidRPr="00E67914">
        <w:rPr>
          <w:rFonts w:ascii="Times New Roman" w:hAnsi="Times New Roman"/>
          <w:sz w:val="24"/>
          <w:szCs w:val="24"/>
          <w:lang w:eastAsia="zh-CN"/>
        </w:rPr>
        <w:t>可以有效降低因暴雨等自然灾害而导致废水外溢的危险；另一方面，针对高危的柴油储油罐、泥浆循环系统、泥浆不落地装置区等，在罐体下方修建收集区，设置围堰，收集区该做好防渗处理，以防止意外情况下，柴油、泥浆等泄漏造成地下水、土壤污染。</w:t>
      </w:r>
    </w:p>
    <w:p w14:paraId="38134465"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szCs w:val="24"/>
          <w:lang w:eastAsia="zh-CN"/>
        </w:rPr>
      </w:pPr>
      <w:bookmarkStart w:id="222" w:name="_Toc14702845"/>
      <w:bookmarkStart w:id="223" w:name="_Toc24527"/>
      <w:r w:rsidRPr="00E67914">
        <w:rPr>
          <w:rFonts w:ascii="Times New Roman" w:eastAsia="黑体" w:hAnsi="Times New Roman"/>
          <w:sz w:val="24"/>
          <w:szCs w:val="24"/>
          <w:lang w:eastAsia="zh-CN"/>
        </w:rPr>
        <w:t>4</w:t>
      </w:r>
      <w:r w:rsidRPr="00E67914">
        <w:rPr>
          <w:rFonts w:ascii="Times New Roman" w:eastAsia="黑体" w:hAnsi="Times New Roman"/>
          <w:sz w:val="24"/>
          <w:szCs w:val="24"/>
          <w:lang w:eastAsia="zh-CN"/>
        </w:rPr>
        <w:t>、分区防渗措施</w:t>
      </w:r>
      <w:bookmarkEnd w:id="222"/>
      <w:bookmarkEnd w:id="223"/>
    </w:p>
    <w:p w14:paraId="5633AE6E" w14:textId="10DD7796"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根据《环境影响评价技术导则</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地下水环境》（</w:t>
      </w:r>
      <w:r w:rsidRPr="00E67914">
        <w:rPr>
          <w:rFonts w:ascii="Times New Roman" w:hAnsi="Times New Roman"/>
          <w:sz w:val="24"/>
          <w:szCs w:val="24"/>
          <w:lang w:eastAsia="zh-CN"/>
        </w:rPr>
        <w:t>HJ610-2016</w:t>
      </w:r>
      <w:r w:rsidRPr="00E67914">
        <w:rPr>
          <w:rFonts w:ascii="Times New Roman" w:hAnsi="Times New Roman"/>
          <w:sz w:val="24"/>
          <w:szCs w:val="24"/>
          <w:lang w:eastAsia="zh-CN"/>
        </w:rPr>
        <w:t>）的建议，本工程充分参考《石油化工工程防渗技术规范》（</w:t>
      </w:r>
      <w:r w:rsidRPr="00E67914">
        <w:rPr>
          <w:rFonts w:ascii="Times New Roman" w:hAnsi="Times New Roman"/>
          <w:sz w:val="24"/>
          <w:szCs w:val="24"/>
          <w:lang w:eastAsia="zh-CN"/>
        </w:rPr>
        <w:t>GB/T50934-2013</w:t>
      </w:r>
      <w:r w:rsidRPr="00E67914">
        <w:rPr>
          <w:rFonts w:ascii="Times New Roman" w:hAnsi="Times New Roman"/>
          <w:sz w:val="24"/>
          <w:szCs w:val="24"/>
          <w:lang w:eastAsia="zh-CN"/>
        </w:rPr>
        <w:t>）中的相关要求，实施地下水污染防渗措施。本项目以水平防渗为主，项目所在地岩（土）层单层厚度</w:t>
      </w:r>
      <w:r w:rsidRPr="00E67914">
        <w:rPr>
          <w:rFonts w:ascii="Times New Roman" w:hAnsi="Times New Roman"/>
          <w:sz w:val="24"/>
          <w:szCs w:val="24"/>
          <w:lang w:eastAsia="zh-CN"/>
        </w:rPr>
        <w:t>Mb</w:t>
      </w:r>
      <w:r w:rsidRPr="00E67914">
        <w:rPr>
          <w:rFonts w:ascii="Times New Roman" w:hAnsi="Times New Roman"/>
          <w:sz w:val="24"/>
          <w:szCs w:val="24"/>
          <w:lang w:eastAsia="zh-CN"/>
        </w:rPr>
        <w:t>大于</w:t>
      </w:r>
      <w:r w:rsidRPr="00E67914">
        <w:rPr>
          <w:rFonts w:ascii="Times New Roman" w:hAnsi="Times New Roman"/>
          <w:sz w:val="24"/>
          <w:szCs w:val="24"/>
          <w:lang w:eastAsia="zh-CN"/>
        </w:rPr>
        <w:t>1.0m</w:t>
      </w:r>
      <w:r w:rsidRPr="00E67914">
        <w:rPr>
          <w:rFonts w:ascii="Times New Roman" w:hAnsi="Times New Roman"/>
          <w:sz w:val="24"/>
          <w:szCs w:val="24"/>
          <w:lang w:eastAsia="zh-CN"/>
        </w:rPr>
        <w:t>，渗透系数</w:t>
      </w:r>
      <w:r w:rsidRPr="00E67914">
        <w:rPr>
          <w:rFonts w:ascii="Times New Roman" w:hAnsi="Times New Roman"/>
          <w:sz w:val="24"/>
          <w:szCs w:val="24"/>
          <w:lang w:eastAsia="zh-CN"/>
        </w:rPr>
        <w:t>1×10</w:t>
      </w:r>
      <w:r w:rsidRPr="00E67914">
        <w:rPr>
          <w:rFonts w:ascii="Times New Roman" w:hAnsi="Times New Roman"/>
          <w:sz w:val="24"/>
          <w:szCs w:val="24"/>
          <w:vertAlign w:val="superscript"/>
          <w:lang w:eastAsia="zh-CN"/>
        </w:rPr>
        <w:t>-6</w:t>
      </w:r>
      <w:r w:rsidRPr="00E67914">
        <w:rPr>
          <w:rFonts w:ascii="Times New Roman" w:hAnsi="Times New Roman"/>
          <w:sz w:val="24"/>
          <w:szCs w:val="24"/>
          <w:lang w:eastAsia="zh-CN"/>
        </w:rPr>
        <w:t xml:space="preserve">cm/s </w:t>
      </w:r>
      <w:r w:rsidRPr="00E67914">
        <w:rPr>
          <w:rFonts w:ascii="Times New Roman" w:hAnsi="Times New Roman"/>
          <w:sz w:val="24"/>
          <w:szCs w:val="24"/>
          <w:lang w:eastAsia="zh-CN"/>
        </w:rPr>
        <w:t>＜</w:t>
      </w:r>
      <w:r w:rsidRPr="00E67914">
        <w:rPr>
          <w:rFonts w:ascii="Times New Roman" w:hAnsi="Times New Roman"/>
          <w:sz w:val="24"/>
          <w:szCs w:val="24"/>
          <w:lang w:eastAsia="zh-CN"/>
        </w:rPr>
        <w:t>K≤1×10</w:t>
      </w:r>
      <w:r w:rsidRPr="00E67914">
        <w:rPr>
          <w:rFonts w:ascii="Times New Roman" w:hAnsi="Times New Roman"/>
          <w:sz w:val="24"/>
          <w:szCs w:val="24"/>
          <w:vertAlign w:val="superscript"/>
          <w:lang w:eastAsia="zh-CN"/>
        </w:rPr>
        <w:t>-4</w:t>
      </w:r>
      <w:r w:rsidRPr="00E67914">
        <w:rPr>
          <w:rFonts w:ascii="Times New Roman" w:hAnsi="Times New Roman"/>
          <w:sz w:val="24"/>
          <w:szCs w:val="24"/>
          <w:lang w:eastAsia="zh-CN"/>
        </w:rPr>
        <w:t>cm/s</w:t>
      </w:r>
      <w:r w:rsidRPr="00E67914">
        <w:rPr>
          <w:rFonts w:ascii="Times New Roman" w:hAnsi="Times New Roman"/>
          <w:sz w:val="24"/>
          <w:szCs w:val="24"/>
          <w:lang w:eastAsia="zh-CN"/>
        </w:rPr>
        <w:t>，且分布连续、稳定，故天然包气带防污性能为中，项目可能泄露的废水中含有部分钻井液中使用的增粘剂等持久性有机污染物。场地内场地内方井、泥浆循环系统区域、泥浆不落地系统区域（含油桶堆放区）、泥浆储备罐区、循环罐区、柴油罐区、放喷池、</w:t>
      </w:r>
      <w:r w:rsidR="00A83051" w:rsidRPr="00E67914">
        <w:rPr>
          <w:rFonts w:ascii="Times New Roman" w:hAnsi="Times New Roman"/>
          <w:sz w:val="24"/>
          <w:szCs w:val="24"/>
          <w:lang w:eastAsia="zh-CN"/>
        </w:rPr>
        <w:t>油基岩屑暂存区</w:t>
      </w:r>
      <w:r w:rsidRPr="00E67914">
        <w:rPr>
          <w:rFonts w:ascii="Times New Roman" w:hAnsi="Times New Roman"/>
          <w:sz w:val="24"/>
          <w:szCs w:val="24"/>
          <w:lang w:eastAsia="zh-CN"/>
        </w:rPr>
        <w:t>、埋地管道等采取重点防渗措施；井架基础、发电机房、钻井固废暂存区、</w:t>
      </w:r>
      <w:r w:rsidR="00A83051" w:rsidRPr="00E67914">
        <w:rPr>
          <w:rFonts w:ascii="Times New Roman" w:hAnsi="Times New Roman"/>
          <w:sz w:val="24"/>
          <w:szCs w:val="24"/>
          <w:lang w:eastAsia="zh-CN"/>
        </w:rPr>
        <w:t>清水池</w:t>
      </w:r>
      <w:r w:rsidRPr="00E67914">
        <w:rPr>
          <w:rFonts w:ascii="Times New Roman" w:hAnsi="Times New Roman"/>
          <w:sz w:val="24"/>
          <w:szCs w:val="24"/>
          <w:lang w:eastAsia="zh-CN"/>
        </w:rPr>
        <w:t>、气源房、材料棚、雨、污分流区域以及厕所等区域采取一般防渗措施；其他区域等采取简单防渗措施。</w:t>
      </w:r>
    </w:p>
    <w:p w14:paraId="17B7A6B4"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本项目分区防渗布设情况及防渗系数要求见表</w:t>
      </w:r>
      <w:r w:rsidRPr="00E67914">
        <w:rPr>
          <w:rFonts w:ascii="Times New Roman" w:hAnsi="Times New Roman"/>
          <w:sz w:val="24"/>
          <w:szCs w:val="24"/>
          <w:lang w:eastAsia="zh-CN"/>
        </w:rPr>
        <w:t>7.1-1</w:t>
      </w:r>
      <w:r w:rsidRPr="00E67914">
        <w:rPr>
          <w:rFonts w:ascii="Times New Roman" w:hAnsi="Times New Roman"/>
          <w:sz w:val="24"/>
          <w:szCs w:val="24"/>
          <w:lang w:eastAsia="zh-CN"/>
        </w:rPr>
        <w:t>所示。</w:t>
      </w:r>
    </w:p>
    <w:p w14:paraId="7B82FAB7"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bookmarkStart w:id="224" w:name="_Toc14702846"/>
      <w:bookmarkStart w:id="225" w:name="_Toc26241"/>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7.1-1  </w:t>
      </w:r>
      <w:r w:rsidRPr="00E67914">
        <w:rPr>
          <w:rFonts w:ascii="Times New Roman" w:eastAsia="黑体" w:hAnsi="Times New Roman"/>
          <w:sz w:val="21"/>
          <w:szCs w:val="21"/>
          <w:lang w:eastAsia="zh-CN"/>
        </w:rPr>
        <w:t>分区防渗布设情况及防渗技术要求表</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7"/>
        <w:gridCol w:w="2223"/>
        <w:gridCol w:w="1165"/>
        <w:gridCol w:w="2002"/>
        <w:gridCol w:w="2167"/>
      </w:tblGrid>
      <w:tr w:rsidR="00E67914" w:rsidRPr="00E67914" w14:paraId="71EAB7D1" w14:textId="77777777">
        <w:trPr>
          <w:trHeight w:val="403"/>
          <w:jc w:val="center"/>
        </w:trPr>
        <w:tc>
          <w:tcPr>
            <w:tcW w:w="1327" w:type="dxa"/>
            <w:vAlign w:val="center"/>
          </w:tcPr>
          <w:p w14:paraId="6AD92894"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名称</w:t>
            </w:r>
          </w:p>
        </w:tc>
        <w:tc>
          <w:tcPr>
            <w:tcW w:w="2223" w:type="dxa"/>
            <w:vAlign w:val="center"/>
          </w:tcPr>
          <w:p w14:paraId="27F69766"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防渗区域及部位</w:t>
            </w:r>
          </w:p>
        </w:tc>
        <w:tc>
          <w:tcPr>
            <w:tcW w:w="1165" w:type="dxa"/>
            <w:vAlign w:val="center"/>
          </w:tcPr>
          <w:p w14:paraId="3A1AF19B"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防渗分区</w:t>
            </w:r>
          </w:p>
        </w:tc>
        <w:tc>
          <w:tcPr>
            <w:tcW w:w="2002" w:type="dxa"/>
            <w:vAlign w:val="center"/>
          </w:tcPr>
          <w:p w14:paraId="36B3A113"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防渗技术要求</w:t>
            </w:r>
          </w:p>
        </w:tc>
        <w:tc>
          <w:tcPr>
            <w:tcW w:w="2167" w:type="dxa"/>
            <w:vAlign w:val="center"/>
          </w:tcPr>
          <w:p w14:paraId="2437209C"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采取的防渗措施</w:t>
            </w:r>
          </w:p>
        </w:tc>
      </w:tr>
      <w:tr w:rsidR="00E67914" w:rsidRPr="00E67914" w14:paraId="6F2F0AA9" w14:textId="77777777">
        <w:trPr>
          <w:trHeight w:val="403"/>
          <w:jc w:val="center"/>
        </w:trPr>
        <w:tc>
          <w:tcPr>
            <w:tcW w:w="1327" w:type="dxa"/>
            <w:vAlign w:val="center"/>
          </w:tcPr>
          <w:p w14:paraId="549AC123"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放喷池</w:t>
            </w:r>
          </w:p>
        </w:tc>
        <w:tc>
          <w:tcPr>
            <w:tcW w:w="2223" w:type="dxa"/>
            <w:vAlign w:val="center"/>
          </w:tcPr>
          <w:p w14:paraId="4FF0516D"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放喷池的池底及池壁</w:t>
            </w:r>
          </w:p>
        </w:tc>
        <w:tc>
          <w:tcPr>
            <w:tcW w:w="1165" w:type="dxa"/>
            <w:vMerge w:val="restart"/>
            <w:vAlign w:val="center"/>
          </w:tcPr>
          <w:p w14:paraId="5170AA26"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重点防渗分区</w:t>
            </w:r>
            <w:r w:rsidRPr="00E67914">
              <w:rPr>
                <w:rFonts w:ascii="Times New Roman" w:hAnsi="Times New Roman"/>
                <w:sz w:val="21"/>
                <w:szCs w:val="21"/>
              </w:rPr>
              <w:t>/</w:t>
            </w:r>
            <w:r w:rsidRPr="00E67914">
              <w:rPr>
                <w:rFonts w:ascii="Times New Roman" w:hAnsi="Times New Roman"/>
                <w:sz w:val="21"/>
                <w:szCs w:val="21"/>
              </w:rPr>
              <w:t>部位</w:t>
            </w:r>
          </w:p>
        </w:tc>
        <w:tc>
          <w:tcPr>
            <w:tcW w:w="2002" w:type="dxa"/>
            <w:vMerge w:val="restart"/>
            <w:vAlign w:val="center"/>
          </w:tcPr>
          <w:p w14:paraId="6A3C4EB1"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等效黏土防渗层</w:t>
            </w:r>
            <w:r w:rsidRPr="00E67914">
              <w:rPr>
                <w:rFonts w:ascii="Times New Roman" w:hAnsi="Times New Roman"/>
                <w:sz w:val="21"/>
                <w:szCs w:val="21"/>
                <w:lang w:eastAsia="zh-CN"/>
              </w:rPr>
              <w:t>Mb≥6.0m</w:t>
            </w:r>
            <w:r w:rsidRPr="00E67914">
              <w:rPr>
                <w:rFonts w:ascii="Times New Roman" w:hAnsi="Times New Roman"/>
                <w:sz w:val="21"/>
                <w:szCs w:val="21"/>
                <w:lang w:eastAsia="zh-CN"/>
              </w:rPr>
              <w:t>，防渗系</w:t>
            </w:r>
            <w:r w:rsidRPr="00E67914">
              <w:rPr>
                <w:rFonts w:ascii="Times New Roman" w:hAnsi="Times New Roman"/>
                <w:sz w:val="21"/>
                <w:szCs w:val="21"/>
                <w:lang w:eastAsia="zh-CN"/>
              </w:rPr>
              <w:lastRenderedPageBreak/>
              <w:t>数</w:t>
            </w:r>
            <w:r w:rsidRPr="00E67914">
              <w:rPr>
                <w:rFonts w:ascii="Times New Roman" w:hAnsi="Times New Roman"/>
                <w:sz w:val="21"/>
                <w:szCs w:val="21"/>
                <w:lang w:eastAsia="zh-CN"/>
              </w:rPr>
              <w:t>1.0×10</w:t>
            </w:r>
            <w:r w:rsidRPr="00E67914">
              <w:rPr>
                <w:rFonts w:ascii="Times New Roman" w:hAnsi="Times New Roman"/>
                <w:sz w:val="21"/>
                <w:szCs w:val="21"/>
                <w:vertAlign w:val="superscript"/>
                <w:lang w:eastAsia="zh-CN"/>
              </w:rPr>
              <w:t>-7</w:t>
            </w:r>
            <w:r w:rsidRPr="00E67914">
              <w:rPr>
                <w:rFonts w:ascii="Times New Roman" w:hAnsi="Times New Roman"/>
                <w:sz w:val="21"/>
                <w:szCs w:val="21"/>
                <w:lang w:eastAsia="zh-CN"/>
              </w:rPr>
              <w:t>cm/s</w:t>
            </w:r>
            <w:r w:rsidRPr="00E67914">
              <w:rPr>
                <w:rFonts w:ascii="Times New Roman" w:hAnsi="Times New Roman"/>
                <w:sz w:val="21"/>
                <w:szCs w:val="21"/>
                <w:lang w:eastAsia="zh-CN"/>
              </w:rPr>
              <w:t>，或参照</w:t>
            </w:r>
            <w:r w:rsidRPr="00E67914">
              <w:rPr>
                <w:rFonts w:ascii="Times New Roman" w:hAnsi="Times New Roman"/>
                <w:sz w:val="21"/>
                <w:szCs w:val="21"/>
                <w:lang w:eastAsia="zh-CN"/>
              </w:rPr>
              <w:t>GB18598</w:t>
            </w:r>
            <w:r w:rsidRPr="00E67914">
              <w:rPr>
                <w:rFonts w:ascii="Times New Roman" w:hAnsi="Times New Roman"/>
                <w:sz w:val="21"/>
                <w:szCs w:val="21"/>
                <w:lang w:eastAsia="zh-CN"/>
              </w:rPr>
              <w:t>执行</w:t>
            </w:r>
          </w:p>
        </w:tc>
        <w:tc>
          <w:tcPr>
            <w:tcW w:w="2167" w:type="dxa"/>
            <w:vMerge w:val="restart"/>
            <w:vAlign w:val="center"/>
          </w:tcPr>
          <w:p w14:paraId="26A3C2CE"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lastRenderedPageBreak/>
              <w:t>混凝土</w:t>
            </w:r>
            <w:r w:rsidRPr="00E67914">
              <w:rPr>
                <w:rFonts w:ascii="Times New Roman" w:hAnsi="Times New Roman"/>
                <w:sz w:val="21"/>
                <w:szCs w:val="21"/>
                <w:lang w:eastAsia="zh-CN"/>
              </w:rPr>
              <w:t>+2mm</w:t>
            </w:r>
            <w:r w:rsidRPr="00E67914">
              <w:rPr>
                <w:rFonts w:ascii="Times New Roman" w:hAnsi="Times New Roman"/>
                <w:sz w:val="21"/>
                <w:szCs w:val="21"/>
                <w:lang w:eastAsia="zh-CN"/>
              </w:rPr>
              <w:t>厚高密度聚乙烯膜处理或防渗系数</w:t>
            </w:r>
          </w:p>
          <w:p w14:paraId="73751EE4"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达到</w:t>
            </w:r>
            <w:r w:rsidRPr="00E67914">
              <w:rPr>
                <w:rFonts w:ascii="Times New Roman" w:hAnsi="Times New Roman"/>
                <w:sz w:val="21"/>
                <w:szCs w:val="21"/>
                <w:lang w:eastAsia="zh-CN"/>
              </w:rPr>
              <w:t>1.0×10</w:t>
            </w:r>
            <w:r w:rsidRPr="00E67914">
              <w:rPr>
                <w:rFonts w:ascii="Times New Roman" w:hAnsi="Times New Roman"/>
                <w:sz w:val="21"/>
                <w:szCs w:val="21"/>
                <w:vertAlign w:val="superscript"/>
                <w:lang w:eastAsia="zh-CN"/>
              </w:rPr>
              <w:t>-10</w:t>
            </w:r>
            <w:r w:rsidRPr="00E67914">
              <w:rPr>
                <w:rFonts w:ascii="Times New Roman" w:hAnsi="Times New Roman"/>
                <w:sz w:val="21"/>
                <w:szCs w:val="21"/>
                <w:lang w:eastAsia="zh-CN"/>
              </w:rPr>
              <w:t>cm/s</w:t>
            </w:r>
            <w:r w:rsidRPr="00E67914">
              <w:rPr>
                <w:rFonts w:ascii="Times New Roman" w:hAnsi="Times New Roman"/>
                <w:sz w:val="21"/>
                <w:szCs w:val="21"/>
                <w:lang w:eastAsia="zh-CN"/>
              </w:rPr>
              <w:t>的防渗材料</w:t>
            </w:r>
          </w:p>
        </w:tc>
      </w:tr>
      <w:tr w:rsidR="00E67914" w:rsidRPr="00E67914" w14:paraId="3B45D219" w14:textId="77777777">
        <w:trPr>
          <w:trHeight w:val="403"/>
          <w:jc w:val="center"/>
        </w:trPr>
        <w:tc>
          <w:tcPr>
            <w:tcW w:w="1327" w:type="dxa"/>
            <w:vAlign w:val="center"/>
          </w:tcPr>
          <w:p w14:paraId="7AB8DCB8"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方井</w:t>
            </w:r>
          </w:p>
        </w:tc>
        <w:tc>
          <w:tcPr>
            <w:tcW w:w="2223" w:type="dxa"/>
            <w:vAlign w:val="center"/>
          </w:tcPr>
          <w:p w14:paraId="20F86B44"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方井池壁和池底</w:t>
            </w:r>
          </w:p>
        </w:tc>
        <w:tc>
          <w:tcPr>
            <w:tcW w:w="1165" w:type="dxa"/>
            <w:vMerge/>
            <w:vAlign w:val="center"/>
          </w:tcPr>
          <w:p w14:paraId="7537E33F" w14:textId="77777777" w:rsidR="00A54A8A" w:rsidRPr="00E67914" w:rsidRDefault="00A54A8A">
            <w:pPr>
              <w:spacing w:line="276" w:lineRule="auto"/>
              <w:jc w:val="center"/>
              <w:rPr>
                <w:rFonts w:ascii="Times New Roman" w:hAnsi="Times New Roman"/>
                <w:sz w:val="21"/>
                <w:szCs w:val="21"/>
                <w:lang w:eastAsia="zh-CN"/>
              </w:rPr>
            </w:pPr>
          </w:p>
        </w:tc>
        <w:tc>
          <w:tcPr>
            <w:tcW w:w="2002" w:type="dxa"/>
            <w:vMerge/>
            <w:vAlign w:val="center"/>
          </w:tcPr>
          <w:p w14:paraId="7C15D607"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6CC0CB58"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760138CC" w14:textId="77777777">
        <w:trPr>
          <w:trHeight w:val="403"/>
          <w:jc w:val="center"/>
        </w:trPr>
        <w:tc>
          <w:tcPr>
            <w:tcW w:w="1327" w:type="dxa"/>
            <w:vAlign w:val="center"/>
          </w:tcPr>
          <w:p w14:paraId="0099EEEA" w14:textId="2561787E" w:rsidR="003D072A" w:rsidRPr="00E67914" w:rsidRDefault="003D072A" w:rsidP="003D072A">
            <w:pPr>
              <w:spacing w:line="276" w:lineRule="auto"/>
              <w:jc w:val="center"/>
              <w:rPr>
                <w:rFonts w:ascii="Times New Roman" w:hAnsi="Times New Roman"/>
                <w:sz w:val="21"/>
                <w:szCs w:val="21"/>
              </w:rPr>
            </w:pPr>
            <w:r w:rsidRPr="00E67914">
              <w:rPr>
                <w:rFonts w:ascii="Times New Roman" w:hAnsi="Times New Roman"/>
                <w:sz w:val="21"/>
                <w:szCs w:val="21"/>
                <w:lang w:eastAsia="zh-CN"/>
              </w:rPr>
              <w:lastRenderedPageBreak/>
              <w:t>油基岩屑暂存区</w:t>
            </w:r>
          </w:p>
        </w:tc>
        <w:tc>
          <w:tcPr>
            <w:tcW w:w="2223" w:type="dxa"/>
            <w:vAlign w:val="center"/>
          </w:tcPr>
          <w:p w14:paraId="2C6F34B7" w14:textId="7B89839D" w:rsidR="003D072A" w:rsidRPr="00E67914" w:rsidRDefault="003D072A" w:rsidP="003D072A">
            <w:pPr>
              <w:spacing w:line="276" w:lineRule="auto"/>
              <w:jc w:val="center"/>
              <w:rPr>
                <w:rFonts w:ascii="Times New Roman" w:hAnsi="Times New Roman"/>
                <w:sz w:val="21"/>
                <w:szCs w:val="21"/>
                <w:lang w:eastAsia="zh-CN"/>
              </w:rPr>
            </w:pPr>
            <w:r w:rsidRPr="00E67914">
              <w:rPr>
                <w:rFonts w:ascii="Times New Roman" w:hAnsi="Times New Roman"/>
                <w:sz w:val="21"/>
                <w:szCs w:val="21"/>
              </w:rPr>
              <w:t>整体基础</w:t>
            </w:r>
          </w:p>
        </w:tc>
        <w:tc>
          <w:tcPr>
            <w:tcW w:w="1165" w:type="dxa"/>
            <w:vMerge/>
            <w:vAlign w:val="center"/>
          </w:tcPr>
          <w:p w14:paraId="414622AE" w14:textId="77777777" w:rsidR="003D072A" w:rsidRPr="00E67914" w:rsidRDefault="003D072A" w:rsidP="003D072A">
            <w:pPr>
              <w:spacing w:line="276" w:lineRule="auto"/>
              <w:jc w:val="center"/>
              <w:rPr>
                <w:rFonts w:ascii="Times New Roman" w:hAnsi="Times New Roman"/>
                <w:sz w:val="21"/>
                <w:szCs w:val="21"/>
                <w:lang w:eastAsia="zh-CN"/>
              </w:rPr>
            </w:pPr>
          </w:p>
        </w:tc>
        <w:tc>
          <w:tcPr>
            <w:tcW w:w="2002" w:type="dxa"/>
            <w:vMerge/>
            <w:vAlign w:val="center"/>
          </w:tcPr>
          <w:p w14:paraId="3AAD3627" w14:textId="77777777" w:rsidR="003D072A" w:rsidRPr="00E67914" w:rsidRDefault="003D072A" w:rsidP="003D072A">
            <w:pPr>
              <w:spacing w:line="276" w:lineRule="auto"/>
              <w:jc w:val="center"/>
              <w:rPr>
                <w:rFonts w:ascii="Times New Roman" w:hAnsi="Times New Roman"/>
                <w:sz w:val="21"/>
                <w:szCs w:val="21"/>
                <w:lang w:eastAsia="zh-CN"/>
              </w:rPr>
            </w:pPr>
          </w:p>
        </w:tc>
        <w:tc>
          <w:tcPr>
            <w:tcW w:w="2167" w:type="dxa"/>
            <w:vMerge/>
            <w:vAlign w:val="center"/>
          </w:tcPr>
          <w:p w14:paraId="22035C86" w14:textId="77777777" w:rsidR="003D072A" w:rsidRPr="00E67914" w:rsidRDefault="003D072A" w:rsidP="003D072A">
            <w:pPr>
              <w:spacing w:line="276" w:lineRule="auto"/>
              <w:jc w:val="center"/>
              <w:rPr>
                <w:rFonts w:ascii="Times New Roman" w:hAnsi="Times New Roman"/>
                <w:sz w:val="21"/>
                <w:szCs w:val="21"/>
                <w:lang w:eastAsia="zh-CN"/>
              </w:rPr>
            </w:pPr>
          </w:p>
        </w:tc>
      </w:tr>
      <w:tr w:rsidR="00E67914" w:rsidRPr="00E67914" w14:paraId="742029BA" w14:textId="77777777">
        <w:trPr>
          <w:trHeight w:val="403"/>
          <w:jc w:val="center"/>
        </w:trPr>
        <w:tc>
          <w:tcPr>
            <w:tcW w:w="1327" w:type="dxa"/>
            <w:vAlign w:val="center"/>
          </w:tcPr>
          <w:p w14:paraId="27ECEC30"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rPr>
              <w:t>油罐区、油桶堆放区</w:t>
            </w:r>
          </w:p>
        </w:tc>
        <w:tc>
          <w:tcPr>
            <w:tcW w:w="2223" w:type="dxa"/>
            <w:vAlign w:val="center"/>
          </w:tcPr>
          <w:p w14:paraId="472DAD80"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油罐区的池底及围堰、油桶区域及围堰</w:t>
            </w:r>
          </w:p>
        </w:tc>
        <w:tc>
          <w:tcPr>
            <w:tcW w:w="1165" w:type="dxa"/>
            <w:vMerge/>
            <w:vAlign w:val="center"/>
          </w:tcPr>
          <w:p w14:paraId="3E65ECF4" w14:textId="77777777" w:rsidR="00A54A8A" w:rsidRPr="00E67914" w:rsidRDefault="00A54A8A">
            <w:pPr>
              <w:spacing w:line="276" w:lineRule="auto"/>
              <w:jc w:val="center"/>
              <w:rPr>
                <w:rFonts w:ascii="Times New Roman" w:hAnsi="Times New Roman"/>
                <w:sz w:val="21"/>
                <w:szCs w:val="21"/>
                <w:lang w:eastAsia="zh-CN"/>
              </w:rPr>
            </w:pPr>
          </w:p>
        </w:tc>
        <w:tc>
          <w:tcPr>
            <w:tcW w:w="2002" w:type="dxa"/>
            <w:vMerge/>
            <w:vAlign w:val="center"/>
          </w:tcPr>
          <w:p w14:paraId="6740243B"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22BAD23D"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75FF6073" w14:textId="77777777">
        <w:trPr>
          <w:trHeight w:val="403"/>
          <w:jc w:val="center"/>
        </w:trPr>
        <w:tc>
          <w:tcPr>
            <w:tcW w:w="1327" w:type="dxa"/>
            <w:vAlign w:val="center"/>
          </w:tcPr>
          <w:p w14:paraId="10EDADEC" w14:textId="3F48E530"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危险废物暂存</w:t>
            </w:r>
            <w:r w:rsidR="00DA577F" w:rsidRPr="00E67914">
              <w:rPr>
                <w:rFonts w:ascii="Times New Roman" w:hAnsi="Times New Roman"/>
                <w:sz w:val="21"/>
                <w:szCs w:val="21"/>
                <w:lang w:eastAsia="zh-CN"/>
              </w:rPr>
              <w:t>场所</w:t>
            </w:r>
            <w:r w:rsidRPr="00E67914">
              <w:rPr>
                <w:rFonts w:ascii="Times New Roman" w:hAnsi="Times New Roman"/>
                <w:sz w:val="21"/>
                <w:szCs w:val="21"/>
                <w:lang w:eastAsia="zh-CN"/>
              </w:rPr>
              <w:t>（若使用油基钻井液时设置）</w:t>
            </w:r>
          </w:p>
        </w:tc>
        <w:tc>
          <w:tcPr>
            <w:tcW w:w="2223" w:type="dxa"/>
            <w:vAlign w:val="center"/>
          </w:tcPr>
          <w:p w14:paraId="0935F933"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底部及四周</w:t>
            </w:r>
          </w:p>
        </w:tc>
        <w:tc>
          <w:tcPr>
            <w:tcW w:w="1165" w:type="dxa"/>
            <w:vMerge/>
            <w:vAlign w:val="center"/>
          </w:tcPr>
          <w:p w14:paraId="76A5D16C" w14:textId="77777777" w:rsidR="00A54A8A" w:rsidRPr="00E67914" w:rsidRDefault="00A54A8A">
            <w:pPr>
              <w:spacing w:line="276" w:lineRule="auto"/>
              <w:jc w:val="center"/>
              <w:rPr>
                <w:rFonts w:ascii="Times New Roman" w:hAnsi="Times New Roman"/>
                <w:sz w:val="21"/>
                <w:szCs w:val="21"/>
                <w:lang w:eastAsia="zh-CN"/>
              </w:rPr>
            </w:pPr>
          </w:p>
        </w:tc>
        <w:tc>
          <w:tcPr>
            <w:tcW w:w="2002" w:type="dxa"/>
            <w:vMerge/>
            <w:vAlign w:val="center"/>
          </w:tcPr>
          <w:p w14:paraId="52600967"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4955A748"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6CEFAA81" w14:textId="77777777">
        <w:trPr>
          <w:trHeight w:val="403"/>
          <w:jc w:val="center"/>
        </w:trPr>
        <w:tc>
          <w:tcPr>
            <w:tcW w:w="1327" w:type="dxa"/>
            <w:vAlign w:val="center"/>
          </w:tcPr>
          <w:p w14:paraId="6124202D"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泥浆循环系统</w:t>
            </w:r>
          </w:p>
        </w:tc>
        <w:tc>
          <w:tcPr>
            <w:tcW w:w="2223" w:type="dxa"/>
            <w:vAlign w:val="center"/>
          </w:tcPr>
          <w:p w14:paraId="41F336B0"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重浆罐的池底、池壁围堰及泥浆泵基础</w:t>
            </w:r>
          </w:p>
        </w:tc>
        <w:tc>
          <w:tcPr>
            <w:tcW w:w="1165" w:type="dxa"/>
            <w:vMerge/>
            <w:vAlign w:val="center"/>
          </w:tcPr>
          <w:p w14:paraId="2A85DDB3" w14:textId="77777777" w:rsidR="00A54A8A" w:rsidRPr="00E67914" w:rsidRDefault="00A54A8A">
            <w:pPr>
              <w:spacing w:line="276" w:lineRule="auto"/>
              <w:jc w:val="center"/>
              <w:rPr>
                <w:rFonts w:ascii="Times New Roman" w:hAnsi="Times New Roman"/>
                <w:sz w:val="21"/>
                <w:szCs w:val="21"/>
                <w:lang w:eastAsia="zh-CN"/>
              </w:rPr>
            </w:pPr>
          </w:p>
        </w:tc>
        <w:tc>
          <w:tcPr>
            <w:tcW w:w="2002" w:type="dxa"/>
            <w:vMerge/>
            <w:vAlign w:val="center"/>
          </w:tcPr>
          <w:p w14:paraId="6C96D4BF"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716C907B"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333F0CAE" w14:textId="77777777">
        <w:trPr>
          <w:trHeight w:val="403"/>
          <w:jc w:val="center"/>
        </w:trPr>
        <w:tc>
          <w:tcPr>
            <w:tcW w:w="1327" w:type="dxa"/>
            <w:vAlign w:val="center"/>
          </w:tcPr>
          <w:p w14:paraId="416CFF63"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泥浆不落地系统</w:t>
            </w:r>
          </w:p>
        </w:tc>
        <w:tc>
          <w:tcPr>
            <w:tcW w:w="2223" w:type="dxa"/>
            <w:vAlign w:val="center"/>
          </w:tcPr>
          <w:p w14:paraId="0D8E61CB"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rPr>
              <w:t>整体基础</w:t>
            </w:r>
          </w:p>
        </w:tc>
        <w:tc>
          <w:tcPr>
            <w:tcW w:w="1165" w:type="dxa"/>
            <w:vMerge/>
            <w:vAlign w:val="center"/>
          </w:tcPr>
          <w:p w14:paraId="2A4A60A5" w14:textId="77777777" w:rsidR="00A54A8A" w:rsidRPr="00E67914" w:rsidRDefault="00A54A8A">
            <w:pPr>
              <w:spacing w:line="276" w:lineRule="auto"/>
              <w:jc w:val="center"/>
              <w:rPr>
                <w:rFonts w:ascii="Times New Roman" w:hAnsi="Times New Roman"/>
                <w:sz w:val="21"/>
                <w:szCs w:val="21"/>
                <w:lang w:eastAsia="zh-CN"/>
              </w:rPr>
            </w:pPr>
          </w:p>
        </w:tc>
        <w:tc>
          <w:tcPr>
            <w:tcW w:w="2002" w:type="dxa"/>
            <w:vMerge/>
            <w:vAlign w:val="center"/>
          </w:tcPr>
          <w:p w14:paraId="026A60C1"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460E722D"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51F2FAB9" w14:textId="77777777">
        <w:trPr>
          <w:trHeight w:val="403"/>
          <w:jc w:val="center"/>
        </w:trPr>
        <w:tc>
          <w:tcPr>
            <w:tcW w:w="1327" w:type="dxa"/>
            <w:vAlign w:val="center"/>
          </w:tcPr>
          <w:p w14:paraId="14D64202"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循环罐</w:t>
            </w:r>
            <w:r w:rsidRPr="00E67914">
              <w:rPr>
                <w:rFonts w:ascii="Times New Roman" w:hAnsi="Times New Roman"/>
                <w:sz w:val="21"/>
                <w:szCs w:val="21"/>
                <w:lang w:eastAsia="zh-CN"/>
              </w:rPr>
              <w:t>、储备罐</w:t>
            </w:r>
          </w:p>
        </w:tc>
        <w:tc>
          <w:tcPr>
            <w:tcW w:w="2223" w:type="dxa"/>
            <w:vAlign w:val="center"/>
          </w:tcPr>
          <w:p w14:paraId="7AAF158C"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循环罐、储备罐的池底及围堰</w:t>
            </w:r>
          </w:p>
        </w:tc>
        <w:tc>
          <w:tcPr>
            <w:tcW w:w="1165" w:type="dxa"/>
            <w:vMerge/>
            <w:vAlign w:val="center"/>
          </w:tcPr>
          <w:p w14:paraId="29DA9F5C" w14:textId="77777777" w:rsidR="00A54A8A" w:rsidRPr="00E67914" w:rsidRDefault="00A54A8A">
            <w:pPr>
              <w:spacing w:line="276" w:lineRule="auto"/>
              <w:jc w:val="center"/>
              <w:rPr>
                <w:rFonts w:ascii="Times New Roman" w:hAnsi="Times New Roman"/>
                <w:sz w:val="21"/>
                <w:szCs w:val="21"/>
                <w:lang w:eastAsia="zh-CN"/>
              </w:rPr>
            </w:pPr>
          </w:p>
        </w:tc>
        <w:tc>
          <w:tcPr>
            <w:tcW w:w="2002" w:type="dxa"/>
            <w:vMerge/>
            <w:vAlign w:val="center"/>
          </w:tcPr>
          <w:p w14:paraId="43205DDE"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4BBDF87F"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00A66369" w14:textId="77777777">
        <w:trPr>
          <w:trHeight w:val="403"/>
          <w:jc w:val="center"/>
        </w:trPr>
        <w:tc>
          <w:tcPr>
            <w:tcW w:w="1327" w:type="dxa"/>
            <w:vAlign w:val="center"/>
          </w:tcPr>
          <w:p w14:paraId="71897C32"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lang w:eastAsia="zh-CN"/>
              </w:rPr>
              <w:t>埋地管道</w:t>
            </w:r>
          </w:p>
        </w:tc>
        <w:tc>
          <w:tcPr>
            <w:tcW w:w="2223" w:type="dxa"/>
            <w:vAlign w:val="center"/>
          </w:tcPr>
          <w:p w14:paraId="426E8712"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管道本身</w:t>
            </w:r>
          </w:p>
        </w:tc>
        <w:tc>
          <w:tcPr>
            <w:tcW w:w="1165" w:type="dxa"/>
            <w:vMerge/>
            <w:vAlign w:val="center"/>
          </w:tcPr>
          <w:p w14:paraId="25408F96" w14:textId="77777777" w:rsidR="00A54A8A" w:rsidRPr="00E67914" w:rsidRDefault="00A54A8A">
            <w:pPr>
              <w:spacing w:line="276" w:lineRule="auto"/>
              <w:jc w:val="center"/>
              <w:rPr>
                <w:rFonts w:ascii="Times New Roman" w:hAnsi="Times New Roman"/>
                <w:sz w:val="21"/>
                <w:szCs w:val="21"/>
                <w:lang w:eastAsia="zh-CN"/>
              </w:rPr>
            </w:pPr>
          </w:p>
        </w:tc>
        <w:tc>
          <w:tcPr>
            <w:tcW w:w="2002" w:type="dxa"/>
            <w:vMerge/>
            <w:vAlign w:val="center"/>
          </w:tcPr>
          <w:p w14:paraId="38D1435C" w14:textId="77777777" w:rsidR="00A54A8A" w:rsidRPr="00E67914" w:rsidRDefault="00A54A8A">
            <w:pPr>
              <w:spacing w:line="276" w:lineRule="auto"/>
              <w:jc w:val="center"/>
              <w:rPr>
                <w:rFonts w:ascii="Times New Roman" w:hAnsi="Times New Roman"/>
                <w:sz w:val="21"/>
                <w:szCs w:val="21"/>
                <w:lang w:eastAsia="zh-CN"/>
              </w:rPr>
            </w:pPr>
          </w:p>
        </w:tc>
        <w:tc>
          <w:tcPr>
            <w:tcW w:w="2167" w:type="dxa"/>
            <w:vAlign w:val="center"/>
          </w:tcPr>
          <w:p w14:paraId="4F120068"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选用符合重点防渗要求的管材</w:t>
            </w:r>
          </w:p>
        </w:tc>
      </w:tr>
      <w:tr w:rsidR="00E67914" w:rsidRPr="00E67914" w14:paraId="7AA5975F" w14:textId="77777777">
        <w:trPr>
          <w:trHeight w:val="403"/>
          <w:jc w:val="center"/>
        </w:trPr>
        <w:tc>
          <w:tcPr>
            <w:tcW w:w="1327" w:type="dxa"/>
            <w:vAlign w:val="center"/>
          </w:tcPr>
          <w:p w14:paraId="0A406D84"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rPr>
              <w:t>发电机房及电传系统</w:t>
            </w:r>
          </w:p>
        </w:tc>
        <w:tc>
          <w:tcPr>
            <w:tcW w:w="2223" w:type="dxa"/>
            <w:vAlign w:val="center"/>
          </w:tcPr>
          <w:p w14:paraId="64B62789"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rPr>
              <w:t>发电机房基础</w:t>
            </w:r>
          </w:p>
        </w:tc>
        <w:tc>
          <w:tcPr>
            <w:tcW w:w="1165" w:type="dxa"/>
            <w:vMerge w:val="restart"/>
            <w:vAlign w:val="center"/>
          </w:tcPr>
          <w:p w14:paraId="3B179C28"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一般防渗分区</w:t>
            </w:r>
            <w:r w:rsidRPr="00E67914">
              <w:rPr>
                <w:rFonts w:ascii="Times New Roman" w:hAnsi="Times New Roman"/>
                <w:sz w:val="21"/>
                <w:szCs w:val="21"/>
              </w:rPr>
              <w:t>/</w:t>
            </w:r>
            <w:r w:rsidRPr="00E67914">
              <w:rPr>
                <w:rFonts w:ascii="Times New Roman" w:hAnsi="Times New Roman"/>
                <w:sz w:val="21"/>
                <w:szCs w:val="21"/>
              </w:rPr>
              <w:t>部位</w:t>
            </w:r>
          </w:p>
        </w:tc>
        <w:tc>
          <w:tcPr>
            <w:tcW w:w="2002" w:type="dxa"/>
            <w:vMerge w:val="restart"/>
            <w:vAlign w:val="center"/>
          </w:tcPr>
          <w:p w14:paraId="13CE838D"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等效黏土防渗层</w:t>
            </w:r>
            <w:r w:rsidRPr="00E67914">
              <w:rPr>
                <w:rFonts w:ascii="Times New Roman" w:hAnsi="Times New Roman"/>
                <w:sz w:val="21"/>
                <w:szCs w:val="21"/>
                <w:lang w:eastAsia="zh-CN"/>
              </w:rPr>
              <w:t>Mb≥1.5m</w:t>
            </w:r>
            <w:r w:rsidRPr="00E67914">
              <w:rPr>
                <w:rFonts w:ascii="Times New Roman" w:hAnsi="Times New Roman"/>
                <w:sz w:val="21"/>
                <w:szCs w:val="21"/>
                <w:lang w:eastAsia="zh-CN"/>
              </w:rPr>
              <w:t>，防渗系数</w:t>
            </w:r>
            <w:r w:rsidRPr="00E67914">
              <w:rPr>
                <w:rFonts w:ascii="Times New Roman" w:hAnsi="Times New Roman"/>
                <w:sz w:val="21"/>
                <w:szCs w:val="21"/>
                <w:lang w:eastAsia="zh-CN"/>
              </w:rPr>
              <w:t>1.0×10</w:t>
            </w:r>
            <w:r w:rsidRPr="00E67914">
              <w:rPr>
                <w:rFonts w:ascii="Times New Roman" w:hAnsi="Times New Roman"/>
                <w:sz w:val="21"/>
                <w:szCs w:val="21"/>
                <w:vertAlign w:val="superscript"/>
                <w:lang w:eastAsia="zh-CN"/>
              </w:rPr>
              <w:t>-7</w:t>
            </w:r>
            <w:r w:rsidRPr="00E67914">
              <w:rPr>
                <w:rFonts w:ascii="Times New Roman" w:hAnsi="Times New Roman"/>
                <w:sz w:val="21"/>
                <w:szCs w:val="21"/>
                <w:lang w:eastAsia="zh-CN"/>
              </w:rPr>
              <w:t>cm/s</w:t>
            </w:r>
            <w:r w:rsidRPr="00E67914">
              <w:rPr>
                <w:rFonts w:ascii="Times New Roman" w:hAnsi="Times New Roman"/>
                <w:sz w:val="21"/>
                <w:szCs w:val="21"/>
                <w:lang w:eastAsia="zh-CN"/>
              </w:rPr>
              <w:t>，或参照</w:t>
            </w:r>
            <w:r w:rsidRPr="00E67914">
              <w:rPr>
                <w:rFonts w:ascii="Times New Roman" w:hAnsi="Times New Roman"/>
                <w:sz w:val="21"/>
                <w:szCs w:val="21"/>
                <w:lang w:eastAsia="zh-CN"/>
              </w:rPr>
              <w:t>GB16889</w:t>
            </w:r>
            <w:r w:rsidRPr="00E67914">
              <w:rPr>
                <w:rFonts w:ascii="Times New Roman" w:hAnsi="Times New Roman"/>
                <w:sz w:val="21"/>
                <w:szCs w:val="21"/>
                <w:lang w:eastAsia="zh-CN"/>
              </w:rPr>
              <w:t>执行</w:t>
            </w:r>
          </w:p>
        </w:tc>
        <w:tc>
          <w:tcPr>
            <w:tcW w:w="2167" w:type="dxa"/>
            <w:vMerge w:val="restart"/>
            <w:vAlign w:val="center"/>
          </w:tcPr>
          <w:p w14:paraId="7499639A" w14:textId="77777777" w:rsidR="00A54A8A" w:rsidRPr="00E67914" w:rsidRDefault="00000000">
            <w:pPr>
              <w:spacing w:line="276" w:lineRule="auto"/>
              <w:jc w:val="center"/>
              <w:rPr>
                <w:rFonts w:ascii="Times New Roman" w:hAnsi="Times New Roman"/>
                <w:sz w:val="21"/>
                <w:szCs w:val="21"/>
                <w:lang w:eastAsia="zh-CN"/>
              </w:rPr>
            </w:pPr>
            <w:bookmarkStart w:id="226" w:name="OLE_LINK8"/>
            <w:bookmarkStart w:id="227" w:name="OLE_LINK7"/>
            <w:r w:rsidRPr="00E67914">
              <w:rPr>
                <w:rFonts w:ascii="Times New Roman" w:hAnsi="Times New Roman"/>
                <w:sz w:val="21"/>
                <w:szCs w:val="21"/>
                <w:lang w:eastAsia="zh-CN"/>
              </w:rPr>
              <w:t>混凝土</w:t>
            </w:r>
            <w:r w:rsidRPr="00E67914">
              <w:rPr>
                <w:rFonts w:ascii="Times New Roman" w:hAnsi="Times New Roman"/>
                <w:sz w:val="21"/>
                <w:szCs w:val="21"/>
                <w:lang w:eastAsia="zh-CN"/>
              </w:rPr>
              <w:t>+</w:t>
            </w:r>
            <w:r w:rsidRPr="00E67914">
              <w:rPr>
                <w:rFonts w:ascii="Times New Roman" w:hAnsi="Times New Roman"/>
                <w:sz w:val="21"/>
                <w:szCs w:val="21"/>
                <w:lang w:eastAsia="zh-CN"/>
              </w:rPr>
              <w:t>防渗系数</w:t>
            </w:r>
          </w:p>
          <w:p w14:paraId="3B8F11AB"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达到</w:t>
            </w:r>
            <w:r w:rsidRPr="00E67914">
              <w:rPr>
                <w:rFonts w:ascii="Times New Roman" w:hAnsi="Times New Roman"/>
                <w:sz w:val="21"/>
                <w:szCs w:val="21"/>
                <w:lang w:eastAsia="zh-CN"/>
              </w:rPr>
              <w:t>1.0×10</w:t>
            </w:r>
            <w:r w:rsidRPr="00E67914">
              <w:rPr>
                <w:rFonts w:ascii="Times New Roman" w:hAnsi="Times New Roman"/>
                <w:sz w:val="21"/>
                <w:szCs w:val="21"/>
                <w:vertAlign w:val="superscript"/>
                <w:lang w:eastAsia="zh-CN"/>
              </w:rPr>
              <w:t>-7</w:t>
            </w:r>
            <w:r w:rsidRPr="00E67914">
              <w:rPr>
                <w:rFonts w:ascii="Times New Roman" w:hAnsi="Times New Roman"/>
                <w:sz w:val="21"/>
                <w:szCs w:val="21"/>
                <w:lang w:eastAsia="zh-CN"/>
              </w:rPr>
              <w:t>cm/s</w:t>
            </w:r>
            <w:r w:rsidRPr="00E67914">
              <w:rPr>
                <w:rFonts w:ascii="Times New Roman" w:hAnsi="Times New Roman"/>
                <w:sz w:val="21"/>
                <w:szCs w:val="21"/>
                <w:lang w:eastAsia="zh-CN"/>
              </w:rPr>
              <w:t>的防渗材料</w:t>
            </w:r>
            <w:bookmarkEnd w:id="226"/>
            <w:bookmarkEnd w:id="227"/>
          </w:p>
        </w:tc>
      </w:tr>
      <w:tr w:rsidR="00E67914" w:rsidRPr="00E67914" w14:paraId="0FDBC4E2" w14:textId="77777777">
        <w:trPr>
          <w:trHeight w:val="403"/>
          <w:jc w:val="center"/>
        </w:trPr>
        <w:tc>
          <w:tcPr>
            <w:tcW w:w="1327" w:type="dxa"/>
            <w:vAlign w:val="center"/>
          </w:tcPr>
          <w:p w14:paraId="3DAD17F0"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井架基础</w:t>
            </w:r>
          </w:p>
        </w:tc>
        <w:tc>
          <w:tcPr>
            <w:tcW w:w="2223" w:type="dxa"/>
            <w:vAlign w:val="center"/>
          </w:tcPr>
          <w:p w14:paraId="347C38EA"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钻井平台基础</w:t>
            </w:r>
          </w:p>
        </w:tc>
        <w:tc>
          <w:tcPr>
            <w:tcW w:w="1165" w:type="dxa"/>
            <w:vMerge/>
            <w:vAlign w:val="center"/>
          </w:tcPr>
          <w:p w14:paraId="1CA043F9" w14:textId="77777777" w:rsidR="00A54A8A" w:rsidRPr="00E67914" w:rsidRDefault="00A54A8A">
            <w:pPr>
              <w:spacing w:line="276" w:lineRule="auto"/>
              <w:jc w:val="center"/>
              <w:rPr>
                <w:rFonts w:ascii="Times New Roman" w:hAnsi="Times New Roman"/>
                <w:sz w:val="21"/>
                <w:szCs w:val="21"/>
              </w:rPr>
            </w:pPr>
          </w:p>
        </w:tc>
        <w:tc>
          <w:tcPr>
            <w:tcW w:w="2002" w:type="dxa"/>
            <w:vMerge/>
            <w:vAlign w:val="center"/>
          </w:tcPr>
          <w:p w14:paraId="4B5C6E90"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340A729D"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40501BF8" w14:textId="77777777">
        <w:trPr>
          <w:trHeight w:val="403"/>
          <w:jc w:val="center"/>
        </w:trPr>
        <w:tc>
          <w:tcPr>
            <w:tcW w:w="1327" w:type="dxa"/>
            <w:vAlign w:val="center"/>
          </w:tcPr>
          <w:p w14:paraId="7D1CCF64"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lang w:eastAsia="zh-CN"/>
              </w:rPr>
              <w:t>钻井固废暂存区</w:t>
            </w:r>
          </w:p>
        </w:tc>
        <w:tc>
          <w:tcPr>
            <w:tcW w:w="2223" w:type="dxa"/>
            <w:vAlign w:val="center"/>
          </w:tcPr>
          <w:p w14:paraId="554D1F7F"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整体基础</w:t>
            </w:r>
          </w:p>
        </w:tc>
        <w:tc>
          <w:tcPr>
            <w:tcW w:w="1165" w:type="dxa"/>
            <w:vMerge/>
            <w:vAlign w:val="center"/>
          </w:tcPr>
          <w:p w14:paraId="0ABE21D5" w14:textId="77777777" w:rsidR="00A54A8A" w:rsidRPr="00E67914" w:rsidRDefault="00A54A8A">
            <w:pPr>
              <w:spacing w:line="276" w:lineRule="auto"/>
              <w:jc w:val="center"/>
              <w:rPr>
                <w:rFonts w:ascii="Times New Roman" w:hAnsi="Times New Roman"/>
                <w:sz w:val="21"/>
                <w:szCs w:val="21"/>
              </w:rPr>
            </w:pPr>
          </w:p>
        </w:tc>
        <w:tc>
          <w:tcPr>
            <w:tcW w:w="2002" w:type="dxa"/>
            <w:vMerge/>
            <w:vAlign w:val="center"/>
          </w:tcPr>
          <w:p w14:paraId="3B24A1ED"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0764C7C2"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6D1F0685" w14:textId="77777777">
        <w:trPr>
          <w:trHeight w:val="403"/>
          <w:jc w:val="center"/>
        </w:trPr>
        <w:tc>
          <w:tcPr>
            <w:tcW w:w="1327" w:type="dxa"/>
            <w:vAlign w:val="center"/>
          </w:tcPr>
          <w:p w14:paraId="5C4DBF4D"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清水池</w:t>
            </w:r>
          </w:p>
        </w:tc>
        <w:tc>
          <w:tcPr>
            <w:tcW w:w="2223" w:type="dxa"/>
            <w:vAlign w:val="center"/>
          </w:tcPr>
          <w:p w14:paraId="2DB0CE62"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lang w:eastAsia="zh-CN"/>
              </w:rPr>
              <w:t>水池壁和池底</w:t>
            </w:r>
          </w:p>
        </w:tc>
        <w:tc>
          <w:tcPr>
            <w:tcW w:w="1165" w:type="dxa"/>
            <w:vMerge/>
            <w:vAlign w:val="center"/>
          </w:tcPr>
          <w:p w14:paraId="72EA3E2B" w14:textId="77777777" w:rsidR="00A54A8A" w:rsidRPr="00E67914" w:rsidRDefault="00A54A8A">
            <w:pPr>
              <w:spacing w:line="276" w:lineRule="auto"/>
              <w:jc w:val="center"/>
              <w:rPr>
                <w:rFonts w:ascii="Times New Roman" w:hAnsi="Times New Roman"/>
                <w:sz w:val="21"/>
                <w:szCs w:val="21"/>
              </w:rPr>
            </w:pPr>
          </w:p>
        </w:tc>
        <w:tc>
          <w:tcPr>
            <w:tcW w:w="2002" w:type="dxa"/>
            <w:vMerge/>
            <w:vAlign w:val="center"/>
          </w:tcPr>
          <w:p w14:paraId="1F5FFD25"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407F424B"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365E94FC" w14:textId="77777777">
        <w:trPr>
          <w:trHeight w:val="403"/>
          <w:jc w:val="center"/>
        </w:trPr>
        <w:tc>
          <w:tcPr>
            <w:tcW w:w="1327" w:type="dxa"/>
            <w:vAlign w:val="center"/>
          </w:tcPr>
          <w:p w14:paraId="5A49FCE6"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气源房、材料棚、雨、污分流区域</w:t>
            </w:r>
          </w:p>
        </w:tc>
        <w:tc>
          <w:tcPr>
            <w:tcW w:w="2223" w:type="dxa"/>
            <w:vAlign w:val="center"/>
          </w:tcPr>
          <w:p w14:paraId="6377E2A3"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基础</w:t>
            </w:r>
          </w:p>
        </w:tc>
        <w:tc>
          <w:tcPr>
            <w:tcW w:w="1165" w:type="dxa"/>
            <w:vMerge/>
            <w:vAlign w:val="center"/>
          </w:tcPr>
          <w:p w14:paraId="093E7450" w14:textId="77777777" w:rsidR="00A54A8A" w:rsidRPr="00E67914" w:rsidRDefault="00A54A8A">
            <w:pPr>
              <w:spacing w:line="276" w:lineRule="auto"/>
              <w:jc w:val="center"/>
              <w:rPr>
                <w:rFonts w:ascii="Times New Roman" w:hAnsi="Times New Roman"/>
                <w:sz w:val="21"/>
                <w:szCs w:val="21"/>
                <w:lang w:eastAsia="zh-CN"/>
              </w:rPr>
            </w:pPr>
          </w:p>
        </w:tc>
        <w:tc>
          <w:tcPr>
            <w:tcW w:w="2002" w:type="dxa"/>
            <w:vMerge/>
            <w:vAlign w:val="center"/>
          </w:tcPr>
          <w:p w14:paraId="3C00E686" w14:textId="77777777" w:rsidR="00A54A8A" w:rsidRPr="00E67914" w:rsidRDefault="00A54A8A">
            <w:pPr>
              <w:spacing w:line="276" w:lineRule="auto"/>
              <w:jc w:val="center"/>
              <w:rPr>
                <w:rFonts w:ascii="Times New Roman" w:hAnsi="Times New Roman"/>
                <w:sz w:val="21"/>
                <w:szCs w:val="21"/>
                <w:lang w:eastAsia="zh-CN"/>
              </w:rPr>
            </w:pPr>
          </w:p>
        </w:tc>
        <w:tc>
          <w:tcPr>
            <w:tcW w:w="2167" w:type="dxa"/>
            <w:vMerge/>
            <w:vAlign w:val="center"/>
          </w:tcPr>
          <w:p w14:paraId="099864C5" w14:textId="77777777" w:rsidR="00A54A8A" w:rsidRPr="00E67914" w:rsidRDefault="00A54A8A">
            <w:pPr>
              <w:spacing w:line="276" w:lineRule="auto"/>
              <w:jc w:val="center"/>
              <w:rPr>
                <w:rFonts w:ascii="Times New Roman" w:hAnsi="Times New Roman"/>
                <w:sz w:val="21"/>
                <w:szCs w:val="21"/>
                <w:lang w:eastAsia="zh-CN"/>
              </w:rPr>
            </w:pPr>
          </w:p>
        </w:tc>
      </w:tr>
      <w:tr w:rsidR="00E67914" w:rsidRPr="00E67914" w14:paraId="2B8322A0" w14:textId="77777777">
        <w:trPr>
          <w:trHeight w:val="403"/>
          <w:jc w:val="center"/>
        </w:trPr>
        <w:tc>
          <w:tcPr>
            <w:tcW w:w="1327" w:type="dxa"/>
            <w:vAlign w:val="center"/>
          </w:tcPr>
          <w:p w14:paraId="658662F5"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lang w:eastAsia="zh-CN"/>
              </w:rPr>
              <w:t>环保厕所</w:t>
            </w:r>
          </w:p>
        </w:tc>
        <w:tc>
          <w:tcPr>
            <w:tcW w:w="2223" w:type="dxa"/>
            <w:vAlign w:val="center"/>
          </w:tcPr>
          <w:p w14:paraId="6F8F41EB"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池底及池壁</w:t>
            </w:r>
          </w:p>
        </w:tc>
        <w:tc>
          <w:tcPr>
            <w:tcW w:w="1165" w:type="dxa"/>
            <w:vMerge/>
            <w:vAlign w:val="center"/>
          </w:tcPr>
          <w:p w14:paraId="65E0CA4E" w14:textId="77777777" w:rsidR="00A54A8A" w:rsidRPr="00E67914" w:rsidRDefault="00A54A8A">
            <w:pPr>
              <w:snapToGrid w:val="0"/>
              <w:rPr>
                <w:rFonts w:ascii="Times New Roman" w:hAnsi="Times New Roman"/>
                <w:szCs w:val="24"/>
              </w:rPr>
            </w:pPr>
          </w:p>
        </w:tc>
        <w:tc>
          <w:tcPr>
            <w:tcW w:w="2002" w:type="dxa"/>
            <w:vMerge/>
            <w:vAlign w:val="center"/>
          </w:tcPr>
          <w:p w14:paraId="7BBE0EF0" w14:textId="77777777" w:rsidR="00A54A8A" w:rsidRPr="00E67914" w:rsidRDefault="00A54A8A">
            <w:pPr>
              <w:snapToGrid w:val="0"/>
              <w:rPr>
                <w:rFonts w:ascii="Times New Roman" w:hAnsi="Times New Roman"/>
                <w:szCs w:val="24"/>
              </w:rPr>
            </w:pPr>
          </w:p>
        </w:tc>
        <w:tc>
          <w:tcPr>
            <w:tcW w:w="2167" w:type="dxa"/>
            <w:vMerge/>
            <w:vAlign w:val="center"/>
          </w:tcPr>
          <w:p w14:paraId="45501003" w14:textId="77777777" w:rsidR="00A54A8A" w:rsidRPr="00E67914" w:rsidRDefault="00A54A8A">
            <w:pPr>
              <w:snapToGrid w:val="0"/>
              <w:rPr>
                <w:rFonts w:ascii="Times New Roman" w:hAnsi="Times New Roman"/>
                <w:szCs w:val="24"/>
              </w:rPr>
            </w:pPr>
          </w:p>
        </w:tc>
      </w:tr>
      <w:tr w:rsidR="00E67914" w:rsidRPr="00E67914" w14:paraId="2CF1473A" w14:textId="77777777">
        <w:trPr>
          <w:trHeight w:val="403"/>
          <w:jc w:val="center"/>
        </w:trPr>
        <w:tc>
          <w:tcPr>
            <w:tcW w:w="1327" w:type="dxa"/>
            <w:shd w:val="clear" w:color="auto" w:fill="auto"/>
            <w:vAlign w:val="center"/>
          </w:tcPr>
          <w:p w14:paraId="60D41E4D"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水罐</w:t>
            </w:r>
          </w:p>
        </w:tc>
        <w:tc>
          <w:tcPr>
            <w:tcW w:w="2223" w:type="dxa"/>
            <w:shd w:val="clear" w:color="auto" w:fill="auto"/>
            <w:vAlign w:val="center"/>
          </w:tcPr>
          <w:p w14:paraId="449B696E"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水罐周围地面</w:t>
            </w:r>
          </w:p>
        </w:tc>
        <w:tc>
          <w:tcPr>
            <w:tcW w:w="1165" w:type="dxa"/>
            <w:vMerge w:val="restart"/>
            <w:shd w:val="clear" w:color="auto" w:fill="auto"/>
            <w:vAlign w:val="center"/>
          </w:tcPr>
          <w:p w14:paraId="19288BA9"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简单防渗区</w:t>
            </w:r>
            <w:r w:rsidRPr="00E67914">
              <w:rPr>
                <w:rFonts w:ascii="Times New Roman" w:hAnsi="Times New Roman"/>
                <w:sz w:val="21"/>
                <w:szCs w:val="21"/>
              </w:rPr>
              <w:t>/</w:t>
            </w:r>
            <w:r w:rsidRPr="00E67914">
              <w:rPr>
                <w:rFonts w:ascii="Times New Roman" w:hAnsi="Times New Roman"/>
                <w:sz w:val="21"/>
                <w:szCs w:val="21"/>
              </w:rPr>
              <w:t>部位</w:t>
            </w:r>
          </w:p>
        </w:tc>
        <w:tc>
          <w:tcPr>
            <w:tcW w:w="2002" w:type="dxa"/>
            <w:vMerge w:val="restart"/>
            <w:shd w:val="clear" w:color="auto" w:fill="auto"/>
            <w:vAlign w:val="center"/>
          </w:tcPr>
          <w:p w14:paraId="43829F0C"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一般地面硬化</w:t>
            </w:r>
          </w:p>
        </w:tc>
        <w:tc>
          <w:tcPr>
            <w:tcW w:w="2167" w:type="dxa"/>
            <w:vMerge w:val="restart"/>
            <w:shd w:val="clear" w:color="auto" w:fill="auto"/>
            <w:vAlign w:val="center"/>
          </w:tcPr>
          <w:p w14:paraId="051C623C" w14:textId="77777777" w:rsidR="00A54A8A" w:rsidRPr="00E67914" w:rsidRDefault="00000000">
            <w:pPr>
              <w:spacing w:line="276" w:lineRule="auto"/>
              <w:jc w:val="center"/>
              <w:rPr>
                <w:rFonts w:ascii="Times New Roman" w:hAnsi="Times New Roman"/>
                <w:sz w:val="21"/>
                <w:szCs w:val="21"/>
                <w:lang w:eastAsia="zh-CN"/>
              </w:rPr>
            </w:pPr>
            <w:r w:rsidRPr="00E67914">
              <w:rPr>
                <w:rFonts w:ascii="Times New Roman" w:hAnsi="Times New Roman"/>
                <w:sz w:val="21"/>
                <w:szCs w:val="21"/>
                <w:lang w:eastAsia="zh-CN"/>
              </w:rPr>
              <w:t>水泥地面硬化或砂石黏土碾压</w:t>
            </w:r>
          </w:p>
        </w:tc>
      </w:tr>
      <w:tr w:rsidR="00E67914" w:rsidRPr="00E67914" w14:paraId="0989B9BF" w14:textId="77777777">
        <w:trPr>
          <w:trHeight w:val="403"/>
          <w:jc w:val="center"/>
        </w:trPr>
        <w:tc>
          <w:tcPr>
            <w:tcW w:w="1327" w:type="dxa"/>
            <w:shd w:val="clear" w:color="auto" w:fill="auto"/>
            <w:vAlign w:val="center"/>
          </w:tcPr>
          <w:p w14:paraId="3F465516"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其他区域</w:t>
            </w:r>
          </w:p>
        </w:tc>
        <w:tc>
          <w:tcPr>
            <w:tcW w:w="2223" w:type="dxa"/>
            <w:shd w:val="clear" w:color="auto" w:fill="auto"/>
            <w:vAlign w:val="center"/>
          </w:tcPr>
          <w:p w14:paraId="083AFEBE" w14:textId="77777777" w:rsidR="00A54A8A" w:rsidRPr="00E67914" w:rsidRDefault="00000000">
            <w:pPr>
              <w:spacing w:line="276" w:lineRule="auto"/>
              <w:jc w:val="center"/>
              <w:rPr>
                <w:rFonts w:ascii="Times New Roman" w:hAnsi="Times New Roman"/>
                <w:sz w:val="21"/>
                <w:szCs w:val="21"/>
              </w:rPr>
            </w:pPr>
            <w:r w:rsidRPr="00E67914">
              <w:rPr>
                <w:rFonts w:ascii="Times New Roman" w:hAnsi="Times New Roman"/>
                <w:sz w:val="21"/>
                <w:szCs w:val="21"/>
              </w:rPr>
              <w:t>/</w:t>
            </w:r>
          </w:p>
        </w:tc>
        <w:tc>
          <w:tcPr>
            <w:tcW w:w="1165" w:type="dxa"/>
            <w:vMerge/>
            <w:shd w:val="clear" w:color="auto" w:fill="auto"/>
            <w:vAlign w:val="center"/>
          </w:tcPr>
          <w:p w14:paraId="5A4B7904" w14:textId="77777777" w:rsidR="00A54A8A" w:rsidRPr="00E67914" w:rsidRDefault="00A54A8A">
            <w:pPr>
              <w:spacing w:line="276" w:lineRule="auto"/>
              <w:jc w:val="center"/>
              <w:rPr>
                <w:rFonts w:ascii="Times New Roman" w:hAnsi="Times New Roman"/>
                <w:sz w:val="21"/>
                <w:szCs w:val="21"/>
              </w:rPr>
            </w:pPr>
          </w:p>
        </w:tc>
        <w:tc>
          <w:tcPr>
            <w:tcW w:w="2002" w:type="dxa"/>
            <w:vMerge/>
            <w:shd w:val="clear" w:color="auto" w:fill="auto"/>
            <w:vAlign w:val="center"/>
          </w:tcPr>
          <w:p w14:paraId="1C6E7EEC" w14:textId="77777777" w:rsidR="00A54A8A" w:rsidRPr="00E67914" w:rsidRDefault="00A54A8A">
            <w:pPr>
              <w:spacing w:line="276" w:lineRule="auto"/>
              <w:jc w:val="center"/>
              <w:rPr>
                <w:rFonts w:ascii="Times New Roman" w:hAnsi="Times New Roman"/>
                <w:sz w:val="21"/>
                <w:szCs w:val="21"/>
              </w:rPr>
            </w:pPr>
          </w:p>
        </w:tc>
        <w:tc>
          <w:tcPr>
            <w:tcW w:w="2167" w:type="dxa"/>
            <w:vMerge/>
            <w:shd w:val="clear" w:color="auto" w:fill="auto"/>
            <w:vAlign w:val="center"/>
          </w:tcPr>
          <w:p w14:paraId="5607EFDC" w14:textId="77777777" w:rsidR="00A54A8A" w:rsidRPr="00E67914" w:rsidRDefault="00A54A8A">
            <w:pPr>
              <w:spacing w:line="276" w:lineRule="auto"/>
              <w:jc w:val="center"/>
              <w:rPr>
                <w:rFonts w:ascii="Times New Roman" w:hAnsi="Times New Roman"/>
                <w:sz w:val="21"/>
                <w:szCs w:val="21"/>
              </w:rPr>
            </w:pPr>
          </w:p>
        </w:tc>
      </w:tr>
    </w:tbl>
    <w:p w14:paraId="03A77A4E" w14:textId="77777777" w:rsidR="00A54A8A" w:rsidRPr="00E67914" w:rsidRDefault="00000000">
      <w:pPr>
        <w:adjustRightInd w:val="0"/>
        <w:snapToGrid w:val="0"/>
        <w:spacing w:beforeLines="50" w:before="120"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5</w:t>
      </w:r>
      <w:r w:rsidRPr="00E67914">
        <w:rPr>
          <w:rFonts w:ascii="Times New Roman" w:eastAsia="黑体" w:hAnsi="Times New Roman"/>
          <w:sz w:val="24"/>
          <w:szCs w:val="24"/>
          <w:lang w:eastAsia="zh-CN"/>
        </w:rPr>
        <w:t>、地下水环境监控</w:t>
      </w:r>
      <w:bookmarkEnd w:id="224"/>
      <w:bookmarkEnd w:id="225"/>
    </w:p>
    <w:p w14:paraId="4B0BB25D"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bookmarkStart w:id="228" w:name="_Toc14702847"/>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）地下水监控原则</w:t>
      </w:r>
      <w:bookmarkEnd w:id="228"/>
    </w:p>
    <w:p w14:paraId="1AC68430"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Times New Roman" w:hAnsi="Times New Roman"/>
          <w:bCs/>
          <w:sz w:val="24"/>
          <w:szCs w:val="24"/>
          <w:lang w:eastAsia="zh-CN"/>
        </w:rPr>
        <w:t>按照地下水环评导则及地下水监测技术规范等相关要求，地下水监测应按以下要求进行：</w:t>
      </w:r>
    </w:p>
    <w:p w14:paraId="4CC9D637"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①</w:t>
      </w:r>
      <w:r w:rsidRPr="00E67914">
        <w:rPr>
          <w:rFonts w:ascii="Times New Roman" w:hAnsi="Times New Roman"/>
          <w:bCs/>
          <w:sz w:val="24"/>
          <w:szCs w:val="24"/>
          <w:lang w:eastAsia="zh-CN"/>
        </w:rPr>
        <w:t>在地下水水流上游方向应设不少于</w:t>
      </w:r>
      <w:r w:rsidRPr="00E67914">
        <w:rPr>
          <w:rFonts w:ascii="Times New Roman" w:hAnsi="Times New Roman"/>
          <w:bCs/>
          <w:sz w:val="24"/>
          <w:szCs w:val="24"/>
          <w:lang w:eastAsia="zh-CN"/>
        </w:rPr>
        <w:t>1</w:t>
      </w:r>
      <w:r w:rsidRPr="00E67914">
        <w:rPr>
          <w:rFonts w:ascii="Times New Roman" w:hAnsi="Times New Roman"/>
          <w:bCs/>
          <w:sz w:val="24"/>
          <w:szCs w:val="24"/>
          <w:lang w:eastAsia="zh-CN"/>
        </w:rPr>
        <w:t>眼地下水背景</w:t>
      </w:r>
      <w:r w:rsidRPr="00E67914">
        <w:rPr>
          <w:rFonts w:ascii="Times New Roman" w:hAnsi="Times New Roman"/>
          <w:bCs/>
          <w:sz w:val="24"/>
          <w:szCs w:val="24"/>
          <w:lang w:eastAsia="zh-CN"/>
        </w:rPr>
        <w:t>(</w:t>
      </w:r>
      <w:r w:rsidRPr="00E67914">
        <w:rPr>
          <w:rFonts w:ascii="Times New Roman" w:hAnsi="Times New Roman"/>
          <w:bCs/>
          <w:sz w:val="24"/>
          <w:szCs w:val="24"/>
          <w:lang w:eastAsia="zh-CN"/>
        </w:rPr>
        <w:t>或对照</w:t>
      </w:r>
      <w:r w:rsidRPr="00E67914">
        <w:rPr>
          <w:rFonts w:ascii="Times New Roman" w:hAnsi="Times New Roman"/>
          <w:bCs/>
          <w:sz w:val="24"/>
          <w:szCs w:val="24"/>
          <w:lang w:eastAsia="zh-CN"/>
        </w:rPr>
        <w:t>)</w:t>
      </w:r>
      <w:r w:rsidRPr="00E67914">
        <w:rPr>
          <w:rFonts w:ascii="Times New Roman" w:hAnsi="Times New Roman"/>
          <w:bCs/>
          <w:sz w:val="24"/>
          <w:szCs w:val="24"/>
          <w:lang w:eastAsia="zh-CN"/>
        </w:rPr>
        <w:t>监控井；</w:t>
      </w:r>
    </w:p>
    <w:p w14:paraId="762BDF55"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②</w:t>
      </w:r>
      <w:r w:rsidRPr="00E67914">
        <w:rPr>
          <w:rFonts w:ascii="Times New Roman" w:hAnsi="Times New Roman"/>
          <w:bCs/>
          <w:sz w:val="24"/>
          <w:szCs w:val="24"/>
          <w:lang w:eastAsia="zh-CN"/>
        </w:rPr>
        <w:t>在项目场地外可能受到影响的地下水环境敏感目标的上游应至少布设</w:t>
      </w:r>
      <w:r w:rsidRPr="00E67914">
        <w:rPr>
          <w:rFonts w:ascii="Times New Roman" w:hAnsi="Times New Roman"/>
          <w:bCs/>
          <w:sz w:val="24"/>
          <w:szCs w:val="24"/>
          <w:lang w:eastAsia="zh-CN"/>
        </w:rPr>
        <w:t>1</w:t>
      </w:r>
      <w:r w:rsidRPr="00E67914">
        <w:rPr>
          <w:rFonts w:ascii="Times New Roman" w:hAnsi="Times New Roman"/>
          <w:bCs/>
          <w:sz w:val="24"/>
          <w:szCs w:val="24"/>
          <w:lang w:eastAsia="zh-CN"/>
        </w:rPr>
        <w:t>眼地下水污染监控井；</w:t>
      </w:r>
    </w:p>
    <w:p w14:paraId="0C23BA8A"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③</w:t>
      </w:r>
      <w:r w:rsidRPr="00E67914">
        <w:rPr>
          <w:rFonts w:ascii="Times New Roman" w:hAnsi="Times New Roman"/>
          <w:bCs/>
          <w:sz w:val="24"/>
          <w:szCs w:val="24"/>
          <w:lang w:eastAsia="zh-CN"/>
        </w:rPr>
        <w:t>以取水层为监测目的层，以浅层潜水含水层为主，并应考虑可能受影响的承压含水层；</w:t>
      </w:r>
    </w:p>
    <w:p w14:paraId="51B800F2"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lastRenderedPageBreak/>
        <w:t>④</w:t>
      </w:r>
      <w:r w:rsidRPr="00E67914">
        <w:rPr>
          <w:rFonts w:ascii="Times New Roman" w:hAnsi="Times New Roman"/>
          <w:bCs/>
          <w:sz w:val="24"/>
          <w:szCs w:val="24"/>
          <w:lang w:eastAsia="zh-CN"/>
        </w:rPr>
        <w:t>在重点污染防治区加密监测；</w:t>
      </w:r>
    </w:p>
    <w:p w14:paraId="1B092254"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⑤</w:t>
      </w:r>
      <w:r w:rsidRPr="00E67914">
        <w:rPr>
          <w:rFonts w:ascii="Times New Roman" w:hAnsi="Times New Roman"/>
          <w:bCs/>
          <w:sz w:val="24"/>
          <w:szCs w:val="24"/>
          <w:lang w:eastAsia="zh-CN"/>
        </w:rPr>
        <w:t>根据各区块地下水环境影响预测与评价结果有针对性地布设监测井；</w:t>
      </w:r>
    </w:p>
    <w:p w14:paraId="48769EE5" w14:textId="77777777" w:rsidR="00A54A8A" w:rsidRPr="00E67914" w:rsidRDefault="00000000">
      <w:pPr>
        <w:adjustRightInd w:val="0"/>
        <w:snapToGrid w:val="0"/>
        <w:spacing w:line="360" w:lineRule="auto"/>
        <w:ind w:firstLineChars="200" w:firstLine="480"/>
        <w:jc w:val="both"/>
        <w:rPr>
          <w:rFonts w:ascii="Times New Roman" w:hAnsi="Times New Roman"/>
          <w:bCs/>
          <w:sz w:val="24"/>
          <w:szCs w:val="24"/>
          <w:lang w:eastAsia="zh-CN"/>
        </w:rPr>
      </w:pPr>
      <w:r w:rsidRPr="00E67914">
        <w:rPr>
          <w:rFonts w:ascii="宋体" w:hAnsi="宋体" w:cs="宋体" w:hint="eastAsia"/>
          <w:bCs/>
          <w:sz w:val="24"/>
          <w:szCs w:val="24"/>
          <w:lang w:eastAsia="zh-CN"/>
        </w:rPr>
        <w:t>⑥</w:t>
      </w:r>
      <w:r w:rsidRPr="00E67914">
        <w:rPr>
          <w:rFonts w:ascii="Times New Roman" w:hAnsi="Times New Roman"/>
          <w:bCs/>
          <w:sz w:val="24"/>
          <w:szCs w:val="24"/>
          <w:lang w:eastAsia="zh-CN"/>
        </w:rPr>
        <w:t>充分利用现有民井、监测井，污染事件发生后监测井可以作为地下水污染事故应急处置的抽水井；</w:t>
      </w:r>
    </w:p>
    <w:p w14:paraId="09BAA1BE"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宋体" w:hAnsi="宋体" w:cs="宋体" w:hint="eastAsia"/>
          <w:bCs/>
          <w:sz w:val="24"/>
          <w:szCs w:val="24"/>
          <w:lang w:eastAsia="zh-CN"/>
        </w:rPr>
        <w:t>⑦</w:t>
      </w:r>
      <w:r w:rsidRPr="00E67914">
        <w:rPr>
          <w:rFonts w:ascii="Times New Roman" w:hAnsi="Times New Roman"/>
          <w:bCs/>
          <w:sz w:val="24"/>
          <w:szCs w:val="24"/>
          <w:lang w:eastAsia="zh-CN"/>
        </w:rPr>
        <w:t>水质监测项目参照《地下水质量标准》</w:t>
      </w:r>
      <w:r w:rsidRPr="00E67914">
        <w:rPr>
          <w:rFonts w:ascii="Times New Roman" w:hAnsi="Times New Roman"/>
          <w:bCs/>
          <w:sz w:val="24"/>
          <w:szCs w:val="24"/>
          <w:lang w:eastAsia="zh-CN"/>
        </w:rPr>
        <w:t>(GB/T 14848-2017)</w:t>
      </w:r>
      <w:r w:rsidRPr="00E67914">
        <w:rPr>
          <w:rFonts w:ascii="Times New Roman" w:hAnsi="Times New Roman"/>
          <w:bCs/>
          <w:sz w:val="24"/>
          <w:szCs w:val="24"/>
          <w:lang w:eastAsia="zh-CN"/>
        </w:rPr>
        <w:t>相关要求和潜在污染源特征污染因子确定，各监测井可依据监测目的不同适当增加和减少监测项目。建设单位安全环保部门设立地下水动态监测小组，专人负责监测或者委托专业的机构分析</w:t>
      </w:r>
      <w:r w:rsidRPr="00E67914">
        <w:rPr>
          <w:rFonts w:ascii="Times New Roman" w:hAnsi="Times New Roman"/>
          <w:sz w:val="24"/>
          <w:szCs w:val="24"/>
          <w:lang w:eastAsia="zh-CN"/>
        </w:rPr>
        <w:t>。</w:t>
      </w:r>
    </w:p>
    <w:p w14:paraId="57DBB4BD"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bookmarkStart w:id="229" w:name="_Toc14702848"/>
      <w:r w:rsidRPr="00E67914">
        <w:rPr>
          <w:rFonts w:ascii="Times New Roman" w:hAnsi="Times New Roman"/>
          <w:b/>
          <w:bCs/>
          <w:sz w:val="24"/>
          <w:szCs w:val="24"/>
          <w:lang w:eastAsia="zh-CN"/>
        </w:rPr>
        <w:t>（</w:t>
      </w:r>
      <w:r w:rsidRPr="00E67914">
        <w:rPr>
          <w:rFonts w:ascii="Times New Roman" w:hAnsi="Times New Roman"/>
          <w:b/>
          <w:bCs/>
          <w:sz w:val="24"/>
          <w:szCs w:val="24"/>
          <w:lang w:eastAsia="zh-CN"/>
        </w:rPr>
        <w:t>2</w:t>
      </w:r>
      <w:r w:rsidRPr="00E67914">
        <w:rPr>
          <w:rFonts w:ascii="Times New Roman" w:hAnsi="Times New Roman"/>
          <w:b/>
          <w:bCs/>
          <w:sz w:val="24"/>
          <w:szCs w:val="24"/>
          <w:lang w:eastAsia="zh-CN"/>
        </w:rPr>
        <w:t>）监控井布置</w:t>
      </w:r>
      <w:bookmarkEnd w:id="229"/>
    </w:p>
    <w:p w14:paraId="22B191C6" w14:textId="404F4504"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根据项目所在地区域地下水埋深、地下水走向、补径排关系以及监控井布设的难易程度，结合地形及位置关系，本项目布置</w:t>
      </w:r>
      <w:r w:rsidRPr="00E67914">
        <w:rPr>
          <w:rFonts w:ascii="Times New Roman" w:hAnsi="Times New Roman"/>
          <w:sz w:val="24"/>
          <w:szCs w:val="24"/>
          <w:lang w:eastAsia="zh-CN"/>
        </w:rPr>
        <w:t>2</w:t>
      </w:r>
      <w:r w:rsidRPr="00E67914">
        <w:rPr>
          <w:rFonts w:ascii="Times New Roman" w:hAnsi="Times New Roman"/>
          <w:sz w:val="24"/>
          <w:szCs w:val="24"/>
          <w:lang w:eastAsia="zh-CN"/>
        </w:rPr>
        <w:t>口</w:t>
      </w:r>
      <w:r w:rsidR="002F2518" w:rsidRPr="00E67914">
        <w:rPr>
          <w:rFonts w:ascii="Times New Roman" w:hAnsi="Times New Roman"/>
          <w:sz w:val="24"/>
          <w:szCs w:val="24"/>
          <w:lang w:eastAsia="zh-CN"/>
        </w:rPr>
        <w:t>泉水点</w:t>
      </w:r>
      <w:r w:rsidRPr="00E67914">
        <w:rPr>
          <w:rFonts w:ascii="Times New Roman" w:hAnsi="Times New Roman"/>
          <w:sz w:val="24"/>
          <w:szCs w:val="24"/>
          <w:lang w:eastAsia="zh-CN"/>
        </w:rPr>
        <w:t>作为地下水例行监测点，监测方案见下表</w:t>
      </w:r>
      <w:r w:rsidRPr="00E67914">
        <w:rPr>
          <w:rFonts w:ascii="Times New Roman" w:hAnsi="Times New Roman"/>
          <w:sz w:val="24"/>
          <w:szCs w:val="24"/>
          <w:lang w:eastAsia="zh-CN"/>
        </w:rPr>
        <w:t>7.1-2</w:t>
      </w:r>
      <w:r w:rsidRPr="00E67914">
        <w:rPr>
          <w:rFonts w:ascii="Times New Roman" w:hAnsi="Times New Roman"/>
          <w:sz w:val="24"/>
          <w:szCs w:val="24"/>
          <w:lang w:eastAsia="zh-CN"/>
        </w:rPr>
        <w:t>。环评建议施工期间加强对上述监测控制点的监控，若监测结果表明项目实施导致地下水污染，应采取临时供水措施（配送桶装水等）以保障居民的饮用水源安全。</w:t>
      </w:r>
    </w:p>
    <w:p w14:paraId="11322DFA"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7.1-2  </w:t>
      </w:r>
      <w:r w:rsidRPr="00E67914">
        <w:rPr>
          <w:rFonts w:ascii="Times New Roman" w:eastAsia="黑体" w:hAnsi="Times New Roman"/>
          <w:sz w:val="21"/>
          <w:szCs w:val="21"/>
          <w:lang w:eastAsia="zh-CN"/>
        </w:rPr>
        <w:t>施工期间地下水水质监测方案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2"/>
        <w:gridCol w:w="852"/>
        <w:gridCol w:w="993"/>
        <w:gridCol w:w="1135"/>
        <w:gridCol w:w="2208"/>
      </w:tblGrid>
      <w:tr w:rsidR="00E67914" w:rsidRPr="00E67914" w14:paraId="1372E760" w14:textId="77777777">
        <w:trPr>
          <w:jc w:val="center"/>
        </w:trPr>
        <w:tc>
          <w:tcPr>
            <w:tcW w:w="1875" w:type="pct"/>
            <w:vMerge w:val="restart"/>
            <w:vAlign w:val="center"/>
          </w:tcPr>
          <w:p w14:paraId="4D1A8984" w14:textId="77777777" w:rsidR="00A54A8A" w:rsidRPr="00E67914" w:rsidRDefault="00000000">
            <w:pPr>
              <w:adjustRightInd w:val="0"/>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监测井位与建设项目的位置关系</w:t>
            </w:r>
          </w:p>
        </w:tc>
        <w:tc>
          <w:tcPr>
            <w:tcW w:w="513" w:type="pct"/>
            <w:vMerge w:val="restart"/>
            <w:vAlign w:val="center"/>
          </w:tcPr>
          <w:p w14:paraId="0E1A618D" w14:textId="77777777" w:rsidR="00A54A8A" w:rsidRPr="00E67914" w:rsidRDefault="00000000">
            <w:pPr>
              <w:adjustRightInd w:val="0"/>
              <w:snapToGrid w:val="0"/>
              <w:jc w:val="center"/>
              <w:rPr>
                <w:rFonts w:ascii="Times New Roman" w:hAnsi="Times New Roman"/>
                <w:snapToGrid w:val="0"/>
                <w:sz w:val="21"/>
                <w:szCs w:val="21"/>
              </w:rPr>
            </w:pPr>
            <w:r w:rsidRPr="00E67914">
              <w:rPr>
                <w:rFonts w:ascii="Times New Roman" w:hAnsi="Times New Roman"/>
                <w:snapToGrid w:val="0"/>
                <w:sz w:val="21"/>
                <w:szCs w:val="21"/>
                <w:lang w:eastAsia="zh-CN"/>
              </w:rPr>
              <w:t>含水层</w:t>
            </w:r>
          </w:p>
        </w:tc>
        <w:tc>
          <w:tcPr>
            <w:tcW w:w="1282" w:type="pct"/>
            <w:gridSpan w:val="2"/>
            <w:vAlign w:val="center"/>
          </w:tcPr>
          <w:p w14:paraId="251D1479" w14:textId="77777777" w:rsidR="00A54A8A" w:rsidRPr="00E67914" w:rsidRDefault="00000000">
            <w:pPr>
              <w:adjustRightInd w:val="0"/>
              <w:snapToGrid w:val="0"/>
              <w:jc w:val="center"/>
              <w:rPr>
                <w:rFonts w:ascii="Times New Roman" w:hAnsi="Times New Roman"/>
                <w:snapToGrid w:val="0"/>
                <w:sz w:val="21"/>
                <w:szCs w:val="21"/>
              </w:rPr>
            </w:pPr>
            <w:r w:rsidRPr="00E67914">
              <w:rPr>
                <w:rFonts w:ascii="Times New Roman" w:hAnsi="Times New Roman"/>
                <w:snapToGrid w:val="0"/>
                <w:sz w:val="21"/>
                <w:szCs w:val="21"/>
              </w:rPr>
              <w:t>监测项目</w:t>
            </w:r>
          </w:p>
        </w:tc>
        <w:tc>
          <w:tcPr>
            <w:tcW w:w="1330" w:type="pct"/>
            <w:vMerge w:val="restart"/>
            <w:vAlign w:val="center"/>
          </w:tcPr>
          <w:p w14:paraId="67A72CE9" w14:textId="77777777" w:rsidR="00A54A8A" w:rsidRPr="00E67914" w:rsidRDefault="00000000">
            <w:pPr>
              <w:adjustRightInd w:val="0"/>
              <w:snapToGrid w:val="0"/>
              <w:jc w:val="center"/>
              <w:rPr>
                <w:rFonts w:ascii="Times New Roman" w:hAnsi="Times New Roman"/>
                <w:snapToGrid w:val="0"/>
                <w:sz w:val="21"/>
                <w:szCs w:val="21"/>
              </w:rPr>
            </w:pPr>
            <w:r w:rsidRPr="00E67914">
              <w:rPr>
                <w:rFonts w:ascii="Times New Roman" w:hAnsi="Times New Roman"/>
                <w:snapToGrid w:val="0"/>
                <w:sz w:val="21"/>
                <w:szCs w:val="21"/>
              </w:rPr>
              <w:t>监测频次</w:t>
            </w:r>
          </w:p>
        </w:tc>
      </w:tr>
      <w:tr w:rsidR="00E67914" w:rsidRPr="00E67914" w14:paraId="14308E69" w14:textId="77777777">
        <w:trPr>
          <w:jc w:val="center"/>
        </w:trPr>
        <w:tc>
          <w:tcPr>
            <w:tcW w:w="1875" w:type="pct"/>
            <w:vMerge/>
            <w:vAlign w:val="center"/>
          </w:tcPr>
          <w:p w14:paraId="3A230399" w14:textId="77777777" w:rsidR="00A54A8A" w:rsidRPr="00E67914" w:rsidRDefault="00A54A8A">
            <w:pPr>
              <w:adjustRightInd w:val="0"/>
              <w:snapToGrid w:val="0"/>
              <w:jc w:val="center"/>
              <w:rPr>
                <w:rFonts w:ascii="Times New Roman" w:hAnsi="Times New Roman"/>
                <w:snapToGrid w:val="0"/>
                <w:sz w:val="21"/>
                <w:szCs w:val="21"/>
              </w:rPr>
            </w:pPr>
          </w:p>
        </w:tc>
        <w:tc>
          <w:tcPr>
            <w:tcW w:w="513" w:type="pct"/>
            <w:vMerge/>
            <w:vAlign w:val="center"/>
          </w:tcPr>
          <w:p w14:paraId="6C4DE77C" w14:textId="77777777" w:rsidR="00A54A8A" w:rsidRPr="00E67914" w:rsidRDefault="00A54A8A">
            <w:pPr>
              <w:adjustRightInd w:val="0"/>
              <w:snapToGrid w:val="0"/>
              <w:jc w:val="center"/>
              <w:rPr>
                <w:rFonts w:ascii="Times New Roman" w:hAnsi="Times New Roman"/>
                <w:snapToGrid w:val="0"/>
                <w:sz w:val="21"/>
                <w:szCs w:val="21"/>
              </w:rPr>
            </w:pPr>
          </w:p>
        </w:tc>
        <w:tc>
          <w:tcPr>
            <w:tcW w:w="598" w:type="pct"/>
            <w:vAlign w:val="center"/>
          </w:tcPr>
          <w:p w14:paraId="03B67743" w14:textId="77777777" w:rsidR="00A54A8A" w:rsidRPr="00E67914" w:rsidRDefault="00000000">
            <w:pPr>
              <w:adjustRightInd w:val="0"/>
              <w:snapToGrid w:val="0"/>
              <w:jc w:val="center"/>
              <w:rPr>
                <w:rFonts w:ascii="Times New Roman" w:hAnsi="Times New Roman"/>
                <w:snapToGrid w:val="0"/>
                <w:sz w:val="21"/>
                <w:szCs w:val="21"/>
              </w:rPr>
            </w:pPr>
            <w:r w:rsidRPr="00E67914">
              <w:rPr>
                <w:rFonts w:ascii="Times New Roman" w:hAnsi="Times New Roman"/>
                <w:snapToGrid w:val="0"/>
                <w:sz w:val="21"/>
                <w:szCs w:val="21"/>
              </w:rPr>
              <w:t>常规因子</w:t>
            </w:r>
          </w:p>
        </w:tc>
        <w:tc>
          <w:tcPr>
            <w:tcW w:w="684" w:type="pct"/>
            <w:vAlign w:val="center"/>
          </w:tcPr>
          <w:p w14:paraId="0A09F885" w14:textId="77777777" w:rsidR="00A54A8A" w:rsidRPr="00E67914" w:rsidRDefault="00000000">
            <w:pPr>
              <w:adjustRightInd w:val="0"/>
              <w:snapToGrid w:val="0"/>
              <w:jc w:val="center"/>
              <w:rPr>
                <w:rFonts w:ascii="Times New Roman" w:hAnsi="Times New Roman"/>
                <w:snapToGrid w:val="0"/>
                <w:sz w:val="21"/>
                <w:szCs w:val="21"/>
              </w:rPr>
            </w:pPr>
            <w:r w:rsidRPr="00E67914">
              <w:rPr>
                <w:rFonts w:ascii="Times New Roman" w:hAnsi="Times New Roman"/>
                <w:snapToGrid w:val="0"/>
                <w:sz w:val="21"/>
                <w:szCs w:val="21"/>
              </w:rPr>
              <w:t>特征因子</w:t>
            </w:r>
          </w:p>
        </w:tc>
        <w:tc>
          <w:tcPr>
            <w:tcW w:w="1330" w:type="pct"/>
            <w:vMerge/>
            <w:vAlign w:val="center"/>
          </w:tcPr>
          <w:p w14:paraId="3B8FBC1E" w14:textId="77777777" w:rsidR="00A54A8A" w:rsidRPr="00E67914" w:rsidRDefault="00A54A8A">
            <w:pPr>
              <w:adjustRightInd w:val="0"/>
              <w:snapToGrid w:val="0"/>
              <w:jc w:val="center"/>
              <w:rPr>
                <w:rFonts w:ascii="Times New Roman" w:hAnsi="Times New Roman"/>
                <w:snapToGrid w:val="0"/>
                <w:sz w:val="21"/>
                <w:szCs w:val="21"/>
              </w:rPr>
            </w:pPr>
          </w:p>
        </w:tc>
      </w:tr>
      <w:tr w:rsidR="00E67914" w:rsidRPr="00E67914" w14:paraId="167600AD" w14:textId="77777777">
        <w:trPr>
          <w:jc w:val="center"/>
        </w:trPr>
        <w:tc>
          <w:tcPr>
            <w:tcW w:w="1875" w:type="pct"/>
            <w:shd w:val="clear" w:color="auto" w:fill="FFFFFF"/>
            <w:vAlign w:val="center"/>
          </w:tcPr>
          <w:p w14:paraId="25D41EDF" w14:textId="65FBDBC1" w:rsidR="002F2518" w:rsidRPr="00E67914" w:rsidRDefault="002F2518" w:rsidP="002F2518">
            <w:pPr>
              <w:adjustRightInd w:val="0"/>
              <w:snapToGrid w:val="0"/>
              <w:jc w:val="center"/>
              <w:rPr>
                <w:rFonts w:ascii="Times New Roman" w:hAnsi="Times New Roman"/>
                <w:snapToGrid w:val="0"/>
                <w:sz w:val="21"/>
                <w:szCs w:val="21"/>
                <w:lang w:eastAsia="zh-CN"/>
              </w:rPr>
            </w:pPr>
            <w:r w:rsidRPr="00E67914">
              <w:rPr>
                <w:rFonts w:ascii="Times New Roman" w:hAnsi="Times New Roman"/>
                <w:szCs w:val="21"/>
                <w:lang w:eastAsia="zh-CN"/>
              </w:rPr>
              <w:t>普陆页</w:t>
            </w:r>
            <w:r w:rsidRPr="00E67914">
              <w:rPr>
                <w:rFonts w:ascii="Times New Roman" w:hAnsi="Times New Roman"/>
                <w:szCs w:val="21"/>
                <w:lang w:eastAsia="zh-CN"/>
              </w:rPr>
              <w:t>2</w:t>
            </w:r>
            <w:r w:rsidRPr="00E67914">
              <w:rPr>
                <w:rFonts w:ascii="Times New Roman" w:hAnsi="Times New Roman"/>
                <w:szCs w:val="21"/>
                <w:lang w:eastAsia="zh-CN"/>
              </w:rPr>
              <w:t>试采站南侧</w:t>
            </w:r>
            <w:r w:rsidRPr="00E67914">
              <w:rPr>
                <w:rFonts w:ascii="Times New Roman" w:hAnsi="Times New Roman"/>
                <w:szCs w:val="21"/>
                <w:lang w:eastAsia="zh-CN"/>
              </w:rPr>
              <w:t>500m</w:t>
            </w:r>
            <w:r w:rsidRPr="00E67914">
              <w:rPr>
                <w:rFonts w:ascii="Times New Roman" w:hAnsi="Times New Roman"/>
                <w:szCs w:val="21"/>
                <w:lang w:eastAsia="zh-CN"/>
              </w:rPr>
              <w:t>泉水点</w:t>
            </w:r>
          </w:p>
        </w:tc>
        <w:tc>
          <w:tcPr>
            <w:tcW w:w="513" w:type="pct"/>
            <w:vAlign w:val="center"/>
          </w:tcPr>
          <w:p w14:paraId="55B12ADA" w14:textId="77777777" w:rsidR="002F2518" w:rsidRPr="00E67914" w:rsidRDefault="002F2518" w:rsidP="002F2518">
            <w:pPr>
              <w:adjustRightInd w:val="0"/>
              <w:snapToGrid w:val="0"/>
              <w:jc w:val="center"/>
              <w:rPr>
                <w:rFonts w:ascii="Times New Roman" w:hAnsi="Times New Roman"/>
                <w:snapToGrid w:val="0"/>
                <w:sz w:val="21"/>
                <w:szCs w:val="21"/>
              </w:rPr>
            </w:pPr>
            <w:r w:rsidRPr="00E67914">
              <w:rPr>
                <w:rFonts w:ascii="Times New Roman" w:hAnsi="Times New Roman"/>
                <w:snapToGrid w:val="0"/>
                <w:sz w:val="21"/>
                <w:szCs w:val="21"/>
              </w:rPr>
              <w:t>潜水层</w:t>
            </w:r>
          </w:p>
        </w:tc>
        <w:tc>
          <w:tcPr>
            <w:tcW w:w="598" w:type="pct"/>
            <w:vMerge w:val="restart"/>
            <w:vAlign w:val="center"/>
          </w:tcPr>
          <w:p w14:paraId="08C5BEDF" w14:textId="77777777" w:rsidR="002F2518" w:rsidRPr="00E67914" w:rsidRDefault="002F2518" w:rsidP="002F2518">
            <w:pPr>
              <w:adjustRightInd w:val="0"/>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pH</w:t>
            </w:r>
            <w:r w:rsidRPr="00E67914">
              <w:rPr>
                <w:rFonts w:ascii="Times New Roman" w:hAnsi="Times New Roman"/>
                <w:snapToGrid w:val="0"/>
                <w:sz w:val="21"/>
                <w:szCs w:val="21"/>
                <w:lang w:eastAsia="zh-CN"/>
              </w:rPr>
              <w:t>值、总硬度、六价铬、铁、锰、耗氧量</w:t>
            </w:r>
          </w:p>
        </w:tc>
        <w:tc>
          <w:tcPr>
            <w:tcW w:w="684" w:type="pct"/>
            <w:vMerge w:val="restart"/>
            <w:vAlign w:val="center"/>
          </w:tcPr>
          <w:p w14:paraId="2538240A" w14:textId="77777777" w:rsidR="002F2518" w:rsidRPr="00E67914" w:rsidRDefault="002F2518" w:rsidP="002F2518">
            <w:pPr>
              <w:adjustRightInd w:val="0"/>
              <w:snapToGrid w:val="0"/>
              <w:jc w:val="center"/>
              <w:rPr>
                <w:rFonts w:ascii="Times New Roman" w:hAnsi="Times New Roman"/>
                <w:snapToGrid w:val="0"/>
                <w:sz w:val="21"/>
                <w:szCs w:val="21"/>
              </w:rPr>
            </w:pPr>
            <w:r w:rsidRPr="00E67914">
              <w:rPr>
                <w:rFonts w:ascii="Times New Roman" w:hAnsi="Times New Roman"/>
                <w:snapToGrid w:val="0"/>
                <w:sz w:val="21"/>
                <w:szCs w:val="21"/>
              </w:rPr>
              <w:t>TDS</w:t>
            </w:r>
            <w:r w:rsidRPr="00E67914">
              <w:rPr>
                <w:rFonts w:ascii="Times New Roman" w:hAnsi="Times New Roman"/>
                <w:snapToGrid w:val="0"/>
                <w:sz w:val="21"/>
                <w:szCs w:val="21"/>
              </w:rPr>
              <w:t>、</w:t>
            </w:r>
            <w:r w:rsidRPr="00E67914">
              <w:rPr>
                <w:rFonts w:ascii="Times New Roman" w:hAnsi="Times New Roman"/>
                <w:snapToGrid w:val="0"/>
                <w:sz w:val="21"/>
                <w:szCs w:val="21"/>
              </w:rPr>
              <w:t>COD</w:t>
            </w:r>
            <w:r w:rsidRPr="00E67914">
              <w:rPr>
                <w:rFonts w:ascii="Times New Roman" w:hAnsi="Times New Roman"/>
                <w:snapToGrid w:val="0"/>
                <w:sz w:val="21"/>
                <w:szCs w:val="21"/>
              </w:rPr>
              <w:t>、石油类、氯化物（</w:t>
            </w:r>
            <w:r w:rsidRPr="00E67914">
              <w:rPr>
                <w:rFonts w:ascii="Times New Roman" w:hAnsi="Times New Roman"/>
                <w:snapToGrid w:val="0"/>
                <w:sz w:val="21"/>
                <w:szCs w:val="21"/>
              </w:rPr>
              <w:t>Cl</w:t>
            </w:r>
            <w:r w:rsidRPr="00E67914">
              <w:rPr>
                <w:rFonts w:ascii="Times New Roman" w:hAnsi="Times New Roman"/>
                <w:snapToGrid w:val="0"/>
                <w:sz w:val="21"/>
                <w:szCs w:val="21"/>
                <w:vertAlign w:val="superscript"/>
              </w:rPr>
              <w:t>-</w:t>
            </w:r>
            <w:r w:rsidRPr="00E67914">
              <w:rPr>
                <w:rFonts w:ascii="Times New Roman" w:hAnsi="Times New Roman"/>
                <w:snapToGrid w:val="0"/>
                <w:sz w:val="21"/>
                <w:szCs w:val="21"/>
              </w:rPr>
              <w:t>）</w:t>
            </w:r>
          </w:p>
        </w:tc>
        <w:tc>
          <w:tcPr>
            <w:tcW w:w="1330" w:type="pct"/>
            <w:vMerge w:val="restart"/>
            <w:vAlign w:val="center"/>
          </w:tcPr>
          <w:p w14:paraId="75CB61DB" w14:textId="77777777" w:rsidR="002F2518" w:rsidRPr="00E67914" w:rsidRDefault="002F2518" w:rsidP="002F2518">
            <w:pPr>
              <w:adjustRightInd w:val="0"/>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开工前</w:t>
            </w:r>
            <w:r w:rsidRPr="00E67914">
              <w:rPr>
                <w:rFonts w:ascii="Times New Roman" w:hAnsi="Times New Roman"/>
                <w:snapToGrid w:val="0"/>
                <w:sz w:val="21"/>
                <w:szCs w:val="21"/>
                <w:lang w:eastAsia="zh-CN"/>
              </w:rPr>
              <w:t>1</w:t>
            </w:r>
            <w:r w:rsidRPr="00E67914">
              <w:rPr>
                <w:rFonts w:ascii="Times New Roman" w:hAnsi="Times New Roman"/>
                <w:snapToGrid w:val="0"/>
                <w:sz w:val="21"/>
                <w:szCs w:val="21"/>
                <w:lang w:eastAsia="zh-CN"/>
              </w:rPr>
              <w:t>次，完钻后</w:t>
            </w:r>
            <w:r w:rsidRPr="00E67914">
              <w:rPr>
                <w:rFonts w:ascii="Times New Roman" w:hAnsi="Times New Roman"/>
                <w:snapToGrid w:val="0"/>
                <w:sz w:val="21"/>
                <w:szCs w:val="21"/>
                <w:lang w:eastAsia="zh-CN"/>
              </w:rPr>
              <w:t>1</w:t>
            </w:r>
            <w:r w:rsidRPr="00E67914">
              <w:rPr>
                <w:rFonts w:ascii="Times New Roman" w:hAnsi="Times New Roman"/>
                <w:snapToGrid w:val="0"/>
                <w:sz w:val="21"/>
                <w:szCs w:val="21"/>
                <w:lang w:eastAsia="zh-CN"/>
              </w:rPr>
              <w:t>次，发生事故时加密监测；试采期每年对</w:t>
            </w:r>
            <w:r w:rsidRPr="00E67914">
              <w:rPr>
                <w:rFonts w:ascii="Times New Roman" w:hAnsi="Times New Roman"/>
                <w:snapToGrid w:val="0"/>
                <w:sz w:val="21"/>
                <w:szCs w:val="21"/>
                <w:lang w:eastAsia="zh-CN"/>
              </w:rPr>
              <w:t>2#</w:t>
            </w:r>
            <w:r w:rsidRPr="00E67914">
              <w:rPr>
                <w:rFonts w:ascii="Times New Roman" w:hAnsi="Times New Roman"/>
                <w:snapToGrid w:val="0"/>
                <w:sz w:val="21"/>
                <w:szCs w:val="21"/>
                <w:lang w:eastAsia="zh-CN"/>
              </w:rPr>
              <w:t>点位例行监测一次，事故时加密监测</w:t>
            </w:r>
          </w:p>
        </w:tc>
      </w:tr>
      <w:tr w:rsidR="00E67914" w:rsidRPr="00E67914" w14:paraId="2C17790D" w14:textId="77777777">
        <w:trPr>
          <w:jc w:val="center"/>
        </w:trPr>
        <w:tc>
          <w:tcPr>
            <w:tcW w:w="1875" w:type="pct"/>
            <w:shd w:val="clear" w:color="auto" w:fill="FFFFFF"/>
            <w:vAlign w:val="center"/>
          </w:tcPr>
          <w:p w14:paraId="4804B8E6" w14:textId="7C5721F8" w:rsidR="002F2518" w:rsidRPr="00E67914" w:rsidRDefault="002F2518" w:rsidP="002F2518">
            <w:pPr>
              <w:adjustRightInd w:val="0"/>
              <w:snapToGrid w:val="0"/>
              <w:jc w:val="center"/>
              <w:rPr>
                <w:rFonts w:ascii="Times New Roman" w:hAnsi="Times New Roman"/>
                <w:sz w:val="21"/>
                <w:szCs w:val="21"/>
                <w:lang w:eastAsia="zh-CN"/>
              </w:rPr>
            </w:pPr>
            <w:r w:rsidRPr="00E67914">
              <w:rPr>
                <w:rFonts w:ascii="Times New Roman" w:hAnsi="Times New Roman"/>
                <w:szCs w:val="21"/>
                <w:lang w:eastAsia="zh-CN"/>
              </w:rPr>
              <w:t>普陆页</w:t>
            </w:r>
            <w:r w:rsidRPr="00E67914">
              <w:rPr>
                <w:rFonts w:ascii="Times New Roman" w:hAnsi="Times New Roman"/>
                <w:szCs w:val="21"/>
                <w:lang w:eastAsia="zh-CN"/>
              </w:rPr>
              <w:t>2</w:t>
            </w:r>
            <w:r w:rsidRPr="00E67914">
              <w:rPr>
                <w:rFonts w:ascii="Times New Roman" w:hAnsi="Times New Roman"/>
                <w:szCs w:val="21"/>
                <w:lang w:eastAsia="zh-CN"/>
              </w:rPr>
              <w:t>试采站南侧</w:t>
            </w:r>
            <w:r w:rsidRPr="00E67914">
              <w:rPr>
                <w:rFonts w:ascii="Times New Roman" w:hAnsi="Times New Roman"/>
                <w:szCs w:val="21"/>
                <w:lang w:eastAsia="zh-CN"/>
              </w:rPr>
              <w:t>250m</w:t>
            </w:r>
            <w:r w:rsidRPr="00E67914">
              <w:rPr>
                <w:rFonts w:ascii="Times New Roman" w:hAnsi="Times New Roman"/>
                <w:szCs w:val="21"/>
                <w:lang w:eastAsia="zh-CN"/>
              </w:rPr>
              <w:t>泉水点</w:t>
            </w:r>
          </w:p>
        </w:tc>
        <w:tc>
          <w:tcPr>
            <w:tcW w:w="513" w:type="pct"/>
            <w:vAlign w:val="center"/>
          </w:tcPr>
          <w:p w14:paraId="78363767" w14:textId="77777777" w:rsidR="002F2518" w:rsidRPr="00E67914" w:rsidRDefault="002F2518" w:rsidP="002F2518">
            <w:pPr>
              <w:adjustRightInd w:val="0"/>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rPr>
              <w:t>潜水层</w:t>
            </w:r>
          </w:p>
        </w:tc>
        <w:tc>
          <w:tcPr>
            <w:tcW w:w="598" w:type="pct"/>
            <w:vMerge/>
            <w:vAlign w:val="center"/>
          </w:tcPr>
          <w:p w14:paraId="52F8612E" w14:textId="77777777" w:rsidR="002F2518" w:rsidRPr="00E67914" w:rsidRDefault="002F2518" w:rsidP="002F2518">
            <w:pPr>
              <w:adjustRightInd w:val="0"/>
              <w:snapToGrid w:val="0"/>
              <w:jc w:val="center"/>
              <w:rPr>
                <w:rFonts w:ascii="Times New Roman" w:hAnsi="Times New Roman"/>
                <w:snapToGrid w:val="0"/>
                <w:sz w:val="21"/>
                <w:szCs w:val="21"/>
                <w:lang w:eastAsia="zh-CN"/>
              </w:rPr>
            </w:pPr>
          </w:p>
        </w:tc>
        <w:tc>
          <w:tcPr>
            <w:tcW w:w="684" w:type="pct"/>
            <w:vMerge/>
            <w:vAlign w:val="center"/>
          </w:tcPr>
          <w:p w14:paraId="1DB4F7CE" w14:textId="77777777" w:rsidR="002F2518" w:rsidRPr="00E67914" w:rsidRDefault="002F2518" w:rsidP="002F2518">
            <w:pPr>
              <w:adjustRightInd w:val="0"/>
              <w:snapToGrid w:val="0"/>
              <w:jc w:val="center"/>
              <w:rPr>
                <w:rFonts w:ascii="Times New Roman" w:hAnsi="Times New Roman"/>
                <w:snapToGrid w:val="0"/>
                <w:sz w:val="21"/>
                <w:szCs w:val="21"/>
                <w:lang w:eastAsia="zh-CN"/>
              </w:rPr>
            </w:pPr>
          </w:p>
        </w:tc>
        <w:tc>
          <w:tcPr>
            <w:tcW w:w="1330" w:type="pct"/>
            <w:vMerge/>
            <w:vAlign w:val="center"/>
          </w:tcPr>
          <w:p w14:paraId="4293685C" w14:textId="77777777" w:rsidR="002F2518" w:rsidRPr="00E67914" w:rsidRDefault="002F2518" w:rsidP="002F2518">
            <w:pPr>
              <w:adjustRightInd w:val="0"/>
              <w:snapToGrid w:val="0"/>
              <w:jc w:val="center"/>
              <w:rPr>
                <w:rFonts w:ascii="Times New Roman" w:hAnsi="Times New Roman"/>
                <w:snapToGrid w:val="0"/>
                <w:sz w:val="21"/>
                <w:szCs w:val="21"/>
                <w:lang w:eastAsia="zh-CN"/>
              </w:rPr>
            </w:pPr>
          </w:p>
        </w:tc>
      </w:tr>
    </w:tbl>
    <w:p w14:paraId="1B8BA338" w14:textId="77777777" w:rsidR="00A54A8A" w:rsidRPr="00E67914" w:rsidRDefault="00000000">
      <w:pPr>
        <w:adjustRightInd w:val="0"/>
        <w:snapToGrid w:val="0"/>
        <w:spacing w:beforeLines="50" w:before="120" w:line="360" w:lineRule="auto"/>
        <w:ind w:firstLineChars="200" w:firstLine="480"/>
        <w:jc w:val="both"/>
        <w:rPr>
          <w:rFonts w:ascii="Times New Roman" w:eastAsia="黑体" w:hAnsi="Times New Roman"/>
          <w:sz w:val="24"/>
          <w:szCs w:val="24"/>
          <w:lang w:eastAsia="zh-CN"/>
        </w:rPr>
      </w:pPr>
      <w:r w:rsidRPr="00E67914">
        <w:rPr>
          <w:rFonts w:ascii="Times New Roman" w:eastAsia="黑体" w:hAnsi="Times New Roman"/>
          <w:sz w:val="24"/>
          <w:szCs w:val="24"/>
          <w:lang w:eastAsia="zh-CN"/>
        </w:rPr>
        <w:t>6</w:t>
      </w:r>
      <w:r w:rsidRPr="00E67914">
        <w:rPr>
          <w:rFonts w:ascii="Times New Roman" w:eastAsia="黑体" w:hAnsi="Times New Roman"/>
          <w:sz w:val="24"/>
          <w:szCs w:val="24"/>
          <w:lang w:eastAsia="zh-CN"/>
        </w:rPr>
        <w:t>应急响应</w:t>
      </w:r>
    </w:p>
    <w:p w14:paraId="5701575C" w14:textId="77777777" w:rsidR="00A54A8A" w:rsidRPr="00E67914" w:rsidRDefault="00000000">
      <w:pPr>
        <w:adjustRightInd w:val="0"/>
        <w:snapToGrid w:val="0"/>
        <w:spacing w:line="360" w:lineRule="auto"/>
        <w:ind w:firstLineChars="200" w:firstLine="480"/>
        <w:rPr>
          <w:rFonts w:ascii="Times New Roman" w:hAnsi="Times New Roman"/>
          <w:sz w:val="24"/>
          <w:szCs w:val="24"/>
          <w:lang w:eastAsia="zh-CN"/>
        </w:rPr>
      </w:pPr>
      <w:r w:rsidRPr="00E67914">
        <w:rPr>
          <w:rFonts w:ascii="Times New Roman" w:hAnsi="Times New Roman"/>
          <w:sz w:val="24"/>
          <w:szCs w:val="24"/>
          <w:lang w:eastAsia="zh-CN"/>
        </w:rPr>
        <w:t>无论预防工作如何周密，地下水污染事故总是难以根本杜绝，制定地下水污染应急响应是要迅速而有效的将事故损失减至最小，应急响应如图</w:t>
      </w:r>
      <w:r w:rsidRPr="00E67914">
        <w:rPr>
          <w:rFonts w:ascii="Times New Roman" w:hAnsi="Times New Roman"/>
          <w:sz w:val="24"/>
          <w:szCs w:val="24"/>
          <w:lang w:eastAsia="zh-CN"/>
        </w:rPr>
        <w:t>7.1-3</w:t>
      </w:r>
      <w:r w:rsidRPr="00E67914">
        <w:rPr>
          <w:rFonts w:ascii="Times New Roman" w:hAnsi="Times New Roman"/>
          <w:sz w:val="24"/>
          <w:szCs w:val="24"/>
          <w:lang w:eastAsia="zh-CN"/>
        </w:rPr>
        <w:t>。</w:t>
      </w:r>
    </w:p>
    <w:p w14:paraId="69815137" w14:textId="77777777" w:rsidR="00A54A8A" w:rsidRPr="00E67914" w:rsidRDefault="00000000">
      <w:pPr>
        <w:adjustRightInd w:val="0"/>
        <w:snapToGrid w:val="0"/>
        <w:spacing w:line="360" w:lineRule="auto"/>
        <w:jc w:val="center"/>
        <w:rPr>
          <w:rFonts w:ascii="Times New Roman" w:hAnsi="Times New Roman"/>
          <w:szCs w:val="24"/>
        </w:rPr>
      </w:pPr>
      <w:r w:rsidRPr="00E67914">
        <w:rPr>
          <w:rFonts w:ascii="Times New Roman" w:eastAsia="黑体" w:hAnsi="Times New Roman"/>
          <w:noProof/>
          <w:sz w:val="21"/>
          <w:szCs w:val="21"/>
          <w:lang w:eastAsia="zh-CN"/>
        </w:rPr>
        <w:lastRenderedPageBreak/>
        <w:drawing>
          <wp:inline distT="0" distB="0" distL="0" distR="0" wp14:anchorId="0EC14137" wp14:editId="26EF8C96">
            <wp:extent cx="3823970" cy="4311015"/>
            <wp:effectExtent l="0" t="0" r="5080" b="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158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3823970" cy="4311015"/>
                    </a:xfrm>
                    <a:prstGeom prst="rect">
                      <a:avLst/>
                    </a:prstGeom>
                    <a:noFill/>
                    <a:ln>
                      <a:noFill/>
                    </a:ln>
                  </pic:spPr>
                </pic:pic>
              </a:graphicData>
            </a:graphic>
          </wp:inline>
        </w:drawing>
      </w:r>
    </w:p>
    <w:p w14:paraId="2115A14B" w14:textId="77777777"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7.1-3  </w:t>
      </w:r>
      <w:r w:rsidRPr="00E67914">
        <w:rPr>
          <w:rFonts w:ascii="Times New Roman" w:eastAsia="黑体" w:hAnsi="Times New Roman"/>
          <w:sz w:val="21"/>
          <w:szCs w:val="21"/>
          <w:lang w:eastAsia="zh-CN"/>
        </w:rPr>
        <w:t>地下水污染应急响应程序图</w:t>
      </w:r>
    </w:p>
    <w:p w14:paraId="55D98CD1"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1</w:t>
      </w:r>
      <w:r w:rsidRPr="00E67914">
        <w:rPr>
          <w:rFonts w:ascii="Times New Roman" w:hAnsi="Times New Roman"/>
          <w:b/>
          <w:bCs/>
          <w:sz w:val="24"/>
          <w:szCs w:val="24"/>
          <w:lang w:eastAsia="zh-CN"/>
        </w:rPr>
        <w:t>）风险应急预案</w:t>
      </w:r>
    </w:p>
    <w:p w14:paraId="15FC0E36"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建设单位应根据《中华人民共和国水污染防治法》编制相应的应急方案，并按照《关于印发</w:t>
      </w:r>
      <w:r w:rsidRPr="00E67914">
        <w:rPr>
          <w:rFonts w:ascii="Times New Roman" w:hAnsi="Times New Roman"/>
          <w:sz w:val="24"/>
          <w:szCs w:val="24"/>
          <w:lang w:eastAsia="zh-CN"/>
        </w:rPr>
        <w:t>&lt;</w:t>
      </w:r>
      <w:r w:rsidRPr="00E67914">
        <w:rPr>
          <w:rFonts w:ascii="Times New Roman" w:hAnsi="Times New Roman"/>
          <w:sz w:val="24"/>
          <w:szCs w:val="24"/>
          <w:lang w:eastAsia="zh-CN"/>
        </w:rPr>
        <w:t>企业突发环境事件风险评估指南（试行）的通知</w:t>
      </w:r>
      <w:r w:rsidRPr="00E67914">
        <w:rPr>
          <w:rFonts w:ascii="Times New Roman" w:hAnsi="Times New Roman"/>
          <w:sz w:val="24"/>
          <w:szCs w:val="24"/>
          <w:lang w:eastAsia="zh-CN"/>
        </w:rPr>
        <w:t>&gt;</w:t>
      </w:r>
      <w:r w:rsidRPr="00E67914">
        <w:rPr>
          <w:rFonts w:ascii="Times New Roman" w:hAnsi="Times New Roman"/>
          <w:sz w:val="24"/>
          <w:szCs w:val="24"/>
          <w:lang w:eastAsia="zh-CN"/>
        </w:rPr>
        <w:t>》（环办〔</w:t>
      </w:r>
      <w:r w:rsidRPr="00E67914">
        <w:rPr>
          <w:rFonts w:ascii="Times New Roman" w:hAnsi="Times New Roman"/>
          <w:sz w:val="24"/>
          <w:szCs w:val="24"/>
          <w:lang w:eastAsia="zh-CN"/>
        </w:rPr>
        <w:t>2014</w:t>
      </w:r>
      <w:r w:rsidRPr="00E67914">
        <w:rPr>
          <w:rFonts w:ascii="Times New Roman" w:hAnsi="Times New Roman"/>
          <w:sz w:val="24"/>
          <w:szCs w:val="24"/>
          <w:lang w:eastAsia="zh-CN"/>
        </w:rPr>
        <w:t>〕</w:t>
      </w:r>
      <w:r w:rsidRPr="00E67914">
        <w:rPr>
          <w:rFonts w:ascii="Times New Roman" w:hAnsi="Times New Roman"/>
          <w:sz w:val="24"/>
          <w:szCs w:val="24"/>
          <w:lang w:eastAsia="zh-CN"/>
        </w:rPr>
        <w:t>34</w:t>
      </w:r>
      <w:r w:rsidRPr="00E67914">
        <w:rPr>
          <w:rFonts w:ascii="Times New Roman" w:hAnsi="Times New Roman"/>
          <w:sz w:val="24"/>
          <w:szCs w:val="24"/>
          <w:lang w:eastAsia="zh-CN"/>
        </w:rPr>
        <w:t>号），将地下水风险纳入建设单位环境风险事故评估中，防止对周围地下水环境造成污染。</w:t>
      </w:r>
    </w:p>
    <w:p w14:paraId="01B9F0C2"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2</w:t>
      </w:r>
      <w:r w:rsidRPr="00E67914">
        <w:rPr>
          <w:rFonts w:ascii="Times New Roman" w:hAnsi="Times New Roman"/>
          <w:b/>
          <w:bCs/>
          <w:sz w:val="24"/>
          <w:szCs w:val="24"/>
          <w:lang w:eastAsia="zh-CN"/>
        </w:rPr>
        <w:t>）成立事故应急对策指挥中心</w:t>
      </w:r>
    </w:p>
    <w:p w14:paraId="5555EC5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成立由多个部门组成的事故应急对策指挥中心，负责发生事故后进行统一指挥、协调处理好抢险工作。</w:t>
      </w:r>
    </w:p>
    <w:p w14:paraId="5C5973DE"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3</w:t>
      </w:r>
      <w:r w:rsidRPr="00E67914">
        <w:rPr>
          <w:rFonts w:ascii="Times New Roman" w:hAnsi="Times New Roman"/>
          <w:b/>
          <w:bCs/>
          <w:sz w:val="24"/>
          <w:szCs w:val="24"/>
          <w:lang w:eastAsia="zh-CN"/>
        </w:rPr>
        <w:t>）建立事故应急通报网络</w:t>
      </w:r>
    </w:p>
    <w:p w14:paraId="6EBEF273"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发生事故后，现场操作人员应立即向负责人报警，第一时间通知相关部门协作，采取应急防护措施。负责人在接报后立即确认事故位置及大小，及时向事故应急对策指挥中心报警，事故应急对策指挥中心在接报后，按照应急指挥程序，立即向环保部门、卫生部门、消防部门等请示，进行抢险工作。应急响应的过程可分为接警、判断响应级别、应急启动、控制及救援行动、扩大应急、</w:t>
      </w:r>
      <w:r w:rsidRPr="00E67914">
        <w:rPr>
          <w:rFonts w:ascii="Times New Roman" w:hAnsi="Times New Roman"/>
          <w:sz w:val="24"/>
          <w:szCs w:val="24"/>
          <w:lang w:eastAsia="zh-CN"/>
        </w:rPr>
        <w:lastRenderedPageBreak/>
        <w:t>应急终止和后期处置等步骤。应针对应急响应分布制定应急程序，并按事先制定程序指导事故应急响应。</w:t>
      </w:r>
    </w:p>
    <w:p w14:paraId="2E6807B6" w14:textId="77777777" w:rsidR="00A54A8A" w:rsidRPr="00E67914" w:rsidRDefault="00000000">
      <w:pPr>
        <w:adjustRightInd w:val="0"/>
        <w:snapToGrid w:val="0"/>
        <w:spacing w:line="360" w:lineRule="auto"/>
        <w:ind w:firstLineChars="200" w:firstLine="482"/>
        <w:jc w:val="both"/>
        <w:rPr>
          <w:rFonts w:ascii="Times New Roman" w:hAnsi="Times New Roman"/>
          <w:b/>
          <w:bCs/>
          <w:sz w:val="24"/>
          <w:szCs w:val="24"/>
          <w:lang w:eastAsia="zh-CN"/>
        </w:rPr>
      </w:pPr>
      <w:r w:rsidRPr="00E67914">
        <w:rPr>
          <w:rFonts w:ascii="Times New Roman" w:hAnsi="Times New Roman"/>
          <w:b/>
          <w:bCs/>
          <w:sz w:val="24"/>
          <w:szCs w:val="24"/>
          <w:lang w:eastAsia="zh-CN"/>
        </w:rPr>
        <w:t>（</w:t>
      </w:r>
      <w:r w:rsidRPr="00E67914">
        <w:rPr>
          <w:rFonts w:ascii="Times New Roman" w:hAnsi="Times New Roman"/>
          <w:b/>
          <w:bCs/>
          <w:sz w:val="24"/>
          <w:szCs w:val="24"/>
          <w:lang w:eastAsia="zh-CN"/>
        </w:rPr>
        <w:t>4</w:t>
      </w:r>
      <w:r w:rsidRPr="00E67914">
        <w:rPr>
          <w:rFonts w:ascii="Times New Roman" w:hAnsi="Times New Roman"/>
          <w:b/>
          <w:bCs/>
          <w:sz w:val="24"/>
          <w:szCs w:val="24"/>
          <w:lang w:eastAsia="zh-CN"/>
        </w:rPr>
        <w:t>）应急措施</w:t>
      </w:r>
    </w:p>
    <w:p w14:paraId="67FC942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一旦发生井漏等地下水污染事故，应立即启动应急预案，迅速控制项目污染现场，切断污染源，划定污染可能波及的范围，在划定圈内的群众在井中取水的，要求立即停止使用，严禁人畜饮用，对水源进行监控，防止水污染中毒，并随时准备启动供水替代方案。同时根据本项目下伏含水层地下水水质进行跟踪监测，一旦发现地下水受到污染，应及时采取必要的水动力阻隔措施。</w:t>
      </w:r>
    </w:p>
    <w:p w14:paraId="5FCD71FD" w14:textId="21CEE9EA"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综上所述，本项目施工期针对地下水环境采取的措施符合《环境影响评价技术导则</w:t>
      </w:r>
      <w:r w:rsidRPr="00E67914">
        <w:rPr>
          <w:rFonts w:ascii="Times New Roman" w:hAnsi="Times New Roman"/>
          <w:sz w:val="24"/>
          <w:szCs w:val="24"/>
          <w:lang w:eastAsia="zh-CN"/>
        </w:rPr>
        <w:t xml:space="preserve"> </w:t>
      </w:r>
      <w:r w:rsidRPr="00E67914">
        <w:rPr>
          <w:rFonts w:ascii="Times New Roman" w:hAnsi="Times New Roman"/>
          <w:sz w:val="24"/>
          <w:szCs w:val="24"/>
          <w:lang w:eastAsia="zh-CN"/>
        </w:rPr>
        <w:t>地下水环境》（</w:t>
      </w:r>
      <w:r w:rsidRPr="00E67914">
        <w:rPr>
          <w:rFonts w:ascii="Times New Roman" w:hAnsi="Times New Roman"/>
          <w:sz w:val="24"/>
          <w:szCs w:val="24"/>
          <w:lang w:eastAsia="zh-CN"/>
        </w:rPr>
        <w:t>HJ610-2016</w:t>
      </w:r>
      <w:r w:rsidRPr="00E67914">
        <w:rPr>
          <w:rFonts w:ascii="Times New Roman" w:hAnsi="Times New Roman"/>
          <w:sz w:val="24"/>
          <w:szCs w:val="24"/>
          <w:lang w:eastAsia="zh-CN"/>
        </w:rPr>
        <w:t>），在川东北地区钻采工程中已实施多年，具有较好的借鉴经验。根据本井场已经完钻的原</w:t>
      </w:r>
      <w:r w:rsidR="00902A04" w:rsidRPr="00E67914">
        <w:rPr>
          <w:rFonts w:ascii="Times New Roman" w:hAnsi="Times New Roman"/>
          <w:sz w:val="24"/>
          <w:szCs w:val="24"/>
          <w:lang w:eastAsia="zh-CN"/>
        </w:rPr>
        <w:t>普陆页</w:t>
      </w:r>
      <w:r w:rsidR="00902A04" w:rsidRPr="00E67914">
        <w:rPr>
          <w:rFonts w:ascii="Times New Roman" w:hAnsi="Times New Roman"/>
          <w:sz w:val="24"/>
          <w:szCs w:val="24"/>
          <w:lang w:eastAsia="zh-CN"/>
        </w:rPr>
        <w:t>2</w:t>
      </w:r>
      <w:r w:rsidR="00902A04" w:rsidRPr="00E67914">
        <w:rPr>
          <w:rFonts w:ascii="Times New Roman" w:hAnsi="Times New Roman"/>
          <w:sz w:val="24"/>
          <w:szCs w:val="24"/>
          <w:lang w:eastAsia="zh-CN"/>
        </w:rPr>
        <w:t>试采站</w:t>
      </w:r>
      <w:r w:rsidRPr="00E67914">
        <w:rPr>
          <w:rFonts w:ascii="Times New Roman" w:hAnsi="Times New Roman"/>
          <w:sz w:val="24"/>
          <w:szCs w:val="24"/>
          <w:lang w:eastAsia="zh-CN"/>
        </w:rPr>
        <w:t>和其他中石化川东北地区钻采工程采用相同地下水污染防治措施，到目前为止，</w:t>
      </w:r>
      <w:r w:rsidRPr="00E67914">
        <w:rPr>
          <w:rFonts w:ascii="Times New Roman" w:hAnsi="Times New Roman"/>
          <w:sz w:val="24"/>
          <w:lang w:eastAsia="zh-CN"/>
        </w:rPr>
        <w:t>中原油田普光分公司</w:t>
      </w:r>
      <w:r w:rsidRPr="00E67914">
        <w:rPr>
          <w:rFonts w:ascii="Times New Roman" w:hAnsi="Times New Roman"/>
          <w:sz w:val="24"/>
          <w:szCs w:val="24"/>
          <w:lang w:eastAsia="zh-CN"/>
        </w:rPr>
        <w:t>未收到地下水污染方面的环保投诉。因此，本项目施工期地下水防治措施从经济和环保角度分析是合理、可行的。</w:t>
      </w:r>
    </w:p>
    <w:p w14:paraId="679AE979"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30" w:name="6.1.3施工噪声防治措施及可行性分析"/>
      <w:bookmarkEnd w:id="230"/>
      <w:r w:rsidRPr="00E67914">
        <w:rPr>
          <w:rFonts w:ascii="Times New Roman" w:eastAsia="黑体" w:hAnsi="Times New Roman"/>
          <w:b w:val="0"/>
          <w:sz w:val="24"/>
          <w:szCs w:val="24"/>
          <w:lang w:eastAsia="zh-CN"/>
        </w:rPr>
        <w:t>7.1.5</w:t>
      </w:r>
      <w:r w:rsidRPr="00E67914">
        <w:rPr>
          <w:rFonts w:ascii="Times New Roman" w:eastAsia="黑体" w:hAnsi="Times New Roman"/>
          <w:b w:val="0"/>
          <w:sz w:val="24"/>
          <w:szCs w:val="24"/>
          <w:lang w:eastAsia="zh-CN"/>
        </w:rPr>
        <w:t>施工噪声防治措施及可行性分析</w:t>
      </w:r>
    </w:p>
    <w:p w14:paraId="3CFBBCB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对于钻井噪声，目前还没有针对声源的十分经济有效的防治措施，主要是选用低噪声设备，再通过合理的井场布局来减轻噪声的影响。为进一步降低噪声对周边居民的影响，施工期间建设单位应采取如下措施：</w:t>
      </w:r>
    </w:p>
    <w:p w14:paraId="2084B38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1</w:t>
      </w:r>
      <w:r w:rsidRPr="00E67914">
        <w:rPr>
          <w:rFonts w:ascii="Times New Roman" w:hAnsi="Times New Roman"/>
          <w:bCs/>
          <w:kern w:val="2"/>
          <w:lang w:eastAsia="zh-CN"/>
        </w:rPr>
        <w:t>）本项目新钻井设备安装等少量钻前施工前应作好沟通工作，合理安排作业时间，尽量避免午间</w:t>
      </w:r>
      <w:r w:rsidRPr="00E67914">
        <w:rPr>
          <w:rFonts w:ascii="Times New Roman" w:hAnsi="Times New Roman"/>
          <w:bCs/>
          <w:kern w:val="2"/>
          <w:lang w:eastAsia="zh-CN"/>
        </w:rPr>
        <w:t>12:00~14:00</w:t>
      </w:r>
      <w:r w:rsidRPr="00E67914">
        <w:rPr>
          <w:rFonts w:ascii="Times New Roman" w:hAnsi="Times New Roman"/>
          <w:bCs/>
          <w:kern w:val="2"/>
          <w:lang w:eastAsia="zh-CN"/>
        </w:rPr>
        <w:t>和夜间</w:t>
      </w:r>
      <w:r w:rsidRPr="00E67914">
        <w:rPr>
          <w:rFonts w:ascii="Times New Roman" w:hAnsi="Times New Roman"/>
          <w:bCs/>
          <w:kern w:val="2"/>
          <w:lang w:eastAsia="zh-CN"/>
        </w:rPr>
        <w:t>22:00~7:00</w:t>
      </w:r>
      <w:r w:rsidRPr="00E67914">
        <w:rPr>
          <w:rFonts w:ascii="Times New Roman" w:hAnsi="Times New Roman"/>
          <w:bCs/>
          <w:kern w:val="2"/>
          <w:lang w:eastAsia="zh-CN"/>
        </w:rPr>
        <w:t>施工，并尽量缩短施工周期。</w:t>
      </w:r>
    </w:p>
    <w:p w14:paraId="1DE8B24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2</w:t>
      </w:r>
      <w:r w:rsidRPr="00E67914">
        <w:rPr>
          <w:rFonts w:ascii="Times New Roman" w:hAnsi="Times New Roman"/>
          <w:bCs/>
          <w:kern w:val="2"/>
          <w:lang w:eastAsia="zh-CN"/>
        </w:rPr>
        <w:t>）合理布置主要噪声源，使其尽量远离农户居住地；为办公及生活提供电力的发电机设置发电机房，采用特殊的减震，并安装吸声材料；为钻机提供动力的柴油机安装消声装置和设置减震基础；钻井设备、泥浆泵基础设置减震垫；空压机和增压机安装在房间内，隔声并安装减震垫层。</w:t>
      </w:r>
    </w:p>
    <w:p w14:paraId="030B9B38"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3</w:t>
      </w:r>
      <w:r w:rsidRPr="00E67914">
        <w:rPr>
          <w:rFonts w:ascii="Times New Roman" w:hAnsi="Times New Roman"/>
          <w:bCs/>
          <w:kern w:val="2"/>
          <w:lang w:eastAsia="zh-CN"/>
        </w:rPr>
        <w:t>）建设单位应做好与地方供电部门的沟通工作，确保供电正常，尽量减少备用柴油机的启用。为办公及生活提供电力的备用发电机设置发电机房，采用特殊的减震，并安装吸声材料；泥浆泵设置泵房；为钻机提供动力的柴油机安装消声装置和设置减震基础。</w:t>
      </w:r>
    </w:p>
    <w:p w14:paraId="6F4E75E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lastRenderedPageBreak/>
        <w:t>（</w:t>
      </w:r>
      <w:r w:rsidRPr="00E67914">
        <w:rPr>
          <w:rFonts w:ascii="Times New Roman" w:hAnsi="Times New Roman"/>
          <w:bCs/>
          <w:kern w:val="2"/>
          <w:lang w:eastAsia="zh-CN"/>
        </w:rPr>
        <w:t>4</w:t>
      </w:r>
      <w:r w:rsidRPr="00E67914">
        <w:rPr>
          <w:rFonts w:ascii="Times New Roman" w:hAnsi="Times New Roman"/>
          <w:bCs/>
          <w:kern w:val="2"/>
          <w:lang w:eastAsia="zh-CN"/>
        </w:rPr>
        <w:t>）施工方在施工期间应加强施工管理，柴油机、泥浆泵等设备应做好日常维护，同时在操作时做到平稳操作，避免特种作业时产生非正常的噪声；在夜间作业时，应平稳操作，尽量避免敲击噪声；加强施工人员的管理和教育，减少不必要的金属敲击声和人为噪声。</w:t>
      </w:r>
    </w:p>
    <w:p w14:paraId="300D1DF8"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5</w:t>
      </w:r>
      <w:r w:rsidRPr="00E67914">
        <w:rPr>
          <w:rFonts w:ascii="Times New Roman" w:hAnsi="Times New Roman"/>
          <w:bCs/>
          <w:kern w:val="2"/>
          <w:lang w:eastAsia="zh-CN"/>
        </w:rPr>
        <w:t>）运输车辆沿规定路线行驶，减少鸣笛，经过村庄等居民区时缓慢平稳行驶。</w:t>
      </w:r>
    </w:p>
    <w:p w14:paraId="02438CC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6</w:t>
      </w:r>
      <w:r w:rsidRPr="00E67914">
        <w:rPr>
          <w:rFonts w:ascii="Times New Roman" w:hAnsi="Times New Roman"/>
          <w:bCs/>
          <w:kern w:val="2"/>
          <w:lang w:eastAsia="zh-CN"/>
        </w:rPr>
        <w:t>）放喷池设置三面建</w:t>
      </w:r>
      <w:r w:rsidRPr="00E67914">
        <w:rPr>
          <w:rFonts w:ascii="Times New Roman" w:hAnsi="Times New Roman"/>
          <w:bCs/>
          <w:kern w:val="2"/>
          <w:lang w:eastAsia="zh-CN"/>
        </w:rPr>
        <w:t>3m</w:t>
      </w:r>
      <w:r w:rsidRPr="00E67914">
        <w:rPr>
          <w:rFonts w:ascii="Times New Roman" w:hAnsi="Times New Roman"/>
          <w:bCs/>
          <w:kern w:val="2"/>
          <w:lang w:eastAsia="zh-CN"/>
        </w:rPr>
        <w:t>的围墙，可以降低一定的噪声。</w:t>
      </w:r>
    </w:p>
    <w:p w14:paraId="747CBEC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7</w:t>
      </w:r>
      <w:r w:rsidRPr="00E67914">
        <w:rPr>
          <w:rFonts w:ascii="Times New Roman" w:hAnsi="Times New Roman"/>
          <w:bCs/>
          <w:kern w:val="2"/>
          <w:lang w:eastAsia="zh-CN"/>
        </w:rPr>
        <w:t>）放喷测试前，建设方和当地政府应对距放喷口一定范围内（该距离根据行安全预评价预测结果来确定）的居民进行临时撤离并建立警戒点进行</w:t>
      </w:r>
      <w:r w:rsidRPr="00E67914">
        <w:rPr>
          <w:rFonts w:ascii="Times New Roman" w:hAnsi="Times New Roman"/>
          <w:bCs/>
          <w:kern w:val="2"/>
          <w:lang w:eastAsia="zh-CN"/>
        </w:rPr>
        <w:t>24h</w:t>
      </w:r>
      <w:r w:rsidRPr="00E67914">
        <w:rPr>
          <w:rFonts w:ascii="Times New Roman" w:hAnsi="Times New Roman"/>
          <w:bCs/>
          <w:kern w:val="2"/>
          <w:lang w:eastAsia="zh-CN"/>
        </w:rPr>
        <w:t>警戒，能有效避免测试放喷噪声对周边居民影响。</w:t>
      </w:r>
    </w:p>
    <w:p w14:paraId="70AED3BF" w14:textId="36CF2E6F"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综上所述，本项目施工期声环境保护措施，在川东北地区钻采工程中已实施多年，具有较好的借鉴经验。根据本井场已经完钻的原</w:t>
      </w:r>
      <w:r w:rsidR="00902A04" w:rsidRPr="00E67914">
        <w:rPr>
          <w:rFonts w:ascii="Times New Roman" w:hAnsi="Times New Roman"/>
          <w:sz w:val="24"/>
          <w:szCs w:val="24"/>
          <w:lang w:eastAsia="zh-CN"/>
        </w:rPr>
        <w:t>普陆页</w:t>
      </w:r>
      <w:r w:rsidR="00902A04" w:rsidRPr="00E67914">
        <w:rPr>
          <w:rFonts w:ascii="Times New Roman" w:hAnsi="Times New Roman"/>
          <w:sz w:val="24"/>
          <w:szCs w:val="24"/>
          <w:lang w:eastAsia="zh-CN"/>
        </w:rPr>
        <w:t>2</w:t>
      </w:r>
      <w:r w:rsidR="00902A04" w:rsidRPr="00E67914">
        <w:rPr>
          <w:rFonts w:ascii="Times New Roman" w:hAnsi="Times New Roman"/>
          <w:sz w:val="24"/>
          <w:szCs w:val="24"/>
          <w:lang w:eastAsia="zh-CN"/>
        </w:rPr>
        <w:t>试采站</w:t>
      </w:r>
      <w:r w:rsidRPr="00E67914">
        <w:rPr>
          <w:rFonts w:ascii="Times New Roman" w:hAnsi="Times New Roman"/>
          <w:sz w:val="24"/>
          <w:szCs w:val="24"/>
          <w:lang w:eastAsia="zh-CN"/>
        </w:rPr>
        <w:t>和其他中石化川东北地区钻采工程采用相同噪声污染防治措施，治理措施有效可行。因此，本项目施工期噪声污染防治措施从经济和环保角度分析是合理、可行的。</w:t>
      </w:r>
    </w:p>
    <w:p w14:paraId="7DFE2ADD"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31" w:name="6.1.4固体废物污染防治措施"/>
      <w:bookmarkEnd w:id="231"/>
      <w:r w:rsidRPr="00E67914">
        <w:rPr>
          <w:rFonts w:ascii="Times New Roman" w:eastAsia="黑体" w:hAnsi="Times New Roman"/>
          <w:b w:val="0"/>
          <w:sz w:val="24"/>
          <w:szCs w:val="24"/>
          <w:lang w:eastAsia="zh-CN"/>
        </w:rPr>
        <w:t>7.1.6</w:t>
      </w:r>
      <w:r w:rsidRPr="00E67914">
        <w:rPr>
          <w:rFonts w:ascii="Times New Roman" w:eastAsia="黑体" w:hAnsi="Times New Roman"/>
          <w:b w:val="0"/>
          <w:sz w:val="24"/>
          <w:szCs w:val="24"/>
          <w:lang w:eastAsia="zh-CN"/>
        </w:rPr>
        <w:t>施工期土壤环境污染防治措施</w:t>
      </w:r>
    </w:p>
    <w:p w14:paraId="1ABF5075" w14:textId="77777777" w:rsidR="00A54A8A" w:rsidRPr="00E67914" w:rsidRDefault="00000000">
      <w:pPr>
        <w:spacing w:line="360" w:lineRule="auto"/>
        <w:ind w:firstLineChars="200" w:firstLine="480"/>
        <w:rPr>
          <w:rFonts w:ascii="Times New Roman" w:eastAsia="黑体" w:hAnsi="Times New Roman"/>
          <w:sz w:val="24"/>
          <w:lang w:eastAsia="zh-CN"/>
        </w:rPr>
      </w:pPr>
      <w:r w:rsidRPr="00E67914">
        <w:rPr>
          <w:rFonts w:ascii="Times New Roman" w:eastAsia="黑体" w:hAnsi="Times New Roman"/>
          <w:sz w:val="24"/>
          <w:lang w:eastAsia="zh-CN"/>
        </w:rPr>
        <w:t>1</w:t>
      </w:r>
      <w:r w:rsidRPr="00E67914">
        <w:rPr>
          <w:rFonts w:ascii="Times New Roman" w:eastAsia="黑体" w:hAnsi="Times New Roman"/>
          <w:sz w:val="24"/>
          <w:lang w:eastAsia="zh-CN"/>
        </w:rPr>
        <w:t>、源头控制措施</w:t>
      </w:r>
    </w:p>
    <w:p w14:paraId="387E48D5"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从钻井原辅材料和污染物（废水、废油、钻井固废）储存、装卸、运输、钻井过程等全过程控制各种有毒有害原辅材料、中间材料（循环泥浆）、污染物（废水、废油、钻井固废）泄漏（含跑、冒、滴、漏），同时对有害物质可能泄漏到地面的区域采取防渗措施，阻止其进入土壤中，即从源头到末端全方位采取控制措施，防止项目的建设对土壤造成污染。</w:t>
      </w:r>
    </w:p>
    <w:p w14:paraId="5FBCF349"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从钻井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14:paraId="6ECE248A" w14:textId="77777777" w:rsidR="00A54A8A" w:rsidRPr="00E67914" w:rsidRDefault="00000000">
      <w:pPr>
        <w:spacing w:line="360" w:lineRule="auto"/>
        <w:ind w:firstLineChars="200" w:firstLine="480"/>
        <w:rPr>
          <w:rFonts w:ascii="Times New Roman" w:eastAsia="黑体" w:hAnsi="Times New Roman"/>
          <w:sz w:val="24"/>
          <w:lang w:eastAsia="zh-CN"/>
        </w:rPr>
      </w:pPr>
      <w:r w:rsidRPr="00E67914">
        <w:rPr>
          <w:rFonts w:ascii="Times New Roman" w:eastAsia="黑体" w:hAnsi="Times New Roman"/>
          <w:sz w:val="24"/>
          <w:lang w:eastAsia="zh-CN"/>
        </w:rPr>
        <w:t>2</w:t>
      </w:r>
      <w:r w:rsidRPr="00E67914">
        <w:rPr>
          <w:rFonts w:ascii="Times New Roman" w:eastAsia="黑体" w:hAnsi="Times New Roman"/>
          <w:sz w:val="24"/>
          <w:lang w:eastAsia="zh-CN"/>
        </w:rPr>
        <w:t>、过程控制措施</w:t>
      </w:r>
    </w:p>
    <w:p w14:paraId="755CA6FC"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1</w:t>
      </w:r>
      <w:r w:rsidRPr="00E67914">
        <w:rPr>
          <w:rFonts w:ascii="Times New Roman" w:hAnsi="Times New Roman"/>
          <w:b/>
          <w:bCs/>
          <w:sz w:val="24"/>
          <w:lang w:eastAsia="zh-CN"/>
        </w:rPr>
        <w:t>）地面漫流污染途径治理措施</w:t>
      </w:r>
    </w:p>
    <w:p w14:paraId="7E7EFE44"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对泥浆不落地技术工艺区域及泥浆循环系统、泥浆料台区、油罐区、柴油机组区均设置了防雨棚，危险废物、发电机均设在活动房内，方井周边、放喷池、污水池在雨天加盖篷布，避免暴雨引起废水、废油外溢形成地面漫流。并</w:t>
      </w:r>
      <w:r w:rsidRPr="00E67914">
        <w:rPr>
          <w:rFonts w:ascii="Times New Roman" w:hAnsi="Times New Roman"/>
          <w:sz w:val="24"/>
          <w:lang w:eastAsia="zh-CN"/>
        </w:rPr>
        <w:lastRenderedPageBreak/>
        <w:t>在废水收集罐周围设置</w:t>
      </w:r>
      <w:r w:rsidRPr="00E67914">
        <w:rPr>
          <w:rFonts w:ascii="Times New Roman" w:hAnsi="Times New Roman"/>
          <w:sz w:val="24"/>
          <w:lang w:eastAsia="zh-CN"/>
        </w:rPr>
        <w:t>0.5m</w:t>
      </w:r>
      <w:r w:rsidRPr="00E67914">
        <w:rPr>
          <w:rFonts w:ascii="Times New Roman" w:hAnsi="Times New Roman"/>
          <w:sz w:val="24"/>
          <w:lang w:eastAsia="zh-CN"/>
        </w:rPr>
        <w:t>高围堰，防止废水外溢；油罐区周围设置</w:t>
      </w:r>
      <w:r w:rsidRPr="00E67914">
        <w:rPr>
          <w:rFonts w:ascii="Times New Roman" w:hAnsi="Times New Roman"/>
          <w:sz w:val="24"/>
          <w:lang w:eastAsia="zh-CN"/>
        </w:rPr>
        <w:t>0.15m</w:t>
      </w:r>
      <w:r w:rsidRPr="00E67914">
        <w:rPr>
          <w:rFonts w:ascii="Times New Roman" w:hAnsi="Times New Roman"/>
          <w:sz w:val="24"/>
          <w:lang w:eastAsia="zh-CN"/>
        </w:rPr>
        <w:t>高围堰及集油池，防止泄露油料外溢；放喷池最低面墙设置不低于</w:t>
      </w:r>
      <w:r w:rsidRPr="00E67914">
        <w:rPr>
          <w:rFonts w:ascii="Times New Roman" w:hAnsi="Times New Roman"/>
          <w:sz w:val="24"/>
          <w:lang w:eastAsia="zh-CN"/>
        </w:rPr>
        <w:t>0.5m</w:t>
      </w:r>
      <w:r w:rsidRPr="00E67914">
        <w:rPr>
          <w:rFonts w:ascii="Times New Roman" w:hAnsi="Times New Roman"/>
          <w:sz w:val="24"/>
          <w:lang w:eastAsia="zh-CN"/>
        </w:rPr>
        <w:t>，避免废水进入；井口作业区周边设置导流沟，将可能泄露的废水导流至集污坑；井场四周设置双环沟，外环沟与自然沟渠连接，便于排出场地内雨水等，内环沟用于收集井场内的雨水和可能产生的污水，汇入集污坑。通过以上措施全面防控事故废水和可能受污染的雨水发生地面漫流，进入土壤。</w:t>
      </w:r>
    </w:p>
    <w:p w14:paraId="68ED661F"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w:t>
      </w:r>
      <w:r w:rsidRPr="00E67914">
        <w:rPr>
          <w:rFonts w:ascii="Times New Roman" w:hAnsi="Times New Roman"/>
          <w:sz w:val="24"/>
          <w:lang w:eastAsia="zh-CN"/>
        </w:rPr>
        <w:t>2</w:t>
      </w:r>
      <w:r w:rsidRPr="00E67914">
        <w:rPr>
          <w:rFonts w:ascii="Times New Roman" w:hAnsi="Times New Roman"/>
          <w:sz w:val="24"/>
          <w:lang w:eastAsia="zh-CN"/>
        </w:rPr>
        <w:t>）垂直入渗污染途径治理措施</w:t>
      </w:r>
    </w:p>
    <w:p w14:paraId="767390FE" w14:textId="7B3EC595"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井场进行分区防渗，见地下水污染防治措施章节。对易泄漏的废水收集罐、废渣收集罐、泥浆储罐、泥浆循环罐、柴油罐、等罐体采用防腐、不易破损的材质，防治罐体腐蚀破裂导致污染物泄露；井场设备、管道阀门宜采用密封性好、不易腐蚀的，防止污染物通过阀门泄漏到地面上。</w:t>
      </w:r>
    </w:p>
    <w:p w14:paraId="4A8E6964" w14:textId="263996C4"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总的来说，地下水和土壤污染防治措施应按照</w:t>
      </w:r>
      <w:r w:rsidRPr="00E67914">
        <w:rPr>
          <w:rFonts w:ascii="Times New Roman" w:hAnsi="Times New Roman"/>
          <w:sz w:val="24"/>
          <w:lang w:eastAsia="zh-CN"/>
        </w:rPr>
        <w:t>“</w:t>
      </w:r>
      <w:r w:rsidRPr="00E67914">
        <w:rPr>
          <w:rFonts w:ascii="Times New Roman" w:hAnsi="Times New Roman"/>
          <w:sz w:val="24"/>
          <w:lang w:eastAsia="zh-CN"/>
        </w:rPr>
        <w:t>源头控制、分区防控、污染监控、应急响应</w:t>
      </w:r>
      <w:r w:rsidRPr="00E67914">
        <w:rPr>
          <w:rFonts w:ascii="Times New Roman" w:hAnsi="Times New Roman"/>
          <w:sz w:val="24"/>
          <w:lang w:eastAsia="zh-CN"/>
        </w:rPr>
        <w:t>”</w:t>
      </w:r>
      <w:r w:rsidRPr="00E67914">
        <w:rPr>
          <w:rFonts w:ascii="Times New Roman" w:hAnsi="Times New Roman"/>
          <w:sz w:val="24"/>
          <w:lang w:eastAsia="zh-CN"/>
        </w:rPr>
        <w:t>相结合的原则，从污染物的产生、入渗、扩散、应急响应进行控制。这些措施</w:t>
      </w:r>
      <w:r w:rsidRPr="00E67914">
        <w:rPr>
          <w:rFonts w:ascii="Times New Roman" w:hAnsi="Times New Roman"/>
          <w:sz w:val="24"/>
          <w:szCs w:val="24"/>
          <w:lang w:eastAsia="zh-CN"/>
        </w:rPr>
        <w:t>在川东北地区钻采工程中已实施多年，具有较好的借鉴经验。根据本井场已经完钻的原</w:t>
      </w:r>
      <w:r w:rsidR="00902A04" w:rsidRPr="00E67914">
        <w:rPr>
          <w:rFonts w:ascii="Times New Roman" w:hAnsi="Times New Roman"/>
          <w:sz w:val="24"/>
          <w:szCs w:val="24"/>
          <w:lang w:eastAsia="zh-CN"/>
        </w:rPr>
        <w:t>普陆页</w:t>
      </w:r>
      <w:r w:rsidR="00902A04" w:rsidRPr="00E67914">
        <w:rPr>
          <w:rFonts w:ascii="Times New Roman" w:hAnsi="Times New Roman"/>
          <w:sz w:val="24"/>
          <w:szCs w:val="24"/>
          <w:lang w:eastAsia="zh-CN"/>
        </w:rPr>
        <w:t>2</w:t>
      </w:r>
      <w:r w:rsidR="00902A04" w:rsidRPr="00E67914">
        <w:rPr>
          <w:rFonts w:ascii="Times New Roman" w:hAnsi="Times New Roman"/>
          <w:sz w:val="24"/>
          <w:szCs w:val="24"/>
          <w:lang w:eastAsia="zh-CN"/>
        </w:rPr>
        <w:t>试采站</w:t>
      </w:r>
      <w:r w:rsidRPr="00E67914">
        <w:rPr>
          <w:rFonts w:ascii="Times New Roman" w:hAnsi="Times New Roman"/>
          <w:sz w:val="24"/>
          <w:szCs w:val="24"/>
          <w:lang w:eastAsia="zh-CN"/>
        </w:rPr>
        <w:t>和其他中石化川东北地区钻采工程采用相同土壤污染防治措施，在加强管理和监控后，无土壤污染现象和投诉发生。因此，本项目施工期土壤污染防治措施从经济和环保角度分析是合理、可行的。</w:t>
      </w:r>
    </w:p>
    <w:p w14:paraId="546E0AC0"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7.1.7</w:t>
      </w:r>
      <w:r w:rsidRPr="00E67914">
        <w:rPr>
          <w:rFonts w:ascii="Times New Roman" w:eastAsia="黑体" w:hAnsi="Times New Roman"/>
          <w:b w:val="0"/>
          <w:sz w:val="24"/>
          <w:szCs w:val="24"/>
          <w:lang w:eastAsia="zh-CN"/>
        </w:rPr>
        <w:t>施工期固体废物污染防治措施</w:t>
      </w:r>
    </w:p>
    <w:p w14:paraId="1C9F5765" w14:textId="77777777" w:rsidR="00A54A8A" w:rsidRPr="00E67914" w:rsidRDefault="00000000">
      <w:pPr>
        <w:spacing w:line="360" w:lineRule="auto"/>
        <w:ind w:firstLineChars="200" w:firstLine="480"/>
        <w:rPr>
          <w:rFonts w:ascii="Times New Roman" w:eastAsia="黑体" w:hAnsi="Times New Roman"/>
          <w:sz w:val="24"/>
        </w:rPr>
      </w:pPr>
      <w:r w:rsidRPr="00E67914">
        <w:rPr>
          <w:rFonts w:ascii="Times New Roman" w:eastAsia="黑体" w:hAnsi="Times New Roman"/>
          <w:sz w:val="24"/>
        </w:rPr>
        <w:t>1</w:t>
      </w:r>
      <w:r w:rsidRPr="00E67914">
        <w:rPr>
          <w:rFonts w:ascii="Times New Roman" w:eastAsia="黑体" w:hAnsi="Times New Roman"/>
          <w:sz w:val="24"/>
        </w:rPr>
        <w:t>、治理措施</w:t>
      </w:r>
    </w:p>
    <w:p w14:paraId="27E889E5" w14:textId="77777777" w:rsidR="00A54A8A" w:rsidRPr="00E67914" w:rsidRDefault="00000000">
      <w:pPr>
        <w:spacing w:line="360" w:lineRule="auto"/>
        <w:ind w:firstLineChars="200" w:firstLine="482"/>
        <w:rPr>
          <w:rFonts w:ascii="Times New Roman" w:hAnsi="Times New Roman"/>
          <w:b/>
          <w:bCs/>
          <w:sz w:val="24"/>
        </w:rPr>
      </w:pPr>
      <w:r w:rsidRPr="00E67914">
        <w:rPr>
          <w:rFonts w:ascii="Times New Roman" w:hAnsi="Times New Roman"/>
          <w:b/>
          <w:bCs/>
          <w:sz w:val="24"/>
        </w:rPr>
        <w:t>（</w:t>
      </w:r>
      <w:r w:rsidRPr="00E67914">
        <w:rPr>
          <w:rFonts w:ascii="Times New Roman" w:hAnsi="Times New Roman"/>
          <w:b/>
          <w:bCs/>
          <w:sz w:val="24"/>
        </w:rPr>
        <w:t>1</w:t>
      </w:r>
      <w:r w:rsidRPr="00E67914">
        <w:rPr>
          <w:rFonts w:ascii="Times New Roman" w:hAnsi="Times New Roman"/>
          <w:b/>
          <w:bCs/>
          <w:sz w:val="24"/>
        </w:rPr>
        <w:t>）建筑垃圾</w:t>
      </w:r>
    </w:p>
    <w:p w14:paraId="1EFEE59E"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p>
    <w:p w14:paraId="33BBA68E"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2</w:t>
      </w:r>
      <w:r w:rsidRPr="00E67914">
        <w:rPr>
          <w:rFonts w:ascii="Times New Roman" w:hAnsi="Times New Roman"/>
          <w:b/>
          <w:bCs/>
          <w:sz w:val="24"/>
          <w:lang w:eastAsia="zh-CN"/>
        </w:rPr>
        <w:t>）生活垃圾</w:t>
      </w:r>
    </w:p>
    <w:p w14:paraId="40F16C5A"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钻井期</w:t>
      </w:r>
      <w:r w:rsidRPr="00E67914">
        <w:rPr>
          <w:rFonts w:ascii="Times New Roman" w:hAnsi="Times New Roman"/>
          <w:bCs/>
          <w:sz w:val="24"/>
          <w:lang w:eastAsia="zh-CN"/>
        </w:rPr>
        <w:t>井场设置垃圾桶进行收集，垃圾桶进行防雨防风处理，定期清运交由当地环卫部门统一处理。</w:t>
      </w:r>
    </w:p>
    <w:p w14:paraId="08D69F93"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3</w:t>
      </w:r>
      <w:r w:rsidRPr="00E67914">
        <w:rPr>
          <w:rFonts w:ascii="Times New Roman" w:hAnsi="Times New Roman"/>
          <w:b/>
          <w:bCs/>
          <w:sz w:val="24"/>
          <w:lang w:eastAsia="zh-CN"/>
        </w:rPr>
        <w:t>）水基钻井固废</w:t>
      </w:r>
    </w:p>
    <w:p w14:paraId="2CB48CF1" w14:textId="057BDD53"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lastRenderedPageBreak/>
        <w:t>水基废弃泥浆和岩屑在钻井现场经泥浆不落地工艺经脱稳</w:t>
      </w:r>
      <w:r w:rsidRPr="00E67914">
        <w:rPr>
          <w:rFonts w:ascii="Times New Roman" w:hAnsi="Times New Roman"/>
          <w:sz w:val="24"/>
          <w:lang w:eastAsia="zh-CN"/>
        </w:rPr>
        <w:t>-</w:t>
      </w:r>
      <w:r w:rsidRPr="00E67914">
        <w:rPr>
          <w:rFonts w:ascii="Times New Roman" w:hAnsi="Times New Roman"/>
          <w:sz w:val="24"/>
          <w:lang w:eastAsia="zh-CN"/>
        </w:rPr>
        <w:t>板框压滤进行固液分离后产生的固态</w:t>
      </w:r>
      <w:r w:rsidRPr="00E67914">
        <w:rPr>
          <w:rFonts w:ascii="Times New Roman" w:hAnsi="Times New Roman"/>
          <w:bCs/>
          <w:sz w:val="24"/>
          <w:lang w:eastAsia="zh-CN"/>
        </w:rPr>
        <w:t>钻井固废</w:t>
      </w:r>
      <w:r w:rsidRPr="00E67914">
        <w:rPr>
          <w:rFonts w:ascii="Times New Roman" w:hAnsi="Times New Roman"/>
          <w:sz w:val="24"/>
          <w:lang w:eastAsia="zh-CN"/>
        </w:rPr>
        <w:t>，在</w:t>
      </w:r>
      <w:r w:rsidRPr="00E67914">
        <w:rPr>
          <w:rFonts w:ascii="Times New Roman" w:hAnsi="Times New Roman"/>
          <w:sz w:val="24"/>
          <w:szCs w:val="24"/>
          <w:lang w:eastAsia="zh-CN"/>
        </w:rPr>
        <w:t>泥浆不落地装置附近设置钻井固废暂存区</w:t>
      </w:r>
      <w:r w:rsidRPr="00E67914">
        <w:rPr>
          <w:rFonts w:ascii="Times New Roman" w:hAnsi="Times New Roman"/>
          <w:sz w:val="24"/>
          <w:lang w:eastAsia="zh-CN"/>
        </w:rPr>
        <w:t>由废渣收集罐收集后临时暂存，定期用密闭罐车及时转运至达州地区环保手续齐全、环保设施稳定运行固废烧结厂进行烧结后综合利用。本项目水基钻井固废产生量约</w:t>
      </w:r>
      <w:r w:rsidR="00C42924" w:rsidRPr="00E67914">
        <w:rPr>
          <w:rFonts w:ascii="Times New Roman" w:hAnsi="Times New Roman"/>
          <w:sz w:val="24"/>
          <w:lang w:eastAsia="zh-CN"/>
        </w:rPr>
        <w:t>4337.82</w:t>
      </w:r>
      <w:r w:rsidRPr="00E67914">
        <w:rPr>
          <w:rFonts w:ascii="Times New Roman" w:hAnsi="Times New Roman"/>
          <w:sz w:val="24"/>
          <w:lang w:eastAsia="zh-CN"/>
        </w:rPr>
        <w:t>m</w:t>
      </w:r>
      <w:r w:rsidRPr="00E67914">
        <w:rPr>
          <w:rFonts w:ascii="Times New Roman" w:hAnsi="Times New Roman"/>
          <w:sz w:val="24"/>
          <w:vertAlign w:val="superscript"/>
          <w:lang w:eastAsia="zh-CN"/>
        </w:rPr>
        <w:t>3</w:t>
      </w:r>
      <w:r w:rsidRPr="00E67914">
        <w:rPr>
          <w:rFonts w:ascii="Times New Roman" w:hAnsi="Times New Roman"/>
          <w:sz w:val="24"/>
          <w:lang w:eastAsia="zh-CN"/>
        </w:rPr>
        <w:t>，项目设置在</w:t>
      </w:r>
      <w:r w:rsidRPr="00E67914">
        <w:rPr>
          <w:rFonts w:ascii="Times New Roman" w:hAnsi="Times New Roman"/>
          <w:sz w:val="24"/>
          <w:szCs w:val="24"/>
          <w:lang w:eastAsia="zh-CN"/>
        </w:rPr>
        <w:t>钻井固废暂存区</w:t>
      </w:r>
      <w:r w:rsidRPr="00E67914">
        <w:rPr>
          <w:rFonts w:ascii="Times New Roman" w:hAnsi="Times New Roman"/>
          <w:sz w:val="24"/>
          <w:lang w:eastAsia="zh-CN"/>
        </w:rPr>
        <w:t>的废渣收集罐容积约</w:t>
      </w:r>
      <w:r w:rsidRPr="00E67914">
        <w:rPr>
          <w:rFonts w:ascii="Times New Roman" w:hAnsi="Times New Roman"/>
          <w:sz w:val="24"/>
          <w:lang w:eastAsia="zh-CN"/>
        </w:rPr>
        <w:t>100m</w:t>
      </w:r>
      <w:r w:rsidRPr="00E67914">
        <w:rPr>
          <w:rFonts w:ascii="Times New Roman" w:hAnsi="Times New Roman"/>
          <w:sz w:val="24"/>
          <w:vertAlign w:val="superscript"/>
          <w:lang w:eastAsia="zh-CN"/>
        </w:rPr>
        <w:t>3</w:t>
      </w:r>
      <w:r w:rsidRPr="00E67914">
        <w:rPr>
          <w:rFonts w:ascii="Times New Roman" w:hAnsi="Times New Roman"/>
          <w:sz w:val="24"/>
          <w:lang w:eastAsia="zh-CN"/>
        </w:rPr>
        <w:t>，在暂存容积剩余约</w:t>
      </w:r>
      <w:r w:rsidRPr="00E67914">
        <w:rPr>
          <w:rFonts w:ascii="Times New Roman" w:hAnsi="Times New Roman"/>
          <w:sz w:val="24"/>
          <w:lang w:eastAsia="zh-CN"/>
        </w:rPr>
        <w:t>20</w:t>
      </w:r>
      <w:r w:rsidRPr="00E67914">
        <w:rPr>
          <w:rFonts w:ascii="Times New Roman" w:hAnsi="Times New Roman"/>
          <w:sz w:val="24"/>
          <w:lang w:eastAsia="zh-CN"/>
        </w:rPr>
        <w:t>％前及时进行转运，能够确保满足水基钻井固废的暂存，不会出现外溢的现象。整个过程废泥浆和岩屑能实现</w:t>
      </w:r>
      <w:r w:rsidRPr="00E67914">
        <w:rPr>
          <w:rFonts w:ascii="Times New Roman" w:hAnsi="Times New Roman"/>
          <w:sz w:val="24"/>
          <w:lang w:eastAsia="zh-CN"/>
        </w:rPr>
        <w:t>“</w:t>
      </w:r>
      <w:r w:rsidRPr="00E67914">
        <w:rPr>
          <w:rFonts w:ascii="Times New Roman" w:hAnsi="Times New Roman"/>
          <w:sz w:val="24"/>
          <w:lang w:eastAsia="zh-CN"/>
        </w:rPr>
        <w:t>不落地</w:t>
      </w:r>
      <w:r w:rsidRPr="00E67914">
        <w:rPr>
          <w:rFonts w:ascii="Times New Roman" w:hAnsi="Times New Roman"/>
          <w:sz w:val="24"/>
          <w:lang w:eastAsia="zh-CN"/>
        </w:rPr>
        <w:t>”</w:t>
      </w:r>
      <w:r w:rsidRPr="00E67914">
        <w:rPr>
          <w:rFonts w:ascii="Times New Roman" w:hAnsi="Times New Roman"/>
          <w:sz w:val="24"/>
          <w:lang w:eastAsia="zh-CN"/>
        </w:rPr>
        <w:t>，收集和储存主要在罐中实现，最终需拉运资源化利用的为固相。由于其为第</w:t>
      </w:r>
      <w:r w:rsidRPr="00E67914">
        <w:rPr>
          <w:rFonts w:ascii="Times New Roman" w:hAnsi="Times New Roman"/>
          <w:sz w:val="24"/>
          <w:lang w:eastAsia="zh-CN"/>
        </w:rPr>
        <w:t>Ⅱ</w:t>
      </w:r>
      <w:r w:rsidRPr="00E67914">
        <w:rPr>
          <w:rFonts w:ascii="Times New Roman" w:hAnsi="Times New Roman"/>
          <w:sz w:val="24"/>
          <w:lang w:eastAsia="zh-CN"/>
        </w:rPr>
        <w:t>类一般工业固体废物，建设单位参照</w:t>
      </w:r>
      <w:r w:rsidRPr="00E67914">
        <w:rPr>
          <w:rFonts w:ascii="Times New Roman" w:hAnsi="Times New Roman"/>
          <w:snapToGrid w:val="0"/>
          <w:sz w:val="24"/>
          <w:lang w:eastAsia="zh-CN"/>
        </w:rPr>
        <w:t>《一般工业固体废物贮存和填埋污染控制标准》</w:t>
      </w:r>
      <w:r w:rsidRPr="00E67914">
        <w:rPr>
          <w:rFonts w:ascii="Times New Roman" w:hAnsi="Times New Roman"/>
          <w:snapToGrid w:val="0"/>
          <w:sz w:val="24"/>
          <w:lang w:eastAsia="zh-CN"/>
        </w:rPr>
        <w:t>GB18599-2020</w:t>
      </w:r>
      <w:r w:rsidRPr="00E67914">
        <w:rPr>
          <w:rFonts w:ascii="Times New Roman" w:hAnsi="Times New Roman"/>
          <w:snapToGrid w:val="0"/>
          <w:sz w:val="24"/>
          <w:lang w:eastAsia="zh-CN"/>
        </w:rPr>
        <w:t>中对第</w:t>
      </w:r>
      <w:r w:rsidRPr="00E67914">
        <w:rPr>
          <w:rFonts w:ascii="Times New Roman" w:hAnsi="Times New Roman"/>
          <w:snapToGrid w:val="0"/>
          <w:sz w:val="24"/>
          <w:lang w:eastAsia="zh-CN"/>
        </w:rPr>
        <w:t>Ⅱ</w:t>
      </w:r>
      <w:r w:rsidRPr="00E67914">
        <w:rPr>
          <w:rFonts w:ascii="Times New Roman" w:hAnsi="Times New Roman"/>
          <w:snapToGrid w:val="0"/>
          <w:sz w:val="24"/>
          <w:lang w:eastAsia="zh-CN"/>
        </w:rPr>
        <w:t>类一般工业固体废物的处置要求以及参照《四川油气田钻井废弃物无害化处理技术规范》（</w:t>
      </w:r>
      <w:r w:rsidRPr="00E67914">
        <w:rPr>
          <w:rFonts w:ascii="Times New Roman" w:hAnsi="Times New Roman"/>
          <w:snapToGrid w:val="0"/>
          <w:sz w:val="24"/>
          <w:lang w:eastAsia="zh-CN"/>
        </w:rPr>
        <w:t>Q/SY XN0276—2007</w:t>
      </w:r>
      <w:r w:rsidRPr="00E67914">
        <w:rPr>
          <w:rFonts w:ascii="Times New Roman" w:hAnsi="Times New Roman"/>
          <w:snapToGrid w:val="0"/>
          <w:sz w:val="24"/>
          <w:lang w:eastAsia="zh-CN"/>
        </w:rPr>
        <w:t>）防渗要求</w:t>
      </w:r>
      <w:r w:rsidRPr="00E67914">
        <w:rPr>
          <w:rFonts w:ascii="Times New Roman" w:hAnsi="Times New Roman"/>
          <w:sz w:val="24"/>
          <w:lang w:eastAsia="zh-CN"/>
        </w:rPr>
        <w:t>。本项目水基钻井固废钻井过程中经泥浆不落地工艺进行固液分离后定期用密闭罐车及时转运至达州地区环保手续齐全、环保设施稳定运行固废烧结厂进行烧结后综合利用</w:t>
      </w:r>
      <w:r w:rsidRPr="00E67914">
        <w:rPr>
          <w:rFonts w:ascii="Times New Roman" w:hAnsi="Times New Roman"/>
          <w:sz w:val="24"/>
          <w:shd w:val="clear" w:color="auto" w:fill="FFFFFF"/>
          <w:lang w:eastAsia="zh-CN"/>
        </w:rPr>
        <w:t>，基本不在井场暂存</w:t>
      </w:r>
      <w:r w:rsidRPr="00E67914">
        <w:rPr>
          <w:rFonts w:ascii="Times New Roman" w:hAnsi="Times New Roman"/>
          <w:sz w:val="24"/>
          <w:lang w:eastAsia="zh-CN"/>
        </w:rPr>
        <w:t>。同时此举符合《水泥窑协同处置固体废物污染防治技术政策》</w:t>
      </w:r>
      <w:r w:rsidRPr="00E67914">
        <w:rPr>
          <w:rFonts w:ascii="Times New Roman" w:hAnsi="Times New Roman"/>
          <w:sz w:val="24"/>
          <w:lang w:eastAsia="zh-CN"/>
        </w:rPr>
        <w:t>(</w:t>
      </w:r>
      <w:r w:rsidRPr="00E67914">
        <w:rPr>
          <w:rFonts w:ascii="Times New Roman" w:hAnsi="Times New Roman"/>
          <w:sz w:val="24"/>
          <w:lang w:eastAsia="zh-CN"/>
        </w:rPr>
        <w:t>环保部公告</w:t>
      </w:r>
      <w:r w:rsidRPr="00E67914">
        <w:rPr>
          <w:rFonts w:ascii="Times New Roman" w:hAnsi="Times New Roman"/>
          <w:sz w:val="24"/>
          <w:lang w:eastAsia="zh-CN"/>
        </w:rPr>
        <w:t>2016</w:t>
      </w:r>
      <w:r w:rsidRPr="00E67914">
        <w:rPr>
          <w:rFonts w:ascii="Times New Roman" w:hAnsi="Times New Roman"/>
          <w:sz w:val="24"/>
          <w:lang w:eastAsia="zh-CN"/>
        </w:rPr>
        <w:t>年第</w:t>
      </w:r>
      <w:r w:rsidRPr="00E67914">
        <w:rPr>
          <w:rFonts w:ascii="Times New Roman" w:hAnsi="Times New Roman"/>
          <w:sz w:val="24"/>
          <w:lang w:eastAsia="zh-CN"/>
        </w:rPr>
        <w:t>72</w:t>
      </w:r>
      <w:r w:rsidRPr="00E67914">
        <w:rPr>
          <w:rFonts w:ascii="Times New Roman" w:hAnsi="Times New Roman"/>
          <w:sz w:val="24"/>
          <w:lang w:eastAsia="zh-CN"/>
        </w:rPr>
        <w:t>号</w:t>
      </w:r>
      <w:r w:rsidRPr="00E67914">
        <w:rPr>
          <w:rFonts w:ascii="Times New Roman" w:hAnsi="Times New Roman"/>
          <w:sz w:val="24"/>
          <w:lang w:eastAsia="zh-CN"/>
        </w:rPr>
        <w:t>)</w:t>
      </w:r>
      <w:r w:rsidRPr="00E67914">
        <w:rPr>
          <w:rFonts w:ascii="Times New Roman" w:hAnsi="Times New Roman"/>
          <w:sz w:val="24"/>
          <w:lang w:eastAsia="zh-CN"/>
        </w:rPr>
        <w:t>，属国家鼓励的污染物治理方式。</w:t>
      </w:r>
      <w:r w:rsidRPr="00E67914">
        <w:rPr>
          <w:rFonts w:ascii="Times New Roman" w:hAnsi="Times New Roman"/>
          <w:bCs/>
          <w:sz w:val="24"/>
          <w:lang w:eastAsia="zh-CN"/>
        </w:rPr>
        <w:t>完钻后井筒内替换出来的泥浆经循环系统处理后与泥浆循环系统内剩余的合格钻井泥浆用于区块其他项目钻井回用</w:t>
      </w:r>
      <w:r w:rsidRPr="00E67914">
        <w:rPr>
          <w:rFonts w:ascii="Times New Roman" w:hAnsi="Times New Roman"/>
          <w:sz w:val="24"/>
          <w:lang w:eastAsia="zh-CN"/>
        </w:rPr>
        <w:t>。</w:t>
      </w:r>
    </w:p>
    <w:p w14:paraId="258FB86B" w14:textId="083AF5C5" w:rsidR="00A54A8A" w:rsidRPr="00E67914" w:rsidRDefault="00C42924">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sz w:val="24"/>
          <w:lang w:eastAsia="zh-CN"/>
        </w:rPr>
        <w:t>油基钻井废泥浆、油基岩屑产生量约为</w:t>
      </w:r>
      <w:r w:rsidRPr="00E67914">
        <w:rPr>
          <w:rFonts w:ascii="Times New Roman" w:hAnsi="Times New Roman"/>
          <w:sz w:val="24"/>
          <w:lang w:eastAsia="zh-CN"/>
        </w:rPr>
        <w:t>621.10m</w:t>
      </w:r>
      <w:r w:rsidRPr="00E67914">
        <w:rPr>
          <w:rFonts w:ascii="Times New Roman" w:hAnsi="Times New Roman"/>
          <w:sz w:val="24"/>
          <w:vertAlign w:val="superscript"/>
          <w:lang w:eastAsia="zh-CN"/>
        </w:rPr>
        <w:t>3</w:t>
      </w:r>
      <w:r w:rsidRPr="00E67914">
        <w:rPr>
          <w:rFonts w:ascii="Times New Roman" w:hAnsi="Times New Roman"/>
          <w:sz w:val="24"/>
          <w:lang w:eastAsia="zh-CN"/>
        </w:rPr>
        <w:t>。油基钻井废泥浆、岩屑暂存于新建的</w:t>
      </w:r>
      <w:r w:rsidR="00DA577F" w:rsidRPr="00E67914">
        <w:rPr>
          <w:rFonts w:ascii="Times New Roman" w:hAnsi="Times New Roman"/>
          <w:sz w:val="24"/>
          <w:lang w:eastAsia="zh-CN"/>
        </w:rPr>
        <w:t>20m</w:t>
      </w:r>
      <w:r w:rsidR="00DA577F" w:rsidRPr="00E67914">
        <w:rPr>
          <w:rFonts w:ascii="Times New Roman" w:hAnsi="Times New Roman"/>
          <w:sz w:val="24"/>
          <w:vertAlign w:val="superscript"/>
          <w:lang w:eastAsia="zh-CN"/>
        </w:rPr>
        <w:t>2</w:t>
      </w:r>
      <w:r w:rsidR="00DA577F" w:rsidRPr="00E67914">
        <w:rPr>
          <w:rFonts w:ascii="Times New Roman" w:hAnsi="Times New Roman"/>
          <w:sz w:val="24"/>
          <w:lang w:eastAsia="zh-CN"/>
        </w:rPr>
        <w:t>危险废物暂存场所（采取必要的防风、防晒、防雨、防漏、防渗、防腐以及其他环境污染防治措施，不得露天堆放危险废物）</w:t>
      </w:r>
      <w:r w:rsidRPr="00E67914">
        <w:rPr>
          <w:rFonts w:ascii="Times New Roman" w:hAnsi="Times New Roman"/>
          <w:sz w:val="24"/>
          <w:lang w:eastAsia="zh-CN"/>
        </w:rPr>
        <w:t>，</w:t>
      </w:r>
      <w:r w:rsidR="009A7D8C" w:rsidRPr="00E67914">
        <w:rPr>
          <w:rFonts w:ascii="Times New Roman" w:hAnsi="Times New Roman"/>
          <w:sz w:val="24"/>
          <w:lang w:eastAsia="zh-CN"/>
        </w:rPr>
        <w:t>泥浆和油基钻井岩屑及时交由有资质的单位处置</w:t>
      </w:r>
      <w:r w:rsidRPr="00E67914">
        <w:rPr>
          <w:rFonts w:ascii="Times New Roman" w:hAnsi="Times New Roman"/>
          <w:sz w:val="24"/>
          <w:lang w:eastAsia="zh-CN"/>
        </w:rPr>
        <w:t>。</w:t>
      </w:r>
    </w:p>
    <w:p w14:paraId="15A2A38F"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4</w:t>
      </w:r>
      <w:r w:rsidRPr="00E67914">
        <w:rPr>
          <w:rFonts w:ascii="Times New Roman" w:hAnsi="Times New Roman"/>
          <w:b/>
          <w:bCs/>
          <w:sz w:val="24"/>
          <w:lang w:eastAsia="zh-CN"/>
        </w:rPr>
        <w:t>）废油及其他不能使用含油废物</w:t>
      </w:r>
    </w:p>
    <w:p w14:paraId="1B6971C1"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产生的废油由施工单位统一收集并综合利用，若不能全部回用，不能综合利用的废油、不能继续使用的废油桶以及擦拭站场设备产生的其他含油固废交由有资质的单位处理。废油的收集、贮存和运输应满足《危险废物收集、贮存、运输技术规范》（</w:t>
      </w:r>
      <w:r w:rsidRPr="00E67914">
        <w:rPr>
          <w:rFonts w:ascii="Times New Roman" w:hAnsi="Times New Roman"/>
          <w:sz w:val="24"/>
          <w:lang w:eastAsia="zh-CN"/>
        </w:rPr>
        <w:t>HJ2025-2012</w:t>
      </w:r>
      <w:r w:rsidRPr="00E67914">
        <w:rPr>
          <w:rFonts w:ascii="Times New Roman" w:hAnsi="Times New Roman"/>
          <w:sz w:val="24"/>
          <w:lang w:eastAsia="zh-CN"/>
        </w:rPr>
        <w:t>）及《废矿物油回收利用污染控制技术规范》（</w:t>
      </w:r>
      <w:r w:rsidRPr="00E67914">
        <w:rPr>
          <w:rFonts w:ascii="Times New Roman" w:hAnsi="Times New Roman"/>
          <w:sz w:val="24"/>
          <w:lang w:eastAsia="zh-CN"/>
        </w:rPr>
        <w:t>HJ607-2011</w:t>
      </w:r>
      <w:r w:rsidRPr="00E67914">
        <w:rPr>
          <w:rFonts w:ascii="Times New Roman" w:hAnsi="Times New Roman"/>
          <w:sz w:val="24"/>
          <w:lang w:eastAsia="zh-CN"/>
        </w:rPr>
        <w:t>）相关规定。</w:t>
      </w:r>
    </w:p>
    <w:p w14:paraId="373DB38F" w14:textId="77777777" w:rsidR="00A54A8A" w:rsidRPr="00E67914" w:rsidRDefault="00000000">
      <w:pPr>
        <w:spacing w:line="360" w:lineRule="auto"/>
        <w:ind w:firstLineChars="200" w:firstLine="482"/>
        <w:rPr>
          <w:rFonts w:ascii="Times New Roman" w:hAnsi="Times New Roman"/>
          <w:b/>
          <w:bCs/>
          <w:sz w:val="24"/>
          <w:lang w:eastAsia="zh-CN"/>
        </w:rPr>
      </w:pPr>
      <w:r w:rsidRPr="00E67914">
        <w:rPr>
          <w:rFonts w:ascii="Times New Roman" w:hAnsi="Times New Roman"/>
          <w:b/>
          <w:bCs/>
          <w:sz w:val="24"/>
          <w:lang w:eastAsia="zh-CN"/>
        </w:rPr>
        <w:t>（</w:t>
      </w:r>
      <w:r w:rsidRPr="00E67914">
        <w:rPr>
          <w:rFonts w:ascii="Times New Roman" w:hAnsi="Times New Roman"/>
          <w:b/>
          <w:bCs/>
          <w:sz w:val="24"/>
          <w:lang w:eastAsia="zh-CN"/>
        </w:rPr>
        <w:t>5</w:t>
      </w:r>
      <w:r w:rsidRPr="00E67914">
        <w:rPr>
          <w:rFonts w:ascii="Times New Roman" w:hAnsi="Times New Roman"/>
          <w:b/>
          <w:bCs/>
          <w:sz w:val="24"/>
          <w:lang w:eastAsia="zh-CN"/>
        </w:rPr>
        <w:t>）废包装材料等其他一般固废</w:t>
      </w:r>
    </w:p>
    <w:p w14:paraId="551E4280"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部分回收重复利用，不可回用部分经收集后暂处于井场内，定期送当地废品回收站处理。</w:t>
      </w:r>
    </w:p>
    <w:p w14:paraId="04EA0245" w14:textId="77777777"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eastAsia="黑体" w:hAnsi="Times New Roman"/>
          <w:sz w:val="24"/>
          <w:lang w:eastAsia="zh-CN"/>
        </w:rPr>
        <w:lastRenderedPageBreak/>
        <w:t>2</w:t>
      </w:r>
      <w:r w:rsidRPr="00E67914">
        <w:rPr>
          <w:rFonts w:ascii="Times New Roman" w:eastAsia="黑体" w:hAnsi="Times New Roman"/>
          <w:sz w:val="24"/>
          <w:lang w:eastAsia="zh-CN"/>
        </w:rPr>
        <w:t>、水基钻井固废依托措施的可行性分析</w:t>
      </w:r>
    </w:p>
    <w:p w14:paraId="2065B569" w14:textId="77777777" w:rsidR="00A54A8A" w:rsidRPr="00E67914" w:rsidRDefault="00000000">
      <w:pPr>
        <w:spacing w:line="360" w:lineRule="auto"/>
        <w:ind w:firstLineChars="200" w:firstLine="480"/>
        <w:rPr>
          <w:rFonts w:ascii="Times New Roman" w:hAnsi="Times New Roman"/>
          <w:sz w:val="24"/>
          <w:lang w:eastAsia="zh-CN"/>
        </w:rPr>
      </w:pPr>
      <w:r w:rsidRPr="00E67914">
        <w:rPr>
          <w:rFonts w:ascii="Times New Roman" w:hAnsi="Times New Roman"/>
          <w:sz w:val="24"/>
          <w:lang w:eastAsia="zh-CN"/>
        </w:rPr>
        <w:t>本项目水基钻井固废属于第</w:t>
      </w:r>
      <w:r w:rsidRPr="00E67914">
        <w:rPr>
          <w:rFonts w:ascii="Times New Roman" w:hAnsi="Times New Roman"/>
          <w:sz w:val="24"/>
          <w:lang w:eastAsia="zh-CN"/>
        </w:rPr>
        <w:t>Ⅱ</w:t>
      </w:r>
      <w:r w:rsidRPr="00E67914">
        <w:rPr>
          <w:rFonts w:ascii="Times New Roman" w:hAnsi="Times New Roman"/>
          <w:sz w:val="24"/>
          <w:lang w:eastAsia="zh-CN"/>
        </w:rPr>
        <w:t>类一般固体废物，收集后定期用密闭罐车及时转运至达州地区环保手续齐全、环保设施稳定运行固废烧结厂进行烧结后综合利用。满足《达州市生态环境局办公室关于加强固体废物污染防治工作的通知》（达市环办发</w:t>
      </w:r>
      <w:r w:rsidRPr="00E67914">
        <w:rPr>
          <w:rFonts w:ascii="Times New Roman" w:hAnsi="Times New Roman"/>
          <w:sz w:val="24"/>
          <w:lang w:eastAsia="zh-CN"/>
        </w:rPr>
        <w:t>[2019]49</w:t>
      </w:r>
      <w:r w:rsidRPr="00E67914">
        <w:rPr>
          <w:rFonts w:ascii="Times New Roman" w:hAnsi="Times New Roman"/>
          <w:sz w:val="24"/>
          <w:lang w:eastAsia="zh-CN"/>
        </w:rPr>
        <w:t>号文件要求。</w:t>
      </w:r>
      <w:r w:rsidRPr="00E67914">
        <w:rPr>
          <w:rFonts w:ascii="Times New Roman" w:hAnsi="Times New Roman"/>
          <w:bCs/>
          <w:sz w:val="24"/>
          <w:lang w:eastAsia="zh-CN"/>
        </w:rPr>
        <w:t>钻井废弃物中</w:t>
      </w:r>
      <w:r w:rsidRPr="00E67914">
        <w:rPr>
          <w:rFonts w:ascii="Times New Roman" w:hAnsi="Times New Roman"/>
          <w:bCs/>
          <w:sz w:val="24"/>
          <w:lang w:eastAsia="zh-CN"/>
        </w:rPr>
        <w:t>SiO</w:t>
      </w:r>
      <w:r w:rsidRPr="00E67914">
        <w:rPr>
          <w:rFonts w:ascii="Times New Roman" w:hAnsi="Times New Roman"/>
          <w:bCs/>
          <w:sz w:val="24"/>
          <w:vertAlign w:val="subscript"/>
          <w:lang w:eastAsia="zh-CN"/>
        </w:rPr>
        <w:t>2</w:t>
      </w:r>
      <w:r w:rsidRPr="00E67914">
        <w:rPr>
          <w:rFonts w:ascii="Times New Roman" w:hAnsi="Times New Roman"/>
          <w:bCs/>
          <w:sz w:val="24"/>
          <w:lang w:eastAsia="zh-CN"/>
        </w:rPr>
        <w:t>、</w:t>
      </w:r>
      <w:r w:rsidRPr="00E67914">
        <w:rPr>
          <w:rFonts w:ascii="Times New Roman" w:hAnsi="Times New Roman"/>
          <w:bCs/>
          <w:sz w:val="24"/>
          <w:lang w:eastAsia="zh-CN"/>
        </w:rPr>
        <w:t>Al</w:t>
      </w:r>
      <w:r w:rsidRPr="00E67914">
        <w:rPr>
          <w:rFonts w:ascii="Times New Roman" w:hAnsi="Times New Roman"/>
          <w:bCs/>
          <w:sz w:val="24"/>
          <w:vertAlign w:val="subscript"/>
          <w:lang w:eastAsia="zh-CN"/>
        </w:rPr>
        <w:t>2</w:t>
      </w:r>
      <w:r w:rsidRPr="00E67914">
        <w:rPr>
          <w:rFonts w:ascii="Times New Roman" w:hAnsi="Times New Roman"/>
          <w:bCs/>
          <w:sz w:val="24"/>
          <w:lang w:eastAsia="zh-CN"/>
        </w:rPr>
        <w:t>O</w:t>
      </w:r>
      <w:r w:rsidRPr="00E67914">
        <w:rPr>
          <w:rFonts w:ascii="Times New Roman" w:hAnsi="Times New Roman"/>
          <w:bCs/>
          <w:sz w:val="24"/>
          <w:vertAlign w:val="subscript"/>
          <w:lang w:eastAsia="zh-CN"/>
        </w:rPr>
        <w:t>3</w:t>
      </w:r>
      <w:r w:rsidRPr="00E67914">
        <w:rPr>
          <w:rFonts w:ascii="Times New Roman" w:hAnsi="Times New Roman"/>
          <w:bCs/>
          <w:sz w:val="24"/>
          <w:lang w:eastAsia="zh-CN"/>
        </w:rPr>
        <w:t>及</w:t>
      </w:r>
      <w:r w:rsidRPr="00E67914">
        <w:rPr>
          <w:rFonts w:ascii="Times New Roman" w:hAnsi="Times New Roman"/>
          <w:bCs/>
          <w:sz w:val="24"/>
          <w:lang w:eastAsia="zh-CN"/>
        </w:rPr>
        <w:t>CaO</w:t>
      </w:r>
      <w:r w:rsidRPr="00E67914">
        <w:rPr>
          <w:rFonts w:ascii="Times New Roman" w:hAnsi="Times New Roman"/>
          <w:bCs/>
          <w:sz w:val="24"/>
          <w:lang w:eastAsia="zh-CN"/>
        </w:rPr>
        <w:t>为其主要成份，其与砖、水泥生料成份有相似之处，类比固废烧结厂钻井废弃物处置项目，利用钻井废弃物</w:t>
      </w:r>
      <w:r w:rsidRPr="00E67914">
        <w:rPr>
          <w:rFonts w:ascii="Times New Roman" w:hAnsi="Times New Roman"/>
          <w:sz w:val="24"/>
          <w:lang w:eastAsia="zh-CN"/>
        </w:rPr>
        <w:t>烧结后综合利用从技术上是可行的。与中石化合作的有资质单位均有接收本项目钻井固废的能力且接收能力很大，因此建设单位在钻井期应根据中石化中原油田普光分公司统筹安排，尽量就近选择有处理能力的资质单位处置本项目的钻井固废，在开钻与拉运前做好协调沟通工作，确保项目钻井固废能够得到妥善有效处置，在采取上述措施后本项目钻井固废资源化综合利用从环保角度分析是可行的。</w:t>
      </w:r>
    </w:p>
    <w:p w14:paraId="78ED344A"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4</w:t>
      </w:r>
      <w:r w:rsidRPr="00E67914">
        <w:rPr>
          <w:rFonts w:ascii="Times New Roman" w:eastAsia="黑体" w:hAnsi="Times New Roman"/>
          <w:sz w:val="24"/>
          <w:lang w:eastAsia="zh-CN"/>
        </w:rPr>
        <w:t>、危险废物依托措施的可行性分析</w:t>
      </w:r>
    </w:p>
    <w:p w14:paraId="3EFBEF1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lang w:eastAsia="zh-CN"/>
        </w:rPr>
      </w:pPr>
      <w:r w:rsidRPr="00E67914">
        <w:rPr>
          <w:rFonts w:ascii="Times New Roman" w:hAnsi="Times New Roman"/>
          <w:lang w:eastAsia="zh-CN"/>
        </w:rPr>
        <w:t>建设单位承诺对于本项目产生的危险废物，将严格按照</w:t>
      </w:r>
      <w:r w:rsidRPr="00E67914">
        <w:rPr>
          <w:rFonts w:ascii="Times New Roman" w:hAnsi="Times New Roman"/>
          <w:bCs/>
          <w:lang w:eastAsia="zh-CN"/>
        </w:rPr>
        <w:t>《危险废物贮存污染控制标准》（</w:t>
      </w:r>
      <w:r w:rsidRPr="00E67914">
        <w:rPr>
          <w:rFonts w:ascii="Times New Roman" w:hAnsi="Times New Roman"/>
          <w:bCs/>
          <w:lang w:eastAsia="zh-CN"/>
        </w:rPr>
        <w:t>GB18597-2023</w:t>
      </w:r>
      <w:r w:rsidRPr="00E67914">
        <w:rPr>
          <w:rFonts w:ascii="Times New Roman" w:hAnsi="Times New Roman"/>
          <w:bCs/>
          <w:lang w:eastAsia="zh-CN"/>
        </w:rPr>
        <w:t>）、《危险废物产生单位管理计划制定指南》、《危险废物转移管理办法》（</w:t>
      </w:r>
      <w:r w:rsidRPr="00E67914">
        <w:rPr>
          <w:rFonts w:ascii="Times New Roman" w:hAnsi="Times New Roman"/>
          <w:bCs/>
          <w:lang w:eastAsia="zh-CN"/>
        </w:rPr>
        <w:t>2021</w:t>
      </w:r>
      <w:r w:rsidRPr="00E67914">
        <w:rPr>
          <w:rFonts w:ascii="Times New Roman" w:hAnsi="Times New Roman"/>
          <w:bCs/>
          <w:lang w:eastAsia="zh-CN"/>
        </w:rPr>
        <w:t>年</w:t>
      </w:r>
      <w:r w:rsidRPr="00E67914">
        <w:rPr>
          <w:rFonts w:ascii="Times New Roman" w:hAnsi="Times New Roman"/>
          <w:bCs/>
          <w:lang w:eastAsia="zh-CN"/>
        </w:rPr>
        <w:t>11</w:t>
      </w:r>
      <w:r w:rsidRPr="00E67914">
        <w:rPr>
          <w:rFonts w:ascii="Times New Roman" w:hAnsi="Times New Roman"/>
          <w:bCs/>
          <w:lang w:eastAsia="zh-CN"/>
        </w:rPr>
        <w:t>月</w:t>
      </w:r>
      <w:r w:rsidRPr="00E67914">
        <w:rPr>
          <w:rFonts w:ascii="Times New Roman" w:hAnsi="Times New Roman"/>
          <w:bCs/>
          <w:lang w:eastAsia="zh-CN"/>
        </w:rPr>
        <w:t>30</w:t>
      </w:r>
      <w:r w:rsidRPr="00E67914">
        <w:rPr>
          <w:rFonts w:ascii="Times New Roman" w:hAnsi="Times New Roman"/>
          <w:bCs/>
          <w:lang w:eastAsia="zh-CN"/>
        </w:rPr>
        <w:t>日生态环境部、公安部、交通运输部令第</w:t>
      </w:r>
      <w:r w:rsidRPr="00E67914">
        <w:rPr>
          <w:rFonts w:ascii="Times New Roman" w:hAnsi="Times New Roman"/>
          <w:bCs/>
          <w:lang w:eastAsia="zh-CN"/>
        </w:rPr>
        <w:t>23</w:t>
      </w:r>
      <w:r w:rsidRPr="00E67914">
        <w:rPr>
          <w:rFonts w:ascii="Times New Roman" w:hAnsi="Times New Roman"/>
          <w:bCs/>
          <w:lang w:eastAsia="zh-CN"/>
        </w:rPr>
        <w:t>号公布</w:t>
      </w:r>
      <w:r w:rsidRPr="00E67914">
        <w:rPr>
          <w:rFonts w:ascii="Times New Roman" w:hAnsi="Times New Roman"/>
          <w:bCs/>
          <w:lang w:eastAsia="zh-CN"/>
        </w:rPr>
        <w:t xml:space="preserve"> </w:t>
      </w:r>
      <w:r w:rsidRPr="00E67914">
        <w:rPr>
          <w:rFonts w:ascii="Times New Roman" w:hAnsi="Times New Roman"/>
          <w:bCs/>
          <w:lang w:eastAsia="zh-CN"/>
        </w:rPr>
        <w:t>自</w:t>
      </w:r>
      <w:r w:rsidRPr="00E67914">
        <w:rPr>
          <w:rFonts w:ascii="Times New Roman" w:hAnsi="Times New Roman"/>
          <w:bCs/>
          <w:lang w:eastAsia="zh-CN"/>
        </w:rPr>
        <w:t>2022</w:t>
      </w:r>
      <w:r w:rsidRPr="00E67914">
        <w:rPr>
          <w:rFonts w:ascii="Times New Roman" w:hAnsi="Times New Roman"/>
          <w:bCs/>
          <w:lang w:eastAsia="zh-CN"/>
        </w:rPr>
        <w:t>年</w:t>
      </w:r>
      <w:r w:rsidRPr="00E67914">
        <w:rPr>
          <w:rFonts w:ascii="Times New Roman" w:hAnsi="Times New Roman"/>
          <w:bCs/>
          <w:lang w:eastAsia="zh-CN"/>
        </w:rPr>
        <w:t>1</w:t>
      </w:r>
      <w:r w:rsidRPr="00E67914">
        <w:rPr>
          <w:rFonts w:ascii="Times New Roman" w:hAnsi="Times New Roman"/>
          <w:bCs/>
          <w:lang w:eastAsia="zh-CN"/>
        </w:rPr>
        <w:t>月</w:t>
      </w:r>
      <w:r w:rsidRPr="00E67914">
        <w:rPr>
          <w:rFonts w:ascii="Times New Roman" w:hAnsi="Times New Roman"/>
          <w:bCs/>
          <w:lang w:eastAsia="zh-CN"/>
        </w:rPr>
        <w:t>1</w:t>
      </w:r>
      <w:r w:rsidRPr="00E67914">
        <w:rPr>
          <w:rFonts w:ascii="Times New Roman" w:hAnsi="Times New Roman"/>
          <w:bCs/>
          <w:lang w:eastAsia="zh-CN"/>
        </w:rPr>
        <w:t>日起施行）、《危险废物收集</w:t>
      </w:r>
      <w:r w:rsidRPr="00E67914">
        <w:rPr>
          <w:rFonts w:ascii="Times New Roman" w:hAnsi="Times New Roman"/>
          <w:bCs/>
          <w:lang w:eastAsia="zh-CN"/>
        </w:rPr>
        <w:t xml:space="preserve"> </w:t>
      </w:r>
      <w:r w:rsidRPr="00E67914">
        <w:rPr>
          <w:rFonts w:ascii="Times New Roman" w:hAnsi="Times New Roman"/>
          <w:bCs/>
          <w:lang w:eastAsia="zh-CN"/>
        </w:rPr>
        <w:t>贮存</w:t>
      </w:r>
      <w:r w:rsidRPr="00E67914">
        <w:rPr>
          <w:rFonts w:ascii="Times New Roman" w:hAnsi="Times New Roman"/>
          <w:bCs/>
          <w:lang w:eastAsia="zh-CN"/>
        </w:rPr>
        <w:t xml:space="preserve"> </w:t>
      </w:r>
      <w:r w:rsidRPr="00E67914">
        <w:rPr>
          <w:rFonts w:ascii="Times New Roman" w:hAnsi="Times New Roman"/>
          <w:bCs/>
          <w:lang w:eastAsia="zh-CN"/>
        </w:rPr>
        <w:t>运输技术规范》（</w:t>
      </w:r>
      <w:r w:rsidRPr="00E67914">
        <w:rPr>
          <w:rFonts w:ascii="Times New Roman" w:hAnsi="Times New Roman"/>
          <w:bCs/>
          <w:lang w:eastAsia="zh-CN"/>
        </w:rPr>
        <w:t>HJ2025</w:t>
      </w:r>
      <w:r w:rsidRPr="00E67914">
        <w:rPr>
          <w:rFonts w:ascii="Times New Roman" w:hAnsi="Times New Roman"/>
          <w:bCs/>
          <w:lang w:eastAsia="zh-CN"/>
        </w:rPr>
        <w:t>）和《危险废物环境管理指南</w:t>
      </w:r>
      <w:r w:rsidRPr="00E67914">
        <w:rPr>
          <w:rFonts w:ascii="Times New Roman" w:hAnsi="Times New Roman"/>
          <w:bCs/>
          <w:lang w:eastAsia="zh-CN"/>
        </w:rPr>
        <w:t xml:space="preserve"> </w:t>
      </w:r>
      <w:r w:rsidRPr="00E67914">
        <w:rPr>
          <w:rFonts w:ascii="Times New Roman" w:hAnsi="Times New Roman"/>
          <w:bCs/>
          <w:lang w:eastAsia="zh-CN"/>
        </w:rPr>
        <w:t>陆上石油天然气开采》等要求采取管理，建立健全危险废物产生、收集、贮存、运输、利用、处置全过程的污染环境防治责任制度，确保各危险废物得到有效收集、贮存和处置，具体如下。</w:t>
      </w:r>
    </w:p>
    <w:p w14:paraId="6210616E" w14:textId="77777777" w:rsidR="00A54A8A" w:rsidRPr="00E67914" w:rsidRDefault="00000000">
      <w:pPr>
        <w:pStyle w:val="af"/>
        <w:adjustRightInd w:val="0"/>
        <w:snapToGrid w:val="0"/>
        <w:spacing w:before="0" w:line="360" w:lineRule="auto"/>
        <w:ind w:left="0" w:firstLineChars="200" w:firstLine="482"/>
        <w:jc w:val="both"/>
        <w:rPr>
          <w:rFonts w:ascii="Times New Roman" w:hAnsi="Times New Roman"/>
          <w:b/>
          <w:bCs/>
          <w:lang w:eastAsia="zh-CN"/>
        </w:rPr>
      </w:pPr>
      <w:r w:rsidRPr="00E67914">
        <w:rPr>
          <w:rFonts w:ascii="Times New Roman" w:hAnsi="Times New Roman"/>
          <w:b/>
          <w:bCs/>
          <w:lang w:eastAsia="zh-CN"/>
        </w:rPr>
        <w:t>（</w:t>
      </w:r>
      <w:r w:rsidRPr="00E67914">
        <w:rPr>
          <w:rFonts w:ascii="Times New Roman" w:hAnsi="Times New Roman"/>
          <w:b/>
          <w:bCs/>
          <w:lang w:eastAsia="zh-CN"/>
        </w:rPr>
        <w:t>1</w:t>
      </w:r>
      <w:r w:rsidRPr="00E67914">
        <w:rPr>
          <w:rFonts w:ascii="Times New Roman" w:hAnsi="Times New Roman"/>
          <w:b/>
          <w:bCs/>
          <w:lang w:eastAsia="zh-CN"/>
        </w:rPr>
        <w:t>）井场暂存的可行性分析</w:t>
      </w:r>
    </w:p>
    <w:p w14:paraId="2976A083"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废油及其他含油固废：井场内设置废油桶集中收集废油，废油桶置于泥浆不落地装置区，并做</w:t>
      </w:r>
      <w:r w:rsidRPr="00E67914">
        <w:rPr>
          <w:rFonts w:ascii="Times New Roman" w:hAnsi="Times New Roman"/>
          <w:lang w:eastAsia="zh-CN"/>
        </w:rPr>
        <w:t>“</w:t>
      </w:r>
      <w:r w:rsidRPr="00E67914">
        <w:rPr>
          <w:rFonts w:ascii="Times New Roman" w:hAnsi="Times New Roman"/>
          <w:lang w:eastAsia="zh-CN"/>
        </w:rPr>
        <w:t>防风、防雨、防晒、防渗漏</w:t>
      </w:r>
      <w:r w:rsidRPr="00E67914">
        <w:rPr>
          <w:rFonts w:ascii="Times New Roman" w:hAnsi="Times New Roman"/>
          <w:lang w:eastAsia="zh-CN"/>
        </w:rPr>
        <w:t>”</w:t>
      </w:r>
      <w:r w:rsidRPr="00E67914">
        <w:rPr>
          <w:rFonts w:ascii="Times New Roman" w:hAnsi="Times New Roman"/>
          <w:lang w:eastAsia="zh-CN"/>
        </w:rPr>
        <w:t>等措施。暂存区严格按照</w:t>
      </w:r>
      <w:r w:rsidRPr="00E67914">
        <w:rPr>
          <w:rFonts w:ascii="Times New Roman" w:hAnsi="Times New Roman"/>
          <w:bCs/>
          <w:lang w:eastAsia="zh-CN"/>
        </w:rPr>
        <w:t>《危险废物贮存污染控制标准》（</w:t>
      </w:r>
      <w:r w:rsidRPr="00E67914">
        <w:rPr>
          <w:rFonts w:ascii="Times New Roman" w:hAnsi="Times New Roman"/>
          <w:bCs/>
          <w:lang w:eastAsia="zh-CN"/>
        </w:rPr>
        <w:t>GB18597-2023</w:t>
      </w:r>
      <w:r w:rsidRPr="00E67914">
        <w:rPr>
          <w:rFonts w:ascii="Times New Roman" w:hAnsi="Times New Roman"/>
          <w:bCs/>
          <w:lang w:eastAsia="zh-CN"/>
        </w:rPr>
        <w:t>）</w:t>
      </w:r>
      <w:r w:rsidRPr="00E67914">
        <w:rPr>
          <w:rFonts w:ascii="Times New Roman" w:hAnsi="Times New Roman"/>
          <w:lang w:eastAsia="zh-CN"/>
        </w:rPr>
        <w:t>设置安全照明设施和观察窗口，钢结构房间地面无裂缝，废油用废油桶收集后放置于暂存区内，按照《环境保护图形标志</w:t>
      </w:r>
      <w:r w:rsidRPr="00E67914">
        <w:rPr>
          <w:rFonts w:ascii="Times New Roman" w:hAnsi="Times New Roman"/>
          <w:lang w:eastAsia="zh-CN"/>
        </w:rPr>
        <w:t xml:space="preserve"> </w:t>
      </w:r>
      <w:r w:rsidRPr="00E67914">
        <w:rPr>
          <w:rFonts w:ascii="Times New Roman" w:hAnsi="Times New Roman"/>
          <w:lang w:eastAsia="zh-CN"/>
        </w:rPr>
        <w:t>固体废物贮存（处置）场》（</w:t>
      </w:r>
      <w:r w:rsidRPr="00E67914">
        <w:rPr>
          <w:rFonts w:ascii="Times New Roman" w:hAnsi="Times New Roman"/>
          <w:lang w:eastAsia="zh-CN"/>
        </w:rPr>
        <w:t>GB 15562.2</w:t>
      </w:r>
      <w:r w:rsidRPr="00E67914">
        <w:rPr>
          <w:rFonts w:ascii="Times New Roman" w:hAnsi="Times New Roman"/>
          <w:lang w:eastAsia="zh-CN"/>
        </w:rPr>
        <w:t>）设置危险废物识别标志，满足</w:t>
      </w:r>
      <w:r w:rsidRPr="00E67914">
        <w:rPr>
          <w:rFonts w:ascii="Times New Roman" w:hAnsi="Times New Roman"/>
          <w:bCs/>
          <w:lang w:eastAsia="zh-CN"/>
        </w:rPr>
        <w:t>《危险废物贮存污染控制标准》（</w:t>
      </w:r>
      <w:r w:rsidRPr="00E67914">
        <w:rPr>
          <w:rFonts w:ascii="Times New Roman" w:hAnsi="Times New Roman"/>
          <w:bCs/>
          <w:lang w:eastAsia="zh-CN"/>
        </w:rPr>
        <w:t>GB18597-2023</w:t>
      </w:r>
      <w:r w:rsidRPr="00E67914">
        <w:rPr>
          <w:rFonts w:ascii="Times New Roman" w:hAnsi="Times New Roman"/>
          <w:bCs/>
          <w:lang w:eastAsia="zh-CN"/>
        </w:rPr>
        <w:t>）设计要求。</w:t>
      </w:r>
      <w:r w:rsidRPr="00E67914">
        <w:rPr>
          <w:rFonts w:ascii="Times New Roman" w:hAnsi="Times New Roman"/>
          <w:lang w:eastAsia="zh-CN"/>
        </w:rPr>
        <w:t>暂存期间做好废油管理记录，通过擦拭站场设备等方式回收综合利用，不能综合利</w:t>
      </w:r>
      <w:r w:rsidRPr="00E67914">
        <w:rPr>
          <w:rFonts w:ascii="Times New Roman" w:hAnsi="Times New Roman"/>
          <w:lang w:eastAsia="zh-CN"/>
        </w:rPr>
        <w:lastRenderedPageBreak/>
        <w:t>用的废油、不能继续使用的废油桶以及擦拭站场设备产生的其他含油固废交由有资质的单位处理，因此废油及其他含油井固废在井场内暂存可行。</w:t>
      </w:r>
    </w:p>
    <w:p w14:paraId="46F89C7A" w14:textId="77777777" w:rsidR="00A54A8A" w:rsidRPr="00E67914" w:rsidRDefault="00000000">
      <w:pPr>
        <w:pStyle w:val="2SLCON2"/>
        <w:tabs>
          <w:tab w:val="clear" w:pos="377"/>
        </w:tabs>
        <w:adjustRightInd w:val="0"/>
        <w:snapToGrid w:val="0"/>
        <w:ind w:firstLine="482"/>
        <w:rPr>
          <w:rFonts w:ascii="Times New Roman" w:hAnsi="Times New Roman" w:cs="Times New Roman"/>
          <w:bCs/>
          <w:kern w:val="2"/>
          <w:szCs w:val="24"/>
          <w:lang w:eastAsia="zh-CN"/>
        </w:rPr>
      </w:pPr>
      <w:r w:rsidRPr="00E67914">
        <w:rPr>
          <w:rFonts w:ascii="Times New Roman" w:hAnsi="Times New Roman" w:cs="Times New Roman"/>
          <w:b/>
          <w:kern w:val="2"/>
          <w:szCs w:val="24"/>
          <w:lang w:eastAsia="zh-CN"/>
        </w:rPr>
        <w:t>（</w:t>
      </w:r>
      <w:r w:rsidRPr="00E67914">
        <w:rPr>
          <w:rFonts w:ascii="Times New Roman" w:hAnsi="Times New Roman" w:cs="Times New Roman"/>
          <w:b/>
          <w:bCs/>
          <w:szCs w:val="24"/>
          <w:lang w:eastAsia="zh-CN"/>
        </w:rPr>
        <w:t>2</w:t>
      </w:r>
      <w:r w:rsidRPr="00E67914">
        <w:rPr>
          <w:rFonts w:ascii="Times New Roman" w:hAnsi="Times New Roman" w:cs="Times New Roman"/>
          <w:b/>
          <w:bCs/>
          <w:szCs w:val="24"/>
          <w:lang w:eastAsia="zh-CN"/>
        </w:rPr>
        <w:t>）危险废物贮存、处置环境管理</w:t>
      </w:r>
    </w:p>
    <w:p w14:paraId="4A97DAD2"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本项目废油等其他含油固废采用油桶收集，整体转运方式转运，避免转运过程中的跑冒滴漏，严格按照《危险废物收集、贮存、运输集输规范》（</w:t>
      </w:r>
      <w:r w:rsidRPr="00E67914">
        <w:rPr>
          <w:rFonts w:ascii="Times New Roman" w:hAnsi="Times New Roman" w:cs="Times New Roman"/>
          <w:bCs/>
          <w:kern w:val="2"/>
          <w:szCs w:val="24"/>
          <w:lang w:eastAsia="zh-CN"/>
        </w:rPr>
        <w:t>HJ2025-2012</w:t>
      </w:r>
      <w:r w:rsidRPr="00E67914">
        <w:rPr>
          <w:rFonts w:ascii="Times New Roman" w:hAnsi="Times New Roman" w:cs="Times New Roman"/>
          <w:bCs/>
          <w:kern w:val="2"/>
          <w:szCs w:val="24"/>
          <w:lang w:eastAsia="zh-CN"/>
        </w:rPr>
        <w:t>）等危废运输管理各项规定予以落实，场内转运车辆按照预定线路转运，加强转运人员的环境风险防范意识教育，编制转运环境风险应急预案，场外转运委托危废资质单位专业转运，转运车辆环境管理措施可行。</w:t>
      </w:r>
    </w:p>
    <w:p w14:paraId="3EB296B6"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为加强四川省危险废物监督管理工作，四川省固体废物管理中心每年都会组织行政区域内危险废物产生单位对当年危险废物的产生、贮存、转移、利用、处置等情况进行申报，本项目须严格按照当地危险废物登记申报环境管理相关要求，以企业为单位，本项目产生危险固废阶段为子项汇总后主动向当地环境行政主管部门申报，接受监督检查。</w:t>
      </w:r>
    </w:p>
    <w:p w14:paraId="644C9796"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为加强危废的环境管理，本项目应严格按照《危险废物收集贮存运输技术规范》（</w:t>
      </w:r>
      <w:r w:rsidRPr="00E67914">
        <w:rPr>
          <w:rFonts w:ascii="Times New Roman" w:hAnsi="Times New Roman" w:cs="Times New Roman"/>
          <w:bCs/>
          <w:kern w:val="2"/>
          <w:szCs w:val="24"/>
          <w:lang w:eastAsia="zh-CN"/>
        </w:rPr>
        <w:t>HJ2025-2012</w:t>
      </w:r>
      <w:r w:rsidRPr="00E67914">
        <w:rPr>
          <w:rFonts w:ascii="Times New Roman" w:hAnsi="Times New Roman" w:cs="Times New Roman"/>
          <w:bCs/>
          <w:kern w:val="2"/>
          <w:szCs w:val="24"/>
          <w:lang w:eastAsia="zh-CN"/>
        </w:rPr>
        <w:t>）、《危险废物转移管理办法》（</w:t>
      </w:r>
      <w:r w:rsidRPr="00E67914">
        <w:rPr>
          <w:rFonts w:ascii="Times New Roman" w:hAnsi="Times New Roman" w:cs="Times New Roman"/>
          <w:bCs/>
          <w:kern w:val="2"/>
          <w:szCs w:val="24"/>
          <w:lang w:eastAsia="zh-CN"/>
        </w:rPr>
        <w:t>2021</w:t>
      </w:r>
      <w:r w:rsidRPr="00E67914">
        <w:rPr>
          <w:rFonts w:ascii="Times New Roman" w:hAnsi="Times New Roman" w:cs="Times New Roman"/>
          <w:bCs/>
          <w:kern w:val="2"/>
          <w:szCs w:val="24"/>
          <w:lang w:eastAsia="zh-CN"/>
        </w:rPr>
        <w:t>年</w:t>
      </w:r>
      <w:r w:rsidRPr="00E67914">
        <w:rPr>
          <w:rFonts w:ascii="Times New Roman" w:hAnsi="Times New Roman" w:cs="Times New Roman"/>
          <w:bCs/>
          <w:kern w:val="2"/>
          <w:szCs w:val="24"/>
          <w:lang w:eastAsia="zh-CN"/>
        </w:rPr>
        <w:t>11</w:t>
      </w:r>
      <w:r w:rsidRPr="00E67914">
        <w:rPr>
          <w:rFonts w:ascii="Times New Roman" w:hAnsi="Times New Roman" w:cs="Times New Roman"/>
          <w:bCs/>
          <w:kern w:val="2"/>
          <w:szCs w:val="24"/>
          <w:lang w:eastAsia="zh-CN"/>
        </w:rPr>
        <w:t>月</w:t>
      </w:r>
      <w:r w:rsidRPr="00E67914">
        <w:rPr>
          <w:rFonts w:ascii="Times New Roman" w:hAnsi="Times New Roman" w:cs="Times New Roman"/>
          <w:bCs/>
          <w:kern w:val="2"/>
          <w:szCs w:val="24"/>
          <w:lang w:eastAsia="zh-CN"/>
        </w:rPr>
        <w:t>30</w:t>
      </w:r>
      <w:r w:rsidRPr="00E67914">
        <w:rPr>
          <w:rFonts w:ascii="Times New Roman" w:hAnsi="Times New Roman" w:cs="Times New Roman"/>
          <w:bCs/>
          <w:kern w:val="2"/>
          <w:szCs w:val="24"/>
          <w:lang w:eastAsia="zh-CN"/>
        </w:rPr>
        <w:t>日生态环境部、公安部、交通运输部令第</w:t>
      </w:r>
      <w:r w:rsidRPr="00E67914">
        <w:rPr>
          <w:rFonts w:ascii="Times New Roman" w:hAnsi="Times New Roman" w:cs="Times New Roman"/>
          <w:bCs/>
          <w:kern w:val="2"/>
          <w:szCs w:val="24"/>
          <w:lang w:eastAsia="zh-CN"/>
        </w:rPr>
        <w:t>23</w:t>
      </w:r>
      <w:r w:rsidRPr="00E67914">
        <w:rPr>
          <w:rFonts w:ascii="Times New Roman" w:hAnsi="Times New Roman" w:cs="Times New Roman"/>
          <w:bCs/>
          <w:kern w:val="2"/>
          <w:szCs w:val="24"/>
          <w:lang w:eastAsia="zh-CN"/>
        </w:rPr>
        <w:t>号公布自</w:t>
      </w:r>
      <w:r w:rsidRPr="00E67914">
        <w:rPr>
          <w:rFonts w:ascii="Times New Roman" w:hAnsi="Times New Roman" w:cs="Times New Roman"/>
          <w:bCs/>
          <w:kern w:val="2"/>
          <w:szCs w:val="24"/>
          <w:lang w:eastAsia="zh-CN"/>
        </w:rPr>
        <w:t>2022</w:t>
      </w:r>
      <w:r w:rsidRPr="00E67914">
        <w:rPr>
          <w:rFonts w:ascii="Times New Roman" w:hAnsi="Times New Roman" w:cs="Times New Roman"/>
          <w:bCs/>
          <w:kern w:val="2"/>
          <w:szCs w:val="24"/>
          <w:lang w:eastAsia="zh-CN"/>
        </w:rPr>
        <w:t>年</w:t>
      </w:r>
      <w:r w:rsidRPr="00E67914">
        <w:rPr>
          <w:rFonts w:ascii="Times New Roman" w:hAnsi="Times New Roman" w:cs="Times New Roman"/>
          <w:bCs/>
          <w:kern w:val="2"/>
          <w:szCs w:val="24"/>
          <w:lang w:eastAsia="zh-CN"/>
        </w:rPr>
        <w:t>1</w:t>
      </w:r>
      <w:r w:rsidRPr="00E67914">
        <w:rPr>
          <w:rFonts w:ascii="Times New Roman" w:hAnsi="Times New Roman" w:cs="Times New Roman"/>
          <w:bCs/>
          <w:kern w:val="2"/>
          <w:szCs w:val="24"/>
          <w:lang w:eastAsia="zh-CN"/>
        </w:rPr>
        <w:t>月</w:t>
      </w:r>
      <w:r w:rsidRPr="00E67914">
        <w:rPr>
          <w:rFonts w:ascii="Times New Roman" w:hAnsi="Times New Roman" w:cs="Times New Roman"/>
          <w:bCs/>
          <w:kern w:val="2"/>
          <w:szCs w:val="24"/>
          <w:lang w:eastAsia="zh-CN"/>
        </w:rPr>
        <w:t>1</w:t>
      </w:r>
      <w:r w:rsidRPr="00E67914">
        <w:rPr>
          <w:rFonts w:ascii="Times New Roman" w:hAnsi="Times New Roman" w:cs="Times New Roman"/>
          <w:bCs/>
          <w:kern w:val="2"/>
          <w:szCs w:val="24"/>
          <w:lang w:eastAsia="zh-CN"/>
        </w:rPr>
        <w:t>日起施行）和</w:t>
      </w:r>
      <w:r w:rsidRPr="00E67914">
        <w:rPr>
          <w:rFonts w:ascii="Times New Roman" w:hAnsi="Times New Roman" w:cs="Times New Roman"/>
          <w:bCs/>
          <w:lang w:eastAsia="zh-CN"/>
        </w:rPr>
        <w:t>《危险废物环境管理指南</w:t>
      </w:r>
      <w:r w:rsidRPr="00E67914">
        <w:rPr>
          <w:rFonts w:ascii="Times New Roman" w:hAnsi="Times New Roman" w:cs="Times New Roman"/>
          <w:bCs/>
          <w:lang w:eastAsia="zh-CN"/>
        </w:rPr>
        <w:t xml:space="preserve"> </w:t>
      </w:r>
      <w:r w:rsidRPr="00E67914">
        <w:rPr>
          <w:rFonts w:ascii="Times New Roman" w:hAnsi="Times New Roman" w:cs="Times New Roman"/>
          <w:bCs/>
          <w:lang w:eastAsia="zh-CN"/>
        </w:rPr>
        <w:t>陆上石油天然气开采》</w:t>
      </w:r>
      <w:r w:rsidRPr="00E67914">
        <w:rPr>
          <w:rFonts w:ascii="Times New Roman" w:hAnsi="Times New Roman" w:cs="Times New Roman"/>
          <w:bCs/>
          <w:kern w:val="2"/>
          <w:szCs w:val="24"/>
          <w:lang w:eastAsia="zh-CN"/>
        </w:rPr>
        <w:t>等相关环境管理要求，做到如下环境管理。</w:t>
      </w:r>
    </w:p>
    <w:p w14:paraId="69603CAB"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1</w:t>
      </w:r>
      <w:r w:rsidRPr="00E67914">
        <w:rPr>
          <w:rFonts w:ascii="Times New Roman" w:hAnsi="Times New Roman" w:cs="Times New Roman"/>
          <w:bCs/>
          <w:kern w:val="2"/>
          <w:szCs w:val="24"/>
          <w:lang w:eastAsia="zh-CN"/>
        </w:rPr>
        <w:t>）落实污染环境防治责任制度，建立健全工业危险废物产生、收集、贮存、运输、利用、处置全过程的污染环境防治责任制度。</w:t>
      </w:r>
    </w:p>
    <w:p w14:paraId="2C044A88"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2</w:t>
      </w:r>
      <w:r w:rsidRPr="00E67914">
        <w:rPr>
          <w:rFonts w:ascii="Times New Roman" w:hAnsi="Times New Roman" w:cs="Times New Roman"/>
          <w:bCs/>
          <w:kern w:val="2"/>
          <w:szCs w:val="24"/>
          <w:lang w:eastAsia="zh-CN"/>
        </w:rPr>
        <w:t>）落实危险废物识别标志制度，按照《环境保护图形标志</w:t>
      </w:r>
      <w:r w:rsidRPr="00E67914">
        <w:rPr>
          <w:rFonts w:ascii="Times New Roman" w:hAnsi="Times New Roman" w:cs="Times New Roman"/>
          <w:bCs/>
          <w:kern w:val="2"/>
          <w:szCs w:val="24"/>
          <w:lang w:eastAsia="zh-CN"/>
        </w:rPr>
        <w:t xml:space="preserve"> </w:t>
      </w:r>
      <w:r w:rsidRPr="00E67914">
        <w:rPr>
          <w:rFonts w:ascii="Times New Roman" w:hAnsi="Times New Roman" w:cs="Times New Roman"/>
          <w:bCs/>
          <w:kern w:val="2"/>
          <w:szCs w:val="24"/>
          <w:lang w:eastAsia="zh-CN"/>
        </w:rPr>
        <w:t>固体废物贮存（处置）场》（</w:t>
      </w:r>
      <w:r w:rsidRPr="00E67914">
        <w:rPr>
          <w:rFonts w:ascii="Times New Roman" w:hAnsi="Times New Roman" w:cs="Times New Roman"/>
          <w:bCs/>
          <w:kern w:val="2"/>
          <w:szCs w:val="24"/>
          <w:lang w:eastAsia="zh-CN"/>
        </w:rPr>
        <w:t>GB15562.2</w:t>
      </w:r>
      <w:r w:rsidRPr="00E67914">
        <w:rPr>
          <w:rFonts w:ascii="Times New Roman" w:hAnsi="Times New Roman" w:cs="Times New Roman"/>
          <w:bCs/>
          <w:kern w:val="2"/>
          <w:szCs w:val="24"/>
          <w:lang w:eastAsia="zh-CN"/>
        </w:rPr>
        <w:t>）等有关规定，对危险废物的容器和包装物以及收集、贮存、运输、利用、处置危险废物的设施、场所设置危险废物识别标志。</w:t>
      </w:r>
    </w:p>
    <w:p w14:paraId="3BAC1827"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3</w:t>
      </w:r>
      <w:r w:rsidRPr="00E67914">
        <w:rPr>
          <w:rFonts w:ascii="Times New Roman" w:hAnsi="Times New Roman" w:cs="Times New Roman"/>
          <w:bCs/>
          <w:kern w:val="2"/>
          <w:szCs w:val="24"/>
          <w:lang w:eastAsia="zh-CN"/>
        </w:rPr>
        <w:t>）落实危险废物管理计划制度，按照《危险废物产生单位管理计划制定指南》等有关要求制定危险废物管理计划，并报所在地生态环境主管部门备案。</w:t>
      </w:r>
    </w:p>
    <w:p w14:paraId="5427545A"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4</w:t>
      </w:r>
      <w:r w:rsidRPr="00E67914">
        <w:rPr>
          <w:rFonts w:ascii="Times New Roman" w:hAnsi="Times New Roman" w:cs="Times New Roman"/>
          <w:bCs/>
          <w:kern w:val="2"/>
          <w:szCs w:val="24"/>
          <w:lang w:eastAsia="zh-CN"/>
        </w:rPr>
        <w:t>）落实危险废物管理台账及申报制度，建立危险废物管理台账，如实记录有关信息，并通过国家危险废物信息管理系统向所在地生态环境主管部门申报危险废物的种类、产生量、流向、贮存、处置等有关资料。</w:t>
      </w:r>
    </w:p>
    <w:p w14:paraId="03DBE5C7"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5</w:t>
      </w:r>
      <w:r w:rsidRPr="00E67914">
        <w:rPr>
          <w:rFonts w:ascii="Times New Roman" w:hAnsi="Times New Roman" w:cs="Times New Roman"/>
          <w:bCs/>
          <w:kern w:val="2"/>
          <w:szCs w:val="24"/>
          <w:lang w:eastAsia="zh-CN"/>
        </w:rPr>
        <w:t>）落实危险废物经营许可证制度，禁止将危险废物提供或委托给无危险废物经营许可证的单位或者其他生产经营者从事收集、贮存、利用、处置活动。</w:t>
      </w:r>
    </w:p>
    <w:p w14:paraId="260AB80B"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lastRenderedPageBreak/>
        <w:t>6</w:t>
      </w:r>
      <w:r w:rsidRPr="00E67914">
        <w:rPr>
          <w:rFonts w:ascii="Times New Roman" w:hAnsi="Times New Roman" w:cs="Times New Roman"/>
          <w:bCs/>
          <w:kern w:val="2"/>
          <w:szCs w:val="24"/>
          <w:lang w:eastAsia="zh-CN"/>
        </w:rPr>
        <w:t>）落实危险废物转移联单制度，转移危险废物的，应当按照《危险废物转移管理办法》的有关规定填写、运行危险废物转移联单。运输危险废物，应当采取防止污染环境的措施，并遵守国家有关危险货物运输管理的规定。废油转运实施五联单转运制度，联单第一联由产生单位自留存档，联单第二联副联由产生单位在二日内报送移出地环境保护行政主管部门；接受单位将联单第三联交付运输单位存档；将联单第四联自留存档；将联单第五联自接受危险废物之日起二日内报送接受地环境保护行政主管部门，联单保存期限为五年。</w:t>
      </w:r>
    </w:p>
    <w:p w14:paraId="0443530B"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7</w:t>
      </w:r>
      <w:r w:rsidRPr="00E67914">
        <w:rPr>
          <w:rFonts w:ascii="Times New Roman" w:hAnsi="Times New Roman" w:cs="Times New Roman"/>
          <w:bCs/>
          <w:kern w:val="2"/>
          <w:szCs w:val="24"/>
          <w:lang w:eastAsia="zh-CN"/>
        </w:rPr>
        <w:t>）落实排污许可制度。</w:t>
      </w:r>
    </w:p>
    <w:p w14:paraId="25D586B1"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8</w:t>
      </w:r>
      <w:r w:rsidRPr="00E67914">
        <w:rPr>
          <w:rFonts w:ascii="Times New Roman" w:hAnsi="Times New Roman" w:cs="Times New Roman"/>
          <w:bCs/>
          <w:kern w:val="2"/>
          <w:szCs w:val="24"/>
          <w:lang w:eastAsia="zh-CN"/>
        </w:rPr>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w:t>
      </w:r>
      <w:r w:rsidRPr="00E67914">
        <w:rPr>
          <w:rFonts w:ascii="Times New Roman" w:hAnsi="Times New Roman" w:cs="Times New Roman"/>
          <w:bCs/>
          <w:kern w:val="2"/>
          <w:szCs w:val="24"/>
          <w:lang w:eastAsia="zh-CN"/>
        </w:rPr>
        <w:t>GB18597-2023</w:t>
      </w:r>
      <w:r w:rsidRPr="00E67914">
        <w:rPr>
          <w:rFonts w:ascii="Times New Roman" w:hAnsi="Times New Roman" w:cs="Times New Roman"/>
          <w:bCs/>
          <w:kern w:val="2"/>
          <w:szCs w:val="24"/>
          <w:lang w:eastAsia="zh-CN"/>
        </w:rPr>
        <w:t>）、《危险废物收集</w:t>
      </w:r>
      <w:r w:rsidRPr="00E67914">
        <w:rPr>
          <w:rFonts w:ascii="Times New Roman" w:hAnsi="Times New Roman" w:cs="Times New Roman"/>
          <w:bCs/>
          <w:kern w:val="2"/>
          <w:szCs w:val="24"/>
          <w:lang w:eastAsia="zh-CN"/>
        </w:rPr>
        <w:t xml:space="preserve"> </w:t>
      </w:r>
      <w:r w:rsidRPr="00E67914">
        <w:rPr>
          <w:rFonts w:ascii="Times New Roman" w:hAnsi="Times New Roman" w:cs="Times New Roman"/>
          <w:bCs/>
          <w:kern w:val="2"/>
          <w:szCs w:val="24"/>
          <w:lang w:eastAsia="zh-CN"/>
        </w:rPr>
        <w:t>贮存</w:t>
      </w:r>
      <w:r w:rsidRPr="00E67914">
        <w:rPr>
          <w:rFonts w:ascii="Times New Roman" w:hAnsi="Times New Roman" w:cs="Times New Roman"/>
          <w:bCs/>
          <w:kern w:val="2"/>
          <w:szCs w:val="24"/>
          <w:lang w:eastAsia="zh-CN"/>
        </w:rPr>
        <w:t xml:space="preserve"> </w:t>
      </w:r>
      <w:r w:rsidRPr="00E67914">
        <w:rPr>
          <w:rFonts w:ascii="Times New Roman" w:hAnsi="Times New Roman" w:cs="Times New Roman"/>
          <w:bCs/>
          <w:kern w:val="2"/>
          <w:szCs w:val="24"/>
          <w:lang w:eastAsia="zh-CN"/>
        </w:rPr>
        <w:t>运输技术规范》（</w:t>
      </w:r>
      <w:r w:rsidRPr="00E67914">
        <w:rPr>
          <w:rFonts w:ascii="Times New Roman" w:hAnsi="Times New Roman" w:cs="Times New Roman"/>
          <w:bCs/>
          <w:kern w:val="2"/>
          <w:szCs w:val="24"/>
          <w:lang w:eastAsia="zh-CN"/>
        </w:rPr>
        <w:t>HJ2025</w:t>
      </w:r>
      <w:r w:rsidRPr="00E67914">
        <w:rPr>
          <w:rFonts w:ascii="Times New Roman" w:hAnsi="Times New Roman" w:cs="Times New Roman"/>
          <w:bCs/>
          <w:kern w:val="2"/>
          <w:szCs w:val="24"/>
          <w:lang w:eastAsia="zh-CN"/>
        </w:rPr>
        <w:t>）等有关规定。</w:t>
      </w:r>
    </w:p>
    <w:p w14:paraId="0B9D08E6"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9</w:t>
      </w:r>
      <w:r w:rsidRPr="00E67914">
        <w:rPr>
          <w:rFonts w:ascii="Times New Roman" w:hAnsi="Times New Roman" w:cs="Times New Roman"/>
          <w:bCs/>
          <w:kern w:val="2"/>
          <w:szCs w:val="24"/>
          <w:lang w:eastAsia="zh-CN"/>
        </w:rPr>
        <w:t>）落实环境影响评价制度及环境保护三同时制度，需要配套建设的危险废物贮存、利用和处置设施应当与主体工程同时设计、同时施工、同时投入使用。</w:t>
      </w:r>
    </w:p>
    <w:p w14:paraId="226B15CE"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10</w:t>
      </w:r>
      <w:r w:rsidRPr="00E67914">
        <w:rPr>
          <w:rFonts w:ascii="Times New Roman" w:hAnsi="Times New Roman" w:cs="Times New Roman"/>
          <w:bCs/>
          <w:kern w:val="2"/>
          <w:szCs w:val="24"/>
          <w:lang w:eastAsia="zh-CN"/>
        </w:rPr>
        <w:t>）落实环境应急预案制度，参考《危险废物经营单位编制应急预案指南》有关规定制定意外事故的防范措施和环境应急预案，并向所在地生态环境主管部门和其他负有固体废物污染环境防治监督管理职责的部门备案。</w:t>
      </w:r>
    </w:p>
    <w:p w14:paraId="013046CC" w14:textId="77777777" w:rsidR="00A54A8A" w:rsidRPr="00E67914" w:rsidRDefault="00000000">
      <w:pPr>
        <w:pStyle w:val="2SLCON2"/>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11</w:t>
      </w:r>
      <w:r w:rsidRPr="00E67914">
        <w:rPr>
          <w:rFonts w:ascii="Times New Roman" w:hAnsi="Times New Roman" w:cs="Times New Roman"/>
          <w:bCs/>
          <w:kern w:val="2"/>
          <w:szCs w:val="24"/>
          <w:lang w:eastAsia="zh-CN"/>
        </w:rPr>
        <w:t>）井场设专门的储存区贮存废润滑油、废含油抹布和劳保用品、含有或沾染矿物油的废弃包装物和容器等。</w:t>
      </w:r>
    </w:p>
    <w:p w14:paraId="3418B41C" w14:textId="77777777" w:rsidR="00A54A8A" w:rsidRPr="00E67914" w:rsidRDefault="00000000">
      <w:pPr>
        <w:pStyle w:val="2SLCON2"/>
        <w:tabs>
          <w:tab w:val="clear" w:pos="377"/>
        </w:tabs>
        <w:adjustRightInd w:val="0"/>
        <w:snapToGrid w:val="0"/>
        <w:ind w:firstLine="482"/>
        <w:rPr>
          <w:rFonts w:ascii="Times New Roman" w:hAnsi="Times New Roman" w:cs="Times New Roman"/>
          <w:b/>
          <w:kern w:val="2"/>
          <w:szCs w:val="24"/>
          <w:lang w:eastAsia="zh-CN"/>
        </w:rPr>
      </w:pPr>
      <w:r w:rsidRPr="00E67914">
        <w:rPr>
          <w:rFonts w:ascii="Times New Roman" w:hAnsi="Times New Roman" w:cs="Times New Roman"/>
          <w:b/>
          <w:kern w:val="2"/>
          <w:szCs w:val="24"/>
          <w:lang w:eastAsia="zh-CN"/>
        </w:rPr>
        <w:t>（</w:t>
      </w:r>
      <w:r w:rsidRPr="00E67914">
        <w:rPr>
          <w:rFonts w:ascii="Times New Roman" w:hAnsi="Times New Roman" w:cs="Times New Roman"/>
          <w:b/>
          <w:kern w:val="2"/>
          <w:szCs w:val="24"/>
          <w:lang w:eastAsia="zh-CN"/>
        </w:rPr>
        <w:t>3</w:t>
      </w:r>
      <w:r w:rsidRPr="00E67914">
        <w:rPr>
          <w:rFonts w:ascii="Times New Roman" w:hAnsi="Times New Roman" w:cs="Times New Roman"/>
          <w:b/>
          <w:kern w:val="2"/>
          <w:szCs w:val="24"/>
          <w:lang w:eastAsia="zh-CN"/>
        </w:rPr>
        <w:t>）危险废物处置可行性分析</w:t>
      </w:r>
    </w:p>
    <w:p w14:paraId="32C27243" w14:textId="77777777" w:rsidR="00A54A8A" w:rsidRPr="00E67914" w:rsidRDefault="00000000">
      <w:pPr>
        <w:pStyle w:val="2SLCON2"/>
        <w:adjustRightInd w:val="0"/>
        <w:snapToGrid w:val="0"/>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本项目钻井施工期危废主要为</w:t>
      </w:r>
      <w:r w:rsidRPr="00E67914">
        <w:rPr>
          <w:rFonts w:ascii="Times New Roman" w:hAnsi="Times New Roman" w:cs="Times New Roman"/>
          <w:bCs/>
          <w:kern w:val="2"/>
          <w:szCs w:val="24"/>
          <w:lang w:eastAsia="zh-CN"/>
        </w:rPr>
        <w:t>HW08 900-214-08</w:t>
      </w:r>
      <w:r w:rsidRPr="00E67914">
        <w:rPr>
          <w:rFonts w:ascii="Times New Roman" w:hAnsi="Times New Roman" w:cs="Times New Roman"/>
          <w:bCs/>
          <w:kern w:val="2"/>
          <w:szCs w:val="24"/>
          <w:lang w:eastAsia="zh-CN"/>
        </w:rPr>
        <w:t>废油危废，由于</w:t>
      </w:r>
      <w:r w:rsidRPr="00E67914">
        <w:rPr>
          <w:rFonts w:ascii="Times New Roman" w:hAnsi="Times New Roman" w:cs="Times New Roman"/>
          <w:bCs/>
          <w:kern w:val="2"/>
          <w:szCs w:val="24"/>
          <w:lang w:eastAsia="zh-CN"/>
        </w:rPr>
        <w:t>HW08 900-214-08</w:t>
      </w:r>
      <w:r w:rsidRPr="00E67914">
        <w:rPr>
          <w:rFonts w:ascii="Times New Roman" w:hAnsi="Times New Roman" w:cs="Times New Roman"/>
          <w:bCs/>
          <w:kern w:val="2"/>
          <w:szCs w:val="24"/>
          <w:lang w:eastAsia="zh-CN"/>
        </w:rPr>
        <w:t>废油危废产生量少，施工现场通过加强施工现场环境管理措施减少和控制废油产生，产生量进一步减小，一般不会超过周边危废处置单位处置能力，交由危废资质单位处置措施可行。</w:t>
      </w:r>
    </w:p>
    <w:p w14:paraId="68A63C62"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5</w:t>
      </w:r>
      <w:r w:rsidRPr="00E67914">
        <w:rPr>
          <w:rFonts w:ascii="Times New Roman" w:eastAsia="黑体" w:hAnsi="Times New Roman"/>
          <w:sz w:val="24"/>
          <w:lang w:eastAsia="zh-CN"/>
        </w:rPr>
        <w:t>、生活垃圾处置措施</w:t>
      </w:r>
    </w:p>
    <w:p w14:paraId="4C675B19" w14:textId="77777777" w:rsidR="00A54A8A" w:rsidRPr="00E67914" w:rsidRDefault="00000000">
      <w:pPr>
        <w:pStyle w:val="2SLCON2"/>
        <w:widowControl w:val="0"/>
        <w:tabs>
          <w:tab w:val="clear" w:pos="377"/>
        </w:tabs>
        <w:adjustRightInd w:val="0"/>
        <w:snapToGrid w:val="0"/>
        <w:jc w:val="both"/>
        <w:rPr>
          <w:rFonts w:ascii="Times New Roman" w:hAnsi="Times New Roman" w:cs="Times New Roman"/>
          <w:bCs/>
          <w:kern w:val="2"/>
          <w:szCs w:val="24"/>
          <w:lang w:eastAsia="zh-CN"/>
        </w:rPr>
      </w:pPr>
      <w:r w:rsidRPr="00E67914">
        <w:rPr>
          <w:rFonts w:ascii="Times New Roman" w:hAnsi="Times New Roman" w:cs="Times New Roman"/>
          <w:bCs/>
          <w:kern w:val="2"/>
          <w:szCs w:val="24"/>
          <w:lang w:eastAsia="zh-CN"/>
        </w:rPr>
        <w:t>钻井队作业人员的生活垃圾储存于生活垃圾桶，交由当地环卫部门处理，措施可行。</w:t>
      </w:r>
    </w:p>
    <w:p w14:paraId="341EA7FF"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6</w:t>
      </w:r>
      <w:r w:rsidRPr="00E67914">
        <w:rPr>
          <w:rFonts w:ascii="Times New Roman" w:eastAsia="黑体" w:hAnsi="Times New Roman"/>
          <w:sz w:val="24"/>
          <w:lang w:eastAsia="zh-CN"/>
        </w:rPr>
        <w:t>、废包装材料处置措施</w:t>
      </w:r>
    </w:p>
    <w:p w14:paraId="171FBA48"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lastRenderedPageBreak/>
        <w:t>钻井期间产生的废包装材料主要为各原辅材料的包装袋，为一般废物，集中收集后定期运至就近的废品回收站进行处理，措施可行。</w:t>
      </w:r>
    </w:p>
    <w:p w14:paraId="373A0B10" w14:textId="053A72DB"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这些措施在川东北地区钻采工程中已实施多年，具有较好的借鉴经验。根据本井场已经完钻的原</w:t>
      </w:r>
      <w:r w:rsidR="00902A04" w:rsidRPr="00E67914">
        <w:rPr>
          <w:rFonts w:ascii="Times New Roman" w:hAnsi="Times New Roman"/>
          <w:lang w:eastAsia="zh-CN"/>
        </w:rPr>
        <w:t>普陆页</w:t>
      </w:r>
      <w:r w:rsidR="00902A04" w:rsidRPr="00E67914">
        <w:rPr>
          <w:rFonts w:ascii="Times New Roman" w:hAnsi="Times New Roman"/>
          <w:lang w:eastAsia="zh-CN"/>
        </w:rPr>
        <w:t>2</w:t>
      </w:r>
      <w:r w:rsidR="00C42924" w:rsidRPr="00E67914">
        <w:rPr>
          <w:rFonts w:ascii="Times New Roman" w:hAnsi="Times New Roman"/>
          <w:lang w:eastAsia="zh-CN"/>
        </w:rPr>
        <w:t>井场</w:t>
      </w:r>
      <w:r w:rsidRPr="00E67914">
        <w:rPr>
          <w:rFonts w:ascii="Times New Roman" w:hAnsi="Times New Roman"/>
          <w:lang w:eastAsia="zh-CN"/>
        </w:rPr>
        <w:t>和其他中石化川东北地区钻采工程采用相同固废污染防治措施，在加强管理和及时转运后，无固废产生二次污染和投诉发生。因此，本项目施工期固废污染防治措施从经济和环保角度分析是合理、可行的。</w:t>
      </w:r>
    </w:p>
    <w:p w14:paraId="48C73369" w14:textId="77777777" w:rsidR="00A54A8A" w:rsidRPr="00E67914" w:rsidRDefault="00000000">
      <w:pPr>
        <w:pStyle w:val="2"/>
        <w:ind w:firstLine="480"/>
        <w:rPr>
          <w:szCs w:val="24"/>
          <w:lang w:eastAsia="zh-CN"/>
        </w:rPr>
      </w:pPr>
      <w:bookmarkStart w:id="232" w:name="6.1.5生态环境保护措施"/>
      <w:bookmarkStart w:id="233" w:name="6.2运营期环境保护措施及可行性分析"/>
      <w:bookmarkStart w:id="234" w:name="_bookmark33"/>
      <w:bookmarkStart w:id="235" w:name="_Toc148654243"/>
      <w:bookmarkEnd w:id="232"/>
      <w:bookmarkEnd w:id="233"/>
      <w:bookmarkEnd w:id="234"/>
      <w:r w:rsidRPr="00E67914">
        <w:rPr>
          <w:szCs w:val="24"/>
          <w:lang w:eastAsia="zh-CN"/>
        </w:rPr>
        <w:t>7.2</w:t>
      </w:r>
      <w:r w:rsidRPr="00E67914">
        <w:rPr>
          <w:szCs w:val="24"/>
          <w:lang w:eastAsia="zh-CN"/>
        </w:rPr>
        <w:t>试采期环境保护措施及可行性分析</w:t>
      </w:r>
      <w:bookmarkStart w:id="236" w:name="6.2.1废水污染物防治措施"/>
      <w:bookmarkEnd w:id="235"/>
      <w:bookmarkEnd w:id="236"/>
    </w:p>
    <w:p w14:paraId="1D0C31BE"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7.2.1</w:t>
      </w:r>
      <w:r w:rsidRPr="00E67914">
        <w:rPr>
          <w:rFonts w:ascii="Times New Roman" w:eastAsia="黑体" w:hAnsi="Times New Roman"/>
          <w:b w:val="0"/>
          <w:sz w:val="24"/>
          <w:szCs w:val="24"/>
          <w:lang w:eastAsia="zh-CN"/>
        </w:rPr>
        <w:t>试采期大气环境污染防治措施可行性分析</w:t>
      </w:r>
    </w:p>
    <w:p w14:paraId="77DCFD64"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1</w:t>
      </w:r>
      <w:r w:rsidRPr="00E67914">
        <w:rPr>
          <w:rFonts w:ascii="Times New Roman" w:eastAsia="黑体" w:hAnsi="Times New Roman"/>
          <w:sz w:val="24"/>
          <w:lang w:eastAsia="zh-CN"/>
        </w:rPr>
        <w:t>、水套加热炉加热炉燃气废气治理措施</w:t>
      </w:r>
    </w:p>
    <w:p w14:paraId="73F1EE72" w14:textId="2A3DBFEC"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本项目水套加热炉所用的燃料气为</w:t>
      </w:r>
      <w:r w:rsidR="00AA6A0D" w:rsidRPr="00E67914">
        <w:rPr>
          <w:rFonts w:ascii="Times New Roman" w:hAnsi="Times New Roman"/>
          <w:bCs/>
          <w:sz w:val="24"/>
          <w:szCs w:val="24"/>
          <w:lang w:eastAsia="zh-CN"/>
        </w:rPr>
        <w:t>净化厂反输燃料气个本项目闪蒸气</w:t>
      </w:r>
      <w:r w:rsidRPr="00E67914">
        <w:rPr>
          <w:rFonts w:ascii="Times New Roman" w:hAnsi="Times New Roman"/>
          <w:bCs/>
          <w:sz w:val="24"/>
          <w:lang w:eastAsia="zh-CN"/>
        </w:rPr>
        <w:t>，废气产生量较小，且通过自带的</w:t>
      </w:r>
      <w:r w:rsidRPr="00E67914">
        <w:rPr>
          <w:rFonts w:ascii="Times New Roman" w:hAnsi="Times New Roman"/>
          <w:bCs/>
          <w:sz w:val="24"/>
          <w:lang w:eastAsia="zh-CN"/>
        </w:rPr>
        <w:t>8m</w:t>
      </w:r>
      <w:r w:rsidRPr="00E67914">
        <w:rPr>
          <w:rFonts w:ascii="Times New Roman" w:hAnsi="Times New Roman"/>
          <w:bCs/>
          <w:sz w:val="24"/>
          <w:lang w:eastAsia="zh-CN"/>
        </w:rPr>
        <w:t>高排气筒排放，同时加强水套加热炉的保养维护，在采取上述措施后水套加热炉加热炉燃气废气治理措施有效可行。</w:t>
      </w:r>
    </w:p>
    <w:p w14:paraId="19925166" w14:textId="5F0710AB" w:rsidR="00AA6A0D" w:rsidRPr="00E67914" w:rsidRDefault="00AA6A0D" w:rsidP="00AA6A0D">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2</w:t>
      </w:r>
      <w:r w:rsidRPr="00E67914">
        <w:rPr>
          <w:rFonts w:ascii="Times New Roman" w:eastAsia="黑体" w:hAnsi="Times New Roman"/>
          <w:sz w:val="24"/>
          <w:lang w:eastAsia="zh-CN"/>
        </w:rPr>
        <w:t>、火炬及放空系统长明灯燃烧废气</w:t>
      </w:r>
    </w:p>
    <w:p w14:paraId="28E5E417" w14:textId="4A410C30" w:rsidR="00AA6A0D" w:rsidRPr="00E67914" w:rsidRDefault="00AA6A0D" w:rsidP="00AA6A0D">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本项目火炬及放空系统长明燃烧废气</w:t>
      </w:r>
      <w:r w:rsidRPr="00E67914">
        <w:rPr>
          <w:rFonts w:ascii="Times New Roman" w:hAnsi="Times New Roman"/>
          <w:sz w:val="24"/>
          <w:lang w:eastAsia="zh-CN"/>
        </w:rPr>
        <w:t>通过</w:t>
      </w:r>
      <w:r w:rsidRPr="00E67914">
        <w:rPr>
          <w:rFonts w:ascii="Times New Roman" w:hAnsi="Times New Roman"/>
          <w:sz w:val="24"/>
          <w:lang w:eastAsia="zh-CN"/>
        </w:rPr>
        <w:t>25m</w:t>
      </w:r>
      <w:r w:rsidRPr="00E67914">
        <w:rPr>
          <w:rFonts w:ascii="Times New Roman" w:hAnsi="Times New Roman"/>
          <w:sz w:val="24"/>
          <w:lang w:eastAsia="zh-CN"/>
        </w:rPr>
        <w:t>高放空火炬排放，</w:t>
      </w:r>
      <w:r w:rsidRPr="00E67914">
        <w:rPr>
          <w:rFonts w:ascii="Times New Roman" w:hAnsi="Times New Roman"/>
          <w:bCs/>
          <w:sz w:val="24"/>
          <w:lang w:eastAsia="zh-CN"/>
        </w:rPr>
        <w:t>能够</w:t>
      </w:r>
      <w:r w:rsidRPr="00E67914">
        <w:rPr>
          <w:rFonts w:ascii="Times New Roman" w:hAnsi="Times New Roman"/>
          <w:sz w:val="24"/>
          <w:lang w:eastAsia="zh-CN"/>
        </w:rPr>
        <w:t>满足《大气污染物综合排放标准》</w:t>
      </w:r>
      <w:r w:rsidRPr="00E67914">
        <w:rPr>
          <w:rFonts w:ascii="Times New Roman" w:hAnsi="Times New Roman"/>
          <w:sz w:val="24"/>
          <w:lang w:eastAsia="zh-CN"/>
        </w:rPr>
        <w:t>(GB16297-1996)</w:t>
      </w:r>
      <w:r w:rsidRPr="00E67914">
        <w:rPr>
          <w:rFonts w:ascii="Times New Roman" w:hAnsi="Times New Roman"/>
          <w:sz w:val="24"/>
          <w:lang w:eastAsia="zh-CN"/>
        </w:rPr>
        <w:t>中相关限值要求，</w:t>
      </w:r>
      <w:r w:rsidRPr="00E67914">
        <w:rPr>
          <w:rFonts w:ascii="Times New Roman" w:hAnsi="Times New Roman"/>
          <w:bCs/>
          <w:sz w:val="24"/>
          <w:lang w:eastAsia="zh-CN"/>
        </w:rPr>
        <w:t>在采取上述措施后</w:t>
      </w:r>
      <w:r w:rsidRPr="00E67914">
        <w:rPr>
          <w:rFonts w:ascii="Times New Roman" w:hAnsi="Times New Roman"/>
          <w:sz w:val="24"/>
          <w:szCs w:val="24"/>
          <w:lang w:eastAsia="zh-CN"/>
        </w:rPr>
        <w:t>火炬及放空系统长明灯燃烧废气</w:t>
      </w:r>
      <w:r w:rsidRPr="00E67914">
        <w:rPr>
          <w:rFonts w:ascii="Times New Roman" w:hAnsi="Times New Roman"/>
          <w:bCs/>
          <w:sz w:val="24"/>
          <w:lang w:eastAsia="zh-CN"/>
        </w:rPr>
        <w:t>治理措施有效可行。</w:t>
      </w:r>
    </w:p>
    <w:p w14:paraId="4BFC7CC5" w14:textId="37B9A800" w:rsidR="00AA6A0D" w:rsidRPr="00E67914" w:rsidRDefault="00AA6A0D" w:rsidP="00AA6A0D">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3</w:t>
      </w:r>
      <w:r w:rsidRPr="00E67914">
        <w:rPr>
          <w:rFonts w:ascii="Times New Roman" w:eastAsia="黑体" w:hAnsi="Times New Roman"/>
          <w:sz w:val="24"/>
          <w:lang w:eastAsia="zh-CN"/>
        </w:rPr>
        <w:t>、油罐挥发气体</w:t>
      </w:r>
    </w:p>
    <w:p w14:paraId="56D7984D" w14:textId="37F7F3F8" w:rsidR="00AA6A0D" w:rsidRPr="00E67914" w:rsidRDefault="00AA6A0D" w:rsidP="00AA6A0D">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油罐挥发气体通过</w:t>
      </w:r>
      <w:r w:rsidRPr="00E67914">
        <w:rPr>
          <w:rFonts w:ascii="Times New Roman" w:hAnsi="Times New Roman"/>
          <w:bCs/>
          <w:sz w:val="24"/>
          <w:lang w:eastAsia="zh-CN"/>
        </w:rPr>
        <w:t>6m</w:t>
      </w:r>
      <w:r w:rsidRPr="00E67914">
        <w:rPr>
          <w:rFonts w:ascii="Times New Roman" w:hAnsi="Times New Roman"/>
          <w:bCs/>
          <w:sz w:val="24"/>
          <w:lang w:eastAsia="zh-CN"/>
        </w:rPr>
        <w:t>高常压放散管放散，能够满足</w:t>
      </w:r>
      <w:r w:rsidRPr="00E67914">
        <w:rPr>
          <w:rFonts w:ascii="Times New Roman" w:hAnsi="Times New Roman"/>
          <w:sz w:val="24"/>
          <w:lang w:eastAsia="zh-CN"/>
        </w:rPr>
        <w:t>《大气污染物综合排放标准》</w:t>
      </w:r>
      <w:r w:rsidRPr="00E67914">
        <w:rPr>
          <w:rFonts w:ascii="Times New Roman" w:hAnsi="Times New Roman"/>
          <w:sz w:val="24"/>
          <w:lang w:eastAsia="zh-CN"/>
        </w:rPr>
        <w:t>(GB16297-1996)</w:t>
      </w:r>
      <w:r w:rsidRPr="00E67914">
        <w:rPr>
          <w:rFonts w:ascii="Times New Roman" w:hAnsi="Times New Roman"/>
          <w:sz w:val="24"/>
          <w:lang w:eastAsia="zh-CN"/>
        </w:rPr>
        <w:t>中相关限值要求，</w:t>
      </w:r>
      <w:r w:rsidRPr="00E67914">
        <w:rPr>
          <w:rFonts w:ascii="Times New Roman" w:hAnsi="Times New Roman"/>
          <w:bCs/>
          <w:sz w:val="24"/>
          <w:lang w:eastAsia="zh-CN"/>
        </w:rPr>
        <w:t>在采取上述措施后油罐挥发气体治理措施有效可行。</w:t>
      </w:r>
    </w:p>
    <w:p w14:paraId="532458A6" w14:textId="473158DB" w:rsidR="00AA6A0D" w:rsidRPr="00E67914" w:rsidRDefault="00AA6A0D" w:rsidP="00AA6A0D">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4</w:t>
      </w:r>
      <w:r w:rsidRPr="00E67914">
        <w:rPr>
          <w:rFonts w:ascii="Times New Roman" w:eastAsia="黑体" w:hAnsi="Times New Roman"/>
          <w:sz w:val="24"/>
          <w:lang w:eastAsia="zh-CN"/>
        </w:rPr>
        <w:t>、凝析油装车挥发气体</w:t>
      </w:r>
    </w:p>
    <w:p w14:paraId="1992B689" w14:textId="485E2000" w:rsidR="00AA6A0D" w:rsidRPr="00E67914" w:rsidRDefault="00AA6A0D" w:rsidP="00AA6A0D">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凝析油装车挥发气体产生量较小，在凝析油装车时加强管理，尽量减少无组织排放量</w:t>
      </w:r>
      <w:r w:rsidR="007911DC" w:rsidRPr="00E67914">
        <w:rPr>
          <w:rFonts w:ascii="Times New Roman" w:hAnsi="Times New Roman"/>
          <w:sz w:val="24"/>
          <w:lang w:eastAsia="zh-CN"/>
        </w:rPr>
        <w:t>，采用密闭罐车转运</w:t>
      </w:r>
      <w:r w:rsidRPr="00E67914">
        <w:rPr>
          <w:rFonts w:ascii="Times New Roman" w:hAnsi="Times New Roman"/>
          <w:sz w:val="24"/>
          <w:lang w:eastAsia="zh-CN"/>
        </w:rPr>
        <w:t>，采取上述措施后对环境影响较小，</w:t>
      </w:r>
      <w:r w:rsidR="007911DC" w:rsidRPr="00E67914">
        <w:rPr>
          <w:rFonts w:ascii="Times New Roman" w:hAnsi="Times New Roman"/>
          <w:sz w:val="24"/>
          <w:lang w:eastAsia="zh-CN"/>
        </w:rPr>
        <w:t>措施有效可行。</w:t>
      </w:r>
    </w:p>
    <w:p w14:paraId="235574D7" w14:textId="11F2C4B1" w:rsidR="00A54A8A" w:rsidRPr="00E67914" w:rsidRDefault="00AA6A0D">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5</w:t>
      </w:r>
      <w:r w:rsidRPr="00E67914">
        <w:rPr>
          <w:rFonts w:ascii="Times New Roman" w:eastAsia="黑体" w:hAnsi="Times New Roman"/>
          <w:sz w:val="24"/>
          <w:lang w:eastAsia="zh-CN"/>
        </w:rPr>
        <w:t>、非正常工况放空废气</w:t>
      </w:r>
    </w:p>
    <w:p w14:paraId="20702576" w14:textId="44D4506A"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w:t>
      </w:r>
      <w:r w:rsidR="007B08D3" w:rsidRPr="00E67914">
        <w:rPr>
          <w:rFonts w:ascii="Times New Roman" w:hAnsi="Times New Roman"/>
          <w:bCs/>
          <w:sz w:val="24"/>
          <w:lang w:eastAsia="zh-CN"/>
        </w:rPr>
        <w:t>试采期</w:t>
      </w:r>
      <w:r w:rsidR="001729B7" w:rsidRPr="00E67914">
        <w:rPr>
          <w:rFonts w:ascii="Times New Roman" w:hAnsi="Times New Roman"/>
          <w:bCs/>
          <w:sz w:val="24"/>
          <w:lang w:eastAsia="zh-CN"/>
        </w:rPr>
        <w:t>井口高压放空至</w:t>
      </w:r>
      <w:r w:rsidR="001729B7" w:rsidRPr="00E67914">
        <w:rPr>
          <w:rFonts w:ascii="Times New Roman" w:hAnsi="Times New Roman"/>
          <w:bCs/>
          <w:sz w:val="24"/>
          <w:lang w:eastAsia="zh-CN"/>
        </w:rPr>
        <w:t>25m</w:t>
      </w:r>
      <w:r w:rsidR="001729B7" w:rsidRPr="00E67914">
        <w:rPr>
          <w:rFonts w:ascii="Times New Roman" w:hAnsi="Times New Roman"/>
          <w:bCs/>
          <w:sz w:val="24"/>
          <w:lang w:eastAsia="zh-CN"/>
        </w:rPr>
        <w:t>高</w:t>
      </w:r>
      <w:r w:rsidR="00FC2143" w:rsidRPr="00E67914">
        <w:rPr>
          <w:rFonts w:ascii="Times New Roman" w:hAnsi="Times New Roman"/>
          <w:bCs/>
          <w:sz w:val="24"/>
          <w:lang w:eastAsia="zh-CN"/>
        </w:rPr>
        <w:t>火炬燃烧排放</w:t>
      </w:r>
      <w:r w:rsidR="001729B7" w:rsidRPr="00E67914">
        <w:rPr>
          <w:rFonts w:ascii="Times New Roman" w:hAnsi="Times New Roman"/>
          <w:bCs/>
          <w:sz w:val="24"/>
          <w:lang w:eastAsia="zh-CN"/>
        </w:rPr>
        <w:t>，</w:t>
      </w:r>
      <w:r w:rsidR="00EE5D65" w:rsidRPr="00E67914">
        <w:rPr>
          <w:rFonts w:ascii="Times New Roman" w:hAnsi="Times New Roman"/>
          <w:bCs/>
          <w:sz w:val="24"/>
          <w:lang w:eastAsia="zh-CN"/>
        </w:rPr>
        <w:t>工艺设备（含油罐）及站内外输管线气体通过</w:t>
      </w:r>
      <w:r w:rsidR="00EE5D65" w:rsidRPr="00E67914">
        <w:rPr>
          <w:rFonts w:ascii="Times New Roman" w:hAnsi="Times New Roman"/>
          <w:bCs/>
          <w:sz w:val="24"/>
          <w:lang w:eastAsia="zh-CN"/>
        </w:rPr>
        <w:t>6m</w:t>
      </w:r>
      <w:r w:rsidR="00EE5D65" w:rsidRPr="00E67914">
        <w:rPr>
          <w:rFonts w:ascii="Times New Roman" w:hAnsi="Times New Roman"/>
          <w:bCs/>
          <w:sz w:val="24"/>
          <w:lang w:eastAsia="zh-CN"/>
        </w:rPr>
        <w:t>放空立管放空</w:t>
      </w:r>
      <w:r w:rsidRPr="00E67914">
        <w:rPr>
          <w:rFonts w:ascii="Times New Roman" w:hAnsi="Times New Roman"/>
          <w:bCs/>
          <w:sz w:val="24"/>
          <w:lang w:eastAsia="zh-CN"/>
        </w:rPr>
        <w:t>，放散频率约</w:t>
      </w:r>
      <w:r w:rsidRPr="00E67914">
        <w:rPr>
          <w:rFonts w:ascii="Times New Roman" w:hAnsi="Times New Roman"/>
          <w:bCs/>
          <w:sz w:val="24"/>
          <w:lang w:eastAsia="zh-CN"/>
        </w:rPr>
        <w:t>2~5Nm</w:t>
      </w:r>
      <w:r w:rsidRPr="00E67914">
        <w:rPr>
          <w:rFonts w:ascii="Times New Roman" w:hAnsi="Times New Roman"/>
          <w:bCs/>
          <w:sz w:val="24"/>
          <w:vertAlign w:val="superscript"/>
          <w:lang w:eastAsia="zh-CN"/>
        </w:rPr>
        <w:t>3</w:t>
      </w:r>
      <w:r w:rsidRPr="00E67914">
        <w:rPr>
          <w:rFonts w:ascii="Times New Roman" w:hAnsi="Times New Roman"/>
          <w:bCs/>
          <w:sz w:val="24"/>
          <w:lang w:eastAsia="zh-CN"/>
        </w:rPr>
        <w:t>/</w:t>
      </w:r>
      <w:r w:rsidRPr="00E67914">
        <w:rPr>
          <w:rFonts w:ascii="Times New Roman" w:hAnsi="Times New Roman"/>
          <w:bCs/>
          <w:sz w:val="24"/>
          <w:lang w:eastAsia="zh-CN"/>
        </w:rPr>
        <w:t>次，每次持续时间</w:t>
      </w:r>
      <w:r w:rsidRPr="00E67914">
        <w:rPr>
          <w:rFonts w:ascii="Times New Roman" w:hAnsi="Times New Roman"/>
          <w:bCs/>
          <w:sz w:val="24"/>
          <w:lang w:eastAsia="zh-CN"/>
        </w:rPr>
        <w:t>2~5min</w:t>
      </w:r>
      <w:r w:rsidRPr="00E67914">
        <w:rPr>
          <w:rFonts w:ascii="Times New Roman" w:hAnsi="Times New Roman"/>
          <w:bCs/>
          <w:sz w:val="24"/>
          <w:lang w:eastAsia="zh-CN"/>
        </w:rPr>
        <w:t>，废气产生量较小，且不含硫，在采取上述措施后</w:t>
      </w:r>
      <w:r w:rsidR="001729B7" w:rsidRPr="00E67914">
        <w:rPr>
          <w:rFonts w:ascii="Times New Roman" w:hAnsi="Times New Roman"/>
          <w:bCs/>
          <w:sz w:val="24"/>
          <w:lang w:eastAsia="zh-CN"/>
        </w:rPr>
        <w:t>非正常工况放空废气</w:t>
      </w:r>
      <w:r w:rsidRPr="00E67914">
        <w:rPr>
          <w:rFonts w:ascii="Times New Roman" w:hAnsi="Times New Roman"/>
          <w:bCs/>
          <w:sz w:val="24"/>
          <w:lang w:eastAsia="zh-CN"/>
        </w:rPr>
        <w:t>治理措施有效可行。</w:t>
      </w:r>
    </w:p>
    <w:p w14:paraId="0959F30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bookmarkStart w:id="237" w:name="_Hlk88248100"/>
      <w:r w:rsidRPr="00E67914">
        <w:rPr>
          <w:rFonts w:ascii="Times New Roman" w:hAnsi="Times New Roman"/>
          <w:bCs/>
          <w:kern w:val="2"/>
          <w:lang w:eastAsia="zh-CN"/>
        </w:rPr>
        <w:lastRenderedPageBreak/>
        <w:t>本项目试采井站废气采用的处理措施均为天然气开发项目处理过程中常用的处置措施，已在建设单位同类型天然气试采井站工程项目中广泛应用，各节点废气均能做到达标排放，不会改变区域环境功能，废气处理措施合理、可行。</w:t>
      </w:r>
      <w:bookmarkEnd w:id="237"/>
    </w:p>
    <w:p w14:paraId="5ACD91EF"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7.2.2</w:t>
      </w:r>
      <w:r w:rsidRPr="00E67914">
        <w:rPr>
          <w:rFonts w:ascii="Times New Roman" w:eastAsia="黑体" w:hAnsi="Times New Roman"/>
          <w:b w:val="0"/>
          <w:sz w:val="24"/>
          <w:szCs w:val="24"/>
          <w:lang w:eastAsia="zh-CN"/>
        </w:rPr>
        <w:t>废水污染物防治措施</w:t>
      </w:r>
    </w:p>
    <w:p w14:paraId="1B646CB8" w14:textId="77777777" w:rsidR="00A54A8A" w:rsidRPr="00E67914" w:rsidRDefault="00000000">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1</w:t>
      </w:r>
      <w:r w:rsidRPr="00E67914">
        <w:rPr>
          <w:rFonts w:ascii="Times New Roman" w:eastAsia="黑体" w:hAnsi="Times New Roman"/>
          <w:sz w:val="24"/>
          <w:lang w:eastAsia="zh-CN"/>
        </w:rPr>
        <w:t>、治理措施</w:t>
      </w:r>
    </w:p>
    <w:p w14:paraId="76ABA216" w14:textId="77777777"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1</w:t>
      </w:r>
      <w:r w:rsidRPr="00E67914">
        <w:rPr>
          <w:rFonts w:ascii="Times New Roman" w:hAnsi="Times New Roman"/>
          <w:b/>
          <w:sz w:val="24"/>
          <w:lang w:eastAsia="zh-CN"/>
        </w:rPr>
        <w:t>）生活污水</w:t>
      </w:r>
    </w:p>
    <w:p w14:paraId="31761EA1" w14:textId="7777777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w:t>
      </w:r>
      <w:r w:rsidRPr="00E67914">
        <w:rPr>
          <w:rFonts w:ascii="Times New Roman" w:hAnsi="Times New Roman"/>
          <w:sz w:val="24"/>
          <w:szCs w:val="24"/>
          <w:lang w:eastAsia="zh-CN"/>
        </w:rPr>
        <w:t>试采期无生活污水产生</w:t>
      </w:r>
      <w:r w:rsidRPr="00E67914">
        <w:rPr>
          <w:rFonts w:ascii="Times New Roman" w:hAnsi="Times New Roman"/>
          <w:bCs/>
          <w:sz w:val="24"/>
          <w:lang w:eastAsia="zh-CN"/>
        </w:rPr>
        <w:t>。</w:t>
      </w:r>
    </w:p>
    <w:p w14:paraId="1B81CB0D" w14:textId="06890DE2" w:rsidR="00A54A8A" w:rsidRPr="00E67914" w:rsidRDefault="00000000">
      <w:pPr>
        <w:adjustRightInd w:val="0"/>
        <w:snapToGrid w:val="0"/>
        <w:spacing w:line="360" w:lineRule="auto"/>
        <w:ind w:firstLineChars="200" w:firstLine="482"/>
        <w:jc w:val="both"/>
        <w:rPr>
          <w:rFonts w:ascii="Times New Roman" w:hAnsi="Times New Roman"/>
          <w:b/>
          <w:sz w:val="24"/>
          <w:lang w:eastAsia="zh-CN"/>
        </w:rPr>
      </w:pPr>
      <w:r w:rsidRPr="00E67914">
        <w:rPr>
          <w:rFonts w:ascii="Times New Roman" w:hAnsi="Times New Roman"/>
          <w:b/>
          <w:sz w:val="24"/>
          <w:lang w:eastAsia="zh-CN"/>
        </w:rPr>
        <w:t>（</w:t>
      </w:r>
      <w:r w:rsidRPr="00E67914">
        <w:rPr>
          <w:rFonts w:ascii="Times New Roman" w:hAnsi="Times New Roman"/>
          <w:b/>
          <w:sz w:val="24"/>
          <w:lang w:eastAsia="zh-CN"/>
        </w:rPr>
        <w:t>2</w:t>
      </w:r>
      <w:r w:rsidRPr="00E67914">
        <w:rPr>
          <w:rFonts w:ascii="Times New Roman" w:hAnsi="Times New Roman"/>
          <w:b/>
          <w:sz w:val="24"/>
          <w:lang w:eastAsia="zh-CN"/>
        </w:rPr>
        <w:t>）</w:t>
      </w:r>
      <w:r w:rsidR="002346F6" w:rsidRPr="00E67914">
        <w:rPr>
          <w:rFonts w:ascii="Times New Roman" w:hAnsi="Times New Roman"/>
          <w:b/>
          <w:sz w:val="24"/>
          <w:lang w:eastAsia="zh-CN"/>
        </w:rPr>
        <w:t>气田水</w:t>
      </w:r>
    </w:p>
    <w:p w14:paraId="5D576CEA" w14:textId="07E50D24"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本项目试采期气田水产生量约为</w:t>
      </w:r>
      <w:r w:rsidR="007911DC" w:rsidRPr="00E67914">
        <w:rPr>
          <w:rFonts w:ascii="Times New Roman" w:hAnsi="Times New Roman"/>
          <w:bCs/>
          <w:sz w:val="24"/>
          <w:lang w:eastAsia="zh-CN"/>
        </w:rPr>
        <w:t>42.7m</w:t>
      </w:r>
      <w:r w:rsidR="007911DC" w:rsidRPr="00E67914">
        <w:rPr>
          <w:rFonts w:ascii="Times New Roman" w:hAnsi="Times New Roman"/>
          <w:bCs/>
          <w:sz w:val="24"/>
          <w:vertAlign w:val="superscript"/>
          <w:lang w:eastAsia="zh-CN"/>
        </w:rPr>
        <w:t>3</w:t>
      </w:r>
      <w:r w:rsidR="007911DC" w:rsidRPr="00E67914">
        <w:rPr>
          <w:rFonts w:ascii="Times New Roman" w:hAnsi="Times New Roman"/>
          <w:bCs/>
          <w:sz w:val="24"/>
          <w:lang w:eastAsia="zh-CN"/>
        </w:rPr>
        <w:t>/d</w:t>
      </w:r>
      <w:r w:rsidR="007911DC" w:rsidRPr="00E67914">
        <w:rPr>
          <w:rFonts w:ascii="Times New Roman" w:hAnsi="Times New Roman"/>
          <w:bCs/>
          <w:sz w:val="24"/>
          <w:lang w:eastAsia="zh-CN"/>
        </w:rPr>
        <w:t>（试采初期压裂返排液未完全返排，单井含压裂返排液的气田水可达</w:t>
      </w:r>
      <w:r w:rsidR="007911DC" w:rsidRPr="00E67914">
        <w:rPr>
          <w:rFonts w:ascii="Times New Roman" w:hAnsi="Times New Roman"/>
          <w:bCs/>
          <w:sz w:val="24"/>
          <w:lang w:eastAsia="zh-CN"/>
        </w:rPr>
        <w:t>40m</w:t>
      </w:r>
      <w:r w:rsidR="007911DC" w:rsidRPr="00E67914">
        <w:rPr>
          <w:rFonts w:ascii="Times New Roman" w:hAnsi="Times New Roman"/>
          <w:bCs/>
          <w:sz w:val="24"/>
          <w:vertAlign w:val="superscript"/>
          <w:lang w:eastAsia="zh-CN"/>
        </w:rPr>
        <w:t>3</w:t>
      </w:r>
      <w:r w:rsidR="007911DC" w:rsidRPr="00E67914">
        <w:rPr>
          <w:rFonts w:ascii="Times New Roman" w:hAnsi="Times New Roman"/>
          <w:bCs/>
          <w:sz w:val="24"/>
          <w:lang w:eastAsia="zh-CN"/>
        </w:rPr>
        <w:t>/d</w:t>
      </w:r>
      <w:r w:rsidR="007911DC" w:rsidRPr="00E67914">
        <w:rPr>
          <w:rFonts w:ascii="Times New Roman" w:hAnsi="Times New Roman"/>
          <w:bCs/>
          <w:sz w:val="24"/>
          <w:lang w:eastAsia="zh-CN"/>
        </w:rPr>
        <w:t>，本项目确定为试采初期气田水产生量为</w:t>
      </w:r>
      <w:r w:rsidR="007911DC" w:rsidRPr="00E67914">
        <w:rPr>
          <w:rFonts w:ascii="Times New Roman" w:hAnsi="Times New Roman"/>
          <w:bCs/>
          <w:sz w:val="24"/>
          <w:lang w:eastAsia="zh-CN"/>
        </w:rPr>
        <w:t>160m</w:t>
      </w:r>
      <w:r w:rsidR="007911DC" w:rsidRPr="00E67914">
        <w:rPr>
          <w:rFonts w:ascii="Times New Roman" w:hAnsi="Times New Roman"/>
          <w:bCs/>
          <w:sz w:val="24"/>
          <w:vertAlign w:val="superscript"/>
          <w:lang w:eastAsia="zh-CN"/>
        </w:rPr>
        <w:t>3</w:t>
      </w:r>
      <w:r w:rsidR="007911DC" w:rsidRPr="00E67914">
        <w:rPr>
          <w:rFonts w:ascii="Times New Roman" w:hAnsi="Times New Roman"/>
          <w:bCs/>
          <w:sz w:val="24"/>
          <w:lang w:eastAsia="zh-CN"/>
        </w:rPr>
        <w:t>/d</w:t>
      </w:r>
      <w:r w:rsidR="007911DC" w:rsidRPr="00E67914">
        <w:rPr>
          <w:rFonts w:ascii="Times New Roman" w:hAnsi="Times New Roman"/>
          <w:bCs/>
          <w:sz w:val="24"/>
          <w:lang w:eastAsia="zh-CN"/>
        </w:rPr>
        <w:t>，此阶段不超过半年）</w:t>
      </w:r>
      <w:r w:rsidRPr="00E67914">
        <w:rPr>
          <w:rFonts w:ascii="Times New Roman" w:hAnsi="Times New Roman"/>
          <w:bCs/>
          <w:sz w:val="24"/>
          <w:lang w:eastAsia="zh-CN"/>
        </w:rPr>
        <w:t>，由站内</w:t>
      </w:r>
      <w:r w:rsidRPr="00E67914">
        <w:rPr>
          <w:rFonts w:ascii="Times New Roman" w:hAnsi="Times New Roman"/>
          <w:bCs/>
          <w:sz w:val="24"/>
          <w:lang w:eastAsia="zh-CN"/>
        </w:rPr>
        <w:t>1</w:t>
      </w:r>
      <w:r w:rsidRPr="00E67914">
        <w:rPr>
          <w:rFonts w:ascii="Times New Roman" w:hAnsi="Times New Roman"/>
          <w:bCs/>
          <w:sz w:val="24"/>
          <w:lang w:eastAsia="zh-CN"/>
        </w:rPr>
        <w:t>个</w:t>
      </w:r>
      <w:r w:rsidRPr="00E67914">
        <w:rPr>
          <w:rFonts w:ascii="Times New Roman" w:hAnsi="Times New Roman"/>
          <w:bCs/>
          <w:sz w:val="24"/>
          <w:lang w:eastAsia="zh-CN"/>
        </w:rPr>
        <w:t>30m</w:t>
      </w:r>
      <w:r w:rsidRPr="00E67914">
        <w:rPr>
          <w:rFonts w:ascii="Times New Roman" w:hAnsi="Times New Roman"/>
          <w:bCs/>
          <w:sz w:val="24"/>
          <w:vertAlign w:val="superscript"/>
          <w:lang w:eastAsia="zh-CN"/>
        </w:rPr>
        <w:t>3</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进行收集，定期拉运能保证井站</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对项目废水的收纳，试采初期因其天生产量较大，可临时暂存</w:t>
      </w:r>
      <w:r w:rsidR="00AA3211" w:rsidRPr="00E67914">
        <w:rPr>
          <w:rFonts w:ascii="Times New Roman" w:hAnsi="Times New Roman"/>
          <w:bCs/>
          <w:sz w:val="24"/>
          <w:lang w:eastAsia="zh-CN"/>
        </w:rPr>
        <w:t>于污水</w:t>
      </w:r>
      <w:r w:rsidRPr="00E67914">
        <w:rPr>
          <w:rFonts w:ascii="Times New Roman" w:hAnsi="Times New Roman"/>
          <w:bCs/>
          <w:sz w:val="24"/>
          <w:lang w:eastAsia="zh-CN"/>
        </w:rPr>
        <w:t>池并及时外运处置。井站设置</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于防渗区，做好</w:t>
      </w:r>
      <w:r w:rsidR="00A9536E" w:rsidRPr="00E67914">
        <w:rPr>
          <w:rFonts w:ascii="Times New Roman" w:hAnsi="Times New Roman"/>
          <w:bCs/>
          <w:sz w:val="24"/>
          <w:lang w:eastAsia="zh-CN"/>
        </w:rPr>
        <w:t>放空分液罐、采出水罐</w:t>
      </w:r>
      <w:r w:rsidRPr="00E67914">
        <w:rPr>
          <w:rFonts w:ascii="Times New Roman" w:hAnsi="Times New Roman"/>
          <w:bCs/>
          <w:sz w:val="24"/>
          <w:lang w:eastAsia="zh-CN"/>
        </w:rPr>
        <w:t>的保养检查，杜绝污水泄露；本项目</w:t>
      </w:r>
      <w:r w:rsidR="002346F6" w:rsidRPr="00E67914">
        <w:rPr>
          <w:rFonts w:ascii="Times New Roman" w:hAnsi="Times New Roman"/>
          <w:sz w:val="24"/>
          <w:lang w:eastAsia="zh-CN"/>
        </w:rPr>
        <w:t>气田水</w:t>
      </w:r>
      <w:r w:rsidRPr="00E67914">
        <w:rPr>
          <w:rFonts w:ascii="Times New Roman" w:hAnsi="Times New Roman"/>
          <w:sz w:val="24"/>
          <w:lang w:eastAsia="zh-CN"/>
        </w:rPr>
        <w:t>经</w:t>
      </w:r>
      <w:r w:rsidRPr="00E67914">
        <w:rPr>
          <w:rFonts w:ascii="Times New Roman" w:hAnsi="Times New Roman"/>
          <w:sz w:val="24"/>
          <w:szCs w:val="24"/>
          <w:lang w:eastAsia="zh-CN"/>
        </w:rPr>
        <w:t>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w:t>
      </w:r>
      <w:r w:rsidRPr="00E67914">
        <w:rPr>
          <w:rFonts w:ascii="Times New Roman" w:hAnsi="Times New Roman"/>
          <w:bCs/>
          <w:sz w:val="24"/>
          <w:lang w:eastAsia="zh-CN"/>
        </w:rPr>
        <w:t>，应做好</w:t>
      </w:r>
      <w:r w:rsidR="002346F6" w:rsidRPr="00E67914">
        <w:rPr>
          <w:rFonts w:ascii="Times New Roman" w:hAnsi="Times New Roman"/>
          <w:bCs/>
          <w:sz w:val="24"/>
          <w:lang w:eastAsia="zh-CN"/>
        </w:rPr>
        <w:t>气田水</w:t>
      </w:r>
      <w:r w:rsidRPr="00E67914">
        <w:rPr>
          <w:rFonts w:ascii="Times New Roman" w:hAnsi="Times New Roman"/>
          <w:bCs/>
          <w:sz w:val="24"/>
          <w:lang w:eastAsia="zh-CN"/>
        </w:rPr>
        <w:t>转运计划，及时转运</w:t>
      </w:r>
      <w:r w:rsidR="002346F6" w:rsidRPr="00E67914">
        <w:rPr>
          <w:rFonts w:ascii="Times New Roman" w:hAnsi="Times New Roman"/>
          <w:bCs/>
          <w:sz w:val="24"/>
          <w:lang w:eastAsia="zh-CN"/>
        </w:rPr>
        <w:t>气田水</w:t>
      </w:r>
      <w:r w:rsidRPr="00E67914">
        <w:rPr>
          <w:rFonts w:ascii="Times New Roman" w:hAnsi="Times New Roman"/>
          <w:bCs/>
          <w:sz w:val="24"/>
          <w:lang w:eastAsia="zh-CN"/>
        </w:rPr>
        <w:t>，确保废水得到有效处置。</w:t>
      </w:r>
    </w:p>
    <w:p w14:paraId="7DFA39E0" w14:textId="2BB2AA13" w:rsidR="00A54A8A" w:rsidRPr="00E67914" w:rsidRDefault="00000000">
      <w:pPr>
        <w:adjustRightInd w:val="0"/>
        <w:snapToGrid w:val="0"/>
        <w:spacing w:line="360" w:lineRule="auto"/>
        <w:ind w:firstLineChars="200" w:firstLine="480"/>
        <w:jc w:val="both"/>
        <w:rPr>
          <w:rFonts w:ascii="Times New Roman" w:eastAsia="黑体" w:hAnsi="Times New Roman"/>
          <w:sz w:val="24"/>
          <w:lang w:eastAsia="zh-CN"/>
        </w:rPr>
      </w:pPr>
      <w:r w:rsidRPr="00E67914">
        <w:rPr>
          <w:rFonts w:ascii="Times New Roman" w:eastAsia="黑体" w:hAnsi="Times New Roman"/>
          <w:sz w:val="24"/>
          <w:lang w:eastAsia="zh-CN"/>
        </w:rPr>
        <w:t>2</w:t>
      </w:r>
      <w:r w:rsidRPr="00E67914">
        <w:rPr>
          <w:rFonts w:ascii="Times New Roman" w:eastAsia="黑体" w:hAnsi="Times New Roman"/>
          <w:sz w:val="24"/>
          <w:lang w:eastAsia="zh-CN"/>
        </w:rPr>
        <w:t>、</w:t>
      </w:r>
      <w:r w:rsidR="002346F6" w:rsidRPr="00E67914">
        <w:rPr>
          <w:rFonts w:ascii="Times New Roman" w:eastAsia="黑体" w:hAnsi="Times New Roman"/>
          <w:sz w:val="24"/>
          <w:lang w:eastAsia="zh-CN"/>
        </w:rPr>
        <w:t>气田水</w:t>
      </w:r>
      <w:r w:rsidRPr="00E67914">
        <w:rPr>
          <w:rFonts w:ascii="Times New Roman" w:eastAsia="黑体" w:hAnsi="Times New Roman"/>
          <w:sz w:val="24"/>
          <w:lang w:eastAsia="zh-CN"/>
        </w:rPr>
        <w:t>依托措施的可行性分析</w:t>
      </w:r>
    </w:p>
    <w:p w14:paraId="038B43A9" w14:textId="50B672D5" w:rsidR="00A54A8A" w:rsidRPr="00E67914" w:rsidRDefault="00000000">
      <w:pPr>
        <w:adjustRightInd w:val="0"/>
        <w:snapToGrid w:val="0"/>
        <w:spacing w:line="360" w:lineRule="auto"/>
        <w:ind w:firstLineChars="200" w:firstLine="480"/>
        <w:jc w:val="both"/>
        <w:rPr>
          <w:rFonts w:ascii="Times New Roman" w:hAnsi="Times New Roman"/>
          <w:sz w:val="24"/>
          <w:lang w:eastAsia="zh-CN"/>
        </w:rPr>
      </w:pPr>
      <w:r w:rsidRPr="00E67914">
        <w:rPr>
          <w:rFonts w:ascii="Times New Roman" w:hAnsi="Times New Roman"/>
          <w:sz w:val="24"/>
          <w:lang w:eastAsia="zh-CN"/>
        </w:rPr>
        <w:t>本项目</w:t>
      </w:r>
      <w:r w:rsidR="002346F6" w:rsidRPr="00E67914">
        <w:rPr>
          <w:rFonts w:ascii="Times New Roman" w:hAnsi="Times New Roman"/>
          <w:sz w:val="24"/>
          <w:lang w:eastAsia="zh-CN"/>
        </w:rPr>
        <w:t>气田水</w:t>
      </w:r>
      <w:r w:rsidRPr="00E67914">
        <w:rPr>
          <w:rFonts w:ascii="Times New Roman" w:hAnsi="Times New Roman"/>
          <w:sz w:val="24"/>
          <w:lang w:eastAsia="zh-CN"/>
        </w:rPr>
        <w:t>经</w:t>
      </w:r>
      <w:r w:rsidRPr="00E67914">
        <w:rPr>
          <w:rFonts w:ascii="Times New Roman" w:hAnsi="Times New Roman"/>
          <w:sz w:val="24"/>
          <w:szCs w:val="24"/>
          <w:lang w:eastAsia="zh-CN"/>
        </w:rPr>
        <w:t>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w:t>
      </w:r>
      <w:r w:rsidRPr="00E67914">
        <w:rPr>
          <w:rFonts w:ascii="Times New Roman" w:hAnsi="Times New Roman"/>
          <w:sz w:val="24"/>
          <w:lang w:eastAsia="zh-CN"/>
        </w:rPr>
        <w:t>回注量小，根据前文分析，赵家坝污水处理站和回注站接收处理能力满足试采期</w:t>
      </w:r>
      <w:r w:rsidR="002346F6" w:rsidRPr="00E67914">
        <w:rPr>
          <w:rFonts w:ascii="Times New Roman" w:hAnsi="Times New Roman"/>
          <w:sz w:val="24"/>
          <w:lang w:eastAsia="zh-CN"/>
        </w:rPr>
        <w:t>气田水</w:t>
      </w:r>
      <w:r w:rsidRPr="00E67914">
        <w:rPr>
          <w:rFonts w:ascii="Times New Roman" w:hAnsi="Times New Roman"/>
          <w:sz w:val="24"/>
          <w:lang w:eastAsia="zh-CN"/>
        </w:rPr>
        <w:t>处理要求。</w:t>
      </w:r>
    </w:p>
    <w:p w14:paraId="10AF527C"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试采井站废水采用的处理措施为中石化在川东北地区常用的处置措施，已在建设单位同类型天然气试采井站工程项目中广泛应用，依托污水处理站专门为中石化钻采项目服务，运行稳定可靠，废水均能做到达标排放或有效回注，因此，废水处理措施合理、可行。</w:t>
      </w:r>
    </w:p>
    <w:p w14:paraId="30FC1958"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38" w:name="6.2.2地下水防治措施可行性分析"/>
      <w:bookmarkEnd w:id="238"/>
      <w:r w:rsidRPr="00E67914">
        <w:rPr>
          <w:rFonts w:ascii="Times New Roman" w:eastAsia="黑体" w:hAnsi="Times New Roman"/>
          <w:b w:val="0"/>
          <w:sz w:val="24"/>
          <w:szCs w:val="24"/>
          <w:lang w:eastAsia="zh-CN"/>
        </w:rPr>
        <w:t>7.2.3</w:t>
      </w:r>
      <w:r w:rsidRPr="00E67914">
        <w:rPr>
          <w:rFonts w:ascii="Times New Roman" w:eastAsia="黑体" w:hAnsi="Times New Roman"/>
          <w:b w:val="0"/>
          <w:sz w:val="24"/>
          <w:szCs w:val="24"/>
          <w:lang w:eastAsia="zh-CN"/>
        </w:rPr>
        <w:t>地下水和土壤环境防治措施可行性分析</w:t>
      </w:r>
    </w:p>
    <w:p w14:paraId="52650495" w14:textId="22F5469D" w:rsidR="00A54A8A" w:rsidRPr="00E67914" w:rsidRDefault="00000000">
      <w:pPr>
        <w:adjustRightInd w:val="0"/>
        <w:snapToGrid w:val="0"/>
        <w:spacing w:line="360" w:lineRule="auto"/>
        <w:ind w:firstLineChars="200" w:firstLine="480"/>
        <w:rPr>
          <w:rFonts w:ascii="Times New Roman" w:hAnsi="Times New Roman"/>
          <w:bCs/>
          <w:kern w:val="2"/>
          <w:sz w:val="24"/>
          <w:szCs w:val="24"/>
          <w:lang w:eastAsia="zh-CN"/>
        </w:rPr>
      </w:pPr>
      <w:r w:rsidRPr="00E67914">
        <w:rPr>
          <w:rFonts w:ascii="Times New Roman" w:hAnsi="Times New Roman"/>
          <w:bCs/>
          <w:kern w:val="2"/>
          <w:sz w:val="24"/>
          <w:szCs w:val="24"/>
          <w:lang w:eastAsia="zh-CN"/>
        </w:rPr>
        <w:t>项目实施对地下水及土壤可能造成的影响主要发生在施工期间。试采期井站暂存废水等污染物较少，</w:t>
      </w:r>
      <w:r w:rsidR="00A9536E" w:rsidRPr="00E67914">
        <w:rPr>
          <w:rFonts w:ascii="Times New Roman" w:hAnsi="Times New Roman"/>
          <w:bCs/>
          <w:sz w:val="24"/>
          <w:lang w:eastAsia="zh-CN"/>
        </w:rPr>
        <w:t>放空分液罐、采出水罐</w:t>
      </w:r>
      <w:r w:rsidR="007911DC" w:rsidRPr="00E67914">
        <w:rPr>
          <w:rFonts w:ascii="Times New Roman" w:hAnsi="Times New Roman"/>
          <w:bCs/>
          <w:sz w:val="24"/>
          <w:lang w:eastAsia="zh-CN"/>
        </w:rPr>
        <w:t>、凝析油罐</w:t>
      </w:r>
      <w:r w:rsidRPr="00E67914">
        <w:rPr>
          <w:rFonts w:ascii="Times New Roman" w:hAnsi="Times New Roman"/>
          <w:bCs/>
          <w:kern w:val="2"/>
          <w:sz w:val="24"/>
          <w:szCs w:val="24"/>
          <w:lang w:eastAsia="zh-CN"/>
        </w:rPr>
        <w:t>区进行了防渗和设置围堰，废水难以泄露，有完善的防漏洒措施，难以对地下水和土壤环境造成影响。</w:t>
      </w:r>
    </w:p>
    <w:p w14:paraId="086DAA24" w14:textId="16C3AD7F" w:rsidR="00A54A8A" w:rsidRPr="00E67914" w:rsidRDefault="00000000">
      <w:pPr>
        <w:pStyle w:val="af"/>
        <w:adjustRightInd w:val="0"/>
        <w:snapToGrid w:val="0"/>
        <w:spacing w:before="0" w:line="360" w:lineRule="auto"/>
        <w:ind w:left="0" w:firstLine="482"/>
        <w:jc w:val="both"/>
        <w:rPr>
          <w:rFonts w:ascii="Times New Roman" w:hAnsi="Times New Roman"/>
          <w:bCs/>
          <w:kern w:val="2"/>
          <w:lang w:eastAsia="zh-CN"/>
        </w:rPr>
      </w:pPr>
      <w:r w:rsidRPr="00E67914">
        <w:rPr>
          <w:rFonts w:ascii="Times New Roman" w:hAnsi="Times New Roman"/>
          <w:bCs/>
          <w:kern w:val="2"/>
          <w:lang w:eastAsia="zh-CN"/>
        </w:rPr>
        <w:lastRenderedPageBreak/>
        <w:t>地下水和土壤污染防治措施坚持</w:t>
      </w:r>
      <w:r w:rsidRPr="00E67914">
        <w:rPr>
          <w:rFonts w:ascii="Times New Roman" w:hAnsi="Times New Roman"/>
          <w:bCs/>
          <w:kern w:val="2"/>
          <w:lang w:eastAsia="zh-CN"/>
        </w:rPr>
        <w:t>“</w:t>
      </w:r>
      <w:r w:rsidRPr="00E67914">
        <w:rPr>
          <w:rFonts w:ascii="Times New Roman" w:hAnsi="Times New Roman"/>
          <w:bCs/>
          <w:kern w:val="2"/>
          <w:lang w:eastAsia="zh-CN"/>
        </w:rPr>
        <w:t>源头控制、末端防治、污染监控、应急响应相结合</w:t>
      </w:r>
      <w:r w:rsidRPr="00E67914">
        <w:rPr>
          <w:rFonts w:ascii="Times New Roman" w:hAnsi="Times New Roman"/>
          <w:bCs/>
          <w:kern w:val="2"/>
          <w:lang w:eastAsia="zh-CN"/>
        </w:rPr>
        <w:t>”</w:t>
      </w:r>
      <w:r w:rsidRPr="00E67914">
        <w:rPr>
          <w:rFonts w:ascii="Times New Roman" w:hAnsi="Times New Roman"/>
          <w:bCs/>
          <w:kern w:val="2"/>
          <w:lang w:eastAsia="zh-CN"/>
        </w:rPr>
        <w:t>的原则，即采取主动控制和被动控制相结合的措施。本项目试采期方井、</w:t>
      </w:r>
      <w:r w:rsidR="00A9536E" w:rsidRPr="00E67914">
        <w:rPr>
          <w:rFonts w:ascii="Times New Roman" w:hAnsi="Times New Roman"/>
          <w:bCs/>
          <w:lang w:eastAsia="zh-CN"/>
        </w:rPr>
        <w:t>放空分液罐、采出水罐</w:t>
      </w:r>
      <w:r w:rsidR="007911DC" w:rsidRPr="00E67914">
        <w:rPr>
          <w:rFonts w:ascii="Times New Roman" w:hAnsi="Times New Roman"/>
          <w:bCs/>
          <w:lang w:eastAsia="zh-CN"/>
        </w:rPr>
        <w:t>、凝析油罐</w:t>
      </w:r>
      <w:r w:rsidRPr="00E67914">
        <w:rPr>
          <w:rFonts w:ascii="Times New Roman" w:hAnsi="Times New Roman"/>
          <w:bCs/>
          <w:kern w:val="2"/>
          <w:lang w:eastAsia="zh-CN"/>
        </w:rPr>
        <w:t>区和流程区进行了分区分级防渗清污分流等措施，同时对井站外临时占地进行了生态恢复，进行监测合格后复耕复植，井站内空地采取硬化，井站内清污分流，能有效避免项目对地下水和土壤环境造成影响。在方井或</w:t>
      </w:r>
      <w:r w:rsidR="00A9536E" w:rsidRPr="00E67914">
        <w:rPr>
          <w:rFonts w:ascii="Times New Roman" w:hAnsi="Times New Roman"/>
          <w:bCs/>
          <w:lang w:eastAsia="zh-CN"/>
        </w:rPr>
        <w:t>放空分液罐、采出水罐</w:t>
      </w:r>
      <w:r w:rsidR="007911DC" w:rsidRPr="00E67914">
        <w:rPr>
          <w:rFonts w:ascii="Times New Roman" w:hAnsi="Times New Roman"/>
          <w:bCs/>
          <w:lang w:eastAsia="zh-CN"/>
        </w:rPr>
        <w:t>、凝析油罐</w:t>
      </w:r>
      <w:r w:rsidRPr="00E67914">
        <w:rPr>
          <w:rFonts w:ascii="Times New Roman" w:hAnsi="Times New Roman"/>
          <w:bCs/>
          <w:kern w:val="2"/>
          <w:lang w:eastAsia="zh-CN"/>
        </w:rPr>
        <w:t>垮塌或外溢、泄漏，防渗失效等极端情况下，本项目一般应设置备用</w:t>
      </w:r>
      <w:r w:rsidR="00A9536E" w:rsidRPr="00E67914">
        <w:rPr>
          <w:rFonts w:ascii="Times New Roman" w:hAnsi="Times New Roman"/>
          <w:bCs/>
          <w:kern w:val="2"/>
          <w:lang w:eastAsia="zh-CN"/>
        </w:rPr>
        <w:t>放空分液罐、采出水罐</w:t>
      </w:r>
      <w:r w:rsidRPr="00E67914">
        <w:rPr>
          <w:rFonts w:ascii="Times New Roman" w:hAnsi="Times New Roman"/>
          <w:bCs/>
          <w:kern w:val="2"/>
          <w:lang w:eastAsia="zh-CN"/>
        </w:rPr>
        <w:t>，封闭外环沟，及时将泄漏的污水转移至备用</w:t>
      </w:r>
      <w:r w:rsidR="00A9536E" w:rsidRPr="00E67914">
        <w:rPr>
          <w:rFonts w:ascii="Times New Roman" w:hAnsi="Times New Roman"/>
          <w:bCs/>
          <w:kern w:val="2"/>
          <w:lang w:eastAsia="zh-CN"/>
        </w:rPr>
        <w:t>放空分液罐、采出水罐</w:t>
      </w:r>
      <w:r w:rsidRPr="00E67914">
        <w:rPr>
          <w:rFonts w:ascii="Times New Roman" w:hAnsi="Times New Roman"/>
          <w:bCs/>
          <w:kern w:val="2"/>
          <w:lang w:eastAsia="zh-CN"/>
        </w:rPr>
        <w:t>或罐车转运处理，同时对事故进行处理恢复，降低污染范围和影响。</w:t>
      </w:r>
    </w:p>
    <w:p w14:paraId="7224CAAB" w14:textId="3196FCAA" w:rsidR="00A54A8A" w:rsidRPr="00E67914" w:rsidRDefault="00000000">
      <w:pPr>
        <w:spacing w:line="360" w:lineRule="auto"/>
        <w:ind w:firstLineChars="200" w:firstLine="480"/>
        <w:rPr>
          <w:rFonts w:ascii="Times New Roman" w:hAnsi="Times New Roman"/>
          <w:bCs/>
          <w:sz w:val="24"/>
          <w:lang w:eastAsia="zh-CN"/>
        </w:rPr>
      </w:pPr>
      <w:r w:rsidRPr="00E67914">
        <w:rPr>
          <w:rFonts w:ascii="Times New Roman" w:hAnsi="Times New Roman"/>
          <w:bCs/>
          <w:sz w:val="24"/>
          <w:lang w:eastAsia="zh-CN"/>
        </w:rPr>
        <w:t>根据《环境影响评价技术导则</w:t>
      </w:r>
      <w:r w:rsidRPr="00E67914">
        <w:rPr>
          <w:rFonts w:ascii="Times New Roman" w:hAnsi="Times New Roman"/>
          <w:bCs/>
          <w:sz w:val="24"/>
          <w:lang w:eastAsia="zh-CN"/>
        </w:rPr>
        <w:t xml:space="preserve"> </w:t>
      </w:r>
      <w:r w:rsidRPr="00E67914">
        <w:rPr>
          <w:rFonts w:ascii="Times New Roman" w:hAnsi="Times New Roman"/>
          <w:bCs/>
          <w:sz w:val="24"/>
          <w:lang w:eastAsia="zh-CN"/>
        </w:rPr>
        <w:t>地下水环境》（</w:t>
      </w:r>
      <w:r w:rsidRPr="00E67914">
        <w:rPr>
          <w:rFonts w:ascii="Times New Roman" w:hAnsi="Times New Roman"/>
          <w:bCs/>
          <w:sz w:val="24"/>
          <w:lang w:eastAsia="zh-CN"/>
        </w:rPr>
        <w:t>HJ610-2016</w:t>
      </w:r>
      <w:r w:rsidRPr="00E67914">
        <w:rPr>
          <w:rFonts w:ascii="Times New Roman" w:hAnsi="Times New Roman"/>
          <w:bCs/>
          <w:sz w:val="24"/>
          <w:lang w:eastAsia="zh-CN"/>
        </w:rPr>
        <w:t>）中分区防控措施和《石油化工工程防渗技术规范》（</w:t>
      </w:r>
      <w:r w:rsidRPr="00E67914">
        <w:rPr>
          <w:rFonts w:ascii="Times New Roman" w:hAnsi="Times New Roman"/>
          <w:bCs/>
          <w:sz w:val="24"/>
          <w:lang w:eastAsia="zh-CN"/>
        </w:rPr>
        <w:t>GB/T 50934</w:t>
      </w:r>
      <w:r w:rsidRPr="00E67914">
        <w:rPr>
          <w:rFonts w:ascii="Times New Roman" w:hAnsi="Times New Roman"/>
          <w:bCs/>
          <w:sz w:val="24"/>
          <w:lang w:eastAsia="zh-CN"/>
        </w:rPr>
        <w:t>）中的有关要求，本项目</w:t>
      </w:r>
      <w:r w:rsidR="00A9536E" w:rsidRPr="00E67914">
        <w:rPr>
          <w:rFonts w:ascii="Times New Roman" w:hAnsi="Times New Roman"/>
          <w:bCs/>
          <w:sz w:val="24"/>
          <w:lang w:eastAsia="zh-CN"/>
        </w:rPr>
        <w:t>放空分液罐、采出水罐</w:t>
      </w:r>
      <w:r w:rsidR="007911DC" w:rsidRPr="00E67914">
        <w:rPr>
          <w:rFonts w:ascii="Times New Roman" w:hAnsi="Times New Roman"/>
          <w:bCs/>
          <w:sz w:val="24"/>
          <w:lang w:eastAsia="zh-CN"/>
        </w:rPr>
        <w:t>、凝析油罐</w:t>
      </w:r>
      <w:r w:rsidRPr="00E67914">
        <w:rPr>
          <w:rFonts w:ascii="Times New Roman" w:hAnsi="Times New Roman"/>
          <w:bCs/>
          <w:sz w:val="24"/>
          <w:lang w:eastAsia="zh-CN"/>
        </w:rPr>
        <w:t>和</w:t>
      </w:r>
      <w:r w:rsidRPr="00E67914">
        <w:rPr>
          <w:rFonts w:ascii="Times New Roman" w:hAnsi="Times New Roman"/>
          <w:sz w:val="24"/>
          <w:lang w:eastAsia="zh-CN"/>
        </w:rPr>
        <w:t>生产流程区</w:t>
      </w:r>
      <w:r w:rsidRPr="00E67914">
        <w:rPr>
          <w:rFonts w:ascii="Times New Roman" w:hAnsi="Times New Roman"/>
          <w:bCs/>
          <w:sz w:val="24"/>
          <w:lang w:eastAsia="zh-CN"/>
        </w:rPr>
        <w:t>置于地面上，污水</w:t>
      </w:r>
      <w:r w:rsidR="007911DC" w:rsidRPr="00E67914">
        <w:rPr>
          <w:rFonts w:ascii="Times New Roman" w:hAnsi="Times New Roman"/>
          <w:bCs/>
          <w:sz w:val="24"/>
          <w:lang w:eastAsia="zh-CN"/>
        </w:rPr>
        <w:t>或凝析油</w:t>
      </w:r>
      <w:r w:rsidRPr="00E67914">
        <w:rPr>
          <w:rFonts w:ascii="Times New Roman" w:hAnsi="Times New Roman"/>
          <w:bCs/>
          <w:sz w:val="24"/>
          <w:lang w:eastAsia="zh-CN"/>
        </w:rPr>
        <w:t>泄露后可以及时发现处理，因此</w:t>
      </w:r>
      <w:r w:rsidR="00A9536E" w:rsidRPr="00E67914">
        <w:rPr>
          <w:rFonts w:ascii="Times New Roman" w:hAnsi="Times New Roman"/>
          <w:bCs/>
          <w:sz w:val="24"/>
          <w:lang w:eastAsia="zh-CN"/>
        </w:rPr>
        <w:t>放空分液罐、采出水罐</w:t>
      </w:r>
      <w:r w:rsidR="007911DC" w:rsidRPr="00E67914">
        <w:rPr>
          <w:rFonts w:ascii="Times New Roman" w:hAnsi="Times New Roman"/>
          <w:bCs/>
          <w:sz w:val="24"/>
          <w:lang w:eastAsia="zh-CN"/>
        </w:rPr>
        <w:t>、凝析油罐</w:t>
      </w:r>
      <w:r w:rsidRPr="00E67914">
        <w:rPr>
          <w:rFonts w:ascii="Times New Roman" w:hAnsi="Times New Roman"/>
          <w:bCs/>
          <w:sz w:val="24"/>
          <w:lang w:eastAsia="zh-CN"/>
        </w:rPr>
        <w:t>区、生产流程区属于一般防渗区，</w:t>
      </w:r>
      <w:r w:rsidR="00A9536E" w:rsidRPr="00E67914">
        <w:rPr>
          <w:rFonts w:ascii="Times New Roman" w:hAnsi="Times New Roman"/>
          <w:bCs/>
          <w:sz w:val="24"/>
          <w:lang w:eastAsia="zh-CN"/>
        </w:rPr>
        <w:t>放空分液罐、采出水罐</w:t>
      </w:r>
      <w:r w:rsidR="007911DC" w:rsidRPr="00E67914">
        <w:rPr>
          <w:rFonts w:ascii="Times New Roman" w:hAnsi="Times New Roman"/>
          <w:bCs/>
          <w:sz w:val="24"/>
          <w:lang w:eastAsia="zh-CN"/>
        </w:rPr>
        <w:t>、凝析油罐</w:t>
      </w:r>
      <w:r w:rsidRPr="00E67914">
        <w:rPr>
          <w:rFonts w:ascii="Times New Roman" w:hAnsi="Times New Roman"/>
          <w:bCs/>
          <w:sz w:val="24"/>
          <w:lang w:eastAsia="zh-CN"/>
        </w:rPr>
        <w:t>和生产流程区建设选在钻井井场进行了重点防渗或一般防渗的区域进行建设，若</w:t>
      </w:r>
      <w:r w:rsidR="007911DC" w:rsidRPr="00E67914">
        <w:rPr>
          <w:rFonts w:ascii="Times New Roman" w:hAnsi="Times New Roman"/>
          <w:bCs/>
          <w:sz w:val="24"/>
          <w:lang w:eastAsia="zh-CN"/>
        </w:rPr>
        <w:t>上述</w:t>
      </w:r>
      <w:r w:rsidRPr="00E67914">
        <w:rPr>
          <w:rFonts w:ascii="Times New Roman" w:hAnsi="Times New Roman"/>
          <w:bCs/>
          <w:sz w:val="24"/>
          <w:lang w:eastAsia="zh-CN"/>
        </w:rPr>
        <w:t>防渗区无法满足建设时，应至少做一般防渗，并在</w:t>
      </w:r>
      <w:r w:rsidR="00A9536E" w:rsidRPr="00E67914">
        <w:rPr>
          <w:rFonts w:ascii="Times New Roman" w:hAnsi="Times New Roman"/>
          <w:bCs/>
          <w:sz w:val="24"/>
          <w:lang w:eastAsia="zh-CN"/>
        </w:rPr>
        <w:t>放空分液罐、采出水罐</w:t>
      </w:r>
      <w:r w:rsidR="007911DC" w:rsidRPr="00E67914">
        <w:rPr>
          <w:rFonts w:ascii="Times New Roman" w:hAnsi="Times New Roman"/>
          <w:bCs/>
          <w:sz w:val="24"/>
          <w:lang w:eastAsia="zh-CN"/>
        </w:rPr>
        <w:t>、凝析油罐</w:t>
      </w:r>
      <w:r w:rsidRPr="00E67914">
        <w:rPr>
          <w:rFonts w:ascii="Times New Roman" w:hAnsi="Times New Roman"/>
          <w:bCs/>
          <w:sz w:val="24"/>
          <w:lang w:eastAsia="zh-CN"/>
        </w:rPr>
        <w:t>罐区修建围堰，围堰内容积要足够储存</w:t>
      </w:r>
      <w:r w:rsidR="00A9536E" w:rsidRPr="00E67914">
        <w:rPr>
          <w:rFonts w:ascii="Times New Roman" w:hAnsi="Times New Roman"/>
          <w:bCs/>
          <w:sz w:val="24"/>
          <w:lang w:eastAsia="zh-CN"/>
        </w:rPr>
        <w:t>放空分液罐、采出水罐</w:t>
      </w:r>
      <w:r w:rsidR="007911DC" w:rsidRPr="00E67914">
        <w:rPr>
          <w:rFonts w:ascii="Times New Roman" w:hAnsi="Times New Roman"/>
          <w:bCs/>
          <w:sz w:val="24"/>
          <w:lang w:eastAsia="zh-CN"/>
        </w:rPr>
        <w:t>、凝析油罐</w:t>
      </w:r>
      <w:r w:rsidRPr="00E67914">
        <w:rPr>
          <w:rFonts w:ascii="Times New Roman" w:hAnsi="Times New Roman"/>
          <w:bCs/>
          <w:sz w:val="24"/>
          <w:lang w:eastAsia="zh-CN"/>
        </w:rPr>
        <w:t>泄露的污水</w:t>
      </w:r>
      <w:r w:rsidR="007911DC" w:rsidRPr="00E67914">
        <w:rPr>
          <w:rFonts w:ascii="Times New Roman" w:hAnsi="Times New Roman"/>
          <w:bCs/>
          <w:sz w:val="24"/>
          <w:lang w:eastAsia="zh-CN"/>
        </w:rPr>
        <w:t>或凝析油</w:t>
      </w:r>
      <w:r w:rsidRPr="00E67914">
        <w:rPr>
          <w:rFonts w:ascii="Times New Roman" w:hAnsi="Times New Roman"/>
          <w:bCs/>
          <w:sz w:val="24"/>
          <w:lang w:eastAsia="zh-CN"/>
        </w:rPr>
        <w:t>。因此</w:t>
      </w:r>
      <w:r w:rsidR="00A9536E" w:rsidRPr="00E67914">
        <w:rPr>
          <w:rFonts w:ascii="Times New Roman" w:hAnsi="Times New Roman"/>
          <w:bCs/>
          <w:sz w:val="24"/>
          <w:lang w:eastAsia="zh-CN"/>
        </w:rPr>
        <w:t>放空分液罐、采出水罐</w:t>
      </w:r>
      <w:r w:rsidR="007911DC" w:rsidRPr="00E67914">
        <w:rPr>
          <w:rFonts w:ascii="Times New Roman" w:hAnsi="Times New Roman"/>
          <w:bCs/>
          <w:sz w:val="24"/>
          <w:lang w:eastAsia="zh-CN"/>
        </w:rPr>
        <w:t>、凝析油罐</w:t>
      </w:r>
      <w:r w:rsidRPr="00E67914">
        <w:rPr>
          <w:rFonts w:ascii="Times New Roman" w:hAnsi="Times New Roman"/>
          <w:bCs/>
          <w:sz w:val="24"/>
          <w:lang w:eastAsia="zh-CN"/>
        </w:rPr>
        <w:t>的建设</w:t>
      </w:r>
      <w:r w:rsidR="007911DC" w:rsidRPr="00E67914">
        <w:rPr>
          <w:rFonts w:ascii="Times New Roman" w:hAnsi="Times New Roman"/>
          <w:bCs/>
          <w:sz w:val="24"/>
          <w:lang w:eastAsia="zh-CN"/>
        </w:rPr>
        <w:t>是</w:t>
      </w:r>
      <w:r w:rsidRPr="00E67914">
        <w:rPr>
          <w:rFonts w:ascii="Times New Roman" w:hAnsi="Times New Roman"/>
          <w:bCs/>
          <w:sz w:val="24"/>
          <w:lang w:eastAsia="zh-CN"/>
        </w:rPr>
        <w:t>可行有效的。</w:t>
      </w:r>
    </w:p>
    <w:p w14:paraId="087FE6AE"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试采井站地下水土壤污染防治措施为中石化在川东北地区常用的处置措施，已在建设单位同类型天然气试采井站工程项目中广泛应用，采气试采未发生过地下水和土壤污染事故，因此，地下水和土壤防治处理措施合理、可行。</w:t>
      </w:r>
    </w:p>
    <w:p w14:paraId="2DC14BB2"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39" w:name="6.2.3噪声防治措施"/>
      <w:bookmarkEnd w:id="239"/>
      <w:r w:rsidRPr="00E67914">
        <w:rPr>
          <w:rFonts w:ascii="Times New Roman" w:eastAsia="黑体" w:hAnsi="Times New Roman"/>
          <w:b w:val="0"/>
          <w:sz w:val="24"/>
          <w:szCs w:val="24"/>
          <w:lang w:eastAsia="zh-CN"/>
        </w:rPr>
        <w:t>7.2.4</w:t>
      </w:r>
      <w:r w:rsidRPr="00E67914">
        <w:rPr>
          <w:rFonts w:ascii="Times New Roman" w:eastAsia="黑体" w:hAnsi="Times New Roman"/>
          <w:b w:val="0"/>
          <w:sz w:val="24"/>
          <w:szCs w:val="24"/>
          <w:lang w:eastAsia="zh-CN"/>
        </w:rPr>
        <w:t>噪声防治措施</w:t>
      </w:r>
    </w:p>
    <w:p w14:paraId="6B81C520"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根据泵的噪声频谱特性，采取的噪声控制措施为隔声、减震等，具体措施为：</w:t>
      </w:r>
    </w:p>
    <w:p w14:paraId="6C74582E"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1</w:t>
      </w:r>
      <w:r w:rsidRPr="00E67914">
        <w:rPr>
          <w:rFonts w:ascii="Times New Roman" w:hAnsi="Times New Roman"/>
          <w:bCs/>
          <w:kern w:val="2"/>
          <w:sz w:val="24"/>
          <w:szCs w:val="24"/>
          <w:lang w:eastAsia="zh-CN"/>
        </w:rPr>
        <w:t>）平面布置时进行合理布局，控制气流速度，减少站场工艺管线的弯头、三通等管件，降低试采站内噪声。</w:t>
      </w:r>
    </w:p>
    <w:p w14:paraId="4667CAC8"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2</w:t>
      </w:r>
      <w:r w:rsidRPr="00E67914">
        <w:rPr>
          <w:rFonts w:ascii="Times New Roman" w:hAnsi="Times New Roman"/>
          <w:bCs/>
          <w:kern w:val="2"/>
          <w:sz w:val="24"/>
          <w:szCs w:val="24"/>
          <w:lang w:eastAsia="zh-CN"/>
        </w:rPr>
        <w:t>）选用高效低噪声的水套加热炉、分离器和调压设备。</w:t>
      </w:r>
    </w:p>
    <w:p w14:paraId="16DB2E0E"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3</w:t>
      </w:r>
      <w:r w:rsidRPr="00E67914">
        <w:rPr>
          <w:rFonts w:ascii="Times New Roman" w:hAnsi="Times New Roman"/>
          <w:bCs/>
          <w:kern w:val="2"/>
          <w:sz w:val="24"/>
          <w:szCs w:val="24"/>
          <w:lang w:eastAsia="zh-CN"/>
        </w:rPr>
        <w:t>）种植绿化隔声。</w:t>
      </w:r>
    </w:p>
    <w:p w14:paraId="718288EE" w14:textId="77777777" w:rsidR="00A54A8A" w:rsidRPr="00E67914" w:rsidRDefault="00000000">
      <w:pPr>
        <w:widowControl w:val="0"/>
        <w:tabs>
          <w:tab w:val="left" w:pos="0"/>
        </w:tabs>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试采期采取以上措施为中石化在川东北地区常用的处置措施，类比已在建</w:t>
      </w:r>
      <w:r w:rsidRPr="00E67914">
        <w:rPr>
          <w:rFonts w:ascii="Times New Roman" w:hAnsi="Times New Roman"/>
          <w:bCs/>
          <w:kern w:val="2"/>
          <w:sz w:val="24"/>
          <w:szCs w:val="24"/>
          <w:lang w:eastAsia="zh-CN"/>
        </w:rPr>
        <w:lastRenderedPageBreak/>
        <w:t>设单位同类型天然气试采井站工程，项目试采期不会对声环境和敏感点（农户）造成噪声污染影响，因此，试采期噪声污染防治措施合理、可行。</w:t>
      </w:r>
    </w:p>
    <w:p w14:paraId="37CBF4FE"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40" w:name="6.2.4固体废弃物处置措施"/>
      <w:bookmarkEnd w:id="240"/>
      <w:r w:rsidRPr="00E67914">
        <w:rPr>
          <w:rFonts w:ascii="Times New Roman" w:eastAsia="黑体" w:hAnsi="Times New Roman"/>
          <w:b w:val="0"/>
          <w:sz w:val="24"/>
          <w:szCs w:val="24"/>
          <w:lang w:eastAsia="zh-CN"/>
        </w:rPr>
        <w:t>7.2.5</w:t>
      </w:r>
      <w:r w:rsidRPr="00E67914">
        <w:rPr>
          <w:rFonts w:ascii="Times New Roman" w:eastAsia="黑体" w:hAnsi="Times New Roman"/>
          <w:b w:val="0"/>
          <w:sz w:val="24"/>
          <w:szCs w:val="24"/>
          <w:lang w:eastAsia="zh-CN"/>
        </w:rPr>
        <w:t>固体废弃物处置措施</w:t>
      </w:r>
    </w:p>
    <w:p w14:paraId="268288B8" w14:textId="6231741C"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本项目试采期无</w:t>
      </w:r>
      <w:r w:rsidR="007911DC" w:rsidRPr="00E67914">
        <w:rPr>
          <w:rFonts w:ascii="Times New Roman" w:hAnsi="Times New Roman"/>
          <w:bCs/>
          <w:sz w:val="24"/>
          <w:lang w:eastAsia="zh-CN"/>
        </w:rPr>
        <w:t>生活垃圾产生，</w:t>
      </w:r>
      <w:r w:rsidR="007911DC" w:rsidRPr="00E67914">
        <w:rPr>
          <w:rFonts w:ascii="Times New Roman" w:hAnsi="Times New Roman"/>
          <w:sz w:val="24"/>
          <w:szCs w:val="24"/>
          <w:lang w:eastAsia="zh-CN"/>
        </w:rPr>
        <w:t>试采期清罐油泥有专业单位清理后立即交由资质单位处置，不在场内暂存，处置措施合理、可行</w:t>
      </w:r>
      <w:r w:rsidRPr="00E67914">
        <w:rPr>
          <w:rFonts w:ascii="Times New Roman" w:hAnsi="Times New Roman"/>
          <w:bCs/>
          <w:sz w:val="24"/>
          <w:lang w:eastAsia="zh-CN"/>
        </w:rPr>
        <w:t>。</w:t>
      </w:r>
    </w:p>
    <w:p w14:paraId="78C3C984"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7.2.6</w:t>
      </w:r>
      <w:r w:rsidRPr="00E67914">
        <w:rPr>
          <w:rFonts w:ascii="Times New Roman" w:eastAsia="黑体" w:hAnsi="Times New Roman"/>
          <w:b w:val="0"/>
          <w:sz w:val="24"/>
          <w:szCs w:val="24"/>
          <w:lang w:eastAsia="zh-CN"/>
        </w:rPr>
        <w:t>陆生生物及其生态系统保护措施</w:t>
      </w:r>
    </w:p>
    <w:p w14:paraId="0A16C285" w14:textId="24A61967" w:rsidR="00A54A8A" w:rsidRPr="00E67914" w:rsidRDefault="00000000">
      <w:pPr>
        <w:adjustRightInd w:val="0"/>
        <w:snapToGrid w:val="0"/>
        <w:spacing w:line="360" w:lineRule="auto"/>
        <w:ind w:firstLineChars="200" w:firstLine="480"/>
        <w:jc w:val="both"/>
        <w:rPr>
          <w:rFonts w:ascii="Times New Roman" w:hAnsi="Times New Roman"/>
          <w:bCs/>
          <w:sz w:val="24"/>
          <w:lang w:eastAsia="zh-CN"/>
        </w:rPr>
      </w:pPr>
      <w:r w:rsidRPr="00E67914">
        <w:rPr>
          <w:rFonts w:ascii="Times New Roman" w:hAnsi="Times New Roman"/>
          <w:bCs/>
          <w:sz w:val="24"/>
          <w:lang w:eastAsia="zh-CN"/>
        </w:rPr>
        <w:t>试采期不涉及新增占地，试采期需管护好项目区植被恢复成效，防止新的水土流失情况发生。</w:t>
      </w:r>
    </w:p>
    <w:p w14:paraId="6A38FDD7" w14:textId="24009B70" w:rsidR="00A54A8A" w:rsidRPr="00E67914" w:rsidRDefault="00A54A8A">
      <w:pPr>
        <w:adjustRightInd w:val="0"/>
        <w:snapToGrid w:val="0"/>
        <w:spacing w:line="360" w:lineRule="auto"/>
        <w:ind w:firstLineChars="200" w:firstLine="480"/>
        <w:jc w:val="both"/>
        <w:rPr>
          <w:rFonts w:ascii="Times New Roman" w:hAnsi="Times New Roman"/>
          <w:bCs/>
          <w:sz w:val="24"/>
          <w:lang w:eastAsia="zh-CN"/>
        </w:rPr>
      </w:pPr>
    </w:p>
    <w:p w14:paraId="276EFDDE" w14:textId="77777777" w:rsidR="00A54A8A" w:rsidRPr="00E67914" w:rsidRDefault="00A54A8A">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A54A8A" w:rsidRPr="00E67914">
          <w:pgSz w:w="11910" w:h="16840"/>
          <w:pgMar w:top="1440" w:right="1800" w:bottom="1440" w:left="1800" w:header="1213" w:footer="635" w:gutter="0"/>
          <w:cols w:space="720"/>
        </w:sectPr>
      </w:pPr>
      <w:bookmarkStart w:id="241" w:name="第七章_环境影响经济损益分析"/>
      <w:bookmarkStart w:id="242" w:name="_bookmark34"/>
      <w:bookmarkEnd w:id="241"/>
      <w:bookmarkEnd w:id="242"/>
    </w:p>
    <w:p w14:paraId="680E028A"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243" w:name="_Toc148654244"/>
      <w:r w:rsidRPr="00E67914">
        <w:rPr>
          <w:rFonts w:ascii="Times New Roman" w:eastAsia="黑体" w:hAnsi="Times New Roman"/>
          <w:b w:val="0"/>
          <w:sz w:val="28"/>
          <w:szCs w:val="28"/>
          <w:lang w:eastAsia="zh-CN"/>
        </w:rPr>
        <w:lastRenderedPageBreak/>
        <w:t>8</w:t>
      </w:r>
      <w:r w:rsidRPr="00E67914">
        <w:rPr>
          <w:rFonts w:ascii="Times New Roman" w:eastAsia="黑体" w:hAnsi="Times New Roman"/>
          <w:b w:val="0"/>
          <w:sz w:val="28"/>
          <w:szCs w:val="28"/>
          <w:lang w:eastAsia="zh-CN"/>
        </w:rPr>
        <w:t>环境影响经济损益分析</w:t>
      </w:r>
      <w:bookmarkEnd w:id="243"/>
    </w:p>
    <w:p w14:paraId="7C84609D"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环境经济损益分析主要任务是衡量建设项目要投入的环保投资所能收到的环境保护效果，本评价环境经济损益分析主要研究工程环境经济损益情况，除需计算用于控制污染所需投资和费用外，还同时核算可能收到的环境与经济效益。</w:t>
      </w:r>
    </w:p>
    <w:p w14:paraId="7D7B6A3B" w14:textId="77777777" w:rsidR="00A54A8A" w:rsidRPr="00E67914" w:rsidRDefault="00000000">
      <w:pPr>
        <w:pStyle w:val="2"/>
        <w:ind w:firstLine="480"/>
        <w:rPr>
          <w:szCs w:val="24"/>
          <w:lang w:eastAsia="zh-CN"/>
        </w:rPr>
      </w:pPr>
      <w:bookmarkStart w:id="244" w:name="7.1环保投资估算"/>
      <w:bookmarkStart w:id="245" w:name="_bookmark35"/>
      <w:bookmarkStart w:id="246" w:name="_Toc148654245"/>
      <w:bookmarkEnd w:id="244"/>
      <w:bookmarkEnd w:id="245"/>
      <w:r w:rsidRPr="00E67914">
        <w:rPr>
          <w:szCs w:val="24"/>
          <w:lang w:eastAsia="zh-CN"/>
        </w:rPr>
        <w:t>8.1</w:t>
      </w:r>
      <w:r w:rsidRPr="00E67914">
        <w:rPr>
          <w:szCs w:val="24"/>
          <w:lang w:eastAsia="zh-CN"/>
        </w:rPr>
        <w:t>环保投资估算</w:t>
      </w:r>
      <w:bookmarkEnd w:id="246"/>
    </w:p>
    <w:p w14:paraId="02A75BBD" w14:textId="753E8BBC"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本项目总投资</w:t>
      </w:r>
      <w:r w:rsidR="00CC09E7" w:rsidRPr="00E67914">
        <w:rPr>
          <w:rFonts w:ascii="Times New Roman" w:hAnsi="Times New Roman"/>
          <w:sz w:val="24"/>
          <w:szCs w:val="24"/>
          <w:lang w:eastAsia="zh-CN"/>
        </w:rPr>
        <w:t>19784</w:t>
      </w:r>
      <w:r w:rsidRPr="00E67914">
        <w:rPr>
          <w:rFonts w:ascii="Times New Roman" w:hAnsi="Times New Roman"/>
          <w:bCs/>
          <w:kern w:val="2"/>
          <w:sz w:val="24"/>
          <w:szCs w:val="24"/>
          <w:lang w:eastAsia="zh-CN"/>
        </w:rPr>
        <w:t>万元，环保投资</w:t>
      </w:r>
      <w:r w:rsidR="00CC09E7" w:rsidRPr="00E67914">
        <w:rPr>
          <w:rFonts w:ascii="Times New Roman" w:hAnsi="Times New Roman"/>
          <w:bCs/>
          <w:kern w:val="2"/>
          <w:sz w:val="24"/>
          <w:szCs w:val="24"/>
          <w:lang w:eastAsia="zh-CN"/>
        </w:rPr>
        <w:t>1108</w:t>
      </w:r>
      <w:r w:rsidRPr="00E67914">
        <w:rPr>
          <w:rFonts w:ascii="Times New Roman" w:hAnsi="Times New Roman"/>
          <w:bCs/>
          <w:kern w:val="2"/>
          <w:sz w:val="24"/>
          <w:szCs w:val="24"/>
          <w:lang w:eastAsia="zh-CN"/>
        </w:rPr>
        <w:t>万元，占总投资的</w:t>
      </w:r>
      <w:r w:rsidR="00CC09E7" w:rsidRPr="00E67914">
        <w:rPr>
          <w:rFonts w:ascii="Times New Roman" w:hAnsi="Times New Roman"/>
          <w:bCs/>
          <w:kern w:val="2"/>
          <w:sz w:val="24"/>
          <w:szCs w:val="24"/>
          <w:lang w:eastAsia="zh-CN"/>
        </w:rPr>
        <w:t>2.34</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。环保投资主要用于废水治理、固体废物处理、噪声污染防治，以及施工迹地生态恢复等，符合该项目的实际特点。具体情况见表</w:t>
      </w:r>
      <w:r w:rsidRPr="00E67914">
        <w:rPr>
          <w:rFonts w:ascii="Times New Roman" w:hAnsi="Times New Roman"/>
          <w:bCs/>
          <w:kern w:val="2"/>
          <w:sz w:val="24"/>
          <w:szCs w:val="24"/>
          <w:lang w:eastAsia="zh-CN"/>
        </w:rPr>
        <w:t>8.1-1</w:t>
      </w:r>
      <w:r w:rsidRPr="00E67914">
        <w:rPr>
          <w:rFonts w:ascii="Times New Roman" w:hAnsi="Times New Roman"/>
          <w:bCs/>
          <w:kern w:val="2"/>
          <w:sz w:val="24"/>
          <w:szCs w:val="24"/>
          <w:lang w:eastAsia="zh-CN"/>
        </w:rPr>
        <w:t>。</w:t>
      </w:r>
    </w:p>
    <w:p w14:paraId="69771057"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8.1-1  </w:t>
      </w:r>
      <w:r w:rsidRPr="00E67914">
        <w:rPr>
          <w:rFonts w:ascii="Times New Roman" w:eastAsia="黑体" w:hAnsi="Times New Roman"/>
          <w:sz w:val="21"/>
          <w:szCs w:val="21"/>
          <w:lang w:eastAsia="zh-CN"/>
        </w:rPr>
        <w:t>本项目环保措施及投资估算一览表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80"/>
        <w:gridCol w:w="6245"/>
        <w:gridCol w:w="997"/>
      </w:tblGrid>
      <w:tr w:rsidR="002662E3" w:rsidRPr="00E67914" w14:paraId="3828CA2A" w14:textId="77777777">
        <w:trPr>
          <w:cantSplit/>
          <w:jc w:val="center"/>
        </w:trPr>
        <w:tc>
          <w:tcPr>
            <w:tcW w:w="980" w:type="dxa"/>
            <w:vAlign w:val="center"/>
          </w:tcPr>
          <w:p w14:paraId="17BAB9A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项目</w:t>
            </w:r>
          </w:p>
        </w:tc>
        <w:tc>
          <w:tcPr>
            <w:tcW w:w="6245" w:type="dxa"/>
            <w:vAlign w:val="center"/>
          </w:tcPr>
          <w:p w14:paraId="71719A5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内容</w:t>
            </w:r>
          </w:p>
        </w:tc>
        <w:tc>
          <w:tcPr>
            <w:tcW w:w="997" w:type="dxa"/>
            <w:vAlign w:val="center"/>
          </w:tcPr>
          <w:p w14:paraId="2E3B689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投资（万元）</w:t>
            </w:r>
          </w:p>
        </w:tc>
      </w:tr>
      <w:tr w:rsidR="002662E3" w:rsidRPr="00E67914" w14:paraId="5B396B29" w14:textId="77777777">
        <w:trPr>
          <w:cantSplit/>
          <w:jc w:val="center"/>
        </w:trPr>
        <w:tc>
          <w:tcPr>
            <w:tcW w:w="980" w:type="dxa"/>
            <w:vMerge w:val="restart"/>
            <w:vAlign w:val="center"/>
          </w:tcPr>
          <w:p w14:paraId="0FE08E8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废气治理</w:t>
            </w:r>
          </w:p>
        </w:tc>
        <w:tc>
          <w:tcPr>
            <w:tcW w:w="6245" w:type="dxa"/>
            <w:vAlign w:val="center"/>
          </w:tcPr>
          <w:p w14:paraId="34C82EF4"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施工期：土石方覆盖材料，洒水降尘；放喷设施（套）、放喷池（已建）等</w:t>
            </w:r>
          </w:p>
        </w:tc>
        <w:tc>
          <w:tcPr>
            <w:tcW w:w="997" w:type="dxa"/>
            <w:vAlign w:val="center"/>
          </w:tcPr>
          <w:p w14:paraId="7EBE07AD" w14:textId="60E951D5" w:rsidR="00A54A8A" w:rsidRPr="00E67914" w:rsidRDefault="00000000">
            <w:pPr>
              <w:jc w:val="center"/>
              <w:rPr>
                <w:rFonts w:ascii="Times New Roman" w:hAnsi="Times New Roman"/>
                <w:sz w:val="21"/>
                <w:szCs w:val="21"/>
                <w:lang w:eastAsia="zh-CN"/>
              </w:rPr>
            </w:pPr>
            <w:r w:rsidRPr="00E67914">
              <w:rPr>
                <w:rFonts w:ascii="Times New Roman" w:hAnsi="Times New Roman"/>
                <w:sz w:val="21"/>
                <w:szCs w:val="21"/>
              </w:rPr>
              <w:t>1</w:t>
            </w:r>
            <w:r w:rsidR="00CC09E7" w:rsidRPr="00E67914">
              <w:rPr>
                <w:rFonts w:ascii="Times New Roman" w:hAnsi="Times New Roman"/>
                <w:sz w:val="21"/>
                <w:szCs w:val="21"/>
              </w:rPr>
              <w:t>5</w:t>
            </w:r>
          </w:p>
        </w:tc>
      </w:tr>
      <w:tr w:rsidR="002662E3" w:rsidRPr="00E67914" w14:paraId="08E8290D" w14:textId="77777777">
        <w:trPr>
          <w:cantSplit/>
          <w:jc w:val="center"/>
        </w:trPr>
        <w:tc>
          <w:tcPr>
            <w:tcW w:w="980" w:type="dxa"/>
            <w:vMerge/>
            <w:vAlign w:val="center"/>
          </w:tcPr>
          <w:p w14:paraId="44D0F2B7" w14:textId="77777777" w:rsidR="00A54A8A" w:rsidRPr="00E67914" w:rsidRDefault="00A54A8A">
            <w:pPr>
              <w:adjustRightInd w:val="0"/>
              <w:snapToGrid w:val="0"/>
              <w:jc w:val="center"/>
              <w:rPr>
                <w:rFonts w:ascii="Times New Roman" w:hAnsi="Times New Roman"/>
                <w:sz w:val="21"/>
                <w:szCs w:val="21"/>
              </w:rPr>
            </w:pPr>
          </w:p>
        </w:tc>
        <w:tc>
          <w:tcPr>
            <w:tcW w:w="6245" w:type="dxa"/>
            <w:vAlign w:val="center"/>
          </w:tcPr>
          <w:p w14:paraId="1EFC22C3" w14:textId="18D9FC21"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试采期：水套加热炉</w:t>
            </w:r>
            <w:r w:rsidR="00CC09E7" w:rsidRPr="00E67914">
              <w:rPr>
                <w:rFonts w:ascii="Times New Roman" w:hAnsi="Times New Roman"/>
                <w:sz w:val="21"/>
                <w:szCs w:val="21"/>
                <w:lang w:eastAsia="zh-CN"/>
              </w:rPr>
              <w:t>排气筒、放散管、放空火炬的设置与</w:t>
            </w:r>
            <w:r w:rsidRPr="00E67914">
              <w:rPr>
                <w:rFonts w:ascii="Times New Roman" w:hAnsi="Times New Roman"/>
                <w:sz w:val="21"/>
                <w:szCs w:val="21"/>
                <w:lang w:eastAsia="zh-CN"/>
              </w:rPr>
              <w:t>保养维护</w:t>
            </w:r>
          </w:p>
        </w:tc>
        <w:tc>
          <w:tcPr>
            <w:tcW w:w="997" w:type="dxa"/>
            <w:vAlign w:val="center"/>
          </w:tcPr>
          <w:p w14:paraId="49CE42DE" w14:textId="7770EBB6" w:rsidR="00A54A8A" w:rsidRPr="00E67914" w:rsidRDefault="00CC09E7">
            <w:pPr>
              <w:jc w:val="center"/>
              <w:rPr>
                <w:rFonts w:ascii="Times New Roman" w:hAnsi="Times New Roman"/>
                <w:sz w:val="21"/>
                <w:szCs w:val="21"/>
              </w:rPr>
            </w:pPr>
            <w:r w:rsidRPr="00E67914">
              <w:rPr>
                <w:rFonts w:ascii="Times New Roman" w:hAnsi="Times New Roman"/>
                <w:sz w:val="21"/>
                <w:szCs w:val="21"/>
              </w:rPr>
              <w:t>30</w:t>
            </w:r>
          </w:p>
        </w:tc>
      </w:tr>
      <w:tr w:rsidR="002662E3" w:rsidRPr="00E67914" w14:paraId="06A4844D" w14:textId="77777777">
        <w:trPr>
          <w:cantSplit/>
          <w:jc w:val="center"/>
        </w:trPr>
        <w:tc>
          <w:tcPr>
            <w:tcW w:w="980" w:type="dxa"/>
            <w:vMerge w:val="restart"/>
            <w:vAlign w:val="center"/>
          </w:tcPr>
          <w:p w14:paraId="4D7B888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废水治理</w:t>
            </w:r>
          </w:p>
        </w:tc>
        <w:tc>
          <w:tcPr>
            <w:tcW w:w="6245" w:type="dxa"/>
            <w:vAlign w:val="center"/>
          </w:tcPr>
          <w:p w14:paraId="173079DC" w14:textId="6C885512"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施工期：新建环保厕所，钻前施工废水沉淀池，泥浆不落地系统，废水转运</w:t>
            </w:r>
            <w:r w:rsidR="00CC09E7" w:rsidRPr="00E67914">
              <w:rPr>
                <w:rFonts w:ascii="Times New Roman" w:hAnsi="Times New Roman"/>
                <w:sz w:val="21"/>
                <w:szCs w:val="21"/>
                <w:lang w:eastAsia="zh-CN"/>
              </w:rPr>
              <w:t>处置</w:t>
            </w:r>
          </w:p>
        </w:tc>
        <w:tc>
          <w:tcPr>
            <w:tcW w:w="997" w:type="dxa"/>
            <w:vAlign w:val="center"/>
          </w:tcPr>
          <w:p w14:paraId="39BF9ADB" w14:textId="0F3FD177" w:rsidR="00A54A8A" w:rsidRPr="00E67914" w:rsidRDefault="00CC09E7">
            <w:pPr>
              <w:jc w:val="center"/>
              <w:rPr>
                <w:rFonts w:ascii="Times New Roman" w:hAnsi="Times New Roman"/>
                <w:sz w:val="21"/>
                <w:szCs w:val="21"/>
              </w:rPr>
            </w:pPr>
            <w:r w:rsidRPr="00E67914">
              <w:rPr>
                <w:rFonts w:ascii="Times New Roman" w:hAnsi="Times New Roman"/>
                <w:sz w:val="21"/>
                <w:szCs w:val="21"/>
              </w:rPr>
              <w:t>230</w:t>
            </w:r>
          </w:p>
        </w:tc>
      </w:tr>
      <w:tr w:rsidR="002662E3" w:rsidRPr="00E67914" w14:paraId="0B58C41A" w14:textId="77777777">
        <w:trPr>
          <w:cantSplit/>
          <w:jc w:val="center"/>
        </w:trPr>
        <w:tc>
          <w:tcPr>
            <w:tcW w:w="980" w:type="dxa"/>
            <w:vMerge/>
            <w:vAlign w:val="center"/>
          </w:tcPr>
          <w:p w14:paraId="70742F0C" w14:textId="77777777" w:rsidR="00A54A8A" w:rsidRPr="00E67914" w:rsidRDefault="00A54A8A">
            <w:pPr>
              <w:adjustRightInd w:val="0"/>
              <w:snapToGrid w:val="0"/>
              <w:jc w:val="center"/>
              <w:rPr>
                <w:rFonts w:ascii="Times New Roman" w:hAnsi="Times New Roman"/>
                <w:sz w:val="21"/>
                <w:szCs w:val="21"/>
              </w:rPr>
            </w:pPr>
          </w:p>
        </w:tc>
        <w:tc>
          <w:tcPr>
            <w:tcW w:w="6245" w:type="dxa"/>
            <w:vAlign w:val="center"/>
          </w:tcPr>
          <w:p w14:paraId="343DDE97" w14:textId="17FD5B44"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试采期：新建的</w:t>
            </w:r>
            <w:r w:rsidRPr="00E67914">
              <w:rPr>
                <w:rFonts w:ascii="Times New Roman" w:hAnsi="Times New Roman"/>
                <w:sz w:val="21"/>
                <w:szCs w:val="21"/>
                <w:lang w:eastAsia="zh-CN"/>
              </w:rPr>
              <w:t>1</w:t>
            </w:r>
            <w:r w:rsidRPr="00E67914">
              <w:rPr>
                <w:rFonts w:ascii="Times New Roman" w:hAnsi="Times New Roman"/>
                <w:sz w:val="21"/>
                <w:szCs w:val="21"/>
                <w:lang w:eastAsia="zh-CN"/>
              </w:rPr>
              <w:t>个</w:t>
            </w:r>
            <w:r w:rsidRPr="00E67914">
              <w:rPr>
                <w:rFonts w:ascii="Times New Roman" w:hAnsi="Times New Roman"/>
                <w:sz w:val="21"/>
                <w:szCs w:val="21"/>
                <w:lang w:eastAsia="zh-CN"/>
              </w:rPr>
              <w:t>30m</w:t>
            </w:r>
            <w:r w:rsidRPr="00E67914">
              <w:rPr>
                <w:rFonts w:ascii="Times New Roman" w:hAnsi="Times New Roman"/>
                <w:sz w:val="21"/>
                <w:szCs w:val="21"/>
                <w:vertAlign w:val="superscript"/>
                <w:lang w:eastAsia="zh-CN"/>
              </w:rPr>
              <w:t>3</w:t>
            </w:r>
            <w:r w:rsidR="00A9536E" w:rsidRPr="00E67914">
              <w:rPr>
                <w:rFonts w:ascii="Times New Roman" w:hAnsi="Times New Roman"/>
                <w:sz w:val="21"/>
                <w:szCs w:val="21"/>
                <w:lang w:eastAsia="zh-CN"/>
              </w:rPr>
              <w:t>放空分液罐、采出水罐</w:t>
            </w:r>
            <w:r w:rsidRPr="00E67914">
              <w:rPr>
                <w:rFonts w:ascii="Times New Roman" w:hAnsi="Times New Roman"/>
                <w:sz w:val="21"/>
                <w:szCs w:val="21"/>
                <w:lang w:eastAsia="zh-CN"/>
              </w:rPr>
              <w:t>，</w:t>
            </w:r>
            <w:r w:rsidR="00A9536E" w:rsidRPr="00E67914">
              <w:rPr>
                <w:rFonts w:ascii="Times New Roman" w:hAnsi="Times New Roman"/>
                <w:sz w:val="21"/>
                <w:szCs w:val="21"/>
                <w:lang w:eastAsia="zh-CN"/>
              </w:rPr>
              <w:t>放空分液罐、采出水罐</w:t>
            </w:r>
            <w:r w:rsidR="00CC09E7" w:rsidRPr="00E67914">
              <w:rPr>
                <w:rFonts w:ascii="Times New Roman" w:hAnsi="Times New Roman"/>
                <w:sz w:val="21"/>
                <w:szCs w:val="21"/>
                <w:lang w:eastAsia="zh-CN"/>
              </w:rPr>
              <w:t>、凝析油罐</w:t>
            </w:r>
            <w:r w:rsidRPr="00E67914">
              <w:rPr>
                <w:rFonts w:ascii="Times New Roman" w:hAnsi="Times New Roman"/>
                <w:sz w:val="21"/>
                <w:szCs w:val="21"/>
                <w:lang w:eastAsia="zh-CN"/>
              </w:rPr>
              <w:t>区防渗，废水定期转运</w:t>
            </w:r>
          </w:p>
        </w:tc>
        <w:tc>
          <w:tcPr>
            <w:tcW w:w="997" w:type="dxa"/>
            <w:vAlign w:val="center"/>
          </w:tcPr>
          <w:p w14:paraId="44910AD1" w14:textId="1E49C98B" w:rsidR="00A54A8A" w:rsidRPr="00E67914" w:rsidRDefault="00CC09E7">
            <w:pPr>
              <w:jc w:val="center"/>
              <w:rPr>
                <w:rFonts w:ascii="Times New Roman" w:hAnsi="Times New Roman"/>
                <w:sz w:val="21"/>
                <w:szCs w:val="21"/>
              </w:rPr>
            </w:pPr>
            <w:r w:rsidRPr="00E67914">
              <w:rPr>
                <w:rFonts w:ascii="Times New Roman" w:hAnsi="Times New Roman"/>
                <w:sz w:val="21"/>
                <w:szCs w:val="21"/>
              </w:rPr>
              <w:t>50</w:t>
            </w:r>
          </w:p>
        </w:tc>
      </w:tr>
      <w:tr w:rsidR="002662E3" w:rsidRPr="00E67914" w14:paraId="4211A11D" w14:textId="77777777">
        <w:trPr>
          <w:cantSplit/>
          <w:jc w:val="center"/>
        </w:trPr>
        <w:tc>
          <w:tcPr>
            <w:tcW w:w="980" w:type="dxa"/>
            <w:vMerge w:val="restart"/>
            <w:vAlign w:val="center"/>
          </w:tcPr>
          <w:p w14:paraId="6767DA8E"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噪声治理</w:t>
            </w:r>
          </w:p>
        </w:tc>
        <w:tc>
          <w:tcPr>
            <w:tcW w:w="6245" w:type="dxa"/>
            <w:vAlign w:val="center"/>
          </w:tcPr>
          <w:p w14:paraId="163873DF"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施工期：合理安排施工作业时间；选用低噪声设备；发电机、泥浆泵等设置隔声、吸声棚；为柴油机安装消声器和减震基础等</w:t>
            </w:r>
          </w:p>
        </w:tc>
        <w:tc>
          <w:tcPr>
            <w:tcW w:w="997" w:type="dxa"/>
            <w:vAlign w:val="center"/>
          </w:tcPr>
          <w:p w14:paraId="0EC1F646" w14:textId="0FE54492" w:rsidR="00A54A8A" w:rsidRPr="00E67914" w:rsidRDefault="00CC09E7">
            <w:pPr>
              <w:jc w:val="center"/>
              <w:rPr>
                <w:rFonts w:ascii="Times New Roman" w:hAnsi="Times New Roman"/>
                <w:sz w:val="21"/>
                <w:szCs w:val="21"/>
              </w:rPr>
            </w:pPr>
            <w:r w:rsidRPr="00E67914">
              <w:rPr>
                <w:rFonts w:ascii="Times New Roman" w:hAnsi="Times New Roman"/>
                <w:sz w:val="21"/>
                <w:szCs w:val="21"/>
              </w:rPr>
              <w:t>35</w:t>
            </w:r>
          </w:p>
        </w:tc>
      </w:tr>
      <w:tr w:rsidR="002662E3" w:rsidRPr="00E67914" w14:paraId="7CD5C0C5" w14:textId="77777777">
        <w:trPr>
          <w:cantSplit/>
          <w:jc w:val="center"/>
        </w:trPr>
        <w:tc>
          <w:tcPr>
            <w:tcW w:w="980" w:type="dxa"/>
            <w:vMerge/>
            <w:vAlign w:val="center"/>
          </w:tcPr>
          <w:p w14:paraId="395EAC87" w14:textId="77777777" w:rsidR="00A54A8A" w:rsidRPr="00E67914" w:rsidRDefault="00A54A8A">
            <w:pPr>
              <w:adjustRightInd w:val="0"/>
              <w:snapToGrid w:val="0"/>
              <w:jc w:val="center"/>
              <w:rPr>
                <w:rFonts w:ascii="Times New Roman" w:hAnsi="Times New Roman"/>
                <w:sz w:val="21"/>
                <w:szCs w:val="21"/>
              </w:rPr>
            </w:pPr>
          </w:p>
        </w:tc>
        <w:tc>
          <w:tcPr>
            <w:tcW w:w="6245" w:type="dxa"/>
            <w:vAlign w:val="center"/>
          </w:tcPr>
          <w:p w14:paraId="000D8C77"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试采期：合理布局，基础减振等</w:t>
            </w:r>
          </w:p>
        </w:tc>
        <w:tc>
          <w:tcPr>
            <w:tcW w:w="997" w:type="dxa"/>
            <w:vAlign w:val="center"/>
          </w:tcPr>
          <w:p w14:paraId="22D26768" w14:textId="13999939" w:rsidR="00A54A8A" w:rsidRPr="00E67914" w:rsidRDefault="00CC09E7">
            <w:pPr>
              <w:jc w:val="center"/>
              <w:rPr>
                <w:rFonts w:ascii="Times New Roman" w:hAnsi="Times New Roman"/>
                <w:sz w:val="21"/>
                <w:szCs w:val="21"/>
              </w:rPr>
            </w:pPr>
            <w:r w:rsidRPr="00E67914">
              <w:rPr>
                <w:rFonts w:ascii="Times New Roman" w:hAnsi="Times New Roman"/>
                <w:sz w:val="21"/>
                <w:szCs w:val="21"/>
              </w:rPr>
              <w:t>5</w:t>
            </w:r>
          </w:p>
        </w:tc>
      </w:tr>
      <w:tr w:rsidR="002662E3" w:rsidRPr="00E67914" w14:paraId="7906F3FE" w14:textId="77777777">
        <w:trPr>
          <w:cantSplit/>
          <w:jc w:val="center"/>
        </w:trPr>
        <w:tc>
          <w:tcPr>
            <w:tcW w:w="980" w:type="dxa"/>
            <w:vAlign w:val="center"/>
          </w:tcPr>
          <w:p w14:paraId="2F5131B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固废治理</w:t>
            </w:r>
          </w:p>
        </w:tc>
        <w:tc>
          <w:tcPr>
            <w:tcW w:w="6245" w:type="dxa"/>
            <w:vAlign w:val="center"/>
          </w:tcPr>
          <w:p w14:paraId="58EC0AF9" w14:textId="4657EDA1"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施工期：土石方回填；生活垃圾交市政环卫部门统一处理；</w:t>
            </w:r>
            <w:r w:rsidR="00E57FF1" w:rsidRPr="00E67914">
              <w:rPr>
                <w:rFonts w:ascii="Times New Roman" w:hAnsi="Times New Roman"/>
                <w:sz w:val="21"/>
                <w:szCs w:val="21"/>
                <w:lang w:eastAsia="zh-CN"/>
              </w:rPr>
              <w:t>建筑垃圾</w:t>
            </w:r>
            <w:r w:rsidRPr="00E67914">
              <w:rPr>
                <w:rFonts w:ascii="Times New Roman" w:hAnsi="Times New Roman"/>
                <w:sz w:val="21"/>
                <w:szCs w:val="21"/>
                <w:lang w:eastAsia="zh-CN"/>
              </w:rPr>
              <w:t>由施工方回收利用或统一清运；泥浆不落地系统；钻井泥浆及钻井固废转运处置，废油桶收集及暂存</w:t>
            </w:r>
          </w:p>
        </w:tc>
        <w:tc>
          <w:tcPr>
            <w:tcW w:w="997" w:type="dxa"/>
            <w:vAlign w:val="center"/>
          </w:tcPr>
          <w:p w14:paraId="726DCAB8" w14:textId="0996235D" w:rsidR="00A54A8A" w:rsidRPr="00E67914" w:rsidRDefault="00CC09E7">
            <w:pPr>
              <w:jc w:val="center"/>
              <w:rPr>
                <w:rFonts w:ascii="Times New Roman" w:hAnsi="Times New Roman"/>
                <w:sz w:val="21"/>
                <w:szCs w:val="21"/>
              </w:rPr>
            </w:pPr>
            <w:r w:rsidRPr="00E67914">
              <w:rPr>
                <w:rFonts w:ascii="Times New Roman" w:hAnsi="Times New Roman"/>
                <w:sz w:val="21"/>
                <w:szCs w:val="21"/>
              </w:rPr>
              <w:t>450</w:t>
            </w:r>
          </w:p>
        </w:tc>
      </w:tr>
      <w:tr w:rsidR="002662E3" w:rsidRPr="00E67914" w14:paraId="333F2012" w14:textId="77777777">
        <w:trPr>
          <w:cantSplit/>
          <w:jc w:val="center"/>
        </w:trPr>
        <w:tc>
          <w:tcPr>
            <w:tcW w:w="980" w:type="dxa"/>
            <w:vAlign w:val="center"/>
          </w:tcPr>
          <w:p w14:paraId="1ACB60E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地下水及土壤防治措施</w:t>
            </w:r>
          </w:p>
        </w:tc>
        <w:tc>
          <w:tcPr>
            <w:tcW w:w="6245" w:type="dxa"/>
            <w:vAlign w:val="center"/>
          </w:tcPr>
          <w:p w14:paraId="0751E4C7"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施工期：清污分流，排水沟，分区分级防渗，污染监测</w:t>
            </w:r>
          </w:p>
          <w:p w14:paraId="6BC24BC1"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试采期：清污分流，分区分级防渗，污染监测</w:t>
            </w:r>
          </w:p>
        </w:tc>
        <w:tc>
          <w:tcPr>
            <w:tcW w:w="997" w:type="dxa"/>
            <w:vAlign w:val="center"/>
          </w:tcPr>
          <w:p w14:paraId="17E1246D" w14:textId="61C30420" w:rsidR="00A54A8A" w:rsidRPr="00E67914" w:rsidRDefault="00000000">
            <w:pPr>
              <w:jc w:val="center"/>
              <w:rPr>
                <w:rFonts w:ascii="Times New Roman" w:hAnsi="Times New Roman"/>
                <w:sz w:val="21"/>
                <w:szCs w:val="21"/>
              </w:rPr>
            </w:pPr>
            <w:r w:rsidRPr="00E67914">
              <w:rPr>
                <w:rFonts w:ascii="Times New Roman" w:hAnsi="Times New Roman"/>
                <w:sz w:val="21"/>
                <w:szCs w:val="21"/>
              </w:rPr>
              <w:t>1</w:t>
            </w:r>
            <w:r w:rsidR="00CC09E7" w:rsidRPr="00E67914">
              <w:rPr>
                <w:rFonts w:ascii="Times New Roman" w:hAnsi="Times New Roman"/>
                <w:sz w:val="21"/>
                <w:szCs w:val="21"/>
              </w:rPr>
              <w:t>5</w:t>
            </w:r>
            <w:r w:rsidRPr="00E67914">
              <w:rPr>
                <w:rFonts w:ascii="Times New Roman" w:hAnsi="Times New Roman"/>
                <w:sz w:val="21"/>
                <w:szCs w:val="21"/>
              </w:rPr>
              <w:t>0</w:t>
            </w:r>
          </w:p>
        </w:tc>
      </w:tr>
      <w:tr w:rsidR="002662E3" w:rsidRPr="00E67914" w14:paraId="588F56F8" w14:textId="77777777">
        <w:trPr>
          <w:cantSplit/>
          <w:jc w:val="center"/>
        </w:trPr>
        <w:tc>
          <w:tcPr>
            <w:tcW w:w="980" w:type="dxa"/>
            <w:vAlign w:val="center"/>
          </w:tcPr>
          <w:p w14:paraId="17BE2E6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生态恢复</w:t>
            </w:r>
          </w:p>
        </w:tc>
        <w:tc>
          <w:tcPr>
            <w:tcW w:w="6245" w:type="dxa"/>
            <w:vAlign w:val="center"/>
          </w:tcPr>
          <w:p w14:paraId="7606F36A"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青苗（林木）赔偿，临时占地施工迹地地表恢复等</w:t>
            </w:r>
          </w:p>
        </w:tc>
        <w:tc>
          <w:tcPr>
            <w:tcW w:w="997" w:type="dxa"/>
            <w:vAlign w:val="center"/>
          </w:tcPr>
          <w:p w14:paraId="03B52D16" w14:textId="48E6184C" w:rsidR="00A54A8A" w:rsidRPr="00E67914" w:rsidRDefault="00CC09E7">
            <w:pPr>
              <w:jc w:val="center"/>
              <w:rPr>
                <w:rFonts w:ascii="Times New Roman" w:hAnsi="Times New Roman"/>
                <w:sz w:val="21"/>
                <w:szCs w:val="21"/>
              </w:rPr>
            </w:pPr>
            <w:r w:rsidRPr="00E67914">
              <w:rPr>
                <w:rFonts w:ascii="Times New Roman" w:hAnsi="Times New Roman"/>
                <w:sz w:val="21"/>
                <w:szCs w:val="21"/>
              </w:rPr>
              <w:t>100</w:t>
            </w:r>
          </w:p>
        </w:tc>
      </w:tr>
      <w:tr w:rsidR="002662E3" w:rsidRPr="00E67914" w14:paraId="109BC1F9" w14:textId="77777777">
        <w:trPr>
          <w:cantSplit/>
          <w:jc w:val="center"/>
        </w:trPr>
        <w:tc>
          <w:tcPr>
            <w:tcW w:w="980" w:type="dxa"/>
            <w:vAlign w:val="center"/>
          </w:tcPr>
          <w:p w14:paraId="0E0847D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污染监控</w:t>
            </w:r>
          </w:p>
        </w:tc>
        <w:tc>
          <w:tcPr>
            <w:tcW w:w="6245" w:type="dxa"/>
            <w:vAlign w:val="center"/>
          </w:tcPr>
          <w:p w14:paraId="6EB95547"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施工期环境监测，正常时例行监测，污染发生时加密监测</w:t>
            </w:r>
          </w:p>
          <w:p w14:paraId="570971E3"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试采期环境监测，正常时例行监测，污染发生时加密监测</w:t>
            </w:r>
          </w:p>
        </w:tc>
        <w:tc>
          <w:tcPr>
            <w:tcW w:w="997" w:type="dxa"/>
            <w:vAlign w:val="center"/>
          </w:tcPr>
          <w:p w14:paraId="2062FD4A" w14:textId="1323EE61" w:rsidR="00A54A8A" w:rsidRPr="00E67914" w:rsidRDefault="00CC09E7">
            <w:pPr>
              <w:jc w:val="center"/>
              <w:rPr>
                <w:rFonts w:ascii="Times New Roman" w:hAnsi="Times New Roman"/>
                <w:sz w:val="21"/>
                <w:szCs w:val="21"/>
              </w:rPr>
            </w:pPr>
            <w:r w:rsidRPr="00E67914">
              <w:rPr>
                <w:rFonts w:ascii="Times New Roman" w:hAnsi="Times New Roman"/>
                <w:sz w:val="21"/>
                <w:szCs w:val="21"/>
              </w:rPr>
              <w:t>20</w:t>
            </w:r>
          </w:p>
        </w:tc>
      </w:tr>
      <w:tr w:rsidR="002662E3" w:rsidRPr="00E67914" w14:paraId="7FA867E0" w14:textId="77777777">
        <w:trPr>
          <w:cantSplit/>
          <w:jc w:val="center"/>
        </w:trPr>
        <w:tc>
          <w:tcPr>
            <w:tcW w:w="980" w:type="dxa"/>
            <w:vMerge w:val="restart"/>
            <w:vAlign w:val="center"/>
          </w:tcPr>
          <w:p w14:paraId="426D28E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风险防控措施</w:t>
            </w:r>
          </w:p>
        </w:tc>
        <w:tc>
          <w:tcPr>
            <w:tcW w:w="6245" w:type="dxa"/>
            <w:vAlign w:val="center"/>
          </w:tcPr>
          <w:p w14:paraId="70C5F4C9"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施工期：地表水三级防控，分区防渗，测试放喷应急措施等</w:t>
            </w:r>
          </w:p>
          <w:p w14:paraId="754CB3EF" w14:textId="7DD61F69"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试采期：</w:t>
            </w:r>
            <w:r w:rsidR="00A9536E" w:rsidRPr="00E67914">
              <w:rPr>
                <w:rFonts w:ascii="Times New Roman" w:hAnsi="Times New Roman"/>
                <w:sz w:val="21"/>
                <w:szCs w:val="21"/>
                <w:lang w:eastAsia="zh-CN"/>
              </w:rPr>
              <w:t>放空分液罐、采出水罐</w:t>
            </w:r>
            <w:r w:rsidRPr="00E67914">
              <w:rPr>
                <w:rFonts w:ascii="Times New Roman" w:hAnsi="Times New Roman"/>
                <w:sz w:val="21"/>
                <w:szCs w:val="21"/>
                <w:lang w:eastAsia="zh-CN"/>
              </w:rPr>
              <w:t>区设置围堰和防渗，污染监控</w:t>
            </w:r>
          </w:p>
        </w:tc>
        <w:tc>
          <w:tcPr>
            <w:tcW w:w="997" w:type="dxa"/>
            <w:vAlign w:val="center"/>
          </w:tcPr>
          <w:p w14:paraId="1A9FCDD7"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15</w:t>
            </w:r>
          </w:p>
        </w:tc>
      </w:tr>
      <w:tr w:rsidR="002662E3" w:rsidRPr="00E67914" w14:paraId="6E9B173A" w14:textId="77777777">
        <w:trPr>
          <w:cantSplit/>
          <w:jc w:val="center"/>
        </w:trPr>
        <w:tc>
          <w:tcPr>
            <w:tcW w:w="980" w:type="dxa"/>
            <w:vMerge/>
            <w:vAlign w:val="center"/>
          </w:tcPr>
          <w:p w14:paraId="7AA5F41B" w14:textId="77777777" w:rsidR="00A54A8A" w:rsidRPr="00E67914" w:rsidRDefault="00A54A8A">
            <w:pPr>
              <w:adjustRightInd w:val="0"/>
              <w:snapToGrid w:val="0"/>
              <w:jc w:val="center"/>
              <w:rPr>
                <w:rFonts w:ascii="Times New Roman" w:hAnsi="Times New Roman"/>
                <w:sz w:val="21"/>
                <w:szCs w:val="21"/>
              </w:rPr>
            </w:pPr>
          </w:p>
        </w:tc>
        <w:tc>
          <w:tcPr>
            <w:tcW w:w="6245" w:type="dxa"/>
            <w:vAlign w:val="center"/>
          </w:tcPr>
          <w:p w14:paraId="4B92BA33" w14:textId="77777777" w:rsidR="00A54A8A" w:rsidRPr="00E67914" w:rsidRDefault="00000000">
            <w:pPr>
              <w:adjustRightInd w:val="0"/>
              <w:snapToGrid w:val="0"/>
              <w:rPr>
                <w:rFonts w:ascii="Times New Roman" w:hAnsi="Times New Roman"/>
                <w:sz w:val="21"/>
                <w:szCs w:val="21"/>
                <w:lang w:eastAsia="zh-CN"/>
              </w:rPr>
            </w:pPr>
            <w:r w:rsidRPr="00E67914">
              <w:rPr>
                <w:rFonts w:ascii="Times New Roman" w:hAnsi="Times New Roman"/>
                <w:sz w:val="21"/>
                <w:szCs w:val="21"/>
                <w:lang w:eastAsia="zh-CN"/>
              </w:rPr>
              <w:t>风向标、环保管理、事故人员撤离等修订应急预案并定期演练，加强站内设备及管线的巡线</w:t>
            </w:r>
          </w:p>
        </w:tc>
        <w:tc>
          <w:tcPr>
            <w:tcW w:w="997" w:type="dxa"/>
            <w:vAlign w:val="center"/>
          </w:tcPr>
          <w:p w14:paraId="56FE233F" w14:textId="77777777" w:rsidR="00A54A8A" w:rsidRPr="00E67914" w:rsidRDefault="00000000">
            <w:pPr>
              <w:jc w:val="center"/>
              <w:rPr>
                <w:rFonts w:ascii="Times New Roman" w:hAnsi="Times New Roman"/>
                <w:sz w:val="21"/>
                <w:szCs w:val="21"/>
              </w:rPr>
            </w:pPr>
            <w:r w:rsidRPr="00E67914">
              <w:rPr>
                <w:rFonts w:ascii="Times New Roman" w:hAnsi="Times New Roman"/>
                <w:sz w:val="21"/>
                <w:szCs w:val="21"/>
              </w:rPr>
              <w:t>8</w:t>
            </w:r>
          </w:p>
        </w:tc>
      </w:tr>
      <w:tr w:rsidR="002662E3" w:rsidRPr="00E67914" w14:paraId="2B6A6A58" w14:textId="77777777">
        <w:trPr>
          <w:cantSplit/>
          <w:jc w:val="center"/>
        </w:trPr>
        <w:tc>
          <w:tcPr>
            <w:tcW w:w="980" w:type="dxa"/>
            <w:vAlign w:val="center"/>
          </w:tcPr>
          <w:p w14:paraId="4ED70920"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合计</w:t>
            </w:r>
          </w:p>
        </w:tc>
        <w:tc>
          <w:tcPr>
            <w:tcW w:w="6245" w:type="dxa"/>
            <w:vAlign w:val="center"/>
          </w:tcPr>
          <w:p w14:paraId="2A85F09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w:t>
            </w:r>
          </w:p>
        </w:tc>
        <w:tc>
          <w:tcPr>
            <w:tcW w:w="997" w:type="dxa"/>
            <w:vAlign w:val="center"/>
          </w:tcPr>
          <w:p w14:paraId="6F6C5E4C" w14:textId="04595CBF" w:rsidR="00A54A8A" w:rsidRPr="00E67914" w:rsidRDefault="00CC09E7">
            <w:pPr>
              <w:adjustRightInd w:val="0"/>
              <w:snapToGrid w:val="0"/>
              <w:jc w:val="center"/>
              <w:rPr>
                <w:rFonts w:ascii="Times New Roman" w:hAnsi="Times New Roman"/>
                <w:sz w:val="21"/>
                <w:szCs w:val="21"/>
              </w:rPr>
            </w:pPr>
            <w:r w:rsidRPr="00E67914">
              <w:rPr>
                <w:rFonts w:ascii="Times New Roman" w:hAnsi="Times New Roman"/>
                <w:sz w:val="21"/>
                <w:szCs w:val="21"/>
              </w:rPr>
              <w:t>1108</w:t>
            </w:r>
          </w:p>
        </w:tc>
      </w:tr>
    </w:tbl>
    <w:p w14:paraId="2C7E78A1" w14:textId="77777777" w:rsidR="00A54A8A" w:rsidRPr="00E67914" w:rsidRDefault="00000000">
      <w:pPr>
        <w:pStyle w:val="2"/>
        <w:ind w:firstLine="480"/>
        <w:rPr>
          <w:szCs w:val="24"/>
          <w:lang w:eastAsia="zh-CN"/>
        </w:rPr>
      </w:pPr>
      <w:bookmarkStart w:id="247" w:name="_bookmark36"/>
      <w:bookmarkStart w:id="248" w:name="7.2“三效益”分析"/>
      <w:bookmarkStart w:id="249" w:name="_Toc148654246"/>
      <w:bookmarkEnd w:id="247"/>
      <w:bookmarkEnd w:id="248"/>
      <w:r w:rsidRPr="00E67914">
        <w:rPr>
          <w:szCs w:val="24"/>
          <w:lang w:eastAsia="zh-CN"/>
        </w:rPr>
        <w:lastRenderedPageBreak/>
        <w:t>8.2“</w:t>
      </w:r>
      <w:r w:rsidRPr="00E67914">
        <w:rPr>
          <w:szCs w:val="24"/>
          <w:lang w:eastAsia="zh-CN"/>
        </w:rPr>
        <w:t>三效益</w:t>
      </w:r>
      <w:r w:rsidRPr="00E67914">
        <w:rPr>
          <w:szCs w:val="24"/>
          <w:lang w:eastAsia="zh-CN"/>
        </w:rPr>
        <w:t>”</w:t>
      </w:r>
      <w:r w:rsidRPr="00E67914">
        <w:rPr>
          <w:szCs w:val="24"/>
          <w:lang w:eastAsia="zh-CN"/>
        </w:rPr>
        <w:t>分析</w:t>
      </w:r>
      <w:bookmarkEnd w:id="249"/>
    </w:p>
    <w:p w14:paraId="0AE676FB"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50" w:name="7.2.1经济效益"/>
      <w:bookmarkEnd w:id="250"/>
      <w:r w:rsidRPr="00E67914">
        <w:rPr>
          <w:rFonts w:ascii="Times New Roman" w:eastAsia="黑体" w:hAnsi="Times New Roman"/>
          <w:b w:val="0"/>
          <w:sz w:val="24"/>
          <w:szCs w:val="24"/>
          <w:lang w:eastAsia="zh-CN"/>
        </w:rPr>
        <w:t>8.2.1</w:t>
      </w:r>
      <w:r w:rsidRPr="00E67914">
        <w:rPr>
          <w:rFonts w:ascii="Times New Roman" w:eastAsia="黑体" w:hAnsi="Times New Roman"/>
          <w:b w:val="0"/>
          <w:sz w:val="24"/>
          <w:szCs w:val="24"/>
          <w:lang w:eastAsia="zh-CN"/>
        </w:rPr>
        <w:t>经济效益</w:t>
      </w:r>
    </w:p>
    <w:p w14:paraId="466F4164" w14:textId="101A53CA"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内部效益：中国石油化工股份有限公司</w:t>
      </w:r>
      <w:r w:rsidRPr="00E67914">
        <w:rPr>
          <w:rFonts w:ascii="Times New Roman" w:hAnsi="Times New Roman"/>
          <w:sz w:val="24"/>
          <w:lang w:eastAsia="zh-CN"/>
        </w:rPr>
        <w:t>中原油田普光分公司</w:t>
      </w:r>
      <w:r w:rsidRPr="00E67914">
        <w:rPr>
          <w:rFonts w:ascii="Times New Roman" w:hAnsi="Times New Roman"/>
          <w:sz w:val="24"/>
          <w:szCs w:val="24"/>
          <w:lang w:eastAsia="zh-CN"/>
        </w:rPr>
        <w:t>项目总投资</w:t>
      </w:r>
      <w:r w:rsidR="00CC09E7" w:rsidRPr="00E67914">
        <w:rPr>
          <w:rFonts w:ascii="Times New Roman" w:hAnsi="Times New Roman"/>
          <w:sz w:val="24"/>
          <w:szCs w:val="24"/>
          <w:lang w:eastAsia="zh-CN"/>
        </w:rPr>
        <w:t>19784</w:t>
      </w:r>
      <w:r w:rsidRPr="00E67914">
        <w:rPr>
          <w:rFonts w:ascii="Times New Roman" w:hAnsi="Times New Roman"/>
          <w:sz w:val="24"/>
          <w:szCs w:val="24"/>
          <w:lang w:eastAsia="zh-CN"/>
        </w:rPr>
        <w:t>万元建设本项目，产气规模预计</w:t>
      </w:r>
      <w:r w:rsidR="00CC09E7" w:rsidRPr="00E67914">
        <w:rPr>
          <w:rFonts w:ascii="Times New Roman" w:hAnsi="Times New Roman"/>
          <w:sz w:val="24"/>
          <w:szCs w:val="24"/>
          <w:lang w:eastAsia="zh-CN"/>
        </w:rPr>
        <w:t>20.6×10</w:t>
      </w:r>
      <w:r w:rsidR="00CC09E7" w:rsidRPr="00E67914">
        <w:rPr>
          <w:rFonts w:ascii="Times New Roman" w:hAnsi="Times New Roman"/>
          <w:sz w:val="24"/>
          <w:szCs w:val="24"/>
          <w:vertAlign w:val="superscript"/>
          <w:lang w:eastAsia="zh-CN"/>
        </w:rPr>
        <w:t>4</w:t>
      </w:r>
      <w:r w:rsidR="00CC09E7" w:rsidRPr="00E67914">
        <w:rPr>
          <w:rFonts w:ascii="Times New Roman" w:hAnsi="Times New Roman"/>
          <w:sz w:val="24"/>
          <w:szCs w:val="24"/>
          <w:lang w:eastAsia="zh-CN"/>
        </w:rPr>
        <w:t>m</w:t>
      </w:r>
      <w:r w:rsidR="00CC09E7" w:rsidRPr="00E67914">
        <w:rPr>
          <w:rFonts w:ascii="Times New Roman" w:hAnsi="Times New Roman"/>
          <w:sz w:val="24"/>
          <w:szCs w:val="24"/>
          <w:vertAlign w:val="superscript"/>
          <w:lang w:eastAsia="zh-CN"/>
        </w:rPr>
        <w:t>3</w:t>
      </w:r>
      <w:r w:rsidR="00CC09E7" w:rsidRPr="00E67914">
        <w:rPr>
          <w:rFonts w:ascii="Times New Roman" w:hAnsi="Times New Roman"/>
          <w:sz w:val="24"/>
          <w:szCs w:val="24"/>
          <w:lang w:eastAsia="zh-CN"/>
        </w:rPr>
        <w:t>/d</w:t>
      </w:r>
      <w:r w:rsidR="00CC09E7" w:rsidRPr="00E67914">
        <w:rPr>
          <w:rFonts w:ascii="Times New Roman" w:hAnsi="Times New Roman"/>
          <w:sz w:val="24"/>
          <w:szCs w:val="24"/>
          <w:lang w:eastAsia="zh-CN"/>
        </w:rPr>
        <w:t>，产油规模预计</w:t>
      </w:r>
      <w:r w:rsidR="00CC09E7" w:rsidRPr="00E67914">
        <w:rPr>
          <w:rFonts w:ascii="Times New Roman" w:hAnsi="Times New Roman"/>
          <w:sz w:val="24"/>
          <w:szCs w:val="24"/>
          <w:lang w:eastAsia="zh-CN"/>
        </w:rPr>
        <w:t>12.3t/d</w:t>
      </w:r>
      <w:r w:rsidRPr="00E67914">
        <w:rPr>
          <w:rFonts w:ascii="Times New Roman" w:hAnsi="Times New Roman"/>
          <w:sz w:val="24"/>
          <w:szCs w:val="24"/>
          <w:lang w:eastAsia="zh-CN"/>
        </w:rPr>
        <w:t>，项目整体税后内部收益率</w:t>
      </w:r>
      <w:r w:rsidRPr="00E67914">
        <w:rPr>
          <w:rFonts w:ascii="Times New Roman" w:hAnsi="Times New Roman"/>
          <w:sz w:val="24"/>
          <w:szCs w:val="24"/>
          <w:lang w:eastAsia="zh-CN"/>
        </w:rPr>
        <w:t>8.</w:t>
      </w:r>
      <w:r w:rsidR="00CC09E7" w:rsidRPr="00E67914">
        <w:rPr>
          <w:rFonts w:ascii="Times New Roman" w:hAnsi="Times New Roman"/>
          <w:sz w:val="24"/>
          <w:szCs w:val="24"/>
          <w:lang w:eastAsia="zh-CN"/>
        </w:rPr>
        <w:t>53</w:t>
      </w:r>
      <w:r w:rsidRPr="00E67914">
        <w:rPr>
          <w:rFonts w:ascii="Times New Roman" w:hAnsi="Times New Roman"/>
          <w:sz w:val="24"/>
          <w:szCs w:val="24"/>
          <w:lang w:eastAsia="zh-CN"/>
        </w:rPr>
        <w:t>%</w:t>
      </w:r>
      <w:r w:rsidRPr="00E67914">
        <w:rPr>
          <w:rFonts w:ascii="Times New Roman" w:hAnsi="Times New Roman"/>
          <w:sz w:val="24"/>
          <w:szCs w:val="24"/>
          <w:lang w:eastAsia="zh-CN"/>
        </w:rPr>
        <w:t>，达到企业内部基准收益率标准。本项目经济效益较好，具有较强的盈利能力和偿债能力，在财务上是可行的。</w:t>
      </w:r>
    </w:p>
    <w:p w14:paraId="352C7AB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外部效果：根据有关资料，每万立方天然气用于工业，平均可创产值</w:t>
      </w:r>
      <w:r w:rsidRPr="00E67914">
        <w:rPr>
          <w:rFonts w:ascii="Times New Roman" w:hAnsi="Times New Roman"/>
          <w:sz w:val="24"/>
          <w:szCs w:val="24"/>
          <w:lang w:eastAsia="zh-CN"/>
        </w:rPr>
        <w:t>2.650</w:t>
      </w:r>
      <w:r w:rsidRPr="00E67914">
        <w:rPr>
          <w:rFonts w:ascii="Times New Roman" w:hAnsi="Times New Roman"/>
          <w:sz w:val="24"/>
          <w:szCs w:val="24"/>
          <w:lang w:eastAsia="zh-CN"/>
        </w:rPr>
        <w:t>万元；每万立方天然气用于城市民用可节约城市供煤运费补贴</w:t>
      </w:r>
      <w:r w:rsidRPr="00E67914">
        <w:rPr>
          <w:rFonts w:ascii="Times New Roman" w:hAnsi="Times New Roman"/>
          <w:sz w:val="24"/>
          <w:szCs w:val="24"/>
          <w:lang w:eastAsia="zh-CN"/>
        </w:rPr>
        <w:t>640</w:t>
      </w:r>
      <w:r w:rsidRPr="00E67914">
        <w:rPr>
          <w:rFonts w:ascii="Times New Roman" w:hAnsi="Times New Roman"/>
          <w:sz w:val="24"/>
          <w:szCs w:val="24"/>
          <w:lang w:eastAsia="zh-CN"/>
        </w:rPr>
        <w:t>元。因此本项目实施可为社会创造工业产值和节约运煤补贴。</w:t>
      </w:r>
    </w:p>
    <w:p w14:paraId="066D5D3C"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从内部经济效益和外部经济效益来看，该工程的投产将普光气田内天然气资源的优势转化为经济优势，可大大增加地方利税收入，企业也将获得巨大的利润，为该地区带来巨大的天然气化工等方面经济效益。</w:t>
      </w:r>
    </w:p>
    <w:p w14:paraId="2C9E7F98"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51" w:name="7.2.2社会效益"/>
      <w:bookmarkEnd w:id="251"/>
      <w:r w:rsidRPr="00E67914">
        <w:rPr>
          <w:rFonts w:ascii="Times New Roman" w:eastAsia="黑体" w:hAnsi="Times New Roman"/>
          <w:b w:val="0"/>
          <w:sz w:val="24"/>
          <w:szCs w:val="24"/>
          <w:lang w:eastAsia="zh-CN"/>
        </w:rPr>
        <w:t>8.2.2</w:t>
      </w:r>
      <w:r w:rsidRPr="00E67914">
        <w:rPr>
          <w:rFonts w:ascii="Times New Roman" w:eastAsia="黑体" w:hAnsi="Times New Roman"/>
          <w:b w:val="0"/>
          <w:sz w:val="24"/>
          <w:szCs w:val="24"/>
          <w:lang w:eastAsia="zh-CN"/>
        </w:rPr>
        <w:t>社会效益</w:t>
      </w:r>
    </w:p>
    <w:p w14:paraId="5791B7EB" w14:textId="77777777" w:rsidR="00A54A8A" w:rsidRPr="00E67914" w:rsidRDefault="00000000">
      <w:pPr>
        <w:adjustRightInd w:val="0"/>
        <w:snapToGrid w:val="0"/>
        <w:spacing w:line="360" w:lineRule="auto"/>
        <w:ind w:firstLine="480"/>
        <w:rPr>
          <w:rFonts w:ascii="Times New Roman" w:hAnsi="Times New Roman"/>
          <w:sz w:val="24"/>
          <w:szCs w:val="24"/>
          <w:lang w:eastAsia="zh-CN"/>
        </w:rPr>
      </w:pPr>
      <w:r w:rsidRPr="00E67914">
        <w:rPr>
          <w:rFonts w:ascii="Times New Roman" w:hAnsi="Times New Roman"/>
          <w:sz w:val="24"/>
          <w:szCs w:val="24"/>
          <w:lang w:eastAsia="zh-CN"/>
        </w:rPr>
        <w:t>根据项目建设内容，社会环境影响分析见下表。</w:t>
      </w:r>
    </w:p>
    <w:p w14:paraId="0C499A13"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8.2-1   </w:t>
      </w:r>
      <w:r w:rsidRPr="00E67914">
        <w:rPr>
          <w:rFonts w:ascii="Times New Roman" w:eastAsia="黑体" w:hAnsi="Times New Roman"/>
          <w:sz w:val="21"/>
          <w:szCs w:val="21"/>
          <w:lang w:eastAsia="zh-CN"/>
        </w:rPr>
        <w:t>社会环境影响一览表</w:t>
      </w:r>
    </w:p>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6"/>
        <w:gridCol w:w="4629"/>
        <w:gridCol w:w="3327"/>
      </w:tblGrid>
      <w:tr w:rsidR="00E67914" w:rsidRPr="00E67914" w14:paraId="03CF1E52" w14:textId="77777777">
        <w:trPr>
          <w:jc w:val="center"/>
        </w:trPr>
        <w:tc>
          <w:tcPr>
            <w:tcW w:w="4941" w:type="dxa"/>
            <w:gridSpan w:val="2"/>
            <w:vAlign w:val="center"/>
          </w:tcPr>
          <w:p w14:paraId="7EA88D5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环境影响因素</w:t>
            </w:r>
          </w:p>
        </w:tc>
        <w:tc>
          <w:tcPr>
            <w:tcW w:w="3281" w:type="dxa"/>
            <w:vAlign w:val="center"/>
          </w:tcPr>
          <w:p w14:paraId="2344070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环保措施</w:t>
            </w:r>
          </w:p>
        </w:tc>
      </w:tr>
      <w:tr w:rsidR="00E67914" w:rsidRPr="00E67914" w14:paraId="1AD2FD5A" w14:textId="77777777">
        <w:trPr>
          <w:jc w:val="center"/>
        </w:trPr>
        <w:tc>
          <w:tcPr>
            <w:tcW w:w="0" w:type="auto"/>
            <w:vMerge w:val="restart"/>
            <w:vAlign w:val="center"/>
          </w:tcPr>
          <w:p w14:paraId="3BCAE3CA"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负面影响</w:t>
            </w:r>
          </w:p>
        </w:tc>
        <w:tc>
          <w:tcPr>
            <w:tcW w:w="4675" w:type="dxa"/>
            <w:vAlign w:val="center"/>
          </w:tcPr>
          <w:p w14:paraId="71919878"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放喷管线出口位置修建放喷池，建挡墙减小热辐射影响。会对周边农作物产生轻度影响，本项目放喷池周边的植被主要为杂书和灌木林地。</w:t>
            </w:r>
          </w:p>
        </w:tc>
        <w:tc>
          <w:tcPr>
            <w:tcW w:w="3281" w:type="dxa"/>
            <w:vAlign w:val="center"/>
          </w:tcPr>
          <w:p w14:paraId="7993167F"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对热辐射破坏的植被进行补偿。</w:t>
            </w:r>
          </w:p>
        </w:tc>
      </w:tr>
      <w:tr w:rsidR="00E67914" w:rsidRPr="00E67914" w14:paraId="7470D8B8" w14:textId="77777777">
        <w:trPr>
          <w:jc w:val="center"/>
        </w:trPr>
        <w:tc>
          <w:tcPr>
            <w:tcW w:w="0" w:type="auto"/>
            <w:vMerge/>
            <w:vAlign w:val="center"/>
          </w:tcPr>
          <w:p w14:paraId="2B4E18DF" w14:textId="77777777" w:rsidR="00A54A8A" w:rsidRPr="00E67914" w:rsidRDefault="00A54A8A">
            <w:pPr>
              <w:pStyle w:val="a8"/>
              <w:snapToGrid w:val="0"/>
              <w:spacing w:line="240" w:lineRule="auto"/>
              <w:rPr>
                <w:rFonts w:ascii="Times New Roman" w:hAnsi="Times New Roman"/>
                <w:szCs w:val="21"/>
              </w:rPr>
            </w:pPr>
          </w:p>
        </w:tc>
        <w:tc>
          <w:tcPr>
            <w:tcW w:w="4675" w:type="dxa"/>
            <w:vAlign w:val="center"/>
          </w:tcPr>
          <w:p w14:paraId="6E1CFF2C"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钻井噪声影响、测试防喷影响需要以及钻遇含硫地层对居民进行临时撤离。对居民生产生活产生轻度的影响。雨水冲入耕地或林地对农业生产、植被生长产生轻度影响。</w:t>
            </w:r>
          </w:p>
        </w:tc>
        <w:tc>
          <w:tcPr>
            <w:tcW w:w="3281" w:type="dxa"/>
            <w:vAlign w:val="center"/>
          </w:tcPr>
          <w:p w14:paraId="697624DB"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通过协调补偿方式解决。</w:t>
            </w:r>
          </w:p>
        </w:tc>
      </w:tr>
      <w:tr w:rsidR="00E67914" w:rsidRPr="00E67914" w14:paraId="15BC8D21" w14:textId="77777777">
        <w:trPr>
          <w:jc w:val="center"/>
        </w:trPr>
        <w:tc>
          <w:tcPr>
            <w:tcW w:w="0" w:type="auto"/>
            <w:vMerge w:val="restart"/>
            <w:vAlign w:val="center"/>
          </w:tcPr>
          <w:p w14:paraId="28371204"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正面影响</w:t>
            </w:r>
          </w:p>
        </w:tc>
        <w:tc>
          <w:tcPr>
            <w:tcW w:w="0" w:type="auto"/>
            <w:gridSpan w:val="2"/>
            <w:vAlign w:val="center"/>
          </w:tcPr>
          <w:p w14:paraId="63BAF101"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天然气属于清洁能源，天然气的开采可以缓解用气紧张，增加企业经济效益，促进社会、经济发展，增大区域清洁能源的使用，对调整能源结构、缓解地区能源缺口有积极意义。</w:t>
            </w:r>
          </w:p>
        </w:tc>
      </w:tr>
      <w:tr w:rsidR="00E67914" w:rsidRPr="00E67914" w14:paraId="5FBC4D69" w14:textId="77777777">
        <w:trPr>
          <w:jc w:val="center"/>
        </w:trPr>
        <w:tc>
          <w:tcPr>
            <w:tcW w:w="0" w:type="auto"/>
            <w:vMerge/>
            <w:vAlign w:val="center"/>
          </w:tcPr>
          <w:p w14:paraId="7D7EF5B0" w14:textId="77777777" w:rsidR="00A54A8A" w:rsidRPr="00E67914" w:rsidRDefault="00A54A8A">
            <w:pPr>
              <w:pStyle w:val="a8"/>
              <w:snapToGrid w:val="0"/>
              <w:spacing w:line="240" w:lineRule="auto"/>
              <w:rPr>
                <w:rFonts w:ascii="Times New Roman" w:hAnsi="Times New Roman"/>
                <w:szCs w:val="21"/>
              </w:rPr>
            </w:pPr>
          </w:p>
        </w:tc>
        <w:tc>
          <w:tcPr>
            <w:tcW w:w="0" w:type="auto"/>
            <w:gridSpan w:val="2"/>
            <w:vAlign w:val="center"/>
          </w:tcPr>
          <w:p w14:paraId="0AA464D1"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项目钻井前会对乡村公路做维护及改建，加强了当地交通基础设施建设，改善交通条件。</w:t>
            </w:r>
          </w:p>
        </w:tc>
      </w:tr>
      <w:tr w:rsidR="00E67914" w:rsidRPr="00E67914" w14:paraId="4EE6522B" w14:textId="77777777">
        <w:trPr>
          <w:jc w:val="center"/>
        </w:trPr>
        <w:tc>
          <w:tcPr>
            <w:tcW w:w="0" w:type="auto"/>
            <w:vMerge/>
            <w:vAlign w:val="center"/>
          </w:tcPr>
          <w:p w14:paraId="55F2AAC8" w14:textId="77777777" w:rsidR="00A54A8A" w:rsidRPr="00E67914" w:rsidRDefault="00A54A8A">
            <w:pPr>
              <w:pStyle w:val="a8"/>
              <w:snapToGrid w:val="0"/>
              <w:spacing w:line="240" w:lineRule="auto"/>
              <w:rPr>
                <w:rFonts w:ascii="Times New Roman" w:hAnsi="Times New Roman"/>
                <w:szCs w:val="21"/>
              </w:rPr>
            </w:pPr>
          </w:p>
        </w:tc>
        <w:tc>
          <w:tcPr>
            <w:tcW w:w="0" w:type="auto"/>
            <w:gridSpan w:val="2"/>
            <w:vAlign w:val="center"/>
          </w:tcPr>
          <w:p w14:paraId="598E9B3D" w14:textId="77777777" w:rsidR="00A54A8A" w:rsidRPr="00E67914" w:rsidRDefault="00000000">
            <w:pPr>
              <w:pStyle w:val="a8"/>
              <w:snapToGrid w:val="0"/>
              <w:spacing w:line="240" w:lineRule="auto"/>
              <w:rPr>
                <w:rFonts w:ascii="Times New Roman" w:hAnsi="Times New Roman"/>
                <w:szCs w:val="21"/>
              </w:rPr>
            </w:pPr>
            <w:r w:rsidRPr="00E67914">
              <w:rPr>
                <w:rFonts w:ascii="Times New Roman" w:hAnsi="Times New Roman"/>
                <w:szCs w:val="21"/>
              </w:rPr>
              <w:t>拟建井站位于农村地区，有富余劳动力，本工程建设可带来一定的就业机会，解决当地部分人员就业，增加当地居民收入，促进本地经济发展。</w:t>
            </w:r>
          </w:p>
        </w:tc>
      </w:tr>
    </w:tbl>
    <w:p w14:paraId="74EB21BF" w14:textId="77777777" w:rsidR="00A54A8A" w:rsidRPr="00E67914" w:rsidRDefault="00000000">
      <w:pPr>
        <w:pStyle w:val="af"/>
        <w:adjustRightInd w:val="0"/>
        <w:snapToGrid w:val="0"/>
        <w:spacing w:beforeLines="50" w:before="12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从上表可看出，虽然项目建设存在一定的社会环境负面影响，在采取相应的环保措施后，负面影响降低或可避免，为社会环境所接受；而项目对调整社会能源结构、促进当地经济发展、改善当地交通状况等社会环境正面影响很明显，从总体来看，项目正面影响远高于负面影响，为社会环境所接受</w:t>
      </w:r>
      <w:r w:rsidRPr="00E67914">
        <w:rPr>
          <w:rFonts w:ascii="Times New Roman" w:hAnsi="Times New Roman"/>
          <w:bCs/>
          <w:kern w:val="2"/>
          <w:lang w:eastAsia="zh-CN"/>
        </w:rPr>
        <w:t>。</w:t>
      </w:r>
    </w:p>
    <w:p w14:paraId="7B7A8C54"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bookmarkStart w:id="252" w:name="7.2.3环境效益"/>
      <w:bookmarkEnd w:id="252"/>
      <w:r w:rsidRPr="00E67914">
        <w:rPr>
          <w:rFonts w:ascii="Times New Roman" w:eastAsia="黑体" w:hAnsi="Times New Roman"/>
          <w:b w:val="0"/>
          <w:sz w:val="24"/>
          <w:szCs w:val="24"/>
          <w:lang w:eastAsia="zh-CN"/>
        </w:rPr>
        <w:lastRenderedPageBreak/>
        <w:t>8.2.3</w:t>
      </w:r>
      <w:r w:rsidRPr="00E67914">
        <w:rPr>
          <w:rFonts w:ascii="Times New Roman" w:eastAsia="黑体" w:hAnsi="Times New Roman"/>
          <w:b w:val="0"/>
          <w:sz w:val="24"/>
          <w:szCs w:val="24"/>
          <w:lang w:eastAsia="zh-CN"/>
        </w:rPr>
        <w:t>环境效益</w:t>
      </w:r>
    </w:p>
    <w:p w14:paraId="27665AB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天然气利用可以减少环境空气污染物的排放量，改善环境空气质量。本项目在减轻大气环境影响方面效益显著，与燃油和燃煤相比具有更高的环境效益。</w:t>
      </w:r>
    </w:p>
    <w:p w14:paraId="1CB3F7FA"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我国的能源结构以煤炭为主，以煤为主的能源结构是造成大气污染的主要原因。根据世界各国污染治理的经验，减轻大气污染措施之一就是用无污染或低污染的优质能源替代煤炭。燃烧天然气排放的</w:t>
      </w:r>
      <w:r w:rsidRPr="00E67914">
        <w:rPr>
          <w:rFonts w:ascii="Times New Roman" w:hAnsi="Times New Roman"/>
          <w:bCs/>
          <w:kern w:val="2"/>
          <w:lang w:eastAsia="zh-CN"/>
        </w:rPr>
        <w:t>CO</w:t>
      </w:r>
      <w:r w:rsidRPr="00E67914">
        <w:rPr>
          <w:rFonts w:ascii="Times New Roman" w:hAnsi="Times New Roman"/>
          <w:bCs/>
          <w:kern w:val="2"/>
          <w:lang w:eastAsia="zh-CN"/>
        </w:rPr>
        <w:t>、</w:t>
      </w:r>
      <w:r w:rsidRPr="00E67914">
        <w:rPr>
          <w:rFonts w:ascii="Times New Roman" w:hAnsi="Times New Roman"/>
          <w:bCs/>
          <w:kern w:val="2"/>
          <w:lang w:eastAsia="zh-CN"/>
        </w:rPr>
        <w:t>NO</w:t>
      </w:r>
      <w:r w:rsidRPr="00E67914">
        <w:rPr>
          <w:rFonts w:ascii="Times New Roman" w:hAnsi="Times New Roman"/>
          <w:bCs/>
          <w:kern w:val="2"/>
          <w:vertAlign w:val="subscript"/>
          <w:lang w:eastAsia="zh-CN"/>
        </w:rPr>
        <w:t>2</w:t>
      </w:r>
      <w:r w:rsidRPr="00E67914">
        <w:rPr>
          <w:rFonts w:ascii="Times New Roman" w:hAnsi="Times New Roman"/>
          <w:bCs/>
          <w:kern w:val="2"/>
          <w:lang w:eastAsia="zh-CN"/>
        </w:rPr>
        <w:t>、</w:t>
      </w:r>
      <w:r w:rsidRPr="00E67914">
        <w:rPr>
          <w:rFonts w:ascii="Times New Roman" w:hAnsi="Times New Roman"/>
          <w:bCs/>
          <w:kern w:val="2"/>
          <w:lang w:eastAsia="zh-CN"/>
        </w:rPr>
        <w:t>SO</w:t>
      </w:r>
      <w:r w:rsidRPr="00E67914">
        <w:rPr>
          <w:rFonts w:ascii="Times New Roman" w:hAnsi="Times New Roman"/>
          <w:bCs/>
          <w:kern w:val="2"/>
          <w:vertAlign w:val="subscript"/>
          <w:lang w:eastAsia="zh-CN"/>
        </w:rPr>
        <w:t>2</w:t>
      </w:r>
      <w:r w:rsidRPr="00E67914">
        <w:rPr>
          <w:rFonts w:ascii="Times New Roman" w:hAnsi="Times New Roman"/>
          <w:bCs/>
          <w:kern w:val="2"/>
          <w:lang w:eastAsia="zh-CN"/>
        </w:rPr>
        <w:t>、灰分大大低于煤和原油的排放量。天然气燃烧可以节省</w:t>
      </w:r>
      <w:r w:rsidRPr="00E67914">
        <w:rPr>
          <w:rFonts w:ascii="Times New Roman" w:hAnsi="Times New Roman"/>
          <w:bCs/>
          <w:kern w:val="2"/>
          <w:lang w:eastAsia="zh-CN"/>
        </w:rPr>
        <w:t>NO</w:t>
      </w:r>
      <w:r w:rsidRPr="00E67914">
        <w:rPr>
          <w:rFonts w:ascii="Times New Roman" w:hAnsi="Times New Roman"/>
          <w:bCs/>
          <w:kern w:val="2"/>
          <w:vertAlign w:val="subscript"/>
          <w:lang w:eastAsia="zh-CN"/>
        </w:rPr>
        <w:t>2</w:t>
      </w:r>
      <w:r w:rsidRPr="00E67914">
        <w:rPr>
          <w:rFonts w:ascii="Times New Roman" w:hAnsi="Times New Roman"/>
          <w:bCs/>
          <w:kern w:val="2"/>
          <w:lang w:eastAsia="zh-CN"/>
        </w:rPr>
        <w:t>、</w:t>
      </w:r>
      <w:r w:rsidRPr="00E67914">
        <w:rPr>
          <w:rFonts w:ascii="Times New Roman" w:hAnsi="Times New Roman"/>
          <w:bCs/>
          <w:kern w:val="2"/>
          <w:lang w:eastAsia="zh-CN"/>
        </w:rPr>
        <w:t>SO</w:t>
      </w:r>
      <w:r w:rsidRPr="00E67914">
        <w:rPr>
          <w:rFonts w:ascii="Times New Roman" w:hAnsi="Times New Roman"/>
          <w:bCs/>
          <w:kern w:val="2"/>
          <w:vertAlign w:val="subscript"/>
          <w:lang w:eastAsia="zh-CN"/>
        </w:rPr>
        <w:t>2</w:t>
      </w:r>
      <w:r w:rsidRPr="00E67914">
        <w:rPr>
          <w:rFonts w:ascii="Times New Roman" w:hAnsi="Times New Roman"/>
          <w:bCs/>
          <w:kern w:val="2"/>
          <w:lang w:eastAsia="zh-CN"/>
        </w:rPr>
        <w:t>、烟尘、固体废物等处理费用，减少燃煤灰渣引起的土地占用。因此本项目的建设将很大程度上减少了燃煤等对环境的污染影响，带来较好的环境效益。</w:t>
      </w:r>
    </w:p>
    <w:p w14:paraId="3F3CFA34" w14:textId="77777777" w:rsidR="00A54A8A" w:rsidRPr="00E67914" w:rsidRDefault="00000000">
      <w:pPr>
        <w:pStyle w:val="2"/>
        <w:ind w:firstLine="480"/>
        <w:jc w:val="both"/>
        <w:rPr>
          <w:szCs w:val="24"/>
          <w:lang w:eastAsia="zh-CN"/>
        </w:rPr>
      </w:pPr>
      <w:bookmarkStart w:id="253" w:name="7.3环境经济损益分析结论"/>
      <w:bookmarkStart w:id="254" w:name="_bookmark37"/>
      <w:bookmarkStart w:id="255" w:name="_Toc148654247"/>
      <w:bookmarkEnd w:id="253"/>
      <w:bookmarkEnd w:id="254"/>
      <w:r w:rsidRPr="00E67914">
        <w:rPr>
          <w:szCs w:val="24"/>
          <w:lang w:eastAsia="zh-CN"/>
        </w:rPr>
        <w:t>8.3</w:t>
      </w:r>
      <w:r w:rsidRPr="00E67914">
        <w:rPr>
          <w:szCs w:val="24"/>
          <w:lang w:eastAsia="zh-CN"/>
        </w:rPr>
        <w:t>环境经济损益分析结论</w:t>
      </w:r>
      <w:bookmarkEnd w:id="255"/>
    </w:p>
    <w:p w14:paraId="2157623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14:paraId="305F190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14:paraId="4B507EA8" w14:textId="77777777" w:rsidR="00A54A8A" w:rsidRPr="00E67914" w:rsidRDefault="00A54A8A">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A54A8A" w:rsidRPr="00E67914">
          <w:pgSz w:w="11910" w:h="16840"/>
          <w:pgMar w:top="1440" w:right="1800" w:bottom="1440" w:left="1800" w:header="1213" w:footer="635" w:gutter="0"/>
          <w:cols w:space="720"/>
        </w:sectPr>
      </w:pPr>
    </w:p>
    <w:p w14:paraId="6A17CDB1"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256" w:name="_Toc148654248"/>
      <w:r w:rsidRPr="00E67914">
        <w:rPr>
          <w:rFonts w:ascii="Times New Roman" w:eastAsia="黑体" w:hAnsi="Times New Roman"/>
          <w:b w:val="0"/>
          <w:sz w:val="28"/>
          <w:szCs w:val="28"/>
          <w:lang w:eastAsia="zh-CN"/>
        </w:rPr>
        <w:lastRenderedPageBreak/>
        <w:t>9</w:t>
      </w:r>
      <w:r w:rsidRPr="00E67914">
        <w:rPr>
          <w:rFonts w:ascii="Times New Roman" w:eastAsia="黑体" w:hAnsi="Times New Roman"/>
          <w:b w:val="0"/>
          <w:sz w:val="28"/>
          <w:szCs w:val="28"/>
          <w:lang w:eastAsia="zh-CN"/>
        </w:rPr>
        <w:t>清洁生产与总量控制</w:t>
      </w:r>
      <w:bookmarkEnd w:id="256"/>
    </w:p>
    <w:p w14:paraId="2E3AF743" w14:textId="77777777" w:rsidR="00A54A8A" w:rsidRPr="00E67914" w:rsidRDefault="00000000">
      <w:pPr>
        <w:pStyle w:val="2"/>
        <w:ind w:firstLine="480"/>
        <w:jc w:val="both"/>
        <w:rPr>
          <w:szCs w:val="24"/>
          <w:lang w:eastAsia="zh-CN"/>
        </w:rPr>
      </w:pPr>
      <w:bookmarkStart w:id="257" w:name="_Toc148654249"/>
      <w:r w:rsidRPr="00E67914">
        <w:rPr>
          <w:szCs w:val="24"/>
          <w:lang w:eastAsia="zh-CN"/>
        </w:rPr>
        <w:t>9.1</w:t>
      </w:r>
      <w:r w:rsidRPr="00E67914">
        <w:rPr>
          <w:szCs w:val="24"/>
          <w:lang w:eastAsia="zh-CN"/>
        </w:rPr>
        <w:t>清洁生产分析</w:t>
      </w:r>
      <w:bookmarkEnd w:id="257"/>
    </w:p>
    <w:p w14:paraId="272C97C3"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目前，天然气开采业建设项目未被纳入环境保护部颁布的重点行业清洁生产标准目录中，根据对清洁生产评价评标体系查询，未发现针对天然气开采的清洁生产评价体系，故本评价从天然气开采建设的各个环节出发，对本项目的产品、原材料、工艺技术的清洁性以及三废治理工艺的先进性进行分析比较，并提出清洁生产措施和建议等。</w:t>
      </w:r>
    </w:p>
    <w:p w14:paraId="74C6E62F" w14:textId="77777777" w:rsidR="00A54A8A" w:rsidRPr="00E67914" w:rsidRDefault="00000000">
      <w:pPr>
        <w:pStyle w:val="3"/>
        <w:adjustRightInd w:val="0"/>
        <w:snapToGrid w:val="0"/>
        <w:spacing w:before="0" w:after="0" w:line="360" w:lineRule="auto"/>
        <w:ind w:firstLineChars="200" w:firstLine="480"/>
        <w:jc w:val="both"/>
        <w:rPr>
          <w:rFonts w:ascii="Times New Roman" w:hAnsi="Times New Roman"/>
          <w:kern w:val="2"/>
          <w:lang w:eastAsia="zh-CN"/>
        </w:rPr>
      </w:pPr>
      <w:r w:rsidRPr="00E67914">
        <w:rPr>
          <w:rFonts w:ascii="Times New Roman" w:eastAsia="黑体" w:hAnsi="Times New Roman"/>
          <w:b w:val="0"/>
          <w:sz w:val="24"/>
          <w:szCs w:val="24"/>
          <w:lang w:eastAsia="zh-CN"/>
        </w:rPr>
        <w:t>9.1.1</w:t>
      </w:r>
      <w:r w:rsidRPr="00E67914">
        <w:rPr>
          <w:rFonts w:ascii="Times New Roman" w:eastAsia="黑体" w:hAnsi="Times New Roman"/>
          <w:b w:val="0"/>
          <w:sz w:val="24"/>
          <w:szCs w:val="24"/>
          <w:lang w:eastAsia="zh-CN"/>
        </w:rPr>
        <w:t>工艺技术选择合理性分析</w:t>
      </w:r>
    </w:p>
    <w:p w14:paraId="0D798AD2" w14:textId="77777777" w:rsidR="00A54A8A" w:rsidRPr="00E67914" w:rsidRDefault="00000000">
      <w:pPr>
        <w:pStyle w:val="af"/>
        <w:adjustRightInd w:val="0"/>
        <w:snapToGrid w:val="0"/>
        <w:spacing w:line="360" w:lineRule="auto"/>
        <w:ind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以网电为动力，只有在停电等紧急情况下才启用柴油发电机供电，可减少柴油机废气排放。柴油发电机主要能源为柴油，项目设置多台柴油机进行组合，使柴油机运行功率最接近钻井所需要的动力功率，让柴油机运行时可处于高效运行状态，以减少柴油的使用量和减少废气排放。柴油机效率达到国内清洁生产先进水平。</w:t>
      </w:r>
    </w:p>
    <w:p w14:paraId="0ACF439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钻井液采用较清洁的水基钻井液为主，不含重金属，并且可根据不同地层性质和地下压力进行组份调整，能较好地满足钻井需要。符合清洁生产的要求。</w:t>
      </w:r>
    </w:p>
    <w:p w14:paraId="4C603B76" w14:textId="6AEF23F2"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另外利用原</w:t>
      </w:r>
      <w:r w:rsidR="00902A04" w:rsidRPr="00E67914">
        <w:rPr>
          <w:rFonts w:ascii="Times New Roman" w:hAnsi="Times New Roman"/>
          <w:bCs/>
          <w:kern w:val="2"/>
          <w:lang w:eastAsia="zh-CN"/>
        </w:rPr>
        <w:t>普陆页</w:t>
      </w:r>
      <w:r w:rsidR="00902A04" w:rsidRPr="00E67914">
        <w:rPr>
          <w:rFonts w:ascii="Times New Roman" w:hAnsi="Times New Roman"/>
          <w:bCs/>
          <w:kern w:val="2"/>
          <w:lang w:eastAsia="zh-CN"/>
        </w:rPr>
        <w:t>2</w:t>
      </w:r>
      <w:r w:rsidR="00CC09E7" w:rsidRPr="00E67914">
        <w:rPr>
          <w:rFonts w:ascii="Times New Roman" w:hAnsi="Times New Roman"/>
          <w:bCs/>
          <w:kern w:val="2"/>
          <w:lang w:eastAsia="zh-CN"/>
        </w:rPr>
        <w:t>井场建设普陆页</w:t>
      </w:r>
      <w:r w:rsidR="00CC09E7" w:rsidRPr="00E67914">
        <w:rPr>
          <w:rFonts w:ascii="Times New Roman" w:hAnsi="Times New Roman"/>
          <w:bCs/>
          <w:kern w:val="2"/>
          <w:lang w:eastAsia="zh-CN"/>
        </w:rPr>
        <w:t>2</w:t>
      </w:r>
      <w:r w:rsidR="00CC09E7" w:rsidRPr="00E67914">
        <w:rPr>
          <w:rFonts w:ascii="Times New Roman" w:hAnsi="Times New Roman"/>
          <w:bCs/>
          <w:kern w:val="2"/>
          <w:lang w:eastAsia="zh-CN"/>
        </w:rPr>
        <w:t>试采站，钻井施工期生活区临时设置于原普陆页</w:t>
      </w:r>
      <w:r w:rsidR="00CC09E7" w:rsidRPr="00E67914">
        <w:rPr>
          <w:rFonts w:ascii="Times New Roman" w:hAnsi="Times New Roman"/>
          <w:bCs/>
          <w:kern w:val="2"/>
          <w:lang w:eastAsia="zh-CN"/>
        </w:rPr>
        <w:t>2</w:t>
      </w:r>
      <w:r w:rsidR="00CC09E7" w:rsidRPr="00E67914">
        <w:rPr>
          <w:rFonts w:ascii="Times New Roman" w:hAnsi="Times New Roman"/>
          <w:bCs/>
          <w:kern w:val="2"/>
          <w:lang w:eastAsia="zh-CN"/>
        </w:rPr>
        <w:t>井场内</w:t>
      </w:r>
      <w:r w:rsidRPr="00E67914">
        <w:rPr>
          <w:rFonts w:ascii="Times New Roman" w:hAnsi="Times New Roman"/>
          <w:bCs/>
          <w:kern w:val="2"/>
          <w:lang w:eastAsia="zh-CN"/>
        </w:rPr>
        <w:t>，可有效减少井场等建设用地，有利于减小对生态环境的扰动。符合清洁生产的要求。</w:t>
      </w:r>
    </w:p>
    <w:p w14:paraId="22D60EA3" w14:textId="77777777" w:rsidR="00A54A8A" w:rsidRPr="00E67914" w:rsidRDefault="00000000">
      <w:pPr>
        <w:pStyle w:val="3"/>
        <w:adjustRightInd w:val="0"/>
        <w:snapToGrid w:val="0"/>
        <w:spacing w:before="0" w:after="0" w:line="360" w:lineRule="auto"/>
        <w:ind w:firstLineChars="200" w:firstLine="480"/>
        <w:jc w:val="both"/>
        <w:rPr>
          <w:rFonts w:ascii="Times New Roman" w:hAnsi="Times New Roman"/>
          <w:kern w:val="2"/>
          <w:lang w:eastAsia="zh-CN"/>
        </w:rPr>
      </w:pPr>
      <w:r w:rsidRPr="00E67914">
        <w:rPr>
          <w:rFonts w:ascii="Times New Roman" w:eastAsia="黑体" w:hAnsi="Times New Roman"/>
          <w:b w:val="0"/>
          <w:sz w:val="24"/>
          <w:szCs w:val="24"/>
          <w:lang w:eastAsia="zh-CN"/>
        </w:rPr>
        <w:t>9.1.2</w:t>
      </w:r>
      <w:r w:rsidRPr="00E67914">
        <w:rPr>
          <w:rFonts w:ascii="Times New Roman" w:eastAsia="黑体" w:hAnsi="Times New Roman"/>
          <w:b w:val="0"/>
          <w:sz w:val="24"/>
          <w:szCs w:val="24"/>
          <w:lang w:eastAsia="zh-CN"/>
        </w:rPr>
        <w:t>产品的清洁性分析</w:t>
      </w:r>
    </w:p>
    <w:p w14:paraId="08FC44DB" w14:textId="6B6F023B"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项目产品为天然气</w:t>
      </w:r>
      <w:r w:rsidR="00CC09E7" w:rsidRPr="00E67914">
        <w:rPr>
          <w:rFonts w:ascii="Times New Roman" w:hAnsi="Times New Roman"/>
          <w:bCs/>
          <w:kern w:val="2"/>
          <w:lang w:eastAsia="zh-CN"/>
        </w:rPr>
        <w:t>、凝析油</w:t>
      </w:r>
      <w:r w:rsidRPr="00E67914">
        <w:rPr>
          <w:rFonts w:ascii="Times New Roman" w:hAnsi="Times New Roman"/>
          <w:bCs/>
          <w:kern w:val="2"/>
          <w:lang w:eastAsia="zh-CN"/>
        </w:rPr>
        <w:t>，属清洁、优质、具有竞争力的能源和化工原料。天然气单位热量所产生的温室气体</w:t>
      </w:r>
      <w:r w:rsidRPr="00E67914">
        <w:rPr>
          <w:rFonts w:ascii="Times New Roman" w:hAnsi="Times New Roman"/>
          <w:bCs/>
          <w:kern w:val="2"/>
          <w:lang w:eastAsia="zh-CN"/>
        </w:rPr>
        <w:t>CO</w:t>
      </w:r>
      <w:r w:rsidRPr="00E67914">
        <w:rPr>
          <w:rFonts w:ascii="Times New Roman" w:hAnsi="Times New Roman"/>
          <w:bCs/>
          <w:kern w:val="2"/>
          <w:vertAlign w:val="subscript"/>
          <w:lang w:eastAsia="zh-CN"/>
        </w:rPr>
        <w:t>2</w:t>
      </w:r>
      <w:r w:rsidRPr="00E67914">
        <w:rPr>
          <w:rFonts w:ascii="Times New Roman" w:hAnsi="Times New Roman"/>
          <w:bCs/>
          <w:kern w:val="2"/>
          <w:lang w:eastAsia="zh-CN"/>
        </w:rPr>
        <w:t>只是煤炭的一半左右，比石油少三分之一，天然气与电力比较，在燃料费用上的节省是显著的，但投资费用较大；与焦炭、原煤比较，虽无价格优势，但环保性和产品质量优势明显；与汽油、液化气相比，其价格和环境性能也有明显优势，天然气替代工业用油和液化石油气，有直接的经济效益，容易被用户接受，同时技改的投资少，属清洁产品。</w:t>
      </w:r>
    </w:p>
    <w:p w14:paraId="50EA3D88"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9.1.3</w:t>
      </w:r>
      <w:r w:rsidRPr="00E67914">
        <w:rPr>
          <w:rFonts w:ascii="Times New Roman" w:eastAsia="黑体" w:hAnsi="Times New Roman"/>
          <w:b w:val="0"/>
          <w:sz w:val="24"/>
          <w:szCs w:val="24"/>
          <w:lang w:eastAsia="zh-CN"/>
        </w:rPr>
        <w:t>清洁生产措施</w:t>
      </w:r>
    </w:p>
    <w:p w14:paraId="4547582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1</w:t>
      </w:r>
      <w:r w:rsidRPr="00E67914">
        <w:rPr>
          <w:rFonts w:ascii="Times New Roman" w:hAnsi="Times New Roman"/>
          <w:bCs/>
          <w:kern w:val="2"/>
          <w:lang w:eastAsia="zh-CN"/>
        </w:rPr>
        <w:t>）废水处理措施</w:t>
      </w:r>
    </w:p>
    <w:p w14:paraId="5D0ECB6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lastRenderedPageBreak/>
        <w:t>本项目钻井废水和压裂返排液通过在井场内或井场间回用实现最大程度回用，做到正常工况下无压裂液外排，若不能回用的压裂液全部</w:t>
      </w:r>
      <w:r w:rsidRPr="00E67914">
        <w:rPr>
          <w:rFonts w:ascii="Times New Roman" w:hAnsi="Times New Roman"/>
          <w:lang w:eastAsia="zh-CN"/>
        </w:rPr>
        <w:t>密闭罐车拉运至赵家坝污水处理站达标后管输至普光</w:t>
      </w:r>
      <w:r w:rsidRPr="00E67914">
        <w:rPr>
          <w:rFonts w:ascii="Times New Roman" w:hAnsi="Times New Roman"/>
          <w:lang w:eastAsia="zh-CN"/>
        </w:rPr>
        <w:t>11</w:t>
      </w:r>
      <w:r w:rsidRPr="00E67914">
        <w:rPr>
          <w:rFonts w:ascii="Times New Roman" w:hAnsi="Times New Roman"/>
          <w:lang w:eastAsia="zh-CN"/>
        </w:rPr>
        <w:t>井回注站回注，不外排</w:t>
      </w:r>
      <w:r w:rsidRPr="00E67914">
        <w:rPr>
          <w:rFonts w:ascii="Times New Roman" w:hAnsi="Times New Roman"/>
          <w:bCs/>
          <w:kern w:val="2"/>
          <w:lang w:eastAsia="zh-CN"/>
        </w:rPr>
        <w:t>，对地表水和浅层地下水无影响。</w:t>
      </w:r>
    </w:p>
    <w:p w14:paraId="1B9D2CF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2</w:t>
      </w:r>
      <w:r w:rsidRPr="00E67914">
        <w:rPr>
          <w:rFonts w:ascii="Times New Roman" w:hAnsi="Times New Roman"/>
          <w:bCs/>
          <w:kern w:val="2"/>
          <w:lang w:eastAsia="zh-CN"/>
        </w:rPr>
        <w:t>）施工期生产生活污水</w:t>
      </w:r>
    </w:p>
    <w:p w14:paraId="77D1F82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井场钻井建设施工阶段生活污水</w:t>
      </w:r>
      <w:r w:rsidRPr="00E67914">
        <w:rPr>
          <w:rFonts w:ascii="Times New Roman" w:hAnsi="Times New Roman"/>
          <w:lang w:eastAsia="zh-CN"/>
        </w:rPr>
        <w:t>经生态厕所收集后定期由密闭罐车拉运至周边生活污水处理厂处理</w:t>
      </w:r>
      <w:r w:rsidRPr="00E67914">
        <w:rPr>
          <w:rFonts w:ascii="Times New Roman" w:hAnsi="Times New Roman"/>
          <w:bCs/>
          <w:kern w:val="2"/>
          <w:lang w:eastAsia="zh-CN"/>
        </w:rPr>
        <w:t>。</w:t>
      </w:r>
    </w:p>
    <w:p w14:paraId="4D2B0CB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3</w:t>
      </w:r>
      <w:r w:rsidRPr="00E67914">
        <w:rPr>
          <w:rFonts w:ascii="Times New Roman" w:hAnsi="Times New Roman"/>
          <w:bCs/>
          <w:kern w:val="2"/>
          <w:lang w:eastAsia="zh-CN"/>
        </w:rPr>
        <w:t>）废气处置措施</w:t>
      </w:r>
    </w:p>
    <w:p w14:paraId="0793F38C" w14:textId="309E5C29"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本项目正常工况下均采取带压采输气，无废气外排，</w:t>
      </w:r>
      <w:bookmarkStart w:id="258" w:name="_Hlk91002276"/>
      <w:r w:rsidR="007B08D3" w:rsidRPr="00E67914">
        <w:rPr>
          <w:rFonts w:ascii="Times New Roman" w:hAnsi="Times New Roman"/>
          <w:bCs/>
          <w:kern w:val="2"/>
          <w:lang w:eastAsia="zh-CN"/>
        </w:rPr>
        <w:t>试采期</w:t>
      </w:r>
      <w:r w:rsidR="001729B7" w:rsidRPr="00E67914">
        <w:rPr>
          <w:rFonts w:ascii="Times New Roman" w:hAnsi="Times New Roman"/>
          <w:bCs/>
          <w:kern w:val="2"/>
          <w:lang w:eastAsia="zh-CN"/>
        </w:rPr>
        <w:t>井口高压放空至</w:t>
      </w:r>
      <w:r w:rsidR="001729B7" w:rsidRPr="00E67914">
        <w:rPr>
          <w:rFonts w:ascii="Times New Roman" w:hAnsi="Times New Roman"/>
          <w:bCs/>
          <w:kern w:val="2"/>
          <w:lang w:eastAsia="zh-CN"/>
        </w:rPr>
        <w:t>25m</w:t>
      </w:r>
      <w:r w:rsidR="001729B7" w:rsidRPr="00E67914">
        <w:rPr>
          <w:rFonts w:ascii="Times New Roman" w:hAnsi="Times New Roman"/>
          <w:bCs/>
          <w:kern w:val="2"/>
          <w:lang w:eastAsia="zh-CN"/>
        </w:rPr>
        <w:t>高</w:t>
      </w:r>
      <w:r w:rsidR="00FC2143" w:rsidRPr="00E67914">
        <w:rPr>
          <w:rFonts w:ascii="Times New Roman" w:hAnsi="Times New Roman"/>
          <w:bCs/>
          <w:kern w:val="2"/>
          <w:lang w:eastAsia="zh-CN"/>
        </w:rPr>
        <w:t>火炬燃烧排放</w:t>
      </w:r>
      <w:r w:rsidR="001729B7" w:rsidRPr="00E67914">
        <w:rPr>
          <w:rFonts w:ascii="Times New Roman" w:hAnsi="Times New Roman"/>
          <w:bCs/>
          <w:kern w:val="2"/>
          <w:lang w:eastAsia="zh-CN"/>
        </w:rPr>
        <w:t>，</w:t>
      </w:r>
      <w:r w:rsidR="00EE5D65" w:rsidRPr="00E67914">
        <w:rPr>
          <w:rFonts w:ascii="Times New Roman" w:hAnsi="Times New Roman"/>
          <w:bCs/>
          <w:kern w:val="2"/>
          <w:lang w:eastAsia="zh-CN"/>
        </w:rPr>
        <w:t>工艺设备（含油罐）及站内外输管线气体通过</w:t>
      </w:r>
      <w:r w:rsidR="00EE5D65" w:rsidRPr="00E67914">
        <w:rPr>
          <w:rFonts w:ascii="Times New Roman" w:hAnsi="Times New Roman"/>
          <w:bCs/>
          <w:kern w:val="2"/>
          <w:lang w:eastAsia="zh-CN"/>
        </w:rPr>
        <w:t>6m</w:t>
      </w:r>
      <w:r w:rsidR="00EE5D65" w:rsidRPr="00E67914">
        <w:rPr>
          <w:rFonts w:ascii="Times New Roman" w:hAnsi="Times New Roman"/>
          <w:bCs/>
          <w:kern w:val="2"/>
          <w:lang w:eastAsia="zh-CN"/>
        </w:rPr>
        <w:t>放空立管放空</w:t>
      </w:r>
      <w:r w:rsidRPr="00E67914">
        <w:rPr>
          <w:rFonts w:ascii="Times New Roman" w:hAnsi="Times New Roman"/>
          <w:bCs/>
          <w:kern w:val="2"/>
          <w:lang w:eastAsia="zh-CN"/>
        </w:rPr>
        <w:t>。</w:t>
      </w:r>
      <w:bookmarkEnd w:id="258"/>
    </w:p>
    <w:p w14:paraId="51F2E94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4</w:t>
      </w:r>
      <w:r w:rsidRPr="00E67914">
        <w:rPr>
          <w:rFonts w:ascii="Times New Roman" w:hAnsi="Times New Roman"/>
          <w:bCs/>
          <w:kern w:val="2"/>
          <w:lang w:eastAsia="zh-CN"/>
        </w:rPr>
        <w:t>）固体废物处理措施</w:t>
      </w:r>
    </w:p>
    <w:p w14:paraId="6EEBEABC" w14:textId="71B7475E"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w:t>
      </w:r>
      <w:r w:rsidR="007E73B6" w:rsidRPr="00E67914">
        <w:rPr>
          <w:rFonts w:ascii="Times New Roman" w:hAnsi="Times New Roman"/>
          <w:lang w:eastAsia="zh-CN"/>
        </w:rPr>
        <w:t>一开膨润土浆或聚合物钻井液，二开采用氯化钾聚合物润滑防塌钻井液</w:t>
      </w:r>
      <w:r w:rsidRPr="00E67914">
        <w:rPr>
          <w:rFonts w:ascii="Times New Roman" w:hAnsi="Times New Roman"/>
          <w:bCs/>
          <w:kern w:val="2"/>
          <w:lang w:eastAsia="zh-CN"/>
        </w:rPr>
        <w:t>，并采用钻井液闭环管理系统，对钻井泥浆进行循环使用，完井后产生的废泥浆和岩屑</w:t>
      </w:r>
      <w:r w:rsidRPr="00E67914">
        <w:rPr>
          <w:rFonts w:ascii="Times New Roman" w:hAnsi="Times New Roman"/>
          <w:lang w:eastAsia="zh-CN"/>
        </w:rPr>
        <w:t>定期用密闭罐车及时转运至达州地区环保手续齐全、环保设施稳定运行固废烧结厂进行烧结后综合利用</w:t>
      </w:r>
      <w:r w:rsidR="007E73B6" w:rsidRPr="00E67914">
        <w:rPr>
          <w:rFonts w:ascii="Times New Roman" w:hAnsi="Times New Roman"/>
          <w:lang w:eastAsia="zh-CN"/>
        </w:rPr>
        <w:t>；油基钻井固废交由资质单位处置</w:t>
      </w:r>
      <w:r w:rsidRPr="00E67914">
        <w:rPr>
          <w:rFonts w:ascii="Times New Roman" w:hAnsi="Times New Roman"/>
          <w:bCs/>
          <w:kern w:val="2"/>
          <w:lang w:eastAsia="zh-CN"/>
        </w:rPr>
        <w:t>；整个过程产生的少量废油优先综合利用后交给具有相应资质的单位处理，无固废外排。</w:t>
      </w:r>
    </w:p>
    <w:p w14:paraId="6B991300" w14:textId="77777777" w:rsidR="00A54A8A" w:rsidRPr="00E67914" w:rsidRDefault="00000000">
      <w:pPr>
        <w:pStyle w:val="3"/>
        <w:adjustRightInd w:val="0"/>
        <w:snapToGrid w:val="0"/>
        <w:spacing w:before="0" w:after="0" w:line="360" w:lineRule="auto"/>
        <w:ind w:firstLineChars="200" w:firstLine="480"/>
        <w:jc w:val="both"/>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9.1.4</w:t>
      </w:r>
      <w:r w:rsidRPr="00E67914">
        <w:rPr>
          <w:rFonts w:ascii="Times New Roman" w:eastAsia="黑体" w:hAnsi="Times New Roman"/>
          <w:b w:val="0"/>
          <w:sz w:val="24"/>
          <w:szCs w:val="24"/>
          <w:lang w:eastAsia="zh-CN"/>
        </w:rPr>
        <w:t>清洁生产结论</w:t>
      </w:r>
    </w:p>
    <w:p w14:paraId="6A7AC5A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贯彻了清洁生产原则，符合清洁生产的要求及国家目前有关节能减排要求。为保持良好的清洁生产水平，鉴于钻井工程属高风险行业，本评价建议主要是加强管理，减少生产中的跑、冒、滴、漏现象，同时按照钻井行业规范做好井控和防喷措施，做好现场的应急措施。加强人员培训，提高职工清洁生产意识，尽可能的避免环境风险事故的发生，将本项目清洁生产维持在国内先进水平。</w:t>
      </w:r>
    </w:p>
    <w:p w14:paraId="02FCC194" w14:textId="77777777" w:rsidR="00A54A8A" w:rsidRPr="00E67914" w:rsidRDefault="00000000">
      <w:pPr>
        <w:pStyle w:val="2"/>
        <w:ind w:firstLine="480"/>
        <w:jc w:val="both"/>
        <w:rPr>
          <w:szCs w:val="24"/>
          <w:lang w:eastAsia="zh-CN"/>
        </w:rPr>
      </w:pPr>
      <w:bookmarkStart w:id="259" w:name="_Toc148654250"/>
      <w:r w:rsidRPr="00E67914">
        <w:rPr>
          <w:szCs w:val="24"/>
          <w:lang w:eastAsia="zh-CN"/>
        </w:rPr>
        <w:t>9.2</w:t>
      </w:r>
      <w:r w:rsidRPr="00E67914">
        <w:rPr>
          <w:szCs w:val="24"/>
          <w:lang w:eastAsia="zh-CN"/>
        </w:rPr>
        <w:t>总量控制</w:t>
      </w:r>
      <w:bookmarkEnd w:id="259"/>
    </w:p>
    <w:p w14:paraId="359B098E"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本项目为天然气开发勘探项目，根据《关于做好固定污染源排污许可清理整顿和</w:t>
      </w:r>
      <w:r w:rsidRPr="00E67914">
        <w:rPr>
          <w:rFonts w:ascii="Times New Roman" w:hAnsi="Times New Roman"/>
          <w:bCs/>
          <w:kern w:val="2"/>
          <w:sz w:val="24"/>
          <w:szCs w:val="24"/>
          <w:lang w:eastAsia="zh-CN"/>
        </w:rPr>
        <w:t>2020</w:t>
      </w:r>
      <w:r w:rsidRPr="00E67914">
        <w:rPr>
          <w:rFonts w:ascii="Times New Roman" w:hAnsi="Times New Roman"/>
          <w:bCs/>
          <w:kern w:val="2"/>
          <w:sz w:val="24"/>
          <w:szCs w:val="24"/>
          <w:lang w:eastAsia="zh-CN"/>
        </w:rPr>
        <w:t>年排污许可发证登记工作的通知》（环办环评函〔</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w:t>
      </w:r>
      <w:r w:rsidRPr="00E67914">
        <w:rPr>
          <w:rFonts w:ascii="Times New Roman" w:hAnsi="Times New Roman"/>
          <w:bCs/>
          <w:kern w:val="2"/>
          <w:sz w:val="24"/>
          <w:szCs w:val="24"/>
          <w:lang w:eastAsia="zh-CN"/>
        </w:rPr>
        <w:t>939</w:t>
      </w:r>
      <w:r w:rsidRPr="00E67914">
        <w:rPr>
          <w:rFonts w:ascii="Times New Roman" w:hAnsi="Times New Roman"/>
          <w:bCs/>
          <w:kern w:val="2"/>
          <w:sz w:val="24"/>
          <w:szCs w:val="24"/>
          <w:lang w:eastAsia="zh-CN"/>
        </w:rPr>
        <w:t>号）和《固定污染源排污许可分类管理名录》（</w:t>
      </w:r>
      <w:r w:rsidRPr="00E67914">
        <w:rPr>
          <w:rFonts w:ascii="Times New Roman" w:hAnsi="Times New Roman"/>
          <w:bCs/>
          <w:kern w:val="2"/>
          <w:sz w:val="24"/>
          <w:szCs w:val="24"/>
          <w:lang w:eastAsia="zh-CN"/>
        </w:rPr>
        <w:t>2019</w:t>
      </w:r>
      <w:r w:rsidRPr="00E67914">
        <w:rPr>
          <w:rFonts w:ascii="Times New Roman" w:hAnsi="Times New Roman"/>
          <w:bCs/>
          <w:kern w:val="2"/>
          <w:sz w:val="24"/>
          <w:szCs w:val="24"/>
          <w:lang w:eastAsia="zh-CN"/>
        </w:rPr>
        <w:t>年版），本项目实行登记管理。中国石油化工股份有限公司中原油田普光分公司在达州地区各个试采站场均无</w:t>
      </w:r>
      <w:r w:rsidRPr="00E67914">
        <w:rPr>
          <w:rFonts w:ascii="Times New Roman" w:hAnsi="Times New Roman"/>
          <w:bCs/>
          <w:kern w:val="2"/>
          <w:sz w:val="24"/>
          <w:szCs w:val="24"/>
          <w:lang w:eastAsia="zh-CN"/>
        </w:rPr>
        <w:lastRenderedPageBreak/>
        <w:t>总量控制指标要求，水套加热炉、放散系统按要求缴纳环保税，因此本评价建议本项目不核定大气总量指标。</w:t>
      </w:r>
    </w:p>
    <w:p w14:paraId="17CA6EAC" w14:textId="36442071" w:rsidR="00A54A8A" w:rsidRPr="00E67914" w:rsidRDefault="00000000">
      <w:pPr>
        <w:adjustRightInd w:val="0"/>
        <w:snapToGrid w:val="0"/>
        <w:spacing w:line="360" w:lineRule="auto"/>
        <w:ind w:firstLineChars="200" w:firstLine="480"/>
        <w:jc w:val="both"/>
        <w:rPr>
          <w:rFonts w:ascii="Times New Roman" w:hAnsi="Times New Roman"/>
          <w:bCs/>
          <w:kern w:val="2"/>
          <w:lang w:eastAsia="zh-CN"/>
        </w:rPr>
      </w:pPr>
      <w:bookmarkStart w:id="260" w:name="第八章_环境管理与环境监测"/>
      <w:bookmarkStart w:id="261" w:name="_bookmark38"/>
      <w:bookmarkEnd w:id="260"/>
      <w:bookmarkEnd w:id="261"/>
      <w:r w:rsidRPr="00E67914">
        <w:rPr>
          <w:rFonts w:ascii="Times New Roman" w:hAnsi="Times New Roman"/>
          <w:bCs/>
          <w:kern w:val="2"/>
          <w:sz w:val="24"/>
          <w:szCs w:val="24"/>
          <w:lang w:eastAsia="zh-CN"/>
        </w:rPr>
        <w:t>项目钻井废水、洗井废水和压裂返排液通过</w:t>
      </w:r>
      <w:r w:rsidRPr="00E67914">
        <w:rPr>
          <w:rFonts w:ascii="Times New Roman" w:hAnsi="Times New Roman"/>
          <w:sz w:val="24"/>
          <w:szCs w:val="24"/>
          <w:lang w:eastAsia="zh-CN"/>
        </w:rPr>
        <w:t>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w:t>
      </w:r>
      <w:r w:rsidRPr="00E67914">
        <w:rPr>
          <w:rFonts w:ascii="Times New Roman" w:hAnsi="Times New Roman"/>
          <w:bCs/>
          <w:kern w:val="2"/>
          <w:sz w:val="24"/>
          <w:szCs w:val="24"/>
          <w:lang w:eastAsia="zh-CN"/>
        </w:rPr>
        <w:t>，</w:t>
      </w:r>
      <w:r w:rsidR="002346F6" w:rsidRPr="00E67914">
        <w:rPr>
          <w:rFonts w:ascii="Times New Roman" w:hAnsi="Times New Roman"/>
          <w:bCs/>
          <w:kern w:val="2"/>
          <w:sz w:val="24"/>
          <w:szCs w:val="24"/>
          <w:lang w:eastAsia="zh-CN"/>
        </w:rPr>
        <w:t>气田水</w:t>
      </w:r>
      <w:r w:rsidRPr="00E67914">
        <w:rPr>
          <w:rFonts w:ascii="Times New Roman" w:hAnsi="Times New Roman"/>
          <w:sz w:val="24"/>
          <w:szCs w:val="24"/>
          <w:lang w:eastAsia="zh-CN"/>
        </w:rPr>
        <w:t>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w:t>
      </w:r>
      <w:r w:rsidRPr="00E67914">
        <w:rPr>
          <w:rFonts w:ascii="Times New Roman" w:hAnsi="Times New Roman"/>
          <w:bCs/>
          <w:kern w:val="2"/>
          <w:sz w:val="24"/>
          <w:szCs w:val="24"/>
          <w:lang w:eastAsia="zh-CN"/>
        </w:rPr>
        <w:t>。本项目处理后回注的废水不计算总量，处理后外排的废水的总量纳入依托的废水处理设施总量指标。</w:t>
      </w:r>
    </w:p>
    <w:p w14:paraId="4C047E0C" w14:textId="77777777" w:rsidR="00A54A8A" w:rsidRPr="00E67914" w:rsidRDefault="00A54A8A">
      <w:pPr>
        <w:adjustRightInd w:val="0"/>
        <w:snapToGrid w:val="0"/>
        <w:spacing w:line="360" w:lineRule="auto"/>
        <w:ind w:firstLineChars="200" w:firstLine="480"/>
        <w:jc w:val="both"/>
        <w:rPr>
          <w:rFonts w:ascii="Times New Roman" w:eastAsiaTheme="minorEastAsia" w:hAnsi="Times New Roman"/>
          <w:sz w:val="24"/>
          <w:szCs w:val="24"/>
          <w:lang w:eastAsia="zh-CN"/>
        </w:rPr>
        <w:sectPr w:rsidR="00A54A8A" w:rsidRPr="00E67914">
          <w:pgSz w:w="11910" w:h="16840"/>
          <w:pgMar w:top="1440" w:right="1800" w:bottom="1440" w:left="1800" w:header="1213" w:footer="635" w:gutter="0"/>
          <w:cols w:space="720"/>
        </w:sectPr>
      </w:pPr>
    </w:p>
    <w:p w14:paraId="636469B9"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262" w:name="_Toc148654251"/>
      <w:r w:rsidRPr="00E67914">
        <w:rPr>
          <w:rFonts w:ascii="Times New Roman" w:eastAsia="黑体" w:hAnsi="Times New Roman"/>
          <w:b w:val="0"/>
          <w:sz w:val="28"/>
          <w:szCs w:val="28"/>
          <w:lang w:eastAsia="zh-CN"/>
        </w:rPr>
        <w:lastRenderedPageBreak/>
        <w:t>10</w:t>
      </w:r>
      <w:r w:rsidRPr="00E67914">
        <w:rPr>
          <w:rFonts w:ascii="Times New Roman" w:eastAsia="黑体" w:hAnsi="Times New Roman"/>
          <w:b w:val="0"/>
          <w:sz w:val="28"/>
          <w:szCs w:val="28"/>
          <w:lang w:eastAsia="zh-CN"/>
        </w:rPr>
        <w:t>环境管理与环境监测</w:t>
      </w:r>
      <w:bookmarkEnd w:id="262"/>
    </w:p>
    <w:p w14:paraId="1E38D678" w14:textId="77777777" w:rsidR="00A54A8A" w:rsidRPr="00E67914" w:rsidRDefault="00000000">
      <w:pPr>
        <w:pStyle w:val="2"/>
        <w:ind w:firstLine="480"/>
        <w:rPr>
          <w:szCs w:val="24"/>
          <w:lang w:eastAsia="zh-CN"/>
        </w:rPr>
      </w:pPr>
      <w:bookmarkStart w:id="263" w:name="8.1环境管理"/>
      <w:bookmarkStart w:id="264" w:name="_bookmark39"/>
      <w:bookmarkStart w:id="265" w:name="_Toc148654252"/>
      <w:bookmarkEnd w:id="263"/>
      <w:bookmarkEnd w:id="264"/>
      <w:r w:rsidRPr="00E67914">
        <w:rPr>
          <w:szCs w:val="24"/>
          <w:lang w:eastAsia="zh-CN"/>
        </w:rPr>
        <w:t>10.1</w:t>
      </w:r>
      <w:r w:rsidRPr="00E67914">
        <w:rPr>
          <w:szCs w:val="24"/>
          <w:lang w:eastAsia="zh-CN"/>
        </w:rPr>
        <w:t>环境管理</w:t>
      </w:r>
      <w:bookmarkEnd w:id="265"/>
    </w:p>
    <w:p w14:paraId="05888187"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66" w:name="8.1.1环境管理的目的和意义"/>
      <w:bookmarkEnd w:id="266"/>
      <w:r w:rsidRPr="00E67914">
        <w:rPr>
          <w:rFonts w:ascii="Times New Roman" w:eastAsia="黑体" w:hAnsi="Times New Roman"/>
          <w:b w:val="0"/>
          <w:sz w:val="24"/>
          <w:szCs w:val="24"/>
          <w:lang w:eastAsia="zh-CN"/>
        </w:rPr>
        <w:t>10.1.1</w:t>
      </w:r>
      <w:r w:rsidRPr="00E67914">
        <w:rPr>
          <w:rFonts w:ascii="Times New Roman" w:eastAsia="黑体" w:hAnsi="Times New Roman"/>
          <w:b w:val="0"/>
          <w:sz w:val="24"/>
          <w:szCs w:val="24"/>
          <w:lang w:eastAsia="zh-CN"/>
        </w:rPr>
        <w:t>环境管理的目的和意义</w:t>
      </w:r>
    </w:p>
    <w:p w14:paraId="60DDD9E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14:paraId="39FD662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项目建成后应加强环境管理工作，按照国家的环保政策，建立环境管理制度，治理污染源，减少污染物的排放，最大限度的减少项目施工期和试采期对周围环境的不利影响，实现经济效益、社会效益和环境效益的统一。</w:t>
      </w:r>
    </w:p>
    <w:p w14:paraId="4944F44F"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bookmarkStart w:id="267" w:name="8.1.2环境管理机构及职责"/>
      <w:bookmarkEnd w:id="267"/>
      <w:r w:rsidRPr="00E67914">
        <w:rPr>
          <w:rFonts w:ascii="Times New Roman" w:eastAsia="黑体" w:hAnsi="Times New Roman"/>
          <w:b w:val="0"/>
          <w:sz w:val="24"/>
          <w:szCs w:val="24"/>
          <w:lang w:eastAsia="zh-CN"/>
        </w:rPr>
        <w:t>10.1.2</w:t>
      </w:r>
      <w:r w:rsidRPr="00E67914">
        <w:rPr>
          <w:rFonts w:ascii="Times New Roman" w:eastAsia="黑体" w:hAnsi="Times New Roman"/>
          <w:b w:val="0"/>
          <w:sz w:val="24"/>
          <w:szCs w:val="24"/>
          <w:lang w:eastAsia="zh-CN"/>
        </w:rPr>
        <w:t>施工期环境管理</w:t>
      </w:r>
    </w:p>
    <w:p w14:paraId="755D442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bookmarkStart w:id="268" w:name="8.1.4运营期环境管理"/>
      <w:bookmarkEnd w:id="268"/>
      <w:r w:rsidRPr="00E67914">
        <w:rPr>
          <w:rFonts w:ascii="Times New Roman" w:hAnsi="Times New Roman"/>
          <w:bCs/>
          <w:kern w:val="2"/>
          <w:lang w:eastAsia="zh-CN"/>
        </w:rPr>
        <w:t>1</w:t>
      </w:r>
      <w:r w:rsidRPr="00E67914">
        <w:rPr>
          <w:rFonts w:ascii="Times New Roman" w:hAnsi="Times New Roman"/>
          <w:bCs/>
          <w:kern w:val="2"/>
          <w:lang w:eastAsia="zh-CN"/>
        </w:rPr>
        <w:t>、建立有效的环保措施落实监督检查机制</w:t>
      </w:r>
    </w:p>
    <w:p w14:paraId="160B8021"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由于井场井站涉及钻前、钻井、压裂和试采运营四个阶段，建设单位应设专人负责监督不同施工单位在各自实施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w:t>
      </w:r>
    </w:p>
    <w:p w14:paraId="523F393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在钻井施工阶段重点监督检查如下环保措施：</w:t>
      </w:r>
    </w:p>
    <w:p w14:paraId="5E83F5C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1</w:t>
      </w:r>
      <w:r w:rsidRPr="00E67914">
        <w:rPr>
          <w:rFonts w:ascii="Times New Roman" w:hAnsi="Times New Roman"/>
          <w:bCs/>
          <w:kern w:val="2"/>
          <w:lang w:eastAsia="zh-CN"/>
        </w:rPr>
        <w:t>）泥浆不落地处理环保措施的执行和运行情况，确保措施有效、可靠、可行；</w:t>
      </w:r>
    </w:p>
    <w:p w14:paraId="0778057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2</w:t>
      </w:r>
      <w:r w:rsidRPr="00E67914">
        <w:rPr>
          <w:rFonts w:ascii="Times New Roman" w:hAnsi="Times New Roman"/>
          <w:bCs/>
          <w:kern w:val="2"/>
          <w:lang w:eastAsia="zh-CN"/>
        </w:rPr>
        <w:t>）按照环保设计和环评文件要求，监督检查废水、固废严禁外排措施的执行情况；</w:t>
      </w:r>
    </w:p>
    <w:p w14:paraId="2275A47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3</w:t>
      </w:r>
      <w:r w:rsidRPr="00E67914">
        <w:rPr>
          <w:rFonts w:ascii="Times New Roman" w:hAnsi="Times New Roman"/>
          <w:bCs/>
          <w:kern w:val="2"/>
          <w:lang w:eastAsia="zh-CN"/>
        </w:rPr>
        <w:t>）监督检查环境风险防范措施、应急预案、应急演练、地下水跟踪监测计划等制度措施制定和执行情况。</w:t>
      </w:r>
    </w:p>
    <w:p w14:paraId="1632DF4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在压裂阶段重点监督检查如下环保措施：</w:t>
      </w:r>
    </w:p>
    <w:p w14:paraId="38AC077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1</w:t>
      </w:r>
      <w:r w:rsidRPr="00E67914">
        <w:rPr>
          <w:rFonts w:ascii="Times New Roman" w:hAnsi="Times New Roman"/>
          <w:bCs/>
          <w:kern w:val="2"/>
          <w:lang w:eastAsia="zh-CN"/>
        </w:rPr>
        <w:t>）阶段取水，避免对当地水资源的占用影响当地河流水体生境；</w:t>
      </w:r>
    </w:p>
    <w:p w14:paraId="3AA789A5"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2</w:t>
      </w:r>
      <w:r w:rsidRPr="00E67914">
        <w:rPr>
          <w:rFonts w:ascii="Times New Roman" w:hAnsi="Times New Roman"/>
          <w:bCs/>
          <w:kern w:val="2"/>
          <w:lang w:eastAsia="zh-CN"/>
        </w:rPr>
        <w:t>）返排液收集、转运、处置措施执行情况；</w:t>
      </w:r>
    </w:p>
    <w:p w14:paraId="48584CD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lastRenderedPageBreak/>
        <w:t>3</w:t>
      </w:r>
      <w:r w:rsidRPr="00E67914">
        <w:rPr>
          <w:rFonts w:ascii="Times New Roman" w:hAnsi="Times New Roman"/>
          <w:bCs/>
          <w:kern w:val="2"/>
          <w:lang w:eastAsia="zh-CN"/>
        </w:rPr>
        <w:t>）分区防渗措施可靠性情况，监督检查是否发生污染泄漏并及时整改。</w:t>
      </w:r>
    </w:p>
    <w:p w14:paraId="7E89B6E3"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2</w:t>
      </w:r>
      <w:r w:rsidRPr="00E67914">
        <w:rPr>
          <w:rFonts w:ascii="Times New Roman" w:hAnsi="Times New Roman"/>
          <w:bCs/>
          <w:kern w:val="2"/>
          <w:lang w:eastAsia="zh-CN"/>
        </w:rPr>
        <w:t>、建立有效的环境管理机构</w:t>
      </w:r>
    </w:p>
    <w:p w14:paraId="043A254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建设方应设专人负责各作业单元</w:t>
      </w:r>
      <w:r w:rsidRPr="00E67914">
        <w:rPr>
          <w:rFonts w:ascii="Times New Roman" w:hAnsi="Times New Roman"/>
          <w:bCs/>
          <w:kern w:val="2"/>
          <w:lang w:eastAsia="zh-CN"/>
        </w:rPr>
        <w:t>HSE</w:t>
      </w:r>
      <w:r w:rsidRPr="00E67914">
        <w:rPr>
          <w:rFonts w:ascii="Times New Roman" w:hAnsi="Times New Roman"/>
          <w:bCs/>
          <w:kern w:val="2"/>
          <w:lang w:eastAsia="zh-CN"/>
        </w:rPr>
        <w:t>管理制度的贯彻执行，主要职责在于监督承包商履行承包合同，监督作业进程。制定作业环境保护规定。根据施工作业合同中有关环保要求和各作业特点，分别制定各项环保措施。如在施工过程中，要求在保证安全和顺利施工的情况下，减少对土地的征用及植被、作物的人为破坏，禁止猎杀野生动物；在车辆运输中，要事先确定路线，防止车辆油料及物料装运泄漏等。</w:t>
      </w:r>
    </w:p>
    <w:p w14:paraId="45B5676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3</w:t>
      </w:r>
      <w:r w:rsidRPr="00E67914">
        <w:rPr>
          <w:rFonts w:ascii="Times New Roman" w:hAnsi="Times New Roman"/>
          <w:bCs/>
          <w:kern w:val="2"/>
          <w:lang w:eastAsia="zh-CN"/>
        </w:rPr>
        <w:t>、建立完善的环保工作计划</w:t>
      </w:r>
    </w:p>
    <w:p w14:paraId="5B4D3E0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1</w:t>
      </w:r>
      <w:r w:rsidRPr="00E67914">
        <w:rPr>
          <w:rFonts w:ascii="Times New Roman" w:hAnsi="Times New Roman"/>
          <w:bCs/>
          <w:kern w:val="2"/>
          <w:lang w:eastAsia="zh-CN"/>
        </w:rPr>
        <w:t>）在施工前制定环境保护规划</w:t>
      </w:r>
    </w:p>
    <w:p w14:paraId="3D524BD2"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收集施工地区现有的自然生态环境、社会环境状况以及当地政府有关环境保护的法规等，作为制定规划的依据。重点考虑生态、野生动物、植物等。</w:t>
      </w:r>
    </w:p>
    <w:p w14:paraId="19337BA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2</w:t>
      </w:r>
      <w:r w:rsidRPr="00E67914">
        <w:rPr>
          <w:rFonts w:ascii="Times New Roman" w:hAnsi="Times New Roman"/>
          <w:bCs/>
          <w:kern w:val="2"/>
          <w:lang w:eastAsia="zh-CN"/>
        </w:rPr>
        <w:t>）进行环境保护培训</w:t>
      </w:r>
    </w:p>
    <w:p w14:paraId="671A75C6"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在施工前需对全体员工进行环境保护知识和环保意识培训，并结合施工计划提出具体的环保措施。</w:t>
      </w:r>
    </w:p>
    <w:p w14:paraId="7D25262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3</w:t>
      </w:r>
      <w:r w:rsidRPr="00E67914">
        <w:rPr>
          <w:rFonts w:ascii="Times New Roman" w:hAnsi="Times New Roman"/>
          <w:bCs/>
          <w:kern w:val="2"/>
          <w:lang w:eastAsia="zh-CN"/>
        </w:rPr>
        <w:t>）紧急情况处理计划</w:t>
      </w:r>
    </w:p>
    <w:p w14:paraId="1535EF0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计划中要考虑施工中可能出现的紧急情况，并明确处理紧急情况的协调及提交相关的恢复措施报告。</w:t>
      </w:r>
    </w:p>
    <w:p w14:paraId="51209ED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4</w:t>
      </w:r>
      <w:r w:rsidRPr="00E67914">
        <w:rPr>
          <w:rFonts w:ascii="Times New Roman" w:hAnsi="Times New Roman"/>
          <w:bCs/>
          <w:kern w:val="2"/>
          <w:lang w:eastAsia="zh-CN"/>
        </w:rPr>
        <w:t>）施工结束后的恢复计划</w:t>
      </w:r>
    </w:p>
    <w:p w14:paraId="6B796A46" w14:textId="4BDB1831"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施工前必须制定恢复计划，主要包括：收集所有的施工材料废弃物和生活废弃物、填实污水坑并用土压实，尽量恢复工区内的自然排水通道，营地</w:t>
      </w:r>
      <w:r w:rsidR="007E73B6" w:rsidRPr="00E67914">
        <w:rPr>
          <w:rFonts w:ascii="Times New Roman" w:hAnsi="Times New Roman"/>
          <w:bCs/>
          <w:kern w:val="2"/>
          <w:lang w:eastAsia="zh-CN"/>
        </w:rPr>
        <w:t>拆除</w:t>
      </w:r>
      <w:r w:rsidRPr="00E67914">
        <w:rPr>
          <w:rFonts w:ascii="Times New Roman" w:hAnsi="Times New Roman"/>
          <w:bCs/>
          <w:kern w:val="2"/>
          <w:lang w:eastAsia="zh-CN"/>
        </w:rPr>
        <w:t>后不留废弃物品，并对现场作业环境和营地环境恢复情况进行回访等。</w:t>
      </w:r>
    </w:p>
    <w:p w14:paraId="2BEF0208"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10.1.3</w:t>
      </w:r>
      <w:r w:rsidRPr="00E67914">
        <w:rPr>
          <w:rFonts w:ascii="Times New Roman" w:eastAsia="黑体" w:hAnsi="Times New Roman"/>
          <w:b w:val="0"/>
          <w:sz w:val="24"/>
          <w:szCs w:val="24"/>
          <w:lang w:eastAsia="zh-CN"/>
        </w:rPr>
        <w:t>试采期环境管理</w:t>
      </w:r>
    </w:p>
    <w:p w14:paraId="0B2DB77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1</w:t>
      </w:r>
      <w:r w:rsidRPr="00E67914">
        <w:rPr>
          <w:rFonts w:ascii="Times New Roman" w:hAnsi="Times New Roman"/>
          <w:bCs/>
          <w:kern w:val="2"/>
          <w:lang w:eastAsia="zh-CN"/>
        </w:rPr>
        <w:t>、加强环保设备的管理</w:t>
      </w:r>
    </w:p>
    <w:p w14:paraId="73E3F97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建立环保设备台帐，制定主要环保设备的操作规程及安排专门操作人员，建立重点处理设备的</w:t>
      </w:r>
      <w:r w:rsidRPr="00E67914">
        <w:rPr>
          <w:rFonts w:ascii="Times New Roman" w:hAnsi="Times New Roman"/>
          <w:bCs/>
          <w:kern w:val="2"/>
          <w:lang w:eastAsia="zh-CN"/>
        </w:rPr>
        <w:t>“</w:t>
      </w:r>
      <w:r w:rsidRPr="00E67914">
        <w:rPr>
          <w:rFonts w:ascii="Times New Roman" w:hAnsi="Times New Roman"/>
          <w:bCs/>
          <w:kern w:val="2"/>
          <w:lang w:eastAsia="zh-CN"/>
        </w:rPr>
        <w:t>环保运行记录</w:t>
      </w:r>
      <w:r w:rsidRPr="00E67914">
        <w:rPr>
          <w:rFonts w:ascii="Times New Roman" w:hAnsi="Times New Roman"/>
          <w:bCs/>
          <w:kern w:val="2"/>
          <w:lang w:eastAsia="zh-CN"/>
        </w:rPr>
        <w:t>”</w:t>
      </w:r>
      <w:r w:rsidRPr="00E67914">
        <w:rPr>
          <w:rFonts w:ascii="Times New Roman" w:hAnsi="Times New Roman"/>
          <w:bCs/>
          <w:kern w:val="2"/>
          <w:lang w:eastAsia="zh-CN"/>
        </w:rPr>
        <w:t>等。</w:t>
      </w:r>
    </w:p>
    <w:p w14:paraId="0BE53A26"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2</w:t>
      </w:r>
      <w:r w:rsidRPr="00E67914">
        <w:rPr>
          <w:rFonts w:ascii="Times New Roman" w:hAnsi="Times New Roman"/>
          <w:bCs/>
          <w:kern w:val="2"/>
          <w:lang w:eastAsia="zh-CN"/>
        </w:rPr>
        <w:t>、落实管理制度</w:t>
      </w:r>
    </w:p>
    <w:p w14:paraId="73F46C0A"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除加强环保设备的基础管理外，尚需狠抓制度的落实，制定环保经济责任制考核制度，以提高各部门对环境保护的责任感。</w:t>
      </w:r>
    </w:p>
    <w:p w14:paraId="02E1AA3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lastRenderedPageBreak/>
        <w:t>在项目试采期，环境管理除做好监督与检查站场各项环保设施的运行和维护等工作外，工作重点应针对工艺装置或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p>
    <w:p w14:paraId="264C50CF" w14:textId="77777777" w:rsidR="00A54A8A" w:rsidRPr="00E67914" w:rsidRDefault="00000000">
      <w:pPr>
        <w:pStyle w:val="2"/>
        <w:ind w:firstLine="480"/>
        <w:rPr>
          <w:szCs w:val="24"/>
          <w:lang w:eastAsia="zh-CN"/>
        </w:rPr>
      </w:pPr>
      <w:bookmarkStart w:id="269" w:name="_Toc148654253"/>
      <w:r w:rsidRPr="00E67914">
        <w:rPr>
          <w:szCs w:val="24"/>
          <w:lang w:eastAsia="zh-CN"/>
        </w:rPr>
        <w:t>10.2</w:t>
      </w:r>
      <w:r w:rsidRPr="00E67914">
        <w:rPr>
          <w:szCs w:val="24"/>
          <w:lang w:eastAsia="zh-CN"/>
        </w:rPr>
        <w:t>污染物排放清单</w:t>
      </w:r>
      <w:bookmarkEnd w:id="269"/>
    </w:p>
    <w:p w14:paraId="58C4D198"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根据《建设项目环境影响评价技术导则</w:t>
      </w:r>
      <w:r w:rsidRPr="00E67914">
        <w:rPr>
          <w:rFonts w:ascii="Times New Roman" w:hAnsi="Times New Roman"/>
          <w:bCs/>
          <w:kern w:val="2"/>
          <w:lang w:eastAsia="zh-CN"/>
        </w:rPr>
        <w:t xml:space="preserve"> </w:t>
      </w:r>
      <w:r w:rsidRPr="00E67914">
        <w:rPr>
          <w:rFonts w:ascii="Times New Roman" w:hAnsi="Times New Roman"/>
          <w:bCs/>
          <w:kern w:val="2"/>
          <w:lang w:eastAsia="zh-CN"/>
        </w:rPr>
        <w:t>总纲》（</w:t>
      </w:r>
      <w:r w:rsidRPr="00E67914">
        <w:rPr>
          <w:rFonts w:ascii="Times New Roman" w:hAnsi="Times New Roman"/>
          <w:bCs/>
          <w:kern w:val="2"/>
          <w:lang w:eastAsia="zh-CN"/>
        </w:rPr>
        <w:t>HJ2.1-2016</w:t>
      </w:r>
      <w:r w:rsidRPr="00E67914">
        <w:rPr>
          <w:rFonts w:ascii="Times New Roman" w:hAnsi="Times New Roman"/>
          <w:bCs/>
          <w:kern w:val="2"/>
          <w:lang w:eastAsia="zh-CN"/>
        </w:rPr>
        <w:t>）相关要求，建设目应给出污染物排放清单，明确污染物排放的管理要求。包括工程组成及原辅材料组分要求，建设项目拟采取的环境保护措施及主要运行参数，排放的污染物种类、放浓度和总量指标，污染物排放的分时段要求，排污口信息，执行的环境标准，环境风险防范措施以及环境监测等。提出应向社会公开的信息内容。本项目污染物排放具体见表</w:t>
      </w:r>
      <w:r w:rsidRPr="00E67914">
        <w:rPr>
          <w:rFonts w:ascii="Times New Roman" w:hAnsi="Times New Roman"/>
          <w:bCs/>
          <w:kern w:val="2"/>
          <w:lang w:eastAsia="zh-CN"/>
        </w:rPr>
        <w:t>10.2-1</w:t>
      </w:r>
      <w:r w:rsidRPr="00E67914">
        <w:rPr>
          <w:rFonts w:ascii="Times New Roman" w:hAnsi="Times New Roman"/>
          <w:bCs/>
          <w:kern w:val="2"/>
          <w:lang w:eastAsia="zh-CN"/>
        </w:rPr>
        <w:t>。</w:t>
      </w:r>
    </w:p>
    <w:p w14:paraId="73220A18" w14:textId="77777777" w:rsidR="00A54A8A" w:rsidRPr="00E67914" w:rsidRDefault="00A54A8A">
      <w:pPr>
        <w:pStyle w:val="af"/>
        <w:adjustRightInd w:val="0"/>
        <w:snapToGrid w:val="0"/>
        <w:spacing w:before="0" w:line="360" w:lineRule="auto"/>
        <w:ind w:left="0" w:firstLineChars="200" w:firstLine="480"/>
        <w:jc w:val="both"/>
        <w:rPr>
          <w:rFonts w:ascii="Times New Roman" w:hAnsi="Times New Roman"/>
          <w:bCs/>
          <w:kern w:val="2"/>
          <w:lang w:eastAsia="zh-CN"/>
        </w:rPr>
        <w:sectPr w:rsidR="00A54A8A" w:rsidRPr="00E67914">
          <w:footerReference w:type="default" r:id="rId114"/>
          <w:pgSz w:w="11910" w:h="16840"/>
          <w:pgMar w:top="1440" w:right="1800" w:bottom="1440" w:left="1800" w:header="1297" w:footer="634" w:gutter="0"/>
          <w:cols w:space="720"/>
          <w:docGrid w:linePitch="299"/>
        </w:sectPr>
      </w:pPr>
    </w:p>
    <w:p w14:paraId="7BEA294F"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lastRenderedPageBreak/>
        <w:t>表</w:t>
      </w:r>
      <w:r w:rsidRPr="00E67914">
        <w:rPr>
          <w:rFonts w:ascii="Times New Roman" w:eastAsia="黑体" w:hAnsi="Times New Roman"/>
          <w:sz w:val="21"/>
          <w:szCs w:val="21"/>
          <w:lang w:eastAsia="zh-CN"/>
        </w:rPr>
        <w:t xml:space="preserve">10.2-1    </w:t>
      </w:r>
      <w:r w:rsidRPr="00E67914">
        <w:rPr>
          <w:rFonts w:ascii="Times New Roman" w:eastAsia="黑体" w:hAnsi="Times New Roman"/>
          <w:sz w:val="21"/>
          <w:szCs w:val="21"/>
          <w:lang w:eastAsia="zh-CN"/>
        </w:rPr>
        <w:t>本项目污染物排放清单一览表</w:t>
      </w:r>
    </w:p>
    <w:tbl>
      <w:tblPr>
        <w:tblW w:w="133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2"/>
        <w:gridCol w:w="1418"/>
        <w:gridCol w:w="1276"/>
        <w:gridCol w:w="881"/>
        <w:gridCol w:w="801"/>
        <w:gridCol w:w="869"/>
        <w:gridCol w:w="3402"/>
        <w:gridCol w:w="1276"/>
        <w:gridCol w:w="2122"/>
        <w:gridCol w:w="718"/>
      </w:tblGrid>
      <w:tr w:rsidR="002662E3" w:rsidRPr="00E67914" w14:paraId="52008ADC" w14:textId="77777777">
        <w:trPr>
          <w:jc w:val="center"/>
        </w:trPr>
        <w:tc>
          <w:tcPr>
            <w:tcW w:w="562" w:type="dxa"/>
            <w:vAlign w:val="center"/>
          </w:tcPr>
          <w:p w14:paraId="613FBFCC"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污染</w:t>
            </w:r>
            <w:r w:rsidRPr="00E67914">
              <w:rPr>
                <w:rFonts w:ascii="Times New Roman" w:hAnsi="Times New Roman"/>
                <w:b/>
                <w:bCs/>
                <w:w w:val="99"/>
                <w:sz w:val="21"/>
                <w:szCs w:val="21"/>
              </w:rPr>
              <w:t>物</w:t>
            </w:r>
          </w:p>
        </w:tc>
        <w:tc>
          <w:tcPr>
            <w:tcW w:w="2694" w:type="dxa"/>
            <w:gridSpan w:val="2"/>
            <w:vAlign w:val="center"/>
          </w:tcPr>
          <w:p w14:paraId="65ADD7F0"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污染物种类</w:t>
            </w:r>
          </w:p>
        </w:tc>
        <w:tc>
          <w:tcPr>
            <w:tcW w:w="881" w:type="dxa"/>
            <w:vAlign w:val="center"/>
          </w:tcPr>
          <w:p w14:paraId="5942026E"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排放浓度</w:t>
            </w:r>
            <w:r w:rsidRPr="00E67914">
              <w:rPr>
                <w:rFonts w:ascii="Times New Roman" w:hAnsi="Times New Roman"/>
                <w:b/>
                <w:bCs/>
                <w:sz w:val="21"/>
                <w:szCs w:val="21"/>
              </w:rPr>
              <w:t>mg/m</w:t>
            </w:r>
            <w:r w:rsidRPr="00E67914">
              <w:rPr>
                <w:rFonts w:ascii="Times New Roman" w:hAnsi="Times New Roman"/>
                <w:b/>
                <w:bCs/>
                <w:sz w:val="21"/>
                <w:szCs w:val="21"/>
                <w:vertAlign w:val="superscript"/>
              </w:rPr>
              <w:t>3</w:t>
            </w:r>
          </w:p>
        </w:tc>
        <w:tc>
          <w:tcPr>
            <w:tcW w:w="801" w:type="dxa"/>
            <w:vAlign w:val="center"/>
          </w:tcPr>
          <w:p w14:paraId="5464138C"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b/>
                <w:bCs/>
                <w:sz w:val="21"/>
                <w:szCs w:val="21"/>
              </w:rPr>
              <w:t>排放速率</w:t>
            </w:r>
            <w:r w:rsidRPr="00E67914">
              <w:rPr>
                <w:rFonts w:ascii="Times New Roman" w:hAnsi="Times New Roman"/>
                <w:b/>
                <w:sz w:val="21"/>
                <w:szCs w:val="21"/>
              </w:rPr>
              <w:t>kg/h</w:t>
            </w:r>
          </w:p>
        </w:tc>
        <w:tc>
          <w:tcPr>
            <w:tcW w:w="869" w:type="dxa"/>
            <w:vAlign w:val="center"/>
          </w:tcPr>
          <w:p w14:paraId="1E4EB6AE"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b/>
                <w:bCs/>
                <w:sz w:val="21"/>
                <w:szCs w:val="21"/>
                <w:lang w:eastAsia="zh-CN"/>
              </w:rPr>
              <w:t>排放</w:t>
            </w:r>
            <w:r w:rsidRPr="00E67914">
              <w:rPr>
                <w:rFonts w:ascii="Times New Roman" w:hAnsi="Times New Roman"/>
                <w:b/>
                <w:bCs/>
                <w:sz w:val="21"/>
                <w:szCs w:val="21"/>
              </w:rPr>
              <w:t>量</w:t>
            </w:r>
            <w:r w:rsidRPr="00E67914">
              <w:rPr>
                <w:rFonts w:ascii="Times New Roman" w:eastAsia="Times New Roman" w:hAnsi="Times New Roman"/>
                <w:b/>
                <w:bCs/>
                <w:sz w:val="21"/>
                <w:szCs w:val="21"/>
              </w:rPr>
              <w:t>t/a</w:t>
            </w:r>
          </w:p>
        </w:tc>
        <w:tc>
          <w:tcPr>
            <w:tcW w:w="3402" w:type="dxa"/>
            <w:vAlign w:val="center"/>
          </w:tcPr>
          <w:p w14:paraId="4CC2FC5D"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环保措施</w:t>
            </w:r>
          </w:p>
        </w:tc>
        <w:tc>
          <w:tcPr>
            <w:tcW w:w="1276" w:type="dxa"/>
            <w:vAlign w:val="center"/>
          </w:tcPr>
          <w:p w14:paraId="6F585CBD"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运行参数</w:t>
            </w:r>
          </w:p>
        </w:tc>
        <w:tc>
          <w:tcPr>
            <w:tcW w:w="2122" w:type="dxa"/>
            <w:vAlign w:val="center"/>
          </w:tcPr>
          <w:p w14:paraId="2BEAC08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b/>
                <w:bCs/>
                <w:spacing w:val="-4"/>
                <w:sz w:val="21"/>
                <w:szCs w:val="21"/>
                <w:lang w:eastAsia="zh-CN"/>
              </w:rPr>
              <w:t>处理效果、执行标准或拟达</w:t>
            </w:r>
            <w:r w:rsidRPr="00E67914">
              <w:rPr>
                <w:rFonts w:ascii="Times New Roman" w:hAnsi="Times New Roman"/>
                <w:b/>
                <w:bCs/>
                <w:sz w:val="21"/>
                <w:szCs w:val="21"/>
                <w:lang w:eastAsia="zh-CN"/>
              </w:rPr>
              <w:t>要求</w:t>
            </w:r>
          </w:p>
        </w:tc>
        <w:tc>
          <w:tcPr>
            <w:tcW w:w="718" w:type="dxa"/>
            <w:vAlign w:val="center"/>
          </w:tcPr>
          <w:p w14:paraId="67E8332F"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总量控制</w:t>
            </w:r>
          </w:p>
        </w:tc>
      </w:tr>
      <w:tr w:rsidR="002662E3" w:rsidRPr="00E67914" w14:paraId="66D3224C" w14:textId="77777777">
        <w:trPr>
          <w:jc w:val="center"/>
        </w:trPr>
        <w:tc>
          <w:tcPr>
            <w:tcW w:w="562" w:type="dxa"/>
            <w:vMerge w:val="restart"/>
            <w:vAlign w:val="center"/>
          </w:tcPr>
          <w:p w14:paraId="79DBEC44"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大气污染物</w:t>
            </w:r>
          </w:p>
        </w:tc>
        <w:tc>
          <w:tcPr>
            <w:tcW w:w="1418" w:type="dxa"/>
            <w:vAlign w:val="center"/>
          </w:tcPr>
          <w:p w14:paraId="0503DE7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rPr>
              <w:t>施工扬尘</w:t>
            </w:r>
          </w:p>
        </w:tc>
        <w:tc>
          <w:tcPr>
            <w:tcW w:w="1276" w:type="dxa"/>
            <w:vAlign w:val="center"/>
          </w:tcPr>
          <w:p w14:paraId="00798B11"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position w:val="2"/>
                <w:sz w:val="21"/>
                <w:szCs w:val="21"/>
              </w:rPr>
              <w:t>TSP</w:t>
            </w:r>
          </w:p>
        </w:tc>
        <w:tc>
          <w:tcPr>
            <w:tcW w:w="881" w:type="dxa"/>
            <w:vAlign w:val="center"/>
          </w:tcPr>
          <w:p w14:paraId="51D8C1DF"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039278C9"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w w:val="99"/>
                <w:sz w:val="21"/>
                <w:szCs w:val="21"/>
              </w:rPr>
              <w:t>—</w:t>
            </w:r>
          </w:p>
        </w:tc>
        <w:tc>
          <w:tcPr>
            <w:tcW w:w="869" w:type="dxa"/>
            <w:vAlign w:val="center"/>
          </w:tcPr>
          <w:p w14:paraId="25305DC2"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3402" w:type="dxa"/>
            <w:vAlign w:val="center"/>
          </w:tcPr>
          <w:p w14:paraId="4B89B1C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定期洒水抑尘</w:t>
            </w:r>
          </w:p>
        </w:tc>
        <w:tc>
          <w:tcPr>
            <w:tcW w:w="1276" w:type="dxa"/>
            <w:vAlign w:val="center"/>
          </w:tcPr>
          <w:p w14:paraId="7C769C2C" w14:textId="77777777" w:rsidR="00A54A8A" w:rsidRPr="00E67914" w:rsidRDefault="00000000">
            <w:pPr>
              <w:pStyle w:val="TableParagraph"/>
              <w:adjustRightInd w:val="0"/>
              <w:snapToGrid w:val="0"/>
              <w:jc w:val="center"/>
              <w:rPr>
                <w:rFonts w:ascii="Times New Roman" w:eastAsia="Times New Roman" w:hAnsi="Times New Roman"/>
                <w:sz w:val="21"/>
                <w:szCs w:val="21"/>
                <w:lang w:eastAsia="zh-CN"/>
              </w:rPr>
            </w:pPr>
            <w:r w:rsidRPr="00E67914">
              <w:rPr>
                <w:rFonts w:ascii="Times New Roman" w:hAnsi="Times New Roman"/>
                <w:sz w:val="21"/>
                <w:szCs w:val="21"/>
                <w:lang w:eastAsia="zh-CN"/>
              </w:rPr>
              <w:t>施工期，白天</w:t>
            </w:r>
          </w:p>
        </w:tc>
        <w:tc>
          <w:tcPr>
            <w:tcW w:w="2122" w:type="dxa"/>
            <w:vAlign w:val="center"/>
          </w:tcPr>
          <w:p w14:paraId="6D52459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rPr>
              <w:t>对周围环境影响很小</w:t>
            </w:r>
          </w:p>
        </w:tc>
        <w:tc>
          <w:tcPr>
            <w:tcW w:w="718" w:type="dxa"/>
            <w:vAlign w:val="center"/>
          </w:tcPr>
          <w:p w14:paraId="084554CE"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无</w:t>
            </w:r>
          </w:p>
        </w:tc>
      </w:tr>
      <w:tr w:rsidR="002662E3" w:rsidRPr="00E67914" w14:paraId="41BBE009" w14:textId="77777777">
        <w:trPr>
          <w:jc w:val="center"/>
        </w:trPr>
        <w:tc>
          <w:tcPr>
            <w:tcW w:w="562" w:type="dxa"/>
            <w:vMerge/>
            <w:vAlign w:val="center"/>
          </w:tcPr>
          <w:p w14:paraId="4CD7B80B" w14:textId="77777777" w:rsidR="00A54A8A" w:rsidRPr="00E67914" w:rsidRDefault="00A54A8A">
            <w:pPr>
              <w:adjustRightInd w:val="0"/>
              <w:snapToGrid w:val="0"/>
              <w:jc w:val="center"/>
              <w:rPr>
                <w:rFonts w:ascii="Times New Roman" w:hAnsi="Times New Roman"/>
                <w:sz w:val="21"/>
                <w:szCs w:val="21"/>
              </w:rPr>
            </w:pPr>
          </w:p>
        </w:tc>
        <w:tc>
          <w:tcPr>
            <w:tcW w:w="1418" w:type="dxa"/>
            <w:vAlign w:val="center"/>
          </w:tcPr>
          <w:p w14:paraId="0ABC5032"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施工机械和运输车辆尾气、压裂作业废气</w:t>
            </w:r>
          </w:p>
        </w:tc>
        <w:tc>
          <w:tcPr>
            <w:tcW w:w="1276" w:type="dxa"/>
            <w:vAlign w:val="center"/>
          </w:tcPr>
          <w:p w14:paraId="755D4B9A"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lang w:eastAsia="zh-CN"/>
              </w:rPr>
              <w:t>CO</w:t>
            </w:r>
            <w:r w:rsidRPr="00E67914">
              <w:rPr>
                <w:rFonts w:ascii="Times New Roman" w:hAnsi="Times New Roman"/>
                <w:sz w:val="21"/>
                <w:szCs w:val="21"/>
                <w:lang w:eastAsia="zh-CN"/>
              </w:rPr>
              <w:t>、</w:t>
            </w:r>
            <w:r w:rsidRPr="00E67914">
              <w:rPr>
                <w:rFonts w:ascii="Times New Roman" w:hAnsi="Times New Roman"/>
                <w:sz w:val="21"/>
                <w:szCs w:val="21"/>
                <w:lang w:eastAsia="zh-CN"/>
              </w:rPr>
              <w:t>NOx</w:t>
            </w:r>
            <w:r w:rsidRPr="00E67914">
              <w:rPr>
                <w:rFonts w:ascii="Times New Roman" w:hAnsi="Times New Roman"/>
                <w:sz w:val="21"/>
                <w:szCs w:val="21"/>
                <w:lang w:eastAsia="zh-CN"/>
              </w:rPr>
              <w:t>等</w:t>
            </w:r>
          </w:p>
        </w:tc>
        <w:tc>
          <w:tcPr>
            <w:tcW w:w="881" w:type="dxa"/>
            <w:vAlign w:val="center"/>
          </w:tcPr>
          <w:p w14:paraId="172A510D"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4D742E2C"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w w:val="99"/>
                <w:sz w:val="21"/>
                <w:szCs w:val="21"/>
              </w:rPr>
              <w:t>—</w:t>
            </w:r>
          </w:p>
        </w:tc>
        <w:tc>
          <w:tcPr>
            <w:tcW w:w="869" w:type="dxa"/>
            <w:vAlign w:val="center"/>
          </w:tcPr>
          <w:p w14:paraId="7D1C2EA3"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3402" w:type="dxa"/>
            <w:tcBorders>
              <w:right w:val="single" w:sz="4" w:space="0" w:color="auto"/>
            </w:tcBorders>
            <w:vAlign w:val="center"/>
          </w:tcPr>
          <w:p w14:paraId="3D362F8E"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选用尾气排放达标机械车辆，加强保养维护</w:t>
            </w:r>
          </w:p>
        </w:tc>
        <w:tc>
          <w:tcPr>
            <w:tcW w:w="1276" w:type="dxa"/>
            <w:tcBorders>
              <w:top w:val="single" w:sz="4" w:space="0" w:color="auto"/>
              <w:left w:val="single" w:sz="4" w:space="0" w:color="auto"/>
              <w:bottom w:val="single" w:sz="4" w:space="0" w:color="auto"/>
              <w:right w:val="single" w:sz="4" w:space="0" w:color="auto"/>
            </w:tcBorders>
            <w:vAlign w:val="center"/>
          </w:tcPr>
          <w:p w14:paraId="62CB3CAA"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sz w:val="21"/>
                <w:szCs w:val="21"/>
                <w:lang w:eastAsia="zh-CN"/>
              </w:rPr>
              <w:t>施工期，白天</w:t>
            </w:r>
          </w:p>
        </w:tc>
        <w:tc>
          <w:tcPr>
            <w:tcW w:w="2122" w:type="dxa"/>
            <w:tcBorders>
              <w:top w:val="single" w:sz="4" w:space="0" w:color="auto"/>
              <w:left w:val="single" w:sz="4" w:space="0" w:color="auto"/>
              <w:bottom w:val="single" w:sz="4" w:space="0" w:color="auto"/>
              <w:right w:val="single" w:sz="4" w:space="0" w:color="auto"/>
            </w:tcBorders>
            <w:vAlign w:val="center"/>
          </w:tcPr>
          <w:p w14:paraId="29E33D0C"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对周围环境影响很小</w:t>
            </w:r>
          </w:p>
        </w:tc>
        <w:tc>
          <w:tcPr>
            <w:tcW w:w="718" w:type="dxa"/>
            <w:tcBorders>
              <w:left w:val="single" w:sz="4" w:space="0" w:color="auto"/>
            </w:tcBorders>
            <w:vAlign w:val="center"/>
          </w:tcPr>
          <w:p w14:paraId="0DA9AF6F"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2662E3" w:rsidRPr="00E67914" w14:paraId="19B9E29A" w14:textId="77777777">
        <w:trPr>
          <w:jc w:val="center"/>
        </w:trPr>
        <w:tc>
          <w:tcPr>
            <w:tcW w:w="562" w:type="dxa"/>
            <w:vMerge/>
            <w:vAlign w:val="center"/>
          </w:tcPr>
          <w:p w14:paraId="5F8E8146" w14:textId="77777777" w:rsidR="00A54A8A" w:rsidRPr="00E67914" w:rsidRDefault="00A54A8A">
            <w:pPr>
              <w:adjustRightInd w:val="0"/>
              <w:snapToGrid w:val="0"/>
              <w:jc w:val="center"/>
              <w:rPr>
                <w:rFonts w:ascii="Times New Roman" w:hAnsi="Times New Roman"/>
                <w:sz w:val="21"/>
                <w:szCs w:val="21"/>
              </w:rPr>
            </w:pPr>
          </w:p>
        </w:tc>
        <w:tc>
          <w:tcPr>
            <w:tcW w:w="1418" w:type="dxa"/>
            <w:vAlign w:val="center"/>
          </w:tcPr>
          <w:p w14:paraId="7902499F"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无组织挥发性废气</w:t>
            </w:r>
          </w:p>
        </w:tc>
        <w:tc>
          <w:tcPr>
            <w:tcW w:w="1276" w:type="dxa"/>
            <w:vAlign w:val="center"/>
          </w:tcPr>
          <w:p w14:paraId="67CF47E1"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lang w:eastAsia="zh-CN"/>
              </w:rPr>
              <w:t>无组织挥发性有机物</w:t>
            </w:r>
          </w:p>
        </w:tc>
        <w:tc>
          <w:tcPr>
            <w:tcW w:w="881" w:type="dxa"/>
            <w:vAlign w:val="center"/>
          </w:tcPr>
          <w:p w14:paraId="16056AF7"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68E5529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w w:val="99"/>
                <w:sz w:val="21"/>
                <w:szCs w:val="21"/>
              </w:rPr>
              <w:t>—</w:t>
            </w:r>
          </w:p>
        </w:tc>
        <w:tc>
          <w:tcPr>
            <w:tcW w:w="869" w:type="dxa"/>
            <w:vAlign w:val="center"/>
          </w:tcPr>
          <w:p w14:paraId="409EEC16"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w w:val="99"/>
                <w:sz w:val="21"/>
                <w:szCs w:val="21"/>
              </w:rPr>
              <w:t>—</w:t>
            </w:r>
          </w:p>
        </w:tc>
        <w:tc>
          <w:tcPr>
            <w:tcW w:w="3402" w:type="dxa"/>
            <w:tcBorders>
              <w:right w:val="single" w:sz="4" w:space="0" w:color="auto"/>
            </w:tcBorders>
            <w:vAlign w:val="center"/>
          </w:tcPr>
          <w:p w14:paraId="2BD3D16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w w:val="99"/>
                <w:sz w:val="21"/>
                <w:szCs w:val="21"/>
              </w:rPr>
              <w:t>—</w:t>
            </w:r>
          </w:p>
        </w:tc>
        <w:tc>
          <w:tcPr>
            <w:tcW w:w="1276" w:type="dxa"/>
            <w:tcBorders>
              <w:top w:val="single" w:sz="4" w:space="0" w:color="auto"/>
              <w:left w:val="single" w:sz="4" w:space="0" w:color="auto"/>
              <w:right w:val="single" w:sz="4" w:space="0" w:color="auto"/>
            </w:tcBorders>
            <w:vAlign w:val="center"/>
          </w:tcPr>
          <w:p w14:paraId="7815F65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钻井期</w:t>
            </w:r>
          </w:p>
        </w:tc>
        <w:tc>
          <w:tcPr>
            <w:tcW w:w="2122" w:type="dxa"/>
            <w:tcBorders>
              <w:top w:val="single" w:sz="4" w:space="0" w:color="auto"/>
              <w:left w:val="single" w:sz="4" w:space="0" w:color="auto"/>
              <w:right w:val="single" w:sz="4" w:space="0" w:color="auto"/>
            </w:tcBorders>
            <w:vAlign w:val="center"/>
          </w:tcPr>
          <w:p w14:paraId="7D99880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满足《陆上石油天然气开采工业大气污染物排放标准》（</w:t>
            </w:r>
            <w:r w:rsidRPr="00E67914">
              <w:rPr>
                <w:rFonts w:ascii="Times New Roman" w:hAnsi="Times New Roman"/>
                <w:sz w:val="21"/>
                <w:szCs w:val="21"/>
                <w:lang w:eastAsia="zh-CN"/>
              </w:rPr>
              <w:t>GB39728—2020</w:t>
            </w:r>
            <w:r w:rsidRPr="00E67914">
              <w:rPr>
                <w:rFonts w:ascii="Times New Roman" w:hAnsi="Times New Roman"/>
                <w:sz w:val="21"/>
                <w:szCs w:val="21"/>
                <w:lang w:eastAsia="zh-CN"/>
              </w:rPr>
              <w:t>）要求</w:t>
            </w:r>
          </w:p>
        </w:tc>
        <w:tc>
          <w:tcPr>
            <w:tcW w:w="718" w:type="dxa"/>
            <w:tcBorders>
              <w:left w:val="single" w:sz="4" w:space="0" w:color="auto"/>
            </w:tcBorders>
            <w:vAlign w:val="center"/>
          </w:tcPr>
          <w:p w14:paraId="06057082"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2662E3" w:rsidRPr="00E67914" w14:paraId="59BE7B62" w14:textId="77777777">
        <w:trPr>
          <w:jc w:val="center"/>
        </w:trPr>
        <w:tc>
          <w:tcPr>
            <w:tcW w:w="562" w:type="dxa"/>
            <w:vMerge/>
            <w:vAlign w:val="center"/>
          </w:tcPr>
          <w:p w14:paraId="0B36EA57" w14:textId="77777777" w:rsidR="00A54A8A" w:rsidRPr="00E67914" w:rsidRDefault="00A54A8A">
            <w:pPr>
              <w:adjustRightInd w:val="0"/>
              <w:snapToGrid w:val="0"/>
              <w:jc w:val="center"/>
              <w:rPr>
                <w:rFonts w:ascii="Times New Roman" w:hAnsi="Times New Roman"/>
                <w:sz w:val="21"/>
                <w:szCs w:val="21"/>
              </w:rPr>
            </w:pPr>
          </w:p>
        </w:tc>
        <w:tc>
          <w:tcPr>
            <w:tcW w:w="1418" w:type="dxa"/>
            <w:vMerge w:val="restart"/>
            <w:vAlign w:val="center"/>
          </w:tcPr>
          <w:p w14:paraId="54C8CE84"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备用柴油发电机尾气</w:t>
            </w:r>
          </w:p>
        </w:tc>
        <w:tc>
          <w:tcPr>
            <w:tcW w:w="1276" w:type="dxa"/>
            <w:vAlign w:val="center"/>
          </w:tcPr>
          <w:p w14:paraId="36A77FA9"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NOx</w:t>
            </w:r>
          </w:p>
        </w:tc>
        <w:tc>
          <w:tcPr>
            <w:tcW w:w="881" w:type="dxa"/>
            <w:vAlign w:val="center"/>
          </w:tcPr>
          <w:p w14:paraId="52D94AD7"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150</w:t>
            </w:r>
          </w:p>
        </w:tc>
        <w:tc>
          <w:tcPr>
            <w:tcW w:w="801" w:type="dxa"/>
            <w:vAlign w:val="center"/>
          </w:tcPr>
          <w:p w14:paraId="7518E8C7"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1.17</w:t>
            </w:r>
          </w:p>
        </w:tc>
        <w:tc>
          <w:tcPr>
            <w:tcW w:w="869" w:type="dxa"/>
            <w:vAlign w:val="center"/>
          </w:tcPr>
          <w:p w14:paraId="57A70FDB"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w w:val="99"/>
                <w:sz w:val="21"/>
                <w:szCs w:val="21"/>
              </w:rPr>
              <w:t>—</w:t>
            </w:r>
          </w:p>
        </w:tc>
        <w:tc>
          <w:tcPr>
            <w:tcW w:w="3402" w:type="dxa"/>
            <w:vMerge w:val="restart"/>
            <w:tcBorders>
              <w:right w:val="single" w:sz="4" w:space="0" w:color="auto"/>
            </w:tcBorders>
            <w:vAlign w:val="center"/>
          </w:tcPr>
          <w:p w14:paraId="3F181E40"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自带消烟除尘装置处理后经</w:t>
            </w:r>
            <w:r w:rsidRPr="00E67914">
              <w:rPr>
                <w:rFonts w:ascii="Times New Roman" w:hAnsi="Times New Roman"/>
                <w:sz w:val="21"/>
                <w:szCs w:val="21"/>
                <w:lang w:eastAsia="zh-CN"/>
              </w:rPr>
              <w:t>6m</w:t>
            </w:r>
            <w:r w:rsidRPr="00E67914">
              <w:rPr>
                <w:rFonts w:ascii="Times New Roman" w:hAnsi="Times New Roman"/>
                <w:sz w:val="21"/>
                <w:szCs w:val="21"/>
                <w:lang w:eastAsia="zh-CN"/>
              </w:rPr>
              <w:t>高排气筒排放</w:t>
            </w:r>
          </w:p>
        </w:tc>
        <w:tc>
          <w:tcPr>
            <w:tcW w:w="1276" w:type="dxa"/>
            <w:vMerge w:val="restart"/>
            <w:tcBorders>
              <w:left w:val="single" w:sz="4" w:space="0" w:color="auto"/>
              <w:right w:val="single" w:sz="4" w:space="0" w:color="auto"/>
            </w:tcBorders>
            <w:vAlign w:val="center"/>
          </w:tcPr>
          <w:p w14:paraId="1B4D40F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偶尔</w:t>
            </w:r>
          </w:p>
        </w:tc>
        <w:tc>
          <w:tcPr>
            <w:tcW w:w="2122" w:type="dxa"/>
            <w:vMerge w:val="restart"/>
            <w:tcBorders>
              <w:left w:val="single" w:sz="4" w:space="0" w:color="auto"/>
              <w:right w:val="single" w:sz="4" w:space="0" w:color="auto"/>
            </w:tcBorders>
            <w:vAlign w:val="center"/>
          </w:tcPr>
          <w:p w14:paraId="7DC2E52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对周围环境影响很小</w:t>
            </w:r>
          </w:p>
        </w:tc>
        <w:tc>
          <w:tcPr>
            <w:tcW w:w="718" w:type="dxa"/>
            <w:vMerge w:val="restart"/>
            <w:tcBorders>
              <w:left w:val="single" w:sz="4" w:space="0" w:color="auto"/>
            </w:tcBorders>
            <w:vAlign w:val="center"/>
          </w:tcPr>
          <w:p w14:paraId="38DEE330"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2662E3" w:rsidRPr="00E67914" w14:paraId="4BA52939" w14:textId="77777777">
        <w:trPr>
          <w:jc w:val="center"/>
        </w:trPr>
        <w:tc>
          <w:tcPr>
            <w:tcW w:w="562" w:type="dxa"/>
            <w:vMerge/>
            <w:vAlign w:val="center"/>
          </w:tcPr>
          <w:p w14:paraId="7B903B5C" w14:textId="77777777" w:rsidR="00A54A8A" w:rsidRPr="00E67914" w:rsidRDefault="00A54A8A">
            <w:pPr>
              <w:adjustRightInd w:val="0"/>
              <w:snapToGrid w:val="0"/>
              <w:jc w:val="center"/>
              <w:rPr>
                <w:rFonts w:ascii="Times New Roman" w:hAnsi="Times New Roman"/>
                <w:sz w:val="21"/>
                <w:szCs w:val="21"/>
              </w:rPr>
            </w:pPr>
          </w:p>
        </w:tc>
        <w:tc>
          <w:tcPr>
            <w:tcW w:w="1418" w:type="dxa"/>
            <w:vMerge/>
            <w:vAlign w:val="center"/>
          </w:tcPr>
          <w:p w14:paraId="674233AD"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76" w:type="dxa"/>
            <w:vAlign w:val="center"/>
          </w:tcPr>
          <w:p w14:paraId="71C56C68"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SO</w:t>
            </w:r>
            <w:r w:rsidRPr="00E67914">
              <w:rPr>
                <w:rFonts w:ascii="Times New Roman" w:hAnsi="Times New Roman"/>
                <w:sz w:val="21"/>
                <w:szCs w:val="21"/>
                <w:vertAlign w:val="subscript"/>
              </w:rPr>
              <w:t>2</w:t>
            </w:r>
          </w:p>
        </w:tc>
        <w:tc>
          <w:tcPr>
            <w:tcW w:w="881" w:type="dxa"/>
            <w:vAlign w:val="center"/>
          </w:tcPr>
          <w:p w14:paraId="3DDCB59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1.0</w:t>
            </w:r>
          </w:p>
        </w:tc>
        <w:tc>
          <w:tcPr>
            <w:tcW w:w="801" w:type="dxa"/>
            <w:vAlign w:val="center"/>
          </w:tcPr>
          <w:p w14:paraId="572F133B"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0.008</w:t>
            </w:r>
          </w:p>
        </w:tc>
        <w:tc>
          <w:tcPr>
            <w:tcW w:w="869" w:type="dxa"/>
            <w:vAlign w:val="center"/>
          </w:tcPr>
          <w:p w14:paraId="4401B32C"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w w:val="99"/>
                <w:sz w:val="21"/>
                <w:szCs w:val="21"/>
              </w:rPr>
              <w:t>—</w:t>
            </w:r>
          </w:p>
        </w:tc>
        <w:tc>
          <w:tcPr>
            <w:tcW w:w="3402" w:type="dxa"/>
            <w:vMerge/>
            <w:tcBorders>
              <w:right w:val="single" w:sz="4" w:space="0" w:color="auto"/>
            </w:tcBorders>
            <w:vAlign w:val="center"/>
          </w:tcPr>
          <w:p w14:paraId="104378AD"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07794896" w14:textId="77777777" w:rsidR="00A54A8A" w:rsidRPr="00E67914" w:rsidRDefault="00A54A8A">
            <w:pPr>
              <w:adjustRightInd w:val="0"/>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52E25DC2" w14:textId="77777777" w:rsidR="00A54A8A" w:rsidRPr="00E67914" w:rsidRDefault="00A54A8A">
            <w:pPr>
              <w:adjustRightInd w:val="0"/>
              <w:snapToGrid w:val="0"/>
              <w:jc w:val="center"/>
              <w:rPr>
                <w:rFonts w:ascii="Times New Roman" w:hAnsi="Times New Roman"/>
                <w:sz w:val="21"/>
                <w:szCs w:val="21"/>
              </w:rPr>
            </w:pPr>
          </w:p>
        </w:tc>
        <w:tc>
          <w:tcPr>
            <w:tcW w:w="718" w:type="dxa"/>
            <w:vMerge/>
            <w:tcBorders>
              <w:left w:val="single" w:sz="4" w:space="0" w:color="auto"/>
            </w:tcBorders>
            <w:vAlign w:val="center"/>
          </w:tcPr>
          <w:p w14:paraId="5133CF51"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r>
      <w:tr w:rsidR="002662E3" w:rsidRPr="00E67914" w14:paraId="5A218731" w14:textId="77777777">
        <w:trPr>
          <w:jc w:val="center"/>
        </w:trPr>
        <w:tc>
          <w:tcPr>
            <w:tcW w:w="562" w:type="dxa"/>
            <w:vMerge/>
            <w:vAlign w:val="center"/>
          </w:tcPr>
          <w:p w14:paraId="1A2B3E89" w14:textId="77777777" w:rsidR="00A54A8A" w:rsidRPr="00E67914" w:rsidRDefault="00A54A8A">
            <w:pPr>
              <w:adjustRightInd w:val="0"/>
              <w:snapToGrid w:val="0"/>
              <w:jc w:val="center"/>
              <w:rPr>
                <w:rFonts w:ascii="Times New Roman" w:hAnsi="Times New Roman"/>
                <w:sz w:val="21"/>
                <w:szCs w:val="21"/>
              </w:rPr>
            </w:pPr>
          </w:p>
        </w:tc>
        <w:tc>
          <w:tcPr>
            <w:tcW w:w="1418" w:type="dxa"/>
            <w:vMerge/>
            <w:vAlign w:val="center"/>
          </w:tcPr>
          <w:p w14:paraId="080AC48C"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76" w:type="dxa"/>
            <w:vAlign w:val="center"/>
          </w:tcPr>
          <w:p w14:paraId="2022D9DF"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TSP</w:t>
            </w:r>
          </w:p>
        </w:tc>
        <w:tc>
          <w:tcPr>
            <w:tcW w:w="881" w:type="dxa"/>
            <w:vAlign w:val="center"/>
          </w:tcPr>
          <w:p w14:paraId="740CFD8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41</w:t>
            </w:r>
          </w:p>
        </w:tc>
        <w:tc>
          <w:tcPr>
            <w:tcW w:w="801" w:type="dxa"/>
            <w:vAlign w:val="center"/>
          </w:tcPr>
          <w:p w14:paraId="316702C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0.33</w:t>
            </w:r>
          </w:p>
        </w:tc>
        <w:tc>
          <w:tcPr>
            <w:tcW w:w="869" w:type="dxa"/>
            <w:vAlign w:val="center"/>
          </w:tcPr>
          <w:p w14:paraId="57E1705E" w14:textId="77777777" w:rsidR="00A54A8A" w:rsidRPr="00E67914" w:rsidRDefault="00000000">
            <w:pPr>
              <w:pStyle w:val="TableParagraph"/>
              <w:adjustRightInd w:val="0"/>
              <w:snapToGrid w:val="0"/>
              <w:jc w:val="center"/>
              <w:rPr>
                <w:rFonts w:ascii="Times New Roman" w:eastAsia="Times New Roman" w:hAnsi="Times New Roman"/>
                <w:sz w:val="21"/>
                <w:szCs w:val="21"/>
              </w:rPr>
            </w:pPr>
            <w:r w:rsidRPr="00E67914">
              <w:rPr>
                <w:rFonts w:ascii="Times New Roman" w:hAnsi="Times New Roman"/>
                <w:w w:val="99"/>
                <w:sz w:val="21"/>
                <w:szCs w:val="21"/>
              </w:rPr>
              <w:t>—</w:t>
            </w:r>
          </w:p>
        </w:tc>
        <w:tc>
          <w:tcPr>
            <w:tcW w:w="3402" w:type="dxa"/>
            <w:vMerge/>
            <w:tcBorders>
              <w:right w:val="single" w:sz="4" w:space="0" w:color="auto"/>
            </w:tcBorders>
            <w:vAlign w:val="center"/>
          </w:tcPr>
          <w:p w14:paraId="7EA0A035"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732F1E31" w14:textId="77777777" w:rsidR="00A54A8A" w:rsidRPr="00E67914" w:rsidRDefault="00A54A8A">
            <w:pPr>
              <w:adjustRightInd w:val="0"/>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71A63143" w14:textId="77777777" w:rsidR="00A54A8A" w:rsidRPr="00E67914" w:rsidRDefault="00A54A8A">
            <w:pPr>
              <w:adjustRightInd w:val="0"/>
              <w:snapToGrid w:val="0"/>
              <w:jc w:val="center"/>
              <w:rPr>
                <w:rFonts w:ascii="Times New Roman" w:hAnsi="Times New Roman"/>
                <w:sz w:val="21"/>
                <w:szCs w:val="21"/>
              </w:rPr>
            </w:pPr>
          </w:p>
        </w:tc>
        <w:tc>
          <w:tcPr>
            <w:tcW w:w="718" w:type="dxa"/>
            <w:vMerge/>
            <w:tcBorders>
              <w:left w:val="single" w:sz="4" w:space="0" w:color="auto"/>
            </w:tcBorders>
            <w:vAlign w:val="center"/>
          </w:tcPr>
          <w:p w14:paraId="0FBCD419"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r>
      <w:tr w:rsidR="002662E3" w:rsidRPr="00E67914" w14:paraId="62DF5EDB" w14:textId="77777777">
        <w:trPr>
          <w:jc w:val="center"/>
        </w:trPr>
        <w:tc>
          <w:tcPr>
            <w:tcW w:w="562" w:type="dxa"/>
            <w:vMerge/>
            <w:vAlign w:val="center"/>
          </w:tcPr>
          <w:p w14:paraId="534C40E9" w14:textId="77777777" w:rsidR="00A54A8A" w:rsidRPr="00E67914" w:rsidRDefault="00A54A8A">
            <w:pPr>
              <w:adjustRightInd w:val="0"/>
              <w:snapToGrid w:val="0"/>
              <w:jc w:val="center"/>
              <w:rPr>
                <w:rFonts w:ascii="Times New Roman" w:hAnsi="Times New Roman"/>
                <w:sz w:val="21"/>
                <w:szCs w:val="21"/>
              </w:rPr>
            </w:pPr>
          </w:p>
        </w:tc>
        <w:tc>
          <w:tcPr>
            <w:tcW w:w="1418" w:type="dxa"/>
            <w:vMerge w:val="restart"/>
            <w:vAlign w:val="center"/>
          </w:tcPr>
          <w:p w14:paraId="2F6309E1" w14:textId="620D8C3B" w:rsidR="00A54A8A" w:rsidRPr="00E67914" w:rsidRDefault="007E73B6">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水套炉燃烧废气</w:t>
            </w:r>
          </w:p>
        </w:tc>
        <w:tc>
          <w:tcPr>
            <w:tcW w:w="1276" w:type="dxa"/>
            <w:vAlign w:val="center"/>
          </w:tcPr>
          <w:p w14:paraId="057ED169"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SO</w:t>
            </w:r>
            <w:r w:rsidRPr="00E67914">
              <w:rPr>
                <w:rFonts w:ascii="Times New Roman" w:hAnsi="Times New Roman"/>
                <w:sz w:val="21"/>
                <w:szCs w:val="21"/>
                <w:vertAlign w:val="subscript"/>
              </w:rPr>
              <w:t>2</w:t>
            </w:r>
          </w:p>
        </w:tc>
        <w:tc>
          <w:tcPr>
            <w:tcW w:w="881" w:type="dxa"/>
            <w:vAlign w:val="center"/>
          </w:tcPr>
          <w:p w14:paraId="6D34665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w w:val="99"/>
                <w:sz w:val="21"/>
                <w:szCs w:val="21"/>
              </w:rPr>
              <w:t>—</w:t>
            </w:r>
          </w:p>
        </w:tc>
        <w:tc>
          <w:tcPr>
            <w:tcW w:w="801" w:type="dxa"/>
            <w:vAlign w:val="center"/>
          </w:tcPr>
          <w:p w14:paraId="0E47C0A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w w:val="99"/>
                <w:sz w:val="21"/>
                <w:szCs w:val="21"/>
              </w:rPr>
              <w:t>—</w:t>
            </w:r>
          </w:p>
        </w:tc>
        <w:tc>
          <w:tcPr>
            <w:tcW w:w="869" w:type="dxa"/>
            <w:vAlign w:val="center"/>
          </w:tcPr>
          <w:p w14:paraId="71B56E7F" w14:textId="4313C695" w:rsidR="00A54A8A" w:rsidRPr="00E67914" w:rsidRDefault="007E73B6">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0.018t/a</w:t>
            </w:r>
          </w:p>
        </w:tc>
        <w:tc>
          <w:tcPr>
            <w:tcW w:w="3402" w:type="dxa"/>
            <w:vMerge w:val="restart"/>
            <w:tcBorders>
              <w:right w:val="single" w:sz="4" w:space="0" w:color="auto"/>
            </w:tcBorders>
            <w:vAlign w:val="center"/>
          </w:tcPr>
          <w:p w14:paraId="585CFD10"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水套加热炉燃烧废气通过自带</w:t>
            </w:r>
            <w:r w:rsidRPr="00E67914">
              <w:rPr>
                <w:rFonts w:ascii="Times New Roman" w:hAnsi="Times New Roman"/>
                <w:sz w:val="21"/>
                <w:szCs w:val="21"/>
                <w:lang w:eastAsia="zh-CN"/>
              </w:rPr>
              <w:t>8m</w:t>
            </w:r>
            <w:r w:rsidRPr="00E67914">
              <w:rPr>
                <w:rFonts w:ascii="Times New Roman" w:hAnsi="Times New Roman"/>
                <w:sz w:val="21"/>
                <w:szCs w:val="21"/>
                <w:lang w:eastAsia="zh-CN"/>
              </w:rPr>
              <w:t>高排气筒排放</w:t>
            </w:r>
          </w:p>
        </w:tc>
        <w:tc>
          <w:tcPr>
            <w:tcW w:w="1276" w:type="dxa"/>
            <w:vMerge w:val="restart"/>
            <w:tcBorders>
              <w:left w:val="single" w:sz="4" w:space="0" w:color="auto"/>
              <w:right w:val="single" w:sz="4" w:space="0" w:color="auto"/>
            </w:tcBorders>
            <w:vAlign w:val="center"/>
          </w:tcPr>
          <w:p w14:paraId="026543A1"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全年</w:t>
            </w:r>
          </w:p>
        </w:tc>
        <w:tc>
          <w:tcPr>
            <w:tcW w:w="2122" w:type="dxa"/>
            <w:vMerge w:val="restart"/>
            <w:tcBorders>
              <w:left w:val="single" w:sz="4" w:space="0" w:color="auto"/>
              <w:right w:val="single" w:sz="4" w:space="0" w:color="auto"/>
            </w:tcBorders>
            <w:vAlign w:val="center"/>
          </w:tcPr>
          <w:p w14:paraId="01E031C9" w14:textId="5106A19B"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《锅炉大气污染物排放标准》（</w:t>
            </w:r>
            <w:r w:rsidRPr="00E67914">
              <w:rPr>
                <w:rFonts w:ascii="Times New Roman" w:hAnsi="Times New Roman"/>
                <w:sz w:val="21"/>
                <w:szCs w:val="21"/>
                <w:lang w:eastAsia="zh-CN"/>
              </w:rPr>
              <w:t>GB13271-2014</w:t>
            </w:r>
            <w:r w:rsidRPr="00E67914">
              <w:rPr>
                <w:rFonts w:ascii="Times New Roman" w:hAnsi="Times New Roman"/>
                <w:sz w:val="21"/>
                <w:szCs w:val="21"/>
                <w:lang w:eastAsia="zh-CN"/>
              </w:rPr>
              <w:t>）</w:t>
            </w:r>
          </w:p>
        </w:tc>
        <w:tc>
          <w:tcPr>
            <w:tcW w:w="718" w:type="dxa"/>
            <w:vMerge w:val="restart"/>
            <w:tcBorders>
              <w:left w:val="single" w:sz="4" w:space="0" w:color="auto"/>
            </w:tcBorders>
            <w:vAlign w:val="center"/>
          </w:tcPr>
          <w:p w14:paraId="10E2ABA4"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2662E3" w:rsidRPr="00E67914" w14:paraId="0F762FA2" w14:textId="77777777">
        <w:trPr>
          <w:jc w:val="center"/>
        </w:trPr>
        <w:tc>
          <w:tcPr>
            <w:tcW w:w="562" w:type="dxa"/>
            <w:vMerge/>
            <w:vAlign w:val="center"/>
          </w:tcPr>
          <w:p w14:paraId="2E46D730" w14:textId="77777777" w:rsidR="00A54A8A" w:rsidRPr="00E67914" w:rsidRDefault="00A54A8A">
            <w:pPr>
              <w:adjustRightInd w:val="0"/>
              <w:snapToGrid w:val="0"/>
              <w:jc w:val="center"/>
              <w:rPr>
                <w:rFonts w:ascii="Times New Roman" w:hAnsi="Times New Roman"/>
                <w:sz w:val="21"/>
                <w:szCs w:val="21"/>
              </w:rPr>
            </w:pPr>
          </w:p>
        </w:tc>
        <w:tc>
          <w:tcPr>
            <w:tcW w:w="1418" w:type="dxa"/>
            <w:vMerge/>
            <w:vAlign w:val="center"/>
          </w:tcPr>
          <w:p w14:paraId="6EBA15B7"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76" w:type="dxa"/>
            <w:vAlign w:val="center"/>
          </w:tcPr>
          <w:p w14:paraId="73E0000B"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NOx</w:t>
            </w:r>
          </w:p>
        </w:tc>
        <w:tc>
          <w:tcPr>
            <w:tcW w:w="881" w:type="dxa"/>
            <w:vAlign w:val="center"/>
          </w:tcPr>
          <w:p w14:paraId="736E9BDB"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755E161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w w:val="99"/>
                <w:sz w:val="21"/>
                <w:szCs w:val="21"/>
              </w:rPr>
              <w:t>—</w:t>
            </w:r>
          </w:p>
        </w:tc>
        <w:tc>
          <w:tcPr>
            <w:tcW w:w="869" w:type="dxa"/>
            <w:vAlign w:val="center"/>
          </w:tcPr>
          <w:p w14:paraId="35837CF4"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0.085t/a</w:t>
            </w:r>
          </w:p>
        </w:tc>
        <w:tc>
          <w:tcPr>
            <w:tcW w:w="3402" w:type="dxa"/>
            <w:vMerge/>
            <w:tcBorders>
              <w:right w:val="single" w:sz="4" w:space="0" w:color="auto"/>
            </w:tcBorders>
            <w:vAlign w:val="center"/>
          </w:tcPr>
          <w:p w14:paraId="105D6074"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694A0460" w14:textId="77777777" w:rsidR="00A54A8A" w:rsidRPr="00E67914" w:rsidRDefault="00A54A8A">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5796C698" w14:textId="77777777" w:rsidR="00A54A8A" w:rsidRPr="00E67914" w:rsidRDefault="00A54A8A">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4E4D8863"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r>
      <w:tr w:rsidR="002662E3" w:rsidRPr="00E67914" w14:paraId="30698ADD" w14:textId="77777777">
        <w:trPr>
          <w:jc w:val="center"/>
        </w:trPr>
        <w:tc>
          <w:tcPr>
            <w:tcW w:w="562" w:type="dxa"/>
            <w:vMerge/>
            <w:vAlign w:val="center"/>
          </w:tcPr>
          <w:p w14:paraId="440E2262" w14:textId="77777777" w:rsidR="00A54A8A" w:rsidRPr="00E67914" w:rsidRDefault="00A54A8A">
            <w:pPr>
              <w:adjustRightInd w:val="0"/>
              <w:snapToGrid w:val="0"/>
              <w:jc w:val="center"/>
              <w:rPr>
                <w:rFonts w:ascii="Times New Roman" w:hAnsi="Times New Roman"/>
                <w:sz w:val="21"/>
                <w:szCs w:val="21"/>
              </w:rPr>
            </w:pPr>
          </w:p>
        </w:tc>
        <w:tc>
          <w:tcPr>
            <w:tcW w:w="1418" w:type="dxa"/>
            <w:vMerge/>
            <w:vAlign w:val="center"/>
          </w:tcPr>
          <w:p w14:paraId="6D49DCD8"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76" w:type="dxa"/>
            <w:vAlign w:val="center"/>
          </w:tcPr>
          <w:p w14:paraId="45AA431A"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lang w:eastAsia="zh-CN"/>
              </w:rPr>
              <w:t>烟尘</w:t>
            </w:r>
          </w:p>
        </w:tc>
        <w:tc>
          <w:tcPr>
            <w:tcW w:w="881" w:type="dxa"/>
            <w:vAlign w:val="center"/>
          </w:tcPr>
          <w:p w14:paraId="2FDD275F"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523C22B4"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w w:val="99"/>
                <w:sz w:val="21"/>
                <w:szCs w:val="21"/>
              </w:rPr>
              <w:t>—</w:t>
            </w:r>
          </w:p>
        </w:tc>
        <w:tc>
          <w:tcPr>
            <w:tcW w:w="869" w:type="dxa"/>
            <w:vAlign w:val="center"/>
          </w:tcPr>
          <w:p w14:paraId="680C4042" w14:textId="19D4831D"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0.01</w:t>
            </w:r>
            <w:r w:rsidR="007E73B6" w:rsidRPr="00E67914">
              <w:rPr>
                <w:rFonts w:ascii="Times New Roman" w:hAnsi="Times New Roman"/>
                <w:sz w:val="21"/>
                <w:szCs w:val="21"/>
                <w:lang w:eastAsia="zh-CN"/>
              </w:rPr>
              <w:t>3</w:t>
            </w:r>
            <w:r w:rsidRPr="00E67914">
              <w:rPr>
                <w:rFonts w:ascii="Times New Roman" w:hAnsi="Times New Roman"/>
                <w:sz w:val="21"/>
                <w:szCs w:val="21"/>
                <w:lang w:eastAsia="zh-CN"/>
              </w:rPr>
              <w:t>t/a</w:t>
            </w:r>
          </w:p>
        </w:tc>
        <w:tc>
          <w:tcPr>
            <w:tcW w:w="3402" w:type="dxa"/>
            <w:vMerge/>
            <w:tcBorders>
              <w:right w:val="single" w:sz="4" w:space="0" w:color="auto"/>
            </w:tcBorders>
            <w:vAlign w:val="center"/>
          </w:tcPr>
          <w:p w14:paraId="390A2142"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54AAAF6D" w14:textId="77777777" w:rsidR="00A54A8A" w:rsidRPr="00E67914" w:rsidRDefault="00A54A8A">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3318C942" w14:textId="77777777" w:rsidR="00A54A8A" w:rsidRPr="00E67914" w:rsidRDefault="00A54A8A">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58EDA897"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r>
      <w:tr w:rsidR="007E73B6" w:rsidRPr="00E67914" w14:paraId="441B392C" w14:textId="77777777">
        <w:trPr>
          <w:jc w:val="center"/>
        </w:trPr>
        <w:tc>
          <w:tcPr>
            <w:tcW w:w="562" w:type="dxa"/>
            <w:vMerge/>
            <w:vAlign w:val="center"/>
          </w:tcPr>
          <w:p w14:paraId="3B3E4F86" w14:textId="77777777" w:rsidR="007E73B6" w:rsidRPr="00E67914" w:rsidRDefault="007E73B6" w:rsidP="007E73B6">
            <w:pPr>
              <w:adjustRightInd w:val="0"/>
              <w:snapToGrid w:val="0"/>
              <w:jc w:val="center"/>
              <w:rPr>
                <w:rFonts w:ascii="Times New Roman" w:hAnsi="Times New Roman"/>
                <w:sz w:val="21"/>
                <w:szCs w:val="21"/>
              </w:rPr>
            </w:pPr>
          </w:p>
        </w:tc>
        <w:tc>
          <w:tcPr>
            <w:tcW w:w="1418" w:type="dxa"/>
            <w:vMerge w:val="restart"/>
            <w:vAlign w:val="center"/>
          </w:tcPr>
          <w:p w14:paraId="607D990D" w14:textId="2F563408" w:rsidR="007E73B6" w:rsidRPr="00E67914" w:rsidRDefault="007E73B6" w:rsidP="007E73B6">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火炬及放空系统长明灯燃烧废气</w:t>
            </w:r>
          </w:p>
        </w:tc>
        <w:tc>
          <w:tcPr>
            <w:tcW w:w="1276" w:type="dxa"/>
            <w:vAlign w:val="center"/>
          </w:tcPr>
          <w:p w14:paraId="4D656B9A" w14:textId="10BD8BCD" w:rsidR="007E73B6" w:rsidRPr="00E67914" w:rsidRDefault="007E73B6" w:rsidP="007E73B6">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SO</w:t>
            </w:r>
            <w:r w:rsidRPr="00E67914">
              <w:rPr>
                <w:rFonts w:ascii="Times New Roman" w:hAnsi="Times New Roman"/>
                <w:sz w:val="21"/>
                <w:szCs w:val="21"/>
                <w:vertAlign w:val="subscript"/>
              </w:rPr>
              <w:t>2</w:t>
            </w:r>
          </w:p>
        </w:tc>
        <w:tc>
          <w:tcPr>
            <w:tcW w:w="881" w:type="dxa"/>
            <w:vAlign w:val="center"/>
          </w:tcPr>
          <w:p w14:paraId="46DDD1A8" w14:textId="636D19BC" w:rsidR="007E73B6" w:rsidRPr="00E67914" w:rsidRDefault="007E73B6" w:rsidP="007E73B6">
            <w:pPr>
              <w:pStyle w:val="TableParagraph"/>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01" w:type="dxa"/>
            <w:vAlign w:val="center"/>
          </w:tcPr>
          <w:p w14:paraId="46C0E449" w14:textId="6B81282C" w:rsidR="007E73B6" w:rsidRPr="00E67914" w:rsidRDefault="007E73B6" w:rsidP="007E73B6">
            <w:pPr>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69" w:type="dxa"/>
            <w:vAlign w:val="center"/>
          </w:tcPr>
          <w:p w14:paraId="71029E95" w14:textId="74594C36" w:rsidR="007E73B6" w:rsidRPr="00E67914" w:rsidRDefault="007E73B6" w:rsidP="007E73B6">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0.0640t/a</w:t>
            </w:r>
          </w:p>
        </w:tc>
        <w:tc>
          <w:tcPr>
            <w:tcW w:w="3402" w:type="dxa"/>
            <w:vMerge w:val="restart"/>
            <w:tcBorders>
              <w:right w:val="single" w:sz="4" w:space="0" w:color="auto"/>
            </w:tcBorders>
            <w:vAlign w:val="center"/>
          </w:tcPr>
          <w:p w14:paraId="0C8AA0B6" w14:textId="41C3928C" w:rsidR="007E73B6" w:rsidRPr="00E67914" w:rsidRDefault="007E73B6" w:rsidP="007E73B6">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通过</w:t>
            </w:r>
            <w:r w:rsidRPr="00E67914">
              <w:rPr>
                <w:rFonts w:ascii="Times New Roman" w:hAnsi="Times New Roman"/>
                <w:sz w:val="21"/>
                <w:szCs w:val="21"/>
                <w:lang w:eastAsia="zh-CN"/>
              </w:rPr>
              <w:t>25m</w:t>
            </w:r>
            <w:r w:rsidRPr="00E67914">
              <w:rPr>
                <w:rFonts w:ascii="Times New Roman" w:hAnsi="Times New Roman"/>
                <w:sz w:val="21"/>
                <w:szCs w:val="21"/>
                <w:lang w:eastAsia="zh-CN"/>
              </w:rPr>
              <w:t>高放空火炬排放</w:t>
            </w:r>
          </w:p>
        </w:tc>
        <w:tc>
          <w:tcPr>
            <w:tcW w:w="1276" w:type="dxa"/>
            <w:vMerge w:val="restart"/>
            <w:tcBorders>
              <w:left w:val="single" w:sz="4" w:space="0" w:color="auto"/>
              <w:right w:val="single" w:sz="4" w:space="0" w:color="auto"/>
            </w:tcBorders>
            <w:vAlign w:val="center"/>
          </w:tcPr>
          <w:p w14:paraId="3D440CDB" w14:textId="60A05D68" w:rsidR="007E73B6" w:rsidRPr="00E67914" w:rsidRDefault="007E73B6" w:rsidP="007E73B6">
            <w:pPr>
              <w:snapToGrid w:val="0"/>
              <w:jc w:val="center"/>
              <w:rPr>
                <w:rFonts w:ascii="Times New Roman" w:hAnsi="Times New Roman"/>
                <w:sz w:val="21"/>
                <w:szCs w:val="21"/>
                <w:lang w:eastAsia="zh-CN"/>
              </w:rPr>
            </w:pPr>
            <w:r w:rsidRPr="00E67914">
              <w:rPr>
                <w:rFonts w:ascii="Times New Roman" w:hAnsi="Times New Roman"/>
                <w:sz w:val="21"/>
                <w:szCs w:val="21"/>
                <w:lang w:eastAsia="zh-CN"/>
              </w:rPr>
              <w:t>全年</w:t>
            </w:r>
          </w:p>
        </w:tc>
        <w:tc>
          <w:tcPr>
            <w:tcW w:w="2122" w:type="dxa"/>
            <w:vMerge w:val="restart"/>
            <w:tcBorders>
              <w:left w:val="single" w:sz="4" w:space="0" w:color="auto"/>
              <w:right w:val="single" w:sz="4" w:space="0" w:color="auto"/>
            </w:tcBorders>
            <w:vAlign w:val="center"/>
          </w:tcPr>
          <w:p w14:paraId="76AE03DF" w14:textId="75E09D55" w:rsidR="007E73B6" w:rsidRPr="00E67914" w:rsidRDefault="003D5CFA" w:rsidP="007E73B6">
            <w:pPr>
              <w:snapToGrid w:val="0"/>
              <w:jc w:val="center"/>
              <w:rPr>
                <w:rFonts w:ascii="Times New Roman" w:hAnsi="Times New Roman"/>
                <w:sz w:val="21"/>
                <w:szCs w:val="21"/>
                <w:lang w:eastAsia="zh-CN"/>
              </w:rPr>
            </w:pPr>
            <w:r w:rsidRPr="00E67914">
              <w:rPr>
                <w:rFonts w:ascii="Times New Roman" w:hAnsi="Times New Roman"/>
                <w:sz w:val="21"/>
                <w:szCs w:val="21"/>
                <w:lang w:eastAsia="zh-CN"/>
              </w:rPr>
              <w:t>《大气污染物综合排放标准》</w:t>
            </w:r>
            <w:r w:rsidRPr="00E67914">
              <w:rPr>
                <w:rFonts w:ascii="Times New Roman" w:hAnsi="Times New Roman"/>
                <w:sz w:val="21"/>
                <w:szCs w:val="21"/>
                <w:lang w:eastAsia="zh-CN"/>
              </w:rPr>
              <w:t>(GB16297-1996)</w:t>
            </w:r>
          </w:p>
        </w:tc>
        <w:tc>
          <w:tcPr>
            <w:tcW w:w="718" w:type="dxa"/>
            <w:vMerge w:val="restart"/>
            <w:tcBorders>
              <w:left w:val="single" w:sz="4" w:space="0" w:color="auto"/>
            </w:tcBorders>
            <w:vAlign w:val="center"/>
          </w:tcPr>
          <w:p w14:paraId="0CD78BCF" w14:textId="134B0AE3" w:rsidR="007E73B6" w:rsidRPr="00E67914" w:rsidRDefault="007E73B6" w:rsidP="007E73B6">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7E73B6" w:rsidRPr="00E67914" w14:paraId="2B5DB97B" w14:textId="77777777">
        <w:trPr>
          <w:jc w:val="center"/>
        </w:trPr>
        <w:tc>
          <w:tcPr>
            <w:tcW w:w="562" w:type="dxa"/>
            <w:vMerge/>
            <w:vAlign w:val="center"/>
          </w:tcPr>
          <w:p w14:paraId="699C9A38" w14:textId="77777777" w:rsidR="007E73B6" w:rsidRPr="00E67914" w:rsidRDefault="007E73B6" w:rsidP="007E73B6">
            <w:pPr>
              <w:adjustRightInd w:val="0"/>
              <w:snapToGrid w:val="0"/>
              <w:jc w:val="center"/>
              <w:rPr>
                <w:rFonts w:ascii="Times New Roman" w:hAnsi="Times New Roman"/>
                <w:sz w:val="21"/>
                <w:szCs w:val="21"/>
                <w:lang w:eastAsia="zh-CN"/>
              </w:rPr>
            </w:pPr>
          </w:p>
        </w:tc>
        <w:tc>
          <w:tcPr>
            <w:tcW w:w="1418" w:type="dxa"/>
            <w:vMerge/>
            <w:vAlign w:val="center"/>
          </w:tcPr>
          <w:p w14:paraId="37D53E58" w14:textId="77777777" w:rsidR="007E73B6" w:rsidRPr="00E67914" w:rsidRDefault="007E73B6" w:rsidP="007E73B6">
            <w:pPr>
              <w:pStyle w:val="TableParagraph"/>
              <w:adjustRightInd w:val="0"/>
              <w:snapToGrid w:val="0"/>
              <w:jc w:val="center"/>
              <w:rPr>
                <w:rFonts w:ascii="Times New Roman" w:hAnsi="Times New Roman"/>
                <w:sz w:val="21"/>
                <w:szCs w:val="21"/>
                <w:lang w:eastAsia="zh-CN"/>
              </w:rPr>
            </w:pPr>
          </w:p>
        </w:tc>
        <w:tc>
          <w:tcPr>
            <w:tcW w:w="1276" w:type="dxa"/>
            <w:vAlign w:val="center"/>
          </w:tcPr>
          <w:p w14:paraId="0AC5944F" w14:textId="52A8EA6C" w:rsidR="007E73B6" w:rsidRPr="00E67914" w:rsidRDefault="007E73B6" w:rsidP="007E73B6">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rPr>
              <w:t>NOx</w:t>
            </w:r>
          </w:p>
        </w:tc>
        <w:tc>
          <w:tcPr>
            <w:tcW w:w="881" w:type="dxa"/>
            <w:vAlign w:val="center"/>
          </w:tcPr>
          <w:p w14:paraId="58D7421C" w14:textId="54EF08E2" w:rsidR="007E73B6" w:rsidRPr="00E67914" w:rsidRDefault="007E73B6" w:rsidP="007E73B6">
            <w:pPr>
              <w:pStyle w:val="TableParagraph"/>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01" w:type="dxa"/>
            <w:vAlign w:val="center"/>
          </w:tcPr>
          <w:p w14:paraId="55101AD7" w14:textId="7134AB54" w:rsidR="007E73B6" w:rsidRPr="00E67914" w:rsidRDefault="007E73B6" w:rsidP="007E73B6">
            <w:pPr>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69" w:type="dxa"/>
            <w:vAlign w:val="center"/>
          </w:tcPr>
          <w:p w14:paraId="65E28ECF" w14:textId="4633DD55" w:rsidR="007E73B6" w:rsidRPr="00E67914" w:rsidRDefault="007E73B6" w:rsidP="007E73B6">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0.1497t/a</w:t>
            </w:r>
          </w:p>
        </w:tc>
        <w:tc>
          <w:tcPr>
            <w:tcW w:w="3402" w:type="dxa"/>
            <w:vMerge/>
            <w:tcBorders>
              <w:right w:val="single" w:sz="4" w:space="0" w:color="auto"/>
            </w:tcBorders>
            <w:vAlign w:val="center"/>
          </w:tcPr>
          <w:p w14:paraId="3F8D79D6" w14:textId="77777777" w:rsidR="007E73B6" w:rsidRPr="00E67914" w:rsidRDefault="007E73B6" w:rsidP="007E73B6">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3187CA07" w14:textId="77777777" w:rsidR="007E73B6" w:rsidRPr="00E67914" w:rsidRDefault="007E73B6" w:rsidP="007E73B6">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415E4CBA" w14:textId="77777777" w:rsidR="007E73B6" w:rsidRPr="00E67914" w:rsidRDefault="007E73B6" w:rsidP="007E73B6">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59B261C5" w14:textId="77777777" w:rsidR="007E73B6" w:rsidRPr="00E67914" w:rsidRDefault="007E73B6" w:rsidP="007E73B6">
            <w:pPr>
              <w:pStyle w:val="TableParagraph"/>
              <w:adjustRightInd w:val="0"/>
              <w:snapToGrid w:val="0"/>
              <w:jc w:val="center"/>
              <w:rPr>
                <w:rFonts w:ascii="Times New Roman" w:hAnsi="Times New Roman"/>
                <w:sz w:val="21"/>
                <w:szCs w:val="21"/>
                <w:lang w:eastAsia="zh-CN"/>
              </w:rPr>
            </w:pPr>
          </w:p>
        </w:tc>
      </w:tr>
      <w:tr w:rsidR="007E73B6" w:rsidRPr="00E67914" w14:paraId="27F4E727" w14:textId="77777777">
        <w:trPr>
          <w:jc w:val="center"/>
        </w:trPr>
        <w:tc>
          <w:tcPr>
            <w:tcW w:w="562" w:type="dxa"/>
            <w:vMerge/>
            <w:vAlign w:val="center"/>
          </w:tcPr>
          <w:p w14:paraId="586CB776" w14:textId="77777777" w:rsidR="007E73B6" w:rsidRPr="00E67914" w:rsidRDefault="007E73B6" w:rsidP="007E73B6">
            <w:pPr>
              <w:adjustRightInd w:val="0"/>
              <w:snapToGrid w:val="0"/>
              <w:jc w:val="center"/>
              <w:rPr>
                <w:rFonts w:ascii="Times New Roman" w:hAnsi="Times New Roman"/>
                <w:sz w:val="21"/>
                <w:szCs w:val="21"/>
                <w:lang w:eastAsia="zh-CN"/>
              </w:rPr>
            </w:pPr>
          </w:p>
        </w:tc>
        <w:tc>
          <w:tcPr>
            <w:tcW w:w="1418" w:type="dxa"/>
            <w:vMerge/>
            <w:vAlign w:val="center"/>
          </w:tcPr>
          <w:p w14:paraId="5DC701D5" w14:textId="77777777" w:rsidR="007E73B6" w:rsidRPr="00E67914" w:rsidRDefault="007E73B6" w:rsidP="007E73B6">
            <w:pPr>
              <w:pStyle w:val="TableParagraph"/>
              <w:adjustRightInd w:val="0"/>
              <w:snapToGrid w:val="0"/>
              <w:jc w:val="center"/>
              <w:rPr>
                <w:rFonts w:ascii="Times New Roman" w:hAnsi="Times New Roman"/>
                <w:sz w:val="21"/>
                <w:szCs w:val="21"/>
                <w:lang w:eastAsia="zh-CN"/>
              </w:rPr>
            </w:pPr>
          </w:p>
        </w:tc>
        <w:tc>
          <w:tcPr>
            <w:tcW w:w="1276" w:type="dxa"/>
            <w:vAlign w:val="center"/>
          </w:tcPr>
          <w:p w14:paraId="369E2BA9" w14:textId="35361EDB" w:rsidR="007E73B6" w:rsidRPr="00E67914" w:rsidRDefault="007E73B6" w:rsidP="007E73B6">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烟尘</w:t>
            </w:r>
          </w:p>
        </w:tc>
        <w:tc>
          <w:tcPr>
            <w:tcW w:w="881" w:type="dxa"/>
            <w:vAlign w:val="center"/>
          </w:tcPr>
          <w:p w14:paraId="6CFDBFB8" w14:textId="0C9D9E92" w:rsidR="007E73B6" w:rsidRPr="00E67914" w:rsidRDefault="007E73B6" w:rsidP="007E73B6">
            <w:pPr>
              <w:pStyle w:val="TableParagraph"/>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01" w:type="dxa"/>
            <w:vAlign w:val="center"/>
          </w:tcPr>
          <w:p w14:paraId="5DB0E111" w14:textId="15D8EDA1" w:rsidR="007E73B6" w:rsidRPr="00E67914" w:rsidRDefault="007E73B6" w:rsidP="007E73B6">
            <w:pPr>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69" w:type="dxa"/>
            <w:vAlign w:val="center"/>
          </w:tcPr>
          <w:p w14:paraId="65B72051" w14:textId="6FA5DDC8" w:rsidR="007E73B6" w:rsidRPr="00E67914" w:rsidRDefault="007E73B6" w:rsidP="007E73B6">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0.0458t/a</w:t>
            </w:r>
          </w:p>
        </w:tc>
        <w:tc>
          <w:tcPr>
            <w:tcW w:w="3402" w:type="dxa"/>
            <w:vMerge/>
            <w:tcBorders>
              <w:right w:val="single" w:sz="4" w:space="0" w:color="auto"/>
            </w:tcBorders>
            <w:vAlign w:val="center"/>
          </w:tcPr>
          <w:p w14:paraId="3D5FA6C8" w14:textId="77777777" w:rsidR="007E73B6" w:rsidRPr="00E67914" w:rsidRDefault="007E73B6" w:rsidP="007E73B6">
            <w:pPr>
              <w:pStyle w:val="TableParagraph"/>
              <w:adjustRightInd w:val="0"/>
              <w:snapToGrid w:val="0"/>
              <w:jc w:val="center"/>
              <w:rPr>
                <w:rFonts w:ascii="Times New Roman" w:hAnsi="Times New Roman"/>
                <w:sz w:val="21"/>
                <w:szCs w:val="21"/>
                <w:lang w:eastAsia="zh-CN"/>
              </w:rPr>
            </w:pPr>
          </w:p>
        </w:tc>
        <w:tc>
          <w:tcPr>
            <w:tcW w:w="1276" w:type="dxa"/>
            <w:vMerge/>
            <w:tcBorders>
              <w:left w:val="single" w:sz="4" w:space="0" w:color="auto"/>
              <w:right w:val="single" w:sz="4" w:space="0" w:color="auto"/>
            </w:tcBorders>
            <w:vAlign w:val="center"/>
          </w:tcPr>
          <w:p w14:paraId="198E1AF4" w14:textId="77777777" w:rsidR="007E73B6" w:rsidRPr="00E67914" w:rsidRDefault="007E73B6" w:rsidP="007E73B6">
            <w:pPr>
              <w:snapToGrid w:val="0"/>
              <w:jc w:val="center"/>
              <w:rPr>
                <w:rFonts w:ascii="Times New Roman" w:hAnsi="Times New Roman"/>
                <w:sz w:val="21"/>
                <w:szCs w:val="21"/>
                <w:lang w:eastAsia="zh-CN"/>
              </w:rPr>
            </w:pPr>
          </w:p>
        </w:tc>
        <w:tc>
          <w:tcPr>
            <w:tcW w:w="2122" w:type="dxa"/>
            <w:vMerge/>
            <w:tcBorders>
              <w:left w:val="single" w:sz="4" w:space="0" w:color="auto"/>
              <w:right w:val="single" w:sz="4" w:space="0" w:color="auto"/>
            </w:tcBorders>
            <w:vAlign w:val="center"/>
          </w:tcPr>
          <w:p w14:paraId="7BACC360" w14:textId="77777777" w:rsidR="007E73B6" w:rsidRPr="00E67914" w:rsidRDefault="007E73B6" w:rsidP="007E73B6">
            <w:pPr>
              <w:snapToGrid w:val="0"/>
              <w:jc w:val="center"/>
              <w:rPr>
                <w:rFonts w:ascii="Times New Roman" w:hAnsi="Times New Roman"/>
                <w:sz w:val="21"/>
                <w:szCs w:val="21"/>
                <w:lang w:eastAsia="zh-CN"/>
              </w:rPr>
            </w:pPr>
          </w:p>
        </w:tc>
        <w:tc>
          <w:tcPr>
            <w:tcW w:w="718" w:type="dxa"/>
            <w:vMerge/>
            <w:tcBorders>
              <w:left w:val="single" w:sz="4" w:space="0" w:color="auto"/>
            </w:tcBorders>
            <w:vAlign w:val="center"/>
          </w:tcPr>
          <w:p w14:paraId="2DD037AE" w14:textId="77777777" w:rsidR="007E73B6" w:rsidRPr="00E67914" w:rsidRDefault="007E73B6" w:rsidP="007E73B6">
            <w:pPr>
              <w:pStyle w:val="TableParagraph"/>
              <w:adjustRightInd w:val="0"/>
              <w:snapToGrid w:val="0"/>
              <w:jc w:val="center"/>
              <w:rPr>
                <w:rFonts w:ascii="Times New Roman" w:hAnsi="Times New Roman"/>
                <w:sz w:val="21"/>
                <w:szCs w:val="21"/>
                <w:lang w:eastAsia="zh-CN"/>
              </w:rPr>
            </w:pPr>
          </w:p>
        </w:tc>
      </w:tr>
      <w:tr w:rsidR="003D5CFA" w:rsidRPr="00E67914" w14:paraId="15B267A5" w14:textId="77777777" w:rsidTr="003D5CFA">
        <w:trPr>
          <w:trHeight w:val="918"/>
          <w:jc w:val="center"/>
        </w:trPr>
        <w:tc>
          <w:tcPr>
            <w:tcW w:w="562" w:type="dxa"/>
            <w:vMerge/>
            <w:vAlign w:val="center"/>
          </w:tcPr>
          <w:p w14:paraId="1480F99C" w14:textId="77777777" w:rsidR="003D5CFA" w:rsidRPr="00E67914" w:rsidRDefault="003D5CFA" w:rsidP="003D5CFA">
            <w:pPr>
              <w:adjustRightInd w:val="0"/>
              <w:snapToGrid w:val="0"/>
              <w:jc w:val="center"/>
              <w:rPr>
                <w:rFonts w:ascii="Times New Roman" w:hAnsi="Times New Roman"/>
                <w:sz w:val="21"/>
                <w:szCs w:val="21"/>
                <w:lang w:eastAsia="zh-CN"/>
              </w:rPr>
            </w:pPr>
          </w:p>
        </w:tc>
        <w:tc>
          <w:tcPr>
            <w:tcW w:w="1418" w:type="dxa"/>
            <w:vAlign w:val="center"/>
          </w:tcPr>
          <w:p w14:paraId="32F496EF" w14:textId="3EFB7C05"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油罐挥发气体</w:t>
            </w:r>
          </w:p>
        </w:tc>
        <w:tc>
          <w:tcPr>
            <w:tcW w:w="1276" w:type="dxa"/>
            <w:vAlign w:val="center"/>
          </w:tcPr>
          <w:p w14:paraId="6C4F30AE" w14:textId="50D19F83"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NMHC</w:t>
            </w:r>
          </w:p>
        </w:tc>
        <w:tc>
          <w:tcPr>
            <w:tcW w:w="881" w:type="dxa"/>
            <w:vAlign w:val="center"/>
          </w:tcPr>
          <w:p w14:paraId="350B6598" w14:textId="682C323D" w:rsidR="003D5CFA" w:rsidRPr="00E67914" w:rsidRDefault="003D5CFA" w:rsidP="003D5CFA">
            <w:pPr>
              <w:pStyle w:val="TableParagraph"/>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01" w:type="dxa"/>
            <w:vAlign w:val="center"/>
          </w:tcPr>
          <w:p w14:paraId="11453EBB" w14:textId="0290309F" w:rsidR="003D5CFA" w:rsidRPr="00E67914" w:rsidRDefault="003D5CFA" w:rsidP="003D5CFA">
            <w:pPr>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69" w:type="dxa"/>
            <w:vAlign w:val="center"/>
          </w:tcPr>
          <w:p w14:paraId="28843C7D" w14:textId="1A361526" w:rsidR="003D5CFA" w:rsidRPr="00E67914" w:rsidRDefault="003D5CFA" w:rsidP="003D5CFA">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0.62t/a</w:t>
            </w:r>
          </w:p>
        </w:tc>
        <w:tc>
          <w:tcPr>
            <w:tcW w:w="3402" w:type="dxa"/>
            <w:tcBorders>
              <w:right w:val="single" w:sz="4" w:space="0" w:color="auto"/>
            </w:tcBorders>
            <w:vAlign w:val="center"/>
          </w:tcPr>
          <w:p w14:paraId="741155DB" w14:textId="69808B9D"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通过</w:t>
            </w:r>
            <w:r w:rsidRPr="00E67914">
              <w:rPr>
                <w:rFonts w:ascii="Times New Roman" w:hAnsi="Times New Roman"/>
                <w:sz w:val="21"/>
                <w:szCs w:val="21"/>
                <w:lang w:eastAsia="zh-CN"/>
              </w:rPr>
              <w:t>6m</w:t>
            </w:r>
            <w:r w:rsidRPr="00E67914">
              <w:rPr>
                <w:rFonts w:ascii="Times New Roman" w:hAnsi="Times New Roman"/>
                <w:sz w:val="21"/>
                <w:szCs w:val="21"/>
                <w:lang w:eastAsia="zh-CN"/>
              </w:rPr>
              <w:t>放空立管放空</w:t>
            </w:r>
          </w:p>
        </w:tc>
        <w:tc>
          <w:tcPr>
            <w:tcW w:w="1276" w:type="dxa"/>
            <w:tcBorders>
              <w:left w:val="single" w:sz="4" w:space="0" w:color="auto"/>
              <w:right w:val="single" w:sz="4" w:space="0" w:color="auto"/>
            </w:tcBorders>
            <w:vAlign w:val="center"/>
          </w:tcPr>
          <w:p w14:paraId="5817B994" w14:textId="0CECDE0A" w:rsidR="003D5CFA" w:rsidRPr="00E67914" w:rsidRDefault="003D5CFA"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全年</w:t>
            </w:r>
          </w:p>
        </w:tc>
        <w:tc>
          <w:tcPr>
            <w:tcW w:w="2122" w:type="dxa"/>
            <w:vMerge w:val="restart"/>
            <w:tcBorders>
              <w:left w:val="single" w:sz="4" w:space="0" w:color="auto"/>
              <w:right w:val="single" w:sz="4" w:space="0" w:color="auto"/>
            </w:tcBorders>
            <w:vAlign w:val="center"/>
          </w:tcPr>
          <w:p w14:paraId="213748E5" w14:textId="223A6C11" w:rsidR="003D5CFA" w:rsidRPr="00E67914" w:rsidRDefault="003D5CFA"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《陆上石油天然气开采工业大气污染物排放标准》（</w:t>
            </w:r>
            <w:r w:rsidRPr="00E67914">
              <w:rPr>
                <w:rFonts w:ascii="Times New Roman" w:hAnsi="Times New Roman"/>
                <w:sz w:val="21"/>
                <w:szCs w:val="21"/>
                <w:lang w:eastAsia="zh-CN"/>
              </w:rPr>
              <w:t>GB39728-2020</w:t>
            </w:r>
            <w:r w:rsidRPr="00E67914">
              <w:rPr>
                <w:rFonts w:ascii="Times New Roman" w:hAnsi="Times New Roman"/>
                <w:sz w:val="21"/>
                <w:szCs w:val="21"/>
                <w:lang w:eastAsia="zh-CN"/>
              </w:rPr>
              <w:t>）</w:t>
            </w:r>
          </w:p>
        </w:tc>
        <w:tc>
          <w:tcPr>
            <w:tcW w:w="718" w:type="dxa"/>
            <w:tcBorders>
              <w:left w:val="single" w:sz="4" w:space="0" w:color="auto"/>
            </w:tcBorders>
            <w:vAlign w:val="center"/>
          </w:tcPr>
          <w:p w14:paraId="60F442C5" w14:textId="23670406"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3D5CFA" w:rsidRPr="00E67914" w14:paraId="6552BE1F" w14:textId="77777777">
        <w:trPr>
          <w:jc w:val="center"/>
        </w:trPr>
        <w:tc>
          <w:tcPr>
            <w:tcW w:w="562" w:type="dxa"/>
            <w:vMerge/>
            <w:vAlign w:val="center"/>
          </w:tcPr>
          <w:p w14:paraId="2839619B" w14:textId="77777777" w:rsidR="003D5CFA" w:rsidRPr="00E67914" w:rsidRDefault="003D5CFA" w:rsidP="003D5CFA">
            <w:pPr>
              <w:adjustRightInd w:val="0"/>
              <w:snapToGrid w:val="0"/>
              <w:jc w:val="center"/>
              <w:rPr>
                <w:rFonts w:ascii="Times New Roman" w:hAnsi="Times New Roman"/>
                <w:sz w:val="21"/>
                <w:szCs w:val="21"/>
                <w:lang w:eastAsia="zh-CN"/>
              </w:rPr>
            </w:pPr>
          </w:p>
        </w:tc>
        <w:tc>
          <w:tcPr>
            <w:tcW w:w="1418" w:type="dxa"/>
            <w:vAlign w:val="center"/>
          </w:tcPr>
          <w:p w14:paraId="3C624A7B" w14:textId="690C2F25"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凝析油装车挥发气体</w:t>
            </w:r>
          </w:p>
        </w:tc>
        <w:tc>
          <w:tcPr>
            <w:tcW w:w="1276" w:type="dxa"/>
            <w:vAlign w:val="center"/>
          </w:tcPr>
          <w:p w14:paraId="21D01BFD" w14:textId="7E199246"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NMHC</w:t>
            </w:r>
          </w:p>
        </w:tc>
        <w:tc>
          <w:tcPr>
            <w:tcW w:w="881" w:type="dxa"/>
            <w:vAlign w:val="center"/>
          </w:tcPr>
          <w:p w14:paraId="47CE8171" w14:textId="360D82B0" w:rsidR="003D5CFA" w:rsidRPr="00E67914" w:rsidRDefault="003D5CFA" w:rsidP="003D5CFA">
            <w:pPr>
              <w:pStyle w:val="TableParagraph"/>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01" w:type="dxa"/>
            <w:vAlign w:val="center"/>
          </w:tcPr>
          <w:p w14:paraId="58489F4C" w14:textId="3F5B6C22" w:rsidR="003D5CFA" w:rsidRPr="00E67914" w:rsidRDefault="003D5CFA" w:rsidP="003D5CFA">
            <w:pPr>
              <w:adjustRightInd w:val="0"/>
              <w:snapToGrid w:val="0"/>
              <w:jc w:val="center"/>
              <w:rPr>
                <w:rFonts w:ascii="Times New Roman" w:hAnsi="Times New Roman"/>
                <w:w w:val="99"/>
                <w:sz w:val="21"/>
                <w:szCs w:val="21"/>
                <w:lang w:eastAsia="zh-CN"/>
              </w:rPr>
            </w:pPr>
            <w:r w:rsidRPr="00E67914">
              <w:rPr>
                <w:rFonts w:ascii="Times New Roman" w:hAnsi="Times New Roman"/>
                <w:w w:val="99"/>
                <w:sz w:val="21"/>
                <w:szCs w:val="21"/>
              </w:rPr>
              <w:t>—</w:t>
            </w:r>
          </w:p>
        </w:tc>
        <w:tc>
          <w:tcPr>
            <w:tcW w:w="869" w:type="dxa"/>
            <w:vAlign w:val="center"/>
          </w:tcPr>
          <w:p w14:paraId="7513F8E1" w14:textId="760701CD" w:rsidR="003D5CFA" w:rsidRPr="00E67914" w:rsidRDefault="003D5CFA" w:rsidP="003D5CFA">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0.12t/a</w:t>
            </w:r>
          </w:p>
        </w:tc>
        <w:tc>
          <w:tcPr>
            <w:tcW w:w="3402" w:type="dxa"/>
            <w:tcBorders>
              <w:right w:val="single" w:sz="4" w:space="0" w:color="auto"/>
            </w:tcBorders>
            <w:vAlign w:val="center"/>
          </w:tcPr>
          <w:p w14:paraId="1A3FBA84" w14:textId="0D955F99"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无组织排放</w:t>
            </w:r>
          </w:p>
        </w:tc>
        <w:tc>
          <w:tcPr>
            <w:tcW w:w="1276" w:type="dxa"/>
            <w:tcBorders>
              <w:left w:val="single" w:sz="4" w:space="0" w:color="auto"/>
              <w:right w:val="single" w:sz="4" w:space="0" w:color="auto"/>
            </w:tcBorders>
            <w:vAlign w:val="center"/>
          </w:tcPr>
          <w:p w14:paraId="19E3074A" w14:textId="144B39DF" w:rsidR="003D5CFA" w:rsidRPr="00E67914" w:rsidRDefault="003D5CFA"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全年</w:t>
            </w:r>
          </w:p>
        </w:tc>
        <w:tc>
          <w:tcPr>
            <w:tcW w:w="2122" w:type="dxa"/>
            <w:vMerge/>
            <w:tcBorders>
              <w:left w:val="single" w:sz="4" w:space="0" w:color="auto"/>
              <w:right w:val="single" w:sz="4" w:space="0" w:color="auto"/>
            </w:tcBorders>
            <w:vAlign w:val="center"/>
          </w:tcPr>
          <w:p w14:paraId="359B513D" w14:textId="77777777" w:rsidR="003D5CFA" w:rsidRPr="00E67914" w:rsidRDefault="003D5CFA" w:rsidP="003D5CFA">
            <w:pPr>
              <w:snapToGrid w:val="0"/>
              <w:jc w:val="center"/>
              <w:rPr>
                <w:rFonts w:ascii="Times New Roman" w:hAnsi="Times New Roman"/>
                <w:sz w:val="21"/>
                <w:szCs w:val="21"/>
                <w:lang w:eastAsia="zh-CN"/>
              </w:rPr>
            </w:pPr>
          </w:p>
        </w:tc>
        <w:tc>
          <w:tcPr>
            <w:tcW w:w="718" w:type="dxa"/>
            <w:tcBorders>
              <w:left w:val="single" w:sz="4" w:space="0" w:color="auto"/>
            </w:tcBorders>
            <w:vAlign w:val="center"/>
          </w:tcPr>
          <w:p w14:paraId="22886335" w14:textId="474DF90C"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3D5CFA" w:rsidRPr="00E67914" w14:paraId="115DACAA" w14:textId="77777777">
        <w:trPr>
          <w:jc w:val="center"/>
        </w:trPr>
        <w:tc>
          <w:tcPr>
            <w:tcW w:w="562" w:type="dxa"/>
            <w:vMerge/>
            <w:vAlign w:val="center"/>
          </w:tcPr>
          <w:p w14:paraId="5C010A3D" w14:textId="77777777" w:rsidR="003D5CFA" w:rsidRPr="00E67914" w:rsidRDefault="003D5CFA" w:rsidP="003D5CFA">
            <w:pPr>
              <w:adjustRightInd w:val="0"/>
              <w:snapToGrid w:val="0"/>
              <w:jc w:val="center"/>
              <w:rPr>
                <w:rFonts w:ascii="Times New Roman" w:hAnsi="Times New Roman"/>
                <w:sz w:val="21"/>
                <w:szCs w:val="21"/>
                <w:lang w:eastAsia="zh-CN"/>
              </w:rPr>
            </w:pPr>
          </w:p>
        </w:tc>
        <w:tc>
          <w:tcPr>
            <w:tcW w:w="1418" w:type="dxa"/>
            <w:vAlign w:val="center"/>
          </w:tcPr>
          <w:p w14:paraId="2EF2AAB7" w14:textId="6E1A96E6"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非正常工况放空废气</w:t>
            </w:r>
          </w:p>
        </w:tc>
        <w:tc>
          <w:tcPr>
            <w:tcW w:w="1276" w:type="dxa"/>
            <w:vAlign w:val="center"/>
          </w:tcPr>
          <w:p w14:paraId="2E8BFF2E" w14:textId="77777777"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CH</w:t>
            </w:r>
            <w:r w:rsidRPr="00E67914">
              <w:rPr>
                <w:rFonts w:ascii="Times New Roman" w:hAnsi="Times New Roman"/>
                <w:sz w:val="21"/>
                <w:szCs w:val="21"/>
                <w:vertAlign w:val="subscript"/>
                <w:lang w:eastAsia="zh-CN"/>
              </w:rPr>
              <w:t>4</w:t>
            </w:r>
          </w:p>
        </w:tc>
        <w:tc>
          <w:tcPr>
            <w:tcW w:w="881" w:type="dxa"/>
            <w:vAlign w:val="center"/>
          </w:tcPr>
          <w:p w14:paraId="4BC9533D" w14:textId="77777777"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w w:val="99"/>
                <w:sz w:val="21"/>
                <w:szCs w:val="21"/>
              </w:rPr>
              <w:t>—</w:t>
            </w:r>
          </w:p>
        </w:tc>
        <w:tc>
          <w:tcPr>
            <w:tcW w:w="801" w:type="dxa"/>
            <w:vAlign w:val="center"/>
          </w:tcPr>
          <w:p w14:paraId="058B289A" w14:textId="77777777" w:rsidR="003D5CFA" w:rsidRPr="00E67914" w:rsidRDefault="003D5CFA" w:rsidP="003D5CFA">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c>
          <w:tcPr>
            <w:tcW w:w="869" w:type="dxa"/>
            <w:vAlign w:val="center"/>
          </w:tcPr>
          <w:p w14:paraId="46A13C77" w14:textId="77777777" w:rsidR="003D5CFA" w:rsidRPr="00E67914" w:rsidRDefault="003D5CFA" w:rsidP="003D5CFA">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3402" w:type="dxa"/>
            <w:tcBorders>
              <w:right w:val="single" w:sz="4" w:space="0" w:color="auto"/>
            </w:tcBorders>
            <w:vAlign w:val="center"/>
          </w:tcPr>
          <w:p w14:paraId="329974A0" w14:textId="28375B63"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井口高压放空至</w:t>
            </w:r>
            <w:r w:rsidRPr="00E67914">
              <w:rPr>
                <w:rFonts w:ascii="Times New Roman" w:hAnsi="Times New Roman"/>
                <w:sz w:val="21"/>
                <w:szCs w:val="21"/>
                <w:lang w:eastAsia="zh-CN"/>
              </w:rPr>
              <w:t>25m</w:t>
            </w:r>
            <w:r w:rsidRPr="00E67914">
              <w:rPr>
                <w:rFonts w:ascii="Times New Roman" w:hAnsi="Times New Roman"/>
                <w:sz w:val="21"/>
                <w:szCs w:val="21"/>
                <w:lang w:eastAsia="zh-CN"/>
              </w:rPr>
              <w:t>高</w:t>
            </w:r>
            <w:r w:rsidR="00FC2143" w:rsidRPr="00E67914">
              <w:rPr>
                <w:rFonts w:ascii="Times New Roman" w:hAnsi="Times New Roman"/>
                <w:sz w:val="21"/>
                <w:szCs w:val="21"/>
                <w:lang w:eastAsia="zh-CN"/>
              </w:rPr>
              <w:t>火炬燃烧排放</w:t>
            </w:r>
            <w:r w:rsidRPr="00E67914">
              <w:rPr>
                <w:rFonts w:ascii="Times New Roman" w:hAnsi="Times New Roman"/>
                <w:sz w:val="21"/>
                <w:szCs w:val="21"/>
                <w:lang w:eastAsia="zh-CN"/>
              </w:rPr>
              <w:t>，工艺设备（含油罐）及站内外输管线气体通过</w:t>
            </w:r>
            <w:r w:rsidRPr="00E67914">
              <w:rPr>
                <w:rFonts w:ascii="Times New Roman" w:hAnsi="Times New Roman"/>
                <w:sz w:val="21"/>
                <w:szCs w:val="21"/>
                <w:lang w:eastAsia="zh-CN"/>
              </w:rPr>
              <w:t>6m</w:t>
            </w:r>
            <w:r w:rsidRPr="00E67914">
              <w:rPr>
                <w:rFonts w:ascii="Times New Roman" w:hAnsi="Times New Roman"/>
                <w:sz w:val="21"/>
                <w:szCs w:val="21"/>
                <w:lang w:eastAsia="zh-CN"/>
              </w:rPr>
              <w:t>放空立管放空</w:t>
            </w:r>
          </w:p>
        </w:tc>
        <w:tc>
          <w:tcPr>
            <w:tcW w:w="1276" w:type="dxa"/>
            <w:tcBorders>
              <w:left w:val="single" w:sz="4" w:space="0" w:color="auto"/>
              <w:right w:val="single" w:sz="4" w:space="0" w:color="auto"/>
            </w:tcBorders>
            <w:vAlign w:val="center"/>
          </w:tcPr>
          <w:p w14:paraId="441BFE55" w14:textId="77777777" w:rsidR="003D5CFA" w:rsidRPr="00E67914" w:rsidRDefault="003D5CFA"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偶尔</w:t>
            </w:r>
          </w:p>
        </w:tc>
        <w:tc>
          <w:tcPr>
            <w:tcW w:w="2122" w:type="dxa"/>
            <w:tcBorders>
              <w:left w:val="single" w:sz="4" w:space="0" w:color="auto"/>
              <w:right w:val="single" w:sz="4" w:space="0" w:color="auto"/>
            </w:tcBorders>
            <w:vAlign w:val="center"/>
          </w:tcPr>
          <w:p w14:paraId="00F8E56A" w14:textId="77777777" w:rsidR="003D5CFA" w:rsidRPr="00E67914" w:rsidRDefault="003D5CFA" w:rsidP="003D5CFA">
            <w:pPr>
              <w:adjustRightInd w:val="0"/>
              <w:snapToGrid w:val="0"/>
              <w:jc w:val="center"/>
              <w:rPr>
                <w:rFonts w:ascii="Times New Roman" w:hAnsi="Times New Roman"/>
                <w:sz w:val="21"/>
                <w:szCs w:val="21"/>
                <w:lang w:eastAsia="zh-CN"/>
              </w:rPr>
            </w:pPr>
            <w:r w:rsidRPr="00E67914">
              <w:rPr>
                <w:rFonts w:ascii="Times New Roman" w:hAnsi="Times New Roman"/>
                <w:sz w:val="21"/>
                <w:szCs w:val="21"/>
              </w:rPr>
              <w:t>对周围环境影响</w:t>
            </w:r>
            <w:r w:rsidRPr="00E67914">
              <w:rPr>
                <w:rFonts w:ascii="Times New Roman" w:hAnsi="Times New Roman"/>
                <w:sz w:val="21"/>
                <w:szCs w:val="21"/>
                <w:lang w:eastAsia="zh-CN"/>
              </w:rPr>
              <w:t>较</w:t>
            </w:r>
            <w:r w:rsidRPr="00E67914">
              <w:rPr>
                <w:rFonts w:ascii="Times New Roman" w:hAnsi="Times New Roman"/>
                <w:sz w:val="21"/>
                <w:szCs w:val="21"/>
              </w:rPr>
              <w:t>小</w:t>
            </w:r>
          </w:p>
        </w:tc>
        <w:tc>
          <w:tcPr>
            <w:tcW w:w="718" w:type="dxa"/>
            <w:tcBorders>
              <w:left w:val="single" w:sz="4" w:space="0" w:color="auto"/>
            </w:tcBorders>
            <w:vAlign w:val="center"/>
          </w:tcPr>
          <w:p w14:paraId="6785C183" w14:textId="77777777" w:rsidR="003D5CFA" w:rsidRPr="00E67914" w:rsidRDefault="003D5CFA"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866585" w:rsidRPr="00E67914" w14:paraId="7BE76666" w14:textId="77777777">
        <w:trPr>
          <w:jc w:val="center"/>
        </w:trPr>
        <w:tc>
          <w:tcPr>
            <w:tcW w:w="562" w:type="dxa"/>
            <w:vMerge w:val="restart"/>
            <w:vAlign w:val="center"/>
          </w:tcPr>
          <w:p w14:paraId="51B5AE2E"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水污染物</w:t>
            </w:r>
          </w:p>
        </w:tc>
        <w:tc>
          <w:tcPr>
            <w:tcW w:w="1418" w:type="dxa"/>
            <w:vAlign w:val="center"/>
          </w:tcPr>
          <w:p w14:paraId="41E7EBEF"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钻井废水</w:t>
            </w:r>
          </w:p>
        </w:tc>
        <w:tc>
          <w:tcPr>
            <w:tcW w:w="1276" w:type="dxa"/>
            <w:vMerge w:val="restart"/>
            <w:vAlign w:val="center"/>
          </w:tcPr>
          <w:p w14:paraId="795305C4" w14:textId="77777777" w:rsidR="00866585" w:rsidRPr="00E67914" w:rsidRDefault="00866585" w:rsidP="003D5CFA">
            <w:pPr>
              <w:pStyle w:val="TableParagraph"/>
              <w:adjustRightInd w:val="0"/>
              <w:snapToGrid w:val="0"/>
              <w:jc w:val="center"/>
              <w:rPr>
                <w:rFonts w:ascii="Times New Roman" w:eastAsia="Times New Roman" w:hAnsi="Times New Roman"/>
                <w:sz w:val="21"/>
                <w:szCs w:val="21"/>
                <w:lang w:eastAsia="zh-CN"/>
              </w:rPr>
            </w:pPr>
            <w:r w:rsidRPr="00E67914">
              <w:rPr>
                <w:rFonts w:ascii="Times New Roman" w:hAnsi="Times New Roman"/>
                <w:sz w:val="21"/>
                <w:szCs w:val="21"/>
                <w:lang w:eastAsia="zh-CN"/>
              </w:rPr>
              <w:t>石油类、悬浮物、</w:t>
            </w:r>
            <w:r w:rsidRPr="00E67914">
              <w:rPr>
                <w:rFonts w:ascii="Times New Roman" w:hAnsi="Times New Roman"/>
                <w:sz w:val="21"/>
                <w:szCs w:val="21"/>
                <w:lang w:eastAsia="zh-CN"/>
              </w:rPr>
              <w:t>COD</w:t>
            </w:r>
            <w:r w:rsidRPr="00E67914">
              <w:rPr>
                <w:rFonts w:ascii="Times New Roman" w:hAnsi="Times New Roman"/>
                <w:sz w:val="21"/>
                <w:szCs w:val="21"/>
                <w:lang w:eastAsia="zh-CN"/>
              </w:rPr>
              <w:t>及氯化物等</w:t>
            </w:r>
          </w:p>
        </w:tc>
        <w:tc>
          <w:tcPr>
            <w:tcW w:w="881" w:type="dxa"/>
            <w:vAlign w:val="center"/>
          </w:tcPr>
          <w:p w14:paraId="01111729"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07B22331"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69" w:type="dxa"/>
            <w:vAlign w:val="center"/>
          </w:tcPr>
          <w:p w14:paraId="57FCB11E" w14:textId="2BB074E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3119.6m</w:t>
            </w:r>
            <w:r w:rsidRPr="00E67914">
              <w:rPr>
                <w:rFonts w:ascii="Times New Roman" w:hAnsi="Times New Roman"/>
                <w:sz w:val="21"/>
                <w:szCs w:val="21"/>
                <w:vertAlign w:val="superscript"/>
                <w:lang w:eastAsia="zh-CN"/>
              </w:rPr>
              <w:t>3</w:t>
            </w:r>
          </w:p>
        </w:tc>
        <w:tc>
          <w:tcPr>
            <w:tcW w:w="3402" w:type="dxa"/>
            <w:vMerge w:val="restart"/>
            <w:vAlign w:val="center"/>
          </w:tcPr>
          <w:p w14:paraId="1423B896"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约</w:t>
            </w:r>
            <w:r w:rsidRPr="00E67914">
              <w:rPr>
                <w:rFonts w:ascii="Times New Roman" w:hAnsi="Times New Roman"/>
                <w:sz w:val="21"/>
                <w:szCs w:val="21"/>
                <w:lang w:eastAsia="zh-CN"/>
              </w:rPr>
              <w:t>90%</w:t>
            </w:r>
            <w:r w:rsidRPr="00E67914">
              <w:rPr>
                <w:rFonts w:ascii="Times New Roman" w:hAnsi="Times New Roman"/>
                <w:sz w:val="21"/>
                <w:szCs w:val="21"/>
                <w:lang w:eastAsia="zh-CN"/>
              </w:rPr>
              <w:t>回用于区块内钻井或压裂液配置，剩余的转运预处理后回注</w:t>
            </w:r>
          </w:p>
        </w:tc>
        <w:tc>
          <w:tcPr>
            <w:tcW w:w="1276" w:type="dxa"/>
            <w:vMerge w:val="restart"/>
            <w:vAlign w:val="center"/>
          </w:tcPr>
          <w:p w14:paraId="396D04D8"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钻井期定期转运</w:t>
            </w:r>
          </w:p>
        </w:tc>
        <w:tc>
          <w:tcPr>
            <w:tcW w:w="2122" w:type="dxa"/>
            <w:vMerge w:val="restart"/>
            <w:vAlign w:val="center"/>
          </w:tcPr>
          <w:p w14:paraId="265FAEB5"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污水全部回用或回注</w:t>
            </w:r>
          </w:p>
        </w:tc>
        <w:tc>
          <w:tcPr>
            <w:tcW w:w="718" w:type="dxa"/>
            <w:vAlign w:val="center"/>
          </w:tcPr>
          <w:p w14:paraId="3FBE203C"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无</w:t>
            </w:r>
          </w:p>
        </w:tc>
      </w:tr>
      <w:tr w:rsidR="00866585" w:rsidRPr="00E67914" w14:paraId="4A210DE8" w14:textId="77777777">
        <w:trPr>
          <w:jc w:val="center"/>
        </w:trPr>
        <w:tc>
          <w:tcPr>
            <w:tcW w:w="562" w:type="dxa"/>
            <w:vMerge/>
            <w:vAlign w:val="center"/>
          </w:tcPr>
          <w:p w14:paraId="775057A1"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1418" w:type="dxa"/>
            <w:vAlign w:val="center"/>
          </w:tcPr>
          <w:p w14:paraId="603EB000"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洗井废水</w:t>
            </w:r>
          </w:p>
        </w:tc>
        <w:tc>
          <w:tcPr>
            <w:tcW w:w="1276" w:type="dxa"/>
            <w:vMerge/>
            <w:vAlign w:val="center"/>
          </w:tcPr>
          <w:p w14:paraId="5FF2DB39"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881" w:type="dxa"/>
            <w:vAlign w:val="center"/>
          </w:tcPr>
          <w:p w14:paraId="02D0F0C7"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24B1B851"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69" w:type="dxa"/>
            <w:vAlign w:val="center"/>
          </w:tcPr>
          <w:p w14:paraId="50F8D3D8" w14:textId="72288FDE"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300m</w:t>
            </w:r>
            <w:r w:rsidRPr="00E67914">
              <w:rPr>
                <w:rFonts w:ascii="Times New Roman" w:hAnsi="Times New Roman"/>
                <w:sz w:val="21"/>
                <w:szCs w:val="21"/>
                <w:vertAlign w:val="superscript"/>
                <w:lang w:eastAsia="zh-CN"/>
              </w:rPr>
              <w:t>3</w:t>
            </w:r>
          </w:p>
        </w:tc>
        <w:tc>
          <w:tcPr>
            <w:tcW w:w="3402" w:type="dxa"/>
            <w:vMerge/>
            <w:vAlign w:val="center"/>
          </w:tcPr>
          <w:p w14:paraId="74E3DCD5"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1276" w:type="dxa"/>
            <w:vMerge/>
            <w:vAlign w:val="center"/>
          </w:tcPr>
          <w:p w14:paraId="649BCFA3" w14:textId="77777777" w:rsidR="00866585" w:rsidRPr="00E67914" w:rsidRDefault="00866585" w:rsidP="003D5CFA">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48798E96"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718" w:type="dxa"/>
            <w:vAlign w:val="center"/>
          </w:tcPr>
          <w:p w14:paraId="7A5FD952"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866585" w:rsidRPr="00E67914" w14:paraId="004778A1" w14:textId="77777777">
        <w:trPr>
          <w:jc w:val="center"/>
        </w:trPr>
        <w:tc>
          <w:tcPr>
            <w:tcW w:w="562" w:type="dxa"/>
            <w:vMerge/>
            <w:vAlign w:val="center"/>
          </w:tcPr>
          <w:p w14:paraId="711F6581"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1418" w:type="dxa"/>
            <w:vAlign w:val="center"/>
          </w:tcPr>
          <w:p w14:paraId="5C85F91A"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压裂返排液</w:t>
            </w:r>
          </w:p>
        </w:tc>
        <w:tc>
          <w:tcPr>
            <w:tcW w:w="1276" w:type="dxa"/>
            <w:vAlign w:val="center"/>
          </w:tcPr>
          <w:p w14:paraId="1AB24260"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石油类、悬浮物、</w:t>
            </w:r>
            <w:r w:rsidRPr="00E67914">
              <w:rPr>
                <w:rFonts w:ascii="Times New Roman" w:hAnsi="Times New Roman"/>
                <w:sz w:val="21"/>
                <w:szCs w:val="21"/>
                <w:lang w:eastAsia="zh-CN"/>
              </w:rPr>
              <w:t>COD</w:t>
            </w:r>
            <w:r w:rsidRPr="00E67914">
              <w:rPr>
                <w:rFonts w:ascii="Times New Roman" w:hAnsi="Times New Roman"/>
                <w:sz w:val="21"/>
                <w:szCs w:val="21"/>
                <w:lang w:eastAsia="zh-CN"/>
              </w:rPr>
              <w:t>等</w:t>
            </w:r>
          </w:p>
        </w:tc>
        <w:tc>
          <w:tcPr>
            <w:tcW w:w="881" w:type="dxa"/>
            <w:vAlign w:val="center"/>
          </w:tcPr>
          <w:p w14:paraId="43A90DE1"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478642A3"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69" w:type="dxa"/>
            <w:vAlign w:val="center"/>
          </w:tcPr>
          <w:p w14:paraId="04B72F26" w14:textId="47C2CD9D"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9000m</w:t>
            </w:r>
            <w:r w:rsidRPr="00E67914">
              <w:rPr>
                <w:rFonts w:ascii="Times New Roman" w:hAnsi="Times New Roman"/>
                <w:sz w:val="21"/>
                <w:szCs w:val="21"/>
                <w:vertAlign w:val="superscript"/>
                <w:lang w:eastAsia="zh-CN"/>
              </w:rPr>
              <w:t>3</w:t>
            </w:r>
          </w:p>
        </w:tc>
        <w:tc>
          <w:tcPr>
            <w:tcW w:w="3402" w:type="dxa"/>
            <w:vMerge/>
            <w:vAlign w:val="center"/>
          </w:tcPr>
          <w:p w14:paraId="029886AC"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1276" w:type="dxa"/>
            <w:vMerge/>
            <w:vAlign w:val="center"/>
          </w:tcPr>
          <w:p w14:paraId="30731B00" w14:textId="77777777" w:rsidR="00866585" w:rsidRPr="00E67914" w:rsidRDefault="00866585" w:rsidP="003D5CFA">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4ADF906A"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718" w:type="dxa"/>
            <w:vAlign w:val="center"/>
          </w:tcPr>
          <w:p w14:paraId="7DB412F0"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866585" w:rsidRPr="00E67914" w14:paraId="2454A136" w14:textId="77777777">
        <w:trPr>
          <w:jc w:val="center"/>
        </w:trPr>
        <w:tc>
          <w:tcPr>
            <w:tcW w:w="562" w:type="dxa"/>
            <w:vMerge/>
            <w:vAlign w:val="center"/>
          </w:tcPr>
          <w:p w14:paraId="50EB5A48"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1418" w:type="dxa"/>
            <w:vAlign w:val="center"/>
          </w:tcPr>
          <w:p w14:paraId="6FF352EC"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钻井生活污水</w:t>
            </w:r>
          </w:p>
        </w:tc>
        <w:tc>
          <w:tcPr>
            <w:tcW w:w="1276" w:type="dxa"/>
            <w:vMerge w:val="restart"/>
            <w:vAlign w:val="center"/>
          </w:tcPr>
          <w:p w14:paraId="64C11CFF"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lang w:eastAsia="zh-CN"/>
              </w:rPr>
              <w:t>COD</w:t>
            </w:r>
            <w:r w:rsidRPr="00E67914">
              <w:rPr>
                <w:rFonts w:ascii="Times New Roman" w:hAnsi="Times New Roman"/>
                <w:sz w:val="21"/>
                <w:szCs w:val="21"/>
                <w:vertAlign w:val="subscript"/>
                <w:lang w:eastAsia="zh-CN"/>
              </w:rPr>
              <w:t>Cr</w:t>
            </w:r>
            <w:r w:rsidRPr="00E67914">
              <w:rPr>
                <w:rFonts w:ascii="Times New Roman" w:hAnsi="Times New Roman"/>
                <w:sz w:val="21"/>
                <w:szCs w:val="21"/>
                <w:lang w:eastAsia="zh-CN"/>
              </w:rPr>
              <w:t>、</w:t>
            </w:r>
            <w:r w:rsidRPr="00E67914">
              <w:rPr>
                <w:rFonts w:ascii="Times New Roman" w:hAnsi="Times New Roman"/>
                <w:sz w:val="21"/>
                <w:szCs w:val="21"/>
                <w:lang w:eastAsia="zh-CN"/>
              </w:rPr>
              <w:t>BOD</w:t>
            </w:r>
            <w:r w:rsidRPr="00E67914">
              <w:rPr>
                <w:rFonts w:ascii="Times New Roman" w:hAnsi="Times New Roman"/>
                <w:sz w:val="21"/>
                <w:szCs w:val="21"/>
                <w:vertAlign w:val="subscript"/>
                <w:lang w:eastAsia="zh-CN"/>
              </w:rPr>
              <w:t>5</w:t>
            </w:r>
            <w:r w:rsidRPr="00E67914">
              <w:rPr>
                <w:rFonts w:ascii="Times New Roman" w:hAnsi="Times New Roman"/>
                <w:sz w:val="21"/>
                <w:szCs w:val="21"/>
                <w:lang w:eastAsia="zh-CN"/>
              </w:rPr>
              <w:t>、</w:t>
            </w:r>
            <w:r w:rsidRPr="00E67914">
              <w:rPr>
                <w:rFonts w:ascii="Times New Roman" w:hAnsi="Times New Roman"/>
                <w:sz w:val="21"/>
                <w:szCs w:val="21"/>
                <w:lang w:eastAsia="zh-CN"/>
              </w:rPr>
              <w:t>SS</w:t>
            </w:r>
            <w:r w:rsidRPr="00E67914">
              <w:rPr>
                <w:rFonts w:ascii="Times New Roman" w:hAnsi="Times New Roman"/>
                <w:sz w:val="21"/>
                <w:szCs w:val="21"/>
                <w:lang w:eastAsia="zh-CN"/>
              </w:rPr>
              <w:t>等</w:t>
            </w:r>
          </w:p>
        </w:tc>
        <w:tc>
          <w:tcPr>
            <w:tcW w:w="881" w:type="dxa"/>
            <w:vAlign w:val="center"/>
          </w:tcPr>
          <w:p w14:paraId="5F8246D0"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23E39426"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69" w:type="dxa"/>
            <w:vAlign w:val="center"/>
          </w:tcPr>
          <w:p w14:paraId="6CB72F92"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2.88m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/d</w:t>
            </w:r>
          </w:p>
        </w:tc>
        <w:tc>
          <w:tcPr>
            <w:tcW w:w="3402" w:type="dxa"/>
            <w:vAlign w:val="center"/>
          </w:tcPr>
          <w:p w14:paraId="4AA8F5F7"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bCs/>
                <w:sz w:val="21"/>
                <w:szCs w:val="21"/>
                <w:lang w:eastAsia="zh-CN"/>
              </w:rPr>
              <w:t>生活污水经生态厕所收集后定期由密闭罐车拉运至周边生活污水处理厂处理</w:t>
            </w:r>
          </w:p>
        </w:tc>
        <w:tc>
          <w:tcPr>
            <w:tcW w:w="1276" w:type="dxa"/>
            <w:vMerge/>
            <w:vAlign w:val="center"/>
          </w:tcPr>
          <w:p w14:paraId="4EF0DD5F" w14:textId="77777777" w:rsidR="00866585" w:rsidRPr="00E67914" w:rsidRDefault="00866585" w:rsidP="003D5CFA">
            <w:pPr>
              <w:pStyle w:val="TableParagraph"/>
              <w:adjustRightInd w:val="0"/>
              <w:snapToGrid w:val="0"/>
              <w:jc w:val="center"/>
              <w:rPr>
                <w:rFonts w:ascii="Times New Roman" w:hAnsi="Times New Roman"/>
                <w:w w:val="99"/>
                <w:sz w:val="21"/>
                <w:szCs w:val="21"/>
                <w:lang w:eastAsia="zh-CN"/>
              </w:rPr>
            </w:pPr>
          </w:p>
        </w:tc>
        <w:tc>
          <w:tcPr>
            <w:tcW w:w="2122" w:type="dxa"/>
            <w:vMerge w:val="restart"/>
            <w:vAlign w:val="center"/>
          </w:tcPr>
          <w:p w14:paraId="09695AC9"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有效收集处理，无乱排</w:t>
            </w:r>
          </w:p>
        </w:tc>
        <w:tc>
          <w:tcPr>
            <w:tcW w:w="718" w:type="dxa"/>
            <w:vAlign w:val="center"/>
          </w:tcPr>
          <w:p w14:paraId="29CC7942"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无</w:t>
            </w:r>
          </w:p>
        </w:tc>
      </w:tr>
      <w:tr w:rsidR="00866585" w:rsidRPr="00E67914" w14:paraId="0B517319" w14:textId="77777777">
        <w:trPr>
          <w:jc w:val="center"/>
        </w:trPr>
        <w:tc>
          <w:tcPr>
            <w:tcW w:w="562" w:type="dxa"/>
            <w:vMerge/>
            <w:vAlign w:val="center"/>
          </w:tcPr>
          <w:p w14:paraId="5DB94BFD"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1418" w:type="dxa"/>
            <w:vAlign w:val="center"/>
          </w:tcPr>
          <w:p w14:paraId="28A50BAB"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钻前生活污水</w:t>
            </w:r>
          </w:p>
        </w:tc>
        <w:tc>
          <w:tcPr>
            <w:tcW w:w="1276" w:type="dxa"/>
            <w:vMerge/>
            <w:vAlign w:val="center"/>
          </w:tcPr>
          <w:p w14:paraId="5EBD6208" w14:textId="77777777" w:rsidR="00866585" w:rsidRPr="00E67914" w:rsidRDefault="00866585" w:rsidP="003D5CFA">
            <w:pPr>
              <w:pStyle w:val="TableParagraph"/>
              <w:adjustRightInd w:val="0"/>
              <w:snapToGrid w:val="0"/>
              <w:jc w:val="center"/>
              <w:rPr>
                <w:rFonts w:ascii="Times New Roman" w:hAnsi="Times New Roman"/>
                <w:sz w:val="21"/>
                <w:szCs w:val="21"/>
              </w:rPr>
            </w:pPr>
          </w:p>
        </w:tc>
        <w:tc>
          <w:tcPr>
            <w:tcW w:w="881" w:type="dxa"/>
            <w:vAlign w:val="center"/>
          </w:tcPr>
          <w:p w14:paraId="2266AE9D"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5845917A"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69" w:type="dxa"/>
            <w:vAlign w:val="center"/>
          </w:tcPr>
          <w:p w14:paraId="7FEAEA5B"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3402" w:type="dxa"/>
            <w:vAlign w:val="center"/>
          </w:tcPr>
          <w:p w14:paraId="722D9A9E"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利用农户已有的设施进行收集处置</w:t>
            </w:r>
          </w:p>
        </w:tc>
        <w:tc>
          <w:tcPr>
            <w:tcW w:w="1276" w:type="dxa"/>
            <w:vMerge/>
            <w:vAlign w:val="center"/>
          </w:tcPr>
          <w:p w14:paraId="5A919F73" w14:textId="77777777" w:rsidR="00866585" w:rsidRPr="00E67914" w:rsidRDefault="00866585" w:rsidP="003D5CFA">
            <w:pPr>
              <w:pStyle w:val="TableParagraph"/>
              <w:adjustRightInd w:val="0"/>
              <w:snapToGrid w:val="0"/>
              <w:jc w:val="center"/>
              <w:rPr>
                <w:rFonts w:ascii="Times New Roman" w:hAnsi="Times New Roman"/>
                <w:w w:val="99"/>
                <w:sz w:val="21"/>
                <w:szCs w:val="21"/>
                <w:lang w:eastAsia="zh-CN"/>
              </w:rPr>
            </w:pPr>
          </w:p>
        </w:tc>
        <w:tc>
          <w:tcPr>
            <w:tcW w:w="2122" w:type="dxa"/>
            <w:vMerge/>
            <w:vAlign w:val="center"/>
          </w:tcPr>
          <w:p w14:paraId="1F9EE8F4"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718" w:type="dxa"/>
            <w:vAlign w:val="center"/>
          </w:tcPr>
          <w:p w14:paraId="2E5B9AE1"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866585" w:rsidRPr="00E67914" w14:paraId="43ED8950" w14:textId="77777777">
        <w:trPr>
          <w:jc w:val="center"/>
        </w:trPr>
        <w:tc>
          <w:tcPr>
            <w:tcW w:w="562" w:type="dxa"/>
            <w:vMerge/>
            <w:vAlign w:val="center"/>
          </w:tcPr>
          <w:p w14:paraId="4EB932E3" w14:textId="77777777" w:rsidR="00866585" w:rsidRPr="00E67914" w:rsidRDefault="00866585" w:rsidP="003D5CFA">
            <w:pPr>
              <w:pStyle w:val="TableParagraph"/>
              <w:adjustRightInd w:val="0"/>
              <w:snapToGrid w:val="0"/>
              <w:jc w:val="center"/>
              <w:rPr>
                <w:rFonts w:ascii="Times New Roman" w:hAnsi="Times New Roman"/>
                <w:sz w:val="21"/>
                <w:szCs w:val="21"/>
              </w:rPr>
            </w:pPr>
          </w:p>
        </w:tc>
        <w:tc>
          <w:tcPr>
            <w:tcW w:w="1418" w:type="dxa"/>
            <w:vAlign w:val="center"/>
          </w:tcPr>
          <w:p w14:paraId="31E22022"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钻前施工废水</w:t>
            </w:r>
          </w:p>
        </w:tc>
        <w:tc>
          <w:tcPr>
            <w:tcW w:w="1276" w:type="dxa"/>
            <w:vAlign w:val="center"/>
          </w:tcPr>
          <w:p w14:paraId="4AF780E2"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lang w:eastAsia="zh-CN"/>
              </w:rPr>
              <w:t>SS</w:t>
            </w:r>
            <w:r w:rsidRPr="00E67914">
              <w:rPr>
                <w:rFonts w:ascii="Times New Roman" w:hAnsi="Times New Roman"/>
                <w:sz w:val="21"/>
                <w:szCs w:val="21"/>
                <w:lang w:eastAsia="zh-CN"/>
              </w:rPr>
              <w:t>和石油类</w:t>
            </w:r>
          </w:p>
        </w:tc>
        <w:tc>
          <w:tcPr>
            <w:tcW w:w="881" w:type="dxa"/>
            <w:vAlign w:val="center"/>
          </w:tcPr>
          <w:p w14:paraId="1418315A"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7F29F59A" w14:textId="77777777" w:rsidR="00866585" w:rsidRPr="00E67914" w:rsidRDefault="00866585" w:rsidP="003D5CFA">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69" w:type="dxa"/>
            <w:vAlign w:val="center"/>
          </w:tcPr>
          <w:p w14:paraId="07BFFFB9" w14:textId="77777777" w:rsidR="00866585" w:rsidRPr="00E67914" w:rsidRDefault="00866585" w:rsidP="003D5CFA">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3402" w:type="dxa"/>
            <w:vAlign w:val="center"/>
          </w:tcPr>
          <w:p w14:paraId="6BC20989"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经隔油池沉淀处理后回用于洒水降尘</w:t>
            </w:r>
          </w:p>
        </w:tc>
        <w:tc>
          <w:tcPr>
            <w:tcW w:w="1276" w:type="dxa"/>
            <w:vAlign w:val="center"/>
          </w:tcPr>
          <w:p w14:paraId="0DF4C8DB" w14:textId="77777777" w:rsidR="00866585" w:rsidRPr="00E67914" w:rsidRDefault="00866585" w:rsidP="003D5CFA">
            <w:pPr>
              <w:pStyle w:val="TableParagraph"/>
              <w:adjustRightInd w:val="0"/>
              <w:snapToGrid w:val="0"/>
              <w:jc w:val="center"/>
              <w:rPr>
                <w:rFonts w:ascii="Times New Roman" w:hAnsi="Times New Roman"/>
                <w:bCs/>
                <w:sz w:val="21"/>
                <w:szCs w:val="21"/>
                <w:lang w:eastAsia="zh-CN"/>
              </w:rPr>
            </w:pPr>
            <w:r w:rsidRPr="00E67914">
              <w:rPr>
                <w:rFonts w:ascii="Times New Roman" w:hAnsi="Times New Roman"/>
                <w:bCs/>
                <w:sz w:val="21"/>
                <w:szCs w:val="21"/>
                <w:lang w:eastAsia="zh-CN"/>
              </w:rPr>
              <w:t>施工期</w:t>
            </w:r>
          </w:p>
        </w:tc>
        <w:tc>
          <w:tcPr>
            <w:tcW w:w="2122" w:type="dxa"/>
            <w:vMerge/>
            <w:vAlign w:val="center"/>
          </w:tcPr>
          <w:p w14:paraId="02CA253F"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p>
        </w:tc>
        <w:tc>
          <w:tcPr>
            <w:tcW w:w="718" w:type="dxa"/>
            <w:vAlign w:val="center"/>
          </w:tcPr>
          <w:p w14:paraId="20039165" w14:textId="77777777" w:rsidR="00866585" w:rsidRPr="00E67914" w:rsidRDefault="00866585" w:rsidP="003D5CFA">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866585" w:rsidRPr="00E67914" w14:paraId="3416E2AC" w14:textId="77777777">
        <w:trPr>
          <w:jc w:val="center"/>
        </w:trPr>
        <w:tc>
          <w:tcPr>
            <w:tcW w:w="562" w:type="dxa"/>
            <w:vMerge/>
            <w:vAlign w:val="center"/>
          </w:tcPr>
          <w:p w14:paraId="0AB9A6B2"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p>
        </w:tc>
        <w:tc>
          <w:tcPr>
            <w:tcW w:w="1418" w:type="dxa"/>
            <w:vAlign w:val="center"/>
          </w:tcPr>
          <w:p w14:paraId="0F3CABF8" w14:textId="6E9D588E" w:rsidR="00866585" w:rsidRPr="00E67914" w:rsidRDefault="00866585"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气田水</w:t>
            </w:r>
          </w:p>
        </w:tc>
        <w:tc>
          <w:tcPr>
            <w:tcW w:w="1276" w:type="dxa"/>
            <w:vMerge w:val="restart"/>
            <w:vAlign w:val="center"/>
          </w:tcPr>
          <w:p w14:paraId="259E1081"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石油类、悬浮物、</w:t>
            </w:r>
            <w:r w:rsidRPr="00E67914">
              <w:rPr>
                <w:rFonts w:ascii="Times New Roman" w:hAnsi="Times New Roman"/>
                <w:sz w:val="21"/>
                <w:szCs w:val="21"/>
                <w:lang w:eastAsia="zh-CN"/>
              </w:rPr>
              <w:t>COD</w:t>
            </w:r>
            <w:r w:rsidRPr="00E67914">
              <w:rPr>
                <w:rFonts w:ascii="Times New Roman" w:hAnsi="Times New Roman"/>
                <w:sz w:val="21"/>
                <w:szCs w:val="21"/>
                <w:lang w:eastAsia="zh-CN"/>
              </w:rPr>
              <w:t>及氯化物等</w:t>
            </w:r>
          </w:p>
        </w:tc>
        <w:tc>
          <w:tcPr>
            <w:tcW w:w="881" w:type="dxa"/>
            <w:vAlign w:val="center"/>
          </w:tcPr>
          <w:p w14:paraId="3BEBDC50" w14:textId="77777777" w:rsidR="00866585" w:rsidRPr="00E67914" w:rsidRDefault="00866585" w:rsidP="00866585">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01" w:type="dxa"/>
            <w:vAlign w:val="center"/>
          </w:tcPr>
          <w:p w14:paraId="626FAC6C" w14:textId="77777777" w:rsidR="00866585" w:rsidRPr="00E67914" w:rsidRDefault="00866585" w:rsidP="00866585">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869" w:type="dxa"/>
            <w:vAlign w:val="center"/>
          </w:tcPr>
          <w:p w14:paraId="71369063" w14:textId="27E7BB8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bCs/>
                <w:sz w:val="21"/>
                <w:szCs w:val="21"/>
                <w:lang w:eastAsia="zh-CN"/>
              </w:rPr>
              <w:t>42.7</w:t>
            </w:r>
            <w:r w:rsidRPr="00E67914">
              <w:rPr>
                <w:rFonts w:ascii="Times New Roman" w:hAnsi="Times New Roman"/>
                <w:sz w:val="21"/>
                <w:szCs w:val="21"/>
                <w:lang w:eastAsia="zh-CN"/>
              </w:rPr>
              <w:t>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/d</w:t>
            </w:r>
            <w:r w:rsidRPr="00E67914">
              <w:rPr>
                <w:rFonts w:ascii="Times New Roman" w:hAnsi="Times New Roman"/>
                <w:sz w:val="21"/>
                <w:szCs w:val="21"/>
                <w:lang w:eastAsia="zh-CN"/>
              </w:rPr>
              <w:t>（初期可达</w:t>
            </w:r>
            <w:r w:rsidRPr="00E67914">
              <w:rPr>
                <w:rFonts w:ascii="Times New Roman" w:hAnsi="Times New Roman"/>
                <w:sz w:val="21"/>
                <w:szCs w:val="21"/>
                <w:lang w:eastAsia="zh-CN"/>
              </w:rPr>
              <w:t>160m</w:t>
            </w:r>
            <w:r w:rsidRPr="00E67914">
              <w:rPr>
                <w:rFonts w:ascii="Times New Roman" w:hAnsi="Times New Roman"/>
                <w:sz w:val="21"/>
                <w:szCs w:val="21"/>
                <w:vertAlign w:val="superscript"/>
                <w:lang w:eastAsia="zh-CN"/>
              </w:rPr>
              <w:t>3</w:t>
            </w:r>
            <w:r w:rsidRPr="00E67914">
              <w:rPr>
                <w:rFonts w:ascii="Times New Roman" w:hAnsi="Times New Roman"/>
                <w:sz w:val="21"/>
                <w:szCs w:val="21"/>
                <w:lang w:eastAsia="zh-CN"/>
              </w:rPr>
              <w:t>/d</w:t>
            </w:r>
            <w:r w:rsidRPr="00E67914">
              <w:rPr>
                <w:rFonts w:ascii="Times New Roman" w:hAnsi="Times New Roman"/>
                <w:sz w:val="21"/>
                <w:szCs w:val="21"/>
                <w:lang w:eastAsia="zh-CN"/>
              </w:rPr>
              <w:t>）</w:t>
            </w:r>
          </w:p>
        </w:tc>
        <w:tc>
          <w:tcPr>
            <w:tcW w:w="3402" w:type="dxa"/>
            <w:vMerge w:val="restart"/>
            <w:vAlign w:val="center"/>
          </w:tcPr>
          <w:p w14:paraId="554E080C"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密闭罐车拉运至赵家坝污水处理站达标后管输至普光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井回注站回注，不外排</w:t>
            </w:r>
          </w:p>
        </w:tc>
        <w:tc>
          <w:tcPr>
            <w:tcW w:w="1276" w:type="dxa"/>
            <w:vMerge w:val="restart"/>
            <w:vAlign w:val="center"/>
          </w:tcPr>
          <w:p w14:paraId="2D97855C"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试采期定期转运</w:t>
            </w:r>
          </w:p>
        </w:tc>
        <w:tc>
          <w:tcPr>
            <w:tcW w:w="2122" w:type="dxa"/>
            <w:vMerge w:val="restart"/>
            <w:vAlign w:val="center"/>
          </w:tcPr>
          <w:p w14:paraId="28E3DB76"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污水全部回注</w:t>
            </w:r>
          </w:p>
        </w:tc>
        <w:tc>
          <w:tcPr>
            <w:tcW w:w="718" w:type="dxa"/>
            <w:vAlign w:val="center"/>
          </w:tcPr>
          <w:p w14:paraId="48670AD1"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866585" w:rsidRPr="00E67914" w14:paraId="3DFE8719" w14:textId="77777777">
        <w:trPr>
          <w:jc w:val="center"/>
        </w:trPr>
        <w:tc>
          <w:tcPr>
            <w:tcW w:w="562" w:type="dxa"/>
            <w:vMerge/>
            <w:vAlign w:val="center"/>
          </w:tcPr>
          <w:p w14:paraId="4807EF62"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p>
        </w:tc>
        <w:tc>
          <w:tcPr>
            <w:tcW w:w="1418" w:type="dxa"/>
            <w:vAlign w:val="center"/>
          </w:tcPr>
          <w:p w14:paraId="7377571E" w14:textId="1A637731" w:rsidR="00866585" w:rsidRPr="00E67914" w:rsidRDefault="00866585"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非正常工况井下作业废水</w:t>
            </w:r>
          </w:p>
        </w:tc>
        <w:tc>
          <w:tcPr>
            <w:tcW w:w="1276" w:type="dxa"/>
            <w:vMerge/>
            <w:vAlign w:val="center"/>
          </w:tcPr>
          <w:p w14:paraId="445615E8"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p>
        </w:tc>
        <w:tc>
          <w:tcPr>
            <w:tcW w:w="881" w:type="dxa"/>
            <w:vAlign w:val="center"/>
          </w:tcPr>
          <w:p w14:paraId="3593306F" w14:textId="21074141" w:rsidR="00866585" w:rsidRPr="00E67914" w:rsidRDefault="00866585" w:rsidP="00866585">
            <w:pPr>
              <w:pStyle w:val="TableParagraph"/>
              <w:adjustRightInd w:val="0"/>
              <w:snapToGrid w:val="0"/>
              <w:jc w:val="center"/>
              <w:rPr>
                <w:rFonts w:ascii="Times New Roman" w:hAnsi="Times New Roman"/>
                <w:w w:val="99"/>
                <w:sz w:val="21"/>
                <w:szCs w:val="21"/>
              </w:rPr>
            </w:pPr>
            <w:r w:rsidRPr="00E67914">
              <w:rPr>
                <w:rFonts w:ascii="Times New Roman" w:hAnsi="Times New Roman"/>
                <w:w w:val="99"/>
                <w:sz w:val="21"/>
                <w:szCs w:val="21"/>
              </w:rPr>
              <w:t>—</w:t>
            </w:r>
          </w:p>
        </w:tc>
        <w:tc>
          <w:tcPr>
            <w:tcW w:w="801" w:type="dxa"/>
            <w:vAlign w:val="center"/>
          </w:tcPr>
          <w:p w14:paraId="6AB5F347" w14:textId="2E5F28C4" w:rsidR="00866585" w:rsidRPr="00E67914" w:rsidRDefault="00866585" w:rsidP="00866585">
            <w:pPr>
              <w:pStyle w:val="TableParagraph"/>
              <w:adjustRightInd w:val="0"/>
              <w:snapToGrid w:val="0"/>
              <w:jc w:val="center"/>
              <w:rPr>
                <w:rFonts w:ascii="Times New Roman" w:hAnsi="Times New Roman"/>
                <w:w w:val="99"/>
                <w:sz w:val="21"/>
                <w:szCs w:val="21"/>
              </w:rPr>
            </w:pPr>
            <w:r w:rsidRPr="00E67914">
              <w:rPr>
                <w:rFonts w:ascii="Times New Roman" w:hAnsi="Times New Roman"/>
                <w:w w:val="99"/>
                <w:sz w:val="21"/>
                <w:szCs w:val="21"/>
              </w:rPr>
              <w:t>—</w:t>
            </w:r>
          </w:p>
        </w:tc>
        <w:tc>
          <w:tcPr>
            <w:tcW w:w="869" w:type="dxa"/>
            <w:vAlign w:val="center"/>
          </w:tcPr>
          <w:p w14:paraId="6142ECA4" w14:textId="0011E3F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bCs/>
                <w:sz w:val="21"/>
                <w:szCs w:val="21"/>
                <w:lang w:eastAsia="zh-CN"/>
              </w:rPr>
              <w:t>200m</w:t>
            </w:r>
            <w:r w:rsidRPr="00E67914">
              <w:rPr>
                <w:rFonts w:ascii="Times New Roman" w:hAnsi="Times New Roman"/>
                <w:bCs/>
                <w:sz w:val="21"/>
                <w:szCs w:val="21"/>
                <w:vertAlign w:val="superscript"/>
                <w:lang w:eastAsia="zh-CN"/>
              </w:rPr>
              <w:t>3</w:t>
            </w:r>
            <w:r w:rsidRPr="00E67914">
              <w:rPr>
                <w:rFonts w:ascii="Times New Roman" w:hAnsi="Times New Roman"/>
                <w:bCs/>
                <w:sz w:val="21"/>
                <w:szCs w:val="21"/>
                <w:lang w:eastAsia="zh-CN"/>
              </w:rPr>
              <w:t>/a</w:t>
            </w:r>
          </w:p>
        </w:tc>
        <w:tc>
          <w:tcPr>
            <w:tcW w:w="3402" w:type="dxa"/>
            <w:vMerge/>
            <w:vAlign w:val="center"/>
          </w:tcPr>
          <w:p w14:paraId="5F7D4776"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p>
        </w:tc>
        <w:tc>
          <w:tcPr>
            <w:tcW w:w="1276" w:type="dxa"/>
            <w:vMerge/>
            <w:vAlign w:val="center"/>
          </w:tcPr>
          <w:p w14:paraId="642B6BAE"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p>
        </w:tc>
        <w:tc>
          <w:tcPr>
            <w:tcW w:w="2122" w:type="dxa"/>
            <w:vMerge/>
            <w:vAlign w:val="center"/>
          </w:tcPr>
          <w:p w14:paraId="70CEEF0A"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p>
        </w:tc>
        <w:tc>
          <w:tcPr>
            <w:tcW w:w="718" w:type="dxa"/>
            <w:vAlign w:val="center"/>
          </w:tcPr>
          <w:p w14:paraId="4DB54400" w14:textId="345421A4"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866585" w:rsidRPr="00E67914" w14:paraId="60A4BCF0" w14:textId="77777777">
        <w:trPr>
          <w:jc w:val="center"/>
        </w:trPr>
        <w:tc>
          <w:tcPr>
            <w:tcW w:w="562" w:type="dxa"/>
            <w:vMerge w:val="restart"/>
            <w:vAlign w:val="center"/>
          </w:tcPr>
          <w:p w14:paraId="6D02A5CA"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rPr>
              <w:t>噪声</w:t>
            </w:r>
            <w:r w:rsidRPr="00E67914">
              <w:rPr>
                <w:rFonts w:ascii="Times New Roman" w:hAnsi="Times New Roman"/>
                <w:sz w:val="21"/>
                <w:szCs w:val="21"/>
                <w:lang w:eastAsia="zh-CN"/>
              </w:rPr>
              <w:t>污染物</w:t>
            </w:r>
          </w:p>
        </w:tc>
        <w:tc>
          <w:tcPr>
            <w:tcW w:w="1418" w:type="dxa"/>
            <w:vAlign w:val="center"/>
          </w:tcPr>
          <w:p w14:paraId="199F3743" w14:textId="77777777" w:rsidR="00866585" w:rsidRPr="00E67914" w:rsidRDefault="00866585" w:rsidP="00866585">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lang w:eastAsia="zh-CN"/>
              </w:rPr>
              <w:t>施工期</w:t>
            </w:r>
            <w:r w:rsidRPr="00E67914">
              <w:rPr>
                <w:rFonts w:ascii="Times New Roman" w:hAnsi="Times New Roman"/>
                <w:sz w:val="21"/>
                <w:szCs w:val="21"/>
              </w:rPr>
              <w:t>设备噪声</w:t>
            </w:r>
          </w:p>
        </w:tc>
        <w:tc>
          <w:tcPr>
            <w:tcW w:w="1276" w:type="dxa"/>
            <w:vAlign w:val="center"/>
          </w:tcPr>
          <w:p w14:paraId="0C17C901" w14:textId="77777777" w:rsidR="00866585" w:rsidRPr="00E67914" w:rsidRDefault="00866585" w:rsidP="00866585">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噪声</w:t>
            </w:r>
          </w:p>
        </w:tc>
        <w:tc>
          <w:tcPr>
            <w:tcW w:w="881" w:type="dxa"/>
            <w:vAlign w:val="center"/>
          </w:tcPr>
          <w:p w14:paraId="0786DFAB" w14:textId="77777777" w:rsidR="00866585" w:rsidRPr="00E67914" w:rsidRDefault="00866585" w:rsidP="00866585">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1670" w:type="dxa"/>
            <w:gridSpan w:val="2"/>
            <w:vAlign w:val="center"/>
          </w:tcPr>
          <w:p w14:paraId="5C3F4E5A" w14:textId="77777777" w:rsidR="00866585" w:rsidRPr="00E67914" w:rsidRDefault="00866585" w:rsidP="00866585">
            <w:pPr>
              <w:pStyle w:val="TableParagraph"/>
              <w:adjustRightInd w:val="0"/>
              <w:snapToGrid w:val="0"/>
              <w:jc w:val="center"/>
              <w:rPr>
                <w:rFonts w:ascii="Times New Roman" w:hAnsi="Times New Roman"/>
                <w:sz w:val="21"/>
                <w:szCs w:val="21"/>
              </w:rPr>
            </w:pPr>
            <w:r w:rsidRPr="00E67914">
              <w:rPr>
                <w:rFonts w:ascii="Times New Roman" w:eastAsia="Times New Roman" w:hAnsi="Times New Roman"/>
                <w:sz w:val="21"/>
                <w:szCs w:val="21"/>
              </w:rPr>
              <w:t>75</w:t>
            </w:r>
            <w:r w:rsidRPr="00E67914">
              <w:rPr>
                <w:rFonts w:ascii="Times New Roman" w:hAnsi="Times New Roman"/>
                <w:sz w:val="21"/>
                <w:szCs w:val="21"/>
              </w:rPr>
              <w:t>～</w:t>
            </w:r>
            <w:r w:rsidRPr="00E67914">
              <w:rPr>
                <w:rFonts w:ascii="Times New Roman" w:eastAsia="Times New Roman" w:hAnsi="Times New Roman"/>
                <w:sz w:val="21"/>
                <w:szCs w:val="21"/>
              </w:rPr>
              <w:t>103dB</w:t>
            </w:r>
            <w:r w:rsidRPr="00E67914">
              <w:rPr>
                <w:rFonts w:ascii="Times New Roman" w:hAnsi="Times New Roman"/>
                <w:sz w:val="21"/>
                <w:szCs w:val="21"/>
              </w:rPr>
              <w:t>（</w:t>
            </w:r>
            <w:r w:rsidRPr="00E67914">
              <w:rPr>
                <w:rFonts w:ascii="Times New Roman" w:eastAsia="Times New Roman" w:hAnsi="Times New Roman"/>
                <w:sz w:val="21"/>
                <w:szCs w:val="21"/>
              </w:rPr>
              <w:t>A</w:t>
            </w:r>
            <w:r w:rsidRPr="00E67914">
              <w:rPr>
                <w:rFonts w:ascii="Times New Roman" w:hAnsi="Times New Roman"/>
                <w:sz w:val="21"/>
                <w:szCs w:val="21"/>
              </w:rPr>
              <w:t>）</w:t>
            </w:r>
          </w:p>
        </w:tc>
        <w:tc>
          <w:tcPr>
            <w:tcW w:w="3402" w:type="dxa"/>
            <w:vAlign w:val="center"/>
          </w:tcPr>
          <w:p w14:paraId="03ADCB7C"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选用低噪声设备、加强维护保养，置于钻井井场内，基础安装减振垫层，柴油发电机设置于室内</w:t>
            </w:r>
          </w:p>
        </w:tc>
        <w:tc>
          <w:tcPr>
            <w:tcW w:w="1276" w:type="dxa"/>
            <w:vAlign w:val="center"/>
          </w:tcPr>
          <w:p w14:paraId="3D640008" w14:textId="77777777" w:rsidR="00866585" w:rsidRPr="00E67914" w:rsidRDefault="00866585" w:rsidP="0086658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连续</w:t>
            </w:r>
            <w:r w:rsidRPr="00E67914">
              <w:rPr>
                <w:rFonts w:ascii="Times New Roman" w:hAnsi="Times New Roman"/>
                <w:sz w:val="21"/>
                <w:szCs w:val="21"/>
                <w:lang w:eastAsia="zh-CN"/>
              </w:rPr>
              <w:t>/</w:t>
            </w:r>
            <w:r w:rsidRPr="00E67914">
              <w:rPr>
                <w:rFonts w:ascii="Times New Roman" w:hAnsi="Times New Roman"/>
                <w:sz w:val="21"/>
                <w:szCs w:val="21"/>
                <w:lang w:eastAsia="zh-CN"/>
              </w:rPr>
              <w:t>间断</w:t>
            </w:r>
          </w:p>
        </w:tc>
        <w:tc>
          <w:tcPr>
            <w:tcW w:w="2122" w:type="dxa"/>
            <w:vAlign w:val="center"/>
          </w:tcPr>
          <w:p w14:paraId="4061FE49"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4"/>
                <w:sz w:val="21"/>
                <w:szCs w:val="21"/>
                <w:lang w:eastAsia="zh-CN"/>
              </w:rPr>
              <w:t>不扰民</w:t>
            </w:r>
          </w:p>
        </w:tc>
        <w:tc>
          <w:tcPr>
            <w:tcW w:w="718" w:type="dxa"/>
            <w:vAlign w:val="center"/>
          </w:tcPr>
          <w:p w14:paraId="0A650606" w14:textId="77777777" w:rsidR="00866585" w:rsidRPr="00E67914" w:rsidRDefault="00866585" w:rsidP="0086658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866585" w:rsidRPr="00E67914" w14:paraId="27CEEEDE" w14:textId="77777777">
        <w:trPr>
          <w:jc w:val="center"/>
        </w:trPr>
        <w:tc>
          <w:tcPr>
            <w:tcW w:w="562" w:type="dxa"/>
            <w:vMerge/>
            <w:vAlign w:val="center"/>
          </w:tcPr>
          <w:p w14:paraId="2AF13C33" w14:textId="77777777" w:rsidR="00866585" w:rsidRPr="00E67914" w:rsidRDefault="00866585" w:rsidP="00866585">
            <w:pPr>
              <w:pStyle w:val="TableParagraph"/>
              <w:adjustRightInd w:val="0"/>
              <w:snapToGrid w:val="0"/>
              <w:jc w:val="center"/>
              <w:rPr>
                <w:rFonts w:ascii="Times New Roman" w:hAnsi="Times New Roman"/>
                <w:sz w:val="21"/>
                <w:szCs w:val="21"/>
              </w:rPr>
            </w:pPr>
          </w:p>
        </w:tc>
        <w:tc>
          <w:tcPr>
            <w:tcW w:w="1418" w:type="dxa"/>
            <w:vAlign w:val="center"/>
          </w:tcPr>
          <w:p w14:paraId="039F316B"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试采期噪声</w:t>
            </w:r>
          </w:p>
        </w:tc>
        <w:tc>
          <w:tcPr>
            <w:tcW w:w="1276" w:type="dxa"/>
            <w:vAlign w:val="center"/>
          </w:tcPr>
          <w:p w14:paraId="0D3794E4"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噪声</w:t>
            </w:r>
          </w:p>
        </w:tc>
        <w:tc>
          <w:tcPr>
            <w:tcW w:w="881" w:type="dxa"/>
            <w:vAlign w:val="center"/>
          </w:tcPr>
          <w:p w14:paraId="28579917" w14:textId="77777777" w:rsidR="00866585" w:rsidRPr="00E67914" w:rsidRDefault="00866585" w:rsidP="00866585">
            <w:pPr>
              <w:pStyle w:val="TableParagraph"/>
              <w:adjustRightInd w:val="0"/>
              <w:snapToGrid w:val="0"/>
              <w:jc w:val="center"/>
              <w:rPr>
                <w:rFonts w:ascii="Times New Roman" w:hAnsi="Times New Roman"/>
                <w:sz w:val="21"/>
                <w:szCs w:val="21"/>
              </w:rPr>
            </w:pPr>
            <w:r w:rsidRPr="00E67914">
              <w:rPr>
                <w:rFonts w:ascii="Times New Roman" w:hAnsi="Times New Roman"/>
                <w:w w:val="99"/>
                <w:sz w:val="21"/>
                <w:szCs w:val="21"/>
              </w:rPr>
              <w:t>—</w:t>
            </w:r>
          </w:p>
        </w:tc>
        <w:tc>
          <w:tcPr>
            <w:tcW w:w="1670" w:type="dxa"/>
            <w:gridSpan w:val="2"/>
            <w:vAlign w:val="center"/>
          </w:tcPr>
          <w:p w14:paraId="4398CBEA" w14:textId="77777777" w:rsidR="00866585" w:rsidRPr="00E67914" w:rsidRDefault="00866585" w:rsidP="00866585">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lang w:eastAsia="zh-CN"/>
              </w:rPr>
              <w:t>＜</w:t>
            </w:r>
            <w:r w:rsidRPr="00E67914">
              <w:rPr>
                <w:rFonts w:ascii="Times New Roman" w:eastAsia="Times New Roman" w:hAnsi="Times New Roman"/>
                <w:sz w:val="21"/>
                <w:szCs w:val="21"/>
              </w:rPr>
              <w:t>55dB</w:t>
            </w:r>
            <w:r w:rsidRPr="00E67914">
              <w:rPr>
                <w:rFonts w:ascii="Times New Roman" w:hAnsi="Times New Roman"/>
                <w:sz w:val="21"/>
                <w:szCs w:val="21"/>
              </w:rPr>
              <w:t>（</w:t>
            </w:r>
            <w:r w:rsidRPr="00E67914">
              <w:rPr>
                <w:rFonts w:ascii="Times New Roman" w:eastAsia="Times New Roman" w:hAnsi="Times New Roman"/>
                <w:sz w:val="21"/>
                <w:szCs w:val="21"/>
              </w:rPr>
              <w:t>A</w:t>
            </w:r>
            <w:r w:rsidRPr="00E67914">
              <w:rPr>
                <w:rFonts w:ascii="Times New Roman" w:hAnsi="Times New Roman"/>
                <w:sz w:val="21"/>
                <w:szCs w:val="21"/>
              </w:rPr>
              <w:t>）</w:t>
            </w:r>
          </w:p>
        </w:tc>
        <w:tc>
          <w:tcPr>
            <w:tcW w:w="3402" w:type="dxa"/>
            <w:vAlign w:val="center"/>
          </w:tcPr>
          <w:p w14:paraId="57D3B190" w14:textId="77777777" w:rsidR="00866585" w:rsidRPr="00E67914" w:rsidRDefault="00866585"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设备选型时选择低噪声设备，设置减震基础；站内工艺管道的设计考虑合理的流速，减少气流噪声；站内设备合理布局</w:t>
            </w:r>
          </w:p>
        </w:tc>
        <w:tc>
          <w:tcPr>
            <w:tcW w:w="1276" w:type="dxa"/>
            <w:vAlign w:val="center"/>
          </w:tcPr>
          <w:p w14:paraId="6F4FCE2E" w14:textId="77777777" w:rsidR="00866585" w:rsidRPr="00E67914" w:rsidRDefault="00866585" w:rsidP="0086658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连续</w:t>
            </w:r>
          </w:p>
        </w:tc>
        <w:tc>
          <w:tcPr>
            <w:tcW w:w="2122" w:type="dxa"/>
            <w:vAlign w:val="center"/>
          </w:tcPr>
          <w:p w14:paraId="63A5B7FD" w14:textId="77777777" w:rsidR="00866585" w:rsidRPr="00E67914" w:rsidRDefault="00866585" w:rsidP="00866585">
            <w:pPr>
              <w:pStyle w:val="TableParagraph"/>
              <w:adjustRightInd w:val="0"/>
              <w:snapToGrid w:val="0"/>
              <w:jc w:val="center"/>
              <w:rPr>
                <w:rFonts w:ascii="Times New Roman" w:hAnsi="Times New Roman"/>
                <w:spacing w:val="-4"/>
                <w:sz w:val="21"/>
                <w:szCs w:val="21"/>
                <w:lang w:eastAsia="zh-CN"/>
              </w:rPr>
            </w:pPr>
            <w:r w:rsidRPr="00E67914">
              <w:rPr>
                <w:rFonts w:ascii="Times New Roman" w:hAnsi="Times New Roman"/>
                <w:spacing w:val="-4"/>
                <w:sz w:val="21"/>
                <w:szCs w:val="21"/>
                <w:lang w:eastAsia="zh-CN"/>
              </w:rPr>
              <w:t>《工业企业厂界环境噪声排放标准》（</w:t>
            </w:r>
            <w:r w:rsidRPr="00E67914">
              <w:rPr>
                <w:rFonts w:ascii="Times New Roman" w:hAnsi="Times New Roman"/>
                <w:spacing w:val="-4"/>
                <w:sz w:val="21"/>
                <w:szCs w:val="21"/>
                <w:lang w:eastAsia="zh-CN"/>
              </w:rPr>
              <w:t>GB12348-2008</w:t>
            </w:r>
            <w:r w:rsidRPr="00E67914">
              <w:rPr>
                <w:rFonts w:ascii="Times New Roman" w:hAnsi="Times New Roman"/>
                <w:bCs/>
                <w:spacing w:val="-4"/>
                <w:sz w:val="21"/>
                <w:szCs w:val="21"/>
                <w:lang w:eastAsia="zh-CN"/>
              </w:rPr>
              <w:t>）</w:t>
            </w:r>
            <w:r w:rsidRPr="00E67914">
              <w:rPr>
                <w:rFonts w:ascii="Times New Roman" w:hAnsi="Times New Roman"/>
                <w:bCs/>
                <w:spacing w:val="-4"/>
                <w:sz w:val="21"/>
                <w:szCs w:val="21"/>
                <w:lang w:eastAsia="zh-CN"/>
              </w:rPr>
              <w:t>2</w:t>
            </w:r>
            <w:r w:rsidRPr="00E67914">
              <w:rPr>
                <w:rFonts w:ascii="Times New Roman" w:hAnsi="Times New Roman"/>
                <w:bCs/>
                <w:spacing w:val="-4"/>
                <w:sz w:val="21"/>
                <w:szCs w:val="21"/>
                <w:lang w:eastAsia="zh-CN"/>
              </w:rPr>
              <w:t>类标准</w:t>
            </w:r>
          </w:p>
        </w:tc>
        <w:tc>
          <w:tcPr>
            <w:tcW w:w="718" w:type="dxa"/>
            <w:vAlign w:val="center"/>
          </w:tcPr>
          <w:p w14:paraId="679059B9" w14:textId="77777777" w:rsidR="00866585" w:rsidRPr="00E67914" w:rsidRDefault="00866585" w:rsidP="0086658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w:t>
            </w:r>
          </w:p>
        </w:tc>
      </w:tr>
      <w:tr w:rsidR="004D2E72" w:rsidRPr="00E67914" w14:paraId="649271CC" w14:textId="77777777">
        <w:trPr>
          <w:jc w:val="center"/>
        </w:trPr>
        <w:tc>
          <w:tcPr>
            <w:tcW w:w="562" w:type="dxa"/>
            <w:vMerge w:val="restart"/>
            <w:vAlign w:val="center"/>
          </w:tcPr>
          <w:p w14:paraId="48AE7A43"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固体废物</w:t>
            </w:r>
          </w:p>
        </w:tc>
        <w:tc>
          <w:tcPr>
            <w:tcW w:w="1418" w:type="dxa"/>
            <w:vMerge w:val="restart"/>
            <w:vAlign w:val="center"/>
          </w:tcPr>
          <w:p w14:paraId="68953E58"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施工期固废</w:t>
            </w:r>
          </w:p>
        </w:tc>
        <w:tc>
          <w:tcPr>
            <w:tcW w:w="1276" w:type="dxa"/>
            <w:vAlign w:val="center"/>
          </w:tcPr>
          <w:p w14:paraId="4085A649"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水基钻井固废</w:t>
            </w:r>
          </w:p>
        </w:tc>
        <w:tc>
          <w:tcPr>
            <w:tcW w:w="2551" w:type="dxa"/>
            <w:gridSpan w:val="3"/>
            <w:vAlign w:val="center"/>
          </w:tcPr>
          <w:p w14:paraId="62492312" w14:textId="21EBE4A9"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4337.82t</w:t>
            </w:r>
          </w:p>
        </w:tc>
        <w:tc>
          <w:tcPr>
            <w:tcW w:w="3402" w:type="dxa"/>
            <w:vAlign w:val="center"/>
          </w:tcPr>
          <w:p w14:paraId="2AD3609A" w14:textId="70CBBFDF"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经泥浆不落地工艺进行固液分离后及时转运至达州地区环保手续齐全、环保设施稳定运行固废烧结厂进行烧结后综合利用</w:t>
            </w:r>
          </w:p>
        </w:tc>
        <w:tc>
          <w:tcPr>
            <w:tcW w:w="1276" w:type="dxa"/>
            <w:vMerge w:val="restart"/>
            <w:vAlign w:val="center"/>
          </w:tcPr>
          <w:p w14:paraId="18176265" w14:textId="77777777" w:rsidR="004D2E72" w:rsidRPr="00E67914" w:rsidRDefault="004D2E72" w:rsidP="0086658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钻井期定期转运</w:t>
            </w:r>
          </w:p>
        </w:tc>
        <w:tc>
          <w:tcPr>
            <w:tcW w:w="2840" w:type="dxa"/>
            <w:gridSpan w:val="2"/>
            <w:vMerge w:val="restart"/>
            <w:vAlign w:val="center"/>
          </w:tcPr>
          <w:p w14:paraId="54268393" w14:textId="77777777" w:rsidR="004D2E72" w:rsidRPr="00E67914" w:rsidRDefault="004D2E72" w:rsidP="0086658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妥善处置，不会对环境造成二次污染</w:t>
            </w:r>
          </w:p>
        </w:tc>
      </w:tr>
      <w:tr w:rsidR="004D2E72" w:rsidRPr="00E67914" w14:paraId="35D800E1" w14:textId="77777777">
        <w:trPr>
          <w:jc w:val="center"/>
        </w:trPr>
        <w:tc>
          <w:tcPr>
            <w:tcW w:w="562" w:type="dxa"/>
            <w:vMerge/>
            <w:vAlign w:val="center"/>
          </w:tcPr>
          <w:p w14:paraId="33EC0A0A"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014A0225"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276" w:type="dxa"/>
            <w:vAlign w:val="center"/>
          </w:tcPr>
          <w:p w14:paraId="0F40F71F" w14:textId="7F0F663A"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油基钻井固废</w:t>
            </w:r>
          </w:p>
        </w:tc>
        <w:tc>
          <w:tcPr>
            <w:tcW w:w="2551" w:type="dxa"/>
            <w:gridSpan w:val="3"/>
            <w:vAlign w:val="center"/>
          </w:tcPr>
          <w:p w14:paraId="4A552426" w14:textId="70E0287D"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621.1m</w:t>
            </w:r>
            <w:r w:rsidRPr="00E67914">
              <w:rPr>
                <w:rFonts w:ascii="Times New Roman" w:hAnsi="Times New Roman"/>
                <w:sz w:val="21"/>
                <w:szCs w:val="21"/>
                <w:vertAlign w:val="superscript"/>
                <w:lang w:eastAsia="zh-CN"/>
              </w:rPr>
              <w:t>3</w:t>
            </w:r>
          </w:p>
        </w:tc>
        <w:tc>
          <w:tcPr>
            <w:tcW w:w="3402" w:type="dxa"/>
            <w:vAlign w:val="center"/>
          </w:tcPr>
          <w:p w14:paraId="3F589A83" w14:textId="65BBCD9C"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交由资质单位处置</w:t>
            </w:r>
          </w:p>
        </w:tc>
        <w:tc>
          <w:tcPr>
            <w:tcW w:w="1276" w:type="dxa"/>
            <w:vMerge/>
            <w:vAlign w:val="center"/>
          </w:tcPr>
          <w:p w14:paraId="452C6782" w14:textId="77777777" w:rsidR="004D2E72" w:rsidRPr="00E67914" w:rsidRDefault="004D2E72" w:rsidP="00866585">
            <w:pPr>
              <w:adjustRightInd w:val="0"/>
              <w:snapToGrid w:val="0"/>
              <w:jc w:val="center"/>
              <w:rPr>
                <w:rFonts w:ascii="Times New Roman" w:hAnsi="Times New Roman"/>
                <w:sz w:val="21"/>
                <w:szCs w:val="21"/>
                <w:lang w:eastAsia="zh-CN"/>
              </w:rPr>
            </w:pPr>
          </w:p>
        </w:tc>
        <w:tc>
          <w:tcPr>
            <w:tcW w:w="2840" w:type="dxa"/>
            <w:gridSpan w:val="2"/>
            <w:vMerge/>
            <w:vAlign w:val="center"/>
          </w:tcPr>
          <w:p w14:paraId="538BD0D9" w14:textId="77777777" w:rsidR="004D2E72" w:rsidRPr="00E67914" w:rsidRDefault="004D2E72" w:rsidP="00866585">
            <w:pPr>
              <w:adjustRightInd w:val="0"/>
              <w:snapToGrid w:val="0"/>
              <w:jc w:val="center"/>
              <w:rPr>
                <w:rFonts w:ascii="Times New Roman" w:hAnsi="Times New Roman"/>
                <w:sz w:val="21"/>
                <w:szCs w:val="21"/>
                <w:lang w:eastAsia="zh-CN"/>
              </w:rPr>
            </w:pPr>
          </w:p>
        </w:tc>
      </w:tr>
      <w:tr w:rsidR="004D2E72" w:rsidRPr="00E67914" w14:paraId="63F580CD" w14:textId="77777777">
        <w:trPr>
          <w:jc w:val="center"/>
        </w:trPr>
        <w:tc>
          <w:tcPr>
            <w:tcW w:w="562" w:type="dxa"/>
            <w:vMerge/>
            <w:vAlign w:val="center"/>
          </w:tcPr>
          <w:p w14:paraId="61247F51"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503528F5"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276" w:type="dxa"/>
            <w:vAlign w:val="center"/>
          </w:tcPr>
          <w:p w14:paraId="22711360"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rPr>
              <w:t>废油</w:t>
            </w:r>
          </w:p>
        </w:tc>
        <w:tc>
          <w:tcPr>
            <w:tcW w:w="2551" w:type="dxa"/>
            <w:gridSpan w:val="3"/>
            <w:vAlign w:val="center"/>
          </w:tcPr>
          <w:p w14:paraId="67011194" w14:textId="35A59FD8"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2.1m</w:t>
            </w:r>
            <w:r w:rsidRPr="00E67914">
              <w:rPr>
                <w:rFonts w:ascii="Times New Roman" w:hAnsi="Times New Roman"/>
                <w:sz w:val="21"/>
                <w:szCs w:val="21"/>
                <w:vertAlign w:val="superscript"/>
                <w:lang w:eastAsia="zh-CN"/>
              </w:rPr>
              <w:t>3</w:t>
            </w:r>
          </w:p>
        </w:tc>
        <w:tc>
          <w:tcPr>
            <w:tcW w:w="3402" w:type="dxa"/>
            <w:vAlign w:val="center"/>
          </w:tcPr>
          <w:p w14:paraId="2F0C5473"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设置废油桶集中收集暂存于泥浆不落地装置区临时堆放区内，钻井队综合利用或交由有资质的单位处理</w:t>
            </w:r>
          </w:p>
        </w:tc>
        <w:tc>
          <w:tcPr>
            <w:tcW w:w="1276" w:type="dxa"/>
            <w:vMerge/>
            <w:vAlign w:val="center"/>
          </w:tcPr>
          <w:p w14:paraId="07109905" w14:textId="77777777" w:rsidR="004D2E72" w:rsidRPr="00E67914" w:rsidRDefault="004D2E72" w:rsidP="00866585">
            <w:pPr>
              <w:adjustRightInd w:val="0"/>
              <w:snapToGrid w:val="0"/>
              <w:jc w:val="center"/>
              <w:rPr>
                <w:rFonts w:ascii="Times New Roman" w:hAnsi="Times New Roman"/>
                <w:sz w:val="21"/>
                <w:szCs w:val="21"/>
                <w:lang w:eastAsia="zh-CN"/>
              </w:rPr>
            </w:pPr>
          </w:p>
        </w:tc>
        <w:tc>
          <w:tcPr>
            <w:tcW w:w="2840" w:type="dxa"/>
            <w:gridSpan w:val="2"/>
            <w:vMerge/>
            <w:vAlign w:val="center"/>
          </w:tcPr>
          <w:p w14:paraId="22CB151B" w14:textId="77777777" w:rsidR="004D2E72" w:rsidRPr="00E67914" w:rsidRDefault="004D2E72" w:rsidP="00866585">
            <w:pPr>
              <w:adjustRightInd w:val="0"/>
              <w:snapToGrid w:val="0"/>
              <w:jc w:val="center"/>
              <w:rPr>
                <w:rFonts w:ascii="Times New Roman" w:hAnsi="Times New Roman"/>
                <w:sz w:val="21"/>
                <w:szCs w:val="21"/>
                <w:lang w:eastAsia="zh-CN"/>
              </w:rPr>
            </w:pPr>
          </w:p>
        </w:tc>
      </w:tr>
      <w:tr w:rsidR="004D2E72" w:rsidRPr="00E67914" w14:paraId="72787E97" w14:textId="77777777">
        <w:trPr>
          <w:jc w:val="center"/>
        </w:trPr>
        <w:tc>
          <w:tcPr>
            <w:tcW w:w="562" w:type="dxa"/>
            <w:vMerge/>
            <w:vAlign w:val="center"/>
          </w:tcPr>
          <w:p w14:paraId="5C5B2A10"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30698FBD"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276" w:type="dxa"/>
            <w:vAlign w:val="center"/>
          </w:tcPr>
          <w:p w14:paraId="5CBC1D06"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rPr>
              <w:t>废包装材料</w:t>
            </w:r>
          </w:p>
        </w:tc>
        <w:tc>
          <w:tcPr>
            <w:tcW w:w="2551" w:type="dxa"/>
            <w:gridSpan w:val="3"/>
            <w:vAlign w:val="center"/>
          </w:tcPr>
          <w:p w14:paraId="37B26771" w14:textId="709C0A8B"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6.0t</w:t>
            </w:r>
          </w:p>
        </w:tc>
        <w:tc>
          <w:tcPr>
            <w:tcW w:w="3402" w:type="dxa"/>
            <w:vAlign w:val="center"/>
          </w:tcPr>
          <w:p w14:paraId="523721FB"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集中收集后部分回用，剩余的送当地废品回收站处理</w:t>
            </w:r>
          </w:p>
        </w:tc>
        <w:tc>
          <w:tcPr>
            <w:tcW w:w="1276" w:type="dxa"/>
            <w:vMerge/>
            <w:vAlign w:val="center"/>
          </w:tcPr>
          <w:p w14:paraId="281F8269" w14:textId="77777777" w:rsidR="004D2E72" w:rsidRPr="00E67914" w:rsidRDefault="004D2E72" w:rsidP="00866585">
            <w:pPr>
              <w:adjustRightInd w:val="0"/>
              <w:snapToGrid w:val="0"/>
              <w:jc w:val="center"/>
              <w:rPr>
                <w:rFonts w:ascii="Times New Roman" w:hAnsi="Times New Roman"/>
                <w:sz w:val="21"/>
                <w:szCs w:val="21"/>
                <w:lang w:eastAsia="zh-CN"/>
              </w:rPr>
            </w:pPr>
          </w:p>
        </w:tc>
        <w:tc>
          <w:tcPr>
            <w:tcW w:w="2840" w:type="dxa"/>
            <w:gridSpan w:val="2"/>
            <w:vMerge/>
            <w:vAlign w:val="center"/>
          </w:tcPr>
          <w:p w14:paraId="5BDAC305" w14:textId="77777777" w:rsidR="004D2E72" w:rsidRPr="00E67914" w:rsidRDefault="004D2E72" w:rsidP="00866585">
            <w:pPr>
              <w:adjustRightInd w:val="0"/>
              <w:snapToGrid w:val="0"/>
              <w:jc w:val="center"/>
              <w:rPr>
                <w:rFonts w:ascii="Times New Roman" w:hAnsi="Times New Roman"/>
                <w:sz w:val="21"/>
                <w:szCs w:val="21"/>
                <w:lang w:eastAsia="zh-CN"/>
              </w:rPr>
            </w:pPr>
          </w:p>
        </w:tc>
      </w:tr>
      <w:tr w:rsidR="004D2E72" w:rsidRPr="00E67914" w14:paraId="40BE547A" w14:textId="77777777">
        <w:trPr>
          <w:jc w:val="center"/>
        </w:trPr>
        <w:tc>
          <w:tcPr>
            <w:tcW w:w="562" w:type="dxa"/>
            <w:vMerge/>
            <w:vAlign w:val="center"/>
          </w:tcPr>
          <w:p w14:paraId="139D56A7"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1611F872"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276" w:type="dxa"/>
            <w:vAlign w:val="center"/>
          </w:tcPr>
          <w:p w14:paraId="4A74F498"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生活垃圾</w:t>
            </w:r>
          </w:p>
        </w:tc>
        <w:tc>
          <w:tcPr>
            <w:tcW w:w="2551" w:type="dxa"/>
            <w:gridSpan w:val="3"/>
            <w:vAlign w:val="center"/>
          </w:tcPr>
          <w:p w14:paraId="03D85A7E"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rPr>
              <w:t>22.5kg/d</w:t>
            </w:r>
          </w:p>
        </w:tc>
        <w:tc>
          <w:tcPr>
            <w:tcW w:w="3402" w:type="dxa"/>
            <w:vAlign w:val="center"/>
          </w:tcPr>
          <w:p w14:paraId="1E143D23"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集中收集，交由当地环卫部门处置</w:t>
            </w:r>
          </w:p>
        </w:tc>
        <w:tc>
          <w:tcPr>
            <w:tcW w:w="1276" w:type="dxa"/>
            <w:vMerge/>
            <w:vAlign w:val="center"/>
          </w:tcPr>
          <w:p w14:paraId="097A2562" w14:textId="77777777" w:rsidR="004D2E72" w:rsidRPr="00E67914" w:rsidRDefault="004D2E72" w:rsidP="00866585">
            <w:pPr>
              <w:adjustRightInd w:val="0"/>
              <w:snapToGrid w:val="0"/>
              <w:jc w:val="center"/>
              <w:rPr>
                <w:rFonts w:ascii="Times New Roman" w:hAnsi="Times New Roman"/>
                <w:sz w:val="21"/>
                <w:szCs w:val="21"/>
                <w:lang w:eastAsia="zh-CN"/>
              </w:rPr>
            </w:pPr>
          </w:p>
        </w:tc>
        <w:tc>
          <w:tcPr>
            <w:tcW w:w="2840" w:type="dxa"/>
            <w:gridSpan w:val="2"/>
            <w:vMerge/>
            <w:vAlign w:val="center"/>
          </w:tcPr>
          <w:p w14:paraId="2DF8E6E3" w14:textId="77777777" w:rsidR="004D2E72" w:rsidRPr="00E67914" w:rsidRDefault="004D2E72" w:rsidP="00866585">
            <w:pPr>
              <w:adjustRightInd w:val="0"/>
              <w:snapToGrid w:val="0"/>
              <w:jc w:val="center"/>
              <w:rPr>
                <w:rFonts w:ascii="Times New Roman" w:hAnsi="Times New Roman"/>
                <w:sz w:val="21"/>
                <w:szCs w:val="21"/>
                <w:lang w:eastAsia="zh-CN"/>
              </w:rPr>
            </w:pPr>
          </w:p>
        </w:tc>
      </w:tr>
      <w:tr w:rsidR="004D2E72" w:rsidRPr="00E67914" w14:paraId="26E73DC5" w14:textId="77777777">
        <w:trPr>
          <w:jc w:val="center"/>
        </w:trPr>
        <w:tc>
          <w:tcPr>
            <w:tcW w:w="562" w:type="dxa"/>
            <w:vMerge/>
            <w:vAlign w:val="center"/>
          </w:tcPr>
          <w:p w14:paraId="60BBA722"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418" w:type="dxa"/>
            <w:vMerge/>
            <w:vAlign w:val="center"/>
          </w:tcPr>
          <w:p w14:paraId="1A07A2E3"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276" w:type="dxa"/>
            <w:vAlign w:val="center"/>
          </w:tcPr>
          <w:p w14:paraId="3200A8A5"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钻前及完井搬迁及试采站建设的建筑垃圾</w:t>
            </w:r>
          </w:p>
        </w:tc>
        <w:tc>
          <w:tcPr>
            <w:tcW w:w="2551" w:type="dxa"/>
            <w:gridSpan w:val="3"/>
            <w:vAlign w:val="center"/>
          </w:tcPr>
          <w:p w14:paraId="5E529509"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少量</w:t>
            </w:r>
          </w:p>
        </w:tc>
        <w:tc>
          <w:tcPr>
            <w:tcW w:w="3402" w:type="dxa"/>
            <w:vAlign w:val="center"/>
          </w:tcPr>
          <w:p w14:paraId="212C64F8" w14:textId="77777777"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施工队伍统一收集清运至政府指定地方</w:t>
            </w:r>
          </w:p>
        </w:tc>
        <w:tc>
          <w:tcPr>
            <w:tcW w:w="1276" w:type="dxa"/>
            <w:vAlign w:val="center"/>
          </w:tcPr>
          <w:p w14:paraId="3F2A4ABF" w14:textId="77777777" w:rsidR="004D2E72" w:rsidRPr="00E67914" w:rsidRDefault="004D2E72" w:rsidP="0086658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完井搬迁期与试采站建设期</w:t>
            </w:r>
          </w:p>
        </w:tc>
        <w:tc>
          <w:tcPr>
            <w:tcW w:w="2840" w:type="dxa"/>
            <w:gridSpan w:val="2"/>
            <w:vMerge/>
            <w:vAlign w:val="center"/>
          </w:tcPr>
          <w:p w14:paraId="54825442" w14:textId="77777777" w:rsidR="004D2E72" w:rsidRPr="00E67914" w:rsidRDefault="004D2E72" w:rsidP="00866585">
            <w:pPr>
              <w:adjustRightInd w:val="0"/>
              <w:snapToGrid w:val="0"/>
              <w:jc w:val="center"/>
              <w:rPr>
                <w:rFonts w:ascii="Times New Roman" w:hAnsi="Times New Roman"/>
                <w:sz w:val="21"/>
                <w:szCs w:val="21"/>
                <w:lang w:eastAsia="zh-CN"/>
              </w:rPr>
            </w:pPr>
          </w:p>
        </w:tc>
      </w:tr>
      <w:tr w:rsidR="004D2E72" w:rsidRPr="00E67914" w14:paraId="23BEE6CA" w14:textId="77777777">
        <w:trPr>
          <w:jc w:val="center"/>
        </w:trPr>
        <w:tc>
          <w:tcPr>
            <w:tcW w:w="562" w:type="dxa"/>
            <w:vMerge/>
            <w:vAlign w:val="center"/>
          </w:tcPr>
          <w:p w14:paraId="07C04365" w14:textId="77777777" w:rsidR="004D2E72" w:rsidRPr="00E67914" w:rsidRDefault="004D2E72" w:rsidP="00866585">
            <w:pPr>
              <w:pStyle w:val="TableParagraph"/>
              <w:adjustRightInd w:val="0"/>
              <w:snapToGrid w:val="0"/>
              <w:jc w:val="center"/>
              <w:rPr>
                <w:rFonts w:ascii="Times New Roman" w:hAnsi="Times New Roman"/>
                <w:sz w:val="21"/>
                <w:szCs w:val="21"/>
                <w:lang w:eastAsia="zh-CN"/>
              </w:rPr>
            </w:pPr>
          </w:p>
        </w:tc>
        <w:tc>
          <w:tcPr>
            <w:tcW w:w="1418" w:type="dxa"/>
            <w:vAlign w:val="center"/>
          </w:tcPr>
          <w:p w14:paraId="75E628AB" w14:textId="768C691B" w:rsidR="004D2E72" w:rsidRPr="00E67914" w:rsidRDefault="004D2E72" w:rsidP="00866585">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试采期固废</w:t>
            </w:r>
          </w:p>
        </w:tc>
        <w:tc>
          <w:tcPr>
            <w:tcW w:w="1276" w:type="dxa"/>
            <w:vAlign w:val="center"/>
          </w:tcPr>
          <w:p w14:paraId="19B3240E" w14:textId="219AD94A"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清罐油泥</w:t>
            </w:r>
          </w:p>
        </w:tc>
        <w:tc>
          <w:tcPr>
            <w:tcW w:w="2551" w:type="dxa"/>
            <w:gridSpan w:val="3"/>
            <w:vAlign w:val="center"/>
          </w:tcPr>
          <w:p w14:paraId="087AF159" w14:textId="47AB9805"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0.27t/a</w:t>
            </w:r>
          </w:p>
        </w:tc>
        <w:tc>
          <w:tcPr>
            <w:tcW w:w="3402" w:type="dxa"/>
            <w:vAlign w:val="center"/>
          </w:tcPr>
          <w:p w14:paraId="6F89A903" w14:textId="184A72F8" w:rsidR="004D2E72" w:rsidRPr="00E67914" w:rsidRDefault="004D2E72" w:rsidP="00866585">
            <w:pPr>
              <w:snapToGrid w:val="0"/>
              <w:jc w:val="center"/>
              <w:rPr>
                <w:rFonts w:ascii="Times New Roman" w:hAnsi="Times New Roman"/>
                <w:sz w:val="21"/>
                <w:szCs w:val="21"/>
                <w:lang w:eastAsia="zh-CN"/>
              </w:rPr>
            </w:pPr>
            <w:r w:rsidRPr="00E67914">
              <w:rPr>
                <w:rFonts w:ascii="Times New Roman" w:hAnsi="Times New Roman"/>
                <w:sz w:val="21"/>
                <w:szCs w:val="21"/>
                <w:lang w:eastAsia="zh-CN"/>
              </w:rPr>
              <w:t>由专业单位清理，清理后立即交有资质单位处置</w:t>
            </w:r>
          </w:p>
        </w:tc>
        <w:tc>
          <w:tcPr>
            <w:tcW w:w="1276" w:type="dxa"/>
            <w:vAlign w:val="center"/>
          </w:tcPr>
          <w:p w14:paraId="0F25D573" w14:textId="78F665DB" w:rsidR="004D2E72" w:rsidRPr="00E67914" w:rsidRDefault="004D2E72" w:rsidP="00866585">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试采结束</w:t>
            </w:r>
          </w:p>
        </w:tc>
        <w:tc>
          <w:tcPr>
            <w:tcW w:w="2840" w:type="dxa"/>
            <w:gridSpan w:val="2"/>
            <w:vMerge/>
            <w:vAlign w:val="center"/>
          </w:tcPr>
          <w:p w14:paraId="397A4BE8" w14:textId="77777777" w:rsidR="004D2E72" w:rsidRPr="00E67914" w:rsidRDefault="004D2E72" w:rsidP="00866585">
            <w:pPr>
              <w:adjustRightInd w:val="0"/>
              <w:snapToGrid w:val="0"/>
              <w:jc w:val="center"/>
              <w:rPr>
                <w:rFonts w:ascii="Times New Roman" w:hAnsi="Times New Roman"/>
                <w:sz w:val="21"/>
                <w:szCs w:val="21"/>
                <w:lang w:eastAsia="zh-CN"/>
              </w:rPr>
            </w:pPr>
          </w:p>
        </w:tc>
      </w:tr>
    </w:tbl>
    <w:p w14:paraId="434EB367" w14:textId="77777777" w:rsidR="00A54A8A" w:rsidRPr="00E67914" w:rsidRDefault="00A54A8A">
      <w:pPr>
        <w:pStyle w:val="2"/>
        <w:ind w:firstLine="480"/>
        <w:rPr>
          <w:szCs w:val="24"/>
          <w:lang w:eastAsia="zh-CN"/>
        </w:rPr>
        <w:sectPr w:rsidR="00A54A8A" w:rsidRPr="00E67914">
          <w:headerReference w:type="default" r:id="rId115"/>
          <w:pgSz w:w="16840" w:h="11910" w:orient="landscape"/>
          <w:pgMar w:top="1440" w:right="1800" w:bottom="1440" w:left="1800" w:header="1297" w:footer="634" w:gutter="0"/>
          <w:cols w:space="720"/>
          <w:docGrid w:linePitch="299"/>
        </w:sectPr>
      </w:pPr>
      <w:bookmarkStart w:id="270" w:name="8.2环境监测"/>
      <w:bookmarkStart w:id="271" w:name="_bookmark40"/>
      <w:bookmarkEnd w:id="270"/>
      <w:bookmarkEnd w:id="271"/>
    </w:p>
    <w:p w14:paraId="3D45428C" w14:textId="77777777" w:rsidR="00A54A8A" w:rsidRPr="00E67914" w:rsidRDefault="00000000">
      <w:pPr>
        <w:pStyle w:val="2"/>
        <w:spacing w:beforeLines="50" w:before="120"/>
        <w:ind w:firstLine="480"/>
        <w:jc w:val="both"/>
        <w:rPr>
          <w:szCs w:val="24"/>
          <w:lang w:eastAsia="zh-CN"/>
        </w:rPr>
      </w:pPr>
      <w:bookmarkStart w:id="272" w:name="_Toc148654254"/>
      <w:r w:rsidRPr="00E67914">
        <w:rPr>
          <w:szCs w:val="24"/>
          <w:lang w:eastAsia="zh-CN"/>
        </w:rPr>
        <w:lastRenderedPageBreak/>
        <w:t>10.3</w:t>
      </w:r>
      <w:r w:rsidRPr="00E67914">
        <w:rPr>
          <w:szCs w:val="24"/>
          <w:lang w:eastAsia="zh-CN"/>
        </w:rPr>
        <w:t>环境监测</w:t>
      </w:r>
      <w:bookmarkEnd w:id="272"/>
    </w:p>
    <w:p w14:paraId="2516BD51" w14:textId="77777777" w:rsidR="00A54A8A" w:rsidRPr="00E67914" w:rsidRDefault="00000000">
      <w:pPr>
        <w:pStyle w:val="3"/>
        <w:adjustRightInd w:val="0"/>
        <w:snapToGrid w:val="0"/>
        <w:spacing w:before="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10.3.1</w:t>
      </w:r>
      <w:r w:rsidRPr="00E67914">
        <w:rPr>
          <w:rFonts w:ascii="Times New Roman" w:eastAsia="黑体" w:hAnsi="Times New Roman"/>
          <w:b w:val="0"/>
          <w:sz w:val="24"/>
          <w:szCs w:val="24"/>
          <w:lang w:eastAsia="zh-CN"/>
        </w:rPr>
        <w:t>监测计划</w:t>
      </w:r>
    </w:p>
    <w:p w14:paraId="746998B3"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从本评价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14:paraId="121407C9" w14:textId="77777777" w:rsidR="00A54A8A" w:rsidRPr="00E67914" w:rsidRDefault="00000000">
      <w:pPr>
        <w:pStyle w:val="af4"/>
        <w:adjustRightInd w:val="0"/>
        <w:snapToGrid w:val="0"/>
        <w:spacing w:line="360" w:lineRule="auto"/>
        <w:ind w:firstLineChars="200" w:firstLine="480"/>
        <w:rPr>
          <w:rFonts w:ascii="Times New Roman" w:hAnsi="Times New Roman"/>
          <w:bCs/>
        </w:rPr>
      </w:pPr>
      <w:bookmarkStart w:id="273" w:name="8.2.1监测计划"/>
      <w:bookmarkEnd w:id="273"/>
      <w:r w:rsidRPr="00E67914">
        <w:rPr>
          <w:rFonts w:ascii="Times New Roman" w:hAnsi="Times New Roman"/>
          <w:bCs/>
        </w:rPr>
        <w:t>根据天然气试采对区域环境可能产生的影响，确定本项目环境监测对象为土壤、水、气、声。监测范围一般根据各种污染因子对环境产生的影响范围而定，具体范围可参见环境影响范围。</w:t>
      </w:r>
    </w:p>
    <w:p w14:paraId="257B6E22" w14:textId="7304FE7E" w:rsidR="00A54A8A" w:rsidRPr="00E67914" w:rsidRDefault="00000000">
      <w:pPr>
        <w:pStyle w:val="af4"/>
        <w:adjustRightInd w:val="0"/>
        <w:snapToGrid w:val="0"/>
        <w:spacing w:line="360" w:lineRule="auto"/>
        <w:ind w:firstLineChars="200" w:firstLine="480"/>
        <w:rPr>
          <w:rFonts w:ascii="Times New Roman" w:hAnsi="Times New Roman"/>
          <w:bCs/>
        </w:rPr>
      </w:pPr>
      <w:r w:rsidRPr="00E67914">
        <w:rPr>
          <w:rFonts w:ascii="Times New Roman" w:hAnsi="Times New Roman"/>
          <w:bCs/>
        </w:rPr>
        <w:t>本项目正常施工或生产期间开展定期监测，在事故时进行应急监测。参照《排污单位自行监测技术指南</w:t>
      </w:r>
      <w:r w:rsidRPr="00E67914">
        <w:rPr>
          <w:rFonts w:ascii="Times New Roman" w:hAnsi="Times New Roman"/>
          <w:bCs/>
        </w:rPr>
        <w:t xml:space="preserve"> </w:t>
      </w:r>
      <w:r w:rsidRPr="00E67914">
        <w:rPr>
          <w:rFonts w:ascii="Times New Roman" w:hAnsi="Times New Roman"/>
          <w:bCs/>
        </w:rPr>
        <w:t>总则》（</w:t>
      </w:r>
      <w:r w:rsidRPr="00E67914">
        <w:rPr>
          <w:rFonts w:ascii="Times New Roman" w:hAnsi="Times New Roman"/>
          <w:bCs/>
        </w:rPr>
        <w:t>HJ819-2017</w:t>
      </w:r>
      <w:r w:rsidRPr="00E67914">
        <w:rPr>
          <w:rFonts w:ascii="Times New Roman" w:hAnsi="Times New Roman"/>
          <w:bCs/>
        </w:rPr>
        <w:t>）、《工业企业土壤和地下水自行监测</w:t>
      </w:r>
      <w:r w:rsidRPr="00E67914">
        <w:rPr>
          <w:rFonts w:ascii="Times New Roman" w:hAnsi="Times New Roman"/>
          <w:bCs/>
        </w:rPr>
        <w:t xml:space="preserve"> </w:t>
      </w:r>
      <w:r w:rsidRPr="00E67914">
        <w:rPr>
          <w:rFonts w:ascii="Times New Roman" w:hAnsi="Times New Roman"/>
          <w:bCs/>
        </w:rPr>
        <w:t>技术指南（试行）》（</w:t>
      </w:r>
      <w:r w:rsidRPr="00E67914">
        <w:rPr>
          <w:rFonts w:ascii="Times New Roman" w:hAnsi="Times New Roman"/>
          <w:bCs/>
        </w:rPr>
        <w:t>HJ1209-2021</w:t>
      </w:r>
      <w:r w:rsidRPr="00E67914">
        <w:rPr>
          <w:rFonts w:ascii="Times New Roman" w:hAnsi="Times New Roman"/>
          <w:bCs/>
        </w:rPr>
        <w:t>）与《排污单位自行监测技术指南</w:t>
      </w:r>
      <w:r w:rsidRPr="00E67914">
        <w:rPr>
          <w:rFonts w:ascii="Times New Roman" w:hAnsi="Times New Roman"/>
          <w:bCs/>
        </w:rPr>
        <w:t xml:space="preserve"> </w:t>
      </w:r>
      <w:r w:rsidRPr="00E67914">
        <w:rPr>
          <w:rFonts w:ascii="Times New Roman" w:hAnsi="Times New Roman"/>
          <w:bCs/>
        </w:rPr>
        <w:t>陆上石油天然气开采工业》（</w:t>
      </w:r>
      <w:r w:rsidRPr="00E67914">
        <w:rPr>
          <w:rFonts w:ascii="Times New Roman" w:hAnsi="Times New Roman"/>
          <w:bCs/>
        </w:rPr>
        <w:t>HJ1248</w:t>
      </w:r>
      <w:r w:rsidR="004D2E72" w:rsidRPr="00E67914">
        <w:rPr>
          <w:rFonts w:ascii="Times New Roman" w:hAnsi="Times New Roman"/>
          <w:bCs/>
        </w:rPr>
        <w:t>-</w:t>
      </w:r>
      <w:r w:rsidRPr="00E67914">
        <w:rPr>
          <w:rFonts w:ascii="Times New Roman" w:hAnsi="Times New Roman"/>
          <w:bCs/>
        </w:rPr>
        <w:t>2022</w:t>
      </w:r>
      <w:r w:rsidRPr="00E67914">
        <w:rPr>
          <w:rFonts w:ascii="Times New Roman" w:hAnsi="Times New Roman"/>
          <w:bCs/>
        </w:rPr>
        <w:t>）中的有关规定要求，针对本项目产排污特点，制定本项目的监测计划。</w:t>
      </w:r>
    </w:p>
    <w:p w14:paraId="0B3CC61A" w14:textId="77777777" w:rsidR="00A54A8A" w:rsidRPr="00E67914" w:rsidRDefault="00000000">
      <w:pPr>
        <w:pStyle w:val="af4"/>
        <w:adjustRightInd w:val="0"/>
        <w:snapToGrid w:val="0"/>
        <w:spacing w:line="360" w:lineRule="auto"/>
        <w:ind w:firstLineChars="200" w:firstLine="480"/>
        <w:rPr>
          <w:rFonts w:ascii="Times New Roman" w:hAnsi="Times New Roman"/>
          <w:bCs/>
        </w:rPr>
      </w:pPr>
      <w:r w:rsidRPr="00E67914">
        <w:rPr>
          <w:rFonts w:ascii="Times New Roman" w:hAnsi="Times New Roman"/>
          <w:bCs/>
        </w:rPr>
        <w:t>根据项目的特点，环境监测重点为井场场界噪声值、最近居民点的噪声值和场界周边</w:t>
      </w:r>
      <w:r w:rsidRPr="00E67914">
        <w:rPr>
          <w:rFonts w:ascii="Times New Roman" w:hAnsi="Times New Roman"/>
          <w:bCs/>
        </w:rPr>
        <w:t>CH</w:t>
      </w:r>
      <w:r w:rsidRPr="00E67914">
        <w:rPr>
          <w:rFonts w:ascii="Times New Roman" w:hAnsi="Times New Roman"/>
          <w:bCs/>
          <w:vertAlign w:val="subscript"/>
        </w:rPr>
        <w:t>4</w:t>
      </w:r>
      <w:r w:rsidRPr="00E67914">
        <w:rPr>
          <w:rFonts w:ascii="Times New Roman" w:hAnsi="Times New Roman"/>
          <w:bCs/>
        </w:rPr>
        <w:t>浓度。</w:t>
      </w:r>
    </w:p>
    <w:p w14:paraId="35888C51" w14:textId="77777777" w:rsidR="00A54A8A" w:rsidRPr="00E67914" w:rsidRDefault="00000000">
      <w:pPr>
        <w:pStyle w:val="af4"/>
        <w:adjustRightInd w:val="0"/>
        <w:snapToGrid w:val="0"/>
        <w:spacing w:line="360" w:lineRule="auto"/>
        <w:ind w:firstLineChars="200" w:firstLine="480"/>
        <w:rPr>
          <w:rFonts w:ascii="Times New Roman" w:hAnsi="Times New Roman"/>
          <w:bCs/>
        </w:rPr>
      </w:pPr>
      <w:r w:rsidRPr="00E67914">
        <w:rPr>
          <w:rFonts w:ascii="Times New Roman" w:hAnsi="Times New Roman"/>
          <w:bCs/>
        </w:rPr>
        <w:t>在钻入气层后根据钻井出现井喷、井漏、井涌、气侵等情况检测</w:t>
      </w:r>
      <w:r w:rsidRPr="00E67914">
        <w:rPr>
          <w:rFonts w:ascii="Times New Roman" w:hAnsi="Times New Roman"/>
          <w:bCs/>
        </w:rPr>
        <w:t>CH</w:t>
      </w:r>
      <w:r w:rsidRPr="00E67914">
        <w:rPr>
          <w:rFonts w:ascii="Times New Roman" w:hAnsi="Times New Roman"/>
          <w:bCs/>
          <w:vertAlign w:val="subscript"/>
        </w:rPr>
        <w:t>4</w:t>
      </w:r>
      <w:r w:rsidRPr="00E67914">
        <w:rPr>
          <w:rFonts w:ascii="Times New Roman" w:hAnsi="Times New Roman"/>
          <w:bCs/>
        </w:rPr>
        <w:t>、</w:t>
      </w:r>
      <w:r w:rsidRPr="00E67914">
        <w:rPr>
          <w:rFonts w:ascii="Times New Roman" w:hAnsi="Times New Roman"/>
          <w:bCs/>
        </w:rPr>
        <w:t>H</w:t>
      </w:r>
      <w:r w:rsidRPr="00E67914">
        <w:rPr>
          <w:rFonts w:ascii="Times New Roman" w:hAnsi="Times New Roman"/>
          <w:bCs/>
          <w:vertAlign w:val="subscript"/>
        </w:rPr>
        <w:t>2</w:t>
      </w:r>
      <w:r w:rsidRPr="00E67914">
        <w:rPr>
          <w:rFonts w:ascii="Times New Roman" w:hAnsi="Times New Roman"/>
          <w:bCs/>
        </w:rPr>
        <w:t>S</w:t>
      </w:r>
      <w:r w:rsidRPr="00E67914">
        <w:rPr>
          <w:rFonts w:ascii="Times New Roman" w:hAnsi="Times New Roman"/>
          <w:bCs/>
        </w:rPr>
        <w:t>浓度，测试和事故放喷时根据事故控制情况监测</w:t>
      </w:r>
      <w:r w:rsidRPr="00E67914">
        <w:rPr>
          <w:rFonts w:ascii="Times New Roman" w:hAnsi="Times New Roman"/>
          <w:bCs/>
        </w:rPr>
        <w:t>CH</w:t>
      </w:r>
      <w:r w:rsidRPr="00E67914">
        <w:rPr>
          <w:rFonts w:ascii="Times New Roman" w:hAnsi="Times New Roman"/>
          <w:bCs/>
          <w:vertAlign w:val="subscript"/>
        </w:rPr>
        <w:t>4</w:t>
      </w:r>
      <w:r w:rsidRPr="00E67914">
        <w:rPr>
          <w:rFonts w:ascii="Times New Roman" w:hAnsi="Times New Roman"/>
          <w:bCs/>
        </w:rPr>
        <w:t>、</w:t>
      </w:r>
      <w:r w:rsidRPr="00E67914">
        <w:rPr>
          <w:rFonts w:ascii="Times New Roman" w:hAnsi="Times New Roman"/>
          <w:bCs/>
        </w:rPr>
        <w:t>H</w:t>
      </w:r>
      <w:r w:rsidRPr="00E67914">
        <w:rPr>
          <w:rFonts w:ascii="Times New Roman" w:hAnsi="Times New Roman"/>
          <w:bCs/>
          <w:vertAlign w:val="subscript"/>
        </w:rPr>
        <w:t>2</w:t>
      </w:r>
      <w:r w:rsidRPr="00E67914">
        <w:rPr>
          <w:rFonts w:ascii="Times New Roman" w:hAnsi="Times New Roman"/>
          <w:bCs/>
        </w:rPr>
        <w:t>S</w:t>
      </w:r>
      <w:r w:rsidRPr="00E67914">
        <w:rPr>
          <w:rFonts w:ascii="Times New Roman" w:hAnsi="Times New Roman"/>
          <w:bCs/>
        </w:rPr>
        <w:t>浓度，监测点位设在井场场界、放喷口周围以及最近居民点处。</w:t>
      </w:r>
    </w:p>
    <w:p w14:paraId="527BD418" w14:textId="77777777" w:rsidR="00A54A8A" w:rsidRPr="00E67914" w:rsidRDefault="00000000">
      <w:pPr>
        <w:pStyle w:val="af4"/>
        <w:adjustRightInd w:val="0"/>
        <w:snapToGrid w:val="0"/>
        <w:spacing w:line="360" w:lineRule="auto"/>
        <w:ind w:firstLineChars="200" w:firstLine="480"/>
        <w:rPr>
          <w:rFonts w:ascii="Times New Roman" w:hAnsi="Times New Roman"/>
          <w:bCs/>
        </w:rPr>
      </w:pPr>
      <w:r w:rsidRPr="00E67914">
        <w:rPr>
          <w:rFonts w:ascii="Times New Roman" w:hAnsi="Times New Roman"/>
          <w:bCs/>
        </w:rPr>
        <w:t>噪声监测设在场界处和最近居民点处，钻井期间分别监测昼间、夜间各</w:t>
      </w:r>
      <w:r w:rsidRPr="00E67914">
        <w:rPr>
          <w:rFonts w:ascii="Times New Roman" w:hAnsi="Times New Roman"/>
          <w:bCs/>
        </w:rPr>
        <w:t>1</w:t>
      </w:r>
      <w:r w:rsidRPr="00E67914">
        <w:rPr>
          <w:rFonts w:ascii="Times New Roman" w:hAnsi="Times New Roman"/>
          <w:bCs/>
        </w:rPr>
        <w:t>次，试采期间每年昼间、夜间各监测</w:t>
      </w:r>
      <w:r w:rsidRPr="00E67914">
        <w:rPr>
          <w:rFonts w:ascii="Times New Roman" w:hAnsi="Times New Roman"/>
          <w:bCs/>
        </w:rPr>
        <w:t>1</w:t>
      </w:r>
      <w:r w:rsidRPr="00E67914">
        <w:rPr>
          <w:rFonts w:ascii="Times New Roman" w:hAnsi="Times New Roman"/>
          <w:bCs/>
        </w:rPr>
        <w:t>次。</w:t>
      </w:r>
    </w:p>
    <w:p w14:paraId="7384804C" w14:textId="77777777" w:rsidR="00A54A8A" w:rsidRPr="00E67914" w:rsidRDefault="00000000">
      <w:pPr>
        <w:pStyle w:val="af4"/>
        <w:adjustRightInd w:val="0"/>
        <w:snapToGrid w:val="0"/>
        <w:spacing w:line="360" w:lineRule="auto"/>
        <w:ind w:firstLineChars="200" w:firstLine="480"/>
        <w:rPr>
          <w:rFonts w:ascii="Times New Roman" w:hAnsi="Times New Roman"/>
          <w:bCs/>
        </w:rPr>
      </w:pPr>
      <w:r w:rsidRPr="00E67914">
        <w:rPr>
          <w:rFonts w:ascii="Times New Roman" w:hAnsi="Times New Roman"/>
          <w:bCs/>
        </w:rPr>
        <w:t>本次评价建议建设单位开展土壤环境跟踪监测，主要设置下游监控点和上游背景点。</w:t>
      </w:r>
    </w:p>
    <w:p w14:paraId="3D3ACCCF" w14:textId="77777777" w:rsidR="00A54A8A" w:rsidRPr="00E67914" w:rsidRDefault="00000000">
      <w:pPr>
        <w:pStyle w:val="af4"/>
        <w:adjustRightInd w:val="0"/>
        <w:snapToGrid w:val="0"/>
        <w:spacing w:line="360" w:lineRule="auto"/>
        <w:ind w:firstLineChars="200" w:firstLine="480"/>
        <w:rPr>
          <w:rFonts w:ascii="Times New Roman" w:hAnsi="Times New Roman"/>
          <w:bCs/>
        </w:rPr>
      </w:pPr>
      <w:r w:rsidRPr="00E67914">
        <w:rPr>
          <w:rFonts w:ascii="Times New Roman" w:hAnsi="Times New Roman"/>
          <w:bCs/>
        </w:rPr>
        <w:t>地下水监测设置在周边有代表性的水井，按照地下水专项评价所列计划对环境进行跟踪监测后，建设单位应按相关规定对监测结果及时建立档案。如发现异常或发生事故，加密监测频次，并根据污染物特征增加监测项目，并分析污染原因，及时采取应急措施。监测计划见表</w:t>
      </w:r>
      <w:r w:rsidRPr="00E67914">
        <w:rPr>
          <w:rFonts w:ascii="Times New Roman" w:hAnsi="Times New Roman"/>
          <w:bCs/>
        </w:rPr>
        <w:t>10.3-1</w:t>
      </w:r>
      <w:r w:rsidRPr="00E67914">
        <w:rPr>
          <w:rFonts w:ascii="Times New Roman" w:hAnsi="Times New Roman"/>
          <w:bCs/>
        </w:rPr>
        <w:t>。</w:t>
      </w:r>
    </w:p>
    <w:p w14:paraId="13CFFBF1"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10.3-1  </w:t>
      </w:r>
      <w:r w:rsidRPr="00E67914">
        <w:rPr>
          <w:rFonts w:ascii="Times New Roman" w:eastAsia="黑体" w:hAnsi="Times New Roman"/>
          <w:sz w:val="21"/>
          <w:szCs w:val="21"/>
          <w:lang w:eastAsia="zh-CN"/>
        </w:rPr>
        <w:t>本项目环境监测计划</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92"/>
        <w:gridCol w:w="1977"/>
        <w:gridCol w:w="1487"/>
        <w:gridCol w:w="1622"/>
        <w:gridCol w:w="1111"/>
        <w:gridCol w:w="1111"/>
      </w:tblGrid>
      <w:tr w:rsidR="00E67914" w:rsidRPr="00E67914" w14:paraId="4C33F64E" w14:textId="77777777">
        <w:trPr>
          <w:jc w:val="center"/>
        </w:trPr>
        <w:tc>
          <w:tcPr>
            <w:tcW w:w="598" w:type="pct"/>
            <w:vAlign w:val="center"/>
          </w:tcPr>
          <w:p w14:paraId="2D00FEC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环境要素</w:t>
            </w:r>
          </w:p>
        </w:tc>
        <w:tc>
          <w:tcPr>
            <w:tcW w:w="1191" w:type="pct"/>
            <w:vAlign w:val="center"/>
          </w:tcPr>
          <w:p w14:paraId="1A3A006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监测点位</w:t>
            </w:r>
          </w:p>
        </w:tc>
        <w:tc>
          <w:tcPr>
            <w:tcW w:w="896" w:type="pct"/>
            <w:vAlign w:val="center"/>
          </w:tcPr>
          <w:p w14:paraId="3E2EB53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监测项目</w:t>
            </w:r>
          </w:p>
        </w:tc>
        <w:tc>
          <w:tcPr>
            <w:tcW w:w="977" w:type="pct"/>
            <w:vAlign w:val="center"/>
          </w:tcPr>
          <w:p w14:paraId="20EB604B"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监测频次</w:t>
            </w:r>
          </w:p>
        </w:tc>
        <w:tc>
          <w:tcPr>
            <w:tcW w:w="669" w:type="pct"/>
            <w:vAlign w:val="center"/>
          </w:tcPr>
          <w:p w14:paraId="00D9D82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监测时段</w:t>
            </w:r>
          </w:p>
        </w:tc>
        <w:tc>
          <w:tcPr>
            <w:tcW w:w="669" w:type="pct"/>
            <w:vAlign w:val="center"/>
          </w:tcPr>
          <w:p w14:paraId="4045AE13"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依据</w:t>
            </w:r>
          </w:p>
        </w:tc>
      </w:tr>
      <w:tr w:rsidR="00E67914" w:rsidRPr="00E67914" w14:paraId="1F4BFE04" w14:textId="77777777">
        <w:trPr>
          <w:trHeight w:val="2179"/>
          <w:jc w:val="center"/>
        </w:trPr>
        <w:tc>
          <w:tcPr>
            <w:tcW w:w="598" w:type="pct"/>
            <w:shd w:val="clear" w:color="auto" w:fill="FFFFFF"/>
            <w:vAlign w:val="center"/>
          </w:tcPr>
          <w:p w14:paraId="007CE6C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lastRenderedPageBreak/>
              <w:t>土壤</w:t>
            </w:r>
          </w:p>
        </w:tc>
        <w:tc>
          <w:tcPr>
            <w:tcW w:w="1191" w:type="pct"/>
            <w:shd w:val="clear" w:color="auto" w:fill="FFFFFF"/>
            <w:vAlign w:val="center"/>
          </w:tcPr>
          <w:p w14:paraId="52AD3A7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对于一类单元，本项目在污水池下游设置</w:t>
            </w:r>
            <w:r w:rsidRPr="00E67914">
              <w:rPr>
                <w:rFonts w:ascii="Times New Roman" w:hAnsi="Times New Roman"/>
                <w:sz w:val="21"/>
                <w:szCs w:val="21"/>
                <w:lang w:eastAsia="zh-CN"/>
              </w:rPr>
              <w:t>1</w:t>
            </w:r>
            <w:r w:rsidRPr="00E67914">
              <w:rPr>
                <w:rFonts w:ascii="Times New Roman" w:hAnsi="Times New Roman"/>
                <w:sz w:val="21"/>
                <w:szCs w:val="21"/>
                <w:lang w:eastAsia="zh-CN"/>
              </w:rPr>
              <w:t>个深层土壤监测点，在污水池下游设置</w:t>
            </w:r>
            <w:r w:rsidRPr="00E67914">
              <w:rPr>
                <w:rFonts w:ascii="Times New Roman" w:hAnsi="Times New Roman"/>
                <w:sz w:val="21"/>
                <w:szCs w:val="21"/>
                <w:lang w:eastAsia="zh-CN"/>
              </w:rPr>
              <w:t>1</w:t>
            </w:r>
            <w:r w:rsidRPr="00E67914">
              <w:rPr>
                <w:rFonts w:ascii="Times New Roman" w:hAnsi="Times New Roman"/>
                <w:sz w:val="21"/>
                <w:szCs w:val="21"/>
                <w:lang w:eastAsia="zh-CN"/>
              </w:rPr>
              <w:t>个表层土壤监测点。对于二类单元，本项目在放喷池下游处设置</w:t>
            </w:r>
            <w:r w:rsidRPr="00E67914">
              <w:rPr>
                <w:rFonts w:ascii="Times New Roman" w:hAnsi="Times New Roman"/>
                <w:sz w:val="21"/>
                <w:szCs w:val="21"/>
                <w:lang w:eastAsia="zh-CN"/>
              </w:rPr>
              <w:t>1</w:t>
            </w:r>
            <w:r w:rsidRPr="00E67914">
              <w:rPr>
                <w:rFonts w:ascii="Times New Roman" w:hAnsi="Times New Roman"/>
                <w:sz w:val="21"/>
                <w:szCs w:val="21"/>
                <w:lang w:eastAsia="zh-CN"/>
              </w:rPr>
              <w:t>处表层土壤监测点</w:t>
            </w:r>
          </w:p>
        </w:tc>
        <w:tc>
          <w:tcPr>
            <w:tcW w:w="896" w:type="pct"/>
            <w:vAlign w:val="center"/>
          </w:tcPr>
          <w:p w14:paraId="5AA93548"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pH</w:t>
            </w:r>
            <w:r w:rsidRPr="00E67914">
              <w:rPr>
                <w:rFonts w:ascii="Times New Roman" w:hAnsi="Times New Roman"/>
                <w:sz w:val="21"/>
                <w:szCs w:val="21"/>
                <w:lang w:eastAsia="zh-CN"/>
              </w:rPr>
              <w:t>值、铜、六价铬、铅、镉、汞、砷、镍、石油烃（</w:t>
            </w:r>
            <w:r w:rsidRPr="00E67914">
              <w:rPr>
                <w:rFonts w:ascii="Times New Roman" w:hAnsi="Times New Roman"/>
                <w:sz w:val="21"/>
                <w:szCs w:val="21"/>
                <w:lang w:eastAsia="zh-CN"/>
              </w:rPr>
              <w:t>C10-C40</w:t>
            </w:r>
            <w:r w:rsidRPr="00E67914">
              <w:rPr>
                <w:rFonts w:ascii="Times New Roman" w:hAnsi="Times New Roman"/>
                <w:sz w:val="21"/>
                <w:szCs w:val="21"/>
                <w:lang w:eastAsia="zh-CN"/>
              </w:rPr>
              <w:t>）、全盐量等</w:t>
            </w:r>
          </w:p>
        </w:tc>
        <w:tc>
          <w:tcPr>
            <w:tcW w:w="977" w:type="pct"/>
            <w:vAlign w:val="center"/>
          </w:tcPr>
          <w:p w14:paraId="286E0418"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其中表层土壤监测频次为</w:t>
            </w:r>
            <w:r w:rsidRPr="00E67914">
              <w:rPr>
                <w:rFonts w:ascii="Times New Roman" w:hAnsi="Times New Roman"/>
                <w:sz w:val="21"/>
                <w:szCs w:val="21"/>
                <w:lang w:eastAsia="zh-CN"/>
              </w:rPr>
              <w:t>1</w:t>
            </w:r>
            <w:r w:rsidRPr="00E67914">
              <w:rPr>
                <w:rFonts w:ascii="Times New Roman" w:hAnsi="Times New Roman"/>
                <w:sz w:val="21"/>
                <w:szCs w:val="21"/>
                <w:lang w:eastAsia="zh-CN"/>
              </w:rPr>
              <w:t>次</w:t>
            </w:r>
            <w:r w:rsidRPr="00E67914">
              <w:rPr>
                <w:rFonts w:ascii="Times New Roman" w:hAnsi="Times New Roman"/>
                <w:sz w:val="21"/>
                <w:szCs w:val="21"/>
                <w:lang w:eastAsia="zh-CN"/>
              </w:rPr>
              <w:t>/</w:t>
            </w:r>
            <w:r w:rsidRPr="00E67914">
              <w:rPr>
                <w:rFonts w:ascii="Times New Roman" w:hAnsi="Times New Roman"/>
                <w:sz w:val="21"/>
                <w:szCs w:val="21"/>
                <w:lang w:eastAsia="zh-CN"/>
              </w:rPr>
              <w:t>年，深层土壤为</w:t>
            </w:r>
            <w:r w:rsidRPr="00E67914">
              <w:rPr>
                <w:rFonts w:ascii="Times New Roman" w:hAnsi="Times New Roman"/>
                <w:sz w:val="21"/>
                <w:szCs w:val="21"/>
                <w:lang w:eastAsia="zh-CN"/>
              </w:rPr>
              <w:t>1</w:t>
            </w:r>
            <w:r w:rsidRPr="00E67914">
              <w:rPr>
                <w:rFonts w:ascii="Times New Roman" w:hAnsi="Times New Roman"/>
                <w:sz w:val="21"/>
                <w:szCs w:val="21"/>
                <w:lang w:eastAsia="zh-CN"/>
              </w:rPr>
              <w:t>次</w:t>
            </w:r>
            <w:r w:rsidRPr="00E67914">
              <w:rPr>
                <w:rFonts w:ascii="Times New Roman" w:hAnsi="Times New Roman"/>
                <w:sz w:val="21"/>
                <w:szCs w:val="21"/>
                <w:lang w:eastAsia="zh-CN"/>
              </w:rPr>
              <w:t>/3</w:t>
            </w:r>
            <w:r w:rsidRPr="00E67914">
              <w:rPr>
                <w:rFonts w:ascii="Times New Roman" w:hAnsi="Times New Roman"/>
                <w:sz w:val="21"/>
                <w:szCs w:val="21"/>
                <w:lang w:eastAsia="zh-CN"/>
              </w:rPr>
              <w:t>年</w:t>
            </w:r>
          </w:p>
        </w:tc>
        <w:tc>
          <w:tcPr>
            <w:tcW w:w="669" w:type="pct"/>
            <w:vAlign w:val="center"/>
          </w:tcPr>
          <w:p w14:paraId="4F9444B7"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定期</w:t>
            </w:r>
          </w:p>
        </w:tc>
        <w:tc>
          <w:tcPr>
            <w:tcW w:w="669" w:type="pct"/>
            <w:vAlign w:val="center"/>
          </w:tcPr>
          <w:p w14:paraId="061CF0BC"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HJ1209-2021</w:t>
            </w:r>
          </w:p>
        </w:tc>
      </w:tr>
      <w:tr w:rsidR="00E67914" w:rsidRPr="00E67914" w14:paraId="7F887BDE" w14:textId="77777777">
        <w:trPr>
          <w:jc w:val="center"/>
        </w:trPr>
        <w:tc>
          <w:tcPr>
            <w:tcW w:w="598" w:type="pct"/>
            <w:vMerge w:val="restart"/>
            <w:shd w:val="clear" w:color="auto" w:fill="FFFFFF"/>
            <w:vAlign w:val="center"/>
          </w:tcPr>
          <w:p w14:paraId="415CAF41"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大气</w:t>
            </w:r>
          </w:p>
        </w:tc>
        <w:tc>
          <w:tcPr>
            <w:tcW w:w="1191" w:type="pct"/>
            <w:shd w:val="clear" w:color="auto" w:fill="FFFFFF"/>
            <w:vAlign w:val="center"/>
          </w:tcPr>
          <w:p w14:paraId="1BBC154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井场场界、放喷口周围、最近居民点处</w:t>
            </w:r>
          </w:p>
        </w:tc>
        <w:tc>
          <w:tcPr>
            <w:tcW w:w="896" w:type="pct"/>
            <w:vAlign w:val="center"/>
          </w:tcPr>
          <w:p w14:paraId="1987FA6A"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CH</w:t>
            </w:r>
            <w:r w:rsidRPr="00E67914">
              <w:rPr>
                <w:rFonts w:ascii="Times New Roman" w:hAnsi="Times New Roman"/>
                <w:sz w:val="21"/>
                <w:szCs w:val="21"/>
                <w:vertAlign w:val="subscript"/>
              </w:rPr>
              <w:t>4</w:t>
            </w:r>
            <w:r w:rsidRPr="00E67914">
              <w:rPr>
                <w:rFonts w:ascii="Times New Roman" w:hAnsi="Times New Roman"/>
                <w:sz w:val="21"/>
                <w:szCs w:val="21"/>
                <w:lang w:eastAsia="zh-CN"/>
              </w:rPr>
              <w:t>、</w:t>
            </w:r>
            <w:r w:rsidRPr="00E67914">
              <w:rPr>
                <w:rFonts w:ascii="Times New Roman" w:hAnsi="Times New Roman"/>
                <w:sz w:val="21"/>
                <w:szCs w:val="21"/>
                <w:lang w:eastAsia="zh-CN"/>
              </w:rPr>
              <w:t>H</w:t>
            </w:r>
            <w:r w:rsidRPr="00E67914">
              <w:rPr>
                <w:rFonts w:ascii="Times New Roman" w:hAnsi="Times New Roman"/>
                <w:sz w:val="21"/>
                <w:szCs w:val="21"/>
                <w:vertAlign w:val="subscript"/>
              </w:rPr>
              <w:t>2</w:t>
            </w:r>
            <w:r w:rsidRPr="00E67914">
              <w:rPr>
                <w:rFonts w:ascii="Times New Roman" w:hAnsi="Times New Roman"/>
                <w:sz w:val="21"/>
                <w:szCs w:val="21"/>
                <w:lang w:eastAsia="zh-CN"/>
              </w:rPr>
              <w:t>S</w:t>
            </w:r>
          </w:p>
        </w:tc>
        <w:tc>
          <w:tcPr>
            <w:tcW w:w="977" w:type="pct"/>
            <w:vAlign w:val="center"/>
          </w:tcPr>
          <w:p w14:paraId="109E76E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测试和事故放喷时根据事故控制情况布置监测</w:t>
            </w:r>
          </w:p>
        </w:tc>
        <w:tc>
          <w:tcPr>
            <w:tcW w:w="669" w:type="pct"/>
            <w:vAlign w:val="center"/>
          </w:tcPr>
          <w:p w14:paraId="2A44067C"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事故过程</w:t>
            </w:r>
          </w:p>
        </w:tc>
        <w:tc>
          <w:tcPr>
            <w:tcW w:w="669" w:type="pct"/>
            <w:vAlign w:val="center"/>
          </w:tcPr>
          <w:p w14:paraId="0EB98DF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r>
      <w:tr w:rsidR="00E67914" w:rsidRPr="00E67914" w14:paraId="53568A8B" w14:textId="77777777">
        <w:trPr>
          <w:jc w:val="center"/>
        </w:trPr>
        <w:tc>
          <w:tcPr>
            <w:tcW w:w="598" w:type="pct"/>
            <w:vMerge/>
            <w:shd w:val="clear" w:color="auto" w:fill="FFFFFF"/>
            <w:vAlign w:val="center"/>
          </w:tcPr>
          <w:p w14:paraId="1FA08302" w14:textId="77777777" w:rsidR="00D30FA2" w:rsidRPr="00E67914" w:rsidRDefault="00D30FA2" w:rsidP="00D30FA2">
            <w:pPr>
              <w:adjustRightInd w:val="0"/>
              <w:snapToGrid w:val="0"/>
              <w:jc w:val="center"/>
              <w:rPr>
                <w:rFonts w:ascii="Times New Roman" w:hAnsi="Times New Roman"/>
                <w:sz w:val="21"/>
                <w:szCs w:val="21"/>
              </w:rPr>
            </w:pPr>
          </w:p>
        </w:tc>
        <w:tc>
          <w:tcPr>
            <w:tcW w:w="1191" w:type="pct"/>
            <w:shd w:val="clear" w:color="auto" w:fill="FFFFFF"/>
            <w:vAlign w:val="center"/>
          </w:tcPr>
          <w:p w14:paraId="6BCEB7CB" w14:textId="4ABFEA43" w:rsidR="00D30FA2" w:rsidRPr="00E67914" w:rsidRDefault="00D30FA2" w:rsidP="00D30FA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井场场界、最近居民点处</w:t>
            </w:r>
          </w:p>
        </w:tc>
        <w:tc>
          <w:tcPr>
            <w:tcW w:w="896" w:type="pct"/>
            <w:vAlign w:val="center"/>
          </w:tcPr>
          <w:p w14:paraId="746DDF4E" w14:textId="3F8AEC06" w:rsidR="00D30FA2" w:rsidRPr="00E67914" w:rsidRDefault="00D30FA2" w:rsidP="00D30FA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TSP</w:t>
            </w:r>
          </w:p>
        </w:tc>
        <w:tc>
          <w:tcPr>
            <w:tcW w:w="977" w:type="pct"/>
            <w:vAlign w:val="center"/>
          </w:tcPr>
          <w:p w14:paraId="361C9737" w14:textId="4F8D7A4B" w:rsidR="00D30FA2" w:rsidRPr="00E67914" w:rsidRDefault="00D30FA2" w:rsidP="00D30FA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施工阶段</w:t>
            </w:r>
            <w:r w:rsidRPr="00E67914">
              <w:rPr>
                <w:rFonts w:ascii="Times New Roman" w:hAnsi="Times New Roman"/>
                <w:sz w:val="21"/>
                <w:szCs w:val="21"/>
                <w:lang w:eastAsia="zh-CN"/>
              </w:rPr>
              <w:t>1-2</w:t>
            </w:r>
            <w:r w:rsidRPr="00E67914">
              <w:rPr>
                <w:rFonts w:ascii="Times New Roman" w:hAnsi="Times New Roman"/>
                <w:sz w:val="21"/>
                <w:szCs w:val="21"/>
                <w:lang w:eastAsia="zh-CN"/>
              </w:rPr>
              <w:t>次</w:t>
            </w:r>
          </w:p>
        </w:tc>
        <w:tc>
          <w:tcPr>
            <w:tcW w:w="669" w:type="pct"/>
            <w:vAlign w:val="center"/>
          </w:tcPr>
          <w:p w14:paraId="01E1F7C5" w14:textId="01998078" w:rsidR="00D30FA2" w:rsidRPr="00E67914" w:rsidRDefault="00D30FA2" w:rsidP="00D30FA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施工阶段</w:t>
            </w:r>
          </w:p>
        </w:tc>
        <w:tc>
          <w:tcPr>
            <w:tcW w:w="669" w:type="pct"/>
            <w:vAlign w:val="center"/>
          </w:tcPr>
          <w:p w14:paraId="54EAEB6D" w14:textId="78E21A50" w:rsidR="00D30FA2" w:rsidRPr="00E67914" w:rsidRDefault="00D30FA2" w:rsidP="00D30FA2">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r>
      <w:tr w:rsidR="00E67914" w:rsidRPr="00E67914" w14:paraId="79195386" w14:textId="77777777">
        <w:trPr>
          <w:jc w:val="center"/>
        </w:trPr>
        <w:tc>
          <w:tcPr>
            <w:tcW w:w="598" w:type="pct"/>
            <w:vMerge/>
            <w:shd w:val="clear" w:color="auto" w:fill="FFFFFF"/>
            <w:vAlign w:val="center"/>
          </w:tcPr>
          <w:p w14:paraId="320501DD" w14:textId="77777777" w:rsidR="00A54A8A" w:rsidRPr="00E67914" w:rsidRDefault="00A54A8A">
            <w:pPr>
              <w:adjustRightInd w:val="0"/>
              <w:snapToGrid w:val="0"/>
              <w:jc w:val="center"/>
              <w:rPr>
                <w:rFonts w:ascii="Times New Roman" w:hAnsi="Times New Roman"/>
                <w:sz w:val="21"/>
                <w:szCs w:val="21"/>
              </w:rPr>
            </w:pPr>
          </w:p>
        </w:tc>
        <w:tc>
          <w:tcPr>
            <w:tcW w:w="1191" w:type="pct"/>
            <w:shd w:val="clear" w:color="auto" w:fill="FFFFFF"/>
            <w:vAlign w:val="center"/>
          </w:tcPr>
          <w:p w14:paraId="05254BD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水套加热炉</w:t>
            </w:r>
          </w:p>
        </w:tc>
        <w:tc>
          <w:tcPr>
            <w:tcW w:w="896" w:type="pct"/>
            <w:vAlign w:val="center"/>
          </w:tcPr>
          <w:p w14:paraId="02DB0E5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颗粒物、二氧化硫、氮氧化物、林格曼黑度</w:t>
            </w:r>
          </w:p>
        </w:tc>
        <w:tc>
          <w:tcPr>
            <w:tcW w:w="977" w:type="pct"/>
            <w:vAlign w:val="center"/>
          </w:tcPr>
          <w:p w14:paraId="28C1B88F"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1</w:t>
            </w:r>
            <w:r w:rsidRPr="00E67914">
              <w:rPr>
                <w:rFonts w:ascii="Times New Roman" w:hAnsi="Times New Roman"/>
                <w:sz w:val="21"/>
                <w:szCs w:val="21"/>
                <w:lang w:eastAsia="zh-CN"/>
              </w:rPr>
              <w:t>次</w:t>
            </w:r>
            <w:r w:rsidRPr="00E67914">
              <w:rPr>
                <w:rFonts w:ascii="Times New Roman" w:hAnsi="Times New Roman"/>
                <w:sz w:val="21"/>
                <w:szCs w:val="21"/>
                <w:lang w:eastAsia="zh-CN"/>
              </w:rPr>
              <w:t>/</w:t>
            </w:r>
            <w:r w:rsidRPr="00E67914">
              <w:rPr>
                <w:rFonts w:ascii="Times New Roman" w:hAnsi="Times New Roman"/>
                <w:sz w:val="21"/>
                <w:szCs w:val="21"/>
                <w:lang w:eastAsia="zh-CN"/>
              </w:rPr>
              <w:t>年</w:t>
            </w:r>
          </w:p>
        </w:tc>
        <w:tc>
          <w:tcPr>
            <w:tcW w:w="669" w:type="pct"/>
            <w:vAlign w:val="center"/>
          </w:tcPr>
          <w:p w14:paraId="2AD20C1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定期（每年</w:t>
            </w:r>
            <w:r w:rsidRPr="00E67914">
              <w:rPr>
                <w:rFonts w:ascii="Times New Roman" w:hAnsi="Times New Roman"/>
                <w:sz w:val="21"/>
                <w:szCs w:val="21"/>
                <w:lang w:eastAsia="zh-CN"/>
              </w:rPr>
              <w:t>10</w:t>
            </w:r>
            <w:r w:rsidRPr="00E67914">
              <w:rPr>
                <w:rFonts w:ascii="Times New Roman" w:hAnsi="Times New Roman"/>
                <w:sz w:val="21"/>
                <w:szCs w:val="21"/>
                <w:lang w:eastAsia="zh-CN"/>
              </w:rPr>
              <w:t>％抽检）</w:t>
            </w:r>
          </w:p>
        </w:tc>
        <w:tc>
          <w:tcPr>
            <w:tcW w:w="669" w:type="pct"/>
            <w:vAlign w:val="center"/>
          </w:tcPr>
          <w:p w14:paraId="57267312"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HJ1248—2022</w:t>
            </w:r>
          </w:p>
        </w:tc>
      </w:tr>
      <w:tr w:rsidR="00E67914" w:rsidRPr="00E67914" w14:paraId="695E4D48" w14:textId="77777777">
        <w:trPr>
          <w:jc w:val="center"/>
        </w:trPr>
        <w:tc>
          <w:tcPr>
            <w:tcW w:w="598" w:type="pct"/>
            <w:shd w:val="clear" w:color="auto" w:fill="FFFFFF"/>
            <w:vAlign w:val="center"/>
          </w:tcPr>
          <w:p w14:paraId="5BA641A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噪声</w:t>
            </w:r>
          </w:p>
        </w:tc>
        <w:tc>
          <w:tcPr>
            <w:tcW w:w="1191" w:type="pct"/>
            <w:shd w:val="clear" w:color="auto" w:fill="FFFFFF"/>
            <w:vAlign w:val="center"/>
          </w:tcPr>
          <w:p w14:paraId="143174D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场界处</w:t>
            </w:r>
          </w:p>
        </w:tc>
        <w:tc>
          <w:tcPr>
            <w:tcW w:w="896" w:type="pct"/>
            <w:vAlign w:val="center"/>
          </w:tcPr>
          <w:p w14:paraId="485B44E6"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rPr>
              <w:t>场界噪声</w:t>
            </w:r>
          </w:p>
        </w:tc>
        <w:tc>
          <w:tcPr>
            <w:tcW w:w="977" w:type="pct"/>
            <w:vAlign w:val="center"/>
          </w:tcPr>
          <w:p w14:paraId="706F16A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钻井期间分别监测昼间、夜间各</w:t>
            </w:r>
            <w:r w:rsidRPr="00E67914">
              <w:rPr>
                <w:rFonts w:ascii="Times New Roman" w:hAnsi="Times New Roman"/>
                <w:sz w:val="21"/>
                <w:szCs w:val="21"/>
                <w:lang w:eastAsia="zh-CN"/>
              </w:rPr>
              <w:t>1</w:t>
            </w:r>
            <w:r w:rsidRPr="00E67914">
              <w:rPr>
                <w:rFonts w:ascii="Times New Roman" w:hAnsi="Times New Roman"/>
                <w:sz w:val="21"/>
                <w:szCs w:val="21"/>
                <w:lang w:eastAsia="zh-CN"/>
              </w:rPr>
              <w:t>次；</w:t>
            </w:r>
            <w:r w:rsidRPr="00E67914">
              <w:rPr>
                <w:rFonts w:ascii="Times New Roman" w:hAnsi="Times New Roman"/>
                <w:snapToGrid w:val="0"/>
                <w:sz w:val="21"/>
                <w:szCs w:val="21"/>
                <w:lang w:eastAsia="zh-CN"/>
              </w:rPr>
              <w:t>试采期每季度监测</w:t>
            </w:r>
            <w:r w:rsidRPr="00E67914">
              <w:rPr>
                <w:rFonts w:ascii="Times New Roman" w:hAnsi="Times New Roman"/>
                <w:snapToGrid w:val="0"/>
                <w:sz w:val="21"/>
                <w:szCs w:val="21"/>
                <w:lang w:eastAsia="zh-CN"/>
              </w:rPr>
              <w:t>1</w:t>
            </w:r>
            <w:r w:rsidRPr="00E67914">
              <w:rPr>
                <w:rFonts w:ascii="Times New Roman" w:hAnsi="Times New Roman"/>
                <w:snapToGrid w:val="0"/>
                <w:sz w:val="21"/>
                <w:szCs w:val="21"/>
                <w:lang w:eastAsia="zh-CN"/>
              </w:rPr>
              <w:t>次，根据监测结果，若场站内声源装置稳定运行且厂界环境噪声远低于标准限值的小型场站可不开展厂界环境噪声监测</w:t>
            </w:r>
          </w:p>
        </w:tc>
        <w:tc>
          <w:tcPr>
            <w:tcW w:w="669" w:type="pct"/>
            <w:vAlign w:val="center"/>
          </w:tcPr>
          <w:p w14:paraId="70C3E79E"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投诉时对投诉敏感点监测</w:t>
            </w:r>
          </w:p>
        </w:tc>
        <w:tc>
          <w:tcPr>
            <w:tcW w:w="669" w:type="pct"/>
            <w:vAlign w:val="center"/>
          </w:tcPr>
          <w:p w14:paraId="26997D07"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HJ1248—2022</w:t>
            </w:r>
            <w:r w:rsidRPr="00E67914">
              <w:rPr>
                <w:rFonts w:ascii="Times New Roman" w:hAnsi="Times New Roman"/>
                <w:sz w:val="21"/>
                <w:szCs w:val="21"/>
                <w:lang w:eastAsia="zh-CN"/>
              </w:rPr>
              <w:t>等</w:t>
            </w:r>
          </w:p>
        </w:tc>
      </w:tr>
      <w:tr w:rsidR="00E67914" w:rsidRPr="00E67914" w14:paraId="46750499" w14:textId="77777777">
        <w:trPr>
          <w:jc w:val="center"/>
        </w:trPr>
        <w:tc>
          <w:tcPr>
            <w:tcW w:w="598" w:type="pct"/>
            <w:shd w:val="clear" w:color="auto" w:fill="FFFFFF"/>
            <w:vAlign w:val="center"/>
          </w:tcPr>
          <w:p w14:paraId="61C7B7E5" w14:textId="77777777" w:rsidR="00A54A8A" w:rsidRPr="00E67914" w:rsidRDefault="00000000">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地表水</w:t>
            </w:r>
          </w:p>
        </w:tc>
        <w:tc>
          <w:tcPr>
            <w:tcW w:w="1191" w:type="pct"/>
            <w:shd w:val="clear" w:color="auto" w:fill="FFFFFF"/>
            <w:vAlign w:val="center"/>
          </w:tcPr>
          <w:p w14:paraId="45E6A5E1"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废水泄露地表水体时被污染水体</w:t>
            </w:r>
          </w:p>
        </w:tc>
        <w:tc>
          <w:tcPr>
            <w:tcW w:w="896" w:type="pct"/>
            <w:vAlign w:val="center"/>
          </w:tcPr>
          <w:p w14:paraId="3C7692D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pH</w:t>
            </w:r>
            <w:r w:rsidRPr="00E67914">
              <w:rPr>
                <w:rFonts w:ascii="Times New Roman" w:hAnsi="Times New Roman"/>
                <w:sz w:val="21"/>
                <w:szCs w:val="21"/>
                <w:lang w:eastAsia="zh-CN"/>
              </w:rPr>
              <w:t>、</w:t>
            </w:r>
            <w:r w:rsidRPr="00E67914">
              <w:rPr>
                <w:rFonts w:ascii="Times New Roman" w:hAnsi="Times New Roman"/>
                <w:sz w:val="21"/>
                <w:szCs w:val="21"/>
                <w:lang w:eastAsia="zh-CN"/>
              </w:rPr>
              <w:t>COD</w:t>
            </w:r>
            <w:r w:rsidRPr="00E67914">
              <w:rPr>
                <w:rFonts w:ascii="Times New Roman" w:hAnsi="Times New Roman"/>
                <w:sz w:val="21"/>
                <w:szCs w:val="21"/>
                <w:lang w:eastAsia="zh-CN"/>
              </w:rPr>
              <w:t>、</w:t>
            </w:r>
            <w:r w:rsidRPr="00E67914">
              <w:rPr>
                <w:rFonts w:ascii="Times New Roman" w:hAnsi="Times New Roman"/>
                <w:sz w:val="21"/>
                <w:szCs w:val="21"/>
                <w:lang w:eastAsia="zh-CN"/>
              </w:rPr>
              <w:t>BOD</w:t>
            </w:r>
            <w:r w:rsidRPr="00E67914">
              <w:rPr>
                <w:rFonts w:ascii="Times New Roman" w:hAnsi="Times New Roman"/>
                <w:sz w:val="21"/>
                <w:szCs w:val="21"/>
                <w:vertAlign w:val="subscript"/>
                <w:lang w:eastAsia="zh-CN"/>
              </w:rPr>
              <w:t>5</w:t>
            </w:r>
            <w:r w:rsidRPr="00E67914">
              <w:rPr>
                <w:rFonts w:ascii="Times New Roman" w:hAnsi="Times New Roman"/>
                <w:sz w:val="21"/>
                <w:szCs w:val="21"/>
                <w:lang w:eastAsia="zh-CN"/>
              </w:rPr>
              <w:t>、氨氮、硫化物、石油类、氯化物</w:t>
            </w:r>
            <w:r w:rsidRPr="00E67914">
              <w:rPr>
                <w:rFonts w:ascii="Times New Roman" w:hAnsi="Times New Roman"/>
                <w:bCs/>
                <w:sz w:val="21"/>
                <w:szCs w:val="21"/>
                <w:lang w:eastAsia="zh-CN"/>
              </w:rPr>
              <w:t>等</w:t>
            </w:r>
          </w:p>
        </w:tc>
        <w:tc>
          <w:tcPr>
            <w:tcW w:w="977" w:type="pct"/>
            <w:vAlign w:val="center"/>
          </w:tcPr>
          <w:p w14:paraId="2BEBFD60"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实时监控</w:t>
            </w:r>
          </w:p>
        </w:tc>
        <w:tc>
          <w:tcPr>
            <w:tcW w:w="669" w:type="pct"/>
            <w:vAlign w:val="center"/>
          </w:tcPr>
          <w:p w14:paraId="1764195B"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事故过程</w:t>
            </w:r>
          </w:p>
        </w:tc>
        <w:tc>
          <w:tcPr>
            <w:tcW w:w="669" w:type="pct"/>
            <w:vAlign w:val="center"/>
          </w:tcPr>
          <w:p w14:paraId="762D647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w:t>
            </w:r>
          </w:p>
        </w:tc>
      </w:tr>
      <w:tr w:rsidR="00E67914" w:rsidRPr="00E67914" w14:paraId="23DE4027" w14:textId="77777777">
        <w:trPr>
          <w:jc w:val="center"/>
        </w:trPr>
        <w:tc>
          <w:tcPr>
            <w:tcW w:w="598" w:type="pct"/>
            <w:shd w:val="clear" w:color="auto" w:fill="FFFFFF"/>
            <w:vAlign w:val="center"/>
          </w:tcPr>
          <w:p w14:paraId="123E3EB9"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雨水</w:t>
            </w:r>
          </w:p>
        </w:tc>
        <w:tc>
          <w:tcPr>
            <w:tcW w:w="1191" w:type="pct"/>
            <w:shd w:val="clear" w:color="auto" w:fill="FFFFFF"/>
            <w:vAlign w:val="center"/>
          </w:tcPr>
          <w:p w14:paraId="78F8EA36"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雨水排放口</w:t>
            </w:r>
          </w:p>
        </w:tc>
        <w:tc>
          <w:tcPr>
            <w:tcW w:w="896" w:type="pct"/>
            <w:vAlign w:val="center"/>
          </w:tcPr>
          <w:p w14:paraId="003E23DD"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COD</w:t>
            </w:r>
            <w:r w:rsidRPr="00E67914">
              <w:rPr>
                <w:rFonts w:ascii="Times New Roman" w:hAnsi="Times New Roman"/>
                <w:sz w:val="21"/>
                <w:szCs w:val="21"/>
                <w:lang w:eastAsia="zh-CN"/>
              </w:rPr>
              <w:t>、石油类</w:t>
            </w:r>
          </w:p>
        </w:tc>
        <w:tc>
          <w:tcPr>
            <w:tcW w:w="1646" w:type="pct"/>
            <w:gridSpan w:val="2"/>
            <w:vAlign w:val="center"/>
          </w:tcPr>
          <w:p w14:paraId="6AF28DB4"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有流动水排放时按季度监测，如监测一年无异常情况，可放宽至每年开展一次监测</w:t>
            </w:r>
          </w:p>
        </w:tc>
        <w:tc>
          <w:tcPr>
            <w:tcW w:w="669" w:type="pct"/>
            <w:vAlign w:val="center"/>
          </w:tcPr>
          <w:p w14:paraId="763329FA" w14:textId="77777777" w:rsidR="00A54A8A" w:rsidRPr="00E67914" w:rsidRDefault="00000000">
            <w:pPr>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HJ1248—2022</w:t>
            </w:r>
          </w:p>
        </w:tc>
      </w:tr>
      <w:tr w:rsidR="00E67914" w:rsidRPr="00E67914" w14:paraId="4AE10CA8" w14:textId="77777777">
        <w:trPr>
          <w:jc w:val="center"/>
        </w:trPr>
        <w:tc>
          <w:tcPr>
            <w:tcW w:w="598" w:type="pct"/>
            <w:vMerge w:val="restart"/>
            <w:shd w:val="clear" w:color="auto" w:fill="FFFFFF"/>
            <w:vAlign w:val="center"/>
          </w:tcPr>
          <w:p w14:paraId="204FD40A" w14:textId="77777777" w:rsidR="004D2E72" w:rsidRPr="00E67914" w:rsidRDefault="004D2E72" w:rsidP="004D2E72">
            <w:pPr>
              <w:adjustRightInd w:val="0"/>
              <w:snapToGrid w:val="0"/>
              <w:jc w:val="center"/>
              <w:rPr>
                <w:rFonts w:ascii="Times New Roman" w:hAnsi="Times New Roman"/>
                <w:sz w:val="21"/>
                <w:szCs w:val="21"/>
              </w:rPr>
            </w:pPr>
            <w:r w:rsidRPr="00E67914">
              <w:rPr>
                <w:rFonts w:ascii="Times New Roman" w:hAnsi="Times New Roman"/>
                <w:sz w:val="21"/>
                <w:szCs w:val="21"/>
              </w:rPr>
              <w:t>地下水</w:t>
            </w:r>
          </w:p>
        </w:tc>
        <w:tc>
          <w:tcPr>
            <w:tcW w:w="1191" w:type="pct"/>
            <w:shd w:val="clear" w:color="auto" w:fill="FFFFFF"/>
            <w:vAlign w:val="center"/>
          </w:tcPr>
          <w:p w14:paraId="31863C21" w14:textId="1430FCDF" w:rsidR="004D2E72" w:rsidRPr="00E67914" w:rsidRDefault="004D2E72" w:rsidP="004D2E72">
            <w:pPr>
              <w:adjustRightInd w:val="0"/>
              <w:snapToGrid w:val="0"/>
              <w:jc w:val="center"/>
              <w:rPr>
                <w:rFonts w:ascii="Times New Roman" w:hAnsi="Times New Roman"/>
                <w:snapToGrid w:val="0"/>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试采站南侧约</w:t>
            </w:r>
            <w:r w:rsidRPr="00E67914">
              <w:rPr>
                <w:rFonts w:ascii="Times New Roman" w:hAnsi="Times New Roman"/>
                <w:kern w:val="2"/>
                <w:sz w:val="21"/>
                <w:szCs w:val="21"/>
                <w:lang w:eastAsia="zh-CN"/>
              </w:rPr>
              <w:t>500m</w:t>
            </w:r>
          </w:p>
        </w:tc>
        <w:tc>
          <w:tcPr>
            <w:tcW w:w="896" w:type="pct"/>
            <w:vMerge w:val="restart"/>
            <w:vAlign w:val="center"/>
          </w:tcPr>
          <w:p w14:paraId="05BD962F" w14:textId="23E0B623" w:rsidR="004D2E72" w:rsidRPr="00E67914" w:rsidRDefault="004D2E72" w:rsidP="004D2E72">
            <w:pPr>
              <w:adjustRightInd w:val="0"/>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pH</w:t>
            </w:r>
            <w:r w:rsidRPr="00E67914">
              <w:rPr>
                <w:rFonts w:ascii="Times New Roman" w:hAnsi="Times New Roman"/>
                <w:snapToGrid w:val="0"/>
                <w:sz w:val="21"/>
                <w:szCs w:val="21"/>
                <w:lang w:eastAsia="zh-CN"/>
              </w:rPr>
              <w:t>值、总硬度、六价铬、铁、锰、耗氧量、</w:t>
            </w:r>
            <w:r w:rsidRPr="00E67914">
              <w:rPr>
                <w:rFonts w:ascii="Times New Roman" w:hAnsi="Times New Roman"/>
                <w:snapToGrid w:val="0"/>
                <w:sz w:val="21"/>
                <w:szCs w:val="21"/>
                <w:lang w:eastAsia="zh-CN"/>
              </w:rPr>
              <w:t>TDS</w:t>
            </w:r>
            <w:r w:rsidRPr="00E67914">
              <w:rPr>
                <w:rFonts w:ascii="Times New Roman" w:hAnsi="Times New Roman"/>
                <w:snapToGrid w:val="0"/>
                <w:sz w:val="21"/>
                <w:szCs w:val="21"/>
                <w:lang w:eastAsia="zh-CN"/>
              </w:rPr>
              <w:t>、</w:t>
            </w:r>
            <w:r w:rsidR="00D30FA2" w:rsidRPr="00E67914">
              <w:rPr>
                <w:rFonts w:ascii="Times New Roman" w:hAnsi="Times New Roman"/>
                <w:snapToGrid w:val="0"/>
                <w:sz w:val="21"/>
                <w:szCs w:val="21"/>
                <w:lang w:eastAsia="zh-CN"/>
              </w:rPr>
              <w:t>耗氧量</w:t>
            </w:r>
            <w:r w:rsidRPr="00E67914">
              <w:rPr>
                <w:rFonts w:ascii="Times New Roman" w:hAnsi="Times New Roman"/>
                <w:snapToGrid w:val="0"/>
                <w:sz w:val="21"/>
                <w:szCs w:val="21"/>
                <w:lang w:eastAsia="zh-CN"/>
              </w:rPr>
              <w:t>、石油类、氯化物</w:t>
            </w:r>
          </w:p>
        </w:tc>
        <w:tc>
          <w:tcPr>
            <w:tcW w:w="977" w:type="pct"/>
            <w:vMerge w:val="restart"/>
            <w:vAlign w:val="center"/>
          </w:tcPr>
          <w:p w14:paraId="55373488" w14:textId="77777777" w:rsidR="004D2E72" w:rsidRPr="00E67914" w:rsidRDefault="004D2E72" w:rsidP="004D2E72">
            <w:pPr>
              <w:adjustRightInd w:val="0"/>
              <w:snapToGrid w:val="0"/>
              <w:jc w:val="center"/>
              <w:rPr>
                <w:rFonts w:ascii="Times New Roman" w:hAnsi="Times New Roman"/>
                <w:snapToGrid w:val="0"/>
                <w:sz w:val="21"/>
                <w:szCs w:val="21"/>
                <w:lang w:eastAsia="zh-CN"/>
              </w:rPr>
            </w:pPr>
            <w:r w:rsidRPr="00E67914">
              <w:rPr>
                <w:rFonts w:ascii="Times New Roman" w:hAnsi="Times New Roman"/>
                <w:snapToGrid w:val="0"/>
                <w:sz w:val="21"/>
                <w:szCs w:val="21"/>
                <w:lang w:eastAsia="zh-CN"/>
              </w:rPr>
              <w:t>开工前</w:t>
            </w:r>
            <w:r w:rsidRPr="00E67914">
              <w:rPr>
                <w:rFonts w:ascii="Times New Roman" w:hAnsi="Times New Roman"/>
                <w:snapToGrid w:val="0"/>
                <w:sz w:val="21"/>
                <w:szCs w:val="21"/>
                <w:lang w:eastAsia="zh-CN"/>
              </w:rPr>
              <w:t>1</w:t>
            </w:r>
            <w:r w:rsidRPr="00E67914">
              <w:rPr>
                <w:rFonts w:ascii="Times New Roman" w:hAnsi="Times New Roman"/>
                <w:snapToGrid w:val="0"/>
                <w:sz w:val="21"/>
                <w:szCs w:val="21"/>
                <w:lang w:eastAsia="zh-CN"/>
              </w:rPr>
              <w:t>次，完钻后</w:t>
            </w:r>
            <w:r w:rsidRPr="00E67914">
              <w:rPr>
                <w:rFonts w:ascii="Times New Roman" w:hAnsi="Times New Roman"/>
                <w:snapToGrid w:val="0"/>
                <w:sz w:val="21"/>
                <w:szCs w:val="21"/>
                <w:lang w:eastAsia="zh-CN"/>
              </w:rPr>
              <w:t>1</w:t>
            </w:r>
            <w:r w:rsidRPr="00E67914">
              <w:rPr>
                <w:rFonts w:ascii="Times New Roman" w:hAnsi="Times New Roman"/>
                <w:snapToGrid w:val="0"/>
                <w:sz w:val="21"/>
                <w:szCs w:val="21"/>
                <w:lang w:eastAsia="zh-CN"/>
              </w:rPr>
              <w:t>次，发生事故时加密监测；试采期每年对</w:t>
            </w:r>
            <w:r w:rsidRPr="00E67914">
              <w:rPr>
                <w:rFonts w:ascii="Times New Roman" w:hAnsi="Times New Roman"/>
                <w:snapToGrid w:val="0"/>
                <w:sz w:val="21"/>
                <w:szCs w:val="21"/>
                <w:lang w:eastAsia="zh-CN"/>
              </w:rPr>
              <w:t>2#</w:t>
            </w:r>
            <w:r w:rsidRPr="00E67914">
              <w:rPr>
                <w:rFonts w:ascii="Times New Roman" w:hAnsi="Times New Roman"/>
                <w:snapToGrid w:val="0"/>
                <w:sz w:val="21"/>
                <w:szCs w:val="21"/>
                <w:lang w:eastAsia="zh-CN"/>
              </w:rPr>
              <w:t>点位例行监测一次，事故时加密监测</w:t>
            </w:r>
          </w:p>
        </w:tc>
        <w:tc>
          <w:tcPr>
            <w:tcW w:w="669" w:type="pct"/>
            <w:vAlign w:val="center"/>
          </w:tcPr>
          <w:p w14:paraId="41E72CBC" w14:textId="77777777" w:rsidR="004D2E72" w:rsidRPr="00E67914" w:rsidRDefault="004D2E72" w:rsidP="004D2E72">
            <w:pPr>
              <w:adjustRightInd w:val="0"/>
              <w:snapToGrid w:val="0"/>
              <w:jc w:val="center"/>
              <w:rPr>
                <w:rFonts w:ascii="Times New Roman" w:hAnsi="Times New Roman"/>
                <w:sz w:val="21"/>
                <w:szCs w:val="21"/>
              </w:rPr>
            </w:pPr>
            <w:r w:rsidRPr="00E67914">
              <w:rPr>
                <w:rFonts w:ascii="Times New Roman" w:hAnsi="Times New Roman"/>
                <w:sz w:val="21"/>
                <w:szCs w:val="21"/>
              </w:rPr>
              <w:t>背景值监测点</w:t>
            </w:r>
          </w:p>
        </w:tc>
        <w:tc>
          <w:tcPr>
            <w:tcW w:w="669" w:type="pct"/>
            <w:vMerge w:val="restart"/>
            <w:vAlign w:val="center"/>
          </w:tcPr>
          <w:p w14:paraId="5CABEE47" w14:textId="77777777" w:rsidR="004D2E72" w:rsidRPr="00E67914" w:rsidRDefault="004D2E72" w:rsidP="004D2E72">
            <w:pPr>
              <w:adjustRightInd w:val="0"/>
              <w:snapToGrid w:val="0"/>
              <w:jc w:val="center"/>
              <w:rPr>
                <w:rFonts w:ascii="Times New Roman" w:hAnsi="Times New Roman"/>
                <w:sz w:val="21"/>
                <w:szCs w:val="21"/>
              </w:rPr>
            </w:pPr>
            <w:r w:rsidRPr="00E67914">
              <w:rPr>
                <w:rFonts w:ascii="Times New Roman" w:hAnsi="Times New Roman"/>
                <w:sz w:val="21"/>
                <w:szCs w:val="21"/>
              </w:rPr>
              <w:t>HJ1209-2021</w:t>
            </w:r>
          </w:p>
        </w:tc>
      </w:tr>
      <w:tr w:rsidR="00E67914" w:rsidRPr="00E67914" w14:paraId="1B06C404" w14:textId="77777777">
        <w:trPr>
          <w:trHeight w:val="58"/>
          <w:jc w:val="center"/>
        </w:trPr>
        <w:tc>
          <w:tcPr>
            <w:tcW w:w="598" w:type="pct"/>
            <w:vMerge/>
            <w:shd w:val="clear" w:color="auto" w:fill="FFFFFF"/>
            <w:vAlign w:val="center"/>
          </w:tcPr>
          <w:p w14:paraId="36AF7454" w14:textId="77777777" w:rsidR="004D2E72" w:rsidRPr="00E67914" w:rsidRDefault="004D2E72" w:rsidP="004D2E72">
            <w:pPr>
              <w:adjustRightInd w:val="0"/>
              <w:snapToGrid w:val="0"/>
              <w:jc w:val="center"/>
              <w:rPr>
                <w:rFonts w:ascii="Times New Roman" w:hAnsi="Times New Roman"/>
                <w:sz w:val="21"/>
                <w:szCs w:val="21"/>
              </w:rPr>
            </w:pPr>
          </w:p>
        </w:tc>
        <w:tc>
          <w:tcPr>
            <w:tcW w:w="1191" w:type="pct"/>
            <w:shd w:val="clear" w:color="auto" w:fill="FFFFFF"/>
            <w:vAlign w:val="center"/>
          </w:tcPr>
          <w:p w14:paraId="040E988E" w14:textId="3661ABD6" w:rsidR="004D2E72" w:rsidRPr="00E67914" w:rsidRDefault="004D2E72" w:rsidP="004D2E72">
            <w:pPr>
              <w:adjustRightInd w:val="0"/>
              <w:snapToGrid w:val="0"/>
              <w:jc w:val="center"/>
              <w:rPr>
                <w:rFonts w:ascii="Times New Roman" w:hAnsi="Times New Roman"/>
                <w:sz w:val="21"/>
                <w:szCs w:val="21"/>
                <w:lang w:eastAsia="zh-CN"/>
              </w:rPr>
            </w:pPr>
            <w:r w:rsidRPr="00E67914">
              <w:rPr>
                <w:rFonts w:ascii="Times New Roman" w:hAnsi="Times New Roman"/>
                <w:kern w:val="2"/>
                <w:sz w:val="21"/>
                <w:szCs w:val="21"/>
                <w:lang w:eastAsia="zh-CN"/>
              </w:rPr>
              <w:t>普陆页</w:t>
            </w:r>
            <w:r w:rsidRPr="00E67914">
              <w:rPr>
                <w:rFonts w:ascii="Times New Roman" w:hAnsi="Times New Roman"/>
                <w:kern w:val="2"/>
                <w:sz w:val="21"/>
                <w:szCs w:val="21"/>
                <w:lang w:eastAsia="zh-CN"/>
              </w:rPr>
              <w:t>2</w:t>
            </w:r>
            <w:r w:rsidRPr="00E67914">
              <w:rPr>
                <w:rFonts w:ascii="Times New Roman" w:hAnsi="Times New Roman"/>
                <w:kern w:val="2"/>
                <w:sz w:val="21"/>
                <w:szCs w:val="21"/>
                <w:lang w:eastAsia="zh-CN"/>
              </w:rPr>
              <w:t>试采站南侧约</w:t>
            </w:r>
            <w:r w:rsidRPr="00E67914">
              <w:rPr>
                <w:rFonts w:ascii="Times New Roman" w:hAnsi="Times New Roman"/>
                <w:kern w:val="2"/>
                <w:sz w:val="21"/>
                <w:szCs w:val="21"/>
                <w:lang w:eastAsia="zh-CN"/>
              </w:rPr>
              <w:t>250m</w:t>
            </w:r>
          </w:p>
        </w:tc>
        <w:tc>
          <w:tcPr>
            <w:tcW w:w="896" w:type="pct"/>
            <w:vMerge/>
            <w:vAlign w:val="center"/>
          </w:tcPr>
          <w:p w14:paraId="3EFF317D" w14:textId="77777777" w:rsidR="004D2E72" w:rsidRPr="00E67914" w:rsidRDefault="004D2E72" w:rsidP="004D2E72">
            <w:pPr>
              <w:adjustRightInd w:val="0"/>
              <w:snapToGrid w:val="0"/>
              <w:jc w:val="center"/>
              <w:rPr>
                <w:rFonts w:ascii="Times New Roman" w:hAnsi="Times New Roman"/>
                <w:snapToGrid w:val="0"/>
                <w:sz w:val="21"/>
                <w:szCs w:val="21"/>
                <w:lang w:eastAsia="zh-CN"/>
              </w:rPr>
            </w:pPr>
          </w:p>
        </w:tc>
        <w:tc>
          <w:tcPr>
            <w:tcW w:w="977" w:type="pct"/>
            <w:vMerge/>
            <w:vAlign w:val="center"/>
          </w:tcPr>
          <w:p w14:paraId="5F1A6133" w14:textId="77777777" w:rsidR="004D2E72" w:rsidRPr="00E67914" w:rsidRDefault="004D2E72" w:rsidP="004D2E72">
            <w:pPr>
              <w:adjustRightInd w:val="0"/>
              <w:snapToGrid w:val="0"/>
              <w:jc w:val="center"/>
              <w:rPr>
                <w:rFonts w:ascii="Times New Roman" w:hAnsi="Times New Roman"/>
                <w:snapToGrid w:val="0"/>
                <w:sz w:val="21"/>
                <w:szCs w:val="21"/>
                <w:lang w:eastAsia="zh-CN"/>
              </w:rPr>
            </w:pPr>
          </w:p>
        </w:tc>
        <w:tc>
          <w:tcPr>
            <w:tcW w:w="669" w:type="pct"/>
            <w:vAlign w:val="center"/>
          </w:tcPr>
          <w:p w14:paraId="120FC4BC" w14:textId="77777777" w:rsidR="004D2E72" w:rsidRPr="00E67914" w:rsidRDefault="004D2E72" w:rsidP="004D2E72">
            <w:pPr>
              <w:adjustRightInd w:val="0"/>
              <w:snapToGrid w:val="0"/>
              <w:jc w:val="center"/>
              <w:rPr>
                <w:rFonts w:ascii="Times New Roman" w:hAnsi="Times New Roman"/>
                <w:sz w:val="21"/>
                <w:szCs w:val="21"/>
              </w:rPr>
            </w:pPr>
            <w:r w:rsidRPr="00E67914">
              <w:rPr>
                <w:rFonts w:ascii="Times New Roman" w:hAnsi="Times New Roman"/>
                <w:sz w:val="21"/>
                <w:szCs w:val="21"/>
                <w:lang w:eastAsia="zh-CN"/>
              </w:rPr>
              <w:t>监控点</w:t>
            </w:r>
          </w:p>
        </w:tc>
        <w:tc>
          <w:tcPr>
            <w:tcW w:w="669" w:type="pct"/>
            <w:vMerge/>
            <w:vAlign w:val="center"/>
          </w:tcPr>
          <w:p w14:paraId="01FB26A9" w14:textId="77777777" w:rsidR="004D2E72" w:rsidRPr="00E67914" w:rsidRDefault="004D2E72" w:rsidP="004D2E72">
            <w:pPr>
              <w:adjustRightInd w:val="0"/>
              <w:snapToGrid w:val="0"/>
              <w:jc w:val="center"/>
              <w:rPr>
                <w:rFonts w:ascii="Times New Roman" w:hAnsi="Times New Roman"/>
                <w:sz w:val="21"/>
                <w:szCs w:val="21"/>
                <w:lang w:eastAsia="zh-CN"/>
              </w:rPr>
            </w:pPr>
          </w:p>
        </w:tc>
      </w:tr>
    </w:tbl>
    <w:p w14:paraId="6D9A7DC8" w14:textId="01D2350B" w:rsidR="00A54A8A" w:rsidRPr="00E67914" w:rsidRDefault="002F63D7">
      <w:pPr>
        <w:adjustRightInd w:val="0"/>
        <w:snapToGrid w:val="0"/>
        <w:spacing w:line="360" w:lineRule="auto"/>
        <w:jc w:val="center"/>
        <w:rPr>
          <w:rFonts w:ascii="Times New Roman" w:hAnsi="Times New Roman"/>
          <w:bCs/>
          <w:kern w:val="2"/>
          <w:sz w:val="24"/>
          <w:szCs w:val="24"/>
          <w:lang w:eastAsia="zh-CN"/>
        </w:rPr>
      </w:pPr>
      <w:r w:rsidRPr="00E67914">
        <w:rPr>
          <w:rFonts w:ascii="Times New Roman" w:hAnsi="Times New Roman"/>
          <w:noProof/>
        </w:rPr>
        <w:lastRenderedPageBreak/>
        <mc:AlternateContent>
          <mc:Choice Requires="wps">
            <w:drawing>
              <wp:anchor distT="0" distB="0" distL="114300" distR="114300" simplePos="0" relativeHeight="251708416" behindDoc="0" locked="0" layoutInCell="1" allowOverlap="1" wp14:anchorId="4EF11369" wp14:editId="2B04C6E5">
                <wp:simplePos x="0" y="0"/>
                <wp:positionH relativeFrom="column">
                  <wp:posOffset>3588413</wp:posOffset>
                </wp:positionH>
                <wp:positionV relativeFrom="paragraph">
                  <wp:posOffset>2075566</wp:posOffset>
                </wp:positionV>
                <wp:extent cx="426085" cy="158115"/>
                <wp:effectExtent l="0" t="0" r="12065" b="13335"/>
                <wp:wrapNone/>
                <wp:docPr id="235" name="文本框 235"/>
                <wp:cNvGraphicFramePr/>
                <a:graphic xmlns:a="http://schemas.openxmlformats.org/drawingml/2006/main">
                  <a:graphicData uri="http://schemas.microsoft.com/office/word/2010/wordprocessingShape">
                    <wps:wsp>
                      <wps:cNvSpPr txBox="1"/>
                      <wps:spPr bwMode="auto">
                        <a:xfrm>
                          <a:off x="0" y="0"/>
                          <a:ext cx="426085" cy="158115"/>
                        </a:xfrm>
                        <a:prstGeom prst="rect">
                          <a:avLst/>
                        </a:prstGeom>
                        <a:noFill/>
                        <a:ln w="9525">
                          <a:noFill/>
                          <a:miter lim="800000"/>
                        </a:ln>
                      </wps:spPr>
                      <wps:txbx>
                        <w:txbxContent>
                          <w:p w14:paraId="4F046409" w14:textId="77777777" w:rsidR="00A54A8A" w:rsidRDefault="00000000">
                            <w:pPr>
                              <w:rPr>
                                <w:rFonts w:ascii="Times New Roman" w:hAnsi="Times New Roman"/>
                                <w:b/>
                                <w:bCs/>
                                <w:color w:val="CC04C2"/>
                                <w:sz w:val="21"/>
                                <w:szCs w:val="21"/>
                                <w:lang w:eastAsia="zh-CN"/>
                              </w:rPr>
                            </w:pPr>
                            <w:r>
                              <w:rPr>
                                <w:rFonts w:ascii="Times New Roman" w:hAnsi="Times New Roman"/>
                                <w:b/>
                                <w:bCs/>
                                <w:color w:val="CC04C2"/>
                                <w:sz w:val="21"/>
                                <w:szCs w:val="21"/>
                                <w:lang w:eastAsia="zh-CN"/>
                              </w:rPr>
                              <w:t>2#</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w14:anchorId="4EF11369" id="文本框 235" o:spid="_x0000_s1054" type="#_x0000_t202" style="position:absolute;left:0;text-align:left;margin-left:282.55pt;margin-top:163.45pt;width:33.55pt;height:12.4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" filled="f" stroked="f">
                <v:textbox inset="0,0,0,0">
                  <w:txbxContent>
                    <w:p w14:paraId="4F046409" w14:textId="77777777" w:rsidR="00A54A8A" w:rsidRDefault="00000000">
                      <w:pPr>
                        <w:rPr>
                          <w:rFonts w:ascii="Times New Roman" w:hAnsi="Times New Roman"/>
                          <w:b/>
                          <w:bCs/>
                          <w:color w:val="CC04C2"/>
                          <w:sz w:val="21"/>
                          <w:szCs w:val="21"/>
                          <w:lang w:eastAsia="zh-CN"/>
                        </w:rPr>
                      </w:pPr>
                      <w:r>
                        <w:rPr>
                          <w:rFonts w:ascii="Times New Roman" w:hAnsi="Times New Roman"/>
                          <w:b/>
                          <w:bCs/>
                          <w:color w:val="CC04C2"/>
                          <w:sz w:val="21"/>
                          <w:szCs w:val="21"/>
                          <w:lang w:eastAsia="zh-CN"/>
                        </w:rPr>
                        <w:t>2#</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706368" behindDoc="0" locked="0" layoutInCell="1" allowOverlap="1" wp14:anchorId="542196D1" wp14:editId="00937200">
                <wp:simplePos x="0" y="0"/>
                <wp:positionH relativeFrom="column">
                  <wp:posOffset>3780735</wp:posOffset>
                </wp:positionH>
                <wp:positionV relativeFrom="paragraph">
                  <wp:posOffset>2099034</wp:posOffset>
                </wp:positionV>
                <wp:extent cx="96520" cy="102870"/>
                <wp:effectExtent l="0" t="0" r="18415" b="11430"/>
                <wp:wrapNone/>
                <wp:docPr id="233" name="椭圆 233"/>
                <wp:cNvGraphicFramePr/>
                <a:graphic xmlns:a="http://schemas.openxmlformats.org/drawingml/2006/main">
                  <a:graphicData uri="http://schemas.microsoft.com/office/word/2010/wordprocessingShape">
                    <wps:wsp>
                      <wps:cNvSpPr/>
                      <wps:spPr>
                        <a:xfrm>
                          <a:off x="0" y="0"/>
                          <a:ext cx="96520" cy="102870"/>
                        </a:xfrm>
                        <a:prstGeom prst="ellipse">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14200EE2" id="椭圆 233" o:spid="_x0000_s1026" style="position:absolute;left:0;text-align:left;margin-left:297.7pt;margin-top:165.3pt;width:7.6pt;height:8.1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" fillcolor="#cc04c2" strokecolor="#cc04c2" strokeweight="1pt">
                <v:stroke joinstyle="miter"/>
              </v:oval>
            </w:pict>
          </mc:Fallback>
        </mc:AlternateContent>
      </w:r>
      <w:r w:rsidRPr="00E67914">
        <w:rPr>
          <w:rFonts w:ascii="Times New Roman" w:hAnsi="Times New Roman"/>
          <w:noProof/>
        </w:rPr>
        <mc:AlternateContent>
          <mc:Choice Requires="wps">
            <w:drawing>
              <wp:anchor distT="0" distB="0" distL="114300" distR="114300" simplePos="0" relativeHeight="251707392" behindDoc="0" locked="0" layoutInCell="1" allowOverlap="1" wp14:anchorId="4C4A3AA9" wp14:editId="2E46CDCC">
                <wp:simplePos x="0" y="0"/>
                <wp:positionH relativeFrom="column">
                  <wp:posOffset>2911282</wp:posOffset>
                </wp:positionH>
                <wp:positionV relativeFrom="paragraph">
                  <wp:posOffset>3317295</wp:posOffset>
                </wp:positionV>
                <wp:extent cx="426085" cy="158115"/>
                <wp:effectExtent l="0" t="0" r="12065" b="13335"/>
                <wp:wrapNone/>
                <wp:docPr id="234" name="文本框 234"/>
                <wp:cNvGraphicFramePr/>
                <a:graphic xmlns:a="http://schemas.openxmlformats.org/drawingml/2006/main">
                  <a:graphicData uri="http://schemas.microsoft.com/office/word/2010/wordprocessingShape">
                    <wps:wsp>
                      <wps:cNvSpPr txBox="1"/>
                      <wps:spPr bwMode="auto">
                        <a:xfrm>
                          <a:off x="0" y="0"/>
                          <a:ext cx="426085" cy="158115"/>
                        </a:xfrm>
                        <a:prstGeom prst="rect">
                          <a:avLst/>
                        </a:prstGeom>
                        <a:noFill/>
                        <a:ln w="9525">
                          <a:noFill/>
                          <a:miter lim="800000"/>
                        </a:ln>
                      </wps:spPr>
                      <wps:txbx>
                        <w:txbxContent>
                          <w:p w14:paraId="342C8CA6" w14:textId="77777777" w:rsidR="00A54A8A" w:rsidRDefault="00000000">
                            <w:pPr>
                              <w:rPr>
                                <w:rFonts w:ascii="Times New Roman" w:hAnsi="Times New Roman"/>
                                <w:b/>
                                <w:bCs/>
                                <w:color w:val="CC04C2"/>
                                <w:sz w:val="21"/>
                                <w:szCs w:val="21"/>
                                <w:lang w:eastAsia="zh-CN"/>
                              </w:rPr>
                            </w:pPr>
                            <w:r>
                              <w:rPr>
                                <w:rFonts w:ascii="Times New Roman" w:hAnsi="Times New Roman"/>
                                <w:b/>
                                <w:bCs/>
                                <w:color w:val="CC04C2"/>
                                <w:sz w:val="21"/>
                                <w:szCs w:val="21"/>
                                <w:lang w:eastAsia="zh-CN"/>
                              </w:rPr>
                              <w:t>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w14:anchorId="4C4A3AA9" id="文本框 234" o:spid="_x0000_s1055" type="#_x0000_t202" style="position:absolute;left:0;text-align:left;margin-left:229.25pt;margin-top:261.2pt;width:33.55pt;height:12.4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" filled="f" stroked="f">
                <v:textbox inset="0,0,0,0">
                  <w:txbxContent>
                    <w:p w14:paraId="342C8CA6" w14:textId="77777777" w:rsidR="00A54A8A" w:rsidRDefault="00000000">
                      <w:pPr>
                        <w:rPr>
                          <w:rFonts w:ascii="Times New Roman" w:hAnsi="Times New Roman"/>
                          <w:b/>
                          <w:bCs/>
                          <w:color w:val="CC04C2"/>
                          <w:sz w:val="21"/>
                          <w:szCs w:val="21"/>
                          <w:lang w:eastAsia="zh-CN"/>
                        </w:rPr>
                      </w:pPr>
                      <w:r>
                        <w:rPr>
                          <w:rFonts w:ascii="Times New Roman" w:hAnsi="Times New Roman"/>
                          <w:b/>
                          <w:bCs/>
                          <w:color w:val="CC04C2"/>
                          <w:sz w:val="21"/>
                          <w:szCs w:val="21"/>
                          <w:lang w:eastAsia="zh-CN"/>
                        </w:rPr>
                        <w:t>1#</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705344" behindDoc="0" locked="0" layoutInCell="1" allowOverlap="1" wp14:anchorId="1B8514EE" wp14:editId="7116738C">
                <wp:simplePos x="0" y="0"/>
                <wp:positionH relativeFrom="column">
                  <wp:posOffset>3097723</wp:posOffset>
                </wp:positionH>
                <wp:positionV relativeFrom="paragraph">
                  <wp:posOffset>3336566</wp:posOffset>
                </wp:positionV>
                <wp:extent cx="96520" cy="102870"/>
                <wp:effectExtent l="0" t="0" r="18415" b="11430"/>
                <wp:wrapNone/>
                <wp:docPr id="232" name="椭圆 232"/>
                <wp:cNvGraphicFramePr/>
                <a:graphic xmlns:a="http://schemas.openxmlformats.org/drawingml/2006/main">
                  <a:graphicData uri="http://schemas.microsoft.com/office/word/2010/wordprocessingShape">
                    <wps:wsp>
                      <wps:cNvSpPr/>
                      <wps:spPr>
                        <a:xfrm>
                          <a:off x="0" y="0"/>
                          <a:ext cx="96520" cy="102870"/>
                        </a:xfrm>
                        <a:prstGeom prst="ellipse">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654621E1" id="椭圆 232" o:spid="_x0000_s1026" style="position:absolute;left:0;text-align:left;margin-left:243.9pt;margin-top:262.7pt;width:7.6pt;height:8.1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" fillcolor="#cc04c2" strokecolor="#cc04c2" strokeweight="1pt">
                <v:stroke joinstyle="miter"/>
              </v:oval>
            </w:pict>
          </mc:Fallback>
        </mc:AlternateContent>
      </w:r>
      <w:r w:rsidRPr="00E67914">
        <w:rPr>
          <w:rFonts w:ascii="Times New Roman" w:hAnsi="Times New Roman"/>
          <w:noProof/>
        </w:rPr>
        <mc:AlternateContent>
          <mc:Choice Requires="wps">
            <w:drawing>
              <wp:anchor distT="0" distB="0" distL="114300" distR="114300" simplePos="0" relativeHeight="251731968" behindDoc="0" locked="0" layoutInCell="1" allowOverlap="1" wp14:anchorId="497C0BCA" wp14:editId="6FDBA14C">
                <wp:simplePos x="0" y="0"/>
                <wp:positionH relativeFrom="column">
                  <wp:posOffset>1851578</wp:posOffset>
                </wp:positionH>
                <wp:positionV relativeFrom="paragraph">
                  <wp:posOffset>2513911</wp:posOffset>
                </wp:positionV>
                <wp:extent cx="89535" cy="364490"/>
                <wp:effectExtent l="114300" t="0" r="100965" b="0"/>
                <wp:wrapNone/>
                <wp:docPr id="1739579141" name="箭头: 下 1739579141"/>
                <wp:cNvGraphicFramePr/>
                <a:graphic xmlns:a="http://schemas.openxmlformats.org/drawingml/2006/main">
                  <a:graphicData uri="http://schemas.microsoft.com/office/word/2010/wordprocessingShape">
                    <wps:wsp>
                      <wps:cNvSpPr/>
                      <wps:spPr>
                        <a:xfrm rot="19205027">
                          <a:off x="0" y="0"/>
                          <a:ext cx="89535" cy="364490"/>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752D779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1739579141" o:spid="_x0000_s1026" type="#_x0000_t67" style="position:absolute;left:0;text-align:left;margin-left:145.8pt;margin-top:197.95pt;width:7.05pt;height:28.7pt;rotation:-2615949fd;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" adj="18947" fillcolor="#cc04c2" strokecolor="#cc04c2" strokeweight="1pt"/>
            </w:pict>
          </mc:Fallback>
        </mc:AlternateContent>
      </w:r>
      <w:r w:rsidRPr="00E67914">
        <w:rPr>
          <w:rFonts w:ascii="Times New Roman" w:hAnsi="Times New Roman"/>
          <w:noProof/>
        </w:rPr>
        <mc:AlternateContent>
          <mc:Choice Requires="wps">
            <w:drawing>
              <wp:anchor distT="0" distB="0" distL="114300" distR="114300" simplePos="0" relativeHeight="251734016" behindDoc="0" locked="0" layoutInCell="1" allowOverlap="1" wp14:anchorId="70FC63EB" wp14:editId="0CF1A0F2">
                <wp:simplePos x="0" y="0"/>
                <wp:positionH relativeFrom="column">
                  <wp:posOffset>3420565</wp:posOffset>
                </wp:positionH>
                <wp:positionV relativeFrom="paragraph">
                  <wp:posOffset>2603017</wp:posOffset>
                </wp:positionV>
                <wp:extent cx="89535" cy="364490"/>
                <wp:effectExtent l="14923" t="99377" r="0" b="96838"/>
                <wp:wrapNone/>
                <wp:docPr id="1962530660" name="箭头: 下 1962530660"/>
                <wp:cNvGraphicFramePr/>
                <a:graphic xmlns:a="http://schemas.openxmlformats.org/drawingml/2006/main">
                  <a:graphicData uri="http://schemas.microsoft.com/office/word/2010/wordprocessingShape">
                    <wps:wsp>
                      <wps:cNvSpPr/>
                      <wps:spPr>
                        <a:xfrm rot="18152116">
                          <a:off x="0" y="0"/>
                          <a:ext cx="89535" cy="364490"/>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9157A64" id="箭头: 下 1962530660" o:spid="_x0000_s1026" type="#_x0000_t67" style="position:absolute;left:0;text-align:left;margin-left:269.35pt;margin-top:204.95pt;width:7.05pt;height:28.7pt;rotation:-3766009fd;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" adj="18947" fillcolor="#cc04c2" strokecolor="#cc04c2" strokeweight="1pt"/>
            </w:pict>
          </mc:Fallback>
        </mc:AlternateContent>
      </w:r>
      <w:r w:rsidRPr="00E67914">
        <w:rPr>
          <w:rFonts w:ascii="Times New Roman" w:hAnsi="Times New Roman"/>
          <w:noProof/>
        </w:rPr>
        <mc:AlternateContent>
          <mc:Choice Requires="wps">
            <w:drawing>
              <wp:anchor distT="0" distB="0" distL="114300" distR="114300" simplePos="0" relativeHeight="251732992" behindDoc="0" locked="0" layoutInCell="1" allowOverlap="1" wp14:anchorId="087C9855" wp14:editId="410B6E65">
                <wp:simplePos x="0" y="0"/>
                <wp:positionH relativeFrom="column">
                  <wp:posOffset>1150331</wp:posOffset>
                </wp:positionH>
                <wp:positionV relativeFrom="paragraph">
                  <wp:posOffset>1459437</wp:posOffset>
                </wp:positionV>
                <wp:extent cx="89535" cy="364490"/>
                <wp:effectExtent l="0" t="118427" r="0" b="96838"/>
                <wp:wrapNone/>
                <wp:docPr id="366642214" name="箭头: 下 366642214"/>
                <wp:cNvGraphicFramePr/>
                <a:graphic xmlns:a="http://schemas.openxmlformats.org/drawingml/2006/main">
                  <a:graphicData uri="http://schemas.microsoft.com/office/word/2010/wordprocessingShape">
                    <wps:wsp>
                      <wps:cNvSpPr/>
                      <wps:spPr>
                        <a:xfrm rot="18754723">
                          <a:off x="0" y="0"/>
                          <a:ext cx="89535" cy="364490"/>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247D65A" id="箭头: 下 366642214" o:spid="_x0000_s1026" type="#_x0000_t67" style="position:absolute;left:0;text-align:left;margin-left:90.6pt;margin-top:114.9pt;width:7.05pt;height:28.7pt;rotation:-3107801fd;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" adj="18947" fillcolor="#cc04c2" strokecolor="#cc04c2" strokeweight="1pt"/>
            </w:pict>
          </mc:Fallback>
        </mc:AlternateContent>
      </w:r>
      <w:r w:rsidRPr="00E67914">
        <w:rPr>
          <w:rFonts w:ascii="Times New Roman" w:hAnsi="Times New Roman"/>
          <w:noProof/>
        </w:rPr>
        <mc:AlternateContent>
          <mc:Choice Requires="wps">
            <w:drawing>
              <wp:anchor distT="0" distB="0" distL="114300" distR="114300" simplePos="0" relativeHeight="251758592" behindDoc="0" locked="0" layoutInCell="1" allowOverlap="1" wp14:anchorId="1BE10924" wp14:editId="2D148787">
                <wp:simplePos x="0" y="0"/>
                <wp:positionH relativeFrom="column">
                  <wp:posOffset>1611575</wp:posOffset>
                </wp:positionH>
                <wp:positionV relativeFrom="paragraph">
                  <wp:posOffset>508883</wp:posOffset>
                </wp:positionV>
                <wp:extent cx="1102080" cy="192405"/>
                <wp:effectExtent l="0" t="0" r="3175" b="0"/>
                <wp:wrapNone/>
                <wp:docPr id="1778737462" name="文本框 1778737462"/>
                <wp:cNvGraphicFramePr/>
                <a:graphic xmlns:a="http://schemas.openxmlformats.org/drawingml/2006/main">
                  <a:graphicData uri="http://schemas.microsoft.com/office/word/2010/wordprocessingShape">
                    <wps:wsp>
                      <wps:cNvSpPr txBox="1"/>
                      <wps:spPr bwMode="auto">
                        <a:xfrm>
                          <a:off x="0" y="0"/>
                          <a:ext cx="1102080" cy="192405"/>
                        </a:xfrm>
                        <a:prstGeom prst="rect">
                          <a:avLst/>
                        </a:prstGeom>
                        <a:noFill/>
                        <a:ln w="9525">
                          <a:noFill/>
                          <a:miter lim="800000"/>
                        </a:ln>
                      </wps:spPr>
                      <wps:txbx>
                        <w:txbxContent>
                          <w:p w14:paraId="23FA753B" w14:textId="3DD48C6D" w:rsidR="002F63D7" w:rsidRDefault="002F63D7" w:rsidP="002F63D7">
                            <w:pPr>
                              <w:rPr>
                                <w:rFonts w:ascii="Times New Roman" w:hAnsi="Times New Roman"/>
                                <w:b/>
                                <w:bCs/>
                                <w:color w:val="FF0000"/>
                                <w:sz w:val="21"/>
                                <w:szCs w:val="21"/>
                                <w:lang w:eastAsia="zh-CN"/>
                              </w:rPr>
                            </w:pPr>
                            <w:r>
                              <w:rPr>
                                <w:rFonts w:ascii="Times New Roman" w:hAnsi="Times New Roman" w:hint="eastAsia"/>
                                <w:b/>
                                <w:bCs/>
                                <w:color w:val="FF0000"/>
                                <w:sz w:val="21"/>
                                <w:szCs w:val="21"/>
                                <w:lang w:eastAsia="zh-CN"/>
                              </w:rPr>
                              <w:t>新普陆页</w:t>
                            </w:r>
                            <w:r>
                              <w:rPr>
                                <w:rFonts w:ascii="Times New Roman" w:hAnsi="Times New Roman" w:hint="eastAsia"/>
                                <w:b/>
                                <w:bCs/>
                                <w:color w:val="FF0000"/>
                                <w:sz w:val="21"/>
                                <w:szCs w:val="21"/>
                                <w:lang w:eastAsia="zh-CN"/>
                              </w:rPr>
                              <w:t>2</w:t>
                            </w:r>
                            <w:r>
                              <w:rPr>
                                <w:rFonts w:ascii="Times New Roman" w:hAnsi="Times New Roman" w:hint="eastAsia"/>
                                <w:b/>
                                <w:bCs/>
                                <w:color w:val="FF0000"/>
                                <w:sz w:val="21"/>
                                <w:szCs w:val="21"/>
                                <w:lang w:eastAsia="zh-CN"/>
                              </w:rPr>
                              <w:t>井场</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14:sizeRelH relativeFrom="margin">
                  <wp14:pctWidth>0</wp14:pctWidth>
                </wp14:sizeRelH>
              </wp:anchor>
            </w:drawing>
          </mc:Choice>
          <mc:Fallback>
            <w:pict>
              <v:shape w14:anchorId="1BE10924" id="文本框 1778737462" o:spid="_x0000_s1056" type="#_x0000_t202" style="position:absolute;left:0;text-align:left;margin-left:126.9pt;margin-top:40.05pt;width:86.8pt;height:15.1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" filled="f" stroked="f">
                <v:textbox inset="0,0,0,0">
                  <w:txbxContent>
                    <w:p w14:paraId="23FA753B" w14:textId="3DD48C6D" w:rsidR="002F63D7" w:rsidRDefault="002F63D7" w:rsidP="002F63D7">
                      <w:pPr>
                        <w:rPr>
                          <w:rFonts w:ascii="Times New Roman" w:hAnsi="Times New Roman"/>
                          <w:b/>
                          <w:bCs/>
                          <w:color w:val="FF0000"/>
                          <w:sz w:val="21"/>
                          <w:szCs w:val="21"/>
                          <w:lang w:eastAsia="zh-CN"/>
                        </w:rPr>
                      </w:pPr>
                      <w:r>
                        <w:rPr>
                          <w:rFonts w:ascii="Times New Roman" w:hAnsi="Times New Roman" w:hint="eastAsia"/>
                          <w:b/>
                          <w:bCs/>
                          <w:color w:val="FF0000"/>
                          <w:sz w:val="21"/>
                          <w:szCs w:val="21"/>
                          <w:lang w:eastAsia="zh-CN"/>
                        </w:rPr>
                        <w:t>新普陆页</w:t>
                      </w:r>
                      <w:r>
                        <w:rPr>
                          <w:rFonts w:ascii="Times New Roman" w:hAnsi="Times New Roman" w:hint="eastAsia"/>
                          <w:b/>
                          <w:bCs/>
                          <w:color w:val="FF0000"/>
                          <w:sz w:val="21"/>
                          <w:szCs w:val="21"/>
                          <w:lang w:eastAsia="zh-CN"/>
                        </w:rPr>
                        <w:t>2</w:t>
                      </w:r>
                      <w:r>
                        <w:rPr>
                          <w:rFonts w:ascii="Times New Roman" w:hAnsi="Times New Roman" w:hint="eastAsia"/>
                          <w:b/>
                          <w:bCs/>
                          <w:color w:val="FF0000"/>
                          <w:sz w:val="21"/>
                          <w:szCs w:val="21"/>
                          <w:lang w:eastAsia="zh-CN"/>
                        </w:rPr>
                        <w:t>井场</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709440" behindDoc="0" locked="0" layoutInCell="1" allowOverlap="1" wp14:anchorId="2F44E1FF" wp14:editId="3DEEA934">
                <wp:simplePos x="0" y="0"/>
                <wp:positionH relativeFrom="column">
                  <wp:posOffset>3182289</wp:posOffset>
                </wp:positionH>
                <wp:positionV relativeFrom="paragraph">
                  <wp:posOffset>1081267</wp:posOffset>
                </wp:positionV>
                <wp:extent cx="1102080" cy="192405"/>
                <wp:effectExtent l="0" t="0" r="3175" b="0"/>
                <wp:wrapNone/>
                <wp:docPr id="236" name="文本框 236"/>
                <wp:cNvGraphicFramePr/>
                <a:graphic xmlns:a="http://schemas.openxmlformats.org/drawingml/2006/main">
                  <a:graphicData uri="http://schemas.microsoft.com/office/word/2010/wordprocessingShape">
                    <wps:wsp>
                      <wps:cNvSpPr txBox="1"/>
                      <wps:spPr bwMode="auto">
                        <a:xfrm>
                          <a:off x="0" y="0"/>
                          <a:ext cx="1102080" cy="192405"/>
                        </a:xfrm>
                        <a:prstGeom prst="rect">
                          <a:avLst/>
                        </a:prstGeom>
                        <a:noFill/>
                        <a:ln w="9525">
                          <a:noFill/>
                          <a:miter lim="800000"/>
                        </a:ln>
                      </wps:spPr>
                      <wps:txbx>
                        <w:txbxContent>
                          <w:p w14:paraId="3884B7AB" w14:textId="3C7C3457" w:rsidR="00A54A8A" w:rsidRDefault="002F63D7">
                            <w:pPr>
                              <w:rPr>
                                <w:rFonts w:ascii="Times New Roman" w:hAnsi="Times New Roman"/>
                                <w:b/>
                                <w:bCs/>
                                <w:color w:val="FF0000"/>
                                <w:sz w:val="21"/>
                                <w:szCs w:val="21"/>
                                <w:lang w:eastAsia="zh-CN"/>
                              </w:rPr>
                            </w:pPr>
                            <w:r>
                              <w:rPr>
                                <w:rFonts w:ascii="Times New Roman" w:hAnsi="Times New Roman" w:hint="eastAsia"/>
                                <w:b/>
                                <w:bCs/>
                                <w:color w:val="FF0000"/>
                                <w:sz w:val="21"/>
                                <w:szCs w:val="21"/>
                                <w:lang w:eastAsia="zh-CN"/>
                              </w:rPr>
                              <w:t>普陆页</w:t>
                            </w:r>
                            <w:r>
                              <w:rPr>
                                <w:rFonts w:ascii="Times New Roman" w:hAnsi="Times New Roman" w:hint="eastAsia"/>
                                <w:b/>
                                <w:bCs/>
                                <w:color w:val="FF0000"/>
                                <w:sz w:val="21"/>
                                <w:szCs w:val="21"/>
                                <w:lang w:eastAsia="zh-CN"/>
                              </w:rPr>
                              <w:t>2</w:t>
                            </w:r>
                            <w:r>
                              <w:rPr>
                                <w:rFonts w:ascii="Times New Roman" w:hAnsi="Times New Roman" w:hint="eastAsia"/>
                                <w:b/>
                                <w:bCs/>
                                <w:color w:val="FF0000"/>
                                <w:sz w:val="21"/>
                                <w:szCs w:val="21"/>
                                <w:lang w:eastAsia="zh-CN"/>
                              </w:rPr>
                              <w:t>试采站</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14:sizeRelH relativeFrom="margin">
                  <wp14:pctWidth>0</wp14:pctWidth>
                </wp14:sizeRelH>
              </wp:anchor>
            </w:drawing>
          </mc:Choice>
          <mc:Fallback>
            <w:pict>
              <v:shape w14:anchorId="2F44E1FF" id="文本框 236" o:spid="_x0000_s1057" type="#_x0000_t202" style="position:absolute;left:0;text-align:left;margin-left:250.55pt;margin-top:85.15pt;width:86.8pt;height:15.1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" filled="f" stroked="f">
                <v:textbox inset="0,0,0,0">
                  <w:txbxContent>
                    <w:p w14:paraId="3884B7AB" w14:textId="3C7C3457" w:rsidR="00A54A8A" w:rsidRDefault="002F63D7">
                      <w:pPr>
                        <w:rPr>
                          <w:rFonts w:ascii="Times New Roman" w:hAnsi="Times New Roman"/>
                          <w:b/>
                          <w:bCs/>
                          <w:color w:val="FF0000"/>
                          <w:sz w:val="21"/>
                          <w:szCs w:val="21"/>
                          <w:lang w:eastAsia="zh-CN"/>
                        </w:rPr>
                      </w:pPr>
                      <w:r>
                        <w:rPr>
                          <w:rFonts w:ascii="Times New Roman" w:hAnsi="Times New Roman" w:hint="eastAsia"/>
                          <w:b/>
                          <w:bCs/>
                          <w:color w:val="FF0000"/>
                          <w:sz w:val="21"/>
                          <w:szCs w:val="21"/>
                          <w:lang w:eastAsia="zh-CN"/>
                        </w:rPr>
                        <w:t>普陆页</w:t>
                      </w:r>
                      <w:r>
                        <w:rPr>
                          <w:rFonts w:ascii="Times New Roman" w:hAnsi="Times New Roman" w:hint="eastAsia"/>
                          <w:b/>
                          <w:bCs/>
                          <w:color w:val="FF0000"/>
                          <w:sz w:val="21"/>
                          <w:szCs w:val="21"/>
                          <w:lang w:eastAsia="zh-CN"/>
                        </w:rPr>
                        <w:t>2</w:t>
                      </w:r>
                      <w:r>
                        <w:rPr>
                          <w:rFonts w:ascii="Times New Roman" w:hAnsi="Times New Roman" w:hint="eastAsia"/>
                          <w:b/>
                          <w:bCs/>
                          <w:color w:val="FF0000"/>
                          <w:sz w:val="21"/>
                          <w:szCs w:val="21"/>
                          <w:lang w:eastAsia="zh-CN"/>
                        </w:rPr>
                        <w:t>试采站</w:t>
                      </w:r>
                    </w:p>
                  </w:txbxContent>
                </v:textbox>
              </v:shape>
            </w:pict>
          </mc:Fallback>
        </mc:AlternateContent>
      </w:r>
      <w:r w:rsidRPr="00E67914">
        <w:rPr>
          <w:rFonts w:ascii="Times New Roman" w:hAnsi="Times New Roman"/>
          <w:noProof/>
        </w:rPr>
        <mc:AlternateContent>
          <mc:Choice Requires="wps">
            <w:drawing>
              <wp:anchor distT="0" distB="0" distL="114300" distR="114300" simplePos="0" relativeHeight="251710464" behindDoc="0" locked="0" layoutInCell="1" allowOverlap="1" wp14:anchorId="38453EDA" wp14:editId="48CFACB2">
                <wp:simplePos x="0" y="0"/>
                <wp:positionH relativeFrom="column">
                  <wp:posOffset>3521820</wp:posOffset>
                </wp:positionH>
                <wp:positionV relativeFrom="paragraph">
                  <wp:posOffset>472495</wp:posOffset>
                </wp:positionV>
                <wp:extent cx="89535" cy="364490"/>
                <wp:effectExtent l="114300" t="0" r="100965" b="0"/>
                <wp:wrapNone/>
                <wp:docPr id="237" name="箭头: 下 237"/>
                <wp:cNvGraphicFramePr/>
                <a:graphic xmlns:a="http://schemas.openxmlformats.org/drawingml/2006/main">
                  <a:graphicData uri="http://schemas.microsoft.com/office/word/2010/wordprocessingShape">
                    <wps:wsp>
                      <wps:cNvSpPr/>
                      <wps:spPr>
                        <a:xfrm rot="19077230">
                          <a:off x="0" y="0"/>
                          <a:ext cx="89535" cy="364490"/>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BD56EDB" id="箭头: 下 237" o:spid="_x0000_s1026" type="#_x0000_t67" style="position:absolute;left:0;text-align:left;margin-left:277.3pt;margin-top:37.2pt;width:7.05pt;height:28.7pt;rotation:-2755538fd;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" adj="18947" fillcolor="#cc04c2" strokecolor="#cc04c2" strokeweight="1pt"/>
            </w:pict>
          </mc:Fallback>
        </mc:AlternateContent>
      </w:r>
      <w:r w:rsidR="008B39C0" w:rsidRPr="00E67914">
        <w:rPr>
          <w:rFonts w:ascii="Times New Roman" w:hAnsi="Times New Roman"/>
          <w:noProof/>
        </w:rPr>
        <mc:AlternateContent>
          <mc:Choice Requires="wps">
            <w:drawing>
              <wp:anchor distT="0" distB="0" distL="114300" distR="114300" simplePos="0" relativeHeight="251730944" behindDoc="0" locked="0" layoutInCell="1" allowOverlap="1" wp14:anchorId="5B61A7F0" wp14:editId="6F4070E5">
                <wp:simplePos x="0" y="0"/>
                <wp:positionH relativeFrom="column">
                  <wp:posOffset>3600450</wp:posOffset>
                </wp:positionH>
                <wp:positionV relativeFrom="paragraph">
                  <wp:posOffset>1690370</wp:posOffset>
                </wp:positionV>
                <wp:extent cx="89535" cy="364490"/>
                <wp:effectExtent l="0" t="118427" r="0" b="96838"/>
                <wp:wrapNone/>
                <wp:docPr id="919731112" name="箭头: 下 919731112"/>
                <wp:cNvGraphicFramePr/>
                <a:graphic xmlns:a="http://schemas.openxmlformats.org/drawingml/2006/main">
                  <a:graphicData uri="http://schemas.microsoft.com/office/word/2010/wordprocessingShape">
                    <wps:wsp>
                      <wps:cNvSpPr/>
                      <wps:spPr>
                        <a:xfrm rot="18763476">
                          <a:off x="0" y="0"/>
                          <a:ext cx="89377" cy="364385"/>
                        </a:xfrm>
                        <a:prstGeom prst="downArrow">
                          <a:avLst/>
                        </a:prstGeom>
                        <a:solidFill>
                          <a:srgbClr val="CC04C2"/>
                        </a:solidFill>
                        <a:ln>
                          <a:solidFill>
                            <a:srgbClr val="CC04C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574FE01" id="箭头: 下 919731112" o:spid="_x0000_s1026" type="#_x0000_t67" style="position:absolute;left:0;text-align:left;margin-left:283.5pt;margin-top:133.1pt;width:7.05pt;height:28.7pt;rotation:-3098241fd;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" adj="18951" fillcolor="#cc04c2" strokecolor="#cc04c2" strokeweight="1pt"/>
            </w:pict>
          </mc:Fallback>
        </mc:AlternateContent>
      </w:r>
      <w:r w:rsidRPr="00E67914">
        <w:rPr>
          <w:rFonts w:ascii="Times New Roman" w:hAnsi="Times New Roman"/>
          <w:noProof/>
        </w:rPr>
        <w:drawing>
          <wp:inline distT="0" distB="0" distL="0" distR="0" wp14:anchorId="21DD806D" wp14:editId="0820282E">
            <wp:extent cx="5276850" cy="4283075"/>
            <wp:effectExtent l="0" t="0" r="0" b="3175"/>
            <wp:docPr id="4378019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01939" name=""/>
                    <pic:cNvPicPr/>
                  </pic:nvPicPr>
                  <pic:blipFill>
                    <a:blip r:embed="rId116"/>
                    <a:stretch>
                      <a:fillRect/>
                    </a:stretch>
                  </pic:blipFill>
                  <pic:spPr>
                    <a:xfrm>
                      <a:off x="0" y="0"/>
                      <a:ext cx="5276850" cy="4283075"/>
                    </a:xfrm>
                    <a:prstGeom prst="rect">
                      <a:avLst/>
                    </a:prstGeom>
                  </pic:spPr>
                </pic:pic>
              </a:graphicData>
            </a:graphic>
          </wp:inline>
        </w:drawing>
      </w:r>
    </w:p>
    <w:p w14:paraId="5686E825" w14:textId="77777777" w:rsidR="00A54A8A" w:rsidRPr="00E67914" w:rsidRDefault="00000000">
      <w:pPr>
        <w:adjustRightInd w:val="0"/>
        <w:snapToGrid w:val="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图</w:t>
      </w:r>
      <w:r w:rsidRPr="00E67914">
        <w:rPr>
          <w:rFonts w:ascii="Times New Roman" w:eastAsia="黑体" w:hAnsi="Times New Roman"/>
          <w:sz w:val="21"/>
          <w:szCs w:val="21"/>
          <w:lang w:eastAsia="zh-CN"/>
        </w:rPr>
        <w:t xml:space="preserve">10.3-1  </w:t>
      </w:r>
      <w:r w:rsidRPr="00E67914">
        <w:rPr>
          <w:rFonts w:ascii="Times New Roman" w:eastAsia="黑体" w:hAnsi="Times New Roman"/>
          <w:sz w:val="21"/>
          <w:szCs w:val="21"/>
          <w:lang w:eastAsia="zh-CN"/>
        </w:rPr>
        <w:t>地下水跟踪监测布点图</w:t>
      </w:r>
    </w:p>
    <w:p w14:paraId="5125C4B8" w14:textId="77777777" w:rsidR="00A54A8A" w:rsidRPr="00E67914" w:rsidRDefault="00000000">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r w:rsidRPr="00E67914">
        <w:rPr>
          <w:rFonts w:ascii="Times New Roman" w:eastAsia="黑体" w:hAnsi="Times New Roman"/>
          <w:b w:val="0"/>
          <w:sz w:val="24"/>
          <w:szCs w:val="24"/>
          <w:lang w:eastAsia="zh-CN"/>
        </w:rPr>
        <w:t>10.3.2</w:t>
      </w:r>
      <w:r w:rsidRPr="00E67914">
        <w:rPr>
          <w:rFonts w:ascii="Times New Roman" w:eastAsia="黑体" w:hAnsi="Times New Roman"/>
          <w:b w:val="0"/>
          <w:sz w:val="24"/>
          <w:szCs w:val="24"/>
          <w:lang w:eastAsia="zh-CN"/>
        </w:rPr>
        <w:t>应急监测</w:t>
      </w:r>
    </w:p>
    <w:p w14:paraId="30F8A1BC" w14:textId="4C347112"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本项目主要存在试采站场天然气</w:t>
      </w:r>
      <w:r w:rsidR="002F63D7" w:rsidRPr="00E67914">
        <w:rPr>
          <w:rFonts w:ascii="Times New Roman" w:hAnsi="Times New Roman"/>
          <w:bCs/>
          <w:kern w:val="2"/>
          <w:sz w:val="24"/>
          <w:szCs w:val="24"/>
          <w:lang w:eastAsia="zh-CN"/>
        </w:rPr>
        <w:t>、凝析油</w:t>
      </w:r>
      <w:r w:rsidRPr="00E67914">
        <w:rPr>
          <w:rFonts w:ascii="Times New Roman" w:hAnsi="Times New Roman"/>
          <w:bCs/>
          <w:kern w:val="2"/>
          <w:sz w:val="24"/>
          <w:szCs w:val="24"/>
          <w:lang w:eastAsia="zh-CN"/>
        </w:rPr>
        <w:t>泄漏（天然气</w:t>
      </w:r>
      <w:r w:rsidR="0096107D" w:rsidRPr="00E67914">
        <w:rPr>
          <w:rFonts w:ascii="Times New Roman" w:hAnsi="Times New Roman"/>
          <w:bCs/>
          <w:kern w:val="2"/>
          <w:sz w:val="24"/>
          <w:szCs w:val="24"/>
          <w:lang w:eastAsia="zh-CN"/>
        </w:rPr>
        <w:t>、凝析油</w:t>
      </w:r>
      <w:r w:rsidRPr="00E67914">
        <w:rPr>
          <w:rFonts w:ascii="Times New Roman" w:hAnsi="Times New Roman"/>
          <w:bCs/>
          <w:kern w:val="2"/>
          <w:sz w:val="24"/>
          <w:szCs w:val="24"/>
          <w:lang w:eastAsia="zh-CN"/>
        </w:rPr>
        <w:t>泄漏或火灾、爆炸或重大环境污染）、污水泄漏、油类物质泄漏等事故。因此，在发生事故时应当进行应急监测。</w:t>
      </w:r>
    </w:p>
    <w:p w14:paraId="4D61696F"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应急监测包括污染纠纷的监测和污染事故的应急监测等。工程施工单位未落实环境保护措施发生污染事故或公众举报与投诉，以及风险事故发生时，环境监测部门应立刻进行现场监测，并通知当地环保部门赴事故现场进行调查，做到及时提供事故监测分析报告，以便及时做出整改并采取补救措施，使事故造成的不良环境影响降至最低。</w:t>
      </w:r>
    </w:p>
    <w:p w14:paraId="2D16B3BF"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对事故监测可根据事故性质、事故影响大小等具体情况监测气、土壤、水等，并以监测报告的形式上报上级部门。</w:t>
      </w:r>
    </w:p>
    <w:p w14:paraId="5AFA79DB" w14:textId="77777777" w:rsidR="00A54A8A" w:rsidRPr="00E67914" w:rsidRDefault="00000000">
      <w:pPr>
        <w:pStyle w:val="3"/>
        <w:adjustRightInd w:val="0"/>
        <w:snapToGrid w:val="0"/>
        <w:spacing w:beforeLines="50" w:before="120" w:after="0" w:line="360" w:lineRule="auto"/>
        <w:ind w:firstLineChars="200" w:firstLine="480"/>
        <w:rPr>
          <w:rFonts w:ascii="Times New Roman" w:eastAsia="黑体" w:hAnsi="Times New Roman"/>
          <w:b w:val="0"/>
          <w:sz w:val="24"/>
          <w:szCs w:val="24"/>
          <w:lang w:eastAsia="zh-CN"/>
        </w:rPr>
      </w:pPr>
      <w:bookmarkStart w:id="274" w:name="_Toc30018"/>
      <w:bookmarkStart w:id="275" w:name="_Toc12335"/>
      <w:bookmarkStart w:id="276" w:name="_Toc870"/>
      <w:bookmarkStart w:id="277" w:name="_Toc4854"/>
      <w:bookmarkStart w:id="278" w:name="_Toc31197"/>
      <w:bookmarkStart w:id="279" w:name="_Toc18672"/>
      <w:bookmarkStart w:id="280" w:name="_Toc22415"/>
      <w:bookmarkStart w:id="281" w:name="_Toc297"/>
      <w:bookmarkStart w:id="282" w:name="_Toc17101"/>
      <w:bookmarkStart w:id="283" w:name="_Toc9252"/>
      <w:bookmarkStart w:id="284" w:name="_Toc24003"/>
      <w:bookmarkStart w:id="285" w:name="_Toc22420"/>
      <w:bookmarkStart w:id="286" w:name="_Toc25303"/>
      <w:bookmarkStart w:id="287" w:name="_Toc10769"/>
      <w:bookmarkStart w:id="288" w:name="_Toc32249"/>
      <w:bookmarkStart w:id="289" w:name="_Toc2584"/>
      <w:bookmarkStart w:id="290" w:name="_Toc10943"/>
      <w:bookmarkStart w:id="291" w:name="_Toc24787"/>
      <w:bookmarkStart w:id="292" w:name="_Toc9301"/>
      <w:bookmarkStart w:id="293" w:name="_Toc8056"/>
      <w:bookmarkStart w:id="294" w:name="_Toc15785"/>
      <w:bookmarkStart w:id="295" w:name="_Toc30163"/>
      <w:bookmarkStart w:id="296" w:name="_Toc29331"/>
      <w:bookmarkStart w:id="297" w:name="_Toc19372"/>
      <w:bookmarkStart w:id="298" w:name="_Toc13017"/>
      <w:bookmarkStart w:id="299" w:name="_Toc10753"/>
      <w:bookmarkStart w:id="300" w:name="_Toc1931"/>
      <w:bookmarkStart w:id="301" w:name="_Toc16546"/>
      <w:bookmarkStart w:id="302" w:name="_Toc9395"/>
      <w:bookmarkStart w:id="303" w:name="_Toc6891"/>
      <w:bookmarkStart w:id="304" w:name="_Toc15922"/>
      <w:bookmarkStart w:id="305" w:name="_Toc16685"/>
      <w:bookmarkStart w:id="306" w:name="_Toc441"/>
      <w:bookmarkStart w:id="307" w:name="_Toc13000"/>
      <w:r w:rsidRPr="00E67914">
        <w:rPr>
          <w:rFonts w:ascii="Times New Roman" w:eastAsia="黑体" w:hAnsi="Times New Roman"/>
          <w:b w:val="0"/>
          <w:sz w:val="24"/>
          <w:szCs w:val="24"/>
          <w:lang w:eastAsia="zh-CN"/>
        </w:rPr>
        <w:t>10.3.3</w:t>
      </w:r>
      <w:r w:rsidRPr="00E67914">
        <w:rPr>
          <w:rFonts w:ascii="Times New Roman" w:eastAsia="黑体" w:hAnsi="Times New Roman"/>
          <w:b w:val="0"/>
          <w:sz w:val="24"/>
          <w:szCs w:val="24"/>
          <w:lang w:eastAsia="zh-CN"/>
        </w:rPr>
        <w:t>生态管理及监测</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14:paraId="5621ADBC" w14:textId="77777777" w:rsidR="00A54A8A" w:rsidRPr="00E67914" w:rsidRDefault="00000000">
      <w:pPr>
        <w:pStyle w:val="41"/>
        <w:spacing w:line="480" w:lineRule="exact"/>
        <w:ind w:firstLineChars="200" w:firstLine="480"/>
        <w:rPr>
          <w:sz w:val="24"/>
        </w:rPr>
      </w:pPr>
      <w:r w:rsidRPr="00E67914">
        <w:rPr>
          <w:sz w:val="24"/>
        </w:rPr>
        <w:t>生态环境管理和监控是政府环境保护机构依据国家和地方制订的有关自然资源和生态保护的法律、法规、条例、技术规范、标准等所进行的行政工作。</w:t>
      </w:r>
      <w:r w:rsidRPr="00E67914">
        <w:rPr>
          <w:sz w:val="24"/>
        </w:rPr>
        <w:lastRenderedPageBreak/>
        <w:t>因此，接受环境管理和监管是建设单位日常工作的一个重要组成部分。本评价根据项目建设的性质、规模、生态影响的程度和范围、项目所在地的自然、经济、社会等因素提出如下生态监控目标和要求。</w:t>
      </w:r>
    </w:p>
    <w:p w14:paraId="6512E3B4" w14:textId="77777777" w:rsidR="00A54A8A" w:rsidRPr="00E67914" w:rsidRDefault="00000000">
      <w:pPr>
        <w:spacing w:line="480" w:lineRule="exact"/>
        <w:ind w:firstLineChars="200" w:firstLine="482"/>
        <w:rPr>
          <w:rFonts w:ascii="Times New Roman" w:hAnsi="Times New Roman"/>
          <w:b/>
          <w:bCs/>
          <w:sz w:val="24"/>
          <w:lang w:eastAsia="zh-CN"/>
        </w:rPr>
      </w:pPr>
      <w:r w:rsidRPr="00E67914">
        <w:rPr>
          <w:rFonts w:ascii="Times New Roman" w:hAnsi="Times New Roman"/>
          <w:b/>
          <w:bCs/>
          <w:sz w:val="24"/>
          <w:lang w:eastAsia="zh-CN"/>
        </w:rPr>
        <w:t>监测目标：</w:t>
      </w:r>
    </w:p>
    <w:p w14:paraId="20B66B80" w14:textId="77777777" w:rsidR="00A54A8A" w:rsidRPr="00E67914" w:rsidRDefault="00000000">
      <w:pPr>
        <w:pStyle w:val="41"/>
        <w:spacing w:line="480" w:lineRule="exact"/>
        <w:ind w:firstLineChars="200" w:firstLine="480"/>
        <w:rPr>
          <w:sz w:val="24"/>
        </w:rPr>
      </w:pPr>
      <w:r w:rsidRPr="00E67914">
        <w:rPr>
          <w:rFonts w:ascii="宋体" w:hAnsi="宋体" w:cs="宋体" w:hint="eastAsia"/>
          <w:sz w:val="24"/>
        </w:rPr>
        <w:t>①</w:t>
      </w:r>
      <w:r w:rsidRPr="00E67914">
        <w:rPr>
          <w:sz w:val="24"/>
        </w:rPr>
        <w:t>防止区内自然体系生产能力进一步下降；</w:t>
      </w:r>
    </w:p>
    <w:p w14:paraId="1146D1B0" w14:textId="77777777" w:rsidR="00A54A8A" w:rsidRPr="00E67914" w:rsidRDefault="00000000">
      <w:pPr>
        <w:pStyle w:val="41"/>
        <w:spacing w:line="480" w:lineRule="exact"/>
        <w:ind w:firstLineChars="200" w:firstLine="480"/>
        <w:rPr>
          <w:sz w:val="24"/>
        </w:rPr>
      </w:pPr>
      <w:r w:rsidRPr="00E67914">
        <w:rPr>
          <w:rFonts w:ascii="宋体" w:hAnsi="宋体" w:cs="宋体" w:hint="eastAsia"/>
          <w:sz w:val="24"/>
          <w:lang w:eastAsia="ja-JP"/>
        </w:rPr>
        <w:t>②</w:t>
      </w:r>
      <w:r w:rsidRPr="00E67914">
        <w:rPr>
          <w:sz w:val="24"/>
        </w:rPr>
        <w:t>防止区内水土流失日趋严重；</w:t>
      </w:r>
    </w:p>
    <w:p w14:paraId="64E70BA7" w14:textId="77777777" w:rsidR="00A54A8A" w:rsidRPr="00E67914" w:rsidRDefault="00000000">
      <w:pPr>
        <w:pStyle w:val="41"/>
        <w:spacing w:line="480" w:lineRule="exact"/>
        <w:ind w:firstLineChars="200" w:firstLine="480"/>
        <w:rPr>
          <w:sz w:val="24"/>
        </w:rPr>
      </w:pPr>
      <w:r w:rsidRPr="00E67914">
        <w:rPr>
          <w:rFonts w:ascii="宋体" w:hAnsi="宋体" w:cs="宋体" w:hint="eastAsia"/>
          <w:sz w:val="24"/>
          <w:lang w:eastAsia="ja-JP"/>
        </w:rPr>
        <w:t>③</w:t>
      </w:r>
      <w:r w:rsidRPr="00E67914">
        <w:rPr>
          <w:sz w:val="24"/>
        </w:rPr>
        <w:t>防止区内人类活动给自然体系增加更大的压力。</w:t>
      </w:r>
    </w:p>
    <w:p w14:paraId="0EB6E0C9" w14:textId="77777777" w:rsidR="00A54A8A" w:rsidRPr="00E67914" w:rsidRDefault="00000000">
      <w:pPr>
        <w:spacing w:line="480" w:lineRule="exact"/>
        <w:ind w:firstLineChars="200" w:firstLine="482"/>
        <w:rPr>
          <w:rFonts w:ascii="Times New Roman" w:hAnsi="Times New Roman"/>
          <w:b/>
          <w:bCs/>
          <w:sz w:val="24"/>
          <w:lang w:eastAsia="zh-CN"/>
        </w:rPr>
      </w:pPr>
      <w:r w:rsidRPr="00E67914">
        <w:rPr>
          <w:rFonts w:ascii="Times New Roman" w:hAnsi="Times New Roman"/>
          <w:b/>
          <w:bCs/>
          <w:sz w:val="24"/>
          <w:lang w:eastAsia="zh-CN"/>
        </w:rPr>
        <w:t>监测要求：</w:t>
      </w:r>
      <w:r w:rsidRPr="00E67914">
        <w:rPr>
          <w:rFonts w:ascii="Times New Roman" w:hAnsi="Times New Roman"/>
          <w:b/>
          <w:bCs/>
          <w:sz w:val="24"/>
          <w:lang w:eastAsia="zh-CN"/>
        </w:rPr>
        <w:t xml:space="preserve"> </w:t>
      </w:r>
    </w:p>
    <w:p w14:paraId="18DA2DB4" w14:textId="77777777" w:rsidR="00A54A8A" w:rsidRPr="00E67914" w:rsidRDefault="00000000" w:rsidP="0096107D">
      <w:pPr>
        <w:pStyle w:val="41"/>
        <w:spacing w:line="480" w:lineRule="exact"/>
        <w:ind w:firstLineChars="200" w:firstLine="480"/>
        <w:rPr>
          <w:sz w:val="24"/>
        </w:rPr>
      </w:pPr>
      <w:r w:rsidRPr="00E67914">
        <w:rPr>
          <w:sz w:val="24"/>
        </w:rPr>
        <w:t>（一）监测物种类别</w:t>
      </w:r>
    </w:p>
    <w:p w14:paraId="05180C17" w14:textId="77777777" w:rsidR="00A54A8A" w:rsidRPr="00E67914" w:rsidRDefault="00000000" w:rsidP="0096107D">
      <w:pPr>
        <w:pStyle w:val="41"/>
        <w:spacing w:line="480" w:lineRule="exact"/>
        <w:ind w:firstLineChars="200" w:firstLine="480"/>
        <w:rPr>
          <w:sz w:val="24"/>
        </w:rPr>
      </w:pPr>
      <w:r w:rsidRPr="00E67914">
        <w:rPr>
          <w:sz w:val="24"/>
        </w:rPr>
        <w:t>1</w:t>
      </w:r>
      <w:r w:rsidRPr="00E67914">
        <w:rPr>
          <w:sz w:val="24"/>
        </w:rPr>
        <w:t>、陆生植物</w:t>
      </w:r>
    </w:p>
    <w:p w14:paraId="06947C97" w14:textId="77777777" w:rsidR="00A54A8A" w:rsidRPr="00E67914" w:rsidRDefault="00000000" w:rsidP="0096107D">
      <w:pPr>
        <w:pStyle w:val="41"/>
        <w:spacing w:line="480" w:lineRule="exact"/>
        <w:ind w:firstLineChars="200" w:firstLine="480"/>
        <w:rPr>
          <w:sz w:val="24"/>
        </w:rPr>
      </w:pPr>
      <w:r w:rsidRPr="00E67914">
        <w:rPr>
          <w:sz w:val="24"/>
        </w:rPr>
        <w:t>监测陆生植被物种主要为评价区的马尾松、柏木、麻栎、青冈、栓皮栎为主的乔木林植被，野桐、盐肤木、马桑、黄荆、火棘、芒、白茅、蕨、芒萁为主的灌草丛植被。</w:t>
      </w:r>
    </w:p>
    <w:p w14:paraId="097C631B" w14:textId="77777777" w:rsidR="00A54A8A" w:rsidRPr="00E67914" w:rsidRDefault="00000000" w:rsidP="0096107D">
      <w:pPr>
        <w:pStyle w:val="41"/>
        <w:spacing w:line="480" w:lineRule="exact"/>
        <w:ind w:firstLineChars="200" w:firstLine="480"/>
        <w:rPr>
          <w:sz w:val="24"/>
        </w:rPr>
      </w:pPr>
      <w:r w:rsidRPr="00E67914">
        <w:rPr>
          <w:sz w:val="24"/>
        </w:rPr>
        <w:t>2</w:t>
      </w:r>
      <w:r w:rsidRPr="00E67914">
        <w:rPr>
          <w:sz w:val="24"/>
        </w:rPr>
        <w:t>、陆生动物</w:t>
      </w:r>
    </w:p>
    <w:p w14:paraId="03F2C9C5" w14:textId="77777777" w:rsidR="00A54A8A" w:rsidRPr="00E67914" w:rsidRDefault="00000000" w:rsidP="0096107D">
      <w:pPr>
        <w:pStyle w:val="41"/>
        <w:spacing w:line="480" w:lineRule="exact"/>
        <w:ind w:firstLineChars="200" w:firstLine="480"/>
        <w:rPr>
          <w:sz w:val="24"/>
        </w:rPr>
      </w:pPr>
      <w:r w:rsidRPr="00E67914">
        <w:rPr>
          <w:sz w:val="24"/>
        </w:rPr>
        <w:t>两栖类主要为：常见的蛙类和蟾蜍类。</w:t>
      </w:r>
    </w:p>
    <w:p w14:paraId="14333E92" w14:textId="77777777" w:rsidR="00A54A8A" w:rsidRPr="00E67914" w:rsidRDefault="00000000" w:rsidP="0096107D">
      <w:pPr>
        <w:pStyle w:val="41"/>
        <w:spacing w:line="480" w:lineRule="exact"/>
        <w:ind w:firstLineChars="200" w:firstLine="480"/>
        <w:rPr>
          <w:sz w:val="24"/>
        </w:rPr>
      </w:pPr>
      <w:r w:rsidRPr="00E67914">
        <w:rPr>
          <w:sz w:val="24"/>
        </w:rPr>
        <w:t>爬行类主要为：蜥蜴类、蛇类和壁虎类。</w:t>
      </w:r>
    </w:p>
    <w:p w14:paraId="0CF41CC4" w14:textId="77777777" w:rsidR="00A54A8A" w:rsidRPr="00E67914" w:rsidRDefault="00000000" w:rsidP="0096107D">
      <w:pPr>
        <w:pStyle w:val="41"/>
        <w:spacing w:line="480" w:lineRule="exact"/>
        <w:ind w:firstLineChars="200" w:firstLine="480"/>
        <w:rPr>
          <w:sz w:val="24"/>
        </w:rPr>
      </w:pPr>
      <w:r w:rsidRPr="00E67914">
        <w:rPr>
          <w:sz w:val="24"/>
        </w:rPr>
        <w:t>鸟类主要为：雉科、鸦科、雀科、鹭科、雉科及燕科的鸟类。</w:t>
      </w:r>
    </w:p>
    <w:p w14:paraId="0C0047C0" w14:textId="77777777" w:rsidR="00A54A8A" w:rsidRPr="00E67914" w:rsidRDefault="00000000" w:rsidP="0096107D">
      <w:pPr>
        <w:pStyle w:val="41"/>
        <w:spacing w:line="480" w:lineRule="exact"/>
        <w:ind w:firstLineChars="200" w:firstLine="480"/>
        <w:rPr>
          <w:sz w:val="24"/>
        </w:rPr>
      </w:pPr>
      <w:r w:rsidRPr="00E67914">
        <w:rPr>
          <w:sz w:val="24"/>
        </w:rPr>
        <w:t>兽类主要为：食肉目鼬科，啮齿目鼠科，兔形目兔科的中小型兽类。</w:t>
      </w:r>
    </w:p>
    <w:p w14:paraId="01CD3B3D" w14:textId="77777777" w:rsidR="00A54A8A" w:rsidRPr="00E67914" w:rsidRDefault="00000000" w:rsidP="0096107D">
      <w:pPr>
        <w:pStyle w:val="41"/>
        <w:spacing w:line="480" w:lineRule="exact"/>
        <w:ind w:firstLineChars="200" w:firstLine="480"/>
        <w:rPr>
          <w:sz w:val="24"/>
        </w:rPr>
      </w:pPr>
      <w:r w:rsidRPr="00E67914">
        <w:rPr>
          <w:sz w:val="24"/>
        </w:rPr>
        <w:t>3</w:t>
      </w:r>
      <w:r w:rsidRPr="00E67914">
        <w:rPr>
          <w:sz w:val="24"/>
        </w:rPr>
        <w:t>、重点保护陆生生物</w:t>
      </w:r>
    </w:p>
    <w:p w14:paraId="39664643" w14:textId="77777777" w:rsidR="00A54A8A" w:rsidRPr="00E67914" w:rsidRDefault="00000000" w:rsidP="0096107D">
      <w:pPr>
        <w:pStyle w:val="41"/>
        <w:spacing w:line="480" w:lineRule="exact"/>
        <w:ind w:firstLineChars="200" w:firstLine="480"/>
        <w:rPr>
          <w:sz w:val="24"/>
        </w:rPr>
      </w:pPr>
      <w:r w:rsidRPr="00E67914">
        <w:rPr>
          <w:sz w:val="24"/>
        </w:rPr>
        <w:t>保护动物：偶尔出现在评价区上空的国家二级保护鸟类鸢、红隼。</w:t>
      </w:r>
    </w:p>
    <w:p w14:paraId="23A24D8A" w14:textId="77777777" w:rsidR="00A54A8A" w:rsidRPr="00E67914" w:rsidRDefault="00000000" w:rsidP="0096107D">
      <w:pPr>
        <w:pStyle w:val="41"/>
        <w:spacing w:line="480" w:lineRule="exact"/>
        <w:ind w:firstLineChars="200" w:firstLine="480"/>
        <w:rPr>
          <w:sz w:val="24"/>
        </w:rPr>
      </w:pPr>
      <w:r w:rsidRPr="00E67914">
        <w:rPr>
          <w:sz w:val="24"/>
        </w:rPr>
        <w:t>（二）监测范围</w:t>
      </w:r>
    </w:p>
    <w:p w14:paraId="24855F68" w14:textId="77777777" w:rsidR="00A54A8A" w:rsidRPr="00E67914" w:rsidRDefault="00000000" w:rsidP="0096107D">
      <w:pPr>
        <w:pStyle w:val="41"/>
        <w:spacing w:line="480" w:lineRule="exact"/>
        <w:ind w:firstLineChars="200" w:firstLine="480"/>
        <w:rPr>
          <w:sz w:val="24"/>
        </w:rPr>
      </w:pPr>
      <w:r w:rsidRPr="00E67914">
        <w:rPr>
          <w:sz w:val="24"/>
        </w:rPr>
        <w:t>包括陆生植被监测、植被恢复效果监测、陆生动物监测。</w:t>
      </w:r>
    </w:p>
    <w:p w14:paraId="2BA9DC12" w14:textId="77777777" w:rsidR="00A54A8A" w:rsidRPr="00E67914" w:rsidRDefault="00000000" w:rsidP="0096107D">
      <w:pPr>
        <w:pStyle w:val="41"/>
        <w:spacing w:line="480" w:lineRule="exact"/>
        <w:ind w:firstLineChars="200" w:firstLine="480"/>
        <w:rPr>
          <w:sz w:val="24"/>
        </w:rPr>
      </w:pPr>
      <w:r w:rsidRPr="00E67914">
        <w:rPr>
          <w:sz w:val="24"/>
        </w:rPr>
        <w:t>1</w:t>
      </w:r>
      <w:r w:rsidRPr="00E67914">
        <w:rPr>
          <w:sz w:val="24"/>
        </w:rPr>
        <w:t>、陆生植被监测</w:t>
      </w:r>
      <w:r w:rsidRPr="00E67914">
        <w:rPr>
          <w:sz w:val="24"/>
        </w:rPr>
        <w:t xml:space="preserve"> </w:t>
      </w:r>
    </w:p>
    <w:p w14:paraId="2E6C565D" w14:textId="77777777" w:rsidR="00A54A8A" w:rsidRPr="00E67914" w:rsidRDefault="00000000" w:rsidP="0096107D">
      <w:pPr>
        <w:pStyle w:val="41"/>
        <w:spacing w:line="480" w:lineRule="exact"/>
        <w:ind w:firstLineChars="200" w:firstLine="480"/>
        <w:rPr>
          <w:sz w:val="24"/>
        </w:rPr>
      </w:pPr>
      <w:r w:rsidRPr="00E67914">
        <w:rPr>
          <w:sz w:val="24"/>
        </w:rPr>
        <w:t>监测内容及方法：根据陆生生物组成设置固定样地</w:t>
      </w:r>
      <w:r w:rsidRPr="00E67914">
        <w:rPr>
          <w:sz w:val="24"/>
        </w:rPr>
        <w:t>5</w:t>
      </w:r>
      <w:r w:rsidRPr="00E67914">
        <w:rPr>
          <w:sz w:val="24"/>
        </w:rPr>
        <w:t>个，根据各样线群落面积确定设置的样地数量，着重调查植物的水平分布变化趋势。此外，监测过程中应密切关注外来入侵种的种类、数量、入侵速度。</w:t>
      </w:r>
      <w:r w:rsidRPr="00E67914">
        <w:rPr>
          <w:sz w:val="24"/>
        </w:rPr>
        <w:t xml:space="preserve"> </w:t>
      </w:r>
    </w:p>
    <w:p w14:paraId="0D39EDA1" w14:textId="77777777" w:rsidR="00A54A8A" w:rsidRPr="00E67914" w:rsidRDefault="00000000" w:rsidP="0096107D">
      <w:pPr>
        <w:pStyle w:val="41"/>
        <w:spacing w:line="480" w:lineRule="exact"/>
        <w:ind w:firstLineChars="200" w:firstLine="480"/>
        <w:rPr>
          <w:sz w:val="24"/>
        </w:rPr>
      </w:pPr>
      <w:r w:rsidRPr="00E67914">
        <w:rPr>
          <w:sz w:val="24"/>
        </w:rPr>
        <w:t>监测时间及频次：常规监测。</w:t>
      </w:r>
      <w:r w:rsidRPr="00E67914">
        <w:rPr>
          <w:sz w:val="24"/>
        </w:rPr>
        <w:t xml:space="preserve"> </w:t>
      </w:r>
    </w:p>
    <w:p w14:paraId="0DC2124A" w14:textId="575CEBDB" w:rsidR="00A54A8A" w:rsidRPr="00E67914" w:rsidRDefault="00243180" w:rsidP="0096107D">
      <w:pPr>
        <w:pStyle w:val="41"/>
        <w:spacing w:line="480" w:lineRule="exact"/>
        <w:ind w:firstLineChars="200" w:firstLine="480"/>
        <w:rPr>
          <w:sz w:val="24"/>
        </w:rPr>
      </w:pPr>
      <w:r w:rsidRPr="00E67914">
        <w:rPr>
          <w:sz w:val="24"/>
        </w:rPr>
        <w:t>2</w:t>
      </w:r>
      <w:r w:rsidRPr="00E67914">
        <w:rPr>
          <w:sz w:val="24"/>
        </w:rPr>
        <w:t>、陆生动物监测</w:t>
      </w:r>
      <w:r w:rsidRPr="00E67914">
        <w:rPr>
          <w:sz w:val="24"/>
        </w:rPr>
        <w:t xml:space="preserve"> </w:t>
      </w:r>
    </w:p>
    <w:p w14:paraId="69444BE4" w14:textId="7192862F" w:rsidR="00A54A8A" w:rsidRPr="00E67914" w:rsidRDefault="00000000" w:rsidP="0096107D">
      <w:pPr>
        <w:pStyle w:val="41"/>
        <w:spacing w:line="480" w:lineRule="exact"/>
        <w:ind w:firstLineChars="200" w:firstLine="480"/>
        <w:rPr>
          <w:sz w:val="24"/>
        </w:rPr>
      </w:pPr>
      <w:r w:rsidRPr="00E67914">
        <w:rPr>
          <w:sz w:val="24"/>
        </w:rPr>
        <w:t>监测内容及方法：根据陆生生物组成设置固定样线</w:t>
      </w:r>
      <w:r w:rsidRPr="00E67914">
        <w:rPr>
          <w:sz w:val="24"/>
        </w:rPr>
        <w:t>3-4</w:t>
      </w:r>
      <w:r w:rsidRPr="00E67914">
        <w:rPr>
          <w:sz w:val="24"/>
        </w:rPr>
        <w:t>条，统计兽类、鸟类、</w:t>
      </w:r>
      <w:r w:rsidRPr="00E67914">
        <w:rPr>
          <w:sz w:val="24"/>
        </w:rPr>
        <w:lastRenderedPageBreak/>
        <w:t>两栖类、爬行类的物种出现率。还可进行民间访问和市场调查来了解野生动物的情况。</w:t>
      </w:r>
    </w:p>
    <w:p w14:paraId="7C204DB4" w14:textId="77777777" w:rsidR="00A54A8A" w:rsidRPr="00E67914" w:rsidRDefault="00000000" w:rsidP="0096107D">
      <w:pPr>
        <w:pStyle w:val="41"/>
        <w:spacing w:line="480" w:lineRule="exact"/>
        <w:ind w:firstLineChars="200" w:firstLine="480"/>
        <w:rPr>
          <w:sz w:val="24"/>
        </w:rPr>
      </w:pPr>
      <w:r w:rsidRPr="00E67914">
        <w:rPr>
          <w:sz w:val="24"/>
        </w:rPr>
        <w:t>监测频次：常规监测。</w:t>
      </w:r>
    </w:p>
    <w:p w14:paraId="7E51F776" w14:textId="77777777" w:rsidR="00A54A8A" w:rsidRPr="00E67914" w:rsidRDefault="00000000" w:rsidP="0096107D">
      <w:pPr>
        <w:pStyle w:val="2"/>
        <w:ind w:firstLine="480"/>
        <w:rPr>
          <w:szCs w:val="24"/>
          <w:lang w:eastAsia="zh-CN"/>
        </w:rPr>
      </w:pPr>
      <w:bookmarkStart w:id="308" w:name="8.2.2监测实施单位"/>
      <w:bookmarkStart w:id="309" w:name="_bookmark41"/>
      <w:bookmarkStart w:id="310" w:name="8.3排污口规范化管理"/>
      <w:bookmarkStart w:id="311" w:name="_Toc148654255"/>
      <w:bookmarkEnd w:id="308"/>
      <w:bookmarkEnd w:id="309"/>
      <w:bookmarkEnd w:id="310"/>
      <w:r w:rsidRPr="00E67914">
        <w:rPr>
          <w:szCs w:val="24"/>
          <w:lang w:eastAsia="zh-CN"/>
        </w:rPr>
        <w:t>10.4</w:t>
      </w:r>
      <w:r w:rsidRPr="00E67914">
        <w:rPr>
          <w:szCs w:val="24"/>
          <w:lang w:eastAsia="zh-CN"/>
        </w:rPr>
        <w:t>排污许可申请</w:t>
      </w:r>
      <w:bookmarkEnd w:id="311"/>
    </w:p>
    <w:p w14:paraId="298F5A7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本项目为天然气勘探试采项目，根据《固定污染源排污许可分类管理名录》（</w:t>
      </w:r>
      <w:r w:rsidRPr="00E67914">
        <w:rPr>
          <w:rFonts w:ascii="Times New Roman" w:hAnsi="Times New Roman"/>
          <w:bCs/>
          <w:kern w:val="2"/>
          <w:lang w:eastAsia="zh-CN"/>
        </w:rPr>
        <w:t>2019</w:t>
      </w:r>
      <w:r w:rsidRPr="00E67914">
        <w:rPr>
          <w:rFonts w:ascii="Times New Roman" w:hAnsi="Times New Roman"/>
          <w:bCs/>
          <w:kern w:val="2"/>
          <w:lang w:eastAsia="zh-CN"/>
        </w:rPr>
        <w:t>年版）可知，本项目为登记管理的行业，因此不需申请排污许可证，只需登记备案。</w:t>
      </w:r>
    </w:p>
    <w:p w14:paraId="7B8F212F" w14:textId="77777777" w:rsidR="00A54A8A" w:rsidRPr="00E67914" w:rsidRDefault="00000000">
      <w:pPr>
        <w:pStyle w:val="2"/>
        <w:ind w:firstLine="480"/>
        <w:rPr>
          <w:szCs w:val="24"/>
          <w:lang w:eastAsia="zh-CN"/>
        </w:rPr>
      </w:pPr>
      <w:bookmarkStart w:id="312" w:name="8.4环境监理"/>
      <w:bookmarkStart w:id="313" w:name="8.5环保设施竣工验收"/>
      <w:bookmarkStart w:id="314" w:name="_bookmark43"/>
      <w:bookmarkStart w:id="315" w:name="_Toc148654256"/>
      <w:bookmarkEnd w:id="312"/>
      <w:bookmarkEnd w:id="313"/>
      <w:bookmarkEnd w:id="314"/>
      <w:r w:rsidRPr="00E67914">
        <w:rPr>
          <w:szCs w:val="24"/>
          <w:lang w:eastAsia="zh-CN"/>
        </w:rPr>
        <w:t>10.5</w:t>
      </w:r>
      <w:r w:rsidRPr="00E67914">
        <w:rPr>
          <w:szCs w:val="24"/>
          <w:lang w:eastAsia="zh-CN"/>
        </w:rPr>
        <w:t>环保设施竣工验收</w:t>
      </w:r>
      <w:bookmarkEnd w:id="315"/>
    </w:p>
    <w:p w14:paraId="3CF8F59F"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为加强建设项目竣工环境保护验收管理，监督落实环境保护设施与建设项目主体工程同时设计、同时投产、同时使用，防治环境污染，根据《建设项目竣工环境保护验收暂行办法》（国环规环评〔</w:t>
      </w:r>
      <w:r w:rsidRPr="00E67914">
        <w:rPr>
          <w:rFonts w:ascii="Times New Roman" w:hAnsi="Times New Roman"/>
          <w:bCs/>
          <w:kern w:val="2"/>
          <w:lang w:eastAsia="zh-CN"/>
        </w:rPr>
        <w:t>2017</w:t>
      </w:r>
      <w:r w:rsidRPr="00E67914">
        <w:rPr>
          <w:rFonts w:ascii="Times New Roman" w:hAnsi="Times New Roman"/>
          <w:bCs/>
          <w:kern w:val="2"/>
          <w:lang w:eastAsia="zh-CN"/>
        </w:rPr>
        <w:t>〕</w:t>
      </w:r>
      <w:r w:rsidRPr="00E67914">
        <w:rPr>
          <w:rFonts w:ascii="Times New Roman" w:hAnsi="Times New Roman"/>
          <w:bCs/>
          <w:kern w:val="2"/>
          <w:lang w:eastAsia="zh-CN"/>
        </w:rPr>
        <w:t>4</w:t>
      </w:r>
      <w:r w:rsidRPr="00E67914">
        <w:rPr>
          <w:rFonts w:ascii="Times New Roman" w:hAnsi="Times New Roman"/>
          <w:bCs/>
          <w:kern w:val="2"/>
          <w:lang w:eastAsia="zh-CN"/>
        </w:rPr>
        <w:t>号）等相关文件要求，建设单位应积极自主开展环境保护验收。</w:t>
      </w:r>
    </w:p>
    <w:p w14:paraId="35F39DD1"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10.5-1  </w:t>
      </w:r>
      <w:r w:rsidRPr="00E67914">
        <w:rPr>
          <w:rFonts w:ascii="Times New Roman" w:eastAsia="黑体" w:hAnsi="Times New Roman"/>
          <w:sz w:val="21"/>
          <w:szCs w:val="21"/>
          <w:lang w:eastAsia="zh-CN"/>
        </w:rPr>
        <w:t>施工期竣工环保验收措施及要求一览表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553"/>
        <w:gridCol w:w="1264"/>
        <w:gridCol w:w="5555"/>
      </w:tblGrid>
      <w:tr w:rsidR="002662E3" w:rsidRPr="00E67914" w14:paraId="7B095DC4" w14:textId="77777777">
        <w:trPr>
          <w:jc w:val="center"/>
        </w:trPr>
        <w:tc>
          <w:tcPr>
            <w:tcW w:w="850" w:type="dxa"/>
            <w:vAlign w:val="center"/>
          </w:tcPr>
          <w:p w14:paraId="5DFA3896"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分项</w:t>
            </w:r>
          </w:p>
        </w:tc>
        <w:tc>
          <w:tcPr>
            <w:tcW w:w="1817" w:type="dxa"/>
            <w:gridSpan w:val="2"/>
            <w:vAlign w:val="center"/>
          </w:tcPr>
          <w:p w14:paraId="6359AE47"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验收项目及位置</w:t>
            </w:r>
          </w:p>
        </w:tc>
        <w:tc>
          <w:tcPr>
            <w:tcW w:w="5555" w:type="dxa"/>
            <w:vAlign w:val="center"/>
          </w:tcPr>
          <w:p w14:paraId="027FC731"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b/>
                <w:bCs/>
                <w:sz w:val="21"/>
                <w:szCs w:val="21"/>
              </w:rPr>
              <w:t>验收指标及要求</w:t>
            </w:r>
          </w:p>
        </w:tc>
      </w:tr>
      <w:tr w:rsidR="002662E3" w:rsidRPr="00E67914" w14:paraId="2C95D6E3" w14:textId="77777777">
        <w:trPr>
          <w:jc w:val="center"/>
        </w:trPr>
        <w:tc>
          <w:tcPr>
            <w:tcW w:w="850" w:type="dxa"/>
            <w:vMerge w:val="restart"/>
            <w:vAlign w:val="center"/>
          </w:tcPr>
          <w:p w14:paraId="315F2689"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环境</w:t>
            </w:r>
            <w:r w:rsidRPr="00E67914">
              <w:rPr>
                <w:rFonts w:ascii="Times New Roman" w:hAnsi="Times New Roman"/>
                <w:spacing w:val="-103"/>
                <w:sz w:val="21"/>
                <w:szCs w:val="21"/>
              </w:rPr>
              <w:t xml:space="preserve"> </w:t>
            </w:r>
            <w:r w:rsidRPr="00E67914">
              <w:rPr>
                <w:rFonts w:ascii="Times New Roman" w:hAnsi="Times New Roman"/>
                <w:sz w:val="21"/>
                <w:szCs w:val="21"/>
              </w:rPr>
              <w:t>管理</w:t>
            </w:r>
          </w:p>
        </w:tc>
        <w:tc>
          <w:tcPr>
            <w:tcW w:w="1817" w:type="dxa"/>
            <w:gridSpan w:val="2"/>
            <w:vAlign w:val="center"/>
          </w:tcPr>
          <w:p w14:paraId="2A5629C4"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环境管理制度</w:t>
            </w:r>
          </w:p>
        </w:tc>
        <w:tc>
          <w:tcPr>
            <w:tcW w:w="5555" w:type="dxa"/>
            <w:vAlign w:val="center"/>
          </w:tcPr>
          <w:p w14:paraId="468D0F6E"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8"/>
                <w:sz w:val="21"/>
                <w:szCs w:val="21"/>
                <w:lang w:eastAsia="zh-CN"/>
              </w:rPr>
              <w:t>具有环保机构，环保资料和档案齐全。建立各类废水、岩屑、</w:t>
            </w:r>
            <w:r w:rsidRPr="00E67914">
              <w:rPr>
                <w:rFonts w:ascii="Times New Roman" w:hAnsi="Times New Roman"/>
                <w:spacing w:val="-58"/>
                <w:sz w:val="21"/>
                <w:szCs w:val="21"/>
                <w:lang w:eastAsia="zh-CN"/>
              </w:rPr>
              <w:t xml:space="preserve"> </w:t>
            </w:r>
            <w:r w:rsidRPr="00E67914">
              <w:rPr>
                <w:rFonts w:ascii="Times New Roman" w:hAnsi="Times New Roman"/>
                <w:sz w:val="21"/>
                <w:szCs w:val="21"/>
                <w:lang w:eastAsia="zh-CN"/>
              </w:rPr>
              <w:t>泥浆等转移联单制度，提供完整的交接清单资料备查</w:t>
            </w:r>
          </w:p>
        </w:tc>
      </w:tr>
      <w:tr w:rsidR="002662E3" w:rsidRPr="00E67914" w14:paraId="60A5E26E" w14:textId="77777777">
        <w:trPr>
          <w:jc w:val="center"/>
        </w:trPr>
        <w:tc>
          <w:tcPr>
            <w:tcW w:w="850" w:type="dxa"/>
            <w:vMerge/>
            <w:vAlign w:val="center"/>
          </w:tcPr>
          <w:p w14:paraId="0B6199D6" w14:textId="77777777" w:rsidR="00A54A8A" w:rsidRPr="00E67914" w:rsidRDefault="00A54A8A">
            <w:pPr>
              <w:adjustRightInd w:val="0"/>
              <w:snapToGrid w:val="0"/>
              <w:jc w:val="center"/>
              <w:rPr>
                <w:rFonts w:ascii="Times New Roman" w:hAnsi="Times New Roman"/>
                <w:lang w:eastAsia="zh-CN"/>
              </w:rPr>
            </w:pPr>
          </w:p>
        </w:tc>
        <w:tc>
          <w:tcPr>
            <w:tcW w:w="1817" w:type="dxa"/>
            <w:gridSpan w:val="2"/>
            <w:vAlign w:val="center"/>
          </w:tcPr>
          <w:p w14:paraId="3A575247"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环境风险管理</w:t>
            </w:r>
          </w:p>
        </w:tc>
        <w:tc>
          <w:tcPr>
            <w:tcW w:w="5555" w:type="dxa"/>
            <w:vAlign w:val="center"/>
          </w:tcPr>
          <w:p w14:paraId="42FC35B9"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3"/>
                <w:sz w:val="21"/>
                <w:szCs w:val="21"/>
                <w:lang w:eastAsia="zh-CN"/>
              </w:rPr>
              <w:t>具备符合行业规范和环评要求的环境风险应急预案并定期</w:t>
            </w:r>
            <w:r w:rsidRPr="00E67914">
              <w:rPr>
                <w:rFonts w:ascii="Times New Roman" w:hAnsi="Times New Roman"/>
                <w:spacing w:val="-2"/>
                <w:sz w:val="21"/>
                <w:szCs w:val="21"/>
                <w:lang w:eastAsia="zh-CN"/>
              </w:rPr>
              <w:t>培训、演练，建立与当地村、乡镇、县相关部门联动机制</w:t>
            </w:r>
          </w:p>
        </w:tc>
      </w:tr>
      <w:tr w:rsidR="002662E3" w:rsidRPr="00E67914" w14:paraId="17744227" w14:textId="77777777">
        <w:trPr>
          <w:jc w:val="center"/>
        </w:trPr>
        <w:tc>
          <w:tcPr>
            <w:tcW w:w="850" w:type="dxa"/>
            <w:vMerge w:val="restart"/>
            <w:vAlign w:val="center"/>
          </w:tcPr>
          <w:p w14:paraId="56EC8933"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pacing w:val="2"/>
                <w:sz w:val="21"/>
                <w:szCs w:val="21"/>
              </w:rPr>
              <w:t>污染防</w:t>
            </w:r>
            <w:r w:rsidRPr="00E67914">
              <w:rPr>
                <w:rFonts w:ascii="Times New Roman" w:hAnsi="Times New Roman"/>
                <w:sz w:val="21"/>
                <w:szCs w:val="21"/>
              </w:rPr>
              <w:t>治措施</w:t>
            </w:r>
          </w:p>
        </w:tc>
        <w:tc>
          <w:tcPr>
            <w:tcW w:w="553" w:type="dxa"/>
            <w:vMerge w:val="restart"/>
            <w:vAlign w:val="center"/>
          </w:tcPr>
          <w:p w14:paraId="4B58514D"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废水</w:t>
            </w:r>
          </w:p>
        </w:tc>
        <w:tc>
          <w:tcPr>
            <w:tcW w:w="1264" w:type="dxa"/>
            <w:vAlign w:val="center"/>
          </w:tcPr>
          <w:p w14:paraId="1633E6C5"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钻井废水、洗井废水、压裂返排液</w:t>
            </w:r>
          </w:p>
        </w:tc>
        <w:tc>
          <w:tcPr>
            <w:tcW w:w="5555" w:type="dxa"/>
            <w:vAlign w:val="center"/>
          </w:tcPr>
          <w:p w14:paraId="6028C757"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4"/>
                <w:sz w:val="21"/>
                <w:szCs w:val="21"/>
                <w:lang w:eastAsia="zh-CN"/>
              </w:rPr>
              <w:t>钻井废水、洗井废水、压裂返排液收集后及时拉运至有处理</w:t>
            </w:r>
            <w:r w:rsidRPr="00E67914">
              <w:rPr>
                <w:rFonts w:ascii="Times New Roman" w:hAnsi="Times New Roman"/>
                <w:sz w:val="21"/>
                <w:szCs w:val="21"/>
                <w:lang w:eastAsia="zh-CN"/>
              </w:rPr>
              <w:t>能力和处理资质的单位进行处理</w:t>
            </w:r>
          </w:p>
        </w:tc>
      </w:tr>
      <w:tr w:rsidR="002662E3" w:rsidRPr="00E67914" w14:paraId="4A9168F0" w14:textId="77777777">
        <w:trPr>
          <w:jc w:val="center"/>
        </w:trPr>
        <w:tc>
          <w:tcPr>
            <w:tcW w:w="850" w:type="dxa"/>
            <w:vMerge/>
            <w:vAlign w:val="center"/>
          </w:tcPr>
          <w:p w14:paraId="621A9B12" w14:textId="77777777" w:rsidR="00A54A8A" w:rsidRPr="00E67914" w:rsidRDefault="00A54A8A">
            <w:pPr>
              <w:adjustRightInd w:val="0"/>
              <w:snapToGrid w:val="0"/>
              <w:jc w:val="center"/>
              <w:rPr>
                <w:rFonts w:ascii="Times New Roman" w:hAnsi="Times New Roman"/>
                <w:lang w:eastAsia="zh-CN"/>
              </w:rPr>
            </w:pPr>
          </w:p>
        </w:tc>
        <w:tc>
          <w:tcPr>
            <w:tcW w:w="553" w:type="dxa"/>
            <w:vMerge/>
            <w:vAlign w:val="center"/>
          </w:tcPr>
          <w:p w14:paraId="31BBF7A1" w14:textId="77777777" w:rsidR="00A54A8A" w:rsidRPr="00E67914" w:rsidRDefault="00A54A8A">
            <w:pPr>
              <w:adjustRightInd w:val="0"/>
              <w:snapToGrid w:val="0"/>
              <w:jc w:val="center"/>
              <w:rPr>
                <w:rFonts w:ascii="Times New Roman" w:hAnsi="Times New Roman"/>
                <w:lang w:eastAsia="zh-CN"/>
              </w:rPr>
            </w:pPr>
          </w:p>
        </w:tc>
        <w:tc>
          <w:tcPr>
            <w:tcW w:w="1264" w:type="dxa"/>
            <w:vAlign w:val="center"/>
          </w:tcPr>
          <w:p w14:paraId="13179928"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场地雨水</w:t>
            </w:r>
          </w:p>
        </w:tc>
        <w:tc>
          <w:tcPr>
            <w:tcW w:w="5555" w:type="dxa"/>
            <w:vAlign w:val="center"/>
          </w:tcPr>
          <w:p w14:paraId="0B5B59D1"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4"/>
                <w:sz w:val="21"/>
                <w:szCs w:val="21"/>
                <w:lang w:eastAsia="zh-CN"/>
              </w:rPr>
              <w:t>井场清污分流，井场四周设置排水沟，并设置集污坑，雨水</w:t>
            </w:r>
            <w:r w:rsidRPr="00E67914">
              <w:rPr>
                <w:rFonts w:ascii="Times New Roman" w:hAnsi="Times New Roman"/>
                <w:spacing w:val="-2"/>
                <w:sz w:val="21"/>
                <w:szCs w:val="21"/>
                <w:lang w:eastAsia="zh-CN"/>
              </w:rPr>
              <w:t>依靠井站设置的地面坡度，就地散排至排水沟，排出场外。</w:t>
            </w:r>
            <w:r w:rsidRPr="00E67914">
              <w:rPr>
                <w:rFonts w:ascii="Times New Roman" w:hAnsi="Times New Roman"/>
                <w:spacing w:val="-4"/>
                <w:sz w:val="21"/>
                <w:szCs w:val="21"/>
                <w:lang w:eastAsia="zh-CN"/>
              </w:rPr>
              <w:t>若场内雨水被污染流入外环沟，则需封闭外环沟由作业队伍</w:t>
            </w:r>
            <w:r w:rsidRPr="00E67914">
              <w:rPr>
                <w:rFonts w:ascii="Times New Roman" w:hAnsi="Times New Roman"/>
                <w:sz w:val="21"/>
                <w:szCs w:val="21"/>
                <w:lang w:eastAsia="zh-CN"/>
              </w:rPr>
              <w:t>从集水坑抽汲至废水收集罐或放喷池</w:t>
            </w:r>
          </w:p>
        </w:tc>
      </w:tr>
      <w:tr w:rsidR="002662E3" w:rsidRPr="00E67914" w14:paraId="1AD0FE36" w14:textId="77777777">
        <w:trPr>
          <w:jc w:val="center"/>
        </w:trPr>
        <w:tc>
          <w:tcPr>
            <w:tcW w:w="850" w:type="dxa"/>
            <w:vMerge/>
            <w:vAlign w:val="center"/>
          </w:tcPr>
          <w:p w14:paraId="47739A00" w14:textId="77777777" w:rsidR="00A54A8A" w:rsidRPr="00E67914" w:rsidRDefault="00A54A8A">
            <w:pPr>
              <w:adjustRightInd w:val="0"/>
              <w:snapToGrid w:val="0"/>
              <w:jc w:val="center"/>
              <w:rPr>
                <w:rFonts w:ascii="Times New Roman" w:hAnsi="Times New Roman"/>
                <w:lang w:eastAsia="zh-CN"/>
              </w:rPr>
            </w:pPr>
          </w:p>
        </w:tc>
        <w:tc>
          <w:tcPr>
            <w:tcW w:w="553" w:type="dxa"/>
            <w:vMerge/>
            <w:vAlign w:val="center"/>
          </w:tcPr>
          <w:p w14:paraId="38E7D189" w14:textId="77777777" w:rsidR="00A54A8A" w:rsidRPr="00E67914" w:rsidRDefault="00A54A8A">
            <w:pPr>
              <w:adjustRightInd w:val="0"/>
              <w:snapToGrid w:val="0"/>
              <w:jc w:val="center"/>
              <w:rPr>
                <w:rFonts w:ascii="Times New Roman" w:hAnsi="Times New Roman"/>
                <w:lang w:eastAsia="zh-CN"/>
              </w:rPr>
            </w:pPr>
          </w:p>
        </w:tc>
        <w:tc>
          <w:tcPr>
            <w:tcW w:w="1264" w:type="dxa"/>
            <w:vAlign w:val="center"/>
          </w:tcPr>
          <w:p w14:paraId="305E3EF3"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生活污水</w:t>
            </w:r>
          </w:p>
        </w:tc>
        <w:tc>
          <w:tcPr>
            <w:tcW w:w="5555" w:type="dxa"/>
            <w:vAlign w:val="center"/>
          </w:tcPr>
          <w:p w14:paraId="2AA1C360"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4"/>
                <w:sz w:val="21"/>
                <w:szCs w:val="21"/>
                <w:lang w:eastAsia="zh-CN"/>
              </w:rPr>
              <w:t>经生态厕所收集后定期由密闭罐车拉运至周边生活污水处理厂处理</w:t>
            </w:r>
          </w:p>
        </w:tc>
      </w:tr>
      <w:tr w:rsidR="002662E3" w:rsidRPr="00E67914" w14:paraId="30029533" w14:textId="77777777">
        <w:trPr>
          <w:jc w:val="center"/>
        </w:trPr>
        <w:tc>
          <w:tcPr>
            <w:tcW w:w="850" w:type="dxa"/>
            <w:vMerge/>
            <w:vAlign w:val="center"/>
          </w:tcPr>
          <w:p w14:paraId="5EB52A44" w14:textId="77777777" w:rsidR="00A54A8A" w:rsidRPr="00E67914" w:rsidRDefault="00A54A8A">
            <w:pPr>
              <w:adjustRightInd w:val="0"/>
              <w:snapToGrid w:val="0"/>
              <w:jc w:val="center"/>
              <w:rPr>
                <w:rFonts w:ascii="Times New Roman" w:hAnsi="Times New Roman"/>
                <w:lang w:eastAsia="zh-CN"/>
              </w:rPr>
            </w:pPr>
          </w:p>
        </w:tc>
        <w:tc>
          <w:tcPr>
            <w:tcW w:w="1817" w:type="dxa"/>
            <w:gridSpan w:val="2"/>
            <w:vAlign w:val="center"/>
          </w:tcPr>
          <w:p w14:paraId="67236BEF"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地下水</w:t>
            </w:r>
          </w:p>
        </w:tc>
        <w:tc>
          <w:tcPr>
            <w:tcW w:w="5555" w:type="dxa"/>
            <w:vAlign w:val="center"/>
          </w:tcPr>
          <w:p w14:paraId="54F0ABF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按要求分区防渗；按要求进行跟踪监测</w:t>
            </w:r>
          </w:p>
        </w:tc>
      </w:tr>
      <w:tr w:rsidR="002662E3" w:rsidRPr="00E67914" w14:paraId="7429345E" w14:textId="77777777">
        <w:trPr>
          <w:jc w:val="center"/>
        </w:trPr>
        <w:tc>
          <w:tcPr>
            <w:tcW w:w="850" w:type="dxa"/>
            <w:vMerge/>
            <w:vAlign w:val="center"/>
          </w:tcPr>
          <w:p w14:paraId="6E229746" w14:textId="77777777" w:rsidR="00A54A8A" w:rsidRPr="00E67914" w:rsidRDefault="00A54A8A">
            <w:pPr>
              <w:adjustRightInd w:val="0"/>
              <w:snapToGrid w:val="0"/>
              <w:jc w:val="center"/>
              <w:rPr>
                <w:rFonts w:ascii="Times New Roman" w:hAnsi="Times New Roman"/>
                <w:lang w:eastAsia="zh-CN"/>
              </w:rPr>
            </w:pPr>
          </w:p>
        </w:tc>
        <w:tc>
          <w:tcPr>
            <w:tcW w:w="553" w:type="dxa"/>
            <w:vMerge w:val="restart"/>
            <w:vAlign w:val="center"/>
          </w:tcPr>
          <w:p w14:paraId="401238CA"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废气</w:t>
            </w:r>
          </w:p>
        </w:tc>
        <w:tc>
          <w:tcPr>
            <w:tcW w:w="1264" w:type="dxa"/>
            <w:vAlign w:val="center"/>
          </w:tcPr>
          <w:p w14:paraId="161967A4"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施工扬尘</w:t>
            </w:r>
          </w:p>
        </w:tc>
        <w:tc>
          <w:tcPr>
            <w:tcW w:w="5555" w:type="dxa"/>
            <w:vAlign w:val="center"/>
          </w:tcPr>
          <w:p w14:paraId="67A9B247"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2"/>
                <w:sz w:val="21"/>
                <w:szCs w:val="21"/>
                <w:lang w:eastAsia="zh-CN"/>
              </w:rPr>
              <w:t>施工场地围挡、洒水，运输车辆覆盖蓬布，施工营地内设</w:t>
            </w:r>
            <w:r w:rsidRPr="00E67914">
              <w:rPr>
                <w:rFonts w:ascii="Times New Roman" w:eastAsia="Times New Roman" w:hAnsi="Times New Roman"/>
                <w:sz w:val="21"/>
                <w:szCs w:val="21"/>
                <w:lang w:eastAsia="zh-CN"/>
              </w:rPr>
              <w:t>1</w:t>
            </w:r>
            <w:r w:rsidRPr="00E67914">
              <w:rPr>
                <w:rFonts w:ascii="Times New Roman" w:hAnsi="Times New Roman"/>
                <w:sz w:val="21"/>
                <w:szCs w:val="21"/>
                <w:lang w:eastAsia="zh-CN"/>
              </w:rPr>
              <w:t>套车辆冲洗装置</w:t>
            </w:r>
          </w:p>
        </w:tc>
      </w:tr>
      <w:tr w:rsidR="002662E3" w:rsidRPr="00E67914" w14:paraId="34DB75F8" w14:textId="77777777">
        <w:trPr>
          <w:jc w:val="center"/>
        </w:trPr>
        <w:tc>
          <w:tcPr>
            <w:tcW w:w="850" w:type="dxa"/>
            <w:vMerge/>
            <w:vAlign w:val="center"/>
          </w:tcPr>
          <w:p w14:paraId="6BCAED89" w14:textId="77777777" w:rsidR="00A54A8A" w:rsidRPr="00E67914" w:rsidRDefault="00A54A8A">
            <w:pPr>
              <w:adjustRightInd w:val="0"/>
              <w:snapToGrid w:val="0"/>
              <w:jc w:val="center"/>
              <w:rPr>
                <w:rFonts w:ascii="Times New Roman" w:hAnsi="Times New Roman"/>
                <w:lang w:eastAsia="zh-CN"/>
              </w:rPr>
            </w:pPr>
          </w:p>
        </w:tc>
        <w:tc>
          <w:tcPr>
            <w:tcW w:w="553" w:type="dxa"/>
            <w:vMerge/>
            <w:vAlign w:val="center"/>
          </w:tcPr>
          <w:p w14:paraId="6307967B"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264" w:type="dxa"/>
            <w:vAlign w:val="center"/>
          </w:tcPr>
          <w:p w14:paraId="3524D44F" w14:textId="77777777" w:rsidR="00A54A8A" w:rsidRPr="00E67914" w:rsidRDefault="00000000">
            <w:pPr>
              <w:snapToGrid w:val="0"/>
              <w:jc w:val="center"/>
              <w:rPr>
                <w:rFonts w:ascii="Times New Roman" w:hAnsi="Times New Roman"/>
                <w:sz w:val="21"/>
                <w:szCs w:val="21"/>
                <w:lang w:eastAsia="zh-CN"/>
              </w:rPr>
            </w:pPr>
            <w:r w:rsidRPr="00E67914">
              <w:rPr>
                <w:rFonts w:ascii="Times New Roman" w:hAnsi="Times New Roman"/>
                <w:sz w:val="21"/>
                <w:szCs w:val="21"/>
                <w:lang w:eastAsia="zh-CN"/>
              </w:rPr>
              <w:t>备用柴油发电机尾气</w:t>
            </w:r>
          </w:p>
        </w:tc>
        <w:tc>
          <w:tcPr>
            <w:tcW w:w="5555" w:type="dxa"/>
            <w:vAlign w:val="center"/>
          </w:tcPr>
          <w:p w14:paraId="60F1BC8E" w14:textId="77777777" w:rsidR="00A54A8A" w:rsidRPr="00E67914" w:rsidRDefault="00000000">
            <w:pPr>
              <w:pStyle w:val="TableParagraph"/>
              <w:adjustRightInd w:val="0"/>
              <w:snapToGrid w:val="0"/>
              <w:jc w:val="center"/>
              <w:rPr>
                <w:rFonts w:ascii="Times New Roman" w:hAnsi="Times New Roman"/>
                <w:spacing w:val="-2"/>
                <w:sz w:val="21"/>
                <w:szCs w:val="21"/>
                <w:lang w:eastAsia="zh-CN"/>
              </w:rPr>
            </w:pPr>
            <w:r w:rsidRPr="00E67914">
              <w:rPr>
                <w:rFonts w:ascii="Times New Roman" w:hAnsi="Times New Roman"/>
                <w:sz w:val="21"/>
                <w:szCs w:val="21"/>
                <w:lang w:eastAsia="zh-CN"/>
              </w:rPr>
              <w:t>仅在网电无法使用时使用，自带消烟除尘装置处理后</w:t>
            </w:r>
            <w:r w:rsidRPr="00E67914">
              <w:rPr>
                <w:rFonts w:ascii="Times New Roman" w:hAnsi="Times New Roman"/>
                <w:sz w:val="21"/>
                <w:szCs w:val="21"/>
                <w:lang w:eastAsia="zh-CN"/>
              </w:rPr>
              <w:t>6m</w:t>
            </w:r>
            <w:r w:rsidRPr="00E67914">
              <w:rPr>
                <w:rFonts w:ascii="Times New Roman" w:hAnsi="Times New Roman"/>
                <w:sz w:val="21"/>
                <w:szCs w:val="21"/>
                <w:lang w:eastAsia="zh-CN"/>
              </w:rPr>
              <w:t>高排气筒排放</w:t>
            </w:r>
          </w:p>
        </w:tc>
      </w:tr>
      <w:tr w:rsidR="002662E3" w:rsidRPr="00E67914" w14:paraId="3B7C1A40" w14:textId="77777777">
        <w:trPr>
          <w:jc w:val="center"/>
        </w:trPr>
        <w:tc>
          <w:tcPr>
            <w:tcW w:w="850" w:type="dxa"/>
            <w:vMerge/>
            <w:vAlign w:val="center"/>
          </w:tcPr>
          <w:p w14:paraId="62497186" w14:textId="77777777" w:rsidR="00A54A8A" w:rsidRPr="00E67914" w:rsidRDefault="00A54A8A">
            <w:pPr>
              <w:adjustRightInd w:val="0"/>
              <w:snapToGrid w:val="0"/>
              <w:jc w:val="center"/>
              <w:rPr>
                <w:rFonts w:ascii="Times New Roman" w:hAnsi="Times New Roman"/>
                <w:lang w:eastAsia="zh-CN"/>
              </w:rPr>
            </w:pPr>
          </w:p>
        </w:tc>
        <w:tc>
          <w:tcPr>
            <w:tcW w:w="553" w:type="dxa"/>
            <w:vMerge/>
            <w:vAlign w:val="center"/>
          </w:tcPr>
          <w:p w14:paraId="369517FE" w14:textId="77777777" w:rsidR="00A54A8A" w:rsidRPr="00E67914" w:rsidRDefault="00A54A8A">
            <w:pPr>
              <w:adjustRightInd w:val="0"/>
              <w:snapToGrid w:val="0"/>
              <w:jc w:val="center"/>
              <w:rPr>
                <w:rFonts w:ascii="Times New Roman" w:hAnsi="Times New Roman"/>
                <w:lang w:eastAsia="zh-CN"/>
              </w:rPr>
            </w:pPr>
          </w:p>
        </w:tc>
        <w:tc>
          <w:tcPr>
            <w:tcW w:w="1264" w:type="dxa"/>
            <w:vAlign w:val="center"/>
          </w:tcPr>
          <w:p w14:paraId="10C63DD9"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钻井废气、测试</w:t>
            </w:r>
          </w:p>
        </w:tc>
        <w:tc>
          <w:tcPr>
            <w:tcW w:w="5555" w:type="dxa"/>
            <w:vAlign w:val="center"/>
          </w:tcPr>
          <w:p w14:paraId="203F67C1"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4"/>
                <w:sz w:val="21"/>
                <w:szCs w:val="21"/>
                <w:lang w:eastAsia="zh-CN"/>
              </w:rPr>
              <w:t>采用地面灼烧处理，建设放喷设施（套）、放喷池等，无固定、长期污染源，通过区域环境质量监测确保区域环境功能</w:t>
            </w:r>
            <w:r w:rsidRPr="00E67914">
              <w:rPr>
                <w:rFonts w:ascii="Times New Roman" w:hAnsi="Times New Roman"/>
                <w:sz w:val="21"/>
                <w:szCs w:val="21"/>
                <w:lang w:eastAsia="zh-CN"/>
              </w:rPr>
              <w:t>未发生改变</w:t>
            </w:r>
          </w:p>
        </w:tc>
      </w:tr>
      <w:tr w:rsidR="002662E3" w:rsidRPr="00E67914" w14:paraId="2C1A261E" w14:textId="77777777">
        <w:trPr>
          <w:jc w:val="center"/>
        </w:trPr>
        <w:tc>
          <w:tcPr>
            <w:tcW w:w="850" w:type="dxa"/>
            <w:vMerge/>
            <w:vAlign w:val="center"/>
          </w:tcPr>
          <w:p w14:paraId="2307D980" w14:textId="77777777" w:rsidR="00A54A8A" w:rsidRPr="00E67914" w:rsidRDefault="00A54A8A">
            <w:pPr>
              <w:adjustRightInd w:val="0"/>
              <w:snapToGrid w:val="0"/>
              <w:jc w:val="center"/>
              <w:rPr>
                <w:rFonts w:ascii="Times New Roman" w:hAnsi="Times New Roman"/>
                <w:lang w:eastAsia="zh-CN"/>
              </w:rPr>
            </w:pPr>
          </w:p>
        </w:tc>
        <w:tc>
          <w:tcPr>
            <w:tcW w:w="553" w:type="dxa"/>
            <w:vMerge w:val="restart"/>
            <w:vAlign w:val="center"/>
          </w:tcPr>
          <w:p w14:paraId="7F2FCB94"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固废</w:t>
            </w:r>
          </w:p>
        </w:tc>
        <w:tc>
          <w:tcPr>
            <w:tcW w:w="1264" w:type="dxa"/>
            <w:vAlign w:val="center"/>
          </w:tcPr>
          <w:p w14:paraId="67A1E2ED"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水基钻井固废</w:t>
            </w:r>
          </w:p>
        </w:tc>
        <w:tc>
          <w:tcPr>
            <w:tcW w:w="5555" w:type="dxa"/>
            <w:vAlign w:val="center"/>
          </w:tcPr>
          <w:p w14:paraId="488B892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3"/>
                <w:sz w:val="21"/>
                <w:szCs w:val="21"/>
                <w:lang w:eastAsia="zh-CN"/>
              </w:rPr>
              <w:t>经泥浆不落地工艺进行固液分离后定期用密闭罐车及时转运至达州地区环保手续齐全、环保设施稳定运行固废烧结厂进行烧结后综合利用</w:t>
            </w:r>
          </w:p>
        </w:tc>
      </w:tr>
      <w:tr w:rsidR="002662E3" w:rsidRPr="00E67914" w14:paraId="3AABDA81" w14:textId="77777777">
        <w:trPr>
          <w:jc w:val="center"/>
        </w:trPr>
        <w:tc>
          <w:tcPr>
            <w:tcW w:w="850" w:type="dxa"/>
            <w:vMerge/>
            <w:vAlign w:val="center"/>
          </w:tcPr>
          <w:p w14:paraId="02350B2B" w14:textId="77777777" w:rsidR="00A54A8A" w:rsidRPr="00E67914" w:rsidRDefault="00A54A8A">
            <w:pPr>
              <w:adjustRightInd w:val="0"/>
              <w:snapToGrid w:val="0"/>
              <w:jc w:val="center"/>
              <w:rPr>
                <w:rFonts w:ascii="Times New Roman" w:hAnsi="Times New Roman"/>
                <w:lang w:eastAsia="zh-CN"/>
              </w:rPr>
            </w:pPr>
          </w:p>
        </w:tc>
        <w:tc>
          <w:tcPr>
            <w:tcW w:w="553" w:type="dxa"/>
            <w:vMerge/>
            <w:vAlign w:val="center"/>
          </w:tcPr>
          <w:p w14:paraId="47FA21EC" w14:textId="77777777" w:rsidR="00A54A8A" w:rsidRPr="00E67914" w:rsidRDefault="00A54A8A">
            <w:pPr>
              <w:adjustRightInd w:val="0"/>
              <w:snapToGrid w:val="0"/>
              <w:jc w:val="center"/>
              <w:rPr>
                <w:rFonts w:ascii="Times New Roman" w:hAnsi="Times New Roman"/>
                <w:lang w:eastAsia="zh-CN"/>
              </w:rPr>
            </w:pPr>
          </w:p>
        </w:tc>
        <w:tc>
          <w:tcPr>
            <w:tcW w:w="1264" w:type="dxa"/>
            <w:vAlign w:val="center"/>
          </w:tcPr>
          <w:p w14:paraId="61F44881"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生活垃圾</w:t>
            </w:r>
          </w:p>
        </w:tc>
        <w:tc>
          <w:tcPr>
            <w:tcW w:w="5555" w:type="dxa"/>
            <w:vAlign w:val="center"/>
          </w:tcPr>
          <w:p w14:paraId="738E71A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按当地环卫部门要求妥善处理，现场无遗留</w:t>
            </w:r>
          </w:p>
        </w:tc>
      </w:tr>
      <w:tr w:rsidR="002662E3" w:rsidRPr="00E67914" w14:paraId="15AC7A1A" w14:textId="77777777">
        <w:trPr>
          <w:jc w:val="center"/>
        </w:trPr>
        <w:tc>
          <w:tcPr>
            <w:tcW w:w="850" w:type="dxa"/>
            <w:vMerge/>
            <w:vAlign w:val="center"/>
          </w:tcPr>
          <w:p w14:paraId="6DEA6CFD" w14:textId="77777777" w:rsidR="00A54A8A" w:rsidRPr="00E67914" w:rsidRDefault="00A54A8A">
            <w:pPr>
              <w:adjustRightInd w:val="0"/>
              <w:snapToGrid w:val="0"/>
              <w:jc w:val="center"/>
              <w:rPr>
                <w:rFonts w:ascii="Times New Roman" w:hAnsi="Times New Roman"/>
                <w:lang w:eastAsia="zh-CN"/>
              </w:rPr>
            </w:pPr>
          </w:p>
        </w:tc>
        <w:tc>
          <w:tcPr>
            <w:tcW w:w="553" w:type="dxa"/>
            <w:vMerge/>
            <w:vAlign w:val="center"/>
          </w:tcPr>
          <w:p w14:paraId="556415DA" w14:textId="77777777" w:rsidR="00A54A8A" w:rsidRPr="00E67914" w:rsidRDefault="00A54A8A">
            <w:pPr>
              <w:adjustRightInd w:val="0"/>
              <w:snapToGrid w:val="0"/>
              <w:jc w:val="center"/>
              <w:rPr>
                <w:rFonts w:ascii="Times New Roman" w:hAnsi="Times New Roman"/>
                <w:lang w:eastAsia="zh-CN"/>
              </w:rPr>
            </w:pPr>
          </w:p>
        </w:tc>
        <w:tc>
          <w:tcPr>
            <w:tcW w:w="1264" w:type="dxa"/>
            <w:vAlign w:val="center"/>
          </w:tcPr>
          <w:p w14:paraId="7BA7346B"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废包装材料</w:t>
            </w:r>
          </w:p>
        </w:tc>
        <w:tc>
          <w:tcPr>
            <w:tcW w:w="5555" w:type="dxa"/>
            <w:vAlign w:val="center"/>
          </w:tcPr>
          <w:p w14:paraId="5892E01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回收利用或送当地废品回收站，现场无遗留</w:t>
            </w:r>
          </w:p>
        </w:tc>
      </w:tr>
      <w:tr w:rsidR="002662E3" w:rsidRPr="00E67914" w14:paraId="65714A31" w14:textId="77777777">
        <w:trPr>
          <w:jc w:val="center"/>
        </w:trPr>
        <w:tc>
          <w:tcPr>
            <w:tcW w:w="850" w:type="dxa"/>
            <w:vMerge/>
            <w:vAlign w:val="center"/>
          </w:tcPr>
          <w:p w14:paraId="14D4E874" w14:textId="77777777" w:rsidR="00A54A8A" w:rsidRPr="00E67914" w:rsidRDefault="00A54A8A">
            <w:pPr>
              <w:adjustRightInd w:val="0"/>
              <w:snapToGrid w:val="0"/>
              <w:jc w:val="center"/>
              <w:rPr>
                <w:rFonts w:ascii="Times New Roman" w:hAnsi="Times New Roman"/>
                <w:lang w:eastAsia="zh-CN"/>
              </w:rPr>
            </w:pPr>
          </w:p>
        </w:tc>
        <w:tc>
          <w:tcPr>
            <w:tcW w:w="553" w:type="dxa"/>
            <w:vMerge/>
            <w:vAlign w:val="center"/>
          </w:tcPr>
          <w:p w14:paraId="46E655AD" w14:textId="77777777" w:rsidR="00A54A8A" w:rsidRPr="00E67914" w:rsidRDefault="00A54A8A">
            <w:pPr>
              <w:adjustRightInd w:val="0"/>
              <w:snapToGrid w:val="0"/>
              <w:jc w:val="center"/>
              <w:rPr>
                <w:rFonts w:ascii="Times New Roman" w:hAnsi="Times New Roman"/>
                <w:lang w:eastAsia="zh-CN"/>
              </w:rPr>
            </w:pPr>
          </w:p>
        </w:tc>
        <w:tc>
          <w:tcPr>
            <w:tcW w:w="1264" w:type="dxa"/>
            <w:vAlign w:val="center"/>
          </w:tcPr>
          <w:p w14:paraId="0D7195C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rPr>
              <w:t>废油</w:t>
            </w:r>
            <w:r w:rsidRPr="00E67914">
              <w:rPr>
                <w:rFonts w:ascii="Times New Roman" w:hAnsi="Times New Roman"/>
                <w:sz w:val="21"/>
                <w:szCs w:val="21"/>
                <w:lang w:eastAsia="zh-CN"/>
              </w:rPr>
              <w:t>等含油固废</w:t>
            </w:r>
          </w:p>
        </w:tc>
        <w:tc>
          <w:tcPr>
            <w:tcW w:w="5555" w:type="dxa"/>
            <w:vAlign w:val="center"/>
          </w:tcPr>
          <w:p w14:paraId="598BDB84"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4"/>
                <w:sz w:val="21"/>
                <w:szCs w:val="21"/>
                <w:lang w:eastAsia="zh-CN"/>
              </w:rPr>
              <w:t>收集并综合利用，若不能全部回用，剩余废油和废油桶、含油抹布手套一起交有</w:t>
            </w:r>
            <w:r w:rsidRPr="00E67914">
              <w:rPr>
                <w:rFonts w:ascii="Times New Roman" w:hAnsi="Times New Roman"/>
                <w:sz w:val="21"/>
                <w:szCs w:val="21"/>
                <w:lang w:eastAsia="zh-CN"/>
              </w:rPr>
              <w:t>资质的单位进行处理，现场无遗留</w:t>
            </w:r>
          </w:p>
        </w:tc>
      </w:tr>
      <w:tr w:rsidR="002662E3" w:rsidRPr="00E67914" w14:paraId="7B62AE17" w14:textId="77777777">
        <w:trPr>
          <w:jc w:val="center"/>
        </w:trPr>
        <w:tc>
          <w:tcPr>
            <w:tcW w:w="850" w:type="dxa"/>
            <w:vMerge/>
            <w:vAlign w:val="center"/>
          </w:tcPr>
          <w:p w14:paraId="46382194" w14:textId="77777777" w:rsidR="00A54A8A" w:rsidRPr="00E67914" w:rsidRDefault="00A54A8A">
            <w:pPr>
              <w:adjustRightInd w:val="0"/>
              <w:snapToGrid w:val="0"/>
              <w:jc w:val="center"/>
              <w:rPr>
                <w:rFonts w:ascii="Times New Roman" w:hAnsi="Times New Roman"/>
                <w:lang w:eastAsia="zh-CN"/>
              </w:rPr>
            </w:pPr>
          </w:p>
        </w:tc>
        <w:tc>
          <w:tcPr>
            <w:tcW w:w="553" w:type="dxa"/>
            <w:vMerge/>
            <w:vAlign w:val="center"/>
          </w:tcPr>
          <w:p w14:paraId="726CF431" w14:textId="77777777" w:rsidR="00A54A8A" w:rsidRPr="00E67914" w:rsidRDefault="00A54A8A">
            <w:pPr>
              <w:adjustRightInd w:val="0"/>
              <w:snapToGrid w:val="0"/>
              <w:jc w:val="center"/>
              <w:rPr>
                <w:rFonts w:ascii="Times New Roman" w:hAnsi="Times New Roman"/>
                <w:lang w:eastAsia="zh-CN"/>
              </w:rPr>
            </w:pPr>
          </w:p>
        </w:tc>
        <w:tc>
          <w:tcPr>
            <w:tcW w:w="1264" w:type="dxa"/>
            <w:vAlign w:val="center"/>
          </w:tcPr>
          <w:p w14:paraId="58E0FC4D" w14:textId="22D10514" w:rsidR="00A54A8A" w:rsidRPr="00E67914" w:rsidRDefault="00E57FF1">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lang w:eastAsia="zh-CN"/>
              </w:rPr>
              <w:t>建筑垃圾</w:t>
            </w:r>
          </w:p>
        </w:tc>
        <w:tc>
          <w:tcPr>
            <w:tcW w:w="5555" w:type="dxa"/>
            <w:vAlign w:val="center"/>
          </w:tcPr>
          <w:p w14:paraId="4A3C039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4"/>
                <w:sz w:val="21"/>
                <w:szCs w:val="21"/>
                <w:lang w:eastAsia="zh-CN"/>
              </w:rPr>
              <w:t>可回收利用部分收集后回用，剩余不可回收部分依托当地环</w:t>
            </w:r>
            <w:r w:rsidRPr="00E67914">
              <w:rPr>
                <w:rFonts w:ascii="Times New Roman" w:hAnsi="Times New Roman"/>
                <w:sz w:val="21"/>
                <w:szCs w:val="21"/>
                <w:lang w:eastAsia="zh-CN"/>
              </w:rPr>
              <w:t>卫部门有偿清运</w:t>
            </w:r>
          </w:p>
        </w:tc>
      </w:tr>
      <w:tr w:rsidR="002662E3" w:rsidRPr="00E67914" w14:paraId="6648EC89" w14:textId="77777777">
        <w:trPr>
          <w:jc w:val="center"/>
        </w:trPr>
        <w:tc>
          <w:tcPr>
            <w:tcW w:w="850" w:type="dxa"/>
            <w:vMerge/>
            <w:vAlign w:val="center"/>
          </w:tcPr>
          <w:p w14:paraId="13BD9A53" w14:textId="77777777" w:rsidR="00A54A8A" w:rsidRPr="00E67914" w:rsidRDefault="00A54A8A">
            <w:pPr>
              <w:adjustRightInd w:val="0"/>
              <w:snapToGrid w:val="0"/>
              <w:jc w:val="center"/>
              <w:rPr>
                <w:rFonts w:ascii="Times New Roman" w:hAnsi="Times New Roman"/>
                <w:lang w:eastAsia="zh-CN"/>
              </w:rPr>
            </w:pPr>
          </w:p>
        </w:tc>
        <w:tc>
          <w:tcPr>
            <w:tcW w:w="553" w:type="dxa"/>
            <w:vAlign w:val="center"/>
          </w:tcPr>
          <w:p w14:paraId="6BD62044" w14:textId="77777777" w:rsidR="00A54A8A" w:rsidRPr="00E67914" w:rsidRDefault="00000000">
            <w:pPr>
              <w:pStyle w:val="TableParagraph"/>
              <w:adjustRightInd w:val="0"/>
              <w:snapToGrid w:val="0"/>
              <w:jc w:val="center"/>
              <w:rPr>
                <w:rFonts w:ascii="Times New Roman" w:hAnsi="Times New Roman"/>
                <w:sz w:val="21"/>
                <w:szCs w:val="21"/>
              </w:rPr>
            </w:pPr>
            <w:r w:rsidRPr="00E67914">
              <w:rPr>
                <w:rFonts w:ascii="Times New Roman" w:hAnsi="Times New Roman"/>
                <w:sz w:val="21"/>
                <w:szCs w:val="21"/>
              </w:rPr>
              <w:t>噪声</w:t>
            </w:r>
          </w:p>
        </w:tc>
        <w:tc>
          <w:tcPr>
            <w:tcW w:w="1264" w:type="dxa"/>
            <w:vAlign w:val="center"/>
          </w:tcPr>
          <w:p w14:paraId="10A0C0CD"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钻井、压裂及测试放喷噪声</w:t>
            </w:r>
          </w:p>
        </w:tc>
        <w:tc>
          <w:tcPr>
            <w:tcW w:w="5555" w:type="dxa"/>
            <w:vAlign w:val="center"/>
          </w:tcPr>
          <w:p w14:paraId="021121C3"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pacing w:val="-4"/>
                <w:sz w:val="21"/>
                <w:szCs w:val="21"/>
                <w:lang w:eastAsia="zh-CN"/>
              </w:rPr>
              <w:t>备用发电机设置发电机房，采用特殊的减震，并安装吸声材料；为钻机提供动力的柴油机安装消声</w:t>
            </w:r>
            <w:r w:rsidRPr="00E67914">
              <w:rPr>
                <w:rFonts w:ascii="Times New Roman" w:hAnsi="Times New Roman"/>
                <w:spacing w:val="-2"/>
                <w:sz w:val="21"/>
                <w:szCs w:val="21"/>
                <w:lang w:eastAsia="zh-CN"/>
              </w:rPr>
              <w:t>装置和设置减震基础；钻井设备、泥浆泵基础设置减震垫；</w:t>
            </w:r>
            <w:r w:rsidRPr="00E67914">
              <w:rPr>
                <w:rFonts w:ascii="Times New Roman" w:hAnsi="Times New Roman"/>
                <w:spacing w:val="-55"/>
                <w:sz w:val="21"/>
                <w:szCs w:val="21"/>
                <w:lang w:eastAsia="zh-CN"/>
              </w:rPr>
              <w:t xml:space="preserve"> </w:t>
            </w:r>
            <w:r w:rsidRPr="00E67914">
              <w:rPr>
                <w:rFonts w:ascii="Times New Roman" w:hAnsi="Times New Roman"/>
                <w:spacing w:val="-4"/>
                <w:sz w:val="21"/>
                <w:szCs w:val="21"/>
                <w:lang w:eastAsia="zh-CN"/>
              </w:rPr>
              <w:t>空压机和增压机安装在房间内，隔声并安装减震垫层等防治</w:t>
            </w:r>
            <w:r w:rsidRPr="00E67914">
              <w:rPr>
                <w:rFonts w:ascii="Times New Roman" w:hAnsi="Times New Roman"/>
                <w:sz w:val="21"/>
                <w:szCs w:val="21"/>
                <w:lang w:eastAsia="zh-CN"/>
              </w:rPr>
              <w:t>措施，做好沟通协调工作，取得居民谅解，避免噪声扰民和环保投诉</w:t>
            </w:r>
          </w:p>
        </w:tc>
      </w:tr>
      <w:tr w:rsidR="002662E3" w:rsidRPr="00E67914" w14:paraId="3DCF8A21" w14:textId="77777777">
        <w:trPr>
          <w:jc w:val="center"/>
        </w:trPr>
        <w:tc>
          <w:tcPr>
            <w:tcW w:w="850" w:type="dxa"/>
            <w:vAlign w:val="center"/>
          </w:tcPr>
          <w:p w14:paraId="16A7348B"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生态保护措施</w:t>
            </w:r>
          </w:p>
        </w:tc>
        <w:tc>
          <w:tcPr>
            <w:tcW w:w="1817" w:type="dxa"/>
            <w:gridSpan w:val="2"/>
            <w:vAlign w:val="center"/>
          </w:tcPr>
          <w:p w14:paraId="27976AC6"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场地水土流失控制措施</w:t>
            </w:r>
          </w:p>
        </w:tc>
        <w:tc>
          <w:tcPr>
            <w:tcW w:w="5555" w:type="dxa"/>
            <w:vAlign w:val="center"/>
          </w:tcPr>
          <w:p w14:paraId="76E80332"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井场表面铺一层碎石有效地防止雨水冲刷、场地四周修建排</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水沟（已硬化区域除外）；道路沿线修建可靠的护坡、堡坎、排水沟等水保措施</w:t>
            </w:r>
          </w:p>
        </w:tc>
      </w:tr>
    </w:tbl>
    <w:p w14:paraId="5DF2DC4B" w14:textId="77777777" w:rsidR="00A54A8A" w:rsidRPr="00E67914" w:rsidRDefault="00A54A8A">
      <w:pPr>
        <w:pStyle w:val="af"/>
        <w:tabs>
          <w:tab w:val="left" w:pos="863"/>
        </w:tabs>
        <w:spacing w:before="0"/>
        <w:ind w:left="0"/>
        <w:jc w:val="center"/>
        <w:rPr>
          <w:rFonts w:ascii="Times New Roman" w:eastAsia="黑体" w:hAnsi="Times New Roman"/>
          <w:sz w:val="21"/>
          <w:szCs w:val="21"/>
          <w:lang w:eastAsia="zh-CN"/>
        </w:rPr>
      </w:pPr>
    </w:p>
    <w:p w14:paraId="48FA0DF3" w14:textId="77777777" w:rsidR="00A54A8A" w:rsidRPr="00E67914" w:rsidRDefault="00A54A8A">
      <w:pPr>
        <w:pStyle w:val="af"/>
        <w:tabs>
          <w:tab w:val="left" w:pos="863"/>
        </w:tabs>
        <w:spacing w:before="0"/>
        <w:ind w:left="0"/>
        <w:jc w:val="center"/>
        <w:rPr>
          <w:rFonts w:ascii="Times New Roman" w:eastAsia="黑体" w:hAnsi="Times New Roman"/>
          <w:sz w:val="21"/>
          <w:szCs w:val="21"/>
          <w:lang w:eastAsia="zh-CN"/>
        </w:rPr>
      </w:pPr>
    </w:p>
    <w:p w14:paraId="3BF601EA" w14:textId="77777777" w:rsidR="00A54A8A" w:rsidRPr="00E67914" w:rsidRDefault="00000000">
      <w:pPr>
        <w:pStyle w:val="af"/>
        <w:tabs>
          <w:tab w:val="left" w:pos="863"/>
        </w:tabs>
        <w:spacing w:before="0"/>
        <w:ind w:left="0"/>
        <w:jc w:val="center"/>
        <w:rPr>
          <w:rFonts w:ascii="Times New Roman" w:eastAsia="黑体" w:hAnsi="Times New Roman"/>
          <w:sz w:val="21"/>
          <w:szCs w:val="21"/>
          <w:lang w:eastAsia="zh-CN"/>
        </w:rPr>
      </w:pPr>
      <w:r w:rsidRPr="00E67914">
        <w:rPr>
          <w:rFonts w:ascii="Times New Roman" w:eastAsia="黑体" w:hAnsi="Times New Roman"/>
          <w:sz w:val="21"/>
          <w:szCs w:val="21"/>
          <w:lang w:eastAsia="zh-CN"/>
        </w:rPr>
        <w:t>表</w:t>
      </w:r>
      <w:r w:rsidRPr="00E67914">
        <w:rPr>
          <w:rFonts w:ascii="Times New Roman" w:eastAsia="黑体" w:hAnsi="Times New Roman"/>
          <w:sz w:val="21"/>
          <w:szCs w:val="21"/>
          <w:lang w:eastAsia="zh-CN"/>
        </w:rPr>
        <w:t xml:space="preserve">10.5-2  </w:t>
      </w:r>
      <w:r w:rsidRPr="00E67914">
        <w:rPr>
          <w:rFonts w:ascii="Times New Roman" w:eastAsia="黑体" w:hAnsi="Times New Roman"/>
          <w:sz w:val="21"/>
          <w:szCs w:val="21"/>
          <w:lang w:eastAsia="zh-CN"/>
        </w:rPr>
        <w:t>试采期竣工环保验收措施及要求一览表</w:t>
      </w:r>
    </w:p>
    <w:tbl>
      <w:tblPr>
        <w:tblStyle w:val="TableNormal"/>
        <w:tblW w:w="822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67"/>
        <w:gridCol w:w="1406"/>
        <w:gridCol w:w="5545"/>
      </w:tblGrid>
      <w:tr w:rsidR="002662E3" w:rsidRPr="00E67914" w14:paraId="37F4DDCE" w14:textId="77777777" w:rsidTr="007949BF">
        <w:trPr>
          <w:jc w:val="center"/>
        </w:trPr>
        <w:tc>
          <w:tcPr>
            <w:tcW w:w="704" w:type="dxa"/>
            <w:vAlign w:val="center"/>
          </w:tcPr>
          <w:p w14:paraId="67B4314B" w14:textId="77777777" w:rsidR="00A54A8A" w:rsidRPr="00E67914" w:rsidRDefault="00000000">
            <w:pPr>
              <w:pStyle w:val="TableParagraph"/>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分项</w:t>
            </w:r>
          </w:p>
        </w:tc>
        <w:tc>
          <w:tcPr>
            <w:tcW w:w="1973" w:type="dxa"/>
            <w:gridSpan w:val="2"/>
            <w:vAlign w:val="center"/>
          </w:tcPr>
          <w:p w14:paraId="06D3E86F" w14:textId="77777777" w:rsidR="00A54A8A" w:rsidRPr="00E67914" w:rsidRDefault="00000000">
            <w:pPr>
              <w:pStyle w:val="TableParagraph"/>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验收项目及位置</w:t>
            </w:r>
          </w:p>
        </w:tc>
        <w:tc>
          <w:tcPr>
            <w:tcW w:w="5545" w:type="dxa"/>
            <w:vAlign w:val="center"/>
          </w:tcPr>
          <w:p w14:paraId="0A88AA2B" w14:textId="77777777" w:rsidR="00A54A8A" w:rsidRPr="00E67914" w:rsidRDefault="00000000">
            <w:pPr>
              <w:pStyle w:val="TableParagraph"/>
              <w:adjustRightInd w:val="0"/>
              <w:snapToGrid w:val="0"/>
              <w:jc w:val="center"/>
              <w:rPr>
                <w:rFonts w:ascii="Times New Roman" w:hAnsi="Times New Roman"/>
                <w:b/>
                <w:bCs/>
                <w:sz w:val="21"/>
                <w:szCs w:val="21"/>
                <w:lang w:eastAsia="zh-CN"/>
              </w:rPr>
            </w:pPr>
            <w:r w:rsidRPr="00E67914">
              <w:rPr>
                <w:rFonts w:ascii="Times New Roman" w:hAnsi="Times New Roman"/>
                <w:b/>
                <w:bCs/>
                <w:sz w:val="21"/>
                <w:szCs w:val="21"/>
                <w:lang w:eastAsia="zh-CN"/>
              </w:rPr>
              <w:t>验收指标及要求</w:t>
            </w:r>
          </w:p>
        </w:tc>
      </w:tr>
      <w:tr w:rsidR="002662E3" w:rsidRPr="00E67914" w14:paraId="69F7B75A" w14:textId="77777777" w:rsidTr="007949BF">
        <w:trPr>
          <w:jc w:val="center"/>
        </w:trPr>
        <w:tc>
          <w:tcPr>
            <w:tcW w:w="704" w:type="dxa"/>
            <w:vMerge w:val="restart"/>
            <w:vAlign w:val="center"/>
          </w:tcPr>
          <w:p w14:paraId="47EE0BCA"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环境管理</w:t>
            </w:r>
          </w:p>
        </w:tc>
        <w:tc>
          <w:tcPr>
            <w:tcW w:w="1973" w:type="dxa"/>
            <w:gridSpan w:val="2"/>
            <w:vAlign w:val="center"/>
          </w:tcPr>
          <w:p w14:paraId="12472A10"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环境管理制度</w:t>
            </w:r>
          </w:p>
        </w:tc>
        <w:tc>
          <w:tcPr>
            <w:tcW w:w="5545" w:type="dxa"/>
            <w:vAlign w:val="center"/>
          </w:tcPr>
          <w:p w14:paraId="4F256DF2"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具有环保机构，环保资料和档案齐全。</w:t>
            </w:r>
          </w:p>
        </w:tc>
      </w:tr>
      <w:tr w:rsidR="002662E3" w:rsidRPr="00E67914" w14:paraId="53BEE437" w14:textId="77777777" w:rsidTr="007949BF">
        <w:trPr>
          <w:jc w:val="center"/>
        </w:trPr>
        <w:tc>
          <w:tcPr>
            <w:tcW w:w="704" w:type="dxa"/>
            <w:vMerge/>
            <w:vAlign w:val="center"/>
          </w:tcPr>
          <w:p w14:paraId="5F41DAC0"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973" w:type="dxa"/>
            <w:gridSpan w:val="2"/>
            <w:vAlign w:val="center"/>
          </w:tcPr>
          <w:p w14:paraId="7C71D68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环境风险管理</w:t>
            </w:r>
          </w:p>
        </w:tc>
        <w:tc>
          <w:tcPr>
            <w:tcW w:w="5545" w:type="dxa"/>
            <w:vAlign w:val="center"/>
          </w:tcPr>
          <w:p w14:paraId="364016FE" w14:textId="2881747C"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具备符合行业规范和环评要求的环境风险应急预案并定期培训、演练，建立与当地村、乡镇、县相关部门联动机制</w:t>
            </w:r>
          </w:p>
        </w:tc>
      </w:tr>
      <w:tr w:rsidR="007949BF" w:rsidRPr="00E67914" w14:paraId="037E8CB9" w14:textId="77777777" w:rsidTr="007949BF">
        <w:trPr>
          <w:jc w:val="center"/>
        </w:trPr>
        <w:tc>
          <w:tcPr>
            <w:tcW w:w="704" w:type="dxa"/>
            <w:vMerge w:val="restart"/>
            <w:vAlign w:val="center"/>
          </w:tcPr>
          <w:p w14:paraId="5D45F8EE" w14:textId="77777777" w:rsidR="007949BF" w:rsidRPr="00E67914" w:rsidRDefault="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污染防治措施</w:t>
            </w:r>
          </w:p>
        </w:tc>
        <w:tc>
          <w:tcPr>
            <w:tcW w:w="567" w:type="dxa"/>
            <w:vMerge w:val="restart"/>
            <w:vAlign w:val="center"/>
          </w:tcPr>
          <w:p w14:paraId="606BB254" w14:textId="77777777" w:rsidR="007949BF" w:rsidRPr="00E67914" w:rsidRDefault="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废水</w:t>
            </w:r>
          </w:p>
        </w:tc>
        <w:tc>
          <w:tcPr>
            <w:tcW w:w="1406" w:type="dxa"/>
            <w:vAlign w:val="center"/>
          </w:tcPr>
          <w:p w14:paraId="1EA521A0" w14:textId="77777777" w:rsidR="007949BF" w:rsidRPr="00E67914" w:rsidRDefault="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气田水</w:t>
            </w:r>
          </w:p>
        </w:tc>
        <w:tc>
          <w:tcPr>
            <w:tcW w:w="5545" w:type="dxa"/>
            <w:vMerge w:val="restart"/>
            <w:vAlign w:val="center"/>
          </w:tcPr>
          <w:p w14:paraId="4007BA30" w14:textId="39296576" w:rsidR="007949BF" w:rsidRPr="00E67914" w:rsidRDefault="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暂存于放空分液罐、采出水罐后及时通过密闭罐车拉运至赵家坝污水处理站达标后管输至普光</w:t>
            </w:r>
            <w:r w:rsidRPr="00E67914">
              <w:rPr>
                <w:rFonts w:ascii="Times New Roman" w:hAnsi="Times New Roman"/>
                <w:sz w:val="21"/>
                <w:szCs w:val="21"/>
                <w:lang w:eastAsia="zh-CN"/>
              </w:rPr>
              <w:t>11</w:t>
            </w:r>
            <w:r w:rsidRPr="00E67914">
              <w:rPr>
                <w:rFonts w:ascii="Times New Roman" w:hAnsi="Times New Roman"/>
                <w:sz w:val="21"/>
                <w:szCs w:val="21"/>
                <w:lang w:eastAsia="zh-CN"/>
              </w:rPr>
              <w:t>井回注站回注，不排入附近地表水体</w:t>
            </w:r>
          </w:p>
        </w:tc>
      </w:tr>
      <w:tr w:rsidR="007949BF" w:rsidRPr="00E67914" w14:paraId="752E6379" w14:textId="77777777" w:rsidTr="007949BF">
        <w:trPr>
          <w:jc w:val="center"/>
        </w:trPr>
        <w:tc>
          <w:tcPr>
            <w:tcW w:w="704" w:type="dxa"/>
            <w:vMerge/>
            <w:vAlign w:val="center"/>
          </w:tcPr>
          <w:p w14:paraId="24BC5DB0" w14:textId="77777777" w:rsidR="007949BF" w:rsidRPr="00E67914" w:rsidRDefault="007949BF">
            <w:pPr>
              <w:pStyle w:val="TableParagraph"/>
              <w:adjustRightInd w:val="0"/>
              <w:snapToGrid w:val="0"/>
              <w:jc w:val="center"/>
              <w:rPr>
                <w:rFonts w:ascii="Times New Roman" w:hAnsi="Times New Roman"/>
                <w:sz w:val="21"/>
                <w:szCs w:val="21"/>
                <w:lang w:eastAsia="zh-CN"/>
              </w:rPr>
            </w:pPr>
          </w:p>
        </w:tc>
        <w:tc>
          <w:tcPr>
            <w:tcW w:w="567" w:type="dxa"/>
            <w:vMerge/>
            <w:vAlign w:val="center"/>
          </w:tcPr>
          <w:p w14:paraId="6962F7AF" w14:textId="77777777" w:rsidR="007949BF" w:rsidRPr="00E67914" w:rsidRDefault="007949BF">
            <w:pPr>
              <w:pStyle w:val="TableParagraph"/>
              <w:adjustRightInd w:val="0"/>
              <w:snapToGrid w:val="0"/>
              <w:jc w:val="center"/>
              <w:rPr>
                <w:rFonts w:ascii="Times New Roman" w:hAnsi="Times New Roman"/>
                <w:sz w:val="21"/>
                <w:szCs w:val="21"/>
                <w:lang w:eastAsia="zh-CN"/>
              </w:rPr>
            </w:pPr>
          </w:p>
        </w:tc>
        <w:tc>
          <w:tcPr>
            <w:tcW w:w="1406" w:type="dxa"/>
            <w:vAlign w:val="center"/>
          </w:tcPr>
          <w:p w14:paraId="14C4F11C" w14:textId="26DA309C" w:rsidR="007949BF" w:rsidRPr="00E67914" w:rsidRDefault="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非正常工况井下作业废水</w:t>
            </w:r>
          </w:p>
        </w:tc>
        <w:tc>
          <w:tcPr>
            <w:tcW w:w="5545" w:type="dxa"/>
            <w:vMerge/>
            <w:vAlign w:val="center"/>
          </w:tcPr>
          <w:p w14:paraId="62626E4D" w14:textId="77777777" w:rsidR="007949BF" w:rsidRPr="00E67914" w:rsidRDefault="007949BF">
            <w:pPr>
              <w:pStyle w:val="TableParagraph"/>
              <w:adjustRightInd w:val="0"/>
              <w:snapToGrid w:val="0"/>
              <w:jc w:val="center"/>
              <w:rPr>
                <w:rFonts w:ascii="Times New Roman" w:hAnsi="Times New Roman"/>
                <w:sz w:val="21"/>
                <w:szCs w:val="21"/>
                <w:lang w:eastAsia="zh-CN"/>
              </w:rPr>
            </w:pPr>
          </w:p>
        </w:tc>
      </w:tr>
      <w:tr w:rsidR="002662E3" w:rsidRPr="00E67914" w14:paraId="27805A1E" w14:textId="77777777" w:rsidTr="007949BF">
        <w:trPr>
          <w:jc w:val="center"/>
        </w:trPr>
        <w:tc>
          <w:tcPr>
            <w:tcW w:w="704" w:type="dxa"/>
            <w:vMerge/>
            <w:vAlign w:val="center"/>
          </w:tcPr>
          <w:p w14:paraId="28E93B0C"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973" w:type="dxa"/>
            <w:gridSpan w:val="2"/>
            <w:vAlign w:val="center"/>
          </w:tcPr>
          <w:p w14:paraId="168B0AC9"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地下水</w:t>
            </w:r>
          </w:p>
        </w:tc>
        <w:tc>
          <w:tcPr>
            <w:tcW w:w="5545" w:type="dxa"/>
            <w:vAlign w:val="center"/>
          </w:tcPr>
          <w:p w14:paraId="6F29892C"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按要求分区防渗；按要求进行跟踪监测</w:t>
            </w:r>
          </w:p>
        </w:tc>
      </w:tr>
      <w:tr w:rsidR="002662E3" w:rsidRPr="00E67914" w14:paraId="3294EA50" w14:textId="77777777" w:rsidTr="007949BF">
        <w:trPr>
          <w:jc w:val="center"/>
        </w:trPr>
        <w:tc>
          <w:tcPr>
            <w:tcW w:w="704" w:type="dxa"/>
            <w:vMerge/>
            <w:vAlign w:val="center"/>
          </w:tcPr>
          <w:p w14:paraId="020DF191"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567" w:type="dxa"/>
            <w:vMerge w:val="restart"/>
            <w:vAlign w:val="center"/>
          </w:tcPr>
          <w:p w14:paraId="6BF8F1C8"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废气</w:t>
            </w:r>
          </w:p>
        </w:tc>
        <w:tc>
          <w:tcPr>
            <w:tcW w:w="1406" w:type="dxa"/>
            <w:vAlign w:val="center"/>
          </w:tcPr>
          <w:p w14:paraId="48608902" w14:textId="40991742" w:rsidR="00A54A8A" w:rsidRPr="00E67914" w:rsidRDefault="001729B7">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非正常工况放空废气</w:t>
            </w:r>
          </w:p>
        </w:tc>
        <w:tc>
          <w:tcPr>
            <w:tcW w:w="5545" w:type="dxa"/>
            <w:vAlign w:val="center"/>
          </w:tcPr>
          <w:p w14:paraId="3A74EC2A" w14:textId="62C64574" w:rsidR="00A54A8A" w:rsidRPr="00E67914" w:rsidRDefault="001729B7">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井口高压放空至</w:t>
            </w:r>
            <w:r w:rsidRPr="00E67914">
              <w:rPr>
                <w:rFonts w:ascii="Times New Roman" w:hAnsi="Times New Roman"/>
                <w:sz w:val="21"/>
                <w:szCs w:val="21"/>
                <w:lang w:eastAsia="zh-CN"/>
              </w:rPr>
              <w:t>25m</w:t>
            </w:r>
            <w:r w:rsidRPr="00E67914">
              <w:rPr>
                <w:rFonts w:ascii="Times New Roman" w:hAnsi="Times New Roman"/>
                <w:sz w:val="21"/>
                <w:szCs w:val="21"/>
                <w:lang w:eastAsia="zh-CN"/>
              </w:rPr>
              <w:t>高</w:t>
            </w:r>
            <w:r w:rsidR="00FC2143" w:rsidRPr="00E67914">
              <w:rPr>
                <w:rFonts w:ascii="Times New Roman" w:hAnsi="Times New Roman"/>
                <w:sz w:val="21"/>
                <w:szCs w:val="21"/>
                <w:lang w:eastAsia="zh-CN"/>
              </w:rPr>
              <w:t>火炬燃烧排放</w:t>
            </w:r>
            <w:r w:rsidRPr="00E67914">
              <w:rPr>
                <w:rFonts w:ascii="Times New Roman" w:hAnsi="Times New Roman"/>
                <w:sz w:val="21"/>
                <w:szCs w:val="21"/>
                <w:lang w:eastAsia="zh-CN"/>
              </w:rPr>
              <w:t>，</w:t>
            </w:r>
            <w:r w:rsidR="00EE5D65" w:rsidRPr="00E67914">
              <w:rPr>
                <w:rFonts w:ascii="Times New Roman" w:hAnsi="Times New Roman"/>
                <w:sz w:val="21"/>
                <w:szCs w:val="21"/>
                <w:lang w:eastAsia="zh-CN"/>
              </w:rPr>
              <w:t>工艺设备（含油罐）及站内外输管线气体通过</w:t>
            </w:r>
            <w:r w:rsidR="00EE5D65" w:rsidRPr="00E67914">
              <w:rPr>
                <w:rFonts w:ascii="Times New Roman" w:hAnsi="Times New Roman"/>
                <w:sz w:val="21"/>
                <w:szCs w:val="21"/>
                <w:lang w:eastAsia="zh-CN"/>
              </w:rPr>
              <w:t>6m</w:t>
            </w:r>
            <w:r w:rsidR="00EE5D65" w:rsidRPr="00E67914">
              <w:rPr>
                <w:rFonts w:ascii="Times New Roman" w:hAnsi="Times New Roman"/>
                <w:sz w:val="21"/>
                <w:szCs w:val="21"/>
                <w:lang w:eastAsia="zh-CN"/>
              </w:rPr>
              <w:t>放空立管放空</w:t>
            </w:r>
          </w:p>
        </w:tc>
      </w:tr>
      <w:tr w:rsidR="007949BF" w:rsidRPr="00E67914" w14:paraId="1EDBD4A7" w14:textId="77777777" w:rsidTr="007949BF">
        <w:trPr>
          <w:jc w:val="center"/>
        </w:trPr>
        <w:tc>
          <w:tcPr>
            <w:tcW w:w="704" w:type="dxa"/>
            <w:vMerge/>
            <w:vAlign w:val="center"/>
          </w:tcPr>
          <w:p w14:paraId="120C434D" w14:textId="77777777" w:rsidR="007949BF" w:rsidRPr="00E67914" w:rsidRDefault="007949BF">
            <w:pPr>
              <w:pStyle w:val="TableParagraph"/>
              <w:adjustRightInd w:val="0"/>
              <w:snapToGrid w:val="0"/>
              <w:jc w:val="center"/>
              <w:rPr>
                <w:rFonts w:ascii="Times New Roman" w:hAnsi="Times New Roman"/>
                <w:sz w:val="21"/>
                <w:szCs w:val="21"/>
                <w:lang w:eastAsia="zh-CN"/>
              </w:rPr>
            </w:pPr>
          </w:p>
        </w:tc>
        <w:tc>
          <w:tcPr>
            <w:tcW w:w="567" w:type="dxa"/>
            <w:vMerge/>
            <w:vAlign w:val="center"/>
          </w:tcPr>
          <w:p w14:paraId="7B7EAA2D" w14:textId="77777777" w:rsidR="007949BF" w:rsidRPr="00E67914" w:rsidRDefault="007949BF">
            <w:pPr>
              <w:pStyle w:val="TableParagraph"/>
              <w:adjustRightInd w:val="0"/>
              <w:snapToGrid w:val="0"/>
              <w:jc w:val="center"/>
              <w:rPr>
                <w:rFonts w:ascii="Times New Roman" w:hAnsi="Times New Roman"/>
                <w:sz w:val="21"/>
                <w:szCs w:val="21"/>
                <w:lang w:eastAsia="zh-CN"/>
              </w:rPr>
            </w:pPr>
          </w:p>
        </w:tc>
        <w:tc>
          <w:tcPr>
            <w:tcW w:w="1406" w:type="dxa"/>
            <w:vAlign w:val="center"/>
          </w:tcPr>
          <w:p w14:paraId="45536BF2" w14:textId="3BE0C0C6" w:rsidR="007949BF" w:rsidRPr="00E67914" w:rsidRDefault="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火炬及放空系统长明灯燃烧废气</w:t>
            </w:r>
          </w:p>
        </w:tc>
        <w:tc>
          <w:tcPr>
            <w:tcW w:w="5545" w:type="dxa"/>
            <w:vAlign w:val="center"/>
          </w:tcPr>
          <w:p w14:paraId="2C60F676" w14:textId="4BA1CE90" w:rsidR="007949BF" w:rsidRPr="00E67914" w:rsidRDefault="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通过</w:t>
            </w:r>
            <w:r w:rsidRPr="00E67914">
              <w:rPr>
                <w:rFonts w:ascii="Times New Roman" w:hAnsi="Times New Roman"/>
                <w:sz w:val="21"/>
                <w:szCs w:val="21"/>
                <w:lang w:eastAsia="zh-CN"/>
              </w:rPr>
              <w:t>25m</w:t>
            </w:r>
            <w:r w:rsidRPr="00E67914">
              <w:rPr>
                <w:rFonts w:ascii="Times New Roman" w:hAnsi="Times New Roman"/>
                <w:sz w:val="21"/>
                <w:szCs w:val="21"/>
                <w:lang w:eastAsia="zh-CN"/>
              </w:rPr>
              <w:t>高放空火炬排放</w:t>
            </w:r>
          </w:p>
        </w:tc>
      </w:tr>
      <w:tr w:rsidR="007949BF" w:rsidRPr="00E67914" w14:paraId="2837DF4E" w14:textId="77777777" w:rsidTr="007949BF">
        <w:trPr>
          <w:jc w:val="center"/>
        </w:trPr>
        <w:tc>
          <w:tcPr>
            <w:tcW w:w="704" w:type="dxa"/>
            <w:vMerge/>
            <w:vAlign w:val="center"/>
          </w:tcPr>
          <w:p w14:paraId="726DE328" w14:textId="77777777" w:rsidR="007949BF" w:rsidRPr="00E67914" w:rsidRDefault="007949BF" w:rsidP="007949BF">
            <w:pPr>
              <w:pStyle w:val="TableParagraph"/>
              <w:adjustRightInd w:val="0"/>
              <w:snapToGrid w:val="0"/>
              <w:jc w:val="center"/>
              <w:rPr>
                <w:rFonts w:ascii="Times New Roman" w:hAnsi="Times New Roman"/>
                <w:sz w:val="21"/>
                <w:szCs w:val="21"/>
                <w:lang w:eastAsia="zh-CN"/>
              </w:rPr>
            </w:pPr>
          </w:p>
        </w:tc>
        <w:tc>
          <w:tcPr>
            <w:tcW w:w="567" w:type="dxa"/>
            <w:vMerge/>
            <w:vAlign w:val="center"/>
          </w:tcPr>
          <w:p w14:paraId="7CB05729" w14:textId="77777777" w:rsidR="007949BF" w:rsidRPr="00E67914" w:rsidRDefault="007949BF" w:rsidP="007949BF">
            <w:pPr>
              <w:pStyle w:val="TableParagraph"/>
              <w:adjustRightInd w:val="0"/>
              <w:snapToGrid w:val="0"/>
              <w:jc w:val="center"/>
              <w:rPr>
                <w:rFonts w:ascii="Times New Roman" w:hAnsi="Times New Roman"/>
                <w:sz w:val="21"/>
                <w:szCs w:val="21"/>
                <w:lang w:eastAsia="zh-CN"/>
              </w:rPr>
            </w:pPr>
          </w:p>
        </w:tc>
        <w:tc>
          <w:tcPr>
            <w:tcW w:w="1406" w:type="dxa"/>
            <w:vAlign w:val="center"/>
          </w:tcPr>
          <w:p w14:paraId="140CB3D0" w14:textId="4FC1B6AD" w:rsidR="007949BF" w:rsidRPr="00E67914" w:rsidRDefault="007949BF" w:rsidP="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油罐挥发气体</w:t>
            </w:r>
          </w:p>
        </w:tc>
        <w:tc>
          <w:tcPr>
            <w:tcW w:w="5545" w:type="dxa"/>
            <w:vAlign w:val="center"/>
          </w:tcPr>
          <w:p w14:paraId="465AE60A" w14:textId="401612CB" w:rsidR="007949BF" w:rsidRPr="00E67914" w:rsidRDefault="007949BF" w:rsidP="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通过</w:t>
            </w:r>
            <w:r w:rsidRPr="00E67914">
              <w:rPr>
                <w:rFonts w:ascii="Times New Roman" w:hAnsi="Times New Roman"/>
                <w:sz w:val="21"/>
                <w:szCs w:val="21"/>
                <w:lang w:eastAsia="zh-CN"/>
              </w:rPr>
              <w:t>6m</w:t>
            </w:r>
            <w:r w:rsidRPr="00E67914">
              <w:rPr>
                <w:rFonts w:ascii="Times New Roman" w:hAnsi="Times New Roman"/>
                <w:sz w:val="21"/>
                <w:szCs w:val="21"/>
                <w:lang w:eastAsia="zh-CN"/>
              </w:rPr>
              <w:t>放空立管放空</w:t>
            </w:r>
          </w:p>
        </w:tc>
      </w:tr>
      <w:tr w:rsidR="007949BF" w:rsidRPr="00E67914" w14:paraId="6AEBEFA2" w14:textId="77777777" w:rsidTr="007949BF">
        <w:trPr>
          <w:jc w:val="center"/>
        </w:trPr>
        <w:tc>
          <w:tcPr>
            <w:tcW w:w="704" w:type="dxa"/>
            <w:vMerge/>
            <w:vAlign w:val="center"/>
          </w:tcPr>
          <w:p w14:paraId="79FE3DB9" w14:textId="77777777" w:rsidR="007949BF" w:rsidRPr="00E67914" w:rsidRDefault="007949BF" w:rsidP="007949BF">
            <w:pPr>
              <w:pStyle w:val="TableParagraph"/>
              <w:adjustRightInd w:val="0"/>
              <w:snapToGrid w:val="0"/>
              <w:jc w:val="center"/>
              <w:rPr>
                <w:rFonts w:ascii="Times New Roman" w:hAnsi="Times New Roman"/>
                <w:sz w:val="21"/>
                <w:szCs w:val="21"/>
                <w:lang w:eastAsia="zh-CN"/>
              </w:rPr>
            </w:pPr>
          </w:p>
        </w:tc>
        <w:tc>
          <w:tcPr>
            <w:tcW w:w="567" w:type="dxa"/>
            <w:vMerge/>
            <w:vAlign w:val="center"/>
          </w:tcPr>
          <w:p w14:paraId="2992DC7E" w14:textId="77777777" w:rsidR="007949BF" w:rsidRPr="00E67914" w:rsidRDefault="007949BF" w:rsidP="007949BF">
            <w:pPr>
              <w:pStyle w:val="TableParagraph"/>
              <w:adjustRightInd w:val="0"/>
              <w:snapToGrid w:val="0"/>
              <w:jc w:val="center"/>
              <w:rPr>
                <w:rFonts w:ascii="Times New Roman" w:hAnsi="Times New Roman"/>
                <w:sz w:val="21"/>
                <w:szCs w:val="21"/>
                <w:lang w:eastAsia="zh-CN"/>
              </w:rPr>
            </w:pPr>
          </w:p>
        </w:tc>
        <w:tc>
          <w:tcPr>
            <w:tcW w:w="1406" w:type="dxa"/>
            <w:vAlign w:val="center"/>
          </w:tcPr>
          <w:p w14:paraId="0221920A" w14:textId="5589EE20" w:rsidR="007949BF" w:rsidRPr="00E67914" w:rsidRDefault="007949BF" w:rsidP="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凝析油装车挥发气体</w:t>
            </w:r>
          </w:p>
        </w:tc>
        <w:tc>
          <w:tcPr>
            <w:tcW w:w="5545" w:type="dxa"/>
            <w:vAlign w:val="center"/>
          </w:tcPr>
          <w:p w14:paraId="5CEC28F4" w14:textId="6F39305D" w:rsidR="007949BF" w:rsidRPr="00E67914" w:rsidRDefault="007949BF" w:rsidP="007949BF">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无组织排放</w:t>
            </w:r>
          </w:p>
        </w:tc>
      </w:tr>
      <w:tr w:rsidR="002662E3" w:rsidRPr="00E67914" w14:paraId="279EDACB" w14:textId="77777777" w:rsidTr="007949BF">
        <w:trPr>
          <w:jc w:val="center"/>
        </w:trPr>
        <w:tc>
          <w:tcPr>
            <w:tcW w:w="704" w:type="dxa"/>
            <w:vMerge/>
            <w:vAlign w:val="center"/>
          </w:tcPr>
          <w:p w14:paraId="15EDDDDA"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567" w:type="dxa"/>
            <w:vMerge/>
            <w:vAlign w:val="center"/>
          </w:tcPr>
          <w:p w14:paraId="61649F0D"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1406" w:type="dxa"/>
            <w:vAlign w:val="center"/>
          </w:tcPr>
          <w:p w14:paraId="6C36B207"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水套加热炉燃烧废气</w:t>
            </w:r>
          </w:p>
        </w:tc>
        <w:tc>
          <w:tcPr>
            <w:tcW w:w="5545" w:type="dxa"/>
            <w:vAlign w:val="center"/>
          </w:tcPr>
          <w:p w14:paraId="09589D80" w14:textId="69801878"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水套加热炉燃用净化后的自采天然气，</w:t>
            </w:r>
            <w:r w:rsidR="00C24829" w:rsidRPr="00E67914">
              <w:rPr>
                <w:rFonts w:ascii="Times New Roman" w:hAnsi="Times New Roman"/>
                <w:sz w:val="21"/>
                <w:szCs w:val="21"/>
                <w:lang w:eastAsia="zh-CN"/>
              </w:rPr>
              <w:t>水套加热炉燃烧废气</w:t>
            </w:r>
            <w:r w:rsidRPr="00E67914">
              <w:rPr>
                <w:rFonts w:ascii="Times New Roman" w:hAnsi="Times New Roman"/>
                <w:sz w:val="21"/>
                <w:szCs w:val="21"/>
                <w:lang w:eastAsia="zh-CN"/>
              </w:rPr>
              <w:t>经自带排气筒排放，排气筒高度</w:t>
            </w:r>
            <w:r w:rsidRPr="00E67914">
              <w:rPr>
                <w:rFonts w:ascii="Times New Roman" w:hAnsi="Times New Roman"/>
                <w:sz w:val="21"/>
                <w:szCs w:val="21"/>
                <w:lang w:eastAsia="zh-CN"/>
              </w:rPr>
              <w:t>8m</w:t>
            </w:r>
          </w:p>
        </w:tc>
      </w:tr>
      <w:tr w:rsidR="002662E3" w:rsidRPr="00E67914" w14:paraId="59AEA2A8" w14:textId="77777777" w:rsidTr="007949BF">
        <w:trPr>
          <w:jc w:val="center"/>
        </w:trPr>
        <w:tc>
          <w:tcPr>
            <w:tcW w:w="704" w:type="dxa"/>
            <w:vMerge/>
            <w:vAlign w:val="center"/>
          </w:tcPr>
          <w:p w14:paraId="143C666E" w14:textId="77777777" w:rsidR="00A54A8A" w:rsidRPr="00E67914" w:rsidRDefault="00A54A8A">
            <w:pPr>
              <w:pStyle w:val="TableParagraph"/>
              <w:adjustRightInd w:val="0"/>
              <w:snapToGrid w:val="0"/>
              <w:jc w:val="center"/>
              <w:rPr>
                <w:rFonts w:ascii="Times New Roman" w:hAnsi="Times New Roman"/>
                <w:sz w:val="21"/>
                <w:szCs w:val="21"/>
                <w:lang w:eastAsia="zh-CN"/>
              </w:rPr>
            </w:pPr>
          </w:p>
        </w:tc>
        <w:tc>
          <w:tcPr>
            <w:tcW w:w="567" w:type="dxa"/>
            <w:vAlign w:val="center"/>
          </w:tcPr>
          <w:p w14:paraId="6C3244C7"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噪声</w:t>
            </w:r>
          </w:p>
        </w:tc>
        <w:tc>
          <w:tcPr>
            <w:tcW w:w="1406" w:type="dxa"/>
            <w:vAlign w:val="center"/>
          </w:tcPr>
          <w:p w14:paraId="5F8576AF"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试采期噪声</w:t>
            </w:r>
          </w:p>
        </w:tc>
        <w:tc>
          <w:tcPr>
            <w:tcW w:w="5545" w:type="dxa"/>
            <w:vAlign w:val="center"/>
          </w:tcPr>
          <w:p w14:paraId="1E270319"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泵机组和电机处设隔声罩，厂界噪声满足《工业企业厂界环</w:t>
            </w:r>
            <w:r w:rsidRPr="00E67914">
              <w:rPr>
                <w:rFonts w:ascii="Times New Roman" w:hAnsi="Times New Roman"/>
                <w:sz w:val="21"/>
                <w:szCs w:val="21"/>
                <w:lang w:eastAsia="zh-CN"/>
              </w:rPr>
              <w:t xml:space="preserve"> </w:t>
            </w:r>
            <w:r w:rsidRPr="00E67914">
              <w:rPr>
                <w:rFonts w:ascii="Times New Roman" w:hAnsi="Times New Roman"/>
                <w:sz w:val="21"/>
                <w:szCs w:val="21"/>
                <w:lang w:eastAsia="zh-CN"/>
              </w:rPr>
              <w:t>境噪声排放标准》（</w:t>
            </w:r>
            <w:r w:rsidRPr="00E67914">
              <w:rPr>
                <w:rFonts w:ascii="Times New Roman" w:hAnsi="Times New Roman"/>
                <w:sz w:val="21"/>
                <w:szCs w:val="21"/>
                <w:lang w:eastAsia="zh-CN"/>
              </w:rPr>
              <w:t>GB12348-2008</w:t>
            </w:r>
            <w:r w:rsidRPr="00E67914">
              <w:rPr>
                <w:rFonts w:ascii="Times New Roman" w:hAnsi="Times New Roman"/>
                <w:sz w:val="21"/>
                <w:szCs w:val="21"/>
                <w:lang w:eastAsia="zh-CN"/>
              </w:rPr>
              <w:t>）</w:t>
            </w:r>
            <w:r w:rsidRPr="00E67914">
              <w:rPr>
                <w:rFonts w:ascii="Times New Roman" w:hAnsi="Times New Roman"/>
                <w:sz w:val="21"/>
                <w:szCs w:val="21"/>
                <w:lang w:eastAsia="zh-CN"/>
              </w:rPr>
              <w:t>2</w:t>
            </w:r>
            <w:r w:rsidRPr="00E67914">
              <w:rPr>
                <w:rFonts w:ascii="Times New Roman" w:hAnsi="Times New Roman"/>
                <w:sz w:val="21"/>
                <w:szCs w:val="21"/>
                <w:lang w:eastAsia="zh-CN"/>
              </w:rPr>
              <w:t>类标准要求</w:t>
            </w:r>
            <w:r w:rsidRPr="00E67914">
              <w:rPr>
                <w:rFonts w:ascii="Times New Roman" w:hAnsi="Times New Roman"/>
                <w:sz w:val="21"/>
                <w:szCs w:val="21"/>
                <w:lang w:eastAsia="zh-CN"/>
              </w:rPr>
              <w:t xml:space="preserve"> </w:t>
            </w:r>
          </w:p>
        </w:tc>
      </w:tr>
      <w:tr w:rsidR="002662E3" w:rsidRPr="00E67914" w14:paraId="1F04FA0F" w14:textId="77777777" w:rsidTr="007949BF">
        <w:trPr>
          <w:jc w:val="center"/>
        </w:trPr>
        <w:tc>
          <w:tcPr>
            <w:tcW w:w="704" w:type="dxa"/>
            <w:vAlign w:val="center"/>
          </w:tcPr>
          <w:p w14:paraId="1BA2F94D"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生态保护措施</w:t>
            </w:r>
          </w:p>
        </w:tc>
        <w:tc>
          <w:tcPr>
            <w:tcW w:w="1973" w:type="dxa"/>
            <w:gridSpan w:val="2"/>
            <w:vAlign w:val="center"/>
          </w:tcPr>
          <w:p w14:paraId="5642B286" w14:textId="77777777"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临时占地恢复</w:t>
            </w:r>
          </w:p>
        </w:tc>
        <w:tc>
          <w:tcPr>
            <w:tcW w:w="5545" w:type="dxa"/>
            <w:vAlign w:val="center"/>
          </w:tcPr>
          <w:p w14:paraId="57C79752" w14:textId="7372CA19" w:rsidR="00A54A8A" w:rsidRPr="00E67914" w:rsidRDefault="00000000">
            <w:pPr>
              <w:pStyle w:val="TableParagraph"/>
              <w:adjustRightInd w:val="0"/>
              <w:snapToGrid w:val="0"/>
              <w:jc w:val="center"/>
              <w:rPr>
                <w:rFonts w:ascii="Times New Roman" w:hAnsi="Times New Roman"/>
                <w:sz w:val="21"/>
                <w:szCs w:val="21"/>
                <w:lang w:eastAsia="zh-CN"/>
              </w:rPr>
            </w:pPr>
            <w:r w:rsidRPr="00E67914">
              <w:rPr>
                <w:rFonts w:ascii="Times New Roman" w:hAnsi="Times New Roman"/>
                <w:sz w:val="21"/>
                <w:szCs w:val="21"/>
                <w:lang w:eastAsia="zh-CN"/>
              </w:rPr>
              <w:t>本项目井场</w:t>
            </w:r>
            <w:r w:rsidR="007949BF" w:rsidRPr="00E67914">
              <w:rPr>
                <w:rFonts w:ascii="Times New Roman" w:hAnsi="Times New Roman"/>
                <w:sz w:val="21"/>
                <w:szCs w:val="21"/>
                <w:lang w:eastAsia="zh-CN"/>
              </w:rPr>
              <w:t>、进场道路、放散区</w:t>
            </w:r>
            <w:r w:rsidRPr="00E67914">
              <w:rPr>
                <w:rFonts w:ascii="Times New Roman" w:hAnsi="Times New Roman"/>
                <w:sz w:val="21"/>
                <w:szCs w:val="21"/>
                <w:lang w:eastAsia="zh-CN"/>
              </w:rPr>
              <w:t>等属于永久占地，放喷池、</w:t>
            </w:r>
            <w:r w:rsidR="007949BF" w:rsidRPr="00E67914">
              <w:rPr>
                <w:rFonts w:ascii="Times New Roman" w:hAnsi="Times New Roman"/>
                <w:sz w:val="21"/>
                <w:szCs w:val="21"/>
                <w:lang w:eastAsia="zh-CN"/>
              </w:rPr>
              <w:t>清水</w:t>
            </w:r>
            <w:r w:rsidRPr="00E67914">
              <w:rPr>
                <w:rFonts w:ascii="Times New Roman" w:hAnsi="Times New Roman"/>
                <w:sz w:val="21"/>
                <w:szCs w:val="21"/>
                <w:lang w:eastAsia="zh-CN"/>
              </w:rPr>
              <w:t>池、管线施工临时占地，施工结束后立即对无后续开发计划的临时用地进行复垦</w:t>
            </w:r>
          </w:p>
        </w:tc>
      </w:tr>
    </w:tbl>
    <w:p w14:paraId="6BD80ACF" w14:textId="77777777" w:rsidR="00A54A8A" w:rsidRPr="00E67914" w:rsidRDefault="00A54A8A">
      <w:pPr>
        <w:pStyle w:val="1"/>
        <w:adjustRightInd w:val="0"/>
        <w:snapToGrid w:val="0"/>
        <w:spacing w:beforeLines="200" w:before="480" w:after="0" w:line="480" w:lineRule="auto"/>
        <w:jc w:val="center"/>
        <w:rPr>
          <w:rFonts w:ascii="Times New Roman" w:eastAsia="黑体" w:hAnsi="Times New Roman"/>
          <w:b w:val="0"/>
          <w:sz w:val="28"/>
          <w:szCs w:val="28"/>
          <w:lang w:eastAsia="zh-CN"/>
        </w:rPr>
        <w:sectPr w:rsidR="00A54A8A" w:rsidRPr="00E67914">
          <w:headerReference w:type="default" r:id="rId117"/>
          <w:footerReference w:type="default" r:id="rId118"/>
          <w:pgSz w:w="11910" w:h="16840"/>
          <w:pgMar w:top="1440" w:right="1800" w:bottom="1440" w:left="1800" w:header="877" w:footer="1114" w:gutter="0"/>
          <w:cols w:space="720"/>
          <w:docGrid w:linePitch="299"/>
        </w:sectPr>
      </w:pPr>
      <w:bookmarkStart w:id="316" w:name="第十章_结论与建议"/>
      <w:bookmarkStart w:id="317" w:name="_bookmark47"/>
      <w:bookmarkEnd w:id="316"/>
      <w:bookmarkEnd w:id="317"/>
    </w:p>
    <w:p w14:paraId="5A2395B8" w14:textId="77777777" w:rsidR="00A54A8A" w:rsidRPr="00E67914" w:rsidRDefault="00000000">
      <w:pPr>
        <w:pStyle w:val="1"/>
        <w:adjustRightInd w:val="0"/>
        <w:snapToGrid w:val="0"/>
        <w:spacing w:beforeLines="200" w:before="480" w:after="0" w:line="480" w:lineRule="auto"/>
        <w:jc w:val="center"/>
        <w:rPr>
          <w:rFonts w:ascii="Times New Roman" w:eastAsia="黑体" w:hAnsi="Times New Roman"/>
          <w:b w:val="0"/>
          <w:sz w:val="28"/>
          <w:szCs w:val="28"/>
          <w:lang w:eastAsia="zh-CN"/>
        </w:rPr>
      </w:pPr>
      <w:bookmarkStart w:id="318" w:name="_Toc148654257"/>
      <w:r w:rsidRPr="00E67914">
        <w:rPr>
          <w:rFonts w:ascii="Times New Roman" w:eastAsia="黑体" w:hAnsi="Times New Roman"/>
          <w:b w:val="0"/>
          <w:sz w:val="28"/>
          <w:szCs w:val="28"/>
          <w:lang w:eastAsia="zh-CN"/>
        </w:rPr>
        <w:lastRenderedPageBreak/>
        <w:t>11</w:t>
      </w:r>
      <w:r w:rsidRPr="00E67914">
        <w:rPr>
          <w:rFonts w:ascii="Times New Roman" w:eastAsia="黑体" w:hAnsi="Times New Roman"/>
          <w:b w:val="0"/>
          <w:sz w:val="28"/>
          <w:szCs w:val="28"/>
          <w:lang w:eastAsia="zh-CN"/>
        </w:rPr>
        <w:t>结论与建议</w:t>
      </w:r>
      <w:bookmarkEnd w:id="318"/>
    </w:p>
    <w:p w14:paraId="22338AB0" w14:textId="77777777" w:rsidR="00A54A8A" w:rsidRPr="00E67914" w:rsidRDefault="00000000">
      <w:pPr>
        <w:pStyle w:val="2"/>
        <w:ind w:firstLine="480"/>
        <w:jc w:val="both"/>
        <w:rPr>
          <w:szCs w:val="24"/>
          <w:lang w:eastAsia="zh-CN"/>
        </w:rPr>
      </w:pPr>
      <w:bookmarkStart w:id="319" w:name="10.1项目概况"/>
      <w:bookmarkStart w:id="320" w:name="_bookmark48"/>
      <w:bookmarkStart w:id="321" w:name="_Toc148654258"/>
      <w:bookmarkEnd w:id="319"/>
      <w:bookmarkEnd w:id="320"/>
      <w:r w:rsidRPr="00E67914">
        <w:rPr>
          <w:szCs w:val="24"/>
          <w:lang w:eastAsia="zh-CN"/>
        </w:rPr>
        <w:t>11.1</w:t>
      </w:r>
      <w:r w:rsidRPr="00E67914">
        <w:rPr>
          <w:szCs w:val="24"/>
          <w:lang w:eastAsia="zh-CN"/>
        </w:rPr>
        <w:t>项目概况</w:t>
      </w:r>
      <w:bookmarkEnd w:id="321"/>
    </w:p>
    <w:p w14:paraId="2E5C496C" w14:textId="2401A59F"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本项目位于</w:t>
      </w:r>
      <w:r w:rsidR="00DD2AA7" w:rsidRPr="00E67914">
        <w:rPr>
          <w:rFonts w:ascii="Times New Roman" w:hAnsi="Times New Roman"/>
          <w:lang w:eastAsia="zh-CN"/>
        </w:rPr>
        <w:t>达州市宣汉县普光镇</w:t>
      </w:r>
      <w:r w:rsidR="00AE0282" w:rsidRPr="00E67914">
        <w:rPr>
          <w:rFonts w:ascii="Times New Roman" w:hAnsi="Times New Roman"/>
          <w:lang w:eastAsia="zh-CN"/>
        </w:rPr>
        <w:t>陡梯村</w:t>
      </w:r>
      <w:r w:rsidRPr="00E67914">
        <w:rPr>
          <w:rFonts w:ascii="Times New Roman" w:hAnsi="Times New Roman"/>
          <w:lang w:eastAsia="zh-CN"/>
        </w:rPr>
        <w:t>，以</w:t>
      </w:r>
      <w:r w:rsidR="0040140D" w:rsidRPr="00E67914">
        <w:rPr>
          <w:rFonts w:ascii="Times New Roman" w:hAnsi="Times New Roman"/>
          <w:lang w:eastAsia="zh-CN"/>
        </w:rPr>
        <w:t>千佛崖组</w:t>
      </w:r>
      <w:r w:rsidRPr="00E67914">
        <w:rPr>
          <w:rFonts w:ascii="Times New Roman" w:hAnsi="Times New Roman"/>
          <w:lang w:eastAsia="zh-CN"/>
        </w:rPr>
        <w:t>为主要目的层，</w:t>
      </w:r>
      <w:r w:rsidR="00496829" w:rsidRPr="00E67914">
        <w:rPr>
          <w:rFonts w:ascii="Times New Roman" w:hAnsi="Times New Roman"/>
          <w:lang w:eastAsia="zh-CN"/>
        </w:rPr>
        <w:t>项目投产后试采站试采规模最大</w:t>
      </w:r>
      <w:r w:rsidR="00496829" w:rsidRPr="00E67914">
        <w:rPr>
          <w:rFonts w:ascii="Times New Roman" w:hAnsi="Times New Roman"/>
          <w:lang w:eastAsia="zh-CN"/>
        </w:rPr>
        <w:t>20.6×10</w:t>
      </w:r>
      <w:r w:rsidR="00496829" w:rsidRPr="00E67914">
        <w:rPr>
          <w:rFonts w:ascii="Times New Roman" w:hAnsi="Times New Roman"/>
          <w:vertAlign w:val="superscript"/>
          <w:lang w:eastAsia="zh-CN"/>
        </w:rPr>
        <w:t>4</w:t>
      </w:r>
      <w:r w:rsidR="00496829" w:rsidRPr="00E67914">
        <w:rPr>
          <w:rFonts w:ascii="Times New Roman" w:hAnsi="Times New Roman"/>
          <w:lang w:eastAsia="zh-CN"/>
        </w:rPr>
        <w:t>m</w:t>
      </w:r>
      <w:r w:rsidR="00496829" w:rsidRPr="00E67914">
        <w:rPr>
          <w:rFonts w:ascii="Times New Roman" w:hAnsi="Times New Roman"/>
          <w:vertAlign w:val="superscript"/>
          <w:lang w:eastAsia="zh-CN"/>
        </w:rPr>
        <w:t>3</w:t>
      </w:r>
      <w:r w:rsidR="00496829" w:rsidRPr="00E67914">
        <w:rPr>
          <w:rFonts w:ascii="Times New Roman" w:hAnsi="Times New Roman"/>
          <w:lang w:eastAsia="zh-CN"/>
        </w:rPr>
        <w:t>/d</w:t>
      </w:r>
      <w:r w:rsidR="00496829" w:rsidRPr="00E67914">
        <w:rPr>
          <w:rFonts w:ascii="Times New Roman" w:hAnsi="Times New Roman"/>
          <w:lang w:eastAsia="zh-CN"/>
        </w:rPr>
        <w:t>，产油量</w:t>
      </w:r>
      <w:r w:rsidR="00496829" w:rsidRPr="00E67914">
        <w:rPr>
          <w:rFonts w:ascii="Times New Roman" w:hAnsi="Times New Roman"/>
          <w:lang w:eastAsia="zh-CN"/>
        </w:rPr>
        <w:t>12.3t/d</w:t>
      </w:r>
      <w:r w:rsidR="00496829" w:rsidRPr="00E67914">
        <w:rPr>
          <w:rFonts w:ascii="Times New Roman" w:hAnsi="Times New Roman"/>
          <w:lang w:eastAsia="zh-CN"/>
        </w:rPr>
        <w:t>，产水量</w:t>
      </w:r>
      <w:r w:rsidR="00496829" w:rsidRPr="00E67914">
        <w:rPr>
          <w:rFonts w:ascii="Times New Roman" w:hAnsi="Times New Roman"/>
          <w:lang w:eastAsia="zh-CN"/>
        </w:rPr>
        <w:t>42.7m</w:t>
      </w:r>
      <w:r w:rsidR="00496829" w:rsidRPr="00E67914">
        <w:rPr>
          <w:rFonts w:ascii="Times New Roman" w:hAnsi="Times New Roman"/>
          <w:vertAlign w:val="superscript"/>
          <w:lang w:eastAsia="zh-CN"/>
        </w:rPr>
        <w:t>3</w:t>
      </w:r>
      <w:r w:rsidR="00496829" w:rsidRPr="00E67914">
        <w:rPr>
          <w:rFonts w:ascii="Times New Roman" w:hAnsi="Times New Roman"/>
          <w:lang w:eastAsia="zh-CN"/>
        </w:rPr>
        <w:t>/d</w:t>
      </w:r>
      <w:r w:rsidR="00496829" w:rsidRPr="00E67914">
        <w:rPr>
          <w:rFonts w:ascii="Times New Roman" w:hAnsi="Times New Roman"/>
          <w:lang w:eastAsia="zh-CN"/>
        </w:rPr>
        <w:t>。</w:t>
      </w:r>
    </w:p>
    <w:p w14:paraId="257972A7" w14:textId="52025D4D"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本项目总投资</w:t>
      </w:r>
      <w:r w:rsidR="00CC09E7" w:rsidRPr="00E67914">
        <w:rPr>
          <w:rFonts w:ascii="Times New Roman" w:hAnsi="Times New Roman"/>
          <w:lang w:eastAsia="zh-CN"/>
        </w:rPr>
        <w:t>19784</w:t>
      </w:r>
      <w:r w:rsidRPr="00E67914">
        <w:rPr>
          <w:rFonts w:ascii="Times New Roman" w:hAnsi="Times New Roman"/>
          <w:lang w:eastAsia="zh-CN"/>
        </w:rPr>
        <w:t>万元，环保投资</w:t>
      </w:r>
      <w:r w:rsidR="00CC09E7" w:rsidRPr="00E67914">
        <w:rPr>
          <w:rFonts w:ascii="Times New Roman" w:hAnsi="Times New Roman"/>
          <w:lang w:eastAsia="zh-CN"/>
        </w:rPr>
        <w:t>1108</w:t>
      </w:r>
      <w:r w:rsidRPr="00E67914">
        <w:rPr>
          <w:rFonts w:ascii="Times New Roman" w:hAnsi="Times New Roman"/>
          <w:lang w:eastAsia="zh-CN"/>
        </w:rPr>
        <w:t>万元，环保投资占总投资的</w:t>
      </w:r>
      <w:r w:rsidR="00CC09E7" w:rsidRPr="00E67914">
        <w:rPr>
          <w:rFonts w:ascii="Times New Roman" w:hAnsi="Times New Roman"/>
          <w:lang w:eastAsia="zh-CN"/>
        </w:rPr>
        <w:t>2.34</w:t>
      </w:r>
      <w:r w:rsidRPr="00E67914">
        <w:rPr>
          <w:rFonts w:ascii="Times New Roman" w:hAnsi="Times New Roman"/>
          <w:lang w:eastAsia="zh-CN"/>
        </w:rPr>
        <w:t>%</w:t>
      </w:r>
      <w:r w:rsidRPr="00E67914">
        <w:rPr>
          <w:rFonts w:ascii="Times New Roman" w:hAnsi="Times New Roman"/>
          <w:lang w:eastAsia="zh-CN"/>
        </w:rPr>
        <w:t>。</w:t>
      </w:r>
    </w:p>
    <w:p w14:paraId="3F302FE8" w14:textId="77777777" w:rsidR="00A54A8A" w:rsidRPr="00E67914" w:rsidRDefault="00000000">
      <w:pPr>
        <w:pStyle w:val="2"/>
        <w:ind w:firstLine="480"/>
        <w:jc w:val="both"/>
        <w:rPr>
          <w:szCs w:val="24"/>
          <w:lang w:eastAsia="zh-CN"/>
        </w:rPr>
      </w:pPr>
      <w:bookmarkStart w:id="322" w:name="10.2环境质量现状"/>
      <w:bookmarkStart w:id="323" w:name="_bookmark49"/>
      <w:bookmarkStart w:id="324" w:name="_Toc148654259"/>
      <w:bookmarkEnd w:id="322"/>
      <w:bookmarkEnd w:id="323"/>
      <w:r w:rsidRPr="00E67914">
        <w:rPr>
          <w:szCs w:val="24"/>
          <w:lang w:eastAsia="zh-CN"/>
        </w:rPr>
        <w:t>11.2</w:t>
      </w:r>
      <w:r w:rsidRPr="00E67914">
        <w:rPr>
          <w:szCs w:val="24"/>
          <w:lang w:eastAsia="zh-CN"/>
        </w:rPr>
        <w:t>环境质量现状</w:t>
      </w:r>
      <w:bookmarkEnd w:id="324"/>
    </w:p>
    <w:p w14:paraId="36AABCCF" w14:textId="28DBEDD2"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本项目所在区域属环境空气</w:t>
      </w:r>
      <w:r w:rsidRPr="00E67914">
        <w:rPr>
          <w:rFonts w:ascii="Times New Roman" w:hAnsi="Times New Roman"/>
          <w:lang w:eastAsia="zh-CN"/>
        </w:rPr>
        <w:t>2</w:t>
      </w:r>
      <w:r w:rsidRPr="00E67914">
        <w:rPr>
          <w:rFonts w:ascii="Times New Roman" w:hAnsi="Times New Roman"/>
          <w:lang w:eastAsia="zh-CN"/>
        </w:rPr>
        <w:t>类区、地表水</w:t>
      </w:r>
      <w:r w:rsidRPr="00E67914">
        <w:rPr>
          <w:rFonts w:ascii="Times New Roman" w:hAnsi="Times New Roman"/>
          <w:lang w:eastAsia="zh-CN"/>
        </w:rPr>
        <w:t>Ⅲ</w:t>
      </w:r>
      <w:r w:rsidRPr="00E67914">
        <w:rPr>
          <w:rFonts w:ascii="Times New Roman" w:hAnsi="Times New Roman"/>
          <w:lang w:eastAsia="zh-CN"/>
        </w:rPr>
        <w:t>类水域功能区和声环境</w:t>
      </w:r>
      <w:r w:rsidRPr="00E67914">
        <w:rPr>
          <w:rFonts w:ascii="Times New Roman" w:hAnsi="Times New Roman"/>
          <w:lang w:eastAsia="zh-CN"/>
        </w:rPr>
        <w:t>2</w:t>
      </w:r>
      <w:r w:rsidRPr="00E67914">
        <w:rPr>
          <w:rFonts w:ascii="Times New Roman" w:hAnsi="Times New Roman"/>
          <w:lang w:eastAsia="zh-CN"/>
        </w:rPr>
        <w:t>类功能区。根据本项目环境本底监测结果显示，本项目区域声环境质量满足《声环境质量标准》（</w:t>
      </w:r>
      <w:r w:rsidRPr="00E67914">
        <w:rPr>
          <w:rFonts w:ascii="Times New Roman" w:hAnsi="Times New Roman"/>
          <w:lang w:eastAsia="zh-CN"/>
        </w:rPr>
        <w:t>GB3096-2008</w:t>
      </w:r>
      <w:r w:rsidRPr="00E67914">
        <w:rPr>
          <w:rFonts w:ascii="Times New Roman" w:hAnsi="Times New Roman"/>
          <w:lang w:eastAsia="zh-CN"/>
        </w:rPr>
        <w:t>）</w:t>
      </w:r>
      <w:r w:rsidRPr="00E67914">
        <w:rPr>
          <w:rFonts w:ascii="Times New Roman" w:hAnsi="Times New Roman"/>
          <w:lang w:eastAsia="zh-CN"/>
        </w:rPr>
        <w:t>2</w:t>
      </w:r>
      <w:r w:rsidRPr="00E67914">
        <w:rPr>
          <w:rFonts w:ascii="Times New Roman" w:hAnsi="Times New Roman"/>
          <w:lang w:eastAsia="zh-CN"/>
        </w:rPr>
        <w:t>类标准；根据《</w:t>
      </w:r>
      <w:r w:rsidR="008B39C0" w:rsidRPr="00E67914">
        <w:rPr>
          <w:rFonts w:ascii="Times New Roman" w:hAnsi="Times New Roman"/>
          <w:lang w:eastAsia="zh-CN"/>
        </w:rPr>
        <w:t>达州市</w:t>
      </w:r>
      <w:r w:rsidR="008B39C0" w:rsidRPr="00E67914">
        <w:rPr>
          <w:rFonts w:ascii="Times New Roman" w:hAnsi="Times New Roman"/>
          <w:lang w:eastAsia="zh-CN"/>
        </w:rPr>
        <w:t>2022</w:t>
      </w:r>
      <w:r w:rsidR="008B39C0" w:rsidRPr="00E67914">
        <w:rPr>
          <w:rFonts w:ascii="Times New Roman" w:hAnsi="Times New Roman"/>
          <w:lang w:eastAsia="zh-CN"/>
        </w:rPr>
        <w:t>年环境空气质量状况</w:t>
      </w:r>
      <w:r w:rsidRPr="00E67914">
        <w:rPr>
          <w:rFonts w:ascii="Times New Roman" w:hAnsi="Times New Roman"/>
          <w:lang w:eastAsia="zh-CN"/>
        </w:rPr>
        <w:t>》，</w:t>
      </w:r>
      <w:r w:rsidRPr="00E67914">
        <w:rPr>
          <w:rFonts w:ascii="Times New Roman" w:hAnsi="Times New Roman"/>
          <w:snapToGrid w:val="0"/>
          <w:kern w:val="2"/>
          <w:lang w:eastAsia="zh-CN"/>
        </w:rPr>
        <w:t>本项目所在的宣汉县属于达标区</w:t>
      </w:r>
      <w:r w:rsidR="008B39C0" w:rsidRPr="00E67914">
        <w:rPr>
          <w:rFonts w:ascii="Times New Roman" w:hAnsi="Times New Roman"/>
          <w:lang w:eastAsia="zh-CN"/>
        </w:rPr>
        <w:t>；</w:t>
      </w:r>
      <w:r w:rsidRPr="00E67914">
        <w:rPr>
          <w:rFonts w:ascii="Times New Roman" w:hAnsi="Times New Roman"/>
          <w:lang w:eastAsia="zh-CN"/>
        </w:rPr>
        <w:t>本项目位于</w:t>
      </w:r>
      <w:r w:rsidR="000736F8" w:rsidRPr="00E67914">
        <w:rPr>
          <w:rFonts w:ascii="Times New Roman" w:hAnsi="Times New Roman"/>
          <w:lang w:eastAsia="zh-CN"/>
        </w:rPr>
        <w:t>后</w:t>
      </w:r>
      <w:r w:rsidRPr="00E67914">
        <w:rPr>
          <w:rFonts w:ascii="Times New Roman" w:hAnsi="Times New Roman"/>
          <w:lang w:eastAsia="zh-CN"/>
        </w:rPr>
        <w:t>河流域，其水质良好；地下水监测所有指标均未超过《地下水质量标准》（</w:t>
      </w:r>
      <w:r w:rsidRPr="00E67914">
        <w:rPr>
          <w:rFonts w:ascii="Times New Roman" w:hAnsi="Times New Roman"/>
          <w:lang w:eastAsia="zh-CN"/>
        </w:rPr>
        <w:t>GB/T14848-2017</w:t>
      </w:r>
      <w:r w:rsidRPr="00E67914">
        <w:rPr>
          <w:rFonts w:ascii="Times New Roman" w:hAnsi="Times New Roman"/>
          <w:lang w:eastAsia="zh-CN"/>
        </w:rPr>
        <w:t>）中的</w:t>
      </w:r>
      <w:r w:rsidRPr="00E67914">
        <w:rPr>
          <w:rFonts w:ascii="Times New Roman" w:hAnsi="Times New Roman"/>
          <w:lang w:eastAsia="zh-CN"/>
        </w:rPr>
        <w:t>Ⅲ</w:t>
      </w:r>
      <w:r w:rsidRPr="00E67914">
        <w:rPr>
          <w:rFonts w:ascii="Times New Roman" w:hAnsi="Times New Roman"/>
          <w:lang w:eastAsia="zh-CN"/>
        </w:rPr>
        <w:t>类标准限值要求；项目区域土壤以耕地、林地为主，土壤环境所有指标均满足</w:t>
      </w:r>
      <w:r w:rsidRPr="00E67914">
        <w:rPr>
          <w:rFonts w:ascii="Times New Roman" w:hAnsi="Times New Roman"/>
          <w:szCs w:val="21"/>
          <w:lang w:eastAsia="zh-CN"/>
        </w:rPr>
        <w:t>《土壤环境质量</w:t>
      </w:r>
      <w:r w:rsidRPr="00E67914">
        <w:rPr>
          <w:rFonts w:ascii="Times New Roman" w:hAnsi="Times New Roman"/>
          <w:szCs w:val="21"/>
          <w:lang w:eastAsia="zh-CN"/>
        </w:rPr>
        <w:t xml:space="preserve"> </w:t>
      </w:r>
      <w:r w:rsidRPr="00E67914">
        <w:rPr>
          <w:rFonts w:ascii="Times New Roman" w:hAnsi="Times New Roman"/>
          <w:szCs w:val="21"/>
          <w:lang w:eastAsia="zh-CN"/>
        </w:rPr>
        <w:t>建设用地土壤污染风险管控标准（试行）</w:t>
      </w:r>
      <w:r w:rsidRPr="00E67914">
        <w:rPr>
          <w:rFonts w:ascii="Times New Roman" w:hAnsi="Times New Roman"/>
          <w:szCs w:val="21"/>
          <w:lang w:eastAsia="zh-CN"/>
        </w:rPr>
        <w:t>(GB36600—2018)</w:t>
      </w:r>
      <w:r w:rsidRPr="00E67914">
        <w:rPr>
          <w:rFonts w:ascii="Times New Roman" w:hAnsi="Times New Roman"/>
          <w:szCs w:val="21"/>
          <w:lang w:eastAsia="zh-CN"/>
        </w:rPr>
        <w:t>》和《土壤环境质量</w:t>
      </w:r>
      <w:r w:rsidRPr="00E67914">
        <w:rPr>
          <w:rFonts w:ascii="Times New Roman" w:hAnsi="Times New Roman"/>
          <w:szCs w:val="21"/>
          <w:lang w:eastAsia="zh-CN"/>
        </w:rPr>
        <w:t xml:space="preserve"> </w:t>
      </w:r>
      <w:r w:rsidRPr="00E67914">
        <w:rPr>
          <w:rFonts w:ascii="Times New Roman" w:hAnsi="Times New Roman"/>
          <w:szCs w:val="21"/>
          <w:lang w:eastAsia="zh-CN"/>
        </w:rPr>
        <w:t>农用地土壤污染风险管控标准（试行）</w:t>
      </w:r>
      <w:r w:rsidRPr="00E67914">
        <w:rPr>
          <w:rFonts w:ascii="Times New Roman" w:hAnsi="Times New Roman"/>
          <w:szCs w:val="21"/>
          <w:lang w:eastAsia="zh-CN"/>
        </w:rPr>
        <w:t>(GB15618—2018)</w:t>
      </w:r>
      <w:r w:rsidRPr="00E67914">
        <w:rPr>
          <w:rFonts w:ascii="Times New Roman" w:hAnsi="Times New Roman"/>
          <w:szCs w:val="21"/>
          <w:lang w:eastAsia="zh-CN"/>
        </w:rPr>
        <w:t>》中对应筛选值要求</w:t>
      </w:r>
      <w:r w:rsidRPr="00E67914">
        <w:rPr>
          <w:rFonts w:ascii="Times New Roman" w:hAnsi="Times New Roman"/>
          <w:lang w:eastAsia="zh-CN"/>
        </w:rPr>
        <w:t>。项目所在地环境质量现状良好</w:t>
      </w:r>
      <w:r w:rsidRPr="00E67914">
        <w:rPr>
          <w:rFonts w:ascii="Times New Roman" w:hAnsi="Times New Roman"/>
          <w:bCs/>
          <w:kern w:val="2"/>
          <w:lang w:eastAsia="zh-CN"/>
        </w:rPr>
        <w:t>。</w:t>
      </w:r>
    </w:p>
    <w:p w14:paraId="34F0C8D7" w14:textId="77777777" w:rsidR="00A54A8A" w:rsidRPr="00E67914" w:rsidRDefault="00000000">
      <w:pPr>
        <w:pStyle w:val="2"/>
        <w:ind w:firstLine="480"/>
        <w:jc w:val="both"/>
        <w:rPr>
          <w:szCs w:val="24"/>
          <w:lang w:eastAsia="zh-CN"/>
        </w:rPr>
      </w:pPr>
      <w:bookmarkStart w:id="325" w:name="10.3项目产业政策符合性分析与选址合理性分析"/>
      <w:bookmarkStart w:id="326" w:name="_bookmark50"/>
      <w:bookmarkStart w:id="327" w:name="_Toc148654260"/>
      <w:bookmarkEnd w:id="325"/>
      <w:bookmarkEnd w:id="326"/>
      <w:r w:rsidRPr="00E67914">
        <w:rPr>
          <w:szCs w:val="24"/>
          <w:lang w:eastAsia="zh-CN"/>
        </w:rPr>
        <w:t>11.3</w:t>
      </w:r>
      <w:r w:rsidRPr="00E67914">
        <w:rPr>
          <w:szCs w:val="24"/>
          <w:lang w:eastAsia="zh-CN"/>
        </w:rPr>
        <w:t>项目产业政策符合性分析与选址合理性分析</w:t>
      </w:r>
      <w:bookmarkEnd w:id="327"/>
    </w:p>
    <w:p w14:paraId="14559F93"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bookmarkStart w:id="328" w:name="10.3.1项目产业政策符合性分析"/>
      <w:bookmarkEnd w:id="328"/>
      <w:r w:rsidRPr="00E67914">
        <w:rPr>
          <w:rFonts w:ascii="Times New Roman" w:hAnsi="Times New Roman"/>
          <w:lang w:eastAsia="zh-CN"/>
        </w:rPr>
        <w:t>（</w:t>
      </w:r>
      <w:r w:rsidRPr="00E67914">
        <w:rPr>
          <w:rFonts w:ascii="Times New Roman" w:hAnsi="Times New Roman"/>
          <w:lang w:eastAsia="zh-CN"/>
        </w:rPr>
        <w:t>1</w:t>
      </w:r>
      <w:r w:rsidRPr="00E67914">
        <w:rPr>
          <w:rFonts w:ascii="Times New Roman" w:hAnsi="Times New Roman"/>
          <w:lang w:eastAsia="zh-CN"/>
        </w:rPr>
        <w:t>）项目产业政策符合性分析</w:t>
      </w:r>
    </w:p>
    <w:p w14:paraId="33D7781C" w14:textId="563A447C"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根据《产业结构调整指导目录（</w:t>
      </w:r>
      <w:r w:rsidRPr="00E67914">
        <w:rPr>
          <w:rFonts w:ascii="Times New Roman" w:hAnsi="Times New Roman"/>
          <w:lang w:eastAsia="zh-CN"/>
        </w:rPr>
        <w:t>2019</w:t>
      </w:r>
      <w:r w:rsidRPr="00E67914">
        <w:rPr>
          <w:rFonts w:ascii="Times New Roman" w:hAnsi="Times New Roman"/>
          <w:lang w:eastAsia="zh-CN"/>
        </w:rPr>
        <w:t>年本）》与《国家发展改革委关于修改</w:t>
      </w:r>
      <w:r w:rsidRPr="00E67914">
        <w:rPr>
          <w:rFonts w:ascii="Times New Roman" w:hAnsi="Times New Roman"/>
          <w:lang w:eastAsia="zh-CN"/>
        </w:rPr>
        <w:t>&lt;</w:t>
      </w:r>
      <w:r w:rsidRPr="00E67914">
        <w:rPr>
          <w:rFonts w:ascii="Times New Roman" w:hAnsi="Times New Roman"/>
          <w:lang w:eastAsia="zh-CN"/>
        </w:rPr>
        <w:t>产业结构调整指导目录（</w:t>
      </w:r>
      <w:r w:rsidRPr="00E67914">
        <w:rPr>
          <w:rFonts w:ascii="Times New Roman" w:hAnsi="Times New Roman"/>
          <w:lang w:eastAsia="zh-CN"/>
        </w:rPr>
        <w:t>2019</w:t>
      </w:r>
      <w:r w:rsidRPr="00E67914">
        <w:rPr>
          <w:rFonts w:ascii="Times New Roman" w:hAnsi="Times New Roman"/>
          <w:lang w:eastAsia="zh-CN"/>
        </w:rPr>
        <w:t>年本）</w:t>
      </w:r>
      <w:r w:rsidRPr="00E67914">
        <w:rPr>
          <w:rFonts w:ascii="Times New Roman" w:hAnsi="Times New Roman"/>
          <w:lang w:eastAsia="zh-CN"/>
        </w:rPr>
        <w:t>&gt;</w:t>
      </w:r>
      <w:r w:rsidRPr="00E67914">
        <w:rPr>
          <w:rFonts w:ascii="Times New Roman" w:hAnsi="Times New Roman"/>
          <w:lang w:eastAsia="zh-CN"/>
        </w:rPr>
        <w:t>的决定》</w:t>
      </w:r>
      <w:r w:rsidRPr="00E67914">
        <w:rPr>
          <w:rFonts w:ascii="Times New Roman" w:hAnsi="Times New Roman"/>
          <w:bCs/>
          <w:kern w:val="2"/>
          <w:lang w:eastAsia="zh-CN"/>
        </w:rPr>
        <w:t>（</w:t>
      </w:r>
      <w:r w:rsidRPr="00E67914">
        <w:rPr>
          <w:rFonts w:ascii="Times New Roman" w:hAnsi="Times New Roman"/>
          <w:bCs/>
          <w:kern w:val="2"/>
          <w:lang w:eastAsia="zh-CN"/>
        </w:rPr>
        <w:t>2021</w:t>
      </w:r>
      <w:r w:rsidRPr="00E67914">
        <w:rPr>
          <w:rFonts w:ascii="Times New Roman" w:hAnsi="Times New Roman"/>
          <w:bCs/>
          <w:kern w:val="2"/>
          <w:lang w:eastAsia="zh-CN"/>
        </w:rPr>
        <w:t>年修订）</w:t>
      </w:r>
      <w:r w:rsidRPr="00E67914">
        <w:rPr>
          <w:rFonts w:ascii="Times New Roman" w:hAnsi="Times New Roman"/>
          <w:lang w:eastAsia="zh-CN"/>
        </w:rPr>
        <w:t>，该项目属于其中第一类</w:t>
      </w:r>
      <w:r w:rsidRPr="00E67914">
        <w:rPr>
          <w:rFonts w:ascii="Times New Roman" w:hAnsi="Times New Roman"/>
          <w:lang w:eastAsia="zh-CN"/>
        </w:rPr>
        <w:t>“</w:t>
      </w:r>
      <w:r w:rsidRPr="00E67914">
        <w:rPr>
          <w:rFonts w:ascii="Times New Roman" w:hAnsi="Times New Roman"/>
          <w:lang w:eastAsia="zh-CN"/>
        </w:rPr>
        <w:t>鼓励类</w:t>
      </w:r>
      <w:r w:rsidRPr="00E67914">
        <w:rPr>
          <w:rFonts w:ascii="Times New Roman" w:hAnsi="Times New Roman"/>
          <w:lang w:eastAsia="zh-CN"/>
        </w:rPr>
        <w:t>”</w:t>
      </w:r>
      <w:r w:rsidRPr="00E67914">
        <w:rPr>
          <w:rFonts w:ascii="Times New Roman" w:hAnsi="Times New Roman"/>
          <w:lang w:eastAsia="zh-CN"/>
        </w:rPr>
        <w:t>第七条</w:t>
      </w:r>
      <w:r w:rsidRPr="00E67914">
        <w:rPr>
          <w:rFonts w:ascii="Times New Roman" w:hAnsi="Times New Roman"/>
          <w:lang w:eastAsia="zh-CN"/>
        </w:rPr>
        <w:t>“</w:t>
      </w:r>
      <w:r w:rsidRPr="00E67914">
        <w:rPr>
          <w:rFonts w:ascii="Times New Roman" w:hAnsi="Times New Roman"/>
          <w:lang w:eastAsia="zh-CN"/>
        </w:rPr>
        <w:t>石油类、天然气</w:t>
      </w:r>
      <w:r w:rsidRPr="00E67914">
        <w:rPr>
          <w:rFonts w:ascii="Times New Roman" w:hAnsi="Times New Roman"/>
          <w:lang w:eastAsia="zh-CN"/>
        </w:rPr>
        <w:t>”</w:t>
      </w:r>
      <w:r w:rsidRPr="00E67914">
        <w:rPr>
          <w:rFonts w:ascii="Times New Roman" w:hAnsi="Times New Roman"/>
          <w:lang w:eastAsia="zh-CN"/>
        </w:rPr>
        <w:t>第二款</w:t>
      </w:r>
      <w:r w:rsidRPr="00E67914">
        <w:rPr>
          <w:rFonts w:ascii="Times New Roman" w:hAnsi="Times New Roman"/>
          <w:lang w:eastAsia="zh-CN"/>
        </w:rPr>
        <w:t>“</w:t>
      </w:r>
      <w:r w:rsidRPr="00E67914">
        <w:rPr>
          <w:rFonts w:ascii="Times New Roman" w:hAnsi="Times New Roman"/>
          <w:lang w:eastAsia="zh-CN"/>
        </w:rPr>
        <w:t>页岩气、页岩油、致密油、油砂、天然气水合物等非常规资源勘探开发</w:t>
      </w:r>
      <w:r w:rsidRPr="00E67914">
        <w:rPr>
          <w:rFonts w:ascii="Times New Roman" w:hAnsi="Times New Roman"/>
          <w:lang w:eastAsia="zh-CN"/>
        </w:rPr>
        <w:t>”</w:t>
      </w:r>
      <w:r w:rsidRPr="00E67914">
        <w:rPr>
          <w:rFonts w:ascii="Times New Roman" w:hAnsi="Times New Roman"/>
          <w:lang w:eastAsia="zh-CN"/>
        </w:rPr>
        <w:t>，满足《石油天然气开采业污染防治技术政策》（〔</w:t>
      </w:r>
      <w:r w:rsidRPr="00E67914">
        <w:rPr>
          <w:rFonts w:ascii="Times New Roman" w:hAnsi="Times New Roman"/>
          <w:lang w:eastAsia="zh-CN"/>
        </w:rPr>
        <w:t>2012</w:t>
      </w:r>
      <w:r w:rsidRPr="00E67914">
        <w:rPr>
          <w:rFonts w:ascii="Times New Roman" w:hAnsi="Times New Roman"/>
          <w:lang w:eastAsia="zh-CN"/>
        </w:rPr>
        <w:t>〕</w:t>
      </w:r>
      <w:r w:rsidRPr="00E67914">
        <w:rPr>
          <w:rFonts w:ascii="Times New Roman" w:hAnsi="Times New Roman"/>
          <w:lang w:eastAsia="zh-CN"/>
        </w:rPr>
        <w:t>18</w:t>
      </w:r>
      <w:r w:rsidRPr="00E67914">
        <w:rPr>
          <w:rFonts w:ascii="Times New Roman" w:hAnsi="Times New Roman"/>
          <w:lang w:eastAsia="zh-CN"/>
        </w:rPr>
        <w:t>号）要求；项目实施经中国石油化工股份有限公司中原油田分公司以</w:t>
      </w:r>
      <w:r w:rsidRPr="00E67914">
        <w:rPr>
          <w:rFonts w:ascii="Times New Roman" w:hAnsi="Times New Roman"/>
          <w:highlight w:val="yellow"/>
          <w:lang w:eastAsia="zh-CN"/>
        </w:rPr>
        <w:t>“</w:t>
      </w:r>
      <w:r w:rsidRPr="00E67914">
        <w:rPr>
          <w:rFonts w:ascii="Times New Roman" w:hAnsi="Times New Roman"/>
          <w:highlight w:val="yellow"/>
          <w:lang w:eastAsia="zh-CN"/>
        </w:rPr>
        <w:t>中原</w:t>
      </w:r>
      <w:r w:rsidR="007F4BFA" w:rsidRPr="00E67914">
        <w:rPr>
          <w:rFonts w:ascii="Times New Roman" w:hAnsi="Times New Roman"/>
          <w:highlight w:val="yellow"/>
          <w:lang w:eastAsia="zh-CN"/>
        </w:rPr>
        <w:t>油分投资</w:t>
      </w:r>
      <w:r w:rsidRPr="00E67914">
        <w:rPr>
          <w:rFonts w:ascii="Times New Roman" w:hAnsi="Times New Roman"/>
          <w:highlight w:val="yellow"/>
          <w:lang w:eastAsia="zh-CN"/>
        </w:rPr>
        <w:t>〔</w:t>
      </w:r>
      <w:r w:rsidRPr="00E67914">
        <w:rPr>
          <w:rFonts w:ascii="Times New Roman" w:hAnsi="Times New Roman"/>
          <w:highlight w:val="yellow"/>
          <w:lang w:eastAsia="zh-CN"/>
        </w:rPr>
        <w:t>2023</w:t>
      </w:r>
      <w:r w:rsidRPr="00E67914">
        <w:rPr>
          <w:rFonts w:ascii="Times New Roman" w:hAnsi="Times New Roman"/>
          <w:highlight w:val="yellow"/>
          <w:lang w:eastAsia="zh-CN"/>
        </w:rPr>
        <w:t>〕</w:t>
      </w:r>
      <w:r w:rsidR="007F4BFA" w:rsidRPr="00E67914">
        <w:rPr>
          <w:rFonts w:ascii="Times New Roman" w:hAnsi="Times New Roman"/>
          <w:highlight w:val="yellow"/>
          <w:lang w:eastAsia="zh-CN"/>
        </w:rPr>
        <w:t>63</w:t>
      </w:r>
      <w:r w:rsidRPr="00E67914">
        <w:rPr>
          <w:rFonts w:ascii="Times New Roman" w:hAnsi="Times New Roman"/>
          <w:highlight w:val="yellow"/>
          <w:lang w:eastAsia="zh-CN"/>
        </w:rPr>
        <w:t>号</w:t>
      </w:r>
      <w:r w:rsidRPr="00E67914">
        <w:rPr>
          <w:rFonts w:ascii="Times New Roman" w:hAnsi="Times New Roman"/>
          <w:highlight w:val="yellow"/>
          <w:lang w:eastAsia="zh-CN"/>
        </w:rPr>
        <w:t>”</w:t>
      </w:r>
      <w:r w:rsidRPr="00E67914">
        <w:rPr>
          <w:rFonts w:ascii="Times New Roman" w:hAnsi="Times New Roman"/>
          <w:lang w:eastAsia="zh-CN"/>
        </w:rPr>
        <w:t>文出具了可研批复，因此，本项目符合国家产业政策。</w:t>
      </w:r>
    </w:p>
    <w:p w14:paraId="46A6A5F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bookmarkStart w:id="329" w:name="_bookmark51"/>
      <w:bookmarkStart w:id="330" w:name="10.3.2项目选址合理性分析"/>
      <w:bookmarkEnd w:id="329"/>
      <w:bookmarkEnd w:id="330"/>
      <w:r w:rsidRPr="00E67914">
        <w:rPr>
          <w:rFonts w:ascii="Times New Roman" w:hAnsi="Times New Roman"/>
          <w:lang w:eastAsia="zh-CN"/>
        </w:rPr>
        <w:t>（</w:t>
      </w:r>
      <w:r w:rsidRPr="00E67914">
        <w:rPr>
          <w:rFonts w:ascii="Times New Roman" w:hAnsi="Times New Roman"/>
          <w:lang w:eastAsia="zh-CN"/>
        </w:rPr>
        <w:t>2</w:t>
      </w:r>
      <w:r w:rsidRPr="00E67914">
        <w:rPr>
          <w:rFonts w:ascii="Times New Roman" w:hAnsi="Times New Roman"/>
          <w:lang w:eastAsia="zh-CN"/>
        </w:rPr>
        <w:t>）项目选址合理性分析</w:t>
      </w:r>
    </w:p>
    <w:p w14:paraId="02395963" w14:textId="0AB54D4B"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本项目建设符合石油天然气开发规划。不在城镇规划区域内，不属于城镇用地，项目所在地为农村地区，主要发展农业。本项目</w:t>
      </w:r>
      <w:r w:rsidR="008C2FCD" w:rsidRPr="00E67914">
        <w:rPr>
          <w:rFonts w:ascii="Times New Roman" w:hAnsi="Times New Roman"/>
          <w:lang w:eastAsia="zh-CN"/>
        </w:rPr>
        <w:t>未位于普光镇城镇规划</w:t>
      </w:r>
      <w:r w:rsidR="008C2FCD" w:rsidRPr="00E67914">
        <w:rPr>
          <w:rFonts w:ascii="Times New Roman" w:hAnsi="Times New Roman"/>
          <w:lang w:eastAsia="zh-CN"/>
        </w:rPr>
        <w:lastRenderedPageBreak/>
        <w:t>范围内</w:t>
      </w:r>
      <w:r w:rsidRPr="00E67914">
        <w:rPr>
          <w:rFonts w:ascii="Times New Roman" w:hAnsi="Times New Roman"/>
          <w:lang w:eastAsia="zh-CN"/>
        </w:rPr>
        <w:t>，本项目建设不违背</w:t>
      </w:r>
      <w:r w:rsidR="00DD2AA7" w:rsidRPr="00E67914">
        <w:rPr>
          <w:rFonts w:ascii="Times New Roman" w:hAnsi="Times New Roman"/>
          <w:lang w:eastAsia="zh-CN"/>
        </w:rPr>
        <w:t>普光镇</w:t>
      </w:r>
      <w:r w:rsidRPr="00E67914">
        <w:rPr>
          <w:rFonts w:ascii="Times New Roman" w:hAnsi="Times New Roman"/>
          <w:lang w:eastAsia="zh-CN"/>
        </w:rPr>
        <w:t>规划要求。本项目不涉及生态红线，符合</w:t>
      </w:r>
      <w:r w:rsidRPr="00E67914">
        <w:rPr>
          <w:rFonts w:ascii="Times New Roman" w:hAnsi="Times New Roman"/>
          <w:lang w:eastAsia="zh-CN"/>
        </w:rPr>
        <w:t>“</w:t>
      </w:r>
      <w:r w:rsidRPr="00E67914">
        <w:rPr>
          <w:rFonts w:ascii="Times New Roman" w:hAnsi="Times New Roman"/>
          <w:lang w:eastAsia="zh-CN"/>
        </w:rPr>
        <w:t>三线一单</w:t>
      </w:r>
      <w:r w:rsidRPr="00E67914">
        <w:rPr>
          <w:rFonts w:ascii="Times New Roman" w:hAnsi="Times New Roman"/>
          <w:lang w:eastAsia="zh-CN"/>
        </w:rPr>
        <w:t>”</w:t>
      </w:r>
      <w:r w:rsidRPr="00E67914">
        <w:rPr>
          <w:rFonts w:ascii="Times New Roman" w:hAnsi="Times New Roman"/>
          <w:lang w:eastAsia="zh-CN"/>
        </w:rPr>
        <w:t>管控要求，井口周边</w:t>
      </w:r>
      <w:r w:rsidRPr="00E67914">
        <w:rPr>
          <w:rFonts w:ascii="Times New Roman" w:hAnsi="Times New Roman"/>
          <w:lang w:eastAsia="zh-CN"/>
        </w:rPr>
        <w:t>100m</w:t>
      </w:r>
      <w:r w:rsidRPr="00E67914">
        <w:rPr>
          <w:rFonts w:ascii="Times New Roman" w:hAnsi="Times New Roman"/>
          <w:lang w:eastAsia="zh-CN"/>
        </w:rPr>
        <w:t>内无居民等敏感目标分布，</w:t>
      </w:r>
      <w:r w:rsidRPr="00E67914">
        <w:rPr>
          <w:rFonts w:ascii="Times New Roman" w:hAnsi="Times New Roman"/>
          <w:lang w:eastAsia="zh-CN"/>
        </w:rPr>
        <w:t>500m</w:t>
      </w:r>
      <w:r w:rsidRPr="00E67914">
        <w:rPr>
          <w:rFonts w:ascii="Times New Roman" w:hAnsi="Times New Roman"/>
          <w:lang w:eastAsia="zh-CN"/>
        </w:rPr>
        <w:t>范围内无医院、学校等敏感目标，总体选址环境不敏感。本项目的平面布置执行《钻前工程及井场技术要求》（</w:t>
      </w:r>
      <w:r w:rsidRPr="00E67914">
        <w:rPr>
          <w:rFonts w:ascii="Times New Roman" w:hAnsi="Times New Roman"/>
          <w:lang w:eastAsia="zh-CN"/>
        </w:rPr>
        <w:t>SY/T 5466-2013</w:t>
      </w:r>
      <w:r w:rsidRPr="00E67914">
        <w:rPr>
          <w:rFonts w:ascii="Times New Roman" w:hAnsi="Times New Roman"/>
          <w:lang w:eastAsia="zh-CN"/>
        </w:rPr>
        <w:t>），总体上符合环保要求</w:t>
      </w:r>
      <w:r w:rsidRPr="00E67914">
        <w:rPr>
          <w:rFonts w:ascii="Times New Roman" w:hAnsi="Times New Roman"/>
          <w:bCs/>
          <w:kern w:val="2"/>
          <w:lang w:eastAsia="zh-CN"/>
        </w:rPr>
        <w:t>。</w:t>
      </w:r>
    </w:p>
    <w:p w14:paraId="6D26D2F9" w14:textId="77777777" w:rsidR="00A54A8A" w:rsidRPr="00E67914" w:rsidRDefault="00000000">
      <w:pPr>
        <w:pStyle w:val="2"/>
        <w:ind w:firstLine="480"/>
        <w:jc w:val="both"/>
        <w:rPr>
          <w:szCs w:val="24"/>
          <w:lang w:eastAsia="zh-CN"/>
        </w:rPr>
      </w:pPr>
      <w:bookmarkStart w:id="331" w:name="_bookmark52"/>
      <w:bookmarkStart w:id="332" w:name="10.4环境影响评价结论"/>
      <w:bookmarkStart w:id="333" w:name="_Toc148654261"/>
      <w:bookmarkEnd w:id="331"/>
      <w:bookmarkEnd w:id="332"/>
      <w:r w:rsidRPr="00E67914">
        <w:rPr>
          <w:szCs w:val="24"/>
          <w:lang w:eastAsia="zh-CN"/>
        </w:rPr>
        <w:t>11.4</w:t>
      </w:r>
      <w:r w:rsidRPr="00E67914">
        <w:rPr>
          <w:szCs w:val="24"/>
          <w:lang w:eastAsia="zh-CN"/>
        </w:rPr>
        <w:t>环境影响评价结论</w:t>
      </w:r>
      <w:bookmarkEnd w:id="333"/>
    </w:p>
    <w:p w14:paraId="05789A8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1</w:t>
      </w:r>
      <w:r w:rsidRPr="00E67914">
        <w:rPr>
          <w:rFonts w:ascii="Times New Roman" w:hAnsi="Times New Roman"/>
          <w:sz w:val="24"/>
          <w:szCs w:val="24"/>
          <w:lang w:eastAsia="zh-CN"/>
        </w:rPr>
        <w:t>）大气环境</w:t>
      </w:r>
    </w:p>
    <w:p w14:paraId="7ECC6E53" w14:textId="5B760BE4"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钻井和天然气试采期，优先使用网电，废气污染物排放量少，钻井期无组织挥发性有机物排放量小，测试放喷采用放喷管线接至放喷池并经燃烧后放喷，试采期</w:t>
      </w:r>
      <w:r w:rsidR="00C24829" w:rsidRPr="00E67914">
        <w:rPr>
          <w:rFonts w:ascii="Times New Roman" w:hAnsi="Times New Roman"/>
          <w:sz w:val="24"/>
          <w:szCs w:val="24"/>
          <w:lang w:eastAsia="zh-CN"/>
        </w:rPr>
        <w:t>水套加热炉燃烧废气</w:t>
      </w:r>
      <w:r w:rsidR="008C2FCD" w:rsidRPr="00E67914">
        <w:rPr>
          <w:rFonts w:ascii="Times New Roman" w:hAnsi="Times New Roman"/>
          <w:sz w:val="24"/>
          <w:szCs w:val="24"/>
          <w:lang w:eastAsia="zh-CN"/>
        </w:rPr>
        <w:t>、火炬及放空系统长明灯燃烧废气、油罐挥发气体、凝析油装车挥发气体</w:t>
      </w:r>
      <w:r w:rsidRPr="00E67914">
        <w:rPr>
          <w:rFonts w:ascii="Times New Roman" w:hAnsi="Times New Roman"/>
          <w:sz w:val="24"/>
          <w:szCs w:val="24"/>
          <w:lang w:eastAsia="zh-CN"/>
        </w:rPr>
        <w:t>能达标排放，</w:t>
      </w:r>
      <w:r w:rsidR="00C13512" w:rsidRPr="00E67914">
        <w:rPr>
          <w:rFonts w:ascii="Times New Roman" w:hAnsi="Times New Roman"/>
          <w:sz w:val="24"/>
          <w:szCs w:val="24"/>
          <w:lang w:eastAsia="zh-CN"/>
        </w:rPr>
        <w:t>异常工况下</w:t>
      </w:r>
      <w:r w:rsidR="001729B7" w:rsidRPr="00E67914">
        <w:rPr>
          <w:rFonts w:ascii="Times New Roman" w:hAnsi="Times New Roman"/>
          <w:sz w:val="24"/>
          <w:szCs w:val="24"/>
          <w:lang w:eastAsia="zh-CN"/>
        </w:rPr>
        <w:t>井口高压放空至</w:t>
      </w:r>
      <w:r w:rsidR="001729B7" w:rsidRPr="00E67914">
        <w:rPr>
          <w:rFonts w:ascii="Times New Roman" w:hAnsi="Times New Roman"/>
          <w:sz w:val="24"/>
          <w:szCs w:val="24"/>
          <w:lang w:eastAsia="zh-CN"/>
        </w:rPr>
        <w:t>25m</w:t>
      </w:r>
      <w:r w:rsidR="001729B7" w:rsidRPr="00E67914">
        <w:rPr>
          <w:rFonts w:ascii="Times New Roman" w:hAnsi="Times New Roman"/>
          <w:sz w:val="24"/>
          <w:szCs w:val="24"/>
          <w:lang w:eastAsia="zh-CN"/>
        </w:rPr>
        <w:t>高</w:t>
      </w:r>
      <w:r w:rsidR="00FC2143" w:rsidRPr="00E67914">
        <w:rPr>
          <w:rFonts w:ascii="Times New Roman" w:hAnsi="Times New Roman"/>
          <w:sz w:val="24"/>
          <w:szCs w:val="24"/>
          <w:lang w:eastAsia="zh-CN"/>
        </w:rPr>
        <w:t>火炬燃烧排放</w:t>
      </w:r>
      <w:r w:rsidR="001729B7" w:rsidRPr="00E67914">
        <w:rPr>
          <w:rFonts w:ascii="Times New Roman" w:hAnsi="Times New Roman"/>
          <w:sz w:val="24"/>
          <w:szCs w:val="24"/>
          <w:lang w:eastAsia="zh-CN"/>
        </w:rPr>
        <w:t>，</w:t>
      </w:r>
      <w:r w:rsidR="00EE5D65" w:rsidRPr="00E67914">
        <w:rPr>
          <w:rFonts w:ascii="Times New Roman" w:hAnsi="Times New Roman"/>
          <w:sz w:val="24"/>
          <w:szCs w:val="24"/>
          <w:lang w:eastAsia="zh-CN"/>
        </w:rPr>
        <w:t>工艺设备（含油罐）及站内外输管线气体通过</w:t>
      </w:r>
      <w:r w:rsidR="00EE5D65" w:rsidRPr="00E67914">
        <w:rPr>
          <w:rFonts w:ascii="Times New Roman" w:hAnsi="Times New Roman"/>
          <w:sz w:val="24"/>
          <w:szCs w:val="24"/>
          <w:lang w:eastAsia="zh-CN"/>
        </w:rPr>
        <w:t>6m</w:t>
      </w:r>
      <w:r w:rsidR="00EE5D65" w:rsidRPr="00E67914">
        <w:rPr>
          <w:rFonts w:ascii="Times New Roman" w:hAnsi="Times New Roman"/>
          <w:sz w:val="24"/>
          <w:szCs w:val="24"/>
          <w:lang w:eastAsia="zh-CN"/>
        </w:rPr>
        <w:t>放空立管放空</w:t>
      </w:r>
      <w:r w:rsidRPr="00E67914">
        <w:rPr>
          <w:rFonts w:ascii="Times New Roman" w:hAnsi="Times New Roman"/>
          <w:sz w:val="24"/>
          <w:szCs w:val="24"/>
          <w:lang w:eastAsia="zh-CN"/>
        </w:rPr>
        <w:t>，且排放时间短，对所在地大气环境的影响是可接受的。</w:t>
      </w:r>
    </w:p>
    <w:p w14:paraId="03B16516"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2</w:t>
      </w:r>
      <w:r w:rsidRPr="00E67914">
        <w:rPr>
          <w:rFonts w:ascii="Times New Roman" w:hAnsi="Times New Roman"/>
          <w:sz w:val="24"/>
          <w:szCs w:val="24"/>
          <w:lang w:eastAsia="zh-CN"/>
        </w:rPr>
        <w:t>）地表水</w:t>
      </w:r>
    </w:p>
    <w:p w14:paraId="477FA514" w14:textId="49FC40DD"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钻前施工废水回用于降尘，钻井期间，钻井废水和洗井废水经固控设备固液分离后满足要求的全部回用于钻井过程，剩余不可回用部分暂存于</w:t>
      </w:r>
      <w:r w:rsidR="00A9536E" w:rsidRPr="00E67914">
        <w:rPr>
          <w:rFonts w:ascii="Times New Roman" w:hAnsi="Times New Roman"/>
          <w:sz w:val="24"/>
          <w:szCs w:val="24"/>
          <w:lang w:eastAsia="zh-CN"/>
        </w:rPr>
        <w:t>放空分液罐、采出水罐</w:t>
      </w:r>
      <w:r w:rsidRPr="00E67914">
        <w:rPr>
          <w:rFonts w:ascii="Times New Roman" w:hAnsi="Times New Roman"/>
          <w:sz w:val="24"/>
          <w:szCs w:val="24"/>
          <w:lang w:eastAsia="zh-CN"/>
        </w:rPr>
        <w:t>，定期通过密闭罐车拉运至赵家坝污水处理站达标后管输至普光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井回注站回注，不外排；压裂返排液密闭罐车拉运至赵家坝污水处理站达标后管输至普光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井回注站回注，不外排；天然气试采期间，产生的废水用密闭罐车拉运至赵家坝污水处理站达标后管输至普光</w:t>
      </w:r>
      <w:r w:rsidRPr="00E67914">
        <w:rPr>
          <w:rFonts w:ascii="Times New Roman" w:hAnsi="Times New Roman"/>
          <w:sz w:val="24"/>
          <w:szCs w:val="24"/>
          <w:lang w:eastAsia="zh-CN"/>
        </w:rPr>
        <w:t>11</w:t>
      </w:r>
      <w:r w:rsidRPr="00E67914">
        <w:rPr>
          <w:rFonts w:ascii="Times New Roman" w:hAnsi="Times New Roman"/>
          <w:sz w:val="24"/>
          <w:szCs w:val="24"/>
          <w:lang w:eastAsia="zh-CN"/>
        </w:rPr>
        <w:t>井回注站回注，不外排。对区域地表水环境影响甚微。</w:t>
      </w:r>
    </w:p>
    <w:p w14:paraId="06ECD0ED"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3</w:t>
      </w:r>
      <w:r w:rsidRPr="00E67914">
        <w:rPr>
          <w:rFonts w:ascii="Times New Roman" w:hAnsi="Times New Roman"/>
          <w:sz w:val="24"/>
          <w:szCs w:val="24"/>
          <w:lang w:eastAsia="zh-CN"/>
        </w:rPr>
        <w:t>）声环境</w:t>
      </w:r>
    </w:p>
    <w:p w14:paraId="4617D3B6"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钻井期间噪声对周围环境的影响为短暂影响，采用噪声源合理布局，为产噪大的设备安装消声器和减震基础，随着工程的完工，噪声影响消失。通过对井场周围居民的影响预测可知，在采取合理措施后，井场周边居民等敏感目标均能满足《声环境质量标准》（</w:t>
      </w:r>
      <w:r w:rsidRPr="00E67914">
        <w:rPr>
          <w:rFonts w:ascii="Times New Roman" w:hAnsi="Times New Roman"/>
          <w:sz w:val="24"/>
          <w:szCs w:val="24"/>
          <w:lang w:eastAsia="zh-CN"/>
        </w:rPr>
        <w:t>GB3096-2008</w:t>
      </w:r>
      <w:r w:rsidRPr="00E67914">
        <w:rPr>
          <w:rFonts w:ascii="Times New Roman" w:hAnsi="Times New Roman"/>
          <w:sz w:val="24"/>
          <w:szCs w:val="24"/>
          <w:lang w:eastAsia="zh-CN"/>
        </w:rPr>
        <w:t>）中</w:t>
      </w:r>
      <w:r w:rsidRPr="00E67914">
        <w:rPr>
          <w:rFonts w:ascii="Times New Roman" w:hAnsi="Times New Roman"/>
          <w:sz w:val="24"/>
          <w:szCs w:val="24"/>
          <w:lang w:eastAsia="zh-CN"/>
        </w:rPr>
        <w:t>2</w:t>
      </w:r>
      <w:r w:rsidRPr="00E67914">
        <w:rPr>
          <w:rFonts w:ascii="Times New Roman" w:hAnsi="Times New Roman"/>
          <w:sz w:val="24"/>
          <w:szCs w:val="24"/>
          <w:lang w:eastAsia="zh-CN"/>
        </w:rPr>
        <w:t>类标准要求。</w:t>
      </w:r>
    </w:p>
    <w:p w14:paraId="7B13C893"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天然气试采期间，厂界噪声能实现达标排放，周边声环境敏感点噪声能达到《声环境质量标准》（</w:t>
      </w:r>
      <w:r w:rsidRPr="00E67914">
        <w:rPr>
          <w:rFonts w:ascii="Times New Roman" w:hAnsi="Times New Roman"/>
          <w:sz w:val="24"/>
          <w:szCs w:val="24"/>
          <w:lang w:eastAsia="zh-CN"/>
        </w:rPr>
        <w:t>GB3096-2008</w:t>
      </w:r>
      <w:r w:rsidRPr="00E67914">
        <w:rPr>
          <w:rFonts w:ascii="Times New Roman" w:hAnsi="Times New Roman"/>
          <w:sz w:val="24"/>
          <w:szCs w:val="24"/>
          <w:lang w:eastAsia="zh-CN"/>
        </w:rPr>
        <w:t>）中</w:t>
      </w:r>
      <w:r w:rsidRPr="00E67914">
        <w:rPr>
          <w:rFonts w:ascii="Times New Roman" w:hAnsi="Times New Roman"/>
          <w:sz w:val="24"/>
          <w:szCs w:val="24"/>
          <w:lang w:eastAsia="zh-CN"/>
        </w:rPr>
        <w:t>2</w:t>
      </w:r>
      <w:r w:rsidRPr="00E67914">
        <w:rPr>
          <w:rFonts w:ascii="Times New Roman" w:hAnsi="Times New Roman"/>
          <w:sz w:val="24"/>
          <w:szCs w:val="24"/>
          <w:lang w:eastAsia="zh-CN"/>
        </w:rPr>
        <w:t>类标准要求，不会噪声扰民。</w:t>
      </w:r>
    </w:p>
    <w:p w14:paraId="20B2ACA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4</w:t>
      </w:r>
      <w:r w:rsidRPr="00E67914">
        <w:rPr>
          <w:rFonts w:ascii="Times New Roman" w:hAnsi="Times New Roman"/>
          <w:sz w:val="24"/>
          <w:szCs w:val="24"/>
          <w:lang w:eastAsia="zh-CN"/>
        </w:rPr>
        <w:t>）固体废物</w:t>
      </w:r>
    </w:p>
    <w:p w14:paraId="0195C2AF" w14:textId="5F5E8D0F"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项目产生弃土用于生态恢复</w:t>
      </w:r>
      <w:r w:rsidR="000C25DD" w:rsidRPr="00E67914">
        <w:rPr>
          <w:rFonts w:ascii="Times New Roman" w:hAnsi="Times New Roman"/>
          <w:sz w:val="24"/>
          <w:szCs w:val="24"/>
          <w:lang w:eastAsia="zh-CN"/>
        </w:rPr>
        <w:t>，做到土石方平衡；</w:t>
      </w:r>
      <w:r w:rsidRPr="00E67914">
        <w:rPr>
          <w:rFonts w:ascii="Times New Roman" w:hAnsi="Times New Roman"/>
          <w:sz w:val="24"/>
          <w:szCs w:val="24"/>
          <w:lang w:eastAsia="zh-CN"/>
        </w:rPr>
        <w:t>生活垃圾交由环卫部门处理</w:t>
      </w:r>
      <w:r w:rsidR="000C25DD" w:rsidRPr="00E67914">
        <w:rPr>
          <w:rFonts w:ascii="Times New Roman" w:hAnsi="Times New Roman"/>
          <w:sz w:val="24"/>
          <w:szCs w:val="24"/>
          <w:lang w:eastAsia="zh-CN"/>
        </w:rPr>
        <w:t>；</w:t>
      </w:r>
      <w:r w:rsidRPr="00E67914">
        <w:rPr>
          <w:rFonts w:ascii="Times New Roman" w:hAnsi="Times New Roman"/>
          <w:sz w:val="24"/>
          <w:szCs w:val="24"/>
          <w:lang w:eastAsia="zh-CN"/>
        </w:rPr>
        <w:t>水基钻井固废收集后定期用密闭罐车及时转运至达州地区环保手续齐全、</w:t>
      </w:r>
      <w:r w:rsidRPr="00E67914">
        <w:rPr>
          <w:rFonts w:ascii="Times New Roman" w:hAnsi="Times New Roman"/>
          <w:sz w:val="24"/>
          <w:szCs w:val="24"/>
          <w:lang w:eastAsia="zh-CN"/>
        </w:rPr>
        <w:lastRenderedPageBreak/>
        <w:t>环保设施稳定运行固废烧结厂进行烧结后综合利用</w:t>
      </w:r>
      <w:r w:rsidR="000C25DD" w:rsidRPr="00E67914">
        <w:rPr>
          <w:rFonts w:ascii="Times New Roman" w:hAnsi="Times New Roman"/>
          <w:sz w:val="24"/>
          <w:szCs w:val="24"/>
          <w:lang w:eastAsia="zh-CN"/>
        </w:rPr>
        <w:t>；油基钻井固废暂存于新建的危险废物暂存场所及时交由有资质的单位处置；</w:t>
      </w:r>
      <w:r w:rsidRPr="00E67914">
        <w:rPr>
          <w:rFonts w:ascii="Times New Roman" w:hAnsi="Times New Roman"/>
          <w:sz w:val="24"/>
          <w:szCs w:val="24"/>
          <w:lang w:eastAsia="zh-CN"/>
        </w:rPr>
        <w:t>设置废油桶集中收集暂存于泥浆不落地装置区临时堆放区内，钻井队综合利用或交由有资质的单位处理。各类固体废物经分类收集，严格做好固体废物的暂存管理，并采取有效的处置措施，使固体废物均得以妥善处置，对环境不会造成污染影响。</w:t>
      </w:r>
    </w:p>
    <w:p w14:paraId="695A6267"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5</w:t>
      </w:r>
      <w:r w:rsidRPr="00E67914">
        <w:rPr>
          <w:rFonts w:ascii="Times New Roman" w:hAnsi="Times New Roman"/>
          <w:sz w:val="24"/>
          <w:szCs w:val="24"/>
          <w:lang w:eastAsia="zh-CN"/>
        </w:rPr>
        <w:t>）地下水</w:t>
      </w:r>
    </w:p>
    <w:p w14:paraId="4B7DF76A" w14:textId="2D16F96E"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本项目对井场采取分区防渗和加强污染监控后，钻井期间发生污染地下水的可能性较小。若钻井过程中出现废水外溢等事件，将造成井场或井筒周围小范围内的地下</w:t>
      </w:r>
      <w:r w:rsidRPr="00E67914">
        <w:rPr>
          <w:rFonts w:ascii="Times New Roman" w:hAnsi="Times New Roman"/>
          <w:bCs/>
          <w:kern w:val="2"/>
          <w:sz w:val="24"/>
          <w:szCs w:val="24"/>
          <w:lang w:eastAsia="zh-CN"/>
        </w:rPr>
        <w:t>耗氧量</w:t>
      </w:r>
      <w:r w:rsidRPr="00E67914">
        <w:rPr>
          <w:rFonts w:ascii="Times New Roman" w:hAnsi="Times New Roman"/>
          <w:sz w:val="24"/>
          <w:szCs w:val="24"/>
          <w:lang w:eastAsia="zh-CN"/>
        </w:rPr>
        <w:t>、石油类超标，该范围以外的地区，地下水质量维持现状，对周边散居农户</w:t>
      </w:r>
      <w:r w:rsidR="000C25DD" w:rsidRPr="00E67914">
        <w:rPr>
          <w:rFonts w:ascii="Times New Roman" w:hAnsi="Times New Roman"/>
          <w:sz w:val="24"/>
          <w:szCs w:val="24"/>
          <w:lang w:eastAsia="zh-CN"/>
        </w:rPr>
        <w:t>泉水点</w:t>
      </w:r>
      <w:r w:rsidRPr="00E67914">
        <w:rPr>
          <w:rFonts w:ascii="Times New Roman" w:hAnsi="Times New Roman"/>
          <w:sz w:val="24"/>
          <w:szCs w:val="24"/>
          <w:lang w:eastAsia="zh-CN"/>
        </w:rPr>
        <w:t>的影响较小。天然气试采期间废水集中收集，不会对地下水造成影响。</w:t>
      </w:r>
    </w:p>
    <w:p w14:paraId="3A897553"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6</w:t>
      </w:r>
      <w:r w:rsidRPr="00E67914">
        <w:rPr>
          <w:rFonts w:ascii="Times New Roman" w:hAnsi="Times New Roman"/>
          <w:sz w:val="24"/>
          <w:szCs w:val="24"/>
          <w:lang w:eastAsia="zh-CN"/>
        </w:rPr>
        <w:t>）土壤环境</w:t>
      </w:r>
    </w:p>
    <w:p w14:paraId="4666C67F"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本项目采取了清污分流、分区分级防渗等措施，污染物进入土壤环境的可能性很小。根据类比调查，同地区天然气钻采项目均未出现过土壤环境污染现场和投诉，项目不会对土壤环境造成影响。</w:t>
      </w:r>
    </w:p>
    <w:p w14:paraId="6FD9CBB4" w14:textId="77777777" w:rsidR="00A54A8A" w:rsidRPr="00E67914" w:rsidRDefault="00000000">
      <w:pPr>
        <w:adjustRightInd w:val="0"/>
        <w:snapToGrid w:val="0"/>
        <w:spacing w:line="360" w:lineRule="auto"/>
        <w:ind w:firstLineChars="200" w:firstLine="480"/>
        <w:jc w:val="both"/>
        <w:rPr>
          <w:rFonts w:ascii="Times New Roman" w:hAnsi="Times New Roman"/>
          <w:sz w:val="24"/>
          <w:szCs w:val="24"/>
          <w:lang w:eastAsia="zh-CN"/>
        </w:rPr>
      </w:pPr>
      <w:r w:rsidRPr="00E67914">
        <w:rPr>
          <w:rFonts w:ascii="Times New Roman" w:hAnsi="Times New Roman"/>
          <w:sz w:val="24"/>
          <w:szCs w:val="24"/>
          <w:lang w:eastAsia="zh-CN"/>
        </w:rPr>
        <w:t>（</w:t>
      </w:r>
      <w:r w:rsidRPr="00E67914">
        <w:rPr>
          <w:rFonts w:ascii="Times New Roman" w:hAnsi="Times New Roman"/>
          <w:sz w:val="24"/>
          <w:szCs w:val="24"/>
          <w:lang w:eastAsia="zh-CN"/>
        </w:rPr>
        <w:t>7</w:t>
      </w:r>
      <w:r w:rsidRPr="00E67914">
        <w:rPr>
          <w:rFonts w:ascii="Times New Roman" w:hAnsi="Times New Roman"/>
          <w:sz w:val="24"/>
          <w:szCs w:val="24"/>
          <w:lang w:eastAsia="zh-CN"/>
        </w:rPr>
        <w:t>）生态环境</w:t>
      </w:r>
    </w:p>
    <w:p w14:paraId="1168A2DE"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lang w:eastAsia="zh-CN"/>
        </w:rPr>
      </w:pPr>
      <w:r w:rsidRPr="00E67914">
        <w:rPr>
          <w:rFonts w:ascii="Times New Roman" w:hAnsi="Times New Roman"/>
          <w:lang w:eastAsia="zh-CN"/>
        </w:rPr>
        <w:t>本项目临时占地在施工结束后进行恢复种植，永久占地后期进行植被修复，恢复当地生态，有效削弱了对生态环境的影响。</w:t>
      </w:r>
    </w:p>
    <w:p w14:paraId="763CD678" w14:textId="77777777" w:rsidR="00A54A8A" w:rsidRPr="00E67914" w:rsidRDefault="00000000">
      <w:pPr>
        <w:pStyle w:val="2"/>
        <w:ind w:firstLine="480"/>
        <w:jc w:val="both"/>
        <w:rPr>
          <w:szCs w:val="24"/>
          <w:lang w:eastAsia="zh-CN"/>
        </w:rPr>
      </w:pPr>
      <w:bookmarkStart w:id="334" w:name="_bookmark53"/>
      <w:bookmarkStart w:id="335" w:name="10.5环境风险分析"/>
      <w:bookmarkStart w:id="336" w:name="_Toc148654262"/>
      <w:bookmarkEnd w:id="334"/>
      <w:bookmarkEnd w:id="335"/>
      <w:r w:rsidRPr="00E67914">
        <w:rPr>
          <w:szCs w:val="24"/>
          <w:lang w:eastAsia="zh-CN"/>
        </w:rPr>
        <w:t>11.5</w:t>
      </w:r>
      <w:r w:rsidRPr="00E67914">
        <w:rPr>
          <w:szCs w:val="24"/>
          <w:lang w:eastAsia="zh-CN"/>
        </w:rPr>
        <w:t>环境风险分析</w:t>
      </w:r>
      <w:bookmarkEnd w:id="336"/>
    </w:p>
    <w:p w14:paraId="16FC9FCC"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lang w:eastAsia="zh-CN"/>
        </w:rPr>
        <w:t>本工程钻井和天然气试采期间存在一定的环境风险，可能对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sidRPr="00E67914">
        <w:rPr>
          <w:rFonts w:ascii="Times New Roman" w:hAnsi="Times New Roman"/>
          <w:bCs/>
          <w:kern w:val="2"/>
          <w:lang w:eastAsia="zh-CN"/>
        </w:rPr>
        <w:t>。</w:t>
      </w:r>
    </w:p>
    <w:p w14:paraId="748B25A8" w14:textId="77777777" w:rsidR="00A54A8A" w:rsidRPr="00E67914" w:rsidRDefault="00000000">
      <w:pPr>
        <w:pStyle w:val="2"/>
        <w:ind w:firstLine="480"/>
        <w:jc w:val="both"/>
        <w:rPr>
          <w:szCs w:val="24"/>
          <w:lang w:eastAsia="zh-CN"/>
        </w:rPr>
      </w:pPr>
      <w:bookmarkStart w:id="337" w:name="_bookmark54"/>
      <w:bookmarkStart w:id="338" w:name="10.6总量控制"/>
      <w:bookmarkStart w:id="339" w:name="_Toc148654263"/>
      <w:bookmarkEnd w:id="337"/>
      <w:bookmarkEnd w:id="338"/>
      <w:r w:rsidRPr="00E67914">
        <w:rPr>
          <w:szCs w:val="24"/>
          <w:lang w:eastAsia="zh-CN"/>
        </w:rPr>
        <w:t>11.6</w:t>
      </w:r>
      <w:r w:rsidRPr="00E67914">
        <w:rPr>
          <w:szCs w:val="24"/>
          <w:lang w:eastAsia="zh-CN"/>
        </w:rPr>
        <w:t>清洁生产和总量控制</w:t>
      </w:r>
      <w:bookmarkEnd w:id="339"/>
    </w:p>
    <w:p w14:paraId="193081FD"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本项目在原辅材料及资源能源的利用、生产工艺和设备、清洁生产措施、清洁生产技术指标、环境管理等方面基本达到清洁生产国内先进水平。建议主要提高清洁生产水平途径为废弃钻井泥浆的再利用、回收，减少废弃量，建议废弃钻井泥浆经处理后用于周边其他新钻井工程。</w:t>
      </w:r>
    </w:p>
    <w:p w14:paraId="74F7865F" w14:textId="559EAEC5"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由于本项目实行排污许可登记管理，施工期时间短且采用网电，试采期</w:t>
      </w:r>
      <w:r w:rsidR="00C24829" w:rsidRPr="00E67914">
        <w:rPr>
          <w:rFonts w:ascii="Times New Roman" w:hAnsi="Times New Roman"/>
          <w:bCs/>
          <w:kern w:val="2"/>
          <w:lang w:eastAsia="zh-CN"/>
        </w:rPr>
        <w:t>水套加热炉燃烧废气</w:t>
      </w:r>
      <w:r w:rsidRPr="00E67914">
        <w:rPr>
          <w:rFonts w:ascii="Times New Roman" w:hAnsi="Times New Roman"/>
          <w:bCs/>
          <w:kern w:val="2"/>
          <w:lang w:eastAsia="zh-CN"/>
        </w:rPr>
        <w:t>能做到达标排放，废水依托污水处理站或回注站回注，试采</w:t>
      </w:r>
      <w:r w:rsidRPr="00E67914">
        <w:rPr>
          <w:rFonts w:ascii="Times New Roman" w:hAnsi="Times New Roman"/>
          <w:bCs/>
          <w:kern w:val="2"/>
          <w:lang w:eastAsia="zh-CN"/>
        </w:rPr>
        <w:lastRenderedPageBreak/>
        <w:t>期间无其他常年稳定连续的污染物排放源，在满足</w:t>
      </w:r>
      <w:r w:rsidRPr="00E67914">
        <w:rPr>
          <w:rFonts w:ascii="Times New Roman" w:hAnsi="Times New Roman"/>
          <w:szCs w:val="22"/>
          <w:lang w:eastAsia="zh-CN"/>
        </w:rPr>
        <w:t>达标排放和环境功能区划达标的前提下，建议不核定总量指标</w:t>
      </w:r>
      <w:r w:rsidRPr="00E67914">
        <w:rPr>
          <w:rFonts w:ascii="Times New Roman" w:hAnsi="Times New Roman"/>
          <w:bCs/>
          <w:kern w:val="2"/>
          <w:lang w:eastAsia="zh-CN"/>
        </w:rPr>
        <w:t>。</w:t>
      </w:r>
    </w:p>
    <w:p w14:paraId="56EAE4F2" w14:textId="77777777" w:rsidR="00A54A8A" w:rsidRPr="00E67914" w:rsidRDefault="00000000">
      <w:pPr>
        <w:pStyle w:val="2"/>
        <w:ind w:firstLine="480"/>
        <w:jc w:val="both"/>
        <w:rPr>
          <w:szCs w:val="24"/>
          <w:lang w:eastAsia="zh-CN"/>
        </w:rPr>
      </w:pPr>
      <w:bookmarkStart w:id="340" w:name="10.7公众参与调查结论"/>
      <w:bookmarkStart w:id="341" w:name="_bookmark55"/>
      <w:bookmarkStart w:id="342" w:name="_Toc148654264"/>
      <w:bookmarkEnd w:id="340"/>
      <w:bookmarkEnd w:id="341"/>
      <w:r w:rsidRPr="00E67914">
        <w:rPr>
          <w:szCs w:val="24"/>
          <w:lang w:eastAsia="zh-CN"/>
        </w:rPr>
        <w:t>11.7</w:t>
      </w:r>
      <w:r w:rsidRPr="00E67914">
        <w:rPr>
          <w:szCs w:val="24"/>
          <w:lang w:eastAsia="zh-CN"/>
        </w:rPr>
        <w:t>环境经济损益分析</w:t>
      </w:r>
      <w:bookmarkEnd w:id="342"/>
    </w:p>
    <w:p w14:paraId="0C5DEA44"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本项目的建设具有较好的社会</w:t>
      </w:r>
      <w:r w:rsidRPr="00E67914">
        <w:rPr>
          <w:rFonts w:ascii="Times New Roman" w:hAnsi="Times New Roman"/>
          <w:bCs/>
          <w:kern w:val="2"/>
          <w:lang w:eastAsia="zh-CN"/>
        </w:rPr>
        <w:t>-</w:t>
      </w:r>
      <w:r w:rsidRPr="00E67914">
        <w:rPr>
          <w:rFonts w:ascii="Times New Roman" w:hAnsi="Times New Roman"/>
          <w:bCs/>
          <w:kern w:val="2"/>
          <w:lang w:eastAsia="zh-CN"/>
        </w:rPr>
        <w:t>经济</w:t>
      </w:r>
      <w:r w:rsidRPr="00E67914">
        <w:rPr>
          <w:rFonts w:ascii="Times New Roman" w:hAnsi="Times New Roman"/>
          <w:bCs/>
          <w:kern w:val="2"/>
          <w:lang w:eastAsia="zh-CN"/>
        </w:rPr>
        <w:t>-</w:t>
      </w:r>
      <w:r w:rsidRPr="00E67914">
        <w:rPr>
          <w:rFonts w:ascii="Times New Roman" w:hAnsi="Times New Roman"/>
          <w:bCs/>
          <w:kern w:val="2"/>
          <w:lang w:eastAsia="zh-CN"/>
        </w:rPr>
        <w:t>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14:paraId="09F0D7B9" w14:textId="77777777" w:rsidR="00A54A8A" w:rsidRPr="00E67914" w:rsidRDefault="00000000">
      <w:pPr>
        <w:pStyle w:val="2"/>
        <w:ind w:firstLine="480"/>
        <w:jc w:val="both"/>
        <w:rPr>
          <w:szCs w:val="24"/>
          <w:lang w:eastAsia="zh-CN"/>
        </w:rPr>
      </w:pPr>
      <w:bookmarkStart w:id="343" w:name="_Toc148654265"/>
      <w:r w:rsidRPr="00E67914">
        <w:rPr>
          <w:szCs w:val="24"/>
          <w:lang w:eastAsia="zh-CN"/>
        </w:rPr>
        <w:t>11.8</w:t>
      </w:r>
      <w:r w:rsidRPr="00E67914">
        <w:rPr>
          <w:szCs w:val="24"/>
          <w:lang w:eastAsia="zh-CN"/>
        </w:rPr>
        <w:t>公众参与调查结论</w:t>
      </w:r>
      <w:bookmarkEnd w:id="343"/>
    </w:p>
    <w:p w14:paraId="77907D57"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根据建设单位提供公众参与说明，本项目在</w:t>
      </w:r>
      <w:r w:rsidRPr="00E67914">
        <w:rPr>
          <w:rFonts w:ascii="Times New Roman" w:hAnsi="Times New Roman"/>
          <w:lang w:eastAsia="zh-CN"/>
        </w:rPr>
        <w:t>环境影响评价信息公示平台</w:t>
      </w:r>
      <w:r w:rsidRPr="00E67914">
        <w:rPr>
          <w:rFonts w:ascii="Times New Roman" w:hAnsi="Times New Roman"/>
          <w:bCs/>
          <w:kern w:val="2"/>
          <w:lang w:eastAsia="zh-CN"/>
        </w:rPr>
        <w:t>进行了建设项目首次环评信息公开，在</w:t>
      </w:r>
      <w:r w:rsidRPr="00E67914">
        <w:rPr>
          <w:rFonts w:ascii="Times New Roman" w:hAnsi="Times New Roman"/>
          <w:lang w:eastAsia="zh-CN"/>
        </w:rPr>
        <w:t>环境影响评价信息公示平台</w:t>
      </w:r>
      <w:r w:rsidRPr="00E67914">
        <w:rPr>
          <w:rFonts w:ascii="Times New Roman" w:hAnsi="Times New Roman"/>
          <w:bCs/>
          <w:kern w:val="2"/>
          <w:lang w:eastAsia="zh-CN"/>
        </w:rPr>
        <w:t>、报纸及张贴公告三种方式同步进行了第二次环境影响评价信息公开，在</w:t>
      </w:r>
      <w:r w:rsidRPr="00E67914">
        <w:rPr>
          <w:rFonts w:ascii="Times New Roman" w:hAnsi="Times New Roman"/>
          <w:lang w:eastAsia="zh-CN"/>
        </w:rPr>
        <w:t>环境影响评价信息公示平台进行了报批前公示，</w:t>
      </w:r>
      <w:r w:rsidRPr="00E67914">
        <w:rPr>
          <w:rFonts w:ascii="Times New Roman" w:hAnsi="Times New Roman"/>
          <w:bCs/>
          <w:kern w:val="2"/>
          <w:lang w:eastAsia="zh-CN"/>
        </w:rPr>
        <w:t>公示期间未收到任何反对意见，符合《环境影响评价公众参与办法》（生态环境部令第</w:t>
      </w:r>
      <w:r w:rsidRPr="00E67914">
        <w:rPr>
          <w:rFonts w:ascii="Times New Roman" w:hAnsi="Times New Roman"/>
          <w:bCs/>
          <w:kern w:val="2"/>
          <w:lang w:eastAsia="zh-CN"/>
        </w:rPr>
        <w:t>4</w:t>
      </w:r>
      <w:r w:rsidRPr="00E67914">
        <w:rPr>
          <w:rFonts w:ascii="Times New Roman" w:hAnsi="Times New Roman"/>
          <w:bCs/>
          <w:kern w:val="2"/>
          <w:lang w:eastAsia="zh-CN"/>
        </w:rPr>
        <w:t>号）的相关要求。</w:t>
      </w:r>
    </w:p>
    <w:p w14:paraId="1F17335E" w14:textId="77777777" w:rsidR="00A54A8A" w:rsidRPr="00E67914" w:rsidRDefault="00000000">
      <w:pPr>
        <w:pStyle w:val="2"/>
        <w:ind w:firstLine="480"/>
        <w:jc w:val="both"/>
        <w:rPr>
          <w:szCs w:val="24"/>
          <w:lang w:eastAsia="zh-CN"/>
        </w:rPr>
      </w:pPr>
      <w:bookmarkStart w:id="344" w:name="_bookmark56"/>
      <w:bookmarkStart w:id="345" w:name="_bookmark57"/>
      <w:bookmarkStart w:id="346" w:name="10.8环境经济损益分析"/>
      <w:bookmarkStart w:id="347" w:name="_bookmark59"/>
      <w:bookmarkStart w:id="348" w:name="10.11评价总结论"/>
      <w:bookmarkStart w:id="349" w:name="10.9环境管理与监测计划"/>
      <w:bookmarkStart w:id="350" w:name="_Toc148654266"/>
      <w:bookmarkEnd w:id="344"/>
      <w:bookmarkEnd w:id="345"/>
      <w:bookmarkEnd w:id="346"/>
      <w:bookmarkEnd w:id="347"/>
      <w:bookmarkEnd w:id="348"/>
      <w:bookmarkEnd w:id="349"/>
      <w:r w:rsidRPr="00E67914">
        <w:rPr>
          <w:szCs w:val="24"/>
          <w:lang w:eastAsia="zh-CN"/>
        </w:rPr>
        <w:t>11.9</w:t>
      </w:r>
      <w:r w:rsidRPr="00E67914">
        <w:rPr>
          <w:szCs w:val="24"/>
          <w:lang w:eastAsia="zh-CN"/>
        </w:rPr>
        <w:t>评价总结论</w:t>
      </w:r>
      <w:bookmarkEnd w:id="350"/>
    </w:p>
    <w:p w14:paraId="581A5E1C"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该项目的建设符合国家、行业颁布的相关产业政策、法规、规范，项目的建设对增加清洁能源天然气供应量，探明地区天然气储存情况，促进区域社会、经济发展，调整改善区域的环境质量有积极意义，项目建设是必要的。</w:t>
      </w:r>
    </w:p>
    <w:p w14:paraId="40E66ED2" w14:textId="77777777" w:rsidR="00A54A8A" w:rsidRPr="00E67914" w:rsidRDefault="00000000">
      <w:pPr>
        <w:adjustRightInd w:val="0"/>
        <w:snapToGrid w:val="0"/>
        <w:spacing w:line="360" w:lineRule="auto"/>
        <w:ind w:firstLineChars="200" w:firstLine="480"/>
        <w:jc w:val="both"/>
        <w:rPr>
          <w:rFonts w:ascii="Times New Roman" w:hAnsi="Times New Roman"/>
          <w:bCs/>
          <w:kern w:val="2"/>
          <w:sz w:val="24"/>
          <w:szCs w:val="24"/>
          <w:lang w:eastAsia="zh-CN"/>
        </w:rPr>
      </w:pPr>
      <w:r w:rsidRPr="00E67914">
        <w:rPr>
          <w:rFonts w:ascii="Times New Roman" w:hAnsi="Times New Roman"/>
          <w:bCs/>
          <w:kern w:val="2"/>
          <w:sz w:val="24"/>
          <w:szCs w:val="24"/>
          <w:lang w:eastAsia="zh-CN"/>
        </w:rPr>
        <w:t>评价区域环境空气质量、声环境质量、地下水质量现状总体较好；项目建设期间产生的污染物均做到达标排放或妥善处置，对生态环境、地表水、地下水、大气环境影响小，声环境影响产生短期影响，不改变区域的环境功能；该项目符合清洁生产要求，采用的环保措施可行，社会、经济效益十分显著；建设项目环境可行，选址合理。本项目井喷失控事故天然气泄流事故对环境的影响较小，且事故发生机率低，通过严格按行业规范和环评要求完善事故防范措施和制定较详尽有效的事故应急方案，环境风险值会大大的降低，环境风险可接受。</w:t>
      </w:r>
    </w:p>
    <w:p w14:paraId="63363339"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综上所述，在严格落实本项目钻井设计和本评价提出的各项环保措施和环境风险防范以及应急措施后，从环境保护角度分析，本项目的建设是可行的。</w:t>
      </w:r>
    </w:p>
    <w:p w14:paraId="3157EFBE" w14:textId="77777777" w:rsidR="00A54A8A" w:rsidRPr="00E67914" w:rsidRDefault="00000000">
      <w:pPr>
        <w:pStyle w:val="2"/>
        <w:ind w:firstLine="480"/>
        <w:jc w:val="both"/>
        <w:rPr>
          <w:szCs w:val="24"/>
          <w:lang w:eastAsia="zh-CN"/>
        </w:rPr>
      </w:pPr>
      <w:bookmarkStart w:id="351" w:name="_bookmark60"/>
      <w:bookmarkStart w:id="352" w:name="10.12建议"/>
      <w:bookmarkStart w:id="353" w:name="_Toc148654267"/>
      <w:bookmarkEnd w:id="351"/>
      <w:bookmarkEnd w:id="352"/>
      <w:r w:rsidRPr="00E67914">
        <w:rPr>
          <w:szCs w:val="24"/>
          <w:lang w:eastAsia="zh-CN"/>
        </w:rPr>
        <w:t>11.10</w:t>
      </w:r>
      <w:r w:rsidRPr="00E67914">
        <w:rPr>
          <w:szCs w:val="24"/>
          <w:lang w:eastAsia="zh-CN"/>
        </w:rPr>
        <w:t>建议</w:t>
      </w:r>
      <w:bookmarkEnd w:id="353"/>
    </w:p>
    <w:p w14:paraId="1595244B"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1</w:t>
      </w:r>
      <w:r w:rsidRPr="00E67914">
        <w:rPr>
          <w:rFonts w:ascii="Times New Roman" w:hAnsi="Times New Roman"/>
          <w:bCs/>
          <w:kern w:val="2"/>
          <w:lang w:eastAsia="zh-CN"/>
        </w:rPr>
        <w:t>）建设单位在工程实施期间，应加强对各项环保措施的建设、运转进行监理，以确保环保措施的有效性。</w:t>
      </w:r>
    </w:p>
    <w:p w14:paraId="159E03AD"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lastRenderedPageBreak/>
        <w:t>（</w:t>
      </w:r>
      <w:r w:rsidRPr="00E67914">
        <w:rPr>
          <w:rFonts w:ascii="Times New Roman" w:hAnsi="Times New Roman"/>
          <w:bCs/>
          <w:kern w:val="2"/>
          <w:lang w:eastAsia="zh-CN"/>
        </w:rPr>
        <w:t>2</w:t>
      </w:r>
      <w:r w:rsidRPr="00E67914">
        <w:rPr>
          <w:rFonts w:ascii="Times New Roman" w:hAnsi="Times New Roman"/>
          <w:bCs/>
          <w:kern w:val="2"/>
          <w:lang w:eastAsia="zh-CN"/>
        </w:rPr>
        <w:t>）妥善解决好占用土地、作物、植被等所造成的恢复赔偿问题。</w:t>
      </w:r>
    </w:p>
    <w:p w14:paraId="69FFC0B0" w14:textId="77777777" w:rsidR="00A54A8A" w:rsidRPr="00E67914" w:rsidRDefault="00000000">
      <w:pPr>
        <w:pStyle w:val="af"/>
        <w:adjustRightInd w:val="0"/>
        <w:snapToGrid w:val="0"/>
        <w:spacing w:before="0" w:line="360" w:lineRule="auto"/>
        <w:ind w:left="0" w:firstLineChars="200" w:firstLine="480"/>
        <w:jc w:val="both"/>
        <w:rPr>
          <w:rFonts w:ascii="Times New Roman" w:hAnsi="Times New Roman"/>
          <w:bCs/>
          <w:kern w:val="2"/>
          <w:lang w:eastAsia="zh-CN"/>
        </w:rPr>
      </w:pPr>
      <w:r w:rsidRPr="00E67914">
        <w:rPr>
          <w:rFonts w:ascii="Times New Roman" w:hAnsi="Times New Roman"/>
          <w:bCs/>
          <w:kern w:val="2"/>
          <w:lang w:eastAsia="zh-CN"/>
        </w:rPr>
        <w:t>（</w:t>
      </w:r>
      <w:r w:rsidRPr="00E67914">
        <w:rPr>
          <w:rFonts w:ascii="Times New Roman" w:hAnsi="Times New Roman"/>
          <w:bCs/>
          <w:kern w:val="2"/>
          <w:lang w:eastAsia="zh-CN"/>
        </w:rPr>
        <w:t>3</w:t>
      </w:r>
      <w:r w:rsidRPr="00E67914">
        <w:rPr>
          <w:rFonts w:ascii="Times New Roman" w:hAnsi="Times New Roman"/>
          <w:bCs/>
          <w:kern w:val="2"/>
          <w:lang w:eastAsia="zh-CN"/>
        </w:rPr>
        <w:t>）</w:t>
      </w:r>
      <w:r w:rsidRPr="00E67914">
        <w:rPr>
          <w:rFonts w:ascii="Times New Roman" w:hAnsi="Times New Roman"/>
          <w:bCs/>
          <w:lang w:eastAsia="zh-CN"/>
        </w:rPr>
        <w:t>根据项目试采情况，满足验收条件后对项目进行验收，及时完善环保手续</w:t>
      </w:r>
      <w:r w:rsidRPr="00E67914">
        <w:rPr>
          <w:rFonts w:ascii="Times New Roman" w:hAnsi="Times New Roman"/>
          <w:bCs/>
          <w:kern w:val="2"/>
          <w:lang w:eastAsia="zh-CN"/>
        </w:rPr>
        <w:t>。</w:t>
      </w:r>
    </w:p>
    <w:p w14:paraId="13900CA9" w14:textId="77777777" w:rsidR="00A54A8A" w:rsidRPr="00E67914" w:rsidRDefault="00000000">
      <w:pPr>
        <w:pStyle w:val="af"/>
        <w:adjustRightInd w:val="0"/>
        <w:snapToGrid w:val="0"/>
        <w:spacing w:before="0" w:line="360" w:lineRule="auto"/>
        <w:ind w:left="0" w:firstLineChars="200" w:firstLine="480"/>
        <w:jc w:val="both"/>
        <w:rPr>
          <w:rFonts w:ascii="Times New Roman" w:eastAsiaTheme="minorEastAsia" w:hAnsi="Times New Roman"/>
          <w:lang w:eastAsia="zh-CN"/>
        </w:rPr>
      </w:pPr>
      <w:r w:rsidRPr="00E67914">
        <w:rPr>
          <w:rFonts w:ascii="Times New Roman" w:hAnsi="Times New Roman"/>
          <w:bCs/>
          <w:kern w:val="2"/>
          <w:lang w:eastAsia="zh-CN"/>
        </w:rPr>
        <w:t>（</w:t>
      </w:r>
      <w:r w:rsidRPr="00E67914">
        <w:rPr>
          <w:rFonts w:ascii="Times New Roman" w:hAnsi="Times New Roman"/>
          <w:bCs/>
          <w:kern w:val="2"/>
          <w:lang w:eastAsia="zh-CN"/>
        </w:rPr>
        <w:t>4</w:t>
      </w:r>
      <w:r w:rsidRPr="00E67914">
        <w:rPr>
          <w:rFonts w:ascii="Times New Roman" w:hAnsi="Times New Roman"/>
          <w:bCs/>
          <w:kern w:val="2"/>
          <w:lang w:eastAsia="zh-CN"/>
        </w:rPr>
        <w:t>）项目完成后，对周围环境进行跟踪监测。</w:t>
      </w:r>
    </w:p>
    <w:sectPr w:rsidR="00A54A8A" w:rsidRPr="00E67914">
      <w:pgSz w:w="11910" w:h="16840"/>
      <w:pgMar w:top="1440" w:right="1800" w:bottom="1440" w:left="1800" w:header="877" w:footer="11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6983CB" w14:textId="77777777" w:rsidR="00D470DC" w:rsidRDefault="00D470DC">
      <w:r>
        <w:separator/>
      </w:r>
    </w:p>
  </w:endnote>
  <w:endnote w:type="continuationSeparator" w:id="0">
    <w:p w14:paraId="3B3AFD14" w14:textId="77777777" w:rsidR="00D470DC" w:rsidRDefault="00D470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体">
    <w:altName w:val="宋体"/>
    <w:charset w:val="86"/>
    <w:family w:val="roman"/>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fixed"/>
    <w:sig w:usb0="00000001" w:usb1="080E0000" w:usb2="00000010" w:usb3="00000000" w:csb0="00040000" w:csb1="00000000"/>
  </w:font>
  <w:font w:name="Arial Unicode MS">
    <w:panose1 w:val="020B0604020202020204"/>
    <w:charset w:val="86"/>
    <w:family w:val="swiss"/>
    <w:pitch w:val="variable"/>
    <w:sig w:usb0="F7FFAEFF" w:usb1="F9DFFFFF" w:usb2="0000007F" w:usb3="00000000" w:csb0="003F01FF" w:csb1="00000000"/>
  </w:font>
  <w:font w:name="楷体_GB2312">
    <w:altName w:val="楷体"/>
    <w:charset w:val="86"/>
    <w:family w:val="modern"/>
    <w:pitch w:val="fixed"/>
    <w:sig w:usb0="00000001" w:usb1="080E0000" w:usb2="00000010" w:usb3="00000000" w:csb0="00040000" w:csb1="00000000"/>
  </w:font>
  <w:font w:name="ˎ̥">
    <w:altName w:val="Times New Roman"/>
    <w:charset w:val="00"/>
    <w:family w:val="auto"/>
    <w:pitch w:val="default"/>
    <w:sig w:usb0="00000000" w:usb1="00000000" w:usb2="00000000" w:usb3="00000000" w:csb0="00040001" w:csb1="00000000"/>
  </w:font>
  <w:font w:name="华文仿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Microsoft YaHei UI">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方正小标宋_GBK">
    <w:altName w:val="微软雅黑"/>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D8CF2" w14:textId="6CC03FA9" w:rsidR="007D4B51" w:rsidRDefault="007D4B51">
    <w:pPr>
      <w:pStyle w:val="afa"/>
      <w:jc w:val="center"/>
    </w:pPr>
  </w:p>
  <w:p w14:paraId="2749F561" w14:textId="77777777" w:rsidR="007D4B51" w:rsidRDefault="007D4B51">
    <w:pPr>
      <w:pStyle w:val="af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623428"/>
      <w:docPartObj>
        <w:docPartGallery w:val="Page Numbers (Bottom of Page)"/>
        <w:docPartUnique/>
      </w:docPartObj>
    </w:sdtPr>
    <w:sdtContent>
      <w:p w14:paraId="5A07520E" w14:textId="77777777" w:rsidR="007D4B51" w:rsidRDefault="007D4B51">
        <w:pPr>
          <w:pStyle w:val="afa"/>
          <w:jc w:val="center"/>
        </w:pPr>
        <w:r>
          <w:fldChar w:fldCharType="begin"/>
        </w:r>
        <w:r>
          <w:instrText>PAGE   \* MERGEFORMAT</w:instrText>
        </w:r>
        <w:r>
          <w:fldChar w:fldCharType="separate"/>
        </w:r>
        <w:r>
          <w:rPr>
            <w:lang w:val="zh-CN" w:eastAsia="zh-CN"/>
          </w:rPr>
          <w:t>2</w:t>
        </w:r>
        <w:r>
          <w:fldChar w:fldCharType="end"/>
        </w:r>
      </w:p>
    </w:sdtContent>
  </w:sdt>
  <w:p w14:paraId="65E3C431" w14:textId="77777777" w:rsidR="007D4B51" w:rsidRDefault="007D4B51">
    <w:pPr>
      <w:pStyle w:val="af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1126352"/>
      <w:docPartObj>
        <w:docPartGallery w:val="Page Numbers (Bottom of Page)"/>
        <w:docPartUnique/>
      </w:docPartObj>
    </w:sdtPr>
    <w:sdtContent>
      <w:p w14:paraId="785EC365" w14:textId="77777777" w:rsidR="007D4B51" w:rsidRDefault="007D4B51">
        <w:pPr>
          <w:pStyle w:val="afa"/>
          <w:jc w:val="center"/>
        </w:pPr>
        <w:r>
          <w:fldChar w:fldCharType="begin"/>
        </w:r>
        <w:r>
          <w:instrText>PAGE   \* MERGEFORMAT</w:instrText>
        </w:r>
        <w:r>
          <w:fldChar w:fldCharType="separate"/>
        </w:r>
        <w:r>
          <w:rPr>
            <w:lang w:val="zh-CN" w:eastAsia="zh-CN"/>
          </w:rPr>
          <w:t>2</w:t>
        </w:r>
        <w:r>
          <w:fldChar w:fldCharType="end"/>
        </w:r>
      </w:p>
    </w:sdtContent>
  </w:sdt>
  <w:p w14:paraId="667ADF38" w14:textId="77777777" w:rsidR="007D4B51" w:rsidRDefault="007D4B51">
    <w:pPr>
      <w:spacing w:line="14" w:lineRule="auto"/>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6863106"/>
      <w:docPartObj>
        <w:docPartGallery w:val="Page Numbers (Bottom of Page)"/>
        <w:docPartUnique/>
      </w:docPartObj>
    </w:sdtPr>
    <w:sdtContent>
      <w:p w14:paraId="77F8C281" w14:textId="37D677A9" w:rsidR="00724DA2" w:rsidRDefault="00724DA2">
        <w:pPr>
          <w:pStyle w:val="afa"/>
          <w:jc w:val="center"/>
        </w:pPr>
        <w:r>
          <w:fldChar w:fldCharType="begin"/>
        </w:r>
        <w:r>
          <w:instrText>PAGE   \* MERGEFORMAT</w:instrText>
        </w:r>
        <w:r>
          <w:fldChar w:fldCharType="separate"/>
        </w:r>
        <w:r>
          <w:rPr>
            <w:lang w:val="zh-CN" w:eastAsia="zh-CN"/>
          </w:rPr>
          <w:t>2</w:t>
        </w:r>
        <w:r>
          <w:fldChar w:fldCharType="end"/>
        </w:r>
      </w:p>
    </w:sdtContent>
  </w:sdt>
  <w:p w14:paraId="6C79DFA6" w14:textId="6F9666F5" w:rsidR="00A54A8A" w:rsidRDefault="00A54A8A">
    <w:pPr>
      <w:pStyle w:val="afa"/>
      <w:ind w:left="482"/>
      <w:rPr>
        <w:rFonts w:ascii="Times New Roman"/>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1236969"/>
      <w:docPartObj>
        <w:docPartGallery w:val="AutoText"/>
      </w:docPartObj>
    </w:sdtPr>
    <w:sdtContent>
      <w:p w14:paraId="7F117513" w14:textId="77777777" w:rsidR="00A54A8A" w:rsidRDefault="00000000">
        <w:pPr>
          <w:pStyle w:val="afa"/>
          <w:jc w:val="center"/>
        </w:pPr>
        <w:r>
          <w:fldChar w:fldCharType="begin"/>
        </w:r>
        <w:r>
          <w:instrText>PAGE   \* MERGEFORMAT</w:instrText>
        </w:r>
        <w:r>
          <w:fldChar w:fldCharType="separate"/>
        </w:r>
        <w:r>
          <w:rPr>
            <w:lang w:val="zh-CN" w:eastAsia="zh-CN"/>
          </w:rPr>
          <w:t>2</w:t>
        </w:r>
        <w:r>
          <w:fldChar w:fldCharType="end"/>
        </w:r>
      </w:p>
    </w:sdtContent>
  </w:sdt>
  <w:p w14:paraId="5BC555FB" w14:textId="77777777" w:rsidR="00A54A8A" w:rsidRDefault="00A54A8A">
    <w:pPr>
      <w:spacing w:line="14" w:lineRule="auto"/>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257620"/>
    </w:sdtPr>
    <w:sdtContent>
      <w:p w14:paraId="30BE86FE" w14:textId="77777777" w:rsidR="00A54A8A" w:rsidRDefault="00000000">
        <w:pPr>
          <w:pStyle w:val="afa"/>
          <w:jc w:val="center"/>
        </w:pPr>
        <w:r>
          <w:fldChar w:fldCharType="begin"/>
        </w:r>
        <w:r>
          <w:instrText>PAGE   \* MERGEFORMAT</w:instrText>
        </w:r>
        <w:r>
          <w:fldChar w:fldCharType="separate"/>
        </w:r>
        <w:r>
          <w:rPr>
            <w:lang w:val="zh-CN" w:eastAsia="zh-CN"/>
          </w:rPr>
          <w:t>2</w:t>
        </w:r>
        <w:r>
          <w:fldChar w:fldCharType="end"/>
        </w:r>
      </w:p>
    </w:sdtContent>
  </w:sdt>
  <w:p w14:paraId="184D938B" w14:textId="77777777" w:rsidR="00A54A8A" w:rsidRDefault="00A54A8A">
    <w:pPr>
      <w:spacing w:line="14" w:lineRule="auto"/>
      <w:rPr>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9FAE9" w14:textId="77777777" w:rsidR="00A54A8A" w:rsidRDefault="00000000">
    <w:pPr>
      <w:spacing w:line="14" w:lineRule="auto"/>
      <w:rPr>
        <w:sz w:val="20"/>
        <w:szCs w:val="20"/>
      </w:rPr>
    </w:pPr>
    <w:r>
      <w:rPr>
        <w:noProof/>
        <w:lang w:eastAsia="zh-CN"/>
      </w:rPr>
      <mc:AlternateContent>
        <mc:Choice Requires="wps">
          <w:drawing>
            <wp:anchor distT="0" distB="0" distL="114300" distR="114300" simplePos="0" relativeHeight="251662336" behindDoc="1" locked="0" layoutInCell="1" allowOverlap="1" wp14:anchorId="191409D1" wp14:editId="30C96706">
              <wp:simplePos x="0" y="0"/>
              <wp:positionH relativeFrom="page">
                <wp:posOffset>3670300</wp:posOffset>
              </wp:positionH>
              <wp:positionV relativeFrom="page">
                <wp:posOffset>10150475</wp:posOffset>
              </wp:positionV>
              <wp:extent cx="222250" cy="139700"/>
              <wp:effectExtent l="3175" t="0" r="3175" b="0"/>
              <wp:wrapNone/>
              <wp:docPr id="1601" name="文本框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39700"/>
                      </a:xfrm>
                      <a:prstGeom prst="rect">
                        <a:avLst/>
                      </a:prstGeom>
                      <a:noFill/>
                      <a:ln>
                        <a:noFill/>
                      </a:ln>
                    </wps:spPr>
                    <wps:txbx>
                      <w:txbxContent>
                        <w:p w14:paraId="647B5E28" w14:textId="77777777" w:rsidR="00A54A8A" w:rsidRDefault="00000000">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139</w:t>
                          </w:r>
                          <w:r>
                            <w:fldChar w:fldCharType="end"/>
                          </w:r>
                        </w:p>
                      </w:txbxContent>
                    </wps:txbx>
                    <wps:bodyPr rot="0" vert="horz" wrap="square" lIns="0" tIns="0" rIns="0" bIns="0" anchor="t" anchorCtr="0" upright="1">
                      <a:noAutofit/>
                    </wps:bodyPr>
                  </wps:wsp>
                </a:graphicData>
              </a:graphic>
            </wp:anchor>
          </w:drawing>
        </mc:Choice>
        <mc:Fallback>
          <w:pict>
            <v:shapetype w14:anchorId="191409D1" id="_x0000_t202" coordsize="21600,21600" o:spt="202" path="m,l,21600r21600,l21600,xe">
              <v:stroke joinstyle="miter"/>
              <v:path gradientshapeok="t" o:connecttype="rect"/>
            </v:shapetype>
            <v:shape id="文本框 1601" o:spid="_x0000_s1062" type="#_x0000_t202" style="position:absolute;margin-left:289pt;margin-top:799.25pt;width:17.5pt;height:11pt;z-index:-2516541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" filled="f" stroked="f">
              <v:textbox inset="0,0,0,0">
                <w:txbxContent>
                  <w:p w14:paraId="647B5E28" w14:textId="77777777" w:rsidR="00A54A8A" w:rsidRDefault="00000000">
                    <w:pPr>
                      <w:spacing w:line="200" w:lineRule="exact"/>
                      <w:ind w:left="40"/>
                      <w:rPr>
                        <w:rFonts w:ascii="宋体" w:hAnsi="宋体" w:cs="宋体"/>
                        <w:sz w:val="18"/>
                        <w:szCs w:val="18"/>
                      </w:rPr>
                    </w:pPr>
                    <w:r>
                      <w:fldChar w:fldCharType="begin"/>
                    </w:r>
                    <w:r>
                      <w:rPr>
                        <w:rFonts w:ascii="宋体"/>
                        <w:sz w:val="18"/>
                      </w:rPr>
                      <w:instrText xml:space="preserve"> PAGE </w:instrText>
                    </w:r>
                    <w:r>
                      <w:fldChar w:fldCharType="separate"/>
                    </w:r>
                    <w:r>
                      <w:rPr>
                        <w:rFonts w:ascii="宋体"/>
                        <w:sz w:val="18"/>
                      </w:rPr>
                      <w:t>139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43C2CF" w14:textId="77777777" w:rsidR="00D470DC" w:rsidRDefault="00D470DC">
      <w:r>
        <w:separator/>
      </w:r>
    </w:p>
  </w:footnote>
  <w:footnote w:type="continuationSeparator" w:id="0">
    <w:p w14:paraId="220372A7" w14:textId="77777777" w:rsidR="00D470DC" w:rsidRDefault="00D470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DF2FA" w14:textId="77777777" w:rsidR="00A54A8A" w:rsidRDefault="00A54A8A">
    <w:pPr>
      <w:pStyle w:val="af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66BA0" w14:textId="77777777" w:rsidR="00A54A8A" w:rsidRDefault="00A54A8A">
    <w:pPr>
      <w:spacing w:line="14" w:lineRule="auto"/>
      <w:rPr>
        <w:sz w:val="18"/>
        <w:szCs w:val="18"/>
        <w:lang w:eastAsia="zh-CN"/>
      </w:rPr>
    </w:pPr>
  </w:p>
  <w:p w14:paraId="417B9EA9" w14:textId="77777777" w:rsidR="00A54A8A" w:rsidRDefault="00000000">
    <w:pPr>
      <w:spacing w:line="14" w:lineRule="auto"/>
      <w:rPr>
        <w:sz w:val="18"/>
        <w:szCs w:val="18"/>
      </w:rPr>
    </w:pPr>
    <w:r>
      <w:rPr>
        <w:noProof/>
        <w:lang w:eastAsia="zh-CN"/>
      </w:rPr>
      <mc:AlternateContent>
        <mc:Choice Requires="wpg">
          <w:drawing>
            <wp:anchor distT="0" distB="0" distL="114300" distR="114300" simplePos="0" relativeHeight="251663360" behindDoc="1" locked="0" layoutInCell="1" allowOverlap="1" wp14:anchorId="1B562B68" wp14:editId="53CBEC4D">
              <wp:simplePos x="0" y="0"/>
              <wp:positionH relativeFrom="page">
                <wp:posOffset>1234440</wp:posOffset>
              </wp:positionH>
              <wp:positionV relativeFrom="page">
                <wp:posOffset>770255</wp:posOffset>
              </wp:positionV>
              <wp:extent cx="5141595" cy="47625"/>
              <wp:effectExtent l="0" t="0" r="0" b="0"/>
              <wp:wrapNone/>
              <wp:docPr id="108" name="Group 50"/>
              <wp:cNvGraphicFramePr/>
              <a:graphic xmlns:a="http://schemas.openxmlformats.org/drawingml/2006/main">
                <a:graphicData uri="http://schemas.microsoft.com/office/word/2010/wordprocessingGroup">
                  <wpg:wgp>
                    <wpg:cNvGrpSpPr/>
                    <wpg:grpSpPr>
                      <a:xfrm flipV="1">
                        <a:off x="0" y="0"/>
                        <a:ext cx="8792" cy="2"/>
                        <a:chOff x="1558" y="1092"/>
                        <a:chExt cx="8792" cy="2"/>
                      </a:xfrm>
                    </wpg:grpSpPr>
                    <wps:wsp>
                      <wps:cNvPr id="109"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Group 50" o:spid="_x0000_s1026" o:spt="203" style="position:absolute;left:0pt;flip:y;margin-left:97.2pt;margin-top:60.65pt;height:3.75pt;width:404.85pt;mso-position-horizontal-relative:page;mso-position-vertical-relative:page;z-index:-251653120;mso-width-relative:page;mso-height-relative:page;" coordorigin="1558,1092" coordsize="8792,2" o:gfxdata="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Ggh2ctgAAAAMAQAADwAAAAAA&#10;AAABACAAAAAiAAAAZHJzL2Rvd25yZXYueG1sUEsBAhQAFAAAAAgAh07iQBciZbn3AgAA9QYAAA4A&#10;AAAAAAAAAQAgAAAAJwEAAGRycy9lMm9Eb2MueG1sUEsFBgAAAAAGAAYAWQEAAJAGAAAAAA==&#10;">
              <o:lock v:ext="edit" aspectratio="f"/>
              <v:shape id="Freeform 51" o:spid="_x0000_s1026" o:spt="100" style="position:absolute;left:1558;top:1092;height:2;width:8792;" filled="f" stroked="t" coordsize="8792,1" o:gfxdata="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VziG7sAAADc&#10;AAAADwAAAAAAAAABACAAAAAiAAAAZHJzL2Rvd25yZXYueG1sUEsBAhQAFAAAAAgAh07iQDMvBZ47&#10;AAAAOQAAABAAAAAAAAAAAQAgAAAACgEAAGRycy9zaGFwZXhtbC54bWxQSwUGAAAAAAYABgBbAQAA&#10;tAMAAAAA&#10;" path="m0,0l8792,0e">
                <v:path o:connectlocs="0,0;8792,0" o:connectangles="0,0"/>
                <v:fill on="f" focussize="0,0"/>
                <v:stroke weight="0.72pt" color="#000000" joinstyle="round"/>
                <v:imagedata o:title=""/>
                <o:lock v:ext="edit" aspectratio="f"/>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87178" w14:textId="77777777" w:rsidR="00A54A8A" w:rsidRDefault="00A54A8A">
    <w:pPr>
      <w:spacing w:line="14" w:lineRule="auto"/>
      <w:rPr>
        <w:sz w:val="18"/>
        <w:szCs w:val="18"/>
        <w:lang w:eastAsia="zh-CN"/>
      </w:rPr>
    </w:pPr>
  </w:p>
  <w:p w14:paraId="4EA5FB29" w14:textId="77777777" w:rsidR="00A54A8A" w:rsidRDefault="00000000">
    <w:pPr>
      <w:spacing w:line="14" w:lineRule="auto"/>
      <w:rPr>
        <w:sz w:val="18"/>
        <w:szCs w:val="18"/>
      </w:rPr>
    </w:pPr>
    <w:r>
      <w:rPr>
        <w:noProof/>
        <w:lang w:eastAsia="zh-CN"/>
      </w:rPr>
      <mc:AlternateContent>
        <mc:Choice Requires="wpg">
          <w:drawing>
            <wp:anchor distT="0" distB="0" distL="114300" distR="114300" simplePos="0" relativeHeight="251659264" behindDoc="1" locked="0" layoutInCell="1" allowOverlap="1" wp14:anchorId="513536AA" wp14:editId="017EF8CB">
              <wp:simplePos x="0" y="0"/>
              <wp:positionH relativeFrom="page">
                <wp:posOffset>1234440</wp:posOffset>
              </wp:positionH>
              <wp:positionV relativeFrom="page">
                <wp:posOffset>770255</wp:posOffset>
              </wp:positionV>
              <wp:extent cx="5141595" cy="47625"/>
              <wp:effectExtent l="0" t="0" r="0" b="0"/>
              <wp:wrapNone/>
              <wp:docPr id="113" name="Group 50"/>
              <wp:cNvGraphicFramePr/>
              <a:graphic xmlns:a="http://schemas.openxmlformats.org/drawingml/2006/main">
                <a:graphicData uri="http://schemas.microsoft.com/office/word/2010/wordprocessingGroup">
                  <wpg:wgp>
                    <wpg:cNvGrpSpPr/>
                    <wpg:grpSpPr>
                      <a:xfrm flipV="1">
                        <a:off x="0" y="0"/>
                        <a:ext cx="5141751" cy="47502"/>
                        <a:chOff x="1558" y="1092"/>
                        <a:chExt cx="8792" cy="2"/>
                      </a:xfrm>
                    </wpg:grpSpPr>
                    <wps:wsp>
                      <wps:cNvPr id="114"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Group 50" o:spid="_x0000_s1026" o:spt="203" style="position:absolute;left:0pt;flip:y;margin-left:97.2pt;margin-top:60.65pt;height:3.75pt;width:404.85pt;mso-position-horizontal-relative:page;mso-position-vertical-relative:page;z-index:-251657216;mso-width-relative:page;mso-height-relative:page;" coordorigin="1558,1092" coordsize="8792,2" o:gfxdata="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AaCHZy2AAA&#10;AAwBAAAPAAAAAAAAAAEAIAAAACIAAABkcnMvZG93bnJldi54bWxQSwECFAAUAAAACACHTuJAPOau&#10;UwIDAAD8BgAADgAAAAAAAAABACAAAAAnAQAAZHJzL2Uyb0RvYy54bWxQSwUGAAAAAAYABgBZAQAA&#10;mwYAAAAA&#10;">
              <o:lock v:ext="edit" aspectratio="f"/>
              <v:shape id="Freeform 51" o:spid="_x0000_s1026" o:spt="100" style="position:absolute;left:1558;top:1092;height:2;width:8792;" filled="f" stroked="t" coordsize="8792,1" o:gfxdata="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E21i8AAAA&#10;3AAAAA8AAAAAAAAAAQAgAAAAIgAAAGRycy9kb3ducmV2LnhtbFBLAQIUABQAAAAIAIdO4kAzLwWe&#10;OwAAADkAAAAQAAAAAAAAAAEAIAAAAAsBAABkcnMvc2hhcGV4bWwueG1sUEsFBgAAAAAGAAYAWwEA&#10;ALUDAAAAAA==&#10;" path="m0,0l8792,0e">
                <v:path o:connectlocs="0,0;8792,0" o:connectangles="0,0"/>
                <v:fill on="f" focussize="0,0"/>
                <v:stroke weight="0.72pt" color="#000000" joinstyle="round"/>
                <v:imagedata o:title=""/>
                <o:lock v:ext="edit" aspectratio="f"/>
              </v:shape>
            </v:group>
          </w:pict>
        </mc:Fallback>
      </mc:AlternateContent>
    </w:r>
    <w:r>
      <w:rPr>
        <w:noProof/>
        <w:lang w:eastAsia="zh-CN"/>
      </w:rPr>
      <mc:AlternateContent>
        <mc:Choice Requires="wps">
          <w:drawing>
            <wp:anchor distT="0" distB="0" distL="114300" distR="114300" simplePos="0" relativeHeight="251661312" behindDoc="1" locked="0" layoutInCell="1" allowOverlap="1" wp14:anchorId="7F1B3FD6" wp14:editId="536CE882">
              <wp:simplePos x="0" y="0"/>
              <wp:positionH relativeFrom="page">
                <wp:posOffset>5317490</wp:posOffset>
              </wp:positionH>
              <wp:positionV relativeFrom="page">
                <wp:posOffset>615315</wp:posOffset>
              </wp:positionV>
              <wp:extent cx="1056640" cy="241300"/>
              <wp:effectExtent l="0" t="0" r="10160" b="6985"/>
              <wp:wrapNone/>
              <wp:docPr id="11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0C927417" w14:textId="77777777" w:rsidR="00A54A8A" w:rsidRDefault="00000000">
                          <w:pPr>
                            <w:ind w:left="20"/>
                            <w:rPr>
                              <w:rFonts w:ascii="宋体" w:hAnsi="宋体" w:cs="宋体"/>
                              <w:sz w:val="21"/>
                              <w:szCs w:val="21"/>
                            </w:rPr>
                          </w:pPr>
                          <w:r>
                            <w:rPr>
                              <w:rFonts w:ascii="宋体" w:hAnsi="宋体" w:cs="宋体"/>
                              <w:sz w:val="21"/>
                              <w:szCs w:val="21"/>
                            </w:rPr>
                            <w:t>环境影响报告书</w:t>
                          </w:r>
                        </w:p>
                      </w:txbxContent>
                    </wps:txbx>
                    <wps:bodyPr rot="0" vert="horz" wrap="square" lIns="0" tIns="0" rIns="0" bIns="0" anchor="t" anchorCtr="0" upright="1">
                      <a:noAutofit/>
                    </wps:bodyPr>
                  </wps:wsp>
                </a:graphicData>
              </a:graphic>
            </wp:anchor>
          </w:drawing>
        </mc:Choice>
        <mc:Fallback>
          <w:pict>
            <v:shapetype w14:anchorId="7F1B3FD6" id="_x0000_t202" coordsize="21600,21600" o:spt="202" path="m,l,21600r21600,l21600,xe">
              <v:stroke joinstyle="miter"/>
              <v:path gradientshapeok="t" o:connecttype="rect"/>
            </v:shapetype>
            <v:shape id="Text Box 48" o:spid="_x0000_s1058" type="#_x0000_t202" style="position:absolute;margin-left:418.7pt;margin-top:48.45pt;width:83.2pt;height:19pt;z-index:-251655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" filled="f" stroked="f">
              <v:textbox inset="0,0,0,0">
                <w:txbxContent>
                  <w:p w14:paraId="0C927417" w14:textId="77777777" w:rsidR="00A54A8A" w:rsidRDefault="00000000">
                    <w:pPr>
                      <w:ind w:left="20"/>
                      <w:rPr>
                        <w:rFonts w:ascii="宋体" w:hAnsi="宋体" w:cs="宋体"/>
                        <w:sz w:val="21"/>
                        <w:szCs w:val="21"/>
                      </w:rPr>
                    </w:pPr>
                    <w:r>
                      <w:rPr>
                        <w:rFonts w:ascii="宋体" w:hAnsi="宋体" w:cs="宋体"/>
                        <w:sz w:val="21"/>
                        <w:szCs w:val="21"/>
                      </w:rPr>
                      <w:t>环境影响报告书</w:t>
                    </w:r>
                  </w:p>
                </w:txbxContent>
              </v:textbox>
              <w10:wrap anchorx="page" anchory="page"/>
            </v:shape>
          </w:pict>
        </mc:Fallback>
      </mc:AlternateContent>
    </w:r>
    <w:r>
      <w:rPr>
        <w:noProof/>
        <w:lang w:eastAsia="zh-CN"/>
      </w:rPr>
      <mc:AlternateContent>
        <mc:Choice Requires="wps">
          <w:drawing>
            <wp:anchor distT="0" distB="0" distL="114300" distR="114300" simplePos="0" relativeHeight="251660288" behindDoc="1" locked="0" layoutInCell="1" allowOverlap="1" wp14:anchorId="14209AAC" wp14:editId="41DA6AFC">
              <wp:simplePos x="0" y="0"/>
              <wp:positionH relativeFrom="margin">
                <wp:posOffset>9525</wp:posOffset>
              </wp:positionH>
              <wp:positionV relativeFrom="page">
                <wp:posOffset>608965</wp:posOffset>
              </wp:positionV>
              <wp:extent cx="3301365" cy="183515"/>
              <wp:effectExtent l="0" t="0" r="13970" b="6985"/>
              <wp:wrapNone/>
              <wp:docPr id="11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40" cy="183770"/>
                      </a:xfrm>
                      <a:prstGeom prst="rect">
                        <a:avLst/>
                      </a:prstGeom>
                      <a:noFill/>
                      <a:ln>
                        <a:noFill/>
                      </a:ln>
                    </wps:spPr>
                    <wps:txbx>
                      <w:txbxContent>
                        <w:p w14:paraId="3F20EA23" w14:textId="7EDF2274" w:rsidR="00A54A8A" w:rsidRDefault="002662E3">
                          <w:pPr>
                            <w:rPr>
                              <w:rFonts w:ascii="Times New Roman" w:hAnsi="Times New Roman"/>
                              <w:sz w:val="21"/>
                              <w:szCs w:val="21"/>
                              <w:lang w:eastAsia="zh-CN"/>
                            </w:rPr>
                          </w:pPr>
                          <w:r>
                            <w:rPr>
                              <w:rFonts w:ascii="Times New Roman" w:hAnsi="Times New Roman" w:hint="eastAsia"/>
                              <w:bCs/>
                              <w:sz w:val="21"/>
                              <w:szCs w:val="21"/>
                              <w:lang w:eastAsia="zh-CN"/>
                            </w:rPr>
                            <w:t>普陆页</w:t>
                          </w:r>
                          <w:r>
                            <w:rPr>
                              <w:rFonts w:ascii="Times New Roman" w:hAnsi="Times New Roman" w:hint="eastAsia"/>
                              <w:bCs/>
                              <w:sz w:val="21"/>
                              <w:szCs w:val="21"/>
                              <w:lang w:eastAsia="zh-CN"/>
                            </w:rPr>
                            <w:t>2</w:t>
                          </w:r>
                          <w:r>
                            <w:rPr>
                              <w:rFonts w:ascii="Times New Roman" w:hAnsi="Times New Roman" w:hint="eastAsia"/>
                              <w:bCs/>
                              <w:sz w:val="21"/>
                              <w:szCs w:val="21"/>
                              <w:lang w:eastAsia="zh-CN"/>
                            </w:rPr>
                            <w:t>井台钻井及试采工程</w:t>
                          </w:r>
                        </w:p>
                      </w:txbxContent>
                    </wps:txbx>
                    <wps:bodyPr rot="0" vert="horz" wrap="square" lIns="0" tIns="0" rIns="0" bIns="0" anchor="t" anchorCtr="0" upright="1">
                      <a:noAutofit/>
                    </wps:bodyPr>
                  </wps:wsp>
                </a:graphicData>
              </a:graphic>
            </wp:anchor>
          </w:drawing>
        </mc:Choice>
        <mc:Fallback>
          <w:pict>
            <v:shape w14:anchorId="14209AAC" id="Text Box 49" o:spid="_x0000_s1059" type="#_x0000_t202" style="position:absolute;margin-left:.75pt;margin-top:47.95pt;width:259.95pt;height:14.45pt;z-index:-25165619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" filled="f" stroked="f">
              <v:textbox inset="0,0,0,0">
                <w:txbxContent>
                  <w:p w14:paraId="3F20EA23" w14:textId="7EDF2274" w:rsidR="00A54A8A" w:rsidRDefault="002662E3">
                    <w:pPr>
                      <w:rPr>
                        <w:rFonts w:ascii="Times New Roman" w:hAnsi="Times New Roman"/>
                        <w:sz w:val="21"/>
                        <w:szCs w:val="21"/>
                        <w:lang w:eastAsia="zh-CN"/>
                      </w:rPr>
                    </w:pPr>
                    <w:r>
                      <w:rPr>
                        <w:rFonts w:ascii="Times New Roman" w:hAnsi="Times New Roman" w:hint="eastAsia"/>
                        <w:bCs/>
                        <w:sz w:val="21"/>
                        <w:szCs w:val="21"/>
                        <w:lang w:eastAsia="zh-CN"/>
                      </w:rPr>
                      <w:t>普陆页</w:t>
                    </w:r>
                    <w:r>
                      <w:rPr>
                        <w:rFonts w:ascii="Times New Roman" w:hAnsi="Times New Roman" w:hint="eastAsia"/>
                        <w:bCs/>
                        <w:sz w:val="21"/>
                        <w:szCs w:val="21"/>
                        <w:lang w:eastAsia="zh-CN"/>
                      </w:rPr>
                      <w:t>2</w:t>
                    </w:r>
                    <w:r>
                      <w:rPr>
                        <w:rFonts w:ascii="Times New Roman" w:hAnsi="Times New Roman" w:hint="eastAsia"/>
                        <w:bCs/>
                        <w:sz w:val="21"/>
                        <w:szCs w:val="21"/>
                        <w:lang w:eastAsia="zh-CN"/>
                      </w:rPr>
                      <w:t>井台钻井及试采工程</w:t>
                    </w:r>
                  </w:p>
                </w:txbxContent>
              </v:textbox>
              <w10:wrap anchorx="margin"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C15B2" w14:textId="77777777" w:rsidR="00A54A8A" w:rsidRDefault="00A54A8A">
    <w:pPr>
      <w:spacing w:line="14" w:lineRule="auto"/>
      <w:rPr>
        <w:sz w:val="18"/>
        <w:szCs w:val="18"/>
        <w:lang w:eastAsia="zh-CN"/>
      </w:rPr>
    </w:pPr>
  </w:p>
  <w:p w14:paraId="23B94195" w14:textId="77777777" w:rsidR="00A54A8A" w:rsidRDefault="00A54A8A">
    <w:pPr>
      <w:spacing w:line="14" w:lineRule="auto"/>
      <w:rPr>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94550" w14:textId="77777777" w:rsidR="00A54A8A" w:rsidRDefault="00A54A8A">
    <w:pPr>
      <w:spacing w:line="14" w:lineRule="auto"/>
      <w:rPr>
        <w:sz w:val="18"/>
        <w:szCs w:val="18"/>
        <w:lang w:eastAsia="zh-CN"/>
      </w:rPr>
    </w:pPr>
  </w:p>
  <w:p w14:paraId="3774D3D2" w14:textId="77777777" w:rsidR="00A54A8A" w:rsidRDefault="00000000">
    <w:pPr>
      <w:spacing w:line="14" w:lineRule="auto"/>
      <w:rPr>
        <w:sz w:val="18"/>
        <w:szCs w:val="18"/>
      </w:rPr>
    </w:pPr>
    <w:r>
      <w:rPr>
        <w:noProof/>
        <w:lang w:eastAsia="zh-CN"/>
      </w:rPr>
      <mc:AlternateContent>
        <mc:Choice Requires="wps">
          <w:drawing>
            <wp:anchor distT="0" distB="0" distL="114300" distR="114300" simplePos="0" relativeHeight="251665408" behindDoc="1" locked="0" layoutInCell="1" allowOverlap="1" wp14:anchorId="73472FB8" wp14:editId="0CFE8E72">
              <wp:simplePos x="0" y="0"/>
              <wp:positionH relativeFrom="margin">
                <wp:posOffset>306070</wp:posOffset>
              </wp:positionH>
              <wp:positionV relativeFrom="page">
                <wp:posOffset>608965</wp:posOffset>
              </wp:positionV>
              <wp:extent cx="3301365" cy="183515"/>
              <wp:effectExtent l="0" t="0" r="13970" b="6985"/>
              <wp:wrapNone/>
              <wp:docPr id="175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65" cy="183515"/>
                      </a:xfrm>
                      <a:prstGeom prst="rect">
                        <a:avLst/>
                      </a:prstGeom>
                      <a:noFill/>
                      <a:ln>
                        <a:noFill/>
                      </a:ln>
                    </wps:spPr>
                    <wps:txbx>
                      <w:txbxContent>
                        <w:p w14:paraId="442344C5" w14:textId="77777777" w:rsidR="00A54A8A" w:rsidRDefault="00000000">
                          <w:pPr>
                            <w:rPr>
                              <w:rFonts w:ascii="Times New Roman" w:hAnsi="Times New Roman"/>
                              <w:sz w:val="21"/>
                              <w:szCs w:val="21"/>
                              <w:lang w:eastAsia="zh-CN"/>
                            </w:rPr>
                          </w:pPr>
                          <w:r>
                            <w:rPr>
                              <w:rFonts w:ascii="Times New Roman" w:hAnsi="Times New Roman" w:hint="eastAsia"/>
                              <w:bCs/>
                              <w:sz w:val="21"/>
                              <w:szCs w:val="21"/>
                              <w:lang w:eastAsia="zh-CN"/>
                            </w:rPr>
                            <w:t>普光</w:t>
                          </w:r>
                          <w:r>
                            <w:rPr>
                              <w:rFonts w:ascii="Times New Roman" w:hAnsi="Times New Roman" w:hint="eastAsia"/>
                              <w:bCs/>
                              <w:sz w:val="21"/>
                              <w:szCs w:val="21"/>
                              <w:lang w:eastAsia="zh-CN"/>
                            </w:rPr>
                            <w:t>103</w:t>
                          </w:r>
                          <w:r>
                            <w:rPr>
                              <w:rFonts w:ascii="Times New Roman" w:hAnsi="Times New Roman" w:hint="eastAsia"/>
                              <w:bCs/>
                              <w:sz w:val="21"/>
                              <w:szCs w:val="21"/>
                              <w:lang w:eastAsia="zh-CN"/>
                            </w:rPr>
                            <w:t>井台钻井及试采工程</w:t>
                          </w:r>
                        </w:p>
                      </w:txbxContent>
                    </wps:txbx>
                    <wps:bodyPr rot="0" vert="horz" wrap="square" lIns="0" tIns="0" rIns="0" bIns="0" anchor="t" anchorCtr="0" upright="1">
                      <a:noAutofit/>
                    </wps:bodyPr>
                  </wps:wsp>
                </a:graphicData>
              </a:graphic>
            </wp:anchor>
          </w:drawing>
        </mc:Choice>
        <mc:Fallback>
          <w:pict>
            <v:shapetype w14:anchorId="73472FB8" id="_x0000_t202" coordsize="21600,21600" o:spt="202" path="m,l,21600r21600,l21600,xe">
              <v:stroke joinstyle="miter"/>
              <v:path gradientshapeok="t" o:connecttype="rect"/>
            </v:shapetype>
            <v:shape id="_x0000_s1060" type="#_x0000_t202" style="position:absolute;margin-left:24.1pt;margin-top:47.95pt;width:259.95pt;height:14.45pt;z-index:-25165107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" filled="f" stroked="f">
              <v:textbox inset="0,0,0,0">
                <w:txbxContent>
                  <w:p w14:paraId="442344C5" w14:textId="77777777" w:rsidR="00A54A8A" w:rsidRDefault="00000000">
                    <w:pPr>
                      <w:rPr>
                        <w:rFonts w:ascii="Times New Roman" w:hAnsi="Times New Roman"/>
                        <w:sz w:val="21"/>
                        <w:szCs w:val="21"/>
                        <w:lang w:eastAsia="zh-CN"/>
                      </w:rPr>
                    </w:pPr>
                    <w:r>
                      <w:rPr>
                        <w:rFonts w:ascii="Times New Roman" w:hAnsi="Times New Roman" w:hint="eastAsia"/>
                        <w:bCs/>
                        <w:sz w:val="21"/>
                        <w:szCs w:val="21"/>
                        <w:lang w:eastAsia="zh-CN"/>
                      </w:rPr>
                      <w:t>普光</w:t>
                    </w:r>
                    <w:r>
                      <w:rPr>
                        <w:rFonts w:ascii="Times New Roman" w:hAnsi="Times New Roman" w:hint="eastAsia"/>
                        <w:bCs/>
                        <w:sz w:val="21"/>
                        <w:szCs w:val="21"/>
                        <w:lang w:eastAsia="zh-CN"/>
                      </w:rPr>
                      <w:t>103</w:t>
                    </w:r>
                    <w:r>
                      <w:rPr>
                        <w:rFonts w:ascii="Times New Roman" w:hAnsi="Times New Roman" w:hint="eastAsia"/>
                        <w:bCs/>
                        <w:sz w:val="21"/>
                        <w:szCs w:val="21"/>
                        <w:lang w:eastAsia="zh-CN"/>
                      </w:rPr>
                      <w:t>井台钻井及试采工程</w:t>
                    </w:r>
                  </w:p>
                </w:txbxContent>
              </v:textbox>
              <w10:wrap anchorx="margin" anchory="page"/>
            </v:shape>
          </w:pict>
        </mc:Fallback>
      </mc:AlternateContent>
    </w:r>
    <w:r>
      <w:rPr>
        <w:noProof/>
        <w:lang w:eastAsia="zh-CN"/>
      </w:rPr>
      <mc:AlternateContent>
        <mc:Choice Requires="wpg">
          <w:drawing>
            <wp:anchor distT="0" distB="0" distL="114300" distR="114300" simplePos="0" relativeHeight="251664384" behindDoc="1" locked="0" layoutInCell="1" allowOverlap="1" wp14:anchorId="1CAB74C5" wp14:editId="78AB7CBC">
              <wp:simplePos x="0" y="0"/>
              <wp:positionH relativeFrom="page">
                <wp:posOffset>1234440</wp:posOffset>
              </wp:positionH>
              <wp:positionV relativeFrom="page">
                <wp:posOffset>771525</wp:posOffset>
              </wp:positionV>
              <wp:extent cx="8336280" cy="47625"/>
              <wp:effectExtent l="0" t="0" r="0" b="0"/>
              <wp:wrapNone/>
              <wp:docPr id="1750" name="Group 50"/>
              <wp:cNvGraphicFramePr/>
              <a:graphic xmlns:a="http://schemas.openxmlformats.org/drawingml/2006/main">
                <a:graphicData uri="http://schemas.microsoft.com/office/word/2010/wordprocessingGroup">
                  <wpg:wgp>
                    <wpg:cNvGrpSpPr/>
                    <wpg:grpSpPr>
                      <a:xfrm flipV="1">
                        <a:off x="0" y="0"/>
                        <a:ext cx="8336478" cy="47501"/>
                        <a:chOff x="1558" y="1092"/>
                        <a:chExt cx="8792" cy="2"/>
                      </a:xfrm>
                    </wpg:grpSpPr>
                    <wps:wsp>
                      <wps:cNvPr id="1751"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Group 50" o:spid="_x0000_s1026" o:spt="203" style="position:absolute;left:0pt;flip:y;margin-left:97.2pt;margin-top:60.75pt;height:3.75pt;width:656.4pt;mso-position-horizontal-relative:page;mso-position-vertical-relative:page;z-index:-251652096;mso-width-relative:page;mso-height-relative:page;" coordorigin="1558,1092" coordsize="8792,2" o:gfxdata="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DJCc4X&#10;2QAAAAwBAAAPAAAAAAAAAAEAIAAAACIAAABkcnMvZG93bnJldi54bWxQSwECFAAUAAAACACHTuJA&#10;fleEpwQDAAD+BgAADgAAAAAAAAABACAAAAAoAQAAZHJzL2Uyb0RvYy54bWxQSwUGAAAAAAYABgBZ&#10;AQAAngYAAAAA&#10;">
              <o:lock v:ext="edit" aspectratio="f"/>
              <v:shape id="Freeform 51" o:spid="_x0000_s1026" o:spt="100" style="position:absolute;left:1558;top:1092;height:2;width:8792;" filled="f" stroked="t" coordsize="8792,1" o:gfxdata="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aZq+vQAA&#10;AN0AAAAPAAAAAAAAAAEAIAAAACIAAABkcnMvZG93bnJldi54bWxQSwECFAAUAAAACACHTuJAMy8F&#10;njsAAAA5AAAAEAAAAAAAAAABACAAAAAMAQAAZHJzL3NoYXBleG1sLnhtbFBLBQYAAAAABgAGAFsB&#10;AAC2AwAAAAA=&#10;" path="m0,0l8792,0e">
                <v:path o:connectlocs="0,0;8792,0" o:connectangles="0,0"/>
                <v:fill on="f" focussize="0,0"/>
                <v:stroke weight="0.72pt" color="#000000" joinstyle="round"/>
                <v:imagedata o:title=""/>
                <o:lock v:ext="edit" aspectratio="f"/>
              </v:shape>
            </v:group>
          </w:pict>
        </mc:Fallback>
      </mc:AlternateContent>
    </w:r>
    <w:r>
      <w:rPr>
        <w:noProof/>
        <w:lang w:eastAsia="zh-CN"/>
      </w:rPr>
      <mc:AlternateContent>
        <mc:Choice Requires="wps">
          <w:drawing>
            <wp:anchor distT="0" distB="0" distL="114300" distR="114300" simplePos="0" relativeHeight="251666432" behindDoc="1" locked="0" layoutInCell="1" allowOverlap="1" wp14:anchorId="65DD29F6" wp14:editId="709FB155">
              <wp:simplePos x="0" y="0"/>
              <wp:positionH relativeFrom="page">
                <wp:posOffset>8475980</wp:posOffset>
              </wp:positionH>
              <wp:positionV relativeFrom="page">
                <wp:posOffset>638810</wp:posOffset>
              </wp:positionV>
              <wp:extent cx="1056640" cy="241300"/>
              <wp:effectExtent l="0" t="0" r="10160" b="6985"/>
              <wp:wrapNone/>
              <wp:docPr id="175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640" cy="241044"/>
                      </a:xfrm>
                      <a:prstGeom prst="rect">
                        <a:avLst/>
                      </a:prstGeom>
                      <a:noFill/>
                      <a:ln>
                        <a:noFill/>
                      </a:ln>
                    </wps:spPr>
                    <wps:txbx>
                      <w:txbxContent>
                        <w:p w14:paraId="47F33469" w14:textId="77777777" w:rsidR="00A54A8A" w:rsidRDefault="00000000">
                          <w:pPr>
                            <w:ind w:left="20"/>
                            <w:rPr>
                              <w:rFonts w:ascii="宋体" w:hAnsi="宋体" w:cs="宋体"/>
                              <w:sz w:val="21"/>
                              <w:szCs w:val="21"/>
                            </w:rPr>
                          </w:pPr>
                          <w:r>
                            <w:rPr>
                              <w:rFonts w:ascii="宋体" w:hAnsi="宋体" w:cs="宋体"/>
                              <w:sz w:val="21"/>
                              <w:szCs w:val="21"/>
                            </w:rPr>
                            <w:t>环境影响报告书</w:t>
                          </w:r>
                        </w:p>
                      </w:txbxContent>
                    </wps:txbx>
                    <wps:bodyPr rot="0" vert="horz" wrap="square" lIns="0" tIns="0" rIns="0" bIns="0" anchor="t" anchorCtr="0" upright="1">
                      <a:noAutofit/>
                    </wps:bodyPr>
                  </wps:wsp>
                </a:graphicData>
              </a:graphic>
            </wp:anchor>
          </w:drawing>
        </mc:Choice>
        <mc:Fallback>
          <w:pict>
            <v:shape w14:anchorId="65DD29F6" id="_x0000_s1061" type="#_x0000_t202" style="position:absolute;margin-left:667.4pt;margin-top:50.3pt;width:83.2pt;height:19pt;z-index:-2516500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" filled="f" stroked="f">
              <v:textbox inset="0,0,0,0">
                <w:txbxContent>
                  <w:p w14:paraId="47F33469" w14:textId="77777777" w:rsidR="00A54A8A" w:rsidRDefault="00000000">
                    <w:pPr>
                      <w:ind w:left="20"/>
                      <w:rPr>
                        <w:rFonts w:ascii="宋体" w:hAnsi="宋体" w:cs="宋体"/>
                        <w:sz w:val="21"/>
                        <w:szCs w:val="21"/>
                      </w:rPr>
                    </w:pPr>
                    <w:r>
                      <w:rPr>
                        <w:rFonts w:ascii="宋体" w:hAnsi="宋体" w:cs="宋体"/>
                        <w:sz w:val="21"/>
                        <w:szCs w:val="21"/>
                      </w:rPr>
                      <w:t>环境影响报告书</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48451" w14:textId="77777777" w:rsidR="00A54A8A" w:rsidRDefault="00A54A8A">
    <w:pPr>
      <w:spacing w:line="14" w:lineRule="auto"/>
      <w:rPr>
        <w:sz w:val="18"/>
        <w:szCs w:val="18"/>
        <w:lang w:eastAsia="zh-CN"/>
      </w:rPr>
    </w:pPr>
  </w:p>
  <w:p w14:paraId="2C04F2C4" w14:textId="77777777" w:rsidR="00A54A8A" w:rsidRDefault="00A54A8A">
    <w:pPr>
      <w:spacing w:line="14" w:lineRule="auto"/>
      <w:rPr>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330E1" w14:textId="77777777" w:rsidR="00A54A8A" w:rsidRDefault="00000000">
    <w:pPr>
      <w:spacing w:line="14" w:lineRule="auto"/>
      <w:rPr>
        <w:sz w:val="18"/>
        <w:szCs w:val="18"/>
        <w:lang w:eastAsia="zh-CN"/>
      </w:rPr>
    </w:pPr>
    <w:r>
      <w:rPr>
        <w:noProof/>
        <w:lang w:eastAsia="zh-CN"/>
      </w:rPr>
      <mc:AlternateContent>
        <mc:Choice Requires="wpg">
          <w:drawing>
            <wp:anchor distT="0" distB="0" distL="114300" distR="114300" simplePos="0" relativeHeight="251667456" behindDoc="1" locked="0" layoutInCell="1" allowOverlap="1" wp14:anchorId="39630A75" wp14:editId="2794F8A8">
              <wp:simplePos x="0" y="0"/>
              <wp:positionH relativeFrom="margin">
                <wp:posOffset>103505</wp:posOffset>
              </wp:positionH>
              <wp:positionV relativeFrom="topMargin">
                <wp:align>bottom</wp:align>
              </wp:positionV>
              <wp:extent cx="8146415" cy="288290"/>
              <wp:effectExtent l="0" t="0" r="0" b="0"/>
              <wp:wrapNone/>
              <wp:docPr id="1592" name="Group 50"/>
              <wp:cNvGraphicFramePr/>
              <a:graphic xmlns:a="http://schemas.openxmlformats.org/drawingml/2006/main">
                <a:graphicData uri="http://schemas.microsoft.com/office/word/2010/wordprocessingGroup">
                  <wpg:wgp>
                    <wpg:cNvGrpSpPr/>
                    <wpg:grpSpPr>
                      <a:xfrm flipV="1">
                        <a:off x="0" y="0"/>
                        <a:ext cx="8146473" cy="288166"/>
                        <a:chOff x="1558" y="1092"/>
                        <a:chExt cx="8792" cy="2"/>
                      </a:xfrm>
                    </wpg:grpSpPr>
                    <wps:wsp>
                      <wps:cNvPr id="1593" name="Freeform 51"/>
                      <wps:cNvSpPr/>
                      <wps:spPr bwMode="auto">
                        <a:xfrm>
                          <a:off x="1558" y="1092"/>
                          <a:ext cx="8792" cy="2"/>
                        </a:xfrm>
                        <a:custGeom>
                          <a:avLst/>
                          <a:gdLst>
                            <a:gd name="T0" fmla="+- 0 1558 1558"/>
                            <a:gd name="T1" fmla="*/ T0 w 8792"/>
                            <a:gd name="T2" fmla="+- 0 10350 1558"/>
                            <a:gd name="T3" fmla="*/ T2 w 8792"/>
                          </a:gdLst>
                          <a:ahLst/>
                          <a:cxnLst>
                            <a:cxn ang="0">
                              <a:pos x="T1" y="0"/>
                            </a:cxn>
                            <a:cxn ang="0">
                              <a:pos x="T3" y="0"/>
                            </a:cxn>
                          </a:cxnLst>
                          <a:rect l="0" t="0" r="r" b="b"/>
                          <a:pathLst>
                            <a:path w="8792">
                              <a:moveTo>
                                <a:pt x="0" y="0"/>
                              </a:moveTo>
                              <a:lnTo>
                                <a:pt x="8792" y="0"/>
                              </a:lnTo>
                            </a:path>
                          </a:pathLst>
                        </a:custGeom>
                        <a:noFill/>
                        <a:ln w="9144">
                          <a:solidFill>
                            <a:srgbClr val="000000"/>
                          </a:solidFill>
                          <a:round/>
                        </a:ln>
                      </wps:spPr>
                      <wps:bodyPr rot="0" vert="horz" wrap="square" lIns="91440" tIns="45720" rIns="91440" bIns="45720" anchor="t" anchorCtr="0" upright="1">
                        <a:noAutofit/>
                      </wps:bodyPr>
                    </wps:wsp>
                  </wpg:wgp>
                </a:graphicData>
              </a:graphic>
            </wp:anchor>
          </w:drawing>
        </mc:Choice>
        <mc:Fallback xmlns:wpsCustomData="http://www.wps.cn/officeDocument/2013/wpsCustomData">
          <w:pict>
            <v:group id="Group 50" o:spid="_x0000_s1026" o:spt="203" style="position:absolute;left:0pt;flip:y;margin-left:98.15pt;margin-top:49.3pt;height:22.7pt;width:641.45pt;mso-position-horizontal-relative:page;mso-position-vertical-relative:page;z-index:-251649024;mso-width-relative:page;mso-height-relative:page;" coordorigin="1558,1092" coordsize="8792,2" o:gfxdata="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SW5DtUA&#10;AAAHAQAADwAAAAAAAAABACAAAAAiAAAAZHJzL2Rvd25yZXYueG1sUEsBAhQAFAAAAAgAh07iQLVh&#10;dHIGAwAA/wYAAA4AAAAAAAAAAQAgAAAAJAEAAGRycy9lMm9Eb2MueG1sUEsFBgAAAAAGAAYAWQEA&#10;AJwGAAAAAA==&#10;">
              <o:lock v:ext="edit" aspectratio="f"/>
              <v:shape id="Freeform 51" o:spid="_x0000_s1026" o:spt="100" style="position:absolute;left:1558;top:1092;height:2;width:8792;" filled="f" stroked="t" coordsize="8792,1" o:gfxdata="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KdSm8AAAA&#10;3QAAAA8AAAAAAAAAAQAgAAAAIgAAAGRycy9kb3ducmV2LnhtbFBLAQIUABQAAAAIAIdO4kAzLwWe&#10;OwAAADkAAAAQAAAAAAAAAAEAIAAAAAsBAABkcnMvc2hhcGV4bWwueG1sUEsFBgAAAAAGAAYAWwEA&#10;ALUDAAAAAA==&#10;" path="m0,0l8792,0e">
                <v:path o:connectlocs="0,0;8792,0" o:connectangles="0,0"/>
                <v:fill on="f" focussize="0,0"/>
                <v:stroke weight="0.72pt" color="#000000" joinstyle="round"/>
                <v:imagedata o:title=""/>
                <o:lock v:ext="edit" aspectratio="f"/>
              </v:shape>
            </v:group>
          </w:pict>
        </mc:Fallback>
      </mc:AlternateContent>
    </w:r>
  </w:p>
  <w:p w14:paraId="1D46E1BC" w14:textId="77777777" w:rsidR="00A54A8A" w:rsidRDefault="00A54A8A">
    <w:pPr>
      <w:spacing w:line="14" w:lineRule="auto"/>
      <w:rPr>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51AF4" w14:textId="77777777" w:rsidR="00A54A8A" w:rsidRDefault="00A54A8A">
    <w:pPr>
      <w:spacing w:line="14" w:lineRule="auto"/>
      <w:rPr>
        <w:sz w:val="18"/>
        <w:szCs w:val="18"/>
        <w:lang w:eastAsia="zh-CN"/>
      </w:rPr>
    </w:pPr>
  </w:p>
  <w:p w14:paraId="79B7E05F" w14:textId="77777777" w:rsidR="00A54A8A" w:rsidRDefault="00A54A8A">
    <w:pPr>
      <w:spacing w:line="14" w:lineRule="auto"/>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E19F8B"/>
    <w:multiLevelType w:val="singleLevel"/>
    <w:tmpl w:val="83E19F8B"/>
    <w:lvl w:ilvl="0">
      <w:start w:val="4"/>
      <w:numFmt w:val="decimal"/>
      <w:suff w:val="nothing"/>
      <w:lvlText w:val="（%1）"/>
      <w:lvlJc w:val="left"/>
    </w:lvl>
  </w:abstractNum>
  <w:abstractNum w:abstractNumId="1" w15:restartNumberingAfterBreak="0">
    <w:nsid w:val="9AAABDE9"/>
    <w:multiLevelType w:val="singleLevel"/>
    <w:tmpl w:val="9AAABDE9"/>
    <w:lvl w:ilvl="0">
      <w:start w:val="5"/>
      <w:numFmt w:val="decimal"/>
      <w:suff w:val="nothing"/>
      <w:lvlText w:val="%1、"/>
      <w:lvlJc w:val="left"/>
    </w:lvl>
  </w:abstractNum>
  <w:abstractNum w:abstractNumId="2" w15:restartNumberingAfterBreak="0">
    <w:nsid w:val="AAA58113"/>
    <w:multiLevelType w:val="singleLevel"/>
    <w:tmpl w:val="AAA58113"/>
    <w:lvl w:ilvl="0">
      <w:start w:val="1"/>
      <w:numFmt w:val="decimal"/>
      <w:suff w:val="nothing"/>
      <w:lvlText w:val="（%1）"/>
      <w:lvlJc w:val="left"/>
    </w:lvl>
  </w:abstractNum>
  <w:abstractNum w:abstractNumId="3" w15:restartNumberingAfterBreak="0">
    <w:nsid w:val="DC42DB00"/>
    <w:multiLevelType w:val="singleLevel"/>
    <w:tmpl w:val="DC42DB00"/>
    <w:lvl w:ilvl="0">
      <w:start w:val="2"/>
      <w:numFmt w:val="decimal"/>
      <w:suff w:val="nothing"/>
      <w:lvlText w:val="%1、"/>
      <w:lvlJc w:val="left"/>
    </w:lvl>
  </w:abstractNum>
  <w:abstractNum w:abstractNumId="4" w15:restartNumberingAfterBreak="0">
    <w:nsid w:val="E5ED8C31"/>
    <w:multiLevelType w:val="singleLevel"/>
    <w:tmpl w:val="E5ED8C31"/>
    <w:lvl w:ilvl="0">
      <w:start w:val="1"/>
      <w:numFmt w:val="decimal"/>
      <w:suff w:val="nothing"/>
      <w:lvlText w:val="（%1）"/>
      <w:lvlJc w:val="left"/>
    </w:lvl>
  </w:abstractNum>
  <w:abstractNum w:abstractNumId="5" w15:restartNumberingAfterBreak="0">
    <w:nsid w:val="FFFFFF7C"/>
    <w:multiLevelType w:val="singleLevel"/>
    <w:tmpl w:val="AE02F006"/>
    <w:lvl w:ilvl="0">
      <w:start w:val="1"/>
      <w:numFmt w:val="decimal"/>
      <w:lvlText w:val="%1."/>
      <w:lvlJc w:val="left"/>
      <w:pPr>
        <w:tabs>
          <w:tab w:val="num" w:pos="2040"/>
        </w:tabs>
        <w:ind w:leftChars="800" w:left="2040" w:hangingChars="200" w:hanging="360"/>
      </w:pPr>
    </w:lvl>
  </w:abstractNum>
  <w:abstractNum w:abstractNumId="6" w15:restartNumberingAfterBreak="0">
    <w:nsid w:val="FFFFFF7D"/>
    <w:multiLevelType w:val="singleLevel"/>
    <w:tmpl w:val="9880EB2E"/>
    <w:lvl w:ilvl="0">
      <w:start w:val="1"/>
      <w:numFmt w:val="decimal"/>
      <w:lvlText w:val="%1."/>
      <w:lvlJc w:val="left"/>
      <w:pPr>
        <w:tabs>
          <w:tab w:val="num" w:pos="1620"/>
        </w:tabs>
        <w:ind w:leftChars="600" w:left="1620" w:hangingChars="200" w:hanging="360"/>
      </w:pPr>
    </w:lvl>
  </w:abstractNum>
  <w:abstractNum w:abstractNumId="7" w15:restartNumberingAfterBreak="0">
    <w:nsid w:val="FFFFFF7E"/>
    <w:multiLevelType w:val="singleLevel"/>
    <w:tmpl w:val="A726FC88"/>
    <w:lvl w:ilvl="0">
      <w:start w:val="1"/>
      <w:numFmt w:val="decimal"/>
      <w:lvlText w:val="%1."/>
      <w:lvlJc w:val="left"/>
      <w:pPr>
        <w:tabs>
          <w:tab w:val="num" w:pos="1200"/>
        </w:tabs>
        <w:ind w:leftChars="400" w:left="1200" w:hangingChars="200" w:hanging="360"/>
      </w:pPr>
    </w:lvl>
  </w:abstractNum>
  <w:abstractNum w:abstractNumId="8" w15:restartNumberingAfterBreak="0">
    <w:nsid w:val="FFFFFF7F"/>
    <w:multiLevelType w:val="singleLevel"/>
    <w:tmpl w:val="B874AACA"/>
    <w:lvl w:ilvl="0">
      <w:start w:val="1"/>
      <w:numFmt w:val="decimal"/>
      <w:lvlText w:val="%1."/>
      <w:lvlJc w:val="left"/>
      <w:pPr>
        <w:tabs>
          <w:tab w:val="num" w:pos="780"/>
        </w:tabs>
        <w:ind w:leftChars="200" w:left="780" w:hangingChars="200" w:hanging="360"/>
      </w:pPr>
    </w:lvl>
  </w:abstractNum>
  <w:abstractNum w:abstractNumId="9" w15:restartNumberingAfterBreak="0">
    <w:nsid w:val="FFFFFF80"/>
    <w:multiLevelType w:val="singleLevel"/>
    <w:tmpl w:val="5322C7E6"/>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10" w15:restartNumberingAfterBreak="0">
    <w:nsid w:val="FFFFFF81"/>
    <w:multiLevelType w:val="singleLevel"/>
    <w:tmpl w:val="0060C45A"/>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11" w15:restartNumberingAfterBreak="0">
    <w:nsid w:val="FFFFFF82"/>
    <w:multiLevelType w:val="singleLevel"/>
    <w:tmpl w:val="1DD4D15E"/>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12" w15:restartNumberingAfterBreak="0">
    <w:nsid w:val="FFFFFF83"/>
    <w:multiLevelType w:val="singleLevel"/>
    <w:tmpl w:val="582ADA2A"/>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13" w15:restartNumberingAfterBreak="0">
    <w:nsid w:val="FFFFFF88"/>
    <w:multiLevelType w:val="singleLevel"/>
    <w:tmpl w:val="99A02DCE"/>
    <w:lvl w:ilvl="0">
      <w:start w:val="1"/>
      <w:numFmt w:val="decimal"/>
      <w:lvlText w:val="%1."/>
      <w:lvlJc w:val="left"/>
      <w:pPr>
        <w:tabs>
          <w:tab w:val="num" w:pos="360"/>
        </w:tabs>
        <w:ind w:left="360" w:hangingChars="200" w:hanging="360"/>
      </w:pPr>
    </w:lvl>
  </w:abstractNum>
  <w:abstractNum w:abstractNumId="14" w15:restartNumberingAfterBreak="0">
    <w:nsid w:val="FFFFFF89"/>
    <w:multiLevelType w:val="singleLevel"/>
    <w:tmpl w:val="C2AAAB3A"/>
    <w:lvl w:ilvl="0">
      <w:start w:val="1"/>
      <w:numFmt w:val="bullet"/>
      <w:lvlText w:val=""/>
      <w:lvlJc w:val="left"/>
      <w:pPr>
        <w:tabs>
          <w:tab w:val="num" w:pos="360"/>
        </w:tabs>
        <w:ind w:left="360" w:hangingChars="200" w:hanging="360"/>
      </w:pPr>
      <w:rPr>
        <w:rFonts w:ascii="Wingdings" w:hAnsi="Wingdings" w:hint="default"/>
      </w:rPr>
    </w:lvl>
  </w:abstractNum>
  <w:abstractNum w:abstractNumId="15" w15:restartNumberingAfterBreak="0">
    <w:nsid w:val="053F9A2D"/>
    <w:multiLevelType w:val="singleLevel"/>
    <w:tmpl w:val="053F9A2D"/>
    <w:lvl w:ilvl="0">
      <w:start w:val="2"/>
      <w:numFmt w:val="decimal"/>
      <w:suff w:val="nothing"/>
      <w:lvlText w:val="（%1）"/>
      <w:lvlJc w:val="left"/>
    </w:lvl>
  </w:abstractNum>
  <w:abstractNum w:abstractNumId="16" w15:restartNumberingAfterBreak="0">
    <w:nsid w:val="08251424"/>
    <w:multiLevelType w:val="hybridMultilevel"/>
    <w:tmpl w:val="65CCA846"/>
    <w:lvl w:ilvl="0" w:tplc="3AB6A132">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15:restartNumberingAfterBreak="0">
    <w:nsid w:val="0A3C5C23"/>
    <w:multiLevelType w:val="hybridMultilevel"/>
    <w:tmpl w:val="D062EA6C"/>
    <w:lvl w:ilvl="0" w:tplc="D198524E">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15:restartNumberingAfterBreak="0">
    <w:nsid w:val="0BB24DEA"/>
    <w:multiLevelType w:val="multilevel"/>
    <w:tmpl w:val="7C1CC506"/>
    <w:lvl w:ilvl="0">
      <w:start w:val="1"/>
      <w:numFmt w:val="decimal"/>
      <w:lvlText w:val="%1"/>
      <w:lvlJc w:val="left"/>
      <w:pPr>
        <w:tabs>
          <w:tab w:val="num" w:pos="425"/>
        </w:tabs>
        <w:ind w:left="425" w:hanging="425"/>
      </w:pPr>
      <w:rPr>
        <w:rFonts w:hint="eastAsia"/>
      </w:rPr>
    </w:lvl>
    <w:lvl w:ilvl="1">
      <w:start w:val="1"/>
      <w:numFmt w:val="decimal"/>
      <w:lvlText w:val="%1.%2"/>
      <w:lvlJc w:val="left"/>
      <w:pPr>
        <w:tabs>
          <w:tab w:val="num" w:pos="680"/>
        </w:tabs>
        <w:ind w:left="567" w:hanging="567"/>
      </w:pPr>
      <w:rPr>
        <w:rFonts w:hint="eastAsia"/>
      </w:rPr>
    </w:lvl>
    <w:lvl w:ilvl="2">
      <w:start w:val="1"/>
      <w:numFmt w:val="decimal"/>
      <w:lvlText w:val="%1.%2.%3"/>
      <w:lvlJc w:val="left"/>
      <w:pPr>
        <w:tabs>
          <w:tab w:val="num" w:pos="907"/>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9" w15:restartNumberingAfterBreak="0">
    <w:nsid w:val="30E570E3"/>
    <w:multiLevelType w:val="multilevel"/>
    <w:tmpl w:val="30E570E3"/>
    <w:lvl w:ilvl="0">
      <w:start w:val="1"/>
      <w:numFmt w:val="bullet"/>
      <w:pStyle w:val="5"/>
      <w:lvlText w:val=""/>
      <w:lvlJc w:val="left"/>
      <w:pPr>
        <w:ind w:left="207" w:hanging="181"/>
      </w:pPr>
      <w:rPr>
        <w:rFonts w:ascii="Symbol" w:eastAsia="Symbol" w:hAnsi="Symbol" w:hint="default"/>
        <w:w w:val="102"/>
        <w:sz w:val="24"/>
        <w:szCs w:val="24"/>
      </w:rPr>
    </w:lvl>
    <w:lvl w:ilvl="1">
      <w:start w:val="1"/>
      <w:numFmt w:val="bullet"/>
      <w:lvlText w:val="•"/>
      <w:lvlJc w:val="left"/>
      <w:pPr>
        <w:ind w:left="239" w:hanging="181"/>
      </w:pPr>
      <w:rPr>
        <w:rFonts w:hint="default"/>
      </w:rPr>
    </w:lvl>
    <w:lvl w:ilvl="2">
      <w:start w:val="1"/>
      <w:numFmt w:val="bullet"/>
      <w:lvlText w:val="•"/>
      <w:lvlJc w:val="left"/>
      <w:pPr>
        <w:ind w:left="279" w:hanging="181"/>
      </w:pPr>
      <w:rPr>
        <w:rFonts w:hint="default"/>
      </w:rPr>
    </w:lvl>
    <w:lvl w:ilvl="3">
      <w:start w:val="1"/>
      <w:numFmt w:val="bullet"/>
      <w:pStyle w:val="4"/>
      <w:lvlText w:val="•"/>
      <w:lvlJc w:val="left"/>
      <w:pPr>
        <w:ind w:left="319" w:hanging="181"/>
      </w:pPr>
      <w:rPr>
        <w:rFonts w:hint="default"/>
      </w:rPr>
    </w:lvl>
    <w:lvl w:ilvl="4">
      <w:start w:val="1"/>
      <w:numFmt w:val="bullet"/>
      <w:lvlText w:val="•"/>
      <w:lvlJc w:val="left"/>
      <w:pPr>
        <w:ind w:left="359" w:hanging="181"/>
      </w:pPr>
      <w:rPr>
        <w:rFonts w:hint="default"/>
      </w:rPr>
    </w:lvl>
    <w:lvl w:ilvl="5">
      <w:start w:val="1"/>
      <w:numFmt w:val="bullet"/>
      <w:lvlText w:val="•"/>
      <w:lvlJc w:val="left"/>
      <w:pPr>
        <w:ind w:left="398" w:hanging="181"/>
      </w:pPr>
      <w:rPr>
        <w:rFonts w:hint="default"/>
      </w:rPr>
    </w:lvl>
    <w:lvl w:ilvl="6">
      <w:start w:val="1"/>
      <w:numFmt w:val="bullet"/>
      <w:lvlText w:val="•"/>
      <w:lvlJc w:val="left"/>
      <w:pPr>
        <w:ind w:left="438" w:hanging="181"/>
      </w:pPr>
      <w:rPr>
        <w:rFonts w:hint="default"/>
      </w:rPr>
    </w:lvl>
    <w:lvl w:ilvl="7">
      <w:start w:val="1"/>
      <w:numFmt w:val="bullet"/>
      <w:lvlText w:val="•"/>
      <w:lvlJc w:val="left"/>
      <w:pPr>
        <w:ind w:left="478" w:hanging="181"/>
      </w:pPr>
      <w:rPr>
        <w:rFonts w:hint="default"/>
      </w:rPr>
    </w:lvl>
    <w:lvl w:ilvl="8">
      <w:start w:val="1"/>
      <w:numFmt w:val="bullet"/>
      <w:lvlText w:val="•"/>
      <w:lvlJc w:val="left"/>
      <w:pPr>
        <w:ind w:left="518" w:hanging="181"/>
      </w:pPr>
      <w:rPr>
        <w:rFonts w:hint="default"/>
      </w:rPr>
    </w:lvl>
  </w:abstractNum>
  <w:abstractNum w:abstractNumId="20" w15:restartNumberingAfterBreak="0">
    <w:nsid w:val="372105CC"/>
    <w:multiLevelType w:val="singleLevel"/>
    <w:tmpl w:val="372105CC"/>
    <w:lvl w:ilvl="0">
      <w:start w:val="3"/>
      <w:numFmt w:val="decimal"/>
      <w:suff w:val="nothing"/>
      <w:lvlText w:val="（%1）"/>
      <w:lvlJc w:val="left"/>
    </w:lvl>
  </w:abstractNum>
  <w:abstractNum w:abstractNumId="21" w15:restartNumberingAfterBreak="0">
    <w:nsid w:val="62912F32"/>
    <w:multiLevelType w:val="hybridMultilevel"/>
    <w:tmpl w:val="49ACB758"/>
    <w:lvl w:ilvl="0" w:tplc="2D3E0B78">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15:restartNumberingAfterBreak="0">
    <w:nsid w:val="667FBB14"/>
    <w:multiLevelType w:val="singleLevel"/>
    <w:tmpl w:val="667FBB14"/>
    <w:lvl w:ilvl="0">
      <w:start w:val="1"/>
      <w:numFmt w:val="decimal"/>
      <w:lvlText w:val="%1."/>
      <w:lvlJc w:val="left"/>
      <w:pPr>
        <w:tabs>
          <w:tab w:val="num" w:pos="2040"/>
        </w:tabs>
        <w:ind w:left="2040" w:hanging="360"/>
      </w:pPr>
    </w:lvl>
  </w:abstractNum>
  <w:abstractNum w:abstractNumId="23" w15:restartNumberingAfterBreak="0">
    <w:nsid w:val="712971A8"/>
    <w:multiLevelType w:val="hybridMultilevel"/>
    <w:tmpl w:val="C748B642"/>
    <w:lvl w:ilvl="0" w:tplc="0EB24948">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15:restartNumberingAfterBreak="0">
    <w:nsid w:val="7B20DE83"/>
    <w:multiLevelType w:val="singleLevel"/>
    <w:tmpl w:val="7B20DE83"/>
    <w:lvl w:ilvl="0">
      <w:start w:val="1"/>
      <w:numFmt w:val="decimal"/>
      <w:suff w:val="nothing"/>
      <w:lvlText w:val="%1、"/>
      <w:lvlJc w:val="left"/>
    </w:lvl>
  </w:abstractNum>
  <w:abstractNum w:abstractNumId="25" w15:restartNumberingAfterBreak="0">
    <w:nsid w:val="7B6CAF15"/>
    <w:multiLevelType w:val="singleLevel"/>
    <w:tmpl w:val="7B6CAF15"/>
    <w:lvl w:ilvl="0">
      <w:start w:val="1"/>
      <w:numFmt w:val="decimal"/>
      <w:suff w:val="nothing"/>
      <w:lvlText w:val="（%1）"/>
      <w:lvlJc w:val="left"/>
    </w:lvl>
  </w:abstractNum>
  <w:num w:numId="1" w16cid:durableId="564805577">
    <w:abstractNumId w:val="19"/>
  </w:num>
  <w:num w:numId="2" w16cid:durableId="731276609">
    <w:abstractNumId w:val="2"/>
  </w:num>
  <w:num w:numId="3" w16cid:durableId="1434665799">
    <w:abstractNumId w:val="15"/>
  </w:num>
  <w:num w:numId="4" w16cid:durableId="291523601">
    <w:abstractNumId w:val="3"/>
  </w:num>
  <w:num w:numId="5" w16cid:durableId="1877429311">
    <w:abstractNumId w:val="25"/>
  </w:num>
  <w:num w:numId="6" w16cid:durableId="1693605699">
    <w:abstractNumId w:val="1"/>
  </w:num>
  <w:num w:numId="7" w16cid:durableId="1411343589">
    <w:abstractNumId w:val="24"/>
  </w:num>
  <w:num w:numId="8" w16cid:durableId="1439980909">
    <w:abstractNumId w:val="13"/>
  </w:num>
  <w:num w:numId="9" w16cid:durableId="1562792169">
    <w:abstractNumId w:val="8"/>
  </w:num>
  <w:num w:numId="10" w16cid:durableId="998121029">
    <w:abstractNumId w:val="7"/>
  </w:num>
  <w:num w:numId="11" w16cid:durableId="1631207607">
    <w:abstractNumId w:val="6"/>
  </w:num>
  <w:num w:numId="12" w16cid:durableId="2143184335">
    <w:abstractNumId w:val="5"/>
  </w:num>
  <w:num w:numId="13" w16cid:durableId="221254461">
    <w:abstractNumId w:val="14"/>
  </w:num>
  <w:num w:numId="14" w16cid:durableId="1330979650">
    <w:abstractNumId w:val="12"/>
  </w:num>
  <w:num w:numId="15" w16cid:durableId="1206025015">
    <w:abstractNumId w:val="11"/>
  </w:num>
  <w:num w:numId="16" w16cid:durableId="1332290302">
    <w:abstractNumId w:val="10"/>
  </w:num>
  <w:num w:numId="17" w16cid:durableId="337123228">
    <w:abstractNumId w:val="9"/>
  </w:num>
  <w:num w:numId="18" w16cid:durableId="1658924818">
    <w:abstractNumId w:val="20"/>
  </w:num>
  <w:num w:numId="19" w16cid:durableId="1080978176">
    <w:abstractNumId w:val="18"/>
    <w:lvlOverride w:ilvl="0">
      <w:lvl w:ilvl="0">
        <w:start w:val="1"/>
        <w:numFmt w:val="decimal"/>
        <w:lvlText w:val="%1"/>
        <w:lvlJc w:val="left"/>
        <w:pPr>
          <w:tabs>
            <w:tab w:val="num" w:pos="425"/>
          </w:tabs>
          <w:ind w:left="425" w:hanging="425"/>
        </w:pPr>
        <w:rPr>
          <w:rFonts w:hint="eastAsia"/>
        </w:rPr>
      </w:lvl>
    </w:lvlOverride>
    <w:lvlOverride w:ilvl="1">
      <w:lvl w:ilvl="1">
        <w:start w:val="1"/>
        <w:numFmt w:val="decimal"/>
        <w:lvlText w:val="%1.%2"/>
        <w:lvlJc w:val="left"/>
        <w:pPr>
          <w:tabs>
            <w:tab w:val="num" w:pos="680"/>
          </w:tabs>
          <w:ind w:left="567" w:hanging="567"/>
        </w:pPr>
        <w:rPr>
          <w:rFonts w:hint="eastAsia"/>
        </w:rPr>
      </w:lvl>
    </w:lvlOverride>
    <w:lvlOverride w:ilvl="2">
      <w:lvl w:ilvl="2">
        <w:start w:val="1"/>
        <w:numFmt w:val="decimal"/>
        <w:lvlText w:val="%1.%2.%3"/>
        <w:lvlJc w:val="left"/>
        <w:pPr>
          <w:tabs>
            <w:tab w:val="num" w:pos="680"/>
          </w:tabs>
          <w:ind w:left="709" w:hanging="709"/>
        </w:pPr>
        <w:rPr>
          <w:rFonts w:hint="eastAsia"/>
        </w:rPr>
      </w:lvl>
    </w:lvlOverride>
    <w:lvlOverride w:ilvl="3">
      <w:lvl w:ilvl="3">
        <w:start w:val="1"/>
        <w:numFmt w:val="decimal"/>
        <w:lvlText w:val="%1.%2.%3.%4."/>
        <w:lvlJc w:val="left"/>
        <w:pPr>
          <w:tabs>
            <w:tab w:val="num" w:pos="851"/>
          </w:tabs>
          <w:ind w:left="851" w:hanging="851"/>
        </w:pPr>
        <w:rPr>
          <w:rFonts w:hint="eastAsia"/>
        </w:rPr>
      </w:lvl>
    </w:lvlOverride>
    <w:lvlOverride w:ilvl="4">
      <w:lvl w:ilvl="4">
        <w:start w:val="1"/>
        <w:numFmt w:val="decimal"/>
        <w:lvlText w:val="%1.%2.%3.%4.%5."/>
        <w:lvlJc w:val="left"/>
        <w:pPr>
          <w:tabs>
            <w:tab w:val="num" w:pos="992"/>
          </w:tabs>
          <w:ind w:left="992" w:hanging="992"/>
        </w:pPr>
        <w:rPr>
          <w:rFonts w:hint="eastAsia"/>
        </w:rPr>
      </w:lvl>
    </w:lvlOverride>
    <w:lvlOverride w:ilvl="5">
      <w:lvl w:ilvl="5">
        <w:start w:val="1"/>
        <w:numFmt w:val="decimal"/>
        <w:lvlText w:val="%1.%2.%3.%4.%5.%6."/>
        <w:lvlJc w:val="left"/>
        <w:pPr>
          <w:tabs>
            <w:tab w:val="num" w:pos="1134"/>
          </w:tabs>
          <w:ind w:left="1134" w:hanging="1134"/>
        </w:pPr>
        <w:rPr>
          <w:rFonts w:hint="eastAsia"/>
        </w:rPr>
      </w:lvl>
    </w:lvlOverride>
    <w:lvlOverride w:ilvl="6">
      <w:lvl w:ilvl="6">
        <w:start w:val="1"/>
        <w:numFmt w:val="decimal"/>
        <w:lvlText w:val="%1.%2.%3.%4.%5.%6.%7."/>
        <w:lvlJc w:val="left"/>
        <w:pPr>
          <w:tabs>
            <w:tab w:val="num" w:pos="1276"/>
          </w:tabs>
          <w:ind w:left="1276" w:hanging="1276"/>
        </w:pPr>
        <w:rPr>
          <w:rFonts w:hint="eastAsia"/>
        </w:rPr>
      </w:lvl>
    </w:lvlOverride>
    <w:lvlOverride w:ilvl="7">
      <w:lvl w:ilvl="7">
        <w:start w:val="1"/>
        <w:numFmt w:val="decimal"/>
        <w:lvlText w:val="%1.%2.%3.%4.%5.%6.%7.%8."/>
        <w:lvlJc w:val="left"/>
        <w:pPr>
          <w:tabs>
            <w:tab w:val="num" w:pos="1418"/>
          </w:tabs>
          <w:ind w:left="1418" w:hanging="1418"/>
        </w:pPr>
        <w:rPr>
          <w:rFonts w:hint="eastAsia"/>
        </w:rPr>
      </w:lvl>
    </w:lvlOverride>
    <w:lvlOverride w:ilvl="8">
      <w:lvl w:ilvl="8">
        <w:start w:val="1"/>
        <w:numFmt w:val="decimal"/>
        <w:lvlText w:val="%1.%2.%3.%4.%5.%6.%7.%8.%9."/>
        <w:lvlJc w:val="left"/>
        <w:pPr>
          <w:tabs>
            <w:tab w:val="num" w:pos="1559"/>
          </w:tabs>
          <w:ind w:left="1559" w:hanging="1559"/>
        </w:pPr>
        <w:rPr>
          <w:rFonts w:hint="eastAsia"/>
        </w:rPr>
      </w:lvl>
    </w:lvlOverride>
  </w:num>
  <w:num w:numId="20" w16cid:durableId="1814717180">
    <w:abstractNumId w:val="16"/>
  </w:num>
  <w:num w:numId="21" w16cid:durableId="912007268">
    <w:abstractNumId w:val="21"/>
  </w:num>
  <w:num w:numId="22" w16cid:durableId="1125272931">
    <w:abstractNumId w:val="17"/>
  </w:num>
  <w:num w:numId="23" w16cid:durableId="514928768">
    <w:abstractNumId w:val="23"/>
  </w:num>
  <w:num w:numId="24" w16cid:durableId="1586302940">
    <w:abstractNumId w:val="22"/>
  </w:num>
  <w:num w:numId="25" w16cid:durableId="701370171">
    <w:abstractNumId w:val="4"/>
  </w:num>
  <w:num w:numId="26" w16cid:durableId="21097404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defaultTabStop w:val="720"/>
  <w:drawingGridHorizontalSpacing w:val="110"/>
  <w:drawingGridVerticalSpacing w:val="163"/>
  <w:displayHorizontalDrawingGridEvery w:val="2"/>
  <w:displayVerticalDrawingGridEvery w:val="2"/>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DRlMjgyZDI1ZGZlYjhiYWM3MmE4NjkxMjJhMzQ2MDQifQ=="/>
  </w:docVars>
  <w:rsids>
    <w:rsidRoot w:val="00B8303D"/>
    <w:rsid w:val="000005C9"/>
    <w:rsid w:val="0000129F"/>
    <w:rsid w:val="00003972"/>
    <w:rsid w:val="00003C78"/>
    <w:rsid w:val="00004562"/>
    <w:rsid w:val="00005E95"/>
    <w:rsid w:val="00005FE4"/>
    <w:rsid w:val="00006D9D"/>
    <w:rsid w:val="0000719A"/>
    <w:rsid w:val="00007B7F"/>
    <w:rsid w:val="0001015F"/>
    <w:rsid w:val="000107E1"/>
    <w:rsid w:val="000126F8"/>
    <w:rsid w:val="00012758"/>
    <w:rsid w:val="00012863"/>
    <w:rsid w:val="0001338D"/>
    <w:rsid w:val="000140A5"/>
    <w:rsid w:val="00015547"/>
    <w:rsid w:val="00015E0A"/>
    <w:rsid w:val="000210E0"/>
    <w:rsid w:val="0002110E"/>
    <w:rsid w:val="000211D4"/>
    <w:rsid w:val="00021604"/>
    <w:rsid w:val="00021A23"/>
    <w:rsid w:val="00022095"/>
    <w:rsid w:val="00022611"/>
    <w:rsid w:val="000226FB"/>
    <w:rsid w:val="00022ED3"/>
    <w:rsid w:val="00023579"/>
    <w:rsid w:val="0002567D"/>
    <w:rsid w:val="00026C6E"/>
    <w:rsid w:val="000275B9"/>
    <w:rsid w:val="000276EE"/>
    <w:rsid w:val="00027E52"/>
    <w:rsid w:val="0003158D"/>
    <w:rsid w:val="000319AF"/>
    <w:rsid w:val="00032558"/>
    <w:rsid w:val="000325C8"/>
    <w:rsid w:val="00032757"/>
    <w:rsid w:val="000336CC"/>
    <w:rsid w:val="00034161"/>
    <w:rsid w:val="000342B9"/>
    <w:rsid w:val="00034F63"/>
    <w:rsid w:val="00035523"/>
    <w:rsid w:val="0003568A"/>
    <w:rsid w:val="000358C4"/>
    <w:rsid w:val="00035B47"/>
    <w:rsid w:val="0003687F"/>
    <w:rsid w:val="0003790B"/>
    <w:rsid w:val="00037B88"/>
    <w:rsid w:val="0004037D"/>
    <w:rsid w:val="00040516"/>
    <w:rsid w:val="000408D0"/>
    <w:rsid w:val="00040CB2"/>
    <w:rsid w:val="00041EBC"/>
    <w:rsid w:val="00042DFF"/>
    <w:rsid w:val="00042F5B"/>
    <w:rsid w:val="000435F3"/>
    <w:rsid w:val="000436DC"/>
    <w:rsid w:val="00043A4A"/>
    <w:rsid w:val="0004419B"/>
    <w:rsid w:val="00044D8D"/>
    <w:rsid w:val="000452D8"/>
    <w:rsid w:val="00045C09"/>
    <w:rsid w:val="00046943"/>
    <w:rsid w:val="00046D6F"/>
    <w:rsid w:val="00047733"/>
    <w:rsid w:val="0004783B"/>
    <w:rsid w:val="00047E3B"/>
    <w:rsid w:val="00050BE7"/>
    <w:rsid w:val="00051322"/>
    <w:rsid w:val="000519D4"/>
    <w:rsid w:val="00051CAE"/>
    <w:rsid w:val="00052562"/>
    <w:rsid w:val="00052A1C"/>
    <w:rsid w:val="000532D4"/>
    <w:rsid w:val="0005352E"/>
    <w:rsid w:val="0005395D"/>
    <w:rsid w:val="00053B30"/>
    <w:rsid w:val="00053E3D"/>
    <w:rsid w:val="00054513"/>
    <w:rsid w:val="00054FBE"/>
    <w:rsid w:val="000563A3"/>
    <w:rsid w:val="00056841"/>
    <w:rsid w:val="00057D34"/>
    <w:rsid w:val="00060556"/>
    <w:rsid w:val="00061D76"/>
    <w:rsid w:val="00062471"/>
    <w:rsid w:val="00062C5E"/>
    <w:rsid w:val="00062EAB"/>
    <w:rsid w:val="0006309C"/>
    <w:rsid w:val="00064062"/>
    <w:rsid w:val="00064312"/>
    <w:rsid w:val="0006439B"/>
    <w:rsid w:val="00064C78"/>
    <w:rsid w:val="00064E6D"/>
    <w:rsid w:val="00065A7C"/>
    <w:rsid w:val="000664DD"/>
    <w:rsid w:val="00067195"/>
    <w:rsid w:val="00067A4D"/>
    <w:rsid w:val="00067E4D"/>
    <w:rsid w:val="00070A11"/>
    <w:rsid w:val="0007187D"/>
    <w:rsid w:val="00071CF9"/>
    <w:rsid w:val="000723CB"/>
    <w:rsid w:val="00072752"/>
    <w:rsid w:val="00072FEA"/>
    <w:rsid w:val="0007350F"/>
    <w:rsid w:val="000736F8"/>
    <w:rsid w:val="000741D1"/>
    <w:rsid w:val="00074BFA"/>
    <w:rsid w:val="00074CC3"/>
    <w:rsid w:val="00074E85"/>
    <w:rsid w:val="0007619E"/>
    <w:rsid w:val="00076223"/>
    <w:rsid w:val="00076930"/>
    <w:rsid w:val="00077A04"/>
    <w:rsid w:val="00077AF2"/>
    <w:rsid w:val="00077D71"/>
    <w:rsid w:val="00080119"/>
    <w:rsid w:val="00080305"/>
    <w:rsid w:val="000809BE"/>
    <w:rsid w:val="00080A6C"/>
    <w:rsid w:val="00081457"/>
    <w:rsid w:val="00082EA8"/>
    <w:rsid w:val="000831AF"/>
    <w:rsid w:val="00083515"/>
    <w:rsid w:val="000846B2"/>
    <w:rsid w:val="000852FA"/>
    <w:rsid w:val="00085BC2"/>
    <w:rsid w:val="000871B0"/>
    <w:rsid w:val="00087DD7"/>
    <w:rsid w:val="00087EB9"/>
    <w:rsid w:val="00090671"/>
    <w:rsid w:val="00091EE6"/>
    <w:rsid w:val="00092363"/>
    <w:rsid w:val="000925D8"/>
    <w:rsid w:val="000937CC"/>
    <w:rsid w:val="00093B08"/>
    <w:rsid w:val="00093B37"/>
    <w:rsid w:val="0009444A"/>
    <w:rsid w:val="00095CFE"/>
    <w:rsid w:val="00096D4A"/>
    <w:rsid w:val="000972F8"/>
    <w:rsid w:val="00097EEB"/>
    <w:rsid w:val="000A0EBA"/>
    <w:rsid w:val="000A1900"/>
    <w:rsid w:val="000A1A4C"/>
    <w:rsid w:val="000A2BF3"/>
    <w:rsid w:val="000A349B"/>
    <w:rsid w:val="000A3E0A"/>
    <w:rsid w:val="000A4873"/>
    <w:rsid w:val="000A54E6"/>
    <w:rsid w:val="000A5BDB"/>
    <w:rsid w:val="000A6110"/>
    <w:rsid w:val="000A6BB1"/>
    <w:rsid w:val="000A6CC7"/>
    <w:rsid w:val="000A7630"/>
    <w:rsid w:val="000B02B4"/>
    <w:rsid w:val="000B09F7"/>
    <w:rsid w:val="000B1858"/>
    <w:rsid w:val="000B1CBB"/>
    <w:rsid w:val="000B1E75"/>
    <w:rsid w:val="000B2927"/>
    <w:rsid w:val="000B2ED1"/>
    <w:rsid w:val="000B3E74"/>
    <w:rsid w:val="000B4282"/>
    <w:rsid w:val="000B4666"/>
    <w:rsid w:val="000B5517"/>
    <w:rsid w:val="000B5DBB"/>
    <w:rsid w:val="000B6983"/>
    <w:rsid w:val="000B7369"/>
    <w:rsid w:val="000B736C"/>
    <w:rsid w:val="000B7D48"/>
    <w:rsid w:val="000C0113"/>
    <w:rsid w:val="000C0342"/>
    <w:rsid w:val="000C1A72"/>
    <w:rsid w:val="000C1F81"/>
    <w:rsid w:val="000C25DD"/>
    <w:rsid w:val="000C273A"/>
    <w:rsid w:val="000C2EE6"/>
    <w:rsid w:val="000C313A"/>
    <w:rsid w:val="000C3146"/>
    <w:rsid w:val="000C3512"/>
    <w:rsid w:val="000C3942"/>
    <w:rsid w:val="000C4084"/>
    <w:rsid w:val="000C41FF"/>
    <w:rsid w:val="000C4CA7"/>
    <w:rsid w:val="000C55CC"/>
    <w:rsid w:val="000C5AF0"/>
    <w:rsid w:val="000C61B5"/>
    <w:rsid w:val="000C6296"/>
    <w:rsid w:val="000C6D8A"/>
    <w:rsid w:val="000C7123"/>
    <w:rsid w:val="000C75C4"/>
    <w:rsid w:val="000C781E"/>
    <w:rsid w:val="000C78D5"/>
    <w:rsid w:val="000D019D"/>
    <w:rsid w:val="000D01F8"/>
    <w:rsid w:val="000D0860"/>
    <w:rsid w:val="000D0EA7"/>
    <w:rsid w:val="000D0F83"/>
    <w:rsid w:val="000D1065"/>
    <w:rsid w:val="000D120E"/>
    <w:rsid w:val="000D1626"/>
    <w:rsid w:val="000D181B"/>
    <w:rsid w:val="000D1CD4"/>
    <w:rsid w:val="000D28F6"/>
    <w:rsid w:val="000D401F"/>
    <w:rsid w:val="000D5816"/>
    <w:rsid w:val="000D664A"/>
    <w:rsid w:val="000D69B9"/>
    <w:rsid w:val="000D6FA0"/>
    <w:rsid w:val="000D737E"/>
    <w:rsid w:val="000D76B8"/>
    <w:rsid w:val="000D79A9"/>
    <w:rsid w:val="000D7B9B"/>
    <w:rsid w:val="000E020B"/>
    <w:rsid w:val="000E0D00"/>
    <w:rsid w:val="000E137E"/>
    <w:rsid w:val="000E24DA"/>
    <w:rsid w:val="000E3DDF"/>
    <w:rsid w:val="000E4284"/>
    <w:rsid w:val="000E4933"/>
    <w:rsid w:val="000E4D35"/>
    <w:rsid w:val="000E5198"/>
    <w:rsid w:val="000E5A0D"/>
    <w:rsid w:val="000E6751"/>
    <w:rsid w:val="000E6B19"/>
    <w:rsid w:val="000E6FC9"/>
    <w:rsid w:val="000E7B9A"/>
    <w:rsid w:val="000E7C99"/>
    <w:rsid w:val="000F0A8A"/>
    <w:rsid w:val="000F0CEF"/>
    <w:rsid w:val="000F0E12"/>
    <w:rsid w:val="000F0E25"/>
    <w:rsid w:val="000F14D2"/>
    <w:rsid w:val="000F164F"/>
    <w:rsid w:val="000F1CF2"/>
    <w:rsid w:val="000F2AA0"/>
    <w:rsid w:val="000F36B8"/>
    <w:rsid w:val="000F3B1E"/>
    <w:rsid w:val="000F3E53"/>
    <w:rsid w:val="000F44CB"/>
    <w:rsid w:val="000F4D98"/>
    <w:rsid w:val="000F5438"/>
    <w:rsid w:val="000F580B"/>
    <w:rsid w:val="000F59EB"/>
    <w:rsid w:val="000F637A"/>
    <w:rsid w:val="000F6507"/>
    <w:rsid w:val="000F6876"/>
    <w:rsid w:val="000F6C0F"/>
    <w:rsid w:val="00100248"/>
    <w:rsid w:val="0010287F"/>
    <w:rsid w:val="00103122"/>
    <w:rsid w:val="001036F3"/>
    <w:rsid w:val="00104CA4"/>
    <w:rsid w:val="001051D7"/>
    <w:rsid w:val="00105AE9"/>
    <w:rsid w:val="00105EE1"/>
    <w:rsid w:val="00106614"/>
    <w:rsid w:val="00106E6B"/>
    <w:rsid w:val="00107A36"/>
    <w:rsid w:val="00107DF0"/>
    <w:rsid w:val="00110395"/>
    <w:rsid w:val="00111531"/>
    <w:rsid w:val="00111AB4"/>
    <w:rsid w:val="00111D11"/>
    <w:rsid w:val="00112965"/>
    <w:rsid w:val="00113A28"/>
    <w:rsid w:val="00113C7C"/>
    <w:rsid w:val="001159B3"/>
    <w:rsid w:val="001159F8"/>
    <w:rsid w:val="0011655C"/>
    <w:rsid w:val="00116889"/>
    <w:rsid w:val="00117408"/>
    <w:rsid w:val="001176F1"/>
    <w:rsid w:val="00117D0B"/>
    <w:rsid w:val="001206D4"/>
    <w:rsid w:val="00120BC8"/>
    <w:rsid w:val="00120C33"/>
    <w:rsid w:val="00120E3E"/>
    <w:rsid w:val="001210C5"/>
    <w:rsid w:val="001213B6"/>
    <w:rsid w:val="00121564"/>
    <w:rsid w:val="00121646"/>
    <w:rsid w:val="00122225"/>
    <w:rsid w:val="00122B31"/>
    <w:rsid w:val="00123427"/>
    <w:rsid w:val="001241CB"/>
    <w:rsid w:val="00124512"/>
    <w:rsid w:val="00125053"/>
    <w:rsid w:val="0012569E"/>
    <w:rsid w:val="0012594E"/>
    <w:rsid w:val="00125C4D"/>
    <w:rsid w:val="00125FF7"/>
    <w:rsid w:val="0012657A"/>
    <w:rsid w:val="00126943"/>
    <w:rsid w:val="00127C52"/>
    <w:rsid w:val="00127E33"/>
    <w:rsid w:val="001303DA"/>
    <w:rsid w:val="00130658"/>
    <w:rsid w:val="00130CB8"/>
    <w:rsid w:val="00132548"/>
    <w:rsid w:val="001328D8"/>
    <w:rsid w:val="001339EE"/>
    <w:rsid w:val="001339F7"/>
    <w:rsid w:val="00133F4D"/>
    <w:rsid w:val="00133FF9"/>
    <w:rsid w:val="001343BC"/>
    <w:rsid w:val="00134672"/>
    <w:rsid w:val="001348A9"/>
    <w:rsid w:val="00134D9C"/>
    <w:rsid w:val="00135DFE"/>
    <w:rsid w:val="00136063"/>
    <w:rsid w:val="00136C78"/>
    <w:rsid w:val="001377F7"/>
    <w:rsid w:val="00140813"/>
    <w:rsid w:val="00140B13"/>
    <w:rsid w:val="00141815"/>
    <w:rsid w:val="00141E33"/>
    <w:rsid w:val="001428FE"/>
    <w:rsid w:val="00142B84"/>
    <w:rsid w:val="00142EFF"/>
    <w:rsid w:val="00143059"/>
    <w:rsid w:val="001444AF"/>
    <w:rsid w:val="001447AE"/>
    <w:rsid w:val="00145A1C"/>
    <w:rsid w:val="00145B12"/>
    <w:rsid w:val="00145BF6"/>
    <w:rsid w:val="00146BF2"/>
    <w:rsid w:val="0014729F"/>
    <w:rsid w:val="0014745F"/>
    <w:rsid w:val="001475DB"/>
    <w:rsid w:val="00147764"/>
    <w:rsid w:val="00147F06"/>
    <w:rsid w:val="001500A8"/>
    <w:rsid w:val="00150BF1"/>
    <w:rsid w:val="00150C8F"/>
    <w:rsid w:val="00151E1B"/>
    <w:rsid w:val="00152344"/>
    <w:rsid w:val="0015263C"/>
    <w:rsid w:val="00153B3F"/>
    <w:rsid w:val="0015441C"/>
    <w:rsid w:val="00154FD3"/>
    <w:rsid w:val="0015504C"/>
    <w:rsid w:val="00155803"/>
    <w:rsid w:val="00155ABE"/>
    <w:rsid w:val="00157A51"/>
    <w:rsid w:val="00157C6A"/>
    <w:rsid w:val="0016053B"/>
    <w:rsid w:val="0016065D"/>
    <w:rsid w:val="00161622"/>
    <w:rsid w:val="001619C8"/>
    <w:rsid w:val="00161BE2"/>
    <w:rsid w:val="00161EE9"/>
    <w:rsid w:val="00162B40"/>
    <w:rsid w:val="00162C85"/>
    <w:rsid w:val="001636B7"/>
    <w:rsid w:val="00163A62"/>
    <w:rsid w:val="001652CC"/>
    <w:rsid w:val="00166547"/>
    <w:rsid w:val="00166BDB"/>
    <w:rsid w:val="00170AB0"/>
    <w:rsid w:val="00170C89"/>
    <w:rsid w:val="00170E67"/>
    <w:rsid w:val="00170F8C"/>
    <w:rsid w:val="00171690"/>
    <w:rsid w:val="001729B7"/>
    <w:rsid w:val="00172F16"/>
    <w:rsid w:val="0017333D"/>
    <w:rsid w:val="00173435"/>
    <w:rsid w:val="00173DFD"/>
    <w:rsid w:val="00173E0E"/>
    <w:rsid w:val="0017502F"/>
    <w:rsid w:val="001751B1"/>
    <w:rsid w:val="001757B2"/>
    <w:rsid w:val="001758C3"/>
    <w:rsid w:val="001768E3"/>
    <w:rsid w:val="001814C0"/>
    <w:rsid w:val="0018197C"/>
    <w:rsid w:val="00181B1A"/>
    <w:rsid w:val="00182895"/>
    <w:rsid w:val="00182C63"/>
    <w:rsid w:val="00182FE6"/>
    <w:rsid w:val="001836D4"/>
    <w:rsid w:val="00183D00"/>
    <w:rsid w:val="00184B18"/>
    <w:rsid w:val="00184C62"/>
    <w:rsid w:val="00185CFD"/>
    <w:rsid w:val="00186001"/>
    <w:rsid w:val="0018619C"/>
    <w:rsid w:val="00186251"/>
    <w:rsid w:val="00187053"/>
    <w:rsid w:val="00187552"/>
    <w:rsid w:val="00187558"/>
    <w:rsid w:val="00190406"/>
    <w:rsid w:val="0019132C"/>
    <w:rsid w:val="001924B6"/>
    <w:rsid w:val="001925DC"/>
    <w:rsid w:val="001927D2"/>
    <w:rsid w:val="00192A0E"/>
    <w:rsid w:val="00192DFD"/>
    <w:rsid w:val="00193287"/>
    <w:rsid w:val="00193429"/>
    <w:rsid w:val="001938A3"/>
    <w:rsid w:val="00194B21"/>
    <w:rsid w:val="00194B6D"/>
    <w:rsid w:val="001954C8"/>
    <w:rsid w:val="001955EC"/>
    <w:rsid w:val="00196791"/>
    <w:rsid w:val="001978A3"/>
    <w:rsid w:val="00197984"/>
    <w:rsid w:val="00197EC9"/>
    <w:rsid w:val="001A000B"/>
    <w:rsid w:val="001A02EB"/>
    <w:rsid w:val="001A1EF4"/>
    <w:rsid w:val="001A207A"/>
    <w:rsid w:val="001A26FD"/>
    <w:rsid w:val="001A28BB"/>
    <w:rsid w:val="001A338F"/>
    <w:rsid w:val="001A3971"/>
    <w:rsid w:val="001A42D6"/>
    <w:rsid w:val="001A4D08"/>
    <w:rsid w:val="001A5053"/>
    <w:rsid w:val="001A53F7"/>
    <w:rsid w:val="001A5CE8"/>
    <w:rsid w:val="001A6854"/>
    <w:rsid w:val="001A7C7D"/>
    <w:rsid w:val="001B02D6"/>
    <w:rsid w:val="001B0600"/>
    <w:rsid w:val="001B1760"/>
    <w:rsid w:val="001B23D5"/>
    <w:rsid w:val="001B3749"/>
    <w:rsid w:val="001B3EDB"/>
    <w:rsid w:val="001B45BE"/>
    <w:rsid w:val="001B4764"/>
    <w:rsid w:val="001B4D84"/>
    <w:rsid w:val="001B5123"/>
    <w:rsid w:val="001B5B0B"/>
    <w:rsid w:val="001B5D31"/>
    <w:rsid w:val="001B6FBE"/>
    <w:rsid w:val="001B7322"/>
    <w:rsid w:val="001B7497"/>
    <w:rsid w:val="001B7E4B"/>
    <w:rsid w:val="001B7E99"/>
    <w:rsid w:val="001B7F48"/>
    <w:rsid w:val="001C1A01"/>
    <w:rsid w:val="001C1CB7"/>
    <w:rsid w:val="001C1EAF"/>
    <w:rsid w:val="001C2D2D"/>
    <w:rsid w:val="001C2F20"/>
    <w:rsid w:val="001C2F94"/>
    <w:rsid w:val="001C30DA"/>
    <w:rsid w:val="001C382A"/>
    <w:rsid w:val="001C4535"/>
    <w:rsid w:val="001C4AF8"/>
    <w:rsid w:val="001C4E9D"/>
    <w:rsid w:val="001C515E"/>
    <w:rsid w:val="001C6A2F"/>
    <w:rsid w:val="001C6BD7"/>
    <w:rsid w:val="001C711E"/>
    <w:rsid w:val="001C7171"/>
    <w:rsid w:val="001C732D"/>
    <w:rsid w:val="001C7C3D"/>
    <w:rsid w:val="001C7E69"/>
    <w:rsid w:val="001D036E"/>
    <w:rsid w:val="001D0D01"/>
    <w:rsid w:val="001D0D95"/>
    <w:rsid w:val="001D18C7"/>
    <w:rsid w:val="001D2631"/>
    <w:rsid w:val="001D2747"/>
    <w:rsid w:val="001D2B3A"/>
    <w:rsid w:val="001D306A"/>
    <w:rsid w:val="001D3EC9"/>
    <w:rsid w:val="001D3F6F"/>
    <w:rsid w:val="001D4437"/>
    <w:rsid w:val="001D48BD"/>
    <w:rsid w:val="001D4AE2"/>
    <w:rsid w:val="001D4E90"/>
    <w:rsid w:val="001D5E51"/>
    <w:rsid w:val="001D5E69"/>
    <w:rsid w:val="001D629B"/>
    <w:rsid w:val="001D6BD4"/>
    <w:rsid w:val="001D7037"/>
    <w:rsid w:val="001D7DD7"/>
    <w:rsid w:val="001E017E"/>
    <w:rsid w:val="001E0886"/>
    <w:rsid w:val="001E0F6E"/>
    <w:rsid w:val="001E110C"/>
    <w:rsid w:val="001E2759"/>
    <w:rsid w:val="001E32D2"/>
    <w:rsid w:val="001E350D"/>
    <w:rsid w:val="001E35E3"/>
    <w:rsid w:val="001E3AEC"/>
    <w:rsid w:val="001E4151"/>
    <w:rsid w:val="001E4B87"/>
    <w:rsid w:val="001E4D73"/>
    <w:rsid w:val="001E5B4B"/>
    <w:rsid w:val="001E5B8F"/>
    <w:rsid w:val="001E6A51"/>
    <w:rsid w:val="001E7B0D"/>
    <w:rsid w:val="001F08C6"/>
    <w:rsid w:val="001F182E"/>
    <w:rsid w:val="001F1D0D"/>
    <w:rsid w:val="001F280F"/>
    <w:rsid w:val="001F3EF5"/>
    <w:rsid w:val="001F416E"/>
    <w:rsid w:val="001F41E7"/>
    <w:rsid w:val="001F5ACB"/>
    <w:rsid w:val="001F6C3E"/>
    <w:rsid w:val="001F728D"/>
    <w:rsid w:val="00200560"/>
    <w:rsid w:val="00200906"/>
    <w:rsid w:val="00200F40"/>
    <w:rsid w:val="002021ED"/>
    <w:rsid w:val="002036CE"/>
    <w:rsid w:val="0020388D"/>
    <w:rsid w:val="00203ECD"/>
    <w:rsid w:val="0020433E"/>
    <w:rsid w:val="00204CB8"/>
    <w:rsid w:val="00204FA6"/>
    <w:rsid w:val="0020515A"/>
    <w:rsid w:val="002052AC"/>
    <w:rsid w:val="002057B6"/>
    <w:rsid w:val="002058FC"/>
    <w:rsid w:val="00205CA9"/>
    <w:rsid w:val="0020644E"/>
    <w:rsid w:val="0021034A"/>
    <w:rsid w:val="00210876"/>
    <w:rsid w:val="00210DEE"/>
    <w:rsid w:val="0021226B"/>
    <w:rsid w:val="00213614"/>
    <w:rsid w:val="00213D6F"/>
    <w:rsid w:val="002147C5"/>
    <w:rsid w:val="00214E84"/>
    <w:rsid w:val="00215E8C"/>
    <w:rsid w:val="00215F80"/>
    <w:rsid w:val="0021670A"/>
    <w:rsid w:val="00216B4F"/>
    <w:rsid w:val="00216E0F"/>
    <w:rsid w:val="002171DD"/>
    <w:rsid w:val="00217FAF"/>
    <w:rsid w:val="00220395"/>
    <w:rsid w:val="00220F4C"/>
    <w:rsid w:val="00221591"/>
    <w:rsid w:val="00221A72"/>
    <w:rsid w:val="002222E8"/>
    <w:rsid w:val="0022391E"/>
    <w:rsid w:val="00224BF1"/>
    <w:rsid w:val="002256F6"/>
    <w:rsid w:val="00227E03"/>
    <w:rsid w:val="00230B64"/>
    <w:rsid w:val="00231FE9"/>
    <w:rsid w:val="00233A79"/>
    <w:rsid w:val="00233E0D"/>
    <w:rsid w:val="002346F6"/>
    <w:rsid w:val="00234948"/>
    <w:rsid w:val="00234DC3"/>
    <w:rsid w:val="00235E5C"/>
    <w:rsid w:val="00236492"/>
    <w:rsid w:val="00236DF3"/>
    <w:rsid w:val="002377A8"/>
    <w:rsid w:val="00241BE4"/>
    <w:rsid w:val="00242687"/>
    <w:rsid w:val="00242A50"/>
    <w:rsid w:val="00243180"/>
    <w:rsid w:val="002438F8"/>
    <w:rsid w:val="002445D5"/>
    <w:rsid w:val="00244A53"/>
    <w:rsid w:val="00244CB7"/>
    <w:rsid w:val="00244E39"/>
    <w:rsid w:val="00244E4C"/>
    <w:rsid w:val="002466E0"/>
    <w:rsid w:val="00246E41"/>
    <w:rsid w:val="0024708C"/>
    <w:rsid w:val="00247409"/>
    <w:rsid w:val="00250390"/>
    <w:rsid w:val="002505CE"/>
    <w:rsid w:val="002511D0"/>
    <w:rsid w:val="0025149A"/>
    <w:rsid w:val="00251AB3"/>
    <w:rsid w:val="002523FC"/>
    <w:rsid w:val="00252840"/>
    <w:rsid w:val="00253A79"/>
    <w:rsid w:val="00254CCC"/>
    <w:rsid w:val="002557D7"/>
    <w:rsid w:val="00255F20"/>
    <w:rsid w:val="00256898"/>
    <w:rsid w:val="00256B28"/>
    <w:rsid w:val="002579C0"/>
    <w:rsid w:val="002603F0"/>
    <w:rsid w:val="00260723"/>
    <w:rsid w:val="00260CB4"/>
    <w:rsid w:val="00260E30"/>
    <w:rsid w:val="0026113C"/>
    <w:rsid w:val="002616A2"/>
    <w:rsid w:val="002618F0"/>
    <w:rsid w:val="00261AB9"/>
    <w:rsid w:val="002621F2"/>
    <w:rsid w:val="00264208"/>
    <w:rsid w:val="002660EF"/>
    <w:rsid w:val="002662E3"/>
    <w:rsid w:val="00266E52"/>
    <w:rsid w:val="00266E6D"/>
    <w:rsid w:val="002670AB"/>
    <w:rsid w:val="002670EF"/>
    <w:rsid w:val="0026710C"/>
    <w:rsid w:val="0026765B"/>
    <w:rsid w:val="00267ABB"/>
    <w:rsid w:val="00267B16"/>
    <w:rsid w:val="00270268"/>
    <w:rsid w:val="0027191C"/>
    <w:rsid w:val="00271DF7"/>
    <w:rsid w:val="00272C92"/>
    <w:rsid w:val="00272C9F"/>
    <w:rsid w:val="00272E43"/>
    <w:rsid w:val="00273543"/>
    <w:rsid w:val="002738A7"/>
    <w:rsid w:val="00273994"/>
    <w:rsid w:val="002744E2"/>
    <w:rsid w:val="002753F7"/>
    <w:rsid w:val="00275415"/>
    <w:rsid w:val="0027557B"/>
    <w:rsid w:val="00275C3F"/>
    <w:rsid w:val="0027638E"/>
    <w:rsid w:val="0027662A"/>
    <w:rsid w:val="00276CB3"/>
    <w:rsid w:val="00277202"/>
    <w:rsid w:val="00277850"/>
    <w:rsid w:val="00277A98"/>
    <w:rsid w:val="00277C48"/>
    <w:rsid w:val="002807CB"/>
    <w:rsid w:val="00280D55"/>
    <w:rsid w:val="00280DAC"/>
    <w:rsid w:val="00280E0C"/>
    <w:rsid w:val="00280FD6"/>
    <w:rsid w:val="002818DE"/>
    <w:rsid w:val="00281947"/>
    <w:rsid w:val="00282C2A"/>
    <w:rsid w:val="00283832"/>
    <w:rsid w:val="002838A0"/>
    <w:rsid w:val="00284D91"/>
    <w:rsid w:val="00285424"/>
    <w:rsid w:val="00286963"/>
    <w:rsid w:val="00286C64"/>
    <w:rsid w:val="0028707B"/>
    <w:rsid w:val="0028745C"/>
    <w:rsid w:val="00287B90"/>
    <w:rsid w:val="00290AF2"/>
    <w:rsid w:val="00290FFD"/>
    <w:rsid w:val="0029178F"/>
    <w:rsid w:val="00291F3E"/>
    <w:rsid w:val="0029285E"/>
    <w:rsid w:val="00293B0E"/>
    <w:rsid w:val="0029492E"/>
    <w:rsid w:val="00295ABD"/>
    <w:rsid w:val="002979DD"/>
    <w:rsid w:val="00297A36"/>
    <w:rsid w:val="002A0BCF"/>
    <w:rsid w:val="002A0C41"/>
    <w:rsid w:val="002A1518"/>
    <w:rsid w:val="002A17B3"/>
    <w:rsid w:val="002A1867"/>
    <w:rsid w:val="002A20A7"/>
    <w:rsid w:val="002A22B7"/>
    <w:rsid w:val="002A22C3"/>
    <w:rsid w:val="002A22EA"/>
    <w:rsid w:val="002A2D8C"/>
    <w:rsid w:val="002A34EA"/>
    <w:rsid w:val="002A379E"/>
    <w:rsid w:val="002A4AA3"/>
    <w:rsid w:val="002A5314"/>
    <w:rsid w:val="002A7507"/>
    <w:rsid w:val="002A794F"/>
    <w:rsid w:val="002B051E"/>
    <w:rsid w:val="002B1476"/>
    <w:rsid w:val="002B14DB"/>
    <w:rsid w:val="002B18D4"/>
    <w:rsid w:val="002B1AB0"/>
    <w:rsid w:val="002B1BB4"/>
    <w:rsid w:val="002B1C98"/>
    <w:rsid w:val="002B21E8"/>
    <w:rsid w:val="002B2757"/>
    <w:rsid w:val="002B2E54"/>
    <w:rsid w:val="002B340E"/>
    <w:rsid w:val="002B374E"/>
    <w:rsid w:val="002B3A90"/>
    <w:rsid w:val="002B3BBC"/>
    <w:rsid w:val="002B3F19"/>
    <w:rsid w:val="002B468B"/>
    <w:rsid w:val="002B4D1D"/>
    <w:rsid w:val="002B5835"/>
    <w:rsid w:val="002B62C1"/>
    <w:rsid w:val="002B6C62"/>
    <w:rsid w:val="002B7020"/>
    <w:rsid w:val="002B7777"/>
    <w:rsid w:val="002B7A8E"/>
    <w:rsid w:val="002C01EE"/>
    <w:rsid w:val="002C0559"/>
    <w:rsid w:val="002C06F7"/>
    <w:rsid w:val="002C1289"/>
    <w:rsid w:val="002C2A36"/>
    <w:rsid w:val="002C36B5"/>
    <w:rsid w:val="002C40AD"/>
    <w:rsid w:val="002C4161"/>
    <w:rsid w:val="002C478C"/>
    <w:rsid w:val="002C4ABB"/>
    <w:rsid w:val="002C5BCD"/>
    <w:rsid w:val="002C5D0C"/>
    <w:rsid w:val="002C723E"/>
    <w:rsid w:val="002C77F6"/>
    <w:rsid w:val="002D0C5E"/>
    <w:rsid w:val="002D111E"/>
    <w:rsid w:val="002D114D"/>
    <w:rsid w:val="002D264D"/>
    <w:rsid w:val="002D2EBE"/>
    <w:rsid w:val="002D30AC"/>
    <w:rsid w:val="002D3605"/>
    <w:rsid w:val="002D40CD"/>
    <w:rsid w:val="002D42F7"/>
    <w:rsid w:val="002D5451"/>
    <w:rsid w:val="002D58F0"/>
    <w:rsid w:val="002D5CDD"/>
    <w:rsid w:val="002D672D"/>
    <w:rsid w:val="002D72B5"/>
    <w:rsid w:val="002D763F"/>
    <w:rsid w:val="002E0662"/>
    <w:rsid w:val="002E08DF"/>
    <w:rsid w:val="002E0C20"/>
    <w:rsid w:val="002E192E"/>
    <w:rsid w:val="002E1A1D"/>
    <w:rsid w:val="002E1D20"/>
    <w:rsid w:val="002E2486"/>
    <w:rsid w:val="002E2DF0"/>
    <w:rsid w:val="002E4525"/>
    <w:rsid w:val="002E516D"/>
    <w:rsid w:val="002E52F2"/>
    <w:rsid w:val="002E542D"/>
    <w:rsid w:val="002E56B5"/>
    <w:rsid w:val="002E5817"/>
    <w:rsid w:val="002E646E"/>
    <w:rsid w:val="002E6AF6"/>
    <w:rsid w:val="002E6CC4"/>
    <w:rsid w:val="002F0533"/>
    <w:rsid w:val="002F0B29"/>
    <w:rsid w:val="002F0FBC"/>
    <w:rsid w:val="002F12C9"/>
    <w:rsid w:val="002F2518"/>
    <w:rsid w:val="002F26E5"/>
    <w:rsid w:val="002F285F"/>
    <w:rsid w:val="002F3D3E"/>
    <w:rsid w:val="002F3E59"/>
    <w:rsid w:val="002F51A0"/>
    <w:rsid w:val="002F5871"/>
    <w:rsid w:val="002F63D7"/>
    <w:rsid w:val="002F6EEA"/>
    <w:rsid w:val="002F733C"/>
    <w:rsid w:val="00300522"/>
    <w:rsid w:val="0030073C"/>
    <w:rsid w:val="00300AB9"/>
    <w:rsid w:val="00300E09"/>
    <w:rsid w:val="003027E4"/>
    <w:rsid w:val="00302AAA"/>
    <w:rsid w:val="0030310A"/>
    <w:rsid w:val="00303433"/>
    <w:rsid w:val="00304489"/>
    <w:rsid w:val="00305CDB"/>
    <w:rsid w:val="00306847"/>
    <w:rsid w:val="003069E8"/>
    <w:rsid w:val="0030712C"/>
    <w:rsid w:val="003073C2"/>
    <w:rsid w:val="0030793F"/>
    <w:rsid w:val="00310E7E"/>
    <w:rsid w:val="003121FB"/>
    <w:rsid w:val="00312ED1"/>
    <w:rsid w:val="00313350"/>
    <w:rsid w:val="00313593"/>
    <w:rsid w:val="00313701"/>
    <w:rsid w:val="00313A08"/>
    <w:rsid w:val="00314D13"/>
    <w:rsid w:val="00314DA1"/>
    <w:rsid w:val="003159D6"/>
    <w:rsid w:val="003160F9"/>
    <w:rsid w:val="00316C1E"/>
    <w:rsid w:val="00316CBA"/>
    <w:rsid w:val="00320609"/>
    <w:rsid w:val="0032155F"/>
    <w:rsid w:val="00323293"/>
    <w:rsid w:val="0032468C"/>
    <w:rsid w:val="00324758"/>
    <w:rsid w:val="00324D1C"/>
    <w:rsid w:val="003250F9"/>
    <w:rsid w:val="00327414"/>
    <w:rsid w:val="00327903"/>
    <w:rsid w:val="00330057"/>
    <w:rsid w:val="00331456"/>
    <w:rsid w:val="00331B20"/>
    <w:rsid w:val="00332349"/>
    <w:rsid w:val="003323C5"/>
    <w:rsid w:val="003328B3"/>
    <w:rsid w:val="003349F5"/>
    <w:rsid w:val="00334A4F"/>
    <w:rsid w:val="003354C0"/>
    <w:rsid w:val="003358CF"/>
    <w:rsid w:val="0033604C"/>
    <w:rsid w:val="00336873"/>
    <w:rsid w:val="003369D4"/>
    <w:rsid w:val="00336E6A"/>
    <w:rsid w:val="00337E65"/>
    <w:rsid w:val="00341D2B"/>
    <w:rsid w:val="00342274"/>
    <w:rsid w:val="003427E7"/>
    <w:rsid w:val="003439BF"/>
    <w:rsid w:val="00343BA6"/>
    <w:rsid w:val="00343BCC"/>
    <w:rsid w:val="003442F7"/>
    <w:rsid w:val="00344F4F"/>
    <w:rsid w:val="0034575F"/>
    <w:rsid w:val="00345A15"/>
    <w:rsid w:val="00345AC2"/>
    <w:rsid w:val="00345E93"/>
    <w:rsid w:val="00345FFF"/>
    <w:rsid w:val="003464C6"/>
    <w:rsid w:val="00347229"/>
    <w:rsid w:val="00347521"/>
    <w:rsid w:val="00347B65"/>
    <w:rsid w:val="00350CF0"/>
    <w:rsid w:val="003512DC"/>
    <w:rsid w:val="00351393"/>
    <w:rsid w:val="00352F46"/>
    <w:rsid w:val="0035419C"/>
    <w:rsid w:val="0035419D"/>
    <w:rsid w:val="0035466A"/>
    <w:rsid w:val="00354E3C"/>
    <w:rsid w:val="00355F20"/>
    <w:rsid w:val="00356032"/>
    <w:rsid w:val="00356508"/>
    <w:rsid w:val="003566E8"/>
    <w:rsid w:val="00357C7B"/>
    <w:rsid w:val="00357FF6"/>
    <w:rsid w:val="00360A49"/>
    <w:rsid w:val="0036199E"/>
    <w:rsid w:val="00361C81"/>
    <w:rsid w:val="0036249F"/>
    <w:rsid w:val="003626F4"/>
    <w:rsid w:val="00362A1A"/>
    <w:rsid w:val="0036381B"/>
    <w:rsid w:val="00363A96"/>
    <w:rsid w:val="003651DD"/>
    <w:rsid w:val="0036532E"/>
    <w:rsid w:val="00365F51"/>
    <w:rsid w:val="00366463"/>
    <w:rsid w:val="00370432"/>
    <w:rsid w:val="00370D1F"/>
    <w:rsid w:val="003712D5"/>
    <w:rsid w:val="00371318"/>
    <w:rsid w:val="0037232B"/>
    <w:rsid w:val="0037249B"/>
    <w:rsid w:val="00373FFF"/>
    <w:rsid w:val="00374603"/>
    <w:rsid w:val="003747E9"/>
    <w:rsid w:val="003752A4"/>
    <w:rsid w:val="00376080"/>
    <w:rsid w:val="0037695C"/>
    <w:rsid w:val="0037785D"/>
    <w:rsid w:val="00380786"/>
    <w:rsid w:val="00380896"/>
    <w:rsid w:val="00380D42"/>
    <w:rsid w:val="00381658"/>
    <w:rsid w:val="00381A40"/>
    <w:rsid w:val="00382577"/>
    <w:rsid w:val="0038352C"/>
    <w:rsid w:val="0038379B"/>
    <w:rsid w:val="00383E67"/>
    <w:rsid w:val="003848BE"/>
    <w:rsid w:val="003875EB"/>
    <w:rsid w:val="00387689"/>
    <w:rsid w:val="00387B0B"/>
    <w:rsid w:val="00387DF7"/>
    <w:rsid w:val="003906B6"/>
    <w:rsid w:val="00390774"/>
    <w:rsid w:val="003909FC"/>
    <w:rsid w:val="00390CDE"/>
    <w:rsid w:val="00391274"/>
    <w:rsid w:val="00391463"/>
    <w:rsid w:val="003929C5"/>
    <w:rsid w:val="003929FC"/>
    <w:rsid w:val="00392B99"/>
    <w:rsid w:val="00394179"/>
    <w:rsid w:val="00394209"/>
    <w:rsid w:val="00394EDB"/>
    <w:rsid w:val="0039680A"/>
    <w:rsid w:val="00397A46"/>
    <w:rsid w:val="003A01A8"/>
    <w:rsid w:val="003A0F7A"/>
    <w:rsid w:val="003A1C90"/>
    <w:rsid w:val="003A20A4"/>
    <w:rsid w:val="003A3D25"/>
    <w:rsid w:val="003A44F7"/>
    <w:rsid w:val="003A5165"/>
    <w:rsid w:val="003A5271"/>
    <w:rsid w:val="003A5D13"/>
    <w:rsid w:val="003A5FD0"/>
    <w:rsid w:val="003A698A"/>
    <w:rsid w:val="003A7540"/>
    <w:rsid w:val="003A7A77"/>
    <w:rsid w:val="003A7D22"/>
    <w:rsid w:val="003B039B"/>
    <w:rsid w:val="003B079A"/>
    <w:rsid w:val="003B07DA"/>
    <w:rsid w:val="003B0CCB"/>
    <w:rsid w:val="003B0D4B"/>
    <w:rsid w:val="003B11F9"/>
    <w:rsid w:val="003B125E"/>
    <w:rsid w:val="003B1968"/>
    <w:rsid w:val="003B1FB3"/>
    <w:rsid w:val="003B2659"/>
    <w:rsid w:val="003B2A2F"/>
    <w:rsid w:val="003B412F"/>
    <w:rsid w:val="003B46D4"/>
    <w:rsid w:val="003B48C3"/>
    <w:rsid w:val="003B5668"/>
    <w:rsid w:val="003B59FD"/>
    <w:rsid w:val="003B63DE"/>
    <w:rsid w:val="003B6869"/>
    <w:rsid w:val="003B724C"/>
    <w:rsid w:val="003B761C"/>
    <w:rsid w:val="003B7839"/>
    <w:rsid w:val="003C0038"/>
    <w:rsid w:val="003C0713"/>
    <w:rsid w:val="003C0850"/>
    <w:rsid w:val="003C2BBD"/>
    <w:rsid w:val="003C3642"/>
    <w:rsid w:val="003C3813"/>
    <w:rsid w:val="003C386A"/>
    <w:rsid w:val="003C4443"/>
    <w:rsid w:val="003C5675"/>
    <w:rsid w:val="003C5C22"/>
    <w:rsid w:val="003C65AE"/>
    <w:rsid w:val="003C6CB7"/>
    <w:rsid w:val="003C702D"/>
    <w:rsid w:val="003C75A5"/>
    <w:rsid w:val="003C77D6"/>
    <w:rsid w:val="003D0256"/>
    <w:rsid w:val="003D072A"/>
    <w:rsid w:val="003D1758"/>
    <w:rsid w:val="003D23F4"/>
    <w:rsid w:val="003D2C8D"/>
    <w:rsid w:val="003D2EEB"/>
    <w:rsid w:val="003D3086"/>
    <w:rsid w:val="003D32FE"/>
    <w:rsid w:val="003D41E0"/>
    <w:rsid w:val="003D450D"/>
    <w:rsid w:val="003D4A9F"/>
    <w:rsid w:val="003D4DAB"/>
    <w:rsid w:val="003D4EE4"/>
    <w:rsid w:val="003D50E4"/>
    <w:rsid w:val="003D56BC"/>
    <w:rsid w:val="003D5CFA"/>
    <w:rsid w:val="003D65B8"/>
    <w:rsid w:val="003D6713"/>
    <w:rsid w:val="003D6FB6"/>
    <w:rsid w:val="003D70E6"/>
    <w:rsid w:val="003D77EF"/>
    <w:rsid w:val="003D7B61"/>
    <w:rsid w:val="003E00D0"/>
    <w:rsid w:val="003E2431"/>
    <w:rsid w:val="003E3333"/>
    <w:rsid w:val="003E3BC8"/>
    <w:rsid w:val="003E487D"/>
    <w:rsid w:val="003E5191"/>
    <w:rsid w:val="003E59EC"/>
    <w:rsid w:val="003E5DED"/>
    <w:rsid w:val="003E7661"/>
    <w:rsid w:val="003E796D"/>
    <w:rsid w:val="003F06F5"/>
    <w:rsid w:val="003F0D60"/>
    <w:rsid w:val="003F18E6"/>
    <w:rsid w:val="003F23AB"/>
    <w:rsid w:val="003F2E8B"/>
    <w:rsid w:val="003F3FCC"/>
    <w:rsid w:val="003F40DC"/>
    <w:rsid w:val="003F449B"/>
    <w:rsid w:val="003F4515"/>
    <w:rsid w:val="003F5110"/>
    <w:rsid w:val="003F5780"/>
    <w:rsid w:val="003F58E8"/>
    <w:rsid w:val="003F5CE5"/>
    <w:rsid w:val="003F741C"/>
    <w:rsid w:val="003F7692"/>
    <w:rsid w:val="003F7A0D"/>
    <w:rsid w:val="00400A6A"/>
    <w:rsid w:val="0040140D"/>
    <w:rsid w:val="004014F5"/>
    <w:rsid w:val="00402E00"/>
    <w:rsid w:val="00402F3D"/>
    <w:rsid w:val="00403CE0"/>
    <w:rsid w:val="00403F45"/>
    <w:rsid w:val="004041CA"/>
    <w:rsid w:val="00404248"/>
    <w:rsid w:val="004044B8"/>
    <w:rsid w:val="00404795"/>
    <w:rsid w:val="00405F6C"/>
    <w:rsid w:val="00405FBC"/>
    <w:rsid w:val="00406110"/>
    <w:rsid w:val="00406205"/>
    <w:rsid w:val="004074CB"/>
    <w:rsid w:val="00410014"/>
    <w:rsid w:val="004122FC"/>
    <w:rsid w:val="004128BE"/>
    <w:rsid w:val="00412931"/>
    <w:rsid w:val="00413457"/>
    <w:rsid w:val="00414603"/>
    <w:rsid w:val="004148F7"/>
    <w:rsid w:val="00414DDD"/>
    <w:rsid w:val="00415272"/>
    <w:rsid w:val="004158E5"/>
    <w:rsid w:val="00415CA4"/>
    <w:rsid w:val="0041611B"/>
    <w:rsid w:val="00416140"/>
    <w:rsid w:val="00416354"/>
    <w:rsid w:val="004166DE"/>
    <w:rsid w:val="00416CDD"/>
    <w:rsid w:val="00420541"/>
    <w:rsid w:val="00420711"/>
    <w:rsid w:val="00420D2C"/>
    <w:rsid w:val="00420EC8"/>
    <w:rsid w:val="00421625"/>
    <w:rsid w:val="0042164E"/>
    <w:rsid w:val="004219D2"/>
    <w:rsid w:val="00421AB7"/>
    <w:rsid w:val="00421CD8"/>
    <w:rsid w:val="00423340"/>
    <w:rsid w:val="004238CC"/>
    <w:rsid w:val="0042456F"/>
    <w:rsid w:val="00424910"/>
    <w:rsid w:val="00425E5E"/>
    <w:rsid w:val="00426656"/>
    <w:rsid w:val="004305FC"/>
    <w:rsid w:val="004307BE"/>
    <w:rsid w:val="0043083F"/>
    <w:rsid w:val="00432775"/>
    <w:rsid w:val="00433538"/>
    <w:rsid w:val="00433B25"/>
    <w:rsid w:val="004343F7"/>
    <w:rsid w:val="00434998"/>
    <w:rsid w:val="00434D9D"/>
    <w:rsid w:val="00434E1F"/>
    <w:rsid w:val="00434E7C"/>
    <w:rsid w:val="0043523D"/>
    <w:rsid w:val="0043655F"/>
    <w:rsid w:val="00437E08"/>
    <w:rsid w:val="00437F5F"/>
    <w:rsid w:val="004412AA"/>
    <w:rsid w:val="0044133D"/>
    <w:rsid w:val="00443FB9"/>
    <w:rsid w:val="00444405"/>
    <w:rsid w:val="00444493"/>
    <w:rsid w:val="004445DE"/>
    <w:rsid w:val="00444B1E"/>
    <w:rsid w:val="00445107"/>
    <w:rsid w:val="0044514F"/>
    <w:rsid w:val="0044580B"/>
    <w:rsid w:val="0044592B"/>
    <w:rsid w:val="00445DAF"/>
    <w:rsid w:val="00445EC1"/>
    <w:rsid w:val="004464D2"/>
    <w:rsid w:val="0044673E"/>
    <w:rsid w:val="004471AB"/>
    <w:rsid w:val="00450025"/>
    <w:rsid w:val="0045023A"/>
    <w:rsid w:val="00450ECF"/>
    <w:rsid w:val="00451387"/>
    <w:rsid w:val="004522ED"/>
    <w:rsid w:val="00452EFA"/>
    <w:rsid w:val="0045307B"/>
    <w:rsid w:val="004551FB"/>
    <w:rsid w:val="0045552F"/>
    <w:rsid w:val="00455AE5"/>
    <w:rsid w:val="0045640C"/>
    <w:rsid w:val="004568E5"/>
    <w:rsid w:val="00456BB6"/>
    <w:rsid w:val="00456CFD"/>
    <w:rsid w:val="00456DA3"/>
    <w:rsid w:val="004570D7"/>
    <w:rsid w:val="004575FF"/>
    <w:rsid w:val="0045775A"/>
    <w:rsid w:val="00457AF4"/>
    <w:rsid w:val="0046183A"/>
    <w:rsid w:val="004619DB"/>
    <w:rsid w:val="00462385"/>
    <w:rsid w:val="004629A9"/>
    <w:rsid w:val="00463124"/>
    <w:rsid w:val="00463B06"/>
    <w:rsid w:val="00463BF0"/>
    <w:rsid w:val="00464AFF"/>
    <w:rsid w:val="00465CB1"/>
    <w:rsid w:val="00466138"/>
    <w:rsid w:val="004661B4"/>
    <w:rsid w:val="00466415"/>
    <w:rsid w:val="00466A30"/>
    <w:rsid w:val="00466A40"/>
    <w:rsid w:val="00466D1D"/>
    <w:rsid w:val="00467606"/>
    <w:rsid w:val="00467DB4"/>
    <w:rsid w:val="004701FA"/>
    <w:rsid w:val="00470F7F"/>
    <w:rsid w:val="00470FC1"/>
    <w:rsid w:val="0047167E"/>
    <w:rsid w:val="0047306D"/>
    <w:rsid w:val="004737AC"/>
    <w:rsid w:val="00473D80"/>
    <w:rsid w:val="004740F3"/>
    <w:rsid w:val="004741C6"/>
    <w:rsid w:val="004750E4"/>
    <w:rsid w:val="0047510E"/>
    <w:rsid w:val="00475A84"/>
    <w:rsid w:val="00476778"/>
    <w:rsid w:val="004772D8"/>
    <w:rsid w:val="00477C46"/>
    <w:rsid w:val="00480BB1"/>
    <w:rsid w:val="00480CC0"/>
    <w:rsid w:val="004811E1"/>
    <w:rsid w:val="00481578"/>
    <w:rsid w:val="004821E2"/>
    <w:rsid w:val="00482476"/>
    <w:rsid w:val="00482ACF"/>
    <w:rsid w:val="0048346D"/>
    <w:rsid w:val="004836C1"/>
    <w:rsid w:val="00483C50"/>
    <w:rsid w:val="004840B9"/>
    <w:rsid w:val="0048465F"/>
    <w:rsid w:val="00484AEA"/>
    <w:rsid w:val="00484F5E"/>
    <w:rsid w:val="0048503F"/>
    <w:rsid w:val="004850E0"/>
    <w:rsid w:val="00485151"/>
    <w:rsid w:val="00485439"/>
    <w:rsid w:val="00485964"/>
    <w:rsid w:val="004860E4"/>
    <w:rsid w:val="00486736"/>
    <w:rsid w:val="00486A97"/>
    <w:rsid w:val="004875AE"/>
    <w:rsid w:val="0049005E"/>
    <w:rsid w:val="00490063"/>
    <w:rsid w:val="004909EC"/>
    <w:rsid w:val="00490D90"/>
    <w:rsid w:val="00491C54"/>
    <w:rsid w:val="004924FC"/>
    <w:rsid w:val="0049380B"/>
    <w:rsid w:val="00493D92"/>
    <w:rsid w:val="004950F9"/>
    <w:rsid w:val="00495A1D"/>
    <w:rsid w:val="00495CF7"/>
    <w:rsid w:val="00495F28"/>
    <w:rsid w:val="0049603A"/>
    <w:rsid w:val="00496829"/>
    <w:rsid w:val="00496F53"/>
    <w:rsid w:val="00497313"/>
    <w:rsid w:val="00497868"/>
    <w:rsid w:val="004978AD"/>
    <w:rsid w:val="004A0102"/>
    <w:rsid w:val="004A013D"/>
    <w:rsid w:val="004A1815"/>
    <w:rsid w:val="004A317C"/>
    <w:rsid w:val="004A31B2"/>
    <w:rsid w:val="004A332D"/>
    <w:rsid w:val="004A392A"/>
    <w:rsid w:val="004A4AB3"/>
    <w:rsid w:val="004A52D1"/>
    <w:rsid w:val="004A5690"/>
    <w:rsid w:val="004A588C"/>
    <w:rsid w:val="004A5E8F"/>
    <w:rsid w:val="004A62AC"/>
    <w:rsid w:val="004A6D52"/>
    <w:rsid w:val="004B0808"/>
    <w:rsid w:val="004B09F7"/>
    <w:rsid w:val="004B0BF1"/>
    <w:rsid w:val="004B1377"/>
    <w:rsid w:val="004B1607"/>
    <w:rsid w:val="004B1DEA"/>
    <w:rsid w:val="004B3162"/>
    <w:rsid w:val="004B382D"/>
    <w:rsid w:val="004B3AC6"/>
    <w:rsid w:val="004B3D0D"/>
    <w:rsid w:val="004B4646"/>
    <w:rsid w:val="004B4D44"/>
    <w:rsid w:val="004B4FA7"/>
    <w:rsid w:val="004B5DBF"/>
    <w:rsid w:val="004B5FCC"/>
    <w:rsid w:val="004B66A2"/>
    <w:rsid w:val="004C1675"/>
    <w:rsid w:val="004C2DF1"/>
    <w:rsid w:val="004C317E"/>
    <w:rsid w:val="004C56F1"/>
    <w:rsid w:val="004C58D1"/>
    <w:rsid w:val="004C5A3C"/>
    <w:rsid w:val="004C5B39"/>
    <w:rsid w:val="004C5C09"/>
    <w:rsid w:val="004C5D63"/>
    <w:rsid w:val="004C645C"/>
    <w:rsid w:val="004C6F6B"/>
    <w:rsid w:val="004C730C"/>
    <w:rsid w:val="004D092A"/>
    <w:rsid w:val="004D22CC"/>
    <w:rsid w:val="004D2A67"/>
    <w:rsid w:val="004D2E72"/>
    <w:rsid w:val="004D3790"/>
    <w:rsid w:val="004D3835"/>
    <w:rsid w:val="004D389A"/>
    <w:rsid w:val="004D393F"/>
    <w:rsid w:val="004D3EC5"/>
    <w:rsid w:val="004D4892"/>
    <w:rsid w:val="004D4E49"/>
    <w:rsid w:val="004D4F75"/>
    <w:rsid w:val="004D5014"/>
    <w:rsid w:val="004D535B"/>
    <w:rsid w:val="004D5F27"/>
    <w:rsid w:val="004D61E5"/>
    <w:rsid w:val="004D6606"/>
    <w:rsid w:val="004D6E22"/>
    <w:rsid w:val="004D7AB0"/>
    <w:rsid w:val="004D7D7D"/>
    <w:rsid w:val="004E0066"/>
    <w:rsid w:val="004E02EB"/>
    <w:rsid w:val="004E065F"/>
    <w:rsid w:val="004E0FA2"/>
    <w:rsid w:val="004E1CD5"/>
    <w:rsid w:val="004E28C8"/>
    <w:rsid w:val="004E2B17"/>
    <w:rsid w:val="004E2F58"/>
    <w:rsid w:val="004E30E4"/>
    <w:rsid w:val="004E461D"/>
    <w:rsid w:val="004E588E"/>
    <w:rsid w:val="004E63E3"/>
    <w:rsid w:val="004E6933"/>
    <w:rsid w:val="004E6E31"/>
    <w:rsid w:val="004F0865"/>
    <w:rsid w:val="004F0878"/>
    <w:rsid w:val="004F0D42"/>
    <w:rsid w:val="004F5F6B"/>
    <w:rsid w:val="004F6FB7"/>
    <w:rsid w:val="004F7035"/>
    <w:rsid w:val="004F771F"/>
    <w:rsid w:val="00500843"/>
    <w:rsid w:val="0050312F"/>
    <w:rsid w:val="005036A4"/>
    <w:rsid w:val="0050517B"/>
    <w:rsid w:val="005056B1"/>
    <w:rsid w:val="005063D9"/>
    <w:rsid w:val="005066DD"/>
    <w:rsid w:val="0050686C"/>
    <w:rsid w:val="00506C99"/>
    <w:rsid w:val="005070C6"/>
    <w:rsid w:val="005070EB"/>
    <w:rsid w:val="00507AC2"/>
    <w:rsid w:val="00511010"/>
    <w:rsid w:val="00511026"/>
    <w:rsid w:val="005112CE"/>
    <w:rsid w:val="005114B1"/>
    <w:rsid w:val="00511666"/>
    <w:rsid w:val="005119C1"/>
    <w:rsid w:val="005119EE"/>
    <w:rsid w:val="00511C61"/>
    <w:rsid w:val="00512C26"/>
    <w:rsid w:val="0051312F"/>
    <w:rsid w:val="00513868"/>
    <w:rsid w:val="00513C62"/>
    <w:rsid w:val="00513E1B"/>
    <w:rsid w:val="00513FCE"/>
    <w:rsid w:val="00516928"/>
    <w:rsid w:val="00516D85"/>
    <w:rsid w:val="00517505"/>
    <w:rsid w:val="0052065E"/>
    <w:rsid w:val="0052110E"/>
    <w:rsid w:val="00521779"/>
    <w:rsid w:val="00522647"/>
    <w:rsid w:val="00522E21"/>
    <w:rsid w:val="00522FDD"/>
    <w:rsid w:val="00523B37"/>
    <w:rsid w:val="00523B8E"/>
    <w:rsid w:val="00524139"/>
    <w:rsid w:val="00524AE4"/>
    <w:rsid w:val="005253FD"/>
    <w:rsid w:val="00525BE3"/>
    <w:rsid w:val="005266EC"/>
    <w:rsid w:val="00526F49"/>
    <w:rsid w:val="005270CE"/>
    <w:rsid w:val="005278CD"/>
    <w:rsid w:val="00530846"/>
    <w:rsid w:val="00530979"/>
    <w:rsid w:val="00531A83"/>
    <w:rsid w:val="00531DC9"/>
    <w:rsid w:val="0053227B"/>
    <w:rsid w:val="00532685"/>
    <w:rsid w:val="00532E38"/>
    <w:rsid w:val="005330F3"/>
    <w:rsid w:val="005346AF"/>
    <w:rsid w:val="00534E66"/>
    <w:rsid w:val="00535B91"/>
    <w:rsid w:val="00535DAD"/>
    <w:rsid w:val="00536C50"/>
    <w:rsid w:val="00536FD9"/>
    <w:rsid w:val="0053718B"/>
    <w:rsid w:val="00540247"/>
    <w:rsid w:val="00540655"/>
    <w:rsid w:val="00540AF7"/>
    <w:rsid w:val="00540F3F"/>
    <w:rsid w:val="0054279F"/>
    <w:rsid w:val="005428C8"/>
    <w:rsid w:val="00542D3A"/>
    <w:rsid w:val="00543655"/>
    <w:rsid w:val="00543B3F"/>
    <w:rsid w:val="00543FEF"/>
    <w:rsid w:val="0054512B"/>
    <w:rsid w:val="00545325"/>
    <w:rsid w:val="005473AD"/>
    <w:rsid w:val="005474F3"/>
    <w:rsid w:val="00547590"/>
    <w:rsid w:val="00550685"/>
    <w:rsid w:val="00551238"/>
    <w:rsid w:val="005514AD"/>
    <w:rsid w:val="00551F26"/>
    <w:rsid w:val="00552368"/>
    <w:rsid w:val="0055302D"/>
    <w:rsid w:val="005533ED"/>
    <w:rsid w:val="005549EB"/>
    <w:rsid w:val="005550F6"/>
    <w:rsid w:val="00555AFB"/>
    <w:rsid w:val="00556348"/>
    <w:rsid w:val="00556951"/>
    <w:rsid w:val="00556F7D"/>
    <w:rsid w:val="00557091"/>
    <w:rsid w:val="0055750C"/>
    <w:rsid w:val="00557A00"/>
    <w:rsid w:val="00557D34"/>
    <w:rsid w:val="00560A7F"/>
    <w:rsid w:val="0056129D"/>
    <w:rsid w:val="00561DC5"/>
    <w:rsid w:val="00561DFB"/>
    <w:rsid w:val="005622FD"/>
    <w:rsid w:val="00562AA3"/>
    <w:rsid w:val="00562B12"/>
    <w:rsid w:val="00562FFA"/>
    <w:rsid w:val="00563722"/>
    <w:rsid w:val="0056381D"/>
    <w:rsid w:val="00563834"/>
    <w:rsid w:val="00564353"/>
    <w:rsid w:val="00564365"/>
    <w:rsid w:val="0056482F"/>
    <w:rsid w:val="00564951"/>
    <w:rsid w:val="00564C11"/>
    <w:rsid w:val="00564CD6"/>
    <w:rsid w:val="00564D67"/>
    <w:rsid w:val="00564DC0"/>
    <w:rsid w:val="005650BE"/>
    <w:rsid w:val="0056543D"/>
    <w:rsid w:val="0056606D"/>
    <w:rsid w:val="00566A95"/>
    <w:rsid w:val="00566C48"/>
    <w:rsid w:val="005674B0"/>
    <w:rsid w:val="005676AD"/>
    <w:rsid w:val="005679E7"/>
    <w:rsid w:val="005709D7"/>
    <w:rsid w:val="00570CD2"/>
    <w:rsid w:val="005726E2"/>
    <w:rsid w:val="005735C7"/>
    <w:rsid w:val="0057367D"/>
    <w:rsid w:val="00573AD3"/>
    <w:rsid w:val="00573FA1"/>
    <w:rsid w:val="00574E5E"/>
    <w:rsid w:val="005759CD"/>
    <w:rsid w:val="00575F56"/>
    <w:rsid w:val="00576522"/>
    <w:rsid w:val="00576DE4"/>
    <w:rsid w:val="005770F2"/>
    <w:rsid w:val="00577FAB"/>
    <w:rsid w:val="00580873"/>
    <w:rsid w:val="0058092B"/>
    <w:rsid w:val="005810B5"/>
    <w:rsid w:val="00581A95"/>
    <w:rsid w:val="00581D13"/>
    <w:rsid w:val="005825CB"/>
    <w:rsid w:val="00583413"/>
    <w:rsid w:val="005841BE"/>
    <w:rsid w:val="005848DC"/>
    <w:rsid w:val="005850CD"/>
    <w:rsid w:val="00585292"/>
    <w:rsid w:val="00585ADE"/>
    <w:rsid w:val="00586442"/>
    <w:rsid w:val="00586BC5"/>
    <w:rsid w:val="005873D7"/>
    <w:rsid w:val="0059008B"/>
    <w:rsid w:val="00590918"/>
    <w:rsid w:val="00590A46"/>
    <w:rsid w:val="00590B79"/>
    <w:rsid w:val="00590EAA"/>
    <w:rsid w:val="00592132"/>
    <w:rsid w:val="00592A33"/>
    <w:rsid w:val="00592C28"/>
    <w:rsid w:val="00592FC5"/>
    <w:rsid w:val="005931E5"/>
    <w:rsid w:val="00593248"/>
    <w:rsid w:val="00593ED4"/>
    <w:rsid w:val="0059464E"/>
    <w:rsid w:val="00594DA3"/>
    <w:rsid w:val="00595A3C"/>
    <w:rsid w:val="0059731A"/>
    <w:rsid w:val="00597A25"/>
    <w:rsid w:val="00597B63"/>
    <w:rsid w:val="005A090F"/>
    <w:rsid w:val="005A0DCC"/>
    <w:rsid w:val="005A0E0A"/>
    <w:rsid w:val="005A1173"/>
    <w:rsid w:val="005A11AE"/>
    <w:rsid w:val="005A1425"/>
    <w:rsid w:val="005A1D4A"/>
    <w:rsid w:val="005A2577"/>
    <w:rsid w:val="005A2A18"/>
    <w:rsid w:val="005A37BD"/>
    <w:rsid w:val="005A3A45"/>
    <w:rsid w:val="005A3B78"/>
    <w:rsid w:val="005A3FF4"/>
    <w:rsid w:val="005A46FA"/>
    <w:rsid w:val="005A624C"/>
    <w:rsid w:val="005A6C46"/>
    <w:rsid w:val="005A7985"/>
    <w:rsid w:val="005B0DE3"/>
    <w:rsid w:val="005B1E27"/>
    <w:rsid w:val="005B302A"/>
    <w:rsid w:val="005B3CA0"/>
    <w:rsid w:val="005B448F"/>
    <w:rsid w:val="005B5783"/>
    <w:rsid w:val="005B6777"/>
    <w:rsid w:val="005B6F3E"/>
    <w:rsid w:val="005C01E6"/>
    <w:rsid w:val="005C10ED"/>
    <w:rsid w:val="005C132F"/>
    <w:rsid w:val="005C1AD6"/>
    <w:rsid w:val="005C20E8"/>
    <w:rsid w:val="005C24A6"/>
    <w:rsid w:val="005C26F6"/>
    <w:rsid w:val="005C36CF"/>
    <w:rsid w:val="005C41DC"/>
    <w:rsid w:val="005C4324"/>
    <w:rsid w:val="005C49ED"/>
    <w:rsid w:val="005C599D"/>
    <w:rsid w:val="005C5A67"/>
    <w:rsid w:val="005C5D91"/>
    <w:rsid w:val="005C61A6"/>
    <w:rsid w:val="005C6C03"/>
    <w:rsid w:val="005C6F65"/>
    <w:rsid w:val="005C7985"/>
    <w:rsid w:val="005D0B23"/>
    <w:rsid w:val="005D19B8"/>
    <w:rsid w:val="005D2464"/>
    <w:rsid w:val="005D2791"/>
    <w:rsid w:val="005D328E"/>
    <w:rsid w:val="005D33F9"/>
    <w:rsid w:val="005D3A6F"/>
    <w:rsid w:val="005D463C"/>
    <w:rsid w:val="005D49C5"/>
    <w:rsid w:val="005D4C5B"/>
    <w:rsid w:val="005D4F96"/>
    <w:rsid w:val="005D586F"/>
    <w:rsid w:val="005D5A22"/>
    <w:rsid w:val="005D5D29"/>
    <w:rsid w:val="005D61D2"/>
    <w:rsid w:val="005D7725"/>
    <w:rsid w:val="005D7E81"/>
    <w:rsid w:val="005E004D"/>
    <w:rsid w:val="005E0588"/>
    <w:rsid w:val="005E06C1"/>
    <w:rsid w:val="005E1D52"/>
    <w:rsid w:val="005E317C"/>
    <w:rsid w:val="005E3182"/>
    <w:rsid w:val="005E34E6"/>
    <w:rsid w:val="005E3C60"/>
    <w:rsid w:val="005E436C"/>
    <w:rsid w:val="005E47DF"/>
    <w:rsid w:val="005E4C48"/>
    <w:rsid w:val="005E5674"/>
    <w:rsid w:val="005E5CAD"/>
    <w:rsid w:val="005E5D91"/>
    <w:rsid w:val="005E600F"/>
    <w:rsid w:val="005E618A"/>
    <w:rsid w:val="005E69CE"/>
    <w:rsid w:val="005E6B78"/>
    <w:rsid w:val="005E6F82"/>
    <w:rsid w:val="005E70BF"/>
    <w:rsid w:val="005F0388"/>
    <w:rsid w:val="005F1352"/>
    <w:rsid w:val="005F22D2"/>
    <w:rsid w:val="005F2567"/>
    <w:rsid w:val="005F28D0"/>
    <w:rsid w:val="005F2E29"/>
    <w:rsid w:val="005F316B"/>
    <w:rsid w:val="005F3388"/>
    <w:rsid w:val="005F3BCA"/>
    <w:rsid w:val="005F453E"/>
    <w:rsid w:val="005F4A9D"/>
    <w:rsid w:val="005F63CA"/>
    <w:rsid w:val="005F63FD"/>
    <w:rsid w:val="005F7F44"/>
    <w:rsid w:val="00601637"/>
    <w:rsid w:val="006018A6"/>
    <w:rsid w:val="00601BE5"/>
    <w:rsid w:val="00602C47"/>
    <w:rsid w:val="00602C6A"/>
    <w:rsid w:val="006039C9"/>
    <w:rsid w:val="006047F5"/>
    <w:rsid w:val="0060562C"/>
    <w:rsid w:val="00605804"/>
    <w:rsid w:val="006059E5"/>
    <w:rsid w:val="00606A85"/>
    <w:rsid w:val="00607A59"/>
    <w:rsid w:val="0061000A"/>
    <w:rsid w:val="00610916"/>
    <w:rsid w:val="006115D6"/>
    <w:rsid w:val="00611A35"/>
    <w:rsid w:val="00612E32"/>
    <w:rsid w:val="006138F7"/>
    <w:rsid w:val="006142B6"/>
    <w:rsid w:val="00614468"/>
    <w:rsid w:val="00614860"/>
    <w:rsid w:val="00614BB3"/>
    <w:rsid w:val="006156F6"/>
    <w:rsid w:val="0061587C"/>
    <w:rsid w:val="00615C1F"/>
    <w:rsid w:val="006172CA"/>
    <w:rsid w:val="00620D14"/>
    <w:rsid w:val="00621277"/>
    <w:rsid w:val="00621E86"/>
    <w:rsid w:val="00624E43"/>
    <w:rsid w:val="0062503B"/>
    <w:rsid w:val="006250BC"/>
    <w:rsid w:val="0062520F"/>
    <w:rsid w:val="0062538B"/>
    <w:rsid w:val="00625782"/>
    <w:rsid w:val="00625D3A"/>
    <w:rsid w:val="00625FF3"/>
    <w:rsid w:val="006262F3"/>
    <w:rsid w:val="00626D88"/>
    <w:rsid w:val="00627D22"/>
    <w:rsid w:val="00627D3A"/>
    <w:rsid w:val="006309B8"/>
    <w:rsid w:val="00630EC7"/>
    <w:rsid w:val="0063223D"/>
    <w:rsid w:val="006324AC"/>
    <w:rsid w:val="00632D65"/>
    <w:rsid w:val="006349BC"/>
    <w:rsid w:val="00634CD3"/>
    <w:rsid w:val="0063564C"/>
    <w:rsid w:val="00635899"/>
    <w:rsid w:val="00635CF6"/>
    <w:rsid w:val="00636033"/>
    <w:rsid w:val="006361A7"/>
    <w:rsid w:val="00636868"/>
    <w:rsid w:val="00636FFF"/>
    <w:rsid w:val="0063742A"/>
    <w:rsid w:val="006375C5"/>
    <w:rsid w:val="00637A97"/>
    <w:rsid w:val="00637E05"/>
    <w:rsid w:val="0064101F"/>
    <w:rsid w:val="006413FF"/>
    <w:rsid w:val="00642261"/>
    <w:rsid w:val="00642543"/>
    <w:rsid w:val="00642CF4"/>
    <w:rsid w:val="00643095"/>
    <w:rsid w:val="00643884"/>
    <w:rsid w:val="00644389"/>
    <w:rsid w:val="00644F03"/>
    <w:rsid w:val="006467A4"/>
    <w:rsid w:val="00646892"/>
    <w:rsid w:val="006469A2"/>
    <w:rsid w:val="00646C10"/>
    <w:rsid w:val="00646D58"/>
    <w:rsid w:val="006472D4"/>
    <w:rsid w:val="0064738B"/>
    <w:rsid w:val="00647825"/>
    <w:rsid w:val="006478DC"/>
    <w:rsid w:val="00647FAA"/>
    <w:rsid w:val="0065076B"/>
    <w:rsid w:val="00650EEE"/>
    <w:rsid w:val="0065130E"/>
    <w:rsid w:val="006525D5"/>
    <w:rsid w:val="00652DE1"/>
    <w:rsid w:val="006535C4"/>
    <w:rsid w:val="00653910"/>
    <w:rsid w:val="00655393"/>
    <w:rsid w:val="00655645"/>
    <w:rsid w:val="00655743"/>
    <w:rsid w:val="00655A69"/>
    <w:rsid w:val="00656155"/>
    <w:rsid w:val="00656684"/>
    <w:rsid w:val="00656AEB"/>
    <w:rsid w:val="006570A2"/>
    <w:rsid w:val="006575EA"/>
    <w:rsid w:val="006602D8"/>
    <w:rsid w:val="00660507"/>
    <w:rsid w:val="006617A7"/>
    <w:rsid w:val="00661B79"/>
    <w:rsid w:val="00661FE7"/>
    <w:rsid w:val="00662F71"/>
    <w:rsid w:val="0066305B"/>
    <w:rsid w:val="006635AB"/>
    <w:rsid w:val="00663761"/>
    <w:rsid w:val="00663F78"/>
    <w:rsid w:val="006640C1"/>
    <w:rsid w:val="006646E7"/>
    <w:rsid w:val="006655B0"/>
    <w:rsid w:val="00665B87"/>
    <w:rsid w:val="00667C21"/>
    <w:rsid w:val="0067024F"/>
    <w:rsid w:val="006719CD"/>
    <w:rsid w:val="00672A45"/>
    <w:rsid w:val="00672A9F"/>
    <w:rsid w:val="00672D50"/>
    <w:rsid w:val="00672F3F"/>
    <w:rsid w:val="00673337"/>
    <w:rsid w:val="006748CA"/>
    <w:rsid w:val="00675000"/>
    <w:rsid w:val="006759C2"/>
    <w:rsid w:val="00677F14"/>
    <w:rsid w:val="00680601"/>
    <w:rsid w:val="0068066B"/>
    <w:rsid w:val="006810FE"/>
    <w:rsid w:val="006812D3"/>
    <w:rsid w:val="0068135C"/>
    <w:rsid w:val="006815BC"/>
    <w:rsid w:val="0068174E"/>
    <w:rsid w:val="006820D6"/>
    <w:rsid w:val="00682CE2"/>
    <w:rsid w:val="006850C8"/>
    <w:rsid w:val="0068664D"/>
    <w:rsid w:val="006869B0"/>
    <w:rsid w:val="00687264"/>
    <w:rsid w:val="006874D0"/>
    <w:rsid w:val="00687D8D"/>
    <w:rsid w:val="0069282E"/>
    <w:rsid w:val="0069295E"/>
    <w:rsid w:val="00693296"/>
    <w:rsid w:val="00693628"/>
    <w:rsid w:val="00693C1C"/>
    <w:rsid w:val="00694492"/>
    <w:rsid w:val="00694B45"/>
    <w:rsid w:val="00694C62"/>
    <w:rsid w:val="00694DE4"/>
    <w:rsid w:val="006954E8"/>
    <w:rsid w:val="006956BC"/>
    <w:rsid w:val="006960A6"/>
    <w:rsid w:val="0069617C"/>
    <w:rsid w:val="006965AC"/>
    <w:rsid w:val="006968FD"/>
    <w:rsid w:val="00697117"/>
    <w:rsid w:val="0069759B"/>
    <w:rsid w:val="006978D7"/>
    <w:rsid w:val="00697975"/>
    <w:rsid w:val="00697AAB"/>
    <w:rsid w:val="006A0583"/>
    <w:rsid w:val="006A0F40"/>
    <w:rsid w:val="006A0FF4"/>
    <w:rsid w:val="006A203F"/>
    <w:rsid w:val="006A23C5"/>
    <w:rsid w:val="006A28B2"/>
    <w:rsid w:val="006A361D"/>
    <w:rsid w:val="006A36C2"/>
    <w:rsid w:val="006A3C6A"/>
    <w:rsid w:val="006A3DDC"/>
    <w:rsid w:val="006A50B9"/>
    <w:rsid w:val="006A63DD"/>
    <w:rsid w:val="006A67B4"/>
    <w:rsid w:val="006A6E79"/>
    <w:rsid w:val="006B034D"/>
    <w:rsid w:val="006B0E03"/>
    <w:rsid w:val="006B1BB8"/>
    <w:rsid w:val="006B1E6A"/>
    <w:rsid w:val="006B24A4"/>
    <w:rsid w:val="006B255A"/>
    <w:rsid w:val="006B303C"/>
    <w:rsid w:val="006B32E5"/>
    <w:rsid w:val="006B457D"/>
    <w:rsid w:val="006B4B65"/>
    <w:rsid w:val="006B4F69"/>
    <w:rsid w:val="006B5382"/>
    <w:rsid w:val="006B6155"/>
    <w:rsid w:val="006B61EE"/>
    <w:rsid w:val="006B66B7"/>
    <w:rsid w:val="006B6B13"/>
    <w:rsid w:val="006B6B3B"/>
    <w:rsid w:val="006B6D9E"/>
    <w:rsid w:val="006B75AD"/>
    <w:rsid w:val="006B7992"/>
    <w:rsid w:val="006C0158"/>
    <w:rsid w:val="006C03A1"/>
    <w:rsid w:val="006C0707"/>
    <w:rsid w:val="006C085C"/>
    <w:rsid w:val="006C0AF4"/>
    <w:rsid w:val="006C1161"/>
    <w:rsid w:val="006C1E5A"/>
    <w:rsid w:val="006C2819"/>
    <w:rsid w:val="006C28EA"/>
    <w:rsid w:val="006C3020"/>
    <w:rsid w:val="006C3420"/>
    <w:rsid w:val="006C3F99"/>
    <w:rsid w:val="006C4F64"/>
    <w:rsid w:val="006C4F9A"/>
    <w:rsid w:val="006C5025"/>
    <w:rsid w:val="006C516D"/>
    <w:rsid w:val="006C57CC"/>
    <w:rsid w:val="006C7495"/>
    <w:rsid w:val="006C7F15"/>
    <w:rsid w:val="006D00E4"/>
    <w:rsid w:val="006D09BB"/>
    <w:rsid w:val="006D1F98"/>
    <w:rsid w:val="006D2328"/>
    <w:rsid w:val="006D3047"/>
    <w:rsid w:val="006D4425"/>
    <w:rsid w:val="006D452F"/>
    <w:rsid w:val="006D46BA"/>
    <w:rsid w:val="006D4945"/>
    <w:rsid w:val="006D5290"/>
    <w:rsid w:val="006D5B5C"/>
    <w:rsid w:val="006D6261"/>
    <w:rsid w:val="006D6FAB"/>
    <w:rsid w:val="006D7869"/>
    <w:rsid w:val="006D7990"/>
    <w:rsid w:val="006E0BB1"/>
    <w:rsid w:val="006E1210"/>
    <w:rsid w:val="006E1A9B"/>
    <w:rsid w:val="006E269F"/>
    <w:rsid w:val="006E277E"/>
    <w:rsid w:val="006E2CF6"/>
    <w:rsid w:val="006E2E0B"/>
    <w:rsid w:val="006E307D"/>
    <w:rsid w:val="006E3559"/>
    <w:rsid w:val="006E38A8"/>
    <w:rsid w:val="006E46D0"/>
    <w:rsid w:val="006E484C"/>
    <w:rsid w:val="006E4A50"/>
    <w:rsid w:val="006E4D52"/>
    <w:rsid w:val="006E56EC"/>
    <w:rsid w:val="006E5969"/>
    <w:rsid w:val="006E5F7C"/>
    <w:rsid w:val="006E6007"/>
    <w:rsid w:val="006E6449"/>
    <w:rsid w:val="006E676A"/>
    <w:rsid w:val="006E69E1"/>
    <w:rsid w:val="006E70A7"/>
    <w:rsid w:val="006E75DE"/>
    <w:rsid w:val="006E7969"/>
    <w:rsid w:val="006F04B6"/>
    <w:rsid w:val="006F1AC7"/>
    <w:rsid w:val="006F235B"/>
    <w:rsid w:val="006F23C6"/>
    <w:rsid w:val="006F2FF9"/>
    <w:rsid w:val="006F58D5"/>
    <w:rsid w:val="006F5B71"/>
    <w:rsid w:val="006F609F"/>
    <w:rsid w:val="006F71AE"/>
    <w:rsid w:val="006F7C06"/>
    <w:rsid w:val="006F7CA2"/>
    <w:rsid w:val="00700700"/>
    <w:rsid w:val="00700936"/>
    <w:rsid w:val="007009E6"/>
    <w:rsid w:val="00700E11"/>
    <w:rsid w:val="00700F02"/>
    <w:rsid w:val="0070153C"/>
    <w:rsid w:val="007022AC"/>
    <w:rsid w:val="007029B3"/>
    <w:rsid w:val="00702B23"/>
    <w:rsid w:val="007030FD"/>
    <w:rsid w:val="0070312E"/>
    <w:rsid w:val="007032A1"/>
    <w:rsid w:val="007039E2"/>
    <w:rsid w:val="00703B5C"/>
    <w:rsid w:val="0070431F"/>
    <w:rsid w:val="00704F23"/>
    <w:rsid w:val="007051DD"/>
    <w:rsid w:val="00706BEC"/>
    <w:rsid w:val="00706D96"/>
    <w:rsid w:val="00707722"/>
    <w:rsid w:val="007101E3"/>
    <w:rsid w:val="00710491"/>
    <w:rsid w:val="00710AE7"/>
    <w:rsid w:val="00711004"/>
    <w:rsid w:val="007112D1"/>
    <w:rsid w:val="0071233A"/>
    <w:rsid w:val="0071270C"/>
    <w:rsid w:val="00713676"/>
    <w:rsid w:val="0071395D"/>
    <w:rsid w:val="00714263"/>
    <w:rsid w:val="00715552"/>
    <w:rsid w:val="00715A75"/>
    <w:rsid w:val="00715EFB"/>
    <w:rsid w:val="007162B5"/>
    <w:rsid w:val="00716E30"/>
    <w:rsid w:val="007175BF"/>
    <w:rsid w:val="0071764F"/>
    <w:rsid w:val="00717A49"/>
    <w:rsid w:val="00720E84"/>
    <w:rsid w:val="00722E3E"/>
    <w:rsid w:val="0072373B"/>
    <w:rsid w:val="00723C79"/>
    <w:rsid w:val="007242B7"/>
    <w:rsid w:val="0072438A"/>
    <w:rsid w:val="0072464E"/>
    <w:rsid w:val="007249F0"/>
    <w:rsid w:val="00724DA2"/>
    <w:rsid w:val="00724EF0"/>
    <w:rsid w:val="0072517D"/>
    <w:rsid w:val="00725496"/>
    <w:rsid w:val="00725A8C"/>
    <w:rsid w:val="00725CA8"/>
    <w:rsid w:val="00726741"/>
    <w:rsid w:val="007269CC"/>
    <w:rsid w:val="00727476"/>
    <w:rsid w:val="0072749E"/>
    <w:rsid w:val="007274B4"/>
    <w:rsid w:val="00727A1A"/>
    <w:rsid w:val="00727B37"/>
    <w:rsid w:val="00730280"/>
    <w:rsid w:val="007306B9"/>
    <w:rsid w:val="00733220"/>
    <w:rsid w:val="00733C28"/>
    <w:rsid w:val="00734883"/>
    <w:rsid w:val="00734889"/>
    <w:rsid w:val="00734F48"/>
    <w:rsid w:val="00736480"/>
    <w:rsid w:val="00736D4B"/>
    <w:rsid w:val="007402D2"/>
    <w:rsid w:val="007406F6"/>
    <w:rsid w:val="007410A8"/>
    <w:rsid w:val="00741A82"/>
    <w:rsid w:val="00741CFE"/>
    <w:rsid w:val="007427E4"/>
    <w:rsid w:val="00742A6C"/>
    <w:rsid w:val="00742E1A"/>
    <w:rsid w:val="00743A4C"/>
    <w:rsid w:val="00743B0D"/>
    <w:rsid w:val="00743C86"/>
    <w:rsid w:val="007440B9"/>
    <w:rsid w:val="0074438A"/>
    <w:rsid w:val="0074450A"/>
    <w:rsid w:val="00745CAF"/>
    <w:rsid w:val="00746E16"/>
    <w:rsid w:val="007473E0"/>
    <w:rsid w:val="00747E31"/>
    <w:rsid w:val="007505EE"/>
    <w:rsid w:val="00750A6F"/>
    <w:rsid w:val="00750A79"/>
    <w:rsid w:val="0075160A"/>
    <w:rsid w:val="00751AC9"/>
    <w:rsid w:val="00751B66"/>
    <w:rsid w:val="00753EB7"/>
    <w:rsid w:val="0075446A"/>
    <w:rsid w:val="00754770"/>
    <w:rsid w:val="00754C59"/>
    <w:rsid w:val="0075523D"/>
    <w:rsid w:val="007552D4"/>
    <w:rsid w:val="00755D5E"/>
    <w:rsid w:val="00757287"/>
    <w:rsid w:val="00757C47"/>
    <w:rsid w:val="007614E0"/>
    <w:rsid w:val="0076177C"/>
    <w:rsid w:val="00761CE4"/>
    <w:rsid w:val="00762DC7"/>
    <w:rsid w:val="0076366E"/>
    <w:rsid w:val="0076373B"/>
    <w:rsid w:val="00763A8D"/>
    <w:rsid w:val="00763A93"/>
    <w:rsid w:val="00764247"/>
    <w:rsid w:val="00764411"/>
    <w:rsid w:val="00764B08"/>
    <w:rsid w:val="00764C45"/>
    <w:rsid w:val="00764C8F"/>
    <w:rsid w:val="0076593F"/>
    <w:rsid w:val="00765E86"/>
    <w:rsid w:val="00767CA8"/>
    <w:rsid w:val="00771428"/>
    <w:rsid w:val="00771A28"/>
    <w:rsid w:val="00771A75"/>
    <w:rsid w:val="00772EF9"/>
    <w:rsid w:val="00772FA7"/>
    <w:rsid w:val="00773B50"/>
    <w:rsid w:val="00773B62"/>
    <w:rsid w:val="007740FA"/>
    <w:rsid w:val="0077481C"/>
    <w:rsid w:val="00774C3B"/>
    <w:rsid w:val="007753ED"/>
    <w:rsid w:val="00775740"/>
    <w:rsid w:val="00775BC5"/>
    <w:rsid w:val="00776EF9"/>
    <w:rsid w:val="0077729A"/>
    <w:rsid w:val="00777BCB"/>
    <w:rsid w:val="00777D57"/>
    <w:rsid w:val="00777DEA"/>
    <w:rsid w:val="00777E69"/>
    <w:rsid w:val="00777F16"/>
    <w:rsid w:val="00780178"/>
    <w:rsid w:val="00780EFC"/>
    <w:rsid w:val="00782DBF"/>
    <w:rsid w:val="00782EA6"/>
    <w:rsid w:val="00783B69"/>
    <w:rsid w:val="0078456C"/>
    <w:rsid w:val="00784887"/>
    <w:rsid w:val="00784CD2"/>
    <w:rsid w:val="00785021"/>
    <w:rsid w:val="007856EF"/>
    <w:rsid w:val="00785A62"/>
    <w:rsid w:val="007868F0"/>
    <w:rsid w:val="00786DEF"/>
    <w:rsid w:val="007878FB"/>
    <w:rsid w:val="00790608"/>
    <w:rsid w:val="00790976"/>
    <w:rsid w:val="007911DC"/>
    <w:rsid w:val="00791516"/>
    <w:rsid w:val="00791602"/>
    <w:rsid w:val="00792092"/>
    <w:rsid w:val="0079308B"/>
    <w:rsid w:val="007930B9"/>
    <w:rsid w:val="00793A46"/>
    <w:rsid w:val="00793CB1"/>
    <w:rsid w:val="007942F3"/>
    <w:rsid w:val="00794630"/>
    <w:rsid w:val="007949BF"/>
    <w:rsid w:val="00795A4F"/>
    <w:rsid w:val="00795CAD"/>
    <w:rsid w:val="00795FD8"/>
    <w:rsid w:val="00797614"/>
    <w:rsid w:val="0079788D"/>
    <w:rsid w:val="007A002E"/>
    <w:rsid w:val="007A0AC7"/>
    <w:rsid w:val="007A0B4C"/>
    <w:rsid w:val="007A1530"/>
    <w:rsid w:val="007A1BE3"/>
    <w:rsid w:val="007A22B9"/>
    <w:rsid w:val="007A352E"/>
    <w:rsid w:val="007A45EB"/>
    <w:rsid w:val="007A483A"/>
    <w:rsid w:val="007A4B69"/>
    <w:rsid w:val="007A5027"/>
    <w:rsid w:val="007A614F"/>
    <w:rsid w:val="007A6261"/>
    <w:rsid w:val="007A6924"/>
    <w:rsid w:val="007A6C35"/>
    <w:rsid w:val="007A6F25"/>
    <w:rsid w:val="007A7266"/>
    <w:rsid w:val="007A7B34"/>
    <w:rsid w:val="007B0218"/>
    <w:rsid w:val="007B08D3"/>
    <w:rsid w:val="007B192D"/>
    <w:rsid w:val="007B1ADB"/>
    <w:rsid w:val="007B24F7"/>
    <w:rsid w:val="007B2841"/>
    <w:rsid w:val="007B2FA4"/>
    <w:rsid w:val="007B497F"/>
    <w:rsid w:val="007B52EE"/>
    <w:rsid w:val="007B532A"/>
    <w:rsid w:val="007B672A"/>
    <w:rsid w:val="007B6E64"/>
    <w:rsid w:val="007B7044"/>
    <w:rsid w:val="007B72B8"/>
    <w:rsid w:val="007B7454"/>
    <w:rsid w:val="007C01C4"/>
    <w:rsid w:val="007C03BD"/>
    <w:rsid w:val="007C10B1"/>
    <w:rsid w:val="007C13E6"/>
    <w:rsid w:val="007C1C37"/>
    <w:rsid w:val="007C24A6"/>
    <w:rsid w:val="007C2776"/>
    <w:rsid w:val="007C2D34"/>
    <w:rsid w:val="007C3307"/>
    <w:rsid w:val="007C360D"/>
    <w:rsid w:val="007C377C"/>
    <w:rsid w:val="007C4838"/>
    <w:rsid w:val="007C4A72"/>
    <w:rsid w:val="007C52BF"/>
    <w:rsid w:val="007C568D"/>
    <w:rsid w:val="007C6120"/>
    <w:rsid w:val="007C6226"/>
    <w:rsid w:val="007C6571"/>
    <w:rsid w:val="007C756E"/>
    <w:rsid w:val="007C7927"/>
    <w:rsid w:val="007D069E"/>
    <w:rsid w:val="007D1848"/>
    <w:rsid w:val="007D1ADD"/>
    <w:rsid w:val="007D1E23"/>
    <w:rsid w:val="007D215F"/>
    <w:rsid w:val="007D2449"/>
    <w:rsid w:val="007D2BCF"/>
    <w:rsid w:val="007D2D7C"/>
    <w:rsid w:val="007D2DAB"/>
    <w:rsid w:val="007D2DDC"/>
    <w:rsid w:val="007D43EF"/>
    <w:rsid w:val="007D4668"/>
    <w:rsid w:val="007D49DB"/>
    <w:rsid w:val="007D4B51"/>
    <w:rsid w:val="007D4DBE"/>
    <w:rsid w:val="007D5836"/>
    <w:rsid w:val="007D5BC5"/>
    <w:rsid w:val="007D641E"/>
    <w:rsid w:val="007D6A42"/>
    <w:rsid w:val="007D7009"/>
    <w:rsid w:val="007D7102"/>
    <w:rsid w:val="007D741E"/>
    <w:rsid w:val="007D7653"/>
    <w:rsid w:val="007D7938"/>
    <w:rsid w:val="007E09BF"/>
    <w:rsid w:val="007E0D82"/>
    <w:rsid w:val="007E14AD"/>
    <w:rsid w:val="007E1744"/>
    <w:rsid w:val="007E1ED2"/>
    <w:rsid w:val="007E28FD"/>
    <w:rsid w:val="007E302D"/>
    <w:rsid w:val="007E3512"/>
    <w:rsid w:val="007E43EA"/>
    <w:rsid w:val="007E561D"/>
    <w:rsid w:val="007E57B9"/>
    <w:rsid w:val="007E5CE4"/>
    <w:rsid w:val="007E691A"/>
    <w:rsid w:val="007E6B0C"/>
    <w:rsid w:val="007E6DB4"/>
    <w:rsid w:val="007E6F77"/>
    <w:rsid w:val="007E73B6"/>
    <w:rsid w:val="007F02DC"/>
    <w:rsid w:val="007F04A8"/>
    <w:rsid w:val="007F0727"/>
    <w:rsid w:val="007F200A"/>
    <w:rsid w:val="007F209A"/>
    <w:rsid w:val="007F2122"/>
    <w:rsid w:val="007F3005"/>
    <w:rsid w:val="007F3127"/>
    <w:rsid w:val="007F35F0"/>
    <w:rsid w:val="007F38C5"/>
    <w:rsid w:val="007F399C"/>
    <w:rsid w:val="007F3B46"/>
    <w:rsid w:val="007F4A2E"/>
    <w:rsid w:val="007F4BFA"/>
    <w:rsid w:val="007F5310"/>
    <w:rsid w:val="007F5573"/>
    <w:rsid w:val="007F5B33"/>
    <w:rsid w:val="007F6237"/>
    <w:rsid w:val="007F6FE5"/>
    <w:rsid w:val="007F7902"/>
    <w:rsid w:val="008000C3"/>
    <w:rsid w:val="00800790"/>
    <w:rsid w:val="0080113F"/>
    <w:rsid w:val="00801900"/>
    <w:rsid w:val="00801901"/>
    <w:rsid w:val="00801AF5"/>
    <w:rsid w:val="008023B8"/>
    <w:rsid w:val="0080285C"/>
    <w:rsid w:val="008037D2"/>
    <w:rsid w:val="00803BB7"/>
    <w:rsid w:val="00803F6D"/>
    <w:rsid w:val="00804132"/>
    <w:rsid w:val="00804740"/>
    <w:rsid w:val="008050B2"/>
    <w:rsid w:val="00805646"/>
    <w:rsid w:val="00806431"/>
    <w:rsid w:val="008064BC"/>
    <w:rsid w:val="00806627"/>
    <w:rsid w:val="0080674B"/>
    <w:rsid w:val="00807328"/>
    <w:rsid w:val="008077B5"/>
    <w:rsid w:val="00807DBF"/>
    <w:rsid w:val="00810533"/>
    <w:rsid w:val="008109ED"/>
    <w:rsid w:val="00810FBB"/>
    <w:rsid w:val="0081102E"/>
    <w:rsid w:val="00811039"/>
    <w:rsid w:val="008114E6"/>
    <w:rsid w:val="00811A55"/>
    <w:rsid w:val="00811B07"/>
    <w:rsid w:val="00811C59"/>
    <w:rsid w:val="008124DF"/>
    <w:rsid w:val="00812B76"/>
    <w:rsid w:val="00812C9C"/>
    <w:rsid w:val="00812D4F"/>
    <w:rsid w:val="00813CA5"/>
    <w:rsid w:val="00815497"/>
    <w:rsid w:val="00815781"/>
    <w:rsid w:val="008166A6"/>
    <w:rsid w:val="00816E4C"/>
    <w:rsid w:val="00817190"/>
    <w:rsid w:val="00820403"/>
    <w:rsid w:val="0082045B"/>
    <w:rsid w:val="00822F22"/>
    <w:rsid w:val="0082301F"/>
    <w:rsid w:val="008238C9"/>
    <w:rsid w:val="0082425F"/>
    <w:rsid w:val="008261D9"/>
    <w:rsid w:val="008261E3"/>
    <w:rsid w:val="008265D6"/>
    <w:rsid w:val="00827500"/>
    <w:rsid w:val="00827D3E"/>
    <w:rsid w:val="00827F40"/>
    <w:rsid w:val="00827F46"/>
    <w:rsid w:val="00830738"/>
    <w:rsid w:val="00831252"/>
    <w:rsid w:val="0083163B"/>
    <w:rsid w:val="00831B27"/>
    <w:rsid w:val="00831F72"/>
    <w:rsid w:val="00832703"/>
    <w:rsid w:val="0083271E"/>
    <w:rsid w:val="00832748"/>
    <w:rsid w:val="008335AB"/>
    <w:rsid w:val="008342C1"/>
    <w:rsid w:val="00834927"/>
    <w:rsid w:val="00834BB8"/>
    <w:rsid w:val="0083505E"/>
    <w:rsid w:val="0083509C"/>
    <w:rsid w:val="0083531A"/>
    <w:rsid w:val="0083746A"/>
    <w:rsid w:val="00837C2A"/>
    <w:rsid w:val="008403FB"/>
    <w:rsid w:val="00840579"/>
    <w:rsid w:val="008408C1"/>
    <w:rsid w:val="00840FA7"/>
    <w:rsid w:val="00841E45"/>
    <w:rsid w:val="008437E4"/>
    <w:rsid w:val="00843CAF"/>
    <w:rsid w:val="008449E8"/>
    <w:rsid w:val="00844AF0"/>
    <w:rsid w:val="00845498"/>
    <w:rsid w:val="00845A8F"/>
    <w:rsid w:val="00845D7A"/>
    <w:rsid w:val="00846944"/>
    <w:rsid w:val="00846C61"/>
    <w:rsid w:val="00847C56"/>
    <w:rsid w:val="0085013D"/>
    <w:rsid w:val="00850242"/>
    <w:rsid w:val="00850907"/>
    <w:rsid w:val="00852062"/>
    <w:rsid w:val="00852A79"/>
    <w:rsid w:val="00852BFE"/>
    <w:rsid w:val="0085342E"/>
    <w:rsid w:val="008538D3"/>
    <w:rsid w:val="00853A0F"/>
    <w:rsid w:val="00854861"/>
    <w:rsid w:val="00854B7F"/>
    <w:rsid w:val="008554F7"/>
    <w:rsid w:val="0085696F"/>
    <w:rsid w:val="00856D37"/>
    <w:rsid w:val="00857368"/>
    <w:rsid w:val="0085757E"/>
    <w:rsid w:val="00857810"/>
    <w:rsid w:val="00857AA1"/>
    <w:rsid w:val="00857F0B"/>
    <w:rsid w:val="00860002"/>
    <w:rsid w:val="008618E4"/>
    <w:rsid w:val="008632E7"/>
    <w:rsid w:val="00863BCC"/>
    <w:rsid w:val="00863C40"/>
    <w:rsid w:val="00865197"/>
    <w:rsid w:val="00865342"/>
    <w:rsid w:val="00865ADE"/>
    <w:rsid w:val="00865FB1"/>
    <w:rsid w:val="008660B3"/>
    <w:rsid w:val="00866585"/>
    <w:rsid w:val="008669C1"/>
    <w:rsid w:val="00870783"/>
    <w:rsid w:val="00870A55"/>
    <w:rsid w:val="0087116B"/>
    <w:rsid w:val="008717CC"/>
    <w:rsid w:val="00871DFB"/>
    <w:rsid w:val="00872DA3"/>
    <w:rsid w:val="0087311E"/>
    <w:rsid w:val="00874662"/>
    <w:rsid w:val="00874DC9"/>
    <w:rsid w:val="00874DD6"/>
    <w:rsid w:val="008752B7"/>
    <w:rsid w:val="00875906"/>
    <w:rsid w:val="00875C85"/>
    <w:rsid w:val="00875D0C"/>
    <w:rsid w:val="00876457"/>
    <w:rsid w:val="0087682F"/>
    <w:rsid w:val="00876E68"/>
    <w:rsid w:val="008775DE"/>
    <w:rsid w:val="008804D3"/>
    <w:rsid w:val="00880A09"/>
    <w:rsid w:val="00880A8A"/>
    <w:rsid w:val="00880CFC"/>
    <w:rsid w:val="008813D8"/>
    <w:rsid w:val="00881F5B"/>
    <w:rsid w:val="00882797"/>
    <w:rsid w:val="00883032"/>
    <w:rsid w:val="008835C1"/>
    <w:rsid w:val="00884376"/>
    <w:rsid w:val="00885B4D"/>
    <w:rsid w:val="00886FE1"/>
    <w:rsid w:val="00887083"/>
    <w:rsid w:val="008870B6"/>
    <w:rsid w:val="00887889"/>
    <w:rsid w:val="00890AB1"/>
    <w:rsid w:val="0089119C"/>
    <w:rsid w:val="008911C4"/>
    <w:rsid w:val="00891298"/>
    <w:rsid w:val="0089205A"/>
    <w:rsid w:val="008925C9"/>
    <w:rsid w:val="00892D2F"/>
    <w:rsid w:val="00893738"/>
    <w:rsid w:val="00893E90"/>
    <w:rsid w:val="008941BD"/>
    <w:rsid w:val="00894F20"/>
    <w:rsid w:val="0089521D"/>
    <w:rsid w:val="00895478"/>
    <w:rsid w:val="00895A98"/>
    <w:rsid w:val="00896400"/>
    <w:rsid w:val="00896CC0"/>
    <w:rsid w:val="00896F49"/>
    <w:rsid w:val="00897806"/>
    <w:rsid w:val="00897DB1"/>
    <w:rsid w:val="008A00EA"/>
    <w:rsid w:val="008A052A"/>
    <w:rsid w:val="008A0A57"/>
    <w:rsid w:val="008A186A"/>
    <w:rsid w:val="008A1B94"/>
    <w:rsid w:val="008A1EDF"/>
    <w:rsid w:val="008A210C"/>
    <w:rsid w:val="008A21BE"/>
    <w:rsid w:val="008A21D2"/>
    <w:rsid w:val="008A26E3"/>
    <w:rsid w:val="008A2772"/>
    <w:rsid w:val="008A2799"/>
    <w:rsid w:val="008A3076"/>
    <w:rsid w:val="008A3329"/>
    <w:rsid w:val="008A4038"/>
    <w:rsid w:val="008A5221"/>
    <w:rsid w:val="008A61C5"/>
    <w:rsid w:val="008A6440"/>
    <w:rsid w:val="008A6501"/>
    <w:rsid w:val="008A6771"/>
    <w:rsid w:val="008A6850"/>
    <w:rsid w:val="008A7FA3"/>
    <w:rsid w:val="008A7FCD"/>
    <w:rsid w:val="008B0193"/>
    <w:rsid w:val="008B102C"/>
    <w:rsid w:val="008B15B2"/>
    <w:rsid w:val="008B1626"/>
    <w:rsid w:val="008B20D0"/>
    <w:rsid w:val="008B2AC9"/>
    <w:rsid w:val="008B39C0"/>
    <w:rsid w:val="008B3CBF"/>
    <w:rsid w:val="008B40CC"/>
    <w:rsid w:val="008B442C"/>
    <w:rsid w:val="008B51C5"/>
    <w:rsid w:val="008B55AD"/>
    <w:rsid w:val="008B5F3B"/>
    <w:rsid w:val="008B65CA"/>
    <w:rsid w:val="008B69F4"/>
    <w:rsid w:val="008B732E"/>
    <w:rsid w:val="008C0065"/>
    <w:rsid w:val="008C0568"/>
    <w:rsid w:val="008C05FD"/>
    <w:rsid w:val="008C15CE"/>
    <w:rsid w:val="008C1F04"/>
    <w:rsid w:val="008C28E1"/>
    <w:rsid w:val="008C2B39"/>
    <w:rsid w:val="008C2F82"/>
    <w:rsid w:val="008C2FCD"/>
    <w:rsid w:val="008C3987"/>
    <w:rsid w:val="008C3CCA"/>
    <w:rsid w:val="008C5718"/>
    <w:rsid w:val="008C5AB0"/>
    <w:rsid w:val="008C735C"/>
    <w:rsid w:val="008C73CE"/>
    <w:rsid w:val="008D1A91"/>
    <w:rsid w:val="008D2D42"/>
    <w:rsid w:val="008D2E61"/>
    <w:rsid w:val="008D3476"/>
    <w:rsid w:val="008D3543"/>
    <w:rsid w:val="008D3A89"/>
    <w:rsid w:val="008D4387"/>
    <w:rsid w:val="008D439B"/>
    <w:rsid w:val="008D47A7"/>
    <w:rsid w:val="008D4BD3"/>
    <w:rsid w:val="008D65C6"/>
    <w:rsid w:val="008D6FEB"/>
    <w:rsid w:val="008D78B4"/>
    <w:rsid w:val="008E0CFF"/>
    <w:rsid w:val="008E1BBD"/>
    <w:rsid w:val="008E2643"/>
    <w:rsid w:val="008E2B77"/>
    <w:rsid w:val="008E3E6A"/>
    <w:rsid w:val="008E4753"/>
    <w:rsid w:val="008E4A5F"/>
    <w:rsid w:val="008E5D42"/>
    <w:rsid w:val="008E6F13"/>
    <w:rsid w:val="008E78EB"/>
    <w:rsid w:val="008E7B30"/>
    <w:rsid w:val="008F0613"/>
    <w:rsid w:val="008F08C4"/>
    <w:rsid w:val="008F1BF2"/>
    <w:rsid w:val="008F2556"/>
    <w:rsid w:val="008F2A8E"/>
    <w:rsid w:val="008F4E9F"/>
    <w:rsid w:val="008F5AFD"/>
    <w:rsid w:val="008F5DBF"/>
    <w:rsid w:val="008F6821"/>
    <w:rsid w:val="008F6AE4"/>
    <w:rsid w:val="008F6E52"/>
    <w:rsid w:val="008F7640"/>
    <w:rsid w:val="008F76F1"/>
    <w:rsid w:val="008F79C1"/>
    <w:rsid w:val="00900D38"/>
    <w:rsid w:val="00901928"/>
    <w:rsid w:val="00902A04"/>
    <w:rsid w:val="00903150"/>
    <w:rsid w:val="009035A3"/>
    <w:rsid w:val="00903E7D"/>
    <w:rsid w:val="00904B0E"/>
    <w:rsid w:val="00905090"/>
    <w:rsid w:val="00905402"/>
    <w:rsid w:val="00905A28"/>
    <w:rsid w:val="00906C0D"/>
    <w:rsid w:val="00906FEA"/>
    <w:rsid w:val="0090766E"/>
    <w:rsid w:val="00907B85"/>
    <w:rsid w:val="009108ED"/>
    <w:rsid w:val="00910B69"/>
    <w:rsid w:val="0091105E"/>
    <w:rsid w:val="00912620"/>
    <w:rsid w:val="00913DD6"/>
    <w:rsid w:val="00914E6F"/>
    <w:rsid w:val="00915DF5"/>
    <w:rsid w:val="00916013"/>
    <w:rsid w:val="00916BFE"/>
    <w:rsid w:val="00917831"/>
    <w:rsid w:val="00920350"/>
    <w:rsid w:val="00921089"/>
    <w:rsid w:val="009212EC"/>
    <w:rsid w:val="0092144B"/>
    <w:rsid w:val="00921461"/>
    <w:rsid w:val="00921B96"/>
    <w:rsid w:val="009226AE"/>
    <w:rsid w:val="0092378D"/>
    <w:rsid w:val="00923B1E"/>
    <w:rsid w:val="00923B26"/>
    <w:rsid w:val="00923F6A"/>
    <w:rsid w:val="009243B8"/>
    <w:rsid w:val="009252F8"/>
    <w:rsid w:val="00926944"/>
    <w:rsid w:val="00927D27"/>
    <w:rsid w:val="00927D6B"/>
    <w:rsid w:val="009307C3"/>
    <w:rsid w:val="00930C31"/>
    <w:rsid w:val="00931284"/>
    <w:rsid w:val="009315E6"/>
    <w:rsid w:val="00932303"/>
    <w:rsid w:val="00932459"/>
    <w:rsid w:val="00932772"/>
    <w:rsid w:val="00932B71"/>
    <w:rsid w:val="00935E91"/>
    <w:rsid w:val="0093732A"/>
    <w:rsid w:val="009374E6"/>
    <w:rsid w:val="009377B0"/>
    <w:rsid w:val="00937AD8"/>
    <w:rsid w:val="00937FFA"/>
    <w:rsid w:val="00940761"/>
    <w:rsid w:val="00943A6A"/>
    <w:rsid w:val="00943AC6"/>
    <w:rsid w:val="0094447D"/>
    <w:rsid w:val="009466D3"/>
    <w:rsid w:val="00946B43"/>
    <w:rsid w:val="00947D53"/>
    <w:rsid w:val="00947F0A"/>
    <w:rsid w:val="00950DE7"/>
    <w:rsid w:val="009510D5"/>
    <w:rsid w:val="0095148F"/>
    <w:rsid w:val="00951610"/>
    <w:rsid w:val="00951718"/>
    <w:rsid w:val="009524E5"/>
    <w:rsid w:val="009526BE"/>
    <w:rsid w:val="00954222"/>
    <w:rsid w:val="00954671"/>
    <w:rsid w:val="009546E4"/>
    <w:rsid w:val="00955002"/>
    <w:rsid w:val="00955793"/>
    <w:rsid w:val="009561F0"/>
    <w:rsid w:val="00956D21"/>
    <w:rsid w:val="0095790E"/>
    <w:rsid w:val="00960F11"/>
    <w:rsid w:val="0096107D"/>
    <w:rsid w:val="009621AA"/>
    <w:rsid w:val="00962372"/>
    <w:rsid w:val="0096295B"/>
    <w:rsid w:val="00962B1C"/>
    <w:rsid w:val="00963B72"/>
    <w:rsid w:val="0096420C"/>
    <w:rsid w:val="00964A71"/>
    <w:rsid w:val="00964EDB"/>
    <w:rsid w:val="00965545"/>
    <w:rsid w:val="00965A02"/>
    <w:rsid w:val="00965AA7"/>
    <w:rsid w:val="00965CF4"/>
    <w:rsid w:val="009666CF"/>
    <w:rsid w:val="00966BE7"/>
    <w:rsid w:val="009670A8"/>
    <w:rsid w:val="009671FF"/>
    <w:rsid w:val="0096724B"/>
    <w:rsid w:val="009674B2"/>
    <w:rsid w:val="009677F4"/>
    <w:rsid w:val="009709FA"/>
    <w:rsid w:val="00970D31"/>
    <w:rsid w:val="00970E58"/>
    <w:rsid w:val="009712F8"/>
    <w:rsid w:val="009715D2"/>
    <w:rsid w:val="009722F2"/>
    <w:rsid w:val="00972EC6"/>
    <w:rsid w:val="00973234"/>
    <w:rsid w:val="00973DEE"/>
    <w:rsid w:val="009748F7"/>
    <w:rsid w:val="00975B6C"/>
    <w:rsid w:val="00975CB6"/>
    <w:rsid w:val="0097641A"/>
    <w:rsid w:val="00976A57"/>
    <w:rsid w:val="009771EF"/>
    <w:rsid w:val="009776F4"/>
    <w:rsid w:val="009804A9"/>
    <w:rsid w:val="009805C5"/>
    <w:rsid w:val="00980A91"/>
    <w:rsid w:val="009814F0"/>
    <w:rsid w:val="00981BD1"/>
    <w:rsid w:val="00982307"/>
    <w:rsid w:val="009827B4"/>
    <w:rsid w:val="00982DD7"/>
    <w:rsid w:val="0098328F"/>
    <w:rsid w:val="00984446"/>
    <w:rsid w:val="00984E1D"/>
    <w:rsid w:val="0098593D"/>
    <w:rsid w:val="00985E16"/>
    <w:rsid w:val="009876A9"/>
    <w:rsid w:val="009879B7"/>
    <w:rsid w:val="009879F1"/>
    <w:rsid w:val="009904D6"/>
    <w:rsid w:val="00990992"/>
    <w:rsid w:val="00991E36"/>
    <w:rsid w:val="009926F0"/>
    <w:rsid w:val="00993F06"/>
    <w:rsid w:val="009944E0"/>
    <w:rsid w:val="0099481D"/>
    <w:rsid w:val="00994A5E"/>
    <w:rsid w:val="00994A6F"/>
    <w:rsid w:val="009952F2"/>
    <w:rsid w:val="009960F0"/>
    <w:rsid w:val="00996ADA"/>
    <w:rsid w:val="0099745F"/>
    <w:rsid w:val="00997C2E"/>
    <w:rsid w:val="00997F8C"/>
    <w:rsid w:val="00997F9A"/>
    <w:rsid w:val="009A0147"/>
    <w:rsid w:val="009A08B1"/>
    <w:rsid w:val="009A197C"/>
    <w:rsid w:val="009A1D37"/>
    <w:rsid w:val="009A1E3A"/>
    <w:rsid w:val="009A215F"/>
    <w:rsid w:val="009A2DEA"/>
    <w:rsid w:val="009A3067"/>
    <w:rsid w:val="009A399D"/>
    <w:rsid w:val="009A4C03"/>
    <w:rsid w:val="009A4ECA"/>
    <w:rsid w:val="009A51A6"/>
    <w:rsid w:val="009A69AC"/>
    <w:rsid w:val="009A6C81"/>
    <w:rsid w:val="009A6E78"/>
    <w:rsid w:val="009A7390"/>
    <w:rsid w:val="009A7AD5"/>
    <w:rsid w:val="009A7D8C"/>
    <w:rsid w:val="009B05B5"/>
    <w:rsid w:val="009B06F8"/>
    <w:rsid w:val="009B0C4F"/>
    <w:rsid w:val="009B0D13"/>
    <w:rsid w:val="009B15BC"/>
    <w:rsid w:val="009B16AF"/>
    <w:rsid w:val="009B18A4"/>
    <w:rsid w:val="009B26F9"/>
    <w:rsid w:val="009B2F31"/>
    <w:rsid w:val="009B45C9"/>
    <w:rsid w:val="009B5062"/>
    <w:rsid w:val="009B7006"/>
    <w:rsid w:val="009B7B20"/>
    <w:rsid w:val="009C03D5"/>
    <w:rsid w:val="009C0A80"/>
    <w:rsid w:val="009C0F04"/>
    <w:rsid w:val="009C286D"/>
    <w:rsid w:val="009C2F7C"/>
    <w:rsid w:val="009C3ED0"/>
    <w:rsid w:val="009C40A3"/>
    <w:rsid w:val="009C4926"/>
    <w:rsid w:val="009C4CA7"/>
    <w:rsid w:val="009C5245"/>
    <w:rsid w:val="009C55B8"/>
    <w:rsid w:val="009C5B8E"/>
    <w:rsid w:val="009C690B"/>
    <w:rsid w:val="009C6FEA"/>
    <w:rsid w:val="009C7136"/>
    <w:rsid w:val="009D083C"/>
    <w:rsid w:val="009D0D1F"/>
    <w:rsid w:val="009D15CE"/>
    <w:rsid w:val="009D17F3"/>
    <w:rsid w:val="009D278E"/>
    <w:rsid w:val="009D2D1C"/>
    <w:rsid w:val="009D38CE"/>
    <w:rsid w:val="009D3B59"/>
    <w:rsid w:val="009D47FF"/>
    <w:rsid w:val="009D4D68"/>
    <w:rsid w:val="009D5852"/>
    <w:rsid w:val="009D587F"/>
    <w:rsid w:val="009D647D"/>
    <w:rsid w:val="009D6570"/>
    <w:rsid w:val="009D690E"/>
    <w:rsid w:val="009D6E6A"/>
    <w:rsid w:val="009D6F8F"/>
    <w:rsid w:val="009D7326"/>
    <w:rsid w:val="009D7EC8"/>
    <w:rsid w:val="009D7FE7"/>
    <w:rsid w:val="009E08E9"/>
    <w:rsid w:val="009E11EB"/>
    <w:rsid w:val="009E13C2"/>
    <w:rsid w:val="009E1AC2"/>
    <w:rsid w:val="009E1D42"/>
    <w:rsid w:val="009E1F3C"/>
    <w:rsid w:val="009E22D1"/>
    <w:rsid w:val="009E3260"/>
    <w:rsid w:val="009E4C43"/>
    <w:rsid w:val="009E4D67"/>
    <w:rsid w:val="009E5B54"/>
    <w:rsid w:val="009E6599"/>
    <w:rsid w:val="009E6A4E"/>
    <w:rsid w:val="009E732F"/>
    <w:rsid w:val="009E78EA"/>
    <w:rsid w:val="009F00FF"/>
    <w:rsid w:val="009F0309"/>
    <w:rsid w:val="009F0543"/>
    <w:rsid w:val="009F05D9"/>
    <w:rsid w:val="009F0DE4"/>
    <w:rsid w:val="009F1AC4"/>
    <w:rsid w:val="009F423B"/>
    <w:rsid w:val="009F43D7"/>
    <w:rsid w:val="009F445D"/>
    <w:rsid w:val="009F4E51"/>
    <w:rsid w:val="009F587F"/>
    <w:rsid w:val="009F60E5"/>
    <w:rsid w:val="009F614C"/>
    <w:rsid w:val="009F6FA7"/>
    <w:rsid w:val="009F7962"/>
    <w:rsid w:val="009F7A7B"/>
    <w:rsid w:val="009F7B9A"/>
    <w:rsid w:val="00A00128"/>
    <w:rsid w:val="00A007F0"/>
    <w:rsid w:val="00A01C4F"/>
    <w:rsid w:val="00A02F80"/>
    <w:rsid w:val="00A03638"/>
    <w:rsid w:val="00A042A9"/>
    <w:rsid w:val="00A0487F"/>
    <w:rsid w:val="00A05273"/>
    <w:rsid w:val="00A0558D"/>
    <w:rsid w:val="00A05849"/>
    <w:rsid w:val="00A058C6"/>
    <w:rsid w:val="00A06AF3"/>
    <w:rsid w:val="00A074A4"/>
    <w:rsid w:val="00A074D0"/>
    <w:rsid w:val="00A07675"/>
    <w:rsid w:val="00A1010D"/>
    <w:rsid w:val="00A1017D"/>
    <w:rsid w:val="00A10560"/>
    <w:rsid w:val="00A108E2"/>
    <w:rsid w:val="00A12168"/>
    <w:rsid w:val="00A123BE"/>
    <w:rsid w:val="00A131B1"/>
    <w:rsid w:val="00A139CA"/>
    <w:rsid w:val="00A144B3"/>
    <w:rsid w:val="00A14714"/>
    <w:rsid w:val="00A156EC"/>
    <w:rsid w:val="00A158FB"/>
    <w:rsid w:val="00A15EBD"/>
    <w:rsid w:val="00A166D6"/>
    <w:rsid w:val="00A17B57"/>
    <w:rsid w:val="00A17CE6"/>
    <w:rsid w:val="00A20B73"/>
    <w:rsid w:val="00A216BF"/>
    <w:rsid w:val="00A2208F"/>
    <w:rsid w:val="00A22108"/>
    <w:rsid w:val="00A22874"/>
    <w:rsid w:val="00A22CD8"/>
    <w:rsid w:val="00A23490"/>
    <w:rsid w:val="00A236F4"/>
    <w:rsid w:val="00A23856"/>
    <w:rsid w:val="00A24FE3"/>
    <w:rsid w:val="00A2560D"/>
    <w:rsid w:val="00A2578A"/>
    <w:rsid w:val="00A25E98"/>
    <w:rsid w:val="00A2647D"/>
    <w:rsid w:val="00A2697E"/>
    <w:rsid w:val="00A272DC"/>
    <w:rsid w:val="00A2797C"/>
    <w:rsid w:val="00A30905"/>
    <w:rsid w:val="00A30E3B"/>
    <w:rsid w:val="00A31899"/>
    <w:rsid w:val="00A32347"/>
    <w:rsid w:val="00A32449"/>
    <w:rsid w:val="00A32989"/>
    <w:rsid w:val="00A32CD2"/>
    <w:rsid w:val="00A32DB8"/>
    <w:rsid w:val="00A34051"/>
    <w:rsid w:val="00A34229"/>
    <w:rsid w:val="00A3460B"/>
    <w:rsid w:val="00A34671"/>
    <w:rsid w:val="00A35E00"/>
    <w:rsid w:val="00A36251"/>
    <w:rsid w:val="00A36AF7"/>
    <w:rsid w:val="00A37449"/>
    <w:rsid w:val="00A3751F"/>
    <w:rsid w:val="00A37A0E"/>
    <w:rsid w:val="00A37A5A"/>
    <w:rsid w:val="00A41173"/>
    <w:rsid w:val="00A41B2B"/>
    <w:rsid w:val="00A422AD"/>
    <w:rsid w:val="00A422FA"/>
    <w:rsid w:val="00A431B1"/>
    <w:rsid w:val="00A43BA1"/>
    <w:rsid w:val="00A44666"/>
    <w:rsid w:val="00A4737C"/>
    <w:rsid w:val="00A47454"/>
    <w:rsid w:val="00A47B9F"/>
    <w:rsid w:val="00A47D95"/>
    <w:rsid w:val="00A5122B"/>
    <w:rsid w:val="00A522FD"/>
    <w:rsid w:val="00A52C5C"/>
    <w:rsid w:val="00A53D29"/>
    <w:rsid w:val="00A54A8A"/>
    <w:rsid w:val="00A54D9F"/>
    <w:rsid w:val="00A54F2D"/>
    <w:rsid w:val="00A55D87"/>
    <w:rsid w:val="00A56406"/>
    <w:rsid w:val="00A56D8D"/>
    <w:rsid w:val="00A57796"/>
    <w:rsid w:val="00A60401"/>
    <w:rsid w:val="00A6185B"/>
    <w:rsid w:val="00A61D31"/>
    <w:rsid w:val="00A6273F"/>
    <w:rsid w:val="00A63D11"/>
    <w:rsid w:val="00A646FD"/>
    <w:rsid w:val="00A65922"/>
    <w:rsid w:val="00A65C27"/>
    <w:rsid w:val="00A66FCE"/>
    <w:rsid w:val="00A701B5"/>
    <w:rsid w:val="00A704EA"/>
    <w:rsid w:val="00A706F6"/>
    <w:rsid w:val="00A7499F"/>
    <w:rsid w:val="00A756B0"/>
    <w:rsid w:val="00A76031"/>
    <w:rsid w:val="00A76DB7"/>
    <w:rsid w:val="00A76E94"/>
    <w:rsid w:val="00A76EED"/>
    <w:rsid w:val="00A774EC"/>
    <w:rsid w:val="00A7766A"/>
    <w:rsid w:val="00A77698"/>
    <w:rsid w:val="00A77972"/>
    <w:rsid w:val="00A77F82"/>
    <w:rsid w:val="00A80937"/>
    <w:rsid w:val="00A809F3"/>
    <w:rsid w:val="00A80C3B"/>
    <w:rsid w:val="00A80D37"/>
    <w:rsid w:val="00A81C7A"/>
    <w:rsid w:val="00A82375"/>
    <w:rsid w:val="00A8251A"/>
    <w:rsid w:val="00A82A26"/>
    <w:rsid w:val="00A83051"/>
    <w:rsid w:val="00A8337C"/>
    <w:rsid w:val="00A83EBB"/>
    <w:rsid w:val="00A84E4F"/>
    <w:rsid w:val="00A8567D"/>
    <w:rsid w:val="00A8626A"/>
    <w:rsid w:val="00A908FE"/>
    <w:rsid w:val="00A918EF"/>
    <w:rsid w:val="00A91D14"/>
    <w:rsid w:val="00A91F0E"/>
    <w:rsid w:val="00A935AE"/>
    <w:rsid w:val="00A93F87"/>
    <w:rsid w:val="00A945C3"/>
    <w:rsid w:val="00A945D1"/>
    <w:rsid w:val="00A94A24"/>
    <w:rsid w:val="00A94C81"/>
    <w:rsid w:val="00A94CD0"/>
    <w:rsid w:val="00A9536E"/>
    <w:rsid w:val="00A95E85"/>
    <w:rsid w:val="00A963D1"/>
    <w:rsid w:val="00A9762F"/>
    <w:rsid w:val="00A97932"/>
    <w:rsid w:val="00AA0524"/>
    <w:rsid w:val="00AA0AA1"/>
    <w:rsid w:val="00AA14D0"/>
    <w:rsid w:val="00AA1CE6"/>
    <w:rsid w:val="00AA20B1"/>
    <w:rsid w:val="00AA3211"/>
    <w:rsid w:val="00AA3CE0"/>
    <w:rsid w:val="00AA452B"/>
    <w:rsid w:val="00AA475C"/>
    <w:rsid w:val="00AA493B"/>
    <w:rsid w:val="00AA5027"/>
    <w:rsid w:val="00AA5149"/>
    <w:rsid w:val="00AA5360"/>
    <w:rsid w:val="00AA554B"/>
    <w:rsid w:val="00AA643B"/>
    <w:rsid w:val="00AA6A0D"/>
    <w:rsid w:val="00AA6EBB"/>
    <w:rsid w:val="00AA706A"/>
    <w:rsid w:val="00AA76E3"/>
    <w:rsid w:val="00AA7BFF"/>
    <w:rsid w:val="00AA7C5D"/>
    <w:rsid w:val="00AA7F87"/>
    <w:rsid w:val="00AB0A51"/>
    <w:rsid w:val="00AB0DDF"/>
    <w:rsid w:val="00AB2643"/>
    <w:rsid w:val="00AB313F"/>
    <w:rsid w:val="00AB3392"/>
    <w:rsid w:val="00AB372C"/>
    <w:rsid w:val="00AB3A5C"/>
    <w:rsid w:val="00AB3ED0"/>
    <w:rsid w:val="00AB409B"/>
    <w:rsid w:val="00AB4660"/>
    <w:rsid w:val="00AB51CD"/>
    <w:rsid w:val="00AB58DC"/>
    <w:rsid w:val="00AB59E0"/>
    <w:rsid w:val="00AB5B6F"/>
    <w:rsid w:val="00AB6425"/>
    <w:rsid w:val="00AB6C00"/>
    <w:rsid w:val="00AB6F7F"/>
    <w:rsid w:val="00AC1B26"/>
    <w:rsid w:val="00AC1EFF"/>
    <w:rsid w:val="00AC283A"/>
    <w:rsid w:val="00AC31CC"/>
    <w:rsid w:val="00AC382B"/>
    <w:rsid w:val="00AC3895"/>
    <w:rsid w:val="00AC6165"/>
    <w:rsid w:val="00AC673E"/>
    <w:rsid w:val="00AC6C48"/>
    <w:rsid w:val="00AC6F21"/>
    <w:rsid w:val="00AC70DF"/>
    <w:rsid w:val="00AC7BA2"/>
    <w:rsid w:val="00AC7C9A"/>
    <w:rsid w:val="00AD0E84"/>
    <w:rsid w:val="00AD224B"/>
    <w:rsid w:val="00AD2C44"/>
    <w:rsid w:val="00AD3675"/>
    <w:rsid w:val="00AD37AE"/>
    <w:rsid w:val="00AD44BA"/>
    <w:rsid w:val="00AD5561"/>
    <w:rsid w:val="00AD5F36"/>
    <w:rsid w:val="00AD609C"/>
    <w:rsid w:val="00AD6E2E"/>
    <w:rsid w:val="00AD721D"/>
    <w:rsid w:val="00AD783F"/>
    <w:rsid w:val="00AE0004"/>
    <w:rsid w:val="00AE0282"/>
    <w:rsid w:val="00AE0625"/>
    <w:rsid w:val="00AE0D5E"/>
    <w:rsid w:val="00AE0E8E"/>
    <w:rsid w:val="00AE1894"/>
    <w:rsid w:val="00AE189E"/>
    <w:rsid w:val="00AE18CC"/>
    <w:rsid w:val="00AE1B95"/>
    <w:rsid w:val="00AE20E3"/>
    <w:rsid w:val="00AE2799"/>
    <w:rsid w:val="00AE369F"/>
    <w:rsid w:val="00AE3772"/>
    <w:rsid w:val="00AE3847"/>
    <w:rsid w:val="00AE3C75"/>
    <w:rsid w:val="00AE3D8F"/>
    <w:rsid w:val="00AE42F4"/>
    <w:rsid w:val="00AE437A"/>
    <w:rsid w:val="00AE5B32"/>
    <w:rsid w:val="00AE5CFA"/>
    <w:rsid w:val="00AE6087"/>
    <w:rsid w:val="00AE6997"/>
    <w:rsid w:val="00AE69C4"/>
    <w:rsid w:val="00AE6A4E"/>
    <w:rsid w:val="00AE6C0F"/>
    <w:rsid w:val="00AE6E5A"/>
    <w:rsid w:val="00AE7DC9"/>
    <w:rsid w:val="00AF05FB"/>
    <w:rsid w:val="00AF09C6"/>
    <w:rsid w:val="00AF1701"/>
    <w:rsid w:val="00AF45F1"/>
    <w:rsid w:val="00AF482F"/>
    <w:rsid w:val="00AF57EB"/>
    <w:rsid w:val="00AF60DF"/>
    <w:rsid w:val="00AF639D"/>
    <w:rsid w:val="00AF6BDE"/>
    <w:rsid w:val="00AF6CF2"/>
    <w:rsid w:val="00AF6E41"/>
    <w:rsid w:val="00AF72CC"/>
    <w:rsid w:val="00B00014"/>
    <w:rsid w:val="00B003B5"/>
    <w:rsid w:val="00B0169F"/>
    <w:rsid w:val="00B02069"/>
    <w:rsid w:val="00B024EA"/>
    <w:rsid w:val="00B02608"/>
    <w:rsid w:val="00B02823"/>
    <w:rsid w:val="00B02B53"/>
    <w:rsid w:val="00B02DE1"/>
    <w:rsid w:val="00B0346A"/>
    <w:rsid w:val="00B03482"/>
    <w:rsid w:val="00B036CE"/>
    <w:rsid w:val="00B03C65"/>
    <w:rsid w:val="00B0483B"/>
    <w:rsid w:val="00B04989"/>
    <w:rsid w:val="00B04C28"/>
    <w:rsid w:val="00B057ED"/>
    <w:rsid w:val="00B05A6E"/>
    <w:rsid w:val="00B05D38"/>
    <w:rsid w:val="00B067A0"/>
    <w:rsid w:val="00B06D38"/>
    <w:rsid w:val="00B06F69"/>
    <w:rsid w:val="00B07317"/>
    <w:rsid w:val="00B0735C"/>
    <w:rsid w:val="00B07360"/>
    <w:rsid w:val="00B07487"/>
    <w:rsid w:val="00B07DF9"/>
    <w:rsid w:val="00B10ED6"/>
    <w:rsid w:val="00B10FA8"/>
    <w:rsid w:val="00B115BE"/>
    <w:rsid w:val="00B11C5D"/>
    <w:rsid w:val="00B11EAE"/>
    <w:rsid w:val="00B11F3B"/>
    <w:rsid w:val="00B12CCD"/>
    <w:rsid w:val="00B1328B"/>
    <w:rsid w:val="00B137C8"/>
    <w:rsid w:val="00B1441C"/>
    <w:rsid w:val="00B1461F"/>
    <w:rsid w:val="00B14D68"/>
    <w:rsid w:val="00B14DEB"/>
    <w:rsid w:val="00B156B0"/>
    <w:rsid w:val="00B164EC"/>
    <w:rsid w:val="00B16AFE"/>
    <w:rsid w:val="00B16C28"/>
    <w:rsid w:val="00B16CCE"/>
    <w:rsid w:val="00B16E3B"/>
    <w:rsid w:val="00B20013"/>
    <w:rsid w:val="00B203B6"/>
    <w:rsid w:val="00B205A2"/>
    <w:rsid w:val="00B20742"/>
    <w:rsid w:val="00B20D06"/>
    <w:rsid w:val="00B20EAE"/>
    <w:rsid w:val="00B2105C"/>
    <w:rsid w:val="00B21854"/>
    <w:rsid w:val="00B22232"/>
    <w:rsid w:val="00B22771"/>
    <w:rsid w:val="00B22C9A"/>
    <w:rsid w:val="00B22DF3"/>
    <w:rsid w:val="00B239FA"/>
    <w:rsid w:val="00B250EE"/>
    <w:rsid w:val="00B25A5F"/>
    <w:rsid w:val="00B261C4"/>
    <w:rsid w:val="00B26405"/>
    <w:rsid w:val="00B26425"/>
    <w:rsid w:val="00B26A99"/>
    <w:rsid w:val="00B303B3"/>
    <w:rsid w:val="00B308C3"/>
    <w:rsid w:val="00B31B0F"/>
    <w:rsid w:val="00B31F4A"/>
    <w:rsid w:val="00B32494"/>
    <w:rsid w:val="00B33A21"/>
    <w:rsid w:val="00B35AF8"/>
    <w:rsid w:val="00B361E3"/>
    <w:rsid w:val="00B36B0E"/>
    <w:rsid w:val="00B370B9"/>
    <w:rsid w:val="00B3751A"/>
    <w:rsid w:val="00B4028D"/>
    <w:rsid w:val="00B40D7D"/>
    <w:rsid w:val="00B40E2E"/>
    <w:rsid w:val="00B42D85"/>
    <w:rsid w:val="00B4339E"/>
    <w:rsid w:val="00B44C6D"/>
    <w:rsid w:val="00B4520B"/>
    <w:rsid w:val="00B4534D"/>
    <w:rsid w:val="00B46DA4"/>
    <w:rsid w:val="00B4742F"/>
    <w:rsid w:val="00B47DC7"/>
    <w:rsid w:val="00B50382"/>
    <w:rsid w:val="00B50CC0"/>
    <w:rsid w:val="00B51C0F"/>
    <w:rsid w:val="00B51EA7"/>
    <w:rsid w:val="00B51F6A"/>
    <w:rsid w:val="00B51F87"/>
    <w:rsid w:val="00B522FB"/>
    <w:rsid w:val="00B5309E"/>
    <w:rsid w:val="00B53233"/>
    <w:rsid w:val="00B53355"/>
    <w:rsid w:val="00B53383"/>
    <w:rsid w:val="00B533FB"/>
    <w:rsid w:val="00B5415A"/>
    <w:rsid w:val="00B542AB"/>
    <w:rsid w:val="00B54635"/>
    <w:rsid w:val="00B5466E"/>
    <w:rsid w:val="00B54B90"/>
    <w:rsid w:val="00B5604E"/>
    <w:rsid w:val="00B60C26"/>
    <w:rsid w:val="00B6139A"/>
    <w:rsid w:val="00B6179A"/>
    <w:rsid w:val="00B61FFE"/>
    <w:rsid w:val="00B620D3"/>
    <w:rsid w:val="00B625E4"/>
    <w:rsid w:val="00B62F92"/>
    <w:rsid w:val="00B6459C"/>
    <w:rsid w:val="00B65D17"/>
    <w:rsid w:val="00B66396"/>
    <w:rsid w:val="00B665DC"/>
    <w:rsid w:val="00B66B50"/>
    <w:rsid w:val="00B672FF"/>
    <w:rsid w:val="00B67CB3"/>
    <w:rsid w:val="00B67DC8"/>
    <w:rsid w:val="00B70A10"/>
    <w:rsid w:val="00B70EDA"/>
    <w:rsid w:val="00B7128B"/>
    <w:rsid w:val="00B71311"/>
    <w:rsid w:val="00B722FD"/>
    <w:rsid w:val="00B72EC7"/>
    <w:rsid w:val="00B73EB3"/>
    <w:rsid w:val="00B7426D"/>
    <w:rsid w:val="00B75402"/>
    <w:rsid w:val="00B76007"/>
    <w:rsid w:val="00B76889"/>
    <w:rsid w:val="00B76943"/>
    <w:rsid w:val="00B77437"/>
    <w:rsid w:val="00B77EF9"/>
    <w:rsid w:val="00B80FC4"/>
    <w:rsid w:val="00B811F4"/>
    <w:rsid w:val="00B81B3E"/>
    <w:rsid w:val="00B81B47"/>
    <w:rsid w:val="00B82F26"/>
    <w:rsid w:val="00B8303D"/>
    <w:rsid w:val="00B83207"/>
    <w:rsid w:val="00B8329E"/>
    <w:rsid w:val="00B836CB"/>
    <w:rsid w:val="00B83AE0"/>
    <w:rsid w:val="00B8457C"/>
    <w:rsid w:val="00B8532F"/>
    <w:rsid w:val="00B858D6"/>
    <w:rsid w:val="00B859B2"/>
    <w:rsid w:val="00B85CAD"/>
    <w:rsid w:val="00B861B6"/>
    <w:rsid w:val="00B86B94"/>
    <w:rsid w:val="00B86E90"/>
    <w:rsid w:val="00B86F77"/>
    <w:rsid w:val="00B871CD"/>
    <w:rsid w:val="00B874DC"/>
    <w:rsid w:val="00B90500"/>
    <w:rsid w:val="00B90A59"/>
    <w:rsid w:val="00B90AF2"/>
    <w:rsid w:val="00B90D35"/>
    <w:rsid w:val="00B912DB"/>
    <w:rsid w:val="00B915CD"/>
    <w:rsid w:val="00B91DAA"/>
    <w:rsid w:val="00B930B4"/>
    <w:rsid w:val="00B9357C"/>
    <w:rsid w:val="00B93C0F"/>
    <w:rsid w:val="00B94944"/>
    <w:rsid w:val="00B949D8"/>
    <w:rsid w:val="00B9508B"/>
    <w:rsid w:val="00B95D8C"/>
    <w:rsid w:val="00B962D3"/>
    <w:rsid w:val="00B967A8"/>
    <w:rsid w:val="00B96815"/>
    <w:rsid w:val="00B97047"/>
    <w:rsid w:val="00B9730A"/>
    <w:rsid w:val="00B9742E"/>
    <w:rsid w:val="00B97B53"/>
    <w:rsid w:val="00B97C03"/>
    <w:rsid w:val="00BA0067"/>
    <w:rsid w:val="00BA00B7"/>
    <w:rsid w:val="00BA061B"/>
    <w:rsid w:val="00BA0A82"/>
    <w:rsid w:val="00BA0DFA"/>
    <w:rsid w:val="00BA0EC4"/>
    <w:rsid w:val="00BA15AF"/>
    <w:rsid w:val="00BA36F1"/>
    <w:rsid w:val="00BA67AB"/>
    <w:rsid w:val="00BA69A8"/>
    <w:rsid w:val="00BB01C2"/>
    <w:rsid w:val="00BB0B1C"/>
    <w:rsid w:val="00BB111E"/>
    <w:rsid w:val="00BB19B4"/>
    <w:rsid w:val="00BB219F"/>
    <w:rsid w:val="00BB3134"/>
    <w:rsid w:val="00BB395D"/>
    <w:rsid w:val="00BB3DE4"/>
    <w:rsid w:val="00BB3DEE"/>
    <w:rsid w:val="00BB4559"/>
    <w:rsid w:val="00BB5EDB"/>
    <w:rsid w:val="00BB611D"/>
    <w:rsid w:val="00BB6396"/>
    <w:rsid w:val="00BB7520"/>
    <w:rsid w:val="00BC09E8"/>
    <w:rsid w:val="00BC143B"/>
    <w:rsid w:val="00BC1B3A"/>
    <w:rsid w:val="00BC2FCA"/>
    <w:rsid w:val="00BC30CC"/>
    <w:rsid w:val="00BC3AEA"/>
    <w:rsid w:val="00BC40A9"/>
    <w:rsid w:val="00BC4A05"/>
    <w:rsid w:val="00BC4E3C"/>
    <w:rsid w:val="00BC4FE4"/>
    <w:rsid w:val="00BC4FFF"/>
    <w:rsid w:val="00BC50B6"/>
    <w:rsid w:val="00BC512A"/>
    <w:rsid w:val="00BC587A"/>
    <w:rsid w:val="00BC5A38"/>
    <w:rsid w:val="00BC74E0"/>
    <w:rsid w:val="00BC7EFA"/>
    <w:rsid w:val="00BD0133"/>
    <w:rsid w:val="00BD0241"/>
    <w:rsid w:val="00BD036A"/>
    <w:rsid w:val="00BD2245"/>
    <w:rsid w:val="00BD26E4"/>
    <w:rsid w:val="00BD31EB"/>
    <w:rsid w:val="00BD472F"/>
    <w:rsid w:val="00BD4779"/>
    <w:rsid w:val="00BD4908"/>
    <w:rsid w:val="00BD49EE"/>
    <w:rsid w:val="00BD58E9"/>
    <w:rsid w:val="00BD6067"/>
    <w:rsid w:val="00BD71B9"/>
    <w:rsid w:val="00BD78DF"/>
    <w:rsid w:val="00BD791F"/>
    <w:rsid w:val="00BD7B0C"/>
    <w:rsid w:val="00BD7B1E"/>
    <w:rsid w:val="00BE19F2"/>
    <w:rsid w:val="00BE1B6C"/>
    <w:rsid w:val="00BE306A"/>
    <w:rsid w:val="00BE31B6"/>
    <w:rsid w:val="00BE3483"/>
    <w:rsid w:val="00BE3BA6"/>
    <w:rsid w:val="00BE507B"/>
    <w:rsid w:val="00BE618D"/>
    <w:rsid w:val="00BE657C"/>
    <w:rsid w:val="00BE65B2"/>
    <w:rsid w:val="00BE6C34"/>
    <w:rsid w:val="00BE79FF"/>
    <w:rsid w:val="00BE7C4B"/>
    <w:rsid w:val="00BF0040"/>
    <w:rsid w:val="00BF08DB"/>
    <w:rsid w:val="00BF0A26"/>
    <w:rsid w:val="00BF15D8"/>
    <w:rsid w:val="00BF1715"/>
    <w:rsid w:val="00BF2AC1"/>
    <w:rsid w:val="00BF2B81"/>
    <w:rsid w:val="00BF2E2F"/>
    <w:rsid w:val="00BF38B7"/>
    <w:rsid w:val="00BF3A2C"/>
    <w:rsid w:val="00BF4DD1"/>
    <w:rsid w:val="00BF569E"/>
    <w:rsid w:val="00BF6143"/>
    <w:rsid w:val="00BF61F1"/>
    <w:rsid w:val="00BF642B"/>
    <w:rsid w:val="00BF652C"/>
    <w:rsid w:val="00BF70F7"/>
    <w:rsid w:val="00C01503"/>
    <w:rsid w:val="00C0157D"/>
    <w:rsid w:val="00C028DB"/>
    <w:rsid w:val="00C0315B"/>
    <w:rsid w:val="00C03449"/>
    <w:rsid w:val="00C045E7"/>
    <w:rsid w:val="00C04A25"/>
    <w:rsid w:val="00C05E06"/>
    <w:rsid w:val="00C07365"/>
    <w:rsid w:val="00C108E4"/>
    <w:rsid w:val="00C11FB5"/>
    <w:rsid w:val="00C1271B"/>
    <w:rsid w:val="00C13512"/>
    <w:rsid w:val="00C13A91"/>
    <w:rsid w:val="00C13AD4"/>
    <w:rsid w:val="00C14FA3"/>
    <w:rsid w:val="00C1526D"/>
    <w:rsid w:val="00C15413"/>
    <w:rsid w:val="00C15611"/>
    <w:rsid w:val="00C15CAE"/>
    <w:rsid w:val="00C1631B"/>
    <w:rsid w:val="00C16CAB"/>
    <w:rsid w:val="00C17127"/>
    <w:rsid w:val="00C20427"/>
    <w:rsid w:val="00C22B4A"/>
    <w:rsid w:val="00C24826"/>
    <w:rsid w:val="00C24829"/>
    <w:rsid w:val="00C24E91"/>
    <w:rsid w:val="00C255D4"/>
    <w:rsid w:val="00C26134"/>
    <w:rsid w:val="00C2649B"/>
    <w:rsid w:val="00C2672E"/>
    <w:rsid w:val="00C26DA6"/>
    <w:rsid w:val="00C26EC7"/>
    <w:rsid w:val="00C27A8C"/>
    <w:rsid w:val="00C30327"/>
    <w:rsid w:val="00C30BD8"/>
    <w:rsid w:val="00C31076"/>
    <w:rsid w:val="00C312D1"/>
    <w:rsid w:val="00C314DA"/>
    <w:rsid w:val="00C32220"/>
    <w:rsid w:val="00C32A28"/>
    <w:rsid w:val="00C32BC7"/>
    <w:rsid w:val="00C3514D"/>
    <w:rsid w:val="00C352C2"/>
    <w:rsid w:val="00C36DC0"/>
    <w:rsid w:val="00C37C21"/>
    <w:rsid w:val="00C41D8D"/>
    <w:rsid w:val="00C4253A"/>
    <w:rsid w:val="00C428C5"/>
    <w:rsid w:val="00C42924"/>
    <w:rsid w:val="00C42D4C"/>
    <w:rsid w:val="00C431B0"/>
    <w:rsid w:val="00C431C2"/>
    <w:rsid w:val="00C434EF"/>
    <w:rsid w:val="00C43601"/>
    <w:rsid w:val="00C43A63"/>
    <w:rsid w:val="00C442D2"/>
    <w:rsid w:val="00C4462C"/>
    <w:rsid w:val="00C452EA"/>
    <w:rsid w:val="00C46494"/>
    <w:rsid w:val="00C46D2A"/>
    <w:rsid w:val="00C46D9F"/>
    <w:rsid w:val="00C47B89"/>
    <w:rsid w:val="00C5004A"/>
    <w:rsid w:val="00C50226"/>
    <w:rsid w:val="00C5113B"/>
    <w:rsid w:val="00C514C7"/>
    <w:rsid w:val="00C51DC9"/>
    <w:rsid w:val="00C51FF3"/>
    <w:rsid w:val="00C52BEA"/>
    <w:rsid w:val="00C53277"/>
    <w:rsid w:val="00C55263"/>
    <w:rsid w:val="00C5572B"/>
    <w:rsid w:val="00C56152"/>
    <w:rsid w:val="00C564B8"/>
    <w:rsid w:val="00C568B4"/>
    <w:rsid w:val="00C575B8"/>
    <w:rsid w:val="00C57887"/>
    <w:rsid w:val="00C57DD8"/>
    <w:rsid w:val="00C60799"/>
    <w:rsid w:val="00C60D2A"/>
    <w:rsid w:val="00C61434"/>
    <w:rsid w:val="00C618EA"/>
    <w:rsid w:val="00C6296A"/>
    <w:rsid w:val="00C62994"/>
    <w:rsid w:val="00C62FBB"/>
    <w:rsid w:val="00C632E2"/>
    <w:rsid w:val="00C65644"/>
    <w:rsid w:val="00C65A06"/>
    <w:rsid w:val="00C66074"/>
    <w:rsid w:val="00C660C1"/>
    <w:rsid w:val="00C66106"/>
    <w:rsid w:val="00C66696"/>
    <w:rsid w:val="00C66750"/>
    <w:rsid w:val="00C66CCB"/>
    <w:rsid w:val="00C67343"/>
    <w:rsid w:val="00C67F07"/>
    <w:rsid w:val="00C707E3"/>
    <w:rsid w:val="00C716C7"/>
    <w:rsid w:val="00C72636"/>
    <w:rsid w:val="00C73E1E"/>
    <w:rsid w:val="00C740F7"/>
    <w:rsid w:val="00C74ABE"/>
    <w:rsid w:val="00C74AE2"/>
    <w:rsid w:val="00C759CC"/>
    <w:rsid w:val="00C75F42"/>
    <w:rsid w:val="00C76187"/>
    <w:rsid w:val="00C7639F"/>
    <w:rsid w:val="00C76FEF"/>
    <w:rsid w:val="00C77DD9"/>
    <w:rsid w:val="00C8039F"/>
    <w:rsid w:val="00C805DD"/>
    <w:rsid w:val="00C806AF"/>
    <w:rsid w:val="00C815C0"/>
    <w:rsid w:val="00C81FE0"/>
    <w:rsid w:val="00C820E9"/>
    <w:rsid w:val="00C833C3"/>
    <w:rsid w:val="00C8419F"/>
    <w:rsid w:val="00C859D8"/>
    <w:rsid w:val="00C85BAA"/>
    <w:rsid w:val="00C8630C"/>
    <w:rsid w:val="00C86932"/>
    <w:rsid w:val="00C87DFF"/>
    <w:rsid w:val="00C902FF"/>
    <w:rsid w:val="00C90463"/>
    <w:rsid w:val="00C90E31"/>
    <w:rsid w:val="00C920DC"/>
    <w:rsid w:val="00C9297F"/>
    <w:rsid w:val="00C929D2"/>
    <w:rsid w:val="00C939C7"/>
    <w:rsid w:val="00C93C65"/>
    <w:rsid w:val="00C94305"/>
    <w:rsid w:val="00C94307"/>
    <w:rsid w:val="00C9445F"/>
    <w:rsid w:val="00C9516B"/>
    <w:rsid w:val="00C95247"/>
    <w:rsid w:val="00C954BB"/>
    <w:rsid w:val="00C958C2"/>
    <w:rsid w:val="00C95A50"/>
    <w:rsid w:val="00C95A69"/>
    <w:rsid w:val="00C96853"/>
    <w:rsid w:val="00C96A6A"/>
    <w:rsid w:val="00C96D5D"/>
    <w:rsid w:val="00C96FA5"/>
    <w:rsid w:val="00CA0228"/>
    <w:rsid w:val="00CA0D83"/>
    <w:rsid w:val="00CA116F"/>
    <w:rsid w:val="00CA20DF"/>
    <w:rsid w:val="00CA24A3"/>
    <w:rsid w:val="00CA2BF8"/>
    <w:rsid w:val="00CA2C2A"/>
    <w:rsid w:val="00CA2DB5"/>
    <w:rsid w:val="00CA32D7"/>
    <w:rsid w:val="00CA39CD"/>
    <w:rsid w:val="00CA438C"/>
    <w:rsid w:val="00CA4590"/>
    <w:rsid w:val="00CA46E2"/>
    <w:rsid w:val="00CA4962"/>
    <w:rsid w:val="00CA4DB6"/>
    <w:rsid w:val="00CA526D"/>
    <w:rsid w:val="00CA694A"/>
    <w:rsid w:val="00CA7777"/>
    <w:rsid w:val="00CB0025"/>
    <w:rsid w:val="00CB01E1"/>
    <w:rsid w:val="00CB0D0A"/>
    <w:rsid w:val="00CB14D8"/>
    <w:rsid w:val="00CB1B02"/>
    <w:rsid w:val="00CB1CAD"/>
    <w:rsid w:val="00CB219C"/>
    <w:rsid w:val="00CB273E"/>
    <w:rsid w:val="00CB2A60"/>
    <w:rsid w:val="00CB3744"/>
    <w:rsid w:val="00CB3AAE"/>
    <w:rsid w:val="00CB4438"/>
    <w:rsid w:val="00CB4B0C"/>
    <w:rsid w:val="00CB4E76"/>
    <w:rsid w:val="00CB5094"/>
    <w:rsid w:val="00CB645D"/>
    <w:rsid w:val="00CB6644"/>
    <w:rsid w:val="00CB66BA"/>
    <w:rsid w:val="00CB6A31"/>
    <w:rsid w:val="00CB6BF0"/>
    <w:rsid w:val="00CB74C7"/>
    <w:rsid w:val="00CB77C7"/>
    <w:rsid w:val="00CC0125"/>
    <w:rsid w:val="00CC03E6"/>
    <w:rsid w:val="00CC09E7"/>
    <w:rsid w:val="00CC1E35"/>
    <w:rsid w:val="00CC20A0"/>
    <w:rsid w:val="00CC2D4A"/>
    <w:rsid w:val="00CC2FED"/>
    <w:rsid w:val="00CC3163"/>
    <w:rsid w:val="00CC326B"/>
    <w:rsid w:val="00CC342C"/>
    <w:rsid w:val="00CC3871"/>
    <w:rsid w:val="00CC4CC7"/>
    <w:rsid w:val="00CC5146"/>
    <w:rsid w:val="00CC5F23"/>
    <w:rsid w:val="00CC6BC8"/>
    <w:rsid w:val="00CC6D02"/>
    <w:rsid w:val="00CC72AC"/>
    <w:rsid w:val="00CC7755"/>
    <w:rsid w:val="00CC7A33"/>
    <w:rsid w:val="00CC7CEE"/>
    <w:rsid w:val="00CD02D5"/>
    <w:rsid w:val="00CD0CD1"/>
    <w:rsid w:val="00CD1270"/>
    <w:rsid w:val="00CD128B"/>
    <w:rsid w:val="00CD181F"/>
    <w:rsid w:val="00CD1828"/>
    <w:rsid w:val="00CD305E"/>
    <w:rsid w:val="00CD3770"/>
    <w:rsid w:val="00CD3B93"/>
    <w:rsid w:val="00CD49F7"/>
    <w:rsid w:val="00CD4DBE"/>
    <w:rsid w:val="00CD4DDD"/>
    <w:rsid w:val="00CD4EAA"/>
    <w:rsid w:val="00CD526D"/>
    <w:rsid w:val="00CD5B9F"/>
    <w:rsid w:val="00CD5D8C"/>
    <w:rsid w:val="00CD6930"/>
    <w:rsid w:val="00CD6B96"/>
    <w:rsid w:val="00CE0485"/>
    <w:rsid w:val="00CE0918"/>
    <w:rsid w:val="00CE0CDA"/>
    <w:rsid w:val="00CE1BB4"/>
    <w:rsid w:val="00CE2B68"/>
    <w:rsid w:val="00CE4D28"/>
    <w:rsid w:val="00CE5489"/>
    <w:rsid w:val="00CE6386"/>
    <w:rsid w:val="00CE6594"/>
    <w:rsid w:val="00CE6628"/>
    <w:rsid w:val="00CE7A36"/>
    <w:rsid w:val="00CE7C83"/>
    <w:rsid w:val="00CF1DF2"/>
    <w:rsid w:val="00CF2312"/>
    <w:rsid w:val="00CF29A2"/>
    <w:rsid w:val="00CF2F23"/>
    <w:rsid w:val="00CF3579"/>
    <w:rsid w:val="00CF3E31"/>
    <w:rsid w:val="00CF4B3D"/>
    <w:rsid w:val="00CF4B82"/>
    <w:rsid w:val="00CF54B3"/>
    <w:rsid w:val="00CF55F4"/>
    <w:rsid w:val="00CF5667"/>
    <w:rsid w:val="00CF61B5"/>
    <w:rsid w:val="00CF68B9"/>
    <w:rsid w:val="00CF6E41"/>
    <w:rsid w:val="00CF7738"/>
    <w:rsid w:val="00CF7ABD"/>
    <w:rsid w:val="00CF7D5E"/>
    <w:rsid w:val="00CF7E66"/>
    <w:rsid w:val="00CF7EFC"/>
    <w:rsid w:val="00D008B7"/>
    <w:rsid w:val="00D00B6B"/>
    <w:rsid w:val="00D0111B"/>
    <w:rsid w:val="00D01B49"/>
    <w:rsid w:val="00D01DF1"/>
    <w:rsid w:val="00D01EF2"/>
    <w:rsid w:val="00D03D1F"/>
    <w:rsid w:val="00D044C1"/>
    <w:rsid w:val="00D0507F"/>
    <w:rsid w:val="00D0561C"/>
    <w:rsid w:val="00D058C6"/>
    <w:rsid w:val="00D05F83"/>
    <w:rsid w:val="00D0682C"/>
    <w:rsid w:val="00D074AC"/>
    <w:rsid w:val="00D07BE8"/>
    <w:rsid w:val="00D07C67"/>
    <w:rsid w:val="00D10522"/>
    <w:rsid w:val="00D10C17"/>
    <w:rsid w:val="00D10F07"/>
    <w:rsid w:val="00D11570"/>
    <w:rsid w:val="00D11DF2"/>
    <w:rsid w:val="00D12522"/>
    <w:rsid w:val="00D134AE"/>
    <w:rsid w:val="00D139A2"/>
    <w:rsid w:val="00D143FA"/>
    <w:rsid w:val="00D14913"/>
    <w:rsid w:val="00D14E3F"/>
    <w:rsid w:val="00D14E5F"/>
    <w:rsid w:val="00D15CA7"/>
    <w:rsid w:val="00D164BE"/>
    <w:rsid w:val="00D210D8"/>
    <w:rsid w:val="00D2337A"/>
    <w:rsid w:val="00D23412"/>
    <w:rsid w:val="00D23C08"/>
    <w:rsid w:val="00D244AB"/>
    <w:rsid w:val="00D25A33"/>
    <w:rsid w:val="00D26362"/>
    <w:rsid w:val="00D26489"/>
    <w:rsid w:val="00D3043C"/>
    <w:rsid w:val="00D30AA8"/>
    <w:rsid w:val="00D30FA2"/>
    <w:rsid w:val="00D31457"/>
    <w:rsid w:val="00D32317"/>
    <w:rsid w:val="00D3237D"/>
    <w:rsid w:val="00D32E58"/>
    <w:rsid w:val="00D33872"/>
    <w:rsid w:val="00D33AE6"/>
    <w:rsid w:val="00D34012"/>
    <w:rsid w:val="00D344A3"/>
    <w:rsid w:val="00D34CDC"/>
    <w:rsid w:val="00D34D0E"/>
    <w:rsid w:val="00D36E52"/>
    <w:rsid w:val="00D37B45"/>
    <w:rsid w:val="00D37ED1"/>
    <w:rsid w:val="00D4137F"/>
    <w:rsid w:val="00D41AE8"/>
    <w:rsid w:val="00D42125"/>
    <w:rsid w:val="00D432F5"/>
    <w:rsid w:val="00D439B2"/>
    <w:rsid w:val="00D43B1D"/>
    <w:rsid w:val="00D43BC6"/>
    <w:rsid w:val="00D44445"/>
    <w:rsid w:val="00D4593E"/>
    <w:rsid w:val="00D4635A"/>
    <w:rsid w:val="00D4664B"/>
    <w:rsid w:val="00D46C65"/>
    <w:rsid w:val="00D46F71"/>
    <w:rsid w:val="00D470DC"/>
    <w:rsid w:val="00D47588"/>
    <w:rsid w:val="00D47B5D"/>
    <w:rsid w:val="00D47BDE"/>
    <w:rsid w:val="00D50AC7"/>
    <w:rsid w:val="00D50D1F"/>
    <w:rsid w:val="00D51206"/>
    <w:rsid w:val="00D51531"/>
    <w:rsid w:val="00D525D6"/>
    <w:rsid w:val="00D52951"/>
    <w:rsid w:val="00D52BC2"/>
    <w:rsid w:val="00D52DB5"/>
    <w:rsid w:val="00D532F9"/>
    <w:rsid w:val="00D5340F"/>
    <w:rsid w:val="00D537B6"/>
    <w:rsid w:val="00D5380F"/>
    <w:rsid w:val="00D543CD"/>
    <w:rsid w:val="00D54C71"/>
    <w:rsid w:val="00D553FF"/>
    <w:rsid w:val="00D555BD"/>
    <w:rsid w:val="00D555EC"/>
    <w:rsid w:val="00D56AA6"/>
    <w:rsid w:val="00D57091"/>
    <w:rsid w:val="00D57F5E"/>
    <w:rsid w:val="00D601AE"/>
    <w:rsid w:val="00D60A1F"/>
    <w:rsid w:val="00D611B7"/>
    <w:rsid w:val="00D616C5"/>
    <w:rsid w:val="00D6175E"/>
    <w:rsid w:val="00D6322D"/>
    <w:rsid w:val="00D63444"/>
    <w:rsid w:val="00D635EB"/>
    <w:rsid w:val="00D639AF"/>
    <w:rsid w:val="00D64837"/>
    <w:rsid w:val="00D66268"/>
    <w:rsid w:val="00D66566"/>
    <w:rsid w:val="00D66A9F"/>
    <w:rsid w:val="00D67D24"/>
    <w:rsid w:val="00D70184"/>
    <w:rsid w:val="00D70E87"/>
    <w:rsid w:val="00D719C8"/>
    <w:rsid w:val="00D72757"/>
    <w:rsid w:val="00D74BBD"/>
    <w:rsid w:val="00D74C11"/>
    <w:rsid w:val="00D75672"/>
    <w:rsid w:val="00D75831"/>
    <w:rsid w:val="00D774F2"/>
    <w:rsid w:val="00D808BF"/>
    <w:rsid w:val="00D80BF1"/>
    <w:rsid w:val="00D813DB"/>
    <w:rsid w:val="00D81EF8"/>
    <w:rsid w:val="00D8307F"/>
    <w:rsid w:val="00D833FF"/>
    <w:rsid w:val="00D845ED"/>
    <w:rsid w:val="00D851E8"/>
    <w:rsid w:val="00D852AA"/>
    <w:rsid w:val="00D85935"/>
    <w:rsid w:val="00D863DD"/>
    <w:rsid w:val="00D86461"/>
    <w:rsid w:val="00D86913"/>
    <w:rsid w:val="00D86FD3"/>
    <w:rsid w:val="00D87027"/>
    <w:rsid w:val="00D87618"/>
    <w:rsid w:val="00D879D9"/>
    <w:rsid w:val="00D900E2"/>
    <w:rsid w:val="00D905DD"/>
    <w:rsid w:val="00D9111A"/>
    <w:rsid w:val="00D912B5"/>
    <w:rsid w:val="00D91B78"/>
    <w:rsid w:val="00D92458"/>
    <w:rsid w:val="00D92584"/>
    <w:rsid w:val="00D9292E"/>
    <w:rsid w:val="00D92DCE"/>
    <w:rsid w:val="00D9312F"/>
    <w:rsid w:val="00D9435A"/>
    <w:rsid w:val="00DA04FC"/>
    <w:rsid w:val="00DA0C9D"/>
    <w:rsid w:val="00DA0F85"/>
    <w:rsid w:val="00DA1387"/>
    <w:rsid w:val="00DA1A1D"/>
    <w:rsid w:val="00DA2155"/>
    <w:rsid w:val="00DA2703"/>
    <w:rsid w:val="00DA4216"/>
    <w:rsid w:val="00DA577F"/>
    <w:rsid w:val="00DA5F69"/>
    <w:rsid w:val="00DA605A"/>
    <w:rsid w:val="00DA7E2E"/>
    <w:rsid w:val="00DB07F9"/>
    <w:rsid w:val="00DB16CA"/>
    <w:rsid w:val="00DB2583"/>
    <w:rsid w:val="00DB3A2F"/>
    <w:rsid w:val="00DB4026"/>
    <w:rsid w:val="00DB483E"/>
    <w:rsid w:val="00DB4D6C"/>
    <w:rsid w:val="00DB5379"/>
    <w:rsid w:val="00DB5B3E"/>
    <w:rsid w:val="00DB62D6"/>
    <w:rsid w:val="00DB692B"/>
    <w:rsid w:val="00DB798B"/>
    <w:rsid w:val="00DC0E01"/>
    <w:rsid w:val="00DC1013"/>
    <w:rsid w:val="00DC1016"/>
    <w:rsid w:val="00DC146F"/>
    <w:rsid w:val="00DC15D1"/>
    <w:rsid w:val="00DC21B0"/>
    <w:rsid w:val="00DC2286"/>
    <w:rsid w:val="00DC2465"/>
    <w:rsid w:val="00DC2B24"/>
    <w:rsid w:val="00DC390B"/>
    <w:rsid w:val="00DC446C"/>
    <w:rsid w:val="00DC4962"/>
    <w:rsid w:val="00DC4F5B"/>
    <w:rsid w:val="00DC6040"/>
    <w:rsid w:val="00DC676E"/>
    <w:rsid w:val="00DC75F8"/>
    <w:rsid w:val="00DC7A02"/>
    <w:rsid w:val="00DC7E1F"/>
    <w:rsid w:val="00DD0633"/>
    <w:rsid w:val="00DD0CF6"/>
    <w:rsid w:val="00DD124E"/>
    <w:rsid w:val="00DD2048"/>
    <w:rsid w:val="00DD2AA7"/>
    <w:rsid w:val="00DD47EC"/>
    <w:rsid w:val="00DD4FA1"/>
    <w:rsid w:val="00DD547A"/>
    <w:rsid w:val="00DD5961"/>
    <w:rsid w:val="00DD5DC1"/>
    <w:rsid w:val="00DD62B4"/>
    <w:rsid w:val="00DD6D87"/>
    <w:rsid w:val="00DE096B"/>
    <w:rsid w:val="00DE14CC"/>
    <w:rsid w:val="00DE1950"/>
    <w:rsid w:val="00DE4566"/>
    <w:rsid w:val="00DE5055"/>
    <w:rsid w:val="00DE505C"/>
    <w:rsid w:val="00DE50EE"/>
    <w:rsid w:val="00DE52E3"/>
    <w:rsid w:val="00DE5763"/>
    <w:rsid w:val="00DE693A"/>
    <w:rsid w:val="00DE7010"/>
    <w:rsid w:val="00DF0A2D"/>
    <w:rsid w:val="00DF13D7"/>
    <w:rsid w:val="00DF17A4"/>
    <w:rsid w:val="00DF1BA9"/>
    <w:rsid w:val="00DF1E25"/>
    <w:rsid w:val="00DF2518"/>
    <w:rsid w:val="00DF369A"/>
    <w:rsid w:val="00DF3C3E"/>
    <w:rsid w:val="00DF4248"/>
    <w:rsid w:val="00DF4938"/>
    <w:rsid w:val="00DF4DE8"/>
    <w:rsid w:val="00DF4DF3"/>
    <w:rsid w:val="00DF5936"/>
    <w:rsid w:val="00DF5978"/>
    <w:rsid w:val="00DF5B9E"/>
    <w:rsid w:val="00DF62FF"/>
    <w:rsid w:val="00DF631A"/>
    <w:rsid w:val="00DF771F"/>
    <w:rsid w:val="00DF7845"/>
    <w:rsid w:val="00E004BF"/>
    <w:rsid w:val="00E01061"/>
    <w:rsid w:val="00E010E5"/>
    <w:rsid w:val="00E01366"/>
    <w:rsid w:val="00E01807"/>
    <w:rsid w:val="00E01873"/>
    <w:rsid w:val="00E02022"/>
    <w:rsid w:val="00E02DC9"/>
    <w:rsid w:val="00E02EE8"/>
    <w:rsid w:val="00E02F0A"/>
    <w:rsid w:val="00E031D5"/>
    <w:rsid w:val="00E049A5"/>
    <w:rsid w:val="00E04CD0"/>
    <w:rsid w:val="00E0542B"/>
    <w:rsid w:val="00E0546B"/>
    <w:rsid w:val="00E054F3"/>
    <w:rsid w:val="00E061AC"/>
    <w:rsid w:val="00E073DD"/>
    <w:rsid w:val="00E07E42"/>
    <w:rsid w:val="00E07EE5"/>
    <w:rsid w:val="00E1026C"/>
    <w:rsid w:val="00E107C4"/>
    <w:rsid w:val="00E11070"/>
    <w:rsid w:val="00E11DD2"/>
    <w:rsid w:val="00E11FA4"/>
    <w:rsid w:val="00E120DD"/>
    <w:rsid w:val="00E120F5"/>
    <w:rsid w:val="00E12DD4"/>
    <w:rsid w:val="00E133B4"/>
    <w:rsid w:val="00E137D7"/>
    <w:rsid w:val="00E151CB"/>
    <w:rsid w:val="00E15ED3"/>
    <w:rsid w:val="00E15FED"/>
    <w:rsid w:val="00E16117"/>
    <w:rsid w:val="00E164F6"/>
    <w:rsid w:val="00E16766"/>
    <w:rsid w:val="00E16959"/>
    <w:rsid w:val="00E16E22"/>
    <w:rsid w:val="00E171E4"/>
    <w:rsid w:val="00E171FC"/>
    <w:rsid w:val="00E173EF"/>
    <w:rsid w:val="00E17E19"/>
    <w:rsid w:val="00E202C7"/>
    <w:rsid w:val="00E22226"/>
    <w:rsid w:val="00E223A0"/>
    <w:rsid w:val="00E225BA"/>
    <w:rsid w:val="00E24112"/>
    <w:rsid w:val="00E25179"/>
    <w:rsid w:val="00E259D9"/>
    <w:rsid w:val="00E25EC1"/>
    <w:rsid w:val="00E2605F"/>
    <w:rsid w:val="00E26702"/>
    <w:rsid w:val="00E26A3C"/>
    <w:rsid w:val="00E27429"/>
    <w:rsid w:val="00E275A8"/>
    <w:rsid w:val="00E27787"/>
    <w:rsid w:val="00E27993"/>
    <w:rsid w:val="00E27B77"/>
    <w:rsid w:val="00E30453"/>
    <w:rsid w:val="00E31BE9"/>
    <w:rsid w:val="00E31BED"/>
    <w:rsid w:val="00E32890"/>
    <w:rsid w:val="00E3295F"/>
    <w:rsid w:val="00E33E83"/>
    <w:rsid w:val="00E34BE9"/>
    <w:rsid w:val="00E352AF"/>
    <w:rsid w:val="00E35A65"/>
    <w:rsid w:val="00E35FCA"/>
    <w:rsid w:val="00E360D9"/>
    <w:rsid w:val="00E364B3"/>
    <w:rsid w:val="00E40EF0"/>
    <w:rsid w:val="00E411B0"/>
    <w:rsid w:val="00E41C25"/>
    <w:rsid w:val="00E41D19"/>
    <w:rsid w:val="00E41D91"/>
    <w:rsid w:val="00E4247B"/>
    <w:rsid w:val="00E424DA"/>
    <w:rsid w:val="00E428BE"/>
    <w:rsid w:val="00E429E5"/>
    <w:rsid w:val="00E43157"/>
    <w:rsid w:val="00E43830"/>
    <w:rsid w:val="00E43E78"/>
    <w:rsid w:val="00E44693"/>
    <w:rsid w:val="00E44EAC"/>
    <w:rsid w:val="00E45DD6"/>
    <w:rsid w:val="00E460BC"/>
    <w:rsid w:val="00E46D20"/>
    <w:rsid w:val="00E471CC"/>
    <w:rsid w:val="00E47342"/>
    <w:rsid w:val="00E47343"/>
    <w:rsid w:val="00E47407"/>
    <w:rsid w:val="00E477EC"/>
    <w:rsid w:val="00E47F8F"/>
    <w:rsid w:val="00E513AD"/>
    <w:rsid w:val="00E5189B"/>
    <w:rsid w:val="00E51925"/>
    <w:rsid w:val="00E51D58"/>
    <w:rsid w:val="00E52BC1"/>
    <w:rsid w:val="00E52BE0"/>
    <w:rsid w:val="00E52F99"/>
    <w:rsid w:val="00E5370A"/>
    <w:rsid w:val="00E5380D"/>
    <w:rsid w:val="00E541AB"/>
    <w:rsid w:val="00E541FE"/>
    <w:rsid w:val="00E54287"/>
    <w:rsid w:val="00E54E07"/>
    <w:rsid w:val="00E54E78"/>
    <w:rsid w:val="00E55A49"/>
    <w:rsid w:val="00E57FF1"/>
    <w:rsid w:val="00E604C8"/>
    <w:rsid w:val="00E6107A"/>
    <w:rsid w:val="00E610B0"/>
    <w:rsid w:val="00E61894"/>
    <w:rsid w:val="00E61D59"/>
    <w:rsid w:val="00E62488"/>
    <w:rsid w:val="00E62A49"/>
    <w:rsid w:val="00E62C3F"/>
    <w:rsid w:val="00E62C83"/>
    <w:rsid w:val="00E6345B"/>
    <w:rsid w:val="00E6359E"/>
    <w:rsid w:val="00E63D01"/>
    <w:rsid w:val="00E6589E"/>
    <w:rsid w:val="00E65F3A"/>
    <w:rsid w:val="00E66EBD"/>
    <w:rsid w:val="00E67914"/>
    <w:rsid w:val="00E67C84"/>
    <w:rsid w:val="00E67F2B"/>
    <w:rsid w:val="00E67F48"/>
    <w:rsid w:val="00E700F1"/>
    <w:rsid w:val="00E70139"/>
    <w:rsid w:val="00E7021F"/>
    <w:rsid w:val="00E70ABE"/>
    <w:rsid w:val="00E70EE1"/>
    <w:rsid w:val="00E70F5F"/>
    <w:rsid w:val="00E71F08"/>
    <w:rsid w:val="00E72872"/>
    <w:rsid w:val="00E738FA"/>
    <w:rsid w:val="00E73B78"/>
    <w:rsid w:val="00E75258"/>
    <w:rsid w:val="00E75309"/>
    <w:rsid w:val="00E75591"/>
    <w:rsid w:val="00E7593D"/>
    <w:rsid w:val="00E75E6A"/>
    <w:rsid w:val="00E76214"/>
    <w:rsid w:val="00E76291"/>
    <w:rsid w:val="00E76585"/>
    <w:rsid w:val="00E767D1"/>
    <w:rsid w:val="00E76F44"/>
    <w:rsid w:val="00E7742E"/>
    <w:rsid w:val="00E779D3"/>
    <w:rsid w:val="00E77F1B"/>
    <w:rsid w:val="00E81734"/>
    <w:rsid w:val="00E82C4C"/>
    <w:rsid w:val="00E8343D"/>
    <w:rsid w:val="00E839EA"/>
    <w:rsid w:val="00E83AD7"/>
    <w:rsid w:val="00E83B1E"/>
    <w:rsid w:val="00E8478F"/>
    <w:rsid w:val="00E85041"/>
    <w:rsid w:val="00E8620D"/>
    <w:rsid w:val="00E863DB"/>
    <w:rsid w:val="00E8690B"/>
    <w:rsid w:val="00E86F14"/>
    <w:rsid w:val="00E87B7E"/>
    <w:rsid w:val="00E87D66"/>
    <w:rsid w:val="00E90117"/>
    <w:rsid w:val="00E90DA4"/>
    <w:rsid w:val="00E915A3"/>
    <w:rsid w:val="00E92D58"/>
    <w:rsid w:val="00E92E71"/>
    <w:rsid w:val="00E93443"/>
    <w:rsid w:val="00E93891"/>
    <w:rsid w:val="00E946C3"/>
    <w:rsid w:val="00E960B0"/>
    <w:rsid w:val="00E96918"/>
    <w:rsid w:val="00E96FD3"/>
    <w:rsid w:val="00EA0390"/>
    <w:rsid w:val="00EA10C9"/>
    <w:rsid w:val="00EA2B6F"/>
    <w:rsid w:val="00EA2DF5"/>
    <w:rsid w:val="00EA361A"/>
    <w:rsid w:val="00EA367D"/>
    <w:rsid w:val="00EA4054"/>
    <w:rsid w:val="00EA4930"/>
    <w:rsid w:val="00EA7413"/>
    <w:rsid w:val="00EA7555"/>
    <w:rsid w:val="00EB00D7"/>
    <w:rsid w:val="00EB10DE"/>
    <w:rsid w:val="00EB1D72"/>
    <w:rsid w:val="00EB1FA1"/>
    <w:rsid w:val="00EB378F"/>
    <w:rsid w:val="00EB3AF4"/>
    <w:rsid w:val="00EB3CC9"/>
    <w:rsid w:val="00EB4B1A"/>
    <w:rsid w:val="00EB4B8D"/>
    <w:rsid w:val="00EB4CB6"/>
    <w:rsid w:val="00EB5A7F"/>
    <w:rsid w:val="00EB63B4"/>
    <w:rsid w:val="00EB666C"/>
    <w:rsid w:val="00EB7A6C"/>
    <w:rsid w:val="00EC0052"/>
    <w:rsid w:val="00EC0374"/>
    <w:rsid w:val="00EC1835"/>
    <w:rsid w:val="00EC1CFB"/>
    <w:rsid w:val="00EC1F28"/>
    <w:rsid w:val="00EC2476"/>
    <w:rsid w:val="00EC247B"/>
    <w:rsid w:val="00EC3F87"/>
    <w:rsid w:val="00EC42AD"/>
    <w:rsid w:val="00EC569B"/>
    <w:rsid w:val="00EC5B96"/>
    <w:rsid w:val="00EC5F7F"/>
    <w:rsid w:val="00EC619E"/>
    <w:rsid w:val="00EC61F3"/>
    <w:rsid w:val="00EC636F"/>
    <w:rsid w:val="00EC6440"/>
    <w:rsid w:val="00EC6BE2"/>
    <w:rsid w:val="00EC715E"/>
    <w:rsid w:val="00EC730B"/>
    <w:rsid w:val="00EC7522"/>
    <w:rsid w:val="00EC7EBF"/>
    <w:rsid w:val="00ED0379"/>
    <w:rsid w:val="00ED08B5"/>
    <w:rsid w:val="00ED0C82"/>
    <w:rsid w:val="00ED302F"/>
    <w:rsid w:val="00ED4007"/>
    <w:rsid w:val="00ED4815"/>
    <w:rsid w:val="00ED4D40"/>
    <w:rsid w:val="00ED4F93"/>
    <w:rsid w:val="00ED5111"/>
    <w:rsid w:val="00ED67F3"/>
    <w:rsid w:val="00ED6B6C"/>
    <w:rsid w:val="00EE054F"/>
    <w:rsid w:val="00EE0606"/>
    <w:rsid w:val="00EE121D"/>
    <w:rsid w:val="00EE1947"/>
    <w:rsid w:val="00EE1A37"/>
    <w:rsid w:val="00EE1B3B"/>
    <w:rsid w:val="00EE228A"/>
    <w:rsid w:val="00EE281B"/>
    <w:rsid w:val="00EE2F4B"/>
    <w:rsid w:val="00EE33E5"/>
    <w:rsid w:val="00EE38E7"/>
    <w:rsid w:val="00EE3F7A"/>
    <w:rsid w:val="00EE4BBB"/>
    <w:rsid w:val="00EE4E86"/>
    <w:rsid w:val="00EE503B"/>
    <w:rsid w:val="00EE5237"/>
    <w:rsid w:val="00EE5569"/>
    <w:rsid w:val="00EE5D65"/>
    <w:rsid w:val="00EE6BED"/>
    <w:rsid w:val="00EE77D5"/>
    <w:rsid w:val="00EF0762"/>
    <w:rsid w:val="00EF0E41"/>
    <w:rsid w:val="00EF0F95"/>
    <w:rsid w:val="00EF1C18"/>
    <w:rsid w:val="00EF24E7"/>
    <w:rsid w:val="00EF330F"/>
    <w:rsid w:val="00EF462A"/>
    <w:rsid w:val="00EF476D"/>
    <w:rsid w:val="00EF5730"/>
    <w:rsid w:val="00EF62ED"/>
    <w:rsid w:val="00EF6EED"/>
    <w:rsid w:val="00EF74A8"/>
    <w:rsid w:val="00F00260"/>
    <w:rsid w:val="00F008A3"/>
    <w:rsid w:val="00F00CF2"/>
    <w:rsid w:val="00F01A6D"/>
    <w:rsid w:val="00F03435"/>
    <w:rsid w:val="00F0452E"/>
    <w:rsid w:val="00F060AD"/>
    <w:rsid w:val="00F06226"/>
    <w:rsid w:val="00F07454"/>
    <w:rsid w:val="00F07492"/>
    <w:rsid w:val="00F07A6C"/>
    <w:rsid w:val="00F10265"/>
    <w:rsid w:val="00F102A4"/>
    <w:rsid w:val="00F11333"/>
    <w:rsid w:val="00F12A78"/>
    <w:rsid w:val="00F132A8"/>
    <w:rsid w:val="00F14046"/>
    <w:rsid w:val="00F1449E"/>
    <w:rsid w:val="00F14FA9"/>
    <w:rsid w:val="00F15172"/>
    <w:rsid w:val="00F157C0"/>
    <w:rsid w:val="00F158BC"/>
    <w:rsid w:val="00F15E99"/>
    <w:rsid w:val="00F17532"/>
    <w:rsid w:val="00F17630"/>
    <w:rsid w:val="00F17802"/>
    <w:rsid w:val="00F17A43"/>
    <w:rsid w:val="00F17EC1"/>
    <w:rsid w:val="00F17FC3"/>
    <w:rsid w:val="00F17FC8"/>
    <w:rsid w:val="00F205EB"/>
    <w:rsid w:val="00F20A7F"/>
    <w:rsid w:val="00F21C31"/>
    <w:rsid w:val="00F21F84"/>
    <w:rsid w:val="00F22054"/>
    <w:rsid w:val="00F23DD5"/>
    <w:rsid w:val="00F240FA"/>
    <w:rsid w:val="00F24779"/>
    <w:rsid w:val="00F25424"/>
    <w:rsid w:val="00F2593D"/>
    <w:rsid w:val="00F26BBE"/>
    <w:rsid w:val="00F26DFD"/>
    <w:rsid w:val="00F30083"/>
    <w:rsid w:val="00F306D9"/>
    <w:rsid w:val="00F30AFD"/>
    <w:rsid w:val="00F30E8A"/>
    <w:rsid w:val="00F31C51"/>
    <w:rsid w:val="00F31E40"/>
    <w:rsid w:val="00F320A0"/>
    <w:rsid w:val="00F33188"/>
    <w:rsid w:val="00F3345F"/>
    <w:rsid w:val="00F3357C"/>
    <w:rsid w:val="00F33665"/>
    <w:rsid w:val="00F3446B"/>
    <w:rsid w:val="00F347B1"/>
    <w:rsid w:val="00F34877"/>
    <w:rsid w:val="00F34D1F"/>
    <w:rsid w:val="00F34E0C"/>
    <w:rsid w:val="00F35AE0"/>
    <w:rsid w:val="00F35E98"/>
    <w:rsid w:val="00F3603A"/>
    <w:rsid w:val="00F36277"/>
    <w:rsid w:val="00F362AE"/>
    <w:rsid w:val="00F36479"/>
    <w:rsid w:val="00F36920"/>
    <w:rsid w:val="00F36FE1"/>
    <w:rsid w:val="00F37A71"/>
    <w:rsid w:val="00F40728"/>
    <w:rsid w:val="00F40BF9"/>
    <w:rsid w:val="00F42D4D"/>
    <w:rsid w:val="00F4304A"/>
    <w:rsid w:val="00F43423"/>
    <w:rsid w:val="00F44923"/>
    <w:rsid w:val="00F44C00"/>
    <w:rsid w:val="00F45A2B"/>
    <w:rsid w:val="00F470E3"/>
    <w:rsid w:val="00F47AB3"/>
    <w:rsid w:val="00F505E8"/>
    <w:rsid w:val="00F5075D"/>
    <w:rsid w:val="00F513E4"/>
    <w:rsid w:val="00F516DB"/>
    <w:rsid w:val="00F5176A"/>
    <w:rsid w:val="00F521DD"/>
    <w:rsid w:val="00F525A4"/>
    <w:rsid w:val="00F531C4"/>
    <w:rsid w:val="00F53230"/>
    <w:rsid w:val="00F5402F"/>
    <w:rsid w:val="00F548F3"/>
    <w:rsid w:val="00F54950"/>
    <w:rsid w:val="00F54AAF"/>
    <w:rsid w:val="00F55073"/>
    <w:rsid w:val="00F55C9C"/>
    <w:rsid w:val="00F55F50"/>
    <w:rsid w:val="00F568E5"/>
    <w:rsid w:val="00F570CC"/>
    <w:rsid w:val="00F57974"/>
    <w:rsid w:val="00F579A0"/>
    <w:rsid w:val="00F57B51"/>
    <w:rsid w:val="00F60357"/>
    <w:rsid w:val="00F60AC4"/>
    <w:rsid w:val="00F614B9"/>
    <w:rsid w:val="00F61926"/>
    <w:rsid w:val="00F6244B"/>
    <w:rsid w:val="00F62FDF"/>
    <w:rsid w:val="00F63425"/>
    <w:rsid w:val="00F63BDE"/>
    <w:rsid w:val="00F64CD6"/>
    <w:rsid w:val="00F64CF6"/>
    <w:rsid w:val="00F6553F"/>
    <w:rsid w:val="00F659C5"/>
    <w:rsid w:val="00F66024"/>
    <w:rsid w:val="00F6733C"/>
    <w:rsid w:val="00F677A4"/>
    <w:rsid w:val="00F70006"/>
    <w:rsid w:val="00F704D7"/>
    <w:rsid w:val="00F71C62"/>
    <w:rsid w:val="00F72C12"/>
    <w:rsid w:val="00F7311E"/>
    <w:rsid w:val="00F73396"/>
    <w:rsid w:val="00F734E1"/>
    <w:rsid w:val="00F743DB"/>
    <w:rsid w:val="00F74B04"/>
    <w:rsid w:val="00F75078"/>
    <w:rsid w:val="00F751E4"/>
    <w:rsid w:val="00F7603C"/>
    <w:rsid w:val="00F77930"/>
    <w:rsid w:val="00F80CC3"/>
    <w:rsid w:val="00F80DBA"/>
    <w:rsid w:val="00F824B1"/>
    <w:rsid w:val="00F8323B"/>
    <w:rsid w:val="00F834AF"/>
    <w:rsid w:val="00F83A93"/>
    <w:rsid w:val="00F84CC6"/>
    <w:rsid w:val="00F8574D"/>
    <w:rsid w:val="00F857C2"/>
    <w:rsid w:val="00F865F9"/>
    <w:rsid w:val="00F86789"/>
    <w:rsid w:val="00F868C7"/>
    <w:rsid w:val="00F86B72"/>
    <w:rsid w:val="00F86BFD"/>
    <w:rsid w:val="00F873B1"/>
    <w:rsid w:val="00F87C2A"/>
    <w:rsid w:val="00F87FA9"/>
    <w:rsid w:val="00F90684"/>
    <w:rsid w:val="00F90C33"/>
    <w:rsid w:val="00F928C1"/>
    <w:rsid w:val="00F9365D"/>
    <w:rsid w:val="00F947C6"/>
    <w:rsid w:val="00F947D0"/>
    <w:rsid w:val="00F95150"/>
    <w:rsid w:val="00F95418"/>
    <w:rsid w:val="00F954D3"/>
    <w:rsid w:val="00F95A86"/>
    <w:rsid w:val="00F95CE3"/>
    <w:rsid w:val="00F95D44"/>
    <w:rsid w:val="00F96410"/>
    <w:rsid w:val="00F9667E"/>
    <w:rsid w:val="00F969E1"/>
    <w:rsid w:val="00F96AFF"/>
    <w:rsid w:val="00F96BDD"/>
    <w:rsid w:val="00F96F41"/>
    <w:rsid w:val="00F979E6"/>
    <w:rsid w:val="00F97BCE"/>
    <w:rsid w:val="00F97FB3"/>
    <w:rsid w:val="00FA0B53"/>
    <w:rsid w:val="00FA10CA"/>
    <w:rsid w:val="00FA16A0"/>
    <w:rsid w:val="00FA1CF1"/>
    <w:rsid w:val="00FA2246"/>
    <w:rsid w:val="00FA22CD"/>
    <w:rsid w:val="00FA2743"/>
    <w:rsid w:val="00FA2A5C"/>
    <w:rsid w:val="00FA3DF2"/>
    <w:rsid w:val="00FA43E5"/>
    <w:rsid w:val="00FA53A5"/>
    <w:rsid w:val="00FA793F"/>
    <w:rsid w:val="00FA7B03"/>
    <w:rsid w:val="00FB0278"/>
    <w:rsid w:val="00FB12CB"/>
    <w:rsid w:val="00FB146A"/>
    <w:rsid w:val="00FB1DF9"/>
    <w:rsid w:val="00FB229B"/>
    <w:rsid w:val="00FB242A"/>
    <w:rsid w:val="00FB30A8"/>
    <w:rsid w:val="00FB39A2"/>
    <w:rsid w:val="00FB5169"/>
    <w:rsid w:val="00FB5442"/>
    <w:rsid w:val="00FB5A59"/>
    <w:rsid w:val="00FB63D1"/>
    <w:rsid w:val="00FB6D2F"/>
    <w:rsid w:val="00FB72AA"/>
    <w:rsid w:val="00FB783B"/>
    <w:rsid w:val="00FB7A2D"/>
    <w:rsid w:val="00FB7F8D"/>
    <w:rsid w:val="00FC0437"/>
    <w:rsid w:val="00FC2143"/>
    <w:rsid w:val="00FC32C6"/>
    <w:rsid w:val="00FC333B"/>
    <w:rsid w:val="00FC401C"/>
    <w:rsid w:val="00FC49D1"/>
    <w:rsid w:val="00FC5F62"/>
    <w:rsid w:val="00FC6B5E"/>
    <w:rsid w:val="00FC6C4D"/>
    <w:rsid w:val="00FC740D"/>
    <w:rsid w:val="00FD08C5"/>
    <w:rsid w:val="00FD0912"/>
    <w:rsid w:val="00FD1095"/>
    <w:rsid w:val="00FD19F1"/>
    <w:rsid w:val="00FD2F4F"/>
    <w:rsid w:val="00FD316E"/>
    <w:rsid w:val="00FD31F1"/>
    <w:rsid w:val="00FD39CD"/>
    <w:rsid w:val="00FD39E9"/>
    <w:rsid w:val="00FD3F48"/>
    <w:rsid w:val="00FD4035"/>
    <w:rsid w:val="00FD4A92"/>
    <w:rsid w:val="00FD5178"/>
    <w:rsid w:val="00FD5D94"/>
    <w:rsid w:val="00FD6470"/>
    <w:rsid w:val="00FD7270"/>
    <w:rsid w:val="00FD79A6"/>
    <w:rsid w:val="00FE1F4B"/>
    <w:rsid w:val="00FE2A28"/>
    <w:rsid w:val="00FE36FC"/>
    <w:rsid w:val="00FE3795"/>
    <w:rsid w:val="00FE392A"/>
    <w:rsid w:val="00FE3BB4"/>
    <w:rsid w:val="00FE4033"/>
    <w:rsid w:val="00FE46F1"/>
    <w:rsid w:val="00FE4B41"/>
    <w:rsid w:val="00FE4B5B"/>
    <w:rsid w:val="00FE5317"/>
    <w:rsid w:val="00FE60A0"/>
    <w:rsid w:val="00FE652F"/>
    <w:rsid w:val="00FE66D0"/>
    <w:rsid w:val="00FE67D7"/>
    <w:rsid w:val="00FE67E8"/>
    <w:rsid w:val="00FE7CE5"/>
    <w:rsid w:val="00FF029B"/>
    <w:rsid w:val="00FF0E99"/>
    <w:rsid w:val="00FF0EB6"/>
    <w:rsid w:val="00FF1099"/>
    <w:rsid w:val="00FF10BD"/>
    <w:rsid w:val="00FF1168"/>
    <w:rsid w:val="00FF16AD"/>
    <w:rsid w:val="00FF1762"/>
    <w:rsid w:val="00FF1AE7"/>
    <w:rsid w:val="00FF28F1"/>
    <w:rsid w:val="00FF29EF"/>
    <w:rsid w:val="00FF2D45"/>
    <w:rsid w:val="00FF312D"/>
    <w:rsid w:val="00FF32AF"/>
    <w:rsid w:val="00FF3821"/>
    <w:rsid w:val="00FF408D"/>
    <w:rsid w:val="00FF4CEE"/>
    <w:rsid w:val="00FF547F"/>
    <w:rsid w:val="00FF5677"/>
    <w:rsid w:val="00FF6063"/>
    <w:rsid w:val="00FF6D0A"/>
    <w:rsid w:val="00FF6F91"/>
    <w:rsid w:val="00FF7A6A"/>
    <w:rsid w:val="00FF7B95"/>
    <w:rsid w:val="073262BE"/>
    <w:rsid w:val="084028C1"/>
    <w:rsid w:val="09573AC5"/>
    <w:rsid w:val="0A7713FF"/>
    <w:rsid w:val="0B9171DD"/>
    <w:rsid w:val="0D48115C"/>
    <w:rsid w:val="0E9656DB"/>
    <w:rsid w:val="0F531D3C"/>
    <w:rsid w:val="137F63B4"/>
    <w:rsid w:val="19454138"/>
    <w:rsid w:val="1A104801"/>
    <w:rsid w:val="1AC55300"/>
    <w:rsid w:val="1EBD2E56"/>
    <w:rsid w:val="1F4A48CC"/>
    <w:rsid w:val="1F5C4098"/>
    <w:rsid w:val="201A7212"/>
    <w:rsid w:val="260F569E"/>
    <w:rsid w:val="269144D8"/>
    <w:rsid w:val="28132F8E"/>
    <w:rsid w:val="2A2D247C"/>
    <w:rsid w:val="2A6549D8"/>
    <w:rsid w:val="2ADB571C"/>
    <w:rsid w:val="2D536238"/>
    <w:rsid w:val="2E46732E"/>
    <w:rsid w:val="35883AD8"/>
    <w:rsid w:val="3C1E0EE9"/>
    <w:rsid w:val="3E8C1FCF"/>
    <w:rsid w:val="410240EC"/>
    <w:rsid w:val="41207E31"/>
    <w:rsid w:val="416200AE"/>
    <w:rsid w:val="4182723C"/>
    <w:rsid w:val="432F0696"/>
    <w:rsid w:val="438D2007"/>
    <w:rsid w:val="43AD15B6"/>
    <w:rsid w:val="465D2618"/>
    <w:rsid w:val="47C1088D"/>
    <w:rsid w:val="48C75639"/>
    <w:rsid w:val="49665FA1"/>
    <w:rsid w:val="49B321F5"/>
    <w:rsid w:val="49D840AA"/>
    <w:rsid w:val="4CD75F98"/>
    <w:rsid w:val="4E10608B"/>
    <w:rsid w:val="4E261535"/>
    <w:rsid w:val="50FC6F9E"/>
    <w:rsid w:val="57AF6C74"/>
    <w:rsid w:val="59223DB2"/>
    <w:rsid w:val="5C426431"/>
    <w:rsid w:val="5D555CF6"/>
    <w:rsid w:val="5D8C56AA"/>
    <w:rsid w:val="6CFC41A6"/>
    <w:rsid w:val="73C17D49"/>
    <w:rsid w:val="76A6312F"/>
    <w:rsid w:val="76C42FF8"/>
    <w:rsid w:val="79B0603F"/>
    <w:rsid w:val="7E985D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6398D7AC"/>
  <w15:docId w15:val="{A3C4A66E-24A4-4FC2-99D2-F1CE76F87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1"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unhideWhenUsed="1" w:qFormat="1"/>
    <w:lsdException w:name="heading 6" w:uiPriority="9" w:qFormat="1"/>
    <w:lsdException w:name="heading 7" w:uiPriority="0" w:qFormat="1"/>
    <w:lsdException w:name="heading 8" w:semiHidden="1" w:uiPriority="9" w:unhideWhenUsed="1" w:qFormat="1"/>
    <w:lsdException w:name="heading 9" w:semiHidden="1" w:uiPriority="9" w:unhideWhenUsed="1" w:qFormat="1"/>
    <w:lsdException w:name="index 1" w:uiPriority="0"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semiHidden="1" w:uiPriority="0" w:qFormat="1"/>
    <w:lsdException w:name="annotation text" w:uiPriority="0" w:unhideWhenUsed="1" w:qFormat="1"/>
    <w:lsdException w:name="header" w:uiPriority="0" w:unhideWhenUsed="1" w:qFormat="1"/>
    <w:lsdException w:name="footer" w:uiPriority="0" w:unhideWhenUsed="1" w:qFormat="1"/>
    <w:lsdException w:name="index heading" w:semiHidden="1" w:unhideWhenUsed="1"/>
    <w:lsdException w:name="caption" w:uiPriority="0" w:qFormat="1"/>
    <w:lsdException w:name="table of figures" w:semiHidden="1" w:uiPriority="0"/>
    <w:lsdException w:name="envelope address" w:semiHidden="1" w:unhideWhenUsed="1"/>
    <w:lsdException w:name="envelope return" w:semiHidden="1" w:unhideWhenUsed="1"/>
    <w:lsdException w:name="footnote reference" w:semiHidden="1" w:uiPriority="0" w:unhideWhenUsed="1" w:qFormat="1"/>
    <w:lsdException w:name="annotation reference" w:uiPriority="0"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uiPriority="0"/>
    <w:lsdException w:name="macro" w:semiHidden="1" w:unhideWhenUsed="1"/>
    <w:lsdException w:name="toa heading" w:uiPriority="0" w:qFormat="1"/>
    <w:lsdException w:name="List" w:uiPriority="0" w:qFormat="1"/>
    <w:lsdException w:name="List Bullet" w:semiHidden="1" w:unhideWhenUsed="1"/>
    <w:lsdException w:name="List Number" w:semiHidden="1" w:unhideWhenUsed="1"/>
    <w:lsdException w:name="List 2" w:uiPriority="0"/>
    <w:lsdException w:name="List 3" w:uiPriority="0" w:qFormat="1"/>
    <w:lsdException w:name="List 4" w:semiHidden="1" w:unhideWhenUsed="1"/>
    <w:lsdException w:name="List 5" w:semiHidden="1" w:unhideWhenUsed="1"/>
    <w:lsdException w:name="List Bullet 2" w:semiHidden="1" w:unhideWhenUsed="1"/>
    <w:lsdException w:name="List Bullet 3" w:uiPriority="0"/>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uiPriority="0"/>
    <w:lsdException w:name="Title" w:uiPriority="10" w:qFormat="1"/>
    <w:lsdException w:name="Closing" w:semiHidden="1" w:unhideWhenUsed="1"/>
    <w:lsdException w:name="Signature" w:semiHidden="1" w:unhideWhenUsed="1"/>
    <w:lsdException w:name="Default Paragraph Font" w:uiPriority="1" w:unhideWhenUsed="1"/>
    <w:lsdException w:name="Body Text" w:uiPriority="0"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qFormat="1"/>
    <w:lsdException w:name="Date" w:uiPriority="0" w:unhideWhenUsed="1"/>
    <w:lsdException w:name="Body Text First Indent" w:uiPriority="0"/>
    <w:lsdException w:name="Body Text First Indent 2" w:uiPriority="0" w:unhideWhenUsed="1" w:qFormat="1"/>
    <w:lsdException w:name="Note Heading" w:uiPriority="0"/>
    <w:lsdException w:name="Body Text 2" w:uiPriority="0" w:qFormat="1"/>
    <w:lsdException w:name="Body Text 3" w:uiPriority="0" w:qFormat="1"/>
    <w:lsdException w:name="Body Text Indent 2" w:uiPriority="0" w:qFormat="1"/>
    <w:lsdException w:name="Body Text Indent 3" w:uiPriority="0" w:qFormat="1"/>
    <w:lsdException w:name="Block Text" w:uiPriority="0"/>
    <w:lsdException w:name="Hyperlink" w:unhideWhenUsed="1" w:qFormat="1"/>
    <w:lsdException w:name="FollowedHyperlink" w:uiPriority="0" w:qFormat="1"/>
    <w:lsdException w:name="Strong" w:uiPriority="0" w:qFormat="1"/>
    <w:lsdException w:name="Emphasis" w:uiPriority="0" w:qFormat="1"/>
    <w:lsdException w:name="Document Map" w:uiPriority="0" w:unhideWhenUsed="1" w:qFormat="1"/>
    <w:lsdException w:name="Plain Text" w:uiPriority="0" w:unhideWhenUsed="1"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uiPriority="0"/>
    <w:lsdException w:name="HTML Code" w:semiHidden="1" w:unhideWhenUsed="1"/>
    <w:lsdException w:name="HTML Definition" w:semiHidden="1" w:unhideWhenUsed="1"/>
    <w:lsdException w:name="HTML Keyboard" w:semiHidden="1" w:unhideWhenUsed="1"/>
    <w:lsdException w:name="HTML Preformatted" w:uiPriority="0"/>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39" w:qFormat="1"/>
    <w:lsdException w:name="Table Theme" w:semiHidden="1" w:uiPriority="0" w:unhideWhenUsed="1" w:qFormat="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2"/>
    <w:uiPriority w:val="1"/>
    <w:qFormat/>
    <w:rsid w:val="00A76031"/>
    <w:rPr>
      <w:rFonts w:ascii="Calibri" w:hAnsi="Calibri"/>
      <w:sz w:val="22"/>
      <w:szCs w:val="22"/>
      <w:lang w:eastAsia="en-US"/>
    </w:rPr>
  </w:style>
  <w:style w:type="paragraph" w:styleId="1">
    <w:name w:val="heading 1"/>
    <w:aliases w:val="一级标题V"/>
    <w:basedOn w:val="a"/>
    <w:next w:val="a"/>
    <w:link w:val="10"/>
    <w:qFormat/>
    <w:pPr>
      <w:keepNext/>
      <w:keepLines/>
      <w:spacing w:before="340" w:after="330" w:line="578" w:lineRule="auto"/>
      <w:outlineLvl w:val="0"/>
    </w:pPr>
    <w:rPr>
      <w:b/>
      <w:bCs/>
      <w:kern w:val="44"/>
      <w:sz w:val="44"/>
      <w:szCs w:val="44"/>
    </w:rPr>
  </w:style>
  <w:style w:type="paragraph" w:styleId="2">
    <w:name w:val="heading 2"/>
    <w:aliases w:val="二级标题V"/>
    <w:basedOn w:val="a"/>
    <w:next w:val="a"/>
    <w:link w:val="20"/>
    <w:unhideWhenUsed/>
    <w:qFormat/>
    <w:pPr>
      <w:keepNext/>
      <w:keepLines/>
      <w:adjustRightInd w:val="0"/>
      <w:snapToGrid w:val="0"/>
      <w:spacing w:line="360" w:lineRule="auto"/>
      <w:ind w:firstLineChars="200" w:firstLine="560"/>
      <w:outlineLvl w:val="1"/>
    </w:pPr>
    <w:rPr>
      <w:rFonts w:ascii="Times New Roman" w:eastAsia="黑体" w:hAnsi="Times New Roman"/>
      <w:bCs/>
      <w:sz w:val="24"/>
      <w:szCs w:val="32"/>
    </w:rPr>
  </w:style>
  <w:style w:type="paragraph" w:styleId="3">
    <w:name w:val="heading 3"/>
    <w:aliases w:val="三级标题V"/>
    <w:basedOn w:val="a"/>
    <w:next w:val="a"/>
    <w:link w:val="30"/>
    <w:unhideWhenUsed/>
    <w:qFormat/>
    <w:pPr>
      <w:keepNext/>
      <w:keepLines/>
      <w:spacing w:before="260" w:after="260" w:line="416" w:lineRule="auto"/>
      <w:outlineLvl w:val="2"/>
    </w:pPr>
    <w:rPr>
      <w:b/>
      <w:bCs/>
      <w:sz w:val="32"/>
      <w:szCs w:val="32"/>
    </w:rPr>
  </w:style>
  <w:style w:type="paragraph" w:styleId="4">
    <w:name w:val="heading 4"/>
    <w:aliases w:val="四级标题V"/>
    <w:basedOn w:val="a"/>
    <w:next w:val="a"/>
    <w:link w:val="40"/>
    <w:qFormat/>
    <w:pPr>
      <w:keepNext/>
      <w:keepLines/>
      <w:widowControl w:val="0"/>
      <w:numPr>
        <w:ilvl w:val="3"/>
        <w:numId w:val="1"/>
      </w:numPr>
      <w:spacing w:before="60"/>
      <w:jc w:val="both"/>
      <w:outlineLvl w:val="3"/>
    </w:pPr>
    <w:rPr>
      <w:rFonts w:ascii="Times New Roman" w:hAnsi="Times New Roman"/>
      <w:b/>
      <w:bCs/>
      <w:kern w:val="2"/>
      <w:sz w:val="21"/>
      <w:szCs w:val="24"/>
      <w:lang w:eastAsia="zh-CN"/>
    </w:rPr>
  </w:style>
  <w:style w:type="paragraph" w:styleId="50">
    <w:name w:val="heading 5"/>
    <w:basedOn w:val="a"/>
    <w:next w:val="a"/>
    <w:link w:val="51"/>
    <w:unhideWhenUsed/>
    <w:qFormat/>
    <w:pPr>
      <w:keepNext/>
      <w:keepLines/>
      <w:spacing w:before="280" w:after="290" w:line="376" w:lineRule="auto"/>
      <w:outlineLvl w:val="4"/>
    </w:pPr>
    <w:rPr>
      <w:b/>
      <w:bCs/>
      <w:sz w:val="28"/>
      <w:szCs w:val="28"/>
    </w:rPr>
  </w:style>
  <w:style w:type="paragraph" w:styleId="6">
    <w:name w:val="heading 6"/>
    <w:basedOn w:val="a"/>
    <w:next w:val="a"/>
    <w:link w:val="60"/>
    <w:uiPriority w:val="9"/>
    <w:qFormat/>
    <w:pPr>
      <w:widowControl w:val="0"/>
      <w:ind w:left="740"/>
      <w:jc w:val="both"/>
      <w:outlineLvl w:val="5"/>
    </w:pPr>
    <w:rPr>
      <w:rFonts w:ascii="宋体" w:hAnsi="宋体" w:cs="宋体"/>
      <w:b/>
      <w:bCs/>
      <w:kern w:val="2"/>
      <w:sz w:val="24"/>
      <w:szCs w:val="24"/>
      <w:lang w:val="zh-CN" w:eastAsia="zh-CN" w:bidi="zh-CN"/>
    </w:rPr>
  </w:style>
  <w:style w:type="paragraph" w:styleId="7">
    <w:name w:val="heading 7"/>
    <w:basedOn w:val="a"/>
    <w:next w:val="a"/>
    <w:link w:val="70"/>
    <w:qFormat/>
    <w:pPr>
      <w:keepNext/>
      <w:keepLines/>
      <w:widowControl w:val="0"/>
      <w:spacing w:before="240" w:after="64" w:line="319" w:lineRule="auto"/>
      <w:jc w:val="both"/>
      <w:outlineLvl w:val="6"/>
    </w:pPr>
    <w:rPr>
      <w:rFonts w:ascii="Times New Roman" w:hAnsi="Times New Roman"/>
      <w:b/>
      <w:bCs/>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List 3"/>
    <w:basedOn w:val="a"/>
    <w:next w:val="a"/>
    <w:qFormat/>
    <w:pPr>
      <w:widowControl w:val="0"/>
      <w:autoSpaceDE w:val="0"/>
      <w:autoSpaceDN w:val="0"/>
      <w:adjustRightInd w:val="0"/>
      <w:spacing w:line="288" w:lineRule="auto"/>
      <w:ind w:left="1260" w:hanging="420"/>
      <w:jc w:val="both"/>
      <w:textAlignment w:val="baseline"/>
    </w:pPr>
    <w:rPr>
      <w:rFonts w:eastAsia="仿宋" w:cs="宋体"/>
      <w:kern w:val="2"/>
      <w:sz w:val="21"/>
      <w:szCs w:val="20"/>
      <w:lang w:eastAsia="zh-CN"/>
    </w:rPr>
  </w:style>
  <w:style w:type="paragraph" w:styleId="TOC7">
    <w:name w:val="toc 7"/>
    <w:basedOn w:val="a"/>
    <w:next w:val="a"/>
    <w:uiPriority w:val="39"/>
    <w:unhideWhenUsed/>
    <w:qFormat/>
    <w:pPr>
      <w:widowControl w:val="0"/>
      <w:ind w:leftChars="1200" w:left="2520"/>
      <w:jc w:val="both"/>
    </w:pPr>
    <w:rPr>
      <w:rFonts w:ascii="等线" w:eastAsia="等线" w:hAnsi="等线"/>
      <w:kern w:val="2"/>
      <w:sz w:val="21"/>
      <w:lang w:eastAsia="zh-CN"/>
    </w:rPr>
  </w:style>
  <w:style w:type="paragraph" w:styleId="a3">
    <w:name w:val="table of authorities"/>
    <w:basedOn w:val="a"/>
    <w:next w:val="a"/>
    <w:pPr>
      <w:widowControl w:val="0"/>
      <w:ind w:leftChars="200" w:left="420"/>
      <w:jc w:val="both"/>
    </w:pPr>
    <w:rPr>
      <w:rFonts w:ascii="Times New Roman" w:hAnsi="Times New Roman"/>
      <w:kern w:val="2"/>
      <w:sz w:val="21"/>
      <w:szCs w:val="24"/>
      <w:lang w:eastAsia="zh-CN"/>
    </w:rPr>
  </w:style>
  <w:style w:type="paragraph" w:styleId="a4">
    <w:name w:val="Note Heading"/>
    <w:basedOn w:val="a"/>
    <w:next w:val="a"/>
    <w:link w:val="a5"/>
    <w:pPr>
      <w:widowControl w:val="0"/>
      <w:adjustRightInd w:val="0"/>
      <w:snapToGrid w:val="0"/>
      <w:spacing w:line="360" w:lineRule="auto"/>
      <w:jc w:val="center"/>
    </w:pPr>
    <w:rPr>
      <w:rFonts w:ascii="Times New Roman" w:hAnsi="Times New Roman"/>
      <w:kern w:val="2"/>
      <w:sz w:val="30"/>
      <w:szCs w:val="20"/>
      <w:lang w:eastAsia="zh-CN"/>
    </w:rPr>
  </w:style>
  <w:style w:type="paragraph" w:styleId="a6">
    <w:name w:val="Normal Indent"/>
    <w:basedOn w:val="a"/>
    <w:link w:val="a7"/>
    <w:qFormat/>
    <w:pPr>
      <w:widowControl w:val="0"/>
      <w:ind w:firstLine="420"/>
      <w:jc w:val="both"/>
    </w:pPr>
    <w:rPr>
      <w:rFonts w:ascii="Times New Roman" w:hAnsi="Times New Roman"/>
      <w:kern w:val="2"/>
      <w:sz w:val="21"/>
      <w:szCs w:val="24"/>
      <w:lang w:eastAsia="zh-CN"/>
    </w:rPr>
  </w:style>
  <w:style w:type="paragraph" w:styleId="a8">
    <w:name w:val="caption"/>
    <w:basedOn w:val="a"/>
    <w:next w:val="a"/>
    <w:link w:val="a9"/>
    <w:qFormat/>
    <w:pPr>
      <w:widowControl w:val="0"/>
      <w:adjustRightInd w:val="0"/>
      <w:spacing w:line="360" w:lineRule="auto"/>
      <w:jc w:val="center"/>
    </w:pPr>
    <w:rPr>
      <w:kern w:val="2"/>
      <w:sz w:val="21"/>
      <w:szCs w:val="24"/>
      <w:lang w:eastAsia="zh-CN"/>
    </w:rPr>
  </w:style>
  <w:style w:type="paragraph" w:styleId="aa">
    <w:name w:val="Document Map"/>
    <w:basedOn w:val="a"/>
    <w:link w:val="ab"/>
    <w:unhideWhenUsed/>
    <w:qFormat/>
    <w:rPr>
      <w:rFonts w:ascii="宋体"/>
      <w:sz w:val="18"/>
      <w:szCs w:val="18"/>
    </w:rPr>
  </w:style>
  <w:style w:type="paragraph" w:styleId="ac">
    <w:name w:val="toa heading"/>
    <w:basedOn w:val="a"/>
    <w:next w:val="a"/>
    <w:qFormat/>
    <w:pPr>
      <w:widowControl w:val="0"/>
      <w:spacing w:before="120"/>
      <w:jc w:val="both"/>
    </w:pPr>
    <w:rPr>
      <w:rFonts w:ascii="Arial" w:hAnsi="Arial" w:cs="Arial"/>
      <w:kern w:val="2"/>
      <w:sz w:val="21"/>
      <w:szCs w:val="24"/>
      <w:lang w:eastAsia="zh-CN"/>
    </w:rPr>
  </w:style>
  <w:style w:type="paragraph" w:styleId="ad">
    <w:name w:val="annotation text"/>
    <w:basedOn w:val="a"/>
    <w:link w:val="ae"/>
    <w:unhideWhenUsed/>
    <w:qFormat/>
  </w:style>
  <w:style w:type="paragraph" w:styleId="32">
    <w:name w:val="Body Text 3"/>
    <w:basedOn w:val="a"/>
    <w:link w:val="33"/>
    <w:qFormat/>
    <w:pPr>
      <w:widowControl w:val="0"/>
      <w:spacing w:after="120"/>
      <w:jc w:val="both"/>
    </w:pPr>
    <w:rPr>
      <w:rFonts w:ascii="Times New Roman" w:hAnsi="Times New Roman"/>
      <w:kern w:val="2"/>
      <w:sz w:val="16"/>
      <w:szCs w:val="16"/>
      <w:lang w:eastAsia="zh-CN"/>
    </w:rPr>
  </w:style>
  <w:style w:type="paragraph" w:styleId="34">
    <w:name w:val="List Bullet 3"/>
    <w:basedOn w:val="a"/>
    <w:pPr>
      <w:widowControl w:val="0"/>
      <w:tabs>
        <w:tab w:val="left" w:pos="1280"/>
      </w:tabs>
      <w:ind w:left="1280" w:hanging="720"/>
      <w:jc w:val="both"/>
    </w:pPr>
    <w:rPr>
      <w:rFonts w:ascii="Times New Roman" w:hAnsi="Times New Roman"/>
      <w:kern w:val="2"/>
      <w:sz w:val="21"/>
      <w:szCs w:val="20"/>
      <w:lang w:eastAsia="zh-CN"/>
    </w:rPr>
  </w:style>
  <w:style w:type="paragraph" w:styleId="af">
    <w:name w:val="Body Text"/>
    <w:basedOn w:val="a"/>
    <w:link w:val="af0"/>
    <w:qFormat/>
    <w:pPr>
      <w:spacing w:before="35"/>
      <w:ind w:left="138"/>
    </w:pPr>
    <w:rPr>
      <w:rFonts w:ascii="宋体" w:hAnsi="宋体"/>
      <w:sz w:val="24"/>
      <w:szCs w:val="24"/>
    </w:rPr>
  </w:style>
  <w:style w:type="paragraph" w:styleId="af1">
    <w:name w:val="Body Text Indent"/>
    <w:basedOn w:val="a"/>
    <w:link w:val="af2"/>
    <w:unhideWhenUsed/>
    <w:qFormat/>
    <w:pPr>
      <w:spacing w:after="120"/>
      <w:ind w:leftChars="200" w:left="420"/>
    </w:pPr>
  </w:style>
  <w:style w:type="paragraph" w:styleId="21">
    <w:name w:val="List 2"/>
    <w:basedOn w:val="a"/>
    <w:pPr>
      <w:widowControl w:val="0"/>
      <w:ind w:left="840" w:hanging="420"/>
      <w:jc w:val="both"/>
    </w:pPr>
    <w:rPr>
      <w:rFonts w:ascii="Times New Roman" w:hAnsi="Times New Roman"/>
      <w:kern w:val="2"/>
      <w:sz w:val="26"/>
      <w:szCs w:val="20"/>
      <w:lang w:eastAsia="zh-CN"/>
    </w:rPr>
  </w:style>
  <w:style w:type="paragraph" w:styleId="af3">
    <w:name w:val="Block Text"/>
    <w:basedOn w:val="a"/>
    <w:pPr>
      <w:widowControl w:val="0"/>
      <w:ind w:leftChars="342" w:left="718" w:rightChars="324" w:right="680"/>
      <w:jc w:val="both"/>
    </w:pPr>
    <w:rPr>
      <w:rFonts w:ascii="宋体" w:hAnsi="宋体"/>
      <w:kern w:val="2"/>
      <w:sz w:val="21"/>
      <w:szCs w:val="24"/>
      <w:lang w:eastAsia="zh-CN"/>
    </w:rPr>
  </w:style>
  <w:style w:type="paragraph" w:styleId="TOC5">
    <w:name w:val="toc 5"/>
    <w:basedOn w:val="a"/>
    <w:next w:val="a"/>
    <w:uiPriority w:val="39"/>
    <w:unhideWhenUsed/>
    <w:qFormat/>
    <w:pPr>
      <w:widowControl w:val="0"/>
      <w:ind w:leftChars="800" w:left="1680"/>
      <w:jc w:val="both"/>
    </w:pPr>
    <w:rPr>
      <w:rFonts w:ascii="等线" w:eastAsia="等线" w:hAnsi="等线"/>
      <w:kern w:val="2"/>
      <w:sz w:val="21"/>
      <w:lang w:eastAsia="zh-CN"/>
    </w:rPr>
  </w:style>
  <w:style w:type="paragraph" w:styleId="TOC3">
    <w:name w:val="toc 3"/>
    <w:basedOn w:val="a"/>
    <w:next w:val="a"/>
    <w:uiPriority w:val="39"/>
    <w:unhideWhenUsed/>
    <w:qFormat/>
    <w:pPr>
      <w:ind w:leftChars="400" w:left="840"/>
    </w:pPr>
  </w:style>
  <w:style w:type="paragraph" w:styleId="af4">
    <w:name w:val="Plain Text"/>
    <w:basedOn w:val="a"/>
    <w:next w:val="a"/>
    <w:link w:val="af5"/>
    <w:unhideWhenUsed/>
    <w:qFormat/>
    <w:pPr>
      <w:widowControl w:val="0"/>
      <w:jc w:val="both"/>
    </w:pPr>
    <w:rPr>
      <w:rFonts w:ascii="宋体" w:hAnsi="Courier New"/>
      <w:kern w:val="2"/>
      <w:sz w:val="24"/>
      <w:szCs w:val="20"/>
      <w:lang w:eastAsia="zh-CN"/>
    </w:rPr>
  </w:style>
  <w:style w:type="paragraph" w:styleId="TOC8">
    <w:name w:val="toc 8"/>
    <w:basedOn w:val="a"/>
    <w:next w:val="a"/>
    <w:uiPriority w:val="39"/>
    <w:unhideWhenUsed/>
    <w:qFormat/>
    <w:pPr>
      <w:widowControl w:val="0"/>
      <w:ind w:leftChars="1400" w:left="2940"/>
      <w:jc w:val="both"/>
    </w:pPr>
    <w:rPr>
      <w:rFonts w:ascii="等线" w:eastAsia="等线" w:hAnsi="等线"/>
      <w:kern w:val="2"/>
      <w:sz w:val="21"/>
      <w:lang w:eastAsia="zh-CN"/>
    </w:rPr>
  </w:style>
  <w:style w:type="paragraph" w:styleId="af6">
    <w:name w:val="Date"/>
    <w:basedOn w:val="a"/>
    <w:next w:val="a"/>
    <w:link w:val="af7"/>
    <w:unhideWhenUsed/>
    <w:pPr>
      <w:widowControl w:val="0"/>
      <w:topLinePunct/>
      <w:adjustRightInd w:val="0"/>
      <w:spacing w:line="360" w:lineRule="auto"/>
      <w:ind w:leftChars="2500" w:left="100" w:firstLineChars="200" w:firstLine="200"/>
      <w:jc w:val="both"/>
    </w:pPr>
    <w:rPr>
      <w:rFonts w:ascii="宋体" w:eastAsiaTheme="minorEastAsia" w:hAnsi="Times New Roman" w:cs="宋体"/>
      <w:sz w:val="24"/>
      <w:szCs w:val="24"/>
      <w:lang w:eastAsia="zh-CN"/>
    </w:rPr>
  </w:style>
  <w:style w:type="paragraph" w:styleId="22">
    <w:name w:val="Body Text Indent 2"/>
    <w:basedOn w:val="a"/>
    <w:link w:val="23"/>
    <w:qFormat/>
    <w:pPr>
      <w:widowControl w:val="0"/>
      <w:spacing w:line="300" w:lineRule="auto"/>
      <w:ind w:firstLine="480"/>
      <w:jc w:val="both"/>
    </w:pPr>
    <w:rPr>
      <w:rFonts w:ascii="仿宋体" w:eastAsia="仿宋体" w:hAnsi="Times New Roman"/>
      <w:b/>
      <w:bCs/>
      <w:kern w:val="2"/>
      <w:sz w:val="24"/>
      <w:szCs w:val="24"/>
      <w:lang w:eastAsia="zh-CN"/>
    </w:rPr>
  </w:style>
  <w:style w:type="paragraph" w:styleId="af8">
    <w:name w:val="Balloon Text"/>
    <w:basedOn w:val="a"/>
    <w:link w:val="af9"/>
    <w:unhideWhenUsed/>
    <w:qFormat/>
    <w:rPr>
      <w:sz w:val="18"/>
      <w:szCs w:val="18"/>
    </w:rPr>
  </w:style>
  <w:style w:type="paragraph" w:styleId="afa">
    <w:name w:val="footer"/>
    <w:basedOn w:val="a"/>
    <w:link w:val="afb"/>
    <w:unhideWhenUsed/>
    <w:qFormat/>
    <w:pPr>
      <w:tabs>
        <w:tab w:val="center" w:pos="4153"/>
        <w:tab w:val="right" w:pos="8306"/>
      </w:tabs>
      <w:snapToGrid w:val="0"/>
    </w:pPr>
    <w:rPr>
      <w:sz w:val="18"/>
      <w:szCs w:val="18"/>
    </w:rPr>
  </w:style>
  <w:style w:type="paragraph" w:styleId="afc">
    <w:name w:val="header"/>
    <w:basedOn w:val="a"/>
    <w:link w:val="afd"/>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4">
    <w:name w:val="toc 4"/>
    <w:basedOn w:val="a"/>
    <w:next w:val="a"/>
    <w:uiPriority w:val="39"/>
    <w:unhideWhenUsed/>
    <w:qFormat/>
    <w:pPr>
      <w:widowControl w:val="0"/>
      <w:ind w:leftChars="600" w:left="1260"/>
      <w:jc w:val="both"/>
    </w:pPr>
    <w:rPr>
      <w:rFonts w:ascii="等线" w:eastAsia="等线" w:hAnsi="等线"/>
      <w:kern w:val="2"/>
      <w:sz w:val="21"/>
      <w:lang w:eastAsia="zh-CN"/>
    </w:rPr>
  </w:style>
  <w:style w:type="paragraph" w:styleId="5">
    <w:name w:val="List Number 5"/>
    <w:basedOn w:val="a"/>
    <w:pPr>
      <w:widowControl w:val="0"/>
      <w:numPr>
        <w:numId w:val="1"/>
      </w:numPr>
      <w:tabs>
        <w:tab w:val="left" w:pos="2040"/>
      </w:tabs>
      <w:jc w:val="both"/>
    </w:pPr>
    <w:rPr>
      <w:rFonts w:ascii="Times New Roman" w:hAnsi="Times New Roman"/>
      <w:kern w:val="2"/>
      <w:sz w:val="21"/>
      <w:szCs w:val="24"/>
      <w:lang w:eastAsia="zh-CN"/>
    </w:rPr>
  </w:style>
  <w:style w:type="paragraph" w:styleId="afe">
    <w:name w:val="List"/>
    <w:basedOn w:val="a"/>
    <w:qFormat/>
    <w:pPr>
      <w:widowControl w:val="0"/>
      <w:ind w:left="200" w:hangingChars="200" w:hanging="200"/>
      <w:jc w:val="both"/>
    </w:pPr>
    <w:rPr>
      <w:rFonts w:ascii="Times New Roman" w:hAnsi="Times New Roman"/>
      <w:kern w:val="2"/>
      <w:sz w:val="21"/>
      <w:szCs w:val="24"/>
      <w:lang w:eastAsia="zh-CN"/>
    </w:rPr>
  </w:style>
  <w:style w:type="paragraph" w:styleId="aff">
    <w:name w:val="footnote text"/>
    <w:basedOn w:val="a"/>
    <w:link w:val="aff0"/>
    <w:semiHidden/>
    <w:qFormat/>
    <w:pPr>
      <w:widowControl w:val="0"/>
      <w:snapToGrid w:val="0"/>
    </w:pPr>
    <w:rPr>
      <w:rFonts w:ascii="Times New Roman" w:hAnsi="Times New Roman"/>
      <w:kern w:val="2"/>
      <w:sz w:val="18"/>
      <w:szCs w:val="18"/>
      <w:lang w:eastAsia="zh-CN"/>
    </w:rPr>
  </w:style>
  <w:style w:type="paragraph" w:styleId="TOC6">
    <w:name w:val="toc 6"/>
    <w:basedOn w:val="a"/>
    <w:next w:val="a"/>
    <w:uiPriority w:val="39"/>
    <w:unhideWhenUsed/>
    <w:qFormat/>
    <w:pPr>
      <w:widowControl w:val="0"/>
      <w:ind w:leftChars="1000" w:left="2100"/>
      <w:jc w:val="both"/>
    </w:pPr>
    <w:rPr>
      <w:rFonts w:ascii="等线" w:eastAsia="等线" w:hAnsi="等线"/>
      <w:kern w:val="2"/>
      <w:sz w:val="21"/>
      <w:lang w:eastAsia="zh-CN"/>
    </w:rPr>
  </w:style>
  <w:style w:type="paragraph" w:styleId="35">
    <w:name w:val="Body Text Indent 3"/>
    <w:basedOn w:val="a"/>
    <w:link w:val="36"/>
    <w:qFormat/>
    <w:pPr>
      <w:widowControl w:val="0"/>
      <w:spacing w:after="120"/>
      <w:ind w:leftChars="200" w:left="420"/>
      <w:jc w:val="both"/>
    </w:pPr>
    <w:rPr>
      <w:rFonts w:ascii="Times New Roman" w:hAnsi="Times New Roman"/>
      <w:kern w:val="2"/>
      <w:sz w:val="16"/>
      <w:szCs w:val="16"/>
      <w:lang w:eastAsia="zh-CN"/>
    </w:rPr>
  </w:style>
  <w:style w:type="paragraph" w:styleId="aff1">
    <w:name w:val="table of figures"/>
    <w:basedOn w:val="a"/>
    <w:next w:val="a"/>
    <w:semiHidden/>
    <w:pPr>
      <w:widowControl w:val="0"/>
      <w:ind w:left="420" w:hanging="420"/>
    </w:pPr>
    <w:rPr>
      <w:rFonts w:ascii="Times New Roman" w:hAnsi="Times New Roman"/>
      <w:smallCaps/>
      <w:kern w:val="2"/>
      <w:sz w:val="20"/>
      <w:szCs w:val="20"/>
      <w:lang w:eastAsia="zh-CN"/>
    </w:rPr>
  </w:style>
  <w:style w:type="paragraph" w:styleId="TOC2">
    <w:name w:val="toc 2"/>
    <w:basedOn w:val="a"/>
    <w:next w:val="a"/>
    <w:uiPriority w:val="39"/>
    <w:unhideWhenUsed/>
    <w:qFormat/>
    <w:pPr>
      <w:ind w:leftChars="200" w:left="420"/>
    </w:pPr>
  </w:style>
  <w:style w:type="paragraph" w:styleId="TOC9">
    <w:name w:val="toc 9"/>
    <w:basedOn w:val="a"/>
    <w:next w:val="a"/>
    <w:uiPriority w:val="39"/>
    <w:unhideWhenUsed/>
    <w:qFormat/>
    <w:pPr>
      <w:widowControl w:val="0"/>
      <w:ind w:leftChars="1600" w:left="3360"/>
      <w:jc w:val="both"/>
    </w:pPr>
    <w:rPr>
      <w:rFonts w:ascii="等线" w:eastAsia="等线" w:hAnsi="等线"/>
      <w:kern w:val="2"/>
      <w:sz w:val="21"/>
      <w:lang w:eastAsia="zh-CN"/>
    </w:rPr>
  </w:style>
  <w:style w:type="paragraph" w:styleId="24">
    <w:name w:val="Body Text 2"/>
    <w:basedOn w:val="a"/>
    <w:link w:val="210"/>
    <w:qFormat/>
    <w:pPr>
      <w:widowControl w:val="0"/>
      <w:spacing w:after="120" w:line="480" w:lineRule="auto"/>
      <w:jc w:val="both"/>
    </w:pPr>
    <w:rPr>
      <w:rFonts w:ascii="Times New Roman" w:hAnsi="Times New Roman"/>
      <w:kern w:val="2"/>
      <w:sz w:val="21"/>
      <w:szCs w:val="24"/>
      <w:lang w:eastAsia="zh-CN"/>
    </w:rPr>
  </w:style>
  <w:style w:type="paragraph" w:styleId="HTML">
    <w:name w:val="HTML Preformatted"/>
    <w:basedOn w:val="a"/>
    <w:link w:val="HTM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sz w:val="24"/>
      <w:szCs w:val="24"/>
      <w:lang w:eastAsia="zh-CN"/>
    </w:rPr>
  </w:style>
  <w:style w:type="paragraph" w:styleId="aff2">
    <w:name w:val="Normal (Web)"/>
    <w:basedOn w:val="a"/>
    <w:link w:val="aff3"/>
    <w:uiPriority w:val="99"/>
    <w:qFormat/>
    <w:pPr>
      <w:spacing w:before="100" w:beforeAutospacing="1" w:after="100" w:afterAutospacing="1"/>
    </w:pPr>
    <w:rPr>
      <w:rFonts w:ascii="宋体" w:hAnsi="宋体"/>
      <w:sz w:val="24"/>
      <w:szCs w:val="24"/>
      <w:lang w:eastAsia="zh-CN"/>
    </w:rPr>
  </w:style>
  <w:style w:type="paragraph" w:styleId="11">
    <w:name w:val="index 1"/>
    <w:basedOn w:val="a"/>
    <w:next w:val="a"/>
    <w:qFormat/>
    <w:pPr>
      <w:widowControl w:val="0"/>
      <w:jc w:val="center"/>
    </w:pPr>
    <w:rPr>
      <w:rFonts w:ascii="Times New Roman" w:hAnsi="Times New Roman"/>
      <w:kern w:val="2"/>
      <w:sz w:val="21"/>
      <w:szCs w:val="24"/>
      <w:lang w:eastAsia="zh-CN"/>
    </w:rPr>
  </w:style>
  <w:style w:type="paragraph" w:styleId="aff4">
    <w:name w:val="Title"/>
    <w:basedOn w:val="a"/>
    <w:link w:val="aff5"/>
    <w:uiPriority w:val="10"/>
    <w:qFormat/>
    <w:pPr>
      <w:widowControl w:val="0"/>
      <w:adjustRightInd w:val="0"/>
      <w:spacing w:before="240" w:after="60" w:line="312" w:lineRule="atLeast"/>
      <w:jc w:val="center"/>
      <w:textAlignment w:val="baseline"/>
      <w:outlineLvl w:val="0"/>
    </w:pPr>
    <w:rPr>
      <w:rFonts w:ascii="Arial" w:hAnsi="Arial"/>
      <w:b/>
      <w:sz w:val="32"/>
      <w:szCs w:val="20"/>
      <w:lang w:eastAsia="zh-CN"/>
    </w:rPr>
  </w:style>
  <w:style w:type="paragraph" w:styleId="aff6">
    <w:name w:val="annotation subject"/>
    <w:basedOn w:val="ad"/>
    <w:next w:val="ad"/>
    <w:link w:val="aff7"/>
    <w:unhideWhenUsed/>
    <w:qFormat/>
    <w:rPr>
      <w:b/>
      <w:bCs/>
    </w:rPr>
  </w:style>
  <w:style w:type="paragraph" w:styleId="aff8">
    <w:name w:val="Body Text First Indent"/>
    <w:basedOn w:val="af"/>
    <w:link w:val="aff9"/>
    <w:pPr>
      <w:widowControl w:val="0"/>
      <w:spacing w:before="0" w:after="120"/>
      <w:ind w:left="0" w:firstLineChars="100" w:firstLine="420"/>
      <w:jc w:val="both"/>
    </w:pPr>
    <w:rPr>
      <w:rFonts w:ascii="Times New Roman" w:hAnsi="Times New Roman"/>
      <w:kern w:val="2"/>
      <w:sz w:val="21"/>
      <w:lang w:eastAsia="zh-CN"/>
    </w:rPr>
  </w:style>
  <w:style w:type="paragraph" w:styleId="25">
    <w:name w:val="Body Text First Indent 2"/>
    <w:basedOn w:val="af1"/>
    <w:link w:val="26"/>
    <w:unhideWhenUsed/>
    <w:qFormat/>
    <w:pPr>
      <w:ind w:firstLineChars="200" w:firstLine="420"/>
    </w:pPr>
  </w:style>
  <w:style w:type="table" w:styleId="affa">
    <w:name w:val="Table Grid"/>
    <w:aliases w:val="网格型-中对齐,网格型!,网格型-无边竖线,网格型（pxg）,网格型c,黄桥表,正文+宋体,三线,三线表,11,灰度表格,网格型模版,网格型刘,(环评报告表）,林表格,图标                                            0,网格型ZHJICIA"/>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b">
    <w:name w:val="Table Theme"/>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7">
    <w:name w:val="Table List 3"/>
    <w:basedOn w:val="a1"/>
    <w:uiPriority w:val="99"/>
    <w:semiHidden/>
    <w:unhideWhenUse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52">
    <w:name w:val="Table Grid 5"/>
    <w:basedOn w:val="a1"/>
    <w:pPr>
      <w:widowControl w:val="0"/>
      <w:adjustRightInd w:val="0"/>
      <w:snapToGrid w:val="0"/>
      <w:spacing w:line="460" w:lineRule="exact"/>
      <w:ind w:firstLineChars="200" w:firstLine="52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character" w:styleId="affc">
    <w:name w:val="Strong"/>
    <w:basedOn w:val="a0"/>
    <w:qFormat/>
    <w:rPr>
      <w:b/>
    </w:rPr>
  </w:style>
  <w:style w:type="character" w:styleId="affd">
    <w:name w:val="page number"/>
    <w:basedOn w:val="a0"/>
    <w:qFormat/>
  </w:style>
  <w:style w:type="character" w:styleId="affe">
    <w:name w:val="FollowedHyperlink"/>
    <w:qFormat/>
    <w:rPr>
      <w:color w:val="800080"/>
      <w:u w:val="single"/>
    </w:rPr>
  </w:style>
  <w:style w:type="character" w:styleId="afff">
    <w:name w:val="Emphasis"/>
    <w:basedOn w:val="a0"/>
    <w:qFormat/>
    <w:rPr>
      <w:i/>
    </w:rPr>
  </w:style>
  <w:style w:type="character" w:styleId="afff0">
    <w:name w:val="Hyperlink"/>
    <w:uiPriority w:val="99"/>
    <w:unhideWhenUsed/>
    <w:qFormat/>
    <w:rPr>
      <w:color w:val="0000FF"/>
      <w:u w:val="single"/>
    </w:rPr>
  </w:style>
  <w:style w:type="character" w:styleId="afff1">
    <w:name w:val="annotation reference"/>
    <w:unhideWhenUsed/>
    <w:qFormat/>
    <w:rPr>
      <w:sz w:val="21"/>
      <w:szCs w:val="21"/>
    </w:rPr>
  </w:style>
  <w:style w:type="character" w:styleId="HTML1">
    <w:name w:val="HTML Cite"/>
    <w:rPr>
      <w:color w:val="008000"/>
    </w:rPr>
  </w:style>
  <w:style w:type="character" w:customStyle="1" w:styleId="20">
    <w:name w:val="标题 2 字符"/>
    <w:aliases w:val="二级标题V 字符"/>
    <w:link w:val="2"/>
    <w:qFormat/>
    <w:rPr>
      <w:rFonts w:ascii="Times New Roman" w:eastAsia="黑体" w:hAnsi="Times New Roman" w:cs="Times New Roman"/>
      <w:bCs/>
      <w:sz w:val="24"/>
      <w:szCs w:val="32"/>
    </w:rPr>
  </w:style>
  <w:style w:type="character" w:customStyle="1" w:styleId="10">
    <w:name w:val="标题 1 字符"/>
    <w:aliases w:val="一级标题V 字符"/>
    <w:link w:val="1"/>
    <w:uiPriority w:val="9"/>
    <w:qFormat/>
    <w:rPr>
      <w:b/>
      <w:bCs/>
      <w:kern w:val="44"/>
      <w:sz w:val="44"/>
      <w:szCs w:val="44"/>
    </w:rPr>
  </w:style>
  <w:style w:type="character" w:customStyle="1" w:styleId="30">
    <w:name w:val="标题 3 字符"/>
    <w:aliases w:val="三级标题V 字符"/>
    <w:link w:val="3"/>
    <w:qFormat/>
    <w:rPr>
      <w:b/>
      <w:bCs/>
      <w:sz w:val="32"/>
      <w:szCs w:val="32"/>
    </w:rPr>
  </w:style>
  <w:style w:type="character" w:customStyle="1" w:styleId="40">
    <w:name w:val="标题 4 字符"/>
    <w:aliases w:val="四级标题V 字符"/>
    <w:basedOn w:val="a0"/>
    <w:link w:val="4"/>
    <w:qFormat/>
    <w:rPr>
      <w:rFonts w:ascii="Times New Roman" w:hAnsi="Times New Roman"/>
      <w:b/>
      <w:bCs/>
      <w:kern w:val="2"/>
      <w:sz w:val="21"/>
      <w:szCs w:val="24"/>
    </w:rPr>
  </w:style>
  <w:style w:type="character" w:customStyle="1" w:styleId="51">
    <w:name w:val="标题 5 字符"/>
    <w:basedOn w:val="a0"/>
    <w:link w:val="50"/>
    <w:uiPriority w:val="9"/>
    <w:qFormat/>
    <w:rPr>
      <w:b/>
      <w:bCs/>
      <w:sz w:val="28"/>
      <w:szCs w:val="28"/>
      <w:lang w:eastAsia="en-US"/>
    </w:rPr>
  </w:style>
  <w:style w:type="character" w:customStyle="1" w:styleId="60">
    <w:name w:val="标题 6 字符"/>
    <w:basedOn w:val="a0"/>
    <w:link w:val="6"/>
    <w:uiPriority w:val="9"/>
    <w:qFormat/>
    <w:rPr>
      <w:rFonts w:ascii="宋体" w:hAnsi="宋体" w:cs="宋体"/>
      <w:b/>
      <w:bCs/>
      <w:kern w:val="2"/>
      <w:sz w:val="24"/>
      <w:szCs w:val="24"/>
      <w:lang w:val="zh-CN" w:bidi="zh-CN"/>
    </w:rPr>
  </w:style>
  <w:style w:type="character" w:customStyle="1" w:styleId="a7">
    <w:name w:val="正文缩进 字符"/>
    <w:link w:val="a6"/>
    <w:qFormat/>
    <w:rPr>
      <w:rFonts w:ascii="Times New Roman" w:hAnsi="Times New Roman"/>
      <w:kern w:val="2"/>
      <w:sz w:val="21"/>
      <w:szCs w:val="24"/>
    </w:rPr>
  </w:style>
  <w:style w:type="character" w:customStyle="1" w:styleId="a9">
    <w:name w:val="题注 字符"/>
    <w:link w:val="a8"/>
    <w:qFormat/>
    <w:rPr>
      <w:kern w:val="2"/>
      <w:sz w:val="21"/>
      <w:szCs w:val="24"/>
    </w:rPr>
  </w:style>
  <w:style w:type="character" w:customStyle="1" w:styleId="ab">
    <w:name w:val="文档结构图 字符"/>
    <w:link w:val="aa"/>
    <w:qFormat/>
    <w:rPr>
      <w:rFonts w:ascii="宋体" w:eastAsia="宋体"/>
      <w:sz w:val="18"/>
      <w:szCs w:val="18"/>
    </w:rPr>
  </w:style>
  <w:style w:type="character" w:customStyle="1" w:styleId="ae">
    <w:name w:val="批注文字 字符"/>
    <w:basedOn w:val="a0"/>
    <w:link w:val="ad"/>
    <w:qFormat/>
  </w:style>
  <w:style w:type="character" w:customStyle="1" w:styleId="33">
    <w:name w:val="正文文本 3 字符"/>
    <w:basedOn w:val="a0"/>
    <w:link w:val="32"/>
    <w:qFormat/>
    <w:rPr>
      <w:rFonts w:ascii="Times New Roman" w:hAnsi="Times New Roman"/>
      <w:kern w:val="2"/>
      <w:sz w:val="16"/>
      <w:szCs w:val="16"/>
    </w:rPr>
  </w:style>
  <w:style w:type="character" w:customStyle="1" w:styleId="af0">
    <w:name w:val="正文文本 字符"/>
    <w:link w:val="af"/>
    <w:qFormat/>
    <w:rPr>
      <w:rFonts w:ascii="宋体" w:hAnsi="宋体"/>
      <w:sz w:val="24"/>
      <w:szCs w:val="24"/>
      <w:lang w:eastAsia="en-US"/>
    </w:rPr>
  </w:style>
  <w:style w:type="character" w:customStyle="1" w:styleId="af2">
    <w:name w:val="正文文本缩进 字符"/>
    <w:basedOn w:val="a0"/>
    <w:link w:val="af1"/>
    <w:qFormat/>
  </w:style>
  <w:style w:type="character" w:customStyle="1" w:styleId="af5">
    <w:name w:val="纯文本 字符"/>
    <w:basedOn w:val="a0"/>
    <w:link w:val="af4"/>
    <w:qFormat/>
    <w:rPr>
      <w:rFonts w:ascii="宋体" w:hAnsi="Courier New"/>
      <w:kern w:val="2"/>
      <w:sz w:val="24"/>
    </w:rPr>
  </w:style>
  <w:style w:type="character" w:customStyle="1" w:styleId="23">
    <w:name w:val="正文文本缩进 2 字符"/>
    <w:basedOn w:val="a0"/>
    <w:link w:val="22"/>
    <w:qFormat/>
    <w:rPr>
      <w:rFonts w:ascii="仿宋体" w:eastAsia="仿宋体" w:hAnsi="Times New Roman"/>
      <w:b/>
      <w:bCs/>
      <w:kern w:val="2"/>
      <w:sz w:val="24"/>
      <w:szCs w:val="24"/>
    </w:rPr>
  </w:style>
  <w:style w:type="character" w:customStyle="1" w:styleId="af9">
    <w:name w:val="批注框文本 字符"/>
    <w:link w:val="af8"/>
    <w:uiPriority w:val="99"/>
    <w:semiHidden/>
    <w:qFormat/>
    <w:rPr>
      <w:sz w:val="18"/>
      <w:szCs w:val="18"/>
    </w:rPr>
  </w:style>
  <w:style w:type="character" w:customStyle="1" w:styleId="afb">
    <w:name w:val="页脚 字符"/>
    <w:link w:val="afa"/>
    <w:uiPriority w:val="99"/>
    <w:qFormat/>
    <w:rPr>
      <w:sz w:val="18"/>
      <w:szCs w:val="18"/>
    </w:rPr>
  </w:style>
  <w:style w:type="character" w:customStyle="1" w:styleId="afd">
    <w:name w:val="页眉 字符"/>
    <w:link w:val="afc"/>
    <w:uiPriority w:val="99"/>
    <w:qFormat/>
    <w:rPr>
      <w:sz w:val="18"/>
      <w:szCs w:val="18"/>
    </w:rPr>
  </w:style>
  <w:style w:type="character" w:customStyle="1" w:styleId="aff0">
    <w:name w:val="脚注文本 字符"/>
    <w:basedOn w:val="a0"/>
    <w:link w:val="aff"/>
    <w:semiHidden/>
    <w:qFormat/>
    <w:rPr>
      <w:rFonts w:ascii="Times New Roman" w:hAnsi="Times New Roman"/>
      <w:kern w:val="2"/>
      <w:sz w:val="18"/>
      <w:szCs w:val="18"/>
    </w:rPr>
  </w:style>
  <w:style w:type="character" w:customStyle="1" w:styleId="36">
    <w:name w:val="正文文本缩进 3 字符"/>
    <w:basedOn w:val="a0"/>
    <w:link w:val="35"/>
    <w:qFormat/>
    <w:rPr>
      <w:rFonts w:ascii="Times New Roman" w:hAnsi="Times New Roman"/>
      <w:kern w:val="2"/>
      <w:sz w:val="16"/>
      <w:szCs w:val="16"/>
    </w:rPr>
  </w:style>
  <w:style w:type="character" w:customStyle="1" w:styleId="210">
    <w:name w:val="正文文本 2 字符1"/>
    <w:link w:val="24"/>
    <w:qFormat/>
    <w:rPr>
      <w:rFonts w:ascii="Times New Roman" w:hAnsi="Times New Roman"/>
      <w:kern w:val="2"/>
      <w:sz w:val="21"/>
      <w:szCs w:val="24"/>
    </w:rPr>
  </w:style>
  <w:style w:type="character" w:customStyle="1" w:styleId="aff3">
    <w:name w:val="普通(网站) 字符"/>
    <w:link w:val="aff2"/>
    <w:qFormat/>
    <w:rPr>
      <w:rFonts w:ascii="宋体" w:hAnsi="宋体"/>
      <w:sz w:val="24"/>
      <w:szCs w:val="24"/>
    </w:rPr>
  </w:style>
  <w:style w:type="character" w:customStyle="1" w:styleId="aff7">
    <w:name w:val="批注主题 字符"/>
    <w:link w:val="aff6"/>
    <w:uiPriority w:val="99"/>
    <w:semiHidden/>
    <w:qFormat/>
    <w:rPr>
      <w:b/>
      <w:bCs/>
    </w:rPr>
  </w:style>
  <w:style w:type="character" w:customStyle="1" w:styleId="26">
    <w:name w:val="正文文本首行缩进 2 字符"/>
    <w:basedOn w:val="af2"/>
    <w:link w:val="25"/>
    <w:qFormat/>
    <w:rPr>
      <w:sz w:val="22"/>
      <w:szCs w:val="22"/>
      <w:lang w:eastAsia="en-US"/>
    </w:rPr>
  </w:style>
  <w:style w:type="table" w:customStyle="1" w:styleId="TableNormal">
    <w:name w:val="Table Normal"/>
    <w:unhideWhenUsed/>
    <w:qFormat/>
    <w:rPr>
      <w:sz w:val="22"/>
      <w:szCs w:val="22"/>
      <w:lang w:eastAsia="en-US"/>
    </w:rPr>
    <w:tblPr>
      <w:tblCellMar>
        <w:top w:w="0" w:type="dxa"/>
        <w:left w:w="0" w:type="dxa"/>
        <w:bottom w:w="0" w:type="dxa"/>
        <w:right w:w="0" w:type="dxa"/>
      </w:tblCellMar>
    </w:tblPr>
  </w:style>
  <w:style w:type="paragraph" w:customStyle="1" w:styleId="TOC11">
    <w:name w:val="TOC 11"/>
    <w:basedOn w:val="a"/>
    <w:uiPriority w:val="39"/>
    <w:qFormat/>
    <w:pPr>
      <w:spacing w:before="102"/>
    </w:pPr>
    <w:rPr>
      <w:rFonts w:ascii="宋体" w:hAnsi="宋体"/>
      <w:b/>
      <w:bCs/>
      <w:sz w:val="20"/>
      <w:szCs w:val="20"/>
    </w:rPr>
  </w:style>
  <w:style w:type="paragraph" w:customStyle="1" w:styleId="TOC21">
    <w:name w:val="TOC 21"/>
    <w:basedOn w:val="a"/>
    <w:uiPriority w:val="39"/>
    <w:qFormat/>
    <w:pPr>
      <w:ind w:left="387"/>
    </w:pPr>
    <w:rPr>
      <w:rFonts w:ascii="宋体" w:hAnsi="宋体"/>
      <w:sz w:val="20"/>
      <w:szCs w:val="20"/>
    </w:rPr>
  </w:style>
  <w:style w:type="paragraph" w:customStyle="1" w:styleId="110">
    <w:name w:val="标题 11"/>
    <w:basedOn w:val="a"/>
    <w:uiPriority w:val="1"/>
    <w:qFormat/>
    <w:pPr>
      <w:outlineLvl w:val="1"/>
    </w:pPr>
    <w:rPr>
      <w:rFonts w:ascii="Times New Roman" w:eastAsia="Times New Roman" w:hAnsi="Times New Roman"/>
      <w:sz w:val="29"/>
      <w:szCs w:val="29"/>
    </w:rPr>
  </w:style>
  <w:style w:type="paragraph" w:customStyle="1" w:styleId="211">
    <w:name w:val="标题 21"/>
    <w:basedOn w:val="a"/>
    <w:uiPriority w:val="1"/>
    <w:qFormat/>
    <w:pPr>
      <w:spacing w:before="13"/>
      <w:ind w:left="138"/>
      <w:outlineLvl w:val="2"/>
    </w:pPr>
    <w:rPr>
      <w:rFonts w:ascii="黑体" w:eastAsia="黑体" w:hAnsi="黑体"/>
      <w:sz w:val="28"/>
      <w:szCs w:val="28"/>
    </w:rPr>
  </w:style>
  <w:style w:type="paragraph" w:customStyle="1" w:styleId="310">
    <w:name w:val="标题 31"/>
    <w:basedOn w:val="a"/>
    <w:uiPriority w:val="1"/>
    <w:qFormat/>
    <w:pPr>
      <w:spacing w:before="134"/>
      <w:ind w:left="620"/>
      <w:outlineLvl w:val="3"/>
    </w:pPr>
    <w:rPr>
      <w:rFonts w:ascii="宋体" w:hAnsi="宋体"/>
      <w:b/>
      <w:bCs/>
      <w:sz w:val="24"/>
      <w:szCs w:val="24"/>
    </w:rPr>
  </w:style>
  <w:style w:type="paragraph" w:styleId="afff2">
    <w:name w:val="List Paragraph"/>
    <w:basedOn w:val="a"/>
    <w:uiPriority w:val="34"/>
    <w:qFormat/>
  </w:style>
  <w:style w:type="paragraph" w:customStyle="1" w:styleId="TableParagraph">
    <w:name w:val="Table Paragraph"/>
    <w:basedOn w:val="a"/>
    <w:uiPriority w:val="1"/>
    <w:qFormat/>
  </w:style>
  <w:style w:type="paragraph" w:customStyle="1" w:styleId="TOC31">
    <w:name w:val="TOC 31"/>
    <w:basedOn w:val="a"/>
    <w:uiPriority w:val="39"/>
    <w:qFormat/>
    <w:pPr>
      <w:spacing w:before="147"/>
      <w:ind w:left="638"/>
    </w:pPr>
    <w:rPr>
      <w:rFonts w:ascii="宋体" w:hAnsi="宋体"/>
      <w:b/>
      <w:bCs/>
      <w:sz w:val="24"/>
      <w:szCs w:val="24"/>
    </w:rPr>
  </w:style>
  <w:style w:type="table" w:customStyle="1" w:styleId="TableNormal1">
    <w:name w:val="Table Normal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
    <w:name w:val="Table Normal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3">
    <w:name w:val="Table Normal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4">
    <w:name w:val="Table Normal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5">
    <w:name w:val="Table Normal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6">
    <w:name w:val="Table Normal6"/>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TOC10">
    <w:name w:val="TOC 标题1"/>
    <w:basedOn w:val="1"/>
    <w:next w:val="a"/>
    <w:uiPriority w:val="39"/>
    <w:unhideWhenUsed/>
    <w:qFormat/>
    <w:pPr>
      <w:spacing w:before="480" w:after="0" w:line="276" w:lineRule="auto"/>
      <w:outlineLvl w:val="9"/>
    </w:pPr>
    <w:rPr>
      <w:rFonts w:ascii="Cambria" w:hAnsi="Cambria"/>
      <w:color w:val="365F91"/>
      <w:kern w:val="0"/>
      <w:sz w:val="28"/>
      <w:szCs w:val="28"/>
      <w:lang w:eastAsia="zh-CN"/>
    </w:rPr>
  </w:style>
  <w:style w:type="table" w:customStyle="1" w:styleId="TableNormal7">
    <w:name w:val="Table Normal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8">
    <w:name w:val="Table Normal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9">
    <w:name w:val="Table Normal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0">
    <w:name w:val="Table Normal1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1">
    <w:name w:val="Table Normal1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2">
    <w:name w:val="Table Normal1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3">
    <w:name w:val="Table Normal13"/>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4">
    <w:name w:val="Table Normal14"/>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5">
    <w:name w:val="Table Normal15"/>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6">
    <w:name w:val="Table Normal16"/>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7">
    <w:name w:val="Table Normal17"/>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8">
    <w:name w:val="Table Normal18"/>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19">
    <w:name w:val="Table Normal19"/>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0">
    <w:name w:val="Table Normal20"/>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1">
    <w:name w:val="Table Normal21"/>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2">
    <w:name w:val="Table Normal22"/>
    <w:uiPriority w:val="2"/>
    <w:semiHidden/>
    <w:unhideWhenUsed/>
    <w:qFormat/>
    <w:pPr>
      <w:widowControl w:val="0"/>
    </w:pPr>
    <w:rPr>
      <w:sz w:val="22"/>
      <w:szCs w:val="22"/>
      <w:lang w:eastAsia="en-US"/>
    </w:rPr>
    <w:tblPr>
      <w:tblCellMar>
        <w:top w:w="0" w:type="dxa"/>
        <w:left w:w="0" w:type="dxa"/>
        <w:bottom w:w="0" w:type="dxa"/>
        <w:right w:w="0" w:type="dxa"/>
      </w:tblCellMar>
    </w:tblPr>
  </w:style>
  <w:style w:type="table" w:customStyle="1" w:styleId="TableNormal23">
    <w:name w:val="Table Normal23"/>
    <w:uiPriority w:val="2"/>
    <w:semiHidden/>
    <w:unhideWhenUsed/>
    <w:qFormat/>
    <w:pPr>
      <w:widowControl w:val="0"/>
    </w:pPr>
    <w:rPr>
      <w:sz w:val="22"/>
      <w:szCs w:val="22"/>
      <w:lang w:eastAsia="en-US"/>
    </w:rPr>
    <w:tblPr>
      <w:tblCellMar>
        <w:top w:w="0" w:type="dxa"/>
        <w:left w:w="0" w:type="dxa"/>
        <w:bottom w:w="0" w:type="dxa"/>
        <w:right w:w="0" w:type="dxa"/>
      </w:tblCellMar>
    </w:tblPr>
  </w:style>
  <w:style w:type="paragraph" w:customStyle="1" w:styleId="0">
    <w:name w:val="0正文"/>
    <w:basedOn w:val="a"/>
    <w:link w:val="0Char"/>
    <w:qFormat/>
    <w:pPr>
      <w:widowControl w:val="0"/>
      <w:spacing w:line="360" w:lineRule="auto"/>
      <w:ind w:firstLineChars="200" w:firstLine="480"/>
      <w:jc w:val="both"/>
    </w:pPr>
    <w:rPr>
      <w:rFonts w:ascii="Times New Roman" w:hAnsi="Times New Roman"/>
      <w:kern w:val="2"/>
      <w:sz w:val="24"/>
      <w:szCs w:val="24"/>
      <w:lang w:eastAsia="zh-CN"/>
    </w:rPr>
  </w:style>
  <w:style w:type="character" w:customStyle="1" w:styleId="0Char">
    <w:name w:val="0正文 Char"/>
    <w:link w:val="0"/>
    <w:qFormat/>
    <w:rPr>
      <w:rFonts w:ascii="Times New Roman" w:hAnsi="Times New Roman"/>
      <w:kern w:val="2"/>
      <w:sz w:val="24"/>
      <w:szCs w:val="24"/>
    </w:rPr>
  </w:style>
  <w:style w:type="paragraph" w:customStyle="1" w:styleId="00">
    <w:name w:val="0表/图标题"/>
    <w:basedOn w:val="0"/>
    <w:link w:val="0Char0"/>
    <w:qFormat/>
    <w:pPr>
      <w:spacing w:line="240" w:lineRule="auto"/>
      <w:ind w:firstLineChars="0" w:firstLine="0"/>
      <w:jc w:val="center"/>
    </w:pPr>
    <w:rPr>
      <w:b/>
      <w:sz w:val="21"/>
    </w:rPr>
  </w:style>
  <w:style w:type="character" w:customStyle="1" w:styleId="0Char0">
    <w:name w:val="0表/图标题 Char"/>
    <w:link w:val="00"/>
    <w:qFormat/>
    <w:rPr>
      <w:rFonts w:ascii="Times New Roman" w:hAnsi="Times New Roman"/>
      <w:b/>
      <w:kern w:val="2"/>
      <w:sz w:val="21"/>
      <w:szCs w:val="24"/>
    </w:rPr>
  </w:style>
  <w:style w:type="paragraph" w:customStyle="1" w:styleId="01">
    <w:name w:val="0 表格"/>
    <w:basedOn w:val="0"/>
    <w:link w:val="0Char1"/>
    <w:qFormat/>
    <w:pPr>
      <w:spacing w:line="240" w:lineRule="auto"/>
      <w:ind w:firstLineChars="0" w:firstLine="0"/>
      <w:jc w:val="center"/>
    </w:pPr>
    <w:rPr>
      <w:sz w:val="21"/>
      <w:szCs w:val="21"/>
    </w:rPr>
  </w:style>
  <w:style w:type="character" w:customStyle="1" w:styleId="0Char1">
    <w:name w:val="0 表格 Char"/>
    <w:link w:val="01"/>
    <w:qFormat/>
    <w:rPr>
      <w:rFonts w:ascii="Times New Roman" w:hAnsi="Times New Roman"/>
      <w:kern w:val="2"/>
      <w:sz w:val="21"/>
      <w:szCs w:val="21"/>
    </w:rPr>
  </w:style>
  <w:style w:type="character" w:customStyle="1" w:styleId="12">
    <w:name w:val="未处理的提及1"/>
    <w:uiPriority w:val="99"/>
    <w:semiHidden/>
    <w:unhideWhenUsed/>
    <w:qFormat/>
    <w:rPr>
      <w:color w:val="605E5C"/>
      <w:shd w:val="clear" w:color="auto" w:fill="E1DFDD"/>
    </w:rPr>
  </w:style>
  <w:style w:type="paragraph" w:customStyle="1" w:styleId="41">
    <w:name w:val="4"/>
    <w:basedOn w:val="a"/>
    <w:qFormat/>
    <w:pPr>
      <w:widowControl w:val="0"/>
      <w:jc w:val="both"/>
    </w:pPr>
    <w:rPr>
      <w:rFonts w:ascii="Times New Roman" w:hAnsi="Times New Roman"/>
      <w:kern w:val="2"/>
      <w:sz w:val="21"/>
      <w:szCs w:val="20"/>
      <w:lang w:eastAsia="zh-CN"/>
    </w:rPr>
  </w:style>
  <w:style w:type="paragraph" w:customStyle="1" w:styleId="afff3">
    <w:name w:val="小表文居中"/>
    <w:basedOn w:val="a"/>
    <w:qFormat/>
    <w:pPr>
      <w:widowControl w:val="0"/>
      <w:spacing w:before="20"/>
      <w:jc w:val="center"/>
    </w:pPr>
    <w:rPr>
      <w:rFonts w:ascii="Times New Roman" w:hAnsi="Times New Roman"/>
      <w:kern w:val="2"/>
      <w:sz w:val="18"/>
      <w:szCs w:val="24"/>
      <w:lang w:eastAsia="zh-CN"/>
    </w:rPr>
  </w:style>
  <w:style w:type="character" w:customStyle="1" w:styleId="Char">
    <w:name w:val="报告书正文 Char"/>
    <w:basedOn w:val="a0"/>
    <w:link w:val="afff4"/>
    <w:qFormat/>
    <w:rPr>
      <w:kern w:val="2"/>
      <w:sz w:val="24"/>
    </w:rPr>
  </w:style>
  <w:style w:type="paragraph" w:customStyle="1" w:styleId="afff4">
    <w:name w:val="报告书正文"/>
    <w:basedOn w:val="a"/>
    <w:link w:val="Char"/>
    <w:qFormat/>
    <w:pPr>
      <w:widowControl w:val="0"/>
      <w:spacing w:line="300" w:lineRule="auto"/>
      <w:ind w:firstLineChars="200" w:firstLine="200"/>
      <w:jc w:val="both"/>
    </w:pPr>
    <w:rPr>
      <w:kern w:val="2"/>
      <w:sz w:val="24"/>
      <w:szCs w:val="20"/>
      <w:lang w:eastAsia="zh-CN"/>
    </w:rPr>
  </w:style>
  <w:style w:type="paragraph" w:customStyle="1" w:styleId="27">
    <w:name w:val="样式2"/>
    <w:basedOn w:val="a"/>
    <w:link w:val="2Char"/>
    <w:qFormat/>
    <w:pPr>
      <w:widowControl w:val="0"/>
      <w:tabs>
        <w:tab w:val="left" w:pos="1935"/>
      </w:tabs>
    </w:pPr>
    <w:rPr>
      <w:rFonts w:ascii="Times New Roman" w:hAnsi="Times New Roman"/>
      <w:color w:val="000000"/>
      <w:kern w:val="2"/>
      <w:sz w:val="28"/>
      <w:szCs w:val="28"/>
      <w:lang w:val="zh-CN" w:eastAsia="zh-CN"/>
    </w:rPr>
  </w:style>
  <w:style w:type="paragraph" w:customStyle="1" w:styleId="42">
    <w:name w:val="样式4"/>
    <w:basedOn w:val="27"/>
    <w:link w:val="4Char"/>
    <w:qFormat/>
    <w:pPr>
      <w:tabs>
        <w:tab w:val="left" w:pos="567"/>
      </w:tabs>
      <w:ind w:firstLineChars="200" w:firstLine="480"/>
      <w:jc w:val="both"/>
    </w:pPr>
    <w:rPr>
      <w:bCs/>
      <w:color w:val="auto"/>
      <w:sz w:val="24"/>
      <w:szCs w:val="24"/>
    </w:rPr>
  </w:style>
  <w:style w:type="paragraph" w:customStyle="1" w:styleId="Default">
    <w:name w:val="Default"/>
    <w:next w:val="220"/>
    <w:qFormat/>
    <w:pPr>
      <w:widowControl w:val="0"/>
      <w:autoSpaceDE w:val="0"/>
      <w:autoSpaceDN w:val="0"/>
      <w:adjustRightInd w:val="0"/>
    </w:pPr>
    <w:rPr>
      <w:rFonts w:ascii="仿宋_GB2312" w:eastAsia="仿宋_GB2312" w:cs="仿宋_GB2312"/>
      <w:color w:val="000000"/>
      <w:sz w:val="24"/>
      <w:szCs w:val="24"/>
    </w:rPr>
  </w:style>
  <w:style w:type="paragraph" w:customStyle="1" w:styleId="220">
    <w:name w:val="样式 样式 首行缩进:  2 字符 + 首行缩进:  2 字符"/>
    <w:basedOn w:val="a"/>
    <w:next w:val="TOC1"/>
    <w:qFormat/>
    <w:pPr>
      <w:widowControl w:val="0"/>
      <w:snapToGrid w:val="0"/>
      <w:spacing w:line="360" w:lineRule="auto"/>
      <w:ind w:firstLineChars="200" w:firstLine="560"/>
      <w:jc w:val="both"/>
    </w:pPr>
    <w:rPr>
      <w:rFonts w:ascii="Times New Roman" w:hAnsi="Times New Roman"/>
      <w:kern w:val="2"/>
      <w:sz w:val="28"/>
      <w:szCs w:val="24"/>
      <w:lang w:eastAsia="zh-CN"/>
    </w:rPr>
  </w:style>
  <w:style w:type="paragraph" w:customStyle="1" w:styleId="ma">
    <w:name w:val="表ma"/>
    <w:basedOn w:val="a"/>
    <w:qFormat/>
    <w:pPr>
      <w:jc w:val="both"/>
    </w:pPr>
    <w:rPr>
      <w:rFonts w:ascii="Times New Roman" w:hAnsi="Times New Roman"/>
      <w:sz w:val="24"/>
      <w:szCs w:val="20"/>
      <w:lang w:eastAsia="zh-CN"/>
    </w:rPr>
  </w:style>
  <w:style w:type="paragraph" w:customStyle="1" w:styleId="afff5">
    <w:name w:val="小表文"/>
    <w:basedOn w:val="a"/>
    <w:qFormat/>
    <w:pPr>
      <w:widowControl w:val="0"/>
      <w:spacing w:before="20"/>
      <w:jc w:val="both"/>
    </w:pPr>
    <w:rPr>
      <w:rFonts w:ascii="Times New Roman" w:hAnsi="Times New Roman"/>
      <w:kern w:val="2"/>
      <w:sz w:val="18"/>
      <w:szCs w:val="24"/>
      <w:lang w:eastAsia="zh-CN"/>
    </w:rPr>
  </w:style>
  <w:style w:type="paragraph" w:customStyle="1" w:styleId="afff6">
    <w:name w:val="最新表格"/>
    <w:basedOn w:val="a"/>
    <w:qFormat/>
    <w:pPr>
      <w:widowControl w:val="0"/>
      <w:snapToGrid w:val="0"/>
      <w:jc w:val="center"/>
    </w:pPr>
    <w:rPr>
      <w:rFonts w:ascii="Times New Roman" w:hAnsi="Times New Roman"/>
      <w:kern w:val="2"/>
      <w:sz w:val="21"/>
      <w:szCs w:val="21"/>
      <w:lang w:eastAsia="zh-CN"/>
    </w:rPr>
  </w:style>
  <w:style w:type="paragraph" w:customStyle="1" w:styleId="afff7">
    <w:name w:val="表文"/>
    <w:basedOn w:val="a"/>
    <w:link w:val="Char0"/>
    <w:qFormat/>
    <w:pPr>
      <w:widowControl w:val="0"/>
      <w:spacing w:before="20"/>
      <w:jc w:val="center"/>
    </w:pPr>
    <w:rPr>
      <w:rFonts w:ascii="Times New Roman" w:hAnsi="Times New Roman"/>
      <w:bCs/>
      <w:kern w:val="2"/>
      <w:sz w:val="18"/>
      <w:szCs w:val="24"/>
      <w:lang w:eastAsia="zh-CN"/>
    </w:rPr>
  </w:style>
  <w:style w:type="character" w:customStyle="1" w:styleId="Char0">
    <w:name w:val="表文 Char"/>
    <w:link w:val="afff7"/>
    <w:qFormat/>
    <w:rPr>
      <w:rFonts w:ascii="Times New Roman" w:hAnsi="Times New Roman"/>
      <w:bCs/>
      <w:kern w:val="2"/>
      <w:sz w:val="18"/>
      <w:szCs w:val="24"/>
    </w:rPr>
  </w:style>
  <w:style w:type="paragraph" w:customStyle="1" w:styleId="afff8">
    <w:name w:val="表号"/>
    <w:basedOn w:val="a"/>
    <w:link w:val="Char1"/>
    <w:qFormat/>
    <w:pPr>
      <w:widowControl w:val="0"/>
      <w:overflowPunct w:val="0"/>
      <w:ind w:firstLine="113"/>
      <w:jc w:val="both"/>
      <w:outlineLvl w:val="6"/>
    </w:pPr>
    <w:rPr>
      <w:rFonts w:ascii="Times New Roman" w:hAnsi="Times New Roman"/>
      <w:kern w:val="2"/>
      <w:sz w:val="21"/>
      <w:szCs w:val="24"/>
      <w:lang w:eastAsia="zh-CN"/>
    </w:rPr>
  </w:style>
  <w:style w:type="paragraph" w:customStyle="1" w:styleId="G">
    <w:name w:val="G（正文）"/>
    <w:basedOn w:val="af"/>
    <w:qFormat/>
    <w:pPr>
      <w:widowControl w:val="0"/>
      <w:tabs>
        <w:tab w:val="left" w:pos="4530"/>
      </w:tabs>
      <w:spacing w:before="0" w:line="480" w:lineRule="exact"/>
      <w:ind w:left="0" w:firstLineChars="200" w:firstLine="200"/>
      <w:jc w:val="both"/>
    </w:pPr>
    <w:rPr>
      <w:rFonts w:ascii="Times New Roman" w:hAnsi="Times New Roman"/>
      <w:kern w:val="2"/>
      <w:sz w:val="28"/>
      <w:szCs w:val="28"/>
      <w:lang w:eastAsia="zh-CN"/>
    </w:rPr>
  </w:style>
  <w:style w:type="paragraph" w:customStyle="1" w:styleId="head">
    <w:name w:val="！表head"/>
    <w:basedOn w:val="a"/>
    <w:qFormat/>
    <w:pPr>
      <w:widowControl w:val="0"/>
      <w:ind w:leftChars="-50" w:left="-100"/>
      <w:jc w:val="both"/>
    </w:pPr>
    <w:rPr>
      <w:rFonts w:ascii="宋体" w:eastAsia="黑体" w:hAnsi="宋体" w:cs="宋体"/>
      <w:color w:val="000000"/>
      <w:sz w:val="24"/>
      <w:szCs w:val="20"/>
      <w:lang w:eastAsia="zh-CN"/>
    </w:rPr>
  </w:style>
  <w:style w:type="paragraph" w:customStyle="1" w:styleId="p0">
    <w:name w:val="p0"/>
    <w:basedOn w:val="a"/>
    <w:qFormat/>
    <w:pPr>
      <w:jc w:val="both"/>
    </w:pPr>
    <w:rPr>
      <w:rFonts w:ascii="Times New Roman" w:hAnsi="Times New Roman"/>
      <w:kern w:val="2"/>
      <w:sz w:val="21"/>
      <w:szCs w:val="21"/>
      <w:lang w:eastAsia="zh-CN"/>
    </w:rPr>
  </w:style>
  <w:style w:type="paragraph" w:customStyle="1" w:styleId="afff9">
    <w:name w:val="表名"/>
    <w:basedOn w:val="a"/>
    <w:qFormat/>
    <w:pPr>
      <w:widowControl w:val="0"/>
      <w:spacing w:before="163"/>
      <w:jc w:val="center"/>
    </w:pPr>
    <w:rPr>
      <w:rFonts w:ascii="Arial" w:eastAsia="黑体" w:hAnsi="Arial"/>
      <w:kern w:val="2"/>
      <w:sz w:val="21"/>
      <w:szCs w:val="24"/>
      <w:lang w:eastAsia="zh-CN"/>
    </w:rPr>
  </w:style>
  <w:style w:type="paragraph" w:customStyle="1" w:styleId="z-1">
    <w:name w:val="z-窗体顶端1"/>
    <w:basedOn w:val="a"/>
    <w:link w:val="z-"/>
    <w:qFormat/>
    <w:pPr>
      <w:widowControl w:val="0"/>
      <w:spacing w:line="500" w:lineRule="exact"/>
      <w:ind w:firstLine="420"/>
      <w:jc w:val="both"/>
    </w:pPr>
    <w:rPr>
      <w:rFonts w:eastAsia="仿宋_GB2312"/>
      <w:kern w:val="2"/>
      <w:sz w:val="28"/>
      <w:lang w:eastAsia="zh-CN"/>
    </w:rPr>
  </w:style>
  <w:style w:type="character" w:customStyle="1" w:styleId="z-">
    <w:name w:val="z-窗体顶端 字符"/>
    <w:basedOn w:val="a0"/>
    <w:link w:val="z-1"/>
    <w:qFormat/>
    <w:rPr>
      <w:rFonts w:eastAsia="仿宋_GB2312"/>
      <w:kern w:val="2"/>
      <w:sz w:val="28"/>
      <w:szCs w:val="22"/>
    </w:rPr>
  </w:style>
  <w:style w:type="paragraph" w:customStyle="1" w:styleId="afffa">
    <w:name w:val="表左对齐"/>
    <w:basedOn w:val="ma"/>
    <w:qFormat/>
    <w:pPr>
      <w:widowControl w:val="0"/>
      <w:jc w:val="left"/>
    </w:pPr>
    <w:rPr>
      <w:rFonts w:cs="宋体"/>
      <w:sz w:val="21"/>
    </w:rPr>
  </w:style>
  <w:style w:type="paragraph" w:customStyle="1" w:styleId="28">
    <w:name w:val="首行缩进:2 字符"/>
    <w:basedOn w:val="a"/>
    <w:qFormat/>
    <w:pPr>
      <w:widowControl w:val="0"/>
      <w:spacing w:line="360" w:lineRule="auto"/>
      <w:ind w:firstLineChars="200" w:firstLine="560"/>
      <w:jc w:val="both"/>
    </w:pPr>
    <w:rPr>
      <w:rFonts w:ascii="Times New Roman" w:hAnsi="Times New Roman"/>
      <w:kern w:val="2"/>
      <w:sz w:val="28"/>
      <w:szCs w:val="20"/>
      <w:lang w:eastAsia="zh-CN"/>
    </w:rPr>
  </w:style>
  <w:style w:type="paragraph" w:customStyle="1" w:styleId="xl30">
    <w:name w:val="xl30"/>
    <w:basedOn w:val="a"/>
    <w:qFormat/>
    <w:pPr>
      <w:spacing w:before="100" w:beforeAutospacing="1" w:after="100" w:afterAutospacing="1"/>
      <w:jc w:val="center"/>
      <w:textAlignment w:val="center"/>
    </w:pPr>
    <w:rPr>
      <w:rFonts w:ascii="Arial Unicode MS" w:eastAsia="Arial Unicode MS" w:hAnsi="Arial Unicode MS" w:cs="Arial Unicode MS"/>
      <w:kern w:val="2"/>
      <w:sz w:val="21"/>
      <w:szCs w:val="21"/>
      <w:lang w:eastAsia="zh-CN"/>
    </w:rPr>
  </w:style>
  <w:style w:type="paragraph" w:customStyle="1" w:styleId="afffb">
    <w:name w:val="正文(小)"/>
    <w:basedOn w:val="a"/>
    <w:qFormat/>
    <w:pPr>
      <w:widowControl w:val="0"/>
      <w:spacing w:before="20"/>
      <w:jc w:val="both"/>
    </w:pPr>
    <w:rPr>
      <w:rFonts w:ascii="Times New Roman" w:hAnsi="Times New Roman"/>
      <w:kern w:val="2"/>
      <w:sz w:val="18"/>
      <w:szCs w:val="24"/>
      <w:lang w:eastAsia="zh-CN"/>
    </w:rPr>
  </w:style>
  <w:style w:type="paragraph" w:customStyle="1" w:styleId="HH">
    <w:name w:val="HH"/>
    <w:basedOn w:val="a"/>
    <w:qFormat/>
    <w:pPr>
      <w:widowControl w:val="0"/>
      <w:spacing w:line="360" w:lineRule="auto"/>
      <w:ind w:firstLineChars="200" w:firstLine="480"/>
      <w:jc w:val="both"/>
    </w:pPr>
    <w:rPr>
      <w:rFonts w:ascii="Times New Roman" w:hAnsi="Times New Roman" w:cs="宋体"/>
      <w:kern w:val="2"/>
      <w:sz w:val="24"/>
      <w:szCs w:val="24"/>
      <w:lang w:eastAsia="zh-CN"/>
    </w:rPr>
  </w:style>
  <w:style w:type="paragraph" w:customStyle="1" w:styleId="43">
    <w:name w:val="标题4"/>
    <w:basedOn w:val="4"/>
    <w:qFormat/>
  </w:style>
  <w:style w:type="table" w:customStyle="1" w:styleId="afffc">
    <w:name w:val="报告表格式新建"/>
    <w:basedOn w:val="a1"/>
    <w:uiPriority w:val="99"/>
    <w:qFormat/>
    <w:pPr>
      <w:jc w:val="center"/>
    </w:pPr>
    <w:rPr>
      <w:sz w:val="18"/>
    </w:rPr>
    <w:tblPr>
      <w:tblBorders>
        <w:top w:val="single" w:sz="12" w:space="0" w:color="auto"/>
        <w:bottom w:val="single" w:sz="12" w:space="0" w:color="auto"/>
        <w:insideH w:val="single" w:sz="8" w:space="0" w:color="auto"/>
        <w:insideV w:val="single" w:sz="8" w:space="0" w:color="auto"/>
      </w:tblBorders>
    </w:tblPr>
    <w:tcPr>
      <w:vAlign w:val="center"/>
    </w:tcPr>
  </w:style>
  <w:style w:type="paragraph" w:customStyle="1" w:styleId="afffd">
    <w:name w:val="报告表格内容"/>
    <w:basedOn w:val="a"/>
    <w:next w:val="a"/>
    <w:qFormat/>
    <w:pPr>
      <w:widowControl w:val="0"/>
      <w:autoSpaceDE w:val="0"/>
      <w:autoSpaceDN w:val="0"/>
      <w:jc w:val="center"/>
      <w:textAlignment w:val="bottom"/>
    </w:pPr>
    <w:rPr>
      <w:rFonts w:ascii="Times New Roman" w:hAnsi="Times New Roman"/>
      <w:sz w:val="21"/>
      <w:szCs w:val="20"/>
      <w:lang w:eastAsia="zh-CN"/>
    </w:rPr>
  </w:style>
  <w:style w:type="paragraph" w:customStyle="1" w:styleId="afffe">
    <w:name w:val="空行样式"/>
    <w:basedOn w:val="a"/>
    <w:next w:val="a"/>
    <w:qFormat/>
    <w:pPr>
      <w:widowControl w:val="0"/>
      <w:adjustRightInd w:val="0"/>
      <w:snapToGrid w:val="0"/>
      <w:jc w:val="both"/>
    </w:pPr>
    <w:rPr>
      <w:rFonts w:ascii="Times New Roman" w:hAnsi="Times New Roman"/>
      <w:kern w:val="2"/>
      <w:sz w:val="21"/>
      <w:szCs w:val="20"/>
      <w:lang w:eastAsia="zh-CN"/>
    </w:rPr>
  </w:style>
  <w:style w:type="character" w:customStyle="1" w:styleId="7Char">
    <w:name w:val="样式7 Char"/>
    <w:link w:val="71"/>
    <w:qFormat/>
    <w:rPr>
      <w:kern w:val="2"/>
      <w:sz w:val="26"/>
      <w:szCs w:val="26"/>
    </w:rPr>
  </w:style>
  <w:style w:type="paragraph" w:customStyle="1" w:styleId="71">
    <w:name w:val="样式7"/>
    <w:basedOn w:val="a"/>
    <w:link w:val="7Char"/>
    <w:qFormat/>
    <w:pPr>
      <w:spacing w:line="480" w:lineRule="exact"/>
      <w:ind w:firstLineChars="200" w:firstLine="200"/>
      <w:jc w:val="center"/>
    </w:pPr>
    <w:rPr>
      <w:kern w:val="2"/>
      <w:sz w:val="26"/>
      <w:szCs w:val="26"/>
      <w:lang w:eastAsia="zh-CN"/>
    </w:rPr>
  </w:style>
  <w:style w:type="paragraph" w:customStyle="1" w:styleId="affff">
    <w:name w:val="表格样式"/>
    <w:basedOn w:val="a"/>
    <w:qFormat/>
    <w:pPr>
      <w:widowControl w:val="0"/>
      <w:adjustRightInd w:val="0"/>
      <w:snapToGrid w:val="0"/>
      <w:jc w:val="center"/>
      <w:textAlignment w:val="center"/>
    </w:pPr>
    <w:rPr>
      <w:rFonts w:ascii="Times New Roman" w:hAnsi="Times New Roman"/>
      <w:kern w:val="2"/>
      <w:sz w:val="28"/>
      <w:szCs w:val="24"/>
      <w:lang w:eastAsia="zh-CN"/>
    </w:rPr>
  </w:style>
  <w:style w:type="paragraph" w:customStyle="1" w:styleId="affff0">
    <w:name w:val="图表名称"/>
    <w:basedOn w:val="a"/>
    <w:next w:val="a"/>
    <w:link w:val="affff1"/>
    <w:qFormat/>
    <w:pPr>
      <w:widowControl w:val="0"/>
      <w:spacing w:beforeLines="50"/>
      <w:jc w:val="center"/>
    </w:pPr>
    <w:rPr>
      <w:rFonts w:ascii="Times New Roman" w:eastAsia="仿宋_GB2312" w:hAnsi="Times New Roman"/>
      <w:b/>
      <w:kern w:val="2"/>
      <w:sz w:val="24"/>
      <w:szCs w:val="28"/>
      <w:lang w:eastAsia="zh-CN"/>
    </w:rPr>
  </w:style>
  <w:style w:type="character" w:customStyle="1" w:styleId="affff1">
    <w:name w:val="图表名称 字符"/>
    <w:basedOn w:val="a0"/>
    <w:link w:val="affff0"/>
    <w:qFormat/>
    <w:rPr>
      <w:rFonts w:ascii="Times New Roman" w:eastAsia="仿宋_GB2312" w:hAnsi="Times New Roman"/>
      <w:b/>
      <w:kern w:val="2"/>
      <w:sz w:val="24"/>
      <w:szCs w:val="28"/>
    </w:rPr>
  </w:style>
  <w:style w:type="paragraph" w:styleId="affff2">
    <w:name w:val="No Spacing"/>
    <w:basedOn w:val="a"/>
    <w:next w:val="a"/>
    <w:link w:val="affff3"/>
    <w:uiPriority w:val="99"/>
    <w:qFormat/>
    <w:pPr>
      <w:widowControl w:val="0"/>
      <w:spacing w:line="240" w:lineRule="exact"/>
      <w:jc w:val="center"/>
    </w:pPr>
    <w:rPr>
      <w:rFonts w:ascii="Times New Roman" w:eastAsia="仿宋_GB2312" w:hAnsi="Times New Roman"/>
      <w:kern w:val="2"/>
      <w:sz w:val="18"/>
      <w:szCs w:val="28"/>
      <w:lang w:eastAsia="zh-CN"/>
    </w:rPr>
  </w:style>
  <w:style w:type="character" w:customStyle="1" w:styleId="affff3">
    <w:name w:val="无间隔 字符"/>
    <w:basedOn w:val="a0"/>
    <w:link w:val="affff2"/>
    <w:uiPriority w:val="1"/>
    <w:qFormat/>
    <w:rPr>
      <w:rFonts w:ascii="Times New Roman" w:eastAsia="仿宋_GB2312" w:hAnsi="Times New Roman"/>
      <w:kern w:val="2"/>
      <w:sz w:val="18"/>
      <w:szCs w:val="28"/>
    </w:rPr>
  </w:style>
  <w:style w:type="table" w:customStyle="1" w:styleId="affff4">
    <w:name w:val="基本表"/>
    <w:basedOn w:val="a1"/>
    <w:uiPriority w:val="99"/>
    <w:qFormat/>
    <w:pPr>
      <w:spacing w:line="240" w:lineRule="atLeast"/>
      <w:jc w:val="center"/>
    </w:pPr>
    <w:rPr>
      <w:rFonts w:cstheme="minorBidi"/>
      <w:kern w:val="2"/>
      <w:sz w:val="18"/>
      <w:szCs w:val="22"/>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Pr>
    <w:tcPr>
      <w:vAlign w:val="center"/>
    </w:tcPr>
  </w:style>
  <w:style w:type="paragraph" w:customStyle="1" w:styleId="affff5">
    <w:name w:val="表头"/>
    <w:basedOn w:val="a"/>
    <w:link w:val="CharChar"/>
    <w:qFormat/>
    <w:pPr>
      <w:widowControl w:val="0"/>
      <w:adjustRightInd w:val="0"/>
      <w:spacing w:beforeLines="50" w:before="50"/>
      <w:jc w:val="center"/>
    </w:pPr>
    <w:rPr>
      <w:rFonts w:ascii="Times New Roman" w:hAnsi="Times New Roman"/>
      <w:b/>
      <w:kern w:val="2"/>
      <w:sz w:val="21"/>
      <w:szCs w:val="21"/>
      <w:lang w:eastAsia="zh-CN"/>
    </w:rPr>
  </w:style>
  <w:style w:type="character" w:customStyle="1" w:styleId="CharChar">
    <w:name w:val="表头 Char Char"/>
    <w:link w:val="affff5"/>
    <w:qFormat/>
    <w:rPr>
      <w:rFonts w:ascii="Times New Roman" w:hAnsi="Times New Roman"/>
      <w:b/>
      <w:kern w:val="2"/>
      <w:sz w:val="21"/>
      <w:szCs w:val="21"/>
    </w:rPr>
  </w:style>
  <w:style w:type="paragraph" w:customStyle="1" w:styleId="affff6">
    <w:name w:val="表格内文字"/>
    <w:basedOn w:val="a"/>
    <w:qFormat/>
    <w:pPr>
      <w:widowControl w:val="0"/>
      <w:jc w:val="center"/>
    </w:pPr>
    <w:rPr>
      <w:rFonts w:ascii="Times New Roman" w:hAnsi="Times New Roman"/>
      <w:kern w:val="2"/>
      <w:sz w:val="21"/>
      <w:szCs w:val="21"/>
      <w:lang w:eastAsia="zh-CN"/>
    </w:rPr>
  </w:style>
  <w:style w:type="character" w:customStyle="1" w:styleId="29">
    <w:name w:val="未处理的提及2"/>
    <w:basedOn w:val="a0"/>
    <w:uiPriority w:val="99"/>
    <w:semiHidden/>
    <w:unhideWhenUsed/>
    <w:qFormat/>
    <w:rPr>
      <w:color w:val="605E5C"/>
      <w:shd w:val="clear" w:color="auto" w:fill="E1DFDD"/>
    </w:rPr>
  </w:style>
  <w:style w:type="paragraph" w:customStyle="1" w:styleId="Char2">
    <w:name w:val="段落 Char"/>
    <w:basedOn w:val="a"/>
    <w:qFormat/>
    <w:pPr>
      <w:widowControl w:val="0"/>
      <w:topLinePunct/>
      <w:snapToGrid w:val="0"/>
      <w:spacing w:line="360" w:lineRule="auto"/>
      <w:ind w:firstLineChars="200" w:firstLine="200"/>
      <w:jc w:val="both"/>
    </w:pPr>
    <w:rPr>
      <w:rFonts w:ascii="Times New Roman" w:hAnsi="Times New Roman"/>
      <w:kern w:val="2"/>
      <w:sz w:val="24"/>
      <w:szCs w:val="24"/>
      <w:lang w:eastAsia="zh-CN"/>
    </w:rPr>
  </w:style>
  <w:style w:type="character" w:customStyle="1" w:styleId="Char3">
    <w:name w:val="纯文本 Char"/>
    <w:aliases w:val="纯文本1 Char"/>
    <w:qFormat/>
    <w:rPr>
      <w:rFonts w:ascii="宋体" w:hAnsi="Courier New" w:cs="Courier New"/>
      <w:kern w:val="2"/>
      <w:sz w:val="21"/>
      <w:szCs w:val="21"/>
    </w:rPr>
  </w:style>
  <w:style w:type="character" w:customStyle="1" w:styleId="description">
    <w:name w:val="description"/>
    <w:basedOn w:val="a0"/>
    <w:qFormat/>
  </w:style>
  <w:style w:type="character" w:customStyle="1" w:styleId="affff7">
    <w:name w:val="样式 宋体 小三 加粗"/>
    <w:qFormat/>
    <w:rPr>
      <w:rFonts w:ascii="宋体" w:eastAsia="黑体" w:hAnsi="宋体"/>
      <w:b/>
      <w:bCs/>
      <w:spacing w:val="6"/>
      <w:kern w:val="2"/>
      <w:position w:val="10"/>
      <w:sz w:val="30"/>
      <w:lang w:val="en-US" w:eastAsia="zh-CN" w:bidi="ar-SA"/>
    </w:rPr>
  </w:style>
  <w:style w:type="character" w:customStyle="1" w:styleId="13">
    <w:name w:val="页码1"/>
    <w:basedOn w:val="a0"/>
    <w:qFormat/>
  </w:style>
  <w:style w:type="character" w:customStyle="1" w:styleId="CharChar0">
    <w:name w:val="报告正文（小四） Char Char"/>
    <w:link w:val="affff8"/>
    <w:qFormat/>
    <w:rPr>
      <w:rFonts w:ascii="宋体" w:hAnsi="宋体" w:cs="宋体"/>
      <w:kern w:val="2"/>
      <w:sz w:val="24"/>
      <w:szCs w:val="24"/>
    </w:rPr>
  </w:style>
  <w:style w:type="paragraph" w:customStyle="1" w:styleId="affff8">
    <w:name w:val="报告正文（小四）"/>
    <w:basedOn w:val="a"/>
    <w:link w:val="CharChar0"/>
    <w:qFormat/>
    <w:pPr>
      <w:widowControl w:val="0"/>
      <w:spacing w:line="360" w:lineRule="auto"/>
      <w:ind w:firstLineChars="200" w:firstLine="480"/>
      <w:jc w:val="both"/>
    </w:pPr>
    <w:rPr>
      <w:rFonts w:ascii="宋体" w:hAnsi="宋体" w:cs="宋体"/>
      <w:kern w:val="2"/>
      <w:sz w:val="24"/>
      <w:szCs w:val="24"/>
      <w:lang w:eastAsia="zh-CN"/>
    </w:rPr>
  </w:style>
  <w:style w:type="character" w:customStyle="1" w:styleId="Char4">
    <w:name w:val="报告表正文 Char"/>
    <w:link w:val="affff9"/>
    <w:qFormat/>
    <w:rPr>
      <w:sz w:val="24"/>
    </w:rPr>
  </w:style>
  <w:style w:type="paragraph" w:customStyle="1" w:styleId="affff9">
    <w:name w:val="报告表正文"/>
    <w:basedOn w:val="a"/>
    <w:link w:val="Char4"/>
    <w:qFormat/>
    <w:pPr>
      <w:widowControl w:val="0"/>
      <w:adjustRightInd w:val="0"/>
      <w:spacing w:line="312" w:lineRule="auto"/>
      <w:ind w:left="113" w:right="113" w:firstLine="482"/>
      <w:textAlignment w:val="baseline"/>
    </w:pPr>
    <w:rPr>
      <w:sz w:val="24"/>
      <w:szCs w:val="20"/>
      <w:lang w:eastAsia="zh-CN"/>
    </w:rPr>
  </w:style>
  <w:style w:type="character" w:customStyle="1" w:styleId="2Char0">
    <w:name w:val="标题 2 Char"/>
    <w:qFormat/>
    <w:rPr>
      <w:rFonts w:ascii="宋体" w:eastAsia="宋体" w:hAnsi="宋体"/>
      <w:kern w:val="2"/>
      <w:sz w:val="28"/>
      <w:szCs w:val="24"/>
      <w:lang w:val="en-US" w:eastAsia="zh-CN" w:bidi="ar-SA"/>
    </w:rPr>
  </w:style>
  <w:style w:type="character" w:customStyle="1" w:styleId="Char5">
    <w:name w:val="正文文本缩进 Char"/>
    <w:qFormat/>
    <w:rPr>
      <w:rFonts w:eastAsia="宋体"/>
      <w:kern w:val="2"/>
      <w:sz w:val="21"/>
      <w:szCs w:val="24"/>
      <w:lang w:val="en-US" w:eastAsia="zh-CN" w:bidi="ar-SA"/>
    </w:rPr>
  </w:style>
  <w:style w:type="character" w:customStyle="1" w:styleId="CharChar1">
    <w:name w:val="表格文字 Char Char"/>
    <w:qFormat/>
    <w:rPr>
      <w:rFonts w:ascii="宋体"/>
      <w:color w:val="000000"/>
      <w:sz w:val="24"/>
      <w:lang w:val="en-US" w:eastAsia="zh-CN" w:bidi="ar-SA"/>
    </w:rPr>
  </w:style>
  <w:style w:type="character" w:customStyle="1" w:styleId="858D7CFB-ED40-4347-BF05-701D383B685F">
    <w:name w:val="表中文字[858D7CFB-ED40-4347-BF05-701D383B685F]"/>
    <w:link w:val="affffa"/>
    <w:qFormat/>
    <w:rPr>
      <w:kern w:val="2"/>
      <w:sz w:val="21"/>
    </w:rPr>
  </w:style>
  <w:style w:type="paragraph" w:customStyle="1" w:styleId="affffa">
    <w:name w:val="表中文字"/>
    <w:basedOn w:val="a"/>
    <w:link w:val="858D7CFB-ED40-4347-BF05-701D383B685F"/>
    <w:qFormat/>
    <w:pPr>
      <w:widowControl w:val="0"/>
      <w:adjustRightInd w:val="0"/>
      <w:snapToGrid w:val="0"/>
      <w:jc w:val="center"/>
    </w:pPr>
    <w:rPr>
      <w:kern w:val="2"/>
      <w:sz w:val="21"/>
      <w:szCs w:val="20"/>
      <w:lang w:eastAsia="zh-CN"/>
    </w:rPr>
  </w:style>
  <w:style w:type="character" w:customStyle="1" w:styleId="content1">
    <w:name w:val="content1"/>
    <w:qFormat/>
    <w:rPr>
      <w:rFonts w:ascii="宋体" w:eastAsia="宋体" w:hAnsi="宋体" w:hint="eastAsia"/>
      <w:color w:val="333333"/>
      <w:sz w:val="21"/>
      <w:szCs w:val="21"/>
    </w:rPr>
  </w:style>
  <w:style w:type="character" w:customStyle="1" w:styleId="2Char1">
    <w:name w:val="表格文字2 Char"/>
    <w:link w:val="2a"/>
    <w:qFormat/>
    <w:rPr>
      <w:rFonts w:ascii="宋体"/>
      <w:sz w:val="24"/>
    </w:rPr>
  </w:style>
  <w:style w:type="paragraph" w:customStyle="1" w:styleId="2a">
    <w:name w:val="表格文字2"/>
    <w:basedOn w:val="affff2"/>
    <w:link w:val="2Char1"/>
    <w:qFormat/>
    <w:pPr>
      <w:adjustRightInd w:val="0"/>
      <w:spacing w:before="60" w:line="240" w:lineRule="auto"/>
      <w:textAlignment w:val="baseline"/>
    </w:pPr>
    <w:rPr>
      <w:rFonts w:ascii="宋体" w:eastAsia="宋体" w:hAnsi="Calibri"/>
      <w:kern w:val="0"/>
      <w:sz w:val="24"/>
      <w:szCs w:val="20"/>
    </w:rPr>
  </w:style>
  <w:style w:type="character" w:customStyle="1" w:styleId="Char6">
    <w:name w:val="报告书 Char"/>
    <w:link w:val="affffb"/>
    <w:qFormat/>
    <w:rPr>
      <w:rFonts w:ascii="宋体" w:hAnsi="宋体" w:cs="宋体"/>
      <w:color w:val="0000FF"/>
      <w:sz w:val="24"/>
    </w:rPr>
  </w:style>
  <w:style w:type="paragraph" w:customStyle="1" w:styleId="affffb">
    <w:name w:val="报告书"/>
    <w:basedOn w:val="a"/>
    <w:link w:val="Char6"/>
    <w:qFormat/>
    <w:pPr>
      <w:widowControl w:val="0"/>
      <w:autoSpaceDE w:val="0"/>
      <w:autoSpaceDN w:val="0"/>
      <w:adjustRightInd w:val="0"/>
      <w:spacing w:line="520" w:lineRule="exact"/>
      <w:ind w:firstLineChars="200" w:firstLine="480"/>
      <w:textAlignment w:val="bottom"/>
    </w:pPr>
    <w:rPr>
      <w:rFonts w:ascii="宋体" w:hAnsi="宋体" w:cs="宋体"/>
      <w:color w:val="0000FF"/>
      <w:sz w:val="24"/>
      <w:szCs w:val="20"/>
      <w:lang w:eastAsia="zh-CN"/>
    </w:rPr>
  </w:style>
  <w:style w:type="character" w:customStyle="1" w:styleId="unnamed2">
    <w:name w:val="unnamed2"/>
    <w:basedOn w:val="a0"/>
    <w:qFormat/>
  </w:style>
  <w:style w:type="character" w:customStyle="1" w:styleId="Char7">
    <w:name w:val="文本 Char"/>
    <w:link w:val="affffc"/>
    <w:qFormat/>
    <w:rPr>
      <w:kern w:val="2"/>
      <w:sz w:val="24"/>
      <w:szCs w:val="24"/>
    </w:rPr>
  </w:style>
  <w:style w:type="paragraph" w:customStyle="1" w:styleId="affffc">
    <w:name w:val="文本"/>
    <w:basedOn w:val="a"/>
    <w:next w:val="22"/>
    <w:link w:val="Char7"/>
    <w:qFormat/>
    <w:pPr>
      <w:widowControl w:val="0"/>
      <w:spacing w:line="360" w:lineRule="auto"/>
      <w:ind w:firstLine="495"/>
      <w:jc w:val="both"/>
    </w:pPr>
    <w:rPr>
      <w:kern w:val="2"/>
      <w:sz w:val="24"/>
      <w:szCs w:val="24"/>
      <w:lang w:eastAsia="zh-CN"/>
    </w:rPr>
  </w:style>
  <w:style w:type="paragraph" w:customStyle="1" w:styleId="14">
    <w:name w:val="段落1"/>
    <w:basedOn w:val="a"/>
    <w:qFormat/>
    <w:pPr>
      <w:widowControl w:val="0"/>
      <w:spacing w:line="480" w:lineRule="exact"/>
      <w:ind w:firstLineChars="200" w:firstLine="200"/>
      <w:jc w:val="both"/>
    </w:pPr>
    <w:rPr>
      <w:rFonts w:ascii="Times New Roman" w:eastAsia="楷体_GB2312" w:hAnsi="Times New Roman"/>
      <w:spacing w:val="6"/>
      <w:kern w:val="2"/>
      <w:sz w:val="28"/>
      <w:szCs w:val="24"/>
      <w:lang w:eastAsia="zh-CN"/>
    </w:rPr>
  </w:style>
  <w:style w:type="paragraph" w:customStyle="1" w:styleId="affffd">
    <w:name w:val="表"/>
    <w:basedOn w:val="a"/>
    <w:qFormat/>
    <w:pPr>
      <w:widowControl w:val="0"/>
      <w:snapToGrid w:val="0"/>
      <w:spacing w:line="360" w:lineRule="auto"/>
      <w:jc w:val="center"/>
    </w:pPr>
    <w:rPr>
      <w:rFonts w:ascii="Times New Roman" w:eastAsia="黑体" w:hAnsi="宋体"/>
      <w:color w:val="000000"/>
      <w:kern w:val="2"/>
      <w:sz w:val="21"/>
      <w:szCs w:val="24"/>
      <w:lang w:eastAsia="zh-CN"/>
    </w:rPr>
  </w:style>
  <w:style w:type="paragraph" w:customStyle="1" w:styleId="CharCharCharChar">
    <w:name w:val="Char Char Char Char"/>
    <w:basedOn w:val="a"/>
    <w:qFormat/>
    <w:pPr>
      <w:widowControl w:val="0"/>
      <w:spacing w:line="540" w:lineRule="exact"/>
      <w:jc w:val="both"/>
    </w:pPr>
    <w:rPr>
      <w:rFonts w:ascii="楷体_GB2312" w:eastAsia="楷体_GB2312" w:hAnsi="Times New Roman"/>
      <w:sz w:val="21"/>
      <w:szCs w:val="24"/>
      <w:lang w:eastAsia="zh-CN"/>
    </w:rPr>
  </w:style>
  <w:style w:type="paragraph" w:customStyle="1" w:styleId="affffe">
    <w:name w:val="报告书表格"/>
    <w:basedOn w:val="a"/>
    <w:qFormat/>
    <w:pPr>
      <w:widowControl w:val="0"/>
      <w:adjustRightInd w:val="0"/>
      <w:spacing w:before="60" w:after="60" w:line="240" w:lineRule="atLeast"/>
      <w:jc w:val="center"/>
      <w:textAlignment w:val="baseline"/>
    </w:pPr>
    <w:rPr>
      <w:rFonts w:ascii="Times New Roman" w:hAnsi="Times New Roman"/>
      <w:sz w:val="21"/>
      <w:szCs w:val="20"/>
      <w:lang w:eastAsia="zh-CN"/>
    </w:rPr>
  </w:style>
  <w:style w:type="paragraph" w:customStyle="1" w:styleId="Char10">
    <w:name w:val="Char1"/>
    <w:basedOn w:val="a"/>
    <w:qFormat/>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f">
    <w:name w:val="表格式"/>
    <w:basedOn w:val="afe"/>
    <w:qFormat/>
    <w:pPr>
      <w:spacing w:line="400" w:lineRule="exact"/>
      <w:ind w:left="0" w:firstLineChars="0" w:firstLine="0"/>
      <w:jc w:val="center"/>
    </w:pPr>
    <w:rPr>
      <w:rFonts w:ascii="宋体"/>
      <w:szCs w:val="20"/>
    </w:rPr>
  </w:style>
  <w:style w:type="paragraph" w:customStyle="1" w:styleId="152">
    <w:name w:val="样式 样式 行距: 1.5 倍行距 + 首行缩进:  2 字符"/>
    <w:basedOn w:val="a"/>
    <w:qFormat/>
    <w:pPr>
      <w:widowControl w:val="0"/>
      <w:spacing w:line="360" w:lineRule="auto"/>
      <w:ind w:firstLineChars="200" w:firstLine="420"/>
      <w:jc w:val="both"/>
    </w:pPr>
    <w:rPr>
      <w:rFonts w:ascii="Times New Roman" w:hAnsi="Times New Roman" w:cs="宋体"/>
      <w:kern w:val="2"/>
      <w:sz w:val="24"/>
      <w:szCs w:val="20"/>
      <w:lang w:eastAsia="zh-CN"/>
    </w:rPr>
  </w:style>
  <w:style w:type="paragraph" w:customStyle="1" w:styleId="Char40">
    <w:name w:val="Char4"/>
    <w:basedOn w:val="a"/>
    <w:qFormat/>
    <w:pPr>
      <w:widowControl w:val="0"/>
      <w:spacing w:line="360" w:lineRule="auto"/>
      <w:ind w:firstLineChars="200" w:firstLine="200"/>
      <w:jc w:val="both"/>
    </w:pPr>
    <w:rPr>
      <w:rFonts w:ascii="Times New Roman" w:hAnsi="Times New Roman"/>
      <w:kern w:val="2"/>
      <w:sz w:val="28"/>
      <w:szCs w:val="20"/>
      <w:lang w:eastAsia="zh-CN"/>
    </w:rPr>
  </w:style>
  <w:style w:type="paragraph" w:customStyle="1" w:styleId="afffff0">
    <w:name w:val="图表标题"/>
    <w:basedOn w:val="a"/>
    <w:next w:val="afffff1"/>
    <w:qFormat/>
    <w:pPr>
      <w:widowControl w:val="0"/>
      <w:adjustRightInd w:val="0"/>
      <w:snapToGrid w:val="0"/>
      <w:spacing w:line="560" w:lineRule="exact"/>
      <w:jc w:val="center"/>
      <w:textAlignment w:val="baseline"/>
    </w:pPr>
    <w:rPr>
      <w:rFonts w:ascii="黑体" w:eastAsia="黑体" w:hAnsi="Times New Roman"/>
      <w:kern w:val="2"/>
      <w:sz w:val="21"/>
      <w:szCs w:val="21"/>
      <w:lang w:eastAsia="zh-CN"/>
    </w:rPr>
  </w:style>
  <w:style w:type="paragraph" w:customStyle="1" w:styleId="afffff1">
    <w:name w:val="报告表格"/>
    <w:basedOn w:val="a"/>
    <w:qFormat/>
    <w:pPr>
      <w:widowControl w:val="0"/>
      <w:autoSpaceDE w:val="0"/>
      <w:autoSpaceDN w:val="0"/>
      <w:adjustRightInd w:val="0"/>
      <w:spacing w:before="40" w:after="40"/>
      <w:jc w:val="center"/>
      <w:textAlignment w:val="bottom"/>
    </w:pPr>
    <w:rPr>
      <w:rFonts w:ascii="Times New Roman" w:hAnsi="Times New Roman"/>
      <w:sz w:val="21"/>
      <w:szCs w:val="20"/>
      <w:lang w:eastAsia="zh-CN"/>
    </w:rPr>
  </w:style>
  <w:style w:type="paragraph" w:customStyle="1" w:styleId="afffff2">
    <w:name w:val="+正文"/>
    <w:basedOn w:val="a"/>
    <w:qFormat/>
    <w:pPr>
      <w:widowControl w:val="0"/>
      <w:spacing w:line="360" w:lineRule="auto"/>
      <w:ind w:firstLineChars="200" w:firstLine="200"/>
      <w:jc w:val="both"/>
    </w:pPr>
    <w:rPr>
      <w:rFonts w:ascii="Times New Roman" w:hAnsi="Times New Roman"/>
      <w:kern w:val="2"/>
      <w:sz w:val="24"/>
      <w:szCs w:val="24"/>
      <w:lang w:eastAsia="zh-CN"/>
    </w:rPr>
  </w:style>
  <w:style w:type="paragraph" w:customStyle="1" w:styleId="15">
    <w:name w:val="1"/>
    <w:basedOn w:val="a"/>
    <w:qFormat/>
    <w:pPr>
      <w:widowControl w:val="0"/>
      <w:spacing w:line="360" w:lineRule="auto"/>
      <w:ind w:firstLineChars="192" w:firstLine="538"/>
      <w:jc w:val="both"/>
    </w:pPr>
    <w:rPr>
      <w:rFonts w:ascii="宋体" w:hAnsi="宋体"/>
      <w:bCs/>
      <w:kern w:val="2"/>
      <w:sz w:val="28"/>
      <w:szCs w:val="28"/>
      <w:lang w:eastAsia="zh-CN"/>
    </w:rPr>
  </w:style>
  <w:style w:type="paragraph" w:customStyle="1" w:styleId="Char8">
    <w:name w:val="Char"/>
    <w:basedOn w:val="a"/>
    <w:qFormat/>
    <w:pPr>
      <w:widowControl w:val="0"/>
      <w:jc w:val="both"/>
    </w:pPr>
    <w:rPr>
      <w:rFonts w:ascii="Times New Roman" w:hAnsi="Times New Roman"/>
      <w:kern w:val="2"/>
      <w:sz w:val="21"/>
      <w:szCs w:val="24"/>
      <w:lang w:eastAsia="zh-CN"/>
    </w:rPr>
  </w:style>
  <w:style w:type="paragraph" w:customStyle="1" w:styleId="edri-">
    <w:name w:val="edri-正文"/>
    <w:basedOn w:val="a"/>
    <w:qFormat/>
    <w:pPr>
      <w:widowControl w:val="0"/>
      <w:adjustRightInd w:val="0"/>
      <w:jc w:val="center"/>
      <w:textAlignment w:val="baseline"/>
    </w:pPr>
    <w:rPr>
      <w:rFonts w:ascii="黑体" w:eastAsia="黑体" w:hAnsi="Times New Roman"/>
      <w:snapToGrid w:val="0"/>
      <w:sz w:val="21"/>
      <w:szCs w:val="20"/>
      <w:lang w:eastAsia="zh-CN"/>
    </w:rPr>
  </w:style>
  <w:style w:type="paragraph" w:customStyle="1" w:styleId="ParaCharCharCharChar">
    <w:name w:val="默认段落字体 Para Char Char Char Char"/>
    <w:basedOn w:val="a"/>
    <w:qFormat/>
    <w:pPr>
      <w:widowControl w:val="0"/>
      <w:jc w:val="both"/>
    </w:pPr>
    <w:rPr>
      <w:rFonts w:ascii="Times New Roman" w:hAnsi="Times New Roman"/>
      <w:kern w:val="2"/>
      <w:sz w:val="21"/>
      <w:szCs w:val="24"/>
      <w:lang w:eastAsia="zh-CN"/>
    </w:rPr>
  </w:style>
  <w:style w:type="paragraph" w:customStyle="1" w:styleId="16">
    <w:name w:val="1表格"/>
    <w:basedOn w:val="a"/>
    <w:qFormat/>
    <w:pPr>
      <w:widowControl w:val="0"/>
      <w:snapToGrid w:val="0"/>
      <w:spacing w:line="160" w:lineRule="atLeast"/>
      <w:jc w:val="center"/>
    </w:pPr>
    <w:rPr>
      <w:rFonts w:ascii="Times New Roman" w:eastAsia="仿宋_GB2312" w:hAnsi="Times New Roman"/>
      <w:kern w:val="2"/>
      <w:sz w:val="21"/>
      <w:szCs w:val="20"/>
      <w:lang w:eastAsia="zh-CN"/>
    </w:rPr>
  </w:style>
  <w:style w:type="paragraph" w:customStyle="1" w:styleId="CharCharCharCharCharChar1Char">
    <w:name w:val="Char Char Char Char Char Char1 Char"/>
    <w:basedOn w:val="a"/>
    <w:qFormat/>
    <w:pPr>
      <w:spacing w:after="160" w:line="240" w:lineRule="exact"/>
    </w:pPr>
    <w:rPr>
      <w:rFonts w:ascii="Times New Roman" w:hAnsi="Times New Roman"/>
      <w:kern w:val="2"/>
      <w:sz w:val="21"/>
      <w:szCs w:val="24"/>
      <w:lang w:eastAsia="zh-CN"/>
    </w:rPr>
  </w:style>
  <w:style w:type="paragraph" w:customStyle="1" w:styleId="afffff3">
    <w:name w:val="报告"/>
    <w:basedOn w:val="a"/>
    <w:qFormat/>
    <w:pPr>
      <w:widowControl w:val="0"/>
      <w:adjustRightInd w:val="0"/>
      <w:spacing w:line="360" w:lineRule="auto"/>
      <w:ind w:firstLine="505"/>
      <w:jc w:val="both"/>
      <w:textAlignment w:val="baseline"/>
    </w:pPr>
    <w:rPr>
      <w:rFonts w:ascii="Times New Roman" w:hAnsi="Times New Roman"/>
      <w:sz w:val="24"/>
      <w:szCs w:val="20"/>
      <w:lang w:eastAsia="zh-CN"/>
    </w:rPr>
  </w:style>
  <w:style w:type="paragraph" w:customStyle="1" w:styleId="Char1CharCharChar">
    <w:name w:val="Char1 Char Char Char"/>
    <w:basedOn w:val="a"/>
    <w:qFormat/>
    <w:pPr>
      <w:widowControl w:val="0"/>
      <w:jc w:val="both"/>
    </w:pPr>
    <w:rPr>
      <w:rFonts w:ascii="Times New Roman" w:hAnsi="Times New Roman"/>
      <w:kern w:val="2"/>
      <w:sz w:val="21"/>
      <w:szCs w:val="24"/>
      <w:lang w:eastAsia="zh-CN"/>
    </w:rPr>
  </w:style>
  <w:style w:type="paragraph" w:customStyle="1" w:styleId="char9">
    <w:name w:val="char"/>
    <w:basedOn w:val="a"/>
    <w:qFormat/>
    <w:pPr>
      <w:spacing w:after="160" w:line="240" w:lineRule="exact"/>
    </w:pPr>
    <w:rPr>
      <w:rFonts w:ascii="Times New Roman" w:hAnsi="Times New Roman"/>
      <w:kern w:val="2"/>
      <w:sz w:val="21"/>
      <w:szCs w:val="24"/>
      <w:lang w:eastAsia="zh-CN"/>
    </w:rPr>
  </w:style>
  <w:style w:type="paragraph" w:customStyle="1" w:styleId="afffff4">
    <w:name w:val="正文(首行缩进)宋旭峰"/>
    <w:basedOn w:val="a6"/>
    <w:uiPriority w:val="99"/>
    <w:qFormat/>
    <w:pPr>
      <w:spacing w:line="360" w:lineRule="auto"/>
      <w:ind w:firstLine="0"/>
    </w:pPr>
    <w:rPr>
      <w:snapToGrid w:val="0"/>
      <w:sz w:val="24"/>
      <w:szCs w:val="20"/>
    </w:rPr>
  </w:style>
  <w:style w:type="paragraph" w:customStyle="1" w:styleId="17">
    <w:name w:val="列表段落1"/>
    <w:basedOn w:val="a"/>
    <w:uiPriority w:val="34"/>
    <w:qFormat/>
    <w:pPr>
      <w:widowControl w:val="0"/>
      <w:ind w:firstLineChars="200" w:firstLine="420"/>
      <w:jc w:val="both"/>
    </w:pPr>
    <w:rPr>
      <w:rFonts w:ascii="Times New Roman" w:hAnsi="Times New Roman"/>
      <w:kern w:val="2"/>
      <w:sz w:val="21"/>
      <w:szCs w:val="24"/>
      <w:lang w:eastAsia="zh-CN"/>
    </w:rPr>
  </w:style>
  <w:style w:type="character" w:customStyle="1" w:styleId="Char11">
    <w:name w:val="纯文本 Char1"/>
    <w:qFormat/>
    <w:rPr>
      <w:rFonts w:ascii="宋体" w:hAnsi="Courier New" w:cs="Courier New"/>
      <w:kern w:val="2"/>
      <w:sz w:val="21"/>
      <w:szCs w:val="21"/>
    </w:rPr>
  </w:style>
  <w:style w:type="character" w:customStyle="1" w:styleId="2b">
    <w:name w:val="正文文本 2 字符"/>
    <w:basedOn w:val="a0"/>
    <w:qFormat/>
    <w:rPr>
      <w:sz w:val="22"/>
      <w:szCs w:val="22"/>
      <w:lang w:eastAsia="en-US"/>
    </w:rPr>
  </w:style>
  <w:style w:type="character" w:customStyle="1" w:styleId="Chara">
    <w:name w:val="题注 Char"/>
    <w:qFormat/>
    <w:rPr>
      <w:rFonts w:ascii="Calibri" w:hAnsi="Calibri" w:cs="黑体"/>
      <w:kern w:val="2"/>
      <w:sz w:val="21"/>
      <w:szCs w:val="24"/>
      <w:lang w:val="en-US" w:eastAsia="zh-CN" w:bidi="ar-SA"/>
    </w:rPr>
  </w:style>
  <w:style w:type="character" w:customStyle="1" w:styleId="lh151">
    <w:name w:val="lh151"/>
    <w:basedOn w:val="a0"/>
    <w:qFormat/>
  </w:style>
  <w:style w:type="character" w:customStyle="1" w:styleId="18">
    <w:name w:val="正文文本 字符1"/>
    <w:semiHidden/>
    <w:qFormat/>
    <w:rPr>
      <w:rFonts w:ascii="Times New Roman" w:eastAsia="宋体" w:hAnsi="Times New Roman" w:cs="Times New Roman"/>
      <w:sz w:val="24"/>
      <w:szCs w:val="24"/>
    </w:rPr>
  </w:style>
  <w:style w:type="paragraph" w:customStyle="1" w:styleId="afffff5">
    <w:name w:val="本正文"/>
    <w:basedOn w:val="af"/>
    <w:qFormat/>
    <w:pPr>
      <w:spacing w:line="300" w:lineRule="auto"/>
      <w:ind w:firstLine="420"/>
    </w:pPr>
    <w:rPr>
      <w:szCs w:val="21"/>
    </w:rPr>
  </w:style>
  <w:style w:type="character" w:customStyle="1" w:styleId="fontstyle01">
    <w:name w:val="fontstyle01"/>
    <w:basedOn w:val="a0"/>
    <w:qFormat/>
    <w:rPr>
      <w:rFonts w:ascii="仿宋_GB2312" w:eastAsia="仿宋_GB2312" w:hAnsi="仿宋_GB2312" w:cs="仿宋_GB2312"/>
      <w:color w:val="000000"/>
      <w:sz w:val="28"/>
      <w:szCs w:val="28"/>
    </w:rPr>
  </w:style>
  <w:style w:type="character" w:customStyle="1" w:styleId="fontstyle21">
    <w:name w:val="fontstyle21"/>
    <w:basedOn w:val="a0"/>
    <w:qFormat/>
    <w:rPr>
      <w:rFonts w:ascii="Calibri" w:hAnsi="Calibri" w:cs="Calibri"/>
      <w:color w:val="000000"/>
      <w:sz w:val="22"/>
      <w:szCs w:val="22"/>
    </w:rPr>
  </w:style>
  <w:style w:type="paragraph" w:customStyle="1" w:styleId="02">
    <w:name w:val="0环评标题2"/>
    <w:basedOn w:val="2"/>
    <w:qFormat/>
    <w:pPr>
      <w:adjustRightInd/>
      <w:spacing w:line="480" w:lineRule="exact"/>
      <w:ind w:firstLine="200"/>
    </w:pPr>
    <w:rPr>
      <w:rFonts w:ascii="ˎ̥" w:eastAsia="Arial" w:hAnsi="ˎ̥" w:cs="Arial"/>
      <w:kern w:val="2"/>
      <w:sz w:val="26"/>
    </w:rPr>
  </w:style>
  <w:style w:type="paragraph" w:customStyle="1" w:styleId="2SLCON2">
    <w:name w:val="样式 正文 首行缩进:  2 字符 SL CON + 首行缩进:  2 字符"/>
    <w:basedOn w:val="2SLCON"/>
    <w:qFormat/>
    <w:pPr>
      <w:ind w:firstLine="480"/>
    </w:pPr>
  </w:style>
  <w:style w:type="paragraph" w:customStyle="1" w:styleId="2SLCON">
    <w:name w:val="正文 首行缩进:  2 字符 SL CON"/>
    <w:basedOn w:val="a"/>
    <w:qFormat/>
    <w:pPr>
      <w:tabs>
        <w:tab w:val="left" w:pos="377"/>
      </w:tabs>
      <w:spacing w:line="360" w:lineRule="auto"/>
      <w:ind w:firstLineChars="200" w:firstLine="200"/>
    </w:pPr>
    <w:rPr>
      <w:rFonts w:ascii="宋体" w:cs="宋体"/>
      <w:sz w:val="24"/>
    </w:rPr>
  </w:style>
  <w:style w:type="paragraph" w:customStyle="1" w:styleId="afffff6">
    <w:name w:val="图名使用"/>
    <w:basedOn w:val="a"/>
    <w:qFormat/>
    <w:pPr>
      <w:spacing w:line="440" w:lineRule="exact"/>
      <w:jc w:val="center"/>
    </w:pPr>
    <w:rPr>
      <w:rFonts w:eastAsia="黑体"/>
      <w:kern w:val="2"/>
      <w:szCs w:val="21"/>
    </w:rPr>
  </w:style>
  <w:style w:type="paragraph" w:customStyle="1" w:styleId="BodyText22">
    <w:name w:val="Body Text 22"/>
    <w:basedOn w:val="a"/>
    <w:qFormat/>
    <w:pPr>
      <w:spacing w:line="440" w:lineRule="atLeast"/>
      <w:ind w:firstLine="480"/>
    </w:pPr>
    <w:rPr>
      <w:rFonts w:ascii="仿宋_GB2312" w:eastAsia="ˎ̥" w:hAnsi="仿宋_GB2312" w:cs="仿宋_GB2312"/>
      <w:kern w:val="2"/>
    </w:rPr>
  </w:style>
  <w:style w:type="paragraph" w:customStyle="1" w:styleId="03">
    <w:name w:val="0环评正文"/>
    <w:basedOn w:val="a"/>
    <w:qFormat/>
    <w:pPr>
      <w:spacing w:line="480" w:lineRule="exact"/>
      <w:ind w:firstLineChars="200" w:firstLine="200"/>
    </w:pPr>
    <w:rPr>
      <w:kern w:val="2"/>
      <w:sz w:val="26"/>
    </w:rPr>
  </w:style>
  <w:style w:type="paragraph" w:customStyle="1" w:styleId="afffff7">
    <w:name w:val="二级无标题条"/>
    <w:basedOn w:val="a"/>
    <w:rPr>
      <w:kern w:val="2"/>
      <w:sz w:val="21"/>
    </w:rPr>
  </w:style>
  <w:style w:type="paragraph" w:customStyle="1" w:styleId="afffff8">
    <w:name w:val="表头使用"/>
    <w:basedOn w:val="a"/>
    <w:qFormat/>
    <w:pPr>
      <w:jc w:val="right"/>
    </w:pPr>
    <w:rPr>
      <w:rFonts w:eastAsia="黑体"/>
      <w:szCs w:val="24"/>
    </w:rPr>
  </w:style>
  <w:style w:type="paragraph" w:customStyle="1" w:styleId="2c">
    <w:name w:val="纯文本2"/>
    <w:basedOn w:val="a"/>
    <w:qFormat/>
    <w:rPr>
      <w:rFonts w:ascii="宋体" w:hAnsi="Courier New" w:cs="Courier New"/>
      <w:sz w:val="20"/>
      <w:szCs w:val="21"/>
    </w:rPr>
  </w:style>
  <w:style w:type="paragraph" w:customStyle="1" w:styleId="afffff9">
    <w:name w:val="正文（科宏）"/>
    <w:pPr>
      <w:widowControl w:val="0"/>
      <w:spacing w:line="360" w:lineRule="auto"/>
      <w:ind w:firstLineChars="200" w:firstLine="200"/>
      <w:jc w:val="both"/>
    </w:pPr>
    <w:rPr>
      <w:rFonts w:ascii="Arial" w:eastAsia="仿宋_GB2312" w:hAnsi="Arial"/>
      <w:sz w:val="28"/>
    </w:rPr>
  </w:style>
  <w:style w:type="character" w:customStyle="1" w:styleId="2SLCON2CharCharChar">
    <w:name w:val="样式 样式 正文 首行缩进:  2 字符 SL CON + 首行缩进:  2 字符 + 宋体 Char Char Char"/>
    <w:qFormat/>
    <w:rPr>
      <w:kern w:val="2"/>
      <w:sz w:val="24"/>
      <w:szCs w:val="21"/>
    </w:rPr>
  </w:style>
  <w:style w:type="paragraph" w:customStyle="1" w:styleId="2SLCON20">
    <w:name w:val="样式 样式 正文 首行缩进:  2 字符 SL CON + 首行缩进:  2 字符 + 宋体"/>
    <w:basedOn w:val="2SLCON2"/>
    <w:qFormat/>
    <w:rPr>
      <w:rFonts w:ascii="Calibri"/>
    </w:rPr>
  </w:style>
  <w:style w:type="paragraph" w:customStyle="1" w:styleId="2d">
    <w:name w:val="普通(网站)2"/>
    <w:basedOn w:val="a"/>
    <w:pPr>
      <w:spacing w:before="100" w:beforeAutospacing="1" w:after="100" w:afterAutospacing="1"/>
    </w:pPr>
    <w:rPr>
      <w:rFonts w:ascii="宋体" w:hAnsi="宋体"/>
      <w:kern w:val="2"/>
      <w:sz w:val="24"/>
      <w:szCs w:val="20"/>
      <w:lang w:eastAsia="zh-CN"/>
    </w:rPr>
  </w:style>
  <w:style w:type="character" w:customStyle="1" w:styleId="CharChar2">
    <w:name w:val="样式 小四 Char Char"/>
    <w:link w:val="afffffa"/>
    <w:qFormat/>
    <w:rPr>
      <w:szCs w:val="24"/>
      <w:lang w:val="zh-CN"/>
    </w:rPr>
  </w:style>
  <w:style w:type="paragraph" w:customStyle="1" w:styleId="afffffa">
    <w:name w:val="样式 小四"/>
    <w:basedOn w:val="a"/>
    <w:link w:val="CharChar2"/>
    <w:qFormat/>
    <w:pPr>
      <w:widowControl w:val="0"/>
      <w:spacing w:line="360" w:lineRule="auto"/>
      <w:ind w:firstLine="480"/>
      <w:jc w:val="both"/>
    </w:pPr>
    <w:rPr>
      <w:rFonts w:ascii="Times New Roman" w:hAnsi="Times New Roman"/>
      <w:sz w:val="20"/>
      <w:szCs w:val="24"/>
      <w:lang w:val="zh-CN" w:eastAsia="zh-CN"/>
    </w:rPr>
  </w:style>
  <w:style w:type="paragraph" w:customStyle="1" w:styleId="C">
    <w:name w:val="C正文"/>
    <w:basedOn w:val="a"/>
    <w:qFormat/>
    <w:pPr>
      <w:widowControl w:val="0"/>
      <w:spacing w:line="360" w:lineRule="auto"/>
      <w:ind w:firstLineChars="200" w:firstLine="200"/>
      <w:contextualSpacing/>
      <w:jc w:val="both"/>
    </w:pPr>
    <w:rPr>
      <w:rFonts w:ascii="Times New Roman" w:hAnsi="Times New Roman"/>
      <w:kern w:val="2"/>
      <w:sz w:val="21"/>
      <w:szCs w:val="24"/>
      <w:lang w:eastAsia="zh-CN"/>
    </w:rPr>
  </w:style>
  <w:style w:type="paragraph" w:customStyle="1" w:styleId="C0">
    <w:name w:val="C表格"/>
    <w:basedOn w:val="a"/>
    <w:next w:val="C"/>
    <w:qFormat/>
    <w:pPr>
      <w:widowControl w:val="0"/>
      <w:spacing w:line="360" w:lineRule="auto"/>
      <w:ind w:firstLineChars="200" w:firstLine="480"/>
      <w:contextualSpacing/>
      <w:jc w:val="center"/>
    </w:pPr>
    <w:rPr>
      <w:rFonts w:ascii="Times New Roman" w:eastAsia="黑体" w:hAnsi="Times New Roman"/>
      <w:kern w:val="2"/>
      <w:sz w:val="21"/>
      <w:szCs w:val="24"/>
      <w:lang w:eastAsia="zh-CN"/>
    </w:rPr>
  </w:style>
  <w:style w:type="character" w:customStyle="1" w:styleId="CharChar3">
    <w:name w:val="泸县焦化三级标题 Char Char"/>
    <w:link w:val="afffffb"/>
    <w:qFormat/>
    <w:rPr>
      <w:b/>
      <w:bCs/>
      <w:sz w:val="24"/>
      <w:szCs w:val="24"/>
    </w:rPr>
  </w:style>
  <w:style w:type="paragraph" w:customStyle="1" w:styleId="afffffb">
    <w:name w:val="泸县焦化三级标题"/>
    <w:basedOn w:val="a"/>
    <w:link w:val="CharChar3"/>
    <w:pPr>
      <w:keepNext/>
      <w:keepLines/>
      <w:widowControl w:val="0"/>
      <w:autoSpaceDE w:val="0"/>
      <w:autoSpaceDN w:val="0"/>
      <w:adjustRightInd w:val="0"/>
      <w:snapToGrid w:val="0"/>
      <w:spacing w:line="360" w:lineRule="auto"/>
      <w:jc w:val="both"/>
      <w:outlineLvl w:val="2"/>
    </w:pPr>
    <w:rPr>
      <w:rFonts w:ascii="Times New Roman" w:hAnsi="Times New Roman"/>
      <w:b/>
      <w:bCs/>
      <w:sz w:val="24"/>
      <w:szCs w:val="24"/>
      <w:lang w:eastAsia="zh-CN"/>
    </w:rPr>
  </w:style>
  <w:style w:type="paragraph" w:customStyle="1" w:styleId="pMsoNormal">
    <w:name w:val="p_MsoNormal"/>
    <w:basedOn w:val="a"/>
    <w:pPr>
      <w:autoSpaceDE w:val="0"/>
      <w:autoSpaceDN w:val="0"/>
      <w:adjustRightInd w:val="0"/>
      <w:spacing w:line="400" w:lineRule="atLeast"/>
      <w:ind w:firstLine="482"/>
      <w:textAlignment w:val="baseline"/>
    </w:pPr>
    <w:rPr>
      <w:rFonts w:ascii="宋体" w:hAnsi="宋体" w:cs="宋体"/>
      <w:sz w:val="24"/>
      <w:szCs w:val="24"/>
      <w:lang w:eastAsia="zh-CN"/>
    </w:rPr>
  </w:style>
  <w:style w:type="character" w:customStyle="1" w:styleId="Char12">
    <w:name w:val="批注文字 Char1"/>
    <w:rPr>
      <w:rFonts w:ascii="Times New Roman" w:eastAsia="宋体" w:hAnsi="Times New Roman" w:cs="Times New Roman"/>
      <w:szCs w:val="24"/>
    </w:rPr>
  </w:style>
  <w:style w:type="character" w:customStyle="1" w:styleId="aff5">
    <w:name w:val="标题 字符"/>
    <w:basedOn w:val="a0"/>
    <w:link w:val="aff4"/>
    <w:uiPriority w:val="10"/>
    <w:qFormat/>
    <w:rPr>
      <w:rFonts w:ascii="Arial" w:hAnsi="Arial"/>
      <w:b/>
      <w:sz w:val="32"/>
    </w:rPr>
  </w:style>
  <w:style w:type="character" w:customStyle="1" w:styleId="sub">
    <w:name w:val="sub"/>
    <w:qFormat/>
    <w:rPr>
      <w:rFonts w:ascii="宋体" w:eastAsia="宋体" w:hAnsi="宋体" w:cs="宋体"/>
      <w:color w:val="000000"/>
      <w:sz w:val="18"/>
      <w:szCs w:val="18"/>
    </w:rPr>
  </w:style>
  <w:style w:type="character" w:customStyle="1" w:styleId="sup">
    <w:name w:val="sup"/>
    <w:rPr>
      <w:rFonts w:ascii="宋体" w:eastAsia="宋体" w:hAnsi="宋体" w:cs="宋体"/>
      <w:color w:val="000000"/>
      <w:sz w:val="18"/>
      <w:szCs w:val="18"/>
    </w:rPr>
  </w:style>
  <w:style w:type="paragraph" w:customStyle="1" w:styleId="afffffc">
    <w:name w:val="表格内格式"/>
    <w:basedOn w:val="a"/>
    <w:next w:val="a"/>
    <w:qFormat/>
    <w:pPr>
      <w:widowControl w:val="0"/>
      <w:autoSpaceDE w:val="0"/>
      <w:autoSpaceDN w:val="0"/>
      <w:adjustRightInd w:val="0"/>
      <w:jc w:val="center"/>
      <w:textAlignment w:val="baseline"/>
    </w:pPr>
    <w:rPr>
      <w:rFonts w:ascii="Times New Roman" w:hAnsi="Times New Roman"/>
      <w:sz w:val="21"/>
      <w:szCs w:val="20"/>
      <w:lang w:eastAsia="zh-CN"/>
    </w:rPr>
  </w:style>
  <w:style w:type="paragraph" w:customStyle="1" w:styleId="afffffd">
    <w:name w:val="正文格式"/>
    <w:basedOn w:val="a"/>
    <w:qFormat/>
    <w:pPr>
      <w:widowControl w:val="0"/>
      <w:autoSpaceDE w:val="0"/>
      <w:autoSpaceDN w:val="0"/>
      <w:adjustRightInd w:val="0"/>
      <w:spacing w:line="360" w:lineRule="auto"/>
      <w:ind w:firstLineChars="200" w:firstLine="480"/>
      <w:jc w:val="both"/>
      <w:textAlignment w:val="baseline"/>
    </w:pPr>
    <w:rPr>
      <w:rFonts w:ascii="Times New Roman" w:hAnsi="Times New Roman"/>
      <w:sz w:val="24"/>
      <w:szCs w:val="20"/>
      <w:lang w:eastAsia="zh-CN"/>
    </w:rPr>
  </w:style>
  <w:style w:type="character" w:customStyle="1" w:styleId="38">
    <w:name w:val="未处理的提及3"/>
    <w:basedOn w:val="a0"/>
    <w:uiPriority w:val="99"/>
    <w:semiHidden/>
    <w:unhideWhenUsed/>
    <w:rPr>
      <w:color w:val="605E5C"/>
      <w:shd w:val="clear" w:color="auto" w:fill="E1DFDD"/>
    </w:rPr>
  </w:style>
  <w:style w:type="paragraph" w:customStyle="1" w:styleId="afffffe">
    <w:name w:val="正文（川油）"/>
    <w:qFormat/>
    <w:pPr>
      <w:widowControl w:val="0"/>
      <w:spacing w:line="360" w:lineRule="auto"/>
      <w:ind w:firstLineChars="200" w:firstLine="200"/>
      <w:jc w:val="both"/>
    </w:pPr>
    <w:rPr>
      <w:sz w:val="24"/>
    </w:rPr>
  </w:style>
  <w:style w:type="paragraph" w:customStyle="1" w:styleId="affffff">
    <w:name w:val="表标题名"/>
    <w:basedOn w:val="afff9"/>
    <w:link w:val="Charb"/>
    <w:pPr>
      <w:tabs>
        <w:tab w:val="left" w:pos="1350"/>
      </w:tabs>
      <w:autoSpaceDE w:val="0"/>
      <w:autoSpaceDN w:val="0"/>
      <w:adjustRightInd w:val="0"/>
      <w:snapToGrid w:val="0"/>
      <w:spacing w:before="0"/>
    </w:pPr>
    <w:rPr>
      <w:rFonts w:ascii="Times New Roman" w:eastAsia="宋体" w:hAnsi="Times New Roman"/>
      <w:shd w:val="clear" w:color="auto" w:fill="FFFFFF"/>
    </w:rPr>
  </w:style>
  <w:style w:type="character" w:customStyle="1" w:styleId="Charb">
    <w:name w:val="表标题名 Char"/>
    <w:link w:val="affffff"/>
    <w:rPr>
      <w:kern w:val="2"/>
      <w:sz w:val="21"/>
      <w:szCs w:val="24"/>
    </w:rPr>
  </w:style>
  <w:style w:type="paragraph" w:customStyle="1" w:styleId="04">
    <w:name w:val="0表格正文"/>
    <w:link w:val="05"/>
    <w:qFormat/>
    <w:pPr>
      <w:jc w:val="center"/>
    </w:pPr>
    <w:rPr>
      <w:rFonts w:cstheme="minorBidi"/>
      <w:sz w:val="21"/>
      <w:szCs w:val="21"/>
    </w:rPr>
  </w:style>
  <w:style w:type="character" w:customStyle="1" w:styleId="05">
    <w:name w:val="0表格正文 字符"/>
    <w:basedOn w:val="a0"/>
    <w:link w:val="04"/>
    <w:rPr>
      <w:rFonts w:cstheme="minorBidi"/>
      <w:sz w:val="21"/>
      <w:szCs w:val="21"/>
    </w:rPr>
  </w:style>
  <w:style w:type="character" w:customStyle="1" w:styleId="Charc">
    <w:name w:val="【表内字】 Char"/>
    <w:link w:val="affffff0"/>
    <w:qFormat/>
    <w:rPr>
      <w:sz w:val="21"/>
      <w:szCs w:val="24"/>
    </w:rPr>
  </w:style>
  <w:style w:type="paragraph" w:customStyle="1" w:styleId="affffff0">
    <w:name w:val="【表内字】"/>
    <w:basedOn w:val="a"/>
    <w:link w:val="Charc"/>
    <w:qFormat/>
    <w:pPr>
      <w:widowControl w:val="0"/>
      <w:jc w:val="center"/>
    </w:pPr>
    <w:rPr>
      <w:rFonts w:ascii="Times New Roman" w:hAnsi="Times New Roman"/>
      <w:sz w:val="21"/>
      <w:szCs w:val="24"/>
      <w:lang w:eastAsia="zh-CN"/>
    </w:rPr>
  </w:style>
  <w:style w:type="character" w:customStyle="1" w:styleId="af7">
    <w:name w:val="日期 字符"/>
    <w:basedOn w:val="a0"/>
    <w:link w:val="af6"/>
    <w:uiPriority w:val="99"/>
    <w:qFormat/>
    <w:rPr>
      <w:rFonts w:ascii="宋体" w:eastAsiaTheme="minorEastAsia" w:cs="宋体"/>
      <w:sz w:val="24"/>
      <w:szCs w:val="24"/>
    </w:rPr>
  </w:style>
  <w:style w:type="paragraph" w:customStyle="1" w:styleId="1L">
    <w:name w:val="1、L表名、图名"/>
    <w:basedOn w:val="a"/>
    <w:qFormat/>
    <w:pPr>
      <w:widowControl w:val="0"/>
      <w:adjustRightInd w:val="0"/>
      <w:snapToGrid w:val="0"/>
      <w:jc w:val="center"/>
    </w:pPr>
    <w:rPr>
      <w:rFonts w:ascii="Times New Roman" w:hAnsi="Times New Roman"/>
      <w:bCs/>
      <w:kern w:val="2"/>
      <w:sz w:val="21"/>
      <w:szCs w:val="18"/>
      <w:lang w:eastAsia="zh-CN"/>
    </w:rPr>
  </w:style>
  <w:style w:type="paragraph" w:customStyle="1" w:styleId="Normal0">
    <w:name w:val="Normal_0"/>
    <w:qFormat/>
    <w:pPr>
      <w:widowControl w:val="0"/>
      <w:spacing w:line="360" w:lineRule="auto"/>
      <w:ind w:firstLineChars="200" w:firstLine="200"/>
      <w:jc w:val="both"/>
    </w:pPr>
    <w:rPr>
      <w:rFonts w:eastAsia="仿宋"/>
      <w:kern w:val="2"/>
      <w:sz w:val="28"/>
      <w:szCs w:val="21"/>
    </w:rPr>
  </w:style>
  <w:style w:type="paragraph" w:customStyle="1" w:styleId="Normal00">
    <w:name w:val="Normal_0_0"/>
    <w:qFormat/>
    <w:pPr>
      <w:widowControl w:val="0"/>
      <w:spacing w:line="360" w:lineRule="auto"/>
      <w:ind w:firstLineChars="200" w:firstLine="200"/>
      <w:jc w:val="both"/>
    </w:pPr>
    <w:rPr>
      <w:rFonts w:eastAsia="仿宋"/>
      <w:kern w:val="2"/>
      <w:sz w:val="28"/>
      <w:szCs w:val="21"/>
    </w:rPr>
  </w:style>
  <w:style w:type="table" w:customStyle="1" w:styleId="S">
    <w:name w:val="S表格正文"/>
    <w:basedOn w:val="a1"/>
    <w:uiPriority w:val="99"/>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06">
    <w:name w:val="0表头"/>
    <w:basedOn w:val="04"/>
    <w:link w:val="07"/>
    <w:qFormat/>
    <w:rPr>
      <w:rFonts w:eastAsia="黑体"/>
      <w:b/>
    </w:rPr>
  </w:style>
  <w:style w:type="character" w:customStyle="1" w:styleId="07">
    <w:name w:val="0表头 字符"/>
    <w:basedOn w:val="05"/>
    <w:link w:val="06"/>
    <w:rPr>
      <w:rFonts w:eastAsia="黑体" w:cstheme="minorBidi"/>
      <w:b/>
      <w:sz w:val="21"/>
      <w:szCs w:val="21"/>
    </w:rPr>
  </w:style>
  <w:style w:type="character" w:customStyle="1" w:styleId="SSEC">
    <w:name w:val="SSEC 表字居中 字符"/>
    <w:link w:val="SSEC0"/>
    <w:qFormat/>
    <w:rPr>
      <w:rFonts w:ascii="宋体"/>
      <w:kern w:val="2"/>
      <w:sz w:val="21"/>
      <w:szCs w:val="21"/>
    </w:rPr>
  </w:style>
  <w:style w:type="paragraph" w:customStyle="1" w:styleId="SSEC0">
    <w:name w:val="SSEC 表字居中"/>
    <w:link w:val="SSEC"/>
    <w:qFormat/>
    <w:pPr>
      <w:widowControl w:val="0"/>
      <w:adjustRightInd w:val="0"/>
      <w:snapToGrid w:val="0"/>
      <w:jc w:val="center"/>
      <w:textAlignment w:val="center"/>
    </w:pPr>
    <w:rPr>
      <w:rFonts w:ascii="宋体"/>
      <w:kern w:val="2"/>
      <w:sz w:val="21"/>
      <w:szCs w:val="21"/>
    </w:rPr>
  </w:style>
  <w:style w:type="paragraph" w:customStyle="1" w:styleId="1CharCharCharChar">
    <w:name w:val="1 Char Char Char Char"/>
    <w:basedOn w:val="a"/>
    <w:qFormat/>
    <w:pPr>
      <w:widowControl w:val="0"/>
      <w:jc w:val="both"/>
    </w:pPr>
    <w:rPr>
      <w:rFonts w:ascii="Times New Roman" w:hAnsi="Times New Roman"/>
      <w:kern w:val="2"/>
      <w:sz w:val="21"/>
      <w:szCs w:val="24"/>
      <w:lang w:eastAsia="zh-CN"/>
    </w:rPr>
  </w:style>
  <w:style w:type="character" w:customStyle="1" w:styleId="SSEC20150323Char">
    <w:name w:val="SSEC表字居中 20150323 Char"/>
    <w:link w:val="SSEC20150323"/>
    <w:qFormat/>
    <w:locked/>
    <w:rPr>
      <w:rFonts w:ascii="宋体" w:hAnsi="宋体"/>
      <w:kern w:val="2"/>
      <w:sz w:val="21"/>
      <w:szCs w:val="21"/>
    </w:rPr>
  </w:style>
  <w:style w:type="paragraph" w:customStyle="1" w:styleId="SSEC20150323">
    <w:name w:val="SSEC表字居中 20150323"/>
    <w:link w:val="SSEC20150323Char"/>
    <w:qFormat/>
    <w:pPr>
      <w:adjustRightInd w:val="0"/>
      <w:snapToGrid w:val="0"/>
      <w:jc w:val="center"/>
    </w:pPr>
    <w:rPr>
      <w:rFonts w:ascii="宋体" w:hAnsi="宋体"/>
      <w:kern w:val="2"/>
      <w:sz w:val="21"/>
      <w:szCs w:val="21"/>
    </w:rPr>
  </w:style>
  <w:style w:type="character" w:customStyle="1" w:styleId="CharChar4">
    <w:name w:val="【正文】 Char Char"/>
    <w:rPr>
      <w:sz w:val="24"/>
      <w:lang w:bidi="ar-SA"/>
    </w:rPr>
  </w:style>
  <w:style w:type="paragraph" w:customStyle="1" w:styleId="TOC110">
    <w:name w:val="TOC 标题11"/>
    <w:next w:val="a"/>
    <w:uiPriority w:val="39"/>
    <w:unhideWhenUsed/>
    <w:qFormat/>
    <w:pPr>
      <w:spacing w:line="360" w:lineRule="auto"/>
      <w:jc w:val="center"/>
    </w:pPr>
    <w:rPr>
      <w:rFonts w:eastAsia="Times New Roman" w:cstheme="majorBidi"/>
      <w:b/>
      <w:bCs/>
      <w:sz w:val="21"/>
      <w:szCs w:val="28"/>
    </w:rPr>
  </w:style>
  <w:style w:type="table" w:customStyle="1" w:styleId="S0">
    <w:name w:val="S表格样式"/>
    <w:basedOn w:val="a1"/>
    <w:uiPriority w:val="99"/>
    <w:rPr>
      <w:rFonts w:eastAsiaTheme="minorEastAsia"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jc w:val="center"/>
    </w:trPr>
    <w:tcPr>
      <w:vAlign w:val="center"/>
    </w:tcPr>
  </w:style>
  <w:style w:type="table" w:customStyle="1" w:styleId="affffff1">
    <w:name w:val="表格正文"/>
    <w:basedOn w:val="affa"/>
    <w:uiPriority w:val="99"/>
    <w:pPr>
      <w:jc w:val="center"/>
    </w:pPr>
    <w:rPr>
      <w:rFonts w:eastAsiaTheme="minorEastAsia" w:cstheme="minorBidi"/>
      <w:sz w:val="21"/>
      <w:szCs w:val="21"/>
    </w:rPr>
    <w:tblPr>
      <w:jc w:val="center"/>
    </w:tblPr>
    <w:trPr>
      <w:jc w:val="center"/>
    </w:trPr>
    <w:tcPr>
      <w:vAlign w:val="center"/>
    </w:tcPr>
  </w:style>
  <w:style w:type="table" w:customStyle="1" w:styleId="19">
    <w:name w:val="样式1"/>
    <w:basedOn w:val="a1"/>
    <w:uiPriority w:val="99"/>
    <w:rPr>
      <w:rFonts w:asciiTheme="minorHAnsi" w:eastAsiaTheme="minorEastAsia" w:hAnsiTheme="minorHAnsi" w:cstheme="minorBidi"/>
      <w:kern w:val="2"/>
      <w:sz w:val="21"/>
      <w:szCs w:val="21"/>
    </w:rPr>
    <w:tblPr/>
    <w:tblStylePr w:type="firstRow">
      <w:rPr>
        <w:rFonts w:ascii="Times New Roman" w:eastAsia="宋体" w:hAnsi="Times New Roman"/>
        <w:b/>
        <w:i w:val="0"/>
        <w:sz w:val="21"/>
      </w:rPr>
      <w:tblPr>
        <w:jc w:val="center"/>
      </w:tblPr>
      <w:trPr>
        <w:jc w:val="center"/>
      </w:trPr>
      <w:tcPr>
        <w:vAlign w:val="center"/>
      </w:tcPr>
    </w:tblStylePr>
  </w:style>
  <w:style w:type="table" w:customStyle="1" w:styleId="affffff2">
    <w:name w:val="表格标题行"/>
    <w:basedOn w:val="a1"/>
    <w:uiPriority w:val="99"/>
    <w:rPr>
      <w:rFonts w:asciiTheme="minorHAnsi" w:eastAsiaTheme="minorEastAsia" w:hAnsiTheme="minorHAnsi" w:cstheme="minorBidi"/>
      <w:kern w:val="2"/>
      <w:sz w:val="21"/>
      <w:szCs w:val="21"/>
    </w:rPr>
    <w:tblPr/>
    <w:tblStylePr w:type="firstRow">
      <w:pPr>
        <w:wordWrap/>
        <w:spacing w:line="240" w:lineRule="auto"/>
      </w:pPr>
      <w:rPr>
        <w:rFonts w:ascii="Times New Roman" w:eastAsia="宋体" w:hAnsi="Times New Roman"/>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affffff3">
    <w:name w:val="表格标题"/>
    <w:basedOn w:val="a"/>
    <w:link w:val="affffff4"/>
    <w:pPr>
      <w:widowControl w:val="0"/>
      <w:spacing w:line="360" w:lineRule="auto"/>
      <w:jc w:val="center"/>
    </w:pPr>
    <w:rPr>
      <w:rFonts w:ascii="Times New Roman" w:hAnsi="Times New Roman" w:cstheme="minorBidi"/>
      <w:sz w:val="24"/>
      <w:szCs w:val="21"/>
      <w:lang w:eastAsia="zh-CN"/>
    </w:rPr>
  </w:style>
  <w:style w:type="character" w:customStyle="1" w:styleId="affffff4">
    <w:name w:val="表格标题 字符"/>
    <w:basedOn w:val="a0"/>
    <w:link w:val="affffff3"/>
    <w:rPr>
      <w:rFonts w:cstheme="minorBidi"/>
      <w:sz w:val="24"/>
      <w:szCs w:val="21"/>
    </w:rPr>
  </w:style>
  <w:style w:type="paragraph" w:customStyle="1" w:styleId="affffff5">
    <w:name w:val="文本框"/>
    <w:basedOn w:val="af4"/>
    <w:qFormat/>
    <w:pPr>
      <w:framePr w:wrap="around" w:vAnchor="text" w:hAnchor="text" w:y="1"/>
    </w:pPr>
    <w:rPr>
      <w:rFonts w:ascii="Times New Roman" w:eastAsia="华文仿宋" w:hAnsi="Times New Roman"/>
      <w:kern w:val="0"/>
      <w:szCs w:val="21"/>
    </w:rPr>
  </w:style>
  <w:style w:type="paragraph" w:customStyle="1" w:styleId="1a">
    <w:name w:val="正文_1"/>
    <w:qFormat/>
    <w:pPr>
      <w:widowControl w:val="0"/>
      <w:jc w:val="both"/>
    </w:pPr>
    <w:rPr>
      <w:kern w:val="2"/>
      <w:sz w:val="21"/>
      <w:szCs w:val="24"/>
    </w:rPr>
  </w:style>
  <w:style w:type="table" w:customStyle="1" w:styleId="V">
    <w:name w:val="表格内容V"/>
    <w:basedOn w:val="a1"/>
    <w:uiPriority w:val="99"/>
    <w:rPr>
      <w:rFonts w:asciiTheme="minorHAnsi" w:eastAsiaTheme="minorEastAsia" w:hAnsiTheme="minorHAnsi" w:cstheme="minorBidi"/>
      <w:kern w:val="2"/>
      <w:sz w:val="21"/>
      <w:szCs w:val="21"/>
    </w:rPr>
    <w:tblPr>
      <w:jc w:val="center"/>
      <w:tblCellSpacing w:w="11" w:type="dxa"/>
    </w:tblPr>
    <w:trPr>
      <w:tblCellSpacing w:w="11" w:type="dxa"/>
      <w:jc w:val="center"/>
    </w:trPr>
    <w:tcPr>
      <w:vAlign w:val="center"/>
    </w:tcPr>
  </w:style>
  <w:style w:type="table" w:customStyle="1" w:styleId="08">
    <w:name w:val="0表格内容"/>
    <w:basedOn w:val="a1"/>
    <w:uiPriority w:val="99"/>
    <w:rPr>
      <w:rFonts w:cstheme="minorBidi"/>
      <w:sz w:val="21"/>
      <w:szCs w:val="21"/>
    </w:rPr>
    <w:tblPr>
      <w:jc w:val="center"/>
    </w:tblPr>
    <w:trPr>
      <w:jc w:val="center"/>
    </w:trPr>
    <w:tcPr>
      <w:vAlign w:val="center"/>
    </w:tcPr>
  </w:style>
  <w:style w:type="table" w:customStyle="1" w:styleId="1b">
    <w:name w:val="表格正文1"/>
    <w:basedOn w:val="affa"/>
    <w:uiPriority w:val="99"/>
    <w:pPr>
      <w:jc w:val="center"/>
    </w:pPr>
    <w:rPr>
      <w:rFonts w:eastAsiaTheme="minorEastAsia" w:cstheme="minorBidi"/>
      <w:sz w:val="21"/>
      <w:szCs w:val="21"/>
    </w:rPr>
    <w:tblPr>
      <w:jc w:val="center"/>
    </w:tblPr>
    <w:trPr>
      <w:jc w:val="center"/>
    </w:trPr>
    <w:tcPr>
      <w:vAlign w:val="center"/>
    </w:tcPr>
  </w:style>
  <w:style w:type="character" w:styleId="affffff6">
    <w:name w:val="Placeholder Text"/>
    <w:basedOn w:val="a0"/>
    <w:uiPriority w:val="99"/>
    <w:semiHidden/>
    <w:rPr>
      <w:color w:val="808080"/>
    </w:rPr>
  </w:style>
  <w:style w:type="table" w:customStyle="1" w:styleId="1c">
    <w:name w:val="网格型1"/>
    <w:basedOn w:val="a1"/>
    <w:uiPriority w:val="3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网格型2"/>
    <w:basedOn w:val="a1"/>
    <w:uiPriority w:val="3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网格型3"/>
    <w:basedOn w:val="a1"/>
    <w:uiPriority w:val="39"/>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1">
    <w:name w:val="S表格正文1"/>
    <w:basedOn w:val="a1"/>
    <w:uiPriority w:val="99"/>
    <w:rPr>
      <w:rFonts w:cstheme="minorBidi"/>
      <w:kern w:val="2"/>
      <w:sz w:val="21"/>
      <w:szCs w:val="21"/>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TOC20">
    <w:name w:val="TOC 标题2"/>
    <w:basedOn w:val="1"/>
    <w:next w:val="a"/>
    <w:uiPriority w:val="39"/>
    <w:unhideWhenUsed/>
    <w:qFormat/>
    <w:pPr>
      <w:spacing w:beforeLines="100"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eastAsia="zh-CN"/>
    </w:rPr>
  </w:style>
  <w:style w:type="paragraph" w:customStyle="1" w:styleId="09">
    <w:name w:val="正文_0"/>
    <w:qFormat/>
    <w:pPr>
      <w:widowControl w:val="0"/>
      <w:spacing w:line="360" w:lineRule="auto"/>
      <w:jc w:val="both"/>
    </w:pPr>
    <w:rPr>
      <w:kern w:val="2"/>
      <w:sz w:val="21"/>
      <w:szCs w:val="24"/>
    </w:rPr>
  </w:style>
  <w:style w:type="paragraph" w:customStyle="1" w:styleId="Normal2">
    <w:name w:val="Normal_2"/>
    <w:qFormat/>
    <w:pPr>
      <w:widowControl w:val="0"/>
      <w:jc w:val="both"/>
    </w:pPr>
    <w:rPr>
      <w:kern w:val="2"/>
      <w:sz w:val="21"/>
      <w:szCs w:val="24"/>
    </w:rPr>
  </w:style>
  <w:style w:type="table" w:customStyle="1" w:styleId="2f">
    <w:name w:val="表格正文2"/>
    <w:basedOn w:val="affa"/>
    <w:uiPriority w:val="99"/>
    <w:pPr>
      <w:jc w:val="center"/>
    </w:pPr>
    <w:rPr>
      <w:rFonts w:eastAsiaTheme="minorEastAsia" w:cstheme="minorBidi"/>
      <w:sz w:val="21"/>
      <w:szCs w:val="21"/>
    </w:rPr>
    <w:tblPr>
      <w:jc w:val="center"/>
    </w:tblPr>
    <w:trPr>
      <w:jc w:val="center"/>
    </w:trPr>
    <w:tcPr>
      <w:vAlign w:val="center"/>
    </w:tcPr>
  </w:style>
  <w:style w:type="character" w:customStyle="1" w:styleId="CharChar5">
    <w:name w:val="表格 Char Char"/>
    <w:link w:val="affffff7"/>
    <w:qFormat/>
    <w:rPr>
      <w:rFonts w:ascii="宋体" w:hAnsi="宋体" w:cs="宋体"/>
      <w:sz w:val="24"/>
    </w:rPr>
  </w:style>
  <w:style w:type="paragraph" w:customStyle="1" w:styleId="affffff7">
    <w:name w:val="表格"/>
    <w:basedOn w:val="a"/>
    <w:link w:val="CharChar5"/>
    <w:qFormat/>
    <w:pPr>
      <w:adjustRightInd w:val="0"/>
      <w:jc w:val="center"/>
      <w:textAlignment w:val="baseline"/>
    </w:pPr>
    <w:rPr>
      <w:rFonts w:ascii="宋体" w:hAnsi="宋体" w:cs="宋体"/>
      <w:sz w:val="24"/>
      <w:szCs w:val="20"/>
      <w:lang w:eastAsia="zh-CN"/>
    </w:rPr>
  </w:style>
  <w:style w:type="paragraph" w:customStyle="1" w:styleId="affffff8">
    <w:name w:val="表内文字"/>
    <w:basedOn w:val="a"/>
    <w:qFormat/>
    <w:pPr>
      <w:ind w:left="57" w:right="57"/>
      <w:jc w:val="center"/>
    </w:pPr>
    <w:rPr>
      <w:rFonts w:ascii="Times" w:hAnsi="Times" w:cs="Times"/>
      <w:snapToGrid w:val="0"/>
      <w:spacing w:val="-20"/>
      <w:sz w:val="24"/>
      <w:szCs w:val="21"/>
      <w:lang w:eastAsia="zh-CN"/>
    </w:rPr>
  </w:style>
  <w:style w:type="paragraph" w:customStyle="1" w:styleId="L-">
    <w:name w:val="L-正文"/>
    <w:basedOn w:val="a"/>
    <w:qFormat/>
    <w:pPr>
      <w:widowControl w:val="0"/>
      <w:ind w:firstLine="480"/>
      <w:jc w:val="both"/>
    </w:pPr>
    <w:rPr>
      <w:rFonts w:ascii="宋体" w:hAnsi="Times New Roman" w:cs="Tahoma"/>
      <w:color w:val="444444"/>
      <w:sz w:val="24"/>
      <w:szCs w:val="27"/>
      <w:shd w:val="clear" w:color="auto" w:fill="FFFFFF"/>
      <w:lang w:eastAsia="zh-CN"/>
    </w:rPr>
  </w:style>
  <w:style w:type="paragraph" w:customStyle="1" w:styleId="affffff9">
    <w:name w:val="图表内容"/>
    <w:basedOn w:val="a"/>
    <w:next w:val="af"/>
    <w:qFormat/>
    <w:pPr>
      <w:widowControl w:val="0"/>
      <w:adjustRightInd w:val="0"/>
      <w:jc w:val="center"/>
      <w:textAlignment w:val="baseline"/>
    </w:pPr>
    <w:rPr>
      <w:rFonts w:ascii="宋体" w:eastAsiaTheme="minorEastAsia" w:hAnsiTheme="minorHAnsi"/>
      <w:kern w:val="2"/>
      <w:sz w:val="21"/>
      <w:szCs w:val="20"/>
      <w:lang w:eastAsia="zh-CN"/>
    </w:rPr>
  </w:style>
  <w:style w:type="table" w:customStyle="1" w:styleId="ZHJICIA1">
    <w:name w:val="网格型ZHJICIA1"/>
    <w:basedOn w:val="a1"/>
    <w:uiPriority w:val="59"/>
    <w:qFormat/>
    <w:pPr>
      <w:widowControl w:val="0"/>
      <w:spacing w:before="120" w:after="120" w:line="360" w:lineRule="exact"/>
      <w:ind w:firstLine="482"/>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标题 7 字符"/>
    <w:basedOn w:val="a0"/>
    <w:link w:val="7"/>
    <w:rPr>
      <w:b/>
      <w:bCs/>
      <w:kern w:val="2"/>
      <w:sz w:val="24"/>
      <w:szCs w:val="24"/>
    </w:rPr>
  </w:style>
  <w:style w:type="character" w:customStyle="1" w:styleId="a5">
    <w:name w:val="注释标题 字符"/>
    <w:basedOn w:val="a0"/>
    <w:link w:val="a4"/>
    <w:rPr>
      <w:kern w:val="2"/>
      <w:sz w:val="30"/>
    </w:rPr>
  </w:style>
  <w:style w:type="paragraph" w:customStyle="1" w:styleId="1d">
    <w:name w:val="正文1"/>
    <w:basedOn w:val="af1"/>
    <w:pPr>
      <w:widowControl w:val="0"/>
      <w:adjustRightInd w:val="0"/>
      <w:snapToGrid w:val="0"/>
      <w:spacing w:line="500" w:lineRule="exact"/>
      <w:ind w:firstLineChars="200" w:firstLine="520"/>
      <w:jc w:val="both"/>
    </w:pPr>
    <w:rPr>
      <w:rFonts w:ascii="Times New Roman" w:hAnsi="Times New Roman"/>
      <w:kern w:val="2"/>
      <w:sz w:val="26"/>
      <w:szCs w:val="26"/>
      <w:lang w:eastAsia="zh-CN"/>
    </w:rPr>
  </w:style>
  <w:style w:type="paragraph" w:customStyle="1" w:styleId="affffffa">
    <w:name w:val="报告正文"/>
    <w:basedOn w:val="aff8"/>
    <w:qFormat/>
    <w:pPr>
      <w:spacing w:line="360" w:lineRule="auto"/>
      <w:ind w:firstLineChars="200" w:firstLine="480"/>
    </w:pPr>
    <w:rPr>
      <w:rFonts w:ascii="宋体" w:hAnsi="宋体"/>
      <w:sz w:val="24"/>
    </w:rPr>
  </w:style>
  <w:style w:type="character" w:customStyle="1" w:styleId="aff9">
    <w:name w:val="正文文本首行缩进 字符"/>
    <w:basedOn w:val="af0"/>
    <w:link w:val="aff8"/>
    <w:rPr>
      <w:rFonts w:ascii="宋体" w:hAnsi="宋体"/>
      <w:kern w:val="2"/>
      <w:sz w:val="21"/>
      <w:szCs w:val="24"/>
      <w:lang w:eastAsia="en-US"/>
    </w:rPr>
  </w:style>
  <w:style w:type="character" w:customStyle="1" w:styleId="HTML0">
    <w:name w:val="HTML 预设格式 字符"/>
    <w:basedOn w:val="a0"/>
    <w:link w:val="HTML"/>
    <w:rPr>
      <w:rFonts w:ascii="Arial" w:hAnsi="Arial" w:cs="Arial"/>
      <w:sz w:val="24"/>
      <w:szCs w:val="24"/>
    </w:rPr>
  </w:style>
  <w:style w:type="character" w:customStyle="1" w:styleId="Char4CharCharCharTimesNewRomanChar">
    <w:name w:val="样式 Char4 Char Char Char + Times New Roman Char"/>
    <w:link w:val="Char4CharCharCharTimesNewRoman"/>
    <w:rPr>
      <w:rFonts w:cs="宋体"/>
      <w:kern w:val="2"/>
      <w:sz w:val="24"/>
      <w:szCs w:val="26"/>
    </w:rPr>
  </w:style>
  <w:style w:type="paragraph" w:customStyle="1" w:styleId="Char4CharCharCharTimesNewRoman">
    <w:name w:val="样式 Char4 Char Char Char + Times New Roman"/>
    <w:basedOn w:val="Char4CharCharChar"/>
    <w:link w:val="Char4CharCharCharTimesNewRomanChar"/>
    <w:rPr>
      <w:rFonts w:ascii="Times New Roman" w:hAnsi="Times New Roman"/>
    </w:rPr>
  </w:style>
  <w:style w:type="paragraph" w:customStyle="1" w:styleId="Char4CharCharChar">
    <w:name w:val="Char4 Char Char Char"/>
    <w:basedOn w:val="a"/>
    <w:pPr>
      <w:widowControl w:val="0"/>
      <w:adjustRightInd w:val="0"/>
      <w:snapToGrid w:val="0"/>
      <w:spacing w:line="400" w:lineRule="exact"/>
      <w:ind w:firstLineChars="200" w:firstLine="200"/>
      <w:jc w:val="both"/>
    </w:pPr>
    <w:rPr>
      <w:rFonts w:ascii="宋体" w:hAnsi="宋体" w:cs="宋体"/>
      <w:kern w:val="2"/>
      <w:sz w:val="24"/>
      <w:szCs w:val="26"/>
      <w:lang w:eastAsia="zh-CN"/>
    </w:rPr>
  </w:style>
  <w:style w:type="character" w:customStyle="1" w:styleId="CharChar6">
    <w:name w:val="标准样式 Char Char"/>
    <w:rPr>
      <w:rFonts w:eastAsia="宋体"/>
      <w:kern w:val="2"/>
      <w:sz w:val="28"/>
      <w:lang w:val="en-US" w:eastAsia="zh-CN" w:bidi="ar-SA"/>
    </w:rPr>
  </w:style>
  <w:style w:type="character" w:customStyle="1" w:styleId="105Char">
    <w:name w:val="样式105 Char"/>
    <w:link w:val="105"/>
    <w:rPr>
      <w:rFonts w:ascii="宋体" w:hAnsi="宋体" w:cs="宋体"/>
      <w:sz w:val="26"/>
      <w:szCs w:val="26"/>
    </w:rPr>
  </w:style>
  <w:style w:type="paragraph" w:customStyle="1" w:styleId="105">
    <w:name w:val="样式105"/>
    <w:link w:val="105Char"/>
    <w:qFormat/>
    <w:pPr>
      <w:adjustRightInd w:val="0"/>
      <w:snapToGrid w:val="0"/>
      <w:spacing w:line="460" w:lineRule="exact"/>
      <w:ind w:firstLineChars="200" w:firstLine="520"/>
    </w:pPr>
    <w:rPr>
      <w:rFonts w:ascii="宋体" w:hAnsi="宋体" w:cs="宋体"/>
      <w:sz w:val="26"/>
      <w:szCs w:val="26"/>
    </w:rPr>
  </w:style>
  <w:style w:type="character" w:customStyle="1" w:styleId="1Char">
    <w:name w:val="样式1 Char"/>
    <w:rPr>
      <w:rFonts w:eastAsia="黑体"/>
      <w:kern w:val="2"/>
      <w:sz w:val="28"/>
      <w:lang w:val="en-US" w:eastAsia="zh-CN" w:bidi="ar-SA"/>
    </w:rPr>
  </w:style>
  <w:style w:type="character" w:customStyle="1" w:styleId="fontstyle11">
    <w:name w:val="fontstyle11"/>
    <w:rPr>
      <w:rFonts w:ascii="Times New Roman" w:hAnsi="Times New Roman" w:cs="Times New Roman" w:hint="default"/>
      <w:color w:val="000000"/>
      <w:sz w:val="22"/>
      <w:szCs w:val="22"/>
    </w:rPr>
  </w:style>
  <w:style w:type="character" w:customStyle="1" w:styleId="font01">
    <w:name w:val="font01"/>
    <w:rPr>
      <w:rFonts w:ascii="宋体" w:eastAsia="宋体" w:hAnsi="宋体" w:cs="宋体" w:hint="eastAsia"/>
      <w:color w:val="000000"/>
      <w:sz w:val="24"/>
      <w:szCs w:val="24"/>
      <w:u w:val="none"/>
      <w:vertAlign w:val="superscript"/>
    </w:rPr>
  </w:style>
  <w:style w:type="character" w:customStyle="1" w:styleId="Char13">
    <w:name w:val="标准样式 Char1"/>
    <w:link w:val="affffffb"/>
    <w:rPr>
      <w:rFonts w:ascii="宋体"/>
      <w:sz w:val="28"/>
    </w:rPr>
  </w:style>
  <w:style w:type="paragraph" w:customStyle="1" w:styleId="affffffb">
    <w:name w:val="标准样式"/>
    <w:link w:val="Char13"/>
    <w:pPr>
      <w:widowControl w:val="0"/>
      <w:spacing w:line="600" w:lineRule="exact"/>
      <w:ind w:firstLine="567"/>
      <w:jc w:val="both"/>
    </w:pPr>
    <w:rPr>
      <w:rFonts w:ascii="宋体"/>
      <w:sz w:val="28"/>
    </w:rPr>
  </w:style>
  <w:style w:type="character" w:customStyle="1" w:styleId="Chard">
    <w:name w:val="标题节 Char"/>
    <w:aliases w:val="标题 2 Char Char Char,1.1标题 2 Char,1.1 Char,MB2 Char,h2 Char,2 Char,Header 2nd Page Char,A.B.C. Char,h2 main heading Char,A Char,l2 Char,2nd level Char,Titre2 Char,Header 2 Char,Se Char,节标题 Char,H2 Char,UNDERRUBRIK 1-2 Char,一级节名 Char,章 Char"/>
    <w:rPr>
      <w:rFonts w:eastAsia="宋体"/>
      <w:b/>
      <w:kern w:val="2"/>
      <w:sz w:val="26"/>
      <w:szCs w:val="32"/>
      <w:lang w:val="en-US" w:eastAsia="zh-CN" w:bidi="ar-SA"/>
    </w:rPr>
  </w:style>
  <w:style w:type="character" w:customStyle="1" w:styleId="2f0">
    <w:name w:val="页码2"/>
    <w:basedOn w:val="a0"/>
  </w:style>
  <w:style w:type="character" w:customStyle="1" w:styleId="Chare">
    <w:name w:val="三级标题 Char"/>
    <w:rPr>
      <w:rFonts w:eastAsia="宋体"/>
      <w:b/>
      <w:kern w:val="2"/>
      <w:sz w:val="26"/>
      <w:szCs w:val="26"/>
      <w:lang w:val="en-US" w:eastAsia="zh-CN" w:bidi="ar-SA"/>
    </w:rPr>
  </w:style>
  <w:style w:type="character" w:customStyle="1" w:styleId="apple-style-span">
    <w:name w:val="apple-style-span"/>
    <w:basedOn w:val="a0"/>
  </w:style>
  <w:style w:type="character" w:customStyle="1" w:styleId="2Char2">
    <w:name w:val="正文（首行缩进2字） Char"/>
    <w:link w:val="2f1"/>
    <w:rPr>
      <w:kern w:val="2"/>
      <w:sz w:val="28"/>
      <w:szCs w:val="30"/>
    </w:rPr>
  </w:style>
  <w:style w:type="paragraph" w:customStyle="1" w:styleId="2f1">
    <w:name w:val="正文（首行缩进2字）"/>
    <w:basedOn w:val="a"/>
    <w:link w:val="2Char2"/>
    <w:pPr>
      <w:widowControl w:val="0"/>
      <w:spacing w:line="500" w:lineRule="exact"/>
      <w:ind w:firstLineChars="200" w:firstLine="560"/>
      <w:jc w:val="both"/>
    </w:pPr>
    <w:rPr>
      <w:rFonts w:ascii="Times New Roman" w:hAnsi="Times New Roman"/>
      <w:kern w:val="2"/>
      <w:sz w:val="28"/>
      <w:szCs w:val="30"/>
      <w:lang w:eastAsia="zh-CN"/>
    </w:rPr>
  </w:style>
  <w:style w:type="character" w:customStyle="1" w:styleId="Charf">
    <w:name w:val="引用 Char"/>
    <w:aliases w:val="备注 Char"/>
    <w:link w:val="1e"/>
    <w:rPr>
      <w:iCs/>
      <w:color w:val="000000"/>
      <w:kern w:val="2"/>
      <w:sz w:val="22"/>
      <w:szCs w:val="24"/>
    </w:rPr>
  </w:style>
  <w:style w:type="paragraph" w:customStyle="1" w:styleId="1e">
    <w:name w:val="引用1"/>
    <w:basedOn w:val="a"/>
    <w:next w:val="a"/>
    <w:link w:val="Charf"/>
    <w:qFormat/>
    <w:pPr>
      <w:widowControl w:val="0"/>
      <w:ind w:firstLineChars="200" w:firstLine="200"/>
      <w:jc w:val="both"/>
    </w:pPr>
    <w:rPr>
      <w:rFonts w:ascii="Times New Roman" w:hAnsi="Times New Roman"/>
      <w:iCs/>
      <w:color w:val="000000"/>
      <w:kern w:val="2"/>
      <w:szCs w:val="24"/>
      <w:lang w:eastAsia="zh-CN"/>
    </w:rPr>
  </w:style>
  <w:style w:type="character" w:customStyle="1" w:styleId="115Char">
    <w:name w:val="样式 标题 1 + 段后: 1.5 行 Char"/>
    <w:rPr>
      <w:rFonts w:ascii="宋体" w:eastAsia="宋体" w:hAnsi="宋体" w:cs="宋体"/>
      <w:b/>
      <w:bCs/>
      <w:kern w:val="44"/>
      <w:sz w:val="32"/>
      <w:szCs w:val="44"/>
      <w:lang w:val="en-US" w:eastAsia="zh-CN" w:bidi="ar-SA"/>
    </w:rPr>
  </w:style>
  <w:style w:type="character" w:customStyle="1" w:styleId="style81">
    <w:name w:val="style81"/>
    <w:rPr>
      <w:sz w:val="20"/>
      <w:szCs w:val="20"/>
    </w:rPr>
  </w:style>
  <w:style w:type="character" w:customStyle="1" w:styleId="Charf0">
    <w:name w:val="表头排版 Char"/>
    <w:link w:val="affffffc"/>
    <w:rPr>
      <w:kern w:val="2"/>
      <w:sz w:val="26"/>
      <w:szCs w:val="21"/>
    </w:rPr>
  </w:style>
  <w:style w:type="paragraph" w:customStyle="1" w:styleId="affffffc">
    <w:name w:val="表头排版"/>
    <w:basedOn w:val="a"/>
    <w:link w:val="Charf0"/>
    <w:qFormat/>
    <w:pPr>
      <w:widowControl w:val="0"/>
      <w:spacing w:line="480" w:lineRule="exact"/>
      <w:ind w:firstLineChars="200" w:firstLine="200"/>
      <w:jc w:val="right"/>
    </w:pPr>
    <w:rPr>
      <w:rFonts w:ascii="Times New Roman" w:hAnsi="Times New Roman"/>
      <w:kern w:val="2"/>
      <w:sz w:val="26"/>
      <w:szCs w:val="21"/>
      <w:lang w:eastAsia="zh-CN"/>
    </w:rPr>
  </w:style>
  <w:style w:type="character" w:customStyle="1" w:styleId="style61">
    <w:name w:val="style61"/>
    <w:rPr>
      <w:color w:val="333333"/>
      <w:sz w:val="21"/>
      <w:szCs w:val="21"/>
    </w:rPr>
  </w:style>
  <w:style w:type="character" w:customStyle="1" w:styleId="f91">
    <w:name w:val="f91"/>
    <w:rPr>
      <w:rFonts w:hint="default"/>
      <w:sz w:val="18"/>
      <w:szCs w:val="18"/>
    </w:rPr>
  </w:style>
  <w:style w:type="character" w:customStyle="1" w:styleId="1f">
    <w:name w:val="标题1"/>
    <w:basedOn w:val="a0"/>
    <w:semiHidden/>
  </w:style>
  <w:style w:type="character" w:customStyle="1" w:styleId="2CharChar">
    <w:name w:val="样式2 Char Char"/>
    <w:rPr>
      <w:rFonts w:ascii="黑体" w:eastAsia="黑体" w:hAnsi="宋体"/>
      <w:b/>
      <w:kern w:val="2"/>
      <w:sz w:val="28"/>
      <w:szCs w:val="28"/>
      <w:lang w:val="en-US" w:eastAsia="zh-CN" w:bidi="ar-SA"/>
    </w:rPr>
  </w:style>
  <w:style w:type="character" w:customStyle="1" w:styleId="92Char">
    <w:name w:val="样式92 Char"/>
    <w:link w:val="92"/>
    <w:rPr>
      <w:rFonts w:cs="宋体"/>
      <w:sz w:val="26"/>
      <w:szCs w:val="26"/>
    </w:rPr>
  </w:style>
  <w:style w:type="paragraph" w:customStyle="1" w:styleId="92">
    <w:name w:val="样式92"/>
    <w:basedOn w:val="a"/>
    <w:link w:val="92Char"/>
    <w:pPr>
      <w:adjustRightInd w:val="0"/>
      <w:snapToGrid w:val="0"/>
      <w:spacing w:line="460" w:lineRule="exact"/>
      <w:ind w:firstLineChars="218" w:firstLine="567"/>
    </w:pPr>
    <w:rPr>
      <w:rFonts w:ascii="Times New Roman" w:hAnsi="Times New Roman" w:cs="宋体"/>
      <w:sz w:val="26"/>
      <w:szCs w:val="26"/>
      <w:lang w:eastAsia="zh-CN"/>
    </w:rPr>
  </w:style>
  <w:style w:type="character" w:customStyle="1" w:styleId="Charf1">
    <w:name w:val="正文首行缩进 Char"/>
    <w:rPr>
      <w:rFonts w:eastAsia="宋体"/>
      <w:kern w:val="2"/>
      <w:sz w:val="28"/>
      <w:szCs w:val="28"/>
      <w:lang w:val="en-US" w:eastAsia="zh-CN" w:bidi="ar-SA"/>
    </w:rPr>
  </w:style>
  <w:style w:type="character" w:customStyle="1" w:styleId="txtbreak">
    <w:name w:val="txtbreak"/>
    <w:basedOn w:val="a0"/>
  </w:style>
  <w:style w:type="character" w:customStyle="1" w:styleId="UserStyle0">
    <w:name w:val="UserStyle_0"/>
    <w:qFormat/>
    <w:rPr>
      <w:rFonts w:ascii="宋体" w:eastAsia="宋体" w:hAnsi="宋体"/>
      <w:color w:val="000000"/>
      <w:sz w:val="24"/>
      <w:szCs w:val="24"/>
      <w:vertAlign w:val="superscript"/>
    </w:rPr>
  </w:style>
  <w:style w:type="character" w:customStyle="1" w:styleId="Charf2">
    <w:name w:val="表格 Char"/>
    <w:rPr>
      <w:kern w:val="2"/>
      <w:sz w:val="22"/>
      <w:szCs w:val="22"/>
      <w:lang w:val="en-US" w:eastAsia="zh-CN" w:bidi="ar-SA"/>
    </w:rPr>
  </w:style>
  <w:style w:type="character" w:customStyle="1" w:styleId="2Char">
    <w:name w:val="样式2 Char"/>
    <w:link w:val="27"/>
    <w:rPr>
      <w:color w:val="000000"/>
      <w:kern w:val="2"/>
      <w:sz w:val="28"/>
      <w:szCs w:val="28"/>
      <w:lang w:val="zh-CN"/>
    </w:rPr>
  </w:style>
  <w:style w:type="paragraph" w:customStyle="1" w:styleId="22CharChar2">
    <w:name w:val="样式 标题 2标题节标题 2 Char Char + 段前: 2 行"/>
    <w:basedOn w:val="2"/>
    <w:next w:val="a"/>
    <w:pPr>
      <w:widowControl w:val="0"/>
      <w:spacing w:beforeLines="50" w:before="156" w:line="460" w:lineRule="exact"/>
      <w:ind w:firstLine="200"/>
      <w:jc w:val="both"/>
    </w:pPr>
    <w:rPr>
      <w:rFonts w:hAnsi="Arial"/>
      <w:b/>
      <w:bCs w:val="0"/>
      <w:kern w:val="2"/>
      <w:sz w:val="26"/>
      <w:szCs w:val="20"/>
      <w:lang w:eastAsia="zh-CN"/>
    </w:rPr>
  </w:style>
  <w:style w:type="character" w:customStyle="1" w:styleId="Charf3">
    <w:name w:val="排版正文 Char"/>
    <w:rPr>
      <w:szCs w:val="24"/>
    </w:rPr>
  </w:style>
  <w:style w:type="character" w:customStyle="1" w:styleId="Char14">
    <w:name w:val="表头 Char1"/>
    <w:rPr>
      <w:rFonts w:eastAsia="宋体"/>
      <w:spacing w:val="2"/>
      <w:kern w:val="2"/>
      <w:sz w:val="26"/>
      <w:szCs w:val="26"/>
      <w:lang w:val="en-US" w:eastAsia="zh-CN" w:bidi="ar-SA"/>
    </w:rPr>
  </w:style>
  <w:style w:type="character" w:customStyle="1" w:styleId="t141">
    <w:name w:val="t141"/>
    <w:rPr>
      <w:rFonts w:ascii="ˎ̥" w:hAnsi="ˎ̥" w:hint="default"/>
      <w:sz w:val="21"/>
      <w:szCs w:val="21"/>
    </w:rPr>
  </w:style>
  <w:style w:type="character" w:customStyle="1" w:styleId="1Char0">
    <w:name w:val="标准样式1 Char"/>
    <w:link w:val="1f0"/>
    <w:rPr>
      <w:rFonts w:ascii="宋体" w:hAnsi="宋体"/>
      <w:bCs/>
      <w:kern w:val="2"/>
      <w:sz w:val="28"/>
      <w:szCs w:val="24"/>
    </w:rPr>
  </w:style>
  <w:style w:type="paragraph" w:customStyle="1" w:styleId="1f0">
    <w:name w:val="标准样式1"/>
    <w:basedOn w:val="a"/>
    <w:link w:val="1Char0"/>
    <w:pPr>
      <w:widowControl w:val="0"/>
      <w:spacing w:line="600" w:lineRule="exact"/>
      <w:ind w:firstLineChars="150" w:firstLine="150"/>
      <w:jc w:val="both"/>
    </w:pPr>
    <w:rPr>
      <w:rFonts w:ascii="宋体" w:hAnsi="宋体"/>
      <w:bCs/>
      <w:kern w:val="2"/>
      <w:sz w:val="28"/>
      <w:szCs w:val="24"/>
      <w:lang w:eastAsia="zh-CN"/>
    </w:rPr>
  </w:style>
  <w:style w:type="character" w:customStyle="1" w:styleId="title10">
    <w:name w:val="title10"/>
    <w:basedOn w:val="a0"/>
  </w:style>
  <w:style w:type="character" w:customStyle="1" w:styleId="Charf4">
    <w:name w:val="表文字 Char"/>
    <w:link w:val="affffffd"/>
    <w:rPr>
      <w:kern w:val="2"/>
      <w:sz w:val="21"/>
      <w:szCs w:val="21"/>
    </w:rPr>
  </w:style>
  <w:style w:type="paragraph" w:customStyle="1" w:styleId="affffffd">
    <w:name w:val="表文字"/>
    <w:basedOn w:val="a"/>
    <w:link w:val="Charf4"/>
    <w:pPr>
      <w:widowControl w:val="0"/>
      <w:topLinePunct/>
      <w:adjustRightInd w:val="0"/>
      <w:spacing w:line="240" w:lineRule="exact"/>
      <w:jc w:val="both"/>
      <w:textAlignment w:val="baseline"/>
    </w:pPr>
    <w:rPr>
      <w:rFonts w:ascii="Times New Roman" w:hAnsi="Times New Roman"/>
      <w:kern w:val="2"/>
      <w:sz w:val="21"/>
      <w:szCs w:val="21"/>
      <w:lang w:eastAsia="zh-CN"/>
    </w:rPr>
  </w:style>
  <w:style w:type="character" w:customStyle="1" w:styleId="Charf5">
    <w:name w:val="环评证文 Char"/>
    <w:link w:val="affffffe"/>
    <w:rPr>
      <w:rFonts w:ascii="宋体" w:hAnsi="宋体"/>
      <w:color w:val="000000"/>
      <w:kern w:val="2"/>
      <w:sz w:val="24"/>
      <w:szCs w:val="24"/>
    </w:rPr>
  </w:style>
  <w:style w:type="paragraph" w:customStyle="1" w:styleId="affffffe">
    <w:name w:val="环评证文"/>
    <w:basedOn w:val="a"/>
    <w:link w:val="Charf5"/>
    <w:pPr>
      <w:widowControl w:val="0"/>
      <w:spacing w:line="440" w:lineRule="exact"/>
      <w:ind w:firstLineChars="200" w:firstLine="480"/>
      <w:jc w:val="both"/>
    </w:pPr>
    <w:rPr>
      <w:rFonts w:ascii="宋体" w:hAnsi="宋体"/>
      <w:color w:val="000000"/>
      <w:kern w:val="2"/>
      <w:sz w:val="24"/>
      <w:szCs w:val="24"/>
      <w:lang w:eastAsia="zh-CN"/>
    </w:rPr>
  </w:style>
  <w:style w:type="character" w:customStyle="1" w:styleId="Charf6">
    <w:name w:val="环评正文 Char"/>
    <w:link w:val="afffffff"/>
    <w:rPr>
      <w:rFonts w:ascii="宋体" w:hAnsi="宋体"/>
      <w:color w:val="000000"/>
      <w:kern w:val="2"/>
      <w:sz w:val="24"/>
      <w:szCs w:val="24"/>
    </w:rPr>
  </w:style>
  <w:style w:type="paragraph" w:customStyle="1" w:styleId="afffffff">
    <w:name w:val="环评正文"/>
    <w:basedOn w:val="a"/>
    <w:link w:val="Charf6"/>
    <w:pPr>
      <w:widowControl w:val="0"/>
      <w:adjustRightInd w:val="0"/>
      <w:snapToGrid w:val="0"/>
      <w:spacing w:line="440" w:lineRule="exact"/>
      <w:ind w:firstLineChars="200" w:firstLine="200"/>
      <w:jc w:val="both"/>
    </w:pPr>
    <w:rPr>
      <w:rFonts w:ascii="宋体" w:hAnsi="宋体"/>
      <w:color w:val="000000"/>
      <w:kern w:val="2"/>
      <w:sz w:val="24"/>
      <w:szCs w:val="24"/>
      <w:lang w:eastAsia="zh-CN"/>
    </w:rPr>
  </w:style>
  <w:style w:type="character" w:customStyle="1" w:styleId="5CharChar">
    <w:name w:val="样式5 Char Char"/>
    <w:rPr>
      <w:rFonts w:eastAsia="宋体"/>
      <w:color w:val="FF0000"/>
      <w:kern w:val="2"/>
      <w:sz w:val="24"/>
      <w:lang w:val="en-US" w:eastAsia="zh-CN" w:bidi="ar-SA"/>
    </w:rPr>
  </w:style>
  <w:style w:type="character" w:customStyle="1" w:styleId="NormalCharacter">
    <w:name w:val="NormalCharacter"/>
    <w:semiHidden/>
    <w:qFormat/>
  </w:style>
  <w:style w:type="character" w:customStyle="1" w:styleId="CharChar7">
    <w:name w:val="表内字 Char Char"/>
    <w:link w:val="afffffff0"/>
    <w:qFormat/>
    <w:rPr>
      <w:rFonts w:ascii="Tahoma" w:hAnsi="Tahoma"/>
      <w:sz w:val="21"/>
      <w:szCs w:val="21"/>
    </w:rPr>
  </w:style>
  <w:style w:type="paragraph" w:customStyle="1" w:styleId="afffffff0">
    <w:name w:val="表内字"/>
    <w:basedOn w:val="afe"/>
    <w:link w:val="CharChar7"/>
    <w:pPr>
      <w:autoSpaceDE w:val="0"/>
      <w:autoSpaceDN w:val="0"/>
      <w:adjustRightInd w:val="0"/>
      <w:snapToGrid w:val="0"/>
      <w:ind w:left="0" w:firstLineChars="0" w:firstLine="0"/>
      <w:jc w:val="center"/>
    </w:pPr>
    <w:rPr>
      <w:rFonts w:ascii="Tahoma" w:hAnsi="Tahoma"/>
      <w:kern w:val="0"/>
      <w:szCs w:val="21"/>
    </w:rPr>
  </w:style>
  <w:style w:type="character" w:customStyle="1" w:styleId="Char1">
    <w:name w:val="表号 Char"/>
    <w:link w:val="afff8"/>
    <w:locked/>
    <w:rPr>
      <w:kern w:val="2"/>
      <w:sz w:val="21"/>
      <w:szCs w:val="24"/>
    </w:rPr>
  </w:style>
  <w:style w:type="character" w:customStyle="1" w:styleId="1Char1">
    <w:name w:val="正文1 Char"/>
    <w:aliases w:val="正文缩进 Char1,四号 Char,正文缩进 Char Char,正文（首行缩进两字） Char Char Char Char Char Char Char,正文（首行缩进两字） Char Char Char Char Char Char1,正文（首行缩进两字） Char Char Char Char Char1,段1 Char,缩进 Char,ALT+Z Char,特点标题 Char"/>
    <w:rPr>
      <w:rFonts w:eastAsia="宋体"/>
      <w:kern w:val="2"/>
      <w:sz w:val="26"/>
      <w:szCs w:val="26"/>
      <w:lang w:val="en-US" w:eastAsia="zh-CN" w:bidi="ar-SA"/>
    </w:rPr>
  </w:style>
  <w:style w:type="character" w:customStyle="1" w:styleId="Charf7">
    <w:name w:val="标准样式 Char"/>
    <w:rPr>
      <w:rFonts w:ascii="宋体" w:eastAsia="宋体"/>
      <w:sz w:val="28"/>
      <w:szCs w:val="28"/>
      <w:lang w:val="en-US" w:eastAsia="zh-CN" w:bidi="ar-SA"/>
    </w:rPr>
  </w:style>
  <w:style w:type="character" w:customStyle="1" w:styleId="115Char0">
    <w:name w:val="样式115 Char"/>
    <w:link w:val="115"/>
    <w:rPr>
      <w:rFonts w:cs="宋体"/>
      <w:sz w:val="26"/>
      <w:szCs w:val="26"/>
    </w:rPr>
  </w:style>
  <w:style w:type="paragraph" w:customStyle="1" w:styleId="115">
    <w:name w:val="样式115"/>
    <w:basedOn w:val="a"/>
    <w:link w:val="115Char0"/>
    <w:pPr>
      <w:adjustRightInd w:val="0"/>
      <w:snapToGrid w:val="0"/>
      <w:spacing w:line="460" w:lineRule="exact"/>
      <w:ind w:firstLineChars="218" w:firstLine="567"/>
    </w:pPr>
    <w:rPr>
      <w:rFonts w:ascii="Times New Roman" w:hAnsi="Times New Roman" w:cs="宋体"/>
      <w:sz w:val="26"/>
      <w:szCs w:val="26"/>
      <w:lang w:eastAsia="zh-CN"/>
    </w:rPr>
  </w:style>
  <w:style w:type="character" w:customStyle="1" w:styleId="1323Char">
    <w:name w:val="样式 13 磅 行距: 固定值 23 磅 Char"/>
    <w:rPr>
      <w:rFonts w:eastAsia="宋体" w:cs="宋体"/>
      <w:kern w:val="2"/>
      <w:sz w:val="26"/>
      <w:lang w:val="en-US" w:eastAsia="zh-CN" w:bidi="ar-SA"/>
    </w:rPr>
  </w:style>
  <w:style w:type="character" w:customStyle="1" w:styleId="Charf8">
    <w:name w:val="样式 表头 + 小四 Char"/>
    <w:link w:val="afffffff1"/>
    <w:rPr>
      <w:b/>
      <w:bCs/>
      <w:spacing w:val="2"/>
      <w:kern w:val="2"/>
      <w:sz w:val="24"/>
      <w:szCs w:val="24"/>
    </w:rPr>
  </w:style>
  <w:style w:type="paragraph" w:customStyle="1" w:styleId="afffffff1">
    <w:name w:val="样式 表头 + 小四"/>
    <w:basedOn w:val="affff5"/>
    <w:link w:val="Charf8"/>
    <w:pPr>
      <w:tabs>
        <w:tab w:val="left" w:pos="2040"/>
      </w:tabs>
      <w:adjustRightInd/>
      <w:spacing w:afterLines="50" w:after="50"/>
      <w:ind w:firstLineChars="200" w:firstLine="420"/>
    </w:pPr>
    <w:rPr>
      <w:bCs/>
      <w:spacing w:val="2"/>
      <w:sz w:val="24"/>
      <w:szCs w:val="24"/>
    </w:rPr>
  </w:style>
  <w:style w:type="character" w:customStyle="1" w:styleId="18CharChar">
    <w:name w:val="样式18 Char Char"/>
    <w:rPr>
      <w:sz w:val="26"/>
      <w:szCs w:val="26"/>
    </w:rPr>
  </w:style>
  <w:style w:type="character" w:customStyle="1" w:styleId="afffffff2">
    <w:name w:val="样式 四号"/>
    <w:rPr>
      <w:rFonts w:eastAsia="仿宋_GB2312"/>
      <w:sz w:val="28"/>
    </w:rPr>
  </w:style>
  <w:style w:type="character" w:customStyle="1" w:styleId="3CharCharChar">
    <w:name w:val="标题 3 Char Char Char"/>
    <w:rPr>
      <w:rFonts w:eastAsia="宋体"/>
      <w:b/>
      <w:sz w:val="26"/>
      <w:szCs w:val="28"/>
      <w:lang w:val="en-US" w:eastAsia="zh-CN" w:bidi="ar-SA"/>
    </w:rPr>
  </w:style>
  <w:style w:type="character" w:customStyle="1" w:styleId="txt1">
    <w:name w:val="txt1"/>
    <w:rPr>
      <w:spacing w:val="60"/>
      <w:sz w:val="14"/>
      <w:szCs w:val="14"/>
    </w:rPr>
  </w:style>
  <w:style w:type="character" w:customStyle="1" w:styleId="fontstyle31">
    <w:name w:val="fontstyle31"/>
    <w:rPr>
      <w:rFonts w:ascii="Times New Roman" w:hAnsi="Times New Roman" w:cs="Times New Roman" w:hint="default"/>
      <w:b/>
      <w:bCs/>
      <w:color w:val="000000"/>
      <w:sz w:val="24"/>
      <w:szCs w:val="24"/>
    </w:rPr>
  </w:style>
  <w:style w:type="character" w:customStyle="1" w:styleId="Charf9">
    <w:name w:val="表头 Char"/>
    <w:rPr>
      <w:rFonts w:eastAsia="宋体"/>
      <w:spacing w:val="2"/>
      <w:kern w:val="2"/>
      <w:sz w:val="26"/>
      <w:szCs w:val="26"/>
      <w:lang w:val="en-US" w:eastAsia="zh-CN" w:bidi="ar-SA"/>
    </w:rPr>
  </w:style>
  <w:style w:type="character" w:customStyle="1" w:styleId="c-">
    <w:name w:val="câ-¹"/>
    <w:basedOn w:val="a0"/>
  </w:style>
  <w:style w:type="character" w:customStyle="1" w:styleId="1323Char1">
    <w:name w:val="样式 13 磅 行距: 固定值 23 磅 Char1"/>
    <w:rPr>
      <w:rFonts w:eastAsia="宋体" w:cs="宋体"/>
      <w:kern w:val="2"/>
      <w:sz w:val="26"/>
      <w:lang w:val="en-US" w:eastAsia="zh-CN" w:bidi="ar-SA"/>
    </w:rPr>
  </w:style>
  <w:style w:type="character" w:customStyle="1" w:styleId="111">
    <w:name w:val="标题11"/>
    <w:basedOn w:val="a0"/>
  </w:style>
  <w:style w:type="character" w:customStyle="1" w:styleId="5Char">
    <w:name w:val="样式5 Char"/>
    <w:link w:val="53"/>
    <w:rPr>
      <w:kern w:val="2"/>
      <w:sz w:val="24"/>
    </w:rPr>
  </w:style>
  <w:style w:type="paragraph" w:customStyle="1" w:styleId="53">
    <w:name w:val="样式5"/>
    <w:basedOn w:val="22"/>
    <w:link w:val="5Char"/>
    <w:pPr>
      <w:adjustRightInd w:val="0"/>
      <w:snapToGrid w:val="0"/>
      <w:spacing w:line="500" w:lineRule="exact"/>
      <w:ind w:firstLineChars="200" w:firstLine="200"/>
    </w:pPr>
    <w:rPr>
      <w:rFonts w:ascii="Times New Roman" w:eastAsia="宋体"/>
      <w:b w:val="0"/>
      <w:bCs w:val="0"/>
      <w:szCs w:val="20"/>
    </w:rPr>
  </w:style>
  <w:style w:type="character" w:customStyle="1" w:styleId="CharCharChar">
    <w:name w:val="环评证文 Char Char Char"/>
    <w:rPr>
      <w:rFonts w:ascii="宋体" w:eastAsia="宋体" w:hAnsi="宋体"/>
      <w:color w:val="000000"/>
      <w:kern w:val="2"/>
      <w:sz w:val="24"/>
      <w:szCs w:val="24"/>
      <w:lang w:val="en-US" w:eastAsia="zh-CN" w:bidi="ar-SA"/>
    </w:rPr>
  </w:style>
  <w:style w:type="character" w:customStyle="1" w:styleId="zhou11">
    <w:name w:val="zhou11"/>
    <w:rPr>
      <w:color w:val="000000"/>
      <w:sz w:val="21"/>
      <w:szCs w:val="21"/>
    </w:rPr>
  </w:style>
  <w:style w:type="character" w:customStyle="1" w:styleId="3Char1">
    <w:name w:val="标题 3 Char1"/>
    <w:aliases w:val="标题 3 Char Char,1.1.1标题 3 Char"/>
    <w:rPr>
      <w:rFonts w:eastAsia="宋体"/>
      <w:b/>
      <w:sz w:val="26"/>
      <w:szCs w:val="28"/>
      <w:lang w:val="en-US" w:eastAsia="zh-CN" w:bidi="ar-SA"/>
    </w:rPr>
  </w:style>
  <w:style w:type="character" w:customStyle="1" w:styleId="Charfa">
    <w:name w:val="标题 Char"/>
    <w:rPr>
      <w:rFonts w:ascii="Arial" w:hAnsi="Arial"/>
      <w:bCs/>
      <w:kern w:val="2"/>
      <w:sz w:val="24"/>
      <w:szCs w:val="32"/>
    </w:rPr>
  </w:style>
  <w:style w:type="character" w:customStyle="1" w:styleId="Char4CharCharCharTimesNewRomanChar0">
    <w:name w:val="样式 样式 Char4 Char Char Char + Times New Roman + (符号) 宋体 Char"/>
    <w:link w:val="Char4CharCharCharTimesNewRoman0"/>
    <w:rPr>
      <w:rFonts w:cs="宋体"/>
      <w:kern w:val="2"/>
      <w:sz w:val="24"/>
      <w:szCs w:val="26"/>
    </w:rPr>
  </w:style>
  <w:style w:type="paragraph" w:customStyle="1" w:styleId="Char4CharCharCharTimesNewRoman0">
    <w:name w:val="样式 样式 Char4 Char Char Char + Times New Roman + (符号) 宋体"/>
    <w:basedOn w:val="a"/>
    <w:link w:val="Char4CharCharCharTimesNewRomanChar0"/>
    <w:pPr>
      <w:widowControl w:val="0"/>
      <w:adjustRightInd w:val="0"/>
      <w:snapToGrid w:val="0"/>
      <w:spacing w:line="400" w:lineRule="exact"/>
      <w:ind w:firstLineChars="200" w:firstLine="480"/>
      <w:jc w:val="both"/>
    </w:pPr>
    <w:rPr>
      <w:rFonts w:ascii="Times New Roman" w:hAnsi="Times New Roman" w:cs="宋体"/>
      <w:kern w:val="2"/>
      <w:sz w:val="24"/>
      <w:szCs w:val="26"/>
      <w:lang w:eastAsia="zh-CN"/>
    </w:rPr>
  </w:style>
  <w:style w:type="character" w:customStyle="1" w:styleId="content3">
    <w:name w:val="content3"/>
    <w:basedOn w:val="a0"/>
  </w:style>
  <w:style w:type="character" w:customStyle="1" w:styleId="Char15">
    <w:name w:val="普通文字 Char1"/>
    <w:rPr>
      <w:rFonts w:ascii="宋体" w:eastAsia="宋体" w:hAnsi="Courier New"/>
      <w:kern w:val="2"/>
      <w:sz w:val="21"/>
      <w:lang w:val="en-US" w:eastAsia="zh-CN" w:bidi="ar-SA"/>
    </w:rPr>
  </w:style>
  <w:style w:type="character" w:customStyle="1" w:styleId="apple-converted-space">
    <w:name w:val="apple-converted-space"/>
    <w:basedOn w:val="a0"/>
  </w:style>
  <w:style w:type="character" w:customStyle="1" w:styleId="18Char">
    <w:name w:val="样式18 Char"/>
    <w:link w:val="180"/>
    <w:rPr>
      <w:sz w:val="26"/>
      <w:szCs w:val="26"/>
    </w:rPr>
  </w:style>
  <w:style w:type="paragraph" w:customStyle="1" w:styleId="180">
    <w:name w:val="样式18"/>
    <w:basedOn w:val="115"/>
    <w:link w:val="18Char"/>
    <w:rPr>
      <w:rFonts w:cs="Times New Roman"/>
    </w:rPr>
  </w:style>
  <w:style w:type="character" w:customStyle="1" w:styleId="4Char">
    <w:name w:val="样式4 Char"/>
    <w:link w:val="42"/>
    <w:rPr>
      <w:bCs/>
      <w:kern w:val="2"/>
      <w:sz w:val="24"/>
      <w:szCs w:val="24"/>
      <w:lang w:val="zh-CN"/>
    </w:rPr>
  </w:style>
  <w:style w:type="character" w:customStyle="1" w:styleId="shareChar">
    <w:name w:val="share Char"/>
    <w:link w:val="share"/>
    <w:rPr>
      <w:b/>
      <w:kern w:val="2"/>
      <w:sz w:val="24"/>
      <w:szCs w:val="24"/>
    </w:rPr>
  </w:style>
  <w:style w:type="paragraph" w:customStyle="1" w:styleId="share">
    <w:name w:val="share"/>
    <w:basedOn w:val="a"/>
    <w:link w:val="shareChar"/>
    <w:pPr>
      <w:widowControl w:val="0"/>
      <w:spacing w:line="400" w:lineRule="exact"/>
      <w:ind w:firstLineChars="200" w:firstLine="482"/>
      <w:jc w:val="both"/>
    </w:pPr>
    <w:rPr>
      <w:rFonts w:ascii="Times New Roman" w:hAnsi="Times New Roman"/>
      <w:b/>
      <w:kern w:val="2"/>
      <w:sz w:val="24"/>
      <w:szCs w:val="24"/>
      <w:lang w:eastAsia="zh-CN"/>
    </w:rPr>
  </w:style>
  <w:style w:type="character" w:customStyle="1" w:styleId="2Char3">
    <w:name w:val="正文 首行缩进:  2 字符 Char"/>
    <w:link w:val="2f2"/>
    <w:rPr>
      <w:kern w:val="2"/>
      <w:sz w:val="28"/>
    </w:rPr>
  </w:style>
  <w:style w:type="paragraph" w:customStyle="1" w:styleId="2f2">
    <w:name w:val="正文 首行缩进:  2 字符"/>
    <w:basedOn w:val="a"/>
    <w:link w:val="2Char3"/>
    <w:pPr>
      <w:widowControl w:val="0"/>
      <w:ind w:firstLineChars="200" w:firstLine="579"/>
      <w:jc w:val="both"/>
    </w:pPr>
    <w:rPr>
      <w:rFonts w:ascii="Times New Roman" w:hAnsi="Times New Roman"/>
      <w:kern w:val="2"/>
      <w:sz w:val="28"/>
      <w:szCs w:val="20"/>
      <w:lang w:eastAsia="zh-CN"/>
    </w:rPr>
  </w:style>
  <w:style w:type="character" w:customStyle="1" w:styleId="1Char2">
    <w:name w:val="标题 1 Char"/>
    <w:rPr>
      <w:rFonts w:ascii="宋体" w:eastAsia="宋体" w:hAnsi="宋体"/>
      <w:b/>
      <w:bCs/>
      <w:kern w:val="2"/>
      <w:sz w:val="36"/>
      <w:szCs w:val="24"/>
      <w:lang w:val="en-US" w:eastAsia="zh-CN" w:bidi="ar-SA"/>
    </w:rPr>
  </w:style>
  <w:style w:type="character" w:customStyle="1" w:styleId="Char20">
    <w:name w:val="纯文本 Char2"/>
    <w:rPr>
      <w:rFonts w:ascii="宋体" w:eastAsia="宋体" w:hAnsi="Courier New"/>
      <w:kern w:val="2"/>
      <w:sz w:val="24"/>
      <w:lang w:val="en-US" w:eastAsia="zh-CN" w:bidi="ar-SA"/>
    </w:rPr>
  </w:style>
  <w:style w:type="character" w:customStyle="1" w:styleId="CharChar8">
    <w:name w:val="正文文字 Char Char"/>
    <w:rPr>
      <w:rFonts w:eastAsia="宋体"/>
      <w:kern w:val="2"/>
      <w:sz w:val="26"/>
      <w:szCs w:val="26"/>
      <w:lang w:val="en-US" w:eastAsia="zh-CN" w:bidi="ar-SA"/>
    </w:rPr>
  </w:style>
  <w:style w:type="character" w:customStyle="1" w:styleId="CharChar10">
    <w:name w:val="正文缩进 Char Char1"/>
    <w:aliases w:val="表格标题 Char,s4 Char,表正文 Char,正文非缩进 Char1,标题4 Char1,正文缩进 Char1 Char,文本条款 Char,正文不缩进 Char,正文缩进 Char Char Char,标题4 Char Char,标题4 Char Char Char Char1,标题4 Char Char Char Char Char,特点 Char,正文非缩进 Char Char,正文（首行缩进两字） Char Char Char Char,文本 Char1"/>
    <w:rPr>
      <w:rFonts w:eastAsia="宋体"/>
      <w:kern w:val="2"/>
      <w:sz w:val="26"/>
      <w:lang w:val="en-US" w:eastAsia="zh-CN" w:bidi="ar-SA"/>
    </w:rPr>
  </w:style>
  <w:style w:type="character" w:customStyle="1" w:styleId="font21">
    <w:name w:val="font21"/>
    <w:basedOn w:val="a0"/>
    <w:qFormat/>
    <w:rPr>
      <w:rFonts w:ascii="Times New Roman" w:hAnsi="Times New Roman" w:cs="Times New Roman" w:hint="default"/>
      <w:color w:val="000000"/>
      <w:sz w:val="18"/>
      <w:szCs w:val="18"/>
      <w:u w:val="none"/>
    </w:rPr>
  </w:style>
  <w:style w:type="character" w:customStyle="1" w:styleId="20Char">
    <w:name w:val="样式20 Char"/>
    <w:link w:val="200"/>
    <w:rPr>
      <w:sz w:val="26"/>
      <w:szCs w:val="26"/>
    </w:rPr>
  </w:style>
  <w:style w:type="paragraph" w:customStyle="1" w:styleId="200">
    <w:name w:val="样式20"/>
    <w:basedOn w:val="a"/>
    <w:link w:val="20Char"/>
    <w:pPr>
      <w:keepNext/>
      <w:tabs>
        <w:tab w:val="left" w:pos="630"/>
      </w:tabs>
      <w:spacing w:line="460" w:lineRule="exact"/>
      <w:jc w:val="center"/>
      <w:outlineLvl w:val="5"/>
    </w:pPr>
    <w:rPr>
      <w:rFonts w:ascii="Times New Roman" w:hAnsi="Times New Roman"/>
      <w:sz w:val="26"/>
      <w:szCs w:val="26"/>
      <w:lang w:eastAsia="zh-CN"/>
    </w:rPr>
  </w:style>
  <w:style w:type="paragraph" w:customStyle="1" w:styleId="afffffff3">
    <w:name w:val="章"/>
    <w:basedOn w:val="1150"/>
    <w:pPr>
      <w:spacing w:beforeLines="0" w:before="0" w:afterLines="0" w:after="0" w:line="360" w:lineRule="auto"/>
    </w:pPr>
    <w:rPr>
      <w:rFonts w:hAnsi="宋体" w:cs="Times New Roman"/>
      <w:bCs w:val="0"/>
      <w:szCs w:val="32"/>
    </w:rPr>
  </w:style>
  <w:style w:type="paragraph" w:customStyle="1" w:styleId="1150">
    <w:name w:val="样式 标题 1 + 段后: 1.5 行"/>
    <w:basedOn w:val="1"/>
    <w:pPr>
      <w:widowControl w:val="0"/>
      <w:tabs>
        <w:tab w:val="left" w:pos="2160"/>
      </w:tabs>
      <w:adjustRightInd w:val="0"/>
      <w:snapToGrid w:val="0"/>
      <w:spacing w:beforeLines="100" w:before="312" w:afterLines="100" w:after="312" w:line="460" w:lineRule="exact"/>
      <w:jc w:val="center"/>
    </w:pPr>
    <w:rPr>
      <w:rFonts w:ascii="黑体" w:eastAsia="黑体" w:hAnsi="Arial" w:cs="Arial"/>
      <w:sz w:val="32"/>
      <w:szCs w:val="20"/>
      <w:lang w:eastAsia="zh-CN"/>
    </w:rPr>
  </w:style>
  <w:style w:type="paragraph" w:customStyle="1" w:styleId="afffffff4">
    <w:name w:val="中文报告书样式"/>
    <w:basedOn w:val="a"/>
    <w:pPr>
      <w:widowControl w:val="0"/>
      <w:adjustRightInd w:val="0"/>
      <w:spacing w:line="480" w:lineRule="atLeast"/>
      <w:ind w:firstLine="482"/>
      <w:jc w:val="both"/>
      <w:textAlignment w:val="baseline"/>
    </w:pPr>
    <w:rPr>
      <w:rFonts w:ascii="Times New Roman" w:hAnsi="Times New Roman"/>
      <w:kern w:val="24"/>
      <w:sz w:val="24"/>
      <w:szCs w:val="20"/>
      <w:lang w:eastAsia="zh-CN"/>
    </w:rPr>
  </w:style>
  <w:style w:type="paragraph" w:customStyle="1" w:styleId="CharCharCharCharCharCharCharCharCharCharCharCharCharCharCharChar">
    <w:name w:val="Char Char Char Char Char Char Char Char Char Char Char Char Char Char Char Char"/>
    <w:basedOn w:val="a"/>
    <w:next w:val="a"/>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fff5">
    <w:name w:val="排版正文"/>
    <w:basedOn w:val="a"/>
    <w:pPr>
      <w:widowControl w:val="0"/>
      <w:adjustRightInd w:val="0"/>
      <w:snapToGrid w:val="0"/>
      <w:spacing w:line="460" w:lineRule="exact"/>
      <w:ind w:firstLineChars="200" w:firstLine="560"/>
      <w:jc w:val="both"/>
    </w:pPr>
    <w:rPr>
      <w:rFonts w:ascii="Times New Roman" w:hAnsi="Times New Roman"/>
      <w:color w:val="000000"/>
      <w:kern w:val="2"/>
      <w:sz w:val="28"/>
      <w:szCs w:val="24"/>
      <w:lang w:eastAsia="zh-CN"/>
    </w:rPr>
  </w:style>
  <w:style w:type="paragraph" w:customStyle="1" w:styleId="20015">
    <w:name w:val="样式 标题 2节 + (西文) 宋体 (中文) 宋体 小四 段前: 0 磅 段后: 0 磅 行距: 1.5 倍行距"/>
    <w:basedOn w:val="2"/>
    <w:pPr>
      <w:widowControl w:val="0"/>
      <w:adjustRightInd/>
      <w:snapToGrid/>
      <w:spacing w:line="480" w:lineRule="exact"/>
      <w:ind w:firstLineChars="0" w:firstLine="0"/>
      <w:jc w:val="both"/>
    </w:pPr>
    <w:rPr>
      <w:rFonts w:ascii="黑体" w:hAnsi="宋体" w:cs="宋体"/>
      <w:b/>
      <w:kern w:val="2"/>
      <w:sz w:val="28"/>
      <w:szCs w:val="28"/>
      <w:lang w:eastAsia="zh-CN"/>
    </w:rPr>
  </w:style>
  <w:style w:type="paragraph" w:customStyle="1" w:styleId="4CharCharCharCharCharCharCharCharCharCharCharCharCharCharCharCharCharChar">
    <w:name w:val="4 Char Char Char Char Char Char Char Char Char Char Char Char Char Char Char Char Char Char"/>
    <w:basedOn w:val="a"/>
    <w:semiHidden/>
    <w:pPr>
      <w:widowControl w:val="0"/>
      <w:adjustRightInd w:val="0"/>
      <w:snapToGrid w:val="0"/>
      <w:spacing w:line="360" w:lineRule="auto"/>
      <w:ind w:firstLineChars="200" w:firstLine="200"/>
      <w:jc w:val="both"/>
    </w:pPr>
    <w:rPr>
      <w:rFonts w:ascii="宋体" w:hAnsi="宋体" w:cs="宋体"/>
      <w:kern w:val="2"/>
      <w:sz w:val="30"/>
      <w:szCs w:val="30"/>
      <w:lang w:eastAsia="zh-CN"/>
    </w:rPr>
  </w:style>
  <w:style w:type="paragraph" w:customStyle="1" w:styleId="20025">
    <w:name w:val="样式 标题 2节 + (西文) 宋体 (中文) 宋体 四号 段前: 0 磅 段后: 0 磅 行距: 固定值 25 磅"/>
    <w:basedOn w:val="2"/>
    <w:pPr>
      <w:widowControl w:val="0"/>
      <w:adjustRightInd/>
      <w:snapToGrid/>
      <w:spacing w:line="480" w:lineRule="exact"/>
      <w:ind w:firstLineChars="0" w:firstLine="0"/>
      <w:jc w:val="both"/>
    </w:pPr>
    <w:rPr>
      <w:rFonts w:ascii="宋体" w:hAnsi="宋体" w:cs="宋体"/>
      <w:b/>
      <w:kern w:val="2"/>
      <w:sz w:val="28"/>
      <w:szCs w:val="28"/>
      <w:lang w:eastAsia="zh-CN"/>
    </w:rPr>
  </w:style>
  <w:style w:type="paragraph" w:customStyle="1" w:styleId="CharCharCharChar0">
    <w:name w:val="样式 正文缩进首行缩进两字特点 Char正文缩进 Char正文（首行缩进两字） Char正文（首行缩进两字） Char..."/>
    <w:basedOn w:val="a"/>
    <w:pPr>
      <w:widowControl w:val="0"/>
      <w:spacing w:line="360" w:lineRule="auto"/>
      <w:ind w:firstLineChars="200" w:firstLine="480"/>
      <w:jc w:val="both"/>
    </w:pPr>
    <w:rPr>
      <w:rFonts w:ascii="Times New Roman" w:hAnsi="Times New Roman"/>
      <w:kern w:val="2"/>
      <w:sz w:val="24"/>
      <w:szCs w:val="24"/>
      <w:lang w:eastAsia="zh-CN"/>
    </w:rPr>
  </w:style>
  <w:style w:type="paragraph" w:customStyle="1" w:styleId="Heading1">
    <w:name w:val="Heading1"/>
    <w:basedOn w:val="a"/>
    <w:next w:val="a"/>
    <w:qFormat/>
    <w:pPr>
      <w:keepNext/>
      <w:keepLines/>
      <w:widowControl w:val="0"/>
      <w:tabs>
        <w:tab w:val="left" w:pos="1230"/>
      </w:tabs>
      <w:spacing w:before="240" w:after="120"/>
      <w:ind w:left="1230" w:hanging="1230"/>
      <w:jc w:val="center"/>
    </w:pPr>
    <w:rPr>
      <w:rFonts w:ascii="Times New Roman" w:eastAsia="黑体" w:hAnsi="Times New Roman"/>
      <w:b/>
      <w:kern w:val="44"/>
      <w:sz w:val="42"/>
      <w:szCs w:val="24"/>
      <w:lang w:eastAsia="zh-CN"/>
    </w:rPr>
  </w:style>
  <w:style w:type="paragraph" w:customStyle="1" w:styleId="pic-info">
    <w:name w:val="pic-info"/>
    <w:basedOn w:val="a"/>
    <w:pPr>
      <w:spacing w:before="100" w:beforeAutospacing="1" w:after="100" w:afterAutospacing="1"/>
    </w:pPr>
    <w:rPr>
      <w:rFonts w:ascii="宋体" w:hAnsi="宋体" w:cs="宋体"/>
      <w:sz w:val="24"/>
      <w:szCs w:val="24"/>
      <w:lang w:eastAsia="zh-CN"/>
    </w:rPr>
  </w:style>
  <w:style w:type="paragraph" w:customStyle="1" w:styleId="Char21">
    <w:name w:val="Char2"/>
    <w:basedOn w:val="a"/>
    <w:pPr>
      <w:widowControl w:val="0"/>
      <w:snapToGrid w:val="0"/>
      <w:spacing w:line="360" w:lineRule="auto"/>
      <w:ind w:firstLineChars="200" w:firstLine="200"/>
      <w:jc w:val="both"/>
    </w:pPr>
    <w:rPr>
      <w:rFonts w:ascii="Times New Roman" w:hAnsi="Times New Roman"/>
      <w:color w:val="000000"/>
      <w:sz w:val="21"/>
      <w:szCs w:val="21"/>
      <w:lang w:val="zh-CN" w:eastAsia="zh-CN"/>
    </w:rPr>
  </w:style>
  <w:style w:type="paragraph" w:customStyle="1" w:styleId="111111111111111111222">
    <w:name w:val="111111111111111111222"/>
    <w:basedOn w:val="a"/>
    <w:pPr>
      <w:widowControl w:val="0"/>
      <w:spacing w:line="440" w:lineRule="exact"/>
      <w:ind w:firstLineChars="200" w:firstLine="480"/>
      <w:jc w:val="both"/>
    </w:pPr>
    <w:rPr>
      <w:rFonts w:ascii="宋体" w:hAnsi="宋体"/>
      <w:kern w:val="2"/>
      <w:sz w:val="24"/>
      <w:szCs w:val="24"/>
      <w:lang w:eastAsia="zh-CN"/>
    </w:rPr>
  </w:style>
  <w:style w:type="paragraph" w:customStyle="1" w:styleId="116">
    <w:name w:val="样式116"/>
    <w:basedOn w:val="92"/>
    <w:pPr>
      <w:spacing w:line="240" w:lineRule="exact"/>
    </w:pPr>
  </w:style>
  <w:style w:type="paragraph" w:customStyle="1" w:styleId="22CharChar214">
    <w:name w:val="样式 样式 标题 2标题节标题 2 Char Char + 段前: 2 行 + 左侧:  1 字符4"/>
    <w:basedOn w:val="22CharChar2"/>
    <w:pPr>
      <w:spacing w:beforeLines="0" w:before="50" w:after="50"/>
    </w:pPr>
    <w:rPr>
      <w:rFonts w:eastAsia="宋体" w:hAnsi="Times New Roman" w:cs="宋体"/>
      <w:bCs/>
    </w:rPr>
  </w:style>
  <w:style w:type="paragraph" w:customStyle="1" w:styleId="zCharCharChar">
    <w:name w:val="z正文 Char Char Char"/>
    <w:basedOn w:val="a"/>
    <w:pPr>
      <w:widowControl w:val="0"/>
      <w:spacing w:line="360" w:lineRule="auto"/>
      <w:ind w:firstLineChars="200" w:firstLine="200"/>
      <w:jc w:val="both"/>
    </w:pPr>
    <w:rPr>
      <w:rFonts w:ascii="宋体" w:eastAsia="仿宋_GB2312" w:hAnsi="宋体" w:cs="宋体"/>
      <w:kern w:val="2"/>
      <w:sz w:val="28"/>
      <w:szCs w:val="28"/>
      <w:lang w:eastAsia="zh-CN"/>
    </w:rPr>
  </w:style>
  <w:style w:type="paragraph" w:customStyle="1" w:styleId="afffffff6">
    <w:name w:val="表文排版"/>
    <w:basedOn w:val="af"/>
    <w:next w:val="a"/>
    <w:qFormat/>
    <w:pPr>
      <w:widowControl w:val="0"/>
      <w:adjustRightInd w:val="0"/>
      <w:snapToGrid w:val="0"/>
      <w:spacing w:before="0"/>
      <w:ind w:left="0"/>
      <w:jc w:val="center"/>
    </w:pPr>
    <w:rPr>
      <w:rFonts w:ascii="Times New Roman" w:hAnsi="Times New Roman"/>
      <w:kern w:val="2"/>
      <w:sz w:val="22"/>
      <w:lang w:eastAsia="zh-CN"/>
    </w:rPr>
  </w:style>
  <w:style w:type="paragraph" w:customStyle="1" w:styleId="UserStyle3">
    <w:name w:val="UserStyle_3"/>
    <w:basedOn w:val="Heading2"/>
    <w:next w:val="a"/>
    <w:qFormat/>
    <w:pPr>
      <w:keepLines/>
      <w:snapToGrid w:val="0"/>
      <w:spacing w:line="460" w:lineRule="exact"/>
      <w:ind w:firstLineChars="200" w:firstLine="200"/>
    </w:pPr>
    <w:rPr>
      <w:rFonts w:ascii="Times New Roman"/>
      <w:sz w:val="26"/>
      <w:szCs w:val="20"/>
    </w:rPr>
  </w:style>
  <w:style w:type="paragraph" w:customStyle="1" w:styleId="Heading2">
    <w:name w:val="Heading2"/>
    <w:basedOn w:val="a"/>
    <w:next w:val="a"/>
    <w:pPr>
      <w:keepNext/>
      <w:widowControl w:val="0"/>
      <w:spacing w:before="156" w:line="440" w:lineRule="exact"/>
      <w:ind w:firstLineChars="196" w:firstLine="472"/>
      <w:jc w:val="both"/>
    </w:pPr>
    <w:rPr>
      <w:rFonts w:ascii="Arial" w:eastAsia="黑体" w:hAnsi="Arial"/>
      <w:b/>
      <w:color w:val="000000"/>
      <w:kern w:val="2"/>
      <w:sz w:val="24"/>
      <w:szCs w:val="24"/>
      <w:lang w:eastAsia="zh-CN"/>
    </w:rPr>
  </w:style>
  <w:style w:type="paragraph" w:customStyle="1" w:styleId="3a">
    <w:name w:val="样式 标题 3 + 四号"/>
    <w:basedOn w:val="3"/>
    <w:pPr>
      <w:widowControl w:val="0"/>
      <w:spacing w:before="100" w:after="100" w:line="460" w:lineRule="exact"/>
      <w:jc w:val="both"/>
    </w:pPr>
    <w:rPr>
      <w:rFonts w:ascii="宋体" w:hAnsi="宋体"/>
      <w:b w:val="0"/>
      <w:kern w:val="2"/>
      <w:sz w:val="26"/>
      <w:szCs w:val="28"/>
      <w:lang w:eastAsia="zh-CN"/>
    </w:rPr>
  </w:style>
  <w:style w:type="paragraph" w:customStyle="1" w:styleId="NormalIndent">
    <w:name w:val="NormalIndent"/>
    <w:basedOn w:val="a"/>
    <w:next w:val="a"/>
    <w:pPr>
      <w:widowControl w:val="0"/>
      <w:ind w:firstLineChars="200" w:firstLine="420"/>
      <w:jc w:val="both"/>
    </w:pPr>
    <w:rPr>
      <w:rFonts w:ascii="Times New Roman" w:hAnsi="Times New Roman"/>
      <w:kern w:val="2"/>
      <w:sz w:val="21"/>
      <w:szCs w:val="24"/>
      <w:lang w:eastAsia="zh-CN"/>
    </w:rPr>
  </w:style>
  <w:style w:type="paragraph" w:customStyle="1" w:styleId="BodyText21">
    <w:name w:val="Body Text 21"/>
    <w:basedOn w:val="a"/>
    <w:pPr>
      <w:widowControl w:val="0"/>
      <w:adjustRightInd w:val="0"/>
      <w:snapToGrid w:val="0"/>
      <w:spacing w:line="312" w:lineRule="auto"/>
      <w:jc w:val="both"/>
      <w:textAlignment w:val="baseline"/>
    </w:pPr>
    <w:rPr>
      <w:rFonts w:ascii="Times New Roman" w:hAnsi="Times New Roman"/>
      <w:sz w:val="28"/>
      <w:szCs w:val="20"/>
      <w:lang w:eastAsia="zh-CN"/>
    </w:rPr>
  </w:style>
  <w:style w:type="paragraph" w:customStyle="1" w:styleId="afffffff7">
    <w:name w:val="何家沟正文"/>
    <w:basedOn w:val="a"/>
    <w:qFormat/>
    <w:pPr>
      <w:widowControl w:val="0"/>
      <w:spacing w:line="360" w:lineRule="auto"/>
      <w:ind w:firstLineChars="200" w:firstLine="460"/>
      <w:jc w:val="both"/>
    </w:pPr>
    <w:rPr>
      <w:rFonts w:ascii="Times New Roman" w:hAnsi="宋体" w:cs="宋体"/>
      <w:kern w:val="2"/>
      <w:sz w:val="23"/>
      <w:szCs w:val="23"/>
      <w:lang w:eastAsia="zh-CN"/>
    </w:rPr>
  </w:style>
  <w:style w:type="paragraph" w:customStyle="1" w:styleId="200150">
    <w:name w:val="样式 标题 2节 + (西文) 宋体 (中文) 宋体 四号 段前: 0 磅 段后: 0 磅 行距: 1.5 倍行距"/>
    <w:basedOn w:val="2"/>
    <w:pPr>
      <w:widowControl w:val="0"/>
      <w:adjustRightInd/>
      <w:snapToGrid/>
      <w:spacing w:line="500" w:lineRule="exact"/>
      <w:ind w:firstLineChars="0" w:firstLine="0"/>
      <w:jc w:val="both"/>
    </w:pPr>
    <w:rPr>
      <w:rFonts w:ascii="宋体" w:eastAsia="宋体" w:hAnsi="宋体" w:cs="宋体"/>
      <w:b/>
      <w:kern w:val="2"/>
      <w:sz w:val="28"/>
      <w:szCs w:val="28"/>
      <w:lang w:eastAsia="zh-CN"/>
    </w:rPr>
  </w:style>
  <w:style w:type="paragraph" w:customStyle="1" w:styleId="22CharChar22051">
    <w:name w:val="样式 样式 标题 2标题节标题 2 Char Char + 段前: 2 行 + 首行缩进:  2 字符 段前: 0.5 行 ...1"/>
    <w:basedOn w:val="22CharChar2"/>
    <w:next w:val="a"/>
    <w:pPr>
      <w:spacing w:beforeLines="0" w:before="0" w:line="240" w:lineRule="auto"/>
      <w:ind w:firstLine="482"/>
    </w:pPr>
    <w:rPr>
      <w:rFonts w:ascii="Arial"/>
      <w:bCs/>
      <w:sz w:val="24"/>
      <w:szCs w:val="24"/>
    </w:rPr>
  </w:style>
  <w:style w:type="paragraph" w:customStyle="1" w:styleId="afffffff8">
    <w:name w:val="正文(首行缩进)"/>
    <w:basedOn w:val="a"/>
    <w:pPr>
      <w:widowControl w:val="0"/>
      <w:spacing w:line="360" w:lineRule="auto"/>
      <w:ind w:firstLine="510"/>
      <w:jc w:val="both"/>
    </w:pPr>
    <w:rPr>
      <w:rFonts w:ascii="宋体" w:hAnsi="宋体"/>
      <w:snapToGrid w:val="0"/>
      <w:sz w:val="24"/>
      <w:szCs w:val="20"/>
      <w:lang w:eastAsia="zh-CN"/>
    </w:rPr>
  </w:style>
  <w:style w:type="paragraph" w:customStyle="1" w:styleId="1f1">
    <w:name w:val="标书标题1"/>
    <w:basedOn w:val="1"/>
    <w:pPr>
      <w:keepNext w:val="0"/>
      <w:keepLines w:val="0"/>
      <w:widowControl w:val="0"/>
      <w:tabs>
        <w:tab w:val="left" w:pos="360"/>
      </w:tabs>
      <w:adjustRightInd w:val="0"/>
      <w:snapToGrid w:val="0"/>
      <w:spacing w:beforeLines="100" w:before="480" w:afterLines="100" w:after="240" w:line="460" w:lineRule="exact"/>
      <w:ind w:left="284" w:hanging="284"/>
      <w:jc w:val="center"/>
    </w:pPr>
    <w:rPr>
      <w:rFonts w:ascii="Arial Narrow" w:eastAsia="黑体" w:hAnsi="Arial Narrow"/>
      <w:b w:val="0"/>
      <w:bCs w:val="0"/>
      <w:snapToGrid w:val="0"/>
      <w:kern w:val="0"/>
      <w:sz w:val="30"/>
      <w:lang w:eastAsia="zh-CN"/>
    </w:rPr>
  </w:style>
  <w:style w:type="paragraph" w:customStyle="1" w:styleId="150">
    <w:name w:val="样式15"/>
    <w:basedOn w:val="a"/>
    <w:pPr>
      <w:keepNext/>
      <w:keepLines/>
      <w:adjustRightInd w:val="0"/>
      <w:snapToGrid w:val="0"/>
      <w:spacing w:before="360" w:after="360" w:line="360" w:lineRule="auto"/>
      <w:jc w:val="center"/>
      <w:outlineLvl w:val="0"/>
    </w:pPr>
    <w:rPr>
      <w:rFonts w:ascii="Times New Roman" w:hAnsi="Times New Roman"/>
      <w:b/>
      <w:bCs/>
      <w:kern w:val="2"/>
      <w:sz w:val="32"/>
      <w:szCs w:val="32"/>
      <w:lang w:eastAsia="zh-CN"/>
    </w:rPr>
  </w:style>
  <w:style w:type="paragraph" w:customStyle="1" w:styleId="Char210">
    <w:name w:val="Char21"/>
    <w:basedOn w:val="a"/>
    <w:pPr>
      <w:widowControl w:val="0"/>
      <w:spacing w:line="360" w:lineRule="auto"/>
      <w:ind w:firstLineChars="200" w:firstLine="200"/>
      <w:jc w:val="both"/>
    </w:pPr>
    <w:rPr>
      <w:rFonts w:ascii="Times New Roman" w:hAnsi="Times New Roman"/>
      <w:kern w:val="2"/>
      <w:sz w:val="30"/>
      <w:szCs w:val="20"/>
      <w:lang w:eastAsia="zh-CN"/>
    </w:rPr>
  </w:style>
  <w:style w:type="paragraph" w:customStyle="1" w:styleId="xl31">
    <w:name w:val="xl31"/>
    <w:basedOn w:val="a"/>
    <w:semiHidden/>
    <w:pPr>
      <w:spacing w:before="100" w:beforeAutospacing="1" w:after="100" w:afterAutospacing="1"/>
      <w:jc w:val="center"/>
    </w:pPr>
    <w:rPr>
      <w:rFonts w:ascii="Times New Roman" w:hAnsi="Times New Roman"/>
      <w:sz w:val="24"/>
      <w:szCs w:val="24"/>
      <w:lang w:eastAsia="zh-CN"/>
    </w:rPr>
  </w:style>
  <w:style w:type="paragraph" w:customStyle="1" w:styleId="212">
    <w:name w:val="样式 首行缩进:  2 字符1"/>
    <w:basedOn w:val="a"/>
    <w:pPr>
      <w:widowControl w:val="0"/>
      <w:spacing w:before="120" w:line="440" w:lineRule="atLeast"/>
      <w:ind w:firstLineChars="207" w:firstLine="497"/>
      <w:jc w:val="both"/>
    </w:pPr>
    <w:rPr>
      <w:rFonts w:ascii="Arial" w:hAnsi="宋体" w:cs="Arial"/>
      <w:kern w:val="2"/>
      <w:sz w:val="24"/>
      <w:szCs w:val="24"/>
      <w:lang w:eastAsia="zh-CN"/>
    </w:rPr>
  </w:style>
  <w:style w:type="paragraph" w:customStyle="1" w:styleId="22CharChar205051">
    <w:name w:val="样式 样式 标题 2标题节标题 2 Char Char + 段前: 2 行 + 段前: 0.5 行 段后: 0.5 行1"/>
    <w:basedOn w:val="22CharChar2"/>
  </w:style>
  <w:style w:type="paragraph" w:customStyle="1" w:styleId="a30">
    <w:name w:val="a3"/>
    <w:basedOn w:val="a"/>
    <w:pPr>
      <w:widowControl w:val="0"/>
      <w:spacing w:line="288" w:lineRule="auto"/>
      <w:jc w:val="center"/>
    </w:pPr>
    <w:rPr>
      <w:rFonts w:ascii="Times New Roman" w:hAnsi="Times New Roman"/>
      <w:kern w:val="2"/>
      <w:sz w:val="21"/>
      <w:szCs w:val="24"/>
      <w:lang w:eastAsia="zh-CN"/>
    </w:rPr>
  </w:style>
  <w:style w:type="paragraph" w:customStyle="1" w:styleId="3b">
    <w:name w:val="样式3"/>
    <w:basedOn w:val="af4"/>
    <w:pPr>
      <w:spacing w:line="500" w:lineRule="exact"/>
      <w:ind w:firstLineChars="150" w:firstLine="360"/>
    </w:pPr>
    <w:rPr>
      <w:rFonts w:hAnsi="宋体" w:cs="宋体"/>
      <w:b/>
      <w:szCs w:val="24"/>
    </w:rPr>
  </w:style>
  <w:style w:type="paragraph" w:customStyle="1" w:styleId="22CharChar213">
    <w:name w:val="样式 样式 标题 2标题节标题 2 Char Char + 段前: 2 行 + 左侧:  1 字符3"/>
    <w:basedOn w:val="22CharChar2"/>
    <w:pPr>
      <w:spacing w:beforeLines="0" w:before="50" w:after="50"/>
    </w:pPr>
    <w:rPr>
      <w:rFonts w:eastAsia="宋体" w:hAnsi="Times New Roman" w:cs="宋体"/>
      <w:bCs/>
    </w:rPr>
  </w:style>
  <w:style w:type="paragraph" w:customStyle="1" w:styleId="44">
    <w:name w:val="标书标题4"/>
    <w:basedOn w:val="4"/>
    <w:pPr>
      <w:keepNext w:val="0"/>
      <w:keepLines w:val="0"/>
      <w:numPr>
        <w:ilvl w:val="0"/>
        <w:numId w:val="0"/>
      </w:numPr>
      <w:tabs>
        <w:tab w:val="left" w:pos="851"/>
      </w:tabs>
      <w:adjustRightInd w:val="0"/>
      <w:snapToGrid w:val="0"/>
      <w:spacing w:before="0" w:line="300" w:lineRule="auto"/>
      <w:ind w:left="851" w:firstLineChars="200" w:hanging="851"/>
    </w:pPr>
    <w:rPr>
      <w:rFonts w:ascii="Arial Narrow" w:eastAsia="仿宋_GB2312" w:hAnsi="Arial Narrow"/>
      <w:b w:val="0"/>
      <w:bCs w:val="0"/>
      <w:kern w:val="0"/>
      <w:sz w:val="28"/>
      <w:szCs w:val="20"/>
    </w:rPr>
  </w:style>
  <w:style w:type="paragraph" w:customStyle="1" w:styleId="Char4CharCharChar2">
    <w:name w:val="Char4 Char Char Char2"/>
    <w:basedOn w:val="a"/>
    <w:semiHidden/>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3c">
    <w:name w:val="标书标题3"/>
    <w:basedOn w:val="3"/>
    <w:pPr>
      <w:keepNext w:val="0"/>
      <w:keepLines w:val="0"/>
      <w:widowControl w:val="0"/>
      <w:adjustRightInd w:val="0"/>
      <w:snapToGrid w:val="0"/>
      <w:spacing w:before="120" w:after="60" w:line="300" w:lineRule="auto"/>
      <w:ind w:firstLineChars="200" w:firstLine="522"/>
      <w:jc w:val="both"/>
    </w:pPr>
    <w:rPr>
      <w:rFonts w:ascii="宋体" w:hAnsi="宋体"/>
      <w:color w:val="000000"/>
      <w:sz w:val="26"/>
      <w:szCs w:val="26"/>
      <w:lang w:eastAsia="zh-CN"/>
    </w:rPr>
  </w:style>
  <w:style w:type="paragraph" w:customStyle="1" w:styleId="A222">
    <w:name w:val="样式 样式 样式 样式 样式 正文A + 首行缩进:  2 字符 + 首行缩进:  2 字符 + 两端对齐 首行缩进:  2 字..."/>
    <w:basedOn w:val="a"/>
    <w:pPr>
      <w:widowControl w:val="0"/>
      <w:tabs>
        <w:tab w:val="left" w:pos="578"/>
        <w:tab w:val="left" w:pos="1074"/>
        <w:tab w:val="left" w:pos="1595"/>
        <w:tab w:val="left" w:pos="2073"/>
        <w:tab w:val="left" w:pos="2507"/>
        <w:tab w:val="left" w:pos="3025"/>
        <w:tab w:val="left" w:pos="3991"/>
      </w:tabs>
      <w:spacing w:line="360" w:lineRule="auto"/>
      <w:ind w:firstLineChars="200" w:firstLine="480"/>
      <w:jc w:val="both"/>
    </w:pPr>
    <w:rPr>
      <w:rFonts w:ascii="Times New Roman" w:hAnsi="Times New Roman" w:cs="宋体"/>
      <w:sz w:val="24"/>
      <w:szCs w:val="20"/>
      <w:lang w:eastAsia="zh-CN"/>
    </w:rPr>
  </w:style>
  <w:style w:type="paragraph" w:customStyle="1" w:styleId="2f3">
    <w:name w:val="标书标题2"/>
    <w:basedOn w:val="2"/>
    <w:pPr>
      <w:keepNext w:val="0"/>
      <w:keepLines w:val="0"/>
      <w:widowControl w:val="0"/>
      <w:tabs>
        <w:tab w:val="left" w:pos="574"/>
      </w:tabs>
      <w:spacing w:before="240" w:after="120" w:line="300" w:lineRule="auto"/>
      <w:ind w:firstLine="200"/>
    </w:pPr>
    <w:rPr>
      <w:rFonts w:ascii="Arial Narrow" w:eastAsia="宋体" w:hAnsi="Arial Narrow"/>
      <w:b/>
      <w:bCs w:val="0"/>
      <w:sz w:val="28"/>
      <w:lang w:eastAsia="zh-CN"/>
    </w:rPr>
  </w:style>
  <w:style w:type="paragraph" w:customStyle="1" w:styleId="ygs">
    <w:name w:val="ygs正文"/>
    <w:basedOn w:val="a"/>
    <w:pPr>
      <w:widowControl w:val="0"/>
      <w:spacing w:line="440" w:lineRule="exact"/>
      <w:ind w:firstLineChars="200" w:firstLine="480"/>
      <w:jc w:val="both"/>
    </w:pPr>
    <w:rPr>
      <w:rFonts w:ascii="宋体" w:hAnsi="宋体"/>
      <w:bCs/>
      <w:kern w:val="2"/>
      <w:sz w:val="24"/>
      <w:szCs w:val="24"/>
      <w:lang w:eastAsia="zh-CN"/>
    </w:rPr>
  </w:style>
  <w:style w:type="paragraph" w:customStyle="1" w:styleId="CharCharCharCharChar2Char">
    <w:name w:val="Char Char Char Char Char2 Char"/>
    <w:basedOn w:val="a"/>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declear">
    <w:name w:val="declear"/>
    <w:basedOn w:val="a"/>
    <w:pPr>
      <w:spacing w:before="100" w:beforeAutospacing="1" w:after="100" w:afterAutospacing="1"/>
    </w:pPr>
    <w:rPr>
      <w:rFonts w:ascii="宋体" w:hAnsi="宋体" w:cs="宋体"/>
      <w:sz w:val="24"/>
      <w:szCs w:val="24"/>
      <w:lang w:eastAsia="zh-CN"/>
    </w:rPr>
  </w:style>
  <w:style w:type="paragraph" w:customStyle="1" w:styleId="afffffff9">
    <w:name w:val="正 文"/>
    <w:basedOn w:val="a"/>
    <w:qFormat/>
    <w:pPr>
      <w:widowControl w:val="0"/>
      <w:spacing w:line="440" w:lineRule="exact"/>
      <w:jc w:val="both"/>
    </w:pPr>
    <w:rPr>
      <w:rFonts w:ascii="Times New Roman" w:hAnsi="宋体"/>
      <w:kern w:val="2"/>
      <w:sz w:val="21"/>
      <w:szCs w:val="24"/>
      <w:lang w:eastAsia="zh-CN"/>
    </w:rPr>
  </w:style>
  <w:style w:type="paragraph" w:customStyle="1" w:styleId="1f2">
    <w:name w:val="正文   1"/>
    <w:basedOn w:val="a"/>
    <w:qFormat/>
    <w:pPr>
      <w:widowControl w:val="0"/>
      <w:snapToGrid w:val="0"/>
      <w:spacing w:line="460" w:lineRule="atLeast"/>
      <w:ind w:firstLineChars="200" w:firstLine="520"/>
      <w:jc w:val="both"/>
    </w:pPr>
    <w:rPr>
      <w:rFonts w:ascii="Times New Roman" w:hAnsi="Times New Roman"/>
      <w:bCs/>
      <w:kern w:val="2"/>
      <w:sz w:val="26"/>
      <w:szCs w:val="24"/>
      <w:lang w:eastAsia="zh-CN"/>
    </w:rPr>
  </w:style>
  <w:style w:type="paragraph" w:customStyle="1" w:styleId="afffffffa">
    <w:name w:val="表格中的文字"/>
    <w:basedOn w:val="a"/>
    <w:qFormat/>
    <w:pPr>
      <w:widowControl w:val="0"/>
      <w:snapToGrid w:val="0"/>
      <w:jc w:val="center"/>
    </w:pPr>
    <w:rPr>
      <w:rFonts w:ascii="Times New Roman" w:hAnsi="Times New Roman"/>
      <w:kern w:val="2"/>
      <w:sz w:val="21"/>
      <w:lang w:eastAsia="zh-CN"/>
    </w:rPr>
  </w:style>
  <w:style w:type="paragraph" w:customStyle="1" w:styleId="afffffffb">
    <w:name w:val="表格体"/>
    <w:basedOn w:val="affff2"/>
    <w:qFormat/>
    <w:pPr>
      <w:spacing w:line="240" w:lineRule="auto"/>
    </w:pPr>
    <w:rPr>
      <w:rFonts w:eastAsia="宋体"/>
      <w:sz w:val="21"/>
      <w:szCs w:val="22"/>
    </w:rPr>
  </w:style>
  <w:style w:type="paragraph" w:customStyle="1" w:styleId="61">
    <w:name w:val="6表格"/>
    <w:basedOn w:val="a"/>
    <w:pPr>
      <w:widowControl w:val="0"/>
      <w:adjustRightInd w:val="0"/>
      <w:snapToGrid w:val="0"/>
      <w:spacing w:before="120"/>
      <w:jc w:val="center"/>
    </w:pPr>
    <w:rPr>
      <w:rFonts w:ascii="Times New Roman" w:hAnsi="Times New Roman"/>
      <w:sz w:val="21"/>
      <w:szCs w:val="20"/>
      <w:lang w:eastAsia="zh-CN"/>
    </w:rPr>
  </w:style>
  <w:style w:type="paragraph" w:customStyle="1" w:styleId="CharChar2CharCharCharCharCharChar">
    <w:name w:val="Char Char2 Char Char Char Char Char Char"/>
    <w:basedOn w:val="a"/>
    <w:semiHidden/>
    <w:pPr>
      <w:widowControl w:val="0"/>
      <w:adjustRightInd w:val="0"/>
      <w:snapToGrid w:val="0"/>
      <w:spacing w:line="360" w:lineRule="auto"/>
      <w:ind w:firstLineChars="200" w:firstLine="200"/>
      <w:jc w:val="both"/>
    </w:pPr>
    <w:rPr>
      <w:rFonts w:ascii="Times New Roman" w:hAnsi="Times New Roman" w:cs="宋体"/>
      <w:kern w:val="2"/>
      <w:sz w:val="24"/>
      <w:szCs w:val="26"/>
      <w:lang w:eastAsia="zh-CN"/>
    </w:rPr>
  </w:style>
  <w:style w:type="paragraph" w:customStyle="1" w:styleId="22CharChar2111">
    <w:name w:val="样式 样式 标题 2标题节标题 2 Char Char + 段前: 2 行 + 左侧:  1 字符 右侧:  1 字符1"/>
    <w:basedOn w:val="22CharChar2"/>
    <w:pPr>
      <w:spacing w:beforeLines="0" w:before="50" w:after="50"/>
    </w:pPr>
    <w:rPr>
      <w:rFonts w:eastAsia="宋体" w:hAnsi="Times New Roman" w:cs="宋体"/>
      <w:bCs/>
    </w:rPr>
  </w:style>
  <w:style w:type="paragraph" w:customStyle="1" w:styleId="190">
    <w:name w:val="样式19"/>
    <w:basedOn w:val="a"/>
    <w:pPr>
      <w:keepNext/>
      <w:keepLines/>
      <w:adjustRightInd w:val="0"/>
      <w:snapToGrid w:val="0"/>
      <w:spacing w:line="460" w:lineRule="exact"/>
      <w:textAlignment w:val="baseline"/>
      <w:outlineLvl w:val="2"/>
    </w:pPr>
    <w:rPr>
      <w:rFonts w:ascii="Times New Roman" w:hAnsi="Times New Roman"/>
      <w:b/>
      <w:sz w:val="26"/>
      <w:szCs w:val="26"/>
      <w:lang w:eastAsia="zh-CN"/>
    </w:rPr>
  </w:style>
  <w:style w:type="paragraph" w:customStyle="1" w:styleId="22CharChar212">
    <w:name w:val="样式 样式 标题 2标题节标题 2 Char Char + 段前: 2 行 + 左侧:  1 字符2"/>
    <w:basedOn w:val="22CharChar2"/>
    <w:pPr>
      <w:spacing w:beforeLines="0" w:before="50" w:after="50"/>
    </w:pPr>
    <w:rPr>
      <w:rFonts w:eastAsia="宋体" w:hAnsi="Times New Roman" w:cs="宋体"/>
      <w:bCs/>
    </w:rPr>
  </w:style>
  <w:style w:type="paragraph" w:customStyle="1" w:styleId="b">
    <w:name w:val="b"/>
    <w:basedOn w:val="2"/>
    <w:pPr>
      <w:keepNext w:val="0"/>
      <w:keepLines w:val="0"/>
      <w:spacing w:beforeLines="50" w:before="50" w:afterLines="50" w:after="50" w:line="240" w:lineRule="auto"/>
      <w:ind w:firstLineChars="0" w:firstLine="0"/>
      <w:jc w:val="both"/>
      <w:textAlignment w:val="baseline"/>
    </w:pPr>
    <w:rPr>
      <w:rFonts w:eastAsia="仿宋_GB2312"/>
      <w:b/>
      <w:color w:val="000000"/>
      <w:sz w:val="32"/>
      <w:lang w:eastAsia="zh-CN"/>
    </w:rPr>
  </w:style>
  <w:style w:type="paragraph" w:customStyle="1" w:styleId="xl65">
    <w:name w:val="xl65"/>
    <w:basedOn w:val="a"/>
    <w:pPr>
      <w:pBdr>
        <w:left w:val="single" w:sz="4" w:space="0" w:color="auto"/>
      </w:pBdr>
      <w:spacing w:before="100" w:beforeAutospacing="1" w:after="100" w:afterAutospacing="1"/>
      <w:jc w:val="both"/>
    </w:pPr>
    <w:rPr>
      <w:rFonts w:ascii="Arial Unicode MS" w:eastAsia="Arial Unicode MS" w:hAnsi="Arial Unicode MS" w:cs="Arial Unicode MS"/>
      <w:sz w:val="21"/>
      <w:szCs w:val="21"/>
      <w:lang w:eastAsia="zh-CN"/>
    </w:rPr>
  </w:style>
  <w:style w:type="paragraph" w:customStyle="1" w:styleId="2CharCharCharCharCharCharChar">
    <w:name w:val="样式 正文缩进正文缩进2正文缩进 Char Char正文缩进 Char Char Char Char正文缩进 Char ..."/>
    <w:basedOn w:val="a6"/>
    <w:qFormat/>
    <w:pPr>
      <w:spacing w:line="360" w:lineRule="auto"/>
      <w:ind w:firstLineChars="200" w:firstLine="200"/>
    </w:pPr>
    <w:rPr>
      <w:rFonts w:cs="宋体"/>
      <w:sz w:val="24"/>
    </w:rPr>
  </w:style>
  <w:style w:type="paragraph" w:customStyle="1" w:styleId="123">
    <w:name w:val="123"/>
    <w:basedOn w:val="a"/>
    <w:next w:val="a"/>
    <w:pPr>
      <w:widowControl w:val="0"/>
      <w:spacing w:line="360" w:lineRule="auto"/>
      <w:ind w:firstLineChars="200" w:firstLine="562"/>
      <w:jc w:val="both"/>
    </w:pPr>
    <w:rPr>
      <w:rFonts w:ascii="Times New Roman" w:hAnsi="Times New Roman"/>
      <w:b/>
      <w:bCs/>
      <w:color w:val="000000"/>
      <w:kern w:val="2"/>
      <w:sz w:val="28"/>
      <w:szCs w:val="24"/>
      <w:lang w:eastAsia="zh-CN"/>
    </w:rPr>
  </w:style>
  <w:style w:type="paragraph" w:customStyle="1" w:styleId="1323">
    <w:name w:val="样式 13 磅 行距: 固定值 23 磅"/>
    <w:basedOn w:val="a"/>
    <w:pPr>
      <w:widowControl w:val="0"/>
      <w:spacing w:line="460" w:lineRule="exact"/>
      <w:ind w:firstLineChars="200" w:firstLine="520"/>
      <w:jc w:val="both"/>
    </w:pPr>
    <w:rPr>
      <w:rFonts w:ascii="Times New Roman" w:hAnsi="Times New Roman"/>
      <w:kern w:val="2"/>
      <w:sz w:val="26"/>
      <w:szCs w:val="20"/>
      <w:lang w:eastAsia="zh-CN"/>
    </w:rPr>
  </w:style>
  <w:style w:type="paragraph" w:customStyle="1" w:styleId="6565656">
    <w:name w:val="样式6565656"/>
    <w:basedOn w:val="a"/>
    <w:qFormat/>
    <w:pPr>
      <w:widowControl w:val="0"/>
      <w:adjustRightInd w:val="0"/>
      <w:snapToGrid w:val="0"/>
      <w:spacing w:line="460" w:lineRule="atLeast"/>
      <w:ind w:firstLineChars="200" w:firstLine="480"/>
      <w:jc w:val="both"/>
    </w:pPr>
    <w:rPr>
      <w:rFonts w:ascii="Times New Roman" w:hAnsi="Times New Roman"/>
      <w:bCs/>
      <w:kern w:val="2"/>
      <w:sz w:val="21"/>
      <w:szCs w:val="24"/>
      <w:lang w:eastAsia="zh-CN"/>
    </w:rPr>
  </w:style>
  <w:style w:type="paragraph" w:customStyle="1" w:styleId="22CharChar20505">
    <w:name w:val="样式 样式 标题 2标题节标题 2 Char Char + 段前: 2 行 + 段前: 0.5 行 段后: 0.5 行"/>
    <w:basedOn w:val="22CharChar2"/>
    <w:next w:val="a"/>
    <w:pPr>
      <w:spacing w:beforeLines="0" w:before="120" w:after="120"/>
    </w:pPr>
    <w:rPr>
      <w:rFonts w:eastAsia="宋体" w:hAnsi="Times New Roman" w:cs="宋体"/>
      <w:bCs/>
    </w:rPr>
  </w:style>
  <w:style w:type="paragraph" w:customStyle="1" w:styleId="afffffffc">
    <w:name w:val="二级标题"/>
    <w:basedOn w:val="a"/>
    <w:next w:val="a"/>
    <w:pPr>
      <w:widowControl w:val="0"/>
      <w:adjustRightInd w:val="0"/>
      <w:snapToGrid w:val="0"/>
      <w:spacing w:beforeLines="50" w:before="156" w:afterLines="50" w:after="156" w:line="460" w:lineRule="exact"/>
      <w:jc w:val="both"/>
      <w:outlineLvl w:val="1"/>
    </w:pPr>
    <w:rPr>
      <w:rFonts w:ascii="Times New Roman" w:hAnsi="Times New Roman"/>
      <w:b/>
      <w:bCs/>
      <w:kern w:val="2"/>
      <w:sz w:val="30"/>
      <w:szCs w:val="30"/>
      <w:lang w:eastAsia="zh-CN"/>
    </w:rPr>
  </w:style>
  <w:style w:type="paragraph" w:customStyle="1" w:styleId="0858">
    <w:name w:val="样式 首行缩进:  0.85 厘米8"/>
    <w:basedOn w:val="a"/>
    <w:pPr>
      <w:widowControl w:val="0"/>
      <w:adjustRightInd w:val="0"/>
      <w:snapToGrid w:val="0"/>
      <w:spacing w:line="288" w:lineRule="auto"/>
      <w:ind w:firstLineChars="200" w:firstLine="482"/>
      <w:jc w:val="both"/>
    </w:pPr>
    <w:rPr>
      <w:rFonts w:ascii="Times New Roman" w:hAnsi="Times New Roman" w:cs="宋体"/>
      <w:kern w:val="2"/>
      <w:sz w:val="24"/>
      <w:szCs w:val="26"/>
      <w:lang w:eastAsia="zh-CN"/>
    </w:rPr>
  </w:style>
  <w:style w:type="paragraph" w:customStyle="1" w:styleId="CharCharChar3CharCharChar2Char">
    <w:name w:val="Char Char Char3 Char Char Char2 Char"/>
    <w:basedOn w:val="a"/>
    <w:semiHidden/>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d">
    <w:name w:val="编号正文"/>
    <w:basedOn w:val="a"/>
    <w:pPr>
      <w:widowControl w:val="0"/>
      <w:tabs>
        <w:tab w:val="left" w:pos="1260"/>
      </w:tabs>
      <w:adjustRightInd w:val="0"/>
      <w:snapToGrid w:val="0"/>
      <w:spacing w:afterLines="50" w:after="50" w:line="300" w:lineRule="auto"/>
      <w:ind w:left="1260" w:firstLineChars="200" w:hanging="806"/>
      <w:jc w:val="both"/>
    </w:pPr>
    <w:rPr>
      <w:rFonts w:ascii="Arial Narrow" w:eastAsia="仿宋_GB2312" w:hAnsi="Arial Narrow"/>
      <w:kern w:val="2"/>
      <w:sz w:val="28"/>
      <w:szCs w:val="28"/>
      <w:lang w:eastAsia="zh-CN"/>
    </w:rPr>
  </w:style>
  <w:style w:type="paragraph" w:customStyle="1" w:styleId="Char30">
    <w:name w:val="Char3"/>
    <w:basedOn w:val="a"/>
    <w:pPr>
      <w:widowControl w:val="0"/>
      <w:jc w:val="both"/>
    </w:pPr>
    <w:rPr>
      <w:rFonts w:ascii="Times New Roman" w:hAnsi="Times New Roman"/>
      <w:kern w:val="2"/>
      <w:sz w:val="21"/>
      <w:szCs w:val="24"/>
      <w:lang w:eastAsia="zh-CN"/>
    </w:rPr>
  </w:style>
  <w:style w:type="paragraph" w:customStyle="1" w:styleId="afffffffe">
    <w:name w:val="表格文字居中"/>
    <w:basedOn w:val="a"/>
    <w:next w:val="a"/>
    <w:pPr>
      <w:widowControl w:val="0"/>
      <w:adjustRightInd w:val="0"/>
      <w:snapToGrid w:val="0"/>
      <w:spacing w:line="460" w:lineRule="exact"/>
      <w:ind w:firstLineChars="200" w:firstLine="200"/>
      <w:jc w:val="center"/>
    </w:pPr>
    <w:rPr>
      <w:rFonts w:ascii="Times New Roman" w:hAnsi="Times New Roman"/>
      <w:color w:val="000000"/>
      <w:kern w:val="2"/>
      <w:lang w:eastAsia="zh-CN"/>
    </w:rPr>
  </w:style>
  <w:style w:type="paragraph" w:customStyle="1" w:styleId="2TimesNewRoman">
    <w:name w:val="样式 标题 2 + Times New Roman 非加粗"/>
    <w:basedOn w:val="2"/>
    <w:qFormat/>
    <w:pPr>
      <w:keepLines w:val="0"/>
      <w:widowControl w:val="0"/>
      <w:adjustRightInd/>
      <w:snapToGrid/>
      <w:spacing w:beforeLines="50" w:before="156" w:line="240" w:lineRule="auto"/>
      <w:ind w:firstLineChars="196" w:firstLine="472"/>
      <w:jc w:val="both"/>
    </w:pPr>
    <w:rPr>
      <w:bCs w:val="0"/>
      <w:color w:val="000000"/>
      <w:kern w:val="2"/>
      <w:szCs w:val="24"/>
      <w:lang w:eastAsia="zh-CN"/>
    </w:rPr>
  </w:style>
  <w:style w:type="paragraph" w:customStyle="1" w:styleId="xl27">
    <w:name w:val="xl27"/>
    <w:basedOn w:val="a"/>
    <w:pPr>
      <w:pBdr>
        <w:left w:val="single" w:sz="12"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olor w:val="000000"/>
      <w:sz w:val="21"/>
      <w:szCs w:val="20"/>
      <w:lang w:eastAsia="zh-CN"/>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a"/>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Z7">
    <w:name w:val="Z7[图表]"/>
    <w:next w:val="a"/>
    <w:pPr>
      <w:jc w:val="center"/>
    </w:pPr>
    <w:rPr>
      <w:rFonts w:eastAsia="仿宋_GB2312"/>
      <w:bCs/>
      <w:sz w:val="21"/>
      <w:szCs w:val="44"/>
    </w:rPr>
  </w:style>
  <w:style w:type="paragraph" w:customStyle="1" w:styleId="HtmlNormal">
    <w:name w:val="HtmlNormal"/>
    <w:basedOn w:val="a"/>
    <w:qFormat/>
    <w:pPr>
      <w:widowControl w:val="0"/>
      <w:spacing w:before="100" w:beforeAutospacing="1" w:after="100" w:afterAutospacing="1" w:line="384" w:lineRule="auto"/>
    </w:pPr>
    <w:rPr>
      <w:rFonts w:ascii="Arial Unicode MS" w:eastAsia="Times New Roman" w:hAnsi="Arial Unicode MS"/>
      <w:color w:val="000000"/>
      <w:sz w:val="21"/>
      <w:szCs w:val="21"/>
      <w:lang w:eastAsia="zh-CN"/>
    </w:rPr>
  </w:style>
  <w:style w:type="paragraph" w:customStyle="1" w:styleId="13230">
    <w:name w:val="样式 13 磅 黑色 行距: 固定值 23 磅"/>
    <w:basedOn w:val="a"/>
    <w:pPr>
      <w:widowControl w:val="0"/>
      <w:adjustRightInd w:val="0"/>
      <w:snapToGrid w:val="0"/>
      <w:spacing w:line="440" w:lineRule="exact"/>
      <w:jc w:val="center"/>
    </w:pPr>
    <w:rPr>
      <w:rFonts w:ascii="宋体" w:hAnsi="宋体" w:cs="Arial"/>
      <w:kern w:val="2"/>
      <w:sz w:val="24"/>
      <w:szCs w:val="24"/>
      <w:lang w:eastAsia="zh-CN"/>
    </w:rPr>
  </w:style>
  <w:style w:type="paragraph" w:customStyle="1" w:styleId="22CharChar2205">
    <w:name w:val="样式 样式 标题 2标题节标题 2 Char Char + 段前: 2 行 + 首行缩进:  2 字符 段前: 0.5 行 ..."/>
    <w:basedOn w:val="22CharChar2"/>
    <w:pPr>
      <w:spacing w:beforeLines="0" w:before="0"/>
      <w:ind w:firstLineChars="0" w:firstLine="0"/>
    </w:pPr>
    <w:rPr>
      <w:rFonts w:eastAsia="宋体" w:hAnsi="Times New Roman" w:cs="宋体"/>
      <w:bCs/>
    </w:rPr>
  </w:style>
  <w:style w:type="paragraph" w:customStyle="1" w:styleId="xl24">
    <w:name w:val="xl24"/>
    <w:basedOn w:val="a"/>
    <w:pPr>
      <w:spacing w:before="100" w:beforeAutospacing="1" w:after="100" w:afterAutospacing="1"/>
      <w:jc w:val="center"/>
      <w:textAlignment w:val="center"/>
    </w:pPr>
    <w:rPr>
      <w:rFonts w:ascii="Arial Unicode MS" w:eastAsia="Arial Unicode MS" w:hAnsi="Arial Unicode MS"/>
      <w:lang w:eastAsia="zh-CN"/>
    </w:rPr>
  </w:style>
  <w:style w:type="paragraph" w:customStyle="1" w:styleId="xl26">
    <w:name w:val="xl26"/>
    <w:basedOn w:val="a"/>
    <w:pPr>
      <w:pBdr>
        <w:bottom w:val="single" w:sz="4" w:space="0" w:color="auto"/>
        <w:right w:val="single" w:sz="4" w:space="0" w:color="auto"/>
      </w:pBdr>
      <w:spacing w:before="100" w:beforeAutospacing="1" w:after="100" w:afterAutospacing="1"/>
      <w:jc w:val="both"/>
      <w:textAlignment w:val="top"/>
    </w:pPr>
    <w:rPr>
      <w:rFonts w:ascii="宋体" w:hAnsi="宋体"/>
      <w:sz w:val="21"/>
      <w:szCs w:val="21"/>
      <w:lang w:eastAsia="zh-CN"/>
    </w:rPr>
  </w:style>
  <w:style w:type="paragraph" w:customStyle="1" w:styleId="Z2">
    <w:name w:val="Z2[封面]"/>
    <w:next w:val="a"/>
    <w:pPr>
      <w:spacing w:line="360" w:lineRule="auto"/>
      <w:jc w:val="center"/>
    </w:pPr>
    <w:rPr>
      <w:rFonts w:eastAsia="楷体_GB2312"/>
      <w:bCs/>
      <w:sz w:val="32"/>
      <w:szCs w:val="44"/>
    </w:rPr>
  </w:style>
  <w:style w:type="paragraph" w:customStyle="1" w:styleId="UserStyle5">
    <w:name w:val="UserStyle_5"/>
    <w:pPr>
      <w:spacing w:line="600" w:lineRule="exact"/>
      <w:ind w:firstLine="567"/>
      <w:jc w:val="both"/>
      <w:textAlignment w:val="baseline"/>
    </w:pPr>
    <w:rPr>
      <w:rFonts w:ascii="宋体"/>
      <w:sz w:val="28"/>
    </w:rPr>
  </w:style>
  <w:style w:type="paragraph" w:customStyle="1" w:styleId="ParaChar">
    <w:name w:val="默认段落字体 Para Char"/>
    <w:basedOn w:val="a"/>
    <w:next w:val="a"/>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affffffff">
    <w:name w:val="正"/>
    <w:qFormat/>
    <w:pPr>
      <w:spacing w:line="480" w:lineRule="exact"/>
      <w:ind w:firstLineChars="196" w:firstLine="470"/>
    </w:pPr>
    <w:rPr>
      <w:bCs/>
      <w:kern w:val="2"/>
      <w:sz w:val="24"/>
      <w:szCs w:val="24"/>
    </w:rPr>
  </w:style>
  <w:style w:type="paragraph" w:customStyle="1" w:styleId="Z5">
    <w:name w:val="Z5[附件]"/>
    <w:next w:val="a"/>
    <w:pPr>
      <w:spacing w:line="360" w:lineRule="auto"/>
      <w:ind w:firstLineChars="200" w:firstLine="200"/>
    </w:pPr>
    <w:rPr>
      <w:rFonts w:eastAsia="仿宋_GB2312"/>
      <w:b/>
      <w:sz w:val="28"/>
      <w:szCs w:val="24"/>
    </w:rPr>
  </w:style>
  <w:style w:type="paragraph" w:customStyle="1" w:styleId="xl25">
    <w:name w:val="xl25"/>
    <w:basedOn w:val="a"/>
    <w:semiHidden/>
    <w:pPr>
      <w:spacing w:before="100" w:after="100"/>
      <w:jc w:val="center"/>
    </w:pPr>
    <w:rPr>
      <w:rFonts w:ascii="Times New Roman" w:eastAsia="Arial Unicode MS" w:hAnsi="Times New Roman"/>
      <w:sz w:val="24"/>
      <w:szCs w:val="20"/>
      <w:lang w:eastAsia="zh-CN"/>
    </w:rPr>
  </w:style>
  <w:style w:type="paragraph" w:customStyle="1" w:styleId="282">
    <w:name w:val="样式 四号 行距: 固定值 28 磅 首行缩进:  2 字符"/>
    <w:basedOn w:val="a"/>
    <w:pPr>
      <w:widowControl w:val="0"/>
      <w:spacing w:line="560" w:lineRule="exact"/>
      <w:ind w:firstLineChars="200" w:firstLine="560"/>
      <w:jc w:val="both"/>
    </w:pPr>
    <w:rPr>
      <w:rFonts w:ascii="Times New Roman" w:hAnsi="Times New Roman" w:cs="宋体"/>
      <w:kern w:val="2"/>
      <w:sz w:val="28"/>
      <w:szCs w:val="20"/>
      <w:lang w:eastAsia="zh-CN"/>
    </w:rPr>
  </w:style>
  <w:style w:type="paragraph" w:customStyle="1" w:styleId="22CharChar21">
    <w:name w:val="样式 样式 标题 2标题节标题 2 Char Char + 段前: 2 行 + 左侧:  1 字符"/>
    <w:basedOn w:val="22CharChar2"/>
    <w:pPr>
      <w:spacing w:beforeLines="0" w:before="0"/>
    </w:pPr>
    <w:rPr>
      <w:rFonts w:eastAsia="宋体" w:hAnsi="Times New Roman" w:cs="宋体"/>
      <w:bCs/>
    </w:rPr>
  </w:style>
  <w:style w:type="paragraph" w:customStyle="1" w:styleId="CharCharChar0">
    <w:name w:val="Char Char Char"/>
    <w:basedOn w:val="a"/>
    <w:pPr>
      <w:widowControl w:val="0"/>
      <w:jc w:val="both"/>
    </w:pPr>
    <w:rPr>
      <w:rFonts w:ascii="Times New Roman" w:hAnsi="Times New Roman"/>
      <w:kern w:val="2"/>
      <w:sz w:val="24"/>
      <w:szCs w:val="20"/>
      <w:lang w:eastAsia="zh-CN"/>
    </w:rPr>
  </w:style>
  <w:style w:type="paragraph" w:customStyle="1" w:styleId="101">
    <w:name w:val="样式 左 首行缩进:  1.01 厘米"/>
    <w:basedOn w:val="a"/>
    <w:pPr>
      <w:widowControl w:val="0"/>
      <w:adjustRightInd w:val="0"/>
      <w:snapToGrid w:val="0"/>
      <w:spacing w:line="460" w:lineRule="exact"/>
      <w:ind w:firstLineChars="200" w:firstLine="200"/>
      <w:jc w:val="both"/>
    </w:pPr>
    <w:rPr>
      <w:rFonts w:ascii="Times New Roman" w:hAnsi="Times New Roman" w:cs="宋体"/>
      <w:kern w:val="2"/>
      <w:sz w:val="26"/>
      <w:szCs w:val="26"/>
      <w:lang w:eastAsia="zh-CN"/>
    </w:rPr>
  </w:style>
  <w:style w:type="paragraph" w:customStyle="1" w:styleId="13232">
    <w:name w:val="样式 13 磅 行距: 固定值 23 磅 首行缩进:  2 字符"/>
    <w:basedOn w:val="a"/>
    <w:pPr>
      <w:widowControl w:val="0"/>
      <w:spacing w:line="460" w:lineRule="exact"/>
      <w:ind w:firstLineChars="200" w:firstLine="520"/>
      <w:jc w:val="both"/>
    </w:pPr>
    <w:rPr>
      <w:rFonts w:ascii="Times New Roman" w:hAnsi="Times New Roman" w:cs="宋体"/>
      <w:kern w:val="2"/>
      <w:sz w:val="26"/>
      <w:szCs w:val="20"/>
      <w:lang w:eastAsia="zh-CN"/>
    </w:rPr>
  </w:style>
  <w:style w:type="paragraph" w:customStyle="1" w:styleId="-hao-">
    <w:name w:val="表格文字-hao-居中"/>
    <w:uiPriority w:val="99"/>
    <w:qFormat/>
    <w:pPr>
      <w:adjustRightInd w:val="0"/>
      <w:snapToGrid w:val="0"/>
      <w:spacing w:beforeLines="20" w:afterLines="10" w:line="264" w:lineRule="auto"/>
      <w:jc w:val="center"/>
      <w:textAlignment w:val="center"/>
    </w:pPr>
    <w:rPr>
      <w:szCs w:val="24"/>
    </w:rPr>
  </w:style>
  <w:style w:type="paragraph" w:customStyle="1" w:styleId="Z1">
    <w:name w:val="Z1[封面]"/>
    <w:next w:val="a"/>
    <w:pPr>
      <w:spacing w:line="360" w:lineRule="auto"/>
      <w:jc w:val="center"/>
    </w:pPr>
    <w:rPr>
      <w:rFonts w:eastAsia="华文中宋"/>
      <w:b/>
      <w:bCs/>
      <w:sz w:val="44"/>
      <w:szCs w:val="44"/>
    </w:rPr>
  </w:style>
  <w:style w:type="paragraph" w:customStyle="1" w:styleId="CharCharCharChar1">
    <w:name w:val="Char Char Char Char1"/>
    <w:basedOn w:val="a"/>
    <w:pPr>
      <w:widowControl w:val="0"/>
      <w:spacing w:line="360" w:lineRule="auto"/>
      <w:jc w:val="both"/>
    </w:pPr>
    <w:rPr>
      <w:rFonts w:ascii="仿宋_GB2312" w:eastAsia="仿宋_GB2312" w:hAnsi="Tahoma"/>
      <w:kern w:val="2"/>
      <w:sz w:val="21"/>
      <w:szCs w:val="21"/>
      <w:lang w:eastAsia="zh-CN"/>
    </w:rPr>
  </w:style>
  <w:style w:type="paragraph" w:customStyle="1" w:styleId="1f3">
    <w:name w:val="表格1"/>
    <w:basedOn w:val="a"/>
    <w:pPr>
      <w:widowControl w:val="0"/>
      <w:spacing w:line="360" w:lineRule="exact"/>
      <w:jc w:val="center"/>
    </w:pPr>
    <w:rPr>
      <w:rFonts w:ascii="Times New Roman" w:hAnsi="Times New Roman"/>
      <w:color w:val="000000"/>
      <w:kern w:val="2"/>
      <w:sz w:val="24"/>
      <w:szCs w:val="24"/>
      <w:lang w:eastAsia="zh-CN"/>
    </w:rPr>
  </w:style>
  <w:style w:type="paragraph" w:customStyle="1" w:styleId="affffffff0">
    <w:name w:val="正文（首行缩进两字）"/>
    <w:basedOn w:val="a"/>
    <w:pPr>
      <w:widowControl w:val="0"/>
      <w:jc w:val="both"/>
    </w:pPr>
    <w:rPr>
      <w:rFonts w:ascii="Times New Roman" w:hAnsi="Times New Roman"/>
      <w:kern w:val="2"/>
      <w:sz w:val="21"/>
      <w:szCs w:val="21"/>
      <w:lang w:eastAsia="zh-CN"/>
    </w:rPr>
  </w:style>
  <w:style w:type="paragraph" w:customStyle="1" w:styleId="BodyTextIndent2">
    <w:name w:val="BodyTextIndent2"/>
    <w:basedOn w:val="a"/>
    <w:qFormat/>
    <w:pPr>
      <w:widowControl w:val="0"/>
      <w:spacing w:after="120" w:line="480" w:lineRule="auto"/>
      <w:ind w:leftChars="200" w:left="420"/>
      <w:jc w:val="both"/>
    </w:pPr>
    <w:rPr>
      <w:rFonts w:ascii="Times New Roman" w:hAnsi="Times New Roman"/>
      <w:kern w:val="2"/>
      <w:sz w:val="21"/>
      <w:szCs w:val="24"/>
      <w:lang w:eastAsia="zh-CN"/>
    </w:rPr>
  </w:style>
  <w:style w:type="paragraph" w:customStyle="1" w:styleId="affffffff1">
    <w:name w:val="三级标题"/>
    <w:basedOn w:val="a"/>
    <w:next w:val="a"/>
    <w:semiHidden/>
    <w:pPr>
      <w:widowControl w:val="0"/>
      <w:snapToGrid w:val="0"/>
      <w:jc w:val="both"/>
      <w:outlineLvl w:val="2"/>
    </w:pPr>
    <w:rPr>
      <w:rFonts w:ascii="Times New Roman" w:hAnsi="Times New Roman"/>
      <w:b/>
      <w:kern w:val="2"/>
      <w:sz w:val="26"/>
      <w:szCs w:val="26"/>
      <w:lang w:eastAsia="zh-CN"/>
    </w:rPr>
  </w:style>
  <w:style w:type="paragraph" w:customStyle="1" w:styleId="ggbody">
    <w:name w:val="gg_body"/>
    <w:basedOn w:val="a"/>
    <w:pPr>
      <w:widowControl w:val="0"/>
      <w:spacing w:line="460" w:lineRule="exact"/>
      <w:ind w:firstLine="200"/>
      <w:jc w:val="both"/>
    </w:pPr>
    <w:rPr>
      <w:rFonts w:ascii="宋体" w:hAnsi="宋体"/>
      <w:kern w:val="2"/>
      <w:sz w:val="24"/>
      <w:szCs w:val="20"/>
      <w:lang w:eastAsia="zh-CN"/>
    </w:rPr>
  </w:style>
  <w:style w:type="paragraph" w:customStyle="1" w:styleId="xl52">
    <w:name w:val="xl52"/>
    <w:basedOn w:val="a"/>
    <w:pPr>
      <w:pBdr>
        <w:left w:val="single" w:sz="8" w:space="0" w:color="auto"/>
      </w:pBdr>
      <w:spacing w:before="100" w:beforeAutospacing="1" w:after="100" w:afterAutospacing="1"/>
      <w:jc w:val="center"/>
      <w:textAlignment w:val="center"/>
    </w:pPr>
    <w:rPr>
      <w:rFonts w:ascii="Arial Unicode MS" w:eastAsia="Arial Unicode MS" w:hAnsi="Arial Unicode MS" w:cs="Arial Unicode MS"/>
      <w:sz w:val="24"/>
      <w:szCs w:val="24"/>
      <w:lang w:eastAsia="zh-CN"/>
    </w:rPr>
  </w:style>
  <w:style w:type="paragraph" w:customStyle="1" w:styleId="8">
    <w:name w:val="样式8"/>
    <w:basedOn w:val="3"/>
    <w:pPr>
      <w:widowControl w:val="0"/>
      <w:adjustRightInd w:val="0"/>
      <w:snapToGrid w:val="0"/>
      <w:spacing w:before="0" w:after="0" w:line="480" w:lineRule="exact"/>
      <w:jc w:val="both"/>
    </w:pPr>
    <w:rPr>
      <w:rFonts w:ascii="Times New Roman" w:hAnsi="Times New Roman"/>
      <w:kern w:val="2"/>
      <w:sz w:val="26"/>
      <w:szCs w:val="24"/>
      <w:lang w:eastAsia="zh-CN"/>
    </w:rPr>
  </w:style>
  <w:style w:type="paragraph" w:customStyle="1" w:styleId="affffffff2">
    <w:name w:val="样式 正文文本缩进 + 宋体"/>
    <w:basedOn w:val="af1"/>
    <w:pPr>
      <w:widowControl w:val="0"/>
      <w:spacing w:beforeLines="30" w:before="93" w:afterLines="30" w:after="93" w:line="460" w:lineRule="exact"/>
      <w:ind w:left="0" w:firstLineChars="200" w:firstLine="560"/>
      <w:jc w:val="both"/>
    </w:pPr>
    <w:rPr>
      <w:rFonts w:ascii="宋体" w:hAnsi="宋体"/>
      <w:kern w:val="2"/>
      <w:sz w:val="21"/>
      <w:szCs w:val="28"/>
      <w:lang w:eastAsia="zh-CN"/>
    </w:rPr>
  </w:style>
  <w:style w:type="paragraph" w:customStyle="1" w:styleId="22CharChar211">
    <w:name w:val="样式 样式 标题 2标题节标题 2 Char Char + 段前: 2 行 + 左侧:  1 字符 右侧:  1 字符"/>
    <w:basedOn w:val="22CharChar2"/>
    <w:rPr>
      <w:szCs w:val="26"/>
    </w:rPr>
  </w:style>
  <w:style w:type="paragraph" w:customStyle="1" w:styleId="00000000000000000000000Char">
    <w:name w:val="00000000000000000000000 Char"/>
    <w:basedOn w:val="a"/>
    <w:pPr>
      <w:widowControl w:val="0"/>
      <w:spacing w:line="360" w:lineRule="auto"/>
      <w:ind w:firstLine="510"/>
      <w:jc w:val="both"/>
    </w:pPr>
    <w:rPr>
      <w:rFonts w:ascii="Times New Roman" w:hAnsi="Times New Roman"/>
      <w:color w:val="000000"/>
      <w:kern w:val="2"/>
      <w:sz w:val="21"/>
      <w:szCs w:val="24"/>
      <w:lang w:val="zh-CN" w:eastAsia="zh-CN"/>
    </w:rPr>
  </w:style>
  <w:style w:type="paragraph" w:customStyle="1" w:styleId="CharCharChar2CharCharCharCharCharCharCharCharCharChar">
    <w:name w:val="Char Char Char2 Char Char Char Char Char Char Char Char Char Char"/>
    <w:basedOn w:val="a"/>
    <w:semiHidden/>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170">
    <w:name w:val="样式17"/>
    <w:basedOn w:val="a"/>
    <w:pPr>
      <w:keepNext/>
      <w:keepLines/>
      <w:adjustRightInd w:val="0"/>
      <w:snapToGrid w:val="0"/>
      <w:spacing w:before="80" w:line="460" w:lineRule="exact"/>
      <w:outlineLvl w:val="1"/>
    </w:pPr>
    <w:rPr>
      <w:rFonts w:ascii="Times New Roman" w:eastAsia="黑体" w:hAnsi="Times New Roman"/>
      <w:b/>
      <w:bCs/>
      <w:sz w:val="28"/>
      <w:szCs w:val="28"/>
      <w:lang w:eastAsia="zh-CN"/>
    </w:rPr>
  </w:style>
  <w:style w:type="paragraph" w:customStyle="1" w:styleId="affffffff3">
    <w:name w:val="简单回函地址"/>
    <w:basedOn w:val="a"/>
    <w:pPr>
      <w:widowControl w:val="0"/>
      <w:jc w:val="both"/>
    </w:pPr>
    <w:rPr>
      <w:rFonts w:ascii="Times New Roman" w:hAnsi="Times New Roman"/>
      <w:kern w:val="2"/>
      <w:sz w:val="21"/>
      <w:szCs w:val="20"/>
      <w:lang w:eastAsia="zh-CN"/>
    </w:rPr>
  </w:style>
  <w:style w:type="paragraph" w:customStyle="1" w:styleId="Heading3">
    <w:name w:val="Heading3"/>
    <w:basedOn w:val="a"/>
    <w:next w:val="a"/>
    <w:qFormat/>
    <w:pPr>
      <w:keepNext/>
      <w:keepLines/>
      <w:widowControl w:val="0"/>
      <w:spacing w:before="156" w:line="440" w:lineRule="exact"/>
      <w:ind w:firstLineChars="196" w:firstLine="472"/>
      <w:jc w:val="both"/>
    </w:pPr>
    <w:rPr>
      <w:rFonts w:ascii="Arial" w:eastAsia="黑体" w:hAnsi="Arial"/>
      <w:b/>
      <w:color w:val="000000"/>
      <w:sz w:val="24"/>
      <w:szCs w:val="24"/>
      <w:lang w:eastAsia="zh-CN"/>
    </w:rPr>
  </w:style>
  <w:style w:type="paragraph" w:customStyle="1" w:styleId="22CharChar2105">
    <w:name w:val="样式 样式 样式 标题 2标题节标题 2 Char Char + 段前: 2 行 + 左侧:  1 字符 + 段前: 0.5 行..."/>
    <w:basedOn w:val="a"/>
    <w:pPr>
      <w:keepNext/>
      <w:keepLines/>
      <w:widowControl w:val="0"/>
      <w:adjustRightInd w:val="0"/>
      <w:snapToGrid w:val="0"/>
      <w:spacing w:line="460" w:lineRule="exact"/>
      <w:ind w:firstLineChars="200" w:firstLine="200"/>
      <w:jc w:val="both"/>
      <w:outlineLvl w:val="1"/>
    </w:pPr>
    <w:rPr>
      <w:rFonts w:ascii="Times New Roman" w:hAnsi="Times New Roman" w:cs="宋体"/>
      <w:b/>
      <w:bCs/>
      <w:kern w:val="2"/>
      <w:sz w:val="26"/>
      <w:szCs w:val="26"/>
      <w:lang w:eastAsia="zh-CN"/>
    </w:rPr>
  </w:style>
  <w:style w:type="paragraph" w:customStyle="1" w:styleId="affffffff4">
    <w:name w:val="一级标题"/>
    <w:basedOn w:val="a"/>
    <w:next w:val="a"/>
    <w:pPr>
      <w:widowControl w:val="0"/>
      <w:adjustRightInd w:val="0"/>
      <w:snapToGrid w:val="0"/>
      <w:spacing w:before="100" w:beforeAutospacing="1" w:afterLines="50" w:after="156" w:line="460" w:lineRule="exact"/>
      <w:jc w:val="center"/>
      <w:outlineLvl w:val="0"/>
    </w:pPr>
    <w:rPr>
      <w:rFonts w:ascii="Times New Roman" w:hAnsi="Times New Roman"/>
      <w:b/>
      <w:bCs/>
      <w:kern w:val="2"/>
      <w:sz w:val="32"/>
      <w:szCs w:val="32"/>
      <w:lang w:eastAsia="zh-CN"/>
    </w:rPr>
  </w:style>
  <w:style w:type="paragraph" w:customStyle="1" w:styleId="UserStyle1">
    <w:name w:val="UserStyle_1"/>
    <w:pPr>
      <w:spacing w:line="480" w:lineRule="exact"/>
      <w:ind w:firstLineChars="196" w:firstLine="470"/>
      <w:textAlignment w:val="baseline"/>
    </w:pPr>
    <w:rPr>
      <w:bCs/>
      <w:kern w:val="2"/>
      <w:sz w:val="24"/>
      <w:szCs w:val="24"/>
    </w:rPr>
  </w:style>
  <w:style w:type="paragraph" w:customStyle="1" w:styleId="affffffff5">
    <w:name w:val="环评表头"/>
    <w:basedOn w:val="a"/>
    <w:pPr>
      <w:widowControl w:val="0"/>
      <w:spacing w:line="440" w:lineRule="exact"/>
      <w:jc w:val="center"/>
    </w:pPr>
    <w:rPr>
      <w:rFonts w:ascii="黑体" w:eastAsia="黑体" w:hAnsi="Arial" w:cs="Arial"/>
      <w:b/>
      <w:color w:val="000000"/>
      <w:kern w:val="2"/>
      <w:sz w:val="24"/>
      <w:szCs w:val="24"/>
      <w:lang w:eastAsia="zh-CN"/>
    </w:rPr>
  </w:style>
  <w:style w:type="paragraph" w:customStyle="1" w:styleId="UserStyle6">
    <w:name w:val="UserStyle_6"/>
    <w:basedOn w:val="UserStyle4"/>
    <w:qFormat/>
  </w:style>
  <w:style w:type="paragraph" w:customStyle="1" w:styleId="UserStyle4">
    <w:name w:val="UserStyle_4"/>
    <w:basedOn w:val="a"/>
    <w:qFormat/>
    <w:pPr>
      <w:widowControl w:val="0"/>
      <w:snapToGrid w:val="0"/>
      <w:spacing w:line="460" w:lineRule="exact"/>
      <w:ind w:firstLineChars="218" w:firstLine="567"/>
    </w:pPr>
    <w:rPr>
      <w:rFonts w:ascii="Times New Roman" w:hAnsi="Times New Roman"/>
      <w:sz w:val="26"/>
      <w:szCs w:val="26"/>
      <w:lang w:eastAsia="zh-CN"/>
    </w:rPr>
  </w:style>
  <w:style w:type="paragraph" w:customStyle="1" w:styleId="affffffff6">
    <w:name w:val="环评标题"/>
    <w:basedOn w:val="afffffff"/>
    <w:pPr>
      <w:ind w:firstLine="482"/>
    </w:pPr>
    <w:rPr>
      <w:rFonts w:ascii="黑体" w:eastAsia="黑体"/>
      <w:b/>
    </w:rPr>
  </w:style>
  <w:style w:type="paragraph" w:customStyle="1" w:styleId="CharCharCharCharCharCharChar">
    <w:name w:val="Char Char Char Char Char Char Char"/>
    <w:basedOn w:val="a"/>
    <w:next w:val="a"/>
    <w:pPr>
      <w:widowControl w:val="0"/>
      <w:spacing w:line="360" w:lineRule="auto"/>
      <w:ind w:firstLineChars="200" w:firstLine="200"/>
      <w:jc w:val="both"/>
    </w:pPr>
    <w:rPr>
      <w:rFonts w:ascii="Times New Roman" w:hAnsi="Times New Roman"/>
      <w:kern w:val="2"/>
      <w:sz w:val="21"/>
      <w:szCs w:val="24"/>
      <w:lang w:eastAsia="zh-CN"/>
    </w:rPr>
  </w:style>
  <w:style w:type="paragraph" w:customStyle="1" w:styleId="CharCharCharCharChar2CharCharCharChar">
    <w:name w:val="Char Char Char Char Char2 Char Char Char Char"/>
    <w:basedOn w:val="a"/>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CharCharChar1CharCharCharChar">
    <w:name w:val="Char Char Char1 Char Char Char Char"/>
    <w:basedOn w:val="a"/>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f7">
    <w:name w:val="样式 正文（首行缩进两字） + 宋体"/>
    <w:basedOn w:val="a6"/>
    <w:pPr>
      <w:adjustRightInd w:val="0"/>
      <w:snapToGrid w:val="0"/>
      <w:ind w:firstLine="567"/>
    </w:pPr>
    <w:rPr>
      <w:rFonts w:ascii="宋体" w:hAnsi="宋体"/>
      <w:sz w:val="28"/>
      <w:szCs w:val="20"/>
    </w:rPr>
  </w:style>
  <w:style w:type="paragraph" w:customStyle="1" w:styleId="affffffff8">
    <w:name w:val="正文四号"/>
    <w:basedOn w:val="a"/>
    <w:qFormat/>
    <w:pPr>
      <w:widowControl w:val="0"/>
      <w:spacing w:line="360" w:lineRule="auto"/>
      <w:ind w:firstLineChars="200" w:firstLine="200"/>
      <w:jc w:val="both"/>
    </w:pPr>
    <w:rPr>
      <w:rFonts w:ascii="宋体" w:hAnsi="Times New Roman" w:cs="宋体"/>
      <w:sz w:val="24"/>
      <w:lang w:eastAsia="zh-CN"/>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
    <w:pPr>
      <w:spacing w:after="160" w:line="240" w:lineRule="exact"/>
    </w:pPr>
    <w:rPr>
      <w:rFonts w:ascii="Verdana" w:eastAsia="仿宋_GB2312" w:hAnsi="Verdana" w:cs="Verdana"/>
      <w:color w:val="000000"/>
      <w:sz w:val="24"/>
      <w:szCs w:val="21"/>
    </w:rPr>
  </w:style>
  <w:style w:type="paragraph" w:customStyle="1" w:styleId="CharCharChar1CharCharCharChar1">
    <w:name w:val="Char Char Char1 Char Char Char Char1"/>
    <w:basedOn w:val="a"/>
    <w:semiHidden/>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affffffff9">
    <w:name w:val="表格文字"/>
    <w:basedOn w:val="a6"/>
    <w:next w:val="a"/>
    <w:pPr>
      <w:snapToGrid w:val="0"/>
      <w:spacing w:before="60" w:after="60" w:line="460" w:lineRule="exact"/>
      <w:ind w:firstLineChars="200" w:firstLine="200"/>
    </w:pPr>
    <w:rPr>
      <w:sz w:val="26"/>
      <w:szCs w:val="20"/>
    </w:rPr>
  </w:style>
  <w:style w:type="paragraph" w:customStyle="1" w:styleId="3d">
    <w:name w:val="标题3"/>
    <w:basedOn w:val="a"/>
    <w:qFormat/>
    <w:pPr>
      <w:widowControl w:val="0"/>
      <w:spacing w:line="360" w:lineRule="auto"/>
      <w:ind w:firstLineChars="200" w:firstLine="482"/>
      <w:jc w:val="both"/>
    </w:pPr>
    <w:rPr>
      <w:rFonts w:ascii="仿宋_GB2312" w:eastAsia="仿宋_GB2312" w:hAnsi="Times New Roman"/>
      <w:b/>
      <w:kern w:val="2"/>
      <w:sz w:val="24"/>
      <w:szCs w:val="24"/>
      <w:lang w:eastAsia="zh-CN"/>
    </w:rPr>
  </w:style>
  <w:style w:type="paragraph" w:customStyle="1" w:styleId="11CharCharCharCharCh">
    <w:name w:val="样式 正文缩进表格标题正文（首行缩进两字）1正文缩进1正文（首行缩进两字） Char Char Char Char Ch..."/>
    <w:basedOn w:val="a6"/>
    <w:qFormat/>
    <w:pPr>
      <w:spacing w:line="440" w:lineRule="exact"/>
      <w:ind w:firstLine="200"/>
    </w:pPr>
    <w:rPr>
      <w:rFonts w:cs="宋体"/>
      <w:b/>
      <w:bCs/>
      <w:sz w:val="28"/>
      <w:szCs w:val="20"/>
    </w:rPr>
  </w:style>
  <w:style w:type="paragraph" w:customStyle="1" w:styleId="030">
    <w:name w:val="标题03"/>
    <w:basedOn w:val="a"/>
    <w:next w:val="a"/>
    <w:pPr>
      <w:widowControl w:val="0"/>
      <w:adjustRightInd w:val="0"/>
      <w:snapToGrid w:val="0"/>
      <w:spacing w:line="480" w:lineRule="atLeast"/>
      <w:ind w:firstLineChars="200" w:firstLine="480"/>
      <w:jc w:val="both"/>
    </w:pPr>
    <w:rPr>
      <w:rFonts w:ascii="Times New Roman" w:hAnsi="Times New Roman"/>
      <w:b/>
      <w:kern w:val="2"/>
      <w:sz w:val="24"/>
      <w:szCs w:val="20"/>
      <w:lang w:eastAsia="zh-CN"/>
    </w:rPr>
  </w:style>
  <w:style w:type="paragraph" w:customStyle="1" w:styleId="Char4CharCharChar1">
    <w:name w:val="Char4 Char Char Char1"/>
    <w:basedOn w:val="a"/>
    <w:pPr>
      <w:widowControl w:val="0"/>
      <w:adjustRightInd w:val="0"/>
      <w:snapToGrid w:val="0"/>
      <w:spacing w:line="360" w:lineRule="auto"/>
      <w:ind w:firstLineChars="200" w:firstLine="200"/>
      <w:jc w:val="both"/>
    </w:pPr>
    <w:rPr>
      <w:rFonts w:ascii="宋体" w:hAnsi="宋体" w:cs="宋体"/>
      <w:kern w:val="2"/>
      <w:sz w:val="24"/>
      <w:szCs w:val="26"/>
      <w:lang w:eastAsia="zh-CN"/>
    </w:rPr>
  </w:style>
  <w:style w:type="paragraph" w:customStyle="1" w:styleId="22CharChar2110">
    <w:name w:val="样式 样式 标题 2标题节标题 2 Char Char + 段前: 2 行 + 左侧:  1 字符1"/>
    <w:basedOn w:val="22CharChar2"/>
    <w:pPr>
      <w:spacing w:beforeLines="0" w:before="50" w:after="50"/>
    </w:pPr>
    <w:rPr>
      <w:rFonts w:eastAsia="宋体" w:hAnsi="Times New Roman" w:cs="宋体"/>
      <w:bCs/>
    </w:rPr>
  </w:style>
  <w:style w:type="paragraph" w:customStyle="1" w:styleId="xl54">
    <w:name w:val="xl54"/>
    <w:basedOn w:val="a"/>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b/>
      <w:sz w:val="24"/>
      <w:szCs w:val="20"/>
      <w:lang w:eastAsia="zh-CN"/>
    </w:rPr>
  </w:style>
  <w:style w:type="paragraph" w:customStyle="1" w:styleId="22CharChar205050">
    <w:name w:val="样式 样式 样式 标题 2标题节标题 2 Char Char + 段前: 2 行 + 段前: 0.5 行 段后: 0.5 行 +..."/>
    <w:basedOn w:val="22CharChar20505"/>
    <w:next w:val="a"/>
    <w:pPr>
      <w:spacing w:before="50" w:after="50"/>
      <w:ind w:firstLineChars="0" w:firstLine="0"/>
    </w:pPr>
  </w:style>
  <w:style w:type="paragraph" w:customStyle="1" w:styleId="1CharCharCharCharCharCharChar1">
    <w:name w:val="样式 正文缩进正文缩进1正文（首行缩进两字） Char Char Char Char Char Char Char文本条款...1"/>
    <w:basedOn w:val="a6"/>
    <w:pPr>
      <w:tabs>
        <w:tab w:val="left" w:pos="540"/>
        <w:tab w:val="left" w:pos="1050"/>
        <w:tab w:val="left" w:pos="1260"/>
        <w:tab w:val="left" w:pos="1800"/>
      </w:tabs>
      <w:spacing w:line="500" w:lineRule="exact"/>
      <w:ind w:firstLineChars="200" w:firstLine="560"/>
    </w:pPr>
    <w:rPr>
      <w:rFonts w:cs="宋体"/>
      <w:kern w:val="24"/>
      <w:sz w:val="28"/>
      <w:szCs w:val="28"/>
    </w:rPr>
  </w:style>
  <w:style w:type="paragraph" w:customStyle="1" w:styleId="affffffffa">
    <w:name w:val="样式 五号 居中 行距: 单倍行距"/>
    <w:basedOn w:val="a"/>
    <w:pPr>
      <w:widowControl w:val="0"/>
      <w:adjustRightInd w:val="0"/>
      <w:snapToGrid w:val="0"/>
      <w:jc w:val="center"/>
    </w:pPr>
    <w:rPr>
      <w:rFonts w:ascii="Times New Roman" w:hAnsi="Times New Roman" w:cs="宋体"/>
      <w:sz w:val="21"/>
      <w:szCs w:val="21"/>
      <w:lang w:eastAsia="zh-CN"/>
    </w:rPr>
  </w:style>
  <w:style w:type="paragraph" w:customStyle="1" w:styleId="CharCharCharCharCharCharChar1">
    <w:name w:val="Char Char Char Char Char Char Char1"/>
    <w:basedOn w:val="a"/>
    <w:pPr>
      <w:widowControl w:val="0"/>
      <w:tabs>
        <w:tab w:val="left" w:pos="600"/>
      </w:tabs>
      <w:ind w:left="600" w:hanging="600"/>
      <w:jc w:val="both"/>
    </w:pPr>
    <w:rPr>
      <w:rFonts w:ascii="Times New Roman" w:hAnsi="Times New Roman"/>
      <w:kern w:val="2"/>
      <w:sz w:val="28"/>
      <w:szCs w:val="20"/>
      <w:lang w:eastAsia="zh-CN"/>
    </w:rPr>
  </w:style>
  <w:style w:type="paragraph" w:customStyle="1" w:styleId="200122">
    <w:name w:val="样式 样式 2001 + 首行缩进:  2 字符 + 首行缩进:  2 字符"/>
    <w:basedOn w:val="a"/>
    <w:qFormat/>
    <w:pPr>
      <w:widowControl w:val="0"/>
      <w:spacing w:line="360" w:lineRule="exact"/>
      <w:ind w:firstLineChars="200" w:firstLine="560"/>
      <w:jc w:val="both"/>
    </w:pPr>
    <w:rPr>
      <w:rFonts w:ascii="Times New Roman" w:hAnsi="Times New Roman"/>
      <w:spacing w:val="20"/>
      <w:sz w:val="24"/>
      <w:szCs w:val="20"/>
      <w:lang w:eastAsia="zh-CN"/>
    </w:rPr>
  </w:style>
  <w:style w:type="paragraph" w:customStyle="1" w:styleId="33Char11">
    <w:name w:val="样式 标题 3标题 3 Char + 左侧:  1 字符 右侧:  1 字符"/>
    <w:basedOn w:val="3"/>
    <w:pPr>
      <w:adjustRightInd w:val="0"/>
      <w:snapToGrid w:val="0"/>
      <w:spacing w:beforeLines="50" w:before="156" w:after="0" w:line="460" w:lineRule="exact"/>
      <w:ind w:firstLineChars="200" w:firstLine="200"/>
      <w:jc w:val="both"/>
    </w:pPr>
    <w:rPr>
      <w:rFonts w:ascii="Times New Roman" w:eastAsia="黑体" w:hAnsi="Times New Roman"/>
      <w:bCs w:val="0"/>
      <w:color w:val="000000"/>
      <w:sz w:val="26"/>
      <w:szCs w:val="26"/>
      <w:lang w:eastAsia="zh-CN"/>
    </w:rPr>
  </w:style>
  <w:style w:type="paragraph" w:customStyle="1" w:styleId="affffffffb">
    <w:name w:val="表标题"/>
    <w:basedOn w:val="50"/>
    <w:pPr>
      <w:widowControl w:val="0"/>
      <w:adjustRightInd w:val="0"/>
      <w:snapToGrid w:val="0"/>
      <w:spacing w:before="60" w:after="60" w:line="377" w:lineRule="auto"/>
      <w:ind w:firstLineChars="200" w:firstLine="520"/>
      <w:jc w:val="center"/>
    </w:pPr>
    <w:rPr>
      <w:rFonts w:ascii="Times New Roman" w:eastAsia="黑体" w:hAnsi="Times New Roman"/>
      <w:kern w:val="2"/>
      <w:sz w:val="24"/>
      <w:lang w:eastAsia="zh-CN"/>
    </w:rPr>
  </w:style>
  <w:style w:type="paragraph" w:customStyle="1" w:styleId="350">
    <w:name w:val="样式35"/>
    <w:basedOn w:val="a"/>
    <w:pPr>
      <w:widowControl w:val="0"/>
      <w:adjustRightInd w:val="0"/>
      <w:spacing w:line="312" w:lineRule="auto"/>
      <w:ind w:firstLine="567"/>
      <w:jc w:val="both"/>
    </w:pPr>
    <w:rPr>
      <w:rFonts w:ascii="宋体" w:hAnsi="Times New Roman"/>
      <w:sz w:val="28"/>
      <w:szCs w:val="20"/>
      <w:lang w:eastAsia="zh-CN"/>
    </w:rPr>
  </w:style>
  <w:style w:type="paragraph" w:customStyle="1" w:styleId="311">
    <w:name w:val="样式31"/>
    <w:basedOn w:val="a"/>
    <w:qFormat/>
    <w:pPr>
      <w:jc w:val="center"/>
    </w:pPr>
    <w:rPr>
      <w:rFonts w:ascii="宋体" w:hAnsi="宋体" w:cs="宋体"/>
      <w:lang w:eastAsia="zh-CN"/>
    </w:rPr>
  </w:style>
  <w:style w:type="paragraph" w:customStyle="1" w:styleId="CharChar20">
    <w:name w:val="标准样式 Char Char2"/>
    <w:basedOn w:val="a"/>
    <w:pPr>
      <w:widowControl w:val="0"/>
      <w:spacing w:line="600" w:lineRule="exact"/>
      <w:ind w:firstLine="567"/>
      <w:jc w:val="both"/>
    </w:pPr>
    <w:rPr>
      <w:rFonts w:ascii="宋体" w:hAnsi="宋体"/>
      <w:kern w:val="2"/>
      <w:sz w:val="28"/>
      <w:szCs w:val="20"/>
      <w:lang w:eastAsia="zh-CN"/>
    </w:rPr>
  </w:style>
  <w:style w:type="paragraph" w:customStyle="1" w:styleId="font0">
    <w:name w:val="font0"/>
    <w:basedOn w:val="a"/>
    <w:pPr>
      <w:spacing w:before="100" w:beforeAutospacing="1" w:after="100" w:afterAutospacing="1"/>
    </w:pPr>
    <w:rPr>
      <w:rFonts w:ascii="宋体" w:hAnsi="宋体" w:hint="eastAsia"/>
      <w:sz w:val="24"/>
      <w:szCs w:val="24"/>
      <w:lang w:eastAsia="zh-CN"/>
    </w:rPr>
  </w:style>
  <w:style w:type="paragraph" w:customStyle="1" w:styleId="affffffffc">
    <w:name w:val="图"/>
    <w:basedOn w:val="affffd"/>
    <w:pPr>
      <w:adjustRightInd w:val="0"/>
      <w:spacing w:line="240" w:lineRule="auto"/>
    </w:pPr>
    <w:rPr>
      <w:rFonts w:hAnsi="Times New Roman"/>
      <w:bCs/>
      <w:color w:val="auto"/>
      <w:sz w:val="24"/>
      <w:szCs w:val="22"/>
    </w:rPr>
  </w:style>
  <w:style w:type="paragraph" w:customStyle="1" w:styleId="CharCharChar1">
    <w:name w:val="Char Char Char1"/>
    <w:basedOn w:val="a"/>
    <w:pPr>
      <w:widowControl w:val="0"/>
      <w:jc w:val="both"/>
    </w:pPr>
    <w:rPr>
      <w:rFonts w:ascii="Times New Roman" w:hAnsi="Times New Roman"/>
      <w:kern w:val="2"/>
      <w:sz w:val="24"/>
      <w:szCs w:val="20"/>
      <w:lang w:eastAsia="zh-CN"/>
    </w:rPr>
  </w:style>
  <w:style w:type="paragraph" w:customStyle="1" w:styleId="affffffffd">
    <w:name w:val="表签"/>
    <w:basedOn w:val="a"/>
    <w:qFormat/>
    <w:pPr>
      <w:widowControl w:val="0"/>
      <w:adjustRightInd w:val="0"/>
      <w:snapToGrid w:val="0"/>
      <w:jc w:val="center"/>
    </w:pPr>
    <w:rPr>
      <w:rFonts w:ascii="Times New Roman" w:hAnsi="Times New Roman"/>
      <w:b/>
      <w:kern w:val="2"/>
      <w:sz w:val="24"/>
      <w:szCs w:val="24"/>
      <w:lang w:eastAsia="zh-CN"/>
    </w:rPr>
  </w:style>
  <w:style w:type="paragraph" w:customStyle="1" w:styleId="1f4">
    <w:name w:val="表格样式1"/>
    <w:basedOn w:val="aff8"/>
    <w:qFormat/>
    <w:pPr>
      <w:spacing w:after="0"/>
      <w:ind w:firstLineChars="0" w:firstLine="0"/>
      <w:jc w:val="center"/>
    </w:pPr>
    <w:rPr>
      <w:color w:val="000000"/>
      <w:kern w:val="0"/>
      <w:sz w:val="24"/>
      <w:lang w:bidi="en-US"/>
    </w:rPr>
  </w:style>
  <w:style w:type="paragraph" w:customStyle="1" w:styleId="1f5">
    <w:name w:val="表格文字1"/>
    <w:basedOn w:val="aff4"/>
    <w:qFormat/>
    <w:pPr>
      <w:spacing w:before="0" w:after="0" w:line="240" w:lineRule="auto"/>
      <w:jc w:val="left"/>
      <w:outlineLvl w:val="9"/>
    </w:pPr>
    <w:rPr>
      <w:b w:val="0"/>
      <w:kern w:val="72"/>
      <w:sz w:val="21"/>
      <w:szCs w:val="72"/>
    </w:rPr>
  </w:style>
  <w:style w:type="paragraph" w:customStyle="1" w:styleId="affffffffe">
    <w:name w:val="表体"/>
    <w:basedOn w:val="a"/>
    <w:qFormat/>
    <w:pPr>
      <w:widowControl w:val="0"/>
      <w:adjustRightInd w:val="0"/>
      <w:snapToGrid w:val="0"/>
      <w:spacing w:line="240" w:lineRule="atLeast"/>
      <w:ind w:leftChars="-30" w:left="-63" w:rightChars="-30" w:right="-63"/>
      <w:jc w:val="center"/>
    </w:pPr>
    <w:rPr>
      <w:rFonts w:ascii="Times New Roman" w:hAnsi="Times New Roman"/>
      <w:color w:val="000000"/>
      <w:sz w:val="18"/>
      <w:szCs w:val="18"/>
      <w:lang w:eastAsia="zh-CN"/>
    </w:rPr>
  </w:style>
  <w:style w:type="paragraph" w:customStyle="1" w:styleId="11111111">
    <w:name w:val="正文11111111"/>
    <w:basedOn w:val="a"/>
    <w:qFormat/>
    <w:pPr>
      <w:widowControl w:val="0"/>
      <w:spacing w:line="440" w:lineRule="exact"/>
      <w:ind w:firstLineChars="200" w:firstLine="200"/>
      <w:jc w:val="both"/>
    </w:pPr>
    <w:rPr>
      <w:rFonts w:ascii="Times New Roman" w:hAnsi="Times New Roman" w:cs="宋体"/>
      <w:kern w:val="2"/>
      <w:sz w:val="24"/>
      <w:szCs w:val="24"/>
      <w:lang w:eastAsia="zh-CN"/>
    </w:rPr>
  </w:style>
  <w:style w:type="character" w:customStyle="1" w:styleId="searchcontent1">
    <w:name w:val="search_content1"/>
    <w:qFormat/>
    <w:rPr>
      <w:sz w:val="16"/>
      <w:szCs w:val="16"/>
    </w:rPr>
  </w:style>
  <w:style w:type="paragraph" w:customStyle="1" w:styleId="L">
    <w:name w:val="L正文"/>
    <w:basedOn w:val="a"/>
    <w:qFormat/>
    <w:pPr>
      <w:widowControl w:val="0"/>
      <w:adjustRightInd w:val="0"/>
      <w:snapToGrid w:val="0"/>
      <w:spacing w:line="360" w:lineRule="auto"/>
      <w:ind w:firstLineChars="200" w:firstLine="200"/>
      <w:jc w:val="both"/>
    </w:pPr>
    <w:rPr>
      <w:rFonts w:ascii="Times New Roman" w:hAnsi="Times New Roman"/>
      <w:kern w:val="2"/>
      <w:sz w:val="24"/>
      <w:szCs w:val="24"/>
      <w:lang w:eastAsia="zh-CN"/>
    </w:rPr>
  </w:style>
  <w:style w:type="paragraph" w:customStyle="1" w:styleId="-L">
    <w:name w:val="表内容-L"/>
    <w:basedOn w:val="afffffffff"/>
    <w:qFormat/>
    <w:rPr>
      <w:kern w:val="0"/>
    </w:rPr>
  </w:style>
  <w:style w:type="paragraph" w:customStyle="1" w:styleId="afffffffff">
    <w:name w:val="表格内居中"/>
    <w:basedOn w:val="a"/>
    <w:qFormat/>
    <w:pPr>
      <w:widowControl w:val="0"/>
      <w:jc w:val="center"/>
    </w:pPr>
    <w:rPr>
      <w:rFonts w:ascii="Times New Roman" w:hAnsi="Times New Roman"/>
      <w:kern w:val="2"/>
      <w:sz w:val="21"/>
      <w:szCs w:val="20"/>
      <w:lang w:eastAsia="zh-CN"/>
    </w:rPr>
  </w:style>
  <w:style w:type="paragraph" w:customStyle="1" w:styleId="--L">
    <w:name w:val="表-表图题-L"/>
    <w:basedOn w:val="a"/>
    <w:qFormat/>
    <w:pPr>
      <w:widowControl w:val="0"/>
      <w:jc w:val="center"/>
    </w:pPr>
    <w:rPr>
      <w:rFonts w:ascii="Times New Roman" w:hAnsi="Times New Roman"/>
      <w:b/>
      <w:kern w:val="2"/>
      <w:sz w:val="21"/>
      <w:szCs w:val="24"/>
      <w:lang w:eastAsia="zh-CN"/>
    </w:rPr>
  </w:style>
  <w:style w:type="paragraph" w:customStyle="1" w:styleId="3e">
    <w:name w:val="样式 标题 3 + 小四 黑色"/>
    <w:basedOn w:val="3"/>
    <w:qFormat/>
    <w:pPr>
      <w:widowControl w:val="0"/>
      <w:spacing w:before="100" w:beforeAutospacing="1" w:after="100" w:afterAutospacing="1" w:line="240" w:lineRule="auto"/>
      <w:ind w:firstLineChars="196" w:firstLine="472"/>
      <w:jc w:val="both"/>
    </w:pPr>
    <w:rPr>
      <w:rFonts w:ascii="Arial" w:eastAsia="仿宋_GB2312" w:hAnsi="Arial"/>
      <w:color w:val="000000"/>
      <w:sz w:val="28"/>
      <w:lang w:eastAsia="zh-CN"/>
    </w:rPr>
  </w:style>
  <w:style w:type="paragraph" w:customStyle="1" w:styleId="1-L">
    <w:name w:val="1正文-L"/>
    <w:basedOn w:val="a"/>
    <w:qFormat/>
    <w:pPr>
      <w:widowControl w:val="0"/>
      <w:ind w:firstLine="480"/>
      <w:jc w:val="both"/>
    </w:pPr>
    <w:rPr>
      <w:rFonts w:ascii="Times New Roman" w:hAnsi="Times New Roman"/>
      <w:kern w:val="2"/>
      <w:sz w:val="24"/>
      <w:szCs w:val="24"/>
      <w:lang w:eastAsia="zh-CN"/>
    </w:rPr>
  </w:style>
  <w:style w:type="paragraph" w:customStyle="1" w:styleId="Default1">
    <w:name w:val="Default1"/>
    <w:uiPriority w:val="99"/>
    <w:qFormat/>
    <w:pPr>
      <w:widowControl w:val="0"/>
      <w:autoSpaceDE w:val="0"/>
      <w:autoSpaceDN w:val="0"/>
      <w:adjustRightInd w:val="0"/>
    </w:pPr>
    <w:rPr>
      <w:rFonts w:ascii="宋体" w:cs="宋体"/>
      <w:color w:val="000000"/>
      <w:sz w:val="24"/>
      <w:szCs w:val="24"/>
    </w:rPr>
  </w:style>
  <w:style w:type="paragraph" w:customStyle="1" w:styleId="TOC12">
    <w:name w:val="TOC 标题12"/>
    <w:next w:val="a"/>
    <w:uiPriority w:val="39"/>
    <w:unhideWhenUsed/>
    <w:qFormat/>
    <w:pPr>
      <w:spacing w:line="360" w:lineRule="auto"/>
      <w:jc w:val="center"/>
    </w:pPr>
    <w:rPr>
      <w:rFonts w:eastAsia="Times New Roman"/>
      <w:b/>
      <w:bCs/>
      <w:sz w:val="21"/>
      <w:szCs w:val="28"/>
    </w:rPr>
  </w:style>
  <w:style w:type="character" w:customStyle="1" w:styleId="1f6">
    <w:name w:val="正文缩进 字符1"/>
    <w:rPr>
      <w:rFonts w:eastAsia="宋体"/>
    </w:rPr>
  </w:style>
  <w:style w:type="paragraph" w:customStyle="1" w:styleId="afffffffff0">
    <w:name w:val="【表名】"/>
    <w:basedOn w:val="a"/>
    <w:qFormat/>
    <w:pPr>
      <w:adjustRightInd w:val="0"/>
      <w:snapToGrid w:val="0"/>
      <w:spacing w:beforeLines="50"/>
      <w:jc w:val="center"/>
    </w:pPr>
    <w:rPr>
      <w:rFonts w:ascii="Times New Roman" w:hAnsi="Times New Roman" w:cs="Arial"/>
      <w:b/>
      <w:sz w:val="21"/>
      <w:szCs w:val="21"/>
      <w:lang w:eastAsia="zh-CN" w:bidi="en-US"/>
    </w:rPr>
  </w:style>
  <w:style w:type="table" w:customStyle="1" w:styleId="afffffffff1">
    <w:name w:val="常用"/>
    <w:basedOn w:val="a1"/>
    <w:uiPriority w:val="99"/>
    <w:qFormat/>
    <w:pPr>
      <w:jc w:val="center"/>
    </w:pPr>
    <w:rPr>
      <w:rFonts w:eastAsia="Times New Roman"/>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610">
    <w:name w:val="样式61"/>
    <w:basedOn w:val="a1"/>
    <w:uiPriority w:val="99"/>
    <w:qFormat/>
    <w:pPr>
      <w:jc w:val="center"/>
    </w:pPr>
    <w:rPr>
      <w:rFonts w:ascii="Calibri" w:eastAsia="Times New Roman" w:hAnsi="Calibri"/>
      <w:kern w:val="2"/>
      <w:sz w:val="21"/>
      <w:szCs w:val="22"/>
    </w:rPr>
    <w:tblPr>
      <w:tblBorders>
        <w:top w:val="single" w:sz="12" w:space="0" w:color="auto"/>
        <w:bottom w:val="single" w:sz="12" w:space="0" w:color="auto"/>
        <w:insideH w:val="single" w:sz="2" w:space="0" w:color="auto"/>
        <w:insideV w:val="single" w:sz="2" w:space="0" w:color="auto"/>
      </w:tblBorders>
    </w:tblPr>
    <w:tcPr>
      <w:vAlign w:val="center"/>
    </w:tcPr>
  </w:style>
  <w:style w:type="table" w:customStyle="1" w:styleId="LLL">
    <w:name w:val="表格样式LLL"/>
    <w:basedOn w:val="37"/>
    <w:qFormat/>
    <w:pPr>
      <w:widowControl w:val="0"/>
      <w:jc w:val="center"/>
    </w:pPr>
    <w:tblPr>
      <w:tblBorders>
        <w:top w:val="single" w:sz="12" w:space="0" w:color="auto"/>
        <w:bottom w:val="single" w:sz="12" w:space="0" w:color="auto"/>
        <w:insideH w:val="single" w:sz="2" w:space="0" w:color="auto"/>
        <w:insideV w:val="single" w:sz="2" w:space="0" w:color="auto"/>
      </w:tblBorders>
    </w:tblPr>
    <w:tcPr>
      <w:shd w:val="clear" w:color="auto" w:fill="auto"/>
      <w:vAlign w:val="center"/>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paragraph" w:customStyle="1" w:styleId="Afffffffff2">
    <w:name w:val="A正文居中"/>
    <w:basedOn w:val="a"/>
    <w:qFormat/>
    <w:pPr>
      <w:widowControl w:val="0"/>
      <w:adjustRightInd w:val="0"/>
      <w:snapToGrid w:val="0"/>
      <w:spacing w:line="360" w:lineRule="auto"/>
      <w:jc w:val="center"/>
    </w:pPr>
    <w:rPr>
      <w:rFonts w:ascii="Times New Roman" w:hAnsi="Times New Roman"/>
      <w:kern w:val="2"/>
      <w:sz w:val="24"/>
      <w:szCs w:val="24"/>
      <w:lang w:eastAsia="zh-CN"/>
    </w:rPr>
  </w:style>
  <w:style w:type="character" w:customStyle="1" w:styleId="CharCharChar2">
    <w:name w:val="普通文字 Char Char Char2"/>
    <w:qFormat/>
    <w:rPr>
      <w:rFonts w:ascii="宋体" w:hAnsi="Courier New" w:cs="Courier New"/>
      <w:kern w:val="2"/>
      <w:sz w:val="21"/>
      <w:szCs w:val="21"/>
    </w:rPr>
  </w:style>
  <w:style w:type="paragraph" w:customStyle="1" w:styleId="afffffffff3">
    <w:name w:val="正文样式"/>
    <w:basedOn w:val="a"/>
    <w:pPr>
      <w:widowControl w:val="0"/>
      <w:tabs>
        <w:tab w:val="left" w:pos="1440"/>
        <w:tab w:val="left" w:pos="4368"/>
      </w:tabs>
      <w:spacing w:line="360" w:lineRule="auto"/>
      <w:ind w:firstLine="493"/>
      <w:jc w:val="both"/>
    </w:pPr>
    <w:rPr>
      <w:rFonts w:ascii="Times New Roman" w:hAnsi="Times New Roman"/>
      <w:color w:val="000000"/>
      <w:kern w:val="2"/>
      <w:sz w:val="24"/>
      <w:szCs w:val="24"/>
      <w:lang w:eastAsia="zh-CN"/>
    </w:rPr>
  </w:style>
  <w:style w:type="table" w:customStyle="1" w:styleId="45">
    <w:name w:val="网格型4"/>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4">
    <w:name w:val="Revision"/>
    <w:hidden/>
    <w:uiPriority w:val="99"/>
    <w:unhideWhenUsed/>
    <w:rsid w:val="00424910"/>
    <w:rPr>
      <w:rFonts w:ascii="Calibri" w:hAnsi="Calibri"/>
      <w:sz w:val="22"/>
      <w:szCs w:val="22"/>
      <w:lang w:eastAsia="en-US"/>
    </w:rPr>
  </w:style>
  <w:style w:type="character" w:customStyle="1" w:styleId="0-7">
    <w:name w:val="0-7表外文字 字符"/>
    <w:link w:val="0-70"/>
    <w:qFormat/>
    <w:rsid w:val="00FB72AA"/>
    <w:rPr>
      <w:b/>
      <w:sz w:val="24"/>
    </w:rPr>
  </w:style>
  <w:style w:type="paragraph" w:customStyle="1" w:styleId="0-70">
    <w:name w:val="0-7表外文字"/>
    <w:basedOn w:val="a"/>
    <w:link w:val="0-7"/>
    <w:qFormat/>
    <w:rsid w:val="00FB72AA"/>
    <w:pPr>
      <w:widowControl w:val="0"/>
      <w:wordWrap w:val="0"/>
      <w:spacing w:beforeLines="20"/>
      <w:jc w:val="center"/>
    </w:pPr>
    <w:rPr>
      <w:rFonts w:ascii="Times New Roman" w:hAnsi="Times New Roman"/>
      <w:b/>
      <w:sz w:val="24"/>
      <w:szCs w:val="20"/>
      <w:lang w:eastAsia="zh-CN"/>
    </w:rPr>
  </w:style>
  <w:style w:type="character" w:styleId="afffffffff5">
    <w:name w:val="Unresolved Mention"/>
    <w:basedOn w:val="a0"/>
    <w:uiPriority w:val="99"/>
    <w:semiHidden/>
    <w:unhideWhenUsed/>
    <w:rsid w:val="008752B7"/>
    <w:rPr>
      <w:color w:val="605E5C"/>
      <w:shd w:val="clear" w:color="auto" w:fill="E1DFDD"/>
    </w:rPr>
  </w:style>
  <w:style w:type="paragraph" w:styleId="TOC">
    <w:name w:val="TOC Heading"/>
    <w:basedOn w:val="1"/>
    <w:next w:val="a"/>
    <w:uiPriority w:val="39"/>
    <w:unhideWhenUsed/>
    <w:qFormat/>
    <w:rsid w:val="008B15B2"/>
    <w:pPr>
      <w:spacing w:beforeLines="100"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eastAsia="zh-CN"/>
    </w:rPr>
  </w:style>
  <w:style w:type="paragraph" w:customStyle="1" w:styleId="afffffffff6">
    <w:name w:val="表格内容谢谢"/>
    <w:basedOn w:val="a"/>
    <w:qFormat/>
    <w:rsid w:val="008B15B2"/>
    <w:pPr>
      <w:adjustRightInd w:val="0"/>
      <w:snapToGrid w:val="0"/>
      <w:jc w:val="center"/>
    </w:pPr>
    <w:rPr>
      <w:rFonts w:ascii="Times New Roman" w:hAnsi="Times New Roman"/>
      <w:color w:val="000000"/>
      <w:sz w:val="21"/>
      <w:szCs w:val="21"/>
      <w:lang w:eastAsia="zh-CN"/>
    </w:rPr>
  </w:style>
  <w:style w:type="paragraph" w:customStyle="1" w:styleId="afffffffff7">
    <w:name w:val="表格内居中文字"/>
    <w:basedOn w:val="a"/>
    <w:qFormat/>
    <w:rsid w:val="008B15B2"/>
    <w:pPr>
      <w:widowControl w:val="0"/>
      <w:spacing w:line="320" w:lineRule="atLeast"/>
      <w:jc w:val="center"/>
    </w:pPr>
    <w:rPr>
      <w:rFonts w:ascii="Times New Roman" w:hAnsi="Times New Roman"/>
      <w:kern w:val="2"/>
      <w:szCs w:val="24"/>
      <w:lang w:eastAsia="zh-CN"/>
    </w:rPr>
  </w:style>
  <w:style w:type="paragraph" w:customStyle="1" w:styleId="2f4">
    <w:name w:val="正文首行缩进:  2 字符"/>
    <w:basedOn w:val="a"/>
    <w:rsid w:val="008B15B2"/>
    <w:pPr>
      <w:widowControl w:val="0"/>
      <w:spacing w:line="500" w:lineRule="exact"/>
      <w:ind w:firstLineChars="200" w:firstLine="480"/>
      <w:jc w:val="both"/>
    </w:pPr>
    <w:rPr>
      <w:rFonts w:ascii="Times New Roman" w:hAnsi="Times New Roman"/>
      <w:kern w:val="2"/>
      <w:sz w:val="24"/>
      <w:szCs w:val="20"/>
      <w:lang w:eastAsia="zh-CN"/>
    </w:rPr>
  </w:style>
  <w:style w:type="paragraph" w:customStyle="1" w:styleId="1f7">
    <w:name w:val="1正文"/>
    <w:basedOn w:val="a"/>
    <w:link w:val="1Char3"/>
    <w:qFormat/>
    <w:rsid w:val="008B15B2"/>
    <w:pPr>
      <w:widowControl w:val="0"/>
      <w:adjustRightInd w:val="0"/>
      <w:snapToGrid w:val="0"/>
      <w:spacing w:line="460" w:lineRule="exact"/>
      <w:ind w:firstLineChars="200" w:firstLine="200"/>
      <w:jc w:val="both"/>
    </w:pPr>
    <w:rPr>
      <w:rFonts w:ascii="Times New Roman" w:hAnsi="Times New Roman"/>
      <w:kern w:val="2"/>
      <w:sz w:val="24"/>
      <w:szCs w:val="24"/>
      <w:lang w:val="x-none" w:eastAsia="x-none"/>
    </w:rPr>
  </w:style>
  <w:style w:type="character" w:customStyle="1" w:styleId="1Char3">
    <w:name w:val="1正文 Char"/>
    <w:link w:val="1f7"/>
    <w:rsid w:val="008B15B2"/>
    <w:rPr>
      <w:kern w:val="2"/>
      <w:sz w:val="24"/>
      <w:szCs w:val="24"/>
      <w:lang w:val="x-none" w:eastAsia="x-none"/>
    </w:rPr>
  </w:style>
  <w:style w:type="paragraph" w:customStyle="1" w:styleId="t">
    <w:name w:val="t表格文字居中"/>
    <w:basedOn w:val="a"/>
    <w:link w:val="tChar"/>
    <w:qFormat/>
    <w:rsid w:val="008B15B2"/>
    <w:pPr>
      <w:widowControl w:val="0"/>
      <w:jc w:val="center"/>
      <w:textAlignment w:val="center"/>
    </w:pPr>
    <w:rPr>
      <w:kern w:val="2"/>
      <w:sz w:val="24"/>
      <w:szCs w:val="21"/>
      <w:lang w:val="x-none" w:eastAsia="x-none"/>
    </w:rPr>
  </w:style>
  <w:style w:type="character" w:customStyle="1" w:styleId="tChar">
    <w:name w:val="t表格文字居中 Char"/>
    <w:link w:val="t"/>
    <w:qFormat/>
    <w:locked/>
    <w:rsid w:val="008B15B2"/>
    <w:rPr>
      <w:rFonts w:ascii="Calibri" w:hAnsi="Calibri"/>
      <w:kern w:val="2"/>
      <w:sz w:val="24"/>
      <w:szCs w:val="21"/>
      <w:lang w:val="x-none" w:eastAsia="x-none"/>
    </w:rPr>
  </w:style>
  <w:style w:type="paragraph" w:customStyle="1" w:styleId="CharChar9">
    <w:name w:val="Char Char"/>
    <w:basedOn w:val="a"/>
    <w:rsid w:val="008B15B2"/>
    <w:pPr>
      <w:widowControl w:val="0"/>
      <w:jc w:val="both"/>
    </w:pPr>
    <w:rPr>
      <w:rFonts w:ascii="Tahoma" w:hAnsi="Tahoma"/>
      <w:kern w:val="2"/>
      <w:sz w:val="24"/>
      <w:szCs w:val="20"/>
      <w:lang w:eastAsia="zh-CN"/>
    </w:rPr>
  </w:style>
  <w:style w:type="paragraph" w:customStyle="1" w:styleId="CharChar1Char">
    <w:name w:val="Char Char1 Char"/>
    <w:basedOn w:val="a"/>
    <w:rsid w:val="008B15B2"/>
    <w:pPr>
      <w:widowControl w:val="0"/>
      <w:jc w:val="both"/>
    </w:pPr>
    <w:rPr>
      <w:rFonts w:ascii="Times New Roman" w:hAnsi="Times New Roman"/>
      <w:kern w:val="2"/>
      <w:sz w:val="21"/>
      <w:szCs w:val="21"/>
      <w:lang w:eastAsia="zh-CN"/>
    </w:rPr>
  </w:style>
  <w:style w:type="paragraph" w:styleId="afffffffff8">
    <w:name w:val="Salutation"/>
    <w:basedOn w:val="a"/>
    <w:next w:val="a"/>
    <w:link w:val="afffffffff9"/>
    <w:qFormat/>
    <w:rsid w:val="008B15B2"/>
    <w:pPr>
      <w:adjustRightInd w:val="0"/>
      <w:snapToGrid w:val="0"/>
      <w:spacing w:line="300" w:lineRule="auto"/>
      <w:ind w:firstLineChars="200" w:firstLine="200"/>
      <w:textAlignment w:val="baseline"/>
    </w:pPr>
    <w:rPr>
      <w:rFonts w:ascii="宋体" w:hAnsi="Times New Roman"/>
      <w:kern w:val="2"/>
      <w:sz w:val="28"/>
      <w:szCs w:val="28"/>
      <w:lang w:eastAsia="zh-CN"/>
    </w:rPr>
  </w:style>
  <w:style w:type="character" w:customStyle="1" w:styleId="afffffffff9">
    <w:name w:val="称呼 字符"/>
    <w:basedOn w:val="a0"/>
    <w:link w:val="afffffffff8"/>
    <w:rsid w:val="008B15B2"/>
    <w:rPr>
      <w:rFonts w:ascii="宋体"/>
      <w:kern w:val="2"/>
      <w:sz w:val="28"/>
      <w:szCs w:val="28"/>
    </w:rPr>
  </w:style>
  <w:style w:type="paragraph" w:customStyle="1" w:styleId="1f8">
    <w:name w:val="纯文本1"/>
    <w:basedOn w:val="a"/>
    <w:uiPriority w:val="99"/>
    <w:qFormat/>
    <w:rsid w:val="008B15B2"/>
    <w:pPr>
      <w:widowControl w:val="0"/>
      <w:autoSpaceDE w:val="0"/>
      <w:autoSpaceDN w:val="0"/>
      <w:adjustRightInd w:val="0"/>
      <w:jc w:val="both"/>
      <w:textAlignment w:val="baseline"/>
    </w:pPr>
    <w:rPr>
      <w:rFonts w:ascii="宋体" w:hAnsi="Times New Roman"/>
      <w:kern w:val="2"/>
      <w:sz w:val="21"/>
      <w:szCs w:val="20"/>
      <w:lang w:eastAsia="zh-CN"/>
    </w:rPr>
  </w:style>
  <w:style w:type="paragraph" w:customStyle="1" w:styleId="sun">
    <w:name w:val="正文sun"/>
    <w:basedOn w:val="a"/>
    <w:semiHidden/>
    <w:qFormat/>
    <w:rsid w:val="008B15B2"/>
    <w:pPr>
      <w:widowControl w:val="0"/>
      <w:spacing w:line="360" w:lineRule="auto"/>
      <w:ind w:firstLineChars="200" w:firstLine="200"/>
      <w:jc w:val="both"/>
    </w:pPr>
    <w:rPr>
      <w:rFonts w:ascii="Times New Roman" w:hAnsi="Times New Roman"/>
      <w:kern w:val="2"/>
      <w:sz w:val="24"/>
      <w:szCs w:val="24"/>
      <w:lang w:eastAsia="zh-CN"/>
    </w:rPr>
  </w:style>
  <w:style w:type="paragraph" w:customStyle="1" w:styleId="Q">
    <w:name w:val="Q"/>
    <w:basedOn w:val="a"/>
    <w:qFormat/>
    <w:rsid w:val="008B15B2"/>
    <w:pPr>
      <w:widowControl w:val="0"/>
      <w:spacing w:line="440" w:lineRule="exact"/>
      <w:ind w:firstLineChars="200" w:firstLine="522"/>
      <w:jc w:val="both"/>
    </w:pPr>
    <w:rPr>
      <w:rFonts w:ascii="Times New Roman" w:hAnsi="宋体"/>
      <w:b/>
      <w:bCs/>
      <w:spacing w:val="10"/>
      <w:kern w:val="2"/>
      <w:sz w:val="21"/>
      <w:szCs w:val="24"/>
      <w:lang w:eastAsia="zh-CN"/>
    </w:rPr>
  </w:style>
  <w:style w:type="paragraph" w:customStyle="1" w:styleId="hb1">
    <w:name w:val="hb1"/>
    <w:basedOn w:val="af"/>
    <w:qFormat/>
    <w:rsid w:val="008B15B2"/>
    <w:pPr>
      <w:widowControl w:val="0"/>
      <w:autoSpaceDE w:val="0"/>
      <w:autoSpaceDN w:val="0"/>
      <w:adjustRightInd w:val="0"/>
      <w:spacing w:before="0" w:line="460" w:lineRule="exact"/>
      <w:ind w:left="0" w:firstLine="482"/>
      <w:textAlignment w:val="baseline"/>
    </w:pPr>
    <w:rPr>
      <w:color w:val="000000"/>
      <w:kern w:val="2"/>
      <w:szCs w:val="22"/>
      <w:lang w:eastAsia="zh-CN"/>
    </w:rPr>
  </w:style>
  <w:style w:type="paragraph" w:customStyle="1" w:styleId="010">
    <w:name w:val="正文01"/>
    <w:basedOn w:val="a"/>
    <w:qFormat/>
    <w:rsid w:val="008B15B2"/>
    <w:pPr>
      <w:widowControl w:val="0"/>
      <w:spacing w:before="60" w:line="460" w:lineRule="exact"/>
      <w:ind w:firstLineChars="200" w:firstLine="200"/>
      <w:jc w:val="both"/>
    </w:pPr>
    <w:rPr>
      <w:rFonts w:ascii="Times New Roman" w:eastAsia="Calibri" w:hAnsi="Times New Roman"/>
      <w:bCs/>
      <w:kern w:val="2"/>
      <w:sz w:val="24"/>
      <w:szCs w:val="24"/>
      <w:lang w:eastAsia="zh-CN"/>
    </w:rPr>
  </w:style>
  <w:style w:type="character" w:customStyle="1" w:styleId="--Char">
    <w:name w:val="智汇元-宜昌-正文 Char"/>
    <w:link w:val="--"/>
    <w:rsid w:val="008B15B2"/>
    <w:rPr>
      <w:snapToGrid w:val="0"/>
      <w:color w:val="000000"/>
      <w:sz w:val="24"/>
      <w:szCs w:val="24"/>
    </w:rPr>
  </w:style>
  <w:style w:type="paragraph" w:customStyle="1" w:styleId="--">
    <w:name w:val="智汇元-宜昌-正文"/>
    <w:basedOn w:val="a"/>
    <w:link w:val="--Char"/>
    <w:rsid w:val="008B15B2"/>
    <w:pPr>
      <w:widowControl w:val="0"/>
      <w:spacing w:line="360" w:lineRule="auto"/>
      <w:ind w:firstLineChars="200" w:firstLine="480"/>
      <w:jc w:val="both"/>
    </w:pPr>
    <w:rPr>
      <w:rFonts w:ascii="Times New Roman" w:hAnsi="Times New Roman"/>
      <w:snapToGrid w:val="0"/>
      <w:color w:val="000000"/>
      <w:sz w:val="24"/>
      <w:szCs w:val="24"/>
      <w:lang w:eastAsia="zh-CN"/>
    </w:rPr>
  </w:style>
  <w:style w:type="paragraph" w:customStyle="1" w:styleId="-">
    <w:name w:val="题注-表"/>
    <w:basedOn w:val="a"/>
    <w:next w:val="a"/>
    <w:qFormat/>
    <w:rsid w:val="008B15B2"/>
    <w:pPr>
      <w:widowControl w:val="0"/>
      <w:spacing w:beforeLines="25" w:afterLines="25" w:line="360" w:lineRule="auto"/>
      <w:jc w:val="center"/>
    </w:pPr>
    <w:rPr>
      <w:rFonts w:ascii="宋体" w:hAnsi="宋体" w:cs="宋体"/>
      <w:b/>
      <w:kern w:val="2"/>
      <w:sz w:val="24"/>
      <w:szCs w:val="24"/>
      <w:lang w:eastAsia="zh-CN"/>
    </w:rPr>
  </w:style>
  <w:style w:type="paragraph" w:customStyle="1" w:styleId="1f9">
    <w:name w:val="表头1"/>
    <w:basedOn w:val="a"/>
    <w:qFormat/>
    <w:rsid w:val="009E11EB"/>
    <w:pPr>
      <w:widowControl w:val="0"/>
      <w:jc w:val="center"/>
    </w:pPr>
    <w:rPr>
      <w:rFonts w:ascii="Times New Roman" w:hAnsi="Times New Roman"/>
      <w:sz w:val="21"/>
      <w:szCs w:val="24"/>
      <w:lang w:eastAsia="zh-CN"/>
    </w:rPr>
  </w:style>
  <w:style w:type="paragraph" w:customStyle="1" w:styleId="pf0">
    <w:name w:val="pf0"/>
    <w:basedOn w:val="a"/>
    <w:rsid w:val="00DE693A"/>
    <w:pPr>
      <w:spacing w:before="100" w:beforeAutospacing="1" w:after="100" w:afterAutospacing="1"/>
    </w:pPr>
    <w:rPr>
      <w:rFonts w:ascii="宋体" w:hAnsi="宋体" w:cs="宋体"/>
      <w:sz w:val="24"/>
      <w:szCs w:val="24"/>
      <w:lang w:eastAsia="zh-CN"/>
    </w:rPr>
  </w:style>
  <w:style w:type="paragraph" w:customStyle="1" w:styleId="afffffffffa">
    <w:name w:val="环评报告表正文"/>
    <w:basedOn w:val="af"/>
    <w:link w:val="afffffffffb"/>
    <w:qFormat/>
    <w:rsid w:val="00170C89"/>
    <w:pPr>
      <w:spacing w:before="0" w:line="360" w:lineRule="auto"/>
      <w:ind w:left="0" w:firstLineChars="200" w:firstLine="480"/>
      <w:jc w:val="both"/>
    </w:pPr>
    <w:rPr>
      <w:rFonts w:ascii="Times New Roman" w:hAnsi="Times New Roman"/>
      <w:kern w:val="2"/>
      <w:lang w:eastAsia="zh-CN"/>
    </w:rPr>
  </w:style>
  <w:style w:type="character" w:customStyle="1" w:styleId="afffffffffb">
    <w:name w:val="环评报告表正文 字符"/>
    <w:link w:val="afffffffffa"/>
    <w:qFormat/>
    <w:rsid w:val="00170C89"/>
    <w:rPr>
      <w:kern w:val="2"/>
      <w:sz w:val="24"/>
      <w:szCs w:val="24"/>
    </w:rPr>
  </w:style>
  <w:style w:type="paragraph" w:customStyle="1" w:styleId="afffffffffc">
    <w:name w:val="文本文字"/>
    <w:basedOn w:val="a"/>
    <w:qFormat/>
    <w:rsid w:val="00B871CD"/>
    <w:pPr>
      <w:widowControl w:val="0"/>
      <w:spacing w:line="360" w:lineRule="auto"/>
      <w:ind w:firstLineChars="200" w:firstLine="200"/>
      <w:jc w:val="both"/>
    </w:pPr>
    <w:rPr>
      <w:rFonts w:ascii="Times New Roman" w:eastAsia="仿宋_GB2312" w:hAnsi="Times New Roman"/>
      <w:kern w:val="2"/>
      <w:sz w:val="24"/>
      <w:lang w:eastAsia="zh-CN"/>
    </w:rPr>
  </w:style>
  <w:style w:type="character" w:customStyle="1" w:styleId="cf01">
    <w:name w:val="cf01"/>
    <w:basedOn w:val="a0"/>
    <w:rsid w:val="00B871CD"/>
    <w:rPr>
      <w:rFonts w:ascii="Microsoft YaHei UI" w:eastAsia="Microsoft YaHei UI" w:hAnsi="Microsoft YaHei UI" w:hint="eastAsi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07131">
      <w:bodyDiv w:val="1"/>
      <w:marLeft w:val="0"/>
      <w:marRight w:val="0"/>
      <w:marTop w:val="0"/>
      <w:marBottom w:val="0"/>
      <w:divBdr>
        <w:top w:val="none" w:sz="0" w:space="0" w:color="auto"/>
        <w:left w:val="none" w:sz="0" w:space="0" w:color="auto"/>
        <w:bottom w:val="none" w:sz="0" w:space="0" w:color="auto"/>
        <w:right w:val="none" w:sz="0" w:space="0" w:color="auto"/>
      </w:divBdr>
    </w:div>
    <w:div w:id="380785462">
      <w:bodyDiv w:val="1"/>
      <w:marLeft w:val="0"/>
      <w:marRight w:val="0"/>
      <w:marTop w:val="0"/>
      <w:marBottom w:val="0"/>
      <w:divBdr>
        <w:top w:val="none" w:sz="0" w:space="0" w:color="auto"/>
        <w:left w:val="none" w:sz="0" w:space="0" w:color="auto"/>
        <w:bottom w:val="none" w:sz="0" w:space="0" w:color="auto"/>
        <w:right w:val="none" w:sz="0" w:space="0" w:color="auto"/>
      </w:divBdr>
    </w:div>
    <w:div w:id="712535737">
      <w:bodyDiv w:val="1"/>
      <w:marLeft w:val="0"/>
      <w:marRight w:val="0"/>
      <w:marTop w:val="0"/>
      <w:marBottom w:val="0"/>
      <w:divBdr>
        <w:top w:val="none" w:sz="0" w:space="0" w:color="auto"/>
        <w:left w:val="none" w:sz="0" w:space="0" w:color="auto"/>
        <w:bottom w:val="none" w:sz="0" w:space="0" w:color="auto"/>
        <w:right w:val="none" w:sz="0" w:space="0" w:color="auto"/>
      </w:divBdr>
    </w:div>
    <w:div w:id="828331760">
      <w:bodyDiv w:val="1"/>
      <w:marLeft w:val="0"/>
      <w:marRight w:val="0"/>
      <w:marTop w:val="0"/>
      <w:marBottom w:val="0"/>
      <w:divBdr>
        <w:top w:val="none" w:sz="0" w:space="0" w:color="auto"/>
        <w:left w:val="none" w:sz="0" w:space="0" w:color="auto"/>
        <w:bottom w:val="none" w:sz="0" w:space="0" w:color="auto"/>
        <w:right w:val="none" w:sz="0" w:space="0" w:color="auto"/>
      </w:divBdr>
    </w:div>
    <w:div w:id="11105102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eader" Target="header8.xml"/><Relationship Id="rId21" Type="http://schemas.openxmlformats.org/officeDocument/2006/relationships/footer" Target="footer4.xml"/><Relationship Id="rId42" Type="http://schemas.openxmlformats.org/officeDocument/2006/relationships/hyperlink" Target="http://baike.baidu.com/view/1231512.htm" TargetMode="External"/><Relationship Id="rId47" Type="http://schemas.openxmlformats.org/officeDocument/2006/relationships/image" Target="media/image24.emf"/><Relationship Id="rId63" Type="http://schemas.openxmlformats.org/officeDocument/2006/relationships/image" Target="media/image36.jpeg"/><Relationship Id="rId68" Type="http://schemas.openxmlformats.org/officeDocument/2006/relationships/image" Target="media/image39.wmf"/><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image" Target="media/image82.emf"/><Relationship Id="rId16" Type="http://schemas.openxmlformats.org/officeDocument/2006/relationships/image" Target="media/image3.jpeg"/><Relationship Id="rId107" Type="http://schemas.openxmlformats.org/officeDocument/2006/relationships/image" Target="media/image77.jpeg"/><Relationship Id="rId11" Type="http://schemas.openxmlformats.org/officeDocument/2006/relationships/footer" Target="footer2.xml"/><Relationship Id="rId32" Type="http://schemas.openxmlformats.org/officeDocument/2006/relationships/image" Target="media/image16.wmf"/><Relationship Id="rId37" Type="http://schemas.openxmlformats.org/officeDocument/2006/relationships/header" Target="header4.xml"/><Relationship Id="rId53" Type="http://schemas.openxmlformats.org/officeDocument/2006/relationships/image" Target="media/image30.png"/><Relationship Id="rId58" Type="http://schemas.openxmlformats.org/officeDocument/2006/relationships/oleObject" Target="embeddings/oleObject3.bin"/><Relationship Id="rId74" Type="http://schemas.openxmlformats.org/officeDocument/2006/relationships/image" Target="media/image45.png"/><Relationship Id="rId79" Type="http://schemas.openxmlformats.org/officeDocument/2006/relationships/image" Target="media/image50.png"/><Relationship Id="rId102" Type="http://schemas.openxmlformats.org/officeDocument/2006/relationships/image" Target="media/image73.png"/><Relationship Id="rId5" Type="http://schemas.openxmlformats.org/officeDocument/2006/relationships/settings" Target="settings.xml"/><Relationship Id="rId90" Type="http://schemas.openxmlformats.org/officeDocument/2006/relationships/image" Target="media/image61.png"/><Relationship Id="rId95" Type="http://schemas.openxmlformats.org/officeDocument/2006/relationships/image" Target="media/image66.png"/><Relationship Id="rId22" Type="http://schemas.openxmlformats.org/officeDocument/2006/relationships/image" Target="media/image8.jpeg"/><Relationship Id="rId27" Type="http://schemas.openxmlformats.org/officeDocument/2006/relationships/image" Target="media/image12.png"/><Relationship Id="rId43" Type="http://schemas.openxmlformats.org/officeDocument/2006/relationships/hyperlink" Target="http://baike.baidu.com/view/2376304.htm" TargetMode="External"/><Relationship Id="rId48" Type="http://schemas.openxmlformats.org/officeDocument/2006/relationships/image" Target="media/image25.jpeg"/><Relationship Id="rId64" Type="http://schemas.openxmlformats.org/officeDocument/2006/relationships/image" Target="media/image37.jpeg"/><Relationship Id="rId69" Type="http://schemas.openxmlformats.org/officeDocument/2006/relationships/image" Target="media/image40.wmf"/><Relationship Id="rId113" Type="http://schemas.openxmlformats.org/officeDocument/2006/relationships/image" Target="media/image83.png"/><Relationship Id="rId118" Type="http://schemas.openxmlformats.org/officeDocument/2006/relationships/footer" Target="footer7.xml"/><Relationship Id="rId80" Type="http://schemas.openxmlformats.org/officeDocument/2006/relationships/image" Target="media/image51.png"/><Relationship Id="rId85" Type="http://schemas.openxmlformats.org/officeDocument/2006/relationships/image" Target="media/image56.png"/><Relationship Id="rId12" Type="http://schemas.openxmlformats.org/officeDocument/2006/relationships/image" Target="media/image1.jpeg"/><Relationship Id="rId17" Type="http://schemas.openxmlformats.org/officeDocument/2006/relationships/image" Target="media/image4.jpeg"/><Relationship Id="rId33" Type="http://schemas.openxmlformats.org/officeDocument/2006/relationships/image" Target="media/image17.png"/><Relationship Id="rId38" Type="http://schemas.openxmlformats.org/officeDocument/2006/relationships/image" Target="media/image20.png"/><Relationship Id="rId59" Type="http://schemas.openxmlformats.org/officeDocument/2006/relationships/image" Target="media/image33.wmf"/><Relationship Id="rId103" Type="http://schemas.openxmlformats.org/officeDocument/2006/relationships/image" Target="media/image74.png"/><Relationship Id="rId108" Type="http://schemas.openxmlformats.org/officeDocument/2006/relationships/image" Target="media/image78.jpeg"/><Relationship Id="rId54" Type="http://schemas.openxmlformats.org/officeDocument/2006/relationships/image" Target="media/image31.png"/><Relationship Id="rId70" Type="http://schemas.openxmlformats.org/officeDocument/2006/relationships/image" Target="media/image41.wmf"/><Relationship Id="rId75" Type="http://schemas.openxmlformats.org/officeDocument/2006/relationships/image" Target="media/image46.pn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jpeg"/><Relationship Id="rId28" Type="http://schemas.openxmlformats.org/officeDocument/2006/relationships/image" Target="media/image13.png"/><Relationship Id="rId49" Type="http://schemas.openxmlformats.org/officeDocument/2006/relationships/image" Target="media/image26.png"/><Relationship Id="rId114" Type="http://schemas.openxmlformats.org/officeDocument/2006/relationships/footer" Target="footer6.xml"/><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oleObject" Target="embeddings/oleObject1.bin"/><Relationship Id="rId44" Type="http://schemas.openxmlformats.org/officeDocument/2006/relationships/hyperlink" Target="http://baike.baidu.com/view/94622.htm" TargetMode="External"/><Relationship Id="rId52" Type="http://schemas.openxmlformats.org/officeDocument/2006/relationships/image" Target="media/image29.png"/><Relationship Id="rId60" Type="http://schemas.openxmlformats.org/officeDocument/2006/relationships/oleObject" Target="embeddings/oleObject4.bin"/><Relationship Id="rId65" Type="http://schemas.openxmlformats.org/officeDocument/2006/relationships/image" Target="media/image38.wmf"/><Relationship Id="rId73" Type="http://schemas.openxmlformats.org/officeDocument/2006/relationships/image" Target="media/image44.png"/><Relationship Id="rId78" Type="http://schemas.openxmlformats.org/officeDocument/2006/relationships/image" Target="media/image49.wmf"/><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header" Target="header5.xml"/><Relationship Id="rId109" Type="http://schemas.openxmlformats.org/officeDocument/2006/relationships/image" Target="media/image79.png"/><Relationship Id="rId34" Type="http://schemas.openxmlformats.org/officeDocument/2006/relationships/image" Target="media/image18.wmf"/><Relationship Id="rId50" Type="http://schemas.openxmlformats.org/officeDocument/2006/relationships/image" Target="media/image27.png"/><Relationship Id="rId55" Type="http://schemas.openxmlformats.org/officeDocument/2006/relationships/header" Target="header6.xml"/><Relationship Id="rId76" Type="http://schemas.openxmlformats.org/officeDocument/2006/relationships/image" Target="media/image47.png"/><Relationship Id="rId97" Type="http://schemas.openxmlformats.org/officeDocument/2006/relationships/image" Target="media/image68.png"/><Relationship Id="rId104" Type="http://schemas.openxmlformats.org/officeDocument/2006/relationships/image" Target="media/image75.wmf"/><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header" Target="header3.xml"/><Relationship Id="rId40" Type="http://schemas.openxmlformats.org/officeDocument/2006/relationships/image" Target="media/image21.png"/><Relationship Id="rId45" Type="http://schemas.openxmlformats.org/officeDocument/2006/relationships/hyperlink" Target="http://baike.baidu.com/view/2326697.htm" TargetMode="External"/><Relationship Id="rId66" Type="http://schemas.openxmlformats.org/officeDocument/2006/relationships/oleObject" Target="embeddings/oleObject5.bin"/><Relationship Id="rId87" Type="http://schemas.openxmlformats.org/officeDocument/2006/relationships/image" Target="media/image58.png"/><Relationship Id="rId110" Type="http://schemas.openxmlformats.org/officeDocument/2006/relationships/image" Target="media/image80.png"/><Relationship Id="rId115" Type="http://schemas.openxmlformats.org/officeDocument/2006/relationships/header" Target="header7.xml"/><Relationship Id="rId61" Type="http://schemas.openxmlformats.org/officeDocument/2006/relationships/image" Target="media/image34.wmf"/><Relationship Id="rId82" Type="http://schemas.openxmlformats.org/officeDocument/2006/relationships/image" Target="media/image53.png"/><Relationship Id="rId19" Type="http://schemas.openxmlformats.org/officeDocument/2006/relationships/image" Target="media/image6.png"/><Relationship Id="rId14" Type="http://schemas.openxmlformats.org/officeDocument/2006/relationships/footer" Target="footer3.xml"/><Relationship Id="rId30" Type="http://schemas.openxmlformats.org/officeDocument/2006/relationships/image" Target="media/image15.wmf"/><Relationship Id="rId35" Type="http://schemas.openxmlformats.org/officeDocument/2006/relationships/image" Target="media/image19.png"/><Relationship Id="rId56" Type="http://schemas.openxmlformats.org/officeDocument/2006/relationships/footer" Target="footer5.xml"/><Relationship Id="rId77" Type="http://schemas.openxmlformats.org/officeDocument/2006/relationships/image" Target="media/image48.png"/><Relationship Id="rId100" Type="http://schemas.openxmlformats.org/officeDocument/2006/relationships/image" Target="media/image71.png"/><Relationship Id="rId105" Type="http://schemas.openxmlformats.org/officeDocument/2006/relationships/oleObject" Target="embeddings/oleObject7.bin"/><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3.png"/><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numbering" Target="numbering.xml"/><Relationship Id="rId25" Type="http://schemas.openxmlformats.org/officeDocument/2006/relationships/image" Target="media/image10.GIF"/><Relationship Id="rId46" Type="http://schemas.openxmlformats.org/officeDocument/2006/relationships/image" Target="media/image23.png"/><Relationship Id="rId67" Type="http://schemas.openxmlformats.org/officeDocument/2006/relationships/oleObject" Target="embeddings/oleObject6.bin"/><Relationship Id="rId116" Type="http://schemas.openxmlformats.org/officeDocument/2006/relationships/image" Target="media/image84.png"/><Relationship Id="rId20" Type="http://schemas.openxmlformats.org/officeDocument/2006/relationships/image" Target="media/image7.png"/><Relationship Id="rId41" Type="http://schemas.openxmlformats.org/officeDocument/2006/relationships/image" Target="media/image22.png"/><Relationship Id="rId62" Type="http://schemas.openxmlformats.org/officeDocument/2006/relationships/image" Target="media/image35.wmf"/><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1.png"/><Relationship Id="rId15" Type="http://schemas.openxmlformats.org/officeDocument/2006/relationships/image" Target="media/image2.png"/><Relationship Id="rId36" Type="http://schemas.openxmlformats.org/officeDocument/2006/relationships/oleObject" Target="embeddings/oleObject2.bin"/><Relationship Id="rId57" Type="http://schemas.openxmlformats.org/officeDocument/2006/relationships/image" Target="media/image32.wmf"/><Relationship Id="rId106" Type="http://schemas.openxmlformats.org/officeDocument/2006/relationships/image" Target="media/image7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9CED85-7A6C-42AB-BFA1-BC594753F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8767</TotalTime>
  <Pages>332</Pages>
  <Words>39418</Words>
  <Characters>224688</Characters>
  <Application>Microsoft Office Word</Application>
  <DocSecurity>0</DocSecurity>
  <Lines>1872</Lines>
  <Paragraphs>527</Paragraphs>
  <ScaleCrop>false</ScaleCrop>
  <Company>Microsoft</Company>
  <LinksUpToDate>false</LinksUpToDate>
  <CharactersWithSpaces>263579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duanliang112233@outlook.com</cp:lastModifiedBy>
  <cp:revision>95</cp:revision>
  <cp:lastPrinted>2022-12-15T07:21:00Z</cp:lastPrinted>
  <dcterms:created xsi:type="dcterms:W3CDTF">2023-08-11T08:46:00Z</dcterms:created>
  <dcterms:modified xsi:type="dcterms:W3CDTF">2023-10-20T01:07:00Z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2052-12.1.0.15120</vt:lpwstr>
  </property>
  <property fmtid="{D5CDD505-2E9C-101B-9397-08002B2CF9AE}" pid="6" name="ICV">
    <vt:lpwstr>89222A47533745559E6EC13470EDC062</vt:lpwstr>
  </property>
</Properties>
</file>